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AA" w:rsidRDefault="00E85772" w:rsidP="006C7F72">
      <w:pPr>
        <w:pStyle w:val="Normal1"/>
        <w:spacing w:after="0" w:line="360" w:lineRule="auto"/>
        <w:jc w:val="center"/>
        <w:rPr>
          <w:rFonts w:ascii="Arial" w:eastAsia="Arial" w:hAnsi="Arial" w:cs="Arial"/>
          <w:b/>
          <w:color w:val="221E1F"/>
          <w:sz w:val="24"/>
          <w:szCs w:val="24"/>
        </w:rPr>
      </w:pPr>
      <w:r>
        <w:rPr>
          <w:noProof/>
          <w:lang w:eastAsia="en-ZA"/>
        </w:rPr>
        <w:drawing>
          <wp:anchor distT="0" distB="0" distL="114300" distR="114300" simplePos="0" relativeHeight="251658240" behindDoc="0" locked="0" layoutInCell="1" hidden="0" allowOverlap="1" wp14:anchorId="4A3E708E" wp14:editId="5870CFDA">
            <wp:simplePos x="0" y="0"/>
            <wp:positionH relativeFrom="column">
              <wp:posOffset>2533650</wp:posOffset>
            </wp:positionH>
            <wp:positionV relativeFrom="paragraph">
              <wp:posOffset>76200</wp:posOffset>
            </wp:positionV>
            <wp:extent cx="740410" cy="923925"/>
            <wp:effectExtent l="0" t="0" r="0" b="0"/>
            <wp:wrapTopAndBottom distT="0" distB="0"/>
            <wp:docPr id="1" name="image1.jpg" descr="coatarms2"/>
            <wp:cNvGraphicFramePr/>
            <a:graphic xmlns:a="http://schemas.openxmlformats.org/drawingml/2006/main">
              <a:graphicData uri="http://schemas.openxmlformats.org/drawingml/2006/picture">
                <pic:pic xmlns:pic="http://schemas.openxmlformats.org/drawingml/2006/picture">
                  <pic:nvPicPr>
                    <pic:cNvPr id="0" name="image1.jpg" descr="coatarms2"/>
                    <pic:cNvPicPr preferRelativeResize="0"/>
                  </pic:nvPicPr>
                  <pic:blipFill>
                    <a:blip r:embed="rId8"/>
                    <a:srcRect/>
                    <a:stretch>
                      <a:fillRect/>
                    </a:stretch>
                  </pic:blipFill>
                  <pic:spPr>
                    <a:xfrm>
                      <a:off x="0" y="0"/>
                      <a:ext cx="740410" cy="923925"/>
                    </a:xfrm>
                    <a:prstGeom prst="rect">
                      <a:avLst/>
                    </a:prstGeom>
                    <a:ln/>
                  </pic:spPr>
                </pic:pic>
              </a:graphicData>
            </a:graphic>
          </wp:anchor>
        </w:drawing>
      </w:r>
      <w:r>
        <w:rPr>
          <w:rFonts w:ascii="Arial" w:eastAsia="Arial" w:hAnsi="Arial" w:cs="Arial"/>
          <w:b/>
          <w:color w:val="221E1F"/>
          <w:sz w:val="24"/>
          <w:szCs w:val="24"/>
        </w:rPr>
        <w:t>THE SUPREME COURT OF APPEAL OF SOUTH AFRICA</w:t>
      </w:r>
    </w:p>
    <w:p w:rsidR="00CD05AA" w:rsidRDefault="00E85772" w:rsidP="006C7F72">
      <w:pPr>
        <w:pStyle w:val="Normal1"/>
        <w:spacing w:after="120" w:line="360" w:lineRule="auto"/>
        <w:jc w:val="center"/>
        <w:rPr>
          <w:rFonts w:ascii="Arial" w:eastAsia="Arial" w:hAnsi="Arial" w:cs="Arial"/>
          <w:b/>
          <w:sz w:val="24"/>
          <w:szCs w:val="24"/>
        </w:rPr>
      </w:pPr>
      <w:r>
        <w:rPr>
          <w:rFonts w:ascii="Arial" w:eastAsia="Arial" w:hAnsi="Arial" w:cs="Arial"/>
          <w:b/>
          <w:sz w:val="24"/>
          <w:szCs w:val="24"/>
        </w:rPr>
        <w:t>JUDGMENT</w:t>
      </w:r>
    </w:p>
    <w:p w:rsidR="007F2CF2" w:rsidRDefault="007F2CF2" w:rsidP="006C7F72">
      <w:pPr>
        <w:pStyle w:val="Normal1"/>
        <w:spacing w:after="120" w:line="360" w:lineRule="auto"/>
        <w:jc w:val="center"/>
        <w:rPr>
          <w:rFonts w:ascii="Arial" w:eastAsia="Arial" w:hAnsi="Arial" w:cs="Arial"/>
          <w:b/>
          <w:sz w:val="24"/>
          <w:szCs w:val="24"/>
        </w:rPr>
      </w:pPr>
    </w:p>
    <w:p w:rsidR="00CD05AA" w:rsidRDefault="00E85772" w:rsidP="006C7F72">
      <w:pPr>
        <w:pStyle w:val="Normal1"/>
        <w:spacing w:after="0" w:line="360" w:lineRule="auto"/>
        <w:ind w:left="720" w:firstLine="720"/>
        <w:jc w:val="right"/>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sidR="00EE1AB0">
        <w:rPr>
          <w:rFonts w:ascii="Arial" w:eastAsia="Arial" w:hAnsi="Arial" w:cs="Arial"/>
          <w:b/>
          <w:sz w:val="24"/>
          <w:szCs w:val="24"/>
        </w:rPr>
        <w:t xml:space="preserve">       </w:t>
      </w:r>
      <w:r w:rsidR="007F2CF2">
        <w:rPr>
          <w:rFonts w:ascii="Arial" w:eastAsia="Arial" w:hAnsi="Arial" w:cs="Arial"/>
          <w:b/>
          <w:sz w:val="24"/>
          <w:szCs w:val="24"/>
        </w:rPr>
        <w:t xml:space="preserve">    </w:t>
      </w:r>
      <w:r w:rsidR="00EE1AB0" w:rsidRPr="00382402">
        <w:rPr>
          <w:rFonts w:ascii="Arial" w:eastAsia="Arial" w:hAnsi="Arial" w:cs="Arial"/>
          <w:b/>
          <w:sz w:val="24"/>
          <w:szCs w:val="24"/>
        </w:rPr>
        <w:t>Not Reportable</w:t>
      </w:r>
      <w:r>
        <w:rPr>
          <w:rFonts w:ascii="Arial" w:eastAsia="Arial" w:hAnsi="Arial" w:cs="Arial"/>
          <w:b/>
          <w:sz w:val="24"/>
          <w:szCs w:val="24"/>
        </w:rPr>
        <w:tab/>
      </w:r>
    </w:p>
    <w:p w:rsidR="00CD05AA" w:rsidRDefault="00F15D5B" w:rsidP="006C7F72">
      <w:pPr>
        <w:pStyle w:val="Normal1"/>
        <w:spacing w:after="0" w:line="360" w:lineRule="auto"/>
        <w:jc w:val="right"/>
        <w:rPr>
          <w:rFonts w:ascii="Arial" w:eastAsia="Arial" w:hAnsi="Arial" w:cs="Arial"/>
          <w:sz w:val="24"/>
          <w:szCs w:val="24"/>
        </w:rPr>
      </w:pPr>
      <w:r>
        <w:rPr>
          <w:rFonts w:ascii="Arial" w:eastAsia="Arial" w:hAnsi="Arial" w:cs="Arial"/>
          <w:sz w:val="24"/>
          <w:szCs w:val="24"/>
        </w:rPr>
        <w:t>Case No: 787</w:t>
      </w:r>
      <w:r w:rsidR="00E85772">
        <w:rPr>
          <w:rFonts w:ascii="Arial" w:eastAsia="Arial" w:hAnsi="Arial" w:cs="Arial"/>
          <w:sz w:val="24"/>
          <w:szCs w:val="24"/>
        </w:rPr>
        <w:t>/20</w:t>
      </w:r>
      <w:r>
        <w:rPr>
          <w:rFonts w:ascii="Arial" w:eastAsia="Arial" w:hAnsi="Arial" w:cs="Arial"/>
          <w:sz w:val="24"/>
          <w:szCs w:val="24"/>
        </w:rPr>
        <w:t>21</w:t>
      </w:r>
    </w:p>
    <w:p w:rsidR="007F2CF2" w:rsidRDefault="007F2CF2" w:rsidP="006C7F72">
      <w:pPr>
        <w:pStyle w:val="Normal1"/>
        <w:spacing w:after="0" w:line="360" w:lineRule="auto"/>
        <w:jc w:val="right"/>
        <w:rPr>
          <w:rFonts w:ascii="Arial" w:eastAsia="Arial" w:hAnsi="Arial" w:cs="Arial"/>
          <w:sz w:val="24"/>
          <w:szCs w:val="24"/>
        </w:rPr>
      </w:pPr>
    </w:p>
    <w:p w:rsidR="007F2CF2" w:rsidRDefault="007F2CF2" w:rsidP="006C7F72">
      <w:pPr>
        <w:pStyle w:val="Normal1"/>
        <w:spacing w:after="0" w:line="360" w:lineRule="auto"/>
        <w:jc w:val="right"/>
        <w:rPr>
          <w:rFonts w:ascii="Arial" w:eastAsia="Arial" w:hAnsi="Arial" w:cs="Arial"/>
          <w:sz w:val="24"/>
          <w:szCs w:val="24"/>
        </w:rPr>
      </w:pPr>
    </w:p>
    <w:p w:rsidR="00CD05AA" w:rsidRDefault="00E85772" w:rsidP="006C7F72">
      <w:pPr>
        <w:pStyle w:val="Normal1"/>
        <w:spacing w:after="240" w:line="360" w:lineRule="auto"/>
        <w:jc w:val="both"/>
        <w:rPr>
          <w:rFonts w:ascii="Arial" w:eastAsia="Arial" w:hAnsi="Arial" w:cs="Arial"/>
          <w:sz w:val="24"/>
          <w:szCs w:val="24"/>
        </w:rPr>
      </w:pPr>
      <w:r>
        <w:rPr>
          <w:rFonts w:ascii="Arial" w:eastAsia="Arial" w:hAnsi="Arial" w:cs="Arial"/>
          <w:sz w:val="24"/>
          <w:szCs w:val="24"/>
        </w:rPr>
        <w:t>In the matter between: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p>
    <w:p w:rsidR="00DB4791" w:rsidRDefault="00F15D5B" w:rsidP="007F2CF2">
      <w:pPr>
        <w:pStyle w:val="Normal1"/>
        <w:spacing w:after="240" w:line="360" w:lineRule="auto"/>
        <w:jc w:val="both"/>
        <w:rPr>
          <w:rFonts w:ascii="Arial" w:eastAsia="Arial" w:hAnsi="Arial" w:cs="Arial"/>
          <w:b/>
          <w:sz w:val="24"/>
          <w:szCs w:val="24"/>
        </w:rPr>
      </w:pPr>
      <w:r>
        <w:rPr>
          <w:rFonts w:ascii="Arial" w:eastAsia="Arial" w:hAnsi="Arial" w:cs="Arial"/>
          <w:b/>
          <w:sz w:val="24"/>
          <w:szCs w:val="24"/>
        </w:rPr>
        <w:t>SELLO NONG</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DB4791">
        <w:rPr>
          <w:rFonts w:ascii="Arial" w:eastAsia="Arial" w:hAnsi="Arial" w:cs="Arial"/>
          <w:b/>
          <w:sz w:val="24"/>
          <w:szCs w:val="24"/>
        </w:rPr>
        <w:t xml:space="preserve">      </w:t>
      </w:r>
      <w:r>
        <w:rPr>
          <w:rFonts w:ascii="Arial" w:eastAsia="Arial" w:hAnsi="Arial" w:cs="Arial"/>
          <w:b/>
          <w:sz w:val="24"/>
          <w:szCs w:val="24"/>
        </w:rPr>
        <w:t>FIRST</w:t>
      </w:r>
      <w:r w:rsidR="00E85772">
        <w:rPr>
          <w:rFonts w:ascii="Arial" w:eastAsia="Arial" w:hAnsi="Arial" w:cs="Arial"/>
          <w:b/>
          <w:sz w:val="24"/>
          <w:szCs w:val="24"/>
        </w:rPr>
        <w:t xml:space="preserve"> APPELLANT  </w:t>
      </w:r>
    </w:p>
    <w:p w:rsidR="00CD05AA" w:rsidRDefault="00F15D5B" w:rsidP="007F2CF2">
      <w:pPr>
        <w:pStyle w:val="Normal1"/>
        <w:spacing w:after="240" w:line="360" w:lineRule="auto"/>
        <w:jc w:val="both"/>
        <w:rPr>
          <w:rFonts w:ascii="Arial" w:eastAsia="Arial" w:hAnsi="Arial" w:cs="Arial"/>
          <w:b/>
          <w:sz w:val="24"/>
          <w:szCs w:val="24"/>
        </w:rPr>
      </w:pPr>
      <w:r>
        <w:rPr>
          <w:rFonts w:ascii="Arial" w:eastAsia="Arial" w:hAnsi="Arial" w:cs="Arial"/>
          <w:b/>
          <w:sz w:val="24"/>
          <w:szCs w:val="24"/>
        </w:rPr>
        <w:t>THOMAS MASINGI</w:t>
      </w:r>
      <w:r w:rsidR="00E85772">
        <w:rPr>
          <w:rFonts w:ascii="Arial" w:eastAsia="Arial" w:hAnsi="Arial" w:cs="Arial"/>
          <w:b/>
          <w:sz w:val="24"/>
          <w:szCs w:val="24"/>
        </w:rPr>
        <w:t xml:space="preserve">                                                                 </w:t>
      </w:r>
      <w:r w:rsidR="00DB4791">
        <w:rPr>
          <w:rFonts w:ascii="Arial" w:eastAsia="Arial" w:hAnsi="Arial" w:cs="Arial"/>
          <w:b/>
          <w:sz w:val="24"/>
          <w:szCs w:val="24"/>
        </w:rPr>
        <w:tab/>
        <w:t xml:space="preserve"> </w:t>
      </w:r>
      <w:r>
        <w:rPr>
          <w:rFonts w:ascii="Arial" w:eastAsia="Arial" w:hAnsi="Arial" w:cs="Arial"/>
          <w:b/>
          <w:sz w:val="24"/>
          <w:szCs w:val="24"/>
        </w:rPr>
        <w:t>SECOND APPELLANT</w:t>
      </w:r>
      <w:r w:rsidR="00E85772">
        <w:rPr>
          <w:rFonts w:ascii="Arial" w:eastAsia="Arial" w:hAnsi="Arial" w:cs="Arial"/>
          <w:b/>
          <w:sz w:val="24"/>
          <w:szCs w:val="24"/>
        </w:rPr>
        <w:t xml:space="preserve">                                  </w:t>
      </w:r>
    </w:p>
    <w:p w:rsidR="00CD05AA" w:rsidRDefault="00E85772" w:rsidP="006C7F72">
      <w:pPr>
        <w:pStyle w:val="Normal1"/>
        <w:spacing w:after="240" w:line="360" w:lineRule="auto"/>
        <w:jc w:val="both"/>
        <w:rPr>
          <w:rFonts w:ascii="Arial" w:eastAsia="Arial" w:hAnsi="Arial" w:cs="Arial"/>
          <w:b/>
          <w:sz w:val="24"/>
          <w:szCs w:val="24"/>
        </w:rPr>
      </w:pPr>
      <w:r>
        <w:rPr>
          <w:rFonts w:ascii="Arial" w:eastAsia="Arial" w:hAnsi="Arial" w:cs="Arial"/>
          <w:sz w:val="24"/>
          <w:szCs w:val="24"/>
        </w:rPr>
        <w:t>and</w:t>
      </w:r>
    </w:p>
    <w:p w:rsidR="00CD05AA" w:rsidRDefault="00E85772" w:rsidP="006C7F72">
      <w:pPr>
        <w:pStyle w:val="Normal1"/>
        <w:spacing w:after="0" w:line="360" w:lineRule="auto"/>
        <w:jc w:val="both"/>
        <w:rPr>
          <w:rFonts w:ascii="Arial" w:eastAsia="Arial" w:hAnsi="Arial" w:cs="Arial"/>
          <w:b/>
          <w:sz w:val="24"/>
          <w:szCs w:val="24"/>
        </w:rPr>
      </w:pPr>
      <w:r>
        <w:rPr>
          <w:rFonts w:ascii="Arial" w:eastAsia="Arial" w:hAnsi="Arial" w:cs="Arial"/>
          <w:b/>
          <w:sz w:val="24"/>
          <w:szCs w:val="24"/>
        </w:rPr>
        <w:t>THE STATE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RESPONDENT</w:t>
      </w:r>
    </w:p>
    <w:p w:rsidR="00CD05AA" w:rsidRDefault="00CD05AA" w:rsidP="006C7F72">
      <w:pPr>
        <w:pStyle w:val="Normal1"/>
        <w:spacing w:after="0" w:line="360" w:lineRule="auto"/>
        <w:jc w:val="both"/>
        <w:rPr>
          <w:rFonts w:ascii="Arial" w:eastAsia="Arial" w:hAnsi="Arial" w:cs="Arial"/>
          <w:b/>
          <w:sz w:val="24"/>
          <w:szCs w:val="24"/>
        </w:rPr>
      </w:pPr>
    </w:p>
    <w:p w:rsidR="00CD05AA" w:rsidRDefault="00CD05AA" w:rsidP="006C7F72">
      <w:pPr>
        <w:pStyle w:val="Normal1"/>
        <w:spacing w:after="0" w:line="360" w:lineRule="auto"/>
        <w:jc w:val="both"/>
        <w:rPr>
          <w:rFonts w:ascii="Arial" w:eastAsia="Arial" w:hAnsi="Arial" w:cs="Arial"/>
          <w:b/>
          <w:sz w:val="24"/>
          <w:szCs w:val="24"/>
        </w:rPr>
      </w:pPr>
    </w:p>
    <w:p w:rsidR="00CD05AA" w:rsidRDefault="00A34B0E" w:rsidP="00A34B0E">
      <w:pPr>
        <w:pStyle w:val="Normal1"/>
        <w:spacing w:after="240" w:line="360" w:lineRule="auto"/>
        <w:jc w:val="both"/>
        <w:rPr>
          <w:rFonts w:ascii="Arial" w:eastAsia="Arial" w:hAnsi="Arial" w:cs="Arial"/>
          <w:sz w:val="24"/>
          <w:szCs w:val="24"/>
        </w:rPr>
      </w:pPr>
      <w:bookmarkStart w:id="0" w:name="_gjdgxs" w:colFirst="0" w:colLast="0"/>
      <w:bookmarkEnd w:id="0"/>
      <w:r>
        <w:rPr>
          <w:rFonts w:ascii="Arial" w:eastAsia="Arial" w:hAnsi="Arial" w:cs="Arial"/>
          <w:b/>
          <w:sz w:val="24"/>
          <w:szCs w:val="24"/>
        </w:rPr>
        <w:t xml:space="preserve">Neutral citation: </w:t>
      </w:r>
      <w:r w:rsidR="00F15D5B">
        <w:rPr>
          <w:rFonts w:ascii="Arial" w:eastAsia="Arial" w:hAnsi="Arial" w:cs="Arial"/>
          <w:i/>
          <w:sz w:val="24"/>
          <w:szCs w:val="24"/>
        </w:rPr>
        <w:t>Nong and Masingi</w:t>
      </w:r>
      <w:r w:rsidR="00E85772">
        <w:rPr>
          <w:rFonts w:ascii="Arial" w:eastAsia="Arial" w:hAnsi="Arial" w:cs="Arial"/>
          <w:i/>
          <w:sz w:val="24"/>
          <w:szCs w:val="24"/>
        </w:rPr>
        <w:t xml:space="preserve"> v The State</w:t>
      </w:r>
      <w:r w:rsidR="00E85772">
        <w:rPr>
          <w:rFonts w:ascii="Arial" w:eastAsia="Arial" w:hAnsi="Arial" w:cs="Arial"/>
          <w:b/>
          <w:sz w:val="24"/>
          <w:szCs w:val="24"/>
        </w:rPr>
        <w:t xml:space="preserve"> </w:t>
      </w:r>
      <w:r w:rsidR="00F15D5B">
        <w:rPr>
          <w:rFonts w:ascii="Arial" w:eastAsia="Arial" w:hAnsi="Arial" w:cs="Arial"/>
          <w:sz w:val="24"/>
          <w:szCs w:val="24"/>
        </w:rPr>
        <w:t>(787</w:t>
      </w:r>
      <w:r w:rsidR="00E85772">
        <w:rPr>
          <w:rFonts w:ascii="Arial" w:eastAsia="Arial" w:hAnsi="Arial" w:cs="Arial"/>
          <w:sz w:val="24"/>
          <w:szCs w:val="24"/>
        </w:rPr>
        <w:t>/20</w:t>
      </w:r>
      <w:r w:rsidR="00F15D5B">
        <w:rPr>
          <w:rFonts w:ascii="Arial" w:eastAsia="Arial" w:hAnsi="Arial" w:cs="Arial"/>
          <w:sz w:val="24"/>
          <w:szCs w:val="24"/>
        </w:rPr>
        <w:t>21) [2024</w:t>
      </w:r>
      <w:r w:rsidR="00E85772">
        <w:rPr>
          <w:rFonts w:ascii="Arial" w:eastAsia="Arial" w:hAnsi="Arial" w:cs="Arial"/>
          <w:sz w:val="24"/>
          <w:szCs w:val="24"/>
        </w:rPr>
        <w:t xml:space="preserve">] ZASCA </w:t>
      </w:r>
      <w:r>
        <w:rPr>
          <w:rFonts w:ascii="Arial" w:eastAsia="Arial" w:hAnsi="Arial" w:cs="Arial"/>
          <w:sz w:val="24"/>
          <w:szCs w:val="24"/>
        </w:rPr>
        <w:t xml:space="preserve">25 </w:t>
      </w:r>
      <w:bookmarkStart w:id="1" w:name="_GoBack"/>
      <w:bookmarkEnd w:id="1"/>
      <w:r>
        <w:rPr>
          <w:rFonts w:ascii="Arial" w:eastAsia="Arial" w:hAnsi="Arial" w:cs="Arial"/>
          <w:sz w:val="24"/>
          <w:szCs w:val="24"/>
        </w:rPr>
        <w:t>(</w:t>
      </w:r>
      <w:r w:rsidR="001B5514">
        <w:rPr>
          <w:rFonts w:ascii="Arial" w:eastAsia="Arial" w:hAnsi="Arial" w:cs="Arial"/>
          <w:sz w:val="24"/>
          <w:szCs w:val="24"/>
        </w:rPr>
        <w:t>20</w:t>
      </w:r>
      <w:r w:rsidR="000B1D04">
        <w:rPr>
          <w:rFonts w:ascii="Arial" w:eastAsia="Arial" w:hAnsi="Arial" w:cs="Arial"/>
          <w:sz w:val="24"/>
          <w:szCs w:val="24"/>
        </w:rPr>
        <w:t> </w:t>
      </w:r>
      <w:r w:rsidR="00F15D5B">
        <w:rPr>
          <w:rFonts w:ascii="Arial" w:eastAsia="Arial" w:hAnsi="Arial" w:cs="Arial"/>
          <w:sz w:val="24"/>
          <w:szCs w:val="24"/>
        </w:rPr>
        <w:t>March</w:t>
      </w:r>
      <w:r w:rsidR="00E85772">
        <w:rPr>
          <w:rFonts w:ascii="Arial" w:eastAsia="Arial" w:hAnsi="Arial" w:cs="Arial"/>
          <w:sz w:val="24"/>
          <w:szCs w:val="24"/>
        </w:rPr>
        <w:t xml:space="preserve"> 20</w:t>
      </w:r>
      <w:r w:rsidR="00F15D5B">
        <w:rPr>
          <w:rFonts w:ascii="Arial" w:eastAsia="Arial" w:hAnsi="Arial" w:cs="Arial"/>
          <w:sz w:val="24"/>
          <w:szCs w:val="24"/>
        </w:rPr>
        <w:t>24</w:t>
      </w:r>
      <w:r w:rsidR="00E85772">
        <w:rPr>
          <w:rFonts w:ascii="Arial" w:eastAsia="Arial" w:hAnsi="Arial" w:cs="Arial"/>
          <w:sz w:val="24"/>
          <w:szCs w:val="24"/>
        </w:rPr>
        <w:t xml:space="preserve">) </w:t>
      </w:r>
    </w:p>
    <w:p w:rsidR="00CD05AA" w:rsidRDefault="00E85772" w:rsidP="006C7F72">
      <w:pPr>
        <w:pStyle w:val="Normal1"/>
        <w:spacing w:after="240" w:line="360" w:lineRule="auto"/>
        <w:jc w:val="both"/>
        <w:rPr>
          <w:rFonts w:ascii="Arial" w:eastAsia="Arial" w:hAnsi="Arial" w:cs="Arial"/>
          <w:sz w:val="24"/>
          <w:szCs w:val="24"/>
        </w:rPr>
      </w:pPr>
      <w:r>
        <w:rPr>
          <w:rFonts w:ascii="Arial" w:eastAsia="Arial" w:hAnsi="Arial" w:cs="Arial"/>
          <w:b/>
          <w:sz w:val="24"/>
          <w:szCs w:val="24"/>
        </w:rPr>
        <w:t>Coram:</w:t>
      </w:r>
      <w:r>
        <w:rPr>
          <w:rFonts w:ascii="Arial" w:eastAsia="Arial" w:hAnsi="Arial" w:cs="Arial"/>
          <w:b/>
          <w:sz w:val="24"/>
          <w:szCs w:val="24"/>
        </w:rPr>
        <w:tab/>
      </w:r>
      <w:r>
        <w:rPr>
          <w:rFonts w:ascii="Arial" w:eastAsia="Arial" w:hAnsi="Arial" w:cs="Arial"/>
          <w:sz w:val="24"/>
          <w:szCs w:val="24"/>
        </w:rPr>
        <w:t>M</w:t>
      </w:r>
      <w:r w:rsidR="00F15D5B">
        <w:rPr>
          <w:rFonts w:ascii="Arial" w:eastAsia="Arial" w:hAnsi="Arial" w:cs="Arial"/>
          <w:sz w:val="24"/>
          <w:szCs w:val="24"/>
        </w:rPr>
        <w:t>okgohloa</w:t>
      </w:r>
      <w:r>
        <w:rPr>
          <w:rFonts w:ascii="Arial" w:eastAsia="Arial" w:hAnsi="Arial" w:cs="Arial"/>
          <w:sz w:val="24"/>
          <w:szCs w:val="24"/>
        </w:rPr>
        <w:t xml:space="preserve">, </w:t>
      </w:r>
      <w:r w:rsidR="00F15D5B" w:rsidRPr="00382402">
        <w:rPr>
          <w:rFonts w:ascii="Arial" w:eastAsia="Arial" w:hAnsi="Arial" w:cs="Arial"/>
          <w:sz w:val="24"/>
          <w:szCs w:val="24"/>
        </w:rPr>
        <w:t>Nicho</w:t>
      </w:r>
      <w:r w:rsidR="00DD75AA" w:rsidRPr="00382402">
        <w:rPr>
          <w:rFonts w:ascii="Arial" w:eastAsia="Arial" w:hAnsi="Arial" w:cs="Arial"/>
          <w:sz w:val="24"/>
          <w:szCs w:val="24"/>
        </w:rPr>
        <w:t>l</w:t>
      </w:r>
      <w:r w:rsidR="00F15D5B" w:rsidRPr="00382402">
        <w:rPr>
          <w:rFonts w:ascii="Arial" w:eastAsia="Arial" w:hAnsi="Arial" w:cs="Arial"/>
          <w:sz w:val="24"/>
          <w:szCs w:val="24"/>
        </w:rPr>
        <w:t>ls, Mothle</w:t>
      </w:r>
      <w:r w:rsidR="00F15D5B">
        <w:rPr>
          <w:rFonts w:ascii="Arial" w:eastAsia="Arial" w:hAnsi="Arial" w:cs="Arial"/>
          <w:sz w:val="24"/>
          <w:szCs w:val="24"/>
        </w:rPr>
        <w:t xml:space="preserve"> </w:t>
      </w:r>
      <w:r>
        <w:rPr>
          <w:rFonts w:ascii="Arial" w:eastAsia="Arial" w:hAnsi="Arial" w:cs="Arial"/>
          <w:sz w:val="24"/>
          <w:szCs w:val="24"/>
        </w:rPr>
        <w:t xml:space="preserve">and </w:t>
      </w:r>
      <w:r w:rsidR="00F15D5B">
        <w:rPr>
          <w:rFonts w:ascii="Arial" w:eastAsia="Arial" w:hAnsi="Arial" w:cs="Arial"/>
          <w:sz w:val="24"/>
          <w:szCs w:val="24"/>
        </w:rPr>
        <w:t xml:space="preserve">Hughes </w:t>
      </w:r>
      <w:r>
        <w:rPr>
          <w:rFonts w:ascii="Arial" w:eastAsia="Arial" w:hAnsi="Arial" w:cs="Arial"/>
          <w:sz w:val="24"/>
          <w:szCs w:val="24"/>
        </w:rPr>
        <w:t xml:space="preserve">JJA and </w:t>
      </w:r>
      <w:r w:rsidR="00F15D5B">
        <w:rPr>
          <w:rFonts w:ascii="Arial" w:eastAsia="Arial" w:hAnsi="Arial" w:cs="Arial"/>
          <w:sz w:val="24"/>
          <w:szCs w:val="24"/>
        </w:rPr>
        <w:t>Baartman A</w:t>
      </w:r>
      <w:r>
        <w:rPr>
          <w:rFonts w:ascii="Arial" w:eastAsia="Arial" w:hAnsi="Arial" w:cs="Arial"/>
          <w:sz w:val="24"/>
          <w:szCs w:val="24"/>
        </w:rPr>
        <w:t xml:space="preserve">JA </w:t>
      </w:r>
    </w:p>
    <w:p w:rsidR="00CD05AA" w:rsidRDefault="00E85772" w:rsidP="006C7F72">
      <w:pPr>
        <w:pStyle w:val="Normal1"/>
        <w:spacing w:after="240" w:line="360" w:lineRule="auto"/>
        <w:jc w:val="both"/>
        <w:rPr>
          <w:rFonts w:ascii="Arial" w:eastAsia="Arial" w:hAnsi="Arial" w:cs="Arial"/>
          <w:sz w:val="24"/>
          <w:szCs w:val="24"/>
        </w:rPr>
      </w:pPr>
      <w:r>
        <w:rPr>
          <w:rFonts w:ascii="Arial" w:eastAsia="Arial" w:hAnsi="Arial" w:cs="Arial"/>
          <w:b/>
          <w:sz w:val="24"/>
          <w:szCs w:val="24"/>
        </w:rPr>
        <w:t xml:space="preserve">Heard: </w:t>
      </w:r>
      <w:r>
        <w:rPr>
          <w:rFonts w:ascii="Arial" w:eastAsia="Arial" w:hAnsi="Arial" w:cs="Arial"/>
          <w:b/>
          <w:sz w:val="24"/>
          <w:szCs w:val="24"/>
        </w:rPr>
        <w:tab/>
      </w:r>
      <w:r w:rsidR="00F15D5B">
        <w:rPr>
          <w:rFonts w:ascii="Arial" w:eastAsia="Arial" w:hAnsi="Arial" w:cs="Arial"/>
          <w:sz w:val="24"/>
          <w:szCs w:val="24"/>
        </w:rPr>
        <w:t>29 February</w:t>
      </w:r>
      <w:r>
        <w:rPr>
          <w:rFonts w:ascii="Arial" w:eastAsia="Arial" w:hAnsi="Arial" w:cs="Arial"/>
          <w:sz w:val="24"/>
          <w:szCs w:val="24"/>
        </w:rPr>
        <w:t xml:space="preserve"> 20</w:t>
      </w:r>
      <w:r w:rsidR="00F15D5B">
        <w:rPr>
          <w:rFonts w:ascii="Arial" w:eastAsia="Arial" w:hAnsi="Arial" w:cs="Arial"/>
          <w:sz w:val="24"/>
          <w:szCs w:val="24"/>
        </w:rPr>
        <w:t>24</w:t>
      </w:r>
    </w:p>
    <w:p w:rsidR="00CD05AA" w:rsidRDefault="00E85772" w:rsidP="006C7F72">
      <w:pPr>
        <w:pStyle w:val="Normal1"/>
        <w:spacing w:after="240" w:line="360" w:lineRule="auto"/>
        <w:jc w:val="both"/>
        <w:rPr>
          <w:rFonts w:ascii="Arial" w:eastAsia="Arial" w:hAnsi="Arial" w:cs="Arial"/>
          <w:sz w:val="24"/>
          <w:szCs w:val="24"/>
        </w:rPr>
      </w:pPr>
      <w:r>
        <w:rPr>
          <w:rFonts w:ascii="Arial" w:eastAsia="Arial" w:hAnsi="Arial" w:cs="Arial"/>
          <w:b/>
          <w:sz w:val="24"/>
          <w:szCs w:val="24"/>
        </w:rPr>
        <w:t xml:space="preserve">Delivered: </w:t>
      </w:r>
      <w:r>
        <w:rPr>
          <w:rFonts w:ascii="Arial" w:eastAsia="Arial" w:hAnsi="Arial" w:cs="Arial"/>
          <w:b/>
          <w:sz w:val="24"/>
          <w:szCs w:val="24"/>
        </w:rPr>
        <w:tab/>
      </w:r>
      <w:r w:rsidR="001B5514">
        <w:rPr>
          <w:rFonts w:ascii="Arial" w:eastAsia="Arial" w:hAnsi="Arial" w:cs="Arial"/>
          <w:sz w:val="24"/>
          <w:szCs w:val="24"/>
        </w:rPr>
        <w:t>20</w:t>
      </w:r>
      <w:r w:rsidR="00F15D5B">
        <w:rPr>
          <w:rFonts w:ascii="Arial" w:eastAsia="Arial" w:hAnsi="Arial" w:cs="Arial"/>
          <w:sz w:val="24"/>
          <w:szCs w:val="24"/>
        </w:rPr>
        <w:t xml:space="preserve"> March</w:t>
      </w:r>
      <w:r w:rsidR="009E2861">
        <w:rPr>
          <w:rFonts w:ascii="Arial" w:eastAsia="Arial" w:hAnsi="Arial" w:cs="Arial"/>
          <w:sz w:val="24"/>
          <w:szCs w:val="24"/>
        </w:rPr>
        <w:t xml:space="preserve"> </w:t>
      </w:r>
      <w:r w:rsidR="00F15D5B">
        <w:rPr>
          <w:rFonts w:ascii="Arial" w:eastAsia="Arial" w:hAnsi="Arial" w:cs="Arial"/>
          <w:sz w:val="24"/>
          <w:szCs w:val="24"/>
        </w:rPr>
        <w:t>2024</w:t>
      </w:r>
      <w:r w:rsidR="00FC49EA">
        <w:rPr>
          <w:rFonts w:ascii="Arial" w:eastAsia="Arial" w:hAnsi="Arial" w:cs="Arial"/>
          <w:sz w:val="24"/>
          <w:szCs w:val="24"/>
        </w:rPr>
        <w:t xml:space="preserve">   </w:t>
      </w:r>
    </w:p>
    <w:p w:rsidR="00CD05AA" w:rsidRDefault="00E85772" w:rsidP="006C7F72">
      <w:pPr>
        <w:pStyle w:val="Normal1"/>
        <w:spacing w:after="120" w:line="360" w:lineRule="auto"/>
        <w:jc w:val="both"/>
        <w:rPr>
          <w:rFonts w:ascii="Arial" w:eastAsia="Arial" w:hAnsi="Arial" w:cs="Arial"/>
          <w:color w:val="000000" w:themeColor="text1"/>
          <w:sz w:val="24"/>
          <w:szCs w:val="24"/>
        </w:rPr>
      </w:pPr>
      <w:r>
        <w:rPr>
          <w:rFonts w:ascii="Arial" w:eastAsia="Arial" w:hAnsi="Arial" w:cs="Arial"/>
          <w:b/>
          <w:sz w:val="24"/>
          <w:szCs w:val="24"/>
        </w:rPr>
        <w:t>Summary:</w:t>
      </w:r>
      <w:r w:rsidR="00F15D5B">
        <w:rPr>
          <w:rFonts w:ascii="Arial" w:eastAsia="Arial" w:hAnsi="Arial" w:cs="Arial"/>
          <w:sz w:val="24"/>
          <w:szCs w:val="24"/>
        </w:rPr>
        <w:t xml:space="preserve"> Criminal Procedure – a</w:t>
      </w:r>
      <w:r>
        <w:rPr>
          <w:rFonts w:ascii="Arial" w:eastAsia="Arial" w:hAnsi="Arial" w:cs="Arial"/>
          <w:sz w:val="24"/>
          <w:szCs w:val="24"/>
        </w:rPr>
        <w:t xml:space="preserve">ppeal against </w:t>
      </w:r>
      <w:r w:rsidR="00F15D5B">
        <w:rPr>
          <w:rFonts w:ascii="Arial" w:eastAsia="Arial" w:hAnsi="Arial" w:cs="Arial"/>
          <w:sz w:val="24"/>
          <w:szCs w:val="24"/>
        </w:rPr>
        <w:t xml:space="preserve">conviction </w:t>
      </w:r>
      <w:r w:rsidR="00FA206B">
        <w:rPr>
          <w:rFonts w:ascii="Arial" w:eastAsia="Arial" w:hAnsi="Arial" w:cs="Arial"/>
          <w:sz w:val="24"/>
          <w:szCs w:val="24"/>
        </w:rPr>
        <w:t>–</w:t>
      </w:r>
      <w:r w:rsidR="00F15D5B">
        <w:rPr>
          <w:rFonts w:ascii="Arial" w:eastAsia="Arial" w:hAnsi="Arial" w:cs="Arial"/>
          <w:sz w:val="24"/>
          <w:szCs w:val="24"/>
        </w:rPr>
        <w:t xml:space="preserve"> </w:t>
      </w:r>
      <w:r w:rsidR="00FA206B">
        <w:rPr>
          <w:rFonts w:ascii="Arial" w:eastAsia="Arial" w:hAnsi="Arial" w:cs="Arial"/>
          <w:sz w:val="24"/>
          <w:szCs w:val="24"/>
        </w:rPr>
        <w:t>leave to appeal refused by regional magistrate – petition in terms of s</w:t>
      </w:r>
      <w:r w:rsidR="00600674">
        <w:rPr>
          <w:rFonts w:ascii="Arial" w:eastAsia="Arial" w:hAnsi="Arial" w:cs="Arial"/>
          <w:sz w:val="24"/>
          <w:szCs w:val="24"/>
        </w:rPr>
        <w:t xml:space="preserve"> </w:t>
      </w:r>
      <w:r w:rsidR="00FA206B">
        <w:rPr>
          <w:rFonts w:ascii="Arial" w:eastAsia="Arial" w:hAnsi="Arial" w:cs="Arial"/>
          <w:sz w:val="24"/>
          <w:szCs w:val="24"/>
        </w:rPr>
        <w:t xml:space="preserve">309C refused by the </w:t>
      </w:r>
      <w:r w:rsidR="00D220F1">
        <w:rPr>
          <w:rFonts w:ascii="Arial" w:eastAsia="Arial" w:hAnsi="Arial" w:cs="Arial"/>
          <w:sz w:val="24"/>
          <w:szCs w:val="24"/>
        </w:rPr>
        <w:t xml:space="preserve">high court </w:t>
      </w:r>
      <w:r>
        <w:rPr>
          <w:rFonts w:ascii="Arial" w:eastAsia="Arial" w:hAnsi="Arial" w:cs="Arial"/>
          <w:sz w:val="24"/>
          <w:szCs w:val="24"/>
        </w:rPr>
        <w:t xml:space="preserve">– </w:t>
      </w:r>
      <w:r w:rsidR="00FA206B">
        <w:rPr>
          <w:rFonts w:ascii="Arial" w:eastAsia="Arial" w:hAnsi="Arial" w:cs="Arial"/>
          <w:sz w:val="24"/>
          <w:szCs w:val="24"/>
        </w:rPr>
        <w:t>special leave to appeal a</w:t>
      </w:r>
      <w:r w:rsidR="00D220F1">
        <w:rPr>
          <w:rFonts w:ascii="Arial" w:eastAsia="Arial" w:hAnsi="Arial" w:cs="Arial"/>
          <w:sz w:val="24"/>
          <w:szCs w:val="24"/>
        </w:rPr>
        <w:t>gai</w:t>
      </w:r>
      <w:r w:rsidR="00BB2D37">
        <w:rPr>
          <w:rFonts w:ascii="Arial" w:eastAsia="Arial" w:hAnsi="Arial" w:cs="Arial"/>
          <w:sz w:val="24"/>
          <w:szCs w:val="24"/>
        </w:rPr>
        <w:t>nst</w:t>
      </w:r>
      <w:r w:rsidR="00A73864">
        <w:rPr>
          <w:rFonts w:ascii="Arial" w:eastAsia="Arial" w:hAnsi="Arial" w:cs="Arial"/>
          <w:sz w:val="24"/>
          <w:szCs w:val="24"/>
        </w:rPr>
        <w:t xml:space="preserve"> the dismissal of the </w:t>
      </w:r>
      <w:r w:rsidR="00DB4791">
        <w:rPr>
          <w:rFonts w:ascii="Arial" w:eastAsia="Arial" w:hAnsi="Arial" w:cs="Arial"/>
          <w:sz w:val="24"/>
          <w:szCs w:val="24"/>
        </w:rPr>
        <w:t>petition granted</w:t>
      </w:r>
      <w:r w:rsidR="00BB2D37">
        <w:rPr>
          <w:rFonts w:ascii="Arial" w:eastAsia="Arial" w:hAnsi="Arial" w:cs="Arial"/>
          <w:sz w:val="24"/>
          <w:szCs w:val="24"/>
        </w:rPr>
        <w:t xml:space="preserve"> by this C</w:t>
      </w:r>
      <w:r w:rsidR="00D220F1">
        <w:rPr>
          <w:rFonts w:ascii="Arial" w:eastAsia="Arial" w:hAnsi="Arial" w:cs="Arial"/>
          <w:sz w:val="24"/>
          <w:szCs w:val="24"/>
        </w:rPr>
        <w:t>ourt – the test is whether the appellant</w:t>
      </w:r>
      <w:r w:rsidR="00382402">
        <w:rPr>
          <w:rFonts w:ascii="Arial" w:eastAsia="Arial" w:hAnsi="Arial" w:cs="Arial"/>
          <w:sz w:val="24"/>
          <w:szCs w:val="24"/>
        </w:rPr>
        <w:t>s</w:t>
      </w:r>
      <w:r w:rsidR="00D220F1">
        <w:rPr>
          <w:rFonts w:ascii="Arial" w:eastAsia="Arial" w:hAnsi="Arial" w:cs="Arial"/>
          <w:sz w:val="24"/>
          <w:szCs w:val="24"/>
        </w:rPr>
        <w:t xml:space="preserve"> ha</w:t>
      </w:r>
      <w:r w:rsidR="00382402">
        <w:rPr>
          <w:rFonts w:ascii="Arial" w:eastAsia="Arial" w:hAnsi="Arial" w:cs="Arial"/>
          <w:sz w:val="24"/>
          <w:szCs w:val="24"/>
        </w:rPr>
        <w:t>ve</w:t>
      </w:r>
      <w:r w:rsidR="00D220F1">
        <w:rPr>
          <w:rFonts w:ascii="Arial" w:eastAsia="Arial" w:hAnsi="Arial" w:cs="Arial"/>
          <w:sz w:val="24"/>
          <w:szCs w:val="24"/>
        </w:rPr>
        <w:t xml:space="preserve"> shown reasonable prospects of success on appeal</w:t>
      </w:r>
      <w:r w:rsidR="00230D7A" w:rsidRPr="0023261A">
        <w:rPr>
          <w:rFonts w:ascii="Arial" w:eastAsia="Arial" w:hAnsi="Arial" w:cs="Arial"/>
          <w:color w:val="000000" w:themeColor="text1"/>
          <w:sz w:val="24"/>
          <w:szCs w:val="24"/>
        </w:rPr>
        <w:t xml:space="preserve">. </w:t>
      </w:r>
    </w:p>
    <w:p w:rsidR="004D719D" w:rsidRDefault="004D719D" w:rsidP="006C7F72">
      <w:pPr>
        <w:pStyle w:val="Normal1"/>
        <w:spacing w:after="120" w:line="360" w:lineRule="auto"/>
        <w:jc w:val="both"/>
        <w:rPr>
          <w:rFonts w:ascii="Arial" w:eastAsia="Arial" w:hAnsi="Arial" w:cs="Arial"/>
          <w:color w:val="000000" w:themeColor="text1"/>
          <w:sz w:val="24"/>
          <w:szCs w:val="24"/>
        </w:rPr>
      </w:pPr>
    </w:p>
    <w:p w:rsidR="004D719D" w:rsidRPr="006672D9" w:rsidRDefault="004D719D" w:rsidP="004D719D">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lastRenderedPageBreak/>
        <w:t>___________________________________________________________________</w:t>
      </w:r>
    </w:p>
    <w:p w:rsidR="004D719D" w:rsidRPr="006672D9" w:rsidRDefault="004D719D" w:rsidP="004D719D">
      <w:pPr>
        <w:pStyle w:val="Normal1"/>
        <w:spacing w:after="0" w:line="360" w:lineRule="auto"/>
        <w:jc w:val="both"/>
        <w:rPr>
          <w:rFonts w:ascii="Arial" w:eastAsia="Arial" w:hAnsi="Arial" w:cs="Arial"/>
          <w:b/>
          <w:sz w:val="24"/>
          <w:szCs w:val="24"/>
        </w:rPr>
      </w:pPr>
    </w:p>
    <w:p w:rsidR="004D719D" w:rsidRPr="006672D9" w:rsidRDefault="004D719D" w:rsidP="004D719D">
      <w:pPr>
        <w:pStyle w:val="Normal1"/>
        <w:spacing w:after="0" w:line="360" w:lineRule="auto"/>
        <w:jc w:val="center"/>
        <w:rPr>
          <w:rFonts w:ascii="Arial" w:eastAsia="Arial" w:hAnsi="Arial" w:cs="Arial"/>
          <w:b/>
          <w:sz w:val="24"/>
          <w:szCs w:val="24"/>
        </w:rPr>
      </w:pPr>
      <w:r w:rsidRPr="006672D9">
        <w:rPr>
          <w:rFonts w:ascii="Arial" w:eastAsia="Arial" w:hAnsi="Arial" w:cs="Arial"/>
          <w:b/>
          <w:sz w:val="24"/>
          <w:szCs w:val="24"/>
        </w:rPr>
        <w:t>ORDER</w:t>
      </w:r>
    </w:p>
    <w:p w:rsidR="004D719D" w:rsidRPr="006672D9" w:rsidRDefault="004D719D" w:rsidP="004D719D">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t>___________________________________________________________________</w:t>
      </w:r>
    </w:p>
    <w:p w:rsidR="00CD05AA" w:rsidRDefault="00CD05AA" w:rsidP="001B5514">
      <w:pPr>
        <w:pStyle w:val="Normal1"/>
        <w:spacing w:after="0" w:line="360" w:lineRule="auto"/>
        <w:jc w:val="both"/>
        <w:rPr>
          <w:rFonts w:ascii="Arial" w:eastAsia="Arial" w:hAnsi="Arial" w:cs="Arial"/>
          <w:b/>
          <w:sz w:val="24"/>
          <w:szCs w:val="24"/>
        </w:rPr>
      </w:pPr>
    </w:p>
    <w:p w:rsidR="00CD05AA" w:rsidRDefault="00E85772" w:rsidP="001B5514">
      <w:pPr>
        <w:pStyle w:val="Normal1"/>
        <w:spacing w:after="0" w:line="360" w:lineRule="auto"/>
        <w:jc w:val="both"/>
        <w:rPr>
          <w:rFonts w:ascii="Arial" w:eastAsia="Arial" w:hAnsi="Arial" w:cs="Arial"/>
          <w:sz w:val="24"/>
          <w:szCs w:val="24"/>
        </w:rPr>
      </w:pPr>
      <w:r>
        <w:rPr>
          <w:rFonts w:ascii="Arial" w:eastAsia="Arial" w:hAnsi="Arial" w:cs="Arial"/>
          <w:b/>
          <w:sz w:val="24"/>
          <w:szCs w:val="24"/>
        </w:rPr>
        <w:t>On appeal from:</w:t>
      </w:r>
      <w:r w:rsidR="00F41B16">
        <w:rPr>
          <w:rFonts w:ascii="Arial" w:eastAsia="Arial" w:hAnsi="Arial" w:cs="Arial"/>
          <w:sz w:val="24"/>
          <w:szCs w:val="24"/>
        </w:rPr>
        <w:t xml:space="preserve"> Gauteng </w:t>
      </w:r>
      <w:r>
        <w:rPr>
          <w:rFonts w:ascii="Arial" w:eastAsia="Arial" w:hAnsi="Arial" w:cs="Arial"/>
          <w:sz w:val="24"/>
          <w:szCs w:val="24"/>
        </w:rPr>
        <w:t>Division</w:t>
      </w:r>
      <w:r w:rsidR="00EE1AB0">
        <w:rPr>
          <w:rFonts w:ascii="Arial" w:eastAsia="Arial" w:hAnsi="Arial" w:cs="Arial"/>
          <w:sz w:val="24"/>
          <w:szCs w:val="24"/>
        </w:rPr>
        <w:t xml:space="preserve"> of the High Court</w:t>
      </w:r>
      <w:r>
        <w:rPr>
          <w:rFonts w:ascii="Arial" w:eastAsia="Arial" w:hAnsi="Arial" w:cs="Arial"/>
          <w:sz w:val="24"/>
          <w:szCs w:val="24"/>
        </w:rPr>
        <w:t>, Johannesburg (M</w:t>
      </w:r>
      <w:r w:rsidR="00FA206B">
        <w:rPr>
          <w:rFonts w:ascii="Arial" w:eastAsia="Arial" w:hAnsi="Arial" w:cs="Arial"/>
          <w:sz w:val="24"/>
          <w:szCs w:val="24"/>
        </w:rPr>
        <w:t>o</w:t>
      </w:r>
      <w:r w:rsidR="003B6B35">
        <w:rPr>
          <w:rFonts w:ascii="Arial" w:eastAsia="Arial" w:hAnsi="Arial" w:cs="Arial"/>
          <w:sz w:val="24"/>
          <w:szCs w:val="24"/>
        </w:rPr>
        <w:t>kgoatlheng J and Grant</w:t>
      </w:r>
      <w:r>
        <w:rPr>
          <w:rFonts w:ascii="Arial" w:eastAsia="Arial" w:hAnsi="Arial" w:cs="Arial"/>
          <w:sz w:val="24"/>
          <w:szCs w:val="24"/>
        </w:rPr>
        <w:t xml:space="preserve"> AJ sitting as </w:t>
      </w:r>
      <w:r w:rsidR="00DC35C4">
        <w:rPr>
          <w:rFonts w:ascii="Arial" w:eastAsia="Arial" w:hAnsi="Arial" w:cs="Arial"/>
          <w:sz w:val="24"/>
          <w:szCs w:val="24"/>
        </w:rPr>
        <w:t>a</w:t>
      </w:r>
      <w:r w:rsidR="00753371">
        <w:rPr>
          <w:rFonts w:ascii="Arial" w:eastAsia="Arial" w:hAnsi="Arial" w:cs="Arial"/>
          <w:sz w:val="24"/>
          <w:szCs w:val="24"/>
        </w:rPr>
        <w:t xml:space="preserve"> </w:t>
      </w:r>
      <w:r>
        <w:rPr>
          <w:rFonts w:ascii="Arial" w:eastAsia="Arial" w:hAnsi="Arial" w:cs="Arial"/>
          <w:sz w:val="24"/>
          <w:szCs w:val="24"/>
        </w:rPr>
        <w:t>court of appeal):</w:t>
      </w:r>
    </w:p>
    <w:p w:rsidR="00611D33" w:rsidRDefault="00382402"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appellant</w:t>
      </w:r>
      <w:r w:rsidR="00611D33">
        <w:rPr>
          <w:rFonts w:ascii="Arial" w:eastAsia="Arial" w:hAnsi="Arial" w:cs="Arial"/>
          <w:color w:val="000000"/>
          <w:sz w:val="24"/>
          <w:szCs w:val="24"/>
        </w:rPr>
        <w:t>s</w:t>
      </w:r>
      <w:r>
        <w:rPr>
          <w:rFonts w:ascii="Arial" w:eastAsia="Arial" w:hAnsi="Arial" w:cs="Arial"/>
          <w:color w:val="000000"/>
          <w:sz w:val="24"/>
          <w:szCs w:val="24"/>
        </w:rPr>
        <w:t>’</w:t>
      </w:r>
      <w:r w:rsidR="00611D33">
        <w:rPr>
          <w:rFonts w:ascii="Arial" w:eastAsia="Arial" w:hAnsi="Arial" w:cs="Arial"/>
          <w:color w:val="000000"/>
          <w:sz w:val="24"/>
          <w:szCs w:val="24"/>
        </w:rPr>
        <w:t xml:space="preserve"> application for leave to appeal</w:t>
      </w:r>
      <w:r w:rsidR="00462B36">
        <w:rPr>
          <w:rFonts w:ascii="Arial" w:eastAsia="Arial" w:hAnsi="Arial" w:cs="Arial"/>
          <w:color w:val="000000"/>
          <w:sz w:val="24"/>
          <w:szCs w:val="24"/>
        </w:rPr>
        <w:t xml:space="preserve"> </w:t>
      </w:r>
      <w:r>
        <w:rPr>
          <w:rFonts w:ascii="Arial" w:eastAsia="Arial" w:hAnsi="Arial" w:cs="Arial"/>
          <w:color w:val="000000"/>
          <w:sz w:val="24"/>
          <w:szCs w:val="24"/>
        </w:rPr>
        <w:t xml:space="preserve">against the refusal of the petition on </w:t>
      </w:r>
      <w:r w:rsidR="00BB2D37">
        <w:rPr>
          <w:rFonts w:ascii="Arial" w:eastAsia="Arial" w:hAnsi="Arial" w:cs="Arial"/>
          <w:color w:val="000000"/>
          <w:sz w:val="24"/>
          <w:szCs w:val="24"/>
        </w:rPr>
        <w:t>their</w:t>
      </w:r>
      <w:r w:rsidR="00AB628D">
        <w:rPr>
          <w:rFonts w:ascii="Arial" w:eastAsia="Arial" w:hAnsi="Arial" w:cs="Arial"/>
          <w:color w:val="000000"/>
          <w:sz w:val="24"/>
          <w:szCs w:val="24"/>
        </w:rPr>
        <w:t xml:space="preserve"> </w:t>
      </w:r>
      <w:r w:rsidR="00462B36">
        <w:rPr>
          <w:rFonts w:ascii="Arial" w:eastAsia="Arial" w:hAnsi="Arial" w:cs="Arial"/>
          <w:color w:val="000000"/>
          <w:sz w:val="24"/>
          <w:szCs w:val="24"/>
        </w:rPr>
        <w:t>conviction</w:t>
      </w:r>
      <w:r w:rsidR="00611D33">
        <w:rPr>
          <w:rFonts w:ascii="Arial" w:eastAsia="Arial" w:hAnsi="Arial" w:cs="Arial"/>
          <w:color w:val="000000"/>
          <w:sz w:val="24"/>
          <w:szCs w:val="24"/>
        </w:rPr>
        <w:t xml:space="preserve"> is dis</w:t>
      </w:r>
      <w:r w:rsidR="00462B36">
        <w:rPr>
          <w:rFonts w:ascii="Arial" w:eastAsia="Arial" w:hAnsi="Arial" w:cs="Arial"/>
          <w:color w:val="000000"/>
          <w:sz w:val="24"/>
          <w:szCs w:val="24"/>
        </w:rPr>
        <w:t xml:space="preserve">missed. </w:t>
      </w:r>
    </w:p>
    <w:p w:rsidR="004D719D" w:rsidRPr="006672D9" w:rsidRDefault="004D719D" w:rsidP="004D719D">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t>___________________________________________________________________</w:t>
      </w:r>
    </w:p>
    <w:p w:rsidR="004D719D" w:rsidRPr="006672D9" w:rsidRDefault="004D719D" w:rsidP="004D719D">
      <w:pPr>
        <w:pStyle w:val="Normal1"/>
        <w:spacing w:after="0" w:line="360" w:lineRule="auto"/>
        <w:jc w:val="both"/>
        <w:rPr>
          <w:rFonts w:ascii="Arial" w:eastAsia="Arial" w:hAnsi="Arial" w:cs="Arial"/>
          <w:b/>
          <w:sz w:val="24"/>
          <w:szCs w:val="24"/>
        </w:rPr>
      </w:pPr>
    </w:p>
    <w:p w:rsidR="004D719D" w:rsidRPr="006672D9" w:rsidRDefault="004D719D" w:rsidP="004D719D">
      <w:pPr>
        <w:pStyle w:val="Normal1"/>
        <w:spacing w:after="0" w:line="360" w:lineRule="auto"/>
        <w:jc w:val="center"/>
        <w:rPr>
          <w:rFonts w:ascii="Arial" w:eastAsia="Arial" w:hAnsi="Arial" w:cs="Arial"/>
          <w:b/>
          <w:sz w:val="24"/>
          <w:szCs w:val="24"/>
        </w:rPr>
      </w:pPr>
      <w:r w:rsidRPr="006672D9">
        <w:rPr>
          <w:rFonts w:ascii="Arial" w:eastAsia="Arial" w:hAnsi="Arial" w:cs="Arial"/>
          <w:b/>
          <w:sz w:val="24"/>
          <w:szCs w:val="24"/>
        </w:rPr>
        <w:t>JUDGMENT</w:t>
      </w:r>
    </w:p>
    <w:p w:rsidR="004D719D" w:rsidRDefault="004D719D" w:rsidP="004D719D">
      <w:pPr>
        <w:pStyle w:val="Normal1"/>
        <w:spacing w:after="0" w:line="360" w:lineRule="auto"/>
        <w:jc w:val="both"/>
        <w:rPr>
          <w:rFonts w:ascii="Arial" w:eastAsia="Arial" w:hAnsi="Arial" w:cs="Arial"/>
          <w:sz w:val="24"/>
          <w:szCs w:val="24"/>
        </w:rPr>
      </w:pPr>
      <w:r w:rsidRPr="006672D9">
        <w:rPr>
          <w:rFonts w:ascii="Arial" w:eastAsia="Arial" w:hAnsi="Arial" w:cs="Arial"/>
          <w:sz w:val="24"/>
          <w:szCs w:val="24"/>
        </w:rPr>
        <w:t>___________________________________________________________________</w:t>
      </w:r>
    </w:p>
    <w:p w:rsidR="004D719D" w:rsidRPr="006672D9" w:rsidRDefault="004D719D" w:rsidP="004D719D">
      <w:pPr>
        <w:pStyle w:val="Normal1"/>
        <w:spacing w:after="0" w:line="360" w:lineRule="auto"/>
        <w:jc w:val="both"/>
        <w:rPr>
          <w:rFonts w:ascii="Arial" w:eastAsia="Arial" w:hAnsi="Arial" w:cs="Arial"/>
          <w:sz w:val="24"/>
          <w:szCs w:val="24"/>
        </w:rPr>
      </w:pPr>
    </w:p>
    <w:p w:rsidR="00CD05AA" w:rsidRPr="00382402" w:rsidRDefault="003B6B35" w:rsidP="001B5514">
      <w:pPr>
        <w:pStyle w:val="Normal1"/>
        <w:spacing w:after="240" w:line="360" w:lineRule="auto"/>
        <w:jc w:val="both"/>
        <w:rPr>
          <w:rFonts w:ascii="Arial" w:eastAsia="Arial" w:hAnsi="Arial" w:cs="Arial"/>
          <w:sz w:val="24"/>
          <w:szCs w:val="24"/>
        </w:rPr>
      </w:pPr>
      <w:r>
        <w:rPr>
          <w:rFonts w:ascii="Arial" w:eastAsia="Arial" w:hAnsi="Arial" w:cs="Arial"/>
          <w:b/>
          <w:sz w:val="24"/>
          <w:szCs w:val="24"/>
        </w:rPr>
        <w:t xml:space="preserve">Hughes JA </w:t>
      </w:r>
      <w:r w:rsidRPr="00382402">
        <w:rPr>
          <w:rFonts w:ascii="Arial" w:eastAsia="Arial" w:hAnsi="Arial" w:cs="Arial"/>
          <w:b/>
          <w:sz w:val="24"/>
          <w:szCs w:val="24"/>
        </w:rPr>
        <w:t>(</w:t>
      </w:r>
      <w:r w:rsidR="00382402" w:rsidRPr="00382402">
        <w:rPr>
          <w:rFonts w:ascii="Arial" w:eastAsia="Arial" w:hAnsi="Arial" w:cs="Arial"/>
          <w:b/>
          <w:sz w:val="24"/>
          <w:szCs w:val="24"/>
        </w:rPr>
        <w:t>Mokgohloa, Nicholls and Mothle JJA and Baartman AJA</w:t>
      </w:r>
      <w:r w:rsidR="00382402" w:rsidRPr="00382402">
        <w:rPr>
          <w:rFonts w:ascii="Arial" w:eastAsia="Arial" w:hAnsi="Arial" w:cs="Arial"/>
          <w:sz w:val="24"/>
          <w:szCs w:val="24"/>
        </w:rPr>
        <w:t xml:space="preserve"> </w:t>
      </w:r>
      <w:r w:rsidR="00E85772" w:rsidRPr="00382402">
        <w:rPr>
          <w:rFonts w:ascii="Arial" w:eastAsia="Arial" w:hAnsi="Arial" w:cs="Arial"/>
          <w:b/>
          <w:sz w:val="24"/>
          <w:szCs w:val="24"/>
        </w:rPr>
        <w:t>concurring)</w:t>
      </w:r>
      <w:r w:rsidR="00DC35C4" w:rsidRPr="00382402">
        <w:rPr>
          <w:rFonts w:ascii="Arial" w:eastAsia="Arial" w:hAnsi="Arial" w:cs="Arial"/>
          <w:b/>
          <w:sz w:val="24"/>
          <w:szCs w:val="24"/>
        </w:rPr>
        <w:t>:</w:t>
      </w:r>
    </w:p>
    <w:p w:rsidR="00662DB1" w:rsidRDefault="00662DB1"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5C25CC"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r>
      <w:r w:rsidR="00E85772" w:rsidRPr="005C25CC">
        <w:rPr>
          <w:rFonts w:ascii="Arial" w:eastAsia="Arial" w:hAnsi="Arial" w:cs="Arial"/>
          <w:color w:val="000000"/>
          <w:sz w:val="24"/>
          <w:szCs w:val="24"/>
        </w:rPr>
        <w:t xml:space="preserve">The </w:t>
      </w:r>
      <w:r w:rsidR="005C25CC" w:rsidRPr="005C25CC">
        <w:rPr>
          <w:rFonts w:ascii="Arial" w:eastAsia="Arial" w:hAnsi="Arial" w:cs="Arial"/>
          <w:color w:val="000000"/>
          <w:sz w:val="24"/>
          <w:szCs w:val="24"/>
        </w:rPr>
        <w:t>appellant and his co-accused</w:t>
      </w:r>
      <w:r w:rsidR="00A73864">
        <w:rPr>
          <w:rFonts w:ascii="Arial" w:eastAsia="Arial" w:hAnsi="Arial" w:cs="Arial"/>
          <w:color w:val="000000"/>
          <w:sz w:val="24"/>
          <w:szCs w:val="24"/>
        </w:rPr>
        <w:t xml:space="preserve"> were convicted</w:t>
      </w:r>
      <w:r w:rsidR="005C25CC" w:rsidRPr="005C25CC">
        <w:rPr>
          <w:rFonts w:ascii="Arial" w:eastAsia="Arial" w:hAnsi="Arial" w:cs="Arial"/>
          <w:color w:val="000000"/>
          <w:sz w:val="24"/>
          <w:szCs w:val="24"/>
        </w:rPr>
        <w:t xml:space="preserve"> in the Region</w:t>
      </w:r>
      <w:r w:rsidR="00600674">
        <w:rPr>
          <w:rFonts w:ascii="Arial" w:eastAsia="Arial" w:hAnsi="Arial" w:cs="Arial"/>
          <w:color w:val="000000"/>
          <w:sz w:val="24"/>
          <w:szCs w:val="24"/>
        </w:rPr>
        <w:t>al Court, Johannesburg on a coun</w:t>
      </w:r>
      <w:r w:rsidR="005C25CC" w:rsidRPr="005C25CC">
        <w:rPr>
          <w:rFonts w:ascii="Arial" w:eastAsia="Arial" w:hAnsi="Arial" w:cs="Arial"/>
          <w:color w:val="000000"/>
          <w:sz w:val="24"/>
          <w:szCs w:val="24"/>
        </w:rPr>
        <w:t>t of robbery with aggravating circumstances read with s</w:t>
      </w:r>
      <w:r w:rsidR="006C3A6F">
        <w:rPr>
          <w:rFonts w:ascii="Arial" w:eastAsia="Arial" w:hAnsi="Arial" w:cs="Arial"/>
          <w:color w:val="000000"/>
          <w:sz w:val="24"/>
          <w:szCs w:val="24"/>
        </w:rPr>
        <w:t xml:space="preserve"> </w:t>
      </w:r>
      <w:r w:rsidR="005C25CC" w:rsidRPr="005C25CC">
        <w:rPr>
          <w:rFonts w:ascii="Arial" w:eastAsia="Arial" w:hAnsi="Arial" w:cs="Arial"/>
          <w:color w:val="000000"/>
          <w:sz w:val="24"/>
          <w:szCs w:val="24"/>
        </w:rPr>
        <w:t>51 of the Criminal Law Amendment Act 105 of 1997 (the Act</w:t>
      </w:r>
      <w:r w:rsidR="005C25CC">
        <w:rPr>
          <w:rFonts w:ascii="Arial" w:eastAsia="Arial" w:hAnsi="Arial" w:cs="Arial"/>
          <w:color w:val="000000"/>
          <w:sz w:val="24"/>
          <w:szCs w:val="24"/>
        </w:rPr>
        <w:t xml:space="preserve">). </w:t>
      </w:r>
      <w:r w:rsidR="006C3A6F">
        <w:rPr>
          <w:rFonts w:ascii="Arial" w:eastAsia="Arial" w:hAnsi="Arial" w:cs="Arial"/>
          <w:color w:val="000000"/>
          <w:sz w:val="24"/>
          <w:szCs w:val="24"/>
        </w:rPr>
        <w:t xml:space="preserve">On 6 November 2017 </w:t>
      </w:r>
      <w:r w:rsidR="00A73864">
        <w:rPr>
          <w:rFonts w:ascii="Arial" w:eastAsia="Arial" w:hAnsi="Arial" w:cs="Arial"/>
          <w:color w:val="000000"/>
          <w:sz w:val="24"/>
          <w:szCs w:val="24"/>
        </w:rPr>
        <w:t>t</w:t>
      </w:r>
      <w:r w:rsidR="005C25CC">
        <w:rPr>
          <w:rFonts w:ascii="Arial" w:eastAsia="Arial" w:hAnsi="Arial" w:cs="Arial"/>
          <w:color w:val="000000"/>
          <w:sz w:val="24"/>
          <w:szCs w:val="24"/>
        </w:rPr>
        <w:t>he first appellant was sentenced to 12 years</w:t>
      </w:r>
      <w:r w:rsidR="008C115C">
        <w:rPr>
          <w:rFonts w:ascii="Arial" w:eastAsia="Arial" w:hAnsi="Arial" w:cs="Arial"/>
          <w:color w:val="000000"/>
          <w:sz w:val="24"/>
          <w:szCs w:val="24"/>
        </w:rPr>
        <w:t>’</w:t>
      </w:r>
      <w:r w:rsidR="005C25CC">
        <w:rPr>
          <w:rFonts w:ascii="Arial" w:eastAsia="Arial" w:hAnsi="Arial" w:cs="Arial"/>
          <w:color w:val="000000"/>
          <w:sz w:val="24"/>
          <w:szCs w:val="24"/>
        </w:rPr>
        <w:t xml:space="preserve"> imprisonment and the second appellant was sentenced to 15 years</w:t>
      </w:r>
      <w:r w:rsidR="008C115C">
        <w:rPr>
          <w:rFonts w:ascii="Arial" w:eastAsia="Arial" w:hAnsi="Arial" w:cs="Arial"/>
          <w:color w:val="000000"/>
          <w:sz w:val="24"/>
          <w:szCs w:val="24"/>
        </w:rPr>
        <w:t>’</w:t>
      </w:r>
      <w:r w:rsidR="005C25CC">
        <w:rPr>
          <w:rFonts w:ascii="Arial" w:eastAsia="Arial" w:hAnsi="Arial" w:cs="Arial"/>
          <w:color w:val="000000"/>
          <w:sz w:val="24"/>
          <w:szCs w:val="24"/>
        </w:rPr>
        <w:t xml:space="preserve"> imprisonment. The magistrate</w:t>
      </w:r>
      <w:r w:rsidR="006C3A6F">
        <w:rPr>
          <w:rFonts w:ascii="Arial" w:eastAsia="Arial" w:hAnsi="Arial" w:cs="Arial"/>
          <w:color w:val="000000"/>
          <w:sz w:val="24"/>
          <w:szCs w:val="24"/>
        </w:rPr>
        <w:t>, on 21 June 2018,</w:t>
      </w:r>
      <w:r w:rsidR="005C25CC">
        <w:rPr>
          <w:rFonts w:ascii="Arial" w:eastAsia="Arial" w:hAnsi="Arial" w:cs="Arial"/>
          <w:color w:val="000000"/>
          <w:sz w:val="24"/>
          <w:szCs w:val="24"/>
        </w:rPr>
        <w:t xml:space="preserve"> refused the appellants leave to appeal against their conviction but granted leave to appeal in respect of sentence.</w:t>
      </w:r>
    </w:p>
    <w:p w:rsidR="005C25CC" w:rsidRDefault="005C25CC"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5C25CC"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r>
      <w:r w:rsidR="006D07B0">
        <w:rPr>
          <w:rFonts w:ascii="Arial" w:eastAsia="Arial" w:hAnsi="Arial" w:cs="Arial"/>
          <w:color w:val="000000"/>
          <w:sz w:val="24"/>
          <w:szCs w:val="24"/>
        </w:rPr>
        <w:t>Aggrieved by the outcome of their application for leave to appeal,</w:t>
      </w:r>
      <w:r w:rsidR="006D07B0" w:rsidRPr="006D07B0">
        <w:rPr>
          <w:rFonts w:ascii="Arial" w:eastAsia="Arial" w:hAnsi="Arial" w:cs="Arial"/>
          <w:color w:val="000000"/>
          <w:sz w:val="24"/>
          <w:szCs w:val="24"/>
        </w:rPr>
        <w:t xml:space="preserve"> </w:t>
      </w:r>
      <w:r w:rsidR="006D07B0">
        <w:rPr>
          <w:rFonts w:ascii="Arial" w:eastAsia="Arial" w:hAnsi="Arial" w:cs="Arial"/>
          <w:color w:val="000000"/>
          <w:sz w:val="24"/>
          <w:szCs w:val="24"/>
        </w:rPr>
        <w:t>the appellants lodged a petition for leave to appeal in respect of their conviction</w:t>
      </w:r>
      <w:r w:rsidR="002752C6" w:rsidRPr="002752C6">
        <w:rPr>
          <w:rFonts w:ascii="Arial" w:eastAsia="Arial" w:hAnsi="Arial" w:cs="Arial"/>
          <w:color w:val="000000"/>
          <w:sz w:val="24"/>
          <w:szCs w:val="24"/>
        </w:rPr>
        <w:t xml:space="preserve"> </w:t>
      </w:r>
      <w:r w:rsidR="002752C6">
        <w:rPr>
          <w:rFonts w:ascii="Arial" w:eastAsia="Arial" w:hAnsi="Arial" w:cs="Arial"/>
          <w:color w:val="000000"/>
          <w:sz w:val="24"/>
          <w:szCs w:val="24"/>
        </w:rPr>
        <w:t xml:space="preserve">in terms of </w:t>
      </w:r>
      <w:r w:rsidR="002752C6">
        <w:rPr>
          <w:rFonts w:ascii="Arial" w:eastAsia="Arial" w:hAnsi="Arial" w:cs="Arial"/>
          <w:color w:val="000000"/>
          <w:sz w:val="24"/>
          <w:szCs w:val="24"/>
        </w:rPr>
        <w:br/>
        <w:t>s 309C of the Criminal Procedure Act 51 of 1977 (the CPA)</w:t>
      </w:r>
      <w:r w:rsidR="006D07B0">
        <w:rPr>
          <w:rFonts w:ascii="Arial" w:eastAsia="Arial" w:hAnsi="Arial" w:cs="Arial"/>
          <w:color w:val="000000"/>
          <w:sz w:val="24"/>
          <w:szCs w:val="24"/>
        </w:rPr>
        <w:t xml:space="preserve">, in the Gauteng Division of the </w:t>
      </w:r>
      <w:r w:rsidR="006C7F72">
        <w:rPr>
          <w:rFonts w:ascii="Arial" w:eastAsia="Arial" w:hAnsi="Arial" w:cs="Arial"/>
          <w:color w:val="000000"/>
          <w:sz w:val="24"/>
          <w:szCs w:val="24"/>
        </w:rPr>
        <w:t>H</w:t>
      </w:r>
      <w:r w:rsidR="006D07B0">
        <w:rPr>
          <w:rFonts w:ascii="Arial" w:eastAsia="Arial" w:hAnsi="Arial" w:cs="Arial"/>
          <w:color w:val="000000"/>
          <w:sz w:val="24"/>
          <w:szCs w:val="24"/>
        </w:rPr>
        <w:t xml:space="preserve">igh </w:t>
      </w:r>
      <w:r w:rsidR="006C7F72">
        <w:rPr>
          <w:rFonts w:ascii="Arial" w:eastAsia="Arial" w:hAnsi="Arial" w:cs="Arial"/>
          <w:color w:val="000000"/>
          <w:sz w:val="24"/>
          <w:szCs w:val="24"/>
        </w:rPr>
        <w:t>C</w:t>
      </w:r>
      <w:r w:rsidR="006D07B0">
        <w:rPr>
          <w:rFonts w:ascii="Arial" w:eastAsia="Arial" w:hAnsi="Arial" w:cs="Arial"/>
          <w:color w:val="000000"/>
          <w:sz w:val="24"/>
          <w:szCs w:val="24"/>
        </w:rPr>
        <w:t>ourt, Johannesburg</w:t>
      </w:r>
      <w:r w:rsidR="006C7F72">
        <w:rPr>
          <w:rFonts w:ascii="Arial" w:eastAsia="Arial" w:hAnsi="Arial" w:cs="Arial"/>
          <w:color w:val="000000"/>
          <w:sz w:val="24"/>
          <w:szCs w:val="24"/>
        </w:rPr>
        <w:t xml:space="preserve"> (the high court)</w:t>
      </w:r>
      <w:r w:rsidR="006D07B0">
        <w:rPr>
          <w:rFonts w:ascii="Arial" w:eastAsia="Arial" w:hAnsi="Arial" w:cs="Arial"/>
          <w:color w:val="000000"/>
          <w:sz w:val="24"/>
          <w:szCs w:val="24"/>
        </w:rPr>
        <w:t>. This petition was dismissed by the full bench of that division (</w:t>
      </w:r>
      <w:r w:rsidR="006D07B0">
        <w:rPr>
          <w:rFonts w:ascii="Arial" w:eastAsia="Arial" w:hAnsi="Arial" w:cs="Arial"/>
          <w:sz w:val="24"/>
          <w:szCs w:val="24"/>
        </w:rPr>
        <w:t xml:space="preserve">Mokgoatlheng J and Grant AJ). </w:t>
      </w:r>
      <w:r w:rsidR="00262C4A">
        <w:rPr>
          <w:rFonts w:ascii="Arial" w:eastAsia="Arial" w:hAnsi="Arial" w:cs="Arial"/>
          <w:sz w:val="24"/>
          <w:szCs w:val="24"/>
        </w:rPr>
        <w:t>It bear</w:t>
      </w:r>
      <w:r w:rsidR="006C3A6F">
        <w:rPr>
          <w:rFonts w:ascii="Arial" w:eastAsia="Arial" w:hAnsi="Arial" w:cs="Arial"/>
          <w:sz w:val="24"/>
          <w:szCs w:val="24"/>
        </w:rPr>
        <w:t>s</w:t>
      </w:r>
      <w:r w:rsidR="00262C4A">
        <w:rPr>
          <w:rFonts w:ascii="Arial" w:eastAsia="Arial" w:hAnsi="Arial" w:cs="Arial"/>
          <w:sz w:val="24"/>
          <w:szCs w:val="24"/>
        </w:rPr>
        <w:t xml:space="preserve"> mention</w:t>
      </w:r>
      <w:r w:rsidR="002752C6">
        <w:rPr>
          <w:rFonts w:ascii="Arial" w:eastAsia="Arial" w:hAnsi="Arial" w:cs="Arial"/>
          <w:sz w:val="24"/>
          <w:szCs w:val="24"/>
        </w:rPr>
        <w:t>ing</w:t>
      </w:r>
      <w:r w:rsidR="00262C4A">
        <w:rPr>
          <w:rFonts w:ascii="Arial" w:eastAsia="Arial" w:hAnsi="Arial" w:cs="Arial"/>
          <w:sz w:val="24"/>
          <w:szCs w:val="24"/>
        </w:rPr>
        <w:t xml:space="preserve"> that </w:t>
      </w:r>
      <w:r w:rsidR="006C3A6F">
        <w:rPr>
          <w:rFonts w:ascii="Arial" w:eastAsia="Arial" w:hAnsi="Arial" w:cs="Arial"/>
          <w:sz w:val="24"/>
          <w:szCs w:val="24"/>
        </w:rPr>
        <w:t xml:space="preserve">on 21 June 2020 </w:t>
      </w:r>
      <w:r w:rsidR="00262C4A">
        <w:rPr>
          <w:rFonts w:ascii="Arial" w:eastAsia="Arial" w:hAnsi="Arial" w:cs="Arial"/>
          <w:sz w:val="24"/>
          <w:szCs w:val="24"/>
        </w:rPr>
        <w:t>the appeal against sentence was heard by the high court and dismissed</w:t>
      </w:r>
      <w:r w:rsidR="006C3A6F">
        <w:rPr>
          <w:rFonts w:ascii="Arial" w:eastAsia="Arial" w:hAnsi="Arial" w:cs="Arial"/>
          <w:sz w:val="24"/>
          <w:szCs w:val="24"/>
        </w:rPr>
        <w:t>.</w:t>
      </w:r>
    </w:p>
    <w:p w:rsidR="006D07B0" w:rsidRDefault="006D07B0" w:rsidP="001B5514">
      <w:pPr>
        <w:pStyle w:val="ListParagraph"/>
        <w:spacing w:line="360" w:lineRule="auto"/>
        <w:contextualSpacing w:val="0"/>
        <w:jc w:val="both"/>
        <w:rPr>
          <w:rFonts w:ascii="Arial" w:eastAsia="Arial" w:hAnsi="Arial" w:cs="Arial"/>
          <w:color w:val="000000"/>
          <w:sz w:val="24"/>
          <w:szCs w:val="24"/>
        </w:rPr>
      </w:pPr>
    </w:p>
    <w:p w:rsidR="00262C4A"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[3]</w:t>
      </w:r>
      <w:r>
        <w:rPr>
          <w:rFonts w:ascii="Arial" w:eastAsia="Arial" w:hAnsi="Arial" w:cs="Arial"/>
          <w:color w:val="000000"/>
          <w:sz w:val="24"/>
          <w:szCs w:val="24"/>
        </w:rPr>
        <w:tab/>
      </w:r>
      <w:r w:rsidR="00262C4A">
        <w:rPr>
          <w:rFonts w:ascii="Arial" w:eastAsia="Arial" w:hAnsi="Arial" w:cs="Arial"/>
          <w:color w:val="000000"/>
          <w:sz w:val="24"/>
          <w:szCs w:val="24"/>
        </w:rPr>
        <w:t>In terms of s</w:t>
      </w:r>
      <w:r w:rsidR="008C115C">
        <w:rPr>
          <w:rFonts w:ascii="Arial" w:eastAsia="Arial" w:hAnsi="Arial" w:cs="Arial"/>
          <w:color w:val="000000"/>
          <w:sz w:val="24"/>
          <w:szCs w:val="24"/>
        </w:rPr>
        <w:t xml:space="preserve"> </w:t>
      </w:r>
      <w:r w:rsidR="00262C4A">
        <w:rPr>
          <w:rFonts w:ascii="Arial" w:eastAsia="Arial" w:hAnsi="Arial" w:cs="Arial"/>
          <w:color w:val="000000"/>
          <w:sz w:val="24"/>
          <w:szCs w:val="24"/>
        </w:rPr>
        <w:t>16(1)(</w:t>
      </w:r>
      <w:r w:rsidR="00262C4A" w:rsidRPr="00F749D9">
        <w:rPr>
          <w:rFonts w:ascii="Arial" w:eastAsia="Arial" w:hAnsi="Arial" w:cs="Arial"/>
          <w:i/>
          <w:color w:val="000000"/>
          <w:sz w:val="24"/>
          <w:szCs w:val="24"/>
        </w:rPr>
        <w:t>b</w:t>
      </w:r>
      <w:r w:rsidR="00262C4A">
        <w:rPr>
          <w:rFonts w:ascii="Arial" w:eastAsia="Arial" w:hAnsi="Arial" w:cs="Arial"/>
          <w:color w:val="000000"/>
          <w:sz w:val="24"/>
          <w:szCs w:val="24"/>
        </w:rPr>
        <w:t>) of the Superior Courts Act 10 of 2013</w:t>
      </w:r>
      <w:r w:rsidR="008C115C">
        <w:rPr>
          <w:rFonts w:ascii="Arial" w:eastAsia="Arial" w:hAnsi="Arial" w:cs="Arial"/>
          <w:color w:val="000000"/>
          <w:sz w:val="24"/>
          <w:szCs w:val="24"/>
        </w:rPr>
        <w:t xml:space="preserve"> (Superior Courts Act)</w:t>
      </w:r>
      <w:r w:rsidR="00262C4A">
        <w:rPr>
          <w:rFonts w:ascii="Arial" w:eastAsia="Arial" w:hAnsi="Arial" w:cs="Arial"/>
          <w:color w:val="000000"/>
          <w:sz w:val="24"/>
          <w:szCs w:val="24"/>
        </w:rPr>
        <w:t xml:space="preserve">, the appellants lodged applications for special leave against the dismissal of their petitions seeking leave to appeal against their conviction. </w:t>
      </w:r>
      <w:r w:rsidR="006C3A6F">
        <w:rPr>
          <w:rFonts w:ascii="Arial" w:eastAsia="Arial" w:hAnsi="Arial" w:cs="Arial"/>
          <w:color w:val="000000"/>
          <w:sz w:val="24"/>
          <w:szCs w:val="24"/>
        </w:rPr>
        <w:t xml:space="preserve">On 13 March 2021 the first appellant was granted special leave to appeal against the dismissal of his petition seeking leave to appeal against his conviction. </w:t>
      </w:r>
      <w:r w:rsidR="00365129">
        <w:rPr>
          <w:rFonts w:ascii="Arial" w:eastAsia="Arial" w:hAnsi="Arial" w:cs="Arial"/>
          <w:color w:val="000000"/>
          <w:sz w:val="24"/>
          <w:szCs w:val="24"/>
        </w:rPr>
        <w:t>The</w:t>
      </w:r>
      <w:r w:rsidR="006C3A6F">
        <w:rPr>
          <w:rFonts w:ascii="Arial" w:eastAsia="Arial" w:hAnsi="Arial" w:cs="Arial"/>
          <w:color w:val="000000"/>
          <w:sz w:val="24"/>
          <w:szCs w:val="24"/>
        </w:rPr>
        <w:t xml:space="preserve"> second appellant was granted special leave to appeal against </w:t>
      </w:r>
      <w:r w:rsidR="00365129">
        <w:rPr>
          <w:rFonts w:ascii="Arial" w:eastAsia="Arial" w:hAnsi="Arial" w:cs="Arial"/>
          <w:color w:val="000000"/>
          <w:sz w:val="24"/>
          <w:szCs w:val="24"/>
        </w:rPr>
        <w:t xml:space="preserve">the dismissal of his petition of </w:t>
      </w:r>
      <w:r w:rsidR="006C3A6F">
        <w:rPr>
          <w:rFonts w:ascii="Arial" w:eastAsia="Arial" w:hAnsi="Arial" w:cs="Arial"/>
          <w:color w:val="000000"/>
          <w:sz w:val="24"/>
          <w:szCs w:val="24"/>
        </w:rPr>
        <w:t>his conviction on 28 September 2022.</w:t>
      </w:r>
    </w:p>
    <w:p w:rsidR="00262C4A" w:rsidRDefault="00262C4A" w:rsidP="001B5514">
      <w:pPr>
        <w:pStyle w:val="ListParagraph"/>
        <w:spacing w:line="360" w:lineRule="auto"/>
        <w:contextualSpacing w:val="0"/>
        <w:jc w:val="both"/>
        <w:rPr>
          <w:rFonts w:ascii="Arial" w:eastAsia="Arial" w:hAnsi="Arial" w:cs="Arial"/>
          <w:color w:val="000000"/>
          <w:sz w:val="24"/>
          <w:szCs w:val="24"/>
        </w:rPr>
      </w:pPr>
    </w:p>
    <w:p w:rsidR="00C4239C"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r>
      <w:r w:rsidR="00094FBF">
        <w:rPr>
          <w:rFonts w:ascii="Arial" w:eastAsia="Arial" w:hAnsi="Arial" w:cs="Arial"/>
          <w:color w:val="000000"/>
          <w:sz w:val="24"/>
          <w:szCs w:val="24"/>
        </w:rPr>
        <w:t>Appeals from the magistrate court under s 309 must be heard by the high court in terms of s 309(1)(</w:t>
      </w:r>
      <w:r w:rsidR="00094FBF" w:rsidRPr="00094FBF">
        <w:rPr>
          <w:rFonts w:ascii="Arial" w:eastAsia="Arial" w:hAnsi="Arial" w:cs="Arial"/>
          <w:i/>
          <w:color w:val="000000"/>
          <w:sz w:val="24"/>
          <w:szCs w:val="24"/>
        </w:rPr>
        <w:t>a</w:t>
      </w:r>
      <w:r w:rsidR="00094FBF">
        <w:rPr>
          <w:rFonts w:ascii="Arial" w:eastAsia="Arial" w:hAnsi="Arial" w:cs="Arial"/>
          <w:color w:val="000000"/>
          <w:sz w:val="24"/>
          <w:szCs w:val="24"/>
        </w:rPr>
        <w:t>) of the CPA</w:t>
      </w:r>
      <w:r w:rsidR="00CC1992">
        <w:rPr>
          <w:rFonts w:ascii="Arial" w:eastAsia="Arial" w:hAnsi="Arial" w:cs="Arial"/>
          <w:color w:val="000000"/>
          <w:sz w:val="24"/>
          <w:szCs w:val="24"/>
        </w:rPr>
        <w:t>.</w:t>
      </w:r>
      <w:r w:rsidR="00CC1992">
        <w:rPr>
          <w:rStyle w:val="FootnoteReference"/>
          <w:rFonts w:ascii="Arial" w:eastAsia="Arial" w:hAnsi="Arial" w:cs="Arial"/>
          <w:color w:val="000000"/>
          <w:sz w:val="24"/>
          <w:szCs w:val="24"/>
        </w:rPr>
        <w:footnoteReference w:id="1"/>
      </w:r>
      <w:r w:rsidR="00094FBF">
        <w:rPr>
          <w:rFonts w:ascii="Arial" w:eastAsia="Arial" w:hAnsi="Arial" w:cs="Arial"/>
          <w:color w:val="000000"/>
          <w:sz w:val="24"/>
          <w:szCs w:val="24"/>
        </w:rPr>
        <w:t xml:space="preserve"> In law</w:t>
      </w:r>
      <w:r w:rsidR="006C7F72">
        <w:rPr>
          <w:rFonts w:ascii="Arial" w:eastAsia="Arial" w:hAnsi="Arial" w:cs="Arial"/>
          <w:color w:val="000000"/>
          <w:sz w:val="24"/>
          <w:szCs w:val="24"/>
        </w:rPr>
        <w:t>,</w:t>
      </w:r>
      <w:r w:rsidR="00094FBF">
        <w:rPr>
          <w:rFonts w:ascii="Arial" w:eastAsia="Arial" w:hAnsi="Arial" w:cs="Arial"/>
          <w:color w:val="000000"/>
          <w:sz w:val="24"/>
          <w:szCs w:val="24"/>
        </w:rPr>
        <w:t xml:space="preserve"> no provision exist</w:t>
      </w:r>
      <w:r w:rsidR="006C7F72">
        <w:rPr>
          <w:rFonts w:ascii="Arial" w:eastAsia="Arial" w:hAnsi="Arial" w:cs="Arial"/>
          <w:color w:val="000000"/>
          <w:sz w:val="24"/>
          <w:szCs w:val="24"/>
        </w:rPr>
        <w:t>s</w:t>
      </w:r>
      <w:r w:rsidR="00094FBF">
        <w:rPr>
          <w:rFonts w:ascii="Arial" w:eastAsia="Arial" w:hAnsi="Arial" w:cs="Arial"/>
          <w:color w:val="000000"/>
          <w:sz w:val="24"/>
          <w:szCs w:val="24"/>
        </w:rPr>
        <w:t xml:space="preserve"> for this Court to hear an appeal on the merits directly </w:t>
      </w:r>
      <w:r w:rsidR="004A0143">
        <w:rPr>
          <w:rFonts w:ascii="Arial" w:eastAsia="Arial" w:hAnsi="Arial" w:cs="Arial"/>
          <w:color w:val="000000"/>
          <w:sz w:val="24"/>
          <w:szCs w:val="24"/>
        </w:rPr>
        <w:t>from the magistrates’ court. The issue of this Court’s jurisdiction to entertain the appeal on the merits under the circumstances of this case was</w:t>
      </w:r>
      <w:r w:rsidR="00652B0B">
        <w:rPr>
          <w:rFonts w:ascii="Arial" w:eastAsia="Arial" w:hAnsi="Arial" w:cs="Arial"/>
          <w:color w:val="000000"/>
          <w:sz w:val="24"/>
          <w:szCs w:val="24"/>
        </w:rPr>
        <w:t xml:space="preserve"> succinctly dealt with by this C</w:t>
      </w:r>
      <w:r w:rsidR="004A0143">
        <w:rPr>
          <w:rFonts w:ascii="Arial" w:eastAsia="Arial" w:hAnsi="Arial" w:cs="Arial"/>
          <w:color w:val="000000"/>
          <w:sz w:val="24"/>
          <w:szCs w:val="24"/>
        </w:rPr>
        <w:t xml:space="preserve">ourt in a long line of cases, commencing </w:t>
      </w:r>
      <w:r w:rsidR="00A73864">
        <w:rPr>
          <w:rFonts w:ascii="Arial" w:eastAsia="Arial" w:hAnsi="Arial" w:cs="Arial"/>
          <w:color w:val="000000"/>
          <w:sz w:val="24"/>
          <w:szCs w:val="24"/>
        </w:rPr>
        <w:t>with</w:t>
      </w:r>
      <w:r w:rsidR="004A0143">
        <w:rPr>
          <w:rFonts w:ascii="Arial" w:eastAsia="Arial" w:hAnsi="Arial" w:cs="Arial"/>
          <w:color w:val="000000"/>
          <w:sz w:val="24"/>
          <w:szCs w:val="24"/>
        </w:rPr>
        <w:t xml:space="preserve"> </w:t>
      </w:r>
      <w:r w:rsidR="004A0143" w:rsidRPr="004A0143">
        <w:rPr>
          <w:rFonts w:ascii="Arial" w:eastAsia="Arial" w:hAnsi="Arial" w:cs="Arial"/>
          <w:i/>
          <w:color w:val="000000"/>
          <w:sz w:val="24"/>
          <w:szCs w:val="24"/>
        </w:rPr>
        <w:t>S v</w:t>
      </w:r>
      <w:r w:rsidR="004A0143">
        <w:rPr>
          <w:rFonts w:ascii="Arial" w:eastAsia="Arial" w:hAnsi="Arial" w:cs="Arial"/>
          <w:color w:val="000000"/>
          <w:sz w:val="24"/>
          <w:szCs w:val="24"/>
        </w:rPr>
        <w:t xml:space="preserve"> </w:t>
      </w:r>
      <w:r w:rsidR="004A0143" w:rsidRPr="004A0143">
        <w:rPr>
          <w:rFonts w:ascii="Arial" w:eastAsia="Arial" w:hAnsi="Arial" w:cs="Arial"/>
          <w:i/>
          <w:color w:val="000000"/>
          <w:sz w:val="24"/>
          <w:szCs w:val="24"/>
        </w:rPr>
        <w:t xml:space="preserve">Khoasasa </w:t>
      </w:r>
      <w:r w:rsidR="004A0143">
        <w:rPr>
          <w:rFonts w:ascii="Arial" w:eastAsia="Arial" w:hAnsi="Arial" w:cs="Arial"/>
          <w:color w:val="000000"/>
          <w:sz w:val="24"/>
          <w:szCs w:val="24"/>
        </w:rPr>
        <w:t xml:space="preserve">[2002] ZASCA 113; 2003 (1) SACR 123 (SCA); </w:t>
      </w:r>
      <w:r w:rsidR="004A0143" w:rsidRPr="004A0143">
        <w:rPr>
          <w:rFonts w:ascii="Arial" w:eastAsia="Arial" w:hAnsi="Arial" w:cs="Arial"/>
          <w:i/>
          <w:color w:val="000000"/>
          <w:sz w:val="24"/>
          <w:szCs w:val="24"/>
        </w:rPr>
        <w:t>Dipholo v S</w:t>
      </w:r>
      <w:r w:rsidR="004A0143">
        <w:rPr>
          <w:rFonts w:ascii="Arial" w:eastAsia="Arial" w:hAnsi="Arial" w:cs="Arial"/>
          <w:color w:val="000000"/>
          <w:sz w:val="24"/>
          <w:szCs w:val="24"/>
        </w:rPr>
        <w:t xml:space="preserve"> </w:t>
      </w:r>
      <w:r w:rsidR="00A177CA" w:rsidRPr="00A177CA">
        <w:rPr>
          <w:rFonts w:ascii="Arial" w:eastAsia="Arial" w:hAnsi="Arial" w:cs="Arial"/>
          <w:color w:val="000000"/>
          <w:sz w:val="24"/>
          <w:szCs w:val="24"/>
        </w:rPr>
        <w:t xml:space="preserve">(094/2015) </w:t>
      </w:r>
      <w:r w:rsidR="004A0143">
        <w:rPr>
          <w:rFonts w:ascii="Arial" w:eastAsia="Arial" w:hAnsi="Arial" w:cs="Arial"/>
          <w:color w:val="000000"/>
          <w:sz w:val="24"/>
          <w:szCs w:val="24"/>
        </w:rPr>
        <w:t>[2015] ZASCA 120</w:t>
      </w:r>
      <w:r w:rsidR="00A177CA">
        <w:rPr>
          <w:rFonts w:ascii="Arial" w:eastAsia="Arial" w:hAnsi="Arial" w:cs="Arial"/>
          <w:color w:val="000000"/>
          <w:sz w:val="24"/>
          <w:szCs w:val="24"/>
        </w:rPr>
        <w:t xml:space="preserve"> </w:t>
      </w:r>
      <w:r w:rsidR="00A177CA" w:rsidRPr="00A177CA">
        <w:rPr>
          <w:rFonts w:ascii="Arial" w:eastAsia="Arial" w:hAnsi="Arial" w:cs="Arial"/>
          <w:color w:val="000000"/>
          <w:sz w:val="24"/>
          <w:szCs w:val="24"/>
        </w:rPr>
        <w:t>(16 September 2015)</w:t>
      </w:r>
      <w:r w:rsidR="004A0143">
        <w:rPr>
          <w:rFonts w:ascii="Arial" w:eastAsia="Arial" w:hAnsi="Arial" w:cs="Arial"/>
          <w:color w:val="000000"/>
          <w:sz w:val="24"/>
          <w:szCs w:val="24"/>
        </w:rPr>
        <w:t xml:space="preserve">; </w:t>
      </w:r>
      <w:r w:rsidR="004A0143" w:rsidRPr="004A0143">
        <w:rPr>
          <w:rFonts w:ascii="Arial" w:eastAsia="Arial" w:hAnsi="Arial" w:cs="Arial"/>
          <w:i/>
          <w:color w:val="000000"/>
          <w:sz w:val="24"/>
          <w:szCs w:val="24"/>
        </w:rPr>
        <w:t>Lubisi v S</w:t>
      </w:r>
      <w:r w:rsidR="004A0143">
        <w:rPr>
          <w:rFonts w:ascii="Arial" w:eastAsia="Arial" w:hAnsi="Arial" w:cs="Arial"/>
          <w:color w:val="000000"/>
          <w:sz w:val="24"/>
          <w:szCs w:val="24"/>
        </w:rPr>
        <w:t xml:space="preserve"> </w:t>
      </w:r>
      <w:r w:rsidR="00A177CA" w:rsidRPr="00A177CA">
        <w:rPr>
          <w:rFonts w:ascii="Arial" w:eastAsia="Arial" w:hAnsi="Arial" w:cs="Arial"/>
          <w:color w:val="000000"/>
          <w:sz w:val="24"/>
          <w:szCs w:val="24"/>
        </w:rPr>
        <w:t xml:space="preserve">(230/2015) </w:t>
      </w:r>
      <w:r w:rsidR="004A0143">
        <w:rPr>
          <w:rFonts w:ascii="Arial" w:eastAsia="Arial" w:hAnsi="Arial" w:cs="Arial"/>
          <w:color w:val="000000"/>
          <w:sz w:val="24"/>
          <w:szCs w:val="24"/>
        </w:rPr>
        <w:t xml:space="preserve">[2015] ZASCA </w:t>
      </w:r>
      <w:r w:rsidR="00C4239C">
        <w:rPr>
          <w:rFonts w:ascii="Arial" w:eastAsia="Arial" w:hAnsi="Arial" w:cs="Arial"/>
          <w:color w:val="000000"/>
          <w:sz w:val="24"/>
          <w:szCs w:val="24"/>
        </w:rPr>
        <w:t>179</w:t>
      </w:r>
      <w:r w:rsidR="00A177CA">
        <w:rPr>
          <w:rFonts w:ascii="Arial" w:eastAsia="Arial" w:hAnsi="Arial" w:cs="Arial"/>
          <w:color w:val="000000"/>
          <w:sz w:val="24"/>
          <w:szCs w:val="24"/>
        </w:rPr>
        <w:t xml:space="preserve"> </w:t>
      </w:r>
      <w:r w:rsidR="00A177CA" w:rsidRPr="00A177CA">
        <w:rPr>
          <w:rFonts w:ascii="Arial" w:eastAsia="Arial" w:hAnsi="Arial" w:cs="Arial"/>
          <w:color w:val="000000"/>
          <w:sz w:val="24"/>
          <w:szCs w:val="24"/>
        </w:rPr>
        <w:t>(27 November 2015)</w:t>
      </w:r>
      <w:r w:rsidR="00C4239C">
        <w:rPr>
          <w:rFonts w:ascii="Arial" w:eastAsia="Arial" w:hAnsi="Arial" w:cs="Arial"/>
          <w:color w:val="000000"/>
          <w:sz w:val="24"/>
          <w:szCs w:val="24"/>
        </w:rPr>
        <w:t xml:space="preserve">; </w:t>
      </w:r>
      <w:r w:rsidR="004A0143" w:rsidRPr="004A0143">
        <w:rPr>
          <w:rFonts w:ascii="Arial" w:eastAsia="Arial" w:hAnsi="Arial" w:cs="Arial"/>
          <w:i/>
          <w:color w:val="000000"/>
          <w:sz w:val="24"/>
          <w:szCs w:val="24"/>
        </w:rPr>
        <w:t>Mthimkhulu v S</w:t>
      </w:r>
      <w:r w:rsidR="004A0143">
        <w:rPr>
          <w:rFonts w:ascii="Arial" w:eastAsia="Arial" w:hAnsi="Arial" w:cs="Arial"/>
          <w:color w:val="000000"/>
          <w:sz w:val="24"/>
          <w:szCs w:val="24"/>
        </w:rPr>
        <w:t xml:space="preserve"> </w:t>
      </w:r>
      <w:r w:rsidR="00A177CA" w:rsidRPr="00A177CA">
        <w:rPr>
          <w:rFonts w:ascii="Arial" w:eastAsia="Arial" w:hAnsi="Arial" w:cs="Arial"/>
          <w:color w:val="000000"/>
          <w:sz w:val="24"/>
          <w:szCs w:val="24"/>
        </w:rPr>
        <w:t xml:space="preserve">(1135/15) </w:t>
      </w:r>
      <w:r w:rsidR="004A0143">
        <w:rPr>
          <w:rFonts w:ascii="Arial" w:eastAsia="Arial" w:hAnsi="Arial" w:cs="Arial"/>
          <w:color w:val="000000"/>
          <w:sz w:val="24"/>
          <w:szCs w:val="24"/>
        </w:rPr>
        <w:t>[2016] ZASCA 180</w:t>
      </w:r>
      <w:r w:rsidR="00A177CA">
        <w:rPr>
          <w:rFonts w:ascii="Arial" w:eastAsia="Arial" w:hAnsi="Arial" w:cs="Arial"/>
          <w:color w:val="000000"/>
          <w:sz w:val="24"/>
          <w:szCs w:val="24"/>
        </w:rPr>
        <w:t xml:space="preserve"> </w:t>
      </w:r>
      <w:r w:rsidR="00C4239C">
        <w:rPr>
          <w:rFonts w:ascii="Arial" w:eastAsia="Arial" w:hAnsi="Arial" w:cs="Arial"/>
          <w:color w:val="000000"/>
          <w:sz w:val="24"/>
          <w:szCs w:val="24"/>
        </w:rPr>
        <w:t xml:space="preserve"> </w:t>
      </w:r>
      <w:r w:rsidR="00A177CA" w:rsidRPr="00A177CA">
        <w:rPr>
          <w:rFonts w:ascii="Arial" w:eastAsia="Arial" w:hAnsi="Arial" w:cs="Arial"/>
          <w:color w:val="000000"/>
          <w:sz w:val="24"/>
          <w:szCs w:val="24"/>
        </w:rPr>
        <w:t>(28 November 2016)</w:t>
      </w:r>
      <w:r w:rsidR="00A177CA">
        <w:rPr>
          <w:rFonts w:ascii="Arial" w:eastAsia="Arial" w:hAnsi="Arial" w:cs="Arial"/>
          <w:color w:val="000000"/>
          <w:sz w:val="24"/>
          <w:szCs w:val="24"/>
        </w:rPr>
        <w:t xml:space="preserve"> </w:t>
      </w:r>
      <w:r w:rsidR="00C4239C">
        <w:rPr>
          <w:rFonts w:ascii="Arial" w:eastAsia="Arial" w:hAnsi="Arial" w:cs="Arial"/>
          <w:color w:val="000000"/>
          <w:sz w:val="24"/>
          <w:szCs w:val="24"/>
        </w:rPr>
        <w:t xml:space="preserve">and most recently in </w:t>
      </w:r>
      <w:r w:rsidR="00C4239C" w:rsidRPr="00C4239C">
        <w:rPr>
          <w:rFonts w:ascii="Arial" w:eastAsia="Arial" w:hAnsi="Arial" w:cs="Arial"/>
          <w:i/>
          <w:color w:val="000000"/>
          <w:sz w:val="24"/>
          <w:szCs w:val="24"/>
        </w:rPr>
        <w:t>De Almeida v S</w:t>
      </w:r>
      <w:r w:rsidR="00C4239C">
        <w:rPr>
          <w:rFonts w:ascii="Arial" w:eastAsia="Arial" w:hAnsi="Arial" w:cs="Arial"/>
          <w:color w:val="000000"/>
          <w:sz w:val="24"/>
          <w:szCs w:val="24"/>
        </w:rPr>
        <w:t xml:space="preserve"> </w:t>
      </w:r>
      <w:r w:rsidR="00A177CA" w:rsidRPr="00A177CA">
        <w:rPr>
          <w:rFonts w:ascii="Arial" w:eastAsia="Arial" w:hAnsi="Arial" w:cs="Arial"/>
          <w:color w:val="000000"/>
          <w:sz w:val="24"/>
          <w:szCs w:val="24"/>
        </w:rPr>
        <w:t xml:space="preserve">(728/2018) </w:t>
      </w:r>
      <w:r w:rsidR="00C4239C">
        <w:rPr>
          <w:rFonts w:ascii="Arial" w:eastAsia="Arial" w:hAnsi="Arial" w:cs="Arial"/>
          <w:color w:val="000000"/>
          <w:sz w:val="24"/>
          <w:szCs w:val="24"/>
        </w:rPr>
        <w:t>[2019] ZASCA 84</w:t>
      </w:r>
      <w:r w:rsidR="00A177CA">
        <w:rPr>
          <w:rFonts w:ascii="Arial" w:eastAsia="Arial" w:hAnsi="Arial" w:cs="Arial"/>
          <w:color w:val="000000"/>
          <w:sz w:val="24"/>
          <w:szCs w:val="24"/>
        </w:rPr>
        <w:t xml:space="preserve"> </w:t>
      </w:r>
      <w:r w:rsidR="00A177CA" w:rsidRPr="00A177CA">
        <w:rPr>
          <w:rFonts w:ascii="Arial" w:eastAsia="Arial" w:hAnsi="Arial" w:cs="Arial"/>
          <w:color w:val="000000"/>
          <w:sz w:val="24"/>
          <w:szCs w:val="24"/>
        </w:rPr>
        <w:t>(31 May 2019)</w:t>
      </w:r>
      <w:r w:rsidR="004A0143">
        <w:rPr>
          <w:rFonts w:ascii="Arial" w:eastAsia="Arial" w:hAnsi="Arial" w:cs="Arial"/>
          <w:color w:val="000000"/>
          <w:sz w:val="24"/>
          <w:szCs w:val="24"/>
        </w:rPr>
        <w:t xml:space="preserve">.  </w:t>
      </w:r>
    </w:p>
    <w:p w:rsidR="00C4239C" w:rsidRDefault="00C4239C" w:rsidP="001B5514">
      <w:pPr>
        <w:pStyle w:val="ListParagraph"/>
        <w:spacing w:line="360" w:lineRule="auto"/>
        <w:contextualSpacing w:val="0"/>
        <w:jc w:val="both"/>
        <w:rPr>
          <w:rFonts w:ascii="Arial" w:hAnsi="Arial" w:cs="Arial"/>
          <w:color w:val="242121"/>
          <w:sz w:val="24"/>
          <w:szCs w:val="24"/>
        </w:rPr>
      </w:pPr>
    </w:p>
    <w:p w:rsidR="00C4239C" w:rsidRPr="00C4239C"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hAnsi="Arial" w:cs="Arial"/>
          <w:color w:val="242121"/>
          <w:sz w:val="24"/>
          <w:szCs w:val="24"/>
        </w:rPr>
        <w:t>[5]</w:t>
      </w:r>
      <w:r>
        <w:rPr>
          <w:rFonts w:ascii="Arial" w:hAnsi="Arial" w:cs="Arial"/>
          <w:color w:val="242121"/>
          <w:sz w:val="24"/>
          <w:szCs w:val="24"/>
        </w:rPr>
        <w:tab/>
      </w:r>
      <w:r w:rsidR="00C4239C" w:rsidRPr="00C4239C">
        <w:rPr>
          <w:rFonts w:ascii="Arial" w:hAnsi="Arial" w:cs="Arial"/>
          <w:color w:val="242121"/>
          <w:sz w:val="24"/>
          <w:szCs w:val="24"/>
        </w:rPr>
        <w:t>In </w:t>
      </w:r>
      <w:r w:rsidR="00C4239C" w:rsidRPr="00C4239C">
        <w:rPr>
          <w:rFonts w:ascii="Arial" w:hAnsi="Arial" w:cs="Arial"/>
          <w:i/>
          <w:iCs/>
          <w:color w:val="242121"/>
          <w:sz w:val="24"/>
          <w:szCs w:val="24"/>
        </w:rPr>
        <w:t>Dipholo</w:t>
      </w:r>
      <w:r w:rsidR="00A177CA">
        <w:rPr>
          <w:rFonts w:ascii="Arial" w:hAnsi="Arial" w:cs="Arial"/>
          <w:i/>
          <w:iCs/>
          <w:color w:val="242121"/>
          <w:sz w:val="24"/>
          <w:szCs w:val="24"/>
        </w:rPr>
        <w:t>,</w:t>
      </w:r>
      <w:r w:rsidR="00616DAA" w:rsidRPr="000047C3">
        <w:rPr>
          <w:rStyle w:val="FootnoteReference"/>
          <w:rFonts w:ascii="Arial" w:hAnsi="Arial" w:cs="Arial"/>
          <w:iCs/>
          <w:color w:val="242121"/>
          <w:sz w:val="24"/>
          <w:szCs w:val="24"/>
        </w:rPr>
        <w:footnoteReference w:id="2"/>
      </w:r>
      <w:r w:rsidR="00C4239C" w:rsidRPr="000047C3">
        <w:rPr>
          <w:rFonts w:ascii="Arial" w:hAnsi="Arial" w:cs="Arial"/>
          <w:color w:val="242121"/>
          <w:sz w:val="24"/>
          <w:szCs w:val="24"/>
        </w:rPr>
        <w:t> </w:t>
      </w:r>
      <w:r w:rsidR="00C4239C" w:rsidRPr="00C4239C">
        <w:rPr>
          <w:rFonts w:ascii="Arial" w:hAnsi="Arial" w:cs="Arial"/>
          <w:color w:val="242121"/>
          <w:sz w:val="24"/>
          <w:szCs w:val="24"/>
        </w:rPr>
        <w:t>the</w:t>
      </w:r>
      <w:r w:rsidR="00C4239C">
        <w:rPr>
          <w:rFonts w:ascii="Arial" w:hAnsi="Arial" w:cs="Arial"/>
          <w:color w:val="242121"/>
          <w:sz w:val="24"/>
          <w:szCs w:val="24"/>
        </w:rPr>
        <w:t xml:space="preserve"> ambit of appeals of a similar nature were dealt with, where the  appellant had </w:t>
      </w:r>
      <w:r w:rsidR="00C4239C" w:rsidRPr="00C4239C">
        <w:rPr>
          <w:rFonts w:ascii="Arial" w:hAnsi="Arial" w:cs="Arial"/>
          <w:color w:val="242121"/>
          <w:sz w:val="24"/>
          <w:szCs w:val="24"/>
        </w:rPr>
        <w:t>been</w:t>
      </w:r>
      <w:r w:rsidR="00C4239C">
        <w:rPr>
          <w:rFonts w:ascii="Arial" w:hAnsi="Arial" w:cs="Arial"/>
          <w:color w:val="242121"/>
          <w:sz w:val="24"/>
          <w:szCs w:val="24"/>
        </w:rPr>
        <w:t xml:space="preserve"> granted special leave by this C</w:t>
      </w:r>
      <w:r w:rsidR="00C4239C" w:rsidRPr="00C4239C">
        <w:rPr>
          <w:rFonts w:ascii="Arial" w:hAnsi="Arial" w:cs="Arial"/>
          <w:color w:val="242121"/>
          <w:sz w:val="24"/>
          <w:szCs w:val="24"/>
        </w:rPr>
        <w:t xml:space="preserve">ourt after his application for leave to appeal by way of petition had been refused and no appeal on the merits had been adjudicated by the high court. </w:t>
      </w:r>
      <w:r w:rsidR="00C4239C">
        <w:rPr>
          <w:rFonts w:ascii="Arial" w:hAnsi="Arial" w:cs="Arial"/>
          <w:color w:val="242121"/>
          <w:sz w:val="24"/>
          <w:szCs w:val="24"/>
        </w:rPr>
        <w:t xml:space="preserve">This </w:t>
      </w:r>
      <w:r w:rsidR="00A177CA">
        <w:rPr>
          <w:rFonts w:ascii="Arial" w:hAnsi="Arial" w:cs="Arial"/>
          <w:color w:val="242121"/>
          <w:sz w:val="24"/>
          <w:szCs w:val="24"/>
        </w:rPr>
        <w:t>C</w:t>
      </w:r>
      <w:r w:rsidR="00C4239C">
        <w:rPr>
          <w:rFonts w:ascii="Arial" w:hAnsi="Arial" w:cs="Arial"/>
          <w:color w:val="242121"/>
          <w:sz w:val="24"/>
          <w:szCs w:val="24"/>
        </w:rPr>
        <w:t>ourt went on to state as follows</w:t>
      </w:r>
      <w:r w:rsidR="00C4239C" w:rsidRPr="00C4239C">
        <w:rPr>
          <w:rFonts w:ascii="Arial" w:hAnsi="Arial" w:cs="Arial"/>
          <w:color w:val="242121"/>
          <w:sz w:val="24"/>
          <w:szCs w:val="24"/>
        </w:rPr>
        <w:t>:</w:t>
      </w:r>
      <w:r w:rsidR="00C4239C" w:rsidRPr="00C4239C">
        <w:rPr>
          <w:rFonts w:ascii="Arial" w:hAnsi="Arial" w:cs="Arial"/>
          <w:color w:val="242121"/>
        </w:rPr>
        <w:t xml:space="preserve"> </w:t>
      </w:r>
    </w:p>
    <w:p w:rsidR="00CD05AA" w:rsidRPr="000047C3" w:rsidRDefault="00C4239C"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C4239C">
        <w:rPr>
          <w:rFonts w:ascii="Arial" w:hAnsi="Arial" w:cs="Arial"/>
          <w:color w:val="242121"/>
        </w:rPr>
        <w:t>‘It follows therefore that what is before us is not an appeal on the merits, as the high court has not heard the appeal on the merits, but an appeal against the refusal of leave to appeal by the high court. </w:t>
      </w:r>
      <w:r w:rsidRPr="00C4239C">
        <w:rPr>
          <w:rFonts w:ascii="Arial" w:hAnsi="Arial" w:cs="Arial"/>
          <w:i/>
          <w:iCs/>
          <w:color w:val="242121"/>
        </w:rPr>
        <w:t>S v Khoasasa</w:t>
      </w:r>
      <w:r w:rsidRPr="00C4239C">
        <w:rPr>
          <w:rFonts w:ascii="Arial" w:hAnsi="Arial" w:cs="Arial"/>
          <w:color w:val="242121"/>
        </w:rPr>
        <w:t> (supra) paras 14 and 19-22; </w:t>
      </w:r>
      <w:r w:rsidRPr="00E82B74">
        <w:rPr>
          <w:rFonts w:ascii="Arial" w:hAnsi="Arial" w:cs="Arial"/>
          <w:i/>
          <w:iCs/>
          <w:color w:val="242121"/>
        </w:rPr>
        <w:t>S </w:t>
      </w:r>
      <w:r w:rsidRPr="00AB3FCB">
        <w:rPr>
          <w:rFonts w:ascii="Arial" w:hAnsi="Arial" w:cs="Arial"/>
          <w:i/>
          <w:color w:val="242121"/>
        </w:rPr>
        <w:t>v </w:t>
      </w:r>
      <w:r w:rsidRPr="00E82B74">
        <w:rPr>
          <w:rFonts w:ascii="Arial" w:hAnsi="Arial" w:cs="Arial"/>
          <w:i/>
          <w:iCs/>
          <w:color w:val="242121"/>
        </w:rPr>
        <w:t>Matshona</w:t>
      </w:r>
      <w:r w:rsidRPr="00C4239C">
        <w:rPr>
          <w:rFonts w:ascii="Arial" w:hAnsi="Arial" w:cs="Arial"/>
          <w:color w:val="242121"/>
        </w:rPr>
        <w:t> </w:t>
      </w:r>
      <w:hyperlink r:id="rId9" w:tooltip="View Case" w:history="1">
        <w:r w:rsidRPr="00C4239C">
          <w:rPr>
            <w:rStyle w:val="Hyperlink"/>
            <w:rFonts w:ascii="Arial" w:hAnsi="Arial" w:cs="Arial"/>
            <w:bCs/>
            <w:color w:val="auto"/>
            <w:u w:val="none"/>
          </w:rPr>
          <w:t>[2008] ZASCA 58</w:t>
        </w:r>
      </w:hyperlink>
      <w:r w:rsidRPr="00C4239C">
        <w:rPr>
          <w:rFonts w:ascii="Arial" w:hAnsi="Arial" w:cs="Arial"/>
        </w:rPr>
        <w:t>; </w:t>
      </w:r>
      <w:hyperlink r:id="rId10" w:tooltip="View LawCiteRecord" w:history="1">
        <w:r w:rsidRPr="00C4239C">
          <w:rPr>
            <w:rStyle w:val="Hyperlink"/>
            <w:rFonts w:ascii="Arial" w:hAnsi="Arial" w:cs="Arial"/>
            <w:bCs/>
            <w:color w:val="auto"/>
            <w:u w:val="none"/>
          </w:rPr>
          <w:t xml:space="preserve">[2008] </w:t>
        </w:r>
        <w:r w:rsidRPr="00C4239C">
          <w:rPr>
            <w:rStyle w:val="Hyperlink"/>
            <w:rFonts w:ascii="Arial" w:hAnsi="Arial" w:cs="Arial"/>
            <w:bCs/>
            <w:color w:val="auto"/>
            <w:u w:val="none"/>
          </w:rPr>
          <w:lastRenderedPageBreak/>
          <w:t>4 All SA 68</w:t>
        </w:r>
      </w:hyperlink>
      <w:r w:rsidRPr="00C4239C">
        <w:rPr>
          <w:rFonts w:ascii="Arial" w:hAnsi="Arial" w:cs="Arial"/>
        </w:rPr>
        <w:t> (SCA); </w:t>
      </w:r>
      <w:hyperlink r:id="rId11" w:tooltip="View LawCiteRecord" w:history="1">
        <w:r w:rsidRPr="00C4239C">
          <w:rPr>
            <w:rStyle w:val="Hyperlink"/>
            <w:rFonts w:ascii="Arial" w:hAnsi="Arial" w:cs="Arial"/>
            <w:bCs/>
            <w:color w:val="auto"/>
            <w:u w:val="none"/>
          </w:rPr>
          <w:t>2013 (2) SACR 126</w:t>
        </w:r>
      </w:hyperlink>
      <w:r w:rsidRPr="00C4239C">
        <w:rPr>
          <w:rFonts w:ascii="Arial" w:hAnsi="Arial" w:cs="Arial"/>
        </w:rPr>
        <w:t xml:space="preserve"> (SCA) para 4. In the </w:t>
      </w:r>
      <w:r w:rsidRPr="00C4239C">
        <w:rPr>
          <w:rFonts w:ascii="Arial" w:hAnsi="Arial" w:cs="Arial"/>
          <w:color w:val="242121"/>
        </w:rPr>
        <w:t>circumstances, what this Court had to decide is simply whether the court below erred in finding that there were no reasonable prospects of success on appeal against the sentence imposed by the regional magistrate and thus refusing leave to the appellant to appeal against the judgment of the regional magistrate. </w:t>
      </w:r>
      <w:r w:rsidRPr="00C4239C">
        <w:rPr>
          <w:rFonts w:ascii="Arial" w:hAnsi="Arial" w:cs="Arial"/>
          <w:i/>
          <w:iCs/>
          <w:color w:val="242121"/>
        </w:rPr>
        <w:t>S </w:t>
      </w:r>
      <w:r w:rsidRPr="00C4239C">
        <w:rPr>
          <w:rFonts w:ascii="Arial" w:hAnsi="Arial" w:cs="Arial"/>
          <w:color w:val="242121"/>
        </w:rPr>
        <w:t>v </w:t>
      </w:r>
      <w:r w:rsidRPr="00C4239C">
        <w:rPr>
          <w:rFonts w:ascii="Arial" w:hAnsi="Arial" w:cs="Arial"/>
          <w:i/>
          <w:iCs/>
          <w:color w:val="242121"/>
        </w:rPr>
        <w:t>Tonkin</w:t>
      </w:r>
      <w:r w:rsidRPr="00C4239C">
        <w:rPr>
          <w:rFonts w:ascii="Arial" w:hAnsi="Arial" w:cs="Arial"/>
          <w:color w:val="242121"/>
        </w:rPr>
        <w:t> (</w:t>
      </w:r>
      <w:r w:rsidR="00616DAA">
        <w:rPr>
          <w:rFonts w:ascii="Arial" w:hAnsi="Arial" w:cs="Arial"/>
          <w:color w:val="242121"/>
        </w:rPr>
        <w:t>2014 (1) SACR 583 (SCA)</w:t>
      </w:r>
      <w:r w:rsidRPr="00C4239C">
        <w:rPr>
          <w:rFonts w:ascii="Arial" w:hAnsi="Arial" w:cs="Arial"/>
          <w:color w:val="242121"/>
        </w:rPr>
        <w:t xml:space="preserve"> para 3.</w:t>
      </w:r>
      <w:r w:rsidRPr="00C4239C">
        <w:rPr>
          <w:rFonts w:ascii="Arial" w:hAnsi="Arial" w:cs="Arial"/>
          <w:color w:val="242121"/>
          <w:sz w:val="24"/>
          <w:szCs w:val="24"/>
        </w:rPr>
        <w:t>’ [Footnotes omitted]</w:t>
      </w:r>
    </w:p>
    <w:p w:rsidR="000047C3" w:rsidRDefault="000047C3"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CD05AA"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sz w:val="24"/>
          <w:szCs w:val="24"/>
        </w:rPr>
        <w:t>[6]</w:t>
      </w:r>
      <w:r>
        <w:rPr>
          <w:rFonts w:ascii="Arial" w:eastAsia="Arial" w:hAnsi="Arial" w:cs="Arial"/>
          <w:color w:val="000000"/>
          <w:sz w:val="24"/>
          <w:szCs w:val="24"/>
        </w:rPr>
        <w:tab/>
      </w:r>
      <w:r w:rsidR="00E85772" w:rsidRPr="00F62014">
        <w:rPr>
          <w:rFonts w:ascii="Arial" w:eastAsia="Arial" w:hAnsi="Arial" w:cs="Arial"/>
          <w:color w:val="000000"/>
          <w:sz w:val="24"/>
          <w:szCs w:val="24"/>
        </w:rPr>
        <w:t xml:space="preserve">This Court </w:t>
      </w:r>
      <w:r w:rsidR="006E47E5" w:rsidRPr="00F62014">
        <w:rPr>
          <w:rFonts w:ascii="Arial" w:eastAsia="Arial" w:hAnsi="Arial" w:cs="Arial"/>
          <w:color w:val="000000"/>
          <w:sz w:val="24"/>
          <w:szCs w:val="24"/>
        </w:rPr>
        <w:t>in dealing with the ambit of th</w:t>
      </w:r>
      <w:r w:rsidR="00A73864" w:rsidRPr="00F62014">
        <w:rPr>
          <w:rFonts w:ascii="Arial" w:eastAsia="Arial" w:hAnsi="Arial" w:cs="Arial"/>
          <w:color w:val="000000"/>
          <w:sz w:val="24"/>
          <w:szCs w:val="24"/>
        </w:rPr>
        <w:t>e</w:t>
      </w:r>
      <w:r w:rsidR="006E47E5" w:rsidRPr="00F62014">
        <w:rPr>
          <w:rFonts w:ascii="Arial" w:eastAsia="Arial" w:hAnsi="Arial" w:cs="Arial"/>
          <w:color w:val="000000"/>
          <w:sz w:val="24"/>
          <w:szCs w:val="24"/>
        </w:rPr>
        <w:t xml:space="preserve"> appeal </w:t>
      </w:r>
      <w:r w:rsidR="00E85772" w:rsidRPr="00F62014">
        <w:rPr>
          <w:rFonts w:ascii="Arial" w:eastAsia="Arial" w:hAnsi="Arial" w:cs="Arial"/>
          <w:color w:val="000000"/>
          <w:sz w:val="24"/>
          <w:szCs w:val="24"/>
        </w:rPr>
        <w:t xml:space="preserve">in </w:t>
      </w:r>
      <w:r w:rsidR="00E85772" w:rsidRPr="00F62014">
        <w:rPr>
          <w:rFonts w:ascii="Arial" w:eastAsia="Arial" w:hAnsi="Arial" w:cs="Arial"/>
          <w:i/>
          <w:color w:val="000000"/>
          <w:sz w:val="24"/>
          <w:szCs w:val="24"/>
        </w:rPr>
        <w:t>Van Wyk v S, Galela v S</w:t>
      </w:r>
      <w:r w:rsidR="00E85772" w:rsidRPr="00F62014">
        <w:rPr>
          <w:rFonts w:ascii="Arial" w:eastAsia="Arial" w:hAnsi="Arial" w:cs="Arial"/>
          <w:color w:val="000000"/>
          <w:sz w:val="24"/>
          <w:szCs w:val="24"/>
          <w:vertAlign w:val="superscript"/>
        </w:rPr>
        <w:footnoteReference w:id="3"/>
      </w:r>
      <w:r w:rsidR="00E85772" w:rsidRPr="00F62014">
        <w:rPr>
          <w:rFonts w:ascii="Arial" w:eastAsia="Arial" w:hAnsi="Arial" w:cs="Arial"/>
          <w:color w:val="000000"/>
          <w:sz w:val="24"/>
          <w:szCs w:val="24"/>
        </w:rPr>
        <w:t xml:space="preserve"> endorsed the sentiments expressed in </w:t>
      </w:r>
      <w:r w:rsidR="00E85772" w:rsidRPr="00F62014">
        <w:rPr>
          <w:rFonts w:ascii="Arial" w:eastAsia="Arial" w:hAnsi="Arial" w:cs="Arial"/>
          <w:i/>
          <w:color w:val="000000"/>
          <w:sz w:val="24"/>
          <w:szCs w:val="24"/>
        </w:rPr>
        <w:t>S v Matshona</w:t>
      </w:r>
      <w:r w:rsidR="00E85772" w:rsidRPr="00F62014">
        <w:rPr>
          <w:rFonts w:ascii="Arial" w:eastAsia="Arial" w:hAnsi="Arial" w:cs="Arial"/>
          <w:color w:val="000000"/>
          <w:sz w:val="24"/>
          <w:szCs w:val="24"/>
          <w:vertAlign w:val="superscript"/>
        </w:rPr>
        <w:footnoteReference w:id="4"/>
      </w:r>
      <w:r w:rsidR="00E85772" w:rsidRPr="00F62014">
        <w:rPr>
          <w:rFonts w:ascii="Arial" w:eastAsia="Arial" w:hAnsi="Arial" w:cs="Arial"/>
          <w:color w:val="000000"/>
          <w:sz w:val="24"/>
          <w:szCs w:val="24"/>
        </w:rPr>
        <w:t xml:space="preserve"> and </w:t>
      </w:r>
      <w:r w:rsidR="00E85772" w:rsidRPr="00F62014">
        <w:rPr>
          <w:rFonts w:ascii="Arial" w:eastAsia="Arial" w:hAnsi="Arial" w:cs="Arial"/>
          <w:i/>
          <w:color w:val="000000"/>
          <w:sz w:val="24"/>
          <w:szCs w:val="24"/>
        </w:rPr>
        <w:t>S v Khoasasa</w:t>
      </w:r>
      <w:r w:rsidR="008831BB" w:rsidRPr="00F62014">
        <w:rPr>
          <w:rFonts w:ascii="Arial" w:eastAsia="Arial" w:hAnsi="Arial" w:cs="Arial"/>
          <w:i/>
          <w:color w:val="000000"/>
          <w:sz w:val="24"/>
          <w:szCs w:val="24"/>
        </w:rPr>
        <w:t>.</w:t>
      </w:r>
      <w:r w:rsidR="00E85772" w:rsidRPr="00F62014">
        <w:rPr>
          <w:rFonts w:ascii="Arial" w:eastAsia="Arial" w:hAnsi="Arial" w:cs="Arial"/>
          <w:color w:val="000000"/>
          <w:sz w:val="24"/>
          <w:szCs w:val="24"/>
          <w:vertAlign w:val="superscript"/>
        </w:rPr>
        <w:footnoteReference w:id="5"/>
      </w:r>
      <w:r w:rsidR="00E85772" w:rsidRPr="00F62014">
        <w:rPr>
          <w:rFonts w:ascii="Arial" w:eastAsia="Arial" w:hAnsi="Arial" w:cs="Arial"/>
          <w:color w:val="000000"/>
          <w:sz w:val="24"/>
          <w:szCs w:val="24"/>
        </w:rPr>
        <w:t xml:space="preserve"> </w:t>
      </w:r>
      <w:r w:rsidR="006E47E5" w:rsidRPr="00F62014">
        <w:rPr>
          <w:rFonts w:ascii="Arial" w:eastAsia="Arial" w:hAnsi="Arial" w:cs="Arial"/>
          <w:color w:val="000000"/>
          <w:sz w:val="24"/>
          <w:szCs w:val="24"/>
        </w:rPr>
        <w:t>T</w:t>
      </w:r>
      <w:r w:rsidR="00E85772" w:rsidRPr="00F62014">
        <w:rPr>
          <w:rFonts w:ascii="Arial" w:eastAsia="Arial" w:hAnsi="Arial" w:cs="Arial"/>
          <w:color w:val="000000"/>
          <w:sz w:val="24"/>
          <w:szCs w:val="24"/>
        </w:rPr>
        <w:t xml:space="preserve">he issue </w:t>
      </w:r>
      <w:r w:rsidR="00526B34" w:rsidRPr="00F62014">
        <w:rPr>
          <w:rFonts w:ascii="Arial" w:eastAsia="Arial" w:hAnsi="Arial" w:cs="Arial"/>
          <w:color w:val="000000"/>
          <w:sz w:val="24"/>
          <w:szCs w:val="24"/>
        </w:rPr>
        <w:t xml:space="preserve">herein </w:t>
      </w:r>
      <w:r w:rsidR="00E85772" w:rsidRPr="00F62014">
        <w:rPr>
          <w:rFonts w:ascii="Arial" w:eastAsia="Arial" w:hAnsi="Arial" w:cs="Arial"/>
          <w:color w:val="000000"/>
          <w:sz w:val="24"/>
          <w:szCs w:val="24"/>
        </w:rPr>
        <w:t>is not the merits of the appeal</w:t>
      </w:r>
      <w:r w:rsidR="00A73864" w:rsidRPr="00F62014">
        <w:rPr>
          <w:rFonts w:ascii="Arial" w:eastAsia="Arial" w:hAnsi="Arial" w:cs="Arial"/>
          <w:color w:val="000000"/>
          <w:sz w:val="24"/>
          <w:szCs w:val="24"/>
        </w:rPr>
        <w:t xml:space="preserve"> but </w:t>
      </w:r>
      <w:r w:rsidR="00E85772" w:rsidRPr="00F62014">
        <w:rPr>
          <w:rFonts w:ascii="Arial" w:eastAsia="Arial" w:hAnsi="Arial" w:cs="Arial"/>
          <w:color w:val="000000"/>
          <w:sz w:val="24"/>
          <w:szCs w:val="24"/>
        </w:rPr>
        <w:t>rather</w:t>
      </w:r>
      <w:r w:rsidR="00434E13" w:rsidRPr="00F62014">
        <w:rPr>
          <w:rFonts w:ascii="Arial" w:eastAsia="Arial" w:hAnsi="Arial" w:cs="Arial"/>
          <w:color w:val="000000"/>
          <w:sz w:val="24"/>
          <w:szCs w:val="24"/>
        </w:rPr>
        <w:t>,</w:t>
      </w:r>
      <w:r w:rsidR="00E85772" w:rsidRPr="00F62014">
        <w:rPr>
          <w:rFonts w:ascii="Arial" w:eastAsia="Arial" w:hAnsi="Arial" w:cs="Arial"/>
          <w:color w:val="000000"/>
          <w:sz w:val="24"/>
          <w:szCs w:val="24"/>
        </w:rPr>
        <w:t xml:space="preserve"> whether the high court ought to have granted leave to appeal.  </w:t>
      </w:r>
      <w:r w:rsidR="00A73864" w:rsidRPr="00F62014">
        <w:rPr>
          <w:rFonts w:ascii="Arial" w:eastAsia="Arial" w:hAnsi="Arial" w:cs="Arial"/>
          <w:color w:val="000000"/>
          <w:sz w:val="24"/>
          <w:szCs w:val="24"/>
        </w:rPr>
        <w:t>Therefore the merits are</w:t>
      </w:r>
      <w:r w:rsidR="00E85772" w:rsidRPr="00F62014">
        <w:rPr>
          <w:rFonts w:ascii="Arial" w:eastAsia="Arial" w:hAnsi="Arial" w:cs="Arial"/>
          <w:color w:val="000000"/>
          <w:sz w:val="24"/>
          <w:szCs w:val="24"/>
        </w:rPr>
        <w:t xml:space="preserve"> </w:t>
      </w:r>
      <w:r w:rsidR="009E2861" w:rsidRPr="00F62014">
        <w:rPr>
          <w:rFonts w:ascii="Arial" w:eastAsia="Arial" w:hAnsi="Arial" w:cs="Arial"/>
          <w:color w:val="000000"/>
          <w:sz w:val="24"/>
          <w:szCs w:val="24"/>
        </w:rPr>
        <w:t>curtailed</w:t>
      </w:r>
      <w:r w:rsidR="00E85772" w:rsidRPr="00F62014">
        <w:rPr>
          <w:rFonts w:ascii="Arial" w:eastAsia="Arial" w:hAnsi="Arial" w:cs="Arial"/>
          <w:color w:val="000000"/>
          <w:sz w:val="24"/>
          <w:szCs w:val="24"/>
        </w:rPr>
        <w:t xml:space="preserve"> to </w:t>
      </w:r>
      <w:r w:rsidR="00A73864" w:rsidRPr="00F62014">
        <w:rPr>
          <w:rFonts w:ascii="Arial" w:eastAsia="Arial" w:hAnsi="Arial" w:cs="Arial"/>
          <w:color w:val="000000"/>
          <w:sz w:val="24"/>
          <w:szCs w:val="24"/>
        </w:rPr>
        <w:t xml:space="preserve">determining </w:t>
      </w:r>
      <w:r w:rsidR="00E85772" w:rsidRPr="00F62014">
        <w:rPr>
          <w:rFonts w:ascii="Arial" w:eastAsia="Arial" w:hAnsi="Arial" w:cs="Arial"/>
          <w:color w:val="000000"/>
          <w:sz w:val="24"/>
          <w:szCs w:val="24"/>
        </w:rPr>
        <w:t xml:space="preserve">only whether the appellant has reasonable prospects of success </w:t>
      </w:r>
      <w:r w:rsidR="00A73864" w:rsidRPr="00F62014">
        <w:rPr>
          <w:rFonts w:ascii="Arial" w:eastAsia="Arial" w:hAnsi="Arial" w:cs="Arial"/>
          <w:color w:val="000000"/>
          <w:sz w:val="24"/>
          <w:szCs w:val="24"/>
        </w:rPr>
        <w:t xml:space="preserve">and should accordingly </w:t>
      </w:r>
      <w:r w:rsidR="00E85772" w:rsidRPr="00F62014">
        <w:rPr>
          <w:rFonts w:ascii="Arial" w:eastAsia="Arial" w:hAnsi="Arial" w:cs="Arial"/>
          <w:color w:val="000000"/>
          <w:sz w:val="24"/>
          <w:szCs w:val="24"/>
        </w:rPr>
        <w:t>be granted leave</w:t>
      </w:r>
      <w:r w:rsidR="008831BB" w:rsidRPr="00F62014">
        <w:rPr>
          <w:rFonts w:ascii="Arial" w:eastAsia="Arial" w:hAnsi="Arial" w:cs="Arial"/>
          <w:color w:val="000000"/>
          <w:sz w:val="24"/>
          <w:szCs w:val="24"/>
        </w:rPr>
        <w:t>.</w:t>
      </w:r>
      <w:r w:rsidR="00E85772" w:rsidRPr="00F62014">
        <w:rPr>
          <w:rFonts w:ascii="Arial" w:eastAsia="Arial" w:hAnsi="Arial" w:cs="Arial"/>
          <w:color w:val="000000"/>
          <w:sz w:val="24"/>
          <w:szCs w:val="24"/>
          <w:vertAlign w:val="superscript"/>
        </w:rPr>
        <w:footnoteReference w:id="6"/>
      </w:r>
    </w:p>
    <w:p w:rsidR="00CD05AA" w:rsidRDefault="00CD05AA" w:rsidP="001B5514">
      <w:pPr>
        <w:pStyle w:val="Normal1"/>
        <w:pBdr>
          <w:top w:val="nil"/>
          <w:left w:val="nil"/>
          <w:bottom w:val="nil"/>
          <w:right w:val="nil"/>
          <w:between w:val="nil"/>
        </w:pBdr>
        <w:spacing w:after="0" w:line="360" w:lineRule="auto"/>
        <w:ind w:hanging="720"/>
        <w:jc w:val="both"/>
        <w:rPr>
          <w:rFonts w:ascii="Arial" w:eastAsia="Arial" w:hAnsi="Arial" w:cs="Arial"/>
          <w:color w:val="000000"/>
          <w:sz w:val="24"/>
          <w:szCs w:val="24"/>
        </w:rPr>
      </w:pPr>
    </w:p>
    <w:p w:rsidR="00CD05AA"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z w:val="24"/>
          <w:szCs w:val="24"/>
        </w:rPr>
        <w:tab/>
      </w:r>
      <w:r w:rsidR="00E85772">
        <w:rPr>
          <w:rFonts w:ascii="Arial" w:eastAsia="Arial" w:hAnsi="Arial" w:cs="Arial"/>
          <w:color w:val="000000"/>
          <w:sz w:val="24"/>
          <w:szCs w:val="24"/>
        </w:rPr>
        <w:t>As regards what constitutes ‘reasonable pr</w:t>
      </w:r>
      <w:r w:rsidR="000B1D04">
        <w:rPr>
          <w:rFonts w:ascii="Arial" w:eastAsia="Arial" w:hAnsi="Arial" w:cs="Arial"/>
          <w:color w:val="000000"/>
          <w:sz w:val="24"/>
          <w:szCs w:val="24"/>
        </w:rPr>
        <w:t>ospects of success’ Plasket AJA</w:t>
      </w:r>
      <w:r w:rsidR="00E85772">
        <w:rPr>
          <w:rFonts w:ascii="Arial" w:eastAsia="Arial" w:hAnsi="Arial" w:cs="Arial"/>
          <w:color w:val="000000"/>
          <w:sz w:val="24"/>
          <w:szCs w:val="24"/>
        </w:rPr>
        <w:t xml:space="preserve"> in </w:t>
      </w:r>
      <w:r w:rsidR="00E85772">
        <w:rPr>
          <w:rFonts w:ascii="Arial" w:eastAsia="Arial" w:hAnsi="Arial" w:cs="Arial"/>
          <w:i/>
          <w:color w:val="000000"/>
          <w:sz w:val="24"/>
          <w:szCs w:val="24"/>
        </w:rPr>
        <w:t>S v</w:t>
      </w:r>
      <w:r w:rsidR="00E85772">
        <w:rPr>
          <w:rFonts w:ascii="Arial" w:eastAsia="Arial" w:hAnsi="Arial" w:cs="Arial"/>
          <w:color w:val="000000"/>
          <w:sz w:val="24"/>
          <w:szCs w:val="24"/>
        </w:rPr>
        <w:t xml:space="preserve"> </w:t>
      </w:r>
      <w:r w:rsidR="00E85772">
        <w:rPr>
          <w:rFonts w:ascii="Arial" w:eastAsia="Arial" w:hAnsi="Arial" w:cs="Arial"/>
          <w:i/>
          <w:color w:val="000000"/>
          <w:sz w:val="24"/>
          <w:szCs w:val="24"/>
        </w:rPr>
        <w:t>Smith</w:t>
      </w:r>
      <w:r w:rsidR="00E85772">
        <w:rPr>
          <w:rFonts w:ascii="Arial" w:eastAsia="Arial" w:hAnsi="Arial" w:cs="Arial"/>
          <w:color w:val="000000"/>
          <w:sz w:val="24"/>
          <w:szCs w:val="24"/>
        </w:rPr>
        <w:t xml:space="preserve"> describes it concisely: </w:t>
      </w:r>
    </w:p>
    <w:p w:rsidR="00526B34" w:rsidRDefault="00F41B16" w:rsidP="001B5514">
      <w:pPr>
        <w:pStyle w:val="Normal1"/>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w:t>
      </w:r>
      <w:r w:rsidR="00E85772">
        <w:rPr>
          <w:rFonts w:ascii="Arial" w:eastAsia="Arial" w:hAnsi="Arial" w:cs="Arial"/>
          <w:color w:val="000000"/>
        </w:rPr>
        <w:t xml:space="preserve">What the test of reasonable prospects of success postulates is a dispassionate decision, based on the facts and the </w:t>
      </w:r>
      <w:r w:rsidR="000047C3">
        <w:rPr>
          <w:rFonts w:ascii="Arial" w:eastAsia="Arial" w:hAnsi="Arial" w:cs="Arial"/>
          <w:color w:val="000000"/>
        </w:rPr>
        <w:t>law</w:t>
      </w:r>
      <w:r w:rsidR="00AB3FCB">
        <w:rPr>
          <w:rFonts w:ascii="Arial" w:eastAsia="Arial" w:hAnsi="Arial" w:cs="Arial"/>
          <w:color w:val="000000"/>
        </w:rPr>
        <w:t>, that</w:t>
      </w:r>
      <w:r w:rsidR="00E85772">
        <w:rPr>
          <w:rFonts w:ascii="Arial" w:eastAsia="Arial" w:hAnsi="Arial" w:cs="Arial"/>
          <w:color w:val="000000"/>
        </w:rPr>
        <w:t xml:space="preserve">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sidR="00895459">
        <w:rPr>
          <w:rFonts w:ascii="Arial" w:eastAsia="Arial" w:hAnsi="Arial" w:cs="Arial"/>
          <w:color w:val="000000"/>
        </w:rPr>
        <w:t>’</w:t>
      </w:r>
      <w:r w:rsidR="00E85772">
        <w:rPr>
          <w:rFonts w:ascii="Arial" w:eastAsia="Arial" w:hAnsi="Arial" w:cs="Arial"/>
          <w:color w:val="000000"/>
          <w:vertAlign w:val="superscript"/>
        </w:rPr>
        <w:footnoteReference w:id="7"/>
      </w:r>
    </w:p>
    <w:p w:rsidR="00CD05AA" w:rsidRDefault="00CD05AA"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F824FB" w:rsidRPr="00462B36"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t>I</w:t>
      </w:r>
      <w:r w:rsidR="006E47E5">
        <w:rPr>
          <w:rFonts w:ascii="Arial" w:eastAsia="Arial" w:hAnsi="Arial" w:cs="Arial"/>
          <w:color w:val="000000"/>
          <w:sz w:val="24"/>
          <w:szCs w:val="24"/>
        </w:rPr>
        <w:t xml:space="preserve"> now turn to consider whether leave to appeal to the high court against the conviction imposed by the regional court should have been granted.</w:t>
      </w:r>
      <w:r w:rsidR="00F824FB">
        <w:rPr>
          <w:rFonts w:ascii="Arial" w:eastAsia="Arial" w:hAnsi="Arial" w:cs="Arial"/>
          <w:color w:val="000000"/>
          <w:sz w:val="24"/>
          <w:szCs w:val="24"/>
        </w:rPr>
        <w:t xml:space="preserve"> I will refer to certain parts of the evidence that demonstrate</w:t>
      </w:r>
      <w:r w:rsidR="009874C8">
        <w:rPr>
          <w:rFonts w:ascii="Arial" w:eastAsia="Arial" w:hAnsi="Arial" w:cs="Arial"/>
          <w:color w:val="000000"/>
          <w:sz w:val="24"/>
          <w:szCs w:val="24"/>
        </w:rPr>
        <w:t>s</w:t>
      </w:r>
      <w:r w:rsidR="00F824FB">
        <w:rPr>
          <w:rFonts w:ascii="Arial" w:eastAsia="Arial" w:hAnsi="Arial" w:cs="Arial"/>
          <w:color w:val="000000"/>
          <w:sz w:val="24"/>
          <w:szCs w:val="24"/>
        </w:rPr>
        <w:t xml:space="preserve"> that there </w:t>
      </w:r>
      <w:r w:rsidR="00F824FB" w:rsidRPr="00462B36">
        <w:rPr>
          <w:rFonts w:ascii="Arial" w:eastAsia="Arial" w:hAnsi="Arial" w:cs="Arial"/>
          <w:color w:val="000000"/>
          <w:sz w:val="24"/>
          <w:szCs w:val="24"/>
        </w:rPr>
        <w:t xml:space="preserve">are no prospects of success. </w:t>
      </w:r>
    </w:p>
    <w:p w:rsidR="00F824FB" w:rsidRDefault="00F824FB"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0448FB" w:rsidRPr="000448FB"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r>
      <w:r w:rsidR="00657B59" w:rsidRPr="000448FB">
        <w:rPr>
          <w:rFonts w:ascii="Arial" w:eastAsia="Arial" w:hAnsi="Arial" w:cs="Arial"/>
          <w:color w:val="000000"/>
          <w:sz w:val="24"/>
          <w:szCs w:val="24"/>
        </w:rPr>
        <w:t>The complainant</w:t>
      </w:r>
      <w:r w:rsidR="00DE5D1D">
        <w:rPr>
          <w:rFonts w:ascii="Arial" w:eastAsia="Arial" w:hAnsi="Arial" w:cs="Arial"/>
          <w:color w:val="000000"/>
          <w:sz w:val="24"/>
          <w:szCs w:val="24"/>
        </w:rPr>
        <w:t xml:space="preserve">, Kwanele Arnold Dube, </w:t>
      </w:r>
      <w:r w:rsidR="00657B59" w:rsidRPr="000448FB">
        <w:rPr>
          <w:rFonts w:ascii="Arial" w:eastAsia="Arial" w:hAnsi="Arial" w:cs="Arial"/>
          <w:color w:val="000000"/>
          <w:sz w:val="24"/>
          <w:szCs w:val="24"/>
        </w:rPr>
        <w:t>testi</w:t>
      </w:r>
      <w:r w:rsidR="00DE5D1D">
        <w:rPr>
          <w:rFonts w:ascii="Arial" w:eastAsia="Arial" w:hAnsi="Arial" w:cs="Arial"/>
          <w:color w:val="000000"/>
          <w:sz w:val="24"/>
          <w:szCs w:val="24"/>
        </w:rPr>
        <w:t xml:space="preserve">fied </w:t>
      </w:r>
      <w:r w:rsidR="000448FB" w:rsidRPr="000448FB">
        <w:rPr>
          <w:rFonts w:ascii="Arial" w:eastAsia="Arial" w:hAnsi="Arial" w:cs="Arial"/>
          <w:color w:val="000000"/>
          <w:sz w:val="24"/>
          <w:szCs w:val="24"/>
        </w:rPr>
        <w:t xml:space="preserve">that he was robbed at gun point by two assailants. He was not aware that the gun being used was in fact a toy </w:t>
      </w:r>
      <w:r w:rsidR="000448FB" w:rsidRPr="000448FB">
        <w:rPr>
          <w:rFonts w:ascii="Arial" w:eastAsia="Arial" w:hAnsi="Arial" w:cs="Arial"/>
          <w:color w:val="000000"/>
          <w:sz w:val="24"/>
          <w:szCs w:val="24"/>
        </w:rPr>
        <w:lastRenderedPageBreak/>
        <w:t>gun</w:t>
      </w:r>
      <w:r w:rsidR="00A07CAD">
        <w:rPr>
          <w:rFonts w:ascii="Arial" w:eastAsia="Arial" w:hAnsi="Arial" w:cs="Arial"/>
          <w:color w:val="000000"/>
          <w:sz w:val="24"/>
          <w:szCs w:val="24"/>
        </w:rPr>
        <w:t xml:space="preserve"> or </w:t>
      </w:r>
      <w:r w:rsidR="000448FB">
        <w:rPr>
          <w:rFonts w:ascii="Arial" w:eastAsia="Arial" w:hAnsi="Arial" w:cs="Arial"/>
          <w:color w:val="000000"/>
          <w:sz w:val="24"/>
          <w:szCs w:val="24"/>
        </w:rPr>
        <w:t>air pistol</w:t>
      </w:r>
      <w:r w:rsidR="000448FB" w:rsidRPr="000448FB">
        <w:rPr>
          <w:rFonts w:ascii="Arial" w:eastAsia="Arial" w:hAnsi="Arial" w:cs="Arial"/>
          <w:color w:val="000000"/>
          <w:sz w:val="24"/>
          <w:szCs w:val="24"/>
        </w:rPr>
        <w:t xml:space="preserve">. </w:t>
      </w:r>
      <w:r w:rsidR="00A07CAD">
        <w:rPr>
          <w:rFonts w:ascii="Arial" w:eastAsia="Arial" w:hAnsi="Arial" w:cs="Arial"/>
          <w:color w:val="000000"/>
          <w:sz w:val="24"/>
          <w:szCs w:val="24"/>
        </w:rPr>
        <w:t>After being robbed h</w:t>
      </w:r>
      <w:r w:rsidR="000448FB" w:rsidRPr="000448FB">
        <w:rPr>
          <w:rFonts w:ascii="Arial" w:eastAsia="Arial" w:hAnsi="Arial" w:cs="Arial"/>
          <w:color w:val="000000"/>
          <w:sz w:val="24"/>
          <w:szCs w:val="24"/>
        </w:rPr>
        <w:t>e managed to follow his assailant</w:t>
      </w:r>
      <w:r w:rsidR="00A70225">
        <w:rPr>
          <w:rFonts w:ascii="Arial" w:eastAsia="Arial" w:hAnsi="Arial" w:cs="Arial"/>
          <w:color w:val="000000"/>
          <w:sz w:val="24"/>
          <w:szCs w:val="24"/>
        </w:rPr>
        <w:t>s</w:t>
      </w:r>
      <w:r w:rsidR="000448FB" w:rsidRPr="000448FB">
        <w:rPr>
          <w:rFonts w:ascii="Arial" w:eastAsia="Arial" w:hAnsi="Arial" w:cs="Arial"/>
          <w:color w:val="000000"/>
          <w:sz w:val="24"/>
          <w:szCs w:val="24"/>
        </w:rPr>
        <w:t xml:space="preserve"> and was present when they were apprehended and the toy</w:t>
      </w:r>
      <w:r w:rsidR="00A70225">
        <w:rPr>
          <w:rFonts w:ascii="Arial" w:eastAsia="Arial" w:hAnsi="Arial" w:cs="Arial"/>
          <w:color w:val="000000"/>
          <w:sz w:val="24"/>
          <w:szCs w:val="24"/>
        </w:rPr>
        <w:t xml:space="preserve"> gun </w:t>
      </w:r>
      <w:r w:rsidR="000448FB" w:rsidRPr="000448FB">
        <w:rPr>
          <w:rFonts w:ascii="Arial" w:eastAsia="Arial" w:hAnsi="Arial" w:cs="Arial"/>
          <w:color w:val="000000"/>
          <w:sz w:val="24"/>
          <w:szCs w:val="24"/>
        </w:rPr>
        <w:t>retrieved.</w:t>
      </w:r>
      <w:r w:rsidR="00A07CAD">
        <w:rPr>
          <w:rFonts w:ascii="Arial" w:eastAsia="Arial" w:hAnsi="Arial" w:cs="Arial"/>
          <w:color w:val="000000"/>
          <w:sz w:val="24"/>
          <w:szCs w:val="24"/>
        </w:rPr>
        <w:t xml:space="preserve"> </w:t>
      </w:r>
      <w:r w:rsidR="00A70225">
        <w:rPr>
          <w:rFonts w:ascii="Arial" w:eastAsia="Arial" w:hAnsi="Arial" w:cs="Arial"/>
          <w:color w:val="000000"/>
          <w:sz w:val="24"/>
          <w:szCs w:val="24"/>
        </w:rPr>
        <w:t>In order to apprehend them h</w:t>
      </w:r>
      <w:r w:rsidR="00A07CAD">
        <w:rPr>
          <w:rFonts w:ascii="Arial" w:eastAsia="Arial" w:hAnsi="Arial" w:cs="Arial"/>
          <w:color w:val="000000"/>
          <w:sz w:val="24"/>
          <w:szCs w:val="24"/>
        </w:rPr>
        <w:t xml:space="preserve">e sought assistance from one of his </w:t>
      </w:r>
      <w:r w:rsidR="00A70225">
        <w:rPr>
          <w:rFonts w:ascii="Arial" w:eastAsia="Arial" w:hAnsi="Arial" w:cs="Arial"/>
          <w:color w:val="000000"/>
          <w:sz w:val="24"/>
          <w:szCs w:val="24"/>
        </w:rPr>
        <w:t xml:space="preserve">colleagues in the </w:t>
      </w:r>
      <w:r w:rsidR="00A07CAD">
        <w:rPr>
          <w:rFonts w:ascii="Arial" w:eastAsia="Arial" w:hAnsi="Arial" w:cs="Arial"/>
          <w:color w:val="000000"/>
          <w:sz w:val="24"/>
          <w:szCs w:val="24"/>
        </w:rPr>
        <w:t xml:space="preserve">Community </w:t>
      </w:r>
      <w:r w:rsidR="008E5E3C">
        <w:rPr>
          <w:rFonts w:ascii="Arial" w:eastAsia="Arial" w:hAnsi="Arial" w:cs="Arial"/>
          <w:color w:val="000000"/>
          <w:sz w:val="24"/>
          <w:szCs w:val="24"/>
        </w:rPr>
        <w:t>Policing</w:t>
      </w:r>
      <w:r w:rsidR="00A07CAD">
        <w:rPr>
          <w:rFonts w:ascii="Arial" w:eastAsia="Arial" w:hAnsi="Arial" w:cs="Arial"/>
          <w:color w:val="000000"/>
          <w:sz w:val="24"/>
          <w:szCs w:val="24"/>
        </w:rPr>
        <w:t xml:space="preserve"> Forum (CPF), Simphiwe John Mthembu (Simphiwe)</w:t>
      </w:r>
      <w:r w:rsidR="00BD36FD">
        <w:rPr>
          <w:rFonts w:ascii="Arial" w:eastAsia="Arial" w:hAnsi="Arial" w:cs="Arial"/>
          <w:color w:val="000000"/>
          <w:sz w:val="24"/>
          <w:szCs w:val="24"/>
        </w:rPr>
        <w:t>. After receiving a call from the complainant</w:t>
      </w:r>
      <w:r w:rsidR="00526B34">
        <w:rPr>
          <w:rFonts w:ascii="Arial" w:eastAsia="Arial" w:hAnsi="Arial" w:cs="Arial"/>
          <w:color w:val="000000"/>
          <w:sz w:val="24"/>
          <w:szCs w:val="24"/>
        </w:rPr>
        <w:t>,</w:t>
      </w:r>
      <w:r w:rsidR="00BD36FD">
        <w:rPr>
          <w:rFonts w:ascii="Arial" w:eastAsia="Arial" w:hAnsi="Arial" w:cs="Arial"/>
          <w:color w:val="000000"/>
          <w:sz w:val="24"/>
          <w:szCs w:val="24"/>
        </w:rPr>
        <w:t xml:space="preserve"> Simphiwe arrived on the scene and </w:t>
      </w:r>
      <w:r w:rsidR="00A07CAD">
        <w:rPr>
          <w:rFonts w:ascii="Arial" w:eastAsia="Arial" w:hAnsi="Arial" w:cs="Arial"/>
          <w:color w:val="000000"/>
          <w:sz w:val="24"/>
          <w:szCs w:val="24"/>
        </w:rPr>
        <w:t xml:space="preserve">assisted </w:t>
      </w:r>
      <w:r w:rsidR="00526B34">
        <w:rPr>
          <w:rFonts w:ascii="Arial" w:eastAsia="Arial" w:hAnsi="Arial" w:cs="Arial"/>
          <w:color w:val="000000"/>
          <w:sz w:val="24"/>
          <w:szCs w:val="24"/>
        </w:rPr>
        <w:t xml:space="preserve">in the </w:t>
      </w:r>
      <w:r w:rsidR="00A07CAD">
        <w:rPr>
          <w:rFonts w:ascii="Arial" w:eastAsia="Arial" w:hAnsi="Arial" w:cs="Arial"/>
          <w:color w:val="000000"/>
          <w:sz w:val="24"/>
          <w:szCs w:val="24"/>
        </w:rPr>
        <w:t xml:space="preserve">arrest </w:t>
      </w:r>
      <w:r w:rsidR="00526B34">
        <w:rPr>
          <w:rFonts w:ascii="Arial" w:eastAsia="Arial" w:hAnsi="Arial" w:cs="Arial"/>
          <w:color w:val="000000"/>
          <w:sz w:val="24"/>
          <w:szCs w:val="24"/>
        </w:rPr>
        <w:t xml:space="preserve">of </w:t>
      </w:r>
      <w:r w:rsidR="00BD36FD">
        <w:rPr>
          <w:rFonts w:ascii="Arial" w:eastAsia="Arial" w:hAnsi="Arial" w:cs="Arial"/>
          <w:color w:val="000000"/>
          <w:sz w:val="24"/>
          <w:szCs w:val="24"/>
        </w:rPr>
        <w:t xml:space="preserve">the appellants </w:t>
      </w:r>
      <w:r w:rsidR="00A07CAD">
        <w:rPr>
          <w:rFonts w:ascii="Arial" w:eastAsia="Arial" w:hAnsi="Arial" w:cs="Arial"/>
          <w:color w:val="000000"/>
          <w:sz w:val="24"/>
          <w:szCs w:val="24"/>
        </w:rPr>
        <w:t>and retrieve</w:t>
      </w:r>
      <w:r w:rsidR="00BD36FD">
        <w:rPr>
          <w:rFonts w:ascii="Arial" w:eastAsia="Arial" w:hAnsi="Arial" w:cs="Arial"/>
          <w:color w:val="000000"/>
          <w:sz w:val="24"/>
          <w:szCs w:val="24"/>
        </w:rPr>
        <w:t>d</w:t>
      </w:r>
      <w:r w:rsidR="00A07CAD">
        <w:rPr>
          <w:rFonts w:ascii="Arial" w:eastAsia="Arial" w:hAnsi="Arial" w:cs="Arial"/>
          <w:color w:val="000000"/>
          <w:sz w:val="24"/>
          <w:szCs w:val="24"/>
        </w:rPr>
        <w:t xml:space="preserve"> the </w:t>
      </w:r>
      <w:r w:rsidR="00BD36FD">
        <w:rPr>
          <w:rFonts w:ascii="Arial" w:eastAsia="Arial" w:hAnsi="Arial" w:cs="Arial"/>
          <w:color w:val="000000"/>
          <w:sz w:val="24"/>
          <w:szCs w:val="24"/>
        </w:rPr>
        <w:t xml:space="preserve">toy </w:t>
      </w:r>
      <w:r w:rsidR="00382402">
        <w:rPr>
          <w:rFonts w:ascii="Arial" w:eastAsia="Arial" w:hAnsi="Arial" w:cs="Arial"/>
          <w:color w:val="000000"/>
          <w:sz w:val="24"/>
          <w:szCs w:val="24"/>
        </w:rPr>
        <w:t>gun from</w:t>
      </w:r>
      <w:r w:rsidR="00A07CAD">
        <w:rPr>
          <w:rFonts w:ascii="Arial" w:eastAsia="Arial" w:hAnsi="Arial" w:cs="Arial"/>
          <w:color w:val="000000"/>
          <w:sz w:val="24"/>
          <w:szCs w:val="24"/>
        </w:rPr>
        <w:t xml:space="preserve"> one of the appellants. The complainant also testified </w:t>
      </w:r>
      <w:r w:rsidR="00526B34">
        <w:rPr>
          <w:rFonts w:ascii="Arial" w:eastAsia="Arial" w:hAnsi="Arial" w:cs="Arial"/>
          <w:color w:val="000000"/>
          <w:sz w:val="24"/>
          <w:szCs w:val="24"/>
        </w:rPr>
        <w:t xml:space="preserve">that </w:t>
      </w:r>
      <w:r w:rsidR="00BD36FD">
        <w:rPr>
          <w:rFonts w:ascii="Arial" w:eastAsia="Arial" w:hAnsi="Arial" w:cs="Arial"/>
          <w:color w:val="000000"/>
          <w:sz w:val="24"/>
          <w:szCs w:val="24"/>
        </w:rPr>
        <w:t>whilst he and Simphiwe were on the scene,</w:t>
      </w:r>
      <w:r w:rsidR="00A07CAD">
        <w:rPr>
          <w:rFonts w:ascii="Arial" w:eastAsia="Arial" w:hAnsi="Arial" w:cs="Arial"/>
          <w:color w:val="000000"/>
          <w:sz w:val="24"/>
          <w:szCs w:val="24"/>
        </w:rPr>
        <w:t xml:space="preserve"> Constable Ndaonde </w:t>
      </w:r>
      <w:r w:rsidR="00BD36FD">
        <w:rPr>
          <w:rFonts w:ascii="Arial" w:eastAsia="Arial" w:hAnsi="Arial" w:cs="Arial"/>
          <w:color w:val="000000"/>
          <w:sz w:val="24"/>
          <w:szCs w:val="24"/>
        </w:rPr>
        <w:t xml:space="preserve">was in attendance </w:t>
      </w:r>
      <w:r w:rsidR="00A07CAD">
        <w:rPr>
          <w:rFonts w:ascii="Arial" w:eastAsia="Arial" w:hAnsi="Arial" w:cs="Arial"/>
          <w:color w:val="000000"/>
          <w:sz w:val="24"/>
          <w:szCs w:val="24"/>
        </w:rPr>
        <w:t>and Simphiwe</w:t>
      </w:r>
      <w:r w:rsidR="00382402">
        <w:rPr>
          <w:rFonts w:ascii="Arial" w:eastAsia="Arial" w:hAnsi="Arial" w:cs="Arial"/>
          <w:color w:val="000000"/>
          <w:sz w:val="24"/>
          <w:szCs w:val="24"/>
        </w:rPr>
        <w:t xml:space="preserve"> handed the toy gun to him</w:t>
      </w:r>
      <w:r w:rsidR="00A07CAD">
        <w:rPr>
          <w:rFonts w:ascii="Arial" w:eastAsia="Arial" w:hAnsi="Arial" w:cs="Arial"/>
          <w:color w:val="000000"/>
          <w:sz w:val="24"/>
          <w:szCs w:val="24"/>
        </w:rPr>
        <w:t xml:space="preserve">.  </w:t>
      </w:r>
    </w:p>
    <w:p w:rsidR="000448FB" w:rsidRPr="000448FB" w:rsidRDefault="000448FB"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highlight w:val="yellow"/>
        </w:rPr>
        <w:t xml:space="preserve"> </w:t>
      </w:r>
    </w:p>
    <w:p w:rsidR="00CD05AA"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r>
      <w:r w:rsidR="008831BB" w:rsidRPr="000448FB">
        <w:rPr>
          <w:rFonts w:ascii="Arial" w:eastAsia="Arial" w:hAnsi="Arial" w:cs="Arial"/>
          <w:color w:val="000000"/>
          <w:sz w:val="24"/>
          <w:szCs w:val="24"/>
        </w:rPr>
        <w:t>On appeal before us</w:t>
      </w:r>
      <w:r w:rsidR="00E85772" w:rsidRPr="000448FB">
        <w:rPr>
          <w:rFonts w:ascii="Arial" w:eastAsia="Arial" w:hAnsi="Arial" w:cs="Arial"/>
          <w:color w:val="000000"/>
          <w:sz w:val="24"/>
          <w:szCs w:val="24"/>
        </w:rPr>
        <w:t xml:space="preserve">, </w:t>
      </w:r>
      <w:r w:rsidR="008831BB" w:rsidRPr="000448FB">
        <w:rPr>
          <w:rFonts w:ascii="Arial" w:eastAsia="Arial" w:hAnsi="Arial" w:cs="Arial"/>
          <w:color w:val="000000"/>
          <w:sz w:val="24"/>
          <w:szCs w:val="24"/>
        </w:rPr>
        <w:t>counsel</w:t>
      </w:r>
      <w:r w:rsidR="008831BB" w:rsidRPr="00657B59">
        <w:rPr>
          <w:rFonts w:ascii="Arial" w:eastAsia="Arial" w:hAnsi="Arial" w:cs="Arial"/>
          <w:color w:val="000000"/>
          <w:sz w:val="24"/>
          <w:szCs w:val="24"/>
        </w:rPr>
        <w:t xml:space="preserve"> for</w:t>
      </w:r>
      <w:r w:rsidR="00E85772" w:rsidRPr="00657B59">
        <w:rPr>
          <w:rFonts w:ascii="Arial" w:eastAsia="Arial" w:hAnsi="Arial" w:cs="Arial"/>
          <w:color w:val="000000"/>
          <w:sz w:val="24"/>
          <w:szCs w:val="24"/>
        </w:rPr>
        <w:t xml:space="preserve"> the appellant</w:t>
      </w:r>
      <w:r w:rsidR="00657B59" w:rsidRPr="00657B59">
        <w:rPr>
          <w:rFonts w:ascii="Arial" w:eastAsia="Arial" w:hAnsi="Arial" w:cs="Arial"/>
          <w:color w:val="000000"/>
          <w:sz w:val="24"/>
          <w:szCs w:val="24"/>
        </w:rPr>
        <w:t>s</w:t>
      </w:r>
      <w:r w:rsidR="00E85772" w:rsidRPr="00657B59">
        <w:rPr>
          <w:rFonts w:ascii="Arial" w:eastAsia="Arial" w:hAnsi="Arial" w:cs="Arial"/>
          <w:color w:val="000000"/>
          <w:sz w:val="24"/>
          <w:szCs w:val="24"/>
        </w:rPr>
        <w:t xml:space="preserve">, </w:t>
      </w:r>
      <w:r w:rsidR="00C86E95" w:rsidRPr="00657B59">
        <w:rPr>
          <w:rFonts w:ascii="Arial" w:eastAsia="Arial" w:hAnsi="Arial" w:cs="Arial"/>
          <w:color w:val="000000" w:themeColor="text1"/>
          <w:sz w:val="24"/>
          <w:szCs w:val="24"/>
        </w:rPr>
        <w:t xml:space="preserve">submitted </w:t>
      </w:r>
      <w:r w:rsidR="00E85772" w:rsidRPr="00657B59">
        <w:rPr>
          <w:rFonts w:ascii="Arial" w:eastAsia="Arial" w:hAnsi="Arial" w:cs="Arial"/>
          <w:color w:val="000000"/>
          <w:sz w:val="24"/>
          <w:szCs w:val="24"/>
        </w:rPr>
        <w:t xml:space="preserve">that the trial court misdirected itself as it failed to take cognisance of the fact that the </w:t>
      </w:r>
      <w:r w:rsidR="00657B59" w:rsidRPr="00657B59">
        <w:rPr>
          <w:rFonts w:ascii="Arial" w:eastAsia="Arial" w:hAnsi="Arial" w:cs="Arial"/>
          <w:color w:val="000000"/>
          <w:sz w:val="24"/>
          <w:szCs w:val="24"/>
        </w:rPr>
        <w:t xml:space="preserve">complainant was a single witness where the main issue in the trial was that of identification. In </w:t>
      </w:r>
      <w:r w:rsidR="00C172A5">
        <w:rPr>
          <w:rFonts w:ascii="Arial" w:eastAsia="Arial" w:hAnsi="Arial" w:cs="Arial"/>
          <w:color w:val="000000"/>
          <w:sz w:val="24"/>
          <w:szCs w:val="24"/>
        </w:rPr>
        <w:t xml:space="preserve">respect of </w:t>
      </w:r>
      <w:r w:rsidR="00657B59" w:rsidRPr="00657B59">
        <w:rPr>
          <w:rFonts w:ascii="Arial" w:eastAsia="Arial" w:hAnsi="Arial" w:cs="Arial"/>
          <w:color w:val="000000"/>
          <w:sz w:val="24"/>
          <w:szCs w:val="24"/>
        </w:rPr>
        <w:t xml:space="preserve">both </w:t>
      </w:r>
      <w:r w:rsidR="00C172A5">
        <w:rPr>
          <w:rFonts w:ascii="Arial" w:eastAsia="Arial" w:hAnsi="Arial" w:cs="Arial"/>
          <w:color w:val="000000"/>
          <w:sz w:val="24"/>
          <w:szCs w:val="24"/>
        </w:rPr>
        <w:t xml:space="preserve">a single witness and that of identification, </w:t>
      </w:r>
      <w:r w:rsidR="00657B59" w:rsidRPr="00657B59">
        <w:rPr>
          <w:rFonts w:ascii="Arial" w:eastAsia="Arial" w:hAnsi="Arial" w:cs="Arial"/>
          <w:color w:val="000000"/>
          <w:sz w:val="24"/>
          <w:szCs w:val="24"/>
        </w:rPr>
        <w:t xml:space="preserve">it was argued that the trial court ought to have demonstrated </w:t>
      </w:r>
      <w:r w:rsidR="00C172A5">
        <w:rPr>
          <w:rFonts w:ascii="Arial" w:eastAsia="Arial" w:hAnsi="Arial" w:cs="Arial"/>
          <w:color w:val="000000"/>
          <w:sz w:val="24"/>
          <w:szCs w:val="24"/>
        </w:rPr>
        <w:t xml:space="preserve">an </w:t>
      </w:r>
      <w:r w:rsidR="00657B59" w:rsidRPr="00657B59">
        <w:rPr>
          <w:rFonts w:ascii="Arial" w:eastAsia="Arial" w:hAnsi="Arial" w:cs="Arial"/>
          <w:color w:val="000000"/>
          <w:sz w:val="24"/>
          <w:szCs w:val="24"/>
        </w:rPr>
        <w:t xml:space="preserve">awareness and </w:t>
      </w:r>
      <w:r w:rsidR="00C172A5">
        <w:rPr>
          <w:rFonts w:ascii="Arial" w:eastAsia="Arial" w:hAnsi="Arial" w:cs="Arial"/>
          <w:color w:val="000000"/>
          <w:sz w:val="24"/>
          <w:szCs w:val="24"/>
        </w:rPr>
        <w:t xml:space="preserve">an </w:t>
      </w:r>
      <w:r w:rsidR="00657B59" w:rsidRPr="00657B59">
        <w:rPr>
          <w:rFonts w:ascii="Arial" w:eastAsia="Arial" w:hAnsi="Arial" w:cs="Arial"/>
          <w:color w:val="000000"/>
          <w:sz w:val="24"/>
          <w:szCs w:val="24"/>
        </w:rPr>
        <w:t xml:space="preserve">appreciation of </w:t>
      </w:r>
      <w:r w:rsidR="00C172A5">
        <w:rPr>
          <w:rFonts w:ascii="Arial" w:eastAsia="Arial" w:hAnsi="Arial" w:cs="Arial"/>
          <w:color w:val="000000"/>
          <w:sz w:val="24"/>
          <w:szCs w:val="24"/>
        </w:rPr>
        <w:t>the</w:t>
      </w:r>
      <w:r w:rsidR="00657B59" w:rsidRPr="00657B59">
        <w:rPr>
          <w:rFonts w:ascii="Arial" w:eastAsia="Arial" w:hAnsi="Arial" w:cs="Arial"/>
          <w:color w:val="000000"/>
          <w:sz w:val="24"/>
          <w:szCs w:val="24"/>
        </w:rPr>
        <w:t xml:space="preserve"> cautionary rule applicable in the circumstances. The </w:t>
      </w:r>
      <w:r w:rsidR="00E85772" w:rsidRPr="00657B59">
        <w:rPr>
          <w:rFonts w:ascii="Arial" w:eastAsia="Arial" w:hAnsi="Arial" w:cs="Arial"/>
          <w:color w:val="000000"/>
          <w:sz w:val="24"/>
          <w:szCs w:val="24"/>
        </w:rPr>
        <w:t>appellant</w:t>
      </w:r>
      <w:r w:rsidR="00DE5D1D">
        <w:rPr>
          <w:rFonts w:ascii="Arial" w:eastAsia="Arial" w:hAnsi="Arial" w:cs="Arial"/>
          <w:color w:val="000000"/>
          <w:sz w:val="24"/>
          <w:szCs w:val="24"/>
        </w:rPr>
        <w:t>s</w:t>
      </w:r>
      <w:r w:rsidR="00E85772" w:rsidRPr="00657B59">
        <w:rPr>
          <w:rFonts w:ascii="Arial" w:eastAsia="Arial" w:hAnsi="Arial" w:cs="Arial"/>
          <w:color w:val="000000"/>
          <w:sz w:val="24"/>
          <w:szCs w:val="24"/>
        </w:rPr>
        <w:t xml:space="preserve"> </w:t>
      </w:r>
      <w:r w:rsidR="00C172A5">
        <w:rPr>
          <w:rFonts w:ascii="Arial" w:eastAsia="Arial" w:hAnsi="Arial" w:cs="Arial"/>
          <w:color w:val="000000"/>
          <w:sz w:val="24"/>
          <w:szCs w:val="24"/>
        </w:rPr>
        <w:t>placed reliance on the fact that</w:t>
      </w:r>
      <w:r w:rsidR="00657B59" w:rsidRPr="00657B59">
        <w:rPr>
          <w:rFonts w:ascii="Arial" w:eastAsia="Arial" w:hAnsi="Arial" w:cs="Arial"/>
          <w:color w:val="000000"/>
          <w:sz w:val="24"/>
          <w:szCs w:val="24"/>
        </w:rPr>
        <w:t xml:space="preserve"> the incident happened very quickly</w:t>
      </w:r>
      <w:r w:rsidR="00C172A5">
        <w:rPr>
          <w:rFonts w:ascii="Arial" w:eastAsia="Arial" w:hAnsi="Arial" w:cs="Arial"/>
          <w:color w:val="000000"/>
          <w:sz w:val="24"/>
          <w:szCs w:val="24"/>
        </w:rPr>
        <w:t>,</w:t>
      </w:r>
      <w:r w:rsidR="00657B59" w:rsidRPr="00657B59">
        <w:rPr>
          <w:rFonts w:ascii="Arial" w:eastAsia="Arial" w:hAnsi="Arial" w:cs="Arial"/>
          <w:color w:val="000000"/>
          <w:sz w:val="24"/>
          <w:szCs w:val="24"/>
        </w:rPr>
        <w:t xml:space="preserve"> as</w:t>
      </w:r>
      <w:r w:rsidR="00DE5D1D">
        <w:rPr>
          <w:rFonts w:ascii="Arial" w:eastAsia="Arial" w:hAnsi="Arial" w:cs="Arial"/>
          <w:color w:val="000000"/>
          <w:sz w:val="24"/>
          <w:szCs w:val="24"/>
        </w:rPr>
        <w:t xml:space="preserve"> per the testimony of the complainant</w:t>
      </w:r>
      <w:r w:rsidR="00C172A5">
        <w:rPr>
          <w:rFonts w:ascii="Arial" w:eastAsia="Arial" w:hAnsi="Arial" w:cs="Arial"/>
          <w:color w:val="000000"/>
          <w:sz w:val="24"/>
          <w:szCs w:val="24"/>
        </w:rPr>
        <w:t>,</w:t>
      </w:r>
      <w:r w:rsidR="00DE5D1D">
        <w:rPr>
          <w:rFonts w:ascii="Arial" w:eastAsia="Arial" w:hAnsi="Arial" w:cs="Arial"/>
          <w:color w:val="000000"/>
          <w:sz w:val="24"/>
          <w:szCs w:val="24"/>
        </w:rPr>
        <w:t xml:space="preserve"> and as such he </w:t>
      </w:r>
      <w:r w:rsidR="00657B59" w:rsidRPr="00657B59">
        <w:rPr>
          <w:rFonts w:ascii="Arial" w:eastAsia="Arial" w:hAnsi="Arial" w:cs="Arial"/>
          <w:color w:val="000000"/>
          <w:sz w:val="24"/>
          <w:szCs w:val="24"/>
        </w:rPr>
        <w:t>did not have</w:t>
      </w:r>
      <w:r w:rsidR="00C172A5">
        <w:rPr>
          <w:rFonts w:ascii="Arial" w:eastAsia="Arial" w:hAnsi="Arial" w:cs="Arial"/>
          <w:color w:val="000000"/>
          <w:sz w:val="24"/>
          <w:szCs w:val="24"/>
        </w:rPr>
        <w:t xml:space="preserve"> an </w:t>
      </w:r>
      <w:r w:rsidR="00657B59" w:rsidRPr="00657B59">
        <w:rPr>
          <w:rFonts w:ascii="Arial" w:eastAsia="Arial" w:hAnsi="Arial" w:cs="Arial"/>
          <w:color w:val="000000"/>
          <w:sz w:val="24"/>
          <w:szCs w:val="24"/>
        </w:rPr>
        <w:t>‘adequate opportunity to observe the assailants</w:t>
      </w:r>
      <w:r w:rsidR="00C172A5">
        <w:rPr>
          <w:rFonts w:ascii="Arial" w:eastAsia="Arial" w:hAnsi="Arial" w:cs="Arial"/>
          <w:color w:val="000000"/>
          <w:sz w:val="24"/>
          <w:szCs w:val="24"/>
        </w:rPr>
        <w:t>’ who robbed him</w:t>
      </w:r>
      <w:r w:rsidR="00657B59" w:rsidRPr="00657B59">
        <w:rPr>
          <w:rFonts w:ascii="Arial" w:eastAsia="Arial" w:hAnsi="Arial" w:cs="Arial"/>
          <w:color w:val="000000"/>
          <w:sz w:val="24"/>
          <w:szCs w:val="24"/>
        </w:rPr>
        <w:t xml:space="preserve">. </w:t>
      </w:r>
    </w:p>
    <w:p w:rsidR="006E5C18" w:rsidRDefault="006E5C18" w:rsidP="001B5514">
      <w:pPr>
        <w:pStyle w:val="ListParagraph"/>
        <w:spacing w:line="360" w:lineRule="auto"/>
        <w:contextualSpacing w:val="0"/>
        <w:jc w:val="both"/>
        <w:rPr>
          <w:rFonts w:ascii="Arial" w:eastAsia="Arial" w:hAnsi="Arial" w:cs="Arial"/>
          <w:color w:val="000000"/>
          <w:sz w:val="24"/>
          <w:szCs w:val="24"/>
        </w:rPr>
      </w:pPr>
    </w:p>
    <w:p w:rsidR="00157810"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r>
      <w:r w:rsidR="00066E1B" w:rsidRPr="002752C6">
        <w:rPr>
          <w:rFonts w:ascii="Arial" w:eastAsia="Arial" w:hAnsi="Arial" w:cs="Arial"/>
          <w:color w:val="000000"/>
          <w:sz w:val="24"/>
          <w:szCs w:val="24"/>
        </w:rPr>
        <w:t>Furthermore, the</w:t>
      </w:r>
      <w:r w:rsidR="006E5C18" w:rsidRPr="002752C6">
        <w:rPr>
          <w:rFonts w:ascii="Arial" w:eastAsia="Arial" w:hAnsi="Arial" w:cs="Arial"/>
          <w:color w:val="000000"/>
          <w:sz w:val="24"/>
          <w:szCs w:val="24"/>
        </w:rPr>
        <w:t xml:space="preserve"> appellants</w:t>
      </w:r>
      <w:r w:rsidR="00C172A5" w:rsidRPr="002752C6">
        <w:rPr>
          <w:rFonts w:ascii="Arial" w:eastAsia="Arial" w:hAnsi="Arial" w:cs="Arial"/>
          <w:color w:val="000000"/>
          <w:sz w:val="24"/>
          <w:szCs w:val="24"/>
        </w:rPr>
        <w:t xml:space="preserve"> </w:t>
      </w:r>
      <w:r w:rsidR="00051E84" w:rsidRPr="002752C6">
        <w:rPr>
          <w:rFonts w:ascii="Arial" w:eastAsia="Arial" w:hAnsi="Arial" w:cs="Arial"/>
          <w:color w:val="000000"/>
          <w:sz w:val="24"/>
          <w:szCs w:val="24"/>
        </w:rPr>
        <w:t>challenge</w:t>
      </w:r>
      <w:r w:rsidR="00382402">
        <w:rPr>
          <w:rFonts w:ascii="Arial" w:eastAsia="Arial" w:hAnsi="Arial" w:cs="Arial"/>
          <w:color w:val="000000"/>
          <w:sz w:val="24"/>
          <w:szCs w:val="24"/>
        </w:rPr>
        <w:t>d</w:t>
      </w:r>
      <w:r w:rsidR="00051E84" w:rsidRPr="002752C6">
        <w:rPr>
          <w:rFonts w:ascii="Arial" w:eastAsia="Arial" w:hAnsi="Arial" w:cs="Arial"/>
          <w:color w:val="000000"/>
          <w:sz w:val="24"/>
          <w:szCs w:val="24"/>
        </w:rPr>
        <w:t xml:space="preserve"> </w:t>
      </w:r>
      <w:r w:rsidR="006E5C18" w:rsidRPr="002752C6">
        <w:rPr>
          <w:rFonts w:ascii="Arial" w:eastAsia="Arial" w:hAnsi="Arial" w:cs="Arial"/>
          <w:color w:val="000000"/>
          <w:sz w:val="24"/>
          <w:szCs w:val="24"/>
        </w:rPr>
        <w:t>the t</w:t>
      </w:r>
      <w:r w:rsidR="00051E84" w:rsidRPr="002752C6">
        <w:rPr>
          <w:rFonts w:ascii="Arial" w:eastAsia="Arial" w:hAnsi="Arial" w:cs="Arial"/>
          <w:color w:val="000000"/>
          <w:sz w:val="24"/>
          <w:szCs w:val="24"/>
        </w:rPr>
        <w:t>rial court</w:t>
      </w:r>
      <w:r w:rsidR="002752C6" w:rsidRPr="00F62014">
        <w:rPr>
          <w:rFonts w:ascii="Arial" w:eastAsia="Arial" w:hAnsi="Arial" w:cs="Arial"/>
          <w:color w:val="000000"/>
          <w:sz w:val="24"/>
          <w:szCs w:val="24"/>
        </w:rPr>
        <w:t>’s</w:t>
      </w:r>
      <w:r w:rsidR="00051E84" w:rsidRPr="002752C6">
        <w:rPr>
          <w:rFonts w:ascii="Arial" w:eastAsia="Arial" w:hAnsi="Arial" w:cs="Arial"/>
          <w:color w:val="000000"/>
          <w:sz w:val="24"/>
          <w:szCs w:val="24"/>
        </w:rPr>
        <w:t xml:space="preserve"> reli</w:t>
      </w:r>
      <w:r w:rsidR="002752C6" w:rsidRPr="00F62014">
        <w:rPr>
          <w:rFonts w:ascii="Arial" w:eastAsia="Arial" w:hAnsi="Arial" w:cs="Arial"/>
          <w:color w:val="000000"/>
          <w:sz w:val="24"/>
          <w:szCs w:val="24"/>
        </w:rPr>
        <w:t>ance</w:t>
      </w:r>
      <w:r w:rsidR="00051E84" w:rsidRPr="002752C6">
        <w:rPr>
          <w:rFonts w:ascii="Arial" w:eastAsia="Arial" w:hAnsi="Arial" w:cs="Arial"/>
          <w:color w:val="000000"/>
          <w:sz w:val="24"/>
          <w:szCs w:val="24"/>
        </w:rPr>
        <w:t xml:space="preserve"> </w:t>
      </w:r>
      <w:r w:rsidR="00382402">
        <w:rPr>
          <w:rFonts w:ascii="Arial" w:eastAsia="Arial" w:hAnsi="Arial" w:cs="Arial"/>
          <w:color w:val="000000"/>
          <w:sz w:val="24"/>
          <w:szCs w:val="24"/>
        </w:rPr>
        <w:t>on</w:t>
      </w:r>
      <w:r w:rsidR="006E5C18" w:rsidRPr="002752C6">
        <w:rPr>
          <w:rFonts w:ascii="Arial" w:eastAsia="Arial" w:hAnsi="Arial" w:cs="Arial"/>
          <w:color w:val="000000"/>
          <w:sz w:val="24"/>
          <w:szCs w:val="24"/>
        </w:rPr>
        <w:t xml:space="preserve"> </w:t>
      </w:r>
      <w:r w:rsidR="00DB4791">
        <w:rPr>
          <w:rFonts w:ascii="Arial" w:eastAsia="Arial" w:hAnsi="Arial" w:cs="Arial"/>
          <w:color w:val="000000"/>
          <w:sz w:val="24"/>
          <w:szCs w:val="24"/>
        </w:rPr>
        <w:t>Simphiwe’</w:t>
      </w:r>
      <w:r w:rsidR="002752C6" w:rsidRPr="00F62014">
        <w:rPr>
          <w:rFonts w:ascii="Arial" w:eastAsia="Arial" w:hAnsi="Arial" w:cs="Arial"/>
          <w:color w:val="000000"/>
          <w:sz w:val="24"/>
          <w:szCs w:val="24"/>
        </w:rPr>
        <w:t xml:space="preserve">s </w:t>
      </w:r>
      <w:r w:rsidR="00A07CAD" w:rsidRPr="002752C6">
        <w:rPr>
          <w:rFonts w:ascii="Arial" w:eastAsia="Arial" w:hAnsi="Arial" w:cs="Arial"/>
          <w:color w:val="000000"/>
          <w:sz w:val="24"/>
          <w:szCs w:val="24"/>
        </w:rPr>
        <w:t xml:space="preserve">evidence </w:t>
      </w:r>
      <w:r w:rsidR="002752C6" w:rsidRPr="00F62014">
        <w:rPr>
          <w:rFonts w:ascii="Arial" w:eastAsia="Arial" w:hAnsi="Arial" w:cs="Arial"/>
          <w:color w:val="000000"/>
          <w:sz w:val="24"/>
          <w:szCs w:val="24"/>
        </w:rPr>
        <w:t>as providing corroboration of the co</w:t>
      </w:r>
      <w:r w:rsidR="006E5C18" w:rsidRPr="002752C6">
        <w:rPr>
          <w:rFonts w:ascii="Arial" w:eastAsia="Arial" w:hAnsi="Arial" w:cs="Arial"/>
          <w:color w:val="000000"/>
          <w:sz w:val="24"/>
          <w:szCs w:val="24"/>
        </w:rPr>
        <w:t>mplainant</w:t>
      </w:r>
      <w:r w:rsidR="002752C6" w:rsidRPr="00F62014">
        <w:rPr>
          <w:rFonts w:ascii="Arial" w:eastAsia="Arial" w:hAnsi="Arial" w:cs="Arial"/>
          <w:color w:val="000000"/>
          <w:sz w:val="24"/>
          <w:szCs w:val="24"/>
        </w:rPr>
        <w:t>’s version</w:t>
      </w:r>
      <w:r w:rsidR="00051E84" w:rsidRPr="002752C6">
        <w:rPr>
          <w:rFonts w:ascii="Arial" w:eastAsia="Arial" w:hAnsi="Arial" w:cs="Arial"/>
          <w:color w:val="000000"/>
          <w:sz w:val="24"/>
          <w:szCs w:val="24"/>
        </w:rPr>
        <w:t>,</w:t>
      </w:r>
      <w:r w:rsidR="006E5C18" w:rsidRPr="002752C6">
        <w:rPr>
          <w:rFonts w:ascii="Arial" w:eastAsia="Arial" w:hAnsi="Arial" w:cs="Arial"/>
          <w:color w:val="000000"/>
          <w:sz w:val="24"/>
          <w:szCs w:val="24"/>
        </w:rPr>
        <w:t xml:space="preserve"> even </w:t>
      </w:r>
      <w:r w:rsidR="00051E84" w:rsidRPr="002752C6">
        <w:rPr>
          <w:rFonts w:ascii="Arial" w:eastAsia="Arial" w:hAnsi="Arial" w:cs="Arial"/>
          <w:color w:val="000000"/>
          <w:sz w:val="24"/>
          <w:szCs w:val="24"/>
        </w:rPr>
        <w:t xml:space="preserve">though </w:t>
      </w:r>
      <w:r w:rsidR="002752C6" w:rsidRPr="00F62014">
        <w:rPr>
          <w:rFonts w:ascii="Arial" w:eastAsia="Arial" w:hAnsi="Arial" w:cs="Arial"/>
          <w:color w:val="000000"/>
          <w:sz w:val="24"/>
          <w:szCs w:val="24"/>
        </w:rPr>
        <w:t>it</w:t>
      </w:r>
      <w:r w:rsidR="00051E84" w:rsidRPr="002752C6">
        <w:rPr>
          <w:rFonts w:ascii="Arial" w:eastAsia="Arial" w:hAnsi="Arial" w:cs="Arial"/>
          <w:color w:val="000000"/>
          <w:sz w:val="24"/>
          <w:szCs w:val="24"/>
        </w:rPr>
        <w:t xml:space="preserve"> </w:t>
      </w:r>
      <w:r w:rsidR="00157810" w:rsidRPr="002752C6">
        <w:rPr>
          <w:rFonts w:ascii="Arial" w:eastAsia="Arial" w:hAnsi="Arial" w:cs="Arial"/>
          <w:color w:val="000000"/>
          <w:sz w:val="24"/>
          <w:szCs w:val="24"/>
        </w:rPr>
        <w:t>acknowledged</w:t>
      </w:r>
      <w:r w:rsidR="006E5C18" w:rsidRPr="002752C6">
        <w:rPr>
          <w:rFonts w:ascii="Arial" w:eastAsia="Arial" w:hAnsi="Arial" w:cs="Arial"/>
          <w:color w:val="000000"/>
          <w:sz w:val="24"/>
          <w:szCs w:val="24"/>
        </w:rPr>
        <w:t xml:space="preserve"> that there were </w:t>
      </w:r>
      <w:r w:rsidR="002752C6" w:rsidRPr="00F62014">
        <w:rPr>
          <w:rFonts w:ascii="Arial" w:eastAsia="Arial" w:hAnsi="Arial" w:cs="Arial"/>
          <w:color w:val="000000"/>
          <w:sz w:val="24"/>
          <w:szCs w:val="24"/>
        </w:rPr>
        <w:t xml:space="preserve">some </w:t>
      </w:r>
      <w:r w:rsidR="00270544" w:rsidRPr="002752C6">
        <w:rPr>
          <w:rFonts w:ascii="Arial" w:eastAsia="Arial" w:hAnsi="Arial" w:cs="Arial"/>
          <w:color w:val="000000"/>
          <w:sz w:val="24"/>
          <w:szCs w:val="24"/>
        </w:rPr>
        <w:t>discrepancies</w:t>
      </w:r>
      <w:r w:rsidR="00157810" w:rsidRPr="002752C6">
        <w:rPr>
          <w:rFonts w:ascii="Arial" w:eastAsia="Arial" w:hAnsi="Arial" w:cs="Arial"/>
          <w:color w:val="000000"/>
          <w:sz w:val="24"/>
          <w:szCs w:val="24"/>
        </w:rPr>
        <w:t xml:space="preserve"> in their evidence</w:t>
      </w:r>
      <w:r w:rsidR="00270544" w:rsidRPr="002752C6">
        <w:rPr>
          <w:rFonts w:ascii="Arial" w:eastAsia="Arial" w:hAnsi="Arial" w:cs="Arial"/>
          <w:color w:val="000000"/>
          <w:sz w:val="24"/>
          <w:szCs w:val="24"/>
        </w:rPr>
        <w:t xml:space="preserve">, </w:t>
      </w:r>
      <w:r w:rsidR="002752C6">
        <w:rPr>
          <w:rFonts w:ascii="Arial" w:eastAsia="Arial" w:hAnsi="Arial" w:cs="Arial"/>
          <w:color w:val="000000"/>
          <w:sz w:val="24"/>
          <w:szCs w:val="24"/>
        </w:rPr>
        <w:t xml:space="preserve">for example </w:t>
      </w:r>
      <w:r w:rsidR="00270544" w:rsidRPr="002752C6">
        <w:rPr>
          <w:rFonts w:ascii="Arial" w:eastAsia="Arial" w:hAnsi="Arial" w:cs="Arial"/>
          <w:color w:val="000000"/>
          <w:sz w:val="24"/>
          <w:szCs w:val="24"/>
        </w:rPr>
        <w:t xml:space="preserve">who conducted the search of the appellants. </w:t>
      </w:r>
      <w:r w:rsidR="002752C6">
        <w:rPr>
          <w:rFonts w:ascii="Arial" w:eastAsia="Arial" w:hAnsi="Arial" w:cs="Arial"/>
          <w:color w:val="000000"/>
          <w:sz w:val="24"/>
          <w:szCs w:val="24"/>
        </w:rPr>
        <w:t>A</w:t>
      </w:r>
      <w:r w:rsidR="00270544" w:rsidRPr="002752C6">
        <w:rPr>
          <w:rFonts w:ascii="Arial" w:eastAsia="Arial" w:hAnsi="Arial" w:cs="Arial"/>
          <w:color w:val="000000"/>
          <w:sz w:val="24"/>
          <w:szCs w:val="24"/>
        </w:rPr>
        <w:t>s such</w:t>
      </w:r>
      <w:r w:rsidR="00066E1B" w:rsidRPr="002752C6">
        <w:rPr>
          <w:rFonts w:ascii="Arial" w:eastAsia="Arial" w:hAnsi="Arial" w:cs="Arial"/>
          <w:color w:val="000000"/>
          <w:sz w:val="24"/>
          <w:szCs w:val="24"/>
        </w:rPr>
        <w:t>,</w:t>
      </w:r>
      <w:r w:rsidR="00270544" w:rsidRPr="002752C6">
        <w:rPr>
          <w:rFonts w:ascii="Arial" w:eastAsia="Arial" w:hAnsi="Arial" w:cs="Arial"/>
          <w:color w:val="000000"/>
          <w:sz w:val="24"/>
          <w:szCs w:val="24"/>
        </w:rPr>
        <w:t xml:space="preserve"> </w:t>
      </w:r>
      <w:r w:rsidR="002752C6">
        <w:rPr>
          <w:rFonts w:ascii="Arial" w:eastAsia="Arial" w:hAnsi="Arial" w:cs="Arial"/>
          <w:color w:val="000000"/>
          <w:sz w:val="24"/>
          <w:szCs w:val="24"/>
        </w:rPr>
        <w:t>t</w:t>
      </w:r>
      <w:r w:rsidR="002752C6" w:rsidRPr="002752C6">
        <w:rPr>
          <w:rFonts w:ascii="Arial" w:eastAsia="Arial" w:hAnsi="Arial" w:cs="Arial"/>
          <w:color w:val="000000"/>
          <w:sz w:val="24"/>
          <w:szCs w:val="24"/>
        </w:rPr>
        <w:t xml:space="preserve">he appellants contended that </w:t>
      </w:r>
      <w:r w:rsidR="00270544" w:rsidRPr="002752C6">
        <w:rPr>
          <w:rFonts w:ascii="Arial" w:eastAsia="Arial" w:hAnsi="Arial" w:cs="Arial"/>
          <w:color w:val="000000"/>
          <w:sz w:val="24"/>
          <w:szCs w:val="24"/>
        </w:rPr>
        <w:t>the evaluation conducted by the trial court did not heed the applicable principles</w:t>
      </w:r>
      <w:r w:rsidR="00071B35" w:rsidRPr="002752C6">
        <w:rPr>
          <w:rFonts w:ascii="Arial" w:eastAsia="Arial" w:hAnsi="Arial" w:cs="Arial"/>
          <w:color w:val="000000"/>
          <w:sz w:val="24"/>
          <w:szCs w:val="24"/>
        </w:rPr>
        <w:t xml:space="preserve"> when deal</w:t>
      </w:r>
      <w:r w:rsidR="00FC155A" w:rsidRPr="002752C6">
        <w:rPr>
          <w:rFonts w:ascii="Arial" w:eastAsia="Arial" w:hAnsi="Arial" w:cs="Arial"/>
          <w:color w:val="000000"/>
          <w:sz w:val="24"/>
          <w:szCs w:val="24"/>
        </w:rPr>
        <w:t>ing</w:t>
      </w:r>
      <w:r w:rsidR="00071B35" w:rsidRPr="002752C6">
        <w:rPr>
          <w:rFonts w:ascii="Arial" w:eastAsia="Arial" w:hAnsi="Arial" w:cs="Arial"/>
          <w:color w:val="000000"/>
          <w:sz w:val="24"/>
          <w:szCs w:val="24"/>
        </w:rPr>
        <w:t xml:space="preserve"> with </w:t>
      </w:r>
      <w:r w:rsidR="00157810" w:rsidRPr="002752C6">
        <w:rPr>
          <w:rFonts w:ascii="Arial" w:eastAsia="Arial" w:hAnsi="Arial" w:cs="Arial"/>
          <w:color w:val="000000"/>
          <w:sz w:val="24"/>
          <w:szCs w:val="24"/>
        </w:rPr>
        <w:t xml:space="preserve">such </w:t>
      </w:r>
      <w:r w:rsidR="00071B35" w:rsidRPr="002752C6">
        <w:rPr>
          <w:rFonts w:ascii="Arial" w:eastAsia="Arial" w:hAnsi="Arial" w:cs="Arial"/>
          <w:color w:val="000000"/>
          <w:sz w:val="24"/>
          <w:szCs w:val="24"/>
        </w:rPr>
        <w:t>evidence</w:t>
      </w:r>
      <w:r w:rsidR="009B4687">
        <w:rPr>
          <w:rFonts w:ascii="Arial" w:eastAsia="Arial" w:hAnsi="Arial" w:cs="Arial"/>
          <w:color w:val="000000"/>
          <w:sz w:val="24"/>
          <w:szCs w:val="24"/>
        </w:rPr>
        <w:t>.</w:t>
      </w:r>
      <w:r w:rsidR="006E5C18">
        <w:rPr>
          <w:rFonts w:ascii="Arial" w:eastAsia="Arial" w:hAnsi="Arial" w:cs="Arial"/>
          <w:color w:val="000000"/>
          <w:sz w:val="24"/>
          <w:szCs w:val="24"/>
        </w:rPr>
        <w:t xml:space="preserve"> </w:t>
      </w:r>
    </w:p>
    <w:p w:rsidR="00157810" w:rsidRDefault="00157810" w:rsidP="001B5514">
      <w:pPr>
        <w:pStyle w:val="ListParagraph"/>
        <w:spacing w:line="360" w:lineRule="auto"/>
        <w:contextualSpacing w:val="0"/>
        <w:jc w:val="both"/>
        <w:rPr>
          <w:rFonts w:ascii="Arial" w:eastAsia="Arial" w:hAnsi="Arial" w:cs="Arial"/>
          <w:color w:val="000000" w:themeColor="text1"/>
          <w:sz w:val="24"/>
          <w:szCs w:val="24"/>
        </w:rPr>
      </w:pPr>
    </w:p>
    <w:p w:rsidR="00157810"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themeColor="text1"/>
          <w:sz w:val="24"/>
          <w:szCs w:val="24"/>
        </w:rPr>
        <w:t>[12]</w:t>
      </w:r>
      <w:r>
        <w:rPr>
          <w:rFonts w:ascii="Arial" w:eastAsia="Arial" w:hAnsi="Arial" w:cs="Arial"/>
          <w:color w:val="000000" w:themeColor="text1"/>
          <w:sz w:val="24"/>
          <w:szCs w:val="24"/>
        </w:rPr>
        <w:tab/>
      </w:r>
      <w:r w:rsidR="00157810" w:rsidRPr="00157810">
        <w:rPr>
          <w:rFonts w:ascii="Arial" w:eastAsia="Arial" w:hAnsi="Arial" w:cs="Arial"/>
          <w:color w:val="000000" w:themeColor="text1"/>
          <w:sz w:val="24"/>
          <w:szCs w:val="24"/>
        </w:rPr>
        <w:t>It is trite that an accused can be convicted on the evidence of a com</w:t>
      </w:r>
      <w:r w:rsidR="009B4687">
        <w:rPr>
          <w:rFonts w:ascii="Arial" w:eastAsia="Arial" w:hAnsi="Arial" w:cs="Arial"/>
          <w:color w:val="000000" w:themeColor="text1"/>
          <w:sz w:val="24"/>
          <w:szCs w:val="24"/>
        </w:rPr>
        <w:t>petent single witness’s</w:t>
      </w:r>
      <w:r w:rsidR="00157810" w:rsidRPr="00157810">
        <w:rPr>
          <w:rFonts w:ascii="Arial" w:eastAsia="Arial" w:hAnsi="Arial" w:cs="Arial"/>
          <w:color w:val="000000" w:themeColor="text1"/>
          <w:sz w:val="24"/>
          <w:szCs w:val="24"/>
        </w:rPr>
        <w:t>.</w:t>
      </w:r>
      <w:r w:rsidR="00157810">
        <w:rPr>
          <w:rStyle w:val="FootnoteReference"/>
          <w:rFonts w:ascii="Arial" w:eastAsia="Arial" w:hAnsi="Arial" w:cs="Arial"/>
          <w:color w:val="000000" w:themeColor="text1"/>
          <w:sz w:val="24"/>
          <w:szCs w:val="24"/>
        </w:rPr>
        <w:footnoteReference w:id="8"/>
      </w:r>
      <w:r w:rsidR="00157810" w:rsidRPr="00157810">
        <w:rPr>
          <w:rFonts w:ascii="Arial" w:eastAsia="Arial" w:hAnsi="Arial" w:cs="Arial"/>
          <w:color w:val="000000" w:themeColor="text1"/>
          <w:sz w:val="24"/>
          <w:szCs w:val="24"/>
        </w:rPr>
        <w:t xml:space="preserve"> In some instances contradictions in the evidence of a single witness maybe fatal,</w:t>
      </w:r>
      <w:r w:rsidR="00157810">
        <w:rPr>
          <w:rStyle w:val="FootnoteReference"/>
          <w:rFonts w:ascii="Arial" w:eastAsia="Arial" w:hAnsi="Arial" w:cs="Arial"/>
          <w:color w:val="000000" w:themeColor="text1"/>
          <w:sz w:val="24"/>
          <w:szCs w:val="24"/>
        </w:rPr>
        <w:footnoteReference w:id="9"/>
      </w:r>
      <w:r w:rsidR="00157810" w:rsidRPr="00157810">
        <w:rPr>
          <w:rFonts w:ascii="Arial" w:eastAsia="Arial" w:hAnsi="Arial" w:cs="Arial"/>
          <w:color w:val="000000" w:themeColor="text1"/>
          <w:sz w:val="24"/>
          <w:szCs w:val="24"/>
        </w:rPr>
        <w:t xml:space="preserve"> whilst in other</w:t>
      </w:r>
      <w:r w:rsidR="002752C6">
        <w:rPr>
          <w:rFonts w:ascii="Arial" w:eastAsia="Arial" w:hAnsi="Arial" w:cs="Arial"/>
          <w:color w:val="000000" w:themeColor="text1"/>
          <w:sz w:val="24"/>
          <w:szCs w:val="24"/>
        </w:rPr>
        <w:t xml:space="preserve">s </w:t>
      </w:r>
      <w:r w:rsidR="00157810" w:rsidRPr="00157810">
        <w:rPr>
          <w:rFonts w:ascii="Arial" w:eastAsia="Arial" w:hAnsi="Arial" w:cs="Arial"/>
          <w:color w:val="000000" w:themeColor="text1"/>
          <w:sz w:val="24"/>
          <w:szCs w:val="24"/>
        </w:rPr>
        <w:t>they may not.</w:t>
      </w:r>
      <w:r w:rsidR="00157810">
        <w:rPr>
          <w:rStyle w:val="FootnoteReference"/>
          <w:rFonts w:ascii="Arial" w:eastAsia="Arial" w:hAnsi="Arial" w:cs="Arial"/>
          <w:color w:val="000000" w:themeColor="text1"/>
          <w:sz w:val="24"/>
          <w:szCs w:val="24"/>
        </w:rPr>
        <w:footnoteReference w:id="10"/>
      </w:r>
      <w:r w:rsidR="00157810" w:rsidRPr="00157810">
        <w:rPr>
          <w:rFonts w:ascii="Arial" w:eastAsia="Arial" w:hAnsi="Arial" w:cs="Arial"/>
          <w:color w:val="000000" w:themeColor="text1"/>
          <w:sz w:val="24"/>
          <w:szCs w:val="24"/>
        </w:rPr>
        <w:t xml:space="preserve"> </w:t>
      </w:r>
      <w:r w:rsidR="002752C6">
        <w:rPr>
          <w:rFonts w:ascii="Arial" w:eastAsia="Arial" w:hAnsi="Arial" w:cs="Arial"/>
          <w:color w:val="000000" w:themeColor="text1"/>
          <w:sz w:val="24"/>
          <w:szCs w:val="24"/>
        </w:rPr>
        <w:t>Here</w:t>
      </w:r>
      <w:r w:rsidR="00157810" w:rsidRPr="00157810">
        <w:rPr>
          <w:rFonts w:ascii="Arial" w:eastAsia="Arial" w:hAnsi="Arial" w:cs="Arial"/>
          <w:color w:val="000000" w:themeColor="text1"/>
          <w:sz w:val="24"/>
          <w:szCs w:val="24"/>
        </w:rPr>
        <w:t xml:space="preserve"> the evidence of the complainant is </w:t>
      </w:r>
      <w:r w:rsidR="00157810">
        <w:rPr>
          <w:rFonts w:ascii="Arial" w:eastAsia="Arial" w:hAnsi="Arial" w:cs="Arial"/>
          <w:color w:val="000000" w:themeColor="text1"/>
          <w:sz w:val="24"/>
          <w:szCs w:val="24"/>
        </w:rPr>
        <w:t xml:space="preserve">corroborated by </w:t>
      </w:r>
      <w:r w:rsidR="00157810" w:rsidRPr="00157810">
        <w:rPr>
          <w:rFonts w:ascii="Arial" w:eastAsia="Arial" w:hAnsi="Arial" w:cs="Arial"/>
          <w:color w:val="000000" w:themeColor="text1"/>
          <w:sz w:val="24"/>
          <w:szCs w:val="24"/>
        </w:rPr>
        <w:t>Simphiwe who a</w:t>
      </w:r>
      <w:r w:rsidR="009B4687">
        <w:rPr>
          <w:rFonts w:ascii="Arial" w:eastAsia="Arial" w:hAnsi="Arial" w:cs="Arial"/>
          <w:color w:val="000000" w:themeColor="text1"/>
          <w:sz w:val="24"/>
          <w:szCs w:val="24"/>
        </w:rPr>
        <w:t>rrived to assist</w:t>
      </w:r>
      <w:r w:rsidR="00157810" w:rsidRPr="00157810">
        <w:rPr>
          <w:rFonts w:ascii="Arial" w:eastAsia="Arial" w:hAnsi="Arial" w:cs="Arial"/>
          <w:color w:val="000000" w:themeColor="text1"/>
          <w:sz w:val="24"/>
          <w:szCs w:val="24"/>
        </w:rPr>
        <w:t xml:space="preserve">. </w:t>
      </w:r>
      <w:r w:rsidR="00F62014" w:rsidRPr="00157810">
        <w:rPr>
          <w:rFonts w:ascii="Arial" w:eastAsia="Arial" w:hAnsi="Arial" w:cs="Arial"/>
          <w:color w:val="000000" w:themeColor="text1"/>
          <w:sz w:val="24"/>
          <w:szCs w:val="24"/>
        </w:rPr>
        <w:t xml:space="preserve">The </w:t>
      </w:r>
      <w:r w:rsidR="00F62014">
        <w:rPr>
          <w:rFonts w:ascii="Arial" w:eastAsia="Arial" w:hAnsi="Arial" w:cs="Arial"/>
          <w:color w:val="000000" w:themeColor="text1"/>
          <w:sz w:val="24"/>
          <w:szCs w:val="24"/>
        </w:rPr>
        <w:t>identification</w:t>
      </w:r>
      <w:r w:rsidR="00157810" w:rsidRPr="00157810">
        <w:rPr>
          <w:rFonts w:ascii="Arial" w:eastAsia="Arial" w:hAnsi="Arial" w:cs="Arial"/>
          <w:color w:val="000000" w:themeColor="text1"/>
          <w:sz w:val="24"/>
          <w:szCs w:val="24"/>
        </w:rPr>
        <w:t xml:space="preserve"> of the perpetrators </w:t>
      </w:r>
      <w:r w:rsidR="002752C6">
        <w:rPr>
          <w:rFonts w:ascii="Arial" w:eastAsia="Arial" w:hAnsi="Arial" w:cs="Arial"/>
          <w:color w:val="000000" w:themeColor="text1"/>
          <w:sz w:val="24"/>
          <w:szCs w:val="24"/>
        </w:rPr>
        <w:lastRenderedPageBreak/>
        <w:t>is</w:t>
      </w:r>
      <w:r w:rsidR="00157810" w:rsidRPr="00157810">
        <w:rPr>
          <w:rFonts w:ascii="Arial" w:eastAsia="Arial" w:hAnsi="Arial" w:cs="Arial"/>
          <w:color w:val="000000" w:themeColor="text1"/>
          <w:sz w:val="24"/>
          <w:szCs w:val="24"/>
        </w:rPr>
        <w:t xml:space="preserve"> guided by the considerations expressed in </w:t>
      </w:r>
      <w:r w:rsidR="00157810" w:rsidRPr="00157810">
        <w:rPr>
          <w:rFonts w:ascii="Arial" w:eastAsia="Arial" w:hAnsi="Arial" w:cs="Arial"/>
          <w:i/>
          <w:color w:val="000000" w:themeColor="text1"/>
          <w:sz w:val="24"/>
          <w:szCs w:val="24"/>
        </w:rPr>
        <w:t>S v Mthetwa</w:t>
      </w:r>
      <w:r w:rsidR="004B2F67">
        <w:rPr>
          <w:rStyle w:val="FootnoteReference"/>
          <w:rFonts w:ascii="Arial" w:eastAsia="Arial" w:hAnsi="Arial" w:cs="Arial"/>
          <w:i/>
          <w:color w:val="000000" w:themeColor="text1"/>
          <w:sz w:val="24"/>
          <w:szCs w:val="24"/>
        </w:rPr>
        <w:footnoteReference w:id="11"/>
      </w:r>
      <w:r w:rsidR="00157810" w:rsidRPr="00157810">
        <w:rPr>
          <w:rFonts w:ascii="Arial" w:eastAsia="Arial" w:hAnsi="Arial" w:cs="Arial"/>
          <w:color w:val="000000" w:themeColor="text1"/>
          <w:sz w:val="24"/>
          <w:szCs w:val="24"/>
        </w:rPr>
        <w:t xml:space="preserve"> that</w:t>
      </w:r>
      <w:r w:rsidR="004B2F67">
        <w:rPr>
          <w:rFonts w:ascii="Arial" w:eastAsia="Arial" w:hAnsi="Arial" w:cs="Arial"/>
          <w:color w:val="000000" w:themeColor="text1"/>
          <w:sz w:val="24"/>
          <w:szCs w:val="24"/>
        </w:rPr>
        <w:t>,</w:t>
      </w:r>
      <w:r w:rsidR="00157810">
        <w:rPr>
          <w:rFonts w:ascii="Arial" w:eastAsia="Arial" w:hAnsi="Arial" w:cs="Arial"/>
          <w:color w:val="000000" w:themeColor="text1"/>
          <w:sz w:val="24"/>
          <w:szCs w:val="24"/>
        </w:rPr>
        <w:t xml:space="preserve"> because of </w:t>
      </w:r>
      <w:r w:rsidR="00157810" w:rsidRPr="00157810">
        <w:rPr>
          <w:rFonts w:ascii="Arial" w:eastAsia="Arial" w:hAnsi="Arial" w:cs="Arial"/>
          <w:color w:val="000000" w:themeColor="text1"/>
          <w:sz w:val="24"/>
          <w:szCs w:val="24"/>
        </w:rPr>
        <w:t xml:space="preserve">the fallibility of human observation, evidence of identification is approached by the courts with caution. </w:t>
      </w:r>
      <w:r w:rsidR="00157810">
        <w:rPr>
          <w:rFonts w:ascii="Arial" w:eastAsia="Arial" w:hAnsi="Arial" w:cs="Arial"/>
          <w:color w:val="000000" w:themeColor="text1"/>
          <w:sz w:val="24"/>
          <w:szCs w:val="24"/>
        </w:rPr>
        <w:t>Taking the aforesaid into account, t</w:t>
      </w:r>
      <w:r w:rsidR="00157810" w:rsidRPr="00157810">
        <w:rPr>
          <w:rFonts w:ascii="Arial" w:eastAsia="Arial" w:hAnsi="Arial" w:cs="Arial"/>
          <w:color w:val="000000" w:themeColor="text1"/>
          <w:sz w:val="24"/>
          <w:szCs w:val="24"/>
        </w:rPr>
        <w:t>he reliability</w:t>
      </w:r>
      <w:r w:rsidR="00157810">
        <w:rPr>
          <w:rFonts w:ascii="Arial" w:eastAsia="Arial" w:hAnsi="Arial" w:cs="Arial"/>
          <w:color w:val="000000" w:themeColor="text1"/>
          <w:sz w:val="24"/>
          <w:szCs w:val="24"/>
        </w:rPr>
        <w:t xml:space="preserve"> of the evidence of a complainant</w:t>
      </w:r>
      <w:r w:rsidR="00157810" w:rsidRPr="00157810">
        <w:rPr>
          <w:rFonts w:ascii="Arial" w:eastAsia="Arial" w:hAnsi="Arial" w:cs="Arial"/>
          <w:color w:val="000000" w:themeColor="text1"/>
          <w:sz w:val="24"/>
          <w:szCs w:val="24"/>
        </w:rPr>
        <w:t xml:space="preserve"> must be tested</w:t>
      </w:r>
      <w:r w:rsidR="00157810">
        <w:rPr>
          <w:rFonts w:ascii="Arial" w:eastAsia="Arial" w:hAnsi="Arial" w:cs="Arial"/>
          <w:color w:val="000000" w:themeColor="text1"/>
          <w:sz w:val="24"/>
          <w:szCs w:val="24"/>
        </w:rPr>
        <w:t>,</w:t>
      </w:r>
      <w:r w:rsidR="00157810" w:rsidRPr="00157810">
        <w:rPr>
          <w:rFonts w:ascii="Arial" w:eastAsia="Arial" w:hAnsi="Arial" w:cs="Arial"/>
          <w:color w:val="000000" w:themeColor="text1"/>
          <w:sz w:val="24"/>
          <w:szCs w:val="24"/>
        </w:rPr>
        <w:t xml:space="preserve"> </w:t>
      </w:r>
      <w:r w:rsidR="009B4687">
        <w:rPr>
          <w:rFonts w:ascii="Arial" w:eastAsia="Arial" w:hAnsi="Arial" w:cs="Arial"/>
          <w:color w:val="000000" w:themeColor="text1"/>
          <w:sz w:val="24"/>
          <w:szCs w:val="24"/>
        </w:rPr>
        <w:t>even though</w:t>
      </w:r>
      <w:r w:rsidR="00157810" w:rsidRPr="00157810">
        <w:rPr>
          <w:rFonts w:ascii="Arial" w:eastAsia="Arial" w:hAnsi="Arial" w:cs="Arial"/>
          <w:color w:val="000000" w:themeColor="text1"/>
          <w:sz w:val="24"/>
          <w:szCs w:val="24"/>
        </w:rPr>
        <w:t xml:space="preserve"> he</w:t>
      </w:r>
      <w:r w:rsidR="00157810">
        <w:rPr>
          <w:rFonts w:ascii="Arial" w:eastAsia="Arial" w:hAnsi="Arial" w:cs="Arial"/>
          <w:color w:val="000000" w:themeColor="text1"/>
          <w:sz w:val="24"/>
          <w:szCs w:val="24"/>
        </w:rPr>
        <w:t xml:space="preserve"> or she</w:t>
      </w:r>
      <w:r w:rsidR="00157810" w:rsidRPr="00157810">
        <w:rPr>
          <w:rFonts w:ascii="Arial" w:eastAsia="Arial" w:hAnsi="Arial" w:cs="Arial"/>
          <w:color w:val="000000" w:themeColor="text1"/>
          <w:sz w:val="24"/>
          <w:szCs w:val="24"/>
        </w:rPr>
        <w:t xml:space="preserve"> comes across as being an honest witness. In </w:t>
      </w:r>
      <w:r w:rsidR="00157810">
        <w:rPr>
          <w:rFonts w:ascii="Arial" w:eastAsia="Arial" w:hAnsi="Arial" w:cs="Arial"/>
          <w:color w:val="000000" w:themeColor="text1"/>
          <w:sz w:val="24"/>
          <w:szCs w:val="24"/>
        </w:rPr>
        <w:t>the case at hand,</w:t>
      </w:r>
      <w:r w:rsidR="00157810" w:rsidRPr="00157810">
        <w:rPr>
          <w:rFonts w:ascii="Arial" w:eastAsia="Arial" w:hAnsi="Arial" w:cs="Arial"/>
          <w:color w:val="000000" w:themeColor="text1"/>
          <w:sz w:val="24"/>
          <w:szCs w:val="24"/>
        </w:rPr>
        <w:t xml:space="preserve"> the proximity of the complain</w:t>
      </w:r>
      <w:r w:rsidR="00157810">
        <w:rPr>
          <w:rFonts w:ascii="Arial" w:eastAsia="Arial" w:hAnsi="Arial" w:cs="Arial"/>
          <w:color w:val="000000" w:themeColor="text1"/>
          <w:sz w:val="24"/>
          <w:szCs w:val="24"/>
        </w:rPr>
        <w:t>an</w:t>
      </w:r>
      <w:r w:rsidR="00157810" w:rsidRPr="00157810">
        <w:rPr>
          <w:rFonts w:ascii="Arial" w:eastAsia="Arial" w:hAnsi="Arial" w:cs="Arial"/>
          <w:color w:val="000000" w:themeColor="text1"/>
          <w:sz w:val="24"/>
          <w:szCs w:val="24"/>
        </w:rPr>
        <w:t>t to the appellants</w:t>
      </w:r>
      <w:r w:rsidR="00157810">
        <w:rPr>
          <w:rFonts w:ascii="Arial" w:eastAsia="Arial" w:hAnsi="Arial" w:cs="Arial"/>
          <w:color w:val="000000" w:themeColor="text1"/>
          <w:sz w:val="24"/>
          <w:szCs w:val="24"/>
        </w:rPr>
        <w:t xml:space="preserve"> during the incident and thereafter on the scene</w:t>
      </w:r>
      <w:r w:rsidR="00157810" w:rsidRPr="00157810">
        <w:rPr>
          <w:rFonts w:ascii="Arial" w:eastAsia="Arial" w:hAnsi="Arial" w:cs="Arial"/>
          <w:color w:val="000000" w:themeColor="text1"/>
          <w:sz w:val="24"/>
          <w:szCs w:val="24"/>
        </w:rPr>
        <w:t>, the corroboration by Simphiwe</w:t>
      </w:r>
      <w:r w:rsidR="00157810">
        <w:rPr>
          <w:rFonts w:ascii="Arial" w:eastAsia="Arial" w:hAnsi="Arial" w:cs="Arial"/>
          <w:color w:val="000000" w:themeColor="text1"/>
          <w:sz w:val="24"/>
          <w:szCs w:val="24"/>
        </w:rPr>
        <w:t xml:space="preserve"> on the apprehension of the appellants</w:t>
      </w:r>
      <w:r w:rsidR="00157810" w:rsidRPr="00157810">
        <w:rPr>
          <w:rFonts w:ascii="Arial" w:eastAsia="Arial" w:hAnsi="Arial" w:cs="Arial"/>
          <w:color w:val="000000" w:themeColor="text1"/>
          <w:sz w:val="24"/>
          <w:szCs w:val="24"/>
        </w:rPr>
        <w:t xml:space="preserve">, </w:t>
      </w:r>
      <w:r w:rsidR="00157810">
        <w:rPr>
          <w:rFonts w:ascii="Arial" w:eastAsia="Arial" w:hAnsi="Arial" w:cs="Arial"/>
          <w:color w:val="000000" w:themeColor="text1"/>
          <w:sz w:val="24"/>
          <w:szCs w:val="24"/>
        </w:rPr>
        <w:t xml:space="preserve">coupled with </w:t>
      </w:r>
      <w:r w:rsidR="001B1EF0">
        <w:rPr>
          <w:rFonts w:ascii="Arial" w:eastAsia="Arial" w:hAnsi="Arial" w:cs="Arial"/>
          <w:color w:val="000000" w:themeColor="text1"/>
          <w:sz w:val="24"/>
          <w:szCs w:val="24"/>
        </w:rPr>
        <w:t>the evidence advanced</w:t>
      </w:r>
      <w:r w:rsidR="00157810" w:rsidRPr="00157810">
        <w:rPr>
          <w:rFonts w:ascii="Arial" w:eastAsia="Arial" w:hAnsi="Arial" w:cs="Arial"/>
          <w:color w:val="000000" w:themeColor="text1"/>
          <w:sz w:val="24"/>
          <w:szCs w:val="24"/>
        </w:rPr>
        <w:t xml:space="preserve"> by the appellants</w:t>
      </w:r>
      <w:r w:rsidR="00157810">
        <w:rPr>
          <w:rFonts w:ascii="Arial" w:eastAsia="Arial" w:hAnsi="Arial" w:cs="Arial"/>
          <w:color w:val="000000" w:themeColor="text1"/>
          <w:sz w:val="24"/>
          <w:szCs w:val="24"/>
        </w:rPr>
        <w:t xml:space="preserve"> themselves</w:t>
      </w:r>
      <w:r w:rsidR="00157810" w:rsidRPr="00157810">
        <w:rPr>
          <w:rFonts w:ascii="Arial" w:eastAsia="Arial" w:hAnsi="Arial" w:cs="Arial"/>
          <w:color w:val="000000" w:themeColor="text1"/>
          <w:sz w:val="24"/>
          <w:szCs w:val="24"/>
        </w:rPr>
        <w:t xml:space="preserve"> ‘must be weighed up one against the other, in the light of the totality of the evidence, and the probabilities’</w:t>
      </w:r>
      <w:r w:rsidR="005038E3">
        <w:rPr>
          <w:rFonts w:ascii="Arial" w:eastAsia="Arial" w:hAnsi="Arial" w:cs="Arial"/>
          <w:color w:val="000000" w:themeColor="text1"/>
          <w:sz w:val="24"/>
          <w:szCs w:val="24"/>
        </w:rPr>
        <w:t>.</w:t>
      </w:r>
      <w:r w:rsidR="00157810">
        <w:rPr>
          <w:rStyle w:val="FootnoteReference"/>
          <w:rFonts w:ascii="Arial" w:eastAsia="Arial" w:hAnsi="Arial" w:cs="Arial"/>
          <w:color w:val="000000" w:themeColor="text1"/>
          <w:sz w:val="24"/>
          <w:szCs w:val="24"/>
        </w:rPr>
        <w:footnoteReference w:id="12"/>
      </w:r>
    </w:p>
    <w:p w:rsidR="00157810" w:rsidRDefault="00157810" w:rsidP="001B5514">
      <w:pPr>
        <w:pStyle w:val="ListParagraph"/>
        <w:spacing w:line="360" w:lineRule="auto"/>
        <w:contextualSpacing w:val="0"/>
        <w:jc w:val="both"/>
        <w:rPr>
          <w:rFonts w:ascii="Arial" w:eastAsia="Arial" w:hAnsi="Arial" w:cs="Arial"/>
          <w:color w:val="000000"/>
          <w:sz w:val="24"/>
          <w:szCs w:val="24"/>
        </w:rPr>
      </w:pPr>
    </w:p>
    <w:p w:rsidR="001B1EF0"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themeColor="text1"/>
          <w:sz w:val="24"/>
          <w:szCs w:val="24"/>
        </w:rPr>
      </w:pPr>
      <w:r>
        <w:rPr>
          <w:rFonts w:ascii="Arial" w:eastAsia="Arial" w:hAnsi="Arial" w:cs="Arial"/>
          <w:color w:val="000000"/>
          <w:sz w:val="24"/>
          <w:szCs w:val="24"/>
        </w:rPr>
        <w:t>[13]</w:t>
      </w:r>
      <w:r>
        <w:rPr>
          <w:rFonts w:ascii="Arial" w:eastAsia="Arial" w:hAnsi="Arial" w:cs="Arial"/>
          <w:color w:val="000000"/>
          <w:sz w:val="24"/>
          <w:szCs w:val="24"/>
        </w:rPr>
        <w:tab/>
      </w:r>
      <w:r w:rsidR="009B4687">
        <w:rPr>
          <w:rFonts w:ascii="Arial" w:eastAsia="Arial" w:hAnsi="Arial" w:cs="Arial"/>
          <w:color w:val="000000"/>
          <w:sz w:val="24"/>
          <w:szCs w:val="24"/>
        </w:rPr>
        <w:t>O</w:t>
      </w:r>
      <w:r w:rsidR="00E85772" w:rsidRPr="00F62014">
        <w:rPr>
          <w:rFonts w:ascii="Arial" w:eastAsia="Arial" w:hAnsi="Arial" w:cs="Arial"/>
          <w:color w:val="000000"/>
          <w:sz w:val="24"/>
          <w:szCs w:val="24"/>
        </w:rPr>
        <w:t xml:space="preserve">n the other hand, the State, </w:t>
      </w:r>
      <w:r w:rsidR="001B1EF0" w:rsidRPr="00F62014">
        <w:rPr>
          <w:rFonts w:ascii="Arial" w:eastAsia="Arial" w:hAnsi="Arial" w:cs="Arial"/>
          <w:color w:val="000000"/>
          <w:sz w:val="24"/>
          <w:szCs w:val="24"/>
        </w:rPr>
        <w:t xml:space="preserve">submitted </w:t>
      </w:r>
      <w:r w:rsidR="00E85772" w:rsidRPr="00F62014">
        <w:rPr>
          <w:rFonts w:ascii="Arial" w:eastAsia="Arial" w:hAnsi="Arial" w:cs="Arial"/>
          <w:color w:val="000000"/>
          <w:sz w:val="24"/>
          <w:szCs w:val="24"/>
        </w:rPr>
        <w:t>that the trial court did not commit a misdirection</w:t>
      </w:r>
      <w:r w:rsidR="00071B35" w:rsidRPr="00F62014">
        <w:rPr>
          <w:rFonts w:ascii="Arial" w:eastAsia="Arial" w:hAnsi="Arial" w:cs="Arial"/>
          <w:color w:val="000000"/>
          <w:sz w:val="24"/>
          <w:szCs w:val="24"/>
        </w:rPr>
        <w:t xml:space="preserve">. It contended that </w:t>
      </w:r>
      <w:r w:rsidR="000448FB" w:rsidRPr="00F62014">
        <w:rPr>
          <w:rFonts w:ascii="Arial" w:eastAsia="Arial" w:hAnsi="Arial" w:cs="Arial"/>
          <w:color w:val="000000"/>
          <w:sz w:val="24"/>
          <w:szCs w:val="24"/>
        </w:rPr>
        <w:t xml:space="preserve">besides </w:t>
      </w:r>
      <w:r w:rsidR="00071B35" w:rsidRPr="00F62014">
        <w:rPr>
          <w:rFonts w:ascii="Arial" w:eastAsia="Arial" w:hAnsi="Arial" w:cs="Arial"/>
          <w:color w:val="000000"/>
          <w:sz w:val="24"/>
          <w:szCs w:val="24"/>
        </w:rPr>
        <w:t xml:space="preserve">the </w:t>
      </w:r>
      <w:r w:rsidR="00A63146" w:rsidRPr="00F62014">
        <w:rPr>
          <w:rFonts w:ascii="Arial" w:eastAsia="Arial" w:hAnsi="Arial" w:cs="Arial"/>
          <w:color w:val="000000"/>
          <w:sz w:val="24"/>
          <w:szCs w:val="24"/>
        </w:rPr>
        <w:t>single witness being honest</w:t>
      </w:r>
      <w:r w:rsidR="000448FB" w:rsidRPr="00F62014">
        <w:rPr>
          <w:rFonts w:ascii="Arial" w:eastAsia="Arial" w:hAnsi="Arial" w:cs="Arial"/>
          <w:color w:val="000000"/>
          <w:sz w:val="24"/>
          <w:szCs w:val="24"/>
        </w:rPr>
        <w:t>, sincer</w:t>
      </w:r>
      <w:r w:rsidR="00A63146" w:rsidRPr="00F62014">
        <w:rPr>
          <w:rFonts w:ascii="Arial" w:eastAsia="Arial" w:hAnsi="Arial" w:cs="Arial"/>
          <w:color w:val="000000"/>
          <w:sz w:val="24"/>
          <w:szCs w:val="24"/>
        </w:rPr>
        <w:t>e</w:t>
      </w:r>
      <w:r w:rsidR="000448FB" w:rsidRPr="00F62014">
        <w:rPr>
          <w:rFonts w:ascii="Arial" w:eastAsia="Arial" w:hAnsi="Arial" w:cs="Arial"/>
          <w:color w:val="000000"/>
          <w:sz w:val="24"/>
          <w:szCs w:val="24"/>
        </w:rPr>
        <w:t xml:space="preserve"> and </w:t>
      </w:r>
      <w:r w:rsidR="00A63146" w:rsidRPr="00F62014">
        <w:rPr>
          <w:rFonts w:ascii="Arial" w:eastAsia="Arial" w:hAnsi="Arial" w:cs="Arial"/>
          <w:color w:val="000000"/>
          <w:sz w:val="24"/>
          <w:szCs w:val="24"/>
        </w:rPr>
        <w:t xml:space="preserve">having exuded </w:t>
      </w:r>
      <w:r w:rsidR="000448FB" w:rsidRPr="00F62014">
        <w:rPr>
          <w:rFonts w:ascii="Arial" w:eastAsia="Arial" w:hAnsi="Arial" w:cs="Arial"/>
          <w:color w:val="000000"/>
          <w:sz w:val="24"/>
          <w:szCs w:val="24"/>
        </w:rPr>
        <w:t>subjective assurance</w:t>
      </w:r>
      <w:r w:rsidR="00A63146" w:rsidRPr="00F62014">
        <w:rPr>
          <w:rFonts w:ascii="Arial" w:eastAsia="Arial" w:hAnsi="Arial" w:cs="Arial"/>
          <w:color w:val="000000"/>
          <w:sz w:val="24"/>
          <w:szCs w:val="24"/>
        </w:rPr>
        <w:t>,</w:t>
      </w:r>
      <w:r w:rsidR="000448FB" w:rsidRPr="00F62014">
        <w:rPr>
          <w:rFonts w:ascii="Arial" w:eastAsia="Arial" w:hAnsi="Arial" w:cs="Arial"/>
          <w:color w:val="000000"/>
          <w:sz w:val="24"/>
          <w:szCs w:val="24"/>
        </w:rPr>
        <w:t xml:space="preserve"> there</w:t>
      </w:r>
      <w:r w:rsidR="00A63146" w:rsidRPr="00F62014">
        <w:rPr>
          <w:rFonts w:ascii="Arial" w:eastAsia="Arial" w:hAnsi="Arial" w:cs="Arial"/>
          <w:color w:val="000000"/>
          <w:sz w:val="24"/>
          <w:szCs w:val="24"/>
        </w:rPr>
        <w:t xml:space="preserve"> still</w:t>
      </w:r>
      <w:r w:rsidR="000448FB" w:rsidRPr="00F62014">
        <w:rPr>
          <w:rFonts w:ascii="Arial" w:eastAsia="Arial" w:hAnsi="Arial" w:cs="Arial"/>
          <w:color w:val="000000"/>
          <w:sz w:val="24"/>
          <w:szCs w:val="24"/>
        </w:rPr>
        <w:t xml:space="preserve"> had to be certainty beyond reasonable doubt that the identification </w:t>
      </w:r>
      <w:r w:rsidR="00A63146" w:rsidRPr="00F62014">
        <w:rPr>
          <w:rFonts w:ascii="Arial" w:eastAsia="Arial" w:hAnsi="Arial" w:cs="Arial"/>
          <w:color w:val="000000"/>
          <w:sz w:val="24"/>
          <w:szCs w:val="24"/>
        </w:rPr>
        <w:t xml:space="preserve">made by that witness </w:t>
      </w:r>
      <w:r w:rsidR="000448FB" w:rsidRPr="00F62014">
        <w:rPr>
          <w:rFonts w:ascii="Arial" w:eastAsia="Arial" w:hAnsi="Arial" w:cs="Arial"/>
          <w:color w:val="000000"/>
          <w:sz w:val="24"/>
          <w:szCs w:val="24"/>
        </w:rPr>
        <w:t>was reliable.</w:t>
      </w:r>
      <w:r w:rsidR="005974C9" w:rsidRPr="00F62014">
        <w:rPr>
          <w:rFonts w:ascii="Arial" w:eastAsia="Arial" w:hAnsi="Arial" w:cs="Arial"/>
          <w:color w:val="000000"/>
          <w:sz w:val="24"/>
          <w:szCs w:val="24"/>
        </w:rPr>
        <w:t xml:space="preserve"> </w:t>
      </w:r>
      <w:r w:rsidR="00D57953" w:rsidRPr="00F62014">
        <w:rPr>
          <w:rFonts w:ascii="Arial" w:eastAsia="Arial" w:hAnsi="Arial" w:cs="Arial"/>
          <w:color w:val="000000"/>
          <w:sz w:val="24"/>
          <w:szCs w:val="24"/>
        </w:rPr>
        <w:t xml:space="preserve">The State conceded that </w:t>
      </w:r>
      <w:r w:rsidR="006E5C18" w:rsidRPr="00F62014">
        <w:rPr>
          <w:rFonts w:ascii="Arial" w:eastAsia="Arial" w:hAnsi="Arial" w:cs="Arial"/>
          <w:color w:val="000000"/>
          <w:sz w:val="24"/>
          <w:szCs w:val="24"/>
        </w:rPr>
        <w:t xml:space="preserve">identification </w:t>
      </w:r>
      <w:r w:rsidR="005974C9" w:rsidRPr="00F62014">
        <w:rPr>
          <w:rFonts w:ascii="Arial" w:eastAsia="Arial" w:hAnsi="Arial" w:cs="Arial"/>
          <w:color w:val="000000"/>
          <w:sz w:val="24"/>
          <w:szCs w:val="24"/>
        </w:rPr>
        <w:t>evidence is generally unreliable</w:t>
      </w:r>
      <w:r w:rsidR="00D57953" w:rsidRPr="00F62014">
        <w:rPr>
          <w:rFonts w:ascii="Arial" w:eastAsia="Arial" w:hAnsi="Arial" w:cs="Arial"/>
          <w:color w:val="000000"/>
          <w:sz w:val="24"/>
          <w:szCs w:val="24"/>
        </w:rPr>
        <w:t xml:space="preserve"> and</w:t>
      </w:r>
      <w:r w:rsidR="005974C9" w:rsidRPr="00F62014">
        <w:rPr>
          <w:rFonts w:ascii="Arial" w:eastAsia="Arial" w:hAnsi="Arial" w:cs="Arial"/>
          <w:color w:val="000000"/>
          <w:sz w:val="24"/>
          <w:szCs w:val="24"/>
        </w:rPr>
        <w:t xml:space="preserve"> it m</w:t>
      </w:r>
      <w:r w:rsidR="00157810" w:rsidRPr="00F62014">
        <w:rPr>
          <w:rFonts w:ascii="Arial" w:eastAsia="Arial" w:hAnsi="Arial" w:cs="Arial"/>
          <w:color w:val="000000"/>
          <w:sz w:val="24"/>
          <w:szCs w:val="24"/>
        </w:rPr>
        <w:t xml:space="preserve">ust be approached with caution. </w:t>
      </w:r>
      <w:r w:rsidR="00D57953" w:rsidRPr="00F62014">
        <w:rPr>
          <w:rFonts w:ascii="Arial" w:eastAsia="Arial" w:hAnsi="Arial" w:cs="Arial"/>
          <w:color w:val="000000"/>
          <w:sz w:val="24"/>
          <w:szCs w:val="24"/>
        </w:rPr>
        <w:t>However, c</w:t>
      </w:r>
      <w:r w:rsidR="005974C9" w:rsidRPr="00F62014">
        <w:rPr>
          <w:rFonts w:ascii="Arial" w:eastAsia="Arial" w:hAnsi="Arial" w:cs="Arial"/>
          <w:color w:val="000000"/>
          <w:sz w:val="24"/>
          <w:szCs w:val="24"/>
        </w:rPr>
        <w:t xml:space="preserve">ounsel for the State </w:t>
      </w:r>
      <w:r w:rsidR="009B4687">
        <w:rPr>
          <w:rFonts w:ascii="Arial" w:eastAsia="Arial" w:hAnsi="Arial" w:cs="Arial"/>
          <w:color w:val="000000"/>
          <w:sz w:val="24"/>
          <w:szCs w:val="24"/>
        </w:rPr>
        <w:t>submitted</w:t>
      </w:r>
      <w:r w:rsidR="006E5C18" w:rsidRPr="00F62014">
        <w:rPr>
          <w:rFonts w:ascii="Arial" w:eastAsia="Arial" w:hAnsi="Arial" w:cs="Arial"/>
          <w:color w:val="000000"/>
          <w:sz w:val="24"/>
          <w:szCs w:val="24"/>
        </w:rPr>
        <w:t xml:space="preserve"> that </w:t>
      </w:r>
      <w:r w:rsidR="009B4687">
        <w:rPr>
          <w:rFonts w:ascii="Arial" w:eastAsia="Arial" w:hAnsi="Arial" w:cs="Arial"/>
          <w:color w:val="000000"/>
          <w:sz w:val="24"/>
          <w:szCs w:val="24"/>
        </w:rPr>
        <w:t>i</w:t>
      </w:r>
      <w:r w:rsidR="006E5C18" w:rsidRPr="00F62014">
        <w:rPr>
          <w:rFonts w:ascii="Arial" w:eastAsia="Arial" w:hAnsi="Arial" w:cs="Arial"/>
          <w:color w:val="000000"/>
          <w:sz w:val="24"/>
          <w:szCs w:val="24"/>
        </w:rPr>
        <w:t>t</w:t>
      </w:r>
      <w:r w:rsidR="009B4687">
        <w:rPr>
          <w:rFonts w:ascii="Arial" w:eastAsia="Arial" w:hAnsi="Arial" w:cs="Arial"/>
          <w:color w:val="000000"/>
          <w:sz w:val="24"/>
          <w:szCs w:val="24"/>
        </w:rPr>
        <w:t>s case</w:t>
      </w:r>
      <w:r w:rsidR="006E5C18" w:rsidRPr="00F62014">
        <w:rPr>
          <w:rFonts w:ascii="Arial" w:eastAsia="Arial" w:hAnsi="Arial" w:cs="Arial"/>
          <w:color w:val="000000"/>
          <w:sz w:val="24"/>
          <w:szCs w:val="24"/>
        </w:rPr>
        <w:t xml:space="preserve"> relied </w:t>
      </w:r>
      <w:r w:rsidR="00D57953" w:rsidRPr="00F62014">
        <w:rPr>
          <w:rFonts w:ascii="Arial" w:eastAsia="Arial" w:hAnsi="Arial" w:cs="Arial"/>
          <w:color w:val="000000"/>
          <w:sz w:val="24"/>
          <w:szCs w:val="24"/>
        </w:rPr>
        <w:t xml:space="preserve">on </w:t>
      </w:r>
      <w:r w:rsidR="009B4687">
        <w:rPr>
          <w:rFonts w:ascii="Arial" w:eastAsia="Arial" w:hAnsi="Arial" w:cs="Arial"/>
          <w:color w:val="000000"/>
          <w:sz w:val="24"/>
          <w:szCs w:val="24"/>
        </w:rPr>
        <w:t xml:space="preserve">the complaints evidence as </w:t>
      </w:r>
      <w:r w:rsidR="00D57953" w:rsidRPr="00F62014">
        <w:rPr>
          <w:rFonts w:ascii="Arial" w:eastAsia="Arial" w:hAnsi="Arial" w:cs="Arial"/>
          <w:color w:val="000000"/>
          <w:sz w:val="24"/>
          <w:szCs w:val="24"/>
        </w:rPr>
        <w:t>corroborat</w:t>
      </w:r>
      <w:r w:rsidR="009B4687">
        <w:rPr>
          <w:rFonts w:ascii="Arial" w:eastAsia="Arial" w:hAnsi="Arial" w:cs="Arial"/>
          <w:color w:val="000000"/>
          <w:sz w:val="24"/>
          <w:szCs w:val="24"/>
        </w:rPr>
        <w:t xml:space="preserve">ed by </w:t>
      </w:r>
      <w:r w:rsidR="00A07CAD" w:rsidRPr="00F62014">
        <w:rPr>
          <w:rFonts w:ascii="Arial" w:eastAsia="Arial" w:hAnsi="Arial" w:cs="Arial"/>
          <w:color w:val="000000"/>
          <w:sz w:val="24"/>
          <w:szCs w:val="24"/>
        </w:rPr>
        <w:t xml:space="preserve">Simphiwe </w:t>
      </w:r>
      <w:r w:rsidR="006E5C18" w:rsidRPr="00F62014">
        <w:rPr>
          <w:rFonts w:ascii="Arial" w:eastAsia="Arial" w:hAnsi="Arial" w:cs="Arial"/>
          <w:color w:val="000000"/>
          <w:sz w:val="24"/>
          <w:szCs w:val="24"/>
        </w:rPr>
        <w:t>and Constable Ndaonde</w:t>
      </w:r>
      <w:r w:rsidR="001B1EF0" w:rsidRPr="00F62014">
        <w:rPr>
          <w:rFonts w:ascii="Arial" w:eastAsia="Arial" w:hAnsi="Arial" w:cs="Arial"/>
          <w:color w:val="000000"/>
          <w:sz w:val="24"/>
          <w:szCs w:val="24"/>
        </w:rPr>
        <w:t xml:space="preserve"> who attended at the scene</w:t>
      </w:r>
      <w:r w:rsidR="00D57953" w:rsidRPr="00F62014">
        <w:rPr>
          <w:rFonts w:ascii="Arial" w:eastAsia="Arial" w:hAnsi="Arial" w:cs="Arial"/>
          <w:color w:val="000000"/>
          <w:sz w:val="24"/>
          <w:szCs w:val="24"/>
        </w:rPr>
        <w:t>.</w:t>
      </w:r>
      <w:r w:rsidR="00D57953" w:rsidRPr="00157810">
        <w:rPr>
          <w:rFonts w:ascii="Arial" w:eastAsia="Arial" w:hAnsi="Arial" w:cs="Arial"/>
          <w:color w:val="000000"/>
          <w:sz w:val="24"/>
          <w:szCs w:val="24"/>
        </w:rPr>
        <w:t xml:space="preserve"> </w:t>
      </w:r>
      <w:r>
        <w:rPr>
          <w:rFonts w:ascii="Arial" w:eastAsia="Arial" w:hAnsi="Arial" w:cs="Arial"/>
          <w:color w:val="000000"/>
          <w:sz w:val="24"/>
          <w:szCs w:val="24"/>
        </w:rPr>
        <w:tab/>
      </w:r>
    </w:p>
    <w:p w:rsidR="009B4687" w:rsidRPr="009B4687" w:rsidRDefault="009B4687"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157810" w:rsidRPr="001B1EF0"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themeColor="text1"/>
          <w:sz w:val="24"/>
          <w:szCs w:val="24"/>
        </w:rPr>
        <w:t>[1</w:t>
      </w:r>
      <w:r w:rsidR="00021FD5">
        <w:rPr>
          <w:rFonts w:ascii="Arial" w:eastAsia="Arial" w:hAnsi="Arial" w:cs="Arial"/>
          <w:color w:val="000000" w:themeColor="text1"/>
          <w:sz w:val="24"/>
          <w:szCs w:val="24"/>
        </w:rPr>
        <w:t>4</w:t>
      </w:r>
      <w:r>
        <w:rPr>
          <w:rFonts w:ascii="Arial" w:eastAsia="Arial" w:hAnsi="Arial" w:cs="Arial"/>
          <w:color w:val="000000" w:themeColor="text1"/>
          <w:sz w:val="24"/>
          <w:szCs w:val="24"/>
        </w:rPr>
        <w:t>]</w:t>
      </w:r>
      <w:r>
        <w:rPr>
          <w:rFonts w:ascii="Arial" w:eastAsia="Arial" w:hAnsi="Arial" w:cs="Arial"/>
          <w:color w:val="000000" w:themeColor="text1"/>
          <w:sz w:val="24"/>
          <w:szCs w:val="24"/>
        </w:rPr>
        <w:tab/>
      </w:r>
      <w:r w:rsidR="009F173A" w:rsidRPr="001B1EF0">
        <w:rPr>
          <w:rFonts w:ascii="Arial" w:eastAsia="Arial" w:hAnsi="Arial" w:cs="Arial"/>
          <w:color w:val="000000" w:themeColor="text1"/>
          <w:sz w:val="24"/>
          <w:szCs w:val="24"/>
        </w:rPr>
        <w:t xml:space="preserve">The difficulty that the appellants have </w:t>
      </w:r>
      <w:r w:rsidR="00DE5D1D" w:rsidRPr="001B1EF0">
        <w:rPr>
          <w:rFonts w:ascii="Arial" w:eastAsia="Arial" w:hAnsi="Arial" w:cs="Arial"/>
          <w:color w:val="000000" w:themeColor="text1"/>
          <w:sz w:val="24"/>
          <w:szCs w:val="24"/>
        </w:rPr>
        <w:t xml:space="preserve">in respect of identification </w:t>
      </w:r>
      <w:r w:rsidR="009F173A" w:rsidRPr="001B1EF0">
        <w:rPr>
          <w:rFonts w:ascii="Arial" w:eastAsia="Arial" w:hAnsi="Arial" w:cs="Arial"/>
          <w:color w:val="000000" w:themeColor="text1"/>
          <w:sz w:val="24"/>
          <w:szCs w:val="24"/>
        </w:rPr>
        <w:t>is that they place</w:t>
      </w:r>
      <w:r w:rsidR="002752C6">
        <w:rPr>
          <w:rFonts w:ascii="Arial" w:eastAsia="Arial" w:hAnsi="Arial" w:cs="Arial"/>
          <w:color w:val="000000" w:themeColor="text1"/>
          <w:sz w:val="24"/>
          <w:szCs w:val="24"/>
        </w:rPr>
        <w:t>d</w:t>
      </w:r>
      <w:r w:rsidR="009F173A" w:rsidRPr="001B1EF0">
        <w:rPr>
          <w:rFonts w:ascii="Arial" w:eastAsia="Arial" w:hAnsi="Arial" w:cs="Arial"/>
          <w:color w:val="000000" w:themeColor="text1"/>
          <w:sz w:val="24"/>
          <w:szCs w:val="24"/>
        </w:rPr>
        <w:t xml:space="preserve"> themselves on the scene where the alleged robbery took place</w:t>
      </w:r>
      <w:r w:rsidR="002752C6">
        <w:rPr>
          <w:rFonts w:ascii="Arial" w:eastAsia="Arial" w:hAnsi="Arial" w:cs="Arial"/>
          <w:color w:val="000000" w:themeColor="text1"/>
          <w:sz w:val="24"/>
          <w:szCs w:val="24"/>
        </w:rPr>
        <w:t>. O</w:t>
      </w:r>
      <w:r w:rsidR="009F173A" w:rsidRPr="001B1EF0">
        <w:rPr>
          <w:rFonts w:ascii="Arial" w:eastAsia="Arial" w:hAnsi="Arial" w:cs="Arial"/>
          <w:color w:val="000000" w:themeColor="text1"/>
          <w:sz w:val="24"/>
          <w:szCs w:val="24"/>
        </w:rPr>
        <w:t xml:space="preserve">n their own version they interacted </w:t>
      </w:r>
      <w:r w:rsidR="00DE5D1D" w:rsidRPr="001B1EF0">
        <w:rPr>
          <w:rFonts w:ascii="Arial" w:eastAsia="Arial" w:hAnsi="Arial" w:cs="Arial"/>
          <w:color w:val="000000" w:themeColor="text1"/>
          <w:sz w:val="24"/>
          <w:szCs w:val="24"/>
        </w:rPr>
        <w:t xml:space="preserve">in close proximity </w:t>
      </w:r>
      <w:r w:rsidR="009F173A" w:rsidRPr="001B1EF0">
        <w:rPr>
          <w:rFonts w:ascii="Arial" w:eastAsia="Arial" w:hAnsi="Arial" w:cs="Arial"/>
          <w:color w:val="000000" w:themeColor="text1"/>
          <w:sz w:val="24"/>
          <w:szCs w:val="24"/>
        </w:rPr>
        <w:t xml:space="preserve">with the complainant </w:t>
      </w:r>
      <w:r w:rsidR="00C713E8" w:rsidRPr="001B1EF0">
        <w:rPr>
          <w:rFonts w:ascii="Arial" w:eastAsia="Arial" w:hAnsi="Arial" w:cs="Arial"/>
          <w:color w:val="000000" w:themeColor="text1"/>
          <w:sz w:val="24"/>
          <w:szCs w:val="24"/>
        </w:rPr>
        <w:t>when he</w:t>
      </w:r>
      <w:r w:rsidR="004F13E1">
        <w:rPr>
          <w:rFonts w:ascii="Arial" w:eastAsia="Arial" w:hAnsi="Arial" w:cs="Arial"/>
          <w:color w:val="000000" w:themeColor="text1"/>
          <w:sz w:val="24"/>
          <w:szCs w:val="24"/>
        </w:rPr>
        <w:t xml:space="preserve"> </w:t>
      </w:r>
      <w:r w:rsidR="00C713E8" w:rsidRPr="001B1EF0">
        <w:rPr>
          <w:rFonts w:ascii="Arial" w:eastAsia="Arial" w:hAnsi="Arial" w:cs="Arial"/>
          <w:color w:val="000000" w:themeColor="text1"/>
          <w:sz w:val="24"/>
          <w:szCs w:val="24"/>
        </w:rPr>
        <w:t>wanted to search them</w:t>
      </w:r>
      <w:r w:rsidR="00DE5D1D" w:rsidRPr="001B1EF0">
        <w:rPr>
          <w:rFonts w:ascii="Arial" w:eastAsia="Arial" w:hAnsi="Arial" w:cs="Arial"/>
          <w:color w:val="000000" w:themeColor="text1"/>
          <w:sz w:val="24"/>
          <w:szCs w:val="24"/>
        </w:rPr>
        <w:t>. Further</w:t>
      </w:r>
      <w:r w:rsidR="004F13E1">
        <w:rPr>
          <w:rFonts w:ascii="Arial" w:eastAsia="Arial" w:hAnsi="Arial" w:cs="Arial"/>
          <w:color w:val="000000" w:themeColor="text1"/>
          <w:sz w:val="24"/>
          <w:szCs w:val="24"/>
        </w:rPr>
        <w:t>,</w:t>
      </w:r>
      <w:r w:rsidR="00DE5D1D" w:rsidRPr="001B1EF0">
        <w:rPr>
          <w:rFonts w:ascii="Arial" w:eastAsia="Arial" w:hAnsi="Arial" w:cs="Arial"/>
          <w:color w:val="000000" w:themeColor="text1"/>
          <w:sz w:val="24"/>
          <w:szCs w:val="24"/>
        </w:rPr>
        <w:t xml:space="preserve"> the appellants </w:t>
      </w:r>
      <w:r w:rsidR="004F13E1">
        <w:rPr>
          <w:rFonts w:ascii="Arial" w:eastAsia="Arial" w:hAnsi="Arial" w:cs="Arial"/>
          <w:color w:val="000000" w:themeColor="text1"/>
          <w:sz w:val="24"/>
          <w:szCs w:val="24"/>
        </w:rPr>
        <w:t xml:space="preserve">in </w:t>
      </w:r>
      <w:r w:rsidR="00DE5D1D" w:rsidRPr="001B1EF0">
        <w:rPr>
          <w:rFonts w:ascii="Arial" w:eastAsia="Arial" w:hAnsi="Arial" w:cs="Arial"/>
          <w:color w:val="000000" w:themeColor="text1"/>
          <w:sz w:val="24"/>
          <w:szCs w:val="24"/>
        </w:rPr>
        <w:t>some material respect</w:t>
      </w:r>
      <w:r w:rsidR="004F13E1">
        <w:rPr>
          <w:rFonts w:ascii="Arial" w:eastAsia="Arial" w:hAnsi="Arial" w:cs="Arial"/>
          <w:color w:val="000000" w:themeColor="text1"/>
          <w:sz w:val="24"/>
          <w:szCs w:val="24"/>
        </w:rPr>
        <w:t>s</w:t>
      </w:r>
      <w:r w:rsidR="00C713E8" w:rsidRPr="001B1EF0">
        <w:rPr>
          <w:rFonts w:ascii="Arial" w:eastAsia="Arial" w:hAnsi="Arial" w:cs="Arial"/>
          <w:color w:val="000000" w:themeColor="text1"/>
          <w:sz w:val="24"/>
          <w:szCs w:val="24"/>
        </w:rPr>
        <w:t xml:space="preserve"> </w:t>
      </w:r>
      <w:r w:rsidR="009F173A" w:rsidRPr="001B1EF0">
        <w:rPr>
          <w:rFonts w:ascii="Arial" w:eastAsia="Arial" w:hAnsi="Arial" w:cs="Arial"/>
          <w:color w:val="000000" w:themeColor="text1"/>
          <w:sz w:val="24"/>
          <w:szCs w:val="24"/>
        </w:rPr>
        <w:t xml:space="preserve">corroborated the </w:t>
      </w:r>
      <w:r w:rsidR="00FC26D7" w:rsidRPr="001B1EF0">
        <w:rPr>
          <w:rFonts w:ascii="Arial" w:eastAsia="Arial" w:hAnsi="Arial" w:cs="Arial"/>
          <w:color w:val="000000" w:themeColor="text1"/>
          <w:sz w:val="24"/>
          <w:szCs w:val="24"/>
        </w:rPr>
        <w:t>complainant’s</w:t>
      </w:r>
      <w:r w:rsidR="009F173A" w:rsidRPr="001B1EF0">
        <w:rPr>
          <w:rFonts w:ascii="Arial" w:eastAsia="Arial" w:hAnsi="Arial" w:cs="Arial"/>
          <w:color w:val="000000" w:themeColor="text1"/>
          <w:sz w:val="24"/>
          <w:szCs w:val="24"/>
        </w:rPr>
        <w:t xml:space="preserve"> version</w:t>
      </w:r>
      <w:r w:rsidR="002752C6">
        <w:rPr>
          <w:rFonts w:ascii="Arial" w:eastAsia="Arial" w:hAnsi="Arial" w:cs="Arial"/>
          <w:color w:val="000000" w:themeColor="text1"/>
          <w:sz w:val="24"/>
          <w:szCs w:val="24"/>
        </w:rPr>
        <w:t>:</w:t>
      </w:r>
      <w:r w:rsidR="00DE5D1D" w:rsidRPr="001B1EF0">
        <w:rPr>
          <w:rFonts w:ascii="Arial" w:eastAsia="Arial" w:hAnsi="Arial" w:cs="Arial"/>
          <w:color w:val="000000" w:themeColor="text1"/>
          <w:sz w:val="24"/>
          <w:szCs w:val="24"/>
        </w:rPr>
        <w:t xml:space="preserve"> they stated</w:t>
      </w:r>
      <w:r w:rsidR="009F173A" w:rsidRPr="001B1EF0">
        <w:rPr>
          <w:rFonts w:ascii="Arial" w:eastAsia="Arial" w:hAnsi="Arial" w:cs="Arial"/>
          <w:color w:val="000000" w:themeColor="text1"/>
          <w:sz w:val="24"/>
          <w:szCs w:val="24"/>
        </w:rPr>
        <w:t xml:space="preserve"> that Simphiwe </w:t>
      </w:r>
      <w:r w:rsidR="004F13E1">
        <w:rPr>
          <w:rFonts w:ascii="Arial" w:eastAsia="Arial" w:hAnsi="Arial" w:cs="Arial"/>
          <w:color w:val="000000" w:themeColor="text1"/>
          <w:sz w:val="24"/>
          <w:szCs w:val="24"/>
        </w:rPr>
        <w:t xml:space="preserve">was one of the persons who </w:t>
      </w:r>
      <w:r w:rsidR="009F173A" w:rsidRPr="001B1EF0">
        <w:rPr>
          <w:rFonts w:ascii="Arial" w:eastAsia="Arial" w:hAnsi="Arial" w:cs="Arial"/>
          <w:color w:val="000000" w:themeColor="text1"/>
          <w:sz w:val="24"/>
          <w:szCs w:val="24"/>
        </w:rPr>
        <w:t>arrived on the scene</w:t>
      </w:r>
      <w:r w:rsidR="002752C6">
        <w:rPr>
          <w:rFonts w:ascii="Arial" w:eastAsia="Arial" w:hAnsi="Arial" w:cs="Arial"/>
          <w:color w:val="000000" w:themeColor="text1"/>
          <w:sz w:val="24"/>
          <w:szCs w:val="24"/>
        </w:rPr>
        <w:t>, one of the persons who</w:t>
      </w:r>
      <w:r w:rsidR="004F13E1">
        <w:rPr>
          <w:rFonts w:ascii="Arial" w:eastAsia="Arial" w:hAnsi="Arial" w:cs="Arial"/>
          <w:color w:val="000000" w:themeColor="text1"/>
          <w:sz w:val="24"/>
          <w:szCs w:val="24"/>
        </w:rPr>
        <w:t xml:space="preserve"> apprehended them</w:t>
      </w:r>
      <w:r w:rsidR="002752C6">
        <w:rPr>
          <w:rFonts w:ascii="Arial" w:eastAsia="Arial" w:hAnsi="Arial" w:cs="Arial"/>
          <w:color w:val="000000" w:themeColor="text1"/>
          <w:sz w:val="24"/>
          <w:szCs w:val="24"/>
        </w:rPr>
        <w:t xml:space="preserve">, </w:t>
      </w:r>
      <w:r w:rsidR="009F173A" w:rsidRPr="001B1EF0">
        <w:rPr>
          <w:rFonts w:ascii="Arial" w:eastAsia="Arial" w:hAnsi="Arial" w:cs="Arial"/>
          <w:color w:val="000000" w:themeColor="text1"/>
          <w:sz w:val="24"/>
          <w:szCs w:val="24"/>
        </w:rPr>
        <w:t xml:space="preserve">and </w:t>
      </w:r>
      <w:r w:rsidR="002752C6">
        <w:rPr>
          <w:rFonts w:ascii="Arial" w:eastAsia="Arial" w:hAnsi="Arial" w:cs="Arial"/>
          <w:color w:val="000000" w:themeColor="text1"/>
          <w:sz w:val="24"/>
          <w:szCs w:val="24"/>
        </w:rPr>
        <w:t xml:space="preserve">that </w:t>
      </w:r>
      <w:r w:rsidR="00C713E8" w:rsidRPr="001B1EF0">
        <w:rPr>
          <w:rFonts w:ascii="Arial" w:eastAsia="Arial" w:hAnsi="Arial" w:cs="Arial"/>
          <w:color w:val="000000" w:themeColor="text1"/>
          <w:sz w:val="24"/>
          <w:szCs w:val="24"/>
        </w:rPr>
        <w:t>thereafter,</w:t>
      </w:r>
      <w:r w:rsidR="009F173A" w:rsidRPr="001B1EF0">
        <w:rPr>
          <w:rFonts w:ascii="Arial" w:eastAsia="Arial" w:hAnsi="Arial" w:cs="Arial"/>
          <w:color w:val="000000" w:themeColor="text1"/>
          <w:sz w:val="24"/>
          <w:szCs w:val="24"/>
        </w:rPr>
        <w:t xml:space="preserve"> </w:t>
      </w:r>
      <w:r w:rsidR="00FC26D7" w:rsidRPr="001B1EF0">
        <w:rPr>
          <w:rFonts w:ascii="Arial" w:eastAsia="Arial" w:hAnsi="Arial" w:cs="Arial"/>
          <w:color w:val="000000"/>
          <w:sz w:val="24"/>
          <w:szCs w:val="24"/>
        </w:rPr>
        <w:t>Constable Ndaonde</w:t>
      </w:r>
      <w:r w:rsidR="004F13E1">
        <w:rPr>
          <w:rFonts w:ascii="Arial" w:eastAsia="Arial" w:hAnsi="Arial" w:cs="Arial"/>
          <w:color w:val="000000"/>
          <w:sz w:val="24"/>
          <w:szCs w:val="24"/>
        </w:rPr>
        <w:t xml:space="preserve"> arrived on the scene</w:t>
      </w:r>
      <w:r w:rsidR="00DE5D1D" w:rsidRPr="001B1EF0">
        <w:rPr>
          <w:rFonts w:ascii="Arial" w:eastAsia="Arial" w:hAnsi="Arial" w:cs="Arial"/>
          <w:color w:val="000000"/>
          <w:sz w:val="24"/>
          <w:szCs w:val="24"/>
        </w:rPr>
        <w:t>. The</w:t>
      </w:r>
      <w:r w:rsidR="004F13E1">
        <w:rPr>
          <w:rFonts w:ascii="Arial" w:eastAsia="Arial" w:hAnsi="Arial" w:cs="Arial"/>
          <w:color w:val="000000"/>
          <w:sz w:val="24"/>
          <w:szCs w:val="24"/>
        </w:rPr>
        <w:t xml:space="preserve">ir evidence that </w:t>
      </w:r>
      <w:r w:rsidR="009B4687">
        <w:rPr>
          <w:rFonts w:ascii="Arial" w:eastAsia="Arial" w:hAnsi="Arial" w:cs="Arial"/>
          <w:color w:val="000000" w:themeColor="text1"/>
          <w:sz w:val="24"/>
          <w:szCs w:val="24"/>
        </w:rPr>
        <w:t>the toy gun</w:t>
      </w:r>
      <w:r w:rsidR="00FC26D7" w:rsidRPr="001B1EF0">
        <w:rPr>
          <w:rFonts w:ascii="Arial" w:eastAsia="Arial" w:hAnsi="Arial" w:cs="Arial"/>
          <w:color w:val="000000" w:themeColor="text1"/>
          <w:sz w:val="24"/>
          <w:szCs w:val="24"/>
        </w:rPr>
        <w:t xml:space="preserve"> was handed over </w:t>
      </w:r>
      <w:r w:rsidR="00DE5D1D" w:rsidRPr="001B1EF0">
        <w:rPr>
          <w:rFonts w:ascii="Arial" w:eastAsia="Arial" w:hAnsi="Arial" w:cs="Arial"/>
          <w:color w:val="000000" w:themeColor="text1"/>
          <w:sz w:val="24"/>
          <w:szCs w:val="24"/>
        </w:rPr>
        <w:t xml:space="preserve">by Simphiwe </w:t>
      </w:r>
      <w:r w:rsidR="00FC26D7" w:rsidRPr="001B1EF0">
        <w:rPr>
          <w:rFonts w:ascii="Arial" w:eastAsia="Arial" w:hAnsi="Arial" w:cs="Arial"/>
          <w:color w:val="000000" w:themeColor="text1"/>
          <w:sz w:val="24"/>
          <w:szCs w:val="24"/>
        </w:rPr>
        <w:t xml:space="preserve">to the </w:t>
      </w:r>
      <w:r w:rsidR="00DE5D1D" w:rsidRPr="001B1EF0">
        <w:rPr>
          <w:rFonts w:ascii="Arial" w:eastAsia="Arial" w:hAnsi="Arial" w:cs="Arial"/>
          <w:color w:val="000000" w:themeColor="text1"/>
          <w:sz w:val="24"/>
          <w:szCs w:val="24"/>
        </w:rPr>
        <w:t>C</w:t>
      </w:r>
      <w:r w:rsidR="008E5E3C" w:rsidRPr="001B1EF0">
        <w:rPr>
          <w:rFonts w:ascii="Arial" w:eastAsia="Arial" w:hAnsi="Arial" w:cs="Arial"/>
          <w:color w:val="000000" w:themeColor="text1"/>
          <w:sz w:val="24"/>
          <w:szCs w:val="24"/>
        </w:rPr>
        <w:t>onstable</w:t>
      </w:r>
      <w:r w:rsidR="00DE5D1D" w:rsidRPr="001B1EF0">
        <w:rPr>
          <w:rFonts w:ascii="Arial" w:eastAsia="Arial" w:hAnsi="Arial" w:cs="Arial"/>
          <w:color w:val="000000" w:themeColor="text1"/>
          <w:sz w:val="24"/>
          <w:szCs w:val="24"/>
        </w:rPr>
        <w:t xml:space="preserve"> Ndaonde in their</w:t>
      </w:r>
      <w:r w:rsidR="008E5E3C" w:rsidRPr="001B1EF0">
        <w:rPr>
          <w:rFonts w:ascii="Arial" w:eastAsia="Arial" w:hAnsi="Arial" w:cs="Arial"/>
          <w:color w:val="000000" w:themeColor="text1"/>
          <w:sz w:val="24"/>
          <w:szCs w:val="24"/>
        </w:rPr>
        <w:t xml:space="preserve"> </w:t>
      </w:r>
      <w:r w:rsidR="00C713E8" w:rsidRPr="001B1EF0">
        <w:rPr>
          <w:rFonts w:ascii="Arial" w:eastAsia="Arial" w:hAnsi="Arial" w:cs="Arial"/>
          <w:color w:val="000000" w:themeColor="text1"/>
          <w:sz w:val="24"/>
          <w:szCs w:val="24"/>
        </w:rPr>
        <w:t>presence</w:t>
      </w:r>
      <w:r w:rsidR="00FC26D7" w:rsidRPr="001B1EF0">
        <w:rPr>
          <w:rFonts w:ascii="Arial" w:eastAsia="Arial" w:hAnsi="Arial" w:cs="Arial"/>
          <w:color w:val="000000" w:themeColor="text1"/>
          <w:sz w:val="24"/>
          <w:szCs w:val="24"/>
        </w:rPr>
        <w:t xml:space="preserve"> corroborates the </w:t>
      </w:r>
      <w:r w:rsidR="008E5E3C" w:rsidRPr="001B1EF0">
        <w:rPr>
          <w:rFonts w:ascii="Arial" w:eastAsia="Arial" w:hAnsi="Arial" w:cs="Arial"/>
          <w:color w:val="000000" w:themeColor="text1"/>
          <w:sz w:val="24"/>
          <w:szCs w:val="24"/>
        </w:rPr>
        <w:t>complainant’s</w:t>
      </w:r>
      <w:r w:rsidR="00C713E8" w:rsidRPr="001B1EF0">
        <w:rPr>
          <w:rFonts w:ascii="Arial" w:eastAsia="Arial" w:hAnsi="Arial" w:cs="Arial"/>
          <w:color w:val="000000" w:themeColor="text1"/>
          <w:sz w:val="24"/>
          <w:szCs w:val="24"/>
        </w:rPr>
        <w:t xml:space="preserve"> </w:t>
      </w:r>
      <w:r w:rsidR="008E5E3C" w:rsidRPr="001B1EF0">
        <w:rPr>
          <w:rFonts w:ascii="Arial" w:eastAsia="Arial" w:hAnsi="Arial" w:cs="Arial"/>
          <w:color w:val="000000" w:themeColor="text1"/>
          <w:sz w:val="24"/>
          <w:szCs w:val="24"/>
        </w:rPr>
        <w:t xml:space="preserve">and Simphiwe’s </w:t>
      </w:r>
      <w:r w:rsidR="00C713E8" w:rsidRPr="001B1EF0">
        <w:rPr>
          <w:rFonts w:ascii="Arial" w:eastAsia="Arial" w:hAnsi="Arial" w:cs="Arial"/>
          <w:color w:val="000000" w:themeColor="text1"/>
          <w:sz w:val="24"/>
          <w:szCs w:val="24"/>
        </w:rPr>
        <w:t>version</w:t>
      </w:r>
      <w:r w:rsidR="008E5E3C" w:rsidRPr="001B1EF0">
        <w:rPr>
          <w:rFonts w:ascii="Arial" w:eastAsia="Arial" w:hAnsi="Arial" w:cs="Arial"/>
          <w:color w:val="000000" w:themeColor="text1"/>
          <w:sz w:val="24"/>
          <w:szCs w:val="24"/>
        </w:rPr>
        <w:t xml:space="preserve"> of events</w:t>
      </w:r>
      <w:r w:rsidR="004F13E1">
        <w:rPr>
          <w:rFonts w:ascii="Arial" w:eastAsia="Arial" w:hAnsi="Arial" w:cs="Arial"/>
          <w:color w:val="000000" w:themeColor="text1"/>
          <w:sz w:val="24"/>
          <w:szCs w:val="24"/>
        </w:rPr>
        <w:t xml:space="preserve"> which took place on</w:t>
      </w:r>
      <w:r w:rsidR="00DE5D1D" w:rsidRPr="001B1EF0">
        <w:rPr>
          <w:rFonts w:ascii="Arial" w:eastAsia="Arial" w:hAnsi="Arial" w:cs="Arial"/>
          <w:color w:val="000000" w:themeColor="text1"/>
          <w:sz w:val="24"/>
          <w:szCs w:val="24"/>
        </w:rPr>
        <w:t xml:space="preserve"> the scene</w:t>
      </w:r>
      <w:r w:rsidR="00FC26D7" w:rsidRPr="001B1EF0">
        <w:rPr>
          <w:rFonts w:ascii="Arial" w:eastAsia="Arial" w:hAnsi="Arial" w:cs="Arial"/>
          <w:color w:val="000000" w:themeColor="text1"/>
          <w:sz w:val="24"/>
          <w:szCs w:val="24"/>
        </w:rPr>
        <w:t>.</w:t>
      </w:r>
    </w:p>
    <w:p w:rsidR="00157810" w:rsidRDefault="00157810" w:rsidP="001B5514">
      <w:pPr>
        <w:pStyle w:val="ListParagraph"/>
        <w:spacing w:line="360" w:lineRule="auto"/>
        <w:contextualSpacing w:val="0"/>
        <w:jc w:val="both"/>
        <w:rPr>
          <w:rFonts w:ascii="Arial" w:eastAsia="Arial" w:hAnsi="Arial" w:cs="Arial"/>
          <w:color w:val="000000" w:themeColor="text1"/>
          <w:sz w:val="24"/>
          <w:szCs w:val="24"/>
        </w:rPr>
      </w:pPr>
    </w:p>
    <w:p w:rsidR="00157810" w:rsidRPr="00157810"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themeColor="text1"/>
          <w:sz w:val="24"/>
          <w:szCs w:val="24"/>
        </w:rPr>
        <w:lastRenderedPageBreak/>
        <w:t>[1</w:t>
      </w:r>
      <w:r w:rsidR="00021FD5">
        <w:rPr>
          <w:rFonts w:ascii="Arial" w:eastAsia="Arial" w:hAnsi="Arial" w:cs="Arial"/>
          <w:color w:val="000000" w:themeColor="text1"/>
          <w:sz w:val="24"/>
          <w:szCs w:val="24"/>
        </w:rPr>
        <w:t>5</w:t>
      </w:r>
      <w:r>
        <w:rPr>
          <w:rFonts w:ascii="Arial" w:eastAsia="Arial" w:hAnsi="Arial" w:cs="Arial"/>
          <w:color w:val="000000" w:themeColor="text1"/>
          <w:sz w:val="24"/>
          <w:szCs w:val="24"/>
        </w:rPr>
        <w:t>]</w:t>
      </w:r>
      <w:r>
        <w:rPr>
          <w:rFonts w:ascii="Arial" w:eastAsia="Arial" w:hAnsi="Arial" w:cs="Arial"/>
          <w:color w:val="000000" w:themeColor="text1"/>
          <w:sz w:val="24"/>
          <w:szCs w:val="24"/>
        </w:rPr>
        <w:tab/>
      </w:r>
      <w:r w:rsidR="00CC74E0" w:rsidRPr="00157810">
        <w:rPr>
          <w:rFonts w:ascii="Arial" w:eastAsia="Arial" w:hAnsi="Arial" w:cs="Arial"/>
          <w:color w:val="000000" w:themeColor="text1"/>
          <w:sz w:val="24"/>
          <w:szCs w:val="24"/>
        </w:rPr>
        <w:t>Critically</w:t>
      </w:r>
      <w:r w:rsidR="00FC26D7" w:rsidRPr="00157810">
        <w:rPr>
          <w:rFonts w:ascii="Arial" w:eastAsia="Arial" w:hAnsi="Arial" w:cs="Arial"/>
          <w:color w:val="000000" w:themeColor="text1"/>
          <w:sz w:val="24"/>
          <w:szCs w:val="24"/>
        </w:rPr>
        <w:t xml:space="preserve">, </w:t>
      </w:r>
      <w:r w:rsidR="004F13E1">
        <w:rPr>
          <w:rFonts w:ascii="Arial" w:eastAsia="Arial" w:hAnsi="Arial" w:cs="Arial"/>
          <w:color w:val="000000" w:themeColor="text1"/>
          <w:sz w:val="24"/>
          <w:szCs w:val="24"/>
        </w:rPr>
        <w:t>for the appellants is the</w:t>
      </w:r>
      <w:r w:rsidR="006E0B23" w:rsidRPr="00157810">
        <w:rPr>
          <w:rFonts w:ascii="Arial" w:eastAsia="Arial" w:hAnsi="Arial" w:cs="Arial"/>
          <w:color w:val="000000" w:themeColor="text1"/>
          <w:sz w:val="24"/>
          <w:szCs w:val="24"/>
        </w:rPr>
        <w:t xml:space="preserve"> fact that their version as to </w:t>
      </w:r>
      <w:r w:rsidR="00CC74E0" w:rsidRPr="00157810">
        <w:rPr>
          <w:rFonts w:ascii="Arial" w:eastAsia="Arial" w:hAnsi="Arial" w:cs="Arial"/>
          <w:color w:val="000000" w:themeColor="text1"/>
          <w:sz w:val="24"/>
          <w:szCs w:val="24"/>
        </w:rPr>
        <w:t xml:space="preserve">what </w:t>
      </w:r>
      <w:r w:rsidR="006E0B23" w:rsidRPr="00157810">
        <w:rPr>
          <w:rFonts w:ascii="Arial" w:eastAsia="Arial" w:hAnsi="Arial" w:cs="Arial"/>
          <w:color w:val="000000" w:themeColor="text1"/>
          <w:sz w:val="24"/>
          <w:szCs w:val="24"/>
        </w:rPr>
        <w:t>tr</w:t>
      </w:r>
      <w:r w:rsidR="004F13E1">
        <w:rPr>
          <w:rFonts w:ascii="Arial" w:eastAsia="Arial" w:hAnsi="Arial" w:cs="Arial"/>
          <w:color w:val="000000" w:themeColor="text1"/>
          <w:sz w:val="24"/>
          <w:szCs w:val="24"/>
        </w:rPr>
        <w:t xml:space="preserve">anspired in the presence of Constable Ndaonde </w:t>
      </w:r>
      <w:r w:rsidR="006E0B23" w:rsidRPr="00157810">
        <w:rPr>
          <w:rFonts w:ascii="Arial" w:eastAsia="Arial" w:hAnsi="Arial" w:cs="Arial"/>
          <w:color w:val="000000" w:themeColor="text1"/>
          <w:sz w:val="24"/>
          <w:szCs w:val="24"/>
        </w:rPr>
        <w:t xml:space="preserve">only emerged when they gave evidence </w:t>
      </w:r>
      <w:r w:rsidR="004F13E1">
        <w:rPr>
          <w:rFonts w:ascii="Arial" w:eastAsia="Arial" w:hAnsi="Arial" w:cs="Arial"/>
          <w:color w:val="000000" w:themeColor="text1"/>
          <w:sz w:val="24"/>
          <w:szCs w:val="24"/>
        </w:rPr>
        <w:t xml:space="preserve">in chief </w:t>
      </w:r>
      <w:r w:rsidR="006E0B23" w:rsidRPr="00157810">
        <w:rPr>
          <w:rFonts w:ascii="Arial" w:eastAsia="Arial" w:hAnsi="Arial" w:cs="Arial"/>
          <w:color w:val="000000" w:themeColor="text1"/>
          <w:sz w:val="24"/>
          <w:szCs w:val="24"/>
        </w:rPr>
        <w:t>and th</w:t>
      </w:r>
      <w:r w:rsidR="004F13E1">
        <w:rPr>
          <w:rFonts w:ascii="Arial" w:eastAsia="Arial" w:hAnsi="Arial" w:cs="Arial"/>
          <w:color w:val="000000" w:themeColor="text1"/>
          <w:sz w:val="24"/>
          <w:szCs w:val="24"/>
        </w:rPr>
        <w:t>eir versions were not put to him</w:t>
      </w:r>
      <w:r w:rsidR="006E0B23" w:rsidRPr="00157810">
        <w:rPr>
          <w:rFonts w:ascii="Arial" w:eastAsia="Arial" w:hAnsi="Arial" w:cs="Arial"/>
          <w:color w:val="000000" w:themeColor="text1"/>
          <w:sz w:val="24"/>
          <w:szCs w:val="24"/>
        </w:rPr>
        <w:t xml:space="preserve"> for </w:t>
      </w:r>
      <w:r w:rsidR="004F13E1">
        <w:rPr>
          <w:rFonts w:ascii="Arial" w:eastAsia="Arial" w:hAnsi="Arial" w:cs="Arial"/>
          <w:color w:val="000000" w:themeColor="text1"/>
          <w:sz w:val="24"/>
          <w:szCs w:val="24"/>
        </w:rPr>
        <w:t>his response thereto.</w:t>
      </w:r>
      <w:r w:rsidR="006E0B23" w:rsidRPr="00157810">
        <w:rPr>
          <w:rFonts w:ascii="Arial" w:eastAsia="Arial" w:hAnsi="Arial" w:cs="Arial"/>
          <w:color w:val="000000" w:themeColor="text1"/>
          <w:sz w:val="24"/>
          <w:szCs w:val="24"/>
        </w:rPr>
        <w:t xml:space="preserve"> </w:t>
      </w:r>
      <w:r w:rsidR="009B4687">
        <w:rPr>
          <w:rFonts w:ascii="Arial" w:eastAsia="Arial" w:hAnsi="Arial" w:cs="Arial"/>
          <w:color w:val="000000" w:themeColor="text1"/>
          <w:sz w:val="24"/>
          <w:szCs w:val="24"/>
        </w:rPr>
        <w:t xml:space="preserve">Furthermore, </w:t>
      </w:r>
      <w:r w:rsidR="00FB17ED">
        <w:rPr>
          <w:rFonts w:ascii="Arial" w:eastAsia="Arial" w:hAnsi="Arial" w:cs="Arial"/>
          <w:color w:val="000000" w:themeColor="text1"/>
          <w:sz w:val="24"/>
          <w:szCs w:val="24"/>
        </w:rPr>
        <w:t>the fact that their</w:t>
      </w:r>
      <w:r w:rsidR="006E0B23" w:rsidRPr="00157810">
        <w:rPr>
          <w:rFonts w:ascii="Arial" w:eastAsia="Arial" w:hAnsi="Arial" w:cs="Arial"/>
          <w:color w:val="000000" w:themeColor="text1"/>
          <w:sz w:val="24"/>
          <w:szCs w:val="24"/>
        </w:rPr>
        <w:t xml:space="preserve"> </w:t>
      </w:r>
      <w:r w:rsidR="00FB17ED">
        <w:rPr>
          <w:rFonts w:ascii="Arial" w:eastAsia="Arial" w:hAnsi="Arial" w:cs="Arial"/>
          <w:color w:val="000000" w:themeColor="text1"/>
          <w:sz w:val="24"/>
          <w:szCs w:val="24"/>
        </w:rPr>
        <w:t>versions</w:t>
      </w:r>
      <w:r w:rsidR="006E0B23" w:rsidRPr="00157810">
        <w:rPr>
          <w:rFonts w:ascii="Arial" w:eastAsia="Arial" w:hAnsi="Arial" w:cs="Arial"/>
          <w:color w:val="000000" w:themeColor="text1"/>
          <w:sz w:val="24"/>
          <w:szCs w:val="24"/>
        </w:rPr>
        <w:t xml:space="preserve"> are contradictory as regards what </w:t>
      </w:r>
      <w:r w:rsidR="00FB17ED">
        <w:rPr>
          <w:rFonts w:ascii="Arial" w:eastAsia="Arial" w:hAnsi="Arial" w:cs="Arial"/>
          <w:color w:val="000000" w:themeColor="text1"/>
          <w:sz w:val="24"/>
          <w:szCs w:val="24"/>
        </w:rPr>
        <w:t xml:space="preserve">in fact </w:t>
      </w:r>
      <w:r w:rsidR="006E0B23" w:rsidRPr="00157810">
        <w:rPr>
          <w:rFonts w:ascii="Arial" w:eastAsia="Arial" w:hAnsi="Arial" w:cs="Arial"/>
          <w:color w:val="000000" w:themeColor="text1"/>
          <w:sz w:val="24"/>
          <w:szCs w:val="24"/>
        </w:rPr>
        <w:t xml:space="preserve">transpired </w:t>
      </w:r>
      <w:r w:rsidR="00FB17ED">
        <w:rPr>
          <w:rFonts w:ascii="Arial" w:eastAsia="Arial" w:hAnsi="Arial" w:cs="Arial"/>
          <w:color w:val="000000" w:themeColor="text1"/>
          <w:sz w:val="24"/>
          <w:szCs w:val="24"/>
        </w:rPr>
        <w:t>when Constable Ndaonde w</w:t>
      </w:r>
      <w:r w:rsidR="006E0B23" w:rsidRPr="00157810">
        <w:rPr>
          <w:rFonts w:ascii="Arial" w:eastAsia="Arial" w:hAnsi="Arial" w:cs="Arial"/>
          <w:color w:val="000000" w:themeColor="text1"/>
          <w:sz w:val="24"/>
          <w:szCs w:val="24"/>
        </w:rPr>
        <w:t xml:space="preserve">as </w:t>
      </w:r>
      <w:r w:rsidR="00FB17ED">
        <w:rPr>
          <w:rFonts w:ascii="Arial" w:eastAsia="Arial" w:hAnsi="Arial" w:cs="Arial"/>
          <w:color w:val="000000" w:themeColor="text1"/>
          <w:sz w:val="24"/>
          <w:szCs w:val="24"/>
        </w:rPr>
        <w:t>in attendance.</w:t>
      </w:r>
    </w:p>
    <w:p w:rsidR="00157810" w:rsidRDefault="00157810" w:rsidP="001B5514">
      <w:pPr>
        <w:pStyle w:val="ListParagraph"/>
        <w:spacing w:line="360" w:lineRule="auto"/>
        <w:contextualSpacing w:val="0"/>
        <w:jc w:val="both"/>
        <w:rPr>
          <w:rFonts w:ascii="Arial" w:eastAsia="Arial" w:hAnsi="Arial" w:cs="Arial"/>
          <w:color w:val="000000" w:themeColor="text1"/>
          <w:sz w:val="24"/>
          <w:szCs w:val="24"/>
        </w:rPr>
      </w:pPr>
    </w:p>
    <w:p w:rsidR="002752C6"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[1</w:t>
      </w:r>
      <w:r w:rsidR="00021FD5">
        <w:rPr>
          <w:rFonts w:ascii="Arial" w:eastAsia="Arial" w:hAnsi="Arial" w:cs="Arial"/>
          <w:color w:val="000000" w:themeColor="text1"/>
          <w:sz w:val="24"/>
          <w:szCs w:val="24"/>
        </w:rPr>
        <w:t>6</w:t>
      </w:r>
      <w:r>
        <w:rPr>
          <w:rFonts w:ascii="Arial" w:eastAsia="Arial" w:hAnsi="Arial" w:cs="Arial"/>
          <w:color w:val="000000" w:themeColor="text1"/>
          <w:sz w:val="24"/>
          <w:szCs w:val="24"/>
        </w:rPr>
        <w:t>]</w:t>
      </w:r>
      <w:r>
        <w:rPr>
          <w:rFonts w:ascii="Arial" w:eastAsia="Arial" w:hAnsi="Arial" w:cs="Arial"/>
          <w:color w:val="000000" w:themeColor="text1"/>
          <w:sz w:val="24"/>
          <w:szCs w:val="24"/>
        </w:rPr>
        <w:tab/>
      </w:r>
      <w:r w:rsidR="002752C6" w:rsidRPr="00157810">
        <w:rPr>
          <w:rFonts w:ascii="Arial" w:eastAsia="Arial" w:hAnsi="Arial" w:cs="Arial"/>
          <w:color w:val="000000"/>
          <w:sz w:val="24"/>
          <w:szCs w:val="24"/>
        </w:rPr>
        <w:t xml:space="preserve">The totality of the evidence </w:t>
      </w:r>
      <w:r w:rsidR="002752C6">
        <w:rPr>
          <w:rFonts w:ascii="Arial" w:eastAsia="Arial" w:hAnsi="Arial" w:cs="Arial"/>
          <w:color w:val="000000"/>
          <w:sz w:val="24"/>
          <w:szCs w:val="24"/>
        </w:rPr>
        <w:t xml:space="preserve">reflects that the complainant </w:t>
      </w:r>
      <w:r w:rsidR="002752C6" w:rsidRPr="00157810">
        <w:rPr>
          <w:rFonts w:ascii="Arial" w:eastAsia="Arial" w:hAnsi="Arial" w:cs="Arial"/>
          <w:color w:val="000000"/>
          <w:sz w:val="24"/>
          <w:szCs w:val="24"/>
        </w:rPr>
        <w:t>was robbed at gun point</w:t>
      </w:r>
      <w:r w:rsidR="002752C6">
        <w:rPr>
          <w:rFonts w:ascii="Arial" w:eastAsia="Arial" w:hAnsi="Arial" w:cs="Arial"/>
          <w:color w:val="000000"/>
          <w:sz w:val="24"/>
          <w:szCs w:val="24"/>
        </w:rPr>
        <w:t xml:space="preserve">. </w:t>
      </w:r>
      <w:r w:rsidR="002752C6" w:rsidRPr="00157810">
        <w:rPr>
          <w:rFonts w:ascii="Arial" w:eastAsia="Arial" w:hAnsi="Arial" w:cs="Arial"/>
          <w:color w:val="000000"/>
          <w:sz w:val="24"/>
          <w:szCs w:val="24"/>
        </w:rPr>
        <w:t xml:space="preserve"> </w:t>
      </w:r>
      <w:r w:rsidR="002752C6">
        <w:rPr>
          <w:rFonts w:ascii="Arial" w:eastAsia="Arial" w:hAnsi="Arial" w:cs="Arial"/>
          <w:color w:val="000000"/>
          <w:sz w:val="24"/>
          <w:szCs w:val="24"/>
        </w:rPr>
        <w:t>A</w:t>
      </w:r>
      <w:r w:rsidR="002752C6" w:rsidRPr="00157810">
        <w:rPr>
          <w:rFonts w:ascii="Arial" w:eastAsia="Arial" w:hAnsi="Arial" w:cs="Arial"/>
          <w:color w:val="000000"/>
          <w:sz w:val="24"/>
          <w:szCs w:val="24"/>
        </w:rPr>
        <w:t xml:space="preserve"> toy gun </w:t>
      </w:r>
      <w:r w:rsidR="002752C6">
        <w:rPr>
          <w:rFonts w:ascii="Arial" w:eastAsia="Arial" w:hAnsi="Arial" w:cs="Arial"/>
          <w:color w:val="000000"/>
          <w:sz w:val="24"/>
          <w:szCs w:val="24"/>
        </w:rPr>
        <w:t>was</w:t>
      </w:r>
      <w:r w:rsidR="009B4687">
        <w:rPr>
          <w:rFonts w:ascii="Arial" w:eastAsia="Arial" w:hAnsi="Arial" w:cs="Arial"/>
          <w:color w:val="000000"/>
          <w:sz w:val="24"/>
          <w:szCs w:val="24"/>
        </w:rPr>
        <w:t xml:space="preserve"> retrieved</w:t>
      </w:r>
      <w:r w:rsidR="002752C6" w:rsidRPr="00157810">
        <w:rPr>
          <w:rFonts w:ascii="Arial" w:eastAsia="Arial" w:hAnsi="Arial" w:cs="Arial"/>
          <w:color w:val="000000"/>
          <w:sz w:val="24"/>
          <w:szCs w:val="24"/>
        </w:rPr>
        <w:t xml:space="preserve"> by Simphiwe on the scene,</w:t>
      </w:r>
      <w:r w:rsidR="002752C6">
        <w:rPr>
          <w:rFonts w:ascii="Arial" w:eastAsia="Arial" w:hAnsi="Arial" w:cs="Arial"/>
          <w:color w:val="000000"/>
          <w:sz w:val="24"/>
          <w:szCs w:val="24"/>
        </w:rPr>
        <w:t xml:space="preserve"> </w:t>
      </w:r>
      <w:r w:rsidR="002752C6" w:rsidRPr="00157810">
        <w:rPr>
          <w:rFonts w:ascii="Arial" w:eastAsia="Arial" w:hAnsi="Arial" w:cs="Arial"/>
          <w:color w:val="000000"/>
          <w:sz w:val="24"/>
          <w:szCs w:val="24"/>
        </w:rPr>
        <w:t>in the possession of the first appellant when they were apprehended</w:t>
      </w:r>
      <w:r w:rsidR="002752C6">
        <w:rPr>
          <w:rFonts w:ascii="Arial" w:eastAsia="Arial" w:hAnsi="Arial" w:cs="Arial"/>
          <w:color w:val="000000"/>
          <w:sz w:val="24"/>
          <w:szCs w:val="24"/>
        </w:rPr>
        <w:t>. T</w:t>
      </w:r>
      <w:r w:rsidR="002752C6" w:rsidRPr="00157810">
        <w:rPr>
          <w:rFonts w:ascii="Arial" w:eastAsia="Arial" w:hAnsi="Arial" w:cs="Arial"/>
          <w:color w:val="000000"/>
          <w:sz w:val="24"/>
          <w:szCs w:val="24"/>
        </w:rPr>
        <w:t>he account give</w:t>
      </w:r>
      <w:r w:rsidR="002752C6">
        <w:rPr>
          <w:rFonts w:ascii="Arial" w:eastAsia="Arial" w:hAnsi="Arial" w:cs="Arial"/>
          <w:color w:val="000000"/>
          <w:sz w:val="24"/>
          <w:szCs w:val="24"/>
        </w:rPr>
        <w:t>n by C</w:t>
      </w:r>
      <w:r w:rsidR="002752C6" w:rsidRPr="00157810">
        <w:rPr>
          <w:rFonts w:ascii="Arial" w:eastAsia="Arial" w:hAnsi="Arial" w:cs="Arial"/>
          <w:color w:val="000000"/>
          <w:sz w:val="24"/>
          <w:szCs w:val="24"/>
        </w:rPr>
        <w:t>onstable</w:t>
      </w:r>
      <w:r w:rsidR="002752C6">
        <w:rPr>
          <w:rFonts w:ascii="Arial" w:eastAsia="Arial" w:hAnsi="Arial" w:cs="Arial"/>
          <w:color w:val="000000"/>
          <w:sz w:val="24"/>
          <w:szCs w:val="24"/>
        </w:rPr>
        <w:t xml:space="preserve"> </w:t>
      </w:r>
      <w:r w:rsidR="002752C6" w:rsidRPr="00157810">
        <w:rPr>
          <w:rFonts w:ascii="Arial" w:eastAsia="Arial" w:hAnsi="Arial" w:cs="Arial"/>
          <w:color w:val="000000"/>
          <w:sz w:val="24"/>
          <w:szCs w:val="24"/>
        </w:rPr>
        <w:t xml:space="preserve">Ndaonde </w:t>
      </w:r>
      <w:r w:rsidR="002752C6">
        <w:rPr>
          <w:rFonts w:ascii="Arial" w:eastAsia="Arial" w:hAnsi="Arial" w:cs="Arial"/>
          <w:color w:val="000000"/>
          <w:sz w:val="24"/>
          <w:szCs w:val="24"/>
        </w:rPr>
        <w:t xml:space="preserve">was </w:t>
      </w:r>
      <w:r w:rsidR="002752C6" w:rsidRPr="00157810">
        <w:rPr>
          <w:rFonts w:ascii="Arial" w:eastAsia="Arial" w:hAnsi="Arial" w:cs="Arial"/>
          <w:color w:val="000000"/>
          <w:sz w:val="24"/>
          <w:szCs w:val="24"/>
        </w:rPr>
        <w:t>that a toy gun was recovered and handed d</w:t>
      </w:r>
      <w:r w:rsidR="009B4687">
        <w:rPr>
          <w:rFonts w:ascii="Arial" w:eastAsia="Arial" w:hAnsi="Arial" w:cs="Arial"/>
          <w:color w:val="000000"/>
          <w:sz w:val="24"/>
          <w:szCs w:val="24"/>
        </w:rPr>
        <w:t>irectly to him on his arrival at</w:t>
      </w:r>
      <w:r w:rsidR="002752C6" w:rsidRPr="00157810">
        <w:rPr>
          <w:rFonts w:ascii="Arial" w:eastAsia="Arial" w:hAnsi="Arial" w:cs="Arial"/>
          <w:color w:val="000000"/>
          <w:sz w:val="24"/>
          <w:szCs w:val="24"/>
        </w:rPr>
        <w:t xml:space="preserve"> the scene</w:t>
      </w:r>
      <w:r w:rsidR="002752C6">
        <w:rPr>
          <w:rFonts w:ascii="Arial" w:eastAsia="Arial" w:hAnsi="Arial" w:cs="Arial"/>
          <w:color w:val="000000" w:themeColor="text1"/>
          <w:sz w:val="24"/>
          <w:szCs w:val="24"/>
        </w:rPr>
        <w:t xml:space="preserve">. This in my view is indicative that </w:t>
      </w:r>
      <w:r w:rsidR="002752C6" w:rsidRPr="001B1EF0">
        <w:rPr>
          <w:rFonts w:ascii="Arial" w:eastAsia="Arial" w:hAnsi="Arial" w:cs="Arial"/>
          <w:color w:val="000000" w:themeColor="text1"/>
          <w:sz w:val="24"/>
          <w:szCs w:val="24"/>
        </w:rPr>
        <w:t xml:space="preserve">the appellants </w:t>
      </w:r>
      <w:r w:rsidR="002752C6">
        <w:rPr>
          <w:rFonts w:ascii="Arial" w:eastAsia="Arial" w:hAnsi="Arial" w:cs="Arial"/>
          <w:color w:val="000000" w:themeColor="text1"/>
          <w:sz w:val="24"/>
          <w:szCs w:val="24"/>
        </w:rPr>
        <w:t xml:space="preserve">have </w:t>
      </w:r>
      <w:r w:rsidR="002752C6" w:rsidRPr="001B1EF0">
        <w:rPr>
          <w:rFonts w:ascii="Arial" w:eastAsia="Arial" w:hAnsi="Arial" w:cs="Arial"/>
          <w:color w:val="000000" w:themeColor="text1"/>
          <w:sz w:val="24"/>
          <w:szCs w:val="24"/>
        </w:rPr>
        <w:t>failed to show that there are reasonable prospects of success on appeal.</w:t>
      </w:r>
    </w:p>
    <w:p w:rsidR="002752C6" w:rsidRDefault="002752C6" w:rsidP="001B5514">
      <w:pPr>
        <w:pStyle w:val="Normal1"/>
        <w:pBdr>
          <w:top w:val="nil"/>
          <w:left w:val="nil"/>
          <w:bottom w:val="nil"/>
          <w:right w:val="nil"/>
          <w:between w:val="nil"/>
        </w:pBdr>
        <w:spacing w:after="0" w:line="360" w:lineRule="auto"/>
        <w:jc w:val="both"/>
        <w:rPr>
          <w:rFonts w:ascii="Arial" w:eastAsia="Arial" w:hAnsi="Arial" w:cs="Arial"/>
          <w:color w:val="000000" w:themeColor="text1"/>
          <w:sz w:val="24"/>
          <w:szCs w:val="24"/>
        </w:rPr>
      </w:pPr>
    </w:p>
    <w:p w:rsidR="00157810" w:rsidRDefault="002752C6"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themeColor="text1"/>
          <w:sz w:val="24"/>
          <w:szCs w:val="24"/>
        </w:rPr>
        <w:t>[1</w:t>
      </w:r>
      <w:r w:rsidR="00021FD5">
        <w:rPr>
          <w:rFonts w:ascii="Arial" w:eastAsia="Arial" w:hAnsi="Arial" w:cs="Arial"/>
          <w:color w:val="000000" w:themeColor="text1"/>
          <w:sz w:val="24"/>
          <w:szCs w:val="24"/>
        </w:rPr>
        <w:t>7</w:t>
      </w:r>
      <w:r>
        <w:rPr>
          <w:rFonts w:ascii="Arial" w:eastAsia="Arial" w:hAnsi="Arial" w:cs="Arial"/>
          <w:color w:val="000000" w:themeColor="text1"/>
          <w:sz w:val="24"/>
          <w:szCs w:val="24"/>
        </w:rPr>
        <w:t>]</w:t>
      </w:r>
      <w:r>
        <w:rPr>
          <w:rFonts w:ascii="Arial" w:eastAsia="Arial" w:hAnsi="Arial" w:cs="Arial"/>
          <w:color w:val="000000" w:themeColor="text1"/>
          <w:sz w:val="24"/>
          <w:szCs w:val="24"/>
        </w:rPr>
        <w:tab/>
      </w:r>
      <w:r w:rsidR="00C35A4D" w:rsidRPr="00157810">
        <w:rPr>
          <w:rFonts w:ascii="Arial" w:eastAsia="Arial" w:hAnsi="Arial" w:cs="Arial"/>
          <w:color w:val="000000" w:themeColor="text1"/>
          <w:sz w:val="24"/>
          <w:szCs w:val="24"/>
        </w:rPr>
        <w:t xml:space="preserve">I am satisfied that the </w:t>
      </w:r>
      <w:r w:rsidR="00A73864">
        <w:rPr>
          <w:rFonts w:ascii="Arial" w:eastAsia="Arial" w:hAnsi="Arial" w:cs="Arial"/>
          <w:color w:val="000000" w:themeColor="text1"/>
          <w:sz w:val="24"/>
          <w:szCs w:val="24"/>
        </w:rPr>
        <w:t xml:space="preserve">high court </w:t>
      </w:r>
      <w:r w:rsidR="00C35A4D" w:rsidRPr="00157810">
        <w:rPr>
          <w:rFonts w:ascii="Arial" w:eastAsia="Arial" w:hAnsi="Arial" w:cs="Arial"/>
          <w:color w:val="000000" w:themeColor="text1"/>
          <w:sz w:val="24"/>
          <w:szCs w:val="24"/>
        </w:rPr>
        <w:t xml:space="preserve">did not misdirect itself </w:t>
      </w:r>
      <w:r w:rsidR="00A73864">
        <w:rPr>
          <w:rFonts w:ascii="Arial" w:eastAsia="Arial" w:hAnsi="Arial" w:cs="Arial"/>
          <w:color w:val="000000" w:themeColor="text1"/>
          <w:sz w:val="24"/>
          <w:szCs w:val="24"/>
        </w:rPr>
        <w:t>when it refused the petition to appeal against the conviction</w:t>
      </w:r>
      <w:r w:rsidR="00C35A4D" w:rsidRPr="00157810">
        <w:rPr>
          <w:rFonts w:ascii="Arial" w:eastAsia="Arial" w:hAnsi="Arial" w:cs="Arial"/>
          <w:color w:val="000000" w:themeColor="text1"/>
          <w:sz w:val="24"/>
          <w:szCs w:val="24"/>
        </w:rPr>
        <w:t xml:space="preserve">. </w:t>
      </w:r>
    </w:p>
    <w:p w:rsidR="00157810" w:rsidRDefault="00157810" w:rsidP="001B5514">
      <w:pPr>
        <w:pStyle w:val="ListParagraph"/>
        <w:spacing w:line="360" w:lineRule="auto"/>
        <w:contextualSpacing w:val="0"/>
        <w:jc w:val="both"/>
        <w:rPr>
          <w:rFonts w:ascii="Arial" w:eastAsia="Arial" w:hAnsi="Arial" w:cs="Arial"/>
          <w:color w:val="000000"/>
          <w:sz w:val="24"/>
          <w:szCs w:val="24"/>
        </w:rPr>
      </w:pPr>
    </w:p>
    <w:p w:rsidR="00CD05AA" w:rsidRPr="00157810" w:rsidRDefault="00AB628D"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[18]</w:t>
      </w:r>
      <w:r>
        <w:rPr>
          <w:rFonts w:ascii="Arial" w:eastAsia="Arial" w:hAnsi="Arial" w:cs="Arial"/>
          <w:color w:val="000000"/>
          <w:sz w:val="24"/>
          <w:szCs w:val="24"/>
        </w:rPr>
        <w:tab/>
      </w:r>
      <w:r w:rsidR="00E85772" w:rsidRPr="00157810">
        <w:rPr>
          <w:rFonts w:ascii="Arial" w:eastAsia="Arial" w:hAnsi="Arial" w:cs="Arial"/>
          <w:color w:val="000000"/>
          <w:sz w:val="24"/>
          <w:szCs w:val="24"/>
        </w:rPr>
        <w:t xml:space="preserve">In the </w:t>
      </w:r>
      <w:r w:rsidRPr="00157810">
        <w:rPr>
          <w:rFonts w:ascii="Arial" w:eastAsia="Arial" w:hAnsi="Arial" w:cs="Arial"/>
          <w:color w:val="000000"/>
          <w:sz w:val="24"/>
          <w:szCs w:val="24"/>
        </w:rPr>
        <w:t>result</w:t>
      </w:r>
      <w:r>
        <w:rPr>
          <w:rFonts w:ascii="Arial" w:eastAsia="Arial" w:hAnsi="Arial" w:cs="Arial"/>
          <w:color w:val="000000"/>
          <w:sz w:val="24"/>
          <w:szCs w:val="24"/>
        </w:rPr>
        <w:t xml:space="preserve"> I make the following order</w:t>
      </w:r>
      <w:r w:rsidRPr="00157810">
        <w:rPr>
          <w:rFonts w:ascii="Arial" w:eastAsia="Arial" w:hAnsi="Arial" w:cs="Arial"/>
          <w:color w:val="000000"/>
          <w:sz w:val="24"/>
          <w:szCs w:val="24"/>
        </w:rPr>
        <w:t>:</w:t>
      </w:r>
    </w:p>
    <w:p w:rsidR="00462B36" w:rsidRDefault="00382402"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appellant</w:t>
      </w:r>
      <w:r w:rsidR="00462B36">
        <w:rPr>
          <w:rFonts w:ascii="Arial" w:eastAsia="Arial" w:hAnsi="Arial" w:cs="Arial"/>
          <w:color w:val="000000"/>
          <w:sz w:val="24"/>
          <w:szCs w:val="24"/>
        </w:rPr>
        <w:t>s</w:t>
      </w:r>
      <w:r>
        <w:rPr>
          <w:rFonts w:ascii="Arial" w:eastAsia="Arial" w:hAnsi="Arial" w:cs="Arial"/>
          <w:color w:val="000000"/>
          <w:sz w:val="24"/>
          <w:szCs w:val="24"/>
        </w:rPr>
        <w:t xml:space="preserve">’ </w:t>
      </w:r>
      <w:r w:rsidR="00462B36">
        <w:rPr>
          <w:rFonts w:ascii="Arial" w:eastAsia="Arial" w:hAnsi="Arial" w:cs="Arial"/>
          <w:color w:val="000000"/>
          <w:sz w:val="24"/>
          <w:szCs w:val="24"/>
        </w:rPr>
        <w:t>application for leave to appeal</w:t>
      </w:r>
      <w:r>
        <w:rPr>
          <w:rFonts w:ascii="Arial" w:eastAsia="Arial" w:hAnsi="Arial" w:cs="Arial"/>
          <w:color w:val="000000"/>
          <w:sz w:val="24"/>
          <w:szCs w:val="24"/>
        </w:rPr>
        <w:t xml:space="preserve"> against</w:t>
      </w:r>
      <w:r w:rsidR="00462B36">
        <w:rPr>
          <w:rFonts w:ascii="Arial" w:eastAsia="Arial" w:hAnsi="Arial" w:cs="Arial"/>
          <w:color w:val="000000"/>
          <w:sz w:val="24"/>
          <w:szCs w:val="24"/>
        </w:rPr>
        <w:t xml:space="preserve"> the refusal of the petition on their conviction is dismissed. </w:t>
      </w:r>
    </w:p>
    <w:p w:rsidR="006C7F72" w:rsidRDefault="006C7F72" w:rsidP="001B551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CD05AA" w:rsidRDefault="00CD05AA" w:rsidP="001B5514">
      <w:pPr>
        <w:pStyle w:val="Normal1"/>
        <w:spacing w:before="240" w:after="0" w:line="360" w:lineRule="auto"/>
        <w:jc w:val="both"/>
        <w:rPr>
          <w:rFonts w:ascii="Arial" w:eastAsia="Arial" w:hAnsi="Arial" w:cs="Arial"/>
          <w:b/>
          <w:sz w:val="24"/>
          <w:szCs w:val="24"/>
        </w:rPr>
      </w:pPr>
    </w:p>
    <w:p w:rsidR="00CD05AA" w:rsidRDefault="00CD05AA" w:rsidP="006C7F72">
      <w:pPr>
        <w:pStyle w:val="Normal1"/>
        <w:spacing w:before="240" w:after="0" w:line="360" w:lineRule="auto"/>
        <w:jc w:val="both"/>
        <w:rPr>
          <w:rFonts w:ascii="Arial" w:eastAsia="Arial" w:hAnsi="Arial" w:cs="Arial"/>
          <w:b/>
          <w:sz w:val="24"/>
          <w:szCs w:val="24"/>
        </w:rPr>
      </w:pPr>
    </w:p>
    <w:p w:rsidR="00CD05AA" w:rsidRDefault="00E85772" w:rsidP="006C7F72">
      <w:pPr>
        <w:pStyle w:val="Normal1"/>
        <w:spacing w:after="0" w:line="360" w:lineRule="auto"/>
        <w:jc w:val="right"/>
        <w:rPr>
          <w:rFonts w:ascii="Arial" w:eastAsia="Arial" w:hAnsi="Arial" w:cs="Arial"/>
          <w:sz w:val="24"/>
          <w:szCs w:val="24"/>
        </w:rPr>
      </w:pPr>
      <w:r>
        <w:rPr>
          <w:rFonts w:ascii="Arial" w:eastAsia="Arial" w:hAnsi="Arial" w:cs="Arial"/>
          <w:sz w:val="24"/>
          <w:szCs w:val="24"/>
        </w:rPr>
        <w:t>___________________</w:t>
      </w:r>
    </w:p>
    <w:p w:rsidR="00CD05AA" w:rsidRDefault="006C7F72" w:rsidP="006C7F72">
      <w:pPr>
        <w:pStyle w:val="Normal1"/>
        <w:spacing w:after="0" w:line="360" w:lineRule="auto"/>
        <w:jc w:val="right"/>
        <w:rPr>
          <w:rFonts w:ascii="Arial" w:eastAsia="Arial" w:hAnsi="Arial" w:cs="Arial"/>
          <w:sz w:val="24"/>
          <w:szCs w:val="24"/>
        </w:rPr>
      </w:pPr>
      <w:r>
        <w:rPr>
          <w:rFonts w:ascii="Arial" w:eastAsia="Arial" w:hAnsi="Arial" w:cs="Arial"/>
          <w:sz w:val="24"/>
          <w:szCs w:val="24"/>
        </w:rPr>
        <w:t>W HUGHES</w:t>
      </w:r>
    </w:p>
    <w:p w:rsidR="00CD05AA" w:rsidRDefault="006C7F72" w:rsidP="006C7F72">
      <w:pPr>
        <w:pStyle w:val="Normal1"/>
        <w:spacing w:after="0" w:line="360" w:lineRule="auto"/>
        <w:jc w:val="right"/>
        <w:rPr>
          <w:rFonts w:ascii="Arial" w:eastAsia="Arial" w:hAnsi="Arial" w:cs="Arial"/>
          <w:sz w:val="24"/>
          <w:szCs w:val="24"/>
        </w:rPr>
      </w:pPr>
      <w:r>
        <w:rPr>
          <w:rFonts w:ascii="Arial" w:eastAsia="Arial" w:hAnsi="Arial" w:cs="Arial"/>
          <w:sz w:val="24"/>
          <w:szCs w:val="24"/>
        </w:rPr>
        <w:t>JUDGE OF APPEAL</w:t>
      </w:r>
    </w:p>
    <w:p w:rsidR="00CD05AA" w:rsidRDefault="00E85772" w:rsidP="006C7F72">
      <w:pPr>
        <w:pStyle w:val="Normal1"/>
        <w:spacing w:line="360" w:lineRule="auto"/>
        <w:rPr>
          <w:rFonts w:ascii="Arial" w:eastAsia="Arial" w:hAnsi="Arial" w:cs="Arial"/>
          <w:sz w:val="24"/>
          <w:szCs w:val="24"/>
        </w:rPr>
      </w:pPr>
      <w:r>
        <w:br w:type="page"/>
      </w:r>
    </w:p>
    <w:p w:rsidR="00CD05AA" w:rsidRDefault="00E85772" w:rsidP="006C7F72">
      <w:pPr>
        <w:pStyle w:val="Normal1"/>
        <w:spacing w:after="0" w:line="360" w:lineRule="auto"/>
        <w:rPr>
          <w:rFonts w:ascii="Arial" w:eastAsia="Arial" w:hAnsi="Arial" w:cs="Arial"/>
          <w:sz w:val="24"/>
          <w:szCs w:val="24"/>
        </w:rPr>
      </w:pPr>
      <w:r>
        <w:rPr>
          <w:rFonts w:ascii="Arial" w:eastAsia="Arial" w:hAnsi="Arial" w:cs="Arial"/>
          <w:sz w:val="24"/>
          <w:szCs w:val="24"/>
        </w:rPr>
        <w:lastRenderedPageBreak/>
        <w:t>A</w:t>
      </w:r>
      <w:r w:rsidR="00763EF7">
        <w:rPr>
          <w:rFonts w:ascii="Arial" w:eastAsia="Arial" w:hAnsi="Arial" w:cs="Arial"/>
          <w:sz w:val="24"/>
          <w:szCs w:val="24"/>
        </w:rPr>
        <w:t>ppearances</w:t>
      </w:r>
    </w:p>
    <w:p w:rsidR="00CD05AA" w:rsidRDefault="00CD05AA" w:rsidP="006C7F72">
      <w:pPr>
        <w:pStyle w:val="Normal1"/>
        <w:spacing w:after="0" w:line="360" w:lineRule="auto"/>
        <w:rPr>
          <w:rFonts w:ascii="Arial" w:eastAsia="Arial" w:hAnsi="Arial" w:cs="Arial"/>
          <w:sz w:val="24"/>
          <w:szCs w:val="24"/>
        </w:rPr>
      </w:pPr>
    </w:p>
    <w:p w:rsidR="00CD05AA" w:rsidRDefault="00E85772" w:rsidP="006C7F72">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For the Appellant:</w:t>
      </w:r>
      <w:r w:rsidR="00763EF7">
        <w:rPr>
          <w:rFonts w:ascii="Arial" w:eastAsia="Arial" w:hAnsi="Arial" w:cs="Arial"/>
          <w:sz w:val="24"/>
          <w:szCs w:val="24"/>
        </w:rPr>
        <w:tab/>
        <w:t xml:space="preserve">HL Alberts </w:t>
      </w:r>
    </w:p>
    <w:p w:rsidR="00763EF7" w:rsidRDefault="00E85772" w:rsidP="006C7F72">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Instructed by</w:t>
      </w:r>
      <w:r w:rsidR="001A3B74">
        <w:rPr>
          <w:rFonts w:ascii="Arial" w:eastAsia="Arial" w:hAnsi="Arial" w:cs="Arial"/>
          <w:sz w:val="24"/>
          <w:szCs w:val="24"/>
        </w:rPr>
        <w:t xml:space="preserve">:                                  </w:t>
      </w:r>
      <w:r w:rsidR="00C71362">
        <w:rPr>
          <w:rFonts w:ascii="Arial" w:eastAsia="Arial" w:hAnsi="Arial" w:cs="Arial"/>
          <w:sz w:val="24"/>
          <w:szCs w:val="24"/>
        </w:rPr>
        <w:t>Legal Aid South Africa</w:t>
      </w:r>
      <w:r w:rsidR="00763EF7">
        <w:rPr>
          <w:rFonts w:ascii="Arial" w:eastAsia="Arial" w:hAnsi="Arial" w:cs="Arial"/>
          <w:sz w:val="24"/>
          <w:szCs w:val="24"/>
        </w:rPr>
        <w:t>, Pretoria</w:t>
      </w:r>
    </w:p>
    <w:p w:rsidR="00CD05AA" w:rsidRDefault="00763EF7" w:rsidP="006C7F72">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ab/>
        <w:t>Legal Aid South Africa, Bloemfontein</w:t>
      </w:r>
    </w:p>
    <w:p w:rsidR="00CD05AA" w:rsidRDefault="00CD05AA" w:rsidP="006C7F72">
      <w:pPr>
        <w:pStyle w:val="Normal1"/>
        <w:tabs>
          <w:tab w:val="left" w:pos="3686"/>
        </w:tabs>
        <w:spacing w:after="0" w:line="360" w:lineRule="auto"/>
        <w:jc w:val="both"/>
        <w:rPr>
          <w:rFonts w:ascii="Arial" w:eastAsia="Arial" w:hAnsi="Arial" w:cs="Arial"/>
          <w:sz w:val="24"/>
          <w:szCs w:val="24"/>
        </w:rPr>
      </w:pPr>
    </w:p>
    <w:p w:rsidR="00CD05AA" w:rsidRDefault="00CD05AA" w:rsidP="006C7F72">
      <w:pPr>
        <w:pStyle w:val="Normal1"/>
        <w:tabs>
          <w:tab w:val="left" w:pos="3686"/>
        </w:tabs>
        <w:spacing w:after="0" w:line="360" w:lineRule="auto"/>
        <w:jc w:val="both"/>
        <w:rPr>
          <w:rFonts w:ascii="Arial" w:eastAsia="Arial" w:hAnsi="Arial" w:cs="Arial"/>
          <w:sz w:val="24"/>
          <w:szCs w:val="24"/>
        </w:rPr>
      </w:pPr>
    </w:p>
    <w:p w:rsidR="00CD05AA" w:rsidRPr="00382402" w:rsidRDefault="00E85772" w:rsidP="006C7F72">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For the Respondent:</w:t>
      </w:r>
      <w:r>
        <w:rPr>
          <w:rFonts w:ascii="Arial" w:eastAsia="Arial" w:hAnsi="Arial" w:cs="Arial"/>
          <w:sz w:val="24"/>
          <w:szCs w:val="24"/>
        </w:rPr>
        <w:tab/>
      </w:r>
      <w:r w:rsidR="00763EF7" w:rsidRPr="00382402">
        <w:rPr>
          <w:rFonts w:ascii="Arial" w:eastAsia="Arial" w:hAnsi="Arial" w:cs="Arial"/>
          <w:sz w:val="24"/>
          <w:szCs w:val="24"/>
        </w:rPr>
        <w:t>VT Mus</w:t>
      </w:r>
      <w:r w:rsidR="002B0ACE" w:rsidRPr="00382402">
        <w:rPr>
          <w:rFonts w:ascii="Arial" w:eastAsia="Arial" w:hAnsi="Arial" w:cs="Arial"/>
          <w:sz w:val="24"/>
          <w:szCs w:val="24"/>
        </w:rPr>
        <w:t>h</w:t>
      </w:r>
      <w:r w:rsidR="00763EF7" w:rsidRPr="00382402">
        <w:rPr>
          <w:rFonts w:ascii="Arial" w:eastAsia="Arial" w:hAnsi="Arial" w:cs="Arial"/>
          <w:sz w:val="24"/>
          <w:szCs w:val="24"/>
        </w:rPr>
        <w:t xml:space="preserve">wana </w:t>
      </w:r>
    </w:p>
    <w:p w:rsidR="00CD05AA" w:rsidRDefault="00E85772" w:rsidP="006C7F72">
      <w:pPr>
        <w:pStyle w:val="Normal1"/>
        <w:tabs>
          <w:tab w:val="left" w:pos="3686"/>
        </w:tabs>
        <w:spacing w:after="0" w:line="360" w:lineRule="auto"/>
        <w:jc w:val="both"/>
        <w:rPr>
          <w:rFonts w:ascii="Arial" w:eastAsia="Arial" w:hAnsi="Arial" w:cs="Arial"/>
          <w:sz w:val="24"/>
          <w:szCs w:val="24"/>
        </w:rPr>
      </w:pPr>
      <w:r w:rsidRPr="00382402">
        <w:rPr>
          <w:rFonts w:ascii="Arial" w:eastAsia="Arial" w:hAnsi="Arial" w:cs="Arial"/>
          <w:sz w:val="24"/>
          <w:szCs w:val="24"/>
        </w:rPr>
        <w:t>Instructed by:</w:t>
      </w:r>
      <w:r w:rsidRPr="00382402">
        <w:rPr>
          <w:rFonts w:ascii="Arial" w:eastAsia="Arial" w:hAnsi="Arial" w:cs="Arial"/>
          <w:sz w:val="24"/>
          <w:szCs w:val="24"/>
        </w:rPr>
        <w:tab/>
        <w:t>The Director of Public Prosecution</w:t>
      </w:r>
      <w:r>
        <w:rPr>
          <w:rFonts w:ascii="Arial" w:eastAsia="Arial" w:hAnsi="Arial" w:cs="Arial"/>
          <w:sz w:val="24"/>
          <w:szCs w:val="24"/>
        </w:rPr>
        <w:t>, Johannesburg</w:t>
      </w:r>
    </w:p>
    <w:p w:rsidR="00CD05AA" w:rsidRDefault="00E85772" w:rsidP="006C7F72">
      <w:pPr>
        <w:pStyle w:val="Normal1"/>
        <w:tabs>
          <w:tab w:val="left" w:pos="3686"/>
        </w:tabs>
        <w:spacing w:after="0" w:line="360" w:lineRule="auto"/>
        <w:jc w:val="both"/>
        <w:rPr>
          <w:rFonts w:ascii="Arial" w:eastAsia="Arial" w:hAnsi="Arial" w:cs="Arial"/>
          <w:sz w:val="24"/>
          <w:szCs w:val="24"/>
        </w:rPr>
      </w:pPr>
      <w:r>
        <w:rPr>
          <w:rFonts w:ascii="Arial" w:eastAsia="Arial" w:hAnsi="Arial" w:cs="Arial"/>
          <w:sz w:val="24"/>
          <w:szCs w:val="24"/>
        </w:rPr>
        <w:t xml:space="preserve">                                                       The Director of Public Prosecutions, Bloemfontein </w:t>
      </w:r>
    </w:p>
    <w:sectPr w:rsidR="00CD05AA">
      <w:headerReference w:type="default" r:id="rId12"/>
      <w:pgSz w:w="11906" w:h="16838"/>
      <w:pgMar w:top="1440" w:right="1274" w:bottom="1440" w:left="1560" w:header="708" w:footer="708"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FED0B2E" w16cex:dateUtc="2024-03-09T15:17:00Z"/>
  <w16cex:commentExtensible w16cex:durableId="4426D6BB" w16cex:dateUtc="2024-03-09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465DDF" w16cid:durableId="3FED0B2E"/>
  <w16cid:commentId w16cid:paraId="366ED15B" w16cid:durableId="4426D6B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2B0" w:rsidRDefault="00EF62B0">
      <w:pPr>
        <w:spacing w:after="0" w:line="240" w:lineRule="auto"/>
      </w:pPr>
      <w:r>
        <w:separator/>
      </w:r>
    </w:p>
  </w:endnote>
  <w:endnote w:type="continuationSeparator" w:id="0">
    <w:p w:rsidR="00EF62B0" w:rsidRDefault="00EF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2B0" w:rsidRDefault="00EF62B0">
      <w:pPr>
        <w:spacing w:after="0" w:line="240" w:lineRule="auto"/>
      </w:pPr>
      <w:r>
        <w:separator/>
      </w:r>
    </w:p>
  </w:footnote>
  <w:footnote w:type="continuationSeparator" w:id="0">
    <w:p w:rsidR="00EF62B0" w:rsidRDefault="00EF62B0">
      <w:pPr>
        <w:spacing w:after="0" w:line="240" w:lineRule="auto"/>
      </w:pPr>
      <w:r>
        <w:continuationSeparator/>
      </w:r>
    </w:p>
  </w:footnote>
  <w:footnote w:id="1">
    <w:p w:rsidR="00CC1992" w:rsidRDefault="00CC1992" w:rsidP="00CC1992">
      <w:pPr>
        <w:pStyle w:val="Quote"/>
        <w:ind w:left="0"/>
        <w:rPr>
          <w:lang w:val="en-GB"/>
        </w:rPr>
      </w:pPr>
      <w:r>
        <w:rPr>
          <w:rStyle w:val="FootnoteReference"/>
        </w:rPr>
        <w:footnoteRef/>
      </w:r>
      <w:r>
        <w:t xml:space="preserve"> </w:t>
      </w:r>
      <w:r>
        <w:rPr>
          <w:lang w:val="en-GB"/>
        </w:rPr>
        <w:t>309: Appeal from lower court by person convicted</w:t>
      </w:r>
    </w:p>
    <w:p w:rsidR="00CC1992" w:rsidRDefault="00CC1992" w:rsidP="00526B34">
      <w:pPr>
        <w:pStyle w:val="Quote"/>
        <w:ind w:left="0"/>
      </w:pPr>
      <w:r>
        <w:rPr>
          <w:lang w:val="en-GB"/>
        </w:rPr>
        <w:t xml:space="preserve">(1) (a) .... any person convicted of any offence by any lower court (including a person discharged after conviction) may, subject to leave to appeal being granted in terms of section 309B or 309C, appeal against such conviction and against any resultant sentence or order to the High Court having jurisdiction: </w:t>
      </w:r>
      <w:r w:rsidRPr="00CC1992">
        <w:rPr>
          <w:lang w:val="en-GB"/>
        </w:rPr>
        <w:t>Provided that if that person was sentenced to imprisonment for life by a regional court under section 51 of the Criminal Law Amendment Act, 1997 (Act 105 of 1997), he or she may note such an appeal without having to apply for leave in terms of section 309B</w:t>
      </w:r>
      <w:r>
        <w:rPr>
          <w:lang w:val="en-GB"/>
        </w:rPr>
        <w:t xml:space="preserve">. </w:t>
      </w:r>
    </w:p>
  </w:footnote>
  <w:footnote w:id="2">
    <w:p w:rsidR="00616DAA" w:rsidRPr="00850549" w:rsidRDefault="00616DAA">
      <w:pPr>
        <w:pStyle w:val="FootnoteText"/>
        <w:rPr>
          <w:rFonts w:ascii="Arial" w:hAnsi="Arial" w:cs="Arial"/>
          <w:sz w:val="20"/>
          <w:szCs w:val="20"/>
        </w:rPr>
      </w:pPr>
      <w:r w:rsidRPr="00850549">
        <w:rPr>
          <w:rStyle w:val="FootnoteReference"/>
          <w:rFonts w:ascii="Arial" w:hAnsi="Arial" w:cs="Arial"/>
          <w:sz w:val="20"/>
          <w:szCs w:val="20"/>
        </w:rPr>
        <w:footnoteRef/>
      </w:r>
      <w:r w:rsidRPr="00850549">
        <w:rPr>
          <w:rFonts w:ascii="Arial" w:hAnsi="Arial" w:cs="Arial"/>
          <w:sz w:val="20"/>
          <w:szCs w:val="20"/>
        </w:rPr>
        <w:t xml:space="preserve"> </w:t>
      </w:r>
      <w:r w:rsidRPr="00850549">
        <w:rPr>
          <w:rFonts w:ascii="Arial" w:hAnsi="Arial" w:cs="Arial"/>
          <w:i/>
          <w:sz w:val="20"/>
          <w:szCs w:val="20"/>
        </w:rPr>
        <w:t>Dipholo</w:t>
      </w:r>
      <w:r w:rsidRPr="00850549">
        <w:rPr>
          <w:rFonts w:ascii="Arial" w:hAnsi="Arial" w:cs="Arial"/>
          <w:sz w:val="20"/>
          <w:szCs w:val="20"/>
        </w:rPr>
        <w:t xml:space="preserve"> para 6.</w:t>
      </w:r>
    </w:p>
  </w:footnote>
  <w:footnote w:id="3">
    <w:p w:rsidR="00C86E95" w:rsidRPr="00850549" w:rsidRDefault="00C86E95" w:rsidP="009344DD">
      <w:pPr>
        <w:pStyle w:val="Normal1"/>
        <w:pBdr>
          <w:top w:val="nil"/>
          <w:left w:val="nil"/>
          <w:bottom w:val="nil"/>
          <w:right w:val="nil"/>
          <w:between w:val="nil"/>
        </w:pBdr>
        <w:spacing w:after="0" w:line="240" w:lineRule="auto"/>
        <w:jc w:val="both"/>
        <w:rPr>
          <w:rFonts w:ascii="Arial" w:hAnsi="Arial" w:cs="Arial"/>
          <w:color w:val="000000"/>
          <w:sz w:val="20"/>
          <w:szCs w:val="20"/>
        </w:rPr>
      </w:pPr>
      <w:r w:rsidRPr="00850549">
        <w:rPr>
          <w:rFonts w:ascii="Arial" w:hAnsi="Arial" w:cs="Arial"/>
          <w:sz w:val="20"/>
          <w:szCs w:val="20"/>
          <w:vertAlign w:val="superscript"/>
        </w:rPr>
        <w:footnoteRef/>
      </w:r>
      <w:r w:rsidRPr="00850549">
        <w:rPr>
          <w:rFonts w:ascii="Arial" w:hAnsi="Arial" w:cs="Arial"/>
          <w:color w:val="000000"/>
          <w:sz w:val="20"/>
          <w:szCs w:val="20"/>
        </w:rPr>
        <w:t xml:space="preserve"> </w:t>
      </w:r>
      <w:r w:rsidRPr="00850549">
        <w:rPr>
          <w:rFonts w:ascii="Arial" w:hAnsi="Arial" w:cs="Arial"/>
          <w:i/>
          <w:color w:val="000000"/>
          <w:sz w:val="20"/>
          <w:szCs w:val="20"/>
        </w:rPr>
        <w:t>Van Wyk v S, Galela v S</w:t>
      </w:r>
      <w:r w:rsidR="00AD2204" w:rsidRPr="00850549">
        <w:rPr>
          <w:rFonts w:ascii="Arial" w:hAnsi="Arial" w:cs="Arial"/>
          <w:color w:val="000000"/>
          <w:sz w:val="20"/>
          <w:szCs w:val="20"/>
        </w:rPr>
        <w:t xml:space="preserve"> </w:t>
      </w:r>
      <w:r w:rsidRPr="00850549">
        <w:rPr>
          <w:rFonts w:ascii="Arial" w:hAnsi="Arial" w:cs="Arial"/>
          <w:color w:val="000000"/>
          <w:sz w:val="20"/>
          <w:szCs w:val="20"/>
        </w:rPr>
        <w:t>[2014] ZASCA 152; 2015 (1) SACR 584 (S</w:t>
      </w:r>
      <w:r w:rsidR="00AD2204" w:rsidRPr="00850549">
        <w:rPr>
          <w:rFonts w:ascii="Arial" w:hAnsi="Arial" w:cs="Arial"/>
          <w:color w:val="000000"/>
          <w:sz w:val="20"/>
          <w:szCs w:val="20"/>
        </w:rPr>
        <w:t xml:space="preserve">CA); [2014] 4 All SA 708 (SCA) </w:t>
      </w:r>
      <w:r w:rsidRPr="00850549">
        <w:rPr>
          <w:rFonts w:ascii="Arial" w:hAnsi="Arial" w:cs="Arial"/>
          <w:color w:val="000000"/>
          <w:sz w:val="20"/>
          <w:szCs w:val="20"/>
        </w:rPr>
        <w:t>para 13 – 14.</w:t>
      </w:r>
    </w:p>
  </w:footnote>
  <w:footnote w:id="4">
    <w:p w:rsidR="00C86E95" w:rsidRPr="00850549" w:rsidRDefault="00C86E95" w:rsidP="009344DD">
      <w:pPr>
        <w:pStyle w:val="Normal1"/>
        <w:pBdr>
          <w:top w:val="nil"/>
          <w:left w:val="nil"/>
          <w:bottom w:val="nil"/>
          <w:right w:val="nil"/>
          <w:between w:val="nil"/>
        </w:pBdr>
        <w:spacing w:after="0" w:line="240" w:lineRule="auto"/>
        <w:jc w:val="both"/>
        <w:rPr>
          <w:rFonts w:ascii="Arial" w:hAnsi="Arial" w:cs="Arial"/>
          <w:color w:val="000000"/>
          <w:sz w:val="20"/>
          <w:szCs w:val="20"/>
        </w:rPr>
      </w:pPr>
      <w:r w:rsidRPr="00850549">
        <w:rPr>
          <w:rFonts w:ascii="Arial" w:hAnsi="Arial" w:cs="Arial"/>
          <w:sz w:val="20"/>
          <w:szCs w:val="20"/>
          <w:vertAlign w:val="superscript"/>
        </w:rPr>
        <w:footnoteRef/>
      </w:r>
      <w:r w:rsidRPr="00850549">
        <w:rPr>
          <w:rFonts w:ascii="Arial" w:hAnsi="Arial" w:cs="Arial"/>
          <w:color w:val="000000"/>
          <w:sz w:val="20"/>
          <w:szCs w:val="20"/>
        </w:rPr>
        <w:t xml:space="preserve"> </w:t>
      </w:r>
      <w:r w:rsidRPr="00850549">
        <w:rPr>
          <w:rFonts w:ascii="Arial" w:hAnsi="Arial" w:cs="Arial"/>
          <w:i/>
          <w:color w:val="000000"/>
          <w:sz w:val="20"/>
          <w:szCs w:val="20"/>
        </w:rPr>
        <w:t>S v Matshona</w:t>
      </w:r>
      <w:r w:rsidRPr="00850549">
        <w:rPr>
          <w:rFonts w:ascii="Arial" w:hAnsi="Arial" w:cs="Arial"/>
          <w:color w:val="000000"/>
          <w:sz w:val="20"/>
          <w:szCs w:val="20"/>
        </w:rPr>
        <w:t xml:space="preserve"> [2008] ZAS</w:t>
      </w:r>
      <w:r w:rsidR="00AD2204" w:rsidRPr="00850549">
        <w:rPr>
          <w:rFonts w:ascii="Arial" w:hAnsi="Arial" w:cs="Arial"/>
          <w:color w:val="000000"/>
          <w:sz w:val="20"/>
          <w:szCs w:val="20"/>
        </w:rPr>
        <w:t xml:space="preserve">CA 58; 2013 (2) SACR 126 (SCA) </w:t>
      </w:r>
      <w:r w:rsidRPr="00850549">
        <w:rPr>
          <w:rFonts w:ascii="Arial" w:hAnsi="Arial" w:cs="Arial"/>
          <w:color w:val="000000"/>
          <w:sz w:val="20"/>
          <w:szCs w:val="20"/>
        </w:rPr>
        <w:t>para 5.</w:t>
      </w:r>
    </w:p>
  </w:footnote>
  <w:footnote w:id="5">
    <w:p w:rsidR="00C86E95" w:rsidRPr="00850549" w:rsidRDefault="00C86E95" w:rsidP="009344DD">
      <w:pPr>
        <w:pStyle w:val="Normal1"/>
        <w:pBdr>
          <w:top w:val="nil"/>
          <w:left w:val="nil"/>
          <w:bottom w:val="nil"/>
          <w:right w:val="nil"/>
          <w:between w:val="nil"/>
        </w:pBdr>
        <w:spacing w:after="0" w:line="240" w:lineRule="auto"/>
        <w:jc w:val="both"/>
        <w:rPr>
          <w:rFonts w:ascii="Arial" w:hAnsi="Arial" w:cs="Arial"/>
          <w:color w:val="000000"/>
          <w:sz w:val="20"/>
          <w:szCs w:val="20"/>
        </w:rPr>
      </w:pPr>
      <w:r w:rsidRPr="00850549">
        <w:rPr>
          <w:rFonts w:ascii="Arial" w:hAnsi="Arial" w:cs="Arial"/>
          <w:sz w:val="20"/>
          <w:szCs w:val="20"/>
          <w:vertAlign w:val="superscript"/>
        </w:rPr>
        <w:footnoteRef/>
      </w:r>
      <w:r w:rsidRPr="00850549">
        <w:rPr>
          <w:rFonts w:ascii="Arial" w:hAnsi="Arial" w:cs="Arial"/>
          <w:color w:val="000000"/>
          <w:sz w:val="20"/>
          <w:szCs w:val="20"/>
        </w:rPr>
        <w:t xml:space="preserve"> </w:t>
      </w:r>
      <w:r w:rsidRPr="00850549">
        <w:rPr>
          <w:rFonts w:ascii="Arial" w:hAnsi="Arial" w:cs="Arial"/>
          <w:i/>
          <w:color w:val="000000"/>
          <w:sz w:val="20"/>
          <w:szCs w:val="20"/>
        </w:rPr>
        <w:t>S v Khoasasa</w:t>
      </w:r>
      <w:r w:rsidRPr="00850549">
        <w:rPr>
          <w:rFonts w:ascii="Arial" w:hAnsi="Arial" w:cs="Arial"/>
          <w:color w:val="000000"/>
          <w:sz w:val="20"/>
          <w:szCs w:val="20"/>
        </w:rPr>
        <w:t xml:space="preserve"> 2003 (1) SACR 123 (SCA); [2002] 4 All SA 635 (SCA) para 14.</w:t>
      </w:r>
    </w:p>
  </w:footnote>
  <w:footnote w:id="6">
    <w:p w:rsidR="00C86E95" w:rsidRPr="00850549" w:rsidRDefault="00C86E95" w:rsidP="009344DD">
      <w:pPr>
        <w:pStyle w:val="Normal1"/>
        <w:pBdr>
          <w:top w:val="nil"/>
          <w:left w:val="nil"/>
          <w:bottom w:val="nil"/>
          <w:right w:val="nil"/>
          <w:between w:val="nil"/>
        </w:pBdr>
        <w:spacing w:after="0" w:line="240" w:lineRule="auto"/>
        <w:jc w:val="both"/>
        <w:rPr>
          <w:rFonts w:ascii="Arial" w:hAnsi="Arial" w:cs="Arial"/>
          <w:color w:val="000000"/>
          <w:sz w:val="20"/>
          <w:szCs w:val="20"/>
        </w:rPr>
      </w:pPr>
      <w:r w:rsidRPr="00850549">
        <w:rPr>
          <w:rFonts w:ascii="Arial" w:hAnsi="Arial" w:cs="Arial"/>
          <w:sz w:val="20"/>
          <w:szCs w:val="20"/>
          <w:vertAlign w:val="superscript"/>
        </w:rPr>
        <w:footnoteRef/>
      </w:r>
      <w:r w:rsidRPr="00850549">
        <w:rPr>
          <w:rFonts w:ascii="Arial" w:hAnsi="Arial" w:cs="Arial"/>
          <w:color w:val="000000"/>
          <w:sz w:val="20"/>
          <w:szCs w:val="20"/>
        </w:rPr>
        <w:t xml:space="preserve"> </w:t>
      </w:r>
      <w:r w:rsidRPr="00850549">
        <w:rPr>
          <w:rFonts w:ascii="Arial" w:hAnsi="Arial" w:cs="Arial"/>
          <w:i/>
          <w:color w:val="000000"/>
          <w:sz w:val="20"/>
          <w:szCs w:val="20"/>
        </w:rPr>
        <w:t>S v Smith</w:t>
      </w:r>
      <w:r w:rsidRPr="00850549">
        <w:rPr>
          <w:rFonts w:ascii="Arial" w:hAnsi="Arial" w:cs="Arial"/>
          <w:color w:val="000000"/>
          <w:sz w:val="20"/>
          <w:szCs w:val="20"/>
        </w:rPr>
        <w:t xml:space="preserve"> [2011] ZAS</w:t>
      </w:r>
      <w:r w:rsidR="00AD2204" w:rsidRPr="00850549">
        <w:rPr>
          <w:rFonts w:ascii="Arial" w:hAnsi="Arial" w:cs="Arial"/>
          <w:color w:val="000000"/>
          <w:sz w:val="20"/>
          <w:szCs w:val="20"/>
        </w:rPr>
        <w:t xml:space="preserve">CA 15; 2012 (1) SACR 567 (SCA) </w:t>
      </w:r>
      <w:r w:rsidRPr="00850549">
        <w:rPr>
          <w:rFonts w:ascii="Arial" w:hAnsi="Arial" w:cs="Arial"/>
          <w:color w:val="000000"/>
          <w:sz w:val="20"/>
          <w:szCs w:val="20"/>
        </w:rPr>
        <w:t>para 3.</w:t>
      </w:r>
    </w:p>
  </w:footnote>
  <w:footnote w:id="7">
    <w:p w:rsidR="00C86E95" w:rsidRPr="00850549" w:rsidRDefault="00C86E95" w:rsidP="009344DD">
      <w:pPr>
        <w:pStyle w:val="Normal1"/>
        <w:pBdr>
          <w:top w:val="nil"/>
          <w:left w:val="nil"/>
          <w:bottom w:val="nil"/>
          <w:right w:val="nil"/>
          <w:between w:val="nil"/>
        </w:pBdr>
        <w:spacing w:after="0" w:line="240" w:lineRule="auto"/>
        <w:jc w:val="both"/>
        <w:rPr>
          <w:rFonts w:ascii="Arial" w:hAnsi="Arial" w:cs="Arial"/>
          <w:color w:val="000000"/>
          <w:sz w:val="20"/>
          <w:szCs w:val="20"/>
        </w:rPr>
      </w:pPr>
      <w:r w:rsidRPr="00850549">
        <w:rPr>
          <w:rFonts w:ascii="Arial" w:hAnsi="Arial" w:cs="Arial"/>
          <w:sz w:val="20"/>
          <w:szCs w:val="20"/>
          <w:vertAlign w:val="superscript"/>
        </w:rPr>
        <w:footnoteRef/>
      </w:r>
      <w:r w:rsidRPr="00850549">
        <w:rPr>
          <w:rFonts w:ascii="Arial" w:hAnsi="Arial" w:cs="Arial"/>
          <w:color w:val="000000"/>
          <w:sz w:val="20"/>
          <w:szCs w:val="20"/>
        </w:rPr>
        <w:t xml:space="preserve"> </w:t>
      </w:r>
      <w:r w:rsidR="00FC155A" w:rsidRPr="00AB3FCB">
        <w:rPr>
          <w:rFonts w:ascii="Arial" w:hAnsi="Arial" w:cs="Arial"/>
          <w:color w:val="000000"/>
          <w:sz w:val="20"/>
          <w:szCs w:val="20"/>
        </w:rPr>
        <w:t>Ibid</w:t>
      </w:r>
      <w:r w:rsidRPr="00850549">
        <w:rPr>
          <w:rFonts w:ascii="Arial" w:hAnsi="Arial" w:cs="Arial"/>
          <w:i/>
          <w:color w:val="000000"/>
          <w:sz w:val="20"/>
          <w:szCs w:val="20"/>
        </w:rPr>
        <w:t xml:space="preserve"> </w:t>
      </w:r>
      <w:r w:rsidRPr="00850549">
        <w:rPr>
          <w:rFonts w:ascii="Arial" w:hAnsi="Arial" w:cs="Arial"/>
          <w:color w:val="000000"/>
          <w:sz w:val="20"/>
          <w:szCs w:val="20"/>
        </w:rPr>
        <w:t>para 7.</w:t>
      </w:r>
    </w:p>
  </w:footnote>
  <w:footnote w:id="8">
    <w:p w:rsidR="00157810" w:rsidRPr="00850549" w:rsidRDefault="00157810" w:rsidP="00157810">
      <w:pPr>
        <w:pStyle w:val="FootnoteText"/>
        <w:rPr>
          <w:rFonts w:ascii="Arial" w:hAnsi="Arial" w:cs="Arial"/>
          <w:sz w:val="20"/>
          <w:szCs w:val="20"/>
        </w:rPr>
      </w:pPr>
      <w:r w:rsidRPr="00850549">
        <w:rPr>
          <w:rStyle w:val="FootnoteReference"/>
          <w:rFonts w:ascii="Arial" w:hAnsi="Arial" w:cs="Arial"/>
          <w:sz w:val="20"/>
          <w:szCs w:val="20"/>
        </w:rPr>
        <w:footnoteRef/>
      </w:r>
      <w:r w:rsidRPr="00850549">
        <w:rPr>
          <w:rFonts w:ascii="Arial" w:hAnsi="Arial" w:cs="Arial"/>
          <w:sz w:val="20"/>
          <w:szCs w:val="20"/>
        </w:rPr>
        <w:t xml:space="preserve"> Section 208 of the </w:t>
      </w:r>
      <w:r>
        <w:rPr>
          <w:rFonts w:ascii="Arial" w:hAnsi="Arial" w:cs="Arial"/>
          <w:sz w:val="20"/>
          <w:szCs w:val="20"/>
        </w:rPr>
        <w:t>CPA.</w:t>
      </w:r>
    </w:p>
  </w:footnote>
  <w:footnote w:id="9">
    <w:p w:rsidR="00157810" w:rsidRPr="00F97519" w:rsidRDefault="00157810" w:rsidP="00157810">
      <w:pPr>
        <w:pStyle w:val="FootnoteText"/>
        <w:rPr>
          <w:rFonts w:ascii="Arial" w:hAnsi="Arial" w:cs="Arial"/>
          <w:sz w:val="20"/>
          <w:szCs w:val="20"/>
        </w:rPr>
      </w:pPr>
      <w:r w:rsidRPr="00850549">
        <w:rPr>
          <w:rStyle w:val="FootnoteReference"/>
          <w:rFonts w:ascii="Arial" w:hAnsi="Arial" w:cs="Arial"/>
          <w:sz w:val="20"/>
          <w:szCs w:val="20"/>
        </w:rPr>
        <w:footnoteRef/>
      </w:r>
      <w:r w:rsidRPr="00850549">
        <w:rPr>
          <w:rFonts w:ascii="Arial" w:hAnsi="Arial" w:cs="Arial"/>
          <w:sz w:val="20"/>
          <w:szCs w:val="20"/>
        </w:rPr>
        <w:t xml:space="preserve"> </w:t>
      </w:r>
      <w:r w:rsidRPr="00F97519">
        <w:rPr>
          <w:rFonts w:ascii="Arial" w:hAnsi="Arial" w:cs="Arial"/>
          <w:i/>
          <w:sz w:val="20"/>
          <w:szCs w:val="20"/>
        </w:rPr>
        <w:t>S v Ooshuizen</w:t>
      </w:r>
      <w:r w:rsidRPr="00F97519">
        <w:rPr>
          <w:rFonts w:ascii="Arial" w:hAnsi="Arial" w:cs="Arial"/>
          <w:sz w:val="20"/>
          <w:szCs w:val="20"/>
        </w:rPr>
        <w:t xml:space="preserve"> </w:t>
      </w:r>
      <w:r w:rsidR="00FC155A">
        <w:rPr>
          <w:rFonts w:ascii="Arial" w:hAnsi="Arial" w:cs="Arial"/>
          <w:sz w:val="20"/>
          <w:szCs w:val="20"/>
        </w:rPr>
        <w:t xml:space="preserve">[2019] </w:t>
      </w:r>
      <w:r w:rsidR="00357744">
        <w:rPr>
          <w:rFonts w:ascii="Arial" w:hAnsi="Arial" w:cs="Arial"/>
          <w:sz w:val="20"/>
          <w:szCs w:val="20"/>
        </w:rPr>
        <w:t xml:space="preserve">ZASCA 182; </w:t>
      </w:r>
      <w:r w:rsidRPr="00F97519">
        <w:rPr>
          <w:rFonts w:ascii="Arial" w:hAnsi="Arial" w:cs="Arial"/>
          <w:sz w:val="20"/>
          <w:szCs w:val="20"/>
        </w:rPr>
        <w:t xml:space="preserve">2020 (1) SACR 561 (SCA) </w:t>
      </w:r>
      <w:r>
        <w:rPr>
          <w:rFonts w:ascii="Arial" w:hAnsi="Arial" w:cs="Arial"/>
          <w:sz w:val="20"/>
          <w:szCs w:val="20"/>
        </w:rPr>
        <w:t xml:space="preserve">para </w:t>
      </w:r>
      <w:r w:rsidRPr="00F97519">
        <w:rPr>
          <w:rFonts w:ascii="Arial" w:hAnsi="Arial" w:cs="Arial"/>
          <w:sz w:val="20"/>
          <w:szCs w:val="20"/>
        </w:rPr>
        <w:t xml:space="preserve">20; </w:t>
      </w:r>
      <w:r w:rsidRPr="00F97519">
        <w:rPr>
          <w:rFonts w:ascii="Arial" w:hAnsi="Arial" w:cs="Arial"/>
          <w:i/>
          <w:sz w:val="20"/>
          <w:szCs w:val="20"/>
        </w:rPr>
        <w:t>S v Doorewaard</w:t>
      </w:r>
      <w:r w:rsidR="00357744">
        <w:rPr>
          <w:rFonts w:ascii="Arial" w:hAnsi="Arial" w:cs="Arial"/>
          <w:i/>
          <w:sz w:val="20"/>
          <w:szCs w:val="20"/>
        </w:rPr>
        <w:t xml:space="preserve"> </w:t>
      </w:r>
      <w:r w:rsidR="00357744" w:rsidRPr="00AB3FCB">
        <w:rPr>
          <w:rFonts w:ascii="Arial" w:hAnsi="Arial" w:cs="Arial"/>
          <w:sz w:val="20"/>
          <w:szCs w:val="20"/>
        </w:rPr>
        <w:t>[2020] ZASCA 155; [2021] 1 All SA 311 (SCA);</w:t>
      </w:r>
      <w:r w:rsidRPr="00F97519">
        <w:rPr>
          <w:rFonts w:ascii="Arial" w:hAnsi="Arial" w:cs="Arial"/>
          <w:sz w:val="20"/>
          <w:szCs w:val="20"/>
        </w:rPr>
        <w:t xml:space="preserve"> 2021 (1) SACR 235 (SCA) </w:t>
      </w:r>
      <w:r>
        <w:rPr>
          <w:rFonts w:ascii="Arial" w:hAnsi="Arial" w:cs="Arial"/>
          <w:sz w:val="20"/>
          <w:szCs w:val="20"/>
        </w:rPr>
        <w:t xml:space="preserve">para </w:t>
      </w:r>
      <w:r w:rsidRPr="00F97519">
        <w:rPr>
          <w:rFonts w:ascii="Arial" w:hAnsi="Arial" w:cs="Arial"/>
          <w:sz w:val="20"/>
          <w:szCs w:val="20"/>
        </w:rPr>
        <w:t xml:space="preserve">133. </w:t>
      </w:r>
    </w:p>
  </w:footnote>
  <w:footnote w:id="10">
    <w:p w:rsidR="00157810" w:rsidRPr="00F97519" w:rsidRDefault="00157810" w:rsidP="00157810">
      <w:pPr>
        <w:pStyle w:val="FootnoteText"/>
        <w:rPr>
          <w:rFonts w:ascii="Arial" w:hAnsi="Arial" w:cs="Arial"/>
          <w:sz w:val="20"/>
          <w:szCs w:val="20"/>
        </w:rPr>
      </w:pPr>
      <w:r w:rsidRPr="00F97519">
        <w:rPr>
          <w:rStyle w:val="FootnoteReference"/>
          <w:rFonts w:ascii="Arial" w:hAnsi="Arial" w:cs="Arial"/>
          <w:sz w:val="20"/>
          <w:szCs w:val="20"/>
        </w:rPr>
        <w:footnoteRef/>
      </w:r>
      <w:r w:rsidRPr="00F97519">
        <w:rPr>
          <w:rFonts w:ascii="Arial" w:hAnsi="Arial" w:cs="Arial"/>
          <w:sz w:val="20"/>
          <w:szCs w:val="20"/>
        </w:rPr>
        <w:t xml:space="preserve"> </w:t>
      </w:r>
      <w:r w:rsidRPr="00F97519">
        <w:rPr>
          <w:rFonts w:ascii="Arial" w:hAnsi="Arial" w:cs="Arial"/>
          <w:i/>
          <w:sz w:val="20"/>
          <w:szCs w:val="20"/>
        </w:rPr>
        <w:t>ICM v The State</w:t>
      </w:r>
      <w:r w:rsidRPr="00F97519">
        <w:rPr>
          <w:rFonts w:ascii="Arial" w:hAnsi="Arial" w:cs="Arial"/>
          <w:sz w:val="20"/>
          <w:szCs w:val="20"/>
        </w:rPr>
        <w:t xml:space="preserve"> [2022] ZASCA 108 </w:t>
      </w:r>
      <w:r>
        <w:rPr>
          <w:rFonts w:ascii="Arial" w:hAnsi="Arial" w:cs="Arial"/>
          <w:sz w:val="20"/>
          <w:szCs w:val="20"/>
        </w:rPr>
        <w:t>para</w:t>
      </w:r>
      <w:r w:rsidR="00357744">
        <w:rPr>
          <w:rFonts w:ascii="Arial" w:hAnsi="Arial" w:cs="Arial"/>
          <w:sz w:val="20"/>
          <w:szCs w:val="20"/>
        </w:rPr>
        <w:t>s</w:t>
      </w:r>
      <w:r>
        <w:rPr>
          <w:rFonts w:ascii="Arial" w:hAnsi="Arial" w:cs="Arial"/>
          <w:sz w:val="20"/>
          <w:szCs w:val="20"/>
        </w:rPr>
        <w:t xml:space="preserve"> </w:t>
      </w:r>
      <w:r w:rsidRPr="00F97519">
        <w:rPr>
          <w:rFonts w:ascii="Arial" w:hAnsi="Arial" w:cs="Arial"/>
          <w:sz w:val="20"/>
          <w:szCs w:val="20"/>
        </w:rPr>
        <w:t>26-27</w:t>
      </w:r>
      <w:r>
        <w:rPr>
          <w:rFonts w:ascii="Arial" w:hAnsi="Arial" w:cs="Arial"/>
          <w:sz w:val="20"/>
          <w:szCs w:val="20"/>
        </w:rPr>
        <w:t>.</w:t>
      </w:r>
    </w:p>
  </w:footnote>
  <w:footnote w:id="11">
    <w:p w:rsidR="004B2F67" w:rsidRPr="00AB3FCB" w:rsidRDefault="004B2F67" w:rsidP="00AB3FCB">
      <w:pPr>
        <w:pStyle w:val="FootnoteText"/>
        <w:jc w:val="both"/>
        <w:rPr>
          <w:rFonts w:ascii="Arial" w:hAnsi="Arial" w:cs="Arial"/>
          <w:sz w:val="20"/>
          <w:szCs w:val="20"/>
        </w:rPr>
      </w:pPr>
      <w:r w:rsidRPr="00AB3FCB">
        <w:rPr>
          <w:rStyle w:val="FootnoteReference"/>
          <w:rFonts w:ascii="Arial" w:hAnsi="Arial" w:cs="Arial"/>
          <w:sz w:val="20"/>
          <w:szCs w:val="20"/>
        </w:rPr>
        <w:footnoteRef/>
      </w:r>
      <w:r w:rsidRPr="00AB3FCB">
        <w:rPr>
          <w:rFonts w:ascii="Arial" w:hAnsi="Arial" w:cs="Arial"/>
          <w:sz w:val="20"/>
          <w:szCs w:val="20"/>
        </w:rPr>
        <w:t xml:space="preserve"> </w:t>
      </w:r>
      <w:r w:rsidRPr="00AB3FCB">
        <w:rPr>
          <w:rFonts w:ascii="Arial" w:hAnsi="Arial" w:cs="Arial"/>
          <w:i/>
          <w:sz w:val="20"/>
          <w:szCs w:val="20"/>
        </w:rPr>
        <w:t>S v Mthetwa</w:t>
      </w:r>
      <w:r w:rsidR="005038E3" w:rsidRPr="00AB3FCB">
        <w:rPr>
          <w:rFonts w:ascii="Arial" w:hAnsi="Arial" w:cs="Arial"/>
          <w:sz w:val="20"/>
          <w:szCs w:val="20"/>
        </w:rPr>
        <w:t xml:space="preserve"> 1972 (3) SA 766 (A)</w:t>
      </w:r>
      <w:r w:rsidRPr="00AB3FCB">
        <w:rPr>
          <w:rFonts w:ascii="Arial" w:hAnsi="Arial" w:cs="Arial"/>
          <w:sz w:val="20"/>
          <w:szCs w:val="20"/>
        </w:rPr>
        <w:t>.</w:t>
      </w:r>
    </w:p>
  </w:footnote>
  <w:footnote w:id="12">
    <w:p w:rsidR="00157810" w:rsidRPr="005038E3" w:rsidRDefault="00157810" w:rsidP="00AB3FCB">
      <w:pPr>
        <w:pStyle w:val="FootnoteText"/>
        <w:jc w:val="both"/>
        <w:rPr>
          <w:rFonts w:ascii="Arial" w:hAnsi="Arial" w:cs="Arial"/>
          <w:sz w:val="20"/>
          <w:szCs w:val="20"/>
        </w:rPr>
      </w:pPr>
      <w:r w:rsidRPr="005038E3">
        <w:rPr>
          <w:rStyle w:val="FootnoteReference"/>
          <w:rFonts w:ascii="Arial" w:hAnsi="Arial" w:cs="Arial"/>
          <w:sz w:val="20"/>
          <w:szCs w:val="20"/>
        </w:rPr>
        <w:footnoteRef/>
      </w:r>
      <w:r w:rsidR="005038E3" w:rsidRPr="005038E3">
        <w:rPr>
          <w:rFonts w:ascii="Arial" w:hAnsi="Arial" w:cs="Arial"/>
          <w:sz w:val="20"/>
          <w:szCs w:val="20"/>
        </w:rPr>
        <w:t xml:space="preserve"> Ibid at 768C</w:t>
      </w:r>
      <w:r w:rsidRPr="005038E3">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E95" w:rsidRDefault="00C86E95">
    <w:pPr>
      <w:pStyle w:val="Normal1"/>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34B0E">
      <w:rPr>
        <w:rFonts w:ascii="Arial" w:eastAsia="Arial" w:hAnsi="Arial" w:cs="Arial"/>
        <w:noProof/>
        <w:color w:val="000000"/>
      </w:rPr>
      <w:t>8</w:t>
    </w:r>
    <w:r>
      <w:rPr>
        <w:rFonts w:ascii="Arial" w:eastAsia="Arial" w:hAnsi="Arial" w:cs="Arial"/>
        <w:color w:val="000000"/>
      </w:rPr>
      <w:fldChar w:fldCharType="end"/>
    </w:r>
  </w:p>
  <w:p w:rsidR="00C86E95" w:rsidRDefault="00C86E95">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2D9"/>
    <w:multiLevelType w:val="multilevel"/>
    <w:tmpl w:val="D48C95F0"/>
    <w:lvl w:ilvl="0">
      <w:start w:val="1"/>
      <w:numFmt w:val="lowerRoman"/>
      <w:lvlText w:val="(%1)"/>
      <w:lvlJc w:val="left"/>
      <w:pPr>
        <w:ind w:left="980" w:hanging="72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1" w15:restartNumberingAfterBreak="0">
    <w:nsid w:val="68A72BA9"/>
    <w:multiLevelType w:val="multilevel"/>
    <w:tmpl w:val="BB1CCE4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717103"/>
    <w:multiLevelType w:val="multilevel"/>
    <w:tmpl w:val="BB1CCE4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AA"/>
    <w:rsid w:val="00001673"/>
    <w:rsid w:val="000047C3"/>
    <w:rsid w:val="00021FD5"/>
    <w:rsid w:val="0003791E"/>
    <w:rsid w:val="000448FB"/>
    <w:rsid w:val="00051E84"/>
    <w:rsid w:val="00062F57"/>
    <w:rsid w:val="00066E1B"/>
    <w:rsid w:val="0007048A"/>
    <w:rsid w:val="00071B35"/>
    <w:rsid w:val="00094FBF"/>
    <w:rsid w:val="000970FC"/>
    <w:rsid w:val="000A2804"/>
    <w:rsid w:val="000B1D04"/>
    <w:rsid w:val="000B4E5D"/>
    <w:rsid w:val="000F3E19"/>
    <w:rsid w:val="0011380E"/>
    <w:rsid w:val="001358DA"/>
    <w:rsid w:val="00157810"/>
    <w:rsid w:val="00174315"/>
    <w:rsid w:val="0018365A"/>
    <w:rsid w:val="001A3B74"/>
    <w:rsid w:val="001B1EF0"/>
    <w:rsid w:val="001B5514"/>
    <w:rsid w:val="001B6646"/>
    <w:rsid w:val="001C1AB2"/>
    <w:rsid w:val="001D305D"/>
    <w:rsid w:val="00230D7A"/>
    <w:rsid w:val="0023261A"/>
    <w:rsid w:val="00232C5B"/>
    <w:rsid w:val="00241960"/>
    <w:rsid w:val="00246622"/>
    <w:rsid w:val="002544C4"/>
    <w:rsid w:val="00261740"/>
    <w:rsid w:val="00262C4A"/>
    <w:rsid w:val="002662CF"/>
    <w:rsid w:val="00270544"/>
    <w:rsid w:val="00273CA7"/>
    <w:rsid w:val="002743FF"/>
    <w:rsid w:val="002752C6"/>
    <w:rsid w:val="0028064B"/>
    <w:rsid w:val="002B0ACE"/>
    <w:rsid w:val="002C6958"/>
    <w:rsid w:val="00333B9D"/>
    <w:rsid w:val="003341AA"/>
    <w:rsid w:val="0034719C"/>
    <w:rsid w:val="00357744"/>
    <w:rsid w:val="00365129"/>
    <w:rsid w:val="0036582A"/>
    <w:rsid w:val="00382402"/>
    <w:rsid w:val="00390A25"/>
    <w:rsid w:val="003B6B35"/>
    <w:rsid w:val="003C286C"/>
    <w:rsid w:val="004310F5"/>
    <w:rsid w:val="00434E13"/>
    <w:rsid w:val="0046182A"/>
    <w:rsid w:val="00462B36"/>
    <w:rsid w:val="004A0143"/>
    <w:rsid w:val="004A195F"/>
    <w:rsid w:val="004B2F67"/>
    <w:rsid w:val="004C186D"/>
    <w:rsid w:val="004D719D"/>
    <w:rsid w:val="004F13E1"/>
    <w:rsid w:val="004F4F9A"/>
    <w:rsid w:val="005038E3"/>
    <w:rsid w:val="00506F7C"/>
    <w:rsid w:val="0051305C"/>
    <w:rsid w:val="00515D5C"/>
    <w:rsid w:val="00526B34"/>
    <w:rsid w:val="00541B42"/>
    <w:rsid w:val="005607C2"/>
    <w:rsid w:val="005974C9"/>
    <w:rsid w:val="005C25CC"/>
    <w:rsid w:val="005E20FE"/>
    <w:rsid w:val="005E7E00"/>
    <w:rsid w:val="00600674"/>
    <w:rsid w:val="00611D33"/>
    <w:rsid w:val="00616DAA"/>
    <w:rsid w:val="00622721"/>
    <w:rsid w:val="0064168F"/>
    <w:rsid w:val="00652B0B"/>
    <w:rsid w:val="00657B59"/>
    <w:rsid w:val="00662DB1"/>
    <w:rsid w:val="00662ED1"/>
    <w:rsid w:val="00671CC5"/>
    <w:rsid w:val="00677A34"/>
    <w:rsid w:val="00697BFD"/>
    <w:rsid w:val="006A596F"/>
    <w:rsid w:val="006A66FD"/>
    <w:rsid w:val="006B1397"/>
    <w:rsid w:val="006B33BD"/>
    <w:rsid w:val="006C07A4"/>
    <w:rsid w:val="006C1716"/>
    <w:rsid w:val="006C3A6F"/>
    <w:rsid w:val="006C7F72"/>
    <w:rsid w:val="006D07B0"/>
    <w:rsid w:val="006D74DC"/>
    <w:rsid w:val="006E0B23"/>
    <w:rsid w:val="006E47E5"/>
    <w:rsid w:val="006E5C18"/>
    <w:rsid w:val="00723C5F"/>
    <w:rsid w:val="00724D92"/>
    <w:rsid w:val="0074242E"/>
    <w:rsid w:val="007503AA"/>
    <w:rsid w:val="00753371"/>
    <w:rsid w:val="007567C2"/>
    <w:rsid w:val="00756C07"/>
    <w:rsid w:val="00763EF7"/>
    <w:rsid w:val="007747F9"/>
    <w:rsid w:val="00782A2F"/>
    <w:rsid w:val="007A3B51"/>
    <w:rsid w:val="007C42EB"/>
    <w:rsid w:val="007F2CF2"/>
    <w:rsid w:val="00840DA8"/>
    <w:rsid w:val="00850549"/>
    <w:rsid w:val="008831BB"/>
    <w:rsid w:val="00890C7D"/>
    <w:rsid w:val="00894B76"/>
    <w:rsid w:val="00894CF5"/>
    <w:rsid w:val="00895459"/>
    <w:rsid w:val="008B18CB"/>
    <w:rsid w:val="008C115C"/>
    <w:rsid w:val="008D1FF5"/>
    <w:rsid w:val="008E5E3C"/>
    <w:rsid w:val="00905ADE"/>
    <w:rsid w:val="009344DD"/>
    <w:rsid w:val="00937FF8"/>
    <w:rsid w:val="009536F8"/>
    <w:rsid w:val="00955C95"/>
    <w:rsid w:val="009633C2"/>
    <w:rsid w:val="009874C8"/>
    <w:rsid w:val="00995384"/>
    <w:rsid w:val="009B4687"/>
    <w:rsid w:val="009C05ED"/>
    <w:rsid w:val="009E2861"/>
    <w:rsid w:val="009E72F5"/>
    <w:rsid w:val="009F173A"/>
    <w:rsid w:val="00A07CAD"/>
    <w:rsid w:val="00A118D0"/>
    <w:rsid w:val="00A177CA"/>
    <w:rsid w:val="00A34B0E"/>
    <w:rsid w:val="00A63146"/>
    <w:rsid w:val="00A70225"/>
    <w:rsid w:val="00A73864"/>
    <w:rsid w:val="00A97831"/>
    <w:rsid w:val="00AA00C2"/>
    <w:rsid w:val="00AB06A2"/>
    <w:rsid w:val="00AB22EE"/>
    <w:rsid w:val="00AB3FCB"/>
    <w:rsid w:val="00AB628D"/>
    <w:rsid w:val="00AC0584"/>
    <w:rsid w:val="00AD2204"/>
    <w:rsid w:val="00AD44B2"/>
    <w:rsid w:val="00B55881"/>
    <w:rsid w:val="00BA21B3"/>
    <w:rsid w:val="00BB2D37"/>
    <w:rsid w:val="00BC0365"/>
    <w:rsid w:val="00BD36FD"/>
    <w:rsid w:val="00BE01D7"/>
    <w:rsid w:val="00BF3586"/>
    <w:rsid w:val="00C172A5"/>
    <w:rsid w:val="00C35A4D"/>
    <w:rsid w:val="00C4239C"/>
    <w:rsid w:val="00C44320"/>
    <w:rsid w:val="00C71362"/>
    <w:rsid w:val="00C713E8"/>
    <w:rsid w:val="00C86E95"/>
    <w:rsid w:val="00C9193F"/>
    <w:rsid w:val="00C940F0"/>
    <w:rsid w:val="00CB57B0"/>
    <w:rsid w:val="00CC1992"/>
    <w:rsid w:val="00CC74E0"/>
    <w:rsid w:val="00CD05AA"/>
    <w:rsid w:val="00D220F1"/>
    <w:rsid w:val="00D24D68"/>
    <w:rsid w:val="00D46380"/>
    <w:rsid w:val="00D57953"/>
    <w:rsid w:val="00D72518"/>
    <w:rsid w:val="00D86EE0"/>
    <w:rsid w:val="00D96A70"/>
    <w:rsid w:val="00DB4791"/>
    <w:rsid w:val="00DC35C4"/>
    <w:rsid w:val="00DD75AA"/>
    <w:rsid w:val="00DE029F"/>
    <w:rsid w:val="00DE5D1D"/>
    <w:rsid w:val="00E07F8A"/>
    <w:rsid w:val="00E251C8"/>
    <w:rsid w:val="00E707C5"/>
    <w:rsid w:val="00E7703D"/>
    <w:rsid w:val="00E82B74"/>
    <w:rsid w:val="00E85162"/>
    <w:rsid w:val="00E85772"/>
    <w:rsid w:val="00E9205E"/>
    <w:rsid w:val="00EA1B02"/>
    <w:rsid w:val="00EA2A58"/>
    <w:rsid w:val="00EC3167"/>
    <w:rsid w:val="00EE1AB0"/>
    <w:rsid w:val="00EE7DF6"/>
    <w:rsid w:val="00EF62B0"/>
    <w:rsid w:val="00F15D5B"/>
    <w:rsid w:val="00F41B16"/>
    <w:rsid w:val="00F62014"/>
    <w:rsid w:val="00F7410A"/>
    <w:rsid w:val="00F749D9"/>
    <w:rsid w:val="00F824FB"/>
    <w:rsid w:val="00F82588"/>
    <w:rsid w:val="00F846B6"/>
    <w:rsid w:val="00F97519"/>
    <w:rsid w:val="00FA206B"/>
    <w:rsid w:val="00FA2E45"/>
    <w:rsid w:val="00FA7723"/>
    <w:rsid w:val="00FB17ED"/>
    <w:rsid w:val="00FC155A"/>
    <w:rsid w:val="00FC26D7"/>
    <w:rsid w:val="00FC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8FC5A"/>
  <w15:docId w15:val="{A937AB8F-C1EC-4601-83A3-0AA6B87B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C86E95"/>
    <w:pPr>
      <w:spacing w:after="0" w:line="240" w:lineRule="auto"/>
    </w:pPr>
    <w:rPr>
      <w:sz w:val="24"/>
      <w:szCs w:val="24"/>
    </w:rPr>
  </w:style>
  <w:style w:type="character" w:customStyle="1" w:styleId="FootnoteTextChar">
    <w:name w:val="Footnote Text Char"/>
    <w:basedOn w:val="DefaultParagraphFont"/>
    <w:link w:val="FootnoteText"/>
    <w:uiPriority w:val="99"/>
    <w:rsid w:val="00C86E95"/>
    <w:rPr>
      <w:sz w:val="24"/>
      <w:szCs w:val="24"/>
    </w:rPr>
  </w:style>
  <w:style w:type="character" w:styleId="FootnoteReference">
    <w:name w:val="footnote reference"/>
    <w:basedOn w:val="DefaultParagraphFont"/>
    <w:uiPriority w:val="99"/>
    <w:unhideWhenUsed/>
    <w:rsid w:val="00C86E95"/>
    <w:rPr>
      <w:vertAlign w:val="superscript"/>
    </w:rPr>
  </w:style>
  <w:style w:type="character" w:styleId="CommentReference">
    <w:name w:val="annotation reference"/>
    <w:basedOn w:val="DefaultParagraphFont"/>
    <w:uiPriority w:val="99"/>
    <w:semiHidden/>
    <w:unhideWhenUsed/>
    <w:rsid w:val="008831BB"/>
    <w:rPr>
      <w:sz w:val="16"/>
      <w:szCs w:val="16"/>
    </w:rPr>
  </w:style>
  <w:style w:type="paragraph" w:styleId="CommentText">
    <w:name w:val="annotation text"/>
    <w:basedOn w:val="Normal"/>
    <w:link w:val="CommentTextChar"/>
    <w:uiPriority w:val="99"/>
    <w:semiHidden/>
    <w:unhideWhenUsed/>
    <w:rsid w:val="008831BB"/>
    <w:pPr>
      <w:spacing w:line="240" w:lineRule="auto"/>
    </w:pPr>
    <w:rPr>
      <w:sz w:val="20"/>
      <w:szCs w:val="20"/>
    </w:rPr>
  </w:style>
  <w:style w:type="character" w:customStyle="1" w:styleId="CommentTextChar">
    <w:name w:val="Comment Text Char"/>
    <w:basedOn w:val="DefaultParagraphFont"/>
    <w:link w:val="CommentText"/>
    <w:uiPriority w:val="99"/>
    <w:semiHidden/>
    <w:rsid w:val="008831BB"/>
    <w:rPr>
      <w:sz w:val="20"/>
      <w:szCs w:val="20"/>
    </w:rPr>
  </w:style>
  <w:style w:type="paragraph" w:styleId="CommentSubject">
    <w:name w:val="annotation subject"/>
    <w:basedOn w:val="CommentText"/>
    <w:next w:val="CommentText"/>
    <w:link w:val="CommentSubjectChar"/>
    <w:uiPriority w:val="99"/>
    <w:semiHidden/>
    <w:unhideWhenUsed/>
    <w:rsid w:val="008831BB"/>
    <w:rPr>
      <w:b/>
      <w:bCs/>
    </w:rPr>
  </w:style>
  <w:style w:type="character" w:customStyle="1" w:styleId="CommentSubjectChar">
    <w:name w:val="Comment Subject Char"/>
    <w:basedOn w:val="CommentTextChar"/>
    <w:link w:val="CommentSubject"/>
    <w:uiPriority w:val="99"/>
    <w:semiHidden/>
    <w:rsid w:val="008831BB"/>
    <w:rPr>
      <w:b/>
      <w:bCs/>
      <w:sz w:val="20"/>
      <w:szCs w:val="20"/>
    </w:rPr>
  </w:style>
  <w:style w:type="paragraph" w:styleId="BalloonText">
    <w:name w:val="Balloon Text"/>
    <w:basedOn w:val="Normal"/>
    <w:link w:val="BalloonTextChar"/>
    <w:uiPriority w:val="99"/>
    <w:semiHidden/>
    <w:unhideWhenUsed/>
    <w:rsid w:val="00883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1BB"/>
    <w:rPr>
      <w:rFonts w:ascii="Segoe UI" w:hAnsi="Segoe UI" w:cs="Segoe UI"/>
      <w:sz w:val="18"/>
      <w:szCs w:val="18"/>
    </w:rPr>
  </w:style>
  <w:style w:type="paragraph" w:styleId="ListParagraph">
    <w:name w:val="List Paragraph"/>
    <w:basedOn w:val="Normal"/>
    <w:uiPriority w:val="34"/>
    <w:qFormat/>
    <w:rsid w:val="00662DB1"/>
    <w:pPr>
      <w:ind w:left="720"/>
      <w:contextualSpacing/>
    </w:pPr>
  </w:style>
  <w:style w:type="paragraph" w:styleId="NormalWeb">
    <w:name w:val="Normal (Web)"/>
    <w:basedOn w:val="Normal"/>
    <w:uiPriority w:val="99"/>
    <w:semiHidden/>
    <w:unhideWhenUsed/>
    <w:rsid w:val="00C423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C4239C"/>
    <w:rPr>
      <w:color w:val="0000FF"/>
      <w:u w:val="single"/>
    </w:rPr>
  </w:style>
  <w:style w:type="paragraph" w:styleId="Quote">
    <w:name w:val="Quote"/>
    <w:basedOn w:val="Normal"/>
    <w:next w:val="Normal"/>
    <w:link w:val="QuoteChar"/>
    <w:uiPriority w:val="29"/>
    <w:qFormat/>
    <w:rsid w:val="00CC1992"/>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CC1992"/>
    <w:rPr>
      <w:rFonts w:ascii="Arial" w:eastAsia="Times New Roman" w:hAnsi="Arial" w:cs="Arial"/>
      <w:color w:val="000000"/>
      <w:sz w:val="20"/>
      <w:szCs w:val="24"/>
    </w:rPr>
  </w:style>
  <w:style w:type="paragraph" w:styleId="Revision">
    <w:name w:val="Revision"/>
    <w:hidden/>
    <w:uiPriority w:val="99"/>
    <w:semiHidden/>
    <w:rsid w:val="00365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80276">
      <w:bodyDiv w:val="1"/>
      <w:marLeft w:val="0"/>
      <w:marRight w:val="0"/>
      <w:marTop w:val="0"/>
      <w:marBottom w:val="0"/>
      <w:divBdr>
        <w:top w:val="none" w:sz="0" w:space="0" w:color="auto"/>
        <w:left w:val="none" w:sz="0" w:space="0" w:color="auto"/>
        <w:bottom w:val="none" w:sz="0" w:space="0" w:color="auto"/>
        <w:right w:val="none" w:sz="0" w:space="0" w:color="auto"/>
      </w:divBdr>
    </w:div>
    <w:div w:id="2056806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2013%20%282%29%20SACR%20126"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saflii.org/cgi-bin/LawCite?cit=%5b2008%5d%204%20All%20SA%2068" TargetMode="External"/><Relationship Id="rId4" Type="http://schemas.openxmlformats.org/officeDocument/2006/relationships/settings" Target="settings.xml"/><Relationship Id="rId9" Type="http://schemas.openxmlformats.org/officeDocument/2006/relationships/hyperlink" Target="http://www.saflii.org/za/cases/ZASCA/2008/5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03D0-21AF-4257-84ED-E2E7D9B4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HUGHES-MADONDO INC.</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Ntsoaki Nchejane</dc:creator>
  <cp:lastModifiedBy>Judy Rautenheimer</cp:lastModifiedBy>
  <cp:revision>5</cp:revision>
  <cp:lastPrinted>2024-03-06T13:37:00Z</cp:lastPrinted>
  <dcterms:created xsi:type="dcterms:W3CDTF">2024-03-19T08:10:00Z</dcterms:created>
  <dcterms:modified xsi:type="dcterms:W3CDTF">2024-03-19T12:21:00Z</dcterms:modified>
</cp:coreProperties>
</file>