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A9141" w14:textId="77777777" w:rsidR="00FE3762" w:rsidRPr="0031085B" w:rsidRDefault="006B27C8" w:rsidP="004D2880">
      <w:pPr>
        <w:rPr>
          <w:b/>
          <w:bCs/>
          <w:sz w:val="28"/>
          <w:szCs w:val="28"/>
        </w:rPr>
      </w:pPr>
      <w:r w:rsidRPr="0031085B">
        <w:rPr>
          <w:noProof/>
          <w:sz w:val="28"/>
          <w:szCs w:val="28"/>
          <w:lang w:eastAsia="en-ZA"/>
        </w:rPr>
        <w:drawing>
          <wp:anchor distT="0" distB="0" distL="114300" distR="114300" simplePos="0" relativeHeight="251659264" behindDoc="0" locked="0" layoutInCell="1" allowOverlap="1" wp14:anchorId="2666097D" wp14:editId="3386D049">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A832CEC" w14:textId="77777777" w:rsidR="004D2880" w:rsidRPr="0031085B" w:rsidRDefault="004D2880" w:rsidP="004D2880">
      <w:pPr>
        <w:rPr>
          <w:b/>
          <w:bCs/>
          <w:sz w:val="28"/>
          <w:szCs w:val="28"/>
        </w:rPr>
      </w:pPr>
    </w:p>
    <w:p w14:paraId="755F506B" w14:textId="77777777" w:rsidR="006B27C8" w:rsidRPr="0031085B" w:rsidRDefault="006B27C8" w:rsidP="004D2880">
      <w:pPr>
        <w:rPr>
          <w:b/>
          <w:bCs/>
          <w:sz w:val="28"/>
          <w:szCs w:val="28"/>
        </w:rPr>
      </w:pPr>
    </w:p>
    <w:p w14:paraId="649D0E48" w14:textId="77777777" w:rsidR="004D2880" w:rsidRPr="00846352" w:rsidRDefault="004D2880" w:rsidP="004D2880">
      <w:pPr>
        <w:rPr>
          <w:b/>
          <w:bCs/>
          <w:sz w:val="16"/>
          <w:szCs w:val="16"/>
        </w:rPr>
      </w:pPr>
    </w:p>
    <w:p w14:paraId="7839D245" w14:textId="77777777" w:rsidR="00EA529D" w:rsidRPr="0031085B" w:rsidRDefault="00EA529D" w:rsidP="004D2880">
      <w:pPr>
        <w:jc w:val="center"/>
        <w:rPr>
          <w:b/>
          <w:bCs/>
          <w:sz w:val="28"/>
          <w:szCs w:val="28"/>
        </w:rPr>
      </w:pPr>
      <w:r w:rsidRPr="0031085B">
        <w:rPr>
          <w:b/>
          <w:bCs/>
          <w:sz w:val="28"/>
          <w:szCs w:val="28"/>
        </w:rPr>
        <w:t>THE SUPREME COURT OF APPEAL OF SOUTH AFRICA</w:t>
      </w:r>
    </w:p>
    <w:p w14:paraId="5D449368" w14:textId="77777777" w:rsidR="00EA529D" w:rsidRDefault="00EA529D" w:rsidP="004D2880">
      <w:pPr>
        <w:pStyle w:val="Heading3"/>
        <w:jc w:val="center"/>
        <w:rPr>
          <w:rFonts w:ascii="Times New Roman" w:hAnsi="Times New Roman" w:cs="Times New Roman"/>
          <w:b/>
          <w:i w:val="0"/>
          <w:szCs w:val="28"/>
        </w:rPr>
      </w:pPr>
      <w:r w:rsidRPr="0031085B">
        <w:rPr>
          <w:rFonts w:ascii="Times New Roman" w:hAnsi="Times New Roman" w:cs="Times New Roman"/>
          <w:b/>
          <w:i w:val="0"/>
          <w:szCs w:val="28"/>
        </w:rPr>
        <w:t>JUDGMENT</w:t>
      </w:r>
    </w:p>
    <w:p w14:paraId="2F1CB4E9" w14:textId="77777777" w:rsidR="00267ACE" w:rsidRPr="00267ACE" w:rsidRDefault="00267ACE" w:rsidP="00267ACE"/>
    <w:p w14:paraId="2AD7DDD1" w14:textId="51C42BD4" w:rsidR="00EA529D" w:rsidRPr="00747ACB" w:rsidRDefault="00517B62" w:rsidP="004D2880">
      <w:pPr>
        <w:jc w:val="right"/>
        <w:rPr>
          <w:b/>
          <w:sz w:val="28"/>
          <w:szCs w:val="28"/>
        </w:rPr>
      </w:pPr>
      <w:r>
        <w:rPr>
          <w:b/>
          <w:sz w:val="28"/>
          <w:szCs w:val="28"/>
        </w:rPr>
        <w:t>Not Reportable</w:t>
      </w:r>
    </w:p>
    <w:p w14:paraId="36655705" w14:textId="6CC577E6" w:rsidR="00EA529D" w:rsidRPr="00747ACB" w:rsidRDefault="00EA529D" w:rsidP="004D2880">
      <w:pPr>
        <w:jc w:val="right"/>
        <w:rPr>
          <w:sz w:val="28"/>
          <w:szCs w:val="28"/>
        </w:rPr>
      </w:pPr>
      <w:r w:rsidRPr="00747ACB">
        <w:rPr>
          <w:sz w:val="28"/>
          <w:szCs w:val="28"/>
        </w:rPr>
        <w:t xml:space="preserve">Case no: </w:t>
      </w:r>
      <w:r w:rsidR="00C35628">
        <w:rPr>
          <w:sz w:val="28"/>
          <w:szCs w:val="28"/>
        </w:rPr>
        <w:t>1263/2022</w:t>
      </w:r>
      <w:r w:rsidR="00F82F7C">
        <w:rPr>
          <w:sz w:val="28"/>
          <w:szCs w:val="28"/>
        </w:rPr>
        <w:t xml:space="preserve"> </w:t>
      </w:r>
    </w:p>
    <w:p w14:paraId="68C82837" w14:textId="77777777" w:rsidR="00BF09AC" w:rsidRDefault="00BF09AC" w:rsidP="00BF09AC">
      <w:pPr>
        <w:tabs>
          <w:tab w:val="left" w:pos="5954"/>
        </w:tabs>
        <w:contextualSpacing/>
        <w:rPr>
          <w:sz w:val="28"/>
          <w:szCs w:val="28"/>
        </w:rPr>
      </w:pPr>
      <w:r w:rsidRPr="00747ACB">
        <w:rPr>
          <w:sz w:val="28"/>
          <w:szCs w:val="28"/>
        </w:rPr>
        <w:t>In the matter between:</w:t>
      </w:r>
    </w:p>
    <w:p w14:paraId="229AC3B8" w14:textId="77777777" w:rsidR="00267ACE" w:rsidRPr="00747ACB" w:rsidRDefault="00267ACE" w:rsidP="00C35628">
      <w:pPr>
        <w:tabs>
          <w:tab w:val="left" w:pos="5954"/>
        </w:tabs>
        <w:spacing w:line="240" w:lineRule="auto"/>
        <w:contextualSpacing/>
        <w:rPr>
          <w:sz w:val="28"/>
          <w:szCs w:val="28"/>
        </w:rPr>
      </w:pPr>
    </w:p>
    <w:p w14:paraId="407B7535" w14:textId="77777777" w:rsidR="00C35628" w:rsidRDefault="00C35628" w:rsidP="00846352">
      <w:pPr>
        <w:tabs>
          <w:tab w:val="right" w:pos="9356"/>
        </w:tabs>
        <w:contextualSpacing/>
        <w:jc w:val="left"/>
        <w:rPr>
          <w:b/>
          <w:sz w:val="28"/>
          <w:szCs w:val="28"/>
        </w:rPr>
      </w:pPr>
      <w:r>
        <w:rPr>
          <w:b/>
          <w:sz w:val="28"/>
          <w:szCs w:val="28"/>
        </w:rPr>
        <w:t xml:space="preserve">68 WOLMARANS STREET JOHANNESBURG </w:t>
      </w:r>
    </w:p>
    <w:p w14:paraId="61BBB82B" w14:textId="50C57212" w:rsidR="00BF09AC" w:rsidRDefault="00C35628" w:rsidP="00846352">
      <w:pPr>
        <w:tabs>
          <w:tab w:val="right" w:pos="9356"/>
        </w:tabs>
        <w:contextualSpacing/>
        <w:jc w:val="left"/>
        <w:rPr>
          <w:b/>
          <w:sz w:val="28"/>
          <w:szCs w:val="28"/>
        </w:rPr>
      </w:pPr>
      <w:r>
        <w:rPr>
          <w:b/>
          <w:sz w:val="28"/>
          <w:szCs w:val="28"/>
        </w:rPr>
        <w:t>(PTY) LTD</w:t>
      </w:r>
      <w:r w:rsidR="00BF09AC" w:rsidRPr="00747ACB">
        <w:rPr>
          <w:b/>
          <w:sz w:val="28"/>
          <w:szCs w:val="28"/>
        </w:rPr>
        <w:tab/>
      </w:r>
      <w:r>
        <w:rPr>
          <w:b/>
          <w:sz w:val="28"/>
          <w:szCs w:val="28"/>
        </w:rPr>
        <w:t xml:space="preserve">FIRST </w:t>
      </w:r>
      <w:r w:rsidR="004642AC">
        <w:rPr>
          <w:b/>
          <w:sz w:val="28"/>
          <w:szCs w:val="28"/>
        </w:rPr>
        <w:t>APPLICANT</w:t>
      </w:r>
    </w:p>
    <w:p w14:paraId="19DEFD15" w14:textId="6000E2F6" w:rsidR="00C35628" w:rsidRDefault="00C35628" w:rsidP="00846352">
      <w:pPr>
        <w:tabs>
          <w:tab w:val="right" w:pos="9356"/>
        </w:tabs>
        <w:contextualSpacing/>
        <w:jc w:val="left"/>
        <w:rPr>
          <w:b/>
          <w:sz w:val="28"/>
          <w:szCs w:val="28"/>
        </w:rPr>
      </w:pPr>
      <w:r>
        <w:rPr>
          <w:b/>
          <w:sz w:val="28"/>
          <w:szCs w:val="28"/>
        </w:rPr>
        <w:t>10 FIFE AVENUE BEREA (PTY) LTD</w:t>
      </w:r>
      <w:r>
        <w:rPr>
          <w:b/>
          <w:sz w:val="28"/>
          <w:szCs w:val="28"/>
        </w:rPr>
        <w:tab/>
        <w:t xml:space="preserve">SECOND </w:t>
      </w:r>
      <w:r w:rsidR="004642AC">
        <w:rPr>
          <w:b/>
          <w:sz w:val="28"/>
          <w:szCs w:val="28"/>
        </w:rPr>
        <w:t>APPLICANT</w:t>
      </w:r>
    </w:p>
    <w:p w14:paraId="34CB3380" w14:textId="0734FDC0" w:rsidR="00C35628" w:rsidRPr="00747ACB" w:rsidRDefault="00C35628" w:rsidP="00846352">
      <w:pPr>
        <w:tabs>
          <w:tab w:val="right" w:pos="9356"/>
        </w:tabs>
        <w:contextualSpacing/>
        <w:jc w:val="left"/>
        <w:rPr>
          <w:b/>
          <w:sz w:val="28"/>
          <w:szCs w:val="28"/>
        </w:rPr>
      </w:pPr>
      <w:r>
        <w:rPr>
          <w:b/>
          <w:sz w:val="28"/>
          <w:szCs w:val="28"/>
        </w:rPr>
        <w:t>MARK MORRIS FARBER</w:t>
      </w:r>
      <w:r>
        <w:rPr>
          <w:b/>
          <w:sz w:val="28"/>
          <w:szCs w:val="28"/>
        </w:rPr>
        <w:tab/>
        <w:t xml:space="preserve">THIRD </w:t>
      </w:r>
      <w:r w:rsidR="004642AC">
        <w:rPr>
          <w:b/>
          <w:sz w:val="28"/>
          <w:szCs w:val="28"/>
        </w:rPr>
        <w:t>APPLICANT</w:t>
      </w:r>
    </w:p>
    <w:p w14:paraId="19BEE6B2" w14:textId="77777777" w:rsidR="00C35628" w:rsidRDefault="00C35628" w:rsidP="00C35628">
      <w:pPr>
        <w:tabs>
          <w:tab w:val="left" w:pos="5954"/>
        </w:tabs>
        <w:spacing w:line="240" w:lineRule="auto"/>
        <w:contextualSpacing/>
        <w:jc w:val="left"/>
        <w:rPr>
          <w:sz w:val="28"/>
          <w:szCs w:val="28"/>
        </w:rPr>
      </w:pPr>
    </w:p>
    <w:p w14:paraId="6E358138" w14:textId="77777777" w:rsidR="00BF09AC" w:rsidRPr="00747ACB" w:rsidRDefault="00BF09AC" w:rsidP="00BF09AC">
      <w:pPr>
        <w:tabs>
          <w:tab w:val="left" w:pos="5954"/>
        </w:tabs>
        <w:contextualSpacing/>
        <w:jc w:val="left"/>
        <w:rPr>
          <w:sz w:val="28"/>
          <w:szCs w:val="28"/>
        </w:rPr>
      </w:pPr>
      <w:proofErr w:type="gramStart"/>
      <w:r w:rsidRPr="00747ACB">
        <w:rPr>
          <w:sz w:val="28"/>
          <w:szCs w:val="28"/>
        </w:rPr>
        <w:t>and</w:t>
      </w:r>
      <w:proofErr w:type="gramEnd"/>
    </w:p>
    <w:p w14:paraId="4BA4EB4B" w14:textId="77777777" w:rsidR="00C35628" w:rsidRDefault="00C35628" w:rsidP="00C35628">
      <w:pPr>
        <w:tabs>
          <w:tab w:val="left" w:pos="5954"/>
          <w:tab w:val="right" w:pos="9356"/>
        </w:tabs>
        <w:spacing w:line="240" w:lineRule="auto"/>
        <w:contextualSpacing/>
        <w:jc w:val="left"/>
        <w:rPr>
          <w:b/>
          <w:sz w:val="28"/>
          <w:szCs w:val="28"/>
        </w:rPr>
      </w:pPr>
    </w:p>
    <w:p w14:paraId="7F8F5754" w14:textId="786B3E11" w:rsidR="00BF09AC" w:rsidRDefault="00C35628" w:rsidP="000F3F4B">
      <w:pPr>
        <w:tabs>
          <w:tab w:val="left" w:pos="5954"/>
          <w:tab w:val="right" w:pos="9356"/>
        </w:tabs>
        <w:contextualSpacing/>
        <w:jc w:val="left"/>
        <w:rPr>
          <w:b/>
          <w:sz w:val="28"/>
          <w:szCs w:val="28"/>
        </w:rPr>
      </w:pPr>
      <w:r>
        <w:rPr>
          <w:b/>
          <w:sz w:val="28"/>
          <w:szCs w:val="28"/>
        </w:rPr>
        <w:t>TUFH LIMITED</w:t>
      </w:r>
      <w:r w:rsidR="00BF09AC" w:rsidRPr="00747ACB">
        <w:rPr>
          <w:b/>
          <w:sz w:val="28"/>
          <w:szCs w:val="28"/>
        </w:rPr>
        <w:tab/>
      </w:r>
      <w:r w:rsidR="00BF09AC" w:rsidRPr="00747ACB">
        <w:rPr>
          <w:b/>
          <w:sz w:val="28"/>
          <w:szCs w:val="28"/>
        </w:rPr>
        <w:tab/>
        <w:t>RESPONDENT</w:t>
      </w:r>
    </w:p>
    <w:p w14:paraId="23D218D2" w14:textId="77777777" w:rsidR="00C35628" w:rsidRDefault="00C35628" w:rsidP="00C35628">
      <w:pPr>
        <w:tabs>
          <w:tab w:val="left" w:pos="5954"/>
          <w:tab w:val="right" w:pos="9356"/>
        </w:tabs>
        <w:spacing w:line="240" w:lineRule="auto"/>
        <w:contextualSpacing/>
        <w:jc w:val="left"/>
        <w:rPr>
          <w:b/>
          <w:sz w:val="28"/>
          <w:szCs w:val="28"/>
        </w:rPr>
      </w:pPr>
    </w:p>
    <w:p w14:paraId="2DB77732" w14:textId="4E2A05FA" w:rsidR="00C35628" w:rsidRPr="00747ACB" w:rsidRDefault="00C35628" w:rsidP="00C35628">
      <w:pPr>
        <w:tabs>
          <w:tab w:val="left" w:pos="5954"/>
        </w:tabs>
        <w:contextualSpacing/>
        <w:jc w:val="left"/>
        <w:rPr>
          <w:sz w:val="28"/>
          <w:szCs w:val="28"/>
        </w:rPr>
      </w:pPr>
      <w:r>
        <w:rPr>
          <w:sz w:val="28"/>
          <w:szCs w:val="28"/>
        </w:rPr>
        <w:t>In re:</w:t>
      </w:r>
    </w:p>
    <w:p w14:paraId="4E0EED6E" w14:textId="77777777" w:rsidR="00C35628" w:rsidRDefault="00C35628" w:rsidP="00C35628">
      <w:pPr>
        <w:tabs>
          <w:tab w:val="left" w:pos="5954"/>
          <w:tab w:val="right" w:pos="9356"/>
        </w:tabs>
        <w:spacing w:line="240" w:lineRule="auto"/>
        <w:contextualSpacing/>
        <w:jc w:val="left"/>
        <w:rPr>
          <w:b/>
          <w:sz w:val="28"/>
          <w:szCs w:val="28"/>
        </w:rPr>
      </w:pPr>
    </w:p>
    <w:p w14:paraId="78AABECC" w14:textId="7C50D922" w:rsidR="00916476" w:rsidRDefault="00C35628" w:rsidP="000F3F4B">
      <w:pPr>
        <w:tabs>
          <w:tab w:val="left" w:pos="5954"/>
          <w:tab w:val="right" w:pos="9356"/>
        </w:tabs>
        <w:contextualSpacing/>
        <w:jc w:val="left"/>
        <w:rPr>
          <w:b/>
          <w:sz w:val="28"/>
          <w:szCs w:val="28"/>
        </w:rPr>
      </w:pPr>
      <w:r>
        <w:rPr>
          <w:b/>
          <w:sz w:val="28"/>
          <w:szCs w:val="28"/>
        </w:rPr>
        <w:t>TUFH LIMITED</w:t>
      </w:r>
      <w:r w:rsidR="00916476">
        <w:rPr>
          <w:b/>
          <w:sz w:val="28"/>
          <w:szCs w:val="28"/>
        </w:rPr>
        <w:tab/>
      </w:r>
      <w:r w:rsidR="00916476">
        <w:rPr>
          <w:b/>
          <w:sz w:val="28"/>
          <w:szCs w:val="28"/>
        </w:rPr>
        <w:tab/>
      </w:r>
      <w:r w:rsidR="004642AC">
        <w:rPr>
          <w:b/>
          <w:sz w:val="28"/>
          <w:szCs w:val="28"/>
        </w:rPr>
        <w:t>APPLICANT</w:t>
      </w:r>
    </w:p>
    <w:p w14:paraId="366D0784" w14:textId="77777777" w:rsidR="00C35628" w:rsidRDefault="00C35628" w:rsidP="00C35628">
      <w:pPr>
        <w:tabs>
          <w:tab w:val="left" w:pos="5954"/>
          <w:tab w:val="right" w:pos="9356"/>
        </w:tabs>
        <w:spacing w:line="240" w:lineRule="auto"/>
        <w:contextualSpacing/>
        <w:jc w:val="left"/>
        <w:rPr>
          <w:b/>
          <w:sz w:val="28"/>
          <w:szCs w:val="28"/>
        </w:rPr>
      </w:pPr>
    </w:p>
    <w:p w14:paraId="1AED1F03" w14:textId="77777777" w:rsidR="00C35628" w:rsidRPr="00747ACB" w:rsidRDefault="00C35628" w:rsidP="00C35628">
      <w:pPr>
        <w:tabs>
          <w:tab w:val="left" w:pos="5954"/>
        </w:tabs>
        <w:contextualSpacing/>
        <w:jc w:val="left"/>
        <w:rPr>
          <w:sz w:val="28"/>
          <w:szCs w:val="28"/>
        </w:rPr>
      </w:pPr>
      <w:proofErr w:type="gramStart"/>
      <w:r w:rsidRPr="00747ACB">
        <w:rPr>
          <w:sz w:val="28"/>
          <w:szCs w:val="28"/>
        </w:rPr>
        <w:t>and</w:t>
      </w:r>
      <w:proofErr w:type="gramEnd"/>
    </w:p>
    <w:p w14:paraId="15B34F12" w14:textId="77777777" w:rsidR="00C35628" w:rsidRDefault="00C35628" w:rsidP="00C35628">
      <w:pPr>
        <w:tabs>
          <w:tab w:val="left" w:pos="5954"/>
          <w:tab w:val="right" w:pos="9356"/>
        </w:tabs>
        <w:spacing w:line="240" w:lineRule="auto"/>
        <w:contextualSpacing/>
        <w:jc w:val="left"/>
        <w:rPr>
          <w:b/>
          <w:sz w:val="28"/>
          <w:szCs w:val="28"/>
        </w:rPr>
      </w:pPr>
    </w:p>
    <w:p w14:paraId="2824A677" w14:textId="77777777" w:rsidR="00C35628" w:rsidRDefault="00C35628" w:rsidP="00C35628">
      <w:pPr>
        <w:tabs>
          <w:tab w:val="right" w:pos="9356"/>
        </w:tabs>
        <w:contextualSpacing/>
        <w:jc w:val="left"/>
        <w:rPr>
          <w:b/>
          <w:sz w:val="28"/>
          <w:szCs w:val="28"/>
        </w:rPr>
      </w:pPr>
      <w:r>
        <w:rPr>
          <w:b/>
          <w:sz w:val="28"/>
          <w:szCs w:val="28"/>
        </w:rPr>
        <w:t xml:space="preserve">68 WOLMARANS STREET JOHANNESBURG </w:t>
      </w:r>
    </w:p>
    <w:p w14:paraId="2112FBF3" w14:textId="20945EDB" w:rsidR="00C35628" w:rsidRDefault="00C35628" w:rsidP="00C35628">
      <w:pPr>
        <w:tabs>
          <w:tab w:val="right" w:pos="9356"/>
        </w:tabs>
        <w:contextualSpacing/>
        <w:jc w:val="left"/>
        <w:rPr>
          <w:b/>
          <w:sz w:val="28"/>
          <w:szCs w:val="28"/>
        </w:rPr>
      </w:pPr>
      <w:r>
        <w:rPr>
          <w:b/>
          <w:sz w:val="28"/>
          <w:szCs w:val="28"/>
        </w:rPr>
        <w:t>(PTY) LTD</w:t>
      </w:r>
      <w:r w:rsidRPr="00747ACB">
        <w:rPr>
          <w:b/>
          <w:sz w:val="28"/>
          <w:szCs w:val="28"/>
        </w:rPr>
        <w:tab/>
      </w:r>
      <w:r>
        <w:rPr>
          <w:b/>
          <w:sz w:val="28"/>
          <w:szCs w:val="28"/>
        </w:rPr>
        <w:t>FIRST RESPONDENT</w:t>
      </w:r>
    </w:p>
    <w:p w14:paraId="70584F26" w14:textId="7EEE0AC5" w:rsidR="00C35628" w:rsidRDefault="00C35628" w:rsidP="00C35628">
      <w:pPr>
        <w:tabs>
          <w:tab w:val="right" w:pos="9356"/>
        </w:tabs>
        <w:contextualSpacing/>
        <w:jc w:val="left"/>
        <w:rPr>
          <w:b/>
          <w:sz w:val="28"/>
          <w:szCs w:val="28"/>
        </w:rPr>
      </w:pPr>
      <w:r>
        <w:rPr>
          <w:b/>
          <w:sz w:val="28"/>
          <w:szCs w:val="28"/>
        </w:rPr>
        <w:t>10 FIFE AVENUE BEREA (PTY) LTD</w:t>
      </w:r>
      <w:r>
        <w:rPr>
          <w:b/>
          <w:sz w:val="28"/>
          <w:szCs w:val="28"/>
        </w:rPr>
        <w:tab/>
        <w:t>SECOND RESPONDENT</w:t>
      </w:r>
    </w:p>
    <w:p w14:paraId="06E155A7" w14:textId="2637FB97" w:rsidR="00C35628" w:rsidRPr="00747ACB" w:rsidRDefault="00C35628" w:rsidP="00C35628">
      <w:pPr>
        <w:tabs>
          <w:tab w:val="right" w:pos="9356"/>
        </w:tabs>
        <w:contextualSpacing/>
        <w:jc w:val="left"/>
        <w:rPr>
          <w:b/>
          <w:sz w:val="28"/>
          <w:szCs w:val="28"/>
        </w:rPr>
      </w:pPr>
      <w:r>
        <w:rPr>
          <w:b/>
          <w:sz w:val="28"/>
          <w:szCs w:val="28"/>
        </w:rPr>
        <w:t>MARK MORRIS FARBER</w:t>
      </w:r>
      <w:r>
        <w:rPr>
          <w:b/>
          <w:sz w:val="28"/>
          <w:szCs w:val="28"/>
        </w:rPr>
        <w:tab/>
        <w:t>THIRD RESPONDENT</w:t>
      </w:r>
    </w:p>
    <w:p w14:paraId="6E7EE8E6" w14:textId="77777777" w:rsidR="00C35628" w:rsidRDefault="00C35628" w:rsidP="000F3F4B">
      <w:pPr>
        <w:tabs>
          <w:tab w:val="left" w:pos="5954"/>
          <w:tab w:val="right" w:pos="9356"/>
        </w:tabs>
        <w:contextualSpacing/>
        <w:jc w:val="left"/>
        <w:rPr>
          <w:b/>
          <w:sz w:val="28"/>
          <w:szCs w:val="28"/>
        </w:rPr>
      </w:pPr>
    </w:p>
    <w:p w14:paraId="3FCF50E0" w14:textId="6678FAB2" w:rsidR="00B31FF4" w:rsidRPr="0031085B" w:rsidRDefault="00EA529D" w:rsidP="002463CC">
      <w:pPr>
        <w:ind w:left="2160" w:hanging="2160"/>
        <w:rPr>
          <w:bCs/>
          <w:sz w:val="28"/>
          <w:szCs w:val="28"/>
        </w:rPr>
      </w:pPr>
      <w:r w:rsidRPr="0031085B">
        <w:rPr>
          <w:b/>
          <w:bCs/>
          <w:sz w:val="28"/>
          <w:szCs w:val="28"/>
        </w:rPr>
        <w:lastRenderedPageBreak/>
        <w:t>Neutral citation:</w:t>
      </w:r>
      <w:r w:rsidRPr="0031085B">
        <w:rPr>
          <w:b/>
          <w:bCs/>
          <w:sz w:val="28"/>
          <w:szCs w:val="28"/>
        </w:rPr>
        <w:tab/>
      </w:r>
      <w:r w:rsidR="00C35628">
        <w:rPr>
          <w:bCs/>
          <w:i/>
          <w:sz w:val="28"/>
          <w:szCs w:val="28"/>
          <w:lang w:val="en-GB"/>
        </w:rPr>
        <w:t xml:space="preserve">68 </w:t>
      </w:r>
      <w:proofErr w:type="spellStart"/>
      <w:r w:rsidR="00C35628">
        <w:rPr>
          <w:bCs/>
          <w:i/>
          <w:sz w:val="28"/>
          <w:szCs w:val="28"/>
          <w:lang w:val="en-GB"/>
        </w:rPr>
        <w:t>Wolmarans</w:t>
      </w:r>
      <w:proofErr w:type="spellEnd"/>
      <w:r w:rsidR="00C35628">
        <w:rPr>
          <w:bCs/>
          <w:i/>
          <w:sz w:val="28"/>
          <w:szCs w:val="28"/>
          <w:lang w:val="en-GB"/>
        </w:rPr>
        <w:t xml:space="preserve"> Street Johannesburg (Pty) Ltd and </w:t>
      </w:r>
      <w:proofErr w:type="gramStart"/>
      <w:r w:rsidR="00C35628">
        <w:rPr>
          <w:bCs/>
          <w:i/>
          <w:sz w:val="28"/>
          <w:szCs w:val="28"/>
          <w:lang w:val="en-GB"/>
        </w:rPr>
        <w:t>Others</w:t>
      </w:r>
      <w:proofErr w:type="gramEnd"/>
      <w:r w:rsidR="00C35628">
        <w:rPr>
          <w:bCs/>
          <w:i/>
          <w:sz w:val="28"/>
          <w:szCs w:val="28"/>
          <w:lang w:val="en-GB"/>
        </w:rPr>
        <w:t xml:space="preserve"> v </w:t>
      </w:r>
      <w:proofErr w:type="spellStart"/>
      <w:r w:rsidR="00C35628">
        <w:rPr>
          <w:bCs/>
          <w:i/>
          <w:sz w:val="28"/>
          <w:szCs w:val="28"/>
          <w:lang w:val="en-GB"/>
        </w:rPr>
        <w:t>Tufh</w:t>
      </w:r>
      <w:proofErr w:type="spellEnd"/>
      <w:r w:rsidR="00C35628">
        <w:rPr>
          <w:bCs/>
          <w:i/>
          <w:sz w:val="28"/>
          <w:szCs w:val="28"/>
          <w:lang w:val="en-GB"/>
        </w:rPr>
        <w:t xml:space="preserve"> Limited</w:t>
      </w:r>
      <w:r w:rsidR="00BF09AC" w:rsidRPr="00BF09AC">
        <w:rPr>
          <w:bCs/>
          <w:i/>
          <w:sz w:val="28"/>
          <w:szCs w:val="28"/>
          <w:lang w:val="en-GB"/>
        </w:rPr>
        <w:t xml:space="preserve"> </w:t>
      </w:r>
      <w:r w:rsidR="00BF09AC" w:rsidRPr="00BF09AC">
        <w:rPr>
          <w:bCs/>
          <w:sz w:val="28"/>
          <w:szCs w:val="28"/>
          <w:lang w:val="en-GB"/>
        </w:rPr>
        <w:t>(</w:t>
      </w:r>
      <w:r w:rsidR="00C35628">
        <w:rPr>
          <w:bCs/>
          <w:sz w:val="28"/>
          <w:szCs w:val="28"/>
          <w:lang w:val="en-GB"/>
        </w:rPr>
        <w:t>1263/2022</w:t>
      </w:r>
      <w:r w:rsidR="00BF09AC" w:rsidRPr="00BF09AC">
        <w:rPr>
          <w:bCs/>
          <w:sz w:val="28"/>
          <w:szCs w:val="28"/>
          <w:lang w:val="en-GB"/>
        </w:rPr>
        <w:t>)</w:t>
      </w:r>
      <w:r w:rsidR="00270C43">
        <w:rPr>
          <w:bCs/>
          <w:sz w:val="28"/>
          <w:szCs w:val="28"/>
          <w:lang w:val="en-GB"/>
        </w:rPr>
        <w:t xml:space="preserve"> </w:t>
      </w:r>
      <w:r w:rsidRPr="0031085B">
        <w:rPr>
          <w:bCs/>
          <w:sz w:val="28"/>
          <w:szCs w:val="28"/>
        </w:rPr>
        <w:t>[202</w:t>
      </w:r>
      <w:r w:rsidR="00A40A90">
        <w:rPr>
          <w:bCs/>
          <w:sz w:val="28"/>
          <w:szCs w:val="28"/>
        </w:rPr>
        <w:t>4</w:t>
      </w:r>
      <w:r w:rsidRPr="0031085B">
        <w:rPr>
          <w:bCs/>
          <w:sz w:val="28"/>
          <w:szCs w:val="28"/>
        </w:rPr>
        <w:t xml:space="preserve">] ZASCA </w:t>
      </w:r>
      <w:r w:rsidR="00B63BC0">
        <w:rPr>
          <w:bCs/>
          <w:sz w:val="28"/>
          <w:szCs w:val="28"/>
        </w:rPr>
        <w:t>48</w:t>
      </w:r>
      <w:r w:rsidRPr="0031085B">
        <w:rPr>
          <w:bCs/>
          <w:sz w:val="28"/>
          <w:szCs w:val="28"/>
        </w:rPr>
        <w:t xml:space="preserve"> (</w:t>
      </w:r>
      <w:r w:rsidR="00361725">
        <w:rPr>
          <w:bCs/>
          <w:sz w:val="28"/>
          <w:szCs w:val="28"/>
        </w:rPr>
        <w:t>15</w:t>
      </w:r>
      <w:r w:rsidR="00A40A90">
        <w:rPr>
          <w:bCs/>
          <w:sz w:val="28"/>
          <w:szCs w:val="28"/>
        </w:rPr>
        <w:t xml:space="preserve"> </w:t>
      </w:r>
      <w:r w:rsidR="002463CC">
        <w:rPr>
          <w:bCs/>
          <w:sz w:val="28"/>
          <w:szCs w:val="28"/>
        </w:rPr>
        <w:t xml:space="preserve">April </w:t>
      </w:r>
      <w:r w:rsidR="00A40A90">
        <w:rPr>
          <w:bCs/>
          <w:sz w:val="28"/>
          <w:szCs w:val="28"/>
        </w:rPr>
        <w:t>2024</w:t>
      </w:r>
      <w:r w:rsidRPr="0031085B">
        <w:rPr>
          <w:bCs/>
          <w:sz w:val="28"/>
          <w:szCs w:val="28"/>
        </w:rPr>
        <w:t>)</w:t>
      </w:r>
    </w:p>
    <w:p w14:paraId="6CDE4D80" w14:textId="77777777" w:rsidR="00361725" w:rsidRDefault="00361725" w:rsidP="00267ACE">
      <w:pPr>
        <w:ind w:left="2160" w:hanging="2160"/>
        <w:rPr>
          <w:b/>
          <w:bCs/>
          <w:sz w:val="28"/>
          <w:szCs w:val="28"/>
        </w:rPr>
      </w:pPr>
    </w:p>
    <w:p w14:paraId="0F5E7AEB" w14:textId="6A6C60C1" w:rsidR="009D7C7C" w:rsidRPr="00BF09AC" w:rsidRDefault="00EA529D" w:rsidP="00267ACE">
      <w:pPr>
        <w:ind w:left="2160" w:hanging="2160"/>
        <w:rPr>
          <w:bCs/>
          <w:sz w:val="28"/>
          <w:szCs w:val="28"/>
        </w:rPr>
      </w:pPr>
      <w:r w:rsidRPr="0031085B">
        <w:rPr>
          <w:b/>
          <w:bCs/>
          <w:sz w:val="28"/>
          <w:szCs w:val="28"/>
        </w:rPr>
        <w:t>Coram:</w:t>
      </w:r>
      <w:r w:rsidRPr="0031085B">
        <w:rPr>
          <w:sz w:val="28"/>
          <w:szCs w:val="28"/>
        </w:rPr>
        <w:tab/>
      </w:r>
      <w:r w:rsidR="00C35628">
        <w:rPr>
          <w:bCs/>
          <w:sz w:val="28"/>
          <w:szCs w:val="28"/>
        </w:rPr>
        <w:t>G</w:t>
      </w:r>
      <w:r w:rsidR="00F84ACB">
        <w:rPr>
          <w:bCs/>
          <w:sz w:val="28"/>
          <w:szCs w:val="28"/>
        </w:rPr>
        <w:t>ORVEN</w:t>
      </w:r>
      <w:r w:rsidR="002463CC">
        <w:rPr>
          <w:bCs/>
          <w:sz w:val="28"/>
          <w:szCs w:val="28"/>
        </w:rPr>
        <w:t>, W</w:t>
      </w:r>
      <w:r w:rsidR="00F84ACB">
        <w:rPr>
          <w:bCs/>
          <w:sz w:val="28"/>
          <w:szCs w:val="28"/>
        </w:rPr>
        <w:t>EINER</w:t>
      </w:r>
      <w:r w:rsidR="002463CC">
        <w:rPr>
          <w:bCs/>
          <w:sz w:val="28"/>
          <w:szCs w:val="28"/>
        </w:rPr>
        <w:t xml:space="preserve"> and K</w:t>
      </w:r>
      <w:r w:rsidR="00F84ACB">
        <w:rPr>
          <w:bCs/>
          <w:sz w:val="28"/>
          <w:szCs w:val="28"/>
        </w:rPr>
        <w:t>GOELE</w:t>
      </w:r>
      <w:r w:rsidR="002463CC">
        <w:rPr>
          <w:bCs/>
          <w:sz w:val="28"/>
          <w:szCs w:val="28"/>
        </w:rPr>
        <w:t xml:space="preserve"> JJA and B</w:t>
      </w:r>
      <w:r w:rsidR="00F84ACB">
        <w:rPr>
          <w:bCs/>
          <w:sz w:val="28"/>
          <w:szCs w:val="28"/>
        </w:rPr>
        <w:t>AARTMAN</w:t>
      </w:r>
      <w:r w:rsidR="002463CC">
        <w:rPr>
          <w:bCs/>
          <w:sz w:val="28"/>
          <w:szCs w:val="28"/>
        </w:rPr>
        <w:t xml:space="preserve"> and S</w:t>
      </w:r>
      <w:r w:rsidR="00F84ACB">
        <w:rPr>
          <w:bCs/>
          <w:sz w:val="28"/>
          <w:szCs w:val="28"/>
        </w:rPr>
        <w:t>EEGOBIN</w:t>
      </w:r>
      <w:r w:rsidR="002463CC">
        <w:rPr>
          <w:bCs/>
          <w:sz w:val="28"/>
          <w:szCs w:val="28"/>
        </w:rPr>
        <w:t xml:space="preserve"> AJJA </w:t>
      </w:r>
    </w:p>
    <w:p w14:paraId="2750138C" w14:textId="77777777" w:rsidR="00361725" w:rsidRDefault="00361725" w:rsidP="00267ACE">
      <w:pPr>
        <w:rPr>
          <w:b/>
          <w:bCs/>
          <w:sz w:val="28"/>
          <w:szCs w:val="28"/>
        </w:rPr>
      </w:pPr>
    </w:p>
    <w:p w14:paraId="369E3F2C" w14:textId="381806D6" w:rsidR="004D2880" w:rsidRPr="0031085B" w:rsidRDefault="00EA529D" w:rsidP="00267ACE">
      <w:pPr>
        <w:rPr>
          <w:sz w:val="28"/>
          <w:szCs w:val="28"/>
        </w:rPr>
      </w:pPr>
      <w:r w:rsidRPr="0031085B">
        <w:rPr>
          <w:b/>
          <w:bCs/>
          <w:sz w:val="28"/>
          <w:szCs w:val="28"/>
        </w:rPr>
        <w:t>Heard</w:t>
      </w:r>
      <w:r w:rsidRPr="0031085B">
        <w:rPr>
          <w:b/>
          <w:sz w:val="28"/>
          <w:szCs w:val="28"/>
        </w:rPr>
        <w:t>:</w:t>
      </w:r>
      <w:r w:rsidRPr="0031085B">
        <w:rPr>
          <w:sz w:val="28"/>
          <w:szCs w:val="28"/>
        </w:rPr>
        <w:tab/>
      </w:r>
      <w:r w:rsidR="009627EF" w:rsidRPr="0031085B">
        <w:rPr>
          <w:sz w:val="28"/>
          <w:szCs w:val="28"/>
        </w:rPr>
        <w:tab/>
      </w:r>
      <w:r w:rsidR="00C35628">
        <w:rPr>
          <w:sz w:val="28"/>
          <w:szCs w:val="28"/>
        </w:rPr>
        <w:t>12 March</w:t>
      </w:r>
      <w:r w:rsidR="00A40A90">
        <w:rPr>
          <w:sz w:val="28"/>
          <w:szCs w:val="28"/>
        </w:rPr>
        <w:t xml:space="preserve"> 2024</w:t>
      </w:r>
    </w:p>
    <w:p w14:paraId="460AB900" w14:textId="77777777" w:rsidR="00361725" w:rsidRDefault="00361725" w:rsidP="00361725">
      <w:pPr>
        <w:rPr>
          <w:b/>
          <w:bCs/>
          <w:sz w:val="28"/>
          <w:szCs w:val="28"/>
        </w:rPr>
      </w:pPr>
    </w:p>
    <w:p w14:paraId="4407AF6C" w14:textId="6A80DE55" w:rsidR="00361725" w:rsidRPr="0031085B" w:rsidRDefault="00EA529D" w:rsidP="00361725">
      <w:pPr>
        <w:rPr>
          <w:sz w:val="28"/>
          <w:szCs w:val="28"/>
        </w:rPr>
      </w:pPr>
      <w:r w:rsidRPr="0031085B">
        <w:rPr>
          <w:b/>
          <w:bCs/>
          <w:sz w:val="28"/>
          <w:szCs w:val="28"/>
        </w:rPr>
        <w:t>Delivered</w:t>
      </w:r>
      <w:r w:rsidRPr="0031085B">
        <w:rPr>
          <w:b/>
          <w:sz w:val="28"/>
          <w:szCs w:val="28"/>
        </w:rPr>
        <w:t>:</w:t>
      </w:r>
      <w:r w:rsidRPr="0031085B">
        <w:rPr>
          <w:sz w:val="28"/>
          <w:szCs w:val="28"/>
        </w:rPr>
        <w:tab/>
      </w:r>
      <w:r w:rsidR="009627EF" w:rsidRPr="0031085B">
        <w:rPr>
          <w:sz w:val="28"/>
          <w:szCs w:val="28"/>
        </w:rPr>
        <w:tab/>
      </w:r>
      <w:r w:rsidR="00361725" w:rsidRPr="00003962">
        <w:rPr>
          <w:sz w:val="28"/>
          <w:szCs w:val="28"/>
        </w:rPr>
        <w:t>This judgment was handed dow</w:t>
      </w:r>
      <w:r w:rsidR="00361725">
        <w:rPr>
          <w:sz w:val="28"/>
          <w:szCs w:val="28"/>
        </w:rPr>
        <w:t xml:space="preserve">n electronically by circulation </w:t>
      </w:r>
      <w:r w:rsidR="00361725" w:rsidRPr="00003962">
        <w:rPr>
          <w:sz w:val="28"/>
          <w:szCs w:val="28"/>
        </w:rPr>
        <w:t>to the parties’ representatives by email, publication on the Supreme Court of</w:t>
      </w:r>
      <w:r w:rsidR="00361725">
        <w:rPr>
          <w:sz w:val="28"/>
          <w:szCs w:val="28"/>
        </w:rPr>
        <w:t xml:space="preserve"> Appeal </w:t>
      </w:r>
      <w:r w:rsidR="00361725" w:rsidRPr="00003962">
        <w:rPr>
          <w:sz w:val="28"/>
          <w:szCs w:val="28"/>
        </w:rPr>
        <w:t>website and release to SAFLII. The dat</w:t>
      </w:r>
      <w:r w:rsidR="00361725">
        <w:rPr>
          <w:sz w:val="28"/>
          <w:szCs w:val="28"/>
        </w:rPr>
        <w:t>e and time for hand-</w:t>
      </w:r>
      <w:bookmarkStart w:id="0" w:name="_GoBack"/>
      <w:bookmarkEnd w:id="0"/>
      <w:r w:rsidR="00361725">
        <w:rPr>
          <w:sz w:val="28"/>
          <w:szCs w:val="28"/>
        </w:rPr>
        <w:t xml:space="preserve">down of the </w:t>
      </w:r>
      <w:r w:rsidR="00361725" w:rsidRPr="00003962">
        <w:rPr>
          <w:sz w:val="28"/>
          <w:szCs w:val="28"/>
        </w:rPr>
        <w:t xml:space="preserve">judgment is deemed to be 11h00 on </w:t>
      </w:r>
      <w:r w:rsidR="00361725">
        <w:rPr>
          <w:sz w:val="28"/>
          <w:szCs w:val="28"/>
        </w:rPr>
        <w:t>15</w:t>
      </w:r>
      <w:r w:rsidR="00361725" w:rsidRPr="00003962">
        <w:rPr>
          <w:sz w:val="28"/>
          <w:szCs w:val="28"/>
        </w:rPr>
        <w:t xml:space="preserve"> April 2024.</w:t>
      </w:r>
    </w:p>
    <w:p w14:paraId="2468185B" w14:textId="77777777" w:rsidR="00361725" w:rsidRDefault="00361725" w:rsidP="00E432C0">
      <w:pPr>
        <w:rPr>
          <w:b/>
          <w:bCs/>
          <w:sz w:val="28"/>
          <w:szCs w:val="28"/>
        </w:rPr>
      </w:pPr>
    </w:p>
    <w:p w14:paraId="7B027955" w14:textId="71F3D791" w:rsidR="00486DF0" w:rsidRDefault="00750305" w:rsidP="00E432C0">
      <w:pPr>
        <w:rPr>
          <w:bCs/>
          <w:sz w:val="28"/>
          <w:szCs w:val="28"/>
        </w:rPr>
      </w:pPr>
      <w:r w:rsidRPr="0031085B">
        <w:rPr>
          <w:b/>
          <w:bCs/>
          <w:sz w:val="28"/>
          <w:szCs w:val="28"/>
        </w:rPr>
        <w:t>Summary:</w:t>
      </w:r>
      <w:r w:rsidRPr="0031085B">
        <w:rPr>
          <w:sz w:val="28"/>
          <w:szCs w:val="28"/>
        </w:rPr>
        <w:tab/>
      </w:r>
      <w:r w:rsidR="006B27C8" w:rsidRPr="0031085B">
        <w:rPr>
          <w:sz w:val="28"/>
          <w:szCs w:val="28"/>
        </w:rPr>
        <w:tab/>
      </w:r>
      <w:r w:rsidR="002F2D41">
        <w:rPr>
          <w:bCs/>
          <w:sz w:val="28"/>
          <w:szCs w:val="28"/>
        </w:rPr>
        <w:t xml:space="preserve">Special leave to appeal – law of contract – enforcement of provision in loan agreement – </w:t>
      </w:r>
      <w:r w:rsidR="00E4107F">
        <w:rPr>
          <w:bCs/>
          <w:sz w:val="28"/>
          <w:szCs w:val="28"/>
        </w:rPr>
        <w:t xml:space="preserve">failure to pay all rates, taxes, water and electricity charges (municipal charges) in respect of the immovable property constituting an event of default </w:t>
      </w:r>
      <w:r w:rsidR="002F2D41">
        <w:rPr>
          <w:bCs/>
          <w:sz w:val="28"/>
          <w:szCs w:val="28"/>
        </w:rPr>
        <w:t xml:space="preserve">– whether the enforcement of provision in loan agreement between first </w:t>
      </w:r>
      <w:r w:rsidR="004642AC">
        <w:rPr>
          <w:bCs/>
          <w:sz w:val="28"/>
          <w:szCs w:val="28"/>
        </w:rPr>
        <w:t>applicant</w:t>
      </w:r>
      <w:r w:rsidR="002F2D41">
        <w:rPr>
          <w:bCs/>
          <w:sz w:val="28"/>
          <w:szCs w:val="28"/>
        </w:rPr>
        <w:t xml:space="preserve"> and respondent to accelerate payment and to execute against first </w:t>
      </w:r>
      <w:r w:rsidR="004642AC">
        <w:rPr>
          <w:bCs/>
          <w:sz w:val="28"/>
          <w:szCs w:val="28"/>
        </w:rPr>
        <w:t>applicant</w:t>
      </w:r>
      <w:r w:rsidR="002F2D41">
        <w:rPr>
          <w:bCs/>
          <w:sz w:val="28"/>
          <w:szCs w:val="28"/>
        </w:rPr>
        <w:t>’s immovable property</w:t>
      </w:r>
      <w:r w:rsidR="00E4107F">
        <w:rPr>
          <w:bCs/>
          <w:sz w:val="28"/>
          <w:szCs w:val="28"/>
        </w:rPr>
        <w:t xml:space="preserve"> based upon its failure to pay municipal charges</w:t>
      </w:r>
      <w:r w:rsidR="002F2D41">
        <w:rPr>
          <w:bCs/>
          <w:sz w:val="28"/>
          <w:szCs w:val="28"/>
        </w:rPr>
        <w:t xml:space="preserve"> would be unconscionable and contrary to public policy</w:t>
      </w:r>
      <w:r w:rsidR="00C91D9A">
        <w:rPr>
          <w:bCs/>
          <w:sz w:val="28"/>
          <w:szCs w:val="28"/>
        </w:rPr>
        <w:t>.</w:t>
      </w:r>
      <w:r w:rsidR="002F2D41" w:rsidRPr="00C91D9A">
        <w:rPr>
          <w:bCs/>
          <w:sz w:val="28"/>
          <w:szCs w:val="28"/>
          <w:highlight w:val="yellow"/>
        </w:rPr>
        <w:t xml:space="preserve"> </w:t>
      </w:r>
    </w:p>
    <w:p w14:paraId="0FCB15F4" w14:textId="77777777" w:rsidR="00981C4F" w:rsidRDefault="00981C4F" w:rsidP="00E432C0">
      <w:pPr>
        <w:rPr>
          <w:bCs/>
          <w:sz w:val="28"/>
          <w:szCs w:val="28"/>
        </w:rPr>
      </w:pPr>
    </w:p>
    <w:p w14:paraId="7D15F0BA" w14:textId="77777777" w:rsidR="00981C4F" w:rsidRDefault="00981C4F" w:rsidP="00E432C0">
      <w:pPr>
        <w:rPr>
          <w:bCs/>
          <w:sz w:val="28"/>
          <w:szCs w:val="28"/>
        </w:rPr>
      </w:pPr>
    </w:p>
    <w:p w14:paraId="4DC10D86" w14:textId="392E1B89" w:rsidR="00981C4F" w:rsidRDefault="00981C4F" w:rsidP="00E432C0">
      <w:pPr>
        <w:rPr>
          <w:bCs/>
          <w:sz w:val="28"/>
          <w:szCs w:val="28"/>
        </w:rPr>
      </w:pPr>
    </w:p>
    <w:p w14:paraId="0230B48F" w14:textId="77777777" w:rsidR="00981C4F" w:rsidRDefault="00981C4F" w:rsidP="00E432C0">
      <w:pPr>
        <w:rPr>
          <w:bCs/>
          <w:sz w:val="28"/>
          <w:szCs w:val="28"/>
        </w:rPr>
      </w:pPr>
    </w:p>
    <w:p w14:paraId="218B947D" w14:textId="77777777" w:rsidR="00981C4F" w:rsidRDefault="00981C4F" w:rsidP="00E432C0">
      <w:pPr>
        <w:rPr>
          <w:bCs/>
          <w:sz w:val="28"/>
          <w:szCs w:val="28"/>
        </w:rPr>
      </w:pPr>
    </w:p>
    <w:p w14:paraId="02CC3E48" w14:textId="77777777" w:rsidR="00981C4F" w:rsidRDefault="00981C4F" w:rsidP="00E432C0">
      <w:pPr>
        <w:rPr>
          <w:bCs/>
          <w:sz w:val="28"/>
          <w:szCs w:val="28"/>
        </w:rPr>
      </w:pPr>
    </w:p>
    <w:p w14:paraId="707E037B" w14:textId="77777777" w:rsidR="00981C4F" w:rsidRDefault="00981C4F" w:rsidP="00E432C0">
      <w:pPr>
        <w:rPr>
          <w:bCs/>
          <w:sz w:val="28"/>
          <w:szCs w:val="28"/>
        </w:rPr>
      </w:pPr>
    </w:p>
    <w:p w14:paraId="5E2A9E5F" w14:textId="77777777" w:rsidR="00486DF0" w:rsidRDefault="00486DF0" w:rsidP="002463CC">
      <w:pPr>
        <w:pBdr>
          <w:top w:val="single" w:sz="4" w:space="1" w:color="auto"/>
          <w:bottom w:val="single" w:sz="4" w:space="1" w:color="auto"/>
        </w:pBdr>
        <w:spacing w:line="240" w:lineRule="auto"/>
        <w:jc w:val="center"/>
        <w:rPr>
          <w:b/>
          <w:iCs/>
          <w:sz w:val="28"/>
          <w:szCs w:val="28"/>
          <w:lang w:val="en-GB"/>
        </w:rPr>
      </w:pPr>
    </w:p>
    <w:p w14:paraId="6E1812D2" w14:textId="39B73432" w:rsidR="00BF09AC" w:rsidRDefault="00BF09AC" w:rsidP="002463CC">
      <w:pPr>
        <w:pBdr>
          <w:top w:val="single" w:sz="4" w:space="1" w:color="auto"/>
          <w:bottom w:val="single" w:sz="4" w:space="1" w:color="auto"/>
        </w:pBdr>
        <w:spacing w:line="240" w:lineRule="auto"/>
        <w:jc w:val="center"/>
        <w:rPr>
          <w:b/>
          <w:iCs/>
          <w:sz w:val="28"/>
          <w:szCs w:val="28"/>
          <w:lang w:val="en-GB"/>
        </w:rPr>
      </w:pPr>
      <w:r>
        <w:rPr>
          <w:b/>
          <w:iCs/>
          <w:sz w:val="28"/>
          <w:szCs w:val="28"/>
          <w:lang w:val="en-GB"/>
        </w:rPr>
        <w:t>ORDER</w:t>
      </w:r>
    </w:p>
    <w:p w14:paraId="445A3ACE" w14:textId="77777777" w:rsidR="00E432C0" w:rsidRPr="00E432C0" w:rsidRDefault="00E432C0" w:rsidP="002463CC">
      <w:pPr>
        <w:pBdr>
          <w:top w:val="single" w:sz="4" w:space="1" w:color="auto"/>
          <w:bottom w:val="single" w:sz="4" w:space="1" w:color="auto"/>
        </w:pBdr>
        <w:spacing w:line="240" w:lineRule="auto"/>
        <w:jc w:val="center"/>
        <w:rPr>
          <w:b/>
          <w:iCs/>
          <w:sz w:val="28"/>
          <w:szCs w:val="28"/>
          <w:lang w:val="en-GB"/>
        </w:rPr>
      </w:pPr>
    </w:p>
    <w:p w14:paraId="5F7E1DC7" w14:textId="77777777" w:rsidR="0092554A" w:rsidRDefault="0092554A" w:rsidP="0092554A">
      <w:pPr>
        <w:rPr>
          <w:b/>
          <w:sz w:val="28"/>
          <w:szCs w:val="28"/>
        </w:rPr>
      </w:pPr>
    </w:p>
    <w:p w14:paraId="3DE48742" w14:textId="445CF57D" w:rsidR="008643A7" w:rsidRPr="008643A7" w:rsidRDefault="00BF09AC" w:rsidP="0092554A">
      <w:pPr>
        <w:rPr>
          <w:sz w:val="28"/>
          <w:szCs w:val="28"/>
        </w:rPr>
      </w:pPr>
      <w:r w:rsidRPr="00BF09AC">
        <w:rPr>
          <w:b/>
          <w:sz w:val="28"/>
          <w:szCs w:val="28"/>
        </w:rPr>
        <w:t>On appeal from:</w:t>
      </w:r>
      <w:r w:rsidRPr="00BF09AC">
        <w:rPr>
          <w:sz w:val="28"/>
          <w:szCs w:val="28"/>
        </w:rPr>
        <w:t xml:space="preserve"> </w:t>
      </w:r>
      <w:r w:rsidR="00916476">
        <w:rPr>
          <w:sz w:val="28"/>
          <w:szCs w:val="28"/>
        </w:rPr>
        <w:t>Gauteng Division High Court, Johannesburg</w:t>
      </w:r>
      <w:r w:rsidRPr="00BF09AC">
        <w:rPr>
          <w:sz w:val="28"/>
          <w:szCs w:val="28"/>
        </w:rPr>
        <w:t xml:space="preserve"> (</w:t>
      </w:r>
      <w:r w:rsidR="002F2D41">
        <w:rPr>
          <w:sz w:val="28"/>
          <w:szCs w:val="28"/>
        </w:rPr>
        <w:t xml:space="preserve">Matojane </w:t>
      </w:r>
      <w:r w:rsidR="00916476">
        <w:rPr>
          <w:sz w:val="28"/>
          <w:szCs w:val="28"/>
        </w:rPr>
        <w:t>J</w:t>
      </w:r>
      <w:r w:rsidR="00790868">
        <w:rPr>
          <w:sz w:val="28"/>
          <w:szCs w:val="28"/>
        </w:rPr>
        <w:t xml:space="preserve"> </w:t>
      </w:r>
      <w:proofErr w:type="spellStart"/>
      <w:r w:rsidR="00790868">
        <w:rPr>
          <w:sz w:val="28"/>
          <w:szCs w:val="28"/>
        </w:rPr>
        <w:t>Molahlehi</w:t>
      </w:r>
      <w:proofErr w:type="spellEnd"/>
      <w:r w:rsidR="00790868">
        <w:rPr>
          <w:sz w:val="28"/>
          <w:szCs w:val="28"/>
        </w:rPr>
        <w:t xml:space="preserve"> J and </w:t>
      </w:r>
      <w:proofErr w:type="spellStart"/>
      <w:r w:rsidR="00790868">
        <w:rPr>
          <w:sz w:val="28"/>
          <w:szCs w:val="28"/>
        </w:rPr>
        <w:t>Strydom</w:t>
      </w:r>
      <w:proofErr w:type="spellEnd"/>
      <w:r w:rsidR="00790868">
        <w:rPr>
          <w:sz w:val="28"/>
          <w:szCs w:val="28"/>
        </w:rPr>
        <w:t xml:space="preserve"> J sitting as a full court</w:t>
      </w:r>
      <w:r w:rsidRPr="00BF09AC">
        <w:rPr>
          <w:sz w:val="28"/>
          <w:szCs w:val="28"/>
        </w:rPr>
        <w:t xml:space="preserve">): </w:t>
      </w:r>
    </w:p>
    <w:p w14:paraId="3E957F19" w14:textId="77777777" w:rsidR="00927B83" w:rsidRPr="002B2AEE" w:rsidRDefault="00927B83" w:rsidP="00927B83">
      <w:pPr>
        <w:rPr>
          <w:sz w:val="28"/>
          <w:szCs w:val="28"/>
        </w:rPr>
      </w:pPr>
      <w:r>
        <w:rPr>
          <w:sz w:val="28"/>
          <w:szCs w:val="28"/>
        </w:rPr>
        <w:t>The application for special leave is dismissed with costs on an attorney and client scale, such costs to include the costs of two counsel.</w:t>
      </w:r>
    </w:p>
    <w:p w14:paraId="0280AE5F" w14:textId="77777777" w:rsidR="0001238C" w:rsidRDefault="0001238C" w:rsidP="00A40A90">
      <w:pPr>
        <w:spacing w:line="240" w:lineRule="auto"/>
        <w:rPr>
          <w:sz w:val="28"/>
          <w:szCs w:val="28"/>
          <w:lang w:val="en-GB"/>
        </w:rPr>
      </w:pPr>
    </w:p>
    <w:p w14:paraId="6F7E28DF" w14:textId="77777777" w:rsidR="00BF09AC" w:rsidRPr="00BF09AC" w:rsidRDefault="00BF09AC" w:rsidP="00486DF0">
      <w:pPr>
        <w:rPr>
          <w:sz w:val="28"/>
          <w:szCs w:val="28"/>
          <w:lang w:val="en-GB"/>
        </w:rPr>
      </w:pPr>
      <w:r w:rsidRPr="00BF09AC">
        <w:rPr>
          <w:noProof/>
          <w:sz w:val="28"/>
          <w:szCs w:val="28"/>
          <w:lang w:eastAsia="en-ZA"/>
        </w:rPr>
        <mc:AlternateContent>
          <mc:Choice Requires="wps">
            <w:drawing>
              <wp:anchor distT="4294967291" distB="4294967291" distL="114300" distR="114300" simplePos="0" relativeHeight="251663360" behindDoc="0" locked="0" layoutInCell="1" allowOverlap="1" wp14:anchorId="1234FDE3" wp14:editId="71CD9FD0">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8AE286E"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" strokecolor="black [3200]" strokeweight=".5pt">
                <v:stroke joinstyle="miter"/>
                <o:lock v:ext="edit" shapetype="f"/>
              </v:line>
            </w:pict>
          </mc:Fallback>
        </mc:AlternateContent>
      </w:r>
      <w:r w:rsidRPr="00BF09AC">
        <w:rPr>
          <w:noProof/>
          <w:sz w:val="28"/>
          <w:szCs w:val="28"/>
          <w:lang w:eastAsia="en-ZA"/>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7ED60FD"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">
                <o:lock v:ext="edit" shapetype="f"/>
              </v:line>
            </w:pict>
          </mc:Fallback>
        </mc:AlternateContent>
      </w:r>
    </w:p>
    <w:p w14:paraId="6251B248" w14:textId="027CF94F" w:rsidR="00EE38C8" w:rsidRDefault="00BF09AC" w:rsidP="00267ACE">
      <w:pPr>
        <w:spacing w:line="240" w:lineRule="auto"/>
        <w:jc w:val="center"/>
        <w:rPr>
          <w:b/>
          <w:iCs/>
          <w:sz w:val="28"/>
          <w:szCs w:val="28"/>
          <w:lang w:val="en-GB"/>
        </w:rPr>
      </w:pPr>
      <w:r w:rsidRPr="00BF09AC">
        <w:rPr>
          <w:b/>
          <w:iCs/>
          <w:sz w:val="28"/>
          <w:szCs w:val="28"/>
          <w:lang w:val="en-GB"/>
        </w:rPr>
        <w:t>JUDGMENT</w:t>
      </w:r>
    </w:p>
    <w:p w14:paraId="642357D2" w14:textId="77777777" w:rsidR="00916476" w:rsidRPr="00916476" w:rsidRDefault="00916476" w:rsidP="00267ACE">
      <w:pPr>
        <w:pBdr>
          <w:bottom w:val="single" w:sz="4" w:space="1" w:color="auto"/>
        </w:pBdr>
        <w:spacing w:line="240" w:lineRule="auto"/>
        <w:jc w:val="center"/>
        <w:rPr>
          <w:b/>
          <w:iCs/>
          <w:sz w:val="28"/>
          <w:szCs w:val="28"/>
          <w:lang w:val="en-GB"/>
        </w:rPr>
      </w:pPr>
    </w:p>
    <w:p w14:paraId="5BA921A7" w14:textId="77777777" w:rsidR="00916476" w:rsidRDefault="00916476" w:rsidP="0092554A">
      <w:pPr>
        <w:rPr>
          <w:b/>
          <w:sz w:val="28"/>
          <w:szCs w:val="28"/>
          <w:lang w:val="en-GB"/>
        </w:rPr>
      </w:pPr>
    </w:p>
    <w:p w14:paraId="514E36A2" w14:textId="17B2514E" w:rsidR="005A0622" w:rsidRPr="00747ACB" w:rsidRDefault="00A40A90" w:rsidP="007A25B4">
      <w:pPr>
        <w:rPr>
          <w:b/>
          <w:sz w:val="28"/>
          <w:szCs w:val="28"/>
        </w:rPr>
      </w:pPr>
      <w:r>
        <w:rPr>
          <w:b/>
          <w:sz w:val="28"/>
          <w:szCs w:val="28"/>
          <w:lang w:val="en-GB"/>
        </w:rPr>
        <w:t>Seegobin</w:t>
      </w:r>
      <w:r w:rsidR="00916476">
        <w:rPr>
          <w:b/>
          <w:sz w:val="28"/>
          <w:szCs w:val="28"/>
          <w:lang w:val="en-GB"/>
        </w:rPr>
        <w:t xml:space="preserve"> AJA</w:t>
      </w:r>
      <w:r w:rsidR="0031085B" w:rsidRPr="00747ACB">
        <w:rPr>
          <w:b/>
          <w:sz w:val="28"/>
          <w:szCs w:val="28"/>
          <w:lang w:val="en-GB"/>
        </w:rPr>
        <w:t xml:space="preserve"> (</w:t>
      </w:r>
      <w:proofErr w:type="spellStart"/>
      <w:r w:rsidR="00216904">
        <w:rPr>
          <w:b/>
          <w:sz w:val="28"/>
          <w:szCs w:val="28"/>
          <w:lang w:val="en-GB"/>
        </w:rPr>
        <w:t>Gorven</w:t>
      </w:r>
      <w:proofErr w:type="spellEnd"/>
      <w:r w:rsidR="00216904">
        <w:rPr>
          <w:b/>
          <w:sz w:val="28"/>
          <w:szCs w:val="28"/>
          <w:lang w:val="en-GB"/>
        </w:rPr>
        <w:t xml:space="preserve">, Weiner and Kgoele JJA and </w:t>
      </w:r>
      <w:proofErr w:type="spellStart"/>
      <w:r w:rsidR="00216904">
        <w:rPr>
          <w:b/>
          <w:sz w:val="28"/>
          <w:szCs w:val="28"/>
          <w:lang w:val="en-GB"/>
        </w:rPr>
        <w:t>Baartman</w:t>
      </w:r>
      <w:proofErr w:type="spellEnd"/>
      <w:r w:rsidR="00216904">
        <w:rPr>
          <w:b/>
          <w:sz w:val="28"/>
          <w:szCs w:val="28"/>
          <w:lang w:val="en-GB"/>
        </w:rPr>
        <w:t xml:space="preserve"> AJA</w:t>
      </w:r>
      <w:r w:rsidR="00013D06" w:rsidRPr="00747ACB">
        <w:rPr>
          <w:b/>
          <w:sz w:val="28"/>
          <w:szCs w:val="28"/>
          <w:lang w:val="en-GB"/>
        </w:rPr>
        <w:t xml:space="preserve"> </w:t>
      </w:r>
      <w:r w:rsidR="0031085B" w:rsidRPr="00747ACB">
        <w:rPr>
          <w:b/>
          <w:sz w:val="28"/>
          <w:szCs w:val="28"/>
          <w:lang w:val="en-GB"/>
        </w:rPr>
        <w:t>concurring):</w:t>
      </w:r>
    </w:p>
    <w:p w14:paraId="4092C8F5" w14:textId="77777777" w:rsidR="0031085B" w:rsidRPr="00747ACB" w:rsidRDefault="0031085B" w:rsidP="0031085B">
      <w:pPr>
        <w:rPr>
          <w:b/>
          <w:sz w:val="28"/>
          <w:szCs w:val="28"/>
        </w:rPr>
      </w:pPr>
      <w:r w:rsidRPr="00747ACB">
        <w:rPr>
          <w:b/>
          <w:sz w:val="28"/>
          <w:szCs w:val="28"/>
        </w:rPr>
        <w:t>Introduction</w:t>
      </w:r>
    </w:p>
    <w:p w14:paraId="2F959F9B" w14:textId="2C0C9499" w:rsidR="002F2D41" w:rsidRDefault="00495A76" w:rsidP="002F2D41">
      <w:pPr>
        <w:rPr>
          <w:sz w:val="28"/>
          <w:szCs w:val="28"/>
        </w:rPr>
      </w:pPr>
      <w:r>
        <w:rPr>
          <w:sz w:val="28"/>
          <w:szCs w:val="28"/>
        </w:rPr>
        <w:t>[1]</w:t>
      </w:r>
      <w:r>
        <w:rPr>
          <w:sz w:val="28"/>
          <w:szCs w:val="28"/>
        </w:rPr>
        <w:tab/>
      </w:r>
      <w:r w:rsidR="006369E9">
        <w:rPr>
          <w:sz w:val="28"/>
          <w:szCs w:val="28"/>
        </w:rPr>
        <w:t xml:space="preserve">On 5 March 2020 the respondent, </w:t>
      </w:r>
      <w:proofErr w:type="spellStart"/>
      <w:r w:rsidR="006369E9">
        <w:rPr>
          <w:sz w:val="28"/>
          <w:szCs w:val="28"/>
        </w:rPr>
        <w:t>Tufh</w:t>
      </w:r>
      <w:proofErr w:type="spellEnd"/>
      <w:r w:rsidR="006369E9">
        <w:rPr>
          <w:sz w:val="28"/>
          <w:szCs w:val="28"/>
        </w:rPr>
        <w:t xml:space="preserve"> Limited</w:t>
      </w:r>
      <w:r w:rsidR="003E437E">
        <w:rPr>
          <w:sz w:val="28"/>
          <w:szCs w:val="28"/>
        </w:rPr>
        <w:t xml:space="preserve"> (</w:t>
      </w:r>
      <w:proofErr w:type="spellStart"/>
      <w:r w:rsidR="003E437E">
        <w:rPr>
          <w:sz w:val="28"/>
          <w:szCs w:val="28"/>
        </w:rPr>
        <w:t>Tufh</w:t>
      </w:r>
      <w:proofErr w:type="spellEnd"/>
      <w:r w:rsidR="003E437E">
        <w:rPr>
          <w:sz w:val="28"/>
          <w:szCs w:val="28"/>
        </w:rPr>
        <w:t>)</w:t>
      </w:r>
      <w:r w:rsidR="006369E9">
        <w:rPr>
          <w:sz w:val="28"/>
          <w:szCs w:val="28"/>
        </w:rPr>
        <w:t>, brought an application against the applicants in the Gauteng Division of the High Court, Johannesburg, in which it sought, as its primary relief, payment of the sum of R4 897 004.22 together with interest and costs as well as the foreclosure of a mortgage bond executed by the first applicant</w:t>
      </w:r>
      <w:r w:rsidR="003E437E">
        <w:rPr>
          <w:sz w:val="28"/>
          <w:szCs w:val="28"/>
        </w:rPr>
        <w:t xml:space="preserve">, 68 </w:t>
      </w:r>
      <w:proofErr w:type="spellStart"/>
      <w:r w:rsidR="003E437E">
        <w:rPr>
          <w:sz w:val="28"/>
          <w:szCs w:val="28"/>
        </w:rPr>
        <w:t>Wolmarans</w:t>
      </w:r>
      <w:proofErr w:type="spellEnd"/>
      <w:r w:rsidR="003E437E">
        <w:rPr>
          <w:sz w:val="28"/>
          <w:szCs w:val="28"/>
        </w:rPr>
        <w:t xml:space="preserve"> Street Johannesburg (Pty) Ltd (</w:t>
      </w:r>
      <w:proofErr w:type="spellStart"/>
      <w:r w:rsidR="003E437E">
        <w:rPr>
          <w:sz w:val="28"/>
          <w:szCs w:val="28"/>
        </w:rPr>
        <w:t>Wolmarans</w:t>
      </w:r>
      <w:proofErr w:type="spellEnd"/>
      <w:r w:rsidR="003E437E">
        <w:rPr>
          <w:sz w:val="28"/>
          <w:szCs w:val="28"/>
        </w:rPr>
        <w:t>)</w:t>
      </w:r>
      <w:r w:rsidR="002463CC">
        <w:rPr>
          <w:sz w:val="28"/>
          <w:szCs w:val="28"/>
        </w:rPr>
        <w:t>,</w:t>
      </w:r>
      <w:r w:rsidR="006369E9">
        <w:rPr>
          <w:sz w:val="28"/>
          <w:szCs w:val="28"/>
        </w:rPr>
        <w:t xml:space="preserve"> in favour of </w:t>
      </w:r>
      <w:proofErr w:type="spellStart"/>
      <w:r w:rsidR="003E437E">
        <w:rPr>
          <w:sz w:val="28"/>
          <w:szCs w:val="28"/>
        </w:rPr>
        <w:t>Tufh</w:t>
      </w:r>
      <w:proofErr w:type="spellEnd"/>
      <w:r w:rsidR="006369E9">
        <w:rPr>
          <w:sz w:val="28"/>
          <w:szCs w:val="28"/>
        </w:rPr>
        <w:t>.</w:t>
      </w:r>
    </w:p>
    <w:p w14:paraId="3C681D97" w14:textId="77777777" w:rsidR="00A35E94" w:rsidRDefault="00A35E94" w:rsidP="002F2D41">
      <w:pPr>
        <w:rPr>
          <w:sz w:val="28"/>
          <w:szCs w:val="28"/>
        </w:rPr>
      </w:pPr>
    </w:p>
    <w:p w14:paraId="2AD583C0" w14:textId="3C2EF982" w:rsidR="00A35E94" w:rsidRDefault="00A35E94" w:rsidP="002F2D41">
      <w:pPr>
        <w:rPr>
          <w:sz w:val="28"/>
          <w:szCs w:val="28"/>
        </w:rPr>
      </w:pPr>
      <w:r>
        <w:rPr>
          <w:sz w:val="28"/>
          <w:szCs w:val="28"/>
        </w:rPr>
        <w:t>[2]</w:t>
      </w:r>
      <w:r>
        <w:rPr>
          <w:sz w:val="28"/>
          <w:szCs w:val="28"/>
        </w:rPr>
        <w:tab/>
        <w:t xml:space="preserve">The application served before </w:t>
      </w:r>
      <w:proofErr w:type="spellStart"/>
      <w:r>
        <w:rPr>
          <w:sz w:val="28"/>
          <w:szCs w:val="28"/>
        </w:rPr>
        <w:t>Senyatsi</w:t>
      </w:r>
      <w:proofErr w:type="spellEnd"/>
      <w:r>
        <w:rPr>
          <w:sz w:val="28"/>
          <w:szCs w:val="28"/>
        </w:rPr>
        <w:t xml:space="preserve"> J (the court </w:t>
      </w:r>
      <w:r w:rsidR="00E95B83">
        <w:rPr>
          <w:sz w:val="28"/>
          <w:szCs w:val="28"/>
        </w:rPr>
        <w:t>of first instance</w:t>
      </w:r>
      <w:r>
        <w:rPr>
          <w:sz w:val="28"/>
          <w:szCs w:val="28"/>
        </w:rPr>
        <w:t xml:space="preserve">) </w:t>
      </w:r>
      <w:r w:rsidR="00326573">
        <w:rPr>
          <w:sz w:val="28"/>
          <w:szCs w:val="28"/>
        </w:rPr>
        <w:t xml:space="preserve">who dismissed the application with costs on 17 September 2021. </w:t>
      </w:r>
      <w:proofErr w:type="spellStart"/>
      <w:r w:rsidR="003E437E">
        <w:rPr>
          <w:sz w:val="28"/>
          <w:szCs w:val="28"/>
        </w:rPr>
        <w:t>Tufh</w:t>
      </w:r>
      <w:proofErr w:type="spellEnd"/>
      <w:r w:rsidR="00326573">
        <w:rPr>
          <w:sz w:val="28"/>
          <w:szCs w:val="28"/>
        </w:rPr>
        <w:t xml:space="preserve"> applied for and was granted leave to appeal the judgment of the court </w:t>
      </w:r>
      <w:r w:rsidR="00E95B83">
        <w:rPr>
          <w:sz w:val="28"/>
          <w:szCs w:val="28"/>
        </w:rPr>
        <w:t>of first instance</w:t>
      </w:r>
      <w:r w:rsidR="00326573">
        <w:rPr>
          <w:sz w:val="28"/>
          <w:szCs w:val="28"/>
        </w:rPr>
        <w:t xml:space="preserve"> to the full court of the Gauteng Division of the High Court, Johannesburg. The full court (Matojane, </w:t>
      </w:r>
      <w:proofErr w:type="spellStart"/>
      <w:r w:rsidR="00326573">
        <w:rPr>
          <w:sz w:val="28"/>
          <w:szCs w:val="28"/>
        </w:rPr>
        <w:t>Molahlehi</w:t>
      </w:r>
      <w:proofErr w:type="spellEnd"/>
      <w:r w:rsidR="00326573">
        <w:rPr>
          <w:sz w:val="28"/>
          <w:szCs w:val="28"/>
        </w:rPr>
        <w:t xml:space="preserve"> and </w:t>
      </w:r>
      <w:proofErr w:type="spellStart"/>
      <w:r w:rsidR="00326573">
        <w:rPr>
          <w:sz w:val="28"/>
          <w:szCs w:val="28"/>
        </w:rPr>
        <w:t>Strydom</w:t>
      </w:r>
      <w:proofErr w:type="spellEnd"/>
      <w:r w:rsidR="00326573">
        <w:rPr>
          <w:sz w:val="28"/>
          <w:szCs w:val="28"/>
        </w:rPr>
        <w:t xml:space="preserve"> JJ) upheld the appeal</w:t>
      </w:r>
      <w:r w:rsidR="006D282E">
        <w:rPr>
          <w:sz w:val="28"/>
          <w:szCs w:val="28"/>
        </w:rPr>
        <w:t>,</w:t>
      </w:r>
      <w:r w:rsidR="00326573">
        <w:rPr>
          <w:sz w:val="28"/>
          <w:szCs w:val="28"/>
        </w:rPr>
        <w:t xml:space="preserve"> set aside the judgment and </w:t>
      </w:r>
      <w:r w:rsidR="00326573">
        <w:rPr>
          <w:sz w:val="28"/>
          <w:szCs w:val="28"/>
        </w:rPr>
        <w:lastRenderedPageBreak/>
        <w:t xml:space="preserve">order of the court </w:t>
      </w:r>
      <w:r w:rsidR="00E95B83">
        <w:rPr>
          <w:sz w:val="28"/>
          <w:szCs w:val="28"/>
        </w:rPr>
        <w:t>of first instance</w:t>
      </w:r>
      <w:r w:rsidR="006D282E">
        <w:rPr>
          <w:sz w:val="28"/>
          <w:szCs w:val="28"/>
        </w:rPr>
        <w:t xml:space="preserve"> and essentially substituted </w:t>
      </w:r>
      <w:r w:rsidR="00C43F7F">
        <w:rPr>
          <w:sz w:val="28"/>
          <w:szCs w:val="28"/>
        </w:rPr>
        <w:t>it with an order</w:t>
      </w:r>
      <w:r w:rsidR="001F2B72">
        <w:rPr>
          <w:sz w:val="28"/>
          <w:szCs w:val="28"/>
        </w:rPr>
        <w:t xml:space="preserve"> sought by </w:t>
      </w:r>
      <w:proofErr w:type="spellStart"/>
      <w:r w:rsidR="001F2B72">
        <w:rPr>
          <w:sz w:val="28"/>
          <w:szCs w:val="28"/>
        </w:rPr>
        <w:t>Tufh</w:t>
      </w:r>
      <w:proofErr w:type="spellEnd"/>
      <w:r w:rsidR="00326573">
        <w:rPr>
          <w:sz w:val="28"/>
          <w:szCs w:val="28"/>
        </w:rPr>
        <w:t>.</w:t>
      </w:r>
    </w:p>
    <w:p w14:paraId="1F6483E9" w14:textId="77777777" w:rsidR="00326573" w:rsidRDefault="00326573" w:rsidP="002F2D41">
      <w:pPr>
        <w:rPr>
          <w:sz w:val="28"/>
          <w:szCs w:val="28"/>
        </w:rPr>
      </w:pPr>
    </w:p>
    <w:p w14:paraId="6E255231" w14:textId="4AF2F56C" w:rsidR="00326573" w:rsidRPr="00326573" w:rsidRDefault="00326573" w:rsidP="002F2D41">
      <w:pPr>
        <w:rPr>
          <w:sz w:val="28"/>
          <w:szCs w:val="28"/>
        </w:rPr>
      </w:pPr>
      <w:r>
        <w:rPr>
          <w:sz w:val="28"/>
          <w:szCs w:val="28"/>
        </w:rPr>
        <w:t>[3]</w:t>
      </w:r>
      <w:r>
        <w:rPr>
          <w:sz w:val="28"/>
          <w:szCs w:val="28"/>
        </w:rPr>
        <w:tab/>
        <w:t>On 5 December 2022</w:t>
      </w:r>
      <w:r w:rsidR="00960989">
        <w:rPr>
          <w:sz w:val="28"/>
          <w:szCs w:val="28"/>
        </w:rPr>
        <w:t>,</w:t>
      </w:r>
      <w:r>
        <w:rPr>
          <w:sz w:val="28"/>
          <w:szCs w:val="28"/>
        </w:rPr>
        <w:t xml:space="preserve"> the applicants applied for special leave to this </w:t>
      </w:r>
      <w:r w:rsidR="007A25B4">
        <w:rPr>
          <w:sz w:val="28"/>
          <w:szCs w:val="28"/>
        </w:rPr>
        <w:t>C</w:t>
      </w:r>
      <w:r>
        <w:rPr>
          <w:sz w:val="28"/>
          <w:szCs w:val="28"/>
        </w:rPr>
        <w:t>ourt in terms of s 16(1)</w:t>
      </w:r>
      <w:r w:rsidRPr="004F4474">
        <w:rPr>
          <w:i/>
          <w:iCs/>
          <w:sz w:val="28"/>
          <w:szCs w:val="28"/>
        </w:rPr>
        <w:t>(b)</w:t>
      </w:r>
      <w:r>
        <w:rPr>
          <w:sz w:val="28"/>
          <w:szCs w:val="28"/>
        </w:rPr>
        <w:t xml:space="preserve"> of the Superior Courts Act 10 of 2013 (the Superior Courts Act) to appeal the judgment and order of the full court. On 5 April 2023</w:t>
      </w:r>
      <w:r w:rsidR="00960989">
        <w:rPr>
          <w:sz w:val="28"/>
          <w:szCs w:val="28"/>
        </w:rPr>
        <w:t>,</w:t>
      </w:r>
      <w:r>
        <w:rPr>
          <w:sz w:val="28"/>
          <w:szCs w:val="28"/>
        </w:rPr>
        <w:t xml:space="preserve"> this </w:t>
      </w:r>
      <w:r w:rsidR="007A25B4">
        <w:rPr>
          <w:sz w:val="28"/>
          <w:szCs w:val="28"/>
        </w:rPr>
        <w:t>C</w:t>
      </w:r>
      <w:r>
        <w:rPr>
          <w:sz w:val="28"/>
          <w:szCs w:val="28"/>
        </w:rPr>
        <w:t>ourt referred the application for special leave for oral argument in terms of s 17(2</w:t>
      </w:r>
      <w:proofErr w:type="gramStart"/>
      <w:r>
        <w:rPr>
          <w:sz w:val="28"/>
          <w:szCs w:val="28"/>
        </w:rPr>
        <w:t>)</w:t>
      </w:r>
      <w:r w:rsidRPr="004F4474">
        <w:rPr>
          <w:i/>
          <w:iCs/>
          <w:sz w:val="28"/>
          <w:szCs w:val="28"/>
        </w:rPr>
        <w:t>(</w:t>
      </w:r>
      <w:proofErr w:type="gramEnd"/>
      <w:r w:rsidRPr="004F4474">
        <w:rPr>
          <w:i/>
          <w:iCs/>
          <w:sz w:val="28"/>
          <w:szCs w:val="28"/>
        </w:rPr>
        <w:t>d)</w:t>
      </w:r>
      <w:r>
        <w:rPr>
          <w:sz w:val="28"/>
          <w:szCs w:val="28"/>
        </w:rPr>
        <w:t xml:space="preserve"> of the Superior Courts Act. The parties were further advised that they should be prepared to argue the merits of the appeal should they be called upon to do so.</w:t>
      </w:r>
    </w:p>
    <w:p w14:paraId="7ECA5262" w14:textId="77777777" w:rsidR="00A35E94" w:rsidRDefault="00A35E94" w:rsidP="002F2D41">
      <w:pPr>
        <w:rPr>
          <w:sz w:val="28"/>
          <w:szCs w:val="28"/>
        </w:rPr>
      </w:pPr>
    </w:p>
    <w:p w14:paraId="08E25EA7" w14:textId="073AEC67" w:rsidR="00224930" w:rsidRPr="00224930" w:rsidRDefault="00224930" w:rsidP="002F2D41">
      <w:pPr>
        <w:rPr>
          <w:b/>
          <w:sz w:val="28"/>
          <w:szCs w:val="28"/>
        </w:rPr>
      </w:pPr>
      <w:r>
        <w:rPr>
          <w:b/>
          <w:sz w:val="28"/>
          <w:szCs w:val="28"/>
        </w:rPr>
        <w:t>Relevant background</w:t>
      </w:r>
    </w:p>
    <w:p w14:paraId="6DECF1B3" w14:textId="3869342E" w:rsidR="00A35E94" w:rsidRPr="00224930" w:rsidRDefault="00A35E94" w:rsidP="002F2D41">
      <w:pPr>
        <w:rPr>
          <w:sz w:val="28"/>
          <w:szCs w:val="28"/>
        </w:rPr>
      </w:pPr>
      <w:r>
        <w:rPr>
          <w:sz w:val="28"/>
          <w:szCs w:val="28"/>
        </w:rPr>
        <w:t>[4]</w:t>
      </w:r>
      <w:r>
        <w:rPr>
          <w:sz w:val="28"/>
          <w:szCs w:val="28"/>
        </w:rPr>
        <w:tab/>
      </w:r>
      <w:r w:rsidR="003E437E">
        <w:rPr>
          <w:sz w:val="28"/>
          <w:szCs w:val="28"/>
        </w:rPr>
        <w:t xml:space="preserve"> </w:t>
      </w:r>
      <w:proofErr w:type="spellStart"/>
      <w:r w:rsidR="003E437E">
        <w:rPr>
          <w:sz w:val="28"/>
          <w:szCs w:val="28"/>
        </w:rPr>
        <w:t>Tufh</w:t>
      </w:r>
      <w:proofErr w:type="spellEnd"/>
      <w:r w:rsidR="003E437E">
        <w:rPr>
          <w:sz w:val="28"/>
          <w:szCs w:val="28"/>
        </w:rPr>
        <w:t xml:space="preserve"> </w:t>
      </w:r>
      <w:r w:rsidR="00224930">
        <w:rPr>
          <w:sz w:val="28"/>
          <w:szCs w:val="28"/>
        </w:rPr>
        <w:t xml:space="preserve">is a public company with limited liability. </w:t>
      </w:r>
      <w:r w:rsidR="003E437E">
        <w:rPr>
          <w:sz w:val="28"/>
          <w:szCs w:val="28"/>
        </w:rPr>
        <w:t xml:space="preserve"> It</w:t>
      </w:r>
      <w:r w:rsidR="00224930">
        <w:rPr>
          <w:sz w:val="28"/>
          <w:szCs w:val="28"/>
        </w:rPr>
        <w:t xml:space="preserve"> </w:t>
      </w:r>
      <w:r w:rsidR="006369E9">
        <w:rPr>
          <w:sz w:val="28"/>
          <w:szCs w:val="28"/>
        </w:rPr>
        <w:t xml:space="preserve">is </w:t>
      </w:r>
      <w:r w:rsidR="00224930">
        <w:rPr>
          <w:sz w:val="28"/>
          <w:szCs w:val="28"/>
        </w:rPr>
        <w:t xml:space="preserve">engaged in the business of providing its clients with, amongst other things, single loan facilities that would </w:t>
      </w:r>
      <w:r w:rsidR="006369E9">
        <w:rPr>
          <w:sz w:val="28"/>
          <w:szCs w:val="28"/>
        </w:rPr>
        <w:t>afford them</w:t>
      </w:r>
      <w:r w:rsidR="00224930">
        <w:rPr>
          <w:sz w:val="28"/>
          <w:szCs w:val="28"/>
        </w:rPr>
        <w:t xml:space="preserve"> access to finance which in turn would allow them to purchase and subsequently convert or refurbish buildings in the inner cities of South Africa to affordable residential units that would be available for rental.</w:t>
      </w:r>
    </w:p>
    <w:p w14:paraId="3C888754" w14:textId="77777777" w:rsidR="00A35E94" w:rsidRDefault="00A35E94" w:rsidP="002F2D41">
      <w:pPr>
        <w:rPr>
          <w:sz w:val="28"/>
          <w:szCs w:val="28"/>
        </w:rPr>
      </w:pPr>
    </w:p>
    <w:p w14:paraId="25F71C10" w14:textId="422068CA" w:rsidR="00A63ECE" w:rsidRDefault="00A35E94" w:rsidP="002F2D41">
      <w:pPr>
        <w:rPr>
          <w:sz w:val="28"/>
          <w:szCs w:val="28"/>
        </w:rPr>
      </w:pPr>
      <w:r>
        <w:rPr>
          <w:sz w:val="28"/>
          <w:szCs w:val="28"/>
        </w:rPr>
        <w:t>[5]</w:t>
      </w:r>
      <w:r>
        <w:rPr>
          <w:sz w:val="28"/>
          <w:szCs w:val="28"/>
        </w:rPr>
        <w:tab/>
      </w:r>
      <w:proofErr w:type="spellStart"/>
      <w:r w:rsidR="00330855">
        <w:rPr>
          <w:sz w:val="28"/>
          <w:szCs w:val="28"/>
        </w:rPr>
        <w:t>Wolmarans</w:t>
      </w:r>
      <w:proofErr w:type="spellEnd"/>
      <w:r w:rsidR="00330855">
        <w:rPr>
          <w:sz w:val="28"/>
          <w:szCs w:val="28"/>
        </w:rPr>
        <w:t xml:space="preserve"> is the registered owner of an immovable property situate</w:t>
      </w:r>
      <w:r w:rsidR="007A25B4">
        <w:rPr>
          <w:sz w:val="28"/>
          <w:szCs w:val="28"/>
        </w:rPr>
        <w:t>d</w:t>
      </w:r>
      <w:r w:rsidR="00330855">
        <w:rPr>
          <w:sz w:val="28"/>
          <w:szCs w:val="28"/>
        </w:rPr>
        <w:t xml:space="preserve"> at 68 </w:t>
      </w:r>
      <w:proofErr w:type="spellStart"/>
      <w:r w:rsidR="00330855">
        <w:rPr>
          <w:sz w:val="28"/>
          <w:szCs w:val="28"/>
        </w:rPr>
        <w:t>Wolmarans</w:t>
      </w:r>
      <w:proofErr w:type="spellEnd"/>
      <w:r w:rsidR="00330855">
        <w:rPr>
          <w:sz w:val="28"/>
          <w:szCs w:val="28"/>
        </w:rPr>
        <w:t xml:space="preserve"> Street, </w:t>
      </w:r>
      <w:proofErr w:type="spellStart"/>
      <w:r w:rsidR="00330855">
        <w:rPr>
          <w:sz w:val="28"/>
          <w:szCs w:val="28"/>
        </w:rPr>
        <w:t>Hillbrow</w:t>
      </w:r>
      <w:proofErr w:type="spellEnd"/>
      <w:r w:rsidR="00330855">
        <w:rPr>
          <w:sz w:val="28"/>
          <w:szCs w:val="28"/>
        </w:rPr>
        <w:t>, Johannesburg (the property)</w:t>
      </w:r>
      <w:r w:rsidR="00190F4A">
        <w:rPr>
          <w:sz w:val="28"/>
          <w:szCs w:val="28"/>
        </w:rPr>
        <w:t>,</w:t>
      </w:r>
      <w:r w:rsidR="00330855">
        <w:rPr>
          <w:sz w:val="28"/>
          <w:szCs w:val="28"/>
        </w:rPr>
        <w:t xml:space="preserve"> which consists of </w:t>
      </w:r>
      <w:r w:rsidR="006369E9">
        <w:rPr>
          <w:sz w:val="28"/>
          <w:szCs w:val="28"/>
        </w:rPr>
        <w:t>a large</w:t>
      </w:r>
      <w:r w:rsidR="00330855">
        <w:rPr>
          <w:sz w:val="28"/>
          <w:szCs w:val="28"/>
        </w:rPr>
        <w:t xml:space="preserve"> apartment building known as </w:t>
      </w:r>
      <w:proofErr w:type="spellStart"/>
      <w:r w:rsidR="00330855">
        <w:rPr>
          <w:sz w:val="28"/>
          <w:szCs w:val="28"/>
        </w:rPr>
        <w:t>Wolbane</w:t>
      </w:r>
      <w:proofErr w:type="spellEnd"/>
      <w:r w:rsidR="00330855">
        <w:rPr>
          <w:sz w:val="28"/>
          <w:szCs w:val="28"/>
        </w:rPr>
        <w:t xml:space="preserve"> Mansions.</w:t>
      </w:r>
      <w:r w:rsidR="006369E9">
        <w:rPr>
          <w:sz w:val="28"/>
          <w:szCs w:val="28"/>
        </w:rPr>
        <w:t xml:space="preserve"> </w:t>
      </w:r>
      <w:proofErr w:type="spellStart"/>
      <w:r w:rsidR="006369E9">
        <w:rPr>
          <w:sz w:val="28"/>
          <w:szCs w:val="28"/>
        </w:rPr>
        <w:t>Wolbane</w:t>
      </w:r>
      <w:proofErr w:type="spellEnd"/>
      <w:r w:rsidR="006369E9">
        <w:rPr>
          <w:sz w:val="28"/>
          <w:szCs w:val="28"/>
        </w:rPr>
        <w:t xml:space="preserve"> Mansions comprises over 51 residential units which are occupied by about 200 tenants.</w:t>
      </w:r>
      <w:r w:rsidR="006E1A7A">
        <w:rPr>
          <w:sz w:val="28"/>
          <w:szCs w:val="28"/>
        </w:rPr>
        <w:t xml:space="preserve"> </w:t>
      </w:r>
      <w:r w:rsidR="00330855">
        <w:rPr>
          <w:sz w:val="28"/>
          <w:szCs w:val="28"/>
        </w:rPr>
        <w:t xml:space="preserve">The second applicant is 10 Fife Avenue Berea (Pty) Ltd </w:t>
      </w:r>
      <w:r w:rsidR="003E437E">
        <w:rPr>
          <w:sz w:val="28"/>
          <w:szCs w:val="28"/>
        </w:rPr>
        <w:t xml:space="preserve">(Fife) </w:t>
      </w:r>
      <w:r w:rsidR="00330855">
        <w:rPr>
          <w:sz w:val="28"/>
          <w:szCs w:val="28"/>
        </w:rPr>
        <w:t>whilst the third applicant is Mr Ma</w:t>
      </w:r>
      <w:r w:rsidR="00190F4A">
        <w:rPr>
          <w:sz w:val="28"/>
          <w:szCs w:val="28"/>
        </w:rPr>
        <w:t>r</w:t>
      </w:r>
      <w:r w:rsidR="00330855">
        <w:rPr>
          <w:sz w:val="28"/>
          <w:szCs w:val="28"/>
        </w:rPr>
        <w:t>k Morris Fa</w:t>
      </w:r>
      <w:r w:rsidR="00190F4A">
        <w:rPr>
          <w:sz w:val="28"/>
          <w:szCs w:val="28"/>
        </w:rPr>
        <w:t>r</w:t>
      </w:r>
      <w:r w:rsidR="00330855">
        <w:rPr>
          <w:sz w:val="28"/>
          <w:szCs w:val="28"/>
        </w:rPr>
        <w:t>ber (Mr Fa</w:t>
      </w:r>
      <w:r w:rsidR="00190F4A">
        <w:rPr>
          <w:sz w:val="28"/>
          <w:szCs w:val="28"/>
        </w:rPr>
        <w:t>r</w:t>
      </w:r>
      <w:r w:rsidR="00330855">
        <w:rPr>
          <w:sz w:val="28"/>
          <w:szCs w:val="28"/>
        </w:rPr>
        <w:t>ber). Mr Fa</w:t>
      </w:r>
      <w:r w:rsidR="00190F4A">
        <w:rPr>
          <w:sz w:val="28"/>
          <w:szCs w:val="28"/>
        </w:rPr>
        <w:t>r</w:t>
      </w:r>
      <w:r w:rsidR="00330855">
        <w:rPr>
          <w:sz w:val="28"/>
          <w:szCs w:val="28"/>
        </w:rPr>
        <w:t xml:space="preserve">ber is the sole director and shareholder of </w:t>
      </w:r>
      <w:proofErr w:type="spellStart"/>
      <w:r w:rsidR="003E437E">
        <w:rPr>
          <w:sz w:val="28"/>
          <w:szCs w:val="28"/>
        </w:rPr>
        <w:t>Wolmarans</w:t>
      </w:r>
      <w:proofErr w:type="spellEnd"/>
      <w:r w:rsidR="003E437E">
        <w:rPr>
          <w:sz w:val="28"/>
          <w:szCs w:val="28"/>
        </w:rPr>
        <w:t xml:space="preserve"> and Fife.</w:t>
      </w:r>
    </w:p>
    <w:p w14:paraId="55C356F3" w14:textId="77777777" w:rsidR="00A63ECE" w:rsidRDefault="00A63ECE" w:rsidP="002F2D41">
      <w:pPr>
        <w:rPr>
          <w:sz w:val="28"/>
          <w:szCs w:val="28"/>
        </w:rPr>
      </w:pPr>
    </w:p>
    <w:p w14:paraId="5CBC7D3A" w14:textId="57B1E39B" w:rsidR="00A35E94" w:rsidRDefault="008023C7" w:rsidP="002F2D41">
      <w:pPr>
        <w:rPr>
          <w:sz w:val="28"/>
          <w:szCs w:val="28"/>
        </w:rPr>
      </w:pPr>
      <w:r>
        <w:rPr>
          <w:sz w:val="28"/>
          <w:szCs w:val="28"/>
        </w:rPr>
        <w:t>[6</w:t>
      </w:r>
      <w:r w:rsidR="00A63ECE">
        <w:rPr>
          <w:sz w:val="28"/>
          <w:szCs w:val="28"/>
        </w:rPr>
        <w:t>]</w:t>
      </w:r>
      <w:r w:rsidR="00A63ECE">
        <w:rPr>
          <w:sz w:val="28"/>
          <w:szCs w:val="28"/>
        </w:rPr>
        <w:tab/>
        <w:t>Sometime in 2013 Mr Fa</w:t>
      </w:r>
      <w:r w:rsidR="00190F4A">
        <w:rPr>
          <w:sz w:val="28"/>
          <w:szCs w:val="28"/>
        </w:rPr>
        <w:t>r</w:t>
      </w:r>
      <w:r w:rsidR="00A63ECE">
        <w:rPr>
          <w:sz w:val="28"/>
          <w:szCs w:val="28"/>
        </w:rPr>
        <w:t xml:space="preserve">ber </w:t>
      </w:r>
      <w:r w:rsidR="00676FD4" w:rsidRPr="00F953F4">
        <w:rPr>
          <w:sz w:val="28"/>
          <w:szCs w:val="28"/>
        </w:rPr>
        <w:t>approached</w:t>
      </w:r>
      <w:r w:rsidR="00676FD4">
        <w:rPr>
          <w:sz w:val="28"/>
          <w:szCs w:val="28"/>
        </w:rPr>
        <w:t xml:space="preserve"> </w:t>
      </w:r>
      <w:proofErr w:type="spellStart"/>
      <w:r w:rsidR="003E437E">
        <w:rPr>
          <w:sz w:val="28"/>
          <w:szCs w:val="28"/>
        </w:rPr>
        <w:t>Tufh</w:t>
      </w:r>
      <w:proofErr w:type="spellEnd"/>
      <w:r w:rsidR="00A63ECE">
        <w:rPr>
          <w:sz w:val="28"/>
          <w:szCs w:val="28"/>
        </w:rPr>
        <w:t xml:space="preserve"> for a loan facility to be granted in favour of </w:t>
      </w:r>
      <w:proofErr w:type="spellStart"/>
      <w:r w:rsidR="00CF1338">
        <w:rPr>
          <w:sz w:val="28"/>
          <w:szCs w:val="28"/>
        </w:rPr>
        <w:t>Wolmarans</w:t>
      </w:r>
      <w:proofErr w:type="spellEnd"/>
      <w:r w:rsidR="00A63ECE">
        <w:rPr>
          <w:sz w:val="28"/>
          <w:szCs w:val="28"/>
        </w:rPr>
        <w:t xml:space="preserve"> in order to assist it with the purchase and refurbishment of </w:t>
      </w:r>
      <w:proofErr w:type="spellStart"/>
      <w:r w:rsidR="00A63ECE">
        <w:rPr>
          <w:sz w:val="28"/>
          <w:szCs w:val="28"/>
        </w:rPr>
        <w:lastRenderedPageBreak/>
        <w:t>Wolbane</w:t>
      </w:r>
      <w:proofErr w:type="spellEnd"/>
      <w:r w:rsidR="00A63ECE">
        <w:rPr>
          <w:sz w:val="28"/>
          <w:szCs w:val="28"/>
        </w:rPr>
        <w:t xml:space="preserve"> Mansions. A written loan agreement was concluded in the period 8 August 2013 to 23 August 2013 between </w:t>
      </w:r>
      <w:proofErr w:type="spellStart"/>
      <w:r w:rsidR="00601597">
        <w:rPr>
          <w:sz w:val="28"/>
          <w:szCs w:val="28"/>
        </w:rPr>
        <w:t>Tufh</w:t>
      </w:r>
      <w:proofErr w:type="spellEnd"/>
      <w:r w:rsidR="00A63ECE">
        <w:rPr>
          <w:sz w:val="28"/>
          <w:szCs w:val="28"/>
        </w:rPr>
        <w:t xml:space="preserve"> and </w:t>
      </w:r>
      <w:proofErr w:type="spellStart"/>
      <w:r w:rsidR="00CF1338">
        <w:rPr>
          <w:sz w:val="28"/>
          <w:szCs w:val="28"/>
        </w:rPr>
        <w:t>Wolmarans</w:t>
      </w:r>
      <w:proofErr w:type="spellEnd"/>
      <w:r w:rsidR="00A63ECE">
        <w:rPr>
          <w:sz w:val="28"/>
          <w:szCs w:val="28"/>
        </w:rPr>
        <w:t>.</w:t>
      </w:r>
    </w:p>
    <w:p w14:paraId="307448F0" w14:textId="77777777" w:rsidR="00A63ECE" w:rsidRDefault="00A63ECE" w:rsidP="002F2D41">
      <w:pPr>
        <w:rPr>
          <w:sz w:val="28"/>
          <w:szCs w:val="28"/>
        </w:rPr>
      </w:pPr>
    </w:p>
    <w:p w14:paraId="577DD0A1" w14:textId="62813345" w:rsidR="00A63ECE" w:rsidRDefault="008023C7" w:rsidP="002F2D41">
      <w:pPr>
        <w:rPr>
          <w:sz w:val="28"/>
          <w:szCs w:val="28"/>
        </w:rPr>
      </w:pPr>
      <w:r>
        <w:rPr>
          <w:sz w:val="28"/>
          <w:szCs w:val="28"/>
        </w:rPr>
        <w:t>[7</w:t>
      </w:r>
      <w:r w:rsidR="00A63ECE">
        <w:rPr>
          <w:sz w:val="28"/>
          <w:szCs w:val="28"/>
        </w:rPr>
        <w:t>]</w:t>
      </w:r>
      <w:r w:rsidR="00A63ECE">
        <w:rPr>
          <w:sz w:val="28"/>
          <w:szCs w:val="28"/>
        </w:rPr>
        <w:tab/>
        <w:t xml:space="preserve">In terms of the loan agreement it was agreed, </w:t>
      </w:r>
      <w:r w:rsidR="00A63ECE">
        <w:rPr>
          <w:i/>
          <w:sz w:val="28"/>
          <w:szCs w:val="28"/>
        </w:rPr>
        <w:t>inter alia</w:t>
      </w:r>
      <w:r w:rsidR="00A63ECE">
        <w:rPr>
          <w:sz w:val="28"/>
          <w:szCs w:val="28"/>
        </w:rPr>
        <w:t xml:space="preserve">, that </w:t>
      </w:r>
      <w:proofErr w:type="spellStart"/>
      <w:r w:rsidR="00FC100E">
        <w:rPr>
          <w:sz w:val="28"/>
          <w:szCs w:val="28"/>
        </w:rPr>
        <w:t>Tufh</w:t>
      </w:r>
      <w:proofErr w:type="spellEnd"/>
      <w:r w:rsidR="00A63ECE">
        <w:rPr>
          <w:sz w:val="28"/>
          <w:szCs w:val="28"/>
        </w:rPr>
        <w:t xml:space="preserve"> would advance to </w:t>
      </w:r>
      <w:proofErr w:type="spellStart"/>
      <w:r w:rsidR="00CF1338">
        <w:rPr>
          <w:sz w:val="28"/>
          <w:szCs w:val="28"/>
        </w:rPr>
        <w:t>Wolmarans</w:t>
      </w:r>
      <w:proofErr w:type="spellEnd"/>
      <w:r w:rsidR="00A63ECE">
        <w:rPr>
          <w:sz w:val="28"/>
          <w:szCs w:val="28"/>
        </w:rPr>
        <w:t xml:space="preserve"> a facility amount in the sum of R5 771 166.00</w:t>
      </w:r>
      <w:r w:rsidR="00FC100E">
        <w:rPr>
          <w:sz w:val="28"/>
          <w:szCs w:val="28"/>
        </w:rPr>
        <w:t xml:space="preserve"> (the facility amount)</w:t>
      </w:r>
      <w:r w:rsidR="00A63ECE">
        <w:rPr>
          <w:sz w:val="28"/>
          <w:szCs w:val="28"/>
        </w:rPr>
        <w:t xml:space="preserve"> for drawdown by </w:t>
      </w:r>
      <w:proofErr w:type="spellStart"/>
      <w:r w:rsidR="00CF1338">
        <w:rPr>
          <w:sz w:val="28"/>
          <w:szCs w:val="28"/>
        </w:rPr>
        <w:t>Wolmarans</w:t>
      </w:r>
      <w:proofErr w:type="spellEnd"/>
      <w:r w:rsidR="00A63ECE">
        <w:rPr>
          <w:sz w:val="28"/>
          <w:szCs w:val="28"/>
        </w:rPr>
        <w:t>.</w:t>
      </w:r>
    </w:p>
    <w:p w14:paraId="40C1D704" w14:textId="77777777" w:rsidR="00A63ECE" w:rsidRDefault="00A63ECE" w:rsidP="002F2D41">
      <w:pPr>
        <w:rPr>
          <w:sz w:val="28"/>
          <w:szCs w:val="28"/>
        </w:rPr>
      </w:pPr>
    </w:p>
    <w:p w14:paraId="676279D6" w14:textId="045A4469" w:rsidR="00A63ECE" w:rsidRDefault="008023C7" w:rsidP="002F2D41">
      <w:pPr>
        <w:rPr>
          <w:sz w:val="28"/>
          <w:szCs w:val="28"/>
        </w:rPr>
      </w:pPr>
      <w:r>
        <w:rPr>
          <w:sz w:val="28"/>
          <w:szCs w:val="28"/>
        </w:rPr>
        <w:t>[8</w:t>
      </w:r>
      <w:r w:rsidR="00A63ECE">
        <w:rPr>
          <w:sz w:val="28"/>
          <w:szCs w:val="28"/>
        </w:rPr>
        <w:t>]</w:t>
      </w:r>
      <w:r w:rsidR="00A63ECE">
        <w:rPr>
          <w:sz w:val="28"/>
          <w:szCs w:val="28"/>
        </w:rPr>
        <w:tab/>
      </w:r>
      <w:r w:rsidR="006369E9">
        <w:rPr>
          <w:sz w:val="28"/>
          <w:szCs w:val="28"/>
        </w:rPr>
        <w:t xml:space="preserve">At the heart of the dispute between the parties lie clauses 17 and 18 of the loan agreement. </w:t>
      </w:r>
      <w:r w:rsidR="00A63ECE">
        <w:rPr>
          <w:sz w:val="28"/>
          <w:szCs w:val="28"/>
        </w:rPr>
        <w:t>Clause 17 specifically record</w:t>
      </w:r>
      <w:r w:rsidR="006369E9">
        <w:rPr>
          <w:sz w:val="28"/>
          <w:szCs w:val="28"/>
        </w:rPr>
        <w:t xml:space="preserve">s </w:t>
      </w:r>
      <w:r w:rsidR="00A63ECE">
        <w:rPr>
          <w:sz w:val="28"/>
          <w:szCs w:val="28"/>
        </w:rPr>
        <w:t>the following:</w:t>
      </w:r>
    </w:p>
    <w:p w14:paraId="11EF7940" w14:textId="56BE61B7" w:rsidR="00C619BD" w:rsidRPr="00C619BD" w:rsidRDefault="00C619BD" w:rsidP="002F2D41">
      <w:r w:rsidRPr="00C619BD">
        <w:t>‘17</w:t>
      </w:r>
      <w:r w:rsidRPr="00C619BD">
        <w:tab/>
        <w:t>RATES AND TAXES AND MUNICIPAL SERVICE CHARGES</w:t>
      </w:r>
    </w:p>
    <w:p w14:paraId="60B7905B" w14:textId="3F48192A" w:rsidR="00C619BD" w:rsidRPr="00C619BD" w:rsidRDefault="00C619BD" w:rsidP="002F2D41">
      <w:r w:rsidRPr="00C619BD">
        <w:t>The Borrower shall –</w:t>
      </w:r>
    </w:p>
    <w:p w14:paraId="1D5974E8" w14:textId="52C6AE08" w:rsidR="00C619BD" w:rsidRPr="00C619BD" w:rsidRDefault="00C619BD" w:rsidP="002F2D41">
      <w:r w:rsidRPr="00C619BD">
        <w:t>17.1</w:t>
      </w:r>
      <w:r w:rsidRPr="00C619BD">
        <w:tab/>
        <w:t xml:space="preserve">pay promptly on due date for payment, all rates, taxes, water and electricity charges (whether levied as basic charges or in respect of actual consumption), sanitation charges (in respect of refuse removal and sewerage) and other like imposts that may be payable in respect of the </w:t>
      </w:r>
      <w:r w:rsidR="007A25B4">
        <w:t>P</w:t>
      </w:r>
      <w:r w:rsidRPr="00C619BD">
        <w:t>roperty to any governmental, provisional, divisional council, municipal or other like authority;</w:t>
      </w:r>
    </w:p>
    <w:p w14:paraId="2C95BDC6" w14:textId="2781BAD9" w:rsidR="00C619BD" w:rsidRPr="00C619BD" w:rsidRDefault="00C619BD" w:rsidP="002F2D41">
      <w:r w:rsidRPr="00C619BD">
        <w:t>17.2</w:t>
      </w:r>
      <w:r w:rsidRPr="00C619BD">
        <w:tab/>
        <w:t>provide proof of the aforesaid payments to the Lender whenever requested to do so, and the Lender ha</w:t>
      </w:r>
      <w:r w:rsidR="007A25B4">
        <w:t>ve</w:t>
      </w:r>
      <w:r w:rsidRPr="00C619BD">
        <w:t xml:space="preserve"> the right, but not the obligation, to make all such payments on behalf of the Borrower and any moneys so disbursed shall be immediately refundable by the Borrower to the Lender; and</w:t>
      </w:r>
    </w:p>
    <w:p w14:paraId="009A31F0" w14:textId="59DDF55C" w:rsidR="00C619BD" w:rsidRPr="00C619BD" w:rsidRDefault="00C619BD" w:rsidP="002F2D41">
      <w:r w:rsidRPr="00C619BD">
        <w:t>17.3</w:t>
      </w:r>
      <w:r w:rsidRPr="00C619BD">
        <w:tab/>
        <w:t>provide the Lender on a monthly basis certified copies of all statements for the amounts payable in terms of 17.1.’</w:t>
      </w:r>
    </w:p>
    <w:p w14:paraId="331AA7B5" w14:textId="77777777" w:rsidR="00C619BD" w:rsidRDefault="00C619BD" w:rsidP="002F2D41">
      <w:pPr>
        <w:rPr>
          <w:sz w:val="28"/>
          <w:szCs w:val="28"/>
        </w:rPr>
      </w:pPr>
    </w:p>
    <w:p w14:paraId="20A0AA11" w14:textId="75B07755" w:rsidR="00C619BD" w:rsidRDefault="008023C7" w:rsidP="002F2D41">
      <w:pPr>
        <w:rPr>
          <w:sz w:val="28"/>
          <w:szCs w:val="28"/>
        </w:rPr>
      </w:pPr>
      <w:r>
        <w:rPr>
          <w:sz w:val="28"/>
          <w:szCs w:val="28"/>
        </w:rPr>
        <w:t>[9</w:t>
      </w:r>
      <w:r w:rsidR="00C619BD">
        <w:rPr>
          <w:sz w:val="28"/>
          <w:szCs w:val="28"/>
        </w:rPr>
        <w:t>]</w:t>
      </w:r>
      <w:r w:rsidR="00C619BD">
        <w:rPr>
          <w:sz w:val="28"/>
          <w:szCs w:val="28"/>
        </w:rPr>
        <w:tab/>
      </w:r>
      <w:r w:rsidR="00BA7C90">
        <w:rPr>
          <w:sz w:val="28"/>
          <w:szCs w:val="28"/>
        </w:rPr>
        <w:t>Clause 18 specifies a number of ‘events of default’ which</w:t>
      </w:r>
      <w:r w:rsidR="00676FD4" w:rsidRPr="00D35BB5">
        <w:rPr>
          <w:sz w:val="28"/>
          <w:szCs w:val="28"/>
        </w:rPr>
        <w:t>,</w:t>
      </w:r>
      <w:r w:rsidR="00BA7C90">
        <w:rPr>
          <w:sz w:val="28"/>
          <w:szCs w:val="28"/>
        </w:rPr>
        <w:t xml:space="preserve"> when triggered</w:t>
      </w:r>
      <w:r w:rsidR="00676FD4" w:rsidRPr="00D35BB5">
        <w:rPr>
          <w:sz w:val="28"/>
          <w:szCs w:val="28"/>
        </w:rPr>
        <w:t>,</w:t>
      </w:r>
      <w:r w:rsidR="00BA7C90">
        <w:rPr>
          <w:sz w:val="28"/>
          <w:szCs w:val="28"/>
        </w:rPr>
        <w:t xml:space="preserve"> would entitle </w:t>
      </w:r>
      <w:proofErr w:type="spellStart"/>
      <w:r w:rsidR="00601597">
        <w:rPr>
          <w:sz w:val="28"/>
          <w:szCs w:val="28"/>
        </w:rPr>
        <w:t>Tufh</w:t>
      </w:r>
      <w:proofErr w:type="spellEnd"/>
      <w:r w:rsidR="00BA7C90">
        <w:rPr>
          <w:sz w:val="28"/>
          <w:szCs w:val="28"/>
        </w:rPr>
        <w:t xml:space="preserve"> </w:t>
      </w:r>
      <w:r w:rsidR="006369E9">
        <w:rPr>
          <w:sz w:val="28"/>
          <w:szCs w:val="28"/>
        </w:rPr>
        <w:t>to accelerate and</w:t>
      </w:r>
      <w:r w:rsidR="00BA7C90">
        <w:rPr>
          <w:sz w:val="28"/>
          <w:szCs w:val="28"/>
        </w:rPr>
        <w:t xml:space="preserve"> declare the entire princip</w:t>
      </w:r>
      <w:r w:rsidR="006369E9">
        <w:rPr>
          <w:sz w:val="28"/>
          <w:szCs w:val="28"/>
        </w:rPr>
        <w:t>al</w:t>
      </w:r>
      <w:r w:rsidR="00BA7C90">
        <w:rPr>
          <w:sz w:val="28"/>
          <w:szCs w:val="28"/>
        </w:rPr>
        <w:t xml:space="preserve"> amount outstanding</w:t>
      </w:r>
      <w:r w:rsidR="00676FD4" w:rsidRPr="00D35BB5">
        <w:rPr>
          <w:sz w:val="28"/>
          <w:szCs w:val="28"/>
        </w:rPr>
        <w:t>,</w:t>
      </w:r>
      <w:r w:rsidR="00BA7C90">
        <w:rPr>
          <w:sz w:val="28"/>
          <w:szCs w:val="28"/>
        </w:rPr>
        <w:t xml:space="preserve"> immediately due and payable. Given the nature of the dispute between the parties it is necessary to set out only those aspects of the clause that are relevant. They are the following:</w:t>
      </w:r>
    </w:p>
    <w:p w14:paraId="569B8618" w14:textId="121309FA" w:rsidR="00BA7C90" w:rsidRPr="00CC54C0" w:rsidRDefault="00BA7C90" w:rsidP="002F2D41">
      <w:pPr>
        <w:rPr>
          <w:szCs w:val="28"/>
        </w:rPr>
      </w:pPr>
      <w:r w:rsidRPr="00CC54C0">
        <w:rPr>
          <w:szCs w:val="28"/>
        </w:rPr>
        <w:t>‘18</w:t>
      </w:r>
      <w:r w:rsidRPr="00CC54C0">
        <w:rPr>
          <w:szCs w:val="28"/>
        </w:rPr>
        <w:tab/>
        <w:t>E</w:t>
      </w:r>
      <w:r w:rsidR="005570AF">
        <w:rPr>
          <w:szCs w:val="28"/>
        </w:rPr>
        <w:t>VENTS OF DEFAULT</w:t>
      </w:r>
    </w:p>
    <w:p w14:paraId="27337876" w14:textId="36E9D0D4" w:rsidR="00BA7C90" w:rsidRPr="00CC54C0" w:rsidRDefault="00BA7C90" w:rsidP="002F2D41">
      <w:pPr>
        <w:rPr>
          <w:szCs w:val="28"/>
        </w:rPr>
      </w:pPr>
      <w:r w:rsidRPr="00CC54C0">
        <w:rPr>
          <w:szCs w:val="28"/>
        </w:rPr>
        <w:t>18.1</w:t>
      </w:r>
      <w:r w:rsidRPr="00CC54C0">
        <w:rPr>
          <w:szCs w:val="28"/>
        </w:rPr>
        <w:tab/>
        <w:t>Each of the following events shall constitute an Event of Default under the Loan Facility</w:t>
      </w:r>
    </w:p>
    <w:p w14:paraId="22632192" w14:textId="074EFC64" w:rsidR="00BA7C90" w:rsidRPr="00CC54C0" w:rsidRDefault="00BA7C90" w:rsidP="002F2D41">
      <w:pPr>
        <w:rPr>
          <w:szCs w:val="28"/>
        </w:rPr>
      </w:pPr>
      <w:r w:rsidRPr="00CC54C0">
        <w:rPr>
          <w:szCs w:val="28"/>
        </w:rPr>
        <w:lastRenderedPageBreak/>
        <w:t>18.1.1</w:t>
      </w:r>
      <w:r w:rsidR="006369E9">
        <w:rPr>
          <w:szCs w:val="28"/>
        </w:rPr>
        <w:tab/>
      </w:r>
      <w:r w:rsidRPr="00CC54C0">
        <w:rPr>
          <w:szCs w:val="28"/>
        </w:rPr>
        <w:t>the Borrower fails to pay any amount(s) due by it in terms of this Agreement on the due date for payment thereof or breaches any other provision of this Agreement and fails to remedy any such breach within any applicable cure period;</w:t>
      </w:r>
    </w:p>
    <w:p w14:paraId="68ABF1AC" w14:textId="77777777" w:rsidR="00BA7C90" w:rsidRPr="00CC54C0" w:rsidRDefault="00BA7C90" w:rsidP="002F2D41">
      <w:pPr>
        <w:rPr>
          <w:szCs w:val="28"/>
        </w:rPr>
      </w:pPr>
      <w:r w:rsidRPr="00CC54C0">
        <w:rPr>
          <w:szCs w:val="28"/>
        </w:rPr>
        <w:t>. . .</w:t>
      </w:r>
    </w:p>
    <w:p w14:paraId="77E4B5F3" w14:textId="039FB465" w:rsidR="00CC54C0" w:rsidRPr="00CC54C0" w:rsidRDefault="00BA7C90" w:rsidP="002F2D41">
      <w:pPr>
        <w:rPr>
          <w:szCs w:val="28"/>
        </w:rPr>
      </w:pPr>
      <w:r w:rsidRPr="00CC54C0">
        <w:rPr>
          <w:szCs w:val="28"/>
        </w:rPr>
        <w:t>18.1.20</w:t>
      </w:r>
      <w:r w:rsidR="006369E9">
        <w:rPr>
          <w:szCs w:val="28"/>
        </w:rPr>
        <w:t xml:space="preserve"> </w:t>
      </w:r>
      <w:r w:rsidRPr="00CC54C0">
        <w:rPr>
          <w:szCs w:val="28"/>
        </w:rPr>
        <w:t xml:space="preserve">the Borrower fails to comply with all and any municipal </w:t>
      </w:r>
      <w:r w:rsidR="006369E9">
        <w:rPr>
          <w:szCs w:val="28"/>
        </w:rPr>
        <w:t>b</w:t>
      </w:r>
      <w:r w:rsidRPr="00CC54C0">
        <w:rPr>
          <w:szCs w:val="28"/>
        </w:rPr>
        <w:t>y-laws</w:t>
      </w:r>
      <w:r w:rsidR="007A25B4">
        <w:rPr>
          <w:szCs w:val="28"/>
        </w:rPr>
        <w:t>;</w:t>
      </w:r>
    </w:p>
    <w:p w14:paraId="59F7A469" w14:textId="42792295" w:rsidR="00CC54C0" w:rsidRDefault="006266BA" w:rsidP="002F2D41">
      <w:pPr>
        <w:rPr>
          <w:sz w:val="28"/>
          <w:szCs w:val="28"/>
        </w:rPr>
      </w:pPr>
      <w:r>
        <w:rPr>
          <w:sz w:val="28"/>
          <w:szCs w:val="28"/>
        </w:rPr>
        <w:t>. . .</w:t>
      </w:r>
    </w:p>
    <w:p w14:paraId="54AAAB08" w14:textId="0FF51050" w:rsidR="00CC54C0" w:rsidRPr="00CC54C0" w:rsidRDefault="006369E9" w:rsidP="002F2D41">
      <w:pPr>
        <w:rPr>
          <w:szCs w:val="28"/>
        </w:rPr>
      </w:pPr>
      <w:r>
        <w:rPr>
          <w:szCs w:val="28"/>
        </w:rPr>
        <w:t>18.2</w:t>
      </w:r>
      <w:r>
        <w:rPr>
          <w:szCs w:val="28"/>
        </w:rPr>
        <w:tab/>
      </w:r>
      <w:r w:rsidR="00CC54C0" w:rsidRPr="00CC54C0">
        <w:rPr>
          <w:szCs w:val="28"/>
        </w:rPr>
        <w:t>Forthwith upon the occurrence of an Event of Default and at any time thereafter, if such event continues, the Lender shall in his sole and absolute discretion be entitled (but not obliged), without prejudice to any other rights which the Lender may have, by notice issued b</w:t>
      </w:r>
      <w:r w:rsidR="007A25B4">
        <w:rPr>
          <w:szCs w:val="28"/>
        </w:rPr>
        <w:t>y the Lender to the Borrower to</w:t>
      </w:r>
      <w:r w:rsidR="00CC54C0" w:rsidRPr="00CC54C0">
        <w:rPr>
          <w:szCs w:val="28"/>
        </w:rPr>
        <w:t xml:space="preserve"> –</w:t>
      </w:r>
    </w:p>
    <w:p w14:paraId="2D76FDA3" w14:textId="20C541C1" w:rsidR="00CC54C0" w:rsidRPr="00CC54C0" w:rsidRDefault="00CC54C0" w:rsidP="002F2D41">
      <w:pPr>
        <w:rPr>
          <w:szCs w:val="28"/>
        </w:rPr>
      </w:pPr>
      <w:r w:rsidRPr="00CC54C0">
        <w:rPr>
          <w:szCs w:val="28"/>
        </w:rPr>
        <w:t>. . .</w:t>
      </w:r>
    </w:p>
    <w:p w14:paraId="599D25DE" w14:textId="3E860878" w:rsidR="00CC54C0" w:rsidRPr="00CC54C0" w:rsidRDefault="007A25B4" w:rsidP="002F2D41">
      <w:pPr>
        <w:rPr>
          <w:szCs w:val="28"/>
        </w:rPr>
      </w:pPr>
      <w:r>
        <w:rPr>
          <w:szCs w:val="28"/>
        </w:rPr>
        <w:t>18.2.3</w:t>
      </w:r>
      <w:r>
        <w:rPr>
          <w:szCs w:val="28"/>
        </w:rPr>
        <w:tab/>
      </w:r>
      <w:r w:rsidR="00CC54C0" w:rsidRPr="00CC54C0">
        <w:rPr>
          <w:szCs w:val="28"/>
        </w:rPr>
        <w:t>accelerate and declare all amounts owing in terms of this Agreement immediately due and payable, notwithstanding that such amounts may not otherwise have been due and payable, whereupon the same shall become immediately due and payable, including any fees, penalties, costs and charges</w:t>
      </w:r>
      <w:r w:rsidR="00720D5A">
        <w:rPr>
          <w:szCs w:val="28"/>
        </w:rPr>
        <w:t xml:space="preserve"> </w:t>
      </w:r>
      <w:r w:rsidR="00CC54C0" w:rsidRPr="00CC54C0">
        <w:rPr>
          <w:szCs w:val="28"/>
        </w:rPr>
        <w:t>. . . .’</w:t>
      </w:r>
    </w:p>
    <w:p w14:paraId="52993AF2" w14:textId="77777777" w:rsidR="00CC54C0" w:rsidRDefault="00CC54C0" w:rsidP="002F2D41">
      <w:pPr>
        <w:rPr>
          <w:sz w:val="28"/>
          <w:szCs w:val="28"/>
        </w:rPr>
      </w:pPr>
    </w:p>
    <w:p w14:paraId="54CA0F8A" w14:textId="3A08FB9B" w:rsidR="00BA7C90" w:rsidRDefault="00CC54C0" w:rsidP="002F2D41">
      <w:pPr>
        <w:rPr>
          <w:sz w:val="28"/>
          <w:szCs w:val="28"/>
        </w:rPr>
      </w:pPr>
      <w:r>
        <w:rPr>
          <w:sz w:val="28"/>
          <w:szCs w:val="28"/>
        </w:rPr>
        <w:t>[1</w:t>
      </w:r>
      <w:r w:rsidR="008023C7">
        <w:rPr>
          <w:sz w:val="28"/>
          <w:szCs w:val="28"/>
        </w:rPr>
        <w:t>0</w:t>
      </w:r>
      <w:r>
        <w:rPr>
          <w:sz w:val="28"/>
          <w:szCs w:val="28"/>
        </w:rPr>
        <w:t>]</w:t>
      </w:r>
      <w:r>
        <w:rPr>
          <w:sz w:val="28"/>
          <w:szCs w:val="28"/>
        </w:rPr>
        <w:tab/>
        <w:t xml:space="preserve"> On 8 August 2013 and as security for the facili</w:t>
      </w:r>
      <w:r w:rsidR="006369E9">
        <w:rPr>
          <w:sz w:val="28"/>
          <w:szCs w:val="28"/>
        </w:rPr>
        <w:t xml:space="preserve">ty amount, </w:t>
      </w:r>
      <w:r w:rsidR="00535D3E">
        <w:rPr>
          <w:sz w:val="28"/>
          <w:szCs w:val="28"/>
        </w:rPr>
        <w:t>Fife</w:t>
      </w:r>
      <w:r w:rsidR="00790868">
        <w:rPr>
          <w:sz w:val="28"/>
          <w:szCs w:val="28"/>
        </w:rPr>
        <w:t xml:space="preserve"> and</w:t>
      </w:r>
      <w:r w:rsidR="006369E9">
        <w:rPr>
          <w:sz w:val="28"/>
          <w:szCs w:val="28"/>
        </w:rPr>
        <w:t xml:space="preserve"> </w:t>
      </w:r>
      <w:r>
        <w:rPr>
          <w:sz w:val="28"/>
          <w:szCs w:val="28"/>
        </w:rPr>
        <w:t>Mr Fa</w:t>
      </w:r>
      <w:r w:rsidR="00190F4A">
        <w:rPr>
          <w:sz w:val="28"/>
          <w:szCs w:val="28"/>
        </w:rPr>
        <w:t>r</w:t>
      </w:r>
      <w:r>
        <w:rPr>
          <w:sz w:val="28"/>
          <w:szCs w:val="28"/>
        </w:rPr>
        <w:t>ber concluded written unlimited suretyship agreement</w:t>
      </w:r>
      <w:r w:rsidR="00790868">
        <w:rPr>
          <w:sz w:val="28"/>
          <w:szCs w:val="28"/>
        </w:rPr>
        <w:t>s</w:t>
      </w:r>
      <w:r>
        <w:rPr>
          <w:sz w:val="28"/>
          <w:szCs w:val="28"/>
        </w:rPr>
        <w:t xml:space="preserve"> in favour of </w:t>
      </w:r>
      <w:proofErr w:type="spellStart"/>
      <w:r w:rsidR="00601597">
        <w:rPr>
          <w:sz w:val="28"/>
          <w:szCs w:val="28"/>
        </w:rPr>
        <w:t>Tufh</w:t>
      </w:r>
      <w:proofErr w:type="spellEnd"/>
      <w:r>
        <w:rPr>
          <w:sz w:val="28"/>
          <w:szCs w:val="28"/>
        </w:rPr>
        <w:t>. As backing security for the facility amount</w:t>
      </w:r>
      <w:r w:rsidR="00676FD4" w:rsidRPr="00535D3E">
        <w:rPr>
          <w:sz w:val="28"/>
          <w:szCs w:val="28"/>
        </w:rPr>
        <w:t>,</w:t>
      </w:r>
      <w:r>
        <w:rPr>
          <w:sz w:val="28"/>
          <w:szCs w:val="28"/>
        </w:rPr>
        <w:t xml:space="preserve"> </w:t>
      </w:r>
      <w:proofErr w:type="spellStart"/>
      <w:r w:rsidR="00CF1338">
        <w:rPr>
          <w:sz w:val="28"/>
          <w:szCs w:val="28"/>
        </w:rPr>
        <w:t>Wolmarans</w:t>
      </w:r>
      <w:proofErr w:type="spellEnd"/>
      <w:r>
        <w:rPr>
          <w:sz w:val="28"/>
          <w:szCs w:val="28"/>
        </w:rPr>
        <w:t xml:space="preserve"> registered a mortgage bond over the property for an amount of R8 656 749.00 together with an additional 30% provision for contingent costs.</w:t>
      </w:r>
      <w:r w:rsidR="00BA7C90">
        <w:rPr>
          <w:sz w:val="28"/>
          <w:szCs w:val="28"/>
        </w:rPr>
        <w:tab/>
      </w:r>
    </w:p>
    <w:p w14:paraId="29F51ABB" w14:textId="77777777" w:rsidR="00CC54C0" w:rsidRDefault="00CC54C0" w:rsidP="002F2D41">
      <w:pPr>
        <w:rPr>
          <w:sz w:val="28"/>
          <w:szCs w:val="28"/>
        </w:rPr>
      </w:pPr>
    </w:p>
    <w:p w14:paraId="3B0F3A52" w14:textId="48FAC08E" w:rsidR="00CC54C0" w:rsidRDefault="00CC54C0" w:rsidP="002F2D41">
      <w:pPr>
        <w:rPr>
          <w:sz w:val="28"/>
          <w:szCs w:val="28"/>
        </w:rPr>
      </w:pPr>
      <w:r>
        <w:rPr>
          <w:sz w:val="28"/>
          <w:szCs w:val="28"/>
        </w:rPr>
        <w:t>[1</w:t>
      </w:r>
      <w:r w:rsidR="008023C7">
        <w:rPr>
          <w:sz w:val="28"/>
          <w:szCs w:val="28"/>
        </w:rPr>
        <w:t>1</w:t>
      </w:r>
      <w:r>
        <w:rPr>
          <w:sz w:val="28"/>
          <w:szCs w:val="28"/>
        </w:rPr>
        <w:t>]</w:t>
      </w:r>
      <w:r>
        <w:rPr>
          <w:sz w:val="28"/>
          <w:szCs w:val="28"/>
        </w:rPr>
        <w:tab/>
        <w:t>Clause 3 of the mortgage bond deals with rates and taxes and provides as follows:</w:t>
      </w:r>
    </w:p>
    <w:p w14:paraId="158707A9" w14:textId="77777777" w:rsidR="00CC54C0" w:rsidRPr="00B4745B" w:rsidRDefault="00CC54C0" w:rsidP="002F2D41">
      <w:pPr>
        <w:rPr>
          <w:szCs w:val="28"/>
        </w:rPr>
      </w:pPr>
      <w:r w:rsidRPr="00B4745B">
        <w:rPr>
          <w:szCs w:val="28"/>
        </w:rPr>
        <w:t>‘3</w:t>
      </w:r>
      <w:r w:rsidRPr="00B4745B">
        <w:rPr>
          <w:szCs w:val="28"/>
        </w:rPr>
        <w:tab/>
        <w:t>RATES AND TAXES</w:t>
      </w:r>
    </w:p>
    <w:p w14:paraId="78117E2A" w14:textId="38A08AD6" w:rsidR="00B4745B" w:rsidRPr="00B4745B" w:rsidRDefault="00B4745B" w:rsidP="002F2D41">
      <w:pPr>
        <w:rPr>
          <w:szCs w:val="28"/>
        </w:rPr>
      </w:pPr>
      <w:r w:rsidRPr="00B4745B">
        <w:rPr>
          <w:szCs w:val="28"/>
        </w:rPr>
        <w:t>The Mortgagor shall –</w:t>
      </w:r>
    </w:p>
    <w:p w14:paraId="347929D6" w14:textId="643FD32A" w:rsidR="00CC54C0" w:rsidRPr="00B4745B" w:rsidRDefault="00B4745B" w:rsidP="002F2D41">
      <w:pPr>
        <w:rPr>
          <w:szCs w:val="28"/>
        </w:rPr>
      </w:pPr>
      <w:r w:rsidRPr="00B4745B">
        <w:rPr>
          <w:szCs w:val="28"/>
        </w:rPr>
        <w:t>3.1</w:t>
      </w:r>
      <w:r w:rsidRPr="00B4745B">
        <w:rPr>
          <w:szCs w:val="28"/>
        </w:rPr>
        <w:tab/>
        <w:t>pay promptly on due date for payment all rates, taxes and other like imposts that may be payable in respect of the property to any Governmental, Provisional, Divisional Council, Municipal or other like authority; and</w:t>
      </w:r>
      <w:r w:rsidR="00CC54C0" w:rsidRPr="00B4745B">
        <w:rPr>
          <w:szCs w:val="28"/>
        </w:rPr>
        <w:tab/>
      </w:r>
    </w:p>
    <w:p w14:paraId="67B45F2F" w14:textId="77777777" w:rsidR="00B4745B" w:rsidRPr="00B4745B" w:rsidRDefault="00B4745B" w:rsidP="002F2D41">
      <w:pPr>
        <w:rPr>
          <w:szCs w:val="28"/>
        </w:rPr>
      </w:pPr>
      <w:r w:rsidRPr="00B4745B">
        <w:rPr>
          <w:szCs w:val="28"/>
        </w:rPr>
        <w:lastRenderedPageBreak/>
        <w:t>3.2</w:t>
      </w:r>
      <w:r w:rsidRPr="00B4745B">
        <w:rPr>
          <w:szCs w:val="28"/>
        </w:rPr>
        <w:tab/>
        <w:t>exhibit proof of such payments to the Mortgagee or its assigns whenever requested to do so, and the Mortgagee may in its own discretion make all such payments on behalf of the Mortgagor and recover the relative amounts from the Mortgagor.’</w:t>
      </w:r>
    </w:p>
    <w:p w14:paraId="62C5EB55" w14:textId="77777777" w:rsidR="00B4745B" w:rsidRDefault="00B4745B" w:rsidP="002F2D41">
      <w:pPr>
        <w:rPr>
          <w:sz w:val="28"/>
          <w:szCs w:val="28"/>
        </w:rPr>
      </w:pPr>
    </w:p>
    <w:p w14:paraId="7F94D8C2" w14:textId="4D60CD4F" w:rsidR="00B4745B" w:rsidRDefault="00B4745B" w:rsidP="002F2D41">
      <w:pPr>
        <w:rPr>
          <w:sz w:val="28"/>
          <w:szCs w:val="28"/>
        </w:rPr>
      </w:pPr>
      <w:r>
        <w:rPr>
          <w:sz w:val="28"/>
          <w:szCs w:val="28"/>
        </w:rPr>
        <w:t>[1</w:t>
      </w:r>
      <w:r w:rsidR="008023C7">
        <w:rPr>
          <w:sz w:val="28"/>
          <w:szCs w:val="28"/>
        </w:rPr>
        <w:t>2</w:t>
      </w:r>
      <w:r>
        <w:rPr>
          <w:sz w:val="28"/>
          <w:szCs w:val="28"/>
        </w:rPr>
        <w:t>]</w:t>
      </w:r>
      <w:r>
        <w:rPr>
          <w:sz w:val="28"/>
          <w:szCs w:val="28"/>
        </w:rPr>
        <w:tab/>
        <w:t xml:space="preserve">In terms of </w:t>
      </w:r>
      <w:r w:rsidR="005570AF">
        <w:rPr>
          <w:sz w:val="28"/>
          <w:szCs w:val="28"/>
        </w:rPr>
        <w:t>c</w:t>
      </w:r>
      <w:r>
        <w:rPr>
          <w:sz w:val="28"/>
          <w:szCs w:val="28"/>
        </w:rPr>
        <w:t>lause 4 of the mortgage bond, and</w:t>
      </w:r>
      <w:r w:rsidR="006369E9">
        <w:rPr>
          <w:sz w:val="28"/>
          <w:szCs w:val="28"/>
        </w:rPr>
        <w:t xml:space="preserve"> as further collateral security</w:t>
      </w:r>
      <w:r>
        <w:rPr>
          <w:sz w:val="28"/>
          <w:szCs w:val="28"/>
        </w:rPr>
        <w:t xml:space="preserve"> in the event of a default, </w:t>
      </w:r>
      <w:proofErr w:type="spellStart"/>
      <w:r w:rsidR="00CF1338">
        <w:rPr>
          <w:sz w:val="28"/>
          <w:szCs w:val="28"/>
        </w:rPr>
        <w:t>Wolmarans</w:t>
      </w:r>
      <w:proofErr w:type="spellEnd"/>
      <w:r>
        <w:rPr>
          <w:sz w:val="28"/>
          <w:szCs w:val="28"/>
        </w:rPr>
        <w:t xml:space="preserve"> ceded its rights to rental income and </w:t>
      </w:r>
      <w:proofErr w:type="spellStart"/>
      <w:r w:rsidR="004A3263">
        <w:rPr>
          <w:sz w:val="28"/>
          <w:szCs w:val="28"/>
        </w:rPr>
        <w:t>Tufh</w:t>
      </w:r>
      <w:proofErr w:type="spellEnd"/>
      <w:r>
        <w:rPr>
          <w:sz w:val="28"/>
          <w:szCs w:val="28"/>
        </w:rPr>
        <w:t xml:space="preserve"> was entitled to recover and receive all rent</w:t>
      </w:r>
      <w:r w:rsidR="006369E9">
        <w:rPr>
          <w:sz w:val="28"/>
          <w:szCs w:val="28"/>
        </w:rPr>
        <w:t>, income and fruits from the immovable property</w:t>
      </w:r>
      <w:r w:rsidR="00FB38F0">
        <w:rPr>
          <w:sz w:val="28"/>
          <w:szCs w:val="28"/>
        </w:rPr>
        <w:t>.</w:t>
      </w:r>
    </w:p>
    <w:p w14:paraId="4D2755A4" w14:textId="77777777" w:rsidR="00B4745B" w:rsidRDefault="00B4745B" w:rsidP="002F2D41">
      <w:pPr>
        <w:rPr>
          <w:sz w:val="28"/>
          <w:szCs w:val="28"/>
        </w:rPr>
      </w:pPr>
    </w:p>
    <w:p w14:paraId="790D4247" w14:textId="463E9124" w:rsidR="00B4745B" w:rsidRDefault="00B4745B" w:rsidP="002F2D41">
      <w:pPr>
        <w:rPr>
          <w:sz w:val="28"/>
          <w:szCs w:val="28"/>
        </w:rPr>
      </w:pPr>
      <w:r>
        <w:rPr>
          <w:sz w:val="28"/>
          <w:szCs w:val="28"/>
        </w:rPr>
        <w:t>[1</w:t>
      </w:r>
      <w:r w:rsidR="008023C7">
        <w:rPr>
          <w:sz w:val="28"/>
          <w:szCs w:val="28"/>
        </w:rPr>
        <w:t>3</w:t>
      </w:r>
      <w:r>
        <w:rPr>
          <w:sz w:val="28"/>
          <w:szCs w:val="28"/>
        </w:rPr>
        <w:t>]</w:t>
      </w:r>
      <w:r>
        <w:rPr>
          <w:sz w:val="28"/>
          <w:szCs w:val="28"/>
        </w:rPr>
        <w:tab/>
        <w:t>Pursuant to the granting of the facility amount in March 2014</w:t>
      </w:r>
      <w:r w:rsidR="003E437E" w:rsidRPr="004A3263">
        <w:rPr>
          <w:sz w:val="28"/>
          <w:szCs w:val="28"/>
        </w:rPr>
        <w:t>,</w:t>
      </w:r>
      <w:r>
        <w:rPr>
          <w:sz w:val="28"/>
          <w:szCs w:val="28"/>
        </w:rPr>
        <w:t xml:space="preserve"> </w:t>
      </w:r>
      <w:proofErr w:type="spellStart"/>
      <w:r w:rsidR="004A3263">
        <w:rPr>
          <w:sz w:val="28"/>
          <w:szCs w:val="28"/>
        </w:rPr>
        <w:t>Wolmarans</w:t>
      </w:r>
      <w:proofErr w:type="spellEnd"/>
      <w:r>
        <w:rPr>
          <w:sz w:val="28"/>
          <w:szCs w:val="28"/>
        </w:rPr>
        <w:t xml:space="preserve"> drew down on the </w:t>
      </w:r>
      <w:r w:rsidR="00FC4004">
        <w:rPr>
          <w:sz w:val="28"/>
          <w:szCs w:val="28"/>
        </w:rPr>
        <w:t xml:space="preserve">amount </w:t>
      </w:r>
      <w:r>
        <w:rPr>
          <w:sz w:val="28"/>
          <w:szCs w:val="28"/>
        </w:rPr>
        <w:t>for payment of the purchase price and for refurbishment. As</w:t>
      </w:r>
      <w:r w:rsidR="00960989">
        <w:rPr>
          <w:sz w:val="28"/>
          <w:szCs w:val="28"/>
        </w:rPr>
        <w:t xml:space="preserve"> the</w:t>
      </w:r>
      <w:r>
        <w:rPr>
          <w:sz w:val="28"/>
          <w:szCs w:val="28"/>
        </w:rPr>
        <w:t xml:space="preserve"> landlord of </w:t>
      </w:r>
      <w:proofErr w:type="spellStart"/>
      <w:r>
        <w:rPr>
          <w:sz w:val="28"/>
          <w:szCs w:val="28"/>
        </w:rPr>
        <w:t>Wolbane</w:t>
      </w:r>
      <w:proofErr w:type="spellEnd"/>
      <w:r>
        <w:rPr>
          <w:sz w:val="28"/>
          <w:szCs w:val="28"/>
        </w:rPr>
        <w:t xml:space="preserve"> Mansions, </w:t>
      </w:r>
      <w:proofErr w:type="spellStart"/>
      <w:r w:rsidR="00BF0295">
        <w:rPr>
          <w:sz w:val="28"/>
          <w:szCs w:val="28"/>
        </w:rPr>
        <w:t>Wolmarans</w:t>
      </w:r>
      <w:proofErr w:type="spellEnd"/>
      <w:r>
        <w:rPr>
          <w:sz w:val="28"/>
          <w:szCs w:val="28"/>
        </w:rPr>
        <w:t xml:space="preserve"> and its agent duly collected all rental from its tenants </w:t>
      </w:r>
      <w:r w:rsidR="00FB38F0">
        <w:rPr>
          <w:sz w:val="28"/>
          <w:szCs w:val="28"/>
        </w:rPr>
        <w:t>on</w:t>
      </w:r>
      <w:r>
        <w:rPr>
          <w:sz w:val="28"/>
          <w:szCs w:val="28"/>
        </w:rPr>
        <w:t xml:space="preserve"> the property.</w:t>
      </w:r>
    </w:p>
    <w:p w14:paraId="1BD4A828" w14:textId="77777777" w:rsidR="006369E9" w:rsidRDefault="006369E9" w:rsidP="002F2D41">
      <w:pPr>
        <w:rPr>
          <w:sz w:val="28"/>
          <w:szCs w:val="28"/>
        </w:rPr>
      </w:pPr>
    </w:p>
    <w:p w14:paraId="67084508" w14:textId="554C7CA1" w:rsidR="006369E9" w:rsidRDefault="006369E9" w:rsidP="002F2D41">
      <w:pPr>
        <w:rPr>
          <w:sz w:val="28"/>
          <w:szCs w:val="28"/>
        </w:rPr>
      </w:pPr>
      <w:r>
        <w:rPr>
          <w:sz w:val="28"/>
          <w:szCs w:val="28"/>
        </w:rPr>
        <w:t>[1</w:t>
      </w:r>
      <w:r w:rsidR="008023C7">
        <w:rPr>
          <w:sz w:val="28"/>
          <w:szCs w:val="28"/>
        </w:rPr>
        <w:t>4</w:t>
      </w:r>
      <w:r>
        <w:rPr>
          <w:sz w:val="28"/>
          <w:szCs w:val="28"/>
        </w:rPr>
        <w:t>]</w:t>
      </w:r>
      <w:r>
        <w:rPr>
          <w:sz w:val="28"/>
          <w:szCs w:val="28"/>
        </w:rPr>
        <w:tab/>
        <w:t xml:space="preserve">Whilst </w:t>
      </w:r>
      <w:proofErr w:type="spellStart"/>
      <w:r w:rsidR="00A205B2">
        <w:rPr>
          <w:sz w:val="28"/>
          <w:szCs w:val="28"/>
        </w:rPr>
        <w:t>Wolmarans</w:t>
      </w:r>
      <w:proofErr w:type="spellEnd"/>
      <w:r>
        <w:rPr>
          <w:sz w:val="28"/>
          <w:szCs w:val="28"/>
        </w:rPr>
        <w:t xml:space="preserve"> paid its monthly instalments towards the facility amount in terms of the loan agreement, it breached the specific terms of the loan agreement and the mortgage bond </w:t>
      </w:r>
      <w:r w:rsidR="00A205B2">
        <w:rPr>
          <w:sz w:val="28"/>
          <w:szCs w:val="28"/>
        </w:rPr>
        <w:t xml:space="preserve">referred to above </w:t>
      </w:r>
      <w:r>
        <w:rPr>
          <w:sz w:val="28"/>
          <w:szCs w:val="28"/>
        </w:rPr>
        <w:t>by failing</w:t>
      </w:r>
      <w:r w:rsidR="00CB1CB1">
        <w:rPr>
          <w:sz w:val="28"/>
          <w:szCs w:val="28"/>
        </w:rPr>
        <w:t xml:space="preserve"> to</w:t>
      </w:r>
      <w:r w:rsidR="00A205B2">
        <w:rPr>
          <w:sz w:val="28"/>
          <w:szCs w:val="28"/>
        </w:rPr>
        <w:t>: (a)</w:t>
      </w:r>
      <w:r>
        <w:rPr>
          <w:sz w:val="28"/>
          <w:szCs w:val="28"/>
        </w:rPr>
        <w:t xml:space="preserve"> pay the City of Johannesburg (</w:t>
      </w:r>
      <w:proofErr w:type="spellStart"/>
      <w:r>
        <w:rPr>
          <w:sz w:val="28"/>
          <w:szCs w:val="28"/>
        </w:rPr>
        <w:t>CoJ</w:t>
      </w:r>
      <w:proofErr w:type="spellEnd"/>
      <w:r>
        <w:rPr>
          <w:sz w:val="28"/>
          <w:szCs w:val="28"/>
        </w:rPr>
        <w:t xml:space="preserve">) promptly, or at all, its </w:t>
      </w:r>
      <w:r w:rsidR="00790868">
        <w:rPr>
          <w:sz w:val="28"/>
          <w:szCs w:val="28"/>
        </w:rPr>
        <w:t xml:space="preserve">account in respect of </w:t>
      </w:r>
      <w:r>
        <w:rPr>
          <w:sz w:val="28"/>
          <w:szCs w:val="28"/>
        </w:rPr>
        <w:t xml:space="preserve">municipal service charges (rates, water, sanitation, refuse and electricity) </w:t>
      </w:r>
      <w:r w:rsidR="00790868">
        <w:rPr>
          <w:sz w:val="28"/>
          <w:szCs w:val="28"/>
        </w:rPr>
        <w:t>provided to</w:t>
      </w:r>
      <w:r>
        <w:rPr>
          <w:sz w:val="28"/>
          <w:szCs w:val="28"/>
        </w:rPr>
        <w:t xml:space="preserve"> the property</w:t>
      </w:r>
      <w:r w:rsidR="00B25179">
        <w:rPr>
          <w:sz w:val="28"/>
          <w:szCs w:val="28"/>
        </w:rPr>
        <w:t>;</w:t>
      </w:r>
      <w:r w:rsidR="00B25179">
        <w:rPr>
          <w:rStyle w:val="FootnoteReference"/>
          <w:sz w:val="28"/>
          <w:szCs w:val="28"/>
        </w:rPr>
        <w:footnoteReference w:id="1"/>
      </w:r>
      <w:r>
        <w:rPr>
          <w:sz w:val="28"/>
          <w:szCs w:val="28"/>
        </w:rPr>
        <w:t xml:space="preserve"> (b) provide </w:t>
      </w:r>
      <w:proofErr w:type="spellStart"/>
      <w:r w:rsidR="00A205B2">
        <w:rPr>
          <w:sz w:val="28"/>
          <w:szCs w:val="28"/>
        </w:rPr>
        <w:t>Tufh</w:t>
      </w:r>
      <w:proofErr w:type="spellEnd"/>
      <w:r>
        <w:rPr>
          <w:sz w:val="28"/>
          <w:szCs w:val="28"/>
        </w:rPr>
        <w:t xml:space="preserve"> with proof of such payments following </w:t>
      </w:r>
      <w:proofErr w:type="spellStart"/>
      <w:r w:rsidR="00812F7F">
        <w:rPr>
          <w:sz w:val="28"/>
          <w:szCs w:val="28"/>
        </w:rPr>
        <w:t>Tufh’s</w:t>
      </w:r>
      <w:proofErr w:type="spellEnd"/>
      <w:r>
        <w:rPr>
          <w:sz w:val="28"/>
          <w:szCs w:val="28"/>
        </w:rPr>
        <w:t xml:space="preserve"> </w:t>
      </w:r>
      <w:r w:rsidR="00B25179">
        <w:rPr>
          <w:sz w:val="28"/>
          <w:szCs w:val="28"/>
        </w:rPr>
        <w:t>demand for same;</w:t>
      </w:r>
      <w:r w:rsidR="00B25179">
        <w:rPr>
          <w:rStyle w:val="FootnoteReference"/>
          <w:sz w:val="28"/>
          <w:szCs w:val="28"/>
        </w:rPr>
        <w:footnoteReference w:id="2"/>
      </w:r>
      <w:r w:rsidR="00B25179">
        <w:rPr>
          <w:sz w:val="28"/>
          <w:szCs w:val="28"/>
        </w:rPr>
        <w:t xml:space="preserve"> and (c) provide </w:t>
      </w:r>
      <w:proofErr w:type="spellStart"/>
      <w:r w:rsidR="00812F7F">
        <w:rPr>
          <w:sz w:val="28"/>
          <w:szCs w:val="28"/>
        </w:rPr>
        <w:t>Tufh</w:t>
      </w:r>
      <w:proofErr w:type="spellEnd"/>
      <w:r w:rsidR="00B25179">
        <w:rPr>
          <w:sz w:val="28"/>
          <w:szCs w:val="28"/>
        </w:rPr>
        <w:t xml:space="preserve"> with certified copies of the municipal statements.</w:t>
      </w:r>
      <w:r w:rsidR="00B25179">
        <w:rPr>
          <w:rStyle w:val="FootnoteReference"/>
          <w:sz w:val="28"/>
          <w:szCs w:val="28"/>
        </w:rPr>
        <w:footnoteReference w:id="3"/>
      </w:r>
    </w:p>
    <w:p w14:paraId="18BC27E2" w14:textId="77777777" w:rsidR="00B25179" w:rsidRDefault="00B25179" w:rsidP="002F2D41">
      <w:pPr>
        <w:rPr>
          <w:sz w:val="28"/>
          <w:szCs w:val="28"/>
        </w:rPr>
      </w:pPr>
    </w:p>
    <w:p w14:paraId="52F3C19C" w14:textId="116A23E4" w:rsidR="00B25179" w:rsidRDefault="00B25179" w:rsidP="002F2D41">
      <w:pPr>
        <w:rPr>
          <w:sz w:val="28"/>
          <w:szCs w:val="28"/>
        </w:rPr>
      </w:pPr>
      <w:r>
        <w:rPr>
          <w:sz w:val="28"/>
          <w:szCs w:val="28"/>
        </w:rPr>
        <w:t>[1</w:t>
      </w:r>
      <w:r w:rsidR="008023C7">
        <w:rPr>
          <w:sz w:val="28"/>
          <w:szCs w:val="28"/>
        </w:rPr>
        <w:t>5</w:t>
      </w:r>
      <w:r>
        <w:rPr>
          <w:sz w:val="28"/>
          <w:szCs w:val="28"/>
        </w:rPr>
        <w:t>]</w:t>
      </w:r>
      <w:r>
        <w:rPr>
          <w:sz w:val="28"/>
          <w:szCs w:val="28"/>
        </w:rPr>
        <w:tab/>
        <w:t xml:space="preserve">The last payment to the </w:t>
      </w:r>
      <w:proofErr w:type="spellStart"/>
      <w:r>
        <w:rPr>
          <w:sz w:val="28"/>
          <w:szCs w:val="28"/>
        </w:rPr>
        <w:t>CoJ</w:t>
      </w:r>
      <w:proofErr w:type="spellEnd"/>
      <w:r>
        <w:rPr>
          <w:sz w:val="28"/>
          <w:szCs w:val="28"/>
        </w:rPr>
        <w:t xml:space="preserve"> for municipal services consumed at the property by </w:t>
      </w:r>
      <w:proofErr w:type="spellStart"/>
      <w:r w:rsidR="00CF1338">
        <w:rPr>
          <w:sz w:val="28"/>
          <w:szCs w:val="28"/>
        </w:rPr>
        <w:t>Wolmarans</w:t>
      </w:r>
      <w:proofErr w:type="spellEnd"/>
      <w:r w:rsidR="00CF1338">
        <w:rPr>
          <w:sz w:val="28"/>
          <w:szCs w:val="28"/>
        </w:rPr>
        <w:t>’</w:t>
      </w:r>
      <w:r>
        <w:rPr>
          <w:sz w:val="28"/>
          <w:szCs w:val="28"/>
        </w:rPr>
        <w:t xml:space="preserve"> tenants was the amount of R25</w:t>
      </w:r>
      <w:r w:rsidR="00652D2A">
        <w:rPr>
          <w:sz w:val="28"/>
          <w:szCs w:val="28"/>
        </w:rPr>
        <w:t> </w:t>
      </w:r>
      <w:r>
        <w:rPr>
          <w:sz w:val="28"/>
          <w:szCs w:val="28"/>
        </w:rPr>
        <w:t>000</w:t>
      </w:r>
      <w:r w:rsidR="00652D2A">
        <w:rPr>
          <w:sz w:val="28"/>
          <w:szCs w:val="28"/>
        </w:rPr>
        <w:t>. This payment was</w:t>
      </w:r>
      <w:r>
        <w:rPr>
          <w:sz w:val="28"/>
          <w:szCs w:val="28"/>
        </w:rPr>
        <w:t xml:space="preserve"> made on 30 October 2015. No further payments were made. Four years later and as at 12 </w:t>
      </w:r>
      <w:r>
        <w:rPr>
          <w:sz w:val="28"/>
          <w:szCs w:val="28"/>
        </w:rPr>
        <w:lastRenderedPageBreak/>
        <w:t xml:space="preserve">November 2019 </w:t>
      </w:r>
      <w:proofErr w:type="spellStart"/>
      <w:r w:rsidR="00CF1338">
        <w:rPr>
          <w:sz w:val="28"/>
          <w:szCs w:val="28"/>
        </w:rPr>
        <w:t>Wolmarans</w:t>
      </w:r>
      <w:proofErr w:type="spellEnd"/>
      <w:r w:rsidR="00CF1338">
        <w:rPr>
          <w:sz w:val="28"/>
          <w:szCs w:val="28"/>
        </w:rPr>
        <w:t>’</w:t>
      </w:r>
      <w:r>
        <w:rPr>
          <w:sz w:val="28"/>
          <w:szCs w:val="28"/>
        </w:rPr>
        <w:t xml:space="preserve"> municipal account in respect of rates, water, electricity, sanitation and refuse </w:t>
      </w:r>
      <w:r w:rsidR="0098685F">
        <w:rPr>
          <w:sz w:val="28"/>
          <w:szCs w:val="28"/>
        </w:rPr>
        <w:t xml:space="preserve">stood at </w:t>
      </w:r>
      <w:r>
        <w:rPr>
          <w:sz w:val="28"/>
          <w:szCs w:val="28"/>
        </w:rPr>
        <w:t>R3 288 156.08.</w:t>
      </w:r>
    </w:p>
    <w:p w14:paraId="315DCF68" w14:textId="77777777" w:rsidR="00BE1844" w:rsidRDefault="00BE1844" w:rsidP="002F2D41">
      <w:pPr>
        <w:rPr>
          <w:sz w:val="28"/>
          <w:szCs w:val="28"/>
        </w:rPr>
      </w:pPr>
    </w:p>
    <w:p w14:paraId="79D0FF94" w14:textId="14794BEF" w:rsidR="00B25179" w:rsidRDefault="00BE1844" w:rsidP="002F2D41">
      <w:pPr>
        <w:rPr>
          <w:sz w:val="28"/>
          <w:szCs w:val="28"/>
        </w:rPr>
      </w:pPr>
      <w:r>
        <w:rPr>
          <w:sz w:val="28"/>
          <w:szCs w:val="28"/>
        </w:rPr>
        <w:t>[1</w:t>
      </w:r>
      <w:r w:rsidR="008023C7">
        <w:rPr>
          <w:sz w:val="28"/>
          <w:szCs w:val="28"/>
        </w:rPr>
        <w:t>6</w:t>
      </w:r>
      <w:r>
        <w:rPr>
          <w:sz w:val="28"/>
          <w:szCs w:val="28"/>
        </w:rPr>
        <w:t>]</w:t>
      </w:r>
      <w:r>
        <w:rPr>
          <w:sz w:val="28"/>
          <w:szCs w:val="28"/>
        </w:rPr>
        <w:tab/>
      </w:r>
      <w:r w:rsidR="00B25179">
        <w:rPr>
          <w:sz w:val="28"/>
          <w:szCs w:val="28"/>
        </w:rPr>
        <w:t xml:space="preserve">On 20 December 2019 </w:t>
      </w:r>
      <w:proofErr w:type="spellStart"/>
      <w:r w:rsidR="007346CE">
        <w:rPr>
          <w:sz w:val="28"/>
          <w:szCs w:val="28"/>
        </w:rPr>
        <w:t>Tufh’s</w:t>
      </w:r>
      <w:proofErr w:type="spellEnd"/>
      <w:r w:rsidR="00B25179">
        <w:rPr>
          <w:sz w:val="28"/>
          <w:szCs w:val="28"/>
        </w:rPr>
        <w:t xml:space="preserve"> attorneys sent a letter of demand to the applicants placing them on terms to comply with their obligations in terms of the loan agreement and mortgage bond. The letter of demand, </w:t>
      </w:r>
      <w:r w:rsidR="00B25179">
        <w:rPr>
          <w:i/>
          <w:sz w:val="28"/>
          <w:szCs w:val="28"/>
        </w:rPr>
        <w:t>inter alia</w:t>
      </w:r>
      <w:r w:rsidR="00B25179">
        <w:rPr>
          <w:sz w:val="28"/>
          <w:szCs w:val="28"/>
        </w:rPr>
        <w:t xml:space="preserve">, informed the applicants that should they fail to remedy their breaches immediately, </w:t>
      </w:r>
      <w:proofErr w:type="spellStart"/>
      <w:r w:rsidR="007346CE">
        <w:rPr>
          <w:sz w:val="28"/>
          <w:szCs w:val="28"/>
        </w:rPr>
        <w:t>Tufh</w:t>
      </w:r>
      <w:proofErr w:type="spellEnd"/>
      <w:r w:rsidR="00B25179">
        <w:rPr>
          <w:sz w:val="28"/>
          <w:szCs w:val="28"/>
        </w:rPr>
        <w:t xml:space="preserve"> would institute legal proceedings to enforce its rights.</w:t>
      </w:r>
    </w:p>
    <w:p w14:paraId="625E87B3" w14:textId="77777777" w:rsidR="00B25179" w:rsidRDefault="00B25179" w:rsidP="002F2D41">
      <w:pPr>
        <w:rPr>
          <w:sz w:val="28"/>
          <w:szCs w:val="28"/>
        </w:rPr>
      </w:pPr>
    </w:p>
    <w:p w14:paraId="6294535E" w14:textId="46387822" w:rsidR="00B25179" w:rsidRDefault="00B25179" w:rsidP="002F2D41">
      <w:pPr>
        <w:rPr>
          <w:sz w:val="28"/>
          <w:szCs w:val="28"/>
        </w:rPr>
      </w:pPr>
      <w:r>
        <w:rPr>
          <w:sz w:val="28"/>
          <w:szCs w:val="28"/>
        </w:rPr>
        <w:t>[1</w:t>
      </w:r>
      <w:r w:rsidR="008023C7">
        <w:rPr>
          <w:sz w:val="28"/>
          <w:szCs w:val="28"/>
        </w:rPr>
        <w:t>7</w:t>
      </w:r>
      <w:r>
        <w:rPr>
          <w:sz w:val="28"/>
          <w:szCs w:val="28"/>
        </w:rPr>
        <w:t>]</w:t>
      </w:r>
      <w:r>
        <w:rPr>
          <w:sz w:val="28"/>
          <w:szCs w:val="28"/>
        </w:rPr>
        <w:tab/>
      </w:r>
      <w:r w:rsidR="00652D2A">
        <w:rPr>
          <w:sz w:val="28"/>
          <w:szCs w:val="28"/>
        </w:rPr>
        <w:t xml:space="preserve">The applicants’ attorneys responded </w:t>
      </w:r>
      <w:r>
        <w:rPr>
          <w:sz w:val="28"/>
          <w:szCs w:val="28"/>
        </w:rPr>
        <w:t>on 13 January 2020</w:t>
      </w:r>
      <w:r w:rsidR="00652D2A">
        <w:rPr>
          <w:sz w:val="28"/>
          <w:szCs w:val="28"/>
        </w:rPr>
        <w:t xml:space="preserve">. They </w:t>
      </w:r>
      <w:r>
        <w:rPr>
          <w:sz w:val="28"/>
          <w:szCs w:val="28"/>
        </w:rPr>
        <w:t xml:space="preserve">recorded that there was an ongoing dispute between </w:t>
      </w:r>
      <w:proofErr w:type="spellStart"/>
      <w:r w:rsidR="00601597">
        <w:rPr>
          <w:sz w:val="28"/>
          <w:szCs w:val="28"/>
        </w:rPr>
        <w:t>Wolmarans</w:t>
      </w:r>
      <w:proofErr w:type="spellEnd"/>
      <w:r>
        <w:rPr>
          <w:sz w:val="28"/>
          <w:szCs w:val="28"/>
        </w:rPr>
        <w:t xml:space="preserve"> and the </w:t>
      </w:r>
      <w:proofErr w:type="spellStart"/>
      <w:r>
        <w:rPr>
          <w:sz w:val="28"/>
          <w:szCs w:val="28"/>
        </w:rPr>
        <w:t>CoJ</w:t>
      </w:r>
      <w:proofErr w:type="spellEnd"/>
      <w:r>
        <w:rPr>
          <w:sz w:val="28"/>
          <w:szCs w:val="28"/>
        </w:rPr>
        <w:t xml:space="preserve"> with regard to the manner in which the </w:t>
      </w:r>
      <w:proofErr w:type="spellStart"/>
      <w:r>
        <w:rPr>
          <w:sz w:val="28"/>
          <w:szCs w:val="28"/>
        </w:rPr>
        <w:t>CoJ</w:t>
      </w:r>
      <w:proofErr w:type="spellEnd"/>
      <w:r>
        <w:rPr>
          <w:sz w:val="28"/>
          <w:szCs w:val="28"/>
        </w:rPr>
        <w:t xml:space="preserve"> was billing </w:t>
      </w:r>
      <w:proofErr w:type="spellStart"/>
      <w:r w:rsidR="00601597">
        <w:rPr>
          <w:sz w:val="28"/>
          <w:szCs w:val="28"/>
        </w:rPr>
        <w:t>Wolmarans</w:t>
      </w:r>
      <w:proofErr w:type="spellEnd"/>
      <w:r>
        <w:rPr>
          <w:sz w:val="28"/>
          <w:szCs w:val="28"/>
        </w:rPr>
        <w:t xml:space="preserve"> for the municipal services rendered.</w:t>
      </w:r>
      <w:r w:rsidR="00652D2A">
        <w:rPr>
          <w:sz w:val="28"/>
          <w:szCs w:val="28"/>
        </w:rPr>
        <w:t xml:space="preserve"> They indicated</w:t>
      </w:r>
      <w:r>
        <w:rPr>
          <w:sz w:val="28"/>
          <w:szCs w:val="28"/>
        </w:rPr>
        <w:t xml:space="preserve"> that the accounts received from the </w:t>
      </w:r>
      <w:proofErr w:type="spellStart"/>
      <w:r>
        <w:rPr>
          <w:sz w:val="28"/>
          <w:szCs w:val="28"/>
        </w:rPr>
        <w:t>CoJ</w:t>
      </w:r>
      <w:proofErr w:type="spellEnd"/>
      <w:r>
        <w:rPr>
          <w:sz w:val="28"/>
          <w:szCs w:val="28"/>
        </w:rPr>
        <w:t xml:space="preserve"> contained patent errors which despite demand and continuing negotiations, were not rectified.</w:t>
      </w:r>
    </w:p>
    <w:p w14:paraId="4D25608C" w14:textId="77777777" w:rsidR="00B25179" w:rsidRDefault="00B25179" w:rsidP="002F2D41">
      <w:pPr>
        <w:rPr>
          <w:sz w:val="28"/>
          <w:szCs w:val="28"/>
        </w:rPr>
      </w:pPr>
    </w:p>
    <w:p w14:paraId="76EA9E45" w14:textId="75426DAB" w:rsidR="00BE1844" w:rsidRDefault="00B25179" w:rsidP="002F2D41">
      <w:pPr>
        <w:rPr>
          <w:sz w:val="28"/>
          <w:szCs w:val="28"/>
        </w:rPr>
      </w:pPr>
      <w:r>
        <w:rPr>
          <w:sz w:val="28"/>
          <w:szCs w:val="28"/>
        </w:rPr>
        <w:t>[</w:t>
      </w:r>
      <w:r w:rsidR="008023C7">
        <w:rPr>
          <w:sz w:val="28"/>
          <w:szCs w:val="28"/>
        </w:rPr>
        <w:t>18</w:t>
      </w:r>
      <w:r>
        <w:rPr>
          <w:sz w:val="28"/>
          <w:szCs w:val="28"/>
        </w:rPr>
        <w:t>]</w:t>
      </w:r>
      <w:r>
        <w:rPr>
          <w:sz w:val="28"/>
          <w:szCs w:val="28"/>
        </w:rPr>
        <w:tab/>
        <w:t xml:space="preserve">The essence of </w:t>
      </w:r>
      <w:proofErr w:type="spellStart"/>
      <w:r w:rsidR="00601597">
        <w:rPr>
          <w:sz w:val="28"/>
          <w:szCs w:val="28"/>
        </w:rPr>
        <w:t>Wolmaran</w:t>
      </w:r>
      <w:r w:rsidR="00CF1338">
        <w:rPr>
          <w:sz w:val="28"/>
          <w:szCs w:val="28"/>
        </w:rPr>
        <w:t>s</w:t>
      </w:r>
      <w:proofErr w:type="spellEnd"/>
      <w:r w:rsidR="00CF1338">
        <w:rPr>
          <w:sz w:val="28"/>
          <w:szCs w:val="28"/>
        </w:rPr>
        <w:t>’</w:t>
      </w:r>
      <w:r>
        <w:rPr>
          <w:sz w:val="28"/>
          <w:szCs w:val="28"/>
        </w:rPr>
        <w:t xml:space="preserve"> complaint was that the </w:t>
      </w:r>
      <w:proofErr w:type="spellStart"/>
      <w:r>
        <w:rPr>
          <w:sz w:val="28"/>
          <w:szCs w:val="28"/>
        </w:rPr>
        <w:t>CoJ</w:t>
      </w:r>
      <w:proofErr w:type="spellEnd"/>
      <w:r>
        <w:rPr>
          <w:sz w:val="28"/>
          <w:szCs w:val="28"/>
        </w:rPr>
        <w:t xml:space="preserve"> had incorrectly debited its account utilising incorrect readings from a different </w:t>
      </w:r>
      <w:r w:rsidR="00676FD4">
        <w:rPr>
          <w:sz w:val="28"/>
          <w:szCs w:val="28"/>
        </w:rPr>
        <w:t xml:space="preserve">electricity </w:t>
      </w:r>
      <w:r>
        <w:rPr>
          <w:sz w:val="28"/>
          <w:szCs w:val="28"/>
        </w:rPr>
        <w:t xml:space="preserve">meter which was not on the property. The </w:t>
      </w:r>
      <w:proofErr w:type="spellStart"/>
      <w:r>
        <w:rPr>
          <w:sz w:val="28"/>
          <w:szCs w:val="28"/>
        </w:rPr>
        <w:t>CoJ</w:t>
      </w:r>
      <w:proofErr w:type="spellEnd"/>
      <w:r>
        <w:rPr>
          <w:sz w:val="28"/>
          <w:szCs w:val="28"/>
        </w:rPr>
        <w:t xml:space="preserve"> resorted to disconnecting the electricity supply to the property in about April 2016. This resulted in </w:t>
      </w:r>
      <w:proofErr w:type="spellStart"/>
      <w:r w:rsidR="00601597">
        <w:rPr>
          <w:sz w:val="28"/>
          <w:szCs w:val="28"/>
        </w:rPr>
        <w:t>Wolmarans</w:t>
      </w:r>
      <w:proofErr w:type="spellEnd"/>
      <w:r w:rsidR="00601597">
        <w:rPr>
          <w:sz w:val="28"/>
          <w:szCs w:val="28"/>
        </w:rPr>
        <w:t xml:space="preserve"> </w:t>
      </w:r>
      <w:r>
        <w:rPr>
          <w:sz w:val="28"/>
          <w:szCs w:val="28"/>
        </w:rPr>
        <w:t>obtaining an order from the Johannesburg High Court on 5 May 2016</w:t>
      </w:r>
      <w:r w:rsidR="00652D2A">
        <w:rPr>
          <w:sz w:val="28"/>
          <w:szCs w:val="28"/>
        </w:rPr>
        <w:t xml:space="preserve"> (the 2016 court order)</w:t>
      </w:r>
      <w:r>
        <w:rPr>
          <w:sz w:val="28"/>
          <w:szCs w:val="28"/>
        </w:rPr>
        <w:t xml:space="preserve"> </w:t>
      </w:r>
      <w:r w:rsidR="00790868">
        <w:rPr>
          <w:sz w:val="28"/>
          <w:szCs w:val="28"/>
        </w:rPr>
        <w:t>interdicting the disconnection of electricity to the property and</w:t>
      </w:r>
      <w:r>
        <w:rPr>
          <w:sz w:val="28"/>
          <w:szCs w:val="28"/>
        </w:rPr>
        <w:t xml:space="preserve"> compelling the </w:t>
      </w:r>
      <w:proofErr w:type="spellStart"/>
      <w:r>
        <w:rPr>
          <w:sz w:val="28"/>
          <w:szCs w:val="28"/>
        </w:rPr>
        <w:t>CoJ</w:t>
      </w:r>
      <w:proofErr w:type="spellEnd"/>
      <w:r>
        <w:rPr>
          <w:sz w:val="28"/>
          <w:szCs w:val="28"/>
        </w:rPr>
        <w:t xml:space="preserve"> to </w:t>
      </w:r>
      <w:r w:rsidR="0012638C">
        <w:rPr>
          <w:sz w:val="28"/>
          <w:szCs w:val="28"/>
        </w:rPr>
        <w:t xml:space="preserve">provide </w:t>
      </w:r>
      <w:r w:rsidR="00E3037E">
        <w:rPr>
          <w:sz w:val="28"/>
          <w:szCs w:val="28"/>
        </w:rPr>
        <w:t xml:space="preserve">it </w:t>
      </w:r>
      <w:r w:rsidR="0012638C">
        <w:rPr>
          <w:sz w:val="28"/>
          <w:szCs w:val="28"/>
        </w:rPr>
        <w:t xml:space="preserve">with a proper statement </w:t>
      </w:r>
      <w:r w:rsidR="00790868">
        <w:rPr>
          <w:sz w:val="28"/>
          <w:szCs w:val="28"/>
        </w:rPr>
        <w:t xml:space="preserve">of account </w:t>
      </w:r>
      <w:r w:rsidR="0012638C">
        <w:rPr>
          <w:sz w:val="28"/>
          <w:szCs w:val="28"/>
        </w:rPr>
        <w:t xml:space="preserve">and for a </w:t>
      </w:r>
      <w:proofErr w:type="spellStart"/>
      <w:r w:rsidR="0012638C">
        <w:rPr>
          <w:sz w:val="28"/>
          <w:szCs w:val="28"/>
        </w:rPr>
        <w:t>debatement</w:t>
      </w:r>
      <w:proofErr w:type="spellEnd"/>
      <w:r w:rsidR="0012638C">
        <w:rPr>
          <w:sz w:val="28"/>
          <w:szCs w:val="28"/>
        </w:rPr>
        <w:t xml:space="preserve"> thereof. The </w:t>
      </w:r>
      <w:proofErr w:type="spellStart"/>
      <w:r w:rsidR="0012638C">
        <w:rPr>
          <w:sz w:val="28"/>
          <w:szCs w:val="28"/>
        </w:rPr>
        <w:t>CoJ</w:t>
      </w:r>
      <w:proofErr w:type="spellEnd"/>
      <w:r w:rsidR="0012638C">
        <w:rPr>
          <w:sz w:val="28"/>
          <w:szCs w:val="28"/>
        </w:rPr>
        <w:t xml:space="preserve"> was further ordered to credit </w:t>
      </w:r>
      <w:proofErr w:type="spellStart"/>
      <w:r w:rsidR="00CF1338">
        <w:rPr>
          <w:sz w:val="28"/>
          <w:szCs w:val="28"/>
        </w:rPr>
        <w:t>Wolmarans</w:t>
      </w:r>
      <w:proofErr w:type="spellEnd"/>
      <w:r w:rsidR="00CF1338">
        <w:rPr>
          <w:sz w:val="28"/>
          <w:szCs w:val="28"/>
        </w:rPr>
        <w:t>’</w:t>
      </w:r>
      <w:r w:rsidR="0012638C">
        <w:rPr>
          <w:sz w:val="28"/>
          <w:szCs w:val="28"/>
        </w:rPr>
        <w:t xml:space="preserve"> account with charges that had been incorrectly levied.</w:t>
      </w:r>
    </w:p>
    <w:p w14:paraId="5F6E9ED4" w14:textId="77777777" w:rsidR="0012638C" w:rsidRDefault="0012638C" w:rsidP="002F2D41">
      <w:pPr>
        <w:rPr>
          <w:sz w:val="28"/>
          <w:szCs w:val="28"/>
        </w:rPr>
      </w:pPr>
    </w:p>
    <w:p w14:paraId="31D0278C" w14:textId="5A0156FA" w:rsidR="0012638C" w:rsidRDefault="008023C7" w:rsidP="002F2D41">
      <w:pPr>
        <w:rPr>
          <w:sz w:val="28"/>
          <w:szCs w:val="28"/>
        </w:rPr>
      </w:pPr>
      <w:r>
        <w:rPr>
          <w:sz w:val="28"/>
          <w:szCs w:val="28"/>
        </w:rPr>
        <w:t>[19</w:t>
      </w:r>
      <w:r w:rsidR="0012638C">
        <w:rPr>
          <w:sz w:val="28"/>
          <w:szCs w:val="28"/>
        </w:rPr>
        <w:t>]</w:t>
      </w:r>
      <w:r w:rsidR="0012638C">
        <w:rPr>
          <w:sz w:val="28"/>
          <w:szCs w:val="28"/>
        </w:rPr>
        <w:tab/>
      </w:r>
      <w:r w:rsidR="00790868">
        <w:rPr>
          <w:sz w:val="28"/>
          <w:szCs w:val="28"/>
        </w:rPr>
        <w:t>In r</w:t>
      </w:r>
      <w:r w:rsidR="0012638C">
        <w:rPr>
          <w:sz w:val="28"/>
          <w:szCs w:val="28"/>
        </w:rPr>
        <w:t xml:space="preserve">esponding to the above letter on 17 January 2020, </w:t>
      </w:r>
      <w:proofErr w:type="spellStart"/>
      <w:r w:rsidR="007346CE">
        <w:rPr>
          <w:sz w:val="28"/>
          <w:szCs w:val="28"/>
        </w:rPr>
        <w:t>Tufh’s</w:t>
      </w:r>
      <w:proofErr w:type="spellEnd"/>
      <w:r w:rsidR="0012638C">
        <w:rPr>
          <w:sz w:val="28"/>
          <w:szCs w:val="28"/>
        </w:rPr>
        <w:t xml:space="preserve"> attorneys pointed out that it was evident from the court order of 5 May 2016 that the dispute between </w:t>
      </w:r>
      <w:proofErr w:type="spellStart"/>
      <w:r w:rsidR="00CF1338">
        <w:rPr>
          <w:sz w:val="28"/>
          <w:szCs w:val="28"/>
        </w:rPr>
        <w:lastRenderedPageBreak/>
        <w:t>Wolmarans</w:t>
      </w:r>
      <w:proofErr w:type="spellEnd"/>
      <w:r w:rsidR="0012638C">
        <w:rPr>
          <w:sz w:val="28"/>
          <w:szCs w:val="28"/>
        </w:rPr>
        <w:t xml:space="preserve"> and the </w:t>
      </w:r>
      <w:proofErr w:type="spellStart"/>
      <w:r w:rsidR="0012638C">
        <w:rPr>
          <w:sz w:val="28"/>
          <w:szCs w:val="28"/>
        </w:rPr>
        <w:t>CoJ</w:t>
      </w:r>
      <w:proofErr w:type="spellEnd"/>
      <w:r w:rsidR="0012638C">
        <w:rPr>
          <w:sz w:val="28"/>
          <w:szCs w:val="28"/>
        </w:rPr>
        <w:t xml:space="preserve"> had to do with a billing query relating to water and electricity supplied to the property. </w:t>
      </w:r>
      <w:r w:rsidR="00DB5CDE">
        <w:rPr>
          <w:sz w:val="28"/>
          <w:szCs w:val="28"/>
        </w:rPr>
        <w:t xml:space="preserve">There appeared to be no dispute about the </w:t>
      </w:r>
      <w:r w:rsidR="0012638C">
        <w:rPr>
          <w:sz w:val="28"/>
          <w:szCs w:val="28"/>
        </w:rPr>
        <w:t xml:space="preserve">rates, refuse, sanitation and other charges being levied by the </w:t>
      </w:r>
      <w:proofErr w:type="spellStart"/>
      <w:r w:rsidR="0012638C">
        <w:rPr>
          <w:sz w:val="28"/>
          <w:szCs w:val="28"/>
        </w:rPr>
        <w:t>CoJ</w:t>
      </w:r>
      <w:proofErr w:type="spellEnd"/>
      <w:r w:rsidR="0012638C">
        <w:rPr>
          <w:sz w:val="28"/>
          <w:szCs w:val="28"/>
        </w:rPr>
        <w:t xml:space="preserve"> to the property. </w:t>
      </w:r>
      <w:proofErr w:type="spellStart"/>
      <w:r w:rsidR="007346CE">
        <w:rPr>
          <w:sz w:val="28"/>
          <w:szCs w:val="28"/>
        </w:rPr>
        <w:t>Tufh’s</w:t>
      </w:r>
      <w:proofErr w:type="spellEnd"/>
      <w:r w:rsidR="0012638C">
        <w:rPr>
          <w:sz w:val="28"/>
          <w:szCs w:val="28"/>
        </w:rPr>
        <w:t xml:space="preserve"> attorneys emphasized that notwithstanding </w:t>
      </w:r>
      <w:proofErr w:type="spellStart"/>
      <w:r w:rsidR="00CF1338">
        <w:rPr>
          <w:sz w:val="28"/>
          <w:szCs w:val="28"/>
        </w:rPr>
        <w:t>Wolmarans</w:t>
      </w:r>
      <w:proofErr w:type="spellEnd"/>
      <w:r w:rsidR="00CF1338">
        <w:rPr>
          <w:sz w:val="28"/>
          <w:szCs w:val="28"/>
        </w:rPr>
        <w:t>’</w:t>
      </w:r>
      <w:r w:rsidR="0012638C">
        <w:rPr>
          <w:sz w:val="28"/>
          <w:szCs w:val="28"/>
        </w:rPr>
        <w:t xml:space="preserve"> billing query, </w:t>
      </w:r>
      <w:r w:rsidR="004E5F21">
        <w:rPr>
          <w:sz w:val="28"/>
          <w:szCs w:val="28"/>
        </w:rPr>
        <w:t>it</w:t>
      </w:r>
      <w:r w:rsidR="0012638C">
        <w:rPr>
          <w:sz w:val="28"/>
          <w:szCs w:val="28"/>
        </w:rPr>
        <w:t xml:space="preserve"> was obliged to pay on</w:t>
      </w:r>
      <w:r w:rsidR="00960989">
        <w:rPr>
          <w:sz w:val="28"/>
          <w:szCs w:val="28"/>
        </w:rPr>
        <w:t xml:space="preserve"> the</w:t>
      </w:r>
      <w:r w:rsidR="0012638C">
        <w:rPr>
          <w:sz w:val="28"/>
          <w:szCs w:val="28"/>
        </w:rPr>
        <w:t xml:space="preserve"> due date all other </w:t>
      </w:r>
      <w:r w:rsidR="009B6443">
        <w:rPr>
          <w:sz w:val="28"/>
          <w:szCs w:val="28"/>
        </w:rPr>
        <w:t>current</w:t>
      </w:r>
      <w:r w:rsidR="0012638C">
        <w:rPr>
          <w:sz w:val="28"/>
          <w:szCs w:val="28"/>
        </w:rPr>
        <w:t xml:space="preserve"> charges levied subsequent to the 2016 court order. </w:t>
      </w:r>
      <w:proofErr w:type="spellStart"/>
      <w:r w:rsidR="00CF1338">
        <w:rPr>
          <w:sz w:val="28"/>
          <w:szCs w:val="28"/>
        </w:rPr>
        <w:t>Wolmarans</w:t>
      </w:r>
      <w:proofErr w:type="spellEnd"/>
      <w:r w:rsidR="0012638C">
        <w:rPr>
          <w:sz w:val="28"/>
          <w:szCs w:val="28"/>
        </w:rPr>
        <w:t xml:space="preserve"> was informed that it remained in breach of the loan agreement and that as at 13 January 2020 the municipal account in respect of rates, water, electricity, sanitation and refuse was in arrears in the sum of R3 462 722.01.</w:t>
      </w:r>
    </w:p>
    <w:p w14:paraId="0D513E43" w14:textId="77777777" w:rsidR="0012638C" w:rsidRDefault="0012638C" w:rsidP="002F2D41">
      <w:pPr>
        <w:rPr>
          <w:sz w:val="28"/>
          <w:szCs w:val="28"/>
        </w:rPr>
      </w:pPr>
    </w:p>
    <w:p w14:paraId="78570F71" w14:textId="4897C551" w:rsidR="0012638C" w:rsidRDefault="0012638C" w:rsidP="0012638C">
      <w:pPr>
        <w:rPr>
          <w:sz w:val="28"/>
          <w:szCs w:val="28"/>
        </w:rPr>
      </w:pPr>
      <w:r>
        <w:rPr>
          <w:sz w:val="28"/>
          <w:szCs w:val="28"/>
        </w:rPr>
        <w:t>[2</w:t>
      </w:r>
      <w:r w:rsidR="008023C7">
        <w:rPr>
          <w:sz w:val="28"/>
          <w:szCs w:val="28"/>
        </w:rPr>
        <w:t>0</w:t>
      </w:r>
      <w:r>
        <w:rPr>
          <w:sz w:val="28"/>
          <w:szCs w:val="28"/>
        </w:rPr>
        <w:t>]</w:t>
      </w:r>
      <w:r>
        <w:rPr>
          <w:sz w:val="28"/>
          <w:szCs w:val="28"/>
        </w:rPr>
        <w:tab/>
        <w:t>On 14 February 2020</w:t>
      </w:r>
      <w:r w:rsidR="00960989">
        <w:rPr>
          <w:sz w:val="28"/>
          <w:szCs w:val="28"/>
        </w:rPr>
        <w:t>,</w:t>
      </w:r>
      <w:r>
        <w:rPr>
          <w:sz w:val="28"/>
          <w:szCs w:val="28"/>
        </w:rPr>
        <w:t xml:space="preserve"> a letter was received from </w:t>
      </w:r>
      <w:proofErr w:type="spellStart"/>
      <w:r w:rsidR="00CF1338">
        <w:rPr>
          <w:sz w:val="28"/>
          <w:szCs w:val="28"/>
        </w:rPr>
        <w:t>Wolmarans</w:t>
      </w:r>
      <w:proofErr w:type="spellEnd"/>
      <w:r w:rsidR="00CF1338">
        <w:rPr>
          <w:sz w:val="28"/>
          <w:szCs w:val="28"/>
        </w:rPr>
        <w:t>’</w:t>
      </w:r>
      <w:r>
        <w:rPr>
          <w:sz w:val="28"/>
          <w:szCs w:val="28"/>
        </w:rPr>
        <w:t xml:space="preserve"> attorneys informing </w:t>
      </w:r>
      <w:proofErr w:type="spellStart"/>
      <w:r w:rsidR="007346CE">
        <w:rPr>
          <w:sz w:val="28"/>
          <w:szCs w:val="28"/>
        </w:rPr>
        <w:t>Tufh</w:t>
      </w:r>
      <w:proofErr w:type="spellEnd"/>
      <w:r>
        <w:rPr>
          <w:sz w:val="28"/>
          <w:szCs w:val="28"/>
        </w:rPr>
        <w:t xml:space="preserve"> that the relevant </w:t>
      </w:r>
      <w:proofErr w:type="spellStart"/>
      <w:r>
        <w:rPr>
          <w:sz w:val="28"/>
          <w:szCs w:val="28"/>
        </w:rPr>
        <w:t>CoJ</w:t>
      </w:r>
      <w:proofErr w:type="spellEnd"/>
      <w:r>
        <w:rPr>
          <w:sz w:val="28"/>
          <w:szCs w:val="28"/>
        </w:rPr>
        <w:t xml:space="preserve"> account was being investigated by Mr Hugo Venter of Municipal Account Rectifiers (MAR) and that Mr Venter had advised </w:t>
      </w:r>
      <w:proofErr w:type="spellStart"/>
      <w:r w:rsidR="00CF1338">
        <w:rPr>
          <w:sz w:val="28"/>
          <w:szCs w:val="28"/>
        </w:rPr>
        <w:t>Wolmarans</w:t>
      </w:r>
      <w:proofErr w:type="spellEnd"/>
      <w:r>
        <w:rPr>
          <w:sz w:val="28"/>
          <w:szCs w:val="28"/>
        </w:rPr>
        <w:t xml:space="preserve"> not to make any payments to the </w:t>
      </w:r>
      <w:proofErr w:type="spellStart"/>
      <w:r>
        <w:rPr>
          <w:sz w:val="28"/>
          <w:szCs w:val="28"/>
        </w:rPr>
        <w:t>CoJ</w:t>
      </w:r>
      <w:proofErr w:type="spellEnd"/>
      <w:r>
        <w:rPr>
          <w:sz w:val="28"/>
          <w:szCs w:val="28"/>
        </w:rPr>
        <w:t xml:space="preserve"> whilst the dispute continued. </w:t>
      </w:r>
    </w:p>
    <w:p w14:paraId="692BC8DE" w14:textId="77777777" w:rsidR="0012638C" w:rsidRDefault="0012638C" w:rsidP="0012638C">
      <w:pPr>
        <w:rPr>
          <w:sz w:val="28"/>
          <w:szCs w:val="28"/>
        </w:rPr>
      </w:pPr>
    </w:p>
    <w:p w14:paraId="4FC5D64C" w14:textId="2081367B" w:rsidR="0012638C" w:rsidRDefault="0012638C" w:rsidP="0012638C">
      <w:pPr>
        <w:rPr>
          <w:sz w:val="28"/>
          <w:szCs w:val="28"/>
        </w:rPr>
      </w:pPr>
      <w:r>
        <w:rPr>
          <w:sz w:val="28"/>
          <w:szCs w:val="28"/>
        </w:rPr>
        <w:t>[2</w:t>
      </w:r>
      <w:r w:rsidR="008023C7">
        <w:rPr>
          <w:sz w:val="28"/>
          <w:szCs w:val="28"/>
        </w:rPr>
        <w:t>1</w:t>
      </w:r>
      <w:r>
        <w:rPr>
          <w:sz w:val="28"/>
          <w:szCs w:val="28"/>
        </w:rPr>
        <w:t>]</w:t>
      </w:r>
      <w:r>
        <w:rPr>
          <w:sz w:val="28"/>
          <w:szCs w:val="28"/>
        </w:rPr>
        <w:tab/>
        <w:t>On 24 February 2020</w:t>
      </w:r>
      <w:r w:rsidR="00960989">
        <w:rPr>
          <w:sz w:val="28"/>
          <w:szCs w:val="28"/>
        </w:rPr>
        <w:t>,</w:t>
      </w:r>
      <w:r>
        <w:rPr>
          <w:sz w:val="28"/>
          <w:szCs w:val="28"/>
        </w:rPr>
        <w:t xml:space="preserve"> </w:t>
      </w:r>
      <w:proofErr w:type="spellStart"/>
      <w:r w:rsidR="007346CE">
        <w:rPr>
          <w:sz w:val="28"/>
          <w:szCs w:val="28"/>
        </w:rPr>
        <w:t>Tufh’s</w:t>
      </w:r>
      <w:proofErr w:type="spellEnd"/>
      <w:r>
        <w:rPr>
          <w:sz w:val="28"/>
          <w:szCs w:val="28"/>
        </w:rPr>
        <w:t xml:space="preserve"> attorneys sent a response which recorded, </w:t>
      </w:r>
      <w:r>
        <w:rPr>
          <w:i/>
          <w:sz w:val="28"/>
          <w:szCs w:val="28"/>
        </w:rPr>
        <w:t>inter alia</w:t>
      </w:r>
      <w:r>
        <w:rPr>
          <w:sz w:val="28"/>
          <w:szCs w:val="28"/>
        </w:rPr>
        <w:t xml:space="preserve">, that no explanation was provided </w:t>
      </w:r>
      <w:r w:rsidR="00960989">
        <w:rPr>
          <w:sz w:val="28"/>
          <w:szCs w:val="28"/>
        </w:rPr>
        <w:t xml:space="preserve">as to </w:t>
      </w:r>
      <w:r>
        <w:rPr>
          <w:sz w:val="28"/>
          <w:szCs w:val="28"/>
        </w:rPr>
        <w:t xml:space="preserve">why, for almost 5 years since the 2016 court order, </w:t>
      </w:r>
      <w:proofErr w:type="spellStart"/>
      <w:r w:rsidR="00CF1338">
        <w:rPr>
          <w:sz w:val="28"/>
          <w:szCs w:val="28"/>
        </w:rPr>
        <w:t>Wolmarans</w:t>
      </w:r>
      <w:proofErr w:type="spellEnd"/>
      <w:r>
        <w:rPr>
          <w:sz w:val="28"/>
          <w:szCs w:val="28"/>
        </w:rPr>
        <w:t xml:space="preserve"> had simply failed to pay any amount whatsoever for services provided</w:t>
      </w:r>
      <w:r w:rsidR="004642AC">
        <w:rPr>
          <w:sz w:val="28"/>
          <w:szCs w:val="28"/>
        </w:rPr>
        <w:t xml:space="preserve"> to the property. They further recorded that MAR’s advice that no payments be made whilst the dispute existed was clearly in conflict with the express terms of the loan agreement and in contravention of the </w:t>
      </w:r>
      <w:proofErr w:type="spellStart"/>
      <w:r w:rsidR="004642AC">
        <w:rPr>
          <w:sz w:val="28"/>
          <w:szCs w:val="28"/>
        </w:rPr>
        <w:t>CoJ’s</w:t>
      </w:r>
      <w:proofErr w:type="spellEnd"/>
      <w:r w:rsidR="004642AC">
        <w:rPr>
          <w:sz w:val="28"/>
          <w:szCs w:val="28"/>
        </w:rPr>
        <w:t xml:space="preserve"> by-laws</w:t>
      </w:r>
      <w:r w:rsidR="00EF5773">
        <w:rPr>
          <w:sz w:val="28"/>
          <w:szCs w:val="28"/>
        </w:rPr>
        <w:t>, which in itself amounted to a breach of the loan agreement.</w:t>
      </w:r>
      <w:r w:rsidR="004642AC">
        <w:rPr>
          <w:sz w:val="28"/>
          <w:szCs w:val="28"/>
        </w:rPr>
        <w:t xml:space="preserve"> </w:t>
      </w:r>
      <w:proofErr w:type="spellStart"/>
      <w:r w:rsidR="00CF1338">
        <w:rPr>
          <w:sz w:val="28"/>
          <w:szCs w:val="28"/>
        </w:rPr>
        <w:t>Wolmarans</w:t>
      </w:r>
      <w:proofErr w:type="spellEnd"/>
      <w:r w:rsidR="004642AC">
        <w:rPr>
          <w:sz w:val="28"/>
          <w:szCs w:val="28"/>
        </w:rPr>
        <w:t xml:space="preserve"> was informed that its conduct was placing </w:t>
      </w:r>
      <w:proofErr w:type="spellStart"/>
      <w:r w:rsidR="007346CE">
        <w:rPr>
          <w:sz w:val="28"/>
          <w:szCs w:val="28"/>
        </w:rPr>
        <w:t>Tufh’s</w:t>
      </w:r>
      <w:proofErr w:type="spellEnd"/>
      <w:r w:rsidR="004642AC">
        <w:rPr>
          <w:sz w:val="28"/>
          <w:szCs w:val="28"/>
        </w:rPr>
        <w:t xml:space="preserve"> security in and to the property at risk and it was for this reason that </w:t>
      </w:r>
      <w:proofErr w:type="spellStart"/>
      <w:r w:rsidR="007346CE">
        <w:rPr>
          <w:sz w:val="28"/>
          <w:szCs w:val="28"/>
        </w:rPr>
        <w:t>Tufh</w:t>
      </w:r>
      <w:proofErr w:type="spellEnd"/>
      <w:r w:rsidR="004642AC">
        <w:rPr>
          <w:sz w:val="28"/>
          <w:szCs w:val="28"/>
        </w:rPr>
        <w:t xml:space="preserve"> was entitled </w:t>
      </w:r>
      <w:r w:rsidR="00790868">
        <w:rPr>
          <w:sz w:val="28"/>
          <w:szCs w:val="28"/>
        </w:rPr>
        <w:t xml:space="preserve">in terms of the loan agreement, </w:t>
      </w:r>
      <w:r w:rsidR="004642AC">
        <w:rPr>
          <w:sz w:val="28"/>
          <w:szCs w:val="28"/>
        </w:rPr>
        <w:t>to accelerate and declare all amounts due owing and payable. The total debt outstanding as at 21 February 2020 stood at R4 897 004.22.</w:t>
      </w:r>
    </w:p>
    <w:p w14:paraId="37BA8EC0" w14:textId="77777777" w:rsidR="00E85B89" w:rsidRDefault="00E85B89" w:rsidP="0012638C">
      <w:pPr>
        <w:rPr>
          <w:sz w:val="28"/>
          <w:szCs w:val="28"/>
        </w:rPr>
      </w:pPr>
    </w:p>
    <w:p w14:paraId="36FFC753" w14:textId="77777777" w:rsidR="0047591F" w:rsidRDefault="0047591F" w:rsidP="0012638C">
      <w:pPr>
        <w:rPr>
          <w:sz w:val="28"/>
          <w:szCs w:val="28"/>
        </w:rPr>
      </w:pPr>
    </w:p>
    <w:p w14:paraId="0B0337B1" w14:textId="2AE9053A" w:rsidR="00E85B89" w:rsidRDefault="00E85B89" w:rsidP="0012638C">
      <w:pPr>
        <w:rPr>
          <w:sz w:val="28"/>
          <w:szCs w:val="28"/>
        </w:rPr>
      </w:pPr>
      <w:r>
        <w:rPr>
          <w:b/>
          <w:sz w:val="28"/>
          <w:szCs w:val="28"/>
        </w:rPr>
        <w:lastRenderedPageBreak/>
        <w:t>Proceedings in the courts below</w:t>
      </w:r>
    </w:p>
    <w:p w14:paraId="487A5E4F" w14:textId="05E452E0" w:rsidR="00E85B89" w:rsidRPr="00D669F4" w:rsidRDefault="00E85B89" w:rsidP="0012638C">
      <w:pPr>
        <w:rPr>
          <w:b/>
          <w:i/>
          <w:sz w:val="28"/>
          <w:szCs w:val="28"/>
        </w:rPr>
      </w:pPr>
      <w:r w:rsidRPr="00D669F4">
        <w:rPr>
          <w:b/>
          <w:i/>
          <w:sz w:val="28"/>
          <w:szCs w:val="28"/>
        </w:rPr>
        <w:t xml:space="preserve">The court </w:t>
      </w:r>
      <w:r w:rsidR="00D14B94">
        <w:rPr>
          <w:b/>
          <w:i/>
          <w:sz w:val="28"/>
          <w:szCs w:val="28"/>
        </w:rPr>
        <w:t>of first instance</w:t>
      </w:r>
    </w:p>
    <w:p w14:paraId="2E055561" w14:textId="725621F9" w:rsidR="00652D2A" w:rsidRDefault="008023C7" w:rsidP="0012638C">
      <w:pPr>
        <w:rPr>
          <w:sz w:val="28"/>
          <w:szCs w:val="28"/>
        </w:rPr>
      </w:pPr>
      <w:r>
        <w:rPr>
          <w:sz w:val="28"/>
          <w:szCs w:val="28"/>
        </w:rPr>
        <w:t>[22</w:t>
      </w:r>
      <w:r w:rsidR="00652D2A">
        <w:rPr>
          <w:sz w:val="28"/>
          <w:szCs w:val="28"/>
        </w:rPr>
        <w:t>]</w:t>
      </w:r>
      <w:r w:rsidR="00652D2A">
        <w:rPr>
          <w:sz w:val="28"/>
          <w:szCs w:val="28"/>
        </w:rPr>
        <w:tab/>
      </w:r>
      <w:proofErr w:type="spellStart"/>
      <w:r w:rsidR="007346CE">
        <w:rPr>
          <w:sz w:val="28"/>
          <w:szCs w:val="28"/>
        </w:rPr>
        <w:t>Tufh’s</w:t>
      </w:r>
      <w:proofErr w:type="spellEnd"/>
      <w:r w:rsidR="00652D2A">
        <w:rPr>
          <w:sz w:val="28"/>
          <w:szCs w:val="28"/>
        </w:rPr>
        <w:t xml:space="preserve"> founding affidavit drew attention to the fact that a vital component of its business model was its right to protect the immovable property for which it </w:t>
      </w:r>
      <w:r w:rsidR="00456EC9">
        <w:rPr>
          <w:sz w:val="28"/>
          <w:szCs w:val="28"/>
        </w:rPr>
        <w:t xml:space="preserve">had </w:t>
      </w:r>
      <w:r w:rsidR="00652D2A">
        <w:rPr>
          <w:sz w:val="28"/>
          <w:szCs w:val="28"/>
        </w:rPr>
        <w:t>provide</w:t>
      </w:r>
      <w:r w:rsidR="00456EC9">
        <w:rPr>
          <w:sz w:val="28"/>
          <w:szCs w:val="28"/>
        </w:rPr>
        <w:t>d</w:t>
      </w:r>
      <w:r w:rsidR="00652D2A">
        <w:rPr>
          <w:sz w:val="28"/>
          <w:szCs w:val="28"/>
        </w:rPr>
        <w:t xml:space="preserve"> a loan facility and to ensure that the value of the property does not deteriorate. </w:t>
      </w:r>
      <w:proofErr w:type="spellStart"/>
      <w:r w:rsidR="007346CE">
        <w:rPr>
          <w:sz w:val="28"/>
          <w:szCs w:val="28"/>
        </w:rPr>
        <w:t>Tufh</w:t>
      </w:r>
      <w:proofErr w:type="spellEnd"/>
      <w:r w:rsidR="00652D2A">
        <w:rPr>
          <w:sz w:val="28"/>
          <w:szCs w:val="28"/>
        </w:rPr>
        <w:t xml:space="preserve"> pointed to typical examples of events that could have a material impact on the value of the </w:t>
      </w:r>
      <w:r w:rsidR="00DB5CDE" w:rsidRPr="00E3037E">
        <w:rPr>
          <w:sz w:val="28"/>
          <w:szCs w:val="28"/>
        </w:rPr>
        <w:t>im</w:t>
      </w:r>
      <w:r w:rsidR="00652D2A" w:rsidRPr="00E3037E">
        <w:rPr>
          <w:sz w:val="28"/>
          <w:szCs w:val="28"/>
        </w:rPr>
        <w:t>movable property. One such event was the failure on the part of the borrower to pay the municipal accounts rendered in respect of the property and these could</w:t>
      </w:r>
      <w:r w:rsidR="00DB5CDE" w:rsidRPr="00E3037E">
        <w:rPr>
          <w:sz w:val="28"/>
          <w:szCs w:val="28"/>
        </w:rPr>
        <w:t xml:space="preserve"> and did</w:t>
      </w:r>
      <w:r w:rsidR="00652D2A">
        <w:rPr>
          <w:sz w:val="28"/>
          <w:szCs w:val="28"/>
        </w:rPr>
        <w:t xml:space="preserve"> run into millions of </w:t>
      </w:r>
      <w:proofErr w:type="spellStart"/>
      <w:r w:rsidR="00652D2A">
        <w:rPr>
          <w:sz w:val="28"/>
          <w:szCs w:val="28"/>
        </w:rPr>
        <w:t>rands</w:t>
      </w:r>
      <w:proofErr w:type="spellEnd"/>
      <w:r w:rsidR="00652D2A">
        <w:rPr>
          <w:sz w:val="28"/>
          <w:szCs w:val="28"/>
        </w:rPr>
        <w:t xml:space="preserve">. </w:t>
      </w:r>
    </w:p>
    <w:p w14:paraId="671D8FD3" w14:textId="77777777" w:rsidR="00E85B89" w:rsidRDefault="00E85B89" w:rsidP="0012638C">
      <w:pPr>
        <w:rPr>
          <w:sz w:val="28"/>
          <w:szCs w:val="28"/>
        </w:rPr>
      </w:pPr>
    </w:p>
    <w:p w14:paraId="10E4CFA9" w14:textId="6DE874EE" w:rsidR="00E85B89" w:rsidRDefault="00E85B89" w:rsidP="0012638C">
      <w:pPr>
        <w:rPr>
          <w:sz w:val="28"/>
          <w:szCs w:val="28"/>
        </w:rPr>
      </w:pPr>
      <w:r>
        <w:rPr>
          <w:sz w:val="28"/>
          <w:szCs w:val="28"/>
        </w:rPr>
        <w:t>[2</w:t>
      </w:r>
      <w:r w:rsidR="008023C7">
        <w:rPr>
          <w:sz w:val="28"/>
          <w:szCs w:val="28"/>
        </w:rPr>
        <w:t>3</w:t>
      </w:r>
      <w:r>
        <w:rPr>
          <w:sz w:val="28"/>
          <w:szCs w:val="28"/>
        </w:rPr>
        <w:t>]</w:t>
      </w:r>
      <w:r>
        <w:rPr>
          <w:sz w:val="28"/>
          <w:szCs w:val="28"/>
        </w:rPr>
        <w:tab/>
        <w:t xml:space="preserve">In opposing the application </w:t>
      </w:r>
      <w:proofErr w:type="spellStart"/>
      <w:r w:rsidR="00CF1338">
        <w:rPr>
          <w:sz w:val="28"/>
          <w:szCs w:val="28"/>
        </w:rPr>
        <w:t>Wolmarans</w:t>
      </w:r>
      <w:proofErr w:type="spellEnd"/>
      <w:r>
        <w:rPr>
          <w:sz w:val="28"/>
          <w:szCs w:val="28"/>
        </w:rPr>
        <w:t xml:space="preserve"> persisted with its denial that it was in breach of the loan agreement. It denied that there were any municipal charges due and payable to the </w:t>
      </w:r>
      <w:proofErr w:type="spellStart"/>
      <w:r>
        <w:rPr>
          <w:sz w:val="28"/>
          <w:szCs w:val="28"/>
        </w:rPr>
        <w:t>CoJ</w:t>
      </w:r>
      <w:proofErr w:type="spellEnd"/>
      <w:r>
        <w:rPr>
          <w:sz w:val="28"/>
          <w:szCs w:val="28"/>
        </w:rPr>
        <w:t xml:space="preserve"> at the time that </w:t>
      </w:r>
      <w:proofErr w:type="spellStart"/>
      <w:r w:rsidR="007346CE">
        <w:rPr>
          <w:sz w:val="28"/>
          <w:szCs w:val="28"/>
        </w:rPr>
        <w:t>Tufh</w:t>
      </w:r>
      <w:proofErr w:type="spellEnd"/>
      <w:r>
        <w:rPr>
          <w:sz w:val="28"/>
          <w:szCs w:val="28"/>
        </w:rPr>
        <w:t xml:space="preserve"> had placed it on terms to remedy any breaches. It blamed the </w:t>
      </w:r>
      <w:proofErr w:type="spellStart"/>
      <w:r>
        <w:rPr>
          <w:sz w:val="28"/>
          <w:szCs w:val="28"/>
        </w:rPr>
        <w:t>CoJ</w:t>
      </w:r>
      <w:proofErr w:type="spellEnd"/>
      <w:r>
        <w:rPr>
          <w:sz w:val="28"/>
          <w:szCs w:val="28"/>
        </w:rPr>
        <w:t xml:space="preserve"> for its failure to render proper statements of account. It averred that the </w:t>
      </w:r>
      <w:proofErr w:type="spellStart"/>
      <w:r>
        <w:rPr>
          <w:sz w:val="28"/>
          <w:szCs w:val="28"/>
        </w:rPr>
        <w:t>CoJ</w:t>
      </w:r>
      <w:proofErr w:type="spellEnd"/>
      <w:r>
        <w:rPr>
          <w:sz w:val="28"/>
          <w:szCs w:val="28"/>
        </w:rPr>
        <w:t xml:space="preserve"> was experiencing a </w:t>
      </w:r>
      <w:r w:rsidR="00790868">
        <w:rPr>
          <w:sz w:val="28"/>
          <w:szCs w:val="28"/>
        </w:rPr>
        <w:t>billing</w:t>
      </w:r>
      <w:r>
        <w:rPr>
          <w:sz w:val="28"/>
          <w:szCs w:val="28"/>
        </w:rPr>
        <w:t xml:space="preserve"> crisis. It further averred that there was an ongoing dispute between it and the </w:t>
      </w:r>
      <w:proofErr w:type="spellStart"/>
      <w:r>
        <w:rPr>
          <w:sz w:val="28"/>
          <w:szCs w:val="28"/>
        </w:rPr>
        <w:t>CoJ</w:t>
      </w:r>
      <w:proofErr w:type="spellEnd"/>
      <w:r>
        <w:rPr>
          <w:sz w:val="28"/>
          <w:szCs w:val="28"/>
        </w:rPr>
        <w:t xml:space="preserve"> regarding its accounts. It maintained, however, that there was no obligation on it to make payment to the </w:t>
      </w:r>
      <w:proofErr w:type="spellStart"/>
      <w:r>
        <w:rPr>
          <w:sz w:val="28"/>
          <w:szCs w:val="28"/>
        </w:rPr>
        <w:t>CoJ</w:t>
      </w:r>
      <w:proofErr w:type="spellEnd"/>
      <w:r w:rsidR="006F4ED1">
        <w:rPr>
          <w:sz w:val="28"/>
          <w:szCs w:val="28"/>
        </w:rPr>
        <w:t xml:space="preserve"> of undisputed amounts,</w:t>
      </w:r>
      <w:r>
        <w:rPr>
          <w:sz w:val="28"/>
          <w:szCs w:val="28"/>
        </w:rPr>
        <w:t xml:space="preserve"> </w:t>
      </w:r>
      <w:r w:rsidR="00790868">
        <w:rPr>
          <w:sz w:val="28"/>
          <w:szCs w:val="28"/>
        </w:rPr>
        <w:t xml:space="preserve">even </w:t>
      </w:r>
      <w:r>
        <w:rPr>
          <w:sz w:val="28"/>
          <w:szCs w:val="28"/>
        </w:rPr>
        <w:t>under protest</w:t>
      </w:r>
      <w:r w:rsidR="006F4ED1">
        <w:rPr>
          <w:sz w:val="28"/>
          <w:szCs w:val="28"/>
        </w:rPr>
        <w:t>,</w:t>
      </w:r>
      <w:r>
        <w:rPr>
          <w:sz w:val="28"/>
          <w:szCs w:val="28"/>
        </w:rPr>
        <w:t xml:space="preserve"> given the billing dispute as the </w:t>
      </w:r>
      <w:proofErr w:type="spellStart"/>
      <w:r>
        <w:rPr>
          <w:sz w:val="28"/>
          <w:szCs w:val="28"/>
        </w:rPr>
        <w:t>CoJ</w:t>
      </w:r>
      <w:proofErr w:type="spellEnd"/>
      <w:r>
        <w:rPr>
          <w:sz w:val="28"/>
          <w:szCs w:val="28"/>
        </w:rPr>
        <w:t xml:space="preserve"> itself had not called upon it to pay.</w:t>
      </w:r>
    </w:p>
    <w:p w14:paraId="63F2387C" w14:textId="77777777" w:rsidR="00E85B89" w:rsidRDefault="00E85B89" w:rsidP="0012638C">
      <w:pPr>
        <w:rPr>
          <w:sz w:val="28"/>
          <w:szCs w:val="28"/>
        </w:rPr>
      </w:pPr>
    </w:p>
    <w:p w14:paraId="5E6DDAF7" w14:textId="0B671393" w:rsidR="00E85B89" w:rsidRDefault="00E85B89" w:rsidP="0012638C">
      <w:pPr>
        <w:rPr>
          <w:sz w:val="28"/>
          <w:szCs w:val="28"/>
        </w:rPr>
      </w:pPr>
      <w:r>
        <w:rPr>
          <w:sz w:val="28"/>
          <w:szCs w:val="28"/>
        </w:rPr>
        <w:t>[2</w:t>
      </w:r>
      <w:r w:rsidR="008023C7">
        <w:rPr>
          <w:sz w:val="28"/>
          <w:szCs w:val="28"/>
        </w:rPr>
        <w:t>4</w:t>
      </w:r>
      <w:r w:rsidR="00CA06AB">
        <w:rPr>
          <w:sz w:val="28"/>
          <w:szCs w:val="28"/>
        </w:rPr>
        <w:t>]</w:t>
      </w:r>
      <w:r w:rsidR="00CA06AB">
        <w:rPr>
          <w:sz w:val="28"/>
          <w:szCs w:val="28"/>
        </w:rPr>
        <w:tab/>
        <w:t>The cour</w:t>
      </w:r>
      <w:r>
        <w:rPr>
          <w:sz w:val="28"/>
          <w:szCs w:val="28"/>
        </w:rPr>
        <w:t xml:space="preserve">t </w:t>
      </w:r>
      <w:r w:rsidR="006F4ED1">
        <w:rPr>
          <w:sz w:val="28"/>
          <w:szCs w:val="28"/>
        </w:rPr>
        <w:t>of first instance</w:t>
      </w:r>
      <w:r>
        <w:rPr>
          <w:sz w:val="28"/>
          <w:szCs w:val="28"/>
        </w:rPr>
        <w:t xml:space="preserve"> found that since there was a historical dispute between </w:t>
      </w:r>
      <w:proofErr w:type="spellStart"/>
      <w:r w:rsidR="00CF1338">
        <w:rPr>
          <w:sz w:val="28"/>
          <w:szCs w:val="28"/>
        </w:rPr>
        <w:t>Wolmarans</w:t>
      </w:r>
      <w:proofErr w:type="spellEnd"/>
      <w:r>
        <w:rPr>
          <w:sz w:val="28"/>
          <w:szCs w:val="28"/>
        </w:rPr>
        <w:t xml:space="preserve"> and the </w:t>
      </w:r>
      <w:proofErr w:type="spellStart"/>
      <w:r>
        <w:rPr>
          <w:sz w:val="28"/>
          <w:szCs w:val="28"/>
        </w:rPr>
        <w:t>CoJ</w:t>
      </w:r>
      <w:proofErr w:type="spellEnd"/>
      <w:r>
        <w:rPr>
          <w:sz w:val="28"/>
          <w:szCs w:val="28"/>
        </w:rPr>
        <w:t xml:space="preserve"> which resulted in the 2016 court order for a statement and </w:t>
      </w:r>
      <w:proofErr w:type="spellStart"/>
      <w:r>
        <w:rPr>
          <w:sz w:val="28"/>
          <w:szCs w:val="28"/>
        </w:rPr>
        <w:t>debatement</w:t>
      </w:r>
      <w:proofErr w:type="spellEnd"/>
      <w:r>
        <w:rPr>
          <w:sz w:val="28"/>
          <w:szCs w:val="28"/>
        </w:rPr>
        <w:t xml:space="preserve">, and since the </w:t>
      </w:r>
      <w:proofErr w:type="spellStart"/>
      <w:r>
        <w:rPr>
          <w:sz w:val="28"/>
          <w:szCs w:val="28"/>
        </w:rPr>
        <w:t>CoJ</w:t>
      </w:r>
      <w:proofErr w:type="spellEnd"/>
      <w:r>
        <w:rPr>
          <w:sz w:val="28"/>
          <w:szCs w:val="28"/>
        </w:rPr>
        <w:t xml:space="preserve"> had itself </w:t>
      </w:r>
      <w:r w:rsidR="00790868">
        <w:rPr>
          <w:sz w:val="28"/>
          <w:szCs w:val="28"/>
        </w:rPr>
        <w:t xml:space="preserve">not </w:t>
      </w:r>
      <w:r>
        <w:rPr>
          <w:sz w:val="28"/>
          <w:szCs w:val="28"/>
        </w:rPr>
        <w:t xml:space="preserve">asserted </w:t>
      </w:r>
      <w:r w:rsidR="00790868">
        <w:rPr>
          <w:sz w:val="28"/>
          <w:szCs w:val="28"/>
        </w:rPr>
        <w:t>any</w:t>
      </w:r>
      <w:r>
        <w:rPr>
          <w:sz w:val="28"/>
          <w:szCs w:val="28"/>
        </w:rPr>
        <w:t xml:space="preserve"> rights to payment since then, </w:t>
      </w:r>
      <w:r w:rsidR="00EF5773">
        <w:rPr>
          <w:sz w:val="28"/>
          <w:szCs w:val="28"/>
        </w:rPr>
        <w:t xml:space="preserve">it would be unconscionable for </w:t>
      </w:r>
      <w:proofErr w:type="spellStart"/>
      <w:r w:rsidR="007346CE">
        <w:rPr>
          <w:sz w:val="28"/>
          <w:szCs w:val="28"/>
        </w:rPr>
        <w:t>Tufh</w:t>
      </w:r>
      <w:proofErr w:type="spellEnd"/>
      <w:r>
        <w:rPr>
          <w:sz w:val="28"/>
          <w:szCs w:val="28"/>
        </w:rPr>
        <w:t xml:space="preserve"> </w:t>
      </w:r>
      <w:r w:rsidR="00EF5773">
        <w:rPr>
          <w:sz w:val="28"/>
          <w:szCs w:val="28"/>
        </w:rPr>
        <w:t>to</w:t>
      </w:r>
      <w:r>
        <w:rPr>
          <w:sz w:val="28"/>
          <w:szCs w:val="28"/>
        </w:rPr>
        <w:t xml:space="preserve"> claim that </w:t>
      </w:r>
      <w:proofErr w:type="spellStart"/>
      <w:r w:rsidR="00CF1338">
        <w:rPr>
          <w:sz w:val="28"/>
          <w:szCs w:val="28"/>
        </w:rPr>
        <w:t>Wolmarans</w:t>
      </w:r>
      <w:proofErr w:type="spellEnd"/>
      <w:r>
        <w:rPr>
          <w:sz w:val="28"/>
          <w:szCs w:val="28"/>
        </w:rPr>
        <w:t xml:space="preserve"> was in breach of the loan agreement</w:t>
      </w:r>
      <w:r w:rsidR="00EF5773">
        <w:rPr>
          <w:sz w:val="28"/>
          <w:szCs w:val="28"/>
        </w:rPr>
        <w:t xml:space="preserve"> and </w:t>
      </w:r>
      <w:r w:rsidR="006F4ED1">
        <w:rPr>
          <w:sz w:val="28"/>
          <w:szCs w:val="28"/>
        </w:rPr>
        <w:t xml:space="preserve">to </w:t>
      </w:r>
      <w:r w:rsidR="00EF5773">
        <w:rPr>
          <w:sz w:val="28"/>
          <w:szCs w:val="28"/>
        </w:rPr>
        <w:t>foreclose on the mortgage bond.</w:t>
      </w:r>
    </w:p>
    <w:p w14:paraId="447AC9FA" w14:textId="77777777" w:rsidR="00337D25" w:rsidRDefault="00337D25" w:rsidP="0012638C">
      <w:pPr>
        <w:rPr>
          <w:sz w:val="28"/>
          <w:szCs w:val="28"/>
        </w:rPr>
      </w:pPr>
    </w:p>
    <w:p w14:paraId="35A359DB" w14:textId="0DD2A596" w:rsidR="00337D25" w:rsidRDefault="00337D25" w:rsidP="0012638C">
      <w:pPr>
        <w:rPr>
          <w:sz w:val="28"/>
          <w:szCs w:val="28"/>
        </w:rPr>
      </w:pPr>
      <w:r>
        <w:rPr>
          <w:sz w:val="28"/>
          <w:szCs w:val="28"/>
        </w:rPr>
        <w:t>[2</w:t>
      </w:r>
      <w:r w:rsidR="008023C7">
        <w:rPr>
          <w:sz w:val="28"/>
          <w:szCs w:val="28"/>
        </w:rPr>
        <w:t>5</w:t>
      </w:r>
      <w:r>
        <w:rPr>
          <w:sz w:val="28"/>
          <w:szCs w:val="28"/>
        </w:rPr>
        <w:t>]</w:t>
      </w:r>
      <w:r>
        <w:rPr>
          <w:sz w:val="28"/>
          <w:szCs w:val="28"/>
        </w:rPr>
        <w:tab/>
        <w:t xml:space="preserve">In dismissing the application the court </w:t>
      </w:r>
      <w:r w:rsidR="006F4ED1">
        <w:rPr>
          <w:sz w:val="28"/>
          <w:szCs w:val="28"/>
        </w:rPr>
        <w:t>of first instance</w:t>
      </w:r>
      <w:r>
        <w:rPr>
          <w:sz w:val="28"/>
          <w:szCs w:val="28"/>
        </w:rPr>
        <w:t xml:space="preserve"> ultimately found that:</w:t>
      </w:r>
    </w:p>
    <w:p w14:paraId="4965CF69" w14:textId="7CF63572" w:rsidR="00337D25" w:rsidRPr="00337D25" w:rsidRDefault="00337D25" w:rsidP="0012638C">
      <w:pPr>
        <w:rPr>
          <w:szCs w:val="28"/>
        </w:rPr>
      </w:pPr>
      <w:r w:rsidRPr="00337D25">
        <w:rPr>
          <w:szCs w:val="28"/>
        </w:rPr>
        <w:lastRenderedPageBreak/>
        <w:t>‘. . . In my respectful view, allowing the applicant to rely on non-payment of such services, electricity, rates and taxes as a ground to allege a breach of the loan agreement entitling it to the cancellation, accelerated payment, and cession of rental revenue generated by the first respondent would be prejudicial to the first respondent. Allowing the applicant to take such draconian steps when the first respondent is in fact up to date with its loan repayments will be an injustice of great proportion.’</w:t>
      </w:r>
    </w:p>
    <w:p w14:paraId="0C6D5126" w14:textId="77777777" w:rsidR="00337D25" w:rsidRDefault="00337D25" w:rsidP="0012638C">
      <w:pPr>
        <w:rPr>
          <w:sz w:val="28"/>
          <w:szCs w:val="28"/>
        </w:rPr>
      </w:pPr>
    </w:p>
    <w:p w14:paraId="58CEE6A9" w14:textId="79051189" w:rsidR="00337D25" w:rsidRPr="00D669F4" w:rsidRDefault="00337D25" w:rsidP="0012638C">
      <w:pPr>
        <w:rPr>
          <w:b/>
          <w:i/>
          <w:sz w:val="28"/>
          <w:szCs w:val="28"/>
        </w:rPr>
      </w:pPr>
      <w:r w:rsidRPr="00D669F4">
        <w:rPr>
          <w:b/>
          <w:i/>
          <w:sz w:val="28"/>
          <w:szCs w:val="28"/>
        </w:rPr>
        <w:t>The full court</w:t>
      </w:r>
    </w:p>
    <w:p w14:paraId="37E5BAA2" w14:textId="383B77F6" w:rsidR="00B26B1E" w:rsidRDefault="008023C7" w:rsidP="0012638C">
      <w:pPr>
        <w:rPr>
          <w:sz w:val="28"/>
          <w:szCs w:val="28"/>
        </w:rPr>
      </w:pPr>
      <w:r>
        <w:rPr>
          <w:sz w:val="28"/>
          <w:szCs w:val="28"/>
        </w:rPr>
        <w:t>[26</w:t>
      </w:r>
      <w:r w:rsidR="00B26B1E">
        <w:rPr>
          <w:sz w:val="28"/>
          <w:szCs w:val="28"/>
        </w:rPr>
        <w:t>]</w:t>
      </w:r>
      <w:r w:rsidR="00B26B1E">
        <w:rPr>
          <w:sz w:val="28"/>
          <w:szCs w:val="28"/>
        </w:rPr>
        <w:tab/>
        <w:t xml:space="preserve">The central issue identified by the full court for determination was </w:t>
      </w:r>
      <w:r w:rsidR="00B26B1E" w:rsidRPr="00E3037E">
        <w:rPr>
          <w:sz w:val="28"/>
          <w:szCs w:val="28"/>
        </w:rPr>
        <w:t>whether</w:t>
      </w:r>
      <w:r w:rsidR="00EF5773" w:rsidRPr="00E3037E">
        <w:rPr>
          <w:sz w:val="28"/>
          <w:szCs w:val="28"/>
        </w:rPr>
        <w:t>,</w:t>
      </w:r>
      <w:r w:rsidR="00B26B1E" w:rsidRPr="00E3037E">
        <w:rPr>
          <w:sz w:val="28"/>
          <w:szCs w:val="28"/>
        </w:rPr>
        <w:t xml:space="preserve"> despite </w:t>
      </w:r>
      <w:proofErr w:type="spellStart"/>
      <w:r w:rsidR="00CF1338" w:rsidRPr="00E3037E">
        <w:rPr>
          <w:sz w:val="28"/>
          <w:szCs w:val="28"/>
        </w:rPr>
        <w:t>Wolmarans</w:t>
      </w:r>
      <w:proofErr w:type="spellEnd"/>
      <w:r w:rsidR="00B26B1E" w:rsidRPr="00E3037E">
        <w:rPr>
          <w:sz w:val="28"/>
          <w:szCs w:val="28"/>
        </w:rPr>
        <w:t xml:space="preserve"> keeping up with its monthly instalment in terms of the loan agreement, </w:t>
      </w:r>
      <w:proofErr w:type="spellStart"/>
      <w:r w:rsidR="007346CE" w:rsidRPr="00E3037E">
        <w:rPr>
          <w:sz w:val="28"/>
          <w:szCs w:val="28"/>
        </w:rPr>
        <w:t>Tufh</w:t>
      </w:r>
      <w:proofErr w:type="spellEnd"/>
      <w:r w:rsidR="00B26B1E" w:rsidRPr="00E3037E">
        <w:rPr>
          <w:sz w:val="28"/>
          <w:szCs w:val="28"/>
        </w:rPr>
        <w:t xml:space="preserve"> was entitled to accelerate payment and claim the full amount outstanding </w:t>
      </w:r>
      <w:r w:rsidR="00790868" w:rsidRPr="00E3037E">
        <w:rPr>
          <w:sz w:val="28"/>
          <w:szCs w:val="28"/>
        </w:rPr>
        <w:t>in circumstances where</w:t>
      </w:r>
      <w:r w:rsidR="00B26B1E" w:rsidRPr="00E3037E">
        <w:rPr>
          <w:sz w:val="28"/>
          <w:szCs w:val="28"/>
        </w:rPr>
        <w:t xml:space="preserve"> </w:t>
      </w:r>
      <w:proofErr w:type="spellStart"/>
      <w:r w:rsidR="00CF1338" w:rsidRPr="00E3037E">
        <w:rPr>
          <w:sz w:val="28"/>
          <w:szCs w:val="28"/>
        </w:rPr>
        <w:t>Wolmarans</w:t>
      </w:r>
      <w:proofErr w:type="spellEnd"/>
      <w:r w:rsidR="00B26B1E" w:rsidRPr="00E3037E">
        <w:rPr>
          <w:sz w:val="28"/>
          <w:szCs w:val="28"/>
        </w:rPr>
        <w:t xml:space="preserve"> had failed to </w:t>
      </w:r>
      <w:r w:rsidR="00DB5CDE" w:rsidRPr="00E3037E">
        <w:rPr>
          <w:sz w:val="28"/>
          <w:szCs w:val="28"/>
        </w:rPr>
        <w:t xml:space="preserve">pay </w:t>
      </w:r>
      <w:r w:rsidR="00B26B1E" w:rsidRPr="00E3037E">
        <w:rPr>
          <w:sz w:val="28"/>
          <w:szCs w:val="28"/>
        </w:rPr>
        <w:t xml:space="preserve">the </w:t>
      </w:r>
      <w:proofErr w:type="spellStart"/>
      <w:r w:rsidR="00B26B1E" w:rsidRPr="00E3037E">
        <w:rPr>
          <w:sz w:val="28"/>
          <w:szCs w:val="28"/>
        </w:rPr>
        <w:t>CoJ</w:t>
      </w:r>
      <w:proofErr w:type="spellEnd"/>
      <w:r w:rsidR="00B26B1E" w:rsidRPr="00E3037E">
        <w:rPr>
          <w:sz w:val="28"/>
          <w:szCs w:val="28"/>
        </w:rPr>
        <w:t xml:space="preserve"> for</w:t>
      </w:r>
      <w:r w:rsidR="00B26B1E">
        <w:rPr>
          <w:sz w:val="28"/>
          <w:szCs w:val="28"/>
        </w:rPr>
        <w:t xml:space="preserve"> municipal services rendered.</w:t>
      </w:r>
    </w:p>
    <w:p w14:paraId="33A48604" w14:textId="77777777" w:rsidR="00B26B1E" w:rsidRDefault="00B26B1E" w:rsidP="0012638C">
      <w:pPr>
        <w:rPr>
          <w:sz w:val="28"/>
          <w:szCs w:val="28"/>
        </w:rPr>
      </w:pPr>
    </w:p>
    <w:p w14:paraId="49B60A97" w14:textId="3EC5D851" w:rsidR="00B26B1E" w:rsidRDefault="008023C7" w:rsidP="0012638C">
      <w:pPr>
        <w:rPr>
          <w:sz w:val="28"/>
          <w:szCs w:val="28"/>
        </w:rPr>
      </w:pPr>
      <w:r>
        <w:rPr>
          <w:sz w:val="28"/>
          <w:szCs w:val="28"/>
        </w:rPr>
        <w:t>[27</w:t>
      </w:r>
      <w:r w:rsidR="00B26B1E">
        <w:rPr>
          <w:sz w:val="28"/>
          <w:szCs w:val="28"/>
        </w:rPr>
        <w:t>]</w:t>
      </w:r>
      <w:r w:rsidR="00B26B1E">
        <w:rPr>
          <w:sz w:val="28"/>
          <w:szCs w:val="28"/>
        </w:rPr>
        <w:tab/>
        <w:t xml:space="preserve">The full court considered that </w:t>
      </w:r>
      <w:proofErr w:type="spellStart"/>
      <w:r w:rsidR="00CF1338">
        <w:rPr>
          <w:sz w:val="28"/>
          <w:szCs w:val="28"/>
        </w:rPr>
        <w:t>Wolmarans</w:t>
      </w:r>
      <w:proofErr w:type="spellEnd"/>
      <w:r w:rsidR="00B26B1E">
        <w:rPr>
          <w:sz w:val="28"/>
          <w:szCs w:val="28"/>
        </w:rPr>
        <w:t xml:space="preserve"> had admitted that since 6 March 2014 it was charged for water and electricity </w:t>
      </w:r>
      <w:r w:rsidR="00790868">
        <w:rPr>
          <w:sz w:val="28"/>
          <w:szCs w:val="28"/>
        </w:rPr>
        <w:t>and that such</w:t>
      </w:r>
      <w:r w:rsidR="00B26B1E">
        <w:rPr>
          <w:sz w:val="28"/>
          <w:szCs w:val="28"/>
        </w:rPr>
        <w:t xml:space="preserve"> </w:t>
      </w:r>
      <w:r w:rsidR="00652D2A">
        <w:rPr>
          <w:sz w:val="28"/>
          <w:szCs w:val="28"/>
        </w:rPr>
        <w:t xml:space="preserve">services </w:t>
      </w:r>
      <w:r w:rsidR="00B26B1E">
        <w:rPr>
          <w:sz w:val="28"/>
          <w:szCs w:val="28"/>
        </w:rPr>
        <w:t xml:space="preserve">continued to be supplied to the property. </w:t>
      </w:r>
      <w:r w:rsidR="00462EED">
        <w:rPr>
          <w:sz w:val="28"/>
          <w:szCs w:val="28"/>
        </w:rPr>
        <w:t>It</w:t>
      </w:r>
      <w:r w:rsidR="00B26B1E">
        <w:rPr>
          <w:sz w:val="28"/>
          <w:szCs w:val="28"/>
        </w:rPr>
        <w:t xml:space="preserve"> also admitted that it </w:t>
      </w:r>
      <w:r w:rsidR="00790868">
        <w:rPr>
          <w:sz w:val="28"/>
          <w:szCs w:val="28"/>
        </w:rPr>
        <w:t>had been</w:t>
      </w:r>
      <w:r w:rsidR="00B26B1E">
        <w:rPr>
          <w:sz w:val="28"/>
          <w:szCs w:val="28"/>
        </w:rPr>
        <w:t xml:space="preserve"> levied for property rates and taxes and that save for the sum of R25 000 which it paid in respect of water and electricity on 30 October 2015, no other payments </w:t>
      </w:r>
      <w:r w:rsidR="00790868">
        <w:rPr>
          <w:sz w:val="28"/>
          <w:szCs w:val="28"/>
        </w:rPr>
        <w:t>were made</w:t>
      </w:r>
      <w:r w:rsidR="00B26B1E">
        <w:rPr>
          <w:sz w:val="28"/>
          <w:szCs w:val="28"/>
        </w:rPr>
        <w:t xml:space="preserve">. The full court considered that </w:t>
      </w:r>
      <w:proofErr w:type="spellStart"/>
      <w:r w:rsidR="00CF1338">
        <w:rPr>
          <w:sz w:val="28"/>
          <w:szCs w:val="28"/>
        </w:rPr>
        <w:t>Wolmarans</w:t>
      </w:r>
      <w:proofErr w:type="spellEnd"/>
      <w:r w:rsidR="00B26B1E">
        <w:rPr>
          <w:sz w:val="28"/>
          <w:szCs w:val="28"/>
        </w:rPr>
        <w:t xml:space="preserve"> had fallen into significant arrears</w:t>
      </w:r>
      <w:r w:rsidR="00652D2A">
        <w:rPr>
          <w:sz w:val="28"/>
          <w:szCs w:val="28"/>
        </w:rPr>
        <w:t xml:space="preserve"> as</w:t>
      </w:r>
      <w:r w:rsidR="00B26B1E">
        <w:rPr>
          <w:sz w:val="28"/>
          <w:szCs w:val="28"/>
        </w:rPr>
        <w:t xml:space="preserve"> evidenced by the amounts referred to above. </w:t>
      </w:r>
    </w:p>
    <w:p w14:paraId="5D857C87" w14:textId="77777777" w:rsidR="00652D2A" w:rsidRDefault="00652D2A" w:rsidP="0012638C">
      <w:pPr>
        <w:rPr>
          <w:sz w:val="28"/>
          <w:szCs w:val="28"/>
        </w:rPr>
      </w:pPr>
    </w:p>
    <w:p w14:paraId="650729F2" w14:textId="6D8A4993" w:rsidR="00652D2A" w:rsidRPr="00652D2A" w:rsidRDefault="008023C7" w:rsidP="0012638C">
      <w:pPr>
        <w:rPr>
          <w:sz w:val="28"/>
          <w:szCs w:val="28"/>
        </w:rPr>
      </w:pPr>
      <w:r>
        <w:rPr>
          <w:sz w:val="28"/>
          <w:szCs w:val="28"/>
        </w:rPr>
        <w:t>[28</w:t>
      </w:r>
      <w:r w:rsidR="00652D2A">
        <w:rPr>
          <w:sz w:val="28"/>
          <w:szCs w:val="28"/>
        </w:rPr>
        <w:t>]</w:t>
      </w:r>
      <w:r w:rsidR="00652D2A">
        <w:rPr>
          <w:sz w:val="28"/>
          <w:szCs w:val="28"/>
        </w:rPr>
        <w:tab/>
        <w:t xml:space="preserve">Placing reliance on the principle of </w:t>
      </w:r>
      <w:proofErr w:type="spellStart"/>
      <w:r w:rsidR="00652D2A">
        <w:rPr>
          <w:i/>
          <w:sz w:val="28"/>
          <w:szCs w:val="28"/>
        </w:rPr>
        <w:t>pacta</w:t>
      </w:r>
      <w:proofErr w:type="spellEnd"/>
      <w:r w:rsidR="00652D2A">
        <w:rPr>
          <w:i/>
          <w:sz w:val="28"/>
          <w:szCs w:val="28"/>
        </w:rPr>
        <w:t xml:space="preserve"> </w:t>
      </w:r>
      <w:proofErr w:type="spellStart"/>
      <w:r w:rsidR="00652D2A">
        <w:rPr>
          <w:i/>
          <w:sz w:val="28"/>
          <w:szCs w:val="28"/>
        </w:rPr>
        <w:t>sunt</w:t>
      </w:r>
      <w:proofErr w:type="spellEnd"/>
      <w:r w:rsidR="00652D2A">
        <w:rPr>
          <w:i/>
          <w:sz w:val="28"/>
          <w:szCs w:val="28"/>
        </w:rPr>
        <w:t xml:space="preserve"> </w:t>
      </w:r>
      <w:proofErr w:type="spellStart"/>
      <w:r w:rsidR="00652D2A">
        <w:rPr>
          <w:i/>
          <w:sz w:val="28"/>
          <w:szCs w:val="28"/>
        </w:rPr>
        <w:t>servanda</w:t>
      </w:r>
      <w:proofErr w:type="spellEnd"/>
      <w:r w:rsidR="00652D2A">
        <w:rPr>
          <w:sz w:val="28"/>
          <w:szCs w:val="28"/>
        </w:rPr>
        <w:t xml:space="preserve">, the full court found that ‘generally, contracting parties have considerable freedom in choosing how they structure their agreements, and it is not the function of the court to protect consenting adults from bad bargains. </w:t>
      </w:r>
      <w:r w:rsidR="0067200D">
        <w:rPr>
          <w:sz w:val="28"/>
          <w:szCs w:val="28"/>
        </w:rPr>
        <w:t xml:space="preserve">Legal certainty and the notion </w:t>
      </w:r>
      <w:r w:rsidR="00652D2A">
        <w:rPr>
          <w:sz w:val="28"/>
          <w:szCs w:val="28"/>
        </w:rPr>
        <w:t xml:space="preserve">of </w:t>
      </w:r>
      <w:proofErr w:type="spellStart"/>
      <w:r w:rsidR="00652D2A">
        <w:rPr>
          <w:i/>
          <w:sz w:val="28"/>
          <w:szCs w:val="28"/>
        </w:rPr>
        <w:t>pacta</w:t>
      </w:r>
      <w:proofErr w:type="spellEnd"/>
      <w:r w:rsidR="00652D2A">
        <w:rPr>
          <w:i/>
          <w:sz w:val="28"/>
          <w:szCs w:val="28"/>
        </w:rPr>
        <w:t xml:space="preserve"> </w:t>
      </w:r>
      <w:proofErr w:type="spellStart"/>
      <w:r w:rsidR="00652D2A">
        <w:rPr>
          <w:i/>
          <w:sz w:val="28"/>
          <w:szCs w:val="28"/>
        </w:rPr>
        <w:t>sunt</w:t>
      </w:r>
      <w:proofErr w:type="spellEnd"/>
      <w:r w:rsidR="00652D2A">
        <w:rPr>
          <w:i/>
          <w:sz w:val="28"/>
          <w:szCs w:val="28"/>
        </w:rPr>
        <w:t xml:space="preserve"> </w:t>
      </w:r>
      <w:proofErr w:type="spellStart"/>
      <w:r w:rsidR="00652D2A">
        <w:rPr>
          <w:i/>
          <w:sz w:val="28"/>
          <w:szCs w:val="28"/>
        </w:rPr>
        <w:t>servanda</w:t>
      </w:r>
      <w:proofErr w:type="spellEnd"/>
      <w:r w:rsidR="00652D2A">
        <w:rPr>
          <w:sz w:val="28"/>
          <w:szCs w:val="28"/>
        </w:rPr>
        <w:t xml:space="preserve"> are </w:t>
      </w:r>
      <w:r w:rsidR="00652D2A">
        <w:rPr>
          <w:sz w:val="28"/>
          <w:szCs w:val="28"/>
        </w:rPr>
        <w:lastRenderedPageBreak/>
        <w:t>central values of the law of contract, which must be honoured and enforced by the courts’.</w:t>
      </w:r>
    </w:p>
    <w:p w14:paraId="3BD930E9" w14:textId="77777777" w:rsidR="00B26B1E" w:rsidRDefault="00B26B1E" w:rsidP="0012638C">
      <w:pPr>
        <w:rPr>
          <w:sz w:val="28"/>
          <w:szCs w:val="28"/>
        </w:rPr>
      </w:pPr>
    </w:p>
    <w:p w14:paraId="6C5982BE" w14:textId="0F92BB86" w:rsidR="005D5D86" w:rsidRDefault="008023C7" w:rsidP="0012638C">
      <w:pPr>
        <w:rPr>
          <w:sz w:val="28"/>
          <w:szCs w:val="28"/>
        </w:rPr>
      </w:pPr>
      <w:r>
        <w:rPr>
          <w:sz w:val="28"/>
          <w:szCs w:val="28"/>
        </w:rPr>
        <w:t>[29</w:t>
      </w:r>
      <w:r w:rsidR="00B26B1E">
        <w:rPr>
          <w:sz w:val="28"/>
          <w:szCs w:val="28"/>
        </w:rPr>
        <w:t>]</w:t>
      </w:r>
      <w:r w:rsidR="00B26B1E">
        <w:rPr>
          <w:sz w:val="28"/>
          <w:szCs w:val="28"/>
        </w:rPr>
        <w:tab/>
        <w:t xml:space="preserve">It found that </w:t>
      </w:r>
      <w:proofErr w:type="spellStart"/>
      <w:r w:rsidR="00CF1338">
        <w:rPr>
          <w:sz w:val="28"/>
          <w:szCs w:val="28"/>
        </w:rPr>
        <w:t>Wolmarans</w:t>
      </w:r>
      <w:proofErr w:type="spellEnd"/>
      <w:r w:rsidR="00B26B1E">
        <w:rPr>
          <w:sz w:val="28"/>
          <w:szCs w:val="28"/>
        </w:rPr>
        <w:t xml:space="preserve"> had failed to explain why it </w:t>
      </w:r>
      <w:r w:rsidR="00652D2A">
        <w:rPr>
          <w:sz w:val="28"/>
          <w:szCs w:val="28"/>
        </w:rPr>
        <w:t>failed to pay</w:t>
      </w:r>
      <w:r w:rsidR="00B26B1E">
        <w:rPr>
          <w:sz w:val="28"/>
          <w:szCs w:val="28"/>
        </w:rPr>
        <w:t xml:space="preserve"> its undisputed indebtedness </w:t>
      </w:r>
      <w:r w:rsidR="005D5D86">
        <w:rPr>
          <w:sz w:val="28"/>
          <w:szCs w:val="28"/>
        </w:rPr>
        <w:t xml:space="preserve">to the </w:t>
      </w:r>
      <w:proofErr w:type="spellStart"/>
      <w:r w:rsidR="005D5D86">
        <w:rPr>
          <w:sz w:val="28"/>
          <w:szCs w:val="28"/>
        </w:rPr>
        <w:t>CoJ</w:t>
      </w:r>
      <w:proofErr w:type="spellEnd"/>
      <w:r w:rsidR="005D5D86">
        <w:rPr>
          <w:sz w:val="28"/>
          <w:szCs w:val="28"/>
        </w:rPr>
        <w:t xml:space="preserve"> on </w:t>
      </w:r>
      <w:r w:rsidR="00960989">
        <w:rPr>
          <w:sz w:val="28"/>
          <w:szCs w:val="28"/>
        </w:rPr>
        <w:t xml:space="preserve">the </w:t>
      </w:r>
      <w:r w:rsidR="005D5D86">
        <w:rPr>
          <w:sz w:val="28"/>
          <w:szCs w:val="28"/>
        </w:rPr>
        <w:t xml:space="preserve">due date. In line with the legal principles set out by the Constitutional Court in </w:t>
      </w:r>
      <w:proofErr w:type="spellStart"/>
      <w:r w:rsidR="005D5D86" w:rsidRPr="005D5D86">
        <w:rPr>
          <w:i/>
          <w:sz w:val="28"/>
          <w:szCs w:val="28"/>
        </w:rPr>
        <w:t>Beadica</w:t>
      </w:r>
      <w:proofErr w:type="spellEnd"/>
      <w:r w:rsidR="005528D1" w:rsidRPr="005528D1">
        <w:rPr>
          <w:bCs/>
          <w:i/>
          <w:sz w:val="20"/>
          <w:szCs w:val="20"/>
        </w:rPr>
        <w:t xml:space="preserve"> </w:t>
      </w:r>
      <w:r w:rsidR="005528D1" w:rsidRPr="005528D1">
        <w:rPr>
          <w:bCs/>
          <w:i/>
          <w:sz w:val="28"/>
          <w:szCs w:val="28"/>
        </w:rPr>
        <w:t>231 CC and Others v Trustees for the time being of the Oregon Trust and Others</w:t>
      </w:r>
      <w:r w:rsidR="006E6151">
        <w:rPr>
          <w:bCs/>
          <w:iCs/>
          <w:sz w:val="28"/>
          <w:szCs w:val="28"/>
        </w:rPr>
        <w:t>,</w:t>
      </w:r>
      <w:r w:rsidR="005D5D86" w:rsidRPr="00E3037E">
        <w:rPr>
          <w:rStyle w:val="FootnoteReference"/>
          <w:sz w:val="28"/>
          <w:szCs w:val="28"/>
        </w:rPr>
        <w:footnoteReference w:id="4"/>
      </w:r>
      <w:r w:rsidR="005D5D86" w:rsidRPr="00E3037E">
        <w:rPr>
          <w:sz w:val="28"/>
          <w:szCs w:val="28"/>
        </w:rPr>
        <w:t xml:space="preserve"> </w:t>
      </w:r>
      <w:r w:rsidR="00DB5CDE" w:rsidRPr="00E3037E">
        <w:rPr>
          <w:sz w:val="28"/>
          <w:szCs w:val="28"/>
        </w:rPr>
        <w:t>t</w:t>
      </w:r>
      <w:r w:rsidR="005D5D86" w:rsidRPr="00E3037E">
        <w:rPr>
          <w:sz w:val="28"/>
          <w:szCs w:val="28"/>
        </w:rPr>
        <w:t xml:space="preserve">he full court reasoned that the harsh consequences of </w:t>
      </w:r>
      <w:proofErr w:type="spellStart"/>
      <w:r w:rsidR="00CF1338" w:rsidRPr="00E3037E">
        <w:rPr>
          <w:sz w:val="28"/>
          <w:szCs w:val="28"/>
        </w:rPr>
        <w:t>Wolmarans</w:t>
      </w:r>
      <w:proofErr w:type="spellEnd"/>
      <w:r w:rsidR="00CF1338" w:rsidRPr="00E3037E">
        <w:rPr>
          <w:sz w:val="28"/>
          <w:szCs w:val="28"/>
        </w:rPr>
        <w:t>’</w:t>
      </w:r>
      <w:r w:rsidR="005D5D86" w:rsidRPr="00E3037E">
        <w:rPr>
          <w:sz w:val="28"/>
          <w:szCs w:val="28"/>
        </w:rPr>
        <w:t xml:space="preserve"> failure to comply with the</w:t>
      </w:r>
      <w:r w:rsidR="005D5D86">
        <w:rPr>
          <w:sz w:val="28"/>
          <w:szCs w:val="28"/>
        </w:rPr>
        <w:t xml:space="preserve"> terms of the loan agreement could not by itself constitute a sufficient basis for the conclusion that enforcement of the strict terms of the contract would be unconscionable.</w:t>
      </w:r>
    </w:p>
    <w:p w14:paraId="1F834D25" w14:textId="77777777" w:rsidR="0092554A" w:rsidRDefault="0092554A" w:rsidP="0012638C">
      <w:pPr>
        <w:rPr>
          <w:sz w:val="28"/>
          <w:szCs w:val="28"/>
        </w:rPr>
      </w:pPr>
    </w:p>
    <w:p w14:paraId="59280DDB" w14:textId="0B7C6405" w:rsidR="005D5D86" w:rsidRDefault="005D5D86" w:rsidP="0012638C">
      <w:pPr>
        <w:rPr>
          <w:sz w:val="28"/>
          <w:szCs w:val="28"/>
        </w:rPr>
      </w:pPr>
      <w:r>
        <w:rPr>
          <w:sz w:val="28"/>
          <w:szCs w:val="28"/>
        </w:rPr>
        <w:t>[3</w:t>
      </w:r>
      <w:r w:rsidR="008023C7">
        <w:rPr>
          <w:sz w:val="28"/>
          <w:szCs w:val="28"/>
        </w:rPr>
        <w:t>0</w:t>
      </w:r>
      <w:r>
        <w:rPr>
          <w:sz w:val="28"/>
          <w:szCs w:val="28"/>
        </w:rPr>
        <w:t>]</w:t>
      </w:r>
      <w:r>
        <w:rPr>
          <w:sz w:val="28"/>
          <w:szCs w:val="28"/>
        </w:rPr>
        <w:tab/>
        <w:t>In upholding the appeal, the full court held that:</w:t>
      </w:r>
    </w:p>
    <w:p w14:paraId="16361EC2" w14:textId="33AE9C78" w:rsidR="00B26B1E" w:rsidRPr="00486DF0" w:rsidRDefault="005D5D86" w:rsidP="0012638C">
      <w:pPr>
        <w:rPr>
          <w:szCs w:val="28"/>
        </w:rPr>
      </w:pPr>
      <w:r w:rsidRPr="00486DF0">
        <w:rPr>
          <w:szCs w:val="28"/>
        </w:rPr>
        <w:t>‘The failure by the first respondent to perform its contractual obligations has destroyed the commercial purpose of the contract as the significant municipal arrears impair the appellant’s security it required in order to advance the loan facility as a charge in favour of the municipality imposed by s 118(3) of the Systems Act enjoys preference over any mortgage bond registered against the applicable immovable property.’</w:t>
      </w:r>
    </w:p>
    <w:p w14:paraId="4CB56C87" w14:textId="77777777" w:rsidR="005D5D86" w:rsidRDefault="005D5D86" w:rsidP="0012638C">
      <w:pPr>
        <w:rPr>
          <w:sz w:val="28"/>
          <w:szCs w:val="28"/>
        </w:rPr>
      </w:pPr>
    </w:p>
    <w:p w14:paraId="0DDA293C" w14:textId="77777777" w:rsidR="005D5D86" w:rsidRPr="00DC6A6F" w:rsidRDefault="005D5D86" w:rsidP="005D5D86">
      <w:pPr>
        <w:rPr>
          <w:b/>
          <w:i/>
          <w:sz w:val="28"/>
          <w:szCs w:val="28"/>
        </w:rPr>
      </w:pPr>
      <w:r w:rsidRPr="00DC6A6F">
        <w:rPr>
          <w:b/>
          <w:i/>
          <w:sz w:val="28"/>
          <w:szCs w:val="28"/>
        </w:rPr>
        <w:t>Application for special leave</w:t>
      </w:r>
    </w:p>
    <w:p w14:paraId="056C9A3F" w14:textId="6454BC60" w:rsidR="005D5D86" w:rsidRDefault="005D5D86" w:rsidP="005D5D86">
      <w:pPr>
        <w:rPr>
          <w:sz w:val="28"/>
          <w:szCs w:val="28"/>
        </w:rPr>
      </w:pPr>
      <w:r>
        <w:rPr>
          <w:sz w:val="28"/>
          <w:szCs w:val="28"/>
        </w:rPr>
        <w:t>[3</w:t>
      </w:r>
      <w:r w:rsidR="008023C7">
        <w:rPr>
          <w:sz w:val="28"/>
          <w:szCs w:val="28"/>
        </w:rPr>
        <w:t>1</w:t>
      </w:r>
      <w:r>
        <w:rPr>
          <w:sz w:val="28"/>
          <w:szCs w:val="28"/>
        </w:rPr>
        <w:t>]</w:t>
      </w:r>
      <w:r>
        <w:rPr>
          <w:sz w:val="28"/>
          <w:szCs w:val="28"/>
        </w:rPr>
        <w:tab/>
        <w:t>For the applicants to succeed in their application for special leave to appeal the judgment of the full court, they are required to show something more than the existence of reasonable prospects of success on appeal.</w:t>
      </w:r>
      <w:r>
        <w:rPr>
          <w:rStyle w:val="FootnoteReference"/>
          <w:sz w:val="28"/>
          <w:szCs w:val="28"/>
        </w:rPr>
        <w:footnoteReference w:id="5"/>
      </w:r>
      <w:r>
        <w:rPr>
          <w:sz w:val="28"/>
          <w:szCs w:val="28"/>
        </w:rPr>
        <w:t xml:space="preserve"> In </w:t>
      </w:r>
      <w:r>
        <w:rPr>
          <w:i/>
          <w:sz w:val="28"/>
          <w:szCs w:val="28"/>
        </w:rPr>
        <w:t>Cook v Morrison and Another</w:t>
      </w:r>
      <w:r w:rsidRPr="00EE35F5">
        <w:rPr>
          <w:rStyle w:val="FootnoteReference"/>
          <w:sz w:val="28"/>
          <w:szCs w:val="28"/>
        </w:rPr>
        <w:footnoteReference w:id="6"/>
      </w:r>
      <w:r w:rsidRPr="00EE35F5">
        <w:rPr>
          <w:sz w:val="28"/>
          <w:szCs w:val="28"/>
        </w:rPr>
        <w:t xml:space="preserve"> </w:t>
      </w:r>
      <w:r>
        <w:rPr>
          <w:sz w:val="28"/>
          <w:szCs w:val="28"/>
        </w:rPr>
        <w:t>this Court held:</w:t>
      </w:r>
    </w:p>
    <w:p w14:paraId="32662640" w14:textId="639858FA" w:rsidR="005D5D86" w:rsidRDefault="005D5D86" w:rsidP="005D5D86">
      <w:pPr>
        <w:rPr>
          <w:szCs w:val="28"/>
        </w:rPr>
      </w:pPr>
      <w:r>
        <w:rPr>
          <w:sz w:val="28"/>
          <w:szCs w:val="28"/>
        </w:rPr>
        <w:t>‘</w:t>
      </w:r>
      <w:r>
        <w:rPr>
          <w:szCs w:val="28"/>
        </w:rPr>
        <w:t xml:space="preserve">The existence of reasonable prospects of success is a necessary but insufficient precondition for the granting of special leave. Something more, by way of special circumstances, is needed. These </w:t>
      </w:r>
      <w:r>
        <w:rPr>
          <w:szCs w:val="28"/>
        </w:rPr>
        <w:lastRenderedPageBreak/>
        <w:t xml:space="preserve">may include that the appeal raises a substantial point of law; or that the prospects of success are so strong that a refusal of leave would result in a manifest denial of justice; or that the matter is of very great importance to the parties or to the public. This is not a closed list . . . ’ </w:t>
      </w:r>
    </w:p>
    <w:p w14:paraId="13D6240B" w14:textId="77777777" w:rsidR="005D5D86" w:rsidRDefault="005D5D86" w:rsidP="005D5D86">
      <w:pPr>
        <w:rPr>
          <w:sz w:val="28"/>
          <w:szCs w:val="28"/>
        </w:rPr>
      </w:pPr>
    </w:p>
    <w:p w14:paraId="193175B7" w14:textId="6C8E6EA9" w:rsidR="005D5D86" w:rsidRDefault="005D5D86" w:rsidP="005D5D86">
      <w:pPr>
        <w:rPr>
          <w:sz w:val="28"/>
          <w:szCs w:val="28"/>
        </w:rPr>
      </w:pPr>
      <w:r w:rsidRPr="00C47686">
        <w:rPr>
          <w:sz w:val="28"/>
          <w:szCs w:val="28"/>
        </w:rPr>
        <w:t>[3</w:t>
      </w:r>
      <w:r w:rsidR="008023C7" w:rsidRPr="00C47686">
        <w:rPr>
          <w:sz w:val="28"/>
          <w:szCs w:val="28"/>
        </w:rPr>
        <w:t>2</w:t>
      </w:r>
      <w:r w:rsidRPr="00C47686">
        <w:rPr>
          <w:sz w:val="28"/>
          <w:szCs w:val="28"/>
        </w:rPr>
        <w:t>]</w:t>
      </w:r>
      <w:r>
        <w:rPr>
          <w:sz w:val="28"/>
          <w:szCs w:val="28"/>
        </w:rPr>
        <w:tab/>
        <w:t>The test of what constitutes a reasonable prospect of success is well established. The applicants are required to demonstrate that ‘there is a sound rational basis to conclude that there is a reasonable prospect of success on appeal’.</w:t>
      </w:r>
      <w:r>
        <w:rPr>
          <w:rStyle w:val="FootnoteReference"/>
          <w:sz w:val="28"/>
          <w:szCs w:val="28"/>
        </w:rPr>
        <w:footnoteReference w:id="7"/>
      </w:r>
      <w:r>
        <w:rPr>
          <w:sz w:val="28"/>
          <w:szCs w:val="28"/>
        </w:rPr>
        <w:t xml:space="preserve"> They are further required to show that ‘something more by way of special circumstances, is needed</w:t>
      </w:r>
      <w:r w:rsidR="00F86773">
        <w:rPr>
          <w:sz w:val="28"/>
          <w:szCs w:val="28"/>
        </w:rPr>
        <w:t>’</w:t>
      </w:r>
      <w:r w:rsidR="00B57E08">
        <w:rPr>
          <w:sz w:val="28"/>
          <w:szCs w:val="28"/>
        </w:rPr>
        <w:t>.</w:t>
      </w:r>
      <w:r>
        <w:rPr>
          <w:rStyle w:val="FootnoteReference"/>
          <w:sz w:val="28"/>
          <w:szCs w:val="28"/>
        </w:rPr>
        <w:footnoteReference w:id="8"/>
      </w:r>
      <w:r>
        <w:rPr>
          <w:sz w:val="28"/>
          <w:szCs w:val="28"/>
        </w:rPr>
        <w:t xml:space="preserve"> </w:t>
      </w:r>
    </w:p>
    <w:p w14:paraId="0B333AD8" w14:textId="77777777" w:rsidR="0092554A" w:rsidRDefault="0092554A" w:rsidP="005D5D86">
      <w:pPr>
        <w:rPr>
          <w:b/>
          <w:sz w:val="28"/>
          <w:szCs w:val="28"/>
        </w:rPr>
      </w:pPr>
    </w:p>
    <w:p w14:paraId="07FE55DB" w14:textId="77777777" w:rsidR="005D5D86" w:rsidRPr="00DC6A6F" w:rsidRDefault="005D5D86" w:rsidP="005D5D86">
      <w:pPr>
        <w:rPr>
          <w:i/>
          <w:sz w:val="28"/>
          <w:szCs w:val="28"/>
        </w:rPr>
      </w:pPr>
      <w:r w:rsidRPr="00DC6A6F">
        <w:rPr>
          <w:b/>
          <w:i/>
          <w:sz w:val="28"/>
          <w:szCs w:val="28"/>
        </w:rPr>
        <w:t>Grounds for special leave</w:t>
      </w:r>
    </w:p>
    <w:p w14:paraId="43305D45" w14:textId="001D37BD" w:rsidR="005D5D86" w:rsidRDefault="005D5D86" w:rsidP="005D5D86">
      <w:pPr>
        <w:rPr>
          <w:sz w:val="28"/>
          <w:szCs w:val="28"/>
        </w:rPr>
      </w:pPr>
      <w:r>
        <w:rPr>
          <w:sz w:val="28"/>
          <w:szCs w:val="28"/>
        </w:rPr>
        <w:t>[3</w:t>
      </w:r>
      <w:r w:rsidR="008023C7">
        <w:rPr>
          <w:sz w:val="28"/>
          <w:szCs w:val="28"/>
        </w:rPr>
        <w:t>3</w:t>
      </w:r>
      <w:r>
        <w:rPr>
          <w:sz w:val="28"/>
          <w:szCs w:val="28"/>
        </w:rPr>
        <w:t>]</w:t>
      </w:r>
      <w:r>
        <w:rPr>
          <w:sz w:val="28"/>
          <w:szCs w:val="28"/>
        </w:rPr>
        <w:tab/>
        <w:t xml:space="preserve">It must be pointed out that the applicants’ application for special leave is not a model of clarity. However, in summary, the grounds advanced appear to be the following. The applicants aver that there may well be other loan agreements which contain similar clauses such as </w:t>
      </w:r>
      <w:r w:rsidR="00D73C7A">
        <w:rPr>
          <w:sz w:val="28"/>
          <w:szCs w:val="28"/>
        </w:rPr>
        <w:t>C</w:t>
      </w:r>
      <w:r>
        <w:rPr>
          <w:sz w:val="28"/>
          <w:szCs w:val="28"/>
        </w:rPr>
        <w:t xml:space="preserve">lauses 17 and 18 as in the present case. Borrowers in such cases may face a similar situation such as </w:t>
      </w:r>
      <w:proofErr w:type="spellStart"/>
      <w:r w:rsidR="00CF1338">
        <w:rPr>
          <w:sz w:val="28"/>
          <w:szCs w:val="28"/>
        </w:rPr>
        <w:t>Wolmarans</w:t>
      </w:r>
      <w:proofErr w:type="spellEnd"/>
      <w:r>
        <w:rPr>
          <w:sz w:val="28"/>
          <w:szCs w:val="28"/>
        </w:rPr>
        <w:t xml:space="preserve"> herein where they notionally breach the loan agreement by not paying any rates, taxes and other municipal charges thus entitling the lender to declare all amounts immediately due and payable and to seek execution against the borrower’s immovable property.</w:t>
      </w:r>
    </w:p>
    <w:p w14:paraId="3176E813" w14:textId="77777777" w:rsidR="005D5D86" w:rsidRDefault="005D5D86" w:rsidP="005D5D86">
      <w:pPr>
        <w:rPr>
          <w:sz w:val="28"/>
          <w:szCs w:val="28"/>
        </w:rPr>
      </w:pPr>
    </w:p>
    <w:p w14:paraId="7CAB3CCA" w14:textId="006075BD" w:rsidR="005D5D86" w:rsidRDefault="005D5D86" w:rsidP="005D5D86">
      <w:pPr>
        <w:rPr>
          <w:sz w:val="28"/>
          <w:szCs w:val="28"/>
        </w:rPr>
      </w:pPr>
      <w:r>
        <w:rPr>
          <w:sz w:val="28"/>
          <w:szCs w:val="28"/>
        </w:rPr>
        <w:t>[</w:t>
      </w:r>
      <w:r w:rsidR="008023C7">
        <w:rPr>
          <w:sz w:val="28"/>
          <w:szCs w:val="28"/>
        </w:rPr>
        <w:t>34</w:t>
      </w:r>
      <w:r>
        <w:rPr>
          <w:sz w:val="28"/>
          <w:szCs w:val="28"/>
        </w:rPr>
        <w:t>]</w:t>
      </w:r>
      <w:r>
        <w:rPr>
          <w:sz w:val="28"/>
          <w:szCs w:val="28"/>
        </w:rPr>
        <w:tab/>
        <w:t xml:space="preserve">They further aver that the judgment of the full court has far-reaching consequences ‘beyond the immediate impact on the applicants and </w:t>
      </w:r>
      <w:proofErr w:type="spellStart"/>
      <w:r w:rsidR="007346CE">
        <w:rPr>
          <w:sz w:val="28"/>
          <w:szCs w:val="28"/>
        </w:rPr>
        <w:t>Tufh</w:t>
      </w:r>
      <w:proofErr w:type="spellEnd"/>
      <w:r>
        <w:rPr>
          <w:sz w:val="28"/>
          <w:szCs w:val="28"/>
        </w:rPr>
        <w:t>. The judgment potentially impacts upon many other borrowers f</w:t>
      </w:r>
      <w:r w:rsidR="00462EED">
        <w:rPr>
          <w:sz w:val="28"/>
          <w:szCs w:val="28"/>
        </w:rPr>
        <w:t xml:space="preserve">acing the same circumstances’. </w:t>
      </w:r>
      <w:r>
        <w:rPr>
          <w:sz w:val="28"/>
          <w:szCs w:val="28"/>
        </w:rPr>
        <w:t xml:space="preserve">They contend that while this </w:t>
      </w:r>
      <w:r w:rsidR="00DC6A6F">
        <w:rPr>
          <w:sz w:val="28"/>
          <w:szCs w:val="28"/>
        </w:rPr>
        <w:t>C</w:t>
      </w:r>
      <w:r>
        <w:rPr>
          <w:sz w:val="28"/>
          <w:szCs w:val="28"/>
        </w:rPr>
        <w:t xml:space="preserve">ourt as well as the Constitutional Court have dealt on a number of occasions with contracts that should not be enforced </w:t>
      </w:r>
      <w:r>
        <w:rPr>
          <w:sz w:val="28"/>
          <w:szCs w:val="28"/>
        </w:rPr>
        <w:lastRenderedPageBreak/>
        <w:t>on grounds of public policy, the unique circumstances faced by the applicants herein have not</w:t>
      </w:r>
      <w:r w:rsidR="00462EED">
        <w:rPr>
          <w:sz w:val="28"/>
          <w:szCs w:val="28"/>
        </w:rPr>
        <w:t xml:space="preserve"> been dealt with by this court. </w:t>
      </w:r>
      <w:r>
        <w:rPr>
          <w:sz w:val="28"/>
          <w:szCs w:val="28"/>
        </w:rPr>
        <w:t>They assert that not only are there reasonable prospects of success but that the appeal also raises substantial legal issues of public importance and the interests of justice warrant that leave be granted.</w:t>
      </w:r>
    </w:p>
    <w:p w14:paraId="6C6A24BB" w14:textId="77777777" w:rsidR="0097015E" w:rsidRDefault="0097015E" w:rsidP="005D5D86">
      <w:pPr>
        <w:rPr>
          <w:sz w:val="28"/>
          <w:szCs w:val="28"/>
        </w:rPr>
      </w:pPr>
    </w:p>
    <w:p w14:paraId="0635B852" w14:textId="5AA1566A" w:rsidR="0097015E" w:rsidRPr="00DC6A6F" w:rsidRDefault="0097015E" w:rsidP="005D5D86">
      <w:pPr>
        <w:rPr>
          <w:i/>
          <w:sz w:val="28"/>
          <w:szCs w:val="28"/>
        </w:rPr>
      </w:pPr>
      <w:r w:rsidRPr="00DC6A6F">
        <w:rPr>
          <w:b/>
          <w:i/>
          <w:sz w:val="28"/>
          <w:szCs w:val="28"/>
        </w:rPr>
        <w:t xml:space="preserve">In this </w:t>
      </w:r>
      <w:r w:rsidR="00DC6A6F">
        <w:rPr>
          <w:b/>
          <w:i/>
          <w:sz w:val="28"/>
          <w:szCs w:val="28"/>
        </w:rPr>
        <w:t>C</w:t>
      </w:r>
      <w:r w:rsidRPr="00DC6A6F">
        <w:rPr>
          <w:b/>
          <w:i/>
          <w:sz w:val="28"/>
          <w:szCs w:val="28"/>
        </w:rPr>
        <w:t>ourt</w:t>
      </w:r>
    </w:p>
    <w:p w14:paraId="3F0FFDE3" w14:textId="1E7FAE7F" w:rsidR="0097015E" w:rsidRDefault="008023C7" w:rsidP="005D5D86">
      <w:pPr>
        <w:rPr>
          <w:sz w:val="28"/>
          <w:szCs w:val="28"/>
        </w:rPr>
      </w:pPr>
      <w:r>
        <w:rPr>
          <w:sz w:val="28"/>
          <w:szCs w:val="28"/>
        </w:rPr>
        <w:t>[35</w:t>
      </w:r>
      <w:r w:rsidR="0097015E">
        <w:rPr>
          <w:sz w:val="28"/>
          <w:szCs w:val="28"/>
        </w:rPr>
        <w:t>]</w:t>
      </w:r>
      <w:r w:rsidR="0097015E">
        <w:rPr>
          <w:sz w:val="28"/>
          <w:szCs w:val="28"/>
        </w:rPr>
        <w:tab/>
        <w:t xml:space="preserve">At the outset of the hearing in this </w:t>
      </w:r>
      <w:r w:rsidR="00DC6A6F">
        <w:rPr>
          <w:sz w:val="28"/>
          <w:szCs w:val="28"/>
        </w:rPr>
        <w:t>C</w:t>
      </w:r>
      <w:r w:rsidR="0097015E">
        <w:rPr>
          <w:sz w:val="28"/>
          <w:szCs w:val="28"/>
        </w:rPr>
        <w:t xml:space="preserve">ourt Mr Hollander for the applicants conceded that there was a breach of the loan agreement by </w:t>
      </w:r>
      <w:proofErr w:type="spellStart"/>
      <w:r w:rsidR="00CF1338">
        <w:rPr>
          <w:sz w:val="28"/>
          <w:szCs w:val="28"/>
        </w:rPr>
        <w:t>Wolmarans</w:t>
      </w:r>
      <w:proofErr w:type="spellEnd"/>
      <w:r w:rsidR="0097015E">
        <w:rPr>
          <w:sz w:val="28"/>
          <w:szCs w:val="28"/>
        </w:rPr>
        <w:t xml:space="preserve">. He submitted, however, that there were reasonable prospects of success in the appeal and that leave should be granted. </w:t>
      </w:r>
      <w:r w:rsidR="001B0CC5">
        <w:rPr>
          <w:sz w:val="28"/>
          <w:szCs w:val="28"/>
        </w:rPr>
        <w:t>On</w:t>
      </w:r>
      <w:r w:rsidR="0097015E">
        <w:rPr>
          <w:sz w:val="28"/>
          <w:szCs w:val="28"/>
        </w:rPr>
        <w:t xml:space="preserve"> the issue of ‘special circumstances’ which embodies the test for special leave as set out in para </w:t>
      </w:r>
      <w:r w:rsidR="0097015E" w:rsidRPr="00C47686">
        <w:rPr>
          <w:sz w:val="28"/>
          <w:szCs w:val="28"/>
        </w:rPr>
        <w:t>3</w:t>
      </w:r>
      <w:r w:rsidR="0067200D">
        <w:rPr>
          <w:sz w:val="28"/>
          <w:szCs w:val="28"/>
        </w:rPr>
        <w:t>1</w:t>
      </w:r>
      <w:r w:rsidR="0097015E">
        <w:rPr>
          <w:sz w:val="28"/>
          <w:szCs w:val="28"/>
        </w:rPr>
        <w:t xml:space="preserve"> above, Mr Hollander indicated that he intended </w:t>
      </w:r>
      <w:r w:rsidR="001B0CC5">
        <w:rPr>
          <w:sz w:val="28"/>
          <w:szCs w:val="28"/>
        </w:rPr>
        <w:t>addressing</w:t>
      </w:r>
      <w:r w:rsidR="0097015E">
        <w:rPr>
          <w:sz w:val="28"/>
          <w:szCs w:val="28"/>
        </w:rPr>
        <w:t xml:space="preserve"> three aspects </w:t>
      </w:r>
      <w:r w:rsidR="000C7511">
        <w:rPr>
          <w:sz w:val="28"/>
          <w:szCs w:val="28"/>
        </w:rPr>
        <w:t xml:space="preserve">only </w:t>
      </w:r>
      <w:r w:rsidR="0097015E">
        <w:rPr>
          <w:sz w:val="28"/>
          <w:szCs w:val="28"/>
        </w:rPr>
        <w:t xml:space="preserve">which also went to the merits of the matter. The first was that </w:t>
      </w:r>
      <w:proofErr w:type="spellStart"/>
      <w:r w:rsidR="00CF1338">
        <w:rPr>
          <w:sz w:val="28"/>
          <w:szCs w:val="28"/>
        </w:rPr>
        <w:t>Wolmarans</w:t>
      </w:r>
      <w:proofErr w:type="spellEnd"/>
      <w:r w:rsidR="0097015E">
        <w:rPr>
          <w:sz w:val="28"/>
          <w:szCs w:val="28"/>
        </w:rPr>
        <w:t xml:space="preserve"> was engaged in a </w:t>
      </w:r>
      <w:r w:rsidR="0097015E">
        <w:rPr>
          <w:i/>
          <w:sz w:val="28"/>
          <w:szCs w:val="28"/>
        </w:rPr>
        <w:t>bona fide</w:t>
      </w:r>
      <w:r w:rsidR="0097015E">
        <w:rPr>
          <w:sz w:val="28"/>
          <w:szCs w:val="28"/>
        </w:rPr>
        <w:t xml:space="preserve"> dispute with the </w:t>
      </w:r>
      <w:proofErr w:type="spellStart"/>
      <w:r w:rsidR="0097015E">
        <w:rPr>
          <w:sz w:val="28"/>
          <w:szCs w:val="28"/>
        </w:rPr>
        <w:t>CoJ</w:t>
      </w:r>
      <w:proofErr w:type="spellEnd"/>
      <w:r w:rsidR="0097015E">
        <w:rPr>
          <w:sz w:val="28"/>
          <w:szCs w:val="28"/>
        </w:rPr>
        <w:t xml:space="preserve"> with regard to the municipal charges levied against the property. The second was that </w:t>
      </w:r>
      <w:proofErr w:type="spellStart"/>
      <w:r w:rsidR="007346CE">
        <w:rPr>
          <w:sz w:val="28"/>
          <w:szCs w:val="28"/>
        </w:rPr>
        <w:t>Tufh’s</w:t>
      </w:r>
      <w:proofErr w:type="spellEnd"/>
      <w:r w:rsidR="0097015E">
        <w:rPr>
          <w:sz w:val="28"/>
          <w:szCs w:val="28"/>
        </w:rPr>
        <w:t xml:space="preserve"> security was not in any way at risk as it still held suretyships by </w:t>
      </w:r>
      <w:r w:rsidR="00E6356F">
        <w:rPr>
          <w:sz w:val="28"/>
          <w:szCs w:val="28"/>
        </w:rPr>
        <w:t>Mr Fa</w:t>
      </w:r>
      <w:r w:rsidR="002463CC">
        <w:rPr>
          <w:sz w:val="28"/>
          <w:szCs w:val="28"/>
        </w:rPr>
        <w:t>r</w:t>
      </w:r>
      <w:r w:rsidR="00E6356F">
        <w:rPr>
          <w:sz w:val="28"/>
          <w:szCs w:val="28"/>
        </w:rPr>
        <w:t xml:space="preserve">ber </w:t>
      </w:r>
      <w:r w:rsidR="0097015E">
        <w:rPr>
          <w:sz w:val="28"/>
          <w:szCs w:val="28"/>
        </w:rPr>
        <w:t xml:space="preserve">and </w:t>
      </w:r>
      <w:r w:rsidR="00E6356F">
        <w:rPr>
          <w:sz w:val="28"/>
          <w:szCs w:val="28"/>
        </w:rPr>
        <w:t>Fife</w:t>
      </w:r>
      <w:r w:rsidR="0097015E">
        <w:rPr>
          <w:sz w:val="28"/>
          <w:szCs w:val="28"/>
        </w:rPr>
        <w:t xml:space="preserve">. The third was that any risk to </w:t>
      </w:r>
      <w:proofErr w:type="spellStart"/>
      <w:r w:rsidR="00601597">
        <w:rPr>
          <w:sz w:val="28"/>
          <w:szCs w:val="28"/>
        </w:rPr>
        <w:t>Tufh’s</w:t>
      </w:r>
      <w:proofErr w:type="spellEnd"/>
      <w:r w:rsidR="0097015E">
        <w:rPr>
          <w:sz w:val="28"/>
          <w:szCs w:val="28"/>
        </w:rPr>
        <w:t xml:space="preserve"> security was caused by </w:t>
      </w:r>
      <w:proofErr w:type="spellStart"/>
      <w:r w:rsidR="00601597">
        <w:rPr>
          <w:sz w:val="28"/>
          <w:szCs w:val="28"/>
        </w:rPr>
        <w:t>Tufh</w:t>
      </w:r>
      <w:proofErr w:type="spellEnd"/>
      <w:r w:rsidR="0097015E">
        <w:rPr>
          <w:sz w:val="28"/>
          <w:szCs w:val="28"/>
        </w:rPr>
        <w:t xml:space="preserve"> itself when it elected to accelerate and declare all amounts owing in terms of the loan agreement immediately due and payable. Mr Hollander’s further submission in this regard was that whilst </w:t>
      </w:r>
      <w:proofErr w:type="spellStart"/>
      <w:r w:rsidR="00CF1338">
        <w:rPr>
          <w:sz w:val="28"/>
          <w:szCs w:val="28"/>
        </w:rPr>
        <w:t>Wolmarans</w:t>
      </w:r>
      <w:proofErr w:type="spellEnd"/>
      <w:r w:rsidR="0097015E">
        <w:rPr>
          <w:sz w:val="28"/>
          <w:szCs w:val="28"/>
        </w:rPr>
        <w:t xml:space="preserve"> was not attacking any of the relevant clauses in the loan agreement </w:t>
      </w:r>
      <w:r w:rsidR="000C7511">
        <w:rPr>
          <w:sz w:val="28"/>
          <w:szCs w:val="28"/>
        </w:rPr>
        <w:t>or</w:t>
      </w:r>
      <w:r w:rsidR="0097015E">
        <w:rPr>
          <w:sz w:val="28"/>
          <w:szCs w:val="28"/>
        </w:rPr>
        <w:t xml:space="preserve"> the agreement </w:t>
      </w:r>
      <w:r w:rsidR="000C7511" w:rsidRPr="00E3037E">
        <w:rPr>
          <w:i/>
          <w:sz w:val="28"/>
          <w:szCs w:val="28"/>
        </w:rPr>
        <w:t>per</w:t>
      </w:r>
      <w:r w:rsidR="005C4DD8" w:rsidRPr="00E3037E">
        <w:rPr>
          <w:i/>
          <w:sz w:val="28"/>
          <w:szCs w:val="28"/>
        </w:rPr>
        <w:t xml:space="preserve"> </w:t>
      </w:r>
      <w:r w:rsidR="000C7511" w:rsidRPr="00E3037E">
        <w:rPr>
          <w:i/>
          <w:sz w:val="28"/>
          <w:szCs w:val="28"/>
        </w:rPr>
        <w:t>se</w:t>
      </w:r>
      <w:r w:rsidR="0097015E">
        <w:rPr>
          <w:sz w:val="28"/>
          <w:szCs w:val="28"/>
        </w:rPr>
        <w:t xml:space="preserve"> as being unconscionable and </w:t>
      </w:r>
      <w:r w:rsidR="00E271E0">
        <w:rPr>
          <w:sz w:val="28"/>
          <w:szCs w:val="28"/>
        </w:rPr>
        <w:t>contrary to public policy, the implementation thereof certainly was.</w:t>
      </w:r>
    </w:p>
    <w:p w14:paraId="17AB1877" w14:textId="77777777" w:rsidR="00AE7CFE" w:rsidRDefault="00AE7CFE" w:rsidP="005D5D86">
      <w:pPr>
        <w:rPr>
          <w:sz w:val="28"/>
          <w:szCs w:val="28"/>
        </w:rPr>
      </w:pPr>
    </w:p>
    <w:p w14:paraId="4BDF8A89" w14:textId="7EF2881A" w:rsidR="00AE7CFE" w:rsidRDefault="00AE7CFE" w:rsidP="005D5D86">
      <w:pPr>
        <w:rPr>
          <w:b/>
          <w:sz w:val="28"/>
          <w:szCs w:val="28"/>
        </w:rPr>
      </w:pPr>
      <w:r>
        <w:rPr>
          <w:b/>
          <w:sz w:val="28"/>
          <w:szCs w:val="28"/>
        </w:rPr>
        <w:t>Issues raised</w:t>
      </w:r>
    </w:p>
    <w:p w14:paraId="31237AA2" w14:textId="5F35586A" w:rsidR="00AE7CFE" w:rsidRPr="00AE7CFE" w:rsidRDefault="001B0CC5" w:rsidP="005D5D86">
      <w:pPr>
        <w:rPr>
          <w:i/>
          <w:sz w:val="28"/>
          <w:szCs w:val="28"/>
        </w:rPr>
      </w:pPr>
      <w:r>
        <w:rPr>
          <w:b/>
          <w:i/>
          <w:sz w:val="28"/>
          <w:szCs w:val="28"/>
        </w:rPr>
        <w:t>(a)</w:t>
      </w:r>
      <w:r>
        <w:rPr>
          <w:b/>
          <w:i/>
          <w:sz w:val="28"/>
          <w:szCs w:val="28"/>
        </w:rPr>
        <w:tab/>
      </w:r>
      <w:r w:rsidR="00AE7CFE">
        <w:rPr>
          <w:b/>
          <w:i/>
          <w:sz w:val="28"/>
          <w:szCs w:val="28"/>
        </w:rPr>
        <w:t xml:space="preserve">Did </w:t>
      </w:r>
      <w:proofErr w:type="spellStart"/>
      <w:r w:rsidR="00CF1338">
        <w:rPr>
          <w:b/>
          <w:i/>
          <w:sz w:val="28"/>
          <w:szCs w:val="28"/>
        </w:rPr>
        <w:t>Wolmarans</w:t>
      </w:r>
      <w:proofErr w:type="spellEnd"/>
      <w:r w:rsidR="00AE7CFE">
        <w:rPr>
          <w:b/>
          <w:i/>
          <w:sz w:val="28"/>
          <w:szCs w:val="28"/>
        </w:rPr>
        <w:t xml:space="preserve"> have a bona fide dispute with the </w:t>
      </w:r>
      <w:proofErr w:type="spellStart"/>
      <w:r w:rsidR="00AE7CFE">
        <w:rPr>
          <w:b/>
          <w:i/>
          <w:sz w:val="28"/>
          <w:szCs w:val="28"/>
        </w:rPr>
        <w:t>CoJ</w:t>
      </w:r>
      <w:proofErr w:type="spellEnd"/>
      <w:r w:rsidR="00AE7CFE">
        <w:rPr>
          <w:b/>
          <w:i/>
          <w:sz w:val="28"/>
          <w:szCs w:val="28"/>
        </w:rPr>
        <w:t xml:space="preserve"> in respect of municipal services rendered to the property?</w:t>
      </w:r>
    </w:p>
    <w:p w14:paraId="395C5C42" w14:textId="269E53EA" w:rsidR="00AE7CFE" w:rsidRDefault="008023C7" w:rsidP="005D5D86">
      <w:pPr>
        <w:rPr>
          <w:sz w:val="28"/>
          <w:szCs w:val="28"/>
        </w:rPr>
      </w:pPr>
      <w:r>
        <w:rPr>
          <w:sz w:val="28"/>
          <w:szCs w:val="28"/>
        </w:rPr>
        <w:t>[3</w:t>
      </w:r>
      <w:r w:rsidR="00E432C0">
        <w:rPr>
          <w:sz w:val="28"/>
          <w:szCs w:val="28"/>
        </w:rPr>
        <w:t>6</w:t>
      </w:r>
      <w:r w:rsidR="00AE7CFE">
        <w:rPr>
          <w:sz w:val="28"/>
          <w:szCs w:val="28"/>
        </w:rPr>
        <w:t>]</w:t>
      </w:r>
      <w:r w:rsidR="00AE7CFE">
        <w:rPr>
          <w:sz w:val="28"/>
          <w:szCs w:val="28"/>
        </w:rPr>
        <w:tab/>
        <w:t>It is common cause on the papers that</w:t>
      </w:r>
      <w:r w:rsidR="00B21BBD">
        <w:rPr>
          <w:sz w:val="28"/>
          <w:szCs w:val="28"/>
        </w:rPr>
        <w:t>,</w:t>
      </w:r>
      <w:r w:rsidR="00AE7CFE">
        <w:rPr>
          <w:sz w:val="28"/>
          <w:szCs w:val="28"/>
        </w:rPr>
        <w:t xml:space="preserve"> </w:t>
      </w:r>
      <w:r w:rsidR="00B21BBD">
        <w:rPr>
          <w:sz w:val="28"/>
          <w:szCs w:val="28"/>
        </w:rPr>
        <w:t>although</w:t>
      </w:r>
      <w:r w:rsidR="00AE7CFE">
        <w:rPr>
          <w:sz w:val="28"/>
          <w:szCs w:val="28"/>
        </w:rPr>
        <w:t xml:space="preserve"> </w:t>
      </w:r>
      <w:proofErr w:type="spellStart"/>
      <w:r w:rsidR="00CF1338">
        <w:rPr>
          <w:sz w:val="28"/>
          <w:szCs w:val="28"/>
        </w:rPr>
        <w:t>Wolmarans</w:t>
      </w:r>
      <w:proofErr w:type="spellEnd"/>
      <w:r w:rsidR="00CF1338">
        <w:rPr>
          <w:sz w:val="28"/>
          <w:szCs w:val="28"/>
        </w:rPr>
        <w:t>’</w:t>
      </w:r>
      <w:r w:rsidR="00AE7CFE">
        <w:rPr>
          <w:sz w:val="28"/>
          <w:szCs w:val="28"/>
        </w:rPr>
        <w:t xml:space="preserve"> dispute with the </w:t>
      </w:r>
      <w:proofErr w:type="spellStart"/>
      <w:r w:rsidR="00AE7CFE">
        <w:rPr>
          <w:sz w:val="28"/>
          <w:szCs w:val="28"/>
        </w:rPr>
        <w:t>CoJ</w:t>
      </w:r>
      <w:proofErr w:type="spellEnd"/>
      <w:r w:rsidR="00AE7CFE">
        <w:rPr>
          <w:sz w:val="28"/>
          <w:szCs w:val="28"/>
        </w:rPr>
        <w:t xml:space="preserve"> related only to water and electricity, </w:t>
      </w:r>
      <w:r w:rsidR="00B21BBD">
        <w:rPr>
          <w:sz w:val="28"/>
          <w:szCs w:val="28"/>
        </w:rPr>
        <w:t>it</w:t>
      </w:r>
      <w:r w:rsidR="00AE7CFE">
        <w:rPr>
          <w:sz w:val="28"/>
          <w:szCs w:val="28"/>
        </w:rPr>
        <w:t xml:space="preserve"> </w:t>
      </w:r>
      <w:r w:rsidR="000C7511">
        <w:rPr>
          <w:sz w:val="28"/>
          <w:szCs w:val="28"/>
        </w:rPr>
        <w:t>failed to</w:t>
      </w:r>
      <w:r w:rsidR="00AE7CFE">
        <w:rPr>
          <w:sz w:val="28"/>
          <w:szCs w:val="28"/>
        </w:rPr>
        <w:t xml:space="preserve"> make any payments for other </w:t>
      </w:r>
      <w:r w:rsidR="00AE7CFE">
        <w:rPr>
          <w:sz w:val="28"/>
          <w:szCs w:val="28"/>
        </w:rPr>
        <w:lastRenderedPageBreak/>
        <w:t xml:space="preserve">municipal charges </w:t>
      </w:r>
      <w:r w:rsidR="000C7511">
        <w:rPr>
          <w:sz w:val="28"/>
          <w:szCs w:val="28"/>
        </w:rPr>
        <w:t>relating to</w:t>
      </w:r>
      <w:r w:rsidR="00AE7CFE">
        <w:rPr>
          <w:sz w:val="28"/>
          <w:szCs w:val="28"/>
        </w:rPr>
        <w:t xml:space="preserve"> property rates and taxes and wastewater services</w:t>
      </w:r>
      <w:r w:rsidR="000C7511">
        <w:rPr>
          <w:sz w:val="28"/>
          <w:szCs w:val="28"/>
        </w:rPr>
        <w:t>,</w:t>
      </w:r>
      <w:r w:rsidR="00AE7CFE">
        <w:rPr>
          <w:sz w:val="28"/>
          <w:szCs w:val="28"/>
        </w:rPr>
        <w:t xml:space="preserve"> since 30 October 2015. The dispute in question arose out of billing accounts rendered by the </w:t>
      </w:r>
      <w:proofErr w:type="spellStart"/>
      <w:r w:rsidR="00AE7CFE">
        <w:rPr>
          <w:sz w:val="28"/>
          <w:szCs w:val="28"/>
        </w:rPr>
        <w:t>CoJ</w:t>
      </w:r>
      <w:proofErr w:type="spellEnd"/>
      <w:r w:rsidR="00AE7CFE">
        <w:rPr>
          <w:sz w:val="28"/>
          <w:szCs w:val="28"/>
        </w:rPr>
        <w:t xml:space="preserve"> </w:t>
      </w:r>
      <w:r w:rsidR="001B0CC5">
        <w:rPr>
          <w:sz w:val="28"/>
          <w:szCs w:val="28"/>
        </w:rPr>
        <w:t>which</w:t>
      </w:r>
      <w:r w:rsidR="00AE7CFE">
        <w:rPr>
          <w:sz w:val="28"/>
          <w:szCs w:val="28"/>
        </w:rPr>
        <w:t>, according to the applicants, contained certain patent errors.</w:t>
      </w:r>
      <w:r w:rsidR="00DC6A6F">
        <w:rPr>
          <w:rStyle w:val="FootnoteReference"/>
          <w:sz w:val="28"/>
          <w:szCs w:val="28"/>
        </w:rPr>
        <w:footnoteReference w:id="9"/>
      </w:r>
    </w:p>
    <w:p w14:paraId="6994A82C" w14:textId="77777777" w:rsidR="00AE7CFE" w:rsidRDefault="00AE7CFE" w:rsidP="005D5D86">
      <w:pPr>
        <w:rPr>
          <w:sz w:val="28"/>
          <w:szCs w:val="28"/>
        </w:rPr>
      </w:pPr>
    </w:p>
    <w:p w14:paraId="4A615E9F" w14:textId="718E1E13" w:rsidR="00AE7CFE" w:rsidRDefault="008023C7" w:rsidP="005D5D86">
      <w:pPr>
        <w:rPr>
          <w:sz w:val="28"/>
          <w:szCs w:val="28"/>
        </w:rPr>
      </w:pPr>
      <w:r>
        <w:rPr>
          <w:sz w:val="28"/>
          <w:szCs w:val="28"/>
        </w:rPr>
        <w:t>[3</w:t>
      </w:r>
      <w:r w:rsidR="00E432C0">
        <w:rPr>
          <w:sz w:val="28"/>
          <w:szCs w:val="28"/>
        </w:rPr>
        <w:t>7</w:t>
      </w:r>
      <w:r w:rsidR="00AE7CFE">
        <w:rPr>
          <w:sz w:val="28"/>
          <w:szCs w:val="28"/>
        </w:rPr>
        <w:t>]</w:t>
      </w:r>
      <w:r w:rsidR="00AE7CFE">
        <w:rPr>
          <w:sz w:val="28"/>
          <w:szCs w:val="28"/>
        </w:rPr>
        <w:tab/>
        <w:t>Apart from the specific provisions of the loan agreement</w:t>
      </w:r>
      <w:r w:rsidR="00AE7CFE">
        <w:rPr>
          <w:rStyle w:val="FootnoteReference"/>
          <w:sz w:val="28"/>
          <w:szCs w:val="28"/>
        </w:rPr>
        <w:footnoteReference w:id="10"/>
      </w:r>
      <w:r w:rsidR="00AE7CFE">
        <w:rPr>
          <w:sz w:val="28"/>
          <w:szCs w:val="28"/>
        </w:rPr>
        <w:t xml:space="preserve"> that impose an obligation on </w:t>
      </w:r>
      <w:proofErr w:type="spellStart"/>
      <w:r w:rsidR="00CF1338">
        <w:rPr>
          <w:sz w:val="28"/>
          <w:szCs w:val="28"/>
        </w:rPr>
        <w:t>Wolmarans</w:t>
      </w:r>
      <w:proofErr w:type="spellEnd"/>
      <w:r w:rsidR="00AE7CFE">
        <w:rPr>
          <w:sz w:val="28"/>
          <w:szCs w:val="28"/>
        </w:rPr>
        <w:t xml:space="preserve"> to pay for all municipal services rendered to the property, such obligations also flow from the provisions of the Local Government</w:t>
      </w:r>
      <w:r w:rsidR="00EA6DD9">
        <w:rPr>
          <w:sz w:val="28"/>
          <w:szCs w:val="28"/>
        </w:rPr>
        <w:t>:</w:t>
      </w:r>
      <w:r w:rsidR="00AE7CFE">
        <w:rPr>
          <w:sz w:val="28"/>
          <w:szCs w:val="28"/>
        </w:rPr>
        <w:t xml:space="preserve"> Municipal Systems Act No 32 of 2000 (the Systems Act) and the </w:t>
      </w:r>
      <w:proofErr w:type="spellStart"/>
      <w:r w:rsidR="00AE7CFE">
        <w:rPr>
          <w:sz w:val="28"/>
          <w:szCs w:val="28"/>
        </w:rPr>
        <w:t>CoJ’s</w:t>
      </w:r>
      <w:proofErr w:type="spellEnd"/>
      <w:r w:rsidR="00AE7CFE">
        <w:rPr>
          <w:sz w:val="28"/>
          <w:szCs w:val="28"/>
        </w:rPr>
        <w:t xml:space="preserve"> Credit Control and Debt Collection By-laws published on 23 May 2005</w:t>
      </w:r>
      <w:r w:rsidR="002F7317">
        <w:rPr>
          <w:rStyle w:val="FootnoteReference"/>
          <w:sz w:val="28"/>
          <w:szCs w:val="28"/>
        </w:rPr>
        <w:footnoteReference w:id="11"/>
      </w:r>
      <w:r w:rsidR="00AE7CFE">
        <w:rPr>
          <w:sz w:val="28"/>
          <w:szCs w:val="28"/>
        </w:rPr>
        <w:t xml:space="preserve"> (the Collection By-laws).</w:t>
      </w:r>
    </w:p>
    <w:p w14:paraId="28C284B3" w14:textId="77777777" w:rsidR="002F7317" w:rsidRDefault="002F7317" w:rsidP="005D5D86">
      <w:pPr>
        <w:rPr>
          <w:sz w:val="28"/>
          <w:szCs w:val="28"/>
        </w:rPr>
      </w:pPr>
    </w:p>
    <w:p w14:paraId="4969916E" w14:textId="03F285AC" w:rsidR="002F7317" w:rsidRDefault="008023C7" w:rsidP="005D5D86">
      <w:pPr>
        <w:rPr>
          <w:sz w:val="28"/>
          <w:szCs w:val="28"/>
        </w:rPr>
      </w:pPr>
      <w:r>
        <w:rPr>
          <w:sz w:val="28"/>
          <w:szCs w:val="28"/>
        </w:rPr>
        <w:t>[3</w:t>
      </w:r>
      <w:r w:rsidR="00E432C0">
        <w:rPr>
          <w:sz w:val="28"/>
          <w:szCs w:val="28"/>
        </w:rPr>
        <w:t>8</w:t>
      </w:r>
      <w:r w:rsidR="002F7317">
        <w:rPr>
          <w:sz w:val="28"/>
          <w:szCs w:val="28"/>
        </w:rPr>
        <w:t>]</w:t>
      </w:r>
      <w:r w:rsidR="002F7317">
        <w:rPr>
          <w:sz w:val="28"/>
          <w:szCs w:val="28"/>
        </w:rPr>
        <w:tab/>
        <w:t>Whilst municipalities are obliged to provide water and electricity to the residents in their area as a matter of public duty, they are further required to ensure the provision of services to communities in a sustainable manner.</w:t>
      </w:r>
    </w:p>
    <w:p w14:paraId="553C4B9C" w14:textId="77777777" w:rsidR="002F7317" w:rsidRDefault="002F7317" w:rsidP="005D5D86">
      <w:pPr>
        <w:rPr>
          <w:sz w:val="28"/>
          <w:szCs w:val="28"/>
        </w:rPr>
      </w:pPr>
    </w:p>
    <w:p w14:paraId="052D867A" w14:textId="775ECDA3" w:rsidR="002F7317" w:rsidRDefault="008023C7" w:rsidP="005D5D86">
      <w:pPr>
        <w:rPr>
          <w:sz w:val="28"/>
          <w:szCs w:val="28"/>
        </w:rPr>
      </w:pPr>
      <w:r>
        <w:rPr>
          <w:sz w:val="28"/>
          <w:szCs w:val="28"/>
        </w:rPr>
        <w:t>[3</w:t>
      </w:r>
      <w:r w:rsidR="00E432C0">
        <w:rPr>
          <w:sz w:val="28"/>
          <w:szCs w:val="28"/>
        </w:rPr>
        <w:t>9</w:t>
      </w:r>
      <w:r w:rsidR="002F7317">
        <w:rPr>
          <w:sz w:val="28"/>
          <w:szCs w:val="28"/>
        </w:rPr>
        <w:t>]</w:t>
      </w:r>
      <w:r w:rsidR="002F7317">
        <w:rPr>
          <w:sz w:val="28"/>
          <w:szCs w:val="28"/>
        </w:rPr>
        <w:tab/>
        <w:t>Section 96</w:t>
      </w:r>
      <w:r w:rsidR="002F7317" w:rsidRPr="00CA5DB8">
        <w:rPr>
          <w:i/>
          <w:sz w:val="28"/>
          <w:szCs w:val="28"/>
        </w:rPr>
        <w:t>(a)</w:t>
      </w:r>
      <w:r w:rsidR="002F7317">
        <w:rPr>
          <w:sz w:val="28"/>
          <w:szCs w:val="28"/>
        </w:rPr>
        <w:t xml:space="preserve"> of the Systems Act obliges municipalities like the </w:t>
      </w:r>
      <w:proofErr w:type="spellStart"/>
      <w:r w:rsidR="002F7317">
        <w:rPr>
          <w:sz w:val="28"/>
          <w:szCs w:val="28"/>
        </w:rPr>
        <w:t>CoJ</w:t>
      </w:r>
      <w:proofErr w:type="spellEnd"/>
      <w:r w:rsidR="002F7317">
        <w:rPr>
          <w:sz w:val="28"/>
          <w:szCs w:val="28"/>
        </w:rPr>
        <w:t xml:space="preserve"> to collect all money that is due and payable to it. In </w:t>
      </w:r>
      <w:proofErr w:type="spellStart"/>
      <w:r w:rsidR="002F7317">
        <w:rPr>
          <w:i/>
          <w:sz w:val="28"/>
          <w:szCs w:val="28"/>
        </w:rPr>
        <w:t>Mkontwana</w:t>
      </w:r>
      <w:proofErr w:type="spellEnd"/>
      <w:r w:rsidR="002F7317">
        <w:rPr>
          <w:i/>
          <w:sz w:val="28"/>
          <w:szCs w:val="28"/>
        </w:rPr>
        <w:t xml:space="preserve"> v Nelson Mandela Metropolitan Municipality</w:t>
      </w:r>
      <w:r w:rsidR="002F7317" w:rsidRPr="002F7317">
        <w:rPr>
          <w:rStyle w:val="FootnoteReference"/>
          <w:sz w:val="28"/>
          <w:szCs w:val="28"/>
        </w:rPr>
        <w:footnoteReference w:id="12"/>
      </w:r>
      <w:r w:rsidR="002F7317">
        <w:rPr>
          <w:sz w:val="28"/>
          <w:szCs w:val="28"/>
        </w:rPr>
        <w:t xml:space="preserve"> </w:t>
      </w:r>
      <w:r w:rsidR="000C7511">
        <w:rPr>
          <w:sz w:val="28"/>
          <w:szCs w:val="28"/>
        </w:rPr>
        <w:t xml:space="preserve">the Constitutional Court </w:t>
      </w:r>
      <w:r w:rsidR="00EC3EBE">
        <w:rPr>
          <w:sz w:val="28"/>
          <w:szCs w:val="28"/>
        </w:rPr>
        <w:t>recognised that ‘it was therefore important that the possibility that municipal debt remains unpaid be reduced by all legitimate means’</w:t>
      </w:r>
      <w:r w:rsidR="00EC3EBE">
        <w:rPr>
          <w:rStyle w:val="FootnoteReference"/>
          <w:sz w:val="28"/>
          <w:szCs w:val="28"/>
        </w:rPr>
        <w:footnoteReference w:id="13"/>
      </w:r>
      <w:r w:rsidR="00EC3EBE">
        <w:rPr>
          <w:sz w:val="28"/>
          <w:szCs w:val="28"/>
        </w:rPr>
        <w:t xml:space="preserve"> and that ‘the municipality must comply with its duty and take reasonable steps to collect </w:t>
      </w:r>
      <w:proofErr w:type="gramStart"/>
      <w:r w:rsidR="00EC3EBE">
        <w:rPr>
          <w:sz w:val="28"/>
          <w:szCs w:val="28"/>
        </w:rPr>
        <w:t>amounts</w:t>
      </w:r>
      <w:proofErr w:type="gramEnd"/>
      <w:r w:rsidR="00EC3EBE">
        <w:rPr>
          <w:sz w:val="28"/>
          <w:szCs w:val="28"/>
        </w:rPr>
        <w:t xml:space="preserve"> that are due’.</w:t>
      </w:r>
      <w:r w:rsidR="00EC3EBE">
        <w:rPr>
          <w:rStyle w:val="FootnoteReference"/>
          <w:sz w:val="28"/>
          <w:szCs w:val="28"/>
        </w:rPr>
        <w:footnoteReference w:id="14"/>
      </w:r>
    </w:p>
    <w:p w14:paraId="046C8064" w14:textId="77777777" w:rsidR="00EC3EBE" w:rsidRDefault="00EC3EBE" w:rsidP="005D5D86">
      <w:pPr>
        <w:rPr>
          <w:sz w:val="28"/>
          <w:szCs w:val="28"/>
        </w:rPr>
      </w:pPr>
    </w:p>
    <w:p w14:paraId="51863A5E" w14:textId="2B31555E" w:rsidR="00EC3EBE" w:rsidRDefault="00EC3EBE" w:rsidP="005D5D86">
      <w:pPr>
        <w:rPr>
          <w:sz w:val="28"/>
          <w:szCs w:val="28"/>
        </w:rPr>
      </w:pPr>
      <w:r>
        <w:rPr>
          <w:sz w:val="28"/>
          <w:szCs w:val="28"/>
        </w:rPr>
        <w:lastRenderedPageBreak/>
        <w:t>[</w:t>
      </w:r>
      <w:r w:rsidR="008023C7">
        <w:rPr>
          <w:sz w:val="28"/>
          <w:szCs w:val="28"/>
        </w:rPr>
        <w:t>4</w:t>
      </w:r>
      <w:r w:rsidR="00E432C0">
        <w:rPr>
          <w:sz w:val="28"/>
          <w:szCs w:val="28"/>
        </w:rPr>
        <w:t>0</w:t>
      </w:r>
      <w:r>
        <w:rPr>
          <w:sz w:val="28"/>
          <w:szCs w:val="28"/>
        </w:rPr>
        <w:t>]</w:t>
      </w:r>
      <w:r>
        <w:rPr>
          <w:sz w:val="28"/>
          <w:szCs w:val="28"/>
        </w:rPr>
        <w:tab/>
        <w:t xml:space="preserve">The applicants’ argument that it had a </w:t>
      </w:r>
      <w:r>
        <w:rPr>
          <w:i/>
          <w:sz w:val="28"/>
          <w:szCs w:val="28"/>
        </w:rPr>
        <w:t>bona fide</w:t>
      </w:r>
      <w:r>
        <w:rPr>
          <w:sz w:val="28"/>
          <w:szCs w:val="28"/>
        </w:rPr>
        <w:t xml:space="preserve"> dispute with </w:t>
      </w:r>
      <w:proofErr w:type="spellStart"/>
      <w:r>
        <w:rPr>
          <w:sz w:val="28"/>
          <w:szCs w:val="28"/>
        </w:rPr>
        <w:t>CoJ</w:t>
      </w:r>
      <w:proofErr w:type="spellEnd"/>
      <w:r>
        <w:rPr>
          <w:sz w:val="28"/>
          <w:szCs w:val="28"/>
        </w:rPr>
        <w:t xml:space="preserve"> over the outstanding municipal charges is clearly not sustainable especially in light of </w:t>
      </w:r>
      <w:proofErr w:type="spellStart"/>
      <w:r w:rsidR="004F4474">
        <w:rPr>
          <w:sz w:val="28"/>
          <w:szCs w:val="28"/>
        </w:rPr>
        <w:t>CoJ’s</w:t>
      </w:r>
      <w:proofErr w:type="spellEnd"/>
      <w:r w:rsidR="000C7511">
        <w:rPr>
          <w:sz w:val="28"/>
          <w:szCs w:val="28"/>
        </w:rPr>
        <w:t xml:space="preserve"> </w:t>
      </w:r>
      <w:r w:rsidRPr="00EC3EBE">
        <w:rPr>
          <w:sz w:val="28"/>
          <w:szCs w:val="28"/>
        </w:rPr>
        <w:t>Collection</w:t>
      </w:r>
      <w:r w:rsidR="004F4474">
        <w:rPr>
          <w:sz w:val="28"/>
          <w:szCs w:val="28"/>
        </w:rPr>
        <w:t xml:space="preserve"> b</w:t>
      </w:r>
      <w:r>
        <w:rPr>
          <w:sz w:val="28"/>
          <w:szCs w:val="28"/>
        </w:rPr>
        <w:t>y-laws. In terms of s</w:t>
      </w:r>
      <w:r w:rsidR="001B0CC5">
        <w:rPr>
          <w:sz w:val="28"/>
          <w:szCs w:val="28"/>
        </w:rPr>
        <w:t xml:space="preserve"> 1</w:t>
      </w:r>
      <w:r w:rsidR="00CA5DB8">
        <w:rPr>
          <w:sz w:val="28"/>
          <w:szCs w:val="28"/>
        </w:rPr>
        <w:t>,</w:t>
      </w:r>
      <w:r>
        <w:rPr>
          <w:sz w:val="28"/>
          <w:szCs w:val="28"/>
        </w:rPr>
        <w:t xml:space="preserve"> ‘account’ means a notification by means of a statement of account to a person liable for payment of any amount for which he or she is liable to pay the Council in respect of the following:</w:t>
      </w:r>
    </w:p>
    <w:p w14:paraId="7B29FDC1" w14:textId="08325C0F" w:rsidR="00EC3EBE" w:rsidRPr="00EC3EBE" w:rsidRDefault="00EC3EBE" w:rsidP="005D5D86">
      <w:pPr>
        <w:rPr>
          <w:szCs w:val="28"/>
        </w:rPr>
      </w:pPr>
      <w:r w:rsidRPr="00EC3EBE">
        <w:rPr>
          <w:szCs w:val="28"/>
        </w:rPr>
        <w:t>‘(</w:t>
      </w:r>
      <w:proofErr w:type="gramStart"/>
      <w:r w:rsidRPr="00EC3EBE">
        <w:rPr>
          <w:szCs w:val="28"/>
        </w:rPr>
        <w:t>a</w:t>
      </w:r>
      <w:proofErr w:type="gramEnd"/>
      <w:r w:rsidRPr="00EC3EBE">
        <w:rPr>
          <w:szCs w:val="28"/>
        </w:rPr>
        <w:t>)</w:t>
      </w:r>
      <w:r w:rsidRPr="00EC3EBE">
        <w:rPr>
          <w:szCs w:val="28"/>
        </w:rPr>
        <w:tab/>
        <w:t>electricity consumption based on a meter reading or estimated consumption or availability fees;</w:t>
      </w:r>
    </w:p>
    <w:p w14:paraId="5303EA04" w14:textId="5C256ED0" w:rsidR="00EC3EBE" w:rsidRPr="00EC3EBE" w:rsidRDefault="00EC3EBE" w:rsidP="005D5D86">
      <w:pPr>
        <w:rPr>
          <w:szCs w:val="28"/>
        </w:rPr>
      </w:pPr>
      <w:r w:rsidRPr="00EC3EBE">
        <w:rPr>
          <w:szCs w:val="28"/>
        </w:rPr>
        <w:t>(b)</w:t>
      </w:r>
      <w:r w:rsidRPr="00EC3EBE">
        <w:rPr>
          <w:szCs w:val="28"/>
        </w:rPr>
        <w:tab/>
      </w:r>
      <w:proofErr w:type="gramStart"/>
      <w:r w:rsidRPr="00EC3EBE">
        <w:rPr>
          <w:szCs w:val="28"/>
        </w:rPr>
        <w:t>water</w:t>
      </w:r>
      <w:proofErr w:type="gramEnd"/>
      <w:r w:rsidRPr="00EC3EBE">
        <w:rPr>
          <w:szCs w:val="28"/>
        </w:rPr>
        <w:t xml:space="preserve"> consumption based on a meter reading or estimated consumption or availability fees;</w:t>
      </w:r>
    </w:p>
    <w:p w14:paraId="23190D16" w14:textId="0A8DB8CC" w:rsidR="00EC3EBE" w:rsidRPr="00EC3EBE" w:rsidRDefault="00EC3EBE" w:rsidP="005D5D86">
      <w:pPr>
        <w:rPr>
          <w:szCs w:val="28"/>
        </w:rPr>
      </w:pPr>
      <w:r w:rsidRPr="00EC3EBE">
        <w:rPr>
          <w:szCs w:val="28"/>
        </w:rPr>
        <w:t>(c)</w:t>
      </w:r>
      <w:r w:rsidRPr="00EC3EBE">
        <w:rPr>
          <w:szCs w:val="28"/>
        </w:rPr>
        <w:tab/>
      </w:r>
      <w:proofErr w:type="gramStart"/>
      <w:r w:rsidRPr="00EC3EBE">
        <w:rPr>
          <w:szCs w:val="28"/>
        </w:rPr>
        <w:t>refuse</w:t>
      </w:r>
      <w:proofErr w:type="gramEnd"/>
      <w:r w:rsidRPr="00EC3EBE">
        <w:rPr>
          <w:szCs w:val="28"/>
        </w:rPr>
        <w:t xml:space="preserve"> removal and disposal;</w:t>
      </w:r>
    </w:p>
    <w:p w14:paraId="79F72885" w14:textId="3AB26693" w:rsidR="00EC3EBE" w:rsidRPr="00EC3EBE" w:rsidRDefault="00EC3EBE" w:rsidP="005D5D86">
      <w:pPr>
        <w:rPr>
          <w:szCs w:val="28"/>
        </w:rPr>
      </w:pPr>
      <w:r w:rsidRPr="00EC3EBE">
        <w:rPr>
          <w:szCs w:val="28"/>
        </w:rPr>
        <w:t>(d)</w:t>
      </w:r>
      <w:r w:rsidRPr="00EC3EBE">
        <w:rPr>
          <w:szCs w:val="28"/>
        </w:rPr>
        <w:tab/>
      </w:r>
      <w:proofErr w:type="gramStart"/>
      <w:r w:rsidRPr="00EC3EBE">
        <w:rPr>
          <w:szCs w:val="28"/>
        </w:rPr>
        <w:t>sewerage</w:t>
      </w:r>
      <w:proofErr w:type="gramEnd"/>
      <w:r w:rsidRPr="00EC3EBE">
        <w:rPr>
          <w:szCs w:val="28"/>
        </w:rPr>
        <w:t xml:space="preserve"> services and sewer availability fees;</w:t>
      </w:r>
    </w:p>
    <w:p w14:paraId="6915D923" w14:textId="616A8D49" w:rsidR="00EC3EBE" w:rsidRPr="00EC3EBE" w:rsidRDefault="00EC3EBE" w:rsidP="005D5D86">
      <w:pPr>
        <w:rPr>
          <w:szCs w:val="28"/>
        </w:rPr>
      </w:pPr>
      <w:r w:rsidRPr="00EC3EBE">
        <w:rPr>
          <w:szCs w:val="28"/>
        </w:rPr>
        <w:t>(e)</w:t>
      </w:r>
      <w:r w:rsidRPr="00EC3EBE">
        <w:rPr>
          <w:szCs w:val="28"/>
        </w:rPr>
        <w:tab/>
      </w:r>
      <w:proofErr w:type="gramStart"/>
      <w:r w:rsidRPr="00EC3EBE">
        <w:rPr>
          <w:szCs w:val="28"/>
        </w:rPr>
        <w:t>rates</w:t>
      </w:r>
      <w:proofErr w:type="gramEnd"/>
      <w:r w:rsidRPr="00EC3EBE">
        <w:rPr>
          <w:szCs w:val="28"/>
        </w:rPr>
        <w:t>;</w:t>
      </w:r>
    </w:p>
    <w:p w14:paraId="4FBB1412" w14:textId="00DAE93A" w:rsidR="00EC3EBE" w:rsidRPr="00EC3EBE" w:rsidRDefault="00EC3EBE" w:rsidP="005D5D86">
      <w:pPr>
        <w:rPr>
          <w:szCs w:val="28"/>
        </w:rPr>
      </w:pPr>
      <w:r w:rsidRPr="00EC3EBE">
        <w:rPr>
          <w:szCs w:val="28"/>
        </w:rPr>
        <w:t>(f)</w:t>
      </w:r>
      <w:r w:rsidRPr="00EC3EBE">
        <w:rPr>
          <w:szCs w:val="28"/>
        </w:rPr>
        <w:tab/>
      </w:r>
      <w:proofErr w:type="gramStart"/>
      <w:r w:rsidRPr="00EC3EBE">
        <w:rPr>
          <w:szCs w:val="28"/>
        </w:rPr>
        <w:t>interest</w:t>
      </w:r>
      <w:proofErr w:type="gramEnd"/>
      <w:r w:rsidRPr="00EC3EBE">
        <w:rPr>
          <w:szCs w:val="28"/>
        </w:rPr>
        <w:t>; and</w:t>
      </w:r>
    </w:p>
    <w:p w14:paraId="0052BAF5" w14:textId="0D5573CE" w:rsidR="00EC3EBE" w:rsidRPr="00EC3EBE" w:rsidRDefault="00EC3EBE" w:rsidP="005D5D86">
      <w:pPr>
        <w:rPr>
          <w:szCs w:val="28"/>
        </w:rPr>
      </w:pPr>
      <w:r w:rsidRPr="00EC3EBE">
        <w:rPr>
          <w:szCs w:val="28"/>
        </w:rPr>
        <w:t>(g)</w:t>
      </w:r>
      <w:r w:rsidRPr="00EC3EBE">
        <w:rPr>
          <w:szCs w:val="28"/>
        </w:rPr>
        <w:tab/>
      </w:r>
      <w:proofErr w:type="gramStart"/>
      <w:r w:rsidRPr="00EC3EBE">
        <w:rPr>
          <w:szCs w:val="28"/>
        </w:rPr>
        <w:t>miscellaneous</w:t>
      </w:r>
      <w:proofErr w:type="gramEnd"/>
      <w:r w:rsidRPr="00EC3EBE">
        <w:rPr>
          <w:szCs w:val="28"/>
        </w:rPr>
        <w:t xml:space="preserve"> and sundry fees and collection charges.’</w:t>
      </w:r>
    </w:p>
    <w:p w14:paraId="7D4E88E8" w14:textId="77777777" w:rsidR="00EC3EBE" w:rsidRDefault="00EC3EBE" w:rsidP="005D5D86">
      <w:pPr>
        <w:rPr>
          <w:sz w:val="28"/>
          <w:szCs w:val="28"/>
        </w:rPr>
      </w:pPr>
    </w:p>
    <w:p w14:paraId="48E72F2E" w14:textId="6CF690A0" w:rsidR="00EC3EBE" w:rsidRDefault="00EC3EBE" w:rsidP="005D5D86">
      <w:pPr>
        <w:rPr>
          <w:sz w:val="28"/>
          <w:szCs w:val="28"/>
        </w:rPr>
      </w:pPr>
      <w:r>
        <w:rPr>
          <w:sz w:val="28"/>
          <w:szCs w:val="28"/>
        </w:rPr>
        <w:t>[</w:t>
      </w:r>
      <w:r w:rsidR="008023C7">
        <w:rPr>
          <w:sz w:val="28"/>
          <w:szCs w:val="28"/>
        </w:rPr>
        <w:t>4</w:t>
      </w:r>
      <w:r w:rsidR="00E432C0">
        <w:rPr>
          <w:sz w:val="28"/>
          <w:szCs w:val="28"/>
        </w:rPr>
        <w:t>1</w:t>
      </w:r>
      <w:r>
        <w:rPr>
          <w:sz w:val="28"/>
          <w:szCs w:val="28"/>
        </w:rPr>
        <w:t>]</w:t>
      </w:r>
      <w:r>
        <w:rPr>
          <w:sz w:val="28"/>
          <w:szCs w:val="28"/>
        </w:rPr>
        <w:tab/>
        <w:t xml:space="preserve">The following further sections of the Collection By-laws are relevant insofar as they have some bearing on </w:t>
      </w:r>
      <w:proofErr w:type="spellStart"/>
      <w:r w:rsidR="00B21BBD">
        <w:rPr>
          <w:sz w:val="28"/>
          <w:szCs w:val="28"/>
        </w:rPr>
        <w:t>Wolmarans</w:t>
      </w:r>
      <w:proofErr w:type="spellEnd"/>
      <w:r w:rsidR="00B21BBD">
        <w:rPr>
          <w:sz w:val="28"/>
          <w:szCs w:val="28"/>
        </w:rPr>
        <w:t>’</w:t>
      </w:r>
      <w:r>
        <w:rPr>
          <w:sz w:val="28"/>
          <w:szCs w:val="28"/>
        </w:rPr>
        <w:t xml:space="preserve"> conduct herein:</w:t>
      </w:r>
    </w:p>
    <w:p w14:paraId="00865ABE" w14:textId="6C800DC8" w:rsidR="00EC3EBE" w:rsidRPr="00341D4A" w:rsidRDefault="00CA5DB8" w:rsidP="005D5D86">
      <w:pPr>
        <w:rPr>
          <w:sz w:val="28"/>
          <w:szCs w:val="28"/>
        </w:rPr>
      </w:pPr>
      <w:r>
        <w:rPr>
          <w:sz w:val="28"/>
          <w:szCs w:val="28"/>
        </w:rPr>
        <w:t>(a)</w:t>
      </w:r>
      <w:r>
        <w:rPr>
          <w:sz w:val="28"/>
          <w:szCs w:val="28"/>
        </w:rPr>
        <w:tab/>
      </w:r>
      <w:r w:rsidR="00EC3EBE" w:rsidRPr="00341D4A">
        <w:rPr>
          <w:sz w:val="28"/>
          <w:szCs w:val="28"/>
        </w:rPr>
        <w:t>Section 5</w:t>
      </w:r>
      <w:r w:rsidR="007F13D7">
        <w:rPr>
          <w:sz w:val="28"/>
          <w:szCs w:val="28"/>
        </w:rPr>
        <w:t xml:space="preserve"> </w:t>
      </w:r>
      <w:r w:rsidR="0040307C" w:rsidRPr="00341D4A">
        <w:rPr>
          <w:sz w:val="28"/>
          <w:szCs w:val="28"/>
        </w:rPr>
        <w:t xml:space="preserve">provides that the </w:t>
      </w:r>
      <w:proofErr w:type="spellStart"/>
      <w:r w:rsidR="0040307C" w:rsidRPr="00341D4A">
        <w:rPr>
          <w:sz w:val="28"/>
          <w:szCs w:val="28"/>
        </w:rPr>
        <w:t>CoJ</w:t>
      </w:r>
      <w:proofErr w:type="spellEnd"/>
      <w:r w:rsidR="0040307C" w:rsidRPr="00341D4A">
        <w:rPr>
          <w:sz w:val="28"/>
          <w:szCs w:val="28"/>
        </w:rPr>
        <w:t xml:space="preserve"> may estimate the consumption of water and electricity for any relevant period in the absence of a meter reading;</w:t>
      </w:r>
    </w:p>
    <w:p w14:paraId="262F8971" w14:textId="7EFB6671" w:rsidR="007F13D7" w:rsidRDefault="00CA5DB8" w:rsidP="005D5D86">
      <w:pPr>
        <w:rPr>
          <w:sz w:val="28"/>
          <w:szCs w:val="28"/>
        </w:rPr>
      </w:pPr>
      <w:r>
        <w:rPr>
          <w:sz w:val="28"/>
          <w:szCs w:val="28"/>
        </w:rPr>
        <w:t>(b)</w:t>
      </w:r>
      <w:r>
        <w:rPr>
          <w:sz w:val="28"/>
          <w:szCs w:val="28"/>
        </w:rPr>
        <w:tab/>
      </w:r>
      <w:r w:rsidR="0040307C" w:rsidRPr="00341D4A">
        <w:rPr>
          <w:sz w:val="28"/>
          <w:szCs w:val="28"/>
        </w:rPr>
        <w:t xml:space="preserve">In terms of section 8(2) the </w:t>
      </w:r>
      <w:proofErr w:type="spellStart"/>
      <w:r w:rsidR="0040307C" w:rsidRPr="00341D4A">
        <w:rPr>
          <w:sz w:val="28"/>
          <w:szCs w:val="28"/>
        </w:rPr>
        <w:t>CoJ</w:t>
      </w:r>
      <w:proofErr w:type="spellEnd"/>
      <w:r w:rsidR="0040307C" w:rsidRPr="00341D4A">
        <w:rPr>
          <w:sz w:val="28"/>
          <w:szCs w:val="28"/>
        </w:rPr>
        <w:t xml:space="preserve"> may in accordance with the provisions of </w:t>
      </w:r>
    </w:p>
    <w:p w14:paraId="377CBC72" w14:textId="08B87D69" w:rsidR="0040307C" w:rsidRPr="00341D4A" w:rsidRDefault="0040307C" w:rsidP="005D5D86">
      <w:pPr>
        <w:rPr>
          <w:sz w:val="28"/>
          <w:szCs w:val="28"/>
        </w:rPr>
      </w:pPr>
      <w:r w:rsidRPr="00341D4A">
        <w:rPr>
          <w:sz w:val="28"/>
          <w:szCs w:val="28"/>
        </w:rPr>
        <w:t>s 102 of the Systems Act consolidate any separate accounts of a customer liable for payment, credit any payment by such customer, and implement any of the debt collection measures provided for in the Collection By-laws;</w:t>
      </w:r>
    </w:p>
    <w:p w14:paraId="19355BAB" w14:textId="6A57718B" w:rsidR="0040307C" w:rsidRPr="00341D4A" w:rsidRDefault="00CA5DB8" w:rsidP="005D5D86">
      <w:pPr>
        <w:rPr>
          <w:sz w:val="28"/>
          <w:szCs w:val="28"/>
        </w:rPr>
      </w:pPr>
      <w:r>
        <w:rPr>
          <w:sz w:val="28"/>
          <w:szCs w:val="28"/>
        </w:rPr>
        <w:t>(c)</w:t>
      </w:r>
      <w:r>
        <w:rPr>
          <w:sz w:val="28"/>
          <w:szCs w:val="28"/>
        </w:rPr>
        <w:tab/>
      </w:r>
      <w:r w:rsidR="0040307C" w:rsidRPr="00341D4A">
        <w:rPr>
          <w:sz w:val="28"/>
          <w:szCs w:val="28"/>
        </w:rPr>
        <w:t>Section 8(3)</w:t>
      </w:r>
      <w:r w:rsidR="007F13D7">
        <w:rPr>
          <w:sz w:val="28"/>
          <w:szCs w:val="28"/>
        </w:rPr>
        <w:t xml:space="preserve"> </w:t>
      </w:r>
      <w:r w:rsidR="0040307C" w:rsidRPr="00341D4A">
        <w:rPr>
          <w:sz w:val="28"/>
          <w:szCs w:val="28"/>
        </w:rPr>
        <w:t xml:space="preserve">provides that the amount due and payable by a customer constitutes a consolidated debt and any payment made by a customer less than the total amount due will be allocated in reduction of the consolidated debt in the order prescribed; and </w:t>
      </w:r>
    </w:p>
    <w:p w14:paraId="048AE77B" w14:textId="40C62C05" w:rsidR="0040307C" w:rsidRPr="00341D4A" w:rsidRDefault="00CA5DB8" w:rsidP="005D5D86">
      <w:pPr>
        <w:rPr>
          <w:sz w:val="28"/>
          <w:szCs w:val="28"/>
        </w:rPr>
      </w:pPr>
      <w:r>
        <w:rPr>
          <w:sz w:val="28"/>
          <w:szCs w:val="28"/>
        </w:rPr>
        <w:t>(d)</w:t>
      </w:r>
      <w:r>
        <w:rPr>
          <w:sz w:val="28"/>
          <w:szCs w:val="28"/>
        </w:rPr>
        <w:tab/>
      </w:r>
      <w:r w:rsidR="0040307C" w:rsidRPr="00341D4A">
        <w:rPr>
          <w:sz w:val="28"/>
          <w:szCs w:val="28"/>
        </w:rPr>
        <w:t xml:space="preserve">Section 11(3) provides that before or after the due date for payment specified in the </w:t>
      </w:r>
      <w:proofErr w:type="spellStart"/>
      <w:r w:rsidR="0040307C" w:rsidRPr="00341D4A">
        <w:rPr>
          <w:sz w:val="28"/>
          <w:szCs w:val="28"/>
        </w:rPr>
        <w:t>CoJ</w:t>
      </w:r>
      <w:proofErr w:type="spellEnd"/>
      <w:r w:rsidR="0040307C" w:rsidRPr="00341D4A">
        <w:rPr>
          <w:sz w:val="28"/>
          <w:szCs w:val="28"/>
        </w:rPr>
        <w:t xml:space="preserve"> account, notwithstanding its dispute with the </w:t>
      </w:r>
      <w:proofErr w:type="spellStart"/>
      <w:r w:rsidR="0040307C" w:rsidRPr="00341D4A">
        <w:rPr>
          <w:sz w:val="28"/>
          <w:szCs w:val="28"/>
        </w:rPr>
        <w:t>CoJ</w:t>
      </w:r>
      <w:proofErr w:type="spellEnd"/>
      <w:r w:rsidR="0040307C" w:rsidRPr="00341D4A">
        <w:rPr>
          <w:sz w:val="28"/>
          <w:szCs w:val="28"/>
        </w:rPr>
        <w:t xml:space="preserve">, the customer must pay </w:t>
      </w:r>
      <w:r w:rsidR="0040307C" w:rsidRPr="00341D4A">
        <w:rPr>
          <w:sz w:val="28"/>
          <w:szCs w:val="28"/>
        </w:rPr>
        <w:lastRenderedPageBreak/>
        <w:t>the full amount of any account insofar as it relates to amounts for rates, or the municipal services concerned, and which are not in dispute.</w:t>
      </w:r>
    </w:p>
    <w:p w14:paraId="7D53AB38" w14:textId="77777777" w:rsidR="0040307C" w:rsidRDefault="0040307C" w:rsidP="005D5D86">
      <w:pPr>
        <w:rPr>
          <w:sz w:val="28"/>
          <w:szCs w:val="28"/>
        </w:rPr>
      </w:pPr>
    </w:p>
    <w:p w14:paraId="6119934F" w14:textId="7DC82E57" w:rsidR="0040307C" w:rsidRDefault="0040307C" w:rsidP="005D5D86">
      <w:pPr>
        <w:rPr>
          <w:sz w:val="28"/>
          <w:szCs w:val="28"/>
        </w:rPr>
      </w:pPr>
      <w:r>
        <w:rPr>
          <w:sz w:val="28"/>
          <w:szCs w:val="28"/>
        </w:rPr>
        <w:t>[</w:t>
      </w:r>
      <w:r w:rsidR="008023C7">
        <w:rPr>
          <w:sz w:val="28"/>
          <w:szCs w:val="28"/>
        </w:rPr>
        <w:t>4</w:t>
      </w:r>
      <w:r w:rsidR="00E432C0">
        <w:rPr>
          <w:sz w:val="28"/>
          <w:szCs w:val="28"/>
        </w:rPr>
        <w:t>2</w:t>
      </w:r>
      <w:r>
        <w:rPr>
          <w:sz w:val="28"/>
          <w:szCs w:val="28"/>
        </w:rPr>
        <w:t>]</w:t>
      </w:r>
      <w:r>
        <w:rPr>
          <w:sz w:val="28"/>
          <w:szCs w:val="28"/>
        </w:rPr>
        <w:tab/>
        <w:t>On a reasonable and proper interpretation of s 11(3) of the Collection By-laws, it would seem that it is aimed at stopping unscrupulous property owners from declaring a dispute with the municipality and then withholding payment for years. The purpose of the By-laws is therefore to avoid an alleged billing dispute from persisting for years on end while the property owner continues</w:t>
      </w:r>
      <w:r w:rsidR="001B0CC5">
        <w:rPr>
          <w:sz w:val="28"/>
          <w:szCs w:val="28"/>
        </w:rPr>
        <w:t xml:space="preserve"> to</w:t>
      </w:r>
      <w:r>
        <w:rPr>
          <w:sz w:val="28"/>
          <w:szCs w:val="28"/>
        </w:rPr>
        <w:t xml:space="preserve"> consum</w:t>
      </w:r>
      <w:r w:rsidR="001B0CC5">
        <w:rPr>
          <w:sz w:val="28"/>
          <w:szCs w:val="28"/>
        </w:rPr>
        <w:t>e</w:t>
      </w:r>
      <w:r>
        <w:rPr>
          <w:sz w:val="28"/>
          <w:szCs w:val="28"/>
        </w:rPr>
        <w:t xml:space="preserve"> services it does not pay for.</w:t>
      </w:r>
    </w:p>
    <w:p w14:paraId="168BAD88" w14:textId="77777777" w:rsidR="0040307C" w:rsidRDefault="0040307C" w:rsidP="005D5D86">
      <w:pPr>
        <w:rPr>
          <w:sz w:val="28"/>
          <w:szCs w:val="28"/>
        </w:rPr>
      </w:pPr>
    </w:p>
    <w:p w14:paraId="46CACF0A" w14:textId="6F455B89" w:rsidR="0040307C" w:rsidRDefault="008023C7" w:rsidP="005D5D86">
      <w:pPr>
        <w:rPr>
          <w:sz w:val="28"/>
          <w:szCs w:val="28"/>
        </w:rPr>
      </w:pPr>
      <w:r>
        <w:rPr>
          <w:sz w:val="28"/>
          <w:szCs w:val="28"/>
        </w:rPr>
        <w:t>[4</w:t>
      </w:r>
      <w:r w:rsidR="00E432C0">
        <w:rPr>
          <w:sz w:val="28"/>
          <w:szCs w:val="28"/>
        </w:rPr>
        <w:t>3</w:t>
      </w:r>
      <w:r w:rsidR="0040307C">
        <w:rPr>
          <w:sz w:val="28"/>
          <w:szCs w:val="28"/>
        </w:rPr>
        <w:t>]</w:t>
      </w:r>
      <w:r w:rsidR="0040307C">
        <w:rPr>
          <w:sz w:val="28"/>
          <w:szCs w:val="28"/>
        </w:rPr>
        <w:tab/>
        <w:t>Section 102 of the Systems Act deals with ‘accounts’. In relevant part it provides as follows:</w:t>
      </w:r>
    </w:p>
    <w:p w14:paraId="17877736" w14:textId="517D4EED" w:rsidR="0040307C" w:rsidRPr="00CE2992" w:rsidRDefault="0040307C" w:rsidP="005D5D86">
      <w:pPr>
        <w:rPr>
          <w:szCs w:val="28"/>
        </w:rPr>
      </w:pPr>
      <w:r w:rsidRPr="00CE2992">
        <w:rPr>
          <w:szCs w:val="28"/>
        </w:rPr>
        <w:t>‘102</w:t>
      </w:r>
      <w:r w:rsidRPr="00CE2992">
        <w:rPr>
          <w:szCs w:val="28"/>
        </w:rPr>
        <w:tab/>
        <w:t>Accounts</w:t>
      </w:r>
    </w:p>
    <w:p w14:paraId="4F49BA4E" w14:textId="4311A566" w:rsidR="0040307C" w:rsidRPr="00CE2992" w:rsidRDefault="0040307C" w:rsidP="005D5D86">
      <w:pPr>
        <w:rPr>
          <w:szCs w:val="28"/>
        </w:rPr>
      </w:pPr>
      <w:r w:rsidRPr="00CE2992">
        <w:rPr>
          <w:szCs w:val="28"/>
        </w:rPr>
        <w:t>(1)</w:t>
      </w:r>
      <w:r w:rsidRPr="00CE2992">
        <w:rPr>
          <w:szCs w:val="28"/>
        </w:rPr>
        <w:tab/>
        <w:t>A municipality may -</w:t>
      </w:r>
    </w:p>
    <w:p w14:paraId="2C0E7E57" w14:textId="2095F685" w:rsidR="0040307C" w:rsidRPr="00CE2992" w:rsidRDefault="0040307C" w:rsidP="005D5D86">
      <w:pPr>
        <w:rPr>
          <w:szCs w:val="28"/>
        </w:rPr>
      </w:pPr>
      <w:r w:rsidRPr="00CA5DB8">
        <w:rPr>
          <w:i/>
          <w:szCs w:val="28"/>
        </w:rPr>
        <w:t>(a)</w:t>
      </w:r>
      <w:r w:rsidRPr="00CE2992">
        <w:rPr>
          <w:szCs w:val="28"/>
        </w:rPr>
        <w:tab/>
      </w:r>
      <w:proofErr w:type="gramStart"/>
      <w:r w:rsidRPr="00CE2992">
        <w:rPr>
          <w:szCs w:val="28"/>
        </w:rPr>
        <w:t>consolidate</w:t>
      </w:r>
      <w:proofErr w:type="gramEnd"/>
      <w:r w:rsidRPr="00CE2992">
        <w:rPr>
          <w:szCs w:val="28"/>
        </w:rPr>
        <w:t xml:space="preserve"> any separate accounts of persons liable for payments to the municipality;</w:t>
      </w:r>
    </w:p>
    <w:p w14:paraId="0C9DE63A" w14:textId="44201796" w:rsidR="0040307C" w:rsidRPr="00CE2992" w:rsidRDefault="0040307C" w:rsidP="005D5D86">
      <w:pPr>
        <w:rPr>
          <w:szCs w:val="28"/>
        </w:rPr>
      </w:pPr>
      <w:r w:rsidRPr="00CA5DB8">
        <w:rPr>
          <w:i/>
          <w:szCs w:val="28"/>
        </w:rPr>
        <w:t>(b)</w:t>
      </w:r>
      <w:r w:rsidRPr="00CE2992">
        <w:rPr>
          <w:szCs w:val="28"/>
        </w:rPr>
        <w:tab/>
      </w:r>
      <w:proofErr w:type="gramStart"/>
      <w:r w:rsidRPr="00CE2992">
        <w:rPr>
          <w:szCs w:val="28"/>
        </w:rPr>
        <w:t>credit</w:t>
      </w:r>
      <w:proofErr w:type="gramEnd"/>
      <w:r w:rsidRPr="00CE2992">
        <w:rPr>
          <w:szCs w:val="28"/>
        </w:rPr>
        <w:t xml:space="preserve"> a payment by such a person against any account of that person; and</w:t>
      </w:r>
    </w:p>
    <w:p w14:paraId="0CDE383C" w14:textId="74482DEF" w:rsidR="0040307C" w:rsidRPr="00CE2992" w:rsidRDefault="0040307C" w:rsidP="005D5D86">
      <w:pPr>
        <w:rPr>
          <w:szCs w:val="28"/>
        </w:rPr>
      </w:pPr>
      <w:r w:rsidRPr="00CA5DB8">
        <w:rPr>
          <w:i/>
          <w:szCs w:val="28"/>
        </w:rPr>
        <w:t>(c)</w:t>
      </w:r>
      <w:r w:rsidRPr="00CE2992">
        <w:rPr>
          <w:szCs w:val="28"/>
        </w:rPr>
        <w:tab/>
      </w:r>
      <w:proofErr w:type="gramStart"/>
      <w:r w:rsidRPr="00CE2992">
        <w:rPr>
          <w:szCs w:val="28"/>
        </w:rPr>
        <w:t>implement</w:t>
      </w:r>
      <w:proofErr w:type="gramEnd"/>
      <w:r w:rsidRPr="00CE2992">
        <w:rPr>
          <w:szCs w:val="28"/>
        </w:rPr>
        <w:t xml:space="preserve"> any of the debt collection and credit control measures provided for in this chapter in relation to any arrears on any of the accounts of such a person.</w:t>
      </w:r>
    </w:p>
    <w:p w14:paraId="1288246D" w14:textId="3DF38881" w:rsidR="00CE2992" w:rsidRPr="00CE2992" w:rsidRDefault="00CE2992" w:rsidP="005D5D86">
      <w:pPr>
        <w:rPr>
          <w:szCs w:val="28"/>
        </w:rPr>
      </w:pPr>
      <w:r w:rsidRPr="00CE2992">
        <w:rPr>
          <w:szCs w:val="28"/>
        </w:rPr>
        <w:t>(2)</w:t>
      </w:r>
      <w:r w:rsidRPr="00CE2992">
        <w:rPr>
          <w:szCs w:val="28"/>
        </w:rPr>
        <w:tab/>
        <w:t xml:space="preserve">Subsection (1) does not apply where there is a dispute between the municipality and a person referred to in that subsection </w:t>
      </w:r>
      <w:r w:rsidRPr="002463CC">
        <w:rPr>
          <w:i/>
          <w:szCs w:val="28"/>
        </w:rPr>
        <w:t>concerning any specific amount</w:t>
      </w:r>
      <w:r w:rsidRPr="00CE2992">
        <w:rPr>
          <w:szCs w:val="28"/>
        </w:rPr>
        <w:t xml:space="preserve"> claimed by the municipality form that person.</w:t>
      </w:r>
    </w:p>
    <w:p w14:paraId="4A9E8224" w14:textId="5C3522A0" w:rsidR="00CE2992" w:rsidRPr="00CE2992" w:rsidRDefault="00CA5DB8" w:rsidP="005D5D86">
      <w:pPr>
        <w:rPr>
          <w:szCs w:val="28"/>
        </w:rPr>
      </w:pPr>
      <w:r>
        <w:rPr>
          <w:szCs w:val="28"/>
        </w:rPr>
        <w:t>(3)</w:t>
      </w:r>
      <w:r>
        <w:rPr>
          <w:szCs w:val="28"/>
        </w:rPr>
        <w:tab/>
        <w:t>. . . .’ (</w:t>
      </w:r>
      <w:r w:rsidR="00F26667">
        <w:rPr>
          <w:szCs w:val="28"/>
        </w:rPr>
        <w:t>E</w:t>
      </w:r>
      <w:r w:rsidR="00CE2992" w:rsidRPr="00CE2992">
        <w:rPr>
          <w:szCs w:val="28"/>
        </w:rPr>
        <w:t>mphasis added</w:t>
      </w:r>
      <w:r>
        <w:rPr>
          <w:szCs w:val="28"/>
        </w:rPr>
        <w:t>.)</w:t>
      </w:r>
    </w:p>
    <w:p w14:paraId="78F4B506" w14:textId="77777777" w:rsidR="00CE2992" w:rsidRDefault="00CE2992" w:rsidP="005D5D86">
      <w:pPr>
        <w:rPr>
          <w:sz w:val="28"/>
          <w:szCs w:val="28"/>
        </w:rPr>
      </w:pPr>
    </w:p>
    <w:p w14:paraId="5ED1A6EE" w14:textId="7105FCBD" w:rsidR="00CE2992" w:rsidRDefault="008023C7" w:rsidP="005D5D86">
      <w:pPr>
        <w:rPr>
          <w:sz w:val="28"/>
          <w:szCs w:val="28"/>
        </w:rPr>
      </w:pPr>
      <w:r>
        <w:rPr>
          <w:sz w:val="28"/>
          <w:szCs w:val="28"/>
        </w:rPr>
        <w:t>[4</w:t>
      </w:r>
      <w:r w:rsidR="00E432C0">
        <w:rPr>
          <w:sz w:val="28"/>
          <w:szCs w:val="28"/>
        </w:rPr>
        <w:t>4</w:t>
      </w:r>
      <w:r w:rsidR="00CE2992">
        <w:rPr>
          <w:sz w:val="28"/>
          <w:szCs w:val="28"/>
        </w:rPr>
        <w:t>]</w:t>
      </w:r>
      <w:r w:rsidR="00CE2992">
        <w:rPr>
          <w:sz w:val="28"/>
          <w:szCs w:val="28"/>
        </w:rPr>
        <w:tab/>
        <w:t xml:space="preserve">In </w:t>
      </w:r>
      <w:r w:rsidR="00CE2992" w:rsidRPr="00CE2992">
        <w:rPr>
          <w:i/>
          <w:sz w:val="28"/>
          <w:szCs w:val="28"/>
        </w:rPr>
        <w:t xml:space="preserve">Body Corporate </w:t>
      </w:r>
      <w:proofErr w:type="spellStart"/>
      <w:r w:rsidR="00CE2992" w:rsidRPr="00CE2992">
        <w:rPr>
          <w:i/>
          <w:sz w:val="28"/>
          <w:szCs w:val="28"/>
        </w:rPr>
        <w:t>Croftdene</w:t>
      </w:r>
      <w:proofErr w:type="spellEnd"/>
      <w:r w:rsidR="00CE2992" w:rsidRPr="00CE2992">
        <w:rPr>
          <w:i/>
          <w:sz w:val="28"/>
          <w:szCs w:val="28"/>
        </w:rPr>
        <w:t xml:space="preserve"> Mall v </w:t>
      </w:r>
      <w:proofErr w:type="spellStart"/>
      <w:r w:rsidR="00CE2992" w:rsidRPr="00CE2992">
        <w:rPr>
          <w:i/>
          <w:sz w:val="28"/>
          <w:szCs w:val="28"/>
        </w:rPr>
        <w:t>Ethekwini</w:t>
      </w:r>
      <w:proofErr w:type="spellEnd"/>
      <w:r w:rsidR="00CE2992" w:rsidRPr="00CE2992">
        <w:rPr>
          <w:i/>
          <w:sz w:val="28"/>
          <w:szCs w:val="28"/>
        </w:rPr>
        <w:t xml:space="preserve"> Municipality</w:t>
      </w:r>
      <w:r w:rsidR="00CE2992">
        <w:rPr>
          <w:sz w:val="28"/>
          <w:szCs w:val="28"/>
        </w:rPr>
        <w:t>,</w:t>
      </w:r>
      <w:r w:rsidR="00CE2992">
        <w:rPr>
          <w:rStyle w:val="FootnoteReference"/>
          <w:sz w:val="28"/>
          <w:szCs w:val="28"/>
        </w:rPr>
        <w:footnoteReference w:id="15"/>
      </w:r>
      <w:r w:rsidR="00CE2992">
        <w:rPr>
          <w:sz w:val="28"/>
          <w:szCs w:val="28"/>
        </w:rPr>
        <w:t xml:space="preserve"> this </w:t>
      </w:r>
      <w:r w:rsidR="00CA5DB8">
        <w:rPr>
          <w:sz w:val="28"/>
          <w:szCs w:val="28"/>
        </w:rPr>
        <w:t>C</w:t>
      </w:r>
      <w:r w:rsidR="00CE2992">
        <w:rPr>
          <w:sz w:val="28"/>
          <w:szCs w:val="28"/>
        </w:rPr>
        <w:t>ourt held that:</w:t>
      </w:r>
    </w:p>
    <w:p w14:paraId="1EC343DC" w14:textId="46A0271A" w:rsidR="00CE2992" w:rsidRPr="002463CC" w:rsidRDefault="001B22B0" w:rsidP="00CE2992">
      <w:pPr>
        <w:rPr>
          <w:i/>
          <w:szCs w:val="28"/>
        </w:rPr>
      </w:pPr>
      <w:r>
        <w:rPr>
          <w:szCs w:val="28"/>
        </w:rPr>
        <w:lastRenderedPageBreak/>
        <w:t>‘</w:t>
      </w:r>
      <w:r w:rsidR="00CE2992">
        <w:rPr>
          <w:szCs w:val="28"/>
        </w:rPr>
        <w:t xml:space="preserve">It is, in my view, of importance that </w:t>
      </w:r>
      <w:proofErr w:type="spellStart"/>
      <w:r w:rsidR="00CE2992">
        <w:rPr>
          <w:szCs w:val="28"/>
        </w:rPr>
        <w:t>subsec</w:t>
      </w:r>
      <w:proofErr w:type="spellEnd"/>
      <w:r w:rsidR="00CE2992">
        <w:rPr>
          <w:szCs w:val="28"/>
        </w:rPr>
        <w:t xml:space="preserve"> 102(2) of the Systems Act requires that the dispute must relate to a ‘specific amount’ claimed by the municipality. Quite obviously, its objective must be to prevent a ratepayer from delaying payment of an account by raising a dispute in general terms. The ratepayer is required to furnish facts that would adequately enable the municipality to ascertain or identify the disputed item or items and the basis for the ratepayer’s objection thereto. If an item is properly identified and a dispute properly raised, debt collection and credit control measures could not be implemented in regard to that item because of the provisions of the subsection. </w:t>
      </w:r>
      <w:r w:rsidR="00CE2992" w:rsidRPr="002463CC">
        <w:rPr>
          <w:i/>
          <w:szCs w:val="28"/>
        </w:rPr>
        <w:t xml:space="preserve">But the measures could be implemented in regard to the balance in arrears; and they could be implemented in respect of the entire amount if an item is not properly identified and a dispute in relation thereto is not properly raised.   </w:t>
      </w:r>
    </w:p>
    <w:p w14:paraId="13E0BAEC" w14:textId="2970B581" w:rsidR="00CE2992" w:rsidRDefault="00CE2992" w:rsidP="00CE2992">
      <w:pPr>
        <w:rPr>
          <w:szCs w:val="28"/>
        </w:rPr>
      </w:pPr>
      <w:r>
        <w:rPr>
          <w:szCs w:val="28"/>
        </w:rPr>
        <w:t>Whether a dispute has been properly raised must be a factual enquiry requiring determination on a case-by-case basis. It is clear from clause 22.3 of the Policy referred to above that the dispute must be raised before the municipality has implemented the enforcem</w:t>
      </w:r>
      <w:r w:rsidR="00CA5DB8">
        <w:rPr>
          <w:szCs w:val="28"/>
        </w:rPr>
        <w:t>ent measures at its disposal.’ (</w:t>
      </w:r>
      <w:r w:rsidR="00F26667">
        <w:rPr>
          <w:szCs w:val="28"/>
        </w:rPr>
        <w:t>E</w:t>
      </w:r>
      <w:r>
        <w:rPr>
          <w:szCs w:val="28"/>
        </w:rPr>
        <w:t>mphasis added</w:t>
      </w:r>
      <w:r w:rsidR="00CA5DB8">
        <w:rPr>
          <w:szCs w:val="28"/>
        </w:rPr>
        <w:t>.)</w:t>
      </w:r>
      <w:r>
        <w:rPr>
          <w:szCs w:val="28"/>
        </w:rPr>
        <w:t xml:space="preserve"> </w:t>
      </w:r>
    </w:p>
    <w:p w14:paraId="3386ACE1" w14:textId="77777777" w:rsidR="00CE2992" w:rsidRDefault="00CE2992" w:rsidP="005D5D86">
      <w:pPr>
        <w:rPr>
          <w:sz w:val="28"/>
          <w:szCs w:val="28"/>
        </w:rPr>
      </w:pPr>
    </w:p>
    <w:p w14:paraId="58CA128E" w14:textId="38DB9F72" w:rsidR="001B22B0" w:rsidRDefault="008023C7" w:rsidP="005D5D86">
      <w:pPr>
        <w:rPr>
          <w:sz w:val="28"/>
          <w:szCs w:val="28"/>
        </w:rPr>
      </w:pPr>
      <w:r>
        <w:rPr>
          <w:sz w:val="28"/>
          <w:szCs w:val="28"/>
        </w:rPr>
        <w:t>[4</w:t>
      </w:r>
      <w:r w:rsidR="00E432C0">
        <w:rPr>
          <w:sz w:val="28"/>
          <w:szCs w:val="28"/>
        </w:rPr>
        <w:t>5</w:t>
      </w:r>
      <w:r w:rsidR="001B22B0">
        <w:rPr>
          <w:sz w:val="28"/>
          <w:szCs w:val="28"/>
        </w:rPr>
        <w:t>]</w:t>
      </w:r>
      <w:r w:rsidR="001B22B0">
        <w:rPr>
          <w:sz w:val="28"/>
          <w:szCs w:val="28"/>
        </w:rPr>
        <w:tab/>
        <w:t xml:space="preserve">While </w:t>
      </w:r>
      <w:proofErr w:type="spellStart"/>
      <w:r w:rsidR="00CF1338">
        <w:rPr>
          <w:sz w:val="28"/>
          <w:szCs w:val="28"/>
        </w:rPr>
        <w:t>Wolmarans</w:t>
      </w:r>
      <w:proofErr w:type="spellEnd"/>
      <w:r w:rsidR="001B22B0">
        <w:rPr>
          <w:sz w:val="28"/>
          <w:szCs w:val="28"/>
        </w:rPr>
        <w:t xml:space="preserve"> admits that </w:t>
      </w:r>
      <w:r w:rsidR="003D4510">
        <w:rPr>
          <w:sz w:val="28"/>
          <w:szCs w:val="28"/>
        </w:rPr>
        <w:t>its</w:t>
      </w:r>
      <w:r w:rsidR="001B22B0">
        <w:rPr>
          <w:sz w:val="28"/>
          <w:szCs w:val="28"/>
        </w:rPr>
        <w:t xml:space="preserve"> dispute with the </w:t>
      </w:r>
      <w:proofErr w:type="spellStart"/>
      <w:r w:rsidR="001B22B0">
        <w:rPr>
          <w:sz w:val="28"/>
          <w:szCs w:val="28"/>
        </w:rPr>
        <w:t>CoJ</w:t>
      </w:r>
      <w:proofErr w:type="spellEnd"/>
      <w:r w:rsidR="001B22B0">
        <w:rPr>
          <w:sz w:val="28"/>
          <w:szCs w:val="28"/>
        </w:rPr>
        <w:t xml:space="preserve"> is limited to electricity and water charges it nonetheless unreasonably, unlawfully and inexplicably withholds payments for all municipal services and charges, namely, electricity, water, sanitation (sewer), property rates and taxes and refuse. This it has been </w:t>
      </w:r>
      <w:r w:rsidR="00960989">
        <w:rPr>
          <w:sz w:val="28"/>
          <w:szCs w:val="28"/>
        </w:rPr>
        <w:t>ong</w:t>
      </w:r>
      <w:r w:rsidR="001B22B0">
        <w:rPr>
          <w:sz w:val="28"/>
          <w:szCs w:val="28"/>
        </w:rPr>
        <w:t xml:space="preserve">oing since 30 October 2015. The billing crisis which plagued the </w:t>
      </w:r>
      <w:proofErr w:type="spellStart"/>
      <w:r w:rsidR="001B22B0">
        <w:rPr>
          <w:sz w:val="28"/>
          <w:szCs w:val="28"/>
        </w:rPr>
        <w:t>CoJ</w:t>
      </w:r>
      <w:proofErr w:type="spellEnd"/>
      <w:r w:rsidR="001B22B0">
        <w:rPr>
          <w:sz w:val="28"/>
          <w:szCs w:val="28"/>
        </w:rPr>
        <w:t xml:space="preserve"> at the time has clearly afforded </w:t>
      </w:r>
      <w:proofErr w:type="spellStart"/>
      <w:r w:rsidR="00CF1338">
        <w:rPr>
          <w:sz w:val="28"/>
          <w:szCs w:val="28"/>
        </w:rPr>
        <w:t>Wolmarans</w:t>
      </w:r>
      <w:proofErr w:type="spellEnd"/>
      <w:r w:rsidR="001B22B0">
        <w:rPr>
          <w:sz w:val="28"/>
          <w:szCs w:val="28"/>
        </w:rPr>
        <w:t xml:space="preserve"> with an ideal opportunity to exploit the situation by withholding all payments</w:t>
      </w:r>
      <w:r w:rsidR="004F4474">
        <w:rPr>
          <w:sz w:val="28"/>
          <w:szCs w:val="28"/>
        </w:rPr>
        <w:t>. In the result it cannot</w:t>
      </w:r>
      <w:r w:rsidR="001B22B0">
        <w:rPr>
          <w:sz w:val="28"/>
          <w:szCs w:val="28"/>
        </w:rPr>
        <w:t xml:space="preserve"> be found that </w:t>
      </w:r>
      <w:proofErr w:type="spellStart"/>
      <w:r w:rsidR="00CF1338">
        <w:rPr>
          <w:sz w:val="28"/>
          <w:szCs w:val="28"/>
        </w:rPr>
        <w:t>Wolmarans</w:t>
      </w:r>
      <w:proofErr w:type="spellEnd"/>
      <w:r w:rsidR="00CF1338">
        <w:rPr>
          <w:sz w:val="28"/>
          <w:szCs w:val="28"/>
        </w:rPr>
        <w:t>’</w:t>
      </w:r>
      <w:r w:rsidR="001B22B0">
        <w:rPr>
          <w:sz w:val="28"/>
          <w:szCs w:val="28"/>
        </w:rPr>
        <w:t xml:space="preserve"> dispute with the </w:t>
      </w:r>
      <w:proofErr w:type="spellStart"/>
      <w:r w:rsidR="001B22B0">
        <w:rPr>
          <w:sz w:val="28"/>
          <w:szCs w:val="28"/>
        </w:rPr>
        <w:t>CoJ</w:t>
      </w:r>
      <w:proofErr w:type="spellEnd"/>
      <w:r w:rsidR="001B22B0">
        <w:rPr>
          <w:sz w:val="28"/>
          <w:szCs w:val="28"/>
        </w:rPr>
        <w:t xml:space="preserve"> is </w:t>
      </w:r>
      <w:r w:rsidR="001B22B0">
        <w:rPr>
          <w:i/>
          <w:sz w:val="28"/>
          <w:szCs w:val="28"/>
        </w:rPr>
        <w:t>bona fide</w:t>
      </w:r>
      <w:r w:rsidR="001B22B0">
        <w:rPr>
          <w:sz w:val="28"/>
          <w:szCs w:val="28"/>
        </w:rPr>
        <w:t xml:space="preserve">. The full court correctly found that there was no merit in the submission that no amounts were due to the </w:t>
      </w:r>
      <w:proofErr w:type="spellStart"/>
      <w:r w:rsidR="001B22B0">
        <w:rPr>
          <w:sz w:val="28"/>
          <w:szCs w:val="28"/>
        </w:rPr>
        <w:t>CoJ</w:t>
      </w:r>
      <w:proofErr w:type="spellEnd"/>
      <w:r w:rsidR="001B22B0">
        <w:rPr>
          <w:sz w:val="28"/>
          <w:szCs w:val="28"/>
        </w:rPr>
        <w:t xml:space="preserve">.   </w:t>
      </w:r>
    </w:p>
    <w:p w14:paraId="1449707E" w14:textId="77777777" w:rsidR="001B0CC5" w:rsidRDefault="001B0CC5" w:rsidP="005D5D86">
      <w:pPr>
        <w:rPr>
          <w:sz w:val="28"/>
          <w:szCs w:val="28"/>
        </w:rPr>
      </w:pPr>
    </w:p>
    <w:p w14:paraId="606D5A9A" w14:textId="4D2C40B1" w:rsidR="001B0CC5" w:rsidRPr="001B0CC5" w:rsidRDefault="001B0CC5" w:rsidP="005D5D86">
      <w:pPr>
        <w:rPr>
          <w:b/>
          <w:sz w:val="28"/>
          <w:szCs w:val="28"/>
        </w:rPr>
      </w:pPr>
      <w:r>
        <w:rPr>
          <w:b/>
          <w:i/>
          <w:sz w:val="28"/>
          <w:szCs w:val="28"/>
        </w:rPr>
        <w:t>(b)</w:t>
      </w:r>
      <w:r>
        <w:rPr>
          <w:b/>
          <w:i/>
          <w:sz w:val="28"/>
          <w:szCs w:val="28"/>
        </w:rPr>
        <w:tab/>
        <w:t xml:space="preserve">Was </w:t>
      </w:r>
      <w:proofErr w:type="spellStart"/>
      <w:r w:rsidR="00601597">
        <w:rPr>
          <w:b/>
          <w:i/>
          <w:sz w:val="28"/>
          <w:szCs w:val="28"/>
        </w:rPr>
        <w:t>Tufh’s</w:t>
      </w:r>
      <w:proofErr w:type="spellEnd"/>
      <w:r>
        <w:rPr>
          <w:b/>
          <w:i/>
          <w:sz w:val="28"/>
          <w:szCs w:val="28"/>
        </w:rPr>
        <w:t xml:space="preserve"> security in the property at risk given that it held suretyships from the second and third respondents?</w:t>
      </w:r>
    </w:p>
    <w:p w14:paraId="1818A3E1" w14:textId="2E5681B5" w:rsidR="00CE2992" w:rsidRDefault="001B0CC5" w:rsidP="005D5D86">
      <w:pPr>
        <w:rPr>
          <w:sz w:val="28"/>
          <w:szCs w:val="28"/>
        </w:rPr>
      </w:pPr>
      <w:r>
        <w:rPr>
          <w:sz w:val="28"/>
          <w:szCs w:val="28"/>
        </w:rPr>
        <w:t>[</w:t>
      </w:r>
      <w:r w:rsidR="008023C7">
        <w:rPr>
          <w:sz w:val="28"/>
          <w:szCs w:val="28"/>
        </w:rPr>
        <w:t>4</w:t>
      </w:r>
      <w:r w:rsidR="00E432C0">
        <w:rPr>
          <w:sz w:val="28"/>
          <w:szCs w:val="28"/>
        </w:rPr>
        <w:t>6</w:t>
      </w:r>
      <w:r>
        <w:rPr>
          <w:sz w:val="28"/>
          <w:szCs w:val="28"/>
        </w:rPr>
        <w:t>]</w:t>
      </w:r>
      <w:r>
        <w:rPr>
          <w:sz w:val="28"/>
          <w:szCs w:val="28"/>
        </w:rPr>
        <w:tab/>
        <w:t xml:space="preserve">The validity of </w:t>
      </w:r>
      <w:r w:rsidR="005D7CF8">
        <w:rPr>
          <w:sz w:val="28"/>
          <w:szCs w:val="28"/>
        </w:rPr>
        <w:t>Fife’s</w:t>
      </w:r>
      <w:r>
        <w:rPr>
          <w:sz w:val="28"/>
          <w:szCs w:val="28"/>
        </w:rPr>
        <w:t xml:space="preserve"> suretyship was challenged by </w:t>
      </w:r>
      <w:r w:rsidR="005D7CF8">
        <w:rPr>
          <w:sz w:val="28"/>
          <w:szCs w:val="28"/>
        </w:rPr>
        <w:t>it</w:t>
      </w:r>
      <w:r>
        <w:rPr>
          <w:sz w:val="28"/>
          <w:szCs w:val="28"/>
        </w:rPr>
        <w:t xml:space="preserve"> in 2020 in previous proceedings as alluded to already. </w:t>
      </w:r>
      <w:proofErr w:type="spellStart"/>
      <w:r w:rsidR="00601597">
        <w:rPr>
          <w:sz w:val="28"/>
          <w:szCs w:val="28"/>
        </w:rPr>
        <w:t>Tufh’s</w:t>
      </w:r>
      <w:proofErr w:type="spellEnd"/>
      <w:r>
        <w:rPr>
          <w:sz w:val="28"/>
          <w:szCs w:val="28"/>
        </w:rPr>
        <w:t xml:space="preserve"> request for </w:t>
      </w:r>
      <w:r w:rsidR="000C7511">
        <w:rPr>
          <w:sz w:val="28"/>
          <w:szCs w:val="28"/>
        </w:rPr>
        <w:t>other security</w:t>
      </w:r>
      <w:r>
        <w:rPr>
          <w:sz w:val="28"/>
          <w:szCs w:val="28"/>
        </w:rPr>
        <w:t xml:space="preserve"> from </w:t>
      </w:r>
      <w:r w:rsidR="005D7CF8">
        <w:rPr>
          <w:sz w:val="28"/>
          <w:szCs w:val="28"/>
        </w:rPr>
        <w:t xml:space="preserve">Fife </w:t>
      </w:r>
      <w:r>
        <w:rPr>
          <w:sz w:val="28"/>
          <w:szCs w:val="28"/>
        </w:rPr>
        <w:t xml:space="preserve">was </w:t>
      </w:r>
      <w:r>
        <w:rPr>
          <w:sz w:val="28"/>
          <w:szCs w:val="28"/>
        </w:rPr>
        <w:lastRenderedPageBreak/>
        <w:t xml:space="preserve">refused. This refusal constituted a further breach of the loan agreement which prompted </w:t>
      </w:r>
      <w:proofErr w:type="spellStart"/>
      <w:r w:rsidR="00601597">
        <w:rPr>
          <w:sz w:val="28"/>
          <w:szCs w:val="28"/>
        </w:rPr>
        <w:t>Tufh</w:t>
      </w:r>
      <w:proofErr w:type="spellEnd"/>
      <w:r>
        <w:rPr>
          <w:sz w:val="28"/>
          <w:szCs w:val="28"/>
        </w:rPr>
        <w:t xml:space="preserve"> to institute a further application in the Johannesburg High Court. The only existing suretyship is that of Mr Farber. In the circumstances, </w:t>
      </w:r>
      <w:proofErr w:type="spellStart"/>
      <w:r w:rsidR="007132C5">
        <w:rPr>
          <w:sz w:val="28"/>
          <w:szCs w:val="28"/>
        </w:rPr>
        <w:t>Wolmarans</w:t>
      </w:r>
      <w:proofErr w:type="spellEnd"/>
      <w:r w:rsidR="007132C5">
        <w:rPr>
          <w:sz w:val="28"/>
          <w:szCs w:val="28"/>
        </w:rPr>
        <w:t>’</w:t>
      </w:r>
      <w:r>
        <w:rPr>
          <w:sz w:val="28"/>
          <w:szCs w:val="28"/>
        </w:rPr>
        <w:t xml:space="preserve"> </w:t>
      </w:r>
      <w:r w:rsidR="000C7511">
        <w:rPr>
          <w:sz w:val="28"/>
          <w:szCs w:val="28"/>
        </w:rPr>
        <w:t>contention</w:t>
      </w:r>
      <w:r>
        <w:rPr>
          <w:sz w:val="28"/>
          <w:szCs w:val="28"/>
        </w:rPr>
        <w:t xml:space="preserve"> that </w:t>
      </w:r>
      <w:proofErr w:type="spellStart"/>
      <w:r w:rsidR="00601597">
        <w:rPr>
          <w:sz w:val="28"/>
          <w:szCs w:val="28"/>
        </w:rPr>
        <w:t>Tufh</w:t>
      </w:r>
      <w:proofErr w:type="spellEnd"/>
      <w:r>
        <w:rPr>
          <w:sz w:val="28"/>
          <w:szCs w:val="28"/>
        </w:rPr>
        <w:t xml:space="preserve"> has sufficient security in the form of the two suretyships is without merit.</w:t>
      </w:r>
    </w:p>
    <w:p w14:paraId="42D79E5D" w14:textId="77777777" w:rsidR="001B0CC5" w:rsidRDefault="001B0CC5" w:rsidP="005D5D86">
      <w:pPr>
        <w:rPr>
          <w:sz w:val="28"/>
          <w:szCs w:val="28"/>
        </w:rPr>
      </w:pPr>
    </w:p>
    <w:p w14:paraId="64E31F4A" w14:textId="5F0EA226" w:rsidR="001B0CC5" w:rsidRDefault="001B0CC5" w:rsidP="005D5D86">
      <w:pPr>
        <w:rPr>
          <w:i/>
          <w:sz w:val="28"/>
          <w:szCs w:val="28"/>
        </w:rPr>
      </w:pPr>
      <w:r>
        <w:rPr>
          <w:b/>
          <w:i/>
          <w:sz w:val="28"/>
          <w:szCs w:val="28"/>
        </w:rPr>
        <w:t>(c)</w:t>
      </w:r>
      <w:r>
        <w:rPr>
          <w:b/>
          <w:i/>
          <w:sz w:val="28"/>
          <w:szCs w:val="28"/>
        </w:rPr>
        <w:tab/>
        <w:t xml:space="preserve">Was </w:t>
      </w:r>
      <w:proofErr w:type="spellStart"/>
      <w:r w:rsidR="00601597">
        <w:rPr>
          <w:b/>
          <w:i/>
          <w:sz w:val="28"/>
          <w:szCs w:val="28"/>
        </w:rPr>
        <w:t>Tufh’s</w:t>
      </w:r>
      <w:proofErr w:type="spellEnd"/>
      <w:r>
        <w:rPr>
          <w:b/>
          <w:i/>
          <w:sz w:val="28"/>
          <w:szCs w:val="28"/>
        </w:rPr>
        <w:t xml:space="preserve"> security put to any risk by </w:t>
      </w:r>
      <w:r w:rsidR="00CE4EE3">
        <w:rPr>
          <w:b/>
          <w:i/>
          <w:sz w:val="28"/>
          <w:szCs w:val="28"/>
        </w:rPr>
        <w:t>its</w:t>
      </w:r>
      <w:r>
        <w:rPr>
          <w:b/>
          <w:i/>
          <w:sz w:val="28"/>
          <w:szCs w:val="28"/>
        </w:rPr>
        <w:t xml:space="preserve"> own conduct when it accelerated and declared all amounts owing in terms of the loan agreement due and payable thereby making the implementation of the loan agreement unconscionable and contrary to public policy?</w:t>
      </w:r>
    </w:p>
    <w:p w14:paraId="7DEDA8D7" w14:textId="5C99B973" w:rsidR="000F1C41" w:rsidRPr="00D9365F" w:rsidRDefault="001B0CC5" w:rsidP="00D9365F">
      <w:pPr>
        <w:pStyle w:val="Heading2"/>
        <w:shd w:val="clear" w:color="auto" w:fill="FFFFFF"/>
        <w:spacing w:before="0"/>
        <w:rPr>
          <w:rFonts w:ascii="Times New Roman" w:hAnsi="Times New Roman" w:cs="Times New Roman"/>
          <w:color w:val="auto"/>
          <w:sz w:val="28"/>
          <w:szCs w:val="28"/>
        </w:rPr>
      </w:pPr>
      <w:r w:rsidRPr="00D9365F">
        <w:rPr>
          <w:rFonts w:ascii="Times New Roman" w:hAnsi="Times New Roman" w:cs="Times New Roman"/>
          <w:color w:val="auto"/>
          <w:sz w:val="28"/>
          <w:szCs w:val="28"/>
        </w:rPr>
        <w:t>[</w:t>
      </w:r>
      <w:r w:rsidR="008023C7">
        <w:rPr>
          <w:rFonts w:ascii="Times New Roman" w:hAnsi="Times New Roman" w:cs="Times New Roman"/>
          <w:color w:val="auto"/>
          <w:sz w:val="28"/>
          <w:szCs w:val="28"/>
        </w:rPr>
        <w:t>4</w:t>
      </w:r>
      <w:r w:rsidR="00E432C0">
        <w:rPr>
          <w:rFonts w:ascii="Times New Roman" w:hAnsi="Times New Roman" w:cs="Times New Roman"/>
          <w:color w:val="auto"/>
          <w:sz w:val="28"/>
          <w:szCs w:val="28"/>
        </w:rPr>
        <w:t>7</w:t>
      </w:r>
      <w:r w:rsidRPr="00D9365F">
        <w:rPr>
          <w:rFonts w:ascii="Times New Roman" w:hAnsi="Times New Roman" w:cs="Times New Roman"/>
          <w:color w:val="auto"/>
          <w:sz w:val="28"/>
          <w:szCs w:val="28"/>
        </w:rPr>
        <w:t>]</w:t>
      </w:r>
      <w:r w:rsidRPr="00D9365F">
        <w:rPr>
          <w:rFonts w:ascii="Times New Roman" w:hAnsi="Times New Roman" w:cs="Times New Roman"/>
          <w:color w:val="auto"/>
          <w:sz w:val="28"/>
          <w:szCs w:val="28"/>
        </w:rPr>
        <w:tab/>
      </w:r>
      <w:r w:rsidR="00CA3C8C" w:rsidRPr="00D9365F">
        <w:rPr>
          <w:rFonts w:ascii="Times New Roman" w:hAnsi="Times New Roman" w:cs="Times New Roman"/>
          <w:color w:val="auto"/>
          <w:sz w:val="28"/>
          <w:szCs w:val="28"/>
        </w:rPr>
        <w:t>Before addressing this issue pertinently it is necessary to set out the legal principles that are generally applied by our courts in order to determine whether a contract is inimical to a constitutional value o</w:t>
      </w:r>
      <w:r w:rsidR="000C7511">
        <w:rPr>
          <w:rFonts w:ascii="Times New Roman" w:hAnsi="Times New Roman" w:cs="Times New Roman"/>
          <w:color w:val="auto"/>
          <w:sz w:val="28"/>
          <w:szCs w:val="28"/>
        </w:rPr>
        <w:t>r</w:t>
      </w:r>
      <w:r w:rsidR="00CA3C8C" w:rsidRPr="00D9365F">
        <w:rPr>
          <w:rFonts w:ascii="Times New Roman" w:hAnsi="Times New Roman" w:cs="Times New Roman"/>
          <w:color w:val="auto"/>
          <w:sz w:val="28"/>
          <w:szCs w:val="28"/>
        </w:rPr>
        <w:t xml:space="preserve"> principle or is otherwise contrary to public policy and should be invalidated. In</w:t>
      </w:r>
      <w:r w:rsidR="000F1C41" w:rsidRPr="00D9365F">
        <w:rPr>
          <w:rFonts w:ascii="Times New Roman" w:hAnsi="Times New Roman" w:cs="Times New Roman"/>
          <w:color w:val="auto"/>
          <w:sz w:val="28"/>
          <w:szCs w:val="28"/>
        </w:rPr>
        <w:t xml:space="preserve"> </w:t>
      </w:r>
      <w:r w:rsidR="00D9365F" w:rsidRPr="006510E5">
        <w:rPr>
          <w:rFonts w:ascii="Times New Roman" w:hAnsi="Times New Roman" w:cs="Times New Roman"/>
          <w:bCs/>
          <w:i/>
          <w:color w:val="auto"/>
          <w:sz w:val="28"/>
          <w:szCs w:val="28"/>
        </w:rPr>
        <w:t xml:space="preserve">A B and Another v </w:t>
      </w:r>
      <w:proofErr w:type="spellStart"/>
      <w:r w:rsidR="00D9365F" w:rsidRPr="006510E5">
        <w:rPr>
          <w:rFonts w:ascii="Times New Roman" w:hAnsi="Times New Roman" w:cs="Times New Roman"/>
          <w:bCs/>
          <w:i/>
          <w:color w:val="auto"/>
          <w:sz w:val="28"/>
          <w:szCs w:val="28"/>
        </w:rPr>
        <w:t>Pridwin</w:t>
      </w:r>
      <w:proofErr w:type="spellEnd"/>
      <w:r w:rsidR="00D9365F" w:rsidRPr="006510E5">
        <w:rPr>
          <w:rFonts w:ascii="Times New Roman" w:hAnsi="Times New Roman" w:cs="Times New Roman"/>
          <w:bCs/>
          <w:i/>
          <w:color w:val="auto"/>
          <w:sz w:val="28"/>
          <w:szCs w:val="28"/>
        </w:rPr>
        <w:t xml:space="preserve"> Preparatory School and Others</w:t>
      </w:r>
      <w:r w:rsidR="00D9365F" w:rsidRPr="00D9365F">
        <w:rPr>
          <w:rStyle w:val="FootnoteReference"/>
          <w:rFonts w:ascii="Times New Roman" w:hAnsi="Times New Roman" w:cs="Times New Roman"/>
          <w:bCs/>
          <w:color w:val="auto"/>
          <w:sz w:val="28"/>
          <w:szCs w:val="28"/>
        </w:rPr>
        <w:footnoteReference w:id="16"/>
      </w:r>
      <w:r w:rsidR="00CA5DB8">
        <w:rPr>
          <w:rFonts w:ascii="Times New Roman" w:hAnsi="Times New Roman" w:cs="Times New Roman"/>
          <w:bCs/>
          <w:color w:val="auto"/>
          <w:sz w:val="28"/>
          <w:szCs w:val="28"/>
        </w:rPr>
        <w:t xml:space="preserve"> </w:t>
      </w:r>
      <w:r w:rsidR="00D9365F" w:rsidRPr="00D9365F">
        <w:rPr>
          <w:rFonts w:ascii="Times New Roman" w:hAnsi="Times New Roman" w:cs="Times New Roman"/>
          <w:bCs/>
          <w:color w:val="auto"/>
          <w:sz w:val="28"/>
          <w:szCs w:val="28"/>
        </w:rPr>
        <w:t xml:space="preserve">this </w:t>
      </w:r>
      <w:r w:rsidR="00CA5DB8">
        <w:rPr>
          <w:rFonts w:ascii="Times New Roman" w:hAnsi="Times New Roman" w:cs="Times New Roman"/>
          <w:bCs/>
          <w:color w:val="auto"/>
          <w:sz w:val="28"/>
          <w:szCs w:val="28"/>
        </w:rPr>
        <w:t>C</w:t>
      </w:r>
      <w:r w:rsidR="00D9365F" w:rsidRPr="00D9365F">
        <w:rPr>
          <w:rFonts w:ascii="Times New Roman" w:hAnsi="Times New Roman" w:cs="Times New Roman"/>
          <w:bCs/>
          <w:color w:val="auto"/>
          <w:sz w:val="28"/>
          <w:szCs w:val="28"/>
        </w:rPr>
        <w:t>ourt set out what it viewed as the ‘most important principles’ governing the judicial control of contracts through the instrument of public policy. The following principles were outlined:</w:t>
      </w:r>
    </w:p>
    <w:p w14:paraId="394289D9" w14:textId="7C1124D9" w:rsidR="00D9365F" w:rsidRPr="00D9365F" w:rsidRDefault="00D9365F" w:rsidP="00D9365F">
      <w:r w:rsidRPr="00D9365F">
        <w:t>‘(</w:t>
      </w:r>
      <w:proofErr w:type="spellStart"/>
      <w:r w:rsidRPr="00D9365F">
        <w:t>i</w:t>
      </w:r>
      <w:proofErr w:type="spellEnd"/>
      <w:r w:rsidRPr="00D9365F">
        <w:t>)</w:t>
      </w:r>
      <w:r w:rsidRPr="00D9365F">
        <w:tab/>
        <w:t>Public policy demands that contracts freely and consciously entered into must be honoured;</w:t>
      </w:r>
    </w:p>
    <w:p w14:paraId="48AF1DFA" w14:textId="1BEC07E2" w:rsidR="00D9365F" w:rsidRPr="00D9365F" w:rsidRDefault="00D9365F" w:rsidP="00D9365F">
      <w:r w:rsidRPr="00D9365F">
        <w:t>(ii)</w:t>
      </w:r>
      <w:r w:rsidRPr="00D9365F">
        <w:tab/>
        <w:t>A court will declare invalid a contract that is prima facie inimical to a constitutional value or principle, or otherwise contrary to public policy;</w:t>
      </w:r>
    </w:p>
    <w:p w14:paraId="011DD8FD" w14:textId="0947A0AF" w:rsidR="00D9365F" w:rsidRPr="00D9365F" w:rsidRDefault="00D9365F" w:rsidP="00D9365F">
      <w:r w:rsidRPr="00D9365F">
        <w:t>(iii)</w:t>
      </w:r>
      <w:r w:rsidRPr="00D9365F">
        <w:tab/>
        <w:t>Where a contract is not prima facie contrary to public policy, but its enforcement in particular circumstances is, a court will not enforce it;</w:t>
      </w:r>
    </w:p>
    <w:p w14:paraId="711A1B3A" w14:textId="72EC52F5" w:rsidR="00D9365F" w:rsidRPr="00D9365F" w:rsidRDefault="007B2C8F" w:rsidP="00D9365F">
      <w:proofErr w:type="gramStart"/>
      <w:r>
        <w:t>(iv)</w:t>
      </w:r>
      <w:r>
        <w:tab/>
      </w:r>
      <w:r w:rsidR="00D9365F" w:rsidRPr="00D9365F">
        <w:t>The</w:t>
      </w:r>
      <w:proofErr w:type="gramEnd"/>
      <w:r w:rsidR="00D9365F" w:rsidRPr="00D9365F">
        <w:t xml:space="preserve"> party who attacks the contract or its enforcement bears the onus to establish the facts;</w:t>
      </w:r>
    </w:p>
    <w:p w14:paraId="11937E8E" w14:textId="77AFE837" w:rsidR="00D9365F" w:rsidRPr="00D9365F" w:rsidRDefault="00D9365F" w:rsidP="00D9365F">
      <w:r w:rsidRPr="00D9365F">
        <w:t>(v)</w:t>
      </w:r>
      <w:r w:rsidRPr="00D9365F">
        <w:tab/>
        <w:t>A court will use the power to invalidate a contract or not to enforce it, sparingly, and only in the clearest of cases in which harm to the public is substantially incontestable and does not depend on the idiosyncratic inferences of a few judicial minds;</w:t>
      </w:r>
    </w:p>
    <w:p w14:paraId="626ABD9D" w14:textId="6C0CCF8B" w:rsidR="00D9365F" w:rsidRDefault="00D9365F" w:rsidP="00D9365F">
      <w:r w:rsidRPr="00D9365F">
        <w:lastRenderedPageBreak/>
        <w:t>(vi)</w:t>
      </w:r>
      <w:r w:rsidRPr="00D9365F">
        <w:tab/>
        <w:t>A court will decline to use this power where a party relies directly on abstract values of fairness and reasonableness to escape the consequences of a contract because they are not substantive rules that may be used for this purpose.’</w:t>
      </w:r>
      <w:r>
        <w:rPr>
          <w:rStyle w:val="FootnoteReference"/>
        </w:rPr>
        <w:footnoteReference w:id="17"/>
      </w:r>
    </w:p>
    <w:p w14:paraId="62D5E672" w14:textId="77777777" w:rsidR="005D05E5" w:rsidRPr="00D9365F" w:rsidRDefault="005D05E5" w:rsidP="00D9365F"/>
    <w:p w14:paraId="2173EE9A" w14:textId="61E8CC53" w:rsidR="007B2C8F" w:rsidRPr="007B2C8F" w:rsidRDefault="007B2C8F" w:rsidP="007B2C8F">
      <w:pPr>
        <w:pStyle w:val="Heading2"/>
        <w:shd w:val="clear" w:color="auto" w:fill="FFFFFF"/>
        <w:spacing w:before="0"/>
        <w:rPr>
          <w:rFonts w:ascii="Times New Roman" w:hAnsi="Times New Roman" w:cs="Times New Roman"/>
          <w:color w:val="auto"/>
          <w:sz w:val="28"/>
          <w:szCs w:val="28"/>
        </w:rPr>
      </w:pPr>
      <w:r w:rsidRPr="007B2C8F">
        <w:rPr>
          <w:rFonts w:ascii="Times New Roman" w:hAnsi="Times New Roman" w:cs="Times New Roman"/>
          <w:color w:val="auto"/>
          <w:sz w:val="28"/>
          <w:szCs w:val="28"/>
        </w:rPr>
        <w:t>[</w:t>
      </w:r>
      <w:r w:rsidR="008023C7">
        <w:rPr>
          <w:rFonts w:ascii="Times New Roman" w:hAnsi="Times New Roman" w:cs="Times New Roman"/>
          <w:color w:val="auto"/>
          <w:sz w:val="28"/>
          <w:szCs w:val="28"/>
        </w:rPr>
        <w:t>4</w:t>
      </w:r>
      <w:r w:rsidR="00E432C0">
        <w:rPr>
          <w:rFonts w:ascii="Times New Roman" w:hAnsi="Times New Roman" w:cs="Times New Roman"/>
          <w:color w:val="auto"/>
          <w:sz w:val="28"/>
          <w:szCs w:val="28"/>
        </w:rPr>
        <w:t>8</w:t>
      </w:r>
      <w:r w:rsidRPr="007B2C8F">
        <w:rPr>
          <w:rFonts w:ascii="Times New Roman" w:hAnsi="Times New Roman" w:cs="Times New Roman"/>
          <w:color w:val="auto"/>
          <w:sz w:val="28"/>
          <w:szCs w:val="28"/>
        </w:rPr>
        <w:t>]</w:t>
      </w:r>
      <w:r w:rsidRPr="007B2C8F">
        <w:rPr>
          <w:rFonts w:ascii="Times New Roman" w:hAnsi="Times New Roman" w:cs="Times New Roman"/>
          <w:color w:val="auto"/>
          <w:sz w:val="28"/>
          <w:szCs w:val="28"/>
        </w:rPr>
        <w:tab/>
        <w:t xml:space="preserve">In </w:t>
      </w:r>
      <w:proofErr w:type="spellStart"/>
      <w:r w:rsidRPr="007B2C8F">
        <w:rPr>
          <w:rFonts w:ascii="Times New Roman" w:hAnsi="Times New Roman" w:cs="Times New Roman"/>
          <w:bCs/>
          <w:i/>
          <w:color w:val="auto"/>
          <w:sz w:val="28"/>
          <w:szCs w:val="28"/>
        </w:rPr>
        <w:t>Barkhuizen</w:t>
      </w:r>
      <w:proofErr w:type="spellEnd"/>
      <w:r w:rsidRPr="007B2C8F">
        <w:rPr>
          <w:rFonts w:ascii="Times New Roman" w:hAnsi="Times New Roman" w:cs="Times New Roman"/>
          <w:bCs/>
          <w:i/>
          <w:color w:val="auto"/>
          <w:sz w:val="28"/>
          <w:szCs w:val="28"/>
        </w:rPr>
        <w:t xml:space="preserve"> v Napier</w:t>
      </w:r>
      <w:r>
        <w:rPr>
          <w:rFonts w:ascii="Times New Roman" w:hAnsi="Times New Roman" w:cs="Times New Roman"/>
          <w:bCs/>
          <w:color w:val="auto"/>
          <w:sz w:val="28"/>
          <w:szCs w:val="28"/>
        </w:rPr>
        <w:t>,</w:t>
      </w:r>
      <w:r w:rsidRPr="007B2C8F">
        <w:rPr>
          <w:rStyle w:val="FootnoteReference"/>
          <w:rFonts w:ascii="Times New Roman" w:hAnsi="Times New Roman" w:cs="Times New Roman"/>
          <w:bCs/>
          <w:color w:val="auto"/>
          <w:sz w:val="28"/>
          <w:szCs w:val="28"/>
        </w:rPr>
        <w:footnoteReference w:id="18"/>
      </w:r>
      <w:r>
        <w:rPr>
          <w:rFonts w:ascii="Times New Roman" w:hAnsi="Times New Roman" w:cs="Times New Roman"/>
          <w:bCs/>
          <w:color w:val="auto"/>
          <w:sz w:val="28"/>
          <w:szCs w:val="28"/>
        </w:rPr>
        <w:t xml:space="preserve"> </w:t>
      </w:r>
      <w:r w:rsidRPr="007B2C8F">
        <w:rPr>
          <w:rFonts w:ascii="Times New Roman" w:hAnsi="Times New Roman" w:cs="Times New Roman"/>
          <w:color w:val="auto"/>
          <w:sz w:val="28"/>
          <w:szCs w:val="28"/>
        </w:rPr>
        <w:t>the Constitutional Court rejected notions of good faith, fairness and reasonableness as independent grounds for refusing to enforce contractual terms. It did, however, hold that public policy as informed by the Constitution imports ‘notions of fairness, justice and reasonableness</w:t>
      </w:r>
      <w:r w:rsidR="00B15220">
        <w:rPr>
          <w:rFonts w:ascii="Times New Roman" w:hAnsi="Times New Roman" w:cs="Times New Roman"/>
          <w:color w:val="auto"/>
          <w:sz w:val="28"/>
          <w:szCs w:val="28"/>
        </w:rPr>
        <w:t>’</w:t>
      </w:r>
      <w:r w:rsidRPr="007B2C8F">
        <w:rPr>
          <w:rFonts w:ascii="Times New Roman" w:hAnsi="Times New Roman" w:cs="Times New Roman"/>
          <w:color w:val="auto"/>
          <w:sz w:val="28"/>
          <w:szCs w:val="28"/>
        </w:rPr>
        <w:t>; it takes account of the need to do ‘simple justice between individual</w:t>
      </w:r>
      <w:r w:rsidR="00B15220">
        <w:rPr>
          <w:rFonts w:ascii="Times New Roman" w:hAnsi="Times New Roman" w:cs="Times New Roman"/>
          <w:color w:val="auto"/>
          <w:sz w:val="28"/>
          <w:szCs w:val="28"/>
        </w:rPr>
        <w:t>s’;</w:t>
      </w:r>
      <w:r w:rsidRPr="007B2C8F">
        <w:rPr>
          <w:rFonts w:ascii="Times New Roman" w:hAnsi="Times New Roman" w:cs="Times New Roman"/>
          <w:color w:val="auto"/>
          <w:sz w:val="28"/>
          <w:szCs w:val="28"/>
        </w:rPr>
        <w:t xml:space="preserve"> and </w:t>
      </w:r>
      <w:r w:rsidR="000C7511">
        <w:rPr>
          <w:rFonts w:ascii="Times New Roman" w:hAnsi="Times New Roman" w:cs="Times New Roman"/>
          <w:color w:val="auto"/>
          <w:sz w:val="28"/>
          <w:szCs w:val="28"/>
        </w:rPr>
        <w:t>i</w:t>
      </w:r>
      <w:r w:rsidRPr="007B2C8F">
        <w:rPr>
          <w:rFonts w:ascii="Times New Roman" w:hAnsi="Times New Roman" w:cs="Times New Roman"/>
          <w:color w:val="auto"/>
          <w:sz w:val="28"/>
          <w:szCs w:val="28"/>
        </w:rPr>
        <w:t xml:space="preserve">s informed by the concept of </w:t>
      </w:r>
      <w:r w:rsidRPr="007B2C8F">
        <w:rPr>
          <w:rFonts w:ascii="Times New Roman" w:hAnsi="Times New Roman" w:cs="Times New Roman"/>
          <w:i/>
          <w:color w:val="auto"/>
          <w:sz w:val="28"/>
          <w:szCs w:val="28"/>
        </w:rPr>
        <w:t>Ubuntu</w:t>
      </w:r>
      <w:r w:rsidRPr="007B2C8F">
        <w:rPr>
          <w:rFonts w:ascii="Times New Roman" w:hAnsi="Times New Roman" w:cs="Times New Roman"/>
          <w:color w:val="auto"/>
          <w:sz w:val="28"/>
          <w:szCs w:val="28"/>
        </w:rPr>
        <w:t>.</w:t>
      </w:r>
      <w:r w:rsidR="002221FB">
        <w:rPr>
          <w:rStyle w:val="FootnoteReference"/>
          <w:rFonts w:ascii="Times New Roman" w:hAnsi="Times New Roman" w:cs="Times New Roman"/>
          <w:color w:val="auto"/>
          <w:sz w:val="28"/>
          <w:szCs w:val="28"/>
        </w:rPr>
        <w:footnoteReference w:id="19"/>
      </w:r>
      <w:r w:rsidRPr="007B2C8F">
        <w:rPr>
          <w:rFonts w:ascii="Times New Roman" w:hAnsi="Times New Roman" w:cs="Times New Roman"/>
          <w:color w:val="auto"/>
          <w:sz w:val="28"/>
          <w:szCs w:val="28"/>
        </w:rPr>
        <w:t xml:space="preserve"> It also recognised </w:t>
      </w:r>
      <w:r>
        <w:rPr>
          <w:rFonts w:ascii="Times New Roman" w:hAnsi="Times New Roman" w:cs="Times New Roman"/>
          <w:color w:val="auto"/>
          <w:sz w:val="28"/>
          <w:szCs w:val="28"/>
        </w:rPr>
        <w:t xml:space="preserve">that public policy requires parties to honour their contractual obligations undertaken freely and voluntarily as encapsulated in the Latin </w:t>
      </w:r>
      <w:r w:rsidRPr="007B2C8F">
        <w:rPr>
          <w:rFonts w:ascii="Times New Roman" w:hAnsi="Times New Roman" w:cs="Times New Roman"/>
          <w:i/>
          <w:color w:val="auto"/>
          <w:sz w:val="28"/>
          <w:szCs w:val="28"/>
        </w:rPr>
        <w:t xml:space="preserve">maxim </w:t>
      </w:r>
      <w:proofErr w:type="spellStart"/>
      <w:r w:rsidRPr="007B2C8F">
        <w:rPr>
          <w:rFonts w:ascii="Times New Roman" w:hAnsi="Times New Roman" w:cs="Times New Roman"/>
          <w:i/>
          <w:color w:val="auto"/>
          <w:sz w:val="28"/>
          <w:szCs w:val="28"/>
        </w:rPr>
        <w:t>pactum</w:t>
      </w:r>
      <w:proofErr w:type="spellEnd"/>
      <w:r w:rsidRPr="007B2C8F">
        <w:rPr>
          <w:rFonts w:ascii="Times New Roman" w:hAnsi="Times New Roman" w:cs="Times New Roman"/>
          <w:i/>
          <w:color w:val="auto"/>
          <w:sz w:val="28"/>
          <w:szCs w:val="28"/>
        </w:rPr>
        <w:t xml:space="preserve"> </w:t>
      </w:r>
      <w:proofErr w:type="spellStart"/>
      <w:r w:rsidRPr="007B2C8F">
        <w:rPr>
          <w:rFonts w:ascii="Times New Roman" w:hAnsi="Times New Roman" w:cs="Times New Roman"/>
          <w:i/>
          <w:color w:val="auto"/>
          <w:sz w:val="28"/>
          <w:szCs w:val="28"/>
        </w:rPr>
        <w:t>sunt</w:t>
      </w:r>
      <w:proofErr w:type="spellEnd"/>
      <w:r w:rsidRPr="007B2C8F">
        <w:rPr>
          <w:rFonts w:ascii="Times New Roman" w:hAnsi="Times New Roman" w:cs="Times New Roman"/>
          <w:i/>
          <w:color w:val="auto"/>
          <w:sz w:val="28"/>
          <w:szCs w:val="28"/>
        </w:rPr>
        <w:t xml:space="preserve"> </w:t>
      </w:r>
      <w:proofErr w:type="spellStart"/>
      <w:r w:rsidRPr="007B2C8F">
        <w:rPr>
          <w:rFonts w:ascii="Times New Roman" w:hAnsi="Times New Roman" w:cs="Times New Roman"/>
          <w:i/>
          <w:color w:val="auto"/>
          <w:sz w:val="28"/>
          <w:szCs w:val="28"/>
        </w:rPr>
        <w:t>servanda</w:t>
      </w:r>
      <w:proofErr w:type="spellEnd"/>
      <w:r>
        <w:rPr>
          <w:rFonts w:ascii="Times New Roman" w:hAnsi="Times New Roman" w:cs="Times New Roman"/>
          <w:color w:val="auto"/>
          <w:sz w:val="28"/>
          <w:szCs w:val="28"/>
        </w:rPr>
        <w:t>, because this is a ‘profoundly moral principle, on which the coherence of any society relies</w:t>
      </w:r>
      <w:r w:rsidR="00B15220">
        <w:rPr>
          <w:rFonts w:ascii="Times New Roman" w:hAnsi="Times New Roman" w:cs="Times New Roman"/>
          <w:color w:val="auto"/>
          <w:sz w:val="28"/>
          <w:szCs w:val="28"/>
        </w:rPr>
        <w:t>’</w:t>
      </w:r>
      <w:r>
        <w:rPr>
          <w:rFonts w:ascii="Times New Roman" w:hAnsi="Times New Roman" w:cs="Times New Roman"/>
          <w:color w:val="auto"/>
          <w:sz w:val="28"/>
          <w:szCs w:val="28"/>
        </w:rPr>
        <w:t>;</w:t>
      </w:r>
      <w:r w:rsidR="002221FB">
        <w:rPr>
          <w:rStyle w:val="FootnoteReference"/>
          <w:rFonts w:ascii="Times New Roman" w:hAnsi="Times New Roman" w:cs="Times New Roman"/>
          <w:color w:val="auto"/>
          <w:sz w:val="28"/>
          <w:szCs w:val="28"/>
        </w:rPr>
        <w:footnoteReference w:id="20"/>
      </w:r>
      <w:r>
        <w:rPr>
          <w:rFonts w:ascii="Times New Roman" w:hAnsi="Times New Roman" w:cs="Times New Roman"/>
          <w:color w:val="auto"/>
          <w:sz w:val="28"/>
          <w:szCs w:val="28"/>
        </w:rPr>
        <w:t xml:space="preserve"> and it </w:t>
      </w:r>
      <w:r w:rsidR="00B15220">
        <w:rPr>
          <w:rFonts w:ascii="Times New Roman" w:hAnsi="Times New Roman" w:cs="Times New Roman"/>
          <w:color w:val="auto"/>
          <w:sz w:val="28"/>
          <w:szCs w:val="28"/>
        </w:rPr>
        <w:t>‘</w:t>
      </w:r>
      <w:r>
        <w:rPr>
          <w:rFonts w:ascii="Times New Roman" w:hAnsi="Times New Roman" w:cs="Times New Roman"/>
          <w:color w:val="auto"/>
          <w:sz w:val="28"/>
          <w:szCs w:val="28"/>
        </w:rPr>
        <w:t>gives effect to the central constitutional values of freedom and dignity’.</w:t>
      </w:r>
      <w:r w:rsidR="002221FB">
        <w:rPr>
          <w:rStyle w:val="FootnoteReference"/>
          <w:rFonts w:ascii="Times New Roman" w:hAnsi="Times New Roman" w:cs="Times New Roman"/>
          <w:color w:val="auto"/>
          <w:sz w:val="28"/>
          <w:szCs w:val="28"/>
        </w:rPr>
        <w:footnoteReference w:id="21"/>
      </w:r>
      <w:r>
        <w:rPr>
          <w:rFonts w:ascii="Times New Roman" w:hAnsi="Times New Roman" w:cs="Times New Roman"/>
          <w:color w:val="auto"/>
          <w:sz w:val="28"/>
          <w:szCs w:val="28"/>
        </w:rPr>
        <w:t xml:space="preserve"> </w:t>
      </w:r>
    </w:p>
    <w:p w14:paraId="16AFCE95" w14:textId="77777777" w:rsidR="00D9365F" w:rsidRDefault="00D9365F" w:rsidP="0012638C">
      <w:pPr>
        <w:rPr>
          <w:sz w:val="28"/>
          <w:szCs w:val="28"/>
        </w:rPr>
      </w:pPr>
    </w:p>
    <w:p w14:paraId="0DA668C4" w14:textId="150FA504" w:rsidR="00B15220" w:rsidRDefault="007B2C8F" w:rsidP="00B15220">
      <w:pPr>
        <w:rPr>
          <w:sz w:val="28"/>
          <w:szCs w:val="28"/>
        </w:rPr>
      </w:pPr>
      <w:r>
        <w:rPr>
          <w:sz w:val="28"/>
          <w:szCs w:val="28"/>
        </w:rPr>
        <w:t>[</w:t>
      </w:r>
      <w:r w:rsidR="008023C7">
        <w:rPr>
          <w:sz w:val="28"/>
          <w:szCs w:val="28"/>
        </w:rPr>
        <w:t>4</w:t>
      </w:r>
      <w:r w:rsidR="00E432C0">
        <w:rPr>
          <w:sz w:val="28"/>
          <w:szCs w:val="28"/>
        </w:rPr>
        <w:t>9</w:t>
      </w:r>
      <w:r>
        <w:rPr>
          <w:sz w:val="28"/>
          <w:szCs w:val="28"/>
        </w:rPr>
        <w:t>]</w:t>
      </w:r>
      <w:r>
        <w:rPr>
          <w:sz w:val="28"/>
          <w:szCs w:val="28"/>
        </w:rPr>
        <w:tab/>
        <w:t xml:space="preserve">In </w:t>
      </w:r>
      <w:proofErr w:type="spellStart"/>
      <w:r w:rsidR="00B15220" w:rsidRPr="00B15220">
        <w:rPr>
          <w:bCs/>
          <w:i/>
          <w:sz w:val="28"/>
          <w:szCs w:val="28"/>
        </w:rPr>
        <w:t>Bredenkamp</w:t>
      </w:r>
      <w:proofErr w:type="spellEnd"/>
      <w:r w:rsidR="00B15220" w:rsidRPr="00B15220">
        <w:rPr>
          <w:bCs/>
          <w:i/>
          <w:sz w:val="28"/>
          <w:szCs w:val="28"/>
        </w:rPr>
        <w:t xml:space="preserve"> and Others v Standard Bank of SA Ltd</w:t>
      </w:r>
      <w:r w:rsidRPr="00B15220">
        <w:rPr>
          <w:sz w:val="28"/>
          <w:szCs w:val="28"/>
        </w:rPr>
        <w:t>,</w:t>
      </w:r>
      <w:r w:rsidR="00B15220">
        <w:rPr>
          <w:rStyle w:val="FootnoteReference"/>
          <w:sz w:val="28"/>
          <w:szCs w:val="28"/>
        </w:rPr>
        <w:footnoteReference w:id="22"/>
      </w:r>
      <w:r w:rsidRPr="00B15220">
        <w:rPr>
          <w:sz w:val="28"/>
          <w:szCs w:val="28"/>
        </w:rPr>
        <w:t xml:space="preserve"> this </w:t>
      </w:r>
      <w:r w:rsidR="00CA5DB8">
        <w:rPr>
          <w:sz w:val="28"/>
          <w:szCs w:val="28"/>
        </w:rPr>
        <w:t>C</w:t>
      </w:r>
      <w:r w:rsidRPr="00B15220">
        <w:rPr>
          <w:sz w:val="28"/>
          <w:szCs w:val="28"/>
        </w:rPr>
        <w:t xml:space="preserve">ourt rejected an argument that the Constitutional Court in </w:t>
      </w:r>
      <w:proofErr w:type="spellStart"/>
      <w:r w:rsidRPr="00B15220">
        <w:rPr>
          <w:i/>
          <w:sz w:val="28"/>
          <w:szCs w:val="28"/>
        </w:rPr>
        <w:t>Barkhuizen</w:t>
      </w:r>
      <w:proofErr w:type="spellEnd"/>
      <w:r w:rsidRPr="00B15220">
        <w:rPr>
          <w:i/>
          <w:sz w:val="28"/>
          <w:szCs w:val="28"/>
        </w:rPr>
        <w:t xml:space="preserve"> </w:t>
      </w:r>
      <w:r w:rsidRPr="00B15220">
        <w:rPr>
          <w:sz w:val="28"/>
          <w:szCs w:val="28"/>
        </w:rPr>
        <w:t>had established fairness as a</w:t>
      </w:r>
      <w:r w:rsidRPr="00B15220">
        <w:rPr>
          <w:i/>
          <w:sz w:val="28"/>
          <w:szCs w:val="28"/>
        </w:rPr>
        <w:t xml:space="preserve"> </w:t>
      </w:r>
      <w:r w:rsidR="00B15220" w:rsidRPr="00B15220">
        <w:rPr>
          <w:sz w:val="28"/>
          <w:szCs w:val="28"/>
        </w:rPr>
        <w:t xml:space="preserve">free-standing requirement for enforcement of contractual provisions. It held that it was only if a public policy consideration, either in the Constitution or elsewhere that militated against enforcement of the terms, that such enforcement would be refused. This </w:t>
      </w:r>
      <w:r w:rsidR="0092554A">
        <w:rPr>
          <w:sz w:val="28"/>
          <w:szCs w:val="28"/>
        </w:rPr>
        <w:t>C</w:t>
      </w:r>
      <w:r w:rsidR="00B15220" w:rsidRPr="00B15220">
        <w:rPr>
          <w:sz w:val="28"/>
          <w:szCs w:val="28"/>
        </w:rPr>
        <w:t xml:space="preserve">ourt went on to hold that it was only if a constitutional value was limited by </w:t>
      </w:r>
      <w:r w:rsidR="00B15220" w:rsidRPr="00B15220">
        <w:rPr>
          <w:sz w:val="28"/>
          <w:szCs w:val="28"/>
        </w:rPr>
        <w:lastRenderedPageBreak/>
        <w:t xml:space="preserve">a contractual term or its enforcement that a court would have to determine whether that limitation was fair and reasonable. </w:t>
      </w:r>
    </w:p>
    <w:p w14:paraId="70E55571" w14:textId="77777777" w:rsidR="00B27F28" w:rsidRDefault="00B27F28" w:rsidP="00B15220">
      <w:pPr>
        <w:rPr>
          <w:sz w:val="28"/>
          <w:szCs w:val="28"/>
        </w:rPr>
      </w:pPr>
    </w:p>
    <w:p w14:paraId="41F635A0" w14:textId="739BB71A" w:rsidR="004575F8" w:rsidRPr="004575F8" w:rsidRDefault="004575F8" w:rsidP="004575F8">
      <w:pPr>
        <w:pStyle w:val="Heading2"/>
        <w:shd w:val="clear" w:color="auto" w:fill="FFFFFF"/>
        <w:spacing w:before="0"/>
        <w:rPr>
          <w:rFonts w:ascii="Times New Roman" w:hAnsi="Times New Roman" w:cs="Times New Roman"/>
          <w:color w:val="auto"/>
          <w:sz w:val="28"/>
          <w:szCs w:val="28"/>
        </w:rPr>
      </w:pPr>
      <w:r w:rsidRPr="004575F8">
        <w:rPr>
          <w:rFonts w:ascii="Times New Roman" w:hAnsi="Times New Roman" w:cs="Times New Roman"/>
          <w:color w:val="auto"/>
          <w:sz w:val="28"/>
          <w:szCs w:val="28"/>
        </w:rPr>
        <w:t>[</w:t>
      </w:r>
      <w:r w:rsidR="008023C7">
        <w:rPr>
          <w:rFonts w:ascii="Times New Roman" w:hAnsi="Times New Roman" w:cs="Times New Roman"/>
          <w:color w:val="auto"/>
          <w:sz w:val="28"/>
          <w:szCs w:val="28"/>
        </w:rPr>
        <w:t>5</w:t>
      </w:r>
      <w:r w:rsidR="00E432C0">
        <w:rPr>
          <w:rFonts w:ascii="Times New Roman" w:hAnsi="Times New Roman" w:cs="Times New Roman"/>
          <w:color w:val="auto"/>
          <w:sz w:val="28"/>
          <w:szCs w:val="28"/>
        </w:rPr>
        <w:t>0</w:t>
      </w:r>
      <w:r w:rsidRPr="004575F8">
        <w:rPr>
          <w:rFonts w:ascii="Times New Roman" w:hAnsi="Times New Roman" w:cs="Times New Roman"/>
          <w:color w:val="auto"/>
          <w:sz w:val="28"/>
          <w:szCs w:val="28"/>
        </w:rPr>
        <w:t>]</w:t>
      </w:r>
      <w:r w:rsidRPr="004575F8">
        <w:rPr>
          <w:rFonts w:ascii="Times New Roman" w:hAnsi="Times New Roman" w:cs="Times New Roman"/>
          <w:color w:val="auto"/>
          <w:sz w:val="28"/>
          <w:szCs w:val="28"/>
        </w:rPr>
        <w:tab/>
        <w:t xml:space="preserve">In </w:t>
      </w:r>
      <w:proofErr w:type="spellStart"/>
      <w:r w:rsidRPr="004575F8">
        <w:rPr>
          <w:rFonts w:ascii="Times New Roman" w:hAnsi="Times New Roman" w:cs="Times New Roman"/>
          <w:bCs/>
          <w:i/>
          <w:color w:val="auto"/>
          <w:sz w:val="28"/>
          <w:szCs w:val="28"/>
        </w:rPr>
        <w:t>Beadica</w:t>
      </w:r>
      <w:proofErr w:type="spellEnd"/>
      <w:r w:rsidRPr="004575F8">
        <w:rPr>
          <w:rFonts w:ascii="Times New Roman" w:hAnsi="Times New Roman" w:cs="Times New Roman"/>
          <w:bCs/>
          <w:i/>
          <w:color w:val="auto"/>
          <w:sz w:val="28"/>
          <w:szCs w:val="28"/>
        </w:rPr>
        <w:t xml:space="preserve"> 231 CC and Others v Trustees for the time being of the Oregon Trust and Others</w:t>
      </w:r>
      <w:r w:rsidRPr="004575F8">
        <w:rPr>
          <w:rFonts w:ascii="Times New Roman" w:hAnsi="Times New Roman" w:cs="Times New Roman"/>
          <w:color w:val="auto"/>
          <w:sz w:val="28"/>
          <w:szCs w:val="28"/>
        </w:rPr>
        <w:t>,</w:t>
      </w:r>
      <w:r>
        <w:rPr>
          <w:rStyle w:val="FootnoteReference"/>
          <w:rFonts w:ascii="Times New Roman" w:hAnsi="Times New Roman" w:cs="Times New Roman"/>
          <w:color w:val="auto"/>
          <w:sz w:val="28"/>
          <w:szCs w:val="28"/>
        </w:rPr>
        <w:footnoteReference w:id="23"/>
      </w:r>
      <w:r w:rsidRPr="004575F8">
        <w:rPr>
          <w:rFonts w:ascii="Times New Roman" w:hAnsi="Times New Roman" w:cs="Times New Roman"/>
          <w:color w:val="auto"/>
          <w:sz w:val="28"/>
          <w:szCs w:val="28"/>
        </w:rPr>
        <w:t xml:space="preserve"> the Constitutional Court </w:t>
      </w:r>
      <w:r>
        <w:rPr>
          <w:rFonts w:ascii="Times New Roman" w:hAnsi="Times New Roman" w:cs="Times New Roman"/>
          <w:color w:val="auto"/>
          <w:sz w:val="28"/>
          <w:szCs w:val="28"/>
        </w:rPr>
        <w:t xml:space="preserve">reaffirmed its position that </w:t>
      </w:r>
      <w:proofErr w:type="spellStart"/>
      <w:r>
        <w:rPr>
          <w:rFonts w:ascii="Times New Roman" w:hAnsi="Times New Roman" w:cs="Times New Roman"/>
          <w:i/>
          <w:color w:val="auto"/>
          <w:sz w:val="28"/>
          <w:szCs w:val="28"/>
        </w:rPr>
        <w:t>Barkhuizen</w:t>
      </w:r>
      <w:proofErr w:type="spellEnd"/>
      <w:r>
        <w:rPr>
          <w:rFonts w:ascii="Times New Roman" w:hAnsi="Times New Roman" w:cs="Times New Roman"/>
          <w:color w:val="auto"/>
          <w:sz w:val="28"/>
          <w:szCs w:val="28"/>
        </w:rPr>
        <w:t xml:space="preserve"> remained the leading authority in our law on the role of equity in contract, as part of public policy considerations. It recognised that good faith was ‘not a self-standing </w:t>
      </w:r>
      <w:r w:rsidRPr="004575F8">
        <w:rPr>
          <w:rFonts w:ascii="Times New Roman" w:hAnsi="Times New Roman" w:cs="Times New Roman"/>
          <w:color w:val="auto"/>
          <w:sz w:val="28"/>
          <w:szCs w:val="28"/>
        </w:rPr>
        <w:t>rule but an underlying value that was given expression through existing rules of law</w:t>
      </w:r>
      <w:r w:rsidR="000C7511">
        <w:rPr>
          <w:rFonts w:ascii="Times New Roman" w:hAnsi="Times New Roman" w:cs="Times New Roman"/>
          <w:color w:val="auto"/>
          <w:sz w:val="28"/>
          <w:szCs w:val="28"/>
        </w:rPr>
        <w:t>’</w:t>
      </w:r>
      <w:r w:rsidRPr="004575F8">
        <w:rPr>
          <w:rFonts w:ascii="Times New Roman" w:hAnsi="Times New Roman" w:cs="Times New Roman"/>
          <w:color w:val="auto"/>
          <w:sz w:val="28"/>
          <w:szCs w:val="28"/>
        </w:rPr>
        <w:t>.</w:t>
      </w:r>
      <w:r w:rsidR="00D67468">
        <w:rPr>
          <w:rStyle w:val="FootnoteReference"/>
          <w:rFonts w:ascii="Times New Roman" w:hAnsi="Times New Roman" w:cs="Times New Roman"/>
          <w:color w:val="auto"/>
          <w:sz w:val="28"/>
          <w:szCs w:val="28"/>
        </w:rPr>
        <w:footnoteReference w:id="24"/>
      </w:r>
    </w:p>
    <w:p w14:paraId="4D907AD5" w14:textId="77777777" w:rsidR="004575F8" w:rsidRPr="004575F8" w:rsidRDefault="004575F8" w:rsidP="004575F8">
      <w:pPr>
        <w:rPr>
          <w:sz w:val="28"/>
          <w:szCs w:val="28"/>
        </w:rPr>
      </w:pPr>
    </w:p>
    <w:p w14:paraId="6F70132A" w14:textId="2049399B" w:rsidR="004575F8" w:rsidRDefault="004575F8" w:rsidP="004575F8">
      <w:pPr>
        <w:rPr>
          <w:sz w:val="28"/>
          <w:szCs w:val="28"/>
        </w:rPr>
      </w:pPr>
      <w:r w:rsidRPr="004575F8">
        <w:rPr>
          <w:sz w:val="28"/>
          <w:szCs w:val="28"/>
        </w:rPr>
        <w:t>[</w:t>
      </w:r>
      <w:r w:rsidR="008023C7">
        <w:rPr>
          <w:sz w:val="28"/>
          <w:szCs w:val="28"/>
        </w:rPr>
        <w:t>5</w:t>
      </w:r>
      <w:r w:rsidR="00E432C0">
        <w:rPr>
          <w:sz w:val="28"/>
          <w:szCs w:val="28"/>
        </w:rPr>
        <w:t>1</w:t>
      </w:r>
      <w:r w:rsidRPr="004575F8">
        <w:rPr>
          <w:sz w:val="28"/>
          <w:szCs w:val="28"/>
        </w:rPr>
        <w:t>]</w:t>
      </w:r>
      <w:r w:rsidRPr="004575F8">
        <w:rPr>
          <w:sz w:val="28"/>
          <w:szCs w:val="28"/>
        </w:rPr>
        <w:tab/>
        <w:t xml:space="preserve">The court went </w:t>
      </w:r>
      <w:r>
        <w:rPr>
          <w:sz w:val="28"/>
          <w:szCs w:val="28"/>
        </w:rPr>
        <w:t>on to say the following in para 72:</w:t>
      </w:r>
    </w:p>
    <w:p w14:paraId="54A0DEF9" w14:textId="64CAB90E" w:rsidR="004575F8" w:rsidRPr="004575F8" w:rsidRDefault="004575F8" w:rsidP="004575F8">
      <w:r w:rsidRPr="004575F8">
        <w:t>‘</w:t>
      </w:r>
      <w:r w:rsidRPr="004575F8">
        <w:rPr>
          <w:lang w:val="en-US"/>
        </w:rPr>
        <w:t xml:space="preserve">It is clear that </w:t>
      </w:r>
      <w:r w:rsidRPr="004575F8">
        <w:t>public</w:t>
      </w:r>
      <w:r w:rsidRPr="004575F8">
        <w:rPr>
          <w:lang w:val="en-US"/>
        </w:rPr>
        <w:t xml:space="preserve"> policy imports values of fairness, reasonableness and justice.  </w:t>
      </w:r>
      <w:r w:rsidRPr="004575F8">
        <w:rPr>
          <w:lang w:val="en-GB"/>
        </w:rPr>
        <w:t xml:space="preserve">Ubuntu, which encompasses these values, is now also recognised as a constitutional value, inspiring our constitutional compact, which in turn informs public policy.  </w:t>
      </w:r>
      <w:r w:rsidRPr="004575F8">
        <w:rPr>
          <w:lang w:val="en-US"/>
        </w:rPr>
        <w:t>These values form important considerations in the balancing exercise required to determine whether a contractual term, or its enforcement, is contrary to public policy.’</w:t>
      </w:r>
    </w:p>
    <w:p w14:paraId="4254D8C2" w14:textId="77777777" w:rsidR="004575F8" w:rsidRDefault="004575F8" w:rsidP="004575F8">
      <w:pPr>
        <w:rPr>
          <w:sz w:val="28"/>
          <w:szCs w:val="28"/>
        </w:rPr>
      </w:pPr>
    </w:p>
    <w:p w14:paraId="48E199FC" w14:textId="40AD3481" w:rsidR="00091B0F" w:rsidRDefault="00091B0F" w:rsidP="004575F8">
      <w:pPr>
        <w:rPr>
          <w:sz w:val="28"/>
          <w:szCs w:val="28"/>
        </w:rPr>
      </w:pPr>
      <w:r>
        <w:rPr>
          <w:sz w:val="28"/>
          <w:szCs w:val="28"/>
        </w:rPr>
        <w:t>[</w:t>
      </w:r>
      <w:r w:rsidR="008023C7">
        <w:rPr>
          <w:sz w:val="28"/>
          <w:szCs w:val="28"/>
        </w:rPr>
        <w:t>5</w:t>
      </w:r>
      <w:r w:rsidR="00E432C0">
        <w:rPr>
          <w:sz w:val="28"/>
          <w:szCs w:val="28"/>
        </w:rPr>
        <w:t>2</w:t>
      </w:r>
      <w:r>
        <w:rPr>
          <w:sz w:val="28"/>
          <w:szCs w:val="28"/>
        </w:rPr>
        <w:t>]</w:t>
      </w:r>
      <w:r>
        <w:rPr>
          <w:sz w:val="28"/>
          <w:szCs w:val="28"/>
        </w:rPr>
        <w:tab/>
        <w:t xml:space="preserve">The court found it necessary to provide clarity with regard to two principles derived from the case law. The first was </w:t>
      </w:r>
      <w:proofErr w:type="spellStart"/>
      <w:r>
        <w:rPr>
          <w:i/>
          <w:sz w:val="28"/>
          <w:szCs w:val="28"/>
        </w:rPr>
        <w:t>pacta</w:t>
      </w:r>
      <w:proofErr w:type="spellEnd"/>
      <w:r>
        <w:rPr>
          <w:i/>
          <w:sz w:val="28"/>
          <w:szCs w:val="28"/>
        </w:rPr>
        <w:t xml:space="preserve"> </w:t>
      </w:r>
      <w:proofErr w:type="spellStart"/>
      <w:r>
        <w:rPr>
          <w:i/>
          <w:sz w:val="28"/>
          <w:szCs w:val="28"/>
        </w:rPr>
        <w:t>sunt</w:t>
      </w:r>
      <w:proofErr w:type="spellEnd"/>
      <w:r>
        <w:rPr>
          <w:i/>
          <w:sz w:val="28"/>
          <w:szCs w:val="28"/>
        </w:rPr>
        <w:t xml:space="preserve"> </w:t>
      </w:r>
      <w:proofErr w:type="spellStart"/>
      <w:r>
        <w:rPr>
          <w:i/>
          <w:sz w:val="28"/>
          <w:szCs w:val="28"/>
        </w:rPr>
        <w:t>servanda</w:t>
      </w:r>
      <w:proofErr w:type="spellEnd"/>
      <w:r>
        <w:rPr>
          <w:sz w:val="28"/>
          <w:szCs w:val="28"/>
        </w:rPr>
        <w:t xml:space="preserve"> and the second was ‘perceptive restraint’. It held that the former was not a relic of our pre-constitutional past and that in general public policy required contracting parties to honour obligations that have been freely and voluntarily undertaken. As for the second,</w:t>
      </w:r>
      <w:r w:rsidR="003D4510">
        <w:rPr>
          <w:sz w:val="28"/>
          <w:szCs w:val="28"/>
        </w:rPr>
        <w:t xml:space="preserve"> it held that</w:t>
      </w:r>
      <w:r>
        <w:rPr>
          <w:sz w:val="28"/>
          <w:szCs w:val="28"/>
        </w:rPr>
        <w:t xml:space="preserve"> while </w:t>
      </w:r>
      <w:r w:rsidR="000C7511">
        <w:rPr>
          <w:sz w:val="28"/>
          <w:szCs w:val="28"/>
        </w:rPr>
        <w:t>‘perceptive restraint’</w:t>
      </w:r>
      <w:r>
        <w:rPr>
          <w:sz w:val="28"/>
          <w:szCs w:val="28"/>
        </w:rPr>
        <w:t xml:space="preserve"> was a sound approach, courts should not rely on it to shrink from their constitutional duty to infuse public policy with contractual values, nor may it be used to shear public policy of the complexity of the value </w:t>
      </w:r>
      <w:r>
        <w:rPr>
          <w:sz w:val="28"/>
          <w:szCs w:val="28"/>
        </w:rPr>
        <w:lastRenderedPageBreak/>
        <w:t>system created by the Constitution. Furthermore, the notion that there must be substantial and incontestable harm to the public before a court may decline to enforce a contract on public policy grounds, was alien to our law of contract.</w:t>
      </w:r>
      <w:r>
        <w:rPr>
          <w:rStyle w:val="FootnoteReference"/>
          <w:sz w:val="28"/>
          <w:szCs w:val="28"/>
        </w:rPr>
        <w:footnoteReference w:id="25"/>
      </w:r>
      <w:r>
        <w:rPr>
          <w:sz w:val="28"/>
          <w:szCs w:val="28"/>
        </w:rPr>
        <w:t xml:space="preserve"> </w:t>
      </w:r>
    </w:p>
    <w:p w14:paraId="375B27A1" w14:textId="77777777" w:rsidR="00091B0F" w:rsidRDefault="00091B0F" w:rsidP="004575F8">
      <w:pPr>
        <w:rPr>
          <w:sz w:val="28"/>
          <w:szCs w:val="28"/>
        </w:rPr>
      </w:pPr>
    </w:p>
    <w:p w14:paraId="3F0C17B1" w14:textId="492A73C5" w:rsidR="00091B0F" w:rsidRDefault="00091B0F" w:rsidP="004575F8">
      <w:pPr>
        <w:rPr>
          <w:sz w:val="28"/>
          <w:szCs w:val="28"/>
        </w:rPr>
      </w:pPr>
      <w:r>
        <w:rPr>
          <w:sz w:val="28"/>
          <w:szCs w:val="28"/>
        </w:rPr>
        <w:t>[</w:t>
      </w:r>
      <w:r w:rsidR="008023C7">
        <w:rPr>
          <w:sz w:val="28"/>
          <w:szCs w:val="28"/>
        </w:rPr>
        <w:t>5</w:t>
      </w:r>
      <w:r w:rsidR="00E432C0">
        <w:rPr>
          <w:sz w:val="28"/>
          <w:szCs w:val="28"/>
        </w:rPr>
        <w:t>3</w:t>
      </w:r>
      <w:r>
        <w:rPr>
          <w:sz w:val="28"/>
          <w:szCs w:val="28"/>
        </w:rPr>
        <w:t>]</w:t>
      </w:r>
      <w:r>
        <w:rPr>
          <w:sz w:val="28"/>
          <w:szCs w:val="28"/>
        </w:rPr>
        <w:tab/>
      </w:r>
      <w:r w:rsidR="001A2851">
        <w:rPr>
          <w:sz w:val="28"/>
          <w:szCs w:val="28"/>
        </w:rPr>
        <w:t xml:space="preserve">Applying </w:t>
      </w:r>
      <w:r w:rsidR="00E4107F" w:rsidRPr="00E3037E">
        <w:rPr>
          <w:sz w:val="28"/>
          <w:szCs w:val="28"/>
        </w:rPr>
        <w:t xml:space="preserve">the </w:t>
      </w:r>
      <w:r w:rsidR="001A2851" w:rsidRPr="00E3037E">
        <w:rPr>
          <w:sz w:val="28"/>
          <w:szCs w:val="28"/>
        </w:rPr>
        <w:t>above principles to the facts of this case</w:t>
      </w:r>
      <w:r w:rsidR="00E4107F" w:rsidRPr="00E3037E">
        <w:rPr>
          <w:sz w:val="28"/>
          <w:szCs w:val="28"/>
        </w:rPr>
        <w:t>,</w:t>
      </w:r>
      <w:r w:rsidR="001A2851" w:rsidRPr="00E3037E">
        <w:rPr>
          <w:sz w:val="28"/>
          <w:szCs w:val="28"/>
        </w:rPr>
        <w:t xml:space="preserve"> the question is whether the applicants ha</w:t>
      </w:r>
      <w:r w:rsidR="00E4107F" w:rsidRPr="00E3037E">
        <w:rPr>
          <w:sz w:val="28"/>
          <w:szCs w:val="28"/>
        </w:rPr>
        <w:t>ve</w:t>
      </w:r>
      <w:r w:rsidR="001A2851" w:rsidRPr="00E3037E">
        <w:rPr>
          <w:sz w:val="28"/>
          <w:szCs w:val="28"/>
        </w:rPr>
        <w:t xml:space="preserve"> discharged</w:t>
      </w:r>
      <w:r w:rsidR="001A2851">
        <w:rPr>
          <w:sz w:val="28"/>
          <w:szCs w:val="28"/>
        </w:rPr>
        <w:t xml:space="preserve"> the onus of demonstrating that the enforcement, or implementation as Mr Hollander put it, of the loan agreement would be contrary to public policy in the particular circumstances of this case. As </w:t>
      </w:r>
      <w:proofErr w:type="spellStart"/>
      <w:r w:rsidR="001A2851">
        <w:rPr>
          <w:i/>
          <w:sz w:val="28"/>
          <w:szCs w:val="28"/>
        </w:rPr>
        <w:t>Barkhuizen</w:t>
      </w:r>
      <w:proofErr w:type="spellEnd"/>
      <w:r w:rsidR="003D4510">
        <w:rPr>
          <w:i/>
          <w:sz w:val="28"/>
          <w:szCs w:val="28"/>
        </w:rPr>
        <w:t xml:space="preserve"> </w:t>
      </w:r>
      <w:r w:rsidR="003D4510">
        <w:rPr>
          <w:sz w:val="28"/>
          <w:szCs w:val="28"/>
        </w:rPr>
        <w:t>decided</w:t>
      </w:r>
      <w:r w:rsidR="001A2851">
        <w:rPr>
          <w:sz w:val="28"/>
          <w:szCs w:val="28"/>
        </w:rPr>
        <w:t xml:space="preserve">, a party seeking to avoid the enforcement of a contractual term </w:t>
      </w:r>
      <w:r w:rsidR="00222EB5">
        <w:rPr>
          <w:sz w:val="28"/>
          <w:szCs w:val="28"/>
        </w:rPr>
        <w:t>is</w:t>
      </w:r>
      <w:r w:rsidR="001A2851">
        <w:rPr>
          <w:sz w:val="28"/>
          <w:szCs w:val="28"/>
        </w:rPr>
        <w:t xml:space="preserve"> required to demonstrate good reason for failing to comply with the term. In the present matter the applicants were unable to show how the implementation of the loan agreement would be unconscionable and contrary to public policy. After all, this was an agreement that was freely and voluntarily entered</w:t>
      </w:r>
      <w:r w:rsidR="000C7511">
        <w:rPr>
          <w:sz w:val="28"/>
          <w:szCs w:val="28"/>
        </w:rPr>
        <w:t xml:space="preserve"> into</w:t>
      </w:r>
      <w:r w:rsidR="001A2851">
        <w:rPr>
          <w:sz w:val="28"/>
          <w:szCs w:val="28"/>
        </w:rPr>
        <w:t xml:space="preserve">. There was no suggestion whatsoever that </w:t>
      </w:r>
      <w:r w:rsidR="00246987">
        <w:rPr>
          <w:sz w:val="28"/>
          <w:szCs w:val="28"/>
        </w:rPr>
        <w:t>c</w:t>
      </w:r>
      <w:r w:rsidR="001A2851">
        <w:rPr>
          <w:sz w:val="28"/>
          <w:szCs w:val="28"/>
        </w:rPr>
        <w:t xml:space="preserve">lauses 17 and 18 were anything out of the ordinary or that they imposed any undue hardship on the applicants. </w:t>
      </w:r>
      <w:r w:rsidR="00FC1DF9">
        <w:rPr>
          <w:sz w:val="28"/>
          <w:szCs w:val="28"/>
        </w:rPr>
        <w:t xml:space="preserve">It was correctly pointed out by </w:t>
      </w:r>
      <w:proofErr w:type="spellStart"/>
      <w:r w:rsidR="00FC1DF9">
        <w:rPr>
          <w:sz w:val="28"/>
          <w:szCs w:val="28"/>
        </w:rPr>
        <w:t>Tufh’s</w:t>
      </w:r>
      <w:proofErr w:type="spellEnd"/>
      <w:r w:rsidR="00FC1DF9">
        <w:rPr>
          <w:sz w:val="28"/>
          <w:szCs w:val="28"/>
        </w:rPr>
        <w:t xml:space="preserve"> counsel that</w:t>
      </w:r>
      <w:r w:rsidR="001A2851">
        <w:rPr>
          <w:sz w:val="28"/>
          <w:szCs w:val="28"/>
        </w:rPr>
        <w:t xml:space="preserve"> this was not an issue that was raised properly by the applicants in their papers in the courts below. The issue was raised rather opportunistically </w:t>
      </w:r>
      <w:r w:rsidR="000C7511">
        <w:rPr>
          <w:sz w:val="28"/>
          <w:szCs w:val="28"/>
        </w:rPr>
        <w:t xml:space="preserve">and that too </w:t>
      </w:r>
      <w:r w:rsidR="001A2851">
        <w:rPr>
          <w:sz w:val="28"/>
          <w:szCs w:val="28"/>
        </w:rPr>
        <w:t xml:space="preserve">only in heads of argument leaving no option </w:t>
      </w:r>
      <w:r w:rsidR="00960989">
        <w:rPr>
          <w:sz w:val="28"/>
          <w:szCs w:val="28"/>
        </w:rPr>
        <w:t>for</w:t>
      </w:r>
      <w:r w:rsidR="001A2851">
        <w:rPr>
          <w:sz w:val="28"/>
          <w:szCs w:val="28"/>
        </w:rPr>
        <w:t xml:space="preserve"> </w:t>
      </w:r>
      <w:proofErr w:type="spellStart"/>
      <w:r w:rsidR="00601597">
        <w:rPr>
          <w:sz w:val="28"/>
          <w:szCs w:val="28"/>
        </w:rPr>
        <w:t>Tufh</w:t>
      </w:r>
      <w:proofErr w:type="spellEnd"/>
      <w:r w:rsidR="001A2851">
        <w:rPr>
          <w:sz w:val="28"/>
          <w:szCs w:val="28"/>
        </w:rPr>
        <w:t xml:space="preserve"> or the court to address the issue fully. </w:t>
      </w:r>
    </w:p>
    <w:p w14:paraId="756E69C4" w14:textId="77777777" w:rsidR="001A2851" w:rsidRDefault="001A2851" w:rsidP="004575F8">
      <w:pPr>
        <w:rPr>
          <w:sz w:val="28"/>
          <w:szCs w:val="28"/>
        </w:rPr>
      </w:pPr>
    </w:p>
    <w:p w14:paraId="27DC67DC" w14:textId="49B2C6E3" w:rsidR="001A2851" w:rsidRDefault="001A2851" w:rsidP="004575F8">
      <w:pPr>
        <w:rPr>
          <w:sz w:val="28"/>
          <w:szCs w:val="28"/>
        </w:rPr>
      </w:pPr>
      <w:r>
        <w:rPr>
          <w:sz w:val="28"/>
          <w:szCs w:val="28"/>
        </w:rPr>
        <w:t>[</w:t>
      </w:r>
      <w:r w:rsidR="008023C7">
        <w:rPr>
          <w:sz w:val="28"/>
          <w:szCs w:val="28"/>
        </w:rPr>
        <w:t>5</w:t>
      </w:r>
      <w:r w:rsidR="00E432C0">
        <w:rPr>
          <w:sz w:val="28"/>
          <w:szCs w:val="28"/>
        </w:rPr>
        <w:t>4</w:t>
      </w:r>
      <w:r>
        <w:rPr>
          <w:sz w:val="28"/>
          <w:szCs w:val="28"/>
        </w:rPr>
        <w:t>]</w:t>
      </w:r>
      <w:r>
        <w:rPr>
          <w:sz w:val="28"/>
          <w:szCs w:val="28"/>
        </w:rPr>
        <w:tab/>
      </w:r>
      <w:proofErr w:type="spellStart"/>
      <w:r w:rsidR="003D4510">
        <w:rPr>
          <w:sz w:val="28"/>
          <w:szCs w:val="28"/>
        </w:rPr>
        <w:t>Wolmarans</w:t>
      </w:r>
      <w:proofErr w:type="spellEnd"/>
      <w:r w:rsidR="003D4510">
        <w:rPr>
          <w:sz w:val="28"/>
          <w:szCs w:val="28"/>
        </w:rPr>
        <w:t>’</w:t>
      </w:r>
      <w:r>
        <w:rPr>
          <w:sz w:val="28"/>
          <w:szCs w:val="28"/>
        </w:rPr>
        <w:t xml:space="preserve"> contention that it is </w:t>
      </w:r>
      <w:proofErr w:type="spellStart"/>
      <w:r w:rsidR="00601597">
        <w:rPr>
          <w:sz w:val="28"/>
          <w:szCs w:val="28"/>
        </w:rPr>
        <w:t>Tufh’s</w:t>
      </w:r>
      <w:proofErr w:type="spellEnd"/>
      <w:r>
        <w:rPr>
          <w:sz w:val="28"/>
          <w:szCs w:val="28"/>
        </w:rPr>
        <w:t xml:space="preserve"> </w:t>
      </w:r>
      <w:r w:rsidR="003D4510">
        <w:rPr>
          <w:sz w:val="28"/>
          <w:szCs w:val="28"/>
        </w:rPr>
        <w:t xml:space="preserve">own </w:t>
      </w:r>
      <w:r>
        <w:rPr>
          <w:sz w:val="28"/>
          <w:szCs w:val="28"/>
        </w:rPr>
        <w:t xml:space="preserve">conduct that has put its security at risk is fallacious. </w:t>
      </w:r>
      <w:r w:rsidR="003D4510">
        <w:rPr>
          <w:sz w:val="28"/>
          <w:szCs w:val="28"/>
        </w:rPr>
        <w:t xml:space="preserve">After all, </w:t>
      </w:r>
      <w:proofErr w:type="spellStart"/>
      <w:r w:rsidR="00601597">
        <w:rPr>
          <w:sz w:val="28"/>
          <w:szCs w:val="28"/>
        </w:rPr>
        <w:t>Tufh</w:t>
      </w:r>
      <w:proofErr w:type="spellEnd"/>
      <w:r>
        <w:rPr>
          <w:sz w:val="28"/>
          <w:szCs w:val="28"/>
        </w:rPr>
        <w:t xml:space="preserve"> was merely implementing the terms of the loan agreement so as to ensure that its security </w:t>
      </w:r>
      <w:r w:rsidR="001F4AA2">
        <w:rPr>
          <w:sz w:val="28"/>
          <w:szCs w:val="28"/>
        </w:rPr>
        <w:t>in and to the property was no</w:t>
      </w:r>
      <w:r w:rsidR="000C7511">
        <w:rPr>
          <w:sz w:val="28"/>
          <w:szCs w:val="28"/>
        </w:rPr>
        <w:t>t</w:t>
      </w:r>
      <w:r w:rsidR="001F4AA2">
        <w:rPr>
          <w:sz w:val="28"/>
          <w:szCs w:val="28"/>
        </w:rPr>
        <w:t xml:space="preserve"> jeopardised in any way.</w:t>
      </w:r>
    </w:p>
    <w:p w14:paraId="78654C0F" w14:textId="77777777" w:rsidR="001F4AA2" w:rsidRDefault="001F4AA2" w:rsidP="004575F8">
      <w:pPr>
        <w:rPr>
          <w:sz w:val="28"/>
          <w:szCs w:val="28"/>
        </w:rPr>
      </w:pPr>
    </w:p>
    <w:p w14:paraId="6123E04C" w14:textId="47E34AF5" w:rsidR="001F4AA2" w:rsidRDefault="001F4AA2" w:rsidP="004575F8">
      <w:pPr>
        <w:rPr>
          <w:sz w:val="28"/>
          <w:szCs w:val="28"/>
        </w:rPr>
      </w:pPr>
      <w:r>
        <w:rPr>
          <w:sz w:val="28"/>
          <w:szCs w:val="28"/>
        </w:rPr>
        <w:lastRenderedPageBreak/>
        <w:t>[</w:t>
      </w:r>
      <w:r w:rsidR="008023C7">
        <w:rPr>
          <w:sz w:val="28"/>
          <w:szCs w:val="28"/>
        </w:rPr>
        <w:t>5</w:t>
      </w:r>
      <w:r w:rsidR="00E432C0">
        <w:rPr>
          <w:sz w:val="28"/>
          <w:szCs w:val="28"/>
        </w:rPr>
        <w:t>5</w:t>
      </w:r>
      <w:r>
        <w:rPr>
          <w:sz w:val="28"/>
          <w:szCs w:val="28"/>
        </w:rPr>
        <w:t>]</w:t>
      </w:r>
      <w:r>
        <w:rPr>
          <w:sz w:val="28"/>
          <w:szCs w:val="28"/>
        </w:rPr>
        <w:tab/>
        <w:t xml:space="preserve">As the facts show, the last payment made by </w:t>
      </w:r>
      <w:proofErr w:type="spellStart"/>
      <w:r w:rsidR="00CF1338">
        <w:rPr>
          <w:sz w:val="28"/>
          <w:szCs w:val="28"/>
        </w:rPr>
        <w:t>Wolmarans</w:t>
      </w:r>
      <w:proofErr w:type="spellEnd"/>
      <w:r>
        <w:rPr>
          <w:sz w:val="28"/>
          <w:szCs w:val="28"/>
        </w:rPr>
        <w:t xml:space="preserve"> to the </w:t>
      </w:r>
      <w:proofErr w:type="spellStart"/>
      <w:r>
        <w:rPr>
          <w:sz w:val="28"/>
          <w:szCs w:val="28"/>
        </w:rPr>
        <w:t>CoJ</w:t>
      </w:r>
      <w:proofErr w:type="spellEnd"/>
      <w:r>
        <w:rPr>
          <w:sz w:val="28"/>
          <w:szCs w:val="28"/>
        </w:rPr>
        <w:t xml:space="preserve"> was on 30 October 2015. </w:t>
      </w:r>
      <w:proofErr w:type="spellStart"/>
      <w:r w:rsidR="00CF1338">
        <w:rPr>
          <w:sz w:val="28"/>
          <w:szCs w:val="28"/>
        </w:rPr>
        <w:t>Wolmarans</w:t>
      </w:r>
      <w:proofErr w:type="spellEnd"/>
      <w:r>
        <w:rPr>
          <w:sz w:val="28"/>
          <w:szCs w:val="28"/>
        </w:rPr>
        <w:t xml:space="preserve"> asse</w:t>
      </w:r>
      <w:r w:rsidR="000C7511">
        <w:rPr>
          <w:sz w:val="28"/>
          <w:szCs w:val="28"/>
        </w:rPr>
        <w:t>r</w:t>
      </w:r>
      <w:r>
        <w:rPr>
          <w:sz w:val="28"/>
          <w:szCs w:val="28"/>
        </w:rPr>
        <w:t>ts that it was advis</w:t>
      </w:r>
      <w:r w:rsidR="003D4510">
        <w:rPr>
          <w:sz w:val="28"/>
          <w:szCs w:val="28"/>
        </w:rPr>
        <w:t>ed by its forensic investigator</w:t>
      </w:r>
      <w:r>
        <w:rPr>
          <w:sz w:val="28"/>
          <w:szCs w:val="28"/>
        </w:rPr>
        <w:t xml:space="preserve"> not to effect any further payments until its dispute with the </w:t>
      </w:r>
      <w:proofErr w:type="spellStart"/>
      <w:r>
        <w:rPr>
          <w:sz w:val="28"/>
          <w:szCs w:val="28"/>
        </w:rPr>
        <w:t>CoJ</w:t>
      </w:r>
      <w:proofErr w:type="spellEnd"/>
      <w:r>
        <w:rPr>
          <w:sz w:val="28"/>
          <w:szCs w:val="28"/>
        </w:rPr>
        <w:t xml:space="preserve"> </w:t>
      </w:r>
      <w:r w:rsidR="003D4510">
        <w:rPr>
          <w:sz w:val="28"/>
          <w:szCs w:val="28"/>
        </w:rPr>
        <w:t>was</w:t>
      </w:r>
      <w:r>
        <w:rPr>
          <w:sz w:val="28"/>
          <w:szCs w:val="28"/>
        </w:rPr>
        <w:t xml:space="preserve"> resolved. What this ignores is that the dispute</w:t>
      </w:r>
      <w:r w:rsidR="00960989">
        <w:rPr>
          <w:sz w:val="28"/>
          <w:szCs w:val="28"/>
        </w:rPr>
        <w:t xml:space="preserve"> is</w:t>
      </w:r>
      <w:r>
        <w:rPr>
          <w:sz w:val="28"/>
          <w:szCs w:val="28"/>
        </w:rPr>
        <w:t xml:space="preserve"> relate</w:t>
      </w:r>
      <w:r w:rsidR="000C7511">
        <w:rPr>
          <w:sz w:val="28"/>
          <w:szCs w:val="28"/>
        </w:rPr>
        <w:t>d</w:t>
      </w:r>
      <w:r>
        <w:rPr>
          <w:sz w:val="28"/>
          <w:szCs w:val="28"/>
        </w:rPr>
        <w:t xml:space="preserve"> only to charges for water and electricity. Municipal charges for all other services </w:t>
      </w:r>
      <w:r w:rsidR="000C7511">
        <w:rPr>
          <w:sz w:val="28"/>
          <w:szCs w:val="28"/>
        </w:rPr>
        <w:t xml:space="preserve">rendered </w:t>
      </w:r>
      <w:r>
        <w:rPr>
          <w:sz w:val="28"/>
          <w:szCs w:val="28"/>
        </w:rPr>
        <w:t>remained due, owing and payable.</w:t>
      </w:r>
    </w:p>
    <w:p w14:paraId="63407278" w14:textId="77777777" w:rsidR="00246987" w:rsidRDefault="00246987" w:rsidP="004575F8">
      <w:pPr>
        <w:rPr>
          <w:sz w:val="28"/>
          <w:szCs w:val="28"/>
        </w:rPr>
      </w:pPr>
    </w:p>
    <w:p w14:paraId="39644644" w14:textId="61C424D5" w:rsidR="001F4AA2" w:rsidRDefault="001F4AA2" w:rsidP="004575F8">
      <w:pPr>
        <w:rPr>
          <w:sz w:val="28"/>
          <w:szCs w:val="28"/>
        </w:rPr>
      </w:pPr>
      <w:r>
        <w:rPr>
          <w:sz w:val="28"/>
          <w:szCs w:val="28"/>
        </w:rPr>
        <w:t>[</w:t>
      </w:r>
      <w:r w:rsidR="008023C7">
        <w:rPr>
          <w:sz w:val="28"/>
          <w:szCs w:val="28"/>
        </w:rPr>
        <w:t>5</w:t>
      </w:r>
      <w:r w:rsidR="00E432C0">
        <w:rPr>
          <w:sz w:val="28"/>
          <w:szCs w:val="28"/>
        </w:rPr>
        <w:t>6</w:t>
      </w:r>
      <w:r>
        <w:rPr>
          <w:sz w:val="28"/>
          <w:szCs w:val="28"/>
        </w:rPr>
        <w:t>]</w:t>
      </w:r>
      <w:r>
        <w:rPr>
          <w:sz w:val="28"/>
          <w:szCs w:val="28"/>
        </w:rPr>
        <w:tab/>
        <w:t xml:space="preserve">The fact that the </w:t>
      </w:r>
      <w:proofErr w:type="spellStart"/>
      <w:r>
        <w:rPr>
          <w:sz w:val="28"/>
          <w:szCs w:val="28"/>
        </w:rPr>
        <w:t>CoJ</w:t>
      </w:r>
      <w:proofErr w:type="spellEnd"/>
      <w:r>
        <w:rPr>
          <w:sz w:val="28"/>
          <w:szCs w:val="28"/>
        </w:rPr>
        <w:t xml:space="preserve">, for whatever reason, has adopted a </w:t>
      </w:r>
      <w:r w:rsidR="000C7511">
        <w:rPr>
          <w:sz w:val="28"/>
          <w:szCs w:val="28"/>
        </w:rPr>
        <w:t xml:space="preserve">supine </w:t>
      </w:r>
      <w:r>
        <w:rPr>
          <w:sz w:val="28"/>
          <w:szCs w:val="28"/>
        </w:rPr>
        <w:t xml:space="preserve">approach in the collection of all outstanding amounts from </w:t>
      </w:r>
      <w:proofErr w:type="spellStart"/>
      <w:r w:rsidR="00CF1338">
        <w:rPr>
          <w:sz w:val="28"/>
          <w:szCs w:val="28"/>
        </w:rPr>
        <w:t>Wolmarans</w:t>
      </w:r>
      <w:proofErr w:type="spellEnd"/>
      <w:r>
        <w:rPr>
          <w:sz w:val="28"/>
          <w:szCs w:val="28"/>
        </w:rPr>
        <w:t xml:space="preserve">, is irrelevant. The </w:t>
      </w:r>
      <w:proofErr w:type="spellStart"/>
      <w:r>
        <w:rPr>
          <w:sz w:val="28"/>
          <w:szCs w:val="28"/>
        </w:rPr>
        <w:t>CoJ</w:t>
      </w:r>
      <w:proofErr w:type="spellEnd"/>
      <w:r>
        <w:rPr>
          <w:sz w:val="28"/>
          <w:szCs w:val="28"/>
        </w:rPr>
        <w:t xml:space="preserve"> is no doubt aware that it is preferentially secured for the recovery of its debt in terms of s 118(3) of the Systems Act.</w:t>
      </w:r>
      <w:r w:rsidR="00A60BD4">
        <w:rPr>
          <w:sz w:val="28"/>
          <w:szCs w:val="28"/>
        </w:rPr>
        <w:t xml:space="preserve"> </w:t>
      </w:r>
      <w:r w:rsidR="003D4510">
        <w:rPr>
          <w:sz w:val="28"/>
          <w:szCs w:val="28"/>
        </w:rPr>
        <w:t>I</w:t>
      </w:r>
      <w:r w:rsidR="00A60BD4">
        <w:rPr>
          <w:sz w:val="28"/>
          <w:szCs w:val="28"/>
        </w:rPr>
        <w:t xml:space="preserve">n </w:t>
      </w:r>
      <w:r w:rsidR="00A60BD4" w:rsidRPr="00327F71">
        <w:rPr>
          <w:i/>
          <w:sz w:val="28"/>
          <w:szCs w:val="28"/>
        </w:rPr>
        <w:t>BOE Bank Ltd v Tshwane Metropolitan Municipality and Others</w:t>
      </w:r>
      <w:r w:rsidR="005C062F">
        <w:rPr>
          <w:sz w:val="28"/>
          <w:szCs w:val="28"/>
        </w:rPr>
        <w:t>,</w:t>
      </w:r>
      <w:r w:rsidR="002B2AEE">
        <w:rPr>
          <w:rStyle w:val="FootnoteReference"/>
          <w:sz w:val="28"/>
          <w:szCs w:val="28"/>
        </w:rPr>
        <w:footnoteReference w:id="26"/>
      </w:r>
      <w:r w:rsidR="005C062F">
        <w:rPr>
          <w:sz w:val="28"/>
          <w:szCs w:val="28"/>
        </w:rPr>
        <w:t xml:space="preserve"> t</w:t>
      </w:r>
      <w:r w:rsidR="00A60BD4">
        <w:rPr>
          <w:sz w:val="28"/>
          <w:szCs w:val="28"/>
        </w:rPr>
        <w:t xml:space="preserve">his </w:t>
      </w:r>
      <w:r w:rsidR="0092554A">
        <w:rPr>
          <w:sz w:val="28"/>
          <w:szCs w:val="28"/>
        </w:rPr>
        <w:t>C</w:t>
      </w:r>
      <w:r w:rsidR="00A60BD4">
        <w:rPr>
          <w:sz w:val="28"/>
          <w:szCs w:val="28"/>
        </w:rPr>
        <w:t>ourt confirmed that a charge in favour of the municipality imposed by s 118(3) of the Systems Act enjoyed preference over any mortgage bond</w:t>
      </w:r>
      <w:r w:rsidR="002B2AEE">
        <w:rPr>
          <w:sz w:val="28"/>
          <w:szCs w:val="28"/>
        </w:rPr>
        <w:t xml:space="preserve"> registered against the applicable immovable property. In the circumstances, the provisions of s 118(3) of the Systems Act jeopardises, prejudices and impairs </w:t>
      </w:r>
      <w:proofErr w:type="spellStart"/>
      <w:r w:rsidR="00601597">
        <w:rPr>
          <w:sz w:val="28"/>
          <w:szCs w:val="28"/>
        </w:rPr>
        <w:t>Tufh’s</w:t>
      </w:r>
      <w:proofErr w:type="spellEnd"/>
      <w:r w:rsidR="002B2AEE">
        <w:rPr>
          <w:sz w:val="28"/>
          <w:szCs w:val="28"/>
        </w:rPr>
        <w:t xml:space="preserve"> mortgage bond which is the security it bargained for with </w:t>
      </w:r>
      <w:proofErr w:type="spellStart"/>
      <w:r w:rsidR="00CF1338">
        <w:rPr>
          <w:sz w:val="28"/>
          <w:szCs w:val="28"/>
        </w:rPr>
        <w:t>Wolmarans</w:t>
      </w:r>
      <w:proofErr w:type="spellEnd"/>
      <w:r w:rsidR="003D4510">
        <w:rPr>
          <w:sz w:val="28"/>
          <w:szCs w:val="28"/>
        </w:rPr>
        <w:t xml:space="preserve"> at the outset. </w:t>
      </w:r>
    </w:p>
    <w:p w14:paraId="4B6196C8" w14:textId="77777777" w:rsidR="002B2AEE" w:rsidRDefault="002B2AEE" w:rsidP="004575F8">
      <w:pPr>
        <w:rPr>
          <w:sz w:val="28"/>
          <w:szCs w:val="28"/>
        </w:rPr>
      </w:pPr>
    </w:p>
    <w:p w14:paraId="79E25477" w14:textId="34600C6E" w:rsidR="002B2AEE" w:rsidRDefault="002B2AEE" w:rsidP="004575F8">
      <w:pPr>
        <w:rPr>
          <w:sz w:val="28"/>
          <w:szCs w:val="28"/>
        </w:rPr>
      </w:pPr>
      <w:r>
        <w:rPr>
          <w:sz w:val="28"/>
          <w:szCs w:val="28"/>
        </w:rPr>
        <w:t>[</w:t>
      </w:r>
      <w:r w:rsidR="008023C7">
        <w:rPr>
          <w:sz w:val="28"/>
          <w:szCs w:val="28"/>
        </w:rPr>
        <w:t>5</w:t>
      </w:r>
      <w:r w:rsidR="00E432C0">
        <w:rPr>
          <w:sz w:val="28"/>
          <w:szCs w:val="28"/>
        </w:rPr>
        <w:t>7</w:t>
      </w:r>
      <w:r>
        <w:rPr>
          <w:sz w:val="28"/>
          <w:szCs w:val="28"/>
        </w:rPr>
        <w:t>]</w:t>
      </w:r>
      <w:r>
        <w:rPr>
          <w:sz w:val="28"/>
          <w:szCs w:val="28"/>
        </w:rPr>
        <w:tab/>
        <w:t xml:space="preserve">While the applicants’ are quick to now blame the </w:t>
      </w:r>
      <w:proofErr w:type="spellStart"/>
      <w:r>
        <w:rPr>
          <w:sz w:val="28"/>
          <w:szCs w:val="28"/>
        </w:rPr>
        <w:t>CoJ</w:t>
      </w:r>
      <w:proofErr w:type="spellEnd"/>
      <w:r>
        <w:rPr>
          <w:sz w:val="28"/>
          <w:szCs w:val="28"/>
        </w:rPr>
        <w:t xml:space="preserve"> for the position in which </w:t>
      </w:r>
      <w:proofErr w:type="spellStart"/>
      <w:r w:rsidR="00CF1338">
        <w:rPr>
          <w:sz w:val="28"/>
          <w:szCs w:val="28"/>
        </w:rPr>
        <w:t>Wolmarans</w:t>
      </w:r>
      <w:proofErr w:type="spellEnd"/>
      <w:r>
        <w:rPr>
          <w:sz w:val="28"/>
          <w:szCs w:val="28"/>
        </w:rPr>
        <w:t xml:space="preserve"> finds itself, the </w:t>
      </w:r>
      <w:r w:rsidR="003D4510">
        <w:rPr>
          <w:sz w:val="28"/>
          <w:szCs w:val="28"/>
        </w:rPr>
        <w:t>latter’s</w:t>
      </w:r>
      <w:r>
        <w:rPr>
          <w:sz w:val="28"/>
          <w:szCs w:val="28"/>
        </w:rPr>
        <w:t xml:space="preserve"> conduct is particularly egregious and unconscionable in that it has for more </w:t>
      </w:r>
      <w:r w:rsidR="00E4107F" w:rsidRPr="00E3037E">
        <w:rPr>
          <w:sz w:val="28"/>
          <w:szCs w:val="28"/>
        </w:rPr>
        <w:t>than</w:t>
      </w:r>
      <w:r w:rsidR="00E4107F">
        <w:rPr>
          <w:sz w:val="28"/>
          <w:szCs w:val="28"/>
        </w:rPr>
        <w:t xml:space="preserve"> </w:t>
      </w:r>
      <w:r>
        <w:rPr>
          <w:sz w:val="28"/>
          <w:szCs w:val="28"/>
        </w:rPr>
        <w:t xml:space="preserve">eight years enjoyed the benefit of all municipal services at </w:t>
      </w:r>
      <w:proofErr w:type="spellStart"/>
      <w:r>
        <w:rPr>
          <w:sz w:val="28"/>
          <w:szCs w:val="28"/>
        </w:rPr>
        <w:t>Wolbane</w:t>
      </w:r>
      <w:proofErr w:type="spellEnd"/>
      <w:r>
        <w:rPr>
          <w:sz w:val="28"/>
          <w:szCs w:val="28"/>
        </w:rPr>
        <w:t xml:space="preserve"> Mansions, collected all rental from its tenants and still </w:t>
      </w:r>
      <w:r w:rsidR="003D4510">
        <w:rPr>
          <w:sz w:val="28"/>
          <w:szCs w:val="28"/>
        </w:rPr>
        <w:t>fails</w:t>
      </w:r>
      <w:r>
        <w:rPr>
          <w:sz w:val="28"/>
          <w:szCs w:val="28"/>
        </w:rPr>
        <w:t xml:space="preserve"> to pay for such services.</w:t>
      </w:r>
      <w:r w:rsidR="003D4510">
        <w:rPr>
          <w:sz w:val="28"/>
          <w:szCs w:val="28"/>
        </w:rPr>
        <w:t xml:space="preserve"> It cannot therefore, be said that the full court was incorrect when it found that </w:t>
      </w:r>
      <w:proofErr w:type="spellStart"/>
      <w:r w:rsidR="003D4510">
        <w:rPr>
          <w:sz w:val="28"/>
          <w:szCs w:val="28"/>
        </w:rPr>
        <w:t>Wolmarans</w:t>
      </w:r>
      <w:proofErr w:type="spellEnd"/>
      <w:r w:rsidR="003D4510">
        <w:rPr>
          <w:sz w:val="28"/>
          <w:szCs w:val="28"/>
        </w:rPr>
        <w:t xml:space="preserve"> failed to discharge the onus to show that the enforcement of the relevant clauses would be unconscionable and contrary to public policy. </w:t>
      </w:r>
    </w:p>
    <w:p w14:paraId="0C2783B8" w14:textId="77777777" w:rsidR="002B2AEE" w:rsidRDefault="002B2AEE" w:rsidP="004575F8">
      <w:pPr>
        <w:rPr>
          <w:sz w:val="28"/>
          <w:szCs w:val="28"/>
        </w:rPr>
      </w:pPr>
    </w:p>
    <w:p w14:paraId="62F4D214" w14:textId="2DE20199" w:rsidR="002B2AEE" w:rsidRDefault="002B2AEE" w:rsidP="004575F8">
      <w:pPr>
        <w:rPr>
          <w:sz w:val="28"/>
          <w:szCs w:val="28"/>
        </w:rPr>
      </w:pPr>
      <w:r>
        <w:rPr>
          <w:sz w:val="28"/>
          <w:szCs w:val="28"/>
        </w:rPr>
        <w:t>[</w:t>
      </w:r>
      <w:r w:rsidR="008023C7">
        <w:rPr>
          <w:sz w:val="28"/>
          <w:szCs w:val="28"/>
        </w:rPr>
        <w:t>5</w:t>
      </w:r>
      <w:r w:rsidR="00E432C0">
        <w:rPr>
          <w:sz w:val="28"/>
          <w:szCs w:val="28"/>
        </w:rPr>
        <w:t>8</w:t>
      </w:r>
      <w:r>
        <w:rPr>
          <w:sz w:val="28"/>
          <w:szCs w:val="28"/>
        </w:rPr>
        <w:t>]</w:t>
      </w:r>
      <w:r>
        <w:rPr>
          <w:sz w:val="28"/>
          <w:szCs w:val="28"/>
        </w:rPr>
        <w:tab/>
        <w:t xml:space="preserve">In the circumstances, I find that there are no reasonable prospects in any appeal challenging the findings of the full court. </w:t>
      </w:r>
      <w:r w:rsidR="003D4510">
        <w:rPr>
          <w:sz w:val="28"/>
          <w:szCs w:val="28"/>
        </w:rPr>
        <w:t xml:space="preserve">Still less, </w:t>
      </w:r>
      <w:r w:rsidR="0000398B">
        <w:rPr>
          <w:sz w:val="28"/>
          <w:szCs w:val="28"/>
        </w:rPr>
        <w:t xml:space="preserve">are </w:t>
      </w:r>
      <w:r w:rsidR="003D4510">
        <w:rPr>
          <w:sz w:val="28"/>
          <w:szCs w:val="28"/>
        </w:rPr>
        <w:t xml:space="preserve">there </w:t>
      </w:r>
      <w:r>
        <w:rPr>
          <w:sz w:val="28"/>
          <w:szCs w:val="28"/>
        </w:rPr>
        <w:t xml:space="preserve">special circumstances that would justify </w:t>
      </w:r>
      <w:r w:rsidR="003D4510">
        <w:rPr>
          <w:sz w:val="28"/>
          <w:szCs w:val="28"/>
        </w:rPr>
        <w:t xml:space="preserve">granting special leave to </w:t>
      </w:r>
      <w:r>
        <w:rPr>
          <w:sz w:val="28"/>
          <w:szCs w:val="28"/>
        </w:rPr>
        <w:t>appeal herein. It follows that the application for special leave must fail.</w:t>
      </w:r>
    </w:p>
    <w:p w14:paraId="37B15CE0" w14:textId="77777777" w:rsidR="00E432C0" w:rsidRDefault="00E432C0" w:rsidP="004575F8">
      <w:pPr>
        <w:rPr>
          <w:sz w:val="28"/>
          <w:szCs w:val="28"/>
        </w:rPr>
      </w:pPr>
    </w:p>
    <w:p w14:paraId="2A44D93D" w14:textId="526406D3" w:rsidR="00E432C0" w:rsidRDefault="008023C7" w:rsidP="004575F8">
      <w:pPr>
        <w:rPr>
          <w:sz w:val="28"/>
          <w:szCs w:val="28"/>
        </w:rPr>
      </w:pPr>
      <w:r>
        <w:rPr>
          <w:sz w:val="28"/>
          <w:szCs w:val="28"/>
        </w:rPr>
        <w:t>[5</w:t>
      </w:r>
      <w:r w:rsidR="00E432C0">
        <w:rPr>
          <w:sz w:val="28"/>
          <w:szCs w:val="28"/>
        </w:rPr>
        <w:t>9]</w:t>
      </w:r>
      <w:r w:rsidR="00E432C0">
        <w:rPr>
          <w:sz w:val="28"/>
          <w:szCs w:val="28"/>
        </w:rPr>
        <w:tab/>
        <w:t>As to costs</w:t>
      </w:r>
      <w:r w:rsidR="0000398B">
        <w:rPr>
          <w:sz w:val="28"/>
          <w:szCs w:val="28"/>
        </w:rPr>
        <w:t>,</w:t>
      </w:r>
      <w:r w:rsidR="00E432C0">
        <w:rPr>
          <w:sz w:val="28"/>
          <w:szCs w:val="28"/>
        </w:rPr>
        <w:t xml:space="preserve"> there was no issue that costs should follow the result and </w:t>
      </w:r>
      <w:r w:rsidR="003D4510">
        <w:rPr>
          <w:sz w:val="28"/>
          <w:szCs w:val="28"/>
        </w:rPr>
        <w:t xml:space="preserve">that such costs </w:t>
      </w:r>
      <w:r w:rsidR="00E432C0">
        <w:rPr>
          <w:sz w:val="28"/>
          <w:szCs w:val="28"/>
        </w:rPr>
        <w:t>should include the costs of two counsel. That such costs should be paid on an attorney and client scale is provided for by the loan agreement itself.</w:t>
      </w:r>
    </w:p>
    <w:p w14:paraId="73C5A0EB" w14:textId="77777777" w:rsidR="002B2AEE" w:rsidRDefault="002B2AEE" w:rsidP="004575F8">
      <w:pPr>
        <w:rPr>
          <w:sz w:val="28"/>
          <w:szCs w:val="28"/>
        </w:rPr>
      </w:pPr>
    </w:p>
    <w:p w14:paraId="7FBB4D01" w14:textId="4EF15088" w:rsidR="002B2AEE" w:rsidRDefault="002B2AEE" w:rsidP="004575F8">
      <w:pPr>
        <w:rPr>
          <w:b/>
          <w:sz w:val="28"/>
          <w:szCs w:val="28"/>
        </w:rPr>
      </w:pPr>
      <w:r>
        <w:rPr>
          <w:b/>
          <w:sz w:val="28"/>
          <w:szCs w:val="28"/>
        </w:rPr>
        <w:t>Order</w:t>
      </w:r>
    </w:p>
    <w:p w14:paraId="687E4386" w14:textId="0F3884A8" w:rsidR="002B2AEE" w:rsidRDefault="002B2AEE" w:rsidP="004575F8">
      <w:pPr>
        <w:rPr>
          <w:sz w:val="28"/>
          <w:szCs w:val="28"/>
        </w:rPr>
      </w:pPr>
      <w:r>
        <w:rPr>
          <w:sz w:val="28"/>
          <w:szCs w:val="28"/>
        </w:rPr>
        <w:t>[</w:t>
      </w:r>
      <w:r w:rsidR="008023C7">
        <w:rPr>
          <w:sz w:val="28"/>
          <w:szCs w:val="28"/>
        </w:rPr>
        <w:t>6</w:t>
      </w:r>
      <w:r w:rsidR="00E432C0">
        <w:rPr>
          <w:sz w:val="28"/>
          <w:szCs w:val="28"/>
        </w:rPr>
        <w:t>0</w:t>
      </w:r>
      <w:r>
        <w:rPr>
          <w:sz w:val="28"/>
          <w:szCs w:val="28"/>
        </w:rPr>
        <w:t>]</w:t>
      </w:r>
      <w:r>
        <w:rPr>
          <w:sz w:val="28"/>
          <w:szCs w:val="28"/>
        </w:rPr>
        <w:tab/>
        <w:t>The following order is made:</w:t>
      </w:r>
    </w:p>
    <w:p w14:paraId="6A04A959" w14:textId="2796CE23" w:rsidR="002B2AEE" w:rsidRPr="002B2AEE" w:rsidRDefault="002B2AEE" w:rsidP="004575F8">
      <w:pPr>
        <w:rPr>
          <w:sz w:val="28"/>
          <w:szCs w:val="28"/>
        </w:rPr>
      </w:pPr>
      <w:r>
        <w:rPr>
          <w:sz w:val="28"/>
          <w:szCs w:val="28"/>
        </w:rPr>
        <w:t>The application for special leave is dismissed with costs on an attorney and client scale, such costs to include the costs of two counsel.</w:t>
      </w:r>
    </w:p>
    <w:p w14:paraId="4C0C5F12" w14:textId="77777777" w:rsidR="004575F8" w:rsidRPr="004575F8" w:rsidRDefault="004575F8" w:rsidP="004575F8">
      <w:pPr>
        <w:rPr>
          <w:sz w:val="28"/>
          <w:szCs w:val="28"/>
        </w:rPr>
      </w:pPr>
    </w:p>
    <w:p w14:paraId="248063BB" w14:textId="77777777" w:rsidR="00D9365F" w:rsidRPr="004575F8" w:rsidRDefault="00D9365F" w:rsidP="004575F8">
      <w:pPr>
        <w:rPr>
          <w:sz w:val="28"/>
          <w:szCs w:val="28"/>
        </w:rPr>
      </w:pPr>
    </w:p>
    <w:p w14:paraId="6C7EB8CD" w14:textId="77777777" w:rsidR="00D9365F" w:rsidRPr="004575F8" w:rsidRDefault="00D9365F" w:rsidP="004575F8">
      <w:pPr>
        <w:rPr>
          <w:sz w:val="28"/>
          <w:szCs w:val="28"/>
        </w:rPr>
      </w:pPr>
    </w:p>
    <w:p w14:paraId="01356F09" w14:textId="77777777" w:rsidR="00BF09AC" w:rsidRPr="004575F8" w:rsidRDefault="00BF09AC" w:rsidP="004575F8">
      <w:pPr>
        <w:pStyle w:val="ListParagraph"/>
        <w:ind w:left="0"/>
        <w:jc w:val="right"/>
        <w:rPr>
          <w:sz w:val="28"/>
          <w:szCs w:val="28"/>
        </w:rPr>
      </w:pPr>
      <w:r w:rsidRPr="004575F8">
        <w:rPr>
          <w:sz w:val="28"/>
          <w:szCs w:val="28"/>
        </w:rPr>
        <w:t>___________________</w:t>
      </w:r>
      <w:r w:rsidR="006F609A" w:rsidRPr="004575F8">
        <w:rPr>
          <w:sz w:val="28"/>
          <w:szCs w:val="28"/>
        </w:rPr>
        <w:t>______</w:t>
      </w:r>
      <w:r w:rsidRPr="004575F8">
        <w:rPr>
          <w:sz w:val="28"/>
          <w:szCs w:val="28"/>
        </w:rPr>
        <w:t>_</w:t>
      </w:r>
    </w:p>
    <w:p w14:paraId="79F16E21" w14:textId="0777430A" w:rsidR="00BF09AC" w:rsidRPr="00BF09AC" w:rsidRDefault="00A40A90" w:rsidP="006F609A">
      <w:pPr>
        <w:pStyle w:val="ListParagraph"/>
        <w:ind w:left="0"/>
        <w:jc w:val="right"/>
        <w:rPr>
          <w:sz w:val="28"/>
          <w:szCs w:val="28"/>
        </w:rPr>
      </w:pPr>
      <w:r>
        <w:rPr>
          <w:sz w:val="28"/>
          <w:szCs w:val="28"/>
        </w:rPr>
        <w:t>R SEEGOBIN</w:t>
      </w:r>
    </w:p>
    <w:p w14:paraId="3E1ADB3B" w14:textId="77777777" w:rsidR="0031085B" w:rsidRPr="0031085B" w:rsidRDefault="006F609A" w:rsidP="006F609A">
      <w:pPr>
        <w:pStyle w:val="ListParagraph"/>
        <w:ind w:left="0"/>
        <w:jc w:val="right"/>
        <w:rPr>
          <w:sz w:val="28"/>
          <w:szCs w:val="28"/>
        </w:rPr>
      </w:pPr>
      <w:r w:rsidRPr="00BF09AC">
        <w:rPr>
          <w:sz w:val="28"/>
          <w:szCs w:val="28"/>
        </w:rPr>
        <w:t>ACTING JUDGE OF APPEAL</w:t>
      </w:r>
    </w:p>
    <w:p w14:paraId="1C7D50FE" w14:textId="77777777" w:rsidR="00F26667" w:rsidRDefault="00F26667" w:rsidP="0031085B">
      <w:pPr>
        <w:pStyle w:val="ListParagraph"/>
        <w:ind w:left="0"/>
        <w:rPr>
          <w:sz w:val="28"/>
          <w:szCs w:val="28"/>
        </w:rPr>
      </w:pPr>
    </w:p>
    <w:p w14:paraId="0E98D3E7" w14:textId="77777777" w:rsidR="00F26667" w:rsidRDefault="00F26667" w:rsidP="0031085B">
      <w:pPr>
        <w:pStyle w:val="ListParagraph"/>
        <w:ind w:left="0"/>
        <w:rPr>
          <w:sz w:val="28"/>
          <w:szCs w:val="28"/>
        </w:rPr>
      </w:pPr>
    </w:p>
    <w:p w14:paraId="49D00C3F" w14:textId="77777777" w:rsidR="00E558FC" w:rsidRDefault="00E558FC">
      <w:pPr>
        <w:spacing w:after="160" w:line="259" w:lineRule="auto"/>
        <w:jc w:val="left"/>
        <w:rPr>
          <w:sz w:val="28"/>
          <w:szCs w:val="28"/>
        </w:rPr>
      </w:pPr>
      <w:r>
        <w:rPr>
          <w:sz w:val="28"/>
          <w:szCs w:val="28"/>
        </w:rPr>
        <w:br w:type="page"/>
      </w:r>
    </w:p>
    <w:p w14:paraId="09959E1F" w14:textId="17198A01" w:rsidR="0031085B" w:rsidRPr="0031085B" w:rsidRDefault="0031085B" w:rsidP="0031085B">
      <w:pPr>
        <w:pStyle w:val="ListParagraph"/>
        <w:ind w:left="0"/>
        <w:rPr>
          <w:sz w:val="28"/>
          <w:szCs w:val="28"/>
        </w:rPr>
      </w:pPr>
      <w:r w:rsidRPr="0031085B">
        <w:rPr>
          <w:sz w:val="28"/>
          <w:szCs w:val="28"/>
        </w:rPr>
        <w:lastRenderedPageBreak/>
        <w:t>Appearances</w:t>
      </w:r>
    </w:p>
    <w:p w14:paraId="4BDFAF01" w14:textId="77777777" w:rsidR="0031085B" w:rsidRPr="0031085B" w:rsidRDefault="0031085B" w:rsidP="0031085B">
      <w:pPr>
        <w:pStyle w:val="ListParagraph"/>
        <w:ind w:left="0"/>
        <w:rPr>
          <w:sz w:val="28"/>
          <w:szCs w:val="28"/>
        </w:rPr>
      </w:pPr>
    </w:p>
    <w:p w14:paraId="5F499C7C" w14:textId="22ACE959" w:rsidR="0031085B" w:rsidRPr="0031085B" w:rsidRDefault="0031085B" w:rsidP="0031085B">
      <w:pPr>
        <w:pStyle w:val="ListParagraph"/>
        <w:ind w:left="0"/>
        <w:rPr>
          <w:sz w:val="28"/>
          <w:szCs w:val="28"/>
        </w:rPr>
      </w:pPr>
      <w:r w:rsidRPr="0031085B">
        <w:rPr>
          <w:sz w:val="28"/>
          <w:szCs w:val="28"/>
        </w:rPr>
        <w:t xml:space="preserve">For the </w:t>
      </w:r>
      <w:r w:rsidR="004642AC">
        <w:rPr>
          <w:sz w:val="28"/>
          <w:szCs w:val="28"/>
        </w:rPr>
        <w:t>applicants:</w:t>
      </w:r>
      <w:r w:rsidRPr="0031085B">
        <w:rPr>
          <w:sz w:val="28"/>
          <w:szCs w:val="28"/>
        </w:rPr>
        <w:tab/>
      </w:r>
      <w:r w:rsidRPr="0031085B">
        <w:rPr>
          <w:sz w:val="28"/>
          <w:szCs w:val="28"/>
        </w:rPr>
        <w:tab/>
      </w:r>
      <w:r w:rsidR="00C35174">
        <w:rPr>
          <w:sz w:val="28"/>
          <w:szCs w:val="28"/>
        </w:rPr>
        <w:tab/>
      </w:r>
      <w:r w:rsidR="002F2D41">
        <w:rPr>
          <w:sz w:val="28"/>
          <w:szCs w:val="28"/>
        </w:rPr>
        <w:t>L Hollander</w:t>
      </w:r>
    </w:p>
    <w:p w14:paraId="26051784" w14:textId="49080021" w:rsidR="0031085B" w:rsidRPr="0031085B" w:rsidRDefault="0031085B" w:rsidP="002F2D41">
      <w:pPr>
        <w:pStyle w:val="ListParagraph"/>
        <w:ind w:left="3600" w:hanging="3600"/>
        <w:rPr>
          <w:sz w:val="28"/>
          <w:szCs w:val="28"/>
        </w:rPr>
      </w:pPr>
      <w:r w:rsidRPr="0031085B">
        <w:rPr>
          <w:sz w:val="28"/>
          <w:szCs w:val="28"/>
        </w:rPr>
        <w:t xml:space="preserve">Instructed by: </w:t>
      </w:r>
      <w:r w:rsidRPr="0031085B">
        <w:rPr>
          <w:sz w:val="28"/>
          <w:szCs w:val="28"/>
        </w:rPr>
        <w:tab/>
      </w:r>
      <w:r w:rsidR="002F2D41">
        <w:rPr>
          <w:sz w:val="28"/>
          <w:szCs w:val="28"/>
        </w:rPr>
        <w:t>Swartz Weil Van Der Merwe Greenberg Inc. Attorneys, Parkview</w:t>
      </w:r>
    </w:p>
    <w:p w14:paraId="2C63EDF5" w14:textId="423A800C" w:rsidR="0031085B" w:rsidRDefault="0031085B" w:rsidP="0031085B">
      <w:pPr>
        <w:pStyle w:val="ListParagraph"/>
        <w:ind w:left="0"/>
        <w:rPr>
          <w:sz w:val="28"/>
          <w:szCs w:val="28"/>
        </w:rPr>
      </w:pPr>
      <w:r w:rsidRPr="0031085B">
        <w:rPr>
          <w:sz w:val="28"/>
          <w:szCs w:val="28"/>
        </w:rPr>
        <w:tab/>
      </w:r>
      <w:r w:rsidRPr="0031085B">
        <w:rPr>
          <w:sz w:val="28"/>
          <w:szCs w:val="28"/>
        </w:rPr>
        <w:tab/>
      </w:r>
      <w:r w:rsidRPr="0031085B">
        <w:rPr>
          <w:sz w:val="28"/>
          <w:szCs w:val="28"/>
        </w:rPr>
        <w:tab/>
      </w:r>
      <w:r w:rsidRPr="0031085B">
        <w:rPr>
          <w:sz w:val="28"/>
          <w:szCs w:val="28"/>
        </w:rPr>
        <w:tab/>
      </w:r>
      <w:r w:rsidRPr="0031085B">
        <w:rPr>
          <w:sz w:val="28"/>
          <w:szCs w:val="28"/>
        </w:rPr>
        <w:tab/>
      </w:r>
      <w:proofErr w:type="spellStart"/>
      <w:r w:rsidR="002F2D41">
        <w:rPr>
          <w:sz w:val="28"/>
          <w:szCs w:val="28"/>
        </w:rPr>
        <w:t>Bezuidenhout</w:t>
      </w:r>
      <w:proofErr w:type="spellEnd"/>
      <w:r w:rsidR="002F2D41">
        <w:rPr>
          <w:sz w:val="28"/>
          <w:szCs w:val="28"/>
        </w:rPr>
        <w:t xml:space="preserve"> Inc.</w:t>
      </w:r>
      <w:r w:rsidR="004E750B">
        <w:rPr>
          <w:sz w:val="28"/>
          <w:szCs w:val="28"/>
        </w:rPr>
        <w:t>, Bloemfontein</w:t>
      </w:r>
    </w:p>
    <w:p w14:paraId="2D52F39F" w14:textId="77777777" w:rsidR="00C21C92" w:rsidRDefault="00C21C92" w:rsidP="0031085B">
      <w:pPr>
        <w:pStyle w:val="ListParagraph"/>
        <w:ind w:left="0"/>
        <w:rPr>
          <w:sz w:val="28"/>
          <w:szCs w:val="28"/>
        </w:rPr>
      </w:pPr>
    </w:p>
    <w:p w14:paraId="49F700E9" w14:textId="7990447F" w:rsidR="0031085B" w:rsidRPr="0031085B" w:rsidRDefault="00092448" w:rsidP="0031085B">
      <w:pPr>
        <w:pStyle w:val="ListParagraph"/>
        <w:ind w:left="0"/>
        <w:rPr>
          <w:sz w:val="28"/>
          <w:szCs w:val="28"/>
        </w:rPr>
      </w:pPr>
      <w:r>
        <w:rPr>
          <w:sz w:val="28"/>
          <w:szCs w:val="28"/>
        </w:rPr>
        <w:t>For the respondent</w:t>
      </w:r>
      <w:r w:rsidR="0031085B" w:rsidRPr="0031085B">
        <w:rPr>
          <w:sz w:val="28"/>
          <w:szCs w:val="28"/>
        </w:rPr>
        <w:t>:</w:t>
      </w:r>
      <w:r w:rsidR="0031085B" w:rsidRPr="0031085B">
        <w:rPr>
          <w:sz w:val="28"/>
          <w:szCs w:val="28"/>
        </w:rPr>
        <w:tab/>
      </w:r>
      <w:r w:rsidR="0031085B" w:rsidRPr="0031085B">
        <w:rPr>
          <w:sz w:val="28"/>
          <w:szCs w:val="28"/>
        </w:rPr>
        <w:tab/>
      </w:r>
      <w:r w:rsidR="002F2D41">
        <w:rPr>
          <w:sz w:val="28"/>
          <w:szCs w:val="28"/>
        </w:rPr>
        <w:t xml:space="preserve">A C Botha SC (with him E </w:t>
      </w:r>
      <w:proofErr w:type="spellStart"/>
      <w:r w:rsidR="002F2D41">
        <w:rPr>
          <w:sz w:val="28"/>
          <w:szCs w:val="28"/>
        </w:rPr>
        <w:t>Eksteen</w:t>
      </w:r>
      <w:proofErr w:type="spellEnd"/>
      <w:r w:rsidR="002F2D41">
        <w:rPr>
          <w:sz w:val="28"/>
          <w:szCs w:val="28"/>
        </w:rPr>
        <w:t>)</w:t>
      </w:r>
    </w:p>
    <w:p w14:paraId="23EABB6B" w14:textId="7AF65966" w:rsidR="0031085B" w:rsidRDefault="0031085B" w:rsidP="0031085B">
      <w:pPr>
        <w:pStyle w:val="ListParagraph"/>
        <w:ind w:left="0"/>
        <w:rPr>
          <w:sz w:val="28"/>
          <w:szCs w:val="28"/>
        </w:rPr>
      </w:pPr>
      <w:r w:rsidRPr="0031085B">
        <w:rPr>
          <w:sz w:val="28"/>
          <w:szCs w:val="28"/>
        </w:rPr>
        <w:t>Instructed by:</w:t>
      </w:r>
      <w:r w:rsidRPr="0031085B">
        <w:rPr>
          <w:sz w:val="28"/>
          <w:szCs w:val="28"/>
        </w:rPr>
        <w:tab/>
      </w:r>
      <w:r w:rsidRPr="0031085B">
        <w:rPr>
          <w:sz w:val="28"/>
          <w:szCs w:val="28"/>
        </w:rPr>
        <w:tab/>
      </w:r>
      <w:r w:rsidRPr="0031085B">
        <w:rPr>
          <w:sz w:val="28"/>
          <w:szCs w:val="28"/>
        </w:rPr>
        <w:tab/>
      </w:r>
      <w:proofErr w:type="spellStart"/>
      <w:r w:rsidR="002F2D41">
        <w:rPr>
          <w:sz w:val="28"/>
          <w:szCs w:val="28"/>
        </w:rPr>
        <w:t>Schindlers</w:t>
      </w:r>
      <w:proofErr w:type="spellEnd"/>
      <w:r w:rsidR="002F2D41">
        <w:rPr>
          <w:sz w:val="28"/>
          <w:szCs w:val="28"/>
        </w:rPr>
        <w:t xml:space="preserve"> Attorneys, Johannesburg </w:t>
      </w:r>
    </w:p>
    <w:p w14:paraId="363F2D89" w14:textId="2009D8D6" w:rsidR="007350FF" w:rsidRPr="0031085B" w:rsidRDefault="007350FF" w:rsidP="0031085B">
      <w:pPr>
        <w:pStyle w:val="ListParagraph"/>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sidR="002F2D41">
        <w:rPr>
          <w:sz w:val="28"/>
          <w:szCs w:val="28"/>
        </w:rPr>
        <w:t>Webbers Attorneys</w:t>
      </w:r>
      <w:r w:rsidR="009F7ADB">
        <w:rPr>
          <w:sz w:val="28"/>
          <w:szCs w:val="28"/>
        </w:rPr>
        <w:t xml:space="preserve">, </w:t>
      </w:r>
      <w:r>
        <w:rPr>
          <w:sz w:val="28"/>
          <w:szCs w:val="28"/>
        </w:rPr>
        <w:t>Bloemfontein</w:t>
      </w:r>
      <w:r w:rsidR="00E4107F" w:rsidRPr="00E3037E">
        <w:rPr>
          <w:sz w:val="28"/>
          <w:szCs w:val="28"/>
        </w:rPr>
        <w:t>.</w:t>
      </w:r>
    </w:p>
    <w:p w14:paraId="030D8821" w14:textId="77777777" w:rsidR="00A86F7E" w:rsidRDefault="00A86F7E" w:rsidP="001D6531">
      <w:pPr>
        <w:spacing w:line="240" w:lineRule="auto"/>
        <w:rPr>
          <w:sz w:val="28"/>
          <w:szCs w:val="28"/>
          <w:lang w:eastAsia="en-ZA"/>
        </w:rPr>
      </w:pPr>
    </w:p>
    <w:p w14:paraId="1BC1B8D2" w14:textId="173EC6CE" w:rsidR="00A86F7E" w:rsidRPr="0031085B" w:rsidRDefault="00A86F7E" w:rsidP="001D6531">
      <w:pPr>
        <w:spacing w:line="240" w:lineRule="auto"/>
        <w:rPr>
          <w:sz w:val="28"/>
          <w:szCs w:val="28"/>
          <w:lang w:eastAsia="en-ZA"/>
        </w:rPr>
      </w:pPr>
    </w:p>
    <w:sectPr w:rsidR="00A86F7E" w:rsidRPr="0031085B" w:rsidSect="00E432C0">
      <w:headerReference w:type="even" r:id="rId9"/>
      <w:headerReference w:type="default" r:id="rId10"/>
      <w:pgSz w:w="12240" w:h="15840"/>
      <w:pgMar w:top="1091" w:right="1440" w:bottom="116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6F490" w14:textId="77777777" w:rsidR="00E71995" w:rsidRDefault="00E71995" w:rsidP="001F6B30">
      <w:pPr>
        <w:spacing w:line="240" w:lineRule="auto"/>
      </w:pPr>
      <w:r>
        <w:separator/>
      </w:r>
    </w:p>
  </w:endnote>
  <w:endnote w:type="continuationSeparator" w:id="0">
    <w:p w14:paraId="5A7E7004" w14:textId="77777777" w:rsidR="00E71995" w:rsidRDefault="00E71995"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AA90" w14:textId="77777777" w:rsidR="00E71995" w:rsidRDefault="00E71995" w:rsidP="001F6B30">
      <w:pPr>
        <w:spacing w:line="240" w:lineRule="auto"/>
      </w:pPr>
      <w:r>
        <w:separator/>
      </w:r>
    </w:p>
  </w:footnote>
  <w:footnote w:type="continuationSeparator" w:id="0">
    <w:p w14:paraId="0427F9B7" w14:textId="77777777" w:rsidR="00E71995" w:rsidRDefault="00E71995" w:rsidP="001F6B30">
      <w:pPr>
        <w:spacing w:line="240" w:lineRule="auto"/>
      </w:pPr>
      <w:r>
        <w:continuationSeparator/>
      </w:r>
    </w:p>
  </w:footnote>
  <w:footnote w:id="1">
    <w:p w14:paraId="76FFBF91" w14:textId="4AB8A648" w:rsidR="00CF1338" w:rsidRPr="00B25179" w:rsidRDefault="00CF1338" w:rsidP="00B25179">
      <w:pPr>
        <w:pStyle w:val="FootnoteText"/>
        <w:jc w:val="both"/>
        <w:rPr>
          <w:rFonts w:ascii="Times New Roman" w:hAnsi="Times New Roman" w:cs="Times New Roman"/>
        </w:rPr>
      </w:pPr>
      <w:r w:rsidRPr="00B25179">
        <w:rPr>
          <w:rStyle w:val="FootnoteReference"/>
          <w:rFonts w:ascii="Times New Roman" w:hAnsi="Times New Roman" w:cs="Times New Roman"/>
        </w:rPr>
        <w:footnoteRef/>
      </w:r>
      <w:r w:rsidRPr="00B25179">
        <w:rPr>
          <w:rFonts w:ascii="Times New Roman" w:hAnsi="Times New Roman" w:cs="Times New Roman"/>
        </w:rPr>
        <w:t xml:space="preserve"> This failure was in breach of clause 17.1.</w:t>
      </w:r>
    </w:p>
  </w:footnote>
  <w:footnote w:id="2">
    <w:p w14:paraId="76BE7E73" w14:textId="070F8C6B" w:rsidR="00CF1338" w:rsidRPr="00B25179" w:rsidRDefault="00CF1338" w:rsidP="00B25179">
      <w:pPr>
        <w:pStyle w:val="FootnoteText"/>
        <w:jc w:val="both"/>
        <w:rPr>
          <w:rFonts w:ascii="Times New Roman" w:hAnsi="Times New Roman" w:cs="Times New Roman"/>
        </w:rPr>
      </w:pPr>
      <w:r w:rsidRPr="00B25179">
        <w:rPr>
          <w:rStyle w:val="FootnoteReference"/>
          <w:rFonts w:ascii="Times New Roman" w:hAnsi="Times New Roman" w:cs="Times New Roman"/>
        </w:rPr>
        <w:footnoteRef/>
      </w:r>
      <w:r w:rsidRPr="00B25179">
        <w:rPr>
          <w:rFonts w:ascii="Times New Roman" w:hAnsi="Times New Roman" w:cs="Times New Roman"/>
        </w:rPr>
        <w:t xml:space="preserve"> This failure was in breach of clause 17.2.</w:t>
      </w:r>
    </w:p>
  </w:footnote>
  <w:footnote w:id="3">
    <w:p w14:paraId="300976C4" w14:textId="04B6D181" w:rsidR="00CF1338" w:rsidRDefault="00CF1338" w:rsidP="00B25179">
      <w:pPr>
        <w:pStyle w:val="FootnoteText"/>
        <w:jc w:val="both"/>
      </w:pPr>
      <w:r w:rsidRPr="00B25179">
        <w:rPr>
          <w:rStyle w:val="FootnoteReference"/>
          <w:rFonts w:ascii="Times New Roman" w:hAnsi="Times New Roman" w:cs="Times New Roman"/>
        </w:rPr>
        <w:footnoteRef/>
      </w:r>
      <w:r w:rsidRPr="00B25179">
        <w:rPr>
          <w:rFonts w:ascii="Times New Roman" w:hAnsi="Times New Roman" w:cs="Times New Roman"/>
        </w:rPr>
        <w:t xml:space="preserve"> This failure was in breach of clause 17.3.</w:t>
      </w:r>
    </w:p>
  </w:footnote>
  <w:footnote w:id="4">
    <w:p w14:paraId="7110AFDC" w14:textId="78FA181B" w:rsidR="00CF1338" w:rsidRPr="005D5D86" w:rsidRDefault="00CF1338" w:rsidP="005D5D86">
      <w:pPr>
        <w:pStyle w:val="Heading2"/>
        <w:shd w:val="clear" w:color="auto" w:fill="FFFFFF"/>
        <w:spacing w:before="0" w:line="240" w:lineRule="auto"/>
        <w:rPr>
          <w:rFonts w:ascii="Times New Roman" w:hAnsi="Times New Roman" w:cs="Times New Roman"/>
          <w:color w:val="64473A"/>
          <w:sz w:val="20"/>
          <w:szCs w:val="20"/>
        </w:rPr>
      </w:pPr>
      <w:r w:rsidRPr="005D5D86">
        <w:rPr>
          <w:rStyle w:val="FootnoteReference"/>
          <w:rFonts w:ascii="Times New Roman" w:hAnsi="Times New Roman" w:cs="Times New Roman"/>
          <w:color w:val="auto"/>
          <w:sz w:val="20"/>
          <w:szCs w:val="20"/>
        </w:rPr>
        <w:footnoteRef/>
      </w:r>
      <w:r w:rsidRPr="005D5D86">
        <w:rPr>
          <w:rFonts w:ascii="Times New Roman" w:hAnsi="Times New Roman" w:cs="Times New Roman"/>
          <w:color w:val="auto"/>
          <w:sz w:val="20"/>
          <w:szCs w:val="20"/>
        </w:rPr>
        <w:t xml:space="preserve"> </w:t>
      </w:r>
      <w:proofErr w:type="spellStart"/>
      <w:r w:rsidRPr="005D5D86">
        <w:rPr>
          <w:rFonts w:ascii="Times New Roman" w:hAnsi="Times New Roman" w:cs="Times New Roman"/>
          <w:bCs/>
          <w:i/>
          <w:color w:val="auto"/>
          <w:sz w:val="20"/>
          <w:szCs w:val="20"/>
        </w:rPr>
        <w:t>Beadica</w:t>
      </w:r>
      <w:proofErr w:type="spellEnd"/>
      <w:r w:rsidRPr="005D5D86">
        <w:rPr>
          <w:rFonts w:ascii="Times New Roman" w:hAnsi="Times New Roman" w:cs="Times New Roman"/>
          <w:bCs/>
          <w:i/>
          <w:color w:val="auto"/>
          <w:sz w:val="20"/>
          <w:szCs w:val="20"/>
        </w:rPr>
        <w:t xml:space="preserve"> 231 CC and Others v Trustees for the time being of the Oregon Trust and Others</w:t>
      </w:r>
      <w:r w:rsidRPr="005D5D86">
        <w:rPr>
          <w:rFonts w:ascii="Times New Roman" w:hAnsi="Times New Roman" w:cs="Times New Roman"/>
          <w:bCs/>
          <w:color w:val="auto"/>
          <w:sz w:val="20"/>
          <w:szCs w:val="20"/>
        </w:rPr>
        <w:t xml:space="preserve"> [2020] ZACC 13; 2020 (5) SA 247 (CC); 2020 (9) BCLR </w:t>
      </w:r>
      <w:r w:rsidRPr="00D73C7A">
        <w:rPr>
          <w:rFonts w:ascii="Times New Roman" w:hAnsi="Times New Roman" w:cs="Times New Roman"/>
          <w:bCs/>
          <w:color w:val="auto"/>
          <w:sz w:val="20"/>
          <w:szCs w:val="20"/>
        </w:rPr>
        <w:t>1098 (CC)</w:t>
      </w:r>
      <w:r w:rsidR="00DC6A6F">
        <w:rPr>
          <w:rFonts w:ascii="Times New Roman" w:hAnsi="Times New Roman" w:cs="Times New Roman"/>
          <w:bCs/>
          <w:color w:val="auto"/>
          <w:sz w:val="20"/>
          <w:szCs w:val="20"/>
        </w:rPr>
        <w:t xml:space="preserve"> para 14.</w:t>
      </w:r>
    </w:p>
  </w:footnote>
  <w:footnote w:id="5">
    <w:p w14:paraId="50481EEC" w14:textId="77777777" w:rsidR="00CF1338" w:rsidRPr="00CE4807" w:rsidRDefault="00CF1338" w:rsidP="005D5D86">
      <w:pPr>
        <w:pStyle w:val="FootnoteText"/>
        <w:jc w:val="both"/>
        <w:rPr>
          <w:rFonts w:ascii="Times New Roman" w:hAnsi="Times New Roman" w:cs="Times New Roman"/>
        </w:rPr>
      </w:pPr>
      <w:r w:rsidRPr="00CE4807">
        <w:rPr>
          <w:rStyle w:val="FootnoteReference"/>
          <w:rFonts w:ascii="Times New Roman" w:hAnsi="Times New Roman" w:cs="Times New Roman"/>
        </w:rPr>
        <w:footnoteRef/>
      </w:r>
      <w:r w:rsidRPr="00CE4807">
        <w:rPr>
          <w:rFonts w:ascii="Times New Roman" w:hAnsi="Times New Roman" w:cs="Times New Roman"/>
        </w:rPr>
        <w:t xml:space="preserve"> </w:t>
      </w:r>
      <w:r w:rsidRPr="00CE4807">
        <w:rPr>
          <w:rFonts w:ascii="Times New Roman" w:hAnsi="Times New Roman" w:cs="Times New Roman"/>
          <w:i/>
        </w:rPr>
        <w:t xml:space="preserve">P A F v S C F </w:t>
      </w:r>
      <w:r w:rsidRPr="00CE4807">
        <w:rPr>
          <w:rFonts w:ascii="Times New Roman" w:hAnsi="Times New Roman" w:cs="Times New Roman"/>
        </w:rPr>
        <w:t>[2022] ZASCA 101; 2022 (6) SA 162 (SCA) para 24.</w:t>
      </w:r>
    </w:p>
  </w:footnote>
  <w:footnote w:id="6">
    <w:p w14:paraId="79D72237" w14:textId="77777777" w:rsidR="00CF1338" w:rsidRPr="00CE4807" w:rsidRDefault="00CF1338" w:rsidP="005D5D86">
      <w:pPr>
        <w:pStyle w:val="FootnoteText"/>
        <w:jc w:val="both"/>
        <w:rPr>
          <w:rFonts w:ascii="Times New Roman" w:hAnsi="Times New Roman" w:cs="Times New Roman"/>
        </w:rPr>
      </w:pPr>
      <w:r w:rsidRPr="00CE4807">
        <w:rPr>
          <w:rStyle w:val="FootnoteReference"/>
          <w:rFonts w:ascii="Times New Roman" w:hAnsi="Times New Roman" w:cs="Times New Roman"/>
        </w:rPr>
        <w:footnoteRef/>
      </w:r>
      <w:r w:rsidRPr="00CE4807">
        <w:rPr>
          <w:rFonts w:ascii="Times New Roman" w:hAnsi="Times New Roman" w:cs="Times New Roman"/>
        </w:rPr>
        <w:t xml:space="preserve"> </w:t>
      </w:r>
      <w:r w:rsidRPr="00CE4807">
        <w:rPr>
          <w:rFonts w:ascii="Times New Roman" w:hAnsi="Times New Roman" w:cs="Times New Roman"/>
          <w:i/>
        </w:rPr>
        <w:t xml:space="preserve">Cook v Morrison </w:t>
      </w:r>
      <w:r w:rsidRPr="00CE4807">
        <w:rPr>
          <w:rFonts w:ascii="Times New Roman" w:hAnsi="Times New Roman" w:cs="Times New Roman"/>
        </w:rPr>
        <w:t>[2019] ZASCA 8; [2019] 3 All SA 673 (SCA); 2019 (5) SA 51 (SCA) para 8.</w:t>
      </w:r>
    </w:p>
  </w:footnote>
  <w:footnote w:id="7">
    <w:p w14:paraId="4D489A0E" w14:textId="17523D6F" w:rsidR="00CF1338" w:rsidRPr="00CE4807" w:rsidRDefault="00CF1338" w:rsidP="005D5D86">
      <w:pPr>
        <w:pStyle w:val="FootnoteText"/>
        <w:jc w:val="both"/>
        <w:rPr>
          <w:rFonts w:ascii="Times New Roman" w:hAnsi="Times New Roman" w:cs="Times New Roman"/>
        </w:rPr>
      </w:pPr>
      <w:r w:rsidRPr="00CE4807">
        <w:rPr>
          <w:rStyle w:val="FootnoteReference"/>
          <w:rFonts w:ascii="Times New Roman" w:hAnsi="Times New Roman" w:cs="Times New Roman"/>
        </w:rPr>
        <w:footnoteRef/>
      </w:r>
      <w:r w:rsidRPr="00CE4807">
        <w:rPr>
          <w:rFonts w:ascii="Times New Roman" w:hAnsi="Times New Roman" w:cs="Times New Roman"/>
        </w:rPr>
        <w:t xml:space="preserve"> </w:t>
      </w:r>
      <w:r w:rsidRPr="00CE4807">
        <w:rPr>
          <w:rFonts w:ascii="Times New Roman" w:hAnsi="Times New Roman" w:cs="Times New Roman"/>
          <w:i/>
        </w:rPr>
        <w:t xml:space="preserve">MEC for Health, Eastern Cape v </w:t>
      </w:r>
      <w:proofErr w:type="spellStart"/>
      <w:r w:rsidRPr="00CE4807">
        <w:rPr>
          <w:rFonts w:ascii="Times New Roman" w:hAnsi="Times New Roman" w:cs="Times New Roman"/>
          <w:i/>
        </w:rPr>
        <w:t>Mkhitha</w:t>
      </w:r>
      <w:proofErr w:type="spellEnd"/>
      <w:r w:rsidRPr="00CE4807">
        <w:rPr>
          <w:rFonts w:ascii="Times New Roman" w:hAnsi="Times New Roman" w:cs="Times New Roman"/>
          <w:i/>
        </w:rPr>
        <w:t xml:space="preserve"> and Another </w:t>
      </w:r>
      <w:r w:rsidRPr="00CE4807">
        <w:rPr>
          <w:rFonts w:ascii="Times New Roman" w:hAnsi="Times New Roman" w:cs="Times New Roman"/>
        </w:rPr>
        <w:t>[2016] ZASCA 176 paras 16-17.</w:t>
      </w:r>
    </w:p>
  </w:footnote>
  <w:footnote w:id="8">
    <w:p w14:paraId="754AF183" w14:textId="5B709499" w:rsidR="00CF1338" w:rsidRPr="00D060A9" w:rsidRDefault="00CF1338" w:rsidP="005D5D86">
      <w:pPr>
        <w:pStyle w:val="FootnoteText"/>
        <w:jc w:val="both"/>
        <w:rPr>
          <w:rFonts w:ascii="Times New Roman" w:hAnsi="Times New Roman" w:cs="Times New Roman"/>
        </w:rPr>
      </w:pPr>
      <w:r>
        <w:rPr>
          <w:rStyle w:val="FootnoteReference"/>
        </w:rPr>
        <w:footnoteRef/>
      </w:r>
      <w:r>
        <w:t xml:space="preserve"> </w:t>
      </w:r>
      <w:r w:rsidRPr="00F86773">
        <w:rPr>
          <w:rFonts w:ascii="Times New Roman" w:hAnsi="Times New Roman" w:cs="Times New Roman"/>
          <w:i/>
        </w:rPr>
        <w:t xml:space="preserve">Cook v </w:t>
      </w:r>
      <w:r w:rsidRPr="004F4474">
        <w:rPr>
          <w:rFonts w:ascii="Times New Roman" w:hAnsi="Times New Roman" w:cs="Times New Roman"/>
          <w:i/>
        </w:rPr>
        <w:t>Morrison</w:t>
      </w:r>
      <w:r>
        <w:rPr>
          <w:rFonts w:ascii="Times New Roman" w:hAnsi="Times New Roman" w:cs="Times New Roman"/>
        </w:rPr>
        <w:t xml:space="preserve"> </w:t>
      </w:r>
      <w:r w:rsidRPr="00D060A9">
        <w:rPr>
          <w:rFonts w:ascii="Times New Roman" w:hAnsi="Times New Roman" w:cs="Times New Roman"/>
        </w:rPr>
        <w:t xml:space="preserve">op </w:t>
      </w:r>
      <w:proofErr w:type="spellStart"/>
      <w:r w:rsidRPr="00D060A9">
        <w:rPr>
          <w:rFonts w:ascii="Times New Roman" w:hAnsi="Times New Roman" w:cs="Times New Roman"/>
        </w:rPr>
        <w:t>cit</w:t>
      </w:r>
      <w:proofErr w:type="spellEnd"/>
      <w:r>
        <w:rPr>
          <w:rFonts w:ascii="Times New Roman" w:hAnsi="Times New Roman" w:cs="Times New Roman"/>
        </w:rPr>
        <w:t xml:space="preserve">, </w:t>
      </w:r>
      <w:r w:rsidRPr="00D060A9">
        <w:rPr>
          <w:rFonts w:ascii="Times New Roman" w:hAnsi="Times New Roman" w:cs="Times New Roman"/>
        </w:rPr>
        <w:t>para</w:t>
      </w:r>
      <w:r w:rsidRPr="00CE4807">
        <w:rPr>
          <w:rFonts w:ascii="Times New Roman" w:hAnsi="Times New Roman" w:cs="Times New Roman"/>
        </w:rPr>
        <w:t xml:space="preserve"> 8.</w:t>
      </w:r>
    </w:p>
  </w:footnote>
  <w:footnote w:id="9">
    <w:p w14:paraId="427DA84A" w14:textId="1CF7E789" w:rsidR="00DC6A6F" w:rsidRPr="00DC6A6F" w:rsidRDefault="00DC6A6F" w:rsidP="00DC6A6F">
      <w:pPr>
        <w:pStyle w:val="FootnoteText"/>
        <w:jc w:val="both"/>
        <w:rPr>
          <w:rFonts w:ascii="Times New Roman" w:hAnsi="Times New Roman" w:cs="Times New Roman"/>
        </w:rPr>
      </w:pPr>
      <w:r w:rsidRPr="00DC6A6F">
        <w:rPr>
          <w:rStyle w:val="FootnoteReference"/>
          <w:rFonts w:ascii="Times New Roman" w:hAnsi="Times New Roman" w:cs="Times New Roman"/>
        </w:rPr>
        <w:footnoteRef/>
      </w:r>
      <w:r w:rsidRPr="00DC6A6F">
        <w:rPr>
          <w:rFonts w:ascii="Times New Roman" w:hAnsi="Times New Roman" w:cs="Times New Roman"/>
        </w:rPr>
        <w:t xml:space="preserve"> Clause 17 of the loan agreement.</w:t>
      </w:r>
    </w:p>
  </w:footnote>
  <w:footnote w:id="10">
    <w:p w14:paraId="44092EB3" w14:textId="3CACFCC2" w:rsidR="00CF1338" w:rsidRPr="00DC6A6F" w:rsidRDefault="00CF1338" w:rsidP="00DC6A6F">
      <w:pPr>
        <w:pStyle w:val="FootnoteText"/>
        <w:jc w:val="both"/>
        <w:rPr>
          <w:rFonts w:ascii="Times New Roman" w:hAnsi="Times New Roman" w:cs="Times New Roman"/>
        </w:rPr>
      </w:pPr>
      <w:r w:rsidRPr="00DC6A6F">
        <w:rPr>
          <w:rStyle w:val="FootnoteReference"/>
          <w:rFonts w:ascii="Times New Roman" w:hAnsi="Times New Roman" w:cs="Times New Roman"/>
        </w:rPr>
        <w:footnoteRef/>
      </w:r>
      <w:r w:rsidRPr="00DC6A6F">
        <w:rPr>
          <w:rFonts w:ascii="Times New Roman" w:hAnsi="Times New Roman" w:cs="Times New Roman"/>
        </w:rPr>
        <w:t xml:space="preserve"> Clause 17 of the loan agreement.</w:t>
      </w:r>
    </w:p>
  </w:footnote>
  <w:footnote w:id="11">
    <w:p w14:paraId="12086001" w14:textId="7AF36C2A" w:rsidR="00CF1338" w:rsidRPr="00DC6A6F" w:rsidRDefault="00CF1338" w:rsidP="00DC6A6F">
      <w:pPr>
        <w:pStyle w:val="FootnoteText"/>
        <w:jc w:val="both"/>
        <w:rPr>
          <w:rFonts w:ascii="Times New Roman" w:hAnsi="Times New Roman" w:cs="Times New Roman"/>
        </w:rPr>
      </w:pPr>
      <w:r w:rsidRPr="00DC6A6F">
        <w:rPr>
          <w:rStyle w:val="FootnoteReference"/>
          <w:rFonts w:ascii="Times New Roman" w:hAnsi="Times New Roman" w:cs="Times New Roman"/>
        </w:rPr>
        <w:footnoteRef/>
      </w:r>
      <w:r w:rsidRPr="00DC6A6F">
        <w:rPr>
          <w:rFonts w:ascii="Times New Roman" w:hAnsi="Times New Roman" w:cs="Times New Roman"/>
        </w:rPr>
        <w:t xml:space="preserve"> Provincial Gazette Extraordinary, 23 May 2005, Notice 1857 of 2005.</w:t>
      </w:r>
    </w:p>
  </w:footnote>
  <w:footnote w:id="12">
    <w:p w14:paraId="32CED477" w14:textId="7C4465B6" w:rsidR="00CF1338" w:rsidRPr="00EC3EBE" w:rsidRDefault="00CF1338" w:rsidP="00EC3EBE">
      <w:pPr>
        <w:spacing w:line="240" w:lineRule="auto"/>
        <w:rPr>
          <w:color w:val="64473A"/>
          <w:sz w:val="20"/>
          <w:szCs w:val="20"/>
        </w:rPr>
      </w:pPr>
      <w:r w:rsidRPr="00EC3EBE">
        <w:rPr>
          <w:rStyle w:val="FootnoteReference"/>
          <w:sz w:val="20"/>
          <w:szCs w:val="20"/>
        </w:rPr>
        <w:footnoteRef/>
      </w:r>
      <w:r w:rsidRPr="00EC3EBE">
        <w:rPr>
          <w:sz w:val="20"/>
          <w:szCs w:val="20"/>
        </w:rPr>
        <w:t xml:space="preserve"> </w:t>
      </w:r>
      <w:proofErr w:type="spellStart"/>
      <w:r w:rsidRPr="00EC3EBE">
        <w:rPr>
          <w:bCs/>
          <w:i/>
          <w:sz w:val="20"/>
          <w:szCs w:val="20"/>
        </w:rPr>
        <w:t>Mkontwana</w:t>
      </w:r>
      <w:proofErr w:type="spellEnd"/>
      <w:r w:rsidRPr="00EC3EBE">
        <w:rPr>
          <w:bCs/>
          <w:i/>
          <w:sz w:val="20"/>
          <w:szCs w:val="20"/>
        </w:rPr>
        <w:t xml:space="preserve"> v Nelson Mandela Metropolitan Municipality</w:t>
      </w:r>
      <w:r w:rsidRPr="00EC3EBE">
        <w:rPr>
          <w:bCs/>
          <w:sz w:val="20"/>
          <w:szCs w:val="20"/>
        </w:rPr>
        <w:t xml:space="preserve"> [2004] ZACC 9; 2005 (1) SA 530 (CC); 2005 (2) BCLR 150 (CC).</w:t>
      </w:r>
    </w:p>
  </w:footnote>
  <w:footnote w:id="13">
    <w:p w14:paraId="5559A913" w14:textId="5B835408" w:rsidR="00CF1338" w:rsidRPr="00EC3EBE" w:rsidRDefault="00CF1338" w:rsidP="00EC3EBE">
      <w:pPr>
        <w:pStyle w:val="FootnoteText"/>
        <w:jc w:val="both"/>
        <w:rPr>
          <w:rFonts w:ascii="Times New Roman" w:hAnsi="Times New Roman" w:cs="Times New Roman"/>
        </w:rPr>
      </w:pPr>
      <w:r w:rsidRPr="00EC3EBE">
        <w:rPr>
          <w:rStyle w:val="FootnoteReference"/>
          <w:rFonts w:ascii="Times New Roman" w:hAnsi="Times New Roman" w:cs="Times New Roman"/>
        </w:rPr>
        <w:footnoteRef/>
      </w:r>
      <w:r w:rsidRPr="00EC3EBE">
        <w:rPr>
          <w:rFonts w:ascii="Times New Roman" w:hAnsi="Times New Roman" w:cs="Times New Roman"/>
        </w:rPr>
        <w:t xml:space="preserve"> Ibid para 38.</w:t>
      </w:r>
    </w:p>
  </w:footnote>
  <w:footnote w:id="14">
    <w:p w14:paraId="1EFFA61D" w14:textId="6985CD76" w:rsidR="00CF1338" w:rsidRDefault="00CF1338" w:rsidP="00EC3EBE">
      <w:pPr>
        <w:pStyle w:val="FootnoteText"/>
        <w:jc w:val="both"/>
      </w:pPr>
      <w:r w:rsidRPr="00EC3EBE">
        <w:rPr>
          <w:rStyle w:val="FootnoteReference"/>
          <w:rFonts w:ascii="Times New Roman" w:hAnsi="Times New Roman" w:cs="Times New Roman"/>
        </w:rPr>
        <w:footnoteRef/>
      </w:r>
      <w:r w:rsidRPr="00EC3EBE">
        <w:rPr>
          <w:rFonts w:ascii="Times New Roman" w:hAnsi="Times New Roman" w:cs="Times New Roman"/>
        </w:rPr>
        <w:t xml:space="preserve"> Ibid para 49.</w:t>
      </w:r>
    </w:p>
  </w:footnote>
  <w:footnote w:id="15">
    <w:p w14:paraId="739CB59E" w14:textId="0908F7B3" w:rsidR="00CF1338" w:rsidRPr="00CE2992" w:rsidRDefault="00CF1338" w:rsidP="00CE2992">
      <w:pPr>
        <w:pStyle w:val="Heading2"/>
        <w:shd w:val="clear" w:color="auto" w:fill="FFFFFF"/>
        <w:spacing w:before="0" w:line="240" w:lineRule="auto"/>
        <w:rPr>
          <w:rFonts w:ascii="Times New Roman" w:hAnsi="Times New Roman" w:cs="Times New Roman"/>
          <w:color w:val="auto"/>
          <w:sz w:val="20"/>
          <w:szCs w:val="20"/>
        </w:rPr>
      </w:pPr>
      <w:r w:rsidRPr="00CE2992">
        <w:rPr>
          <w:rStyle w:val="FootnoteReference"/>
          <w:rFonts w:ascii="Times New Roman" w:hAnsi="Times New Roman" w:cs="Times New Roman"/>
          <w:color w:val="auto"/>
          <w:sz w:val="20"/>
          <w:szCs w:val="20"/>
        </w:rPr>
        <w:footnoteRef/>
      </w:r>
      <w:r w:rsidRPr="00CE2992">
        <w:rPr>
          <w:rFonts w:ascii="Times New Roman" w:hAnsi="Times New Roman" w:cs="Times New Roman"/>
          <w:color w:val="auto"/>
          <w:sz w:val="20"/>
          <w:szCs w:val="20"/>
        </w:rPr>
        <w:t xml:space="preserve"> </w:t>
      </w:r>
      <w:r w:rsidRPr="00824E1B">
        <w:rPr>
          <w:rFonts w:ascii="Times New Roman" w:hAnsi="Times New Roman" w:cs="Times New Roman"/>
          <w:bCs/>
          <w:i/>
          <w:color w:val="auto"/>
          <w:sz w:val="20"/>
          <w:szCs w:val="20"/>
        </w:rPr>
        <w:t xml:space="preserve">Body Corporate </w:t>
      </w:r>
      <w:proofErr w:type="spellStart"/>
      <w:r w:rsidRPr="00824E1B">
        <w:rPr>
          <w:rFonts w:ascii="Times New Roman" w:hAnsi="Times New Roman" w:cs="Times New Roman"/>
          <w:bCs/>
          <w:i/>
          <w:color w:val="auto"/>
          <w:sz w:val="20"/>
          <w:szCs w:val="20"/>
        </w:rPr>
        <w:t>Croftdene</w:t>
      </w:r>
      <w:proofErr w:type="spellEnd"/>
      <w:r w:rsidRPr="00824E1B">
        <w:rPr>
          <w:rFonts w:ascii="Times New Roman" w:hAnsi="Times New Roman" w:cs="Times New Roman"/>
          <w:bCs/>
          <w:i/>
          <w:color w:val="auto"/>
          <w:sz w:val="20"/>
          <w:szCs w:val="20"/>
        </w:rPr>
        <w:t xml:space="preserve"> Mall v </w:t>
      </w:r>
      <w:proofErr w:type="spellStart"/>
      <w:r w:rsidRPr="00824E1B">
        <w:rPr>
          <w:rFonts w:ascii="Times New Roman" w:hAnsi="Times New Roman" w:cs="Times New Roman"/>
          <w:bCs/>
          <w:i/>
          <w:color w:val="auto"/>
          <w:sz w:val="20"/>
          <w:szCs w:val="20"/>
        </w:rPr>
        <w:t>Ethekwini</w:t>
      </w:r>
      <w:proofErr w:type="spellEnd"/>
      <w:r w:rsidRPr="00824E1B">
        <w:rPr>
          <w:rFonts w:ascii="Times New Roman" w:hAnsi="Times New Roman" w:cs="Times New Roman"/>
          <w:bCs/>
          <w:i/>
          <w:color w:val="auto"/>
          <w:sz w:val="20"/>
          <w:szCs w:val="20"/>
        </w:rPr>
        <w:t xml:space="preserve"> Municipality</w:t>
      </w:r>
      <w:r w:rsidRPr="00CE2992">
        <w:rPr>
          <w:rFonts w:ascii="Times New Roman" w:hAnsi="Times New Roman" w:cs="Times New Roman"/>
          <w:bCs/>
          <w:color w:val="auto"/>
          <w:sz w:val="20"/>
          <w:szCs w:val="20"/>
        </w:rPr>
        <w:t xml:space="preserve"> [2011] ZASCA 188; [2012] 1 All SA 1 (SCA); 2012 (4) SA 169 (SCA)</w:t>
      </w:r>
      <w:r>
        <w:rPr>
          <w:rFonts w:ascii="Times New Roman" w:hAnsi="Times New Roman" w:cs="Times New Roman"/>
          <w:bCs/>
          <w:color w:val="auto"/>
          <w:sz w:val="20"/>
          <w:szCs w:val="20"/>
        </w:rPr>
        <w:t xml:space="preserve"> paras 22 and 23.</w:t>
      </w:r>
    </w:p>
  </w:footnote>
  <w:footnote w:id="16">
    <w:p w14:paraId="6F7BA50F" w14:textId="6707B092" w:rsidR="00CF1338" w:rsidRPr="00D9365F" w:rsidRDefault="00CF1338" w:rsidP="00CA5DB8">
      <w:pPr>
        <w:pStyle w:val="FootnoteText"/>
        <w:jc w:val="both"/>
        <w:rPr>
          <w:rFonts w:ascii="Times New Roman" w:hAnsi="Times New Roman" w:cs="Times New Roman"/>
        </w:rPr>
      </w:pPr>
      <w:r w:rsidRPr="00D9365F">
        <w:rPr>
          <w:rStyle w:val="FootnoteReference"/>
          <w:rFonts w:ascii="Times New Roman" w:hAnsi="Times New Roman" w:cs="Times New Roman"/>
        </w:rPr>
        <w:footnoteRef/>
      </w:r>
      <w:r w:rsidRPr="00D9365F">
        <w:rPr>
          <w:rFonts w:ascii="Times New Roman" w:hAnsi="Times New Roman" w:cs="Times New Roman"/>
        </w:rPr>
        <w:t xml:space="preserve"> </w:t>
      </w:r>
      <w:r w:rsidRPr="00D9365F">
        <w:rPr>
          <w:rFonts w:ascii="Times New Roman" w:hAnsi="Times New Roman" w:cs="Times New Roman"/>
          <w:bCs/>
          <w:i/>
        </w:rPr>
        <w:t xml:space="preserve">A B and Another v </w:t>
      </w:r>
      <w:proofErr w:type="spellStart"/>
      <w:r w:rsidRPr="00D9365F">
        <w:rPr>
          <w:rFonts w:ascii="Times New Roman" w:hAnsi="Times New Roman" w:cs="Times New Roman"/>
          <w:bCs/>
          <w:i/>
        </w:rPr>
        <w:t>Pridwin</w:t>
      </w:r>
      <w:proofErr w:type="spellEnd"/>
      <w:r w:rsidRPr="00D9365F">
        <w:rPr>
          <w:rFonts w:ascii="Times New Roman" w:hAnsi="Times New Roman" w:cs="Times New Roman"/>
          <w:bCs/>
          <w:i/>
        </w:rPr>
        <w:t xml:space="preserve"> Preparatory School and Others</w:t>
      </w:r>
      <w:r w:rsidRPr="00D9365F">
        <w:rPr>
          <w:rFonts w:ascii="Times New Roman" w:hAnsi="Times New Roman" w:cs="Times New Roman"/>
          <w:bCs/>
        </w:rPr>
        <w:t xml:space="preserve"> [2018] ZASCA 150; [2019] 1 All SA 1 (SCA); 2019 (1) SA 327</w:t>
      </w:r>
      <w:r w:rsidR="00CA5DB8">
        <w:rPr>
          <w:rFonts w:ascii="Times New Roman" w:hAnsi="Times New Roman" w:cs="Times New Roman"/>
          <w:bCs/>
        </w:rPr>
        <w:t xml:space="preserve"> (SCA); 2019 (8) BCLR 1006 (SCA</w:t>
      </w:r>
      <w:r w:rsidR="001313EB">
        <w:rPr>
          <w:rFonts w:ascii="Times New Roman" w:hAnsi="Times New Roman" w:cs="Times New Roman"/>
          <w:bCs/>
        </w:rPr>
        <w:t>)</w:t>
      </w:r>
      <w:r>
        <w:rPr>
          <w:rFonts w:ascii="Times New Roman" w:hAnsi="Times New Roman" w:cs="Times New Roman"/>
          <w:bCs/>
        </w:rPr>
        <w:t>.</w:t>
      </w:r>
    </w:p>
  </w:footnote>
  <w:footnote w:id="17">
    <w:p w14:paraId="4282FEB5" w14:textId="7121D368" w:rsidR="00CF1338" w:rsidRPr="00CA5DB8" w:rsidRDefault="00CF1338" w:rsidP="00CA5DB8">
      <w:pPr>
        <w:pStyle w:val="FootnoteText"/>
        <w:jc w:val="both"/>
        <w:rPr>
          <w:rFonts w:ascii="Times New Roman" w:hAnsi="Times New Roman" w:cs="Times New Roman"/>
        </w:rPr>
      </w:pPr>
      <w:r w:rsidRPr="00CA5DB8">
        <w:rPr>
          <w:rStyle w:val="FootnoteReference"/>
          <w:rFonts w:ascii="Times New Roman" w:hAnsi="Times New Roman" w:cs="Times New Roman"/>
        </w:rPr>
        <w:footnoteRef/>
      </w:r>
      <w:r w:rsidRPr="00CA5DB8">
        <w:rPr>
          <w:rFonts w:ascii="Times New Roman" w:hAnsi="Times New Roman" w:cs="Times New Roman"/>
        </w:rPr>
        <w:t xml:space="preserve"> </w:t>
      </w:r>
      <w:r w:rsidR="00CA5DB8">
        <w:rPr>
          <w:rFonts w:ascii="Times New Roman" w:hAnsi="Times New Roman" w:cs="Times New Roman"/>
          <w:bCs/>
        </w:rPr>
        <w:t xml:space="preserve">Ibid para 27; </w:t>
      </w:r>
      <w:r w:rsidRPr="00CA5DB8">
        <w:rPr>
          <w:rFonts w:ascii="Times New Roman" w:hAnsi="Times New Roman" w:cs="Times New Roman"/>
          <w:bCs/>
        </w:rPr>
        <w:t xml:space="preserve">See also </w:t>
      </w:r>
      <w:proofErr w:type="spellStart"/>
      <w:r w:rsidRPr="00CA5DB8">
        <w:rPr>
          <w:rFonts w:ascii="Times New Roman" w:hAnsi="Times New Roman" w:cs="Times New Roman"/>
          <w:bCs/>
          <w:i/>
        </w:rPr>
        <w:t>Sasfin</w:t>
      </w:r>
      <w:proofErr w:type="spellEnd"/>
      <w:r w:rsidRPr="00CA5DB8">
        <w:rPr>
          <w:rFonts w:ascii="Times New Roman" w:hAnsi="Times New Roman" w:cs="Times New Roman"/>
          <w:bCs/>
          <w:i/>
        </w:rPr>
        <w:t xml:space="preserve"> (Pty) Ltd v </w:t>
      </w:r>
      <w:proofErr w:type="spellStart"/>
      <w:r w:rsidRPr="00CA5DB8">
        <w:rPr>
          <w:rFonts w:ascii="Times New Roman" w:hAnsi="Times New Roman" w:cs="Times New Roman"/>
          <w:bCs/>
          <w:i/>
        </w:rPr>
        <w:t>Beukes</w:t>
      </w:r>
      <w:proofErr w:type="spellEnd"/>
      <w:r w:rsidRPr="00CA5DB8">
        <w:rPr>
          <w:rFonts w:ascii="Times New Roman" w:hAnsi="Times New Roman" w:cs="Times New Roman"/>
          <w:bCs/>
        </w:rPr>
        <w:t xml:space="preserve"> 1989 (1) SA 1 (A) at 9A-C.</w:t>
      </w:r>
    </w:p>
  </w:footnote>
  <w:footnote w:id="18">
    <w:p w14:paraId="12B4F8B9" w14:textId="12F6AB65" w:rsidR="00CF1338" w:rsidRDefault="00CF1338" w:rsidP="007B2C8F">
      <w:pPr>
        <w:pStyle w:val="FootnoteText"/>
        <w:jc w:val="both"/>
      </w:pPr>
      <w:r w:rsidRPr="007B2C8F">
        <w:rPr>
          <w:rStyle w:val="FootnoteReference"/>
          <w:rFonts w:ascii="Times New Roman" w:hAnsi="Times New Roman" w:cs="Times New Roman"/>
        </w:rPr>
        <w:footnoteRef/>
      </w:r>
      <w:r w:rsidRPr="007B2C8F">
        <w:rPr>
          <w:rFonts w:ascii="Times New Roman" w:hAnsi="Times New Roman" w:cs="Times New Roman"/>
        </w:rPr>
        <w:t xml:space="preserve"> </w:t>
      </w:r>
      <w:proofErr w:type="spellStart"/>
      <w:r w:rsidRPr="007B2C8F">
        <w:rPr>
          <w:rFonts w:ascii="Times New Roman" w:hAnsi="Times New Roman" w:cs="Times New Roman"/>
          <w:bCs/>
          <w:i/>
        </w:rPr>
        <w:t>Barkhuizen</w:t>
      </w:r>
      <w:proofErr w:type="spellEnd"/>
      <w:r w:rsidRPr="007B2C8F">
        <w:rPr>
          <w:rFonts w:ascii="Times New Roman" w:hAnsi="Times New Roman" w:cs="Times New Roman"/>
          <w:bCs/>
          <w:i/>
        </w:rPr>
        <w:t xml:space="preserve"> v Napier</w:t>
      </w:r>
      <w:r w:rsidRPr="007B2C8F">
        <w:rPr>
          <w:rFonts w:ascii="Times New Roman" w:hAnsi="Times New Roman" w:cs="Times New Roman"/>
          <w:bCs/>
        </w:rPr>
        <w:t xml:space="preserve"> [2007] ZACC 5; 2007 (5) SA 323 (CC); 2007 (7) BCLR 691 (CC)</w:t>
      </w:r>
      <w:r w:rsidR="00CA5DB8">
        <w:rPr>
          <w:rFonts w:ascii="Times New Roman" w:hAnsi="Times New Roman" w:cs="Times New Roman"/>
          <w:bCs/>
        </w:rPr>
        <w:t xml:space="preserve"> para 82.</w:t>
      </w:r>
    </w:p>
  </w:footnote>
  <w:footnote w:id="19">
    <w:p w14:paraId="7499372F" w14:textId="1A149808" w:rsidR="002221FB" w:rsidRPr="002463CC" w:rsidRDefault="002221FB" w:rsidP="002463CC">
      <w:pPr>
        <w:pStyle w:val="FootnoteText"/>
        <w:jc w:val="both"/>
        <w:rPr>
          <w:rFonts w:ascii="Times New Roman" w:hAnsi="Times New Roman" w:cs="Times New Roman"/>
        </w:rPr>
      </w:pPr>
      <w:r w:rsidRPr="002463CC">
        <w:rPr>
          <w:rStyle w:val="FootnoteReference"/>
          <w:rFonts w:ascii="Times New Roman" w:hAnsi="Times New Roman" w:cs="Times New Roman"/>
        </w:rPr>
        <w:footnoteRef/>
      </w:r>
      <w:r w:rsidRPr="002463CC">
        <w:rPr>
          <w:rFonts w:ascii="Times New Roman" w:hAnsi="Times New Roman" w:cs="Times New Roman"/>
        </w:rPr>
        <w:t xml:space="preserve"> Ibid para 51.</w:t>
      </w:r>
    </w:p>
  </w:footnote>
  <w:footnote w:id="20">
    <w:p w14:paraId="3AF37FFE" w14:textId="1638FE7F" w:rsidR="002221FB" w:rsidRPr="002463CC" w:rsidRDefault="002221FB" w:rsidP="002463CC">
      <w:pPr>
        <w:pStyle w:val="FootnoteText"/>
        <w:jc w:val="both"/>
        <w:rPr>
          <w:rFonts w:ascii="Times New Roman" w:hAnsi="Times New Roman" w:cs="Times New Roman"/>
        </w:rPr>
      </w:pPr>
      <w:r w:rsidRPr="002463CC">
        <w:rPr>
          <w:rStyle w:val="FootnoteReference"/>
          <w:rFonts w:ascii="Times New Roman" w:hAnsi="Times New Roman" w:cs="Times New Roman"/>
        </w:rPr>
        <w:footnoteRef/>
      </w:r>
      <w:r w:rsidRPr="002463CC">
        <w:rPr>
          <w:rFonts w:ascii="Times New Roman" w:hAnsi="Times New Roman" w:cs="Times New Roman"/>
        </w:rPr>
        <w:t xml:space="preserve"> Ibid para 87. See also R H Christie and G B Bradfield </w:t>
      </w:r>
      <w:r w:rsidRPr="002463CC">
        <w:rPr>
          <w:rFonts w:ascii="Times New Roman" w:hAnsi="Times New Roman" w:cs="Times New Roman"/>
          <w:i/>
        </w:rPr>
        <w:t>Christie’s The Law of Contract in South Africa</w:t>
      </w:r>
      <w:r w:rsidR="00D67468" w:rsidRPr="002463CC">
        <w:rPr>
          <w:rFonts w:ascii="Times New Roman" w:hAnsi="Times New Roman" w:cs="Times New Roman"/>
          <w:i/>
        </w:rPr>
        <w:t xml:space="preserve"> </w:t>
      </w:r>
      <w:r w:rsidR="00D67468" w:rsidRPr="002463CC">
        <w:rPr>
          <w:rFonts w:ascii="Times New Roman" w:hAnsi="Times New Roman" w:cs="Times New Roman"/>
        </w:rPr>
        <w:t xml:space="preserve">8 </w:t>
      </w:r>
      <w:proofErr w:type="spellStart"/>
      <w:proofErr w:type="gramStart"/>
      <w:r w:rsidR="00D67468" w:rsidRPr="002463CC">
        <w:rPr>
          <w:rFonts w:ascii="Times New Roman" w:hAnsi="Times New Roman" w:cs="Times New Roman"/>
        </w:rPr>
        <w:t>ed</w:t>
      </w:r>
      <w:proofErr w:type="spellEnd"/>
      <w:proofErr w:type="gramEnd"/>
      <w:r w:rsidR="00D67468" w:rsidRPr="002463CC">
        <w:rPr>
          <w:rFonts w:ascii="Times New Roman" w:hAnsi="Times New Roman" w:cs="Times New Roman"/>
        </w:rPr>
        <w:t xml:space="preserve"> (2022) at 25</w:t>
      </w:r>
      <w:r w:rsidR="003F7C80">
        <w:rPr>
          <w:rFonts w:ascii="Times New Roman" w:hAnsi="Times New Roman" w:cs="Times New Roman"/>
        </w:rPr>
        <w:t xml:space="preserve"> (Christie)</w:t>
      </w:r>
      <w:r w:rsidR="00D67468" w:rsidRPr="002463CC">
        <w:rPr>
          <w:rFonts w:ascii="Times New Roman" w:hAnsi="Times New Roman" w:cs="Times New Roman"/>
        </w:rPr>
        <w:t>.</w:t>
      </w:r>
      <w:r w:rsidRPr="002463CC">
        <w:rPr>
          <w:rFonts w:ascii="Times New Roman" w:hAnsi="Times New Roman" w:cs="Times New Roman"/>
          <w:i/>
        </w:rPr>
        <w:t xml:space="preserve"> </w:t>
      </w:r>
    </w:p>
  </w:footnote>
  <w:footnote w:id="21">
    <w:p w14:paraId="56A621BC" w14:textId="2685465B" w:rsidR="002221FB" w:rsidRPr="002463CC" w:rsidRDefault="002221FB" w:rsidP="002463CC">
      <w:pPr>
        <w:pStyle w:val="FootnoteText"/>
        <w:jc w:val="both"/>
        <w:rPr>
          <w:rFonts w:ascii="Times New Roman" w:hAnsi="Times New Roman" w:cs="Times New Roman"/>
        </w:rPr>
      </w:pPr>
      <w:r w:rsidRPr="002463CC">
        <w:rPr>
          <w:rStyle w:val="FootnoteReference"/>
          <w:rFonts w:ascii="Times New Roman" w:hAnsi="Times New Roman" w:cs="Times New Roman"/>
        </w:rPr>
        <w:footnoteRef/>
      </w:r>
      <w:r w:rsidRPr="002463CC">
        <w:rPr>
          <w:rFonts w:ascii="Times New Roman" w:hAnsi="Times New Roman" w:cs="Times New Roman"/>
        </w:rPr>
        <w:t xml:space="preserve"> Ibid para 57.</w:t>
      </w:r>
    </w:p>
  </w:footnote>
  <w:footnote w:id="22">
    <w:p w14:paraId="7DCEF955" w14:textId="29AE9201" w:rsidR="00CF1338" w:rsidRPr="00B15220" w:rsidRDefault="00CF1338" w:rsidP="00B15220">
      <w:pPr>
        <w:pStyle w:val="FootnoteText"/>
        <w:jc w:val="both"/>
        <w:rPr>
          <w:rFonts w:ascii="Times New Roman" w:hAnsi="Times New Roman" w:cs="Times New Roman"/>
        </w:rPr>
      </w:pPr>
      <w:r w:rsidRPr="00B15220">
        <w:rPr>
          <w:rStyle w:val="FootnoteReference"/>
          <w:rFonts w:ascii="Times New Roman" w:hAnsi="Times New Roman" w:cs="Times New Roman"/>
        </w:rPr>
        <w:footnoteRef/>
      </w:r>
      <w:r w:rsidRPr="00B15220">
        <w:rPr>
          <w:rFonts w:ascii="Times New Roman" w:hAnsi="Times New Roman" w:cs="Times New Roman"/>
        </w:rPr>
        <w:t xml:space="preserve"> </w:t>
      </w:r>
      <w:proofErr w:type="spellStart"/>
      <w:r w:rsidRPr="00B15220">
        <w:rPr>
          <w:rFonts w:ascii="Times New Roman" w:hAnsi="Times New Roman" w:cs="Times New Roman"/>
          <w:bCs/>
          <w:i/>
        </w:rPr>
        <w:t>Bredenkamp</w:t>
      </w:r>
      <w:proofErr w:type="spellEnd"/>
      <w:r w:rsidRPr="00B15220">
        <w:rPr>
          <w:rFonts w:ascii="Times New Roman" w:hAnsi="Times New Roman" w:cs="Times New Roman"/>
          <w:bCs/>
          <w:i/>
        </w:rPr>
        <w:t xml:space="preserve"> and </w:t>
      </w:r>
      <w:proofErr w:type="gramStart"/>
      <w:r w:rsidRPr="00B15220">
        <w:rPr>
          <w:rFonts w:ascii="Times New Roman" w:hAnsi="Times New Roman" w:cs="Times New Roman"/>
          <w:bCs/>
          <w:i/>
        </w:rPr>
        <w:t>Others</w:t>
      </w:r>
      <w:proofErr w:type="gramEnd"/>
      <w:r w:rsidRPr="00B15220">
        <w:rPr>
          <w:rFonts w:ascii="Times New Roman" w:hAnsi="Times New Roman" w:cs="Times New Roman"/>
          <w:bCs/>
          <w:i/>
        </w:rPr>
        <w:t xml:space="preserve"> v Standard Bank of SA Ltd</w:t>
      </w:r>
      <w:r w:rsidRPr="00B15220">
        <w:rPr>
          <w:rFonts w:ascii="Times New Roman" w:hAnsi="Times New Roman" w:cs="Times New Roman"/>
          <w:bCs/>
        </w:rPr>
        <w:t xml:space="preserve"> [2010] ZASCA 75; 2010 (4) SA 468 (SCA); 2010 (9) BCLR 892 (SCA); [2010] 4 All SA 113 (SCA)</w:t>
      </w:r>
      <w:r>
        <w:rPr>
          <w:rFonts w:ascii="Times New Roman" w:hAnsi="Times New Roman" w:cs="Times New Roman"/>
          <w:bCs/>
        </w:rPr>
        <w:t xml:space="preserve"> para </w:t>
      </w:r>
      <w:r w:rsidR="00CA5DB8">
        <w:rPr>
          <w:rFonts w:ascii="Times New Roman" w:hAnsi="Times New Roman" w:cs="Times New Roman"/>
          <w:bCs/>
        </w:rPr>
        <w:t>1</w:t>
      </w:r>
      <w:r>
        <w:rPr>
          <w:rFonts w:ascii="Times New Roman" w:hAnsi="Times New Roman" w:cs="Times New Roman"/>
          <w:bCs/>
        </w:rPr>
        <w:t>.</w:t>
      </w:r>
    </w:p>
  </w:footnote>
  <w:footnote w:id="23">
    <w:p w14:paraId="6A1F2234" w14:textId="5C960419" w:rsidR="00CF1338" w:rsidRPr="004575F8" w:rsidRDefault="00CF1338" w:rsidP="004575F8">
      <w:pPr>
        <w:pStyle w:val="FootnoteText"/>
        <w:jc w:val="both"/>
        <w:rPr>
          <w:rFonts w:ascii="Times New Roman" w:hAnsi="Times New Roman" w:cs="Times New Roman"/>
        </w:rPr>
      </w:pPr>
      <w:r w:rsidRPr="004575F8">
        <w:rPr>
          <w:rStyle w:val="FootnoteReference"/>
          <w:rFonts w:ascii="Times New Roman" w:hAnsi="Times New Roman" w:cs="Times New Roman"/>
        </w:rPr>
        <w:footnoteRef/>
      </w:r>
      <w:r w:rsidRPr="004575F8">
        <w:rPr>
          <w:rFonts w:ascii="Times New Roman" w:hAnsi="Times New Roman" w:cs="Times New Roman"/>
        </w:rPr>
        <w:t xml:space="preserve"> </w:t>
      </w:r>
      <w:proofErr w:type="spellStart"/>
      <w:r w:rsidRPr="004575F8">
        <w:rPr>
          <w:rFonts w:ascii="Times New Roman" w:hAnsi="Times New Roman" w:cs="Times New Roman"/>
          <w:bCs/>
          <w:i/>
        </w:rPr>
        <w:t>Beadica</w:t>
      </w:r>
      <w:proofErr w:type="spellEnd"/>
      <w:r w:rsidRPr="004575F8">
        <w:rPr>
          <w:rFonts w:ascii="Times New Roman" w:hAnsi="Times New Roman" w:cs="Times New Roman"/>
          <w:bCs/>
          <w:i/>
        </w:rPr>
        <w:t xml:space="preserve"> 231 CC and Others v Trustees for the time being of the Oregon Trust and Others</w:t>
      </w:r>
      <w:r w:rsidRPr="004575F8">
        <w:rPr>
          <w:rFonts w:ascii="Times New Roman" w:hAnsi="Times New Roman" w:cs="Times New Roman"/>
          <w:bCs/>
        </w:rPr>
        <w:t xml:space="preserve"> [2020] ZACC 13; 2020 (5) SA 247 (CC); 2020 (9) BCLR 1098 (CC)</w:t>
      </w:r>
      <w:r>
        <w:rPr>
          <w:rFonts w:ascii="Times New Roman" w:hAnsi="Times New Roman" w:cs="Times New Roman"/>
          <w:bCs/>
        </w:rPr>
        <w:t xml:space="preserve"> para </w:t>
      </w:r>
      <w:r w:rsidR="0092554A">
        <w:rPr>
          <w:rFonts w:ascii="Times New Roman" w:hAnsi="Times New Roman" w:cs="Times New Roman"/>
          <w:bCs/>
        </w:rPr>
        <w:t>58</w:t>
      </w:r>
      <w:r>
        <w:rPr>
          <w:rFonts w:ascii="Times New Roman" w:hAnsi="Times New Roman" w:cs="Times New Roman"/>
          <w:bCs/>
        </w:rPr>
        <w:t>.</w:t>
      </w:r>
    </w:p>
  </w:footnote>
  <w:footnote w:id="24">
    <w:p w14:paraId="37CC4D51" w14:textId="238800CA" w:rsidR="00D67468" w:rsidRPr="002463CC" w:rsidRDefault="00D67468" w:rsidP="002463CC">
      <w:pPr>
        <w:pStyle w:val="FootnoteText"/>
        <w:jc w:val="both"/>
        <w:rPr>
          <w:rFonts w:ascii="Times New Roman" w:hAnsi="Times New Roman" w:cs="Times New Roman"/>
        </w:rPr>
      </w:pPr>
      <w:r w:rsidRPr="002463CC">
        <w:rPr>
          <w:rStyle w:val="FootnoteReference"/>
          <w:rFonts w:ascii="Times New Roman" w:hAnsi="Times New Roman" w:cs="Times New Roman"/>
        </w:rPr>
        <w:footnoteRef/>
      </w:r>
      <w:r w:rsidRPr="002463CC">
        <w:rPr>
          <w:rFonts w:ascii="Times New Roman" w:hAnsi="Times New Roman" w:cs="Times New Roman"/>
        </w:rPr>
        <w:t xml:space="preserve"> </w:t>
      </w:r>
      <w:r w:rsidR="003F7C80" w:rsidRPr="002463CC">
        <w:rPr>
          <w:rFonts w:ascii="Times New Roman" w:hAnsi="Times New Roman" w:cs="Times New Roman"/>
        </w:rPr>
        <w:t xml:space="preserve">Ibid para 38. See also Christie 8 </w:t>
      </w:r>
      <w:proofErr w:type="spellStart"/>
      <w:proofErr w:type="gramStart"/>
      <w:r w:rsidR="003F7C80" w:rsidRPr="002463CC">
        <w:rPr>
          <w:rFonts w:ascii="Times New Roman" w:hAnsi="Times New Roman" w:cs="Times New Roman"/>
        </w:rPr>
        <w:t>ed</w:t>
      </w:r>
      <w:proofErr w:type="spellEnd"/>
      <w:proofErr w:type="gramEnd"/>
      <w:r w:rsidR="003F7C80" w:rsidRPr="002463CC">
        <w:rPr>
          <w:rFonts w:ascii="Times New Roman" w:hAnsi="Times New Roman" w:cs="Times New Roman"/>
        </w:rPr>
        <w:t xml:space="preserve"> (2022) at 428.</w:t>
      </w:r>
    </w:p>
  </w:footnote>
  <w:footnote w:id="25">
    <w:p w14:paraId="52E5D296" w14:textId="32EF4C5B" w:rsidR="00CF1338" w:rsidRPr="00091B0F" w:rsidRDefault="00CF1338" w:rsidP="00091B0F">
      <w:pPr>
        <w:pStyle w:val="FootnoteText"/>
        <w:jc w:val="both"/>
        <w:rPr>
          <w:rFonts w:ascii="Times New Roman" w:hAnsi="Times New Roman" w:cs="Times New Roman"/>
        </w:rPr>
      </w:pPr>
      <w:r w:rsidRPr="00091B0F">
        <w:rPr>
          <w:rStyle w:val="FootnoteReference"/>
          <w:rFonts w:ascii="Times New Roman" w:hAnsi="Times New Roman" w:cs="Times New Roman"/>
        </w:rPr>
        <w:footnoteRef/>
      </w:r>
      <w:r w:rsidRPr="00091B0F">
        <w:rPr>
          <w:rFonts w:ascii="Times New Roman" w:hAnsi="Times New Roman" w:cs="Times New Roman"/>
        </w:rPr>
        <w:t xml:space="preserve"> </w:t>
      </w:r>
      <w:r w:rsidR="0092554A">
        <w:rPr>
          <w:rFonts w:ascii="Times New Roman" w:hAnsi="Times New Roman" w:cs="Times New Roman"/>
          <w:bCs/>
        </w:rPr>
        <w:t>Ibid</w:t>
      </w:r>
      <w:r w:rsidRPr="00091B0F">
        <w:rPr>
          <w:rFonts w:ascii="Times New Roman" w:hAnsi="Times New Roman" w:cs="Times New Roman"/>
          <w:bCs/>
          <w:i/>
        </w:rPr>
        <w:t xml:space="preserve"> </w:t>
      </w:r>
      <w:r w:rsidRPr="00091B0F">
        <w:rPr>
          <w:rFonts w:ascii="Times New Roman" w:hAnsi="Times New Roman" w:cs="Times New Roman"/>
          <w:bCs/>
        </w:rPr>
        <w:t>paras 83-85, 87, 89 and 90.</w:t>
      </w:r>
    </w:p>
  </w:footnote>
  <w:footnote w:id="26">
    <w:p w14:paraId="1A1362A7" w14:textId="455316FF" w:rsidR="00CF1338" w:rsidRPr="002B2AEE" w:rsidRDefault="00CF1338" w:rsidP="002B2AEE">
      <w:pPr>
        <w:pStyle w:val="Heading2"/>
        <w:shd w:val="clear" w:color="auto" w:fill="FFFFFF"/>
        <w:spacing w:before="0" w:line="240" w:lineRule="auto"/>
        <w:rPr>
          <w:rFonts w:ascii="Times New Roman" w:hAnsi="Times New Roman" w:cs="Times New Roman"/>
          <w:color w:val="64473A"/>
          <w:sz w:val="20"/>
          <w:szCs w:val="20"/>
        </w:rPr>
      </w:pPr>
      <w:r w:rsidRPr="002B2AEE">
        <w:rPr>
          <w:rStyle w:val="FootnoteReference"/>
          <w:rFonts w:ascii="Times New Roman" w:hAnsi="Times New Roman" w:cs="Times New Roman"/>
          <w:color w:val="auto"/>
          <w:sz w:val="20"/>
          <w:szCs w:val="20"/>
        </w:rPr>
        <w:footnoteRef/>
      </w:r>
      <w:r w:rsidRPr="002B2AEE">
        <w:rPr>
          <w:rFonts w:ascii="Times New Roman" w:hAnsi="Times New Roman" w:cs="Times New Roman"/>
          <w:color w:val="auto"/>
          <w:sz w:val="20"/>
          <w:szCs w:val="20"/>
        </w:rPr>
        <w:t xml:space="preserve"> </w:t>
      </w:r>
      <w:r w:rsidRPr="002B2AEE">
        <w:rPr>
          <w:rFonts w:ascii="Times New Roman" w:hAnsi="Times New Roman" w:cs="Times New Roman"/>
          <w:bCs/>
          <w:i/>
          <w:color w:val="auto"/>
          <w:sz w:val="20"/>
          <w:szCs w:val="20"/>
        </w:rPr>
        <w:t>BOE Bank Ltd v City of Tshwane Metropolitan Municipality</w:t>
      </w:r>
      <w:r w:rsidRPr="002B2AEE">
        <w:rPr>
          <w:rFonts w:ascii="Times New Roman" w:hAnsi="Times New Roman" w:cs="Times New Roman"/>
          <w:bCs/>
          <w:color w:val="auto"/>
          <w:sz w:val="20"/>
          <w:szCs w:val="20"/>
        </w:rPr>
        <w:t xml:space="preserve"> [2005] ZASCA 21; 2005 (4) SA 336 (SCA)</w:t>
      </w:r>
      <w:r w:rsidR="006510E5">
        <w:rPr>
          <w:rFonts w:ascii="Times New Roman" w:hAnsi="Times New Roman" w:cs="Times New Roman"/>
          <w:bCs/>
          <w:color w:val="auto"/>
          <w:sz w:val="20"/>
          <w:szCs w:val="20"/>
        </w:rPr>
        <w:t xml:space="preserve"> para 5</w:t>
      </w:r>
      <w:r>
        <w:rPr>
          <w:rFonts w:ascii="Times New Roman" w:hAnsi="Times New Roman" w:cs="Times New Roman"/>
          <w:bCs/>
          <w:color w:val="auto"/>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B723" w14:textId="77777777" w:rsidR="00CF1338" w:rsidRDefault="00CF1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EB59C66" w14:textId="77777777" w:rsidR="00CF1338" w:rsidRDefault="00CF13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0C77" w14:textId="79D39FCC" w:rsidR="00CF1338" w:rsidRPr="0031085B" w:rsidRDefault="00CF1338">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B63BC0">
      <w:rPr>
        <w:rStyle w:val="PageNumber"/>
        <w:noProof/>
        <w:sz w:val="28"/>
        <w:szCs w:val="28"/>
      </w:rPr>
      <w:t>25</w:t>
    </w:r>
    <w:r w:rsidRPr="0031085B">
      <w:rPr>
        <w:rStyle w:val="PageNumber"/>
        <w:sz w:val="28"/>
        <w:szCs w:val="28"/>
      </w:rPr>
      <w:fldChar w:fldCharType="end"/>
    </w:r>
  </w:p>
  <w:p w14:paraId="4637054D" w14:textId="77777777" w:rsidR="00CF1338" w:rsidRDefault="00CF1338">
    <w:pPr>
      <w:pStyle w:val="Header"/>
      <w:ind w:right="360"/>
      <w:rPr>
        <w:sz w:val="28"/>
        <w:szCs w:val="28"/>
      </w:rPr>
    </w:pPr>
  </w:p>
  <w:p w14:paraId="4B611402" w14:textId="77777777" w:rsidR="00CF1338" w:rsidRDefault="00CF1338" w:rsidP="00E432C0">
    <w:pPr>
      <w:pStyle w:val="Header"/>
      <w:spacing w:line="240" w:lineRule="auto"/>
      <w:ind w:right="360"/>
      <w:rPr>
        <w:sz w:val="28"/>
        <w:szCs w:val="28"/>
      </w:rPr>
    </w:pPr>
  </w:p>
  <w:p w14:paraId="69381B46" w14:textId="77777777" w:rsidR="00CF1338" w:rsidRPr="0097015E" w:rsidRDefault="00CF1338" w:rsidP="0097015E">
    <w:pPr>
      <w:pStyle w:val="Header"/>
      <w:spacing w:line="240" w:lineRule="auto"/>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B5963"/>
    <w:multiLevelType w:val="hybridMultilevel"/>
    <w:tmpl w:val="117C3FCA"/>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85265"/>
    <w:multiLevelType w:val="hybridMultilevel"/>
    <w:tmpl w:val="8460F9E4"/>
    <w:lvl w:ilvl="0" w:tplc="9DA8DE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4341DA"/>
    <w:multiLevelType w:val="hybridMultilevel"/>
    <w:tmpl w:val="17A201B4"/>
    <w:lvl w:ilvl="0" w:tplc="2BC8F9EA">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52071E9"/>
    <w:multiLevelType w:val="hybridMultilevel"/>
    <w:tmpl w:val="9570635E"/>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1"/>
  </w:num>
  <w:num w:numId="3">
    <w:abstractNumId w:val="13"/>
  </w:num>
  <w:num w:numId="4">
    <w:abstractNumId w:val="1"/>
  </w:num>
  <w:num w:numId="5">
    <w:abstractNumId w:val="16"/>
  </w:num>
  <w:num w:numId="6">
    <w:abstractNumId w:val="22"/>
  </w:num>
  <w:num w:numId="7">
    <w:abstractNumId w:val="1"/>
    <w:lvlOverride w:ilvl="0">
      <w:startOverride w:val="1"/>
    </w:lvlOverride>
  </w:num>
  <w:num w:numId="8">
    <w:abstractNumId w:val="19"/>
  </w:num>
  <w:num w:numId="9">
    <w:abstractNumId w:val="4"/>
  </w:num>
  <w:num w:numId="10">
    <w:abstractNumId w:val="23"/>
  </w:num>
  <w:num w:numId="11">
    <w:abstractNumId w:val="7"/>
  </w:num>
  <w:num w:numId="12">
    <w:abstractNumId w:val="12"/>
  </w:num>
  <w:num w:numId="13">
    <w:abstractNumId w:val="24"/>
  </w:num>
  <w:num w:numId="14">
    <w:abstractNumId w:val="26"/>
  </w:num>
  <w:num w:numId="15">
    <w:abstractNumId w:val="18"/>
  </w:num>
  <w:num w:numId="16">
    <w:abstractNumId w:val="8"/>
  </w:num>
  <w:num w:numId="17">
    <w:abstractNumId w:val="14"/>
  </w:num>
  <w:num w:numId="18">
    <w:abstractNumId w:val="6"/>
  </w:num>
  <w:num w:numId="19">
    <w:abstractNumId w:val="20"/>
  </w:num>
  <w:num w:numId="20">
    <w:abstractNumId w:val="3"/>
  </w:num>
  <w:num w:numId="21">
    <w:abstractNumId w:val="15"/>
  </w:num>
  <w:num w:numId="22">
    <w:abstractNumId w:val="0"/>
  </w:num>
  <w:num w:numId="23">
    <w:abstractNumId w:val="9"/>
  </w:num>
  <w:num w:numId="24">
    <w:abstractNumId w:val="25"/>
  </w:num>
  <w:num w:numId="25">
    <w:abstractNumId w:val="10"/>
  </w:num>
  <w:num w:numId="26">
    <w:abstractNumId w:val="5"/>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2BF38B-75AB-447E-BF62-34D01350FF4E}"/>
    <w:docVar w:name="dgnword-eventsink" w:val="2314332203968"/>
  </w:docVars>
  <w:rsids>
    <w:rsidRoot w:val="004212DC"/>
    <w:rsid w:val="00001BBE"/>
    <w:rsid w:val="00002ED1"/>
    <w:rsid w:val="0000398B"/>
    <w:rsid w:val="0000407E"/>
    <w:rsid w:val="00004E01"/>
    <w:rsid w:val="00004E24"/>
    <w:rsid w:val="0001238C"/>
    <w:rsid w:val="000123F7"/>
    <w:rsid w:val="00012EDF"/>
    <w:rsid w:val="00013D06"/>
    <w:rsid w:val="00015BC7"/>
    <w:rsid w:val="00017688"/>
    <w:rsid w:val="00017F10"/>
    <w:rsid w:val="0002006C"/>
    <w:rsid w:val="0002242C"/>
    <w:rsid w:val="00025101"/>
    <w:rsid w:val="000270C7"/>
    <w:rsid w:val="000301AB"/>
    <w:rsid w:val="000309F3"/>
    <w:rsid w:val="000373B7"/>
    <w:rsid w:val="00043B45"/>
    <w:rsid w:val="00047C9F"/>
    <w:rsid w:val="0005367A"/>
    <w:rsid w:val="00054B69"/>
    <w:rsid w:val="00055D63"/>
    <w:rsid w:val="00056778"/>
    <w:rsid w:val="0005762E"/>
    <w:rsid w:val="00060155"/>
    <w:rsid w:val="00060A67"/>
    <w:rsid w:val="00061E39"/>
    <w:rsid w:val="00063B2F"/>
    <w:rsid w:val="00064B36"/>
    <w:rsid w:val="00066B1D"/>
    <w:rsid w:val="000726AB"/>
    <w:rsid w:val="0007519F"/>
    <w:rsid w:val="00077ADF"/>
    <w:rsid w:val="00077B9A"/>
    <w:rsid w:val="000804EA"/>
    <w:rsid w:val="000806CB"/>
    <w:rsid w:val="000812A5"/>
    <w:rsid w:val="00081E78"/>
    <w:rsid w:val="00082BFF"/>
    <w:rsid w:val="00087335"/>
    <w:rsid w:val="00091899"/>
    <w:rsid w:val="00091B0F"/>
    <w:rsid w:val="00092448"/>
    <w:rsid w:val="000943CB"/>
    <w:rsid w:val="000972B8"/>
    <w:rsid w:val="00097747"/>
    <w:rsid w:val="000A5743"/>
    <w:rsid w:val="000A5D31"/>
    <w:rsid w:val="000B32AE"/>
    <w:rsid w:val="000B4FB1"/>
    <w:rsid w:val="000B513F"/>
    <w:rsid w:val="000B5825"/>
    <w:rsid w:val="000B5882"/>
    <w:rsid w:val="000B5EF9"/>
    <w:rsid w:val="000C0C48"/>
    <w:rsid w:val="000C4362"/>
    <w:rsid w:val="000C5FAA"/>
    <w:rsid w:val="000C6BFC"/>
    <w:rsid w:val="000C7511"/>
    <w:rsid w:val="000D0A48"/>
    <w:rsid w:val="000D0E8E"/>
    <w:rsid w:val="000D44B9"/>
    <w:rsid w:val="000D47F8"/>
    <w:rsid w:val="000D4AD5"/>
    <w:rsid w:val="000D4C9D"/>
    <w:rsid w:val="000D6414"/>
    <w:rsid w:val="000D6C54"/>
    <w:rsid w:val="000E0536"/>
    <w:rsid w:val="000E093C"/>
    <w:rsid w:val="000E3DA6"/>
    <w:rsid w:val="000E45AA"/>
    <w:rsid w:val="000E6FDF"/>
    <w:rsid w:val="000F1C41"/>
    <w:rsid w:val="000F3F4B"/>
    <w:rsid w:val="0010045B"/>
    <w:rsid w:val="0010179D"/>
    <w:rsid w:val="001025FE"/>
    <w:rsid w:val="001032B0"/>
    <w:rsid w:val="00103DD8"/>
    <w:rsid w:val="00112CB9"/>
    <w:rsid w:val="00115338"/>
    <w:rsid w:val="00116E62"/>
    <w:rsid w:val="001205B3"/>
    <w:rsid w:val="0012486E"/>
    <w:rsid w:val="0012638C"/>
    <w:rsid w:val="00130006"/>
    <w:rsid w:val="00130165"/>
    <w:rsid w:val="001313EB"/>
    <w:rsid w:val="00137C0C"/>
    <w:rsid w:val="00140964"/>
    <w:rsid w:val="00142412"/>
    <w:rsid w:val="00145B4C"/>
    <w:rsid w:val="0014776D"/>
    <w:rsid w:val="00150924"/>
    <w:rsid w:val="00150FE6"/>
    <w:rsid w:val="00151148"/>
    <w:rsid w:val="001522B4"/>
    <w:rsid w:val="001536E8"/>
    <w:rsid w:val="00154C26"/>
    <w:rsid w:val="00155599"/>
    <w:rsid w:val="0015621F"/>
    <w:rsid w:val="00157C87"/>
    <w:rsid w:val="001614C3"/>
    <w:rsid w:val="00162671"/>
    <w:rsid w:val="00165554"/>
    <w:rsid w:val="00165EE5"/>
    <w:rsid w:val="00170C63"/>
    <w:rsid w:val="00171891"/>
    <w:rsid w:val="00171CCC"/>
    <w:rsid w:val="00171FE7"/>
    <w:rsid w:val="00172DD1"/>
    <w:rsid w:val="00173083"/>
    <w:rsid w:val="001731FD"/>
    <w:rsid w:val="001736D2"/>
    <w:rsid w:val="0017385F"/>
    <w:rsid w:val="001767EA"/>
    <w:rsid w:val="00181587"/>
    <w:rsid w:val="00181E4E"/>
    <w:rsid w:val="00182BD4"/>
    <w:rsid w:val="00183C61"/>
    <w:rsid w:val="00187A2E"/>
    <w:rsid w:val="00190F4A"/>
    <w:rsid w:val="001917EF"/>
    <w:rsid w:val="001930BF"/>
    <w:rsid w:val="0019487C"/>
    <w:rsid w:val="001952EB"/>
    <w:rsid w:val="00197BBE"/>
    <w:rsid w:val="00197E26"/>
    <w:rsid w:val="001A2851"/>
    <w:rsid w:val="001A4B66"/>
    <w:rsid w:val="001B091B"/>
    <w:rsid w:val="001B0CC5"/>
    <w:rsid w:val="001B20B7"/>
    <w:rsid w:val="001B22B0"/>
    <w:rsid w:val="001B29EC"/>
    <w:rsid w:val="001B40C3"/>
    <w:rsid w:val="001C02D7"/>
    <w:rsid w:val="001C0705"/>
    <w:rsid w:val="001C0956"/>
    <w:rsid w:val="001C22BD"/>
    <w:rsid w:val="001C4732"/>
    <w:rsid w:val="001C6EBA"/>
    <w:rsid w:val="001D0A50"/>
    <w:rsid w:val="001D4606"/>
    <w:rsid w:val="001D6531"/>
    <w:rsid w:val="001D6A34"/>
    <w:rsid w:val="001E1846"/>
    <w:rsid w:val="001E2FD9"/>
    <w:rsid w:val="001E3912"/>
    <w:rsid w:val="001E721D"/>
    <w:rsid w:val="001F0213"/>
    <w:rsid w:val="001F200C"/>
    <w:rsid w:val="001F2B72"/>
    <w:rsid w:val="001F33FC"/>
    <w:rsid w:val="001F37D9"/>
    <w:rsid w:val="001F41C4"/>
    <w:rsid w:val="001F4AA2"/>
    <w:rsid w:val="001F55FF"/>
    <w:rsid w:val="001F6B30"/>
    <w:rsid w:val="0020120D"/>
    <w:rsid w:val="002102DF"/>
    <w:rsid w:val="00210C75"/>
    <w:rsid w:val="002116F4"/>
    <w:rsid w:val="00212A42"/>
    <w:rsid w:val="00216904"/>
    <w:rsid w:val="00217CE3"/>
    <w:rsid w:val="002221FB"/>
    <w:rsid w:val="00222682"/>
    <w:rsid w:val="00222EB5"/>
    <w:rsid w:val="00224930"/>
    <w:rsid w:val="00225094"/>
    <w:rsid w:val="00225AB5"/>
    <w:rsid w:val="00230F12"/>
    <w:rsid w:val="0023384D"/>
    <w:rsid w:val="00234C6E"/>
    <w:rsid w:val="0023688C"/>
    <w:rsid w:val="00241641"/>
    <w:rsid w:val="00241A85"/>
    <w:rsid w:val="002463CC"/>
    <w:rsid w:val="0024693C"/>
    <w:rsid w:val="00246987"/>
    <w:rsid w:val="00250A29"/>
    <w:rsid w:val="00253513"/>
    <w:rsid w:val="0025708E"/>
    <w:rsid w:val="0026063E"/>
    <w:rsid w:val="00265960"/>
    <w:rsid w:val="00266129"/>
    <w:rsid w:val="00266C47"/>
    <w:rsid w:val="00267ACE"/>
    <w:rsid w:val="00267C7A"/>
    <w:rsid w:val="002708D2"/>
    <w:rsid w:val="00270C43"/>
    <w:rsid w:val="002721B2"/>
    <w:rsid w:val="00272967"/>
    <w:rsid w:val="002774CF"/>
    <w:rsid w:val="00282435"/>
    <w:rsid w:val="00282C2E"/>
    <w:rsid w:val="00292E17"/>
    <w:rsid w:val="00295018"/>
    <w:rsid w:val="00295C4E"/>
    <w:rsid w:val="002A149F"/>
    <w:rsid w:val="002A15BA"/>
    <w:rsid w:val="002A546F"/>
    <w:rsid w:val="002A71B9"/>
    <w:rsid w:val="002B1D9A"/>
    <w:rsid w:val="002B2864"/>
    <w:rsid w:val="002B2AEE"/>
    <w:rsid w:val="002B50E5"/>
    <w:rsid w:val="002B6463"/>
    <w:rsid w:val="002C4A0F"/>
    <w:rsid w:val="002C653F"/>
    <w:rsid w:val="002C7919"/>
    <w:rsid w:val="002D2C4D"/>
    <w:rsid w:val="002D3E16"/>
    <w:rsid w:val="002D52B1"/>
    <w:rsid w:val="002D67CE"/>
    <w:rsid w:val="002E4858"/>
    <w:rsid w:val="002F093D"/>
    <w:rsid w:val="002F2D41"/>
    <w:rsid w:val="002F3813"/>
    <w:rsid w:val="002F3ACD"/>
    <w:rsid w:val="002F7317"/>
    <w:rsid w:val="002F7404"/>
    <w:rsid w:val="0030261A"/>
    <w:rsid w:val="00305762"/>
    <w:rsid w:val="00305BFE"/>
    <w:rsid w:val="00307878"/>
    <w:rsid w:val="0031085B"/>
    <w:rsid w:val="00310C48"/>
    <w:rsid w:val="00313C5F"/>
    <w:rsid w:val="00315C7E"/>
    <w:rsid w:val="00321020"/>
    <w:rsid w:val="003210B7"/>
    <w:rsid w:val="00324471"/>
    <w:rsid w:val="0032538C"/>
    <w:rsid w:val="00326573"/>
    <w:rsid w:val="00327502"/>
    <w:rsid w:val="00327F71"/>
    <w:rsid w:val="00330855"/>
    <w:rsid w:val="00330BA9"/>
    <w:rsid w:val="003310B5"/>
    <w:rsid w:val="0033289C"/>
    <w:rsid w:val="003337AD"/>
    <w:rsid w:val="00333C99"/>
    <w:rsid w:val="00337D25"/>
    <w:rsid w:val="00340531"/>
    <w:rsid w:val="00341640"/>
    <w:rsid w:val="00341D4A"/>
    <w:rsid w:val="00341FD1"/>
    <w:rsid w:val="0034234D"/>
    <w:rsid w:val="00350334"/>
    <w:rsid w:val="00352A4A"/>
    <w:rsid w:val="00353837"/>
    <w:rsid w:val="00356824"/>
    <w:rsid w:val="00361725"/>
    <w:rsid w:val="00367421"/>
    <w:rsid w:val="00367B9C"/>
    <w:rsid w:val="00371805"/>
    <w:rsid w:val="00371D6D"/>
    <w:rsid w:val="00373C11"/>
    <w:rsid w:val="0037537C"/>
    <w:rsid w:val="00380B58"/>
    <w:rsid w:val="00380FE8"/>
    <w:rsid w:val="00381F89"/>
    <w:rsid w:val="003833C9"/>
    <w:rsid w:val="00383900"/>
    <w:rsid w:val="00390107"/>
    <w:rsid w:val="003930FB"/>
    <w:rsid w:val="00393C15"/>
    <w:rsid w:val="00395E4B"/>
    <w:rsid w:val="003967B1"/>
    <w:rsid w:val="00396885"/>
    <w:rsid w:val="00397168"/>
    <w:rsid w:val="003972C0"/>
    <w:rsid w:val="003A1119"/>
    <w:rsid w:val="003A35D6"/>
    <w:rsid w:val="003A363B"/>
    <w:rsid w:val="003A435F"/>
    <w:rsid w:val="003A660D"/>
    <w:rsid w:val="003A75B6"/>
    <w:rsid w:val="003B31EE"/>
    <w:rsid w:val="003B33C8"/>
    <w:rsid w:val="003B3A29"/>
    <w:rsid w:val="003C0570"/>
    <w:rsid w:val="003C0B3B"/>
    <w:rsid w:val="003C30EB"/>
    <w:rsid w:val="003C3D9F"/>
    <w:rsid w:val="003C6A24"/>
    <w:rsid w:val="003C6C4D"/>
    <w:rsid w:val="003D4510"/>
    <w:rsid w:val="003D6187"/>
    <w:rsid w:val="003D79FA"/>
    <w:rsid w:val="003E18BB"/>
    <w:rsid w:val="003E2783"/>
    <w:rsid w:val="003E3AC6"/>
    <w:rsid w:val="003E3AFA"/>
    <w:rsid w:val="003E437E"/>
    <w:rsid w:val="003E7C5A"/>
    <w:rsid w:val="003E7F6F"/>
    <w:rsid w:val="003F1D40"/>
    <w:rsid w:val="003F38A4"/>
    <w:rsid w:val="003F48ED"/>
    <w:rsid w:val="003F4F55"/>
    <w:rsid w:val="003F7C80"/>
    <w:rsid w:val="00400810"/>
    <w:rsid w:val="0040307C"/>
    <w:rsid w:val="00410589"/>
    <w:rsid w:val="00413538"/>
    <w:rsid w:val="00420273"/>
    <w:rsid w:val="004212DC"/>
    <w:rsid w:val="00423AA8"/>
    <w:rsid w:val="004334F2"/>
    <w:rsid w:val="00440D8A"/>
    <w:rsid w:val="00443805"/>
    <w:rsid w:val="004458E8"/>
    <w:rsid w:val="00445B73"/>
    <w:rsid w:val="004479D1"/>
    <w:rsid w:val="0045020D"/>
    <w:rsid w:val="004532A5"/>
    <w:rsid w:val="00455B76"/>
    <w:rsid w:val="00456EC9"/>
    <w:rsid w:val="00457597"/>
    <w:rsid w:val="004575F8"/>
    <w:rsid w:val="00462EED"/>
    <w:rsid w:val="004642AC"/>
    <w:rsid w:val="00466054"/>
    <w:rsid w:val="00467FFC"/>
    <w:rsid w:val="004708CC"/>
    <w:rsid w:val="00472787"/>
    <w:rsid w:val="00473EB7"/>
    <w:rsid w:val="0047591F"/>
    <w:rsid w:val="004812DA"/>
    <w:rsid w:val="00481328"/>
    <w:rsid w:val="004825CD"/>
    <w:rsid w:val="00483410"/>
    <w:rsid w:val="00484C48"/>
    <w:rsid w:val="004861DF"/>
    <w:rsid w:val="00486DF0"/>
    <w:rsid w:val="00487ACD"/>
    <w:rsid w:val="00490CE3"/>
    <w:rsid w:val="00495A76"/>
    <w:rsid w:val="004A0BAF"/>
    <w:rsid w:val="004A0E45"/>
    <w:rsid w:val="004A3263"/>
    <w:rsid w:val="004B2365"/>
    <w:rsid w:val="004B266F"/>
    <w:rsid w:val="004B6B71"/>
    <w:rsid w:val="004C2DE9"/>
    <w:rsid w:val="004C3BE5"/>
    <w:rsid w:val="004C4A02"/>
    <w:rsid w:val="004C5F20"/>
    <w:rsid w:val="004D17A7"/>
    <w:rsid w:val="004D2880"/>
    <w:rsid w:val="004D368B"/>
    <w:rsid w:val="004D3D7C"/>
    <w:rsid w:val="004D55F9"/>
    <w:rsid w:val="004E34A4"/>
    <w:rsid w:val="004E48FF"/>
    <w:rsid w:val="004E4B6D"/>
    <w:rsid w:val="004E4CD3"/>
    <w:rsid w:val="004E5F21"/>
    <w:rsid w:val="004E750B"/>
    <w:rsid w:val="004F27D3"/>
    <w:rsid w:val="004F341D"/>
    <w:rsid w:val="004F4474"/>
    <w:rsid w:val="004F45D4"/>
    <w:rsid w:val="004F4F81"/>
    <w:rsid w:val="004F6656"/>
    <w:rsid w:val="004F789F"/>
    <w:rsid w:val="0050508B"/>
    <w:rsid w:val="00513AE7"/>
    <w:rsid w:val="0051788B"/>
    <w:rsid w:val="00517B62"/>
    <w:rsid w:val="00520FDC"/>
    <w:rsid w:val="0052109F"/>
    <w:rsid w:val="00521BD3"/>
    <w:rsid w:val="00522518"/>
    <w:rsid w:val="00523181"/>
    <w:rsid w:val="00523F5E"/>
    <w:rsid w:val="005307BD"/>
    <w:rsid w:val="0053459B"/>
    <w:rsid w:val="00534A7B"/>
    <w:rsid w:val="00535D3E"/>
    <w:rsid w:val="005363A9"/>
    <w:rsid w:val="00537E64"/>
    <w:rsid w:val="00544B3E"/>
    <w:rsid w:val="005515F1"/>
    <w:rsid w:val="005517C4"/>
    <w:rsid w:val="00551848"/>
    <w:rsid w:val="00551AD1"/>
    <w:rsid w:val="00552783"/>
    <w:rsid w:val="005528D1"/>
    <w:rsid w:val="00552BF2"/>
    <w:rsid w:val="00553FA7"/>
    <w:rsid w:val="005542C0"/>
    <w:rsid w:val="005542FA"/>
    <w:rsid w:val="00554402"/>
    <w:rsid w:val="00555E9F"/>
    <w:rsid w:val="005570AF"/>
    <w:rsid w:val="00561AEB"/>
    <w:rsid w:val="00561CE5"/>
    <w:rsid w:val="0056533B"/>
    <w:rsid w:val="005723C7"/>
    <w:rsid w:val="00572584"/>
    <w:rsid w:val="00574D13"/>
    <w:rsid w:val="00583E23"/>
    <w:rsid w:val="00584799"/>
    <w:rsid w:val="00584A9D"/>
    <w:rsid w:val="005865FC"/>
    <w:rsid w:val="00587334"/>
    <w:rsid w:val="0059014E"/>
    <w:rsid w:val="005A02C8"/>
    <w:rsid w:val="005A0553"/>
    <w:rsid w:val="005A0622"/>
    <w:rsid w:val="005A1C2C"/>
    <w:rsid w:val="005A3960"/>
    <w:rsid w:val="005A442C"/>
    <w:rsid w:val="005A4B68"/>
    <w:rsid w:val="005A6CD9"/>
    <w:rsid w:val="005B0C96"/>
    <w:rsid w:val="005B1D1C"/>
    <w:rsid w:val="005B2B4C"/>
    <w:rsid w:val="005B4B79"/>
    <w:rsid w:val="005C062F"/>
    <w:rsid w:val="005C3085"/>
    <w:rsid w:val="005C4061"/>
    <w:rsid w:val="005C42F6"/>
    <w:rsid w:val="005C44C0"/>
    <w:rsid w:val="005C4DD8"/>
    <w:rsid w:val="005C642A"/>
    <w:rsid w:val="005C7B91"/>
    <w:rsid w:val="005C7F89"/>
    <w:rsid w:val="005D05E5"/>
    <w:rsid w:val="005D1D8C"/>
    <w:rsid w:val="005D25F1"/>
    <w:rsid w:val="005D2A31"/>
    <w:rsid w:val="005D5D86"/>
    <w:rsid w:val="005D75E9"/>
    <w:rsid w:val="005D79B3"/>
    <w:rsid w:val="005D7CF8"/>
    <w:rsid w:val="005D7F0E"/>
    <w:rsid w:val="005E04A3"/>
    <w:rsid w:val="005E1980"/>
    <w:rsid w:val="005E37B6"/>
    <w:rsid w:val="005E4A32"/>
    <w:rsid w:val="005E59EF"/>
    <w:rsid w:val="005E5C31"/>
    <w:rsid w:val="005E6285"/>
    <w:rsid w:val="005E7668"/>
    <w:rsid w:val="005E7909"/>
    <w:rsid w:val="005F3E05"/>
    <w:rsid w:val="00600AA3"/>
    <w:rsid w:val="00601597"/>
    <w:rsid w:val="00603EAF"/>
    <w:rsid w:val="00605286"/>
    <w:rsid w:val="0060587A"/>
    <w:rsid w:val="0060676F"/>
    <w:rsid w:val="0060760E"/>
    <w:rsid w:val="006129CD"/>
    <w:rsid w:val="00615F18"/>
    <w:rsid w:val="00620F11"/>
    <w:rsid w:val="00621507"/>
    <w:rsid w:val="006259B3"/>
    <w:rsid w:val="006266BA"/>
    <w:rsid w:val="006275ED"/>
    <w:rsid w:val="0063064D"/>
    <w:rsid w:val="0063488B"/>
    <w:rsid w:val="006349C9"/>
    <w:rsid w:val="0063506A"/>
    <w:rsid w:val="006356E1"/>
    <w:rsid w:val="006369E9"/>
    <w:rsid w:val="00637343"/>
    <w:rsid w:val="00642C8F"/>
    <w:rsid w:val="0064475B"/>
    <w:rsid w:val="00645602"/>
    <w:rsid w:val="00645775"/>
    <w:rsid w:val="00646550"/>
    <w:rsid w:val="00647676"/>
    <w:rsid w:val="006510E5"/>
    <w:rsid w:val="00651514"/>
    <w:rsid w:val="00651733"/>
    <w:rsid w:val="0065220E"/>
    <w:rsid w:val="00652D2A"/>
    <w:rsid w:val="006535AB"/>
    <w:rsid w:val="00653C57"/>
    <w:rsid w:val="006565CC"/>
    <w:rsid w:val="00656A29"/>
    <w:rsid w:val="006572D1"/>
    <w:rsid w:val="00663862"/>
    <w:rsid w:val="00663FB0"/>
    <w:rsid w:val="00664639"/>
    <w:rsid w:val="006655D3"/>
    <w:rsid w:val="00670172"/>
    <w:rsid w:val="00670745"/>
    <w:rsid w:val="0067200D"/>
    <w:rsid w:val="00672A14"/>
    <w:rsid w:val="006763D1"/>
    <w:rsid w:val="006769EC"/>
    <w:rsid w:val="00676D8D"/>
    <w:rsid w:val="00676DC6"/>
    <w:rsid w:val="00676FD4"/>
    <w:rsid w:val="00681140"/>
    <w:rsid w:val="0068333E"/>
    <w:rsid w:val="00686DBE"/>
    <w:rsid w:val="006877F6"/>
    <w:rsid w:val="00690C7D"/>
    <w:rsid w:val="00692E96"/>
    <w:rsid w:val="00693160"/>
    <w:rsid w:val="00693E83"/>
    <w:rsid w:val="00695CC9"/>
    <w:rsid w:val="00697039"/>
    <w:rsid w:val="00697528"/>
    <w:rsid w:val="006A00F9"/>
    <w:rsid w:val="006A5A1F"/>
    <w:rsid w:val="006A6A41"/>
    <w:rsid w:val="006B27C8"/>
    <w:rsid w:val="006B2912"/>
    <w:rsid w:val="006B2CDD"/>
    <w:rsid w:val="006B5348"/>
    <w:rsid w:val="006B5BEA"/>
    <w:rsid w:val="006B74B4"/>
    <w:rsid w:val="006C013B"/>
    <w:rsid w:val="006C0893"/>
    <w:rsid w:val="006C1368"/>
    <w:rsid w:val="006C39D4"/>
    <w:rsid w:val="006C3C99"/>
    <w:rsid w:val="006C61E8"/>
    <w:rsid w:val="006C7EBE"/>
    <w:rsid w:val="006D18AF"/>
    <w:rsid w:val="006D1CE4"/>
    <w:rsid w:val="006D282E"/>
    <w:rsid w:val="006D2F92"/>
    <w:rsid w:val="006D5AE5"/>
    <w:rsid w:val="006D6AAA"/>
    <w:rsid w:val="006D7C08"/>
    <w:rsid w:val="006E0729"/>
    <w:rsid w:val="006E0898"/>
    <w:rsid w:val="006E0BD6"/>
    <w:rsid w:val="006E1941"/>
    <w:rsid w:val="006E1A7A"/>
    <w:rsid w:val="006E45CB"/>
    <w:rsid w:val="006E6151"/>
    <w:rsid w:val="006E6BF0"/>
    <w:rsid w:val="006E77A9"/>
    <w:rsid w:val="006F1BA0"/>
    <w:rsid w:val="006F2849"/>
    <w:rsid w:val="006F4078"/>
    <w:rsid w:val="006F4ED1"/>
    <w:rsid w:val="006F609A"/>
    <w:rsid w:val="0070058D"/>
    <w:rsid w:val="007024E8"/>
    <w:rsid w:val="00702BEF"/>
    <w:rsid w:val="00705722"/>
    <w:rsid w:val="007071C7"/>
    <w:rsid w:val="007105ED"/>
    <w:rsid w:val="0071181B"/>
    <w:rsid w:val="00712AC6"/>
    <w:rsid w:val="007132C5"/>
    <w:rsid w:val="007141FE"/>
    <w:rsid w:val="0071440A"/>
    <w:rsid w:val="00716635"/>
    <w:rsid w:val="00720D5A"/>
    <w:rsid w:val="00724262"/>
    <w:rsid w:val="007263C5"/>
    <w:rsid w:val="00730172"/>
    <w:rsid w:val="00731228"/>
    <w:rsid w:val="00731479"/>
    <w:rsid w:val="00731800"/>
    <w:rsid w:val="00733256"/>
    <w:rsid w:val="00733DE6"/>
    <w:rsid w:val="007346CE"/>
    <w:rsid w:val="007350FF"/>
    <w:rsid w:val="00737D83"/>
    <w:rsid w:val="00744622"/>
    <w:rsid w:val="007458F0"/>
    <w:rsid w:val="00746118"/>
    <w:rsid w:val="00746BAA"/>
    <w:rsid w:val="00747ACB"/>
    <w:rsid w:val="00750305"/>
    <w:rsid w:val="007503D5"/>
    <w:rsid w:val="0075076A"/>
    <w:rsid w:val="00754D96"/>
    <w:rsid w:val="00755577"/>
    <w:rsid w:val="00755AB9"/>
    <w:rsid w:val="007627AD"/>
    <w:rsid w:val="0076359F"/>
    <w:rsid w:val="00764E80"/>
    <w:rsid w:val="00765BD0"/>
    <w:rsid w:val="0076769E"/>
    <w:rsid w:val="0076797B"/>
    <w:rsid w:val="007729C0"/>
    <w:rsid w:val="0077461C"/>
    <w:rsid w:val="00776F05"/>
    <w:rsid w:val="00781F5C"/>
    <w:rsid w:val="00784739"/>
    <w:rsid w:val="00784918"/>
    <w:rsid w:val="0078500F"/>
    <w:rsid w:val="007854C6"/>
    <w:rsid w:val="00790868"/>
    <w:rsid w:val="00791666"/>
    <w:rsid w:val="0079255C"/>
    <w:rsid w:val="007941F5"/>
    <w:rsid w:val="007A0E1B"/>
    <w:rsid w:val="007A25B4"/>
    <w:rsid w:val="007A5908"/>
    <w:rsid w:val="007B2C8F"/>
    <w:rsid w:val="007B36EA"/>
    <w:rsid w:val="007B3A7A"/>
    <w:rsid w:val="007B3BBA"/>
    <w:rsid w:val="007B4937"/>
    <w:rsid w:val="007B50AA"/>
    <w:rsid w:val="007B5A04"/>
    <w:rsid w:val="007B6B29"/>
    <w:rsid w:val="007C2656"/>
    <w:rsid w:val="007C2E13"/>
    <w:rsid w:val="007C359D"/>
    <w:rsid w:val="007C6BE8"/>
    <w:rsid w:val="007D02AE"/>
    <w:rsid w:val="007D0811"/>
    <w:rsid w:val="007D3AD9"/>
    <w:rsid w:val="007D4737"/>
    <w:rsid w:val="007D5A90"/>
    <w:rsid w:val="007D6621"/>
    <w:rsid w:val="007D6C3F"/>
    <w:rsid w:val="007E1CC6"/>
    <w:rsid w:val="007E3C3A"/>
    <w:rsid w:val="007E608E"/>
    <w:rsid w:val="007E7BBF"/>
    <w:rsid w:val="007F13D7"/>
    <w:rsid w:val="007F2357"/>
    <w:rsid w:val="007F2A0E"/>
    <w:rsid w:val="00800426"/>
    <w:rsid w:val="00800E6C"/>
    <w:rsid w:val="00800FC8"/>
    <w:rsid w:val="0080110F"/>
    <w:rsid w:val="008023C7"/>
    <w:rsid w:val="00802B4E"/>
    <w:rsid w:val="00804C89"/>
    <w:rsid w:val="008108E9"/>
    <w:rsid w:val="00810A92"/>
    <w:rsid w:val="008126F4"/>
    <w:rsid w:val="00812F7F"/>
    <w:rsid w:val="00813172"/>
    <w:rsid w:val="008133EF"/>
    <w:rsid w:val="0081398C"/>
    <w:rsid w:val="008142CA"/>
    <w:rsid w:val="00822035"/>
    <w:rsid w:val="0082284E"/>
    <w:rsid w:val="00824E1B"/>
    <w:rsid w:val="00825F44"/>
    <w:rsid w:val="008275D3"/>
    <w:rsid w:val="00830E81"/>
    <w:rsid w:val="0083568D"/>
    <w:rsid w:val="00836B14"/>
    <w:rsid w:val="00837CD7"/>
    <w:rsid w:val="008424E2"/>
    <w:rsid w:val="00843225"/>
    <w:rsid w:val="00846352"/>
    <w:rsid w:val="00847FD8"/>
    <w:rsid w:val="00851F40"/>
    <w:rsid w:val="00853F25"/>
    <w:rsid w:val="00854B2C"/>
    <w:rsid w:val="008557DD"/>
    <w:rsid w:val="00857F82"/>
    <w:rsid w:val="00860F5E"/>
    <w:rsid w:val="00862686"/>
    <w:rsid w:val="00863146"/>
    <w:rsid w:val="008643A7"/>
    <w:rsid w:val="00866216"/>
    <w:rsid w:val="00870CC6"/>
    <w:rsid w:val="008718F2"/>
    <w:rsid w:val="00872699"/>
    <w:rsid w:val="00874AE0"/>
    <w:rsid w:val="00877CE9"/>
    <w:rsid w:val="008825DD"/>
    <w:rsid w:val="008834A8"/>
    <w:rsid w:val="00883606"/>
    <w:rsid w:val="00883FDF"/>
    <w:rsid w:val="00884663"/>
    <w:rsid w:val="0088536F"/>
    <w:rsid w:val="008926A9"/>
    <w:rsid w:val="008928B9"/>
    <w:rsid w:val="00892B22"/>
    <w:rsid w:val="0089388F"/>
    <w:rsid w:val="00894E9D"/>
    <w:rsid w:val="00895BB0"/>
    <w:rsid w:val="00895F2B"/>
    <w:rsid w:val="008966E7"/>
    <w:rsid w:val="008A3DB4"/>
    <w:rsid w:val="008A41C6"/>
    <w:rsid w:val="008A43F1"/>
    <w:rsid w:val="008A6264"/>
    <w:rsid w:val="008A6582"/>
    <w:rsid w:val="008B056E"/>
    <w:rsid w:val="008B07AB"/>
    <w:rsid w:val="008B4AE4"/>
    <w:rsid w:val="008B5018"/>
    <w:rsid w:val="008B5944"/>
    <w:rsid w:val="008B6803"/>
    <w:rsid w:val="008C094F"/>
    <w:rsid w:val="008C3733"/>
    <w:rsid w:val="008C41A6"/>
    <w:rsid w:val="008C574C"/>
    <w:rsid w:val="008C6E33"/>
    <w:rsid w:val="008C73D1"/>
    <w:rsid w:val="008C7845"/>
    <w:rsid w:val="008D49A5"/>
    <w:rsid w:val="008D4ACA"/>
    <w:rsid w:val="008D56E6"/>
    <w:rsid w:val="008D58BE"/>
    <w:rsid w:val="008D61EA"/>
    <w:rsid w:val="008D6AEB"/>
    <w:rsid w:val="008E2566"/>
    <w:rsid w:val="008E2906"/>
    <w:rsid w:val="008E4629"/>
    <w:rsid w:val="008E5736"/>
    <w:rsid w:val="008E6B00"/>
    <w:rsid w:val="008F11FB"/>
    <w:rsid w:val="008F1F1D"/>
    <w:rsid w:val="008F3E27"/>
    <w:rsid w:val="008F4C69"/>
    <w:rsid w:val="00910D22"/>
    <w:rsid w:val="009124DB"/>
    <w:rsid w:val="0091453E"/>
    <w:rsid w:val="0091627E"/>
    <w:rsid w:val="00916476"/>
    <w:rsid w:val="00921173"/>
    <w:rsid w:val="00921B84"/>
    <w:rsid w:val="009222CA"/>
    <w:rsid w:val="0092554A"/>
    <w:rsid w:val="00927B83"/>
    <w:rsid w:val="00934DB6"/>
    <w:rsid w:val="009445DB"/>
    <w:rsid w:val="00944D35"/>
    <w:rsid w:val="00947773"/>
    <w:rsid w:val="009518AB"/>
    <w:rsid w:val="00952912"/>
    <w:rsid w:val="00953F48"/>
    <w:rsid w:val="00955113"/>
    <w:rsid w:val="009564E6"/>
    <w:rsid w:val="00956C95"/>
    <w:rsid w:val="009577C5"/>
    <w:rsid w:val="00960989"/>
    <w:rsid w:val="009614B1"/>
    <w:rsid w:val="009627EF"/>
    <w:rsid w:val="00963F98"/>
    <w:rsid w:val="0097015E"/>
    <w:rsid w:val="00970499"/>
    <w:rsid w:val="00972D8C"/>
    <w:rsid w:val="00972F62"/>
    <w:rsid w:val="00972FAA"/>
    <w:rsid w:val="009733B0"/>
    <w:rsid w:val="00973499"/>
    <w:rsid w:val="00973917"/>
    <w:rsid w:val="00977C42"/>
    <w:rsid w:val="00981C4F"/>
    <w:rsid w:val="009832B8"/>
    <w:rsid w:val="00983464"/>
    <w:rsid w:val="009841F9"/>
    <w:rsid w:val="0098685F"/>
    <w:rsid w:val="009902DA"/>
    <w:rsid w:val="00991CA9"/>
    <w:rsid w:val="00992307"/>
    <w:rsid w:val="00992882"/>
    <w:rsid w:val="00992A03"/>
    <w:rsid w:val="00995793"/>
    <w:rsid w:val="009A035B"/>
    <w:rsid w:val="009A47D5"/>
    <w:rsid w:val="009A7F43"/>
    <w:rsid w:val="009B0396"/>
    <w:rsid w:val="009B1D52"/>
    <w:rsid w:val="009B2BF1"/>
    <w:rsid w:val="009B6443"/>
    <w:rsid w:val="009B6923"/>
    <w:rsid w:val="009B6C64"/>
    <w:rsid w:val="009C1611"/>
    <w:rsid w:val="009C32E9"/>
    <w:rsid w:val="009C3B1E"/>
    <w:rsid w:val="009C446B"/>
    <w:rsid w:val="009C7A96"/>
    <w:rsid w:val="009D0227"/>
    <w:rsid w:val="009D1434"/>
    <w:rsid w:val="009D3A58"/>
    <w:rsid w:val="009D45D6"/>
    <w:rsid w:val="009D56B9"/>
    <w:rsid w:val="009D56F1"/>
    <w:rsid w:val="009D7C7C"/>
    <w:rsid w:val="009E07DF"/>
    <w:rsid w:val="009E2B62"/>
    <w:rsid w:val="009E3EBB"/>
    <w:rsid w:val="009E4937"/>
    <w:rsid w:val="009E499B"/>
    <w:rsid w:val="009F10FC"/>
    <w:rsid w:val="009F21A3"/>
    <w:rsid w:val="009F3C57"/>
    <w:rsid w:val="009F5BD1"/>
    <w:rsid w:val="009F7ADB"/>
    <w:rsid w:val="00A02E76"/>
    <w:rsid w:val="00A03106"/>
    <w:rsid w:val="00A06AA1"/>
    <w:rsid w:val="00A10679"/>
    <w:rsid w:val="00A110D9"/>
    <w:rsid w:val="00A126AD"/>
    <w:rsid w:val="00A16C46"/>
    <w:rsid w:val="00A205B2"/>
    <w:rsid w:val="00A248E2"/>
    <w:rsid w:val="00A3103E"/>
    <w:rsid w:val="00A31A05"/>
    <w:rsid w:val="00A327E3"/>
    <w:rsid w:val="00A3393B"/>
    <w:rsid w:val="00A35E94"/>
    <w:rsid w:val="00A364FE"/>
    <w:rsid w:val="00A36651"/>
    <w:rsid w:val="00A36793"/>
    <w:rsid w:val="00A40A90"/>
    <w:rsid w:val="00A411F9"/>
    <w:rsid w:val="00A45C51"/>
    <w:rsid w:val="00A54C08"/>
    <w:rsid w:val="00A55341"/>
    <w:rsid w:val="00A5625F"/>
    <w:rsid w:val="00A57F33"/>
    <w:rsid w:val="00A60BD4"/>
    <w:rsid w:val="00A60DE5"/>
    <w:rsid w:val="00A614A6"/>
    <w:rsid w:val="00A62CEA"/>
    <w:rsid w:val="00A63ECE"/>
    <w:rsid w:val="00A6565D"/>
    <w:rsid w:val="00A72F54"/>
    <w:rsid w:val="00A74644"/>
    <w:rsid w:val="00A80277"/>
    <w:rsid w:val="00A83B99"/>
    <w:rsid w:val="00A83C0D"/>
    <w:rsid w:val="00A84727"/>
    <w:rsid w:val="00A859CE"/>
    <w:rsid w:val="00A86F7E"/>
    <w:rsid w:val="00A874D1"/>
    <w:rsid w:val="00A90B76"/>
    <w:rsid w:val="00A9481A"/>
    <w:rsid w:val="00A97202"/>
    <w:rsid w:val="00AA434D"/>
    <w:rsid w:val="00AA4C7B"/>
    <w:rsid w:val="00AA7E29"/>
    <w:rsid w:val="00AB1E18"/>
    <w:rsid w:val="00AB31E8"/>
    <w:rsid w:val="00AB64EE"/>
    <w:rsid w:val="00AB752D"/>
    <w:rsid w:val="00AC06C0"/>
    <w:rsid w:val="00AC076F"/>
    <w:rsid w:val="00AC1A74"/>
    <w:rsid w:val="00AC243C"/>
    <w:rsid w:val="00AC4D16"/>
    <w:rsid w:val="00AC57F9"/>
    <w:rsid w:val="00AC64F0"/>
    <w:rsid w:val="00AC69C2"/>
    <w:rsid w:val="00AC7D6D"/>
    <w:rsid w:val="00AC7DEA"/>
    <w:rsid w:val="00AD31C7"/>
    <w:rsid w:val="00AD4664"/>
    <w:rsid w:val="00AD4C5B"/>
    <w:rsid w:val="00AD6D04"/>
    <w:rsid w:val="00AE0E49"/>
    <w:rsid w:val="00AE1845"/>
    <w:rsid w:val="00AE2673"/>
    <w:rsid w:val="00AE4621"/>
    <w:rsid w:val="00AE6876"/>
    <w:rsid w:val="00AE732E"/>
    <w:rsid w:val="00AE7CFE"/>
    <w:rsid w:val="00AF24AA"/>
    <w:rsid w:val="00AF263E"/>
    <w:rsid w:val="00AF28F8"/>
    <w:rsid w:val="00AF3256"/>
    <w:rsid w:val="00AF380C"/>
    <w:rsid w:val="00AF40BA"/>
    <w:rsid w:val="00AF4FB9"/>
    <w:rsid w:val="00AF6F89"/>
    <w:rsid w:val="00AF77EC"/>
    <w:rsid w:val="00B06C36"/>
    <w:rsid w:val="00B10B10"/>
    <w:rsid w:val="00B1121A"/>
    <w:rsid w:val="00B12326"/>
    <w:rsid w:val="00B145E1"/>
    <w:rsid w:val="00B15220"/>
    <w:rsid w:val="00B1614A"/>
    <w:rsid w:val="00B200A2"/>
    <w:rsid w:val="00B21BBD"/>
    <w:rsid w:val="00B24465"/>
    <w:rsid w:val="00B25179"/>
    <w:rsid w:val="00B26B1E"/>
    <w:rsid w:val="00B2700B"/>
    <w:rsid w:val="00B27F28"/>
    <w:rsid w:val="00B31FF4"/>
    <w:rsid w:val="00B328DC"/>
    <w:rsid w:val="00B343DA"/>
    <w:rsid w:val="00B34D28"/>
    <w:rsid w:val="00B37047"/>
    <w:rsid w:val="00B41586"/>
    <w:rsid w:val="00B46695"/>
    <w:rsid w:val="00B4745B"/>
    <w:rsid w:val="00B51A1E"/>
    <w:rsid w:val="00B563CC"/>
    <w:rsid w:val="00B56A86"/>
    <w:rsid w:val="00B578FB"/>
    <w:rsid w:val="00B57E08"/>
    <w:rsid w:val="00B63BC0"/>
    <w:rsid w:val="00B64199"/>
    <w:rsid w:val="00B664A1"/>
    <w:rsid w:val="00B67B22"/>
    <w:rsid w:val="00B67BB8"/>
    <w:rsid w:val="00B71244"/>
    <w:rsid w:val="00B72E76"/>
    <w:rsid w:val="00B7343A"/>
    <w:rsid w:val="00B73E8D"/>
    <w:rsid w:val="00B74EAA"/>
    <w:rsid w:val="00B75AEE"/>
    <w:rsid w:val="00B75D19"/>
    <w:rsid w:val="00B76803"/>
    <w:rsid w:val="00B76E0A"/>
    <w:rsid w:val="00B806E4"/>
    <w:rsid w:val="00B80FB7"/>
    <w:rsid w:val="00B8223A"/>
    <w:rsid w:val="00B82F41"/>
    <w:rsid w:val="00B83F93"/>
    <w:rsid w:val="00B846DD"/>
    <w:rsid w:val="00B9048C"/>
    <w:rsid w:val="00B91D0D"/>
    <w:rsid w:val="00B92F3C"/>
    <w:rsid w:val="00B95180"/>
    <w:rsid w:val="00B95FB0"/>
    <w:rsid w:val="00BA1CB4"/>
    <w:rsid w:val="00BA2716"/>
    <w:rsid w:val="00BA2A12"/>
    <w:rsid w:val="00BA7C90"/>
    <w:rsid w:val="00BB22EC"/>
    <w:rsid w:val="00BB2947"/>
    <w:rsid w:val="00BB33C6"/>
    <w:rsid w:val="00BB4025"/>
    <w:rsid w:val="00BB585C"/>
    <w:rsid w:val="00BC002D"/>
    <w:rsid w:val="00BC2CF4"/>
    <w:rsid w:val="00BC4D2F"/>
    <w:rsid w:val="00BC54B9"/>
    <w:rsid w:val="00BD2FE6"/>
    <w:rsid w:val="00BD3A00"/>
    <w:rsid w:val="00BD6189"/>
    <w:rsid w:val="00BE1844"/>
    <w:rsid w:val="00BE1A96"/>
    <w:rsid w:val="00BE345F"/>
    <w:rsid w:val="00BE44C7"/>
    <w:rsid w:val="00BE7331"/>
    <w:rsid w:val="00BF0295"/>
    <w:rsid w:val="00BF09AC"/>
    <w:rsid w:val="00BF2896"/>
    <w:rsid w:val="00BF5B2D"/>
    <w:rsid w:val="00C00A14"/>
    <w:rsid w:val="00C015F4"/>
    <w:rsid w:val="00C040F8"/>
    <w:rsid w:val="00C0542F"/>
    <w:rsid w:val="00C0701A"/>
    <w:rsid w:val="00C0716B"/>
    <w:rsid w:val="00C10E7C"/>
    <w:rsid w:val="00C16DFD"/>
    <w:rsid w:val="00C17C43"/>
    <w:rsid w:val="00C17C53"/>
    <w:rsid w:val="00C21C92"/>
    <w:rsid w:val="00C32C0C"/>
    <w:rsid w:val="00C33968"/>
    <w:rsid w:val="00C33CE6"/>
    <w:rsid w:val="00C3489A"/>
    <w:rsid w:val="00C350F6"/>
    <w:rsid w:val="00C35174"/>
    <w:rsid w:val="00C35628"/>
    <w:rsid w:val="00C369B9"/>
    <w:rsid w:val="00C36DB1"/>
    <w:rsid w:val="00C43F6C"/>
    <w:rsid w:val="00C43F7F"/>
    <w:rsid w:val="00C442E8"/>
    <w:rsid w:val="00C4697E"/>
    <w:rsid w:val="00C47341"/>
    <w:rsid w:val="00C47686"/>
    <w:rsid w:val="00C47B1D"/>
    <w:rsid w:val="00C511AF"/>
    <w:rsid w:val="00C51FEB"/>
    <w:rsid w:val="00C52DE5"/>
    <w:rsid w:val="00C555BA"/>
    <w:rsid w:val="00C564D5"/>
    <w:rsid w:val="00C565C7"/>
    <w:rsid w:val="00C619BD"/>
    <w:rsid w:val="00C63928"/>
    <w:rsid w:val="00C64F7C"/>
    <w:rsid w:val="00C669CE"/>
    <w:rsid w:val="00C72F04"/>
    <w:rsid w:val="00C82867"/>
    <w:rsid w:val="00C82C6D"/>
    <w:rsid w:val="00C8350F"/>
    <w:rsid w:val="00C85214"/>
    <w:rsid w:val="00C85224"/>
    <w:rsid w:val="00C85B64"/>
    <w:rsid w:val="00C85C2C"/>
    <w:rsid w:val="00C8757A"/>
    <w:rsid w:val="00C87D53"/>
    <w:rsid w:val="00C87E44"/>
    <w:rsid w:val="00C91D9A"/>
    <w:rsid w:val="00C92F69"/>
    <w:rsid w:val="00C93F26"/>
    <w:rsid w:val="00C94C9C"/>
    <w:rsid w:val="00C95CC6"/>
    <w:rsid w:val="00C96DDD"/>
    <w:rsid w:val="00CA06AB"/>
    <w:rsid w:val="00CA2110"/>
    <w:rsid w:val="00CA3C8C"/>
    <w:rsid w:val="00CA4D8A"/>
    <w:rsid w:val="00CA5DB8"/>
    <w:rsid w:val="00CB08D3"/>
    <w:rsid w:val="00CB1CB1"/>
    <w:rsid w:val="00CB4D9F"/>
    <w:rsid w:val="00CB5A7F"/>
    <w:rsid w:val="00CB7385"/>
    <w:rsid w:val="00CB795E"/>
    <w:rsid w:val="00CC189A"/>
    <w:rsid w:val="00CC54C0"/>
    <w:rsid w:val="00CC5599"/>
    <w:rsid w:val="00CC6E05"/>
    <w:rsid w:val="00CD01A2"/>
    <w:rsid w:val="00CD1585"/>
    <w:rsid w:val="00CD2649"/>
    <w:rsid w:val="00CD52CD"/>
    <w:rsid w:val="00CE2606"/>
    <w:rsid w:val="00CE2992"/>
    <w:rsid w:val="00CE2B8A"/>
    <w:rsid w:val="00CE4807"/>
    <w:rsid w:val="00CE4EE3"/>
    <w:rsid w:val="00CE52F4"/>
    <w:rsid w:val="00CE6773"/>
    <w:rsid w:val="00CF0FC0"/>
    <w:rsid w:val="00CF0FDD"/>
    <w:rsid w:val="00CF1338"/>
    <w:rsid w:val="00D01CDB"/>
    <w:rsid w:val="00D020EE"/>
    <w:rsid w:val="00D02139"/>
    <w:rsid w:val="00D060A9"/>
    <w:rsid w:val="00D102AA"/>
    <w:rsid w:val="00D1402B"/>
    <w:rsid w:val="00D14AA8"/>
    <w:rsid w:val="00D14B94"/>
    <w:rsid w:val="00D15859"/>
    <w:rsid w:val="00D15B37"/>
    <w:rsid w:val="00D16365"/>
    <w:rsid w:val="00D26199"/>
    <w:rsid w:val="00D273CF"/>
    <w:rsid w:val="00D3186A"/>
    <w:rsid w:val="00D329AD"/>
    <w:rsid w:val="00D35BB5"/>
    <w:rsid w:val="00D36233"/>
    <w:rsid w:val="00D40AC4"/>
    <w:rsid w:val="00D41005"/>
    <w:rsid w:val="00D41A02"/>
    <w:rsid w:val="00D436CC"/>
    <w:rsid w:val="00D4714F"/>
    <w:rsid w:val="00D543AC"/>
    <w:rsid w:val="00D551DC"/>
    <w:rsid w:val="00D5533A"/>
    <w:rsid w:val="00D56B3A"/>
    <w:rsid w:val="00D56EF9"/>
    <w:rsid w:val="00D60E4A"/>
    <w:rsid w:val="00D62F51"/>
    <w:rsid w:val="00D63AE7"/>
    <w:rsid w:val="00D63E8F"/>
    <w:rsid w:val="00D656B3"/>
    <w:rsid w:val="00D65E76"/>
    <w:rsid w:val="00D669F4"/>
    <w:rsid w:val="00D66AAB"/>
    <w:rsid w:val="00D67238"/>
    <w:rsid w:val="00D67468"/>
    <w:rsid w:val="00D67F1C"/>
    <w:rsid w:val="00D73C7A"/>
    <w:rsid w:val="00D74901"/>
    <w:rsid w:val="00D74E92"/>
    <w:rsid w:val="00D77C23"/>
    <w:rsid w:val="00D82FC4"/>
    <w:rsid w:val="00D85758"/>
    <w:rsid w:val="00D8661D"/>
    <w:rsid w:val="00D9365F"/>
    <w:rsid w:val="00D948B2"/>
    <w:rsid w:val="00D9660D"/>
    <w:rsid w:val="00DA43AB"/>
    <w:rsid w:val="00DA4442"/>
    <w:rsid w:val="00DA52DD"/>
    <w:rsid w:val="00DA5DF6"/>
    <w:rsid w:val="00DA6EA2"/>
    <w:rsid w:val="00DB0A74"/>
    <w:rsid w:val="00DB113E"/>
    <w:rsid w:val="00DB262A"/>
    <w:rsid w:val="00DB3BAA"/>
    <w:rsid w:val="00DB5CDE"/>
    <w:rsid w:val="00DB65C6"/>
    <w:rsid w:val="00DB660C"/>
    <w:rsid w:val="00DC0245"/>
    <w:rsid w:val="00DC17BE"/>
    <w:rsid w:val="00DC2B85"/>
    <w:rsid w:val="00DC6A6F"/>
    <w:rsid w:val="00DD23EA"/>
    <w:rsid w:val="00DD5089"/>
    <w:rsid w:val="00DD771B"/>
    <w:rsid w:val="00DE0DF3"/>
    <w:rsid w:val="00DE1F3A"/>
    <w:rsid w:val="00DE3F2E"/>
    <w:rsid w:val="00DE646B"/>
    <w:rsid w:val="00DE77BC"/>
    <w:rsid w:val="00DF41E7"/>
    <w:rsid w:val="00DF44F5"/>
    <w:rsid w:val="00DF7560"/>
    <w:rsid w:val="00DF7FB7"/>
    <w:rsid w:val="00E012AD"/>
    <w:rsid w:val="00E01AE9"/>
    <w:rsid w:val="00E02B4A"/>
    <w:rsid w:val="00E036C3"/>
    <w:rsid w:val="00E04C2E"/>
    <w:rsid w:val="00E05CB3"/>
    <w:rsid w:val="00E06FAD"/>
    <w:rsid w:val="00E07EAD"/>
    <w:rsid w:val="00E134B3"/>
    <w:rsid w:val="00E14219"/>
    <w:rsid w:val="00E22733"/>
    <w:rsid w:val="00E23209"/>
    <w:rsid w:val="00E26251"/>
    <w:rsid w:val="00E265A2"/>
    <w:rsid w:val="00E271E0"/>
    <w:rsid w:val="00E27505"/>
    <w:rsid w:val="00E3037E"/>
    <w:rsid w:val="00E31F4B"/>
    <w:rsid w:val="00E3248C"/>
    <w:rsid w:val="00E3426C"/>
    <w:rsid w:val="00E36275"/>
    <w:rsid w:val="00E4107F"/>
    <w:rsid w:val="00E41BFD"/>
    <w:rsid w:val="00E429B2"/>
    <w:rsid w:val="00E432C0"/>
    <w:rsid w:val="00E44EC8"/>
    <w:rsid w:val="00E44FA4"/>
    <w:rsid w:val="00E467E8"/>
    <w:rsid w:val="00E54305"/>
    <w:rsid w:val="00E549E4"/>
    <w:rsid w:val="00E54EB7"/>
    <w:rsid w:val="00E558FC"/>
    <w:rsid w:val="00E630B0"/>
    <w:rsid w:val="00E6335E"/>
    <w:rsid w:val="00E6356F"/>
    <w:rsid w:val="00E64426"/>
    <w:rsid w:val="00E654F2"/>
    <w:rsid w:val="00E657B1"/>
    <w:rsid w:val="00E65B54"/>
    <w:rsid w:val="00E71995"/>
    <w:rsid w:val="00E72C93"/>
    <w:rsid w:val="00E82FCC"/>
    <w:rsid w:val="00E84781"/>
    <w:rsid w:val="00E84C63"/>
    <w:rsid w:val="00E851AE"/>
    <w:rsid w:val="00E85B89"/>
    <w:rsid w:val="00E866CA"/>
    <w:rsid w:val="00E92894"/>
    <w:rsid w:val="00E932C4"/>
    <w:rsid w:val="00E933B7"/>
    <w:rsid w:val="00E945B0"/>
    <w:rsid w:val="00E95B83"/>
    <w:rsid w:val="00E96942"/>
    <w:rsid w:val="00E9760C"/>
    <w:rsid w:val="00E976EE"/>
    <w:rsid w:val="00EA0B7B"/>
    <w:rsid w:val="00EA144F"/>
    <w:rsid w:val="00EA17B5"/>
    <w:rsid w:val="00EA3424"/>
    <w:rsid w:val="00EA529D"/>
    <w:rsid w:val="00EA6DD9"/>
    <w:rsid w:val="00EB4ABB"/>
    <w:rsid w:val="00EB5AEB"/>
    <w:rsid w:val="00EB656F"/>
    <w:rsid w:val="00EC2091"/>
    <w:rsid w:val="00EC3EBE"/>
    <w:rsid w:val="00EC598F"/>
    <w:rsid w:val="00EC685E"/>
    <w:rsid w:val="00ED4551"/>
    <w:rsid w:val="00ED4A98"/>
    <w:rsid w:val="00ED5AF8"/>
    <w:rsid w:val="00EE094E"/>
    <w:rsid w:val="00EE35F5"/>
    <w:rsid w:val="00EE38C8"/>
    <w:rsid w:val="00EE58B3"/>
    <w:rsid w:val="00EE7F99"/>
    <w:rsid w:val="00EF0D64"/>
    <w:rsid w:val="00EF26CD"/>
    <w:rsid w:val="00EF2AA7"/>
    <w:rsid w:val="00EF56CA"/>
    <w:rsid w:val="00EF5773"/>
    <w:rsid w:val="00EF6496"/>
    <w:rsid w:val="00EF66C5"/>
    <w:rsid w:val="00F005B3"/>
    <w:rsid w:val="00F009B0"/>
    <w:rsid w:val="00F011F2"/>
    <w:rsid w:val="00F01856"/>
    <w:rsid w:val="00F029C2"/>
    <w:rsid w:val="00F02A1B"/>
    <w:rsid w:val="00F10102"/>
    <w:rsid w:val="00F10963"/>
    <w:rsid w:val="00F113A2"/>
    <w:rsid w:val="00F13BEA"/>
    <w:rsid w:val="00F179BF"/>
    <w:rsid w:val="00F20D2D"/>
    <w:rsid w:val="00F21B6C"/>
    <w:rsid w:val="00F23EDB"/>
    <w:rsid w:val="00F249FA"/>
    <w:rsid w:val="00F251EE"/>
    <w:rsid w:val="00F26667"/>
    <w:rsid w:val="00F33505"/>
    <w:rsid w:val="00F36877"/>
    <w:rsid w:val="00F36EAE"/>
    <w:rsid w:val="00F44EC6"/>
    <w:rsid w:val="00F45B86"/>
    <w:rsid w:val="00F4703D"/>
    <w:rsid w:val="00F55457"/>
    <w:rsid w:val="00F61A90"/>
    <w:rsid w:val="00F6472A"/>
    <w:rsid w:val="00F67A7A"/>
    <w:rsid w:val="00F71DA2"/>
    <w:rsid w:val="00F73496"/>
    <w:rsid w:val="00F7484F"/>
    <w:rsid w:val="00F75A0A"/>
    <w:rsid w:val="00F76001"/>
    <w:rsid w:val="00F80250"/>
    <w:rsid w:val="00F82B97"/>
    <w:rsid w:val="00F82F7C"/>
    <w:rsid w:val="00F84ACB"/>
    <w:rsid w:val="00F86773"/>
    <w:rsid w:val="00F953F4"/>
    <w:rsid w:val="00FA0BD3"/>
    <w:rsid w:val="00FA2D04"/>
    <w:rsid w:val="00FA2EEA"/>
    <w:rsid w:val="00FA3A87"/>
    <w:rsid w:val="00FA4189"/>
    <w:rsid w:val="00FA5622"/>
    <w:rsid w:val="00FA5CA8"/>
    <w:rsid w:val="00FA64F8"/>
    <w:rsid w:val="00FA76CE"/>
    <w:rsid w:val="00FB12C5"/>
    <w:rsid w:val="00FB228D"/>
    <w:rsid w:val="00FB38F0"/>
    <w:rsid w:val="00FB4902"/>
    <w:rsid w:val="00FB62AE"/>
    <w:rsid w:val="00FB6E90"/>
    <w:rsid w:val="00FB79BF"/>
    <w:rsid w:val="00FB7EC3"/>
    <w:rsid w:val="00FC100E"/>
    <w:rsid w:val="00FC1DF9"/>
    <w:rsid w:val="00FC4004"/>
    <w:rsid w:val="00FC4B65"/>
    <w:rsid w:val="00FC4DCC"/>
    <w:rsid w:val="00FC4DE8"/>
    <w:rsid w:val="00FD450C"/>
    <w:rsid w:val="00FD4BEC"/>
    <w:rsid w:val="00FD58B8"/>
    <w:rsid w:val="00FE033C"/>
    <w:rsid w:val="00FE2781"/>
    <w:rsid w:val="00FE2DB7"/>
    <w:rsid w:val="00FE3762"/>
    <w:rsid w:val="00FE472B"/>
    <w:rsid w:val="00FE7454"/>
    <w:rsid w:val="00FF0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8262D"/>
  <w15:docId w15:val="{DF87B164-8BF7-4FFD-B143-3783B9B9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E8"/>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fr,Footnote Reference Superscript,Footnote Reference in text,Footnote symbol,Style 12"/>
    <w:basedOn w:val="DefaultParagraphFont"/>
    <w:uiPriority w:val="99"/>
    <w:unhideWhenUsed/>
    <w:qFormat/>
    <w:rsid w:val="001F6B30"/>
    <w:rPr>
      <w:vertAlign w:val="superscript"/>
    </w:rPr>
  </w:style>
  <w:style w:type="character" w:customStyle="1" w:styleId="Heading2Char">
    <w:name w:val="Heading 2 Char"/>
    <w:basedOn w:val="DefaultParagraphFont"/>
    <w:link w:val="Heading2"/>
    <w:uiPriority w:val="9"/>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 w:type="paragraph" w:customStyle="1" w:styleId="Default">
    <w:name w:val="Default"/>
    <w:rsid w:val="005A4B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26573"/>
    <w:rPr>
      <w:color w:val="0000FF"/>
      <w:u w:val="single"/>
    </w:rPr>
  </w:style>
  <w:style w:type="paragraph" w:styleId="NoSpacing">
    <w:name w:val="No Spacing"/>
    <w:uiPriority w:val="1"/>
    <w:qFormat/>
    <w:rsid w:val="00326573"/>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62608482">
      <w:bodyDiv w:val="1"/>
      <w:marLeft w:val="0"/>
      <w:marRight w:val="0"/>
      <w:marTop w:val="0"/>
      <w:marBottom w:val="0"/>
      <w:divBdr>
        <w:top w:val="none" w:sz="0" w:space="0" w:color="auto"/>
        <w:left w:val="none" w:sz="0" w:space="0" w:color="auto"/>
        <w:bottom w:val="none" w:sz="0" w:space="0" w:color="auto"/>
        <w:right w:val="none" w:sz="0" w:space="0" w:color="auto"/>
      </w:divBdr>
    </w:div>
    <w:div w:id="81337894">
      <w:bodyDiv w:val="1"/>
      <w:marLeft w:val="0"/>
      <w:marRight w:val="0"/>
      <w:marTop w:val="0"/>
      <w:marBottom w:val="0"/>
      <w:divBdr>
        <w:top w:val="none" w:sz="0" w:space="0" w:color="auto"/>
        <w:left w:val="none" w:sz="0" w:space="0" w:color="auto"/>
        <w:bottom w:val="none" w:sz="0" w:space="0" w:color="auto"/>
        <w:right w:val="none" w:sz="0" w:space="0" w:color="auto"/>
      </w:divBdr>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239602988">
      <w:bodyDiv w:val="1"/>
      <w:marLeft w:val="0"/>
      <w:marRight w:val="0"/>
      <w:marTop w:val="0"/>
      <w:marBottom w:val="0"/>
      <w:divBdr>
        <w:top w:val="none" w:sz="0" w:space="0" w:color="auto"/>
        <w:left w:val="none" w:sz="0" w:space="0" w:color="auto"/>
        <w:bottom w:val="none" w:sz="0" w:space="0" w:color="auto"/>
        <w:right w:val="none" w:sz="0" w:space="0" w:color="auto"/>
      </w:divBdr>
      <w:divsChild>
        <w:div w:id="1723942439">
          <w:marLeft w:val="0"/>
          <w:marRight w:val="0"/>
          <w:marTop w:val="240"/>
          <w:marBottom w:val="0"/>
          <w:divBdr>
            <w:top w:val="none" w:sz="0" w:space="0" w:color="auto"/>
            <w:left w:val="none" w:sz="0" w:space="0" w:color="auto"/>
            <w:bottom w:val="none" w:sz="0" w:space="0" w:color="auto"/>
            <w:right w:val="none" w:sz="0" w:space="0" w:color="auto"/>
          </w:divBdr>
        </w:div>
        <w:div w:id="1766029112">
          <w:marLeft w:val="0"/>
          <w:marRight w:val="0"/>
          <w:marTop w:val="120"/>
          <w:marBottom w:val="0"/>
          <w:divBdr>
            <w:top w:val="none" w:sz="0" w:space="0" w:color="auto"/>
            <w:left w:val="none" w:sz="0" w:space="0" w:color="auto"/>
            <w:bottom w:val="none" w:sz="0" w:space="0" w:color="auto"/>
            <w:right w:val="none" w:sz="0" w:space="0" w:color="auto"/>
          </w:divBdr>
        </w:div>
        <w:div w:id="1315337768">
          <w:marLeft w:val="1134"/>
          <w:marRight w:val="0"/>
          <w:marTop w:val="60"/>
          <w:marBottom w:val="0"/>
          <w:divBdr>
            <w:top w:val="none" w:sz="0" w:space="0" w:color="auto"/>
            <w:left w:val="none" w:sz="0" w:space="0" w:color="auto"/>
            <w:bottom w:val="none" w:sz="0" w:space="0" w:color="auto"/>
            <w:right w:val="none" w:sz="0" w:space="0" w:color="auto"/>
          </w:divBdr>
        </w:div>
        <w:div w:id="238027739">
          <w:marLeft w:val="1985"/>
          <w:marRight w:val="0"/>
          <w:marTop w:val="60"/>
          <w:marBottom w:val="0"/>
          <w:divBdr>
            <w:top w:val="none" w:sz="0" w:space="0" w:color="auto"/>
            <w:left w:val="none" w:sz="0" w:space="0" w:color="auto"/>
            <w:bottom w:val="none" w:sz="0" w:space="0" w:color="auto"/>
            <w:right w:val="none" w:sz="0" w:space="0" w:color="auto"/>
          </w:divBdr>
        </w:div>
        <w:div w:id="1823353647">
          <w:marLeft w:val="1985"/>
          <w:marRight w:val="0"/>
          <w:marTop w:val="60"/>
          <w:marBottom w:val="0"/>
          <w:divBdr>
            <w:top w:val="none" w:sz="0" w:space="0" w:color="auto"/>
            <w:left w:val="none" w:sz="0" w:space="0" w:color="auto"/>
            <w:bottom w:val="none" w:sz="0" w:space="0" w:color="auto"/>
            <w:right w:val="none" w:sz="0" w:space="0" w:color="auto"/>
          </w:divBdr>
        </w:div>
        <w:div w:id="779686716">
          <w:marLeft w:val="1134"/>
          <w:marRight w:val="0"/>
          <w:marTop w:val="60"/>
          <w:marBottom w:val="0"/>
          <w:divBdr>
            <w:top w:val="none" w:sz="0" w:space="0" w:color="auto"/>
            <w:left w:val="none" w:sz="0" w:space="0" w:color="auto"/>
            <w:bottom w:val="none" w:sz="0" w:space="0" w:color="auto"/>
            <w:right w:val="none" w:sz="0" w:space="0" w:color="auto"/>
          </w:divBdr>
        </w:div>
        <w:div w:id="2118985791">
          <w:marLeft w:val="1134"/>
          <w:marRight w:val="0"/>
          <w:marTop w:val="60"/>
          <w:marBottom w:val="0"/>
          <w:divBdr>
            <w:top w:val="none" w:sz="0" w:space="0" w:color="auto"/>
            <w:left w:val="none" w:sz="0" w:space="0" w:color="auto"/>
            <w:bottom w:val="none" w:sz="0" w:space="0" w:color="auto"/>
            <w:right w:val="none" w:sz="0" w:space="0" w:color="auto"/>
          </w:divBdr>
        </w:div>
      </w:divsChild>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374895197">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578641487">
      <w:bodyDiv w:val="1"/>
      <w:marLeft w:val="0"/>
      <w:marRight w:val="0"/>
      <w:marTop w:val="0"/>
      <w:marBottom w:val="0"/>
      <w:divBdr>
        <w:top w:val="none" w:sz="0" w:space="0" w:color="auto"/>
        <w:left w:val="none" w:sz="0" w:space="0" w:color="auto"/>
        <w:bottom w:val="none" w:sz="0" w:space="0" w:color="auto"/>
        <w:right w:val="none" w:sz="0" w:space="0" w:color="auto"/>
      </w:divBdr>
      <w:divsChild>
        <w:div w:id="479466404">
          <w:marLeft w:val="0"/>
          <w:marRight w:val="0"/>
          <w:marTop w:val="240"/>
          <w:marBottom w:val="0"/>
          <w:divBdr>
            <w:top w:val="none" w:sz="0" w:space="0" w:color="auto"/>
            <w:left w:val="none" w:sz="0" w:space="0" w:color="auto"/>
            <w:bottom w:val="none" w:sz="0" w:space="0" w:color="auto"/>
            <w:right w:val="none" w:sz="0" w:space="0" w:color="auto"/>
          </w:divBdr>
        </w:div>
        <w:div w:id="2140371761">
          <w:marLeft w:val="0"/>
          <w:marRight w:val="0"/>
          <w:marTop w:val="120"/>
          <w:marBottom w:val="0"/>
          <w:divBdr>
            <w:top w:val="none" w:sz="0" w:space="0" w:color="auto"/>
            <w:left w:val="none" w:sz="0" w:space="0" w:color="auto"/>
            <w:bottom w:val="none" w:sz="0" w:space="0" w:color="auto"/>
            <w:right w:val="none" w:sz="0" w:space="0" w:color="auto"/>
          </w:divBdr>
        </w:div>
        <w:div w:id="1156530710">
          <w:marLeft w:val="1985"/>
          <w:marRight w:val="0"/>
          <w:marTop w:val="60"/>
          <w:marBottom w:val="0"/>
          <w:divBdr>
            <w:top w:val="none" w:sz="0" w:space="0" w:color="auto"/>
            <w:left w:val="none" w:sz="0" w:space="0" w:color="auto"/>
            <w:bottom w:val="none" w:sz="0" w:space="0" w:color="auto"/>
            <w:right w:val="none" w:sz="0" w:space="0" w:color="auto"/>
          </w:divBdr>
        </w:div>
        <w:div w:id="1891920154">
          <w:marLeft w:val="1985"/>
          <w:marRight w:val="0"/>
          <w:marTop w:val="60"/>
          <w:marBottom w:val="0"/>
          <w:divBdr>
            <w:top w:val="none" w:sz="0" w:space="0" w:color="auto"/>
            <w:left w:val="none" w:sz="0" w:space="0" w:color="auto"/>
            <w:bottom w:val="none" w:sz="0" w:space="0" w:color="auto"/>
            <w:right w:val="none" w:sz="0" w:space="0" w:color="auto"/>
          </w:divBdr>
        </w:div>
        <w:div w:id="808674071">
          <w:marLeft w:val="1134"/>
          <w:marRight w:val="0"/>
          <w:marTop w:val="60"/>
          <w:marBottom w:val="0"/>
          <w:divBdr>
            <w:top w:val="none" w:sz="0" w:space="0" w:color="auto"/>
            <w:left w:val="none" w:sz="0" w:space="0" w:color="auto"/>
            <w:bottom w:val="none" w:sz="0" w:space="0" w:color="auto"/>
            <w:right w:val="none" w:sz="0" w:space="0" w:color="auto"/>
          </w:divBdr>
        </w:div>
        <w:div w:id="278680800">
          <w:marLeft w:val="1134"/>
          <w:marRight w:val="0"/>
          <w:marTop w:val="60"/>
          <w:marBottom w:val="0"/>
          <w:divBdr>
            <w:top w:val="none" w:sz="0" w:space="0" w:color="auto"/>
            <w:left w:val="none" w:sz="0" w:space="0" w:color="auto"/>
            <w:bottom w:val="none" w:sz="0" w:space="0" w:color="auto"/>
            <w:right w:val="none" w:sz="0" w:space="0" w:color="auto"/>
          </w:divBdr>
        </w:div>
        <w:div w:id="935791327">
          <w:marLeft w:val="0"/>
          <w:marRight w:val="0"/>
          <w:marTop w:val="120"/>
          <w:marBottom w:val="0"/>
          <w:divBdr>
            <w:top w:val="none" w:sz="0" w:space="0" w:color="auto"/>
            <w:left w:val="none" w:sz="0" w:space="0" w:color="auto"/>
            <w:bottom w:val="none" w:sz="0" w:space="0" w:color="auto"/>
            <w:right w:val="none" w:sz="0" w:space="0" w:color="auto"/>
          </w:divBdr>
        </w:div>
        <w:div w:id="341516511">
          <w:marLeft w:val="0"/>
          <w:marRight w:val="0"/>
          <w:marTop w:val="60"/>
          <w:marBottom w:val="0"/>
          <w:divBdr>
            <w:top w:val="none" w:sz="0" w:space="0" w:color="auto"/>
            <w:left w:val="none" w:sz="0" w:space="0" w:color="auto"/>
            <w:bottom w:val="none" w:sz="0" w:space="0" w:color="auto"/>
            <w:right w:val="none" w:sz="0" w:space="0" w:color="auto"/>
          </w:divBdr>
        </w:div>
        <w:div w:id="236521283">
          <w:marLeft w:val="0"/>
          <w:marRight w:val="0"/>
          <w:marTop w:val="60"/>
          <w:marBottom w:val="0"/>
          <w:divBdr>
            <w:top w:val="none" w:sz="0" w:space="0" w:color="auto"/>
            <w:left w:val="none" w:sz="0" w:space="0" w:color="auto"/>
            <w:bottom w:val="none" w:sz="0" w:space="0" w:color="auto"/>
            <w:right w:val="none" w:sz="0" w:space="0" w:color="auto"/>
          </w:divBdr>
        </w:div>
        <w:div w:id="685407388">
          <w:marLeft w:val="0"/>
          <w:marRight w:val="0"/>
          <w:marTop w:val="60"/>
          <w:marBottom w:val="0"/>
          <w:divBdr>
            <w:top w:val="none" w:sz="0" w:space="0" w:color="auto"/>
            <w:left w:val="none" w:sz="0" w:space="0" w:color="auto"/>
            <w:bottom w:val="none" w:sz="0" w:space="0" w:color="auto"/>
            <w:right w:val="none" w:sz="0" w:space="0" w:color="auto"/>
          </w:divBdr>
        </w:div>
      </w:divsChild>
    </w:div>
    <w:div w:id="79398813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922181497">
      <w:bodyDiv w:val="1"/>
      <w:marLeft w:val="0"/>
      <w:marRight w:val="0"/>
      <w:marTop w:val="0"/>
      <w:marBottom w:val="0"/>
      <w:divBdr>
        <w:top w:val="none" w:sz="0" w:space="0" w:color="auto"/>
        <w:left w:val="none" w:sz="0" w:space="0" w:color="auto"/>
        <w:bottom w:val="none" w:sz="0" w:space="0" w:color="auto"/>
        <w:right w:val="none" w:sz="0" w:space="0" w:color="auto"/>
      </w:divBdr>
    </w:div>
    <w:div w:id="1038355190">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239293951">
      <w:bodyDiv w:val="1"/>
      <w:marLeft w:val="0"/>
      <w:marRight w:val="0"/>
      <w:marTop w:val="0"/>
      <w:marBottom w:val="0"/>
      <w:divBdr>
        <w:top w:val="none" w:sz="0" w:space="0" w:color="auto"/>
        <w:left w:val="none" w:sz="0" w:space="0" w:color="auto"/>
        <w:bottom w:val="none" w:sz="0" w:space="0" w:color="auto"/>
        <w:right w:val="none" w:sz="0" w:space="0" w:color="auto"/>
      </w:divBdr>
    </w:div>
    <w:div w:id="1251160837">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536384237">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1746150304">
      <w:bodyDiv w:val="1"/>
      <w:marLeft w:val="0"/>
      <w:marRight w:val="0"/>
      <w:marTop w:val="0"/>
      <w:marBottom w:val="0"/>
      <w:divBdr>
        <w:top w:val="none" w:sz="0" w:space="0" w:color="auto"/>
        <w:left w:val="none" w:sz="0" w:space="0" w:color="auto"/>
        <w:bottom w:val="none" w:sz="0" w:space="0" w:color="auto"/>
        <w:right w:val="none" w:sz="0" w:space="0" w:color="auto"/>
      </w:divBdr>
    </w:div>
    <w:div w:id="1792817748">
      <w:bodyDiv w:val="1"/>
      <w:marLeft w:val="0"/>
      <w:marRight w:val="0"/>
      <w:marTop w:val="0"/>
      <w:marBottom w:val="0"/>
      <w:divBdr>
        <w:top w:val="none" w:sz="0" w:space="0" w:color="auto"/>
        <w:left w:val="none" w:sz="0" w:space="0" w:color="auto"/>
        <w:bottom w:val="none" w:sz="0" w:space="0" w:color="auto"/>
        <w:right w:val="none" w:sz="0" w:space="0" w:color="auto"/>
      </w:divBdr>
    </w:div>
    <w:div w:id="1886672398">
      <w:bodyDiv w:val="1"/>
      <w:marLeft w:val="0"/>
      <w:marRight w:val="0"/>
      <w:marTop w:val="0"/>
      <w:marBottom w:val="0"/>
      <w:divBdr>
        <w:top w:val="none" w:sz="0" w:space="0" w:color="auto"/>
        <w:left w:val="none" w:sz="0" w:space="0" w:color="auto"/>
        <w:bottom w:val="none" w:sz="0" w:space="0" w:color="auto"/>
        <w:right w:val="none" w:sz="0" w:space="0" w:color="auto"/>
      </w:divBdr>
    </w:div>
    <w:div w:id="2018920066">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7256-4C24-4BCC-9226-14139D87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5683</Words>
  <Characters>32397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Judge-Leonie Windell</dc:creator>
  <cp:lastModifiedBy>Veruschka DeKlerk</cp:lastModifiedBy>
  <cp:revision>3</cp:revision>
  <cp:lastPrinted>2024-03-26T14:14:00Z</cp:lastPrinted>
  <dcterms:created xsi:type="dcterms:W3CDTF">2024-04-12T09:25:00Z</dcterms:created>
  <dcterms:modified xsi:type="dcterms:W3CDTF">2024-04-12T10:04:00Z</dcterms:modified>
</cp:coreProperties>
</file>