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0D2A" w14:textId="77777777" w:rsidR="00B83FA5" w:rsidRPr="002F00D9" w:rsidRDefault="00B83FA5" w:rsidP="0016595D">
      <w:pPr>
        <w:rPr>
          <w:b/>
          <w:bCs/>
          <w:sz w:val="28"/>
          <w:szCs w:val="28"/>
        </w:rPr>
      </w:pPr>
      <w:bookmarkStart w:id="0" w:name="_GoBack"/>
      <w:bookmarkEnd w:id="0"/>
      <w:r w:rsidRPr="002F00D9">
        <w:rPr>
          <w:noProof/>
          <w:sz w:val="28"/>
          <w:szCs w:val="28"/>
          <w:lang w:val="en-ZA" w:eastAsia="en-ZA"/>
        </w:rPr>
        <w:drawing>
          <wp:anchor distT="0" distB="0" distL="114300" distR="114300" simplePos="0" relativeHeight="251658240" behindDoc="0" locked="0" layoutInCell="1" allowOverlap="1" wp14:anchorId="3A94D217" wp14:editId="71605C82">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025C239" w14:textId="77777777" w:rsidR="00B83FA5" w:rsidRPr="002F00D9" w:rsidRDefault="00B83FA5" w:rsidP="0016595D">
      <w:pPr>
        <w:jc w:val="center"/>
        <w:rPr>
          <w:b/>
          <w:bCs/>
          <w:sz w:val="28"/>
          <w:szCs w:val="28"/>
        </w:rPr>
      </w:pPr>
    </w:p>
    <w:p w14:paraId="5398E6DD" w14:textId="77777777" w:rsidR="00B83FA5" w:rsidRPr="002F00D9" w:rsidRDefault="00B83FA5" w:rsidP="0016595D">
      <w:pPr>
        <w:jc w:val="center"/>
        <w:rPr>
          <w:b/>
          <w:bCs/>
          <w:sz w:val="28"/>
          <w:szCs w:val="28"/>
        </w:rPr>
      </w:pPr>
    </w:p>
    <w:p w14:paraId="2BDD842D" w14:textId="77777777" w:rsidR="00B83FA5" w:rsidRPr="002F00D9" w:rsidRDefault="00B83FA5" w:rsidP="0016595D">
      <w:pPr>
        <w:jc w:val="center"/>
        <w:rPr>
          <w:b/>
          <w:bCs/>
          <w:sz w:val="16"/>
          <w:szCs w:val="16"/>
        </w:rPr>
      </w:pPr>
    </w:p>
    <w:p w14:paraId="6C248EA8" w14:textId="77777777" w:rsidR="00B83FA5" w:rsidRPr="002F00D9" w:rsidRDefault="00B83FA5" w:rsidP="000964E0">
      <w:pPr>
        <w:jc w:val="center"/>
        <w:rPr>
          <w:b/>
          <w:bCs/>
          <w:sz w:val="28"/>
          <w:szCs w:val="28"/>
        </w:rPr>
      </w:pPr>
      <w:r w:rsidRPr="002F00D9">
        <w:rPr>
          <w:b/>
          <w:bCs/>
          <w:sz w:val="28"/>
          <w:szCs w:val="28"/>
        </w:rPr>
        <w:t>THE SUPREME COURT OF APPEAL OF SOUTH AFRICA</w:t>
      </w:r>
    </w:p>
    <w:p w14:paraId="5181BAD7" w14:textId="77777777" w:rsidR="00B83FA5" w:rsidRPr="002F00D9" w:rsidRDefault="00B83FA5" w:rsidP="000964E0">
      <w:pPr>
        <w:pStyle w:val="Heading3"/>
        <w:jc w:val="center"/>
        <w:rPr>
          <w:rFonts w:ascii="Times New Roman" w:hAnsi="Times New Roman" w:cs="Times New Roman"/>
          <w:b/>
          <w:i w:val="0"/>
          <w:szCs w:val="28"/>
        </w:rPr>
      </w:pPr>
      <w:r w:rsidRPr="002F00D9">
        <w:rPr>
          <w:rFonts w:ascii="Times New Roman" w:hAnsi="Times New Roman" w:cs="Times New Roman"/>
          <w:b/>
          <w:i w:val="0"/>
          <w:szCs w:val="28"/>
        </w:rPr>
        <w:t>JUDGMENT</w:t>
      </w:r>
    </w:p>
    <w:p w14:paraId="78E9B506" w14:textId="2871FD8A" w:rsidR="00B83FA5" w:rsidRPr="002F00D9" w:rsidRDefault="00B77E63" w:rsidP="000964E0">
      <w:pPr>
        <w:spacing w:before="120"/>
        <w:jc w:val="right"/>
        <w:rPr>
          <w:b/>
          <w:sz w:val="28"/>
          <w:szCs w:val="28"/>
        </w:rPr>
      </w:pPr>
      <w:r w:rsidRPr="002F00D9">
        <w:rPr>
          <w:b/>
          <w:sz w:val="28"/>
          <w:szCs w:val="28"/>
        </w:rPr>
        <w:t>Reportable</w:t>
      </w:r>
    </w:p>
    <w:p w14:paraId="38D2AF1A" w14:textId="74730764" w:rsidR="00B83FA5" w:rsidRPr="002F00D9" w:rsidRDefault="00B83FA5" w:rsidP="000964E0">
      <w:pPr>
        <w:jc w:val="right"/>
        <w:rPr>
          <w:sz w:val="16"/>
          <w:szCs w:val="16"/>
        </w:rPr>
      </w:pPr>
      <w:r w:rsidRPr="002F00D9">
        <w:rPr>
          <w:sz w:val="28"/>
          <w:szCs w:val="28"/>
        </w:rPr>
        <w:t xml:space="preserve">Case no: </w:t>
      </w:r>
      <w:r w:rsidR="00414B72" w:rsidRPr="002F00D9">
        <w:rPr>
          <w:sz w:val="28"/>
          <w:szCs w:val="28"/>
        </w:rPr>
        <w:t>053</w:t>
      </w:r>
      <w:r w:rsidR="009B1AE9" w:rsidRPr="002F00D9">
        <w:rPr>
          <w:sz w:val="28"/>
          <w:szCs w:val="28"/>
        </w:rPr>
        <w:t>/202</w:t>
      </w:r>
      <w:r w:rsidR="00414B72" w:rsidRPr="002F00D9">
        <w:rPr>
          <w:sz w:val="28"/>
          <w:szCs w:val="28"/>
        </w:rPr>
        <w:t>3</w:t>
      </w:r>
    </w:p>
    <w:p w14:paraId="05943F1B" w14:textId="77777777" w:rsidR="00B83FA5" w:rsidRPr="002F00D9" w:rsidRDefault="00B83FA5" w:rsidP="000964E0">
      <w:pPr>
        <w:rPr>
          <w:sz w:val="28"/>
          <w:szCs w:val="28"/>
        </w:rPr>
      </w:pPr>
      <w:r w:rsidRPr="002F00D9">
        <w:rPr>
          <w:sz w:val="28"/>
          <w:szCs w:val="28"/>
        </w:rPr>
        <w:t>In the matter between:</w:t>
      </w:r>
    </w:p>
    <w:p w14:paraId="4316292E" w14:textId="367A4226" w:rsidR="00B83FA5" w:rsidRPr="002F00D9" w:rsidRDefault="00414B72" w:rsidP="000964E0">
      <w:pPr>
        <w:tabs>
          <w:tab w:val="right" w:pos="9356"/>
        </w:tabs>
        <w:rPr>
          <w:b/>
          <w:sz w:val="28"/>
          <w:szCs w:val="28"/>
        </w:rPr>
      </w:pPr>
      <w:r w:rsidRPr="002F00D9">
        <w:rPr>
          <w:b/>
          <w:sz w:val="28"/>
          <w:szCs w:val="28"/>
        </w:rPr>
        <w:t>VENATOR AFRICA (PTY) LTD</w:t>
      </w:r>
      <w:r w:rsidR="00B83FA5" w:rsidRPr="002F00D9">
        <w:rPr>
          <w:b/>
          <w:sz w:val="28"/>
          <w:szCs w:val="28"/>
        </w:rPr>
        <w:tab/>
        <w:t>APPELLANT</w:t>
      </w:r>
    </w:p>
    <w:p w14:paraId="3FE13918" w14:textId="77777777" w:rsidR="000964E0" w:rsidRPr="002F00D9" w:rsidRDefault="00B83FA5" w:rsidP="000964E0">
      <w:pPr>
        <w:rPr>
          <w:sz w:val="28"/>
          <w:szCs w:val="28"/>
        </w:rPr>
      </w:pPr>
      <w:r w:rsidRPr="002F00D9">
        <w:rPr>
          <w:sz w:val="28"/>
          <w:szCs w:val="28"/>
        </w:rPr>
        <w:t xml:space="preserve">and </w:t>
      </w:r>
    </w:p>
    <w:p w14:paraId="2D62AD48" w14:textId="742F772D" w:rsidR="00B83FA5" w:rsidRPr="002F00D9" w:rsidRDefault="00414B72" w:rsidP="000964E0">
      <w:pPr>
        <w:spacing w:after="240"/>
        <w:rPr>
          <w:sz w:val="28"/>
          <w:szCs w:val="28"/>
        </w:rPr>
      </w:pPr>
      <w:r w:rsidRPr="002F00D9">
        <w:rPr>
          <w:b/>
          <w:sz w:val="28"/>
          <w:szCs w:val="28"/>
        </w:rPr>
        <w:t>LLOYD MASON WATTS</w:t>
      </w:r>
      <w:r w:rsidRPr="002F00D9">
        <w:rPr>
          <w:b/>
          <w:sz w:val="28"/>
          <w:szCs w:val="28"/>
        </w:rPr>
        <w:tab/>
      </w:r>
      <w:r w:rsidR="000964E0" w:rsidRPr="002F00D9">
        <w:rPr>
          <w:b/>
          <w:sz w:val="28"/>
          <w:szCs w:val="28"/>
        </w:rPr>
        <w:tab/>
      </w:r>
      <w:r w:rsidR="000964E0" w:rsidRPr="002F00D9">
        <w:rPr>
          <w:b/>
          <w:sz w:val="28"/>
          <w:szCs w:val="28"/>
        </w:rPr>
        <w:tab/>
      </w:r>
      <w:r w:rsidR="000964E0" w:rsidRPr="002F00D9">
        <w:rPr>
          <w:b/>
          <w:sz w:val="28"/>
          <w:szCs w:val="28"/>
        </w:rPr>
        <w:tab/>
      </w:r>
      <w:r w:rsidR="000964E0" w:rsidRPr="002F00D9">
        <w:rPr>
          <w:b/>
          <w:sz w:val="28"/>
          <w:szCs w:val="28"/>
        </w:rPr>
        <w:tab/>
        <w:t xml:space="preserve"> </w:t>
      </w:r>
      <w:r w:rsidRPr="002F00D9">
        <w:rPr>
          <w:b/>
          <w:sz w:val="28"/>
          <w:szCs w:val="28"/>
        </w:rPr>
        <w:t xml:space="preserve">FIRST </w:t>
      </w:r>
      <w:r w:rsidR="00B83FA5" w:rsidRPr="002F00D9">
        <w:rPr>
          <w:b/>
          <w:sz w:val="28"/>
          <w:szCs w:val="28"/>
        </w:rPr>
        <w:t>RESPONDENT</w:t>
      </w:r>
    </w:p>
    <w:p w14:paraId="2F7DA5AA" w14:textId="1E3F6DD4" w:rsidR="00414B72" w:rsidRPr="002F00D9" w:rsidRDefault="00414B72" w:rsidP="000964E0">
      <w:pPr>
        <w:tabs>
          <w:tab w:val="right" w:pos="9356"/>
        </w:tabs>
        <w:rPr>
          <w:b/>
          <w:sz w:val="28"/>
          <w:szCs w:val="28"/>
        </w:rPr>
      </w:pPr>
      <w:r w:rsidRPr="002F00D9">
        <w:rPr>
          <w:b/>
          <w:sz w:val="28"/>
          <w:szCs w:val="28"/>
        </w:rPr>
        <w:t>MARTIN BEKKER</w:t>
      </w:r>
      <w:r w:rsidRPr="002F00D9">
        <w:rPr>
          <w:b/>
          <w:sz w:val="28"/>
          <w:szCs w:val="28"/>
        </w:rPr>
        <w:tab/>
        <w:t>SECOND RESPONDENT</w:t>
      </w:r>
    </w:p>
    <w:p w14:paraId="3D9E69BD" w14:textId="77777777" w:rsidR="00B83FA5" w:rsidRPr="002F00D9" w:rsidRDefault="00B83FA5" w:rsidP="000964E0">
      <w:pPr>
        <w:rPr>
          <w:b/>
          <w:sz w:val="28"/>
          <w:szCs w:val="28"/>
        </w:rPr>
      </w:pPr>
    </w:p>
    <w:p w14:paraId="3FCF4FB4" w14:textId="47329BAD" w:rsidR="004F7145" w:rsidRPr="002F00D9" w:rsidRDefault="00B83FA5" w:rsidP="000964E0">
      <w:pPr>
        <w:ind w:left="2160" w:hanging="2160"/>
        <w:contextualSpacing/>
        <w:rPr>
          <w:bCs/>
          <w:sz w:val="28"/>
          <w:szCs w:val="28"/>
        </w:rPr>
      </w:pPr>
      <w:r w:rsidRPr="002F00D9">
        <w:rPr>
          <w:b/>
          <w:bCs/>
          <w:sz w:val="28"/>
          <w:szCs w:val="28"/>
        </w:rPr>
        <w:t>Neutral citation:</w:t>
      </w:r>
      <w:r w:rsidRPr="002F00D9">
        <w:rPr>
          <w:bCs/>
          <w:i/>
          <w:sz w:val="28"/>
          <w:szCs w:val="28"/>
        </w:rPr>
        <w:tab/>
      </w:r>
      <w:r w:rsidR="000964E0" w:rsidRPr="002F00D9">
        <w:rPr>
          <w:bCs/>
          <w:i/>
          <w:sz w:val="28"/>
          <w:szCs w:val="28"/>
        </w:rPr>
        <w:t xml:space="preserve">Venator Africa (Pty) Ltd v Watts </w:t>
      </w:r>
      <w:r w:rsidR="002C6917" w:rsidRPr="002F00D9">
        <w:rPr>
          <w:bCs/>
          <w:i/>
          <w:sz w:val="28"/>
          <w:szCs w:val="28"/>
        </w:rPr>
        <w:t>and</w:t>
      </w:r>
      <w:r w:rsidR="009B1AE9" w:rsidRPr="002F00D9">
        <w:rPr>
          <w:bCs/>
          <w:i/>
          <w:sz w:val="28"/>
          <w:szCs w:val="28"/>
        </w:rPr>
        <w:t xml:space="preserve"> Another </w:t>
      </w:r>
      <w:r w:rsidRPr="002F00D9">
        <w:rPr>
          <w:bCs/>
          <w:sz w:val="28"/>
          <w:szCs w:val="28"/>
        </w:rPr>
        <w:t>(</w:t>
      </w:r>
      <w:r w:rsidR="000964E0" w:rsidRPr="002F00D9">
        <w:rPr>
          <w:bCs/>
          <w:sz w:val="28"/>
          <w:szCs w:val="28"/>
        </w:rPr>
        <w:t>053</w:t>
      </w:r>
      <w:r w:rsidR="009B1AE9" w:rsidRPr="002F00D9">
        <w:rPr>
          <w:bCs/>
          <w:sz w:val="28"/>
          <w:szCs w:val="28"/>
        </w:rPr>
        <w:t>/202</w:t>
      </w:r>
      <w:r w:rsidR="000964E0" w:rsidRPr="002F00D9">
        <w:rPr>
          <w:bCs/>
          <w:sz w:val="28"/>
          <w:szCs w:val="28"/>
        </w:rPr>
        <w:t>3</w:t>
      </w:r>
      <w:r w:rsidRPr="002F00D9">
        <w:rPr>
          <w:bCs/>
          <w:sz w:val="28"/>
          <w:szCs w:val="28"/>
        </w:rPr>
        <w:t>) [202</w:t>
      </w:r>
      <w:r w:rsidR="000964E0" w:rsidRPr="002F00D9">
        <w:rPr>
          <w:bCs/>
          <w:sz w:val="28"/>
          <w:szCs w:val="28"/>
        </w:rPr>
        <w:t>4</w:t>
      </w:r>
      <w:r w:rsidRPr="002F00D9">
        <w:rPr>
          <w:bCs/>
          <w:sz w:val="28"/>
          <w:szCs w:val="28"/>
        </w:rPr>
        <w:t xml:space="preserve">] ZASCA </w:t>
      </w:r>
      <w:r w:rsidR="005256C6" w:rsidRPr="002F00D9">
        <w:rPr>
          <w:bCs/>
          <w:sz w:val="28"/>
          <w:szCs w:val="28"/>
        </w:rPr>
        <w:t>60</w:t>
      </w:r>
      <w:r w:rsidR="005762E4" w:rsidRPr="002F00D9">
        <w:rPr>
          <w:bCs/>
          <w:sz w:val="28"/>
          <w:szCs w:val="28"/>
        </w:rPr>
        <w:t xml:space="preserve"> </w:t>
      </w:r>
      <w:r w:rsidRPr="002F00D9">
        <w:rPr>
          <w:bCs/>
          <w:sz w:val="28"/>
          <w:szCs w:val="28"/>
        </w:rPr>
        <w:t>(</w:t>
      </w:r>
      <w:r w:rsidR="005256C6" w:rsidRPr="002F00D9">
        <w:rPr>
          <w:bCs/>
          <w:sz w:val="28"/>
          <w:szCs w:val="28"/>
        </w:rPr>
        <w:t>24 April</w:t>
      </w:r>
      <w:r w:rsidR="00281B3A" w:rsidRPr="002F00D9">
        <w:rPr>
          <w:bCs/>
          <w:sz w:val="28"/>
          <w:szCs w:val="28"/>
        </w:rPr>
        <w:t xml:space="preserve"> 202</w:t>
      </w:r>
      <w:r w:rsidR="000964E0" w:rsidRPr="002F00D9">
        <w:rPr>
          <w:bCs/>
          <w:sz w:val="28"/>
          <w:szCs w:val="28"/>
        </w:rPr>
        <w:t>4</w:t>
      </w:r>
      <w:r w:rsidRPr="002F00D9">
        <w:rPr>
          <w:bCs/>
          <w:sz w:val="28"/>
          <w:szCs w:val="28"/>
        </w:rPr>
        <w:t>)</w:t>
      </w:r>
    </w:p>
    <w:p w14:paraId="3B1FFF4A" w14:textId="0F0FA4F2" w:rsidR="004F7145" w:rsidRPr="002F00D9" w:rsidRDefault="00B83FA5" w:rsidP="000964E0">
      <w:pPr>
        <w:ind w:left="1440" w:hanging="1440"/>
        <w:contextualSpacing/>
        <w:rPr>
          <w:sz w:val="28"/>
          <w:szCs w:val="28"/>
        </w:rPr>
      </w:pPr>
      <w:r w:rsidRPr="002F00D9">
        <w:rPr>
          <w:b/>
          <w:bCs/>
          <w:sz w:val="28"/>
          <w:szCs w:val="28"/>
        </w:rPr>
        <w:t>Coram:</w:t>
      </w:r>
      <w:r w:rsidRPr="002F00D9">
        <w:rPr>
          <w:sz w:val="28"/>
          <w:szCs w:val="28"/>
        </w:rPr>
        <w:tab/>
      </w:r>
      <w:r w:rsidR="00414B72" w:rsidRPr="002F00D9">
        <w:rPr>
          <w:sz w:val="28"/>
          <w:szCs w:val="28"/>
        </w:rPr>
        <w:t>MOTHLE, MABINDLA-BOQWANA</w:t>
      </w:r>
      <w:r w:rsidR="004954FA" w:rsidRPr="002F00D9">
        <w:rPr>
          <w:sz w:val="28"/>
          <w:szCs w:val="28"/>
        </w:rPr>
        <w:t xml:space="preserve"> and</w:t>
      </w:r>
      <w:r w:rsidR="00414B72" w:rsidRPr="002F00D9">
        <w:rPr>
          <w:sz w:val="28"/>
          <w:szCs w:val="28"/>
        </w:rPr>
        <w:t xml:space="preserve"> MOLEFE JJA and BAARTMAN and KEIGHTLEY AJJA</w:t>
      </w:r>
    </w:p>
    <w:p w14:paraId="6E24CB5F" w14:textId="0FDE068A" w:rsidR="004F7145" w:rsidRPr="002F00D9" w:rsidRDefault="00B83FA5" w:rsidP="000964E0">
      <w:pPr>
        <w:contextualSpacing/>
        <w:rPr>
          <w:sz w:val="28"/>
          <w:szCs w:val="28"/>
        </w:rPr>
      </w:pPr>
      <w:r w:rsidRPr="002F00D9">
        <w:rPr>
          <w:b/>
          <w:bCs/>
          <w:sz w:val="28"/>
          <w:szCs w:val="28"/>
        </w:rPr>
        <w:t>Heard</w:t>
      </w:r>
      <w:r w:rsidRPr="002F00D9">
        <w:rPr>
          <w:b/>
          <w:sz w:val="28"/>
          <w:szCs w:val="28"/>
        </w:rPr>
        <w:t>:</w:t>
      </w:r>
      <w:r w:rsidRPr="002F00D9">
        <w:rPr>
          <w:sz w:val="28"/>
          <w:szCs w:val="28"/>
        </w:rPr>
        <w:tab/>
      </w:r>
      <w:r w:rsidR="00414B72" w:rsidRPr="002F00D9">
        <w:rPr>
          <w:sz w:val="28"/>
          <w:szCs w:val="28"/>
        </w:rPr>
        <w:t>4 March 2024</w:t>
      </w:r>
    </w:p>
    <w:p w14:paraId="65A48B55" w14:textId="74F97601" w:rsidR="004F7145" w:rsidRPr="002F00D9" w:rsidRDefault="00B83FA5" w:rsidP="000964E0">
      <w:pPr>
        <w:contextualSpacing/>
        <w:rPr>
          <w:sz w:val="28"/>
          <w:szCs w:val="28"/>
        </w:rPr>
      </w:pPr>
      <w:r w:rsidRPr="002F00D9">
        <w:rPr>
          <w:b/>
          <w:bCs/>
          <w:sz w:val="28"/>
          <w:szCs w:val="28"/>
        </w:rPr>
        <w:t>Delivered</w:t>
      </w:r>
      <w:r w:rsidRPr="002F00D9">
        <w:rPr>
          <w:b/>
          <w:sz w:val="28"/>
          <w:szCs w:val="28"/>
        </w:rPr>
        <w:t>:</w:t>
      </w:r>
      <w:r w:rsidRPr="002F00D9">
        <w:rPr>
          <w:sz w:val="28"/>
          <w:szCs w:val="28"/>
        </w:rPr>
        <w:tab/>
      </w:r>
      <w:r w:rsidR="003B38D9" w:rsidRPr="002F00D9">
        <w:rPr>
          <w:sz w:val="28"/>
          <w:szCs w:val="28"/>
        </w:rPr>
        <w:t>24 April 2024</w:t>
      </w:r>
    </w:p>
    <w:p w14:paraId="582E8323" w14:textId="7CB98458" w:rsidR="00877191" w:rsidRPr="002F00D9" w:rsidRDefault="00B83FA5" w:rsidP="000964E0">
      <w:pPr>
        <w:contextualSpacing/>
        <w:rPr>
          <w:bCs/>
          <w:sz w:val="28"/>
          <w:szCs w:val="28"/>
        </w:rPr>
      </w:pPr>
      <w:r w:rsidRPr="002F00D9">
        <w:rPr>
          <w:b/>
          <w:bCs/>
          <w:sz w:val="28"/>
          <w:szCs w:val="28"/>
        </w:rPr>
        <w:t>Summary:</w:t>
      </w:r>
      <w:r w:rsidRPr="002F00D9">
        <w:rPr>
          <w:b/>
          <w:bCs/>
          <w:sz w:val="28"/>
          <w:szCs w:val="28"/>
        </w:rPr>
        <w:tab/>
      </w:r>
      <w:r w:rsidR="001F1EB6" w:rsidRPr="002F00D9">
        <w:rPr>
          <w:bCs/>
          <w:sz w:val="28"/>
          <w:szCs w:val="28"/>
        </w:rPr>
        <w:t xml:space="preserve">Company law – </w:t>
      </w:r>
      <w:r w:rsidR="002E375D" w:rsidRPr="002F00D9">
        <w:rPr>
          <w:bCs/>
          <w:sz w:val="28"/>
          <w:szCs w:val="28"/>
        </w:rPr>
        <w:t xml:space="preserve">exception – </w:t>
      </w:r>
      <w:r w:rsidR="001F1EB6" w:rsidRPr="002F00D9">
        <w:rPr>
          <w:bCs/>
          <w:sz w:val="28"/>
          <w:szCs w:val="28"/>
        </w:rPr>
        <w:t>s 218(2) read with s 22(1) of the Companies Act 61 of 2008 –</w:t>
      </w:r>
      <w:r w:rsidR="00877191" w:rsidRPr="002F00D9">
        <w:rPr>
          <w:bCs/>
          <w:sz w:val="28"/>
          <w:szCs w:val="28"/>
        </w:rPr>
        <w:t xml:space="preserve"> allegation that company carried on its business recklessly –</w:t>
      </w:r>
      <w:r w:rsidR="00640761" w:rsidRPr="002F00D9">
        <w:rPr>
          <w:bCs/>
          <w:sz w:val="28"/>
          <w:szCs w:val="28"/>
        </w:rPr>
        <w:t xml:space="preserve"> </w:t>
      </w:r>
      <w:r w:rsidR="00877191" w:rsidRPr="002F00D9">
        <w:rPr>
          <w:bCs/>
          <w:sz w:val="28"/>
          <w:szCs w:val="28"/>
        </w:rPr>
        <w:t>action proceedings by a creditor against directors of company.</w:t>
      </w:r>
    </w:p>
    <w:p w14:paraId="7B201E12" w14:textId="17EF737F" w:rsidR="001F1EB6" w:rsidRPr="002F00D9" w:rsidRDefault="00877191" w:rsidP="000964E0">
      <w:pPr>
        <w:contextualSpacing/>
        <w:rPr>
          <w:bCs/>
          <w:sz w:val="28"/>
          <w:szCs w:val="28"/>
        </w:rPr>
      </w:pPr>
      <w:r w:rsidRPr="002F00D9">
        <w:rPr>
          <w:bCs/>
          <w:sz w:val="28"/>
          <w:szCs w:val="28"/>
        </w:rPr>
        <w:t xml:space="preserve"> </w:t>
      </w:r>
    </w:p>
    <w:p w14:paraId="630659E8" w14:textId="0F2E37D2" w:rsidR="00D77065" w:rsidRPr="002F00D9" w:rsidRDefault="001F1EB6" w:rsidP="000964E0">
      <w:pPr>
        <w:contextualSpacing/>
        <w:rPr>
          <w:bCs/>
          <w:sz w:val="28"/>
          <w:szCs w:val="28"/>
        </w:rPr>
      </w:pPr>
      <w:r w:rsidRPr="002F00D9">
        <w:rPr>
          <w:bCs/>
          <w:sz w:val="28"/>
          <w:szCs w:val="28"/>
        </w:rPr>
        <w:t xml:space="preserve"> </w:t>
      </w:r>
    </w:p>
    <w:p w14:paraId="33DF924A" w14:textId="77777777" w:rsidR="001F1EB6" w:rsidRPr="002F00D9" w:rsidRDefault="001F1EB6" w:rsidP="000964E0">
      <w:pPr>
        <w:contextualSpacing/>
        <w:rPr>
          <w:bCs/>
          <w:sz w:val="28"/>
          <w:szCs w:val="28"/>
        </w:rPr>
      </w:pPr>
    </w:p>
    <w:p w14:paraId="6691E348" w14:textId="0FB9367C" w:rsidR="00B83FA5" w:rsidRPr="002F00D9" w:rsidRDefault="0082250C" w:rsidP="00627002">
      <w:pPr>
        <w:pBdr>
          <w:bottom w:val="single" w:sz="12" w:space="1" w:color="auto"/>
        </w:pBdr>
        <w:spacing w:line="240" w:lineRule="auto"/>
        <w:rPr>
          <w:sz w:val="28"/>
          <w:szCs w:val="28"/>
        </w:rPr>
      </w:pPr>
      <w:r w:rsidRPr="002F00D9">
        <w:rPr>
          <w:noProof/>
          <w:lang w:val="en-ZA" w:eastAsia="en-ZA"/>
        </w:rPr>
        <w:lastRenderedPageBreak/>
        <mc:AlternateContent>
          <mc:Choice Requires="wps">
            <w:drawing>
              <wp:anchor distT="4294967294" distB="4294967294" distL="114298" distR="114298" simplePos="0" relativeHeight="251658241" behindDoc="0" locked="0" layoutInCell="1" allowOverlap="1" wp14:anchorId="67B6BE00" wp14:editId="46BE5B16">
                <wp:simplePos x="0" y="0"/>
                <wp:positionH relativeFrom="column">
                  <wp:posOffset>-1</wp:posOffset>
                </wp:positionH>
                <wp:positionV relativeFrom="paragraph">
                  <wp:posOffset>114299</wp:posOffset>
                </wp:positionV>
                <wp:extent cx="0" cy="0"/>
                <wp:effectExtent l="0" t="0" r="0" b="0"/>
                <wp:wrapNone/>
                <wp:docPr id="147906604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56BE17" id="Straight Connector 2"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05C94004" w14:textId="77777777" w:rsidR="00B83FA5" w:rsidRPr="002F00D9" w:rsidRDefault="00B83FA5" w:rsidP="0016595D">
      <w:pPr>
        <w:pStyle w:val="Heading3"/>
        <w:pBdr>
          <w:bottom w:val="single" w:sz="12" w:space="12" w:color="auto"/>
        </w:pBdr>
        <w:jc w:val="center"/>
        <w:rPr>
          <w:rFonts w:ascii="Times New Roman" w:hAnsi="Times New Roman" w:cs="Times New Roman"/>
          <w:b/>
          <w:i w:val="0"/>
          <w:szCs w:val="28"/>
        </w:rPr>
      </w:pPr>
    </w:p>
    <w:p w14:paraId="14A97A6D" w14:textId="77777777" w:rsidR="00B83FA5" w:rsidRPr="002F00D9" w:rsidRDefault="00B83FA5" w:rsidP="0016595D">
      <w:pPr>
        <w:pStyle w:val="Heading3"/>
        <w:pBdr>
          <w:bottom w:val="single" w:sz="12" w:space="12" w:color="auto"/>
        </w:pBdr>
        <w:jc w:val="center"/>
        <w:rPr>
          <w:rFonts w:ascii="Times New Roman" w:hAnsi="Times New Roman" w:cs="Times New Roman"/>
          <w:b/>
          <w:i w:val="0"/>
          <w:szCs w:val="28"/>
        </w:rPr>
      </w:pPr>
      <w:r w:rsidRPr="002F00D9">
        <w:rPr>
          <w:rFonts w:ascii="Times New Roman" w:hAnsi="Times New Roman" w:cs="Times New Roman"/>
          <w:b/>
          <w:i w:val="0"/>
          <w:szCs w:val="28"/>
        </w:rPr>
        <w:t>ORDER</w:t>
      </w:r>
    </w:p>
    <w:p w14:paraId="2AFD8376" w14:textId="77777777" w:rsidR="00E51DC6" w:rsidRPr="002F00D9" w:rsidRDefault="00E51DC6" w:rsidP="00414B72">
      <w:pPr>
        <w:rPr>
          <w:b/>
          <w:bCs/>
          <w:sz w:val="28"/>
          <w:szCs w:val="28"/>
        </w:rPr>
      </w:pPr>
    </w:p>
    <w:p w14:paraId="551F8A2A" w14:textId="5F5A6C67" w:rsidR="00B83FA5" w:rsidRPr="002F00D9" w:rsidRDefault="00B83FA5" w:rsidP="00414B72">
      <w:pPr>
        <w:rPr>
          <w:b/>
          <w:bCs/>
          <w:sz w:val="28"/>
          <w:szCs w:val="28"/>
        </w:rPr>
      </w:pPr>
      <w:r w:rsidRPr="002F00D9">
        <w:rPr>
          <w:b/>
          <w:bCs/>
          <w:sz w:val="28"/>
          <w:szCs w:val="28"/>
        </w:rPr>
        <w:t xml:space="preserve">On appeal from: </w:t>
      </w:r>
      <w:r w:rsidR="0005351B" w:rsidRPr="002F00D9">
        <w:rPr>
          <w:sz w:val="28"/>
          <w:szCs w:val="28"/>
        </w:rPr>
        <w:t>KwaZulu-Natal Division of the High Court, Pietermaritzburg</w:t>
      </w:r>
      <w:r w:rsidR="0005351B" w:rsidRPr="002F00D9">
        <w:rPr>
          <w:b/>
          <w:bCs/>
          <w:sz w:val="28"/>
          <w:szCs w:val="28"/>
        </w:rPr>
        <w:t xml:space="preserve"> (</w:t>
      </w:r>
      <w:r w:rsidR="0005351B" w:rsidRPr="002F00D9">
        <w:rPr>
          <w:sz w:val="28"/>
          <w:szCs w:val="28"/>
        </w:rPr>
        <w:t xml:space="preserve">Bezuidenhout </w:t>
      </w:r>
      <w:r w:rsidR="00FF1CA9" w:rsidRPr="002F00D9">
        <w:rPr>
          <w:sz w:val="28"/>
          <w:szCs w:val="28"/>
        </w:rPr>
        <w:t>A</w:t>
      </w:r>
      <w:r w:rsidR="0005351B" w:rsidRPr="002F00D9">
        <w:rPr>
          <w:sz w:val="28"/>
          <w:szCs w:val="28"/>
        </w:rPr>
        <w:t>J, sitting as court of first instance):</w:t>
      </w:r>
    </w:p>
    <w:p w14:paraId="01E77554" w14:textId="5D1A4B92" w:rsidR="005137EC" w:rsidRPr="00A04901" w:rsidRDefault="00A04901" w:rsidP="00A04901">
      <w:pPr>
        <w:rPr>
          <w:bCs/>
          <w:sz w:val="28"/>
          <w:szCs w:val="28"/>
        </w:rPr>
      </w:pPr>
      <w:r w:rsidRPr="002F00D9">
        <w:rPr>
          <w:bCs/>
          <w:sz w:val="28"/>
          <w:szCs w:val="28"/>
        </w:rPr>
        <w:t>1</w:t>
      </w:r>
      <w:r w:rsidRPr="002F00D9">
        <w:rPr>
          <w:bCs/>
          <w:sz w:val="28"/>
          <w:szCs w:val="28"/>
        </w:rPr>
        <w:tab/>
      </w:r>
      <w:r w:rsidR="005137EC" w:rsidRPr="00A04901">
        <w:rPr>
          <w:bCs/>
          <w:sz w:val="28"/>
          <w:szCs w:val="28"/>
        </w:rPr>
        <w:t>The appeal is dismissed with costs including the costs of two counsel, where so employed.</w:t>
      </w:r>
    </w:p>
    <w:p w14:paraId="278CD961" w14:textId="37109413" w:rsidR="005137EC" w:rsidRPr="00A04901" w:rsidRDefault="00A04901" w:rsidP="00A04901">
      <w:pPr>
        <w:rPr>
          <w:bCs/>
          <w:sz w:val="28"/>
          <w:szCs w:val="28"/>
        </w:rPr>
      </w:pPr>
      <w:r w:rsidRPr="002F00D9">
        <w:rPr>
          <w:bCs/>
          <w:sz w:val="28"/>
          <w:szCs w:val="28"/>
        </w:rPr>
        <w:t>2</w:t>
      </w:r>
      <w:r w:rsidRPr="002F00D9">
        <w:rPr>
          <w:bCs/>
          <w:sz w:val="28"/>
          <w:szCs w:val="28"/>
        </w:rPr>
        <w:tab/>
      </w:r>
      <w:r w:rsidR="005137EC" w:rsidRPr="00A04901">
        <w:rPr>
          <w:bCs/>
          <w:sz w:val="28"/>
          <w:szCs w:val="28"/>
        </w:rPr>
        <w:t>The order of the high court is confirmed save for paragraph 3 of the order which is substituted as follows:</w:t>
      </w:r>
    </w:p>
    <w:p w14:paraId="617C2B1E" w14:textId="7911A4F8" w:rsidR="005137EC" w:rsidRPr="002F00D9" w:rsidRDefault="005137EC" w:rsidP="00E51DC6">
      <w:pPr>
        <w:ind w:left="709"/>
        <w:rPr>
          <w:bCs/>
          <w:sz w:val="28"/>
          <w:szCs w:val="28"/>
        </w:rPr>
      </w:pPr>
      <w:r w:rsidRPr="002F00D9">
        <w:rPr>
          <w:bCs/>
          <w:sz w:val="28"/>
          <w:szCs w:val="28"/>
        </w:rPr>
        <w:t xml:space="preserve">‘3. The plaintiff is granted leave, if so advised, to file amended particulars of claim within 10 </w:t>
      </w:r>
      <w:r w:rsidR="00640761" w:rsidRPr="002F00D9">
        <w:rPr>
          <w:bCs/>
          <w:sz w:val="28"/>
          <w:szCs w:val="28"/>
        </w:rPr>
        <w:t>days of</w:t>
      </w:r>
      <w:r w:rsidR="00485ABE" w:rsidRPr="002F00D9">
        <w:rPr>
          <w:bCs/>
          <w:sz w:val="28"/>
          <w:szCs w:val="28"/>
        </w:rPr>
        <w:t xml:space="preserve"> </w:t>
      </w:r>
      <w:r w:rsidRPr="002F00D9">
        <w:rPr>
          <w:bCs/>
          <w:sz w:val="28"/>
          <w:szCs w:val="28"/>
        </w:rPr>
        <w:t>the date of this order.’</w:t>
      </w:r>
    </w:p>
    <w:p w14:paraId="360452DD" w14:textId="3FC9079E" w:rsidR="00B83FA5" w:rsidRPr="002F00D9" w:rsidRDefault="0082250C" w:rsidP="0016595D">
      <w:pPr>
        <w:pBdr>
          <w:bottom w:val="single" w:sz="12" w:space="1" w:color="auto"/>
        </w:pBdr>
        <w:rPr>
          <w:sz w:val="28"/>
          <w:szCs w:val="28"/>
        </w:rPr>
      </w:pPr>
      <w:r w:rsidRPr="002F00D9">
        <w:rPr>
          <w:noProof/>
          <w:lang w:val="en-ZA" w:eastAsia="en-ZA"/>
        </w:rPr>
        <mc:AlternateContent>
          <mc:Choice Requires="wps">
            <w:drawing>
              <wp:anchor distT="4294967294" distB="4294967294" distL="114298" distR="114298" simplePos="0" relativeHeight="251658242" behindDoc="0" locked="0" layoutInCell="1" allowOverlap="1" wp14:anchorId="0DC081FF" wp14:editId="4E983228">
                <wp:simplePos x="0" y="0"/>
                <wp:positionH relativeFrom="column">
                  <wp:posOffset>-1</wp:posOffset>
                </wp:positionH>
                <wp:positionV relativeFrom="paragraph">
                  <wp:posOffset>114299</wp:posOffset>
                </wp:positionV>
                <wp:extent cx="0" cy="0"/>
                <wp:effectExtent l="0" t="0" r="0" b="0"/>
                <wp:wrapNone/>
                <wp:docPr id="2543397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895891" id="Straight Connector 1"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5EEBA773" w14:textId="77777777" w:rsidR="00B83FA5" w:rsidRPr="002F00D9" w:rsidRDefault="00B83FA5" w:rsidP="0016595D">
      <w:pPr>
        <w:pStyle w:val="Heading3"/>
        <w:pBdr>
          <w:bottom w:val="single" w:sz="12" w:space="12" w:color="auto"/>
        </w:pBdr>
        <w:jc w:val="center"/>
        <w:rPr>
          <w:rFonts w:ascii="Times New Roman" w:hAnsi="Times New Roman" w:cs="Times New Roman"/>
          <w:b/>
          <w:i w:val="0"/>
          <w:szCs w:val="28"/>
        </w:rPr>
      </w:pPr>
    </w:p>
    <w:p w14:paraId="1183C557" w14:textId="77777777" w:rsidR="00B83FA5" w:rsidRPr="002F00D9" w:rsidRDefault="00B83FA5" w:rsidP="0016595D">
      <w:pPr>
        <w:pStyle w:val="Heading3"/>
        <w:pBdr>
          <w:bottom w:val="single" w:sz="12" w:space="12" w:color="auto"/>
        </w:pBdr>
        <w:jc w:val="center"/>
        <w:rPr>
          <w:rFonts w:ascii="Times New Roman" w:hAnsi="Times New Roman" w:cs="Times New Roman"/>
        </w:rPr>
      </w:pPr>
      <w:r w:rsidRPr="002F00D9">
        <w:rPr>
          <w:rFonts w:ascii="Times New Roman" w:hAnsi="Times New Roman" w:cs="Times New Roman"/>
          <w:b/>
          <w:i w:val="0"/>
          <w:szCs w:val="28"/>
        </w:rPr>
        <w:t>JUDGMENT</w:t>
      </w:r>
    </w:p>
    <w:p w14:paraId="410686BE" w14:textId="5BEA8509" w:rsidR="003F42AB" w:rsidRPr="002F00D9" w:rsidRDefault="003F42AB" w:rsidP="003F42AB">
      <w:pPr>
        <w:spacing w:before="240"/>
        <w:rPr>
          <w:b/>
          <w:sz w:val="28"/>
          <w:szCs w:val="28"/>
        </w:rPr>
      </w:pPr>
      <w:r w:rsidRPr="002F00D9">
        <w:rPr>
          <w:b/>
          <w:sz w:val="28"/>
          <w:szCs w:val="28"/>
        </w:rPr>
        <w:t xml:space="preserve">Mabindla-Boqwana </w:t>
      </w:r>
      <w:r w:rsidR="009F3C5F" w:rsidRPr="002F00D9">
        <w:rPr>
          <w:b/>
          <w:sz w:val="28"/>
          <w:szCs w:val="28"/>
        </w:rPr>
        <w:t xml:space="preserve">JA </w:t>
      </w:r>
      <w:r w:rsidRPr="002F00D9">
        <w:rPr>
          <w:b/>
          <w:sz w:val="28"/>
          <w:szCs w:val="28"/>
        </w:rPr>
        <w:t>(</w:t>
      </w:r>
      <w:r w:rsidR="00305832" w:rsidRPr="002F00D9">
        <w:rPr>
          <w:b/>
          <w:sz w:val="28"/>
          <w:szCs w:val="28"/>
        </w:rPr>
        <w:t>Mothle and Molefe JJA and Baartman and Keightley AJJA</w:t>
      </w:r>
      <w:r w:rsidR="00305832" w:rsidRPr="002F00D9" w:rsidDel="00305832">
        <w:rPr>
          <w:b/>
          <w:sz w:val="28"/>
          <w:szCs w:val="28"/>
        </w:rPr>
        <w:t xml:space="preserve"> </w:t>
      </w:r>
      <w:r w:rsidRPr="002F00D9">
        <w:rPr>
          <w:b/>
          <w:sz w:val="28"/>
          <w:szCs w:val="28"/>
        </w:rPr>
        <w:t>concurring):</w:t>
      </w:r>
    </w:p>
    <w:p w14:paraId="326C0A9B" w14:textId="77777777" w:rsidR="003F42AB" w:rsidRPr="002F00D9" w:rsidRDefault="003F42AB" w:rsidP="003F42AB">
      <w:pPr>
        <w:spacing w:before="240"/>
        <w:rPr>
          <w:b/>
          <w:sz w:val="28"/>
          <w:szCs w:val="28"/>
        </w:rPr>
      </w:pPr>
      <w:r w:rsidRPr="002F00D9">
        <w:rPr>
          <w:b/>
          <w:sz w:val="28"/>
          <w:szCs w:val="28"/>
        </w:rPr>
        <w:t>Introduction</w:t>
      </w:r>
    </w:p>
    <w:p w14:paraId="1A834A5A" w14:textId="7FBA9720" w:rsidR="00911D51" w:rsidRPr="002F00D9" w:rsidRDefault="00A04901" w:rsidP="00A04901">
      <w:r w:rsidRPr="002F00D9">
        <w:rPr>
          <w:sz w:val="28"/>
          <w:szCs w:val="28"/>
        </w:rPr>
        <w:t>[1]</w:t>
      </w:r>
      <w:r w:rsidRPr="002F00D9">
        <w:rPr>
          <w:sz w:val="28"/>
          <w:szCs w:val="28"/>
        </w:rPr>
        <w:tab/>
      </w:r>
      <w:r w:rsidR="008E50A4" w:rsidRPr="00A04901">
        <w:rPr>
          <w:sz w:val="28"/>
          <w:szCs w:val="28"/>
        </w:rPr>
        <w:t>This appeal</w:t>
      </w:r>
      <w:r w:rsidR="002E375D" w:rsidRPr="00A04901">
        <w:rPr>
          <w:sz w:val="28"/>
          <w:szCs w:val="28"/>
        </w:rPr>
        <w:t xml:space="preserve">, which arises from an exception upheld by the KwaZulu-Natal Division of the High Court, Pietermaritzburg (the high court), </w:t>
      </w:r>
      <w:r w:rsidR="002C0D31" w:rsidRPr="00A04901">
        <w:rPr>
          <w:sz w:val="28"/>
          <w:szCs w:val="28"/>
        </w:rPr>
        <w:t>concerns the interpretation of s 218(2) of the Companies Act 71 of 2008 (the Act)</w:t>
      </w:r>
      <w:r w:rsidR="007C14D4" w:rsidRPr="00A04901">
        <w:rPr>
          <w:sz w:val="28"/>
          <w:szCs w:val="28"/>
        </w:rPr>
        <w:t>,</w:t>
      </w:r>
      <w:r w:rsidR="002C0D31" w:rsidRPr="00A04901">
        <w:rPr>
          <w:sz w:val="28"/>
          <w:szCs w:val="28"/>
        </w:rPr>
        <w:t xml:space="preserve"> </w:t>
      </w:r>
      <w:r w:rsidR="00EE5A08" w:rsidRPr="00A04901">
        <w:rPr>
          <w:sz w:val="28"/>
          <w:szCs w:val="28"/>
        </w:rPr>
        <w:t xml:space="preserve">which </w:t>
      </w:r>
      <w:r w:rsidR="00E443B0" w:rsidRPr="00A04901">
        <w:rPr>
          <w:sz w:val="28"/>
          <w:szCs w:val="28"/>
        </w:rPr>
        <w:t xml:space="preserve">provides for </w:t>
      </w:r>
      <w:r w:rsidR="002C0D31" w:rsidRPr="00A04901">
        <w:rPr>
          <w:sz w:val="28"/>
          <w:szCs w:val="28"/>
        </w:rPr>
        <w:t>civil liability</w:t>
      </w:r>
      <w:r w:rsidR="00EE5A08" w:rsidRPr="00A04901">
        <w:rPr>
          <w:sz w:val="28"/>
          <w:szCs w:val="28"/>
        </w:rPr>
        <w:t xml:space="preserve"> against any person who contravenes the provisions of the Act</w:t>
      </w:r>
      <w:r w:rsidR="002C0D31" w:rsidRPr="00A04901">
        <w:rPr>
          <w:sz w:val="28"/>
          <w:szCs w:val="28"/>
        </w:rPr>
        <w:t>, read with s 22(1)</w:t>
      </w:r>
      <w:r w:rsidR="00301AAA" w:rsidRPr="00A04901">
        <w:rPr>
          <w:sz w:val="28"/>
          <w:szCs w:val="28"/>
        </w:rPr>
        <w:t>,</w:t>
      </w:r>
      <w:r w:rsidR="00D155F8" w:rsidRPr="00A04901">
        <w:rPr>
          <w:sz w:val="28"/>
          <w:szCs w:val="28"/>
        </w:rPr>
        <w:t xml:space="preserve"> prohibiting reckless trading by a company</w:t>
      </w:r>
      <w:r w:rsidR="005516A9" w:rsidRPr="00A04901">
        <w:rPr>
          <w:sz w:val="28"/>
          <w:szCs w:val="28"/>
        </w:rPr>
        <w:t>.</w:t>
      </w:r>
      <w:r w:rsidR="002C0D31" w:rsidRPr="00A04901">
        <w:rPr>
          <w:sz w:val="28"/>
          <w:szCs w:val="28"/>
        </w:rPr>
        <w:t xml:space="preserve"> These </w:t>
      </w:r>
      <w:r w:rsidR="00485ABE" w:rsidRPr="00A04901">
        <w:rPr>
          <w:sz w:val="28"/>
          <w:szCs w:val="28"/>
        </w:rPr>
        <w:t xml:space="preserve">must be </w:t>
      </w:r>
      <w:r w:rsidR="002C0D31" w:rsidRPr="00A04901">
        <w:rPr>
          <w:sz w:val="28"/>
          <w:szCs w:val="28"/>
        </w:rPr>
        <w:t>viewed alongside provisions dealing with fiduciary duties of directors</w:t>
      </w:r>
      <w:r w:rsidR="00E44E14" w:rsidRPr="00A04901">
        <w:rPr>
          <w:sz w:val="28"/>
          <w:szCs w:val="28"/>
        </w:rPr>
        <w:t xml:space="preserve"> </w:t>
      </w:r>
      <w:r w:rsidR="007C14D4" w:rsidRPr="00A04901">
        <w:rPr>
          <w:sz w:val="28"/>
          <w:szCs w:val="28"/>
        </w:rPr>
        <w:t>(</w:t>
      </w:r>
      <w:r w:rsidR="00E44E14" w:rsidRPr="00A04901">
        <w:rPr>
          <w:sz w:val="28"/>
          <w:szCs w:val="28"/>
        </w:rPr>
        <w:t>s</w:t>
      </w:r>
      <w:r w:rsidR="00640761" w:rsidRPr="00A04901">
        <w:rPr>
          <w:sz w:val="28"/>
          <w:szCs w:val="28"/>
        </w:rPr>
        <w:t> </w:t>
      </w:r>
      <w:r w:rsidR="00E44E14" w:rsidRPr="00A04901">
        <w:rPr>
          <w:sz w:val="28"/>
          <w:szCs w:val="28"/>
        </w:rPr>
        <w:t>76(3)</w:t>
      </w:r>
      <w:r w:rsidR="007C14D4" w:rsidRPr="00A04901">
        <w:rPr>
          <w:sz w:val="28"/>
          <w:szCs w:val="28"/>
        </w:rPr>
        <w:t>)</w:t>
      </w:r>
      <w:r w:rsidR="001C464D" w:rsidRPr="00A04901">
        <w:rPr>
          <w:sz w:val="28"/>
          <w:szCs w:val="28"/>
        </w:rPr>
        <w:t>,</w:t>
      </w:r>
      <w:r w:rsidR="002E375D" w:rsidRPr="00A04901">
        <w:rPr>
          <w:sz w:val="28"/>
          <w:szCs w:val="28"/>
        </w:rPr>
        <w:t xml:space="preserve"> </w:t>
      </w:r>
      <w:r w:rsidR="00E44E14" w:rsidRPr="00A04901">
        <w:rPr>
          <w:sz w:val="28"/>
          <w:szCs w:val="28"/>
        </w:rPr>
        <w:lastRenderedPageBreak/>
        <w:t xml:space="preserve">consequential liability </w:t>
      </w:r>
      <w:r w:rsidR="007C14D4" w:rsidRPr="00A04901">
        <w:rPr>
          <w:sz w:val="28"/>
          <w:szCs w:val="28"/>
        </w:rPr>
        <w:t>(</w:t>
      </w:r>
      <w:r w:rsidR="00E44E14" w:rsidRPr="00A04901">
        <w:rPr>
          <w:sz w:val="28"/>
          <w:szCs w:val="28"/>
        </w:rPr>
        <w:t>s 77(2)</w:t>
      </w:r>
      <w:r w:rsidR="007C14D4" w:rsidRPr="00A04901">
        <w:rPr>
          <w:sz w:val="28"/>
          <w:szCs w:val="28"/>
        </w:rPr>
        <w:t>)</w:t>
      </w:r>
      <w:r w:rsidR="005D034F" w:rsidRPr="00A04901">
        <w:rPr>
          <w:sz w:val="28"/>
          <w:szCs w:val="28"/>
        </w:rPr>
        <w:t xml:space="preserve"> and the longstanding principle </w:t>
      </w:r>
      <w:r w:rsidR="00963DA7" w:rsidRPr="00A04901">
        <w:rPr>
          <w:sz w:val="28"/>
          <w:szCs w:val="28"/>
        </w:rPr>
        <w:t>that a company has</w:t>
      </w:r>
      <w:r w:rsidR="007C14D4" w:rsidRPr="00A04901">
        <w:rPr>
          <w:sz w:val="28"/>
          <w:szCs w:val="28"/>
        </w:rPr>
        <w:t xml:space="preserve"> a</w:t>
      </w:r>
      <w:r w:rsidR="00963DA7" w:rsidRPr="00A04901">
        <w:rPr>
          <w:sz w:val="28"/>
          <w:szCs w:val="28"/>
        </w:rPr>
        <w:t xml:space="preserve"> </w:t>
      </w:r>
      <w:r w:rsidR="005D034F" w:rsidRPr="00A04901">
        <w:rPr>
          <w:sz w:val="28"/>
          <w:szCs w:val="28"/>
        </w:rPr>
        <w:t xml:space="preserve">legal personality </w:t>
      </w:r>
      <w:r w:rsidR="007C14D4" w:rsidRPr="00A04901">
        <w:rPr>
          <w:sz w:val="28"/>
          <w:szCs w:val="28"/>
        </w:rPr>
        <w:t xml:space="preserve">separate </w:t>
      </w:r>
      <w:r w:rsidR="005D034F" w:rsidRPr="00A04901">
        <w:rPr>
          <w:sz w:val="28"/>
          <w:szCs w:val="28"/>
        </w:rPr>
        <w:t>from its directors and shareholders</w:t>
      </w:r>
      <w:r w:rsidR="00E44E14" w:rsidRPr="00A04901">
        <w:rPr>
          <w:sz w:val="28"/>
          <w:szCs w:val="28"/>
        </w:rPr>
        <w:t xml:space="preserve">. </w:t>
      </w:r>
    </w:p>
    <w:p w14:paraId="364EEF7F" w14:textId="77777777" w:rsidR="00655F43" w:rsidRPr="002F00D9" w:rsidRDefault="00655F43" w:rsidP="00655F43"/>
    <w:p w14:paraId="37DDC438" w14:textId="4480A8F8" w:rsidR="00241C5D" w:rsidRPr="00A04901" w:rsidRDefault="00A04901" w:rsidP="00A04901">
      <w:pPr>
        <w:rPr>
          <w:sz w:val="28"/>
          <w:szCs w:val="28"/>
        </w:rPr>
      </w:pPr>
      <w:r w:rsidRPr="002F00D9">
        <w:rPr>
          <w:sz w:val="28"/>
          <w:szCs w:val="28"/>
        </w:rPr>
        <w:t>[2]</w:t>
      </w:r>
      <w:r w:rsidRPr="002F00D9">
        <w:rPr>
          <w:sz w:val="28"/>
          <w:szCs w:val="28"/>
        </w:rPr>
        <w:tab/>
      </w:r>
      <w:r w:rsidR="00485ABE" w:rsidRPr="00A04901">
        <w:rPr>
          <w:sz w:val="28"/>
          <w:szCs w:val="28"/>
        </w:rPr>
        <w:t>T</w:t>
      </w:r>
      <w:r w:rsidR="00E44E14" w:rsidRPr="00A04901">
        <w:rPr>
          <w:sz w:val="28"/>
          <w:szCs w:val="28"/>
        </w:rPr>
        <w:t xml:space="preserve">he </w:t>
      </w:r>
      <w:r w:rsidR="00A72B6F" w:rsidRPr="00A04901">
        <w:rPr>
          <w:sz w:val="28"/>
          <w:szCs w:val="28"/>
        </w:rPr>
        <w:t xml:space="preserve">high </w:t>
      </w:r>
      <w:r w:rsidR="0090457D" w:rsidRPr="00A04901">
        <w:rPr>
          <w:sz w:val="28"/>
          <w:szCs w:val="28"/>
        </w:rPr>
        <w:t>court considered</w:t>
      </w:r>
      <w:r w:rsidR="002E375D" w:rsidRPr="00A04901">
        <w:rPr>
          <w:sz w:val="28"/>
          <w:szCs w:val="28"/>
        </w:rPr>
        <w:t xml:space="preserve"> and upheld an exception to the particulars of claim, wherein the</w:t>
      </w:r>
      <w:r w:rsidR="00E44E14" w:rsidRPr="00A04901">
        <w:rPr>
          <w:sz w:val="28"/>
          <w:szCs w:val="28"/>
        </w:rPr>
        <w:t xml:space="preserve"> question </w:t>
      </w:r>
      <w:r w:rsidR="005200B0" w:rsidRPr="00A04901">
        <w:rPr>
          <w:sz w:val="28"/>
          <w:szCs w:val="28"/>
        </w:rPr>
        <w:t xml:space="preserve">whether </w:t>
      </w:r>
      <w:r w:rsidR="00C36FBD" w:rsidRPr="00A04901">
        <w:rPr>
          <w:sz w:val="28"/>
          <w:szCs w:val="28"/>
        </w:rPr>
        <w:t>a creditor</w:t>
      </w:r>
      <w:r w:rsidR="005200B0" w:rsidRPr="00A04901">
        <w:rPr>
          <w:sz w:val="28"/>
          <w:szCs w:val="28"/>
        </w:rPr>
        <w:t xml:space="preserve"> could</w:t>
      </w:r>
      <w:r w:rsidR="00C36FBD" w:rsidRPr="00A04901">
        <w:rPr>
          <w:sz w:val="28"/>
          <w:szCs w:val="28"/>
        </w:rPr>
        <w:t xml:space="preserve"> claim against</w:t>
      </w:r>
      <w:r w:rsidR="005200B0" w:rsidRPr="00A04901">
        <w:rPr>
          <w:sz w:val="28"/>
          <w:szCs w:val="28"/>
        </w:rPr>
        <w:t xml:space="preserve"> </w:t>
      </w:r>
      <w:r w:rsidR="008E50A4" w:rsidRPr="00A04901">
        <w:rPr>
          <w:sz w:val="28"/>
          <w:szCs w:val="28"/>
        </w:rPr>
        <w:t xml:space="preserve">the </w:t>
      </w:r>
      <w:r w:rsidR="00C36FBD" w:rsidRPr="00A04901">
        <w:rPr>
          <w:sz w:val="28"/>
          <w:szCs w:val="28"/>
        </w:rPr>
        <w:t>directors of a company</w:t>
      </w:r>
      <w:r w:rsidR="00424C56" w:rsidRPr="00A04901">
        <w:rPr>
          <w:sz w:val="28"/>
          <w:szCs w:val="28"/>
        </w:rPr>
        <w:t xml:space="preserve"> personally</w:t>
      </w:r>
      <w:r w:rsidR="007C14D4" w:rsidRPr="00A04901">
        <w:rPr>
          <w:sz w:val="28"/>
          <w:szCs w:val="28"/>
        </w:rPr>
        <w:t>,</w:t>
      </w:r>
      <w:r w:rsidR="00424C56" w:rsidRPr="00A04901">
        <w:rPr>
          <w:sz w:val="28"/>
          <w:szCs w:val="28"/>
        </w:rPr>
        <w:t xml:space="preserve"> </w:t>
      </w:r>
      <w:r w:rsidR="00C36FBD" w:rsidRPr="00A04901">
        <w:rPr>
          <w:sz w:val="28"/>
          <w:szCs w:val="28"/>
        </w:rPr>
        <w:t>in terms of s</w:t>
      </w:r>
      <w:r w:rsidR="00B77C8C" w:rsidRPr="00A04901">
        <w:rPr>
          <w:sz w:val="28"/>
          <w:szCs w:val="28"/>
        </w:rPr>
        <w:t> </w:t>
      </w:r>
      <w:r w:rsidR="00C36FBD" w:rsidRPr="00A04901">
        <w:rPr>
          <w:sz w:val="28"/>
          <w:szCs w:val="28"/>
        </w:rPr>
        <w:t>218(2)</w:t>
      </w:r>
      <w:r w:rsidR="008E50A4" w:rsidRPr="00A04901">
        <w:rPr>
          <w:sz w:val="28"/>
          <w:szCs w:val="28"/>
        </w:rPr>
        <w:t xml:space="preserve"> read with s 22(1)</w:t>
      </w:r>
      <w:r w:rsidR="00C36FBD" w:rsidRPr="00A04901">
        <w:rPr>
          <w:sz w:val="28"/>
          <w:szCs w:val="28"/>
        </w:rPr>
        <w:t xml:space="preserve"> </w:t>
      </w:r>
      <w:r w:rsidR="0090457D" w:rsidRPr="00A04901">
        <w:rPr>
          <w:sz w:val="28"/>
          <w:szCs w:val="28"/>
        </w:rPr>
        <w:t>of the</w:t>
      </w:r>
      <w:r w:rsidR="00C36FBD" w:rsidRPr="00A04901">
        <w:rPr>
          <w:sz w:val="28"/>
          <w:szCs w:val="28"/>
        </w:rPr>
        <w:t xml:space="preserve"> Act</w:t>
      </w:r>
      <w:r w:rsidR="00FF1F4B" w:rsidRPr="00A04901">
        <w:rPr>
          <w:sz w:val="28"/>
          <w:szCs w:val="28"/>
        </w:rPr>
        <w:t>,</w:t>
      </w:r>
      <w:r w:rsidR="002E375D" w:rsidRPr="00A04901">
        <w:rPr>
          <w:sz w:val="28"/>
          <w:szCs w:val="28"/>
        </w:rPr>
        <w:t xml:space="preserve"> was raised</w:t>
      </w:r>
      <w:r w:rsidR="00E44E14" w:rsidRPr="00A04901">
        <w:rPr>
          <w:sz w:val="28"/>
          <w:szCs w:val="28"/>
        </w:rPr>
        <w:t>.</w:t>
      </w:r>
      <w:r w:rsidR="00963DA7" w:rsidRPr="00A04901">
        <w:rPr>
          <w:sz w:val="28"/>
          <w:szCs w:val="28"/>
        </w:rPr>
        <w:t xml:space="preserve"> </w:t>
      </w:r>
      <w:r w:rsidR="007C14D4" w:rsidRPr="00A04901">
        <w:rPr>
          <w:sz w:val="28"/>
          <w:szCs w:val="28"/>
        </w:rPr>
        <w:t xml:space="preserve">Section </w:t>
      </w:r>
      <w:r w:rsidR="00012911" w:rsidRPr="00A04901">
        <w:rPr>
          <w:sz w:val="28"/>
          <w:szCs w:val="28"/>
        </w:rPr>
        <w:t>214(1)</w:t>
      </w:r>
      <w:r w:rsidR="00012911" w:rsidRPr="00A04901">
        <w:rPr>
          <w:i/>
          <w:iCs/>
          <w:sz w:val="28"/>
          <w:szCs w:val="28"/>
        </w:rPr>
        <w:t>(c)</w:t>
      </w:r>
      <w:r w:rsidR="00012911" w:rsidRPr="00A04901">
        <w:rPr>
          <w:sz w:val="28"/>
          <w:szCs w:val="28"/>
        </w:rPr>
        <w:t xml:space="preserve"> of the Act</w:t>
      </w:r>
      <w:r w:rsidR="00485ABE" w:rsidRPr="00A04901">
        <w:rPr>
          <w:sz w:val="28"/>
          <w:szCs w:val="28"/>
        </w:rPr>
        <w:t>,</w:t>
      </w:r>
      <w:r w:rsidR="00012911" w:rsidRPr="00A04901">
        <w:rPr>
          <w:sz w:val="28"/>
          <w:szCs w:val="28"/>
        </w:rPr>
        <w:t xml:space="preserve"> which provides for </w:t>
      </w:r>
      <w:r w:rsidR="008E50A4" w:rsidRPr="00A04901">
        <w:rPr>
          <w:sz w:val="28"/>
          <w:szCs w:val="28"/>
        </w:rPr>
        <w:t xml:space="preserve">criminal </w:t>
      </w:r>
      <w:r w:rsidR="00012911" w:rsidRPr="00A04901">
        <w:rPr>
          <w:sz w:val="28"/>
          <w:szCs w:val="28"/>
        </w:rPr>
        <w:t>offences</w:t>
      </w:r>
      <w:r w:rsidR="008E50A4" w:rsidRPr="00A04901">
        <w:rPr>
          <w:sz w:val="28"/>
          <w:szCs w:val="28"/>
        </w:rPr>
        <w:t xml:space="preserve"> and </w:t>
      </w:r>
      <w:r w:rsidR="00E44E14" w:rsidRPr="00A04901">
        <w:rPr>
          <w:sz w:val="28"/>
          <w:szCs w:val="28"/>
        </w:rPr>
        <w:t xml:space="preserve">an </w:t>
      </w:r>
      <w:r w:rsidR="005D034F" w:rsidRPr="00A04901">
        <w:rPr>
          <w:sz w:val="28"/>
          <w:szCs w:val="28"/>
        </w:rPr>
        <w:t>alternative common</w:t>
      </w:r>
      <w:r w:rsidR="008E50A4" w:rsidRPr="00A04901">
        <w:rPr>
          <w:sz w:val="28"/>
          <w:szCs w:val="28"/>
        </w:rPr>
        <w:t xml:space="preserve"> law</w:t>
      </w:r>
      <w:r w:rsidR="00E44E14" w:rsidRPr="00A04901">
        <w:rPr>
          <w:sz w:val="28"/>
          <w:szCs w:val="28"/>
        </w:rPr>
        <w:t xml:space="preserve"> claim of fraud</w:t>
      </w:r>
      <w:r w:rsidR="00EE5A08" w:rsidRPr="00A04901">
        <w:rPr>
          <w:sz w:val="28"/>
          <w:szCs w:val="28"/>
        </w:rPr>
        <w:t xml:space="preserve"> against the </w:t>
      </w:r>
      <w:r w:rsidR="0090457D" w:rsidRPr="00A04901">
        <w:rPr>
          <w:sz w:val="28"/>
          <w:szCs w:val="28"/>
        </w:rPr>
        <w:t>directors, were</w:t>
      </w:r>
      <w:r w:rsidR="00963DA7" w:rsidRPr="00A04901">
        <w:rPr>
          <w:sz w:val="28"/>
          <w:szCs w:val="28"/>
        </w:rPr>
        <w:t xml:space="preserve"> </w:t>
      </w:r>
      <w:r w:rsidR="007C14D4" w:rsidRPr="00A04901">
        <w:rPr>
          <w:sz w:val="28"/>
          <w:szCs w:val="28"/>
        </w:rPr>
        <w:t xml:space="preserve">tangentially </w:t>
      </w:r>
      <w:r w:rsidR="00963DA7" w:rsidRPr="00A04901">
        <w:rPr>
          <w:sz w:val="28"/>
          <w:szCs w:val="28"/>
        </w:rPr>
        <w:t>also raised before it</w:t>
      </w:r>
      <w:r w:rsidR="005D034F" w:rsidRPr="00A04901">
        <w:rPr>
          <w:sz w:val="28"/>
          <w:szCs w:val="28"/>
        </w:rPr>
        <w:t>.</w:t>
      </w:r>
      <w:r w:rsidR="002E375D" w:rsidRPr="00A04901">
        <w:rPr>
          <w:sz w:val="28"/>
          <w:szCs w:val="28"/>
        </w:rPr>
        <w:t xml:space="preserve"> </w:t>
      </w:r>
      <w:r w:rsidR="00B231EC" w:rsidRPr="00A04901">
        <w:rPr>
          <w:sz w:val="28"/>
          <w:szCs w:val="28"/>
        </w:rPr>
        <w:t xml:space="preserve">The appeal is with the leave of the high court. </w:t>
      </w:r>
    </w:p>
    <w:p w14:paraId="30EF21BB" w14:textId="77777777" w:rsidR="00D25F63" w:rsidRPr="002F00D9" w:rsidRDefault="00D25F63" w:rsidP="00F8280E">
      <w:pPr>
        <w:ind w:left="5529"/>
        <w:rPr>
          <w:bCs/>
          <w:sz w:val="28"/>
          <w:szCs w:val="28"/>
        </w:rPr>
      </w:pPr>
    </w:p>
    <w:p w14:paraId="71DDA259" w14:textId="5FA4A918" w:rsidR="003F42AB" w:rsidRPr="002F00D9" w:rsidRDefault="005200B0" w:rsidP="00F8280E">
      <w:pPr>
        <w:rPr>
          <w:b/>
          <w:bCs/>
          <w:sz w:val="28"/>
          <w:szCs w:val="28"/>
        </w:rPr>
      </w:pPr>
      <w:r w:rsidRPr="002F00D9">
        <w:rPr>
          <w:b/>
          <w:bCs/>
          <w:sz w:val="28"/>
          <w:szCs w:val="28"/>
        </w:rPr>
        <w:t>Background f</w:t>
      </w:r>
      <w:r w:rsidR="003F42AB" w:rsidRPr="002F00D9">
        <w:rPr>
          <w:b/>
          <w:bCs/>
          <w:sz w:val="28"/>
          <w:szCs w:val="28"/>
        </w:rPr>
        <w:t>acts</w:t>
      </w:r>
    </w:p>
    <w:p w14:paraId="30493C2D" w14:textId="23779942" w:rsidR="007B6221" w:rsidRPr="002F00D9" w:rsidRDefault="00A04901" w:rsidP="00A04901">
      <w:r w:rsidRPr="002F00D9">
        <w:rPr>
          <w:sz w:val="28"/>
          <w:szCs w:val="28"/>
        </w:rPr>
        <w:t>[3]</w:t>
      </w:r>
      <w:r w:rsidRPr="002F00D9">
        <w:rPr>
          <w:sz w:val="28"/>
          <w:szCs w:val="28"/>
        </w:rPr>
        <w:tab/>
      </w:r>
      <w:r w:rsidR="003F42AB" w:rsidRPr="00A04901">
        <w:rPr>
          <w:sz w:val="28"/>
          <w:szCs w:val="28"/>
        </w:rPr>
        <w:t>The appellant</w:t>
      </w:r>
      <w:r w:rsidR="005D034F" w:rsidRPr="00A04901">
        <w:rPr>
          <w:sz w:val="28"/>
          <w:szCs w:val="28"/>
        </w:rPr>
        <w:t xml:space="preserve"> is</w:t>
      </w:r>
      <w:r w:rsidR="008E50A4" w:rsidRPr="00A04901">
        <w:rPr>
          <w:sz w:val="28"/>
          <w:szCs w:val="28"/>
        </w:rPr>
        <w:t xml:space="preserve"> Venator Africa (Pty) Ltd</w:t>
      </w:r>
      <w:r w:rsidR="005D034F" w:rsidRPr="00A04901">
        <w:rPr>
          <w:sz w:val="28"/>
          <w:szCs w:val="28"/>
        </w:rPr>
        <w:t xml:space="preserve">. It </w:t>
      </w:r>
      <w:r w:rsidR="003F42AB" w:rsidRPr="00A04901">
        <w:rPr>
          <w:sz w:val="28"/>
          <w:szCs w:val="28"/>
        </w:rPr>
        <w:t>instituted action in the high court against the respondents, Lloyd Mason Watts</w:t>
      </w:r>
      <w:r w:rsidR="007D6AFD" w:rsidRPr="00A04901">
        <w:rPr>
          <w:sz w:val="28"/>
          <w:szCs w:val="28"/>
        </w:rPr>
        <w:t xml:space="preserve"> </w:t>
      </w:r>
      <w:r w:rsidR="003F42AB" w:rsidRPr="00A04901">
        <w:rPr>
          <w:sz w:val="28"/>
          <w:szCs w:val="28"/>
        </w:rPr>
        <w:t>and Martin Bekker</w:t>
      </w:r>
      <w:r w:rsidR="005D034F" w:rsidRPr="00A04901">
        <w:rPr>
          <w:sz w:val="28"/>
          <w:szCs w:val="28"/>
        </w:rPr>
        <w:t>. The respondents were the</w:t>
      </w:r>
      <w:r w:rsidR="003F42AB" w:rsidRPr="00A04901">
        <w:rPr>
          <w:sz w:val="28"/>
          <w:szCs w:val="28"/>
        </w:rPr>
        <w:t xml:space="preserve"> directors of </w:t>
      </w:r>
      <w:r w:rsidR="007B6221" w:rsidRPr="00A04901">
        <w:rPr>
          <w:sz w:val="28"/>
          <w:szCs w:val="28"/>
        </w:rPr>
        <w:t xml:space="preserve">a company </w:t>
      </w:r>
      <w:r w:rsidR="00012911" w:rsidRPr="00A04901">
        <w:rPr>
          <w:sz w:val="28"/>
          <w:szCs w:val="28"/>
        </w:rPr>
        <w:t xml:space="preserve">known as </w:t>
      </w:r>
      <w:r w:rsidR="003F42AB" w:rsidRPr="00A04901">
        <w:rPr>
          <w:sz w:val="28"/>
          <w:szCs w:val="28"/>
        </w:rPr>
        <w:t>Siyazi Logistics and Trading (Pty) Ltd (Siyazi)</w:t>
      </w:r>
      <w:r w:rsidR="00963DA7" w:rsidRPr="00A04901">
        <w:rPr>
          <w:sz w:val="28"/>
          <w:szCs w:val="28"/>
        </w:rPr>
        <w:t>,</w:t>
      </w:r>
      <w:r w:rsidR="00B231EC" w:rsidRPr="00A04901">
        <w:rPr>
          <w:sz w:val="28"/>
          <w:szCs w:val="28"/>
        </w:rPr>
        <w:t xml:space="preserve"> which</w:t>
      </w:r>
      <w:r w:rsidR="007D6AFD" w:rsidRPr="00A04901">
        <w:rPr>
          <w:sz w:val="28"/>
          <w:szCs w:val="28"/>
        </w:rPr>
        <w:t xml:space="preserve"> conducted business as a clearing and forwarding agent</w:t>
      </w:r>
      <w:r w:rsidR="00B231EC" w:rsidRPr="00A04901">
        <w:rPr>
          <w:sz w:val="28"/>
          <w:szCs w:val="28"/>
        </w:rPr>
        <w:t>.</w:t>
      </w:r>
      <w:r w:rsidR="00E80023" w:rsidRPr="00A04901">
        <w:rPr>
          <w:sz w:val="28"/>
          <w:szCs w:val="28"/>
        </w:rPr>
        <w:t xml:space="preserve"> Siyazi had a contractual relationship with the appellant. </w:t>
      </w:r>
      <w:r w:rsidR="007D6AFD" w:rsidRPr="00A04901">
        <w:rPr>
          <w:sz w:val="28"/>
          <w:szCs w:val="28"/>
        </w:rPr>
        <w:t>In the action, Mr Bekker was cited as the first defendant and Mr Watts as a second defendant</w:t>
      </w:r>
      <w:r w:rsidR="00B231EC" w:rsidRPr="00A04901">
        <w:rPr>
          <w:sz w:val="28"/>
          <w:szCs w:val="28"/>
        </w:rPr>
        <w:t>, respectively</w:t>
      </w:r>
      <w:r w:rsidR="007D6AFD" w:rsidRPr="00A04901">
        <w:rPr>
          <w:sz w:val="28"/>
          <w:szCs w:val="28"/>
        </w:rPr>
        <w:t xml:space="preserve">. </w:t>
      </w:r>
      <w:r w:rsidR="00B231EC" w:rsidRPr="00A04901">
        <w:rPr>
          <w:sz w:val="28"/>
          <w:szCs w:val="28"/>
        </w:rPr>
        <w:t xml:space="preserve">Mr Bekker however does not participate in this appeal. </w:t>
      </w:r>
      <w:r w:rsidR="00C36FBD" w:rsidRPr="00A04901">
        <w:rPr>
          <w:sz w:val="28"/>
          <w:szCs w:val="28"/>
        </w:rPr>
        <w:t xml:space="preserve">I </w:t>
      </w:r>
      <w:r w:rsidR="007B6221" w:rsidRPr="00A04901">
        <w:rPr>
          <w:sz w:val="28"/>
          <w:szCs w:val="28"/>
        </w:rPr>
        <w:t xml:space="preserve">shall henceforth </w:t>
      </w:r>
      <w:r w:rsidR="00C36FBD" w:rsidRPr="00A04901">
        <w:rPr>
          <w:sz w:val="28"/>
          <w:szCs w:val="28"/>
        </w:rPr>
        <w:t xml:space="preserve">refer </w:t>
      </w:r>
      <w:r w:rsidR="003F42AB" w:rsidRPr="00A04901">
        <w:rPr>
          <w:sz w:val="28"/>
          <w:szCs w:val="28"/>
        </w:rPr>
        <w:t>to the appellant as ‘</w:t>
      </w:r>
      <w:r w:rsidR="007D6AFD" w:rsidRPr="00A04901">
        <w:rPr>
          <w:sz w:val="28"/>
          <w:szCs w:val="28"/>
        </w:rPr>
        <w:t xml:space="preserve">the </w:t>
      </w:r>
      <w:r w:rsidR="003F42AB" w:rsidRPr="00A04901">
        <w:rPr>
          <w:sz w:val="28"/>
          <w:szCs w:val="28"/>
        </w:rPr>
        <w:t>plaintiff’ and the respondents as ‘</w:t>
      </w:r>
      <w:r w:rsidR="007D6AFD" w:rsidRPr="00A04901">
        <w:rPr>
          <w:sz w:val="28"/>
          <w:szCs w:val="28"/>
        </w:rPr>
        <w:t xml:space="preserve">the </w:t>
      </w:r>
      <w:r w:rsidR="00411630" w:rsidRPr="00A04901">
        <w:rPr>
          <w:sz w:val="28"/>
          <w:szCs w:val="28"/>
        </w:rPr>
        <w:t xml:space="preserve">first and second </w:t>
      </w:r>
      <w:r w:rsidR="003F42AB" w:rsidRPr="00A04901">
        <w:rPr>
          <w:sz w:val="28"/>
          <w:szCs w:val="28"/>
        </w:rPr>
        <w:t>defendants’</w:t>
      </w:r>
      <w:r w:rsidR="00411630" w:rsidRPr="00A04901">
        <w:rPr>
          <w:sz w:val="28"/>
          <w:szCs w:val="28"/>
        </w:rPr>
        <w:t>,</w:t>
      </w:r>
      <w:r w:rsidR="00B231EC" w:rsidRPr="00A04901">
        <w:rPr>
          <w:sz w:val="28"/>
          <w:szCs w:val="28"/>
        </w:rPr>
        <w:t xml:space="preserve"> </w:t>
      </w:r>
      <w:r w:rsidR="00E80023" w:rsidRPr="00A04901">
        <w:rPr>
          <w:sz w:val="28"/>
          <w:szCs w:val="28"/>
        </w:rPr>
        <w:t xml:space="preserve">respectively, </w:t>
      </w:r>
      <w:r w:rsidR="00B231EC" w:rsidRPr="00A04901">
        <w:rPr>
          <w:sz w:val="28"/>
          <w:szCs w:val="28"/>
        </w:rPr>
        <w:t>as in the action</w:t>
      </w:r>
      <w:r w:rsidR="003F42AB" w:rsidRPr="00A04901">
        <w:rPr>
          <w:sz w:val="28"/>
          <w:szCs w:val="28"/>
        </w:rPr>
        <w:t xml:space="preserve">. </w:t>
      </w:r>
    </w:p>
    <w:p w14:paraId="10FE6008" w14:textId="77777777" w:rsidR="00012911" w:rsidRPr="002F00D9" w:rsidRDefault="00012911" w:rsidP="00F8280E"/>
    <w:p w14:paraId="41B9C843" w14:textId="4A49741F" w:rsidR="00012911" w:rsidRPr="00A04901" w:rsidRDefault="00A04901" w:rsidP="00A04901">
      <w:pPr>
        <w:rPr>
          <w:bCs/>
        </w:rPr>
      </w:pPr>
      <w:r w:rsidRPr="002F00D9">
        <w:rPr>
          <w:sz w:val="28"/>
          <w:szCs w:val="28"/>
        </w:rPr>
        <w:t>[4]</w:t>
      </w:r>
      <w:r w:rsidRPr="002F00D9">
        <w:rPr>
          <w:sz w:val="28"/>
          <w:szCs w:val="28"/>
        </w:rPr>
        <w:tab/>
      </w:r>
      <w:r w:rsidR="00485ABE" w:rsidRPr="00A04901">
        <w:rPr>
          <w:sz w:val="28"/>
          <w:szCs w:val="28"/>
        </w:rPr>
        <w:t xml:space="preserve">It was alleged </w:t>
      </w:r>
      <w:r w:rsidR="00B231EC" w:rsidRPr="00A04901">
        <w:rPr>
          <w:sz w:val="28"/>
          <w:szCs w:val="28"/>
        </w:rPr>
        <w:t xml:space="preserve">in the </w:t>
      </w:r>
      <w:r w:rsidR="00E030A7" w:rsidRPr="00A04901">
        <w:rPr>
          <w:sz w:val="28"/>
          <w:szCs w:val="28"/>
        </w:rPr>
        <w:t>particulars of claim</w:t>
      </w:r>
      <w:r w:rsidR="00CE6A90" w:rsidRPr="00A04901">
        <w:rPr>
          <w:sz w:val="28"/>
          <w:szCs w:val="28"/>
        </w:rPr>
        <w:t xml:space="preserve">: </w:t>
      </w:r>
      <w:r w:rsidR="00B231EC" w:rsidRPr="00A04901">
        <w:rPr>
          <w:sz w:val="28"/>
          <w:szCs w:val="28"/>
        </w:rPr>
        <w:t xml:space="preserve">    </w:t>
      </w:r>
    </w:p>
    <w:p w14:paraId="59DF4F71" w14:textId="171B93AF" w:rsidR="00A97436" w:rsidRPr="002F00D9" w:rsidRDefault="00A97436" w:rsidP="00F8280E">
      <w:pPr>
        <w:rPr>
          <w:bCs/>
        </w:rPr>
      </w:pPr>
      <w:r w:rsidRPr="002F00D9">
        <w:rPr>
          <w:bCs/>
        </w:rPr>
        <w:t>‘7</w:t>
      </w:r>
      <w:r w:rsidR="0033199D" w:rsidRPr="002F00D9">
        <w:rPr>
          <w:bCs/>
        </w:rPr>
        <w:t>.</w:t>
      </w:r>
      <w:r w:rsidR="0043781C" w:rsidRPr="002F00D9">
        <w:rPr>
          <w:bCs/>
        </w:rPr>
        <w:tab/>
      </w:r>
      <w:r w:rsidRPr="002F00D9">
        <w:rPr>
          <w:bCs/>
        </w:rPr>
        <w:t xml:space="preserve">As regards the relationship between Plaintiff and Siyazi: </w:t>
      </w:r>
    </w:p>
    <w:p w14:paraId="5886D308" w14:textId="5DD19A86" w:rsidR="00AB037D" w:rsidRPr="002F00D9" w:rsidRDefault="00A97436" w:rsidP="00E51DC6">
      <w:pPr>
        <w:rPr>
          <w:bCs/>
        </w:rPr>
      </w:pPr>
      <w:r w:rsidRPr="002F00D9">
        <w:rPr>
          <w:bCs/>
        </w:rPr>
        <w:t>7.1</w:t>
      </w:r>
      <w:r w:rsidR="0043781C" w:rsidRPr="002F00D9">
        <w:rPr>
          <w:bCs/>
        </w:rPr>
        <w:tab/>
      </w:r>
      <w:r w:rsidRPr="002F00D9">
        <w:rPr>
          <w:bCs/>
        </w:rPr>
        <w:t xml:space="preserve">the </w:t>
      </w:r>
      <w:r w:rsidRPr="002F00D9">
        <w:rPr>
          <w:bCs/>
          <w:i/>
          <w:iCs/>
        </w:rPr>
        <w:t>Plaintiff contracted with Siyazi</w:t>
      </w:r>
      <w:r w:rsidRPr="002F00D9">
        <w:rPr>
          <w:bCs/>
        </w:rPr>
        <w:t xml:space="preserve"> for the performance of clearing and forwarding </w:t>
      </w:r>
      <w:r w:rsidR="001A36B6" w:rsidRPr="002F00D9">
        <w:rPr>
          <w:bCs/>
        </w:rPr>
        <w:t>duties by</w:t>
      </w:r>
      <w:r w:rsidRPr="002F00D9">
        <w:rPr>
          <w:bCs/>
        </w:rPr>
        <w:t xml:space="preserve"> Siyazi on behalf of the Plaintiff; </w:t>
      </w:r>
    </w:p>
    <w:p w14:paraId="3E67365D" w14:textId="4D21EAC9" w:rsidR="00A97436" w:rsidRPr="002F00D9" w:rsidRDefault="00A97436" w:rsidP="00E51DC6">
      <w:pPr>
        <w:rPr>
          <w:bCs/>
        </w:rPr>
      </w:pPr>
      <w:r w:rsidRPr="002F00D9">
        <w:rPr>
          <w:bCs/>
        </w:rPr>
        <w:t>7.2</w:t>
      </w:r>
      <w:r w:rsidR="0043781C" w:rsidRPr="002F00D9">
        <w:rPr>
          <w:bCs/>
        </w:rPr>
        <w:tab/>
      </w:r>
      <w:r w:rsidRPr="002F00D9">
        <w:rPr>
          <w:bCs/>
        </w:rPr>
        <w:t xml:space="preserve">the said agreement commenced during or around 2016 and was </w:t>
      </w:r>
      <w:r w:rsidRPr="002F00D9">
        <w:rPr>
          <w:bCs/>
          <w:i/>
          <w:iCs/>
        </w:rPr>
        <w:t xml:space="preserve">orally agreed between the duly authorised representatives of Siyazi and the Plaintiff </w:t>
      </w:r>
      <w:r w:rsidRPr="002F00D9">
        <w:rPr>
          <w:bCs/>
        </w:rPr>
        <w:t xml:space="preserve">at Durban; </w:t>
      </w:r>
    </w:p>
    <w:p w14:paraId="189D6814" w14:textId="2938EE46" w:rsidR="00A97436" w:rsidRPr="002F00D9" w:rsidRDefault="00A97436" w:rsidP="00E51DC6">
      <w:pPr>
        <w:rPr>
          <w:bCs/>
        </w:rPr>
      </w:pPr>
      <w:r w:rsidRPr="002F00D9">
        <w:rPr>
          <w:bCs/>
        </w:rPr>
        <w:lastRenderedPageBreak/>
        <w:t>7.3</w:t>
      </w:r>
      <w:r w:rsidR="0043781C" w:rsidRPr="002F00D9">
        <w:rPr>
          <w:bCs/>
        </w:rPr>
        <w:tab/>
      </w:r>
      <w:r w:rsidRPr="002F00D9">
        <w:rPr>
          <w:bCs/>
        </w:rPr>
        <w:t xml:space="preserve">the material terms of that agreement were: </w:t>
      </w:r>
    </w:p>
    <w:p w14:paraId="69AE7605" w14:textId="0819B153" w:rsidR="00A97436" w:rsidRPr="002F00D9" w:rsidRDefault="00A97436" w:rsidP="00E51DC6">
      <w:pPr>
        <w:rPr>
          <w:bCs/>
        </w:rPr>
      </w:pPr>
      <w:r w:rsidRPr="002F00D9">
        <w:rPr>
          <w:bCs/>
        </w:rPr>
        <w:t>7.3.1</w:t>
      </w:r>
      <w:r w:rsidR="0043781C" w:rsidRPr="002F00D9">
        <w:rPr>
          <w:bCs/>
        </w:rPr>
        <w:tab/>
      </w:r>
      <w:r w:rsidRPr="002F00D9">
        <w:rPr>
          <w:bCs/>
        </w:rPr>
        <w:t>from time to time and at the request of the Plaintiff, Siyazi would perform clearing services in respect of the importation of goods by the Plaintiff into the Republic;</w:t>
      </w:r>
    </w:p>
    <w:p w14:paraId="64F284D7" w14:textId="5CB471FA" w:rsidR="00A97436" w:rsidRPr="002F00D9" w:rsidRDefault="001A36B6" w:rsidP="00E51DC6">
      <w:pPr>
        <w:rPr>
          <w:bCs/>
        </w:rPr>
      </w:pPr>
      <w:r w:rsidRPr="002F00D9">
        <w:rPr>
          <w:bCs/>
        </w:rPr>
        <w:t>7.3.2</w:t>
      </w:r>
      <w:r w:rsidR="0043781C" w:rsidRPr="002F00D9">
        <w:rPr>
          <w:bCs/>
        </w:rPr>
        <w:tab/>
      </w:r>
      <w:r w:rsidRPr="002F00D9">
        <w:rPr>
          <w:bCs/>
        </w:rPr>
        <w:t>in</w:t>
      </w:r>
      <w:r w:rsidR="00A97436" w:rsidRPr="002F00D9">
        <w:rPr>
          <w:bCs/>
        </w:rPr>
        <w:t xml:space="preserve"> the performance of those services, </w:t>
      </w:r>
      <w:r w:rsidR="00A97436" w:rsidRPr="002F00D9">
        <w:rPr>
          <w:bCs/>
          <w:i/>
          <w:iCs/>
        </w:rPr>
        <w:t>Siyazi would issue disbursement accounts to the Plaintiff which represented the amounts due by Plaintiff to the South African Revenue Services (“SARS”)</w:t>
      </w:r>
      <w:r w:rsidR="00A97436" w:rsidRPr="002F00D9">
        <w:rPr>
          <w:bCs/>
        </w:rPr>
        <w:t xml:space="preserve">; </w:t>
      </w:r>
    </w:p>
    <w:p w14:paraId="46DF22F1" w14:textId="11855FD6" w:rsidR="00A97436" w:rsidRPr="002F00D9" w:rsidRDefault="007B6221" w:rsidP="00F8280E">
      <w:pPr>
        <w:rPr>
          <w:bCs/>
        </w:rPr>
      </w:pPr>
      <w:r w:rsidRPr="002F00D9">
        <w:rPr>
          <w:bCs/>
        </w:rPr>
        <w:t>7.3.3</w:t>
      </w:r>
      <w:r w:rsidR="0043781C" w:rsidRPr="002F00D9">
        <w:rPr>
          <w:bCs/>
        </w:rPr>
        <w:tab/>
      </w:r>
      <w:r w:rsidRPr="002F00D9">
        <w:rPr>
          <w:bCs/>
        </w:rPr>
        <w:t>the</w:t>
      </w:r>
      <w:r w:rsidR="00A97436" w:rsidRPr="002F00D9">
        <w:rPr>
          <w:bCs/>
        </w:rPr>
        <w:t xml:space="preserve"> Plaintiff would pay the amounts reflected on the disbursement accounts to Siyazi; and </w:t>
      </w:r>
    </w:p>
    <w:p w14:paraId="794C5489" w14:textId="44BA4A51" w:rsidR="00A97436" w:rsidRPr="002F00D9" w:rsidRDefault="007B6221" w:rsidP="00E51DC6">
      <w:pPr>
        <w:rPr>
          <w:bCs/>
        </w:rPr>
      </w:pPr>
      <w:r w:rsidRPr="002F00D9">
        <w:rPr>
          <w:bCs/>
        </w:rPr>
        <w:t>7.3.4</w:t>
      </w:r>
      <w:r w:rsidR="0043781C" w:rsidRPr="002F00D9">
        <w:rPr>
          <w:bCs/>
        </w:rPr>
        <w:tab/>
      </w:r>
      <w:r w:rsidRPr="002F00D9">
        <w:rPr>
          <w:bCs/>
          <w:i/>
          <w:iCs/>
        </w:rPr>
        <w:t>Siyaz</w:t>
      </w:r>
      <w:r w:rsidRPr="002F00D9">
        <w:rPr>
          <w:bCs/>
        </w:rPr>
        <w:t>i</w:t>
      </w:r>
      <w:r w:rsidR="00A97436" w:rsidRPr="002F00D9">
        <w:rPr>
          <w:bCs/>
          <w:i/>
          <w:iCs/>
        </w:rPr>
        <w:t xml:space="preserve"> would pay</w:t>
      </w:r>
      <w:r w:rsidR="00A97436" w:rsidRPr="002F00D9">
        <w:rPr>
          <w:bCs/>
        </w:rPr>
        <w:t xml:space="preserve"> the amounts received against the disbursement account to the respective party entitled </w:t>
      </w:r>
      <w:r w:rsidR="00A97436" w:rsidRPr="002F00D9">
        <w:rPr>
          <w:bCs/>
          <w:i/>
          <w:iCs/>
        </w:rPr>
        <w:t>to payment (i.e. SARS)</w:t>
      </w:r>
      <w:r w:rsidR="00A97436" w:rsidRPr="002F00D9">
        <w:rPr>
          <w:bCs/>
        </w:rPr>
        <w:t xml:space="preserve">. </w:t>
      </w:r>
    </w:p>
    <w:p w14:paraId="0053F593" w14:textId="298E7E7A" w:rsidR="00A97436" w:rsidRPr="002F00D9" w:rsidRDefault="00A97436" w:rsidP="00E51DC6">
      <w:pPr>
        <w:rPr>
          <w:bCs/>
        </w:rPr>
      </w:pPr>
      <w:r w:rsidRPr="002F00D9">
        <w:rPr>
          <w:bCs/>
        </w:rPr>
        <w:t>8</w:t>
      </w:r>
      <w:r w:rsidR="0033199D" w:rsidRPr="002F00D9">
        <w:rPr>
          <w:bCs/>
        </w:rPr>
        <w:t>.</w:t>
      </w:r>
      <w:r w:rsidR="0043781C" w:rsidRPr="002F00D9">
        <w:rPr>
          <w:bCs/>
        </w:rPr>
        <w:tab/>
      </w:r>
      <w:r w:rsidRPr="002F00D9">
        <w:rPr>
          <w:bCs/>
        </w:rPr>
        <w:t xml:space="preserve">During the period 2018 and early 2019, </w:t>
      </w:r>
      <w:r w:rsidRPr="002F00D9">
        <w:rPr>
          <w:bCs/>
          <w:i/>
          <w:iCs/>
        </w:rPr>
        <w:t xml:space="preserve">Siyazi </w:t>
      </w:r>
      <w:r w:rsidRPr="002F00D9">
        <w:rPr>
          <w:bCs/>
        </w:rPr>
        <w:t xml:space="preserve">delivered disbursement accounts to </w:t>
      </w:r>
      <w:r w:rsidRPr="002F00D9">
        <w:rPr>
          <w:bCs/>
          <w:i/>
          <w:iCs/>
        </w:rPr>
        <w:t>the Plaintiff</w:t>
      </w:r>
      <w:r w:rsidRPr="002F00D9">
        <w:rPr>
          <w:bCs/>
        </w:rPr>
        <w:t xml:space="preserve"> in respect of SARS in the total sum of R66,395,006.27. </w:t>
      </w:r>
    </w:p>
    <w:p w14:paraId="3000A7CC" w14:textId="1AF0BDEA" w:rsidR="00A97436" w:rsidRPr="002F00D9" w:rsidRDefault="00A97436" w:rsidP="00E51DC6">
      <w:pPr>
        <w:rPr>
          <w:bCs/>
        </w:rPr>
      </w:pPr>
      <w:r w:rsidRPr="002F00D9">
        <w:rPr>
          <w:bCs/>
        </w:rPr>
        <w:t>9</w:t>
      </w:r>
      <w:r w:rsidR="0033199D" w:rsidRPr="002F00D9">
        <w:rPr>
          <w:bCs/>
        </w:rPr>
        <w:t>.</w:t>
      </w:r>
      <w:r w:rsidR="0043781C" w:rsidRPr="002F00D9">
        <w:rPr>
          <w:bCs/>
        </w:rPr>
        <w:tab/>
      </w:r>
      <w:r w:rsidRPr="002F00D9">
        <w:rPr>
          <w:bCs/>
        </w:rPr>
        <w:t xml:space="preserve">The </w:t>
      </w:r>
      <w:r w:rsidRPr="002F00D9">
        <w:rPr>
          <w:bCs/>
          <w:i/>
          <w:iCs/>
        </w:rPr>
        <w:t>Plaintiff paid</w:t>
      </w:r>
      <w:r w:rsidRPr="002F00D9">
        <w:rPr>
          <w:bCs/>
        </w:rPr>
        <w:t xml:space="preserve"> the full amount of R66,395,006.27 </w:t>
      </w:r>
      <w:r w:rsidRPr="002F00D9">
        <w:rPr>
          <w:bCs/>
          <w:i/>
          <w:iCs/>
        </w:rPr>
        <w:t>to Siyazi</w:t>
      </w:r>
      <w:r w:rsidRPr="002F00D9">
        <w:rPr>
          <w:bCs/>
        </w:rPr>
        <w:t>.</w:t>
      </w:r>
    </w:p>
    <w:p w14:paraId="24321B13" w14:textId="498BA02A" w:rsidR="00A97436" w:rsidRPr="002F00D9" w:rsidRDefault="00A97436" w:rsidP="00E51DC6">
      <w:pPr>
        <w:rPr>
          <w:bCs/>
        </w:rPr>
      </w:pPr>
      <w:r w:rsidRPr="002F00D9">
        <w:rPr>
          <w:bCs/>
        </w:rPr>
        <w:t>10</w:t>
      </w:r>
      <w:r w:rsidR="0033199D" w:rsidRPr="002F00D9">
        <w:rPr>
          <w:bCs/>
        </w:rPr>
        <w:t>.</w:t>
      </w:r>
      <w:r w:rsidR="0043781C" w:rsidRPr="002F00D9">
        <w:rPr>
          <w:bCs/>
        </w:rPr>
        <w:tab/>
      </w:r>
      <w:r w:rsidRPr="002F00D9">
        <w:rPr>
          <w:bCs/>
        </w:rPr>
        <w:t xml:space="preserve">The disbursement accounts constituted a representation </w:t>
      </w:r>
      <w:r w:rsidRPr="002F00D9">
        <w:rPr>
          <w:bCs/>
          <w:i/>
          <w:iCs/>
        </w:rPr>
        <w:t>by Siyazi to Plaintiff</w:t>
      </w:r>
      <w:r w:rsidRPr="002F00D9">
        <w:rPr>
          <w:bCs/>
        </w:rPr>
        <w:t xml:space="preserve"> that the amounts reflected thereon were due by Plaintiff to SARS. </w:t>
      </w:r>
    </w:p>
    <w:p w14:paraId="31456139" w14:textId="457184CF" w:rsidR="00A97436" w:rsidRPr="002F00D9" w:rsidRDefault="00A97436" w:rsidP="00E51DC6">
      <w:pPr>
        <w:rPr>
          <w:bCs/>
        </w:rPr>
      </w:pPr>
      <w:r w:rsidRPr="002F00D9">
        <w:rPr>
          <w:bCs/>
        </w:rPr>
        <w:t>11</w:t>
      </w:r>
      <w:r w:rsidR="0033199D" w:rsidRPr="002F00D9">
        <w:rPr>
          <w:bCs/>
        </w:rPr>
        <w:t>.</w:t>
      </w:r>
      <w:r w:rsidR="0043781C" w:rsidRPr="002F00D9">
        <w:rPr>
          <w:bCs/>
        </w:rPr>
        <w:tab/>
      </w:r>
      <w:r w:rsidR="007B6221" w:rsidRPr="002F00D9">
        <w:rPr>
          <w:bCs/>
        </w:rPr>
        <w:t>Siyazi</w:t>
      </w:r>
      <w:r w:rsidRPr="002F00D9">
        <w:rPr>
          <w:bCs/>
        </w:rPr>
        <w:t xml:space="preserve"> caused only an amount of R31,353,697.27 to be paid to SARS on behalf of the Plaintiff. </w:t>
      </w:r>
    </w:p>
    <w:p w14:paraId="4DAF9FD2" w14:textId="4ADC1AFF" w:rsidR="00A97436" w:rsidRPr="002F00D9" w:rsidRDefault="00A97436" w:rsidP="00E51DC6">
      <w:pPr>
        <w:rPr>
          <w:bCs/>
        </w:rPr>
      </w:pPr>
      <w:r w:rsidRPr="002F00D9">
        <w:rPr>
          <w:bCs/>
        </w:rPr>
        <w:t>12</w:t>
      </w:r>
      <w:r w:rsidR="0033199D" w:rsidRPr="002F00D9">
        <w:rPr>
          <w:bCs/>
        </w:rPr>
        <w:t>.</w:t>
      </w:r>
      <w:r w:rsidR="0043781C" w:rsidRPr="002F00D9">
        <w:rPr>
          <w:bCs/>
        </w:rPr>
        <w:tab/>
      </w:r>
      <w:r w:rsidR="007B6221" w:rsidRPr="002F00D9">
        <w:rPr>
          <w:bCs/>
        </w:rPr>
        <w:t>The</w:t>
      </w:r>
      <w:r w:rsidRPr="002F00D9">
        <w:rPr>
          <w:bCs/>
        </w:rPr>
        <w:t xml:space="preserve"> difference between the amount paid by Plaintiff to </w:t>
      </w:r>
      <w:r w:rsidRPr="002F00D9">
        <w:rPr>
          <w:bCs/>
          <w:i/>
          <w:iCs/>
        </w:rPr>
        <w:t>Siyazi</w:t>
      </w:r>
      <w:r w:rsidRPr="002F00D9">
        <w:rPr>
          <w:bCs/>
        </w:rPr>
        <w:t xml:space="preserve"> against the disbursements accounts and the amount paid by </w:t>
      </w:r>
      <w:r w:rsidRPr="002F00D9">
        <w:rPr>
          <w:bCs/>
          <w:i/>
          <w:iCs/>
        </w:rPr>
        <w:t>Siy</w:t>
      </w:r>
      <w:r w:rsidRPr="002F00D9">
        <w:rPr>
          <w:bCs/>
        </w:rPr>
        <w:t xml:space="preserve">azi </w:t>
      </w:r>
      <w:r w:rsidRPr="002F00D9">
        <w:rPr>
          <w:bCs/>
          <w:i/>
          <w:iCs/>
        </w:rPr>
        <w:t>to SARS</w:t>
      </w:r>
      <w:r w:rsidRPr="002F00D9">
        <w:rPr>
          <w:bCs/>
        </w:rPr>
        <w:t xml:space="preserve"> is R34,612,576.19. </w:t>
      </w:r>
    </w:p>
    <w:p w14:paraId="65932C81" w14:textId="4E2EB6E2" w:rsidR="00A97436" w:rsidRPr="002F00D9" w:rsidRDefault="00A97436" w:rsidP="00E51DC6">
      <w:pPr>
        <w:rPr>
          <w:bCs/>
        </w:rPr>
      </w:pPr>
      <w:r w:rsidRPr="002F00D9">
        <w:rPr>
          <w:bCs/>
        </w:rPr>
        <w:t>13</w:t>
      </w:r>
      <w:r w:rsidR="0033199D" w:rsidRPr="002F00D9">
        <w:rPr>
          <w:bCs/>
        </w:rPr>
        <w:t>.</w:t>
      </w:r>
      <w:r w:rsidR="0043781C" w:rsidRPr="002F00D9">
        <w:rPr>
          <w:bCs/>
        </w:rPr>
        <w:tab/>
      </w:r>
      <w:r w:rsidR="00FA5FC2" w:rsidRPr="002F00D9">
        <w:rPr>
          <w:bCs/>
        </w:rPr>
        <w:t>Consequent</w:t>
      </w:r>
      <w:r w:rsidRPr="002F00D9">
        <w:rPr>
          <w:bCs/>
        </w:rPr>
        <w:t xml:space="preserve"> upon that short payment, </w:t>
      </w:r>
      <w:r w:rsidRPr="002F00D9">
        <w:rPr>
          <w:bCs/>
          <w:i/>
          <w:iCs/>
        </w:rPr>
        <w:t>SARS has raised assessments</w:t>
      </w:r>
      <w:r w:rsidRPr="002F00D9">
        <w:rPr>
          <w:bCs/>
        </w:rPr>
        <w:t xml:space="preserve"> as follows: </w:t>
      </w:r>
    </w:p>
    <w:p w14:paraId="5A1F3C4F" w14:textId="42756A44" w:rsidR="00A97436" w:rsidRPr="002F00D9" w:rsidRDefault="00FA5FC2" w:rsidP="00F8280E">
      <w:pPr>
        <w:rPr>
          <w:bCs/>
        </w:rPr>
      </w:pPr>
      <w:r w:rsidRPr="002F00D9">
        <w:rPr>
          <w:bCs/>
        </w:rPr>
        <w:t>13.1</w:t>
      </w:r>
      <w:r w:rsidR="0043781C" w:rsidRPr="002F00D9">
        <w:rPr>
          <w:bCs/>
        </w:rPr>
        <w:tab/>
      </w:r>
      <w:r w:rsidRPr="002F00D9">
        <w:rPr>
          <w:bCs/>
        </w:rPr>
        <w:t>VAT</w:t>
      </w:r>
      <w:r w:rsidR="00A97436" w:rsidRPr="002F00D9">
        <w:rPr>
          <w:bCs/>
        </w:rPr>
        <w:t xml:space="preserve"> due- R34,630.202.00; </w:t>
      </w:r>
    </w:p>
    <w:p w14:paraId="7B598EAB" w14:textId="2D7A8A85" w:rsidR="00A97436" w:rsidRPr="002F00D9" w:rsidRDefault="00FA5FC2" w:rsidP="00F8280E">
      <w:pPr>
        <w:rPr>
          <w:bCs/>
        </w:rPr>
      </w:pPr>
      <w:r w:rsidRPr="002F00D9">
        <w:rPr>
          <w:bCs/>
        </w:rPr>
        <w:t>13.2</w:t>
      </w:r>
      <w:r w:rsidR="0043781C" w:rsidRPr="002F00D9">
        <w:rPr>
          <w:bCs/>
        </w:rPr>
        <w:tab/>
      </w:r>
      <w:r w:rsidRPr="002F00D9">
        <w:rPr>
          <w:bCs/>
        </w:rPr>
        <w:t>penalties</w:t>
      </w:r>
      <w:r w:rsidR="00A97436" w:rsidRPr="002F00D9">
        <w:rPr>
          <w:bCs/>
        </w:rPr>
        <w:t>- R2,143,774.00; and</w:t>
      </w:r>
    </w:p>
    <w:p w14:paraId="35C32C82" w14:textId="5120E5A9" w:rsidR="00A97436" w:rsidRPr="002F00D9" w:rsidRDefault="00FA5FC2" w:rsidP="00F8280E">
      <w:pPr>
        <w:rPr>
          <w:bCs/>
        </w:rPr>
      </w:pPr>
      <w:r w:rsidRPr="002F00D9">
        <w:rPr>
          <w:bCs/>
        </w:rPr>
        <w:t>13.3</w:t>
      </w:r>
      <w:r w:rsidR="0043781C" w:rsidRPr="002F00D9">
        <w:rPr>
          <w:bCs/>
        </w:rPr>
        <w:tab/>
      </w:r>
      <w:r w:rsidRPr="002F00D9">
        <w:rPr>
          <w:bCs/>
        </w:rPr>
        <w:t>interest</w:t>
      </w:r>
      <w:r w:rsidR="00A97436" w:rsidRPr="002F00D9">
        <w:rPr>
          <w:bCs/>
        </w:rPr>
        <w:t xml:space="preserve">- R4,633,244.00. </w:t>
      </w:r>
    </w:p>
    <w:p w14:paraId="641A4B5D" w14:textId="5A151D72" w:rsidR="00A97436" w:rsidRPr="002F00D9" w:rsidRDefault="00A97436" w:rsidP="00E51DC6">
      <w:pPr>
        <w:rPr>
          <w:bCs/>
        </w:rPr>
      </w:pPr>
      <w:r w:rsidRPr="002F00D9">
        <w:rPr>
          <w:bCs/>
        </w:rPr>
        <w:t>14</w:t>
      </w:r>
      <w:r w:rsidR="0033199D" w:rsidRPr="002F00D9">
        <w:rPr>
          <w:bCs/>
        </w:rPr>
        <w:t>.</w:t>
      </w:r>
      <w:r w:rsidR="0043781C" w:rsidRPr="002F00D9">
        <w:rPr>
          <w:bCs/>
        </w:rPr>
        <w:tab/>
      </w:r>
      <w:r w:rsidRPr="002F00D9">
        <w:rPr>
          <w:bCs/>
        </w:rPr>
        <w:t xml:space="preserve">The total damages suffered by the Plaintiff in consequence of the short payment </w:t>
      </w:r>
      <w:r w:rsidRPr="002F00D9">
        <w:rPr>
          <w:bCs/>
          <w:i/>
          <w:iCs/>
        </w:rPr>
        <w:t>by Siyazi</w:t>
      </w:r>
      <w:r w:rsidRPr="002F00D9">
        <w:rPr>
          <w:bCs/>
        </w:rPr>
        <w:t xml:space="preserve"> to SARS is therefore R41,407,220.00. </w:t>
      </w:r>
    </w:p>
    <w:p w14:paraId="5FCA18A8" w14:textId="52A08C0E" w:rsidR="00A97436" w:rsidRPr="002F00D9" w:rsidRDefault="00A97436" w:rsidP="00E51DC6">
      <w:pPr>
        <w:rPr>
          <w:bCs/>
        </w:rPr>
      </w:pPr>
      <w:r w:rsidRPr="002F00D9">
        <w:rPr>
          <w:bCs/>
        </w:rPr>
        <w:t>15</w:t>
      </w:r>
      <w:r w:rsidR="0033199D" w:rsidRPr="002F00D9">
        <w:rPr>
          <w:bCs/>
        </w:rPr>
        <w:t>.</w:t>
      </w:r>
      <w:r w:rsidR="0043781C" w:rsidRPr="002F00D9">
        <w:rPr>
          <w:bCs/>
        </w:rPr>
        <w:tab/>
      </w:r>
      <w:r w:rsidR="00FA5FC2" w:rsidRPr="002F00D9">
        <w:rPr>
          <w:bCs/>
        </w:rPr>
        <w:t>The</w:t>
      </w:r>
      <w:r w:rsidRPr="002F00D9">
        <w:rPr>
          <w:bCs/>
        </w:rPr>
        <w:t xml:space="preserve"> short payment occurred as a result of fraud and/or theft </w:t>
      </w:r>
      <w:r w:rsidRPr="002F00D9">
        <w:rPr>
          <w:bCs/>
          <w:i/>
          <w:iCs/>
        </w:rPr>
        <w:t>by Siyazi</w:t>
      </w:r>
      <w:r w:rsidR="00FF1CA9" w:rsidRPr="002F00D9">
        <w:rPr>
          <w:bCs/>
          <w:i/>
          <w:iCs/>
        </w:rPr>
        <w:t>’</w:t>
      </w:r>
      <w:r w:rsidRPr="002F00D9">
        <w:rPr>
          <w:bCs/>
          <w:i/>
          <w:iCs/>
        </w:rPr>
        <w:t>s</w:t>
      </w:r>
      <w:r w:rsidRPr="002F00D9">
        <w:rPr>
          <w:bCs/>
        </w:rPr>
        <w:t xml:space="preserve"> employees and/or the Defendants. </w:t>
      </w:r>
    </w:p>
    <w:p w14:paraId="6720D81E" w14:textId="54C10707" w:rsidR="00A97436" w:rsidRPr="002F00D9" w:rsidRDefault="00A97436" w:rsidP="00E51DC6">
      <w:pPr>
        <w:rPr>
          <w:bCs/>
        </w:rPr>
      </w:pPr>
      <w:r w:rsidRPr="002F00D9">
        <w:rPr>
          <w:bCs/>
        </w:rPr>
        <w:t>16</w:t>
      </w:r>
      <w:r w:rsidR="0033199D" w:rsidRPr="002F00D9">
        <w:rPr>
          <w:bCs/>
        </w:rPr>
        <w:t>.</w:t>
      </w:r>
      <w:r w:rsidR="0043781C" w:rsidRPr="002F00D9">
        <w:rPr>
          <w:bCs/>
        </w:rPr>
        <w:tab/>
      </w:r>
      <w:r w:rsidRPr="002F00D9">
        <w:rPr>
          <w:bCs/>
        </w:rPr>
        <w:t xml:space="preserve">Section 22(1) of the Companies Act 2008 provides: </w:t>
      </w:r>
    </w:p>
    <w:p w14:paraId="720FF719" w14:textId="77777777" w:rsidR="00A97436" w:rsidRPr="002F00D9" w:rsidRDefault="00A97436" w:rsidP="00E51DC6">
      <w:pPr>
        <w:rPr>
          <w:bCs/>
        </w:rPr>
      </w:pPr>
      <w:r w:rsidRPr="002F00D9">
        <w:rPr>
          <w:bCs/>
        </w:rPr>
        <w:t xml:space="preserve">“A company must not carry on its business recklessly, with gross negligence, with intent to defraud any person or for any fraudulent purpose.” </w:t>
      </w:r>
    </w:p>
    <w:p w14:paraId="67F54DED" w14:textId="1411CB16" w:rsidR="0033199D" w:rsidRPr="002F00D9" w:rsidRDefault="00A97436" w:rsidP="00E51DC6">
      <w:pPr>
        <w:rPr>
          <w:bCs/>
        </w:rPr>
      </w:pPr>
      <w:r w:rsidRPr="002F00D9">
        <w:rPr>
          <w:bCs/>
        </w:rPr>
        <w:lastRenderedPageBreak/>
        <w:t>17</w:t>
      </w:r>
      <w:r w:rsidR="0033199D" w:rsidRPr="002F00D9">
        <w:rPr>
          <w:bCs/>
        </w:rPr>
        <w:t>.</w:t>
      </w:r>
      <w:r w:rsidR="0043781C" w:rsidRPr="002F00D9">
        <w:rPr>
          <w:bCs/>
        </w:rPr>
        <w:tab/>
      </w:r>
      <w:r w:rsidRPr="002F00D9">
        <w:rPr>
          <w:bCs/>
          <w:i/>
          <w:iCs/>
        </w:rPr>
        <w:t>The conduct of Siyazi</w:t>
      </w:r>
      <w:r w:rsidRPr="002F00D9">
        <w:rPr>
          <w:bCs/>
        </w:rPr>
        <w:t xml:space="preserve"> was reckless, alternatively grossly negligent, further alternatively the business of Siyazi was conducted with the intention to defraud the Plaintiff or further alternatively for a fraudulent purpose. </w:t>
      </w:r>
    </w:p>
    <w:p w14:paraId="0C31C271" w14:textId="340E44BA" w:rsidR="00A97436" w:rsidRPr="002F00D9" w:rsidRDefault="00A97436" w:rsidP="00E51DC6">
      <w:pPr>
        <w:rPr>
          <w:bCs/>
        </w:rPr>
      </w:pPr>
      <w:r w:rsidRPr="002F00D9">
        <w:rPr>
          <w:bCs/>
        </w:rPr>
        <w:t>18</w:t>
      </w:r>
      <w:r w:rsidR="0033199D" w:rsidRPr="002F00D9">
        <w:rPr>
          <w:bCs/>
        </w:rPr>
        <w:t>.</w:t>
      </w:r>
      <w:r w:rsidR="0043781C" w:rsidRPr="002F00D9">
        <w:rPr>
          <w:bCs/>
        </w:rPr>
        <w:tab/>
      </w:r>
      <w:r w:rsidRPr="002F00D9">
        <w:rPr>
          <w:bCs/>
        </w:rPr>
        <w:t xml:space="preserve">Section 218(2) of the Companies Act provides: </w:t>
      </w:r>
    </w:p>
    <w:p w14:paraId="6BFD1ED9" w14:textId="58165DD6" w:rsidR="00A97436" w:rsidRPr="002F00D9" w:rsidRDefault="00A97436" w:rsidP="00E51DC6">
      <w:pPr>
        <w:rPr>
          <w:bCs/>
        </w:rPr>
      </w:pPr>
      <w:r w:rsidRPr="002F00D9">
        <w:rPr>
          <w:bCs/>
        </w:rPr>
        <w:t xml:space="preserve">“Any person who contravenes any provision of this Act </w:t>
      </w:r>
      <w:r w:rsidR="00FA5FC2" w:rsidRPr="002F00D9">
        <w:rPr>
          <w:bCs/>
        </w:rPr>
        <w:t>i</w:t>
      </w:r>
      <w:r w:rsidRPr="002F00D9">
        <w:rPr>
          <w:bCs/>
        </w:rPr>
        <w:t xml:space="preserve">s liable to any other person for any loss or damage suffered by that person as a result of that contravention”. </w:t>
      </w:r>
    </w:p>
    <w:p w14:paraId="689554B4" w14:textId="5AB109E4" w:rsidR="00A97436" w:rsidRPr="002F00D9" w:rsidRDefault="00A97436" w:rsidP="00E51DC6">
      <w:pPr>
        <w:rPr>
          <w:bCs/>
        </w:rPr>
      </w:pPr>
      <w:r w:rsidRPr="002F00D9">
        <w:rPr>
          <w:bCs/>
        </w:rPr>
        <w:t>19</w:t>
      </w:r>
      <w:r w:rsidR="0033199D" w:rsidRPr="002F00D9">
        <w:rPr>
          <w:bCs/>
        </w:rPr>
        <w:t>.</w:t>
      </w:r>
      <w:r w:rsidR="0043781C" w:rsidRPr="002F00D9">
        <w:rPr>
          <w:bCs/>
        </w:rPr>
        <w:tab/>
      </w:r>
      <w:r w:rsidRPr="002F00D9">
        <w:rPr>
          <w:bCs/>
        </w:rPr>
        <w:t xml:space="preserve">As </w:t>
      </w:r>
      <w:r w:rsidRPr="002F00D9">
        <w:rPr>
          <w:bCs/>
          <w:i/>
          <w:iCs/>
        </w:rPr>
        <w:t>directors</w:t>
      </w:r>
      <w:r w:rsidRPr="002F00D9">
        <w:rPr>
          <w:bCs/>
        </w:rPr>
        <w:t xml:space="preserve"> of Siyazi, the </w:t>
      </w:r>
      <w:r w:rsidRPr="002F00D9">
        <w:rPr>
          <w:bCs/>
          <w:i/>
          <w:iCs/>
        </w:rPr>
        <w:t>First and Second Defendants</w:t>
      </w:r>
      <w:r w:rsidRPr="002F00D9">
        <w:rPr>
          <w:bCs/>
        </w:rPr>
        <w:t xml:space="preserve"> were: </w:t>
      </w:r>
    </w:p>
    <w:p w14:paraId="43DF708E" w14:textId="7CA80EB7" w:rsidR="00A97436" w:rsidRPr="002F00D9" w:rsidRDefault="00A97436" w:rsidP="00E51DC6">
      <w:pPr>
        <w:rPr>
          <w:bCs/>
        </w:rPr>
      </w:pPr>
      <w:r w:rsidRPr="002F00D9">
        <w:rPr>
          <w:bCs/>
        </w:rPr>
        <w:t>19.1</w:t>
      </w:r>
      <w:r w:rsidR="00AC5AEB" w:rsidRPr="002F00D9">
        <w:rPr>
          <w:bCs/>
        </w:rPr>
        <w:tab/>
      </w:r>
      <w:r w:rsidRPr="002F00D9">
        <w:rPr>
          <w:bCs/>
        </w:rPr>
        <w:t xml:space="preserve">the guiding minds behind the fraud; alternatively </w:t>
      </w:r>
    </w:p>
    <w:p w14:paraId="6DEDD864" w14:textId="56496C5A" w:rsidR="00A97436" w:rsidRPr="002F00D9" w:rsidRDefault="00A97436" w:rsidP="00E51DC6">
      <w:pPr>
        <w:rPr>
          <w:bCs/>
        </w:rPr>
      </w:pPr>
      <w:r w:rsidRPr="002F00D9">
        <w:rPr>
          <w:bCs/>
        </w:rPr>
        <w:t>19.2</w:t>
      </w:r>
      <w:r w:rsidR="00AC5AEB" w:rsidRPr="002F00D9">
        <w:rPr>
          <w:bCs/>
        </w:rPr>
        <w:tab/>
      </w:r>
      <w:r w:rsidRPr="002F00D9">
        <w:rPr>
          <w:bCs/>
        </w:rPr>
        <w:t xml:space="preserve">reckless; further alternatively </w:t>
      </w:r>
    </w:p>
    <w:p w14:paraId="5893683E" w14:textId="59CEABDC" w:rsidR="00A97436" w:rsidRPr="002F00D9" w:rsidRDefault="00A97436" w:rsidP="00E51DC6">
      <w:pPr>
        <w:rPr>
          <w:bCs/>
        </w:rPr>
      </w:pPr>
      <w:r w:rsidRPr="002F00D9">
        <w:rPr>
          <w:bCs/>
        </w:rPr>
        <w:t>19.3</w:t>
      </w:r>
      <w:r w:rsidR="00AC5AEB" w:rsidRPr="002F00D9">
        <w:rPr>
          <w:bCs/>
        </w:rPr>
        <w:tab/>
      </w:r>
      <w:r w:rsidRPr="002F00D9">
        <w:rPr>
          <w:bCs/>
        </w:rPr>
        <w:t xml:space="preserve">grossly negligent; </w:t>
      </w:r>
    </w:p>
    <w:p w14:paraId="2A12EC5D" w14:textId="77777777" w:rsidR="00A97436" w:rsidRPr="002F00D9" w:rsidRDefault="00A97436" w:rsidP="00E51DC6">
      <w:pPr>
        <w:rPr>
          <w:bCs/>
        </w:rPr>
      </w:pPr>
      <w:r w:rsidRPr="002F00D9">
        <w:rPr>
          <w:bCs/>
        </w:rPr>
        <w:t xml:space="preserve">in controlling the activities of Siyazi. </w:t>
      </w:r>
    </w:p>
    <w:p w14:paraId="33027D75" w14:textId="34930831" w:rsidR="00A97436" w:rsidRPr="002F00D9" w:rsidRDefault="00A97436" w:rsidP="00E51DC6">
      <w:pPr>
        <w:rPr>
          <w:bCs/>
        </w:rPr>
      </w:pPr>
      <w:r w:rsidRPr="002F00D9">
        <w:rPr>
          <w:bCs/>
        </w:rPr>
        <w:t>20</w:t>
      </w:r>
      <w:r w:rsidR="0033199D" w:rsidRPr="002F00D9">
        <w:rPr>
          <w:bCs/>
        </w:rPr>
        <w:t>.</w:t>
      </w:r>
      <w:r w:rsidR="0043781C" w:rsidRPr="002F00D9">
        <w:rPr>
          <w:bCs/>
        </w:rPr>
        <w:tab/>
      </w:r>
      <w:r w:rsidRPr="002F00D9">
        <w:rPr>
          <w:bCs/>
        </w:rPr>
        <w:t xml:space="preserve">The recklessness or gross negligence manifested in: </w:t>
      </w:r>
    </w:p>
    <w:p w14:paraId="0193CAE6" w14:textId="075E04D1" w:rsidR="00A97436" w:rsidRPr="002F00D9" w:rsidRDefault="00A97436" w:rsidP="00E51DC6">
      <w:pPr>
        <w:rPr>
          <w:bCs/>
        </w:rPr>
      </w:pPr>
      <w:r w:rsidRPr="002F00D9">
        <w:rPr>
          <w:bCs/>
        </w:rPr>
        <w:t>20.</w:t>
      </w:r>
      <w:r w:rsidR="0043781C" w:rsidRPr="002F00D9">
        <w:rPr>
          <w:bCs/>
        </w:rPr>
        <w:t>1</w:t>
      </w:r>
      <w:r w:rsidR="0043781C" w:rsidRPr="002F00D9">
        <w:rPr>
          <w:bCs/>
        </w:rPr>
        <w:tab/>
      </w:r>
      <w:r w:rsidRPr="002F00D9">
        <w:rPr>
          <w:bCs/>
        </w:rPr>
        <w:t>A failure to maintain proper records and books of account;</w:t>
      </w:r>
    </w:p>
    <w:p w14:paraId="1DDB816B" w14:textId="3CEB6A6B" w:rsidR="00A97436" w:rsidRPr="002F00D9" w:rsidRDefault="00A97436" w:rsidP="00E51DC6">
      <w:pPr>
        <w:rPr>
          <w:bCs/>
        </w:rPr>
      </w:pPr>
      <w:r w:rsidRPr="002F00D9">
        <w:rPr>
          <w:bCs/>
        </w:rPr>
        <w:t>20.</w:t>
      </w:r>
      <w:r w:rsidR="0043781C" w:rsidRPr="002F00D9">
        <w:rPr>
          <w:bCs/>
        </w:rPr>
        <w:t>2</w:t>
      </w:r>
      <w:r w:rsidR="0043781C" w:rsidRPr="002F00D9">
        <w:rPr>
          <w:bCs/>
        </w:rPr>
        <w:tab/>
      </w:r>
      <w:r w:rsidRPr="002F00D9">
        <w:rPr>
          <w:bCs/>
        </w:rPr>
        <w:t xml:space="preserve">A failure to maintain controls in respect of compilation of disbursement accounts; </w:t>
      </w:r>
    </w:p>
    <w:p w14:paraId="0900B1A1" w14:textId="2E5E4FF5" w:rsidR="00A97436" w:rsidRPr="002F00D9" w:rsidRDefault="00A97436" w:rsidP="00E51DC6">
      <w:pPr>
        <w:rPr>
          <w:bCs/>
        </w:rPr>
      </w:pPr>
      <w:r w:rsidRPr="002F00D9">
        <w:rPr>
          <w:bCs/>
        </w:rPr>
        <w:t>20.</w:t>
      </w:r>
      <w:r w:rsidR="0043781C" w:rsidRPr="002F00D9">
        <w:rPr>
          <w:bCs/>
        </w:rPr>
        <w:t>3</w:t>
      </w:r>
      <w:r w:rsidR="0043781C" w:rsidRPr="002F00D9">
        <w:rPr>
          <w:bCs/>
        </w:rPr>
        <w:tab/>
      </w:r>
      <w:r w:rsidRPr="002F00D9">
        <w:rPr>
          <w:bCs/>
        </w:rPr>
        <w:t xml:space="preserve">A failure to reconcile disbursement accounts and accurately to report them to Applicant; and/or </w:t>
      </w:r>
    </w:p>
    <w:p w14:paraId="7AAB1E9A" w14:textId="732E2F9C" w:rsidR="00A97436" w:rsidRPr="002F00D9" w:rsidRDefault="00A97436" w:rsidP="00E51DC6">
      <w:pPr>
        <w:rPr>
          <w:bCs/>
        </w:rPr>
      </w:pPr>
      <w:r w:rsidRPr="002F00D9">
        <w:rPr>
          <w:bCs/>
        </w:rPr>
        <w:t>20.</w:t>
      </w:r>
      <w:r w:rsidR="0043781C" w:rsidRPr="002F00D9">
        <w:rPr>
          <w:bCs/>
        </w:rPr>
        <w:t>4</w:t>
      </w:r>
      <w:r w:rsidR="0043781C" w:rsidRPr="002F00D9">
        <w:rPr>
          <w:bCs/>
        </w:rPr>
        <w:tab/>
      </w:r>
      <w:r w:rsidRPr="002F00D9">
        <w:rPr>
          <w:bCs/>
        </w:rPr>
        <w:t xml:space="preserve">A failure to impose controls such that moneys paid against disbursement accounts were paid over to the third parties entitled to same. </w:t>
      </w:r>
    </w:p>
    <w:p w14:paraId="11C1E97B" w14:textId="5C9A0CD7" w:rsidR="00A97436" w:rsidRPr="002F00D9" w:rsidRDefault="00A97436" w:rsidP="00E51DC6">
      <w:pPr>
        <w:rPr>
          <w:bCs/>
        </w:rPr>
      </w:pPr>
      <w:r w:rsidRPr="002F00D9">
        <w:rPr>
          <w:bCs/>
        </w:rPr>
        <w:t>21</w:t>
      </w:r>
      <w:r w:rsidR="0033199D" w:rsidRPr="002F00D9">
        <w:rPr>
          <w:bCs/>
        </w:rPr>
        <w:t>.</w:t>
      </w:r>
      <w:r w:rsidR="0043781C" w:rsidRPr="002F00D9">
        <w:rPr>
          <w:bCs/>
        </w:rPr>
        <w:tab/>
      </w:r>
      <w:r w:rsidRPr="002F00D9">
        <w:rPr>
          <w:bCs/>
        </w:rPr>
        <w:t xml:space="preserve">But for the First and Second Defendants’ fraud, alternatively recklessness, further alternatively, gross negligence, the </w:t>
      </w:r>
      <w:r w:rsidRPr="002F00D9">
        <w:rPr>
          <w:bCs/>
          <w:i/>
          <w:iCs/>
        </w:rPr>
        <w:t>Plaintiff would not have been obliged to pay to SARS the amount of R41,407,220.00</w:t>
      </w:r>
      <w:r w:rsidRPr="002F00D9">
        <w:rPr>
          <w:bCs/>
        </w:rPr>
        <w:t xml:space="preserve">. </w:t>
      </w:r>
    </w:p>
    <w:p w14:paraId="5726C25D" w14:textId="27F682A2" w:rsidR="00A97436" w:rsidRPr="002F00D9" w:rsidRDefault="00A97436" w:rsidP="00F8280E">
      <w:pPr>
        <w:rPr>
          <w:bCs/>
        </w:rPr>
      </w:pPr>
      <w:r w:rsidRPr="002F00D9">
        <w:rPr>
          <w:bCs/>
        </w:rPr>
        <w:t>22</w:t>
      </w:r>
      <w:r w:rsidR="0033199D" w:rsidRPr="002F00D9">
        <w:rPr>
          <w:bCs/>
        </w:rPr>
        <w:t>.</w:t>
      </w:r>
      <w:r w:rsidR="0043781C" w:rsidRPr="002F00D9">
        <w:rPr>
          <w:bCs/>
        </w:rPr>
        <w:tab/>
      </w:r>
      <w:r w:rsidRPr="002F00D9">
        <w:rPr>
          <w:bCs/>
        </w:rPr>
        <w:t xml:space="preserve">In the premises, the First and Second Defendants are jointly and severally </w:t>
      </w:r>
      <w:r w:rsidRPr="002F00D9">
        <w:rPr>
          <w:bCs/>
          <w:i/>
          <w:iCs/>
        </w:rPr>
        <w:t>liable in terms of Section 218(2) read with Section 22(1) of the Companies Act, 2008</w:t>
      </w:r>
      <w:r w:rsidRPr="002F00D9">
        <w:rPr>
          <w:bCs/>
        </w:rPr>
        <w:t xml:space="preserve"> for the amount of R41,407</w:t>
      </w:r>
      <w:r w:rsidR="0060550A" w:rsidRPr="002F00D9">
        <w:rPr>
          <w:bCs/>
        </w:rPr>
        <w:t>,</w:t>
      </w:r>
      <w:r w:rsidRPr="002F00D9">
        <w:rPr>
          <w:bCs/>
        </w:rPr>
        <w:t>220.00.’</w:t>
      </w:r>
      <w:r w:rsidR="00294739" w:rsidRPr="002F00D9">
        <w:rPr>
          <w:bCs/>
        </w:rPr>
        <w:t xml:space="preserve"> (Emphasis added.)</w:t>
      </w:r>
    </w:p>
    <w:p w14:paraId="50412A97" w14:textId="77777777" w:rsidR="0043781C" w:rsidRPr="002F00D9" w:rsidRDefault="0043781C" w:rsidP="00F8280E">
      <w:pPr>
        <w:rPr>
          <w:bCs/>
          <w:sz w:val="28"/>
          <w:szCs w:val="28"/>
        </w:rPr>
      </w:pPr>
    </w:p>
    <w:p w14:paraId="0E417D7D" w14:textId="58EFDAB2" w:rsidR="00D51290" w:rsidRPr="00A04901" w:rsidRDefault="00A04901" w:rsidP="00A04901">
      <w:pPr>
        <w:rPr>
          <w:bCs/>
          <w:sz w:val="28"/>
          <w:szCs w:val="28"/>
        </w:rPr>
      </w:pPr>
      <w:bookmarkStart w:id="1" w:name="_Hlk163463212"/>
      <w:r w:rsidRPr="002F00D9">
        <w:rPr>
          <w:sz w:val="28"/>
          <w:szCs w:val="28"/>
        </w:rPr>
        <w:t>[5]</w:t>
      </w:r>
      <w:r w:rsidRPr="002F00D9">
        <w:rPr>
          <w:sz w:val="28"/>
          <w:szCs w:val="28"/>
        </w:rPr>
        <w:tab/>
      </w:r>
      <w:r w:rsidR="009175BD" w:rsidRPr="00A04901">
        <w:rPr>
          <w:sz w:val="28"/>
          <w:szCs w:val="28"/>
        </w:rPr>
        <w:t>The</w:t>
      </w:r>
      <w:r w:rsidR="00411630" w:rsidRPr="00A04901">
        <w:rPr>
          <w:sz w:val="28"/>
          <w:szCs w:val="28"/>
        </w:rPr>
        <w:t xml:space="preserve"> first defendant delivered a plea</w:t>
      </w:r>
      <w:r w:rsidR="009269A1" w:rsidRPr="00A04901">
        <w:rPr>
          <w:sz w:val="28"/>
          <w:szCs w:val="28"/>
        </w:rPr>
        <w:t xml:space="preserve"> to the particulars of claim</w:t>
      </w:r>
      <w:r w:rsidR="00840FAC" w:rsidRPr="00A04901">
        <w:rPr>
          <w:sz w:val="28"/>
          <w:szCs w:val="28"/>
        </w:rPr>
        <w:t>. T</w:t>
      </w:r>
      <w:r w:rsidR="00411630" w:rsidRPr="00A04901">
        <w:rPr>
          <w:sz w:val="28"/>
          <w:szCs w:val="28"/>
        </w:rPr>
        <w:t>he</w:t>
      </w:r>
      <w:r w:rsidR="0016576F" w:rsidRPr="00A04901">
        <w:rPr>
          <w:sz w:val="28"/>
          <w:szCs w:val="28"/>
        </w:rPr>
        <w:t xml:space="preserve"> second</w:t>
      </w:r>
      <w:r w:rsidR="009175BD" w:rsidRPr="00A04901">
        <w:rPr>
          <w:sz w:val="28"/>
          <w:szCs w:val="28"/>
        </w:rPr>
        <w:t xml:space="preserve"> </w:t>
      </w:r>
      <w:r w:rsidR="0016576F" w:rsidRPr="00A04901">
        <w:rPr>
          <w:color w:val="242121"/>
          <w:sz w:val="27"/>
          <w:szCs w:val="27"/>
          <w:shd w:val="clear" w:color="auto" w:fill="FFFFFF"/>
        </w:rPr>
        <w:t>defendant</w:t>
      </w:r>
      <w:r w:rsidR="00840FAC" w:rsidRPr="00A04901">
        <w:rPr>
          <w:color w:val="242121"/>
          <w:sz w:val="27"/>
          <w:szCs w:val="27"/>
          <w:shd w:val="clear" w:color="auto" w:fill="FFFFFF"/>
        </w:rPr>
        <w:t>, however,</w:t>
      </w:r>
      <w:r w:rsidR="0016576F" w:rsidRPr="00A04901">
        <w:rPr>
          <w:color w:val="242121"/>
          <w:sz w:val="27"/>
          <w:szCs w:val="27"/>
          <w:shd w:val="clear" w:color="auto" w:fill="FFFFFF"/>
        </w:rPr>
        <w:t xml:space="preserve"> </w:t>
      </w:r>
      <w:r w:rsidR="006675F9" w:rsidRPr="00A04901">
        <w:rPr>
          <w:color w:val="242121"/>
          <w:sz w:val="27"/>
          <w:szCs w:val="27"/>
          <w:shd w:val="clear" w:color="auto" w:fill="FFFFFF"/>
        </w:rPr>
        <w:t>filed two exceptions</w:t>
      </w:r>
      <w:r w:rsidR="007A2BDE" w:rsidRPr="00A04901">
        <w:rPr>
          <w:color w:val="242121"/>
          <w:sz w:val="27"/>
          <w:szCs w:val="27"/>
          <w:shd w:val="clear" w:color="auto" w:fill="FFFFFF"/>
        </w:rPr>
        <w:t>.</w:t>
      </w:r>
      <w:r w:rsidR="006675F9" w:rsidRPr="00A04901">
        <w:rPr>
          <w:color w:val="242121"/>
          <w:sz w:val="27"/>
          <w:szCs w:val="27"/>
          <w:shd w:val="clear" w:color="auto" w:fill="FFFFFF"/>
        </w:rPr>
        <w:t xml:space="preserve"> </w:t>
      </w:r>
      <w:r w:rsidR="007A2BDE" w:rsidRPr="00A04901">
        <w:rPr>
          <w:color w:val="242121"/>
          <w:sz w:val="27"/>
          <w:szCs w:val="27"/>
          <w:shd w:val="clear" w:color="auto" w:fill="FFFFFF"/>
        </w:rPr>
        <w:t xml:space="preserve">Only the first is relevant. </w:t>
      </w:r>
      <w:r w:rsidR="007B55AB" w:rsidRPr="00A04901">
        <w:rPr>
          <w:color w:val="242121"/>
          <w:sz w:val="27"/>
          <w:szCs w:val="27"/>
          <w:shd w:val="clear" w:color="auto" w:fill="FFFFFF"/>
        </w:rPr>
        <w:t>In its terms:</w:t>
      </w:r>
    </w:p>
    <w:p w14:paraId="2B5FE7C5" w14:textId="58ECA3F1" w:rsidR="00D51290" w:rsidRPr="002F00D9" w:rsidRDefault="00D51290" w:rsidP="00D51290">
      <w:pPr>
        <w:rPr>
          <w:bCs/>
        </w:rPr>
      </w:pPr>
      <w:r w:rsidRPr="002F00D9">
        <w:rPr>
          <w:bCs/>
        </w:rPr>
        <w:t>‘4.</w:t>
      </w:r>
      <w:r w:rsidR="00A745CF" w:rsidRPr="002F00D9">
        <w:rPr>
          <w:bCs/>
        </w:rPr>
        <w:tab/>
      </w:r>
      <w:r w:rsidRPr="002F00D9">
        <w:rPr>
          <w:bCs/>
        </w:rPr>
        <w:t>Section 22(1) does not regulate what directors, such as the defendants, must do or not do. (There</w:t>
      </w:r>
      <w:r w:rsidR="0033199D" w:rsidRPr="002F00D9">
        <w:rPr>
          <w:bCs/>
        </w:rPr>
        <w:t xml:space="preserve"> i</w:t>
      </w:r>
      <w:r w:rsidRPr="002F00D9">
        <w:rPr>
          <w:bCs/>
        </w:rPr>
        <w:t>s no allegation in the particulars of claim that section 22 regulates directors’ conduct).</w:t>
      </w:r>
    </w:p>
    <w:p w14:paraId="1124525E" w14:textId="095A35E3" w:rsidR="00D51290" w:rsidRPr="002F00D9" w:rsidRDefault="00D51290" w:rsidP="00D51290">
      <w:pPr>
        <w:rPr>
          <w:bCs/>
        </w:rPr>
      </w:pPr>
      <w:r w:rsidRPr="002F00D9">
        <w:rPr>
          <w:bCs/>
        </w:rPr>
        <w:t>5.</w:t>
      </w:r>
      <w:r w:rsidR="00A745CF" w:rsidRPr="002F00D9">
        <w:rPr>
          <w:bCs/>
        </w:rPr>
        <w:tab/>
      </w:r>
      <w:r w:rsidRPr="002F00D9">
        <w:rPr>
          <w:bCs/>
        </w:rPr>
        <w:t>Section 22 imposes duties upon the company and not its directors.</w:t>
      </w:r>
    </w:p>
    <w:p w14:paraId="2DBF88B0" w14:textId="64D1F711" w:rsidR="00D51290" w:rsidRPr="002F00D9" w:rsidRDefault="00D51290" w:rsidP="00D51290">
      <w:pPr>
        <w:rPr>
          <w:bCs/>
        </w:rPr>
      </w:pPr>
      <w:r w:rsidRPr="002F00D9">
        <w:rPr>
          <w:bCs/>
        </w:rPr>
        <w:lastRenderedPageBreak/>
        <w:t>6.</w:t>
      </w:r>
      <w:r w:rsidR="00A745CF" w:rsidRPr="002F00D9">
        <w:rPr>
          <w:bCs/>
        </w:rPr>
        <w:tab/>
      </w:r>
      <w:r w:rsidRPr="002F00D9">
        <w:rPr>
          <w:bCs/>
        </w:rPr>
        <w:t>Section 218(2) finds application where a person breaches a provision of the Act.</w:t>
      </w:r>
    </w:p>
    <w:p w14:paraId="175FF238" w14:textId="66002A74" w:rsidR="00D51290" w:rsidRPr="002F00D9" w:rsidRDefault="00D51290" w:rsidP="00D51290">
      <w:pPr>
        <w:rPr>
          <w:bCs/>
        </w:rPr>
      </w:pPr>
      <w:r w:rsidRPr="002F00D9">
        <w:rPr>
          <w:bCs/>
        </w:rPr>
        <w:t>7.</w:t>
      </w:r>
      <w:r w:rsidR="00A745CF" w:rsidRPr="002F00D9">
        <w:rPr>
          <w:bCs/>
        </w:rPr>
        <w:tab/>
      </w:r>
      <w:r w:rsidRPr="002F00D9">
        <w:rPr>
          <w:bCs/>
        </w:rPr>
        <w:t>There is no allegation in the particulars of claim that the defendants breached a provision of the Act.</w:t>
      </w:r>
    </w:p>
    <w:p w14:paraId="44A7A53C" w14:textId="2F6997D5" w:rsidR="00D51290" w:rsidRPr="002F00D9" w:rsidRDefault="00D51290" w:rsidP="00D51290">
      <w:pPr>
        <w:rPr>
          <w:bCs/>
        </w:rPr>
      </w:pPr>
      <w:r w:rsidRPr="002F00D9">
        <w:rPr>
          <w:bCs/>
        </w:rPr>
        <w:t>8.</w:t>
      </w:r>
      <w:r w:rsidR="00A745CF" w:rsidRPr="002F00D9">
        <w:rPr>
          <w:bCs/>
        </w:rPr>
        <w:tab/>
      </w:r>
      <w:r w:rsidRPr="002F00D9">
        <w:rPr>
          <w:bCs/>
        </w:rPr>
        <w:t>The allegations in paragraph 19 (read with paragraphs 20 and 21) mirror the jurisdictional requirements of section 22(1), with reference to fraud, recklessness and gross negligence. However, section 22(1) does not impose obligations on, and cannot apply to, the defendants as directors.</w:t>
      </w:r>
    </w:p>
    <w:p w14:paraId="68958328" w14:textId="00F28B3E" w:rsidR="00416204" w:rsidRPr="002F00D9" w:rsidRDefault="00D51290" w:rsidP="00D51290">
      <w:pPr>
        <w:rPr>
          <w:bCs/>
        </w:rPr>
      </w:pPr>
      <w:r w:rsidRPr="002F00D9">
        <w:rPr>
          <w:bCs/>
        </w:rPr>
        <w:t>9.</w:t>
      </w:r>
      <w:r w:rsidR="00A745CF" w:rsidRPr="002F00D9">
        <w:rPr>
          <w:bCs/>
        </w:rPr>
        <w:tab/>
      </w:r>
      <w:r w:rsidRPr="002F00D9">
        <w:rPr>
          <w:bCs/>
        </w:rPr>
        <w:t xml:space="preserve">The obligations and duties of directors are set out in section 76 of the Act and the available remedies for </w:t>
      </w:r>
      <w:r w:rsidR="004C3B1A" w:rsidRPr="002F00D9">
        <w:rPr>
          <w:bCs/>
        </w:rPr>
        <w:t>breaches</w:t>
      </w:r>
      <w:r w:rsidRPr="002F00D9">
        <w:rPr>
          <w:bCs/>
        </w:rPr>
        <w:t xml:space="preserve"> in section 77. The plaintiff does not locate a claim in those sections. In substance, the plaintiff seems to contend for a contravention</w:t>
      </w:r>
      <w:r w:rsidR="009E5094" w:rsidRPr="002F00D9">
        <w:rPr>
          <w:bCs/>
        </w:rPr>
        <w:t xml:space="preserve"> of the obligations of a director articulated in section 76(3) of the Companies Act. But any claim under that section is confined to section 77(2) (and section 218(2) cannot be invoked – where </w:t>
      </w:r>
      <w:r w:rsidR="000B7120" w:rsidRPr="002F00D9">
        <w:rPr>
          <w:bCs/>
        </w:rPr>
        <w:t>a</w:t>
      </w:r>
      <w:r w:rsidR="009E5094" w:rsidRPr="002F00D9">
        <w:rPr>
          <w:bCs/>
        </w:rPr>
        <w:t xml:space="preserve"> statute expressly and specifically creates liability for a breach of a section, then a general section in the same statute cannot be invoked to establish a co-ordinate liability). Section 77(3)</w:t>
      </w:r>
      <w:r w:rsidR="00A745CF" w:rsidRPr="002F00D9">
        <w:rPr>
          <w:bCs/>
        </w:rPr>
        <w:t>(b)</w:t>
      </w:r>
      <w:r w:rsidR="00416204" w:rsidRPr="002F00D9">
        <w:rPr>
          <w:bCs/>
        </w:rPr>
        <w:t xml:space="preserve"> specifically deals with the liability of directors in respect of section 22. It effectively provides that a director who is a party to the carrying on of the business of the company contrary to section 22 is liable for any loss, damages or costs sustained by the company.</w:t>
      </w:r>
    </w:p>
    <w:p w14:paraId="57BC5201" w14:textId="73D47A39" w:rsidR="00416204" w:rsidRPr="002F00D9" w:rsidRDefault="00416204" w:rsidP="00D51290">
      <w:pPr>
        <w:rPr>
          <w:bCs/>
        </w:rPr>
      </w:pPr>
      <w:r w:rsidRPr="002F00D9">
        <w:rPr>
          <w:bCs/>
        </w:rPr>
        <w:t>10.</w:t>
      </w:r>
      <w:r w:rsidR="00A745CF" w:rsidRPr="002F00D9">
        <w:rPr>
          <w:bCs/>
        </w:rPr>
        <w:tab/>
      </w:r>
      <w:r w:rsidRPr="002F00D9">
        <w:rPr>
          <w:bCs/>
        </w:rPr>
        <w:t>The particulars of claim accordingly do not:</w:t>
      </w:r>
    </w:p>
    <w:p w14:paraId="7F201D9F" w14:textId="3961DF75" w:rsidR="00416204" w:rsidRPr="002F00D9" w:rsidRDefault="00E443B0" w:rsidP="00D51290">
      <w:pPr>
        <w:rPr>
          <w:bCs/>
        </w:rPr>
      </w:pPr>
      <w:r w:rsidRPr="002F00D9">
        <w:rPr>
          <w:bCs/>
        </w:rPr>
        <w:t>10.1</w:t>
      </w:r>
      <w:r w:rsidR="00A745CF" w:rsidRPr="002F00D9">
        <w:rPr>
          <w:bCs/>
        </w:rPr>
        <w:tab/>
      </w:r>
      <w:r w:rsidRPr="002F00D9">
        <w:rPr>
          <w:bCs/>
        </w:rPr>
        <w:t>aver a breach by the defendants of an obligation imposed on them by the Act in order to bring them and the alleged loss said to be caused by them within the purview of section 218(2);</w:t>
      </w:r>
    </w:p>
    <w:p w14:paraId="6DB26992" w14:textId="7AC66F88" w:rsidR="009E5094" w:rsidRPr="002F00D9" w:rsidRDefault="00416204" w:rsidP="00D51290">
      <w:pPr>
        <w:rPr>
          <w:bCs/>
        </w:rPr>
      </w:pPr>
      <w:r w:rsidRPr="002F00D9">
        <w:rPr>
          <w:bCs/>
        </w:rPr>
        <w:t>10.</w:t>
      </w:r>
      <w:r w:rsidR="00E443B0" w:rsidRPr="002F00D9">
        <w:rPr>
          <w:bCs/>
        </w:rPr>
        <w:t>2</w:t>
      </w:r>
      <w:r w:rsidR="00A745CF" w:rsidRPr="002F00D9">
        <w:rPr>
          <w:bCs/>
        </w:rPr>
        <w:tab/>
      </w:r>
      <w:r w:rsidRPr="002F00D9">
        <w:rPr>
          <w:bCs/>
        </w:rPr>
        <w:t>sustain a cause of action.’</w:t>
      </w:r>
    </w:p>
    <w:p w14:paraId="25AC26E7" w14:textId="7ED93425" w:rsidR="00D51290" w:rsidRPr="002F00D9" w:rsidRDefault="009E5094" w:rsidP="00D51290">
      <w:pPr>
        <w:rPr>
          <w:bCs/>
        </w:rPr>
      </w:pPr>
      <w:r w:rsidRPr="002F00D9">
        <w:rPr>
          <w:bCs/>
        </w:rPr>
        <w:t xml:space="preserve"> </w:t>
      </w:r>
    </w:p>
    <w:bookmarkEnd w:id="1"/>
    <w:p w14:paraId="620FBD95" w14:textId="567A656A" w:rsidR="00416204" w:rsidRPr="002F00D9" w:rsidDel="00C73A19" w:rsidRDefault="00A04901" w:rsidP="00A04901">
      <w:r w:rsidRPr="002F00D9" w:rsidDel="00C73A19">
        <w:rPr>
          <w:sz w:val="28"/>
          <w:szCs w:val="28"/>
        </w:rPr>
        <w:t>[6]</w:t>
      </w:r>
      <w:r w:rsidRPr="002F00D9" w:rsidDel="00C73A19">
        <w:rPr>
          <w:sz w:val="28"/>
          <w:szCs w:val="28"/>
        </w:rPr>
        <w:tab/>
      </w:r>
      <w:r w:rsidR="00E443B0" w:rsidRPr="00A04901" w:rsidDel="009A15B4">
        <w:rPr>
          <w:bCs/>
          <w:sz w:val="28"/>
          <w:szCs w:val="28"/>
        </w:rPr>
        <w:t>The second defendant further contended that</w:t>
      </w:r>
      <w:r w:rsidR="00416204" w:rsidRPr="00A04901" w:rsidDel="009A15B4">
        <w:rPr>
          <w:color w:val="242121"/>
          <w:sz w:val="27"/>
          <w:szCs w:val="27"/>
          <w:shd w:val="clear" w:color="auto" w:fill="FFFFFF"/>
        </w:rPr>
        <w:t>, to the extent the claim was predicated on fraud, the allegations in the particulars of claim were insufficient to sustain a case.</w:t>
      </w:r>
      <w:r w:rsidR="00416204" w:rsidRPr="00A04901" w:rsidDel="009A15B4">
        <w:rPr>
          <w:bCs/>
          <w:sz w:val="28"/>
          <w:szCs w:val="28"/>
        </w:rPr>
        <w:t xml:space="preserve"> It is not necessary to detail the second exception as the high court only dealt with the first.</w:t>
      </w:r>
    </w:p>
    <w:p w14:paraId="37A3B535" w14:textId="77777777" w:rsidR="00BE70AA" w:rsidRPr="002F00D9" w:rsidRDefault="00BE70AA" w:rsidP="00F8280E"/>
    <w:p w14:paraId="5E2CC398" w14:textId="77777777" w:rsidR="00462823" w:rsidRPr="002F00D9" w:rsidRDefault="00462823" w:rsidP="00F8280E">
      <w:pPr>
        <w:rPr>
          <w:b/>
          <w:sz w:val="28"/>
          <w:szCs w:val="28"/>
        </w:rPr>
      </w:pPr>
    </w:p>
    <w:p w14:paraId="5135E742" w14:textId="77777777" w:rsidR="00462823" w:rsidRPr="002F00D9" w:rsidRDefault="00462823" w:rsidP="00F8280E">
      <w:pPr>
        <w:rPr>
          <w:b/>
          <w:sz w:val="28"/>
          <w:szCs w:val="28"/>
        </w:rPr>
      </w:pPr>
    </w:p>
    <w:p w14:paraId="6796A33E" w14:textId="500454CC" w:rsidR="000D6EF3" w:rsidRPr="002F00D9" w:rsidRDefault="000D6EF3" w:rsidP="00F8280E">
      <w:pPr>
        <w:rPr>
          <w:b/>
          <w:sz w:val="28"/>
          <w:szCs w:val="28"/>
        </w:rPr>
      </w:pPr>
      <w:r w:rsidRPr="002F00D9">
        <w:rPr>
          <w:b/>
          <w:sz w:val="28"/>
          <w:szCs w:val="28"/>
        </w:rPr>
        <w:lastRenderedPageBreak/>
        <w:t xml:space="preserve">In the high court </w:t>
      </w:r>
    </w:p>
    <w:p w14:paraId="4F2D5F42" w14:textId="1A917A48" w:rsidR="00A646CA" w:rsidRPr="00A04901" w:rsidRDefault="00A04901" w:rsidP="00A04901">
      <w:pPr>
        <w:rPr>
          <w:bCs/>
          <w:sz w:val="28"/>
          <w:szCs w:val="28"/>
        </w:rPr>
      </w:pPr>
      <w:r w:rsidRPr="002F00D9">
        <w:rPr>
          <w:sz w:val="28"/>
          <w:szCs w:val="28"/>
        </w:rPr>
        <w:t>[7]</w:t>
      </w:r>
      <w:r w:rsidRPr="002F00D9">
        <w:rPr>
          <w:sz w:val="28"/>
          <w:szCs w:val="28"/>
        </w:rPr>
        <w:tab/>
      </w:r>
      <w:r w:rsidR="00A44219" w:rsidRPr="00A04901">
        <w:rPr>
          <w:bCs/>
          <w:sz w:val="28"/>
          <w:szCs w:val="28"/>
        </w:rPr>
        <w:t>In upholding the first exception, t</w:t>
      </w:r>
      <w:r w:rsidR="005E20C9" w:rsidRPr="00A04901">
        <w:rPr>
          <w:bCs/>
          <w:sz w:val="28"/>
          <w:szCs w:val="28"/>
        </w:rPr>
        <w:t xml:space="preserve">he high court </w:t>
      </w:r>
      <w:r w:rsidR="00BE70AA" w:rsidRPr="00A04901">
        <w:rPr>
          <w:bCs/>
          <w:sz w:val="28"/>
          <w:szCs w:val="28"/>
        </w:rPr>
        <w:t xml:space="preserve">went through </w:t>
      </w:r>
      <w:r w:rsidR="005E20C9" w:rsidRPr="00A04901">
        <w:rPr>
          <w:bCs/>
          <w:sz w:val="28"/>
          <w:szCs w:val="28"/>
        </w:rPr>
        <w:t>a line of cases</w:t>
      </w:r>
      <w:r w:rsidR="00A44219" w:rsidRPr="00A04901">
        <w:rPr>
          <w:bCs/>
          <w:sz w:val="28"/>
          <w:szCs w:val="28"/>
        </w:rPr>
        <w:t xml:space="preserve"> </w:t>
      </w:r>
      <w:r w:rsidR="00EB1858" w:rsidRPr="00A04901">
        <w:rPr>
          <w:bCs/>
          <w:sz w:val="28"/>
          <w:szCs w:val="28"/>
        </w:rPr>
        <w:t xml:space="preserve">dealing with </w:t>
      </w:r>
      <w:r w:rsidR="00A44219" w:rsidRPr="00A04901">
        <w:rPr>
          <w:bCs/>
          <w:sz w:val="28"/>
          <w:szCs w:val="28"/>
        </w:rPr>
        <w:t>the interpretation of s 218(2) read with s 22 and</w:t>
      </w:r>
      <w:r w:rsidR="003827C3" w:rsidRPr="00A04901">
        <w:rPr>
          <w:bCs/>
          <w:sz w:val="28"/>
          <w:szCs w:val="28"/>
        </w:rPr>
        <w:t>,</w:t>
      </w:r>
      <w:r w:rsidR="00A44219" w:rsidRPr="00A04901">
        <w:rPr>
          <w:bCs/>
          <w:sz w:val="28"/>
          <w:szCs w:val="28"/>
        </w:rPr>
        <w:t xml:space="preserve"> in some instances</w:t>
      </w:r>
      <w:r w:rsidR="0095256D" w:rsidRPr="00A04901">
        <w:rPr>
          <w:bCs/>
          <w:sz w:val="28"/>
          <w:szCs w:val="28"/>
        </w:rPr>
        <w:t>,</w:t>
      </w:r>
      <w:r w:rsidR="00A44219" w:rsidRPr="00A04901">
        <w:rPr>
          <w:bCs/>
          <w:sz w:val="28"/>
          <w:szCs w:val="28"/>
        </w:rPr>
        <w:t xml:space="preserve"> s</w:t>
      </w:r>
      <w:r w:rsidR="005C29C4" w:rsidRPr="00A04901">
        <w:rPr>
          <w:bCs/>
          <w:sz w:val="28"/>
          <w:szCs w:val="28"/>
        </w:rPr>
        <w:t> </w:t>
      </w:r>
      <w:r w:rsidR="00A44219" w:rsidRPr="00A04901">
        <w:rPr>
          <w:bCs/>
          <w:sz w:val="28"/>
          <w:szCs w:val="28"/>
        </w:rPr>
        <w:t>214(1)</w:t>
      </w:r>
      <w:r w:rsidR="00A44219" w:rsidRPr="00A04901">
        <w:rPr>
          <w:bCs/>
          <w:i/>
          <w:iCs/>
          <w:sz w:val="28"/>
          <w:szCs w:val="28"/>
        </w:rPr>
        <w:t>(c)</w:t>
      </w:r>
      <w:r w:rsidR="00A44219" w:rsidRPr="00A04901">
        <w:rPr>
          <w:bCs/>
          <w:sz w:val="28"/>
          <w:szCs w:val="28"/>
        </w:rPr>
        <w:t xml:space="preserve"> of the Act. </w:t>
      </w:r>
      <w:r w:rsidR="00842405" w:rsidRPr="00A04901">
        <w:rPr>
          <w:bCs/>
          <w:sz w:val="28"/>
          <w:szCs w:val="28"/>
        </w:rPr>
        <w:t>The plaintiff</w:t>
      </w:r>
      <w:r w:rsidR="0090457D" w:rsidRPr="00A04901">
        <w:rPr>
          <w:bCs/>
          <w:sz w:val="28"/>
          <w:szCs w:val="28"/>
        </w:rPr>
        <w:t>’</w:t>
      </w:r>
      <w:r w:rsidR="00CE6A90" w:rsidRPr="00A04901">
        <w:rPr>
          <w:bCs/>
          <w:sz w:val="28"/>
          <w:szCs w:val="28"/>
        </w:rPr>
        <w:t>s case was based on</w:t>
      </w:r>
      <w:r w:rsidR="00A646CA" w:rsidRPr="00A04901">
        <w:rPr>
          <w:bCs/>
          <w:sz w:val="28"/>
          <w:szCs w:val="28"/>
        </w:rPr>
        <w:t xml:space="preserve"> </w:t>
      </w:r>
      <w:r w:rsidR="00CE6A90" w:rsidRPr="00A04901">
        <w:rPr>
          <w:bCs/>
          <w:sz w:val="28"/>
          <w:szCs w:val="28"/>
        </w:rPr>
        <w:t>the</w:t>
      </w:r>
      <w:r w:rsidR="00A646CA" w:rsidRPr="00A04901">
        <w:rPr>
          <w:bCs/>
          <w:sz w:val="28"/>
          <w:szCs w:val="28"/>
        </w:rPr>
        <w:t xml:space="preserve"> decision of</w:t>
      </w:r>
      <w:r w:rsidR="00842405" w:rsidRPr="00A04901">
        <w:rPr>
          <w:bCs/>
          <w:sz w:val="28"/>
          <w:szCs w:val="28"/>
        </w:rPr>
        <w:t xml:space="preserve"> </w:t>
      </w:r>
      <w:r w:rsidR="00A44219" w:rsidRPr="00A04901">
        <w:rPr>
          <w:bCs/>
          <w:i/>
          <w:iCs/>
          <w:sz w:val="28"/>
          <w:szCs w:val="28"/>
        </w:rPr>
        <w:t>Rabinowitz v Van Graan and Others</w:t>
      </w:r>
      <w:r w:rsidR="00A44219" w:rsidRPr="002F00D9">
        <w:rPr>
          <w:rStyle w:val="FootnoteReference"/>
          <w:bCs/>
          <w:sz w:val="28"/>
          <w:szCs w:val="28"/>
        </w:rPr>
        <w:footnoteReference w:id="2"/>
      </w:r>
      <w:r w:rsidR="00A44219" w:rsidRPr="00A04901">
        <w:rPr>
          <w:bCs/>
          <w:i/>
          <w:iCs/>
          <w:sz w:val="28"/>
          <w:szCs w:val="28"/>
        </w:rPr>
        <w:t xml:space="preserve"> </w:t>
      </w:r>
      <w:r w:rsidR="00A44219" w:rsidRPr="00A04901">
        <w:rPr>
          <w:bCs/>
          <w:sz w:val="28"/>
          <w:szCs w:val="28"/>
        </w:rPr>
        <w:t>(</w:t>
      </w:r>
      <w:r w:rsidR="00A44219" w:rsidRPr="00A04901">
        <w:rPr>
          <w:bCs/>
          <w:i/>
          <w:iCs/>
          <w:sz w:val="28"/>
          <w:szCs w:val="28"/>
        </w:rPr>
        <w:t>Rabinowitz</w:t>
      </w:r>
      <w:r w:rsidR="00A44219" w:rsidRPr="00A04901">
        <w:rPr>
          <w:bCs/>
          <w:sz w:val="28"/>
          <w:szCs w:val="28"/>
        </w:rPr>
        <w:t>)</w:t>
      </w:r>
      <w:r w:rsidR="00CE6A90" w:rsidRPr="00A04901">
        <w:rPr>
          <w:bCs/>
          <w:sz w:val="28"/>
          <w:szCs w:val="28"/>
        </w:rPr>
        <w:t xml:space="preserve"> </w:t>
      </w:r>
      <w:r w:rsidR="00842405" w:rsidRPr="00A04901">
        <w:rPr>
          <w:bCs/>
          <w:sz w:val="28"/>
          <w:szCs w:val="28"/>
        </w:rPr>
        <w:t>and related</w:t>
      </w:r>
      <w:r w:rsidR="00CE6A90" w:rsidRPr="00A04901">
        <w:rPr>
          <w:bCs/>
          <w:sz w:val="28"/>
          <w:szCs w:val="28"/>
        </w:rPr>
        <w:t xml:space="preserve"> judgments. The court in </w:t>
      </w:r>
      <w:r w:rsidR="00CE6A90" w:rsidRPr="00A04901">
        <w:rPr>
          <w:bCs/>
          <w:i/>
          <w:iCs/>
          <w:sz w:val="28"/>
          <w:szCs w:val="28"/>
        </w:rPr>
        <w:t>Rabinowitz</w:t>
      </w:r>
      <w:r w:rsidR="00CE6A90" w:rsidRPr="00A04901">
        <w:rPr>
          <w:bCs/>
          <w:sz w:val="28"/>
          <w:szCs w:val="28"/>
        </w:rPr>
        <w:t xml:space="preserve"> </w:t>
      </w:r>
      <w:r w:rsidR="00A646CA" w:rsidRPr="00A04901">
        <w:rPr>
          <w:bCs/>
          <w:sz w:val="28"/>
          <w:szCs w:val="28"/>
        </w:rPr>
        <w:t>held:</w:t>
      </w:r>
      <w:r w:rsidR="00B414B1" w:rsidRPr="00A04901">
        <w:rPr>
          <w:bCs/>
          <w:sz w:val="28"/>
          <w:szCs w:val="28"/>
        </w:rPr>
        <w:t xml:space="preserve"> </w:t>
      </w:r>
    </w:p>
    <w:p w14:paraId="611F65DB" w14:textId="438CD342" w:rsidR="00997E39" w:rsidRPr="002F00D9" w:rsidRDefault="00997E39" w:rsidP="00F8280E">
      <w:pPr>
        <w:rPr>
          <w:bCs/>
          <w:sz w:val="28"/>
          <w:szCs w:val="28"/>
        </w:rPr>
      </w:pPr>
      <w:r w:rsidRPr="002F00D9">
        <w:rPr>
          <w:bCs/>
        </w:rPr>
        <w:t>‘</w:t>
      </w:r>
      <w:r w:rsidR="005C29C4" w:rsidRPr="002F00D9">
        <w:rPr>
          <w:bCs/>
        </w:rPr>
        <w:t xml:space="preserve">[A] </w:t>
      </w:r>
      <w:r w:rsidRPr="002F00D9">
        <w:rPr>
          <w:bCs/>
        </w:rPr>
        <w:t>person who is guilty of an offence in terms of the Act</w:t>
      </w:r>
      <w:r w:rsidR="005C29C4" w:rsidRPr="002F00D9">
        <w:rPr>
          <w:bCs/>
        </w:rPr>
        <w:t>,</w:t>
      </w:r>
      <w:r w:rsidRPr="002F00D9">
        <w:rPr>
          <w:bCs/>
        </w:rPr>
        <w:t xml:space="preserve"> must </w:t>
      </w:r>
      <w:r w:rsidR="00CE6A90" w:rsidRPr="002F00D9">
        <w:rPr>
          <w:bCs/>
        </w:rPr>
        <w:t xml:space="preserve">. . . </w:t>
      </w:r>
      <w:r w:rsidRPr="002F00D9">
        <w:rPr>
          <w:bCs/>
        </w:rPr>
        <w:t xml:space="preserve">be found to have </w:t>
      </w:r>
      <w:r w:rsidR="005C29C4" w:rsidRPr="002F00D9">
        <w:rPr>
          <w:bCs/>
          <w:i/>
          <w:iCs/>
        </w:rPr>
        <w:t>“</w:t>
      </w:r>
      <w:r w:rsidRPr="002F00D9">
        <w:rPr>
          <w:bCs/>
          <w:i/>
          <w:iCs/>
        </w:rPr>
        <w:t>contravened</w:t>
      </w:r>
      <w:r w:rsidR="005C29C4" w:rsidRPr="002F00D9">
        <w:rPr>
          <w:bCs/>
          <w:i/>
          <w:iCs/>
        </w:rPr>
        <w:t>”</w:t>
      </w:r>
      <w:r w:rsidRPr="002F00D9">
        <w:rPr>
          <w:bCs/>
        </w:rPr>
        <w:t xml:space="preserve"> a provision of the Act. If</w:t>
      </w:r>
      <w:r w:rsidR="005C29C4" w:rsidRPr="002F00D9">
        <w:rPr>
          <w:bCs/>
        </w:rPr>
        <w:t>,</w:t>
      </w:r>
      <w:r w:rsidRPr="002F00D9">
        <w:rPr>
          <w:bCs/>
        </w:rPr>
        <w:t xml:space="preserve"> therefore</w:t>
      </w:r>
      <w:r w:rsidR="005C29C4" w:rsidRPr="002F00D9">
        <w:rPr>
          <w:bCs/>
        </w:rPr>
        <w:t>,</w:t>
      </w:r>
      <w:r w:rsidRPr="002F00D9">
        <w:rPr>
          <w:bCs/>
        </w:rPr>
        <w:t xml:space="preserve"> a director is guilty of </w:t>
      </w:r>
      <w:r w:rsidR="005C29C4" w:rsidRPr="002F00D9">
        <w:rPr>
          <w:bCs/>
        </w:rPr>
        <w:t xml:space="preserve">the </w:t>
      </w:r>
      <w:r w:rsidRPr="002F00D9">
        <w:rPr>
          <w:bCs/>
        </w:rPr>
        <w:t>offence created by s</w:t>
      </w:r>
      <w:r w:rsidR="005C29C4" w:rsidRPr="002F00D9">
        <w:rPr>
          <w:bCs/>
        </w:rPr>
        <w:t>ection</w:t>
      </w:r>
      <w:r w:rsidRPr="002F00D9">
        <w:rPr>
          <w:bCs/>
        </w:rPr>
        <w:t xml:space="preserve"> 214, such director must therefore be found to have contravened a provision of the Act for the purposes of s 218(2).’</w:t>
      </w:r>
      <w:r w:rsidRPr="002F00D9">
        <w:rPr>
          <w:rStyle w:val="FootnoteReference"/>
          <w:bCs/>
          <w:sz w:val="28"/>
          <w:szCs w:val="28"/>
        </w:rPr>
        <w:footnoteReference w:id="3"/>
      </w:r>
      <w:r w:rsidRPr="002F00D9">
        <w:rPr>
          <w:bCs/>
          <w:sz w:val="28"/>
          <w:szCs w:val="28"/>
        </w:rPr>
        <w:t xml:space="preserve"> </w:t>
      </w:r>
    </w:p>
    <w:p w14:paraId="1DB15A0A" w14:textId="77777777" w:rsidR="00BF2B7C" w:rsidRPr="002F00D9" w:rsidRDefault="00997E39" w:rsidP="00BF2B7C">
      <w:pPr>
        <w:rPr>
          <w:bCs/>
          <w:sz w:val="28"/>
          <w:szCs w:val="28"/>
        </w:rPr>
      </w:pPr>
      <w:r w:rsidRPr="002F00D9">
        <w:rPr>
          <w:bCs/>
          <w:sz w:val="28"/>
          <w:szCs w:val="28"/>
        </w:rPr>
        <w:t>It further held, ‘a third party can hold a director personally liable in terms of the Act for acquiescing in or knowing about conduct that falls within the ambit of s</w:t>
      </w:r>
      <w:r w:rsidR="005C29C4" w:rsidRPr="002F00D9">
        <w:rPr>
          <w:bCs/>
          <w:sz w:val="28"/>
          <w:szCs w:val="28"/>
        </w:rPr>
        <w:t> </w:t>
      </w:r>
      <w:r w:rsidRPr="002F00D9">
        <w:rPr>
          <w:bCs/>
          <w:sz w:val="28"/>
          <w:szCs w:val="28"/>
        </w:rPr>
        <w:t>22(1) thereof.</w:t>
      </w:r>
      <w:r w:rsidRPr="002F00D9">
        <w:rPr>
          <w:bCs/>
        </w:rPr>
        <w:t>’</w:t>
      </w:r>
      <w:r w:rsidRPr="002F00D9">
        <w:rPr>
          <w:rStyle w:val="FootnoteReference"/>
          <w:bCs/>
          <w:sz w:val="28"/>
          <w:szCs w:val="28"/>
        </w:rPr>
        <w:footnoteReference w:id="4"/>
      </w:r>
      <w:r w:rsidRPr="002F00D9">
        <w:rPr>
          <w:bCs/>
          <w:sz w:val="28"/>
          <w:szCs w:val="28"/>
        </w:rPr>
        <w:t xml:space="preserve"> </w:t>
      </w:r>
    </w:p>
    <w:p w14:paraId="749385C4" w14:textId="77777777" w:rsidR="00BF2B7C" w:rsidRPr="002F00D9" w:rsidRDefault="00BF2B7C" w:rsidP="00BF2B7C">
      <w:pPr>
        <w:rPr>
          <w:bCs/>
          <w:sz w:val="28"/>
          <w:szCs w:val="28"/>
        </w:rPr>
      </w:pPr>
    </w:p>
    <w:p w14:paraId="2EEC2056" w14:textId="7B39965B" w:rsidR="00092E5E" w:rsidRPr="00A04901" w:rsidRDefault="00A04901" w:rsidP="00A04901">
      <w:pPr>
        <w:rPr>
          <w:bCs/>
          <w:sz w:val="28"/>
          <w:szCs w:val="28"/>
        </w:rPr>
      </w:pPr>
      <w:r w:rsidRPr="002F00D9">
        <w:rPr>
          <w:sz w:val="28"/>
          <w:szCs w:val="28"/>
        </w:rPr>
        <w:t>[8]</w:t>
      </w:r>
      <w:r w:rsidRPr="002F00D9">
        <w:rPr>
          <w:sz w:val="28"/>
          <w:szCs w:val="28"/>
        </w:rPr>
        <w:tab/>
      </w:r>
      <w:r w:rsidR="00997E39" w:rsidRPr="00A04901">
        <w:rPr>
          <w:bCs/>
          <w:sz w:val="28"/>
          <w:szCs w:val="28"/>
        </w:rPr>
        <w:t>The court</w:t>
      </w:r>
      <w:r w:rsidR="00BF2B7C" w:rsidRPr="00A04901">
        <w:rPr>
          <w:bCs/>
          <w:sz w:val="28"/>
          <w:szCs w:val="28"/>
        </w:rPr>
        <w:t xml:space="preserve"> </w:t>
      </w:r>
      <w:r w:rsidR="007A2BDE" w:rsidRPr="00A04901">
        <w:rPr>
          <w:bCs/>
          <w:sz w:val="28"/>
          <w:szCs w:val="28"/>
        </w:rPr>
        <w:t xml:space="preserve">in </w:t>
      </w:r>
      <w:r w:rsidR="007A2BDE" w:rsidRPr="00A04901">
        <w:rPr>
          <w:bCs/>
          <w:i/>
          <w:iCs/>
          <w:sz w:val="28"/>
          <w:szCs w:val="28"/>
        </w:rPr>
        <w:t xml:space="preserve">Rabinowitz </w:t>
      </w:r>
      <w:r w:rsidR="00BF2B7C" w:rsidRPr="00A04901">
        <w:rPr>
          <w:bCs/>
          <w:sz w:val="28"/>
          <w:szCs w:val="28"/>
        </w:rPr>
        <w:t>found it hard to believe that the legislature could</w:t>
      </w:r>
      <w:r w:rsidR="00997E39" w:rsidRPr="00A04901">
        <w:rPr>
          <w:bCs/>
          <w:sz w:val="28"/>
          <w:szCs w:val="28"/>
        </w:rPr>
        <w:t>, despite the criminal liability contemplated by the Act</w:t>
      </w:r>
      <w:r w:rsidR="00BF2B7C" w:rsidRPr="00A04901">
        <w:rPr>
          <w:bCs/>
          <w:sz w:val="28"/>
          <w:szCs w:val="28"/>
        </w:rPr>
        <w:t xml:space="preserve"> in terms of s 214(1)</w:t>
      </w:r>
      <w:r w:rsidR="00BF2B7C" w:rsidRPr="00A04901">
        <w:rPr>
          <w:bCs/>
          <w:i/>
          <w:iCs/>
          <w:sz w:val="28"/>
          <w:szCs w:val="28"/>
        </w:rPr>
        <w:t>(c)</w:t>
      </w:r>
      <w:r w:rsidR="00BF2B7C" w:rsidRPr="00A04901">
        <w:rPr>
          <w:bCs/>
          <w:sz w:val="28"/>
          <w:szCs w:val="28"/>
        </w:rPr>
        <w:t>,</w:t>
      </w:r>
      <w:r w:rsidR="00A03F55" w:rsidRPr="00A04901">
        <w:rPr>
          <w:bCs/>
          <w:sz w:val="28"/>
          <w:szCs w:val="28"/>
        </w:rPr>
        <w:t xml:space="preserve"> the delinquency provided for</w:t>
      </w:r>
      <w:r w:rsidR="00BF2B7C" w:rsidRPr="00A04901">
        <w:rPr>
          <w:bCs/>
          <w:sz w:val="28"/>
          <w:szCs w:val="28"/>
        </w:rPr>
        <w:t xml:space="preserve"> </w:t>
      </w:r>
      <w:r w:rsidR="007A2BDE" w:rsidRPr="00A04901">
        <w:rPr>
          <w:bCs/>
          <w:sz w:val="28"/>
          <w:szCs w:val="28"/>
        </w:rPr>
        <w:t>in</w:t>
      </w:r>
      <w:r w:rsidR="003B411E" w:rsidRPr="00A04901">
        <w:rPr>
          <w:bCs/>
          <w:sz w:val="28"/>
          <w:szCs w:val="28"/>
        </w:rPr>
        <w:t xml:space="preserve"> s</w:t>
      </w:r>
      <w:r w:rsidR="007A2BDE" w:rsidRPr="00A04901">
        <w:rPr>
          <w:bCs/>
          <w:sz w:val="28"/>
          <w:szCs w:val="28"/>
        </w:rPr>
        <w:t xml:space="preserve"> </w:t>
      </w:r>
      <w:r w:rsidR="00BF2B7C" w:rsidRPr="00A04901">
        <w:rPr>
          <w:bCs/>
          <w:sz w:val="28"/>
          <w:szCs w:val="28"/>
        </w:rPr>
        <w:t>162(5)</w:t>
      </w:r>
      <w:r w:rsidR="00BF2B7C" w:rsidRPr="00A04901">
        <w:rPr>
          <w:bCs/>
          <w:i/>
          <w:iCs/>
          <w:sz w:val="28"/>
          <w:szCs w:val="28"/>
        </w:rPr>
        <w:t>(c)</w:t>
      </w:r>
      <w:r w:rsidR="00BF2B7C" w:rsidRPr="00A04901">
        <w:rPr>
          <w:bCs/>
          <w:sz w:val="28"/>
          <w:szCs w:val="28"/>
        </w:rPr>
        <w:t>(iv)</w:t>
      </w:r>
      <w:r w:rsidR="00BF2B7C" w:rsidRPr="00A04901">
        <w:rPr>
          <w:bCs/>
          <w:i/>
          <w:iCs/>
          <w:sz w:val="28"/>
          <w:szCs w:val="28"/>
        </w:rPr>
        <w:t>(bb)</w:t>
      </w:r>
      <w:r w:rsidR="00BF2B7C" w:rsidRPr="00A04901">
        <w:rPr>
          <w:bCs/>
        </w:rPr>
        <w:t xml:space="preserve"> </w:t>
      </w:r>
      <w:r w:rsidR="00A03F55" w:rsidRPr="00A04901">
        <w:rPr>
          <w:bCs/>
          <w:sz w:val="28"/>
          <w:szCs w:val="28"/>
        </w:rPr>
        <w:t xml:space="preserve">and the liability created in s 77(3) against the directors, preclude a director from knowingly being a party in s 22 of the Act. </w:t>
      </w:r>
      <w:r w:rsidR="00BF2B7C" w:rsidRPr="00A04901">
        <w:rPr>
          <w:bCs/>
          <w:sz w:val="28"/>
          <w:szCs w:val="28"/>
        </w:rPr>
        <w:t xml:space="preserve">It took this view </w:t>
      </w:r>
      <w:r w:rsidR="00A03F55" w:rsidRPr="00A04901">
        <w:rPr>
          <w:bCs/>
          <w:sz w:val="28"/>
          <w:szCs w:val="28"/>
        </w:rPr>
        <w:t>bearing in mind</w:t>
      </w:r>
      <w:r w:rsidR="00BF2B7C" w:rsidRPr="00A04901">
        <w:rPr>
          <w:bCs/>
          <w:sz w:val="28"/>
          <w:szCs w:val="28"/>
        </w:rPr>
        <w:t xml:space="preserve"> s 66(1) of the Act which brought </w:t>
      </w:r>
      <w:r w:rsidR="00A03F55" w:rsidRPr="00A04901">
        <w:rPr>
          <w:bCs/>
          <w:sz w:val="28"/>
          <w:szCs w:val="28"/>
        </w:rPr>
        <w:t>the company affairs under the direction of the board.</w:t>
      </w:r>
      <w:r w:rsidR="003B411E" w:rsidRPr="002F00D9">
        <w:rPr>
          <w:rStyle w:val="FootnoteReference"/>
          <w:bCs/>
          <w:sz w:val="28"/>
          <w:szCs w:val="28"/>
        </w:rPr>
        <w:footnoteReference w:id="5"/>
      </w:r>
      <w:r w:rsidR="00A03F55" w:rsidRPr="00A04901">
        <w:rPr>
          <w:bCs/>
          <w:sz w:val="28"/>
          <w:szCs w:val="28"/>
        </w:rPr>
        <w:t xml:space="preserve"> </w:t>
      </w:r>
      <w:r w:rsidR="004F5392" w:rsidRPr="00A04901">
        <w:rPr>
          <w:bCs/>
          <w:i/>
          <w:iCs/>
          <w:sz w:val="28"/>
          <w:szCs w:val="28"/>
        </w:rPr>
        <w:t>Rabinowitz</w:t>
      </w:r>
      <w:r w:rsidR="004F5392" w:rsidRPr="00A04901">
        <w:rPr>
          <w:bCs/>
          <w:sz w:val="28"/>
          <w:szCs w:val="28"/>
        </w:rPr>
        <w:t>’s reasoning was followed in several cases.</w:t>
      </w:r>
      <w:r w:rsidR="00BF2B7C" w:rsidRPr="002F00D9">
        <w:rPr>
          <w:rStyle w:val="FootnoteReference"/>
          <w:bCs/>
          <w:sz w:val="28"/>
          <w:szCs w:val="28"/>
        </w:rPr>
        <w:footnoteReference w:id="6"/>
      </w:r>
      <w:r w:rsidR="004F5392" w:rsidRPr="00A04901">
        <w:rPr>
          <w:bCs/>
          <w:sz w:val="28"/>
          <w:szCs w:val="28"/>
        </w:rPr>
        <w:t xml:space="preserve"> It is not necessary to </w:t>
      </w:r>
      <w:r w:rsidR="00881166" w:rsidRPr="00A04901">
        <w:rPr>
          <w:bCs/>
          <w:sz w:val="28"/>
          <w:szCs w:val="28"/>
        </w:rPr>
        <w:t>discuss</w:t>
      </w:r>
      <w:r w:rsidR="00B0176B" w:rsidRPr="00A04901">
        <w:rPr>
          <w:bCs/>
          <w:sz w:val="28"/>
          <w:szCs w:val="28"/>
        </w:rPr>
        <w:t xml:space="preserve"> these cases</w:t>
      </w:r>
      <w:r w:rsidR="004F5392" w:rsidRPr="00A04901">
        <w:rPr>
          <w:bCs/>
          <w:sz w:val="28"/>
          <w:szCs w:val="28"/>
        </w:rPr>
        <w:t xml:space="preserve"> as the </w:t>
      </w:r>
      <w:r w:rsidR="007A2BDE" w:rsidRPr="00A04901">
        <w:rPr>
          <w:bCs/>
          <w:sz w:val="28"/>
          <w:szCs w:val="28"/>
        </w:rPr>
        <w:t xml:space="preserve">thrust is largely </w:t>
      </w:r>
      <w:r w:rsidR="00B0176B" w:rsidRPr="00A04901">
        <w:rPr>
          <w:bCs/>
          <w:sz w:val="28"/>
          <w:szCs w:val="28"/>
        </w:rPr>
        <w:t>the same.</w:t>
      </w:r>
    </w:p>
    <w:p w14:paraId="61CD7B2D" w14:textId="2BE0304D" w:rsidR="00E66C8B" w:rsidRPr="00A04901" w:rsidRDefault="00A04901" w:rsidP="00A04901">
      <w:pPr>
        <w:rPr>
          <w:bCs/>
          <w:sz w:val="28"/>
          <w:szCs w:val="28"/>
        </w:rPr>
      </w:pPr>
      <w:r w:rsidRPr="002F00D9">
        <w:rPr>
          <w:sz w:val="28"/>
          <w:szCs w:val="28"/>
        </w:rPr>
        <w:lastRenderedPageBreak/>
        <w:t>[9]</w:t>
      </w:r>
      <w:r w:rsidRPr="002F00D9">
        <w:rPr>
          <w:sz w:val="28"/>
          <w:szCs w:val="28"/>
        </w:rPr>
        <w:tab/>
      </w:r>
      <w:r w:rsidR="007367E2" w:rsidRPr="00A04901">
        <w:rPr>
          <w:bCs/>
          <w:sz w:val="28"/>
          <w:szCs w:val="28"/>
        </w:rPr>
        <w:t xml:space="preserve">The high court disagreed with </w:t>
      </w:r>
      <w:r w:rsidR="007367E2" w:rsidRPr="00A04901">
        <w:rPr>
          <w:bCs/>
          <w:i/>
          <w:iCs/>
          <w:sz w:val="28"/>
          <w:szCs w:val="28"/>
        </w:rPr>
        <w:t>Rabinowitz</w:t>
      </w:r>
      <w:r w:rsidR="007367E2" w:rsidRPr="00A04901">
        <w:rPr>
          <w:bCs/>
          <w:sz w:val="28"/>
          <w:szCs w:val="28"/>
        </w:rPr>
        <w:t xml:space="preserve"> </w:t>
      </w:r>
      <w:r w:rsidR="00C8640F" w:rsidRPr="00A04901">
        <w:rPr>
          <w:bCs/>
          <w:sz w:val="28"/>
          <w:szCs w:val="28"/>
        </w:rPr>
        <w:t>and the</w:t>
      </w:r>
      <w:r w:rsidR="00B37F6E" w:rsidRPr="00A04901">
        <w:rPr>
          <w:bCs/>
          <w:sz w:val="28"/>
          <w:szCs w:val="28"/>
        </w:rPr>
        <w:t xml:space="preserve"> cases that followed it</w:t>
      </w:r>
      <w:r w:rsidR="00C8640F" w:rsidRPr="00A04901">
        <w:rPr>
          <w:bCs/>
          <w:sz w:val="28"/>
          <w:szCs w:val="28"/>
        </w:rPr>
        <w:t xml:space="preserve">. </w:t>
      </w:r>
      <w:r w:rsidR="00AF6069" w:rsidRPr="00A04901">
        <w:rPr>
          <w:bCs/>
          <w:sz w:val="28"/>
          <w:szCs w:val="28"/>
        </w:rPr>
        <w:t>I</w:t>
      </w:r>
      <w:r w:rsidR="00C8640F" w:rsidRPr="00A04901">
        <w:rPr>
          <w:bCs/>
          <w:sz w:val="28"/>
          <w:szCs w:val="28"/>
        </w:rPr>
        <w:t>t observed</w:t>
      </w:r>
      <w:r w:rsidR="00AF6069" w:rsidRPr="00A04901">
        <w:rPr>
          <w:bCs/>
          <w:sz w:val="28"/>
          <w:szCs w:val="28"/>
        </w:rPr>
        <w:t xml:space="preserve"> the following</w:t>
      </w:r>
      <w:r w:rsidR="00E66C8B" w:rsidRPr="00A04901">
        <w:rPr>
          <w:bCs/>
          <w:sz w:val="28"/>
          <w:szCs w:val="28"/>
        </w:rPr>
        <w:t>:</w:t>
      </w:r>
    </w:p>
    <w:p w14:paraId="3EA24D8D" w14:textId="76F41BE3" w:rsidR="00E66C8B" w:rsidRPr="002F00D9" w:rsidRDefault="00E66C8B" w:rsidP="00F8280E">
      <w:pPr>
        <w:rPr>
          <w:bCs/>
        </w:rPr>
      </w:pPr>
      <w:r w:rsidRPr="002F00D9">
        <w:rPr>
          <w:bCs/>
        </w:rPr>
        <w:t>‘One can sense the frustration some judges might feel when it is clear that a director was up to no good and a creditor ended up suffering damages or a huge financial loss. The fact however remains that the Companies Act does not make express provision for such liability. It could never have been the intention of the legislator to provide for liability in a manner that would involve a convoluted manner of interpreting various sections, and then to arrive at a conclusion that is still open to doubt, based on how certain sections are interpreted.’</w:t>
      </w:r>
      <w:r w:rsidR="004C399F" w:rsidRPr="002F00D9">
        <w:rPr>
          <w:rStyle w:val="FootnoteReference"/>
          <w:bCs/>
        </w:rPr>
        <w:footnoteReference w:id="7"/>
      </w:r>
    </w:p>
    <w:p w14:paraId="193AA735" w14:textId="77777777" w:rsidR="00E66C8B" w:rsidRPr="002F00D9" w:rsidRDefault="00E66C8B" w:rsidP="00F8280E">
      <w:pPr>
        <w:pStyle w:val="ListParagraph"/>
        <w:rPr>
          <w:bCs/>
          <w:sz w:val="28"/>
          <w:szCs w:val="28"/>
        </w:rPr>
      </w:pPr>
    </w:p>
    <w:p w14:paraId="610A2D86" w14:textId="7BD0A6FC" w:rsidR="00963EDA" w:rsidRPr="00A04901" w:rsidRDefault="00A04901" w:rsidP="00A04901">
      <w:pPr>
        <w:rPr>
          <w:bCs/>
          <w:sz w:val="28"/>
          <w:szCs w:val="28"/>
        </w:rPr>
      </w:pPr>
      <w:r w:rsidRPr="002F00D9">
        <w:rPr>
          <w:sz w:val="28"/>
          <w:szCs w:val="28"/>
        </w:rPr>
        <w:t>[10]</w:t>
      </w:r>
      <w:r w:rsidRPr="002F00D9">
        <w:rPr>
          <w:sz w:val="28"/>
          <w:szCs w:val="28"/>
        </w:rPr>
        <w:tab/>
      </w:r>
      <w:r w:rsidR="00E66C8B" w:rsidRPr="00A04901">
        <w:rPr>
          <w:bCs/>
          <w:sz w:val="28"/>
          <w:szCs w:val="28"/>
        </w:rPr>
        <w:t>The court</w:t>
      </w:r>
      <w:r w:rsidR="007367E2" w:rsidRPr="00A04901">
        <w:rPr>
          <w:bCs/>
          <w:sz w:val="28"/>
          <w:szCs w:val="28"/>
        </w:rPr>
        <w:t xml:space="preserve"> embraced the approach adopted in </w:t>
      </w:r>
      <w:r w:rsidR="007367E2" w:rsidRPr="00A04901">
        <w:rPr>
          <w:bCs/>
          <w:i/>
          <w:iCs/>
          <w:sz w:val="28"/>
          <w:szCs w:val="28"/>
        </w:rPr>
        <w:t>De Bruyn v Steinhoff International Holdings N</w:t>
      </w:r>
      <w:r w:rsidR="00017FEF" w:rsidRPr="00A04901">
        <w:rPr>
          <w:bCs/>
          <w:i/>
          <w:iCs/>
          <w:sz w:val="28"/>
          <w:szCs w:val="28"/>
        </w:rPr>
        <w:t>.</w:t>
      </w:r>
      <w:r w:rsidR="007367E2" w:rsidRPr="00A04901">
        <w:rPr>
          <w:bCs/>
          <w:i/>
          <w:iCs/>
          <w:sz w:val="28"/>
          <w:szCs w:val="28"/>
        </w:rPr>
        <w:t>V</w:t>
      </w:r>
      <w:r w:rsidR="00017FEF" w:rsidRPr="00A04901">
        <w:rPr>
          <w:bCs/>
          <w:i/>
          <w:iCs/>
          <w:sz w:val="28"/>
          <w:szCs w:val="28"/>
        </w:rPr>
        <w:t>.</w:t>
      </w:r>
      <w:r w:rsidR="007367E2" w:rsidRPr="00A04901">
        <w:rPr>
          <w:bCs/>
          <w:i/>
          <w:iCs/>
          <w:sz w:val="28"/>
          <w:szCs w:val="28"/>
        </w:rPr>
        <w:t xml:space="preserve"> and Others</w:t>
      </w:r>
      <w:r w:rsidR="00963EDA" w:rsidRPr="002F00D9">
        <w:rPr>
          <w:rStyle w:val="FootnoteReference"/>
          <w:bCs/>
          <w:sz w:val="28"/>
          <w:szCs w:val="28"/>
        </w:rPr>
        <w:footnoteReference w:id="8"/>
      </w:r>
      <w:r w:rsidR="007367E2" w:rsidRPr="00A04901">
        <w:rPr>
          <w:bCs/>
          <w:sz w:val="28"/>
          <w:szCs w:val="28"/>
        </w:rPr>
        <w:t xml:space="preserve"> </w:t>
      </w:r>
      <w:r w:rsidR="006471E3" w:rsidRPr="00A04901">
        <w:rPr>
          <w:bCs/>
          <w:sz w:val="28"/>
          <w:szCs w:val="28"/>
        </w:rPr>
        <w:t>(</w:t>
      </w:r>
      <w:bookmarkStart w:id="2" w:name="_Hlk163478391"/>
      <w:r w:rsidR="006471E3" w:rsidRPr="00A04901">
        <w:rPr>
          <w:bCs/>
          <w:i/>
          <w:iCs/>
          <w:sz w:val="28"/>
          <w:szCs w:val="28"/>
        </w:rPr>
        <w:t>Steinhoff</w:t>
      </w:r>
      <w:bookmarkEnd w:id="2"/>
      <w:r w:rsidR="006471E3" w:rsidRPr="00A04901">
        <w:rPr>
          <w:bCs/>
          <w:sz w:val="28"/>
          <w:szCs w:val="28"/>
        </w:rPr>
        <w:t xml:space="preserve">) </w:t>
      </w:r>
      <w:r w:rsidR="00EA6690" w:rsidRPr="00A04901">
        <w:rPr>
          <w:bCs/>
          <w:sz w:val="28"/>
          <w:szCs w:val="28"/>
        </w:rPr>
        <w:t>which held</w:t>
      </w:r>
      <w:r w:rsidR="002D4450" w:rsidRPr="00A04901">
        <w:rPr>
          <w:bCs/>
          <w:sz w:val="28"/>
          <w:szCs w:val="28"/>
        </w:rPr>
        <w:t xml:space="preserve"> that</w:t>
      </w:r>
      <w:r w:rsidR="00EA6690" w:rsidRPr="00A04901">
        <w:rPr>
          <w:bCs/>
          <w:sz w:val="28"/>
          <w:szCs w:val="28"/>
        </w:rPr>
        <w:t>:</w:t>
      </w:r>
    </w:p>
    <w:p w14:paraId="5CAC6461" w14:textId="1E0BA843" w:rsidR="001C75AC" w:rsidRPr="002F00D9" w:rsidRDefault="00EA6690" w:rsidP="00F8280E">
      <w:pPr>
        <w:pStyle w:val="ListParagraph"/>
        <w:ind w:left="0"/>
        <w:rPr>
          <w:bCs/>
        </w:rPr>
      </w:pPr>
      <w:r w:rsidRPr="002F00D9">
        <w:rPr>
          <w:bCs/>
        </w:rPr>
        <w:t>‘Section</w:t>
      </w:r>
      <w:r w:rsidR="004C1A11" w:rsidRPr="002F00D9">
        <w:rPr>
          <w:bCs/>
        </w:rPr>
        <w:t xml:space="preserve"> 218(2) should not be interpreted in a literal wa</w:t>
      </w:r>
      <w:r w:rsidR="009C1C79" w:rsidRPr="002F00D9">
        <w:rPr>
          <w:bCs/>
        </w:rPr>
        <w:t>y. Rather</w:t>
      </w:r>
      <w:r w:rsidR="003A3A3D" w:rsidRPr="002F00D9">
        <w:rPr>
          <w:bCs/>
        </w:rPr>
        <w:t>, the provision recogni</w:t>
      </w:r>
      <w:r w:rsidR="005777C4" w:rsidRPr="002F00D9">
        <w:rPr>
          <w:bCs/>
        </w:rPr>
        <w:t>z</w:t>
      </w:r>
      <w:r w:rsidR="003A3A3D" w:rsidRPr="002F00D9">
        <w:rPr>
          <w:bCs/>
        </w:rPr>
        <w:t>es that liability</w:t>
      </w:r>
      <w:r w:rsidR="001C75AC" w:rsidRPr="002F00D9">
        <w:rPr>
          <w:bCs/>
        </w:rPr>
        <w:t xml:space="preserve"> for loss or damage may arise from contravention</w:t>
      </w:r>
      <w:r w:rsidR="005777C4" w:rsidRPr="002F00D9">
        <w:rPr>
          <w:bCs/>
        </w:rPr>
        <w:t>s of</w:t>
      </w:r>
      <w:r w:rsidR="001C75AC" w:rsidRPr="002F00D9">
        <w:rPr>
          <w:bCs/>
        </w:rPr>
        <w:t xml:space="preserve"> the Companies Act. And so the statute confers a right of action. But what that </w:t>
      </w:r>
      <w:r w:rsidR="00DD10E5" w:rsidRPr="002F00D9">
        <w:rPr>
          <w:bCs/>
        </w:rPr>
        <w:t xml:space="preserve">right </w:t>
      </w:r>
      <w:r w:rsidR="001C75AC" w:rsidRPr="002F00D9">
        <w:rPr>
          <w:bCs/>
        </w:rPr>
        <w:t xml:space="preserve">consists of, </w:t>
      </w:r>
      <w:r w:rsidR="00DD10E5" w:rsidRPr="002F00D9">
        <w:rPr>
          <w:bCs/>
        </w:rPr>
        <w:t>who</w:t>
      </w:r>
      <w:r w:rsidR="001C75AC" w:rsidRPr="002F00D9">
        <w:rPr>
          <w:bCs/>
        </w:rPr>
        <w:t xml:space="preserve"> enjoys the right, and against </w:t>
      </w:r>
      <w:r w:rsidR="005777C4" w:rsidRPr="002F00D9">
        <w:rPr>
          <w:bCs/>
        </w:rPr>
        <w:t xml:space="preserve">whom </w:t>
      </w:r>
      <w:r w:rsidR="001C75AC" w:rsidRPr="002F00D9">
        <w:rPr>
          <w:bCs/>
        </w:rPr>
        <w:t>the right may be exercised are all issues to be resolved by reference to the substantive provisions of the Companies Act.’</w:t>
      </w:r>
      <w:r w:rsidR="001C75AC" w:rsidRPr="002F00D9">
        <w:rPr>
          <w:rStyle w:val="FootnoteReference"/>
          <w:bCs/>
        </w:rPr>
        <w:footnoteReference w:id="9"/>
      </w:r>
      <w:r w:rsidR="009C1C79" w:rsidRPr="002F00D9">
        <w:rPr>
          <w:bCs/>
        </w:rPr>
        <w:t xml:space="preserve"> </w:t>
      </w:r>
      <w:r w:rsidR="004C1A11" w:rsidRPr="002F00D9">
        <w:rPr>
          <w:bCs/>
        </w:rPr>
        <w:t xml:space="preserve">  </w:t>
      </w:r>
    </w:p>
    <w:p w14:paraId="0367E4A3" w14:textId="5523E245" w:rsidR="00EA6690" w:rsidRPr="002F00D9" w:rsidRDefault="00EA6690" w:rsidP="00F8280E">
      <w:pPr>
        <w:pStyle w:val="ListParagraph"/>
        <w:ind w:left="0"/>
        <w:rPr>
          <w:bCs/>
          <w:sz w:val="28"/>
          <w:szCs w:val="28"/>
        </w:rPr>
      </w:pPr>
      <w:r w:rsidRPr="002F00D9">
        <w:rPr>
          <w:bCs/>
        </w:rPr>
        <w:t xml:space="preserve"> </w:t>
      </w:r>
    </w:p>
    <w:p w14:paraId="1AEBD2F5" w14:textId="2EEC158B" w:rsidR="00B414B1" w:rsidRPr="00A04901" w:rsidRDefault="00A04901" w:rsidP="00A04901">
      <w:pPr>
        <w:rPr>
          <w:bCs/>
          <w:sz w:val="28"/>
          <w:szCs w:val="28"/>
        </w:rPr>
      </w:pPr>
      <w:r w:rsidRPr="002F00D9">
        <w:rPr>
          <w:sz w:val="28"/>
          <w:szCs w:val="28"/>
        </w:rPr>
        <w:t>[11]</w:t>
      </w:r>
      <w:r w:rsidRPr="002F00D9">
        <w:rPr>
          <w:sz w:val="28"/>
          <w:szCs w:val="28"/>
        </w:rPr>
        <w:tab/>
      </w:r>
      <w:r w:rsidR="001C75AC" w:rsidRPr="00A04901">
        <w:rPr>
          <w:bCs/>
          <w:sz w:val="28"/>
          <w:szCs w:val="28"/>
        </w:rPr>
        <w:t xml:space="preserve">The high court </w:t>
      </w:r>
      <w:r w:rsidR="00F53EE8" w:rsidRPr="00A04901">
        <w:rPr>
          <w:bCs/>
          <w:sz w:val="28"/>
          <w:szCs w:val="28"/>
        </w:rPr>
        <w:t xml:space="preserve">also </w:t>
      </w:r>
      <w:r w:rsidR="001C75AC" w:rsidRPr="00A04901">
        <w:rPr>
          <w:bCs/>
          <w:sz w:val="28"/>
          <w:szCs w:val="28"/>
        </w:rPr>
        <w:t>referred to the judgment of this Court</w:t>
      </w:r>
      <w:r w:rsidR="00DD10E5" w:rsidRPr="00A04901">
        <w:rPr>
          <w:bCs/>
          <w:sz w:val="28"/>
          <w:szCs w:val="28"/>
        </w:rPr>
        <w:t xml:space="preserve"> in</w:t>
      </w:r>
      <w:r w:rsidR="001C75AC" w:rsidRPr="00A04901">
        <w:rPr>
          <w:bCs/>
          <w:sz w:val="28"/>
          <w:szCs w:val="28"/>
        </w:rPr>
        <w:t xml:space="preserve"> </w:t>
      </w:r>
      <w:r w:rsidR="001C75AC" w:rsidRPr="00A04901">
        <w:rPr>
          <w:bCs/>
          <w:i/>
          <w:iCs/>
          <w:sz w:val="28"/>
          <w:szCs w:val="28"/>
        </w:rPr>
        <w:t xml:space="preserve">Hlumisa Investment Holdings </w:t>
      </w:r>
      <w:r w:rsidR="00017FEF" w:rsidRPr="00A04901">
        <w:rPr>
          <w:bCs/>
          <w:i/>
          <w:iCs/>
          <w:sz w:val="28"/>
          <w:szCs w:val="28"/>
        </w:rPr>
        <w:t>(</w:t>
      </w:r>
      <w:r w:rsidR="001C75AC" w:rsidRPr="00A04901">
        <w:rPr>
          <w:bCs/>
          <w:i/>
          <w:iCs/>
          <w:sz w:val="28"/>
          <w:szCs w:val="28"/>
        </w:rPr>
        <w:t>RF</w:t>
      </w:r>
      <w:r w:rsidR="00017FEF" w:rsidRPr="00A04901">
        <w:rPr>
          <w:bCs/>
          <w:i/>
          <w:iCs/>
          <w:sz w:val="28"/>
          <w:szCs w:val="28"/>
        </w:rPr>
        <w:t>)</w:t>
      </w:r>
      <w:r w:rsidR="001C75AC" w:rsidRPr="00A04901">
        <w:rPr>
          <w:bCs/>
          <w:i/>
          <w:iCs/>
          <w:sz w:val="28"/>
          <w:szCs w:val="28"/>
        </w:rPr>
        <w:t xml:space="preserve"> Ltd and Another v Kirkinis and Others</w:t>
      </w:r>
      <w:r w:rsidR="00BA6860" w:rsidRPr="002F00D9">
        <w:rPr>
          <w:rStyle w:val="FootnoteReference"/>
          <w:bCs/>
          <w:sz w:val="28"/>
          <w:szCs w:val="28"/>
        </w:rPr>
        <w:footnoteReference w:id="10"/>
      </w:r>
      <w:r w:rsidR="006471E3" w:rsidRPr="00A04901">
        <w:rPr>
          <w:bCs/>
          <w:i/>
          <w:iCs/>
          <w:sz w:val="28"/>
          <w:szCs w:val="28"/>
        </w:rPr>
        <w:t xml:space="preserve"> </w:t>
      </w:r>
      <w:r w:rsidR="006471E3" w:rsidRPr="00A04901">
        <w:rPr>
          <w:bCs/>
          <w:sz w:val="28"/>
          <w:szCs w:val="28"/>
        </w:rPr>
        <w:t>(</w:t>
      </w:r>
      <w:r w:rsidR="006471E3" w:rsidRPr="00A04901">
        <w:rPr>
          <w:bCs/>
          <w:i/>
          <w:iCs/>
          <w:sz w:val="28"/>
          <w:szCs w:val="28"/>
        </w:rPr>
        <w:t>Hlumisa</w:t>
      </w:r>
      <w:r w:rsidR="006471E3" w:rsidRPr="00A04901">
        <w:rPr>
          <w:bCs/>
          <w:sz w:val="28"/>
          <w:szCs w:val="28"/>
        </w:rPr>
        <w:t>)</w:t>
      </w:r>
      <w:r w:rsidR="001C75AC" w:rsidRPr="00A04901">
        <w:rPr>
          <w:bCs/>
          <w:sz w:val="28"/>
          <w:szCs w:val="28"/>
        </w:rPr>
        <w:t xml:space="preserve"> </w:t>
      </w:r>
      <w:r w:rsidR="00015563" w:rsidRPr="00A04901">
        <w:rPr>
          <w:bCs/>
          <w:sz w:val="28"/>
          <w:szCs w:val="28"/>
        </w:rPr>
        <w:t>where</w:t>
      </w:r>
      <w:r w:rsidR="00A4003B" w:rsidRPr="00A04901">
        <w:rPr>
          <w:bCs/>
          <w:sz w:val="28"/>
          <w:szCs w:val="28"/>
        </w:rPr>
        <w:t>,</w:t>
      </w:r>
      <w:r w:rsidR="00015563" w:rsidRPr="00A04901">
        <w:rPr>
          <w:bCs/>
          <w:sz w:val="28"/>
          <w:szCs w:val="28"/>
        </w:rPr>
        <w:t xml:space="preserve"> </w:t>
      </w:r>
      <w:r w:rsidR="00A4003B" w:rsidRPr="00A04901">
        <w:rPr>
          <w:bCs/>
          <w:sz w:val="28"/>
          <w:szCs w:val="28"/>
        </w:rPr>
        <w:t>with reference to ss 77(2)</w:t>
      </w:r>
      <w:r w:rsidR="00A4003B" w:rsidRPr="00A04901">
        <w:rPr>
          <w:bCs/>
          <w:i/>
          <w:iCs/>
          <w:sz w:val="28"/>
          <w:szCs w:val="28"/>
        </w:rPr>
        <w:t xml:space="preserve">(b) </w:t>
      </w:r>
      <w:r w:rsidR="00A4003B" w:rsidRPr="00A04901">
        <w:rPr>
          <w:bCs/>
          <w:sz w:val="28"/>
          <w:szCs w:val="28"/>
        </w:rPr>
        <w:t>and 77(3)</w:t>
      </w:r>
      <w:r w:rsidR="00A4003B" w:rsidRPr="00A04901">
        <w:rPr>
          <w:bCs/>
          <w:i/>
          <w:iCs/>
          <w:sz w:val="28"/>
          <w:szCs w:val="28"/>
        </w:rPr>
        <w:t>(b)</w:t>
      </w:r>
      <w:r w:rsidR="00A4003B" w:rsidRPr="00A04901">
        <w:rPr>
          <w:bCs/>
          <w:sz w:val="28"/>
          <w:szCs w:val="28"/>
        </w:rPr>
        <w:t xml:space="preserve"> of the Act, </w:t>
      </w:r>
      <w:r w:rsidR="00DD10E5" w:rsidRPr="00A04901">
        <w:rPr>
          <w:bCs/>
          <w:sz w:val="28"/>
          <w:szCs w:val="28"/>
        </w:rPr>
        <w:t>the Court</w:t>
      </w:r>
      <w:r w:rsidR="00F53EE8" w:rsidRPr="00A04901">
        <w:rPr>
          <w:bCs/>
          <w:sz w:val="28"/>
          <w:szCs w:val="28"/>
        </w:rPr>
        <w:t xml:space="preserve"> held</w:t>
      </w:r>
      <w:r w:rsidR="00A4003B" w:rsidRPr="00A04901">
        <w:rPr>
          <w:bCs/>
          <w:sz w:val="28"/>
          <w:szCs w:val="28"/>
        </w:rPr>
        <w:t>:</w:t>
      </w:r>
      <w:r w:rsidR="00015563" w:rsidRPr="00A04901">
        <w:rPr>
          <w:bCs/>
          <w:sz w:val="28"/>
          <w:szCs w:val="28"/>
        </w:rPr>
        <w:t xml:space="preserve"> </w:t>
      </w:r>
    </w:p>
    <w:p w14:paraId="66BB3239" w14:textId="1C121D26" w:rsidR="00015563" w:rsidRPr="002F00D9" w:rsidRDefault="008F2EBD" w:rsidP="00F8280E">
      <w:pPr>
        <w:rPr>
          <w:bCs/>
          <w:sz w:val="28"/>
          <w:szCs w:val="28"/>
        </w:rPr>
      </w:pPr>
      <w:r w:rsidRPr="002F00D9">
        <w:rPr>
          <w:bCs/>
        </w:rPr>
        <w:t>‘These provisions</w:t>
      </w:r>
      <w:r w:rsidR="00A54262" w:rsidRPr="002F00D9">
        <w:rPr>
          <w:bCs/>
        </w:rPr>
        <w:t xml:space="preserve"> of the Companies Act make it clear that the legislature decided</w:t>
      </w:r>
      <w:r w:rsidR="00E535B4" w:rsidRPr="002F00D9">
        <w:rPr>
          <w:bCs/>
        </w:rPr>
        <w:t xml:space="preserve"> where liability should lie for conduct by directors in contravention of certain sections of the Act and </w:t>
      </w:r>
      <w:r w:rsidR="00CD452C" w:rsidRPr="002F00D9">
        <w:rPr>
          <w:bCs/>
        </w:rPr>
        <w:t xml:space="preserve">who </w:t>
      </w:r>
      <w:r w:rsidR="00E535B4" w:rsidRPr="002F00D9">
        <w:rPr>
          <w:bCs/>
        </w:rPr>
        <w:t xml:space="preserve">could </w:t>
      </w:r>
      <w:r w:rsidR="00E535B4" w:rsidRPr="002F00D9">
        <w:rPr>
          <w:bCs/>
        </w:rPr>
        <w:lastRenderedPageBreak/>
        <w:t>recover the resultant loss. It is also clear that the legislature was astute to preserve certain commo</w:t>
      </w:r>
      <w:r w:rsidR="00CD452C" w:rsidRPr="002F00D9">
        <w:t>n </w:t>
      </w:r>
      <w:r w:rsidR="00E535B4" w:rsidRPr="002F00D9">
        <w:rPr>
          <w:bCs/>
        </w:rPr>
        <w:t>law principles. It makes for a harmonious blend.’</w:t>
      </w:r>
      <w:r w:rsidR="00E535B4" w:rsidRPr="002F00D9">
        <w:rPr>
          <w:rStyle w:val="FootnoteReference"/>
          <w:bCs/>
        </w:rPr>
        <w:footnoteReference w:id="11"/>
      </w:r>
    </w:p>
    <w:p w14:paraId="3879B39D" w14:textId="3A25F246" w:rsidR="00C81269" w:rsidRPr="00A04901" w:rsidRDefault="00A04901" w:rsidP="00A04901">
      <w:pPr>
        <w:rPr>
          <w:bCs/>
          <w:sz w:val="28"/>
          <w:szCs w:val="28"/>
        </w:rPr>
      </w:pPr>
      <w:r w:rsidRPr="002F00D9">
        <w:rPr>
          <w:sz w:val="28"/>
          <w:szCs w:val="28"/>
        </w:rPr>
        <w:t>[12]</w:t>
      </w:r>
      <w:r w:rsidRPr="002F00D9">
        <w:rPr>
          <w:sz w:val="28"/>
          <w:szCs w:val="28"/>
        </w:rPr>
        <w:tab/>
      </w:r>
      <w:r w:rsidR="00980A84" w:rsidRPr="00A04901">
        <w:rPr>
          <w:bCs/>
          <w:sz w:val="28"/>
          <w:szCs w:val="28"/>
        </w:rPr>
        <w:t xml:space="preserve">The </w:t>
      </w:r>
      <w:r w:rsidR="001721ED" w:rsidRPr="00A04901">
        <w:rPr>
          <w:bCs/>
          <w:sz w:val="28"/>
          <w:szCs w:val="28"/>
        </w:rPr>
        <w:t xml:space="preserve">high </w:t>
      </w:r>
      <w:r w:rsidR="00980A84" w:rsidRPr="00A04901">
        <w:rPr>
          <w:bCs/>
          <w:sz w:val="28"/>
          <w:szCs w:val="28"/>
        </w:rPr>
        <w:t>court</w:t>
      </w:r>
      <w:r w:rsidR="00E66C8B" w:rsidRPr="00A04901">
        <w:rPr>
          <w:bCs/>
          <w:sz w:val="28"/>
          <w:szCs w:val="28"/>
        </w:rPr>
        <w:t xml:space="preserve"> concluded that</w:t>
      </w:r>
      <w:r w:rsidR="00247B32" w:rsidRPr="00A04901">
        <w:rPr>
          <w:bCs/>
          <w:sz w:val="28"/>
          <w:szCs w:val="28"/>
        </w:rPr>
        <w:t>:</w:t>
      </w:r>
    </w:p>
    <w:p w14:paraId="6F062C84" w14:textId="05D1CE04" w:rsidR="00902491" w:rsidRPr="002F00D9" w:rsidRDefault="00E66C8B" w:rsidP="00F8280E">
      <w:pPr>
        <w:rPr>
          <w:bCs/>
        </w:rPr>
      </w:pPr>
      <w:r w:rsidRPr="002F00D9">
        <w:rPr>
          <w:bCs/>
        </w:rPr>
        <w:t>‘. . .the so-called</w:t>
      </w:r>
      <w:r w:rsidR="00902491" w:rsidRPr="002F00D9">
        <w:rPr>
          <w:bCs/>
        </w:rPr>
        <w:t xml:space="preserve"> lacuna</w:t>
      </w:r>
      <w:r w:rsidR="00BF02F0" w:rsidRPr="002F00D9">
        <w:rPr>
          <w:bCs/>
        </w:rPr>
        <w:t xml:space="preserve"> created by the legislature </w:t>
      </w:r>
      <w:r w:rsidRPr="002F00D9">
        <w:rPr>
          <w:bCs/>
        </w:rPr>
        <w:t xml:space="preserve">in not </w:t>
      </w:r>
      <w:r w:rsidR="00BF02F0" w:rsidRPr="002F00D9">
        <w:rPr>
          <w:bCs/>
        </w:rPr>
        <w:t xml:space="preserve">providing expressly for the liability of directors to other persons, such as creditors, for loss or damage suffered, is a clear indication that it was not </w:t>
      </w:r>
      <w:r w:rsidRPr="002F00D9">
        <w:rPr>
          <w:bCs/>
        </w:rPr>
        <w:t xml:space="preserve">its </w:t>
      </w:r>
      <w:r w:rsidR="00BF02F0" w:rsidRPr="002F00D9">
        <w:rPr>
          <w:bCs/>
        </w:rPr>
        <w:t>intention to do so, thereby continuing to recognise what has been referred to as a foundation of company law.’</w:t>
      </w:r>
      <w:r w:rsidR="00CD452C" w:rsidRPr="002F00D9">
        <w:rPr>
          <w:rStyle w:val="FootnoteReference"/>
          <w:bCs/>
        </w:rPr>
        <w:footnoteReference w:id="12"/>
      </w:r>
    </w:p>
    <w:p w14:paraId="19263CBB" w14:textId="77777777" w:rsidR="00902491" w:rsidRPr="002F00D9" w:rsidRDefault="00902491" w:rsidP="00F8280E">
      <w:pPr>
        <w:rPr>
          <w:bCs/>
        </w:rPr>
      </w:pPr>
    </w:p>
    <w:p w14:paraId="413F67B0" w14:textId="4EA4DBEF" w:rsidR="00C81269" w:rsidRPr="00A04901" w:rsidRDefault="00A04901" w:rsidP="00A04901">
      <w:pPr>
        <w:rPr>
          <w:bCs/>
          <w:sz w:val="28"/>
          <w:szCs w:val="28"/>
        </w:rPr>
      </w:pPr>
      <w:bookmarkStart w:id="3" w:name="_Hlk163468379"/>
      <w:r w:rsidRPr="002F00D9">
        <w:rPr>
          <w:sz w:val="28"/>
          <w:szCs w:val="28"/>
        </w:rPr>
        <w:t>[13]</w:t>
      </w:r>
      <w:r w:rsidRPr="002F00D9">
        <w:rPr>
          <w:sz w:val="28"/>
          <w:szCs w:val="28"/>
        </w:rPr>
        <w:tab/>
      </w:r>
      <w:r w:rsidR="001721ED" w:rsidRPr="00A04901">
        <w:rPr>
          <w:bCs/>
          <w:sz w:val="28"/>
          <w:szCs w:val="28"/>
        </w:rPr>
        <w:t>I</w:t>
      </w:r>
      <w:r w:rsidR="00BF02F0" w:rsidRPr="00A04901">
        <w:rPr>
          <w:bCs/>
          <w:sz w:val="28"/>
          <w:szCs w:val="28"/>
        </w:rPr>
        <w:t>t</w:t>
      </w:r>
      <w:r w:rsidR="001721ED" w:rsidRPr="00A04901">
        <w:rPr>
          <w:bCs/>
          <w:sz w:val="28"/>
          <w:szCs w:val="28"/>
        </w:rPr>
        <w:t xml:space="preserve"> consequentially</w:t>
      </w:r>
      <w:r w:rsidR="00BF02F0" w:rsidRPr="00A04901">
        <w:rPr>
          <w:bCs/>
          <w:sz w:val="28"/>
          <w:szCs w:val="28"/>
        </w:rPr>
        <w:t xml:space="preserve"> upheld the second defendant’s exception, set aside the particulars of </w:t>
      </w:r>
      <w:r w:rsidR="00E66C8B" w:rsidRPr="00A04901">
        <w:rPr>
          <w:bCs/>
          <w:sz w:val="28"/>
          <w:szCs w:val="28"/>
        </w:rPr>
        <w:t>claim,</w:t>
      </w:r>
      <w:r w:rsidR="00BF02F0" w:rsidRPr="00A04901">
        <w:rPr>
          <w:bCs/>
          <w:sz w:val="28"/>
          <w:szCs w:val="28"/>
        </w:rPr>
        <w:t xml:space="preserve"> and granted leave to the plaintiff, if so advised, to file amended particulars of claim within 10 days from the date of the granting of its order.</w:t>
      </w:r>
      <w:r w:rsidR="00E66C8B" w:rsidRPr="00A04901">
        <w:rPr>
          <w:bCs/>
          <w:sz w:val="28"/>
          <w:szCs w:val="28"/>
        </w:rPr>
        <w:t xml:space="preserve">  </w:t>
      </w:r>
    </w:p>
    <w:bookmarkEnd w:id="3"/>
    <w:p w14:paraId="3416341A" w14:textId="77777777" w:rsidR="000D6EF3" w:rsidRPr="002F00D9" w:rsidRDefault="000D6EF3" w:rsidP="00F8280E">
      <w:pPr>
        <w:rPr>
          <w:bCs/>
          <w:sz w:val="28"/>
          <w:szCs w:val="28"/>
        </w:rPr>
      </w:pPr>
    </w:p>
    <w:p w14:paraId="3A4D640D" w14:textId="4F6681A9" w:rsidR="000D6EF3" w:rsidRPr="002F00D9" w:rsidRDefault="000D6EF3" w:rsidP="00F8280E">
      <w:pPr>
        <w:rPr>
          <w:b/>
          <w:sz w:val="28"/>
          <w:szCs w:val="28"/>
        </w:rPr>
      </w:pPr>
      <w:r w:rsidRPr="002F00D9">
        <w:rPr>
          <w:b/>
          <w:sz w:val="28"/>
          <w:szCs w:val="28"/>
        </w:rPr>
        <w:t xml:space="preserve">In this Court </w:t>
      </w:r>
    </w:p>
    <w:p w14:paraId="0F82959E" w14:textId="2DCDA28F" w:rsidR="00B17F4F" w:rsidRPr="00A04901" w:rsidRDefault="00A04901" w:rsidP="00A04901">
      <w:pPr>
        <w:rPr>
          <w:bCs/>
          <w:sz w:val="28"/>
          <w:szCs w:val="28"/>
        </w:rPr>
      </w:pPr>
      <w:r w:rsidRPr="002F00D9">
        <w:rPr>
          <w:sz w:val="28"/>
          <w:szCs w:val="28"/>
        </w:rPr>
        <w:t>[14]</w:t>
      </w:r>
      <w:r w:rsidRPr="002F00D9">
        <w:rPr>
          <w:sz w:val="28"/>
          <w:szCs w:val="28"/>
        </w:rPr>
        <w:tab/>
      </w:r>
      <w:r w:rsidR="000D64B2" w:rsidRPr="00A04901">
        <w:rPr>
          <w:bCs/>
          <w:sz w:val="28"/>
          <w:szCs w:val="28"/>
        </w:rPr>
        <w:t>T</w:t>
      </w:r>
      <w:r w:rsidR="008C3A90" w:rsidRPr="00A04901">
        <w:rPr>
          <w:bCs/>
          <w:sz w:val="28"/>
          <w:szCs w:val="28"/>
        </w:rPr>
        <w:t>he plaintiff contend</w:t>
      </w:r>
      <w:r w:rsidR="000D64B2" w:rsidRPr="00A04901">
        <w:rPr>
          <w:bCs/>
          <w:sz w:val="28"/>
          <w:szCs w:val="28"/>
        </w:rPr>
        <w:t>s</w:t>
      </w:r>
      <w:r w:rsidR="006E264F" w:rsidRPr="00A04901">
        <w:rPr>
          <w:bCs/>
          <w:sz w:val="28"/>
          <w:szCs w:val="28"/>
        </w:rPr>
        <w:t xml:space="preserve"> </w:t>
      </w:r>
      <w:r w:rsidR="008C3A90" w:rsidRPr="00A04901">
        <w:rPr>
          <w:bCs/>
          <w:sz w:val="28"/>
          <w:szCs w:val="28"/>
        </w:rPr>
        <w:t>that the high court did not conduct</w:t>
      </w:r>
      <w:r w:rsidR="00E35963" w:rsidRPr="00A04901">
        <w:rPr>
          <w:bCs/>
          <w:sz w:val="28"/>
          <w:szCs w:val="28"/>
        </w:rPr>
        <w:t xml:space="preserve"> a discrete interpretative analysis of s 218(2)</w:t>
      </w:r>
      <w:r w:rsidR="00561F1D" w:rsidRPr="00A04901">
        <w:rPr>
          <w:bCs/>
          <w:sz w:val="28"/>
          <w:szCs w:val="28"/>
        </w:rPr>
        <w:t>.</w:t>
      </w:r>
      <w:r w:rsidR="000D64B2" w:rsidRPr="00A04901">
        <w:rPr>
          <w:bCs/>
          <w:sz w:val="28"/>
          <w:szCs w:val="28"/>
        </w:rPr>
        <w:t xml:space="preserve"> </w:t>
      </w:r>
      <w:r w:rsidR="00561F1D" w:rsidRPr="00A04901">
        <w:rPr>
          <w:bCs/>
          <w:sz w:val="28"/>
          <w:szCs w:val="28"/>
        </w:rPr>
        <w:t>R</w:t>
      </w:r>
      <w:r w:rsidR="00E35963" w:rsidRPr="00A04901">
        <w:rPr>
          <w:bCs/>
          <w:sz w:val="28"/>
          <w:szCs w:val="28"/>
        </w:rPr>
        <w:t>ather, it opined on the correctness of the judgments it identified and appea</w:t>
      </w:r>
      <w:r w:rsidR="003858A6" w:rsidRPr="00A04901">
        <w:rPr>
          <w:bCs/>
          <w:sz w:val="28"/>
          <w:szCs w:val="28"/>
        </w:rPr>
        <w:t>red</w:t>
      </w:r>
      <w:r w:rsidR="00E35963" w:rsidRPr="00A04901">
        <w:rPr>
          <w:bCs/>
          <w:sz w:val="28"/>
          <w:szCs w:val="28"/>
        </w:rPr>
        <w:t xml:space="preserve"> to have adopted </w:t>
      </w:r>
      <w:r w:rsidR="003858A6" w:rsidRPr="00A04901">
        <w:rPr>
          <w:bCs/>
          <w:sz w:val="28"/>
          <w:szCs w:val="28"/>
        </w:rPr>
        <w:t xml:space="preserve">a </w:t>
      </w:r>
      <w:r w:rsidR="00E35963" w:rsidRPr="00A04901">
        <w:rPr>
          <w:bCs/>
          <w:sz w:val="28"/>
          <w:szCs w:val="28"/>
        </w:rPr>
        <w:t>prominent focus on s 22 rather than s 218(2).</w:t>
      </w:r>
      <w:r w:rsidR="00D5491E" w:rsidRPr="00A04901">
        <w:rPr>
          <w:bCs/>
          <w:sz w:val="28"/>
          <w:szCs w:val="28"/>
        </w:rPr>
        <w:t xml:space="preserve"> </w:t>
      </w:r>
    </w:p>
    <w:p w14:paraId="1D3EAAC9" w14:textId="77777777" w:rsidR="00B17F4F" w:rsidRPr="002F00D9" w:rsidRDefault="00B17F4F" w:rsidP="00F8280E">
      <w:pPr>
        <w:rPr>
          <w:bCs/>
          <w:sz w:val="28"/>
          <w:szCs w:val="28"/>
        </w:rPr>
      </w:pPr>
    </w:p>
    <w:p w14:paraId="7EDF77C4" w14:textId="707DAA7B" w:rsidR="008C3A90" w:rsidRPr="00A04901" w:rsidRDefault="00A04901" w:rsidP="00A04901">
      <w:pPr>
        <w:rPr>
          <w:bCs/>
          <w:sz w:val="28"/>
          <w:szCs w:val="28"/>
        </w:rPr>
      </w:pPr>
      <w:r w:rsidRPr="002F00D9">
        <w:rPr>
          <w:sz w:val="28"/>
          <w:szCs w:val="28"/>
        </w:rPr>
        <w:t>[15]</w:t>
      </w:r>
      <w:r w:rsidRPr="002F00D9">
        <w:rPr>
          <w:sz w:val="28"/>
          <w:szCs w:val="28"/>
        </w:rPr>
        <w:tab/>
      </w:r>
      <w:r w:rsidR="000D64B2" w:rsidRPr="00A04901">
        <w:rPr>
          <w:bCs/>
          <w:sz w:val="28"/>
          <w:szCs w:val="28"/>
        </w:rPr>
        <w:t xml:space="preserve">It </w:t>
      </w:r>
      <w:r w:rsidR="00E97969" w:rsidRPr="00A04901">
        <w:rPr>
          <w:bCs/>
          <w:sz w:val="28"/>
          <w:szCs w:val="28"/>
        </w:rPr>
        <w:t xml:space="preserve">further </w:t>
      </w:r>
      <w:r w:rsidR="00D5491E" w:rsidRPr="00A04901">
        <w:rPr>
          <w:bCs/>
          <w:sz w:val="28"/>
          <w:szCs w:val="28"/>
        </w:rPr>
        <w:t>submit</w:t>
      </w:r>
      <w:r w:rsidR="000D64B2" w:rsidRPr="00A04901">
        <w:rPr>
          <w:bCs/>
          <w:sz w:val="28"/>
          <w:szCs w:val="28"/>
        </w:rPr>
        <w:t>s</w:t>
      </w:r>
      <w:r w:rsidR="00D5491E" w:rsidRPr="00A04901">
        <w:rPr>
          <w:bCs/>
          <w:sz w:val="28"/>
          <w:szCs w:val="28"/>
        </w:rPr>
        <w:t xml:space="preserve"> that it was unlikely to have been the purpose of the Act to have intended to exclude liability for fraudulent </w:t>
      </w:r>
      <w:r w:rsidR="00B17F4F" w:rsidRPr="00A04901">
        <w:rPr>
          <w:bCs/>
          <w:sz w:val="28"/>
          <w:szCs w:val="28"/>
        </w:rPr>
        <w:t xml:space="preserve">or reckless trading </w:t>
      </w:r>
      <w:r w:rsidR="00D5491E" w:rsidRPr="00A04901">
        <w:rPr>
          <w:bCs/>
          <w:sz w:val="28"/>
          <w:szCs w:val="28"/>
        </w:rPr>
        <w:t>by directors [to creditors of the company]</w:t>
      </w:r>
      <w:r w:rsidR="000D64B2" w:rsidRPr="00A04901">
        <w:rPr>
          <w:bCs/>
          <w:sz w:val="28"/>
          <w:szCs w:val="28"/>
        </w:rPr>
        <w:t>; t</w:t>
      </w:r>
      <w:r w:rsidR="00BD64A4" w:rsidRPr="00A04901">
        <w:rPr>
          <w:bCs/>
          <w:sz w:val="28"/>
          <w:szCs w:val="28"/>
        </w:rPr>
        <w:t xml:space="preserve">his claim was permitted by common law, and it would require </w:t>
      </w:r>
      <w:r w:rsidR="00860BEA" w:rsidRPr="00A04901">
        <w:rPr>
          <w:bCs/>
          <w:sz w:val="28"/>
          <w:szCs w:val="28"/>
        </w:rPr>
        <w:t xml:space="preserve">clear </w:t>
      </w:r>
      <w:r w:rsidR="00BD64A4" w:rsidRPr="00A04901">
        <w:rPr>
          <w:bCs/>
          <w:sz w:val="28"/>
          <w:szCs w:val="28"/>
        </w:rPr>
        <w:t>language in the Act to preclude</w:t>
      </w:r>
      <w:r w:rsidR="001E331F" w:rsidRPr="00A04901">
        <w:rPr>
          <w:bCs/>
          <w:sz w:val="28"/>
          <w:szCs w:val="28"/>
        </w:rPr>
        <w:t xml:space="preserve"> it</w:t>
      </w:r>
      <w:r w:rsidR="00BD64A4" w:rsidRPr="00A04901">
        <w:rPr>
          <w:bCs/>
          <w:sz w:val="28"/>
          <w:szCs w:val="28"/>
        </w:rPr>
        <w:t>. Neither</w:t>
      </w:r>
      <w:r w:rsidR="001E331F" w:rsidRPr="00A04901">
        <w:rPr>
          <w:bCs/>
          <w:sz w:val="28"/>
          <w:szCs w:val="28"/>
        </w:rPr>
        <w:t xml:space="preserve"> the language of</w:t>
      </w:r>
      <w:r w:rsidR="00BD64A4" w:rsidRPr="00A04901">
        <w:rPr>
          <w:bCs/>
          <w:sz w:val="28"/>
          <w:szCs w:val="28"/>
        </w:rPr>
        <w:t xml:space="preserve"> s 218, nor the surrounding matrix of legislation suggest that </w:t>
      </w:r>
      <w:r w:rsidR="001E331F" w:rsidRPr="00A04901">
        <w:rPr>
          <w:bCs/>
          <w:sz w:val="28"/>
          <w:szCs w:val="28"/>
        </w:rPr>
        <w:t>re</w:t>
      </w:r>
      <w:r w:rsidR="00BD64A4" w:rsidRPr="00A04901">
        <w:rPr>
          <w:bCs/>
          <w:sz w:val="28"/>
          <w:szCs w:val="28"/>
        </w:rPr>
        <w:t>vocation.</w:t>
      </w:r>
    </w:p>
    <w:p w14:paraId="6BAF90F5" w14:textId="77777777" w:rsidR="00E97969" w:rsidRPr="002F00D9" w:rsidRDefault="00E97969" w:rsidP="00F8280E">
      <w:pPr>
        <w:pStyle w:val="ListParagraph"/>
        <w:rPr>
          <w:bCs/>
          <w:sz w:val="28"/>
          <w:szCs w:val="28"/>
        </w:rPr>
      </w:pPr>
    </w:p>
    <w:p w14:paraId="1E997678" w14:textId="68CFE3D6" w:rsidR="0090457D" w:rsidRPr="00A04901" w:rsidRDefault="00A04901" w:rsidP="00A04901">
      <w:pPr>
        <w:rPr>
          <w:bCs/>
          <w:sz w:val="28"/>
          <w:szCs w:val="28"/>
        </w:rPr>
      </w:pPr>
      <w:r w:rsidRPr="002F00D9">
        <w:rPr>
          <w:sz w:val="28"/>
          <w:szCs w:val="28"/>
        </w:rPr>
        <w:lastRenderedPageBreak/>
        <w:t>[16]</w:t>
      </w:r>
      <w:r w:rsidRPr="002F00D9">
        <w:rPr>
          <w:sz w:val="28"/>
          <w:szCs w:val="28"/>
        </w:rPr>
        <w:tab/>
      </w:r>
      <w:r w:rsidR="00E97969" w:rsidRPr="00A04901">
        <w:rPr>
          <w:bCs/>
          <w:sz w:val="28"/>
          <w:szCs w:val="28"/>
        </w:rPr>
        <w:t xml:space="preserve">Counsel for the plaintiff further submitted that the </w:t>
      </w:r>
      <w:r w:rsidR="00AC6E70" w:rsidRPr="00A04901">
        <w:rPr>
          <w:bCs/>
          <w:sz w:val="28"/>
          <w:szCs w:val="28"/>
        </w:rPr>
        <w:t>C</w:t>
      </w:r>
      <w:r w:rsidR="00F955B0" w:rsidRPr="00A04901">
        <w:rPr>
          <w:bCs/>
          <w:sz w:val="28"/>
          <w:szCs w:val="28"/>
        </w:rPr>
        <w:t xml:space="preserve">ourt should prefer an interpretation that promotes access to justice than </w:t>
      </w:r>
      <w:r w:rsidR="006E4F17" w:rsidRPr="00A04901">
        <w:rPr>
          <w:bCs/>
          <w:sz w:val="28"/>
          <w:szCs w:val="28"/>
        </w:rPr>
        <w:t xml:space="preserve">one </w:t>
      </w:r>
      <w:r w:rsidR="00F955B0" w:rsidRPr="00A04901">
        <w:rPr>
          <w:bCs/>
          <w:sz w:val="28"/>
          <w:szCs w:val="28"/>
        </w:rPr>
        <w:t>that denies any remedy. Thus, it should be slow to accept the interpretation offered by the excipient.</w:t>
      </w:r>
    </w:p>
    <w:p w14:paraId="47B675E2" w14:textId="4D02FFA4" w:rsidR="00B3748D" w:rsidRPr="00A04901" w:rsidRDefault="00A04901" w:rsidP="00A04901">
      <w:pPr>
        <w:rPr>
          <w:bCs/>
          <w:sz w:val="28"/>
          <w:szCs w:val="28"/>
        </w:rPr>
      </w:pPr>
      <w:r w:rsidRPr="002F00D9">
        <w:rPr>
          <w:sz w:val="28"/>
          <w:szCs w:val="28"/>
        </w:rPr>
        <w:t>[17]</w:t>
      </w:r>
      <w:r w:rsidRPr="002F00D9">
        <w:rPr>
          <w:sz w:val="28"/>
          <w:szCs w:val="28"/>
        </w:rPr>
        <w:tab/>
      </w:r>
      <w:r w:rsidR="001E331F" w:rsidRPr="00A04901">
        <w:rPr>
          <w:bCs/>
          <w:sz w:val="28"/>
          <w:szCs w:val="28"/>
        </w:rPr>
        <w:t>Secondly,</w:t>
      </w:r>
      <w:r w:rsidR="00CF6D63" w:rsidRPr="00A04901">
        <w:rPr>
          <w:bCs/>
          <w:sz w:val="28"/>
          <w:szCs w:val="28"/>
        </w:rPr>
        <w:t xml:space="preserve"> </w:t>
      </w:r>
      <w:r w:rsidR="00AC6E70" w:rsidRPr="00A04901">
        <w:rPr>
          <w:bCs/>
          <w:sz w:val="28"/>
          <w:szCs w:val="28"/>
        </w:rPr>
        <w:t>he argued</w:t>
      </w:r>
      <w:r w:rsidR="00F53EE8" w:rsidRPr="00A04901">
        <w:rPr>
          <w:bCs/>
          <w:sz w:val="28"/>
          <w:szCs w:val="28"/>
        </w:rPr>
        <w:t xml:space="preserve"> that</w:t>
      </w:r>
      <w:r w:rsidR="00AC6E70" w:rsidRPr="00A04901">
        <w:rPr>
          <w:bCs/>
          <w:sz w:val="28"/>
          <w:szCs w:val="28"/>
        </w:rPr>
        <w:t xml:space="preserve"> </w:t>
      </w:r>
      <w:r w:rsidR="00CF6D63" w:rsidRPr="00A04901">
        <w:rPr>
          <w:bCs/>
          <w:sz w:val="28"/>
          <w:szCs w:val="28"/>
        </w:rPr>
        <w:t xml:space="preserve">the </w:t>
      </w:r>
      <w:r w:rsidR="00AC6E70" w:rsidRPr="00A04901">
        <w:rPr>
          <w:bCs/>
          <w:sz w:val="28"/>
          <w:szCs w:val="28"/>
        </w:rPr>
        <w:t>C</w:t>
      </w:r>
      <w:r w:rsidR="00CF6D63" w:rsidRPr="00A04901">
        <w:rPr>
          <w:bCs/>
          <w:sz w:val="28"/>
          <w:szCs w:val="28"/>
        </w:rPr>
        <w:t xml:space="preserve">ourt is not dealing with </w:t>
      </w:r>
      <w:r w:rsidR="00B37F6E" w:rsidRPr="00A04901">
        <w:rPr>
          <w:bCs/>
          <w:sz w:val="28"/>
          <w:szCs w:val="28"/>
        </w:rPr>
        <w:t xml:space="preserve">the </w:t>
      </w:r>
      <w:r w:rsidR="00CF6D63" w:rsidRPr="00A04901">
        <w:rPr>
          <w:bCs/>
          <w:sz w:val="28"/>
          <w:szCs w:val="28"/>
        </w:rPr>
        <w:t xml:space="preserve">breach of a fiduciary duty which is owed to the company, but with a breach of a statutory duty. </w:t>
      </w:r>
      <w:r w:rsidR="006A194C" w:rsidRPr="00A04901">
        <w:rPr>
          <w:bCs/>
          <w:sz w:val="28"/>
          <w:szCs w:val="28"/>
        </w:rPr>
        <w:t>For</w:t>
      </w:r>
      <w:r w:rsidR="00B3748D" w:rsidRPr="00A04901">
        <w:rPr>
          <w:bCs/>
          <w:sz w:val="28"/>
          <w:szCs w:val="28"/>
        </w:rPr>
        <w:t xml:space="preserve"> purposes of </w:t>
      </w:r>
      <w:r w:rsidR="006A194C" w:rsidRPr="00A04901">
        <w:rPr>
          <w:bCs/>
          <w:sz w:val="28"/>
          <w:szCs w:val="28"/>
        </w:rPr>
        <w:t>a</w:t>
      </w:r>
      <w:r w:rsidR="00B3748D" w:rsidRPr="00A04901">
        <w:rPr>
          <w:bCs/>
          <w:sz w:val="28"/>
          <w:szCs w:val="28"/>
        </w:rPr>
        <w:t xml:space="preserve"> creditor’s claim</w:t>
      </w:r>
      <w:r w:rsidR="0086138B" w:rsidRPr="00A04901">
        <w:rPr>
          <w:bCs/>
          <w:sz w:val="28"/>
          <w:szCs w:val="28"/>
        </w:rPr>
        <w:t>,</w:t>
      </w:r>
      <w:r w:rsidR="006A194C" w:rsidRPr="00A04901">
        <w:rPr>
          <w:bCs/>
          <w:sz w:val="28"/>
          <w:szCs w:val="28"/>
        </w:rPr>
        <w:t xml:space="preserve"> the phrase</w:t>
      </w:r>
      <w:r w:rsidR="00B3748D" w:rsidRPr="00A04901">
        <w:rPr>
          <w:bCs/>
          <w:sz w:val="28"/>
          <w:szCs w:val="28"/>
        </w:rPr>
        <w:t xml:space="preserve"> </w:t>
      </w:r>
      <w:r w:rsidR="005C28C0" w:rsidRPr="00A04901">
        <w:rPr>
          <w:bCs/>
          <w:sz w:val="28"/>
          <w:szCs w:val="28"/>
        </w:rPr>
        <w:t>‘</w:t>
      </w:r>
      <w:r w:rsidR="005C28C0" w:rsidRPr="00A04901">
        <w:rPr>
          <w:bCs/>
          <w:i/>
          <w:iCs/>
          <w:sz w:val="28"/>
          <w:szCs w:val="28"/>
        </w:rPr>
        <w:t>any person who contravenes the Act</w:t>
      </w:r>
      <w:r w:rsidR="00AC6E70" w:rsidRPr="00A04901">
        <w:rPr>
          <w:bCs/>
          <w:iCs/>
          <w:sz w:val="28"/>
          <w:szCs w:val="28"/>
        </w:rPr>
        <w:t>’</w:t>
      </w:r>
      <w:r w:rsidR="005C28C0" w:rsidRPr="00A04901">
        <w:rPr>
          <w:bCs/>
          <w:sz w:val="28"/>
          <w:szCs w:val="28"/>
        </w:rPr>
        <w:t xml:space="preserve"> </w:t>
      </w:r>
      <w:r w:rsidR="00B3748D" w:rsidRPr="00A04901">
        <w:rPr>
          <w:bCs/>
          <w:sz w:val="28"/>
          <w:szCs w:val="28"/>
        </w:rPr>
        <w:t>in s</w:t>
      </w:r>
      <w:r w:rsidR="000C1419" w:rsidRPr="00A04901">
        <w:rPr>
          <w:bCs/>
          <w:sz w:val="28"/>
          <w:szCs w:val="28"/>
        </w:rPr>
        <w:t> </w:t>
      </w:r>
      <w:r w:rsidR="00B3748D" w:rsidRPr="00A04901">
        <w:rPr>
          <w:bCs/>
          <w:sz w:val="28"/>
          <w:szCs w:val="28"/>
        </w:rPr>
        <w:t>218(2)</w:t>
      </w:r>
      <w:r w:rsidR="006F3848" w:rsidRPr="00A04901">
        <w:rPr>
          <w:bCs/>
          <w:sz w:val="28"/>
          <w:szCs w:val="28"/>
        </w:rPr>
        <w:t xml:space="preserve"> must be read</w:t>
      </w:r>
      <w:r w:rsidR="00B3748D" w:rsidRPr="00A04901">
        <w:rPr>
          <w:bCs/>
          <w:sz w:val="28"/>
          <w:szCs w:val="28"/>
        </w:rPr>
        <w:t xml:space="preserve"> </w:t>
      </w:r>
      <w:r w:rsidR="00AC6E70" w:rsidRPr="00A04901">
        <w:rPr>
          <w:bCs/>
          <w:sz w:val="28"/>
          <w:szCs w:val="28"/>
        </w:rPr>
        <w:t xml:space="preserve">to mean the </w:t>
      </w:r>
      <w:r w:rsidR="005C28C0" w:rsidRPr="00A04901">
        <w:rPr>
          <w:bCs/>
          <w:sz w:val="28"/>
          <w:szCs w:val="28"/>
        </w:rPr>
        <w:t>director who</w:t>
      </w:r>
      <w:r w:rsidR="00B3748D" w:rsidRPr="00A04901">
        <w:rPr>
          <w:bCs/>
          <w:sz w:val="28"/>
          <w:szCs w:val="28"/>
        </w:rPr>
        <w:t xml:space="preserve"> is behind the company </w:t>
      </w:r>
      <w:r w:rsidR="00B37F6E" w:rsidRPr="00A04901">
        <w:rPr>
          <w:bCs/>
          <w:sz w:val="28"/>
          <w:szCs w:val="28"/>
        </w:rPr>
        <w:t>that</w:t>
      </w:r>
      <w:r w:rsidR="00B3748D" w:rsidRPr="00A04901">
        <w:rPr>
          <w:bCs/>
          <w:sz w:val="28"/>
          <w:szCs w:val="28"/>
        </w:rPr>
        <w:t xml:space="preserve"> contravened s 22(1).</w:t>
      </w:r>
    </w:p>
    <w:p w14:paraId="3DD532CC" w14:textId="77777777" w:rsidR="00B3748D" w:rsidRPr="002F00D9" w:rsidRDefault="00B3748D" w:rsidP="00F8280E">
      <w:pPr>
        <w:pStyle w:val="ListParagraph"/>
        <w:rPr>
          <w:bCs/>
          <w:sz w:val="28"/>
          <w:szCs w:val="28"/>
        </w:rPr>
      </w:pPr>
    </w:p>
    <w:p w14:paraId="00228F89" w14:textId="558FB53F" w:rsidR="001E331F" w:rsidRPr="00A04901" w:rsidRDefault="00A04901" w:rsidP="00A04901">
      <w:pPr>
        <w:rPr>
          <w:bCs/>
          <w:sz w:val="28"/>
          <w:szCs w:val="28"/>
        </w:rPr>
      </w:pPr>
      <w:r w:rsidRPr="002F00D9">
        <w:rPr>
          <w:sz w:val="28"/>
          <w:szCs w:val="28"/>
        </w:rPr>
        <w:t>[18]</w:t>
      </w:r>
      <w:r w:rsidRPr="002F00D9">
        <w:rPr>
          <w:sz w:val="28"/>
          <w:szCs w:val="28"/>
        </w:rPr>
        <w:tab/>
      </w:r>
      <w:r w:rsidR="00AC6E70" w:rsidRPr="00A04901">
        <w:rPr>
          <w:bCs/>
          <w:sz w:val="28"/>
          <w:szCs w:val="28"/>
        </w:rPr>
        <w:t>According to the plaintiff,</w:t>
      </w:r>
      <w:r w:rsidR="000C1419" w:rsidRPr="00A04901">
        <w:rPr>
          <w:bCs/>
          <w:sz w:val="28"/>
          <w:szCs w:val="28"/>
        </w:rPr>
        <w:t xml:space="preserve"> neither</w:t>
      </w:r>
      <w:r w:rsidR="00AC6E70" w:rsidRPr="00A04901">
        <w:rPr>
          <w:bCs/>
          <w:sz w:val="28"/>
          <w:szCs w:val="28"/>
        </w:rPr>
        <w:t xml:space="preserve"> </w:t>
      </w:r>
      <w:r w:rsidR="001E331F" w:rsidRPr="00A04901">
        <w:rPr>
          <w:bCs/>
          <w:i/>
          <w:iCs/>
          <w:sz w:val="28"/>
          <w:szCs w:val="28"/>
        </w:rPr>
        <w:t>Hlumisa</w:t>
      </w:r>
      <w:r w:rsidR="001E331F" w:rsidRPr="00A04901">
        <w:rPr>
          <w:bCs/>
          <w:sz w:val="28"/>
          <w:szCs w:val="28"/>
        </w:rPr>
        <w:t xml:space="preserve"> </w:t>
      </w:r>
      <w:r w:rsidR="00021010" w:rsidRPr="00A04901">
        <w:rPr>
          <w:bCs/>
          <w:sz w:val="28"/>
          <w:szCs w:val="28"/>
        </w:rPr>
        <w:t>nor</w:t>
      </w:r>
      <w:r w:rsidR="00A7203D" w:rsidRPr="00A04901">
        <w:rPr>
          <w:bCs/>
          <w:sz w:val="28"/>
          <w:szCs w:val="28"/>
        </w:rPr>
        <w:t xml:space="preserve"> </w:t>
      </w:r>
      <w:r w:rsidR="008A7A08" w:rsidRPr="00A04901">
        <w:rPr>
          <w:bCs/>
          <w:i/>
          <w:iCs/>
          <w:sz w:val="28"/>
          <w:szCs w:val="28"/>
        </w:rPr>
        <w:t>Steinhoff</w:t>
      </w:r>
      <w:r w:rsidR="00F955B0" w:rsidRPr="00A04901">
        <w:rPr>
          <w:bCs/>
          <w:i/>
          <w:iCs/>
          <w:sz w:val="28"/>
          <w:szCs w:val="28"/>
        </w:rPr>
        <w:t xml:space="preserve"> </w:t>
      </w:r>
      <w:r w:rsidR="00F955B0" w:rsidRPr="00A04901">
        <w:rPr>
          <w:bCs/>
          <w:sz w:val="28"/>
          <w:szCs w:val="28"/>
        </w:rPr>
        <w:t>stand in the way</w:t>
      </w:r>
      <w:r w:rsidR="00AC7917" w:rsidRPr="00A04901">
        <w:rPr>
          <w:bCs/>
          <w:sz w:val="28"/>
          <w:szCs w:val="28"/>
        </w:rPr>
        <w:t xml:space="preserve"> </w:t>
      </w:r>
      <w:r w:rsidR="006F3848" w:rsidRPr="00A04901">
        <w:rPr>
          <w:bCs/>
          <w:sz w:val="28"/>
          <w:szCs w:val="28"/>
        </w:rPr>
        <w:t xml:space="preserve">of this </w:t>
      </w:r>
      <w:r w:rsidR="004F4B86" w:rsidRPr="00A04901">
        <w:rPr>
          <w:bCs/>
          <w:sz w:val="28"/>
          <w:szCs w:val="28"/>
        </w:rPr>
        <w:t xml:space="preserve">interpretation </w:t>
      </w:r>
      <w:r w:rsidR="00AC6E70" w:rsidRPr="00A04901">
        <w:rPr>
          <w:bCs/>
          <w:sz w:val="28"/>
          <w:szCs w:val="28"/>
        </w:rPr>
        <w:t xml:space="preserve">as these </w:t>
      </w:r>
      <w:r w:rsidR="008A7A08" w:rsidRPr="00A04901">
        <w:rPr>
          <w:bCs/>
          <w:sz w:val="28"/>
          <w:szCs w:val="28"/>
        </w:rPr>
        <w:t xml:space="preserve">cases had to do with claims </w:t>
      </w:r>
      <w:r w:rsidR="00AC7917" w:rsidRPr="00A04901">
        <w:rPr>
          <w:bCs/>
          <w:sz w:val="28"/>
          <w:szCs w:val="28"/>
        </w:rPr>
        <w:t>of</w:t>
      </w:r>
      <w:r w:rsidR="008A7A08" w:rsidRPr="00A04901">
        <w:rPr>
          <w:bCs/>
          <w:sz w:val="28"/>
          <w:szCs w:val="28"/>
        </w:rPr>
        <w:t xml:space="preserve"> shareholders against the directors of the company</w:t>
      </w:r>
      <w:r w:rsidR="00BB2107" w:rsidRPr="00A04901">
        <w:rPr>
          <w:bCs/>
          <w:sz w:val="28"/>
          <w:szCs w:val="28"/>
        </w:rPr>
        <w:t>,</w:t>
      </w:r>
      <w:r w:rsidR="008A7A08" w:rsidRPr="00A04901">
        <w:rPr>
          <w:bCs/>
          <w:sz w:val="28"/>
          <w:szCs w:val="28"/>
        </w:rPr>
        <w:t xml:space="preserve"> </w:t>
      </w:r>
      <w:r w:rsidR="00532FB5" w:rsidRPr="00A04901">
        <w:rPr>
          <w:bCs/>
          <w:sz w:val="28"/>
          <w:szCs w:val="28"/>
        </w:rPr>
        <w:t xml:space="preserve">rather than </w:t>
      </w:r>
      <w:r w:rsidR="003F2B09" w:rsidRPr="00A04901">
        <w:rPr>
          <w:bCs/>
          <w:sz w:val="28"/>
          <w:szCs w:val="28"/>
        </w:rPr>
        <w:t xml:space="preserve">with </w:t>
      </w:r>
      <w:r w:rsidR="00532FB5" w:rsidRPr="00A04901">
        <w:rPr>
          <w:bCs/>
          <w:sz w:val="28"/>
          <w:szCs w:val="28"/>
        </w:rPr>
        <w:t>the claims of creditors</w:t>
      </w:r>
      <w:r w:rsidR="00EC16D1" w:rsidRPr="00A04901">
        <w:rPr>
          <w:bCs/>
          <w:sz w:val="28"/>
          <w:szCs w:val="28"/>
        </w:rPr>
        <w:t>;</w:t>
      </w:r>
      <w:r w:rsidR="00532FB5" w:rsidRPr="00A04901">
        <w:rPr>
          <w:bCs/>
          <w:sz w:val="28"/>
          <w:szCs w:val="28"/>
        </w:rPr>
        <w:t xml:space="preserve"> </w:t>
      </w:r>
      <w:r w:rsidR="00EC16D1" w:rsidRPr="00A04901">
        <w:rPr>
          <w:bCs/>
          <w:sz w:val="28"/>
          <w:szCs w:val="28"/>
        </w:rPr>
        <w:t>s</w:t>
      </w:r>
      <w:r w:rsidR="00532FB5" w:rsidRPr="00A04901">
        <w:rPr>
          <w:bCs/>
          <w:sz w:val="28"/>
          <w:szCs w:val="28"/>
        </w:rPr>
        <w:t>hareholders</w:t>
      </w:r>
      <w:r w:rsidR="00396D3A" w:rsidRPr="00A04901">
        <w:rPr>
          <w:bCs/>
          <w:sz w:val="28"/>
          <w:szCs w:val="28"/>
        </w:rPr>
        <w:t>’</w:t>
      </w:r>
      <w:r w:rsidR="00532FB5" w:rsidRPr="00A04901">
        <w:rPr>
          <w:bCs/>
          <w:sz w:val="28"/>
          <w:szCs w:val="28"/>
        </w:rPr>
        <w:t xml:space="preserve"> claims</w:t>
      </w:r>
      <w:r w:rsidR="009024AD" w:rsidRPr="00A04901">
        <w:rPr>
          <w:bCs/>
          <w:sz w:val="28"/>
          <w:szCs w:val="28"/>
        </w:rPr>
        <w:t xml:space="preserve"> </w:t>
      </w:r>
      <w:r w:rsidR="00EC16D1" w:rsidRPr="00A04901">
        <w:rPr>
          <w:bCs/>
          <w:sz w:val="28"/>
          <w:szCs w:val="28"/>
        </w:rPr>
        <w:t>against</w:t>
      </w:r>
      <w:r w:rsidR="00E32297" w:rsidRPr="00A04901">
        <w:rPr>
          <w:bCs/>
          <w:sz w:val="28"/>
          <w:szCs w:val="28"/>
        </w:rPr>
        <w:t xml:space="preserve"> directors </w:t>
      </w:r>
      <w:r w:rsidR="009024AD" w:rsidRPr="00A04901">
        <w:rPr>
          <w:bCs/>
          <w:sz w:val="28"/>
          <w:szCs w:val="28"/>
        </w:rPr>
        <w:t xml:space="preserve">are </w:t>
      </w:r>
      <w:r w:rsidR="008A7A08" w:rsidRPr="00A04901">
        <w:rPr>
          <w:bCs/>
          <w:sz w:val="28"/>
          <w:szCs w:val="28"/>
        </w:rPr>
        <w:t xml:space="preserve">not permitted. </w:t>
      </w:r>
      <w:r w:rsidR="00E76978" w:rsidRPr="00A04901">
        <w:rPr>
          <w:bCs/>
          <w:sz w:val="28"/>
          <w:szCs w:val="28"/>
        </w:rPr>
        <w:t xml:space="preserve">In this instance, </w:t>
      </w:r>
      <w:r w:rsidR="00AC6E70" w:rsidRPr="00A04901">
        <w:rPr>
          <w:bCs/>
          <w:sz w:val="28"/>
          <w:szCs w:val="28"/>
        </w:rPr>
        <w:t xml:space="preserve">however, </w:t>
      </w:r>
      <w:r w:rsidR="00E76978" w:rsidRPr="00A04901">
        <w:rPr>
          <w:bCs/>
          <w:sz w:val="28"/>
          <w:szCs w:val="28"/>
        </w:rPr>
        <w:t xml:space="preserve">where the allegation is that </w:t>
      </w:r>
      <w:r w:rsidR="00822E01" w:rsidRPr="00A04901">
        <w:rPr>
          <w:bCs/>
          <w:sz w:val="28"/>
          <w:szCs w:val="28"/>
        </w:rPr>
        <w:t xml:space="preserve">the </w:t>
      </w:r>
      <w:r w:rsidR="00E76978" w:rsidRPr="00A04901">
        <w:rPr>
          <w:bCs/>
          <w:sz w:val="28"/>
          <w:szCs w:val="28"/>
        </w:rPr>
        <w:t>company was used by the directors to perpetrate a fraud on a creditor, the company neither suffers a loss</w:t>
      </w:r>
      <w:r w:rsidR="00390AEA" w:rsidRPr="00A04901">
        <w:rPr>
          <w:bCs/>
          <w:sz w:val="28"/>
          <w:szCs w:val="28"/>
        </w:rPr>
        <w:t xml:space="preserve"> nor is </w:t>
      </w:r>
      <w:r w:rsidR="000D0D52" w:rsidRPr="00A04901">
        <w:rPr>
          <w:bCs/>
          <w:sz w:val="28"/>
          <w:szCs w:val="28"/>
        </w:rPr>
        <w:t xml:space="preserve">it </w:t>
      </w:r>
      <w:r w:rsidR="00390AEA" w:rsidRPr="00A04901">
        <w:rPr>
          <w:bCs/>
          <w:sz w:val="28"/>
          <w:szCs w:val="28"/>
        </w:rPr>
        <w:t>likely to seek to recover from the directors.</w:t>
      </w:r>
    </w:p>
    <w:p w14:paraId="3A213D7C" w14:textId="77777777" w:rsidR="00021010" w:rsidRPr="002F00D9" w:rsidRDefault="00021010" w:rsidP="00F8280E">
      <w:pPr>
        <w:pStyle w:val="ListParagraph"/>
        <w:rPr>
          <w:bCs/>
          <w:sz w:val="28"/>
          <w:szCs w:val="28"/>
        </w:rPr>
      </w:pPr>
    </w:p>
    <w:p w14:paraId="61DE300A" w14:textId="3A4D25FE" w:rsidR="000179CC" w:rsidRPr="00A04901" w:rsidRDefault="00A04901" w:rsidP="00A04901">
      <w:pPr>
        <w:rPr>
          <w:bCs/>
          <w:sz w:val="28"/>
          <w:szCs w:val="28"/>
        </w:rPr>
      </w:pPr>
      <w:r w:rsidRPr="002F00D9">
        <w:rPr>
          <w:sz w:val="28"/>
          <w:szCs w:val="28"/>
        </w:rPr>
        <w:t>[19]</w:t>
      </w:r>
      <w:r w:rsidRPr="002F00D9">
        <w:rPr>
          <w:sz w:val="28"/>
          <w:szCs w:val="28"/>
        </w:rPr>
        <w:tab/>
      </w:r>
      <w:r w:rsidR="00D25F63" w:rsidRPr="00A04901">
        <w:rPr>
          <w:bCs/>
          <w:sz w:val="28"/>
          <w:szCs w:val="28"/>
        </w:rPr>
        <w:t xml:space="preserve">As to s </w:t>
      </w:r>
      <w:r w:rsidR="00810CCB" w:rsidRPr="00A04901">
        <w:rPr>
          <w:bCs/>
          <w:sz w:val="28"/>
          <w:szCs w:val="28"/>
        </w:rPr>
        <w:t>214(1)</w:t>
      </w:r>
      <w:r w:rsidR="00810CCB" w:rsidRPr="00A04901">
        <w:rPr>
          <w:bCs/>
          <w:i/>
          <w:iCs/>
          <w:sz w:val="28"/>
          <w:szCs w:val="28"/>
        </w:rPr>
        <w:t>(c)</w:t>
      </w:r>
      <w:r w:rsidR="00B8182B" w:rsidRPr="00A04901">
        <w:rPr>
          <w:bCs/>
          <w:sz w:val="28"/>
          <w:szCs w:val="28"/>
        </w:rPr>
        <w:t>,</w:t>
      </w:r>
      <w:r w:rsidR="00362BE5" w:rsidRPr="00A04901">
        <w:rPr>
          <w:bCs/>
          <w:sz w:val="28"/>
          <w:szCs w:val="28"/>
        </w:rPr>
        <w:t xml:space="preserve"> </w:t>
      </w:r>
      <w:r w:rsidR="009D216D" w:rsidRPr="00A04901">
        <w:rPr>
          <w:bCs/>
          <w:sz w:val="28"/>
          <w:szCs w:val="28"/>
        </w:rPr>
        <w:t>which creates a criminal offence</w:t>
      </w:r>
      <w:r w:rsidR="00822E01" w:rsidRPr="00A04901">
        <w:rPr>
          <w:bCs/>
          <w:sz w:val="28"/>
          <w:szCs w:val="28"/>
        </w:rPr>
        <w:t xml:space="preserve">, </w:t>
      </w:r>
      <w:r w:rsidR="00E73257" w:rsidRPr="00A04901">
        <w:rPr>
          <w:bCs/>
          <w:sz w:val="28"/>
          <w:szCs w:val="28"/>
        </w:rPr>
        <w:t xml:space="preserve">this was </w:t>
      </w:r>
      <w:r w:rsidR="00822E01" w:rsidRPr="00A04901">
        <w:rPr>
          <w:bCs/>
          <w:sz w:val="28"/>
          <w:szCs w:val="28"/>
        </w:rPr>
        <w:t>not specifically pleaded</w:t>
      </w:r>
      <w:r w:rsidR="004466D4" w:rsidRPr="00A04901">
        <w:rPr>
          <w:bCs/>
          <w:sz w:val="28"/>
          <w:szCs w:val="28"/>
        </w:rPr>
        <w:t xml:space="preserve">. However, </w:t>
      </w:r>
      <w:r w:rsidR="000320B1" w:rsidRPr="00A04901">
        <w:rPr>
          <w:bCs/>
          <w:sz w:val="28"/>
          <w:szCs w:val="28"/>
        </w:rPr>
        <w:t>it was argued</w:t>
      </w:r>
      <w:r w:rsidR="004466D4" w:rsidRPr="00A04901">
        <w:rPr>
          <w:bCs/>
          <w:sz w:val="28"/>
          <w:szCs w:val="28"/>
        </w:rPr>
        <w:t xml:space="preserve"> that </w:t>
      </w:r>
      <w:r w:rsidR="00B13F02" w:rsidRPr="00A04901">
        <w:rPr>
          <w:bCs/>
          <w:sz w:val="28"/>
          <w:szCs w:val="28"/>
        </w:rPr>
        <w:t>sufficient facts have been pleaded</w:t>
      </w:r>
      <w:r w:rsidR="000C1419" w:rsidRPr="00A04901">
        <w:rPr>
          <w:bCs/>
          <w:sz w:val="28"/>
          <w:szCs w:val="28"/>
        </w:rPr>
        <w:t xml:space="preserve"> </w:t>
      </w:r>
      <w:r w:rsidR="004466D4" w:rsidRPr="00A04901">
        <w:rPr>
          <w:bCs/>
          <w:sz w:val="28"/>
          <w:szCs w:val="28"/>
        </w:rPr>
        <w:t xml:space="preserve">which, </w:t>
      </w:r>
      <w:r w:rsidR="00B13F02" w:rsidRPr="00A04901">
        <w:rPr>
          <w:bCs/>
          <w:sz w:val="28"/>
          <w:szCs w:val="28"/>
        </w:rPr>
        <w:t>if proved</w:t>
      </w:r>
      <w:r w:rsidR="004466D4" w:rsidRPr="00A04901">
        <w:rPr>
          <w:bCs/>
          <w:sz w:val="28"/>
          <w:szCs w:val="28"/>
        </w:rPr>
        <w:t xml:space="preserve">, </w:t>
      </w:r>
      <w:r w:rsidR="006A3C2E" w:rsidRPr="00A04901">
        <w:rPr>
          <w:bCs/>
          <w:sz w:val="28"/>
          <w:szCs w:val="28"/>
        </w:rPr>
        <w:t>would render</w:t>
      </w:r>
      <w:r w:rsidR="00B13F02" w:rsidRPr="00A04901">
        <w:rPr>
          <w:bCs/>
          <w:sz w:val="28"/>
          <w:szCs w:val="28"/>
        </w:rPr>
        <w:t xml:space="preserve"> the second defendant guilty of an offence</w:t>
      </w:r>
      <w:r w:rsidR="00822E01" w:rsidRPr="00A04901">
        <w:rPr>
          <w:bCs/>
          <w:sz w:val="28"/>
          <w:szCs w:val="28"/>
        </w:rPr>
        <w:t xml:space="preserve">. </w:t>
      </w:r>
      <w:r w:rsidR="000320B1" w:rsidRPr="00A04901">
        <w:rPr>
          <w:bCs/>
          <w:sz w:val="28"/>
          <w:szCs w:val="28"/>
        </w:rPr>
        <w:t>The plaintiff</w:t>
      </w:r>
      <w:r w:rsidR="00B13F02" w:rsidRPr="00A04901">
        <w:rPr>
          <w:bCs/>
          <w:sz w:val="28"/>
          <w:szCs w:val="28"/>
        </w:rPr>
        <w:t xml:space="preserve"> contends that the interpretation followed in </w:t>
      </w:r>
      <w:r w:rsidR="00B13F02" w:rsidRPr="00A04901">
        <w:rPr>
          <w:bCs/>
          <w:i/>
          <w:iCs/>
          <w:sz w:val="28"/>
          <w:szCs w:val="28"/>
        </w:rPr>
        <w:t>Rabinowitz</w:t>
      </w:r>
      <w:r w:rsidR="00B13F02" w:rsidRPr="00A04901">
        <w:rPr>
          <w:bCs/>
          <w:sz w:val="28"/>
          <w:szCs w:val="28"/>
        </w:rPr>
        <w:t xml:space="preserve"> should be </w:t>
      </w:r>
      <w:r w:rsidR="00291FCB" w:rsidRPr="00A04901">
        <w:rPr>
          <w:bCs/>
          <w:sz w:val="28"/>
          <w:szCs w:val="28"/>
        </w:rPr>
        <w:t xml:space="preserve">adopted </w:t>
      </w:r>
      <w:r w:rsidR="00B13F02" w:rsidRPr="00A04901">
        <w:rPr>
          <w:bCs/>
          <w:sz w:val="28"/>
          <w:szCs w:val="28"/>
        </w:rPr>
        <w:t xml:space="preserve">in this regard. </w:t>
      </w:r>
      <w:r w:rsidR="009D216D" w:rsidRPr="00A04901">
        <w:rPr>
          <w:bCs/>
          <w:sz w:val="28"/>
          <w:szCs w:val="28"/>
        </w:rPr>
        <w:t xml:space="preserve">Lastly, </w:t>
      </w:r>
      <w:r w:rsidR="00631AE5" w:rsidRPr="00A04901">
        <w:rPr>
          <w:bCs/>
          <w:sz w:val="28"/>
          <w:szCs w:val="28"/>
        </w:rPr>
        <w:t>it contends that a common law claim of fraud or theft can be inferred from the facts</w:t>
      </w:r>
      <w:r w:rsidR="009D216D" w:rsidRPr="00A04901">
        <w:rPr>
          <w:bCs/>
          <w:sz w:val="28"/>
          <w:szCs w:val="28"/>
        </w:rPr>
        <w:t xml:space="preserve">. </w:t>
      </w:r>
    </w:p>
    <w:p w14:paraId="71499FA6" w14:textId="77777777" w:rsidR="000320B1" w:rsidRPr="002F00D9" w:rsidRDefault="000320B1" w:rsidP="000320B1">
      <w:pPr>
        <w:rPr>
          <w:bCs/>
          <w:sz w:val="28"/>
          <w:szCs w:val="28"/>
        </w:rPr>
      </w:pPr>
    </w:p>
    <w:p w14:paraId="0ABFF3ED" w14:textId="6A337BEF" w:rsidR="000179CC" w:rsidRPr="002F00D9" w:rsidRDefault="000179CC" w:rsidP="00F8280E">
      <w:pPr>
        <w:rPr>
          <w:b/>
          <w:sz w:val="28"/>
          <w:szCs w:val="28"/>
        </w:rPr>
      </w:pPr>
      <w:r w:rsidRPr="002F00D9">
        <w:rPr>
          <w:b/>
          <w:sz w:val="28"/>
          <w:szCs w:val="28"/>
        </w:rPr>
        <w:t xml:space="preserve">The test on exception </w:t>
      </w:r>
    </w:p>
    <w:p w14:paraId="212821D9" w14:textId="7488EF29" w:rsidR="0090457D" w:rsidRPr="00A04901" w:rsidRDefault="00A04901" w:rsidP="00A04901">
      <w:pPr>
        <w:rPr>
          <w:bCs/>
          <w:sz w:val="28"/>
          <w:szCs w:val="28"/>
        </w:rPr>
      </w:pPr>
      <w:r w:rsidRPr="002F00D9">
        <w:rPr>
          <w:sz w:val="28"/>
          <w:szCs w:val="28"/>
        </w:rPr>
        <w:lastRenderedPageBreak/>
        <w:t>[20]</w:t>
      </w:r>
      <w:r w:rsidRPr="002F00D9">
        <w:rPr>
          <w:sz w:val="28"/>
          <w:szCs w:val="28"/>
        </w:rPr>
        <w:tab/>
      </w:r>
      <w:r w:rsidR="003A4794" w:rsidRPr="00A04901">
        <w:rPr>
          <w:bCs/>
          <w:sz w:val="28"/>
          <w:szCs w:val="28"/>
        </w:rPr>
        <w:t>It is trite that</w:t>
      </w:r>
      <w:r w:rsidR="008A3764" w:rsidRPr="00A04901">
        <w:rPr>
          <w:bCs/>
          <w:sz w:val="28"/>
          <w:szCs w:val="28"/>
        </w:rPr>
        <w:t xml:space="preserve"> </w:t>
      </w:r>
      <w:r w:rsidR="00A06278" w:rsidRPr="00A04901">
        <w:rPr>
          <w:bCs/>
          <w:sz w:val="28"/>
          <w:szCs w:val="28"/>
        </w:rPr>
        <w:t xml:space="preserve">it </w:t>
      </w:r>
      <w:r w:rsidR="003A4794" w:rsidRPr="00A04901">
        <w:rPr>
          <w:bCs/>
          <w:sz w:val="28"/>
          <w:szCs w:val="28"/>
        </w:rPr>
        <w:t xml:space="preserve">is for </w:t>
      </w:r>
      <w:r w:rsidR="00A06278" w:rsidRPr="00A04901">
        <w:rPr>
          <w:bCs/>
          <w:sz w:val="28"/>
          <w:szCs w:val="28"/>
        </w:rPr>
        <w:t>an</w:t>
      </w:r>
      <w:r w:rsidR="003A4794" w:rsidRPr="00A04901">
        <w:rPr>
          <w:bCs/>
          <w:sz w:val="28"/>
          <w:szCs w:val="28"/>
        </w:rPr>
        <w:t xml:space="preserve"> excipient to show that on e</w:t>
      </w:r>
      <w:r w:rsidR="004102B7" w:rsidRPr="00A04901">
        <w:rPr>
          <w:bCs/>
          <w:sz w:val="28"/>
          <w:szCs w:val="28"/>
        </w:rPr>
        <w:t>v</w:t>
      </w:r>
      <w:r w:rsidR="003A4794" w:rsidRPr="00A04901">
        <w:rPr>
          <w:bCs/>
          <w:sz w:val="28"/>
          <w:szCs w:val="28"/>
        </w:rPr>
        <w:t xml:space="preserve">ery reasonable interpretation of the facts, the pleading is excipiable. </w:t>
      </w:r>
      <w:r w:rsidR="000179CC" w:rsidRPr="00A04901">
        <w:rPr>
          <w:bCs/>
          <w:sz w:val="28"/>
          <w:szCs w:val="28"/>
        </w:rPr>
        <w:t>On interpretation</w:t>
      </w:r>
      <w:r w:rsidR="001C4989" w:rsidRPr="00A04901">
        <w:rPr>
          <w:bCs/>
          <w:sz w:val="28"/>
          <w:szCs w:val="28"/>
        </w:rPr>
        <w:t xml:space="preserve">, </w:t>
      </w:r>
      <w:r w:rsidR="00080771" w:rsidRPr="00A04901">
        <w:rPr>
          <w:bCs/>
          <w:sz w:val="28"/>
          <w:szCs w:val="28"/>
        </w:rPr>
        <w:t>‘</w:t>
      </w:r>
      <w:r w:rsidR="008A3764" w:rsidRPr="00A04901">
        <w:rPr>
          <w:bCs/>
          <w:sz w:val="28"/>
          <w:szCs w:val="28"/>
        </w:rPr>
        <w:t xml:space="preserve">the question is not whether the meaning contended for by the </w:t>
      </w:r>
      <w:r w:rsidR="00080771" w:rsidRPr="00A04901">
        <w:rPr>
          <w:bCs/>
          <w:sz w:val="28"/>
          <w:szCs w:val="28"/>
        </w:rPr>
        <w:t>[</w:t>
      </w:r>
      <w:r w:rsidR="008A3764" w:rsidRPr="00A04901">
        <w:rPr>
          <w:bCs/>
          <w:sz w:val="28"/>
          <w:szCs w:val="28"/>
        </w:rPr>
        <w:t>plaintiff</w:t>
      </w:r>
      <w:r w:rsidR="00080771" w:rsidRPr="00A04901">
        <w:rPr>
          <w:bCs/>
          <w:sz w:val="28"/>
          <w:szCs w:val="28"/>
        </w:rPr>
        <w:t>]</w:t>
      </w:r>
      <w:r w:rsidR="008A3764" w:rsidRPr="00A04901">
        <w:rPr>
          <w:bCs/>
          <w:sz w:val="28"/>
          <w:szCs w:val="28"/>
        </w:rPr>
        <w:t xml:space="preserve"> is necessarily the correct one, but whether it is a reasonably possible one</w:t>
      </w:r>
      <w:r w:rsidR="00080771" w:rsidRPr="00A04901">
        <w:rPr>
          <w:bCs/>
          <w:sz w:val="28"/>
          <w:szCs w:val="28"/>
        </w:rPr>
        <w:t>’</w:t>
      </w:r>
      <w:r w:rsidR="008A3764" w:rsidRPr="00A04901">
        <w:rPr>
          <w:bCs/>
          <w:sz w:val="28"/>
          <w:szCs w:val="28"/>
        </w:rPr>
        <w:t>.</w:t>
      </w:r>
      <w:r w:rsidR="008A3764" w:rsidRPr="002F00D9">
        <w:rPr>
          <w:rStyle w:val="FootnoteReference"/>
          <w:bCs/>
          <w:sz w:val="28"/>
          <w:szCs w:val="28"/>
        </w:rPr>
        <w:footnoteReference w:id="13"/>
      </w:r>
      <w:r w:rsidR="008A3764" w:rsidRPr="00A04901">
        <w:rPr>
          <w:bCs/>
          <w:sz w:val="28"/>
          <w:szCs w:val="28"/>
        </w:rPr>
        <w:t xml:space="preserve"> </w:t>
      </w:r>
      <w:r w:rsidR="003A4794" w:rsidRPr="00A04901">
        <w:rPr>
          <w:bCs/>
          <w:sz w:val="28"/>
          <w:szCs w:val="28"/>
        </w:rPr>
        <w:t>T</w:t>
      </w:r>
      <w:r w:rsidR="00D70A21" w:rsidRPr="00A04901">
        <w:rPr>
          <w:bCs/>
          <w:sz w:val="28"/>
          <w:szCs w:val="28"/>
        </w:rPr>
        <w:t xml:space="preserve">he </w:t>
      </w:r>
      <w:r w:rsidR="001C4989" w:rsidRPr="00A04901">
        <w:rPr>
          <w:bCs/>
          <w:sz w:val="28"/>
          <w:szCs w:val="28"/>
        </w:rPr>
        <w:t xml:space="preserve">excipient </w:t>
      </w:r>
      <w:r w:rsidR="003A4794" w:rsidRPr="00A04901">
        <w:rPr>
          <w:bCs/>
          <w:sz w:val="28"/>
          <w:szCs w:val="28"/>
        </w:rPr>
        <w:t xml:space="preserve">must </w:t>
      </w:r>
      <w:r w:rsidR="00D70A21" w:rsidRPr="00A04901">
        <w:rPr>
          <w:bCs/>
          <w:sz w:val="28"/>
          <w:szCs w:val="28"/>
        </w:rPr>
        <w:t xml:space="preserve">satisfy the court that the conclusion of law set out in the particulars of claim is unsustainable on every interpretation that can be put on those facts. </w:t>
      </w:r>
      <w:r w:rsidR="001C4989" w:rsidRPr="00A04901">
        <w:rPr>
          <w:bCs/>
          <w:sz w:val="28"/>
          <w:szCs w:val="28"/>
        </w:rPr>
        <w:t>It is important to note that</w:t>
      </w:r>
      <w:r w:rsidR="008A3764" w:rsidRPr="00A04901">
        <w:rPr>
          <w:bCs/>
          <w:sz w:val="28"/>
          <w:szCs w:val="28"/>
        </w:rPr>
        <w:t xml:space="preserve"> </w:t>
      </w:r>
      <w:r w:rsidR="00080771" w:rsidRPr="00A04901">
        <w:rPr>
          <w:bCs/>
          <w:sz w:val="28"/>
          <w:szCs w:val="28"/>
        </w:rPr>
        <w:t>‘</w:t>
      </w:r>
      <w:r w:rsidR="008A3764" w:rsidRPr="00A04901">
        <w:rPr>
          <w:bCs/>
          <w:sz w:val="28"/>
          <w:szCs w:val="28"/>
        </w:rPr>
        <w:t>the facts are what must be accepted as correct</w:t>
      </w:r>
      <w:r w:rsidR="00080771" w:rsidRPr="00A04901">
        <w:rPr>
          <w:bCs/>
          <w:sz w:val="28"/>
          <w:szCs w:val="28"/>
        </w:rPr>
        <w:t>;</w:t>
      </w:r>
      <w:r w:rsidR="008A3764" w:rsidRPr="00A04901">
        <w:rPr>
          <w:bCs/>
          <w:sz w:val="28"/>
          <w:szCs w:val="28"/>
        </w:rPr>
        <w:t xml:space="preserve"> not the conclusions of law</w:t>
      </w:r>
      <w:r w:rsidR="00080771" w:rsidRPr="00A04901">
        <w:rPr>
          <w:bCs/>
          <w:sz w:val="28"/>
          <w:szCs w:val="28"/>
        </w:rPr>
        <w:t>’</w:t>
      </w:r>
      <w:r w:rsidR="008A3764" w:rsidRPr="00A04901">
        <w:rPr>
          <w:bCs/>
          <w:sz w:val="28"/>
          <w:szCs w:val="28"/>
        </w:rPr>
        <w:t>.</w:t>
      </w:r>
      <w:r w:rsidR="008A3764" w:rsidRPr="002F00D9">
        <w:rPr>
          <w:rStyle w:val="FootnoteReference"/>
          <w:bCs/>
          <w:sz w:val="28"/>
          <w:szCs w:val="28"/>
        </w:rPr>
        <w:footnoteReference w:id="14"/>
      </w:r>
      <w:r w:rsidR="008A3764" w:rsidRPr="00A04901">
        <w:rPr>
          <w:bCs/>
          <w:sz w:val="28"/>
          <w:szCs w:val="28"/>
        </w:rPr>
        <w:t xml:space="preserve"> </w:t>
      </w:r>
      <w:r w:rsidR="0090457D" w:rsidRPr="00A04901">
        <w:rPr>
          <w:bCs/>
          <w:sz w:val="28"/>
          <w:szCs w:val="28"/>
        </w:rPr>
        <w:t>What is before us is a question of law. Either s 218(2), read with s 22</w:t>
      </w:r>
      <w:r w:rsidR="001415F2" w:rsidRPr="00A04901">
        <w:rPr>
          <w:bCs/>
          <w:sz w:val="28"/>
          <w:szCs w:val="28"/>
        </w:rPr>
        <w:t>(1)</w:t>
      </w:r>
      <w:r w:rsidR="00DE39FF" w:rsidRPr="00A04901">
        <w:rPr>
          <w:bCs/>
          <w:sz w:val="28"/>
          <w:szCs w:val="28"/>
        </w:rPr>
        <w:t>,</w:t>
      </w:r>
      <w:r w:rsidR="0090457D" w:rsidRPr="00A04901">
        <w:rPr>
          <w:bCs/>
          <w:sz w:val="28"/>
          <w:szCs w:val="28"/>
        </w:rPr>
        <w:t xml:space="preserve"> permit</w:t>
      </w:r>
      <w:r w:rsidR="003B41A0" w:rsidRPr="00A04901">
        <w:rPr>
          <w:bCs/>
          <w:sz w:val="28"/>
          <w:szCs w:val="28"/>
        </w:rPr>
        <w:t>s</w:t>
      </w:r>
      <w:r w:rsidR="0090457D" w:rsidRPr="00A04901">
        <w:rPr>
          <w:bCs/>
          <w:sz w:val="28"/>
          <w:szCs w:val="28"/>
        </w:rPr>
        <w:t xml:space="preserve"> what is contended for by the plaintiff, or it does not. </w:t>
      </w:r>
    </w:p>
    <w:p w14:paraId="040779FD" w14:textId="77777777" w:rsidR="00A97ED2" w:rsidRPr="002F00D9" w:rsidRDefault="00A97ED2" w:rsidP="00F8280E">
      <w:pPr>
        <w:pStyle w:val="ListParagraph"/>
        <w:ind w:left="0"/>
        <w:rPr>
          <w:b/>
          <w:sz w:val="28"/>
          <w:szCs w:val="28"/>
        </w:rPr>
      </w:pPr>
    </w:p>
    <w:p w14:paraId="67860C4D" w14:textId="2FFA27DE" w:rsidR="00FD46E2" w:rsidRPr="002F00D9" w:rsidRDefault="0077508A" w:rsidP="00F8280E">
      <w:pPr>
        <w:rPr>
          <w:b/>
          <w:sz w:val="28"/>
          <w:szCs w:val="28"/>
        </w:rPr>
      </w:pPr>
      <w:r w:rsidRPr="002F00D9">
        <w:rPr>
          <w:b/>
          <w:sz w:val="28"/>
          <w:szCs w:val="28"/>
        </w:rPr>
        <w:t xml:space="preserve">Legislative scheme </w:t>
      </w:r>
    </w:p>
    <w:p w14:paraId="036FCC13" w14:textId="729CC016" w:rsidR="00AC00F4" w:rsidRPr="00A04901" w:rsidRDefault="00A04901" w:rsidP="00A04901">
      <w:pPr>
        <w:rPr>
          <w:bCs/>
          <w:sz w:val="28"/>
          <w:szCs w:val="28"/>
        </w:rPr>
      </w:pPr>
      <w:r w:rsidRPr="002F00D9">
        <w:rPr>
          <w:sz w:val="28"/>
          <w:szCs w:val="28"/>
        </w:rPr>
        <w:t>[21]</w:t>
      </w:r>
      <w:r w:rsidRPr="002F00D9">
        <w:rPr>
          <w:sz w:val="28"/>
          <w:szCs w:val="28"/>
        </w:rPr>
        <w:tab/>
      </w:r>
      <w:r w:rsidR="0077508A" w:rsidRPr="00A04901">
        <w:rPr>
          <w:bCs/>
          <w:sz w:val="28"/>
          <w:szCs w:val="28"/>
        </w:rPr>
        <w:t xml:space="preserve">It is important to recap the </w:t>
      </w:r>
      <w:r w:rsidR="00CD1A8E" w:rsidRPr="00A04901">
        <w:rPr>
          <w:bCs/>
          <w:sz w:val="28"/>
          <w:szCs w:val="28"/>
        </w:rPr>
        <w:t xml:space="preserve">relevant </w:t>
      </w:r>
      <w:r w:rsidR="0077508A" w:rsidRPr="00A04901">
        <w:rPr>
          <w:bCs/>
          <w:sz w:val="28"/>
          <w:szCs w:val="28"/>
        </w:rPr>
        <w:t>principles underpinning the Act before undertaking the interpretive exercise. Section</w:t>
      </w:r>
      <w:r w:rsidR="008F3893" w:rsidRPr="00A04901">
        <w:rPr>
          <w:bCs/>
          <w:sz w:val="28"/>
          <w:szCs w:val="28"/>
        </w:rPr>
        <w:t xml:space="preserve"> 1 of the Act defines a company as a juristic person</w:t>
      </w:r>
      <w:r w:rsidR="0077508A" w:rsidRPr="00A04901">
        <w:rPr>
          <w:bCs/>
          <w:sz w:val="28"/>
          <w:szCs w:val="28"/>
        </w:rPr>
        <w:t xml:space="preserve"> incorporated in terms of the Act</w:t>
      </w:r>
      <w:r w:rsidR="008F3893" w:rsidRPr="00A04901">
        <w:rPr>
          <w:bCs/>
          <w:sz w:val="28"/>
          <w:szCs w:val="28"/>
        </w:rPr>
        <w:t>. Sections 19(1)</w:t>
      </w:r>
      <w:r w:rsidR="008F3893" w:rsidRPr="00A04901">
        <w:rPr>
          <w:bCs/>
          <w:i/>
          <w:iCs/>
          <w:sz w:val="28"/>
          <w:szCs w:val="28"/>
        </w:rPr>
        <w:t>(a)</w:t>
      </w:r>
      <w:r w:rsidR="008F3893" w:rsidRPr="00A04901">
        <w:rPr>
          <w:bCs/>
          <w:sz w:val="28"/>
          <w:szCs w:val="28"/>
        </w:rPr>
        <w:t xml:space="preserve"> and </w:t>
      </w:r>
      <w:r w:rsidR="008F3893" w:rsidRPr="00A04901">
        <w:rPr>
          <w:bCs/>
          <w:i/>
          <w:iCs/>
          <w:sz w:val="28"/>
          <w:szCs w:val="28"/>
        </w:rPr>
        <w:t>(b)</w:t>
      </w:r>
      <w:r w:rsidR="00F9756A" w:rsidRPr="00A04901">
        <w:rPr>
          <w:bCs/>
          <w:sz w:val="28"/>
          <w:szCs w:val="28"/>
        </w:rPr>
        <w:t>,</w:t>
      </w:r>
      <w:r w:rsidR="00D66673" w:rsidRPr="00A04901">
        <w:rPr>
          <w:bCs/>
          <w:sz w:val="28"/>
          <w:szCs w:val="28"/>
        </w:rPr>
        <w:t xml:space="preserve"> </w:t>
      </w:r>
      <w:r w:rsidR="00020B9E" w:rsidRPr="00A04901">
        <w:rPr>
          <w:bCs/>
          <w:sz w:val="28"/>
          <w:szCs w:val="28"/>
        </w:rPr>
        <w:t xml:space="preserve">dealing with </w:t>
      </w:r>
      <w:r w:rsidR="00396D3A" w:rsidRPr="00A04901">
        <w:rPr>
          <w:bCs/>
          <w:sz w:val="28"/>
          <w:szCs w:val="28"/>
        </w:rPr>
        <w:t xml:space="preserve">the </w:t>
      </w:r>
      <w:r w:rsidR="00020B9E" w:rsidRPr="00A04901">
        <w:rPr>
          <w:bCs/>
          <w:sz w:val="28"/>
          <w:szCs w:val="28"/>
        </w:rPr>
        <w:t xml:space="preserve">legal status of companies </w:t>
      </w:r>
      <w:r w:rsidR="00D66673" w:rsidRPr="00A04901">
        <w:rPr>
          <w:bCs/>
          <w:sz w:val="28"/>
          <w:szCs w:val="28"/>
        </w:rPr>
        <w:t xml:space="preserve">provide that a company is a juristic person and that it has all the legal powers </w:t>
      </w:r>
      <w:r w:rsidR="00CD1A8E" w:rsidRPr="00A04901">
        <w:rPr>
          <w:bCs/>
          <w:sz w:val="28"/>
          <w:szCs w:val="28"/>
        </w:rPr>
        <w:t>and</w:t>
      </w:r>
      <w:r w:rsidR="00D66673" w:rsidRPr="00A04901">
        <w:rPr>
          <w:bCs/>
          <w:sz w:val="28"/>
          <w:szCs w:val="28"/>
        </w:rPr>
        <w:t xml:space="preserve"> capacity of an individual subject to certain exceptions.</w:t>
      </w:r>
      <w:r w:rsidR="00020B9E" w:rsidRPr="00A04901">
        <w:rPr>
          <w:bCs/>
          <w:sz w:val="28"/>
          <w:szCs w:val="28"/>
        </w:rPr>
        <w:t xml:space="preserve"> Section 19(2) expressly states that</w:t>
      </w:r>
      <w:r w:rsidR="00AC00F4" w:rsidRPr="00A04901">
        <w:rPr>
          <w:bCs/>
          <w:sz w:val="28"/>
          <w:szCs w:val="28"/>
        </w:rPr>
        <w:t>:</w:t>
      </w:r>
    </w:p>
    <w:p w14:paraId="7AE52AE3" w14:textId="54082795" w:rsidR="005544DE" w:rsidRPr="002F00D9" w:rsidRDefault="005544DE" w:rsidP="00F8280E">
      <w:pPr>
        <w:rPr>
          <w:bCs/>
          <w:sz w:val="28"/>
          <w:szCs w:val="28"/>
        </w:rPr>
      </w:pPr>
      <w:r w:rsidRPr="002F00D9">
        <w:rPr>
          <w:bCs/>
        </w:rPr>
        <w:t>‘A person is not, solely by reason of being an incorporator, shareholder or director of a company, liable for any liabilities or obligations of the company, except to the extent that this Act or the company’s Memorandum of Incorporation provides otherwise.’</w:t>
      </w:r>
    </w:p>
    <w:p w14:paraId="48EC97F7" w14:textId="77777777" w:rsidR="005544DE" w:rsidRPr="002F00D9" w:rsidRDefault="005544DE" w:rsidP="00F8280E">
      <w:pPr>
        <w:rPr>
          <w:bCs/>
          <w:sz w:val="28"/>
          <w:szCs w:val="28"/>
        </w:rPr>
      </w:pPr>
    </w:p>
    <w:p w14:paraId="0D41DDD4" w14:textId="1E67BFE8" w:rsidR="00C401FA" w:rsidRPr="00A04901" w:rsidRDefault="00A04901" w:rsidP="00A04901">
      <w:pPr>
        <w:rPr>
          <w:bCs/>
          <w:sz w:val="28"/>
          <w:szCs w:val="28"/>
        </w:rPr>
      </w:pPr>
      <w:r w:rsidRPr="002F00D9">
        <w:rPr>
          <w:sz w:val="28"/>
          <w:szCs w:val="28"/>
        </w:rPr>
        <w:t>[22]</w:t>
      </w:r>
      <w:r w:rsidRPr="002F00D9">
        <w:rPr>
          <w:sz w:val="28"/>
          <w:szCs w:val="28"/>
        </w:rPr>
        <w:tab/>
      </w:r>
      <w:r w:rsidR="0039592B" w:rsidRPr="00A04901">
        <w:rPr>
          <w:bCs/>
          <w:sz w:val="28"/>
          <w:szCs w:val="28"/>
        </w:rPr>
        <w:t xml:space="preserve">The situation is different where a company is a personal liability company. </w:t>
      </w:r>
      <w:r w:rsidR="00524679" w:rsidRPr="00A04901">
        <w:rPr>
          <w:bCs/>
          <w:sz w:val="28"/>
          <w:szCs w:val="28"/>
        </w:rPr>
        <w:t>In that</w:t>
      </w:r>
      <w:r w:rsidR="00CD1A8E" w:rsidRPr="00A04901">
        <w:rPr>
          <w:bCs/>
          <w:sz w:val="28"/>
          <w:szCs w:val="28"/>
        </w:rPr>
        <w:t xml:space="preserve"> case</w:t>
      </w:r>
      <w:r w:rsidR="00764BFE" w:rsidRPr="00A04901">
        <w:rPr>
          <w:bCs/>
          <w:sz w:val="28"/>
          <w:szCs w:val="28"/>
        </w:rPr>
        <w:t>, the directors and past directors are jointly and severally liable, together with the company, for any debts and liabilities of the company</w:t>
      </w:r>
      <w:r w:rsidR="00524679" w:rsidRPr="00A04901">
        <w:rPr>
          <w:bCs/>
          <w:sz w:val="28"/>
          <w:szCs w:val="28"/>
        </w:rPr>
        <w:t xml:space="preserve"> </w:t>
      </w:r>
      <w:r w:rsidR="00764BFE" w:rsidRPr="00A04901">
        <w:rPr>
          <w:bCs/>
          <w:sz w:val="28"/>
          <w:szCs w:val="28"/>
        </w:rPr>
        <w:t>(s</w:t>
      </w:r>
      <w:r w:rsidR="004329B5" w:rsidRPr="00A04901">
        <w:rPr>
          <w:bCs/>
          <w:sz w:val="28"/>
          <w:szCs w:val="28"/>
        </w:rPr>
        <w:t xml:space="preserve"> </w:t>
      </w:r>
      <w:r w:rsidR="0039592B" w:rsidRPr="00A04901">
        <w:rPr>
          <w:bCs/>
          <w:sz w:val="28"/>
          <w:szCs w:val="28"/>
        </w:rPr>
        <w:t>19(3)</w:t>
      </w:r>
      <w:r w:rsidR="00764BFE" w:rsidRPr="00A04901">
        <w:rPr>
          <w:bCs/>
          <w:sz w:val="28"/>
          <w:szCs w:val="28"/>
        </w:rPr>
        <w:t>). This exception serves to highlight the importance of the director’s default immunity.</w:t>
      </w:r>
      <w:r w:rsidR="00F53EE8" w:rsidRPr="00A04901">
        <w:rPr>
          <w:bCs/>
          <w:sz w:val="28"/>
          <w:szCs w:val="28"/>
        </w:rPr>
        <w:t xml:space="preserve"> </w:t>
      </w:r>
    </w:p>
    <w:p w14:paraId="07795847" w14:textId="77777777" w:rsidR="008C5697" w:rsidRPr="002F00D9" w:rsidRDefault="008C5697" w:rsidP="008C5697">
      <w:pPr>
        <w:rPr>
          <w:bCs/>
          <w:sz w:val="28"/>
          <w:szCs w:val="28"/>
        </w:rPr>
      </w:pPr>
    </w:p>
    <w:p w14:paraId="765BB77C" w14:textId="3D47D09D" w:rsidR="00835482" w:rsidRPr="00A04901" w:rsidRDefault="00A04901" w:rsidP="00A04901">
      <w:pPr>
        <w:rPr>
          <w:bCs/>
          <w:sz w:val="28"/>
          <w:szCs w:val="28"/>
        </w:rPr>
      </w:pPr>
      <w:r w:rsidRPr="002F00D9">
        <w:rPr>
          <w:sz w:val="28"/>
          <w:szCs w:val="28"/>
        </w:rPr>
        <w:t>[23]</w:t>
      </w:r>
      <w:r w:rsidRPr="002F00D9">
        <w:rPr>
          <w:sz w:val="28"/>
          <w:szCs w:val="28"/>
        </w:rPr>
        <w:tab/>
      </w:r>
      <w:r w:rsidR="00C401FA" w:rsidRPr="00A04901">
        <w:rPr>
          <w:bCs/>
          <w:sz w:val="28"/>
          <w:szCs w:val="28"/>
        </w:rPr>
        <w:t>In the case of unconscionable abuse of the juristic personality of the company</w:t>
      </w:r>
      <w:r w:rsidR="00F51B5E" w:rsidRPr="00A04901">
        <w:rPr>
          <w:bCs/>
          <w:sz w:val="28"/>
          <w:szCs w:val="28"/>
        </w:rPr>
        <w:t xml:space="preserve"> as a separate entity, </w:t>
      </w:r>
      <w:r w:rsidR="004E604F" w:rsidRPr="00A04901">
        <w:rPr>
          <w:bCs/>
          <w:sz w:val="28"/>
          <w:szCs w:val="28"/>
        </w:rPr>
        <w:t xml:space="preserve">s 20(9) provides that </w:t>
      </w:r>
      <w:r w:rsidR="00F51B5E" w:rsidRPr="00A04901">
        <w:rPr>
          <w:bCs/>
          <w:sz w:val="28"/>
          <w:szCs w:val="28"/>
        </w:rPr>
        <w:t xml:space="preserve">the court may declare the company not to be a juristic person in respect of any right, obligation or liability of </w:t>
      </w:r>
      <w:r w:rsidR="004E604F" w:rsidRPr="00A04901">
        <w:rPr>
          <w:bCs/>
          <w:sz w:val="28"/>
          <w:szCs w:val="28"/>
        </w:rPr>
        <w:t>the company</w:t>
      </w:r>
      <w:r w:rsidR="00F51B5E" w:rsidRPr="00A04901">
        <w:rPr>
          <w:bCs/>
          <w:sz w:val="28"/>
          <w:szCs w:val="28"/>
        </w:rPr>
        <w:t xml:space="preserve"> and make any further order it considers appropriate</w:t>
      </w:r>
      <w:r w:rsidR="004E604F" w:rsidRPr="00A04901">
        <w:rPr>
          <w:bCs/>
          <w:sz w:val="28"/>
          <w:szCs w:val="28"/>
        </w:rPr>
        <w:t>.</w:t>
      </w:r>
      <w:r w:rsidR="00835482" w:rsidRPr="00A04901">
        <w:rPr>
          <w:bCs/>
          <w:sz w:val="28"/>
          <w:szCs w:val="28"/>
        </w:rPr>
        <w:t xml:space="preserve"> </w:t>
      </w:r>
      <w:r w:rsidR="006B4042" w:rsidRPr="00A04901">
        <w:rPr>
          <w:bCs/>
          <w:sz w:val="28"/>
          <w:szCs w:val="28"/>
        </w:rPr>
        <w:t>It has been stated that t</w:t>
      </w:r>
      <w:r w:rsidR="00835482" w:rsidRPr="00A04901">
        <w:rPr>
          <w:bCs/>
          <w:sz w:val="28"/>
          <w:szCs w:val="28"/>
        </w:rPr>
        <w:t>his</w:t>
      </w:r>
      <w:r w:rsidR="00577867" w:rsidRPr="00A04901">
        <w:rPr>
          <w:bCs/>
          <w:sz w:val="28"/>
          <w:szCs w:val="28"/>
        </w:rPr>
        <w:t xml:space="preserve"> provision </w:t>
      </w:r>
      <w:r w:rsidR="00835482" w:rsidRPr="00A04901">
        <w:rPr>
          <w:bCs/>
          <w:sz w:val="28"/>
          <w:szCs w:val="28"/>
        </w:rPr>
        <w:t xml:space="preserve">does not disregard the company as a separate entity. </w:t>
      </w:r>
      <w:r w:rsidR="006B4042" w:rsidRPr="00A04901">
        <w:rPr>
          <w:bCs/>
          <w:sz w:val="28"/>
          <w:szCs w:val="28"/>
        </w:rPr>
        <w:t xml:space="preserve">It </w:t>
      </w:r>
      <w:r w:rsidR="00835482" w:rsidRPr="00A04901">
        <w:rPr>
          <w:bCs/>
          <w:sz w:val="28"/>
          <w:szCs w:val="28"/>
        </w:rPr>
        <w:t xml:space="preserve">also does not </w:t>
      </w:r>
      <w:r w:rsidR="00FC3C7F" w:rsidRPr="00A04901">
        <w:rPr>
          <w:bCs/>
          <w:sz w:val="28"/>
          <w:szCs w:val="28"/>
        </w:rPr>
        <w:t xml:space="preserve">do away with </w:t>
      </w:r>
      <w:r w:rsidR="00835482" w:rsidRPr="00A04901">
        <w:rPr>
          <w:bCs/>
          <w:sz w:val="28"/>
          <w:szCs w:val="28"/>
        </w:rPr>
        <w:t xml:space="preserve">the requirements </w:t>
      </w:r>
      <w:r w:rsidR="009C6858" w:rsidRPr="00A04901">
        <w:rPr>
          <w:bCs/>
          <w:sz w:val="28"/>
          <w:szCs w:val="28"/>
        </w:rPr>
        <w:t>for</w:t>
      </w:r>
      <w:r w:rsidR="00577867" w:rsidRPr="00A04901">
        <w:rPr>
          <w:bCs/>
          <w:sz w:val="28"/>
          <w:szCs w:val="28"/>
        </w:rPr>
        <w:t xml:space="preserve"> </w:t>
      </w:r>
      <w:r w:rsidR="00835482" w:rsidRPr="00A04901">
        <w:rPr>
          <w:bCs/>
          <w:sz w:val="28"/>
          <w:szCs w:val="28"/>
        </w:rPr>
        <w:t xml:space="preserve">piercing the corporate veil. </w:t>
      </w:r>
      <w:r w:rsidR="00936F14" w:rsidRPr="00A04901">
        <w:rPr>
          <w:bCs/>
          <w:sz w:val="28"/>
          <w:szCs w:val="28"/>
        </w:rPr>
        <w:t xml:space="preserve">It </w:t>
      </w:r>
      <w:r w:rsidR="00577867" w:rsidRPr="00A04901">
        <w:rPr>
          <w:bCs/>
          <w:sz w:val="28"/>
          <w:szCs w:val="28"/>
        </w:rPr>
        <w:t>‘</w:t>
      </w:r>
      <w:r w:rsidR="00577867" w:rsidRPr="00A04901">
        <w:rPr>
          <w:color w:val="242121"/>
          <w:sz w:val="28"/>
          <w:szCs w:val="28"/>
          <w:shd w:val="clear" w:color="auto" w:fill="FFFFFF"/>
        </w:rPr>
        <w:t>broadens the bases upon which the courts in this country…</w:t>
      </w:r>
      <w:r w:rsidR="00A06278" w:rsidRPr="00A04901">
        <w:rPr>
          <w:color w:val="242121"/>
          <w:sz w:val="28"/>
          <w:szCs w:val="28"/>
          <w:shd w:val="clear" w:color="auto" w:fill="FFFFFF"/>
        </w:rPr>
        <w:t xml:space="preserve"> </w:t>
      </w:r>
      <w:r w:rsidR="00577867" w:rsidRPr="00A04901">
        <w:rPr>
          <w:color w:val="242121"/>
          <w:sz w:val="28"/>
          <w:szCs w:val="28"/>
          <w:shd w:val="clear" w:color="auto" w:fill="FFFFFF"/>
        </w:rPr>
        <w:t>have hitherto been prepared to grant relief that entails disregarding corporate personality. </w:t>
      </w:r>
      <w:hyperlink r:id="rId9" w:anchor="s20" w:history="1">
        <w:r w:rsidR="00577867" w:rsidRPr="00A04901">
          <w:rPr>
            <w:rStyle w:val="Hyperlink"/>
            <w:color w:val="auto"/>
            <w:sz w:val="28"/>
            <w:szCs w:val="28"/>
            <w:u w:val="none"/>
            <w:shd w:val="clear" w:color="auto" w:fill="FFFFFF"/>
          </w:rPr>
          <w:t>Section 20(9)</w:t>
        </w:r>
      </w:hyperlink>
      <w:r w:rsidR="00577867" w:rsidRPr="00A04901">
        <w:rPr>
          <w:sz w:val="28"/>
          <w:szCs w:val="28"/>
          <w:shd w:val="clear" w:color="auto" w:fill="FFFFFF"/>
        </w:rPr>
        <w:t xml:space="preserve">, therefore </w:t>
      </w:r>
      <w:r w:rsidR="00577867" w:rsidRPr="00A04901">
        <w:rPr>
          <w:color w:val="242121"/>
          <w:sz w:val="28"/>
          <w:szCs w:val="28"/>
          <w:shd w:val="clear" w:color="auto" w:fill="FFFFFF"/>
        </w:rPr>
        <w:t>does not replace the common law, it supplements the common law.</w:t>
      </w:r>
      <w:r w:rsidR="006B4042" w:rsidRPr="00A04901">
        <w:rPr>
          <w:color w:val="242121"/>
          <w:sz w:val="28"/>
          <w:szCs w:val="28"/>
          <w:shd w:val="clear" w:color="auto" w:fill="FFFFFF"/>
        </w:rPr>
        <w:t>’</w:t>
      </w:r>
      <w:r w:rsidR="00577867" w:rsidRPr="002F00D9">
        <w:rPr>
          <w:rStyle w:val="FootnoteReference"/>
          <w:color w:val="242121"/>
          <w:sz w:val="28"/>
          <w:szCs w:val="28"/>
          <w:shd w:val="clear" w:color="auto" w:fill="FFFFFF"/>
        </w:rPr>
        <w:footnoteReference w:id="15"/>
      </w:r>
      <w:r w:rsidR="00936F14" w:rsidRPr="00A04901">
        <w:rPr>
          <w:bCs/>
          <w:sz w:val="28"/>
          <w:szCs w:val="28"/>
        </w:rPr>
        <w:t xml:space="preserve"> </w:t>
      </w:r>
      <w:r w:rsidR="008F04F2" w:rsidRPr="00A04901">
        <w:rPr>
          <w:bCs/>
          <w:sz w:val="28"/>
          <w:szCs w:val="28"/>
        </w:rPr>
        <w:t xml:space="preserve"> </w:t>
      </w:r>
    </w:p>
    <w:p w14:paraId="379AF520" w14:textId="77777777" w:rsidR="00835482" w:rsidRPr="002F00D9" w:rsidRDefault="00835482" w:rsidP="00F8280E">
      <w:pPr>
        <w:pStyle w:val="ListParagraph"/>
        <w:rPr>
          <w:bCs/>
          <w:sz w:val="28"/>
          <w:szCs w:val="28"/>
        </w:rPr>
      </w:pPr>
    </w:p>
    <w:p w14:paraId="6E6AAE67" w14:textId="1825B4EB" w:rsidR="0020634A" w:rsidRPr="00A04901" w:rsidRDefault="00A04901" w:rsidP="00A04901">
      <w:pPr>
        <w:rPr>
          <w:sz w:val="28"/>
          <w:szCs w:val="28"/>
        </w:rPr>
      </w:pPr>
      <w:r w:rsidRPr="002F00D9">
        <w:rPr>
          <w:sz w:val="28"/>
          <w:szCs w:val="28"/>
        </w:rPr>
        <w:t>[24]</w:t>
      </w:r>
      <w:r w:rsidRPr="002F00D9">
        <w:rPr>
          <w:sz w:val="28"/>
          <w:szCs w:val="28"/>
        </w:rPr>
        <w:tab/>
      </w:r>
      <w:r w:rsidR="008D5A2B" w:rsidRPr="00A04901">
        <w:rPr>
          <w:bCs/>
          <w:sz w:val="28"/>
          <w:szCs w:val="28"/>
        </w:rPr>
        <w:t xml:space="preserve">These </w:t>
      </w:r>
      <w:r w:rsidR="0020634A" w:rsidRPr="00A04901">
        <w:rPr>
          <w:bCs/>
          <w:sz w:val="28"/>
          <w:szCs w:val="28"/>
        </w:rPr>
        <w:t>provisions emphasise</w:t>
      </w:r>
      <w:r w:rsidR="00A06278" w:rsidRPr="00A04901">
        <w:rPr>
          <w:bCs/>
          <w:sz w:val="28"/>
          <w:szCs w:val="28"/>
        </w:rPr>
        <w:t xml:space="preserve"> </w:t>
      </w:r>
      <w:r w:rsidR="008D5A2B" w:rsidRPr="00A04901">
        <w:rPr>
          <w:bCs/>
          <w:sz w:val="28"/>
          <w:szCs w:val="28"/>
        </w:rPr>
        <w:t xml:space="preserve">the </w:t>
      </w:r>
      <w:r w:rsidR="00E760D3" w:rsidRPr="00A04901">
        <w:rPr>
          <w:bCs/>
          <w:sz w:val="28"/>
          <w:szCs w:val="28"/>
        </w:rPr>
        <w:t>long-standing</w:t>
      </w:r>
      <w:r w:rsidR="008D5A2B" w:rsidRPr="00A04901">
        <w:rPr>
          <w:bCs/>
          <w:sz w:val="28"/>
          <w:szCs w:val="28"/>
        </w:rPr>
        <w:t xml:space="preserve"> legal principles</w:t>
      </w:r>
      <w:r w:rsidR="000A482F" w:rsidRPr="00A04901">
        <w:rPr>
          <w:bCs/>
          <w:sz w:val="28"/>
          <w:szCs w:val="28"/>
        </w:rPr>
        <w:t xml:space="preserve"> that the company’s legal persona cannot be </w:t>
      </w:r>
      <w:r w:rsidR="00A06278" w:rsidRPr="00A04901">
        <w:rPr>
          <w:bCs/>
          <w:sz w:val="28"/>
          <w:szCs w:val="28"/>
        </w:rPr>
        <w:t xml:space="preserve">ignored </w:t>
      </w:r>
      <w:r w:rsidR="000A482F" w:rsidRPr="00A04901">
        <w:rPr>
          <w:bCs/>
          <w:sz w:val="28"/>
          <w:szCs w:val="28"/>
        </w:rPr>
        <w:t xml:space="preserve">at the choosing of a party. As this Court said in </w:t>
      </w:r>
      <w:r w:rsidR="000A482F" w:rsidRPr="00A04901">
        <w:rPr>
          <w:bCs/>
          <w:i/>
          <w:iCs/>
          <w:sz w:val="28"/>
          <w:szCs w:val="28"/>
        </w:rPr>
        <w:t>Hlumisa</w:t>
      </w:r>
      <w:r w:rsidR="000A482F" w:rsidRPr="00A04901">
        <w:rPr>
          <w:bCs/>
          <w:sz w:val="28"/>
          <w:szCs w:val="28"/>
        </w:rPr>
        <w:t xml:space="preserve">, the separate personality </w:t>
      </w:r>
      <w:r w:rsidR="008C5697" w:rsidRPr="00A04901">
        <w:rPr>
          <w:bCs/>
          <w:sz w:val="28"/>
          <w:szCs w:val="28"/>
        </w:rPr>
        <w:t xml:space="preserve">is </w:t>
      </w:r>
      <w:r w:rsidR="000A482F" w:rsidRPr="00A04901">
        <w:rPr>
          <w:bCs/>
          <w:sz w:val="28"/>
          <w:szCs w:val="28"/>
        </w:rPr>
        <w:t>‘no mere technicality. It is foundational to company law.’</w:t>
      </w:r>
      <w:r w:rsidR="000A482F" w:rsidRPr="002F00D9">
        <w:rPr>
          <w:rStyle w:val="FootnoteReference"/>
          <w:bCs/>
          <w:sz w:val="28"/>
          <w:szCs w:val="28"/>
        </w:rPr>
        <w:footnoteReference w:id="16"/>
      </w:r>
      <w:r w:rsidR="000A482F" w:rsidRPr="00A04901">
        <w:rPr>
          <w:bCs/>
          <w:sz w:val="28"/>
          <w:szCs w:val="28"/>
        </w:rPr>
        <w:t xml:space="preserve"> </w:t>
      </w:r>
      <w:r w:rsidR="00EE0979" w:rsidRPr="00A04901">
        <w:rPr>
          <w:bCs/>
          <w:sz w:val="28"/>
          <w:szCs w:val="28"/>
        </w:rPr>
        <w:t>A party cannot simply disregard the ‘corporate veil’</w:t>
      </w:r>
      <w:r w:rsidR="00D42E59" w:rsidRPr="00A04901">
        <w:rPr>
          <w:bCs/>
          <w:sz w:val="28"/>
          <w:szCs w:val="28"/>
        </w:rPr>
        <w:t>;</w:t>
      </w:r>
      <w:r w:rsidR="00EE0979" w:rsidRPr="00A04901">
        <w:rPr>
          <w:bCs/>
          <w:sz w:val="28"/>
          <w:szCs w:val="28"/>
        </w:rPr>
        <w:t xml:space="preserve"> it must be permitted by law to do so.</w:t>
      </w:r>
      <w:r w:rsidR="0020634A" w:rsidRPr="00A04901">
        <w:rPr>
          <w:bCs/>
          <w:sz w:val="28"/>
          <w:szCs w:val="28"/>
        </w:rPr>
        <w:t xml:space="preserve"> Against these principles as the backdrop, I turn to the interpretation of s 218(2) read with s 22(1). </w:t>
      </w:r>
    </w:p>
    <w:p w14:paraId="66838D8E" w14:textId="77777777" w:rsidR="0020634A" w:rsidRPr="002F00D9" w:rsidRDefault="0020634A" w:rsidP="00F8280E">
      <w:pPr>
        <w:pStyle w:val="ListParagraph"/>
        <w:ind w:left="0"/>
        <w:rPr>
          <w:b/>
          <w:sz w:val="28"/>
          <w:szCs w:val="28"/>
        </w:rPr>
      </w:pPr>
    </w:p>
    <w:p w14:paraId="19240A12" w14:textId="355705BA" w:rsidR="0077508A" w:rsidRPr="002F00D9" w:rsidRDefault="0077508A" w:rsidP="00F8280E">
      <w:pPr>
        <w:pStyle w:val="ListParagraph"/>
        <w:ind w:left="0"/>
        <w:rPr>
          <w:sz w:val="28"/>
          <w:szCs w:val="28"/>
        </w:rPr>
      </w:pPr>
      <w:r w:rsidRPr="002F00D9">
        <w:rPr>
          <w:b/>
          <w:sz w:val="28"/>
          <w:szCs w:val="28"/>
        </w:rPr>
        <w:t>Interpretation of the relevant provisions</w:t>
      </w:r>
    </w:p>
    <w:p w14:paraId="4CE7F4E2" w14:textId="389E9904" w:rsidR="0020634A" w:rsidRPr="00A04901" w:rsidRDefault="00A04901" w:rsidP="00A04901">
      <w:pPr>
        <w:rPr>
          <w:bCs/>
          <w:sz w:val="28"/>
          <w:szCs w:val="28"/>
        </w:rPr>
      </w:pPr>
      <w:r w:rsidRPr="002F00D9">
        <w:rPr>
          <w:sz w:val="28"/>
          <w:szCs w:val="28"/>
        </w:rPr>
        <w:t>[25]</w:t>
      </w:r>
      <w:r w:rsidRPr="002F00D9">
        <w:rPr>
          <w:sz w:val="28"/>
          <w:szCs w:val="28"/>
        </w:rPr>
        <w:tab/>
      </w:r>
      <w:r w:rsidR="0020634A" w:rsidRPr="00A04901">
        <w:rPr>
          <w:bCs/>
          <w:sz w:val="28"/>
          <w:szCs w:val="28"/>
        </w:rPr>
        <w:t xml:space="preserve">The plaintiff’s case is based on a statutory duty. </w:t>
      </w:r>
      <w:r w:rsidR="0077508A" w:rsidRPr="00A04901">
        <w:rPr>
          <w:bCs/>
          <w:sz w:val="28"/>
          <w:szCs w:val="28"/>
        </w:rPr>
        <w:t xml:space="preserve">Interpretation of statutes ‘is an objective unitary process where consideration must be given to the language used in the light of ordinary rules of grammar and syntax; the context in which the </w:t>
      </w:r>
      <w:r w:rsidR="0077508A" w:rsidRPr="00A04901">
        <w:rPr>
          <w:bCs/>
          <w:sz w:val="28"/>
          <w:szCs w:val="28"/>
        </w:rPr>
        <w:lastRenderedPageBreak/>
        <w:t>provision appears; the apparent purpose to which it is directed and the material known to those responsible for its production. The inevitable point of departure is the language used in the provision under consideration.’</w:t>
      </w:r>
      <w:r w:rsidR="0077508A" w:rsidRPr="002F00D9">
        <w:rPr>
          <w:rStyle w:val="FootnoteReference"/>
          <w:bCs/>
          <w:sz w:val="28"/>
          <w:szCs w:val="28"/>
        </w:rPr>
        <w:footnoteReference w:id="17"/>
      </w:r>
      <w:r w:rsidR="0077508A" w:rsidRPr="00A04901">
        <w:rPr>
          <w:bCs/>
          <w:sz w:val="28"/>
          <w:szCs w:val="28"/>
        </w:rPr>
        <w:t xml:space="preserve">  </w:t>
      </w:r>
    </w:p>
    <w:p w14:paraId="59587CF0" w14:textId="49648332" w:rsidR="003676B5" w:rsidRPr="00A04901" w:rsidRDefault="00A04901" w:rsidP="00A04901">
      <w:pPr>
        <w:rPr>
          <w:sz w:val="28"/>
          <w:szCs w:val="28"/>
        </w:rPr>
      </w:pPr>
      <w:r w:rsidRPr="002F00D9">
        <w:rPr>
          <w:sz w:val="28"/>
          <w:szCs w:val="28"/>
        </w:rPr>
        <w:t>[26]</w:t>
      </w:r>
      <w:r w:rsidRPr="002F00D9">
        <w:rPr>
          <w:sz w:val="28"/>
          <w:szCs w:val="28"/>
        </w:rPr>
        <w:tab/>
      </w:r>
      <w:r w:rsidR="003676B5" w:rsidRPr="00A04901">
        <w:rPr>
          <w:sz w:val="28"/>
          <w:szCs w:val="28"/>
        </w:rPr>
        <w:t>Section 218 (2) says:</w:t>
      </w:r>
    </w:p>
    <w:p w14:paraId="3A1718BB" w14:textId="086F24E0" w:rsidR="003676B5" w:rsidRPr="002F00D9" w:rsidRDefault="003676B5" w:rsidP="0032219C">
      <w:pPr>
        <w:rPr>
          <w:bCs/>
        </w:rPr>
      </w:pPr>
      <w:r w:rsidRPr="002F00D9">
        <w:t>‘</w:t>
      </w:r>
      <w:r w:rsidRPr="002F00D9">
        <w:rPr>
          <w:bCs/>
        </w:rPr>
        <w:t xml:space="preserve">Any person who contravenes any </w:t>
      </w:r>
      <w:r w:rsidRPr="002F00D9">
        <w:rPr>
          <w:bCs/>
          <w:i/>
          <w:iCs/>
        </w:rPr>
        <w:t>provision of this Act</w:t>
      </w:r>
      <w:r w:rsidRPr="002F00D9">
        <w:rPr>
          <w:bCs/>
        </w:rPr>
        <w:t xml:space="preserve"> is liable to any other person for any loss or damage suffered by that person as a result of that contravention.’</w:t>
      </w:r>
      <w:r w:rsidR="00DD0431" w:rsidRPr="002F00D9">
        <w:rPr>
          <w:bCs/>
        </w:rPr>
        <w:t xml:space="preserve"> (Emphasis added</w:t>
      </w:r>
      <w:r w:rsidR="004B082A" w:rsidRPr="002F00D9">
        <w:rPr>
          <w:bCs/>
        </w:rPr>
        <w:t>.</w:t>
      </w:r>
      <w:r w:rsidR="00DD0431" w:rsidRPr="002F00D9">
        <w:rPr>
          <w:bCs/>
        </w:rPr>
        <w:t>)</w:t>
      </w:r>
    </w:p>
    <w:p w14:paraId="1D822C4D" w14:textId="11F9FB53" w:rsidR="00672C35" w:rsidRPr="002F00D9" w:rsidRDefault="00672C35" w:rsidP="0032219C">
      <w:pPr>
        <w:rPr>
          <w:sz w:val="28"/>
          <w:szCs w:val="28"/>
        </w:rPr>
      </w:pPr>
      <w:r w:rsidRPr="002F00D9">
        <w:rPr>
          <w:sz w:val="28"/>
          <w:szCs w:val="28"/>
        </w:rPr>
        <w:t xml:space="preserve">This section creates a right to </w:t>
      </w:r>
      <w:r w:rsidR="002D4241" w:rsidRPr="002F00D9">
        <w:rPr>
          <w:sz w:val="28"/>
          <w:szCs w:val="28"/>
        </w:rPr>
        <w:t>recovery if</w:t>
      </w:r>
      <w:r w:rsidRPr="002F00D9">
        <w:rPr>
          <w:sz w:val="28"/>
          <w:szCs w:val="28"/>
        </w:rPr>
        <w:t xml:space="preserve"> there has been a breach of </w:t>
      </w:r>
      <w:r w:rsidR="000320B1" w:rsidRPr="002F00D9">
        <w:rPr>
          <w:sz w:val="28"/>
          <w:szCs w:val="28"/>
        </w:rPr>
        <w:t>a provision</w:t>
      </w:r>
      <w:r w:rsidR="00A06278" w:rsidRPr="002F00D9">
        <w:rPr>
          <w:sz w:val="28"/>
          <w:szCs w:val="28"/>
        </w:rPr>
        <w:t xml:space="preserve"> of </w:t>
      </w:r>
      <w:r w:rsidRPr="002F00D9">
        <w:rPr>
          <w:sz w:val="28"/>
          <w:szCs w:val="28"/>
        </w:rPr>
        <w:t>the Act.</w:t>
      </w:r>
      <w:r w:rsidR="002D4241" w:rsidRPr="002F00D9">
        <w:rPr>
          <w:sz w:val="28"/>
          <w:szCs w:val="28"/>
        </w:rPr>
        <w:t xml:space="preserve"> </w:t>
      </w:r>
      <w:r w:rsidR="001F3B96" w:rsidRPr="002F00D9">
        <w:rPr>
          <w:sz w:val="28"/>
          <w:szCs w:val="28"/>
        </w:rPr>
        <w:t xml:space="preserve">‘When a wrongdoer </w:t>
      </w:r>
      <w:r w:rsidR="00947FA3" w:rsidRPr="002F00D9">
        <w:rPr>
          <w:sz w:val="28"/>
          <w:szCs w:val="28"/>
        </w:rPr>
        <w:t>“</w:t>
      </w:r>
      <w:r w:rsidR="001F3B96" w:rsidRPr="002F00D9">
        <w:rPr>
          <w:sz w:val="28"/>
          <w:szCs w:val="28"/>
        </w:rPr>
        <w:t>contravenes</w:t>
      </w:r>
      <w:r w:rsidR="00947FA3" w:rsidRPr="002F00D9">
        <w:rPr>
          <w:sz w:val="28"/>
          <w:szCs w:val="28"/>
        </w:rPr>
        <w:t>”</w:t>
      </w:r>
      <w:r w:rsidR="001F3B96" w:rsidRPr="002F00D9">
        <w:rPr>
          <w:sz w:val="28"/>
          <w:szCs w:val="28"/>
        </w:rPr>
        <w:t xml:space="preserve"> the Act and causes loss to a person, the wrongdoer is liable to that person…t</w:t>
      </w:r>
      <w:r w:rsidR="002D4241" w:rsidRPr="002F00D9">
        <w:rPr>
          <w:sz w:val="28"/>
          <w:szCs w:val="28"/>
        </w:rPr>
        <w:t xml:space="preserve">he word </w:t>
      </w:r>
      <w:r w:rsidR="00947FA3" w:rsidRPr="002F00D9">
        <w:rPr>
          <w:sz w:val="28"/>
          <w:szCs w:val="28"/>
        </w:rPr>
        <w:t>“</w:t>
      </w:r>
      <w:r w:rsidR="002D4241" w:rsidRPr="002F00D9">
        <w:rPr>
          <w:sz w:val="28"/>
          <w:szCs w:val="28"/>
        </w:rPr>
        <w:t>contravenes</w:t>
      </w:r>
      <w:r w:rsidR="00947FA3" w:rsidRPr="002F00D9">
        <w:rPr>
          <w:sz w:val="28"/>
          <w:szCs w:val="28"/>
        </w:rPr>
        <w:t>”</w:t>
      </w:r>
      <w:r w:rsidR="00947FA3" w:rsidRPr="002F00D9">
        <w:t xml:space="preserve"> </w:t>
      </w:r>
      <w:r w:rsidR="00947FA3" w:rsidRPr="002F00D9">
        <w:rPr>
          <w:sz w:val="28"/>
          <w:szCs w:val="28"/>
        </w:rPr>
        <w:t>in s 218(2)</w:t>
      </w:r>
      <w:r w:rsidR="002D4241" w:rsidRPr="002F00D9">
        <w:rPr>
          <w:sz w:val="28"/>
          <w:szCs w:val="28"/>
        </w:rPr>
        <w:t xml:space="preserve"> includes a breach or an infringement of any provision of the Act, </w:t>
      </w:r>
      <w:r w:rsidR="00947FA3" w:rsidRPr="002F00D9">
        <w:rPr>
          <w:sz w:val="28"/>
          <w:szCs w:val="28"/>
        </w:rPr>
        <w:t>“</w:t>
      </w:r>
      <w:r w:rsidR="002D4241" w:rsidRPr="002F00D9">
        <w:rPr>
          <w:sz w:val="28"/>
          <w:szCs w:val="28"/>
        </w:rPr>
        <w:t>which is by nature prescriptive or which in some way regulates conduct</w:t>
      </w:r>
      <w:r w:rsidR="00947FA3" w:rsidRPr="002F00D9">
        <w:rPr>
          <w:sz w:val="28"/>
          <w:szCs w:val="28"/>
        </w:rPr>
        <w:t>”</w:t>
      </w:r>
      <w:r w:rsidR="002D4241" w:rsidRPr="002F00D9">
        <w:rPr>
          <w:sz w:val="28"/>
          <w:szCs w:val="28"/>
        </w:rPr>
        <w:t>.’</w:t>
      </w:r>
      <w:r w:rsidR="002D4241" w:rsidRPr="002F00D9">
        <w:rPr>
          <w:rStyle w:val="FootnoteReference"/>
          <w:sz w:val="28"/>
          <w:szCs w:val="28"/>
        </w:rPr>
        <w:footnoteReference w:id="18"/>
      </w:r>
      <w:r w:rsidR="002D4241" w:rsidRPr="002F00D9">
        <w:rPr>
          <w:sz w:val="28"/>
          <w:szCs w:val="28"/>
        </w:rPr>
        <w:t xml:space="preserve">      </w:t>
      </w:r>
      <w:r w:rsidRPr="002F00D9">
        <w:rPr>
          <w:sz w:val="28"/>
          <w:szCs w:val="28"/>
        </w:rPr>
        <w:t xml:space="preserve">   </w:t>
      </w:r>
    </w:p>
    <w:p w14:paraId="72418EFB" w14:textId="6DD19D08" w:rsidR="00672C35" w:rsidRPr="002F00D9" w:rsidRDefault="00672C35" w:rsidP="00F8280E">
      <w:pPr>
        <w:rPr>
          <w:sz w:val="28"/>
          <w:szCs w:val="28"/>
        </w:rPr>
      </w:pPr>
      <w:r w:rsidRPr="002F00D9">
        <w:rPr>
          <w:sz w:val="28"/>
          <w:szCs w:val="28"/>
        </w:rPr>
        <w:t xml:space="preserve"> </w:t>
      </w:r>
    </w:p>
    <w:p w14:paraId="5E83D7DA" w14:textId="6721371D" w:rsidR="00CB18B4" w:rsidRPr="00A04901" w:rsidRDefault="00A04901" w:rsidP="00A04901">
      <w:pPr>
        <w:rPr>
          <w:sz w:val="28"/>
          <w:szCs w:val="28"/>
        </w:rPr>
      </w:pPr>
      <w:r w:rsidRPr="002F00D9">
        <w:rPr>
          <w:sz w:val="28"/>
          <w:szCs w:val="28"/>
        </w:rPr>
        <w:t>[27]</w:t>
      </w:r>
      <w:r w:rsidRPr="002F00D9">
        <w:rPr>
          <w:sz w:val="28"/>
          <w:szCs w:val="28"/>
        </w:rPr>
        <w:tab/>
      </w:r>
      <w:r w:rsidR="001F3B96" w:rsidRPr="00A04901">
        <w:rPr>
          <w:sz w:val="28"/>
          <w:szCs w:val="28"/>
        </w:rPr>
        <w:t xml:space="preserve">This section does not itself </w:t>
      </w:r>
      <w:r w:rsidR="00A06278" w:rsidRPr="00A04901">
        <w:rPr>
          <w:sz w:val="28"/>
          <w:szCs w:val="28"/>
        </w:rPr>
        <w:t xml:space="preserve">create </w:t>
      </w:r>
      <w:r w:rsidR="001F3B96" w:rsidRPr="00A04901">
        <w:rPr>
          <w:sz w:val="28"/>
          <w:szCs w:val="28"/>
        </w:rPr>
        <w:t xml:space="preserve">liability. It </w:t>
      </w:r>
      <w:r w:rsidR="00A06278" w:rsidRPr="00A04901">
        <w:rPr>
          <w:sz w:val="28"/>
          <w:szCs w:val="28"/>
        </w:rPr>
        <w:t>imposes</w:t>
      </w:r>
      <w:r w:rsidR="001F3B96" w:rsidRPr="00A04901">
        <w:rPr>
          <w:sz w:val="28"/>
          <w:szCs w:val="28"/>
        </w:rPr>
        <w:t xml:space="preserve"> liability </w:t>
      </w:r>
      <w:r w:rsidR="00A06278" w:rsidRPr="00A04901">
        <w:rPr>
          <w:sz w:val="28"/>
          <w:szCs w:val="28"/>
        </w:rPr>
        <w:t xml:space="preserve">in the event of a </w:t>
      </w:r>
      <w:r w:rsidR="001F3B96" w:rsidRPr="00A04901">
        <w:rPr>
          <w:sz w:val="28"/>
          <w:szCs w:val="28"/>
        </w:rPr>
        <w:t xml:space="preserve">contravention of </w:t>
      </w:r>
      <w:r w:rsidR="00923060" w:rsidRPr="00A04901">
        <w:rPr>
          <w:sz w:val="28"/>
          <w:szCs w:val="28"/>
        </w:rPr>
        <w:t xml:space="preserve">some other provision </w:t>
      </w:r>
      <w:r w:rsidR="0020634A" w:rsidRPr="00A04901">
        <w:rPr>
          <w:sz w:val="28"/>
          <w:szCs w:val="28"/>
        </w:rPr>
        <w:t xml:space="preserve">of </w:t>
      </w:r>
      <w:r w:rsidR="001F3B96" w:rsidRPr="00A04901">
        <w:rPr>
          <w:sz w:val="28"/>
          <w:szCs w:val="28"/>
        </w:rPr>
        <w:t xml:space="preserve">the Act. </w:t>
      </w:r>
      <w:r w:rsidR="00CB18B4" w:rsidRPr="00A04901">
        <w:rPr>
          <w:sz w:val="28"/>
          <w:szCs w:val="28"/>
        </w:rPr>
        <w:t xml:space="preserve">As was held in </w:t>
      </w:r>
      <w:r w:rsidR="00CB18B4" w:rsidRPr="00A04901">
        <w:rPr>
          <w:i/>
          <w:iCs/>
          <w:sz w:val="28"/>
          <w:szCs w:val="28"/>
        </w:rPr>
        <w:t>Steinhoff</w:t>
      </w:r>
      <w:r w:rsidR="00CB18B4" w:rsidRPr="00A04901">
        <w:rPr>
          <w:sz w:val="28"/>
          <w:szCs w:val="28"/>
        </w:rPr>
        <w:t>:</w:t>
      </w:r>
      <w:r w:rsidR="004559EE" w:rsidRPr="002F00D9">
        <w:rPr>
          <w:rStyle w:val="FootnoteReference"/>
          <w:sz w:val="28"/>
          <w:szCs w:val="28"/>
        </w:rPr>
        <w:footnoteReference w:id="19"/>
      </w:r>
    </w:p>
    <w:p w14:paraId="26BFD5C5" w14:textId="785562F0" w:rsidR="002C15FE" w:rsidRPr="002F00D9" w:rsidRDefault="00CB18B4" w:rsidP="00F8280E">
      <w:pPr>
        <w:pStyle w:val="ListParagraph"/>
        <w:ind w:left="0"/>
      </w:pPr>
      <w:r w:rsidRPr="002F00D9">
        <w:t>‘</w:t>
      </w:r>
      <w:r w:rsidR="004559EE" w:rsidRPr="002F00D9">
        <w:t>[</w:t>
      </w:r>
      <w:r w:rsidR="001F64DB" w:rsidRPr="002F00D9">
        <w:t>T</w:t>
      </w:r>
      <w:r w:rsidR="004559EE" w:rsidRPr="002F00D9">
        <w:t>]</w:t>
      </w:r>
      <w:r w:rsidR="001F64DB" w:rsidRPr="002F00D9">
        <w:t>he statute confers a right of action. But what that right consists of</w:t>
      </w:r>
      <w:r w:rsidR="002C15FE" w:rsidRPr="002F00D9">
        <w:t>, who enjoys the right, and against whom the right may be exercised are all issues to be resolved by reference to the substantive provisions of the Companies Act.</w:t>
      </w:r>
    </w:p>
    <w:p w14:paraId="01C6D5AE" w14:textId="761FFB4D" w:rsidR="00733B5B" w:rsidRPr="002F00D9" w:rsidRDefault="002C15FE" w:rsidP="00F8280E">
      <w:pPr>
        <w:pStyle w:val="ListParagraph"/>
        <w:ind w:left="0"/>
      </w:pPr>
      <w:r w:rsidRPr="002F00D9">
        <w:t xml:space="preserve">Such an interpretation answers another difficulty that the literal interpretation of s 218(2) does not. As </w:t>
      </w:r>
      <w:r w:rsidRPr="002F00D9">
        <w:rPr>
          <w:i/>
          <w:iCs/>
        </w:rPr>
        <w:t>Hlumisa</w:t>
      </w:r>
      <w:r w:rsidR="00B00665" w:rsidRPr="002F00D9">
        <w:rPr>
          <w:rStyle w:val="FootnoteReference"/>
        </w:rPr>
        <w:footnoteReference w:id="20"/>
      </w:r>
      <w:r w:rsidRPr="002F00D9">
        <w:t xml:space="preserve"> observed, can </w:t>
      </w:r>
      <w:r w:rsidR="004559EE" w:rsidRPr="002F00D9">
        <w:t xml:space="preserve">s </w:t>
      </w:r>
      <w:r w:rsidRPr="002F00D9">
        <w:t>218(2)</w:t>
      </w:r>
      <w:r w:rsidR="007D2301" w:rsidRPr="002F00D9">
        <w:t xml:space="preserve"> be understood to impose liability without the regulating concepts of fault, foreseeability and remoteness</w:t>
      </w:r>
      <w:r w:rsidR="004559EE" w:rsidRPr="002F00D9">
        <w:t>;</w:t>
      </w:r>
      <w:r w:rsidR="007D2301" w:rsidRPr="002F00D9">
        <w:t xml:space="preserve"> and an undifferentiated conception of permissible plaintiffs</w:t>
      </w:r>
      <w:r w:rsidR="004559EE" w:rsidRPr="002F00D9">
        <w:t>.</w:t>
      </w:r>
      <w:r w:rsidR="007D2301" w:rsidRPr="002F00D9">
        <w:t xml:space="preserve"> Such an understanding would require an interpretation of s 218(2) that gives rise to wholesale liability at the instance of all persons who sustained loss or damage as a result of the contravention. That is to place </w:t>
      </w:r>
      <w:r w:rsidR="004559EE" w:rsidRPr="002F00D9">
        <w:t xml:space="preserve">a </w:t>
      </w:r>
      <w:r w:rsidR="007D2301" w:rsidRPr="002F00D9">
        <w:t xml:space="preserve">burden of liability and hence risk upon directors so great that it is hard to imagine who would accept office on these terms. And if that is what the legislature intended </w:t>
      </w:r>
      <w:r w:rsidR="007D2301" w:rsidRPr="002F00D9">
        <w:lastRenderedPageBreak/>
        <w:t>it would be expected to have made the imposition of so great a burden clear. The better interpretation is that the legislature intended that the specific requirements of any liability are to be found in the substantive provisions of the Companies Act. Section 218(2)</w:t>
      </w:r>
      <w:r w:rsidR="00733B5B" w:rsidRPr="002F00D9">
        <w:t xml:space="preserve"> has a different function. It determines the question posed in </w:t>
      </w:r>
      <w:r w:rsidR="00733B5B" w:rsidRPr="002F00D9">
        <w:rPr>
          <w:i/>
          <w:iCs/>
        </w:rPr>
        <w:t>Steenkamp</w:t>
      </w:r>
      <w:r w:rsidR="00733B5B" w:rsidRPr="002F00D9">
        <w:t>:</w:t>
      </w:r>
      <w:r w:rsidR="007001AA" w:rsidRPr="002F00D9">
        <w:rPr>
          <w:rStyle w:val="FootnoteReference"/>
        </w:rPr>
        <w:footnoteReference w:id="21"/>
      </w:r>
      <w:r w:rsidR="00733B5B" w:rsidRPr="002F00D9">
        <w:t xml:space="preserve"> contraventions do permit a right of action. Whether there is a right of action, who enjoys the right, and on what basis of all matters regulated by the substantive provision of the Companies Act.’</w:t>
      </w:r>
    </w:p>
    <w:p w14:paraId="02FCA6EF" w14:textId="14685663" w:rsidR="00CB18B4" w:rsidRPr="002F00D9" w:rsidRDefault="002C15FE" w:rsidP="00F8280E">
      <w:pPr>
        <w:pStyle w:val="ListParagraph"/>
        <w:ind w:left="0"/>
        <w:rPr>
          <w:sz w:val="28"/>
          <w:szCs w:val="28"/>
        </w:rPr>
      </w:pPr>
      <w:r w:rsidRPr="002F00D9">
        <w:t xml:space="preserve"> </w:t>
      </w:r>
      <w:r w:rsidR="001F64DB" w:rsidRPr="002F00D9">
        <w:t xml:space="preserve">  </w:t>
      </w:r>
    </w:p>
    <w:p w14:paraId="1059D4AF" w14:textId="460AB7BB" w:rsidR="00963CE2" w:rsidRPr="00A04901" w:rsidRDefault="00A04901" w:rsidP="00A04901">
      <w:pPr>
        <w:rPr>
          <w:sz w:val="28"/>
          <w:szCs w:val="28"/>
        </w:rPr>
      </w:pPr>
      <w:r w:rsidRPr="002F00D9">
        <w:rPr>
          <w:sz w:val="28"/>
          <w:szCs w:val="28"/>
        </w:rPr>
        <w:t>[28]</w:t>
      </w:r>
      <w:r w:rsidRPr="002F00D9">
        <w:rPr>
          <w:sz w:val="28"/>
          <w:szCs w:val="28"/>
        </w:rPr>
        <w:tab/>
      </w:r>
      <w:r w:rsidR="00733B5B" w:rsidRPr="00A04901">
        <w:rPr>
          <w:sz w:val="28"/>
          <w:szCs w:val="28"/>
        </w:rPr>
        <w:t xml:space="preserve">The plaintiff relies on s 22(1) as the provision that </w:t>
      </w:r>
      <w:r w:rsidR="00923060" w:rsidRPr="00A04901">
        <w:rPr>
          <w:sz w:val="28"/>
          <w:szCs w:val="28"/>
        </w:rPr>
        <w:t xml:space="preserve">it asserts has been contravened and </w:t>
      </w:r>
      <w:r w:rsidR="00733B5B" w:rsidRPr="00A04901">
        <w:rPr>
          <w:sz w:val="28"/>
          <w:szCs w:val="28"/>
        </w:rPr>
        <w:t xml:space="preserve">triggers </w:t>
      </w:r>
      <w:r w:rsidR="00963CE2" w:rsidRPr="00A04901">
        <w:rPr>
          <w:sz w:val="28"/>
          <w:szCs w:val="28"/>
        </w:rPr>
        <w:t>the operation of s</w:t>
      </w:r>
      <w:r w:rsidR="004559EE" w:rsidRPr="00A04901">
        <w:rPr>
          <w:sz w:val="28"/>
          <w:szCs w:val="28"/>
        </w:rPr>
        <w:t> </w:t>
      </w:r>
      <w:r w:rsidR="00963CE2" w:rsidRPr="00A04901">
        <w:rPr>
          <w:sz w:val="28"/>
          <w:szCs w:val="28"/>
        </w:rPr>
        <w:t>218(2). Section 22(1) stipulates:</w:t>
      </w:r>
    </w:p>
    <w:p w14:paraId="0C8D7CFF" w14:textId="77777777" w:rsidR="00B8672C" w:rsidRPr="002F00D9" w:rsidRDefault="00963CE2" w:rsidP="00B8672C">
      <w:pPr>
        <w:rPr>
          <w:bCs/>
        </w:rPr>
      </w:pPr>
      <w:r w:rsidRPr="002F00D9">
        <w:t>‘A</w:t>
      </w:r>
      <w:r w:rsidRPr="002F00D9">
        <w:rPr>
          <w:bCs/>
        </w:rPr>
        <w:t xml:space="preserve"> company must not carry on its business recklessly, with gross negligence, with intent to defraud any person or for any fraudulent purpose.</w:t>
      </w:r>
      <w:r w:rsidR="003A1454" w:rsidRPr="002F00D9">
        <w:rPr>
          <w:bCs/>
        </w:rPr>
        <w:t>’</w:t>
      </w:r>
      <w:r w:rsidR="00B8672C" w:rsidRPr="002F00D9">
        <w:rPr>
          <w:bCs/>
        </w:rPr>
        <w:t xml:space="preserve"> </w:t>
      </w:r>
    </w:p>
    <w:p w14:paraId="25A0AFB9" w14:textId="73CCA2C6" w:rsidR="001543E2" w:rsidRPr="002F00D9" w:rsidRDefault="00963CE2" w:rsidP="00B8672C">
      <w:pPr>
        <w:rPr>
          <w:bCs/>
        </w:rPr>
      </w:pPr>
      <w:r w:rsidRPr="002F00D9">
        <w:rPr>
          <w:sz w:val="28"/>
          <w:szCs w:val="28"/>
        </w:rPr>
        <w:t>This section</w:t>
      </w:r>
      <w:r w:rsidR="004B082A" w:rsidRPr="002F00D9">
        <w:rPr>
          <w:sz w:val="28"/>
          <w:szCs w:val="28"/>
        </w:rPr>
        <w:t xml:space="preserve"> </w:t>
      </w:r>
      <w:r w:rsidR="00300333" w:rsidRPr="002F00D9">
        <w:rPr>
          <w:sz w:val="28"/>
          <w:szCs w:val="28"/>
        </w:rPr>
        <w:t xml:space="preserve">plainly </w:t>
      </w:r>
      <w:r w:rsidRPr="002F00D9">
        <w:rPr>
          <w:sz w:val="28"/>
          <w:szCs w:val="28"/>
        </w:rPr>
        <w:t>imposes a duty on the company</w:t>
      </w:r>
      <w:r w:rsidR="000A66B2" w:rsidRPr="002F00D9">
        <w:rPr>
          <w:sz w:val="28"/>
          <w:szCs w:val="28"/>
        </w:rPr>
        <w:t>, and not its directors</w:t>
      </w:r>
      <w:r w:rsidR="008C5317" w:rsidRPr="002F00D9">
        <w:rPr>
          <w:sz w:val="28"/>
          <w:szCs w:val="28"/>
        </w:rPr>
        <w:t>,</w:t>
      </w:r>
      <w:r w:rsidR="004B082A" w:rsidRPr="002F00D9">
        <w:rPr>
          <w:sz w:val="28"/>
          <w:szCs w:val="28"/>
        </w:rPr>
        <w:t xml:space="preserve"> </w:t>
      </w:r>
      <w:r w:rsidR="008C5317" w:rsidRPr="002F00D9">
        <w:rPr>
          <w:sz w:val="28"/>
          <w:szCs w:val="28"/>
        </w:rPr>
        <w:t xml:space="preserve">to refrain </w:t>
      </w:r>
      <w:r w:rsidR="009B1799" w:rsidRPr="002F00D9">
        <w:rPr>
          <w:sz w:val="28"/>
          <w:szCs w:val="28"/>
        </w:rPr>
        <w:t>from carrying</w:t>
      </w:r>
      <w:r w:rsidRPr="002F00D9">
        <w:rPr>
          <w:sz w:val="28"/>
          <w:szCs w:val="28"/>
        </w:rPr>
        <w:t xml:space="preserve"> </w:t>
      </w:r>
      <w:r w:rsidR="00977AD1" w:rsidRPr="002F00D9">
        <w:rPr>
          <w:sz w:val="28"/>
          <w:szCs w:val="28"/>
        </w:rPr>
        <w:t xml:space="preserve">on </w:t>
      </w:r>
      <w:r w:rsidRPr="002F00D9">
        <w:rPr>
          <w:sz w:val="28"/>
          <w:szCs w:val="28"/>
        </w:rPr>
        <w:t>its business recklessly, among other things</w:t>
      </w:r>
      <w:r w:rsidR="009B1799" w:rsidRPr="002F00D9">
        <w:rPr>
          <w:sz w:val="28"/>
          <w:szCs w:val="28"/>
        </w:rPr>
        <w:t xml:space="preserve">. </w:t>
      </w:r>
      <w:r w:rsidR="00277A8A" w:rsidRPr="002F00D9">
        <w:rPr>
          <w:sz w:val="28"/>
          <w:szCs w:val="28"/>
        </w:rPr>
        <w:t>To construe s</w:t>
      </w:r>
      <w:r w:rsidR="003A1454" w:rsidRPr="002F00D9">
        <w:rPr>
          <w:sz w:val="28"/>
          <w:szCs w:val="28"/>
        </w:rPr>
        <w:t> </w:t>
      </w:r>
      <w:r w:rsidR="00277A8A" w:rsidRPr="002F00D9">
        <w:rPr>
          <w:sz w:val="28"/>
          <w:szCs w:val="28"/>
        </w:rPr>
        <w:t>22(1) as being capable of infringement by the directors is to read into the section a prohibition that is no</w:t>
      </w:r>
      <w:r w:rsidR="00BC06F6" w:rsidRPr="002F00D9">
        <w:rPr>
          <w:sz w:val="28"/>
          <w:szCs w:val="28"/>
        </w:rPr>
        <w:t>t</w:t>
      </w:r>
      <w:r w:rsidR="00277A8A" w:rsidRPr="002F00D9">
        <w:rPr>
          <w:sz w:val="28"/>
          <w:szCs w:val="28"/>
        </w:rPr>
        <w:t xml:space="preserve"> there.    </w:t>
      </w:r>
    </w:p>
    <w:p w14:paraId="399347B5" w14:textId="77777777" w:rsidR="001543E2" w:rsidRPr="002F00D9" w:rsidRDefault="001543E2" w:rsidP="00F8280E">
      <w:pPr>
        <w:rPr>
          <w:bCs/>
        </w:rPr>
      </w:pPr>
    </w:p>
    <w:p w14:paraId="3BACA4E1" w14:textId="1ACA9086" w:rsidR="00036705" w:rsidRPr="00A04901" w:rsidRDefault="00A04901" w:rsidP="00A04901">
      <w:pPr>
        <w:rPr>
          <w:bCs/>
        </w:rPr>
      </w:pPr>
      <w:r w:rsidRPr="002F00D9">
        <w:rPr>
          <w:sz w:val="28"/>
          <w:szCs w:val="28"/>
        </w:rPr>
        <w:t>[29]</w:t>
      </w:r>
      <w:r w:rsidRPr="002F00D9">
        <w:rPr>
          <w:sz w:val="28"/>
          <w:szCs w:val="28"/>
        </w:rPr>
        <w:tab/>
      </w:r>
      <w:r w:rsidR="001543E2" w:rsidRPr="00A04901">
        <w:rPr>
          <w:sz w:val="28"/>
          <w:szCs w:val="28"/>
        </w:rPr>
        <w:t>S</w:t>
      </w:r>
      <w:r w:rsidR="00300333" w:rsidRPr="00A04901">
        <w:rPr>
          <w:sz w:val="28"/>
          <w:szCs w:val="28"/>
        </w:rPr>
        <w:t xml:space="preserve">ections 22(2) and </w:t>
      </w:r>
      <w:r w:rsidR="00CC03F0" w:rsidRPr="00A04901">
        <w:rPr>
          <w:sz w:val="28"/>
          <w:szCs w:val="28"/>
        </w:rPr>
        <w:t>22</w:t>
      </w:r>
      <w:r w:rsidR="00300333" w:rsidRPr="00A04901">
        <w:rPr>
          <w:sz w:val="28"/>
          <w:szCs w:val="28"/>
        </w:rPr>
        <w:t>(3) create remedies for the Commission</w:t>
      </w:r>
      <w:r w:rsidR="007E517E" w:rsidRPr="002F00D9">
        <w:rPr>
          <w:rStyle w:val="FootnoteReference"/>
          <w:sz w:val="28"/>
          <w:szCs w:val="28"/>
        </w:rPr>
        <w:footnoteReference w:id="22"/>
      </w:r>
      <w:r w:rsidR="00300333" w:rsidRPr="00A04901">
        <w:rPr>
          <w:sz w:val="28"/>
          <w:szCs w:val="28"/>
        </w:rPr>
        <w:t xml:space="preserve"> when reckless trading is suspected.</w:t>
      </w:r>
      <w:r w:rsidR="007E208F" w:rsidRPr="00A04901">
        <w:rPr>
          <w:sz w:val="28"/>
          <w:szCs w:val="28"/>
        </w:rPr>
        <w:t xml:space="preserve"> </w:t>
      </w:r>
      <w:r w:rsidR="00923060" w:rsidRPr="00A04901">
        <w:rPr>
          <w:sz w:val="28"/>
          <w:szCs w:val="28"/>
        </w:rPr>
        <w:t>These provisions as well</w:t>
      </w:r>
      <w:r w:rsidR="004D6DB1" w:rsidRPr="00A04901">
        <w:rPr>
          <w:sz w:val="28"/>
          <w:szCs w:val="28"/>
        </w:rPr>
        <w:t>,</w:t>
      </w:r>
      <w:r w:rsidR="00923060" w:rsidRPr="00A04901">
        <w:rPr>
          <w:sz w:val="28"/>
          <w:szCs w:val="28"/>
        </w:rPr>
        <w:t xml:space="preserve"> are directed at the company. </w:t>
      </w:r>
      <w:r w:rsidR="007E208F" w:rsidRPr="00A04901">
        <w:rPr>
          <w:sz w:val="28"/>
          <w:szCs w:val="28"/>
        </w:rPr>
        <w:t xml:space="preserve">The section </w:t>
      </w:r>
      <w:r w:rsidR="00923060" w:rsidRPr="00A04901">
        <w:rPr>
          <w:sz w:val="28"/>
          <w:szCs w:val="28"/>
        </w:rPr>
        <w:t xml:space="preserve">that </w:t>
      </w:r>
      <w:r w:rsidR="007E208F" w:rsidRPr="00A04901">
        <w:rPr>
          <w:sz w:val="28"/>
          <w:szCs w:val="28"/>
        </w:rPr>
        <w:t xml:space="preserve">deals expressly with directors’ liability is </w:t>
      </w:r>
      <w:r w:rsidR="00036705" w:rsidRPr="00A04901">
        <w:rPr>
          <w:sz w:val="28"/>
          <w:szCs w:val="28"/>
        </w:rPr>
        <w:t>s 77(3)</w:t>
      </w:r>
      <w:r w:rsidR="00036705" w:rsidRPr="00A04901">
        <w:rPr>
          <w:i/>
          <w:iCs/>
          <w:sz w:val="28"/>
          <w:szCs w:val="28"/>
        </w:rPr>
        <w:t>(b)</w:t>
      </w:r>
      <w:r w:rsidR="00923060" w:rsidRPr="00A04901">
        <w:rPr>
          <w:sz w:val="28"/>
          <w:szCs w:val="28"/>
        </w:rPr>
        <w:t>,</w:t>
      </w:r>
      <w:r w:rsidR="00036705" w:rsidRPr="00A04901">
        <w:rPr>
          <w:sz w:val="28"/>
          <w:szCs w:val="28"/>
        </w:rPr>
        <w:t xml:space="preserve"> which states:</w:t>
      </w:r>
    </w:p>
    <w:p w14:paraId="4AF50671" w14:textId="1B3296ED" w:rsidR="00325997" w:rsidRPr="002F00D9" w:rsidRDefault="00036705" w:rsidP="00E51DC6">
      <w:pPr>
        <w:pStyle w:val="NormalWeb"/>
        <w:shd w:val="clear" w:color="auto" w:fill="FFFFFF"/>
        <w:spacing w:before="0" w:beforeAutospacing="0" w:after="0" w:afterAutospacing="0" w:line="360" w:lineRule="auto"/>
        <w:jc w:val="both"/>
        <w:rPr>
          <w:color w:val="242121"/>
          <w:lang w:val="en-ZA"/>
        </w:rPr>
      </w:pPr>
      <w:r w:rsidRPr="002F00D9">
        <w:t>‘</w:t>
      </w:r>
      <w:r w:rsidR="00325997" w:rsidRPr="002F00D9">
        <w:rPr>
          <w:color w:val="000000"/>
        </w:rPr>
        <w:t>(3)</w:t>
      </w:r>
      <w:r w:rsidR="005A3556" w:rsidRPr="002F00D9">
        <w:rPr>
          <w:color w:val="000000"/>
        </w:rPr>
        <w:tab/>
      </w:r>
      <w:r w:rsidR="00325997" w:rsidRPr="002F00D9">
        <w:rPr>
          <w:color w:val="000000"/>
        </w:rPr>
        <w:t xml:space="preserve">A director of a company is liable for any loss, damages or costs </w:t>
      </w:r>
      <w:r w:rsidR="00325997" w:rsidRPr="002F00D9">
        <w:rPr>
          <w:i/>
          <w:iCs/>
          <w:color w:val="000000"/>
        </w:rPr>
        <w:t>sustained by the company</w:t>
      </w:r>
      <w:r w:rsidR="00325997" w:rsidRPr="002F00D9">
        <w:rPr>
          <w:color w:val="000000"/>
        </w:rPr>
        <w:t xml:space="preserve"> as a direct or indirect consequence of the director having—</w:t>
      </w:r>
    </w:p>
    <w:p w14:paraId="3504ED9A" w14:textId="65FD775B" w:rsidR="00325997" w:rsidRPr="002F00D9" w:rsidRDefault="00325997" w:rsidP="00E51DC6">
      <w:pPr>
        <w:pStyle w:val="NormalWeb"/>
        <w:shd w:val="clear" w:color="auto" w:fill="FFFFFF"/>
        <w:spacing w:before="0" w:beforeAutospacing="0" w:after="0" w:afterAutospacing="0" w:line="360" w:lineRule="auto"/>
        <w:jc w:val="both"/>
        <w:rPr>
          <w:color w:val="242121"/>
        </w:rPr>
      </w:pPr>
      <w:r w:rsidRPr="002F00D9">
        <w:rPr>
          <w:color w:val="000000"/>
        </w:rPr>
        <w:t>… </w:t>
      </w:r>
    </w:p>
    <w:p w14:paraId="7814DABF" w14:textId="431B24FF" w:rsidR="00036705" w:rsidRPr="002F00D9" w:rsidRDefault="00325997" w:rsidP="00E51DC6">
      <w:pPr>
        <w:pStyle w:val="NormalWeb"/>
        <w:shd w:val="clear" w:color="auto" w:fill="FFFFFF"/>
        <w:spacing w:before="0" w:beforeAutospacing="0" w:after="0" w:afterAutospacing="0" w:line="360" w:lineRule="auto"/>
        <w:jc w:val="both"/>
        <w:rPr>
          <w:bCs/>
        </w:rPr>
      </w:pPr>
      <w:r w:rsidRPr="002F00D9">
        <w:rPr>
          <w:i/>
          <w:iCs/>
          <w:color w:val="000000"/>
        </w:rPr>
        <w:lastRenderedPageBreak/>
        <w:t>(b</w:t>
      </w:r>
      <w:r w:rsidR="005A3556" w:rsidRPr="002F00D9">
        <w:rPr>
          <w:i/>
          <w:iCs/>
          <w:color w:val="000000"/>
        </w:rPr>
        <w:t>)</w:t>
      </w:r>
      <w:r w:rsidR="005A3556" w:rsidRPr="002F00D9">
        <w:rPr>
          <w:color w:val="000000"/>
        </w:rPr>
        <w:tab/>
      </w:r>
      <w:r w:rsidRPr="002F00D9">
        <w:rPr>
          <w:color w:val="000000"/>
        </w:rPr>
        <w:t>acquiesced in the carrying on of the company’s business despite knowing that it was being conducted in a manner prohibited by section 22(1)’</w:t>
      </w:r>
      <w:r w:rsidR="00036705" w:rsidRPr="002F00D9">
        <w:t xml:space="preserve"> </w:t>
      </w:r>
      <w:r w:rsidR="001543E2" w:rsidRPr="002F00D9">
        <w:t>(Emphasis added.)</w:t>
      </w:r>
    </w:p>
    <w:p w14:paraId="2533CCEB" w14:textId="3BAAC441" w:rsidR="00300333" w:rsidRPr="002F00D9" w:rsidRDefault="007E208F" w:rsidP="00F8280E">
      <w:pPr>
        <w:rPr>
          <w:bCs/>
        </w:rPr>
      </w:pPr>
      <w:r w:rsidRPr="002F00D9">
        <w:rPr>
          <w:sz w:val="28"/>
          <w:szCs w:val="28"/>
        </w:rPr>
        <w:t xml:space="preserve">  </w:t>
      </w:r>
    </w:p>
    <w:p w14:paraId="3252269A" w14:textId="751BA1BC" w:rsidR="00325997" w:rsidRPr="00A04901" w:rsidRDefault="00A04901" w:rsidP="00A04901">
      <w:pPr>
        <w:rPr>
          <w:bCs/>
        </w:rPr>
      </w:pPr>
      <w:r w:rsidRPr="002F00D9">
        <w:rPr>
          <w:sz w:val="28"/>
          <w:szCs w:val="28"/>
        </w:rPr>
        <w:t>[30]</w:t>
      </w:r>
      <w:r w:rsidRPr="002F00D9">
        <w:rPr>
          <w:sz w:val="28"/>
          <w:szCs w:val="28"/>
        </w:rPr>
        <w:tab/>
      </w:r>
      <w:r w:rsidR="00325997" w:rsidRPr="00A04901">
        <w:rPr>
          <w:bCs/>
          <w:sz w:val="28"/>
          <w:szCs w:val="28"/>
        </w:rPr>
        <w:t xml:space="preserve">In </w:t>
      </w:r>
      <w:r w:rsidR="00325997" w:rsidRPr="00A04901">
        <w:rPr>
          <w:bCs/>
          <w:i/>
          <w:iCs/>
          <w:sz w:val="28"/>
          <w:szCs w:val="28"/>
        </w:rPr>
        <w:t>Gihwala and Others v Grancy Property Ltd and Others</w:t>
      </w:r>
      <w:r w:rsidR="00325997" w:rsidRPr="002F00D9">
        <w:rPr>
          <w:rStyle w:val="FootnoteReference"/>
          <w:bCs/>
        </w:rPr>
        <w:footnoteReference w:id="23"/>
      </w:r>
      <w:r w:rsidR="00883816" w:rsidRPr="00A04901">
        <w:rPr>
          <w:bCs/>
        </w:rPr>
        <w:t xml:space="preserve"> </w:t>
      </w:r>
      <w:r w:rsidR="00883816" w:rsidRPr="00A04901">
        <w:rPr>
          <w:bCs/>
          <w:sz w:val="28"/>
          <w:szCs w:val="28"/>
        </w:rPr>
        <w:t>this Court</w:t>
      </w:r>
      <w:r w:rsidR="00231631" w:rsidRPr="00A04901">
        <w:rPr>
          <w:bCs/>
          <w:sz w:val="28"/>
          <w:szCs w:val="28"/>
        </w:rPr>
        <w:t>,</w:t>
      </w:r>
      <w:r w:rsidR="00883816" w:rsidRPr="00A04901">
        <w:rPr>
          <w:bCs/>
          <w:sz w:val="28"/>
          <w:szCs w:val="28"/>
        </w:rPr>
        <w:t xml:space="preserve"> referring </w:t>
      </w:r>
      <w:r w:rsidR="00320357" w:rsidRPr="00A04901">
        <w:rPr>
          <w:bCs/>
          <w:sz w:val="28"/>
          <w:szCs w:val="28"/>
        </w:rPr>
        <w:t>to s</w:t>
      </w:r>
      <w:r w:rsidR="00883816" w:rsidRPr="00A04901">
        <w:rPr>
          <w:bCs/>
          <w:sz w:val="28"/>
          <w:szCs w:val="28"/>
        </w:rPr>
        <w:t xml:space="preserve"> 77(3),</w:t>
      </w:r>
      <w:r w:rsidR="00D01A18" w:rsidRPr="00A04901">
        <w:rPr>
          <w:bCs/>
          <w:sz w:val="28"/>
          <w:szCs w:val="28"/>
        </w:rPr>
        <w:t xml:space="preserve"> held that</w:t>
      </w:r>
      <w:r w:rsidR="00883816" w:rsidRPr="00A04901">
        <w:rPr>
          <w:bCs/>
          <w:sz w:val="28"/>
          <w:szCs w:val="28"/>
        </w:rPr>
        <w:t>:</w:t>
      </w:r>
    </w:p>
    <w:p w14:paraId="0CA33B57" w14:textId="23F29065" w:rsidR="00325997" w:rsidRPr="002F00D9" w:rsidRDefault="00320357" w:rsidP="00F8280E">
      <w:pPr>
        <w:rPr>
          <w:bCs/>
        </w:rPr>
      </w:pPr>
      <w:r w:rsidRPr="002F00D9">
        <w:rPr>
          <w:bCs/>
        </w:rPr>
        <w:t>‘</w:t>
      </w:r>
      <w:r w:rsidR="005A3556" w:rsidRPr="002F00D9">
        <w:rPr>
          <w:bCs/>
        </w:rPr>
        <w:t>That</w:t>
      </w:r>
      <w:r w:rsidRPr="002F00D9">
        <w:rPr>
          <w:bCs/>
        </w:rPr>
        <w:t xml:space="preserve"> section . . . </w:t>
      </w:r>
      <w:r w:rsidR="001543E2" w:rsidRPr="002F00D9">
        <w:rPr>
          <w:bCs/>
        </w:rPr>
        <w:t>d</w:t>
      </w:r>
      <w:r w:rsidRPr="002F00D9">
        <w:rPr>
          <w:bCs/>
        </w:rPr>
        <w:t xml:space="preserve">oes not involve a declaration by the court, but </w:t>
      </w:r>
      <w:r w:rsidRPr="002F00D9">
        <w:rPr>
          <w:bCs/>
          <w:i/>
          <w:iCs/>
        </w:rPr>
        <w:t>creates a statutory claim in favour of the company against a director</w:t>
      </w:r>
      <w:r w:rsidRPr="002F00D9">
        <w:rPr>
          <w:bCs/>
        </w:rPr>
        <w:t xml:space="preserve">, imposing liability on the latter for any loss, damages or costs incurred by the company in certain circumstances, including whether the director acquiesces in the company engaging in reckless trading. </w:t>
      </w:r>
      <w:r w:rsidRPr="002F00D9">
        <w:rPr>
          <w:bCs/>
          <w:i/>
          <w:iCs/>
        </w:rPr>
        <w:t>It is not a provision that can be invoked to secure payment to a creditor or shareholder in respect of their claim against the company or a director</w:t>
      </w:r>
      <w:r w:rsidRPr="002F00D9">
        <w:rPr>
          <w:bCs/>
        </w:rPr>
        <w:t>.’</w:t>
      </w:r>
      <w:r w:rsidR="00277A8A" w:rsidRPr="002F00D9">
        <w:rPr>
          <w:bCs/>
        </w:rPr>
        <w:t xml:space="preserve"> (Emphasis added.)</w:t>
      </w:r>
    </w:p>
    <w:p w14:paraId="62406DDD" w14:textId="77777777" w:rsidR="00A110E7" w:rsidRPr="002F00D9" w:rsidRDefault="00A110E7" w:rsidP="00F8280E">
      <w:pPr>
        <w:rPr>
          <w:bCs/>
          <w:sz w:val="28"/>
          <w:szCs w:val="28"/>
        </w:rPr>
      </w:pPr>
    </w:p>
    <w:p w14:paraId="66228EA3" w14:textId="0CD20DCE" w:rsidR="00A110E7" w:rsidRPr="00A04901" w:rsidRDefault="00A04901" w:rsidP="00A04901">
      <w:pPr>
        <w:rPr>
          <w:bCs/>
        </w:rPr>
      </w:pPr>
      <w:r w:rsidRPr="002F00D9">
        <w:rPr>
          <w:sz w:val="28"/>
          <w:szCs w:val="28"/>
        </w:rPr>
        <w:t>[31]</w:t>
      </w:r>
      <w:r w:rsidRPr="002F00D9">
        <w:rPr>
          <w:sz w:val="28"/>
          <w:szCs w:val="28"/>
        </w:rPr>
        <w:tab/>
      </w:r>
      <w:r w:rsidR="004434E9" w:rsidRPr="00A04901">
        <w:rPr>
          <w:bCs/>
          <w:sz w:val="28"/>
          <w:szCs w:val="28"/>
        </w:rPr>
        <w:t>Section 76(3) impose</w:t>
      </w:r>
      <w:r w:rsidR="00317CDF" w:rsidRPr="00A04901">
        <w:rPr>
          <w:bCs/>
          <w:sz w:val="28"/>
          <w:szCs w:val="28"/>
        </w:rPr>
        <w:t>s</w:t>
      </w:r>
      <w:r w:rsidR="004434E9" w:rsidRPr="00A04901">
        <w:rPr>
          <w:bCs/>
          <w:sz w:val="28"/>
          <w:szCs w:val="28"/>
        </w:rPr>
        <w:t xml:space="preserve"> duties upon the directors to, inter alia</w:t>
      </w:r>
      <w:r w:rsidR="00277A8A" w:rsidRPr="00A04901">
        <w:rPr>
          <w:bCs/>
          <w:sz w:val="28"/>
          <w:szCs w:val="28"/>
        </w:rPr>
        <w:t>,</w:t>
      </w:r>
      <w:r w:rsidR="004434E9" w:rsidRPr="00A04901">
        <w:rPr>
          <w:bCs/>
          <w:sz w:val="28"/>
          <w:szCs w:val="28"/>
        </w:rPr>
        <w:t xml:space="preserve"> act in good faith and in the best interest</w:t>
      </w:r>
      <w:r w:rsidR="00277A8A" w:rsidRPr="00A04901">
        <w:rPr>
          <w:bCs/>
          <w:sz w:val="28"/>
          <w:szCs w:val="28"/>
        </w:rPr>
        <w:t>s</w:t>
      </w:r>
      <w:r w:rsidR="004434E9" w:rsidRPr="00A04901">
        <w:rPr>
          <w:bCs/>
          <w:sz w:val="28"/>
          <w:szCs w:val="28"/>
        </w:rPr>
        <w:t xml:space="preserve"> of the company</w:t>
      </w:r>
      <w:r w:rsidR="005E4CF3" w:rsidRPr="00A04901">
        <w:rPr>
          <w:bCs/>
          <w:sz w:val="28"/>
          <w:szCs w:val="28"/>
        </w:rPr>
        <w:t>. These are common law principles which have now been entrenched in the Act.</w:t>
      </w:r>
      <w:r w:rsidR="005E4CF3" w:rsidRPr="002F00D9">
        <w:rPr>
          <w:rStyle w:val="FootnoteReference"/>
          <w:bCs/>
          <w:sz w:val="28"/>
          <w:szCs w:val="28"/>
        </w:rPr>
        <w:footnoteReference w:id="24"/>
      </w:r>
      <w:r w:rsidR="005E4CF3" w:rsidRPr="00A04901">
        <w:rPr>
          <w:bCs/>
          <w:sz w:val="28"/>
          <w:szCs w:val="28"/>
        </w:rPr>
        <w:t xml:space="preserve"> These duties are owed to the company. In the event of a wrong </w:t>
      </w:r>
      <w:r w:rsidR="00277A8A" w:rsidRPr="00A04901">
        <w:rPr>
          <w:bCs/>
          <w:sz w:val="28"/>
          <w:szCs w:val="28"/>
        </w:rPr>
        <w:t>done</w:t>
      </w:r>
      <w:r w:rsidR="005E4CF3" w:rsidRPr="00A04901">
        <w:rPr>
          <w:bCs/>
          <w:sz w:val="28"/>
          <w:szCs w:val="28"/>
        </w:rPr>
        <w:t xml:space="preserve"> to the company in terms of any of the provisions of the section, the company can sue to recover damages. ‘The company would be the proper plaintiff. It is no coincidence, then, that s 77(2)</w:t>
      </w:r>
      <w:r w:rsidR="005E4CF3" w:rsidRPr="00A04901">
        <w:rPr>
          <w:bCs/>
          <w:i/>
          <w:iCs/>
          <w:sz w:val="28"/>
          <w:szCs w:val="28"/>
        </w:rPr>
        <w:t xml:space="preserve">(a) </w:t>
      </w:r>
      <w:r w:rsidR="005E4CF3" w:rsidRPr="00A04901">
        <w:rPr>
          <w:bCs/>
          <w:sz w:val="28"/>
          <w:szCs w:val="28"/>
        </w:rPr>
        <w:t xml:space="preserve">provides that a director of </w:t>
      </w:r>
      <w:r w:rsidR="00901FC5" w:rsidRPr="00A04901">
        <w:rPr>
          <w:bCs/>
          <w:sz w:val="28"/>
          <w:szCs w:val="28"/>
        </w:rPr>
        <w:t>a</w:t>
      </w:r>
      <w:r w:rsidR="005E4CF3" w:rsidRPr="00A04901">
        <w:rPr>
          <w:bCs/>
          <w:sz w:val="28"/>
          <w:szCs w:val="28"/>
        </w:rPr>
        <w:t xml:space="preserve"> company may be held liable for breaches of fiduciary duties resulting in any loss or damage sustained by the company.</w:t>
      </w:r>
      <w:r w:rsidR="00901FC5" w:rsidRPr="00A04901">
        <w:rPr>
          <w:bCs/>
          <w:sz w:val="28"/>
          <w:szCs w:val="28"/>
        </w:rPr>
        <w:t>’</w:t>
      </w:r>
      <w:r w:rsidR="00091110" w:rsidRPr="002F00D9">
        <w:rPr>
          <w:rStyle w:val="FootnoteReference"/>
          <w:bCs/>
          <w:sz w:val="28"/>
          <w:szCs w:val="28"/>
        </w:rPr>
        <w:footnoteReference w:id="25"/>
      </w:r>
      <w:r w:rsidR="005E4CF3" w:rsidRPr="00A04901">
        <w:rPr>
          <w:bCs/>
          <w:sz w:val="28"/>
          <w:szCs w:val="28"/>
        </w:rPr>
        <w:t xml:space="preserve"> Section 77(2)</w:t>
      </w:r>
      <w:r w:rsidR="005E4CF3" w:rsidRPr="00A04901">
        <w:rPr>
          <w:bCs/>
          <w:i/>
          <w:iCs/>
          <w:sz w:val="28"/>
          <w:szCs w:val="28"/>
        </w:rPr>
        <w:t>(b)</w:t>
      </w:r>
      <w:r w:rsidR="005E4CF3" w:rsidRPr="00A04901">
        <w:rPr>
          <w:bCs/>
          <w:sz w:val="28"/>
          <w:szCs w:val="28"/>
        </w:rPr>
        <w:t xml:space="preserve"> similarly provides that a director </w:t>
      </w:r>
      <w:r w:rsidR="00B806A7" w:rsidRPr="00A04901">
        <w:rPr>
          <w:bCs/>
          <w:sz w:val="28"/>
          <w:szCs w:val="28"/>
        </w:rPr>
        <w:t xml:space="preserve">of </w:t>
      </w:r>
      <w:r w:rsidR="00D65852" w:rsidRPr="00A04901">
        <w:rPr>
          <w:bCs/>
          <w:sz w:val="28"/>
          <w:szCs w:val="28"/>
        </w:rPr>
        <w:t xml:space="preserve">a </w:t>
      </w:r>
      <w:r w:rsidR="005E4CF3" w:rsidRPr="00A04901">
        <w:rPr>
          <w:bCs/>
          <w:sz w:val="28"/>
          <w:szCs w:val="28"/>
        </w:rPr>
        <w:t>company</w:t>
      </w:r>
      <w:r w:rsidR="00714550" w:rsidRPr="00A04901">
        <w:rPr>
          <w:bCs/>
          <w:sz w:val="28"/>
          <w:szCs w:val="28"/>
        </w:rPr>
        <w:t xml:space="preserve"> may be held liable in accordance with the principles of the common law</w:t>
      </w:r>
      <w:r w:rsidR="004203D4" w:rsidRPr="00A04901">
        <w:rPr>
          <w:bCs/>
          <w:sz w:val="28"/>
          <w:szCs w:val="28"/>
        </w:rPr>
        <w:t xml:space="preserve"> relating to delict for any loss, damages or costs sustained by the company as a consequence of any breach by the director of the duty contemplated in s 76(3)</w:t>
      </w:r>
      <w:r w:rsidR="004203D4" w:rsidRPr="00A04901">
        <w:rPr>
          <w:bCs/>
          <w:i/>
          <w:iCs/>
          <w:sz w:val="28"/>
          <w:szCs w:val="28"/>
        </w:rPr>
        <w:t>(b)</w:t>
      </w:r>
      <w:r w:rsidR="004203D4" w:rsidRPr="00A04901">
        <w:rPr>
          <w:bCs/>
          <w:sz w:val="28"/>
          <w:szCs w:val="28"/>
        </w:rPr>
        <w:t>; any provision of the Act, not otherwise mentioned in the section; or any provision of the company’s Memorandum of Incorporation.</w:t>
      </w:r>
    </w:p>
    <w:p w14:paraId="15C71696" w14:textId="77777777" w:rsidR="0013473C" w:rsidRPr="002F00D9" w:rsidRDefault="0013473C" w:rsidP="0013473C">
      <w:pPr>
        <w:rPr>
          <w:bCs/>
        </w:rPr>
      </w:pPr>
    </w:p>
    <w:p w14:paraId="76A6E966" w14:textId="17C1E611" w:rsidR="004203D4" w:rsidRPr="00A04901" w:rsidRDefault="00A04901" w:rsidP="00A04901">
      <w:pPr>
        <w:rPr>
          <w:bCs/>
          <w:sz w:val="28"/>
          <w:szCs w:val="28"/>
        </w:rPr>
      </w:pPr>
      <w:r w:rsidRPr="002F00D9">
        <w:rPr>
          <w:sz w:val="28"/>
          <w:szCs w:val="28"/>
        </w:rPr>
        <w:t>[32]</w:t>
      </w:r>
      <w:r w:rsidRPr="002F00D9">
        <w:rPr>
          <w:sz w:val="28"/>
          <w:szCs w:val="28"/>
        </w:rPr>
        <w:tab/>
      </w:r>
      <w:r w:rsidR="004203D4" w:rsidRPr="00A04901">
        <w:rPr>
          <w:bCs/>
          <w:sz w:val="28"/>
          <w:szCs w:val="28"/>
        </w:rPr>
        <w:t xml:space="preserve">As stated in </w:t>
      </w:r>
      <w:r w:rsidR="004203D4" w:rsidRPr="00A04901">
        <w:rPr>
          <w:bCs/>
          <w:i/>
          <w:iCs/>
          <w:sz w:val="28"/>
          <w:szCs w:val="28"/>
        </w:rPr>
        <w:t>Hlumisa</w:t>
      </w:r>
      <w:r w:rsidR="004203D4" w:rsidRPr="00A04901">
        <w:rPr>
          <w:bCs/>
          <w:sz w:val="28"/>
          <w:szCs w:val="28"/>
        </w:rPr>
        <w:t>,</w:t>
      </w:r>
      <w:r w:rsidR="004203D4" w:rsidRPr="00A04901">
        <w:rPr>
          <w:bCs/>
          <w:i/>
          <w:iCs/>
          <w:sz w:val="28"/>
          <w:szCs w:val="28"/>
        </w:rPr>
        <w:t xml:space="preserve"> </w:t>
      </w:r>
      <w:r w:rsidR="004203D4" w:rsidRPr="00A04901">
        <w:rPr>
          <w:bCs/>
          <w:sz w:val="28"/>
          <w:szCs w:val="28"/>
        </w:rPr>
        <w:t>these provisions make it clear</w:t>
      </w:r>
      <w:r w:rsidR="004203D4" w:rsidRPr="00A04901">
        <w:rPr>
          <w:bCs/>
          <w:i/>
          <w:iCs/>
          <w:sz w:val="28"/>
          <w:szCs w:val="28"/>
        </w:rPr>
        <w:t xml:space="preserve"> </w:t>
      </w:r>
      <w:r w:rsidR="00CC2C10" w:rsidRPr="00A04901">
        <w:rPr>
          <w:bCs/>
          <w:sz w:val="28"/>
          <w:szCs w:val="28"/>
        </w:rPr>
        <w:t xml:space="preserve">that </w:t>
      </w:r>
      <w:r w:rsidR="004203D4" w:rsidRPr="00A04901">
        <w:rPr>
          <w:bCs/>
          <w:sz w:val="28"/>
          <w:szCs w:val="28"/>
        </w:rPr>
        <w:t xml:space="preserve">‘the legislature decided where liability should lie for conduct by directors in contravention of certain </w:t>
      </w:r>
      <w:r w:rsidR="00091110" w:rsidRPr="00A04901">
        <w:rPr>
          <w:bCs/>
          <w:sz w:val="28"/>
          <w:szCs w:val="28"/>
        </w:rPr>
        <w:t xml:space="preserve">sections </w:t>
      </w:r>
      <w:r w:rsidR="004203D4" w:rsidRPr="00A04901">
        <w:rPr>
          <w:bCs/>
          <w:sz w:val="28"/>
          <w:szCs w:val="28"/>
        </w:rPr>
        <w:t xml:space="preserve">of the </w:t>
      </w:r>
      <w:r w:rsidR="00594558" w:rsidRPr="00A04901">
        <w:rPr>
          <w:bCs/>
          <w:sz w:val="28"/>
          <w:szCs w:val="28"/>
        </w:rPr>
        <w:t>A</w:t>
      </w:r>
      <w:r w:rsidR="004203D4" w:rsidRPr="00A04901">
        <w:rPr>
          <w:bCs/>
          <w:sz w:val="28"/>
          <w:szCs w:val="28"/>
        </w:rPr>
        <w:t>ct and who could recover the resultant loss. It is also clear that the legislature was astute to preserve certain common law principles. It makes a harmonious blend.’</w:t>
      </w:r>
      <w:r w:rsidR="004203D4" w:rsidRPr="002F00D9">
        <w:rPr>
          <w:rStyle w:val="FootnoteReference"/>
          <w:bCs/>
          <w:sz w:val="28"/>
          <w:szCs w:val="28"/>
        </w:rPr>
        <w:footnoteReference w:id="26"/>
      </w:r>
      <w:r w:rsidR="004203D4" w:rsidRPr="00A04901">
        <w:rPr>
          <w:bCs/>
          <w:sz w:val="28"/>
          <w:szCs w:val="28"/>
        </w:rPr>
        <w:t xml:space="preserve"> Further, the Act abounds with provisions </w:t>
      </w:r>
      <w:r w:rsidR="0063754A" w:rsidRPr="00A04901">
        <w:rPr>
          <w:bCs/>
          <w:sz w:val="28"/>
          <w:szCs w:val="28"/>
        </w:rPr>
        <w:t xml:space="preserve">for </w:t>
      </w:r>
      <w:r w:rsidR="004203D4" w:rsidRPr="00A04901">
        <w:rPr>
          <w:bCs/>
          <w:sz w:val="28"/>
          <w:szCs w:val="28"/>
        </w:rPr>
        <w:t xml:space="preserve">recovery of loss resulting from misconduct on the part of directors. There must </w:t>
      </w:r>
      <w:r w:rsidR="00594558" w:rsidRPr="00A04901">
        <w:rPr>
          <w:bCs/>
          <w:sz w:val="28"/>
          <w:szCs w:val="28"/>
        </w:rPr>
        <w:t xml:space="preserve">clearly </w:t>
      </w:r>
      <w:r w:rsidR="004203D4" w:rsidRPr="00A04901">
        <w:rPr>
          <w:bCs/>
          <w:sz w:val="28"/>
          <w:szCs w:val="28"/>
        </w:rPr>
        <w:t>be a link between the contravention and the loss allegedly suffered.</w:t>
      </w:r>
      <w:r w:rsidR="004203D4" w:rsidRPr="002F00D9">
        <w:rPr>
          <w:rStyle w:val="FootnoteReference"/>
          <w:bCs/>
          <w:sz w:val="28"/>
          <w:szCs w:val="28"/>
        </w:rPr>
        <w:footnoteReference w:id="27"/>
      </w:r>
      <w:r w:rsidR="004203D4" w:rsidRPr="00A04901">
        <w:rPr>
          <w:bCs/>
          <w:sz w:val="28"/>
          <w:szCs w:val="28"/>
        </w:rPr>
        <w:t xml:space="preserve"> </w:t>
      </w:r>
    </w:p>
    <w:p w14:paraId="7A421224" w14:textId="77777777" w:rsidR="004203D4" w:rsidRPr="002F00D9" w:rsidRDefault="004203D4" w:rsidP="00F8280E">
      <w:pPr>
        <w:pStyle w:val="ListParagraph"/>
        <w:rPr>
          <w:bCs/>
          <w:sz w:val="28"/>
          <w:szCs w:val="28"/>
        </w:rPr>
      </w:pPr>
    </w:p>
    <w:p w14:paraId="68C7F7AA" w14:textId="18D5F44C" w:rsidR="00F83223" w:rsidRPr="00A04901" w:rsidRDefault="00A04901" w:rsidP="00A04901">
      <w:pPr>
        <w:rPr>
          <w:bCs/>
        </w:rPr>
      </w:pPr>
      <w:r w:rsidRPr="002F00D9">
        <w:rPr>
          <w:sz w:val="28"/>
          <w:szCs w:val="28"/>
        </w:rPr>
        <w:t>[33]</w:t>
      </w:r>
      <w:r w:rsidRPr="002F00D9">
        <w:rPr>
          <w:sz w:val="28"/>
          <w:szCs w:val="28"/>
        </w:rPr>
        <w:tab/>
      </w:r>
      <w:r w:rsidR="004203D4" w:rsidRPr="00A04901">
        <w:rPr>
          <w:bCs/>
          <w:sz w:val="28"/>
          <w:szCs w:val="28"/>
        </w:rPr>
        <w:t>The</w:t>
      </w:r>
      <w:r w:rsidR="00C02119" w:rsidRPr="00A04901">
        <w:rPr>
          <w:bCs/>
          <w:sz w:val="28"/>
          <w:szCs w:val="28"/>
        </w:rPr>
        <w:t xml:space="preserve"> </w:t>
      </w:r>
      <w:r w:rsidR="00594558" w:rsidRPr="00A04901">
        <w:rPr>
          <w:bCs/>
          <w:sz w:val="28"/>
          <w:szCs w:val="28"/>
        </w:rPr>
        <w:t xml:space="preserve">plaintiff has </w:t>
      </w:r>
      <w:r w:rsidR="00C02119" w:rsidRPr="00A04901">
        <w:rPr>
          <w:bCs/>
          <w:sz w:val="28"/>
          <w:szCs w:val="28"/>
        </w:rPr>
        <w:t xml:space="preserve">been unable to identify a provision that has been contravened by the directors in </w:t>
      </w:r>
      <w:r w:rsidR="00594558" w:rsidRPr="00A04901">
        <w:rPr>
          <w:bCs/>
          <w:sz w:val="28"/>
          <w:szCs w:val="28"/>
        </w:rPr>
        <w:t>order to</w:t>
      </w:r>
      <w:r w:rsidR="00C02119" w:rsidRPr="00A04901">
        <w:rPr>
          <w:bCs/>
          <w:sz w:val="28"/>
          <w:szCs w:val="28"/>
        </w:rPr>
        <w:t xml:space="preserve"> </w:t>
      </w:r>
      <w:r w:rsidR="00594558" w:rsidRPr="00A04901">
        <w:rPr>
          <w:bCs/>
          <w:sz w:val="28"/>
          <w:szCs w:val="28"/>
        </w:rPr>
        <w:t>invoke s</w:t>
      </w:r>
      <w:r w:rsidR="00C02119" w:rsidRPr="00A04901">
        <w:rPr>
          <w:bCs/>
          <w:sz w:val="28"/>
          <w:szCs w:val="28"/>
        </w:rPr>
        <w:t xml:space="preserve"> 218(2).</w:t>
      </w:r>
      <w:r w:rsidR="00594558" w:rsidRPr="00A04901">
        <w:rPr>
          <w:bCs/>
          <w:sz w:val="28"/>
          <w:szCs w:val="28"/>
        </w:rPr>
        <w:t xml:space="preserve"> </w:t>
      </w:r>
      <w:r w:rsidR="00D563D2" w:rsidRPr="00A04901">
        <w:rPr>
          <w:bCs/>
          <w:sz w:val="28"/>
          <w:szCs w:val="28"/>
        </w:rPr>
        <w:t>A</w:t>
      </w:r>
      <w:r w:rsidR="00FD28C5" w:rsidRPr="00A04901">
        <w:rPr>
          <w:bCs/>
          <w:sz w:val="28"/>
          <w:szCs w:val="28"/>
        </w:rPr>
        <w:t xml:space="preserve">s the court in </w:t>
      </w:r>
      <w:r w:rsidR="00FD28C5" w:rsidRPr="00A04901">
        <w:rPr>
          <w:bCs/>
          <w:i/>
          <w:iCs/>
          <w:sz w:val="28"/>
          <w:szCs w:val="28"/>
        </w:rPr>
        <w:t>Steinhoff</w:t>
      </w:r>
      <w:r w:rsidR="00FD28C5" w:rsidRPr="00A04901">
        <w:rPr>
          <w:bCs/>
          <w:sz w:val="28"/>
          <w:szCs w:val="28"/>
        </w:rPr>
        <w:t xml:space="preserve"> observes:</w:t>
      </w:r>
    </w:p>
    <w:p w14:paraId="2929A42B" w14:textId="3E5E23DE" w:rsidR="008E1B9C" w:rsidRPr="002F00D9" w:rsidRDefault="00963469" w:rsidP="00F8280E">
      <w:pPr>
        <w:rPr>
          <w:bCs/>
        </w:rPr>
      </w:pPr>
      <w:r w:rsidRPr="002F00D9">
        <w:rPr>
          <w:bCs/>
        </w:rPr>
        <w:t>‘The</w:t>
      </w:r>
      <w:r w:rsidR="00F83223" w:rsidRPr="002F00D9">
        <w:rPr>
          <w:bCs/>
        </w:rPr>
        <w:t xml:space="preserve"> statutory scheme of liability under the Companies Act</w:t>
      </w:r>
      <w:r w:rsidR="00471546" w:rsidRPr="002F00D9">
        <w:rPr>
          <w:bCs/>
        </w:rPr>
        <w:t xml:space="preserve"> does not attach a singular consequence</w:t>
      </w:r>
      <w:r w:rsidR="00F83223" w:rsidRPr="002F00D9">
        <w:rPr>
          <w:bCs/>
        </w:rPr>
        <w:t xml:space="preserve"> </w:t>
      </w:r>
      <w:r w:rsidR="00471546" w:rsidRPr="002F00D9">
        <w:rPr>
          <w:bCs/>
        </w:rPr>
        <w:t xml:space="preserve">for a contravention of the Act. Rather, the Companies Act attaches a regime of </w:t>
      </w:r>
      <w:r w:rsidRPr="002F00D9">
        <w:rPr>
          <w:bCs/>
        </w:rPr>
        <w:t>liability</w:t>
      </w:r>
      <w:r w:rsidR="006E781A" w:rsidRPr="002F00D9">
        <w:rPr>
          <w:bCs/>
        </w:rPr>
        <w:t xml:space="preserve"> for particular contraventions. I have already observed that this is so in respect of the contravention of s 76 and s 22. This is a systemic feature of the Companies Act. A breach of duty may exact compliance by the Commission</w:t>
      </w:r>
      <w:r w:rsidR="008328B4" w:rsidRPr="002F00D9">
        <w:rPr>
          <w:bCs/>
        </w:rPr>
        <w:t xml:space="preserve"> (</w:t>
      </w:r>
      <w:r w:rsidR="00B81808" w:rsidRPr="002F00D9">
        <w:rPr>
          <w:bCs/>
        </w:rPr>
        <w:t>s</w:t>
      </w:r>
      <w:r w:rsidR="008328B4" w:rsidRPr="002F00D9">
        <w:rPr>
          <w:bCs/>
        </w:rPr>
        <w:t>22(3)</w:t>
      </w:r>
      <w:r w:rsidR="00B81808" w:rsidRPr="002F00D9">
        <w:rPr>
          <w:bCs/>
        </w:rPr>
        <w:t>)</w:t>
      </w:r>
      <w:r w:rsidR="008328B4" w:rsidRPr="002F00D9">
        <w:rPr>
          <w:bCs/>
        </w:rPr>
        <w:t xml:space="preserve">; </w:t>
      </w:r>
      <w:r w:rsidR="00B81808" w:rsidRPr="002F00D9">
        <w:rPr>
          <w:bCs/>
        </w:rPr>
        <w:t xml:space="preserve">a </w:t>
      </w:r>
      <w:r w:rsidR="008328B4" w:rsidRPr="002F00D9">
        <w:rPr>
          <w:bCs/>
        </w:rPr>
        <w:t>breach may be an offence (s32(5)); and a breach</w:t>
      </w:r>
      <w:r w:rsidR="002739C5" w:rsidRPr="002F00D9">
        <w:rPr>
          <w:bCs/>
        </w:rPr>
        <w:t xml:space="preserve"> may give rise to liability to make good a loss as </w:t>
      </w:r>
      <w:r w:rsidR="00B81808" w:rsidRPr="002F00D9">
        <w:rPr>
          <w:bCs/>
        </w:rPr>
        <w:t xml:space="preserve">a </w:t>
      </w:r>
      <w:r w:rsidR="002739C5" w:rsidRPr="002F00D9">
        <w:rPr>
          <w:bCs/>
        </w:rPr>
        <w:t>consequence of the breach</w:t>
      </w:r>
      <w:r w:rsidR="002D31C2" w:rsidRPr="002F00D9">
        <w:rPr>
          <w:bCs/>
        </w:rPr>
        <w:t xml:space="preserve"> (s77). Certain breaches are visited with more than one permissible consequence. Thus, s 22 permits the Commission</w:t>
      </w:r>
      <w:r w:rsidR="008B020D" w:rsidRPr="002F00D9">
        <w:rPr>
          <w:bCs/>
        </w:rPr>
        <w:t xml:space="preserve"> to issue a compliance notice. In addition, a director may be held liable to the company for reckless trading (s22(1) read with s 77(3)(b)</w:t>
      </w:r>
      <w:r w:rsidR="00DF47A8" w:rsidRPr="002F00D9">
        <w:rPr>
          <w:bCs/>
        </w:rPr>
        <w:t>)</w:t>
      </w:r>
      <w:r w:rsidR="008B020D" w:rsidRPr="002F00D9">
        <w:rPr>
          <w:bCs/>
        </w:rPr>
        <w:t xml:space="preserve">. </w:t>
      </w:r>
    </w:p>
    <w:p w14:paraId="7CAFBB2C" w14:textId="2AC4F277" w:rsidR="00627240" w:rsidRPr="002F00D9" w:rsidRDefault="00650A99" w:rsidP="00F8280E">
      <w:pPr>
        <w:pStyle w:val="ListParagraph"/>
        <w:ind w:left="0"/>
        <w:rPr>
          <w:bCs/>
        </w:rPr>
      </w:pPr>
      <w:r w:rsidRPr="002F00D9">
        <w:rPr>
          <w:bCs/>
        </w:rPr>
        <w:t>The more general point of interpretation is that the legislature has been careful to stipulate what form of liability, civil, criminal, or regulatory, may result from different contraventions. There is no coherent reading of the Companies Act that would subordinate this specification</w:t>
      </w:r>
      <w:r w:rsidR="00627240" w:rsidRPr="002F00D9">
        <w:rPr>
          <w:bCs/>
        </w:rPr>
        <w:t xml:space="preserve"> of differentiated liability for the recognition under s 218(2) of general liability of all persons who contravene the Companies Act in favour of all who suffer loss as a result thereof.’</w:t>
      </w:r>
      <w:r w:rsidR="00DD4938" w:rsidRPr="002F00D9">
        <w:rPr>
          <w:rStyle w:val="FootnoteReference"/>
          <w:bCs/>
        </w:rPr>
        <w:footnoteReference w:id="28"/>
      </w:r>
    </w:p>
    <w:p w14:paraId="7CE4840E" w14:textId="27D47D91" w:rsidR="002273B3" w:rsidRPr="002F00D9" w:rsidRDefault="002273B3" w:rsidP="00AC5828">
      <w:pPr>
        <w:pStyle w:val="ListParagraph"/>
        <w:ind w:left="0"/>
        <w:rPr>
          <w:bCs/>
          <w:sz w:val="28"/>
          <w:szCs w:val="28"/>
        </w:rPr>
      </w:pPr>
      <w:r w:rsidRPr="002F00D9">
        <w:rPr>
          <w:bCs/>
          <w:sz w:val="28"/>
          <w:szCs w:val="28"/>
        </w:rPr>
        <w:t xml:space="preserve">  </w:t>
      </w:r>
    </w:p>
    <w:p w14:paraId="4DAE5AB1" w14:textId="67B87ACF" w:rsidR="003E35A7" w:rsidRPr="00A04901" w:rsidRDefault="00A04901" w:rsidP="00A04901">
      <w:pPr>
        <w:rPr>
          <w:bCs/>
          <w:sz w:val="28"/>
          <w:szCs w:val="28"/>
        </w:rPr>
      </w:pPr>
      <w:r w:rsidRPr="002F00D9">
        <w:rPr>
          <w:sz w:val="28"/>
          <w:szCs w:val="28"/>
        </w:rPr>
        <w:lastRenderedPageBreak/>
        <w:t>[34]</w:t>
      </w:r>
      <w:r w:rsidRPr="002F00D9">
        <w:rPr>
          <w:sz w:val="28"/>
          <w:szCs w:val="28"/>
        </w:rPr>
        <w:tab/>
      </w:r>
      <w:r w:rsidR="00DF2AF1" w:rsidRPr="00A04901">
        <w:rPr>
          <w:bCs/>
          <w:sz w:val="28"/>
          <w:szCs w:val="28"/>
        </w:rPr>
        <w:t xml:space="preserve">In the </w:t>
      </w:r>
      <w:r w:rsidR="002B5E7E" w:rsidRPr="00A04901">
        <w:rPr>
          <w:bCs/>
          <w:sz w:val="28"/>
          <w:szCs w:val="28"/>
        </w:rPr>
        <w:t xml:space="preserve">circumstances, </w:t>
      </w:r>
      <w:r w:rsidR="002B5E7E" w:rsidRPr="00A04901">
        <w:rPr>
          <w:bCs/>
          <w:i/>
          <w:iCs/>
          <w:sz w:val="28"/>
          <w:szCs w:val="28"/>
        </w:rPr>
        <w:t xml:space="preserve">Rabinowitz </w:t>
      </w:r>
      <w:r w:rsidR="002B5E7E" w:rsidRPr="00A04901">
        <w:rPr>
          <w:bCs/>
          <w:sz w:val="28"/>
          <w:szCs w:val="28"/>
        </w:rPr>
        <w:t xml:space="preserve">and other </w:t>
      </w:r>
      <w:r w:rsidR="003E35A7" w:rsidRPr="00A04901">
        <w:rPr>
          <w:bCs/>
          <w:sz w:val="28"/>
          <w:szCs w:val="28"/>
        </w:rPr>
        <w:t xml:space="preserve">high court </w:t>
      </w:r>
      <w:r w:rsidR="00E53EE4" w:rsidRPr="00A04901">
        <w:rPr>
          <w:bCs/>
          <w:sz w:val="28"/>
          <w:szCs w:val="28"/>
        </w:rPr>
        <w:t xml:space="preserve">cases were </w:t>
      </w:r>
      <w:r w:rsidR="003E35A7" w:rsidRPr="00A04901">
        <w:rPr>
          <w:bCs/>
          <w:sz w:val="28"/>
          <w:szCs w:val="28"/>
        </w:rPr>
        <w:t>wrongly</w:t>
      </w:r>
      <w:r w:rsidR="00E53EE4" w:rsidRPr="00A04901">
        <w:rPr>
          <w:bCs/>
          <w:sz w:val="28"/>
          <w:szCs w:val="28"/>
        </w:rPr>
        <w:t xml:space="preserve"> </w:t>
      </w:r>
      <w:r w:rsidR="00C46D93" w:rsidRPr="00A04901">
        <w:rPr>
          <w:bCs/>
          <w:sz w:val="28"/>
          <w:szCs w:val="28"/>
        </w:rPr>
        <w:t>decided.</w:t>
      </w:r>
      <w:r w:rsidR="00E53EE4" w:rsidRPr="00A04901">
        <w:rPr>
          <w:bCs/>
          <w:sz w:val="28"/>
          <w:szCs w:val="28"/>
        </w:rPr>
        <w:t xml:space="preserve"> </w:t>
      </w:r>
      <w:r w:rsidR="003E35A7" w:rsidRPr="00A04901">
        <w:rPr>
          <w:bCs/>
          <w:sz w:val="28"/>
          <w:szCs w:val="28"/>
        </w:rPr>
        <w:t xml:space="preserve">It is irrelevant that </w:t>
      </w:r>
      <w:r w:rsidR="003E35A7" w:rsidRPr="00A04901">
        <w:rPr>
          <w:bCs/>
          <w:i/>
          <w:iCs/>
          <w:sz w:val="28"/>
          <w:szCs w:val="28"/>
        </w:rPr>
        <w:t>Hlumisa</w:t>
      </w:r>
      <w:r w:rsidR="003E35A7" w:rsidRPr="00A04901">
        <w:rPr>
          <w:bCs/>
          <w:sz w:val="28"/>
          <w:szCs w:val="28"/>
        </w:rPr>
        <w:t xml:space="preserve"> and </w:t>
      </w:r>
      <w:r w:rsidR="003E35A7" w:rsidRPr="00A04901">
        <w:rPr>
          <w:bCs/>
          <w:i/>
          <w:iCs/>
          <w:sz w:val="28"/>
          <w:szCs w:val="28"/>
        </w:rPr>
        <w:t>Steinhoff</w:t>
      </w:r>
      <w:r w:rsidR="003E35A7" w:rsidRPr="00A04901">
        <w:rPr>
          <w:bCs/>
          <w:sz w:val="28"/>
          <w:szCs w:val="28"/>
        </w:rPr>
        <w:t xml:space="preserve"> con</w:t>
      </w:r>
      <w:r w:rsidR="00DF2AF1" w:rsidRPr="00A04901">
        <w:rPr>
          <w:bCs/>
          <w:sz w:val="28"/>
          <w:szCs w:val="28"/>
        </w:rPr>
        <w:t>cerned</w:t>
      </w:r>
      <w:r w:rsidR="003E35A7" w:rsidRPr="00A04901">
        <w:rPr>
          <w:bCs/>
          <w:sz w:val="28"/>
          <w:szCs w:val="28"/>
        </w:rPr>
        <w:t xml:space="preserve"> claims </w:t>
      </w:r>
      <w:r w:rsidR="00DF2AF1" w:rsidRPr="00A04901">
        <w:rPr>
          <w:bCs/>
          <w:sz w:val="28"/>
          <w:szCs w:val="28"/>
        </w:rPr>
        <w:t xml:space="preserve">brought </w:t>
      </w:r>
      <w:r w:rsidR="003E35A7" w:rsidRPr="00A04901">
        <w:rPr>
          <w:bCs/>
          <w:sz w:val="28"/>
          <w:szCs w:val="28"/>
        </w:rPr>
        <w:t xml:space="preserve">by shareholders against directors. </w:t>
      </w:r>
      <w:r w:rsidR="002B5E7E" w:rsidRPr="00A04901">
        <w:rPr>
          <w:bCs/>
          <w:sz w:val="28"/>
          <w:szCs w:val="28"/>
        </w:rPr>
        <w:t>While those facts are important to not</w:t>
      </w:r>
      <w:r w:rsidR="00D563D2" w:rsidRPr="00A04901">
        <w:rPr>
          <w:bCs/>
          <w:sz w:val="28"/>
          <w:szCs w:val="28"/>
        </w:rPr>
        <w:t>e</w:t>
      </w:r>
      <w:r w:rsidR="002B5E7E" w:rsidRPr="00A04901">
        <w:rPr>
          <w:bCs/>
          <w:sz w:val="28"/>
          <w:szCs w:val="28"/>
        </w:rPr>
        <w:t xml:space="preserve">, </w:t>
      </w:r>
      <w:r w:rsidR="00AC5828" w:rsidRPr="00A04901">
        <w:rPr>
          <w:bCs/>
          <w:sz w:val="28"/>
          <w:szCs w:val="28"/>
        </w:rPr>
        <w:t>t</w:t>
      </w:r>
      <w:r w:rsidR="00F71A4E" w:rsidRPr="00A04901">
        <w:rPr>
          <w:bCs/>
          <w:sz w:val="28"/>
          <w:szCs w:val="28"/>
        </w:rPr>
        <w:t xml:space="preserve">he relevant principles in those decisions as well as </w:t>
      </w:r>
      <w:r w:rsidR="008502AA" w:rsidRPr="00A04901">
        <w:rPr>
          <w:bCs/>
          <w:i/>
          <w:iCs/>
          <w:sz w:val="28"/>
          <w:szCs w:val="28"/>
        </w:rPr>
        <w:t>Gihwala</w:t>
      </w:r>
      <w:r w:rsidR="008502AA" w:rsidRPr="00A04901">
        <w:rPr>
          <w:bCs/>
          <w:sz w:val="28"/>
          <w:szCs w:val="28"/>
        </w:rPr>
        <w:t xml:space="preserve"> </w:t>
      </w:r>
      <w:r w:rsidR="00F71A4E" w:rsidRPr="00A04901">
        <w:rPr>
          <w:bCs/>
          <w:sz w:val="28"/>
          <w:szCs w:val="28"/>
        </w:rPr>
        <w:t xml:space="preserve">are instructive for present purposes. </w:t>
      </w:r>
      <w:r w:rsidR="008502AA" w:rsidRPr="00A04901">
        <w:rPr>
          <w:bCs/>
          <w:sz w:val="28"/>
          <w:szCs w:val="28"/>
        </w:rPr>
        <w:t xml:space="preserve"> </w:t>
      </w:r>
    </w:p>
    <w:p w14:paraId="5EADEFC4" w14:textId="77777777" w:rsidR="00DF2AF1" w:rsidRPr="002F00D9" w:rsidRDefault="00DF2AF1" w:rsidP="00F8280E">
      <w:pPr>
        <w:pStyle w:val="ListParagraph"/>
        <w:rPr>
          <w:bCs/>
          <w:sz w:val="28"/>
          <w:szCs w:val="28"/>
        </w:rPr>
      </w:pPr>
    </w:p>
    <w:p w14:paraId="038D0C8A" w14:textId="75E905A3" w:rsidR="00B516D9" w:rsidRPr="00A04901" w:rsidRDefault="00A04901" w:rsidP="00A04901">
      <w:pPr>
        <w:rPr>
          <w:bCs/>
          <w:sz w:val="28"/>
          <w:szCs w:val="28"/>
        </w:rPr>
      </w:pPr>
      <w:r w:rsidRPr="002F00D9">
        <w:rPr>
          <w:sz w:val="28"/>
          <w:szCs w:val="28"/>
        </w:rPr>
        <w:t>[35]</w:t>
      </w:r>
      <w:r w:rsidRPr="002F00D9">
        <w:rPr>
          <w:sz w:val="28"/>
          <w:szCs w:val="28"/>
        </w:rPr>
        <w:tab/>
      </w:r>
      <w:r w:rsidR="00B516D9" w:rsidRPr="00A04901">
        <w:rPr>
          <w:bCs/>
          <w:sz w:val="28"/>
          <w:szCs w:val="28"/>
        </w:rPr>
        <w:t>For these reasons</w:t>
      </w:r>
      <w:r w:rsidR="008502AA" w:rsidRPr="00A04901">
        <w:rPr>
          <w:bCs/>
          <w:sz w:val="28"/>
          <w:szCs w:val="28"/>
        </w:rPr>
        <w:t>, the high court cannot be faulted for upholding the first exception. T</w:t>
      </w:r>
      <w:r w:rsidR="00B516D9" w:rsidRPr="00A04901">
        <w:rPr>
          <w:bCs/>
          <w:sz w:val="28"/>
          <w:szCs w:val="28"/>
        </w:rPr>
        <w:t>he appeal must</w:t>
      </w:r>
      <w:r w:rsidR="008502AA" w:rsidRPr="00A04901">
        <w:rPr>
          <w:bCs/>
          <w:sz w:val="28"/>
          <w:szCs w:val="28"/>
        </w:rPr>
        <w:t>, accordingly,</w:t>
      </w:r>
      <w:r w:rsidR="00B516D9" w:rsidRPr="00A04901">
        <w:rPr>
          <w:bCs/>
          <w:sz w:val="28"/>
          <w:szCs w:val="28"/>
        </w:rPr>
        <w:t xml:space="preserve"> fail. </w:t>
      </w:r>
      <w:r w:rsidR="001A5C2C" w:rsidRPr="00A04901">
        <w:rPr>
          <w:bCs/>
          <w:sz w:val="28"/>
          <w:szCs w:val="28"/>
        </w:rPr>
        <w:t xml:space="preserve">Counsel for the second defendant </w:t>
      </w:r>
      <w:r w:rsidR="00B516D9" w:rsidRPr="00A04901">
        <w:rPr>
          <w:bCs/>
          <w:sz w:val="28"/>
          <w:szCs w:val="28"/>
        </w:rPr>
        <w:t xml:space="preserve">requested </w:t>
      </w:r>
      <w:r w:rsidR="008502AA" w:rsidRPr="00A04901">
        <w:rPr>
          <w:bCs/>
          <w:sz w:val="28"/>
          <w:szCs w:val="28"/>
        </w:rPr>
        <w:t xml:space="preserve">that </w:t>
      </w:r>
      <w:r w:rsidR="005137EC" w:rsidRPr="00A04901">
        <w:rPr>
          <w:bCs/>
          <w:sz w:val="28"/>
          <w:szCs w:val="28"/>
        </w:rPr>
        <w:t>the order allowing the amendment</w:t>
      </w:r>
      <w:r w:rsidR="0013473C" w:rsidRPr="00A04901">
        <w:rPr>
          <w:bCs/>
          <w:sz w:val="28"/>
          <w:szCs w:val="28"/>
        </w:rPr>
        <w:t>,</w:t>
      </w:r>
      <w:r w:rsidR="005137EC" w:rsidRPr="00A04901">
        <w:rPr>
          <w:bCs/>
          <w:sz w:val="28"/>
          <w:szCs w:val="28"/>
        </w:rPr>
        <w:t xml:space="preserve"> be substitute</w:t>
      </w:r>
      <w:r w:rsidR="00861E5D" w:rsidRPr="00A04901">
        <w:rPr>
          <w:bCs/>
          <w:sz w:val="28"/>
          <w:szCs w:val="28"/>
        </w:rPr>
        <w:t>d</w:t>
      </w:r>
      <w:r w:rsidR="005137EC" w:rsidRPr="00A04901">
        <w:rPr>
          <w:bCs/>
          <w:sz w:val="28"/>
          <w:szCs w:val="28"/>
        </w:rPr>
        <w:t xml:space="preserve"> </w:t>
      </w:r>
      <w:r w:rsidR="00A91E1F" w:rsidRPr="00A04901">
        <w:rPr>
          <w:bCs/>
          <w:sz w:val="28"/>
          <w:szCs w:val="28"/>
        </w:rPr>
        <w:t xml:space="preserve">to provide for </w:t>
      </w:r>
      <w:r w:rsidR="005137EC" w:rsidRPr="00A04901">
        <w:rPr>
          <w:bCs/>
          <w:sz w:val="28"/>
          <w:szCs w:val="28"/>
        </w:rPr>
        <w:t>a new operati</w:t>
      </w:r>
      <w:r w:rsidR="00F71A4E" w:rsidRPr="00A04901">
        <w:rPr>
          <w:bCs/>
          <w:sz w:val="28"/>
          <w:szCs w:val="28"/>
        </w:rPr>
        <w:t>ve</w:t>
      </w:r>
      <w:r w:rsidR="00A91E1F" w:rsidRPr="00A04901">
        <w:rPr>
          <w:bCs/>
          <w:sz w:val="28"/>
          <w:szCs w:val="28"/>
        </w:rPr>
        <w:t xml:space="preserve"> date</w:t>
      </w:r>
      <w:r w:rsidR="008502AA" w:rsidRPr="00A04901">
        <w:rPr>
          <w:bCs/>
          <w:sz w:val="28"/>
          <w:szCs w:val="28"/>
        </w:rPr>
        <w:t>.</w:t>
      </w:r>
      <w:r w:rsidR="005137EC" w:rsidRPr="00A04901">
        <w:rPr>
          <w:bCs/>
          <w:sz w:val="28"/>
          <w:szCs w:val="28"/>
        </w:rPr>
        <w:t xml:space="preserve"> I agree. </w:t>
      </w:r>
    </w:p>
    <w:p w14:paraId="1322080D" w14:textId="77777777" w:rsidR="00131046" w:rsidRPr="002F00D9" w:rsidRDefault="00131046" w:rsidP="00F8280E">
      <w:pPr>
        <w:pStyle w:val="ListParagraph"/>
        <w:rPr>
          <w:bCs/>
          <w:sz w:val="28"/>
          <w:szCs w:val="28"/>
        </w:rPr>
      </w:pPr>
    </w:p>
    <w:p w14:paraId="1B226FA7" w14:textId="4A3EC247" w:rsidR="00131046" w:rsidRPr="00A04901" w:rsidRDefault="00A04901" w:rsidP="00A04901">
      <w:pPr>
        <w:rPr>
          <w:bCs/>
          <w:sz w:val="28"/>
          <w:szCs w:val="28"/>
        </w:rPr>
      </w:pPr>
      <w:r w:rsidRPr="002F00D9">
        <w:rPr>
          <w:sz w:val="28"/>
          <w:szCs w:val="28"/>
        </w:rPr>
        <w:t>[36]</w:t>
      </w:r>
      <w:r w:rsidRPr="002F00D9">
        <w:rPr>
          <w:sz w:val="28"/>
          <w:szCs w:val="28"/>
        </w:rPr>
        <w:tab/>
      </w:r>
      <w:r w:rsidR="00131046" w:rsidRPr="00A04901">
        <w:rPr>
          <w:bCs/>
          <w:sz w:val="28"/>
          <w:szCs w:val="28"/>
        </w:rPr>
        <w:t>In the result, the following order is made</w:t>
      </w:r>
      <w:r w:rsidR="007738F4" w:rsidRPr="00A04901">
        <w:rPr>
          <w:bCs/>
          <w:sz w:val="28"/>
          <w:szCs w:val="28"/>
        </w:rPr>
        <w:t>:</w:t>
      </w:r>
    </w:p>
    <w:p w14:paraId="51A507AE" w14:textId="2AE3F0C0" w:rsidR="005137EC" w:rsidRPr="00A04901" w:rsidRDefault="00A04901" w:rsidP="00A04901">
      <w:pPr>
        <w:rPr>
          <w:bCs/>
          <w:sz w:val="28"/>
          <w:szCs w:val="28"/>
        </w:rPr>
      </w:pPr>
      <w:r w:rsidRPr="002F00D9">
        <w:rPr>
          <w:bCs/>
          <w:sz w:val="28"/>
          <w:szCs w:val="28"/>
        </w:rPr>
        <w:t>1</w:t>
      </w:r>
      <w:r w:rsidRPr="002F00D9">
        <w:rPr>
          <w:bCs/>
          <w:sz w:val="28"/>
          <w:szCs w:val="28"/>
        </w:rPr>
        <w:tab/>
      </w:r>
      <w:r w:rsidR="007738F4" w:rsidRPr="00A04901">
        <w:rPr>
          <w:bCs/>
          <w:sz w:val="28"/>
          <w:szCs w:val="28"/>
        </w:rPr>
        <w:t>The appeal is dismissed</w:t>
      </w:r>
      <w:r w:rsidR="005137EC" w:rsidRPr="00A04901">
        <w:rPr>
          <w:bCs/>
          <w:sz w:val="28"/>
          <w:szCs w:val="28"/>
        </w:rPr>
        <w:t xml:space="preserve"> with costs including the costs of two counsel, where so employed.</w:t>
      </w:r>
    </w:p>
    <w:p w14:paraId="036C4F37" w14:textId="68697164" w:rsidR="00D4118E" w:rsidRPr="00A04901" w:rsidRDefault="00A04901" w:rsidP="00A04901">
      <w:pPr>
        <w:rPr>
          <w:bCs/>
          <w:sz w:val="28"/>
          <w:szCs w:val="28"/>
        </w:rPr>
      </w:pPr>
      <w:r w:rsidRPr="002F00D9">
        <w:rPr>
          <w:bCs/>
          <w:sz w:val="28"/>
          <w:szCs w:val="28"/>
        </w:rPr>
        <w:t>2</w:t>
      </w:r>
      <w:r w:rsidRPr="002F00D9">
        <w:rPr>
          <w:bCs/>
          <w:sz w:val="28"/>
          <w:szCs w:val="28"/>
        </w:rPr>
        <w:tab/>
      </w:r>
      <w:r w:rsidR="005137EC" w:rsidRPr="00A04901">
        <w:rPr>
          <w:bCs/>
          <w:sz w:val="28"/>
          <w:szCs w:val="28"/>
        </w:rPr>
        <w:t>The order of the high court is confirmed save for p</w:t>
      </w:r>
      <w:r w:rsidR="004F61E4" w:rsidRPr="00A04901">
        <w:rPr>
          <w:bCs/>
          <w:sz w:val="28"/>
          <w:szCs w:val="28"/>
        </w:rPr>
        <w:t>aragraph 3</w:t>
      </w:r>
      <w:r w:rsidR="00A23B8E" w:rsidRPr="00A04901">
        <w:rPr>
          <w:bCs/>
          <w:sz w:val="28"/>
          <w:szCs w:val="28"/>
        </w:rPr>
        <w:t xml:space="preserve"> of t</w:t>
      </w:r>
      <w:r w:rsidR="00D4118E" w:rsidRPr="00A04901">
        <w:rPr>
          <w:bCs/>
          <w:sz w:val="28"/>
          <w:szCs w:val="28"/>
        </w:rPr>
        <w:t xml:space="preserve">he order </w:t>
      </w:r>
      <w:r w:rsidR="005137EC" w:rsidRPr="00A04901">
        <w:rPr>
          <w:bCs/>
          <w:sz w:val="28"/>
          <w:szCs w:val="28"/>
        </w:rPr>
        <w:t>which is substituted as follows</w:t>
      </w:r>
      <w:r w:rsidR="00D4118E" w:rsidRPr="00A04901">
        <w:rPr>
          <w:bCs/>
          <w:sz w:val="28"/>
          <w:szCs w:val="28"/>
        </w:rPr>
        <w:t>:</w:t>
      </w:r>
    </w:p>
    <w:p w14:paraId="6FFABECE" w14:textId="2FDDFC51" w:rsidR="00D4118E" w:rsidRPr="002F00D9" w:rsidRDefault="00D4118E" w:rsidP="00E51DC6">
      <w:pPr>
        <w:ind w:left="709"/>
        <w:rPr>
          <w:bCs/>
          <w:sz w:val="28"/>
          <w:szCs w:val="28"/>
        </w:rPr>
      </w:pPr>
      <w:r w:rsidRPr="002F00D9">
        <w:rPr>
          <w:bCs/>
          <w:sz w:val="28"/>
          <w:szCs w:val="28"/>
        </w:rPr>
        <w:t>‘</w:t>
      </w:r>
      <w:r w:rsidR="0023101C" w:rsidRPr="002F00D9">
        <w:rPr>
          <w:bCs/>
          <w:sz w:val="28"/>
          <w:szCs w:val="28"/>
        </w:rPr>
        <w:t xml:space="preserve">3. </w:t>
      </w:r>
      <w:r w:rsidR="00A23B8E" w:rsidRPr="002F00D9">
        <w:rPr>
          <w:bCs/>
          <w:sz w:val="28"/>
          <w:szCs w:val="28"/>
        </w:rPr>
        <w:t xml:space="preserve">The plaintiff is granted leave, if so advised, to file amended particulars of claim within 10 days </w:t>
      </w:r>
      <w:r w:rsidR="00640761" w:rsidRPr="002F00D9">
        <w:rPr>
          <w:bCs/>
          <w:sz w:val="28"/>
          <w:szCs w:val="28"/>
        </w:rPr>
        <w:t xml:space="preserve">of </w:t>
      </w:r>
      <w:r w:rsidR="00A23B8E" w:rsidRPr="002F00D9">
        <w:rPr>
          <w:bCs/>
          <w:sz w:val="28"/>
          <w:szCs w:val="28"/>
        </w:rPr>
        <w:t>the date of this order.’</w:t>
      </w:r>
    </w:p>
    <w:p w14:paraId="73D86B19" w14:textId="77777777" w:rsidR="00D4118E" w:rsidRPr="002F00D9" w:rsidRDefault="00D4118E" w:rsidP="00D4118E">
      <w:pPr>
        <w:rPr>
          <w:bCs/>
          <w:sz w:val="28"/>
          <w:szCs w:val="28"/>
        </w:rPr>
      </w:pPr>
    </w:p>
    <w:p w14:paraId="4B19BFB4" w14:textId="77777777" w:rsidR="004B082A" w:rsidRPr="002F00D9" w:rsidRDefault="004B082A" w:rsidP="00D4118E">
      <w:pPr>
        <w:rPr>
          <w:bCs/>
          <w:sz w:val="28"/>
          <w:szCs w:val="28"/>
        </w:rPr>
      </w:pPr>
    </w:p>
    <w:p w14:paraId="4B8EDE54" w14:textId="77777777" w:rsidR="00DF43A1" w:rsidRPr="002F00D9" w:rsidRDefault="00DF43A1" w:rsidP="00D4118E">
      <w:pPr>
        <w:rPr>
          <w:bCs/>
          <w:sz w:val="28"/>
          <w:szCs w:val="28"/>
        </w:rPr>
      </w:pPr>
    </w:p>
    <w:p w14:paraId="69EB7B88" w14:textId="2138D337" w:rsidR="00A94A5E" w:rsidRPr="002F00D9" w:rsidRDefault="00A94A5E" w:rsidP="004954FA">
      <w:pPr>
        <w:ind w:firstLine="4860"/>
        <w:jc w:val="right"/>
        <w:rPr>
          <w:bCs/>
          <w:sz w:val="28"/>
          <w:szCs w:val="28"/>
        </w:rPr>
      </w:pPr>
      <w:bookmarkStart w:id="4" w:name="_Hlk148682913"/>
      <w:r w:rsidRPr="002F00D9">
        <w:rPr>
          <w:bCs/>
          <w:sz w:val="28"/>
          <w:szCs w:val="28"/>
        </w:rPr>
        <w:t>__________________________</w:t>
      </w:r>
    </w:p>
    <w:p w14:paraId="09EF1230" w14:textId="77777777" w:rsidR="00A94A5E" w:rsidRPr="002F00D9" w:rsidRDefault="00A94A5E" w:rsidP="00A94A5E">
      <w:pPr>
        <w:ind w:firstLine="4860"/>
        <w:jc w:val="right"/>
        <w:rPr>
          <w:sz w:val="28"/>
          <w:szCs w:val="28"/>
        </w:rPr>
      </w:pPr>
      <w:r w:rsidRPr="002F00D9">
        <w:rPr>
          <w:sz w:val="28"/>
          <w:szCs w:val="28"/>
        </w:rPr>
        <w:t>N P MABINDLA-BOQWANA</w:t>
      </w:r>
    </w:p>
    <w:p w14:paraId="49E25976" w14:textId="3E2E4634" w:rsidR="002503D0" w:rsidRPr="002F00D9" w:rsidRDefault="00A94A5E" w:rsidP="006D122A">
      <w:pPr>
        <w:ind w:firstLine="4860"/>
        <w:jc w:val="right"/>
        <w:rPr>
          <w:sz w:val="28"/>
          <w:szCs w:val="28"/>
        </w:rPr>
      </w:pPr>
      <w:r w:rsidRPr="002F00D9">
        <w:rPr>
          <w:sz w:val="28"/>
          <w:szCs w:val="28"/>
        </w:rPr>
        <w:t>JUDGE OF APPEAL</w:t>
      </w:r>
      <w:bookmarkEnd w:id="4"/>
    </w:p>
    <w:p w14:paraId="045FB51C" w14:textId="77777777" w:rsidR="0000055B" w:rsidRPr="002F00D9" w:rsidRDefault="0000055B" w:rsidP="0000055B"/>
    <w:p w14:paraId="71ECFF6C" w14:textId="77777777" w:rsidR="0000055B" w:rsidRPr="002F00D9" w:rsidRDefault="0000055B" w:rsidP="0000055B"/>
    <w:p w14:paraId="716899B7" w14:textId="77777777" w:rsidR="0000055B" w:rsidRPr="002F00D9" w:rsidRDefault="0000055B" w:rsidP="0000055B"/>
    <w:p w14:paraId="3436C50E" w14:textId="7AE18AC8" w:rsidR="00B83FA5" w:rsidRPr="002F00D9" w:rsidRDefault="00DF43A1" w:rsidP="00DF43A1">
      <w:pPr>
        <w:spacing w:after="160" w:line="259" w:lineRule="auto"/>
        <w:jc w:val="left"/>
        <w:rPr>
          <w:rFonts w:eastAsiaTheme="majorEastAsia"/>
          <w:sz w:val="28"/>
          <w:szCs w:val="28"/>
        </w:rPr>
      </w:pPr>
      <w:r w:rsidRPr="002F00D9">
        <w:rPr>
          <w:sz w:val="28"/>
          <w:szCs w:val="28"/>
        </w:rPr>
        <w:br w:type="page"/>
      </w:r>
      <w:r w:rsidR="00B83FA5" w:rsidRPr="002F00D9">
        <w:rPr>
          <w:sz w:val="28"/>
          <w:szCs w:val="28"/>
        </w:rPr>
        <w:lastRenderedPageBreak/>
        <w:t>Appearances</w:t>
      </w:r>
    </w:p>
    <w:p w14:paraId="343283C7" w14:textId="77777777" w:rsidR="00B83FA5" w:rsidRPr="002F00D9" w:rsidRDefault="00B83FA5" w:rsidP="0016595D">
      <w:pPr>
        <w:rPr>
          <w:sz w:val="28"/>
          <w:szCs w:val="28"/>
        </w:rPr>
      </w:pPr>
    </w:p>
    <w:p w14:paraId="10F62D08" w14:textId="4399E9BB" w:rsidR="00B83FA5" w:rsidRPr="002F00D9" w:rsidRDefault="00B83FA5" w:rsidP="0016595D">
      <w:pPr>
        <w:rPr>
          <w:sz w:val="28"/>
          <w:szCs w:val="28"/>
        </w:rPr>
      </w:pPr>
      <w:r w:rsidRPr="002F00D9">
        <w:rPr>
          <w:sz w:val="28"/>
          <w:szCs w:val="28"/>
        </w:rPr>
        <w:t xml:space="preserve">For the appellant: </w:t>
      </w:r>
      <w:r w:rsidRPr="002F00D9">
        <w:rPr>
          <w:sz w:val="28"/>
          <w:szCs w:val="28"/>
        </w:rPr>
        <w:tab/>
      </w:r>
      <w:r w:rsidRPr="002F00D9">
        <w:rPr>
          <w:sz w:val="28"/>
          <w:szCs w:val="28"/>
        </w:rPr>
        <w:tab/>
      </w:r>
      <w:r w:rsidRPr="002F00D9">
        <w:rPr>
          <w:sz w:val="28"/>
          <w:szCs w:val="28"/>
        </w:rPr>
        <w:tab/>
      </w:r>
      <w:r w:rsidR="002503D0" w:rsidRPr="002F00D9">
        <w:rPr>
          <w:sz w:val="28"/>
          <w:szCs w:val="28"/>
        </w:rPr>
        <w:t>F Snyckers SC</w:t>
      </w:r>
      <w:r w:rsidR="00BC6D40" w:rsidRPr="002F00D9">
        <w:rPr>
          <w:sz w:val="28"/>
          <w:szCs w:val="28"/>
        </w:rPr>
        <w:t xml:space="preserve"> </w:t>
      </w:r>
    </w:p>
    <w:p w14:paraId="23F956D3" w14:textId="73A16B79" w:rsidR="00B83FA5" w:rsidRPr="002F00D9" w:rsidRDefault="00B83FA5" w:rsidP="00414B72">
      <w:pPr>
        <w:rPr>
          <w:bCs/>
          <w:sz w:val="28"/>
          <w:szCs w:val="28"/>
        </w:rPr>
      </w:pPr>
      <w:r w:rsidRPr="002F00D9">
        <w:rPr>
          <w:bCs/>
          <w:sz w:val="28"/>
          <w:szCs w:val="28"/>
        </w:rPr>
        <w:t>Instructed by:</w:t>
      </w:r>
      <w:r w:rsidRPr="002F00D9">
        <w:rPr>
          <w:bCs/>
          <w:sz w:val="28"/>
          <w:szCs w:val="28"/>
        </w:rPr>
        <w:tab/>
      </w:r>
      <w:r w:rsidRPr="002F00D9">
        <w:rPr>
          <w:bCs/>
          <w:sz w:val="28"/>
          <w:szCs w:val="28"/>
        </w:rPr>
        <w:tab/>
      </w:r>
      <w:r w:rsidRPr="002F00D9">
        <w:rPr>
          <w:bCs/>
          <w:sz w:val="28"/>
          <w:szCs w:val="28"/>
        </w:rPr>
        <w:tab/>
      </w:r>
      <w:r w:rsidR="002503D0" w:rsidRPr="002F00D9">
        <w:rPr>
          <w:bCs/>
          <w:sz w:val="28"/>
          <w:szCs w:val="28"/>
        </w:rPr>
        <w:t>Shepstone &amp; Wylie Attorneys, Durban</w:t>
      </w:r>
    </w:p>
    <w:p w14:paraId="5C2DB60A" w14:textId="6E7BF9C9" w:rsidR="002503D0" w:rsidRPr="002F00D9" w:rsidRDefault="002503D0" w:rsidP="00414B72">
      <w:pPr>
        <w:rPr>
          <w:bCs/>
          <w:sz w:val="28"/>
          <w:szCs w:val="28"/>
        </w:rPr>
      </w:pPr>
      <w:r w:rsidRPr="002F00D9">
        <w:rPr>
          <w:bCs/>
          <w:sz w:val="28"/>
          <w:szCs w:val="28"/>
        </w:rPr>
        <w:tab/>
      </w:r>
      <w:r w:rsidRPr="002F00D9">
        <w:rPr>
          <w:bCs/>
          <w:sz w:val="28"/>
          <w:szCs w:val="28"/>
        </w:rPr>
        <w:tab/>
      </w:r>
      <w:r w:rsidRPr="002F00D9">
        <w:rPr>
          <w:bCs/>
          <w:sz w:val="28"/>
          <w:szCs w:val="28"/>
        </w:rPr>
        <w:tab/>
      </w:r>
      <w:r w:rsidRPr="002F00D9">
        <w:rPr>
          <w:bCs/>
          <w:sz w:val="28"/>
          <w:szCs w:val="28"/>
        </w:rPr>
        <w:tab/>
      </w:r>
      <w:r w:rsidRPr="002F00D9">
        <w:rPr>
          <w:bCs/>
          <w:sz w:val="28"/>
          <w:szCs w:val="28"/>
        </w:rPr>
        <w:tab/>
        <w:t>Symington De Kok Attorneys, Bloemfontein</w:t>
      </w:r>
    </w:p>
    <w:p w14:paraId="2F84AF73" w14:textId="77777777" w:rsidR="00B83FA5" w:rsidRPr="002F00D9" w:rsidRDefault="00B83FA5" w:rsidP="0016595D">
      <w:pPr>
        <w:rPr>
          <w:bCs/>
          <w:sz w:val="28"/>
          <w:szCs w:val="28"/>
        </w:rPr>
      </w:pPr>
    </w:p>
    <w:p w14:paraId="104B9D9B" w14:textId="3E5E206D" w:rsidR="00B83FA5" w:rsidRPr="002F00D9" w:rsidRDefault="00B83FA5" w:rsidP="0016595D">
      <w:pPr>
        <w:rPr>
          <w:sz w:val="28"/>
          <w:szCs w:val="28"/>
        </w:rPr>
      </w:pPr>
      <w:r w:rsidRPr="002F00D9">
        <w:rPr>
          <w:sz w:val="28"/>
          <w:szCs w:val="28"/>
        </w:rPr>
        <w:t xml:space="preserve">For the </w:t>
      </w:r>
      <w:r w:rsidR="001F32F1" w:rsidRPr="002F00D9">
        <w:rPr>
          <w:sz w:val="28"/>
          <w:szCs w:val="28"/>
        </w:rPr>
        <w:t xml:space="preserve">first </w:t>
      </w:r>
      <w:r w:rsidRPr="002F00D9">
        <w:rPr>
          <w:sz w:val="28"/>
          <w:szCs w:val="28"/>
        </w:rPr>
        <w:t>respondent:</w:t>
      </w:r>
      <w:r w:rsidRPr="002F00D9">
        <w:rPr>
          <w:sz w:val="28"/>
          <w:szCs w:val="28"/>
        </w:rPr>
        <w:tab/>
      </w:r>
      <w:r w:rsidRPr="002F00D9">
        <w:rPr>
          <w:sz w:val="28"/>
          <w:szCs w:val="28"/>
        </w:rPr>
        <w:tab/>
      </w:r>
      <w:r w:rsidR="002503D0" w:rsidRPr="002F00D9">
        <w:rPr>
          <w:sz w:val="28"/>
          <w:szCs w:val="28"/>
        </w:rPr>
        <w:t>A Annandale SC with J Miranda</w:t>
      </w:r>
      <w:r w:rsidRPr="002F00D9">
        <w:rPr>
          <w:sz w:val="28"/>
          <w:szCs w:val="28"/>
        </w:rPr>
        <w:t xml:space="preserve"> </w:t>
      </w:r>
    </w:p>
    <w:p w14:paraId="0E2BC901" w14:textId="237899CC" w:rsidR="00B83FA5" w:rsidRPr="002F00D9" w:rsidRDefault="00B83FA5" w:rsidP="00414B72">
      <w:pPr>
        <w:rPr>
          <w:bCs/>
          <w:sz w:val="28"/>
          <w:szCs w:val="28"/>
        </w:rPr>
      </w:pPr>
      <w:r w:rsidRPr="002F00D9">
        <w:rPr>
          <w:bCs/>
          <w:sz w:val="28"/>
          <w:szCs w:val="28"/>
        </w:rPr>
        <w:t>Instructed by:</w:t>
      </w:r>
      <w:r w:rsidRPr="002F00D9">
        <w:rPr>
          <w:bCs/>
          <w:sz w:val="28"/>
          <w:szCs w:val="28"/>
        </w:rPr>
        <w:tab/>
      </w:r>
      <w:r w:rsidRPr="002F00D9">
        <w:rPr>
          <w:bCs/>
          <w:sz w:val="28"/>
          <w:szCs w:val="28"/>
        </w:rPr>
        <w:tab/>
      </w:r>
      <w:r w:rsidRPr="002F00D9">
        <w:rPr>
          <w:bCs/>
          <w:sz w:val="28"/>
          <w:szCs w:val="28"/>
        </w:rPr>
        <w:tab/>
      </w:r>
      <w:r w:rsidR="002503D0" w:rsidRPr="002F00D9">
        <w:rPr>
          <w:bCs/>
          <w:sz w:val="28"/>
          <w:szCs w:val="28"/>
        </w:rPr>
        <w:t>Grant and Swanepoel Attorneys, Pietermaritzburg</w:t>
      </w:r>
    </w:p>
    <w:p w14:paraId="01542687" w14:textId="3BB945DE" w:rsidR="002503D0" w:rsidRPr="0016595D" w:rsidRDefault="002503D0" w:rsidP="00414B72">
      <w:pPr>
        <w:rPr>
          <w:bCs/>
          <w:sz w:val="28"/>
          <w:szCs w:val="28"/>
        </w:rPr>
      </w:pPr>
      <w:r w:rsidRPr="002F00D9">
        <w:rPr>
          <w:bCs/>
          <w:sz w:val="28"/>
          <w:szCs w:val="28"/>
        </w:rPr>
        <w:tab/>
      </w:r>
      <w:r w:rsidRPr="002F00D9">
        <w:rPr>
          <w:bCs/>
          <w:sz w:val="28"/>
          <w:szCs w:val="28"/>
        </w:rPr>
        <w:tab/>
      </w:r>
      <w:r w:rsidRPr="002F00D9">
        <w:rPr>
          <w:bCs/>
          <w:sz w:val="28"/>
          <w:szCs w:val="28"/>
        </w:rPr>
        <w:tab/>
      </w:r>
      <w:r w:rsidRPr="002F00D9">
        <w:rPr>
          <w:bCs/>
          <w:sz w:val="28"/>
          <w:szCs w:val="28"/>
        </w:rPr>
        <w:tab/>
      </w:r>
      <w:r w:rsidRPr="002F00D9">
        <w:rPr>
          <w:bCs/>
          <w:sz w:val="28"/>
          <w:szCs w:val="28"/>
        </w:rPr>
        <w:tab/>
        <w:t>Kramer Wiehmann Attorneys, Bloemfontein.</w:t>
      </w:r>
    </w:p>
    <w:p w14:paraId="477B2B83" w14:textId="792800E0" w:rsidR="00744EA9" w:rsidRPr="0016595D" w:rsidRDefault="00744EA9" w:rsidP="0016595D"/>
    <w:sectPr w:rsidR="00744EA9" w:rsidRPr="0016595D" w:rsidSect="00DE79AC">
      <w:headerReference w:type="even" r:id="rId10"/>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58B3C" w14:textId="77777777" w:rsidR="00527A8E" w:rsidRDefault="00527A8E" w:rsidP="00B83FA5">
      <w:pPr>
        <w:spacing w:line="240" w:lineRule="auto"/>
      </w:pPr>
      <w:r>
        <w:separator/>
      </w:r>
    </w:p>
  </w:endnote>
  <w:endnote w:type="continuationSeparator" w:id="0">
    <w:p w14:paraId="438DB2DB" w14:textId="77777777" w:rsidR="00527A8E" w:rsidRDefault="00527A8E" w:rsidP="00B83FA5">
      <w:pPr>
        <w:spacing w:line="240" w:lineRule="auto"/>
      </w:pPr>
      <w:r>
        <w:continuationSeparator/>
      </w:r>
    </w:p>
  </w:endnote>
  <w:endnote w:type="continuationNotice" w:id="1">
    <w:p w14:paraId="373016AF" w14:textId="77777777" w:rsidR="00527A8E" w:rsidRDefault="00527A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B29FD" w14:textId="77777777" w:rsidR="00527A8E" w:rsidRDefault="00527A8E" w:rsidP="00B83FA5">
      <w:pPr>
        <w:spacing w:line="240" w:lineRule="auto"/>
      </w:pPr>
      <w:r>
        <w:separator/>
      </w:r>
    </w:p>
  </w:footnote>
  <w:footnote w:type="continuationSeparator" w:id="0">
    <w:p w14:paraId="20213D19" w14:textId="77777777" w:rsidR="00527A8E" w:rsidRDefault="00527A8E" w:rsidP="00B83FA5">
      <w:pPr>
        <w:spacing w:line="240" w:lineRule="auto"/>
      </w:pPr>
      <w:r>
        <w:continuationSeparator/>
      </w:r>
    </w:p>
  </w:footnote>
  <w:footnote w:type="continuationNotice" w:id="1">
    <w:p w14:paraId="2B96472E" w14:textId="77777777" w:rsidR="00527A8E" w:rsidRDefault="00527A8E">
      <w:pPr>
        <w:spacing w:line="240" w:lineRule="auto"/>
      </w:pPr>
    </w:p>
  </w:footnote>
  <w:footnote w:id="2">
    <w:p w14:paraId="71D8F8CC" w14:textId="57337AEB" w:rsidR="00A44219" w:rsidRPr="00E51DC6" w:rsidRDefault="00A44219" w:rsidP="00EB1858">
      <w:pPr>
        <w:spacing w:line="240" w:lineRule="auto"/>
        <w:rPr>
          <w:bCs/>
          <w:i/>
          <w:iCs/>
          <w:sz w:val="20"/>
          <w:szCs w:val="20"/>
          <w:lang w:val="en-ZA"/>
        </w:rPr>
      </w:pPr>
      <w:r w:rsidRPr="00B414B1">
        <w:rPr>
          <w:rStyle w:val="FootnoteReference"/>
          <w:sz w:val="20"/>
          <w:szCs w:val="20"/>
        </w:rPr>
        <w:footnoteRef/>
      </w:r>
      <w:r w:rsidR="00451E0A" w:rsidRPr="003112C8">
        <w:rPr>
          <w:bCs/>
          <w:sz w:val="20"/>
          <w:szCs w:val="20"/>
        </w:rPr>
        <w:t xml:space="preserve"> </w:t>
      </w:r>
      <w:r w:rsidRPr="005E20C9">
        <w:rPr>
          <w:bCs/>
          <w:i/>
          <w:iCs/>
          <w:sz w:val="20"/>
          <w:szCs w:val="20"/>
        </w:rPr>
        <w:t>Rabinowitz v Van Graan and Others</w:t>
      </w:r>
      <w:r>
        <w:rPr>
          <w:bCs/>
          <w:i/>
          <w:iCs/>
          <w:sz w:val="20"/>
          <w:szCs w:val="20"/>
        </w:rPr>
        <w:t xml:space="preserve"> </w:t>
      </w:r>
      <w:r w:rsidR="00FF1CA9" w:rsidRPr="00E51DC6">
        <w:rPr>
          <w:bCs/>
          <w:sz w:val="20"/>
          <w:szCs w:val="20"/>
          <w:lang w:val="en-ZA"/>
        </w:rPr>
        <w:t>[2013] ZAGPJHC 151;</w:t>
      </w:r>
      <w:r w:rsidR="00FF1CA9">
        <w:rPr>
          <w:bCs/>
          <w:i/>
          <w:iCs/>
          <w:sz w:val="20"/>
          <w:szCs w:val="20"/>
          <w:lang w:val="en-ZA"/>
        </w:rPr>
        <w:t xml:space="preserve"> </w:t>
      </w:r>
      <w:r w:rsidRPr="00F64550">
        <w:rPr>
          <w:bCs/>
          <w:sz w:val="20"/>
          <w:szCs w:val="20"/>
        </w:rPr>
        <w:t>2013</w:t>
      </w:r>
      <w:r>
        <w:rPr>
          <w:bCs/>
          <w:sz w:val="20"/>
          <w:szCs w:val="20"/>
        </w:rPr>
        <w:t xml:space="preserve"> (5) SA </w:t>
      </w:r>
      <w:r w:rsidR="00FF1CA9">
        <w:rPr>
          <w:bCs/>
          <w:sz w:val="20"/>
          <w:szCs w:val="20"/>
        </w:rPr>
        <w:t xml:space="preserve">315 </w:t>
      </w:r>
      <w:r>
        <w:rPr>
          <w:bCs/>
          <w:sz w:val="20"/>
          <w:szCs w:val="20"/>
        </w:rPr>
        <w:t xml:space="preserve">(GSJ). </w:t>
      </w:r>
      <w:r w:rsidR="00963EDA">
        <w:rPr>
          <w:bCs/>
          <w:sz w:val="20"/>
          <w:szCs w:val="20"/>
        </w:rPr>
        <w:t xml:space="preserve">See also </w:t>
      </w:r>
      <w:r w:rsidR="00963EDA" w:rsidRPr="00963EDA">
        <w:rPr>
          <w:bCs/>
          <w:i/>
          <w:iCs/>
          <w:sz w:val="20"/>
          <w:szCs w:val="20"/>
        </w:rPr>
        <w:t>Chemfit Fine Chemicals (Pty) Ltd v Maake</w:t>
      </w:r>
      <w:r w:rsidR="00963EDA">
        <w:rPr>
          <w:bCs/>
          <w:i/>
          <w:iCs/>
          <w:sz w:val="20"/>
          <w:szCs w:val="20"/>
        </w:rPr>
        <w:t xml:space="preserve"> </w:t>
      </w:r>
      <w:r w:rsidR="00963EDA" w:rsidRPr="00963EDA">
        <w:rPr>
          <w:bCs/>
          <w:sz w:val="20"/>
          <w:szCs w:val="20"/>
        </w:rPr>
        <w:t>2017 JDR 1473 (LP)</w:t>
      </w:r>
      <w:r w:rsidR="00963EDA">
        <w:rPr>
          <w:bCs/>
          <w:sz w:val="20"/>
          <w:szCs w:val="20"/>
        </w:rPr>
        <w:t xml:space="preserve">; </w:t>
      </w:r>
      <w:r w:rsidR="00963EDA" w:rsidRPr="00963EDA">
        <w:rPr>
          <w:bCs/>
          <w:i/>
          <w:iCs/>
          <w:sz w:val="20"/>
          <w:szCs w:val="20"/>
        </w:rPr>
        <w:t>Maake and Others v Chemfit Finechemical (Pty) Ltd</w:t>
      </w:r>
      <w:r w:rsidR="00963EDA">
        <w:rPr>
          <w:bCs/>
          <w:sz w:val="20"/>
          <w:szCs w:val="20"/>
        </w:rPr>
        <w:t xml:space="preserve"> </w:t>
      </w:r>
      <w:r w:rsidR="00FD343A">
        <w:rPr>
          <w:bCs/>
          <w:sz w:val="20"/>
          <w:szCs w:val="20"/>
        </w:rPr>
        <w:t xml:space="preserve">[2018] ZALMPPHC 71; </w:t>
      </w:r>
      <w:r w:rsidR="00FD343A" w:rsidRPr="00EA6690">
        <w:rPr>
          <w:bCs/>
          <w:i/>
          <w:iCs/>
          <w:sz w:val="20"/>
          <w:szCs w:val="20"/>
        </w:rPr>
        <w:t>Blue Farm Fashion Limited v Rapitrade 6 (Pty) Ltd and Others</w:t>
      </w:r>
      <w:r w:rsidR="00FD343A">
        <w:rPr>
          <w:bCs/>
          <w:sz w:val="20"/>
          <w:szCs w:val="20"/>
        </w:rPr>
        <w:t xml:space="preserve"> [2016] JOL 35613 (WCC)</w:t>
      </w:r>
      <w:r w:rsidR="00EA6690">
        <w:rPr>
          <w:bCs/>
          <w:sz w:val="20"/>
          <w:szCs w:val="20"/>
        </w:rPr>
        <w:t xml:space="preserve">; </w:t>
      </w:r>
      <w:r w:rsidR="00EA6690" w:rsidRPr="00EA6690">
        <w:rPr>
          <w:bCs/>
          <w:i/>
          <w:iCs/>
          <w:sz w:val="20"/>
          <w:szCs w:val="20"/>
        </w:rPr>
        <w:t>Meatworld Factory CC v ET Trading House (Pty) Ltd</w:t>
      </w:r>
      <w:r w:rsidR="00EA6690">
        <w:rPr>
          <w:bCs/>
          <w:sz w:val="20"/>
          <w:szCs w:val="20"/>
        </w:rPr>
        <w:t xml:space="preserve"> 2019 JDR 1351 (GJ).  </w:t>
      </w:r>
      <w:r w:rsidR="00FD343A">
        <w:rPr>
          <w:bCs/>
          <w:sz w:val="20"/>
          <w:szCs w:val="20"/>
        </w:rPr>
        <w:t xml:space="preserve"> </w:t>
      </w:r>
    </w:p>
  </w:footnote>
  <w:footnote w:id="3">
    <w:p w14:paraId="0C93780D" w14:textId="77777777" w:rsidR="00997E39" w:rsidRPr="00EA6690" w:rsidRDefault="00997E39" w:rsidP="00997E39">
      <w:pPr>
        <w:pStyle w:val="FootnoteText"/>
        <w:spacing w:line="240" w:lineRule="auto"/>
        <w:rPr>
          <w:lang w:val="en-US"/>
        </w:rPr>
      </w:pPr>
      <w:r>
        <w:rPr>
          <w:rStyle w:val="FootnoteReference"/>
        </w:rPr>
        <w:footnoteRef/>
      </w:r>
      <w:r>
        <w:t xml:space="preserve"> </w:t>
      </w:r>
      <w:r>
        <w:rPr>
          <w:lang w:val="en-US"/>
        </w:rPr>
        <w:t xml:space="preserve">Ibid para 17.  </w:t>
      </w:r>
    </w:p>
  </w:footnote>
  <w:footnote w:id="4">
    <w:p w14:paraId="16224F11" w14:textId="5511B22D" w:rsidR="00997E39" w:rsidRPr="00B414B1" w:rsidRDefault="00997E39" w:rsidP="00997E39">
      <w:pPr>
        <w:pStyle w:val="FootnoteText"/>
        <w:spacing w:line="240" w:lineRule="auto"/>
        <w:rPr>
          <w:lang w:val="en-US"/>
        </w:rPr>
      </w:pPr>
      <w:r>
        <w:rPr>
          <w:rStyle w:val="FootnoteReference"/>
        </w:rPr>
        <w:footnoteRef/>
      </w:r>
      <w:r>
        <w:t xml:space="preserve"> Ibid para 22. </w:t>
      </w:r>
    </w:p>
  </w:footnote>
  <w:footnote w:id="5">
    <w:p w14:paraId="66882EC4" w14:textId="0B545729" w:rsidR="003B411E" w:rsidRPr="003112C8" w:rsidRDefault="003B411E" w:rsidP="003112C8">
      <w:pPr>
        <w:pStyle w:val="FootnoteText"/>
        <w:spacing w:line="240" w:lineRule="auto"/>
        <w:rPr>
          <w:lang w:val="en-ZA"/>
        </w:rPr>
      </w:pPr>
      <w:r>
        <w:rPr>
          <w:rStyle w:val="FootnoteReference"/>
        </w:rPr>
        <w:footnoteRef/>
      </w:r>
      <w:r>
        <w:t xml:space="preserve"> </w:t>
      </w:r>
      <w:r w:rsidR="00451E0A">
        <w:rPr>
          <w:lang w:val="en-ZA"/>
        </w:rPr>
        <w:t>Ibid para 21.</w:t>
      </w:r>
    </w:p>
  </w:footnote>
  <w:footnote w:id="6">
    <w:p w14:paraId="77F98E01" w14:textId="1828222D" w:rsidR="00BF2B7C" w:rsidRPr="00BF2B7C" w:rsidRDefault="00BF2B7C" w:rsidP="006D122A">
      <w:pPr>
        <w:pStyle w:val="FootnoteText"/>
        <w:spacing w:line="240" w:lineRule="auto"/>
        <w:rPr>
          <w:lang w:val="en-US"/>
        </w:rPr>
      </w:pPr>
      <w:r>
        <w:rPr>
          <w:rStyle w:val="FootnoteReference"/>
        </w:rPr>
        <w:footnoteRef/>
      </w:r>
      <w:r>
        <w:t xml:space="preserve"> C</w:t>
      </w:r>
      <w:r>
        <w:rPr>
          <w:lang w:val="en-US"/>
        </w:rPr>
        <w:t xml:space="preserve">ases listed in fn </w:t>
      </w:r>
      <w:r w:rsidR="003100B0">
        <w:rPr>
          <w:lang w:val="en-US"/>
        </w:rPr>
        <w:t>1</w:t>
      </w:r>
      <w:r>
        <w:rPr>
          <w:lang w:val="en-US"/>
        </w:rPr>
        <w:t>.</w:t>
      </w:r>
    </w:p>
  </w:footnote>
  <w:footnote w:id="7">
    <w:p w14:paraId="554FAE3E" w14:textId="648370D4" w:rsidR="004C399F" w:rsidRPr="004C399F" w:rsidRDefault="004C399F" w:rsidP="006D122A">
      <w:pPr>
        <w:pStyle w:val="FootnoteText"/>
        <w:spacing w:line="240" w:lineRule="auto"/>
      </w:pPr>
      <w:r w:rsidRPr="004C399F">
        <w:rPr>
          <w:rStyle w:val="FootnoteReference"/>
        </w:rPr>
        <w:footnoteRef/>
      </w:r>
      <w:r w:rsidRPr="004C399F">
        <w:t xml:space="preserve"> </w:t>
      </w:r>
      <w:r w:rsidRPr="00E51DC6">
        <w:rPr>
          <w:i/>
          <w:iCs/>
        </w:rPr>
        <w:t>Venator Africa (Pty) Limited v Bekker and Another</w:t>
      </w:r>
      <w:r w:rsidRPr="004C399F">
        <w:t xml:space="preserve"> [2022] ZAKZPHC 50; [2022] 4 All SA 600 (KZP)</w:t>
      </w:r>
      <w:r w:rsidR="00E51DC6">
        <w:t xml:space="preserve"> (High Court judgment)</w:t>
      </w:r>
      <w:r w:rsidRPr="004C399F">
        <w:t xml:space="preserve"> para 86.</w:t>
      </w:r>
    </w:p>
  </w:footnote>
  <w:footnote w:id="8">
    <w:p w14:paraId="62E477C8" w14:textId="1C7239A6" w:rsidR="00963EDA" w:rsidRPr="004C399F" w:rsidRDefault="00963EDA" w:rsidP="004C399F">
      <w:pPr>
        <w:pStyle w:val="FootnoteText"/>
        <w:spacing w:line="240" w:lineRule="auto"/>
        <w:rPr>
          <w:lang w:val="en-US"/>
        </w:rPr>
      </w:pPr>
      <w:r w:rsidRPr="004C399F">
        <w:rPr>
          <w:rStyle w:val="FootnoteReference"/>
        </w:rPr>
        <w:footnoteRef/>
      </w:r>
      <w:r w:rsidRPr="004C399F">
        <w:t xml:space="preserve"> </w:t>
      </w:r>
      <w:r w:rsidRPr="004C399F">
        <w:rPr>
          <w:bCs/>
          <w:i/>
          <w:iCs/>
        </w:rPr>
        <w:t>De Bruyn v Steinhoff International Holdings N</w:t>
      </w:r>
      <w:r w:rsidR="00017FEF">
        <w:rPr>
          <w:bCs/>
          <w:i/>
          <w:iCs/>
        </w:rPr>
        <w:t>.</w:t>
      </w:r>
      <w:r w:rsidRPr="004C399F">
        <w:rPr>
          <w:bCs/>
          <w:i/>
          <w:iCs/>
        </w:rPr>
        <w:t>V</w:t>
      </w:r>
      <w:r w:rsidR="00017FEF">
        <w:rPr>
          <w:bCs/>
          <w:i/>
          <w:iCs/>
        </w:rPr>
        <w:t>.</w:t>
      </w:r>
      <w:r w:rsidRPr="004C399F">
        <w:rPr>
          <w:bCs/>
          <w:i/>
          <w:iCs/>
        </w:rPr>
        <w:t xml:space="preserve"> and Others</w:t>
      </w:r>
      <w:r w:rsidRPr="004C399F">
        <w:rPr>
          <w:bCs/>
        </w:rPr>
        <w:t xml:space="preserve"> </w:t>
      </w:r>
      <w:r w:rsidR="00017FEF" w:rsidRPr="00017FEF">
        <w:rPr>
          <w:bCs/>
        </w:rPr>
        <w:t>[2020] ZAGPJHC 145</w:t>
      </w:r>
      <w:r w:rsidR="00017FEF">
        <w:rPr>
          <w:bCs/>
        </w:rPr>
        <w:t xml:space="preserve">; </w:t>
      </w:r>
      <w:r w:rsidRPr="004C399F">
        <w:rPr>
          <w:bCs/>
        </w:rPr>
        <w:t>2022 (1) SA 442 (GJ).</w:t>
      </w:r>
    </w:p>
  </w:footnote>
  <w:footnote w:id="9">
    <w:p w14:paraId="063E8C4E" w14:textId="398F9A6C" w:rsidR="001C75AC" w:rsidRPr="004C399F" w:rsidRDefault="001C75AC" w:rsidP="004C399F">
      <w:pPr>
        <w:pStyle w:val="FootnoteText"/>
        <w:spacing w:line="240" w:lineRule="auto"/>
        <w:rPr>
          <w:lang w:val="en-US"/>
        </w:rPr>
      </w:pPr>
      <w:r w:rsidRPr="004C399F">
        <w:rPr>
          <w:rStyle w:val="FootnoteReference"/>
        </w:rPr>
        <w:footnoteRef/>
      </w:r>
      <w:r w:rsidRPr="004C399F">
        <w:t xml:space="preserve"> </w:t>
      </w:r>
      <w:r w:rsidRPr="004C399F">
        <w:rPr>
          <w:lang w:val="en-US"/>
        </w:rPr>
        <w:t xml:space="preserve">Ibid para 191. </w:t>
      </w:r>
    </w:p>
  </w:footnote>
  <w:footnote w:id="10">
    <w:p w14:paraId="124B966F" w14:textId="750DB6A4" w:rsidR="00BA6860" w:rsidRPr="00E51DC6" w:rsidRDefault="00BA6860" w:rsidP="004C399F">
      <w:pPr>
        <w:pStyle w:val="ListParagraph"/>
        <w:spacing w:line="240" w:lineRule="auto"/>
        <w:ind w:left="0"/>
        <w:rPr>
          <w:sz w:val="20"/>
          <w:szCs w:val="20"/>
          <w:lang w:val="en-US"/>
        </w:rPr>
      </w:pPr>
      <w:r w:rsidRPr="00E51DC6">
        <w:rPr>
          <w:rStyle w:val="FootnoteReference"/>
          <w:sz w:val="20"/>
          <w:szCs w:val="20"/>
        </w:rPr>
        <w:footnoteRef/>
      </w:r>
      <w:r w:rsidRPr="00E51DC6">
        <w:rPr>
          <w:sz w:val="20"/>
          <w:szCs w:val="20"/>
        </w:rPr>
        <w:t xml:space="preserve"> </w:t>
      </w:r>
      <w:r w:rsidRPr="004C399F">
        <w:rPr>
          <w:bCs/>
          <w:i/>
          <w:iCs/>
          <w:sz w:val="20"/>
          <w:szCs w:val="20"/>
        </w:rPr>
        <w:t xml:space="preserve">Hlumisa Investment Holdings </w:t>
      </w:r>
      <w:r w:rsidR="00017FEF">
        <w:rPr>
          <w:bCs/>
          <w:i/>
          <w:iCs/>
          <w:sz w:val="20"/>
          <w:szCs w:val="20"/>
        </w:rPr>
        <w:t>(</w:t>
      </w:r>
      <w:r w:rsidRPr="004C399F">
        <w:rPr>
          <w:bCs/>
          <w:i/>
          <w:iCs/>
          <w:sz w:val="20"/>
          <w:szCs w:val="20"/>
        </w:rPr>
        <w:t>RF</w:t>
      </w:r>
      <w:r w:rsidR="00017FEF">
        <w:rPr>
          <w:bCs/>
          <w:i/>
          <w:iCs/>
          <w:sz w:val="20"/>
          <w:szCs w:val="20"/>
        </w:rPr>
        <w:t>)</w:t>
      </w:r>
      <w:r w:rsidRPr="004C399F">
        <w:rPr>
          <w:bCs/>
          <w:i/>
          <w:iCs/>
          <w:sz w:val="20"/>
          <w:szCs w:val="20"/>
        </w:rPr>
        <w:t xml:space="preserve"> Ltd and Another v Kirkinis and Others</w:t>
      </w:r>
      <w:r w:rsidR="00015563" w:rsidRPr="004C399F">
        <w:rPr>
          <w:bCs/>
          <w:i/>
          <w:iCs/>
          <w:sz w:val="20"/>
          <w:szCs w:val="20"/>
        </w:rPr>
        <w:t xml:space="preserve"> </w:t>
      </w:r>
      <w:r w:rsidR="00015563" w:rsidRPr="004C399F">
        <w:rPr>
          <w:bCs/>
          <w:sz w:val="20"/>
          <w:szCs w:val="20"/>
        </w:rPr>
        <w:t>[2020] ZASCA 83;</w:t>
      </w:r>
      <w:r w:rsidR="00017FEF">
        <w:rPr>
          <w:bCs/>
          <w:sz w:val="20"/>
          <w:szCs w:val="20"/>
        </w:rPr>
        <w:t xml:space="preserve"> </w:t>
      </w:r>
      <w:r w:rsidR="00017FEF" w:rsidRPr="00017FEF">
        <w:rPr>
          <w:bCs/>
          <w:sz w:val="20"/>
          <w:szCs w:val="20"/>
        </w:rPr>
        <w:t>[2020] 3 All SA 650 (SCA);</w:t>
      </w:r>
      <w:r w:rsidR="00015563" w:rsidRPr="004C399F">
        <w:rPr>
          <w:bCs/>
          <w:sz w:val="20"/>
          <w:szCs w:val="20"/>
        </w:rPr>
        <w:t xml:space="preserve"> 2020 (5) SA 419 (SCA)</w:t>
      </w:r>
      <w:r w:rsidR="00E535B4" w:rsidRPr="004C399F">
        <w:rPr>
          <w:bCs/>
          <w:sz w:val="20"/>
          <w:szCs w:val="20"/>
        </w:rPr>
        <w:t>.</w:t>
      </w:r>
      <w:r w:rsidR="00015563" w:rsidRPr="004C399F">
        <w:rPr>
          <w:bCs/>
          <w:sz w:val="20"/>
          <w:szCs w:val="20"/>
        </w:rPr>
        <w:t xml:space="preserve"> </w:t>
      </w:r>
    </w:p>
  </w:footnote>
  <w:footnote w:id="11">
    <w:p w14:paraId="2F83AD99" w14:textId="4D5FD67A" w:rsidR="00E535B4" w:rsidRPr="00E535B4" w:rsidRDefault="00E535B4" w:rsidP="006D122A">
      <w:pPr>
        <w:pStyle w:val="FootnoteText"/>
        <w:spacing w:line="240" w:lineRule="auto"/>
        <w:rPr>
          <w:lang w:val="en-US"/>
        </w:rPr>
      </w:pPr>
      <w:r w:rsidRPr="004C399F">
        <w:rPr>
          <w:rStyle w:val="FootnoteReference"/>
        </w:rPr>
        <w:footnoteRef/>
      </w:r>
      <w:r w:rsidRPr="004C399F">
        <w:t xml:space="preserve"> Ibid para 50.</w:t>
      </w:r>
      <w:r>
        <w:t xml:space="preserve"> </w:t>
      </w:r>
    </w:p>
  </w:footnote>
  <w:footnote w:id="12">
    <w:p w14:paraId="5CD9100C" w14:textId="557FC8F3" w:rsidR="00CD452C" w:rsidRDefault="00CD452C" w:rsidP="006D122A">
      <w:pPr>
        <w:pStyle w:val="FootnoteText"/>
        <w:spacing w:line="240" w:lineRule="auto"/>
      </w:pPr>
      <w:r>
        <w:rPr>
          <w:rStyle w:val="FootnoteReference"/>
        </w:rPr>
        <w:footnoteRef/>
      </w:r>
      <w:r w:rsidR="006D122A">
        <w:t xml:space="preserve"> </w:t>
      </w:r>
      <w:r w:rsidR="00E51DC6">
        <w:t>H</w:t>
      </w:r>
      <w:r w:rsidR="00963DA7">
        <w:t xml:space="preserve">igh </w:t>
      </w:r>
      <w:r w:rsidR="00E51DC6">
        <w:t xml:space="preserve">Court judgment </w:t>
      </w:r>
      <w:r w:rsidR="00AA339B">
        <w:t>f</w:t>
      </w:r>
      <w:r>
        <w:t xml:space="preserve">n </w:t>
      </w:r>
      <w:r w:rsidR="00BB44D0">
        <w:t>6</w:t>
      </w:r>
      <w:r w:rsidR="00C16BB4">
        <w:t xml:space="preserve"> </w:t>
      </w:r>
      <w:r w:rsidR="00B07FAE">
        <w:t xml:space="preserve">above </w:t>
      </w:r>
      <w:r>
        <w:t>para 88.</w:t>
      </w:r>
    </w:p>
  </w:footnote>
  <w:footnote w:id="13">
    <w:p w14:paraId="6FA8A0BF" w14:textId="668379A8" w:rsidR="008A3764" w:rsidRPr="008A3764" w:rsidRDefault="008A3764" w:rsidP="003A4794">
      <w:pPr>
        <w:pStyle w:val="FootnoteText"/>
        <w:spacing w:line="240" w:lineRule="auto"/>
        <w:rPr>
          <w:lang w:val="en-US"/>
        </w:rPr>
      </w:pPr>
      <w:r>
        <w:rPr>
          <w:rStyle w:val="FootnoteReference"/>
        </w:rPr>
        <w:footnoteRef/>
      </w:r>
      <w:r>
        <w:t xml:space="preserve"> </w:t>
      </w:r>
      <w:r w:rsidR="004102B7" w:rsidRPr="008A3764">
        <w:rPr>
          <w:i/>
          <w:iCs/>
          <w:lang w:val="en-US"/>
        </w:rPr>
        <w:t>Fairlands Ltd v Inter-Continental Motors Ltd</w:t>
      </w:r>
      <w:r w:rsidR="004102B7">
        <w:rPr>
          <w:lang w:val="en-US"/>
        </w:rPr>
        <w:t xml:space="preserve"> 1972 (2) 270 (A) at 275G-H.</w:t>
      </w:r>
    </w:p>
  </w:footnote>
  <w:footnote w:id="14">
    <w:p w14:paraId="1022EC28" w14:textId="4ABCBCB1" w:rsidR="008A3764" w:rsidRPr="008A3764" w:rsidRDefault="008A3764" w:rsidP="003A4794">
      <w:pPr>
        <w:pStyle w:val="FootnoteText"/>
        <w:spacing w:line="240" w:lineRule="auto"/>
        <w:rPr>
          <w:lang w:val="en-US"/>
        </w:rPr>
      </w:pPr>
      <w:r>
        <w:rPr>
          <w:rStyle w:val="FootnoteReference"/>
        </w:rPr>
        <w:footnoteRef/>
      </w:r>
      <w:r w:rsidRPr="008A3764">
        <w:rPr>
          <w:i/>
          <w:iCs/>
        </w:rPr>
        <w:t xml:space="preserve"> </w:t>
      </w:r>
      <w:r w:rsidRPr="008A3764">
        <w:rPr>
          <w:i/>
          <w:iCs/>
          <w:lang w:val="en-US"/>
        </w:rPr>
        <w:t>Hlumisa</w:t>
      </w:r>
      <w:r>
        <w:rPr>
          <w:lang w:val="en-US"/>
        </w:rPr>
        <w:t xml:space="preserve"> fn </w:t>
      </w:r>
      <w:r w:rsidR="00BB44D0">
        <w:rPr>
          <w:lang w:val="en-US"/>
        </w:rPr>
        <w:t>9</w:t>
      </w:r>
      <w:r>
        <w:rPr>
          <w:lang w:val="en-US"/>
        </w:rPr>
        <w:t xml:space="preserve"> </w:t>
      </w:r>
      <w:r w:rsidR="00017FEF">
        <w:rPr>
          <w:lang w:val="en-US"/>
        </w:rPr>
        <w:t xml:space="preserve">above </w:t>
      </w:r>
      <w:r>
        <w:rPr>
          <w:lang w:val="en-US"/>
        </w:rPr>
        <w:t>para 22.</w:t>
      </w:r>
    </w:p>
  </w:footnote>
  <w:footnote w:id="15">
    <w:p w14:paraId="7FDFEC73" w14:textId="2169B09F" w:rsidR="00577867" w:rsidRPr="00577867" w:rsidRDefault="00577867" w:rsidP="00D155F8">
      <w:pPr>
        <w:pStyle w:val="FootnoteText"/>
        <w:spacing w:line="240" w:lineRule="auto"/>
        <w:rPr>
          <w:lang w:val="en-US"/>
        </w:rPr>
      </w:pPr>
      <w:r>
        <w:rPr>
          <w:rStyle w:val="FootnoteReference"/>
        </w:rPr>
        <w:footnoteRef/>
      </w:r>
      <w:r>
        <w:t xml:space="preserve"> </w:t>
      </w:r>
      <w:r w:rsidR="006B4042" w:rsidRPr="008F04F2">
        <w:rPr>
          <w:i/>
          <w:iCs/>
          <w:color w:val="242121"/>
          <w:shd w:val="clear" w:color="auto" w:fill="FFFFFF"/>
        </w:rPr>
        <w:t xml:space="preserve">Ex Parte Gore and Others N N O (Gore) </w:t>
      </w:r>
      <w:hyperlink r:id="rId1" w:tooltip="View LawCiteRecord" w:history="1">
        <w:r w:rsidR="006B4042" w:rsidRPr="00E51DC6">
          <w:rPr>
            <w:rStyle w:val="Hyperlink"/>
            <w:color w:val="auto"/>
            <w:u w:val="none"/>
            <w:shd w:val="clear" w:color="auto" w:fill="FFFFFF"/>
          </w:rPr>
          <w:t>2013 (3) SA 382</w:t>
        </w:r>
      </w:hyperlink>
      <w:r w:rsidR="006B4042" w:rsidRPr="00E51DC6">
        <w:rPr>
          <w:shd w:val="clear" w:color="auto" w:fill="FFFFFF"/>
        </w:rPr>
        <w:t> (WC); </w:t>
      </w:r>
      <w:hyperlink r:id="rId2" w:tooltip="View LawCiteRecord" w:history="1">
        <w:r w:rsidR="006B4042" w:rsidRPr="00E51DC6">
          <w:rPr>
            <w:rStyle w:val="Hyperlink"/>
            <w:color w:val="auto"/>
            <w:u w:val="none"/>
            <w:shd w:val="clear" w:color="auto" w:fill="FFFFFF"/>
          </w:rPr>
          <w:t>[2013] 2 All SA 437</w:t>
        </w:r>
      </w:hyperlink>
      <w:r w:rsidR="006B4042" w:rsidRPr="008F04F2">
        <w:rPr>
          <w:color w:val="242121"/>
          <w:shd w:val="clear" w:color="auto" w:fill="FFFFFF"/>
        </w:rPr>
        <w:t> (WCC) (</w:t>
      </w:r>
      <w:r w:rsidR="006B4042" w:rsidRPr="008F04F2">
        <w:rPr>
          <w:i/>
          <w:iCs/>
          <w:color w:val="242121"/>
          <w:shd w:val="clear" w:color="auto" w:fill="FFFFFF"/>
        </w:rPr>
        <w:t>Gore</w:t>
      </w:r>
      <w:r w:rsidR="006B4042" w:rsidRPr="008F04F2">
        <w:rPr>
          <w:color w:val="242121"/>
          <w:shd w:val="clear" w:color="auto" w:fill="FFFFFF"/>
        </w:rPr>
        <w:t>) para 31</w:t>
      </w:r>
      <w:r w:rsidR="006B4042">
        <w:rPr>
          <w:color w:val="242121"/>
          <w:shd w:val="clear" w:color="auto" w:fill="FFFFFF"/>
        </w:rPr>
        <w:t>,</w:t>
      </w:r>
      <w:r w:rsidR="006B4042" w:rsidRPr="008F04F2">
        <w:t xml:space="preserve"> </w:t>
      </w:r>
      <w:r w:rsidR="006B4042">
        <w:t xml:space="preserve">cited </w:t>
      </w:r>
      <w:r w:rsidR="006B4042" w:rsidRPr="008F04F2">
        <w:t>with approval</w:t>
      </w:r>
      <w:r w:rsidR="006B4042">
        <w:t xml:space="preserve"> by this Court in </w:t>
      </w:r>
      <w:r w:rsidR="008F04F2" w:rsidRPr="008F04F2">
        <w:rPr>
          <w:i/>
          <w:iCs/>
        </w:rPr>
        <w:t>Butcher Shop and Grill CC v Trustees for the time being of the Bymyam Trust</w:t>
      </w:r>
      <w:r w:rsidR="008F04F2" w:rsidRPr="008F04F2">
        <w:t xml:space="preserve"> [2023] ZASCA 57; [2023] 3 All SA 40 (SCA); 2023 (5) SA 68 (SCA) para 40</w:t>
      </w:r>
      <w:r w:rsidR="006B4042">
        <w:t>.</w:t>
      </w:r>
      <w:r w:rsidR="008F04F2" w:rsidRPr="008F04F2">
        <w:t xml:space="preserve"> </w:t>
      </w:r>
    </w:p>
  </w:footnote>
  <w:footnote w:id="16">
    <w:p w14:paraId="47E1AD0E" w14:textId="0F434EFF" w:rsidR="001C7D51" w:rsidRPr="000A482F" w:rsidRDefault="000A482F" w:rsidP="007671E0">
      <w:pPr>
        <w:pStyle w:val="FootnoteText"/>
        <w:spacing w:line="240" w:lineRule="auto"/>
        <w:rPr>
          <w:lang w:val="en-US"/>
        </w:rPr>
      </w:pPr>
      <w:r>
        <w:rPr>
          <w:rStyle w:val="FootnoteReference"/>
        </w:rPr>
        <w:footnoteRef/>
      </w:r>
      <w:r>
        <w:t xml:space="preserve"> </w:t>
      </w:r>
      <w:r w:rsidRPr="000A482F">
        <w:rPr>
          <w:i/>
          <w:iCs/>
          <w:lang w:val="en-US"/>
        </w:rPr>
        <w:t>Hlumisa</w:t>
      </w:r>
      <w:r>
        <w:rPr>
          <w:lang w:val="en-US"/>
        </w:rPr>
        <w:t xml:space="preserve"> fn</w:t>
      </w:r>
      <w:r w:rsidR="008247C1">
        <w:rPr>
          <w:lang w:val="en-US"/>
        </w:rPr>
        <w:t xml:space="preserve"> </w:t>
      </w:r>
      <w:r w:rsidR="00BB44D0">
        <w:rPr>
          <w:lang w:val="en-US"/>
        </w:rPr>
        <w:t>9</w:t>
      </w:r>
      <w:r w:rsidR="00017FEF">
        <w:rPr>
          <w:lang w:val="en-US"/>
        </w:rPr>
        <w:t xml:space="preserve"> above</w:t>
      </w:r>
      <w:r w:rsidR="008247C1">
        <w:rPr>
          <w:lang w:val="en-US"/>
        </w:rPr>
        <w:t xml:space="preserve"> </w:t>
      </w:r>
      <w:r>
        <w:rPr>
          <w:lang w:val="en-US"/>
        </w:rPr>
        <w:t xml:space="preserve">para 42 referring to this Court’s judgment in </w:t>
      </w:r>
      <w:r w:rsidRPr="000A482F">
        <w:rPr>
          <w:i/>
          <w:iCs/>
          <w:lang w:val="en-US"/>
        </w:rPr>
        <w:t>Itzikowitz v Absa Bank Ltd</w:t>
      </w:r>
      <w:r>
        <w:rPr>
          <w:lang w:val="en-US"/>
        </w:rPr>
        <w:t xml:space="preserve"> [2016] ZASCA 43</w:t>
      </w:r>
      <w:r w:rsidR="00916037">
        <w:rPr>
          <w:lang w:val="en-US"/>
        </w:rPr>
        <w:t xml:space="preserve">; </w:t>
      </w:r>
      <w:r w:rsidR="00916037" w:rsidRPr="00916037">
        <w:rPr>
          <w:lang w:val="en-US"/>
        </w:rPr>
        <w:t>2016 (4) SA 432 (SCA)</w:t>
      </w:r>
      <w:r>
        <w:rPr>
          <w:lang w:val="en-US"/>
        </w:rPr>
        <w:t>.</w:t>
      </w:r>
      <w:r w:rsidR="001C7D51">
        <w:rPr>
          <w:lang w:val="en-US"/>
        </w:rPr>
        <w:t xml:space="preserve"> </w:t>
      </w:r>
    </w:p>
  </w:footnote>
  <w:footnote w:id="17">
    <w:p w14:paraId="0A265438" w14:textId="77777777" w:rsidR="0077508A" w:rsidRPr="00DA6C88" w:rsidRDefault="0077508A" w:rsidP="00B00665">
      <w:pPr>
        <w:pStyle w:val="FootnoteText"/>
        <w:spacing w:line="240" w:lineRule="auto"/>
        <w:rPr>
          <w:lang w:val="en-US"/>
        </w:rPr>
      </w:pPr>
      <w:r>
        <w:rPr>
          <w:rStyle w:val="FootnoteReference"/>
        </w:rPr>
        <w:footnoteRef/>
      </w:r>
      <w:r>
        <w:t xml:space="preserve"> </w:t>
      </w:r>
      <w:r w:rsidRPr="00DA6C88">
        <w:rPr>
          <w:i/>
          <w:iCs/>
          <w:lang w:val="en-US"/>
        </w:rPr>
        <w:t>Commissioner for the South African Revenue Service v United Manganese of Kalahari (Pty) Ltd</w:t>
      </w:r>
      <w:r>
        <w:rPr>
          <w:i/>
          <w:iCs/>
          <w:lang w:val="en-US"/>
        </w:rPr>
        <w:t xml:space="preserve"> </w:t>
      </w:r>
      <w:r>
        <w:rPr>
          <w:lang w:val="en-US"/>
        </w:rPr>
        <w:t xml:space="preserve">[2020] ZASCA 16 para 8. </w:t>
      </w:r>
    </w:p>
  </w:footnote>
  <w:footnote w:id="18">
    <w:p w14:paraId="3AEC8569" w14:textId="3724DCE6" w:rsidR="002D4241" w:rsidRPr="002D4241" w:rsidRDefault="002D4241" w:rsidP="004559EE">
      <w:pPr>
        <w:pStyle w:val="FootnoteText"/>
        <w:spacing w:line="240" w:lineRule="auto"/>
        <w:rPr>
          <w:lang w:val="en-US"/>
        </w:rPr>
      </w:pPr>
      <w:r>
        <w:rPr>
          <w:rStyle w:val="FootnoteReference"/>
        </w:rPr>
        <w:footnoteRef/>
      </w:r>
      <w:r>
        <w:t xml:space="preserve"> </w:t>
      </w:r>
      <w:r w:rsidR="00A81D37" w:rsidRPr="005B2DEA">
        <w:rPr>
          <w:i/>
          <w:iCs/>
        </w:rPr>
        <w:t>Hlumisa</w:t>
      </w:r>
      <w:r w:rsidR="00A81D37">
        <w:t xml:space="preserve"> fn</w:t>
      </w:r>
      <w:r w:rsidR="00B00665">
        <w:t xml:space="preserve"> </w:t>
      </w:r>
      <w:r w:rsidR="00BB44D0">
        <w:t>9</w:t>
      </w:r>
      <w:r w:rsidR="00B00665">
        <w:t xml:space="preserve"> </w:t>
      </w:r>
      <w:r w:rsidR="00017FEF">
        <w:t xml:space="preserve">above </w:t>
      </w:r>
      <w:r w:rsidR="00B00665">
        <w:t>p</w:t>
      </w:r>
      <w:r w:rsidR="00A81D37">
        <w:t>ara 45.</w:t>
      </w:r>
    </w:p>
  </w:footnote>
  <w:footnote w:id="19">
    <w:p w14:paraId="22E0B6F2" w14:textId="284A5662" w:rsidR="004559EE" w:rsidRPr="004559EE" w:rsidRDefault="004559EE" w:rsidP="00E51DC6">
      <w:pPr>
        <w:pStyle w:val="FootnoteText"/>
        <w:spacing w:line="240" w:lineRule="auto"/>
      </w:pPr>
      <w:r>
        <w:rPr>
          <w:rStyle w:val="FootnoteReference"/>
        </w:rPr>
        <w:footnoteRef/>
      </w:r>
      <w:r>
        <w:t xml:space="preserve"> </w:t>
      </w:r>
      <w:r w:rsidRPr="004559EE">
        <w:rPr>
          <w:bCs/>
          <w:i/>
          <w:iCs/>
        </w:rPr>
        <w:t>Steinhoff</w:t>
      </w:r>
      <w:r>
        <w:rPr>
          <w:bCs/>
          <w:i/>
          <w:iCs/>
        </w:rPr>
        <w:t xml:space="preserve"> </w:t>
      </w:r>
      <w:r w:rsidRPr="00E51DC6">
        <w:rPr>
          <w:bCs/>
        </w:rPr>
        <w:t xml:space="preserve">fn </w:t>
      </w:r>
      <w:r w:rsidR="00BB44D0">
        <w:rPr>
          <w:bCs/>
        </w:rPr>
        <w:t>7</w:t>
      </w:r>
      <w:r w:rsidR="00017FEF">
        <w:rPr>
          <w:bCs/>
        </w:rPr>
        <w:t xml:space="preserve"> above </w:t>
      </w:r>
      <w:r w:rsidRPr="00E51DC6">
        <w:rPr>
          <w:bCs/>
        </w:rPr>
        <w:t>paras 191 and 192.</w:t>
      </w:r>
    </w:p>
  </w:footnote>
  <w:footnote w:id="20">
    <w:p w14:paraId="662525D3" w14:textId="3F727F15" w:rsidR="00B00665" w:rsidRPr="00424262" w:rsidRDefault="00B00665" w:rsidP="004559EE">
      <w:pPr>
        <w:pStyle w:val="FootnoteText"/>
        <w:spacing w:line="240" w:lineRule="auto"/>
        <w:rPr>
          <w:lang w:val="en-ZA"/>
        </w:rPr>
      </w:pPr>
      <w:r w:rsidRPr="00424262">
        <w:rPr>
          <w:rStyle w:val="FootnoteReference"/>
        </w:rPr>
        <w:footnoteRef/>
      </w:r>
      <w:r w:rsidRPr="00424262">
        <w:t xml:space="preserve"> </w:t>
      </w:r>
      <w:r w:rsidRPr="00424262">
        <w:rPr>
          <w:i/>
          <w:iCs/>
          <w:lang w:val="en-US"/>
        </w:rPr>
        <w:t>Hlumisa Investment Holdings RF Ltd and Another v Kirkinis and Others</w:t>
      </w:r>
      <w:r w:rsidRPr="00424262">
        <w:rPr>
          <w:lang w:val="en-US"/>
        </w:rPr>
        <w:t xml:space="preserve"> </w:t>
      </w:r>
      <w:r w:rsidR="004559EE" w:rsidRPr="00424262">
        <w:rPr>
          <w:lang w:val="en-ZA"/>
        </w:rPr>
        <w:t xml:space="preserve">[2018] ZAGPPHC 676; </w:t>
      </w:r>
      <w:r w:rsidRPr="00424262">
        <w:rPr>
          <w:lang w:val="en-US"/>
        </w:rPr>
        <w:t xml:space="preserve">2019 (4) SA 569 (GP). This is the judgment that was later confirmed by this Court on appeal in </w:t>
      </w:r>
      <w:r w:rsidRPr="00424262">
        <w:rPr>
          <w:i/>
          <w:iCs/>
          <w:lang w:val="en-US"/>
        </w:rPr>
        <w:t>Hlumisa</w:t>
      </w:r>
      <w:r w:rsidRPr="00424262">
        <w:rPr>
          <w:lang w:val="en-US"/>
        </w:rPr>
        <w:t xml:space="preserve"> fn </w:t>
      </w:r>
      <w:r w:rsidR="00BB44D0" w:rsidRPr="00424262">
        <w:rPr>
          <w:lang w:val="en-US"/>
        </w:rPr>
        <w:t>9</w:t>
      </w:r>
      <w:r w:rsidR="00705937" w:rsidRPr="00424262">
        <w:rPr>
          <w:lang w:val="en-US"/>
        </w:rPr>
        <w:t xml:space="preserve"> above</w:t>
      </w:r>
      <w:r w:rsidRPr="00424262">
        <w:rPr>
          <w:lang w:val="en-US"/>
        </w:rPr>
        <w:t xml:space="preserve">.  </w:t>
      </w:r>
    </w:p>
  </w:footnote>
  <w:footnote w:id="21">
    <w:p w14:paraId="43F8AB77" w14:textId="6B965227" w:rsidR="007001AA" w:rsidRPr="007001AA" w:rsidRDefault="007001AA" w:rsidP="00666284">
      <w:pPr>
        <w:pStyle w:val="FootnoteText"/>
        <w:spacing w:line="240" w:lineRule="auto"/>
        <w:rPr>
          <w:lang w:val="en-ZA"/>
        </w:rPr>
      </w:pPr>
      <w:r w:rsidRPr="00424262">
        <w:rPr>
          <w:rStyle w:val="FootnoteReference"/>
        </w:rPr>
        <w:footnoteRef/>
      </w:r>
      <w:r w:rsidRPr="00424262">
        <w:t xml:space="preserve"> </w:t>
      </w:r>
      <w:r w:rsidR="00666284" w:rsidRPr="00424262">
        <w:rPr>
          <w:i/>
          <w:iCs/>
          <w:lang w:val="en-ZA"/>
        </w:rPr>
        <w:t>Steenkamp v Provincial Tender Board of the Eastern Cape</w:t>
      </w:r>
      <w:r w:rsidR="00666284" w:rsidRPr="00424262">
        <w:rPr>
          <w:lang w:val="en-ZA"/>
        </w:rPr>
        <w:t xml:space="preserve"> [2005] ZASCA 120; [2006] 1 All SA 478 (SCA); 2006 (3) SA 151 (SCA)</w:t>
      </w:r>
      <w:r w:rsidR="00896691" w:rsidRPr="00424262">
        <w:rPr>
          <w:lang w:val="en-ZA"/>
        </w:rPr>
        <w:t xml:space="preserve"> paras 21 and 22</w:t>
      </w:r>
      <w:r w:rsidR="00666284" w:rsidRPr="00424262">
        <w:rPr>
          <w:lang w:val="en-ZA"/>
        </w:rPr>
        <w:t>.</w:t>
      </w:r>
    </w:p>
  </w:footnote>
  <w:footnote w:id="22">
    <w:p w14:paraId="61F71B6D" w14:textId="18A7A103" w:rsidR="007E517E" w:rsidRPr="007E517E" w:rsidRDefault="007E517E" w:rsidP="00E51DC6">
      <w:pPr>
        <w:pStyle w:val="NormalWeb"/>
        <w:shd w:val="clear" w:color="auto" w:fill="FFFFFF"/>
        <w:spacing w:before="0" w:beforeAutospacing="0" w:after="0" w:afterAutospacing="0"/>
        <w:rPr>
          <w:color w:val="242121"/>
          <w:sz w:val="20"/>
          <w:szCs w:val="20"/>
          <w:lang w:val="en-ZA"/>
        </w:rPr>
      </w:pPr>
      <w:r w:rsidRPr="007E517E">
        <w:rPr>
          <w:rStyle w:val="FootnoteReference"/>
          <w:sz w:val="20"/>
          <w:szCs w:val="20"/>
        </w:rPr>
        <w:footnoteRef/>
      </w:r>
      <w:r w:rsidRPr="007E517E">
        <w:rPr>
          <w:sz w:val="20"/>
          <w:szCs w:val="20"/>
        </w:rPr>
        <w:t xml:space="preserve"> The sections stipulate: ‘</w:t>
      </w:r>
      <w:r w:rsidRPr="007E517E">
        <w:rPr>
          <w:color w:val="000000"/>
          <w:sz w:val="20"/>
          <w:szCs w:val="20"/>
        </w:rPr>
        <w:t>(2) If the Commission has reasonable grounds to believe that a company is engaging in conduct prohibited by subsection (1), or is unable to pay its debts as they become due and payable in the normal course of business, the Commission may issue a notice to the company to show cause why the company should be permitted to continue carrying on its business, or to trade, as the case may be.</w:t>
      </w:r>
    </w:p>
    <w:p w14:paraId="57F21125" w14:textId="2B62A990" w:rsidR="007E517E" w:rsidRPr="007E517E" w:rsidRDefault="007E517E" w:rsidP="00E51DC6">
      <w:pPr>
        <w:pStyle w:val="NormalWeb"/>
        <w:shd w:val="clear" w:color="auto" w:fill="FFFFFF"/>
        <w:spacing w:before="0" w:beforeAutospacing="0" w:after="0" w:afterAutospacing="0"/>
      </w:pPr>
      <w:r w:rsidRPr="007E517E">
        <w:rPr>
          <w:color w:val="000000"/>
          <w:sz w:val="20"/>
          <w:szCs w:val="20"/>
        </w:rPr>
        <w:t>(3) If a company to whom a notice has been issued in terms of subsection (2) fails within 20 business days to satisfy the Commission that it is not engaging in conduct prohibited by subsection (1), or that it is able to pay its debts as they become due and payable in the normal course of business, the Commission may issue a compliance notice to the company requiring it to cease carrying on its business or trading, as the case may be.</w:t>
      </w:r>
      <w:r w:rsidR="00321943">
        <w:rPr>
          <w:color w:val="000000"/>
          <w:sz w:val="20"/>
          <w:szCs w:val="20"/>
        </w:rPr>
        <w:t>’</w:t>
      </w:r>
    </w:p>
  </w:footnote>
  <w:footnote w:id="23">
    <w:p w14:paraId="22E21CFE" w14:textId="193D6D94" w:rsidR="00325997" w:rsidRPr="005A675F" w:rsidRDefault="00325997" w:rsidP="007E517E">
      <w:pPr>
        <w:pStyle w:val="FootnoteText"/>
        <w:spacing w:line="240" w:lineRule="auto"/>
        <w:rPr>
          <w:lang w:val="en-ZA"/>
        </w:rPr>
      </w:pPr>
      <w:r>
        <w:rPr>
          <w:rStyle w:val="FootnoteReference"/>
        </w:rPr>
        <w:footnoteRef/>
      </w:r>
      <w:r>
        <w:t xml:space="preserve"> </w:t>
      </w:r>
      <w:r w:rsidR="005E5709" w:rsidRPr="00E51DC6">
        <w:rPr>
          <w:i/>
          <w:iCs/>
          <w:lang w:val="en-ZA"/>
        </w:rPr>
        <w:t>Gihwala and Others v Grancy Property Ltd and Others</w:t>
      </w:r>
      <w:r w:rsidR="005E5709" w:rsidRPr="005E5709">
        <w:rPr>
          <w:lang w:val="en-ZA"/>
        </w:rPr>
        <w:t xml:space="preserve"> [2016] ZASCA 35; [2016] 2 All SA 649 (SCA); 2017 (2) </w:t>
      </w:r>
      <w:r w:rsidR="005E5709" w:rsidRPr="005A675F">
        <w:rPr>
          <w:lang w:val="en-ZA"/>
        </w:rPr>
        <w:t>SA 337 (SCA) </w:t>
      </w:r>
      <w:r w:rsidRPr="005A675F">
        <w:rPr>
          <w:bCs/>
        </w:rPr>
        <w:t>para 120.</w:t>
      </w:r>
    </w:p>
  </w:footnote>
  <w:footnote w:id="24">
    <w:p w14:paraId="0626B676" w14:textId="1FFDD114" w:rsidR="005E4CF3" w:rsidRPr="005A675F" w:rsidRDefault="005E4CF3" w:rsidP="0080039E">
      <w:pPr>
        <w:pStyle w:val="FootnoteText"/>
        <w:spacing w:line="240" w:lineRule="auto"/>
        <w:rPr>
          <w:lang w:val="en-US"/>
        </w:rPr>
      </w:pPr>
      <w:r w:rsidRPr="005A675F">
        <w:rPr>
          <w:rStyle w:val="FootnoteReference"/>
        </w:rPr>
        <w:footnoteRef/>
      </w:r>
      <w:r w:rsidR="00F81A87" w:rsidRPr="005A675F">
        <w:t xml:space="preserve"> P Delport</w:t>
      </w:r>
      <w:r w:rsidRPr="005A675F">
        <w:t xml:space="preserve"> </w:t>
      </w:r>
      <w:r w:rsidR="0044705E" w:rsidRPr="005A675F">
        <w:rPr>
          <w:i/>
        </w:rPr>
        <w:t>Henochsberg on the Companies Act 71 of 2008</w:t>
      </w:r>
      <w:r w:rsidR="005973DC" w:rsidRPr="005A675F">
        <w:rPr>
          <w:lang w:val="en-US"/>
        </w:rPr>
        <w:t xml:space="preserve"> at </w:t>
      </w:r>
      <w:r w:rsidR="00F81A87" w:rsidRPr="005A675F">
        <w:rPr>
          <w:lang w:val="en-US"/>
        </w:rPr>
        <w:t>298</w:t>
      </w:r>
      <w:r w:rsidR="005973DC" w:rsidRPr="005A675F">
        <w:rPr>
          <w:lang w:val="en-US"/>
        </w:rPr>
        <w:t>(12M)-298(12N)</w:t>
      </w:r>
      <w:r w:rsidR="0044705E" w:rsidRPr="005A675F">
        <w:rPr>
          <w:lang w:val="en-US"/>
        </w:rPr>
        <w:t>.</w:t>
      </w:r>
    </w:p>
  </w:footnote>
  <w:footnote w:id="25">
    <w:p w14:paraId="65A8E01C" w14:textId="5CB4D152" w:rsidR="00091110" w:rsidRDefault="00091110" w:rsidP="00E51DC6">
      <w:pPr>
        <w:pStyle w:val="FootnoteText"/>
        <w:spacing w:line="240" w:lineRule="auto"/>
      </w:pPr>
      <w:r w:rsidRPr="005A675F">
        <w:rPr>
          <w:rStyle w:val="FootnoteReference"/>
        </w:rPr>
        <w:footnoteRef/>
      </w:r>
      <w:r w:rsidRPr="005A675F">
        <w:t xml:space="preserve"> </w:t>
      </w:r>
      <w:r w:rsidRPr="005A675F">
        <w:rPr>
          <w:i/>
          <w:iCs/>
        </w:rPr>
        <w:t>Hlumisa</w:t>
      </w:r>
      <w:r w:rsidRPr="005A675F">
        <w:t xml:space="preserve"> fn </w:t>
      </w:r>
      <w:r w:rsidR="003A4FA1">
        <w:t>9</w:t>
      </w:r>
      <w:r w:rsidR="00705937" w:rsidRPr="005A675F">
        <w:t xml:space="preserve"> above</w:t>
      </w:r>
      <w:r w:rsidRPr="005A675F">
        <w:t xml:space="preserve"> para 48.</w:t>
      </w:r>
    </w:p>
  </w:footnote>
  <w:footnote w:id="26">
    <w:p w14:paraId="7C54D53A" w14:textId="00307B90" w:rsidR="004203D4" w:rsidRPr="0023096C" w:rsidRDefault="004203D4" w:rsidP="00091110">
      <w:pPr>
        <w:pStyle w:val="FootnoteText"/>
        <w:spacing w:line="240" w:lineRule="auto"/>
        <w:rPr>
          <w:lang w:val="en-US"/>
        </w:rPr>
      </w:pPr>
      <w:r>
        <w:rPr>
          <w:rStyle w:val="FootnoteReference"/>
        </w:rPr>
        <w:footnoteRef/>
      </w:r>
      <w:r>
        <w:t xml:space="preserve"> </w:t>
      </w:r>
      <w:r w:rsidRPr="00AC5828">
        <w:rPr>
          <w:i/>
          <w:iCs/>
          <w:lang w:val="en-US"/>
        </w:rPr>
        <w:t>Hlumisa</w:t>
      </w:r>
      <w:r>
        <w:rPr>
          <w:lang w:val="en-US"/>
        </w:rPr>
        <w:t xml:space="preserve"> f</w:t>
      </w:r>
      <w:r w:rsidR="00091110">
        <w:rPr>
          <w:lang w:val="en-US"/>
        </w:rPr>
        <w:t xml:space="preserve">n </w:t>
      </w:r>
      <w:r w:rsidR="0000055B">
        <w:rPr>
          <w:lang w:val="en-US"/>
        </w:rPr>
        <w:t>9</w:t>
      </w:r>
      <w:r w:rsidR="00705937">
        <w:rPr>
          <w:lang w:val="en-US"/>
        </w:rPr>
        <w:t xml:space="preserve"> above</w:t>
      </w:r>
      <w:r w:rsidR="00091110">
        <w:rPr>
          <w:lang w:val="en-US"/>
        </w:rPr>
        <w:t xml:space="preserve"> </w:t>
      </w:r>
      <w:r>
        <w:rPr>
          <w:lang w:val="en-US"/>
        </w:rPr>
        <w:t xml:space="preserve">para 50. </w:t>
      </w:r>
    </w:p>
  </w:footnote>
  <w:footnote w:id="27">
    <w:p w14:paraId="5D8516EB" w14:textId="5644030F" w:rsidR="004203D4" w:rsidRPr="00D3503B" w:rsidRDefault="004203D4" w:rsidP="00E51DC6">
      <w:pPr>
        <w:pStyle w:val="FootnoteText"/>
        <w:spacing w:line="240" w:lineRule="auto"/>
        <w:rPr>
          <w:lang w:val="en-US"/>
        </w:rPr>
      </w:pPr>
      <w:r>
        <w:rPr>
          <w:rStyle w:val="FootnoteReference"/>
        </w:rPr>
        <w:footnoteRef/>
      </w:r>
      <w:r>
        <w:t xml:space="preserve"> </w:t>
      </w:r>
      <w:r w:rsidRPr="00AC5828">
        <w:rPr>
          <w:i/>
          <w:iCs/>
          <w:lang w:val="en-US"/>
        </w:rPr>
        <w:t>Hlumisa</w:t>
      </w:r>
      <w:r>
        <w:rPr>
          <w:lang w:val="en-US"/>
        </w:rPr>
        <w:t xml:space="preserve"> fn</w:t>
      </w:r>
      <w:r w:rsidR="0044705E">
        <w:rPr>
          <w:lang w:val="en-US"/>
        </w:rPr>
        <w:t xml:space="preserve"> </w:t>
      </w:r>
      <w:r w:rsidR="0000055B">
        <w:rPr>
          <w:lang w:val="en-US"/>
        </w:rPr>
        <w:t>9</w:t>
      </w:r>
      <w:r w:rsidR="0044705E">
        <w:rPr>
          <w:lang w:val="en-US"/>
        </w:rPr>
        <w:t xml:space="preserve"> </w:t>
      </w:r>
      <w:r w:rsidR="00705937">
        <w:rPr>
          <w:lang w:val="en-US"/>
        </w:rPr>
        <w:t xml:space="preserve">above </w:t>
      </w:r>
      <w:r>
        <w:rPr>
          <w:lang w:val="en-US"/>
        </w:rPr>
        <w:t>para 51</w:t>
      </w:r>
      <w:r w:rsidR="00594558">
        <w:rPr>
          <w:lang w:val="en-US"/>
        </w:rPr>
        <w:t>.</w:t>
      </w:r>
    </w:p>
  </w:footnote>
  <w:footnote w:id="28">
    <w:p w14:paraId="60968C08" w14:textId="5D238A54" w:rsidR="00DD4938" w:rsidRPr="00DD4938" w:rsidRDefault="00DD4938">
      <w:pPr>
        <w:pStyle w:val="FootnoteText"/>
        <w:rPr>
          <w:lang w:val="en-ZA"/>
        </w:rPr>
      </w:pPr>
      <w:r>
        <w:rPr>
          <w:rStyle w:val="FootnoteReference"/>
        </w:rPr>
        <w:footnoteRef/>
      </w:r>
      <w:r>
        <w:t xml:space="preserve"> </w:t>
      </w:r>
      <w:r w:rsidRPr="00DD4938">
        <w:rPr>
          <w:i/>
          <w:iCs/>
          <w:lang w:val="en-US"/>
        </w:rPr>
        <w:t>Steinhoff</w:t>
      </w:r>
      <w:r w:rsidRPr="00DD4938">
        <w:rPr>
          <w:lang w:val="en-US"/>
        </w:rPr>
        <w:t xml:space="preserve"> fn </w:t>
      </w:r>
      <w:r w:rsidR="0000055B">
        <w:rPr>
          <w:lang w:val="en-US"/>
        </w:rPr>
        <w:t>7</w:t>
      </w:r>
      <w:r w:rsidRPr="00DD4938">
        <w:rPr>
          <w:lang w:val="en-US"/>
        </w:rPr>
        <w:t xml:space="preserve"> above paras 213 and 214.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E6E9" w14:textId="77777777" w:rsidR="009120CA" w:rsidRDefault="00912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9050C2" w14:textId="77777777" w:rsidR="009120CA" w:rsidRDefault="009120C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320924425"/>
      <w:docPartObj>
        <w:docPartGallery w:val="Page Numbers (Top of Page)"/>
        <w:docPartUnique/>
      </w:docPartObj>
    </w:sdtPr>
    <w:sdtEndPr>
      <w:rPr>
        <w:noProof/>
      </w:rPr>
    </w:sdtEndPr>
    <w:sdtContent>
      <w:p w14:paraId="443B58BF" w14:textId="067ADBA6" w:rsidR="009120CA" w:rsidRPr="00995C52" w:rsidRDefault="009120CA">
        <w:pPr>
          <w:pStyle w:val="Header"/>
          <w:jc w:val="right"/>
          <w:rPr>
            <w:sz w:val="28"/>
            <w:szCs w:val="28"/>
          </w:rPr>
        </w:pPr>
        <w:r w:rsidRPr="00995C52">
          <w:rPr>
            <w:sz w:val="28"/>
            <w:szCs w:val="28"/>
          </w:rPr>
          <w:fldChar w:fldCharType="begin"/>
        </w:r>
        <w:r w:rsidRPr="00995C52">
          <w:rPr>
            <w:sz w:val="28"/>
            <w:szCs w:val="28"/>
          </w:rPr>
          <w:instrText xml:space="preserve"> PAGE   \* MERGEFORMAT </w:instrText>
        </w:r>
        <w:r w:rsidRPr="00995C52">
          <w:rPr>
            <w:sz w:val="28"/>
            <w:szCs w:val="28"/>
          </w:rPr>
          <w:fldChar w:fldCharType="separate"/>
        </w:r>
        <w:r w:rsidR="00A04901">
          <w:rPr>
            <w:noProof/>
            <w:sz w:val="28"/>
            <w:szCs w:val="28"/>
          </w:rPr>
          <w:t>2</w:t>
        </w:r>
        <w:r w:rsidRPr="00995C52">
          <w:rPr>
            <w:noProof/>
            <w:sz w:val="28"/>
            <w:szCs w:val="28"/>
          </w:rPr>
          <w:fldChar w:fldCharType="end"/>
        </w:r>
      </w:p>
    </w:sdtContent>
  </w:sdt>
  <w:p w14:paraId="33C8835C" w14:textId="77777777" w:rsidR="009120CA" w:rsidRPr="00995C52" w:rsidRDefault="009120CA">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6B9843DC"/>
    <w:lvl w:ilvl="0" w:tplc="C6147C3C">
      <w:start w:val="1"/>
      <w:numFmt w:val="decimal"/>
      <w:lvlText w:val="[%1]"/>
      <w:lvlJc w:val="left"/>
      <w:pPr>
        <w:ind w:left="450" w:firstLine="0"/>
      </w:pPr>
      <w:rPr>
        <w:rFonts w:ascii="Times New Roman" w:hAnsi="Times New Roman" w:cs="Times New Roman" w:hint="default"/>
        <w:b w:val="0"/>
        <w:bCs w:val="0"/>
        <w:i w:val="0"/>
        <w:i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31C3"/>
    <w:multiLevelType w:val="hybridMultilevel"/>
    <w:tmpl w:val="EFA40374"/>
    <w:lvl w:ilvl="0" w:tplc="B82CED9A">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0D2ADA"/>
    <w:multiLevelType w:val="hybridMultilevel"/>
    <w:tmpl w:val="5B7E4F6E"/>
    <w:lvl w:ilvl="0" w:tplc="C48A84B2">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30EE4CDF"/>
    <w:multiLevelType w:val="hybridMultilevel"/>
    <w:tmpl w:val="BE6257EA"/>
    <w:lvl w:ilvl="0" w:tplc="B82CED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4160029"/>
    <w:multiLevelType w:val="hybridMultilevel"/>
    <w:tmpl w:val="8F0C5188"/>
    <w:lvl w:ilvl="0" w:tplc="275693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A132A21"/>
    <w:multiLevelType w:val="hybridMultilevel"/>
    <w:tmpl w:val="D8BEA1E8"/>
    <w:lvl w:ilvl="0" w:tplc="B82CED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2247880"/>
    <w:multiLevelType w:val="hybridMultilevel"/>
    <w:tmpl w:val="48FA10CC"/>
    <w:lvl w:ilvl="0" w:tplc="458A19CE">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93A3CF5"/>
    <w:multiLevelType w:val="hybridMultilevel"/>
    <w:tmpl w:val="8DAEC262"/>
    <w:lvl w:ilvl="0" w:tplc="B82CED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0335BA6"/>
    <w:multiLevelType w:val="hybridMultilevel"/>
    <w:tmpl w:val="67B8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836FC"/>
    <w:multiLevelType w:val="hybridMultilevel"/>
    <w:tmpl w:val="860018A8"/>
    <w:lvl w:ilvl="0" w:tplc="94C86C06">
      <w:start w:val="3"/>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6F3C2221"/>
    <w:multiLevelType w:val="hybridMultilevel"/>
    <w:tmpl w:val="9EBC3730"/>
    <w:lvl w:ilvl="0" w:tplc="4A480734">
      <w:start w:val="1"/>
      <w:numFmt w:val="decimal"/>
      <w:lvlText w:val="[%1]"/>
      <w:lvlJc w:val="left"/>
      <w:pPr>
        <w:ind w:left="5889" w:hanging="360"/>
      </w:pPr>
      <w:rPr>
        <w:rFonts w:ascii="Times New Roman" w:hAnsi="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63201"/>
    <w:multiLevelType w:val="hybridMultilevel"/>
    <w:tmpl w:val="CDAA8F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B3C0199"/>
    <w:multiLevelType w:val="hybridMultilevel"/>
    <w:tmpl w:val="0D248838"/>
    <w:lvl w:ilvl="0" w:tplc="275693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5"/>
  </w:num>
  <w:num w:numId="6">
    <w:abstractNumId w:val="7"/>
  </w:num>
  <w:num w:numId="7">
    <w:abstractNumId w:val="3"/>
  </w:num>
  <w:num w:numId="8">
    <w:abstractNumId w:val="10"/>
  </w:num>
  <w:num w:numId="9">
    <w:abstractNumId w:val="11"/>
  </w:num>
  <w:num w:numId="10">
    <w:abstractNumId w:val="6"/>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8BA9A4-0EF4-48B1-A943-C6FDDB55EADC}"/>
    <w:docVar w:name="dgnword-eventsink" w:val="2502638573872"/>
  </w:docVars>
  <w:rsids>
    <w:rsidRoot w:val="00B83FA5"/>
    <w:rsid w:val="000004D2"/>
    <w:rsid w:val="0000055B"/>
    <w:rsid w:val="00007A9C"/>
    <w:rsid w:val="00012911"/>
    <w:rsid w:val="00014B50"/>
    <w:rsid w:val="00015563"/>
    <w:rsid w:val="00015957"/>
    <w:rsid w:val="000179CC"/>
    <w:rsid w:val="00017FEF"/>
    <w:rsid w:val="00020B9E"/>
    <w:rsid w:val="00021010"/>
    <w:rsid w:val="000240AC"/>
    <w:rsid w:val="00027E13"/>
    <w:rsid w:val="000320B1"/>
    <w:rsid w:val="00036705"/>
    <w:rsid w:val="000400CE"/>
    <w:rsid w:val="0004044D"/>
    <w:rsid w:val="00045346"/>
    <w:rsid w:val="0005142C"/>
    <w:rsid w:val="0005228F"/>
    <w:rsid w:val="00052699"/>
    <w:rsid w:val="0005351B"/>
    <w:rsid w:val="0005440D"/>
    <w:rsid w:val="00060892"/>
    <w:rsid w:val="00062256"/>
    <w:rsid w:val="00062D2D"/>
    <w:rsid w:val="00064576"/>
    <w:rsid w:val="000672D8"/>
    <w:rsid w:val="00067DCD"/>
    <w:rsid w:val="000734FC"/>
    <w:rsid w:val="00073719"/>
    <w:rsid w:val="00074134"/>
    <w:rsid w:val="00074492"/>
    <w:rsid w:val="00075F77"/>
    <w:rsid w:val="00076FED"/>
    <w:rsid w:val="00077028"/>
    <w:rsid w:val="00080771"/>
    <w:rsid w:val="00090B79"/>
    <w:rsid w:val="00091110"/>
    <w:rsid w:val="00092E5E"/>
    <w:rsid w:val="00095AC1"/>
    <w:rsid w:val="00096476"/>
    <w:rsid w:val="000964E0"/>
    <w:rsid w:val="000A1CEF"/>
    <w:rsid w:val="000A2DC3"/>
    <w:rsid w:val="000A482F"/>
    <w:rsid w:val="000A6606"/>
    <w:rsid w:val="000A66B2"/>
    <w:rsid w:val="000A7885"/>
    <w:rsid w:val="000B1AF1"/>
    <w:rsid w:val="000B2A69"/>
    <w:rsid w:val="000B489D"/>
    <w:rsid w:val="000B7120"/>
    <w:rsid w:val="000C1419"/>
    <w:rsid w:val="000C2F24"/>
    <w:rsid w:val="000C5030"/>
    <w:rsid w:val="000D0D52"/>
    <w:rsid w:val="000D3823"/>
    <w:rsid w:val="000D64B2"/>
    <w:rsid w:val="000D6EF3"/>
    <w:rsid w:val="000E22BD"/>
    <w:rsid w:val="000E2D68"/>
    <w:rsid w:val="000F6D08"/>
    <w:rsid w:val="000F7A09"/>
    <w:rsid w:val="001044A2"/>
    <w:rsid w:val="00107431"/>
    <w:rsid w:val="0011450E"/>
    <w:rsid w:val="001156A3"/>
    <w:rsid w:val="0011670E"/>
    <w:rsid w:val="0012053A"/>
    <w:rsid w:val="00121A60"/>
    <w:rsid w:val="00124AF7"/>
    <w:rsid w:val="00131046"/>
    <w:rsid w:val="00133FF8"/>
    <w:rsid w:val="0013473C"/>
    <w:rsid w:val="00136F46"/>
    <w:rsid w:val="00137B3B"/>
    <w:rsid w:val="001415F2"/>
    <w:rsid w:val="0014368A"/>
    <w:rsid w:val="0014491F"/>
    <w:rsid w:val="00144A50"/>
    <w:rsid w:val="0014594C"/>
    <w:rsid w:val="00150C04"/>
    <w:rsid w:val="00152DA3"/>
    <w:rsid w:val="001543E2"/>
    <w:rsid w:val="001579A6"/>
    <w:rsid w:val="001606AB"/>
    <w:rsid w:val="0016366D"/>
    <w:rsid w:val="001640B1"/>
    <w:rsid w:val="0016576F"/>
    <w:rsid w:val="0016595D"/>
    <w:rsid w:val="001721ED"/>
    <w:rsid w:val="0017321D"/>
    <w:rsid w:val="001840C6"/>
    <w:rsid w:val="001871C9"/>
    <w:rsid w:val="00190F8A"/>
    <w:rsid w:val="001954FB"/>
    <w:rsid w:val="00195AB2"/>
    <w:rsid w:val="001A36B6"/>
    <w:rsid w:val="001A5A44"/>
    <w:rsid w:val="001A5C2C"/>
    <w:rsid w:val="001A74CC"/>
    <w:rsid w:val="001A79FD"/>
    <w:rsid w:val="001B412B"/>
    <w:rsid w:val="001B4E93"/>
    <w:rsid w:val="001B62C0"/>
    <w:rsid w:val="001B7FAE"/>
    <w:rsid w:val="001C464D"/>
    <w:rsid w:val="001C4989"/>
    <w:rsid w:val="001C75AC"/>
    <w:rsid w:val="001C7AEB"/>
    <w:rsid w:val="001C7D51"/>
    <w:rsid w:val="001D23A1"/>
    <w:rsid w:val="001E331F"/>
    <w:rsid w:val="001F1EB6"/>
    <w:rsid w:val="001F32F1"/>
    <w:rsid w:val="001F3B96"/>
    <w:rsid w:val="001F465E"/>
    <w:rsid w:val="001F4F14"/>
    <w:rsid w:val="001F5D12"/>
    <w:rsid w:val="001F64DB"/>
    <w:rsid w:val="001F7E8B"/>
    <w:rsid w:val="002020E8"/>
    <w:rsid w:val="00203EFB"/>
    <w:rsid w:val="0020634A"/>
    <w:rsid w:val="00211C6C"/>
    <w:rsid w:val="0022219E"/>
    <w:rsid w:val="002273B3"/>
    <w:rsid w:val="0023096C"/>
    <w:rsid w:val="0023101C"/>
    <w:rsid w:val="00231631"/>
    <w:rsid w:val="0023195C"/>
    <w:rsid w:val="00232738"/>
    <w:rsid w:val="00233032"/>
    <w:rsid w:val="0023414E"/>
    <w:rsid w:val="00237BB6"/>
    <w:rsid w:val="00241C5D"/>
    <w:rsid w:val="00247B32"/>
    <w:rsid w:val="002503D0"/>
    <w:rsid w:val="002526E9"/>
    <w:rsid w:val="00260778"/>
    <w:rsid w:val="0026326A"/>
    <w:rsid w:val="00266365"/>
    <w:rsid w:val="00267095"/>
    <w:rsid w:val="00271501"/>
    <w:rsid w:val="0027207A"/>
    <w:rsid w:val="00272412"/>
    <w:rsid w:val="00272729"/>
    <w:rsid w:val="002739C5"/>
    <w:rsid w:val="00276369"/>
    <w:rsid w:val="00277A8A"/>
    <w:rsid w:val="00281B3A"/>
    <w:rsid w:val="00285B48"/>
    <w:rsid w:val="002871BE"/>
    <w:rsid w:val="00287CAC"/>
    <w:rsid w:val="00287F7A"/>
    <w:rsid w:val="00291787"/>
    <w:rsid w:val="00291E61"/>
    <w:rsid w:val="00291FCB"/>
    <w:rsid w:val="00294739"/>
    <w:rsid w:val="002954CE"/>
    <w:rsid w:val="00295B0E"/>
    <w:rsid w:val="00297EB4"/>
    <w:rsid w:val="002A00FF"/>
    <w:rsid w:val="002A1319"/>
    <w:rsid w:val="002A1765"/>
    <w:rsid w:val="002A1BCA"/>
    <w:rsid w:val="002A4BB1"/>
    <w:rsid w:val="002B1BA9"/>
    <w:rsid w:val="002B4AE4"/>
    <w:rsid w:val="002B5E7E"/>
    <w:rsid w:val="002C0D31"/>
    <w:rsid w:val="002C15FE"/>
    <w:rsid w:val="002C2EF3"/>
    <w:rsid w:val="002C61D6"/>
    <w:rsid w:val="002C6259"/>
    <w:rsid w:val="002C6917"/>
    <w:rsid w:val="002D31C2"/>
    <w:rsid w:val="002D3E5F"/>
    <w:rsid w:val="002D4241"/>
    <w:rsid w:val="002D4450"/>
    <w:rsid w:val="002D73A7"/>
    <w:rsid w:val="002D749D"/>
    <w:rsid w:val="002E0415"/>
    <w:rsid w:val="002E375D"/>
    <w:rsid w:val="002E4BFA"/>
    <w:rsid w:val="002E521F"/>
    <w:rsid w:val="002F00D9"/>
    <w:rsid w:val="002F075E"/>
    <w:rsid w:val="002F1765"/>
    <w:rsid w:val="002F21B3"/>
    <w:rsid w:val="002F722B"/>
    <w:rsid w:val="002F7D97"/>
    <w:rsid w:val="00300333"/>
    <w:rsid w:val="00300DCF"/>
    <w:rsid w:val="00301AAA"/>
    <w:rsid w:val="003024DA"/>
    <w:rsid w:val="00305832"/>
    <w:rsid w:val="00307227"/>
    <w:rsid w:val="003100B0"/>
    <w:rsid w:val="003112C8"/>
    <w:rsid w:val="00317CDF"/>
    <w:rsid w:val="00320357"/>
    <w:rsid w:val="00321943"/>
    <w:rsid w:val="0032219C"/>
    <w:rsid w:val="00322D0C"/>
    <w:rsid w:val="00325997"/>
    <w:rsid w:val="003311B6"/>
    <w:rsid w:val="00331230"/>
    <w:rsid w:val="0033199D"/>
    <w:rsid w:val="00337747"/>
    <w:rsid w:val="00343BB7"/>
    <w:rsid w:val="00346245"/>
    <w:rsid w:val="00347014"/>
    <w:rsid w:val="003502CC"/>
    <w:rsid w:val="003505C8"/>
    <w:rsid w:val="00353D92"/>
    <w:rsid w:val="003572A5"/>
    <w:rsid w:val="003574D8"/>
    <w:rsid w:val="003604C5"/>
    <w:rsid w:val="00361DC3"/>
    <w:rsid w:val="00362509"/>
    <w:rsid w:val="00362BE5"/>
    <w:rsid w:val="003676B5"/>
    <w:rsid w:val="003713E1"/>
    <w:rsid w:val="00372383"/>
    <w:rsid w:val="00375E75"/>
    <w:rsid w:val="003827C3"/>
    <w:rsid w:val="003838C5"/>
    <w:rsid w:val="003849E6"/>
    <w:rsid w:val="003858A6"/>
    <w:rsid w:val="00387D9B"/>
    <w:rsid w:val="00390AEA"/>
    <w:rsid w:val="00395344"/>
    <w:rsid w:val="0039592B"/>
    <w:rsid w:val="00396D3A"/>
    <w:rsid w:val="003A1454"/>
    <w:rsid w:val="003A21C0"/>
    <w:rsid w:val="003A3A3D"/>
    <w:rsid w:val="003A4794"/>
    <w:rsid w:val="003A4FA1"/>
    <w:rsid w:val="003B38D9"/>
    <w:rsid w:val="003B411E"/>
    <w:rsid w:val="003B41A0"/>
    <w:rsid w:val="003B5FF0"/>
    <w:rsid w:val="003C377C"/>
    <w:rsid w:val="003C3DC0"/>
    <w:rsid w:val="003D37CD"/>
    <w:rsid w:val="003D5526"/>
    <w:rsid w:val="003D7193"/>
    <w:rsid w:val="003E1271"/>
    <w:rsid w:val="003E35A7"/>
    <w:rsid w:val="003E6777"/>
    <w:rsid w:val="003F2B09"/>
    <w:rsid w:val="003F42AB"/>
    <w:rsid w:val="003F45AE"/>
    <w:rsid w:val="003F4A38"/>
    <w:rsid w:val="003F5DBA"/>
    <w:rsid w:val="003F6DA2"/>
    <w:rsid w:val="00400EDF"/>
    <w:rsid w:val="00401C6B"/>
    <w:rsid w:val="0040482C"/>
    <w:rsid w:val="00404AE0"/>
    <w:rsid w:val="00404B91"/>
    <w:rsid w:val="00406ABC"/>
    <w:rsid w:val="004076CF"/>
    <w:rsid w:val="0040780D"/>
    <w:rsid w:val="004102B7"/>
    <w:rsid w:val="00411630"/>
    <w:rsid w:val="00412645"/>
    <w:rsid w:val="004147F3"/>
    <w:rsid w:val="00414B72"/>
    <w:rsid w:val="00416204"/>
    <w:rsid w:val="004203D4"/>
    <w:rsid w:val="004203F0"/>
    <w:rsid w:val="00423732"/>
    <w:rsid w:val="00424262"/>
    <w:rsid w:val="00424C56"/>
    <w:rsid w:val="00424E5C"/>
    <w:rsid w:val="0042613F"/>
    <w:rsid w:val="00430000"/>
    <w:rsid w:val="004312D8"/>
    <w:rsid w:val="004329B5"/>
    <w:rsid w:val="00432DC0"/>
    <w:rsid w:val="004335CA"/>
    <w:rsid w:val="00433E74"/>
    <w:rsid w:val="00434E86"/>
    <w:rsid w:val="0043781C"/>
    <w:rsid w:val="00442EF3"/>
    <w:rsid w:val="004434E9"/>
    <w:rsid w:val="004465B2"/>
    <w:rsid w:val="004466D4"/>
    <w:rsid w:val="0044705E"/>
    <w:rsid w:val="004511CA"/>
    <w:rsid w:val="0045182D"/>
    <w:rsid w:val="00451E0A"/>
    <w:rsid w:val="00454BBB"/>
    <w:rsid w:val="004559EE"/>
    <w:rsid w:val="004619A8"/>
    <w:rsid w:val="00462823"/>
    <w:rsid w:val="00463153"/>
    <w:rsid w:val="00470100"/>
    <w:rsid w:val="0047112F"/>
    <w:rsid w:val="00471546"/>
    <w:rsid w:val="00483A76"/>
    <w:rsid w:val="00485ABE"/>
    <w:rsid w:val="00487C76"/>
    <w:rsid w:val="004954FA"/>
    <w:rsid w:val="00495738"/>
    <w:rsid w:val="00496EA5"/>
    <w:rsid w:val="004A02C1"/>
    <w:rsid w:val="004A65D8"/>
    <w:rsid w:val="004A78C7"/>
    <w:rsid w:val="004B082A"/>
    <w:rsid w:val="004B14A7"/>
    <w:rsid w:val="004B2C56"/>
    <w:rsid w:val="004B7EF4"/>
    <w:rsid w:val="004C04EC"/>
    <w:rsid w:val="004C1A11"/>
    <w:rsid w:val="004C399F"/>
    <w:rsid w:val="004C3B1A"/>
    <w:rsid w:val="004C6D21"/>
    <w:rsid w:val="004C7366"/>
    <w:rsid w:val="004D6DB1"/>
    <w:rsid w:val="004E604F"/>
    <w:rsid w:val="004F49EE"/>
    <w:rsid w:val="004F4B86"/>
    <w:rsid w:val="004F5392"/>
    <w:rsid w:val="004F61E4"/>
    <w:rsid w:val="004F6E29"/>
    <w:rsid w:val="004F7145"/>
    <w:rsid w:val="00502023"/>
    <w:rsid w:val="00503E90"/>
    <w:rsid w:val="00503F2B"/>
    <w:rsid w:val="00507156"/>
    <w:rsid w:val="0050724F"/>
    <w:rsid w:val="0051227F"/>
    <w:rsid w:val="005137EC"/>
    <w:rsid w:val="00514FBE"/>
    <w:rsid w:val="00517228"/>
    <w:rsid w:val="005200B0"/>
    <w:rsid w:val="0052398F"/>
    <w:rsid w:val="005240FE"/>
    <w:rsid w:val="00524679"/>
    <w:rsid w:val="005256C6"/>
    <w:rsid w:val="00525CA3"/>
    <w:rsid w:val="005277B4"/>
    <w:rsid w:val="00527A8E"/>
    <w:rsid w:val="00532FB5"/>
    <w:rsid w:val="005371E8"/>
    <w:rsid w:val="005376C7"/>
    <w:rsid w:val="005422D7"/>
    <w:rsid w:val="00542EE4"/>
    <w:rsid w:val="005479D0"/>
    <w:rsid w:val="005512DC"/>
    <w:rsid w:val="005516A9"/>
    <w:rsid w:val="005520D9"/>
    <w:rsid w:val="0055258B"/>
    <w:rsid w:val="005542B5"/>
    <w:rsid w:val="005544DE"/>
    <w:rsid w:val="0055763B"/>
    <w:rsid w:val="00561F1D"/>
    <w:rsid w:val="005625BC"/>
    <w:rsid w:val="005639CD"/>
    <w:rsid w:val="005674B4"/>
    <w:rsid w:val="00571585"/>
    <w:rsid w:val="00572F17"/>
    <w:rsid w:val="00573073"/>
    <w:rsid w:val="005762E4"/>
    <w:rsid w:val="005777C4"/>
    <w:rsid w:val="00577867"/>
    <w:rsid w:val="00586BE7"/>
    <w:rsid w:val="00587E6D"/>
    <w:rsid w:val="0059014B"/>
    <w:rsid w:val="00591A8C"/>
    <w:rsid w:val="005922FB"/>
    <w:rsid w:val="00594558"/>
    <w:rsid w:val="0059691C"/>
    <w:rsid w:val="005973DC"/>
    <w:rsid w:val="005A08C7"/>
    <w:rsid w:val="005A14C8"/>
    <w:rsid w:val="005A273F"/>
    <w:rsid w:val="005A309F"/>
    <w:rsid w:val="005A3556"/>
    <w:rsid w:val="005A3EC4"/>
    <w:rsid w:val="005A675F"/>
    <w:rsid w:val="005A6FC2"/>
    <w:rsid w:val="005B012C"/>
    <w:rsid w:val="005B1692"/>
    <w:rsid w:val="005B2DEA"/>
    <w:rsid w:val="005B3CD4"/>
    <w:rsid w:val="005B55AD"/>
    <w:rsid w:val="005B7028"/>
    <w:rsid w:val="005C12D5"/>
    <w:rsid w:val="005C28C0"/>
    <w:rsid w:val="005C29C4"/>
    <w:rsid w:val="005C2E1A"/>
    <w:rsid w:val="005C3D4B"/>
    <w:rsid w:val="005C6E58"/>
    <w:rsid w:val="005C6FD8"/>
    <w:rsid w:val="005D034F"/>
    <w:rsid w:val="005D0F0D"/>
    <w:rsid w:val="005D311C"/>
    <w:rsid w:val="005D54ED"/>
    <w:rsid w:val="005D7583"/>
    <w:rsid w:val="005E20C9"/>
    <w:rsid w:val="005E2EE0"/>
    <w:rsid w:val="005E4CF3"/>
    <w:rsid w:val="005E5709"/>
    <w:rsid w:val="005F2F9B"/>
    <w:rsid w:val="006031A9"/>
    <w:rsid w:val="00603AA9"/>
    <w:rsid w:val="0060550A"/>
    <w:rsid w:val="00610766"/>
    <w:rsid w:val="006107EA"/>
    <w:rsid w:val="006160F3"/>
    <w:rsid w:val="006217CE"/>
    <w:rsid w:val="00627002"/>
    <w:rsid w:val="00627240"/>
    <w:rsid w:val="00627328"/>
    <w:rsid w:val="006306F0"/>
    <w:rsid w:val="00631AE5"/>
    <w:rsid w:val="006332A7"/>
    <w:rsid w:val="006366BB"/>
    <w:rsid w:val="0063754A"/>
    <w:rsid w:val="00637826"/>
    <w:rsid w:val="00640761"/>
    <w:rsid w:val="006414B6"/>
    <w:rsid w:val="00642585"/>
    <w:rsid w:val="006428B4"/>
    <w:rsid w:val="006471E3"/>
    <w:rsid w:val="00650690"/>
    <w:rsid w:val="00650A99"/>
    <w:rsid w:val="006549FB"/>
    <w:rsid w:val="00655F43"/>
    <w:rsid w:val="00666284"/>
    <w:rsid w:val="006675F9"/>
    <w:rsid w:val="00671617"/>
    <w:rsid w:val="00672C35"/>
    <w:rsid w:val="00673AA0"/>
    <w:rsid w:val="00674D9F"/>
    <w:rsid w:val="00690A25"/>
    <w:rsid w:val="006A194C"/>
    <w:rsid w:val="006A3C2E"/>
    <w:rsid w:val="006A60D5"/>
    <w:rsid w:val="006B101A"/>
    <w:rsid w:val="006B108A"/>
    <w:rsid w:val="006B13FB"/>
    <w:rsid w:val="006B3554"/>
    <w:rsid w:val="006B4042"/>
    <w:rsid w:val="006B7175"/>
    <w:rsid w:val="006D0946"/>
    <w:rsid w:val="006D122A"/>
    <w:rsid w:val="006D3FFA"/>
    <w:rsid w:val="006D66FF"/>
    <w:rsid w:val="006E02E4"/>
    <w:rsid w:val="006E09D7"/>
    <w:rsid w:val="006E264F"/>
    <w:rsid w:val="006E49D7"/>
    <w:rsid w:val="006E4F17"/>
    <w:rsid w:val="006E781A"/>
    <w:rsid w:val="006F0664"/>
    <w:rsid w:val="006F1AAB"/>
    <w:rsid w:val="006F3848"/>
    <w:rsid w:val="006F6980"/>
    <w:rsid w:val="006F73D8"/>
    <w:rsid w:val="007001AA"/>
    <w:rsid w:val="007004D9"/>
    <w:rsid w:val="00705937"/>
    <w:rsid w:val="00711079"/>
    <w:rsid w:val="007129E3"/>
    <w:rsid w:val="00712B5B"/>
    <w:rsid w:val="00713FB2"/>
    <w:rsid w:val="00714550"/>
    <w:rsid w:val="00714B9E"/>
    <w:rsid w:val="007162C7"/>
    <w:rsid w:val="0072529B"/>
    <w:rsid w:val="007308BE"/>
    <w:rsid w:val="00733B5B"/>
    <w:rsid w:val="00733FE5"/>
    <w:rsid w:val="00734BCC"/>
    <w:rsid w:val="007367E2"/>
    <w:rsid w:val="00743BF1"/>
    <w:rsid w:val="00744EA9"/>
    <w:rsid w:val="00747380"/>
    <w:rsid w:val="00747E5D"/>
    <w:rsid w:val="0075336B"/>
    <w:rsid w:val="0075343B"/>
    <w:rsid w:val="007614E2"/>
    <w:rsid w:val="00761BE3"/>
    <w:rsid w:val="00764BFE"/>
    <w:rsid w:val="007671E0"/>
    <w:rsid w:val="007738F4"/>
    <w:rsid w:val="0077508A"/>
    <w:rsid w:val="00777B55"/>
    <w:rsid w:val="00785D02"/>
    <w:rsid w:val="00787784"/>
    <w:rsid w:val="00791EE9"/>
    <w:rsid w:val="007945D9"/>
    <w:rsid w:val="00794979"/>
    <w:rsid w:val="00794E63"/>
    <w:rsid w:val="00796536"/>
    <w:rsid w:val="007A2BDE"/>
    <w:rsid w:val="007A458F"/>
    <w:rsid w:val="007B55AB"/>
    <w:rsid w:val="007B6221"/>
    <w:rsid w:val="007B6ECC"/>
    <w:rsid w:val="007B76C1"/>
    <w:rsid w:val="007C14D4"/>
    <w:rsid w:val="007D052D"/>
    <w:rsid w:val="007D2251"/>
    <w:rsid w:val="007D2301"/>
    <w:rsid w:val="007D2972"/>
    <w:rsid w:val="007D3DF4"/>
    <w:rsid w:val="007D4A3F"/>
    <w:rsid w:val="007D6AFD"/>
    <w:rsid w:val="007E208F"/>
    <w:rsid w:val="007E36F6"/>
    <w:rsid w:val="007E517E"/>
    <w:rsid w:val="007F11B1"/>
    <w:rsid w:val="007F2E20"/>
    <w:rsid w:val="007F32B1"/>
    <w:rsid w:val="0080039E"/>
    <w:rsid w:val="00805DB5"/>
    <w:rsid w:val="00806883"/>
    <w:rsid w:val="00806B8F"/>
    <w:rsid w:val="00810CCB"/>
    <w:rsid w:val="00814CAD"/>
    <w:rsid w:val="008221BD"/>
    <w:rsid w:val="0082250C"/>
    <w:rsid w:val="00822D6B"/>
    <w:rsid w:val="00822E01"/>
    <w:rsid w:val="008247C1"/>
    <w:rsid w:val="008277D5"/>
    <w:rsid w:val="008328B4"/>
    <w:rsid w:val="00833443"/>
    <w:rsid w:val="00835482"/>
    <w:rsid w:val="00840FAC"/>
    <w:rsid w:val="00840FDF"/>
    <w:rsid w:val="0084167B"/>
    <w:rsid w:val="00841FEC"/>
    <w:rsid w:val="00842405"/>
    <w:rsid w:val="00842724"/>
    <w:rsid w:val="00842BF3"/>
    <w:rsid w:val="0084683E"/>
    <w:rsid w:val="008502AA"/>
    <w:rsid w:val="008510FE"/>
    <w:rsid w:val="00853706"/>
    <w:rsid w:val="00860BEA"/>
    <w:rsid w:val="008612CF"/>
    <w:rsid w:val="0086138B"/>
    <w:rsid w:val="00861E5D"/>
    <w:rsid w:val="00870B71"/>
    <w:rsid w:val="00873D07"/>
    <w:rsid w:val="0087431A"/>
    <w:rsid w:val="00877191"/>
    <w:rsid w:val="00881166"/>
    <w:rsid w:val="00881D5A"/>
    <w:rsid w:val="00883816"/>
    <w:rsid w:val="008860AA"/>
    <w:rsid w:val="008929B7"/>
    <w:rsid w:val="00892E2E"/>
    <w:rsid w:val="0089580B"/>
    <w:rsid w:val="00896691"/>
    <w:rsid w:val="008A3764"/>
    <w:rsid w:val="008A3D91"/>
    <w:rsid w:val="008A6CC6"/>
    <w:rsid w:val="008A7A08"/>
    <w:rsid w:val="008B020D"/>
    <w:rsid w:val="008B1368"/>
    <w:rsid w:val="008B2C73"/>
    <w:rsid w:val="008C0F2F"/>
    <w:rsid w:val="008C3A90"/>
    <w:rsid w:val="008C424F"/>
    <w:rsid w:val="008C5317"/>
    <w:rsid w:val="008C5697"/>
    <w:rsid w:val="008D1007"/>
    <w:rsid w:val="008D455B"/>
    <w:rsid w:val="008D5A2B"/>
    <w:rsid w:val="008E0BD4"/>
    <w:rsid w:val="008E1B9C"/>
    <w:rsid w:val="008E50A4"/>
    <w:rsid w:val="008F04F2"/>
    <w:rsid w:val="008F2AC6"/>
    <w:rsid w:val="008F2EBD"/>
    <w:rsid w:val="008F3893"/>
    <w:rsid w:val="009008AE"/>
    <w:rsid w:val="00901FC5"/>
    <w:rsid w:val="00902491"/>
    <w:rsid w:val="009024AD"/>
    <w:rsid w:val="0090457D"/>
    <w:rsid w:val="00907EA4"/>
    <w:rsid w:val="00911D51"/>
    <w:rsid w:val="009120CA"/>
    <w:rsid w:val="00912C62"/>
    <w:rsid w:val="00916037"/>
    <w:rsid w:val="009175BD"/>
    <w:rsid w:val="00920FA3"/>
    <w:rsid w:val="00923060"/>
    <w:rsid w:val="00923C4C"/>
    <w:rsid w:val="009269A1"/>
    <w:rsid w:val="00930E80"/>
    <w:rsid w:val="00936F14"/>
    <w:rsid w:val="009403C9"/>
    <w:rsid w:val="00945A1D"/>
    <w:rsid w:val="009466E7"/>
    <w:rsid w:val="00947FA3"/>
    <w:rsid w:val="009503D9"/>
    <w:rsid w:val="0095135E"/>
    <w:rsid w:val="009515DB"/>
    <w:rsid w:val="0095256D"/>
    <w:rsid w:val="00953D31"/>
    <w:rsid w:val="009544D7"/>
    <w:rsid w:val="00960C1D"/>
    <w:rsid w:val="0096289D"/>
    <w:rsid w:val="00963469"/>
    <w:rsid w:val="00963C96"/>
    <w:rsid w:val="00963CE2"/>
    <w:rsid w:val="00963DA7"/>
    <w:rsid w:val="00963EDA"/>
    <w:rsid w:val="00975E77"/>
    <w:rsid w:val="009761C6"/>
    <w:rsid w:val="00976FEF"/>
    <w:rsid w:val="00977AD1"/>
    <w:rsid w:val="00980A84"/>
    <w:rsid w:val="0098151F"/>
    <w:rsid w:val="00983B35"/>
    <w:rsid w:val="00985048"/>
    <w:rsid w:val="00985D96"/>
    <w:rsid w:val="00987707"/>
    <w:rsid w:val="009927C9"/>
    <w:rsid w:val="00993D93"/>
    <w:rsid w:val="00995C52"/>
    <w:rsid w:val="00997E39"/>
    <w:rsid w:val="009A123F"/>
    <w:rsid w:val="009A13CA"/>
    <w:rsid w:val="009A15B4"/>
    <w:rsid w:val="009A1EC9"/>
    <w:rsid w:val="009A2052"/>
    <w:rsid w:val="009A2626"/>
    <w:rsid w:val="009A4CE1"/>
    <w:rsid w:val="009B1799"/>
    <w:rsid w:val="009B1AE9"/>
    <w:rsid w:val="009B53B5"/>
    <w:rsid w:val="009C1C79"/>
    <w:rsid w:val="009C2C36"/>
    <w:rsid w:val="009C6858"/>
    <w:rsid w:val="009D10BB"/>
    <w:rsid w:val="009D216D"/>
    <w:rsid w:val="009D2FFB"/>
    <w:rsid w:val="009D5157"/>
    <w:rsid w:val="009E22F5"/>
    <w:rsid w:val="009E5094"/>
    <w:rsid w:val="009E6D5D"/>
    <w:rsid w:val="009F1DA1"/>
    <w:rsid w:val="009F2044"/>
    <w:rsid w:val="009F245A"/>
    <w:rsid w:val="009F2D8F"/>
    <w:rsid w:val="009F3C5F"/>
    <w:rsid w:val="009F64E2"/>
    <w:rsid w:val="009F7BAE"/>
    <w:rsid w:val="00A02AB5"/>
    <w:rsid w:val="00A03F55"/>
    <w:rsid w:val="00A04901"/>
    <w:rsid w:val="00A06278"/>
    <w:rsid w:val="00A06D4E"/>
    <w:rsid w:val="00A10263"/>
    <w:rsid w:val="00A110E7"/>
    <w:rsid w:val="00A12C8D"/>
    <w:rsid w:val="00A2332D"/>
    <w:rsid w:val="00A234C1"/>
    <w:rsid w:val="00A23B8E"/>
    <w:rsid w:val="00A24AB4"/>
    <w:rsid w:val="00A24E5E"/>
    <w:rsid w:val="00A31AB6"/>
    <w:rsid w:val="00A3219A"/>
    <w:rsid w:val="00A3292F"/>
    <w:rsid w:val="00A35CD5"/>
    <w:rsid w:val="00A4003B"/>
    <w:rsid w:val="00A41A61"/>
    <w:rsid w:val="00A44219"/>
    <w:rsid w:val="00A4586E"/>
    <w:rsid w:val="00A47561"/>
    <w:rsid w:val="00A51F91"/>
    <w:rsid w:val="00A54262"/>
    <w:rsid w:val="00A545E5"/>
    <w:rsid w:val="00A5532E"/>
    <w:rsid w:val="00A57044"/>
    <w:rsid w:val="00A62E4E"/>
    <w:rsid w:val="00A64108"/>
    <w:rsid w:val="00A646CA"/>
    <w:rsid w:val="00A65E42"/>
    <w:rsid w:val="00A7203D"/>
    <w:rsid w:val="00A72B6F"/>
    <w:rsid w:val="00A745CF"/>
    <w:rsid w:val="00A75315"/>
    <w:rsid w:val="00A76BFC"/>
    <w:rsid w:val="00A81D37"/>
    <w:rsid w:val="00A84E8B"/>
    <w:rsid w:val="00A9136B"/>
    <w:rsid w:val="00A9179B"/>
    <w:rsid w:val="00A91E1F"/>
    <w:rsid w:val="00A94A5E"/>
    <w:rsid w:val="00A95BE8"/>
    <w:rsid w:val="00A97436"/>
    <w:rsid w:val="00A97ED2"/>
    <w:rsid w:val="00AA14CE"/>
    <w:rsid w:val="00AA1C8C"/>
    <w:rsid w:val="00AA339B"/>
    <w:rsid w:val="00AA4AC5"/>
    <w:rsid w:val="00AA67D5"/>
    <w:rsid w:val="00AB037D"/>
    <w:rsid w:val="00AB1A97"/>
    <w:rsid w:val="00AB428D"/>
    <w:rsid w:val="00AB5850"/>
    <w:rsid w:val="00AB6394"/>
    <w:rsid w:val="00AC00F4"/>
    <w:rsid w:val="00AC0A4C"/>
    <w:rsid w:val="00AC27DD"/>
    <w:rsid w:val="00AC3FC9"/>
    <w:rsid w:val="00AC47FA"/>
    <w:rsid w:val="00AC5828"/>
    <w:rsid w:val="00AC5AEB"/>
    <w:rsid w:val="00AC6E70"/>
    <w:rsid w:val="00AC7917"/>
    <w:rsid w:val="00AC791D"/>
    <w:rsid w:val="00AD2701"/>
    <w:rsid w:val="00AD2BEC"/>
    <w:rsid w:val="00AE075C"/>
    <w:rsid w:val="00AE23AA"/>
    <w:rsid w:val="00AE2D30"/>
    <w:rsid w:val="00AF1632"/>
    <w:rsid w:val="00AF1729"/>
    <w:rsid w:val="00AF2FFE"/>
    <w:rsid w:val="00AF6069"/>
    <w:rsid w:val="00B00665"/>
    <w:rsid w:val="00B0176B"/>
    <w:rsid w:val="00B02B09"/>
    <w:rsid w:val="00B04500"/>
    <w:rsid w:val="00B07FAE"/>
    <w:rsid w:val="00B13F02"/>
    <w:rsid w:val="00B17F4F"/>
    <w:rsid w:val="00B206B4"/>
    <w:rsid w:val="00B21E88"/>
    <w:rsid w:val="00B231EC"/>
    <w:rsid w:val="00B24780"/>
    <w:rsid w:val="00B306D3"/>
    <w:rsid w:val="00B31846"/>
    <w:rsid w:val="00B32293"/>
    <w:rsid w:val="00B325CE"/>
    <w:rsid w:val="00B36908"/>
    <w:rsid w:val="00B3748D"/>
    <w:rsid w:val="00B37F6E"/>
    <w:rsid w:val="00B414B1"/>
    <w:rsid w:val="00B41D93"/>
    <w:rsid w:val="00B443F6"/>
    <w:rsid w:val="00B46CEA"/>
    <w:rsid w:val="00B50E89"/>
    <w:rsid w:val="00B516D9"/>
    <w:rsid w:val="00B6204A"/>
    <w:rsid w:val="00B6698E"/>
    <w:rsid w:val="00B67D71"/>
    <w:rsid w:val="00B71315"/>
    <w:rsid w:val="00B77C8C"/>
    <w:rsid w:val="00B77E63"/>
    <w:rsid w:val="00B806A7"/>
    <w:rsid w:val="00B81808"/>
    <w:rsid w:val="00B8182B"/>
    <w:rsid w:val="00B83FA5"/>
    <w:rsid w:val="00B85C53"/>
    <w:rsid w:val="00B8672C"/>
    <w:rsid w:val="00B87804"/>
    <w:rsid w:val="00B91681"/>
    <w:rsid w:val="00B960EB"/>
    <w:rsid w:val="00B979A1"/>
    <w:rsid w:val="00BA0FB5"/>
    <w:rsid w:val="00BA6860"/>
    <w:rsid w:val="00BA73C9"/>
    <w:rsid w:val="00BB0263"/>
    <w:rsid w:val="00BB2107"/>
    <w:rsid w:val="00BB44D0"/>
    <w:rsid w:val="00BC06F6"/>
    <w:rsid w:val="00BC273A"/>
    <w:rsid w:val="00BC6D40"/>
    <w:rsid w:val="00BD106F"/>
    <w:rsid w:val="00BD1B99"/>
    <w:rsid w:val="00BD3C19"/>
    <w:rsid w:val="00BD64A4"/>
    <w:rsid w:val="00BD6F08"/>
    <w:rsid w:val="00BD6FAB"/>
    <w:rsid w:val="00BE1406"/>
    <w:rsid w:val="00BE214B"/>
    <w:rsid w:val="00BE70AA"/>
    <w:rsid w:val="00BF02F0"/>
    <w:rsid w:val="00BF0830"/>
    <w:rsid w:val="00BF2B7C"/>
    <w:rsid w:val="00BF3A04"/>
    <w:rsid w:val="00BF7383"/>
    <w:rsid w:val="00BF7FD1"/>
    <w:rsid w:val="00C002EA"/>
    <w:rsid w:val="00C00EC6"/>
    <w:rsid w:val="00C02119"/>
    <w:rsid w:val="00C0301F"/>
    <w:rsid w:val="00C05A56"/>
    <w:rsid w:val="00C12105"/>
    <w:rsid w:val="00C158E3"/>
    <w:rsid w:val="00C16BB4"/>
    <w:rsid w:val="00C20AD8"/>
    <w:rsid w:val="00C2312C"/>
    <w:rsid w:val="00C31AED"/>
    <w:rsid w:val="00C36BDF"/>
    <w:rsid w:val="00C36FBD"/>
    <w:rsid w:val="00C401FA"/>
    <w:rsid w:val="00C43FE2"/>
    <w:rsid w:val="00C46D93"/>
    <w:rsid w:val="00C47623"/>
    <w:rsid w:val="00C53899"/>
    <w:rsid w:val="00C53A48"/>
    <w:rsid w:val="00C53B63"/>
    <w:rsid w:val="00C5693F"/>
    <w:rsid w:val="00C600CB"/>
    <w:rsid w:val="00C61A15"/>
    <w:rsid w:val="00C650AA"/>
    <w:rsid w:val="00C73A19"/>
    <w:rsid w:val="00C75A25"/>
    <w:rsid w:val="00C81269"/>
    <w:rsid w:val="00C84421"/>
    <w:rsid w:val="00C8640F"/>
    <w:rsid w:val="00C86C7C"/>
    <w:rsid w:val="00C87A71"/>
    <w:rsid w:val="00C87FAA"/>
    <w:rsid w:val="00C9115F"/>
    <w:rsid w:val="00C92836"/>
    <w:rsid w:val="00CA0472"/>
    <w:rsid w:val="00CA181E"/>
    <w:rsid w:val="00CA1D15"/>
    <w:rsid w:val="00CB18B4"/>
    <w:rsid w:val="00CB3792"/>
    <w:rsid w:val="00CB505A"/>
    <w:rsid w:val="00CB52B5"/>
    <w:rsid w:val="00CC03F0"/>
    <w:rsid w:val="00CC275B"/>
    <w:rsid w:val="00CC2C10"/>
    <w:rsid w:val="00CC3813"/>
    <w:rsid w:val="00CC39CC"/>
    <w:rsid w:val="00CC3F50"/>
    <w:rsid w:val="00CD0298"/>
    <w:rsid w:val="00CD0E39"/>
    <w:rsid w:val="00CD1A8E"/>
    <w:rsid w:val="00CD452C"/>
    <w:rsid w:val="00CE2E1B"/>
    <w:rsid w:val="00CE6A90"/>
    <w:rsid w:val="00CF3F63"/>
    <w:rsid w:val="00CF6662"/>
    <w:rsid w:val="00CF6D63"/>
    <w:rsid w:val="00D01A18"/>
    <w:rsid w:val="00D02C8C"/>
    <w:rsid w:val="00D0615E"/>
    <w:rsid w:val="00D130D0"/>
    <w:rsid w:val="00D131A1"/>
    <w:rsid w:val="00D155F8"/>
    <w:rsid w:val="00D15E44"/>
    <w:rsid w:val="00D161D6"/>
    <w:rsid w:val="00D205CB"/>
    <w:rsid w:val="00D25F63"/>
    <w:rsid w:val="00D300E2"/>
    <w:rsid w:val="00D30B5D"/>
    <w:rsid w:val="00D323D0"/>
    <w:rsid w:val="00D3503B"/>
    <w:rsid w:val="00D35A45"/>
    <w:rsid w:val="00D35ADA"/>
    <w:rsid w:val="00D41179"/>
    <w:rsid w:val="00D4118E"/>
    <w:rsid w:val="00D42E59"/>
    <w:rsid w:val="00D44658"/>
    <w:rsid w:val="00D51290"/>
    <w:rsid w:val="00D51857"/>
    <w:rsid w:val="00D52E60"/>
    <w:rsid w:val="00D5491E"/>
    <w:rsid w:val="00D563D2"/>
    <w:rsid w:val="00D62370"/>
    <w:rsid w:val="00D633BF"/>
    <w:rsid w:val="00D63D89"/>
    <w:rsid w:val="00D65852"/>
    <w:rsid w:val="00D661D2"/>
    <w:rsid w:val="00D66673"/>
    <w:rsid w:val="00D679DA"/>
    <w:rsid w:val="00D67EFA"/>
    <w:rsid w:val="00D70A21"/>
    <w:rsid w:val="00D70E6F"/>
    <w:rsid w:val="00D72042"/>
    <w:rsid w:val="00D74B34"/>
    <w:rsid w:val="00D7550A"/>
    <w:rsid w:val="00D77065"/>
    <w:rsid w:val="00D7710C"/>
    <w:rsid w:val="00D83C99"/>
    <w:rsid w:val="00D84D7A"/>
    <w:rsid w:val="00D87D54"/>
    <w:rsid w:val="00DA2C5A"/>
    <w:rsid w:val="00DA407B"/>
    <w:rsid w:val="00DA59D5"/>
    <w:rsid w:val="00DA6C88"/>
    <w:rsid w:val="00DA7B56"/>
    <w:rsid w:val="00DB0E8D"/>
    <w:rsid w:val="00DC083D"/>
    <w:rsid w:val="00DC3E1C"/>
    <w:rsid w:val="00DC3F7A"/>
    <w:rsid w:val="00DC6844"/>
    <w:rsid w:val="00DC7BE0"/>
    <w:rsid w:val="00DD0431"/>
    <w:rsid w:val="00DD10E5"/>
    <w:rsid w:val="00DD1167"/>
    <w:rsid w:val="00DD2D0F"/>
    <w:rsid w:val="00DD47AA"/>
    <w:rsid w:val="00DD4938"/>
    <w:rsid w:val="00DD6B41"/>
    <w:rsid w:val="00DE2CE0"/>
    <w:rsid w:val="00DE3951"/>
    <w:rsid w:val="00DE39FF"/>
    <w:rsid w:val="00DE53A7"/>
    <w:rsid w:val="00DE79AC"/>
    <w:rsid w:val="00DF1CF3"/>
    <w:rsid w:val="00DF2781"/>
    <w:rsid w:val="00DF2AF1"/>
    <w:rsid w:val="00DF43A1"/>
    <w:rsid w:val="00DF47A8"/>
    <w:rsid w:val="00DF76F5"/>
    <w:rsid w:val="00E01C94"/>
    <w:rsid w:val="00E030A7"/>
    <w:rsid w:val="00E03C80"/>
    <w:rsid w:val="00E077BE"/>
    <w:rsid w:val="00E12B55"/>
    <w:rsid w:val="00E2242E"/>
    <w:rsid w:val="00E22E35"/>
    <w:rsid w:val="00E2544A"/>
    <w:rsid w:val="00E25593"/>
    <w:rsid w:val="00E262CF"/>
    <w:rsid w:val="00E32297"/>
    <w:rsid w:val="00E33F08"/>
    <w:rsid w:val="00E349F3"/>
    <w:rsid w:val="00E353E2"/>
    <w:rsid w:val="00E35963"/>
    <w:rsid w:val="00E40B9A"/>
    <w:rsid w:val="00E443B0"/>
    <w:rsid w:val="00E44E14"/>
    <w:rsid w:val="00E460E4"/>
    <w:rsid w:val="00E478A7"/>
    <w:rsid w:val="00E5002C"/>
    <w:rsid w:val="00E51DC6"/>
    <w:rsid w:val="00E535B4"/>
    <w:rsid w:val="00E535D9"/>
    <w:rsid w:val="00E53DF4"/>
    <w:rsid w:val="00E53EE4"/>
    <w:rsid w:val="00E579CA"/>
    <w:rsid w:val="00E60C26"/>
    <w:rsid w:val="00E65060"/>
    <w:rsid w:val="00E65CB1"/>
    <w:rsid w:val="00E66C8B"/>
    <w:rsid w:val="00E73257"/>
    <w:rsid w:val="00E760D3"/>
    <w:rsid w:val="00E76978"/>
    <w:rsid w:val="00E76D08"/>
    <w:rsid w:val="00E80023"/>
    <w:rsid w:val="00E84082"/>
    <w:rsid w:val="00E84477"/>
    <w:rsid w:val="00E85259"/>
    <w:rsid w:val="00E91B84"/>
    <w:rsid w:val="00E97969"/>
    <w:rsid w:val="00EA094B"/>
    <w:rsid w:val="00EA5368"/>
    <w:rsid w:val="00EA6690"/>
    <w:rsid w:val="00EA6C0D"/>
    <w:rsid w:val="00EB03B2"/>
    <w:rsid w:val="00EB04F1"/>
    <w:rsid w:val="00EB0A3F"/>
    <w:rsid w:val="00EB14F6"/>
    <w:rsid w:val="00EB1858"/>
    <w:rsid w:val="00EB28E7"/>
    <w:rsid w:val="00EB7796"/>
    <w:rsid w:val="00EC04FD"/>
    <w:rsid w:val="00EC0A61"/>
    <w:rsid w:val="00EC16D1"/>
    <w:rsid w:val="00ED221F"/>
    <w:rsid w:val="00ED403C"/>
    <w:rsid w:val="00ED7AE7"/>
    <w:rsid w:val="00EE0979"/>
    <w:rsid w:val="00EE2ABA"/>
    <w:rsid w:val="00EE4A3B"/>
    <w:rsid w:val="00EE5A08"/>
    <w:rsid w:val="00EF2764"/>
    <w:rsid w:val="00EF46EE"/>
    <w:rsid w:val="00EF5A4B"/>
    <w:rsid w:val="00EF5E76"/>
    <w:rsid w:val="00EF661C"/>
    <w:rsid w:val="00EF7E7E"/>
    <w:rsid w:val="00F015FC"/>
    <w:rsid w:val="00F05C33"/>
    <w:rsid w:val="00F11682"/>
    <w:rsid w:val="00F15A61"/>
    <w:rsid w:val="00F17269"/>
    <w:rsid w:val="00F2035A"/>
    <w:rsid w:val="00F2256B"/>
    <w:rsid w:val="00F2453B"/>
    <w:rsid w:val="00F25F23"/>
    <w:rsid w:val="00F262C6"/>
    <w:rsid w:val="00F272E9"/>
    <w:rsid w:val="00F30BCE"/>
    <w:rsid w:val="00F31D76"/>
    <w:rsid w:val="00F34ECA"/>
    <w:rsid w:val="00F37795"/>
    <w:rsid w:val="00F40D90"/>
    <w:rsid w:val="00F41E81"/>
    <w:rsid w:val="00F43846"/>
    <w:rsid w:val="00F51B5E"/>
    <w:rsid w:val="00F53A4B"/>
    <w:rsid w:val="00F53EE8"/>
    <w:rsid w:val="00F55C2E"/>
    <w:rsid w:val="00F57873"/>
    <w:rsid w:val="00F57F0B"/>
    <w:rsid w:val="00F63474"/>
    <w:rsid w:val="00F636D1"/>
    <w:rsid w:val="00F63D75"/>
    <w:rsid w:val="00F6444A"/>
    <w:rsid w:val="00F64550"/>
    <w:rsid w:val="00F653D1"/>
    <w:rsid w:val="00F67ABB"/>
    <w:rsid w:val="00F70245"/>
    <w:rsid w:val="00F71A4E"/>
    <w:rsid w:val="00F7304A"/>
    <w:rsid w:val="00F7438E"/>
    <w:rsid w:val="00F80567"/>
    <w:rsid w:val="00F81A87"/>
    <w:rsid w:val="00F821FD"/>
    <w:rsid w:val="00F8280E"/>
    <w:rsid w:val="00F83223"/>
    <w:rsid w:val="00F85681"/>
    <w:rsid w:val="00F85B39"/>
    <w:rsid w:val="00F863CA"/>
    <w:rsid w:val="00F92EF8"/>
    <w:rsid w:val="00F950A0"/>
    <w:rsid w:val="00F955B0"/>
    <w:rsid w:val="00F9756A"/>
    <w:rsid w:val="00FA2365"/>
    <w:rsid w:val="00FA3404"/>
    <w:rsid w:val="00FA4E62"/>
    <w:rsid w:val="00FA5FC2"/>
    <w:rsid w:val="00FA6A1B"/>
    <w:rsid w:val="00FA71B9"/>
    <w:rsid w:val="00FA72FA"/>
    <w:rsid w:val="00FB1B28"/>
    <w:rsid w:val="00FB23E6"/>
    <w:rsid w:val="00FB3128"/>
    <w:rsid w:val="00FC2693"/>
    <w:rsid w:val="00FC28B7"/>
    <w:rsid w:val="00FC3C7F"/>
    <w:rsid w:val="00FC4070"/>
    <w:rsid w:val="00FD1FE4"/>
    <w:rsid w:val="00FD28C5"/>
    <w:rsid w:val="00FD2B32"/>
    <w:rsid w:val="00FD332A"/>
    <w:rsid w:val="00FD343A"/>
    <w:rsid w:val="00FD46E2"/>
    <w:rsid w:val="00FD47BF"/>
    <w:rsid w:val="00FD79FF"/>
    <w:rsid w:val="00FD7D01"/>
    <w:rsid w:val="00FE51B6"/>
    <w:rsid w:val="00FF0575"/>
    <w:rsid w:val="00FF1CA9"/>
    <w:rsid w:val="00FF1F4B"/>
    <w:rsid w:val="00FF2E1C"/>
    <w:rsid w:val="00FF46D7"/>
    <w:rsid w:val="00FF5D20"/>
    <w:rsid w:val="00FF5F76"/>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C455"/>
  <w15:docId w15:val="{0D3E715A-8EC9-1744-9540-B90340A3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5E"/>
    <w:pPr>
      <w:spacing w:after="0" w:line="36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41D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03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83FA5"/>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3FA5"/>
    <w:rPr>
      <w:rFonts w:ascii="Arial" w:eastAsia="Times New Roman" w:hAnsi="Arial" w:cs="Arial"/>
      <w:i/>
      <w:iCs/>
      <w:sz w:val="28"/>
      <w:szCs w:val="24"/>
      <w:lang w:val="en-GB"/>
    </w:rPr>
  </w:style>
  <w:style w:type="paragraph" w:styleId="Header">
    <w:name w:val="header"/>
    <w:basedOn w:val="Normal"/>
    <w:link w:val="HeaderChar"/>
    <w:uiPriority w:val="99"/>
    <w:rsid w:val="00B83FA5"/>
    <w:pPr>
      <w:tabs>
        <w:tab w:val="center" w:pos="4153"/>
        <w:tab w:val="right" w:pos="8306"/>
      </w:tabs>
    </w:pPr>
  </w:style>
  <w:style w:type="character" w:customStyle="1" w:styleId="HeaderChar">
    <w:name w:val="Header Char"/>
    <w:basedOn w:val="DefaultParagraphFont"/>
    <w:link w:val="Header"/>
    <w:uiPriority w:val="99"/>
    <w:rsid w:val="00B83FA5"/>
    <w:rPr>
      <w:rFonts w:ascii="Times New Roman" w:eastAsia="Times New Roman" w:hAnsi="Times New Roman" w:cs="Times New Roman"/>
      <w:sz w:val="24"/>
      <w:szCs w:val="24"/>
      <w:lang w:val="en-GB"/>
    </w:rPr>
  </w:style>
  <w:style w:type="character" w:styleId="PageNumber">
    <w:name w:val="page number"/>
    <w:basedOn w:val="DefaultParagraphFont"/>
    <w:rsid w:val="00B83FA5"/>
    <w:rPr>
      <w:rFonts w:cs="Times New Roman"/>
    </w:rPr>
  </w:style>
  <w:style w:type="paragraph" w:styleId="FootnoteText">
    <w:name w:val="footnote text"/>
    <w:basedOn w:val="Normal"/>
    <w:link w:val="FootnoteTextChar"/>
    <w:uiPriority w:val="99"/>
    <w:rsid w:val="00B83FA5"/>
    <w:rPr>
      <w:sz w:val="20"/>
      <w:szCs w:val="20"/>
    </w:rPr>
  </w:style>
  <w:style w:type="character" w:customStyle="1" w:styleId="FootnoteTextChar">
    <w:name w:val="Footnote Text Char"/>
    <w:basedOn w:val="DefaultParagraphFont"/>
    <w:link w:val="FootnoteText"/>
    <w:uiPriority w:val="99"/>
    <w:rsid w:val="00B83FA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83FA5"/>
    <w:pPr>
      <w:ind w:left="720"/>
      <w:contextualSpacing/>
    </w:pPr>
  </w:style>
  <w:style w:type="character" w:styleId="FootnoteReference">
    <w:name w:val="footnote reference"/>
    <w:basedOn w:val="DefaultParagraphFont"/>
    <w:uiPriority w:val="99"/>
    <w:semiHidden/>
    <w:unhideWhenUsed/>
    <w:rsid w:val="00B83FA5"/>
    <w:rPr>
      <w:vertAlign w:val="superscript"/>
    </w:rPr>
  </w:style>
  <w:style w:type="character" w:styleId="CommentReference">
    <w:name w:val="annotation reference"/>
    <w:basedOn w:val="DefaultParagraphFont"/>
    <w:uiPriority w:val="99"/>
    <w:semiHidden/>
    <w:unhideWhenUsed/>
    <w:rsid w:val="00DC7BE0"/>
    <w:rPr>
      <w:sz w:val="16"/>
      <w:szCs w:val="16"/>
    </w:rPr>
  </w:style>
  <w:style w:type="paragraph" w:styleId="CommentText">
    <w:name w:val="annotation text"/>
    <w:basedOn w:val="Normal"/>
    <w:link w:val="CommentTextChar"/>
    <w:uiPriority w:val="99"/>
    <w:semiHidden/>
    <w:unhideWhenUsed/>
    <w:rsid w:val="00DC7BE0"/>
    <w:pPr>
      <w:spacing w:line="240" w:lineRule="auto"/>
    </w:pPr>
    <w:rPr>
      <w:sz w:val="20"/>
      <w:szCs w:val="20"/>
    </w:rPr>
  </w:style>
  <w:style w:type="character" w:customStyle="1" w:styleId="CommentTextChar">
    <w:name w:val="Comment Text Char"/>
    <w:basedOn w:val="DefaultParagraphFont"/>
    <w:link w:val="CommentText"/>
    <w:uiPriority w:val="99"/>
    <w:semiHidden/>
    <w:rsid w:val="00DC7B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C7BE0"/>
    <w:rPr>
      <w:b/>
      <w:bCs/>
    </w:rPr>
  </w:style>
  <w:style w:type="character" w:customStyle="1" w:styleId="CommentSubjectChar">
    <w:name w:val="Comment Subject Char"/>
    <w:basedOn w:val="CommentTextChar"/>
    <w:link w:val="CommentSubject"/>
    <w:uiPriority w:val="99"/>
    <w:semiHidden/>
    <w:rsid w:val="00DC7BE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C7B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E0"/>
    <w:rPr>
      <w:rFonts w:ascii="Segoe UI" w:eastAsia="Times New Roman" w:hAnsi="Segoe UI" w:cs="Segoe UI"/>
      <w:sz w:val="18"/>
      <w:szCs w:val="18"/>
      <w:lang w:val="en-GB"/>
    </w:rPr>
  </w:style>
  <w:style w:type="paragraph" w:customStyle="1" w:styleId="normaltext">
    <w:name w:val="normaltext"/>
    <w:basedOn w:val="Normal"/>
    <w:rsid w:val="00BA73C9"/>
    <w:pPr>
      <w:spacing w:before="100" w:beforeAutospacing="1" w:after="100" w:afterAutospacing="1" w:line="240" w:lineRule="auto"/>
      <w:jc w:val="left"/>
    </w:pPr>
    <w:rPr>
      <w:lang w:val="en-US"/>
    </w:rPr>
  </w:style>
  <w:style w:type="paragraph" w:customStyle="1" w:styleId="arunninghead">
    <w:name w:val="arunninghead"/>
    <w:basedOn w:val="Normal"/>
    <w:rsid w:val="00BA73C9"/>
    <w:pPr>
      <w:spacing w:before="100" w:beforeAutospacing="1" w:after="100" w:afterAutospacing="1" w:line="240" w:lineRule="auto"/>
      <w:jc w:val="left"/>
    </w:pPr>
    <w:rPr>
      <w:lang w:val="en-US"/>
    </w:rPr>
  </w:style>
  <w:style w:type="paragraph" w:styleId="NormalWeb">
    <w:name w:val="Normal (Web)"/>
    <w:basedOn w:val="Normal"/>
    <w:uiPriority w:val="99"/>
    <w:unhideWhenUsed/>
    <w:rsid w:val="00D679DA"/>
    <w:pPr>
      <w:spacing w:before="100" w:beforeAutospacing="1" w:after="100" w:afterAutospacing="1" w:line="240" w:lineRule="auto"/>
      <w:jc w:val="left"/>
    </w:pPr>
    <w:rPr>
      <w:lang w:val="en-US"/>
    </w:rPr>
  </w:style>
  <w:style w:type="character" w:styleId="Hyperlink">
    <w:name w:val="Hyperlink"/>
    <w:basedOn w:val="DefaultParagraphFont"/>
    <w:uiPriority w:val="99"/>
    <w:semiHidden/>
    <w:unhideWhenUsed/>
    <w:rsid w:val="00D679DA"/>
    <w:rPr>
      <w:color w:val="0000FF"/>
      <w:u w:val="single"/>
    </w:rPr>
  </w:style>
  <w:style w:type="paragraph" w:styleId="Revision">
    <w:name w:val="Revision"/>
    <w:hidden/>
    <w:uiPriority w:val="99"/>
    <w:semiHidden/>
    <w:rsid w:val="003604C5"/>
    <w:pPr>
      <w:spacing w:after="0"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5C52"/>
    <w:pPr>
      <w:tabs>
        <w:tab w:val="center" w:pos="4513"/>
        <w:tab w:val="right" w:pos="9026"/>
      </w:tabs>
      <w:spacing w:line="240" w:lineRule="auto"/>
    </w:pPr>
  </w:style>
  <w:style w:type="character" w:customStyle="1" w:styleId="FooterChar">
    <w:name w:val="Footer Char"/>
    <w:basedOn w:val="DefaultParagraphFont"/>
    <w:link w:val="Footer"/>
    <w:uiPriority w:val="99"/>
    <w:rsid w:val="00995C52"/>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B41D9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2035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4129">
      <w:bodyDiv w:val="1"/>
      <w:marLeft w:val="0"/>
      <w:marRight w:val="0"/>
      <w:marTop w:val="0"/>
      <w:marBottom w:val="0"/>
      <w:divBdr>
        <w:top w:val="none" w:sz="0" w:space="0" w:color="auto"/>
        <w:left w:val="none" w:sz="0" w:space="0" w:color="auto"/>
        <w:bottom w:val="none" w:sz="0" w:space="0" w:color="auto"/>
        <w:right w:val="none" w:sz="0" w:space="0" w:color="auto"/>
      </w:divBdr>
    </w:div>
    <w:div w:id="572542567">
      <w:bodyDiv w:val="1"/>
      <w:marLeft w:val="0"/>
      <w:marRight w:val="0"/>
      <w:marTop w:val="0"/>
      <w:marBottom w:val="0"/>
      <w:divBdr>
        <w:top w:val="none" w:sz="0" w:space="0" w:color="auto"/>
        <w:left w:val="none" w:sz="0" w:space="0" w:color="auto"/>
        <w:bottom w:val="none" w:sz="0" w:space="0" w:color="auto"/>
        <w:right w:val="none" w:sz="0" w:space="0" w:color="auto"/>
      </w:divBdr>
    </w:div>
    <w:div w:id="777604690">
      <w:bodyDiv w:val="1"/>
      <w:marLeft w:val="0"/>
      <w:marRight w:val="0"/>
      <w:marTop w:val="0"/>
      <w:marBottom w:val="0"/>
      <w:divBdr>
        <w:top w:val="none" w:sz="0" w:space="0" w:color="auto"/>
        <w:left w:val="none" w:sz="0" w:space="0" w:color="auto"/>
        <w:bottom w:val="none" w:sz="0" w:space="0" w:color="auto"/>
        <w:right w:val="none" w:sz="0" w:space="0" w:color="auto"/>
      </w:divBdr>
    </w:div>
    <w:div w:id="986858007">
      <w:bodyDiv w:val="1"/>
      <w:marLeft w:val="0"/>
      <w:marRight w:val="0"/>
      <w:marTop w:val="0"/>
      <w:marBottom w:val="0"/>
      <w:divBdr>
        <w:top w:val="none" w:sz="0" w:space="0" w:color="auto"/>
        <w:left w:val="none" w:sz="0" w:space="0" w:color="auto"/>
        <w:bottom w:val="none" w:sz="0" w:space="0" w:color="auto"/>
        <w:right w:val="none" w:sz="0" w:space="0" w:color="auto"/>
      </w:divBdr>
    </w:div>
    <w:div w:id="1009134741">
      <w:bodyDiv w:val="1"/>
      <w:marLeft w:val="0"/>
      <w:marRight w:val="0"/>
      <w:marTop w:val="0"/>
      <w:marBottom w:val="0"/>
      <w:divBdr>
        <w:top w:val="none" w:sz="0" w:space="0" w:color="auto"/>
        <w:left w:val="none" w:sz="0" w:space="0" w:color="auto"/>
        <w:bottom w:val="none" w:sz="0" w:space="0" w:color="auto"/>
        <w:right w:val="none" w:sz="0" w:space="0" w:color="auto"/>
      </w:divBdr>
    </w:div>
    <w:div w:id="1051077390">
      <w:bodyDiv w:val="1"/>
      <w:marLeft w:val="0"/>
      <w:marRight w:val="0"/>
      <w:marTop w:val="0"/>
      <w:marBottom w:val="0"/>
      <w:divBdr>
        <w:top w:val="none" w:sz="0" w:space="0" w:color="auto"/>
        <w:left w:val="none" w:sz="0" w:space="0" w:color="auto"/>
        <w:bottom w:val="none" w:sz="0" w:space="0" w:color="auto"/>
        <w:right w:val="none" w:sz="0" w:space="0" w:color="auto"/>
      </w:divBdr>
    </w:div>
    <w:div w:id="1075012634">
      <w:bodyDiv w:val="1"/>
      <w:marLeft w:val="0"/>
      <w:marRight w:val="0"/>
      <w:marTop w:val="0"/>
      <w:marBottom w:val="0"/>
      <w:divBdr>
        <w:top w:val="none" w:sz="0" w:space="0" w:color="auto"/>
        <w:left w:val="none" w:sz="0" w:space="0" w:color="auto"/>
        <w:bottom w:val="none" w:sz="0" w:space="0" w:color="auto"/>
        <w:right w:val="none" w:sz="0" w:space="0" w:color="auto"/>
      </w:divBdr>
    </w:div>
    <w:div w:id="1266960533">
      <w:bodyDiv w:val="1"/>
      <w:marLeft w:val="0"/>
      <w:marRight w:val="0"/>
      <w:marTop w:val="0"/>
      <w:marBottom w:val="0"/>
      <w:divBdr>
        <w:top w:val="none" w:sz="0" w:space="0" w:color="auto"/>
        <w:left w:val="none" w:sz="0" w:space="0" w:color="auto"/>
        <w:bottom w:val="none" w:sz="0" w:space="0" w:color="auto"/>
        <w:right w:val="none" w:sz="0" w:space="0" w:color="auto"/>
      </w:divBdr>
    </w:div>
    <w:div w:id="1307783790">
      <w:bodyDiv w:val="1"/>
      <w:marLeft w:val="0"/>
      <w:marRight w:val="0"/>
      <w:marTop w:val="0"/>
      <w:marBottom w:val="0"/>
      <w:divBdr>
        <w:top w:val="none" w:sz="0" w:space="0" w:color="auto"/>
        <w:left w:val="none" w:sz="0" w:space="0" w:color="auto"/>
        <w:bottom w:val="none" w:sz="0" w:space="0" w:color="auto"/>
        <w:right w:val="none" w:sz="0" w:space="0" w:color="auto"/>
      </w:divBdr>
    </w:div>
    <w:div w:id="1539777186">
      <w:bodyDiv w:val="1"/>
      <w:marLeft w:val="0"/>
      <w:marRight w:val="0"/>
      <w:marTop w:val="0"/>
      <w:marBottom w:val="0"/>
      <w:divBdr>
        <w:top w:val="none" w:sz="0" w:space="0" w:color="auto"/>
        <w:left w:val="none" w:sz="0" w:space="0" w:color="auto"/>
        <w:bottom w:val="none" w:sz="0" w:space="0" w:color="auto"/>
        <w:right w:val="none" w:sz="0" w:space="0" w:color="auto"/>
      </w:divBdr>
    </w:div>
    <w:div w:id="1602451013">
      <w:bodyDiv w:val="1"/>
      <w:marLeft w:val="0"/>
      <w:marRight w:val="0"/>
      <w:marTop w:val="0"/>
      <w:marBottom w:val="0"/>
      <w:divBdr>
        <w:top w:val="none" w:sz="0" w:space="0" w:color="auto"/>
        <w:left w:val="none" w:sz="0" w:space="0" w:color="auto"/>
        <w:bottom w:val="none" w:sz="0" w:space="0" w:color="auto"/>
        <w:right w:val="none" w:sz="0" w:space="0" w:color="auto"/>
      </w:divBdr>
    </w:div>
    <w:div w:id="1950694565">
      <w:bodyDiv w:val="1"/>
      <w:marLeft w:val="0"/>
      <w:marRight w:val="0"/>
      <w:marTop w:val="0"/>
      <w:marBottom w:val="0"/>
      <w:divBdr>
        <w:top w:val="none" w:sz="0" w:space="0" w:color="auto"/>
        <w:left w:val="none" w:sz="0" w:space="0" w:color="auto"/>
        <w:bottom w:val="none" w:sz="0" w:space="0" w:color="auto"/>
        <w:right w:val="none" w:sz="0" w:space="0" w:color="auto"/>
      </w:divBdr>
    </w:div>
    <w:div w:id="1969775658">
      <w:bodyDiv w:val="1"/>
      <w:marLeft w:val="0"/>
      <w:marRight w:val="0"/>
      <w:marTop w:val="0"/>
      <w:marBottom w:val="0"/>
      <w:divBdr>
        <w:top w:val="none" w:sz="0" w:space="0" w:color="auto"/>
        <w:left w:val="none" w:sz="0" w:space="0" w:color="auto"/>
        <w:bottom w:val="none" w:sz="0" w:space="0" w:color="auto"/>
        <w:right w:val="none" w:sz="0" w:space="0" w:color="auto"/>
      </w:divBdr>
    </w:div>
    <w:div w:id="2013675257">
      <w:bodyDiv w:val="1"/>
      <w:marLeft w:val="0"/>
      <w:marRight w:val="0"/>
      <w:marTop w:val="0"/>
      <w:marBottom w:val="0"/>
      <w:divBdr>
        <w:top w:val="none" w:sz="0" w:space="0" w:color="auto"/>
        <w:left w:val="none" w:sz="0" w:space="0" w:color="auto"/>
        <w:bottom w:val="none" w:sz="0" w:space="0" w:color="auto"/>
        <w:right w:val="none" w:sz="0" w:space="0" w:color="auto"/>
      </w:divBdr>
    </w:div>
    <w:div w:id="2014918218">
      <w:bodyDiv w:val="1"/>
      <w:marLeft w:val="0"/>
      <w:marRight w:val="0"/>
      <w:marTop w:val="0"/>
      <w:marBottom w:val="0"/>
      <w:divBdr>
        <w:top w:val="none" w:sz="0" w:space="0" w:color="auto"/>
        <w:left w:val="none" w:sz="0" w:space="0" w:color="auto"/>
        <w:bottom w:val="none" w:sz="0" w:space="0" w:color="auto"/>
        <w:right w:val="none" w:sz="0" w:space="0" w:color="auto"/>
      </w:divBdr>
    </w:div>
    <w:div w:id="2130392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legis/consol_act/ca2008107/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5b2013%5d%202%20All%20SA%20437" TargetMode="External"/><Relationship Id="rId1" Type="http://schemas.openxmlformats.org/officeDocument/2006/relationships/hyperlink" Target="https://www.saflii.org/cgi-bin/LawCite?cit=2013%20%283%29%20SA%20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1EB9-0652-4F33-8C56-BC39CE7D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27418</CharactersWithSpaces>
  <SharedDoc>false</SharedDoc>
  <HLinks>
    <vt:vector size="18" baseType="variant">
      <vt:variant>
        <vt:i4>3473483</vt:i4>
      </vt:variant>
      <vt:variant>
        <vt:i4>0</vt:i4>
      </vt:variant>
      <vt:variant>
        <vt:i4>0</vt:i4>
      </vt:variant>
      <vt:variant>
        <vt:i4>5</vt:i4>
      </vt:variant>
      <vt:variant>
        <vt:lpwstr>http://www.saflii.org/za/legis/consol_act/ca2008107/index.html</vt:lpwstr>
      </vt:variant>
      <vt:variant>
        <vt:lpwstr>s20</vt:lpwstr>
      </vt:variant>
      <vt:variant>
        <vt:i4>7995505</vt:i4>
      </vt:variant>
      <vt:variant>
        <vt:i4>3</vt:i4>
      </vt:variant>
      <vt:variant>
        <vt:i4>0</vt:i4>
      </vt:variant>
      <vt:variant>
        <vt:i4>5</vt:i4>
      </vt:variant>
      <vt:variant>
        <vt:lpwstr>https://www.saflii.org/cgi-bin/LawCite?cit=%5b2013%5d%202%20All%20SA%20437</vt:lpwstr>
      </vt:variant>
      <vt:variant>
        <vt:lpwstr/>
      </vt:variant>
      <vt:variant>
        <vt:i4>4194306</vt:i4>
      </vt:variant>
      <vt:variant>
        <vt:i4>0</vt:i4>
      </vt:variant>
      <vt:variant>
        <vt:i4>0</vt:i4>
      </vt:variant>
      <vt:variant>
        <vt:i4>5</vt:i4>
      </vt:variant>
      <vt:variant>
        <vt:lpwstr>https://www.saflii.org/cgi-bin/LawCite?cit=2013%20%283%29%20SA%20382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40</cp:revision>
  <cp:lastPrinted>2023-09-19T11:41:00Z</cp:lastPrinted>
  <dcterms:created xsi:type="dcterms:W3CDTF">2024-04-22T15:43:00Z</dcterms:created>
  <dcterms:modified xsi:type="dcterms:W3CDTF">2024-04-24T12:02:00Z</dcterms:modified>
</cp:coreProperties>
</file>