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670" w14:textId="653943F1" w:rsidR="009B7AE0" w:rsidRPr="00AD51FB" w:rsidRDefault="009B7AE0" w:rsidP="00154482">
      <w:pPr>
        <w:spacing w:line="360" w:lineRule="auto"/>
        <w:jc w:val="both"/>
        <w:rPr>
          <w:b/>
          <w:bCs/>
          <w:sz w:val="28"/>
          <w:szCs w:val="28"/>
        </w:rPr>
      </w:pPr>
      <w:bookmarkStart w:id="0" w:name="_GoBack"/>
      <w:bookmarkEnd w:id="0"/>
      <w:r w:rsidRPr="00AD51FB">
        <w:rPr>
          <w:noProof/>
          <w:sz w:val="28"/>
          <w:szCs w:val="28"/>
          <w:lang w:val="en-ZA" w:eastAsia="en-ZA"/>
        </w:rPr>
        <w:drawing>
          <wp:anchor distT="0" distB="0" distL="114300" distR="114300" simplePos="0" relativeHeight="251659264" behindDoc="0" locked="0" layoutInCell="1" allowOverlap="1" wp14:anchorId="1CE9EC83" wp14:editId="0D1DFF80">
            <wp:simplePos x="0" y="0"/>
            <wp:positionH relativeFrom="page">
              <wp:posOffset>3486150</wp:posOffset>
            </wp:positionH>
            <wp:positionV relativeFrom="paragraph">
              <wp:posOffset>133350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60F067B7" w14:textId="77777777" w:rsidR="00AD6463" w:rsidRPr="00AD51FB" w:rsidRDefault="00AD6463" w:rsidP="00154482">
      <w:pPr>
        <w:spacing w:line="360" w:lineRule="auto"/>
        <w:jc w:val="both"/>
        <w:rPr>
          <w:b/>
          <w:bCs/>
          <w:sz w:val="28"/>
          <w:szCs w:val="28"/>
        </w:rPr>
      </w:pPr>
    </w:p>
    <w:p w14:paraId="390CB8A0" w14:textId="77777777" w:rsidR="009B7AE0" w:rsidRPr="00AD51FB" w:rsidRDefault="009B7AE0" w:rsidP="00154482">
      <w:pPr>
        <w:spacing w:line="360" w:lineRule="auto"/>
        <w:rPr>
          <w:b/>
          <w:bCs/>
          <w:sz w:val="28"/>
          <w:szCs w:val="28"/>
        </w:rPr>
      </w:pPr>
      <w:r w:rsidRPr="00AD51FB">
        <w:rPr>
          <w:b/>
          <w:bCs/>
          <w:sz w:val="28"/>
          <w:szCs w:val="28"/>
        </w:rPr>
        <w:br/>
      </w:r>
    </w:p>
    <w:p w14:paraId="64D2FEBF" w14:textId="77777777" w:rsidR="00DE7EE5" w:rsidRPr="00AD51FB" w:rsidRDefault="00DE7EE5" w:rsidP="00154482">
      <w:pPr>
        <w:spacing w:line="360" w:lineRule="auto"/>
        <w:jc w:val="center"/>
        <w:rPr>
          <w:b/>
          <w:bCs/>
          <w:sz w:val="28"/>
          <w:szCs w:val="28"/>
        </w:rPr>
      </w:pPr>
    </w:p>
    <w:p w14:paraId="0D83D58F" w14:textId="77777777" w:rsidR="009B7AE0" w:rsidRPr="00AD51FB" w:rsidRDefault="009B7AE0" w:rsidP="00154482">
      <w:pPr>
        <w:spacing w:line="360" w:lineRule="auto"/>
        <w:jc w:val="center"/>
        <w:rPr>
          <w:b/>
          <w:bCs/>
          <w:sz w:val="28"/>
          <w:szCs w:val="28"/>
        </w:rPr>
      </w:pPr>
      <w:r w:rsidRPr="00AD51FB">
        <w:rPr>
          <w:b/>
          <w:bCs/>
          <w:sz w:val="28"/>
          <w:szCs w:val="28"/>
        </w:rPr>
        <w:t>THE SUPREME COURT OF APPEAL OF SOUTH AFRICA</w:t>
      </w:r>
    </w:p>
    <w:p w14:paraId="15A47F35" w14:textId="77777777" w:rsidR="009B7AE0" w:rsidRPr="00AD51FB" w:rsidRDefault="009B7AE0" w:rsidP="00154482">
      <w:pPr>
        <w:pStyle w:val="Heading3"/>
        <w:jc w:val="center"/>
        <w:rPr>
          <w:rFonts w:ascii="Times New Roman" w:hAnsi="Times New Roman" w:cs="Times New Roman"/>
          <w:b/>
          <w:i w:val="0"/>
          <w:szCs w:val="28"/>
        </w:rPr>
      </w:pPr>
      <w:r w:rsidRPr="00AD51FB">
        <w:rPr>
          <w:rFonts w:ascii="Times New Roman" w:hAnsi="Times New Roman" w:cs="Times New Roman"/>
          <w:b/>
          <w:i w:val="0"/>
          <w:szCs w:val="28"/>
        </w:rPr>
        <w:t>JUDGMENT</w:t>
      </w:r>
    </w:p>
    <w:p w14:paraId="62B0C6D4" w14:textId="77777777" w:rsidR="00DE7EE5" w:rsidRPr="00AD51FB" w:rsidRDefault="00DE7EE5" w:rsidP="00154482">
      <w:pPr>
        <w:spacing w:line="360" w:lineRule="auto"/>
        <w:rPr>
          <w:sz w:val="28"/>
          <w:szCs w:val="28"/>
        </w:rPr>
      </w:pPr>
    </w:p>
    <w:p w14:paraId="32C8A429" w14:textId="1E6AA3CD" w:rsidR="009B7AE0" w:rsidRPr="00AD51FB" w:rsidRDefault="009B7AE0" w:rsidP="00154482">
      <w:pPr>
        <w:spacing w:line="360" w:lineRule="auto"/>
        <w:jc w:val="right"/>
        <w:rPr>
          <w:b/>
          <w:sz w:val="28"/>
          <w:szCs w:val="28"/>
        </w:rPr>
      </w:pPr>
      <w:r w:rsidRPr="00AD51FB">
        <w:rPr>
          <w:b/>
          <w:sz w:val="28"/>
          <w:szCs w:val="28"/>
        </w:rPr>
        <w:t>Reportable</w:t>
      </w:r>
    </w:p>
    <w:p w14:paraId="564E7702" w14:textId="778FD811" w:rsidR="009B7AE0" w:rsidRPr="00AD51FB" w:rsidRDefault="009B7AE0" w:rsidP="00154482">
      <w:pPr>
        <w:spacing w:line="360" w:lineRule="auto"/>
        <w:jc w:val="right"/>
        <w:rPr>
          <w:sz w:val="28"/>
          <w:szCs w:val="28"/>
        </w:rPr>
      </w:pPr>
      <w:r w:rsidRPr="00AD51FB">
        <w:rPr>
          <w:sz w:val="28"/>
          <w:szCs w:val="28"/>
        </w:rPr>
        <w:t>Case no:</w:t>
      </w:r>
      <w:r w:rsidR="004F075A" w:rsidRPr="00AD51FB">
        <w:rPr>
          <w:sz w:val="28"/>
          <w:szCs w:val="28"/>
        </w:rPr>
        <w:t>396/2023</w:t>
      </w:r>
    </w:p>
    <w:p w14:paraId="1B3877D2" w14:textId="77777777" w:rsidR="009B7AE0" w:rsidRPr="00AD51FB" w:rsidRDefault="009B7AE0" w:rsidP="00154482">
      <w:pPr>
        <w:spacing w:line="360" w:lineRule="auto"/>
        <w:rPr>
          <w:sz w:val="28"/>
          <w:szCs w:val="28"/>
        </w:rPr>
      </w:pPr>
    </w:p>
    <w:p w14:paraId="605982F0" w14:textId="77777777" w:rsidR="009B7AE0" w:rsidRPr="00AD51FB" w:rsidRDefault="009B7AE0" w:rsidP="00B87B2C">
      <w:pPr>
        <w:spacing w:line="360" w:lineRule="auto"/>
        <w:rPr>
          <w:sz w:val="28"/>
          <w:szCs w:val="28"/>
        </w:rPr>
      </w:pPr>
      <w:r w:rsidRPr="00AD51FB">
        <w:rPr>
          <w:sz w:val="28"/>
          <w:szCs w:val="28"/>
        </w:rPr>
        <w:t>In the matter between:</w:t>
      </w:r>
    </w:p>
    <w:p w14:paraId="73E4E63B" w14:textId="64610BDE" w:rsidR="00453C85" w:rsidRPr="00AD51FB" w:rsidRDefault="004F075A" w:rsidP="00154482">
      <w:pPr>
        <w:tabs>
          <w:tab w:val="right" w:pos="9356"/>
        </w:tabs>
        <w:spacing w:line="360" w:lineRule="auto"/>
        <w:jc w:val="both"/>
        <w:rPr>
          <w:b/>
          <w:sz w:val="28"/>
          <w:szCs w:val="28"/>
        </w:rPr>
      </w:pPr>
      <w:r w:rsidRPr="00AD51FB">
        <w:rPr>
          <w:b/>
          <w:bCs/>
          <w:sz w:val="28"/>
          <w:szCs w:val="28"/>
        </w:rPr>
        <w:t>OPTIVEST HEALTH SERVICES (PTY) LTD</w:t>
      </w:r>
      <w:r w:rsidR="009B7AE0" w:rsidRPr="00AD51FB">
        <w:rPr>
          <w:b/>
          <w:bCs/>
          <w:sz w:val="28"/>
          <w:szCs w:val="28"/>
        </w:rPr>
        <w:t xml:space="preserve">    </w:t>
      </w:r>
      <w:r w:rsidR="009B7AE0" w:rsidRPr="00AD51FB">
        <w:rPr>
          <w:b/>
          <w:bCs/>
          <w:sz w:val="28"/>
          <w:szCs w:val="28"/>
        </w:rPr>
        <w:tab/>
        <w:t xml:space="preserve"> </w:t>
      </w:r>
      <w:r w:rsidR="009B7AE0" w:rsidRPr="00AD51FB">
        <w:rPr>
          <w:b/>
          <w:sz w:val="28"/>
          <w:szCs w:val="28"/>
        </w:rPr>
        <w:t>APPELLANT</w:t>
      </w:r>
    </w:p>
    <w:p w14:paraId="4BD729AB" w14:textId="77777777" w:rsidR="009B7AE0" w:rsidRPr="00AD51FB" w:rsidRDefault="009B7AE0" w:rsidP="00B87B2C">
      <w:pPr>
        <w:spacing w:before="40" w:after="40" w:line="360" w:lineRule="auto"/>
        <w:rPr>
          <w:sz w:val="28"/>
          <w:szCs w:val="28"/>
        </w:rPr>
      </w:pPr>
      <w:r w:rsidRPr="00AD51FB">
        <w:rPr>
          <w:sz w:val="28"/>
          <w:szCs w:val="28"/>
        </w:rPr>
        <w:t>and</w:t>
      </w:r>
    </w:p>
    <w:p w14:paraId="18666375" w14:textId="2E111496" w:rsidR="009B7AE0" w:rsidRPr="00AD51FB" w:rsidRDefault="004F075A" w:rsidP="00B87B2C">
      <w:pPr>
        <w:tabs>
          <w:tab w:val="right" w:pos="9356"/>
        </w:tabs>
        <w:spacing w:after="40" w:line="360" w:lineRule="auto"/>
        <w:rPr>
          <w:b/>
          <w:sz w:val="28"/>
          <w:szCs w:val="28"/>
        </w:rPr>
      </w:pPr>
      <w:r w:rsidRPr="00AD51FB">
        <w:rPr>
          <w:b/>
          <w:bCs/>
          <w:sz w:val="28"/>
          <w:szCs w:val="28"/>
        </w:rPr>
        <w:t>THE COUNCIL FOR MEDICAL SCHEMES</w:t>
      </w:r>
      <w:r w:rsidR="009B7AE0" w:rsidRPr="00AD51FB">
        <w:rPr>
          <w:b/>
          <w:bCs/>
          <w:sz w:val="28"/>
          <w:szCs w:val="28"/>
        </w:rPr>
        <w:tab/>
      </w:r>
      <w:r w:rsidRPr="00AD51FB">
        <w:rPr>
          <w:b/>
          <w:bCs/>
          <w:sz w:val="28"/>
          <w:szCs w:val="28"/>
        </w:rPr>
        <w:t xml:space="preserve"> </w:t>
      </w:r>
      <w:r w:rsidR="009B7AE0" w:rsidRPr="00AD51FB">
        <w:rPr>
          <w:b/>
          <w:bCs/>
          <w:sz w:val="28"/>
          <w:szCs w:val="28"/>
        </w:rPr>
        <w:t xml:space="preserve">FIRST </w:t>
      </w:r>
      <w:r w:rsidR="009B7AE0" w:rsidRPr="00AD51FB">
        <w:rPr>
          <w:b/>
          <w:sz w:val="28"/>
          <w:szCs w:val="28"/>
        </w:rPr>
        <w:t>RESPONDENT</w:t>
      </w:r>
    </w:p>
    <w:p w14:paraId="66FFE16A" w14:textId="77777777" w:rsidR="005D2CF2" w:rsidRPr="00AD51FB" w:rsidRDefault="004F075A" w:rsidP="00B87B2C">
      <w:pPr>
        <w:tabs>
          <w:tab w:val="right" w:pos="9356"/>
        </w:tabs>
        <w:spacing w:after="40" w:line="360" w:lineRule="auto"/>
        <w:rPr>
          <w:b/>
          <w:sz w:val="28"/>
          <w:szCs w:val="28"/>
        </w:rPr>
      </w:pPr>
      <w:r w:rsidRPr="00AD51FB">
        <w:rPr>
          <w:b/>
          <w:sz w:val="28"/>
          <w:szCs w:val="28"/>
        </w:rPr>
        <w:t xml:space="preserve">THE REGISTRAR OF THE COUNCIL </w:t>
      </w:r>
    </w:p>
    <w:p w14:paraId="2B024D48" w14:textId="3765636E" w:rsidR="009B7AE0" w:rsidRPr="00AD51FB" w:rsidRDefault="004F075A" w:rsidP="00B87B2C">
      <w:pPr>
        <w:tabs>
          <w:tab w:val="right" w:pos="9356"/>
        </w:tabs>
        <w:spacing w:after="40" w:line="360" w:lineRule="auto"/>
        <w:rPr>
          <w:b/>
          <w:sz w:val="28"/>
          <w:szCs w:val="28"/>
        </w:rPr>
      </w:pPr>
      <w:r w:rsidRPr="00AD51FB">
        <w:rPr>
          <w:b/>
          <w:sz w:val="28"/>
          <w:szCs w:val="28"/>
        </w:rPr>
        <w:t>FOR</w:t>
      </w:r>
      <w:r w:rsidR="005D2CF2" w:rsidRPr="00AD51FB">
        <w:rPr>
          <w:b/>
          <w:sz w:val="28"/>
          <w:szCs w:val="28"/>
        </w:rPr>
        <w:t xml:space="preserve"> </w:t>
      </w:r>
      <w:r w:rsidRPr="00AD51FB">
        <w:rPr>
          <w:b/>
          <w:sz w:val="28"/>
          <w:szCs w:val="28"/>
        </w:rPr>
        <w:t>MEDICAL SCHEMES</w:t>
      </w:r>
      <w:r w:rsidRPr="00AD51FB">
        <w:rPr>
          <w:b/>
          <w:sz w:val="28"/>
          <w:szCs w:val="28"/>
        </w:rPr>
        <w:tab/>
        <w:t xml:space="preserve">   </w:t>
      </w:r>
      <w:r w:rsidR="009B7AE0" w:rsidRPr="00AD51FB">
        <w:rPr>
          <w:b/>
          <w:sz w:val="28"/>
          <w:szCs w:val="28"/>
        </w:rPr>
        <w:t>SECOND RESPONDENT</w:t>
      </w:r>
    </w:p>
    <w:p w14:paraId="3A1858B8" w14:textId="77777777" w:rsidR="004F075A" w:rsidRPr="00AD51FB" w:rsidRDefault="004F075A" w:rsidP="00B87B2C">
      <w:pPr>
        <w:pStyle w:val="NormalIndent"/>
        <w:spacing w:after="40" w:line="360" w:lineRule="auto"/>
        <w:ind w:left="0"/>
        <w:rPr>
          <w:b/>
        </w:rPr>
      </w:pPr>
      <w:r w:rsidRPr="00AD51FB">
        <w:rPr>
          <w:b/>
        </w:rPr>
        <w:t>OPEN WATER ADVANCED RISK</w:t>
      </w:r>
    </w:p>
    <w:p w14:paraId="125B8B77" w14:textId="24C4CEB2" w:rsidR="009B7AE0" w:rsidRPr="00AD51FB" w:rsidRDefault="004F075A" w:rsidP="00B87B2C">
      <w:pPr>
        <w:pStyle w:val="NormalIndent"/>
        <w:spacing w:after="40" w:line="360" w:lineRule="auto"/>
        <w:ind w:left="0"/>
        <w:rPr>
          <w:b/>
        </w:rPr>
      </w:pPr>
      <w:r w:rsidRPr="00AD51FB">
        <w:rPr>
          <w:b/>
        </w:rPr>
        <w:t>SOLUTIONS (PTY) LTD</w:t>
      </w:r>
      <w:r w:rsidR="009B7AE0" w:rsidRPr="00AD51FB">
        <w:rPr>
          <w:b/>
        </w:rPr>
        <w:tab/>
        <w:t xml:space="preserve"> </w:t>
      </w:r>
      <w:r w:rsidR="00A30FEC" w:rsidRPr="00AD51FB">
        <w:rPr>
          <w:b/>
        </w:rPr>
        <w:tab/>
      </w:r>
      <w:r w:rsidR="00A30FEC" w:rsidRPr="00AD51FB">
        <w:rPr>
          <w:b/>
        </w:rPr>
        <w:tab/>
      </w:r>
      <w:r w:rsidR="00661FD0" w:rsidRPr="00AD51FB">
        <w:rPr>
          <w:b/>
        </w:rPr>
        <w:tab/>
        <w:t xml:space="preserve"> </w:t>
      </w:r>
      <w:r w:rsidR="00F05A8C" w:rsidRPr="00AD51FB">
        <w:rPr>
          <w:b/>
        </w:rPr>
        <w:t xml:space="preserve">  </w:t>
      </w:r>
      <w:r w:rsidR="00661FD0" w:rsidRPr="00AD51FB">
        <w:rPr>
          <w:b/>
        </w:rPr>
        <w:t>THIRD</w:t>
      </w:r>
      <w:r w:rsidR="009B7AE0" w:rsidRPr="00AD51FB">
        <w:rPr>
          <w:b/>
        </w:rPr>
        <w:t xml:space="preserve"> RESPONDENT</w:t>
      </w:r>
    </w:p>
    <w:p w14:paraId="18E136EF" w14:textId="77777777" w:rsidR="00453C85" w:rsidRPr="00AD51FB" w:rsidRDefault="00453C85" w:rsidP="00B87B2C">
      <w:pPr>
        <w:pStyle w:val="NormalIndent"/>
        <w:spacing w:line="360" w:lineRule="auto"/>
        <w:ind w:left="0"/>
        <w:rPr>
          <w:b/>
        </w:rPr>
      </w:pPr>
    </w:p>
    <w:p w14:paraId="6A5068F8" w14:textId="4AB082D4" w:rsidR="009B7AE0" w:rsidRPr="00AD51FB" w:rsidRDefault="009B7AE0" w:rsidP="00154482">
      <w:pPr>
        <w:spacing w:line="360" w:lineRule="auto"/>
        <w:ind w:left="2160" w:hanging="2160"/>
        <w:jc w:val="both"/>
        <w:rPr>
          <w:sz w:val="28"/>
          <w:szCs w:val="28"/>
        </w:rPr>
      </w:pPr>
      <w:r w:rsidRPr="00AD51FB">
        <w:rPr>
          <w:b/>
          <w:bCs/>
          <w:sz w:val="28"/>
          <w:szCs w:val="28"/>
        </w:rPr>
        <w:t>Neutral citation:</w:t>
      </w:r>
      <w:r w:rsidRPr="00AD51FB">
        <w:rPr>
          <w:b/>
          <w:bCs/>
          <w:sz w:val="28"/>
          <w:szCs w:val="28"/>
        </w:rPr>
        <w:tab/>
      </w:r>
      <w:r w:rsidR="004F075A" w:rsidRPr="00AD51FB">
        <w:rPr>
          <w:bCs/>
          <w:i/>
          <w:sz w:val="28"/>
          <w:szCs w:val="28"/>
        </w:rPr>
        <w:t>Optivest Health Services (</w:t>
      </w:r>
      <w:r w:rsidR="00E937D7" w:rsidRPr="00AD51FB">
        <w:rPr>
          <w:bCs/>
          <w:i/>
          <w:sz w:val="28"/>
          <w:szCs w:val="28"/>
        </w:rPr>
        <w:t>Pty) Ltd</w:t>
      </w:r>
      <w:r w:rsidRPr="00AD51FB">
        <w:rPr>
          <w:bCs/>
          <w:i/>
          <w:sz w:val="28"/>
          <w:szCs w:val="28"/>
        </w:rPr>
        <w:t xml:space="preserve"> v </w:t>
      </w:r>
      <w:r w:rsidR="004F075A" w:rsidRPr="00AD51FB">
        <w:rPr>
          <w:bCs/>
          <w:i/>
          <w:sz w:val="28"/>
          <w:szCs w:val="28"/>
        </w:rPr>
        <w:t xml:space="preserve">The Council </w:t>
      </w:r>
      <w:r w:rsidR="00B32ACE" w:rsidRPr="00AD51FB">
        <w:rPr>
          <w:bCs/>
          <w:i/>
          <w:sz w:val="28"/>
          <w:szCs w:val="28"/>
        </w:rPr>
        <w:t>for</w:t>
      </w:r>
      <w:r w:rsidR="004F075A" w:rsidRPr="00AD51FB">
        <w:rPr>
          <w:bCs/>
          <w:i/>
          <w:sz w:val="28"/>
          <w:szCs w:val="28"/>
        </w:rPr>
        <w:t xml:space="preserve"> Medical Schemes</w:t>
      </w:r>
      <w:r w:rsidR="00B32ACE" w:rsidRPr="00AD51FB">
        <w:rPr>
          <w:bCs/>
          <w:i/>
          <w:sz w:val="28"/>
          <w:szCs w:val="28"/>
        </w:rPr>
        <w:t xml:space="preserve"> and</w:t>
      </w:r>
      <w:r w:rsidR="00E53951" w:rsidRPr="00AD51FB">
        <w:rPr>
          <w:bCs/>
          <w:i/>
          <w:sz w:val="28"/>
          <w:szCs w:val="28"/>
        </w:rPr>
        <w:t xml:space="preserve"> Others</w:t>
      </w:r>
      <w:r w:rsidRPr="00AD51FB">
        <w:rPr>
          <w:bCs/>
          <w:i/>
          <w:sz w:val="28"/>
          <w:szCs w:val="28"/>
        </w:rPr>
        <w:t xml:space="preserve"> </w:t>
      </w:r>
      <w:r w:rsidRPr="00AD51FB">
        <w:rPr>
          <w:bCs/>
          <w:sz w:val="28"/>
          <w:szCs w:val="28"/>
        </w:rPr>
        <w:t>(</w:t>
      </w:r>
      <w:r w:rsidR="00B32ACE" w:rsidRPr="00AD51FB">
        <w:rPr>
          <w:bCs/>
          <w:sz w:val="28"/>
          <w:szCs w:val="28"/>
        </w:rPr>
        <w:t>396</w:t>
      </w:r>
      <w:r w:rsidRPr="00AD51FB">
        <w:rPr>
          <w:bCs/>
          <w:sz w:val="28"/>
          <w:szCs w:val="28"/>
        </w:rPr>
        <w:t>/202</w:t>
      </w:r>
      <w:r w:rsidR="00B32ACE" w:rsidRPr="00AD51FB">
        <w:rPr>
          <w:bCs/>
          <w:sz w:val="28"/>
          <w:szCs w:val="28"/>
        </w:rPr>
        <w:t>3</w:t>
      </w:r>
      <w:r w:rsidRPr="00AD51FB">
        <w:rPr>
          <w:bCs/>
          <w:sz w:val="28"/>
          <w:szCs w:val="28"/>
        </w:rPr>
        <w:t>) [202</w:t>
      </w:r>
      <w:r w:rsidR="0093396C" w:rsidRPr="00AD51FB">
        <w:rPr>
          <w:bCs/>
          <w:sz w:val="28"/>
          <w:szCs w:val="28"/>
        </w:rPr>
        <w:t>4</w:t>
      </w:r>
      <w:r w:rsidRPr="00AD51FB">
        <w:rPr>
          <w:bCs/>
          <w:sz w:val="28"/>
          <w:szCs w:val="28"/>
        </w:rPr>
        <w:t xml:space="preserve">] ZASCA </w:t>
      </w:r>
      <w:r w:rsidR="005A2073">
        <w:rPr>
          <w:bCs/>
          <w:sz w:val="28"/>
          <w:szCs w:val="28"/>
        </w:rPr>
        <w:t>64</w:t>
      </w:r>
      <w:r w:rsidRPr="005A2073">
        <w:rPr>
          <w:bCs/>
          <w:sz w:val="28"/>
          <w:szCs w:val="28"/>
        </w:rPr>
        <w:t xml:space="preserve"> (</w:t>
      </w:r>
      <w:r w:rsidR="005A2073">
        <w:rPr>
          <w:bCs/>
          <w:sz w:val="28"/>
          <w:szCs w:val="28"/>
        </w:rPr>
        <w:t>30</w:t>
      </w:r>
      <w:r w:rsidR="00816BE2" w:rsidRPr="00AD51FB">
        <w:rPr>
          <w:bCs/>
          <w:sz w:val="28"/>
          <w:szCs w:val="28"/>
        </w:rPr>
        <w:t xml:space="preserve"> </w:t>
      </w:r>
      <w:r w:rsidR="00B26D2D" w:rsidRPr="00AD51FB">
        <w:rPr>
          <w:bCs/>
          <w:sz w:val="28"/>
          <w:szCs w:val="28"/>
        </w:rPr>
        <w:t>April</w:t>
      </w:r>
      <w:r w:rsidRPr="00AD51FB">
        <w:rPr>
          <w:bCs/>
          <w:sz w:val="28"/>
          <w:szCs w:val="28"/>
        </w:rPr>
        <w:t xml:space="preserve"> 202</w:t>
      </w:r>
      <w:r w:rsidR="0093396C" w:rsidRPr="00AD51FB">
        <w:rPr>
          <w:bCs/>
          <w:sz w:val="28"/>
          <w:szCs w:val="28"/>
        </w:rPr>
        <w:t>4</w:t>
      </w:r>
      <w:r w:rsidRPr="00AD51FB">
        <w:rPr>
          <w:bCs/>
          <w:sz w:val="28"/>
          <w:szCs w:val="28"/>
        </w:rPr>
        <w:t>)</w:t>
      </w:r>
    </w:p>
    <w:p w14:paraId="29D7E902" w14:textId="3CC8EF5D" w:rsidR="009B7AE0" w:rsidRPr="00AD51FB" w:rsidRDefault="009B7AE0" w:rsidP="00466949">
      <w:pPr>
        <w:spacing w:line="360" w:lineRule="auto"/>
        <w:ind w:left="1418" w:right="-25" w:hanging="1418"/>
        <w:jc w:val="both"/>
        <w:rPr>
          <w:b/>
          <w:bCs/>
          <w:i/>
          <w:iCs/>
          <w:sz w:val="28"/>
          <w:szCs w:val="28"/>
        </w:rPr>
      </w:pPr>
      <w:r w:rsidRPr="00AD51FB">
        <w:rPr>
          <w:b/>
          <w:bCs/>
          <w:sz w:val="28"/>
          <w:szCs w:val="28"/>
        </w:rPr>
        <w:t>Coram:</w:t>
      </w:r>
      <w:r w:rsidRPr="00AD51FB">
        <w:rPr>
          <w:sz w:val="28"/>
          <w:szCs w:val="28"/>
        </w:rPr>
        <w:tab/>
      </w:r>
      <w:r w:rsidR="00B32ACE" w:rsidRPr="00AD51FB">
        <w:rPr>
          <w:sz w:val="28"/>
          <w:szCs w:val="28"/>
        </w:rPr>
        <w:t>MOCUMIE</w:t>
      </w:r>
      <w:r w:rsidR="00B461D7" w:rsidRPr="00AD51FB">
        <w:rPr>
          <w:sz w:val="28"/>
          <w:szCs w:val="28"/>
        </w:rPr>
        <w:t xml:space="preserve"> ADP,</w:t>
      </w:r>
      <w:r w:rsidRPr="00AD51FB">
        <w:rPr>
          <w:sz w:val="28"/>
          <w:szCs w:val="28"/>
        </w:rPr>
        <w:t xml:space="preserve"> </w:t>
      </w:r>
      <w:r w:rsidR="00B32ACE" w:rsidRPr="00AD51FB">
        <w:rPr>
          <w:sz w:val="28"/>
          <w:szCs w:val="28"/>
        </w:rPr>
        <w:t>WEINER</w:t>
      </w:r>
      <w:r w:rsidRPr="00AD51FB">
        <w:rPr>
          <w:sz w:val="28"/>
          <w:szCs w:val="28"/>
        </w:rPr>
        <w:t xml:space="preserve"> and </w:t>
      </w:r>
      <w:r w:rsidR="00B32ACE" w:rsidRPr="00AD51FB">
        <w:rPr>
          <w:sz w:val="28"/>
          <w:szCs w:val="28"/>
        </w:rPr>
        <w:t>GOOSEN</w:t>
      </w:r>
      <w:r w:rsidRPr="00AD51FB">
        <w:rPr>
          <w:sz w:val="28"/>
          <w:szCs w:val="28"/>
        </w:rPr>
        <w:t xml:space="preserve"> JJA</w:t>
      </w:r>
      <w:r w:rsidR="00371D33" w:rsidRPr="00AD51FB">
        <w:rPr>
          <w:sz w:val="28"/>
          <w:szCs w:val="28"/>
        </w:rPr>
        <w:t xml:space="preserve"> and</w:t>
      </w:r>
      <w:r w:rsidR="004519A7" w:rsidRPr="00AD51FB">
        <w:rPr>
          <w:sz w:val="28"/>
          <w:szCs w:val="28"/>
        </w:rPr>
        <w:t xml:space="preserve"> </w:t>
      </w:r>
      <w:r w:rsidR="00B32ACE" w:rsidRPr="00AD51FB">
        <w:rPr>
          <w:sz w:val="28"/>
          <w:szCs w:val="28"/>
        </w:rPr>
        <w:t>COPPIN</w:t>
      </w:r>
      <w:r w:rsidRPr="00AD51FB">
        <w:rPr>
          <w:sz w:val="28"/>
          <w:szCs w:val="28"/>
        </w:rPr>
        <w:t xml:space="preserve"> and </w:t>
      </w:r>
      <w:r w:rsidR="00B32ACE" w:rsidRPr="00AD51FB">
        <w:rPr>
          <w:sz w:val="28"/>
          <w:szCs w:val="28"/>
        </w:rPr>
        <w:t>BLOEM</w:t>
      </w:r>
      <w:r w:rsidRPr="00AD51FB">
        <w:rPr>
          <w:sz w:val="28"/>
          <w:szCs w:val="28"/>
        </w:rPr>
        <w:t xml:space="preserve"> AJJA</w:t>
      </w:r>
    </w:p>
    <w:p w14:paraId="5B12AF51" w14:textId="47A456FD" w:rsidR="009B7AE0" w:rsidRPr="00AD51FB" w:rsidRDefault="009B7AE0" w:rsidP="00B87B2C">
      <w:pPr>
        <w:tabs>
          <w:tab w:val="left" w:pos="851"/>
          <w:tab w:val="left" w:pos="1418"/>
          <w:tab w:val="left" w:pos="1560"/>
        </w:tabs>
        <w:spacing w:line="360" w:lineRule="auto"/>
        <w:jc w:val="both"/>
        <w:rPr>
          <w:bCs/>
          <w:sz w:val="28"/>
          <w:szCs w:val="28"/>
        </w:rPr>
      </w:pPr>
      <w:r w:rsidRPr="00AD51FB">
        <w:rPr>
          <w:b/>
          <w:bCs/>
          <w:sz w:val="28"/>
          <w:szCs w:val="28"/>
        </w:rPr>
        <w:t>Heard</w:t>
      </w:r>
      <w:r w:rsidRPr="00AD51FB">
        <w:rPr>
          <w:b/>
          <w:sz w:val="28"/>
          <w:szCs w:val="28"/>
        </w:rPr>
        <w:t>:</w:t>
      </w:r>
      <w:r w:rsidRPr="00AD51FB">
        <w:rPr>
          <w:b/>
          <w:sz w:val="28"/>
          <w:szCs w:val="28"/>
        </w:rPr>
        <w:tab/>
      </w:r>
      <w:r w:rsidR="00B32ACE" w:rsidRPr="00AD51FB">
        <w:rPr>
          <w:sz w:val="28"/>
          <w:szCs w:val="28"/>
        </w:rPr>
        <w:t>5</w:t>
      </w:r>
      <w:r w:rsidRPr="00AD51FB">
        <w:rPr>
          <w:sz w:val="28"/>
          <w:szCs w:val="28"/>
        </w:rPr>
        <w:t xml:space="preserve"> </w:t>
      </w:r>
      <w:r w:rsidR="00B32ACE" w:rsidRPr="00AD51FB">
        <w:rPr>
          <w:sz w:val="28"/>
          <w:szCs w:val="28"/>
        </w:rPr>
        <w:t>March</w:t>
      </w:r>
      <w:r w:rsidRPr="00AD51FB">
        <w:rPr>
          <w:sz w:val="28"/>
          <w:szCs w:val="28"/>
        </w:rPr>
        <w:t xml:space="preserve"> 202</w:t>
      </w:r>
      <w:r w:rsidR="00453C85" w:rsidRPr="00AD51FB">
        <w:rPr>
          <w:sz w:val="28"/>
          <w:szCs w:val="28"/>
        </w:rPr>
        <w:t>4</w:t>
      </w:r>
    </w:p>
    <w:p w14:paraId="76DC9C1A" w14:textId="5C7F9FF6" w:rsidR="009B7AE0" w:rsidRPr="00AD51FB" w:rsidRDefault="009B7AE0" w:rsidP="00B87B2C">
      <w:pPr>
        <w:tabs>
          <w:tab w:val="left" w:pos="1418"/>
        </w:tabs>
        <w:spacing w:line="360" w:lineRule="auto"/>
        <w:jc w:val="both"/>
        <w:rPr>
          <w:b/>
          <w:bCs/>
          <w:sz w:val="28"/>
          <w:szCs w:val="28"/>
        </w:rPr>
      </w:pPr>
      <w:r w:rsidRPr="00AD51FB">
        <w:rPr>
          <w:b/>
          <w:bCs/>
          <w:sz w:val="28"/>
          <w:szCs w:val="28"/>
        </w:rPr>
        <w:t>Delivered</w:t>
      </w:r>
      <w:r w:rsidRPr="00AD51FB">
        <w:rPr>
          <w:b/>
          <w:sz w:val="28"/>
          <w:szCs w:val="28"/>
        </w:rPr>
        <w:t>:</w:t>
      </w:r>
      <w:r w:rsidR="00F05A8C" w:rsidRPr="00AD51FB">
        <w:rPr>
          <w:sz w:val="28"/>
          <w:szCs w:val="28"/>
        </w:rPr>
        <w:tab/>
      </w:r>
      <w:r w:rsidR="00B6645C" w:rsidRPr="00B6645C">
        <w:rPr>
          <w:sz w:val="28"/>
          <w:szCs w:val="28"/>
        </w:rPr>
        <w:t xml:space="preserve">This judgment was handed down electronically by circulation to the parties’ representatives by email, published on the Supreme Court of Appeal </w:t>
      </w:r>
      <w:r w:rsidR="00B6645C" w:rsidRPr="00B6645C">
        <w:rPr>
          <w:sz w:val="28"/>
          <w:szCs w:val="28"/>
        </w:rPr>
        <w:lastRenderedPageBreak/>
        <w:t xml:space="preserve">website, and released to SAFLII. The date and time for hand-down is deemed to be 11h00 on </w:t>
      </w:r>
      <w:r w:rsidR="00B6645C">
        <w:rPr>
          <w:sz w:val="28"/>
          <w:szCs w:val="28"/>
        </w:rPr>
        <w:t>30</w:t>
      </w:r>
      <w:r w:rsidR="00B6645C" w:rsidRPr="00B6645C">
        <w:rPr>
          <w:sz w:val="28"/>
          <w:szCs w:val="28"/>
        </w:rPr>
        <w:t xml:space="preserve"> </w:t>
      </w:r>
      <w:r w:rsidR="00B6645C">
        <w:rPr>
          <w:sz w:val="28"/>
          <w:szCs w:val="28"/>
        </w:rPr>
        <w:t>April</w:t>
      </w:r>
      <w:r w:rsidR="00B6645C" w:rsidRPr="00B6645C">
        <w:rPr>
          <w:sz w:val="28"/>
          <w:szCs w:val="28"/>
        </w:rPr>
        <w:t xml:space="preserve"> 202</w:t>
      </w:r>
      <w:r w:rsidR="00B6645C">
        <w:rPr>
          <w:sz w:val="28"/>
          <w:szCs w:val="28"/>
        </w:rPr>
        <w:t>4</w:t>
      </w:r>
      <w:r w:rsidR="00B6645C" w:rsidRPr="00B6645C">
        <w:rPr>
          <w:sz w:val="28"/>
          <w:szCs w:val="28"/>
        </w:rPr>
        <w:t>.</w:t>
      </w:r>
    </w:p>
    <w:p w14:paraId="1A56ACF8" w14:textId="41E47F2E" w:rsidR="009B7AE0" w:rsidRPr="00AD51FB" w:rsidRDefault="009B7AE0" w:rsidP="00154482">
      <w:pPr>
        <w:tabs>
          <w:tab w:val="left" w:pos="1276"/>
        </w:tabs>
        <w:spacing w:line="360" w:lineRule="auto"/>
        <w:jc w:val="both"/>
        <w:rPr>
          <w:sz w:val="28"/>
          <w:szCs w:val="28"/>
        </w:rPr>
      </w:pPr>
      <w:r w:rsidRPr="00AD51FB">
        <w:rPr>
          <w:b/>
          <w:bCs/>
          <w:sz w:val="28"/>
          <w:szCs w:val="28"/>
        </w:rPr>
        <w:t>Summary:</w:t>
      </w:r>
      <w:r w:rsidR="009C04C6" w:rsidRPr="00AD51FB">
        <w:rPr>
          <w:b/>
          <w:bCs/>
          <w:sz w:val="28"/>
          <w:szCs w:val="28"/>
        </w:rPr>
        <w:tab/>
      </w:r>
      <w:r w:rsidR="00F05A8C" w:rsidRPr="00AD51FB">
        <w:rPr>
          <w:b/>
          <w:bCs/>
          <w:sz w:val="28"/>
          <w:szCs w:val="28"/>
        </w:rPr>
        <w:tab/>
      </w:r>
      <w:r w:rsidR="005771A8" w:rsidRPr="00AD51FB">
        <w:rPr>
          <w:bCs/>
          <w:sz w:val="28"/>
          <w:szCs w:val="28"/>
        </w:rPr>
        <w:t xml:space="preserve">Whether s 44(4) of the </w:t>
      </w:r>
      <w:bookmarkStart w:id="1" w:name="_Hlk161979528"/>
      <w:r w:rsidR="005771A8" w:rsidRPr="00AD51FB">
        <w:rPr>
          <w:bCs/>
          <w:sz w:val="28"/>
          <w:szCs w:val="28"/>
        </w:rPr>
        <w:t xml:space="preserve">Medical Schemes Act </w:t>
      </w:r>
      <w:bookmarkEnd w:id="1"/>
      <w:r w:rsidR="00F27171" w:rsidRPr="00AD51FB">
        <w:rPr>
          <w:bCs/>
          <w:sz w:val="28"/>
          <w:szCs w:val="28"/>
        </w:rPr>
        <w:t xml:space="preserve">131 of 1998 (the Act) </w:t>
      </w:r>
      <w:r w:rsidR="005771A8" w:rsidRPr="00AD51FB">
        <w:rPr>
          <w:bCs/>
          <w:sz w:val="28"/>
          <w:szCs w:val="28"/>
        </w:rPr>
        <w:t xml:space="preserve">enables the Council and Registrar of Medical Schemes to investigate the conduct of a broker – whether the Council was obliged to utilise the </w:t>
      </w:r>
      <w:r w:rsidR="00824127" w:rsidRPr="00AD51FB">
        <w:rPr>
          <w:bCs/>
          <w:sz w:val="28"/>
          <w:szCs w:val="28"/>
        </w:rPr>
        <w:t>mechanisms of s 47 of the Act</w:t>
      </w:r>
      <w:r w:rsidR="00F27171" w:rsidRPr="00AD51FB">
        <w:rPr>
          <w:bCs/>
          <w:sz w:val="28"/>
          <w:szCs w:val="28"/>
        </w:rPr>
        <w:t xml:space="preserve"> –</w:t>
      </w:r>
      <w:r w:rsidR="00BF3754" w:rsidRPr="00AD51FB">
        <w:rPr>
          <w:bCs/>
          <w:sz w:val="28"/>
          <w:szCs w:val="28"/>
        </w:rPr>
        <w:t xml:space="preserve"> whether the Council’s conduct was lawful, procedurally fair and rationally connected to the purpose of the Act</w:t>
      </w:r>
      <w:r w:rsidR="00302917" w:rsidRPr="00AD51FB">
        <w:rPr>
          <w:bCs/>
          <w:sz w:val="28"/>
          <w:szCs w:val="28"/>
        </w:rPr>
        <w:t>.</w:t>
      </w:r>
    </w:p>
    <w:p w14:paraId="53EE7835" w14:textId="75EFE73E" w:rsidR="0024472E" w:rsidRPr="00AD51FB" w:rsidRDefault="00E53951" w:rsidP="00B87B2C">
      <w:pPr>
        <w:spacing w:line="360" w:lineRule="auto"/>
        <w:jc w:val="both"/>
        <w:rPr>
          <w:b/>
          <w:bCs/>
          <w:sz w:val="28"/>
          <w:szCs w:val="28"/>
        </w:rPr>
      </w:pPr>
      <w:r w:rsidRPr="00AD51FB">
        <w:rPr>
          <w:sz w:val="28"/>
          <w:szCs w:val="28"/>
        </w:rPr>
        <w:br w:type="page"/>
      </w:r>
      <w:r w:rsidR="009E5EF8" w:rsidRPr="00AD51FB">
        <w:rPr>
          <w:bCs/>
          <w:sz w:val="28"/>
          <w:szCs w:val="28"/>
        </w:rPr>
        <w:lastRenderedPageBreak/>
        <w:t>__________________________________</w:t>
      </w:r>
      <w:r w:rsidR="00BF3754" w:rsidRPr="00AD51FB">
        <w:rPr>
          <w:bCs/>
          <w:sz w:val="28"/>
          <w:szCs w:val="28"/>
        </w:rPr>
        <w:t>_____________________________</w:t>
      </w:r>
    </w:p>
    <w:p w14:paraId="7E867DB0" w14:textId="77777777" w:rsidR="0024472E" w:rsidRPr="00AD51FB" w:rsidRDefault="0024472E" w:rsidP="00154482">
      <w:pPr>
        <w:spacing w:line="360" w:lineRule="auto"/>
        <w:jc w:val="center"/>
        <w:rPr>
          <w:b/>
          <w:bCs/>
          <w:sz w:val="28"/>
          <w:szCs w:val="28"/>
        </w:rPr>
      </w:pPr>
      <w:r w:rsidRPr="00AD51FB">
        <w:rPr>
          <w:b/>
          <w:bCs/>
          <w:sz w:val="28"/>
          <w:szCs w:val="28"/>
        </w:rPr>
        <w:t>ORDER</w:t>
      </w:r>
    </w:p>
    <w:p w14:paraId="370DE9FB" w14:textId="0F872612" w:rsidR="0024472E" w:rsidRPr="00AD51FB" w:rsidRDefault="0024472E" w:rsidP="00B87B2C">
      <w:pPr>
        <w:spacing w:line="360" w:lineRule="auto"/>
        <w:rPr>
          <w:b/>
          <w:bCs/>
          <w:sz w:val="28"/>
          <w:szCs w:val="28"/>
        </w:rPr>
      </w:pPr>
      <w:r w:rsidRPr="00AD51FB">
        <w:rPr>
          <w:bCs/>
          <w:sz w:val="28"/>
          <w:szCs w:val="28"/>
        </w:rPr>
        <w:t>__________________________________</w:t>
      </w:r>
      <w:r w:rsidR="00BF3754" w:rsidRPr="00AD51FB">
        <w:rPr>
          <w:bCs/>
          <w:sz w:val="28"/>
          <w:szCs w:val="28"/>
        </w:rPr>
        <w:t>_____________________________</w:t>
      </w:r>
    </w:p>
    <w:p w14:paraId="0DA29473" w14:textId="4ECC2D6C" w:rsidR="00BF3754" w:rsidRPr="00AD51FB" w:rsidRDefault="00BF3754" w:rsidP="00466949">
      <w:pPr>
        <w:spacing w:line="360" w:lineRule="auto"/>
        <w:rPr>
          <w:sz w:val="28"/>
          <w:szCs w:val="28"/>
          <w:lang w:val="en-ZA"/>
        </w:rPr>
      </w:pPr>
      <w:r w:rsidRPr="00AD51FB">
        <w:rPr>
          <w:b/>
          <w:sz w:val="28"/>
          <w:szCs w:val="28"/>
        </w:rPr>
        <w:t>On appeal from:</w:t>
      </w:r>
      <w:r w:rsidRPr="00AD51FB">
        <w:rPr>
          <w:sz w:val="28"/>
          <w:szCs w:val="28"/>
        </w:rPr>
        <w:t xml:space="preserve"> Gauteng Division of the High Court, Pretoria (Nyathi J, sitting as court of first instance): </w:t>
      </w:r>
    </w:p>
    <w:p w14:paraId="434CF9A8" w14:textId="5EC9D905" w:rsidR="00133DEE" w:rsidRPr="00AD51FB" w:rsidRDefault="00BF3754" w:rsidP="00466949">
      <w:pPr>
        <w:spacing w:line="360" w:lineRule="auto"/>
        <w:ind w:right="515"/>
        <w:jc w:val="both"/>
      </w:pPr>
      <w:r w:rsidRPr="00AD51FB">
        <w:rPr>
          <w:sz w:val="28"/>
          <w:szCs w:val="28"/>
        </w:rPr>
        <w:t>The appeal is dismissed with costs</w:t>
      </w:r>
      <w:r w:rsidR="00133DEE" w:rsidRPr="00AD51FB">
        <w:rPr>
          <w:sz w:val="28"/>
          <w:szCs w:val="28"/>
        </w:rPr>
        <w:t>,</w:t>
      </w:r>
      <w:r w:rsidR="00133DEE" w:rsidRPr="00AD51FB">
        <w:rPr>
          <w:color w:val="000000"/>
          <w:sz w:val="28"/>
          <w:szCs w:val="28"/>
          <w:lang w:val="en-US" w:eastAsia="en-GB"/>
        </w:rPr>
        <w:t xml:space="preserve"> including the costs of two counsel.</w:t>
      </w:r>
    </w:p>
    <w:p w14:paraId="075583CB" w14:textId="51767197" w:rsidR="007D7309" w:rsidRPr="00AD51FB" w:rsidRDefault="00011180" w:rsidP="00B87B2C">
      <w:pPr>
        <w:spacing w:line="360" w:lineRule="auto"/>
        <w:jc w:val="both"/>
        <w:rPr>
          <w:b/>
          <w:sz w:val="28"/>
          <w:szCs w:val="28"/>
        </w:rPr>
      </w:pPr>
      <w:r w:rsidRPr="00AD51FB">
        <w:rPr>
          <w:sz w:val="28"/>
          <w:szCs w:val="28"/>
        </w:rPr>
        <w:t>________________________________</w:t>
      </w:r>
      <w:r w:rsidR="00BF3754" w:rsidRPr="00AD51FB">
        <w:rPr>
          <w:sz w:val="28"/>
          <w:szCs w:val="28"/>
        </w:rPr>
        <w:t>_____________________________</w:t>
      </w:r>
    </w:p>
    <w:p w14:paraId="76ADC4FB" w14:textId="77777777" w:rsidR="009B7AE0" w:rsidRPr="00AD51FB" w:rsidRDefault="007D7309" w:rsidP="00154482">
      <w:pPr>
        <w:spacing w:line="360" w:lineRule="auto"/>
        <w:jc w:val="center"/>
        <w:rPr>
          <w:b/>
          <w:sz w:val="28"/>
          <w:szCs w:val="28"/>
        </w:rPr>
      </w:pPr>
      <w:r w:rsidRPr="00AD51FB">
        <w:rPr>
          <w:b/>
          <w:sz w:val="28"/>
          <w:szCs w:val="28"/>
        </w:rPr>
        <w:t>J</w:t>
      </w:r>
      <w:r w:rsidR="00011180" w:rsidRPr="00AD51FB">
        <w:rPr>
          <w:b/>
          <w:sz w:val="28"/>
          <w:szCs w:val="28"/>
        </w:rPr>
        <w:t>UDGMENT</w:t>
      </w:r>
    </w:p>
    <w:p w14:paraId="036AC0E8" w14:textId="1728DAAD" w:rsidR="00011180" w:rsidRPr="00AD51FB" w:rsidRDefault="00011180" w:rsidP="00466949">
      <w:pPr>
        <w:spacing w:line="360" w:lineRule="auto"/>
        <w:ind w:right="110"/>
        <w:rPr>
          <w:sz w:val="28"/>
          <w:szCs w:val="28"/>
        </w:rPr>
      </w:pPr>
      <w:r w:rsidRPr="00AD51FB">
        <w:rPr>
          <w:sz w:val="28"/>
          <w:szCs w:val="28"/>
        </w:rPr>
        <w:t>__________________________________________</w:t>
      </w:r>
      <w:r w:rsidR="00BF3754" w:rsidRPr="00AD51FB">
        <w:rPr>
          <w:sz w:val="28"/>
          <w:szCs w:val="28"/>
        </w:rPr>
        <w:t>_____________________</w:t>
      </w:r>
    </w:p>
    <w:p w14:paraId="419961B3" w14:textId="14ABC993" w:rsidR="00163215" w:rsidRPr="00AD51FB" w:rsidRDefault="00B32ACE" w:rsidP="00154482">
      <w:pPr>
        <w:spacing w:line="360" w:lineRule="auto"/>
        <w:rPr>
          <w:b/>
          <w:sz w:val="28"/>
          <w:szCs w:val="28"/>
        </w:rPr>
      </w:pPr>
      <w:r w:rsidRPr="00AD51FB">
        <w:rPr>
          <w:b/>
          <w:sz w:val="28"/>
          <w:szCs w:val="28"/>
        </w:rPr>
        <w:t>W</w:t>
      </w:r>
      <w:r w:rsidR="00F27171" w:rsidRPr="00AD51FB">
        <w:rPr>
          <w:b/>
          <w:sz w:val="28"/>
          <w:szCs w:val="28"/>
        </w:rPr>
        <w:t>einer</w:t>
      </w:r>
      <w:r w:rsidRPr="00AD51FB">
        <w:rPr>
          <w:b/>
          <w:sz w:val="28"/>
          <w:szCs w:val="28"/>
        </w:rPr>
        <w:t xml:space="preserve"> </w:t>
      </w:r>
      <w:r w:rsidR="009B7AE0" w:rsidRPr="00AD51FB">
        <w:rPr>
          <w:b/>
          <w:sz w:val="28"/>
          <w:szCs w:val="28"/>
        </w:rPr>
        <w:t>JA</w:t>
      </w:r>
      <w:r w:rsidR="00B461D7" w:rsidRPr="00AD51FB">
        <w:rPr>
          <w:b/>
          <w:sz w:val="28"/>
          <w:szCs w:val="28"/>
        </w:rPr>
        <w:t xml:space="preserve"> (Mocumie ADP, </w:t>
      </w:r>
      <w:r w:rsidR="00482728" w:rsidRPr="00AD51FB">
        <w:rPr>
          <w:b/>
          <w:sz w:val="28"/>
          <w:szCs w:val="28"/>
        </w:rPr>
        <w:t>Coppin and Bloem AJJA</w:t>
      </w:r>
      <w:r w:rsidR="00280BF8">
        <w:rPr>
          <w:b/>
          <w:sz w:val="28"/>
          <w:szCs w:val="28"/>
        </w:rPr>
        <w:t xml:space="preserve"> </w:t>
      </w:r>
      <w:r w:rsidR="00280BF8" w:rsidRPr="00280BF8">
        <w:rPr>
          <w:b/>
          <w:sz w:val="28"/>
          <w:szCs w:val="28"/>
        </w:rPr>
        <w:t>concurring</w:t>
      </w:r>
      <w:r w:rsidR="00482728" w:rsidRPr="00AD51FB">
        <w:rPr>
          <w:b/>
          <w:sz w:val="28"/>
          <w:szCs w:val="28"/>
        </w:rPr>
        <w:t>)</w:t>
      </w:r>
      <w:r w:rsidR="009B7AE0" w:rsidRPr="00AD51FB">
        <w:rPr>
          <w:b/>
          <w:sz w:val="28"/>
          <w:szCs w:val="28"/>
        </w:rPr>
        <w:t>:</w:t>
      </w:r>
    </w:p>
    <w:p w14:paraId="2C2327D1" w14:textId="4109A940" w:rsidR="009B7AE0" w:rsidRPr="00AD51FB" w:rsidRDefault="00163215" w:rsidP="00154482">
      <w:pPr>
        <w:spacing w:line="360" w:lineRule="auto"/>
        <w:rPr>
          <w:b/>
          <w:iCs/>
          <w:sz w:val="28"/>
          <w:szCs w:val="28"/>
        </w:rPr>
      </w:pPr>
      <w:r w:rsidRPr="00AD51FB">
        <w:rPr>
          <w:b/>
          <w:iCs/>
          <w:sz w:val="28"/>
          <w:szCs w:val="28"/>
        </w:rPr>
        <w:t xml:space="preserve">Introduction </w:t>
      </w:r>
    </w:p>
    <w:p w14:paraId="064714E4" w14:textId="06652548" w:rsidR="00C57F3E" w:rsidRPr="00AD51FB" w:rsidRDefault="00CF10AD" w:rsidP="00CF10AD">
      <w:pPr>
        <w:spacing w:line="360" w:lineRule="auto"/>
        <w:ind w:right="-70"/>
        <w:jc w:val="both"/>
      </w:pPr>
      <w:r w:rsidRPr="00AD51FB">
        <w:rPr>
          <w:sz w:val="28"/>
          <w:szCs w:val="28"/>
        </w:rPr>
        <w:t>[1]</w:t>
      </w:r>
      <w:r w:rsidRPr="00AD51FB">
        <w:rPr>
          <w:sz w:val="28"/>
          <w:szCs w:val="28"/>
        </w:rPr>
        <w:tab/>
      </w:r>
      <w:r w:rsidR="00C57F3E" w:rsidRPr="00CF10AD">
        <w:rPr>
          <w:sz w:val="28"/>
          <w:szCs w:val="28"/>
        </w:rPr>
        <w:t xml:space="preserve">The appellant </w:t>
      </w:r>
      <w:r w:rsidR="00BF3A6B" w:rsidRPr="00CF10AD">
        <w:rPr>
          <w:sz w:val="28"/>
          <w:szCs w:val="28"/>
        </w:rPr>
        <w:t xml:space="preserve">is </w:t>
      </w:r>
      <w:r w:rsidR="00C57F3E" w:rsidRPr="00CF10AD">
        <w:rPr>
          <w:sz w:val="28"/>
          <w:szCs w:val="28"/>
        </w:rPr>
        <w:t>Optivest Health Services (Pty) Ltd (Optivest), which is accredited as a broker by the Council for Medical Schemes (the Council) in terms of s 1,</w:t>
      </w:r>
      <w:r w:rsidR="00C57F3E" w:rsidRPr="00AD51FB">
        <w:rPr>
          <w:rStyle w:val="FootnoteReference"/>
          <w:sz w:val="28"/>
          <w:szCs w:val="28"/>
        </w:rPr>
        <w:footnoteReference w:id="2"/>
      </w:r>
      <w:r w:rsidR="00C57F3E" w:rsidRPr="00CF10AD">
        <w:rPr>
          <w:sz w:val="28"/>
          <w:szCs w:val="28"/>
        </w:rPr>
        <w:t xml:space="preserve"> read with s 65</w:t>
      </w:r>
      <w:r w:rsidR="00C57F3E" w:rsidRPr="00AD51FB">
        <w:rPr>
          <w:rStyle w:val="FootnoteReference"/>
          <w:sz w:val="28"/>
          <w:szCs w:val="28"/>
        </w:rPr>
        <w:footnoteReference w:id="3"/>
      </w:r>
      <w:r w:rsidR="00C57F3E" w:rsidRPr="00CF10AD">
        <w:rPr>
          <w:sz w:val="28"/>
          <w:szCs w:val="28"/>
        </w:rPr>
        <w:t xml:space="preserve"> of the Medical Schemes Act 131 of 1998 (the Act) and the regulations made in terms of the Act (the regulations).</w:t>
      </w:r>
    </w:p>
    <w:p w14:paraId="6FF9235A" w14:textId="77777777" w:rsidR="00C57F3E" w:rsidRPr="00AD51FB" w:rsidRDefault="00C57F3E" w:rsidP="00C57F3E">
      <w:pPr>
        <w:pStyle w:val="ListParagraph"/>
        <w:spacing w:line="360" w:lineRule="auto"/>
        <w:ind w:left="-90"/>
        <w:jc w:val="both"/>
      </w:pPr>
    </w:p>
    <w:p w14:paraId="454E39F6" w14:textId="038749FA" w:rsidR="00C57F3E" w:rsidRPr="00AD51FB" w:rsidRDefault="00CF10AD" w:rsidP="00CF10AD">
      <w:pPr>
        <w:spacing w:line="360" w:lineRule="auto"/>
        <w:ind w:right="-70"/>
        <w:jc w:val="both"/>
      </w:pPr>
      <w:r w:rsidRPr="00AD51FB">
        <w:rPr>
          <w:sz w:val="28"/>
          <w:szCs w:val="28"/>
        </w:rPr>
        <w:lastRenderedPageBreak/>
        <w:t>[2]</w:t>
      </w:r>
      <w:r w:rsidRPr="00AD51FB">
        <w:rPr>
          <w:sz w:val="28"/>
          <w:szCs w:val="28"/>
        </w:rPr>
        <w:tab/>
      </w:r>
      <w:r w:rsidR="00C57F3E" w:rsidRPr="00CF10AD">
        <w:rPr>
          <w:sz w:val="28"/>
          <w:szCs w:val="28"/>
        </w:rPr>
        <w:t>The first respondent is the Council. Section 3 of the Act provides for the establishment of the Council. The second respondent is the Registrar of the Council appointed in terms of s 18 of the Act</w:t>
      </w:r>
      <w:r w:rsidR="00C57F3E" w:rsidRPr="00AD51FB">
        <w:t xml:space="preserve">. </w:t>
      </w:r>
      <w:r w:rsidR="00C57F3E" w:rsidRPr="00CF10AD">
        <w:rPr>
          <w:sz w:val="28"/>
          <w:szCs w:val="28"/>
        </w:rPr>
        <w:t>In terms of s 18(3), the Registrar shall act in accordance with the provisions of this Act and the policy and directions of the Council. (The first and second respondents will either be referred to collectively as ‘the respondents’, or individually as ‘the Registrar’ or ‘the Council’ where appropriate).</w:t>
      </w:r>
    </w:p>
    <w:p w14:paraId="6512798B" w14:textId="77777777" w:rsidR="00C57F3E" w:rsidRPr="00AD51FB" w:rsidRDefault="00C57F3E" w:rsidP="00C57F3E">
      <w:pPr>
        <w:pStyle w:val="ListParagraph"/>
      </w:pPr>
    </w:p>
    <w:p w14:paraId="10CDA7E9" w14:textId="1C862350" w:rsidR="00C57F3E" w:rsidRPr="00CF10AD" w:rsidRDefault="00CF10AD" w:rsidP="00CF10AD">
      <w:pPr>
        <w:spacing w:line="360" w:lineRule="auto"/>
        <w:jc w:val="both"/>
        <w:rPr>
          <w:rFonts w:eastAsiaTheme="minorHAnsi"/>
          <w:sz w:val="28"/>
          <w:szCs w:val="28"/>
          <w:lang w:val="en-US"/>
        </w:rPr>
      </w:pPr>
      <w:r w:rsidRPr="00AD51FB">
        <w:rPr>
          <w:rFonts w:eastAsiaTheme="minorHAnsi"/>
          <w:sz w:val="28"/>
          <w:szCs w:val="28"/>
          <w:lang w:val="en-US"/>
        </w:rPr>
        <w:t>[3]</w:t>
      </w:r>
      <w:r w:rsidRPr="00AD51FB">
        <w:rPr>
          <w:rFonts w:eastAsiaTheme="minorHAnsi"/>
          <w:sz w:val="28"/>
          <w:szCs w:val="28"/>
          <w:lang w:val="en-US"/>
        </w:rPr>
        <w:tab/>
      </w:r>
      <w:r w:rsidR="00C57F3E" w:rsidRPr="00CF10AD">
        <w:rPr>
          <w:sz w:val="28"/>
          <w:szCs w:val="28"/>
        </w:rPr>
        <w:t>The third respondent, Open Water Advanced Risk Solutions (Pty) Ltd (Open Water), is the company which was appointed by the Registrar in terms of s 44(2) of the Act</w:t>
      </w:r>
      <w:r w:rsidR="00B26D2D" w:rsidRPr="00CF10AD">
        <w:rPr>
          <w:sz w:val="28"/>
          <w:szCs w:val="28"/>
        </w:rPr>
        <w:t>,</w:t>
      </w:r>
      <w:r w:rsidR="00C57F3E" w:rsidRPr="00CF10AD">
        <w:rPr>
          <w:sz w:val="28"/>
          <w:szCs w:val="28"/>
        </w:rPr>
        <w:t xml:space="preserve"> read with s</w:t>
      </w:r>
      <w:r w:rsidR="00B26D2D" w:rsidRPr="00CF10AD">
        <w:rPr>
          <w:sz w:val="28"/>
          <w:szCs w:val="28"/>
        </w:rPr>
        <w:t xml:space="preserve"> </w:t>
      </w:r>
      <w:r w:rsidR="00C57F3E" w:rsidRPr="00CF10AD">
        <w:rPr>
          <w:sz w:val="28"/>
          <w:szCs w:val="28"/>
        </w:rPr>
        <w:t>134(1)</w:t>
      </w:r>
      <w:r w:rsidR="00C57F3E" w:rsidRPr="00CF10AD">
        <w:rPr>
          <w:i/>
          <w:sz w:val="28"/>
        </w:rPr>
        <w:t>(</w:t>
      </w:r>
      <w:r w:rsidR="00C57F3E" w:rsidRPr="00CF10AD">
        <w:rPr>
          <w:i/>
          <w:iCs/>
          <w:sz w:val="28"/>
          <w:szCs w:val="28"/>
        </w:rPr>
        <w:t>a</w:t>
      </w:r>
      <w:r w:rsidR="00C57F3E" w:rsidRPr="00CF10AD">
        <w:rPr>
          <w:i/>
          <w:sz w:val="28"/>
        </w:rPr>
        <w:t xml:space="preserve">) </w:t>
      </w:r>
      <w:r w:rsidR="00C57F3E" w:rsidRPr="00CF10AD">
        <w:rPr>
          <w:sz w:val="28"/>
          <w:szCs w:val="28"/>
        </w:rPr>
        <w:t>of the Financial Sector Regulation Act 9 of 2017 (the FSR Act), to undertake an inspection into Optivest after a tip-off was received from an</w:t>
      </w:r>
      <w:r w:rsidR="00990F68" w:rsidRPr="00CF10AD">
        <w:rPr>
          <w:sz w:val="28"/>
          <w:szCs w:val="28"/>
        </w:rPr>
        <w:t xml:space="preserve"> </w:t>
      </w:r>
      <w:r w:rsidR="00C57F3E" w:rsidRPr="00CF10AD">
        <w:rPr>
          <w:sz w:val="28"/>
          <w:szCs w:val="28"/>
        </w:rPr>
        <w:t xml:space="preserve">anonymous former employee of Optivest regarding conduct that was alleged to be unlawful, which required further investigation. </w:t>
      </w:r>
    </w:p>
    <w:p w14:paraId="3CAF4407" w14:textId="77777777" w:rsidR="00C57F3E" w:rsidRPr="00AD51FB" w:rsidRDefault="00C57F3E" w:rsidP="00C57F3E">
      <w:pPr>
        <w:pStyle w:val="ListParagraph"/>
        <w:rPr>
          <w:rFonts w:eastAsiaTheme="minorHAnsi"/>
          <w:sz w:val="28"/>
          <w:szCs w:val="28"/>
          <w:lang w:val="en-US"/>
        </w:rPr>
      </w:pPr>
    </w:p>
    <w:p w14:paraId="2AD184BB" w14:textId="1CA42071" w:rsidR="00C57F3E" w:rsidRPr="00CF10AD" w:rsidRDefault="00CF10AD" w:rsidP="00CF10AD">
      <w:pPr>
        <w:spacing w:line="360" w:lineRule="auto"/>
        <w:jc w:val="both"/>
        <w:rPr>
          <w:rFonts w:eastAsiaTheme="minorHAnsi"/>
          <w:sz w:val="28"/>
          <w:szCs w:val="28"/>
          <w:lang w:val="en-US"/>
        </w:rPr>
      </w:pPr>
      <w:r w:rsidRPr="00AD51FB">
        <w:rPr>
          <w:rFonts w:eastAsiaTheme="minorHAnsi"/>
          <w:sz w:val="28"/>
          <w:szCs w:val="28"/>
          <w:lang w:val="en-US"/>
        </w:rPr>
        <w:t>[4]</w:t>
      </w:r>
      <w:r w:rsidRPr="00AD51FB">
        <w:rPr>
          <w:rFonts w:eastAsiaTheme="minorHAnsi"/>
          <w:sz w:val="28"/>
          <w:szCs w:val="28"/>
          <w:lang w:val="en-US"/>
        </w:rPr>
        <w:tab/>
      </w:r>
      <w:r w:rsidR="00C57F3E" w:rsidRPr="00CF10AD">
        <w:rPr>
          <w:sz w:val="28"/>
          <w:szCs w:val="28"/>
        </w:rPr>
        <w:t xml:space="preserve">This appeal concerns the powers of the Council to investigate </w:t>
      </w:r>
      <w:r w:rsidR="00EE5B32" w:rsidRPr="00CF10AD">
        <w:rPr>
          <w:sz w:val="28"/>
          <w:szCs w:val="28"/>
        </w:rPr>
        <w:t xml:space="preserve">the </w:t>
      </w:r>
      <w:r w:rsidR="00C57F3E" w:rsidRPr="00CF10AD">
        <w:rPr>
          <w:sz w:val="28"/>
          <w:szCs w:val="28"/>
        </w:rPr>
        <w:t>alleged non-compliance with the provisions of the Act by a broker accredited by the Council in terms of s 65 of the Act</w:t>
      </w:r>
      <w:r w:rsidR="00EE5B32" w:rsidRPr="00CF10AD">
        <w:rPr>
          <w:sz w:val="28"/>
          <w:szCs w:val="28"/>
        </w:rPr>
        <w:t>,</w:t>
      </w:r>
      <w:r w:rsidR="00C57F3E" w:rsidRPr="00CF10AD">
        <w:rPr>
          <w:sz w:val="28"/>
          <w:szCs w:val="28"/>
        </w:rPr>
        <w:t xml:space="preserve"> by way of an inspection in terms of s 44(4) of the Act</w:t>
      </w:r>
      <w:r w:rsidR="00B26D2D" w:rsidRPr="00CF10AD">
        <w:rPr>
          <w:sz w:val="28"/>
          <w:szCs w:val="28"/>
        </w:rPr>
        <w:t>,</w:t>
      </w:r>
      <w:r w:rsidR="00C57F3E" w:rsidRPr="00CF10AD">
        <w:rPr>
          <w:sz w:val="28"/>
          <w:szCs w:val="28"/>
        </w:rPr>
        <w:t xml:space="preserve"> read with the </w:t>
      </w:r>
      <w:r w:rsidR="00EE5B32" w:rsidRPr="00CF10AD">
        <w:rPr>
          <w:sz w:val="28"/>
          <w:szCs w:val="28"/>
        </w:rPr>
        <w:t xml:space="preserve">relevant provisions of the </w:t>
      </w:r>
      <w:r w:rsidR="00C57F3E" w:rsidRPr="00CF10AD">
        <w:rPr>
          <w:sz w:val="28"/>
          <w:szCs w:val="28"/>
        </w:rPr>
        <w:t xml:space="preserve">FSR Act. </w:t>
      </w:r>
      <w:r w:rsidR="00B26D2D" w:rsidRPr="00CF10AD">
        <w:rPr>
          <w:sz w:val="28"/>
          <w:szCs w:val="28"/>
        </w:rPr>
        <w:t xml:space="preserve">The Gauteng Division of the High Court, Pretoria (the high court) </w:t>
      </w:r>
      <w:r w:rsidR="00C57F3E" w:rsidRPr="00CF10AD">
        <w:rPr>
          <w:sz w:val="28"/>
          <w:szCs w:val="28"/>
        </w:rPr>
        <w:t xml:space="preserve">held that it did have such power and dismissed an application by </w:t>
      </w:r>
      <w:r w:rsidR="00EE5B32" w:rsidRPr="00CF10AD">
        <w:rPr>
          <w:sz w:val="28"/>
          <w:szCs w:val="28"/>
        </w:rPr>
        <w:t>Optivest</w:t>
      </w:r>
      <w:r w:rsidR="00C57F3E" w:rsidRPr="00CF10AD">
        <w:rPr>
          <w:sz w:val="28"/>
          <w:szCs w:val="28"/>
        </w:rPr>
        <w:t xml:space="preserve"> challenging the exercise of that power with costs. This is an appeal against that order with the leave of that court.</w:t>
      </w:r>
    </w:p>
    <w:p w14:paraId="42DDB8A6" w14:textId="77777777" w:rsidR="00C57F3E" w:rsidRPr="00AD51FB" w:rsidRDefault="00C57F3E" w:rsidP="007A1729">
      <w:pPr>
        <w:pStyle w:val="ListParagraph"/>
        <w:spacing w:line="360" w:lineRule="auto"/>
        <w:ind w:left="0"/>
        <w:jc w:val="both"/>
        <w:rPr>
          <w:rFonts w:eastAsiaTheme="minorHAnsi"/>
          <w:lang w:val="en-US"/>
        </w:rPr>
      </w:pPr>
      <w:r w:rsidRPr="00AD51FB">
        <w:rPr>
          <w:sz w:val="28"/>
          <w:szCs w:val="28"/>
        </w:rPr>
        <w:t xml:space="preserve"> </w:t>
      </w:r>
    </w:p>
    <w:p w14:paraId="4F01936B" w14:textId="6B6F6651" w:rsidR="00C57F3E" w:rsidRPr="00CF10AD" w:rsidRDefault="00CF10AD" w:rsidP="00CF10AD">
      <w:pPr>
        <w:spacing w:line="360" w:lineRule="auto"/>
        <w:jc w:val="both"/>
        <w:rPr>
          <w:rFonts w:eastAsiaTheme="minorHAnsi"/>
          <w:lang w:val="en-US"/>
        </w:rPr>
      </w:pPr>
      <w:r w:rsidRPr="00AD51FB">
        <w:rPr>
          <w:rFonts w:eastAsiaTheme="minorHAnsi"/>
          <w:sz w:val="28"/>
          <w:szCs w:val="28"/>
          <w:lang w:val="en-US"/>
        </w:rPr>
        <w:t>[5]</w:t>
      </w:r>
      <w:r w:rsidRPr="00AD51FB">
        <w:rPr>
          <w:rFonts w:eastAsiaTheme="minorHAnsi"/>
          <w:sz w:val="28"/>
          <w:szCs w:val="28"/>
          <w:lang w:val="en-US"/>
        </w:rPr>
        <w:tab/>
      </w:r>
      <w:r w:rsidR="00C57F3E" w:rsidRPr="00CF10AD">
        <w:rPr>
          <w:sz w:val="28"/>
          <w:szCs w:val="28"/>
        </w:rPr>
        <w:t>The preamble of the Act sets out its purpose as follows:</w:t>
      </w:r>
    </w:p>
    <w:p w14:paraId="03F251C6" w14:textId="709B5475" w:rsidR="00C57F3E" w:rsidRDefault="00C57F3E" w:rsidP="00466949">
      <w:pPr>
        <w:pStyle w:val="ListParagraph"/>
        <w:spacing w:after="240" w:line="360" w:lineRule="auto"/>
        <w:ind w:left="0"/>
        <w:jc w:val="both"/>
      </w:pPr>
      <w:r w:rsidRPr="00AD51FB">
        <w:t xml:space="preserve">‘To consolidate the laws relating to registered medical schemes; to provide for the establishment of the Council for Medical Schemes as a juristic person; to provide for the appointment of the Registrar of Medical Schemes; to make provision for the registration and control of certain activities of medical schemes; </w:t>
      </w:r>
      <w:r w:rsidRPr="00AD51FB">
        <w:rPr>
          <w:i/>
        </w:rPr>
        <w:t>to protect the interests of members of medical schemes</w:t>
      </w:r>
      <w:r w:rsidRPr="00AD51FB">
        <w:t xml:space="preserve">; to provide for measures for the co-ordination of medical schemes; </w:t>
      </w:r>
      <w:r w:rsidRPr="00AD51FB">
        <w:rPr>
          <w:i/>
        </w:rPr>
        <w:t>and to provide for incidental matters</w:t>
      </w:r>
      <w:r w:rsidRPr="00AD51FB">
        <w:t>.’ (Emphasis added.)</w:t>
      </w:r>
    </w:p>
    <w:p w14:paraId="54B3F577" w14:textId="77777777" w:rsidR="00102925" w:rsidRPr="00AD51FB" w:rsidRDefault="00102925" w:rsidP="00102925">
      <w:pPr>
        <w:pStyle w:val="ListParagraph"/>
        <w:spacing w:after="240" w:line="360" w:lineRule="auto"/>
        <w:ind w:left="0"/>
        <w:jc w:val="both"/>
      </w:pPr>
    </w:p>
    <w:p w14:paraId="69BDD372" w14:textId="36995853" w:rsidR="00AB4E08" w:rsidRPr="00CF10AD" w:rsidRDefault="00CF10AD" w:rsidP="00CF10AD">
      <w:pPr>
        <w:tabs>
          <w:tab w:val="left" w:pos="810"/>
        </w:tabs>
        <w:spacing w:line="360" w:lineRule="auto"/>
        <w:jc w:val="both"/>
        <w:rPr>
          <w:rFonts w:eastAsiaTheme="minorHAnsi"/>
          <w:lang w:val="en-US"/>
        </w:rPr>
      </w:pPr>
      <w:r w:rsidRPr="00AD51FB">
        <w:rPr>
          <w:rFonts w:eastAsiaTheme="minorHAnsi"/>
          <w:sz w:val="28"/>
          <w:szCs w:val="28"/>
          <w:lang w:val="en-US"/>
        </w:rPr>
        <w:lastRenderedPageBreak/>
        <w:t>[6]</w:t>
      </w:r>
      <w:r w:rsidRPr="00AD51FB">
        <w:rPr>
          <w:rFonts w:eastAsiaTheme="minorHAnsi"/>
          <w:sz w:val="28"/>
          <w:szCs w:val="28"/>
          <w:lang w:val="en-US"/>
        </w:rPr>
        <w:tab/>
      </w:r>
      <w:r w:rsidR="00203A92" w:rsidRPr="00CF10AD">
        <w:rPr>
          <w:sz w:val="28"/>
          <w:szCs w:val="28"/>
        </w:rPr>
        <w:t>The issue</w:t>
      </w:r>
      <w:r w:rsidR="00A30FEC" w:rsidRPr="00CF10AD">
        <w:rPr>
          <w:sz w:val="28"/>
          <w:szCs w:val="28"/>
        </w:rPr>
        <w:t>s in this appeal are</w:t>
      </w:r>
      <w:r w:rsidR="00203A92" w:rsidRPr="00CF10AD">
        <w:rPr>
          <w:sz w:val="28"/>
          <w:szCs w:val="28"/>
        </w:rPr>
        <w:t xml:space="preserve"> whether, upon a proper construction of </w:t>
      </w:r>
      <w:r w:rsidR="00203A92" w:rsidRPr="00CF10AD">
        <w:rPr>
          <w:i/>
          <w:iCs/>
          <w:sz w:val="28"/>
          <w:szCs w:val="28"/>
        </w:rPr>
        <w:t xml:space="preserve">inter alia </w:t>
      </w:r>
      <w:r w:rsidR="00203A92" w:rsidRPr="00CF10AD">
        <w:rPr>
          <w:sz w:val="28"/>
          <w:szCs w:val="28"/>
        </w:rPr>
        <w:t>s</w:t>
      </w:r>
      <w:r w:rsidR="00EE5B32" w:rsidRPr="00CF10AD">
        <w:rPr>
          <w:sz w:val="28"/>
          <w:szCs w:val="28"/>
        </w:rPr>
        <w:t xml:space="preserve">s 7 and </w:t>
      </w:r>
      <w:r w:rsidR="00203A92" w:rsidRPr="00CF10AD">
        <w:rPr>
          <w:sz w:val="28"/>
          <w:szCs w:val="28"/>
        </w:rPr>
        <w:t>44(4)</w:t>
      </w:r>
      <w:r w:rsidR="00AB4E08" w:rsidRPr="00CF10AD">
        <w:rPr>
          <w:sz w:val="28"/>
          <w:szCs w:val="28"/>
        </w:rPr>
        <w:t xml:space="preserve"> of the Act</w:t>
      </w:r>
      <w:r w:rsidR="00203A92" w:rsidRPr="00CF10AD">
        <w:rPr>
          <w:sz w:val="28"/>
          <w:szCs w:val="28"/>
        </w:rPr>
        <w:t xml:space="preserve">, the </w:t>
      </w:r>
      <w:r w:rsidR="00990F68" w:rsidRPr="00CF10AD">
        <w:rPr>
          <w:sz w:val="28"/>
          <w:szCs w:val="28"/>
        </w:rPr>
        <w:t>respondents have</w:t>
      </w:r>
      <w:r w:rsidR="00203A92" w:rsidRPr="00CF10AD">
        <w:rPr>
          <w:sz w:val="28"/>
          <w:szCs w:val="28"/>
        </w:rPr>
        <w:t xml:space="preserve"> the power to investigate a complaint concerning</w:t>
      </w:r>
      <w:r w:rsidR="00413170" w:rsidRPr="00CF10AD">
        <w:rPr>
          <w:sz w:val="28"/>
          <w:szCs w:val="28"/>
        </w:rPr>
        <w:t xml:space="preserve"> a broker,</w:t>
      </w:r>
      <w:r w:rsidR="009E1562" w:rsidRPr="00CF10AD">
        <w:rPr>
          <w:sz w:val="28"/>
          <w:szCs w:val="28"/>
        </w:rPr>
        <w:t xml:space="preserve"> in this case</w:t>
      </w:r>
      <w:r w:rsidR="00216BE7" w:rsidRPr="00CF10AD">
        <w:rPr>
          <w:sz w:val="28"/>
          <w:szCs w:val="28"/>
        </w:rPr>
        <w:t>,</w:t>
      </w:r>
      <w:r w:rsidR="00203A92" w:rsidRPr="00CF10AD">
        <w:rPr>
          <w:sz w:val="28"/>
          <w:szCs w:val="28"/>
        </w:rPr>
        <w:t xml:space="preserve"> Optivest. </w:t>
      </w:r>
      <w:r w:rsidR="00A30FEC" w:rsidRPr="00CF10AD">
        <w:rPr>
          <w:sz w:val="28"/>
          <w:szCs w:val="28"/>
        </w:rPr>
        <w:t xml:space="preserve">It also involves the question as to whether the </w:t>
      </w:r>
      <w:r w:rsidR="00C57F3E" w:rsidRPr="00CF10AD">
        <w:rPr>
          <w:sz w:val="28"/>
          <w:szCs w:val="28"/>
        </w:rPr>
        <w:t>respondents</w:t>
      </w:r>
      <w:r w:rsidR="00A20C06" w:rsidRPr="00CF10AD">
        <w:rPr>
          <w:sz w:val="28"/>
          <w:szCs w:val="28"/>
        </w:rPr>
        <w:t xml:space="preserve"> </w:t>
      </w:r>
      <w:r w:rsidR="00A30FEC" w:rsidRPr="00CF10AD">
        <w:rPr>
          <w:sz w:val="28"/>
          <w:szCs w:val="28"/>
        </w:rPr>
        <w:t>were obliged to utilise the mechanisms in s 47 of the Act</w:t>
      </w:r>
      <w:r w:rsidR="00FE55BF" w:rsidRPr="00CF10AD">
        <w:rPr>
          <w:sz w:val="28"/>
          <w:szCs w:val="28"/>
        </w:rPr>
        <w:t>, by giving Optivest the opportunity to respond to the complaint</w:t>
      </w:r>
      <w:r w:rsidR="00A30FEC" w:rsidRPr="00CF10AD">
        <w:rPr>
          <w:sz w:val="28"/>
          <w:szCs w:val="28"/>
        </w:rPr>
        <w:t xml:space="preserve"> before embarking on the investigation of Optivest’s activities.</w:t>
      </w:r>
      <w:r w:rsidR="00BD5BBF" w:rsidRPr="00CF10AD">
        <w:rPr>
          <w:sz w:val="28"/>
          <w:szCs w:val="28"/>
        </w:rPr>
        <w:t xml:space="preserve"> Related to these issues are the defences raised by Optivest that the decision by the Council to appoint Open Water to investigate Optivest was unlawful, procedurally unfair and lacked rationality.</w:t>
      </w:r>
    </w:p>
    <w:p w14:paraId="0BEEFA00" w14:textId="77777777" w:rsidR="006A6DC5" w:rsidRPr="00AD51FB" w:rsidRDefault="006A6DC5" w:rsidP="00B87B2C">
      <w:pPr>
        <w:pStyle w:val="ListParagraph"/>
        <w:spacing w:line="360" w:lineRule="auto"/>
        <w:ind w:left="0"/>
        <w:jc w:val="both"/>
        <w:rPr>
          <w:sz w:val="28"/>
          <w:szCs w:val="28"/>
        </w:rPr>
      </w:pPr>
    </w:p>
    <w:p w14:paraId="7193A7D6" w14:textId="507223AD" w:rsidR="00A30FEC" w:rsidRPr="00AD51FB" w:rsidRDefault="006A6DC5" w:rsidP="003A73A2">
      <w:pPr>
        <w:pStyle w:val="ListParagraph"/>
        <w:spacing w:line="360" w:lineRule="auto"/>
        <w:ind w:left="0"/>
        <w:jc w:val="both"/>
      </w:pPr>
      <w:r w:rsidRPr="00AD51FB">
        <w:rPr>
          <w:b/>
          <w:sz w:val="28"/>
          <w:szCs w:val="28"/>
        </w:rPr>
        <w:t>The legislative scheme</w:t>
      </w:r>
    </w:p>
    <w:p w14:paraId="3AB7D3BD" w14:textId="70BFF751" w:rsidR="00154482" w:rsidRPr="00CF10AD" w:rsidRDefault="00CF10AD" w:rsidP="00CF10AD">
      <w:pPr>
        <w:spacing w:before="120" w:after="240" w:line="360" w:lineRule="auto"/>
        <w:ind w:right="-25"/>
        <w:jc w:val="both"/>
        <w:rPr>
          <w:color w:val="000000"/>
          <w:sz w:val="28"/>
          <w:szCs w:val="28"/>
          <w:lang w:val="en-US" w:eastAsia="en-GB"/>
        </w:rPr>
      </w:pPr>
      <w:r w:rsidRPr="00AD51FB">
        <w:rPr>
          <w:sz w:val="28"/>
          <w:szCs w:val="28"/>
          <w:lang w:val="en-US" w:eastAsia="en-GB"/>
        </w:rPr>
        <w:t>[7]</w:t>
      </w:r>
      <w:r w:rsidRPr="00AD51FB">
        <w:rPr>
          <w:sz w:val="28"/>
          <w:szCs w:val="28"/>
          <w:lang w:val="en-US" w:eastAsia="en-GB"/>
        </w:rPr>
        <w:tab/>
      </w:r>
      <w:r w:rsidR="00553D23" w:rsidRPr="00CF10AD">
        <w:rPr>
          <w:sz w:val="28"/>
          <w:szCs w:val="28"/>
        </w:rPr>
        <w:t>The functions of the Council are outlined in s 7 of the Act. Section 7</w:t>
      </w:r>
      <w:r w:rsidR="00553D23" w:rsidRPr="00CF10AD">
        <w:rPr>
          <w:i/>
          <w:iCs/>
          <w:sz w:val="28"/>
          <w:szCs w:val="28"/>
        </w:rPr>
        <w:t>(a</w:t>
      </w:r>
      <w:r w:rsidR="00381750" w:rsidRPr="00CF10AD">
        <w:rPr>
          <w:i/>
          <w:iCs/>
          <w:sz w:val="28"/>
          <w:szCs w:val="28"/>
        </w:rPr>
        <w:t>)</w:t>
      </w:r>
      <w:r w:rsidR="00381750" w:rsidRPr="00CF10AD">
        <w:rPr>
          <w:sz w:val="28"/>
          <w:szCs w:val="28"/>
        </w:rPr>
        <w:t xml:space="preserve"> </w:t>
      </w:r>
      <w:r w:rsidR="000E1067" w:rsidRPr="00CF10AD">
        <w:rPr>
          <w:sz w:val="28"/>
          <w:szCs w:val="28"/>
        </w:rPr>
        <w:t xml:space="preserve">provides for </w:t>
      </w:r>
      <w:r w:rsidR="00381750" w:rsidRPr="00CF10AD">
        <w:rPr>
          <w:sz w:val="28"/>
          <w:szCs w:val="28"/>
        </w:rPr>
        <w:t>the duty to</w:t>
      </w:r>
      <w:r w:rsidR="00553D23" w:rsidRPr="00CF10AD">
        <w:rPr>
          <w:sz w:val="28"/>
          <w:szCs w:val="28"/>
        </w:rPr>
        <w:t xml:space="preserve"> protect the interests of beneficiaries at all times</w:t>
      </w:r>
      <w:r w:rsidR="00381750" w:rsidRPr="00CF10AD">
        <w:rPr>
          <w:sz w:val="28"/>
          <w:szCs w:val="28"/>
        </w:rPr>
        <w:t xml:space="preserve">. Section </w:t>
      </w:r>
      <w:r w:rsidR="00553D23" w:rsidRPr="00CF10AD">
        <w:rPr>
          <w:sz w:val="28"/>
          <w:szCs w:val="28"/>
        </w:rPr>
        <w:t>7</w:t>
      </w:r>
      <w:r w:rsidR="00553D23" w:rsidRPr="00CF10AD">
        <w:rPr>
          <w:i/>
          <w:iCs/>
          <w:sz w:val="28"/>
          <w:szCs w:val="28"/>
        </w:rPr>
        <w:t>(h)</w:t>
      </w:r>
      <w:r w:rsidR="00553D23" w:rsidRPr="00CF10AD">
        <w:rPr>
          <w:sz w:val="28"/>
          <w:szCs w:val="28"/>
        </w:rPr>
        <w:t xml:space="preserve"> gives </w:t>
      </w:r>
      <w:r w:rsidR="000E1067" w:rsidRPr="00CF10AD">
        <w:rPr>
          <w:sz w:val="28"/>
          <w:szCs w:val="28"/>
        </w:rPr>
        <w:t xml:space="preserve">the Council </w:t>
      </w:r>
      <w:r w:rsidR="00553D23" w:rsidRPr="00CF10AD">
        <w:rPr>
          <w:sz w:val="28"/>
          <w:szCs w:val="28"/>
        </w:rPr>
        <w:t xml:space="preserve">the power to perform any other functions conferred on </w:t>
      </w:r>
      <w:r w:rsidR="000E1067" w:rsidRPr="00CF10AD">
        <w:rPr>
          <w:sz w:val="28"/>
          <w:szCs w:val="28"/>
        </w:rPr>
        <w:t xml:space="preserve">it </w:t>
      </w:r>
      <w:r w:rsidR="00553D23" w:rsidRPr="00CF10AD">
        <w:rPr>
          <w:sz w:val="28"/>
          <w:szCs w:val="28"/>
        </w:rPr>
        <w:t xml:space="preserve">by the Minister </w:t>
      </w:r>
      <w:r w:rsidR="000E1067" w:rsidRPr="00CF10AD">
        <w:rPr>
          <w:sz w:val="28"/>
          <w:szCs w:val="28"/>
        </w:rPr>
        <w:t xml:space="preserve">under </w:t>
      </w:r>
      <w:r w:rsidR="00553D23" w:rsidRPr="00CF10AD">
        <w:rPr>
          <w:sz w:val="28"/>
          <w:szCs w:val="28"/>
        </w:rPr>
        <w:t>the Act. Section 8</w:t>
      </w:r>
      <w:r w:rsidR="00553D23" w:rsidRPr="00CF10AD">
        <w:rPr>
          <w:i/>
          <w:iCs/>
          <w:sz w:val="28"/>
          <w:szCs w:val="28"/>
        </w:rPr>
        <w:t xml:space="preserve">(h) </w:t>
      </w:r>
      <w:r w:rsidR="00553D23" w:rsidRPr="00CF10AD">
        <w:rPr>
          <w:sz w:val="28"/>
          <w:szCs w:val="28"/>
        </w:rPr>
        <w:t xml:space="preserve">empowers the Council to take any appropriate steps which it deems necessary or expedient to perform its functions in accordance with the provisions of the Act. </w:t>
      </w:r>
      <w:r w:rsidR="00BD5BBF" w:rsidRPr="00CF10AD">
        <w:rPr>
          <w:sz w:val="28"/>
          <w:szCs w:val="28"/>
        </w:rPr>
        <w:t xml:space="preserve">The Council is a financial sector regulator and the </w:t>
      </w:r>
      <w:r w:rsidR="00990F68" w:rsidRPr="00CF10AD">
        <w:rPr>
          <w:sz w:val="28"/>
          <w:szCs w:val="28"/>
        </w:rPr>
        <w:t>executive officer</w:t>
      </w:r>
      <w:r w:rsidR="00BD5BBF" w:rsidRPr="00CF10AD">
        <w:rPr>
          <w:sz w:val="28"/>
          <w:szCs w:val="28"/>
        </w:rPr>
        <w:t xml:space="preserve"> of the </w:t>
      </w:r>
      <w:r w:rsidR="00990F68" w:rsidRPr="00CF10AD">
        <w:rPr>
          <w:sz w:val="28"/>
          <w:szCs w:val="28"/>
        </w:rPr>
        <w:t xml:space="preserve">Council </w:t>
      </w:r>
      <w:r w:rsidR="00735719" w:rsidRPr="00CF10AD">
        <w:rPr>
          <w:sz w:val="28"/>
          <w:szCs w:val="28"/>
        </w:rPr>
        <w:t>refers to the</w:t>
      </w:r>
      <w:r w:rsidR="00990F68" w:rsidRPr="00CF10AD">
        <w:rPr>
          <w:sz w:val="28"/>
          <w:szCs w:val="28"/>
        </w:rPr>
        <w:t xml:space="preserve"> Registrar, whose functions include the management of the affairs of the Council (s 18(2)). The decision to investigate a </w:t>
      </w:r>
      <w:r w:rsidR="00654DF3" w:rsidRPr="00CF10AD">
        <w:rPr>
          <w:sz w:val="28"/>
          <w:szCs w:val="28"/>
        </w:rPr>
        <w:t>M</w:t>
      </w:r>
      <w:r w:rsidR="00990F68" w:rsidRPr="00CF10AD">
        <w:rPr>
          <w:sz w:val="28"/>
          <w:szCs w:val="28"/>
        </w:rPr>
        <w:t xml:space="preserve">edical Scheme or </w:t>
      </w:r>
      <w:r w:rsidR="00AD51FB" w:rsidRPr="00CF10AD">
        <w:rPr>
          <w:sz w:val="28"/>
          <w:szCs w:val="28"/>
        </w:rPr>
        <w:t>‘</w:t>
      </w:r>
      <w:r w:rsidR="00990F68" w:rsidRPr="00CF10AD">
        <w:rPr>
          <w:sz w:val="28"/>
          <w:szCs w:val="28"/>
        </w:rPr>
        <w:t>any person</w:t>
      </w:r>
      <w:r w:rsidR="00AD51FB" w:rsidRPr="00CF10AD">
        <w:rPr>
          <w:sz w:val="28"/>
          <w:szCs w:val="28"/>
        </w:rPr>
        <w:t>’</w:t>
      </w:r>
      <w:r w:rsidR="00990F68" w:rsidRPr="00CF10AD">
        <w:rPr>
          <w:sz w:val="28"/>
          <w:szCs w:val="28"/>
        </w:rPr>
        <w:t xml:space="preserve"> for non-compliance with the Act is exclusively within the powers of the Registrar in terms of the Act</w:t>
      </w:r>
      <w:r w:rsidR="00CE2E29" w:rsidRPr="00CF10AD">
        <w:rPr>
          <w:sz w:val="28"/>
          <w:szCs w:val="28"/>
        </w:rPr>
        <w:t xml:space="preserve">. </w:t>
      </w:r>
    </w:p>
    <w:p w14:paraId="2BDF9180" w14:textId="77777777" w:rsidR="00CE2E29" w:rsidRPr="00AD51FB" w:rsidRDefault="00CE2E29" w:rsidP="00CE2E29">
      <w:pPr>
        <w:pStyle w:val="ListParagraph"/>
        <w:spacing w:before="120" w:after="240" w:line="360" w:lineRule="auto"/>
        <w:ind w:left="0" w:right="515"/>
        <w:jc w:val="both"/>
        <w:rPr>
          <w:color w:val="000000"/>
          <w:sz w:val="28"/>
          <w:szCs w:val="28"/>
          <w:lang w:val="en-US" w:eastAsia="en-GB"/>
        </w:rPr>
      </w:pPr>
    </w:p>
    <w:p w14:paraId="53EBC1A5" w14:textId="5F74742E" w:rsidR="00154482" w:rsidRPr="00CF10AD" w:rsidRDefault="00CF10AD" w:rsidP="00CF10AD">
      <w:pPr>
        <w:spacing w:line="360" w:lineRule="auto"/>
        <w:jc w:val="both"/>
        <w:rPr>
          <w:color w:val="000000"/>
          <w:sz w:val="28"/>
          <w:szCs w:val="28"/>
          <w:lang w:val="en-US" w:eastAsia="en-GB"/>
        </w:rPr>
      </w:pPr>
      <w:r w:rsidRPr="00AD51FB">
        <w:rPr>
          <w:sz w:val="28"/>
          <w:szCs w:val="28"/>
          <w:lang w:val="en-US" w:eastAsia="en-GB"/>
        </w:rPr>
        <w:t>[8]</w:t>
      </w:r>
      <w:r w:rsidRPr="00AD51FB">
        <w:rPr>
          <w:sz w:val="28"/>
          <w:szCs w:val="28"/>
          <w:lang w:val="en-US" w:eastAsia="en-GB"/>
        </w:rPr>
        <w:tab/>
      </w:r>
      <w:r w:rsidR="00381750" w:rsidRPr="00CF10AD">
        <w:rPr>
          <w:sz w:val="28"/>
          <w:szCs w:val="28"/>
        </w:rPr>
        <w:t>Section 44(4) provides for inspections. In terms thereof:</w:t>
      </w:r>
    </w:p>
    <w:p w14:paraId="0189C62A" w14:textId="38D7C265" w:rsidR="00154482" w:rsidRPr="00AD51FB" w:rsidRDefault="00630425" w:rsidP="00B87B2C">
      <w:pPr>
        <w:pStyle w:val="ListParagraph"/>
        <w:spacing w:line="360" w:lineRule="auto"/>
        <w:ind w:left="0"/>
        <w:jc w:val="both"/>
        <w:rPr>
          <w:color w:val="000000"/>
          <w:lang w:val="en-US" w:eastAsia="en-GB"/>
        </w:rPr>
      </w:pPr>
      <w:r w:rsidRPr="00AD51FB">
        <w:rPr>
          <w:color w:val="000000"/>
          <w:lang w:val="en-US" w:eastAsia="en-GB"/>
        </w:rPr>
        <w:t>‘</w:t>
      </w:r>
      <w:r w:rsidR="00154482" w:rsidRPr="00AD51FB">
        <w:rPr>
          <w:color w:val="000000"/>
          <w:lang w:val="en-US" w:eastAsia="en-GB"/>
        </w:rPr>
        <w:t>The Registrar may order an inspection in terms of this section—</w:t>
      </w:r>
    </w:p>
    <w:p w14:paraId="1D83D8F4" w14:textId="74E4FC33" w:rsidR="00154482" w:rsidRPr="00AD51FB" w:rsidRDefault="00154482" w:rsidP="00B87B2C">
      <w:pPr>
        <w:pStyle w:val="ListParagraph"/>
        <w:spacing w:line="360" w:lineRule="auto"/>
        <w:ind w:left="0"/>
        <w:jc w:val="both"/>
        <w:rPr>
          <w:color w:val="000000"/>
          <w:lang w:val="en-US" w:eastAsia="en-GB"/>
        </w:rPr>
      </w:pPr>
      <w:r w:rsidRPr="00AD51FB">
        <w:rPr>
          <w:color w:val="000000"/>
          <w:lang w:val="en-US" w:eastAsia="en-GB"/>
        </w:rPr>
        <w:t>(a)</w:t>
      </w:r>
      <w:r w:rsidR="00630425" w:rsidRPr="00AD51FB">
        <w:rPr>
          <w:color w:val="000000"/>
          <w:lang w:val="en-US" w:eastAsia="en-GB"/>
        </w:rPr>
        <w:t xml:space="preserve"> </w:t>
      </w:r>
      <w:r w:rsidRPr="00AD51FB">
        <w:rPr>
          <w:color w:val="000000"/>
          <w:lang w:val="en-US" w:eastAsia="en-GB"/>
        </w:rPr>
        <w:t xml:space="preserve">if he or she is of the opinion that such an inspection will provide evidence of any irregularity or of non-compliance with this Act by </w:t>
      </w:r>
      <w:r w:rsidRPr="00AD51FB">
        <w:rPr>
          <w:i/>
          <w:iCs/>
          <w:color w:val="000000"/>
          <w:lang w:val="en-US" w:eastAsia="en-GB"/>
        </w:rPr>
        <w:t>any person</w:t>
      </w:r>
      <w:r w:rsidRPr="00AD51FB">
        <w:rPr>
          <w:color w:val="000000"/>
          <w:lang w:val="en-US" w:eastAsia="en-GB"/>
        </w:rPr>
        <w:t>; or</w:t>
      </w:r>
    </w:p>
    <w:p w14:paraId="304CA565" w14:textId="075FF35E" w:rsidR="00154482" w:rsidRDefault="00154482" w:rsidP="00B87B2C">
      <w:pPr>
        <w:pStyle w:val="ListParagraph"/>
        <w:spacing w:line="360" w:lineRule="auto"/>
        <w:ind w:left="0"/>
        <w:jc w:val="both"/>
        <w:rPr>
          <w:color w:val="000000"/>
          <w:lang w:val="en-US" w:eastAsia="en-GB"/>
        </w:rPr>
      </w:pPr>
      <w:r w:rsidRPr="00AD51FB">
        <w:rPr>
          <w:color w:val="000000"/>
          <w:lang w:val="en-US" w:eastAsia="en-GB"/>
        </w:rPr>
        <w:t>(b)</w:t>
      </w:r>
      <w:r w:rsidR="00630425" w:rsidRPr="00AD51FB">
        <w:rPr>
          <w:color w:val="000000"/>
          <w:lang w:val="en-US" w:eastAsia="en-GB"/>
        </w:rPr>
        <w:t xml:space="preserve"> </w:t>
      </w:r>
      <w:r w:rsidRPr="00AD51FB">
        <w:rPr>
          <w:color w:val="000000"/>
          <w:lang w:val="en-US" w:eastAsia="en-GB"/>
        </w:rPr>
        <w:t xml:space="preserve">for purposes of routine monitoring of compliance with this Act by a medical scheme or </w:t>
      </w:r>
      <w:r w:rsidRPr="00AD51FB">
        <w:rPr>
          <w:i/>
          <w:iCs/>
          <w:color w:val="000000"/>
          <w:lang w:val="en-US" w:eastAsia="en-GB"/>
        </w:rPr>
        <w:t>any other person</w:t>
      </w:r>
      <w:r w:rsidR="00630425" w:rsidRPr="00AD51FB">
        <w:rPr>
          <w:color w:val="000000"/>
          <w:lang w:val="en-US" w:eastAsia="en-GB"/>
        </w:rPr>
        <w:t>.’</w:t>
      </w:r>
      <w:r w:rsidRPr="00AD51FB">
        <w:rPr>
          <w:color w:val="000000"/>
          <w:lang w:val="en-US" w:eastAsia="en-GB"/>
        </w:rPr>
        <w:t xml:space="preserve"> </w:t>
      </w:r>
      <w:r w:rsidR="00CD5BF1" w:rsidRPr="00AD51FB">
        <w:rPr>
          <w:color w:val="000000"/>
          <w:lang w:val="en-US" w:eastAsia="en-GB"/>
        </w:rPr>
        <w:t>(Emphasis</w:t>
      </w:r>
      <w:r w:rsidRPr="00AD51FB">
        <w:rPr>
          <w:color w:val="000000"/>
          <w:lang w:val="en-US" w:eastAsia="en-GB"/>
        </w:rPr>
        <w:t xml:space="preserve"> added</w:t>
      </w:r>
      <w:r w:rsidR="00630425" w:rsidRPr="00AD51FB">
        <w:rPr>
          <w:color w:val="000000"/>
          <w:lang w:val="en-US" w:eastAsia="en-GB"/>
        </w:rPr>
        <w:t>.</w:t>
      </w:r>
      <w:r w:rsidR="00CD5BF1" w:rsidRPr="00AD51FB">
        <w:rPr>
          <w:color w:val="000000"/>
          <w:lang w:val="en-US" w:eastAsia="en-GB"/>
        </w:rPr>
        <w:t>)</w:t>
      </w:r>
    </w:p>
    <w:p w14:paraId="3EF91054" w14:textId="77777777" w:rsidR="00735719" w:rsidRPr="00AD51FB" w:rsidRDefault="00735719" w:rsidP="00B87B2C">
      <w:pPr>
        <w:pStyle w:val="ListParagraph"/>
        <w:spacing w:line="360" w:lineRule="auto"/>
        <w:ind w:left="0"/>
        <w:jc w:val="both"/>
        <w:rPr>
          <w:color w:val="000000"/>
          <w:lang w:val="en-US" w:eastAsia="en-GB"/>
        </w:rPr>
      </w:pPr>
    </w:p>
    <w:p w14:paraId="079DCE14" w14:textId="45172029" w:rsidR="00154482" w:rsidRPr="00CF10AD" w:rsidRDefault="00CF10AD" w:rsidP="00CF10AD">
      <w:pPr>
        <w:tabs>
          <w:tab w:val="left" w:pos="0"/>
        </w:tabs>
        <w:spacing w:line="360" w:lineRule="auto"/>
        <w:jc w:val="both"/>
        <w:rPr>
          <w:sz w:val="28"/>
          <w:szCs w:val="28"/>
        </w:rPr>
      </w:pPr>
      <w:r w:rsidRPr="00AD51FB">
        <w:rPr>
          <w:sz w:val="28"/>
          <w:szCs w:val="28"/>
        </w:rPr>
        <w:t>[9]</w:t>
      </w:r>
      <w:r w:rsidRPr="00AD51FB">
        <w:rPr>
          <w:sz w:val="28"/>
          <w:szCs w:val="28"/>
        </w:rPr>
        <w:tab/>
      </w:r>
      <w:r w:rsidR="00990F68" w:rsidRPr="00CF10AD">
        <w:rPr>
          <w:sz w:val="28"/>
          <w:szCs w:val="28"/>
        </w:rPr>
        <w:t>Related to the</w:t>
      </w:r>
      <w:r w:rsidR="00C57F3E" w:rsidRPr="00CF10AD">
        <w:rPr>
          <w:sz w:val="28"/>
          <w:szCs w:val="28"/>
        </w:rPr>
        <w:t xml:space="preserve"> powers </w:t>
      </w:r>
      <w:r w:rsidR="00990F68" w:rsidRPr="00CF10AD">
        <w:rPr>
          <w:sz w:val="28"/>
          <w:szCs w:val="28"/>
        </w:rPr>
        <w:t xml:space="preserve">referred to above, </w:t>
      </w:r>
      <w:r w:rsidR="00C57F3E" w:rsidRPr="00CF10AD">
        <w:rPr>
          <w:sz w:val="28"/>
          <w:szCs w:val="28"/>
        </w:rPr>
        <w:t>are those contained in s</w:t>
      </w:r>
      <w:r w:rsidR="00764633" w:rsidRPr="00CF10AD">
        <w:rPr>
          <w:sz w:val="28"/>
          <w:szCs w:val="28"/>
        </w:rPr>
        <w:t>s</w:t>
      </w:r>
      <w:r w:rsidR="00C57F3E" w:rsidRPr="00CF10AD">
        <w:rPr>
          <w:sz w:val="28"/>
          <w:szCs w:val="28"/>
        </w:rPr>
        <w:t xml:space="preserve"> 129(2) and (3), 134, </w:t>
      </w:r>
      <w:r w:rsidR="00154482" w:rsidRPr="00CF10AD">
        <w:rPr>
          <w:sz w:val="28"/>
          <w:szCs w:val="28"/>
        </w:rPr>
        <w:t>135</w:t>
      </w:r>
      <w:r w:rsidR="00D14B8D" w:rsidRPr="00CF10AD">
        <w:rPr>
          <w:sz w:val="28"/>
          <w:szCs w:val="28"/>
        </w:rPr>
        <w:t>, 136</w:t>
      </w:r>
      <w:r w:rsidR="00154482" w:rsidRPr="00CF10AD">
        <w:rPr>
          <w:sz w:val="28"/>
          <w:szCs w:val="28"/>
        </w:rPr>
        <w:t xml:space="preserve"> and 137 of the FSR Act</w:t>
      </w:r>
      <w:r w:rsidR="00ED60AD" w:rsidRPr="00CF10AD">
        <w:rPr>
          <w:sz w:val="28"/>
          <w:szCs w:val="28"/>
        </w:rPr>
        <w:t>, which respectively provide as follows:</w:t>
      </w:r>
      <w:r w:rsidR="00154482" w:rsidRPr="00CF10AD">
        <w:rPr>
          <w:sz w:val="28"/>
          <w:szCs w:val="28"/>
        </w:rPr>
        <w:t xml:space="preserve"> </w:t>
      </w:r>
    </w:p>
    <w:p w14:paraId="43CB80F2" w14:textId="564A011E" w:rsidR="00000F07" w:rsidRPr="00AD51FB" w:rsidRDefault="00000F07" w:rsidP="00B87B2C">
      <w:pPr>
        <w:pStyle w:val="ListParagraph"/>
        <w:spacing w:line="360" w:lineRule="auto"/>
        <w:ind w:left="0"/>
        <w:jc w:val="both"/>
      </w:pPr>
      <w:r w:rsidRPr="00AD51FB">
        <w:t>‘129.   Application and interpretation of Chapter. –</w:t>
      </w:r>
    </w:p>
    <w:p w14:paraId="46170DEC" w14:textId="3DDBBE39" w:rsidR="00000F07" w:rsidRPr="00AD51FB" w:rsidRDefault="00000F07" w:rsidP="00B87B2C">
      <w:pPr>
        <w:pStyle w:val="ListParagraph"/>
        <w:spacing w:line="360" w:lineRule="auto"/>
        <w:ind w:left="0"/>
        <w:jc w:val="both"/>
      </w:pPr>
      <w:r w:rsidRPr="00AD51FB">
        <w:t xml:space="preserve">. . . </w:t>
      </w:r>
    </w:p>
    <w:p w14:paraId="4BF77722" w14:textId="7411C618" w:rsidR="00154482" w:rsidRPr="00AD51FB" w:rsidRDefault="00154482" w:rsidP="00B87B2C">
      <w:pPr>
        <w:pStyle w:val="ListParagraph"/>
        <w:spacing w:line="360" w:lineRule="auto"/>
        <w:ind w:left="0"/>
        <w:jc w:val="both"/>
      </w:pPr>
      <w:r w:rsidRPr="00AD51FB">
        <w:t>(2)</w:t>
      </w:r>
      <w:r w:rsidR="00000F07" w:rsidRPr="00AD51FB">
        <w:t xml:space="preserve"> </w:t>
      </w:r>
      <w:r w:rsidRPr="00AD51FB">
        <w:t xml:space="preserve">The Council for Medical Schemes may exercise powers in terms of this Chapter in respect of powers and functions set out in the Medical Schemes Act, and powers and functions granted to it in this Act. </w:t>
      </w:r>
    </w:p>
    <w:p w14:paraId="26B790D5" w14:textId="62D872D2" w:rsidR="00000F07" w:rsidRPr="00AD51FB" w:rsidRDefault="00D17786" w:rsidP="00B87B2C">
      <w:pPr>
        <w:pStyle w:val="ListParagraph"/>
        <w:spacing w:line="360" w:lineRule="auto"/>
        <w:ind w:left="0"/>
        <w:jc w:val="both"/>
      </w:pPr>
      <w:r w:rsidRPr="00AD51FB">
        <w:t>(3) In relation to the exercise of the powers in terms of this Chapter by the Council for Medical Schemes in respect of a medical scheme, a reference in this Chapter to</w:t>
      </w:r>
      <w:r w:rsidR="00000F07" w:rsidRPr="00AD51FB">
        <w:t xml:space="preserve"> – </w:t>
      </w:r>
      <w:r w:rsidRPr="00AD51FB">
        <w:t xml:space="preserve"> </w:t>
      </w:r>
    </w:p>
    <w:p w14:paraId="42E7FF37" w14:textId="05CD0EA5" w:rsidR="004E1BE2" w:rsidRPr="00AD51FB" w:rsidRDefault="00D17786" w:rsidP="00B87B2C">
      <w:pPr>
        <w:pStyle w:val="ListParagraph"/>
        <w:spacing w:line="360" w:lineRule="auto"/>
        <w:ind w:left="0"/>
        <w:jc w:val="both"/>
      </w:pPr>
      <w:r w:rsidRPr="00AD51FB">
        <w:rPr>
          <w:i/>
        </w:rPr>
        <w:t>(a)</w:t>
      </w:r>
      <w:r w:rsidRPr="00AD51FB">
        <w:t xml:space="preserve"> a financial sector regulator or the responsible authority must be read as including a reference to the Council for Medical Schemes; </w:t>
      </w:r>
    </w:p>
    <w:p w14:paraId="0AD14994" w14:textId="77777777" w:rsidR="004E1BE2" w:rsidRPr="00AD51FB" w:rsidRDefault="00D17786" w:rsidP="00B87B2C">
      <w:pPr>
        <w:pStyle w:val="ListParagraph"/>
        <w:spacing w:line="360" w:lineRule="auto"/>
        <w:ind w:left="0"/>
        <w:jc w:val="both"/>
      </w:pPr>
      <w:r w:rsidRPr="00AD51FB">
        <w:rPr>
          <w:i/>
        </w:rPr>
        <w:t>(b)</w:t>
      </w:r>
      <w:r w:rsidRPr="00AD51FB">
        <w:t xml:space="preserve"> the head of a financial sector regulator must be read as including a reference to the Registrar of Medical Schemes appointed in terms of section 18 of the Medical Schemes Act; </w:t>
      </w:r>
    </w:p>
    <w:p w14:paraId="770A050E" w14:textId="77777777" w:rsidR="004E1BE2" w:rsidRPr="00AD51FB" w:rsidRDefault="00D17786" w:rsidP="00B87B2C">
      <w:pPr>
        <w:pStyle w:val="ListParagraph"/>
        <w:spacing w:line="360" w:lineRule="auto"/>
        <w:ind w:left="0"/>
        <w:jc w:val="both"/>
      </w:pPr>
      <w:r w:rsidRPr="00AD51FB">
        <w:rPr>
          <w:i/>
        </w:rPr>
        <w:t>(c)</w:t>
      </w:r>
      <w:r w:rsidRPr="00AD51FB">
        <w:t xml:space="preserve"> a financial sector law must be read as including a reference to regulatory instruments and to the Medical Schemes Act; and </w:t>
      </w:r>
    </w:p>
    <w:p w14:paraId="6FA23116" w14:textId="7B1C99DB" w:rsidR="00154482" w:rsidRPr="00AD51FB" w:rsidRDefault="00D17786" w:rsidP="00B87B2C">
      <w:pPr>
        <w:pStyle w:val="ListParagraph"/>
        <w:spacing w:line="360" w:lineRule="auto"/>
        <w:ind w:left="0"/>
        <w:jc w:val="both"/>
      </w:pPr>
      <w:r w:rsidRPr="00AD51FB">
        <w:rPr>
          <w:i/>
        </w:rPr>
        <w:t>(d)</w:t>
      </w:r>
      <w:r w:rsidRPr="00AD51FB">
        <w:t xml:space="preserve"> a licensed financial institution must be read as including a reference to a medical scheme registered in terms of the Medical Schemes Act or an administrator of a medical scheme approved in terms of the Medical Schemes Act.</w:t>
      </w:r>
    </w:p>
    <w:p w14:paraId="6E8A79A4" w14:textId="23962DEA" w:rsidR="00000F07" w:rsidRPr="00AD51FB" w:rsidRDefault="00000F07" w:rsidP="00B87B2C">
      <w:pPr>
        <w:pStyle w:val="ListParagraph"/>
        <w:spacing w:line="360" w:lineRule="auto"/>
        <w:ind w:left="0"/>
        <w:jc w:val="both"/>
      </w:pPr>
      <w:r w:rsidRPr="00AD51FB">
        <w:t xml:space="preserve">. . . </w:t>
      </w:r>
    </w:p>
    <w:p w14:paraId="692F786B" w14:textId="30081F45" w:rsidR="00000F07" w:rsidRPr="00AD51FB" w:rsidRDefault="00000F07" w:rsidP="00B87B2C">
      <w:pPr>
        <w:pStyle w:val="ListParagraph"/>
        <w:spacing w:line="360" w:lineRule="auto"/>
        <w:ind w:left="0"/>
        <w:jc w:val="both"/>
      </w:pPr>
      <w:r w:rsidRPr="00AD51FB">
        <w:t xml:space="preserve">134.   Investigators. – </w:t>
      </w:r>
    </w:p>
    <w:p w14:paraId="0FC27DAD" w14:textId="24EA4E58" w:rsidR="00154482" w:rsidRPr="00AD51FB" w:rsidRDefault="00154482" w:rsidP="00B87B2C">
      <w:pPr>
        <w:pStyle w:val="ListParagraph"/>
        <w:spacing w:line="360" w:lineRule="auto"/>
        <w:ind w:left="0"/>
        <w:jc w:val="both"/>
      </w:pPr>
      <w:r w:rsidRPr="00AD51FB">
        <w:t>(1) A financial sector regulator may, in writing, appoint a person as an investigator and may appoint any person to assist the investigator in carrying out an investigation.</w:t>
      </w:r>
    </w:p>
    <w:p w14:paraId="746D8690" w14:textId="2C7F9807" w:rsidR="00000F07" w:rsidRPr="00AD51FB" w:rsidRDefault="00000F07" w:rsidP="00B87B2C">
      <w:pPr>
        <w:pStyle w:val="ListParagraph"/>
        <w:spacing w:line="360" w:lineRule="auto"/>
        <w:ind w:left="0"/>
        <w:jc w:val="both"/>
      </w:pPr>
      <w:r w:rsidRPr="00AD51FB">
        <w:t xml:space="preserve">. . . </w:t>
      </w:r>
    </w:p>
    <w:p w14:paraId="335BFEFC" w14:textId="06F412D3" w:rsidR="00154482" w:rsidRPr="00AD51FB" w:rsidRDefault="00000F07" w:rsidP="00B87B2C">
      <w:pPr>
        <w:pStyle w:val="ListParagraph"/>
        <w:spacing w:line="360" w:lineRule="auto"/>
        <w:ind w:left="0"/>
        <w:jc w:val="both"/>
      </w:pPr>
      <w:r w:rsidRPr="00AD51FB">
        <w:t xml:space="preserve">135. </w:t>
      </w:r>
      <w:r w:rsidR="00154482" w:rsidRPr="00AD51FB">
        <w:t>Powers to conduct investigations</w:t>
      </w:r>
      <w:r w:rsidRPr="00AD51FB">
        <w:t xml:space="preserve">. – </w:t>
      </w:r>
    </w:p>
    <w:p w14:paraId="6B51D8AB" w14:textId="5C82DD67" w:rsidR="00154482" w:rsidRPr="00AD51FB" w:rsidRDefault="00154482" w:rsidP="00B87B2C">
      <w:pPr>
        <w:pStyle w:val="ListParagraph"/>
        <w:spacing w:line="360" w:lineRule="auto"/>
        <w:ind w:left="0"/>
        <w:jc w:val="both"/>
      </w:pPr>
      <w:r w:rsidRPr="00AD51FB">
        <w:t>(1) A financial sector regulator may instruct an investigator appointed by it to conduct an investigation in terms of this Part in respect of any person, if the financial sector regulator—</w:t>
      </w:r>
    </w:p>
    <w:p w14:paraId="3DF21121" w14:textId="23748D77" w:rsidR="00154482" w:rsidRPr="00AD51FB" w:rsidRDefault="00154482" w:rsidP="00B87B2C">
      <w:pPr>
        <w:pStyle w:val="ListParagraph"/>
        <w:spacing w:line="360" w:lineRule="auto"/>
        <w:ind w:left="0"/>
        <w:jc w:val="both"/>
      </w:pPr>
      <w:r w:rsidRPr="00AD51FB">
        <w:rPr>
          <w:i/>
        </w:rPr>
        <w:t>(a)</w:t>
      </w:r>
      <w:r w:rsidRPr="00AD51FB">
        <w:t xml:space="preserve"> reasonably suspects that a person may have contravened, may be contravening or may be about to contravene, a financial sector law for which the financial sector regulator is the responsible authority; or</w:t>
      </w:r>
    </w:p>
    <w:p w14:paraId="1F671769" w14:textId="0F94B9C5" w:rsidR="00154482" w:rsidRDefault="00154482" w:rsidP="00B87B2C">
      <w:pPr>
        <w:pStyle w:val="ListParagraph"/>
        <w:spacing w:line="360" w:lineRule="auto"/>
        <w:ind w:left="0"/>
        <w:jc w:val="both"/>
      </w:pPr>
      <w:r w:rsidRPr="00AD51FB">
        <w:rPr>
          <w:i/>
        </w:rPr>
        <w:lastRenderedPageBreak/>
        <w:t>(b)</w:t>
      </w:r>
      <w:r w:rsidRPr="00AD51FB">
        <w:t xml:space="preserve"> reasonably believes that an investigation is necessary to achieve the objects referred to in section 251(3)(e) pursuant to a request by a designated authority in terms of a bilateral or multilateral agreement or memorandum of understanding contemplated in that section.</w:t>
      </w:r>
      <w:r w:rsidR="00CE2E29" w:rsidRPr="00AD51FB">
        <w:t>’</w:t>
      </w:r>
    </w:p>
    <w:p w14:paraId="12089442" w14:textId="67863B27" w:rsidR="00E6610C" w:rsidRDefault="00AD51FB" w:rsidP="00466949">
      <w:pPr>
        <w:pStyle w:val="ListParagraph"/>
        <w:spacing w:line="360" w:lineRule="auto"/>
        <w:ind w:left="0" w:right="-25"/>
        <w:jc w:val="both"/>
        <w:rPr>
          <w:sz w:val="28"/>
          <w:szCs w:val="28"/>
        </w:rPr>
      </w:pPr>
      <w:r w:rsidRPr="0092630F">
        <w:rPr>
          <w:sz w:val="28"/>
          <w:szCs w:val="28"/>
        </w:rPr>
        <w:t xml:space="preserve">Section </w:t>
      </w:r>
      <w:r w:rsidR="00635918" w:rsidRPr="0092630F">
        <w:rPr>
          <w:sz w:val="28"/>
          <w:szCs w:val="28"/>
        </w:rPr>
        <w:t>1</w:t>
      </w:r>
      <w:r w:rsidRPr="0092630F">
        <w:rPr>
          <w:sz w:val="28"/>
          <w:szCs w:val="28"/>
        </w:rPr>
        <w:t>36 deals with the powers of investigators to question and require</w:t>
      </w:r>
      <w:r w:rsidR="00E6610C" w:rsidRPr="0092630F">
        <w:rPr>
          <w:sz w:val="28"/>
          <w:szCs w:val="28"/>
        </w:rPr>
        <w:t xml:space="preserve"> production </w:t>
      </w:r>
      <w:r w:rsidR="0014216B" w:rsidRPr="0092630F">
        <w:rPr>
          <w:sz w:val="28"/>
          <w:szCs w:val="28"/>
        </w:rPr>
        <w:t>of documents or other items</w:t>
      </w:r>
      <w:r w:rsidR="00EE5B32" w:rsidRPr="0092630F">
        <w:rPr>
          <w:sz w:val="28"/>
          <w:szCs w:val="28"/>
        </w:rPr>
        <w:t>.</w:t>
      </w:r>
      <w:r w:rsidR="0014216B" w:rsidRPr="0092630F">
        <w:rPr>
          <w:rStyle w:val="FootnoteReference"/>
          <w:sz w:val="28"/>
          <w:szCs w:val="28"/>
        </w:rPr>
        <w:footnoteReference w:id="4"/>
      </w:r>
      <w:r w:rsidR="00EE5B32" w:rsidRPr="0092630F">
        <w:rPr>
          <w:sz w:val="28"/>
          <w:szCs w:val="28"/>
        </w:rPr>
        <w:t xml:space="preserve"> T</w:t>
      </w:r>
      <w:r w:rsidR="0014216B" w:rsidRPr="0092630F">
        <w:rPr>
          <w:sz w:val="28"/>
          <w:szCs w:val="28"/>
        </w:rPr>
        <w:t>he powers of the inve</w:t>
      </w:r>
      <w:r w:rsidRPr="0092630F">
        <w:rPr>
          <w:sz w:val="28"/>
          <w:szCs w:val="28"/>
        </w:rPr>
        <w:t xml:space="preserve">stigator </w:t>
      </w:r>
      <w:r w:rsidR="00EE5B32" w:rsidRPr="0092630F">
        <w:rPr>
          <w:sz w:val="28"/>
          <w:szCs w:val="28"/>
        </w:rPr>
        <w:t>are set out in s 137</w:t>
      </w:r>
      <w:r w:rsidR="0014216B" w:rsidRPr="0092630F">
        <w:rPr>
          <w:sz w:val="28"/>
          <w:szCs w:val="28"/>
        </w:rPr>
        <w:t xml:space="preserve"> of the FSR Act.</w:t>
      </w:r>
      <w:r w:rsidR="00EE5B32" w:rsidRPr="0092630F">
        <w:rPr>
          <w:rStyle w:val="FootnoteReference"/>
          <w:sz w:val="28"/>
          <w:szCs w:val="28"/>
        </w:rPr>
        <w:footnoteReference w:id="5"/>
      </w:r>
      <w:r w:rsidR="00CE2E29" w:rsidRPr="00E6610C">
        <w:rPr>
          <w:sz w:val="28"/>
          <w:szCs w:val="28"/>
        </w:rPr>
        <w:t xml:space="preserve"> </w:t>
      </w:r>
    </w:p>
    <w:p w14:paraId="5C55A958" w14:textId="62D2CBCE" w:rsidR="00990F68" w:rsidRPr="00CF10AD" w:rsidRDefault="00CF10AD" w:rsidP="00CF10AD">
      <w:pPr>
        <w:spacing w:line="360" w:lineRule="auto"/>
        <w:ind w:right="-25"/>
        <w:jc w:val="both"/>
        <w:rPr>
          <w:sz w:val="28"/>
          <w:szCs w:val="28"/>
        </w:rPr>
      </w:pPr>
      <w:r w:rsidRPr="0092630F">
        <w:rPr>
          <w:sz w:val="28"/>
          <w:szCs w:val="28"/>
        </w:rPr>
        <w:lastRenderedPageBreak/>
        <w:t>[10]</w:t>
      </w:r>
      <w:r w:rsidRPr="0092630F">
        <w:rPr>
          <w:sz w:val="28"/>
          <w:szCs w:val="28"/>
        </w:rPr>
        <w:tab/>
      </w:r>
      <w:r w:rsidR="00990F68" w:rsidRPr="00CF10AD">
        <w:rPr>
          <w:sz w:val="28"/>
          <w:szCs w:val="28"/>
        </w:rPr>
        <w:t>Insofar as the FS</w:t>
      </w:r>
      <w:r w:rsidR="00D14B8D" w:rsidRPr="00CF10AD">
        <w:rPr>
          <w:sz w:val="28"/>
          <w:szCs w:val="28"/>
        </w:rPr>
        <w:t>R Act refers to the Council as ‘a financial sector regulator’</w:t>
      </w:r>
      <w:r w:rsidR="00990F68" w:rsidRPr="00CF10AD">
        <w:rPr>
          <w:sz w:val="28"/>
          <w:szCs w:val="28"/>
        </w:rPr>
        <w:t xml:space="preserve">, as stated above, this </w:t>
      </w:r>
      <w:r w:rsidR="00D14B8D" w:rsidRPr="00CF10AD">
        <w:rPr>
          <w:sz w:val="28"/>
          <w:szCs w:val="28"/>
        </w:rPr>
        <w:t xml:space="preserve">must </w:t>
      </w:r>
      <w:r w:rsidR="00990F68" w:rsidRPr="00CF10AD">
        <w:rPr>
          <w:sz w:val="28"/>
          <w:szCs w:val="28"/>
        </w:rPr>
        <w:t>be understood as referring to the Counc</w:t>
      </w:r>
      <w:r w:rsidR="003B6C67" w:rsidRPr="00CF10AD">
        <w:rPr>
          <w:sz w:val="28"/>
          <w:szCs w:val="28"/>
        </w:rPr>
        <w:t>il acting through the Registrar. That is so because</w:t>
      </w:r>
      <w:r w:rsidR="00990F68" w:rsidRPr="00CF10AD">
        <w:rPr>
          <w:sz w:val="28"/>
          <w:szCs w:val="28"/>
        </w:rPr>
        <w:t xml:space="preserve"> the Registrar is its executive officer and has the responsibility</w:t>
      </w:r>
      <w:r w:rsidR="00D14B8D" w:rsidRPr="00CF10AD">
        <w:rPr>
          <w:sz w:val="28"/>
          <w:szCs w:val="28"/>
        </w:rPr>
        <w:t>,</w:t>
      </w:r>
      <w:r w:rsidR="00990F68" w:rsidRPr="00CF10AD">
        <w:rPr>
          <w:sz w:val="28"/>
          <w:szCs w:val="28"/>
        </w:rPr>
        <w:t xml:space="preserve"> in terms of the Act</w:t>
      </w:r>
      <w:r w:rsidR="00D14B8D" w:rsidRPr="00CF10AD">
        <w:rPr>
          <w:sz w:val="28"/>
          <w:szCs w:val="28"/>
        </w:rPr>
        <w:t>,</w:t>
      </w:r>
      <w:r w:rsidR="00990F68" w:rsidRPr="00CF10AD">
        <w:rPr>
          <w:sz w:val="28"/>
          <w:szCs w:val="28"/>
        </w:rPr>
        <w:t xml:space="preserve"> </w:t>
      </w:r>
      <w:r w:rsidR="00D14B8D" w:rsidRPr="00CF10AD">
        <w:rPr>
          <w:sz w:val="28"/>
          <w:szCs w:val="28"/>
        </w:rPr>
        <w:t>to manage</w:t>
      </w:r>
      <w:r w:rsidR="00990F68" w:rsidRPr="00CF10AD">
        <w:rPr>
          <w:sz w:val="28"/>
          <w:szCs w:val="28"/>
        </w:rPr>
        <w:t xml:space="preserve"> the Council’s affairs, and </w:t>
      </w:r>
      <w:r w:rsidR="00D14B8D" w:rsidRPr="00CF10AD">
        <w:rPr>
          <w:sz w:val="28"/>
          <w:szCs w:val="28"/>
        </w:rPr>
        <w:t>to initiate</w:t>
      </w:r>
      <w:r w:rsidR="00990F68" w:rsidRPr="00CF10AD">
        <w:rPr>
          <w:sz w:val="28"/>
          <w:szCs w:val="28"/>
        </w:rPr>
        <w:t xml:space="preserve"> investigations or inspections as envisaged in the Act.</w:t>
      </w:r>
    </w:p>
    <w:p w14:paraId="5D4E7759" w14:textId="77777777" w:rsidR="00990F68" w:rsidRPr="00AD51FB" w:rsidRDefault="00990F68" w:rsidP="00990F68">
      <w:pPr>
        <w:pStyle w:val="ListParagraph"/>
        <w:spacing w:line="360" w:lineRule="auto"/>
        <w:ind w:left="0" w:right="515"/>
        <w:jc w:val="both"/>
        <w:rPr>
          <w:sz w:val="28"/>
          <w:szCs w:val="28"/>
        </w:rPr>
      </w:pPr>
    </w:p>
    <w:p w14:paraId="23E68D44" w14:textId="5964C363" w:rsidR="00154482" w:rsidRPr="00CF10AD" w:rsidRDefault="00CF10AD" w:rsidP="00CF10AD">
      <w:pPr>
        <w:spacing w:line="360" w:lineRule="auto"/>
        <w:ind w:left="360" w:hanging="360"/>
        <w:jc w:val="both"/>
        <w:rPr>
          <w:sz w:val="28"/>
          <w:szCs w:val="28"/>
        </w:rPr>
      </w:pPr>
      <w:r w:rsidRPr="00AD51FB">
        <w:rPr>
          <w:sz w:val="28"/>
          <w:szCs w:val="28"/>
        </w:rPr>
        <w:t>[11]</w:t>
      </w:r>
      <w:r w:rsidRPr="00AD51FB">
        <w:rPr>
          <w:sz w:val="28"/>
          <w:szCs w:val="28"/>
        </w:rPr>
        <w:tab/>
      </w:r>
      <w:r w:rsidR="00154482" w:rsidRPr="00CF10AD">
        <w:rPr>
          <w:sz w:val="28"/>
          <w:szCs w:val="28"/>
        </w:rPr>
        <w:t xml:space="preserve">Section 47 </w:t>
      </w:r>
      <w:r w:rsidR="00AC0EFF" w:rsidRPr="00CF10AD">
        <w:rPr>
          <w:sz w:val="28"/>
          <w:szCs w:val="28"/>
        </w:rPr>
        <w:t xml:space="preserve">of the Act </w:t>
      </w:r>
      <w:r w:rsidR="00154482" w:rsidRPr="00CF10AD">
        <w:rPr>
          <w:sz w:val="28"/>
          <w:szCs w:val="28"/>
        </w:rPr>
        <w:t>provides:</w:t>
      </w:r>
    </w:p>
    <w:p w14:paraId="5EC64171" w14:textId="76BF0B68" w:rsidR="00154482" w:rsidRPr="00AD51FB" w:rsidRDefault="00CD5BF1" w:rsidP="00B87B2C">
      <w:pPr>
        <w:pStyle w:val="ListParagraph"/>
        <w:spacing w:line="360" w:lineRule="auto"/>
        <w:ind w:left="0"/>
        <w:jc w:val="both"/>
      </w:pPr>
      <w:r w:rsidRPr="00AD51FB">
        <w:t>‘</w:t>
      </w:r>
      <w:r w:rsidR="00154482" w:rsidRPr="00AD51FB">
        <w:t>(1)</w:t>
      </w:r>
      <w:r w:rsidR="000C26E9" w:rsidRPr="00AD51FB">
        <w:t xml:space="preserve"> </w:t>
      </w:r>
      <w:r w:rsidR="00154482" w:rsidRPr="00AD51FB">
        <w:t>The Registrar shall, where a written complaint in relation to any matter provided for in this Act has been lodged with the Council, furnish the party complained against with full particulars of the complaint and request such party to furnish the Registrar with his or her written comments thereon within 30 days or such further period as the Registrar may allow.</w:t>
      </w:r>
    </w:p>
    <w:p w14:paraId="07383DDD" w14:textId="6B912F4C" w:rsidR="00154482" w:rsidRPr="00AD51FB" w:rsidRDefault="00154482" w:rsidP="00B87B2C">
      <w:pPr>
        <w:pStyle w:val="ListParagraph"/>
        <w:spacing w:line="360" w:lineRule="auto"/>
        <w:ind w:left="0"/>
        <w:jc w:val="both"/>
      </w:pPr>
      <w:r w:rsidRPr="00AD51FB">
        <w:t>(2)</w:t>
      </w:r>
      <w:r w:rsidR="000C26E9" w:rsidRPr="00AD51FB">
        <w:t xml:space="preserve"> </w:t>
      </w:r>
      <w:r w:rsidRPr="00AD51FB">
        <w:t>The Registrar shall, as soon as possible after receipt of any comments furnished to him or her as contemplated in subsection (1), either resolve the matter or submit the complaint together with such comments, if any, to the Council, and the Council shall thereupon take all such steps as it may deem necessary to resolve the complaint.</w:t>
      </w:r>
      <w:r w:rsidR="00CD5BF1" w:rsidRPr="00AD51FB">
        <w:t>’</w:t>
      </w:r>
    </w:p>
    <w:p w14:paraId="3BD06222" w14:textId="77777777" w:rsidR="0014216B" w:rsidRPr="00AD51FB" w:rsidRDefault="0014216B" w:rsidP="00B87B2C">
      <w:pPr>
        <w:pStyle w:val="ListParagraph"/>
        <w:spacing w:line="360" w:lineRule="auto"/>
        <w:ind w:left="0"/>
        <w:jc w:val="both"/>
      </w:pPr>
    </w:p>
    <w:p w14:paraId="0338C2C6" w14:textId="010BBD21" w:rsidR="00553D23" w:rsidRPr="00CF10AD" w:rsidRDefault="00CF10AD" w:rsidP="00CF10AD">
      <w:pPr>
        <w:spacing w:line="360" w:lineRule="auto"/>
        <w:jc w:val="both"/>
        <w:rPr>
          <w:color w:val="000000"/>
          <w:sz w:val="28"/>
          <w:szCs w:val="28"/>
          <w:lang w:val="en-US" w:eastAsia="en-GB"/>
        </w:rPr>
      </w:pPr>
      <w:r w:rsidRPr="00AD51FB">
        <w:rPr>
          <w:sz w:val="28"/>
          <w:szCs w:val="28"/>
          <w:lang w:val="en-US" w:eastAsia="en-GB"/>
        </w:rPr>
        <w:t>[12]</w:t>
      </w:r>
      <w:r w:rsidRPr="00AD51FB">
        <w:rPr>
          <w:sz w:val="28"/>
          <w:szCs w:val="28"/>
          <w:lang w:val="en-US" w:eastAsia="en-GB"/>
        </w:rPr>
        <w:tab/>
      </w:r>
      <w:r w:rsidR="00553D23" w:rsidRPr="00CF10AD">
        <w:rPr>
          <w:sz w:val="28"/>
          <w:szCs w:val="28"/>
          <w:lang w:val="en-ZA" w:eastAsia="en-ZA"/>
        </w:rPr>
        <w:t xml:space="preserve">Section 65(1) of the Act </w:t>
      </w:r>
      <w:r w:rsidR="00381750" w:rsidRPr="00CF10AD">
        <w:rPr>
          <w:sz w:val="28"/>
          <w:szCs w:val="28"/>
          <w:lang w:val="en-ZA" w:eastAsia="en-ZA"/>
        </w:rPr>
        <w:t xml:space="preserve">deals with accreditation of brokers. It </w:t>
      </w:r>
      <w:r w:rsidR="00553D23" w:rsidRPr="00CF10AD">
        <w:rPr>
          <w:sz w:val="28"/>
          <w:szCs w:val="28"/>
          <w:lang w:val="en-ZA" w:eastAsia="en-ZA"/>
        </w:rPr>
        <w:t>prohibits parties fro</w:t>
      </w:r>
      <w:r w:rsidR="003B6C67" w:rsidRPr="00CF10AD">
        <w:rPr>
          <w:sz w:val="28"/>
          <w:szCs w:val="28"/>
          <w:lang w:val="en-ZA" w:eastAsia="en-ZA"/>
        </w:rPr>
        <w:t>m acting or offering to act as</w:t>
      </w:r>
      <w:r w:rsidR="00553D23" w:rsidRPr="00CF10AD">
        <w:rPr>
          <w:sz w:val="28"/>
          <w:szCs w:val="28"/>
          <w:lang w:val="en-ZA" w:eastAsia="en-ZA"/>
        </w:rPr>
        <w:t xml:space="preserve"> broker</w:t>
      </w:r>
      <w:r w:rsidR="003B6C67" w:rsidRPr="00CF10AD">
        <w:rPr>
          <w:sz w:val="28"/>
          <w:szCs w:val="28"/>
          <w:lang w:val="en-ZA" w:eastAsia="en-ZA"/>
        </w:rPr>
        <w:t>s</w:t>
      </w:r>
      <w:r w:rsidR="00553D23" w:rsidRPr="00CF10AD">
        <w:rPr>
          <w:sz w:val="28"/>
          <w:szCs w:val="28"/>
          <w:lang w:val="en-ZA" w:eastAsia="en-ZA"/>
        </w:rPr>
        <w:t xml:space="preserve"> unless the Council has</w:t>
      </w:r>
      <w:r w:rsidR="003B6C67" w:rsidRPr="00CF10AD">
        <w:rPr>
          <w:sz w:val="28"/>
          <w:szCs w:val="28"/>
          <w:lang w:val="en-ZA" w:eastAsia="en-ZA"/>
        </w:rPr>
        <w:t xml:space="preserve"> granted accreditation to such</w:t>
      </w:r>
      <w:r w:rsidR="00553D23" w:rsidRPr="00CF10AD">
        <w:rPr>
          <w:sz w:val="28"/>
          <w:szCs w:val="28"/>
          <w:lang w:val="en-ZA" w:eastAsia="en-ZA"/>
        </w:rPr>
        <w:t xml:space="preserve"> person</w:t>
      </w:r>
      <w:r w:rsidR="003B6C67" w:rsidRPr="00CF10AD">
        <w:rPr>
          <w:sz w:val="28"/>
          <w:szCs w:val="28"/>
          <w:lang w:val="en-ZA" w:eastAsia="en-ZA"/>
        </w:rPr>
        <w:t>s</w:t>
      </w:r>
      <w:r w:rsidR="00553D23" w:rsidRPr="00CF10AD">
        <w:rPr>
          <w:sz w:val="28"/>
          <w:szCs w:val="28"/>
          <w:lang w:val="en-ZA" w:eastAsia="en-ZA"/>
        </w:rPr>
        <w:t xml:space="preserve"> on payment of such fees as may be prescribed. </w:t>
      </w:r>
    </w:p>
    <w:p w14:paraId="64300927" w14:textId="77777777" w:rsidR="00154482" w:rsidRPr="00AD51FB" w:rsidRDefault="00154482" w:rsidP="003A73A2">
      <w:pPr>
        <w:pStyle w:val="ListParagraph"/>
        <w:spacing w:before="120" w:after="240" w:line="360" w:lineRule="auto"/>
        <w:ind w:left="0" w:right="515"/>
        <w:jc w:val="both"/>
        <w:rPr>
          <w:color w:val="000000"/>
          <w:sz w:val="28"/>
          <w:szCs w:val="28"/>
          <w:lang w:val="en-US" w:eastAsia="en-GB"/>
        </w:rPr>
      </w:pPr>
    </w:p>
    <w:p w14:paraId="2B089B5D" w14:textId="637559AE" w:rsidR="00154482" w:rsidRPr="00CF10AD" w:rsidRDefault="00CF10AD" w:rsidP="00CF10AD">
      <w:pPr>
        <w:spacing w:line="360" w:lineRule="auto"/>
        <w:jc w:val="both"/>
        <w:rPr>
          <w:color w:val="000000"/>
          <w:sz w:val="28"/>
          <w:szCs w:val="28"/>
          <w:lang w:val="en-US" w:eastAsia="en-GB"/>
        </w:rPr>
      </w:pPr>
      <w:r w:rsidRPr="00AD51FB">
        <w:rPr>
          <w:sz w:val="28"/>
          <w:szCs w:val="28"/>
          <w:lang w:val="en-US" w:eastAsia="en-GB"/>
        </w:rPr>
        <w:t>[13]</w:t>
      </w:r>
      <w:r w:rsidRPr="00AD51FB">
        <w:rPr>
          <w:sz w:val="28"/>
          <w:szCs w:val="28"/>
          <w:lang w:val="en-US" w:eastAsia="en-GB"/>
        </w:rPr>
        <w:tab/>
      </w:r>
      <w:r w:rsidR="003E77DC" w:rsidRPr="00CF10AD">
        <w:rPr>
          <w:sz w:val="28"/>
          <w:szCs w:val="28"/>
          <w:lang w:val="en-ZA" w:eastAsia="en-ZA"/>
        </w:rPr>
        <w:t>Regulation 28</w:t>
      </w:r>
      <w:r w:rsidR="00154482" w:rsidRPr="00CF10AD">
        <w:rPr>
          <w:sz w:val="28"/>
          <w:szCs w:val="28"/>
          <w:lang w:val="en-ZA" w:eastAsia="en-ZA"/>
        </w:rPr>
        <w:t>B(</w:t>
      </w:r>
      <w:r w:rsidR="003E77DC" w:rsidRPr="00CF10AD">
        <w:rPr>
          <w:sz w:val="28"/>
          <w:szCs w:val="28"/>
          <w:lang w:val="en-ZA" w:eastAsia="en-ZA"/>
        </w:rPr>
        <w:t>1)</w:t>
      </w:r>
      <w:r w:rsidR="00990F68" w:rsidRPr="00CF10AD">
        <w:rPr>
          <w:sz w:val="28"/>
          <w:szCs w:val="28"/>
          <w:lang w:val="en-ZA" w:eastAsia="en-ZA"/>
        </w:rPr>
        <w:t xml:space="preserve"> </w:t>
      </w:r>
      <w:r w:rsidR="003E77DC" w:rsidRPr="00CF10AD">
        <w:rPr>
          <w:sz w:val="28"/>
          <w:szCs w:val="28"/>
          <w:lang w:val="en-ZA" w:eastAsia="en-ZA"/>
        </w:rPr>
        <w:t xml:space="preserve">provides that any person desiring to be accredited as a broker must apply in writing to the Council. The Council is responsible for the accreditation of brokers to provide </w:t>
      </w:r>
      <w:r w:rsidR="00133F7C" w:rsidRPr="00CF10AD">
        <w:rPr>
          <w:sz w:val="28"/>
          <w:szCs w:val="28"/>
          <w:lang w:val="en-ZA" w:eastAsia="en-ZA"/>
        </w:rPr>
        <w:t>b</w:t>
      </w:r>
      <w:r w:rsidR="003E77DC" w:rsidRPr="00CF10AD">
        <w:rPr>
          <w:sz w:val="28"/>
          <w:szCs w:val="28"/>
          <w:lang w:val="en-ZA" w:eastAsia="en-ZA"/>
        </w:rPr>
        <w:t>roker services, which are defined to include</w:t>
      </w:r>
      <w:r w:rsidR="003E77DC" w:rsidRPr="00CF10AD">
        <w:rPr>
          <w:iCs/>
          <w:sz w:val="28"/>
          <w:szCs w:val="28"/>
          <w:lang w:val="en-ZA" w:eastAsia="en-ZA"/>
        </w:rPr>
        <w:t xml:space="preserve"> the provision of services or advice in respect of: (</w:t>
      </w:r>
      <w:r w:rsidR="00300CBC" w:rsidRPr="00CF10AD">
        <w:rPr>
          <w:iCs/>
          <w:sz w:val="28"/>
          <w:szCs w:val="28"/>
          <w:lang w:val="en-ZA" w:eastAsia="en-ZA"/>
        </w:rPr>
        <w:t>a</w:t>
      </w:r>
      <w:r w:rsidR="003E77DC" w:rsidRPr="00CF10AD">
        <w:rPr>
          <w:iCs/>
          <w:sz w:val="28"/>
          <w:szCs w:val="28"/>
          <w:lang w:val="en-ZA" w:eastAsia="en-ZA"/>
        </w:rPr>
        <w:t xml:space="preserve">) the introduction or admission </w:t>
      </w:r>
      <w:r w:rsidR="003E77DC" w:rsidRPr="00CF10AD">
        <w:rPr>
          <w:iCs/>
          <w:sz w:val="28"/>
          <w:szCs w:val="28"/>
          <w:lang w:val="en-ZA" w:eastAsia="en-ZA"/>
        </w:rPr>
        <w:lastRenderedPageBreak/>
        <w:t>of members to a medical scheme; or (</w:t>
      </w:r>
      <w:r w:rsidR="00300CBC" w:rsidRPr="00CF10AD">
        <w:rPr>
          <w:iCs/>
          <w:sz w:val="28"/>
          <w:szCs w:val="28"/>
          <w:lang w:val="en-ZA" w:eastAsia="en-ZA"/>
        </w:rPr>
        <w:t>b</w:t>
      </w:r>
      <w:r w:rsidR="003E77DC" w:rsidRPr="00CF10AD">
        <w:rPr>
          <w:iCs/>
          <w:sz w:val="28"/>
          <w:szCs w:val="28"/>
          <w:lang w:val="en-ZA" w:eastAsia="en-ZA"/>
        </w:rPr>
        <w:t xml:space="preserve">) </w:t>
      </w:r>
      <w:r w:rsidR="00EE5B32" w:rsidRPr="00CF10AD">
        <w:rPr>
          <w:rFonts w:eastAsia="Arial Unicode MS"/>
          <w:iCs/>
          <w:color w:val="000000"/>
          <w:sz w:val="28"/>
          <w:szCs w:val="28"/>
          <w:bdr w:val="none" w:sz="0" w:space="0" w:color="auto" w:frame="1"/>
          <w:lang w:eastAsia="en-GB"/>
        </w:rPr>
        <w:t>the</w:t>
      </w:r>
      <w:r w:rsidR="003E77DC" w:rsidRPr="00CF10AD">
        <w:rPr>
          <w:iCs/>
          <w:sz w:val="28"/>
          <w:szCs w:val="28"/>
          <w:lang w:val="en-ZA" w:eastAsia="en-ZA"/>
        </w:rPr>
        <w:t xml:space="preserve"> ongoing provision of service</w:t>
      </w:r>
      <w:r w:rsidR="00EE5B32" w:rsidRPr="00CF10AD">
        <w:rPr>
          <w:iCs/>
          <w:sz w:val="28"/>
          <w:szCs w:val="28"/>
          <w:lang w:val="en-ZA" w:eastAsia="en-ZA"/>
        </w:rPr>
        <w:t>s</w:t>
      </w:r>
      <w:r w:rsidR="003E77DC" w:rsidRPr="00CF10AD">
        <w:rPr>
          <w:iCs/>
          <w:sz w:val="28"/>
          <w:szCs w:val="28"/>
          <w:lang w:val="en-ZA" w:eastAsia="en-ZA"/>
        </w:rPr>
        <w:t xml:space="preserve"> or advice in respect of </w:t>
      </w:r>
      <w:r w:rsidR="003E77DC" w:rsidRPr="00CF10AD">
        <w:rPr>
          <w:sz w:val="28"/>
          <w:szCs w:val="28"/>
          <w:lang w:val="en-ZA" w:eastAsia="en-ZA"/>
        </w:rPr>
        <w:t>access to, or benefits or services offered by, a medical scheme.</w:t>
      </w:r>
    </w:p>
    <w:p w14:paraId="7E372596" w14:textId="77777777" w:rsidR="005A7D05" w:rsidRPr="00AD51FB" w:rsidRDefault="005A7D05" w:rsidP="005A7D05">
      <w:pPr>
        <w:pStyle w:val="ListParagraph"/>
        <w:rPr>
          <w:color w:val="000000"/>
          <w:sz w:val="28"/>
          <w:szCs w:val="28"/>
          <w:lang w:val="en-US" w:eastAsia="en-GB"/>
        </w:rPr>
      </w:pPr>
    </w:p>
    <w:p w14:paraId="5BF5CDD5" w14:textId="78E67893" w:rsidR="008818E8" w:rsidRPr="00CF10AD" w:rsidRDefault="00CF10AD" w:rsidP="00CF10AD">
      <w:pPr>
        <w:spacing w:line="360" w:lineRule="auto"/>
        <w:jc w:val="both"/>
        <w:rPr>
          <w:color w:val="000000"/>
          <w:sz w:val="28"/>
          <w:szCs w:val="28"/>
          <w:lang w:val="en-US" w:eastAsia="en-GB"/>
        </w:rPr>
      </w:pPr>
      <w:r w:rsidRPr="00AD51FB">
        <w:rPr>
          <w:sz w:val="28"/>
          <w:szCs w:val="28"/>
          <w:lang w:val="en-US" w:eastAsia="en-GB"/>
        </w:rPr>
        <w:t>[14]</w:t>
      </w:r>
      <w:r w:rsidRPr="00AD51FB">
        <w:rPr>
          <w:sz w:val="28"/>
          <w:szCs w:val="28"/>
          <w:lang w:val="en-US" w:eastAsia="en-GB"/>
        </w:rPr>
        <w:tab/>
      </w:r>
      <w:r w:rsidR="003E77DC" w:rsidRPr="00CF10AD">
        <w:rPr>
          <w:sz w:val="28"/>
          <w:szCs w:val="28"/>
          <w:lang w:val="en-ZA" w:eastAsia="en-ZA"/>
        </w:rPr>
        <w:t>Regulation</w:t>
      </w:r>
      <w:r w:rsidR="003E77DC" w:rsidRPr="00CF10AD">
        <w:rPr>
          <w:iCs/>
          <w:sz w:val="28"/>
          <w:szCs w:val="28"/>
          <w:lang w:val="en-ZA" w:eastAsia="en-ZA"/>
        </w:rPr>
        <w:t xml:space="preserve"> 28C provides for the suspension or withdrawal of accreditation given to a broker (for example) under Regulation 28B</w:t>
      </w:r>
      <w:r w:rsidR="00EE5B32" w:rsidRPr="00CF10AD">
        <w:rPr>
          <w:iCs/>
          <w:sz w:val="28"/>
          <w:szCs w:val="28"/>
          <w:lang w:val="en-ZA" w:eastAsia="en-ZA"/>
        </w:rPr>
        <w:t>,</w:t>
      </w:r>
      <w:r w:rsidR="003E77DC" w:rsidRPr="00CF10AD">
        <w:rPr>
          <w:iCs/>
          <w:sz w:val="28"/>
          <w:szCs w:val="28"/>
          <w:lang w:val="en-ZA" w:eastAsia="en-ZA"/>
        </w:rPr>
        <w:t xml:space="preserve"> if the Council is satisfied on the basis of available information</w:t>
      </w:r>
      <w:r w:rsidR="00EE5B32" w:rsidRPr="00CF10AD">
        <w:rPr>
          <w:iCs/>
          <w:sz w:val="28"/>
          <w:szCs w:val="28"/>
          <w:lang w:val="en-ZA" w:eastAsia="en-ZA"/>
        </w:rPr>
        <w:t>,</w:t>
      </w:r>
      <w:r w:rsidR="003E77DC" w:rsidRPr="00CF10AD">
        <w:rPr>
          <w:iCs/>
          <w:sz w:val="28"/>
          <w:szCs w:val="28"/>
          <w:lang w:val="en-ZA" w:eastAsia="en-ZA"/>
        </w:rPr>
        <w:t xml:space="preserve"> that the relevant broker </w:t>
      </w:r>
      <w:r w:rsidR="003E77DC" w:rsidRPr="00CF10AD">
        <w:rPr>
          <w:i/>
          <w:sz w:val="28"/>
          <w:szCs w:val="28"/>
          <w:lang w:val="en-ZA" w:eastAsia="en-ZA"/>
        </w:rPr>
        <w:t xml:space="preserve">inter alia </w:t>
      </w:r>
      <w:r w:rsidR="003E77DC" w:rsidRPr="00CF10AD">
        <w:rPr>
          <w:iCs/>
          <w:sz w:val="28"/>
          <w:szCs w:val="28"/>
          <w:lang w:val="en-ZA" w:eastAsia="en-ZA"/>
        </w:rPr>
        <w:t xml:space="preserve">has, since the granting of such accreditation, conducted his or her business in a manner that is seriously prejudicial to </w:t>
      </w:r>
      <w:r w:rsidR="00E937D7" w:rsidRPr="00CF10AD">
        <w:rPr>
          <w:iCs/>
          <w:sz w:val="28"/>
          <w:szCs w:val="28"/>
          <w:lang w:val="en-ZA" w:eastAsia="en-ZA"/>
        </w:rPr>
        <w:t>clients or the public interest.</w:t>
      </w:r>
    </w:p>
    <w:p w14:paraId="0FC1F072" w14:textId="77777777" w:rsidR="00ED60AD" w:rsidRPr="00AD51FB" w:rsidRDefault="00ED60AD" w:rsidP="00154482">
      <w:pPr>
        <w:pStyle w:val="ListParagraph"/>
        <w:spacing w:after="240" w:line="360" w:lineRule="auto"/>
        <w:ind w:left="0"/>
        <w:jc w:val="both"/>
        <w:rPr>
          <w:b/>
          <w:iCs/>
          <w:sz w:val="28"/>
          <w:szCs w:val="28"/>
        </w:rPr>
      </w:pPr>
    </w:p>
    <w:p w14:paraId="6CBE237D" w14:textId="45F62A4F" w:rsidR="00AB4E08" w:rsidRPr="00AD51FB" w:rsidRDefault="00163215" w:rsidP="00154482">
      <w:pPr>
        <w:pStyle w:val="ListParagraph"/>
        <w:spacing w:after="240" w:line="360" w:lineRule="auto"/>
        <w:ind w:left="0"/>
        <w:jc w:val="both"/>
        <w:rPr>
          <w:b/>
          <w:iCs/>
          <w:sz w:val="28"/>
          <w:szCs w:val="28"/>
        </w:rPr>
      </w:pPr>
      <w:r w:rsidRPr="00AD51FB">
        <w:rPr>
          <w:b/>
          <w:iCs/>
          <w:sz w:val="28"/>
          <w:szCs w:val="28"/>
        </w:rPr>
        <w:t>Background</w:t>
      </w:r>
    </w:p>
    <w:p w14:paraId="587605D7" w14:textId="16A89488" w:rsidR="00B24775" w:rsidRPr="00CF10AD" w:rsidRDefault="00CF10AD" w:rsidP="00CF10AD">
      <w:pPr>
        <w:spacing w:line="360" w:lineRule="auto"/>
        <w:jc w:val="both"/>
        <w:rPr>
          <w:sz w:val="28"/>
          <w:szCs w:val="28"/>
        </w:rPr>
      </w:pPr>
      <w:r w:rsidRPr="00AD51FB">
        <w:rPr>
          <w:sz w:val="28"/>
          <w:szCs w:val="28"/>
        </w:rPr>
        <w:t>[15]</w:t>
      </w:r>
      <w:r w:rsidRPr="00AD51FB">
        <w:rPr>
          <w:sz w:val="28"/>
          <w:szCs w:val="28"/>
        </w:rPr>
        <w:tab/>
      </w:r>
      <w:r w:rsidR="00990F68" w:rsidRPr="00CF10AD">
        <w:rPr>
          <w:sz w:val="28"/>
          <w:szCs w:val="28"/>
        </w:rPr>
        <w:t>O</w:t>
      </w:r>
      <w:r w:rsidR="00B54E17" w:rsidRPr="00CF10AD">
        <w:rPr>
          <w:sz w:val="28"/>
          <w:szCs w:val="28"/>
        </w:rPr>
        <w:t xml:space="preserve">n 27 May 2019, an anonymous tip-off was made by a former employee of Optivest through the Deloitte tip-off line. The tip-off was in the form of an email which was brought to the </w:t>
      </w:r>
      <w:r w:rsidR="00163215" w:rsidRPr="00CF10AD">
        <w:rPr>
          <w:sz w:val="28"/>
          <w:szCs w:val="28"/>
        </w:rPr>
        <w:t xml:space="preserve">attention of the </w:t>
      </w:r>
      <w:r w:rsidR="00AB4E08" w:rsidRPr="00CF10AD">
        <w:rPr>
          <w:sz w:val="28"/>
          <w:szCs w:val="28"/>
        </w:rPr>
        <w:t>Registrar</w:t>
      </w:r>
      <w:r w:rsidR="00B54E17" w:rsidRPr="00CF10AD">
        <w:rPr>
          <w:sz w:val="28"/>
          <w:szCs w:val="28"/>
        </w:rPr>
        <w:t xml:space="preserve"> on or about the 31 May 2019</w:t>
      </w:r>
      <w:r w:rsidR="00AB4E08" w:rsidRPr="00CF10AD">
        <w:rPr>
          <w:sz w:val="28"/>
          <w:szCs w:val="28"/>
        </w:rPr>
        <w:t>. The</w:t>
      </w:r>
      <w:r w:rsidR="00B54E17" w:rsidRPr="00CF10AD">
        <w:rPr>
          <w:sz w:val="28"/>
          <w:szCs w:val="28"/>
        </w:rPr>
        <w:t xml:space="preserve"> </w:t>
      </w:r>
      <w:r w:rsidR="00163215" w:rsidRPr="00CF10AD">
        <w:rPr>
          <w:sz w:val="28"/>
          <w:szCs w:val="28"/>
        </w:rPr>
        <w:t xml:space="preserve">author of the email containing the anonymous tip-off requested that this issue be forwarded to the correct department for investigation. In the email, it was alleged </w:t>
      </w:r>
      <w:r w:rsidR="00B54E17" w:rsidRPr="00CF10AD">
        <w:rPr>
          <w:sz w:val="28"/>
          <w:szCs w:val="28"/>
        </w:rPr>
        <w:t>that</w:t>
      </w:r>
      <w:r w:rsidR="00B24775" w:rsidRPr="00CF10AD">
        <w:rPr>
          <w:sz w:val="28"/>
          <w:szCs w:val="28"/>
        </w:rPr>
        <w:t xml:space="preserve"> the author had been working for Optivest and could not approach anyone at the company. </w:t>
      </w:r>
      <w:r w:rsidR="00133F7C" w:rsidRPr="00CF10AD">
        <w:rPr>
          <w:sz w:val="28"/>
          <w:szCs w:val="28"/>
        </w:rPr>
        <w:t xml:space="preserve">The author </w:t>
      </w:r>
      <w:r w:rsidR="00990F68" w:rsidRPr="00CF10AD">
        <w:rPr>
          <w:sz w:val="28"/>
          <w:szCs w:val="28"/>
        </w:rPr>
        <w:t>alleged that</w:t>
      </w:r>
      <w:r w:rsidR="00B24775" w:rsidRPr="00CF10AD">
        <w:rPr>
          <w:sz w:val="28"/>
          <w:szCs w:val="28"/>
        </w:rPr>
        <w:t>:</w:t>
      </w:r>
    </w:p>
    <w:p w14:paraId="7ACD3859" w14:textId="45841448" w:rsidR="00B24775" w:rsidRPr="00AD51FB" w:rsidRDefault="00B24775" w:rsidP="00B24775">
      <w:pPr>
        <w:pStyle w:val="ListParagraph"/>
        <w:spacing w:line="360" w:lineRule="auto"/>
        <w:ind w:left="0"/>
        <w:jc w:val="both"/>
      </w:pPr>
      <w:r w:rsidRPr="00AD51FB">
        <w:rPr>
          <w:sz w:val="28"/>
          <w:szCs w:val="28"/>
        </w:rPr>
        <w:t>‘</w:t>
      </w:r>
      <w:r w:rsidRPr="00AD51FB">
        <w:t>Optivest Heath Services gives medical aid members an option to pay a service fee.</w:t>
      </w:r>
    </w:p>
    <w:p w14:paraId="7790A78C" w14:textId="77777777" w:rsidR="00B24775" w:rsidRPr="00AD51FB" w:rsidRDefault="00B24775" w:rsidP="00B24775">
      <w:pPr>
        <w:pStyle w:val="ListParagraph"/>
        <w:spacing w:line="360" w:lineRule="auto"/>
        <w:ind w:left="0"/>
        <w:jc w:val="both"/>
      </w:pPr>
      <w:r w:rsidRPr="00AD51FB">
        <w:t>Many members opt to have it, and some don’t even know that it was added.</w:t>
      </w:r>
    </w:p>
    <w:p w14:paraId="49F3B918" w14:textId="7D16CC81" w:rsidR="00B24775" w:rsidRPr="00AD51FB" w:rsidRDefault="00B24775" w:rsidP="00B24775">
      <w:pPr>
        <w:pStyle w:val="ListParagraph"/>
        <w:spacing w:line="360" w:lineRule="auto"/>
        <w:ind w:left="0"/>
        <w:jc w:val="both"/>
      </w:pPr>
      <w:r w:rsidRPr="00AD51FB">
        <w:t>Down the line, members resign from the m</w:t>
      </w:r>
      <w:r w:rsidR="005316EA" w:rsidRPr="00AD51FB">
        <w:t>edical scheme, not knowing they</w:t>
      </w:r>
      <w:r w:rsidRPr="00AD51FB">
        <w:t xml:space="preserve"> still paying a service fee to </w:t>
      </w:r>
      <w:r w:rsidR="005316EA" w:rsidRPr="00AD51FB">
        <w:t>Optivest</w:t>
      </w:r>
      <w:r w:rsidRPr="00AD51FB">
        <w:t>.</w:t>
      </w:r>
    </w:p>
    <w:p w14:paraId="3B777623" w14:textId="01D049FF" w:rsidR="00B24775" w:rsidRPr="00AD51FB" w:rsidRDefault="00B24775" w:rsidP="00B24775">
      <w:pPr>
        <w:pStyle w:val="ListParagraph"/>
        <w:spacing w:line="360" w:lineRule="auto"/>
        <w:ind w:left="0"/>
        <w:jc w:val="both"/>
      </w:pPr>
      <w:r w:rsidRPr="00AD51FB">
        <w:t>I have come across profiles of members paying</w:t>
      </w:r>
      <w:r w:rsidR="005316EA" w:rsidRPr="00AD51FB">
        <w:t xml:space="preserve"> service</w:t>
      </w:r>
      <w:r w:rsidRPr="00AD51FB">
        <w:t xml:space="preserve"> fees for years, without a medical aid </w:t>
      </w:r>
      <w:r w:rsidR="005316EA" w:rsidRPr="00AD51FB">
        <w:t>profile</w:t>
      </w:r>
      <w:r w:rsidRPr="00AD51FB">
        <w:t>.</w:t>
      </w:r>
    </w:p>
    <w:p w14:paraId="6873E9FA" w14:textId="61237067" w:rsidR="00B24775" w:rsidRPr="00AD51FB" w:rsidRDefault="00B24775" w:rsidP="00B24775">
      <w:pPr>
        <w:pStyle w:val="ListParagraph"/>
        <w:spacing w:line="360" w:lineRule="auto"/>
        <w:ind w:left="0"/>
        <w:jc w:val="both"/>
      </w:pPr>
      <w:r w:rsidRPr="00AD51FB">
        <w:t xml:space="preserve">When asked if we can inform </w:t>
      </w:r>
      <w:r w:rsidR="005316EA" w:rsidRPr="00AD51FB">
        <w:t>members</w:t>
      </w:r>
      <w:r w:rsidRPr="00AD51FB">
        <w:t xml:space="preserve">, I was told we are not allowed to inform members that </w:t>
      </w:r>
      <w:r w:rsidR="005316EA" w:rsidRPr="00AD51FB">
        <w:t>they</w:t>
      </w:r>
      <w:r w:rsidRPr="00AD51FB">
        <w:t xml:space="preserve"> are still paying a service fee.</w:t>
      </w:r>
    </w:p>
    <w:p w14:paraId="45F3AD74" w14:textId="68CFF925" w:rsidR="00B24775" w:rsidRPr="00AD51FB" w:rsidRDefault="00B24775" w:rsidP="00B24775">
      <w:pPr>
        <w:pStyle w:val="ListParagraph"/>
        <w:spacing w:line="360" w:lineRule="auto"/>
        <w:ind w:left="0"/>
        <w:jc w:val="both"/>
      </w:pPr>
      <w:r w:rsidRPr="00AD51FB">
        <w:t xml:space="preserve">There are more than ten </w:t>
      </w:r>
      <w:r w:rsidR="005316EA" w:rsidRPr="00AD51FB">
        <w:t>thousand</w:t>
      </w:r>
      <w:r w:rsidRPr="00AD51FB">
        <w:t xml:space="preserve"> </w:t>
      </w:r>
      <w:r w:rsidR="00300CBC" w:rsidRPr="00AD51FB">
        <w:t>“</w:t>
      </w:r>
      <w:r w:rsidR="005316EA" w:rsidRPr="00AD51FB">
        <w:t>orphan</w:t>
      </w:r>
      <w:r w:rsidR="00300CBC" w:rsidRPr="00AD51FB">
        <w:t>”</w:t>
      </w:r>
      <w:r w:rsidRPr="00AD51FB">
        <w:t xml:space="preserve"> service fee profiles.</w:t>
      </w:r>
      <w:r w:rsidR="00300CBC" w:rsidRPr="00AD51FB">
        <w:t>’</w:t>
      </w:r>
    </w:p>
    <w:p w14:paraId="372C1B6A" w14:textId="77777777" w:rsidR="00B54E17" w:rsidRPr="00AD51FB" w:rsidRDefault="00B54E17" w:rsidP="003A73A2">
      <w:pPr>
        <w:pStyle w:val="ListParagraph"/>
        <w:spacing w:line="360" w:lineRule="auto"/>
        <w:ind w:left="0"/>
        <w:jc w:val="both"/>
        <w:rPr>
          <w:sz w:val="28"/>
          <w:szCs w:val="28"/>
        </w:rPr>
      </w:pPr>
    </w:p>
    <w:p w14:paraId="30A402E6" w14:textId="4C822836" w:rsidR="003B6C67" w:rsidRPr="00CF10AD" w:rsidRDefault="00CF10AD" w:rsidP="00CF10AD">
      <w:pPr>
        <w:tabs>
          <w:tab w:val="left" w:pos="0"/>
        </w:tabs>
        <w:spacing w:line="360" w:lineRule="auto"/>
        <w:jc w:val="both"/>
        <w:rPr>
          <w:sz w:val="28"/>
          <w:szCs w:val="28"/>
        </w:rPr>
      </w:pPr>
      <w:r>
        <w:rPr>
          <w:sz w:val="28"/>
          <w:szCs w:val="28"/>
        </w:rPr>
        <w:t>[16]</w:t>
      </w:r>
      <w:r>
        <w:rPr>
          <w:sz w:val="28"/>
          <w:szCs w:val="28"/>
        </w:rPr>
        <w:tab/>
      </w:r>
      <w:r w:rsidR="00B54E17" w:rsidRPr="00CF10AD">
        <w:rPr>
          <w:sz w:val="28"/>
          <w:szCs w:val="28"/>
        </w:rPr>
        <w:t>The Council</w:t>
      </w:r>
      <w:r w:rsidR="00AB4E08" w:rsidRPr="00CF10AD">
        <w:rPr>
          <w:sz w:val="28"/>
          <w:szCs w:val="28"/>
        </w:rPr>
        <w:t>’s</w:t>
      </w:r>
      <w:r w:rsidR="00B54E17" w:rsidRPr="00CF10AD">
        <w:rPr>
          <w:sz w:val="28"/>
          <w:szCs w:val="28"/>
        </w:rPr>
        <w:t xml:space="preserve"> Compliance and Investigation Unit</w:t>
      </w:r>
      <w:r w:rsidR="00AB4E08" w:rsidRPr="00CF10AD">
        <w:rPr>
          <w:sz w:val="28"/>
          <w:szCs w:val="28"/>
        </w:rPr>
        <w:t xml:space="preserve"> (the Investigation Unit)</w:t>
      </w:r>
      <w:r w:rsidR="00B54E17" w:rsidRPr="00CF10AD">
        <w:rPr>
          <w:sz w:val="28"/>
          <w:szCs w:val="28"/>
        </w:rPr>
        <w:t xml:space="preserve"> prepared a report to the Registrar</w:t>
      </w:r>
      <w:r w:rsidR="00B2121E" w:rsidRPr="00CF10AD">
        <w:rPr>
          <w:sz w:val="28"/>
          <w:szCs w:val="28"/>
        </w:rPr>
        <w:t xml:space="preserve"> on</w:t>
      </w:r>
      <w:r w:rsidR="00B54E17" w:rsidRPr="00CF10AD">
        <w:rPr>
          <w:sz w:val="28"/>
          <w:szCs w:val="28"/>
        </w:rPr>
        <w:t xml:space="preserve"> 29 July 2019</w:t>
      </w:r>
      <w:r w:rsidR="00AB4E08" w:rsidRPr="00CF10AD">
        <w:rPr>
          <w:sz w:val="28"/>
          <w:szCs w:val="28"/>
        </w:rPr>
        <w:t>. It had formed the</w:t>
      </w:r>
      <w:r w:rsidR="00B54E17" w:rsidRPr="00CF10AD">
        <w:rPr>
          <w:sz w:val="28"/>
          <w:szCs w:val="28"/>
        </w:rPr>
        <w:t xml:space="preserve"> view that </w:t>
      </w:r>
      <w:r w:rsidR="00B54E17" w:rsidRPr="00CF10AD">
        <w:rPr>
          <w:sz w:val="28"/>
          <w:szCs w:val="28"/>
        </w:rPr>
        <w:lastRenderedPageBreak/>
        <w:t>the allegations, if true, indicated that there were irregulariti</w:t>
      </w:r>
      <w:r w:rsidR="00AB4E08" w:rsidRPr="00CF10AD">
        <w:rPr>
          <w:sz w:val="28"/>
          <w:szCs w:val="28"/>
        </w:rPr>
        <w:t>es and non-compliance with the A</w:t>
      </w:r>
      <w:r w:rsidR="00B54E17" w:rsidRPr="00CF10AD">
        <w:rPr>
          <w:sz w:val="28"/>
          <w:szCs w:val="28"/>
        </w:rPr>
        <w:t xml:space="preserve">ct and its regulations </w:t>
      </w:r>
      <w:r w:rsidR="00AB4E08" w:rsidRPr="00CF10AD">
        <w:rPr>
          <w:sz w:val="28"/>
          <w:szCs w:val="28"/>
        </w:rPr>
        <w:t xml:space="preserve">by Optivest, </w:t>
      </w:r>
      <w:r w:rsidR="00B54E17" w:rsidRPr="00CF10AD">
        <w:rPr>
          <w:sz w:val="28"/>
          <w:szCs w:val="28"/>
        </w:rPr>
        <w:t>which warranted further investigation in the form of an inspection in terms of s 44(4)</w:t>
      </w:r>
      <w:r w:rsidR="00B54E17" w:rsidRPr="00CF10AD">
        <w:rPr>
          <w:i/>
          <w:iCs/>
          <w:sz w:val="28"/>
          <w:szCs w:val="28"/>
        </w:rPr>
        <w:t xml:space="preserve">(a) </w:t>
      </w:r>
      <w:r w:rsidR="00AB4E08" w:rsidRPr="00CF10AD">
        <w:rPr>
          <w:sz w:val="28"/>
          <w:szCs w:val="28"/>
        </w:rPr>
        <w:t>of the A</w:t>
      </w:r>
      <w:r w:rsidR="00990F68" w:rsidRPr="00CF10AD">
        <w:rPr>
          <w:sz w:val="28"/>
          <w:szCs w:val="28"/>
        </w:rPr>
        <w:t>ct, read with the FSR Act</w:t>
      </w:r>
      <w:r w:rsidR="003B6C67" w:rsidRPr="00CF10AD">
        <w:rPr>
          <w:sz w:val="28"/>
          <w:szCs w:val="28"/>
        </w:rPr>
        <w:t>.</w:t>
      </w:r>
    </w:p>
    <w:p w14:paraId="134632A3" w14:textId="77777777" w:rsidR="0092630F" w:rsidRPr="0001214F" w:rsidRDefault="0092630F" w:rsidP="0092630F">
      <w:pPr>
        <w:pStyle w:val="ListParagraph"/>
        <w:tabs>
          <w:tab w:val="left" w:pos="0"/>
        </w:tabs>
        <w:spacing w:line="360" w:lineRule="auto"/>
        <w:ind w:left="0"/>
        <w:jc w:val="both"/>
        <w:rPr>
          <w:sz w:val="28"/>
          <w:szCs w:val="28"/>
        </w:rPr>
      </w:pPr>
    </w:p>
    <w:p w14:paraId="67B37D78" w14:textId="6F6D0AE6" w:rsidR="00C1297C" w:rsidRPr="00CF10AD" w:rsidRDefault="00CF10AD" w:rsidP="00CF10AD">
      <w:pPr>
        <w:tabs>
          <w:tab w:val="left" w:pos="0"/>
        </w:tabs>
        <w:spacing w:line="360" w:lineRule="auto"/>
        <w:jc w:val="both"/>
        <w:rPr>
          <w:sz w:val="28"/>
          <w:szCs w:val="28"/>
        </w:rPr>
      </w:pPr>
      <w:r w:rsidRPr="00AD51FB">
        <w:rPr>
          <w:sz w:val="28"/>
          <w:szCs w:val="28"/>
        </w:rPr>
        <w:t>[17]</w:t>
      </w:r>
      <w:r w:rsidRPr="00AD51FB">
        <w:rPr>
          <w:sz w:val="28"/>
          <w:szCs w:val="28"/>
        </w:rPr>
        <w:tab/>
      </w:r>
      <w:r w:rsidR="00AB4E08" w:rsidRPr="00CF10AD">
        <w:rPr>
          <w:sz w:val="28"/>
          <w:szCs w:val="28"/>
        </w:rPr>
        <w:t xml:space="preserve"> </w:t>
      </w:r>
      <w:r w:rsidR="00C1297C" w:rsidRPr="00CF10AD">
        <w:rPr>
          <w:sz w:val="28"/>
          <w:szCs w:val="28"/>
        </w:rPr>
        <w:t>On 30 August 2019, Open Water was appointed in terms of s 44(2) of the Act</w:t>
      </w:r>
      <w:r w:rsidR="00C1297C" w:rsidRPr="00AD51FB">
        <w:rPr>
          <w:rStyle w:val="FootnoteReference"/>
          <w:sz w:val="28"/>
          <w:szCs w:val="28"/>
        </w:rPr>
        <w:footnoteReference w:id="6"/>
      </w:r>
      <w:r w:rsidR="00C1297C" w:rsidRPr="00CF10AD">
        <w:rPr>
          <w:sz w:val="28"/>
          <w:szCs w:val="28"/>
        </w:rPr>
        <w:t xml:space="preserve"> read with s 134(1), 129(2) and (3) of the FSR Act, to conduct an inspection, in terms of s 44(4)</w:t>
      </w:r>
      <w:r w:rsidR="00C1297C" w:rsidRPr="00CF10AD">
        <w:rPr>
          <w:i/>
          <w:iCs/>
          <w:sz w:val="28"/>
          <w:szCs w:val="28"/>
        </w:rPr>
        <w:t>(a)</w:t>
      </w:r>
      <w:r w:rsidR="00C1297C" w:rsidRPr="00CF10AD">
        <w:rPr>
          <w:sz w:val="28"/>
          <w:szCs w:val="28"/>
        </w:rPr>
        <w:t xml:space="preserve"> of the Act,  ‘into the affairs of Optivest or any part of the affairs of the financial institutions and/or </w:t>
      </w:r>
      <w:r w:rsidR="00C1297C" w:rsidRPr="00CF10AD">
        <w:rPr>
          <w:i/>
          <w:sz w:val="28"/>
          <w:szCs w:val="28"/>
        </w:rPr>
        <w:t>any person</w:t>
      </w:r>
      <w:r w:rsidR="00C1297C" w:rsidRPr="00CF10AD">
        <w:rPr>
          <w:sz w:val="28"/>
          <w:szCs w:val="28"/>
        </w:rPr>
        <w:t xml:space="preserve"> that directly or indirectly manages the affairs of Optivest. . .’. The purpose of the investigation was to-</w:t>
      </w:r>
    </w:p>
    <w:p w14:paraId="6BE158F4" w14:textId="77777777" w:rsidR="00C1297C" w:rsidRPr="00AD51FB" w:rsidRDefault="00C1297C" w:rsidP="00C1297C">
      <w:pPr>
        <w:pStyle w:val="ListParagraph"/>
        <w:spacing w:line="360" w:lineRule="auto"/>
        <w:ind w:left="0"/>
        <w:jc w:val="both"/>
      </w:pPr>
      <w:r w:rsidRPr="00AD51FB">
        <w:t>‘5.1 investigate Optivest’s compliance with the MSA and its regulations regarding the receipt of and dealing with commissions/service fees received from medical schemes and/or medical scheme members; and</w:t>
      </w:r>
    </w:p>
    <w:p w14:paraId="3F1E8C37" w14:textId="4ED886AD" w:rsidR="00C1297C" w:rsidRPr="00AD51FB" w:rsidRDefault="00C1297C" w:rsidP="00C1297C">
      <w:pPr>
        <w:pStyle w:val="ListParagraph"/>
        <w:spacing w:line="360" w:lineRule="auto"/>
        <w:ind w:left="0"/>
        <w:jc w:val="both"/>
      </w:pPr>
      <w:r w:rsidRPr="00AD51FB">
        <w:t>5.2 obtain and investigate all documentation relating to all broker commissions/ service fees paid to Optivest by medical schemes and or members of schemes as well as the circumstances surrounding such payments.’</w:t>
      </w:r>
    </w:p>
    <w:p w14:paraId="63B36C4B" w14:textId="77777777" w:rsidR="00C1297C" w:rsidRPr="00AD51FB" w:rsidRDefault="00C1297C" w:rsidP="00C1297C">
      <w:pPr>
        <w:pStyle w:val="ListParagraph"/>
        <w:spacing w:line="360" w:lineRule="auto"/>
        <w:ind w:left="0"/>
        <w:jc w:val="both"/>
      </w:pPr>
    </w:p>
    <w:p w14:paraId="008F8EF1" w14:textId="740EDD0F" w:rsidR="00E937D7" w:rsidRPr="00CF10AD" w:rsidRDefault="00CF10AD" w:rsidP="00CF10AD">
      <w:pPr>
        <w:spacing w:line="360" w:lineRule="auto"/>
        <w:jc w:val="both"/>
        <w:rPr>
          <w:sz w:val="28"/>
          <w:szCs w:val="28"/>
        </w:rPr>
      </w:pPr>
      <w:r w:rsidRPr="00AD51FB">
        <w:rPr>
          <w:sz w:val="28"/>
          <w:szCs w:val="28"/>
        </w:rPr>
        <w:t>[18]</w:t>
      </w:r>
      <w:r w:rsidRPr="00AD51FB">
        <w:rPr>
          <w:sz w:val="28"/>
          <w:szCs w:val="28"/>
        </w:rPr>
        <w:tab/>
      </w:r>
      <w:r w:rsidR="00C1297C" w:rsidRPr="00CF10AD">
        <w:rPr>
          <w:sz w:val="28"/>
          <w:szCs w:val="28"/>
        </w:rPr>
        <w:t xml:space="preserve">The appointment letters of the investigators set out detailed directions with clear parameters in respect of the issues to be inspected. </w:t>
      </w:r>
      <w:r w:rsidR="00AD0BF9" w:rsidRPr="00CF10AD">
        <w:rPr>
          <w:sz w:val="28"/>
          <w:szCs w:val="28"/>
        </w:rPr>
        <w:t xml:space="preserve">The Registrar approved the recommendation from the Investigation Unit on 30 July 2019. </w:t>
      </w:r>
      <w:r w:rsidR="00C1297C" w:rsidRPr="00CF10AD">
        <w:rPr>
          <w:sz w:val="28"/>
          <w:szCs w:val="28"/>
        </w:rPr>
        <w:t xml:space="preserve">On 21 October 2019, Open Water attended at the premises of Optivest to investigate Optivest’s affairs as per the mandate granted to it in its appointment letter. No notice was given to Optivest of the investigation, </w:t>
      </w:r>
      <w:r w:rsidR="00CB7CD1" w:rsidRPr="00CF10AD">
        <w:rPr>
          <w:sz w:val="28"/>
          <w:szCs w:val="28"/>
        </w:rPr>
        <w:t xml:space="preserve">considering that it was </w:t>
      </w:r>
      <w:r w:rsidR="00C1297C" w:rsidRPr="00CF10AD">
        <w:rPr>
          <w:sz w:val="28"/>
          <w:szCs w:val="28"/>
        </w:rPr>
        <w:t xml:space="preserve">based </w:t>
      </w:r>
      <w:r w:rsidR="00CB7CD1" w:rsidRPr="00CF10AD">
        <w:rPr>
          <w:sz w:val="28"/>
          <w:szCs w:val="28"/>
        </w:rPr>
        <w:t>on a tip-off</w:t>
      </w:r>
      <w:r w:rsidR="00E937D7" w:rsidRPr="00CF10AD">
        <w:rPr>
          <w:sz w:val="28"/>
          <w:szCs w:val="28"/>
        </w:rPr>
        <w:t xml:space="preserve"> from a former employee and involved alleged fraudulent conduct, which could be concealed if notice was given.</w:t>
      </w:r>
    </w:p>
    <w:p w14:paraId="3F682111" w14:textId="77777777" w:rsidR="00C46A64" w:rsidRPr="00AD51FB" w:rsidRDefault="00C46A64" w:rsidP="00C46A64">
      <w:pPr>
        <w:pStyle w:val="ListParagraph"/>
        <w:spacing w:line="360" w:lineRule="auto"/>
        <w:ind w:left="0"/>
        <w:jc w:val="both"/>
        <w:rPr>
          <w:sz w:val="28"/>
          <w:szCs w:val="28"/>
        </w:rPr>
      </w:pPr>
    </w:p>
    <w:p w14:paraId="6E094D6A" w14:textId="6638E528" w:rsidR="00154482" w:rsidRPr="00CF10AD" w:rsidRDefault="00CF10AD" w:rsidP="00CF10AD">
      <w:pPr>
        <w:spacing w:line="360" w:lineRule="auto"/>
        <w:jc w:val="both"/>
        <w:rPr>
          <w:sz w:val="28"/>
          <w:szCs w:val="28"/>
        </w:rPr>
      </w:pPr>
      <w:r w:rsidRPr="00AD51FB">
        <w:rPr>
          <w:sz w:val="28"/>
          <w:szCs w:val="28"/>
        </w:rPr>
        <w:lastRenderedPageBreak/>
        <w:t>[19]</w:t>
      </w:r>
      <w:r w:rsidRPr="00AD51FB">
        <w:rPr>
          <w:sz w:val="28"/>
          <w:szCs w:val="28"/>
        </w:rPr>
        <w:tab/>
      </w:r>
      <w:r w:rsidR="00B54E17" w:rsidRPr="00CF10AD">
        <w:rPr>
          <w:sz w:val="28"/>
          <w:szCs w:val="28"/>
        </w:rPr>
        <w:t>The initial inspection took place at Optivest</w:t>
      </w:r>
      <w:r w:rsidR="00920560" w:rsidRPr="00CF10AD">
        <w:rPr>
          <w:sz w:val="28"/>
          <w:szCs w:val="28"/>
        </w:rPr>
        <w:t>’s premises on 21</w:t>
      </w:r>
      <w:r w:rsidR="00B54E17" w:rsidRPr="00CF10AD">
        <w:rPr>
          <w:sz w:val="28"/>
          <w:szCs w:val="28"/>
        </w:rPr>
        <w:t xml:space="preserve"> and 22</w:t>
      </w:r>
      <w:r w:rsidR="00941616" w:rsidRPr="00CF10AD">
        <w:rPr>
          <w:sz w:val="28"/>
          <w:szCs w:val="28"/>
        </w:rPr>
        <w:t> </w:t>
      </w:r>
      <w:r w:rsidR="00B54E17" w:rsidRPr="00CF10AD">
        <w:rPr>
          <w:sz w:val="28"/>
          <w:szCs w:val="28"/>
        </w:rPr>
        <w:t xml:space="preserve">October 2019. </w:t>
      </w:r>
      <w:r w:rsidR="00381750" w:rsidRPr="00CF10AD">
        <w:rPr>
          <w:sz w:val="28"/>
          <w:szCs w:val="28"/>
        </w:rPr>
        <w:t>Optives</w:t>
      </w:r>
      <w:r w:rsidR="00AC0EFF" w:rsidRPr="00CF10AD">
        <w:rPr>
          <w:sz w:val="28"/>
          <w:szCs w:val="28"/>
        </w:rPr>
        <w:t>t co-operated with Open Water on</w:t>
      </w:r>
      <w:r w:rsidR="00381750" w:rsidRPr="00CF10AD">
        <w:rPr>
          <w:sz w:val="28"/>
          <w:szCs w:val="28"/>
        </w:rPr>
        <w:t xml:space="preserve"> these occasions. </w:t>
      </w:r>
      <w:r w:rsidR="00B54E17" w:rsidRPr="00CF10AD">
        <w:rPr>
          <w:sz w:val="28"/>
          <w:szCs w:val="28"/>
        </w:rPr>
        <w:t>The inspectors returned to the premises on 14 November 2019 to continue its inspection and interview Optivest officials. At this point, Optivest withdrew its co</w:t>
      </w:r>
      <w:r w:rsidR="0067229A" w:rsidRPr="00CF10AD">
        <w:rPr>
          <w:sz w:val="28"/>
          <w:szCs w:val="28"/>
        </w:rPr>
        <w:t>-</w:t>
      </w:r>
      <w:r w:rsidR="00B54E17" w:rsidRPr="00CF10AD">
        <w:rPr>
          <w:sz w:val="28"/>
          <w:szCs w:val="28"/>
        </w:rPr>
        <w:t xml:space="preserve">operation and sought to challenge the </w:t>
      </w:r>
      <w:r w:rsidR="00CB7CD1" w:rsidRPr="00CF10AD">
        <w:rPr>
          <w:sz w:val="28"/>
          <w:szCs w:val="28"/>
        </w:rPr>
        <w:t>C</w:t>
      </w:r>
      <w:r w:rsidR="00B54E17" w:rsidRPr="00CF10AD">
        <w:rPr>
          <w:sz w:val="28"/>
          <w:szCs w:val="28"/>
        </w:rPr>
        <w:t>ouncil</w:t>
      </w:r>
      <w:r w:rsidR="008023F5" w:rsidRPr="00CF10AD">
        <w:rPr>
          <w:sz w:val="28"/>
          <w:szCs w:val="28"/>
        </w:rPr>
        <w:t>’</w:t>
      </w:r>
      <w:r w:rsidR="00B54E17" w:rsidRPr="00CF10AD">
        <w:rPr>
          <w:sz w:val="28"/>
          <w:szCs w:val="28"/>
        </w:rPr>
        <w:t>s authority to conduct an inspection into its affairs.</w:t>
      </w:r>
      <w:r w:rsidR="00381750" w:rsidRPr="00CF10AD">
        <w:rPr>
          <w:sz w:val="28"/>
          <w:szCs w:val="28"/>
        </w:rPr>
        <w:t xml:space="preserve"> It refused to hand over certain documentation which Open Water required to complete i</w:t>
      </w:r>
      <w:r w:rsidR="005316EA" w:rsidRPr="00CF10AD">
        <w:rPr>
          <w:sz w:val="28"/>
          <w:szCs w:val="28"/>
        </w:rPr>
        <w:t>ts investigation. These include</w:t>
      </w:r>
      <w:r w:rsidR="0067229A" w:rsidRPr="00CF10AD">
        <w:rPr>
          <w:sz w:val="28"/>
          <w:szCs w:val="28"/>
        </w:rPr>
        <w:t>d</w:t>
      </w:r>
      <w:r w:rsidR="00FC6B6C" w:rsidRPr="00CF10AD">
        <w:rPr>
          <w:sz w:val="28"/>
          <w:szCs w:val="28"/>
        </w:rPr>
        <w:t xml:space="preserve"> audited financial statements and its agreements with its affiliated entities.</w:t>
      </w:r>
      <w:r w:rsidR="003B6C67" w:rsidRPr="00CF10AD">
        <w:rPr>
          <w:sz w:val="28"/>
          <w:szCs w:val="28"/>
        </w:rPr>
        <w:t xml:space="preserve"> </w:t>
      </w:r>
      <w:r w:rsidR="00B54E17" w:rsidRPr="00CF10AD">
        <w:rPr>
          <w:sz w:val="28"/>
          <w:szCs w:val="28"/>
        </w:rPr>
        <w:t>A</w:t>
      </w:r>
      <w:r w:rsidR="00920560" w:rsidRPr="00CF10AD">
        <w:rPr>
          <w:sz w:val="28"/>
          <w:szCs w:val="28"/>
        </w:rPr>
        <w:t>s a result</w:t>
      </w:r>
      <w:r w:rsidR="00AD0BF9" w:rsidRPr="00CF10AD">
        <w:rPr>
          <w:sz w:val="28"/>
          <w:szCs w:val="28"/>
        </w:rPr>
        <w:t>, Open Water</w:t>
      </w:r>
      <w:r w:rsidR="00B54E17" w:rsidRPr="00CF10AD">
        <w:rPr>
          <w:sz w:val="28"/>
          <w:szCs w:val="28"/>
        </w:rPr>
        <w:t xml:space="preserve"> produced</w:t>
      </w:r>
      <w:r w:rsidR="00CB7CD1" w:rsidRPr="00CF10AD">
        <w:rPr>
          <w:sz w:val="28"/>
          <w:szCs w:val="28"/>
        </w:rPr>
        <w:t xml:space="preserve"> ‘</w:t>
      </w:r>
      <w:r w:rsidR="00B54E17" w:rsidRPr="00CF10AD">
        <w:rPr>
          <w:sz w:val="28"/>
          <w:szCs w:val="28"/>
        </w:rPr>
        <w:t>a second draft investigation report</w:t>
      </w:r>
      <w:r w:rsidR="00CB7CD1" w:rsidRPr="00CF10AD">
        <w:rPr>
          <w:sz w:val="28"/>
          <w:szCs w:val="28"/>
        </w:rPr>
        <w:t>’</w:t>
      </w:r>
      <w:r w:rsidR="00B54E17" w:rsidRPr="00CF10AD">
        <w:rPr>
          <w:sz w:val="28"/>
          <w:szCs w:val="28"/>
        </w:rPr>
        <w:t xml:space="preserve"> dated the 29</w:t>
      </w:r>
      <w:r w:rsidR="00941616" w:rsidRPr="00CF10AD">
        <w:rPr>
          <w:sz w:val="28"/>
          <w:szCs w:val="28"/>
        </w:rPr>
        <w:t> </w:t>
      </w:r>
      <w:r w:rsidR="00B54E17" w:rsidRPr="00CF10AD">
        <w:rPr>
          <w:sz w:val="28"/>
          <w:szCs w:val="28"/>
        </w:rPr>
        <w:t xml:space="preserve">November 2019 (the draft report), which contained certain preliminary findings against Optivest, which the respondents contend are </w:t>
      </w:r>
      <w:r w:rsidR="00CB7CD1" w:rsidRPr="00CF10AD">
        <w:rPr>
          <w:sz w:val="28"/>
          <w:szCs w:val="28"/>
        </w:rPr>
        <w:t>‘</w:t>
      </w:r>
      <w:r w:rsidR="00B54E17" w:rsidRPr="00CF10AD">
        <w:rPr>
          <w:sz w:val="28"/>
          <w:szCs w:val="28"/>
        </w:rPr>
        <w:t>damning</w:t>
      </w:r>
      <w:r w:rsidR="00CB7CD1" w:rsidRPr="00CF10AD">
        <w:rPr>
          <w:sz w:val="28"/>
          <w:szCs w:val="28"/>
        </w:rPr>
        <w:t>’</w:t>
      </w:r>
      <w:r w:rsidR="00B54E17" w:rsidRPr="00CF10AD">
        <w:rPr>
          <w:sz w:val="28"/>
          <w:szCs w:val="28"/>
        </w:rPr>
        <w:t>.</w:t>
      </w:r>
      <w:r w:rsidR="003005AF" w:rsidRPr="00CF10AD">
        <w:rPr>
          <w:sz w:val="28"/>
          <w:szCs w:val="28"/>
        </w:rPr>
        <w:t xml:space="preserve"> </w:t>
      </w:r>
    </w:p>
    <w:p w14:paraId="4FD4B221" w14:textId="77777777" w:rsidR="00361AFB" w:rsidRPr="00AD51FB" w:rsidRDefault="00361AFB" w:rsidP="003A73A2">
      <w:pPr>
        <w:pStyle w:val="ListParagraph"/>
        <w:spacing w:line="360" w:lineRule="auto"/>
        <w:ind w:left="0"/>
        <w:jc w:val="both"/>
        <w:rPr>
          <w:sz w:val="28"/>
          <w:szCs w:val="28"/>
        </w:rPr>
      </w:pPr>
    </w:p>
    <w:p w14:paraId="74549F75" w14:textId="349B1E00" w:rsidR="00B54E17" w:rsidRPr="00CF10AD" w:rsidRDefault="00CF10AD" w:rsidP="00CF10AD">
      <w:pPr>
        <w:spacing w:line="360" w:lineRule="auto"/>
        <w:jc w:val="both"/>
        <w:rPr>
          <w:sz w:val="28"/>
          <w:szCs w:val="28"/>
        </w:rPr>
      </w:pPr>
      <w:r w:rsidRPr="00AD51FB">
        <w:rPr>
          <w:sz w:val="28"/>
          <w:szCs w:val="28"/>
        </w:rPr>
        <w:t>[20]</w:t>
      </w:r>
      <w:r w:rsidRPr="00AD51FB">
        <w:rPr>
          <w:sz w:val="28"/>
          <w:szCs w:val="28"/>
        </w:rPr>
        <w:tab/>
      </w:r>
      <w:r w:rsidR="00CB7CD1" w:rsidRPr="00CF10AD">
        <w:rPr>
          <w:sz w:val="28"/>
          <w:szCs w:val="28"/>
        </w:rPr>
        <w:t>On 10 December 2020</w:t>
      </w:r>
      <w:r w:rsidR="008023F5" w:rsidRPr="00CF10AD">
        <w:rPr>
          <w:sz w:val="28"/>
          <w:szCs w:val="28"/>
        </w:rPr>
        <w:t>,</w:t>
      </w:r>
      <w:r w:rsidR="00CB7CD1" w:rsidRPr="00CF10AD">
        <w:rPr>
          <w:sz w:val="28"/>
          <w:szCs w:val="28"/>
        </w:rPr>
        <w:t xml:space="preserve"> </w:t>
      </w:r>
      <w:r w:rsidR="00B54E17" w:rsidRPr="00CF10AD">
        <w:rPr>
          <w:sz w:val="28"/>
          <w:szCs w:val="28"/>
        </w:rPr>
        <w:t xml:space="preserve">Optivest instituted review proceedings </w:t>
      </w:r>
      <w:r w:rsidR="006520C5" w:rsidRPr="00CF10AD">
        <w:rPr>
          <w:sz w:val="28"/>
          <w:szCs w:val="28"/>
        </w:rPr>
        <w:t xml:space="preserve">seeking to </w:t>
      </w:r>
      <w:r w:rsidR="00B54E17" w:rsidRPr="00CF10AD">
        <w:rPr>
          <w:sz w:val="28"/>
          <w:szCs w:val="28"/>
        </w:rPr>
        <w:t>review and set aside the decisions taken by the Registrar, alternatively, the Council, to</w:t>
      </w:r>
      <w:r w:rsidR="008023F5" w:rsidRPr="00CF10AD">
        <w:rPr>
          <w:sz w:val="28"/>
          <w:szCs w:val="28"/>
        </w:rPr>
        <w:t>:</w:t>
      </w:r>
    </w:p>
    <w:p w14:paraId="524DFAAC" w14:textId="7E844506" w:rsidR="00B54E17" w:rsidRPr="00CF10AD" w:rsidRDefault="00CF10AD" w:rsidP="00CF10AD">
      <w:pPr>
        <w:tabs>
          <w:tab w:val="left" w:pos="426"/>
        </w:tabs>
        <w:spacing w:line="360" w:lineRule="auto"/>
        <w:jc w:val="both"/>
        <w:rPr>
          <w:sz w:val="28"/>
          <w:szCs w:val="28"/>
        </w:rPr>
      </w:pPr>
      <w:r w:rsidRPr="00AD51FB">
        <w:rPr>
          <w:sz w:val="28"/>
          <w:szCs w:val="28"/>
        </w:rPr>
        <w:t>(a)</w:t>
      </w:r>
      <w:r w:rsidRPr="00AD51FB">
        <w:rPr>
          <w:sz w:val="28"/>
          <w:szCs w:val="28"/>
        </w:rPr>
        <w:tab/>
      </w:r>
      <w:r w:rsidR="00B54E17" w:rsidRPr="00CF10AD">
        <w:rPr>
          <w:sz w:val="28"/>
          <w:szCs w:val="28"/>
        </w:rPr>
        <w:t>initiate an investigation into Optivest’s affairs;</w:t>
      </w:r>
    </w:p>
    <w:p w14:paraId="4108E9EA" w14:textId="0607E96D" w:rsidR="00381750" w:rsidRPr="00CF10AD" w:rsidRDefault="00CF10AD" w:rsidP="00CF10AD">
      <w:pPr>
        <w:tabs>
          <w:tab w:val="left" w:pos="426"/>
        </w:tabs>
        <w:spacing w:line="360" w:lineRule="auto"/>
        <w:ind w:right="-1"/>
        <w:jc w:val="both"/>
        <w:rPr>
          <w:sz w:val="28"/>
          <w:szCs w:val="28"/>
        </w:rPr>
      </w:pPr>
      <w:r w:rsidRPr="00AD51FB">
        <w:rPr>
          <w:sz w:val="28"/>
          <w:szCs w:val="28"/>
        </w:rPr>
        <w:t>(b)</w:t>
      </w:r>
      <w:r w:rsidRPr="00AD51FB">
        <w:rPr>
          <w:sz w:val="28"/>
          <w:szCs w:val="28"/>
        </w:rPr>
        <w:tab/>
      </w:r>
      <w:r w:rsidR="00B54E17" w:rsidRPr="00CF10AD">
        <w:rPr>
          <w:sz w:val="28"/>
          <w:szCs w:val="28"/>
        </w:rPr>
        <w:t>appoint Open Water to undertake the investigation on its behalf; and</w:t>
      </w:r>
      <w:r w:rsidR="00920560" w:rsidRPr="00CF10AD">
        <w:rPr>
          <w:sz w:val="28"/>
          <w:szCs w:val="28"/>
        </w:rPr>
        <w:t xml:space="preserve"> consequently,</w:t>
      </w:r>
    </w:p>
    <w:p w14:paraId="030187DA" w14:textId="2D530287" w:rsidR="00B54E17" w:rsidRPr="00CF10AD" w:rsidRDefault="00CF10AD" w:rsidP="00CF10AD">
      <w:pPr>
        <w:tabs>
          <w:tab w:val="left" w:pos="426"/>
        </w:tabs>
        <w:spacing w:line="360" w:lineRule="auto"/>
        <w:jc w:val="both"/>
        <w:rPr>
          <w:sz w:val="28"/>
          <w:szCs w:val="28"/>
        </w:rPr>
      </w:pPr>
      <w:r w:rsidRPr="00AD51FB">
        <w:rPr>
          <w:sz w:val="28"/>
          <w:szCs w:val="28"/>
        </w:rPr>
        <w:t>(c)</w:t>
      </w:r>
      <w:r w:rsidRPr="00AD51FB">
        <w:rPr>
          <w:sz w:val="28"/>
          <w:szCs w:val="28"/>
        </w:rPr>
        <w:tab/>
      </w:r>
      <w:r w:rsidR="006520C5" w:rsidRPr="00CF10AD">
        <w:rPr>
          <w:sz w:val="28"/>
          <w:szCs w:val="28"/>
        </w:rPr>
        <w:t xml:space="preserve">to </w:t>
      </w:r>
      <w:r w:rsidR="00B54E17" w:rsidRPr="00CF10AD">
        <w:rPr>
          <w:sz w:val="28"/>
          <w:szCs w:val="28"/>
        </w:rPr>
        <w:t>review and set aside the second draft report.</w:t>
      </w:r>
    </w:p>
    <w:p w14:paraId="57BA8029" w14:textId="3350AF8A" w:rsidR="00B54E17" w:rsidRPr="00AD51FB" w:rsidRDefault="00B54E17" w:rsidP="00154482">
      <w:pPr>
        <w:spacing w:line="360" w:lineRule="auto"/>
        <w:jc w:val="both"/>
        <w:rPr>
          <w:sz w:val="28"/>
          <w:szCs w:val="28"/>
        </w:rPr>
      </w:pPr>
      <w:r w:rsidRPr="00AD51FB">
        <w:rPr>
          <w:sz w:val="28"/>
          <w:szCs w:val="28"/>
        </w:rPr>
        <w:t>Optivest also sought an order for the return of all information</w:t>
      </w:r>
      <w:r w:rsidR="00AC0EFF" w:rsidRPr="00AD51FB">
        <w:rPr>
          <w:sz w:val="28"/>
          <w:szCs w:val="28"/>
        </w:rPr>
        <w:t xml:space="preserve"> and </w:t>
      </w:r>
      <w:r w:rsidR="005316EA" w:rsidRPr="00AD51FB">
        <w:rPr>
          <w:sz w:val="28"/>
          <w:szCs w:val="28"/>
        </w:rPr>
        <w:t>documentation obtained</w:t>
      </w:r>
      <w:r w:rsidRPr="00AD51FB">
        <w:rPr>
          <w:sz w:val="28"/>
          <w:szCs w:val="28"/>
        </w:rPr>
        <w:t xml:space="preserve"> in the course of the investigation.</w:t>
      </w:r>
    </w:p>
    <w:p w14:paraId="0DAA0B78" w14:textId="77777777" w:rsidR="001D773D" w:rsidRPr="00AD51FB" w:rsidRDefault="001D773D" w:rsidP="00154482">
      <w:pPr>
        <w:spacing w:line="360" w:lineRule="auto"/>
        <w:jc w:val="both"/>
        <w:rPr>
          <w:sz w:val="28"/>
          <w:szCs w:val="28"/>
        </w:rPr>
      </w:pPr>
    </w:p>
    <w:p w14:paraId="6CB39066" w14:textId="53D7A18E" w:rsidR="00B54E17" w:rsidRPr="00CF10AD" w:rsidRDefault="00CF10AD" w:rsidP="00CF10AD">
      <w:pPr>
        <w:spacing w:line="360" w:lineRule="auto"/>
        <w:jc w:val="both"/>
        <w:rPr>
          <w:sz w:val="28"/>
          <w:szCs w:val="28"/>
        </w:rPr>
      </w:pPr>
      <w:r w:rsidRPr="00AD51FB">
        <w:rPr>
          <w:sz w:val="28"/>
          <w:szCs w:val="28"/>
        </w:rPr>
        <w:t>[21]</w:t>
      </w:r>
      <w:r w:rsidRPr="00AD51FB">
        <w:rPr>
          <w:sz w:val="28"/>
          <w:szCs w:val="28"/>
        </w:rPr>
        <w:tab/>
      </w:r>
      <w:r w:rsidR="00B54E17" w:rsidRPr="00CF10AD">
        <w:rPr>
          <w:sz w:val="28"/>
          <w:szCs w:val="28"/>
        </w:rPr>
        <w:t xml:space="preserve">Optivest’s </w:t>
      </w:r>
      <w:r w:rsidR="00AD0BF9" w:rsidRPr="00CF10AD">
        <w:rPr>
          <w:sz w:val="28"/>
          <w:szCs w:val="28"/>
        </w:rPr>
        <w:t>review</w:t>
      </w:r>
      <w:r w:rsidR="007A1729" w:rsidRPr="00CF10AD">
        <w:rPr>
          <w:sz w:val="28"/>
          <w:szCs w:val="28"/>
        </w:rPr>
        <w:t xml:space="preserve"> </w:t>
      </w:r>
      <w:r w:rsidR="00AD0BF9" w:rsidRPr="00CF10AD">
        <w:rPr>
          <w:sz w:val="28"/>
          <w:szCs w:val="28"/>
        </w:rPr>
        <w:t>was based on three main grounds. It contended that:</w:t>
      </w:r>
    </w:p>
    <w:p w14:paraId="7EF5D6A0" w14:textId="2CEC5A5D" w:rsidR="00B54E17" w:rsidRPr="00CF10AD" w:rsidRDefault="00CF10AD" w:rsidP="00CF10AD">
      <w:pPr>
        <w:tabs>
          <w:tab w:val="left" w:pos="426"/>
        </w:tabs>
        <w:spacing w:line="360" w:lineRule="auto"/>
        <w:jc w:val="both"/>
        <w:rPr>
          <w:sz w:val="28"/>
          <w:szCs w:val="28"/>
        </w:rPr>
      </w:pPr>
      <w:r w:rsidRPr="00AD51FB">
        <w:rPr>
          <w:sz w:val="28"/>
          <w:szCs w:val="28"/>
        </w:rPr>
        <w:t>(a)</w:t>
      </w:r>
      <w:r w:rsidRPr="00AD51FB">
        <w:rPr>
          <w:sz w:val="28"/>
          <w:szCs w:val="28"/>
        </w:rPr>
        <w:tab/>
      </w:r>
      <w:r w:rsidR="006520C5" w:rsidRPr="00CF10AD">
        <w:rPr>
          <w:sz w:val="28"/>
          <w:szCs w:val="28"/>
        </w:rPr>
        <w:t xml:space="preserve">the Council </w:t>
      </w:r>
      <w:r w:rsidR="00B54E17" w:rsidRPr="00CF10AD">
        <w:rPr>
          <w:sz w:val="28"/>
          <w:szCs w:val="28"/>
        </w:rPr>
        <w:t>was not</w:t>
      </w:r>
      <w:r w:rsidR="006520C5" w:rsidRPr="00CF10AD">
        <w:rPr>
          <w:sz w:val="28"/>
          <w:szCs w:val="28"/>
        </w:rPr>
        <w:t xml:space="preserve"> </w:t>
      </w:r>
      <w:r w:rsidR="00B54E17" w:rsidRPr="00CF10AD">
        <w:rPr>
          <w:sz w:val="28"/>
          <w:szCs w:val="28"/>
        </w:rPr>
        <w:t xml:space="preserve">empowered by the </w:t>
      </w:r>
      <w:r w:rsidR="006520C5" w:rsidRPr="00CF10AD">
        <w:rPr>
          <w:sz w:val="28"/>
          <w:szCs w:val="28"/>
        </w:rPr>
        <w:t>Act or the FSR Act</w:t>
      </w:r>
      <w:r w:rsidR="00B54E17" w:rsidRPr="00CF10AD">
        <w:rPr>
          <w:sz w:val="28"/>
          <w:szCs w:val="28"/>
        </w:rPr>
        <w:t xml:space="preserve"> to initiate an investigation into it because it is a br</w:t>
      </w:r>
      <w:r w:rsidR="00163215" w:rsidRPr="00CF10AD">
        <w:rPr>
          <w:sz w:val="28"/>
          <w:szCs w:val="28"/>
        </w:rPr>
        <w:t>oker and not a medical scheme (</w:t>
      </w:r>
      <w:r w:rsidR="00163215" w:rsidRPr="00CF10AD">
        <w:rPr>
          <w:bCs/>
          <w:sz w:val="28"/>
          <w:szCs w:val="28"/>
        </w:rPr>
        <w:t>the lawfulness challenge</w:t>
      </w:r>
      <w:r w:rsidR="003B6C67" w:rsidRPr="00CF10AD">
        <w:rPr>
          <w:sz w:val="28"/>
          <w:szCs w:val="28"/>
        </w:rPr>
        <w:t>);</w:t>
      </w:r>
    </w:p>
    <w:p w14:paraId="60C67640" w14:textId="7D2B47B0" w:rsidR="00B54E17" w:rsidRPr="00CF10AD" w:rsidRDefault="00CF10AD" w:rsidP="00CF10AD">
      <w:pPr>
        <w:tabs>
          <w:tab w:val="left" w:pos="426"/>
        </w:tabs>
        <w:spacing w:line="360" w:lineRule="auto"/>
        <w:jc w:val="both"/>
        <w:rPr>
          <w:sz w:val="28"/>
          <w:szCs w:val="28"/>
        </w:rPr>
      </w:pPr>
      <w:r w:rsidRPr="00AD51FB">
        <w:rPr>
          <w:sz w:val="28"/>
          <w:szCs w:val="28"/>
        </w:rPr>
        <w:t>(b)</w:t>
      </w:r>
      <w:r w:rsidRPr="00AD51FB">
        <w:rPr>
          <w:sz w:val="28"/>
          <w:szCs w:val="28"/>
        </w:rPr>
        <w:tab/>
      </w:r>
      <w:r w:rsidR="00AD0BF9" w:rsidRPr="00CF10AD">
        <w:rPr>
          <w:sz w:val="28"/>
          <w:szCs w:val="28"/>
        </w:rPr>
        <w:t>t</w:t>
      </w:r>
      <w:r w:rsidR="006520C5" w:rsidRPr="00CF10AD">
        <w:rPr>
          <w:sz w:val="28"/>
          <w:szCs w:val="28"/>
        </w:rPr>
        <w:t xml:space="preserve">he </w:t>
      </w:r>
      <w:r w:rsidR="00B54E17" w:rsidRPr="00CF10AD">
        <w:rPr>
          <w:sz w:val="28"/>
          <w:szCs w:val="28"/>
        </w:rPr>
        <w:t>investigation was allegedly initiated pu</w:t>
      </w:r>
      <w:r w:rsidR="00163215" w:rsidRPr="00CF10AD">
        <w:rPr>
          <w:sz w:val="28"/>
          <w:szCs w:val="28"/>
        </w:rPr>
        <w:t>rsuant to a written tip-off</w:t>
      </w:r>
      <w:r w:rsidR="00B54E17" w:rsidRPr="00CF10AD">
        <w:rPr>
          <w:sz w:val="28"/>
          <w:szCs w:val="28"/>
        </w:rPr>
        <w:t xml:space="preserve">. Accordingly, Optivest should have been afforded </w:t>
      </w:r>
      <w:r w:rsidR="00B54E17" w:rsidRPr="00CF10AD">
        <w:rPr>
          <w:i/>
          <w:iCs/>
          <w:sz w:val="28"/>
          <w:szCs w:val="28"/>
        </w:rPr>
        <w:t>audi</w:t>
      </w:r>
      <w:r w:rsidR="006520C5" w:rsidRPr="00CF10AD">
        <w:rPr>
          <w:i/>
          <w:iCs/>
          <w:sz w:val="28"/>
          <w:szCs w:val="28"/>
        </w:rPr>
        <w:t xml:space="preserve"> alterem partem</w:t>
      </w:r>
      <w:r w:rsidR="00B54E17" w:rsidRPr="00CF10AD">
        <w:rPr>
          <w:i/>
          <w:iCs/>
          <w:sz w:val="28"/>
          <w:szCs w:val="28"/>
        </w:rPr>
        <w:t xml:space="preserve"> </w:t>
      </w:r>
      <w:r w:rsidR="00E937D7" w:rsidRPr="00CF10AD">
        <w:rPr>
          <w:i/>
          <w:iCs/>
          <w:sz w:val="28"/>
          <w:szCs w:val="28"/>
        </w:rPr>
        <w:t>(audi)</w:t>
      </w:r>
      <w:r w:rsidR="008023F5" w:rsidRPr="00CF10AD">
        <w:rPr>
          <w:i/>
          <w:iCs/>
          <w:sz w:val="28"/>
          <w:szCs w:val="28"/>
        </w:rPr>
        <w:t xml:space="preserve"> </w:t>
      </w:r>
      <w:r w:rsidR="00B54E17" w:rsidRPr="00CF10AD">
        <w:rPr>
          <w:sz w:val="28"/>
          <w:szCs w:val="28"/>
        </w:rPr>
        <w:t>in terms of s</w:t>
      </w:r>
      <w:r w:rsidR="00154482" w:rsidRPr="00CF10AD">
        <w:rPr>
          <w:sz w:val="28"/>
          <w:szCs w:val="28"/>
        </w:rPr>
        <w:t xml:space="preserve"> </w:t>
      </w:r>
      <w:r w:rsidR="00B54E17" w:rsidRPr="00CF10AD">
        <w:rPr>
          <w:sz w:val="28"/>
          <w:szCs w:val="28"/>
        </w:rPr>
        <w:t xml:space="preserve">47 of the </w:t>
      </w:r>
      <w:r w:rsidR="006520C5" w:rsidRPr="00CF10AD">
        <w:rPr>
          <w:sz w:val="28"/>
          <w:szCs w:val="28"/>
        </w:rPr>
        <w:t>Act</w:t>
      </w:r>
      <w:r w:rsidR="00163215" w:rsidRPr="00CF10AD">
        <w:rPr>
          <w:sz w:val="28"/>
          <w:szCs w:val="28"/>
        </w:rPr>
        <w:t xml:space="preserve"> (</w:t>
      </w:r>
      <w:r w:rsidR="00B54E17" w:rsidRPr="00CF10AD">
        <w:rPr>
          <w:bCs/>
          <w:sz w:val="28"/>
          <w:szCs w:val="28"/>
        </w:rPr>
        <w:t>the procedural challenge</w:t>
      </w:r>
      <w:r w:rsidR="003B6C67" w:rsidRPr="00CF10AD">
        <w:rPr>
          <w:sz w:val="28"/>
          <w:szCs w:val="28"/>
        </w:rPr>
        <w:t>); and</w:t>
      </w:r>
    </w:p>
    <w:p w14:paraId="5EF171FF" w14:textId="4A590B86" w:rsidR="00B54E17" w:rsidRPr="00CF10AD" w:rsidRDefault="00CF10AD" w:rsidP="00CF10AD">
      <w:pPr>
        <w:tabs>
          <w:tab w:val="left" w:pos="426"/>
        </w:tabs>
        <w:spacing w:line="360" w:lineRule="auto"/>
        <w:jc w:val="both"/>
        <w:rPr>
          <w:sz w:val="28"/>
          <w:szCs w:val="28"/>
        </w:rPr>
      </w:pPr>
      <w:r w:rsidRPr="00AD51FB">
        <w:rPr>
          <w:sz w:val="28"/>
          <w:szCs w:val="28"/>
        </w:rPr>
        <w:lastRenderedPageBreak/>
        <w:t>(c)</w:t>
      </w:r>
      <w:r w:rsidRPr="00AD51FB">
        <w:rPr>
          <w:sz w:val="28"/>
          <w:szCs w:val="28"/>
        </w:rPr>
        <w:tab/>
      </w:r>
      <w:r w:rsidR="00AD0BF9" w:rsidRPr="00CF10AD">
        <w:rPr>
          <w:sz w:val="28"/>
          <w:szCs w:val="28"/>
        </w:rPr>
        <w:t>t</w:t>
      </w:r>
      <w:r w:rsidR="00B54E17" w:rsidRPr="00CF10AD">
        <w:rPr>
          <w:sz w:val="28"/>
          <w:szCs w:val="28"/>
        </w:rPr>
        <w:t>he investigation was not rationally connected to the p</w:t>
      </w:r>
      <w:r w:rsidR="00163215" w:rsidRPr="00CF10AD">
        <w:rPr>
          <w:sz w:val="28"/>
          <w:szCs w:val="28"/>
        </w:rPr>
        <w:t>urpose sought to be achieved (</w:t>
      </w:r>
      <w:r w:rsidR="00B54E17" w:rsidRPr="00CF10AD">
        <w:rPr>
          <w:bCs/>
          <w:sz w:val="28"/>
          <w:szCs w:val="28"/>
        </w:rPr>
        <w:t>the rationality challenge</w:t>
      </w:r>
      <w:r w:rsidR="00B54E17" w:rsidRPr="00CF10AD">
        <w:rPr>
          <w:sz w:val="28"/>
          <w:szCs w:val="28"/>
        </w:rPr>
        <w:t>).</w:t>
      </w:r>
    </w:p>
    <w:p w14:paraId="5E1FC3F0" w14:textId="77777777" w:rsidR="006520C5" w:rsidRPr="00AD51FB" w:rsidRDefault="006520C5" w:rsidP="003A73A2">
      <w:pPr>
        <w:pStyle w:val="ListParagraph"/>
        <w:spacing w:line="360" w:lineRule="auto"/>
        <w:ind w:left="0"/>
        <w:jc w:val="both"/>
        <w:rPr>
          <w:sz w:val="28"/>
          <w:szCs w:val="28"/>
        </w:rPr>
      </w:pPr>
    </w:p>
    <w:p w14:paraId="01AFFFAE" w14:textId="18FF6A38" w:rsidR="00B54E17" w:rsidRPr="00CF10AD" w:rsidRDefault="00CF10AD" w:rsidP="00CF10AD">
      <w:pPr>
        <w:spacing w:line="360" w:lineRule="auto"/>
        <w:ind w:left="360" w:hanging="360"/>
        <w:jc w:val="both"/>
        <w:rPr>
          <w:sz w:val="28"/>
          <w:szCs w:val="28"/>
        </w:rPr>
      </w:pPr>
      <w:r w:rsidRPr="00AD51FB">
        <w:rPr>
          <w:sz w:val="28"/>
          <w:szCs w:val="28"/>
        </w:rPr>
        <w:t>[22]</w:t>
      </w:r>
      <w:r w:rsidRPr="00AD51FB">
        <w:rPr>
          <w:sz w:val="28"/>
          <w:szCs w:val="28"/>
        </w:rPr>
        <w:tab/>
      </w:r>
      <w:r w:rsidR="006520C5" w:rsidRPr="00CF10AD">
        <w:rPr>
          <w:sz w:val="28"/>
          <w:szCs w:val="28"/>
        </w:rPr>
        <w:t xml:space="preserve">The high court </w:t>
      </w:r>
      <w:r w:rsidR="00B54E17" w:rsidRPr="00CF10AD">
        <w:rPr>
          <w:sz w:val="28"/>
          <w:szCs w:val="28"/>
        </w:rPr>
        <w:t>dismissed Optivest’s application and found that:</w:t>
      </w:r>
    </w:p>
    <w:p w14:paraId="7D772FC1" w14:textId="7206A166" w:rsidR="006520C5" w:rsidRPr="00CF10AD" w:rsidRDefault="00CF10AD" w:rsidP="00CF10AD">
      <w:pPr>
        <w:tabs>
          <w:tab w:val="left" w:pos="426"/>
        </w:tabs>
        <w:spacing w:line="360" w:lineRule="auto"/>
        <w:jc w:val="both"/>
        <w:rPr>
          <w:sz w:val="28"/>
          <w:szCs w:val="28"/>
        </w:rPr>
      </w:pPr>
      <w:r w:rsidRPr="00AD51FB">
        <w:rPr>
          <w:sz w:val="28"/>
          <w:szCs w:val="28"/>
        </w:rPr>
        <w:t>(a)</w:t>
      </w:r>
      <w:r w:rsidRPr="00AD51FB">
        <w:rPr>
          <w:sz w:val="28"/>
          <w:szCs w:val="28"/>
        </w:rPr>
        <w:tab/>
      </w:r>
      <w:r w:rsidR="00AD0BF9" w:rsidRPr="00CF10AD">
        <w:rPr>
          <w:sz w:val="28"/>
          <w:szCs w:val="28"/>
        </w:rPr>
        <w:t>t</w:t>
      </w:r>
      <w:r w:rsidR="006520C5" w:rsidRPr="00CF10AD">
        <w:rPr>
          <w:sz w:val="28"/>
          <w:szCs w:val="28"/>
        </w:rPr>
        <w:t xml:space="preserve">he Council </w:t>
      </w:r>
      <w:r w:rsidR="00B54E17" w:rsidRPr="00CF10AD">
        <w:rPr>
          <w:sz w:val="28"/>
          <w:szCs w:val="28"/>
        </w:rPr>
        <w:t xml:space="preserve">acted </w:t>
      </w:r>
      <w:r w:rsidR="00B54E17" w:rsidRPr="00CF10AD">
        <w:rPr>
          <w:i/>
          <w:iCs/>
          <w:sz w:val="28"/>
          <w:szCs w:val="28"/>
        </w:rPr>
        <w:t>intra vires</w:t>
      </w:r>
      <w:r w:rsidR="00B54E17" w:rsidRPr="00CF10AD">
        <w:rPr>
          <w:sz w:val="28"/>
          <w:szCs w:val="28"/>
        </w:rPr>
        <w:t xml:space="preserve"> the powers statutorily vested in them </w:t>
      </w:r>
      <w:r w:rsidR="00AD0BF9" w:rsidRPr="00CF10AD">
        <w:rPr>
          <w:sz w:val="28"/>
          <w:szCs w:val="28"/>
        </w:rPr>
        <w:t>in initiating the investigation;</w:t>
      </w:r>
      <w:r w:rsidR="00B54E17" w:rsidRPr="00CF10AD">
        <w:rPr>
          <w:sz w:val="28"/>
          <w:szCs w:val="28"/>
        </w:rPr>
        <w:t xml:space="preserve"> </w:t>
      </w:r>
    </w:p>
    <w:p w14:paraId="097CA868" w14:textId="32047FB9" w:rsidR="00B54E17" w:rsidRPr="00CF10AD" w:rsidRDefault="00CF10AD" w:rsidP="00CF10AD">
      <w:pPr>
        <w:tabs>
          <w:tab w:val="left" w:pos="426"/>
        </w:tabs>
        <w:spacing w:line="360" w:lineRule="auto"/>
        <w:jc w:val="both"/>
        <w:rPr>
          <w:sz w:val="28"/>
          <w:szCs w:val="28"/>
        </w:rPr>
      </w:pPr>
      <w:r w:rsidRPr="00AD51FB">
        <w:rPr>
          <w:sz w:val="28"/>
          <w:szCs w:val="28"/>
        </w:rPr>
        <w:t>(b)</w:t>
      </w:r>
      <w:r w:rsidRPr="00AD51FB">
        <w:rPr>
          <w:sz w:val="28"/>
          <w:szCs w:val="28"/>
        </w:rPr>
        <w:tab/>
      </w:r>
      <w:r w:rsidR="00B54E17" w:rsidRPr="00CF10AD">
        <w:rPr>
          <w:sz w:val="28"/>
          <w:szCs w:val="28"/>
        </w:rPr>
        <w:t>Optivest, having applied for and been granted accreditation</w:t>
      </w:r>
      <w:r w:rsidR="006520C5" w:rsidRPr="00CF10AD">
        <w:rPr>
          <w:sz w:val="28"/>
          <w:szCs w:val="28"/>
        </w:rPr>
        <w:t>,</w:t>
      </w:r>
      <w:r w:rsidR="00B54E17" w:rsidRPr="00CF10AD">
        <w:rPr>
          <w:sz w:val="28"/>
          <w:szCs w:val="28"/>
        </w:rPr>
        <w:t xml:space="preserve"> is subject to the regulatory regime provided for by the </w:t>
      </w:r>
      <w:r w:rsidR="006520C5" w:rsidRPr="00CF10AD">
        <w:rPr>
          <w:sz w:val="28"/>
          <w:szCs w:val="28"/>
        </w:rPr>
        <w:t>Act</w:t>
      </w:r>
      <w:r w:rsidR="00AD0BF9" w:rsidRPr="00CF10AD">
        <w:rPr>
          <w:sz w:val="28"/>
          <w:szCs w:val="28"/>
        </w:rPr>
        <w:t>; and</w:t>
      </w:r>
    </w:p>
    <w:p w14:paraId="0070624A" w14:textId="3986924B" w:rsidR="00B54E17" w:rsidRPr="00CF10AD" w:rsidRDefault="00CF10AD" w:rsidP="00CF10AD">
      <w:pPr>
        <w:tabs>
          <w:tab w:val="left" w:pos="426"/>
        </w:tabs>
        <w:spacing w:line="360" w:lineRule="auto"/>
        <w:jc w:val="both"/>
        <w:rPr>
          <w:sz w:val="28"/>
          <w:szCs w:val="28"/>
        </w:rPr>
      </w:pPr>
      <w:r w:rsidRPr="00AD51FB">
        <w:rPr>
          <w:sz w:val="28"/>
          <w:szCs w:val="28"/>
        </w:rPr>
        <w:t>(c)</w:t>
      </w:r>
      <w:r w:rsidRPr="00AD51FB">
        <w:rPr>
          <w:sz w:val="28"/>
          <w:szCs w:val="28"/>
        </w:rPr>
        <w:tab/>
      </w:r>
      <w:r w:rsidR="00AD0BF9" w:rsidRPr="00CF10AD">
        <w:rPr>
          <w:sz w:val="28"/>
          <w:szCs w:val="28"/>
        </w:rPr>
        <w:t>t</w:t>
      </w:r>
      <w:r w:rsidR="00B54E17" w:rsidRPr="00CF10AD">
        <w:rPr>
          <w:sz w:val="28"/>
          <w:szCs w:val="28"/>
        </w:rPr>
        <w:t xml:space="preserve">he mischief which the </w:t>
      </w:r>
      <w:r w:rsidR="006520C5" w:rsidRPr="00CF10AD">
        <w:rPr>
          <w:sz w:val="28"/>
          <w:szCs w:val="28"/>
        </w:rPr>
        <w:t>Council</w:t>
      </w:r>
      <w:r w:rsidR="00B54E17" w:rsidRPr="00CF10AD">
        <w:rPr>
          <w:sz w:val="28"/>
          <w:szCs w:val="28"/>
        </w:rPr>
        <w:t xml:space="preserve"> </w:t>
      </w:r>
      <w:r w:rsidR="009B7D4A" w:rsidRPr="00CF10AD">
        <w:rPr>
          <w:sz w:val="28"/>
          <w:szCs w:val="28"/>
        </w:rPr>
        <w:t>was called upon to</w:t>
      </w:r>
      <w:r w:rsidR="00B54E17" w:rsidRPr="00CF10AD">
        <w:rPr>
          <w:sz w:val="28"/>
          <w:szCs w:val="28"/>
        </w:rPr>
        <w:t xml:space="preserve"> investigate also occurred within the ambit of Optivest’s </w:t>
      </w:r>
      <w:r w:rsidR="00661FD0" w:rsidRPr="00CF10AD">
        <w:rPr>
          <w:sz w:val="28"/>
          <w:szCs w:val="28"/>
        </w:rPr>
        <w:t>accreditation.</w:t>
      </w:r>
      <w:r w:rsidR="00B54E17" w:rsidRPr="00CF10AD">
        <w:rPr>
          <w:i/>
          <w:iCs/>
          <w:sz w:val="28"/>
          <w:szCs w:val="28"/>
        </w:rPr>
        <w:t xml:space="preserve"> </w:t>
      </w:r>
    </w:p>
    <w:p w14:paraId="1A6565D2" w14:textId="77777777" w:rsidR="00B54E17" w:rsidRPr="00AD51FB" w:rsidRDefault="00B54E17" w:rsidP="00154482">
      <w:pPr>
        <w:spacing w:line="360" w:lineRule="auto"/>
        <w:jc w:val="both"/>
        <w:rPr>
          <w:i/>
          <w:iCs/>
          <w:sz w:val="28"/>
          <w:szCs w:val="28"/>
        </w:rPr>
      </w:pPr>
    </w:p>
    <w:p w14:paraId="6D02738C" w14:textId="27EAD011" w:rsidR="006520C5" w:rsidRPr="00CF10AD" w:rsidRDefault="00CF10AD" w:rsidP="00CF10AD">
      <w:pPr>
        <w:spacing w:line="360" w:lineRule="auto"/>
        <w:jc w:val="both"/>
        <w:rPr>
          <w:sz w:val="28"/>
          <w:szCs w:val="28"/>
        </w:rPr>
      </w:pPr>
      <w:r w:rsidRPr="00AD51FB">
        <w:rPr>
          <w:sz w:val="28"/>
          <w:szCs w:val="28"/>
        </w:rPr>
        <w:t>[23]</w:t>
      </w:r>
      <w:r w:rsidRPr="00AD51FB">
        <w:rPr>
          <w:sz w:val="28"/>
          <w:szCs w:val="28"/>
        </w:rPr>
        <w:tab/>
      </w:r>
      <w:r w:rsidR="00B54E17" w:rsidRPr="00CF10AD">
        <w:rPr>
          <w:sz w:val="28"/>
          <w:szCs w:val="28"/>
        </w:rPr>
        <w:t>In the appeal, Optivest contends that the high court</w:t>
      </w:r>
      <w:r w:rsidR="008023F5" w:rsidRPr="00CF10AD">
        <w:rPr>
          <w:sz w:val="28"/>
          <w:szCs w:val="28"/>
        </w:rPr>
        <w:t>’</w:t>
      </w:r>
      <w:r w:rsidR="00B54E17" w:rsidRPr="00CF10AD">
        <w:rPr>
          <w:sz w:val="28"/>
          <w:szCs w:val="28"/>
        </w:rPr>
        <w:t xml:space="preserve">s findings were </w:t>
      </w:r>
      <w:r w:rsidR="00661FD0" w:rsidRPr="00CF10AD">
        <w:rPr>
          <w:sz w:val="28"/>
          <w:szCs w:val="28"/>
        </w:rPr>
        <w:t xml:space="preserve">incorrect </w:t>
      </w:r>
      <w:r w:rsidR="00B54E17" w:rsidRPr="00CF10AD">
        <w:rPr>
          <w:sz w:val="28"/>
          <w:szCs w:val="28"/>
        </w:rPr>
        <w:t>and it seeks to challenge the decision on five grounds</w:t>
      </w:r>
      <w:r w:rsidR="003B6C67" w:rsidRPr="00CF10AD">
        <w:rPr>
          <w:sz w:val="28"/>
          <w:szCs w:val="28"/>
        </w:rPr>
        <w:t>.</w:t>
      </w:r>
      <w:r w:rsidR="009D7261" w:rsidRPr="00CF10AD">
        <w:rPr>
          <w:sz w:val="28"/>
          <w:szCs w:val="28"/>
        </w:rPr>
        <w:t xml:space="preserve"> These are encompassed in the</w:t>
      </w:r>
      <w:r w:rsidR="00661FD0" w:rsidRPr="00CF10AD">
        <w:rPr>
          <w:sz w:val="28"/>
          <w:szCs w:val="28"/>
        </w:rPr>
        <w:t xml:space="preserve"> </w:t>
      </w:r>
      <w:r w:rsidR="00B54E17" w:rsidRPr="00CF10AD">
        <w:rPr>
          <w:sz w:val="28"/>
          <w:szCs w:val="28"/>
        </w:rPr>
        <w:t xml:space="preserve">three grounds raised in the </w:t>
      </w:r>
      <w:r w:rsidR="006520C5" w:rsidRPr="00CF10AD">
        <w:rPr>
          <w:sz w:val="28"/>
          <w:szCs w:val="28"/>
        </w:rPr>
        <w:t>high court.</w:t>
      </w:r>
      <w:r w:rsidR="00163215" w:rsidRPr="00CF10AD">
        <w:rPr>
          <w:sz w:val="28"/>
          <w:szCs w:val="28"/>
        </w:rPr>
        <w:t xml:space="preserve"> Optivest claims that the high court erred in the following respects:</w:t>
      </w:r>
    </w:p>
    <w:p w14:paraId="39D735C6" w14:textId="1971D410" w:rsidR="00B54E17" w:rsidRPr="00CF10AD" w:rsidRDefault="00CF10AD" w:rsidP="00CF10AD">
      <w:pPr>
        <w:tabs>
          <w:tab w:val="left" w:pos="426"/>
        </w:tabs>
        <w:spacing w:line="360" w:lineRule="auto"/>
        <w:jc w:val="both"/>
        <w:rPr>
          <w:sz w:val="28"/>
          <w:szCs w:val="28"/>
        </w:rPr>
      </w:pPr>
      <w:r w:rsidRPr="00AD51FB">
        <w:rPr>
          <w:sz w:val="28"/>
          <w:szCs w:val="28"/>
        </w:rPr>
        <w:t>(a)</w:t>
      </w:r>
      <w:r w:rsidRPr="00AD51FB">
        <w:rPr>
          <w:sz w:val="28"/>
          <w:szCs w:val="28"/>
        </w:rPr>
        <w:tab/>
      </w:r>
      <w:r w:rsidR="00B54E17" w:rsidRPr="00CF10AD">
        <w:rPr>
          <w:sz w:val="28"/>
          <w:szCs w:val="28"/>
        </w:rPr>
        <w:t>in finding that the Registra</w:t>
      </w:r>
      <w:r w:rsidR="009B7D4A" w:rsidRPr="00CF10AD">
        <w:rPr>
          <w:sz w:val="28"/>
          <w:szCs w:val="28"/>
        </w:rPr>
        <w:t>r and Council acted within their</w:t>
      </w:r>
      <w:r w:rsidR="00B54E17" w:rsidRPr="00CF10AD">
        <w:rPr>
          <w:sz w:val="28"/>
          <w:szCs w:val="28"/>
        </w:rPr>
        <w:t xml:space="preserve"> powers in investigating Optivest’s affairs. This is rooted in the first </w:t>
      </w:r>
      <w:r w:rsidR="006520C5" w:rsidRPr="00CF10AD">
        <w:rPr>
          <w:sz w:val="28"/>
          <w:szCs w:val="28"/>
        </w:rPr>
        <w:t>three related grounds of appeal referred to above;</w:t>
      </w:r>
    </w:p>
    <w:p w14:paraId="285A4815" w14:textId="27A600E6" w:rsidR="00B54E17" w:rsidRPr="00CF10AD" w:rsidRDefault="00CF10AD" w:rsidP="00CF10AD">
      <w:pPr>
        <w:tabs>
          <w:tab w:val="left" w:pos="426"/>
        </w:tabs>
        <w:spacing w:line="360" w:lineRule="auto"/>
        <w:jc w:val="both"/>
        <w:rPr>
          <w:sz w:val="28"/>
          <w:szCs w:val="28"/>
        </w:rPr>
      </w:pPr>
      <w:r w:rsidRPr="00AD51FB">
        <w:rPr>
          <w:sz w:val="28"/>
          <w:szCs w:val="28"/>
        </w:rPr>
        <w:t>(b)</w:t>
      </w:r>
      <w:r w:rsidRPr="00AD51FB">
        <w:rPr>
          <w:sz w:val="28"/>
          <w:szCs w:val="28"/>
        </w:rPr>
        <w:tab/>
      </w:r>
      <w:r w:rsidR="00B54E17" w:rsidRPr="00CF10AD">
        <w:rPr>
          <w:sz w:val="28"/>
          <w:szCs w:val="28"/>
        </w:rPr>
        <w:t xml:space="preserve">in its construction of the Council’s investigatory powers both under the </w:t>
      </w:r>
      <w:r w:rsidR="006520C5" w:rsidRPr="00CF10AD">
        <w:rPr>
          <w:sz w:val="28"/>
          <w:szCs w:val="28"/>
        </w:rPr>
        <w:t>Act</w:t>
      </w:r>
      <w:r w:rsidR="00B54E17" w:rsidRPr="00CF10AD">
        <w:rPr>
          <w:sz w:val="28"/>
          <w:szCs w:val="28"/>
        </w:rPr>
        <w:t xml:space="preserve"> and FSR</w:t>
      </w:r>
      <w:r w:rsidR="006520C5" w:rsidRPr="00CF10AD">
        <w:rPr>
          <w:sz w:val="28"/>
          <w:szCs w:val="28"/>
        </w:rPr>
        <w:t xml:space="preserve"> Act</w:t>
      </w:r>
      <w:r w:rsidR="00B54E17" w:rsidRPr="00CF10AD">
        <w:rPr>
          <w:sz w:val="28"/>
          <w:szCs w:val="28"/>
        </w:rPr>
        <w:t xml:space="preserve"> in finding that the Council and the Registrar acted </w:t>
      </w:r>
      <w:r w:rsidR="00B54E17" w:rsidRPr="00CF10AD">
        <w:rPr>
          <w:iCs/>
          <w:sz w:val="28"/>
          <w:szCs w:val="28"/>
        </w:rPr>
        <w:t>intra vires;</w:t>
      </w:r>
    </w:p>
    <w:p w14:paraId="2E95B8E5" w14:textId="51240F47" w:rsidR="00B54E17" w:rsidRPr="00CF10AD" w:rsidRDefault="00CF10AD" w:rsidP="00CF10AD">
      <w:pPr>
        <w:tabs>
          <w:tab w:val="left" w:pos="426"/>
        </w:tabs>
        <w:spacing w:line="360" w:lineRule="auto"/>
        <w:jc w:val="both"/>
        <w:rPr>
          <w:sz w:val="28"/>
          <w:szCs w:val="28"/>
        </w:rPr>
      </w:pPr>
      <w:r w:rsidRPr="00AD51FB">
        <w:rPr>
          <w:sz w:val="28"/>
          <w:szCs w:val="28"/>
        </w:rPr>
        <w:t>(c)</w:t>
      </w:r>
      <w:r w:rsidRPr="00AD51FB">
        <w:rPr>
          <w:sz w:val="28"/>
          <w:szCs w:val="28"/>
        </w:rPr>
        <w:tab/>
      </w:r>
      <w:r w:rsidR="00B54E17" w:rsidRPr="00CF10AD">
        <w:rPr>
          <w:sz w:val="28"/>
          <w:szCs w:val="28"/>
        </w:rPr>
        <w:t xml:space="preserve">in its construction of section 44(4) of the </w:t>
      </w:r>
      <w:r w:rsidR="00222710" w:rsidRPr="00CF10AD">
        <w:rPr>
          <w:sz w:val="28"/>
          <w:szCs w:val="28"/>
        </w:rPr>
        <w:t>Act</w:t>
      </w:r>
      <w:r w:rsidR="00163215" w:rsidRPr="00CF10AD">
        <w:rPr>
          <w:sz w:val="28"/>
          <w:szCs w:val="28"/>
        </w:rPr>
        <w:t xml:space="preserve"> </w:t>
      </w:r>
      <w:r w:rsidR="00B54E17" w:rsidRPr="00CF10AD">
        <w:rPr>
          <w:sz w:val="28"/>
          <w:szCs w:val="28"/>
        </w:rPr>
        <w:t xml:space="preserve">and </w:t>
      </w:r>
      <w:r w:rsidR="009B7D4A" w:rsidRPr="00CF10AD">
        <w:rPr>
          <w:sz w:val="28"/>
          <w:szCs w:val="28"/>
        </w:rPr>
        <w:t xml:space="preserve">the </w:t>
      </w:r>
      <w:r w:rsidR="00B54E17" w:rsidRPr="00CF10AD">
        <w:rPr>
          <w:sz w:val="28"/>
          <w:szCs w:val="28"/>
        </w:rPr>
        <w:t>provisions of the FSR</w:t>
      </w:r>
      <w:r w:rsidR="00222710" w:rsidRPr="00CF10AD">
        <w:rPr>
          <w:sz w:val="28"/>
          <w:szCs w:val="28"/>
        </w:rPr>
        <w:t xml:space="preserve"> Act;</w:t>
      </w:r>
    </w:p>
    <w:p w14:paraId="71626A28" w14:textId="575EB3D6" w:rsidR="00B54E17" w:rsidRPr="00CF10AD" w:rsidRDefault="00CF10AD" w:rsidP="00CF10AD">
      <w:pPr>
        <w:tabs>
          <w:tab w:val="left" w:pos="426"/>
        </w:tabs>
        <w:spacing w:line="360" w:lineRule="auto"/>
        <w:jc w:val="both"/>
        <w:rPr>
          <w:sz w:val="28"/>
          <w:szCs w:val="28"/>
        </w:rPr>
      </w:pPr>
      <w:r w:rsidRPr="00AD51FB">
        <w:rPr>
          <w:sz w:val="28"/>
          <w:szCs w:val="28"/>
        </w:rPr>
        <w:t>(d)</w:t>
      </w:r>
      <w:r w:rsidRPr="00AD51FB">
        <w:rPr>
          <w:sz w:val="28"/>
          <w:szCs w:val="28"/>
        </w:rPr>
        <w:tab/>
      </w:r>
      <w:r w:rsidR="00B54E17" w:rsidRPr="00CF10AD">
        <w:rPr>
          <w:sz w:val="28"/>
          <w:szCs w:val="28"/>
        </w:rPr>
        <w:t>in finding that the power to investigate brokers is reasonably incidental to the power to accredit</w:t>
      </w:r>
      <w:r w:rsidR="003B6C67" w:rsidRPr="00CF10AD">
        <w:rPr>
          <w:sz w:val="28"/>
          <w:szCs w:val="28"/>
        </w:rPr>
        <w:t xml:space="preserve"> brokers;</w:t>
      </w:r>
    </w:p>
    <w:p w14:paraId="79A2EB76" w14:textId="4DC2A483" w:rsidR="00B54E17" w:rsidRPr="00CF10AD" w:rsidRDefault="00CF10AD" w:rsidP="00CF10AD">
      <w:pPr>
        <w:tabs>
          <w:tab w:val="left" w:pos="426"/>
        </w:tabs>
        <w:spacing w:line="360" w:lineRule="auto"/>
        <w:jc w:val="both"/>
        <w:rPr>
          <w:sz w:val="28"/>
          <w:szCs w:val="28"/>
        </w:rPr>
      </w:pPr>
      <w:r w:rsidRPr="00AD51FB">
        <w:rPr>
          <w:sz w:val="28"/>
          <w:szCs w:val="28"/>
        </w:rPr>
        <w:t>(e)</w:t>
      </w:r>
      <w:r w:rsidRPr="00AD51FB">
        <w:rPr>
          <w:sz w:val="28"/>
          <w:szCs w:val="28"/>
        </w:rPr>
        <w:tab/>
      </w:r>
      <w:r w:rsidR="005316EA" w:rsidRPr="00CF10AD">
        <w:rPr>
          <w:sz w:val="28"/>
          <w:szCs w:val="28"/>
        </w:rPr>
        <w:t>b</w:t>
      </w:r>
      <w:r w:rsidR="00BE6481" w:rsidRPr="00CF10AD">
        <w:rPr>
          <w:sz w:val="28"/>
          <w:szCs w:val="28"/>
        </w:rPr>
        <w:t>y failing</w:t>
      </w:r>
      <w:r w:rsidR="00B54E17" w:rsidRPr="00CF10AD">
        <w:rPr>
          <w:sz w:val="28"/>
          <w:szCs w:val="28"/>
        </w:rPr>
        <w:t xml:space="preserve"> to consider properly Optivest’s contention that the investigation was not rationally re</w:t>
      </w:r>
      <w:r w:rsidR="00AD0BF9" w:rsidRPr="00CF10AD">
        <w:rPr>
          <w:sz w:val="28"/>
          <w:szCs w:val="28"/>
        </w:rPr>
        <w:t>lated to the complaint received; and</w:t>
      </w:r>
    </w:p>
    <w:p w14:paraId="46765357" w14:textId="55577F46" w:rsidR="009D7261" w:rsidRPr="00CF10AD" w:rsidRDefault="00CF10AD" w:rsidP="00CF10AD">
      <w:pPr>
        <w:tabs>
          <w:tab w:val="left" w:pos="426"/>
        </w:tabs>
        <w:spacing w:line="360" w:lineRule="auto"/>
        <w:jc w:val="both"/>
        <w:rPr>
          <w:sz w:val="28"/>
          <w:szCs w:val="28"/>
        </w:rPr>
      </w:pPr>
      <w:r w:rsidRPr="00AD51FB">
        <w:rPr>
          <w:sz w:val="28"/>
          <w:szCs w:val="28"/>
        </w:rPr>
        <w:t>(f)</w:t>
      </w:r>
      <w:r w:rsidRPr="00AD51FB">
        <w:rPr>
          <w:sz w:val="28"/>
          <w:szCs w:val="28"/>
        </w:rPr>
        <w:tab/>
      </w:r>
      <w:r w:rsidR="00B54E17" w:rsidRPr="00CF10AD">
        <w:rPr>
          <w:sz w:val="28"/>
          <w:szCs w:val="28"/>
        </w:rPr>
        <w:t>in finding that the Council was not required to furnish Optive</w:t>
      </w:r>
      <w:r w:rsidR="00AD0BF9" w:rsidRPr="00CF10AD">
        <w:rPr>
          <w:sz w:val="28"/>
          <w:szCs w:val="28"/>
        </w:rPr>
        <w:t>st with a copy of the complaint before pursuing the investigation.</w:t>
      </w:r>
    </w:p>
    <w:p w14:paraId="3BA37656" w14:textId="77777777" w:rsidR="00662F69" w:rsidRPr="00AD51FB" w:rsidRDefault="00662F69" w:rsidP="00662F69">
      <w:pPr>
        <w:pStyle w:val="ListParagraph"/>
        <w:tabs>
          <w:tab w:val="left" w:pos="426"/>
        </w:tabs>
        <w:spacing w:line="360" w:lineRule="auto"/>
        <w:ind w:left="0"/>
        <w:jc w:val="both"/>
        <w:rPr>
          <w:sz w:val="28"/>
          <w:szCs w:val="28"/>
        </w:rPr>
      </w:pPr>
    </w:p>
    <w:p w14:paraId="7B10B3F2" w14:textId="6E8C517C" w:rsidR="001F1DE8" w:rsidRPr="00CF10AD" w:rsidRDefault="00CF10AD" w:rsidP="00CF10AD">
      <w:pPr>
        <w:spacing w:line="360" w:lineRule="auto"/>
        <w:jc w:val="both"/>
        <w:rPr>
          <w:sz w:val="28"/>
          <w:szCs w:val="28"/>
        </w:rPr>
      </w:pPr>
      <w:r w:rsidRPr="00AD51FB">
        <w:rPr>
          <w:sz w:val="28"/>
          <w:szCs w:val="28"/>
        </w:rPr>
        <w:lastRenderedPageBreak/>
        <w:t>[24]</w:t>
      </w:r>
      <w:r w:rsidRPr="00AD51FB">
        <w:rPr>
          <w:sz w:val="28"/>
          <w:szCs w:val="28"/>
        </w:rPr>
        <w:tab/>
      </w:r>
      <w:r w:rsidR="001F1DE8" w:rsidRPr="00CF10AD">
        <w:rPr>
          <w:sz w:val="28"/>
          <w:szCs w:val="28"/>
        </w:rPr>
        <w:t xml:space="preserve">The challenges and basis for the review of the actions taken by the respondents must be seen in the light of what was said in this Court in </w:t>
      </w:r>
      <w:r w:rsidR="001F1DE8" w:rsidRPr="00CF10AD">
        <w:rPr>
          <w:i/>
          <w:sz w:val="28"/>
          <w:szCs w:val="28"/>
        </w:rPr>
        <w:t xml:space="preserve">Bonitas </w:t>
      </w:r>
      <w:r w:rsidR="001F1DE8" w:rsidRPr="00CF10AD">
        <w:rPr>
          <w:i/>
          <w:iCs/>
          <w:color w:val="000000"/>
          <w:sz w:val="28"/>
          <w:szCs w:val="28"/>
          <w:lang w:val="en-ZA" w:eastAsia="en-GB"/>
        </w:rPr>
        <w:t>Medical Fund v The Council for Medical Schemes</w:t>
      </w:r>
      <w:r w:rsidR="001070E3" w:rsidRPr="00CF10AD">
        <w:rPr>
          <w:i/>
          <w:iCs/>
          <w:color w:val="000000"/>
          <w:sz w:val="28"/>
          <w:szCs w:val="28"/>
          <w:lang w:val="en-ZA" w:eastAsia="en-GB"/>
        </w:rPr>
        <w:t xml:space="preserve"> (Bonitas)</w:t>
      </w:r>
      <w:r w:rsidR="001F1DE8" w:rsidRPr="00CF10AD">
        <w:rPr>
          <w:i/>
          <w:iCs/>
          <w:color w:val="000000"/>
          <w:sz w:val="28"/>
          <w:szCs w:val="28"/>
          <w:lang w:val="en-ZA" w:eastAsia="en-GB"/>
        </w:rPr>
        <w:t>,</w:t>
      </w:r>
      <w:r w:rsidR="001F1DE8" w:rsidRPr="00AD51FB">
        <w:rPr>
          <w:rStyle w:val="FootnoteReference"/>
          <w:iCs/>
          <w:color w:val="000000"/>
          <w:sz w:val="28"/>
          <w:szCs w:val="28"/>
          <w:lang w:val="en-ZA" w:eastAsia="en-GB"/>
        </w:rPr>
        <w:footnoteReference w:id="7"/>
      </w:r>
      <w:r w:rsidR="001F1DE8" w:rsidRPr="00CF10AD">
        <w:rPr>
          <w:i/>
          <w:iCs/>
          <w:color w:val="000000"/>
          <w:sz w:val="28"/>
          <w:szCs w:val="28"/>
          <w:lang w:val="en-ZA" w:eastAsia="en-GB"/>
        </w:rPr>
        <w:t xml:space="preserve"> </w:t>
      </w:r>
      <w:r w:rsidR="001F1DE8" w:rsidRPr="00CF10AD">
        <w:rPr>
          <w:iCs/>
          <w:color w:val="000000"/>
          <w:sz w:val="28"/>
          <w:szCs w:val="28"/>
          <w:lang w:val="en-ZA" w:eastAsia="en-GB"/>
        </w:rPr>
        <w:t>where it was held that:</w:t>
      </w:r>
    </w:p>
    <w:p w14:paraId="4AD44113" w14:textId="6B984E2D" w:rsidR="001F1DE8" w:rsidRPr="00AD51FB" w:rsidRDefault="001070E3" w:rsidP="00B87B2C">
      <w:pPr>
        <w:pStyle w:val="NormalWeb"/>
        <w:shd w:val="clear" w:color="auto" w:fill="FFFFFF"/>
        <w:spacing w:before="0" w:beforeAutospacing="0" w:after="0" w:afterAutospacing="0" w:line="360" w:lineRule="auto"/>
        <w:jc w:val="both"/>
        <w:rPr>
          <w:color w:val="242121"/>
          <w:sz w:val="27"/>
          <w:szCs w:val="27"/>
        </w:rPr>
      </w:pPr>
      <w:r w:rsidRPr="00AD51FB">
        <w:rPr>
          <w:color w:val="242121"/>
          <w:lang w:val="en-GB"/>
        </w:rPr>
        <w:t>‘</w:t>
      </w:r>
      <w:r w:rsidR="001F1DE8" w:rsidRPr="00AD51FB">
        <w:rPr>
          <w:color w:val="242121"/>
          <w:lang w:val="en-GB"/>
        </w:rPr>
        <w:t>The MSA provides for the regulation of medical schemes in the public interest. Its long title indicates that its objects include the control of certain activities of medical schemes and the protection of members’ interests. Section 7 of the MSA deals with the functions of the council. Section 7</w:t>
      </w:r>
      <w:r w:rsidR="001F1DE8" w:rsidRPr="00AD51FB">
        <w:rPr>
          <w:i/>
          <w:iCs/>
          <w:color w:val="242121"/>
          <w:lang w:val="en-GB"/>
        </w:rPr>
        <w:t>(a)</w:t>
      </w:r>
      <w:r w:rsidR="001F1DE8" w:rsidRPr="00AD51FB">
        <w:rPr>
          <w:color w:val="242121"/>
          <w:lang w:val="en-GB"/>
        </w:rPr>
        <w:t xml:space="preserve"> states that it is a function of the council to protect the interests of the beneficiaries of medical schemes </w:t>
      </w:r>
      <w:r w:rsidRPr="00AD51FB">
        <w:rPr>
          <w:color w:val="242121"/>
          <w:lang w:val="en-GB"/>
        </w:rPr>
        <w:t>“</w:t>
      </w:r>
      <w:r w:rsidR="001F1DE8" w:rsidRPr="00AD51FB">
        <w:rPr>
          <w:color w:val="242121"/>
          <w:lang w:val="en-GB"/>
        </w:rPr>
        <w:t>at all times</w:t>
      </w:r>
      <w:r w:rsidRPr="00AD51FB">
        <w:rPr>
          <w:color w:val="242121"/>
          <w:lang w:val="en-GB"/>
        </w:rPr>
        <w:t>”</w:t>
      </w:r>
      <w:r w:rsidR="001F1DE8" w:rsidRPr="00AD51FB">
        <w:rPr>
          <w:color w:val="242121"/>
          <w:lang w:val="en-GB"/>
        </w:rPr>
        <w:t>.</w:t>
      </w:r>
    </w:p>
    <w:p w14:paraId="4BD160F9" w14:textId="4CFC16F2" w:rsidR="001F1DE8" w:rsidRPr="00AD51FB" w:rsidRDefault="001F1DE8" w:rsidP="00B87B2C">
      <w:pPr>
        <w:pStyle w:val="NormalWeb"/>
        <w:shd w:val="clear" w:color="auto" w:fill="FFFFFF"/>
        <w:spacing w:before="0" w:beforeAutospacing="0" w:after="0" w:afterAutospacing="0" w:line="360" w:lineRule="auto"/>
        <w:jc w:val="both"/>
        <w:rPr>
          <w:color w:val="242121"/>
          <w:sz w:val="27"/>
          <w:szCs w:val="27"/>
        </w:rPr>
      </w:pPr>
      <w:r w:rsidRPr="00AD51FB">
        <w:rPr>
          <w:color w:val="242121"/>
          <w:lang w:val="en-GB"/>
        </w:rPr>
        <w:t>The power in terms of s 44(4)</w:t>
      </w:r>
      <w:r w:rsidRPr="00AD51FB">
        <w:rPr>
          <w:i/>
          <w:iCs/>
          <w:color w:val="242121"/>
          <w:lang w:val="en-GB"/>
        </w:rPr>
        <w:t>(a)</w:t>
      </w:r>
      <w:r w:rsidRPr="00AD51FB">
        <w:rPr>
          <w:color w:val="242121"/>
          <w:lang w:val="en-GB"/>
        </w:rPr>
        <w:t> is intended to promote these objects. The power is no doubt intended to be an effective regulatory mechanism. For it to be effective, the registrar ought to be able to act in terms of s 44(4)</w:t>
      </w:r>
      <w:r w:rsidRPr="00AD51FB">
        <w:rPr>
          <w:i/>
          <w:iCs/>
          <w:color w:val="242121"/>
          <w:lang w:val="en-GB"/>
        </w:rPr>
        <w:t>(a)</w:t>
      </w:r>
      <w:r w:rsidRPr="00AD51FB">
        <w:rPr>
          <w:color w:val="242121"/>
          <w:lang w:val="en-GB"/>
        </w:rPr>
        <w:t> with expedition and without notice. A medical scheme or person suspected of irregularities or non-compliance with the Act, should, in the public interest, not be provided with the opportunity to hide or destroy evidence. Without the element of surprise, the effectiveness of the power will in many instances be lost or severely undermined. I agree with counsel for the respondents that the right of medical schemes to privacy should, in the light of these considerations, be attenuated.</w:t>
      </w:r>
      <w:r w:rsidR="001070E3" w:rsidRPr="00AD51FB">
        <w:rPr>
          <w:color w:val="242121"/>
          <w:lang w:val="en-GB"/>
        </w:rPr>
        <w:t>’</w:t>
      </w:r>
    </w:p>
    <w:p w14:paraId="3A821FF3" w14:textId="77777777" w:rsidR="001F1DE8" w:rsidRPr="00AD51FB" w:rsidRDefault="001F1DE8" w:rsidP="001F1DE8">
      <w:pPr>
        <w:pStyle w:val="ListParagraph"/>
        <w:spacing w:before="120" w:after="240" w:line="360" w:lineRule="auto"/>
        <w:ind w:left="0" w:right="515"/>
        <w:jc w:val="both"/>
        <w:rPr>
          <w:sz w:val="28"/>
          <w:szCs w:val="28"/>
        </w:rPr>
      </w:pPr>
    </w:p>
    <w:p w14:paraId="18243E4E" w14:textId="29B473B7" w:rsidR="001F1DE8" w:rsidRPr="00CF10AD" w:rsidRDefault="00CF10AD" w:rsidP="00CF10AD">
      <w:pPr>
        <w:spacing w:line="360" w:lineRule="auto"/>
        <w:jc w:val="both"/>
        <w:rPr>
          <w:sz w:val="28"/>
          <w:szCs w:val="28"/>
        </w:rPr>
      </w:pPr>
      <w:r w:rsidRPr="00AD51FB">
        <w:rPr>
          <w:sz w:val="28"/>
          <w:szCs w:val="28"/>
        </w:rPr>
        <w:t>[25]</w:t>
      </w:r>
      <w:r w:rsidRPr="00AD51FB">
        <w:rPr>
          <w:sz w:val="28"/>
          <w:szCs w:val="28"/>
        </w:rPr>
        <w:tab/>
      </w:r>
      <w:r w:rsidR="001F1DE8" w:rsidRPr="00CF10AD">
        <w:rPr>
          <w:sz w:val="28"/>
          <w:szCs w:val="28"/>
        </w:rPr>
        <w:t xml:space="preserve">Significantly, this Court in </w:t>
      </w:r>
      <w:r w:rsidR="001F1DE8" w:rsidRPr="00CF10AD">
        <w:rPr>
          <w:i/>
          <w:sz w:val="28"/>
          <w:szCs w:val="28"/>
        </w:rPr>
        <w:t>Bonitas,</w:t>
      </w:r>
      <w:r w:rsidR="001F1DE8" w:rsidRPr="00CF10AD">
        <w:rPr>
          <w:sz w:val="28"/>
          <w:szCs w:val="28"/>
        </w:rPr>
        <w:t xml:space="preserve"> in dealing with s 44(4)</w:t>
      </w:r>
      <w:r w:rsidR="001F1DE8" w:rsidRPr="00CF10AD">
        <w:rPr>
          <w:i/>
          <w:iCs/>
          <w:sz w:val="28"/>
          <w:szCs w:val="28"/>
        </w:rPr>
        <w:t>(a)</w:t>
      </w:r>
      <w:r w:rsidR="001F1DE8" w:rsidRPr="00CF10AD">
        <w:rPr>
          <w:sz w:val="28"/>
          <w:szCs w:val="28"/>
        </w:rPr>
        <w:t xml:space="preserve"> stated that:</w:t>
      </w:r>
    </w:p>
    <w:p w14:paraId="7652AD89" w14:textId="7E0932D4" w:rsidR="001070E3" w:rsidRPr="00AD51FB" w:rsidRDefault="001F1DE8">
      <w:pPr>
        <w:spacing w:line="360" w:lineRule="auto"/>
        <w:jc w:val="both"/>
        <w:rPr>
          <w:color w:val="242121"/>
          <w:shd w:val="clear" w:color="auto" w:fill="FFFFFF"/>
        </w:rPr>
      </w:pPr>
      <w:r w:rsidRPr="00AD51FB">
        <w:rPr>
          <w:color w:val="242121"/>
          <w:shd w:val="clear" w:color="auto" w:fill="FFFFFF"/>
        </w:rPr>
        <w:t>‘An inspection in terms of s 44(4)</w:t>
      </w:r>
      <w:r w:rsidRPr="00AD51FB">
        <w:rPr>
          <w:i/>
          <w:iCs/>
          <w:color w:val="242121"/>
          <w:shd w:val="clear" w:color="auto" w:fill="FFFFFF"/>
        </w:rPr>
        <w:t>(a)</w:t>
      </w:r>
      <w:r w:rsidRPr="00AD51FB">
        <w:rPr>
          <w:color w:val="242121"/>
          <w:shd w:val="clear" w:color="auto" w:fill="FFFFFF"/>
        </w:rPr>
        <w:t> is purely investigative. The inspector merely gathers evidence. The inspection does not determine or affect any rights. It follows that there is no need to provide for the protection of substantive rights by way of an appeal against a decision to order an inspection in terms of s 44(4)</w:t>
      </w:r>
      <w:r w:rsidRPr="00AD51FB">
        <w:rPr>
          <w:i/>
          <w:iCs/>
          <w:color w:val="242121"/>
          <w:shd w:val="clear" w:color="auto" w:fill="FFFFFF"/>
        </w:rPr>
        <w:t>(a)</w:t>
      </w:r>
      <w:r w:rsidRPr="00AD51FB">
        <w:rPr>
          <w:color w:val="242121"/>
          <w:shd w:val="clear" w:color="auto" w:fill="FFFFFF"/>
        </w:rPr>
        <w:t>.</w:t>
      </w:r>
    </w:p>
    <w:p w14:paraId="5DCC13A5" w14:textId="2B2F3AE2" w:rsidR="001F1DE8" w:rsidRPr="00AD51FB" w:rsidRDefault="001070E3">
      <w:pPr>
        <w:spacing w:line="360" w:lineRule="auto"/>
        <w:jc w:val="both"/>
        <w:rPr>
          <w:color w:val="242121"/>
          <w:shd w:val="clear" w:color="auto" w:fill="FFFFFF"/>
        </w:rPr>
      </w:pPr>
      <w:r w:rsidRPr="00AD51FB">
        <w:rPr>
          <w:color w:val="242121"/>
          <w:shd w:val="clear" w:color="auto" w:fill="FFFFFF"/>
        </w:rPr>
        <w:t>. . .</w:t>
      </w:r>
    </w:p>
    <w:p w14:paraId="01DB0D97" w14:textId="7AB53BD6" w:rsidR="003275EB" w:rsidRPr="00AD51FB" w:rsidRDefault="001F1DE8" w:rsidP="00B87B2C">
      <w:pPr>
        <w:spacing w:line="360" w:lineRule="auto"/>
        <w:jc w:val="both"/>
        <w:rPr>
          <w:color w:val="242121"/>
          <w:shd w:val="clear" w:color="auto" w:fill="FFFFFF"/>
          <w:lang w:val="en-US"/>
        </w:rPr>
      </w:pPr>
      <w:r w:rsidRPr="00AD51FB">
        <w:rPr>
          <w:color w:val="242121"/>
          <w:shd w:val="clear" w:color="auto" w:fill="FFFFFF"/>
        </w:rPr>
        <w:t>There is no material difference between the nature of an inspection in terms of s 44(4)</w:t>
      </w:r>
      <w:r w:rsidRPr="00AD51FB">
        <w:rPr>
          <w:i/>
          <w:iCs/>
        </w:rPr>
        <w:t>(a)</w:t>
      </w:r>
      <w:r w:rsidRPr="00AD51FB">
        <w:t> of the MSA and that of the investigation of a complaint by the Competition Commission in terms of the </w:t>
      </w:r>
      <w:hyperlink r:id="rId9" w:history="1">
        <w:r w:rsidRPr="00AD51FB">
          <w:rPr>
            <w:rStyle w:val="Hyperlink"/>
            <w:bCs/>
            <w:color w:val="auto"/>
            <w:u w:val="none"/>
            <w:shd w:val="clear" w:color="auto" w:fill="FFFFFF"/>
          </w:rPr>
          <w:t>Competition Act 89 of 1998</w:t>
        </w:r>
      </w:hyperlink>
      <w:r w:rsidRPr="00AD51FB">
        <w:rPr>
          <w:color w:val="242121"/>
          <w:shd w:val="clear" w:color="auto" w:fill="FFFFFF"/>
        </w:rPr>
        <w:t>. Such investigation may culminate in a referral of the matter to the Competition Tribunal. In </w:t>
      </w:r>
      <w:r w:rsidRPr="00AD51FB">
        <w:rPr>
          <w:i/>
          <w:iCs/>
          <w:color w:val="242121"/>
          <w:shd w:val="clear" w:color="auto" w:fill="FFFFFF"/>
        </w:rPr>
        <w:t>Competition Commission of SA v Telkom SA Ltd &amp; another</w:t>
      </w:r>
      <w:r w:rsidRPr="00AD51FB">
        <w:rPr>
          <w:color w:val="242121"/>
          <w:shd w:val="clear" w:color="auto" w:fill="FFFFFF"/>
        </w:rPr>
        <w:t> </w:t>
      </w:r>
      <w:hyperlink r:id="rId10" w:tooltip="View LawCiteRecord" w:history="1">
        <w:r w:rsidRPr="00AD51FB">
          <w:rPr>
            <w:rStyle w:val="Hyperlink"/>
            <w:bCs/>
            <w:color w:val="auto"/>
            <w:u w:val="none"/>
            <w:shd w:val="clear" w:color="auto" w:fill="FFFFFF"/>
          </w:rPr>
          <w:t>[2010] 2 All SA 433</w:t>
        </w:r>
      </w:hyperlink>
      <w:r w:rsidRPr="00AD51FB">
        <w:rPr>
          <w:color w:val="242121"/>
          <w:shd w:val="clear" w:color="auto" w:fill="FFFFFF"/>
        </w:rPr>
        <w:t xml:space="preserve"> (SCA) para 11, this court held that a decision to refer a matter to the Competition Tribunal and the referral itself, are of an investigative and not an </w:t>
      </w:r>
      <w:r w:rsidRPr="00AD51FB">
        <w:rPr>
          <w:color w:val="242121"/>
          <w:shd w:val="clear" w:color="auto" w:fill="FFFFFF"/>
        </w:rPr>
        <w:lastRenderedPageBreak/>
        <w:t>administrative nature and are not subject to review under the </w:t>
      </w:r>
      <w:hyperlink r:id="rId11" w:history="1">
        <w:r w:rsidRPr="00AD51FB">
          <w:rPr>
            <w:rStyle w:val="Hyperlink"/>
            <w:bCs/>
            <w:color w:val="auto"/>
            <w:u w:val="none"/>
            <w:shd w:val="clear" w:color="auto" w:fill="FFFFFF"/>
          </w:rPr>
          <w:t>Promotion of Administrative Justice Act 3 </w:t>
        </w:r>
      </w:hyperlink>
      <w:hyperlink r:id="rId12" w:history="1">
        <w:r w:rsidRPr="00AD51FB">
          <w:rPr>
            <w:rStyle w:val="Hyperlink"/>
            <w:bCs/>
            <w:color w:val="auto"/>
            <w:u w:val="none"/>
            <w:shd w:val="clear" w:color="auto" w:fill="FFFFFF"/>
          </w:rPr>
          <w:t>of 2000</w:t>
        </w:r>
      </w:hyperlink>
      <w:r w:rsidRPr="00AD51FB">
        <w:rPr>
          <w:color w:val="242121"/>
          <w:shd w:val="clear" w:color="auto" w:fill="FFFFFF"/>
        </w:rPr>
        <w:t>. In my judgment the same applies to</w:t>
      </w:r>
      <w:r w:rsidRPr="00AD51FB">
        <w:rPr>
          <w:shd w:val="clear" w:color="auto" w:fill="FFFFFF"/>
        </w:rPr>
        <w:t> </w:t>
      </w:r>
      <w:hyperlink r:id="rId13" w:anchor="s44" w:history="1">
        <w:r w:rsidRPr="00AD51FB">
          <w:rPr>
            <w:rStyle w:val="Hyperlink"/>
            <w:bCs/>
            <w:color w:val="auto"/>
            <w:u w:val="none"/>
            <w:shd w:val="clear" w:color="auto" w:fill="FFFFFF"/>
          </w:rPr>
          <w:t>s 44(4)</w:t>
        </w:r>
      </w:hyperlink>
      <w:r w:rsidRPr="00AD51FB">
        <w:rPr>
          <w:i/>
          <w:iCs/>
          <w:color w:val="242121"/>
          <w:shd w:val="clear" w:color="auto" w:fill="FFFFFF"/>
        </w:rPr>
        <w:t>(a)</w:t>
      </w:r>
      <w:r w:rsidRPr="00AD51FB">
        <w:rPr>
          <w:color w:val="242121"/>
          <w:shd w:val="clear" w:color="auto" w:fill="FFFFFF"/>
        </w:rPr>
        <w:t> of the MSA. Nevertheless, a decision to order an inspection in terms of the MSA, would be subject to review under the rule of law, on the ground that it was arbitrary or irrational</w:t>
      </w:r>
      <w:r w:rsidR="001070E3" w:rsidRPr="00AD51FB">
        <w:rPr>
          <w:color w:val="242121"/>
          <w:shd w:val="clear" w:color="auto" w:fill="FFFFFF"/>
        </w:rPr>
        <w:t xml:space="preserve">. . . </w:t>
      </w:r>
      <w:r w:rsidRPr="00AD51FB">
        <w:rPr>
          <w:color w:val="242121"/>
          <w:shd w:val="clear" w:color="auto" w:fill="FFFFFF"/>
        </w:rPr>
        <w:t>or offended against the principle of legality</w:t>
      </w:r>
      <w:r w:rsidR="001070E3" w:rsidRPr="00AD51FB">
        <w:rPr>
          <w:color w:val="242121"/>
          <w:shd w:val="clear" w:color="auto" w:fill="FFFFFF"/>
        </w:rPr>
        <w:t>. . .’</w:t>
      </w:r>
      <w:r w:rsidRPr="00AD51FB">
        <w:rPr>
          <w:rStyle w:val="FootnoteReference"/>
          <w:color w:val="242121"/>
          <w:shd w:val="clear" w:color="auto" w:fill="FFFFFF"/>
        </w:rPr>
        <w:footnoteReference w:id="8"/>
      </w:r>
      <w:r w:rsidR="00C46A64" w:rsidRPr="00AD51FB">
        <w:rPr>
          <w:color w:val="242121"/>
          <w:shd w:val="clear" w:color="auto" w:fill="FFFFFF"/>
        </w:rPr>
        <w:t>(</w:t>
      </w:r>
      <w:r w:rsidR="001070E3" w:rsidRPr="00AD51FB">
        <w:rPr>
          <w:color w:val="242121"/>
          <w:shd w:val="clear" w:color="auto" w:fill="FFFFFF"/>
        </w:rPr>
        <w:t>F</w:t>
      </w:r>
      <w:r w:rsidR="00C46A64" w:rsidRPr="00AD51FB">
        <w:rPr>
          <w:color w:val="242121"/>
          <w:shd w:val="clear" w:color="auto" w:fill="FFFFFF"/>
        </w:rPr>
        <w:t>ootnotes omitted</w:t>
      </w:r>
      <w:r w:rsidR="001070E3" w:rsidRPr="00AD51FB">
        <w:rPr>
          <w:color w:val="242121"/>
          <w:shd w:val="clear" w:color="auto" w:fill="FFFFFF"/>
        </w:rPr>
        <w:t>.</w:t>
      </w:r>
      <w:r w:rsidR="00C46A64" w:rsidRPr="00AD51FB">
        <w:rPr>
          <w:color w:val="242121"/>
          <w:shd w:val="clear" w:color="auto" w:fill="FFFFFF"/>
        </w:rPr>
        <w:t>)</w:t>
      </w:r>
    </w:p>
    <w:p w14:paraId="5CC8CAA2" w14:textId="77777777" w:rsidR="001F1DE8" w:rsidRPr="00AD51FB" w:rsidRDefault="001F1DE8" w:rsidP="001F1DE8">
      <w:pPr>
        <w:spacing w:line="360" w:lineRule="auto"/>
        <w:jc w:val="both"/>
        <w:rPr>
          <w:sz w:val="28"/>
          <w:szCs w:val="28"/>
        </w:rPr>
      </w:pPr>
    </w:p>
    <w:p w14:paraId="05C61D47" w14:textId="1DE9A3C7" w:rsidR="00B54E17" w:rsidRPr="00AD51FB" w:rsidRDefault="00361AFB" w:rsidP="00B87B2C">
      <w:pPr>
        <w:pStyle w:val="ListParagraph"/>
        <w:spacing w:line="360" w:lineRule="auto"/>
        <w:ind w:left="0"/>
        <w:jc w:val="both"/>
        <w:rPr>
          <w:b/>
          <w:sz w:val="28"/>
          <w:szCs w:val="28"/>
        </w:rPr>
      </w:pPr>
      <w:r w:rsidRPr="00AD51FB">
        <w:rPr>
          <w:b/>
          <w:sz w:val="28"/>
          <w:szCs w:val="28"/>
        </w:rPr>
        <w:t>The lawfulness challenge</w:t>
      </w:r>
    </w:p>
    <w:p w14:paraId="23DFCA91" w14:textId="7A15E17D" w:rsidR="009D7261" w:rsidRPr="00CF10AD" w:rsidRDefault="00CF10AD" w:rsidP="00CF10AD">
      <w:pPr>
        <w:spacing w:line="360" w:lineRule="auto"/>
        <w:jc w:val="both"/>
        <w:rPr>
          <w:sz w:val="28"/>
          <w:szCs w:val="28"/>
        </w:rPr>
      </w:pPr>
      <w:r w:rsidRPr="00AD51FB">
        <w:rPr>
          <w:sz w:val="28"/>
          <w:szCs w:val="28"/>
        </w:rPr>
        <w:t>[26]</w:t>
      </w:r>
      <w:r w:rsidRPr="00AD51FB">
        <w:rPr>
          <w:sz w:val="28"/>
          <w:szCs w:val="28"/>
        </w:rPr>
        <w:tab/>
      </w:r>
      <w:r w:rsidR="009D7261" w:rsidRPr="00CF10AD">
        <w:rPr>
          <w:sz w:val="28"/>
          <w:szCs w:val="28"/>
        </w:rPr>
        <w:t xml:space="preserve">Optivest </w:t>
      </w:r>
      <w:r w:rsidR="00B54E17" w:rsidRPr="00CF10AD">
        <w:rPr>
          <w:sz w:val="28"/>
          <w:szCs w:val="28"/>
        </w:rPr>
        <w:t>submitted that the Council can only investigate or inspect the affairs of medical schemes, (or other perso</w:t>
      </w:r>
      <w:r w:rsidR="009D7261" w:rsidRPr="00CF10AD">
        <w:rPr>
          <w:sz w:val="28"/>
          <w:szCs w:val="28"/>
        </w:rPr>
        <w:t>ns related thereto), but not</w:t>
      </w:r>
      <w:r w:rsidR="00B54E17" w:rsidRPr="00CF10AD">
        <w:rPr>
          <w:sz w:val="28"/>
          <w:szCs w:val="28"/>
        </w:rPr>
        <w:t xml:space="preserve"> brokers </w:t>
      </w:r>
      <w:r w:rsidR="00865378" w:rsidRPr="00CF10AD">
        <w:rPr>
          <w:sz w:val="28"/>
          <w:szCs w:val="28"/>
        </w:rPr>
        <w:t xml:space="preserve">despite them having </w:t>
      </w:r>
      <w:r w:rsidR="00B54E17" w:rsidRPr="00CF10AD">
        <w:rPr>
          <w:sz w:val="28"/>
          <w:szCs w:val="28"/>
        </w:rPr>
        <w:t>b</w:t>
      </w:r>
      <w:r w:rsidR="00222710" w:rsidRPr="00CF10AD">
        <w:rPr>
          <w:sz w:val="28"/>
          <w:szCs w:val="28"/>
        </w:rPr>
        <w:t>een accredited by it under the A</w:t>
      </w:r>
      <w:r w:rsidR="00B54E17" w:rsidRPr="00CF10AD">
        <w:rPr>
          <w:sz w:val="28"/>
          <w:szCs w:val="28"/>
        </w:rPr>
        <w:t xml:space="preserve">ct. </w:t>
      </w:r>
      <w:r w:rsidR="009D7261" w:rsidRPr="00CF10AD">
        <w:rPr>
          <w:sz w:val="28"/>
          <w:szCs w:val="28"/>
        </w:rPr>
        <w:t>Optivest contends that the provisions of s 44 of the Act</w:t>
      </w:r>
      <w:r w:rsidR="0016010D" w:rsidRPr="00CF10AD">
        <w:rPr>
          <w:sz w:val="28"/>
          <w:szCs w:val="28"/>
        </w:rPr>
        <w:t xml:space="preserve"> (save for ss (2), (3) and (4)) </w:t>
      </w:r>
      <w:r w:rsidR="009D7261" w:rsidRPr="00CF10AD">
        <w:rPr>
          <w:sz w:val="28"/>
          <w:szCs w:val="28"/>
        </w:rPr>
        <w:t>indicate that the powers stated therein are limited to medical schemes</w:t>
      </w:r>
      <w:r w:rsidR="009B7D4A" w:rsidRPr="00CF10AD">
        <w:rPr>
          <w:sz w:val="28"/>
          <w:szCs w:val="28"/>
        </w:rPr>
        <w:t>. Although s</w:t>
      </w:r>
      <w:r w:rsidR="0016010D" w:rsidRPr="00CF10AD">
        <w:rPr>
          <w:sz w:val="28"/>
          <w:szCs w:val="28"/>
        </w:rPr>
        <w:t xml:space="preserve"> 44(4) refers to </w:t>
      </w:r>
      <w:r w:rsidR="00154482" w:rsidRPr="00CF10AD">
        <w:rPr>
          <w:sz w:val="28"/>
          <w:szCs w:val="28"/>
        </w:rPr>
        <w:t>‘</w:t>
      </w:r>
      <w:r w:rsidR="009D7261" w:rsidRPr="00CF10AD">
        <w:rPr>
          <w:sz w:val="28"/>
          <w:szCs w:val="28"/>
        </w:rPr>
        <w:t>any person</w:t>
      </w:r>
      <w:r w:rsidR="00154482" w:rsidRPr="00CF10AD">
        <w:rPr>
          <w:sz w:val="28"/>
          <w:szCs w:val="28"/>
        </w:rPr>
        <w:t xml:space="preserve">’ </w:t>
      </w:r>
      <w:r w:rsidR="009B7D4A" w:rsidRPr="00CF10AD">
        <w:rPr>
          <w:sz w:val="28"/>
          <w:szCs w:val="28"/>
        </w:rPr>
        <w:t>or ‘any other person’, t</w:t>
      </w:r>
      <w:r w:rsidR="0016010D" w:rsidRPr="00CF10AD">
        <w:rPr>
          <w:sz w:val="28"/>
          <w:szCs w:val="28"/>
        </w:rPr>
        <w:t>his reference, so Optivest contends, is</w:t>
      </w:r>
      <w:r w:rsidR="009D7261" w:rsidRPr="00CF10AD">
        <w:rPr>
          <w:sz w:val="28"/>
          <w:szCs w:val="28"/>
        </w:rPr>
        <w:t xml:space="preserve"> to one upon whom the Act imposes a positive duty in relation to their duties to a medical scheme</w:t>
      </w:r>
      <w:r w:rsidR="00AE25BD" w:rsidRPr="00CF10AD">
        <w:rPr>
          <w:sz w:val="28"/>
          <w:szCs w:val="28"/>
        </w:rPr>
        <w:t>, for example, a trustee.</w:t>
      </w:r>
      <w:r w:rsidR="0016010D" w:rsidRPr="00CF10AD">
        <w:rPr>
          <w:sz w:val="28"/>
          <w:szCs w:val="28"/>
        </w:rPr>
        <w:t xml:space="preserve"> It submits</w:t>
      </w:r>
      <w:r w:rsidR="00DC0176" w:rsidRPr="00CF10AD">
        <w:rPr>
          <w:sz w:val="28"/>
          <w:szCs w:val="28"/>
        </w:rPr>
        <w:t xml:space="preserve">, as Goosen JA finds in the dissenting judgment, that the </w:t>
      </w:r>
      <w:r w:rsidR="0016010D" w:rsidRPr="00CF10AD">
        <w:rPr>
          <w:sz w:val="28"/>
          <w:szCs w:val="28"/>
        </w:rPr>
        <w:t xml:space="preserve">entire apparatus of s 44 is aimed at medical schemes. </w:t>
      </w:r>
    </w:p>
    <w:p w14:paraId="58BFB45E" w14:textId="77777777" w:rsidR="005E7762" w:rsidRPr="00AD51FB" w:rsidRDefault="005E7762" w:rsidP="005E7762">
      <w:pPr>
        <w:pStyle w:val="ListParagraph"/>
        <w:spacing w:line="360" w:lineRule="auto"/>
        <w:ind w:left="-76"/>
        <w:jc w:val="both"/>
        <w:rPr>
          <w:sz w:val="28"/>
          <w:szCs w:val="28"/>
        </w:rPr>
      </w:pPr>
    </w:p>
    <w:p w14:paraId="4D5D2C07" w14:textId="0FD2411A" w:rsidR="009D7261" w:rsidRPr="00CF10AD" w:rsidRDefault="00CF10AD" w:rsidP="00CF10AD">
      <w:pPr>
        <w:spacing w:line="360" w:lineRule="auto"/>
        <w:jc w:val="both"/>
        <w:rPr>
          <w:sz w:val="28"/>
          <w:szCs w:val="28"/>
        </w:rPr>
      </w:pPr>
      <w:r w:rsidRPr="00AD51FB">
        <w:rPr>
          <w:sz w:val="28"/>
          <w:szCs w:val="28"/>
        </w:rPr>
        <w:t>[27]</w:t>
      </w:r>
      <w:r w:rsidRPr="00AD51FB">
        <w:rPr>
          <w:sz w:val="28"/>
          <w:szCs w:val="28"/>
        </w:rPr>
        <w:tab/>
      </w:r>
      <w:r w:rsidR="009D7261" w:rsidRPr="00CF10AD">
        <w:rPr>
          <w:sz w:val="28"/>
          <w:szCs w:val="28"/>
        </w:rPr>
        <w:t xml:space="preserve">The </w:t>
      </w:r>
      <w:r w:rsidR="00AD0BF9" w:rsidRPr="00CF10AD">
        <w:rPr>
          <w:sz w:val="28"/>
          <w:szCs w:val="28"/>
        </w:rPr>
        <w:t>respondents</w:t>
      </w:r>
      <w:r w:rsidR="00865378" w:rsidRPr="00CF10AD">
        <w:rPr>
          <w:sz w:val="28"/>
          <w:szCs w:val="28"/>
        </w:rPr>
        <w:t xml:space="preserve"> </w:t>
      </w:r>
      <w:r w:rsidR="009D7261" w:rsidRPr="00CF10AD">
        <w:rPr>
          <w:sz w:val="28"/>
          <w:szCs w:val="28"/>
        </w:rPr>
        <w:t>contend</w:t>
      </w:r>
      <w:r w:rsidR="00D45CB6" w:rsidRPr="00CF10AD">
        <w:rPr>
          <w:sz w:val="28"/>
          <w:szCs w:val="28"/>
        </w:rPr>
        <w:t xml:space="preserve"> </w:t>
      </w:r>
      <w:r w:rsidR="004519A7" w:rsidRPr="00CF10AD">
        <w:rPr>
          <w:sz w:val="28"/>
          <w:szCs w:val="28"/>
        </w:rPr>
        <w:t>for a</w:t>
      </w:r>
      <w:r w:rsidR="00D45CB6" w:rsidRPr="00CF10AD">
        <w:rPr>
          <w:sz w:val="28"/>
          <w:szCs w:val="28"/>
        </w:rPr>
        <w:t xml:space="preserve"> wider construction of s 44(4)</w:t>
      </w:r>
      <w:r w:rsidR="00D45CB6" w:rsidRPr="00CF10AD">
        <w:rPr>
          <w:i/>
          <w:iCs/>
          <w:sz w:val="28"/>
          <w:szCs w:val="28"/>
        </w:rPr>
        <w:t xml:space="preserve">(a). </w:t>
      </w:r>
      <w:r w:rsidR="005E7762" w:rsidRPr="00CF10AD">
        <w:rPr>
          <w:sz w:val="28"/>
          <w:szCs w:val="28"/>
        </w:rPr>
        <w:t>They submit</w:t>
      </w:r>
      <w:r w:rsidR="00D45CB6" w:rsidRPr="00CF10AD">
        <w:rPr>
          <w:sz w:val="28"/>
          <w:szCs w:val="28"/>
        </w:rPr>
        <w:t xml:space="preserve"> </w:t>
      </w:r>
      <w:r w:rsidR="009D7261" w:rsidRPr="00CF10AD">
        <w:rPr>
          <w:sz w:val="28"/>
          <w:szCs w:val="28"/>
        </w:rPr>
        <w:t>that the legislature</w:t>
      </w:r>
      <w:r w:rsidR="009B7D4A" w:rsidRPr="00CF10AD">
        <w:rPr>
          <w:sz w:val="28"/>
          <w:szCs w:val="28"/>
        </w:rPr>
        <w:t>,</w:t>
      </w:r>
      <w:r w:rsidR="009D7261" w:rsidRPr="00CF10AD">
        <w:rPr>
          <w:sz w:val="28"/>
          <w:szCs w:val="28"/>
        </w:rPr>
        <w:t xml:space="preserve"> in including the words </w:t>
      </w:r>
      <w:r w:rsidR="00154482" w:rsidRPr="00CF10AD">
        <w:rPr>
          <w:sz w:val="28"/>
          <w:szCs w:val="28"/>
        </w:rPr>
        <w:t>‘</w:t>
      </w:r>
      <w:r w:rsidR="009D7261" w:rsidRPr="00CF10AD">
        <w:rPr>
          <w:sz w:val="28"/>
          <w:szCs w:val="28"/>
        </w:rPr>
        <w:t>any person</w:t>
      </w:r>
      <w:r w:rsidR="00154482" w:rsidRPr="00CF10AD">
        <w:rPr>
          <w:sz w:val="28"/>
          <w:szCs w:val="28"/>
        </w:rPr>
        <w:t>’</w:t>
      </w:r>
      <w:r w:rsidR="009D7261" w:rsidRPr="00CF10AD">
        <w:rPr>
          <w:sz w:val="28"/>
          <w:szCs w:val="28"/>
        </w:rPr>
        <w:t>, as opposed to citing only a medical scheme or seeking to limit the list of persons which qualify as such in s</w:t>
      </w:r>
      <w:r w:rsidR="00154482" w:rsidRPr="00CF10AD">
        <w:rPr>
          <w:sz w:val="28"/>
          <w:szCs w:val="28"/>
        </w:rPr>
        <w:t xml:space="preserve"> </w:t>
      </w:r>
      <w:r w:rsidR="009D7261" w:rsidRPr="00CF10AD">
        <w:rPr>
          <w:sz w:val="28"/>
          <w:szCs w:val="28"/>
        </w:rPr>
        <w:t>44(4) made a clear policy decision. Section 44(1) specifically contemplates an inspection into the affairs of a medical scheme,</w:t>
      </w:r>
      <w:r w:rsidR="009D7261" w:rsidRPr="00AD51FB">
        <w:rPr>
          <w:rStyle w:val="FootnoteReference"/>
          <w:sz w:val="28"/>
          <w:szCs w:val="28"/>
        </w:rPr>
        <w:footnoteReference w:id="9"/>
      </w:r>
      <w:r w:rsidR="009D7261" w:rsidRPr="00CF10AD">
        <w:rPr>
          <w:sz w:val="28"/>
          <w:szCs w:val="28"/>
        </w:rPr>
        <w:t xml:space="preserve"> but the provisions of </w:t>
      </w:r>
      <w:r w:rsidR="005A2073" w:rsidRPr="00CF10AD">
        <w:rPr>
          <w:sz w:val="28"/>
          <w:szCs w:val="28"/>
        </w:rPr>
        <w:t>s 44</w:t>
      </w:r>
      <w:r w:rsidR="009D7261" w:rsidRPr="00CF10AD">
        <w:rPr>
          <w:sz w:val="28"/>
          <w:szCs w:val="28"/>
        </w:rPr>
        <w:t xml:space="preserve">(4) must be read to mean something other </w:t>
      </w:r>
      <w:r w:rsidR="00865378" w:rsidRPr="00CF10AD">
        <w:rPr>
          <w:sz w:val="28"/>
          <w:szCs w:val="28"/>
        </w:rPr>
        <w:t xml:space="preserve">than </w:t>
      </w:r>
      <w:r w:rsidR="009D7261" w:rsidRPr="00CF10AD">
        <w:rPr>
          <w:sz w:val="28"/>
          <w:szCs w:val="28"/>
        </w:rPr>
        <w:t>a medical scheme (whilst it may include it).</w:t>
      </w:r>
    </w:p>
    <w:p w14:paraId="5089BE23" w14:textId="77777777" w:rsidR="00C00AD0" w:rsidRPr="00AD51FB" w:rsidRDefault="00C00AD0" w:rsidP="00C00AD0">
      <w:pPr>
        <w:pStyle w:val="ListParagraph"/>
        <w:rPr>
          <w:sz w:val="28"/>
          <w:szCs w:val="28"/>
        </w:rPr>
      </w:pPr>
    </w:p>
    <w:p w14:paraId="747BA37F" w14:textId="5E29BD95" w:rsidR="00C00AD0" w:rsidRPr="00AD51FB" w:rsidRDefault="00CF10AD" w:rsidP="00CF10AD">
      <w:pPr>
        <w:spacing w:line="360" w:lineRule="auto"/>
        <w:jc w:val="both"/>
      </w:pPr>
      <w:r w:rsidRPr="00AD51FB">
        <w:rPr>
          <w:sz w:val="28"/>
          <w:szCs w:val="28"/>
        </w:rPr>
        <w:lastRenderedPageBreak/>
        <w:t>[28]</w:t>
      </w:r>
      <w:r w:rsidRPr="00AD51FB">
        <w:rPr>
          <w:sz w:val="28"/>
          <w:szCs w:val="28"/>
        </w:rPr>
        <w:tab/>
      </w:r>
      <w:r w:rsidR="00B54E17" w:rsidRPr="00CF10AD">
        <w:rPr>
          <w:sz w:val="28"/>
          <w:szCs w:val="28"/>
        </w:rPr>
        <w:t xml:space="preserve">The </w:t>
      </w:r>
      <w:r w:rsidR="00AD0BF9" w:rsidRPr="00CF10AD">
        <w:rPr>
          <w:sz w:val="28"/>
          <w:szCs w:val="28"/>
        </w:rPr>
        <w:t>r</w:t>
      </w:r>
      <w:r w:rsidR="00865378" w:rsidRPr="00CF10AD">
        <w:rPr>
          <w:sz w:val="28"/>
          <w:szCs w:val="28"/>
        </w:rPr>
        <w:t>e</w:t>
      </w:r>
      <w:r w:rsidR="00662F69" w:rsidRPr="00CF10AD">
        <w:rPr>
          <w:sz w:val="28"/>
          <w:szCs w:val="28"/>
        </w:rPr>
        <w:t xml:space="preserve">spondents </w:t>
      </w:r>
      <w:r w:rsidR="00AD0BF9" w:rsidRPr="00CF10AD">
        <w:rPr>
          <w:sz w:val="28"/>
          <w:szCs w:val="28"/>
        </w:rPr>
        <w:t xml:space="preserve">also </w:t>
      </w:r>
      <w:r w:rsidR="00662F69" w:rsidRPr="00CF10AD">
        <w:rPr>
          <w:sz w:val="28"/>
          <w:szCs w:val="28"/>
        </w:rPr>
        <w:t>submit</w:t>
      </w:r>
      <w:r w:rsidR="00B54E17" w:rsidRPr="00CF10AD">
        <w:rPr>
          <w:sz w:val="28"/>
          <w:szCs w:val="28"/>
        </w:rPr>
        <w:t xml:space="preserve"> that the </w:t>
      </w:r>
      <w:r w:rsidR="00AD0BF9" w:rsidRPr="00CF10AD">
        <w:rPr>
          <w:sz w:val="28"/>
          <w:szCs w:val="28"/>
        </w:rPr>
        <w:t>words in s</w:t>
      </w:r>
      <w:r w:rsidR="009D7261" w:rsidRPr="00CF10AD">
        <w:rPr>
          <w:sz w:val="28"/>
          <w:szCs w:val="28"/>
        </w:rPr>
        <w:t xml:space="preserve"> 44(4)</w:t>
      </w:r>
      <w:r w:rsidR="009D7261" w:rsidRPr="00CF10AD">
        <w:rPr>
          <w:i/>
          <w:iCs/>
          <w:sz w:val="28"/>
          <w:szCs w:val="28"/>
        </w:rPr>
        <w:t xml:space="preserve">(a) </w:t>
      </w:r>
      <w:r w:rsidR="00222710" w:rsidRPr="00CF10AD">
        <w:rPr>
          <w:sz w:val="28"/>
          <w:szCs w:val="28"/>
        </w:rPr>
        <w:t>must be given their</w:t>
      </w:r>
      <w:r w:rsidR="00B54E17" w:rsidRPr="00CF10AD">
        <w:rPr>
          <w:sz w:val="28"/>
          <w:szCs w:val="28"/>
        </w:rPr>
        <w:t xml:space="preserve"> ordinary grammatical meaning</w:t>
      </w:r>
      <w:r w:rsidR="00222710" w:rsidRPr="00CF10AD">
        <w:rPr>
          <w:sz w:val="28"/>
          <w:szCs w:val="28"/>
        </w:rPr>
        <w:t>,</w:t>
      </w:r>
      <w:r w:rsidR="00B54E17" w:rsidRPr="00CF10AD">
        <w:rPr>
          <w:sz w:val="28"/>
          <w:szCs w:val="28"/>
        </w:rPr>
        <w:t xml:space="preserve"> unless it would resul</w:t>
      </w:r>
      <w:r w:rsidR="00222710" w:rsidRPr="00CF10AD">
        <w:rPr>
          <w:sz w:val="28"/>
          <w:szCs w:val="28"/>
        </w:rPr>
        <w:t>t in absurdity or inconsistency.</w:t>
      </w:r>
      <w:r w:rsidR="00BE6481" w:rsidRPr="00AD51FB">
        <w:rPr>
          <w:rStyle w:val="FootnoteReference"/>
          <w:sz w:val="28"/>
          <w:szCs w:val="28"/>
        </w:rPr>
        <w:footnoteReference w:id="10"/>
      </w:r>
      <w:r w:rsidR="00222710" w:rsidRPr="00CF10AD">
        <w:rPr>
          <w:sz w:val="28"/>
          <w:szCs w:val="28"/>
        </w:rPr>
        <w:t xml:space="preserve"> </w:t>
      </w:r>
      <w:r w:rsidR="00C00AD0" w:rsidRPr="00CF10AD">
        <w:rPr>
          <w:sz w:val="28"/>
          <w:szCs w:val="28"/>
        </w:rPr>
        <w:t>As Wallis JA</w:t>
      </w:r>
      <w:r w:rsidR="00642304" w:rsidRPr="00CF10AD">
        <w:rPr>
          <w:sz w:val="28"/>
          <w:szCs w:val="28"/>
        </w:rPr>
        <w:t xml:space="preserve"> opined</w:t>
      </w:r>
      <w:r w:rsidR="00C00AD0" w:rsidRPr="00CF10AD">
        <w:rPr>
          <w:sz w:val="28"/>
          <w:szCs w:val="28"/>
        </w:rPr>
        <w:t xml:space="preserve"> in the seminal case of </w:t>
      </w:r>
      <w:r w:rsidR="00C00AD0" w:rsidRPr="00CF10AD">
        <w:rPr>
          <w:i/>
          <w:iCs/>
          <w:sz w:val="28"/>
          <w:szCs w:val="28"/>
        </w:rPr>
        <w:t>Natal Joint Municipal Pension Fund v Endumeni Municipality</w:t>
      </w:r>
      <w:r w:rsidR="00C00AD0" w:rsidRPr="00CF10AD">
        <w:rPr>
          <w:iCs/>
          <w:sz w:val="28"/>
          <w:szCs w:val="28"/>
        </w:rPr>
        <w:t>:</w:t>
      </w:r>
    </w:p>
    <w:p w14:paraId="77F91E99" w14:textId="77C5E1DE" w:rsidR="00C00AD0" w:rsidRPr="00AD51FB" w:rsidRDefault="00C00AD0" w:rsidP="00466949">
      <w:pPr>
        <w:pStyle w:val="ListParagraph"/>
        <w:spacing w:line="360" w:lineRule="auto"/>
        <w:ind w:left="0" w:right="141"/>
        <w:jc w:val="both"/>
      </w:pPr>
      <w:r w:rsidRPr="00AD51FB">
        <w:t xml:space="preserve"> </w:t>
      </w:r>
      <w:r w:rsidR="00154482" w:rsidRPr="00AD51FB">
        <w:t>‘</w:t>
      </w:r>
      <w:r w:rsidRPr="00AD51FB">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w:t>
      </w:r>
    </w:p>
    <w:p w14:paraId="3BFA862A" w14:textId="7D76FEDA" w:rsidR="00C00AD0" w:rsidRPr="00AD51FB" w:rsidRDefault="00DA7AC2" w:rsidP="00C00AD0">
      <w:pPr>
        <w:pStyle w:val="ListParagraph"/>
        <w:spacing w:line="360" w:lineRule="auto"/>
        <w:ind w:left="0"/>
        <w:jc w:val="both"/>
      </w:pPr>
      <w:r w:rsidRPr="00AD51FB">
        <w:t>. . .</w:t>
      </w:r>
    </w:p>
    <w:p w14:paraId="6C405E35" w14:textId="1D4B475C" w:rsidR="00B40AF4" w:rsidRPr="00AD51FB" w:rsidRDefault="00DA7AC2" w:rsidP="00C00AD0">
      <w:pPr>
        <w:pStyle w:val="ListParagraph"/>
        <w:spacing w:line="360" w:lineRule="auto"/>
        <w:ind w:left="0"/>
        <w:jc w:val="both"/>
      </w:pPr>
      <w:r w:rsidRPr="00AD51FB">
        <w:t>. . . “</w:t>
      </w:r>
      <w:r w:rsidR="00C00AD0" w:rsidRPr="00AD51FB">
        <w:rPr>
          <w:color w:val="000000"/>
        </w:rPr>
        <w:t>the exercise of construction is essentially one unitary exercise</w:t>
      </w:r>
      <w:r w:rsidRPr="00AD51FB">
        <w:rPr>
          <w:color w:val="000000"/>
        </w:rPr>
        <w:t>.”.</w:t>
      </w:r>
      <w:r w:rsidR="00C00AD0" w:rsidRPr="00AD51FB">
        <w:rPr>
          <w:color w:val="000000"/>
        </w:rPr>
        <w:t>’</w:t>
      </w:r>
      <w:r w:rsidR="00222710" w:rsidRPr="00AD51FB">
        <w:rPr>
          <w:rStyle w:val="FootnoteReference"/>
        </w:rPr>
        <w:footnoteReference w:id="11"/>
      </w:r>
      <w:r w:rsidRPr="00AD51FB">
        <w:rPr>
          <w:color w:val="000000"/>
        </w:rPr>
        <w:t>(Footnotes omitted.)</w:t>
      </w:r>
    </w:p>
    <w:p w14:paraId="3DA4CB3A" w14:textId="77777777" w:rsidR="00AE25BD" w:rsidRPr="00AD51FB" w:rsidRDefault="00AE25BD" w:rsidP="003A73A2">
      <w:pPr>
        <w:pStyle w:val="ListParagraph"/>
        <w:spacing w:line="360" w:lineRule="auto"/>
        <w:ind w:left="0"/>
        <w:jc w:val="both"/>
      </w:pPr>
    </w:p>
    <w:p w14:paraId="2FAF642C" w14:textId="41B460ED" w:rsidR="00AE25BD" w:rsidRPr="00CF10AD" w:rsidRDefault="00CF10AD" w:rsidP="00CF10AD">
      <w:pPr>
        <w:spacing w:line="360" w:lineRule="auto"/>
        <w:jc w:val="both"/>
        <w:rPr>
          <w:sz w:val="28"/>
          <w:szCs w:val="28"/>
        </w:rPr>
      </w:pPr>
      <w:r w:rsidRPr="00AD51FB">
        <w:rPr>
          <w:sz w:val="28"/>
          <w:szCs w:val="28"/>
        </w:rPr>
        <w:t>[29]</w:t>
      </w:r>
      <w:r w:rsidRPr="00AD51FB">
        <w:rPr>
          <w:sz w:val="28"/>
          <w:szCs w:val="28"/>
        </w:rPr>
        <w:tab/>
      </w:r>
      <w:r w:rsidR="00AE25BD" w:rsidRPr="00CF10AD">
        <w:rPr>
          <w:sz w:val="28"/>
          <w:szCs w:val="28"/>
        </w:rPr>
        <w:t xml:space="preserve">In </w:t>
      </w:r>
      <w:r w:rsidR="00AE25BD" w:rsidRPr="00CF10AD">
        <w:rPr>
          <w:i/>
          <w:sz w:val="28"/>
          <w:szCs w:val="28"/>
        </w:rPr>
        <w:t>Cool Ideas 1186 CC v Hubbard</w:t>
      </w:r>
      <w:r w:rsidR="00AE25BD" w:rsidRPr="00CF10AD">
        <w:rPr>
          <w:sz w:val="28"/>
          <w:szCs w:val="28"/>
        </w:rPr>
        <w:t>,</w:t>
      </w:r>
      <w:r w:rsidR="00AE25BD" w:rsidRPr="00AD51FB">
        <w:rPr>
          <w:rStyle w:val="FootnoteReference"/>
          <w:sz w:val="28"/>
          <w:szCs w:val="28"/>
        </w:rPr>
        <w:footnoteReference w:id="12"/>
      </w:r>
      <w:r w:rsidR="00AE25BD" w:rsidRPr="00CF10AD">
        <w:rPr>
          <w:sz w:val="28"/>
          <w:szCs w:val="28"/>
        </w:rPr>
        <w:t xml:space="preserve"> the Constitutional Court </w:t>
      </w:r>
      <w:r w:rsidR="00AD0BF9" w:rsidRPr="00CF10AD">
        <w:rPr>
          <w:sz w:val="28"/>
          <w:szCs w:val="28"/>
        </w:rPr>
        <w:t>summarised</w:t>
      </w:r>
      <w:r w:rsidR="00AE25BD" w:rsidRPr="00CF10AD">
        <w:rPr>
          <w:sz w:val="28"/>
          <w:szCs w:val="28"/>
        </w:rPr>
        <w:t xml:space="preserve"> the principles applicable to statutory interpretation</w:t>
      </w:r>
      <w:r w:rsidR="00406C7A" w:rsidRPr="00CF10AD">
        <w:rPr>
          <w:sz w:val="28"/>
          <w:szCs w:val="28"/>
        </w:rPr>
        <w:t xml:space="preserve"> </w:t>
      </w:r>
      <w:r w:rsidR="00DC0176" w:rsidRPr="00CF10AD">
        <w:rPr>
          <w:sz w:val="28"/>
          <w:szCs w:val="28"/>
        </w:rPr>
        <w:t>as follows</w:t>
      </w:r>
      <w:r w:rsidR="00AE25BD" w:rsidRPr="00CF10AD">
        <w:rPr>
          <w:sz w:val="28"/>
          <w:szCs w:val="28"/>
        </w:rPr>
        <w:t>:</w:t>
      </w:r>
    </w:p>
    <w:p w14:paraId="28669F33" w14:textId="5CCC8689" w:rsidR="00AE25BD" w:rsidRPr="00AD51FB" w:rsidRDefault="00406C7A" w:rsidP="002E79EA">
      <w:pPr>
        <w:pStyle w:val="ListParagraph"/>
        <w:spacing w:before="120" w:line="360" w:lineRule="auto"/>
        <w:ind w:left="0"/>
        <w:jc w:val="both"/>
        <w:rPr>
          <w:color w:val="000000"/>
          <w:lang w:val="en-US"/>
        </w:rPr>
      </w:pPr>
      <w:r w:rsidRPr="00AD51FB">
        <w:rPr>
          <w:color w:val="000000"/>
        </w:rPr>
        <w:t>‘</w:t>
      </w:r>
      <w:r w:rsidR="00AE25BD" w:rsidRPr="00AD51FB">
        <w:rPr>
          <w:color w:val="000000"/>
        </w:rPr>
        <w:t>A fundamental tenet of statutory interpretation is that the words in a statute must be given their ordinary grammatical meaning, unless to do so would result in an absurdity.</w:t>
      </w:r>
      <w:bookmarkStart w:id="4" w:name="0-0-0-251891"/>
      <w:bookmarkEnd w:id="4"/>
      <w:r w:rsidR="00AE25BD" w:rsidRPr="00AD51FB">
        <w:rPr>
          <w:color w:val="000000"/>
        </w:rPr>
        <w:t>  There are three important interrelated riders to this general principle, namely:</w:t>
      </w:r>
    </w:p>
    <w:p w14:paraId="03F626EC" w14:textId="1C6E7F83" w:rsidR="00AE25BD" w:rsidRPr="00AD51FB" w:rsidRDefault="00AE25BD" w:rsidP="002E79EA">
      <w:pPr>
        <w:pStyle w:val="ListParagraph"/>
        <w:spacing w:before="60" w:line="360" w:lineRule="auto"/>
        <w:ind w:left="0"/>
        <w:jc w:val="both"/>
        <w:rPr>
          <w:color w:val="000000"/>
        </w:rPr>
      </w:pPr>
      <w:r w:rsidRPr="00AD51FB">
        <w:rPr>
          <w:iCs/>
          <w:color w:val="000000"/>
        </w:rPr>
        <w:t>(a)</w:t>
      </w:r>
      <w:r w:rsidRPr="00AD51FB">
        <w:rPr>
          <w:color w:val="000000"/>
        </w:rPr>
        <w:t>   that statutory provisions should always be interpreted purposively; </w:t>
      </w:r>
      <w:bookmarkStart w:id="5" w:name="0-0-0-251895"/>
      <w:bookmarkEnd w:id="5"/>
    </w:p>
    <w:p w14:paraId="153FD27A" w14:textId="3A5D5D8B" w:rsidR="00AE25BD" w:rsidRPr="00AD51FB" w:rsidRDefault="00AE25BD" w:rsidP="002E79EA">
      <w:pPr>
        <w:pStyle w:val="ListParagraph"/>
        <w:spacing w:before="60" w:line="360" w:lineRule="auto"/>
        <w:ind w:left="0"/>
        <w:jc w:val="both"/>
        <w:rPr>
          <w:color w:val="000000"/>
        </w:rPr>
      </w:pPr>
      <w:r w:rsidRPr="00AD51FB">
        <w:rPr>
          <w:iCs/>
          <w:color w:val="000000"/>
        </w:rPr>
        <w:t>(b)</w:t>
      </w:r>
      <w:r w:rsidRPr="00AD51FB">
        <w:rPr>
          <w:color w:val="000000"/>
        </w:rPr>
        <w:t>   the relevant statutory provision must be properly contextualised; </w:t>
      </w:r>
      <w:bookmarkStart w:id="6" w:name="0-0-0-251899"/>
      <w:bookmarkEnd w:id="6"/>
      <w:r w:rsidRPr="00AD51FB">
        <w:rPr>
          <w:color w:val="000000"/>
        </w:rPr>
        <w:t>and</w:t>
      </w:r>
    </w:p>
    <w:p w14:paraId="77A3852E" w14:textId="738A4E85" w:rsidR="00AE25BD" w:rsidRPr="00AD51FB" w:rsidRDefault="00AE25BD" w:rsidP="002E79EA">
      <w:pPr>
        <w:spacing w:before="60" w:line="360" w:lineRule="auto"/>
        <w:jc w:val="both"/>
        <w:rPr>
          <w:color w:val="000000"/>
        </w:rPr>
      </w:pPr>
      <w:r w:rsidRPr="00AD51FB">
        <w:rPr>
          <w:iCs/>
          <w:color w:val="000000"/>
        </w:rPr>
        <w:t>(c)</w:t>
      </w:r>
      <w:r w:rsidRPr="00AD51FB">
        <w:rPr>
          <w:color w:val="000000"/>
        </w:rPr>
        <w:t xml:space="preserve">   all statutes must be construed consistently with the Constitution, that is, where reasonably possible, legislative provisions ought to be interpreted to preserve their constitutional validity. </w:t>
      </w:r>
      <w:r w:rsidRPr="00AD51FB">
        <w:rPr>
          <w:color w:val="000000"/>
        </w:rPr>
        <w:lastRenderedPageBreak/>
        <w:t>This proviso to the general principle is closely related to the purposive approach referred to in </w:t>
      </w:r>
      <w:r w:rsidRPr="00AD51FB">
        <w:rPr>
          <w:iCs/>
          <w:color w:val="000000"/>
        </w:rPr>
        <w:t>(a)</w:t>
      </w:r>
      <w:r w:rsidRPr="00AD51FB">
        <w:rPr>
          <w:color w:val="000000"/>
        </w:rPr>
        <w:t>.</w:t>
      </w:r>
      <w:bookmarkStart w:id="7" w:name="0-0-0-251903"/>
      <w:bookmarkEnd w:id="7"/>
      <w:r w:rsidR="00200483" w:rsidRPr="00AD51FB">
        <w:rPr>
          <w:color w:val="000000"/>
        </w:rPr>
        <w:t>’</w:t>
      </w:r>
      <w:r w:rsidR="00200483" w:rsidRPr="00AD51FB">
        <w:t xml:space="preserve"> </w:t>
      </w:r>
      <w:r w:rsidR="00200483" w:rsidRPr="00AD51FB">
        <w:rPr>
          <w:color w:val="000000"/>
        </w:rPr>
        <w:t>(Footnotes omitted.)</w:t>
      </w:r>
    </w:p>
    <w:p w14:paraId="53A3C1AD" w14:textId="77777777" w:rsidR="00B40AF4" w:rsidRPr="00AD51FB" w:rsidRDefault="00B40AF4" w:rsidP="003A73A2">
      <w:pPr>
        <w:pStyle w:val="ListParagraph"/>
        <w:spacing w:line="360" w:lineRule="auto"/>
        <w:ind w:left="0"/>
        <w:jc w:val="both"/>
        <w:rPr>
          <w:sz w:val="28"/>
          <w:szCs w:val="28"/>
        </w:rPr>
      </w:pPr>
    </w:p>
    <w:p w14:paraId="4692614D" w14:textId="4C1A8A5C" w:rsidR="00B40AF4" w:rsidRPr="00CF10AD" w:rsidRDefault="00CF10AD" w:rsidP="00CF10AD">
      <w:pPr>
        <w:spacing w:line="360" w:lineRule="auto"/>
        <w:jc w:val="both"/>
        <w:rPr>
          <w:sz w:val="28"/>
          <w:szCs w:val="28"/>
          <w:lang w:val="en-ZA" w:eastAsia="en-GB"/>
        </w:rPr>
      </w:pPr>
      <w:r w:rsidRPr="00AD51FB">
        <w:rPr>
          <w:sz w:val="28"/>
          <w:szCs w:val="28"/>
          <w:lang w:val="en-ZA" w:eastAsia="en-GB"/>
        </w:rPr>
        <w:t>[30]</w:t>
      </w:r>
      <w:r w:rsidRPr="00AD51FB">
        <w:rPr>
          <w:sz w:val="28"/>
          <w:szCs w:val="28"/>
          <w:lang w:val="en-ZA" w:eastAsia="en-GB"/>
        </w:rPr>
        <w:tab/>
      </w:r>
      <w:r w:rsidR="00B40AF4" w:rsidRPr="00CF10AD">
        <w:rPr>
          <w:sz w:val="28"/>
          <w:szCs w:val="28"/>
        </w:rPr>
        <w:t xml:space="preserve">The Registrar's powers are set out in Chapter 9 </w:t>
      </w:r>
      <w:r w:rsidR="00222710" w:rsidRPr="00CF10AD">
        <w:rPr>
          <w:sz w:val="28"/>
          <w:szCs w:val="28"/>
        </w:rPr>
        <w:t xml:space="preserve">of the Act </w:t>
      </w:r>
      <w:r w:rsidR="00B40AF4" w:rsidRPr="00CF10AD">
        <w:rPr>
          <w:sz w:val="28"/>
          <w:szCs w:val="28"/>
        </w:rPr>
        <w:t xml:space="preserve">and include the powers to, </w:t>
      </w:r>
      <w:r w:rsidR="00B40AF4" w:rsidRPr="00CF10AD">
        <w:rPr>
          <w:i/>
          <w:iCs/>
          <w:sz w:val="28"/>
          <w:szCs w:val="28"/>
        </w:rPr>
        <w:t>inter alia</w:t>
      </w:r>
      <w:r w:rsidR="00B40AF4" w:rsidRPr="00CF10AD">
        <w:rPr>
          <w:sz w:val="28"/>
          <w:szCs w:val="28"/>
        </w:rPr>
        <w:t>, require additional particulars, make inquiries and conduct inspections and produce reports. The respondents contend that the high court was correct in finding that the</w:t>
      </w:r>
      <w:r w:rsidR="005E7762" w:rsidRPr="00CF10AD">
        <w:rPr>
          <w:sz w:val="28"/>
          <w:szCs w:val="28"/>
        </w:rPr>
        <w:t>ir</w:t>
      </w:r>
      <w:r w:rsidR="00B40AF4" w:rsidRPr="00CF10AD">
        <w:rPr>
          <w:sz w:val="28"/>
          <w:szCs w:val="28"/>
        </w:rPr>
        <w:t xml:space="preserve"> powers </w:t>
      </w:r>
      <w:r w:rsidR="00222710" w:rsidRPr="00CF10AD">
        <w:rPr>
          <w:sz w:val="28"/>
          <w:szCs w:val="28"/>
        </w:rPr>
        <w:t xml:space="preserve">to </w:t>
      </w:r>
      <w:r w:rsidR="00B40AF4" w:rsidRPr="00CF10AD">
        <w:rPr>
          <w:sz w:val="28"/>
          <w:szCs w:val="28"/>
        </w:rPr>
        <w:t>condu</w:t>
      </w:r>
      <w:r w:rsidR="00222710" w:rsidRPr="00CF10AD">
        <w:rPr>
          <w:sz w:val="28"/>
          <w:szCs w:val="28"/>
        </w:rPr>
        <w:t>ct inspections appear from the A</w:t>
      </w:r>
      <w:r w:rsidR="00B40AF4" w:rsidRPr="00CF10AD">
        <w:rPr>
          <w:sz w:val="28"/>
          <w:szCs w:val="28"/>
        </w:rPr>
        <w:t>ct</w:t>
      </w:r>
      <w:r w:rsidR="007A1729" w:rsidRPr="00CF10AD">
        <w:rPr>
          <w:sz w:val="28"/>
          <w:szCs w:val="28"/>
        </w:rPr>
        <w:t>, the</w:t>
      </w:r>
      <w:r w:rsidR="00B40AF4" w:rsidRPr="00CF10AD">
        <w:rPr>
          <w:sz w:val="28"/>
          <w:szCs w:val="28"/>
        </w:rPr>
        <w:t xml:space="preserve"> regulations</w:t>
      </w:r>
      <w:r w:rsidR="00222710" w:rsidRPr="00CF10AD">
        <w:rPr>
          <w:sz w:val="28"/>
          <w:szCs w:val="28"/>
        </w:rPr>
        <w:t xml:space="preserve"> and the FSR Act</w:t>
      </w:r>
      <w:r w:rsidR="00C00AD0" w:rsidRPr="00CF10AD">
        <w:rPr>
          <w:sz w:val="28"/>
          <w:szCs w:val="28"/>
        </w:rPr>
        <w:t>, all of which should be</w:t>
      </w:r>
      <w:r w:rsidR="00865378" w:rsidRPr="00CF10AD">
        <w:rPr>
          <w:sz w:val="28"/>
          <w:szCs w:val="28"/>
        </w:rPr>
        <w:t xml:space="preserve"> read together.</w:t>
      </w:r>
    </w:p>
    <w:p w14:paraId="258474BF" w14:textId="77777777" w:rsidR="009D7261" w:rsidRPr="00AD51FB" w:rsidRDefault="009D7261" w:rsidP="003A73A2">
      <w:pPr>
        <w:pStyle w:val="ListParagraph"/>
        <w:spacing w:line="360" w:lineRule="auto"/>
        <w:ind w:left="0"/>
        <w:jc w:val="both"/>
        <w:rPr>
          <w:sz w:val="28"/>
          <w:szCs w:val="28"/>
          <w:lang w:val="en-ZA" w:eastAsia="en-GB"/>
        </w:rPr>
      </w:pPr>
    </w:p>
    <w:p w14:paraId="5F847441" w14:textId="223D059D" w:rsidR="00E30206" w:rsidRPr="00CF10AD" w:rsidRDefault="00CF10AD" w:rsidP="00CF10AD">
      <w:pPr>
        <w:tabs>
          <w:tab w:val="left" w:pos="0"/>
        </w:tabs>
        <w:spacing w:line="360" w:lineRule="auto"/>
        <w:ind w:right="-1"/>
        <w:jc w:val="both"/>
        <w:rPr>
          <w:sz w:val="28"/>
          <w:szCs w:val="28"/>
          <w:lang w:val="en-ZA" w:eastAsia="en-GB"/>
        </w:rPr>
      </w:pPr>
      <w:r w:rsidRPr="00AD51FB">
        <w:rPr>
          <w:sz w:val="28"/>
          <w:szCs w:val="28"/>
          <w:lang w:val="en-ZA" w:eastAsia="en-GB"/>
        </w:rPr>
        <w:t>[31]</w:t>
      </w:r>
      <w:r w:rsidRPr="00AD51FB">
        <w:rPr>
          <w:sz w:val="28"/>
          <w:szCs w:val="28"/>
          <w:lang w:val="en-ZA" w:eastAsia="en-GB"/>
        </w:rPr>
        <w:tab/>
      </w:r>
      <w:r w:rsidR="00E30206" w:rsidRPr="00CF10AD">
        <w:rPr>
          <w:sz w:val="28"/>
          <w:szCs w:val="28"/>
        </w:rPr>
        <w:t>Optivest claims that the Council</w:t>
      </w:r>
      <w:r w:rsidR="00200483" w:rsidRPr="00CF10AD">
        <w:rPr>
          <w:sz w:val="28"/>
          <w:szCs w:val="28"/>
        </w:rPr>
        <w:t>’</w:t>
      </w:r>
      <w:r w:rsidR="00E30206" w:rsidRPr="00CF10AD">
        <w:rPr>
          <w:sz w:val="28"/>
          <w:szCs w:val="28"/>
        </w:rPr>
        <w:t xml:space="preserve">s </w:t>
      </w:r>
      <w:r w:rsidR="009D7261" w:rsidRPr="00CF10AD">
        <w:rPr>
          <w:sz w:val="28"/>
          <w:szCs w:val="28"/>
        </w:rPr>
        <w:t xml:space="preserve">additional </w:t>
      </w:r>
      <w:r w:rsidR="00E30206" w:rsidRPr="00CF10AD">
        <w:rPr>
          <w:sz w:val="28"/>
          <w:szCs w:val="28"/>
        </w:rPr>
        <w:t>powers under s</w:t>
      </w:r>
      <w:r w:rsidR="000A0F33" w:rsidRPr="00CF10AD">
        <w:rPr>
          <w:sz w:val="28"/>
          <w:szCs w:val="28"/>
        </w:rPr>
        <w:t>s</w:t>
      </w:r>
      <w:r w:rsidR="00CB7CD1" w:rsidRPr="00CF10AD">
        <w:rPr>
          <w:sz w:val="28"/>
          <w:szCs w:val="28"/>
        </w:rPr>
        <w:t xml:space="preserve"> </w:t>
      </w:r>
      <w:r w:rsidR="00E30206" w:rsidRPr="00CF10AD">
        <w:rPr>
          <w:sz w:val="28"/>
          <w:szCs w:val="28"/>
        </w:rPr>
        <w:t>129, 134 and 135 of the FSR</w:t>
      </w:r>
      <w:r w:rsidR="000F5B4A" w:rsidRPr="00CF10AD">
        <w:rPr>
          <w:sz w:val="28"/>
          <w:szCs w:val="28"/>
        </w:rPr>
        <w:t xml:space="preserve"> Act</w:t>
      </w:r>
      <w:r w:rsidR="00E30206" w:rsidRPr="00CF10AD">
        <w:rPr>
          <w:sz w:val="28"/>
          <w:szCs w:val="28"/>
        </w:rPr>
        <w:t xml:space="preserve"> only </w:t>
      </w:r>
      <w:r w:rsidR="009D7261" w:rsidRPr="00CF10AD">
        <w:rPr>
          <w:sz w:val="28"/>
          <w:szCs w:val="28"/>
        </w:rPr>
        <w:t>apply</w:t>
      </w:r>
      <w:r w:rsidR="00E30206" w:rsidRPr="00CF10AD">
        <w:rPr>
          <w:sz w:val="28"/>
          <w:szCs w:val="28"/>
        </w:rPr>
        <w:t xml:space="preserve"> to the inspection of medical schemes. </w:t>
      </w:r>
      <w:r w:rsidR="005D7170" w:rsidRPr="00CF10AD">
        <w:rPr>
          <w:sz w:val="28"/>
          <w:szCs w:val="28"/>
        </w:rPr>
        <w:t xml:space="preserve"> The r</w:t>
      </w:r>
      <w:r w:rsidR="00E30206" w:rsidRPr="00CF10AD">
        <w:rPr>
          <w:sz w:val="28"/>
          <w:szCs w:val="28"/>
        </w:rPr>
        <w:t xml:space="preserve">espondents </w:t>
      </w:r>
      <w:r w:rsidR="000F5B4A" w:rsidRPr="00CF10AD">
        <w:rPr>
          <w:sz w:val="28"/>
          <w:szCs w:val="28"/>
        </w:rPr>
        <w:t>contend</w:t>
      </w:r>
      <w:r w:rsidR="00E30206" w:rsidRPr="00CF10AD">
        <w:rPr>
          <w:sz w:val="28"/>
          <w:szCs w:val="28"/>
        </w:rPr>
        <w:t xml:space="preserve"> that this does not align with the express wording of the section</w:t>
      </w:r>
      <w:r w:rsidR="000F5B4A" w:rsidRPr="00CF10AD">
        <w:rPr>
          <w:sz w:val="28"/>
          <w:szCs w:val="28"/>
        </w:rPr>
        <w:t>s</w:t>
      </w:r>
      <w:r w:rsidR="00E30206" w:rsidRPr="00CF10AD">
        <w:rPr>
          <w:sz w:val="28"/>
          <w:szCs w:val="28"/>
        </w:rPr>
        <w:t>.</w:t>
      </w:r>
      <w:r w:rsidR="00D45CB6" w:rsidRPr="00CF10AD">
        <w:rPr>
          <w:sz w:val="28"/>
          <w:szCs w:val="28"/>
        </w:rPr>
        <w:t xml:space="preserve"> The subsection expands upon and/or extends the Council’s investigatory powers into others besides a medical scheme. </w:t>
      </w:r>
      <w:r w:rsidR="00E30206" w:rsidRPr="00CF10AD">
        <w:rPr>
          <w:sz w:val="28"/>
          <w:szCs w:val="28"/>
        </w:rPr>
        <w:t>The Financial Services Tribunal considered the proper construction of s</w:t>
      </w:r>
      <w:r w:rsidR="00CB7CD1" w:rsidRPr="00CF10AD">
        <w:rPr>
          <w:sz w:val="28"/>
          <w:szCs w:val="28"/>
        </w:rPr>
        <w:t xml:space="preserve">s </w:t>
      </w:r>
      <w:r w:rsidR="00E30206" w:rsidRPr="00CF10AD">
        <w:rPr>
          <w:sz w:val="28"/>
          <w:szCs w:val="28"/>
        </w:rPr>
        <w:t xml:space="preserve">134 and 135 in </w:t>
      </w:r>
      <w:bookmarkStart w:id="8" w:name="_Hlk161674160"/>
      <w:r w:rsidR="00E30206" w:rsidRPr="00CF10AD">
        <w:rPr>
          <w:i/>
          <w:iCs/>
          <w:sz w:val="28"/>
          <w:szCs w:val="28"/>
        </w:rPr>
        <w:t>MediHe</w:t>
      </w:r>
      <w:r w:rsidR="00661FD0" w:rsidRPr="00CF10AD">
        <w:rPr>
          <w:i/>
          <w:iCs/>
          <w:sz w:val="28"/>
          <w:szCs w:val="28"/>
        </w:rPr>
        <w:t>lp</w:t>
      </w:r>
      <w:r w:rsidR="00E30206" w:rsidRPr="00CF10AD">
        <w:rPr>
          <w:i/>
          <w:iCs/>
          <w:sz w:val="28"/>
          <w:szCs w:val="28"/>
        </w:rPr>
        <w:t xml:space="preserve"> Medi</w:t>
      </w:r>
      <w:r w:rsidR="00703AC5" w:rsidRPr="00CF10AD">
        <w:rPr>
          <w:i/>
          <w:iCs/>
          <w:sz w:val="28"/>
          <w:szCs w:val="28"/>
        </w:rPr>
        <w:t>cal Scheme v the Registrar for Medical S</w:t>
      </w:r>
      <w:r w:rsidR="00E30206" w:rsidRPr="00CF10AD">
        <w:rPr>
          <w:i/>
          <w:iCs/>
          <w:sz w:val="28"/>
          <w:szCs w:val="28"/>
        </w:rPr>
        <w:t xml:space="preserve">chemes and </w:t>
      </w:r>
      <w:r w:rsidR="00200483" w:rsidRPr="00CF10AD">
        <w:rPr>
          <w:i/>
          <w:iCs/>
          <w:sz w:val="28"/>
          <w:szCs w:val="28"/>
        </w:rPr>
        <w:t>A</w:t>
      </w:r>
      <w:r w:rsidR="00E30206" w:rsidRPr="00CF10AD">
        <w:rPr>
          <w:i/>
          <w:iCs/>
          <w:sz w:val="28"/>
          <w:szCs w:val="28"/>
        </w:rPr>
        <w:t>nothe</w:t>
      </w:r>
      <w:bookmarkEnd w:id="8"/>
      <w:r w:rsidR="009B7D4A" w:rsidRPr="00CF10AD">
        <w:rPr>
          <w:i/>
          <w:iCs/>
          <w:sz w:val="28"/>
          <w:szCs w:val="28"/>
        </w:rPr>
        <w:t>r</w:t>
      </w:r>
      <w:r w:rsidR="009B7D4A" w:rsidRPr="00466949">
        <w:rPr>
          <w:rStyle w:val="FootnoteReference"/>
          <w:sz w:val="28"/>
        </w:rPr>
        <w:footnoteReference w:id="13"/>
      </w:r>
      <w:r w:rsidR="00E30206" w:rsidRPr="00CF10AD">
        <w:rPr>
          <w:sz w:val="28"/>
          <w:szCs w:val="28"/>
        </w:rPr>
        <w:t xml:space="preserve"> </w:t>
      </w:r>
      <w:r w:rsidR="000F5B4A" w:rsidRPr="00CF10AD">
        <w:rPr>
          <w:sz w:val="28"/>
          <w:szCs w:val="28"/>
        </w:rPr>
        <w:t xml:space="preserve">and </w:t>
      </w:r>
      <w:r w:rsidR="00E30206" w:rsidRPr="00CF10AD">
        <w:rPr>
          <w:sz w:val="28"/>
          <w:szCs w:val="28"/>
        </w:rPr>
        <w:t>stated</w:t>
      </w:r>
      <w:r w:rsidR="00200483" w:rsidRPr="00CF10AD">
        <w:rPr>
          <w:sz w:val="28"/>
          <w:szCs w:val="28"/>
        </w:rPr>
        <w:t xml:space="preserve"> thus</w:t>
      </w:r>
      <w:r w:rsidR="00E30206" w:rsidRPr="00CF10AD">
        <w:rPr>
          <w:sz w:val="28"/>
          <w:szCs w:val="28"/>
        </w:rPr>
        <w:t>:</w:t>
      </w:r>
    </w:p>
    <w:p w14:paraId="4BA3C5E5" w14:textId="5540C09A" w:rsidR="00E30206" w:rsidRPr="00AD51FB" w:rsidRDefault="00154482" w:rsidP="00466949">
      <w:pPr>
        <w:pStyle w:val="ListParagraph"/>
        <w:spacing w:line="360" w:lineRule="auto"/>
        <w:ind w:left="0" w:right="-1"/>
        <w:jc w:val="both"/>
        <w:rPr>
          <w:lang w:val="en-ZA"/>
        </w:rPr>
      </w:pPr>
      <w:r w:rsidRPr="00AD51FB">
        <w:t>‘</w:t>
      </w:r>
      <w:r w:rsidR="00E30206" w:rsidRPr="00AD51FB">
        <w:rPr>
          <w:iCs/>
          <w:lang w:val="en-ZA"/>
        </w:rPr>
        <w:t xml:space="preserve">The appointment of investigators is regulated in the FSR Act by sections 134 and 135. Reading the provisions in the light of the definitions in sec 129, the Council [financial sector regulator] may, in writing, appoint a person as an investigator and may instruct the investigator appointed by it to conduct an investigation in terms of this Part in respect of </w:t>
      </w:r>
      <w:r w:rsidR="00E30206" w:rsidRPr="00AD51FB">
        <w:rPr>
          <w:bCs/>
          <w:iCs/>
          <w:lang w:val="en-ZA"/>
        </w:rPr>
        <w:t>any person</w:t>
      </w:r>
      <w:r w:rsidR="00E30206" w:rsidRPr="00AD51FB">
        <w:rPr>
          <w:iCs/>
          <w:lang w:val="en-ZA"/>
        </w:rPr>
        <w:t xml:space="preserve">, if the Council reasonably suspects that </w:t>
      </w:r>
      <w:r w:rsidR="00E30206" w:rsidRPr="00AD51FB">
        <w:rPr>
          <w:bCs/>
          <w:iCs/>
          <w:lang w:val="en-ZA"/>
        </w:rPr>
        <w:t>a person</w:t>
      </w:r>
      <w:r w:rsidR="00E30206" w:rsidRPr="00AD51FB">
        <w:rPr>
          <w:iCs/>
          <w:lang w:val="en-ZA"/>
        </w:rPr>
        <w:t xml:space="preserve"> may have contravened, may be contravening or may be about to contravene, the Medical Schemes Act [a financial sector law] for which the Council [financial sector regulator] is the responsible authority</w:t>
      </w:r>
      <w:r w:rsidRPr="00AD51FB">
        <w:rPr>
          <w:iCs/>
          <w:lang w:val="en-ZA"/>
        </w:rPr>
        <w:t>.’</w:t>
      </w:r>
      <w:r w:rsidRPr="00AD51FB">
        <w:rPr>
          <w:i/>
          <w:iCs/>
          <w:lang w:val="en-ZA"/>
        </w:rPr>
        <w:t xml:space="preserve"> </w:t>
      </w:r>
    </w:p>
    <w:p w14:paraId="2B67AAF3" w14:textId="77777777" w:rsidR="00E30206" w:rsidRPr="00AD51FB" w:rsidRDefault="00E30206" w:rsidP="00154482">
      <w:pPr>
        <w:pStyle w:val="ListParagraph"/>
        <w:spacing w:line="360" w:lineRule="auto"/>
        <w:ind w:left="0"/>
        <w:jc w:val="both"/>
        <w:rPr>
          <w:sz w:val="28"/>
          <w:szCs w:val="28"/>
          <w:lang w:val="en-ZA"/>
        </w:rPr>
      </w:pPr>
    </w:p>
    <w:p w14:paraId="421AE1E7" w14:textId="6CD1D83A" w:rsidR="00DD2FF5" w:rsidRPr="00CF10AD" w:rsidRDefault="00CF10AD" w:rsidP="00CF10AD">
      <w:pPr>
        <w:spacing w:line="360" w:lineRule="auto"/>
        <w:jc w:val="both"/>
        <w:rPr>
          <w:sz w:val="28"/>
          <w:szCs w:val="28"/>
          <w:lang w:val="en-ZA"/>
        </w:rPr>
      </w:pPr>
      <w:r w:rsidRPr="00AD51FB">
        <w:rPr>
          <w:sz w:val="28"/>
          <w:szCs w:val="28"/>
          <w:lang w:val="en-ZA"/>
        </w:rPr>
        <w:t>[32]</w:t>
      </w:r>
      <w:r w:rsidRPr="00AD51FB">
        <w:rPr>
          <w:sz w:val="28"/>
          <w:szCs w:val="28"/>
          <w:lang w:val="en-ZA"/>
        </w:rPr>
        <w:tab/>
      </w:r>
      <w:r w:rsidR="005A7D05" w:rsidRPr="00CF10AD">
        <w:rPr>
          <w:sz w:val="28"/>
          <w:szCs w:val="28"/>
          <w:lang w:val="en-ZA"/>
        </w:rPr>
        <w:t>T</w:t>
      </w:r>
      <w:r w:rsidR="00DD2FF5" w:rsidRPr="00CF10AD">
        <w:rPr>
          <w:sz w:val="28"/>
          <w:szCs w:val="28"/>
          <w:lang w:val="en-ZA"/>
        </w:rPr>
        <w:t>he Act does not expressly provide for an inspection into the affairs of brokers, but it does use the words ‘any person.’</w:t>
      </w:r>
      <w:r w:rsidR="00DD2FF5" w:rsidRPr="00CF10AD">
        <w:rPr>
          <w:sz w:val="28"/>
          <w:szCs w:val="28"/>
        </w:rPr>
        <w:t xml:space="preserve"> Optivest contends that </w:t>
      </w:r>
      <w:r w:rsidR="000A0F33" w:rsidRPr="00CF10AD">
        <w:rPr>
          <w:sz w:val="28"/>
          <w:szCs w:val="28"/>
        </w:rPr>
        <w:t xml:space="preserve">it </w:t>
      </w:r>
      <w:r w:rsidR="00DD2FF5" w:rsidRPr="00CF10AD">
        <w:rPr>
          <w:sz w:val="28"/>
          <w:szCs w:val="28"/>
        </w:rPr>
        <w:t xml:space="preserve">is a reference to one upon whom the Act imposes a positive duty in relation to their duties to a medical scheme, for example, a trustee. The respondents </w:t>
      </w:r>
      <w:r w:rsidR="000A0F33" w:rsidRPr="00CF10AD">
        <w:rPr>
          <w:sz w:val="28"/>
          <w:szCs w:val="28"/>
        </w:rPr>
        <w:t>submit</w:t>
      </w:r>
      <w:r w:rsidR="00DD2FF5" w:rsidRPr="00CF10AD">
        <w:rPr>
          <w:sz w:val="28"/>
          <w:szCs w:val="28"/>
        </w:rPr>
        <w:t xml:space="preserve"> that, </w:t>
      </w:r>
      <w:r w:rsidR="00DD2FF5" w:rsidRPr="00CF10AD">
        <w:rPr>
          <w:sz w:val="28"/>
          <w:szCs w:val="28"/>
        </w:rPr>
        <w:lastRenderedPageBreak/>
        <w:t xml:space="preserve">Optivest does perform a positive duty as it is required in terms of the Act to provide services and advice to beneficiaries. </w:t>
      </w:r>
      <w:r w:rsidR="00216BE7" w:rsidRPr="00CF10AD">
        <w:rPr>
          <w:sz w:val="28"/>
          <w:szCs w:val="28"/>
        </w:rPr>
        <w:t>And, i</w:t>
      </w:r>
      <w:r w:rsidR="00DD2FF5" w:rsidRPr="00CF10AD">
        <w:rPr>
          <w:sz w:val="28"/>
          <w:szCs w:val="28"/>
        </w:rPr>
        <w:t>n its affidavit</w:t>
      </w:r>
      <w:r w:rsidR="00CB799A" w:rsidRPr="00CF10AD">
        <w:rPr>
          <w:sz w:val="28"/>
          <w:szCs w:val="28"/>
        </w:rPr>
        <w:t>,</w:t>
      </w:r>
      <w:r w:rsidR="00DD2FF5" w:rsidRPr="00CF10AD">
        <w:rPr>
          <w:sz w:val="28"/>
          <w:szCs w:val="28"/>
        </w:rPr>
        <w:t xml:space="preserve"> Optivest refers to those that perform a positive service by including ‘[t]he supplier of a service, which has rendered a service to a beneficiary, that is obliged, under s 59(1) of the Act to furnish that beneficiary with a statement reflecting the particulars of the service supplied’. It is clear that a broker falls into that category, as defined.</w:t>
      </w:r>
      <w:r w:rsidR="005E7762" w:rsidRPr="00AD51FB">
        <w:rPr>
          <w:rStyle w:val="FootnoteReference"/>
          <w:sz w:val="28"/>
          <w:szCs w:val="28"/>
        </w:rPr>
        <w:footnoteReference w:id="14"/>
      </w:r>
    </w:p>
    <w:p w14:paraId="63141AD1" w14:textId="77777777" w:rsidR="008D3F50" w:rsidRPr="00AD51FB" w:rsidRDefault="008D3F50" w:rsidP="008D3F50">
      <w:pPr>
        <w:spacing w:line="360" w:lineRule="auto"/>
        <w:jc w:val="both"/>
        <w:rPr>
          <w:sz w:val="28"/>
          <w:szCs w:val="28"/>
          <w:lang w:val="en-ZA"/>
        </w:rPr>
      </w:pPr>
    </w:p>
    <w:p w14:paraId="2A6C748C" w14:textId="4994BB20" w:rsidR="001D773D" w:rsidRPr="00CF10AD" w:rsidRDefault="00CF10AD" w:rsidP="00CF10AD">
      <w:pPr>
        <w:spacing w:line="360" w:lineRule="auto"/>
        <w:jc w:val="both"/>
        <w:rPr>
          <w:sz w:val="28"/>
          <w:szCs w:val="28"/>
          <w:lang w:val="en-ZA"/>
        </w:rPr>
      </w:pPr>
      <w:r w:rsidRPr="00AD51FB">
        <w:rPr>
          <w:sz w:val="28"/>
          <w:szCs w:val="28"/>
          <w:lang w:val="en-ZA"/>
        </w:rPr>
        <w:t>[33]</w:t>
      </w:r>
      <w:r w:rsidRPr="00AD51FB">
        <w:rPr>
          <w:sz w:val="28"/>
          <w:szCs w:val="28"/>
          <w:lang w:val="en-ZA"/>
        </w:rPr>
        <w:tab/>
      </w:r>
      <w:r w:rsidR="006E6BFC" w:rsidRPr="00CF10AD">
        <w:rPr>
          <w:sz w:val="28"/>
          <w:szCs w:val="28"/>
          <w:lang w:val="en-ZA"/>
        </w:rPr>
        <w:t xml:space="preserve">The </w:t>
      </w:r>
      <w:r w:rsidR="00DD2FF5" w:rsidRPr="00CF10AD">
        <w:rPr>
          <w:sz w:val="28"/>
          <w:szCs w:val="28"/>
          <w:lang w:val="en-ZA"/>
        </w:rPr>
        <w:t>respondents</w:t>
      </w:r>
      <w:r w:rsidR="00865378" w:rsidRPr="00CF10AD">
        <w:rPr>
          <w:sz w:val="28"/>
          <w:szCs w:val="28"/>
          <w:lang w:val="en-ZA"/>
        </w:rPr>
        <w:t xml:space="preserve"> </w:t>
      </w:r>
      <w:r w:rsidR="006E6BFC" w:rsidRPr="00CF10AD">
        <w:rPr>
          <w:sz w:val="28"/>
          <w:szCs w:val="28"/>
          <w:lang w:val="en-ZA"/>
        </w:rPr>
        <w:t xml:space="preserve">contend that </w:t>
      </w:r>
      <w:r w:rsidR="00E30206" w:rsidRPr="00CF10AD">
        <w:rPr>
          <w:sz w:val="28"/>
          <w:szCs w:val="28"/>
          <w:lang w:val="en-ZA"/>
        </w:rPr>
        <w:t xml:space="preserve">Optivest’s </w:t>
      </w:r>
      <w:r w:rsidR="000A0F33" w:rsidRPr="00CF10AD">
        <w:rPr>
          <w:sz w:val="28"/>
          <w:szCs w:val="28"/>
          <w:lang w:val="en-ZA"/>
        </w:rPr>
        <w:t xml:space="preserve">submissions </w:t>
      </w:r>
      <w:r w:rsidR="00E30206" w:rsidRPr="00CF10AD">
        <w:rPr>
          <w:sz w:val="28"/>
          <w:szCs w:val="28"/>
          <w:lang w:val="en-ZA"/>
        </w:rPr>
        <w:t xml:space="preserve">are inconsistent with the </w:t>
      </w:r>
      <w:r w:rsidR="006E6BFC" w:rsidRPr="00CF10AD">
        <w:rPr>
          <w:sz w:val="28"/>
          <w:szCs w:val="28"/>
          <w:lang w:val="en-ZA"/>
        </w:rPr>
        <w:t xml:space="preserve">express </w:t>
      </w:r>
      <w:r w:rsidR="00E30206" w:rsidRPr="00CF10AD">
        <w:rPr>
          <w:sz w:val="28"/>
          <w:szCs w:val="28"/>
          <w:lang w:val="en-ZA"/>
        </w:rPr>
        <w:t>wording of s</w:t>
      </w:r>
      <w:r w:rsidR="00865378" w:rsidRPr="00CF10AD">
        <w:rPr>
          <w:sz w:val="28"/>
          <w:szCs w:val="28"/>
          <w:lang w:val="en-ZA"/>
        </w:rPr>
        <w:t xml:space="preserve">s </w:t>
      </w:r>
      <w:r w:rsidR="00E30206" w:rsidRPr="00CF10AD">
        <w:rPr>
          <w:sz w:val="28"/>
          <w:szCs w:val="28"/>
          <w:lang w:val="en-ZA"/>
        </w:rPr>
        <w:t>134 and 135 of the FSR</w:t>
      </w:r>
      <w:r w:rsidR="000F5B4A" w:rsidRPr="00CF10AD">
        <w:rPr>
          <w:sz w:val="28"/>
          <w:szCs w:val="28"/>
          <w:lang w:val="en-ZA"/>
        </w:rPr>
        <w:t xml:space="preserve"> Act</w:t>
      </w:r>
      <w:r w:rsidR="00E30206" w:rsidRPr="00CF10AD">
        <w:rPr>
          <w:sz w:val="28"/>
          <w:szCs w:val="28"/>
          <w:lang w:val="en-ZA"/>
        </w:rPr>
        <w:t>, read with s</w:t>
      </w:r>
      <w:r w:rsidR="00865378" w:rsidRPr="00CF10AD">
        <w:rPr>
          <w:sz w:val="28"/>
          <w:szCs w:val="28"/>
          <w:lang w:val="en-ZA"/>
        </w:rPr>
        <w:t xml:space="preserve"> </w:t>
      </w:r>
      <w:r w:rsidR="00E30206" w:rsidRPr="00CF10AD">
        <w:rPr>
          <w:sz w:val="28"/>
          <w:szCs w:val="28"/>
          <w:lang w:val="en-ZA"/>
        </w:rPr>
        <w:t xml:space="preserve">129. </w:t>
      </w:r>
      <w:r w:rsidR="000A0F33" w:rsidRPr="00CF10AD">
        <w:rPr>
          <w:sz w:val="28"/>
          <w:szCs w:val="28"/>
          <w:lang w:val="en-ZA"/>
        </w:rPr>
        <w:t>They submit that o</w:t>
      </w:r>
      <w:r w:rsidR="005E7762" w:rsidRPr="00CF10AD">
        <w:rPr>
          <w:sz w:val="28"/>
          <w:szCs w:val="28"/>
          <w:lang w:val="en-ZA"/>
        </w:rPr>
        <w:t>n a</w:t>
      </w:r>
      <w:r w:rsidR="00E30206" w:rsidRPr="00CF10AD">
        <w:rPr>
          <w:sz w:val="28"/>
          <w:szCs w:val="28"/>
          <w:lang w:val="en-ZA"/>
        </w:rPr>
        <w:t xml:space="preserve"> contextual and purpo</w:t>
      </w:r>
      <w:r w:rsidR="00703AC5" w:rsidRPr="00CF10AD">
        <w:rPr>
          <w:sz w:val="28"/>
          <w:szCs w:val="28"/>
          <w:lang w:val="en-ZA"/>
        </w:rPr>
        <w:t>sive</w:t>
      </w:r>
      <w:r w:rsidR="000F5B4A" w:rsidRPr="00CF10AD">
        <w:rPr>
          <w:sz w:val="28"/>
          <w:szCs w:val="28"/>
          <w:lang w:val="en-ZA"/>
        </w:rPr>
        <w:t xml:space="preserve"> interpretation of the A</w:t>
      </w:r>
      <w:r w:rsidR="00E30206" w:rsidRPr="00CF10AD">
        <w:rPr>
          <w:sz w:val="28"/>
          <w:szCs w:val="28"/>
          <w:lang w:val="en-ZA"/>
        </w:rPr>
        <w:t>ct</w:t>
      </w:r>
      <w:r w:rsidR="0089433F" w:rsidRPr="00CF10AD">
        <w:rPr>
          <w:sz w:val="28"/>
          <w:szCs w:val="28"/>
          <w:lang w:val="en-ZA"/>
        </w:rPr>
        <w:t>,</w:t>
      </w:r>
      <w:r w:rsidR="00E30206" w:rsidRPr="00CF10AD">
        <w:rPr>
          <w:sz w:val="28"/>
          <w:szCs w:val="28"/>
          <w:lang w:val="en-ZA"/>
        </w:rPr>
        <w:t xml:space="preserve"> the only jurisdictional fact required for an inspection under s</w:t>
      </w:r>
      <w:r w:rsidR="00154482" w:rsidRPr="00CF10AD">
        <w:rPr>
          <w:sz w:val="28"/>
          <w:szCs w:val="28"/>
          <w:lang w:val="en-ZA"/>
        </w:rPr>
        <w:t xml:space="preserve"> </w:t>
      </w:r>
      <w:r w:rsidR="00E30206" w:rsidRPr="00CF10AD">
        <w:rPr>
          <w:sz w:val="28"/>
          <w:szCs w:val="28"/>
          <w:lang w:val="en-ZA"/>
        </w:rPr>
        <w:t>44(4)</w:t>
      </w:r>
      <w:r w:rsidR="00E30206" w:rsidRPr="00CF10AD">
        <w:rPr>
          <w:i/>
          <w:iCs/>
          <w:sz w:val="28"/>
          <w:szCs w:val="28"/>
          <w:lang w:val="en-ZA"/>
        </w:rPr>
        <w:t>(a)</w:t>
      </w:r>
      <w:r w:rsidR="00E30206" w:rsidRPr="00CF10AD">
        <w:rPr>
          <w:sz w:val="28"/>
          <w:lang w:val="en-ZA"/>
        </w:rPr>
        <w:t xml:space="preserve"> </w:t>
      </w:r>
      <w:r w:rsidR="00E30206" w:rsidRPr="00CF10AD">
        <w:rPr>
          <w:sz w:val="28"/>
          <w:szCs w:val="28"/>
          <w:lang w:val="en-ZA"/>
        </w:rPr>
        <w:t xml:space="preserve">is that the Registrar must be of the opinion that such an inspection will provide evidence of any irregularity or non- compliance with the </w:t>
      </w:r>
      <w:r w:rsidR="006E6BFC" w:rsidRPr="00CF10AD">
        <w:rPr>
          <w:sz w:val="28"/>
          <w:szCs w:val="28"/>
          <w:lang w:val="en-ZA"/>
        </w:rPr>
        <w:t>Act</w:t>
      </w:r>
      <w:r w:rsidR="00E30206" w:rsidRPr="00CF10AD">
        <w:rPr>
          <w:sz w:val="28"/>
          <w:szCs w:val="28"/>
          <w:lang w:val="en-ZA"/>
        </w:rPr>
        <w:t xml:space="preserve"> </w:t>
      </w:r>
      <w:r w:rsidR="00AD51FB" w:rsidRPr="00CF10AD">
        <w:rPr>
          <w:sz w:val="28"/>
          <w:szCs w:val="28"/>
          <w:lang w:val="en-ZA"/>
        </w:rPr>
        <w:t>by ‘</w:t>
      </w:r>
      <w:r w:rsidR="00E30206" w:rsidRPr="00CF10AD">
        <w:rPr>
          <w:sz w:val="28"/>
          <w:szCs w:val="28"/>
          <w:lang w:val="en-ZA"/>
        </w:rPr>
        <w:t>any person</w:t>
      </w:r>
      <w:r w:rsidR="006E6BFC" w:rsidRPr="00CF10AD">
        <w:rPr>
          <w:sz w:val="28"/>
          <w:szCs w:val="28"/>
          <w:lang w:val="en-ZA"/>
        </w:rPr>
        <w:t>’</w:t>
      </w:r>
      <w:r w:rsidR="00E30206" w:rsidRPr="00CF10AD">
        <w:rPr>
          <w:sz w:val="28"/>
          <w:szCs w:val="28"/>
          <w:lang w:val="en-ZA"/>
        </w:rPr>
        <w:t>.</w:t>
      </w:r>
    </w:p>
    <w:p w14:paraId="684E2EAA" w14:textId="7038120E" w:rsidR="00F73756" w:rsidRPr="00AD51FB" w:rsidRDefault="00F73756" w:rsidP="00F73756">
      <w:pPr>
        <w:pStyle w:val="ListParagraph"/>
        <w:spacing w:line="360" w:lineRule="auto"/>
        <w:ind w:left="0"/>
        <w:jc w:val="both"/>
        <w:rPr>
          <w:sz w:val="28"/>
          <w:szCs w:val="28"/>
          <w:lang w:val="en-ZA"/>
        </w:rPr>
      </w:pPr>
    </w:p>
    <w:p w14:paraId="5AC3D92F" w14:textId="29411D5D" w:rsidR="00E30206" w:rsidRPr="00CF10AD" w:rsidRDefault="00CF10AD" w:rsidP="00CF10AD">
      <w:pPr>
        <w:spacing w:line="360" w:lineRule="auto"/>
        <w:jc w:val="both"/>
        <w:rPr>
          <w:sz w:val="28"/>
          <w:szCs w:val="28"/>
          <w:lang w:val="en-ZA"/>
        </w:rPr>
      </w:pPr>
      <w:r w:rsidRPr="00AD51FB">
        <w:rPr>
          <w:sz w:val="28"/>
          <w:szCs w:val="28"/>
          <w:lang w:val="en-ZA"/>
        </w:rPr>
        <w:t>[34]</w:t>
      </w:r>
      <w:r w:rsidRPr="00AD51FB">
        <w:rPr>
          <w:sz w:val="28"/>
          <w:szCs w:val="28"/>
          <w:lang w:val="en-ZA"/>
        </w:rPr>
        <w:tab/>
      </w:r>
      <w:r w:rsidR="00CA47E2" w:rsidRPr="00CF10AD">
        <w:rPr>
          <w:sz w:val="28"/>
          <w:szCs w:val="28"/>
          <w:lang w:val="en-ZA"/>
        </w:rPr>
        <w:t>The respondents submit that a broker must be certified in terms of s 65 of the Act and</w:t>
      </w:r>
      <w:r w:rsidR="005D7170" w:rsidRPr="00CF10AD">
        <w:rPr>
          <w:sz w:val="28"/>
          <w:szCs w:val="28"/>
          <w:lang w:val="en-ZA"/>
        </w:rPr>
        <w:t xml:space="preserve"> that</w:t>
      </w:r>
      <w:r w:rsidR="0092630F" w:rsidRPr="00CF10AD">
        <w:rPr>
          <w:sz w:val="28"/>
          <w:szCs w:val="28"/>
          <w:lang w:val="en-ZA"/>
        </w:rPr>
        <w:t xml:space="preserve"> </w:t>
      </w:r>
      <w:r w:rsidR="00CA47E2" w:rsidRPr="00CF10AD">
        <w:rPr>
          <w:sz w:val="28"/>
          <w:szCs w:val="28"/>
          <w:lang w:val="en-ZA"/>
        </w:rPr>
        <w:t xml:space="preserve">regulation </w:t>
      </w:r>
      <w:r w:rsidR="00CA47E2" w:rsidRPr="00CF10AD">
        <w:rPr>
          <w:rFonts w:eastAsia="WenQuanYi Micro Hei"/>
          <w:sz w:val="28"/>
          <w:szCs w:val="28"/>
          <w:bdr w:val="none" w:sz="0" w:space="0" w:color="auto" w:frame="1"/>
          <w:lang w:val="en-ZA" w:eastAsia="en-ZA"/>
        </w:rPr>
        <w:t xml:space="preserve">28C empowers the Council to </w:t>
      </w:r>
      <w:r w:rsidR="00CA47E2" w:rsidRPr="00CF10AD">
        <w:rPr>
          <w:iCs/>
          <w:sz w:val="28"/>
          <w:szCs w:val="28"/>
          <w:lang w:val="en-ZA" w:eastAsia="en-ZA"/>
        </w:rPr>
        <w:t xml:space="preserve">suspend or withdraw accreditation given to a broker if the Council is satisfied that the broker has, since the granting of such accreditation, conducted </w:t>
      </w:r>
      <w:r w:rsidR="005E7762" w:rsidRPr="00CF10AD">
        <w:rPr>
          <w:iCs/>
          <w:sz w:val="28"/>
          <w:szCs w:val="28"/>
          <w:lang w:val="en-ZA" w:eastAsia="en-ZA"/>
        </w:rPr>
        <w:t>their</w:t>
      </w:r>
      <w:r w:rsidR="00CA47E2" w:rsidRPr="00CF10AD">
        <w:rPr>
          <w:iCs/>
          <w:sz w:val="28"/>
          <w:szCs w:val="28"/>
          <w:lang w:val="en-ZA" w:eastAsia="en-ZA"/>
        </w:rPr>
        <w:t xml:space="preserve"> business in a manner that is seriously prejudicial to clients or the public interest.</w:t>
      </w:r>
      <w:r w:rsidR="00CA47E2" w:rsidRPr="00CF10AD">
        <w:rPr>
          <w:sz w:val="28"/>
          <w:szCs w:val="28"/>
          <w:lang w:val="en-ZA"/>
        </w:rPr>
        <w:t xml:space="preserve"> These powers, t</w:t>
      </w:r>
      <w:r w:rsidR="00E30206" w:rsidRPr="00CF10AD">
        <w:rPr>
          <w:sz w:val="28"/>
          <w:szCs w:val="28"/>
          <w:lang w:val="en-ZA"/>
        </w:rPr>
        <w:t>he respondent</w:t>
      </w:r>
      <w:r w:rsidR="000F5B4A" w:rsidRPr="00CF10AD">
        <w:rPr>
          <w:sz w:val="28"/>
          <w:szCs w:val="28"/>
          <w:lang w:val="en-ZA"/>
        </w:rPr>
        <w:t>s</w:t>
      </w:r>
      <w:r w:rsidR="00E30206" w:rsidRPr="00CF10AD">
        <w:rPr>
          <w:sz w:val="28"/>
          <w:szCs w:val="28"/>
          <w:lang w:val="en-ZA"/>
        </w:rPr>
        <w:t xml:space="preserve"> submit</w:t>
      </w:r>
      <w:r w:rsidR="00401D88" w:rsidRPr="00CF10AD">
        <w:rPr>
          <w:sz w:val="28"/>
          <w:szCs w:val="28"/>
          <w:lang w:val="en-ZA"/>
        </w:rPr>
        <w:t>,</w:t>
      </w:r>
      <w:r w:rsidR="00E30206" w:rsidRPr="00CF10AD">
        <w:rPr>
          <w:sz w:val="28"/>
          <w:szCs w:val="28"/>
          <w:lang w:val="en-ZA"/>
        </w:rPr>
        <w:t xml:space="preserve"> give rise to an implied primary power </w:t>
      </w:r>
      <w:r w:rsidR="00CA47E2" w:rsidRPr="00CF10AD">
        <w:rPr>
          <w:sz w:val="28"/>
          <w:szCs w:val="28"/>
          <w:lang w:val="en-ZA"/>
        </w:rPr>
        <w:t>or, at the</w:t>
      </w:r>
      <w:r w:rsidR="00401D88" w:rsidRPr="00CF10AD">
        <w:rPr>
          <w:sz w:val="28"/>
          <w:szCs w:val="28"/>
          <w:lang w:val="en-ZA"/>
        </w:rPr>
        <w:t xml:space="preserve"> very</w:t>
      </w:r>
      <w:r w:rsidR="00CA47E2" w:rsidRPr="00CF10AD">
        <w:rPr>
          <w:sz w:val="28"/>
          <w:szCs w:val="28"/>
          <w:lang w:val="en-ZA"/>
        </w:rPr>
        <w:t xml:space="preserve"> least, an ancillary power </w:t>
      </w:r>
      <w:r w:rsidR="00E30206" w:rsidRPr="00CF10AD">
        <w:rPr>
          <w:sz w:val="28"/>
          <w:szCs w:val="28"/>
          <w:lang w:val="en-ZA"/>
        </w:rPr>
        <w:t>in s</w:t>
      </w:r>
      <w:r w:rsidR="00154482" w:rsidRPr="00CF10AD">
        <w:rPr>
          <w:sz w:val="28"/>
          <w:szCs w:val="28"/>
          <w:lang w:val="en-ZA"/>
        </w:rPr>
        <w:t xml:space="preserve"> </w:t>
      </w:r>
      <w:r w:rsidR="00E30206" w:rsidRPr="00CF10AD">
        <w:rPr>
          <w:sz w:val="28"/>
          <w:szCs w:val="28"/>
          <w:lang w:val="en-ZA"/>
        </w:rPr>
        <w:t>44(4)</w:t>
      </w:r>
      <w:r w:rsidR="00E30206" w:rsidRPr="00CF10AD">
        <w:rPr>
          <w:i/>
          <w:iCs/>
          <w:sz w:val="28"/>
          <w:szCs w:val="28"/>
          <w:lang w:val="en-ZA"/>
        </w:rPr>
        <w:t xml:space="preserve">(a) </w:t>
      </w:r>
      <w:r w:rsidR="00E30206" w:rsidRPr="00CF10AD">
        <w:rPr>
          <w:sz w:val="28"/>
          <w:szCs w:val="28"/>
          <w:lang w:val="en-ZA"/>
        </w:rPr>
        <w:t xml:space="preserve">and </w:t>
      </w:r>
      <w:r w:rsidR="00E30206" w:rsidRPr="00CF10AD">
        <w:rPr>
          <w:i/>
          <w:iCs/>
          <w:sz w:val="28"/>
          <w:szCs w:val="28"/>
          <w:lang w:val="en-ZA"/>
        </w:rPr>
        <w:t>(b)</w:t>
      </w:r>
      <w:r w:rsidR="00E30206" w:rsidRPr="00CF10AD">
        <w:rPr>
          <w:sz w:val="28"/>
          <w:szCs w:val="28"/>
          <w:lang w:val="en-ZA"/>
        </w:rPr>
        <w:t xml:space="preserve"> that an inspection can be commissioned into the affairs of a broker of a medical scheme to ensure compliance with th</w:t>
      </w:r>
      <w:r w:rsidR="000F5B4A" w:rsidRPr="00CF10AD">
        <w:rPr>
          <w:sz w:val="28"/>
          <w:szCs w:val="28"/>
          <w:lang w:val="en-ZA"/>
        </w:rPr>
        <w:t>e A</w:t>
      </w:r>
      <w:r w:rsidR="00E30206" w:rsidRPr="00CF10AD">
        <w:rPr>
          <w:sz w:val="28"/>
          <w:szCs w:val="28"/>
          <w:lang w:val="en-ZA"/>
        </w:rPr>
        <w:t>ct. This</w:t>
      </w:r>
      <w:r w:rsidR="00401D88" w:rsidRPr="00CF10AD">
        <w:rPr>
          <w:sz w:val="28"/>
          <w:szCs w:val="28"/>
          <w:lang w:val="en-ZA"/>
        </w:rPr>
        <w:t>,</w:t>
      </w:r>
      <w:r w:rsidR="00E30206" w:rsidRPr="00CF10AD">
        <w:rPr>
          <w:sz w:val="28"/>
          <w:szCs w:val="28"/>
          <w:lang w:val="en-ZA"/>
        </w:rPr>
        <w:t xml:space="preserve"> the </w:t>
      </w:r>
      <w:r w:rsidR="00865378" w:rsidRPr="00CF10AD">
        <w:rPr>
          <w:sz w:val="28"/>
          <w:szCs w:val="28"/>
          <w:lang w:val="en-ZA"/>
        </w:rPr>
        <w:t>r</w:t>
      </w:r>
      <w:r w:rsidR="00E30206" w:rsidRPr="00CF10AD">
        <w:rPr>
          <w:sz w:val="28"/>
          <w:szCs w:val="28"/>
          <w:lang w:val="en-ZA"/>
        </w:rPr>
        <w:t>espondent</w:t>
      </w:r>
      <w:r w:rsidR="00865378" w:rsidRPr="00CF10AD">
        <w:rPr>
          <w:sz w:val="28"/>
          <w:szCs w:val="28"/>
          <w:lang w:val="en-ZA"/>
        </w:rPr>
        <w:t>s</w:t>
      </w:r>
      <w:r w:rsidR="00E30206" w:rsidRPr="00CF10AD">
        <w:rPr>
          <w:sz w:val="28"/>
          <w:szCs w:val="28"/>
          <w:lang w:val="en-ZA"/>
        </w:rPr>
        <w:t xml:space="preserve"> </w:t>
      </w:r>
      <w:r w:rsidR="000A0F33" w:rsidRPr="00CF10AD">
        <w:rPr>
          <w:sz w:val="28"/>
          <w:szCs w:val="28"/>
          <w:lang w:val="en-ZA"/>
        </w:rPr>
        <w:t>argue</w:t>
      </w:r>
      <w:r w:rsidR="00401D88" w:rsidRPr="00CF10AD">
        <w:rPr>
          <w:sz w:val="28"/>
          <w:szCs w:val="28"/>
          <w:lang w:val="en-ZA"/>
        </w:rPr>
        <w:t>,</w:t>
      </w:r>
      <w:r w:rsidR="00E30206" w:rsidRPr="00CF10AD">
        <w:rPr>
          <w:sz w:val="28"/>
          <w:szCs w:val="28"/>
          <w:lang w:val="en-ZA"/>
        </w:rPr>
        <w:t xml:space="preserve"> is consistent with the maxim</w:t>
      </w:r>
      <w:r w:rsidR="00FC6B6C" w:rsidRPr="00CF10AD">
        <w:rPr>
          <w:sz w:val="28"/>
          <w:szCs w:val="28"/>
          <w:lang w:val="en-ZA"/>
        </w:rPr>
        <w:t xml:space="preserve"> of construction encapsulated in the phrase </w:t>
      </w:r>
      <w:r w:rsidR="00FC6B6C" w:rsidRPr="00CF10AD">
        <w:rPr>
          <w:i/>
          <w:iCs/>
          <w:sz w:val="28"/>
          <w:szCs w:val="28"/>
          <w:lang w:val="en-ZA"/>
        </w:rPr>
        <w:t>ex accessorio aius, de quo verba loquuntur</w:t>
      </w:r>
      <w:r w:rsidR="00E164C5" w:rsidRPr="00AD51FB">
        <w:rPr>
          <w:rStyle w:val="FootnoteReference"/>
          <w:iCs/>
          <w:sz w:val="28"/>
          <w:szCs w:val="28"/>
          <w:lang w:val="en-ZA"/>
        </w:rPr>
        <w:footnoteReference w:id="15"/>
      </w:r>
      <w:r w:rsidR="008905AA" w:rsidRPr="00CF10AD">
        <w:rPr>
          <w:sz w:val="28"/>
          <w:szCs w:val="28"/>
          <w:lang w:val="en-ZA"/>
        </w:rPr>
        <w:t>,</w:t>
      </w:r>
      <w:r w:rsidR="00E30206" w:rsidRPr="00CF10AD">
        <w:rPr>
          <w:sz w:val="28"/>
          <w:szCs w:val="28"/>
          <w:lang w:val="en-ZA"/>
        </w:rPr>
        <w:t>which the Constitutional Court has held to be a useful tool of interpretation.</w:t>
      </w:r>
      <w:r w:rsidR="00E30206" w:rsidRPr="00AD51FB">
        <w:rPr>
          <w:rStyle w:val="FootnoteReference"/>
          <w:sz w:val="28"/>
          <w:szCs w:val="28"/>
          <w:lang w:val="en-ZA"/>
        </w:rPr>
        <w:footnoteReference w:id="16"/>
      </w:r>
    </w:p>
    <w:p w14:paraId="5A364FD5" w14:textId="4306D577" w:rsidR="00E30206" w:rsidRPr="00CF10AD" w:rsidRDefault="00CF10AD" w:rsidP="00CF10AD">
      <w:pPr>
        <w:spacing w:line="360" w:lineRule="auto"/>
        <w:jc w:val="both"/>
        <w:rPr>
          <w:sz w:val="28"/>
          <w:szCs w:val="28"/>
          <w:lang w:val="en-ZA"/>
        </w:rPr>
      </w:pPr>
      <w:r w:rsidRPr="00AD51FB">
        <w:rPr>
          <w:sz w:val="28"/>
          <w:szCs w:val="28"/>
          <w:lang w:val="en-ZA"/>
        </w:rPr>
        <w:lastRenderedPageBreak/>
        <w:t>[35]</w:t>
      </w:r>
      <w:r w:rsidRPr="00AD51FB">
        <w:rPr>
          <w:sz w:val="28"/>
          <w:szCs w:val="28"/>
          <w:lang w:val="en-ZA"/>
        </w:rPr>
        <w:tab/>
      </w:r>
      <w:r w:rsidR="005316EA" w:rsidRPr="00CF10AD">
        <w:rPr>
          <w:sz w:val="28"/>
          <w:szCs w:val="28"/>
          <w:lang w:val="en-ZA"/>
        </w:rPr>
        <w:t>W</w:t>
      </w:r>
      <w:r w:rsidR="00E30206" w:rsidRPr="00CF10AD">
        <w:rPr>
          <w:sz w:val="28"/>
          <w:szCs w:val="28"/>
          <w:lang w:val="en-ZA"/>
        </w:rPr>
        <w:t>here legislation grants certain powers, whatever is reasonably incidental to the proper carrying out of an authorised power is considered as impliedly authorised</w:t>
      </w:r>
      <w:r w:rsidR="00662F69" w:rsidRPr="00CF10AD">
        <w:rPr>
          <w:sz w:val="28"/>
          <w:szCs w:val="28"/>
          <w:lang w:val="en-ZA"/>
        </w:rPr>
        <w:t>. This principle</w:t>
      </w:r>
      <w:r w:rsidR="00E30206" w:rsidRPr="00CF10AD">
        <w:rPr>
          <w:sz w:val="28"/>
          <w:szCs w:val="28"/>
          <w:lang w:val="en-ZA"/>
        </w:rPr>
        <w:t xml:space="preserve"> finds application</w:t>
      </w:r>
      <w:r w:rsidR="000F5B4A" w:rsidRPr="00CF10AD">
        <w:rPr>
          <w:sz w:val="28"/>
          <w:szCs w:val="28"/>
          <w:lang w:val="en-ZA"/>
        </w:rPr>
        <w:t xml:space="preserve"> in this context. This question</w:t>
      </w:r>
      <w:r w:rsidR="00E30206" w:rsidRPr="00CF10AD">
        <w:rPr>
          <w:sz w:val="28"/>
          <w:szCs w:val="28"/>
          <w:lang w:val="en-ZA"/>
        </w:rPr>
        <w:t xml:space="preserve"> of</w:t>
      </w:r>
      <w:r w:rsidR="000F5B4A" w:rsidRPr="00CF10AD">
        <w:rPr>
          <w:sz w:val="28"/>
          <w:szCs w:val="28"/>
          <w:lang w:val="en-ZA"/>
        </w:rPr>
        <w:t xml:space="preserve"> an </w:t>
      </w:r>
      <w:r w:rsidR="00E30206" w:rsidRPr="00CF10AD">
        <w:rPr>
          <w:sz w:val="28"/>
          <w:szCs w:val="28"/>
          <w:lang w:val="en-ZA"/>
        </w:rPr>
        <w:t xml:space="preserve">implied </w:t>
      </w:r>
      <w:r w:rsidR="0099584E" w:rsidRPr="00CF10AD">
        <w:rPr>
          <w:sz w:val="28"/>
          <w:szCs w:val="28"/>
          <w:lang w:val="en-ZA"/>
        </w:rPr>
        <w:t xml:space="preserve">primary </w:t>
      </w:r>
      <w:r w:rsidR="00E30206" w:rsidRPr="00CF10AD">
        <w:rPr>
          <w:sz w:val="28"/>
          <w:szCs w:val="28"/>
          <w:lang w:val="en-ZA"/>
        </w:rPr>
        <w:t xml:space="preserve">power </w:t>
      </w:r>
      <w:r w:rsidR="00CA47E2" w:rsidRPr="00CF10AD">
        <w:rPr>
          <w:sz w:val="28"/>
          <w:szCs w:val="28"/>
          <w:lang w:val="en-ZA"/>
        </w:rPr>
        <w:t xml:space="preserve">as opposed to an ancillary power </w:t>
      </w:r>
      <w:r w:rsidR="00E30206" w:rsidRPr="00CF10AD">
        <w:rPr>
          <w:sz w:val="28"/>
          <w:szCs w:val="28"/>
          <w:lang w:val="en-ZA"/>
        </w:rPr>
        <w:t>was dealt with in the Constitutional Court as follows:</w:t>
      </w:r>
    </w:p>
    <w:p w14:paraId="2BA44597" w14:textId="1DD3A815" w:rsidR="00281AFB" w:rsidRPr="00466949" w:rsidRDefault="00154482" w:rsidP="00154482">
      <w:pPr>
        <w:pStyle w:val="ListParagraph"/>
        <w:spacing w:line="360" w:lineRule="auto"/>
        <w:ind w:left="0"/>
        <w:jc w:val="both"/>
        <w:rPr>
          <w:lang w:val="en-ZA"/>
        </w:rPr>
      </w:pPr>
      <w:r w:rsidRPr="00AD51FB">
        <w:rPr>
          <w:lang w:val="en-ZA"/>
        </w:rPr>
        <w:t>‘</w:t>
      </w:r>
      <w:r w:rsidR="00E30206" w:rsidRPr="00AD51FB">
        <w:rPr>
          <w:lang w:val="en-ZA"/>
        </w:rPr>
        <w:t>A primary power is a power to do something required to be done in terms of an Act and which does not owe its existence to, or whose existence is not pegged on, some other power; it exists all on its own. That is what makes it primary, and not ancillary. If it owed its existence to another primary power, then it would be an ancillary power.</w:t>
      </w:r>
      <w:r w:rsidRPr="00AD51FB">
        <w:rPr>
          <w:lang w:val="en-ZA"/>
        </w:rPr>
        <w:t>’</w:t>
      </w:r>
      <w:r w:rsidR="00C1708C" w:rsidRPr="00AD51FB">
        <w:rPr>
          <w:rStyle w:val="FootnoteReference"/>
          <w:sz w:val="28"/>
          <w:szCs w:val="28"/>
          <w:lang w:val="en-ZA"/>
        </w:rPr>
        <w:footnoteReference w:id="17"/>
      </w:r>
    </w:p>
    <w:p w14:paraId="73DED3AC" w14:textId="77777777" w:rsidR="0016654D" w:rsidRPr="0016654D" w:rsidRDefault="0016654D" w:rsidP="00154482">
      <w:pPr>
        <w:pStyle w:val="ListParagraph"/>
        <w:spacing w:line="360" w:lineRule="auto"/>
        <w:ind w:left="0"/>
        <w:jc w:val="both"/>
        <w:rPr>
          <w:lang w:val="en-ZA"/>
        </w:rPr>
      </w:pPr>
    </w:p>
    <w:p w14:paraId="4D629337" w14:textId="3829CFBB" w:rsidR="00281AFB" w:rsidRPr="00CF10AD" w:rsidRDefault="00CF10AD" w:rsidP="00CF10AD">
      <w:pPr>
        <w:spacing w:before="120" w:after="240" w:line="360" w:lineRule="auto"/>
        <w:ind w:right="-1"/>
        <w:jc w:val="both"/>
        <w:rPr>
          <w:color w:val="000000"/>
          <w:sz w:val="28"/>
          <w:szCs w:val="28"/>
          <w:lang w:val="en-US" w:eastAsia="en-GB"/>
        </w:rPr>
      </w:pPr>
      <w:r w:rsidRPr="00AD51FB">
        <w:rPr>
          <w:sz w:val="28"/>
          <w:szCs w:val="28"/>
          <w:lang w:val="en-US" w:eastAsia="en-GB"/>
        </w:rPr>
        <w:t>[36]</w:t>
      </w:r>
      <w:r w:rsidRPr="00AD51FB">
        <w:rPr>
          <w:sz w:val="28"/>
          <w:szCs w:val="28"/>
          <w:lang w:val="en-US" w:eastAsia="en-GB"/>
        </w:rPr>
        <w:tab/>
      </w:r>
      <w:r w:rsidR="00281AFB" w:rsidRPr="00CF10AD">
        <w:rPr>
          <w:color w:val="000000"/>
          <w:sz w:val="28"/>
          <w:szCs w:val="28"/>
          <w:lang w:val="en-US" w:eastAsia="en-GB"/>
        </w:rPr>
        <w:t xml:space="preserve">The Constitutional Court, in </w:t>
      </w:r>
      <w:r w:rsidR="00281AFB" w:rsidRPr="00CF10AD">
        <w:rPr>
          <w:i/>
          <w:color w:val="000000"/>
          <w:sz w:val="28"/>
          <w:szCs w:val="28"/>
          <w:lang w:val="en-US" w:eastAsia="en-GB"/>
        </w:rPr>
        <w:t>AmaBhungane</w:t>
      </w:r>
      <w:r w:rsidR="000A0F33" w:rsidRPr="00CF10AD">
        <w:rPr>
          <w:i/>
          <w:color w:val="000000"/>
          <w:sz w:val="28"/>
          <w:szCs w:val="28"/>
          <w:lang w:val="en-US" w:eastAsia="en-GB"/>
        </w:rPr>
        <w:t>,</w:t>
      </w:r>
      <w:r w:rsidR="00281AFB" w:rsidRPr="00CF10AD">
        <w:rPr>
          <w:color w:val="000000"/>
          <w:sz w:val="28"/>
          <w:szCs w:val="28"/>
          <w:lang w:val="en-US" w:eastAsia="en-GB"/>
        </w:rPr>
        <w:t xml:space="preserve"> </w:t>
      </w:r>
      <w:r w:rsidR="005E7762" w:rsidRPr="00CF10AD">
        <w:rPr>
          <w:color w:val="000000"/>
          <w:sz w:val="28"/>
          <w:szCs w:val="28"/>
          <w:lang w:val="en-US" w:eastAsia="en-GB"/>
        </w:rPr>
        <w:t>stated</w:t>
      </w:r>
      <w:r w:rsidR="00281AFB" w:rsidRPr="00CF10AD">
        <w:rPr>
          <w:color w:val="000000"/>
          <w:sz w:val="28"/>
          <w:szCs w:val="28"/>
          <w:lang w:val="en-US" w:eastAsia="en-GB"/>
        </w:rPr>
        <w:t xml:space="preserve"> the following </w:t>
      </w:r>
      <w:r w:rsidR="00F21FBA" w:rsidRPr="00CF10AD">
        <w:rPr>
          <w:color w:val="000000"/>
          <w:sz w:val="28"/>
          <w:szCs w:val="28"/>
          <w:lang w:val="en-US" w:eastAsia="en-GB"/>
        </w:rPr>
        <w:t>regarding</w:t>
      </w:r>
      <w:r w:rsidR="00281AFB" w:rsidRPr="00CF10AD">
        <w:rPr>
          <w:color w:val="000000"/>
          <w:sz w:val="28"/>
          <w:szCs w:val="28"/>
          <w:lang w:val="en-US" w:eastAsia="en-GB"/>
        </w:rPr>
        <w:t xml:space="preserve"> the difference between an implied primary and an ancillary power as follows:</w:t>
      </w:r>
    </w:p>
    <w:p w14:paraId="21791AB4" w14:textId="19BDA887" w:rsidR="00281AFB" w:rsidRPr="00AD51FB" w:rsidRDefault="00281AFB" w:rsidP="00941616">
      <w:pPr>
        <w:pStyle w:val="ListParagraph"/>
        <w:spacing w:before="120" w:after="240" w:line="360" w:lineRule="auto"/>
        <w:ind w:left="0" w:right="20"/>
        <w:jc w:val="both"/>
        <w:rPr>
          <w:color w:val="000000"/>
          <w:lang w:val="en-US" w:eastAsia="en-GB"/>
        </w:rPr>
      </w:pPr>
      <w:r w:rsidRPr="00AD51FB">
        <w:rPr>
          <w:color w:val="000000"/>
          <w:lang w:val="en-US" w:eastAsia="en-GB"/>
        </w:rPr>
        <w:t>‘</w:t>
      </w:r>
      <w:r w:rsidRPr="00AD51FB">
        <w:rPr>
          <w:color w:val="242121"/>
          <w:lang w:val="en-US"/>
        </w:rPr>
        <w:t>A distinction must be drawn between an implied primary power and an ancillary implied power.  I consider it necessary to draw this distinction because quite often discussions of implied powers entail ancillary implied powers, and not primary implied powers.  The distinction will be better understood if I first discuss the well-known concept, the ancillary implied power.  An ancillary implied power arises where a primary power – whether express or implied – conferred by an Act cannot be exercised if the ancillary implied power does not also exist.  For example, in </w:t>
      </w:r>
      <w:r w:rsidRPr="00AD51FB">
        <w:rPr>
          <w:i/>
          <w:iCs/>
          <w:color w:val="242121"/>
          <w:lang w:val="en-US"/>
        </w:rPr>
        <w:t>Masetlha</w:t>
      </w:r>
      <w:r w:rsidRPr="00AD51FB">
        <w:rPr>
          <w:color w:val="242121"/>
          <w:lang w:val="en-US"/>
        </w:rPr>
        <w:t> Moseneke DCJ, considering the President’s power to dismiss a head of an intelligence agency under section 209(2) of the Constitution, held:</w:t>
      </w:r>
    </w:p>
    <w:p w14:paraId="31E5BEAB" w14:textId="14615796" w:rsidR="00662F69" w:rsidRPr="00AD51FB" w:rsidRDefault="00281AFB" w:rsidP="00466949">
      <w:pPr>
        <w:pStyle w:val="NormalWeb"/>
        <w:shd w:val="clear" w:color="auto" w:fill="FFFFFF"/>
        <w:spacing w:before="144" w:beforeAutospacing="0" w:after="0" w:afterAutospacing="0" w:line="360" w:lineRule="auto"/>
        <w:ind w:right="-1"/>
        <w:jc w:val="both"/>
        <w:rPr>
          <w:color w:val="242121"/>
        </w:rPr>
      </w:pPr>
      <w:r w:rsidRPr="00AD51FB">
        <w:rPr>
          <w:color w:val="242121"/>
        </w:rPr>
        <w:t>“The power to dismiss is necessary in order to exercise the power to appoint. . . Without the competence to dismiss, the President would not be able to remove the head of the Agency without his or her consent before the end of the term of office, whatever the circumstances might be.  That would indeed lead to an absurdity and severely undermine the constitutional pursuit of the security of this country and its people.  That is why the power to dismiss is an essential corollary of the power to appoint. . .”</w:t>
      </w:r>
      <w:bookmarkStart w:id="9" w:name="_ftnref97"/>
      <w:r w:rsidR="00F21FBA" w:rsidRPr="00AD51FB">
        <w:rPr>
          <w:rStyle w:val="FootnoteReference"/>
          <w:color w:val="242121"/>
        </w:rPr>
        <w:footnoteReference w:id="18"/>
      </w:r>
      <w:hyperlink r:id="rId14" w:anchor="_ftn97" w:history="1"/>
      <w:bookmarkEnd w:id="9"/>
    </w:p>
    <w:p w14:paraId="068739D3" w14:textId="61012AD6" w:rsidR="00F21FBA" w:rsidRPr="00AD51FB" w:rsidRDefault="00F21FBA" w:rsidP="00466949">
      <w:pPr>
        <w:pStyle w:val="NormalWeb"/>
        <w:shd w:val="clear" w:color="auto" w:fill="FFFFFF"/>
        <w:spacing w:before="144" w:beforeAutospacing="0" w:after="0" w:afterAutospacing="0" w:line="360" w:lineRule="auto"/>
        <w:jc w:val="both"/>
        <w:rPr>
          <w:color w:val="242121"/>
        </w:rPr>
      </w:pPr>
      <w:r w:rsidRPr="00AD51FB">
        <w:rPr>
          <w:color w:val="242121"/>
        </w:rPr>
        <w:t>There, the power to dismiss was found to be an </w:t>
      </w:r>
      <w:r w:rsidRPr="00AD51FB">
        <w:rPr>
          <w:i/>
          <w:iCs/>
          <w:color w:val="242121"/>
        </w:rPr>
        <w:t>essential corollary</w:t>
      </w:r>
      <w:r w:rsidRPr="00AD51FB">
        <w:rPr>
          <w:color w:val="242121"/>
        </w:rPr>
        <w:t xml:space="preserve"> of the power to appoint, and this Court thus interpreted the power in section 209(2) of the Constitution to appoint the </w:t>
      </w:r>
      <w:r w:rsidRPr="00AD51FB">
        <w:rPr>
          <w:color w:val="242121"/>
        </w:rPr>
        <w:lastRenderedPageBreak/>
        <w:t>head of the NIA to include a power to dismiss.  The power to dismiss was an ancillary implied power, ancillary because it flowed from the power to appoint.  In </w:t>
      </w:r>
      <w:r w:rsidRPr="00AD51FB">
        <w:rPr>
          <w:i/>
          <w:iCs/>
          <w:color w:val="242121"/>
        </w:rPr>
        <w:t>Matatiele Municipality</w:t>
      </w:r>
      <w:r w:rsidRPr="00AD51FB">
        <w:rPr>
          <w:color w:val="242121"/>
        </w:rPr>
        <w:t> Ngcobo J wrote:</w:t>
      </w:r>
    </w:p>
    <w:p w14:paraId="0CC2142B" w14:textId="1662E27D" w:rsidR="00F21FBA" w:rsidRPr="00AD51FB" w:rsidRDefault="00F21FBA" w:rsidP="00466949">
      <w:pPr>
        <w:pStyle w:val="NormalWeb"/>
        <w:shd w:val="clear" w:color="auto" w:fill="FFFFFF"/>
        <w:spacing w:before="144" w:beforeAutospacing="0" w:after="0" w:afterAutospacing="0" w:line="360" w:lineRule="auto"/>
        <w:ind w:right="-1"/>
        <w:jc w:val="both"/>
        <w:rPr>
          <w:color w:val="242121"/>
        </w:rPr>
      </w:pPr>
      <w:r w:rsidRPr="00AD51FB">
        <w:rPr>
          <w:color w:val="242121"/>
        </w:rPr>
        <w:t>“It was . . . inevitable that the alteration of provincial boundaries would impact on municipal boundaries. This is implicit in the power to alter provincial boundaries. It is trite that the power to do that which is expressly authorised includes the power to do that which is necessary to give effect to the power expressly given. The power of Parliament to redraw provincial boundaries therefore includes the power that is reasonably necessary for the exercise of its power to alter provincial boundaries.”</w:t>
      </w:r>
      <w:bookmarkStart w:id="10" w:name="_ftnref98"/>
      <w:r w:rsidRPr="00AD51FB">
        <w:rPr>
          <w:color w:val="242121"/>
        </w:rPr>
        <w:fldChar w:fldCharType="begin"/>
      </w:r>
      <w:r w:rsidRPr="00AD51FB">
        <w:rPr>
          <w:color w:val="242121"/>
        </w:rPr>
        <w:instrText xml:space="preserve"> HYPERLINK "https://www.saflii.org/za/cases/ZACC/2021/3.html" \l "_ftn98" </w:instrText>
      </w:r>
      <w:r w:rsidRPr="00AD51FB">
        <w:rPr>
          <w:color w:val="242121"/>
        </w:rPr>
        <w:fldChar w:fldCharType="end"/>
      </w:r>
      <w:bookmarkEnd w:id="10"/>
    </w:p>
    <w:p w14:paraId="72C650DC" w14:textId="0C8C7829" w:rsidR="00281AFB" w:rsidRPr="00AD51FB" w:rsidRDefault="00F21FBA" w:rsidP="00466949">
      <w:pPr>
        <w:pStyle w:val="NormalWeb"/>
        <w:shd w:val="clear" w:color="auto" w:fill="FFFFFF"/>
        <w:spacing w:before="144" w:beforeAutospacing="0" w:after="0" w:afterAutospacing="0" w:line="360" w:lineRule="auto"/>
        <w:ind w:right="-1"/>
        <w:jc w:val="both"/>
        <w:rPr>
          <w:color w:val="242121"/>
          <w:lang w:val="en-ZA"/>
        </w:rPr>
      </w:pPr>
      <w:r w:rsidRPr="00AD51FB">
        <w:rPr>
          <w:color w:val="242121"/>
        </w:rPr>
        <w:t xml:space="preserve"> What </w:t>
      </w:r>
      <w:r w:rsidR="00281AFB" w:rsidRPr="00AD51FB">
        <w:rPr>
          <w:color w:val="242121"/>
        </w:rPr>
        <w:t>I refer to as an ancillary power arises in the context of one power being </w:t>
      </w:r>
      <w:r w:rsidR="00281AFB" w:rsidRPr="00AD51FB">
        <w:rPr>
          <w:i/>
          <w:iCs/>
          <w:color w:val="242121"/>
        </w:rPr>
        <w:t>necessary</w:t>
      </w:r>
      <w:r w:rsidR="00281AFB" w:rsidRPr="00AD51FB">
        <w:rPr>
          <w:color w:val="242121"/>
        </w:rPr>
        <w:t> in order for an unquestionably existing power to be exercised.</w:t>
      </w:r>
    </w:p>
    <w:p w14:paraId="3D18EE33" w14:textId="786D2264" w:rsidR="00281AFB" w:rsidRPr="00AD51FB" w:rsidRDefault="00281AFB" w:rsidP="00466949">
      <w:pPr>
        <w:pStyle w:val="NormalWeb"/>
        <w:shd w:val="clear" w:color="auto" w:fill="FFFFFF"/>
        <w:spacing w:before="144" w:beforeAutospacing="0" w:after="0" w:afterAutospacing="0" w:line="360" w:lineRule="auto"/>
        <w:ind w:right="-1"/>
        <w:jc w:val="both"/>
        <w:rPr>
          <w:color w:val="242121"/>
        </w:rPr>
      </w:pPr>
      <w:r w:rsidRPr="00AD51FB">
        <w:rPr>
          <w:color w:val="242121"/>
        </w:rPr>
        <w:t>Examples of implied powers that I have picked up from academic writings have also been about implied ancillary powers.  Hoexter says:</w:t>
      </w:r>
    </w:p>
    <w:p w14:paraId="0076F21F" w14:textId="6955FE5D" w:rsidR="00281AFB" w:rsidRPr="00AD51FB" w:rsidRDefault="00281AFB" w:rsidP="00466949">
      <w:pPr>
        <w:pStyle w:val="NormalWeb"/>
        <w:shd w:val="clear" w:color="auto" w:fill="FFFFFF"/>
        <w:spacing w:before="144" w:beforeAutospacing="0" w:after="0" w:afterAutospacing="0" w:line="360" w:lineRule="auto"/>
        <w:ind w:right="-1"/>
        <w:jc w:val="both"/>
        <w:rPr>
          <w:color w:val="242121"/>
        </w:rPr>
      </w:pPr>
      <w:r w:rsidRPr="00AD51FB">
        <w:rPr>
          <w:color w:val="242121"/>
        </w:rPr>
        <w:t>“As a general rule, express powers are needed for the actions and decisions of administrators.  Implied powers may, however, be ancillary to the express powers, or exist either as a necessary or reasonable consequence of the express powers.  Thus ‘what is reasonably incidental to the proper carrying out of an authorised act must be considered as impliedly authorised’.”</w:t>
      </w:r>
    </w:p>
    <w:p w14:paraId="6E334FB3" w14:textId="474D64AE" w:rsidR="00281AFB" w:rsidRPr="00AD51FB" w:rsidRDefault="00281AFB" w:rsidP="00397D2B">
      <w:pPr>
        <w:pStyle w:val="NormalWeb"/>
        <w:shd w:val="clear" w:color="auto" w:fill="FFFFFF"/>
        <w:spacing w:before="144" w:beforeAutospacing="0" w:after="0" w:afterAutospacing="0" w:line="360" w:lineRule="auto"/>
        <w:rPr>
          <w:color w:val="242121"/>
        </w:rPr>
      </w:pPr>
      <w:r w:rsidRPr="00AD51FB">
        <w:rPr>
          <w:color w:val="242121"/>
        </w:rPr>
        <w:t>According to De Ville—</w:t>
      </w:r>
    </w:p>
    <w:p w14:paraId="418567F6" w14:textId="2CAA942B" w:rsidR="00281AFB" w:rsidRPr="00AD51FB" w:rsidRDefault="00281AFB" w:rsidP="00466949">
      <w:pPr>
        <w:pStyle w:val="NormalWeb"/>
        <w:shd w:val="clear" w:color="auto" w:fill="FFFFFF"/>
        <w:spacing w:before="144" w:beforeAutospacing="0" w:after="0" w:afterAutospacing="0" w:line="360" w:lineRule="auto"/>
        <w:jc w:val="both"/>
        <w:rPr>
          <w:color w:val="242121"/>
        </w:rPr>
      </w:pPr>
      <w:r w:rsidRPr="00AD51FB">
        <w:rPr>
          <w:color w:val="242121"/>
        </w:rPr>
        <w:t>“[w]hen powers are granted to a public authority, those granted expressly are not the only powers such public authority will have.  The powers will include those which are reasonably necessary or required to give effect to and which are reasonably or properly ancillary or incidental to the express powers that are granted</w:t>
      </w:r>
      <w:r w:rsidR="002909DE">
        <w:rPr>
          <w:color w:val="242121"/>
        </w:rPr>
        <w:t>.’</w:t>
      </w:r>
      <w:r w:rsidRPr="00AD51FB">
        <w:rPr>
          <w:color w:val="242121"/>
          <w:vertAlign w:val="superscript"/>
        </w:rPr>
        <w:t> </w:t>
      </w:r>
      <w:r w:rsidR="00F21FBA" w:rsidRPr="00AD51FB">
        <w:rPr>
          <w:rStyle w:val="FootnoteReference"/>
          <w:color w:val="242121"/>
        </w:rPr>
        <w:footnoteReference w:id="19"/>
      </w:r>
    </w:p>
    <w:p w14:paraId="69F1429E" w14:textId="77777777" w:rsidR="00F21FBA" w:rsidRPr="00AD51FB" w:rsidRDefault="00F21FBA" w:rsidP="00397D2B">
      <w:pPr>
        <w:pStyle w:val="ListParagraph"/>
        <w:spacing w:before="120" w:after="240" w:line="360" w:lineRule="auto"/>
        <w:ind w:left="0" w:right="515"/>
        <w:jc w:val="both"/>
        <w:rPr>
          <w:color w:val="000000"/>
          <w:sz w:val="28"/>
          <w:szCs w:val="28"/>
          <w:lang w:val="en-US" w:eastAsia="en-GB"/>
        </w:rPr>
      </w:pPr>
      <w:r w:rsidRPr="00AD51FB">
        <w:rPr>
          <w:color w:val="000000"/>
          <w:sz w:val="28"/>
          <w:szCs w:val="28"/>
          <w:lang w:val="en-US" w:eastAsia="en-GB"/>
        </w:rPr>
        <w:t xml:space="preserve"> </w:t>
      </w:r>
    </w:p>
    <w:p w14:paraId="0F25E085" w14:textId="72E36574" w:rsidR="00C1708C" w:rsidRPr="00CF10AD" w:rsidRDefault="00CF10AD" w:rsidP="00CF10AD">
      <w:pPr>
        <w:spacing w:before="120" w:after="240" w:line="360" w:lineRule="auto"/>
        <w:ind w:right="20"/>
        <w:jc w:val="both"/>
        <w:rPr>
          <w:color w:val="000000"/>
          <w:sz w:val="28"/>
          <w:szCs w:val="28"/>
          <w:lang w:val="en-US" w:eastAsia="en-GB"/>
        </w:rPr>
      </w:pPr>
      <w:r w:rsidRPr="00AD51FB">
        <w:rPr>
          <w:sz w:val="28"/>
          <w:szCs w:val="28"/>
          <w:lang w:val="en-US" w:eastAsia="en-GB"/>
        </w:rPr>
        <w:t>[37]</w:t>
      </w:r>
      <w:r w:rsidRPr="00AD51FB">
        <w:rPr>
          <w:sz w:val="28"/>
          <w:szCs w:val="28"/>
          <w:lang w:val="en-US" w:eastAsia="en-GB"/>
        </w:rPr>
        <w:tab/>
      </w:r>
      <w:r w:rsidR="00703AC5" w:rsidRPr="00CF10AD">
        <w:rPr>
          <w:color w:val="000000"/>
          <w:sz w:val="28"/>
          <w:szCs w:val="28"/>
          <w:lang w:val="en-US" w:eastAsia="en-GB"/>
        </w:rPr>
        <w:t>Although the A</w:t>
      </w:r>
      <w:r w:rsidR="00C1708C" w:rsidRPr="00CF10AD">
        <w:rPr>
          <w:color w:val="000000"/>
          <w:sz w:val="28"/>
          <w:szCs w:val="28"/>
          <w:lang w:val="en-US" w:eastAsia="en-GB"/>
        </w:rPr>
        <w:t xml:space="preserve">ct does not define the meaning of the phrase </w:t>
      </w:r>
      <w:r w:rsidR="00154482" w:rsidRPr="00CF10AD">
        <w:rPr>
          <w:color w:val="000000"/>
          <w:sz w:val="28"/>
          <w:szCs w:val="28"/>
          <w:lang w:val="en-US" w:eastAsia="en-GB"/>
        </w:rPr>
        <w:t>‘</w:t>
      </w:r>
      <w:r w:rsidR="00C1708C" w:rsidRPr="00CF10AD">
        <w:rPr>
          <w:color w:val="000000"/>
          <w:sz w:val="28"/>
          <w:szCs w:val="28"/>
          <w:lang w:val="en-US" w:eastAsia="en-GB"/>
        </w:rPr>
        <w:t>any person</w:t>
      </w:r>
      <w:r w:rsidR="00154482" w:rsidRPr="00CF10AD">
        <w:rPr>
          <w:color w:val="000000"/>
          <w:sz w:val="28"/>
          <w:szCs w:val="28"/>
          <w:lang w:val="en-US" w:eastAsia="en-GB"/>
        </w:rPr>
        <w:t>’</w:t>
      </w:r>
      <w:r w:rsidR="00C1708C" w:rsidRPr="00CF10AD">
        <w:rPr>
          <w:color w:val="000000"/>
          <w:sz w:val="28"/>
          <w:szCs w:val="28"/>
          <w:lang w:val="en-US" w:eastAsia="en-GB"/>
        </w:rPr>
        <w:t xml:space="preserve"> in s</w:t>
      </w:r>
      <w:r w:rsidR="004C29C2" w:rsidRPr="00CF10AD">
        <w:rPr>
          <w:color w:val="000000"/>
          <w:sz w:val="28"/>
          <w:szCs w:val="28"/>
          <w:lang w:val="en-US" w:eastAsia="en-GB"/>
        </w:rPr>
        <w:t xml:space="preserve"> </w:t>
      </w:r>
      <w:r w:rsidR="00C1708C" w:rsidRPr="00CF10AD">
        <w:rPr>
          <w:color w:val="000000"/>
          <w:sz w:val="28"/>
          <w:szCs w:val="28"/>
          <w:lang w:val="en-US" w:eastAsia="en-GB"/>
        </w:rPr>
        <w:t>44(4)</w:t>
      </w:r>
      <w:r w:rsidR="00C1708C" w:rsidRPr="00CF10AD">
        <w:rPr>
          <w:i/>
          <w:iCs/>
          <w:color w:val="000000"/>
          <w:sz w:val="28"/>
          <w:szCs w:val="28"/>
          <w:lang w:val="en-US" w:eastAsia="en-GB"/>
        </w:rPr>
        <w:t xml:space="preserve">(a) </w:t>
      </w:r>
      <w:r w:rsidR="00C1708C" w:rsidRPr="00CF10AD">
        <w:rPr>
          <w:color w:val="000000"/>
          <w:sz w:val="28"/>
          <w:szCs w:val="28"/>
          <w:lang w:val="en-US" w:eastAsia="en-GB"/>
        </w:rPr>
        <w:t xml:space="preserve">or </w:t>
      </w:r>
      <w:r w:rsidR="00C1708C" w:rsidRPr="00CF10AD">
        <w:rPr>
          <w:i/>
          <w:iCs/>
          <w:color w:val="000000"/>
          <w:sz w:val="28"/>
          <w:szCs w:val="28"/>
          <w:lang w:val="en-US" w:eastAsia="en-GB"/>
        </w:rPr>
        <w:t>(b</w:t>
      </w:r>
      <w:r w:rsidR="00C1708C" w:rsidRPr="00CF10AD">
        <w:rPr>
          <w:i/>
          <w:color w:val="000000"/>
          <w:sz w:val="28"/>
          <w:lang w:val="en-US"/>
        </w:rPr>
        <w:t>)</w:t>
      </w:r>
      <w:r w:rsidR="00AA11F6" w:rsidRPr="00CF10AD">
        <w:rPr>
          <w:color w:val="000000"/>
          <w:sz w:val="28"/>
          <w:szCs w:val="28"/>
          <w:lang w:val="en-US" w:eastAsia="en-GB"/>
        </w:rPr>
        <w:t>,</w:t>
      </w:r>
      <w:r w:rsidR="00C1708C" w:rsidRPr="00CF10AD">
        <w:rPr>
          <w:color w:val="000000"/>
          <w:sz w:val="28"/>
          <w:szCs w:val="28"/>
          <w:lang w:val="en-US" w:eastAsia="en-GB"/>
        </w:rPr>
        <w:t xml:space="preserve"> a contextual and purposive interpretation is required in order to determine whether there is</w:t>
      </w:r>
      <w:r w:rsidR="00F21FBA" w:rsidRPr="00CF10AD">
        <w:rPr>
          <w:color w:val="000000"/>
          <w:sz w:val="28"/>
          <w:szCs w:val="28"/>
          <w:lang w:val="en-US" w:eastAsia="en-GB"/>
        </w:rPr>
        <w:t xml:space="preserve"> an</w:t>
      </w:r>
      <w:r w:rsidR="00C1708C" w:rsidRPr="00CF10AD">
        <w:rPr>
          <w:color w:val="000000"/>
          <w:sz w:val="28"/>
          <w:szCs w:val="28"/>
          <w:lang w:val="en-US" w:eastAsia="en-GB"/>
        </w:rPr>
        <w:t xml:space="preserve"> </w:t>
      </w:r>
      <w:r w:rsidR="00F21FBA" w:rsidRPr="00CF10AD">
        <w:rPr>
          <w:color w:val="000000"/>
          <w:sz w:val="28"/>
          <w:szCs w:val="28"/>
          <w:lang w:val="en-US" w:eastAsia="en-GB"/>
        </w:rPr>
        <w:t>implied ancillary power</w:t>
      </w:r>
      <w:r w:rsidR="00C1708C" w:rsidRPr="00CF10AD">
        <w:rPr>
          <w:color w:val="000000"/>
          <w:sz w:val="28"/>
          <w:szCs w:val="28"/>
          <w:lang w:val="en-US" w:eastAsia="en-GB"/>
        </w:rPr>
        <w:t xml:space="preserve"> to </w:t>
      </w:r>
      <w:r w:rsidR="00AA11F6" w:rsidRPr="00CF10AD">
        <w:rPr>
          <w:color w:val="000000"/>
          <w:sz w:val="28"/>
          <w:szCs w:val="28"/>
          <w:lang w:val="en-US" w:eastAsia="en-GB"/>
        </w:rPr>
        <w:t>investigate a broker under the A</w:t>
      </w:r>
      <w:r w:rsidR="00C1708C" w:rsidRPr="00CF10AD">
        <w:rPr>
          <w:color w:val="000000"/>
          <w:sz w:val="28"/>
          <w:szCs w:val="28"/>
          <w:lang w:val="en-US" w:eastAsia="en-GB"/>
        </w:rPr>
        <w:t>ct. The following indicators are</w:t>
      </w:r>
      <w:r w:rsidR="00AA11F6" w:rsidRPr="00CF10AD">
        <w:rPr>
          <w:color w:val="000000"/>
          <w:sz w:val="28"/>
          <w:szCs w:val="28"/>
          <w:lang w:val="en-US" w:eastAsia="en-GB"/>
        </w:rPr>
        <w:t>,</w:t>
      </w:r>
      <w:r w:rsidR="00C1708C" w:rsidRPr="00CF10AD">
        <w:rPr>
          <w:color w:val="000000"/>
          <w:sz w:val="28"/>
          <w:szCs w:val="28"/>
          <w:lang w:val="en-US" w:eastAsia="en-GB"/>
        </w:rPr>
        <w:t xml:space="preserve"> the respondent</w:t>
      </w:r>
      <w:r w:rsidR="00AA11F6" w:rsidRPr="00CF10AD">
        <w:rPr>
          <w:color w:val="000000"/>
          <w:sz w:val="28"/>
          <w:szCs w:val="28"/>
          <w:lang w:val="en-US" w:eastAsia="en-GB"/>
        </w:rPr>
        <w:t>s</w:t>
      </w:r>
      <w:r w:rsidR="00C1708C" w:rsidRPr="00CF10AD">
        <w:rPr>
          <w:color w:val="000000"/>
          <w:sz w:val="28"/>
          <w:szCs w:val="28"/>
          <w:lang w:val="en-US" w:eastAsia="en-GB"/>
        </w:rPr>
        <w:t xml:space="preserve"> submit</w:t>
      </w:r>
      <w:r w:rsidR="00AA11F6" w:rsidRPr="00CF10AD">
        <w:rPr>
          <w:color w:val="000000"/>
          <w:sz w:val="28"/>
          <w:szCs w:val="28"/>
          <w:lang w:val="en-US" w:eastAsia="en-GB"/>
        </w:rPr>
        <w:t>,</w:t>
      </w:r>
      <w:r w:rsidR="00C1708C" w:rsidRPr="00CF10AD">
        <w:rPr>
          <w:color w:val="000000"/>
          <w:sz w:val="28"/>
          <w:szCs w:val="28"/>
          <w:lang w:val="en-US" w:eastAsia="en-GB"/>
        </w:rPr>
        <w:t xml:space="preserve"> relevant:</w:t>
      </w:r>
    </w:p>
    <w:p w14:paraId="560B3B4D" w14:textId="1E1BAA45" w:rsidR="00302526" w:rsidRPr="00CF10AD" w:rsidRDefault="00CF10AD" w:rsidP="00CF10AD">
      <w:pPr>
        <w:tabs>
          <w:tab w:val="left" w:pos="0"/>
        </w:tabs>
        <w:spacing w:before="120" w:after="240" w:line="360" w:lineRule="auto"/>
        <w:ind w:right="-1"/>
        <w:jc w:val="both"/>
        <w:rPr>
          <w:sz w:val="28"/>
          <w:szCs w:val="28"/>
        </w:rPr>
      </w:pPr>
      <w:r w:rsidRPr="00AD51FB">
        <w:rPr>
          <w:sz w:val="28"/>
          <w:szCs w:val="28"/>
        </w:rPr>
        <w:lastRenderedPageBreak/>
        <w:t>(a)</w:t>
      </w:r>
      <w:r w:rsidRPr="00AD51FB">
        <w:rPr>
          <w:sz w:val="28"/>
          <w:szCs w:val="28"/>
        </w:rPr>
        <w:tab/>
      </w:r>
      <w:r w:rsidR="00302526" w:rsidRPr="00CF10AD">
        <w:rPr>
          <w:rFonts w:eastAsia="WenQuanYi Micro Hei"/>
          <w:sz w:val="28"/>
          <w:szCs w:val="28"/>
          <w:bdr w:val="none" w:sz="0" w:space="0" w:color="auto" w:frame="1"/>
          <w:lang w:val="en-ZA" w:eastAsia="en-ZA"/>
        </w:rPr>
        <w:t>Section 135 of the FSR Act also provides that a</w:t>
      </w:r>
      <w:r w:rsidR="00302526" w:rsidRPr="00CF10AD">
        <w:rPr>
          <w:lang w:val="en-ZA"/>
        </w:rPr>
        <w:t xml:space="preserve"> </w:t>
      </w:r>
      <w:r w:rsidR="00302526" w:rsidRPr="00CF10AD">
        <w:rPr>
          <w:sz w:val="28"/>
          <w:szCs w:val="28"/>
        </w:rPr>
        <w:t xml:space="preserve">financial sector regulator may instruct an investigator appointed by it to conduct an investigation in respect of </w:t>
      </w:r>
      <w:r w:rsidR="00AD51FB" w:rsidRPr="00CF10AD">
        <w:rPr>
          <w:sz w:val="28"/>
          <w:szCs w:val="28"/>
        </w:rPr>
        <w:t>‘</w:t>
      </w:r>
      <w:r w:rsidR="00302526" w:rsidRPr="00CF10AD">
        <w:rPr>
          <w:iCs/>
          <w:sz w:val="28"/>
          <w:szCs w:val="28"/>
        </w:rPr>
        <w:t>any person</w:t>
      </w:r>
      <w:r w:rsidR="00AD51FB" w:rsidRPr="00CF10AD">
        <w:rPr>
          <w:iCs/>
          <w:sz w:val="28"/>
          <w:szCs w:val="28"/>
        </w:rPr>
        <w:t>’</w:t>
      </w:r>
      <w:r w:rsidR="00302526" w:rsidRPr="00CF10AD">
        <w:rPr>
          <w:sz w:val="28"/>
          <w:szCs w:val="28"/>
        </w:rPr>
        <w:t>, if the financial sector regulator ‘reasonably suspects that a person may have contravened, may be contravening or may be about to contravene, a financial sector law for which the financial sector regulator is the responsible authority.’</w:t>
      </w:r>
    </w:p>
    <w:p w14:paraId="03EDD06C" w14:textId="628FE6AA" w:rsidR="00C1708C" w:rsidRPr="00CF10AD" w:rsidRDefault="00CF10AD" w:rsidP="00CF10AD">
      <w:pPr>
        <w:tabs>
          <w:tab w:val="left" w:pos="0"/>
          <w:tab w:val="left" w:pos="90"/>
        </w:tabs>
        <w:spacing w:before="120" w:after="240" w:line="360" w:lineRule="auto"/>
        <w:ind w:right="-1"/>
        <w:jc w:val="both"/>
        <w:rPr>
          <w:color w:val="000000"/>
          <w:sz w:val="28"/>
          <w:szCs w:val="28"/>
          <w:lang w:val="en-US" w:eastAsia="en-GB"/>
        </w:rPr>
      </w:pPr>
      <w:r w:rsidRPr="00AD51FB">
        <w:rPr>
          <w:color w:val="000000"/>
          <w:sz w:val="28"/>
          <w:szCs w:val="28"/>
          <w:lang w:val="en-US" w:eastAsia="en-GB"/>
        </w:rPr>
        <w:t>(b)</w:t>
      </w:r>
      <w:r w:rsidRPr="00AD51FB">
        <w:rPr>
          <w:color w:val="000000"/>
          <w:sz w:val="28"/>
          <w:szCs w:val="28"/>
          <w:lang w:val="en-US" w:eastAsia="en-GB"/>
        </w:rPr>
        <w:tab/>
      </w:r>
      <w:r w:rsidR="00AA11F6" w:rsidRPr="00CF10AD">
        <w:rPr>
          <w:rFonts w:eastAsia="WenQuanYi Micro Hei"/>
          <w:sz w:val="28"/>
          <w:szCs w:val="28"/>
          <w:bdr w:val="nil"/>
          <w:lang w:eastAsia="en-ZA" w:bidi="hi-IN"/>
        </w:rPr>
        <w:t>The Council’s</w:t>
      </w:r>
      <w:r w:rsidR="00C1708C" w:rsidRPr="00CF10AD">
        <w:rPr>
          <w:rFonts w:eastAsia="WenQuanYi Micro Hei"/>
          <w:sz w:val="28"/>
          <w:szCs w:val="28"/>
          <w:bdr w:val="nil"/>
          <w:lang w:eastAsia="en-ZA" w:bidi="hi-IN"/>
        </w:rPr>
        <w:t xml:space="preserve"> functions (a</w:t>
      </w:r>
      <w:r w:rsidR="00AA11F6" w:rsidRPr="00CF10AD">
        <w:rPr>
          <w:rFonts w:eastAsia="WenQuanYi Micro Hei"/>
          <w:sz w:val="28"/>
          <w:szCs w:val="28"/>
          <w:bdr w:val="nil"/>
          <w:lang w:eastAsia="en-ZA" w:bidi="hi-IN"/>
        </w:rPr>
        <w:t>s set out in s 7) include</w:t>
      </w:r>
      <w:r w:rsidR="00C1708C" w:rsidRPr="00CF10AD">
        <w:rPr>
          <w:rFonts w:eastAsia="WenQuanYi Micro Hei"/>
          <w:sz w:val="28"/>
          <w:szCs w:val="28"/>
          <w:bdr w:val="nil"/>
          <w:lang w:eastAsia="en-ZA" w:bidi="hi-IN"/>
        </w:rPr>
        <w:t xml:space="preserve"> the protection of</w:t>
      </w:r>
      <w:r w:rsidR="006E6BFC" w:rsidRPr="00CF10AD">
        <w:rPr>
          <w:rFonts w:eastAsia="WenQuanYi Micro Hei"/>
          <w:sz w:val="28"/>
          <w:szCs w:val="28"/>
          <w:bdr w:val="nil"/>
          <w:lang w:eastAsia="en-ZA" w:bidi="hi-IN"/>
        </w:rPr>
        <w:t xml:space="preserve"> the interests of beneficiaries</w:t>
      </w:r>
      <w:r w:rsidR="00C1708C" w:rsidRPr="00AD51FB">
        <w:rPr>
          <w:rFonts w:eastAsia="WenQuanYi Micro Hei"/>
          <w:bdr w:val="nil"/>
          <w:vertAlign w:val="superscript"/>
          <w:lang w:eastAsia="en-ZA" w:bidi="hi-IN"/>
        </w:rPr>
        <w:footnoteReference w:id="20"/>
      </w:r>
      <w:r w:rsidR="00C1708C" w:rsidRPr="00CF10AD">
        <w:rPr>
          <w:rFonts w:eastAsia="WenQuanYi Micro Hei"/>
          <w:sz w:val="28"/>
          <w:szCs w:val="28"/>
          <w:bdr w:val="nil"/>
          <w:lang w:eastAsia="en-ZA" w:bidi="hi-IN"/>
        </w:rPr>
        <w:t xml:space="preserve"> and </w:t>
      </w:r>
      <w:r w:rsidR="00AD0BF9" w:rsidRPr="00CF10AD">
        <w:rPr>
          <w:rFonts w:eastAsia="WenQuanYi Micro Hei"/>
          <w:sz w:val="28"/>
          <w:szCs w:val="28"/>
          <w:bdr w:val="nil"/>
          <w:lang w:eastAsia="en-ZA" w:bidi="hi-IN"/>
        </w:rPr>
        <w:t>the performance of</w:t>
      </w:r>
      <w:r w:rsidR="00C1708C" w:rsidRPr="00CF10AD">
        <w:rPr>
          <w:rFonts w:eastAsia="WenQuanYi Micro Hei"/>
          <w:sz w:val="28"/>
          <w:szCs w:val="28"/>
          <w:bdr w:val="nil"/>
          <w:lang w:eastAsia="en-ZA" w:bidi="hi-IN"/>
        </w:rPr>
        <w:t xml:space="preserve"> </w:t>
      </w:r>
      <w:r w:rsidR="00C1708C" w:rsidRPr="00CF10AD">
        <w:rPr>
          <w:rFonts w:eastAsia="WenQuanYi Micro Hei"/>
          <w:i/>
          <w:sz w:val="28"/>
          <w:szCs w:val="28"/>
          <w:u w:val="single"/>
          <w:bdr w:val="nil"/>
          <w:lang w:eastAsia="en-ZA" w:bidi="hi-IN"/>
        </w:rPr>
        <w:t>any</w:t>
      </w:r>
      <w:r w:rsidR="00C1708C" w:rsidRPr="00CF10AD">
        <w:rPr>
          <w:rFonts w:eastAsia="WenQuanYi Micro Hei"/>
          <w:i/>
          <w:sz w:val="28"/>
          <w:szCs w:val="28"/>
          <w:bdr w:val="nil"/>
          <w:lang w:eastAsia="en-ZA" w:bidi="hi-IN"/>
        </w:rPr>
        <w:t xml:space="preserve"> </w:t>
      </w:r>
      <w:r w:rsidR="00C1708C" w:rsidRPr="00CF10AD">
        <w:rPr>
          <w:rFonts w:eastAsia="WenQuanYi Micro Hei"/>
          <w:sz w:val="28"/>
          <w:szCs w:val="28"/>
          <w:bdr w:val="nil"/>
          <w:lang w:eastAsia="en-ZA" w:bidi="hi-IN"/>
        </w:rPr>
        <w:t xml:space="preserve">other function conferred on </w:t>
      </w:r>
      <w:r w:rsidR="00AA11F6" w:rsidRPr="00CF10AD">
        <w:rPr>
          <w:rFonts w:eastAsia="WenQuanYi Micro Hei"/>
          <w:sz w:val="28"/>
          <w:szCs w:val="28"/>
          <w:bdr w:val="nil"/>
          <w:lang w:eastAsia="en-ZA" w:bidi="hi-IN"/>
        </w:rPr>
        <w:t>it</w:t>
      </w:r>
      <w:r w:rsidR="00C1708C" w:rsidRPr="00CF10AD">
        <w:rPr>
          <w:rFonts w:eastAsia="WenQuanYi Micro Hei"/>
          <w:sz w:val="28"/>
          <w:szCs w:val="28"/>
          <w:bdr w:val="nil"/>
          <w:lang w:eastAsia="en-ZA" w:bidi="hi-IN"/>
        </w:rPr>
        <w:t xml:space="preserve"> by the </w:t>
      </w:r>
      <w:r w:rsidR="00AA11F6" w:rsidRPr="00CF10AD">
        <w:rPr>
          <w:rFonts w:eastAsia="WenQuanYi Micro Hei"/>
          <w:sz w:val="28"/>
          <w:szCs w:val="28"/>
          <w:bdr w:val="nil"/>
          <w:lang w:eastAsia="en-ZA" w:bidi="hi-IN"/>
        </w:rPr>
        <w:t>Act.</w:t>
      </w:r>
      <w:r w:rsidR="00C1708C" w:rsidRPr="00AD51FB">
        <w:rPr>
          <w:rFonts w:eastAsia="WenQuanYi Micro Hei"/>
          <w:bdr w:val="nil"/>
          <w:vertAlign w:val="superscript"/>
          <w:lang w:eastAsia="en-ZA" w:bidi="hi-IN"/>
        </w:rPr>
        <w:footnoteReference w:id="21"/>
      </w:r>
      <w:r w:rsidR="00C1708C" w:rsidRPr="00CF10AD">
        <w:rPr>
          <w:rFonts w:eastAsia="WenQuanYi Micro Hei"/>
          <w:sz w:val="28"/>
          <w:szCs w:val="28"/>
          <w:bdr w:val="nil"/>
          <w:lang w:eastAsia="en-ZA" w:bidi="hi-IN"/>
        </w:rPr>
        <w:t xml:space="preserve"> The </w:t>
      </w:r>
      <w:r w:rsidR="00AA11F6" w:rsidRPr="00CF10AD">
        <w:rPr>
          <w:rFonts w:eastAsia="WenQuanYi Micro Hei"/>
          <w:sz w:val="28"/>
          <w:szCs w:val="28"/>
          <w:bdr w:val="nil"/>
          <w:lang w:eastAsia="en-ZA" w:bidi="hi-IN"/>
        </w:rPr>
        <w:t>Act</w:t>
      </w:r>
      <w:r w:rsidR="00C1708C" w:rsidRPr="00CF10AD">
        <w:rPr>
          <w:rFonts w:eastAsia="WenQuanYi Micro Hei"/>
          <w:sz w:val="28"/>
          <w:szCs w:val="28"/>
          <w:bdr w:val="nil"/>
          <w:lang w:eastAsia="en-ZA" w:bidi="hi-IN"/>
        </w:rPr>
        <w:t xml:space="preserve">, therefore, provides the Council and Registrar </w:t>
      </w:r>
      <w:r w:rsidR="005E7762" w:rsidRPr="00CF10AD">
        <w:rPr>
          <w:rFonts w:eastAsia="WenQuanYi Micro Hei"/>
          <w:sz w:val="28"/>
          <w:szCs w:val="28"/>
          <w:bdr w:val="nil"/>
          <w:lang w:eastAsia="en-ZA" w:bidi="hi-IN"/>
        </w:rPr>
        <w:t xml:space="preserve">with </w:t>
      </w:r>
      <w:r w:rsidR="00C1708C" w:rsidRPr="00CF10AD">
        <w:rPr>
          <w:rFonts w:eastAsia="WenQuanYi Micro Hei"/>
          <w:sz w:val="28"/>
          <w:szCs w:val="28"/>
          <w:bdr w:val="nil"/>
          <w:lang w:eastAsia="en-ZA" w:bidi="hi-IN"/>
        </w:rPr>
        <w:t xml:space="preserve">a wide scope of functions to ensure that the interests of beneficiaries are protected from practices that </w:t>
      </w:r>
      <w:r w:rsidR="00AA11F6" w:rsidRPr="00CF10AD">
        <w:rPr>
          <w:rFonts w:eastAsia="WenQuanYi Micro Hei"/>
          <w:sz w:val="28"/>
          <w:szCs w:val="28"/>
          <w:bdr w:val="nil"/>
          <w:lang w:eastAsia="en-ZA" w:bidi="hi-IN"/>
        </w:rPr>
        <w:t xml:space="preserve">do not </w:t>
      </w:r>
      <w:r w:rsidR="006E6BFC" w:rsidRPr="00CF10AD">
        <w:rPr>
          <w:rFonts w:eastAsia="WenQuanYi Micro Hei"/>
          <w:sz w:val="28"/>
          <w:szCs w:val="28"/>
          <w:bdr w:val="nil"/>
          <w:lang w:eastAsia="en-ZA" w:bidi="hi-IN"/>
        </w:rPr>
        <w:t>comply</w:t>
      </w:r>
      <w:r w:rsidR="00AA11F6" w:rsidRPr="00CF10AD">
        <w:rPr>
          <w:rFonts w:eastAsia="WenQuanYi Micro Hei"/>
          <w:sz w:val="28"/>
          <w:szCs w:val="28"/>
          <w:bdr w:val="nil"/>
          <w:lang w:eastAsia="en-ZA" w:bidi="hi-IN"/>
        </w:rPr>
        <w:t xml:space="preserve"> with the Act</w:t>
      </w:r>
      <w:r w:rsidR="00C1708C" w:rsidRPr="00CF10AD">
        <w:rPr>
          <w:rFonts w:eastAsia="WenQuanYi Micro Hei"/>
          <w:sz w:val="28"/>
          <w:szCs w:val="28"/>
          <w:bdr w:val="nil"/>
          <w:lang w:eastAsia="en-ZA" w:bidi="hi-IN"/>
        </w:rPr>
        <w:t xml:space="preserve">.  No limitation is </w:t>
      </w:r>
      <w:r w:rsidR="006E6BFC" w:rsidRPr="00CF10AD">
        <w:rPr>
          <w:rFonts w:eastAsia="WenQuanYi Micro Hei"/>
          <w:sz w:val="28"/>
          <w:szCs w:val="28"/>
          <w:bdr w:val="nil"/>
          <w:lang w:eastAsia="en-ZA" w:bidi="hi-IN"/>
        </w:rPr>
        <w:t>indicated</w:t>
      </w:r>
      <w:r w:rsidR="00C1708C" w:rsidRPr="00CF10AD">
        <w:rPr>
          <w:rFonts w:eastAsia="WenQuanYi Micro Hei"/>
          <w:sz w:val="28"/>
          <w:szCs w:val="28"/>
          <w:bdr w:val="nil"/>
          <w:lang w:eastAsia="en-ZA" w:bidi="hi-IN"/>
        </w:rPr>
        <w:t xml:space="preserve"> in </w:t>
      </w:r>
      <w:r w:rsidR="006E6BFC" w:rsidRPr="00CF10AD">
        <w:rPr>
          <w:rFonts w:eastAsia="WenQuanYi Micro Hei"/>
          <w:sz w:val="28"/>
          <w:szCs w:val="28"/>
          <w:bdr w:val="nil"/>
          <w:lang w:eastAsia="en-ZA" w:bidi="hi-IN"/>
        </w:rPr>
        <w:t>relation to</w:t>
      </w:r>
      <w:r w:rsidR="00C1708C" w:rsidRPr="00CF10AD">
        <w:rPr>
          <w:rFonts w:eastAsia="WenQuanYi Micro Hei"/>
          <w:sz w:val="28"/>
          <w:szCs w:val="28"/>
          <w:bdr w:val="nil"/>
          <w:lang w:eastAsia="en-ZA" w:bidi="hi-IN"/>
        </w:rPr>
        <w:t xml:space="preserve"> this function. The power in s 44(4)</w:t>
      </w:r>
      <w:r w:rsidR="00C1708C" w:rsidRPr="00CF10AD">
        <w:rPr>
          <w:rFonts w:eastAsia="WenQuanYi Micro Hei"/>
          <w:i/>
          <w:iCs/>
          <w:sz w:val="28"/>
          <w:szCs w:val="28"/>
          <w:bdr w:val="nil"/>
          <w:lang w:eastAsia="en-ZA" w:bidi="hi-IN"/>
        </w:rPr>
        <w:t xml:space="preserve">(a) </w:t>
      </w:r>
      <w:r w:rsidR="005E7762" w:rsidRPr="00CF10AD">
        <w:rPr>
          <w:rFonts w:eastAsia="WenQuanYi Micro Hei"/>
          <w:sz w:val="28"/>
          <w:szCs w:val="28"/>
          <w:bdr w:val="nil"/>
          <w:lang w:eastAsia="en-ZA" w:bidi="hi-IN"/>
        </w:rPr>
        <w:t>exists to promote the object</w:t>
      </w:r>
      <w:r w:rsidR="00C1708C" w:rsidRPr="00CF10AD">
        <w:rPr>
          <w:rFonts w:eastAsia="WenQuanYi Micro Hei"/>
          <w:sz w:val="28"/>
          <w:szCs w:val="28"/>
          <w:bdr w:val="nil"/>
          <w:lang w:eastAsia="en-ZA" w:bidi="hi-IN"/>
        </w:rPr>
        <w:t xml:space="preserve"> of the Council’s functions.</w:t>
      </w:r>
      <w:r w:rsidR="00C1708C" w:rsidRPr="00AD51FB">
        <w:rPr>
          <w:rFonts w:eastAsia="WenQuanYi Micro Hei"/>
          <w:bdr w:val="nil"/>
          <w:vertAlign w:val="superscript"/>
          <w:lang w:eastAsia="en-ZA" w:bidi="hi-IN"/>
        </w:rPr>
        <w:footnoteReference w:id="22"/>
      </w:r>
    </w:p>
    <w:p w14:paraId="5561642C" w14:textId="072164F2" w:rsidR="00C1708C" w:rsidRPr="00CF10AD" w:rsidRDefault="00CF10AD" w:rsidP="00CF10AD">
      <w:pPr>
        <w:tabs>
          <w:tab w:val="left" w:pos="426"/>
        </w:tabs>
        <w:spacing w:before="120" w:after="240" w:line="360" w:lineRule="auto"/>
        <w:ind w:right="-1"/>
        <w:jc w:val="both"/>
        <w:rPr>
          <w:color w:val="000000"/>
          <w:sz w:val="28"/>
          <w:szCs w:val="28"/>
          <w:lang w:val="en-US" w:eastAsia="en-GB"/>
        </w:rPr>
      </w:pPr>
      <w:r w:rsidRPr="00AD51FB">
        <w:rPr>
          <w:color w:val="000000"/>
          <w:sz w:val="28"/>
          <w:szCs w:val="28"/>
          <w:lang w:val="en-US" w:eastAsia="en-GB"/>
        </w:rPr>
        <w:t>(c)</w:t>
      </w:r>
      <w:r w:rsidRPr="00AD51FB">
        <w:rPr>
          <w:color w:val="000000"/>
          <w:sz w:val="28"/>
          <w:szCs w:val="28"/>
          <w:lang w:val="en-US" w:eastAsia="en-GB"/>
        </w:rPr>
        <w:tab/>
      </w:r>
      <w:r w:rsidR="009D736D" w:rsidRPr="00CF10AD">
        <w:rPr>
          <w:rFonts w:eastAsia="WenQuanYi Micro Hei"/>
          <w:sz w:val="28"/>
          <w:szCs w:val="28"/>
          <w:bdr w:val="nil"/>
          <w:lang w:eastAsia="en-ZA" w:bidi="hi-IN"/>
        </w:rPr>
        <w:t>T</w:t>
      </w:r>
      <w:r w:rsidR="00AA11F6" w:rsidRPr="00CF10AD">
        <w:rPr>
          <w:rFonts w:eastAsia="WenQuanYi Micro Hei"/>
          <w:sz w:val="28"/>
          <w:szCs w:val="28"/>
          <w:bdr w:val="nil"/>
          <w:lang w:eastAsia="en-ZA" w:bidi="hi-IN"/>
        </w:rPr>
        <w:t>he Council’s</w:t>
      </w:r>
      <w:r w:rsidR="00C1708C" w:rsidRPr="00CF10AD">
        <w:rPr>
          <w:rFonts w:eastAsia="WenQuanYi Micro Hei"/>
          <w:sz w:val="28"/>
          <w:szCs w:val="28"/>
          <w:bdr w:val="nil"/>
          <w:lang w:eastAsia="en-ZA" w:bidi="hi-IN"/>
        </w:rPr>
        <w:t xml:space="preserve">’ powers (as set out in s 8 of the </w:t>
      </w:r>
      <w:r w:rsidR="00AA11F6" w:rsidRPr="00CF10AD">
        <w:rPr>
          <w:rFonts w:eastAsia="WenQuanYi Micro Hei"/>
          <w:sz w:val="28"/>
          <w:szCs w:val="28"/>
          <w:bdr w:val="nil"/>
          <w:lang w:eastAsia="en-ZA" w:bidi="hi-IN"/>
        </w:rPr>
        <w:t>Act</w:t>
      </w:r>
      <w:r w:rsidR="00C1708C" w:rsidRPr="00CF10AD">
        <w:rPr>
          <w:rFonts w:eastAsia="WenQuanYi Micro Hei"/>
          <w:sz w:val="28"/>
          <w:szCs w:val="28"/>
          <w:bdr w:val="nil"/>
          <w:lang w:eastAsia="en-ZA" w:bidi="hi-IN"/>
        </w:rPr>
        <w:t>) entitle</w:t>
      </w:r>
      <w:r w:rsidR="004C29C2" w:rsidRPr="00CF10AD">
        <w:rPr>
          <w:rFonts w:eastAsia="WenQuanYi Micro Hei"/>
          <w:sz w:val="28"/>
          <w:szCs w:val="28"/>
          <w:bdr w:val="nil"/>
          <w:lang w:eastAsia="en-ZA" w:bidi="hi-IN"/>
        </w:rPr>
        <w:t>s</w:t>
      </w:r>
      <w:r w:rsidR="00C1708C" w:rsidRPr="00CF10AD">
        <w:rPr>
          <w:rFonts w:eastAsia="WenQuanYi Micro Hei"/>
          <w:sz w:val="28"/>
          <w:szCs w:val="28"/>
          <w:bdr w:val="nil"/>
          <w:lang w:eastAsia="en-ZA" w:bidi="hi-IN"/>
        </w:rPr>
        <w:t xml:space="preserve"> it to take any appropriate steps which it deems necessary or expedient to perform its functions in accordance with the </w:t>
      </w:r>
      <w:r w:rsidR="00AA11F6" w:rsidRPr="00CF10AD">
        <w:rPr>
          <w:rFonts w:eastAsia="WenQuanYi Micro Hei"/>
          <w:sz w:val="28"/>
          <w:szCs w:val="28"/>
          <w:bdr w:val="nil"/>
          <w:lang w:eastAsia="en-ZA" w:bidi="hi-IN"/>
        </w:rPr>
        <w:t>Act</w:t>
      </w:r>
      <w:r w:rsidR="00C1708C" w:rsidRPr="00CF10AD">
        <w:rPr>
          <w:rFonts w:eastAsia="WenQuanYi Micro Hei"/>
          <w:sz w:val="28"/>
          <w:szCs w:val="28"/>
          <w:bdr w:val="nil"/>
          <w:lang w:eastAsia="en-ZA" w:bidi="hi-IN"/>
        </w:rPr>
        <w:t>.</w:t>
      </w:r>
      <w:r w:rsidR="00C1708C" w:rsidRPr="00AD51FB">
        <w:rPr>
          <w:rFonts w:eastAsia="WenQuanYi Micro Hei"/>
          <w:bdr w:val="nil"/>
          <w:vertAlign w:val="superscript"/>
          <w:lang w:eastAsia="en-ZA" w:bidi="hi-IN"/>
        </w:rPr>
        <w:footnoteReference w:id="23"/>
      </w:r>
      <w:r w:rsidR="00C1708C" w:rsidRPr="00CF10AD">
        <w:rPr>
          <w:rFonts w:eastAsia="WenQuanYi Micro Hei"/>
          <w:sz w:val="28"/>
          <w:szCs w:val="28"/>
          <w:bdr w:val="nil"/>
          <w:lang w:eastAsia="en-ZA" w:bidi="hi-IN"/>
        </w:rPr>
        <w:t xml:space="preserve"> No limitation applies in respect of this power and the Council could take any steps necessary to fulfil its functions which, </w:t>
      </w:r>
      <w:r w:rsidR="009D736D" w:rsidRPr="00CF10AD">
        <w:rPr>
          <w:rFonts w:eastAsia="WenQuanYi Micro Hei"/>
          <w:sz w:val="28"/>
          <w:szCs w:val="28"/>
          <w:bdr w:val="nil"/>
          <w:lang w:eastAsia="en-ZA" w:bidi="hi-IN"/>
        </w:rPr>
        <w:t>are outlined</w:t>
      </w:r>
      <w:r w:rsidR="006E6BFC" w:rsidRPr="00CF10AD">
        <w:rPr>
          <w:rFonts w:eastAsia="WenQuanYi Micro Hei"/>
          <w:sz w:val="28"/>
          <w:szCs w:val="28"/>
          <w:bdr w:val="nil"/>
          <w:lang w:eastAsia="en-ZA" w:bidi="hi-IN"/>
        </w:rPr>
        <w:t xml:space="preserve"> in ss</w:t>
      </w:r>
      <w:r w:rsidR="00C1708C" w:rsidRPr="00CF10AD">
        <w:rPr>
          <w:rFonts w:eastAsia="WenQuanYi Micro Hei"/>
          <w:sz w:val="28"/>
          <w:szCs w:val="28"/>
          <w:bdr w:val="nil"/>
          <w:lang w:eastAsia="en-ZA" w:bidi="hi-IN"/>
        </w:rPr>
        <w:t xml:space="preserve"> 7</w:t>
      </w:r>
      <w:r w:rsidR="00C1708C" w:rsidRPr="00CF10AD">
        <w:rPr>
          <w:rFonts w:eastAsia="WenQuanYi Micro Hei"/>
          <w:i/>
          <w:iCs/>
          <w:sz w:val="28"/>
          <w:szCs w:val="28"/>
          <w:bdr w:val="nil"/>
          <w:lang w:eastAsia="en-ZA" w:bidi="hi-IN"/>
        </w:rPr>
        <w:t>(a)</w:t>
      </w:r>
      <w:r w:rsidR="00C1708C" w:rsidRPr="00CF10AD">
        <w:rPr>
          <w:rFonts w:eastAsia="WenQuanYi Micro Hei"/>
          <w:sz w:val="28"/>
          <w:szCs w:val="28"/>
          <w:bdr w:val="nil"/>
          <w:lang w:eastAsia="en-ZA" w:bidi="hi-IN"/>
        </w:rPr>
        <w:t xml:space="preserve"> and </w:t>
      </w:r>
      <w:r w:rsidR="00C1708C" w:rsidRPr="00CF10AD">
        <w:rPr>
          <w:rFonts w:eastAsia="WenQuanYi Micro Hei"/>
          <w:i/>
          <w:iCs/>
          <w:sz w:val="28"/>
          <w:szCs w:val="28"/>
          <w:bdr w:val="nil"/>
          <w:lang w:eastAsia="en-ZA" w:bidi="hi-IN"/>
        </w:rPr>
        <w:t>(h)</w:t>
      </w:r>
      <w:r w:rsidR="006E6BFC" w:rsidRPr="00CF10AD">
        <w:rPr>
          <w:rFonts w:eastAsia="WenQuanYi Micro Hei"/>
          <w:sz w:val="28"/>
          <w:szCs w:val="28"/>
          <w:bdr w:val="nil"/>
          <w:lang w:eastAsia="en-ZA" w:bidi="hi-IN"/>
        </w:rPr>
        <w:t>.</w:t>
      </w:r>
      <w:r w:rsidR="00C1708C" w:rsidRPr="00CF10AD">
        <w:rPr>
          <w:rFonts w:eastAsia="WenQuanYi Micro Hei"/>
          <w:sz w:val="28"/>
          <w:szCs w:val="28"/>
          <w:bdr w:val="nil"/>
          <w:lang w:eastAsia="en-ZA" w:bidi="hi-IN"/>
        </w:rPr>
        <w:t xml:space="preserve"> </w:t>
      </w:r>
    </w:p>
    <w:p w14:paraId="676D4C1F" w14:textId="661C0C6B" w:rsidR="00C739DA" w:rsidRPr="00CF10AD" w:rsidRDefault="00CF10AD" w:rsidP="00CF10AD">
      <w:pPr>
        <w:tabs>
          <w:tab w:val="left" w:pos="426"/>
        </w:tabs>
        <w:spacing w:before="120" w:after="240" w:line="360" w:lineRule="auto"/>
        <w:ind w:right="-1"/>
        <w:jc w:val="both"/>
        <w:rPr>
          <w:color w:val="000000"/>
          <w:sz w:val="28"/>
          <w:szCs w:val="28"/>
          <w:lang w:val="en-US" w:eastAsia="en-GB"/>
        </w:rPr>
      </w:pPr>
      <w:r w:rsidRPr="00AD51FB">
        <w:rPr>
          <w:color w:val="000000"/>
          <w:sz w:val="28"/>
          <w:szCs w:val="28"/>
          <w:lang w:val="en-US" w:eastAsia="en-GB"/>
        </w:rPr>
        <w:t>(d)</w:t>
      </w:r>
      <w:r w:rsidRPr="00AD51FB">
        <w:rPr>
          <w:color w:val="000000"/>
          <w:sz w:val="28"/>
          <w:szCs w:val="28"/>
          <w:lang w:val="en-US" w:eastAsia="en-GB"/>
        </w:rPr>
        <w:tab/>
      </w:r>
      <w:r w:rsidR="009D736D" w:rsidRPr="00CF10AD">
        <w:rPr>
          <w:rFonts w:eastAsia="WenQuanYi Micro Hei"/>
          <w:sz w:val="28"/>
          <w:szCs w:val="28"/>
          <w:bdr w:val="nil"/>
          <w:lang w:eastAsia="en-ZA" w:bidi="hi-IN"/>
        </w:rPr>
        <w:t>I</w:t>
      </w:r>
      <w:r w:rsidR="00C1708C" w:rsidRPr="00CF10AD">
        <w:rPr>
          <w:rFonts w:eastAsia="WenQuanYi Micro Hei"/>
          <w:sz w:val="28"/>
          <w:szCs w:val="28"/>
          <w:bdr w:val="nil"/>
          <w:lang w:eastAsia="en-ZA" w:bidi="hi-IN"/>
        </w:rPr>
        <w:t xml:space="preserve">n relation to </w:t>
      </w:r>
      <w:r w:rsidR="00C1708C" w:rsidRPr="00CF10AD">
        <w:rPr>
          <w:rFonts w:eastAsia="WenQuanYi Micro Hei"/>
          <w:sz w:val="28"/>
          <w:szCs w:val="28"/>
          <w:bdr w:val="nil"/>
          <w:lang w:val="en-ZA" w:eastAsia="en-ZA"/>
        </w:rPr>
        <w:t>accreditation of brokers</w:t>
      </w:r>
      <w:r w:rsidR="00AA11F6" w:rsidRPr="00CF10AD">
        <w:rPr>
          <w:rFonts w:eastAsia="WenQuanYi Micro Hei"/>
          <w:sz w:val="28"/>
          <w:szCs w:val="28"/>
          <w:bdr w:val="nil"/>
          <w:lang w:val="en-ZA" w:eastAsia="en-ZA"/>
        </w:rPr>
        <w:t>,</w:t>
      </w:r>
      <w:r w:rsidR="00C1708C" w:rsidRPr="00CF10AD">
        <w:rPr>
          <w:rFonts w:eastAsia="WenQuanYi Micro Hei"/>
          <w:sz w:val="28"/>
          <w:szCs w:val="28"/>
          <w:bdr w:val="nil"/>
          <w:lang w:val="en-ZA" w:eastAsia="en-ZA"/>
        </w:rPr>
        <w:t xml:space="preserve"> </w:t>
      </w:r>
      <w:r w:rsidR="00C739DA" w:rsidRPr="00CF10AD">
        <w:rPr>
          <w:rFonts w:eastAsia="WenQuanYi Micro Hei"/>
          <w:sz w:val="28"/>
          <w:szCs w:val="28"/>
          <w:bdr w:val="nil"/>
          <w:lang w:val="en-ZA" w:eastAsia="en-ZA"/>
        </w:rPr>
        <w:t xml:space="preserve">Regulation 28C empowers the Council to </w:t>
      </w:r>
      <w:r w:rsidR="00C739DA" w:rsidRPr="00CF10AD">
        <w:rPr>
          <w:iCs/>
          <w:sz w:val="28"/>
          <w:szCs w:val="28"/>
          <w:lang w:val="en-ZA" w:eastAsia="en-ZA"/>
        </w:rPr>
        <w:t xml:space="preserve">suspend or withdraw accreditation given to a broker if the Council is satisfied that the broker has, since the granting of such accreditation, conducted </w:t>
      </w:r>
      <w:r w:rsidR="005E7762" w:rsidRPr="00CF10AD">
        <w:rPr>
          <w:iCs/>
          <w:sz w:val="28"/>
          <w:szCs w:val="28"/>
          <w:lang w:val="en-ZA" w:eastAsia="en-ZA"/>
        </w:rPr>
        <w:t>their</w:t>
      </w:r>
      <w:r w:rsidR="00C739DA" w:rsidRPr="00CF10AD">
        <w:rPr>
          <w:iCs/>
          <w:sz w:val="28"/>
          <w:szCs w:val="28"/>
          <w:lang w:val="en-ZA" w:eastAsia="en-ZA"/>
        </w:rPr>
        <w:t xml:space="preserve"> business in a manner that is seriously prejudicial to clients or the public interest. </w:t>
      </w:r>
    </w:p>
    <w:p w14:paraId="2FEECD78" w14:textId="7C93F58D" w:rsidR="009D736D" w:rsidRPr="00CF10AD" w:rsidRDefault="00CF10AD" w:rsidP="00CF10AD">
      <w:pPr>
        <w:tabs>
          <w:tab w:val="left" w:pos="426"/>
        </w:tabs>
        <w:spacing w:before="120" w:after="240" w:line="360" w:lineRule="auto"/>
        <w:ind w:right="-1"/>
        <w:jc w:val="both"/>
        <w:rPr>
          <w:color w:val="000000"/>
          <w:sz w:val="28"/>
          <w:szCs w:val="28"/>
          <w:lang w:val="en-US" w:eastAsia="en-GB"/>
        </w:rPr>
      </w:pPr>
      <w:r w:rsidRPr="00AD51FB">
        <w:rPr>
          <w:color w:val="000000"/>
          <w:sz w:val="28"/>
          <w:szCs w:val="28"/>
          <w:lang w:val="en-US" w:eastAsia="en-GB"/>
        </w:rPr>
        <w:t>(e)</w:t>
      </w:r>
      <w:r w:rsidRPr="00AD51FB">
        <w:rPr>
          <w:color w:val="000000"/>
          <w:sz w:val="28"/>
          <w:szCs w:val="28"/>
          <w:lang w:val="en-US" w:eastAsia="en-GB"/>
        </w:rPr>
        <w:tab/>
      </w:r>
      <w:r w:rsidR="00C1708C" w:rsidRPr="00CF10AD">
        <w:rPr>
          <w:sz w:val="28"/>
          <w:szCs w:val="28"/>
          <w:lang w:val="en-ZA" w:eastAsia="en-ZA"/>
        </w:rPr>
        <w:t xml:space="preserve">Section 65 of the </w:t>
      </w:r>
      <w:r w:rsidR="001676DA" w:rsidRPr="00CF10AD">
        <w:rPr>
          <w:sz w:val="28"/>
          <w:szCs w:val="28"/>
          <w:lang w:val="en-ZA" w:eastAsia="en-ZA"/>
        </w:rPr>
        <w:t>Act</w:t>
      </w:r>
      <w:r w:rsidR="00C1708C" w:rsidRPr="00CF10AD">
        <w:rPr>
          <w:sz w:val="28"/>
          <w:szCs w:val="28"/>
          <w:lang w:val="en-ZA" w:eastAsia="en-ZA"/>
        </w:rPr>
        <w:t xml:space="preserve"> regulates broker services and commission </w:t>
      </w:r>
      <w:r w:rsidR="00C739DA" w:rsidRPr="00CF10AD">
        <w:rPr>
          <w:sz w:val="28"/>
          <w:szCs w:val="28"/>
          <w:lang w:val="en-ZA" w:eastAsia="en-ZA"/>
        </w:rPr>
        <w:t xml:space="preserve">as well as accreditation by the Council. </w:t>
      </w:r>
      <w:r w:rsidR="002B5DF8" w:rsidRPr="00CF10AD">
        <w:rPr>
          <w:sz w:val="28"/>
          <w:szCs w:val="28"/>
          <w:lang w:val="en-ZA" w:eastAsia="en-ZA"/>
        </w:rPr>
        <w:t>Regulation 28</w:t>
      </w:r>
      <w:r w:rsidR="00C1708C" w:rsidRPr="00CF10AD">
        <w:rPr>
          <w:sz w:val="28"/>
          <w:szCs w:val="28"/>
          <w:lang w:val="en-ZA" w:eastAsia="en-ZA"/>
        </w:rPr>
        <w:t xml:space="preserve"> of </w:t>
      </w:r>
      <w:r w:rsidR="00C739DA" w:rsidRPr="00CF10AD">
        <w:rPr>
          <w:sz w:val="28"/>
          <w:szCs w:val="28"/>
          <w:lang w:val="en-ZA" w:eastAsia="en-ZA"/>
        </w:rPr>
        <w:t>the Act</w:t>
      </w:r>
      <w:r w:rsidR="00C1708C" w:rsidRPr="00CF10AD">
        <w:rPr>
          <w:sz w:val="28"/>
          <w:szCs w:val="28"/>
          <w:lang w:val="en-ZA" w:eastAsia="en-ZA"/>
        </w:rPr>
        <w:t xml:space="preserve"> regulates the fees payable to brokers</w:t>
      </w:r>
      <w:r w:rsidR="00C739DA" w:rsidRPr="00CF10AD">
        <w:rPr>
          <w:sz w:val="28"/>
          <w:szCs w:val="28"/>
          <w:lang w:val="en-ZA" w:eastAsia="en-ZA"/>
        </w:rPr>
        <w:t xml:space="preserve">. </w:t>
      </w:r>
    </w:p>
    <w:p w14:paraId="6B970BB6" w14:textId="611B46C1" w:rsidR="00C1708C" w:rsidRPr="00CF10AD" w:rsidRDefault="00CF10AD" w:rsidP="00CF10AD">
      <w:pPr>
        <w:tabs>
          <w:tab w:val="left" w:pos="426"/>
        </w:tabs>
        <w:spacing w:before="120" w:after="240" w:line="360" w:lineRule="auto"/>
        <w:ind w:right="-1"/>
        <w:jc w:val="both"/>
        <w:rPr>
          <w:color w:val="000000"/>
          <w:sz w:val="28"/>
          <w:szCs w:val="28"/>
          <w:lang w:val="en-US" w:eastAsia="en-GB"/>
        </w:rPr>
      </w:pPr>
      <w:r w:rsidRPr="00AD51FB">
        <w:rPr>
          <w:color w:val="000000"/>
          <w:sz w:val="28"/>
          <w:szCs w:val="28"/>
          <w:lang w:val="en-US" w:eastAsia="en-GB"/>
        </w:rPr>
        <w:lastRenderedPageBreak/>
        <w:t>(f)</w:t>
      </w:r>
      <w:r w:rsidRPr="00AD51FB">
        <w:rPr>
          <w:color w:val="000000"/>
          <w:sz w:val="28"/>
          <w:szCs w:val="28"/>
          <w:lang w:val="en-US" w:eastAsia="en-GB"/>
        </w:rPr>
        <w:tab/>
      </w:r>
      <w:r w:rsidR="00AD0BF9" w:rsidRPr="00CF10AD">
        <w:rPr>
          <w:sz w:val="28"/>
          <w:szCs w:val="28"/>
          <w:lang w:val="en-ZA" w:eastAsia="en-ZA"/>
        </w:rPr>
        <w:t>Regulation</w:t>
      </w:r>
      <w:r w:rsidR="002B5DF8" w:rsidRPr="00CF10AD">
        <w:rPr>
          <w:sz w:val="28"/>
          <w:szCs w:val="28"/>
          <w:lang w:val="en-ZA" w:eastAsia="en-ZA"/>
        </w:rPr>
        <w:t xml:space="preserve"> 28 (9) </w:t>
      </w:r>
      <w:r w:rsidR="009D736D" w:rsidRPr="00CF10AD">
        <w:rPr>
          <w:sz w:val="28"/>
          <w:szCs w:val="28"/>
          <w:lang w:val="en-ZA" w:eastAsia="en-ZA"/>
        </w:rPr>
        <w:t xml:space="preserve">of the Act </w:t>
      </w:r>
      <w:r w:rsidR="00C1708C" w:rsidRPr="00CF10AD">
        <w:rPr>
          <w:sz w:val="28"/>
          <w:szCs w:val="28"/>
          <w:lang w:val="en-ZA" w:eastAsia="en-ZA"/>
        </w:rPr>
        <w:t xml:space="preserve">provides that any person who has paid a broker compensation where there has been a material misrepresentation, or where the payment is made consequent to unlawful conduct by the broker, is entitled to the full return of all the money paid in consequence of such material misrepresentation or unlawful conduct. </w:t>
      </w:r>
      <w:r w:rsidR="00842867" w:rsidRPr="00CF10AD">
        <w:rPr>
          <w:sz w:val="28"/>
          <w:szCs w:val="28"/>
          <w:lang w:val="en-ZA" w:eastAsia="en-ZA"/>
        </w:rPr>
        <w:t>The Council</w:t>
      </w:r>
      <w:r w:rsidR="00C1708C" w:rsidRPr="00CF10AD">
        <w:rPr>
          <w:sz w:val="28"/>
          <w:szCs w:val="28"/>
          <w:lang w:val="en-ZA" w:eastAsia="en-ZA"/>
        </w:rPr>
        <w:t xml:space="preserve"> </w:t>
      </w:r>
      <w:r w:rsidR="00C739DA" w:rsidRPr="00CF10AD">
        <w:rPr>
          <w:sz w:val="28"/>
          <w:szCs w:val="28"/>
          <w:lang w:val="en-ZA" w:eastAsia="en-ZA"/>
        </w:rPr>
        <w:t xml:space="preserve">is thus empowered </w:t>
      </w:r>
      <w:r w:rsidR="00C1708C" w:rsidRPr="00CF10AD">
        <w:rPr>
          <w:sz w:val="28"/>
          <w:szCs w:val="28"/>
          <w:lang w:val="en-ZA" w:eastAsia="en-ZA"/>
        </w:rPr>
        <w:t xml:space="preserve">to direct a broker to refund a beneficiary in respect of payments which fall foul of regulation 28(9). </w:t>
      </w:r>
      <w:r w:rsidR="00C739DA" w:rsidRPr="00CF10AD">
        <w:rPr>
          <w:sz w:val="28"/>
          <w:szCs w:val="28"/>
          <w:lang w:val="en-ZA" w:eastAsia="en-ZA"/>
        </w:rPr>
        <w:t xml:space="preserve">The implied </w:t>
      </w:r>
      <w:r w:rsidR="009D736D" w:rsidRPr="00CF10AD">
        <w:rPr>
          <w:sz w:val="28"/>
          <w:szCs w:val="28"/>
          <w:lang w:val="en-ZA" w:eastAsia="en-ZA"/>
        </w:rPr>
        <w:t>(</w:t>
      </w:r>
      <w:r w:rsidR="001F1DE8" w:rsidRPr="00CF10AD">
        <w:rPr>
          <w:sz w:val="28"/>
          <w:szCs w:val="28"/>
          <w:lang w:val="en-ZA" w:eastAsia="en-ZA"/>
        </w:rPr>
        <w:t>ancillary</w:t>
      </w:r>
      <w:r w:rsidR="009D736D" w:rsidRPr="00CF10AD">
        <w:rPr>
          <w:sz w:val="28"/>
          <w:szCs w:val="28"/>
          <w:lang w:val="en-ZA" w:eastAsia="en-ZA"/>
        </w:rPr>
        <w:t xml:space="preserve">) </w:t>
      </w:r>
      <w:r w:rsidR="00C739DA" w:rsidRPr="00CF10AD">
        <w:rPr>
          <w:sz w:val="28"/>
          <w:szCs w:val="28"/>
          <w:lang w:val="en-ZA" w:eastAsia="en-ZA"/>
        </w:rPr>
        <w:t>power to i</w:t>
      </w:r>
      <w:r w:rsidR="00C1708C" w:rsidRPr="00CF10AD">
        <w:rPr>
          <w:sz w:val="28"/>
          <w:szCs w:val="28"/>
          <w:lang w:val="en-ZA" w:eastAsia="en-ZA"/>
        </w:rPr>
        <w:t xml:space="preserve">nvestigate such a breach, </w:t>
      </w:r>
      <w:r w:rsidR="00C739DA" w:rsidRPr="00CF10AD">
        <w:rPr>
          <w:sz w:val="28"/>
          <w:szCs w:val="28"/>
          <w:lang w:val="en-ZA" w:eastAsia="en-ZA"/>
        </w:rPr>
        <w:t>must be incl</w:t>
      </w:r>
      <w:r w:rsidR="009D736D" w:rsidRPr="00CF10AD">
        <w:rPr>
          <w:sz w:val="28"/>
          <w:szCs w:val="28"/>
          <w:lang w:val="en-ZA" w:eastAsia="en-ZA"/>
        </w:rPr>
        <w:t xml:space="preserve">uded in the Council’s functions. Without </w:t>
      </w:r>
      <w:r w:rsidR="00C739DA" w:rsidRPr="00CF10AD">
        <w:rPr>
          <w:sz w:val="28"/>
          <w:szCs w:val="28"/>
          <w:lang w:val="en-ZA" w:eastAsia="en-ZA"/>
        </w:rPr>
        <w:t xml:space="preserve">such power, </w:t>
      </w:r>
      <w:r w:rsidR="00C1708C" w:rsidRPr="00CF10AD">
        <w:rPr>
          <w:sz w:val="28"/>
          <w:szCs w:val="28"/>
          <w:lang w:val="en-ZA" w:eastAsia="en-ZA"/>
        </w:rPr>
        <w:t xml:space="preserve">the remedy is </w:t>
      </w:r>
      <w:r w:rsidR="009D736D" w:rsidRPr="00CF10AD">
        <w:rPr>
          <w:sz w:val="28"/>
          <w:szCs w:val="28"/>
          <w:lang w:val="en-ZA" w:eastAsia="en-ZA"/>
        </w:rPr>
        <w:t>ineffectual</w:t>
      </w:r>
      <w:r w:rsidR="00C1708C" w:rsidRPr="00CF10AD">
        <w:rPr>
          <w:sz w:val="28"/>
          <w:szCs w:val="28"/>
          <w:lang w:val="en-ZA" w:eastAsia="en-ZA"/>
        </w:rPr>
        <w:t xml:space="preserve">. </w:t>
      </w:r>
    </w:p>
    <w:p w14:paraId="7F8A5D19" w14:textId="77777777" w:rsidR="00302526" w:rsidRPr="00AD51FB" w:rsidRDefault="00302526" w:rsidP="00302526">
      <w:pPr>
        <w:pStyle w:val="ListParagraph"/>
        <w:tabs>
          <w:tab w:val="left" w:pos="426"/>
        </w:tabs>
        <w:spacing w:before="120" w:after="240" w:line="360" w:lineRule="auto"/>
        <w:ind w:left="0" w:right="515"/>
        <w:jc w:val="both"/>
        <w:rPr>
          <w:sz w:val="28"/>
          <w:szCs w:val="28"/>
        </w:rPr>
      </w:pPr>
    </w:p>
    <w:p w14:paraId="55869A10" w14:textId="0BBA0387" w:rsidR="000174C0" w:rsidRPr="00CF10AD" w:rsidRDefault="00CF10AD" w:rsidP="00CF10AD">
      <w:pPr>
        <w:spacing w:before="240" w:after="200" w:line="360" w:lineRule="auto"/>
        <w:ind w:right="-70"/>
        <w:jc w:val="both"/>
        <w:rPr>
          <w:i/>
          <w:iCs/>
          <w:sz w:val="28"/>
          <w:szCs w:val="28"/>
        </w:rPr>
      </w:pPr>
      <w:r>
        <w:rPr>
          <w:sz w:val="28"/>
          <w:szCs w:val="28"/>
        </w:rPr>
        <w:t>[38]</w:t>
      </w:r>
      <w:r>
        <w:rPr>
          <w:sz w:val="28"/>
          <w:szCs w:val="28"/>
        </w:rPr>
        <w:tab/>
      </w:r>
      <w:r w:rsidR="000174C0" w:rsidRPr="00CF10AD">
        <w:rPr>
          <w:sz w:val="28"/>
          <w:szCs w:val="28"/>
          <w:lang w:val="en-ZA" w:eastAsia="en-ZA"/>
        </w:rPr>
        <w:t>Section 135 of the FSR Act must be read together with ss 8 and 44(4)</w:t>
      </w:r>
      <w:r w:rsidR="000174C0" w:rsidRPr="00CF10AD">
        <w:rPr>
          <w:i/>
          <w:sz w:val="28"/>
          <w:lang w:val="en-ZA"/>
        </w:rPr>
        <w:t xml:space="preserve">(a) </w:t>
      </w:r>
      <w:r w:rsidR="000174C0" w:rsidRPr="00CF10AD">
        <w:rPr>
          <w:sz w:val="28"/>
          <w:szCs w:val="28"/>
          <w:lang w:val="en-ZA" w:eastAsia="en-ZA"/>
        </w:rPr>
        <w:t xml:space="preserve">of the Act. These sections encompass not only an express power to conduct </w:t>
      </w:r>
      <w:r w:rsidR="002909DE" w:rsidRPr="00CF10AD">
        <w:rPr>
          <w:sz w:val="28"/>
          <w:szCs w:val="28"/>
          <w:lang w:val="en-ZA" w:eastAsia="en-ZA"/>
        </w:rPr>
        <w:t>an</w:t>
      </w:r>
      <w:r w:rsidR="000174C0" w:rsidRPr="00CF10AD">
        <w:rPr>
          <w:sz w:val="28"/>
          <w:szCs w:val="28"/>
          <w:lang w:val="en-ZA" w:eastAsia="en-ZA"/>
        </w:rPr>
        <w:t xml:space="preserve"> inspection, but the implied power to rely upon the relevant regulations</w:t>
      </w:r>
      <w:r w:rsidR="002909DE" w:rsidRPr="00CF10AD">
        <w:rPr>
          <w:sz w:val="28"/>
          <w:szCs w:val="28"/>
          <w:lang w:val="en-ZA" w:eastAsia="en-ZA"/>
        </w:rPr>
        <w:t>, which</w:t>
      </w:r>
      <w:r w:rsidR="000174C0" w:rsidRPr="00CF10AD">
        <w:rPr>
          <w:sz w:val="28"/>
          <w:szCs w:val="28"/>
          <w:lang w:val="en-ZA" w:eastAsia="en-ZA"/>
        </w:rPr>
        <w:t xml:space="preserve"> provide some of the remedies which may be utilised to deal with a non-compliant broker. </w:t>
      </w:r>
      <w:r w:rsidR="002909DE" w:rsidRPr="00CF10AD">
        <w:rPr>
          <w:sz w:val="28"/>
          <w:szCs w:val="28"/>
          <w:lang w:val="en-ZA" w:eastAsia="en-ZA"/>
        </w:rPr>
        <w:t xml:space="preserve"> The</w:t>
      </w:r>
      <w:r w:rsidR="000174C0" w:rsidRPr="00CF10AD">
        <w:rPr>
          <w:sz w:val="28"/>
          <w:szCs w:val="28"/>
          <w:lang w:val="en-ZA" w:eastAsia="en-ZA"/>
        </w:rPr>
        <w:t xml:space="preserve"> Act regulates the accreditation, de-accreditation, remuneration and refunds to members as result of a misrepresentation or unlawful conduct of a broker. </w:t>
      </w:r>
      <w:r w:rsidR="002909DE" w:rsidRPr="00CF10AD">
        <w:rPr>
          <w:sz w:val="28"/>
          <w:szCs w:val="28"/>
          <w:lang w:val="en-ZA" w:eastAsia="en-ZA"/>
        </w:rPr>
        <w:t>The regulations provide the remedies which the respondents can utilise to deal with such non-compliance. Thus</w:t>
      </w:r>
      <w:r w:rsidR="00EB537F" w:rsidRPr="00CF10AD">
        <w:rPr>
          <w:sz w:val="28"/>
          <w:szCs w:val="28"/>
          <w:lang w:val="en-ZA" w:eastAsia="en-ZA"/>
        </w:rPr>
        <w:t>,</w:t>
      </w:r>
      <w:r w:rsidR="000174C0" w:rsidRPr="00CF10AD">
        <w:rPr>
          <w:sz w:val="28"/>
          <w:szCs w:val="28"/>
          <w:lang w:val="en-ZA" w:eastAsia="en-ZA"/>
        </w:rPr>
        <w:t xml:space="preserve"> on a contextual and purposive interpretation</w:t>
      </w:r>
      <w:r w:rsidR="002909DE" w:rsidRPr="00CF10AD">
        <w:rPr>
          <w:sz w:val="28"/>
          <w:szCs w:val="28"/>
          <w:lang w:val="en-ZA" w:eastAsia="en-ZA"/>
        </w:rPr>
        <w:t>, taking into account the inter-relationship between the Act and the regulations, the phrase</w:t>
      </w:r>
      <w:r w:rsidR="000174C0" w:rsidRPr="00CF10AD">
        <w:rPr>
          <w:sz w:val="28"/>
          <w:szCs w:val="28"/>
          <w:lang w:val="en-ZA" w:eastAsia="en-ZA"/>
        </w:rPr>
        <w:t xml:space="preserve"> ‘any person’ must be interpreted to include a broker and the </w:t>
      </w:r>
      <w:r w:rsidR="002909DE" w:rsidRPr="00CF10AD">
        <w:rPr>
          <w:sz w:val="28"/>
          <w:szCs w:val="28"/>
          <w:lang w:val="en-ZA" w:eastAsia="en-ZA"/>
        </w:rPr>
        <w:t>Council</w:t>
      </w:r>
      <w:r w:rsidR="000174C0" w:rsidRPr="00CF10AD">
        <w:rPr>
          <w:sz w:val="28"/>
          <w:szCs w:val="28"/>
          <w:lang w:val="en-ZA" w:eastAsia="en-ZA"/>
        </w:rPr>
        <w:t xml:space="preserve"> must have the implied auxiliary power to investigate a broker. </w:t>
      </w:r>
    </w:p>
    <w:p w14:paraId="27D12C42" w14:textId="23CF2B43" w:rsidR="000174C0" w:rsidRDefault="000174C0" w:rsidP="00EB537F">
      <w:pPr>
        <w:pStyle w:val="ListParagraph"/>
        <w:spacing w:before="240" w:after="200" w:line="360" w:lineRule="auto"/>
        <w:ind w:left="0" w:right="-70"/>
        <w:jc w:val="both"/>
        <w:rPr>
          <w:i/>
          <w:iCs/>
          <w:sz w:val="28"/>
          <w:szCs w:val="28"/>
        </w:rPr>
      </w:pPr>
    </w:p>
    <w:p w14:paraId="1E9BAEA7" w14:textId="43576170" w:rsidR="000174C0" w:rsidRPr="00CF10AD" w:rsidRDefault="00CF10AD" w:rsidP="00CF10AD">
      <w:pPr>
        <w:spacing w:before="240" w:after="200" w:line="360" w:lineRule="auto"/>
        <w:jc w:val="both"/>
        <w:rPr>
          <w:i/>
          <w:iCs/>
          <w:sz w:val="28"/>
          <w:szCs w:val="28"/>
        </w:rPr>
      </w:pPr>
      <w:r>
        <w:rPr>
          <w:sz w:val="28"/>
          <w:szCs w:val="28"/>
        </w:rPr>
        <w:t>[39]</w:t>
      </w:r>
      <w:r>
        <w:rPr>
          <w:sz w:val="28"/>
          <w:szCs w:val="28"/>
        </w:rPr>
        <w:tab/>
      </w:r>
      <w:r w:rsidR="000174C0" w:rsidRPr="00CF10AD">
        <w:rPr>
          <w:sz w:val="28"/>
          <w:szCs w:val="28"/>
        </w:rPr>
        <w:t>The interpretation, proffered by Optivest</w:t>
      </w:r>
      <w:r w:rsidR="002909DE" w:rsidRPr="00CF10AD">
        <w:rPr>
          <w:sz w:val="28"/>
          <w:szCs w:val="28"/>
        </w:rPr>
        <w:t>,</w:t>
      </w:r>
      <w:r w:rsidR="000174C0" w:rsidRPr="00CF10AD">
        <w:rPr>
          <w:sz w:val="28"/>
          <w:szCs w:val="28"/>
        </w:rPr>
        <w:t xml:space="preserve"> which would exclude </w:t>
      </w:r>
      <w:r w:rsidR="002909DE" w:rsidRPr="00CF10AD">
        <w:rPr>
          <w:sz w:val="28"/>
          <w:szCs w:val="28"/>
        </w:rPr>
        <w:t>or limit this power to investigate</w:t>
      </w:r>
      <w:r w:rsidR="000174C0" w:rsidRPr="00CF10AD">
        <w:rPr>
          <w:sz w:val="28"/>
          <w:szCs w:val="28"/>
        </w:rPr>
        <w:t xml:space="preserve"> brokers in the context of </w:t>
      </w:r>
      <w:r w:rsidR="002909DE" w:rsidRPr="00CF10AD">
        <w:rPr>
          <w:sz w:val="28"/>
          <w:szCs w:val="28"/>
        </w:rPr>
        <w:t xml:space="preserve">the Act and </w:t>
      </w:r>
      <w:r w:rsidR="000174C0" w:rsidRPr="00CF10AD">
        <w:rPr>
          <w:sz w:val="28"/>
          <w:szCs w:val="28"/>
        </w:rPr>
        <w:t xml:space="preserve">regulation 28, is untenable. It means that the Council would not be entitled to conduct an inspection in order to perform its functions of monitoring or investigating any non-compliance with </w:t>
      </w:r>
      <w:r w:rsidR="002909DE" w:rsidRPr="00CF10AD">
        <w:rPr>
          <w:sz w:val="28"/>
          <w:szCs w:val="28"/>
        </w:rPr>
        <w:t>the Act and regulations</w:t>
      </w:r>
      <w:r w:rsidR="000174C0" w:rsidRPr="00CF10AD">
        <w:rPr>
          <w:sz w:val="28"/>
          <w:szCs w:val="28"/>
        </w:rPr>
        <w:t xml:space="preserve">, or determining whether a broker has received payment from beneficiaries as a result of a misrepresentation or unlawful conduct under any applicable legislation. A court must construe the </w:t>
      </w:r>
      <w:r w:rsidR="000174C0" w:rsidRPr="00CF10AD">
        <w:rPr>
          <w:sz w:val="28"/>
          <w:szCs w:val="28"/>
        </w:rPr>
        <w:lastRenderedPageBreak/>
        <w:t>language in a statute against the background of the perceived mischief which the statute aims to address.</w:t>
      </w:r>
      <w:r w:rsidR="000174C0">
        <w:rPr>
          <w:rStyle w:val="FootnoteReference"/>
          <w:sz w:val="28"/>
          <w:szCs w:val="28"/>
        </w:rPr>
        <w:footnoteReference w:id="24"/>
      </w:r>
      <w:r w:rsidR="000174C0" w:rsidRPr="00CF10AD">
        <w:rPr>
          <w:sz w:val="28"/>
          <w:szCs w:val="28"/>
        </w:rPr>
        <w:t xml:space="preserve"> The interpretation proffered by Optivest would fly in the face of this.</w:t>
      </w:r>
    </w:p>
    <w:p w14:paraId="55880BDE" w14:textId="77777777" w:rsidR="000174C0" w:rsidRDefault="000174C0" w:rsidP="000174C0">
      <w:pPr>
        <w:pStyle w:val="ListParagraph"/>
        <w:spacing w:before="240" w:after="200" w:line="360" w:lineRule="auto"/>
        <w:ind w:left="0"/>
        <w:jc w:val="both"/>
        <w:rPr>
          <w:i/>
          <w:iCs/>
          <w:sz w:val="28"/>
          <w:szCs w:val="28"/>
        </w:rPr>
      </w:pPr>
    </w:p>
    <w:p w14:paraId="76CF63D1" w14:textId="460A8FE4" w:rsidR="00B90BE4" w:rsidRPr="00CF10AD" w:rsidRDefault="00CF10AD" w:rsidP="00CF10AD">
      <w:pPr>
        <w:spacing w:line="360" w:lineRule="auto"/>
        <w:jc w:val="both"/>
        <w:rPr>
          <w:i/>
          <w:iCs/>
          <w:sz w:val="28"/>
          <w:szCs w:val="28"/>
        </w:rPr>
      </w:pPr>
      <w:r w:rsidRPr="00AD51FB">
        <w:rPr>
          <w:sz w:val="28"/>
          <w:szCs w:val="28"/>
        </w:rPr>
        <w:t>[40]</w:t>
      </w:r>
      <w:r w:rsidRPr="00AD51FB">
        <w:rPr>
          <w:sz w:val="28"/>
          <w:szCs w:val="28"/>
        </w:rPr>
        <w:tab/>
      </w:r>
      <w:r w:rsidR="00B90BE4" w:rsidRPr="00CF10AD">
        <w:rPr>
          <w:sz w:val="28"/>
          <w:szCs w:val="28"/>
        </w:rPr>
        <w:t xml:space="preserve">The </w:t>
      </w:r>
      <w:r w:rsidR="00C1708C" w:rsidRPr="00CF10AD">
        <w:rPr>
          <w:sz w:val="28"/>
          <w:szCs w:val="28"/>
        </w:rPr>
        <w:t xml:space="preserve">Council and </w:t>
      </w:r>
      <w:r w:rsidR="00AD0BF9" w:rsidRPr="00CF10AD">
        <w:rPr>
          <w:sz w:val="28"/>
          <w:szCs w:val="28"/>
        </w:rPr>
        <w:t xml:space="preserve">its duly appointed </w:t>
      </w:r>
      <w:r w:rsidR="00C1708C" w:rsidRPr="00CF10AD">
        <w:rPr>
          <w:sz w:val="28"/>
          <w:szCs w:val="28"/>
        </w:rPr>
        <w:t xml:space="preserve">inspectors </w:t>
      </w:r>
      <w:r w:rsidR="00AD0BF9" w:rsidRPr="00CF10AD">
        <w:rPr>
          <w:sz w:val="28"/>
          <w:szCs w:val="28"/>
        </w:rPr>
        <w:t>may</w:t>
      </w:r>
      <w:r w:rsidR="00C1708C" w:rsidRPr="00CF10AD">
        <w:rPr>
          <w:sz w:val="28"/>
          <w:szCs w:val="28"/>
        </w:rPr>
        <w:t xml:space="preserve"> exercise powers in terms of </w:t>
      </w:r>
      <w:r w:rsidR="00B90BE4" w:rsidRPr="00CF10AD">
        <w:rPr>
          <w:sz w:val="28"/>
          <w:szCs w:val="28"/>
        </w:rPr>
        <w:t>ss 129, 134,</w:t>
      </w:r>
      <w:r w:rsidR="00154482" w:rsidRPr="00CF10AD">
        <w:rPr>
          <w:sz w:val="28"/>
          <w:szCs w:val="28"/>
        </w:rPr>
        <w:t xml:space="preserve"> </w:t>
      </w:r>
      <w:r w:rsidR="00B90BE4" w:rsidRPr="00CF10AD">
        <w:rPr>
          <w:sz w:val="28"/>
          <w:szCs w:val="28"/>
        </w:rPr>
        <w:t>135,</w:t>
      </w:r>
      <w:r w:rsidR="00154482" w:rsidRPr="00CF10AD">
        <w:rPr>
          <w:sz w:val="28"/>
          <w:szCs w:val="28"/>
        </w:rPr>
        <w:t xml:space="preserve"> </w:t>
      </w:r>
      <w:r w:rsidR="00B90BE4" w:rsidRPr="00CF10AD">
        <w:rPr>
          <w:sz w:val="28"/>
          <w:szCs w:val="28"/>
        </w:rPr>
        <w:t>136</w:t>
      </w:r>
      <w:r w:rsidR="00154482" w:rsidRPr="00CF10AD">
        <w:rPr>
          <w:sz w:val="28"/>
          <w:szCs w:val="28"/>
        </w:rPr>
        <w:t xml:space="preserve"> and</w:t>
      </w:r>
      <w:r w:rsidR="00B90BE4" w:rsidRPr="00CF10AD">
        <w:rPr>
          <w:sz w:val="28"/>
          <w:szCs w:val="28"/>
        </w:rPr>
        <w:t>,</w:t>
      </w:r>
      <w:r w:rsidR="00154482" w:rsidRPr="00CF10AD">
        <w:rPr>
          <w:sz w:val="28"/>
          <w:szCs w:val="28"/>
        </w:rPr>
        <w:t xml:space="preserve"> </w:t>
      </w:r>
      <w:r w:rsidR="00B90BE4" w:rsidRPr="00CF10AD">
        <w:rPr>
          <w:sz w:val="28"/>
          <w:szCs w:val="28"/>
        </w:rPr>
        <w:t xml:space="preserve">137 of the </w:t>
      </w:r>
      <w:r w:rsidR="00C1708C" w:rsidRPr="00CF10AD">
        <w:rPr>
          <w:sz w:val="28"/>
          <w:szCs w:val="28"/>
        </w:rPr>
        <w:t>FSR</w:t>
      </w:r>
      <w:r w:rsidR="001676DA" w:rsidRPr="00CF10AD">
        <w:rPr>
          <w:sz w:val="28"/>
          <w:szCs w:val="28"/>
        </w:rPr>
        <w:t xml:space="preserve"> </w:t>
      </w:r>
      <w:r w:rsidR="00C1708C" w:rsidRPr="00CF10AD">
        <w:rPr>
          <w:sz w:val="28"/>
          <w:szCs w:val="28"/>
        </w:rPr>
        <w:t>A</w:t>
      </w:r>
      <w:r w:rsidR="001676DA" w:rsidRPr="00CF10AD">
        <w:rPr>
          <w:sz w:val="28"/>
          <w:szCs w:val="28"/>
        </w:rPr>
        <w:t>ct</w:t>
      </w:r>
      <w:r w:rsidR="00B90BE4" w:rsidRPr="00CF10AD">
        <w:rPr>
          <w:sz w:val="28"/>
          <w:szCs w:val="28"/>
        </w:rPr>
        <w:t>, which encompasses the powers set out in the Act. Section</w:t>
      </w:r>
      <w:r w:rsidR="00C1708C" w:rsidRPr="00CF10AD">
        <w:rPr>
          <w:sz w:val="28"/>
          <w:szCs w:val="28"/>
        </w:rPr>
        <w:t xml:space="preserve"> 129(2) </w:t>
      </w:r>
      <w:r w:rsidR="00AD0BF9" w:rsidRPr="00CF10AD">
        <w:rPr>
          <w:sz w:val="28"/>
          <w:szCs w:val="28"/>
        </w:rPr>
        <w:t>provides that the Council may exercise powers in terms of Chapter 9 of the FSR Act in respect of its powers and functions in the Act and the FSR Act</w:t>
      </w:r>
      <w:r w:rsidR="00B90BE4" w:rsidRPr="00CF10AD">
        <w:rPr>
          <w:sz w:val="28"/>
          <w:szCs w:val="28"/>
        </w:rPr>
        <w:t xml:space="preserve">. </w:t>
      </w:r>
      <w:r w:rsidR="009D736D" w:rsidRPr="00CF10AD">
        <w:rPr>
          <w:sz w:val="28"/>
          <w:szCs w:val="28"/>
        </w:rPr>
        <w:t>T</w:t>
      </w:r>
      <w:r w:rsidR="00C1708C" w:rsidRPr="00CF10AD">
        <w:rPr>
          <w:sz w:val="28"/>
          <w:szCs w:val="28"/>
        </w:rPr>
        <w:t xml:space="preserve">he </w:t>
      </w:r>
      <w:r w:rsidR="004C29C2" w:rsidRPr="00CF10AD">
        <w:rPr>
          <w:sz w:val="28"/>
          <w:szCs w:val="28"/>
        </w:rPr>
        <w:t xml:space="preserve">contention by the </w:t>
      </w:r>
      <w:r w:rsidR="00C1708C" w:rsidRPr="00CF10AD">
        <w:rPr>
          <w:sz w:val="28"/>
          <w:szCs w:val="28"/>
        </w:rPr>
        <w:t xml:space="preserve">respondents that the </w:t>
      </w:r>
      <w:r w:rsidR="00B90BE4" w:rsidRPr="00CF10AD">
        <w:rPr>
          <w:sz w:val="28"/>
          <w:szCs w:val="28"/>
        </w:rPr>
        <w:t>Act</w:t>
      </w:r>
      <w:r w:rsidR="00C1708C" w:rsidRPr="00CF10AD">
        <w:rPr>
          <w:sz w:val="28"/>
          <w:szCs w:val="28"/>
        </w:rPr>
        <w:t>, the regu</w:t>
      </w:r>
      <w:r w:rsidR="001D773D" w:rsidRPr="00CF10AD">
        <w:rPr>
          <w:sz w:val="28"/>
          <w:szCs w:val="28"/>
        </w:rPr>
        <w:t>lations, and the FSR</w:t>
      </w:r>
      <w:r w:rsidR="00B90BE4" w:rsidRPr="00CF10AD">
        <w:rPr>
          <w:sz w:val="28"/>
          <w:szCs w:val="28"/>
        </w:rPr>
        <w:t xml:space="preserve"> </w:t>
      </w:r>
      <w:r w:rsidR="001D773D" w:rsidRPr="00CF10AD">
        <w:rPr>
          <w:sz w:val="28"/>
          <w:szCs w:val="28"/>
        </w:rPr>
        <w:t>A</w:t>
      </w:r>
      <w:r w:rsidR="00B90BE4" w:rsidRPr="00CF10AD">
        <w:rPr>
          <w:sz w:val="28"/>
          <w:szCs w:val="28"/>
        </w:rPr>
        <w:t>ct</w:t>
      </w:r>
      <w:r w:rsidR="001D773D" w:rsidRPr="00CF10AD">
        <w:rPr>
          <w:sz w:val="28"/>
          <w:szCs w:val="28"/>
        </w:rPr>
        <w:t xml:space="preserve"> </w:t>
      </w:r>
      <w:r w:rsidR="00B90BE4" w:rsidRPr="00CF10AD">
        <w:rPr>
          <w:sz w:val="28"/>
          <w:szCs w:val="28"/>
        </w:rPr>
        <w:t xml:space="preserve">point to </w:t>
      </w:r>
      <w:r w:rsidR="001D773D" w:rsidRPr="00CF10AD">
        <w:rPr>
          <w:sz w:val="28"/>
          <w:szCs w:val="28"/>
        </w:rPr>
        <w:t>an</w:t>
      </w:r>
      <w:r w:rsidR="00C1708C" w:rsidRPr="00CF10AD">
        <w:rPr>
          <w:sz w:val="28"/>
          <w:szCs w:val="28"/>
        </w:rPr>
        <w:t xml:space="preserve"> implied power </w:t>
      </w:r>
      <w:r w:rsidR="00B90BE4" w:rsidRPr="00CF10AD">
        <w:rPr>
          <w:sz w:val="28"/>
          <w:szCs w:val="28"/>
        </w:rPr>
        <w:t>for</w:t>
      </w:r>
      <w:r w:rsidR="00C1708C" w:rsidRPr="00CF10AD">
        <w:rPr>
          <w:sz w:val="28"/>
          <w:szCs w:val="28"/>
        </w:rPr>
        <w:t xml:space="preserve"> the Council to inspect brokers on the grounds that it is reasonably incidental to the proper carrying out of its</w:t>
      </w:r>
      <w:r w:rsidR="00302526" w:rsidRPr="00CF10AD">
        <w:rPr>
          <w:sz w:val="28"/>
          <w:szCs w:val="28"/>
        </w:rPr>
        <w:t xml:space="preserve"> authorised powers under ss</w:t>
      </w:r>
      <w:r w:rsidR="00C1708C" w:rsidRPr="00CF10AD">
        <w:rPr>
          <w:sz w:val="28"/>
          <w:szCs w:val="28"/>
        </w:rPr>
        <w:t xml:space="preserve"> 44(4)</w:t>
      </w:r>
      <w:r w:rsidR="00302526" w:rsidRPr="00CF10AD">
        <w:rPr>
          <w:sz w:val="28"/>
          <w:szCs w:val="28"/>
        </w:rPr>
        <w:t xml:space="preserve"> and 65</w:t>
      </w:r>
      <w:r w:rsidR="00C1708C" w:rsidRPr="00CF10AD">
        <w:rPr>
          <w:sz w:val="28"/>
          <w:szCs w:val="28"/>
        </w:rPr>
        <w:t xml:space="preserve"> of the </w:t>
      </w:r>
      <w:r w:rsidR="00B90BE4" w:rsidRPr="00CF10AD">
        <w:rPr>
          <w:sz w:val="28"/>
          <w:szCs w:val="28"/>
        </w:rPr>
        <w:t>Act and</w:t>
      </w:r>
      <w:r w:rsidR="00C1708C" w:rsidRPr="00CF10AD">
        <w:rPr>
          <w:sz w:val="28"/>
          <w:szCs w:val="28"/>
        </w:rPr>
        <w:t xml:space="preserve"> s</w:t>
      </w:r>
      <w:r w:rsidR="00B90BE4" w:rsidRPr="00CF10AD">
        <w:rPr>
          <w:sz w:val="28"/>
          <w:szCs w:val="28"/>
        </w:rPr>
        <w:t>s</w:t>
      </w:r>
      <w:r w:rsidR="00C1708C" w:rsidRPr="00CF10AD">
        <w:rPr>
          <w:sz w:val="28"/>
          <w:szCs w:val="28"/>
        </w:rPr>
        <w:t xml:space="preserve"> 134 and 135</w:t>
      </w:r>
      <w:r w:rsidR="00B90BE4" w:rsidRPr="00CF10AD">
        <w:rPr>
          <w:sz w:val="28"/>
          <w:szCs w:val="28"/>
        </w:rPr>
        <w:t xml:space="preserve"> (</w:t>
      </w:r>
      <w:r w:rsidR="00C1708C" w:rsidRPr="00CF10AD">
        <w:rPr>
          <w:sz w:val="28"/>
          <w:szCs w:val="28"/>
        </w:rPr>
        <w:t xml:space="preserve">read with </w:t>
      </w:r>
      <w:r w:rsidR="00160F0A" w:rsidRPr="00CF10AD">
        <w:rPr>
          <w:sz w:val="28"/>
          <w:szCs w:val="28"/>
        </w:rPr>
        <w:t>s</w:t>
      </w:r>
      <w:r w:rsidR="00C1708C" w:rsidRPr="00CF10AD">
        <w:rPr>
          <w:sz w:val="28"/>
          <w:szCs w:val="28"/>
        </w:rPr>
        <w:t xml:space="preserve"> 129) of the FSR</w:t>
      </w:r>
      <w:r w:rsidR="001676DA" w:rsidRPr="00CF10AD">
        <w:rPr>
          <w:sz w:val="28"/>
          <w:szCs w:val="28"/>
        </w:rPr>
        <w:t xml:space="preserve"> </w:t>
      </w:r>
      <w:r w:rsidR="00C1708C" w:rsidRPr="00CF10AD">
        <w:rPr>
          <w:sz w:val="28"/>
          <w:szCs w:val="28"/>
        </w:rPr>
        <w:t>A</w:t>
      </w:r>
      <w:r w:rsidR="001676DA" w:rsidRPr="00CF10AD">
        <w:rPr>
          <w:sz w:val="28"/>
          <w:szCs w:val="28"/>
        </w:rPr>
        <w:t>ct</w:t>
      </w:r>
      <w:r w:rsidR="00302526" w:rsidRPr="00CF10AD">
        <w:rPr>
          <w:sz w:val="28"/>
          <w:szCs w:val="28"/>
        </w:rPr>
        <w:t>,</w:t>
      </w:r>
      <w:r w:rsidR="00D17786" w:rsidRPr="00CF10AD">
        <w:rPr>
          <w:sz w:val="28"/>
          <w:szCs w:val="28"/>
        </w:rPr>
        <w:t xml:space="preserve"> read with Regulations 28 B and C of the Act</w:t>
      </w:r>
      <w:r w:rsidR="00B87B2C" w:rsidRPr="00CF10AD">
        <w:rPr>
          <w:sz w:val="28"/>
          <w:szCs w:val="28"/>
        </w:rPr>
        <w:t>,</w:t>
      </w:r>
      <w:r w:rsidR="004C29C2" w:rsidRPr="00CF10AD">
        <w:rPr>
          <w:sz w:val="28"/>
          <w:szCs w:val="28"/>
        </w:rPr>
        <w:t xml:space="preserve"> </w:t>
      </w:r>
      <w:r w:rsidR="00D14B8D" w:rsidRPr="00CF10AD">
        <w:rPr>
          <w:sz w:val="28"/>
          <w:szCs w:val="28"/>
        </w:rPr>
        <w:t>has merit</w:t>
      </w:r>
      <w:r w:rsidR="00D17786" w:rsidRPr="00CF10AD">
        <w:rPr>
          <w:sz w:val="28"/>
          <w:szCs w:val="28"/>
        </w:rPr>
        <w:t>.</w:t>
      </w:r>
    </w:p>
    <w:p w14:paraId="197823B8" w14:textId="77777777" w:rsidR="00F76365" w:rsidRPr="00AD51FB" w:rsidRDefault="00F76365" w:rsidP="00F76365">
      <w:pPr>
        <w:pStyle w:val="ListParagraph"/>
        <w:rPr>
          <w:i/>
          <w:iCs/>
          <w:sz w:val="28"/>
          <w:szCs w:val="28"/>
        </w:rPr>
      </w:pPr>
    </w:p>
    <w:p w14:paraId="0871B5A0" w14:textId="2C0FA482" w:rsidR="00F76365" w:rsidRPr="00CF10AD" w:rsidRDefault="00CF10AD" w:rsidP="00CF10AD">
      <w:pPr>
        <w:spacing w:line="360" w:lineRule="auto"/>
        <w:jc w:val="both"/>
        <w:rPr>
          <w:i/>
          <w:iCs/>
          <w:sz w:val="28"/>
          <w:szCs w:val="28"/>
        </w:rPr>
      </w:pPr>
      <w:r w:rsidRPr="00AD51FB">
        <w:rPr>
          <w:sz w:val="28"/>
          <w:szCs w:val="28"/>
        </w:rPr>
        <w:t>[41]</w:t>
      </w:r>
      <w:r w:rsidRPr="00AD51FB">
        <w:rPr>
          <w:sz w:val="28"/>
          <w:szCs w:val="28"/>
        </w:rPr>
        <w:tab/>
      </w:r>
      <w:r w:rsidR="00C1708C" w:rsidRPr="00CF10AD">
        <w:rPr>
          <w:sz w:val="28"/>
          <w:szCs w:val="28"/>
        </w:rPr>
        <w:t xml:space="preserve">This approach is apposite to the interpretation of statutes </w:t>
      </w:r>
      <w:r w:rsidR="00B90BE4" w:rsidRPr="00CF10AD">
        <w:rPr>
          <w:sz w:val="28"/>
          <w:szCs w:val="28"/>
        </w:rPr>
        <w:t xml:space="preserve">which </w:t>
      </w:r>
      <w:r w:rsidR="00C1708C" w:rsidRPr="00CF10AD">
        <w:rPr>
          <w:sz w:val="28"/>
          <w:szCs w:val="28"/>
        </w:rPr>
        <w:t>requires them to be read alongside each other so as to make sense of their provisions together</w:t>
      </w:r>
      <w:r w:rsidR="00B90BE4" w:rsidRPr="00CF10AD">
        <w:rPr>
          <w:sz w:val="28"/>
          <w:szCs w:val="28"/>
        </w:rPr>
        <w:t>. The</w:t>
      </w:r>
      <w:r w:rsidR="00C1708C" w:rsidRPr="00CF10AD">
        <w:rPr>
          <w:sz w:val="28"/>
          <w:szCs w:val="28"/>
        </w:rPr>
        <w:t xml:space="preserve"> </w:t>
      </w:r>
      <w:r w:rsidR="00302526" w:rsidRPr="00CF10AD">
        <w:rPr>
          <w:sz w:val="28"/>
          <w:szCs w:val="28"/>
        </w:rPr>
        <w:t>‘</w:t>
      </w:r>
      <w:r w:rsidR="00C1708C" w:rsidRPr="00CF10AD">
        <w:rPr>
          <w:sz w:val="28"/>
          <w:szCs w:val="28"/>
        </w:rPr>
        <w:t>mischief rule</w:t>
      </w:r>
      <w:r w:rsidR="00302526" w:rsidRPr="00CF10AD">
        <w:rPr>
          <w:sz w:val="28"/>
          <w:szCs w:val="28"/>
        </w:rPr>
        <w:t>’</w:t>
      </w:r>
      <w:r w:rsidR="00C1708C" w:rsidRPr="00CF10AD">
        <w:rPr>
          <w:sz w:val="28"/>
          <w:szCs w:val="28"/>
        </w:rPr>
        <w:t xml:space="preserve"> </w:t>
      </w:r>
      <w:r w:rsidR="00302526" w:rsidRPr="00CF10AD">
        <w:rPr>
          <w:sz w:val="28"/>
          <w:szCs w:val="28"/>
        </w:rPr>
        <w:t>directs</w:t>
      </w:r>
      <w:r w:rsidR="00C1708C" w:rsidRPr="00CF10AD">
        <w:rPr>
          <w:sz w:val="28"/>
          <w:szCs w:val="28"/>
        </w:rPr>
        <w:t xml:space="preserve"> a Court to construe the language in a statute against the background of the perceived mischief that the statu</w:t>
      </w:r>
      <w:r w:rsidR="009D736D" w:rsidRPr="00CF10AD">
        <w:rPr>
          <w:sz w:val="28"/>
          <w:szCs w:val="28"/>
        </w:rPr>
        <w:t>t</w:t>
      </w:r>
      <w:r w:rsidR="00C1708C" w:rsidRPr="00CF10AD">
        <w:rPr>
          <w:sz w:val="28"/>
          <w:szCs w:val="28"/>
        </w:rPr>
        <w:t>e addresses.</w:t>
      </w:r>
      <w:r w:rsidR="001F1DE8" w:rsidRPr="00CF10AD">
        <w:rPr>
          <w:sz w:val="28"/>
          <w:szCs w:val="28"/>
        </w:rPr>
        <w:t xml:space="preserve"> It is clear that the ‘mischief’ addressed by the Act </w:t>
      </w:r>
      <w:r w:rsidR="00F76365" w:rsidRPr="00CF10AD">
        <w:rPr>
          <w:sz w:val="28"/>
          <w:szCs w:val="28"/>
        </w:rPr>
        <w:t>is the non-compliance with the provisions of the Act and the regulations</w:t>
      </w:r>
      <w:r w:rsidR="00302526" w:rsidRPr="00CF10AD">
        <w:rPr>
          <w:sz w:val="28"/>
          <w:szCs w:val="28"/>
        </w:rPr>
        <w:t>.</w:t>
      </w:r>
    </w:p>
    <w:p w14:paraId="6524B6FE" w14:textId="77777777" w:rsidR="00F76365" w:rsidRPr="00AD51FB" w:rsidRDefault="00F76365" w:rsidP="00401D88">
      <w:pPr>
        <w:pStyle w:val="alevel2"/>
        <w:numPr>
          <w:ilvl w:val="0"/>
          <w:numId w:val="0"/>
        </w:numPr>
        <w:spacing w:after="0" w:line="360" w:lineRule="auto"/>
        <w:rPr>
          <w:rFonts w:ascii="Times New Roman" w:hAnsi="Times New Roman"/>
          <w:sz w:val="28"/>
          <w:szCs w:val="28"/>
        </w:rPr>
      </w:pPr>
    </w:p>
    <w:p w14:paraId="6EF4DEB0" w14:textId="670B7883" w:rsidR="00FB26C4" w:rsidRPr="00AD51FB" w:rsidRDefault="00CF10AD" w:rsidP="00CF10AD">
      <w:pPr>
        <w:pStyle w:val="alevel2"/>
        <w:numPr>
          <w:ilvl w:val="0"/>
          <w:numId w:val="0"/>
        </w:numPr>
        <w:tabs>
          <w:tab w:val="left" w:pos="0"/>
        </w:tabs>
        <w:spacing w:after="0" w:line="360" w:lineRule="auto"/>
        <w:rPr>
          <w:rFonts w:ascii="Times New Roman" w:hAnsi="Times New Roman"/>
          <w:i/>
          <w:iCs/>
          <w:sz w:val="28"/>
          <w:szCs w:val="28"/>
        </w:rPr>
      </w:pPr>
      <w:r w:rsidRPr="00AD51FB">
        <w:rPr>
          <w:rFonts w:ascii="Times New Roman" w:hAnsi="Times New Roman"/>
          <w:sz w:val="28"/>
          <w:szCs w:val="28"/>
        </w:rPr>
        <w:t>[42]</w:t>
      </w:r>
      <w:r w:rsidRPr="00AD51FB">
        <w:rPr>
          <w:rFonts w:ascii="Times New Roman" w:hAnsi="Times New Roman"/>
          <w:sz w:val="28"/>
          <w:szCs w:val="28"/>
        </w:rPr>
        <w:tab/>
      </w:r>
      <w:r w:rsidR="00FB26C4" w:rsidRPr="00AD51FB">
        <w:rPr>
          <w:rFonts w:ascii="Times New Roman" w:hAnsi="Times New Roman"/>
          <w:sz w:val="28"/>
          <w:szCs w:val="28"/>
        </w:rPr>
        <w:t>I therefore find that the Council, in terms of s 44</w:t>
      </w:r>
      <w:r w:rsidR="00FB26C4" w:rsidRPr="00AD51FB">
        <w:rPr>
          <w:rFonts w:ascii="Times New Roman" w:hAnsi="Times New Roman"/>
          <w:i/>
          <w:iCs/>
          <w:sz w:val="28"/>
          <w:szCs w:val="28"/>
        </w:rPr>
        <w:t>(a)</w:t>
      </w:r>
      <w:r w:rsidR="002B5DF8" w:rsidRPr="00AD51FB">
        <w:rPr>
          <w:rFonts w:ascii="Times New Roman" w:hAnsi="Times New Roman"/>
          <w:sz w:val="28"/>
          <w:szCs w:val="28"/>
        </w:rPr>
        <w:t xml:space="preserve">, read with the relevant </w:t>
      </w:r>
      <w:r w:rsidR="00160F0A" w:rsidRPr="00AD51FB">
        <w:rPr>
          <w:rFonts w:ascii="Times New Roman" w:hAnsi="Times New Roman"/>
          <w:sz w:val="28"/>
          <w:szCs w:val="28"/>
        </w:rPr>
        <w:t xml:space="preserve">regulations and </w:t>
      </w:r>
      <w:r w:rsidR="004C29C2" w:rsidRPr="00AD51FB">
        <w:rPr>
          <w:rFonts w:ascii="Times New Roman" w:hAnsi="Times New Roman"/>
          <w:sz w:val="28"/>
          <w:szCs w:val="28"/>
        </w:rPr>
        <w:t xml:space="preserve">provisions </w:t>
      </w:r>
      <w:r w:rsidR="00160F0A" w:rsidRPr="00AD51FB">
        <w:rPr>
          <w:rFonts w:ascii="Times New Roman" w:hAnsi="Times New Roman"/>
          <w:sz w:val="28"/>
          <w:szCs w:val="28"/>
        </w:rPr>
        <w:t>of the FSR Act,</w:t>
      </w:r>
      <w:r w:rsidR="00FB26C4" w:rsidRPr="00AD51FB">
        <w:rPr>
          <w:rFonts w:ascii="Times New Roman" w:hAnsi="Times New Roman"/>
          <w:sz w:val="28"/>
          <w:szCs w:val="28"/>
        </w:rPr>
        <w:t xml:space="preserve"> has the power to inspect and investigate the conduct of brokers, such as Optivest</w:t>
      </w:r>
      <w:r w:rsidR="00160F0A" w:rsidRPr="00AD51FB">
        <w:rPr>
          <w:rFonts w:ascii="Times New Roman" w:hAnsi="Times New Roman"/>
          <w:sz w:val="28"/>
          <w:szCs w:val="28"/>
        </w:rPr>
        <w:t>.</w:t>
      </w:r>
    </w:p>
    <w:p w14:paraId="5827D66A" w14:textId="77777777" w:rsidR="00154482" w:rsidRPr="00AD51FB" w:rsidRDefault="00154482" w:rsidP="003A73A2">
      <w:pPr>
        <w:pStyle w:val="alevel2"/>
        <w:numPr>
          <w:ilvl w:val="0"/>
          <w:numId w:val="0"/>
        </w:numPr>
        <w:spacing w:after="0" w:line="360" w:lineRule="auto"/>
        <w:rPr>
          <w:rFonts w:ascii="Times New Roman" w:hAnsi="Times New Roman"/>
          <w:i/>
          <w:iCs/>
          <w:sz w:val="28"/>
          <w:szCs w:val="28"/>
        </w:rPr>
      </w:pPr>
    </w:p>
    <w:p w14:paraId="0604CD8C" w14:textId="638CD2EB" w:rsidR="00361AFB" w:rsidRPr="00AD51FB" w:rsidRDefault="00361AFB" w:rsidP="003A73A2">
      <w:pPr>
        <w:pStyle w:val="alevel2"/>
        <w:numPr>
          <w:ilvl w:val="0"/>
          <w:numId w:val="0"/>
        </w:numPr>
        <w:spacing w:after="0" w:line="360" w:lineRule="auto"/>
        <w:rPr>
          <w:rFonts w:ascii="Times New Roman" w:hAnsi="Times New Roman"/>
          <w:b/>
          <w:i/>
          <w:iCs/>
          <w:sz w:val="28"/>
          <w:szCs w:val="28"/>
        </w:rPr>
      </w:pPr>
      <w:r w:rsidRPr="00AD51FB">
        <w:rPr>
          <w:rFonts w:ascii="Times New Roman" w:hAnsi="Times New Roman"/>
          <w:b/>
          <w:sz w:val="28"/>
          <w:szCs w:val="28"/>
        </w:rPr>
        <w:t>The procedural challenge</w:t>
      </w:r>
    </w:p>
    <w:p w14:paraId="762D227D" w14:textId="24D052F6" w:rsidR="001676DA" w:rsidRPr="00AD51FB" w:rsidRDefault="00CF10AD" w:rsidP="00CF10AD">
      <w:pPr>
        <w:pStyle w:val="alevel2"/>
        <w:numPr>
          <w:ilvl w:val="0"/>
          <w:numId w:val="0"/>
        </w:numPr>
        <w:spacing w:after="0" w:line="360" w:lineRule="auto"/>
        <w:ind w:right="-1"/>
        <w:rPr>
          <w:rFonts w:ascii="Times New Roman" w:hAnsi="Times New Roman"/>
          <w:i/>
          <w:iCs/>
          <w:sz w:val="28"/>
          <w:szCs w:val="28"/>
        </w:rPr>
      </w:pPr>
      <w:r w:rsidRPr="00AD51FB">
        <w:rPr>
          <w:rFonts w:ascii="Times New Roman" w:hAnsi="Times New Roman"/>
          <w:sz w:val="28"/>
          <w:szCs w:val="28"/>
        </w:rPr>
        <w:lastRenderedPageBreak/>
        <w:t>[43]</w:t>
      </w:r>
      <w:r w:rsidRPr="00AD51FB">
        <w:rPr>
          <w:rFonts w:ascii="Times New Roman" w:hAnsi="Times New Roman"/>
          <w:sz w:val="28"/>
          <w:szCs w:val="28"/>
        </w:rPr>
        <w:tab/>
      </w:r>
      <w:r w:rsidR="00C1708C" w:rsidRPr="00AD51FB">
        <w:rPr>
          <w:rFonts w:ascii="Times New Roman" w:hAnsi="Times New Roman"/>
          <w:color w:val="000000" w:themeColor="text1"/>
          <w:sz w:val="28"/>
          <w:szCs w:val="28"/>
        </w:rPr>
        <w:t>Section 47 deals with written complaints against a party and stipulates the timelines for the representations from the person</w:t>
      </w:r>
      <w:r w:rsidR="00FB26C4" w:rsidRPr="00AD51FB">
        <w:rPr>
          <w:rFonts w:ascii="Times New Roman" w:hAnsi="Times New Roman"/>
          <w:color w:val="000000" w:themeColor="text1"/>
          <w:sz w:val="28"/>
          <w:szCs w:val="28"/>
        </w:rPr>
        <w:t>/s</w:t>
      </w:r>
      <w:r w:rsidR="00C1708C" w:rsidRPr="00AD51FB">
        <w:rPr>
          <w:rFonts w:ascii="Times New Roman" w:hAnsi="Times New Roman"/>
          <w:color w:val="000000" w:themeColor="text1"/>
          <w:sz w:val="28"/>
          <w:szCs w:val="28"/>
        </w:rPr>
        <w:t xml:space="preserve"> against whom a complaint has been laid. This complaint may or may not, </w:t>
      </w:r>
      <w:r w:rsidR="00FB26C4" w:rsidRPr="00AD51FB">
        <w:rPr>
          <w:rFonts w:ascii="Times New Roman" w:hAnsi="Times New Roman"/>
          <w:color w:val="000000" w:themeColor="text1"/>
          <w:sz w:val="28"/>
          <w:szCs w:val="28"/>
        </w:rPr>
        <w:t>lead</w:t>
      </w:r>
      <w:r w:rsidR="00C1708C" w:rsidRPr="00AD51FB">
        <w:rPr>
          <w:rFonts w:ascii="Times New Roman" w:hAnsi="Times New Roman"/>
          <w:color w:val="000000" w:themeColor="text1"/>
          <w:sz w:val="28"/>
          <w:szCs w:val="28"/>
        </w:rPr>
        <w:t xml:space="preserve"> to an inspection, </w:t>
      </w:r>
      <w:r w:rsidR="00661FD0" w:rsidRPr="00AD51FB">
        <w:rPr>
          <w:rFonts w:ascii="Times New Roman" w:hAnsi="Times New Roman"/>
          <w:color w:val="000000" w:themeColor="text1"/>
          <w:sz w:val="28"/>
          <w:szCs w:val="28"/>
        </w:rPr>
        <w:t>but</w:t>
      </w:r>
      <w:r w:rsidR="00FB26C4" w:rsidRPr="00AD51FB">
        <w:rPr>
          <w:rFonts w:ascii="Times New Roman" w:hAnsi="Times New Roman"/>
          <w:color w:val="000000" w:themeColor="text1"/>
          <w:sz w:val="28"/>
          <w:szCs w:val="28"/>
        </w:rPr>
        <w:t xml:space="preserve"> the respondents submit,</w:t>
      </w:r>
      <w:r w:rsidR="00C1708C" w:rsidRPr="00AD51FB">
        <w:rPr>
          <w:rFonts w:ascii="Times New Roman" w:hAnsi="Times New Roman"/>
          <w:color w:val="000000" w:themeColor="text1"/>
          <w:sz w:val="28"/>
          <w:szCs w:val="28"/>
        </w:rPr>
        <w:t xml:space="preserve"> it is not peremptory </w:t>
      </w:r>
      <w:r w:rsidR="00FB26C4" w:rsidRPr="00AD51FB">
        <w:rPr>
          <w:rFonts w:ascii="Times New Roman" w:hAnsi="Times New Roman"/>
          <w:color w:val="000000" w:themeColor="text1"/>
          <w:sz w:val="28"/>
          <w:szCs w:val="28"/>
        </w:rPr>
        <w:t xml:space="preserve">or a jurisdictional requirement </w:t>
      </w:r>
      <w:r w:rsidR="00C1708C" w:rsidRPr="00AD51FB">
        <w:rPr>
          <w:rFonts w:ascii="Times New Roman" w:hAnsi="Times New Roman"/>
          <w:color w:val="000000" w:themeColor="text1"/>
          <w:sz w:val="28"/>
          <w:szCs w:val="28"/>
        </w:rPr>
        <w:t xml:space="preserve">for </w:t>
      </w:r>
      <w:r w:rsidR="00FB26C4" w:rsidRPr="00AD51FB">
        <w:rPr>
          <w:rFonts w:ascii="Times New Roman" w:hAnsi="Times New Roman"/>
          <w:color w:val="000000" w:themeColor="text1"/>
          <w:sz w:val="28"/>
          <w:szCs w:val="28"/>
        </w:rPr>
        <w:t>s</w:t>
      </w:r>
      <w:r w:rsidR="00154482" w:rsidRPr="00AD51FB">
        <w:rPr>
          <w:rFonts w:ascii="Times New Roman" w:hAnsi="Times New Roman"/>
          <w:color w:val="000000" w:themeColor="text1"/>
          <w:sz w:val="28"/>
          <w:szCs w:val="28"/>
        </w:rPr>
        <w:t> </w:t>
      </w:r>
      <w:r w:rsidR="00FB26C4" w:rsidRPr="00AD51FB">
        <w:rPr>
          <w:rFonts w:ascii="Times New Roman" w:hAnsi="Times New Roman"/>
          <w:color w:val="000000" w:themeColor="text1"/>
          <w:sz w:val="28"/>
          <w:szCs w:val="28"/>
        </w:rPr>
        <w:t>44</w:t>
      </w:r>
      <w:r w:rsidR="00FB26C4" w:rsidRPr="00AD51FB">
        <w:rPr>
          <w:rFonts w:ascii="Times New Roman" w:hAnsi="Times New Roman"/>
          <w:i/>
          <w:iCs/>
          <w:color w:val="000000" w:themeColor="text1"/>
          <w:sz w:val="28"/>
          <w:szCs w:val="28"/>
        </w:rPr>
        <w:t>(a)</w:t>
      </w:r>
      <w:r w:rsidR="00FB26C4" w:rsidRPr="00AD51FB">
        <w:rPr>
          <w:rFonts w:ascii="Times New Roman" w:hAnsi="Times New Roman"/>
          <w:color w:val="000000" w:themeColor="text1"/>
          <w:sz w:val="28"/>
          <w:szCs w:val="28"/>
        </w:rPr>
        <w:t xml:space="preserve"> to</w:t>
      </w:r>
      <w:r w:rsidR="00C1708C" w:rsidRPr="00AD51FB">
        <w:rPr>
          <w:rFonts w:ascii="Times New Roman" w:hAnsi="Times New Roman"/>
          <w:color w:val="000000" w:themeColor="text1"/>
          <w:sz w:val="28"/>
          <w:szCs w:val="28"/>
        </w:rPr>
        <w:t xml:space="preserve"> be </w:t>
      </w:r>
      <w:r w:rsidR="009D736D" w:rsidRPr="00AD51FB">
        <w:rPr>
          <w:rFonts w:ascii="Times New Roman" w:hAnsi="Times New Roman"/>
          <w:color w:val="000000" w:themeColor="text1"/>
          <w:sz w:val="28"/>
          <w:szCs w:val="28"/>
        </w:rPr>
        <w:t>triggered</w:t>
      </w:r>
      <w:r w:rsidR="001D773D" w:rsidRPr="00AD51FB">
        <w:rPr>
          <w:rFonts w:ascii="Times New Roman" w:hAnsi="Times New Roman"/>
          <w:color w:val="000000" w:themeColor="text1"/>
          <w:sz w:val="28"/>
          <w:szCs w:val="28"/>
        </w:rPr>
        <w:t xml:space="preserve">. </w:t>
      </w:r>
      <w:r w:rsidR="00D238ED" w:rsidRPr="00AD51FB">
        <w:rPr>
          <w:rFonts w:ascii="Times New Roman" w:hAnsi="Times New Roman"/>
          <w:sz w:val="28"/>
          <w:szCs w:val="28"/>
        </w:rPr>
        <w:t>Section 44 operate</w:t>
      </w:r>
      <w:r w:rsidR="00B87B2C" w:rsidRPr="00AD51FB">
        <w:rPr>
          <w:rFonts w:ascii="Times New Roman" w:hAnsi="Times New Roman"/>
          <w:sz w:val="28"/>
          <w:szCs w:val="28"/>
        </w:rPr>
        <w:t>s</w:t>
      </w:r>
      <w:r w:rsidR="00D238ED" w:rsidRPr="00AD51FB">
        <w:rPr>
          <w:rFonts w:ascii="Times New Roman" w:hAnsi="Times New Roman"/>
          <w:sz w:val="28"/>
          <w:szCs w:val="28"/>
        </w:rPr>
        <w:t xml:space="preserve"> independently of the complaints procedure set out in s</w:t>
      </w:r>
      <w:r w:rsidR="004C29C2" w:rsidRPr="00AD51FB">
        <w:rPr>
          <w:rFonts w:ascii="Times New Roman" w:hAnsi="Times New Roman"/>
          <w:sz w:val="28"/>
          <w:szCs w:val="28"/>
        </w:rPr>
        <w:t xml:space="preserve"> </w:t>
      </w:r>
      <w:r w:rsidR="00D238ED" w:rsidRPr="00AD51FB">
        <w:rPr>
          <w:rFonts w:ascii="Times New Roman" w:hAnsi="Times New Roman"/>
          <w:sz w:val="28"/>
          <w:szCs w:val="28"/>
        </w:rPr>
        <w:t xml:space="preserve">47 of the MSA. Section 44 gives the Registrar the power to appoint an investigator, whilst s 47 regulates the complaints process. </w:t>
      </w:r>
      <w:r w:rsidR="001D773D" w:rsidRPr="00AD51FB">
        <w:rPr>
          <w:rFonts w:ascii="Times New Roman" w:hAnsi="Times New Roman"/>
          <w:color w:val="000000" w:themeColor="text1"/>
          <w:sz w:val="28"/>
          <w:szCs w:val="28"/>
        </w:rPr>
        <w:t>The respondent</w:t>
      </w:r>
      <w:r w:rsidR="001676DA" w:rsidRPr="00AD51FB">
        <w:rPr>
          <w:rFonts w:ascii="Times New Roman" w:hAnsi="Times New Roman"/>
          <w:color w:val="000000" w:themeColor="text1"/>
          <w:sz w:val="28"/>
          <w:szCs w:val="28"/>
        </w:rPr>
        <w:t>s contend</w:t>
      </w:r>
      <w:r w:rsidR="00C1708C" w:rsidRPr="00AD51FB">
        <w:rPr>
          <w:rFonts w:ascii="Times New Roman" w:hAnsi="Times New Roman"/>
          <w:color w:val="000000" w:themeColor="text1"/>
          <w:sz w:val="28"/>
          <w:szCs w:val="28"/>
        </w:rPr>
        <w:t xml:space="preserve"> that </w:t>
      </w:r>
      <w:r w:rsidR="001676DA" w:rsidRPr="00AD51FB">
        <w:rPr>
          <w:rFonts w:ascii="Times New Roman" w:hAnsi="Times New Roman"/>
          <w:color w:val="000000" w:themeColor="text1"/>
          <w:sz w:val="28"/>
          <w:szCs w:val="28"/>
        </w:rPr>
        <w:t>the purpose of s</w:t>
      </w:r>
      <w:r w:rsidR="00C1708C" w:rsidRPr="00AD51FB">
        <w:rPr>
          <w:rFonts w:ascii="Times New Roman" w:hAnsi="Times New Roman"/>
          <w:color w:val="000000" w:themeColor="text1"/>
          <w:sz w:val="28"/>
          <w:szCs w:val="28"/>
        </w:rPr>
        <w:t xml:space="preserve"> 44</w:t>
      </w:r>
      <w:r w:rsidR="001676DA" w:rsidRPr="00AD51FB">
        <w:rPr>
          <w:rFonts w:ascii="Times New Roman" w:hAnsi="Times New Roman"/>
          <w:color w:val="000000" w:themeColor="text1"/>
          <w:sz w:val="28"/>
          <w:szCs w:val="28"/>
        </w:rPr>
        <w:t>(4)</w:t>
      </w:r>
      <w:r w:rsidR="00C1708C" w:rsidRPr="00AD51FB">
        <w:rPr>
          <w:rFonts w:ascii="Times New Roman" w:hAnsi="Times New Roman"/>
          <w:color w:val="000000" w:themeColor="text1"/>
          <w:sz w:val="28"/>
          <w:szCs w:val="28"/>
        </w:rPr>
        <w:t xml:space="preserve"> would be defeated if the right of </w:t>
      </w:r>
      <w:r w:rsidR="00C1708C" w:rsidRPr="00AD51FB">
        <w:rPr>
          <w:rFonts w:ascii="Times New Roman" w:hAnsi="Times New Roman"/>
          <w:i/>
          <w:iCs/>
          <w:color w:val="000000" w:themeColor="text1"/>
          <w:sz w:val="28"/>
          <w:szCs w:val="28"/>
        </w:rPr>
        <w:t xml:space="preserve">audi </w:t>
      </w:r>
      <w:r w:rsidR="00FB26C4" w:rsidRPr="00AD51FB">
        <w:rPr>
          <w:rFonts w:ascii="Times New Roman" w:hAnsi="Times New Roman"/>
          <w:color w:val="000000" w:themeColor="text1"/>
          <w:sz w:val="28"/>
          <w:szCs w:val="28"/>
        </w:rPr>
        <w:t>was required, in all circumstances. S</w:t>
      </w:r>
      <w:r w:rsidR="00C1708C" w:rsidRPr="00AD51FB">
        <w:rPr>
          <w:rFonts w:ascii="Times New Roman" w:hAnsi="Times New Roman"/>
          <w:color w:val="000000" w:themeColor="text1"/>
          <w:sz w:val="28"/>
          <w:szCs w:val="28"/>
        </w:rPr>
        <w:t xml:space="preserve">ection 44(4) </w:t>
      </w:r>
      <w:r w:rsidR="00FB26C4" w:rsidRPr="00AD51FB">
        <w:rPr>
          <w:rFonts w:ascii="Times New Roman" w:hAnsi="Times New Roman"/>
          <w:color w:val="000000" w:themeColor="text1"/>
          <w:sz w:val="28"/>
          <w:szCs w:val="28"/>
        </w:rPr>
        <w:t xml:space="preserve">provides for </w:t>
      </w:r>
      <w:r w:rsidR="00C1708C" w:rsidRPr="00AD51FB">
        <w:rPr>
          <w:rFonts w:ascii="Times New Roman" w:hAnsi="Times New Roman"/>
          <w:color w:val="000000" w:themeColor="text1"/>
          <w:sz w:val="28"/>
          <w:szCs w:val="28"/>
        </w:rPr>
        <w:t>a regulatory mechanism</w:t>
      </w:r>
      <w:r w:rsidR="00122FE9" w:rsidRPr="00AD51FB">
        <w:rPr>
          <w:rFonts w:ascii="Times New Roman" w:hAnsi="Times New Roman"/>
          <w:color w:val="000000" w:themeColor="text1"/>
          <w:sz w:val="28"/>
          <w:szCs w:val="28"/>
        </w:rPr>
        <w:t>,</w:t>
      </w:r>
      <w:r w:rsidR="00C1708C" w:rsidRPr="00AD51FB">
        <w:rPr>
          <w:rStyle w:val="FootnoteReference"/>
          <w:rFonts w:ascii="Times New Roman" w:hAnsi="Times New Roman"/>
          <w:color w:val="000000" w:themeColor="text1"/>
          <w:sz w:val="28"/>
          <w:szCs w:val="28"/>
        </w:rPr>
        <w:footnoteReference w:id="25"/>
      </w:r>
      <w:r w:rsidR="00C1708C" w:rsidRPr="00AD51FB">
        <w:rPr>
          <w:rFonts w:ascii="Times New Roman" w:hAnsi="Times New Roman"/>
          <w:color w:val="000000" w:themeColor="text1"/>
          <w:sz w:val="28"/>
          <w:szCs w:val="28"/>
        </w:rPr>
        <w:t xml:space="preserve"> and the power under </w:t>
      </w:r>
      <w:r w:rsidR="00172674" w:rsidRPr="00AD51FB">
        <w:rPr>
          <w:rFonts w:ascii="Times New Roman" w:hAnsi="Times New Roman"/>
          <w:color w:val="000000" w:themeColor="text1"/>
          <w:sz w:val="28"/>
          <w:szCs w:val="28"/>
        </w:rPr>
        <w:t xml:space="preserve">s </w:t>
      </w:r>
      <w:r w:rsidR="00C1708C" w:rsidRPr="00AD51FB">
        <w:rPr>
          <w:rFonts w:ascii="Times New Roman" w:hAnsi="Times New Roman"/>
          <w:color w:val="000000" w:themeColor="text1"/>
          <w:sz w:val="28"/>
          <w:szCs w:val="28"/>
        </w:rPr>
        <w:t>44(4)</w:t>
      </w:r>
      <w:r w:rsidR="00AD0BF9" w:rsidRPr="00AD51FB">
        <w:rPr>
          <w:rFonts w:ascii="Times New Roman" w:hAnsi="Times New Roman"/>
          <w:color w:val="000000" w:themeColor="text1"/>
          <w:sz w:val="28"/>
          <w:szCs w:val="28"/>
        </w:rPr>
        <w:t xml:space="preserve">, read with the relevant provisions of the FSR Act </w:t>
      </w:r>
      <w:r w:rsidR="00C1708C" w:rsidRPr="00AD51FB">
        <w:rPr>
          <w:rFonts w:ascii="Times New Roman" w:hAnsi="Times New Roman"/>
          <w:color w:val="000000" w:themeColor="text1"/>
          <w:sz w:val="28"/>
          <w:szCs w:val="28"/>
        </w:rPr>
        <w:t>must enable the Registrar to act in terms of s 44(4)</w:t>
      </w:r>
      <w:r w:rsidR="00C1708C" w:rsidRPr="00AD51FB">
        <w:rPr>
          <w:rFonts w:ascii="Times New Roman" w:hAnsi="Times New Roman"/>
          <w:i/>
          <w:iCs/>
          <w:color w:val="000000" w:themeColor="text1"/>
          <w:sz w:val="28"/>
          <w:szCs w:val="28"/>
        </w:rPr>
        <w:t>(a)</w:t>
      </w:r>
      <w:r w:rsidR="00C1708C" w:rsidRPr="00AD51FB">
        <w:rPr>
          <w:rFonts w:ascii="Times New Roman" w:hAnsi="Times New Roman"/>
          <w:color w:val="000000" w:themeColor="text1"/>
          <w:sz w:val="28"/>
          <w:szCs w:val="28"/>
        </w:rPr>
        <w:t xml:space="preserve"> wit</w:t>
      </w:r>
      <w:r w:rsidR="00FB26C4" w:rsidRPr="00AD51FB">
        <w:rPr>
          <w:rFonts w:ascii="Times New Roman" w:hAnsi="Times New Roman"/>
          <w:color w:val="000000" w:themeColor="text1"/>
          <w:sz w:val="28"/>
          <w:szCs w:val="28"/>
        </w:rPr>
        <w:t>h expedition and without notice, in order to be effective.</w:t>
      </w:r>
    </w:p>
    <w:p w14:paraId="0CB791CA" w14:textId="77777777" w:rsidR="00FB26C4" w:rsidRPr="00AD51FB" w:rsidRDefault="00FB26C4" w:rsidP="003A73A2">
      <w:pPr>
        <w:pStyle w:val="alevel2"/>
        <w:numPr>
          <w:ilvl w:val="0"/>
          <w:numId w:val="0"/>
        </w:numPr>
        <w:spacing w:after="0" w:line="360" w:lineRule="auto"/>
        <w:rPr>
          <w:rFonts w:ascii="Times New Roman" w:hAnsi="Times New Roman"/>
          <w:i/>
          <w:iCs/>
          <w:sz w:val="28"/>
          <w:szCs w:val="28"/>
        </w:rPr>
      </w:pPr>
    </w:p>
    <w:p w14:paraId="39B4AC47" w14:textId="22BC1723" w:rsidR="005A38C0" w:rsidRPr="00AD51FB" w:rsidRDefault="00CF10AD" w:rsidP="00CF10AD">
      <w:pPr>
        <w:pStyle w:val="alevel2"/>
        <w:numPr>
          <w:ilvl w:val="0"/>
          <w:numId w:val="0"/>
        </w:numPr>
        <w:spacing w:after="0" w:line="360" w:lineRule="auto"/>
        <w:ind w:right="-1"/>
        <w:rPr>
          <w:rFonts w:ascii="Times New Roman" w:hAnsi="Times New Roman"/>
          <w:i/>
          <w:iCs/>
          <w:sz w:val="28"/>
          <w:szCs w:val="28"/>
        </w:rPr>
      </w:pPr>
      <w:r w:rsidRPr="00AD51FB">
        <w:rPr>
          <w:rFonts w:ascii="Times New Roman" w:hAnsi="Times New Roman"/>
          <w:sz w:val="28"/>
          <w:szCs w:val="28"/>
        </w:rPr>
        <w:t>[44]</w:t>
      </w:r>
      <w:r w:rsidRPr="00AD51FB">
        <w:rPr>
          <w:rFonts w:ascii="Times New Roman" w:hAnsi="Times New Roman"/>
          <w:sz w:val="28"/>
          <w:szCs w:val="28"/>
        </w:rPr>
        <w:tab/>
      </w:r>
      <w:r w:rsidR="00C1708C" w:rsidRPr="00AD51FB">
        <w:rPr>
          <w:rFonts w:ascii="Times New Roman" w:hAnsi="Times New Roman"/>
          <w:color w:val="000000" w:themeColor="text1"/>
          <w:sz w:val="28"/>
          <w:szCs w:val="28"/>
        </w:rPr>
        <w:t xml:space="preserve">It is in the public interest for a medical scheme or </w:t>
      </w:r>
      <w:r w:rsidR="00160F0A" w:rsidRPr="00AD51FB">
        <w:rPr>
          <w:rFonts w:ascii="Times New Roman" w:hAnsi="Times New Roman"/>
          <w:color w:val="000000" w:themeColor="text1"/>
          <w:sz w:val="28"/>
          <w:szCs w:val="28"/>
        </w:rPr>
        <w:t>‘any other person’</w:t>
      </w:r>
      <w:r w:rsidR="00C1708C" w:rsidRPr="00AD51FB">
        <w:rPr>
          <w:rFonts w:ascii="Times New Roman" w:hAnsi="Times New Roman"/>
          <w:color w:val="000000" w:themeColor="text1"/>
          <w:sz w:val="28"/>
          <w:szCs w:val="28"/>
        </w:rPr>
        <w:t xml:space="preserve"> suspected of </w:t>
      </w:r>
      <w:r w:rsidR="001676DA" w:rsidRPr="00AD51FB">
        <w:rPr>
          <w:rFonts w:ascii="Times New Roman" w:hAnsi="Times New Roman"/>
          <w:color w:val="000000" w:themeColor="text1"/>
          <w:sz w:val="28"/>
          <w:szCs w:val="28"/>
        </w:rPr>
        <w:t>non-compliance with the A</w:t>
      </w:r>
      <w:r w:rsidR="00C1708C" w:rsidRPr="00AD51FB">
        <w:rPr>
          <w:rFonts w:ascii="Times New Roman" w:hAnsi="Times New Roman"/>
          <w:color w:val="000000" w:themeColor="text1"/>
          <w:sz w:val="28"/>
          <w:szCs w:val="28"/>
        </w:rPr>
        <w:t xml:space="preserve">ct </w:t>
      </w:r>
      <w:r w:rsidR="00FB26C4" w:rsidRPr="00AD51FB">
        <w:rPr>
          <w:rFonts w:ascii="Times New Roman" w:hAnsi="Times New Roman"/>
          <w:color w:val="000000" w:themeColor="text1"/>
          <w:sz w:val="28"/>
          <w:szCs w:val="28"/>
        </w:rPr>
        <w:t xml:space="preserve">or improper conduct </w:t>
      </w:r>
      <w:r w:rsidR="00C1708C" w:rsidRPr="00AD51FB">
        <w:rPr>
          <w:rFonts w:ascii="Times New Roman" w:hAnsi="Times New Roman"/>
          <w:color w:val="000000" w:themeColor="text1"/>
          <w:sz w:val="28"/>
          <w:szCs w:val="28"/>
        </w:rPr>
        <w:t>not to be provided with the opportunity to hide or destroy evidence. Without the element of surprise</w:t>
      </w:r>
      <w:r w:rsidR="009D736D" w:rsidRPr="00AD51FB">
        <w:rPr>
          <w:rFonts w:ascii="Times New Roman" w:hAnsi="Times New Roman"/>
          <w:color w:val="000000" w:themeColor="text1"/>
          <w:sz w:val="28"/>
          <w:szCs w:val="28"/>
        </w:rPr>
        <w:t>,</w:t>
      </w:r>
      <w:r w:rsidR="00C1708C" w:rsidRPr="00AD51FB">
        <w:rPr>
          <w:rFonts w:ascii="Times New Roman" w:hAnsi="Times New Roman"/>
          <w:color w:val="000000" w:themeColor="text1"/>
          <w:sz w:val="28"/>
          <w:szCs w:val="28"/>
        </w:rPr>
        <w:t xml:space="preserve"> the effectiveness would be lost. </w:t>
      </w:r>
      <w:r w:rsidR="001676DA" w:rsidRPr="00AD51FB">
        <w:rPr>
          <w:rFonts w:ascii="Times New Roman" w:hAnsi="Times New Roman"/>
          <w:color w:val="000000" w:themeColor="text1"/>
          <w:sz w:val="28"/>
          <w:szCs w:val="28"/>
        </w:rPr>
        <w:t>T</w:t>
      </w:r>
      <w:r w:rsidR="00C1708C" w:rsidRPr="00AD51FB">
        <w:rPr>
          <w:rFonts w:ascii="Times New Roman" w:hAnsi="Times New Roman"/>
          <w:color w:val="000000" w:themeColor="text1"/>
          <w:sz w:val="28"/>
          <w:szCs w:val="28"/>
        </w:rPr>
        <w:t xml:space="preserve">he right to </w:t>
      </w:r>
      <w:r w:rsidR="00C1708C" w:rsidRPr="00AD51FB">
        <w:rPr>
          <w:rFonts w:ascii="Times New Roman" w:hAnsi="Times New Roman"/>
          <w:i/>
          <w:color w:val="000000" w:themeColor="text1"/>
          <w:sz w:val="28"/>
          <w:szCs w:val="28"/>
        </w:rPr>
        <w:t>audi</w:t>
      </w:r>
      <w:r w:rsidR="00C1708C" w:rsidRPr="00AD51FB">
        <w:rPr>
          <w:rFonts w:ascii="Times New Roman" w:hAnsi="Times New Roman"/>
          <w:color w:val="000000" w:themeColor="text1"/>
          <w:sz w:val="28"/>
          <w:szCs w:val="28"/>
        </w:rPr>
        <w:t xml:space="preserve"> </w:t>
      </w:r>
      <w:r w:rsidR="001676DA" w:rsidRPr="00AD51FB">
        <w:rPr>
          <w:rFonts w:ascii="Times New Roman" w:hAnsi="Times New Roman"/>
          <w:color w:val="000000" w:themeColor="text1"/>
          <w:sz w:val="28"/>
          <w:szCs w:val="28"/>
        </w:rPr>
        <w:t xml:space="preserve">is </w:t>
      </w:r>
      <w:r w:rsidR="00FB26C4" w:rsidRPr="00AD51FB">
        <w:rPr>
          <w:rFonts w:ascii="Times New Roman" w:hAnsi="Times New Roman"/>
          <w:color w:val="000000" w:themeColor="text1"/>
          <w:sz w:val="28"/>
          <w:szCs w:val="28"/>
        </w:rPr>
        <w:t xml:space="preserve">properly provided for </w:t>
      </w:r>
      <w:r w:rsidR="00C1708C" w:rsidRPr="00AD51FB">
        <w:rPr>
          <w:rFonts w:ascii="Times New Roman" w:hAnsi="Times New Roman"/>
          <w:color w:val="000000" w:themeColor="text1"/>
          <w:sz w:val="28"/>
          <w:szCs w:val="28"/>
        </w:rPr>
        <w:t>by</w:t>
      </w:r>
      <w:r w:rsidR="001676DA" w:rsidRPr="00AD51FB">
        <w:rPr>
          <w:rFonts w:ascii="Times New Roman" w:hAnsi="Times New Roman"/>
          <w:color w:val="000000" w:themeColor="text1"/>
          <w:sz w:val="28"/>
          <w:szCs w:val="28"/>
        </w:rPr>
        <w:t xml:space="preserve"> a response to the draft report, which Optivest chose not to deal with.</w:t>
      </w:r>
      <w:r w:rsidR="00FB26C4" w:rsidRPr="00AD51FB">
        <w:rPr>
          <w:rFonts w:ascii="Times New Roman" w:hAnsi="Times New Roman"/>
          <w:color w:val="000000" w:themeColor="text1"/>
          <w:sz w:val="28"/>
          <w:szCs w:val="28"/>
        </w:rPr>
        <w:t xml:space="preserve"> </w:t>
      </w:r>
      <w:r w:rsidR="005A38C0" w:rsidRPr="00AD51FB">
        <w:rPr>
          <w:rFonts w:ascii="Times New Roman" w:hAnsi="Times New Roman"/>
          <w:color w:val="000000" w:themeColor="text1"/>
          <w:sz w:val="28"/>
          <w:szCs w:val="28"/>
        </w:rPr>
        <w:t xml:space="preserve">Optivest had the opportunity to exercise its rights provided for in s 47, after it received the draft report, which sets out the details of the complaint. It chose not to do so. </w:t>
      </w:r>
    </w:p>
    <w:p w14:paraId="513FD4F8" w14:textId="77777777" w:rsidR="00C46A64" w:rsidRPr="00AD51FB" w:rsidRDefault="00C46A64" w:rsidP="003A73A2">
      <w:pPr>
        <w:pStyle w:val="alevel2"/>
        <w:numPr>
          <w:ilvl w:val="0"/>
          <w:numId w:val="0"/>
        </w:numPr>
        <w:spacing w:after="0" w:line="360" w:lineRule="auto"/>
        <w:rPr>
          <w:rFonts w:ascii="Times New Roman" w:hAnsi="Times New Roman"/>
          <w:b/>
          <w:color w:val="000000" w:themeColor="text1"/>
          <w:sz w:val="28"/>
          <w:szCs w:val="28"/>
        </w:rPr>
      </w:pPr>
    </w:p>
    <w:p w14:paraId="3A4FCFDE" w14:textId="6301A5BB" w:rsidR="00361AFB" w:rsidRPr="00AD51FB" w:rsidRDefault="00361AFB" w:rsidP="003A73A2">
      <w:pPr>
        <w:pStyle w:val="alevel2"/>
        <w:numPr>
          <w:ilvl w:val="0"/>
          <w:numId w:val="0"/>
        </w:numPr>
        <w:spacing w:after="0" w:line="360" w:lineRule="auto"/>
        <w:rPr>
          <w:rFonts w:ascii="Times New Roman" w:hAnsi="Times New Roman"/>
          <w:b/>
          <w:i/>
          <w:iCs/>
          <w:sz w:val="28"/>
          <w:szCs w:val="28"/>
        </w:rPr>
      </w:pPr>
      <w:r w:rsidRPr="00AD51FB">
        <w:rPr>
          <w:rFonts w:ascii="Times New Roman" w:hAnsi="Times New Roman"/>
          <w:b/>
          <w:color w:val="000000" w:themeColor="text1"/>
          <w:sz w:val="28"/>
          <w:szCs w:val="28"/>
        </w:rPr>
        <w:t>The rationality challenge</w:t>
      </w:r>
    </w:p>
    <w:p w14:paraId="6A6C5339" w14:textId="5F037569" w:rsidR="007A1729" w:rsidRPr="00CF10AD" w:rsidRDefault="00CF10AD" w:rsidP="00CF10AD">
      <w:pPr>
        <w:spacing w:before="120" w:after="240" w:line="360" w:lineRule="auto"/>
        <w:ind w:right="-1"/>
        <w:jc w:val="both"/>
        <w:rPr>
          <w:color w:val="000000" w:themeColor="text1"/>
          <w:sz w:val="28"/>
          <w:szCs w:val="28"/>
          <w:lang w:val="en-ZA"/>
        </w:rPr>
      </w:pPr>
      <w:r w:rsidRPr="00AD51FB">
        <w:rPr>
          <w:sz w:val="28"/>
          <w:szCs w:val="28"/>
          <w:lang w:val="en-ZA"/>
        </w:rPr>
        <w:t>[45]</w:t>
      </w:r>
      <w:r w:rsidRPr="00AD51FB">
        <w:rPr>
          <w:sz w:val="28"/>
          <w:szCs w:val="28"/>
          <w:lang w:val="en-ZA"/>
        </w:rPr>
        <w:tab/>
      </w:r>
      <w:r w:rsidR="00FB26C4" w:rsidRPr="00CF10AD">
        <w:rPr>
          <w:color w:val="000000" w:themeColor="text1"/>
          <w:sz w:val="28"/>
          <w:szCs w:val="28"/>
        </w:rPr>
        <w:t>The</w:t>
      </w:r>
      <w:r w:rsidR="00C1708C" w:rsidRPr="00CF10AD">
        <w:rPr>
          <w:color w:val="000000" w:themeColor="text1"/>
          <w:sz w:val="28"/>
          <w:szCs w:val="28"/>
        </w:rPr>
        <w:t xml:space="preserve"> purpose of the </w:t>
      </w:r>
      <w:r w:rsidR="00FB26C4" w:rsidRPr="00CF10AD">
        <w:rPr>
          <w:color w:val="000000" w:themeColor="text1"/>
          <w:sz w:val="28"/>
          <w:szCs w:val="28"/>
        </w:rPr>
        <w:t>power contained in s 44(4) of t</w:t>
      </w:r>
      <w:r w:rsidR="007A1729" w:rsidRPr="00CF10AD">
        <w:rPr>
          <w:color w:val="000000" w:themeColor="text1"/>
          <w:sz w:val="28"/>
          <w:szCs w:val="28"/>
        </w:rPr>
        <w:t xml:space="preserve">he Act, as </w:t>
      </w:r>
      <w:r w:rsidR="00FB26C4" w:rsidRPr="00CF10AD">
        <w:rPr>
          <w:color w:val="000000" w:themeColor="text1"/>
          <w:sz w:val="28"/>
          <w:szCs w:val="28"/>
        </w:rPr>
        <w:t>the respondents</w:t>
      </w:r>
      <w:r w:rsidR="007A1729" w:rsidRPr="00CF10AD">
        <w:rPr>
          <w:color w:val="000000" w:themeColor="text1"/>
          <w:sz w:val="28"/>
          <w:szCs w:val="28"/>
        </w:rPr>
        <w:t xml:space="preserve"> correctly</w:t>
      </w:r>
      <w:r w:rsidR="00FB26C4" w:rsidRPr="00CF10AD">
        <w:rPr>
          <w:color w:val="000000" w:themeColor="text1"/>
          <w:sz w:val="28"/>
          <w:szCs w:val="28"/>
        </w:rPr>
        <w:t xml:space="preserve"> submit, </w:t>
      </w:r>
      <w:r w:rsidR="007A1729" w:rsidRPr="00CF10AD">
        <w:rPr>
          <w:color w:val="000000" w:themeColor="text1"/>
          <w:sz w:val="28"/>
          <w:szCs w:val="28"/>
        </w:rPr>
        <w:t xml:space="preserve">is </w:t>
      </w:r>
      <w:r w:rsidR="00C1708C" w:rsidRPr="00CF10AD">
        <w:rPr>
          <w:color w:val="000000" w:themeColor="text1"/>
          <w:sz w:val="28"/>
          <w:szCs w:val="28"/>
        </w:rPr>
        <w:t xml:space="preserve">rationally connected to achieving the purpose of </w:t>
      </w:r>
      <w:r w:rsidR="009D3B7C" w:rsidRPr="00CF10AD">
        <w:rPr>
          <w:color w:val="000000" w:themeColor="text1"/>
          <w:sz w:val="28"/>
          <w:szCs w:val="28"/>
        </w:rPr>
        <w:t>the Act and the rationale behind the power provided for in the sub-section.</w:t>
      </w:r>
      <w:r w:rsidR="00C1708C" w:rsidRPr="00CF10AD">
        <w:rPr>
          <w:sz w:val="28"/>
          <w:szCs w:val="28"/>
          <w:lang w:val="en-ZA" w:eastAsia="en-ZA"/>
        </w:rPr>
        <w:t xml:space="preserve"> </w:t>
      </w:r>
      <w:r w:rsidR="007A1729" w:rsidRPr="00CF10AD">
        <w:rPr>
          <w:color w:val="000000" w:themeColor="text1"/>
          <w:sz w:val="28"/>
          <w:szCs w:val="28"/>
          <w:lang w:val="en-ZA"/>
        </w:rPr>
        <w:t>The</w:t>
      </w:r>
      <w:r w:rsidR="00D238ED" w:rsidRPr="00CF10AD">
        <w:rPr>
          <w:color w:val="000000" w:themeColor="text1"/>
          <w:sz w:val="28"/>
          <w:szCs w:val="28"/>
          <w:lang w:val="en-ZA"/>
        </w:rPr>
        <w:t xml:space="preserve"> Council is </w:t>
      </w:r>
      <w:r w:rsidR="007A1729" w:rsidRPr="00CF10AD">
        <w:rPr>
          <w:color w:val="000000" w:themeColor="text1"/>
          <w:sz w:val="28"/>
          <w:szCs w:val="28"/>
          <w:lang w:val="en-ZA"/>
        </w:rPr>
        <w:t xml:space="preserve">empowered </w:t>
      </w:r>
      <w:r w:rsidR="00D238ED" w:rsidRPr="00CF10AD">
        <w:rPr>
          <w:color w:val="000000" w:themeColor="text1"/>
          <w:sz w:val="28"/>
          <w:szCs w:val="28"/>
          <w:lang w:val="en-ZA"/>
        </w:rPr>
        <w:t xml:space="preserve">to monitor and investigate non-compliance with the Act </w:t>
      </w:r>
      <w:r w:rsidR="00D238ED" w:rsidRPr="00CF10AD">
        <w:rPr>
          <w:color w:val="000000" w:themeColor="text1"/>
          <w:sz w:val="28"/>
          <w:szCs w:val="28"/>
          <w:lang w:val="en-ZA"/>
        </w:rPr>
        <w:lastRenderedPageBreak/>
        <w:t xml:space="preserve">in order </w:t>
      </w:r>
      <w:r w:rsidR="00D238ED" w:rsidRPr="00CF10AD">
        <w:rPr>
          <w:sz w:val="28"/>
          <w:szCs w:val="28"/>
        </w:rPr>
        <w:t xml:space="preserve">to protect the interests of beneficiaries. </w:t>
      </w:r>
      <w:r w:rsidR="007A1729" w:rsidRPr="00CF10AD">
        <w:rPr>
          <w:sz w:val="28"/>
          <w:szCs w:val="28"/>
        </w:rPr>
        <w:t>The Council is then empowered to take any appropriate steps which it deems necessary or expedient to perform its functions in accordance with the provisions of the Act. The power in terms of s 44(4) of the Act were entrusted to it to achieve such purpose.</w:t>
      </w:r>
    </w:p>
    <w:p w14:paraId="3FC890EF" w14:textId="77777777" w:rsidR="007A1729" w:rsidRPr="00AD51FB" w:rsidRDefault="007A1729" w:rsidP="007A1729">
      <w:pPr>
        <w:pStyle w:val="ListParagraph"/>
        <w:spacing w:after="240" w:line="360" w:lineRule="auto"/>
        <w:ind w:left="0" w:right="515"/>
        <w:jc w:val="both"/>
        <w:rPr>
          <w:color w:val="000000" w:themeColor="text1"/>
          <w:sz w:val="28"/>
          <w:szCs w:val="28"/>
          <w:lang w:val="en-ZA"/>
        </w:rPr>
      </w:pPr>
    </w:p>
    <w:p w14:paraId="7E0581B7" w14:textId="1DD98649" w:rsidR="009D3B7C" w:rsidRPr="00CF10AD" w:rsidRDefault="00CF10AD" w:rsidP="00CF10AD">
      <w:pPr>
        <w:spacing w:after="240" w:line="360" w:lineRule="auto"/>
        <w:ind w:right="-1"/>
        <w:jc w:val="both"/>
        <w:rPr>
          <w:color w:val="000000" w:themeColor="text1"/>
          <w:sz w:val="28"/>
          <w:szCs w:val="28"/>
          <w:lang w:val="en-ZA"/>
        </w:rPr>
      </w:pPr>
      <w:r w:rsidRPr="00AD51FB">
        <w:rPr>
          <w:sz w:val="28"/>
          <w:szCs w:val="28"/>
          <w:lang w:val="en-ZA"/>
        </w:rPr>
        <w:t>[46]</w:t>
      </w:r>
      <w:r w:rsidRPr="00AD51FB">
        <w:rPr>
          <w:sz w:val="28"/>
          <w:szCs w:val="28"/>
          <w:lang w:val="en-ZA"/>
        </w:rPr>
        <w:tab/>
      </w:r>
      <w:r w:rsidR="00C1708C" w:rsidRPr="00CF10AD">
        <w:rPr>
          <w:color w:val="000000" w:themeColor="text1"/>
          <w:sz w:val="28"/>
          <w:szCs w:val="28"/>
          <w:lang w:val="en-ZA"/>
        </w:rPr>
        <w:t xml:space="preserve">Open Water’s report was </w:t>
      </w:r>
      <w:r w:rsidR="009D3B7C" w:rsidRPr="00CF10AD">
        <w:rPr>
          <w:color w:val="000000" w:themeColor="text1"/>
          <w:sz w:val="28"/>
          <w:szCs w:val="28"/>
          <w:lang w:val="en-ZA"/>
        </w:rPr>
        <w:t>based upon</w:t>
      </w:r>
      <w:r w:rsidR="00C1708C" w:rsidRPr="00CF10AD">
        <w:rPr>
          <w:color w:val="000000" w:themeColor="text1"/>
          <w:sz w:val="28"/>
          <w:szCs w:val="28"/>
          <w:lang w:val="en-ZA"/>
        </w:rPr>
        <w:t xml:space="preserve"> an examination of the following information and documents: (</w:t>
      </w:r>
      <w:r w:rsidR="00122FE9" w:rsidRPr="00CF10AD">
        <w:rPr>
          <w:color w:val="000000" w:themeColor="text1"/>
          <w:sz w:val="28"/>
          <w:szCs w:val="28"/>
          <w:lang w:val="en-ZA"/>
        </w:rPr>
        <w:t>a</w:t>
      </w:r>
      <w:r w:rsidR="00C1708C" w:rsidRPr="00CF10AD">
        <w:rPr>
          <w:color w:val="000000" w:themeColor="text1"/>
          <w:sz w:val="28"/>
          <w:szCs w:val="28"/>
          <w:lang w:val="en-ZA"/>
        </w:rPr>
        <w:t>) documentation describing Optivest’s business processes; (</w:t>
      </w:r>
      <w:r w:rsidR="00122FE9" w:rsidRPr="00CF10AD">
        <w:rPr>
          <w:color w:val="000000" w:themeColor="text1"/>
          <w:sz w:val="28"/>
          <w:szCs w:val="28"/>
          <w:lang w:val="en-ZA"/>
        </w:rPr>
        <w:t>b</w:t>
      </w:r>
      <w:r w:rsidR="00C1708C" w:rsidRPr="00CF10AD">
        <w:rPr>
          <w:color w:val="000000" w:themeColor="text1"/>
          <w:sz w:val="28"/>
          <w:szCs w:val="28"/>
          <w:lang w:val="en-ZA"/>
        </w:rPr>
        <w:t>) Optivest’s marketing and business framework; (</w:t>
      </w:r>
      <w:r w:rsidR="00122FE9" w:rsidRPr="00CF10AD">
        <w:rPr>
          <w:color w:val="000000" w:themeColor="text1"/>
          <w:sz w:val="28"/>
          <w:szCs w:val="28"/>
          <w:lang w:val="en-ZA"/>
        </w:rPr>
        <w:t>c</w:t>
      </w:r>
      <w:r w:rsidR="00C1708C" w:rsidRPr="00CF10AD">
        <w:rPr>
          <w:color w:val="000000" w:themeColor="text1"/>
          <w:sz w:val="28"/>
          <w:szCs w:val="28"/>
          <w:lang w:val="en-ZA"/>
        </w:rPr>
        <w:t>) the operation of the Optivest’s call centre; (</w:t>
      </w:r>
      <w:r w:rsidR="00122FE9" w:rsidRPr="00CF10AD">
        <w:rPr>
          <w:color w:val="000000" w:themeColor="text1"/>
          <w:sz w:val="28"/>
          <w:szCs w:val="28"/>
          <w:lang w:val="en-ZA"/>
        </w:rPr>
        <w:t>d</w:t>
      </w:r>
      <w:r w:rsidR="00C1708C" w:rsidRPr="00CF10AD">
        <w:rPr>
          <w:color w:val="000000" w:themeColor="text1"/>
          <w:sz w:val="28"/>
          <w:szCs w:val="28"/>
          <w:lang w:val="en-ZA"/>
        </w:rPr>
        <w:t>) documentation in respect of refunded service fees; (</w:t>
      </w:r>
      <w:r w:rsidR="00122FE9" w:rsidRPr="00CF10AD">
        <w:rPr>
          <w:color w:val="000000" w:themeColor="text1"/>
          <w:sz w:val="28"/>
          <w:szCs w:val="28"/>
          <w:lang w:val="en-ZA"/>
        </w:rPr>
        <w:t>e</w:t>
      </w:r>
      <w:r w:rsidR="00C1708C" w:rsidRPr="00CF10AD">
        <w:rPr>
          <w:color w:val="000000" w:themeColor="text1"/>
          <w:sz w:val="28"/>
          <w:szCs w:val="28"/>
          <w:lang w:val="en-ZA"/>
        </w:rPr>
        <w:t>) statistics on the collection, rejection and refunding of service fees; and (</w:t>
      </w:r>
      <w:r w:rsidR="00122FE9" w:rsidRPr="00CF10AD">
        <w:rPr>
          <w:color w:val="000000" w:themeColor="text1"/>
          <w:sz w:val="28"/>
          <w:szCs w:val="28"/>
          <w:lang w:val="en-ZA"/>
        </w:rPr>
        <w:t>f</w:t>
      </w:r>
      <w:r w:rsidR="00C1708C" w:rsidRPr="00CF10AD">
        <w:rPr>
          <w:color w:val="000000" w:themeColor="text1"/>
          <w:sz w:val="28"/>
          <w:szCs w:val="28"/>
          <w:lang w:val="en-ZA"/>
        </w:rPr>
        <w:t xml:space="preserve">) data in respect of service fees raised </w:t>
      </w:r>
      <w:r w:rsidR="009D3B7C" w:rsidRPr="00CF10AD">
        <w:rPr>
          <w:color w:val="000000" w:themeColor="text1"/>
          <w:sz w:val="28"/>
          <w:szCs w:val="28"/>
          <w:lang w:val="en-ZA"/>
        </w:rPr>
        <w:t xml:space="preserve">for </w:t>
      </w:r>
      <w:r w:rsidR="00C1708C" w:rsidRPr="00CF10AD">
        <w:rPr>
          <w:color w:val="000000" w:themeColor="text1"/>
          <w:sz w:val="28"/>
          <w:szCs w:val="28"/>
          <w:lang w:val="en-ZA"/>
        </w:rPr>
        <w:t>Optivest’s clients.</w:t>
      </w:r>
      <w:r w:rsidR="00C1708C" w:rsidRPr="00CF10AD">
        <w:rPr>
          <w:sz w:val="28"/>
          <w:szCs w:val="28"/>
        </w:rPr>
        <w:t xml:space="preserve"> </w:t>
      </w:r>
      <w:r w:rsidR="00C1708C" w:rsidRPr="00CF10AD">
        <w:rPr>
          <w:color w:val="000000" w:themeColor="text1"/>
          <w:sz w:val="28"/>
          <w:szCs w:val="28"/>
          <w:lang w:val="en-ZA"/>
        </w:rPr>
        <w:t xml:space="preserve">The further documentation obtained from Optivest (including publicly available information) </w:t>
      </w:r>
      <w:r w:rsidR="009D3B7C" w:rsidRPr="00CF10AD">
        <w:rPr>
          <w:color w:val="000000" w:themeColor="text1"/>
          <w:sz w:val="28"/>
          <w:szCs w:val="28"/>
          <w:lang w:val="en-ZA"/>
        </w:rPr>
        <w:t>was also referred to in the</w:t>
      </w:r>
      <w:r w:rsidR="00C1708C" w:rsidRPr="00CF10AD">
        <w:rPr>
          <w:color w:val="000000" w:themeColor="text1"/>
          <w:sz w:val="28"/>
          <w:szCs w:val="28"/>
          <w:lang w:val="en-ZA"/>
        </w:rPr>
        <w:t xml:space="preserve"> draft report. Optivest refused to provide Open Waters with </w:t>
      </w:r>
      <w:r w:rsidR="00BB533D" w:rsidRPr="00CF10AD">
        <w:rPr>
          <w:color w:val="000000" w:themeColor="text1"/>
          <w:sz w:val="28"/>
          <w:szCs w:val="28"/>
          <w:lang w:val="en-ZA"/>
        </w:rPr>
        <w:t>any further documentation.</w:t>
      </w:r>
      <w:r w:rsidR="002A0A06" w:rsidRPr="00CF10AD">
        <w:rPr>
          <w:color w:val="000000" w:themeColor="text1"/>
          <w:sz w:val="28"/>
          <w:szCs w:val="28"/>
          <w:lang w:val="en-ZA"/>
        </w:rPr>
        <w:t xml:space="preserve"> </w:t>
      </w:r>
    </w:p>
    <w:p w14:paraId="731AA857" w14:textId="77777777" w:rsidR="009D3B7C" w:rsidRPr="00AD51FB" w:rsidRDefault="009D3B7C" w:rsidP="003A73A2">
      <w:pPr>
        <w:pStyle w:val="ListParagraph"/>
        <w:spacing w:before="120" w:after="240" w:line="360" w:lineRule="auto"/>
        <w:ind w:left="0" w:right="515"/>
        <w:jc w:val="both"/>
        <w:rPr>
          <w:color w:val="000000" w:themeColor="text1"/>
          <w:sz w:val="28"/>
          <w:szCs w:val="28"/>
          <w:lang w:val="en-ZA"/>
        </w:rPr>
      </w:pPr>
    </w:p>
    <w:p w14:paraId="1BC7E3B1" w14:textId="5640D000" w:rsidR="009D3B7C" w:rsidRPr="00CF10AD" w:rsidRDefault="00CF10AD" w:rsidP="00CF10AD">
      <w:pPr>
        <w:spacing w:before="120" w:after="240" w:line="360" w:lineRule="auto"/>
        <w:ind w:right="-1"/>
        <w:jc w:val="both"/>
        <w:rPr>
          <w:color w:val="000000" w:themeColor="text1"/>
          <w:sz w:val="28"/>
          <w:szCs w:val="28"/>
          <w:lang w:val="en-ZA"/>
        </w:rPr>
      </w:pPr>
      <w:r w:rsidRPr="00AD51FB">
        <w:rPr>
          <w:sz w:val="28"/>
          <w:szCs w:val="28"/>
          <w:lang w:val="en-ZA"/>
        </w:rPr>
        <w:t>[47]</w:t>
      </w:r>
      <w:r w:rsidRPr="00AD51FB">
        <w:rPr>
          <w:sz w:val="28"/>
          <w:szCs w:val="28"/>
          <w:lang w:val="en-ZA"/>
        </w:rPr>
        <w:tab/>
      </w:r>
      <w:r w:rsidR="001676DA" w:rsidRPr="00CF10AD">
        <w:rPr>
          <w:color w:val="000000" w:themeColor="text1"/>
          <w:sz w:val="28"/>
          <w:szCs w:val="28"/>
          <w:lang w:val="en-ZA"/>
        </w:rPr>
        <w:t>B</w:t>
      </w:r>
      <w:r w:rsidR="00C1708C" w:rsidRPr="00CF10AD">
        <w:rPr>
          <w:color w:val="000000" w:themeColor="text1"/>
          <w:sz w:val="28"/>
          <w:szCs w:val="28"/>
          <w:lang w:val="en-ZA"/>
        </w:rPr>
        <w:t xml:space="preserve">ased </w:t>
      </w:r>
      <w:r w:rsidR="009D3B7C" w:rsidRPr="00CF10AD">
        <w:rPr>
          <w:color w:val="000000" w:themeColor="text1"/>
          <w:sz w:val="28"/>
          <w:szCs w:val="28"/>
          <w:lang w:val="en-ZA"/>
        </w:rPr>
        <w:t>up</w:t>
      </w:r>
      <w:r w:rsidR="00C1708C" w:rsidRPr="00CF10AD">
        <w:rPr>
          <w:color w:val="000000" w:themeColor="text1"/>
          <w:sz w:val="28"/>
          <w:szCs w:val="28"/>
          <w:lang w:val="en-ZA"/>
        </w:rPr>
        <w:t xml:space="preserve">on </w:t>
      </w:r>
      <w:r w:rsidR="009D3B7C" w:rsidRPr="00CF10AD">
        <w:rPr>
          <w:color w:val="000000" w:themeColor="text1"/>
          <w:sz w:val="28"/>
          <w:szCs w:val="28"/>
          <w:lang w:val="en-ZA"/>
        </w:rPr>
        <w:t xml:space="preserve">the limited </w:t>
      </w:r>
      <w:r w:rsidR="00C1708C" w:rsidRPr="00CF10AD">
        <w:rPr>
          <w:color w:val="000000" w:themeColor="text1"/>
          <w:sz w:val="28"/>
          <w:szCs w:val="28"/>
          <w:lang w:val="en-ZA"/>
        </w:rPr>
        <w:t xml:space="preserve">information available to it, Open Water </w:t>
      </w:r>
      <w:r w:rsidR="009D3B7C" w:rsidRPr="00CF10AD">
        <w:rPr>
          <w:color w:val="000000" w:themeColor="text1"/>
          <w:sz w:val="28"/>
          <w:szCs w:val="28"/>
          <w:lang w:val="en-ZA"/>
        </w:rPr>
        <w:t>was able to make certain preliminary and critical</w:t>
      </w:r>
      <w:r w:rsidR="00C1708C" w:rsidRPr="00CF10AD">
        <w:rPr>
          <w:color w:val="000000" w:themeColor="text1"/>
          <w:sz w:val="28"/>
          <w:szCs w:val="28"/>
          <w:lang w:val="en-ZA"/>
        </w:rPr>
        <w:t xml:space="preserve"> findings in the </w:t>
      </w:r>
      <w:r w:rsidR="009D3B7C" w:rsidRPr="00CF10AD">
        <w:rPr>
          <w:color w:val="000000" w:themeColor="text1"/>
          <w:sz w:val="28"/>
          <w:szCs w:val="28"/>
          <w:lang w:val="en-ZA"/>
        </w:rPr>
        <w:t xml:space="preserve">draft report based upon the fact that </w:t>
      </w:r>
      <w:r w:rsidR="00C1708C" w:rsidRPr="00CF10AD">
        <w:rPr>
          <w:color w:val="000000" w:themeColor="text1"/>
          <w:sz w:val="28"/>
          <w:szCs w:val="28"/>
          <w:lang w:val="en-ZA"/>
        </w:rPr>
        <w:t>Optivest</w:t>
      </w:r>
      <w:r w:rsidR="009D3B7C" w:rsidRPr="00CF10AD">
        <w:rPr>
          <w:color w:val="000000" w:themeColor="text1"/>
          <w:sz w:val="28"/>
          <w:szCs w:val="28"/>
          <w:lang w:val="en-ZA"/>
        </w:rPr>
        <w:t>, in charging</w:t>
      </w:r>
      <w:r w:rsidR="00C1708C" w:rsidRPr="00CF10AD">
        <w:rPr>
          <w:color w:val="000000" w:themeColor="text1"/>
          <w:sz w:val="28"/>
          <w:szCs w:val="28"/>
          <w:lang w:val="en-ZA"/>
        </w:rPr>
        <w:t xml:space="preserve"> its clients a service fee, </w:t>
      </w:r>
      <w:r w:rsidR="009D3B7C" w:rsidRPr="00CF10AD">
        <w:rPr>
          <w:color w:val="000000" w:themeColor="text1"/>
          <w:sz w:val="28"/>
          <w:szCs w:val="28"/>
          <w:lang w:val="en-ZA"/>
        </w:rPr>
        <w:t>contravened the Act</w:t>
      </w:r>
      <w:r w:rsidR="00C1708C" w:rsidRPr="00CF10AD">
        <w:rPr>
          <w:color w:val="000000" w:themeColor="text1"/>
          <w:sz w:val="28"/>
          <w:szCs w:val="28"/>
          <w:lang w:val="en-ZA"/>
        </w:rPr>
        <w:t xml:space="preserve"> </w:t>
      </w:r>
      <w:r w:rsidR="009D3B7C" w:rsidRPr="00CF10AD">
        <w:rPr>
          <w:color w:val="000000" w:themeColor="text1"/>
          <w:sz w:val="28"/>
          <w:szCs w:val="28"/>
          <w:lang w:val="en-ZA"/>
        </w:rPr>
        <w:t xml:space="preserve">and </w:t>
      </w:r>
      <w:r w:rsidR="007A1729" w:rsidRPr="00CF10AD">
        <w:rPr>
          <w:color w:val="000000" w:themeColor="text1"/>
          <w:sz w:val="28"/>
          <w:szCs w:val="28"/>
          <w:lang w:val="en-ZA"/>
        </w:rPr>
        <w:t>r</w:t>
      </w:r>
      <w:r w:rsidR="00C1708C" w:rsidRPr="00CF10AD">
        <w:rPr>
          <w:color w:val="000000" w:themeColor="text1"/>
          <w:sz w:val="28"/>
          <w:szCs w:val="28"/>
          <w:lang w:val="en-ZA"/>
        </w:rPr>
        <w:t xml:space="preserve">egulation 28 </w:t>
      </w:r>
      <w:r w:rsidR="009D3B7C" w:rsidRPr="00CF10AD">
        <w:rPr>
          <w:color w:val="000000" w:themeColor="text1"/>
          <w:sz w:val="28"/>
          <w:szCs w:val="28"/>
          <w:lang w:val="en-ZA"/>
        </w:rPr>
        <w:t>in that</w:t>
      </w:r>
      <w:r w:rsidR="00C1708C" w:rsidRPr="00CF10AD">
        <w:rPr>
          <w:color w:val="000000" w:themeColor="text1"/>
          <w:sz w:val="28"/>
          <w:szCs w:val="28"/>
          <w:lang w:val="en-ZA"/>
        </w:rPr>
        <w:t>:</w:t>
      </w:r>
    </w:p>
    <w:p w14:paraId="31414655" w14:textId="4567C811" w:rsidR="00C1708C" w:rsidRPr="00CF10AD" w:rsidRDefault="00CF10AD" w:rsidP="00CF10AD">
      <w:pPr>
        <w:tabs>
          <w:tab w:val="left" w:pos="426"/>
          <w:tab w:val="left" w:pos="709"/>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(a)</w:t>
      </w:r>
      <w:r w:rsidRPr="00AD51FB">
        <w:rPr>
          <w:color w:val="000000" w:themeColor="text1"/>
          <w:sz w:val="28"/>
          <w:szCs w:val="28"/>
          <w:lang w:val="en-ZA"/>
        </w:rPr>
        <w:tab/>
      </w:r>
      <w:r w:rsidR="00160F0A" w:rsidRPr="00CF10AD">
        <w:rPr>
          <w:color w:val="000000" w:themeColor="text1"/>
          <w:sz w:val="28"/>
          <w:szCs w:val="28"/>
          <w:lang w:val="en-ZA"/>
        </w:rPr>
        <w:t xml:space="preserve">Open Water </w:t>
      </w:r>
      <w:r w:rsidR="00C1708C" w:rsidRPr="00CF10AD">
        <w:rPr>
          <w:color w:val="000000" w:themeColor="text1"/>
          <w:sz w:val="28"/>
          <w:szCs w:val="28"/>
          <w:lang w:val="en-ZA"/>
        </w:rPr>
        <w:t>found no agreement setting out the terms of the service fe</w:t>
      </w:r>
      <w:r w:rsidR="003F7EA0" w:rsidRPr="00CF10AD">
        <w:rPr>
          <w:color w:val="000000" w:themeColor="text1"/>
          <w:sz w:val="28"/>
          <w:szCs w:val="28"/>
          <w:lang w:val="en-ZA"/>
        </w:rPr>
        <w:t>e agreement between the parties;</w:t>
      </w:r>
    </w:p>
    <w:p w14:paraId="3033FCA1" w14:textId="0D597CC5"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(b)</w:t>
      </w:r>
      <w:r w:rsidRPr="00AD51FB">
        <w:rPr>
          <w:color w:val="000000" w:themeColor="text1"/>
          <w:sz w:val="28"/>
          <w:szCs w:val="28"/>
          <w:lang w:val="en-ZA"/>
        </w:rPr>
        <w:tab/>
      </w:r>
      <w:r w:rsidR="003F7EA0" w:rsidRPr="00CF10AD">
        <w:rPr>
          <w:color w:val="000000" w:themeColor="text1"/>
          <w:sz w:val="28"/>
          <w:szCs w:val="28"/>
          <w:lang w:val="en-ZA"/>
        </w:rPr>
        <w:t>c</w:t>
      </w:r>
      <w:r w:rsidR="00C1708C" w:rsidRPr="00CF10AD">
        <w:rPr>
          <w:color w:val="000000" w:themeColor="text1"/>
          <w:sz w:val="28"/>
          <w:szCs w:val="28"/>
          <w:lang w:val="en-ZA"/>
        </w:rPr>
        <w:t>all centre staff did not explicitly explain the purpose of the serv</w:t>
      </w:r>
      <w:r w:rsidR="003F7EA0" w:rsidRPr="00CF10AD">
        <w:rPr>
          <w:color w:val="000000" w:themeColor="text1"/>
          <w:sz w:val="28"/>
          <w:szCs w:val="28"/>
          <w:lang w:val="en-ZA"/>
        </w:rPr>
        <w:t>ice fee or that it was optional;</w:t>
      </w:r>
    </w:p>
    <w:p w14:paraId="556F667B" w14:textId="510846D5"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(c)</w:t>
      </w:r>
      <w:r w:rsidRPr="00AD51FB">
        <w:rPr>
          <w:color w:val="000000" w:themeColor="text1"/>
          <w:sz w:val="28"/>
          <w:szCs w:val="28"/>
          <w:lang w:val="en-ZA"/>
        </w:rPr>
        <w:tab/>
      </w:r>
      <w:r w:rsidR="003F7EA0" w:rsidRPr="00CF10AD">
        <w:rPr>
          <w:color w:val="000000" w:themeColor="text1"/>
          <w:sz w:val="28"/>
          <w:szCs w:val="28"/>
          <w:lang w:val="en-ZA"/>
        </w:rPr>
        <w:t>c</w:t>
      </w:r>
      <w:r w:rsidR="003F357F" w:rsidRPr="00CF10AD">
        <w:rPr>
          <w:color w:val="000000" w:themeColor="text1"/>
          <w:sz w:val="28"/>
          <w:szCs w:val="28"/>
          <w:lang w:val="en-ZA"/>
        </w:rPr>
        <w:t>all centre staff were</w:t>
      </w:r>
      <w:r w:rsidR="00C1708C" w:rsidRPr="00CF10AD">
        <w:rPr>
          <w:color w:val="000000" w:themeColor="text1"/>
          <w:sz w:val="28"/>
          <w:szCs w:val="28"/>
          <w:lang w:val="en-ZA"/>
        </w:rPr>
        <w:t xml:space="preserve"> instructed by management not to discuss the service fee with clients and was only to r</w:t>
      </w:r>
      <w:r w:rsidR="003F357F" w:rsidRPr="00CF10AD">
        <w:rPr>
          <w:color w:val="000000" w:themeColor="text1"/>
          <w:sz w:val="28"/>
          <w:szCs w:val="28"/>
          <w:lang w:val="en-ZA"/>
        </w:rPr>
        <w:t xml:space="preserve">espond </w:t>
      </w:r>
      <w:r w:rsidR="003F7EA0" w:rsidRPr="00CF10AD">
        <w:rPr>
          <w:color w:val="000000" w:themeColor="text1"/>
          <w:sz w:val="28"/>
          <w:szCs w:val="28"/>
          <w:lang w:val="en-ZA"/>
        </w:rPr>
        <w:t>when clients enquired;</w:t>
      </w:r>
    </w:p>
    <w:p w14:paraId="0A573D4C" w14:textId="757F9F9D"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(d)</w:t>
      </w:r>
      <w:r w:rsidRPr="00AD51FB">
        <w:rPr>
          <w:color w:val="000000" w:themeColor="text1"/>
          <w:sz w:val="28"/>
          <w:szCs w:val="28"/>
          <w:lang w:val="en-ZA"/>
        </w:rPr>
        <w:tab/>
      </w:r>
      <w:r w:rsidR="003F7EA0" w:rsidRPr="00CF10AD">
        <w:rPr>
          <w:color w:val="000000" w:themeColor="text1"/>
          <w:sz w:val="28"/>
          <w:szCs w:val="28"/>
          <w:lang w:val="en-ZA"/>
        </w:rPr>
        <w:t>t</w:t>
      </w:r>
      <w:r w:rsidR="00C1708C" w:rsidRPr="00CF10AD">
        <w:rPr>
          <w:color w:val="000000" w:themeColor="text1"/>
          <w:sz w:val="28"/>
          <w:szCs w:val="28"/>
          <w:lang w:val="en-ZA"/>
        </w:rPr>
        <w:t xml:space="preserve">he services offered to clients as justification for the service fee are </w:t>
      </w:r>
      <w:r w:rsidR="003F357F" w:rsidRPr="00CF10AD">
        <w:rPr>
          <w:color w:val="000000" w:themeColor="text1"/>
          <w:sz w:val="28"/>
          <w:szCs w:val="28"/>
          <w:lang w:val="en-ZA"/>
        </w:rPr>
        <w:t>the same as</w:t>
      </w:r>
      <w:r w:rsidR="00C1708C" w:rsidRPr="00CF10AD">
        <w:rPr>
          <w:color w:val="000000" w:themeColor="text1"/>
          <w:sz w:val="28"/>
          <w:szCs w:val="28"/>
          <w:lang w:val="en-ZA"/>
        </w:rPr>
        <w:t xml:space="preserve"> the services exp</w:t>
      </w:r>
      <w:r w:rsidR="003F7EA0" w:rsidRPr="00CF10AD">
        <w:rPr>
          <w:color w:val="000000" w:themeColor="text1"/>
          <w:sz w:val="28"/>
          <w:szCs w:val="28"/>
          <w:lang w:val="en-ZA"/>
        </w:rPr>
        <w:t>ected to be provided by brokers;</w:t>
      </w:r>
    </w:p>
    <w:p w14:paraId="4FD75510" w14:textId="1314EBEE"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(e)</w:t>
      </w:r>
      <w:r w:rsidRPr="00AD51FB">
        <w:rPr>
          <w:color w:val="000000" w:themeColor="text1"/>
          <w:sz w:val="28"/>
          <w:szCs w:val="28"/>
          <w:lang w:val="en-ZA"/>
        </w:rPr>
        <w:tab/>
      </w:r>
      <w:r w:rsidR="00C1708C" w:rsidRPr="00CF10AD">
        <w:rPr>
          <w:color w:val="000000" w:themeColor="text1"/>
          <w:sz w:val="28"/>
          <w:szCs w:val="28"/>
          <w:lang w:val="en-ZA"/>
        </w:rPr>
        <w:t xml:space="preserve">Optivest charges a service fee which is recovered from its clients per debit order, separate from the commissions received from medical aid schemes, and </w:t>
      </w:r>
      <w:r w:rsidR="00C1708C" w:rsidRPr="00CF10AD">
        <w:rPr>
          <w:color w:val="000000" w:themeColor="text1"/>
          <w:sz w:val="28"/>
          <w:szCs w:val="28"/>
          <w:lang w:val="en-ZA"/>
        </w:rPr>
        <w:lastRenderedPageBreak/>
        <w:t>the debit forms do not appear to meet the requirements of a legal contract which woul</w:t>
      </w:r>
      <w:r w:rsidR="003F7EA0" w:rsidRPr="00CF10AD">
        <w:rPr>
          <w:color w:val="000000" w:themeColor="text1"/>
          <w:sz w:val="28"/>
          <w:szCs w:val="28"/>
          <w:lang w:val="en-ZA"/>
        </w:rPr>
        <w:t>d be required to debit such fee;</w:t>
      </w:r>
    </w:p>
    <w:p w14:paraId="12E73975" w14:textId="11A83229"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(f)</w:t>
      </w:r>
      <w:r w:rsidRPr="00AD51FB">
        <w:rPr>
          <w:color w:val="000000" w:themeColor="text1"/>
          <w:sz w:val="28"/>
          <w:szCs w:val="28"/>
          <w:lang w:val="en-ZA"/>
        </w:rPr>
        <w:tab/>
      </w:r>
      <w:r w:rsidR="003F7EA0" w:rsidRPr="00CF10AD">
        <w:rPr>
          <w:color w:val="000000" w:themeColor="text1"/>
          <w:sz w:val="28"/>
          <w:szCs w:val="28"/>
          <w:lang w:val="en-ZA"/>
        </w:rPr>
        <w:t>t</w:t>
      </w:r>
      <w:r w:rsidR="00C1708C" w:rsidRPr="00CF10AD">
        <w:rPr>
          <w:color w:val="000000" w:themeColor="text1"/>
          <w:sz w:val="28"/>
          <w:szCs w:val="28"/>
          <w:lang w:val="en-ZA"/>
        </w:rPr>
        <w:t>he services provided by Optivest and its related entities constitutes both</w:t>
      </w:r>
      <w:r w:rsidR="004C29C2" w:rsidRPr="00CF10AD">
        <w:rPr>
          <w:color w:val="000000" w:themeColor="text1"/>
          <w:sz w:val="28"/>
          <w:szCs w:val="28"/>
          <w:lang w:val="en-ZA"/>
        </w:rPr>
        <w:t xml:space="preserve"> ‘</w:t>
      </w:r>
      <w:r w:rsidR="00C1708C" w:rsidRPr="00CF10AD">
        <w:rPr>
          <w:color w:val="000000" w:themeColor="text1"/>
          <w:sz w:val="28"/>
          <w:szCs w:val="28"/>
          <w:lang w:val="en-ZA"/>
        </w:rPr>
        <w:t>advice</w:t>
      </w:r>
      <w:r w:rsidR="004C29C2" w:rsidRPr="00CF10AD">
        <w:rPr>
          <w:color w:val="000000" w:themeColor="text1"/>
          <w:sz w:val="28"/>
          <w:szCs w:val="28"/>
          <w:lang w:val="en-ZA"/>
        </w:rPr>
        <w:t>’</w:t>
      </w:r>
      <w:r w:rsidR="00C1708C" w:rsidRPr="00CF10AD">
        <w:rPr>
          <w:color w:val="000000" w:themeColor="text1"/>
          <w:sz w:val="28"/>
          <w:szCs w:val="28"/>
          <w:lang w:val="en-ZA"/>
        </w:rPr>
        <w:t xml:space="preserve"> as well as</w:t>
      </w:r>
      <w:r w:rsidR="004C29C2" w:rsidRPr="00CF10AD">
        <w:rPr>
          <w:color w:val="000000" w:themeColor="text1"/>
          <w:sz w:val="28"/>
          <w:szCs w:val="28"/>
          <w:lang w:val="en-ZA"/>
        </w:rPr>
        <w:t xml:space="preserve"> ‘</w:t>
      </w:r>
      <w:r w:rsidR="00C1708C" w:rsidRPr="00CF10AD">
        <w:rPr>
          <w:color w:val="000000" w:themeColor="text1"/>
          <w:sz w:val="28"/>
          <w:szCs w:val="28"/>
          <w:lang w:val="en-ZA"/>
        </w:rPr>
        <w:t>intermediary services</w:t>
      </w:r>
      <w:r w:rsidR="004C29C2" w:rsidRPr="00CF10AD">
        <w:rPr>
          <w:color w:val="000000" w:themeColor="text1"/>
          <w:sz w:val="28"/>
          <w:szCs w:val="28"/>
          <w:lang w:val="en-ZA"/>
        </w:rPr>
        <w:t>’</w:t>
      </w:r>
      <w:r w:rsidR="00C1708C" w:rsidRPr="00CF10AD">
        <w:rPr>
          <w:color w:val="000000" w:themeColor="text1"/>
          <w:sz w:val="28"/>
          <w:szCs w:val="28"/>
          <w:lang w:val="en-ZA"/>
        </w:rPr>
        <w:t xml:space="preserve"> and is, therefore, subject to </w:t>
      </w:r>
      <w:r w:rsidR="00E20B58" w:rsidRPr="00CF10AD">
        <w:rPr>
          <w:color w:val="000000" w:themeColor="text1"/>
          <w:sz w:val="28"/>
          <w:szCs w:val="28"/>
          <w:lang w:val="en-ZA"/>
        </w:rPr>
        <w:t>both the Act a</w:t>
      </w:r>
      <w:r w:rsidR="00C1708C" w:rsidRPr="00CF10AD">
        <w:rPr>
          <w:color w:val="000000" w:themeColor="text1"/>
          <w:sz w:val="28"/>
          <w:szCs w:val="28"/>
          <w:lang w:val="en-ZA"/>
        </w:rPr>
        <w:t>nd the FSR</w:t>
      </w:r>
      <w:r w:rsidR="00E20B58" w:rsidRPr="00CF10AD">
        <w:rPr>
          <w:color w:val="000000" w:themeColor="text1"/>
          <w:sz w:val="28"/>
          <w:szCs w:val="28"/>
          <w:lang w:val="en-ZA"/>
        </w:rPr>
        <w:t xml:space="preserve"> </w:t>
      </w:r>
      <w:r w:rsidR="00C1708C" w:rsidRPr="00CF10AD">
        <w:rPr>
          <w:color w:val="000000" w:themeColor="text1"/>
          <w:sz w:val="28"/>
          <w:szCs w:val="28"/>
          <w:lang w:val="en-ZA"/>
        </w:rPr>
        <w:t>A</w:t>
      </w:r>
      <w:r w:rsidR="00E20B58" w:rsidRPr="00CF10AD">
        <w:rPr>
          <w:color w:val="000000" w:themeColor="text1"/>
          <w:sz w:val="28"/>
          <w:szCs w:val="28"/>
          <w:lang w:val="en-ZA"/>
        </w:rPr>
        <w:t>ct</w:t>
      </w:r>
      <w:r w:rsidR="003F7EA0" w:rsidRPr="00CF10AD">
        <w:rPr>
          <w:color w:val="000000" w:themeColor="text1"/>
          <w:sz w:val="28"/>
          <w:szCs w:val="28"/>
          <w:lang w:val="en-ZA"/>
        </w:rPr>
        <w:t>; and</w:t>
      </w:r>
    </w:p>
    <w:p w14:paraId="4B93ED88" w14:textId="3E84C627" w:rsidR="00C1708C" w:rsidRPr="00CF10AD" w:rsidRDefault="00CF10AD" w:rsidP="00CF10AD">
      <w:pPr>
        <w:tabs>
          <w:tab w:val="left" w:pos="426"/>
        </w:tabs>
        <w:spacing w:before="120" w:after="240" w:line="360" w:lineRule="auto"/>
        <w:ind w:right="-1"/>
        <w:jc w:val="both"/>
        <w:rPr>
          <w:color w:val="000000" w:themeColor="text1"/>
          <w:sz w:val="28"/>
          <w:szCs w:val="28"/>
          <w:lang w:val="en-ZA"/>
        </w:rPr>
      </w:pPr>
      <w:r w:rsidRPr="00AD51FB">
        <w:rPr>
          <w:color w:val="000000" w:themeColor="text1"/>
          <w:sz w:val="28"/>
          <w:szCs w:val="28"/>
          <w:lang w:val="en-ZA"/>
        </w:rPr>
        <w:t>(g)</w:t>
      </w:r>
      <w:r w:rsidRPr="00AD51FB">
        <w:rPr>
          <w:color w:val="000000" w:themeColor="text1"/>
          <w:sz w:val="28"/>
          <w:szCs w:val="28"/>
          <w:lang w:val="en-ZA"/>
        </w:rPr>
        <w:tab/>
      </w:r>
      <w:r w:rsidR="003F7EA0" w:rsidRPr="00CF10AD">
        <w:rPr>
          <w:color w:val="000000" w:themeColor="text1"/>
          <w:sz w:val="28"/>
          <w:szCs w:val="28"/>
          <w:lang w:val="en-ZA"/>
        </w:rPr>
        <w:t>d</w:t>
      </w:r>
      <w:r w:rsidR="00C1708C" w:rsidRPr="00CF10AD">
        <w:rPr>
          <w:color w:val="000000" w:themeColor="text1"/>
          <w:sz w:val="28"/>
          <w:szCs w:val="28"/>
          <w:lang w:val="en-ZA"/>
        </w:rPr>
        <w:t xml:space="preserve">ebit orders are made </w:t>
      </w:r>
      <w:r w:rsidR="00E20B58" w:rsidRPr="00CF10AD">
        <w:rPr>
          <w:color w:val="000000" w:themeColor="text1"/>
          <w:sz w:val="28"/>
          <w:szCs w:val="28"/>
          <w:lang w:val="en-ZA"/>
        </w:rPr>
        <w:t>without</w:t>
      </w:r>
      <w:r w:rsidR="00C1708C" w:rsidRPr="00CF10AD">
        <w:rPr>
          <w:color w:val="000000" w:themeColor="text1"/>
          <w:sz w:val="28"/>
          <w:szCs w:val="28"/>
          <w:lang w:val="en-ZA"/>
        </w:rPr>
        <w:t xml:space="preserve"> consent </w:t>
      </w:r>
      <w:r w:rsidR="00E20B58" w:rsidRPr="00CF10AD">
        <w:rPr>
          <w:color w:val="000000" w:themeColor="text1"/>
          <w:sz w:val="28"/>
          <w:szCs w:val="28"/>
          <w:lang w:val="en-ZA"/>
        </w:rPr>
        <w:t>or</w:t>
      </w:r>
      <w:r w:rsidR="00C1708C" w:rsidRPr="00CF10AD">
        <w:rPr>
          <w:color w:val="000000" w:themeColor="text1"/>
          <w:sz w:val="28"/>
          <w:szCs w:val="28"/>
          <w:lang w:val="en-ZA"/>
        </w:rPr>
        <w:t xml:space="preserve"> agreement and</w:t>
      </w:r>
      <w:r w:rsidR="00E20B58" w:rsidRPr="00CF10AD">
        <w:rPr>
          <w:color w:val="000000" w:themeColor="text1"/>
          <w:sz w:val="28"/>
          <w:szCs w:val="28"/>
          <w:lang w:val="en-ZA"/>
        </w:rPr>
        <w:t xml:space="preserve"> are</w:t>
      </w:r>
      <w:r w:rsidR="00C1708C" w:rsidRPr="00CF10AD">
        <w:rPr>
          <w:color w:val="000000" w:themeColor="text1"/>
          <w:sz w:val="28"/>
          <w:szCs w:val="28"/>
          <w:lang w:val="en-ZA"/>
        </w:rPr>
        <w:t xml:space="preserve"> therefore, </w:t>
      </w:r>
      <w:r w:rsidR="00E20B58" w:rsidRPr="00CF10AD">
        <w:rPr>
          <w:color w:val="000000" w:themeColor="text1"/>
          <w:sz w:val="28"/>
          <w:szCs w:val="28"/>
          <w:lang w:val="en-ZA"/>
        </w:rPr>
        <w:t>un</w:t>
      </w:r>
      <w:r w:rsidR="00C1708C" w:rsidRPr="00CF10AD">
        <w:rPr>
          <w:color w:val="000000" w:themeColor="text1"/>
          <w:sz w:val="28"/>
          <w:szCs w:val="28"/>
          <w:lang w:val="en-ZA"/>
        </w:rPr>
        <w:t xml:space="preserve">enforceable. Thus, all the fees derived therefrom constitute irregular transactions under the </w:t>
      </w:r>
      <w:r w:rsidR="00E20B58" w:rsidRPr="00CF10AD">
        <w:rPr>
          <w:color w:val="000000" w:themeColor="text1"/>
          <w:sz w:val="28"/>
          <w:szCs w:val="28"/>
          <w:lang w:val="en-ZA"/>
        </w:rPr>
        <w:t>Act</w:t>
      </w:r>
      <w:r w:rsidR="00C1708C" w:rsidRPr="00CF10AD">
        <w:rPr>
          <w:color w:val="000000" w:themeColor="text1"/>
          <w:sz w:val="28"/>
          <w:szCs w:val="28"/>
          <w:lang w:val="en-ZA"/>
        </w:rPr>
        <w:t xml:space="preserve"> and the Regulations.  </w:t>
      </w:r>
    </w:p>
    <w:p w14:paraId="1B4F39AA" w14:textId="77777777" w:rsidR="00154482" w:rsidRPr="00AD51FB" w:rsidRDefault="00154482" w:rsidP="003A73A2">
      <w:pPr>
        <w:pStyle w:val="ListParagraph"/>
        <w:spacing w:before="120" w:after="240" w:line="360" w:lineRule="auto"/>
        <w:ind w:left="0" w:right="515"/>
        <w:jc w:val="both"/>
        <w:rPr>
          <w:color w:val="000000" w:themeColor="text1"/>
          <w:sz w:val="28"/>
          <w:szCs w:val="28"/>
          <w:lang w:val="en-ZA"/>
        </w:rPr>
      </w:pPr>
    </w:p>
    <w:p w14:paraId="0964A584" w14:textId="0A112ABF" w:rsidR="00E20B58" w:rsidRPr="00CF10AD" w:rsidRDefault="00CF10AD" w:rsidP="00CF10AD">
      <w:pPr>
        <w:spacing w:before="120" w:after="240" w:line="360" w:lineRule="auto"/>
        <w:ind w:left="360" w:right="515" w:hanging="360"/>
        <w:jc w:val="both"/>
        <w:rPr>
          <w:color w:val="000000" w:themeColor="text1"/>
          <w:sz w:val="28"/>
          <w:szCs w:val="28"/>
          <w:lang w:val="en-ZA"/>
        </w:rPr>
      </w:pPr>
      <w:r w:rsidRPr="00AD51FB">
        <w:rPr>
          <w:sz w:val="28"/>
          <w:szCs w:val="28"/>
          <w:lang w:val="en-ZA"/>
        </w:rPr>
        <w:t>[48]</w:t>
      </w:r>
      <w:r w:rsidRPr="00AD51FB">
        <w:rPr>
          <w:sz w:val="28"/>
          <w:szCs w:val="28"/>
          <w:lang w:val="en-ZA"/>
        </w:rPr>
        <w:tab/>
      </w:r>
      <w:r w:rsidR="00C1708C" w:rsidRPr="00CF10AD">
        <w:rPr>
          <w:color w:val="000000" w:themeColor="text1"/>
          <w:sz w:val="28"/>
          <w:szCs w:val="28"/>
          <w:lang w:val="en-ZA"/>
        </w:rPr>
        <w:t xml:space="preserve">Open Water </w:t>
      </w:r>
      <w:r w:rsidR="00E20B58" w:rsidRPr="00CF10AD">
        <w:rPr>
          <w:color w:val="000000" w:themeColor="text1"/>
          <w:sz w:val="28"/>
          <w:szCs w:val="28"/>
          <w:lang w:val="en-ZA"/>
        </w:rPr>
        <w:t xml:space="preserve">accordingly </w:t>
      </w:r>
      <w:r w:rsidR="00C1708C" w:rsidRPr="00CF10AD">
        <w:rPr>
          <w:color w:val="000000" w:themeColor="text1"/>
          <w:sz w:val="28"/>
          <w:szCs w:val="28"/>
          <w:lang w:val="en-ZA"/>
        </w:rPr>
        <w:t>recommended that</w:t>
      </w:r>
      <w:r w:rsidR="00E20B58" w:rsidRPr="00CF10AD">
        <w:rPr>
          <w:color w:val="000000" w:themeColor="text1"/>
          <w:sz w:val="28"/>
          <w:szCs w:val="28"/>
          <w:lang w:val="en-ZA"/>
        </w:rPr>
        <w:t>:</w:t>
      </w:r>
    </w:p>
    <w:p w14:paraId="050C64CF" w14:textId="3F5CAC9D" w:rsidR="00C1708C" w:rsidRPr="00CF10AD" w:rsidRDefault="00CF10AD" w:rsidP="00CF10AD">
      <w:pPr>
        <w:tabs>
          <w:tab w:val="left" w:pos="426"/>
        </w:tabs>
        <w:spacing w:line="360" w:lineRule="auto"/>
        <w:jc w:val="both"/>
        <w:rPr>
          <w:color w:val="000000" w:themeColor="text1"/>
          <w:sz w:val="28"/>
          <w:szCs w:val="28"/>
          <w:lang w:val="en-ZA"/>
        </w:rPr>
      </w:pPr>
      <w:r w:rsidRPr="00AD51FB">
        <w:rPr>
          <w:color w:val="000000" w:themeColor="text1"/>
          <w:sz w:val="28"/>
          <w:szCs w:val="28"/>
          <w:lang w:val="en-ZA"/>
        </w:rPr>
        <w:t>(a)</w:t>
      </w:r>
      <w:r w:rsidRPr="00AD51FB">
        <w:rPr>
          <w:color w:val="000000" w:themeColor="text1"/>
          <w:sz w:val="28"/>
          <w:szCs w:val="28"/>
          <w:lang w:val="en-ZA"/>
        </w:rPr>
        <w:tab/>
      </w:r>
      <w:r w:rsidR="00C1708C" w:rsidRPr="00CF10AD">
        <w:rPr>
          <w:color w:val="000000" w:themeColor="text1"/>
          <w:sz w:val="28"/>
          <w:szCs w:val="28"/>
          <w:lang w:val="en-ZA"/>
        </w:rPr>
        <w:t xml:space="preserve"> </w:t>
      </w:r>
      <w:r w:rsidR="00154482" w:rsidRPr="00CF10AD">
        <w:rPr>
          <w:color w:val="000000" w:themeColor="text1"/>
          <w:sz w:val="28"/>
          <w:szCs w:val="28"/>
          <w:lang w:val="en-ZA"/>
        </w:rPr>
        <w:t>‘</w:t>
      </w:r>
      <w:r w:rsidR="00C1708C" w:rsidRPr="00CF10AD">
        <w:rPr>
          <w:color w:val="000000" w:themeColor="text1"/>
          <w:sz w:val="28"/>
          <w:szCs w:val="28"/>
          <w:lang w:val="en-ZA"/>
        </w:rPr>
        <w:t>due to the compliance deficiency on the part of [Optivest] and/or its related parties, the Council should consider implementing the remedies contained in regulation 28(9) of the [Act], particularly what the Act sought to achieve regarding payment of fees in that:</w:t>
      </w:r>
    </w:p>
    <w:p w14:paraId="478409FA" w14:textId="4704E7D6" w:rsidR="00C1708C" w:rsidRPr="00AD51FB" w:rsidRDefault="00AA0B82" w:rsidP="00466949">
      <w:pPr>
        <w:pStyle w:val="ListParagraph"/>
        <w:tabs>
          <w:tab w:val="left" w:pos="426"/>
          <w:tab w:val="left" w:pos="709"/>
        </w:tabs>
        <w:spacing w:before="120" w:line="360" w:lineRule="auto"/>
        <w:ind w:left="0" w:right="-1"/>
        <w:jc w:val="both"/>
        <w:rPr>
          <w:color w:val="000000" w:themeColor="text1"/>
          <w:sz w:val="28"/>
          <w:szCs w:val="28"/>
          <w:lang w:val="en-ZA"/>
        </w:rPr>
      </w:pPr>
      <w:r w:rsidRPr="00AD51FB">
        <w:rPr>
          <w:color w:val="000000" w:themeColor="text1"/>
          <w:lang w:val="en-ZA"/>
        </w:rPr>
        <w:t>‘</w:t>
      </w:r>
      <w:r w:rsidR="00122FE9" w:rsidRPr="00AD51FB">
        <w:rPr>
          <w:color w:val="000000" w:themeColor="text1"/>
          <w:lang w:val="en-ZA"/>
        </w:rPr>
        <w:t>A</w:t>
      </w:r>
      <w:r w:rsidR="00C1708C" w:rsidRPr="00AD51FB">
        <w:rPr>
          <w:color w:val="000000" w:themeColor="text1"/>
          <w:lang w:val="en-ZA"/>
        </w:rPr>
        <w:t>ny person who has paid a broker compensation where there has been “material misrepresentation” or where the payment is made consequent to unlawful conduct by the broker, is entitled to the full return of all of the money paid in consequent [sic] of such material misrep</w:t>
      </w:r>
      <w:r w:rsidR="003F7EA0" w:rsidRPr="00AD51FB">
        <w:rPr>
          <w:color w:val="000000" w:themeColor="text1"/>
          <w:lang w:val="en-ZA"/>
        </w:rPr>
        <w:t>resentation or unlawful conduct</w:t>
      </w:r>
      <w:r w:rsidRPr="00AD51FB">
        <w:rPr>
          <w:color w:val="000000" w:themeColor="text1"/>
          <w:lang w:val="en-ZA"/>
        </w:rPr>
        <w:t>’</w:t>
      </w:r>
      <w:r w:rsidR="003F7EA0" w:rsidRPr="00AD51FB">
        <w:rPr>
          <w:color w:val="000000" w:themeColor="text1"/>
          <w:lang w:val="en-ZA"/>
        </w:rPr>
        <w:t xml:space="preserve">; </w:t>
      </w:r>
      <w:r w:rsidR="003F7EA0" w:rsidRPr="00AD51FB">
        <w:rPr>
          <w:color w:val="000000" w:themeColor="text1"/>
          <w:sz w:val="28"/>
          <w:szCs w:val="28"/>
          <w:lang w:val="en-ZA"/>
        </w:rPr>
        <w:t xml:space="preserve">and </w:t>
      </w:r>
    </w:p>
    <w:p w14:paraId="7F96CBFF" w14:textId="0F966D55" w:rsidR="00C1708C" w:rsidRPr="00CF10AD" w:rsidRDefault="00CF10AD" w:rsidP="00CF10AD">
      <w:pPr>
        <w:tabs>
          <w:tab w:val="left" w:pos="426"/>
        </w:tabs>
        <w:spacing w:after="240" w:line="360" w:lineRule="auto"/>
        <w:ind w:right="-1"/>
        <w:jc w:val="both"/>
        <w:rPr>
          <w:color w:val="000000" w:themeColor="text1"/>
          <w:sz w:val="28"/>
          <w:szCs w:val="28"/>
          <w:lang w:val="en-ZA"/>
        </w:rPr>
      </w:pPr>
      <w:r w:rsidRPr="00AD51FB">
        <w:rPr>
          <w:color w:val="000000" w:themeColor="text1"/>
          <w:sz w:val="28"/>
          <w:szCs w:val="28"/>
          <w:lang w:val="en-ZA"/>
        </w:rPr>
        <w:t>(b)</w:t>
      </w:r>
      <w:r w:rsidRPr="00AD51FB">
        <w:rPr>
          <w:color w:val="000000" w:themeColor="text1"/>
          <w:sz w:val="28"/>
          <w:szCs w:val="28"/>
          <w:lang w:val="en-ZA"/>
        </w:rPr>
        <w:tab/>
      </w:r>
      <w:r w:rsidR="00C1708C" w:rsidRPr="00CF10AD">
        <w:rPr>
          <w:color w:val="000000" w:themeColor="text1"/>
          <w:sz w:val="28"/>
          <w:szCs w:val="28"/>
          <w:lang w:val="en-ZA"/>
        </w:rPr>
        <w:t>the service fees collected from clients under the above misrepresentation should be retrospectively quantified and reimbursed to the respective clients; as such funds would be proceeds of an unlawful transaction.</w:t>
      </w:r>
      <w:r w:rsidR="003F7EA0" w:rsidRPr="00CF10AD">
        <w:rPr>
          <w:color w:val="000000" w:themeColor="text1"/>
          <w:sz w:val="28"/>
          <w:szCs w:val="28"/>
          <w:lang w:val="en-ZA"/>
        </w:rPr>
        <w:t>’</w:t>
      </w:r>
    </w:p>
    <w:p w14:paraId="1DD558E3" w14:textId="77777777" w:rsidR="00AA0B82" w:rsidRPr="00AD51FB" w:rsidRDefault="00AA0B82" w:rsidP="003A73A2">
      <w:pPr>
        <w:pStyle w:val="ListParagraph"/>
        <w:spacing w:after="240" w:line="360" w:lineRule="auto"/>
        <w:ind w:left="0" w:right="515"/>
        <w:jc w:val="both"/>
        <w:rPr>
          <w:color w:val="000000" w:themeColor="text1"/>
          <w:sz w:val="28"/>
          <w:szCs w:val="28"/>
          <w:lang w:val="en-ZA"/>
        </w:rPr>
      </w:pPr>
    </w:p>
    <w:p w14:paraId="23ECABCC" w14:textId="01359F77" w:rsidR="00F76365" w:rsidRPr="00CF10AD" w:rsidRDefault="00CF10AD" w:rsidP="00CF10AD">
      <w:pPr>
        <w:spacing w:before="120" w:after="240" w:line="360" w:lineRule="auto"/>
        <w:ind w:right="-1"/>
        <w:jc w:val="both"/>
        <w:rPr>
          <w:color w:val="000000"/>
          <w:sz w:val="28"/>
          <w:szCs w:val="28"/>
          <w:lang w:val="en-US" w:eastAsia="en-GB"/>
        </w:rPr>
      </w:pPr>
      <w:r w:rsidRPr="00AD51FB">
        <w:rPr>
          <w:sz w:val="28"/>
          <w:szCs w:val="28"/>
          <w:lang w:val="en-US" w:eastAsia="en-GB"/>
        </w:rPr>
        <w:t>[49]</w:t>
      </w:r>
      <w:r w:rsidRPr="00AD51FB">
        <w:rPr>
          <w:sz w:val="28"/>
          <w:szCs w:val="28"/>
          <w:lang w:val="en-US" w:eastAsia="en-GB"/>
        </w:rPr>
        <w:tab/>
      </w:r>
      <w:r w:rsidR="00E20B58" w:rsidRPr="00CF10AD">
        <w:rPr>
          <w:color w:val="000000"/>
          <w:sz w:val="28"/>
          <w:szCs w:val="28"/>
          <w:lang w:val="en-US" w:eastAsia="en-GB"/>
        </w:rPr>
        <w:t xml:space="preserve">Accordingly, </w:t>
      </w:r>
      <w:r w:rsidR="00F76365" w:rsidRPr="00CF10AD">
        <w:rPr>
          <w:color w:val="000000"/>
          <w:sz w:val="28"/>
          <w:szCs w:val="28"/>
          <w:lang w:val="en-US" w:eastAsia="en-GB"/>
        </w:rPr>
        <w:t xml:space="preserve">and keeping in mind the </w:t>
      </w:r>
      <w:r w:rsidR="00941616" w:rsidRPr="00CF10AD">
        <w:rPr>
          <w:color w:val="000000"/>
          <w:sz w:val="28"/>
          <w:szCs w:val="28"/>
          <w:lang w:val="en-US" w:eastAsia="en-GB"/>
        </w:rPr>
        <w:t>limited test</w:t>
      </w:r>
      <w:r w:rsidR="00F76365" w:rsidRPr="00CF10AD">
        <w:rPr>
          <w:color w:val="000000"/>
          <w:sz w:val="28"/>
          <w:szCs w:val="28"/>
          <w:lang w:val="en-US" w:eastAsia="en-GB"/>
        </w:rPr>
        <w:t xml:space="preserve"> for review set out in </w:t>
      </w:r>
      <w:r w:rsidR="00F76365" w:rsidRPr="00CF10AD">
        <w:rPr>
          <w:i/>
          <w:color w:val="000000"/>
          <w:sz w:val="28"/>
          <w:szCs w:val="28"/>
          <w:lang w:val="en-US" w:eastAsia="en-GB"/>
        </w:rPr>
        <w:t>Bonitas</w:t>
      </w:r>
      <w:r w:rsidR="00F76365" w:rsidRPr="00CF10AD">
        <w:rPr>
          <w:color w:val="000000"/>
          <w:sz w:val="28"/>
          <w:szCs w:val="28"/>
          <w:lang w:val="en-US" w:eastAsia="en-GB"/>
        </w:rPr>
        <w:t xml:space="preserve">, I </w:t>
      </w:r>
      <w:r w:rsidR="00172674" w:rsidRPr="00CF10AD">
        <w:rPr>
          <w:color w:val="000000"/>
          <w:sz w:val="28"/>
          <w:szCs w:val="28"/>
          <w:lang w:val="en-US" w:eastAsia="en-GB"/>
        </w:rPr>
        <w:t>hold</w:t>
      </w:r>
      <w:r w:rsidR="00F76365" w:rsidRPr="00CF10AD">
        <w:rPr>
          <w:color w:val="000000"/>
          <w:sz w:val="28"/>
          <w:szCs w:val="28"/>
          <w:lang w:val="en-US" w:eastAsia="en-GB"/>
        </w:rPr>
        <w:t xml:space="preserve"> that the conduct of the Council and the Registrar</w:t>
      </w:r>
      <w:r w:rsidR="00C46A64" w:rsidRPr="00CF10AD">
        <w:rPr>
          <w:color w:val="000000"/>
          <w:sz w:val="28"/>
          <w:szCs w:val="28"/>
          <w:lang w:val="en-US" w:eastAsia="en-GB"/>
        </w:rPr>
        <w:t xml:space="preserve"> was lawful and </w:t>
      </w:r>
      <w:r w:rsidR="00F76365" w:rsidRPr="00CF10AD">
        <w:rPr>
          <w:color w:val="000000"/>
          <w:sz w:val="28"/>
          <w:szCs w:val="28"/>
          <w:lang w:val="en-US" w:eastAsia="en-GB"/>
        </w:rPr>
        <w:t>in accordance with t</w:t>
      </w:r>
      <w:r w:rsidR="00C46A64" w:rsidRPr="00CF10AD">
        <w:rPr>
          <w:color w:val="242121"/>
          <w:sz w:val="28"/>
          <w:szCs w:val="28"/>
          <w:shd w:val="clear" w:color="auto" w:fill="FFFFFF"/>
        </w:rPr>
        <w:t>he rule of law,</w:t>
      </w:r>
      <w:r w:rsidR="00F76365" w:rsidRPr="00CF10AD">
        <w:rPr>
          <w:color w:val="242121"/>
          <w:sz w:val="28"/>
          <w:szCs w:val="28"/>
          <w:shd w:val="clear" w:color="auto" w:fill="FFFFFF"/>
        </w:rPr>
        <w:t xml:space="preserve"> was </w:t>
      </w:r>
      <w:r w:rsidR="00964A9D" w:rsidRPr="00CF10AD">
        <w:rPr>
          <w:color w:val="242121"/>
          <w:sz w:val="28"/>
          <w:szCs w:val="28"/>
          <w:shd w:val="clear" w:color="auto" w:fill="FFFFFF"/>
        </w:rPr>
        <w:t>not procedurally</w:t>
      </w:r>
      <w:r w:rsidR="00C46A64" w:rsidRPr="00CF10AD">
        <w:rPr>
          <w:color w:val="242121"/>
          <w:sz w:val="28"/>
          <w:szCs w:val="28"/>
          <w:shd w:val="clear" w:color="auto" w:fill="FFFFFF"/>
        </w:rPr>
        <w:t xml:space="preserve"> unfair, or </w:t>
      </w:r>
      <w:r w:rsidR="00F76365" w:rsidRPr="00CF10AD">
        <w:rPr>
          <w:color w:val="242121"/>
          <w:sz w:val="28"/>
          <w:szCs w:val="28"/>
          <w:shd w:val="clear" w:color="auto" w:fill="FFFFFF"/>
        </w:rPr>
        <w:t>arbitrary</w:t>
      </w:r>
      <w:r w:rsidR="00C46A64" w:rsidRPr="00CF10AD">
        <w:rPr>
          <w:color w:val="242121"/>
          <w:sz w:val="28"/>
          <w:szCs w:val="28"/>
          <w:shd w:val="clear" w:color="auto" w:fill="FFFFFF"/>
        </w:rPr>
        <w:t xml:space="preserve">, was </w:t>
      </w:r>
      <w:r w:rsidR="00C46A64" w:rsidRPr="00CF10AD">
        <w:rPr>
          <w:color w:val="000000"/>
          <w:sz w:val="28"/>
          <w:szCs w:val="28"/>
          <w:lang w:val="en-US" w:eastAsia="en-GB"/>
        </w:rPr>
        <w:t xml:space="preserve">rationally connected to the purpose sought to be achieved by the </w:t>
      </w:r>
      <w:r w:rsidR="008D3F50" w:rsidRPr="00CF10AD">
        <w:rPr>
          <w:color w:val="000000"/>
          <w:sz w:val="28"/>
          <w:szCs w:val="28"/>
          <w:lang w:val="en-US" w:eastAsia="en-GB"/>
        </w:rPr>
        <w:t>Act and</w:t>
      </w:r>
      <w:r w:rsidR="00F76365" w:rsidRPr="00CF10AD">
        <w:rPr>
          <w:color w:val="242121"/>
          <w:sz w:val="28"/>
          <w:szCs w:val="28"/>
          <w:shd w:val="clear" w:color="auto" w:fill="FFFFFF"/>
        </w:rPr>
        <w:t xml:space="preserve"> did not offend against the principle of legality</w:t>
      </w:r>
      <w:r w:rsidR="00F76365" w:rsidRPr="00CF10AD">
        <w:rPr>
          <w:color w:val="242121"/>
          <w:shd w:val="clear" w:color="auto" w:fill="FFFFFF"/>
        </w:rPr>
        <w:t xml:space="preserve"> .</w:t>
      </w:r>
      <w:r w:rsidR="00F76365" w:rsidRPr="00AD51FB">
        <w:rPr>
          <w:rStyle w:val="FootnoteReference"/>
          <w:color w:val="242121"/>
          <w:shd w:val="clear" w:color="auto" w:fill="FFFFFF"/>
        </w:rPr>
        <w:footnoteReference w:id="26"/>
      </w:r>
    </w:p>
    <w:p w14:paraId="481104C4" w14:textId="77777777" w:rsidR="00154482" w:rsidRPr="00AD51FB" w:rsidRDefault="00154482" w:rsidP="003A73A2">
      <w:pPr>
        <w:pStyle w:val="ListParagraph"/>
        <w:spacing w:before="120" w:after="240" w:line="360" w:lineRule="auto"/>
        <w:ind w:left="0" w:right="515"/>
        <w:jc w:val="both"/>
        <w:rPr>
          <w:color w:val="000000"/>
          <w:sz w:val="28"/>
          <w:szCs w:val="28"/>
          <w:lang w:val="en-US" w:eastAsia="en-GB"/>
        </w:rPr>
      </w:pPr>
    </w:p>
    <w:p w14:paraId="72FC8A28" w14:textId="0AF5D111" w:rsidR="00133DEE" w:rsidRPr="00AD51FB" w:rsidRDefault="00CF10AD" w:rsidP="00CF10AD">
      <w:pPr>
        <w:spacing w:before="120" w:after="240" w:line="360" w:lineRule="auto"/>
        <w:ind w:left="360" w:right="515" w:hanging="360"/>
        <w:jc w:val="both"/>
      </w:pPr>
      <w:r w:rsidRPr="00AD51FB">
        <w:rPr>
          <w:sz w:val="28"/>
          <w:szCs w:val="28"/>
        </w:rPr>
        <w:lastRenderedPageBreak/>
        <w:t>[50]</w:t>
      </w:r>
      <w:r w:rsidRPr="00AD51FB">
        <w:rPr>
          <w:sz w:val="28"/>
          <w:szCs w:val="28"/>
        </w:rPr>
        <w:tab/>
      </w:r>
      <w:r w:rsidR="00133DEE" w:rsidRPr="00CF10AD">
        <w:rPr>
          <w:color w:val="000000"/>
          <w:sz w:val="28"/>
          <w:szCs w:val="28"/>
          <w:lang w:val="en-US" w:eastAsia="en-GB"/>
        </w:rPr>
        <w:t>In the result the following order is granted.</w:t>
      </w:r>
    </w:p>
    <w:p w14:paraId="5D4D241B" w14:textId="77777777" w:rsidR="00133DEE" w:rsidRPr="00AD51FB" w:rsidRDefault="00133DEE" w:rsidP="00133DEE">
      <w:pPr>
        <w:pStyle w:val="ListParagraph"/>
        <w:rPr>
          <w:color w:val="000000"/>
          <w:sz w:val="28"/>
          <w:szCs w:val="28"/>
          <w:lang w:val="en-US" w:eastAsia="en-GB"/>
        </w:rPr>
      </w:pPr>
    </w:p>
    <w:p w14:paraId="5E707906" w14:textId="63D73059" w:rsidR="009B7AE0" w:rsidRPr="00AD51FB" w:rsidRDefault="00BF3754" w:rsidP="00466949">
      <w:pPr>
        <w:spacing w:before="120" w:after="240" w:line="360" w:lineRule="auto"/>
        <w:ind w:right="-1"/>
        <w:jc w:val="both"/>
      </w:pPr>
      <w:r w:rsidRPr="00AD51FB">
        <w:rPr>
          <w:color w:val="000000"/>
          <w:sz w:val="28"/>
          <w:szCs w:val="28"/>
          <w:lang w:val="en-US" w:eastAsia="en-GB"/>
        </w:rPr>
        <w:t>The appeal is dismissed with costs, including the costs of two counsel.</w:t>
      </w:r>
    </w:p>
    <w:p w14:paraId="1BDFCD5F" w14:textId="6F8140EB" w:rsidR="009B7AE0" w:rsidRPr="00AD51FB" w:rsidRDefault="009B7AE0" w:rsidP="00154482">
      <w:pPr>
        <w:spacing w:line="360" w:lineRule="auto"/>
        <w:ind w:left="5760"/>
        <w:jc w:val="both"/>
        <w:rPr>
          <w:sz w:val="28"/>
          <w:szCs w:val="28"/>
        </w:rPr>
      </w:pPr>
      <w:r w:rsidRPr="00AD51FB">
        <w:rPr>
          <w:sz w:val="28"/>
          <w:szCs w:val="28"/>
        </w:rPr>
        <w:t>______________________</w:t>
      </w:r>
    </w:p>
    <w:p w14:paraId="73D68874" w14:textId="3FE58CF3" w:rsidR="009B7AE0" w:rsidRPr="00AD51FB" w:rsidRDefault="00FF7B4A" w:rsidP="00B87B2C">
      <w:pPr>
        <w:spacing w:line="360" w:lineRule="auto"/>
        <w:ind w:left="5760"/>
        <w:jc w:val="right"/>
        <w:rPr>
          <w:sz w:val="28"/>
          <w:szCs w:val="28"/>
        </w:rPr>
      </w:pPr>
      <w:r w:rsidRPr="00AD51FB">
        <w:rPr>
          <w:sz w:val="28"/>
          <w:szCs w:val="28"/>
        </w:rPr>
        <w:t xml:space="preserve">   </w:t>
      </w:r>
      <w:r w:rsidR="00B32ACE" w:rsidRPr="00AD51FB">
        <w:rPr>
          <w:sz w:val="28"/>
          <w:szCs w:val="28"/>
        </w:rPr>
        <w:t>S E WEINER</w:t>
      </w:r>
    </w:p>
    <w:p w14:paraId="083DCD45" w14:textId="59DA721D" w:rsidR="00FC6B6C" w:rsidRPr="00AD51FB" w:rsidRDefault="009B7AE0" w:rsidP="00B87B2C">
      <w:pPr>
        <w:spacing w:line="360" w:lineRule="auto"/>
        <w:ind w:left="4320" w:firstLine="720"/>
        <w:jc w:val="right"/>
        <w:rPr>
          <w:sz w:val="28"/>
          <w:szCs w:val="28"/>
        </w:rPr>
      </w:pPr>
      <w:r w:rsidRPr="00AD51FB">
        <w:rPr>
          <w:sz w:val="28"/>
          <w:szCs w:val="28"/>
        </w:rPr>
        <w:t xml:space="preserve">    </w:t>
      </w:r>
      <w:r w:rsidR="00FF7B4A" w:rsidRPr="00AD51FB">
        <w:rPr>
          <w:sz w:val="28"/>
          <w:szCs w:val="28"/>
        </w:rPr>
        <w:t xml:space="preserve"> </w:t>
      </w:r>
      <w:r w:rsidRPr="00AD51FB">
        <w:rPr>
          <w:sz w:val="28"/>
          <w:szCs w:val="28"/>
        </w:rPr>
        <w:t xml:space="preserve">       JUDGE OF APPEAL</w:t>
      </w:r>
    </w:p>
    <w:p w14:paraId="0DF9606E" w14:textId="127EFC17" w:rsidR="00122FE9" w:rsidRPr="00AD51FB" w:rsidRDefault="00122FE9" w:rsidP="00B87B2C">
      <w:pPr>
        <w:spacing w:after="160" w:line="259" w:lineRule="auto"/>
        <w:rPr>
          <w:sz w:val="28"/>
          <w:szCs w:val="28"/>
        </w:rPr>
      </w:pPr>
    </w:p>
    <w:p w14:paraId="0308CA62" w14:textId="6BD1289A" w:rsidR="005D1201" w:rsidRPr="00AD51FB" w:rsidRDefault="005D1201" w:rsidP="00E859A7">
      <w:pPr>
        <w:spacing w:line="360" w:lineRule="auto"/>
        <w:jc w:val="both"/>
        <w:rPr>
          <w:rFonts w:eastAsia="Arial"/>
          <w:b/>
          <w:kern w:val="2"/>
          <w:sz w:val="28"/>
          <w:szCs w:val="28"/>
          <w:lang w:val="en-ZA" w:eastAsia="en-ZA"/>
          <w14:ligatures w14:val="standardContextual"/>
        </w:rPr>
      </w:pPr>
      <w:r w:rsidRPr="00AD51FB">
        <w:rPr>
          <w:rFonts w:eastAsia="Arial"/>
          <w:b/>
          <w:kern w:val="2"/>
          <w:sz w:val="28"/>
          <w:szCs w:val="28"/>
          <w:lang w:val="en-ZA" w:eastAsia="en-ZA"/>
          <w14:ligatures w14:val="standardContextual"/>
        </w:rPr>
        <w:t>Goosen JA (dissenting):</w:t>
      </w:r>
    </w:p>
    <w:p w14:paraId="0348BCE0" w14:textId="4FB45091"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[51]</w:t>
      </w:r>
      <w:r w:rsidRPr="00AD51FB">
        <w:rPr>
          <w:rFonts w:eastAsia="Arial"/>
          <w:kern w:val="2"/>
          <w:sz w:val="28"/>
          <w:szCs w:val="28"/>
          <w:lang w:val="en-ZA" w:eastAsia="en-ZA"/>
          <w14:ligatures w14:val="standardContextual"/>
        </w:rPr>
        <w:tab/>
      </w:r>
      <w:r w:rsidR="005D1201" w:rsidRPr="00AD51FB">
        <w:rPr>
          <w:rFonts w:eastAsia="Calibri"/>
          <w:kern w:val="2"/>
          <w:sz w:val="28"/>
          <w:szCs w:val="28"/>
          <w14:ligatures w14:val="standardContextual"/>
        </w:rPr>
        <w:t xml:space="preserve">I have had the privilege of reading the judgment prepared by my colleague Weiner JA (the main judgment). Regrettably, I do not agree with the outcome and the reasoning employed to sustain it. I would uphold the appeal with costs and set aside the order of the high court. I would </w:t>
      </w:r>
      <w:bookmarkStart w:id="11" w:name="_Hlk163401024"/>
      <w:r w:rsidR="005D1201" w:rsidRPr="00AD51FB">
        <w:rPr>
          <w:rFonts w:eastAsia="Calibri"/>
          <w:kern w:val="2"/>
          <w:sz w:val="28"/>
          <w:szCs w:val="28"/>
          <w14:ligatures w14:val="standardContextual"/>
        </w:rPr>
        <w:t>replace the high court order with one granting the relief sought by the appellant in its notice of motion, save that I would only award costs of the application on an ordinary scale.</w:t>
      </w:r>
      <w:bookmarkEnd w:id="11"/>
    </w:p>
    <w:p w14:paraId="1882A01B"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6644D98C" w14:textId="30ABF3CA"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[52]</w:t>
      </w:r>
      <w:r w:rsidRPr="00AD51FB">
        <w:rPr>
          <w:rFonts w:eastAsia="Arial"/>
          <w:kern w:val="2"/>
          <w:sz w:val="28"/>
          <w:szCs w:val="28"/>
          <w:lang w:val="en-ZA" w:eastAsia="en-ZA"/>
          <w14:ligatures w14:val="standardContextual"/>
        </w:rPr>
        <w:tab/>
      </w:r>
      <w:r w:rsidR="005D1201" w:rsidRPr="00AD51FB">
        <w:rPr>
          <w:rFonts w:eastAsia="Calibri"/>
          <w:kern w:val="2"/>
          <w:sz w:val="28"/>
          <w:szCs w:val="28"/>
          <w14:ligatures w14:val="standardContextual"/>
        </w:rPr>
        <w:t>The main judgment holds that s 44(4)</w:t>
      </w:r>
      <w:r w:rsidR="005D1201" w:rsidRPr="00AD51FB">
        <w:rPr>
          <w:rFonts w:eastAsia="Calibri"/>
          <w:i/>
          <w:kern w:val="2"/>
          <w:sz w:val="28"/>
          <w:szCs w:val="28"/>
          <w14:ligatures w14:val="standardContextual"/>
        </w:rPr>
        <w:t>(</w:t>
      </w:r>
      <w:r w:rsidR="005D1201" w:rsidRPr="00AD51FB">
        <w:rPr>
          <w:rFonts w:eastAsia="Calibri"/>
          <w:i/>
          <w:iCs/>
          <w:kern w:val="2"/>
          <w:sz w:val="28"/>
          <w:szCs w:val="28"/>
          <w14:ligatures w14:val="standardContextual"/>
        </w:rPr>
        <w:t>a</w:t>
      </w:r>
      <w:r w:rsidR="005D1201" w:rsidRPr="00AD51FB">
        <w:rPr>
          <w:rFonts w:eastAsia="Calibri"/>
          <w:i/>
          <w:kern w:val="2"/>
          <w:sz w:val="28"/>
          <w:szCs w:val="28"/>
          <w14:ligatures w14:val="standardContextual"/>
        </w:rPr>
        <w:t>)</w:t>
      </w:r>
      <w:r w:rsidR="005D1201" w:rsidRPr="00AD51FB">
        <w:rPr>
          <w:rFonts w:eastAsia="Calibri"/>
          <w:kern w:val="2"/>
          <w:sz w:val="28"/>
          <w:szCs w:val="28"/>
          <w14:ligatures w14:val="standardContextual"/>
        </w:rPr>
        <w:t xml:space="preserve"> of the Act</w:t>
      </w:r>
      <w:r w:rsidR="00B32378" w:rsidRPr="00AD51FB">
        <w:rPr>
          <w:rFonts w:eastAsia="Calibri"/>
          <w:kern w:val="2"/>
          <w:sz w:val="28"/>
          <w:szCs w:val="28"/>
          <w14:ligatures w14:val="standardContextual"/>
        </w:rPr>
        <w:t xml:space="preserve"> </w:t>
      </w:r>
      <w:r w:rsidR="005D1201" w:rsidRPr="00AD51FB">
        <w:rPr>
          <w:rFonts w:eastAsia="Calibri"/>
          <w:kern w:val="2"/>
          <w:sz w:val="28"/>
          <w:szCs w:val="28"/>
          <w14:ligatures w14:val="standardContextual"/>
        </w:rPr>
        <w:t>applies and therefore authorises the Registrar to conduct an inspection of the business activities of a broker accredited in terms of the A</w:t>
      </w:r>
      <w:r w:rsidR="00B32378" w:rsidRPr="00AD51FB">
        <w:rPr>
          <w:rFonts w:eastAsia="Calibri"/>
          <w:kern w:val="2"/>
          <w:sz w:val="28"/>
          <w:szCs w:val="28"/>
          <w14:ligatures w14:val="standardContextual"/>
        </w:rPr>
        <w:t>ct</w:t>
      </w:r>
      <w:r w:rsidR="005D1201" w:rsidRPr="00AD51FB">
        <w:rPr>
          <w:rFonts w:eastAsia="Calibri"/>
          <w:kern w:val="2"/>
          <w:sz w:val="28"/>
          <w:szCs w:val="28"/>
          <w14:ligatures w14:val="standardContextual"/>
        </w:rPr>
        <w:t>. It also holds that, as far as there may be a complaint which is subject to s 47 of the A</w:t>
      </w:r>
      <w:r w:rsidR="00B32378" w:rsidRPr="00AD51FB">
        <w:rPr>
          <w:rFonts w:eastAsia="Calibri"/>
          <w:kern w:val="2"/>
          <w:sz w:val="28"/>
          <w:szCs w:val="28"/>
          <w14:ligatures w14:val="standardContextual"/>
        </w:rPr>
        <w:t>ct</w:t>
      </w:r>
      <w:r w:rsidR="005D1201" w:rsidRPr="00AD51FB">
        <w:rPr>
          <w:rFonts w:eastAsia="Calibri"/>
          <w:kern w:val="2"/>
          <w:sz w:val="28"/>
          <w:szCs w:val="28"/>
          <w14:ligatures w14:val="standardContextual"/>
        </w:rPr>
        <w:t>, the existence of the complaint does not preclude the use of the powers conferred by s 44.</w:t>
      </w:r>
    </w:p>
    <w:p w14:paraId="7A5AB118" w14:textId="77777777" w:rsidR="005D1201" w:rsidRPr="00AD51FB" w:rsidRDefault="005D1201" w:rsidP="005D1201">
      <w:pPr>
        <w:spacing w:after="160" w:line="259" w:lineRule="auto"/>
        <w:contextualSpacing/>
        <w:rPr>
          <w:rFonts w:eastAsia="Calibri"/>
          <w:kern w:val="2"/>
          <w:sz w:val="28"/>
          <w:szCs w:val="28"/>
          <w14:ligatures w14:val="standardContextual"/>
        </w:rPr>
      </w:pPr>
    </w:p>
    <w:p w14:paraId="443BEED0" w14:textId="68C03486"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[53]</w:t>
      </w:r>
      <w:r w:rsidRPr="00AD51FB">
        <w:rPr>
          <w:rFonts w:eastAsia="Arial"/>
          <w:kern w:val="2"/>
          <w:sz w:val="28"/>
          <w:szCs w:val="28"/>
          <w:lang w:val="en-ZA" w:eastAsia="en-ZA"/>
          <w14:ligatures w14:val="standardContextual"/>
        </w:rPr>
        <w:tab/>
      </w:r>
      <w:r w:rsidR="005D1201" w:rsidRPr="00AD51FB">
        <w:rPr>
          <w:rFonts w:eastAsia="Calibri"/>
          <w:kern w:val="2"/>
          <w:sz w:val="28"/>
          <w:szCs w:val="28"/>
          <w14:ligatures w14:val="standardContextual"/>
        </w:rPr>
        <w:t xml:space="preserve">The central issue is one of interpretation. The principles applicable to the interpretation of a statutory provision are clear. What is required is a unitary exercise to assign meaning in which text, context and purpose are considered. This Court, with reference to the oft cited passage from </w:t>
      </w:r>
      <w:r w:rsidR="005D1201" w:rsidRPr="00AD51FB">
        <w:rPr>
          <w:rFonts w:eastAsia="Calibri"/>
          <w:i/>
          <w:iCs/>
          <w:kern w:val="2"/>
          <w:sz w:val="28"/>
          <w:szCs w:val="28"/>
          <w14:ligatures w14:val="standardContextual"/>
        </w:rPr>
        <w:t>Endumeni</w:t>
      </w:r>
      <w:r w:rsidR="005D1201" w:rsidRPr="00AD51FB">
        <w:rPr>
          <w:rFonts w:eastAsia="Calibri"/>
          <w:kern w:val="2"/>
          <w:sz w:val="28"/>
          <w:szCs w:val="28"/>
          <w14:ligatures w14:val="standardContextual"/>
        </w:rPr>
        <w:t>,</w:t>
      </w:r>
      <w:r w:rsidR="005D1201" w:rsidRPr="00AD51FB">
        <w:rPr>
          <w:rStyle w:val="FootnoteReference"/>
          <w:rFonts w:eastAsia="Calibri"/>
          <w:kern w:val="2"/>
          <w:sz w:val="28"/>
          <w:szCs w:val="28"/>
          <w14:ligatures w14:val="standardContextual"/>
        </w:rPr>
        <w:footnoteReference w:id="27"/>
      </w:r>
      <w:r w:rsidR="005D1201" w:rsidRPr="00AD51FB">
        <w:rPr>
          <w:rFonts w:eastAsia="Calibri"/>
          <w:kern w:val="2"/>
          <w:sz w:val="28"/>
          <w:szCs w:val="28"/>
          <w14:ligatures w14:val="standardContextual"/>
        </w:rPr>
        <w:t xml:space="preserve"> explained in </w:t>
      </w:r>
      <w:r w:rsidR="005D1201" w:rsidRPr="00AD51FB">
        <w:rPr>
          <w:rFonts w:eastAsia="Calibri"/>
          <w:i/>
          <w:iCs/>
          <w:kern w:val="2"/>
          <w:sz w:val="28"/>
          <w:szCs w:val="28"/>
          <w14:ligatures w14:val="standardContextual"/>
        </w:rPr>
        <w:t>Capitec Bank Holdings Limited and Another v Coral Lagoon Investments 194 (Pty) Ltd and Others</w:t>
      </w:r>
      <w:r w:rsidR="005D1201" w:rsidRPr="00AD51FB">
        <w:rPr>
          <w:rFonts w:eastAsia="Calibri"/>
          <w:kern w:val="2"/>
          <w:sz w:val="28"/>
          <w:szCs w:val="28"/>
          <w14:ligatures w14:val="standardContextual"/>
        </w:rPr>
        <w:t xml:space="preserve"> that:</w:t>
      </w:r>
    </w:p>
    <w:p w14:paraId="76353651" w14:textId="2AAA371F" w:rsidR="005D1201" w:rsidRPr="00AD51FB" w:rsidRDefault="005D1201" w:rsidP="005D1201">
      <w:pPr>
        <w:spacing w:after="160" w:line="360" w:lineRule="auto"/>
        <w:contextualSpacing/>
        <w:jc w:val="both"/>
        <w:rPr>
          <w:rFonts w:eastAsia="Calibri"/>
          <w:kern w:val="2"/>
          <w14:ligatures w14:val="standardContextual"/>
        </w:rPr>
      </w:pPr>
      <w:r w:rsidRPr="00AD51FB">
        <w:rPr>
          <w:rFonts w:eastAsia="Calibri"/>
          <w:kern w:val="2"/>
          <w14:ligatures w14:val="standardContextual"/>
        </w:rPr>
        <w:lastRenderedPageBreak/>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sidRPr="00AD51FB">
        <w:rPr>
          <w:rStyle w:val="FootnoteReference"/>
          <w:rFonts w:eastAsia="Calibri"/>
          <w:kern w:val="2"/>
          <w14:ligatures w14:val="standardContextual"/>
        </w:rPr>
        <w:footnoteReference w:id="28"/>
      </w:r>
    </w:p>
    <w:p w14:paraId="7B84023C" w14:textId="77777777" w:rsidR="005D1201" w:rsidRPr="00AD51FB" w:rsidRDefault="005D1201" w:rsidP="005D1201">
      <w:pPr>
        <w:spacing w:line="360" w:lineRule="auto"/>
        <w:jc w:val="both"/>
        <w:rPr>
          <w:rFonts w:eastAsia="Arial"/>
          <w:kern w:val="2"/>
          <w:lang w:val="en-ZA" w:eastAsia="en-ZA"/>
          <w14:ligatures w14:val="standardContextual"/>
        </w:rPr>
      </w:pPr>
    </w:p>
    <w:p w14:paraId="6BC5CA9A" w14:textId="185750B7"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[54]</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legislative context consists of the provisions of the A</w:t>
      </w:r>
      <w:r w:rsidR="00380B83"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read as a whole. The history of the particular enactment may also serve as context. As noted in </w:t>
      </w:r>
      <w:r w:rsidR="005D1201" w:rsidRPr="00AD51FB">
        <w:rPr>
          <w:rFonts w:eastAsia="Arial"/>
          <w:i/>
          <w:iCs/>
          <w:kern w:val="2"/>
          <w:sz w:val="28"/>
          <w:szCs w:val="28"/>
          <w:lang w:val="en-ZA" w:eastAsia="en-ZA"/>
          <w14:ligatures w14:val="standardContextual"/>
        </w:rPr>
        <w:t>Nissan SA (Pty) Limited v Commissioner for Inland Revenue</w:t>
      </w:r>
      <w:r w:rsidR="007539DA"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w:t>
      </w:r>
    </w:p>
    <w:p w14:paraId="287750E3" w14:textId="674C1E56" w:rsidR="005D1201" w:rsidRPr="00AD51FB" w:rsidRDefault="005D1201" w:rsidP="005D1201">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lang w:eastAsia="en-ZA"/>
          <w14:ligatures w14:val="standardContextual"/>
        </w:rPr>
        <w:t>‘Whatever the permissible scope for, and the limitations upon, the use of the legislative history of a particular provision as an aid to interpretation may be, I think it is obvious that where a provision has been amended and the amendment is deemed to have taken effect while the provision in its unamended state was operative, one is entitled to examine the implications of that in order to see whether they throw any light upon the interpretation which should be accorded to the amendment.’</w:t>
      </w:r>
      <w:r w:rsidRPr="00AD51FB">
        <w:rPr>
          <w:rStyle w:val="FootnoteReference"/>
          <w:rFonts w:eastAsia="Arial"/>
          <w:kern w:val="2"/>
          <w:sz w:val="28"/>
          <w:szCs w:val="28"/>
          <w:lang w:val="en-ZA" w:eastAsia="en-ZA"/>
          <w14:ligatures w14:val="standardContextual"/>
        </w:rPr>
        <w:t xml:space="preserve"> </w:t>
      </w:r>
      <w:r w:rsidRPr="00AD51FB">
        <w:rPr>
          <w:rStyle w:val="FootnoteReference"/>
          <w:rFonts w:eastAsia="Arial"/>
          <w:kern w:val="2"/>
          <w:sz w:val="28"/>
          <w:szCs w:val="28"/>
          <w:lang w:val="en-ZA" w:eastAsia="en-ZA"/>
          <w14:ligatures w14:val="standardContextual"/>
        </w:rPr>
        <w:footnoteReference w:id="29"/>
      </w:r>
    </w:p>
    <w:p w14:paraId="6E34A4F4" w14:textId="77777777" w:rsidR="00B32378" w:rsidRPr="00AD51FB" w:rsidRDefault="00B32378" w:rsidP="005D1201">
      <w:pPr>
        <w:spacing w:after="160" w:line="360" w:lineRule="auto"/>
        <w:contextualSpacing/>
        <w:jc w:val="both"/>
        <w:rPr>
          <w:rFonts w:eastAsia="Arial"/>
          <w:kern w:val="2"/>
          <w:sz w:val="28"/>
          <w:szCs w:val="28"/>
          <w:lang w:val="en-ZA" w:eastAsia="en-ZA"/>
          <w14:ligatures w14:val="standardContextual"/>
        </w:rPr>
      </w:pPr>
    </w:p>
    <w:p w14:paraId="1256AE56" w14:textId="51BB451D" w:rsidR="005D1201" w:rsidRPr="00AD51FB" w:rsidRDefault="00CF10AD" w:rsidP="00CF10AD">
      <w:pPr>
        <w:spacing w:after="160" w:line="360" w:lineRule="auto"/>
        <w:ind w:left="-90" w:right="-1"/>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[55]</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In this instance, ss 44(2) and (3) of the A</w:t>
      </w:r>
      <w:r w:rsidR="00AA1F10"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refer to the Inspection of Financial Institutions Act, 34 of 1984. That Act was repealed by the Inspection of Financial Institutions Act, 80 of 1998 (the 1998 Inspection Act) which was, in turn, repealed by the FSR Act.</w:t>
      </w:r>
      <w:r w:rsidR="005D1201" w:rsidRPr="00AD51FB">
        <w:rPr>
          <w:rFonts w:eastAsia="Arial"/>
          <w:kern w:val="2"/>
          <w:sz w:val="28"/>
          <w:szCs w:val="28"/>
          <w:vertAlign w:val="superscript"/>
          <w:lang w:val="en-ZA" w:eastAsia="en-ZA"/>
          <w14:ligatures w14:val="standardContextual"/>
        </w:rPr>
        <w:footnoteReference w:id="30"/>
      </w:r>
      <w:r w:rsidR="005D1201" w:rsidRPr="00AD51FB">
        <w:rPr>
          <w:rFonts w:eastAsia="Arial"/>
          <w:kern w:val="2"/>
          <w:sz w:val="28"/>
          <w:szCs w:val="28"/>
          <w:lang w:val="en-ZA" w:eastAsia="en-ZA"/>
          <w14:ligatures w14:val="standardContextual"/>
        </w:rPr>
        <w:t xml:space="preserve"> The A</w:t>
      </w:r>
      <w:r w:rsidR="0024517D"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has yet to be amended to reflect the current state of affairs. In light of this, s 12(1) of the Interpretation Act 33 of 1957, applies. It reads as follows:</w:t>
      </w:r>
    </w:p>
    <w:p w14:paraId="226ADA82" w14:textId="77777777" w:rsidR="005D1201" w:rsidRPr="00AD51FB" w:rsidRDefault="005D1201" w:rsidP="00466949">
      <w:pPr>
        <w:spacing w:line="360" w:lineRule="auto"/>
        <w:ind w:right="-1"/>
        <w:contextualSpacing/>
        <w:jc w:val="both"/>
        <w:rPr>
          <w:rFonts w:eastAsia="Arial"/>
          <w:kern w:val="2"/>
          <w:lang w:val="en-ZA" w:eastAsia="en-ZA"/>
          <w14:ligatures w14:val="standardContextual"/>
        </w:rPr>
      </w:pPr>
      <w:r w:rsidRPr="00AD51FB">
        <w:rPr>
          <w:rFonts w:eastAsia="Arial"/>
          <w:kern w:val="2"/>
          <w:lang w:val="en-ZA" w:eastAsia="en-ZA"/>
          <w14:ligatures w14:val="standardContextual"/>
        </w:rPr>
        <w:t>‘Where a law repeals and re-enacts, with or without modifications, any provision of a former law, references in any other law to the provision so repealed shall, unless the contrary intention appears, be construed to refer to the provision so re-enacted.’</w:t>
      </w:r>
    </w:p>
    <w:p w14:paraId="784D68B7"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4CB73D39" w14:textId="4E1333E9" w:rsidR="005D1201" w:rsidRPr="00AD51FB" w:rsidRDefault="00CF10AD" w:rsidP="00CF10AD">
      <w:pPr>
        <w:spacing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lastRenderedPageBreak/>
        <w:t>[56]</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In the circumstances</w:t>
      </w:r>
      <w:r w:rsidR="0024517D"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an examination </w:t>
      </w:r>
      <w:r w:rsidR="0024517D" w:rsidRPr="00AD51FB">
        <w:rPr>
          <w:rFonts w:eastAsia="Arial"/>
          <w:kern w:val="2"/>
          <w:sz w:val="28"/>
          <w:szCs w:val="28"/>
          <w:lang w:val="en-ZA" w:eastAsia="en-ZA"/>
          <w14:ligatures w14:val="standardContextual"/>
        </w:rPr>
        <w:t xml:space="preserve">of </w:t>
      </w:r>
      <w:r w:rsidR="005D1201" w:rsidRPr="00AD51FB">
        <w:rPr>
          <w:rFonts w:eastAsia="Arial"/>
          <w:kern w:val="2"/>
          <w:sz w:val="28"/>
          <w:szCs w:val="28"/>
          <w:lang w:val="en-ZA" w:eastAsia="en-ZA"/>
          <w14:ligatures w14:val="standardContextual"/>
        </w:rPr>
        <w:t>both the repealed provisions and the re-enacting provisions, is required to come to a proper understanding of the legislative context within which meaning is to be assigned to the language of s</w:t>
      </w:r>
      <w:r w:rsidR="00941616">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44 of the A</w:t>
      </w:r>
      <w:r w:rsidR="00AA1F10"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One further relevant aspect is that s 44(4) was introduced by way of the Medical Schemes Amendment Act, 55 of 2001.</w:t>
      </w:r>
      <w:r w:rsidR="005D1201" w:rsidRPr="00AD51FB">
        <w:rPr>
          <w:rFonts w:eastAsia="Arial"/>
          <w:kern w:val="2"/>
          <w:sz w:val="28"/>
          <w:szCs w:val="28"/>
          <w:vertAlign w:val="superscript"/>
          <w:lang w:val="en-ZA" w:eastAsia="en-ZA"/>
          <w14:ligatures w14:val="standardContextual"/>
        </w:rPr>
        <w:footnoteReference w:id="31"/>
      </w:r>
      <w:r w:rsidR="005D1201" w:rsidRPr="00AD51FB">
        <w:rPr>
          <w:rFonts w:eastAsia="Arial"/>
          <w:kern w:val="2"/>
          <w:sz w:val="28"/>
          <w:szCs w:val="28"/>
          <w:lang w:val="en-ZA" w:eastAsia="en-ZA"/>
          <w14:ligatures w14:val="standardContextual"/>
        </w:rPr>
        <w:t xml:space="preserve"> The long title of the </w:t>
      </w:r>
      <w:r w:rsidR="00E859A7" w:rsidRPr="00AD51FB">
        <w:rPr>
          <w:rFonts w:eastAsia="Arial"/>
          <w:kern w:val="2"/>
          <w:sz w:val="28"/>
          <w:szCs w:val="28"/>
          <w:lang w:val="en-ZA" w:eastAsia="en-ZA"/>
          <w14:ligatures w14:val="standardContextual"/>
        </w:rPr>
        <w:t xml:space="preserve">Amendment </w:t>
      </w:r>
      <w:r w:rsidR="005D1201" w:rsidRPr="00AD51FB">
        <w:rPr>
          <w:rFonts w:eastAsia="Arial"/>
          <w:kern w:val="2"/>
          <w:sz w:val="28"/>
          <w:szCs w:val="28"/>
          <w:lang w:val="en-ZA" w:eastAsia="en-ZA"/>
          <w14:ligatures w14:val="standardContextual"/>
        </w:rPr>
        <w:t>Act describes its purpose, inter alia, ‘to determine the circumstances under which inspections may occur’. At the time that s 44(4) was introduced, the provisions of the 1998 Inspection Act applied. The consequence, as will be demonstrated, was to circumscribe the ambit of the authority to conduct inspections in unequivocal terms, at least until the subsequent repeal of the 1998 Inspection Act.</w:t>
      </w:r>
    </w:p>
    <w:p w14:paraId="2CB4A094"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288124AF" w14:textId="49C60DFB"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[57]</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Before turning to this, the following provisions of the A</w:t>
      </w:r>
      <w:r w:rsidR="00AA1F10"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provide the immediate legislative context within which s 44 must be read. The Council’s functions are set out in s 7. They include the obligation to protect the interests of beneficiaries of medical schemes;</w:t>
      </w:r>
      <w:r w:rsidR="005D1201" w:rsidRPr="00AD51FB">
        <w:rPr>
          <w:rFonts w:eastAsia="Arial"/>
          <w:kern w:val="2"/>
          <w:sz w:val="28"/>
          <w:szCs w:val="28"/>
          <w:vertAlign w:val="superscript"/>
          <w:lang w:val="en-ZA" w:eastAsia="en-ZA"/>
          <w14:ligatures w14:val="standardContextual"/>
        </w:rPr>
        <w:footnoteReference w:id="32"/>
      </w:r>
      <w:r w:rsidR="005D1201" w:rsidRPr="00AD51FB">
        <w:rPr>
          <w:rFonts w:eastAsia="Arial"/>
          <w:kern w:val="2"/>
          <w:sz w:val="28"/>
          <w:szCs w:val="28"/>
          <w:lang w:val="en-ZA" w:eastAsia="en-ZA"/>
          <w14:ligatures w14:val="standardContextual"/>
        </w:rPr>
        <w:t xml:space="preserve"> to control and co-ordinate the functioning of medical schemes;</w:t>
      </w:r>
      <w:r w:rsidR="005D1201" w:rsidRPr="00AD51FB">
        <w:rPr>
          <w:rFonts w:eastAsia="Arial"/>
          <w:kern w:val="2"/>
          <w:sz w:val="28"/>
          <w:szCs w:val="28"/>
          <w:vertAlign w:val="superscript"/>
          <w:lang w:val="en-ZA" w:eastAsia="en-ZA"/>
          <w14:ligatures w14:val="standardContextual"/>
        </w:rPr>
        <w:footnoteReference w:id="33"/>
      </w:r>
      <w:r w:rsidR="005D1201" w:rsidRPr="00AD51FB">
        <w:rPr>
          <w:rFonts w:eastAsia="Arial"/>
          <w:kern w:val="2"/>
          <w:sz w:val="28"/>
          <w:szCs w:val="28"/>
          <w:lang w:val="en-ZA" w:eastAsia="en-ZA"/>
          <w14:ligatures w14:val="standardContextual"/>
        </w:rPr>
        <w:t xml:space="preserve"> and to investigate complaints and settle disputes ‘in relation to the affairs of medical schemes’ as provided by the MSA.</w:t>
      </w:r>
      <w:r w:rsidR="005D1201" w:rsidRPr="00AD51FB">
        <w:rPr>
          <w:rFonts w:eastAsia="Arial"/>
          <w:kern w:val="2"/>
          <w:sz w:val="28"/>
          <w:szCs w:val="28"/>
          <w:vertAlign w:val="superscript"/>
          <w:lang w:val="en-ZA" w:eastAsia="en-ZA"/>
          <w14:ligatures w14:val="standardContextual"/>
        </w:rPr>
        <w:footnoteReference w:id="34"/>
      </w:r>
      <w:r w:rsidR="005D1201" w:rsidRPr="00AD51FB">
        <w:rPr>
          <w:rFonts w:eastAsia="Arial"/>
          <w:kern w:val="2"/>
          <w:sz w:val="28"/>
          <w:szCs w:val="28"/>
          <w:lang w:val="en-ZA" w:eastAsia="en-ZA"/>
          <w14:ligatures w14:val="standardContextual"/>
        </w:rPr>
        <w:t xml:space="preserve"> The Council’s powers are spelt out in s 8. Its regulatory authority is expressed as the power to approve the registration, suspension, and cancellation of registration of medical schemes.</w:t>
      </w:r>
      <w:r w:rsidR="005D1201" w:rsidRPr="00AD51FB">
        <w:rPr>
          <w:rFonts w:eastAsia="Arial"/>
          <w:kern w:val="2"/>
          <w:sz w:val="28"/>
          <w:szCs w:val="28"/>
          <w:vertAlign w:val="superscript"/>
          <w:lang w:val="en-ZA" w:eastAsia="en-ZA"/>
          <w14:ligatures w14:val="standardContextual"/>
        </w:rPr>
        <w:footnoteReference w:id="35"/>
      </w:r>
      <w:r w:rsidR="005D1201" w:rsidRPr="00AD51FB">
        <w:rPr>
          <w:rFonts w:eastAsia="Arial"/>
          <w:kern w:val="2"/>
          <w:sz w:val="28"/>
          <w:szCs w:val="28"/>
          <w:lang w:val="en-ZA" w:eastAsia="en-ZA"/>
          <w14:ligatures w14:val="standardContextual"/>
        </w:rPr>
        <w:t xml:space="preserve"> To facilitate the performance of its functions, it is granted the power to take all steps necessary or expedient in accordance with the A</w:t>
      </w:r>
      <w:r w:rsidR="00A06688"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36"/>
      </w:r>
    </w:p>
    <w:p w14:paraId="7D691C05"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4464F2D6" w14:textId="0AFA922A"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lastRenderedPageBreak/>
        <w:t>[58]</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Section 24 of the MSA requires the registration of a medical scheme. The effect of such registration is addressed in s 26. This section sets out an array of requirements regulating the conduct of the business of a medical scheme. Section</w:t>
      </w:r>
      <w:r w:rsidR="00FB734A">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35 provides for the financial arrangements of a medical scheme and the prudential requirements for the conduct of the business of a medical scheme.</w:t>
      </w:r>
      <w:r w:rsidR="005D1201" w:rsidRPr="00AD51FB">
        <w:rPr>
          <w:rFonts w:eastAsia="Arial"/>
          <w:kern w:val="2"/>
          <w:sz w:val="28"/>
          <w:szCs w:val="28"/>
          <w:vertAlign w:val="superscript"/>
          <w:lang w:val="en-ZA" w:eastAsia="en-ZA"/>
          <w14:ligatures w14:val="standardContextual"/>
        </w:rPr>
        <w:footnoteReference w:id="37"/>
      </w:r>
      <w:r w:rsidR="005D1201" w:rsidRPr="00AD51FB">
        <w:rPr>
          <w:rFonts w:eastAsia="Arial"/>
          <w:kern w:val="2"/>
          <w:sz w:val="28"/>
          <w:szCs w:val="28"/>
          <w:lang w:val="en-ZA" w:eastAsia="en-ZA"/>
          <w14:ligatures w14:val="standardContextual"/>
        </w:rPr>
        <w:t xml:space="preserve"> These provisions bear emphasis because they encapsulate the affairs of a medical scheme which are subject to supervisory control by the Council, in the interests of members of medical schemes.</w:t>
      </w:r>
    </w:p>
    <w:p w14:paraId="6FC4E1DE"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6F19F197" w14:textId="0305A794"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[59]</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Chapter 9 of the A</w:t>
      </w:r>
      <w:r w:rsidR="00A06688"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deals with the powers of the Registrar. In terms of s</w:t>
      </w:r>
      <w:r w:rsidR="00941616">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42</w:t>
      </w:r>
      <w:r w:rsidR="00A06688"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the Registrar has the right to request information additional to that disclosed in an application for registration or in a return submitted by a medical scheme. Section 43 permits the Registrar to address enquiries to a medical scheme ‘in relation to any matter connected with the business or transactions of a medical scheme.’</w:t>
      </w:r>
      <w:r w:rsidR="005D1201" w:rsidRPr="00AD51FB">
        <w:rPr>
          <w:rFonts w:eastAsia="Arial"/>
          <w:kern w:val="2"/>
          <w:sz w:val="28"/>
          <w:szCs w:val="28"/>
          <w:vertAlign w:val="superscript"/>
          <w:lang w:val="en-ZA" w:eastAsia="en-ZA"/>
          <w14:ligatures w14:val="standardContextual"/>
        </w:rPr>
        <w:footnoteReference w:id="38"/>
      </w:r>
      <w:r w:rsidR="005D1201" w:rsidRPr="00AD51FB">
        <w:rPr>
          <w:rFonts w:eastAsia="Arial"/>
          <w:kern w:val="2"/>
          <w:sz w:val="28"/>
          <w:szCs w:val="28"/>
          <w:lang w:val="en-ZA" w:eastAsia="en-ZA"/>
          <w14:ligatures w14:val="standardContextual"/>
        </w:rPr>
        <w:t xml:space="preserve"> </w:t>
      </w:r>
      <w:r w:rsidR="00C161F0" w:rsidRPr="00AD51FB">
        <w:rPr>
          <w:rFonts w:eastAsia="Arial"/>
          <w:kern w:val="2"/>
          <w:sz w:val="28"/>
          <w:szCs w:val="28"/>
          <w:lang w:val="en-ZA" w:eastAsia="en-ZA"/>
          <w14:ligatures w14:val="standardContextual"/>
        </w:rPr>
        <w:t xml:space="preserve">Section 44 </w:t>
      </w:r>
      <w:r w:rsidR="005D1201" w:rsidRPr="00AD51FB">
        <w:rPr>
          <w:rFonts w:eastAsia="Arial"/>
          <w:kern w:val="2"/>
          <w:sz w:val="28"/>
          <w:szCs w:val="28"/>
          <w:lang w:val="en-ZA" w:eastAsia="en-ZA"/>
          <w14:ligatures w14:val="standardContextual"/>
        </w:rPr>
        <w:t>which deals with the power to conduct inspections reads as follows:</w:t>
      </w:r>
    </w:p>
    <w:p w14:paraId="51561614" w14:textId="75133450" w:rsidR="005D1201" w:rsidRPr="00AD51FB" w:rsidRDefault="005D1201" w:rsidP="005D1201">
      <w:pPr>
        <w:spacing w:line="360" w:lineRule="auto"/>
        <w:jc w:val="both"/>
        <w:rPr>
          <w:rFonts w:eastAsia="Arial"/>
          <w:kern w:val="2"/>
          <w:lang w:val="en-ZA" w:eastAsia="en-ZA"/>
          <w14:ligatures w14:val="standardContextual"/>
        </w:rPr>
      </w:pPr>
      <w:r w:rsidRPr="00AD51FB">
        <w:rPr>
          <w:rFonts w:eastAsia="Calibri"/>
          <w:kern w:val="2"/>
          <w:lang w:val="en-ZA"/>
          <w14:ligatures w14:val="standardContextual"/>
        </w:rPr>
        <w:t>‘</w:t>
      </w:r>
      <w:r w:rsidRPr="00AD51FB">
        <w:rPr>
          <w:lang w:val="en-ZA" w:eastAsia="en-ZA"/>
        </w:rPr>
        <w:t>(1)</w:t>
      </w:r>
      <w:r w:rsidR="00DD1AAA" w:rsidRPr="00AD51FB">
        <w:rPr>
          <w:lang w:val="en-ZA" w:eastAsia="en-ZA"/>
        </w:rPr>
        <w:t xml:space="preserve"> </w:t>
      </w:r>
      <w:r w:rsidRPr="00AD51FB">
        <w:rPr>
          <w:lang w:val="en-ZA" w:eastAsia="en-ZA"/>
        </w:rPr>
        <w:t xml:space="preserve">A medical scheme shall, at the written request of the Registrar, </w:t>
      </w:r>
      <w:r w:rsidRPr="00AD51FB">
        <w:rPr>
          <w:i/>
          <w:iCs/>
          <w:lang w:val="en-ZA" w:eastAsia="en-ZA"/>
        </w:rPr>
        <w:t>or during an inspection of the affairs of a medical scheme</w:t>
      </w:r>
      <w:r w:rsidRPr="00AD51FB">
        <w:rPr>
          <w:lang w:val="en-ZA" w:eastAsia="en-ZA"/>
        </w:rPr>
        <w:t>, by the Registrar or such other person authorised by him or her, produce at any place where it carries on business, its books, documents and annual financial statements in order to enable the Registrar or such other person authorised by him or her to obtain any information relating to the medical scheme required in connection with the administration of this Act.</w:t>
      </w:r>
    </w:p>
    <w:p w14:paraId="6E99F094" w14:textId="0B5C600B" w:rsidR="005D1201" w:rsidRPr="00AD51FB" w:rsidRDefault="005D1201" w:rsidP="005D1201">
      <w:pPr>
        <w:shd w:val="clear" w:color="auto" w:fill="FFFFFF"/>
        <w:spacing w:before="120" w:line="360" w:lineRule="auto"/>
        <w:jc w:val="both"/>
        <w:rPr>
          <w:lang w:val="en-ZA" w:eastAsia="en-ZA"/>
        </w:rPr>
      </w:pPr>
      <w:r w:rsidRPr="00AD51FB">
        <w:rPr>
          <w:lang w:val="en-ZA" w:eastAsia="en-ZA"/>
        </w:rPr>
        <w:lastRenderedPageBreak/>
        <w:t>(2)</w:t>
      </w:r>
      <w:r w:rsidR="00DD1AAA" w:rsidRPr="00AD51FB">
        <w:rPr>
          <w:lang w:val="en-ZA" w:eastAsia="en-ZA"/>
        </w:rPr>
        <w:t xml:space="preserve"> </w:t>
      </w:r>
      <w:r w:rsidRPr="00AD51FB">
        <w:rPr>
          <w:lang w:val="en-ZA" w:eastAsia="en-ZA"/>
        </w:rPr>
        <w:t>The Registrar, or such other person authorised by him or her, shall in addition to the powers and duties conferred or imposed upon him or her by this Act, have all the powers and duties conferred or imposed upon an inspector appointed under section 2 of the Inspection of Financial Institutions Act, 1984 (Act No. 38 of 1984), as if he or she has been appointed an inspector under that Act.</w:t>
      </w:r>
    </w:p>
    <w:p w14:paraId="22AF4C83" w14:textId="71DD42C3" w:rsidR="005D1201" w:rsidRPr="00AD51FB" w:rsidRDefault="005D1201" w:rsidP="005D1201">
      <w:pPr>
        <w:shd w:val="clear" w:color="auto" w:fill="FFFFFF"/>
        <w:spacing w:before="120" w:line="360" w:lineRule="auto"/>
        <w:jc w:val="both"/>
        <w:rPr>
          <w:lang w:val="en-ZA" w:eastAsia="en-ZA"/>
        </w:rPr>
      </w:pPr>
      <w:r w:rsidRPr="00AD51FB">
        <w:rPr>
          <w:lang w:val="en-ZA" w:eastAsia="en-ZA"/>
        </w:rPr>
        <w:t>(3)</w:t>
      </w:r>
      <w:r w:rsidR="00DD1AAA" w:rsidRPr="00AD51FB">
        <w:rPr>
          <w:lang w:val="en-ZA" w:eastAsia="en-ZA"/>
        </w:rPr>
        <w:t xml:space="preserve"> </w:t>
      </w:r>
      <w:r w:rsidRPr="00AD51FB">
        <w:rPr>
          <w:lang w:val="en-ZA" w:eastAsia="en-ZA"/>
        </w:rPr>
        <w:t xml:space="preserve">Any reference in this Act to </w:t>
      </w:r>
      <w:r w:rsidRPr="00AD51FB">
        <w:rPr>
          <w:i/>
          <w:iCs/>
          <w:lang w:val="en-ZA" w:eastAsia="en-ZA"/>
        </w:rPr>
        <w:t>an inspection</w:t>
      </w:r>
      <w:r w:rsidRPr="00AD51FB">
        <w:rPr>
          <w:lang w:val="en-ZA" w:eastAsia="en-ZA"/>
        </w:rPr>
        <w:t xml:space="preserve"> made under this section </w:t>
      </w:r>
      <w:r w:rsidRPr="00AD51FB">
        <w:rPr>
          <w:i/>
          <w:iCs/>
          <w:lang w:val="en-ZA" w:eastAsia="en-ZA"/>
        </w:rPr>
        <w:t xml:space="preserve">shall also be construed as a reference to an inspection </w:t>
      </w:r>
      <w:r w:rsidRPr="00AD51FB">
        <w:rPr>
          <w:lang w:val="en-ZA" w:eastAsia="en-ZA"/>
        </w:rPr>
        <w:t>made under the Inspection of Financial Institutions Act, 1984.</w:t>
      </w:r>
    </w:p>
    <w:p w14:paraId="3A17030D" w14:textId="50571898" w:rsidR="005D1201" w:rsidRPr="00AD51FB" w:rsidRDefault="005D1201" w:rsidP="00E859A7">
      <w:pPr>
        <w:shd w:val="clear" w:color="auto" w:fill="FFFFFF"/>
        <w:spacing w:before="120" w:line="360" w:lineRule="auto"/>
        <w:jc w:val="both"/>
        <w:rPr>
          <w:lang w:val="en-ZA" w:eastAsia="en-ZA"/>
        </w:rPr>
      </w:pPr>
      <w:r w:rsidRPr="00AD51FB">
        <w:rPr>
          <w:lang w:val="en-ZA" w:eastAsia="en-ZA"/>
        </w:rPr>
        <w:t>(4)</w:t>
      </w:r>
      <w:r w:rsidR="00DD1AAA" w:rsidRPr="00AD51FB">
        <w:rPr>
          <w:lang w:val="en-ZA" w:eastAsia="en-ZA"/>
        </w:rPr>
        <w:t xml:space="preserve"> </w:t>
      </w:r>
      <w:r w:rsidRPr="00AD51FB">
        <w:rPr>
          <w:lang w:val="en-ZA" w:eastAsia="en-ZA"/>
        </w:rPr>
        <w:t>The Registrar may order an inspection in terms of this section—</w:t>
      </w:r>
    </w:p>
    <w:p w14:paraId="37BB7A07" w14:textId="77777777" w:rsidR="00181FDD" w:rsidRDefault="005D1201" w:rsidP="00181FDD">
      <w:pPr>
        <w:shd w:val="clear" w:color="auto" w:fill="FFFFFF"/>
        <w:spacing w:line="360" w:lineRule="auto"/>
        <w:jc w:val="both"/>
        <w:rPr>
          <w:lang w:val="en-ZA" w:eastAsia="en-ZA"/>
        </w:rPr>
      </w:pPr>
      <w:r w:rsidRPr="00AD51FB">
        <w:rPr>
          <w:lang w:val="en-ZA" w:eastAsia="en-ZA"/>
        </w:rPr>
        <w:t>(</w:t>
      </w:r>
      <w:r w:rsidRPr="00AD51FB">
        <w:rPr>
          <w:i/>
          <w:iCs/>
          <w:lang w:val="en-ZA" w:eastAsia="en-ZA"/>
        </w:rPr>
        <w:t>a</w:t>
      </w:r>
      <w:r w:rsidRPr="00AD51FB">
        <w:rPr>
          <w:lang w:val="en-ZA" w:eastAsia="en-ZA"/>
        </w:rPr>
        <w:t>)</w:t>
      </w:r>
      <w:r w:rsidR="00DD1AAA" w:rsidRPr="00AD51FB">
        <w:rPr>
          <w:lang w:val="en-ZA" w:eastAsia="en-ZA"/>
        </w:rPr>
        <w:t xml:space="preserve"> </w:t>
      </w:r>
      <w:r w:rsidRPr="00AD51FB">
        <w:rPr>
          <w:lang w:val="en-ZA" w:eastAsia="en-ZA"/>
        </w:rPr>
        <w:t xml:space="preserve">if he or she is of the opinion that such </w:t>
      </w:r>
      <w:r w:rsidRPr="00AD51FB">
        <w:rPr>
          <w:i/>
          <w:iCs/>
          <w:lang w:val="en-ZA" w:eastAsia="en-ZA"/>
        </w:rPr>
        <w:t>an inspection</w:t>
      </w:r>
      <w:r w:rsidRPr="00AD51FB">
        <w:rPr>
          <w:lang w:val="en-ZA" w:eastAsia="en-ZA"/>
        </w:rPr>
        <w:t xml:space="preserve"> will provide evidence of any irregularity or of </w:t>
      </w:r>
      <w:r w:rsidRPr="00AD51FB">
        <w:rPr>
          <w:i/>
          <w:iCs/>
          <w:lang w:val="en-ZA" w:eastAsia="en-ZA"/>
        </w:rPr>
        <w:t>non-compliance</w:t>
      </w:r>
      <w:r w:rsidRPr="00AD51FB">
        <w:rPr>
          <w:lang w:val="en-ZA" w:eastAsia="en-ZA"/>
        </w:rPr>
        <w:t xml:space="preserve"> with this Act </w:t>
      </w:r>
      <w:r w:rsidRPr="00AD51FB">
        <w:rPr>
          <w:i/>
          <w:iCs/>
          <w:lang w:val="en-ZA" w:eastAsia="en-ZA"/>
        </w:rPr>
        <w:t>by any person</w:t>
      </w:r>
      <w:r w:rsidRPr="00AD51FB">
        <w:rPr>
          <w:lang w:val="en-ZA" w:eastAsia="en-ZA"/>
        </w:rPr>
        <w:t>; or</w:t>
      </w:r>
    </w:p>
    <w:p w14:paraId="45FE2F55" w14:textId="77777777" w:rsidR="00181FDD" w:rsidRDefault="005D1201" w:rsidP="00466949">
      <w:pPr>
        <w:shd w:val="clear" w:color="auto" w:fill="FFFFFF"/>
        <w:spacing w:line="360" w:lineRule="auto"/>
        <w:jc w:val="both"/>
        <w:rPr>
          <w:lang w:val="en-ZA" w:eastAsia="en-ZA"/>
        </w:rPr>
      </w:pPr>
      <w:r w:rsidRPr="00AD51FB">
        <w:rPr>
          <w:lang w:val="en-ZA" w:eastAsia="en-ZA"/>
        </w:rPr>
        <w:t>(</w:t>
      </w:r>
      <w:r w:rsidRPr="00AD51FB">
        <w:rPr>
          <w:i/>
          <w:iCs/>
          <w:lang w:val="en-ZA" w:eastAsia="en-ZA"/>
        </w:rPr>
        <w:t>b</w:t>
      </w:r>
      <w:r w:rsidRPr="00AD51FB">
        <w:rPr>
          <w:lang w:val="en-ZA" w:eastAsia="en-ZA"/>
        </w:rPr>
        <w:t>)</w:t>
      </w:r>
      <w:r w:rsidR="00DD1AAA" w:rsidRPr="00AD51FB">
        <w:rPr>
          <w:lang w:val="en-ZA" w:eastAsia="en-ZA"/>
        </w:rPr>
        <w:t xml:space="preserve"> </w:t>
      </w:r>
      <w:r w:rsidRPr="00AD51FB">
        <w:rPr>
          <w:lang w:val="en-ZA" w:eastAsia="en-ZA"/>
        </w:rPr>
        <w:t xml:space="preserve">for purposes of </w:t>
      </w:r>
      <w:r w:rsidRPr="00AD51FB">
        <w:rPr>
          <w:i/>
          <w:iCs/>
          <w:lang w:val="en-ZA" w:eastAsia="en-ZA"/>
        </w:rPr>
        <w:t>routine monitoring</w:t>
      </w:r>
      <w:r w:rsidRPr="00AD51FB">
        <w:rPr>
          <w:lang w:val="en-ZA" w:eastAsia="en-ZA"/>
        </w:rPr>
        <w:t xml:space="preserve"> of compliance with this Act </w:t>
      </w:r>
      <w:r w:rsidRPr="00AD51FB">
        <w:rPr>
          <w:i/>
          <w:iCs/>
          <w:lang w:val="en-ZA" w:eastAsia="en-ZA"/>
        </w:rPr>
        <w:t>by a medical scheme or any other person</w:t>
      </w:r>
      <w:r w:rsidRPr="00AD51FB">
        <w:rPr>
          <w:lang w:val="en-ZA" w:eastAsia="en-ZA"/>
        </w:rPr>
        <w:t>.</w:t>
      </w:r>
    </w:p>
    <w:p w14:paraId="79836998" w14:textId="2F96C487" w:rsidR="005D1201" w:rsidRPr="00AD51FB" w:rsidRDefault="005D1201" w:rsidP="00466949">
      <w:pPr>
        <w:shd w:val="clear" w:color="auto" w:fill="FFFFFF"/>
        <w:spacing w:line="360" w:lineRule="auto"/>
        <w:ind w:right="-1"/>
        <w:jc w:val="both"/>
        <w:rPr>
          <w:lang w:val="en-ZA" w:eastAsia="en-ZA"/>
        </w:rPr>
      </w:pPr>
      <w:r w:rsidRPr="00AD51FB">
        <w:rPr>
          <w:lang w:val="en-ZA" w:eastAsia="en-ZA"/>
        </w:rPr>
        <w:t>(5)</w:t>
      </w:r>
      <w:r w:rsidR="00DD1AAA" w:rsidRPr="00AD51FB">
        <w:rPr>
          <w:lang w:val="en-ZA" w:eastAsia="en-ZA"/>
        </w:rPr>
        <w:t xml:space="preserve"> </w:t>
      </w:r>
      <w:r w:rsidRPr="00AD51FB">
        <w:rPr>
          <w:lang w:val="en-ZA" w:eastAsia="en-ZA"/>
        </w:rPr>
        <w:t>The Registrar may, at any time by notice in writing, direct a medical scheme to furnish to him or her within a period specified in that notice, or within such further period as the Registrar may allow—</w:t>
      </w:r>
    </w:p>
    <w:p w14:paraId="4176DD23" w14:textId="1EBE0ED5" w:rsidR="005D1201" w:rsidRPr="00AD51FB" w:rsidRDefault="005D1201" w:rsidP="00E859A7">
      <w:pPr>
        <w:shd w:val="clear" w:color="auto" w:fill="FFFFFF"/>
        <w:spacing w:line="360" w:lineRule="auto"/>
        <w:jc w:val="both"/>
        <w:rPr>
          <w:lang w:val="en-ZA" w:eastAsia="en-ZA"/>
        </w:rPr>
      </w:pPr>
      <w:r w:rsidRPr="00AD51FB">
        <w:rPr>
          <w:lang w:val="en-ZA" w:eastAsia="en-ZA"/>
        </w:rPr>
        <w:t>(</w:t>
      </w:r>
      <w:r w:rsidRPr="00AD51FB">
        <w:rPr>
          <w:i/>
          <w:iCs/>
          <w:lang w:val="en-ZA" w:eastAsia="en-ZA"/>
        </w:rPr>
        <w:t>a</w:t>
      </w:r>
      <w:r w:rsidRPr="00AD51FB">
        <w:rPr>
          <w:lang w:val="en-ZA" w:eastAsia="en-ZA"/>
        </w:rPr>
        <w:t>)</w:t>
      </w:r>
      <w:r w:rsidR="00DD1AAA" w:rsidRPr="00AD51FB">
        <w:rPr>
          <w:lang w:val="en-ZA" w:eastAsia="en-ZA"/>
        </w:rPr>
        <w:t xml:space="preserve"> </w:t>
      </w:r>
      <w:r w:rsidRPr="00AD51FB">
        <w:rPr>
          <w:lang w:val="en-ZA" w:eastAsia="en-ZA"/>
        </w:rPr>
        <w:t>a statement of its assets and liabilities, including contingent liabilities; and</w:t>
      </w:r>
    </w:p>
    <w:p w14:paraId="080E575E" w14:textId="08E90344" w:rsidR="005D1201" w:rsidRPr="00AD51FB" w:rsidRDefault="005D1201" w:rsidP="00E859A7">
      <w:pPr>
        <w:shd w:val="clear" w:color="auto" w:fill="FFFFFF"/>
        <w:spacing w:line="360" w:lineRule="auto"/>
        <w:jc w:val="both"/>
        <w:rPr>
          <w:lang w:val="en-ZA" w:eastAsia="en-ZA"/>
        </w:rPr>
      </w:pPr>
      <w:r w:rsidRPr="00AD51FB">
        <w:rPr>
          <w:lang w:val="en-ZA" w:eastAsia="en-ZA"/>
        </w:rPr>
        <w:t>(</w:t>
      </w:r>
      <w:r w:rsidRPr="00AD51FB">
        <w:rPr>
          <w:i/>
          <w:iCs/>
          <w:lang w:val="en-ZA" w:eastAsia="en-ZA"/>
        </w:rPr>
        <w:t>b</w:t>
      </w:r>
      <w:r w:rsidRPr="00AD51FB">
        <w:rPr>
          <w:lang w:val="en-ZA" w:eastAsia="en-ZA"/>
        </w:rPr>
        <w:t>)</w:t>
      </w:r>
      <w:r w:rsidR="00DD1AAA" w:rsidRPr="00AD51FB">
        <w:rPr>
          <w:lang w:val="en-ZA" w:eastAsia="en-ZA"/>
        </w:rPr>
        <w:t xml:space="preserve"> </w:t>
      </w:r>
      <w:r w:rsidRPr="00AD51FB">
        <w:rPr>
          <w:lang w:val="en-ZA" w:eastAsia="en-ZA"/>
        </w:rPr>
        <w:t>any other document or information specified in the notice, relating to the financial or other affairs of the medical scheme over a period likewise specified.’</w:t>
      </w:r>
      <w:r w:rsidRPr="00AD51FB">
        <w:rPr>
          <w:vertAlign w:val="superscript"/>
          <w:lang w:val="en-ZA" w:eastAsia="en-ZA"/>
        </w:rPr>
        <w:footnoteReference w:id="39"/>
      </w:r>
      <w:r w:rsidR="00C161F0" w:rsidRPr="00AD51FB">
        <w:rPr>
          <w:lang w:val="en-ZA" w:eastAsia="en-ZA"/>
        </w:rPr>
        <w:t xml:space="preserve"> (Emphasis added.)</w:t>
      </w:r>
    </w:p>
    <w:p w14:paraId="293A67D9"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40AEBA3C" w14:textId="63C1206B"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[60]</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In </w:t>
      </w:r>
      <w:r w:rsidR="005D1201" w:rsidRPr="00AD51FB">
        <w:rPr>
          <w:rFonts w:eastAsia="Arial"/>
          <w:i/>
          <w:iCs/>
          <w:kern w:val="2"/>
          <w:sz w:val="28"/>
          <w:szCs w:val="28"/>
          <w:lang w:val="en-ZA" w:eastAsia="en-ZA"/>
          <w14:ligatures w14:val="standardContextual"/>
        </w:rPr>
        <w:t>Bonitas</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40"/>
      </w:r>
      <w:r w:rsidR="005D1201" w:rsidRPr="00AD51FB">
        <w:rPr>
          <w:rFonts w:eastAsia="Arial"/>
          <w:kern w:val="2"/>
          <w:sz w:val="28"/>
          <w:szCs w:val="28"/>
          <w:lang w:val="en-ZA" w:eastAsia="en-ZA"/>
          <w14:ligatures w14:val="standardContextual"/>
        </w:rPr>
        <w:t xml:space="preserve"> this Court described the nature and purpose of s 44 as ‘purely investigative’. In that matter, a registered medical scheme lodged an appeal against a decision by the Registrar to conduct an inspection of its affairs in terms of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a</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of the A</w:t>
      </w:r>
      <w:r w:rsidR="00C237C2"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This Court held that no appeal lay against the decision to invoke the power. The Court did not deal with the reach of the power to conduct an inspection.</w:t>
      </w:r>
    </w:p>
    <w:p w14:paraId="0A2B77CD"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409FAB72" w14:textId="788A1128"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[61]</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Section 44(1) uses the word ‘inspection’ to convey an examination of records, documents, and other material at the place of business of a medical scheme. It also qualifies the subject matter of the inspection by specifying that it </w:t>
      </w:r>
      <w:r w:rsidR="005D1201" w:rsidRPr="00AD51FB">
        <w:rPr>
          <w:rFonts w:eastAsia="Arial"/>
          <w:kern w:val="2"/>
          <w:sz w:val="28"/>
          <w:szCs w:val="28"/>
          <w:lang w:val="en-ZA" w:eastAsia="en-ZA"/>
          <w14:ligatures w14:val="standardContextual"/>
        </w:rPr>
        <w:lastRenderedPageBreak/>
        <w:t xml:space="preserve">is an inspection </w:t>
      </w:r>
      <w:r w:rsidR="005D1201" w:rsidRPr="00AD51FB">
        <w:rPr>
          <w:rFonts w:eastAsia="Arial"/>
          <w:i/>
          <w:iCs/>
          <w:kern w:val="2"/>
          <w:sz w:val="28"/>
          <w:szCs w:val="28"/>
          <w:lang w:val="en-ZA" w:eastAsia="en-ZA"/>
          <w14:ligatures w14:val="standardContextual"/>
        </w:rPr>
        <w:t>of the affairs of a medical scheme</w:t>
      </w:r>
      <w:r w:rsidR="005D1201" w:rsidRPr="00AD51FB">
        <w:rPr>
          <w:rFonts w:eastAsia="Arial"/>
          <w:kern w:val="2"/>
          <w:sz w:val="28"/>
          <w:szCs w:val="28"/>
          <w:lang w:val="en-ZA" w:eastAsia="en-ZA"/>
          <w14:ligatures w14:val="standardContextual"/>
        </w:rPr>
        <w:t>. This qualification accords with the defined ambit of the powers and functions of the Council. It also accords with the purpose of the regulatory scheme, namely to place the conduct of the business of a medical scheme under the supervisory control of the Council.</w:t>
      </w:r>
    </w:p>
    <w:p w14:paraId="48810230" w14:textId="77777777" w:rsidR="005D1201" w:rsidRPr="00AD51FB" w:rsidRDefault="005D1201" w:rsidP="00E859A7">
      <w:pPr>
        <w:spacing w:after="160" w:line="360" w:lineRule="auto"/>
        <w:contextualSpacing/>
        <w:jc w:val="both"/>
        <w:rPr>
          <w:rFonts w:eastAsia="Arial"/>
          <w:kern w:val="2"/>
          <w:sz w:val="28"/>
          <w:szCs w:val="28"/>
          <w:lang w:val="en-ZA" w:eastAsia="en-ZA"/>
          <w14:ligatures w14:val="standardContextual"/>
        </w:rPr>
      </w:pPr>
    </w:p>
    <w:p w14:paraId="183DDA1C" w14:textId="01C83446" w:rsidR="005D1201" w:rsidRPr="00AD51FB" w:rsidRDefault="00CF10AD" w:rsidP="00CF10AD">
      <w:pPr>
        <w:spacing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[62]</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It is important to note that the A</w:t>
      </w:r>
      <w:r w:rsidR="00C237C2"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does not specify or define the powers of an inspector. It does so with reference to the now repealed 1998 Inspection Act. This latter Act contained provisions which specifically limited the powers of inspection to </w:t>
      </w:r>
      <w:r w:rsidR="005D1201" w:rsidRPr="00AD51FB">
        <w:rPr>
          <w:rFonts w:eastAsia="Arial"/>
          <w:i/>
          <w:iCs/>
          <w:kern w:val="2"/>
          <w:sz w:val="28"/>
          <w:szCs w:val="28"/>
          <w:lang w:val="en-ZA" w:eastAsia="en-ZA"/>
          <w14:ligatures w14:val="standardContextual"/>
        </w:rPr>
        <w:t>the affairs of the financial institution</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41"/>
      </w:r>
      <w:r w:rsidR="005D1201" w:rsidRPr="00AD51FB">
        <w:rPr>
          <w:rFonts w:eastAsia="Arial"/>
          <w:kern w:val="2"/>
          <w:sz w:val="28"/>
          <w:szCs w:val="28"/>
          <w:lang w:val="en-ZA" w:eastAsia="en-ZA"/>
          <w14:ligatures w14:val="standardContextual"/>
        </w:rPr>
        <w:t xml:space="preserve"> The 1998 Inspection Act also specifically defined the powers of an inspector in relation to </w:t>
      </w:r>
      <w:r w:rsidR="00AD51FB" w:rsidRPr="00AD51FB">
        <w:rPr>
          <w:rFonts w:eastAsia="Arial"/>
          <w:kern w:val="2"/>
          <w:sz w:val="28"/>
          <w:szCs w:val="28"/>
          <w:lang w:val="en-ZA" w:eastAsia="en-ZA"/>
          <w14:ligatures w14:val="standardContextual"/>
        </w:rPr>
        <w:t>‘</w:t>
      </w:r>
      <w:r w:rsidR="005D1201" w:rsidRPr="00AD51FB">
        <w:rPr>
          <w:rFonts w:eastAsia="Arial"/>
          <w:iCs/>
          <w:kern w:val="2"/>
          <w:sz w:val="28"/>
          <w:szCs w:val="28"/>
          <w:lang w:val="en-ZA" w:eastAsia="en-ZA"/>
          <w14:ligatures w14:val="standardContextual"/>
        </w:rPr>
        <w:t>any other person</w:t>
      </w:r>
      <w:r w:rsidR="00AD51FB" w:rsidRPr="00AD51FB">
        <w:rPr>
          <w:rFonts w:eastAsia="Arial"/>
          <w:iCs/>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Section 5(1) provided that:</w:t>
      </w:r>
    </w:p>
    <w:p w14:paraId="17E52284" w14:textId="264AD60F" w:rsidR="005D1201" w:rsidRPr="00AD51FB" w:rsidRDefault="005D1201" w:rsidP="005D1201">
      <w:pPr>
        <w:spacing w:line="360" w:lineRule="auto"/>
        <w:contextualSpacing/>
        <w:jc w:val="both"/>
        <w:rPr>
          <w:rFonts w:eastAsia="Arial"/>
          <w:kern w:val="2"/>
          <w:lang w:val="en-ZA" w:eastAsia="en-ZA"/>
          <w14:ligatures w14:val="standardContextual"/>
        </w:rPr>
      </w:pPr>
      <w:r w:rsidRPr="00AD51FB">
        <w:rPr>
          <w:rFonts w:eastAsia="Calibri"/>
          <w:kern w:val="2"/>
          <w:lang w:val="en-ZA"/>
          <w14:ligatures w14:val="standardContextual"/>
        </w:rPr>
        <w:t>‘</w:t>
      </w:r>
      <w:r w:rsidRPr="00AD51FB">
        <w:rPr>
          <w:rFonts w:eastAsia="Calibri"/>
          <w:i/>
          <w:iCs/>
          <w:kern w:val="2"/>
          <w:lang w:val="en-ZA"/>
          <w14:ligatures w14:val="standardContextual"/>
        </w:rPr>
        <w:t>In order to carry out an inspection of the affairs of an institution under section 3 </w:t>
      </w:r>
      <w:r w:rsidRPr="00AD51FB">
        <w:rPr>
          <w:rFonts w:eastAsia="Calibri"/>
          <w:kern w:val="2"/>
          <w:lang w:val="en-ZA"/>
          <w14:ligatures w14:val="standardContextual"/>
        </w:rPr>
        <w:t>or 3A an inspector may—</w:t>
      </w:r>
    </w:p>
    <w:p w14:paraId="4C69DA39" w14:textId="43BBE270" w:rsidR="005D1201" w:rsidRPr="00AD51FB" w:rsidRDefault="005D1201" w:rsidP="005D1201">
      <w:pPr>
        <w:shd w:val="clear" w:color="auto" w:fill="FFFFFF"/>
        <w:spacing w:line="360" w:lineRule="auto"/>
        <w:contextualSpacing/>
        <w:jc w:val="both"/>
        <w:rPr>
          <w:lang w:val="en-ZA" w:eastAsia="en-ZA"/>
        </w:rPr>
      </w:pPr>
      <w:r w:rsidRPr="00AD51FB">
        <w:rPr>
          <w:lang w:val="en-ZA" w:eastAsia="en-ZA"/>
        </w:rPr>
        <w:t>(</w:t>
      </w:r>
      <w:r w:rsidRPr="00AD51FB">
        <w:rPr>
          <w:i/>
          <w:iCs/>
          <w:lang w:val="en-ZA" w:eastAsia="en-ZA"/>
        </w:rPr>
        <w:t>a</w:t>
      </w:r>
      <w:r w:rsidRPr="00AD51FB">
        <w:rPr>
          <w:lang w:val="en-ZA" w:eastAsia="en-ZA"/>
        </w:rPr>
        <w:t xml:space="preserve">)(i) summon any person, if the inspector has reason to believe that such person may be able to provide </w:t>
      </w:r>
      <w:r w:rsidRPr="00AD51FB">
        <w:rPr>
          <w:i/>
          <w:iCs/>
          <w:lang w:val="en-ZA" w:eastAsia="en-ZA"/>
        </w:rPr>
        <w:t>information relating to the affairs of the institution</w:t>
      </w:r>
      <w:r w:rsidRPr="00AD51FB">
        <w:rPr>
          <w:lang w:val="en-ZA" w:eastAsia="en-ZA"/>
        </w:rPr>
        <w:t xml:space="preserve"> or whom the inspector reasonably believes is in possession of, or has under control, any document relating to the affairs of the institution, to lodge such document with the inspector or to appear at a time and place specified in the summons to be examined or to produce such document and to examine, or against the issue of a receipt, to retain any such document for as long as it may be required for purposes of the inspection or any legal or regulatory proceedings;</w:t>
      </w:r>
    </w:p>
    <w:p w14:paraId="13E5A65C" w14:textId="0EE35EE3" w:rsidR="005D1201" w:rsidRPr="00AD51FB" w:rsidRDefault="005D1201" w:rsidP="005D1201">
      <w:pPr>
        <w:shd w:val="clear" w:color="auto" w:fill="FFFFFF"/>
        <w:spacing w:line="360" w:lineRule="auto"/>
        <w:jc w:val="both"/>
        <w:rPr>
          <w:lang w:val="en-ZA" w:eastAsia="en-ZA"/>
        </w:rPr>
      </w:pPr>
      <w:r w:rsidRPr="00AD51FB">
        <w:rPr>
          <w:lang w:val="en-ZA" w:eastAsia="en-ZA"/>
        </w:rPr>
        <w:t>(ii)</w:t>
      </w:r>
      <w:r w:rsidR="007539DA" w:rsidRPr="00AD51FB">
        <w:rPr>
          <w:lang w:val="en-ZA" w:eastAsia="en-ZA"/>
        </w:rPr>
        <w:t xml:space="preserve"> </w:t>
      </w:r>
      <w:r w:rsidRPr="00AD51FB">
        <w:rPr>
          <w:lang w:val="en-ZA" w:eastAsia="en-ZA"/>
        </w:rPr>
        <w:t>administer an oath or affirmation or otherwise examine any person referred to in </w:t>
      </w:r>
      <w:hyperlink r:id="rId15" w:anchor="g17" w:history="1">
        <w:r w:rsidRPr="00AD51FB">
          <w:rPr>
            <w:lang w:val="en-ZA" w:eastAsia="en-ZA"/>
          </w:rPr>
          <w:t>subparagraph (i)</w:t>
        </w:r>
      </w:hyperlink>
      <w:r w:rsidRPr="00AD51FB">
        <w:rPr>
          <w:lang w:val="en-ZA" w:eastAsia="en-ZA"/>
        </w:rPr>
        <w:t>;</w:t>
      </w:r>
    </w:p>
    <w:p w14:paraId="6C2BCF3E" w14:textId="77777777" w:rsidR="005D1201" w:rsidRPr="00AD51FB" w:rsidRDefault="005D1201" w:rsidP="005D1201">
      <w:pPr>
        <w:shd w:val="clear" w:color="auto" w:fill="FFFFFF"/>
        <w:spacing w:line="360" w:lineRule="auto"/>
        <w:jc w:val="both"/>
        <w:rPr>
          <w:lang w:val="en-ZA" w:eastAsia="en-ZA"/>
        </w:rPr>
      </w:pPr>
      <w:r w:rsidRPr="00AD51FB">
        <w:rPr>
          <w:lang w:val="en-ZA" w:eastAsia="en-ZA"/>
        </w:rPr>
        <w:t>(</w:t>
      </w:r>
      <w:r w:rsidRPr="00AD51FB">
        <w:rPr>
          <w:i/>
          <w:iCs/>
          <w:lang w:val="en-ZA" w:eastAsia="en-ZA"/>
        </w:rPr>
        <w:t>b</w:t>
      </w:r>
      <w:r w:rsidRPr="00AD51FB">
        <w:rPr>
          <w:lang w:val="en-ZA" w:eastAsia="en-ZA"/>
        </w:rPr>
        <w:t>) on the authority of a warrant, at any time without prior notice—</w:t>
      </w:r>
    </w:p>
    <w:p w14:paraId="67BA63B9" w14:textId="77777777" w:rsidR="005D1201" w:rsidRPr="00AD51FB" w:rsidRDefault="005D1201" w:rsidP="005D1201">
      <w:pPr>
        <w:shd w:val="clear" w:color="auto" w:fill="FFFFFF"/>
        <w:spacing w:line="360" w:lineRule="auto"/>
        <w:jc w:val="both"/>
        <w:rPr>
          <w:lang w:val="en-ZA" w:eastAsia="en-ZA"/>
        </w:rPr>
      </w:pPr>
      <w:r w:rsidRPr="00AD51FB">
        <w:rPr>
          <w:lang w:val="en-ZA" w:eastAsia="en-ZA"/>
        </w:rPr>
        <w:lastRenderedPageBreak/>
        <w:t xml:space="preserve">(i) enter any premises and require the production of any </w:t>
      </w:r>
      <w:r w:rsidRPr="00AD51FB">
        <w:rPr>
          <w:i/>
          <w:iCs/>
          <w:lang w:val="en-ZA" w:eastAsia="en-ZA"/>
        </w:rPr>
        <w:t>document relating to the affairs of the institution;</w:t>
      </w:r>
    </w:p>
    <w:p w14:paraId="7490A71E" w14:textId="77777777" w:rsidR="005D1201" w:rsidRPr="00AD51FB" w:rsidRDefault="005D1201" w:rsidP="005D1201">
      <w:pPr>
        <w:shd w:val="clear" w:color="auto" w:fill="FFFFFF"/>
        <w:spacing w:line="360" w:lineRule="auto"/>
        <w:jc w:val="both"/>
        <w:rPr>
          <w:lang w:val="en-ZA" w:eastAsia="en-ZA"/>
        </w:rPr>
      </w:pPr>
      <w:r w:rsidRPr="00AD51FB">
        <w:rPr>
          <w:lang w:val="en-ZA" w:eastAsia="en-ZA"/>
        </w:rPr>
        <w:t xml:space="preserve">(ii) enter and search any premises for </w:t>
      </w:r>
      <w:r w:rsidRPr="00AD51FB">
        <w:rPr>
          <w:i/>
          <w:iCs/>
          <w:lang w:val="en-ZA" w:eastAsia="en-ZA"/>
        </w:rPr>
        <w:t>any documents relating to the affairs of the institution</w:t>
      </w:r>
      <w:r w:rsidRPr="00AD51FB">
        <w:rPr>
          <w:lang w:val="en-ZA" w:eastAsia="en-ZA"/>
        </w:rPr>
        <w:t>;</w:t>
      </w:r>
    </w:p>
    <w:p w14:paraId="6C680DDA" w14:textId="77777777" w:rsidR="005D1201" w:rsidRPr="00AD51FB" w:rsidRDefault="005D1201" w:rsidP="005D1201">
      <w:pPr>
        <w:shd w:val="clear" w:color="auto" w:fill="FFFFFF"/>
        <w:spacing w:line="360" w:lineRule="auto"/>
        <w:jc w:val="both"/>
        <w:rPr>
          <w:lang w:val="en-ZA" w:eastAsia="en-ZA"/>
        </w:rPr>
      </w:pPr>
      <w:r w:rsidRPr="00AD51FB">
        <w:rPr>
          <w:lang w:val="en-ZA" w:eastAsia="en-ZA"/>
        </w:rPr>
        <w:t xml:space="preserve">(iii) open any strong-room, safe or other container which he or she suspects contains any </w:t>
      </w:r>
      <w:r w:rsidRPr="00AD51FB">
        <w:rPr>
          <w:i/>
          <w:iCs/>
          <w:lang w:val="en-ZA" w:eastAsia="en-ZA"/>
        </w:rPr>
        <w:t>document relating to the affairs of the institution</w:t>
      </w:r>
      <w:r w:rsidRPr="00AD51FB">
        <w:rPr>
          <w:lang w:val="en-ZA" w:eastAsia="en-ZA"/>
        </w:rPr>
        <w:t>;</w:t>
      </w:r>
    </w:p>
    <w:p w14:paraId="6EE84A05" w14:textId="77777777" w:rsidR="005D1201" w:rsidRPr="00AD51FB" w:rsidRDefault="005D1201" w:rsidP="005D1201">
      <w:pPr>
        <w:shd w:val="clear" w:color="auto" w:fill="FFFFFF"/>
        <w:spacing w:line="360" w:lineRule="auto"/>
        <w:jc w:val="both"/>
        <w:rPr>
          <w:lang w:val="en-ZA" w:eastAsia="en-ZA"/>
        </w:rPr>
      </w:pPr>
      <w:r w:rsidRPr="00AD51FB">
        <w:rPr>
          <w:lang w:val="en-ZA" w:eastAsia="en-ZA"/>
        </w:rPr>
        <w:t>(iv) examine, make extracts from and copy any document relating to the affairs of the institution or, against the issue of a receipt, remove such document temporarily for that purpose;</w:t>
      </w:r>
    </w:p>
    <w:p w14:paraId="606C9C53" w14:textId="36EE547A" w:rsidR="005D1201" w:rsidRPr="00AD51FB" w:rsidRDefault="00792A44" w:rsidP="005D1201">
      <w:pPr>
        <w:shd w:val="clear" w:color="auto" w:fill="FFFFFF"/>
        <w:spacing w:line="360" w:lineRule="auto"/>
        <w:jc w:val="both"/>
        <w:rPr>
          <w:lang w:val="en-ZA" w:eastAsia="en-ZA"/>
        </w:rPr>
      </w:pPr>
      <w:r w:rsidRPr="00AD51FB">
        <w:rPr>
          <w:lang w:val="en-ZA" w:eastAsia="en-ZA"/>
        </w:rPr>
        <w:t>. . .</w:t>
      </w:r>
    </w:p>
    <w:p w14:paraId="41B5F564" w14:textId="6AF1E004" w:rsidR="005D1201" w:rsidRPr="00AD51FB" w:rsidRDefault="005D1201" w:rsidP="005D1201">
      <w:pPr>
        <w:shd w:val="clear" w:color="auto" w:fill="FFFFFF"/>
        <w:spacing w:line="360" w:lineRule="auto"/>
        <w:jc w:val="both"/>
        <w:rPr>
          <w:lang w:val="en-ZA" w:eastAsia="en-ZA"/>
        </w:rPr>
      </w:pPr>
      <w:r w:rsidRPr="00AD51FB">
        <w:rPr>
          <w:lang w:val="en-ZA" w:eastAsia="en-ZA"/>
        </w:rPr>
        <w:t>but an inspector may proceed without a warrant, if the person in control of any premises consents to the actions contemplated in this paragraph.</w:t>
      </w:r>
      <w:r w:rsidR="00792A44" w:rsidRPr="00AD51FB">
        <w:rPr>
          <w:lang w:val="en-ZA" w:eastAsia="en-ZA"/>
        </w:rPr>
        <w:t>’</w:t>
      </w:r>
      <w:r w:rsidRPr="00AD51FB">
        <w:rPr>
          <w:lang w:val="en-ZA" w:eastAsia="en-ZA"/>
        </w:rPr>
        <w:t xml:space="preserve"> (Emphasis added).</w:t>
      </w:r>
    </w:p>
    <w:p w14:paraId="7C93E3FA"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509DE82D" w14:textId="4DB7085A"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[63]</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These provisions demonstrate, unequivocally, that an investigative inspection carried out in terms of s 44 of the A</w:t>
      </w:r>
      <w:r w:rsidR="00792A44"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as read with the 1998 Inspection Act</w:t>
      </w:r>
      <w:r w:rsidR="00792A44"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was plainly intended to relate only to the affairs of a medical scheme. That was the case both prior to</w:t>
      </w:r>
      <w:r w:rsidR="00792A44"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and after s 44(4) was introduced.</w:t>
      </w:r>
      <w:r w:rsidR="005D1201" w:rsidRPr="00AD51FB">
        <w:rPr>
          <w:rFonts w:eastAsia="Arial"/>
          <w:kern w:val="2"/>
          <w:sz w:val="28"/>
          <w:szCs w:val="28"/>
          <w:vertAlign w:val="superscript"/>
          <w:lang w:val="en-ZA" w:eastAsia="en-ZA"/>
          <w14:ligatures w14:val="standardContextual"/>
        </w:rPr>
        <w:footnoteReference w:id="42"/>
      </w:r>
      <w:r w:rsidR="005D1201" w:rsidRPr="00AD51FB">
        <w:rPr>
          <w:rFonts w:eastAsia="Arial"/>
          <w:kern w:val="2"/>
          <w:sz w:val="28"/>
          <w:szCs w:val="28"/>
          <w:lang w:val="en-ZA" w:eastAsia="en-ZA"/>
          <w14:ligatures w14:val="standardContextual"/>
        </w:rPr>
        <w:t xml:space="preserve"> The purpose of s</w:t>
      </w:r>
      <w:r w:rsidR="00941616">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44(4) was, as the long title of the Amendment Act indicated, to provide for the circumstances in which inspections could be conducted. It provided for two scenarios, namely routine inspections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b</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and ‘investigative’ inspections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a</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where some impropriety was under investigation. At the stage that s</w:t>
      </w:r>
      <w:r w:rsidR="00941616">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44(4) was introduced</w:t>
      </w:r>
      <w:r w:rsidR="00792A44"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there was no amendment of the 1998 Inspection Act to expand the powers of the Registrar or inspector to undertake an investigation of the affairs of </w:t>
      </w:r>
      <w:r w:rsidR="00AD51F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any other person</w:t>
      </w:r>
      <w:r w:rsidR="00AD51F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or entity. Section 5 of the 1998 Inspection Act remained extant. At that stage, therefore, and until the subsequent repeal of the 1998 Inspection Act, s 44(4) did not entitle the Registrar to conduct an inspection of </w:t>
      </w:r>
      <w:r w:rsidR="00AD51F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any other person</w:t>
      </w:r>
      <w:r w:rsidR="00AD51F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except in the context of an inspection of the affairs of a medical scheme.</w:t>
      </w:r>
    </w:p>
    <w:p w14:paraId="54E0F803"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559779FC" w14:textId="6892403B"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lastRenderedPageBreak/>
        <w:t>[64]</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question that arises is whether the repeal of the 1998 Inspection Act, without amendment of the A</w:t>
      </w:r>
      <w:r w:rsidR="00E84560"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brought about an extension of the powers of investigation or inspection beyond that which was contemplated prior to the repeal and the enactment of the FSR Act.</w:t>
      </w:r>
    </w:p>
    <w:p w14:paraId="58D91681" w14:textId="77777777" w:rsidR="009C552C" w:rsidRPr="00AD51FB" w:rsidRDefault="009C552C" w:rsidP="00E859A7">
      <w:pPr>
        <w:pStyle w:val="ListParagraph"/>
        <w:spacing w:line="360" w:lineRule="auto"/>
        <w:ind w:left="0"/>
        <w:rPr>
          <w:rFonts w:eastAsia="Arial"/>
          <w:kern w:val="2"/>
          <w:sz w:val="28"/>
          <w:szCs w:val="28"/>
          <w:lang w:val="en-ZA" w:eastAsia="en-ZA"/>
          <w14:ligatures w14:val="standardContextual"/>
        </w:rPr>
      </w:pPr>
    </w:p>
    <w:p w14:paraId="3E222A4D" w14:textId="0B44C6FB" w:rsidR="009C552C"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[65]</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FSR Act is a comprehensive omnibus legislative instrument enacted with the stated purpose of establishing a system of regulation of the financial services sector.</w:t>
      </w:r>
      <w:r w:rsidR="005D1201" w:rsidRPr="00AD51FB">
        <w:rPr>
          <w:rFonts w:eastAsia="Arial"/>
          <w:kern w:val="2"/>
          <w:sz w:val="28"/>
          <w:szCs w:val="28"/>
          <w:vertAlign w:val="superscript"/>
          <w:lang w:val="en-ZA" w:eastAsia="en-ZA"/>
          <w14:ligatures w14:val="standardContextual"/>
        </w:rPr>
        <w:footnoteReference w:id="43"/>
      </w:r>
      <w:r w:rsidR="005D1201" w:rsidRPr="00AD51FB">
        <w:rPr>
          <w:rFonts w:eastAsia="Arial"/>
          <w:kern w:val="2"/>
          <w:sz w:val="28"/>
          <w:szCs w:val="28"/>
          <w:lang w:val="en-ZA" w:eastAsia="en-ZA"/>
          <w14:ligatures w14:val="standardContextual"/>
        </w:rPr>
        <w:t xml:space="preserve"> It provided for the establishment of two principal regulatory authorities to supervise financial product providers, namely a Prudential Authority and the Financial Sector Conduct Authority (the FSCA).</w:t>
      </w:r>
      <w:r w:rsidR="005D1201" w:rsidRPr="00AD51FB">
        <w:rPr>
          <w:rFonts w:eastAsia="Arial"/>
          <w:kern w:val="2"/>
          <w:sz w:val="28"/>
          <w:szCs w:val="28"/>
          <w:vertAlign w:val="superscript"/>
          <w:lang w:val="en-ZA" w:eastAsia="en-ZA"/>
          <w14:ligatures w14:val="standardContextual"/>
        </w:rPr>
        <w:footnoteReference w:id="44"/>
      </w:r>
      <w:r w:rsidR="009C552C" w:rsidRPr="00AD51FB">
        <w:rPr>
          <w:rFonts w:eastAsia="Arial"/>
          <w:kern w:val="2"/>
          <w:sz w:val="28"/>
          <w:szCs w:val="28"/>
          <w:lang w:val="en-ZA" w:eastAsia="en-ZA"/>
          <w14:ligatures w14:val="standardContextual"/>
        </w:rPr>
        <w:t xml:space="preserve"> </w:t>
      </w:r>
      <w:r w:rsidR="005D1201" w:rsidRPr="00AD51FB">
        <w:rPr>
          <w:rFonts w:eastAsia="Arial"/>
          <w:kern w:val="2"/>
          <w:sz w:val="28"/>
          <w:szCs w:val="28"/>
          <w:lang w:val="en-ZA" w:eastAsia="en-ZA"/>
          <w14:ligatures w14:val="standardContextual"/>
        </w:rPr>
        <w:t>Chapter 9 of the FSR Act is headed ‘Information gathering, Supervisory on-site inspections and investigations’. It deals with matters which were previously regulated by the 1998 Inspection Act.</w:t>
      </w:r>
      <w:r w:rsidR="009C552C" w:rsidRPr="00AD51FB">
        <w:rPr>
          <w:rFonts w:eastAsia="Arial"/>
          <w:kern w:val="2"/>
          <w:sz w:val="28"/>
          <w:szCs w:val="28"/>
          <w:lang w:val="en-ZA" w:eastAsia="en-ZA"/>
          <w14:ligatures w14:val="standardContextual"/>
        </w:rPr>
        <w:t xml:space="preserve"> </w:t>
      </w:r>
    </w:p>
    <w:p w14:paraId="3FBDAF07" w14:textId="77777777" w:rsidR="009C552C" w:rsidRPr="00AD51FB" w:rsidRDefault="009C552C" w:rsidP="009C552C">
      <w:pPr>
        <w:pStyle w:val="ListParagraph"/>
        <w:rPr>
          <w:rFonts w:eastAsia="Arial"/>
          <w:kern w:val="2"/>
          <w:sz w:val="28"/>
          <w:szCs w:val="28"/>
          <w:lang w:val="en-ZA" w:eastAsia="en-ZA"/>
          <w14:ligatures w14:val="standardContextual"/>
        </w:rPr>
      </w:pPr>
    </w:p>
    <w:p w14:paraId="67754846" w14:textId="4D4C82DA" w:rsidR="009C552C"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[66]</w:t>
      </w:r>
      <w:r w:rsidRPr="00AD51FB">
        <w:rPr>
          <w:rFonts w:eastAsia="Arial"/>
          <w:kern w:val="2"/>
          <w:sz w:val="28"/>
          <w:szCs w:val="28"/>
          <w:lang w:val="en-ZA" w:eastAsia="en-ZA"/>
          <w14:ligatures w14:val="standardContextual"/>
        </w:rPr>
        <w:tab/>
      </w:r>
      <w:r w:rsidR="009C552C" w:rsidRPr="00AD51FB">
        <w:rPr>
          <w:rFonts w:eastAsia="Arial"/>
          <w:kern w:val="2"/>
          <w:sz w:val="28"/>
          <w:szCs w:val="28"/>
          <w:lang w:val="en-ZA" w:eastAsia="en-ZA"/>
          <w14:ligatures w14:val="standardContextual"/>
        </w:rPr>
        <w:t xml:space="preserve">In </w:t>
      </w:r>
      <w:r w:rsidR="009C552C" w:rsidRPr="00AD51FB">
        <w:rPr>
          <w:rFonts w:eastAsia="Arial"/>
          <w:i/>
          <w:iCs/>
          <w:kern w:val="2"/>
          <w:sz w:val="28"/>
          <w:szCs w:val="28"/>
          <w:lang w:val="en-ZA" w:eastAsia="en-ZA"/>
          <w14:ligatures w14:val="standardContextual"/>
        </w:rPr>
        <w:t>Ex parte Glavonic</w:t>
      </w:r>
      <w:r w:rsidR="009C552C" w:rsidRPr="00AD51FB">
        <w:rPr>
          <w:rFonts w:eastAsia="Arial"/>
          <w:kern w:val="2"/>
          <w:sz w:val="28"/>
          <w:szCs w:val="28"/>
          <w:lang w:val="en-ZA" w:eastAsia="en-ZA"/>
          <w14:ligatures w14:val="standardContextual"/>
        </w:rPr>
        <w:t>, it was held, with reference to the application of s</w:t>
      </w:r>
      <w:r w:rsidR="00941616">
        <w:rPr>
          <w:rFonts w:eastAsia="Arial"/>
          <w:kern w:val="2"/>
          <w:sz w:val="28"/>
          <w:szCs w:val="28"/>
          <w:lang w:val="en-ZA" w:eastAsia="en-ZA"/>
          <w14:ligatures w14:val="standardContextual"/>
        </w:rPr>
        <w:t> </w:t>
      </w:r>
      <w:r w:rsidR="009C552C" w:rsidRPr="00AD51FB">
        <w:rPr>
          <w:rFonts w:eastAsia="Arial"/>
          <w:kern w:val="2"/>
          <w:sz w:val="28"/>
          <w:szCs w:val="28"/>
          <w:lang w:val="en-ZA" w:eastAsia="en-ZA"/>
          <w14:ligatures w14:val="standardContextual"/>
        </w:rPr>
        <w:t>12(1) of the Interpretation Act, that:</w:t>
      </w:r>
    </w:p>
    <w:p w14:paraId="7B4F153D" w14:textId="47C96A0B" w:rsidR="009C552C" w:rsidRPr="00AD51FB" w:rsidRDefault="009C552C" w:rsidP="00EA5B7F">
      <w:pPr>
        <w:spacing w:line="360" w:lineRule="auto"/>
        <w:jc w:val="both"/>
        <w:rPr>
          <w:rFonts w:eastAsia="Aptos"/>
          <w:kern w:val="2"/>
          <w:lang w:val="en-ZA"/>
          <w14:ligatures w14:val="standardContextual"/>
        </w:rPr>
      </w:pPr>
      <w:r w:rsidRPr="00AD51FB">
        <w:rPr>
          <w:rFonts w:eastAsia="Aptos"/>
          <w:kern w:val="2"/>
          <w:lang w:val="en-ZA"/>
          <w14:ligatures w14:val="standardContextual"/>
        </w:rPr>
        <w:t>‘To ascertain whether there is a re-enactment, with or without modifications, it is necessary to examine the object of the new legislation, and the scheme and pattern of it, and then to see whether this does not show an intention to put on the statute book what previously existed, with or without modification. </w:t>
      </w:r>
      <w:r w:rsidRPr="00AD51FB">
        <w:rPr>
          <w:rFonts w:eastAsia="Aptos"/>
          <w:i/>
          <w:iCs/>
          <w:kern w:val="2"/>
          <w:lang w:val="en-ZA"/>
          <w14:ligatures w14:val="standardContextual"/>
        </w:rPr>
        <w:t>D. </w:t>
      </w:r>
      <w:r w:rsidRPr="00AD51FB">
        <w:rPr>
          <w:rFonts w:eastAsia="Aptos"/>
          <w:kern w:val="2"/>
          <w:lang w:val="en-ZA"/>
          <w14:ligatures w14:val="standardContextual"/>
        </w:rPr>
        <w:t>v. </w:t>
      </w:r>
      <w:r w:rsidRPr="00AD51FB">
        <w:rPr>
          <w:rFonts w:eastAsia="Aptos"/>
          <w:i/>
          <w:iCs/>
          <w:kern w:val="2"/>
          <w:lang w:val="en-ZA"/>
          <w14:ligatures w14:val="standardContextual"/>
        </w:rPr>
        <w:t>The Minister of the Interior</w:t>
      </w:r>
      <w:r w:rsidRPr="00AD51FB">
        <w:rPr>
          <w:rFonts w:eastAsia="Aptos"/>
          <w:kern w:val="2"/>
          <w:lang w:val="en-ZA"/>
          <w14:ligatures w14:val="standardContextual"/>
        </w:rPr>
        <w:t>, 1962 (1) S.A. 655 (T) at p.</w:t>
      </w:r>
      <w:r w:rsidR="00941616">
        <w:rPr>
          <w:rFonts w:eastAsia="Aptos"/>
          <w:kern w:val="2"/>
          <w:lang w:val="en-ZA"/>
          <w14:ligatures w14:val="standardContextual"/>
        </w:rPr>
        <w:t> </w:t>
      </w:r>
      <w:r w:rsidRPr="00AD51FB">
        <w:rPr>
          <w:rFonts w:eastAsia="Aptos"/>
          <w:kern w:val="2"/>
          <w:lang w:val="en-ZA"/>
          <w14:ligatures w14:val="standardContextual"/>
        </w:rPr>
        <w:t>658H.’</w:t>
      </w:r>
      <w:r w:rsidRPr="00AD51FB">
        <w:rPr>
          <w:rStyle w:val="FootnoteReference"/>
          <w:rFonts w:eastAsia="Aptos"/>
          <w:kern w:val="2"/>
          <w:lang w:val="en-ZA"/>
          <w14:ligatures w14:val="standardContextual"/>
        </w:rPr>
        <w:footnoteReference w:id="45"/>
      </w:r>
    </w:p>
    <w:p w14:paraId="75F1B329" w14:textId="77777777" w:rsidR="009C552C" w:rsidRPr="00AD51FB" w:rsidRDefault="009C552C" w:rsidP="009C552C">
      <w:pPr>
        <w:spacing w:after="160" w:line="360" w:lineRule="auto"/>
        <w:jc w:val="both"/>
        <w:rPr>
          <w:rFonts w:ascii="Aptos" w:eastAsia="Aptos" w:hAnsi="Aptos"/>
          <w:kern w:val="2"/>
          <w:lang w:val="en-ZA"/>
          <w14:ligatures w14:val="standardContextual"/>
        </w:rPr>
      </w:pPr>
    </w:p>
    <w:p w14:paraId="07B0B06C" w14:textId="7586BEA4" w:rsidR="009C552C"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lastRenderedPageBreak/>
        <w:t>[67]</w:t>
      </w:r>
      <w:r w:rsidRPr="00AD51FB">
        <w:rPr>
          <w:rFonts w:eastAsia="Arial"/>
          <w:kern w:val="2"/>
          <w:sz w:val="28"/>
          <w:szCs w:val="28"/>
          <w:lang w:val="en-ZA" w:eastAsia="en-ZA"/>
          <w14:ligatures w14:val="standardContextual"/>
        </w:rPr>
        <w:tab/>
      </w:r>
      <w:r w:rsidR="009C552C" w:rsidRPr="00AD51FB">
        <w:rPr>
          <w:rFonts w:eastAsia="Arial"/>
          <w:kern w:val="2"/>
          <w:sz w:val="28"/>
          <w:szCs w:val="28"/>
          <w:lang w:val="en-ZA" w:eastAsia="en-ZA"/>
          <w14:ligatures w14:val="standardContextual"/>
        </w:rPr>
        <w:t xml:space="preserve">This Court, in </w:t>
      </w:r>
      <w:r w:rsidR="009C552C" w:rsidRPr="00AD51FB">
        <w:rPr>
          <w:rFonts w:eastAsia="Arial"/>
          <w:i/>
          <w:iCs/>
          <w:kern w:val="2"/>
          <w:sz w:val="28"/>
          <w:szCs w:val="28"/>
          <w:lang w:val="en-ZA" w:eastAsia="en-ZA"/>
          <w14:ligatures w14:val="standardContextual"/>
        </w:rPr>
        <w:t>Berman Brothers (Pty) Ltd v Sodastream (Pty) Ltd and Another</w:t>
      </w:r>
      <w:r w:rsidR="009C552C" w:rsidRPr="00AD51FB">
        <w:rPr>
          <w:rFonts w:eastAsia="Arial"/>
          <w:kern w:val="2"/>
          <w:sz w:val="28"/>
          <w:szCs w:val="28"/>
          <w:lang w:val="en-ZA" w:eastAsia="en-ZA"/>
          <w14:ligatures w14:val="standardContextual"/>
        </w:rPr>
        <w:t>,</w:t>
      </w:r>
      <w:r w:rsidR="009C552C" w:rsidRPr="00AD51FB">
        <w:rPr>
          <w:rStyle w:val="FootnoteReference"/>
          <w:rFonts w:eastAsia="Arial"/>
          <w:kern w:val="2"/>
          <w:sz w:val="28"/>
          <w:szCs w:val="28"/>
          <w:lang w:val="en-ZA" w:eastAsia="en-ZA"/>
          <w14:ligatures w14:val="standardContextual"/>
        </w:rPr>
        <w:footnoteReference w:id="46"/>
      </w:r>
      <w:r w:rsidR="009C552C" w:rsidRPr="00AD51FB">
        <w:rPr>
          <w:rFonts w:eastAsia="Arial"/>
          <w:kern w:val="2"/>
          <w:sz w:val="28"/>
          <w:szCs w:val="28"/>
          <w:lang w:val="en-ZA" w:eastAsia="en-ZA"/>
          <w14:ligatures w14:val="standardContextual"/>
        </w:rPr>
        <w:t xml:space="preserve"> explained the nature of modifications contemplated by s 12(1) of the Interpretation Act as follows:</w:t>
      </w:r>
    </w:p>
    <w:p w14:paraId="0D96F598" w14:textId="2422A3BA" w:rsidR="009C552C" w:rsidRPr="00AD51FB" w:rsidRDefault="009C552C" w:rsidP="009C552C">
      <w:pPr>
        <w:spacing w:after="160" w:line="360" w:lineRule="auto"/>
        <w:contextualSpacing/>
        <w:jc w:val="both"/>
        <w:rPr>
          <w:rFonts w:eastAsia="Arial"/>
          <w:kern w:val="2"/>
          <w:lang w:val="en-ZA" w:eastAsia="en-ZA"/>
          <w14:ligatures w14:val="standardContextual"/>
        </w:rPr>
      </w:pPr>
      <w:r w:rsidRPr="00AD51FB">
        <w:rPr>
          <w:rFonts w:eastAsia="Arial"/>
          <w:kern w:val="2"/>
          <w:lang w:val="en-ZA" w:eastAsia="en-ZA"/>
          <w14:ligatures w14:val="standardContextual"/>
        </w:rPr>
        <w:t xml:space="preserve">‘The question then is whether or not, bearing in mind these aforementioned differences, there has been a re-enactment with modifications of the relevant provisions of the 1916 Act. In </w:t>
      </w:r>
      <w:r w:rsidRPr="00AD51FB">
        <w:rPr>
          <w:rFonts w:eastAsia="Arial"/>
          <w:i/>
          <w:iCs/>
          <w:kern w:val="2"/>
          <w:lang w:val="en-ZA" w:eastAsia="en-ZA"/>
          <w14:ligatures w14:val="standardContextual"/>
        </w:rPr>
        <w:t>D</w:t>
      </w:r>
      <w:r w:rsidR="00941616">
        <w:rPr>
          <w:rFonts w:eastAsia="Arial"/>
          <w:i/>
          <w:iCs/>
          <w:kern w:val="2"/>
          <w:lang w:val="en-ZA" w:eastAsia="en-ZA"/>
          <w14:ligatures w14:val="standardContextual"/>
        </w:rPr>
        <w:t> </w:t>
      </w:r>
      <w:r w:rsidRPr="00AD51FB">
        <w:rPr>
          <w:rFonts w:eastAsia="Arial"/>
          <w:i/>
          <w:iCs/>
          <w:kern w:val="2"/>
          <w:lang w:val="en-ZA" w:eastAsia="en-ZA"/>
          <w14:ligatures w14:val="standardContextual"/>
        </w:rPr>
        <w:t>v</w:t>
      </w:r>
      <w:r w:rsidR="00941616">
        <w:rPr>
          <w:rFonts w:eastAsia="Arial"/>
          <w:i/>
          <w:iCs/>
          <w:kern w:val="2"/>
          <w:lang w:val="en-ZA" w:eastAsia="en-ZA"/>
          <w14:ligatures w14:val="standardContextual"/>
        </w:rPr>
        <w:t> </w:t>
      </w:r>
      <w:r w:rsidRPr="00AD51FB">
        <w:rPr>
          <w:rFonts w:eastAsia="Arial"/>
          <w:i/>
          <w:iCs/>
          <w:kern w:val="2"/>
          <w:lang w:val="en-ZA" w:eastAsia="en-ZA"/>
          <w14:ligatures w14:val="standardContextual"/>
        </w:rPr>
        <w:t>Minister of the Interior</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1962</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(1)</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SA</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655</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(T), at p 659 D, the Full Bench of the Transvaal Provincial Division, approving the finding of WILLIAMSON J in the same case (see</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1960</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(4)</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SA</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905, at 909) held that in this context the word “modifications”</w:t>
      </w:r>
      <w:r w:rsidR="009004BD" w:rsidRPr="00AD51FB">
        <w:rPr>
          <w:rFonts w:eastAsia="Arial"/>
          <w:kern w:val="2"/>
          <w:lang w:val="en-ZA" w:eastAsia="en-ZA"/>
          <w14:ligatures w14:val="standardContextual"/>
        </w:rPr>
        <w:t>:</w:t>
      </w:r>
    </w:p>
    <w:p w14:paraId="73589398" w14:textId="0896F604" w:rsidR="009C552C" w:rsidRPr="00AD51FB" w:rsidRDefault="009C552C" w:rsidP="009C552C">
      <w:pPr>
        <w:spacing w:after="160" w:line="360" w:lineRule="auto"/>
        <w:contextualSpacing/>
        <w:jc w:val="both"/>
        <w:rPr>
          <w:rFonts w:eastAsia="Arial"/>
          <w:kern w:val="2"/>
          <w:lang w:val="en-ZA" w:eastAsia="en-ZA"/>
          <w14:ligatures w14:val="standardContextual"/>
        </w:rPr>
      </w:pPr>
      <w:r w:rsidRPr="00AD51FB">
        <w:rPr>
          <w:rFonts w:eastAsia="Arial"/>
          <w:kern w:val="2"/>
          <w:lang w:val="en-ZA" w:eastAsia="en-ZA"/>
          <w14:ligatures w14:val="standardContextual"/>
        </w:rPr>
        <w:t>“is not limited to the action of limiting or qualifying or toning down or restricting any statement; it can mean to make partial changes or to make changes in respect of certain qualities or to alter or vary without radical transformation. Insofar as the meaning of the word ‘modifications’ in</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sec. 12 (1)</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of the Interpretation Act is concerned it seems to me that WILLIAMSON J was correct when he held that it must mean any alteration which does not change the essential nature or character of the repealed provision</w:t>
      </w:r>
      <w:r w:rsidR="009004BD" w:rsidRPr="00AD51FB">
        <w:rPr>
          <w:rFonts w:eastAsia="Arial"/>
          <w:kern w:val="2"/>
          <w:lang w:val="en-ZA" w:eastAsia="en-ZA"/>
          <w14:ligatures w14:val="standardContextual"/>
        </w:rPr>
        <w:t>s</w:t>
      </w:r>
      <w:r w:rsidRPr="00AD51FB">
        <w:rPr>
          <w:rFonts w:eastAsia="Arial"/>
          <w:kern w:val="2"/>
          <w:lang w:val="en-ZA" w:eastAsia="en-ZA"/>
          <w14:ligatures w14:val="standardContextual"/>
        </w:rPr>
        <w:t>.”</w:t>
      </w:r>
    </w:p>
    <w:p w14:paraId="672C08D3" w14:textId="123E52BE" w:rsidR="009C552C" w:rsidRPr="00AD51FB" w:rsidRDefault="009C552C" w:rsidP="009C552C">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lang w:val="en-ZA" w:eastAsia="en-ZA"/>
          <w14:ligatures w14:val="standardContextual"/>
        </w:rPr>
        <w:t>This interpretation and the test adopted were followed in</w:t>
      </w:r>
      <w:r w:rsidR="009004BD" w:rsidRPr="00AD51FB">
        <w:rPr>
          <w:rFonts w:eastAsia="Arial"/>
          <w:kern w:val="2"/>
          <w:lang w:val="en-ZA" w:eastAsia="en-ZA"/>
          <w14:ligatures w14:val="standardContextual"/>
        </w:rPr>
        <w:t xml:space="preserve"> </w:t>
      </w:r>
      <w:r w:rsidRPr="00AD51FB">
        <w:rPr>
          <w:rFonts w:eastAsia="Arial"/>
          <w:i/>
          <w:iCs/>
          <w:kern w:val="2"/>
          <w:lang w:val="en-ZA" w:eastAsia="en-ZA"/>
          <w14:ligatures w14:val="standardContextual"/>
        </w:rPr>
        <w:t>Nkomo and Others</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v</w:t>
      </w:r>
      <w:r w:rsidR="009004BD" w:rsidRPr="00AD51FB">
        <w:rPr>
          <w:rFonts w:eastAsia="Arial"/>
          <w:kern w:val="2"/>
          <w:lang w:val="en-ZA" w:eastAsia="en-ZA"/>
          <w14:ligatures w14:val="standardContextual"/>
        </w:rPr>
        <w:t xml:space="preserve"> </w:t>
      </w:r>
      <w:r w:rsidRPr="00AD51FB">
        <w:rPr>
          <w:rFonts w:eastAsia="Arial"/>
          <w:i/>
          <w:iCs/>
          <w:kern w:val="2"/>
          <w:lang w:val="en-ZA" w:eastAsia="en-ZA"/>
          <w14:ligatures w14:val="standardContextual"/>
        </w:rPr>
        <w:t>Minister of Justice and Others</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1965</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(1)</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SA</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498</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(SR, AD), at p 505 D-G;</w:t>
      </w:r>
      <w:r w:rsidR="009004BD" w:rsidRPr="00AD51FB">
        <w:rPr>
          <w:rFonts w:eastAsia="Arial"/>
          <w:kern w:val="2"/>
          <w:lang w:val="en-ZA" w:eastAsia="en-ZA"/>
          <w14:ligatures w14:val="standardContextual"/>
        </w:rPr>
        <w:t xml:space="preserve"> </w:t>
      </w:r>
      <w:r w:rsidRPr="00AD51FB">
        <w:rPr>
          <w:rFonts w:eastAsia="Arial"/>
          <w:i/>
          <w:iCs/>
          <w:kern w:val="2"/>
          <w:lang w:val="en-ZA" w:eastAsia="en-ZA"/>
          <w14:ligatures w14:val="standardContextual"/>
        </w:rPr>
        <w:t>Ex parte Glavonic</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1967</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(4)</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SA</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141</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(N), at pp 142 H – 143 A and</w:t>
      </w:r>
      <w:r w:rsidR="009004BD" w:rsidRPr="00AD51FB">
        <w:rPr>
          <w:rFonts w:eastAsia="Arial"/>
          <w:kern w:val="2"/>
          <w:lang w:val="en-ZA" w:eastAsia="en-ZA"/>
          <w14:ligatures w14:val="standardContextual"/>
        </w:rPr>
        <w:t xml:space="preserve"> </w:t>
      </w:r>
      <w:r w:rsidRPr="00AD51FB">
        <w:rPr>
          <w:rFonts w:eastAsia="Arial"/>
          <w:i/>
          <w:iCs/>
          <w:kern w:val="2"/>
          <w:lang w:val="en-ZA" w:eastAsia="en-ZA"/>
          <w14:ligatures w14:val="standardContextual"/>
        </w:rPr>
        <w:t>S</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v</w:t>
      </w:r>
      <w:r w:rsidR="009004BD" w:rsidRPr="00AD51FB">
        <w:rPr>
          <w:rFonts w:eastAsia="Arial"/>
          <w:kern w:val="2"/>
          <w:lang w:val="en-ZA" w:eastAsia="en-ZA"/>
          <w14:ligatures w14:val="standardContextual"/>
        </w:rPr>
        <w:t xml:space="preserve"> </w:t>
      </w:r>
      <w:r w:rsidRPr="00AD51FB">
        <w:rPr>
          <w:rFonts w:eastAsia="Arial"/>
          <w:i/>
          <w:iCs/>
          <w:kern w:val="2"/>
          <w:lang w:val="en-ZA" w:eastAsia="en-ZA"/>
          <w14:ligatures w14:val="standardContextual"/>
        </w:rPr>
        <w:t>Msitshana</w:t>
      </w:r>
      <w:r w:rsidR="009004BD" w:rsidRPr="00AD51FB">
        <w:rPr>
          <w:rFonts w:eastAsia="Arial"/>
          <w:i/>
          <w:iCs/>
          <w:kern w:val="2"/>
          <w:lang w:val="en-ZA" w:eastAsia="en-ZA"/>
          <w14:ligatures w14:val="standardContextual"/>
        </w:rPr>
        <w:t xml:space="preserve"> </w:t>
      </w:r>
      <w:r w:rsidRPr="00AD51FB">
        <w:rPr>
          <w:rFonts w:eastAsia="Arial"/>
          <w:kern w:val="2"/>
          <w:lang w:val="en-ZA" w:eastAsia="en-ZA"/>
          <w14:ligatures w14:val="standardContextual"/>
        </w:rPr>
        <w:t>1978</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(1)</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SA</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386</w:t>
      </w:r>
      <w:r w:rsidR="009004BD"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 xml:space="preserve">(W), at pp 388 H – 389 C; and it seems to me that they should be followed by this Court. Applying the test in the present case, </w:t>
      </w:r>
      <w:r w:rsidRPr="00AD51FB">
        <w:rPr>
          <w:rFonts w:eastAsia="Arial"/>
          <w:i/>
          <w:iCs/>
          <w:kern w:val="2"/>
          <w:lang w:val="en-ZA" w:eastAsia="en-ZA"/>
          <w14:ligatures w14:val="standardContextual"/>
        </w:rPr>
        <w:t>the question is whether or not the relevant provisions</w:t>
      </w:r>
      <w:r w:rsidRPr="00AD51FB">
        <w:rPr>
          <w:rFonts w:eastAsia="Arial"/>
          <w:kern w:val="2"/>
          <w:lang w:val="en-ZA" w:eastAsia="en-ZA"/>
          <w14:ligatures w14:val="standardContextual"/>
        </w:rPr>
        <w:t xml:space="preserve"> of the 1963 Act, in repealing and re-enacting with alterations the corresponding provisions of the 1916 Act, </w:t>
      </w:r>
      <w:r w:rsidRPr="00AD51FB">
        <w:rPr>
          <w:rFonts w:eastAsia="Arial"/>
          <w:i/>
          <w:iCs/>
          <w:kern w:val="2"/>
          <w:lang w:val="en-ZA" w:eastAsia="en-ZA"/>
          <w14:ligatures w14:val="standardContextual"/>
        </w:rPr>
        <w:t>changed “the essential nature or character” of the repealed provisions</w:t>
      </w:r>
      <w:r w:rsidRPr="00AD51FB">
        <w:rPr>
          <w:rFonts w:eastAsia="Arial"/>
          <w:kern w:val="2"/>
          <w:lang w:val="en-ZA" w:eastAsia="en-ZA"/>
          <w14:ligatures w14:val="standardContextual"/>
        </w:rPr>
        <w:t>.</w:t>
      </w:r>
      <w:r w:rsidR="009004BD" w:rsidRPr="00AD51FB">
        <w:rPr>
          <w:rFonts w:eastAsia="Arial"/>
          <w:kern w:val="2"/>
          <w:lang w:val="en-ZA" w:eastAsia="en-ZA"/>
          <w14:ligatures w14:val="standardContextual"/>
        </w:rPr>
        <w:t>’</w:t>
      </w:r>
      <w:r w:rsidRPr="00AD51FB">
        <w:rPr>
          <w:rFonts w:eastAsia="Arial"/>
          <w:kern w:val="2"/>
          <w:lang w:val="en-ZA" w:eastAsia="en-ZA"/>
          <w14:ligatures w14:val="standardContextual"/>
        </w:rPr>
        <w:t xml:space="preserve"> (My emphasis</w:t>
      </w:r>
      <w:r w:rsidR="009004BD" w:rsidRPr="00AD51FB">
        <w:rPr>
          <w:rFonts w:eastAsia="Arial"/>
          <w:kern w:val="2"/>
          <w:lang w:val="en-ZA" w:eastAsia="en-ZA"/>
          <w14:ligatures w14:val="standardContextual"/>
        </w:rPr>
        <w:t>.</w:t>
      </w:r>
      <w:r w:rsidRPr="00AD51FB">
        <w:rPr>
          <w:rFonts w:eastAsia="Arial"/>
          <w:kern w:val="2"/>
          <w:lang w:val="en-ZA" w:eastAsia="en-ZA"/>
          <w14:ligatures w14:val="standardContextual"/>
        </w:rPr>
        <w:t>)</w:t>
      </w:r>
    </w:p>
    <w:p w14:paraId="15A0F28D" w14:textId="1F5B86A2" w:rsidR="009C552C" w:rsidRPr="00AD51FB" w:rsidRDefault="009C552C" w:rsidP="009C552C">
      <w:pPr>
        <w:spacing w:after="160" w:line="360" w:lineRule="auto"/>
        <w:contextualSpacing/>
        <w:jc w:val="both"/>
        <w:rPr>
          <w:rFonts w:eastAsia="Arial"/>
          <w:kern w:val="2"/>
          <w:sz w:val="28"/>
          <w:szCs w:val="28"/>
          <w:lang w:val="en-ZA" w:eastAsia="en-ZA"/>
          <w14:ligatures w14:val="standardContextual"/>
        </w:rPr>
      </w:pPr>
    </w:p>
    <w:p w14:paraId="3FEA2D3A" w14:textId="24F56740"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[68]</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Section 129 </w:t>
      </w:r>
      <w:r w:rsidR="009C552C" w:rsidRPr="00AD51FB">
        <w:rPr>
          <w:rFonts w:eastAsia="Arial"/>
          <w:kern w:val="2"/>
          <w:sz w:val="28"/>
          <w:szCs w:val="28"/>
          <w:lang w:val="en-ZA" w:eastAsia="en-ZA"/>
          <w14:ligatures w14:val="standardContextual"/>
        </w:rPr>
        <w:t xml:space="preserve">of the FSR Act </w:t>
      </w:r>
      <w:r w:rsidR="005D1201" w:rsidRPr="00AD51FB">
        <w:rPr>
          <w:rFonts w:eastAsia="Arial"/>
          <w:kern w:val="2"/>
          <w:sz w:val="28"/>
          <w:szCs w:val="28"/>
          <w:lang w:val="en-ZA" w:eastAsia="en-ZA"/>
          <w14:ligatures w14:val="standardContextual"/>
        </w:rPr>
        <w:t>concerns the application and interpretation of the chapter. It provides, in relevant part, as follows:</w:t>
      </w:r>
    </w:p>
    <w:p w14:paraId="15D5DDB1" w14:textId="5EDAF532" w:rsidR="005D1201" w:rsidRPr="00AD51FB" w:rsidRDefault="007C179D" w:rsidP="005D1201">
      <w:pPr>
        <w:spacing w:line="360" w:lineRule="auto"/>
        <w:jc w:val="both"/>
        <w:rPr>
          <w:rFonts w:eastAsia="Arial"/>
          <w:kern w:val="2"/>
          <w:lang w:val="en-ZA" w:eastAsia="en-ZA"/>
          <w14:ligatures w14:val="standardContextual"/>
        </w:rPr>
      </w:pPr>
      <w:r w:rsidRPr="00AD51FB">
        <w:rPr>
          <w:rFonts w:eastAsia="Arial"/>
          <w:kern w:val="2"/>
          <w:lang w:val="en-ZA" w:eastAsia="en-ZA"/>
          <w14:ligatures w14:val="standardContextual"/>
        </w:rPr>
        <w:t>‘</w:t>
      </w:r>
      <w:r w:rsidR="005D1201" w:rsidRPr="00AD51FB">
        <w:rPr>
          <w:rFonts w:eastAsia="Arial"/>
          <w:kern w:val="2"/>
          <w:lang w:val="en-ZA" w:eastAsia="en-ZA"/>
          <w14:ligatures w14:val="standardContextual"/>
        </w:rPr>
        <w:t>(2)</w:t>
      </w:r>
      <w:r w:rsidR="00D065F9" w:rsidRPr="00AD51FB">
        <w:rPr>
          <w:rFonts w:eastAsia="Arial"/>
          <w:kern w:val="2"/>
          <w:lang w:val="en-ZA" w:eastAsia="en-ZA"/>
          <w14:ligatures w14:val="standardContextual"/>
        </w:rPr>
        <w:t xml:space="preserve"> </w:t>
      </w:r>
      <w:r w:rsidR="005D1201" w:rsidRPr="00AD51FB">
        <w:rPr>
          <w:rFonts w:eastAsia="Arial"/>
          <w:kern w:val="2"/>
          <w:lang w:val="en-ZA" w:eastAsia="en-ZA"/>
          <w14:ligatures w14:val="standardContextual"/>
        </w:rPr>
        <w:t>The Council for Medical Schemes may exercise powers in terms of this Chapter in respect of powers and functions set out in the Medical Schemes Act, and powers and functions granted to it in this Act.</w:t>
      </w:r>
    </w:p>
    <w:p w14:paraId="48A69E0D" w14:textId="1A8DED3C" w:rsidR="005D1201" w:rsidRPr="00AD51FB" w:rsidRDefault="005D1201" w:rsidP="005D1201">
      <w:pPr>
        <w:spacing w:line="360" w:lineRule="auto"/>
        <w:jc w:val="both"/>
        <w:rPr>
          <w:rFonts w:eastAsia="Arial"/>
          <w:kern w:val="2"/>
          <w:lang w:val="en-ZA" w:eastAsia="en-ZA"/>
          <w14:ligatures w14:val="standardContextual"/>
        </w:rPr>
      </w:pPr>
      <w:r w:rsidRPr="00AD51FB">
        <w:rPr>
          <w:rFonts w:eastAsia="Arial"/>
          <w:iCs/>
          <w:kern w:val="2"/>
          <w:lang w:val="en-ZA" w:eastAsia="en-ZA"/>
          <w14:ligatures w14:val="standardContextual"/>
        </w:rPr>
        <w:t>(3)</w:t>
      </w:r>
      <w:r w:rsidR="00D065F9"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In relation to the exercise of the powers in terms of this Chapter by the Council for Medical Schemes in respect of a medical scheme, a reference in this Chapter to ─</w:t>
      </w:r>
    </w:p>
    <w:p w14:paraId="3B0A2EE4" w14:textId="51D2C720" w:rsidR="005D1201" w:rsidRPr="00AD51FB" w:rsidRDefault="005D1201" w:rsidP="005D1201">
      <w:pPr>
        <w:spacing w:line="360" w:lineRule="auto"/>
        <w:jc w:val="both"/>
        <w:rPr>
          <w:rFonts w:eastAsia="Arial"/>
          <w:kern w:val="2"/>
          <w:lang w:val="en-ZA" w:eastAsia="en-ZA"/>
          <w14:ligatures w14:val="standardContextual"/>
        </w:rPr>
      </w:pPr>
      <w:r w:rsidRPr="00AD51FB">
        <w:rPr>
          <w:rFonts w:eastAsia="Arial"/>
          <w:i/>
          <w:kern w:val="2"/>
          <w:lang w:val="en-ZA" w:eastAsia="en-ZA"/>
          <w14:ligatures w14:val="standardContextual"/>
        </w:rPr>
        <w:lastRenderedPageBreak/>
        <w:t>(a)</w:t>
      </w:r>
      <w:r w:rsidR="00D065F9"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a financial sector regulator or the responsible authority must be read as including a reference to the Council for Medical Schemes;</w:t>
      </w:r>
    </w:p>
    <w:p w14:paraId="10B5B653" w14:textId="1E2DF689" w:rsidR="005D1201" w:rsidRPr="00AD51FB" w:rsidRDefault="005D1201" w:rsidP="005D1201">
      <w:pPr>
        <w:spacing w:line="360" w:lineRule="auto"/>
        <w:jc w:val="both"/>
        <w:rPr>
          <w:rFonts w:eastAsia="Arial"/>
          <w:kern w:val="2"/>
          <w:lang w:val="en-ZA" w:eastAsia="en-ZA"/>
          <w14:ligatures w14:val="standardContextual"/>
        </w:rPr>
      </w:pPr>
      <w:r w:rsidRPr="00AD51FB">
        <w:rPr>
          <w:rFonts w:eastAsia="Arial"/>
          <w:i/>
          <w:kern w:val="2"/>
          <w:lang w:val="en-ZA" w:eastAsia="en-ZA"/>
          <w14:ligatures w14:val="standardContextual"/>
        </w:rPr>
        <w:t>(b)</w:t>
      </w:r>
      <w:r w:rsidR="00D065F9"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the head of a financial sector regulator must be read as including a reference to the Registrar of Medical Schemes appointed in terms of section 18 of the Medical Schemes Act;</w:t>
      </w:r>
    </w:p>
    <w:p w14:paraId="26204B4C" w14:textId="6457AC6D" w:rsidR="005D1201" w:rsidRPr="00AD51FB" w:rsidRDefault="005D1201" w:rsidP="005D1201">
      <w:pPr>
        <w:spacing w:line="360" w:lineRule="auto"/>
        <w:jc w:val="both"/>
        <w:rPr>
          <w:rFonts w:eastAsia="Arial"/>
          <w:kern w:val="2"/>
          <w:lang w:val="en-ZA" w:eastAsia="en-ZA"/>
          <w14:ligatures w14:val="standardContextual"/>
        </w:rPr>
      </w:pPr>
      <w:r w:rsidRPr="00AD51FB">
        <w:rPr>
          <w:rFonts w:eastAsia="Arial"/>
          <w:i/>
          <w:kern w:val="2"/>
          <w:lang w:val="en-ZA" w:eastAsia="en-ZA"/>
          <w14:ligatures w14:val="standardContextual"/>
        </w:rPr>
        <w:t>(c)</w:t>
      </w:r>
      <w:r w:rsidR="00D065F9"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a financial sector law must be read as including a reference to regulatory instruments and to the Medical Schemes Act; and</w:t>
      </w:r>
    </w:p>
    <w:p w14:paraId="3FF55E7A" w14:textId="127EB674" w:rsidR="005D1201" w:rsidRPr="00AD51FB" w:rsidRDefault="005D1201" w:rsidP="005D1201">
      <w:pPr>
        <w:spacing w:line="360" w:lineRule="auto"/>
        <w:jc w:val="both"/>
        <w:rPr>
          <w:rFonts w:eastAsia="Arial"/>
          <w:i/>
          <w:kern w:val="2"/>
          <w:lang w:val="en-ZA" w:eastAsia="en-ZA"/>
          <w14:ligatures w14:val="standardContextual"/>
        </w:rPr>
      </w:pPr>
      <w:r w:rsidRPr="00AD51FB">
        <w:rPr>
          <w:rFonts w:eastAsia="Arial"/>
          <w:i/>
          <w:kern w:val="2"/>
          <w:lang w:val="en-ZA" w:eastAsia="en-ZA"/>
          <w14:ligatures w14:val="standardContextual"/>
        </w:rPr>
        <w:t>(d)</w:t>
      </w:r>
      <w:r w:rsidR="00D065F9" w:rsidRPr="00AD51FB">
        <w:rPr>
          <w:rFonts w:eastAsia="Arial"/>
          <w:kern w:val="2"/>
          <w:lang w:val="en-ZA" w:eastAsia="en-ZA"/>
          <w14:ligatures w14:val="standardContextual"/>
        </w:rPr>
        <w:t xml:space="preserve"> </w:t>
      </w:r>
      <w:r w:rsidRPr="00AD51FB">
        <w:rPr>
          <w:rFonts w:eastAsia="Arial"/>
          <w:kern w:val="2"/>
          <w:lang w:val="en-ZA" w:eastAsia="en-ZA"/>
          <w14:ligatures w14:val="standardContextual"/>
        </w:rPr>
        <w:t>a licensed financial institution must be read as including a reference to a medical scheme registered in terms of the Medical Schemes Act or an administrator of a medical scheme approved in terms of the Medical Schemes Act.</w:t>
      </w:r>
      <w:r w:rsidR="00EA5B7F" w:rsidRPr="00AD51FB">
        <w:rPr>
          <w:rFonts w:eastAsia="Arial"/>
          <w:kern w:val="2"/>
          <w:lang w:val="en-ZA" w:eastAsia="en-ZA"/>
          <w14:ligatures w14:val="standardContextual"/>
        </w:rPr>
        <w:t>’</w:t>
      </w:r>
    </w:p>
    <w:p w14:paraId="43364D2E" w14:textId="77777777" w:rsidR="005D1201" w:rsidRPr="00AD51FB" w:rsidRDefault="005D1201" w:rsidP="005D1201">
      <w:pPr>
        <w:spacing w:line="360" w:lineRule="auto"/>
        <w:jc w:val="both"/>
        <w:rPr>
          <w:rFonts w:eastAsia="Arial"/>
          <w:i/>
          <w:kern w:val="2"/>
          <w:lang w:val="en-ZA" w:eastAsia="en-ZA"/>
          <w14:ligatures w14:val="standardContextual"/>
        </w:rPr>
      </w:pPr>
    </w:p>
    <w:p w14:paraId="35CC1170" w14:textId="0F64B160" w:rsidR="009C552C"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[69]</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balance of the chapter contains provisions relating to information gathering (s 131); powers to conduct supervisory on-site inspections (s 132); the appointment of an investigator (s 134); the power to conduct investigations (s</w:t>
      </w:r>
      <w:r w:rsidR="00941616">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 xml:space="preserve">135) and the powers that may be exercised by investigators (ss 136 and 137). I shall touch upon these where necessary. Chapter 9 </w:t>
      </w:r>
      <w:r w:rsidR="009C552C" w:rsidRPr="00AD51FB">
        <w:rPr>
          <w:rFonts w:eastAsia="Arial"/>
          <w:kern w:val="2"/>
          <w:sz w:val="28"/>
          <w:szCs w:val="28"/>
          <w:lang w:val="en-ZA" w:eastAsia="en-ZA"/>
          <w14:ligatures w14:val="standardContextual"/>
        </w:rPr>
        <w:t xml:space="preserve">therefore </w:t>
      </w:r>
      <w:r w:rsidR="005D1201" w:rsidRPr="00AD51FB">
        <w:rPr>
          <w:rFonts w:eastAsia="Arial"/>
          <w:kern w:val="2"/>
          <w:sz w:val="28"/>
          <w:szCs w:val="28"/>
          <w:lang w:val="en-ZA" w:eastAsia="en-ZA"/>
          <w14:ligatures w14:val="standardContextual"/>
        </w:rPr>
        <w:t>re-enacts the 1998 Inspection Act with modifications. The most obvious modification is that the FSR Act no longer provides for the appointment of ‘inspectors’. It now provides for the appointment of ‘investigators’. In light of the investigative nature of an inspection envisaged by s 44(4) of the A</w:t>
      </w:r>
      <w:r w:rsidR="00D065F9"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nothing turns on this. </w:t>
      </w:r>
      <w:r w:rsidR="009C552C" w:rsidRPr="00AD51FB">
        <w:rPr>
          <w:rFonts w:eastAsia="Arial"/>
          <w:kern w:val="2"/>
          <w:sz w:val="28"/>
          <w:szCs w:val="28"/>
          <w:lang w:val="en-ZA" w:eastAsia="en-ZA"/>
          <w14:ligatures w14:val="standardContextual"/>
        </w:rPr>
        <w:t>It does not alter the essential character of the repealed provisions authorising an investigative investigation of the affairs of a medical scheme.</w:t>
      </w:r>
    </w:p>
    <w:p w14:paraId="6BE1399E" w14:textId="77777777" w:rsidR="00D065F9" w:rsidRPr="00AD51FB" w:rsidRDefault="00D065F9" w:rsidP="00E859A7">
      <w:pPr>
        <w:spacing w:after="160" w:line="360" w:lineRule="auto"/>
        <w:contextualSpacing/>
        <w:jc w:val="both"/>
        <w:rPr>
          <w:rFonts w:eastAsia="Arial"/>
          <w:kern w:val="2"/>
          <w:sz w:val="28"/>
          <w:szCs w:val="28"/>
          <w:lang w:val="en-ZA" w:eastAsia="en-ZA"/>
          <w14:ligatures w14:val="standardContextual"/>
        </w:rPr>
      </w:pPr>
    </w:p>
    <w:p w14:paraId="5160A9FC" w14:textId="510A3373"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[70]</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second modification concerns the distinction between supervisory inspections and ‘investigations’.</w:t>
      </w:r>
      <w:r w:rsidR="009C552C" w:rsidRPr="00AD51FB">
        <w:rPr>
          <w:rFonts w:eastAsia="Arial"/>
          <w:kern w:val="2"/>
          <w:sz w:val="28"/>
          <w:szCs w:val="28"/>
          <w:lang w:val="en-ZA" w:eastAsia="en-ZA"/>
          <w14:ligatures w14:val="standardContextual"/>
        </w:rPr>
        <w:t xml:space="preserve"> </w:t>
      </w:r>
      <w:r w:rsidR="005D1201" w:rsidRPr="00AD51FB">
        <w:rPr>
          <w:rFonts w:eastAsia="Arial"/>
          <w:kern w:val="2"/>
          <w:sz w:val="28"/>
          <w:szCs w:val="28"/>
          <w:lang w:val="en-ZA" w:eastAsia="en-ZA"/>
          <w14:ligatures w14:val="standardContextual"/>
        </w:rPr>
        <w:t>Section 132 provides that a financial sector regulator (for which read the Council of a Medical Scheme)</w:t>
      </w:r>
      <w:r w:rsidR="005D1201" w:rsidRPr="00AD51FB">
        <w:rPr>
          <w:rFonts w:eastAsia="Arial"/>
          <w:kern w:val="2"/>
          <w:sz w:val="28"/>
          <w:szCs w:val="28"/>
          <w:vertAlign w:val="superscript"/>
          <w:lang w:val="en-ZA" w:eastAsia="en-ZA"/>
          <w14:ligatures w14:val="standardContextual"/>
        </w:rPr>
        <w:footnoteReference w:id="47"/>
      </w:r>
      <w:r w:rsidR="005D1201" w:rsidRPr="00AD51FB">
        <w:rPr>
          <w:rFonts w:eastAsia="Arial"/>
          <w:kern w:val="2"/>
          <w:sz w:val="28"/>
          <w:szCs w:val="28"/>
          <w:lang w:val="en-ZA" w:eastAsia="en-ZA"/>
          <w14:ligatures w14:val="standardContextual"/>
        </w:rPr>
        <w:t xml:space="preserve"> may, upon notice, conduct a supervisory on-site inspection at the business premises of ‘a supervised entity’. The FSR Act defines a ‘supervised entity’ to include a ‘licenced financial institution’. Section 129(3)</w:t>
      </w:r>
      <w:r w:rsidR="005D1201" w:rsidRPr="00AD51FB">
        <w:rPr>
          <w:rFonts w:eastAsia="Arial"/>
          <w:i/>
          <w:kern w:val="2"/>
          <w:sz w:val="28"/>
          <w:szCs w:val="28"/>
          <w:lang w:val="en-ZA" w:eastAsia="en-ZA"/>
          <w14:ligatures w14:val="standardContextual"/>
        </w:rPr>
        <w:t xml:space="preserve">(d) </w:t>
      </w:r>
      <w:r w:rsidR="005D1201" w:rsidRPr="00AD51FB">
        <w:rPr>
          <w:rFonts w:eastAsia="Arial"/>
          <w:kern w:val="2"/>
          <w:sz w:val="28"/>
          <w:szCs w:val="28"/>
          <w:lang w:val="en-ZA" w:eastAsia="en-ZA"/>
          <w14:ligatures w14:val="standardContextual"/>
        </w:rPr>
        <w:t xml:space="preserve">specifies that for the purposes of the exercise of the powers conferred by the chapter, a licence financial </w:t>
      </w:r>
      <w:r w:rsidR="005D1201" w:rsidRPr="00AD51FB">
        <w:rPr>
          <w:rFonts w:eastAsia="Arial"/>
          <w:kern w:val="2"/>
          <w:sz w:val="28"/>
          <w:szCs w:val="28"/>
          <w:lang w:val="en-ZA" w:eastAsia="en-ZA"/>
          <w14:ligatures w14:val="standardContextual"/>
        </w:rPr>
        <w:lastRenderedPageBreak/>
        <w:t>institution must be taken to include a medical scheme registered in terms of the A</w:t>
      </w:r>
      <w:r w:rsidR="00D065F9"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The purpose of a supervisory inspection is to check compliance with a financial sector law (read </w:t>
      </w:r>
      <w:r w:rsidR="00D065F9" w:rsidRPr="00AD51FB">
        <w:rPr>
          <w:rFonts w:eastAsia="Arial"/>
          <w:kern w:val="2"/>
          <w:sz w:val="28"/>
          <w:szCs w:val="28"/>
          <w:lang w:val="en-ZA" w:eastAsia="en-ZA"/>
          <w14:ligatures w14:val="standardContextual"/>
        </w:rPr>
        <w:t xml:space="preserve">with the </w:t>
      </w:r>
      <w:r w:rsidR="005D1201" w:rsidRPr="00AD51FB">
        <w:rPr>
          <w:rFonts w:eastAsia="Arial"/>
          <w:kern w:val="2"/>
          <w:sz w:val="28"/>
          <w:szCs w:val="28"/>
          <w:lang w:val="en-ZA" w:eastAsia="en-ZA"/>
          <w14:ligatures w14:val="standardContextual"/>
        </w:rPr>
        <w:t>A</w:t>
      </w:r>
      <w:r w:rsidR="00D065F9"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48"/>
      </w:r>
      <w:r w:rsidR="005D1201" w:rsidRPr="00AD51FB">
        <w:rPr>
          <w:rFonts w:eastAsia="Arial"/>
          <w:kern w:val="2"/>
          <w:sz w:val="28"/>
          <w:szCs w:val="28"/>
          <w:lang w:val="en-ZA" w:eastAsia="en-ZA"/>
          <w14:ligatures w14:val="standardContextual"/>
        </w:rPr>
        <w:t xml:space="preserve"> for which the regulator ‘is the responsible authority’.</w:t>
      </w:r>
      <w:r w:rsidR="005D1201" w:rsidRPr="00AD51FB">
        <w:rPr>
          <w:rFonts w:eastAsia="Arial"/>
          <w:kern w:val="2"/>
          <w:sz w:val="28"/>
          <w:szCs w:val="28"/>
          <w:vertAlign w:val="superscript"/>
          <w:lang w:val="en-ZA" w:eastAsia="en-ZA"/>
          <w14:ligatures w14:val="standardContextual"/>
        </w:rPr>
        <w:footnoteReference w:id="49"/>
      </w:r>
      <w:r w:rsidR="005D1201" w:rsidRPr="00AD51FB">
        <w:rPr>
          <w:rFonts w:eastAsia="Arial"/>
          <w:kern w:val="2"/>
          <w:sz w:val="28"/>
          <w:szCs w:val="28"/>
          <w:lang w:val="en-ZA" w:eastAsia="en-ZA"/>
          <w14:ligatures w14:val="standardContextual"/>
        </w:rPr>
        <w:t xml:space="preserve"> </w:t>
      </w:r>
    </w:p>
    <w:p w14:paraId="046614E6"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5B3C61B1" w14:textId="3D2BB6A2"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[71]</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Upon a careful reading of s 44(4)</w:t>
      </w:r>
      <w:r w:rsidR="005D1201" w:rsidRPr="00466949">
        <w:rPr>
          <w:rFonts w:eastAsia="Arial"/>
          <w:i/>
          <w:kern w:val="2"/>
          <w:sz w:val="28"/>
          <w:lang w:val="en-ZA"/>
          <w14:ligatures w14:val="standardContextual"/>
        </w:rPr>
        <w:t>(</w:t>
      </w:r>
      <w:r w:rsidR="005D1201" w:rsidRPr="00FA163E">
        <w:rPr>
          <w:rFonts w:eastAsia="Arial"/>
          <w:i/>
          <w:iCs/>
          <w:kern w:val="2"/>
          <w:sz w:val="28"/>
          <w:szCs w:val="28"/>
          <w:lang w:val="en-ZA" w:eastAsia="en-ZA"/>
          <w14:ligatures w14:val="standardContextual"/>
        </w:rPr>
        <w:t>b</w:t>
      </w:r>
      <w:r w:rsidR="005D1201" w:rsidRPr="00466949">
        <w:rPr>
          <w:rFonts w:eastAsia="Arial"/>
          <w:i/>
          <w:kern w:val="2"/>
          <w:sz w:val="28"/>
          <w:lang w:val="en-ZA"/>
          <w14:ligatures w14:val="standardContextual"/>
        </w:rPr>
        <w:t xml:space="preserve">), </w:t>
      </w:r>
      <w:r w:rsidR="005D1201" w:rsidRPr="00AD51FB">
        <w:rPr>
          <w:rFonts w:eastAsia="Arial"/>
          <w:kern w:val="2"/>
          <w:sz w:val="28"/>
          <w:szCs w:val="28"/>
          <w:lang w:val="en-ZA" w:eastAsia="en-ZA"/>
          <w14:ligatures w14:val="standardContextual"/>
        </w:rPr>
        <w:t xml:space="preserve">which concerns routine inspections, the Registrar’s power to conduct a supervisory on-site inspection can only relate to the supervised entity under its regulatory or supervisory control. In this instance, it concerns a registered medical scheme. As concerns such inspection, the repeal of the 1998 Inspection Act and re-enactment of its provisions in the FSR Act, did not bring about </w:t>
      </w:r>
      <w:r w:rsidR="009C552C" w:rsidRPr="00AD51FB">
        <w:rPr>
          <w:rFonts w:eastAsia="Arial"/>
          <w:kern w:val="2"/>
          <w:sz w:val="28"/>
          <w:szCs w:val="28"/>
          <w:lang w:val="en-ZA" w:eastAsia="en-ZA"/>
          <w14:ligatures w14:val="standardContextual"/>
        </w:rPr>
        <w:t>an</w:t>
      </w:r>
      <w:r w:rsidR="005D1201" w:rsidRPr="00AD51FB">
        <w:rPr>
          <w:rFonts w:eastAsia="Arial"/>
          <w:kern w:val="2"/>
          <w:sz w:val="28"/>
          <w:szCs w:val="28"/>
          <w:lang w:val="en-ZA" w:eastAsia="en-ZA"/>
          <w14:ligatures w14:val="standardContextual"/>
        </w:rPr>
        <w:t xml:space="preserve"> extension of the powers to inspect entities which are not supervised entities in terms of the A</w:t>
      </w:r>
      <w:r w:rsidR="00D065F9"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w:t>
      </w:r>
    </w:p>
    <w:p w14:paraId="367CAE99"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6843019D" w14:textId="09D7F702" w:rsidR="005D1201" w:rsidRPr="00AD51FB" w:rsidRDefault="00CF10AD" w:rsidP="00CF10AD">
      <w:pPr>
        <w:tabs>
          <w:tab w:val="left" w:pos="0"/>
          <w:tab w:val="left" w:pos="90"/>
        </w:tabs>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[72]</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same applies in relation to s 44(4)</w:t>
      </w:r>
      <w:r w:rsidR="005D1201" w:rsidRPr="00466949">
        <w:rPr>
          <w:rFonts w:eastAsia="Arial"/>
          <w:i/>
          <w:kern w:val="2"/>
          <w:sz w:val="28"/>
          <w:lang w:val="en-ZA"/>
          <w14:ligatures w14:val="standardContextual"/>
        </w:rPr>
        <w:t>(</w:t>
      </w:r>
      <w:r w:rsidR="005D1201" w:rsidRPr="00FA163E">
        <w:rPr>
          <w:rFonts w:eastAsia="Arial"/>
          <w:i/>
          <w:iCs/>
          <w:kern w:val="2"/>
          <w:sz w:val="28"/>
          <w:szCs w:val="28"/>
          <w:lang w:val="en-ZA" w:eastAsia="en-ZA"/>
          <w14:ligatures w14:val="standardContextual"/>
        </w:rPr>
        <w:t>a</w:t>
      </w:r>
      <w:r w:rsidR="005D1201" w:rsidRPr="00466949">
        <w:rPr>
          <w:rFonts w:eastAsia="Arial"/>
          <w:i/>
          <w:kern w:val="2"/>
          <w:sz w:val="28"/>
          <w:lang w:val="en-ZA"/>
          <w14:ligatures w14:val="standardContextual"/>
        </w:rPr>
        <w:t>)</w:t>
      </w:r>
      <w:r w:rsidR="005D1201" w:rsidRPr="00FA163E">
        <w:rPr>
          <w:rFonts w:eastAsia="Arial"/>
          <w:kern w:val="2"/>
          <w:sz w:val="28"/>
          <w:szCs w:val="28"/>
          <w:lang w:val="en-ZA" w:eastAsia="en-ZA"/>
          <w14:ligatures w14:val="standardContextual"/>
        </w:rPr>
        <w:t>.</w:t>
      </w:r>
      <w:r w:rsidR="005D1201" w:rsidRPr="00466949">
        <w:rPr>
          <w:rFonts w:eastAsia="Arial"/>
          <w:i/>
          <w:kern w:val="2"/>
          <w:sz w:val="28"/>
          <w:lang w:val="en-ZA"/>
          <w14:ligatures w14:val="standardContextual"/>
        </w:rPr>
        <w:t xml:space="preserve"> </w:t>
      </w:r>
      <w:r w:rsidR="005D1201" w:rsidRPr="00AD51FB">
        <w:rPr>
          <w:rFonts w:eastAsia="Arial"/>
          <w:kern w:val="2"/>
          <w:sz w:val="28"/>
          <w:szCs w:val="28"/>
          <w:lang w:val="en-ZA" w:eastAsia="en-ZA"/>
          <w14:ligatures w14:val="standardContextual"/>
        </w:rPr>
        <w:t>The qualification, however, is not expressed with reference to ‘supervised entity’. Section 135, which confers the power to investigate, is framed in broad terms. It states, in relevant part, that:</w:t>
      </w:r>
    </w:p>
    <w:p w14:paraId="6DA1E2A9" w14:textId="0B5F56F1" w:rsidR="005D1201" w:rsidRPr="00AD51FB" w:rsidRDefault="005D1201" w:rsidP="005D1201">
      <w:pPr>
        <w:spacing w:line="360" w:lineRule="auto"/>
        <w:contextualSpacing/>
        <w:jc w:val="both"/>
        <w:rPr>
          <w:rFonts w:eastAsia="Calibri"/>
          <w:color w:val="000000"/>
          <w:kern w:val="2"/>
          <w:lang w:val="en-ZA"/>
          <w14:ligatures w14:val="standardContextual"/>
        </w:rPr>
      </w:pPr>
      <w:r w:rsidRPr="00AD51FB">
        <w:rPr>
          <w:rFonts w:eastAsia="Calibri"/>
          <w:color w:val="000000"/>
          <w:kern w:val="2"/>
          <w:lang w:val="en-ZA"/>
          <w14:ligatures w14:val="standardContextual"/>
        </w:rPr>
        <w:t>‘(1) A financial sector regulator may instruct an investigator appointed by it to conduct an investigation in terms of this Part in respect of any person, if the financial sector regulator—</w:t>
      </w:r>
    </w:p>
    <w:p w14:paraId="76816C8B" w14:textId="63971CE3" w:rsidR="005D1201" w:rsidRPr="00AD51FB" w:rsidRDefault="005D1201" w:rsidP="005D1201">
      <w:pPr>
        <w:spacing w:line="360" w:lineRule="auto"/>
        <w:contextualSpacing/>
        <w:jc w:val="both"/>
        <w:rPr>
          <w:rFonts w:eastAsia="Calibri"/>
          <w:color w:val="000000"/>
          <w:kern w:val="2"/>
          <w:lang w:val="en-ZA"/>
          <w14:ligatures w14:val="standardContextual"/>
        </w:rPr>
      </w:pPr>
      <w:r w:rsidRPr="00AD51FB">
        <w:rPr>
          <w:rFonts w:eastAsia="Calibri"/>
          <w:color w:val="000000"/>
          <w:kern w:val="2"/>
          <w:lang w:val="en-ZA"/>
          <w14:ligatures w14:val="standardContextual"/>
        </w:rPr>
        <w:t>(</w:t>
      </w:r>
      <w:r w:rsidRPr="00AD51FB">
        <w:rPr>
          <w:rFonts w:eastAsia="Calibri"/>
          <w:i/>
          <w:iCs/>
          <w:color w:val="000000"/>
          <w:kern w:val="2"/>
          <w:lang w:val="en-ZA"/>
          <w14:ligatures w14:val="standardContextual"/>
        </w:rPr>
        <w:t>a</w:t>
      </w:r>
      <w:r w:rsidRPr="00AD51FB">
        <w:rPr>
          <w:rFonts w:eastAsia="Calibri"/>
          <w:color w:val="000000"/>
          <w:kern w:val="2"/>
          <w:lang w:val="en-ZA"/>
          <w14:ligatures w14:val="standardContextual"/>
        </w:rPr>
        <w:t>) reasonably suspects that a person may have contravened, may be contravening or may be about to contravene, a financial sector law for which the financial sector regulator is the responsible authority; or</w:t>
      </w:r>
      <w:r w:rsidR="008276DD" w:rsidRPr="00AD51FB">
        <w:rPr>
          <w:rFonts w:eastAsia="Calibri"/>
          <w:color w:val="000000"/>
          <w:kern w:val="2"/>
          <w:lang w:val="en-ZA"/>
          <w14:ligatures w14:val="standardContextual"/>
        </w:rPr>
        <w:t xml:space="preserve"> . . .</w:t>
      </w:r>
      <w:r w:rsidRPr="00AD51FB">
        <w:rPr>
          <w:rFonts w:eastAsia="Calibri"/>
          <w:color w:val="000000"/>
          <w:kern w:val="2"/>
          <w:lang w:val="en-ZA"/>
          <w14:ligatures w14:val="standardContextual"/>
        </w:rPr>
        <w:t>’</w:t>
      </w:r>
    </w:p>
    <w:p w14:paraId="6F85D341" w14:textId="77777777" w:rsidR="008276DD" w:rsidRPr="00AD51FB" w:rsidRDefault="008276DD" w:rsidP="005D1201">
      <w:pPr>
        <w:spacing w:line="360" w:lineRule="auto"/>
        <w:contextualSpacing/>
        <w:jc w:val="both"/>
        <w:rPr>
          <w:rFonts w:eastAsia="Arial"/>
          <w:kern w:val="2"/>
          <w:lang w:val="en-ZA" w:eastAsia="en-ZA"/>
          <w14:ligatures w14:val="standardContextual"/>
        </w:rPr>
      </w:pPr>
    </w:p>
    <w:p w14:paraId="29ADA47B" w14:textId="38575801"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[73]</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The main judgment places reliance upon this broad formulation to support the conclusion that Optivest is subject to the exercise of the Registrar’s investigatory powers because it is a licenced financial services provider accredited by the Council. In my view, there are two respects in which the conclusion is incorrect. First, the broad ambit of the powers of investigation are qualified by s 129 of the FSR Act. Subsection (3) refers to the exercise of Chapter </w:t>
      </w:r>
      <w:r w:rsidR="005D1201" w:rsidRPr="00AD51FB">
        <w:rPr>
          <w:rFonts w:eastAsia="Arial"/>
          <w:kern w:val="2"/>
          <w:sz w:val="28"/>
          <w:szCs w:val="28"/>
          <w:lang w:val="en-ZA" w:eastAsia="en-ZA"/>
          <w14:ligatures w14:val="standardContextual"/>
        </w:rPr>
        <w:lastRenderedPageBreak/>
        <w:t>9 powers by the Council ‘in respect of a medical scheme’. When this qualification is applied to the substitution of terms as explained in sub-paragraphs (</w:t>
      </w:r>
      <w:r w:rsidR="005D1201" w:rsidRPr="00AD51FB">
        <w:rPr>
          <w:rFonts w:eastAsia="Arial"/>
          <w:i/>
          <w:iCs/>
          <w:kern w:val="2"/>
          <w:sz w:val="28"/>
          <w:szCs w:val="28"/>
          <w:lang w:val="en-ZA" w:eastAsia="en-ZA"/>
          <w14:ligatures w14:val="standardContextual"/>
        </w:rPr>
        <w:t>a</w:t>
      </w:r>
      <w:r w:rsidR="009C552C"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to (</w:t>
      </w:r>
      <w:r w:rsidR="005D1201" w:rsidRPr="00AD51FB">
        <w:rPr>
          <w:rFonts w:eastAsia="Arial"/>
          <w:i/>
          <w:iCs/>
          <w:kern w:val="2"/>
          <w:sz w:val="28"/>
          <w:szCs w:val="28"/>
          <w:lang w:val="en-ZA" w:eastAsia="en-ZA"/>
          <w14:ligatures w14:val="standardContextual"/>
        </w:rPr>
        <w:t>d</w:t>
      </w:r>
      <w:r w:rsidR="005D1201" w:rsidRPr="00AD51FB">
        <w:rPr>
          <w:rFonts w:eastAsia="Arial"/>
          <w:kern w:val="2"/>
          <w:sz w:val="28"/>
          <w:szCs w:val="28"/>
          <w:lang w:val="en-ZA" w:eastAsia="en-ZA"/>
          <w14:ligatures w14:val="standardContextual"/>
        </w:rPr>
        <w:t>), it is clear that the Chapter 9 powers can only be applied in relation to a medical scheme which falls under the supervisory control of the Council. Furthermore, the qualification is entirely consonant with the overall qualification of the Council’s supervisory powers as expressed in the provisions of the A</w:t>
      </w:r>
      <w:r w:rsidR="008276DD"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read a</w:t>
      </w:r>
      <w:r w:rsidR="008276DD" w:rsidRPr="00AD51FB">
        <w:rPr>
          <w:rFonts w:eastAsia="Arial"/>
          <w:kern w:val="2"/>
          <w:sz w:val="28"/>
          <w:szCs w:val="28"/>
          <w:lang w:val="en-ZA" w:eastAsia="en-ZA"/>
          <w14:ligatures w14:val="standardContextual"/>
        </w:rPr>
        <w:t>s a</w:t>
      </w:r>
      <w:r w:rsidR="005D1201" w:rsidRPr="00AD51FB">
        <w:rPr>
          <w:rFonts w:eastAsia="Arial"/>
          <w:kern w:val="2"/>
          <w:sz w:val="28"/>
          <w:szCs w:val="28"/>
          <w:lang w:val="en-ZA" w:eastAsia="en-ZA"/>
          <w14:ligatures w14:val="standardContextual"/>
        </w:rPr>
        <w:t xml:space="preserve"> whole.</w:t>
      </w:r>
      <w:r w:rsidR="009C552C" w:rsidRPr="00AD51FB">
        <w:rPr>
          <w:rFonts w:eastAsia="Arial"/>
          <w:kern w:val="2"/>
          <w:sz w:val="28"/>
          <w:szCs w:val="28"/>
          <w:lang w:val="en-ZA" w:eastAsia="en-ZA"/>
          <w14:ligatures w14:val="standardContextual"/>
        </w:rPr>
        <w:t xml:space="preserve"> Secondly, the qualifying phrase ‘in respect of a medical scheme’ expressly ensures that the modifications effected by the FSR Act do not alter the essential character of the powers conferred by the 1998 Inspection Act.</w:t>
      </w:r>
    </w:p>
    <w:p w14:paraId="02688522" w14:textId="77777777" w:rsidR="009C552C" w:rsidRPr="00AD51FB" w:rsidRDefault="009C552C" w:rsidP="009C552C">
      <w:pPr>
        <w:spacing w:after="160" w:line="360" w:lineRule="auto"/>
        <w:contextualSpacing/>
        <w:jc w:val="both"/>
        <w:rPr>
          <w:rFonts w:eastAsia="Arial"/>
          <w:kern w:val="2"/>
          <w:sz w:val="28"/>
          <w:szCs w:val="28"/>
          <w:lang w:val="en-ZA" w:eastAsia="en-ZA"/>
          <w14:ligatures w14:val="standardContextual"/>
        </w:rPr>
      </w:pPr>
    </w:p>
    <w:p w14:paraId="306DC494" w14:textId="7B319613" w:rsidR="009C552C"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[74]</w:t>
      </w:r>
      <w:r w:rsidRPr="00AD51FB">
        <w:rPr>
          <w:rFonts w:eastAsia="Arial"/>
          <w:kern w:val="2"/>
          <w:sz w:val="28"/>
          <w:szCs w:val="28"/>
          <w:lang w:val="en-ZA" w:eastAsia="en-ZA"/>
          <w14:ligatures w14:val="standardContextual"/>
        </w:rPr>
        <w:tab/>
      </w:r>
      <w:r w:rsidR="00753101" w:rsidRPr="00AD51FB">
        <w:rPr>
          <w:rFonts w:eastAsia="Arial"/>
          <w:kern w:val="2"/>
          <w:sz w:val="28"/>
          <w:szCs w:val="28"/>
          <w:lang w:val="en-ZA" w:eastAsia="en-ZA"/>
          <w14:ligatures w14:val="standardContextual"/>
        </w:rPr>
        <w:t xml:space="preserve">Counsel for the respondents argued that the FSR Act had, in effect, broadened the regulatory powers of the Council. The argument did not, however, account for the legislative mechanism by which these changes were said to have been introduced. </w:t>
      </w:r>
      <w:r w:rsidR="009C552C" w:rsidRPr="00AD51FB">
        <w:rPr>
          <w:rFonts w:eastAsia="Arial"/>
          <w:kern w:val="2"/>
          <w:sz w:val="28"/>
          <w:szCs w:val="28"/>
          <w:lang w:val="en-ZA" w:eastAsia="en-ZA"/>
          <w14:ligatures w14:val="standardContextual"/>
        </w:rPr>
        <w:t>If it had been intended to broaden the ambit and scope of the powers which may be exercised by the Council, then an amendment of the provisions of the A</w:t>
      </w:r>
      <w:r w:rsidR="008276DD" w:rsidRPr="00AD51FB">
        <w:rPr>
          <w:rFonts w:eastAsia="Arial"/>
          <w:kern w:val="2"/>
          <w:sz w:val="28"/>
          <w:szCs w:val="28"/>
          <w:lang w:val="en-ZA" w:eastAsia="en-ZA"/>
          <w14:ligatures w14:val="standardContextual"/>
        </w:rPr>
        <w:t>ct</w:t>
      </w:r>
      <w:r w:rsidR="009C552C" w:rsidRPr="00AD51FB">
        <w:rPr>
          <w:rFonts w:eastAsia="Arial"/>
          <w:kern w:val="2"/>
          <w:sz w:val="28"/>
          <w:szCs w:val="28"/>
          <w:lang w:val="en-ZA" w:eastAsia="en-ZA"/>
          <w14:ligatures w14:val="standardContextual"/>
        </w:rPr>
        <w:t xml:space="preserve"> and s 44(4)</w:t>
      </w:r>
      <w:r w:rsidR="008276DD" w:rsidRPr="00AD51FB">
        <w:rPr>
          <w:rFonts w:eastAsia="Arial"/>
          <w:kern w:val="2"/>
          <w:sz w:val="28"/>
          <w:szCs w:val="28"/>
          <w:lang w:val="en-ZA" w:eastAsia="en-ZA"/>
          <w14:ligatures w14:val="standardContextual"/>
        </w:rPr>
        <w:t>,</w:t>
      </w:r>
      <w:r w:rsidR="009C552C" w:rsidRPr="00AD51FB">
        <w:rPr>
          <w:rFonts w:eastAsia="Arial"/>
          <w:kern w:val="2"/>
          <w:sz w:val="28"/>
          <w:szCs w:val="28"/>
          <w:lang w:val="en-ZA" w:eastAsia="en-ZA"/>
          <w14:ligatures w14:val="standardContextual"/>
        </w:rPr>
        <w:t xml:space="preserve"> in particular</w:t>
      </w:r>
      <w:r w:rsidR="008276DD" w:rsidRPr="00AD51FB">
        <w:rPr>
          <w:rFonts w:eastAsia="Arial"/>
          <w:kern w:val="2"/>
          <w:sz w:val="28"/>
          <w:szCs w:val="28"/>
          <w:lang w:val="en-ZA" w:eastAsia="en-ZA"/>
          <w14:ligatures w14:val="standardContextual"/>
        </w:rPr>
        <w:t>,</w:t>
      </w:r>
      <w:r w:rsidR="009C552C" w:rsidRPr="00AD51FB">
        <w:rPr>
          <w:rFonts w:eastAsia="Arial"/>
          <w:kern w:val="2"/>
          <w:sz w:val="28"/>
          <w:szCs w:val="28"/>
          <w:lang w:val="en-ZA" w:eastAsia="en-ZA"/>
          <w14:ligatures w14:val="standardContextual"/>
        </w:rPr>
        <w:t xml:space="preserve"> could have been expected. In this regard, this Court’s approach to the limitations of reliance upon the provisions of the Interpretation Act to support such alteration are instructive. In </w:t>
      </w:r>
      <w:r w:rsidR="009C552C" w:rsidRPr="00AD51FB">
        <w:rPr>
          <w:rFonts w:eastAsia="Arial"/>
          <w:i/>
          <w:iCs/>
          <w:kern w:val="2"/>
          <w:sz w:val="28"/>
          <w:szCs w:val="28"/>
          <w:lang w:val="en-ZA" w:eastAsia="en-ZA"/>
          <w14:ligatures w14:val="standardContextual"/>
        </w:rPr>
        <w:t>Spinnaker Investments (Pty) Ltd v Tongaat Group Limited</w:t>
      </w:r>
      <w:r w:rsidR="009C552C" w:rsidRPr="00AD51FB">
        <w:rPr>
          <w:rFonts w:eastAsia="Arial"/>
          <w:kern w:val="2"/>
          <w:sz w:val="28"/>
          <w:szCs w:val="28"/>
          <w:lang w:val="en-ZA" w:eastAsia="en-ZA"/>
          <w14:ligatures w14:val="standardContextual"/>
        </w:rPr>
        <w:t>, it was observed that:</w:t>
      </w:r>
    </w:p>
    <w:p w14:paraId="3F0A5197" w14:textId="11EFE0CD" w:rsidR="009C552C" w:rsidRPr="00AD51FB" w:rsidRDefault="009C552C" w:rsidP="00306539">
      <w:pPr>
        <w:spacing w:line="360" w:lineRule="auto"/>
        <w:jc w:val="both"/>
      </w:pPr>
      <w:r w:rsidRPr="00AD51FB">
        <w:t>‘I deem it unlikely that the Legislature would depend solely on the provisions of the Interpretation Act if there were an intention to legislate with such far reaching consequences. The words of Lord MORRIS of Borth-Y-Gest (reported in </w:t>
      </w:r>
      <w:r w:rsidRPr="00AD51FB">
        <w:rPr>
          <w:i/>
          <w:iCs/>
        </w:rPr>
        <w:t>Blue Metal Industries </w:t>
      </w:r>
      <w:r w:rsidRPr="00AD51FB">
        <w:t>v </w:t>
      </w:r>
      <w:r w:rsidRPr="00AD51FB">
        <w:rPr>
          <w:i/>
          <w:iCs/>
        </w:rPr>
        <w:t>R.W. Dilley </w:t>
      </w:r>
      <w:r w:rsidRPr="00AD51FB">
        <w:t>(1969) 3 AER 437 at 442) are apposite:</w:t>
      </w:r>
    </w:p>
    <w:p w14:paraId="09E8E96C" w14:textId="77777777" w:rsidR="009C552C" w:rsidRPr="00AD51FB" w:rsidRDefault="009C552C" w:rsidP="00EA5B7F">
      <w:pPr>
        <w:spacing w:after="160" w:line="360" w:lineRule="auto"/>
        <w:jc w:val="both"/>
      </w:pPr>
      <w:r w:rsidRPr="00AD51FB">
        <w:t>“The Interpretation Act is a drafting convenience. It is not to be expected that it would be used so as to change the character of legislation.”</w:t>
      </w:r>
    </w:p>
    <w:p w14:paraId="0A851314" w14:textId="0E9BD963" w:rsidR="009C552C" w:rsidRPr="00AD51FB" w:rsidRDefault="009C552C" w:rsidP="00EA5B7F">
      <w:pPr>
        <w:spacing w:after="160" w:line="360" w:lineRule="auto"/>
        <w:contextualSpacing/>
        <w:jc w:val="both"/>
        <w:rPr>
          <w:rFonts w:eastAsia="Arial"/>
          <w:kern w:val="2"/>
          <w:sz w:val="28"/>
          <w:szCs w:val="28"/>
          <w:lang w:val="en-ZA" w:eastAsia="en-ZA"/>
          <w14:ligatures w14:val="standardContextual"/>
        </w:rPr>
      </w:pPr>
      <w:r w:rsidRPr="00AD51FB">
        <w:t>See too </w:t>
      </w:r>
      <w:r w:rsidRPr="00AD51FB">
        <w:rPr>
          <w:i/>
          <w:iCs/>
        </w:rPr>
        <w:t>Floor </w:t>
      </w:r>
      <w:r w:rsidRPr="00AD51FB">
        <w:t>v </w:t>
      </w:r>
      <w:r w:rsidRPr="00AD51FB">
        <w:rPr>
          <w:i/>
          <w:iCs/>
        </w:rPr>
        <w:t>Davis </w:t>
      </w:r>
      <w:r w:rsidRPr="00AD51FB">
        <w:t xml:space="preserve">(1979) 2 AER 677 at 681 (H.L.). I do not think that the Interpretation Act 1957 can be used to extend the ambit of the definition of “take-over scheme” so as to </w:t>
      </w:r>
      <w:r w:rsidRPr="00AD51FB">
        <w:lastRenderedPageBreak/>
        <w:t>fortify and lend weight to the meaning for which plaintiff contends. If that meaning had been intended, the draftsman would surely have said so.’</w:t>
      </w:r>
      <w:r w:rsidR="008276DD" w:rsidRPr="00AD51FB">
        <w:rPr>
          <w:rStyle w:val="FootnoteReference"/>
        </w:rPr>
        <w:footnoteReference w:id="50"/>
      </w:r>
    </w:p>
    <w:p w14:paraId="058BCE84" w14:textId="77777777" w:rsidR="005D1201" w:rsidRPr="00AD51FB" w:rsidRDefault="005D1201" w:rsidP="005D1201">
      <w:pPr>
        <w:spacing w:line="360" w:lineRule="auto"/>
        <w:contextualSpacing/>
        <w:jc w:val="both"/>
        <w:rPr>
          <w:rFonts w:eastAsia="Arial"/>
          <w:kern w:val="2"/>
          <w:sz w:val="28"/>
          <w:szCs w:val="28"/>
          <w:lang w:val="en-ZA" w:eastAsia="en-ZA"/>
          <w14:ligatures w14:val="standardContextual"/>
        </w:rPr>
      </w:pPr>
    </w:p>
    <w:p w14:paraId="5F7E4A89" w14:textId="6DEEBF66"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[75]</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 </w:t>
      </w:r>
      <w:r w:rsidR="009C552C" w:rsidRPr="00AD51FB">
        <w:rPr>
          <w:rFonts w:eastAsia="Arial"/>
          <w:kern w:val="2"/>
          <w:sz w:val="28"/>
          <w:szCs w:val="28"/>
          <w:lang w:val="en-ZA" w:eastAsia="en-ZA"/>
          <w14:ligatures w14:val="standardContextual"/>
        </w:rPr>
        <w:t xml:space="preserve">In addition, </w:t>
      </w:r>
      <w:r w:rsidR="005D1201" w:rsidRPr="00AD51FB">
        <w:rPr>
          <w:rFonts w:eastAsia="Arial"/>
          <w:kern w:val="2"/>
          <w:sz w:val="28"/>
          <w:szCs w:val="28"/>
          <w:lang w:val="en-ZA" w:eastAsia="en-ZA"/>
          <w14:ligatures w14:val="standardContextual"/>
        </w:rPr>
        <w:t xml:space="preserve">the accreditation of Optivest as a broker </w:t>
      </w:r>
      <w:r w:rsidR="009C552C" w:rsidRPr="00AD51FB">
        <w:rPr>
          <w:rFonts w:eastAsia="Arial"/>
          <w:kern w:val="2"/>
          <w:sz w:val="28"/>
          <w:szCs w:val="28"/>
          <w:lang w:val="en-ZA" w:eastAsia="en-ZA"/>
          <w14:ligatures w14:val="standardContextual"/>
        </w:rPr>
        <w:t>who</w:t>
      </w:r>
      <w:r w:rsidR="005D1201" w:rsidRPr="00AD51FB">
        <w:rPr>
          <w:rFonts w:eastAsia="Arial"/>
          <w:kern w:val="2"/>
          <w:sz w:val="28"/>
          <w:szCs w:val="28"/>
          <w:lang w:val="en-ZA" w:eastAsia="en-ZA"/>
          <w14:ligatures w14:val="standardContextual"/>
        </w:rPr>
        <w:t xml:space="preserve"> is entitled to offer specific broker services in terms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does not render it subject to the supervisory control of the Council in terms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‘Broker services’ is defined by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to include ‘(</w:t>
      </w:r>
      <w:r w:rsidR="005D1201" w:rsidRPr="00AD51FB">
        <w:rPr>
          <w:rFonts w:eastAsia="Arial"/>
          <w:i/>
          <w:iCs/>
          <w:kern w:val="2"/>
          <w:sz w:val="28"/>
          <w:szCs w:val="28"/>
          <w:lang w:val="en-ZA" w:eastAsia="en-ZA"/>
          <w14:ligatures w14:val="standardContextual"/>
        </w:rPr>
        <w:t>a</w:t>
      </w:r>
      <w:r w:rsidR="005D1201" w:rsidRPr="00AD51FB">
        <w:rPr>
          <w:rFonts w:eastAsia="Arial"/>
          <w:kern w:val="2"/>
          <w:sz w:val="28"/>
          <w:szCs w:val="28"/>
          <w:lang w:val="en-ZA" w:eastAsia="en-ZA"/>
          <w14:ligatures w14:val="standardContextual"/>
        </w:rPr>
        <w:t>) the provision of service or advice in respect of the introduction or admission of members to a medical scheme; or (</w:t>
      </w:r>
      <w:r w:rsidR="005D1201" w:rsidRPr="00AD51FB">
        <w:rPr>
          <w:rFonts w:eastAsia="Arial"/>
          <w:i/>
          <w:iCs/>
          <w:kern w:val="2"/>
          <w:sz w:val="28"/>
          <w:szCs w:val="28"/>
          <w:lang w:val="en-ZA" w:eastAsia="en-ZA"/>
          <w14:ligatures w14:val="standardContextual"/>
        </w:rPr>
        <w:t>b</w:t>
      </w:r>
      <w:r w:rsidR="005D1201" w:rsidRPr="00AD51FB">
        <w:rPr>
          <w:rFonts w:eastAsia="Arial"/>
          <w:kern w:val="2"/>
          <w:sz w:val="28"/>
          <w:szCs w:val="28"/>
          <w:lang w:val="en-ZA" w:eastAsia="en-ZA"/>
          <w14:ligatures w14:val="standardContextual"/>
        </w:rPr>
        <w:t>) the ongoing provision of service or advice in respect of access to, or benefits or services offered by, a medical scheme</w:t>
      </w:r>
      <w:r w:rsidR="00E8729E"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These services are plainly advisory or intermediary services rendered in relation to a financial product.</w:t>
      </w:r>
      <w:r w:rsidR="005D1201" w:rsidRPr="00AD51FB">
        <w:rPr>
          <w:rFonts w:eastAsia="Arial"/>
          <w:kern w:val="2"/>
          <w:sz w:val="28"/>
          <w:szCs w:val="28"/>
          <w:vertAlign w:val="superscript"/>
          <w:lang w:val="en-ZA" w:eastAsia="en-ZA"/>
          <w14:ligatures w14:val="standardContextual"/>
        </w:rPr>
        <w:footnoteReference w:id="51"/>
      </w:r>
      <w:r w:rsidR="005D1201" w:rsidRPr="00AD51FB">
        <w:rPr>
          <w:rFonts w:eastAsia="Arial"/>
          <w:kern w:val="2"/>
          <w:sz w:val="28"/>
          <w:szCs w:val="28"/>
          <w:lang w:val="en-ZA" w:eastAsia="en-ZA"/>
          <w14:ligatures w14:val="standardContextual"/>
        </w:rPr>
        <w:t xml:space="preserve"> Optivest was obliged to be, and was in fact, licenced as a financial services provider in terms of the FAIS Act.</w:t>
      </w:r>
      <w:r w:rsidR="005D1201" w:rsidRPr="00AD51FB">
        <w:rPr>
          <w:rFonts w:eastAsia="Arial"/>
          <w:kern w:val="2"/>
          <w:sz w:val="28"/>
          <w:szCs w:val="28"/>
          <w:vertAlign w:val="superscript"/>
          <w:lang w:val="en-ZA" w:eastAsia="en-ZA"/>
          <w14:ligatures w14:val="standardContextual"/>
        </w:rPr>
        <w:footnoteReference w:id="52"/>
      </w:r>
      <w:r w:rsidR="005D1201" w:rsidRPr="00AD51FB">
        <w:rPr>
          <w:rFonts w:eastAsia="Arial"/>
          <w:kern w:val="2"/>
          <w:sz w:val="28"/>
          <w:szCs w:val="28"/>
          <w:lang w:val="en-ZA" w:eastAsia="en-ZA"/>
          <w14:ligatures w14:val="standardContextual"/>
        </w:rPr>
        <w:t xml:space="preserve"> As a matter of fact, therefore, Optivest’s conduct as a licenced financial services provider rendering advisory services, was subject to the conduct codes issued under the FAIS Act,</w:t>
      </w:r>
      <w:r w:rsidR="005D1201" w:rsidRPr="00AD51FB">
        <w:rPr>
          <w:rFonts w:eastAsia="Arial"/>
          <w:kern w:val="2"/>
          <w:sz w:val="28"/>
          <w:szCs w:val="28"/>
          <w:vertAlign w:val="superscript"/>
          <w:lang w:val="en-ZA" w:eastAsia="en-ZA"/>
          <w14:ligatures w14:val="standardContextual"/>
        </w:rPr>
        <w:footnoteReference w:id="53"/>
      </w:r>
      <w:r w:rsidR="005D1201" w:rsidRPr="00AD51FB">
        <w:rPr>
          <w:rFonts w:eastAsia="Arial"/>
          <w:kern w:val="2"/>
          <w:sz w:val="28"/>
          <w:szCs w:val="28"/>
          <w:lang w:val="en-ZA" w:eastAsia="en-ZA"/>
          <w14:ligatures w14:val="standardContextual"/>
        </w:rPr>
        <w:t xml:space="preserve"> and fell under the supervisory authority of the F</w:t>
      </w:r>
      <w:r w:rsidR="00E8729E" w:rsidRPr="00AD51FB">
        <w:rPr>
          <w:rFonts w:eastAsia="Arial"/>
          <w:kern w:val="2"/>
          <w:sz w:val="28"/>
          <w:szCs w:val="28"/>
          <w:lang w:val="en-ZA" w:eastAsia="en-ZA"/>
          <w14:ligatures w14:val="standardContextual"/>
        </w:rPr>
        <w:t xml:space="preserve">inancial </w:t>
      </w:r>
      <w:r w:rsidR="005D1201" w:rsidRPr="00AD51FB">
        <w:rPr>
          <w:rFonts w:eastAsia="Arial"/>
          <w:kern w:val="2"/>
          <w:sz w:val="28"/>
          <w:szCs w:val="28"/>
          <w:lang w:val="en-ZA" w:eastAsia="en-ZA"/>
          <w14:ligatures w14:val="standardContextual"/>
        </w:rPr>
        <w:t>S</w:t>
      </w:r>
      <w:r w:rsidR="00E8729E" w:rsidRPr="00AD51FB">
        <w:rPr>
          <w:rFonts w:eastAsia="Arial"/>
          <w:kern w:val="2"/>
          <w:sz w:val="28"/>
          <w:szCs w:val="28"/>
          <w:lang w:val="en-ZA" w:eastAsia="en-ZA"/>
          <w14:ligatures w14:val="standardContextual"/>
        </w:rPr>
        <w:t xml:space="preserve">ector </w:t>
      </w:r>
      <w:r w:rsidR="005D1201" w:rsidRPr="00AD51FB">
        <w:rPr>
          <w:rFonts w:eastAsia="Arial"/>
          <w:kern w:val="2"/>
          <w:sz w:val="28"/>
          <w:szCs w:val="28"/>
          <w:lang w:val="en-ZA" w:eastAsia="en-ZA"/>
          <w14:ligatures w14:val="standardContextual"/>
        </w:rPr>
        <w:t>C</w:t>
      </w:r>
      <w:r w:rsidR="00E8729E" w:rsidRPr="00AD51FB">
        <w:rPr>
          <w:rFonts w:eastAsia="Arial"/>
          <w:kern w:val="2"/>
          <w:sz w:val="28"/>
          <w:szCs w:val="28"/>
          <w:lang w:val="en-ZA" w:eastAsia="en-ZA"/>
          <w14:ligatures w14:val="standardContextual"/>
        </w:rPr>
        <w:t xml:space="preserve">onduct </w:t>
      </w:r>
      <w:r w:rsidR="005D1201" w:rsidRPr="00AD51FB">
        <w:rPr>
          <w:rFonts w:eastAsia="Arial"/>
          <w:kern w:val="2"/>
          <w:sz w:val="28"/>
          <w:szCs w:val="28"/>
          <w:lang w:val="en-ZA" w:eastAsia="en-ZA"/>
          <w14:ligatures w14:val="standardContextual"/>
        </w:rPr>
        <w:t>A</w:t>
      </w:r>
      <w:r w:rsidR="00E8729E" w:rsidRPr="00AD51FB">
        <w:rPr>
          <w:rFonts w:eastAsia="Arial"/>
          <w:kern w:val="2"/>
          <w:sz w:val="28"/>
          <w:szCs w:val="28"/>
          <w:lang w:val="en-ZA" w:eastAsia="en-ZA"/>
          <w14:ligatures w14:val="standardContextual"/>
        </w:rPr>
        <w:t>uthority</w:t>
      </w:r>
      <w:r w:rsidR="00B110EB" w:rsidRPr="00AD51FB">
        <w:rPr>
          <w:rFonts w:eastAsia="Arial"/>
          <w:kern w:val="2"/>
          <w:sz w:val="28"/>
          <w:szCs w:val="28"/>
          <w:lang w:val="en-ZA" w:eastAsia="en-ZA"/>
          <w14:ligatures w14:val="standardContextual"/>
        </w:rPr>
        <w:t xml:space="preserve"> (the FSCA)</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54"/>
      </w:r>
    </w:p>
    <w:p w14:paraId="0AFE4689" w14:textId="77777777" w:rsidR="005D1201" w:rsidRPr="00AD51FB" w:rsidRDefault="005D1201" w:rsidP="005D1201">
      <w:pPr>
        <w:spacing w:after="160" w:line="360" w:lineRule="auto"/>
        <w:contextualSpacing/>
        <w:jc w:val="both"/>
        <w:rPr>
          <w:rFonts w:eastAsia="Arial"/>
          <w:kern w:val="2"/>
          <w:sz w:val="28"/>
          <w:szCs w:val="28"/>
          <w:lang w:val="en-ZA" w:eastAsia="en-ZA"/>
          <w14:ligatures w14:val="standardContextual"/>
        </w:rPr>
      </w:pPr>
    </w:p>
    <w:p w14:paraId="57E4A44D" w14:textId="7621134F"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[76]</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These provisions establish that the regulatory and supervisory power of the FSCA is based upon the nature of the service, and not upon the content of the service. Thus, the fact that a broker service is provided in relation to a particular type of financial product, namely the benefits offered by a medical scheme, is of no significance insofar as the control of the service is concerned.  Nor, in my view, does it matter that s 65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imposes upon an accredited broker</w:t>
      </w:r>
      <w:r w:rsidR="00E6610C">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restrictions as to fees or any other obligations. A failure to comply with </w:t>
      </w:r>
      <w:r w:rsidR="005D1201" w:rsidRPr="00AD51FB">
        <w:rPr>
          <w:rFonts w:eastAsia="Arial"/>
          <w:kern w:val="2"/>
          <w:sz w:val="28"/>
          <w:szCs w:val="28"/>
          <w:lang w:val="en-ZA" w:eastAsia="en-ZA"/>
          <w14:ligatures w14:val="standardContextual"/>
        </w:rPr>
        <w:lastRenderedPageBreak/>
        <w:t>such statutory obligations would render the broker concerned in breach of the conduct requirements imposed by the FAIS Act and that, in turn, would render the broker subject to regulatory sanction at the instance of the FSCA.</w:t>
      </w:r>
    </w:p>
    <w:p w14:paraId="797FF017"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30A3CB6F" w14:textId="1673DE3A" w:rsidR="00E8729E"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[77]</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‘Accreditation’ in terms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is not the equivalent of licencing. It serves, as the term suggests, to permit or authorise the provision of advice in relation a particular product, and no more. Accreditation does not, in my view, place the broker concerned under the supervisory control of the Council and, upon such basis, subject to investigation by the Registrar utilising the power conferred by s 44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To hold that accreditation places a broker under the supervisory control of the Council, even if only in relation to compliance with s</w:t>
      </w:r>
      <w:r w:rsidR="00FB734A">
        <w:rPr>
          <w:rFonts w:eastAsia="Arial"/>
          <w:kern w:val="2"/>
          <w:sz w:val="28"/>
          <w:szCs w:val="28"/>
          <w:lang w:val="en-ZA" w:eastAsia="en-ZA"/>
          <w14:ligatures w14:val="standardContextual"/>
        </w:rPr>
        <w:t> </w:t>
      </w:r>
      <w:r w:rsidR="005D1201" w:rsidRPr="00AD51FB">
        <w:rPr>
          <w:rFonts w:eastAsia="Arial"/>
          <w:kern w:val="2"/>
          <w:sz w:val="28"/>
          <w:szCs w:val="28"/>
          <w:lang w:val="en-ZA" w:eastAsia="en-ZA"/>
          <w14:ligatures w14:val="standardContextual"/>
        </w:rPr>
        <w:t>65 of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as the main judgment does, would give rise to considerable regulatory conflict and inefficiency. This can be illustrated as follows. Assume that an accredited broker, in breach of s 65 is paid fees in excess of those which are prescribed and also receives indirect benefits for advising clients to become members of a particular medica</w:t>
      </w:r>
      <w:r w:rsidR="00E8729E" w:rsidRPr="00AD51FB">
        <w:rPr>
          <w:rFonts w:eastAsia="Arial"/>
          <w:kern w:val="2"/>
          <w:sz w:val="28"/>
          <w:szCs w:val="28"/>
          <w:lang w:val="en-ZA" w:eastAsia="en-ZA"/>
          <w14:ligatures w14:val="standardContextual"/>
        </w:rPr>
        <w:t>l</w:t>
      </w:r>
      <w:r w:rsidR="005D1201" w:rsidRPr="00AD51FB">
        <w:rPr>
          <w:rFonts w:eastAsia="Arial"/>
          <w:kern w:val="2"/>
          <w:sz w:val="28"/>
          <w:szCs w:val="28"/>
          <w:lang w:val="en-ZA" w:eastAsia="en-ZA"/>
          <w14:ligatures w14:val="standardContextual"/>
        </w:rPr>
        <w:t xml:space="preserve"> scheme. Such conduct would entitle the Council to suspend or cancel the accreditation of the broker. The conduct would also constitute a breach of prescribed conduct rules in terms of the FAIS Act and a breach of the conditions of the licence issued to the broker. Yet, the Council would have no authority to take any action against the broker in terms of the FAIS Act. That authority rests with the FSCA. For such action to be taken, the Council would have to report the matter to the FSCA so that it, as the regulatory authority responsible for the supervision of the conduct of brokers, might act.  The converse situation poses no such problems. The FSCA is entitled to investigate any conduct on the part of a broker, including possible non-compliance with the A</w:t>
      </w:r>
      <w:r w:rsidR="00E8729E"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The FSCA could act upon its findings. So too could the Council since the accreditation of a broker is subject to the fit and proper requirements established and regulated by the FAIS Act.</w:t>
      </w:r>
    </w:p>
    <w:p w14:paraId="3C2AA58E" w14:textId="02ED4A55" w:rsidR="005D1201" w:rsidRPr="00AD51FB" w:rsidRDefault="005D1201" w:rsidP="00E859A7">
      <w:pPr>
        <w:spacing w:after="160" w:line="360" w:lineRule="auto"/>
        <w:contextualSpacing/>
        <w:jc w:val="both"/>
        <w:rPr>
          <w:rFonts w:eastAsia="Arial"/>
          <w:kern w:val="2"/>
          <w:sz w:val="28"/>
          <w:szCs w:val="28"/>
          <w:lang w:val="en-ZA" w:eastAsia="en-ZA"/>
          <w14:ligatures w14:val="standardContextual"/>
        </w:rPr>
      </w:pPr>
    </w:p>
    <w:p w14:paraId="5C062DA6" w14:textId="33887EC3"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lastRenderedPageBreak/>
        <w:t>[78]</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The main judgment places some reliance upon the judgment of the Constitutional Court in </w:t>
      </w:r>
      <w:r w:rsidR="005D1201" w:rsidRPr="00AD51FB">
        <w:rPr>
          <w:rFonts w:eastAsia="Arial"/>
          <w:i/>
          <w:iCs/>
          <w:kern w:val="2"/>
          <w:sz w:val="28"/>
          <w:szCs w:val="28"/>
          <w:lang w:val="en-ZA" w:eastAsia="en-ZA"/>
          <w14:ligatures w14:val="standardContextual"/>
        </w:rPr>
        <w:t>AmaBhungane</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55"/>
      </w:r>
      <w:r w:rsidR="005D1201" w:rsidRPr="00AD51FB">
        <w:rPr>
          <w:rFonts w:eastAsia="Arial"/>
          <w:kern w:val="2"/>
          <w:sz w:val="28"/>
          <w:szCs w:val="28"/>
          <w:lang w:val="en-ZA" w:eastAsia="en-ZA"/>
          <w14:ligatures w14:val="standardContextual"/>
        </w:rPr>
        <w:t xml:space="preserve"> which concerned circumstances in which the existence of authority or power to act may be implied in a statute. As I understand the main judgment</w:t>
      </w:r>
      <w:r w:rsidR="00B110E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it calls in aid the potential for an implied authority to investigate the conduct of a broker as an interpretative tool. It is, however, not clear upon what basis the authority is to be implied. The Constitutional Court drew a careful distinction between ancillary powers and primary powers. Both forms may be implied in consequence of the interpretive exercise of determining meaning and giving effect to statutory provisions. It is, however, necessary to determine whether the implied power derives from and is therefore ancillary to an existing conferred power, or if it is implied as a primary power by virtue of a reading of the statute as a whole.</w:t>
      </w:r>
    </w:p>
    <w:p w14:paraId="74121264"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74588567" w14:textId="461BCCB1" w:rsidR="005D1201" w:rsidRPr="00AD51FB" w:rsidRDefault="00CF10AD" w:rsidP="00CF10AD">
      <w:pPr>
        <w:tabs>
          <w:tab w:val="left" w:pos="90"/>
        </w:tabs>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[79]</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In the latter instance, the power is implied in order to render the statutory instrument effective. That was the situation in </w:t>
      </w:r>
      <w:r w:rsidR="005D1201" w:rsidRPr="00AD51FB">
        <w:rPr>
          <w:rFonts w:eastAsia="Arial"/>
          <w:i/>
          <w:iCs/>
          <w:kern w:val="2"/>
          <w:sz w:val="28"/>
          <w:szCs w:val="28"/>
          <w:lang w:val="en-ZA" w:eastAsia="en-ZA"/>
          <w14:ligatures w14:val="standardContextual"/>
        </w:rPr>
        <w:t>AmaBhungane</w:t>
      </w:r>
      <w:r w:rsidR="005D1201" w:rsidRPr="00AD51FB">
        <w:rPr>
          <w:rFonts w:eastAsia="Arial"/>
          <w:kern w:val="2"/>
          <w:sz w:val="28"/>
          <w:szCs w:val="28"/>
          <w:lang w:val="en-ZA" w:eastAsia="en-ZA"/>
          <w14:ligatures w14:val="standardContextual"/>
        </w:rPr>
        <w:t xml:space="preserve"> where it was implied that the Minister was empowered to appoint a ‘designated judge’ despite the absence of an express provision to that effect.</w:t>
      </w:r>
    </w:p>
    <w:p w14:paraId="0302C306"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1C00615F" w14:textId="04262310"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[80]</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In this instance</w:t>
      </w:r>
      <w:r w:rsidR="00B110EB" w:rsidRPr="00AD51FB">
        <w:rPr>
          <w:rFonts w:eastAsia="Arial"/>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the power to conduct an investigative inspection of the affairs of an accredited broker does not meet the requirements for implying it as a primary power. The absence of an express authorisation to conduct such investigative inspection does not render the A</w:t>
      </w:r>
      <w:r w:rsidR="00B110EB"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inoperative nor, for the reasons proffered above, does it exempt a broker from proper regulatory control and supervision.</w:t>
      </w:r>
    </w:p>
    <w:p w14:paraId="55A44916"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1A94BE17" w14:textId="4C9ED38A"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[81]</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Is the power to be implied as ancillary to some other expressly conferred power? The main judgment appears to accept that it must be on the basis of the existence of the power to accredit a broker and to enforce compliance with </w:t>
      </w:r>
      <w:r w:rsidR="005D1201" w:rsidRPr="00AD51FB">
        <w:rPr>
          <w:rFonts w:eastAsia="Arial"/>
          <w:kern w:val="2"/>
          <w:sz w:val="28"/>
          <w:szCs w:val="28"/>
          <w:lang w:val="en-ZA" w:eastAsia="en-ZA"/>
          <w14:ligatures w14:val="standardContextual"/>
        </w:rPr>
        <w:lastRenderedPageBreak/>
        <w:t xml:space="preserve">regulation 28 of the </w:t>
      </w:r>
      <w:r w:rsidR="00B110EB" w:rsidRPr="00AD51FB">
        <w:rPr>
          <w:rFonts w:eastAsia="Arial"/>
          <w:kern w:val="2"/>
          <w:sz w:val="28"/>
          <w:szCs w:val="28"/>
          <w:lang w:val="en-ZA" w:eastAsia="en-ZA"/>
          <w14:ligatures w14:val="standardContextual"/>
        </w:rPr>
        <w:t>r</w:t>
      </w:r>
      <w:r w:rsidR="005D1201" w:rsidRPr="00AD51FB">
        <w:rPr>
          <w:rFonts w:eastAsia="Arial"/>
          <w:kern w:val="2"/>
          <w:sz w:val="28"/>
          <w:szCs w:val="28"/>
          <w:lang w:val="en-ZA" w:eastAsia="en-ZA"/>
          <w14:ligatures w14:val="standardContextual"/>
        </w:rPr>
        <w:t>egulations. In light of the reasoning adopted by the main judgment this issue does not</w:t>
      </w:r>
      <w:r w:rsidR="00F32017" w:rsidRPr="00AD51FB">
        <w:rPr>
          <w:rFonts w:eastAsia="Arial"/>
          <w:kern w:val="2"/>
          <w:sz w:val="28"/>
          <w:szCs w:val="28"/>
          <w:lang w:val="en-ZA" w:eastAsia="en-ZA"/>
          <w14:ligatures w14:val="standardContextual"/>
        </w:rPr>
        <w:t xml:space="preserve"> </w:t>
      </w:r>
      <w:r w:rsidR="005D1201" w:rsidRPr="00AD51FB">
        <w:rPr>
          <w:rFonts w:eastAsia="Arial"/>
          <w:kern w:val="2"/>
          <w:sz w:val="28"/>
          <w:szCs w:val="28"/>
          <w:lang w:val="en-ZA" w:eastAsia="en-ZA"/>
          <w14:ligatures w14:val="standardContextual"/>
        </w:rPr>
        <w:t>arise, since the judgment accepts that the use of the phrase ‘by any other person’ in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a</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of the A</w:t>
      </w:r>
      <w:r w:rsidR="00B110EB"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is broad enough to </w:t>
      </w:r>
      <w:r w:rsidR="005D1201" w:rsidRPr="00AD51FB">
        <w:rPr>
          <w:rFonts w:eastAsia="Arial"/>
          <w:i/>
          <w:iCs/>
          <w:kern w:val="2"/>
          <w:sz w:val="28"/>
          <w:szCs w:val="28"/>
          <w:lang w:val="en-ZA" w:eastAsia="en-ZA"/>
          <w14:ligatures w14:val="standardContextual"/>
        </w:rPr>
        <w:t>expressly</w:t>
      </w:r>
      <w:r w:rsidR="005D1201" w:rsidRPr="00AD51FB">
        <w:rPr>
          <w:rFonts w:eastAsia="Arial"/>
          <w:kern w:val="2"/>
          <w:sz w:val="28"/>
          <w:szCs w:val="28"/>
          <w:lang w:val="en-ZA" w:eastAsia="en-ZA"/>
          <w14:ligatures w14:val="standardContextual"/>
        </w:rPr>
        <w:t xml:space="preserve"> cover application of the section to brokers. There is therefore no need for an implied ancillary power.</w:t>
      </w:r>
    </w:p>
    <w:p w14:paraId="574D3DD0"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49493D03" w14:textId="166570A3"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[82]</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In any event, I am unable to agree that such power is to be implied as ancillary to the power to accredit for the reasons I have already set out. Furthermore, reliance upon regulation 28 is misplaced. In </w:t>
      </w:r>
      <w:r w:rsidR="005D1201" w:rsidRPr="00AD51FB">
        <w:rPr>
          <w:rFonts w:eastAsia="Arial"/>
          <w:i/>
          <w:iCs/>
          <w:kern w:val="2"/>
          <w:sz w:val="28"/>
          <w:szCs w:val="28"/>
          <w:lang w:val="en-ZA" w:eastAsia="en-ZA"/>
          <w14:ligatures w14:val="standardContextual"/>
        </w:rPr>
        <w:t>Moodley and Another v Minister of Education and Others</w:t>
      </w:r>
      <w:r w:rsidR="005D1201" w:rsidRPr="00AD51FB">
        <w:rPr>
          <w:rFonts w:eastAsia="Arial"/>
          <w:kern w:val="2"/>
          <w:sz w:val="28"/>
          <w:szCs w:val="28"/>
          <w:lang w:val="en-ZA" w:eastAsia="en-ZA"/>
          <w14:ligatures w14:val="standardContextual"/>
        </w:rPr>
        <w:t>,</w:t>
      </w:r>
      <w:r w:rsidR="005D1201" w:rsidRPr="00AD51FB">
        <w:rPr>
          <w:rFonts w:eastAsia="Arial"/>
          <w:kern w:val="2"/>
          <w:sz w:val="28"/>
          <w:szCs w:val="28"/>
          <w:vertAlign w:val="superscript"/>
          <w:lang w:val="en-ZA" w:eastAsia="en-ZA"/>
          <w14:ligatures w14:val="standardContextual"/>
        </w:rPr>
        <w:footnoteReference w:id="56"/>
      </w:r>
      <w:r w:rsidR="005D1201" w:rsidRPr="00AD51FB">
        <w:rPr>
          <w:rFonts w:eastAsia="Arial"/>
          <w:kern w:val="2"/>
          <w:sz w:val="28"/>
          <w:szCs w:val="28"/>
          <w:lang w:val="en-ZA" w:eastAsia="en-ZA"/>
          <w14:ligatures w14:val="standardContextual"/>
        </w:rPr>
        <w:t xml:space="preserve"> this Court held, unequivocally, that:</w:t>
      </w:r>
    </w:p>
    <w:p w14:paraId="19B67DE0" w14:textId="77777777" w:rsidR="005D1201" w:rsidRPr="00AD51FB" w:rsidRDefault="005D1201" w:rsidP="005D1201">
      <w:pPr>
        <w:spacing w:after="160" w:line="360" w:lineRule="auto"/>
        <w:contextualSpacing/>
        <w:jc w:val="both"/>
        <w:rPr>
          <w:rFonts w:eastAsia="Arial"/>
          <w:kern w:val="2"/>
          <w:lang w:val="en-ZA" w:eastAsia="en-ZA"/>
          <w14:ligatures w14:val="standardContextual"/>
        </w:rPr>
      </w:pPr>
      <w:r w:rsidRPr="00AD51FB">
        <w:rPr>
          <w:rFonts w:eastAsia="Arial"/>
          <w:kern w:val="2"/>
          <w:lang w:val="en-ZA" w:eastAsia="en-ZA"/>
          <w14:ligatures w14:val="standardContextual"/>
        </w:rPr>
        <w:t>‘It is not permissible to treat the Act and the regulations made thereunder as a single piece of legislation; and to use the latter as an aid to the interpretation of the former.’</w:t>
      </w:r>
    </w:p>
    <w:p w14:paraId="0907AF6E" w14:textId="77777777" w:rsidR="005D1201" w:rsidRPr="00AD51FB" w:rsidRDefault="005D1201" w:rsidP="005D1201">
      <w:pPr>
        <w:spacing w:after="160" w:line="360" w:lineRule="auto"/>
        <w:contextualSpacing/>
        <w:jc w:val="both"/>
        <w:rPr>
          <w:rFonts w:eastAsia="Arial"/>
          <w:kern w:val="2"/>
          <w:sz w:val="28"/>
          <w:szCs w:val="28"/>
          <w:lang w:val="en-ZA" w:eastAsia="en-ZA"/>
          <w14:ligatures w14:val="standardContextual"/>
        </w:rPr>
      </w:pPr>
    </w:p>
    <w:p w14:paraId="06E1B328" w14:textId="1075E882"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[83]</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 xml:space="preserve">Still less may one use the regulations promulgated under an </w:t>
      </w:r>
      <w:r w:rsidR="00B110EB" w:rsidRPr="00AD51FB">
        <w:rPr>
          <w:rFonts w:eastAsia="Arial"/>
          <w:kern w:val="2"/>
          <w:sz w:val="28"/>
          <w:szCs w:val="28"/>
          <w:lang w:val="en-ZA" w:eastAsia="en-ZA"/>
          <w14:ligatures w14:val="standardContextual"/>
        </w:rPr>
        <w:t>a</w:t>
      </w:r>
      <w:r w:rsidR="005D1201" w:rsidRPr="00AD51FB">
        <w:rPr>
          <w:rFonts w:eastAsia="Arial"/>
          <w:kern w:val="2"/>
          <w:sz w:val="28"/>
          <w:szCs w:val="28"/>
          <w:lang w:val="en-ZA" w:eastAsia="en-ZA"/>
          <w14:ligatures w14:val="standardContextual"/>
        </w:rPr>
        <w:t xml:space="preserve">ct as a source of primary power from which one might imply that an ancillary power has been conferred by the </w:t>
      </w:r>
      <w:r w:rsidR="00B110EB" w:rsidRPr="00AD51FB">
        <w:rPr>
          <w:rFonts w:eastAsia="Arial"/>
          <w:kern w:val="2"/>
          <w:sz w:val="28"/>
          <w:szCs w:val="28"/>
          <w:lang w:val="en-ZA" w:eastAsia="en-ZA"/>
          <w14:ligatures w14:val="standardContextual"/>
        </w:rPr>
        <w:t>a</w:t>
      </w:r>
      <w:r w:rsidR="005D1201" w:rsidRPr="00AD51FB">
        <w:rPr>
          <w:rFonts w:eastAsia="Arial"/>
          <w:kern w:val="2"/>
          <w:sz w:val="28"/>
          <w:szCs w:val="28"/>
          <w:lang w:val="en-ZA" w:eastAsia="en-ZA"/>
          <w14:ligatures w14:val="standardContextual"/>
        </w:rPr>
        <w:t>ct.  The main judgment suggests that this course is appropriate insofar as it suggests that the remedy provided by regulation 28(9) would be ineffective unless the power to conduct an investigative inspection of a broker is implied.</w:t>
      </w:r>
      <w:r w:rsidR="005D1201" w:rsidRPr="00AD51FB">
        <w:rPr>
          <w:rFonts w:eastAsia="Arial"/>
          <w:kern w:val="2"/>
          <w:sz w:val="28"/>
          <w:szCs w:val="28"/>
          <w:vertAlign w:val="superscript"/>
          <w:lang w:val="en-ZA" w:eastAsia="en-ZA"/>
          <w14:ligatures w14:val="standardContextual"/>
        </w:rPr>
        <w:footnoteReference w:id="57"/>
      </w:r>
      <w:r w:rsidR="005D1201" w:rsidRPr="00AD51FB">
        <w:rPr>
          <w:rFonts w:eastAsia="Arial"/>
          <w:kern w:val="2"/>
          <w:sz w:val="28"/>
          <w:szCs w:val="28"/>
          <w:lang w:val="en-ZA" w:eastAsia="en-ZA"/>
          <w14:ligatures w14:val="standardContextual"/>
        </w:rPr>
        <w:t xml:space="preserve"> Regulation 28(9), in any event, does not confer any remedial power upon the Council. It merely provides that a broker is liable to repay fees received in consequence of unlawful conduct.</w:t>
      </w:r>
      <w:r w:rsidR="005D1201" w:rsidRPr="00AD51FB">
        <w:rPr>
          <w:rFonts w:eastAsia="Arial"/>
          <w:kern w:val="2"/>
          <w:sz w:val="28"/>
          <w:szCs w:val="28"/>
          <w:vertAlign w:val="superscript"/>
          <w:lang w:val="en-ZA" w:eastAsia="en-ZA"/>
          <w14:ligatures w14:val="standardContextual"/>
        </w:rPr>
        <w:footnoteReference w:id="58"/>
      </w:r>
    </w:p>
    <w:p w14:paraId="1BA2AEBF" w14:textId="77777777" w:rsidR="005D1201" w:rsidRPr="00AD51FB" w:rsidRDefault="005D1201" w:rsidP="005D1201">
      <w:pPr>
        <w:spacing w:after="160" w:line="360" w:lineRule="auto"/>
        <w:contextualSpacing/>
        <w:jc w:val="both"/>
        <w:rPr>
          <w:rFonts w:eastAsia="Arial"/>
          <w:kern w:val="2"/>
          <w:sz w:val="28"/>
          <w:szCs w:val="28"/>
          <w:lang w:val="en-ZA" w:eastAsia="en-ZA"/>
          <w14:ligatures w14:val="standardContextual"/>
        </w:rPr>
      </w:pPr>
    </w:p>
    <w:p w14:paraId="4B16851E" w14:textId="6EF5512C"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[84]</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This brings me to the procedural challenge based upon s 47 of the A</w:t>
      </w:r>
      <w:r w:rsidR="00B110EB" w:rsidRPr="00AD51FB">
        <w:rPr>
          <w:rFonts w:eastAsia="Arial"/>
          <w:kern w:val="2"/>
          <w:sz w:val="28"/>
          <w:szCs w:val="28"/>
          <w:lang w:val="en-ZA" w:eastAsia="en-ZA"/>
          <w14:ligatures w14:val="standardContextual"/>
        </w:rPr>
        <w:t>ct</w:t>
      </w:r>
      <w:r w:rsidR="005D1201" w:rsidRPr="00AD51FB">
        <w:rPr>
          <w:rFonts w:eastAsia="Arial"/>
          <w:kern w:val="2"/>
          <w:sz w:val="28"/>
          <w:szCs w:val="28"/>
          <w:lang w:val="en-ZA" w:eastAsia="en-ZA"/>
          <w14:ligatures w14:val="standardContextual"/>
        </w:rPr>
        <w:t xml:space="preserve">. The language of s 47 indicates that the Council is entitled to adjudicate complaints in relation to both registered entities (medical schemes) and </w:t>
      </w:r>
      <w:r w:rsidR="005D1201" w:rsidRPr="00AD51FB">
        <w:rPr>
          <w:rFonts w:eastAsia="Arial"/>
          <w:kern w:val="2"/>
          <w:sz w:val="28"/>
          <w:szCs w:val="28"/>
          <w:lang w:val="en-ZA" w:eastAsia="en-ZA"/>
          <w14:ligatures w14:val="standardContextual"/>
        </w:rPr>
        <w:lastRenderedPageBreak/>
        <w:t>accredited persons (in this case Optivest as an accredited broker). The section requires that if a written complaint is received, a copy of the complaint must be furnished to the party concerned to afford it the opportunity to respond to the complaint.</w:t>
      </w:r>
    </w:p>
    <w:p w14:paraId="39FD9E6D" w14:textId="77777777" w:rsidR="005D1201" w:rsidRPr="00AD51FB" w:rsidRDefault="005D1201" w:rsidP="005D1201">
      <w:pPr>
        <w:spacing w:after="160" w:line="360" w:lineRule="auto"/>
        <w:contextualSpacing/>
        <w:jc w:val="both"/>
        <w:rPr>
          <w:rFonts w:eastAsia="Arial"/>
          <w:kern w:val="2"/>
          <w:sz w:val="28"/>
          <w:szCs w:val="28"/>
          <w:lang w:val="en-ZA" w:eastAsia="en-ZA"/>
          <w14:ligatures w14:val="standardContextual"/>
        </w:rPr>
      </w:pPr>
    </w:p>
    <w:p w14:paraId="51B37CDC" w14:textId="5768EA67" w:rsidR="005D1201" w:rsidRPr="00AD51FB" w:rsidRDefault="00CF10AD" w:rsidP="00CF10AD">
      <w:pPr>
        <w:spacing w:after="160" w:line="360" w:lineRule="auto"/>
        <w:contextualSpacing/>
        <w:jc w:val="both"/>
        <w:rPr>
          <w:rFonts w:eastAsia="Arial"/>
          <w:kern w:val="2"/>
          <w:sz w:val="28"/>
          <w:szCs w:val="28"/>
          <w:lang w:val="en-ZA" w:eastAsia="en-ZA"/>
          <w14:ligatures w14:val="standardContextual"/>
        </w:rPr>
      </w:pPr>
      <w:r w:rsidRPr="00AD51FB">
        <w:rPr>
          <w:rFonts w:eastAsia="Arial"/>
          <w:kern w:val="2"/>
          <w:sz w:val="28"/>
          <w:szCs w:val="28"/>
          <w:lang w:val="en-ZA" w:eastAsia="en-ZA"/>
          <w14:ligatures w14:val="standardContextual"/>
        </w:rPr>
        <w:t>[85]</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The main judgment holds that the Registrar is entitled to proceed to employ the machinery of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a</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xml:space="preserve"> notwithstanding the existence of s 47 and the peremptory language used in the latter section. It therefore concludes that the complaint procedure does not serve as a bar to an investigative inspection as contemplated by s 44(4)</w:t>
      </w:r>
      <w:r w:rsidR="005D1201" w:rsidRPr="00AD51FB">
        <w:rPr>
          <w:rFonts w:eastAsia="Arial"/>
          <w:i/>
          <w:kern w:val="2"/>
          <w:sz w:val="28"/>
          <w:szCs w:val="28"/>
          <w:lang w:val="en-ZA" w:eastAsia="en-ZA"/>
          <w14:ligatures w14:val="standardContextual"/>
        </w:rPr>
        <w:t>(</w:t>
      </w:r>
      <w:r w:rsidR="005D1201" w:rsidRPr="00AD51FB">
        <w:rPr>
          <w:rFonts w:eastAsia="Arial"/>
          <w:i/>
          <w:iCs/>
          <w:kern w:val="2"/>
          <w:sz w:val="28"/>
          <w:szCs w:val="28"/>
          <w:lang w:val="en-ZA" w:eastAsia="en-ZA"/>
          <w14:ligatures w14:val="standardContextual"/>
        </w:rPr>
        <w:t>a</w:t>
      </w:r>
      <w:r w:rsidR="005D1201" w:rsidRPr="00AD51FB">
        <w:rPr>
          <w:rFonts w:eastAsia="Arial"/>
          <w:i/>
          <w:kern w:val="2"/>
          <w:sz w:val="28"/>
          <w:szCs w:val="28"/>
          <w:lang w:val="en-ZA" w:eastAsia="en-ZA"/>
          <w14:ligatures w14:val="standardContextual"/>
        </w:rPr>
        <w:t>)</w:t>
      </w:r>
      <w:r w:rsidR="005D1201" w:rsidRPr="00AD51FB">
        <w:rPr>
          <w:rFonts w:eastAsia="Arial"/>
          <w:kern w:val="2"/>
          <w:sz w:val="28"/>
          <w:szCs w:val="28"/>
          <w:lang w:val="en-ZA" w:eastAsia="en-ZA"/>
          <w14:ligatures w14:val="standardContextual"/>
        </w:rPr>
        <w:t>. In light of my conclusion that the Registrar does not have the authority or power to conduct an investigative inspection of the business or affairs of a broker, the interplay between s</w:t>
      </w:r>
      <w:r w:rsidR="00884F83" w:rsidRPr="00AD51FB">
        <w:rPr>
          <w:rFonts w:eastAsia="Arial"/>
          <w:kern w:val="2"/>
          <w:sz w:val="28"/>
          <w:szCs w:val="28"/>
          <w:lang w:val="en-ZA" w:eastAsia="en-ZA"/>
          <w14:ligatures w14:val="standardContextual"/>
        </w:rPr>
        <w:t>s 44 and</w:t>
      </w:r>
      <w:r w:rsidR="005D1201" w:rsidRPr="00AD51FB">
        <w:rPr>
          <w:rFonts w:eastAsia="Arial"/>
          <w:kern w:val="2"/>
          <w:sz w:val="28"/>
          <w:szCs w:val="28"/>
          <w:lang w:val="en-ZA" w:eastAsia="en-ZA"/>
          <w14:ligatures w14:val="standardContextual"/>
        </w:rPr>
        <w:t xml:space="preserve"> 47 does not arise. I accordingly express no view on whether the existence of a s 47 complaint precludes the employment of s 44(4) to parties to whom it applies.</w:t>
      </w:r>
    </w:p>
    <w:p w14:paraId="6DC9E5C7" w14:textId="77777777" w:rsidR="005D1201" w:rsidRPr="00AD51FB" w:rsidRDefault="005D1201" w:rsidP="005D1201">
      <w:pPr>
        <w:spacing w:after="160" w:line="259" w:lineRule="auto"/>
        <w:contextualSpacing/>
        <w:rPr>
          <w:rFonts w:eastAsia="Arial"/>
          <w:kern w:val="2"/>
          <w:sz w:val="28"/>
          <w:szCs w:val="28"/>
          <w:lang w:val="en-ZA" w:eastAsia="en-ZA"/>
          <w14:ligatures w14:val="standardContextual"/>
        </w:rPr>
      </w:pPr>
    </w:p>
    <w:p w14:paraId="7580E5AC" w14:textId="24792ABA" w:rsidR="005D1201" w:rsidRPr="00AD51FB" w:rsidRDefault="00CF10AD" w:rsidP="00CF10AD">
      <w:pPr>
        <w:tabs>
          <w:tab w:val="left" w:pos="0"/>
        </w:tabs>
        <w:spacing w:after="160" w:line="360" w:lineRule="auto"/>
        <w:contextualSpacing/>
        <w:jc w:val="both"/>
        <w:rPr>
          <w:rFonts w:eastAsia="Arial"/>
          <w:i/>
          <w:kern w:val="2"/>
          <w:lang w:val="en-ZA" w:eastAsia="en-ZA"/>
          <w14:ligatures w14:val="standardContextual"/>
        </w:rPr>
      </w:pPr>
      <w:r w:rsidRPr="00AD51FB">
        <w:rPr>
          <w:rFonts w:eastAsia="Arial"/>
          <w:kern w:val="2"/>
          <w:sz w:val="28"/>
          <w:szCs w:val="28"/>
          <w:lang w:val="en-ZA" w:eastAsia="en-ZA"/>
          <w14:ligatures w14:val="standardContextual"/>
        </w:rPr>
        <w:t>[86]</w:t>
      </w:r>
      <w:r w:rsidRPr="00AD51FB">
        <w:rPr>
          <w:rFonts w:eastAsia="Arial"/>
          <w:kern w:val="2"/>
          <w:sz w:val="28"/>
          <w:szCs w:val="28"/>
          <w:lang w:val="en-ZA" w:eastAsia="en-ZA"/>
          <w14:ligatures w14:val="standardContextual"/>
        </w:rPr>
        <w:tab/>
      </w:r>
      <w:r w:rsidR="005D1201" w:rsidRPr="00AD51FB">
        <w:rPr>
          <w:rFonts w:eastAsia="Arial"/>
          <w:kern w:val="2"/>
          <w:sz w:val="28"/>
          <w:szCs w:val="28"/>
          <w:lang w:val="en-ZA" w:eastAsia="en-ZA"/>
          <w14:ligatures w14:val="standardContextual"/>
        </w:rPr>
        <w:t>For the</w:t>
      </w:r>
      <w:r w:rsidR="00F32017" w:rsidRPr="00AD51FB">
        <w:rPr>
          <w:rFonts w:eastAsia="Arial"/>
          <w:kern w:val="2"/>
          <w:sz w:val="28"/>
          <w:szCs w:val="28"/>
          <w:lang w:val="en-ZA" w:eastAsia="en-ZA"/>
          <w14:ligatures w14:val="standardContextual"/>
        </w:rPr>
        <w:t>se</w:t>
      </w:r>
      <w:r w:rsidR="005D1201" w:rsidRPr="00AD51FB">
        <w:rPr>
          <w:rFonts w:eastAsia="Arial"/>
          <w:kern w:val="2"/>
          <w:sz w:val="28"/>
          <w:szCs w:val="28"/>
          <w:lang w:val="en-ZA" w:eastAsia="en-ZA"/>
          <w14:ligatures w14:val="standardContextual"/>
        </w:rPr>
        <w:t xml:space="preserve"> reasons I would</w:t>
      </w:r>
      <w:r w:rsidR="00E859A7" w:rsidRPr="00AD51FB">
        <w:rPr>
          <w:rFonts w:eastAsia="Arial"/>
          <w:kern w:val="2"/>
          <w:sz w:val="28"/>
          <w:szCs w:val="28"/>
          <w:lang w:val="en-ZA" w:eastAsia="en-ZA"/>
          <w14:ligatures w14:val="standardContextual"/>
        </w:rPr>
        <w:t xml:space="preserve"> </w:t>
      </w:r>
      <w:r w:rsidR="005D1201" w:rsidRPr="00AD51FB">
        <w:rPr>
          <w:rFonts w:eastAsia="Arial"/>
          <w:kern w:val="2"/>
          <w:sz w:val="28"/>
          <w:szCs w:val="28"/>
          <w:lang w:val="en-ZA" w:eastAsia="en-ZA"/>
          <w14:ligatures w14:val="standardContextual"/>
        </w:rPr>
        <w:t xml:space="preserve">uphold the appeal </w:t>
      </w:r>
      <w:r w:rsidR="00E859A7" w:rsidRPr="00AD51FB">
        <w:rPr>
          <w:rFonts w:eastAsia="Arial"/>
          <w:kern w:val="2"/>
          <w:sz w:val="28"/>
          <w:szCs w:val="28"/>
          <w:lang w:val="en-ZA" w:eastAsia="en-ZA"/>
          <w14:ligatures w14:val="standardContextual"/>
        </w:rPr>
        <w:t>on the terms indicated at the outset</w:t>
      </w:r>
      <w:r w:rsidR="005D1201" w:rsidRPr="00AD51FB">
        <w:rPr>
          <w:rFonts w:eastAsia="Arial"/>
          <w:kern w:val="2"/>
          <w:sz w:val="28"/>
          <w:szCs w:val="28"/>
          <w:lang w:eastAsia="en-ZA"/>
          <w14:ligatures w14:val="standardContextual"/>
        </w:rPr>
        <w:t>.</w:t>
      </w:r>
      <w:r w:rsidR="005D1201" w:rsidRPr="00AD51FB">
        <w:rPr>
          <w:rFonts w:eastAsia="Arial"/>
          <w:kern w:val="2"/>
          <w:sz w:val="28"/>
          <w:szCs w:val="28"/>
          <w:lang w:val="en-ZA" w:eastAsia="en-ZA"/>
          <w14:ligatures w14:val="standardContextual"/>
        </w:rPr>
        <w:t xml:space="preserve"> </w:t>
      </w:r>
      <w:r w:rsidR="005D1201" w:rsidRPr="00AD51FB">
        <w:rPr>
          <w:rFonts w:eastAsia="Arial"/>
          <w:i/>
          <w:kern w:val="2"/>
          <w:lang w:val="en-ZA" w:eastAsia="en-ZA"/>
          <w14:ligatures w14:val="standardContextual"/>
        </w:rPr>
        <w:tab/>
      </w:r>
    </w:p>
    <w:p w14:paraId="0FBF1E38" w14:textId="6C19322D" w:rsidR="005D1201" w:rsidRPr="00AD51FB" w:rsidRDefault="005D1201" w:rsidP="005D1201">
      <w:pPr>
        <w:spacing w:line="360" w:lineRule="auto"/>
        <w:jc w:val="right"/>
        <w:rPr>
          <w:kern w:val="2"/>
          <w:sz w:val="28"/>
          <w:szCs w:val="28"/>
          <w14:ligatures w14:val="standardContextual"/>
        </w:rPr>
      </w:pPr>
      <w:r w:rsidRPr="00AD51FB">
        <w:rPr>
          <w:kern w:val="2"/>
          <w:sz w:val="28"/>
          <w:szCs w:val="28"/>
          <w14:ligatures w14:val="standardContextual"/>
        </w:rPr>
        <w:t>__________________</w:t>
      </w:r>
    </w:p>
    <w:p w14:paraId="31F70790" w14:textId="77777777" w:rsidR="005D1201" w:rsidRPr="00AD51FB" w:rsidRDefault="005D1201" w:rsidP="005D1201">
      <w:pPr>
        <w:spacing w:line="360" w:lineRule="auto"/>
        <w:jc w:val="right"/>
        <w:rPr>
          <w:kern w:val="2"/>
          <w:sz w:val="28"/>
          <w:szCs w:val="28"/>
          <w14:ligatures w14:val="standardContextual"/>
        </w:rPr>
      </w:pPr>
      <w:r w:rsidRPr="00AD51FB">
        <w:rPr>
          <w:kern w:val="2"/>
          <w:sz w:val="28"/>
          <w:szCs w:val="28"/>
          <w14:ligatures w14:val="standardContextual"/>
        </w:rPr>
        <w:t>G GOOSEN</w:t>
      </w:r>
    </w:p>
    <w:p w14:paraId="6CE9E225" w14:textId="77777777" w:rsidR="005D1201" w:rsidRPr="00AD51FB" w:rsidRDefault="005D1201" w:rsidP="005D1201">
      <w:pPr>
        <w:spacing w:line="360" w:lineRule="auto"/>
        <w:jc w:val="right"/>
        <w:rPr>
          <w:kern w:val="2"/>
          <w:sz w:val="28"/>
          <w:szCs w:val="28"/>
          <w14:ligatures w14:val="standardContextual"/>
        </w:rPr>
      </w:pPr>
      <w:r w:rsidRPr="00AD51FB">
        <w:rPr>
          <w:kern w:val="2"/>
          <w:sz w:val="28"/>
          <w:szCs w:val="28"/>
          <w14:ligatures w14:val="standardContextual"/>
        </w:rPr>
        <w:t>JUDGE OF APPEAL</w:t>
      </w:r>
    </w:p>
    <w:p w14:paraId="14322B90" w14:textId="40B4E73B" w:rsidR="00AA0B82" w:rsidRPr="00AD51FB" w:rsidRDefault="005D1201" w:rsidP="00EA5B7F">
      <w:pPr>
        <w:spacing w:line="360" w:lineRule="auto"/>
        <w:jc w:val="both"/>
        <w:rPr>
          <w:sz w:val="28"/>
          <w:szCs w:val="28"/>
        </w:rPr>
      </w:pPr>
      <w:r w:rsidRPr="00AD51FB">
        <w:rPr>
          <w:sz w:val="28"/>
          <w:szCs w:val="28"/>
        </w:rPr>
        <w:br w:type="page"/>
      </w:r>
      <w:r w:rsidR="009B7AE0" w:rsidRPr="00AD51FB">
        <w:rPr>
          <w:sz w:val="28"/>
          <w:szCs w:val="28"/>
        </w:rPr>
        <w:lastRenderedPageBreak/>
        <w:t>Appearances</w:t>
      </w:r>
      <w:r w:rsidR="005B47EB" w:rsidRPr="00AD51FB">
        <w:rPr>
          <w:sz w:val="28"/>
          <w:szCs w:val="28"/>
        </w:rPr>
        <w:t xml:space="preserve"> </w:t>
      </w:r>
    </w:p>
    <w:p w14:paraId="278406A5" w14:textId="77777777" w:rsidR="00AA0B82" w:rsidRPr="00AD51FB" w:rsidRDefault="00AA0B82" w:rsidP="00EA5B7F">
      <w:pPr>
        <w:spacing w:line="360" w:lineRule="auto"/>
        <w:jc w:val="both"/>
        <w:rPr>
          <w:sz w:val="28"/>
          <w:szCs w:val="28"/>
        </w:rPr>
      </w:pPr>
    </w:p>
    <w:p w14:paraId="0EEAC558" w14:textId="18DE29CB" w:rsidR="00AA0B82" w:rsidRPr="00AD51FB" w:rsidRDefault="00AA0B82" w:rsidP="00A1437C">
      <w:pPr>
        <w:tabs>
          <w:tab w:val="left" w:pos="4320"/>
        </w:tabs>
        <w:spacing w:line="360" w:lineRule="auto"/>
        <w:ind w:left="4320" w:hanging="4320"/>
        <w:rPr>
          <w:sz w:val="28"/>
          <w:szCs w:val="28"/>
        </w:rPr>
      </w:pPr>
      <w:r w:rsidRPr="00AD51FB">
        <w:rPr>
          <w:sz w:val="28"/>
          <w:szCs w:val="28"/>
        </w:rPr>
        <w:t xml:space="preserve">For </w:t>
      </w:r>
      <w:r w:rsidR="00122FE9" w:rsidRPr="00AD51FB">
        <w:rPr>
          <w:sz w:val="28"/>
          <w:szCs w:val="28"/>
        </w:rPr>
        <w:t xml:space="preserve">the </w:t>
      </w:r>
      <w:r w:rsidRPr="00AD51FB">
        <w:rPr>
          <w:sz w:val="28"/>
          <w:szCs w:val="28"/>
        </w:rPr>
        <w:t>appellant:</w:t>
      </w:r>
      <w:r w:rsidRPr="00AD51FB">
        <w:rPr>
          <w:sz w:val="28"/>
          <w:szCs w:val="28"/>
        </w:rPr>
        <w:tab/>
        <w:t>J J Meiring with P S MacKenzie an</w:t>
      </w:r>
      <w:r w:rsidR="00122FE9" w:rsidRPr="00AD51FB">
        <w:rPr>
          <w:sz w:val="28"/>
          <w:szCs w:val="28"/>
        </w:rPr>
        <w:t>d</w:t>
      </w:r>
      <w:r w:rsidRPr="00AD51FB">
        <w:rPr>
          <w:sz w:val="28"/>
          <w:szCs w:val="28"/>
        </w:rPr>
        <w:t xml:space="preserve"> S</w:t>
      </w:r>
      <w:r w:rsidR="00FB734A">
        <w:rPr>
          <w:sz w:val="28"/>
          <w:szCs w:val="28"/>
        </w:rPr>
        <w:t> </w:t>
      </w:r>
      <w:r w:rsidRPr="00AD51FB">
        <w:rPr>
          <w:sz w:val="28"/>
          <w:szCs w:val="28"/>
        </w:rPr>
        <w:t xml:space="preserve"> Mathe</w:t>
      </w:r>
    </w:p>
    <w:p w14:paraId="5FA17C89" w14:textId="4FAA7192" w:rsidR="00AA0B82" w:rsidRPr="00AD51FB" w:rsidRDefault="00AA0B82" w:rsidP="00A1437C">
      <w:pPr>
        <w:tabs>
          <w:tab w:val="left" w:pos="4320"/>
        </w:tabs>
        <w:spacing w:line="360" w:lineRule="auto"/>
        <w:ind w:left="4320" w:hanging="4320"/>
        <w:rPr>
          <w:bCs/>
          <w:sz w:val="28"/>
          <w:szCs w:val="28"/>
        </w:rPr>
      </w:pPr>
      <w:r w:rsidRPr="00AD51FB">
        <w:rPr>
          <w:bCs/>
          <w:sz w:val="28"/>
          <w:szCs w:val="28"/>
        </w:rPr>
        <w:t>Instructed by:</w:t>
      </w:r>
      <w:r w:rsidRPr="00AD51FB">
        <w:rPr>
          <w:bCs/>
          <w:sz w:val="28"/>
          <w:szCs w:val="28"/>
        </w:rPr>
        <w:tab/>
        <w:t xml:space="preserve">Von Lieres Cooper and Barlow, Cape Town </w:t>
      </w:r>
    </w:p>
    <w:p w14:paraId="51337D1E" w14:textId="58D3CB2C" w:rsidR="00AA0B82" w:rsidRPr="00AD51FB" w:rsidRDefault="00AA0B82" w:rsidP="00A1437C">
      <w:pPr>
        <w:spacing w:line="360" w:lineRule="auto"/>
        <w:ind w:left="4320"/>
        <w:rPr>
          <w:bCs/>
          <w:sz w:val="28"/>
          <w:szCs w:val="28"/>
        </w:rPr>
      </w:pPr>
      <w:r w:rsidRPr="00AD51FB">
        <w:rPr>
          <w:bCs/>
          <w:sz w:val="28"/>
          <w:szCs w:val="28"/>
        </w:rPr>
        <w:t>Hendre Conradie Inc, Bloemfontein</w:t>
      </w:r>
    </w:p>
    <w:p w14:paraId="3F53D093" w14:textId="77777777" w:rsidR="00AA0B82" w:rsidRPr="00AD51FB" w:rsidRDefault="00AA0B82" w:rsidP="00EA5B7F">
      <w:pPr>
        <w:spacing w:line="360" w:lineRule="auto"/>
        <w:rPr>
          <w:bCs/>
          <w:sz w:val="28"/>
          <w:szCs w:val="28"/>
        </w:rPr>
      </w:pPr>
      <w:r w:rsidRPr="00AD51FB">
        <w:rPr>
          <w:bCs/>
          <w:sz w:val="28"/>
          <w:szCs w:val="28"/>
        </w:rPr>
        <w:t xml:space="preserve"> </w:t>
      </w:r>
    </w:p>
    <w:p w14:paraId="0D7567BB" w14:textId="511D01F7" w:rsidR="00AA0B82" w:rsidRPr="00AD51FB" w:rsidRDefault="00AA0B82" w:rsidP="00A1437C">
      <w:pPr>
        <w:spacing w:line="360" w:lineRule="auto"/>
        <w:ind w:left="4320" w:hanging="4320"/>
        <w:rPr>
          <w:sz w:val="28"/>
          <w:szCs w:val="28"/>
        </w:rPr>
      </w:pPr>
      <w:r w:rsidRPr="00AD51FB">
        <w:rPr>
          <w:sz w:val="28"/>
          <w:szCs w:val="28"/>
        </w:rPr>
        <w:t xml:space="preserve">For </w:t>
      </w:r>
      <w:r w:rsidR="00122FE9" w:rsidRPr="00AD51FB">
        <w:rPr>
          <w:sz w:val="28"/>
          <w:szCs w:val="28"/>
        </w:rPr>
        <w:t xml:space="preserve">the </w:t>
      </w:r>
      <w:r w:rsidRPr="00AD51FB">
        <w:rPr>
          <w:sz w:val="28"/>
          <w:szCs w:val="28"/>
        </w:rPr>
        <w:t>first and second respondent:</w:t>
      </w:r>
      <w:r w:rsidRPr="00AD51FB">
        <w:rPr>
          <w:sz w:val="28"/>
          <w:szCs w:val="28"/>
        </w:rPr>
        <w:tab/>
        <w:t xml:space="preserve">R Tshetlo with Z Ngakane and </w:t>
      </w:r>
      <w:r w:rsidR="00A1437C">
        <w:rPr>
          <w:sz w:val="28"/>
          <w:szCs w:val="28"/>
        </w:rPr>
        <w:t>S </w:t>
      </w:r>
      <w:r w:rsidRPr="00AD51FB">
        <w:rPr>
          <w:sz w:val="28"/>
          <w:szCs w:val="28"/>
        </w:rPr>
        <w:t>Mashiane</w:t>
      </w:r>
    </w:p>
    <w:p w14:paraId="6C19199E" w14:textId="41CF7804" w:rsidR="00AA0B82" w:rsidRPr="00AD51FB" w:rsidRDefault="00AA0B82" w:rsidP="00A1437C">
      <w:pPr>
        <w:spacing w:line="360" w:lineRule="auto"/>
        <w:ind w:left="4320" w:hanging="4320"/>
        <w:rPr>
          <w:bCs/>
          <w:sz w:val="28"/>
          <w:szCs w:val="28"/>
        </w:rPr>
      </w:pPr>
      <w:r w:rsidRPr="00AD51FB">
        <w:rPr>
          <w:bCs/>
          <w:sz w:val="28"/>
          <w:szCs w:val="28"/>
        </w:rPr>
        <w:t>Instructed by:</w:t>
      </w:r>
      <w:r w:rsidRPr="00AD51FB">
        <w:rPr>
          <w:bCs/>
          <w:sz w:val="28"/>
          <w:szCs w:val="28"/>
        </w:rPr>
        <w:tab/>
        <w:t>MacRobert Inc, Pretoria</w:t>
      </w:r>
    </w:p>
    <w:p w14:paraId="506D3B6F" w14:textId="101AAD87" w:rsidR="00694D1B" w:rsidRPr="005A7D05" w:rsidRDefault="00AA0B82" w:rsidP="00A1437C">
      <w:pPr>
        <w:spacing w:line="360" w:lineRule="auto"/>
        <w:ind w:left="4320"/>
        <w:rPr>
          <w:bCs/>
          <w:sz w:val="28"/>
          <w:szCs w:val="28"/>
        </w:rPr>
      </w:pPr>
      <w:r w:rsidRPr="00AD51FB">
        <w:rPr>
          <w:bCs/>
          <w:sz w:val="28"/>
          <w:szCs w:val="28"/>
        </w:rPr>
        <w:t>Claude Reid Attorneys, Bloemfontein.</w:t>
      </w:r>
    </w:p>
    <w:sectPr w:rsidR="00694D1B" w:rsidRPr="005A7D05" w:rsidSect="00EB64AF">
      <w:headerReference w:type="default" r:id="rId16"/>
      <w:footerReference w:type="default" r:id="rId17"/>
      <w:pgSz w:w="11906" w:h="16838"/>
      <w:pgMar w:top="1440" w:right="1416"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4F8B" w14:textId="77777777" w:rsidR="00F22642" w:rsidRDefault="00F22642" w:rsidP="009B7AE0">
      <w:r>
        <w:separator/>
      </w:r>
    </w:p>
  </w:endnote>
  <w:endnote w:type="continuationSeparator" w:id="0">
    <w:p w14:paraId="43623577" w14:textId="77777777" w:rsidR="00F22642" w:rsidRDefault="00F22642" w:rsidP="009B7AE0">
      <w:r>
        <w:continuationSeparator/>
      </w:r>
    </w:p>
  </w:endnote>
  <w:endnote w:type="continuationNotice" w:id="1">
    <w:p w14:paraId="76D35B10" w14:textId="77777777" w:rsidR="00F22642" w:rsidRDefault="00F2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C498" w14:textId="77777777" w:rsidR="00764633" w:rsidRDefault="00764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D653" w14:textId="77777777" w:rsidR="00F22642" w:rsidRDefault="00F22642" w:rsidP="009B7AE0">
      <w:r>
        <w:separator/>
      </w:r>
    </w:p>
  </w:footnote>
  <w:footnote w:type="continuationSeparator" w:id="0">
    <w:p w14:paraId="2ED93C65" w14:textId="77777777" w:rsidR="00F22642" w:rsidRDefault="00F22642" w:rsidP="009B7AE0">
      <w:r>
        <w:continuationSeparator/>
      </w:r>
    </w:p>
  </w:footnote>
  <w:footnote w:type="continuationNotice" w:id="1">
    <w:p w14:paraId="084DE991" w14:textId="77777777" w:rsidR="00F22642" w:rsidRDefault="00F22642"/>
  </w:footnote>
  <w:footnote w:id="2">
    <w:p w14:paraId="11E62F32" w14:textId="77777777" w:rsidR="00764633" w:rsidRDefault="00764633" w:rsidP="00941616">
      <w:pPr>
        <w:pStyle w:val="FootnoteText"/>
        <w:jc w:val="both"/>
        <w:rPr>
          <w:lang w:val="en-ZA"/>
        </w:rPr>
      </w:pPr>
      <w:r>
        <w:rPr>
          <w:rStyle w:val="FootnoteReference"/>
        </w:rPr>
        <w:footnoteRef/>
      </w:r>
      <w:r>
        <w:t xml:space="preserve"> </w:t>
      </w:r>
      <w:r>
        <w:rPr>
          <w:lang w:val="en-ZA"/>
        </w:rPr>
        <w:t>Section 1 of the Act defines a broker to mean ‘a person whose business, or part thereof, entails providing broker services. . .’</w:t>
      </w:r>
    </w:p>
    <w:p w14:paraId="46AD4204" w14:textId="468A9D01" w:rsidR="00764633" w:rsidRDefault="00764633" w:rsidP="00941616">
      <w:pPr>
        <w:pStyle w:val="FootnoteText"/>
        <w:jc w:val="both"/>
        <w:rPr>
          <w:lang w:val="en-ZA"/>
        </w:rPr>
      </w:pPr>
      <w:r>
        <w:rPr>
          <w:lang w:val="en-ZA"/>
        </w:rPr>
        <w:t>‘broker services’ are defined as:</w:t>
      </w:r>
    </w:p>
    <w:p w14:paraId="7FCA7DC6" w14:textId="77777777" w:rsidR="00764633" w:rsidRDefault="00764633" w:rsidP="00941616">
      <w:pPr>
        <w:pStyle w:val="FootnoteText"/>
        <w:jc w:val="both"/>
        <w:rPr>
          <w:lang w:val="en-ZA"/>
        </w:rPr>
      </w:pPr>
      <w:r>
        <w:rPr>
          <w:i/>
          <w:iCs/>
          <w:lang w:val="en-ZA"/>
        </w:rPr>
        <w:t>‘(a)</w:t>
      </w:r>
      <w:r>
        <w:rPr>
          <w:lang w:val="en-ZA"/>
        </w:rPr>
        <w:t xml:space="preserve"> The provision of service or advice in respect of the introduction or admission of members to a medical scheme; or</w:t>
      </w:r>
    </w:p>
    <w:p w14:paraId="3213DEAB" w14:textId="16480B78" w:rsidR="00764633" w:rsidRPr="00C57F3E" w:rsidRDefault="00764633" w:rsidP="00941616">
      <w:pPr>
        <w:pStyle w:val="FootnoteText"/>
        <w:jc w:val="both"/>
        <w:rPr>
          <w:lang w:val="en-US"/>
        </w:rPr>
      </w:pPr>
      <w:r>
        <w:rPr>
          <w:i/>
          <w:iCs/>
          <w:lang w:val="en-ZA"/>
        </w:rPr>
        <w:t>(b)</w:t>
      </w:r>
      <w:r>
        <w:rPr>
          <w:lang w:val="en-ZA"/>
        </w:rPr>
        <w:t xml:space="preserve"> The ongoing provision of service or advice in respect of access to, or benefits or services offered by, a medical scheme.’</w:t>
      </w:r>
    </w:p>
  </w:footnote>
  <w:footnote w:id="3">
    <w:p w14:paraId="0AC312C3" w14:textId="77777777" w:rsidR="00764633" w:rsidRDefault="00764633" w:rsidP="00941616">
      <w:pPr>
        <w:pStyle w:val="FootnoteText"/>
        <w:jc w:val="both"/>
      </w:pPr>
      <w:r>
        <w:rPr>
          <w:rStyle w:val="FootnoteReference"/>
        </w:rPr>
        <w:footnoteRef/>
      </w:r>
      <w:r>
        <w:t xml:space="preserve"> Section 65 provides as follows:</w:t>
      </w:r>
    </w:p>
    <w:p w14:paraId="0478C20D" w14:textId="54F095A9" w:rsidR="00764633" w:rsidRDefault="00764633" w:rsidP="00941616">
      <w:pPr>
        <w:pStyle w:val="FootnoteText"/>
        <w:jc w:val="both"/>
      </w:pPr>
      <w:r>
        <w:t>‘(1) No person may act or offer to act as a broker unless the Council has granted accreditation to such a person on payment of such fees as may be prescribed.</w:t>
      </w:r>
    </w:p>
    <w:p w14:paraId="78B36993" w14:textId="434558D0" w:rsidR="00764633" w:rsidRDefault="00764633" w:rsidP="00941616">
      <w:pPr>
        <w:pStyle w:val="FootnoteText"/>
        <w:jc w:val="both"/>
      </w:pPr>
      <w:r>
        <w:t xml:space="preserve">(2) The Minister may prescribe the amount of the compensation which, the category of brokers to whom, the conditions upon which, and any other circumstances under which, a medical scheme may compensate any broker. </w:t>
      </w:r>
    </w:p>
    <w:p w14:paraId="15E62916" w14:textId="566CF47C" w:rsidR="00764633" w:rsidRDefault="00764633" w:rsidP="00941616">
      <w:pPr>
        <w:pStyle w:val="FootnoteText"/>
        <w:jc w:val="both"/>
      </w:pPr>
      <w:r>
        <w:t xml:space="preserve">(3) No broker shall be compensated for providing broker services unless the Council has granted accreditation to such broker in terms of subsection (1). </w:t>
      </w:r>
    </w:p>
    <w:p w14:paraId="39C2EE0F" w14:textId="2CEC197B" w:rsidR="00764633" w:rsidRDefault="00764633" w:rsidP="00941616">
      <w:pPr>
        <w:pStyle w:val="FootnoteText"/>
        <w:jc w:val="both"/>
      </w:pPr>
      <w:bookmarkStart w:id="2" w:name="_Hlk164840231"/>
      <w:r>
        <w:t xml:space="preserve">(4) </w:t>
      </w:r>
      <w:bookmarkEnd w:id="2"/>
      <w:r>
        <w:t xml:space="preserve">An application for accreditation shall be made to the Council in the manner and be accompanied by such information as may be prescribed, and any other information as the Council may require. </w:t>
      </w:r>
    </w:p>
    <w:p w14:paraId="063390B7" w14:textId="1C7F8ED1" w:rsidR="00764633" w:rsidRDefault="00764633" w:rsidP="00941616">
      <w:pPr>
        <w:pStyle w:val="FootnoteText"/>
        <w:jc w:val="both"/>
      </w:pPr>
      <w:r>
        <w:t xml:space="preserve">(5) A medical scheme may not directly or indirectly compensate a broker other than in terms of this section. </w:t>
      </w:r>
    </w:p>
    <w:p w14:paraId="0343791A" w14:textId="6496AE35" w:rsidR="00764633" w:rsidRDefault="00764633" w:rsidP="00941616">
      <w:pPr>
        <w:pStyle w:val="FootnoteText"/>
        <w:jc w:val="both"/>
      </w:pPr>
      <w:r>
        <w:t xml:space="preserve">(6) A broker may not be directly or indirectly compensated for providing broker services by any person other than — </w:t>
      </w:r>
    </w:p>
    <w:p w14:paraId="4E898BE6" w14:textId="03A60FA2" w:rsidR="00764633" w:rsidRDefault="00764633" w:rsidP="00941616">
      <w:pPr>
        <w:pStyle w:val="FootnoteText"/>
        <w:jc w:val="both"/>
      </w:pPr>
      <w:r>
        <w:t xml:space="preserve">(a) a medical scheme; </w:t>
      </w:r>
    </w:p>
    <w:p w14:paraId="0DC8CBE7" w14:textId="64687AFD" w:rsidR="00764633" w:rsidRDefault="00764633" w:rsidP="00941616">
      <w:pPr>
        <w:pStyle w:val="FootnoteText"/>
        <w:jc w:val="both"/>
      </w:pPr>
      <w:r>
        <w:t>(b) a member or prospective member, or the employer of such member or prospective member, in respect of whom such broker services are provided; or</w:t>
      </w:r>
    </w:p>
    <w:p w14:paraId="6B432320" w14:textId="1C3E5F82" w:rsidR="00764633" w:rsidRDefault="00764633" w:rsidP="00941616">
      <w:pPr>
        <w:pStyle w:val="FootnoteText"/>
        <w:jc w:val="both"/>
      </w:pPr>
      <w:r>
        <w:t>(c) a broker employing such broker.’</w:t>
      </w:r>
    </w:p>
    <w:p w14:paraId="3F52207D" w14:textId="1FE2C868" w:rsidR="00764633" w:rsidRPr="00C57F3E" w:rsidRDefault="00764633" w:rsidP="00C57F3E">
      <w:pPr>
        <w:pStyle w:val="FootnoteText"/>
        <w:rPr>
          <w:lang w:val="en-US"/>
        </w:rPr>
      </w:pPr>
    </w:p>
  </w:footnote>
  <w:footnote w:id="4">
    <w:p w14:paraId="6AC12215" w14:textId="65B5A846" w:rsidR="00764633" w:rsidRDefault="00764633" w:rsidP="0014216B">
      <w:pPr>
        <w:pStyle w:val="FootnoteText"/>
        <w:jc w:val="both"/>
      </w:pPr>
      <w:r>
        <w:rPr>
          <w:rStyle w:val="FootnoteReference"/>
        </w:rPr>
        <w:footnoteRef/>
      </w:r>
      <w:r>
        <w:t xml:space="preserve"> Section 136 provides as follows:</w:t>
      </w:r>
    </w:p>
    <w:p w14:paraId="0E455ECB" w14:textId="77777777" w:rsidR="00764633" w:rsidRDefault="00764633" w:rsidP="0014216B">
      <w:pPr>
        <w:pStyle w:val="FootnoteText"/>
        <w:jc w:val="both"/>
      </w:pPr>
      <w:r>
        <w:t>‘136. Powers of investigators to question and require production of documents or other items.</w:t>
      </w:r>
    </w:p>
    <w:p w14:paraId="16523916" w14:textId="77777777" w:rsidR="00764633" w:rsidRDefault="00764633" w:rsidP="0014216B">
      <w:pPr>
        <w:pStyle w:val="FootnoteText"/>
        <w:jc w:val="both"/>
      </w:pPr>
      <w:r>
        <w:t>(1)</w:t>
      </w:r>
      <w:r>
        <w:rPr>
          <w:i/>
        </w:rPr>
        <w:t xml:space="preserve">(a) </w:t>
      </w:r>
      <w:r>
        <w:t xml:space="preserve">An investigator may, for the purposes of conducting an investigation, do any of the following: </w:t>
      </w:r>
    </w:p>
    <w:p w14:paraId="6B64C254" w14:textId="77777777" w:rsidR="00764633" w:rsidRDefault="00764633" w:rsidP="0014216B">
      <w:pPr>
        <w:pStyle w:val="FootnoteText"/>
        <w:jc w:val="both"/>
      </w:pPr>
      <w:r>
        <w:t xml:space="preserve">(i) By written notice, require any person who the investigator reasonably believes may be able to provide information relevant to the investigation to appear before the investigator, at a time and place specified in the notice, to be questioned by an investigator; </w:t>
      </w:r>
    </w:p>
    <w:p w14:paraId="21286A16" w14:textId="77777777" w:rsidR="00764633" w:rsidRDefault="00764633" w:rsidP="0014216B">
      <w:pPr>
        <w:pStyle w:val="FootnoteText"/>
        <w:jc w:val="both"/>
      </w:pPr>
      <w:r>
        <w:t xml:space="preserve">(ii) by written notice, require any person who the investigator reasonably believes may be able to produce a document or item relevant to the investigation, to— </w:t>
      </w:r>
    </w:p>
    <w:p w14:paraId="44DCA93B" w14:textId="01663DD2" w:rsidR="00764633" w:rsidRDefault="00764633" w:rsidP="00F649EB">
      <w:pPr>
        <w:pStyle w:val="FootnoteText"/>
        <w:jc w:val="both"/>
      </w:pPr>
      <w:r>
        <w:t xml:space="preserve">(aa) produce the document or item to an investigator, at a time and place specified in the notice; or </w:t>
      </w:r>
    </w:p>
    <w:p w14:paraId="137FF958" w14:textId="6E1C9F96" w:rsidR="00764633" w:rsidRDefault="00764633" w:rsidP="00973EC0">
      <w:pPr>
        <w:pStyle w:val="FootnoteText"/>
        <w:jc w:val="both"/>
      </w:pPr>
      <w:r>
        <w:t xml:space="preserve">(bb) produce the document or item to an investigator, at a time and place specified in the notice, to be questioned by an investigator about the document or item; </w:t>
      </w:r>
    </w:p>
    <w:p w14:paraId="2F8D5CF1" w14:textId="77777777" w:rsidR="00764633" w:rsidRDefault="00764633" w:rsidP="0014216B">
      <w:pPr>
        <w:pStyle w:val="FootnoteText"/>
        <w:jc w:val="both"/>
      </w:pPr>
      <w:r>
        <w:t xml:space="preserve">(iii) question a person who is complying with a notice in terms of subparagraph (i) or (ii)(bb); </w:t>
      </w:r>
    </w:p>
    <w:p w14:paraId="5D335753" w14:textId="77777777" w:rsidR="00764633" w:rsidRDefault="00764633" w:rsidP="0014216B">
      <w:pPr>
        <w:pStyle w:val="FootnoteText"/>
        <w:jc w:val="both"/>
      </w:pPr>
      <w:r>
        <w:t xml:space="preserve">(iv) require a person being questioned as mentioned in subparagraph (i) or (ii)(bb) to make an oath or affirmation, and administer such an oath or affirmation; </w:t>
      </w:r>
    </w:p>
    <w:p w14:paraId="15A9F9D3" w14:textId="77777777" w:rsidR="00764633" w:rsidRDefault="00764633" w:rsidP="0014216B">
      <w:pPr>
        <w:pStyle w:val="FootnoteText"/>
        <w:jc w:val="both"/>
      </w:pPr>
      <w:r>
        <w:t xml:space="preserve">(v) examine, copy or make extracts from any document or item produced to an investigator as required in terms of this paragraph; </w:t>
      </w:r>
    </w:p>
    <w:p w14:paraId="34E1D1FE" w14:textId="77777777" w:rsidR="00764633" w:rsidRDefault="00764633" w:rsidP="0014216B">
      <w:pPr>
        <w:pStyle w:val="FootnoteText"/>
        <w:jc w:val="both"/>
      </w:pPr>
      <w:r>
        <w:t xml:space="preserve">(vi) take possession of, and retain, any document or item produced to an investigator as required in terms of this paragraph; and </w:t>
      </w:r>
    </w:p>
    <w:p w14:paraId="5641DBE8" w14:textId="77777777" w:rsidR="00764633" w:rsidRDefault="00764633" w:rsidP="0014216B">
      <w:pPr>
        <w:pStyle w:val="FootnoteText"/>
        <w:jc w:val="both"/>
      </w:pPr>
      <w:r>
        <w:t xml:space="preserve">(vii) give a directive to a person present while the investigator is exercising powers in terms of this section, to facilitate the exercise of such powers. </w:t>
      </w:r>
    </w:p>
    <w:p w14:paraId="379E3CEE" w14:textId="77777777" w:rsidR="00764633" w:rsidRDefault="00764633" w:rsidP="0014216B">
      <w:pPr>
        <w:pStyle w:val="FootnoteText"/>
        <w:jc w:val="both"/>
      </w:pPr>
      <w:r>
        <w:rPr>
          <w:i/>
        </w:rPr>
        <w:t>(b)</w:t>
      </w:r>
      <w:r>
        <w:t xml:space="preserve"> An investigator who takes a document or item in terms of paragraph (a)(vi) must give the person producing it a written receipt. </w:t>
      </w:r>
    </w:p>
    <w:p w14:paraId="4C9454A5" w14:textId="77777777" w:rsidR="00764633" w:rsidRDefault="00764633" w:rsidP="0014216B">
      <w:pPr>
        <w:pStyle w:val="FootnoteText"/>
        <w:jc w:val="both"/>
      </w:pPr>
      <w:r>
        <w:rPr>
          <w:i/>
        </w:rPr>
        <w:t>(c)</w:t>
      </w:r>
      <w:r>
        <w:t xml:space="preserve"> Subject to paragraph (d), the investigator must ensure that a document or item taken in terms of paragraph </w:t>
      </w:r>
      <w:r>
        <w:rPr>
          <w:i/>
        </w:rPr>
        <w:t>(a)</w:t>
      </w:r>
      <w:r>
        <w:t xml:space="preserve">(vi) is returned to the person who produced it when— </w:t>
      </w:r>
    </w:p>
    <w:p w14:paraId="71802424" w14:textId="77777777" w:rsidR="00764633" w:rsidRDefault="00764633" w:rsidP="0014216B">
      <w:pPr>
        <w:pStyle w:val="FootnoteText"/>
        <w:jc w:val="both"/>
      </w:pPr>
      <w:r>
        <w:t xml:space="preserve">(i) retention of the document or item is no longer necessary to achieve the object of the investigation; or </w:t>
      </w:r>
    </w:p>
    <w:p w14:paraId="5BF76FFD" w14:textId="77777777" w:rsidR="00764633" w:rsidRDefault="00764633" w:rsidP="0014216B">
      <w:pPr>
        <w:pStyle w:val="FootnoteText"/>
        <w:jc w:val="both"/>
      </w:pPr>
      <w:r>
        <w:t xml:space="preserve">(ii) all proceedings arising out of the investigation have been finally disposed of. </w:t>
      </w:r>
    </w:p>
    <w:p w14:paraId="3E9020F1" w14:textId="77777777" w:rsidR="00764633" w:rsidRDefault="00764633" w:rsidP="0014216B">
      <w:pPr>
        <w:pStyle w:val="FootnoteText"/>
        <w:jc w:val="both"/>
      </w:pPr>
      <w:r>
        <w:rPr>
          <w:i/>
        </w:rPr>
        <w:t>(d)</w:t>
      </w:r>
      <w:r>
        <w:t xml:space="preserve"> A document or item need not be returned to the person who produced it if — </w:t>
      </w:r>
    </w:p>
    <w:p w14:paraId="3A4C83D6" w14:textId="77777777" w:rsidR="00764633" w:rsidRDefault="00764633" w:rsidP="0014216B">
      <w:pPr>
        <w:pStyle w:val="FootnoteText"/>
        <w:jc w:val="both"/>
      </w:pPr>
      <w:r>
        <w:t xml:space="preserve">(i) the document or item has been handed over to a designated authority; or </w:t>
      </w:r>
    </w:p>
    <w:p w14:paraId="246A6AC2" w14:textId="77777777" w:rsidR="00764633" w:rsidRDefault="00764633" w:rsidP="0014216B">
      <w:pPr>
        <w:pStyle w:val="FootnoteText"/>
        <w:jc w:val="both"/>
      </w:pPr>
      <w:r>
        <w:t xml:space="preserve">(ii) it is not in the best interest of the public or any member or members of the public for the document or item to be returned. </w:t>
      </w:r>
    </w:p>
    <w:p w14:paraId="218E48EE" w14:textId="77777777" w:rsidR="00764633" w:rsidRDefault="00764633" w:rsidP="0014216B">
      <w:pPr>
        <w:pStyle w:val="FootnoteText"/>
        <w:jc w:val="both"/>
      </w:pPr>
      <w:r>
        <w:rPr>
          <w:i/>
        </w:rPr>
        <w:t>(e)</w:t>
      </w:r>
      <w:r>
        <w:t xml:space="preserve"> A person otherwise entitled to possession of a document or item taken in terms of paragraph (a)(vi), or its authorised representative, may, during normal office hours and under the supervision of the financial sector regulator, examine, copy and make extracts from the document, or inspect the item. </w:t>
      </w:r>
    </w:p>
    <w:p w14:paraId="6A908BA1" w14:textId="77777777" w:rsidR="00764633" w:rsidRDefault="00764633" w:rsidP="0014216B">
      <w:pPr>
        <w:pStyle w:val="FootnoteText"/>
        <w:jc w:val="both"/>
      </w:pPr>
      <w:r>
        <w:t>(2) A person being questioned in terms of this section is entitled to have a legal practitioner present at the questioning to assist the person.’</w:t>
      </w:r>
    </w:p>
    <w:p w14:paraId="1DE9B4FC" w14:textId="176465E1" w:rsidR="00764633" w:rsidRDefault="00764633" w:rsidP="0014216B">
      <w:pPr>
        <w:pStyle w:val="FootnoteText"/>
        <w:jc w:val="both"/>
        <w:rPr>
          <w:lang w:val="en-US"/>
        </w:rPr>
      </w:pPr>
      <w:r>
        <w:t>Section 137 provides as follows:</w:t>
      </w:r>
    </w:p>
  </w:footnote>
  <w:footnote w:id="5">
    <w:p w14:paraId="5E37EE61" w14:textId="5AA74C12" w:rsidR="00764633" w:rsidRDefault="00764633" w:rsidP="00EE5B32">
      <w:pPr>
        <w:pStyle w:val="ListParagraph"/>
        <w:ind w:left="0"/>
        <w:jc w:val="both"/>
        <w:rPr>
          <w:sz w:val="20"/>
        </w:rPr>
      </w:pPr>
      <w:r>
        <w:rPr>
          <w:sz w:val="20"/>
        </w:rPr>
        <w:t xml:space="preserve">‘137. Powers of investigators to enter and search premises. –  </w:t>
      </w:r>
    </w:p>
    <w:p w14:paraId="22C0F374" w14:textId="77777777" w:rsidR="00764633" w:rsidRDefault="00764633" w:rsidP="00EE5B32">
      <w:pPr>
        <w:pStyle w:val="ListParagraph"/>
        <w:ind w:left="0"/>
        <w:jc w:val="both"/>
        <w:rPr>
          <w:sz w:val="20"/>
        </w:rPr>
      </w:pPr>
      <w:r>
        <w:rPr>
          <w:sz w:val="20"/>
        </w:rPr>
        <w:t>(1) An investigator may, for the purposes of conducting an investigation, do any of the following</w:t>
      </w:r>
    </w:p>
    <w:p w14:paraId="5F48786A" w14:textId="77777777" w:rsidR="00764633" w:rsidRDefault="00764633" w:rsidP="00EE5B32">
      <w:pPr>
        <w:pStyle w:val="ListParagraph"/>
        <w:ind w:left="0"/>
        <w:jc w:val="both"/>
        <w:rPr>
          <w:sz w:val="20"/>
        </w:rPr>
      </w:pPr>
      <w:r>
        <w:rPr>
          <w:i/>
          <w:sz w:val="20"/>
        </w:rPr>
        <w:t>(a)</w:t>
      </w:r>
      <w:r>
        <w:rPr>
          <w:sz w:val="20"/>
        </w:rPr>
        <w:t xml:space="preserve"> Enter any premises</w:t>
      </w:r>
    </w:p>
    <w:p w14:paraId="7A405B16" w14:textId="5F1E418D" w:rsidR="00764633" w:rsidRDefault="00764633" w:rsidP="00EE5B32">
      <w:pPr>
        <w:pStyle w:val="ListParagraph"/>
        <w:ind w:left="0"/>
        <w:jc w:val="both"/>
        <w:rPr>
          <w:sz w:val="20"/>
        </w:rPr>
      </w:pPr>
      <w:r>
        <w:rPr>
          <w:sz w:val="20"/>
        </w:rPr>
        <w:t xml:space="preserve">. . . </w:t>
      </w:r>
    </w:p>
    <w:p w14:paraId="11F3605E" w14:textId="77777777" w:rsidR="00764633" w:rsidRDefault="00764633" w:rsidP="00EE5B32">
      <w:pPr>
        <w:pStyle w:val="ListParagraph"/>
        <w:ind w:left="0"/>
        <w:jc w:val="both"/>
        <w:rPr>
          <w:sz w:val="20"/>
        </w:rPr>
      </w:pPr>
      <w:r>
        <w:rPr>
          <w:sz w:val="20"/>
        </w:rPr>
        <w:t xml:space="preserve">(ii) without prior consent and without prior notice to any person— </w:t>
      </w:r>
    </w:p>
    <w:p w14:paraId="40C4B5EA" w14:textId="26C5B775" w:rsidR="00764633" w:rsidRDefault="00764633" w:rsidP="00EE5B32">
      <w:pPr>
        <w:pStyle w:val="ListParagraph"/>
        <w:ind w:left="0"/>
        <w:jc w:val="both"/>
        <w:rPr>
          <w:sz w:val="20"/>
        </w:rPr>
      </w:pPr>
      <w:r>
        <w:rPr>
          <w:sz w:val="20"/>
        </w:rPr>
        <w:t xml:space="preserve">. . . </w:t>
      </w:r>
    </w:p>
    <w:p w14:paraId="55839B96" w14:textId="77777777" w:rsidR="00764633" w:rsidRDefault="00764633" w:rsidP="00EE5B32">
      <w:pPr>
        <w:pStyle w:val="ListParagraph"/>
        <w:ind w:left="0"/>
        <w:jc w:val="both"/>
        <w:rPr>
          <w:sz w:val="20"/>
        </w:rPr>
      </w:pPr>
      <w:r>
        <w:rPr>
          <w:sz w:val="20"/>
        </w:rPr>
        <w:t xml:space="preserve"> (bb) with the prior authority of the head of a financial sector regulator or a senior staff member of the financial sector regulator delegated to perform the function, if the head of a financial sector regulator or senior staff member on reasonable grounds believes that — </w:t>
      </w:r>
    </w:p>
    <w:p w14:paraId="34F4B192" w14:textId="0A1BD94D" w:rsidR="00764633" w:rsidRDefault="00764633" w:rsidP="00EE5B32">
      <w:pPr>
        <w:pStyle w:val="ListParagraph"/>
        <w:ind w:left="0"/>
        <w:jc w:val="both"/>
        <w:rPr>
          <w:sz w:val="20"/>
        </w:rPr>
      </w:pPr>
      <w:r>
        <w:rPr>
          <w:sz w:val="20"/>
        </w:rPr>
        <w:t xml:space="preserve">. . . </w:t>
      </w:r>
    </w:p>
    <w:p w14:paraId="2A4CECFB" w14:textId="77777777" w:rsidR="00764633" w:rsidRDefault="00764633" w:rsidP="00EE5B32">
      <w:pPr>
        <w:pStyle w:val="ListParagraph"/>
        <w:ind w:left="0"/>
        <w:jc w:val="both"/>
        <w:rPr>
          <w:sz w:val="20"/>
        </w:rPr>
      </w:pPr>
      <w:r>
        <w:rPr>
          <w:sz w:val="20"/>
        </w:rPr>
        <w:t xml:space="preserve">(CC) it is necessary to enter the premises to conduct the investigation and search the premises as referred to in paragraph </w:t>
      </w:r>
      <w:r>
        <w:rPr>
          <w:i/>
          <w:sz w:val="20"/>
        </w:rPr>
        <w:t>(b)</w:t>
      </w:r>
      <w:r>
        <w:rPr>
          <w:sz w:val="20"/>
        </w:rPr>
        <w:t xml:space="preserve"> or </w:t>
      </w:r>
      <w:r>
        <w:rPr>
          <w:i/>
          <w:sz w:val="20"/>
        </w:rPr>
        <w:t>(c)</w:t>
      </w:r>
      <w:r>
        <w:rPr>
          <w:sz w:val="20"/>
        </w:rPr>
        <w:t>, and to do anything contemplated in subsection (6);</w:t>
      </w:r>
    </w:p>
    <w:p w14:paraId="642C22D6" w14:textId="77777777" w:rsidR="00764633" w:rsidRDefault="00764633" w:rsidP="00EE5B32">
      <w:pPr>
        <w:pStyle w:val="ListParagraph"/>
        <w:ind w:left="0"/>
        <w:jc w:val="both"/>
        <w:rPr>
          <w:sz w:val="20"/>
        </w:rPr>
      </w:pPr>
      <w:r>
        <w:rPr>
          <w:i/>
          <w:sz w:val="20"/>
        </w:rPr>
        <w:t>(b)</w:t>
      </w:r>
      <w:r>
        <w:rPr>
          <w:sz w:val="20"/>
        </w:rPr>
        <w:t xml:space="preserve"> if the investigation is one referred to in section 135(1)</w:t>
      </w:r>
      <w:r>
        <w:rPr>
          <w:i/>
          <w:sz w:val="20"/>
        </w:rPr>
        <w:t>(a)</w:t>
      </w:r>
      <w:r>
        <w:rPr>
          <w:sz w:val="20"/>
        </w:rPr>
        <w:t xml:space="preserve">, search the premises for evidence of a contravention of a financial sector law; or </w:t>
      </w:r>
    </w:p>
    <w:p w14:paraId="0C415ACA" w14:textId="77777777" w:rsidR="00764633" w:rsidRDefault="00764633" w:rsidP="00EE5B32">
      <w:pPr>
        <w:pStyle w:val="ListParagraph"/>
        <w:ind w:left="0"/>
        <w:jc w:val="both"/>
        <w:rPr>
          <w:sz w:val="20"/>
        </w:rPr>
      </w:pPr>
      <w:r>
        <w:rPr>
          <w:i/>
          <w:sz w:val="20"/>
        </w:rPr>
        <w:t>(c)</w:t>
      </w:r>
      <w:r>
        <w:rPr>
          <w:sz w:val="20"/>
        </w:rPr>
        <w:t xml:space="preserve"> if the investigation is one referred to in section 135(1)</w:t>
      </w:r>
      <w:r>
        <w:rPr>
          <w:i/>
          <w:sz w:val="20"/>
        </w:rPr>
        <w:t>(b)</w:t>
      </w:r>
      <w:r>
        <w:rPr>
          <w:sz w:val="20"/>
        </w:rPr>
        <w:t>, search the premises pursuant to the request, subject to section 251</w:t>
      </w:r>
    </w:p>
    <w:p w14:paraId="4244B234" w14:textId="77777777" w:rsidR="00764633" w:rsidRDefault="00764633" w:rsidP="00EE5B32">
      <w:pPr>
        <w:pStyle w:val="ListParagraph"/>
        <w:ind w:left="0"/>
        <w:jc w:val="both"/>
        <w:rPr>
          <w:sz w:val="20"/>
          <w:szCs w:val="28"/>
        </w:rPr>
      </w:pPr>
      <w:r>
        <w:rPr>
          <w:sz w:val="20"/>
        </w:rPr>
        <w:t>(6)</w:t>
      </w:r>
      <w:r>
        <w:rPr>
          <w:i/>
          <w:sz w:val="20"/>
        </w:rPr>
        <w:t>(a)</w:t>
      </w:r>
      <w:r>
        <w:rPr>
          <w:sz w:val="20"/>
        </w:rPr>
        <w:t xml:space="preserve"> While on the premises in terms of this section, an investigator, for the purpose of conducting the investigation, has the right of access to any part of the premises and to any document or item on the premises. . .’</w:t>
      </w:r>
      <w:r>
        <w:rPr>
          <w:rStyle w:val="CommentReference"/>
          <w:sz w:val="20"/>
          <w:szCs w:val="28"/>
        </w:rPr>
        <w:t xml:space="preserve"> </w:t>
      </w:r>
      <w:r>
        <w:rPr>
          <w:sz w:val="20"/>
          <w:szCs w:val="28"/>
        </w:rPr>
        <w:t xml:space="preserve"> </w:t>
      </w:r>
    </w:p>
    <w:p w14:paraId="6D235C6D" w14:textId="3CBF42A3" w:rsidR="00764633" w:rsidRPr="00EE5B32" w:rsidRDefault="00764633">
      <w:pPr>
        <w:pStyle w:val="FootnoteText"/>
        <w:rPr>
          <w:lang w:val="en-US"/>
        </w:rPr>
      </w:pPr>
    </w:p>
  </w:footnote>
  <w:footnote w:id="6">
    <w:p w14:paraId="5C031AB8" w14:textId="696C119F" w:rsidR="00764633" w:rsidRDefault="00764633" w:rsidP="00C1297C">
      <w:pPr>
        <w:pStyle w:val="FootnoteText"/>
        <w:jc w:val="both"/>
      </w:pPr>
      <w:r>
        <w:rPr>
          <w:rStyle w:val="FootnoteReference"/>
        </w:rPr>
        <w:footnoteRef/>
      </w:r>
      <w:r>
        <w:t>Section (44)(2) stipulates that:</w:t>
      </w:r>
    </w:p>
    <w:p w14:paraId="11F5F253" w14:textId="4E6253BB" w:rsidR="00764633" w:rsidRDefault="00764633" w:rsidP="00C1297C">
      <w:pPr>
        <w:pStyle w:val="FootnoteText"/>
        <w:jc w:val="both"/>
        <w:rPr>
          <w:lang w:val="en-US"/>
        </w:rPr>
      </w:pPr>
      <w:r>
        <w:rPr>
          <w:sz w:val="24"/>
          <w:szCs w:val="24"/>
        </w:rPr>
        <w:t>‘</w:t>
      </w:r>
      <w:r>
        <w:t xml:space="preserve">The Registrar, or such other person authorised by him or her, shall in addition to the powers and duties conferred or imposed upon him or her by this Act, have all the powers and duties conferred or imposed upon an inspector appointed under section 2 of the Inspection of Financial Institutions Act, 1984 (Act No. 38 of 1984), as if he or she has been appointed an inspector under that Act.’ </w:t>
      </w:r>
    </w:p>
  </w:footnote>
  <w:footnote w:id="7">
    <w:p w14:paraId="2D1091E8" w14:textId="6F459B23" w:rsidR="00764633" w:rsidRDefault="00764633" w:rsidP="00B87B2C">
      <w:pPr>
        <w:pStyle w:val="FootnoteText"/>
        <w:jc w:val="both"/>
        <w:rPr>
          <w:lang w:val="en-US"/>
        </w:rPr>
      </w:pPr>
      <w:r>
        <w:rPr>
          <w:rStyle w:val="FootnoteReference"/>
        </w:rPr>
        <w:footnoteRef/>
      </w:r>
      <w:r>
        <w:t xml:space="preserve"> </w:t>
      </w:r>
      <w:r>
        <w:rPr>
          <w:i/>
          <w:iCs/>
          <w:color w:val="000000"/>
          <w:lang w:val="en-ZA" w:eastAsia="en-GB"/>
        </w:rPr>
        <w:t>Bonitas Medical Fund v The Council for Medical Schemes</w:t>
      </w:r>
      <w:r>
        <w:rPr>
          <w:color w:val="000000"/>
          <w:lang w:val="en-ZA" w:eastAsia="en-GB"/>
        </w:rPr>
        <w:t xml:space="preserve"> [2016] ZASCA 154</w:t>
      </w:r>
      <w:r w:rsidRPr="001070E3">
        <w:rPr>
          <w:color w:val="000000"/>
          <w:lang w:val="en-ZA" w:eastAsia="en-GB"/>
        </w:rPr>
        <w:t>; [2016] 4 All SA 684 (SCA)</w:t>
      </w:r>
      <w:r>
        <w:rPr>
          <w:color w:val="000000"/>
          <w:lang w:val="en-ZA" w:eastAsia="en-GB"/>
        </w:rPr>
        <w:t xml:space="preserve"> paras 8-9.</w:t>
      </w:r>
    </w:p>
  </w:footnote>
  <w:footnote w:id="8">
    <w:p w14:paraId="2E4F32CA" w14:textId="1468DA7A" w:rsidR="00764633" w:rsidRPr="001F1DE8" w:rsidRDefault="00764633">
      <w:pPr>
        <w:pStyle w:val="FootnoteText"/>
        <w:rPr>
          <w:lang w:val="en-US"/>
        </w:rPr>
      </w:pPr>
      <w:r>
        <w:rPr>
          <w:rStyle w:val="FootnoteReference"/>
        </w:rPr>
        <w:footnoteRef/>
      </w:r>
      <w:r>
        <w:t xml:space="preserve"> </w:t>
      </w:r>
      <w:r>
        <w:rPr>
          <w:lang w:val="en-US"/>
        </w:rPr>
        <w:t>Ibid paras 14-15</w:t>
      </w:r>
      <w:r w:rsidR="00731DC0">
        <w:rPr>
          <w:lang w:val="en-US"/>
        </w:rPr>
        <w:t>.</w:t>
      </w:r>
    </w:p>
  </w:footnote>
  <w:footnote w:id="9">
    <w:p w14:paraId="0216ED03" w14:textId="230E96B4" w:rsidR="00764633" w:rsidRDefault="00764633">
      <w:pPr>
        <w:pStyle w:val="FootnoteText"/>
        <w:jc w:val="both"/>
        <w:rPr>
          <w:lang w:val="en-US"/>
        </w:rPr>
      </w:pPr>
      <w:r>
        <w:rPr>
          <w:rStyle w:val="FootnoteReference"/>
        </w:rPr>
        <w:footnoteRef/>
      </w:r>
      <w:r>
        <w:t xml:space="preserve"> </w:t>
      </w:r>
      <w:r>
        <w:rPr>
          <w:lang w:val="en-US"/>
        </w:rPr>
        <w:t>S 44(1) of the Act provides:</w:t>
      </w:r>
    </w:p>
    <w:p w14:paraId="68A8BE4B" w14:textId="12130ABB" w:rsidR="00764633" w:rsidRDefault="00764633">
      <w:pPr>
        <w:pStyle w:val="FootnoteText"/>
        <w:jc w:val="both"/>
        <w:rPr>
          <w:lang w:val="en-US"/>
        </w:rPr>
      </w:pPr>
      <w:r>
        <w:rPr>
          <w:lang w:val="en-US"/>
        </w:rPr>
        <w:t>‘</w:t>
      </w:r>
      <w:r w:rsidRPr="00154482">
        <w:t>A medical scheme shall, at the written request of the Registrar, or during an inspection of the affairs of a medical scheme, by the Registrar or such other person authorised by him or her, produce at any place where it carries on business, its books, documents and annual financial statements in order to enable the Registrar or such other person authorised by him or her to obtain any information relating to the medical scheme required in connection with the administration of this Act.</w:t>
      </w:r>
      <w:r>
        <w:t>’</w:t>
      </w:r>
    </w:p>
  </w:footnote>
  <w:footnote w:id="10">
    <w:p w14:paraId="3CAC262B" w14:textId="71ECF8DE" w:rsidR="00764633" w:rsidRPr="00BE6481" w:rsidRDefault="00764633" w:rsidP="00642304">
      <w:pPr>
        <w:pStyle w:val="FootnoteText"/>
        <w:jc w:val="both"/>
        <w:rPr>
          <w:lang w:val="en-US"/>
        </w:rPr>
      </w:pPr>
      <w:r>
        <w:rPr>
          <w:rStyle w:val="FootnoteReference"/>
        </w:rPr>
        <w:footnoteRef/>
      </w:r>
      <w:r>
        <w:t xml:space="preserve"> </w:t>
      </w:r>
      <w:bookmarkStart w:id="3" w:name="_Hlk161674547"/>
      <w:r w:rsidRPr="00154482">
        <w:rPr>
          <w:i/>
          <w:iCs/>
        </w:rPr>
        <w:t>Natal Joint Municipal Pension Fund v Endumeni Municipality</w:t>
      </w:r>
      <w:r w:rsidRPr="00154482">
        <w:t> [2012] ZASCA 13</w:t>
      </w:r>
      <w:r>
        <w:t xml:space="preserve">; </w:t>
      </w:r>
      <w:r w:rsidRPr="00154482">
        <w:t xml:space="preserve">2012 </w:t>
      </w:r>
      <w:r>
        <w:t>(</w:t>
      </w:r>
      <w:r w:rsidRPr="00154482">
        <w:t>4</w:t>
      </w:r>
      <w:r>
        <w:t>)</w:t>
      </w:r>
      <w:r w:rsidRPr="00154482">
        <w:t xml:space="preserve"> SA 593 (SCA)</w:t>
      </w:r>
      <w:bookmarkEnd w:id="3"/>
      <w:r>
        <w:t xml:space="preserve"> para 18.</w:t>
      </w:r>
    </w:p>
  </w:footnote>
  <w:footnote w:id="11">
    <w:p w14:paraId="13A5F017" w14:textId="4E59EBBB" w:rsidR="00764633" w:rsidRPr="00222710" w:rsidRDefault="00764633">
      <w:pPr>
        <w:pStyle w:val="FootnoteText"/>
        <w:rPr>
          <w:lang w:val="en-US"/>
        </w:rPr>
      </w:pPr>
      <w:r>
        <w:rPr>
          <w:rStyle w:val="FootnoteReference"/>
        </w:rPr>
        <w:footnoteRef/>
      </w:r>
      <w:r>
        <w:rPr>
          <w:iCs/>
        </w:rPr>
        <w:t xml:space="preserve"> </w:t>
      </w:r>
      <w:r w:rsidRPr="009B7D4A">
        <w:rPr>
          <w:iCs/>
        </w:rPr>
        <w:t>Ibid para</w:t>
      </w:r>
      <w:r>
        <w:rPr>
          <w:iCs/>
        </w:rPr>
        <w:t>s 18-19</w:t>
      </w:r>
      <w:r w:rsidR="005A2073">
        <w:rPr>
          <w:iCs/>
        </w:rPr>
        <w:t>.</w:t>
      </w:r>
    </w:p>
  </w:footnote>
  <w:footnote w:id="12">
    <w:p w14:paraId="4523A2A6" w14:textId="7F8F6D9D" w:rsidR="00764633" w:rsidRPr="00AE25BD" w:rsidRDefault="00764633">
      <w:pPr>
        <w:pStyle w:val="FootnoteText"/>
        <w:rPr>
          <w:lang w:val="en-US"/>
        </w:rPr>
      </w:pPr>
      <w:r w:rsidRPr="00AE25BD">
        <w:rPr>
          <w:rStyle w:val="FootnoteReference"/>
        </w:rPr>
        <w:footnoteRef/>
      </w:r>
      <w:r w:rsidRPr="00AE25BD">
        <w:t xml:space="preserve"> </w:t>
      </w:r>
      <w:r w:rsidRPr="00AE25BD">
        <w:rPr>
          <w:i/>
        </w:rPr>
        <w:t>Cool Ideas 1186 CC v Hubbard</w:t>
      </w:r>
      <w:r>
        <w:rPr>
          <w:i/>
        </w:rPr>
        <w:t xml:space="preserve"> </w:t>
      </w:r>
      <w:r w:rsidRPr="003A73A2">
        <w:rPr>
          <w:iCs/>
        </w:rPr>
        <w:t>[2014] ZACC 16; 2014</w:t>
      </w:r>
      <w:r>
        <w:rPr>
          <w:iCs/>
        </w:rPr>
        <w:t xml:space="preserve"> </w:t>
      </w:r>
      <w:r w:rsidRPr="003A73A2">
        <w:rPr>
          <w:iCs/>
        </w:rPr>
        <w:t>(4) SA 474 (CC</w:t>
      </w:r>
      <w:r w:rsidRPr="00154482">
        <w:rPr>
          <w:iCs/>
        </w:rPr>
        <w:t>)</w:t>
      </w:r>
      <w:r w:rsidRPr="00200483">
        <w:rPr>
          <w:iCs/>
        </w:rPr>
        <w:t>; 2014 (8) BCLR 869 (CC)</w:t>
      </w:r>
      <w:r w:rsidRPr="00AE25BD">
        <w:t xml:space="preserve"> para 28</w:t>
      </w:r>
      <w:r>
        <w:t>.</w:t>
      </w:r>
    </w:p>
  </w:footnote>
  <w:footnote w:id="13">
    <w:p w14:paraId="55712811" w14:textId="3C6D1D64" w:rsidR="00764633" w:rsidRPr="009B7D4A" w:rsidRDefault="00764633" w:rsidP="00B87B2C">
      <w:pPr>
        <w:pStyle w:val="FootnoteText"/>
        <w:jc w:val="both"/>
        <w:rPr>
          <w:lang w:val="en-US"/>
        </w:rPr>
      </w:pPr>
      <w:r>
        <w:rPr>
          <w:rStyle w:val="FootnoteReference"/>
        </w:rPr>
        <w:footnoteRef/>
      </w:r>
      <w:r>
        <w:t xml:space="preserve"> </w:t>
      </w:r>
      <w:r w:rsidRPr="00661FD0">
        <w:rPr>
          <w:i/>
          <w:iCs/>
          <w:lang w:val="en-ZA"/>
        </w:rPr>
        <w:t>Medihelp Medical Scheme v Registrar For Medical Schemes and Another</w:t>
      </w:r>
      <w:r w:rsidRPr="00661FD0">
        <w:rPr>
          <w:lang w:val="en-ZA"/>
        </w:rPr>
        <w:t xml:space="preserve"> [2020] ZAFST 88</w:t>
      </w:r>
      <w:r>
        <w:rPr>
          <w:lang w:val="en-ZA"/>
        </w:rPr>
        <w:t xml:space="preserve"> para 10.</w:t>
      </w:r>
    </w:p>
  </w:footnote>
  <w:footnote w:id="14">
    <w:p w14:paraId="07099286" w14:textId="552BD67C" w:rsidR="00764633" w:rsidRPr="005E7762" w:rsidRDefault="00764633">
      <w:pPr>
        <w:pStyle w:val="FootnoteText"/>
        <w:rPr>
          <w:lang w:val="en-US"/>
        </w:rPr>
      </w:pPr>
      <w:r>
        <w:rPr>
          <w:rStyle w:val="FootnoteReference"/>
        </w:rPr>
        <w:footnoteRef/>
      </w:r>
      <w:r>
        <w:t xml:space="preserve"> Op cit fn 1.</w:t>
      </w:r>
    </w:p>
  </w:footnote>
  <w:footnote w:id="15">
    <w:p w14:paraId="1291FCC3" w14:textId="33F82245" w:rsidR="00764633" w:rsidRDefault="00764633" w:rsidP="008905AA">
      <w:pPr>
        <w:pStyle w:val="FootnoteText"/>
        <w:jc w:val="both"/>
      </w:pPr>
      <w:r w:rsidRPr="00E6610C">
        <w:rPr>
          <w:rStyle w:val="FootnoteReference"/>
          <w:i/>
        </w:rPr>
        <w:footnoteRef/>
      </w:r>
      <w:r w:rsidRPr="00E6610C">
        <w:t>Which translates to:</w:t>
      </w:r>
    </w:p>
    <w:p w14:paraId="6812B66C" w14:textId="1A4423D8" w:rsidR="00764633" w:rsidRPr="00466949" w:rsidRDefault="00764633" w:rsidP="00466949">
      <w:pPr>
        <w:pStyle w:val="FootnoteText"/>
        <w:jc w:val="both"/>
      </w:pPr>
      <w:r w:rsidRPr="003214C1">
        <w:rPr>
          <w:shd w:val="clear" w:color="auto" w:fill="FFFFFF"/>
        </w:rPr>
        <w:t>‘if</w:t>
      </w:r>
      <w:r w:rsidRPr="00466949">
        <w:rPr>
          <w:shd w:val="clear" w:color="auto" w:fill="FFFFFF"/>
        </w:rPr>
        <w:t xml:space="preserve"> the principal thing is prohibited or permitted, the accessory thing is likewise prohibited or permitted’.</w:t>
      </w:r>
    </w:p>
  </w:footnote>
  <w:footnote w:id="16">
    <w:p w14:paraId="21A1E064" w14:textId="51477147" w:rsidR="00764633" w:rsidRPr="005B47EB" w:rsidRDefault="00764633" w:rsidP="00466949">
      <w:pPr>
        <w:pStyle w:val="FootnoteText"/>
        <w:jc w:val="both"/>
        <w:rPr>
          <w:lang w:val="en-ZA"/>
        </w:rPr>
      </w:pPr>
      <w:r w:rsidRPr="00E6610C">
        <w:rPr>
          <w:rStyle w:val="FootnoteReference"/>
        </w:rPr>
        <w:footnoteRef/>
      </w:r>
      <w:r w:rsidRPr="00E6610C">
        <w:t xml:space="preserve"> </w:t>
      </w:r>
      <w:r w:rsidRPr="00E6610C">
        <w:rPr>
          <w:i/>
        </w:rPr>
        <w:t>AmaBhungane Centre for Investigative Journalism NPC and Another v Minister of Justice and Correctional</w:t>
      </w:r>
      <w:r w:rsidRPr="005B47EB">
        <w:rPr>
          <w:i/>
        </w:rPr>
        <w:t xml:space="preserve"> Services and Others;</w:t>
      </w:r>
      <w:r w:rsidRPr="005B47EB">
        <w:t xml:space="preserve"> </w:t>
      </w:r>
      <w:r w:rsidRPr="005B47EB">
        <w:rPr>
          <w:i/>
        </w:rPr>
        <w:t>Minister of Police v AmaBhungane Centre for Investigative Journalism NPC and Others</w:t>
      </w:r>
      <w:r w:rsidRPr="005B47EB">
        <w:t xml:space="preserve"> </w:t>
      </w:r>
      <w:r w:rsidRPr="00154482">
        <w:t>[2021] ZACC 3</w:t>
      </w:r>
      <w:r>
        <w:t>;</w:t>
      </w:r>
      <w:r w:rsidRPr="00401D88">
        <w:t xml:space="preserve"> 2021 (4) BCLR 349 (CC);</w:t>
      </w:r>
      <w:r>
        <w:t xml:space="preserve"> </w:t>
      </w:r>
      <w:r w:rsidRPr="005B47EB">
        <w:t>2021 (3) SA 246 (CC)</w:t>
      </w:r>
      <w:r>
        <w:t>. (</w:t>
      </w:r>
      <w:r w:rsidRPr="00281AFB">
        <w:rPr>
          <w:i/>
        </w:rPr>
        <w:t>Amabhungane</w:t>
      </w:r>
      <w:r>
        <w:t>).</w:t>
      </w:r>
    </w:p>
  </w:footnote>
  <w:footnote w:id="17">
    <w:p w14:paraId="79D82559" w14:textId="3CD1A42F" w:rsidR="00764633" w:rsidRPr="00154482" w:rsidRDefault="00764633" w:rsidP="008905AA">
      <w:pPr>
        <w:pStyle w:val="FootnoteText"/>
        <w:jc w:val="both"/>
        <w:rPr>
          <w:lang w:val="en-ZA"/>
        </w:rPr>
      </w:pPr>
      <w:r w:rsidRPr="00154482">
        <w:rPr>
          <w:rStyle w:val="FootnoteReference"/>
        </w:rPr>
        <w:footnoteRef/>
      </w:r>
      <w:r w:rsidRPr="00154482">
        <w:t xml:space="preserve"> </w:t>
      </w:r>
      <w:r w:rsidRPr="003A73A2">
        <w:rPr>
          <w:lang w:val="en-ZA"/>
        </w:rPr>
        <w:t>Ibid para</w:t>
      </w:r>
      <w:r>
        <w:rPr>
          <w:lang w:val="en-ZA"/>
        </w:rPr>
        <w:t xml:space="preserve"> 69.</w:t>
      </w:r>
    </w:p>
  </w:footnote>
  <w:footnote w:id="18">
    <w:p w14:paraId="74486619" w14:textId="51946E6C" w:rsidR="00764633" w:rsidRPr="00F21FBA" w:rsidRDefault="00764633" w:rsidP="00466949">
      <w:pPr>
        <w:pStyle w:val="FootnoteText"/>
        <w:jc w:val="both"/>
        <w:rPr>
          <w:lang w:val="en-US"/>
        </w:rPr>
      </w:pPr>
      <w:r>
        <w:rPr>
          <w:rStyle w:val="FootnoteReference"/>
        </w:rPr>
        <w:footnoteRef/>
      </w:r>
      <w:r>
        <w:t xml:space="preserve"> </w:t>
      </w:r>
      <w:r>
        <w:rPr>
          <w:lang w:val="en-US"/>
        </w:rPr>
        <w:t>Ibid paras 63-67.</w:t>
      </w:r>
    </w:p>
  </w:footnote>
  <w:footnote w:id="19">
    <w:p w14:paraId="4318E17B" w14:textId="059F5BD8" w:rsidR="00764633" w:rsidRPr="00F21FBA" w:rsidRDefault="00764633">
      <w:pPr>
        <w:pStyle w:val="FootnoteText"/>
        <w:rPr>
          <w:lang w:val="en-US"/>
        </w:rPr>
      </w:pPr>
      <w:r>
        <w:rPr>
          <w:rStyle w:val="FootnoteReference"/>
        </w:rPr>
        <w:footnoteRef/>
      </w:r>
      <w:r>
        <w:t xml:space="preserve"> </w:t>
      </w:r>
      <w:r>
        <w:rPr>
          <w:lang w:val="en-US"/>
        </w:rPr>
        <w:t>Ibid.</w:t>
      </w:r>
    </w:p>
  </w:footnote>
  <w:footnote w:id="20">
    <w:p w14:paraId="24ACEE59" w14:textId="3617BA7D" w:rsidR="00764633" w:rsidRPr="006E6BFC" w:rsidRDefault="00764633">
      <w:pPr>
        <w:pStyle w:val="FootnoteText"/>
        <w:ind w:left="567" w:hanging="567"/>
        <w:jc w:val="both"/>
      </w:pPr>
      <w:r w:rsidRPr="006E6BFC">
        <w:rPr>
          <w:rStyle w:val="FootnoteReference"/>
        </w:rPr>
        <w:footnoteRef/>
      </w:r>
      <w:r w:rsidRPr="006E6BFC">
        <w:t xml:space="preserve"> Section 7</w:t>
      </w:r>
      <w:r w:rsidRPr="003A73A2">
        <w:rPr>
          <w:i/>
          <w:iCs/>
        </w:rPr>
        <w:t>(a)</w:t>
      </w:r>
      <w:r w:rsidRPr="006E6BFC">
        <w:t xml:space="preserve"> of the Act</w:t>
      </w:r>
      <w:r>
        <w:t>.</w:t>
      </w:r>
    </w:p>
  </w:footnote>
  <w:footnote w:id="21">
    <w:p w14:paraId="194099A9" w14:textId="475A1365" w:rsidR="00764633" w:rsidRPr="006E6BFC" w:rsidRDefault="00764633">
      <w:pPr>
        <w:pStyle w:val="FootnoteText"/>
        <w:ind w:left="567" w:hanging="567"/>
        <w:jc w:val="both"/>
      </w:pPr>
      <w:r w:rsidRPr="006E6BFC">
        <w:rPr>
          <w:rStyle w:val="FootnoteReference"/>
        </w:rPr>
        <w:footnoteRef/>
      </w:r>
      <w:r w:rsidRPr="006E6BFC">
        <w:t xml:space="preserve"> Section 7</w:t>
      </w:r>
      <w:r w:rsidRPr="003A73A2">
        <w:rPr>
          <w:i/>
          <w:iCs/>
        </w:rPr>
        <w:t>(h)</w:t>
      </w:r>
      <w:r w:rsidRPr="006E6BFC">
        <w:t xml:space="preserve"> of the Act</w:t>
      </w:r>
      <w:r>
        <w:t>.</w:t>
      </w:r>
    </w:p>
  </w:footnote>
  <w:footnote w:id="22">
    <w:p w14:paraId="5E53AD41" w14:textId="3FAC8BC9" w:rsidR="00764633" w:rsidRPr="00B87B2C" w:rsidRDefault="00764633">
      <w:pPr>
        <w:pStyle w:val="FootnoteText"/>
        <w:jc w:val="both"/>
      </w:pPr>
      <w:r w:rsidRPr="006E6BFC">
        <w:rPr>
          <w:rStyle w:val="FootnoteReference"/>
        </w:rPr>
        <w:footnoteRef/>
      </w:r>
      <w:r w:rsidRPr="006E6BFC">
        <w:t xml:space="preserve"> </w:t>
      </w:r>
      <w:r>
        <w:rPr>
          <w:iCs/>
        </w:rPr>
        <w:t>Op cit</w:t>
      </w:r>
      <w:r w:rsidRPr="00B87B2C">
        <w:t xml:space="preserve"> fn </w:t>
      </w:r>
      <w:r>
        <w:t>6 and 7.</w:t>
      </w:r>
    </w:p>
  </w:footnote>
  <w:footnote w:id="23">
    <w:p w14:paraId="4B2A6DAE" w14:textId="2DB80176" w:rsidR="00764633" w:rsidRPr="006E6BFC" w:rsidRDefault="00764633">
      <w:pPr>
        <w:pStyle w:val="FootnoteText"/>
        <w:ind w:left="567" w:hanging="567"/>
        <w:jc w:val="both"/>
      </w:pPr>
      <w:r w:rsidRPr="006E6BFC">
        <w:rPr>
          <w:rStyle w:val="FootnoteReference"/>
        </w:rPr>
        <w:footnoteRef/>
      </w:r>
      <w:r w:rsidRPr="006E6BFC">
        <w:t xml:space="preserve"> </w:t>
      </w:r>
      <w:r w:rsidRPr="006E6BFC">
        <w:rPr>
          <w:rFonts w:eastAsia="WenQuanYi Micro Hei"/>
          <w:bdr w:val="nil"/>
          <w:lang w:bidi="hi-IN"/>
        </w:rPr>
        <w:t>Section 8</w:t>
      </w:r>
      <w:r w:rsidRPr="00661FD0">
        <w:rPr>
          <w:rFonts w:eastAsia="WenQuanYi Micro Hei"/>
          <w:i/>
          <w:iCs/>
          <w:bdr w:val="nil"/>
          <w:lang w:bidi="hi-IN"/>
        </w:rPr>
        <w:t>(k)</w:t>
      </w:r>
      <w:r w:rsidRPr="006E6BFC">
        <w:rPr>
          <w:rFonts w:eastAsia="WenQuanYi Micro Hei"/>
          <w:bdr w:val="nil"/>
          <w:lang w:bidi="hi-IN"/>
        </w:rPr>
        <w:t xml:space="preserve"> of the Act</w:t>
      </w:r>
      <w:r>
        <w:rPr>
          <w:rFonts w:eastAsia="WenQuanYi Micro Hei"/>
          <w:bdr w:val="nil"/>
          <w:lang w:bidi="hi-IN"/>
        </w:rPr>
        <w:t>.</w:t>
      </w:r>
    </w:p>
  </w:footnote>
  <w:footnote w:id="24">
    <w:p w14:paraId="5F3C1D43" w14:textId="77777777" w:rsidR="00764633" w:rsidRDefault="00764633" w:rsidP="000174C0">
      <w:pPr>
        <w:pStyle w:val="FootnoteText"/>
        <w:rPr>
          <w:lang w:val="en-US"/>
        </w:rPr>
      </w:pPr>
      <w:r>
        <w:rPr>
          <w:rStyle w:val="FootnoteReference"/>
        </w:rPr>
        <w:footnoteRef/>
      </w:r>
      <w:r>
        <w:t xml:space="preserve"> Op cit fn 11 above.</w:t>
      </w:r>
    </w:p>
  </w:footnote>
  <w:footnote w:id="25">
    <w:p w14:paraId="4328D7B2" w14:textId="0EFF73C4" w:rsidR="00764633" w:rsidRPr="00154482" w:rsidRDefault="00764633" w:rsidP="00B87B2C">
      <w:pPr>
        <w:pStyle w:val="FootnoteText"/>
        <w:jc w:val="both"/>
        <w:rPr>
          <w:lang w:val="en-ZA"/>
        </w:rPr>
      </w:pPr>
      <w:r w:rsidRPr="00154482">
        <w:rPr>
          <w:rStyle w:val="FootnoteReference"/>
        </w:rPr>
        <w:footnoteRef/>
      </w:r>
      <w:r w:rsidRPr="00154482">
        <w:t xml:space="preserve"> </w:t>
      </w:r>
      <w:r w:rsidRPr="003A73A2">
        <w:rPr>
          <w:i/>
          <w:iCs/>
          <w:color w:val="000000"/>
          <w:lang w:val="en-ZA" w:eastAsia="en-GB"/>
        </w:rPr>
        <w:t xml:space="preserve">Bonitas </w:t>
      </w:r>
      <w:r w:rsidRPr="003A73A2">
        <w:rPr>
          <w:color w:val="000000"/>
          <w:lang w:val="en-ZA" w:eastAsia="en-GB"/>
        </w:rPr>
        <w:t xml:space="preserve">para </w:t>
      </w:r>
      <w:r>
        <w:rPr>
          <w:color w:val="000000"/>
          <w:lang w:val="en-ZA" w:eastAsia="en-GB"/>
        </w:rPr>
        <w:t>7</w:t>
      </w:r>
      <w:r w:rsidRPr="003A73A2">
        <w:rPr>
          <w:color w:val="000000"/>
          <w:lang w:val="en-ZA" w:eastAsia="en-GB"/>
        </w:rPr>
        <w:t>.</w:t>
      </w:r>
    </w:p>
  </w:footnote>
  <w:footnote w:id="26">
    <w:p w14:paraId="25D01262" w14:textId="6576A427" w:rsidR="00764633" w:rsidRPr="00B87B2C" w:rsidRDefault="00764633">
      <w:pPr>
        <w:pStyle w:val="FootnoteText"/>
        <w:rPr>
          <w:lang w:val="en-US"/>
        </w:rPr>
      </w:pPr>
      <w:r>
        <w:rPr>
          <w:rStyle w:val="FootnoteReference"/>
        </w:rPr>
        <w:footnoteRef/>
      </w:r>
      <w:r>
        <w:t xml:space="preserve"> </w:t>
      </w:r>
      <w:r w:rsidRPr="00F76365">
        <w:rPr>
          <w:i/>
          <w:lang w:val="en-US"/>
        </w:rPr>
        <w:t xml:space="preserve">Bonitas </w:t>
      </w:r>
      <w:r w:rsidRPr="00B87B2C">
        <w:rPr>
          <w:lang w:val="en-US"/>
        </w:rPr>
        <w:t>para 15.</w:t>
      </w:r>
    </w:p>
  </w:footnote>
  <w:footnote w:id="27">
    <w:p w14:paraId="3BEE00D0" w14:textId="458C190F" w:rsidR="00764633" w:rsidRPr="005D1201" w:rsidRDefault="00764633" w:rsidP="007539DA">
      <w:pPr>
        <w:pStyle w:val="FootnoteText"/>
        <w:jc w:val="both"/>
        <w:rPr>
          <w:lang w:val="en-ZA"/>
        </w:rPr>
      </w:pPr>
      <w:r w:rsidRPr="00820597">
        <w:rPr>
          <w:rStyle w:val="FootnoteReference"/>
        </w:rPr>
        <w:footnoteRef/>
      </w:r>
      <w:r w:rsidRPr="00820597">
        <w:t xml:space="preserve"> </w:t>
      </w:r>
      <w:r w:rsidRPr="00820597">
        <w:rPr>
          <w:i/>
          <w:iCs/>
          <w:lang w:val="en-ZA"/>
        </w:rPr>
        <w:t>Endumeni</w:t>
      </w:r>
      <w:r w:rsidRPr="00820597">
        <w:rPr>
          <w:lang w:val="en-ZA"/>
        </w:rPr>
        <w:t xml:space="preserve"> fn 9 above.</w:t>
      </w:r>
    </w:p>
  </w:footnote>
  <w:footnote w:id="28">
    <w:p w14:paraId="5F117348" w14:textId="39EB693C" w:rsidR="00764633" w:rsidRPr="005D1201" w:rsidRDefault="00764633" w:rsidP="007539DA">
      <w:pPr>
        <w:pStyle w:val="FootnoteText"/>
        <w:jc w:val="both"/>
        <w:rPr>
          <w:lang w:val="en-ZA"/>
        </w:rPr>
      </w:pPr>
      <w:r>
        <w:rPr>
          <w:rStyle w:val="FootnoteReference"/>
        </w:rPr>
        <w:footnoteRef/>
      </w:r>
      <w:r>
        <w:t xml:space="preserve"> </w:t>
      </w:r>
      <w:r>
        <w:rPr>
          <w:i/>
          <w:iCs/>
          <w:lang w:val="en-ZA"/>
        </w:rPr>
        <w:t>Capitec Bank Holdings Limited and Another v Coral Lagoon Investments 94 (Pty) Ltd and Others</w:t>
      </w:r>
      <w:r>
        <w:rPr>
          <w:lang w:val="en-ZA"/>
        </w:rPr>
        <w:t xml:space="preserve"> [2021] ZASCA 99; [2021] 3 All SA 647 (SCA); 2022 (1) SA 100 (SCA) para 25.</w:t>
      </w:r>
    </w:p>
  </w:footnote>
  <w:footnote w:id="29">
    <w:p w14:paraId="230714A5" w14:textId="51934133" w:rsidR="00764633" w:rsidRPr="009C552C" w:rsidRDefault="00764633" w:rsidP="007539DA">
      <w:pPr>
        <w:pStyle w:val="FootnoteText"/>
        <w:jc w:val="both"/>
        <w:rPr>
          <w:lang w:val="en-ZA"/>
        </w:rPr>
      </w:pPr>
      <w:r>
        <w:rPr>
          <w:rStyle w:val="FootnoteReference"/>
        </w:rPr>
        <w:footnoteRef/>
      </w:r>
      <w:r>
        <w:t xml:space="preserve"> </w:t>
      </w:r>
      <w:r>
        <w:rPr>
          <w:i/>
          <w:iCs/>
          <w:lang w:val="en-ZA"/>
        </w:rPr>
        <w:t>Nissan SA (Pty) Limited v Commissioner for Inland Revenue</w:t>
      </w:r>
      <w:r>
        <w:rPr>
          <w:lang w:val="en-ZA"/>
        </w:rPr>
        <w:t xml:space="preserve"> </w:t>
      </w:r>
      <w:r w:rsidRPr="00380B83">
        <w:rPr>
          <w:lang w:val="en-ZA"/>
        </w:rPr>
        <w:t>[1998] ZASCA 59;</w:t>
      </w:r>
      <w:r>
        <w:rPr>
          <w:lang w:val="en-ZA"/>
        </w:rPr>
        <w:t xml:space="preserve"> [1998] 4 All SA 269 (SCA); 1998 (4) SA 860 (SCA) at 870H-I; see also </w:t>
      </w:r>
      <w:r>
        <w:rPr>
          <w:i/>
          <w:iCs/>
          <w:lang w:val="en-ZA"/>
        </w:rPr>
        <w:t>Joosub Ltd v Ismail</w:t>
      </w:r>
      <w:r>
        <w:rPr>
          <w:lang w:val="en-ZA"/>
        </w:rPr>
        <w:t xml:space="preserve"> 1953 (2) SA 461 (A) at 466.</w:t>
      </w:r>
    </w:p>
  </w:footnote>
  <w:footnote w:id="30">
    <w:p w14:paraId="6395A68A" w14:textId="4A0FA8CE" w:rsidR="00764633" w:rsidRPr="001B24B8" w:rsidRDefault="00764633" w:rsidP="005D1201">
      <w:pPr>
        <w:pStyle w:val="FootnoteText"/>
        <w:jc w:val="both"/>
      </w:pPr>
      <w:r w:rsidRPr="00415EE4">
        <w:rPr>
          <w:rStyle w:val="FootnoteReference"/>
        </w:rPr>
        <w:footnoteRef/>
      </w:r>
      <w:r w:rsidRPr="00415EE4">
        <w:t xml:space="preserve"> </w:t>
      </w:r>
      <w:r w:rsidRPr="001B24B8">
        <w:t>The FSR Act</w:t>
      </w:r>
      <w:r>
        <w:t xml:space="preserve"> </w:t>
      </w:r>
      <w:r w:rsidRPr="001B24B8">
        <w:t>came into operation on 1 April 2018.</w:t>
      </w:r>
    </w:p>
  </w:footnote>
  <w:footnote w:id="31">
    <w:p w14:paraId="7F22FB22" w14:textId="77777777" w:rsidR="00764633" w:rsidRPr="001B24B8" w:rsidRDefault="00764633" w:rsidP="005D1201">
      <w:pPr>
        <w:pStyle w:val="FootnoteText"/>
        <w:jc w:val="both"/>
      </w:pPr>
      <w:r w:rsidRPr="001B24B8">
        <w:rPr>
          <w:rStyle w:val="FootnoteReference"/>
        </w:rPr>
        <w:footnoteRef/>
      </w:r>
      <w:r w:rsidRPr="001B24B8">
        <w:t xml:space="preserve"> The Medical Schemes Amendment Act, 55 of 2001 came into operation on 1 March 2002. It is noteworthy that this Amendment Act did not amend s 44(2) and (3) to refer to the 1998 Inspection Act.</w:t>
      </w:r>
    </w:p>
  </w:footnote>
  <w:footnote w:id="32">
    <w:p w14:paraId="7C0942FB" w14:textId="03300F98" w:rsidR="00764633" w:rsidRPr="001B24B8" w:rsidRDefault="00764633" w:rsidP="005D1201">
      <w:pPr>
        <w:pStyle w:val="FootnoteText"/>
        <w:jc w:val="both"/>
      </w:pPr>
      <w:r w:rsidRPr="001B24B8">
        <w:rPr>
          <w:rStyle w:val="FootnoteReference"/>
        </w:rPr>
        <w:footnoteRef/>
      </w:r>
      <w:r w:rsidRPr="001B24B8">
        <w:t xml:space="preserve"> </w:t>
      </w:r>
      <w:r>
        <w:t>Section</w:t>
      </w:r>
      <w:r w:rsidRPr="001B24B8">
        <w:t xml:space="preserve"> 7</w:t>
      </w:r>
      <w:r w:rsidRPr="00E859A7">
        <w:rPr>
          <w:i/>
        </w:rPr>
        <w:t>(a)</w:t>
      </w:r>
      <w:r>
        <w:t xml:space="preserve"> of the Act</w:t>
      </w:r>
      <w:r w:rsidRPr="001B24B8">
        <w:t>.</w:t>
      </w:r>
    </w:p>
  </w:footnote>
  <w:footnote w:id="33">
    <w:p w14:paraId="0A5B8C4D" w14:textId="68ECCC37" w:rsidR="00764633" w:rsidRPr="001B24B8" w:rsidRDefault="00764633" w:rsidP="005D1201">
      <w:pPr>
        <w:pStyle w:val="FootnoteText"/>
        <w:jc w:val="both"/>
      </w:pPr>
      <w:r w:rsidRPr="001B24B8">
        <w:rPr>
          <w:rStyle w:val="FootnoteReference"/>
        </w:rPr>
        <w:footnoteRef/>
      </w:r>
      <w:r w:rsidRPr="001B24B8">
        <w:t xml:space="preserve"> </w:t>
      </w:r>
      <w:r w:rsidRPr="00EC23D3">
        <w:t>Section</w:t>
      </w:r>
      <w:r>
        <w:t xml:space="preserve"> </w:t>
      </w:r>
      <w:r w:rsidRPr="001B24B8">
        <w:t>7</w:t>
      </w:r>
      <w:r w:rsidRPr="00E859A7">
        <w:rPr>
          <w:i/>
        </w:rPr>
        <w:t>(b)</w:t>
      </w:r>
      <w:r>
        <w:t xml:space="preserve"> of the Act</w:t>
      </w:r>
      <w:r w:rsidRPr="001B24B8">
        <w:t>.</w:t>
      </w:r>
    </w:p>
  </w:footnote>
  <w:footnote w:id="34">
    <w:p w14:paraId="752215D9" w14:textId="7DCA59CF" w:rsidR="00764633" w:rsidRPr="001B24B8" w:rsidRDefault="00764633" w:rsidP="005D1201">
      <w:pPr>
        <w:pStyle w:val="FootnoteText"/>
        <w:jc w:val="both"/>
      </w:pPr>
      <w:r w:rsidRPr="001B24B8">
        <w:rPr>
          <w:rStyle w:val="FootnoteReference"/>
        </w:rPr>
        <w:footnoteRef/>
      </w:r>
      <w:r w:rsidRPr="001B24B8">
        <w:t xml:space="preserve"> </w:t>
      </w:r>
      <w:r w:rsidRPr="00EC23D3">
        <w:t>Section</w:t>
      </w:r>
      <w:r w:rsidRPr="001B24B8">
        <w:t xml:space="preserve"> 7</w:t>
      </w:r>
      <w:r w:rsidRPr="00E859A7">
        <w:rPr>
          <w:i/>
        </w:rPr>
        <w:t>(d)</w:t>
      </w:r>
      <w:r>
        <w:t xml:space="preserve"> of the Act</w:t>
      </w:r>
      <w:r w:rsidRPr="001B24B8">
        <w:t>.</w:t>
      </w:r>
    </w:p>
  </w:footnote>
  <w:footnote w:id="35">
    <w:p w14:paraId="37AD28A8" w14:textId="100B6300" w:rsidR="00764633" w:rsidRPr="001B24B8" w:rsidRDefault="00764633" w:rsidP="005D1201">
      <w:pPr>
        <w:pStyle w:val="FootnoteText"/>
        <w:jc w:val="both"/>
      </w:pPr>
      <w:r w:rsidRPr="001B24B8">
        <w:rPr>
          <w:rStyle w:val="FootnoteReference"/>
        </w:rPr>
        <w:footnoteRef/>
      </w:r>
      <w:r w:rsidRPr="001B24B8">
        <w:t xml:space="preserve"> </w:t>
      </w:r>
      <w:r w:rsidRPr="00EC23D3">
        <w:t>Section</w:t>
      </w:r>
      <w:r w:rsidRPr="001B24B8">
        <w:t xml:space="preserve"> 8</w:t>
      </w:r>
      <w:r w:rsidRPr="00E859A7">
        <w:rPr>
          <w:i/>
        </w:rPr>
        <w:t>(f)</w:t>
      </w:r>
      <w:r>
        <w:t xml:space="preserve"> of the Act</w:t>
      </w:r>
      <w:r w:rsidRPr="001B24B8">
        <w:t>.</w:t>
      </w:r>
    </w:p>
  </w:footnote>
  <w:footnote w:id="36">
    <w:p w14:paraId="08FD9492" w14:textId="307DEEAC" w:rsidR="00764633" w:rsidRPr="001B24B8" w:rsidRDefault="00764633" w:rsidP="005D1201">
      <w:pPr>
        <w:pStyle w:val="FootnoteText"/>
        <w:jc w:val="both"/>
      </w:pPr>
      <w:r w:rsidRPr="001B24B8">
        <w:rPr>
          <w:rStyle w:val="FootnoteReference"/>
        </w:rPr>
        <w:footnoteRef/>
      </w:r>
      <w:r w:rsidRPr="001B24B8">
        <w:t xml:space="preserve"> </w:t>
      </w:r>
      <w:r w:rsidRPr="00EC23D3">
        <w:t>Section</w:t>
      </w:r>
      <w:r w:rsidRPr="001B24B8">
        <w:t xml:space="preserve"> 8</w:t>
      </w:r>
      <w:r w:rsidRPr="00E859A7">
        <w:rPr>
          <w:i/>
        </w:rPr>
        <w:t>(k)</w:t>
      </w:r>
      <w:r>
        <w:t xml:space="preserve"> of the Act</w:t>
      </w:r>
      <w:r w:rsidRPr="001B24B8">
        <w:t>.</w:t>
      </w:r>
    </w:p>
  </w:footnote>
  <w:footnote w:id="37">
    <w:p w14:paraId="033948DC" w14:textId="6A3A1366" w:rsidR="00764633" w:rsidRPr="001B24B8" w:rsidRDefault="00764633" w:rsidP="005D1201">
      <w:pPr>
        <w:pStyle w:val="FootnoteText"/>
        <w:jc w:val="both"/>
      </w:pPr>
      <w:r w:rsidRPr="001B24B8">
        <w:rPr>
          <w:rStyle w:val="FootnoteReference"/>
        </w:rPr>
        <w:footnoteRef/>
      </w:r>
      <w:r w:rsidRPr="001B24B8">
        <w:t xml:space="preserve"> The ‘business of a medical scheme’ is defined in s 1 of the A</w:t>
      </w:r>
      <w:r>
        <w:t>ct</w:t>
      </w:r>
      <w:r w:rsidRPr="001B24B8">
        <w:t xml:space="preserve"> to mean:</w:t>
      </w:r>
    </w:p>
    <w:p w14:paraId="47ACCCA7" w14:textId="77777777" w:rsidR="00764633" w:rsidRPr="001B24B8" w:rsidRDefault="00764633" w:rsidP="005D1201">
      <w:pPr>
        <w:pStyle w:val="FootnoteText"/>
        <w:jc w:val="both"/>
      </w:pPr>
      <w:r w:rsidRPr="001B24B8">
        <w:t>‘the business of undertaking, in return for a premium or contribution, the liability associated with one or more of the following activities:</w:t>
      </w:r>
    </w:p>
    <w:p w14:paraId="4B340D5E" w14:textId="77777777" w:rsidR="00764633" w:rsidRPr="001B24B8" w:rsidRDefault="00764633" w:rsidP="005D1201">
      <w:pPr>
        <w:pStyle w:val="FootnoteText"/>
        <w:jc w:val="both"/>
      </w:pPr>
      <w:r w:rsidRPr="001B24B8">
        <w:t>(</w:t>
      </w:r>
      <w:r w:rsidRPr="001B24B8">
        <w:rPr>
          <w:i/>
          <w:iCs/>
        </w:rPr>
        <w:t>a</w:t>
      </w:r>
      <w:r w:rsidRPr="001B24B8">
        <w:t>) Providing for the obtaining of any relevant health service;</w:t>
      </w:r>
    </w:p>
    <w:p w14:paraId="26F1B2CE" w14:textId="77777777" w:rsidR="00764633" w:rsidRPr="001B24B8" w:rsidRDefault="00764633" w:rsidP="005D1201">
      <w:pPr>
        <w:pStyle w:val="FootnoteText"/>
        <w:jc w:val="both"/>
      </w:pPr>
      <w:r w:rsidRPr="001B24B8">
        <w:t>(</w:t>
      </w:r>
      <w:r w:rsidRPr="001B24B8">
        <w:rPr>
          <w:i/>
          <w:iCs/>
        </w:rPr>
        <w:t>b</w:t>
      </w:r>
      <w:r w:rsidRPr="001B24B8">
        <w:t>) granting assistance in defraying expenditure incurred in connection with the rendering of any relevant health service; or</w:t>
      </w:r>
    </w:p>
    <w:p w14:paraId="47203432" w14:textId="13846A46" w:rsidR="00764633" w:rsidRPr="001B24B8" w:rsidRDefault="00764633" w:rsidP="005D1201">
      <w:pPr>
        <w:pStyle w:val="FootnoteText"/>
        <w:jc w:val="both"/>
      </w:pPr>
      <w:r w:rsidRPr="001B24B8">
        <w:t>(</w:t>
      </w:r>
      <w:r w:rsidRPr="001B24B8">
        <w:rPr>
          <w:i/>
          <w:iCs/>
        </w:rPr>
        <w:t>c</w:t>
      </w:r>
      <w:r w:rsidRPr="001B24B8">
        <w:t>) rendering a relevant health service, either by the medical scheme itself, or by any supplier or group of suppliers of a relevant health service or by any person, in association with or in terms of an agreement with a medical scheme.’</w:t>
      </w:r>
    </w:p>
  </w:footnote>
  <w:footnote w:id="38">
    <w:p w14:paraId="397F3B1B" w14:textId="77777777" w:rsidR="00764633" w:rsidRPr="001B24B8" w:rsidRDefault="00764633" w:rsidP="005D1201">
      <w:pPr>
        <w:pStyle w:val="FootnoteText"/>
        <w:jc w:val="both"/>
      </w:pPr>
      <w:r w:rsidRPr="001B24B8">
        <w:rPr>
          <w:rStyle w:val="FootnoteReference"/>
        </w:rPr>
        <w:footnoteRef/>
      </w:r>
      <w:r w:rsidRPr="001B24B8">
        <w:t xml:space="preserve"> Section 43 provides that:</w:t>
      </w:r>
    </w:p>
    <w:p w14:paraId="610B4596" w14:textId="77777777" w:rsidR="00764633" w:rsidRPr="001B24B8" w:rsidRDefault="00764633" w:rsidP="005D1201">
      <w:pPr>
        <w:pStyle w:val="FootnoteText"/>
        <w:jc w:val="both"/>
      </w:pPr>
      <w:r w:rsidRPr="001B24B8">
        <w:t>‘The Registrar may address enquiries to a medical scheme in relation to any matter connected with the business or transactions of the medical scheme, and the medical scheme shall reply in writing thereto within a period of 30 days as from the date on which the Registrar addressed the enquiry to it, or within such other period as the Registrar may specify.’</w:t>
      </w:r>
    </w:p>
  </w:footnote>
  <w:footnote w:id="39">
    <w:p w14:paraId="08796FFA" w14:textId="77777777" w:rsidR="00764633" w:rsidRPr="001B24B8" w:rsidRDefault="00764633" w:rsidP="005D1201">
      <w:pPr>
        <w:pStyle w:val="FootnoteText"/>
        <w:jc w:val="both"/>
      </w:pPr>
      <w:r w:rsidRPr="001B24B8">
        <w:rPr>
          <w:rStyle w:val="FootnoteReference"/>
        </w:rPr>
        <w:footnoteRef/>
      </w:r>
      <w:r w:rsidRPr="001B24B8">
        <w:t xml:space="preserve"> I have emphasised certain phrases which appear in the section for purposes of the discussion to follow.</w:t>
      </w:r>
    </w:p>
  </w:footnote>
  <w:footnote w:id="40">
    <w:p w14:paraId="35C96D30" w14:textId="12FD3187" w:rsidR="00764633" w:rsidRPr="001B24B8" w:rsidRDefault="00764633" w:rsidP="005D1201">
      <w:pPr>
        <w:pStyle w:val="FootnoteText"/>
        <w:jc w:val="both"/>
      </w:pPr>
      <w:r w:rsidRPr="001B24B8">
        <w:rPr>
          <w:rStyle w:val="FootnoteReference"/>
        </w:rPr>
        <w:footnoteRef/>
      </w:r>
      <w:r w:rsidRPr="001B24B8">
        <w:t xml:space="preserve"> </w:t>
      </w:r>
      <w:r w:rsidRPr="001B24B8">
        <w:rPr>
          <w:i/>
          <w:iCs/>
          <w:color w:val="000000"/>
          <w:lang w:eastAsia="en-GB"/>
        </w:rPr>
        <w:t>Bonitas</w:t>
      </w:r>
      <w:r>
        <w:rPr>
          <w:i/>
          <w:iCs/>
          <w:color w:val="000000"/>
          <w:lang w:eastAsia="en-GB"/>
        </w:rPr>
        <w:t xml:space="preserve"> </w:t>
      </w:r>
      <w:r w:rsidRPr="001B24B8">
        <w:rPr>
          <w:color w:val="000000"/>
          <w:lang w:eastAsia="en-GB"/>
        </w:rPr>
        <w:t>para 14.</w:t>
      </w:r>
    </w:p>
  </w:footnote>
  <w:footnote w:id="41">
    <w:p w14:paraId="0B6E9A17" w14:textId="75B0658E" w:rsidR="00764633" w:rsidRPr="001B24B8" w:rsidRDefault="00764633" w:rsidP="005D1201">
      <w:pPr>
        <w:pStyle w:val="FootnoteText"/>
        <w:jc w:val="both"/>
      </w:pPr>
      <w:r w:rsidRPr="001B24B8">
        <w:rPr>
          <w:rStyle w:val="FootnoteReference"/>
        </w:rPr>
        <w:footnoteRef/>
      </w:r>
      <w:r w:rsidRPr="001B24B8">
        <w:t xml:space="preserve"> Section 3 of the 1998 Inspection Act dealt with the power to inspect institutions (for which read medical scheme in light of the definition of a financial institution contained in the Act). It read</w:t>
      </w:r>
      <w:r>
        <w:t>s</w:t>
      </w:r>
      <w:r w:rsidRPr="001B24B8">
        <w:t>:</w:t>
      </w:r>
    </w:p>
    <w:p w14:paraId="2D1A1B0E" w14:textId="14894B51" w:rsidR="00764633" w:rsidRPr="001B24B8" w:rsidRDefault="00764633" w:rsidP="005D1201">
      <w:pPr>
        <w:pStyle w:val="FootnoteText"/>
        <w:jc w:val="both"/>
      </w:pPr>
      <w:r w:rsidRPr="00850C6F">
        <w:t>‘</w:t>
      </w:r>
      <w:r w:rsidRPr="00E859A7">
        <w:t>3(</w:t>
      </w:r>
      <w:r w:rsidRPr="00850C6F">
        <w:t>1</w:t>
      </w:r>
      <w:r w:rsidRPr="001B24B8">
        <w:t>)</w:t>
      </w:r>
      <w:r>
        <w:t xml:space="preserve"> </w:t>
      </w:r>
      <w:r w:rsidRPr="001B24B8">
        <w:t xml:space="preserve">The registrar may at any time instruct an inspector to carry out </w:t>
      </w:r>
      <w:r w:rsidRPr="001B24B8">
        <w:rPr>
          <w:i/>
          <w:iCs/>
        </w:rPr>
        <w:t>an inspection of the affairs</w:t>
      </w:r>
      <w:r w:rsidRPr="001B24B8">
        <w:t>, or any part of the affairs, of a financial institution or associated institution.</w:t>
      </w:r>
    </w:p>
    <w:p w14:paraId="5D8CB27D" w14:textId="1661CBC8" w:rsidR="00764633" w:rsidRPr="001B24B8" w:rsidRDefault="00764633" w:rsidP="005D1201">
      <w:pPr>
        <w:pStyle w:val="FootnoteText"/>
        <w:jc w:val="both"/>
      </w:pPr>
      <w:r w:rsidRPr="001B24B8">
        <w:t>(2)</w:t>
      </w:r>
      <w:r>
        <w:t xml:space="preserve"> </w:t>
      </w:r>
      <w:r w:rsidRPr="001B24B8">
        <w:t xml:space="preserve">If the registrar has reason to believe that a person, partnership, company or trust which is not registered or approved as a financial institution, is carrying on the business of a financial institution, he or she may instruct an inspector </w:t>
      </w:r>
      <w:r w:rsidRPr="001B24B8">
        <w:rPr>
          <w:i/>
          <w:iCs/>
        </w:rPr>
        <w:t>to inspect the affairs, or any part of the affairs</w:t>
      </w:r>
      <w:r w:rsidRPr="001B24B8">
        <w:t>, of such a person, partnership, company or trust.’</w:t>
      </w:r>
    </w:p>
    <w:p w14:paraId="79A84D68" w14:textId="77777777" w:rsidR="00764633" w:rsidRPr="001B24B8" w:rsidRDefault="00764633" w:rsidP="005D1201">
      <w:pPr>
        <w:pStyle w:val="FootnoteText"/>
        <w:contextualSpacing/>
        <w:jc w:val="both"/>
      </w:pPr>
      <w:r w:rsidRPr="001B24B8">
        <w:t>Section 4 provided for the powers of the inspector in relation to institutions. Subsection (1) qualified the exercise of the powers as follows:</w:t>
      </w:r>
    </w:p>
    <w:p w14:paraId="48AE937B" w14:textId="0AECBB94" w:rsidR="00764633" w:rsidRPr="001B24B8" w:rsidRDefault="00764633" w:rsidP="005D1201">
      <w:pPr>
        <w:pStyle w:val="FootnoteText"/>
        <w:contextualSpacing/>
        <w:jc w:val="both"/>
      </w:pPr>
      <w:r w:rsidRPr="001B24B8">
        <w:t>‘(1)</w:t>
      </w:r>
      <w:r>
        <w:t xml:space="preserve"> </w:t>
      </w:r>
      <w:r w:rsidRPr="001B24B8">
        <w:t xml:space="preserve">In carrying out </w:t>
      </w:r>
      <w:r w:rsidRPr="001B24B8">
        <w:rPr>
          <w:i/>
          <w:iCs/>
        </w:rPr>
        <w:t>an inspection of the affairs of an institution</w:t>
      </w:r>
      <w:r w:rsidRPr="001B24B8">
        <w:t xml:space="preserve"> under section 3 or 3A an inspector may—</w:t>
      </w:r>
      <w:r>
        <w:t>. . .</w:t>
      </w:r>
      <w:r w:rsidRPr="001B24B8">
        <w:t>’</w:t>
      </w:r>
    </w:p>
    <w:p w14:paraId="6C5CA388" w14:textId="77777777" w:rsidR="00764633" w:rsidRPr="001B24B8" w:rsidRDefault="00764633" w:rsidP="005D1201">
      <w:pPr>
        <w:pStyle w:val="FootnoteText"/>
        <w:contextualSpacing/>
        <w:jc w:val="both"/>
      </w:pPr>
    </w:p>
    <w:p w14:paraId="38FA8E0B" w14:textId="77777777" w:rsidR="00764633" w:rsidRPr="001B24B8" w:rsidRDefault="00764633" w:rsidP="005D1201">
      <w:pPr>
        <w:pStyle w:val="FootnoteText"/>
        <w:contextualSpacing/>
        <w:jc w:val="both"/>
      </w:pPr>
    </w:p>
    <w:p w14:paraId="7F281CBA" w14:textId="77777777" w:rsidR="00764633" w:rsidRPr="001B24B8" w:rsidRDefault="00764633" w:rsidP="00306539">
      <w:pPr>
        <w:pStyle w:val="FootnoteText"/>
        <w:contextualSpacing/>
        <w:jc w:val="both"/>
      </w:pPr>
    </w:p>
  </w:footnote>
  <w:footnote w:id="42">
    <w:p w14:paraId="40E2F884" w14:textId="3423D539" w:rsidR="00764633" w:rsidRPr="001B24B8" w:rsidRDefault="00764633" w:rsidP="00306539">
      <w:pPr>
        <w:pStyle w:val="FootnoteText"/>
        <w:contextualSpacing/>
        <w:jc w:val="both"/>
      </w:pPr>
      <w:r w:rsidRPr="001B24B8">
        <w:rPr>
          <w:rStyle w:val="FootnoteReference"/>
        </w:rPr>
        <w:footnoteRef/>
      </w:r>
      <w:r w:rsidRPr="001B24B8">
        <w:t xml:space="preserve"> See para 5</w:t>
      </w:r>
      <w:r>
        <w:t>7</w:t>
      </w:r>
      <w:r w:rsidRPr="001B24B8">
        <w:t xml:space="preserve"> and fn </w:t>
      </w:r>
      <w:r>
        <w:t xml:space="preserve">30 </w:t>
      </w:r>
      <w:r w:rsidRPr="001B24B8">
        <w:t>above.</w:t>
      </w:r>
    </w:p>
  </w:footnote>
  <w:footnote w:id="43">
    <w:p w14:paraId="0CE42E28" w14:textId="36E4C933" w:rsidR="00764633" w:rsidRDefault="00764633" w:rsidP="005D1201">
      <w:pPr>
        <w:pStyle w:val="FootnoteText"/>
        <w:jc w:val="both"/>
      </w:pPr>
      <w:r w:rsidRPr="00E6610C">
        <w:rPr>
          <w:rStyle w:val="FootnoteReference"/>
        </w:rPr>
        <w:footnoteRef/>
      </w:r>
      <w:r w:rsidRPr="00E6610C">
        <w:t xml:space="preserve"> The Long Title states, </w:t>
      </w:r>
      <w:r w:rsidRPr="00E6610C">
        <w:rPr>
          <w:i/>
        </w:rPr>
        <w:t>inter alia</w:t>
      </w:r>
      <w:r w:rsidRPr="00E6610C">
        <w:t>, that it seeks</w:t>
      </w:r>
      <w:r>
        <w:t>:</w:t>
      </w:r>
    </w:p>
    <w:p w14:paraId="5E64BDFD" w14:textId="04ACA19C" w:rsidR="00764633" w:rsidRPr="001B24B8" w:rsidRDefault="00764633" w:rsidP="005D1201">
      <w:pPr>
        <w:pStyle w:val="FootnoteText"/>
        <w:jc w:val="both"/>
      </w:pPr>
      <w:r w:rsidRPr="00E6610C">
        <w:rPr>
          <w:shd w:val="clear" w:color="auto" w:fill="FFFFFF"/>
        </w:rPr>
        <w:t>‘</w:t>
      </w:r>
      <w:r>
        <w:rPr>
          <w:shd w:val="clear" w:color="auto" w:fill="FFFFFF"/>
        </w:rPr>
        <w:t xml:space="preserve">. . . </w:t>
      </w:r>
      <w:r w:rsidRPr="00E6610C">
        <w:rPr>
          <w:shd w:val="clear" w:color="auto" w:fill="FFFFFF"/>
        </w:rPr>
        <w:t>to establish a system of financial regulation by establishing the</w:t>
      </w:r>
      <w:r>
        <w:rPr>
          <w:shd w:val="clear" w:color="auto" w:fill="FFFFFF"/>
        </w:rPr>
        <w:t xml:space="preserve"> Prudential Authority and the Financial Sector Conduct Authority, and conferring powers on these entities; . . . to regulate and supervise financial product providers and financial services providers; . . . to make comprehensive provision for powers to gather information and to conduct supervisory on-site inspections and investigations; [and] to provide for information sharing arrangements. . .’</w:t>
      </w:r>
      <w:r w:rsidRPr="001B24B8">
        <w:t>.</w:t>
      </w:r>
    </w:p>
  </w:footnote>
  <w:footnote w:id="44">
    <w:p w14:paraId="59D96B2D" w14:textId="6DC0A06E" w:rsidR="00764633" w:rsidRPr="001B24B8" w:rsidRDefault="00764633" w:rsidP="005D1201">
      <w:pPr>
        <w:pStyle w:val="FootnoteText"/>
        <w:jc w:val="both"/>
      </w:pPr>
      <w:r w:rsidRPr="001B24B8">
        <w:rPr>
          <w:rStyle w:val="FootnoteReference"/>
        </w:rPr>
        <w:footnoteRef/>
      </w:r>
      <w:r w:rsidRPr="001B24B8">
        <w:t xml:space="preserve"> </w:t>
      </w:r>
      <w:r>
        <w:t>Sections</w:t>
      </w:r>
      <w:r w:rsidRPr="001B24B8">
        <w:t xml:space="preserve"> </w:t>
      </w:r>
      <w:r>
        <w:t>32</w:t>
      </w:r>
      <w:r w:rsidRPr="001B24B8">
        <w:t xml:space="preserve"> and </w:t>
      </w:r>
      <w:r>
        <w:t xml:space="preserve">56 of the </w:t>
      </w:r>
      <w:r w:rsidRPr="001B24B8">
        <w:t>FSR Act.</w:t>
      </w:r>
    </w:p>
  </w:footnote>
  <w:footnote w:id="45">
    <w:p w14:paraId="59620AF9" w14:textId="455DACDE" w:rsidR="00764633" w:rsidRPr="009C552C" w:rsidRDefault="00764633" w:rsidP="00EA5B7F">
      <w:pPr>
        <w:pStyle w:val="FootnoteText"/>
        <w:rPr>
          <w:lang w:val="en-ZA"/>
        </w:rPr>
      </w:pPr>
      <w:r>
        <w:rPr>
          <w:rStyle w:val="FootnoteReference"/>
        </w:rPr>
        <w:footnoteRef/>
      </w:r>
      <w:r>
        <w:t xml:space="preserve"> </w:t>
      </w:r>
      <w:r w:rsidRPr="009C552C">
        <w:rPr>
          <w:i/>
          <w:iCs/>
          <w:lang w:val="en-ZA"/>
        </w:rPr>
        <w:t>Ex parte Glavonic</w:t>
      </w:r>
      <w:r w:rsidRPr="009C552C">
        <w:rPr>
          <w:lang w:val="en-ZA"/>
        </w:rPr>
        <w:t xml:space="preserve"> 1967 (4) SA 141 (N) at 14</w:t>
      </w:r>
      <w:r>
        <w:rPr>
          <w:lang w:val="en-ZA"/>
        </w:rPr>
        <w:t>2H.</w:t>
      </w:r>
    </w:p>
  </w:footnote>
  <w:footnote w:id="46">
    <w:p w14:paraId="0A7D01ED" w14:textId="60B44C21" w:rsidR="00764633" w:rsidRPr="009C552C" w:rsidRDefault="00764633" w:rsidP="00EA5B7F">
      <w:pPr>
        <w:pStyle w:val="FootnoteText"/>
        <w:rPr>
          <w:lang w:val="en-ZA"/>
        </w:rPr>
      </w:pPr>
      <w:r>
        <w:rPr>
          <w:rStyle w:val="FootnoteReference"/>
        </w:rPr>
        <w:footnoteRef/>
      </w:r>
      <w:r>
        <w:t xml:space="preserve"> </w:t>
      </w:r>
      <w:r>
        <w:rPr>
          <w:i/>
          <w:iCs/>
          <w:lang w:val="en-ZA"/>
        </w:rPr>
        <w:t>Berman Brothers (Pty) Ltd v Sodastream (Pty) Ltd</w:t>
      </w:r>
      <w:r>
        <w:rPr>
          <w:lang w:val="en-ZA"/>
        </w:rPr>
        <w:t xml:space="preserve"> </w:t>
      </w:r>
      <w:r w:rsidRPr="009004BD">
        <w:rPr>
          <w:lang w:val="en-ZA"/>
        </w:rPr>
        <w:t>[1986] ZASCA 27; [1986] 2 All SA 252 (A)</w:t>
      </w:r>
      <w:r>
        <w:rPr>
          <w:lang w:val="en-ZA"/>
        </w:rPr>
        <w:t>;</w:t>
      </w:r>
      <w:r w:rsidRPr="009004BD">
        <w:rPr>
          <w:lang w:val="en-ZA"/>
        </w:rPr>
        <w:t xml:space="preserve"> </w:t>
      </w:r>
      <w:r>
        <w:rPr>
          <w:lang w:val="en-ZA"/>
        </w:rPr>
        <w:t>1986 (3) SA 209 (A) at 240.</w:t>
      </w:r>
    </w:p>
  </w:footnote>
  <w:footnote w:id="47">
    <w:p w14:paraId="04F17624" w14:textId="3AF10741" w:rsidR="00764633" w:rsidRPr="001B24B8" w:rsidRDefault="00764633" w:rsidP="00D065F9">
      <w:pPr>
        <w:pStyle w:val="FootnoteText"/>
        <w:jc w:val="both"/>
      </w:pPr>
      <w:r w:rsidRPr="001B24B8">
        <w:rPr>
          <w:rStyle w:val="FootnoteReference"/>
        </w:rPr>
        <w:footnoteRef/>
      </w:r>
      <w:r w:rsidRPr="001B24B8">
        <w:t xml:space="preserve"> </w:t>
      </w:r>
      <w:r>
        <w:t>Section</w:t>
      </w:r>
      <w:r w:rsidRPr="001B24B8">
        <w:t xml:space="preserve"> 129(3)</w:t>
      </w:r>
      <w:r w:rsidRPr="00E859A7">
        <w:rPr>
          <w:i/>
        </w:rPr>
        <w:t>(</w:t>
      </w:r>
      <w:r w:rsidRPr="00850C6F">
        <w:rPr>
          <w:i/>
          <w:iCs/>
        </w:rPr>
        <w:t>a</w:t>
      </w:r>
      <w:r w:rsidRPr="00E859A7">
        <w:rPr>
          <w:i/>
        </w:rPr>
        <w:t>)</w:t>
      </w:r>
      <w:r>
        <w:t xml:space="preserve"> of the </w:t>
      </w:r>
      <w:r w:rsidRPr="001B24B8">
        <w:t>FSR Act</w:t>
      </w:r>
      <w:r>
        <w:t>.</w:t>
      </w:r>
    </w:p>
  </w:footnote>
  <w:footnote w:id="48">
    <w:p w14:paraId="3E4DFFEC" w14:textId="4BB01976" w:rsidR="00764633" w:rsidRPr="001B24B8" w:rsidRDefault="00764633" w:rsidP="005D1201">
      <w:pPr>
        <w:pStyle w:val="FootnoteText"/>
        <w:jc w:val="both"/>
      </w:pPr>
      <w:r w:rsidRPr="001B24B8">
        <w:rPr>
          <w:rStyle w:val="FootnoteReference"/>
        </w:rPr>
        <w:footnoteRef/>
      </w:r>
      <w:r w:rsidRPr="001B24B8">
        <w:t xml:space="preserve"> </w:t>
      </w:r>
      <w:r>
        <w:t>Section</w:t>
      </w:r>
      <w:r w:rsidRPr="001B24B8">
        <w:t xml:space="preserve"> 129(3)</w:t>
      </w:r>
      <w:r w:rsidRPr="00E859A7">
        <w:rPr>
          <w:i/>
        </w:rPr>
        <w:t>(</w:t>
      </w:r>
      <w:r w:rsidRPr="00850C6F">
        <w:rPr>
          <w:i/>
          <w:iCs/>
        </w:rPr>
        <w:t>c</w:t>
      </w:r>
      <w:r w:rsidRPr="00E859A7">
        <w:rPr>
          <w:i/>
        </w:rPr>
        <w:t xml:space="preserve">) </w:t>
      </w:r>
      <w:r>
        <w:t>of the FSR Act</w:t>
      </w:r>
      <w:r w:rsidRPr="001B24B8">
        <w:t>.</w:t>
      </w:r>
    </w:p>
  </w:footnote>
  <w:footnote w:id="49">
    <w:p w14:paraId="515FC717" w14:textId="3DCD9D55" w:rsidR="00764633" w:rsidRPr="001B24B8" w:rsidRDefault="00764633" w:rsidP="005D1201">
      <w:pPr>
        <w:pStyle w:val="FootnoteText"/>
        <w:jc w:val="both"/>
      </w:pPr>
      <w:r w:rsidRPr="001B24B8">
        <w:rPr>
          <w:rStyle w:val="FootnoteReference"/>
        </w:rPr>
        <w:footnoteRef/>
      </w:r>
      <w:r w:rsidRPr="001B24B8">
        <w:t xml:space="preserve"> </w:t>
      </w:r>
      <w:r>
        <w:t>Section</w:t>
      </w:r>
      <w:r w:rsidRPr="001B24B8">
        <w:t xml:space="preserve"> 132(2)</w:t>
      </w:r>
      <w:r w:rsidRPr="00E859A7">
        <w:rPr>
          <w:i/>
        </w:rPr>
        <w:t>(</w:t>
      </w:r>
      <w:r w:rsidRPr="00850C6F">
        <w:rPr>
          <w:i/>
          <w:iCs/>
        </w:rPr>
        <w:t>a</w:t>
      </w:r>
      <w:r w:rsidRPr="00E859A7">
        <w:rPr>
          <w:i/>
        </w:rPr>
        <w:t xml:space="preserve">) </w:t>
      </w:r>
      <w:r>
        <w:t>of the FSR Act</w:t>
      </w:r>
      <w:r w:rsidRPr="001B24B8">
        <w:t>.</w:t>
      </w:r>
    </w:p>
  </w:footnote>
  <w:footnote w:id="50">
    <w:p w14:paraId="0BEF5142" w14:textId="1063C58F" w:rsidR="00764633" w:rsidRPr="00E859A7" w:rsidRDefault="00764633" w:rsidP="00E859A7">
      <w:pPr>
        <w:pStyle w:val="FootnoteText"/>
        <w:jc w:val="both"/>
        <w:rPr>
          <w:lang w:val="en-ZA"/>
        </w:rPr>
      </w:pPr>
      <w:r>
        <w:rPr>
          <w:rStyle w:val="FootnoteReference"/>
        </w:rPr>
        <w:footnoteRef/>
      </w:r>
      <w:r>
        <w:t xml:space="preserve"> </w:t>
      </w:r>
      <w:r w:rsidRPr="008276DD">
        <w:rPr>
          <w:i/>
          <w:iCs/>
          <w:lang w:val="en-ZA"/>
        </w:rPr>
        <w:t>Spinnaker Investments (Pty) Ltd v Tongaat Group Limited</w:t>
      </w:r>
      <w:r>
        <w:rPr>
          <w:i/>
          <w:iCs/>
          <w:lang w:val="en-ZA"/>
        </w:rPr>
        <w:t xml:space="preserve"> </w:t>
      </w:r>
      <w:r w:rsidRPr="00E859A7">
        <w:rPr>
          <w:iCs/>
          <w:lang w:val="en-ZA"/>
        </w:rPr>
        <w:t>1982 (1) SA 65 (A)</w:t>
      </w:r>
      <w:r>
        <w:rPr>
          <w:iCs/>
          <w:lang w:val="en-ZA"/>
        </w:rPr>
        <w:t xml:space="preserve"> at 75G-H.</w:t>
      </w:r>
    </w:p>
  </w:footnote>
  <w:footnote w:id="51">
    <w:p w14:paraId="6265ACB2" w14:textId="3E642FBE" w:rsidR="00764633" w:rsidRPr="001B24B8" w:rsidRDefault="00764633" w:rsidP="00E8729E">
      <w:pPr>
        <w:pStyle w:val="FootnoteText"/>
        <w:jc w:val="both"/>
      </w:pPr>
      <w:r w:rsidRPr="001B24B8">
        <w:rPr>
          <w:rStyle w:val="FootnoteReference"/>
        </w:rPr>
        <w:footnoteRef/>
      </w:r>
      <w:r w:rsidRPr="001B24B8">
        <w:t xml:space="preserve"> See the definition of the terms ‘advice’</w:t>
      </w:r>
      <w:r>
        <w:t>,</w:t>
      </w:r>
      <w:r w:rsidRPr="001B24B8">
        <w:t xml:space="preserve"> </w:t>
      </w:r>
      <w:r>
        <w:t>‘</w:t>
      </w:r>
      <w:r w:rsidRPr="001B24B8">
        <w:t>financial product’ and ‘intermediary services’ as set out in s 1 of the Financial Advisory and Intermediary Services Act 37 of 2002 (the FAIS Act).</w:t>
      </w:r>
    </w:p>
  </w:footnote>
  <w:footnote w:id="52">
    <w:p w14:paraId="719F25B7" w14:textId="77777777" w:rsidR="00764633" w:rsidRPr="001B24B8" w:rsidRDefault="00764633" w:rsidP="00850C6F">
      <w:pPr>
        <w:pStyle w:val="FootnoteText"/>
        <w:jc w:val="both"/>
      </w:pPr>
      <w:r w:rsidRPr="001B24B8">
        <w:rPr>
          <w:rStyle w:val="FootnoteReference"/>
        </w:rPr>
        <w:footnoteRef/>
      </w:r>
      <w:r w:rsidRPr="001B24B8">
        <w:t xml:space="preserve"> See ss 7 and 8 of the FAIS Act.</w:t>
      </w:r>
    </w:p>
  </w:footnote>
  <w:footnote w:id="53">
    <w:p w14:paraId="0176E3C2" w14:textId="77777777" w:rsidR="00764633" w:rsidRPr="001B24B8" w:rsidRDefault="00764633" w:rsidP="005D1201">
      <w:pPr>
        <w:pStyle w:val="FootnoteText"/>
        <w:jc w:val="both"/>
      </w:pPr>
      <w:r w:rsidRPr="001B24B8">
        <w:rPr>
          <w:rStyle w:val="FootnoteReference"/>
        </w:rPr>
        <w:footnoteRef/>
      </w:r>
      <w:r w:rsidRPr="001B24B8">
        <w:t xml:space="preserve"> See s 15 of the FAIS Act. Section 16, significantly, provides that the published codes must comply with certain principles. One of those is to encapsulate the requirement that the service provider ‘comply with all applicable statutory or common law requirements applicable to the conduct of business’ (s 16(1)</w:t>
      </w:r>
      <w:r w:rsidRPr="00E859A7">
        <w:rPr>
          <w:i/>
        </w:rPr>
        <w:t>(</w:t>
      </w:r>
      <w:r w:rsidRPr="001B24B8">
        <w:rPr>
          <w:i/>
          <w:iCs/>
        </w:rPr>
        <w:t>e</w:t>
      </w:r>
      <w:r w:rsidRPr="00E859A7">
        <w:rPr>
          <w:i/>
        </w:rPr>
        <w:t>)</w:t>
      </w:r>
      <w:r w:rsidRPr="001B24B8">
        <w:t>).</w:t>
      </w:r>
    </w:p>
  </w:footnote>
  <w:footnote w:id="54">
    <w:p w14:paraId="490C29C5" w14:textId="77777777" w:rsidR="00764633" w:rsidRPr="001B24B8" w:rsidRDefault="00764633" w:rsidP="005D1201">
      <w:pPr>
        <w:pStyle w:val="FootnoteText"/>
        <w:jc w:val="both"/>
      </w:pPr>
      <w:r w:rsidRPr="001B24B8">
        <w:rPr>
          <w:rStyle w:val="FootnoteReference"/>
        </w:rPr>
        <w:footnoteRef/>
      </w:r>
      <w:r w:rsidRPr="001B24B8">
        <w:t xml:space="preserve"> See s 58(1)</w:t>
      </w:r>
      <w:r w:rsidRPr="00E859A7">
        <w:rPr>
          <w:i/>
        </w:rPr>
        <w:t>(</w:t>
      </w:r>
      <w:r w:rsidRPr="001B24B8">
        <w:rPr>
          <w:i/>
          <w:iCs/>
        </w:rPr>
        <w:t>a</w:t>
      </w:r>
      <w:r w:rsidRPr="00E859A7">
        <w:rPr>
          <w:i/>
        </w:rPr>
        <w:t>)</w:t>
      </w:r>
      <w:r w:rsidRPr="001B24B8">
        <w:t>, read with s 5 and Schedule 2 of the FAIS Act. The effect is that the FSCA is the regulatory authority responsible for supervisory control of supervised entities which fall under the ambit of the FAIS Act.</w:t>
      </w:r>
    </w:p>
  </w:footnote>
  <w:footnote w:id="55">
    <w:p w14:paraId="72AB4F6B" w14:textId="16A5F38F" w:rsidR="00764633" w:rsidRPr="00EA5B7F" w:rsidRDefault="00764633" w:rsidP="005D1201">
      <w:pPr>
        <w:pStyle w:val="FootnoteText"/>
        <w:jc w:val="both"/>
      </w:pPr>
      <w:r w:rsidRPr="00E6610C">
        <w:rPr>
          <w:rStyle w:val="FootnoteReference"/>
        </w:rPr>
        <w:footnoteRef/>
      </w:r>
      <w:r w:rsidRPr="00E6610C">
        <w:t xml:space="preserve"> </w:t>
      </w:r>
      <w:r w:rsidRPr="003F1465">
        <w:rPr>
          <w:i/>
        </w:rPr>
        <w:t>Ama</w:t>
      </w:r>
      <w:r w:rsidRPr="00E6610C">
        <w:rPr>
          <w:i/>
        </w:rPr>
        <w:t xml:space="preserve">Bhungane </w:t>
      </w:r>
      <w:r w:rsidRPr="00E6610C">
        <w:t>para 65.</w:t>
      </w:r>
    </w:p>
  </w:footnote>
  <w:footnote w:id="56">
    <w:p w14:paraId="3112B3E8" w14:textId="08ABBE27" w:rsidR="00764633" w:rsidRPr="00E6610C" w:rsidRDefault="00764633" w:rsidP="005D1201">
      <w:pPr>
        <w:pStyle w:val="FootnoteText"/>
        <w:jc w:val="both"/>
      </w:pPr>
      <w:r w:rsidRPr="00E6610C">
        <w:rPr>
          <w:rStyle w:val="FootnoteReference"/>
        </w:rPr>
        <w:footnoteRef/>
      </w:r>
      <w:r w:rsidRPr="00E6610C">
        <w:t xml:space="preserve"> </w:t>
      </w:r>
      <w:r w:rsidRPr="00E6610C">
        <w:rPr>
          <w:i/>
          <w:iCs/>
        </w:rPr>
        <w:t>Moodley and Others v Minister of Education and Culture, House of Delegates and Another</w:t>
      </w:r>
      <w:r w:rsidRPr="00E6610C" w:rsidDel="00B110EB">
        <w:rPr>
          <w:i/>
          <w:iCs/>
        </w:rPr>
        <w:t xml:space="preserve"> </w:t>
      </w:r>
      <w:r w:rsidRPr="00E6610C">
        <w:rPr>
          <w:iCs/>
        </w:rPr>
        <w:t>[1989] ZASCA 45;</w:t>
      </w:r>
      <w:r w:rsidRPr="00E6610C" w:rsidDel="00B110EB">
        <w:rPr>
          <w:i/>
          <w:iCs/>
        </w:rPr>
        <w:t xml:space="preserve"> </w:t>
      </w:r>
      <w:r w:rsidRPr="00E6610C">
        <w:t>1989 (3) SA 221 (AD) at 233E.</w:t>
      </w:r>
    </w:p>
  </w:footnote>
  <w:footnote w:id="57">
    <w:p w14:paraId="358CA4D2" w14:textId="3321A071" w:rsidR="00764633" w:rsidRPr="001B24B8" w:rsidRDefault="00764633" w:rsidP="005D1201">
      <w:pPr>
        <w:pStyle w:val="FootnoteText"/>
        <w:jc w:val="both"/>
      </w:pPr>
      <w:r w:rsidRPr="00E6610C">
        <w:rPr>
          <w:rStyle w:val="FootnoteReference"/>
        </w:rPr>
        <w:footnoteRef/>
      </w:r>
      <w:r w:rsidRPr="00E6610C">
        <w:t xml:space="preserve"> See paras 38(e) and 40 of the main judgment.</w:t>
      </w:r>
    </w:p>
  </w:footnote>
  <w:footnote w:id="58">
    <w:p w14:paraId="6F9BE873" w14:textId="77777777" w:rsidR="00764633" w:rsidRPr="001B24B8" w:rsidRDefault="00764633" w:rsidP="005D1201">
      <w:pPr>
        <w:pStyle w:val="FootnoteText"/>
        <w:jc w:val="both"/>
      </w:pPr>
      <w:r w:rsidRPr="001B24B8">
        <w:rPr>
          <w:rStyle w:val="FootnoteReference"/>
        </w:rPr>
        <w:footnoteRef/>
      </w:r>
      <w:r w:rsidRPr="001B24B8">
        <w:t xml:space="preserve"> Regulation 28 (9) reads as follows:</w:t>
      </w:r>
    </w:p>
    <w:p w14:paraId="4B316DA7" w14:textId="77777777" w:rsidR="00764633" w:rsidRDefault="00764633" w:rsidP="005D1201">
      <w:pPr>
        <w:pStyle w:val="FootnoteText"/>
        <w:jc w:val="both"/>
      </w:pPr>
      <w:r w:rsidRPr="001B24B8">
        <w:t>‘Any person who has paid a broker compensation where there has been a material misrepresentation, or where the payment is made consequent to unlawful conduct by the broker, is entitled to the full return of all the money paid in consequence of such material misrepresentation or unlawful conduct.’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204"/>
      <w:docPartObj>
        <w:docPartGallery w:val="Page Numbers (Top of Page)"/>
        <w:docPartUnique/>
      </w:docPartObj>
    </w:sdtPr>
    <w:sdtEndPr>
      <w:rPr>
        <w:rFonts w:ascii="Arial" w:hAnsi="Arial" w:cs="Arial"/>
        <w:noProof/>
      </w:rPr>
    </w:sdtEndPr>
    <w:sdtContent>
      <w:p w14:paraId="34ECBF72" w14:textId="0818F92E" w:rsidR="00764633" w:rsidRPr="00FF7B4A" w:rsidRDefault="00764633">
        <w:pPr>
          <w:pStyle w:val="Header"/>
          <w:jc w:val="right"/>
          <w:rPr>
            <w:rFonts w:ascii="Arial" w:hAnsi="Arial" w:cs="Arial"/>
          </w:rPr>
        </w:pPr>
        <w:r w:rsidRPr="00FF7B4A">
          <w:rPr>
            <w:rFonts w:ascii="Arial" w:hAnsi="Arial" w:cs="Arial"/>
          </w:rPr>
          <w:fldChar w:fldCharType="begin"/>
        </w:r>
        <w:r w:rsidRPr="00FF7B4A">
          <w:rPr>
            <w:rFonts w:ascii="Arial" w:hAnsi="Arial" w:cs="Arial"/>
          </w:rPr>
          <w:instrText xml:space="preserve"> PAGE   \* MERGEFORMAT </w:instrText>
        </w:r>
        <w:r w:rsidRPr="00FF7B4A">
          <w:rPr>
            <w:rFonts w:ascii="Arial" w:hAnsi="Arial" w:cs="Arial"/>
          </w:rPr>
          <w:fldChar w:fldCharType="separate"/>
        </w:r>
        <w:r w:rsidR="00CF10AD">
          <w:rPr>
            <w:rFonts w:ascii="Arial" w:hAnsi="Arial" w:cs="Arial"/>
            <w:noProof/>
          </w:rPr>
          <w:t>10</w:t>
        </w:r>
        <w:r w:rsidRPr="00FF7B4A">
          <w:rPr>
            <w:rFonts w:ascii="Arial" w:hAnsi="Arial" w:cs="Arial"/>
            <w:noProof/>
          </w:rPr>
          <w:fldChar w:fldCharType="end"/>
        </w:r>
      </w:p>
    </w:sdtContent>
  </w:sdt>
  <w:p w14:paraId="79793D58" w14:textId="77777777" w:rsidR="00764633" w:rsidRDefault="007646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195"/>
    <w:multiLevelType w:val="hybridMultilevel"/>
    <w:tmpl w:val="F364FE0C"/>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D760CF"/>
    <w:multiLevelType w:val="hybridMultilevel"/>
    <w:tmpl w:val="D220B8EA"/>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68281A"/>
    <w:multiLevelType w:val="hybridMultilevel"/>
    <w:tmpl w:val="735AD7DA"/>
    <w:lvl w:ilvl="0" w:tplc="8D56A054">
      <w:start w:val="1"/>
      <w:numFmt w:val="decimal"/>
      <w:lvlText w:val="[%1]"/>
      <w:lvlJc w:val="left"/>
      <w:pPr>
        <w:ind w:left="720" w:hanging="360"/>
      </w:pPr>
      <w:rPr>
        <w:rFonts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9453E6"/>
    <w:multiLevelType w:val="multilevel"/>
    <w:tmpl w:val="B4B407CA"/>
    <w:lvl w:ilvl="0">
      <w:start w:val="1"/>
      <w:numFmt w:val="decimal"/>
      <w:pStyle w:val="alevel1"/>
      <w:lvlText w:val="%1"/>
      <w:lvlJc w:val="left"/>
      <w:pPr>
        <w:tabs>
          <w:tab w:val="num" w:pos="567"/>
        </w:tabs>
        <w:ind w:left="567" w:hanging="567"/>
      </w:pPr>
      <w:rPr>
        <w:rFonts w:ascii="Arial" w:hAnsi="Arial" w:hint="default"/>
        <w:b w:val="0"/>
        <w:i w:val="0"/>
        <w:sz w:val="24"/>
        <w:szCs w:val="24"/>
      </w:rPr>
    </w:lvl>
    <w:lvl w:ilvl="1">
      <w:start w:val="1"/>
      <w:numFmt w:val="decimal"/>
      <w:pStyle w:val="alevel2"/>
      <w:lvlText w:val="%1.%2"/>
      <w:lvlJc w:val="left"/>
      <w:pPr>
        <w:tabs>
          <w:tab w:val="num" w:pos="851"/>
        </w:tabs>
        <w:ind w:left="851" w:hanging="851"/>
      </w:pPr>
      <w:rPr>
        <w:i w:val="0"/>
        <w:iCs w:val="0"/>
      </w:rPr>
    </w:lvl>
    <w:lvl w:ilvl="2">
      <w:start w:val="1"/>
      <w:numFmt w:val="decimal"/>
      <w:pStyle w:val="alevel3"/>
      <w:lvlText w:val="%1.%2.%3"/>
      <w:lvlJc w:val="left"/>
      <w:pPr>
        <w:tabs>
          <w:tab w:val="num" w:pos="1134"/>
        </w:tabs>
        <w:ind w:left="1134" w:hanging="1134"/>
      </w:pPr>
      <w:rPr>
        <w:rFonts w:hint="default"/>
        <w:i w:val="0"/>
        <w:iCs w:val="0"/>
      </w:rPr>
    </w:lvl>
    <w:lvl w:ilvl="3">
      <w:start w:val="1"/>
      <w:numFmt w:val="decimal"/>
      <w:pStyle w:val="alevel4"/>
      <w:lvlText w:val="%1.%2.%3.%4"/>
      <w:lvlJc w:val="left"/>
      <w:pPr>
        <w:tabs>
          <w:tab w:val="num" w:pos="1418"/>
        </w:tabs>
        <w:ind w:left="1418" w:hanging="1418"/>
      </w:pPr>
      <w:rPr>
        <w:rFonts w:hint="default"/>
      </w:rPr>
    </w:lvl>
    <w:lvl w:ilvl="4">
      <w:start w:val="1"/>
      <w:numFmt w:val="decimal"/>
      <w:lvlRestart w:val="0"/>
      <w:pStyle w:val="alevel5"/>
      <w:lvlText w:val="%1.%2.%3.%4.%5"/>
      <w:lvlJc w:val="left"/>
      <w:pPr>
        <w:tabs>
          <w:tab w:val="num" w:pos="1701"/>
        </w:tabs>
        <w:ind w:left="1701" w:hanging="1701"/>
      </w:pPr>
      <w:rPr>
        <w:rFonts w:hint="default"/>
      </w:rPr>
    </w:lvl>
    <w:lvl w:ilvl="5">
      <w:start w:val="1"/>
      <w:numFmt w:val="decimal"/>
      <w:lvlRestart w:val="0"/>
      <w:pStyle w:val="alevel6"/>
      <w:lvlText w:val="%1.%2.%3.%4.%5.%6"/>
      <w:lvlJc w:val="left"/>
      <w:pPr>
        <w:tabs>
          <w:tab w:val="num" w:pos="1985"/>
        </w:tabs>
        <w:ind w:left="1985" w:hanging="1985"/>
      </w:pPr>
      <w:rPr>
        <w:rFonts w:hint="default"/>
      </w:rPr>
    </w:lvl>
    <w:lvl w:ilvl="6">
      <w:start w:val="1"/>
      <w:numFmt w:val="decimal"/>
      <w:pStyle w:val="alevel7"/>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DB7AA4"/>
    <w:multiLevelType w:val="hybridMultilevel"/>
    <w:tmpl w:val="1E34FED4"/>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DE76F0"/>
    <w:multiLevelType w:val="hybridMultilevel"/>
    <w:tmpl w:val="645479EA"/>
    <w:lvl w:ilvl="0" w:tplc="5CEE9C7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7DA7"/>
    <w:multiLevelType w:val="hybridMultilevel"/>
    <w:tmpl w:val="895063AA"/>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9720DCF"/>
    <w:multiLevelType w:val="hybridMultilevel"/>
    <w:tmpl w:val="4BD6CB72"/>
    <w:lvl w:ilvl="0" w:tplc="872ACF5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7F1D"/>
    <w:multiLevelType w:val="hybridMultilevel"/>
    <w:tmpl w:val="A1EA1B40"/>
    <w:lvl w:ilvl="0" w:tplc="1FC06F9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326F8"/>
    <w:multiLevelType w:val="hybridMultilevel"/>
    <w:tmpl w:val="35F09E54"/>
    <w:lvl w:ilvl="0" w:tplc="ADC26FDC">
      <w:start w:val="7"/>
      <w:numFmt w:val="decimal"/>
      <w:lvlText w:val="[%1]"/>
      <w:lvlJc w:val="left"/>
      <w:pPr>
        <w:ind w:left="360" w:hanging="360"/>
      </w:pPr>
      <w:rPr>
        <w:rFonts w:hint="default"/>
        <w:i w:val="0"/>
        <w:iCs w:val="0"/>
      </w:rPr>
    </w:lvl>
    <w:lvl w:ilvl="1" w:tplc="1D86057E">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25D70"/>
    <w:multiLevelType w:val="hybridMultilevel"/>
    <w:tmpl w:val="58A8832A"/>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2F4824"/>
    <w:multiLevelType w:val="hybridMultilevel"/>
    <w:tmpl w:val="99108108"/>
    <w:lvl w:ilvl="0" w:tplc="77568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976BA"/>
    <w:multiLevelType w:val="hybridMultilevel"/>
    <w:tmpl w:val="0CEE68DC"/>
    <w:lvl w:ilvl="0" w:tplc="DBACE9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7280B"/>
    <w:multiLevelType w:val="hybridMultilevel"/>
    <w:tmpl w:val="C0F631B6"/>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F92CDB"/>
    <w:multiLevelType w:val="hybridMultilevel"/>
    <w:tmpl w:val="17B01DAC"/>
    <w:lvl w:ilvl="0" w:tplc="8B2463CC">
      <w:start w:val="10"/>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808FC"/>
    <w:multiLevelType w:val="hybridMultilevel"/>
    <w:tmpl w:val="C840DF38"/>
    <w:lvl w:ilvl="0" w:tplc="8B2463CC">
      <w:start w:val="10"/>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C3CA3"/>
    <w:multiLevelType w:val="hybridMultilevel"/>
    <w:tmpl w:val="D87EE312"/>
    <w:lvl w:ilvl="0" w:tplc="2F56677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13"/>
  </w:num>
  <w:num w:numId="6">
    <w:abstractNumId w:val="0"/>
  </w:num>
  <w:num w:numId="7">
    <w:abstractNumId w:val="6"/>
  </w:num>
  <w:num w:numId="8">
    <w:abstractNumId w:val="1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4"/>
  </w:num>
  <w:num w:numId="14">
    <w:abstractNumId w:val="5"/>
  </w:num>
  <w:num w:numId="15">
    <w:abstractNumId w:val="8"/>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E0"/>
    <w:rsid w:val="00000F07"/>
    <w:rsid w:val="00005BFD"/>
    <w:rsid w:val="0000674E"/>
    <w:rsid w:val="00011180"/>
    <w:rsid w:val="0001214F"/>
    <w:rsid w:val="00013C2E"/>
    <w:rsid w:val="000174C0"/>
    <w:rsid w:val="00022748"/>
    <w:rsid w:val="00024A83"/>
    <w:rsid w:val="00027D23"/>
    <w:rsid w:val="00031BC5"/>
    <w:rsid w:val="000433D5"/>
    <w:rsid w:val="000471AB"/>
    <w:rsid w:val="000745A8"/>
    <w:rsid w:val="00082394"/>
    <w:rsid w:val="00087FC5"/>
    <w:rsid w:val="000900C8"/>
    <w:rsid w:val="000A0F33"/>
    <w:rsid w:val="000A1AA3"/>
    <w:rsid w:val="000A549A"/>
    <w:rsid w:val="000C26E9"/>
    <w:rsid w:val="000D3555"/>
    <w:rsid w:val="000D6CB0"/>
    <w:rsid w:val="000E1067"/>
    <w:rsid w:val="000F599A"/>
    <w:rsid w:val="000F5B4A"/>
    <w:rsid w:val="00102925"/>
    <w:rsid w:val="001069E8"/>
    <w:rsid w:val="001070E3"/>
    <w:rsid w:val="001130A6"/>
    <w:rsid w:val="00122FE9"/>
    <w:rsid w:val="00130BBD"/>
    <w:rsid w:val="00131850"/>
    <w:rsid w:val="00133DEE"/>
    <w:rsid w:val="00133F7C"/>
    <w:rsid w:val="00134D8E"/>
    <w:rsid w:val="00140F41"/>
    <w:rsid w:val="0014216B"/>
    <w:rsid w:val="00151DCE"/>
    <w:rsid w:val="00153709"/>
    <w:rsid w:val="00154482"/>
    <w:rsid w:val="0016010D"/>
    <w:rsid w:val="00160F0A"/>
    <w:rsid w:val="00163215"/>
    <w:rsid w:val="0016654D"/>
    <w:rsid w:val="001676DA"/>
    <w:rsid w:val="00172674"/>
    <w:rsid w:val="00181FDD"/>
    <w:rsid w:val="00190B15"/>
    <w:rsid w:val="00197B9B"/>
    <w:rsid w:val="001B41C1"/>
    <w:rsid w:val="001B457D"/>
    <w:rsid w:val="001C7439"/>
    <w:rsid w:val="001D773D"/>
    <w:rsid w:val="001D7D45"/>
    <w:rsid w:val="001E0F30"/>
    <w:rsid w:val="001E2AA0"/>
    <w:rsid w:val="001F1DE8"/>
    <w:rsid w:val="001F5AC2"/>
    <w:rsid w:val="001F706A"/>
    <w:rsid w:val="00200483"/>
    <w:rsid w:val="00203A92"/>
    <w:rsid w:val="00216BE7"/>
    <w:rsid w:val="00222710"/>
    <w:rsid w:val="00223305"/>
    <w:rsid w:val="002404B9"/>
    <w:rsid w:val="00241007"/>
    <w:rsid w:val="0024472E"/>
    <w:rsid w:val="0024517D"/>
    <w:rsid w:val="002452BA"/>
    <w:rsid w:val="00274D51"/>
    <w:rsid w:val="00274E8E"/>
    <w:rsid w:val="00280BF8"/>
    <w:rsid w:val="00281AFB"/>
    <w:rsid w:val="00285BCC"/>
    <w:rsid w:val="002909DE"/>
    <w:rsid w:val="00291B6C"/>
    <w:rsid w:val="00295D3D"/>
    <w:rsid w:val="002A0A06"/>
    <w:rsid w:val="002B5DF8"/>
    <w:rsid w:val="002C2202"/>
    <w:rsid w:val="002C7A4D"/>
    <w:rsid w:val="002D3002"/>
    <w:rsid w:val="002E026D"/>
    <w:rsid w:val="002E0C99"/>
    <w:rsid w:val="002E79EA"/>
    <w:rsid w:val="002F3AEA"/>
    <w:rsid w:val="002F6767"/>
    <w:rsid w:val="003005AF"/>
    <w:rsid w:val="00300CBC"/>
    <w:rsid w:val="00302526"/>
    <w:rsid w:val="00302917"/>
    <w:rsid w:val="00306539"/>
    <w:rsid w:val="00312FD4"/>
    <w:rsid w:val="00317114"/>
    <w:rsid w:val="00320567"/>
    <w:rsid w:val="003214C1"/>
    <w:rsid w:val="003220E9"/>
    <w:rsid w:val="003231CE"/>
    <w:rsid w:val="003275EB"/>
    <w:rsid w:val="0033367D"/>
    <w:rsid w:val="00351683"/>
    <w:rsid w:val="00361330"/>
    <w:rsid w:val="00361AFB"/>
    <w:rsid w:val="00364198"/>
    <w:rsid w:val="00364E4C"/>
    <w:rsid w:val="00371D33"/>
    <w:rsid w:val="00380B83"/>
    <w:rsid w:val="00381750"/>
    <w:rsid w:val="00386AFF"/>
    <w:rsid w:val="003929CA"/>
    <w:rsid w:val="0039494D"/>
    <w:rsid w:val="00396ECE"/>
    <w:rsid w:val="00397D2B"/>
    <w:rsid w:val="003A39F1"/>
    <w:rsid w:val="003A4EF2"/>
    <w:rsid w:val="003A73A2"/>
    <w:rsid w:val="003B36E2"/>
    <w:rsid w:val="003B4E96"/>
    <w:rsid w:val="003B6C67"/>
    <w:rsid w:val="003B7859"/>
    <w:rsid w:val="003D6CCE"/>
    <w:rsid w:val="003E32D5"/>
    <w:rsid w:val="003E77DC"/>
    <w:rsid w:val="003F082B"/>
    <w:rsid w:val="003F1465"/>
    <w:rsid w:val="003F357F"/>
    <w:rsid w:val="003F6447"/>
    <w:rsid w:val="003F6AC6"/>
    <w:rsid w:val="003F7EA0"/>
    <w:rsid w:val="00401D88"/>
    <w:rsid w:val="00405051"/>
    <w:rsid w:val="00406C7A"/>
    <w:rsid w:val="00413170"/>
    <w:rsid w:val="004146C6"/>
    <w:rsid w:val="00415DE9"/>
    <w:rsid w:val="0042334E"/>
    <w:rsid w:val="00423B10"/>
    <w:rsid w:val="004244E1"/>
    <w:rsid w:val="00441AB8"/>
    <w:rsid w:val="004519A7"/>
    <w:rsid w:val="00453C85"/>
    <w:rsid w:val="00460229"/>
    <w:rsid w:val="00465BFA"/>
    <w:rsid w:val="00466949"/>
    <w:rsid w:val="00470DD9"/>
    <w:rsid w:val="00482728"/>
    <w:rsid w:val="00491CCE"/>
    <w:rsid w:val="00493445"/>
    <w:rsid w:val="004958C9"/>
    <w:rsid w:val="004A1A0A"/>
    <w:rsid w:val="004B6D3C"/>
    <w:rsid w:val="004B7F0D"/>
    <w:rsid w:val="004C29C2"/>
    <w:rsid w:val="004C4C82"/>
    <w:rsid w:val="004C756D"/>
    <w:rsid w:val="004D1B78"/>
    <w:rsid w:val="004E1BE2"/>
    <w:rsid w:val="004E7CF2"/>
    <w:rsid w:val="004E7FEE"/>
    <w:rsid w:val="004F075A"/>
    <w:rsid w:val="004F3E10"/>
    <w:rsid w:val="004F51AA"/>
    <w:rsid w:val="004F7D96"/>
    <w:rsid w:val="00502B83"/>
    <w:rsid w:val="005048B4"/>
    <w:rsid w:val="005066D8"/>
    <w:rsid w:val="00506CA8"/>
    <w:rsid w:val="005119D5"/>
    <w:rsid w:val="00520958"/>
    <w:rsid w:val="00520BD8"/>
    <w:rsid w:val="005316EA"/>
    <w:rsid w:val="00531999"/>
    <w:rsid w:val="0053570E"/>
    <w:rsid w:val="005411B7"/>
    <w:rsid w:val="00542B36"/>
    <w:rsid w:val="005441A1"/>
    <w:rsid w:val="00546136"/>
    <w:rsid w:val="00553D23"/>
    <w:rsid w:val="00566745"/>
    <w:rsid w:val="0057416F"/>
    <w:rsid w:val="005771A8"/>
    <w:rsid w:val="005831C0"/>
    <w:rsid w:val="005A2073"/>
    <w:rsid w:val="005A38C0"/>
    <w:rsid w:val="005A3C8E"/>
    <w:rsid w:val="005A7D05"/>
    <w:rsid w:val="005B47EB"/>
    <w:rsid w:val="005B4F63"/>
    <w:rsid w:val="005C4CE3"/>
    <w:rsid w:val="005C5AF8"/>
    <w:rsid w:val="005C6FD8"/>
    <w:rsid w:val="005D015F"/>
    <w:rsid w:val="005D0E68"/>
    <w:rsid w:val="005D1201"/>
    <w:rsid w:val="005D2CF2"/>
    <w:rsid w:val="005D7170"/>
    <w:rsid w:val="005E0B5D"/>
    <w:rsid w:val="005E7762"/>
    <w:rsid w:val="005F03C5"/>
    <w:rsid w:val="006072F6"/>
    <w:rsid w:val="0061056A"/>
    <w:rsid w:val="00630425"/>
    <w:rsid w:val="00635918"/>
    <w:rsid w:val="00642304"/>
    <w:rsid w:val="00642E9D"/>
    <w:rsid w:val="006520C5"/>
    <w:rsid w:val="00654DF3"/>
    <w:rsid w:val="00655439"/>
    <w:rsid w:val="00661FD0"/>
    <w:rsid w:val="00662F69"/>
    <w:rsid w:val="0067229A"/>
    <w:rsid w:val="00681328"/>
    <w:rsid w:val="00694D1B"/>
    <w:rsid w:val="00696BD3"/>
    <w:rsid w:val="0069716F"/>
    <w:rsid w:val="006971FB"/>
    <w:rsid w:val="006A4662"/>
    <w:rsid w:val="006A6DC5"/>
    <w:rsid w:val="006B27C2"/>
    <w:rsid w:val="006B535C"/>
    <w:rsid w:val="006D4910"/>
    <w:rsid w:val="006E37EF"/>
    <w:rsid w:val="006E611F"/>
    <w:rsid w:val="006E6534"/>
    <w:rsid w:val="006E6BFC"/>
    <w:rsid w:val="0070056E"/>
    <w:rsid w:val="00703AC5"/>
    <w:rsid w:val="00711B19"/>
    <w:rsid w:val="00717EAD"/>
    <w:rsid w:val="00723C6F"/>
    <w:rsid w:val="007270F7"/>
    <w:rsid w:val="00727A56"/>
    <w:rsid w:val="00731DC0"/>
    <w:rsid w:val="00735197"/>
    <w:rsid w:val="00735719"/>
    <w:rsid w:val="007474E8"/>
    <w:rsid w:val="00753101"/>
    <w:rsid w:val="007539DA"/>
    <w:rsid w:val="007555F9"/>
    <w:rsid w:val="00757F7F"/>
    <w:rsid w:val="00762C25"/>
    <w:rsid w:val="00764633"/>
    <w:rsid w:val="007756A2"/>
    <w:rsid w:val="00777144"/>
    <w:rsid w:val="00792776"/>
    <w:rsid w:val="00792A44"/>
    <w:rsid w:val="00797989"/>
    <w:rsid w:val="007A152C"/>
    <w:rsid w:val="007A1729"/>
    <w:rsid w:val="007A704E"/>
    <w:rsid w:val="007B309A"/>
    <w:rsid w:val="007B7773"/>
    <w:rsid w:val="007C179D"/>
    <w:rsid w:val="007C32E3"/>
    <w:rsid w:val="007C5B16"/>
    <w:rsid w:val="007D02E8"/>
    <w:rsid w:val="007D04AC"/>
    <w:rsid w:val="007D549F"/>
    <w:rsid w:val="007D7309"/>
    <w:rsid w:val="007E0F07"/>
    <w:rsid w:val="007E5A62"/>
    <w:rsid w:val="007E7B1B"/>
    <w:rsid w:val="008020BC"/>
    <w:rsid w:val="008023F5"/>
    <w:rsid w:val="00810A29"/>
    <w:rsid w:val="0081357D"/>
    <w:rsid w:val="00815F63"/>
    <w:rsid w:val="008163B5"/>
    <w:rsid w:val="00816BE2"/>
    <w:rsid w:val="00820597"/>
    <w:rsid w:val="00824127"/>
    <w:rsid w:val="008276DD"/>
    <w:rsid w:val="00842867"/>
    <w:rsid w:val="00850C6F"/>
    <w:rsid w:val="0086378A"/>
    <w:rsid w:val="00865378"/>
    <w:rsid w:val="00872701"/>
    <w:rsid w:val="008818E8"/>
    <w:rsid w:val="00884F83"/>
    <w:rsid w:val="008859C6"/>
    <w:rsid w:val="008905AA"/>
    <w:rsid w:val="0089433F"/>
    <w:rsid w:val="0089565D"/>
    <w:rsid w:val="008A32D4"/>
    <w:rsid w:val="008B495D"/>
    <w:rsid w:val="008C69BA"/>
    <w:rsid w:val="008D3F50"/>
    <w:rsid w:val="008F0327"/>
    <w:rsid w:val="008F0777"/>
    <w:rsid w:val="009001B1"/>
    <w:rsid w:val="009004BD"/>
    <w:rsid w:val="00904A5C"/>
    <w:rsid w:val="009113B6"/>
    <w:rsid w:val="009121C3"/>
    <w:rsid w:val="00915423"/>
    <w:rsid w:val="00920560"/>
    <w:rsid w:val="0092630F"/>
    <w:rsid w:val="00931682"/>
    <w:rsid w:val="009326CF"/>
    <w:rsid w:val="0093396C"/>
    <w:rsid w:val="00941616"/>
    <w:rsid w:val="00942BE7"/>
    <w:rsid w:val="00952221"/>
    <w:rsid w:val="009559B7"/>
    <w:rsid w:val="009624A7"/>
    <w:rsid w:val="00964A9D"/>
    <w:rsid w:val="00973EC0"/>
    <w:rsid w:val="009817F5"/>
    <w:rsid w:val="009846DF"/>
    <w:rsid w:val="00990F68"/>
    <w:rsid w:val="0099584E"/>
    <w:rsid w:val="00995BE7"/>
    <w:rsid w:val="00996922"/>
    <w:rsid w:val="009A2532"/>
    <w:rsid w:val="009A385A"/>
    <w:rsid w:val="009A71AF"/>
    <w:rsid w:val="009A7F3E"/>
    <w:rsid w:val="009B0264"/>
    <w:rsid w:val="009B2136"/>
    <w:rsid w:val="009B33E7"/>
    <w:rsid w:val="009B7AE0"/>
    <w:rsid w:val="009B7D4A"/>
    <w:rsid w:val="009C04C6"/>
    <w:rsid w:val="009C4B75"/>
    <w:rsid w:val="009C552C"/>
    <w:rsid w:val="009C7DCC"/>
    <w:rsid w:val="009D0448"/>
    <w:rsid w:val="009D3B7C"/>
    <w:rsid w:val="009D7261"/>
    <w:rsid w:val="009D736D"/>
    <w:rsid w:val="009E082A"/>
    <w:rsid w:val="009E1562"/>
    <w:rsid w:val="009E3967"/>
    <w:rsid w:val="009E5EF8"/>
    <w:rsid w:val="009E6A86"/>
    <w:rsid w:val="009E7031"/>
    <w:rsid w:val="00A06688"/>
    <w:rsid w:val="00A1437C"/>
    <w:rsid w:val="00A17112"/>
    <w:rsid w:val="00A20C06"/>
    <w:rsid w:val="00A30FEC"/>
    <w:rsid w:val="00A34974"/>
    <w:rsid w:val="00A36BF5"/>
    <w:rsid w:val="00A412DE"/>
    <w:rsid w:val="00A523C5"/>
    <w:rsid w:val="00A700EC"/>
    <w:rsid w:val="00A728B7"/>
    <w:rsid w:val="00A7295E"/>
    <w:rsid w:val="00A72AA1"/>
    <w:rsid w:val="00A81EDC"/>
    <w:rsid w:val="00A86675"/>
    <w:rsid w:val="00A9212E"/>
    <w:rsid w:val="00AA0B82"/>
    <w:rsid w:val="00AA11F6"/>
    <w:rsid w:val="00AA1F10"/>
    <w:rsid w:val="00AB305B"/>
    <w:rsid w:val="00AB4E08"/>
    <w:rsid w:val="00AB5E88"/>
    <w:rsid w:val="00AC0EFF"/>
    <w:rsid w:val="00AC2D5A"/>
    <w:rsid w:val="00AD0BF9"/>
    <w:rsid w:val="00AD51FB"/>
    <w:rsid w:val="00AD6463"/>
    <w:rsid w:val="00AE25BD"/>
    <w:rsid w:val="00AE43DC"/>
    <w:rsid w:val="00AE5C15"/>
    <w:rsid w:val="00AE5F01"/>
    <w:rsid w:val="00AE67B6"/>
    <w:rsid w:val="00AF5153"/>
    <w:rsid w:val="00B06F7C"/>
    <w:rsid w:val="00B078DD"/>
    <w:rsid w:val="00B07DBD"/>
    <w:rsid w:val="00B110EB"/>
    <w:rsid w:val="00B2121E"/>
    <w:rsid w:val="00B24775"/>
    <w:rsid w:val="00B254A9"/>
    <w:rsid w:val="00B26D2D"/>
    <w:rsid w:val="00B32378"/>
    <w:rsid w:val="00B32ACE"/>
    <w:rsid w:val="00B3344C"/>
    <w:rsid w:val="00B40AF4"/>
    <w:rsid w:val="00B41634"/>
    <w:rsid w:val="00B461D7"/>
    <w:rsid w:val="00B54E17"/>
    <w:rsid w:val="00B620ED"/>
    <w:rsid w:val="00B62CC8"/>
    <w:rsid w:val="00B6645C"/>
    <w:rsid w:val="00B71AEE"/>
    <w:rsid w:val="00B72E3C"/>
    <w:rsid w:val="00B86113"/>
    <w:rsid w:val="00B87B2C"/>
    <w:rsid w:val="00B90BE4"/>
    <w:rsid w:val="00BA5F02"/>
    <w:rsid w:val="00BA6318"/>
    <w:rsid w:val="00BA7D70"/>
    <w:rsid w:val="00BB533D"/>
    <w:rsid w:val="00BD0822"/>
    <w:rsid w:val="00BD1DD0"/>
    <w:rsid w:val="00BD2F22"/>
    <w:rsid w:val="00BD5BBF"/>
    <w:rsid w:val="00BD7C86"/>
    <w:rsid w:val="00BE0075"/>
    <w:rsid w:val="00BE6481"/>
    <w:rsid w:val="00BF294E"/>
    <w:rsid w:val="00BF35EA"/>
    <w:rsid w:val="00BF3754"/>
    <w:rsid w:val="00BF3A6B"/>
    <w:rsid w:val="00BF6C6D"/>
    <w:rsid w:val="00C0023B"/>
    <w:rsid w:val="00C00AD0"/>
    <w:rsid w:val="00C1297C"/>
    <w:rsid w:val="00C161F0"/>
    <w:rsid w:val="00C1708C"/>
    <w:rsid w:val="00C213C6"/>
    <w:rsid w:val="00C22D73"/>
    <w:rsid w:val="00C237C2"/>
    <w:rsid w:val="00C318C9"/>
    <w:rsid w:val="00C35EB5"/>
    <w:rsid w:val="00C35F08"/>
    <w:rsid w:val="00C46A64"/>
    <w:rsid w:val="00C55C4F"/>
    <w:rsid w:val="00C57F3E"/>
    <w:rsid w:val="00C7076E"/>
    <w:rsid w:val="00C739DA"/>
    <w:rsid w:val="00C73A70"/>
    <w:rsid w:val="00C73E70"/>
    <w:rsid w:val="00C73F26"/>
    <w:rsid w:val="00C81680"/>
    <w:rsid w:val="00C83694"/>
    <w:rsid w:val="00C94916"/>
    <w:rsid w:val="00CA1F8D"/>
    <w:rsid w:val="00CA2A84"/>
    <w:rsid w:val="00CA3B25"/>
    <w:rsid w:val="00CA47E2"/>
    <w:rsid w:val="00CB34D8"/>
    <w:rsid w:val="00CB3A39"/>
    <w:rsid w:val="00CB799A"/>
    <w:rsid w:val="00CB7CD1"/>
    <w:rsid w:val="00CC59E0"/>
    <w:rsid w:val="00CD1B7B"/>
    <w:rsid w:val="00CD2A2D"/>
    <w:rsid w:val="00CD5BF1"/>
    <w:rsid w:val="00CE2E29"/>
    <w:rsid w:val="00CE4251"/>
    <w:rsid w:val="00CE46A4"/>
    <w:rsid w:val="00CE53A5"/>
    <w:rsid w:val="00CF10AD"/>
    <w:rsid w:val="00D065F9"/>
    <w:rsid w:val="00D12226"/>
    <w:rsid w:val="00D14B8D"/>
    <w:rsid w:val="00D17786"/>
    <w:rsid w:val="00D2243C"/>
    <w:rsid w:val="00D238ED"/>
    <w:rsid w:val="00D331E6"/>
    <w:rsid w:val="00D33982"/>
    <w:rsid w:val="00D41452"/>
    <w:rsid w:val="00D4478C"/>
    <w:rsid w:val="00D45CB6"/>
    <w:rsid w:val="00D6114F"/>
    <w:rsid w:val="00D7563C"/>
    <w:rsid w:val="00D7594F"/>
    <w:rsid w:val="00D8415A"/>
    <w:rsid w:val="00D87596"/>
    <w:rsid w:val="00DA4B4E"/>
    <w:rsid w:val="00DA7AC2"/>
    <w:rsid w:val="00DC0176"/>
    <w:rsid w:val="00DC7AA2"/>
    <w:rsid w:val="00DD1AAA"/>
    <w:rsid w:val="00DD2FF5"/>
    <w:rsid w:val="00DD5C24"/>
    <w:rsid w:val="00DE471A"/>
    <w:rsid w:val="00DE7EE5"/>
    <w:rsid w:val="00DF4C24"/>
    <w:rsid w:val="00E0325C"/>
    <w:rsid w:val="00E04588"/>
    <w:rsid w:val="00E04F85"/>
    <w:rsid w:val="00E164C5"/>
    <w:rsid w:val="00E17EA2"/>
    <w:rsid w:val="00E20B58"/>
    <w:rsid w:val="00E264D9"/>
    <w:rsid w:val="00E30206"/>
    <w:rsid w:val="00E33273"/>
    <w:rsid w:val="00E36AAA"/>
    <w:rsid w:val="00E53951"/>
    <w:rsid w:val="00E5711C"/>
    <w:rsid w:val="00E63E55"/>
    <w:rsid w:val="00E6610C"/>
    <w:rsid w:val="00E67DC8"/>
    <w:rsid w:val="00E84560"/>
    <w:rsid w:val="00E859A7"/>
    <w:rsid w:val="00E8729E"/>
    <w:rsid w:val="00E934FE"/>
    <w:rsid w:val="00E937D7"/>
    <w:rsid w:val="00EA31C3"/>
    <w:rsid w:val="00EA3F6F"/>
    <w:rsid w:val="00EA5B7F"/>
    <w:rsid w:val="00EA63EE"/>
    <w:rsid w:val="00EB537F"/>
    <w:rsid w:val="00EB64AF"/>
    <w:rsid w:val="00EC23D3"/>
    <w:rsid w:val="00EC3D69"/>
    <w:rsid w:val="00EC52DD"/>
    <w:rsid w:val="00ED3F6C"/>
    <w:rsid w:val="00ED4CCE"/>
    <w:rsid w:val="00ED60AD"/>
    <w:rsid w:val="00ED7F66"/>
    <w:rsid w:val="00EE00CA"/>
    <w:rsid w:val="00EE5B32"/>
    <w:rsid w:val="00F0165D"/>
    <w:rsid w:val="00F0174A"/>
    <w:rsid w:val="00F05A8C"/>
    <w:rsid w:val="00F077B1"/>
    <w:rsid w:val="00F159A4"/>
    <w:rsid w:val="00F21FBA"/>
    <w:rsid w:val="00F22642"/>
    <w:rsid w:val="00F27171"/>
    <w:rsid w:val="00F31166"/>
    <w:rsid w:val="00F32017"/>
    <w:rsid w:val="00F41D74"/>
    <w:rsid w:val="00F46B09"/>
    <w:rsid w:val="00F51260"/>
    <w:rsid w:val="00F6322C"/>
    <w:rsid w:val="00F649EB"/>
    <w:rsid w:val="00F66A82"/>
    <w:rsid w:val="00F73756"/>
    <w:rsid w:val="00F76365"/>
    <w:rsid w:val="00F76428"/>
    <w:rsid w:val="00F818E9"/>
    <w:rsid w:val="00F901A2"/>
    <w:rsid w:val="00F93A16"/>
    <w:rsid w:val="00F97E46"/>
    <w:rsid w:val="00FA163E"/>
    <w:rsid w:val="00FA3C97"/>
    <w:rsid w:val="00FB26C4"/>
    <w:rsid w:val="00FB734A"/>
    <w:rsid w:val="00FC38B8"/>
    <w:rsid w:val="00FC6B6C"/>
    <w:rsid w:val="00FE55BF"/>
    <w:rsid w:val="00FF4594"/>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EFCA"/>
  <w15:docId w15:val="{8013C489-3260-40C0-B701-5B100635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E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7AE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C6B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B7AE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AE0"/>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9B7AE0"/>
    <w:rPr>
      <w:rFonts w:ascii="Arial" w:eastAsia="Times New Roman" w:hAnsi="Arial" w:cs="Arial"/>
      <w:i/>
      <w:iCs/>
      <w:sz w:val="28"/>
      <w:szCs w:val="24"/>
      <w:lang w:val="en-GB"/>
    </w:rPr>
  </w:style>
  <w:style w:type="paragraph" w:styleId="NormalIndent">
    <w:name w:val="Normal Indent"/>
    <w:basedOn w:val="Normal"/>
    <w:uiPriority w:val="99"/>
    <w:unhideWhenUsed/>
    <w:rsid w:val="009B7AE0"/>
    <w:pPr>
      <w:spacing w:line="480" w:lineRule="auto"/>
      <w:ind w:left="720"/>
      <w:jc w:val="both"/>
    </w:pPr>
    <w:rPr>
      <w:sz w:val="28"/>
      <w:szCs w:val="28"/>
    </w:rPr>
  </w:style>
  <w:style w:type="paragraph" w:styleId="FootnoteText">
    <w:name w:val="footnote text"/>
    <w:basedOn w:val="Normal"/>
    <w:link w:val="FootnoteTextChar"/>
    <w:uiPriority w:val="99"/>
    <w:unhideWhenUsed/>
    <w:qFormat/>
    <w:rsid w:val="009B7AE0"/>
    <w:rPr>
      <w:sz w:val="20"/>
      <w:szCs w:val="20"/>
    </w:rPr>
  </w:style>
  <w:style w:type="character" w:customStyle="1" w:styleId="FootnoteTextChar">
    <w:name w:val="Footnote Text Char"/>
    <w:basedOn w:val="DefaultParagraphFont"/>
    <w:link w:val="FootnoteText"/>
    <w:uiPriority w:val="99"/>
    <w:rsid w:val="009B7A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B7AE0"/>
    <w:pPr>
      <w:ind w:left="720"/>
      <w:contextualSpacing/>
    </w:pPr>
  </w:style>
  <w:style w:type="character" w:styleId="FootnoteReference">
    <w:name w:val="footnote reference"/>
    <w:aliases w:val="Ref,de nota al pie,註腳內容,Footnote symbol,Style 12,(NECG) Footnote Reference,Footnote,Footnotes refss,Appel note de bas de page,Footnote Reference + Superscript,fr,4_G,Style 10,ftref,Heading 6 Char1,do not use4 Char1"/>
    <w:basedOn w:val="DefaultParagraphFont"/>
    <w:link w:val="4GCharCharChar"/>
    <w:uiPriority w:val="99"/>
    <w:unhideWhenUsed/>
    <w:qFormat/>
    <w:rsid w:val="009B7AE0"/>
    <w:rPr>
      <w:vertAlign w:val="superscript"/>
    </w:rPr>
  </w:style>
  <w:style w:type="paragraph" w:styleId="Header">
    <w:name w:val="header"/>
    <w:basedOn w:val="Normal"/>
    <w:link w:val="HeaderChar"/>
    <w:uiPriority w:val="99"/>
    <w:unhideWhenUsed/>
    <w:rsid w:val="00FF7B4A"/>
    <w:pPr>
      <w:tabs>
        <w:tab w:val="center" w:pos="4513"/>
        <w:tab w:val="right" w:pos="9026"/>
      </w:tabs>
    </w:pPr>
  </w:style>
  <w:style w:type="character" w:customStyle="1" w:styleId="HeaderChar">
    <w:name w:val="Header Char"/>
    <w:basedOn w:val="DefaultParagraphFont"/>
    <w:link w:val="Header"/>
    <w:uiPriority w:val="99"/>
    <w:rsid w:val="00FF7B4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B4A"/>
    <w:pPr>
      <w:tabs>
        <w:tab w:val="center" w:pos="4513"/>
        <w:tab w:val="right" w:pos="9026"/>
      </w:tabs>
    </w:pPr>
  </w:style>
  <w:style w:type="character" w:customStyle="1" w:styleId="FooterChar">
    <w:name w:val="Footer Char"/>
    <w:basedOn w:val="DefaultParagraphFont"/>
    <w:link w:val="Footer"/>
    <w:uiPriority w:val="99"/>
    <w:rsid w:val="00FF7B4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8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91CCE"/>
    <w:rPr>
      <w:sz w:val="16"/>
      <w:szCs w:val="16"/>
    </w:rPr>
  </w:style>
  <w:style w:type="paragraph" w:styleId="CommentText">
    <w:name w:val="annotation text"/>
    <w:basedOn w:val="Normal"/>
    <w:link w:val="CommentTextChar"/>
    <w:uiPriority w:val="99"/>
    <w:semiHidden/>
    <w:unhideWhenUsed/>
    <w:rsid w:val="00491CCE"/>
    <w:rPr>
      <w:sz w:val="20"/>
      <w:szCs w:val="20"/>
    </w:rPr>
  </w:style>
  <w:style w:type="character" w:customStyle="1" w:styleId="CommentTextChar">
    <w:name w:val="Comment Text Char"/>
    <w:basedOn w:val="DefaultParagraphFont"/>
    <w:link w:val="CommentText"/>
    <w:uiPriority w:val="99"/>
    <w:semiHidden/>
    <w:rsid w:val="00491C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CCE"/>
    <w:rPr>
      <w:b/>
      <w:bCs/>
    </w:rPr>
  </w:style>
  <w:style w:type="character" w:customStyle="1" w:styleId="CommentSubjectChar">
    <w:name w:val="Comment Subject Char"/>
    <w:basedOn w:val="CommentTextChar"/>
    <w:link w:val="CommentSubject"/>
    <w:uiPriority w:val="99"/>
    <w:semiHidden/>
    <w:rsid w:val="00491CCE"/>
    <w:rPr>
      <w:rFonts w:ascii="Times New Roman" w:eastAsia="Times New Roman" w:hAnsi="Times New Roman" w:cs="Times New Roman"/>
      <w:b/>
      <w:bCs/>
      <w:sz w:val="20"/>
      <w:szCs w:val="20"/>
      <w:lang w:val="en-GB"/>
    </w:rPr>
  </w:style>
  <w:style w:type="paragraph" w:styleId="Revision">
    <w:name w:val="Revision"/>
    <w:hidden/>
    <w:uiPriority w:val="99"/>
    <w:semiHidden/>
    <w:rsid w:val="007E0F07"/>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03A92"/>
    <w:rPr>
      <w:color w:val="0563C1" w:themeColor="hyperlink"/>
      <w:u w:val="single"/>
    </w:rPr>
  </w:style>
  <w:style w:type="character" w:customStyle="1" w:styleId="UnresolvedMention1">
    <w:name w:val="Unresolved Mention1"/>
    <w:basedOn w:val="DefaultParagraphFont"/>
    <w:uiPriority w:val="99"/>
    <w:semiHidden/>
    <w:unhideWhenUsed/>
    <w:rsid w:val="00203A92"/>
    <w:rPr>
      <w:color w:val="605E5C"/>
      <w:shd w:val="clear" w:color="auto" w:fill="E1DFDD"/>
    </w:rPr>
  </w:style>
  <w:style w:type="paragraph" w:customStyle="1" w:styleId="alevel1">
    <w:name w:val="alevel1"/>
    <w:basedOn w:val="Normal"/>
    <w:qFormat/>
    <w:rsid w:val="00C1708C"/>
    <w:pPr>
      <w:numPr>
        <w:numId w:val="1"/>
      </w:numPr>
      <w:spacing w:after="200" w:line="480" w:lineRule="auto"/>
      <w:jc w:val="both"/>
    </w:pPr>
    <w:rPr>
      <w:rFonts w:ascii="Arial" w:hAnsi="Arial"/>
      <w:lang w:val="en-ZA" w:eastAsia="en-ZA"/>
    </w:rPr>
  </w:style>
  <w:style w:type="paragraph" w:customStyle="1" w:styleId="alevel2">
    <w:name w:val="alevel2"/>
    <w:basedOn w:val="Normal"/>
    <w:qFormat/>
    <w:rsid w:val="00C1708C"/>
    <w:pPr>
      <w:numPr>
        <w:ilvl w:val="1"/>
        <w:numId w:val="1"/>
      </w:numPr>
      <w:spacing w:after="200" w:line="480" w:lineRule="auto"/>
      <w:jc w:val="both"/>
    </w:pPr>
    <w:rPr>
      <w:rFonts w:ascii="Arial" w:hAnsi="Arial"/>
      <w:lang w:val="en-ZA" w:eastAsia="en-ZA"/>
    </w:rPr>
  </w:style>
  <w:style w:type="paragraph" w:customStyle="1" w:styleId="alevel3">
    <w:name w:val="alevel3"/>
    <w:basedOn w:val="Normal"/>
    <w:qFormat/>
    <w:rsid w:val="00C1708C"/>
    <w:pPr>
      <w:numPr>
        <w:ilvl w:val="2"/>
        <w:numId w:val="1"/>
      </w:numPr>
      <w:spacing w:after="200" w:line="480" w:lineRule="auto"/>
      <w:jc w:val="both"/>
    </w:pPr>
    <w:rPr>
      <w:rFonts w:ascii="Arial" w:hAnsi="Arial"/>
      <w:lang w:val="en-ZA" w:eastAsia="en-ZA"/>
    </w:rPr>
  </w:style>
  <w:style w:type="paragraph" w:customStyle="1" w:styleId="alevel4">
    <w:name w:val="alevel4"/>
    <w:basedOn w:val="Normal"/>
    <w:qFormat/>
    <w:rsid w:val="00C1708C"/>
    <w:pPr>
      <w:numPr>
        <w:ilvl w:val="3"/>
        <w:numId w:val="1"/>
      </w:numPr>
      <w:spacing w:after="200" w:line="480" w:lineRule="auto"/>
      <w:jc w:val="both"/>
    </w:pPr>
    <w:rPr>
      <w:rFonts w:ascii="Arial" w:hAnsi="Arial"/>
      <w:lang w:val="en-ZA" w:eastAsia="en-ZA"/>
    </w:rPr>
  </w:style>
  <w:style w:type="paragraph" w:customStyle="1" w:styleId="alevel5">
    <w:name w:val="alevel5"/>
    <w:basedOn w:val="Normal"/>
    <w:qFormat/>
    <w:rsid w:val="00C1708C"/>
    <w:pPr>
      <w:numPr>
        <w:ilvl w:val="4"/>
        <w:numId w:val="1"/>
      </w:numPr>
      <w:spacing w:after="200" w:line="480" w:lineRule="auto"/>
      <w:jc w:val="both"/>
    </w:pPr>
    <w:rPr>
      <w:rFonts w:ascii="Arial" w:hAnsi="Arial"/>
      <w:lang w:val="en-ZA" w:eastAsia="en-ZA"/>
    </w:rPr>
  </w:style>
  <w:style w:type="paragraph" w:customStyle="1" w:styleId="alevel6">
    <w:name w:val="alevel6"/>
    <w:basedOn w:val="alevel1"/>
    <w:qFormat/>
    <w:rsid w:val="00C1708C"/>
    <w:pPr>
      <w:numPr>
        <w:ilvl w:val="5"/>
      </w:numPr>
    </w:pPr>
  </w:style>
  <w:style w:type="paragraph" w:customStyle="1" w:styleId="alevel7">
    <w:name w:val="alevel7"/>
    <w:basedOn w:val="alevel6"/>
    <w:qFormat/>
    <w:rsid w:val="00C1708C"/>
    <w:pPr>
      <w:numPr>
        <w:ilvl w:val="6"/>
      </w:numPr>
    </w:pPr>
  </w:style>
  <w:style w:type="character" w:customStyle="1" w:styleId="g1">
    <w:name w:val="g1"/>
    <w:basedOn w:val="DefaultParagraphFont"/>
    <w:rsid w:val="00AE25BD"/>
  </w:style>
  <w:style w:type="character" w:customStyle="1" w:styleId="mc">
    <w:name w:val="mc"/>
    <w:basedOn w:val="DefaultParagraphFont"/>
    <w:rsid w:val="00AE25BD"/>
  </w:style>
  <w:style w:type="character" w:customStyle="1" w:styleId="Heading2Char">
    <w:name w:val="Heading 2 Char"/>
    <w:basedOn w:val="DefaultParagraphFont"/>
    <w:link w:val="Heading2"/>
    <w:uiPriority w:val="9"/>
    <w:semiHidden/>
    <w:rsid w:val="00FC6B6C"/>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8818E8"/>
    <w:pPr>
      <w:spacing w:before="100" w:beforeAutospacing="1" w:after="100" w:afterAutospacing="1"/>
    </w:pPr>
    <w:rPr>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D1201"/>
    <w:pPr>
      <w:spacing w:after="160" w:line="240" w:lineRule="exact"/>
      <w:jc w:val="both"/>
    </w:pPr>
    <w:rPr>
      <w:rFonts w:asciiTheme="minorHAnsi" w:eastAsiaTheme="minorHAnsi" w:hAnsiTheme="minorHAnsi" w:cstheme="minorBidi"/>
      <w:sz w:val="22"/>
      <w:szCs w:val="22"/>
      <w:vertAlign w:val="superscript"/>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605">
      <w:bodyDiv w:val="1"/>
      <w:marLeft w:val="0"/>
      <w:marRight w:val="0"/>
      <w:marTop w:val="0"/>
      <w:marBottom w:val="0"/>
      <w:divBdr>
        <w:top w:val="none" w:sz="0" w:space="0" w:color="auto"/>
        <w:left w:val="none" w:sz="0" w:space="0" w:color="auto"/>
        <w:bottom w:val="none" w:sz="0" w:space="0" w:color="auto"/>
        <w:right w:val="none" w:sz="0" w:space="0" w:color="auto"/>
      </w:divBdr>
    </w:div>
    <w:div w:id="172578340">
      <w:bodyDiv w:val="1"/>
      <w:marLeft w:val="0"/>
      <w:marRight w:val="0"/>
      <w:marTop w:val="0"/>
      <w:marBottom w:val="0"/>
      <w:divBdr>
        <w:top w:val="none" w:sz="0" w:space="0" w:color="auto"/>
        <w:left w:val="none" w:sz="0" w:space="0" w:color="auto"/>
        <w:bottom w:val="none" w:sz="0" w:space="0" w:color="auto"/>
        <w:right w:val="none" w:sz="0" w:space="0" w:color="auto"/>
      </w:divBdr>
    </w:div>
    <w:div w:id="184099625">
      <w:bodyDiv w:val="1"/>
      <w:marLeft w:val="0"/>
      <w:marRight w:val="0"/>
      <w:marTop w:val="0"/>
      <w:marBottom w:val="0"/>
      <w:divBdr>
        <w:top w:val="none" w:sz="0" w:space="0" w:color="auto"/>
        <w:left w:val="none" w:sz="0" w:space="0" w:color="auto"/>
        <w:bottom w:val="none" w:sz="0" w:space="0" w:color="auto"/>
        <w:right w:val="none" w:sz="0" w:space="0" w:color="auto"/>
      </w:divBdr>
    </w:div>
    <w:div w:id="190922062">
      <w:bodyDiv w:val="1"/>
      <w:marLeft w:val="0"/>
      <w:marRight w:val="0"/>
      <w:marTop w:val="0"/>
      <w:marBottom w:val="0"/>
      <w:divBdr>
        <w:top w:val="none" w:sz="0" w:space="0" w:color="auto"/>
        <w:left w:val="none" w:sz="0" w:space="0" w:color="auto"/>
        <w:bottom w:val="none" w:sz="0" w:space="0" w:color="auto"/>
        <w:right w:val="none" w:sz="0" w:space="0" w:color="auto"/>
      </w:divBdr>
    </w:div>
    <w:div w:id="209073019">
      <w:bodyDiv w:val="1"/>
      <w:marLeft w:val="0"/>
      <w:marRight w:val="0"/>
      <w:marTop w:val="0"/>
      <w:marBottom w:val="0"/>
      <w:divBdr>
        <w:top w:val="none" w:sz="0" w:space="0" w:color="auto"/>
        <w:left w:val="none" w:sz="0" w:space="0" w:color="auto"/>
        <w:bottom w:val="none" w:sz="0" w:space="0" w:color="auto"/>
        <w:right w:val="none" w:sz="0" w:space="0" w:color="auto"/>
      </w:divBdr>
    </w:div>
    <w:div w:id="282470271">
      <w:bodyDiv w:val="1"/>
      <w:marLeft w:val="0"/>
      <w:marRight w:val="0"/>
      <w:marTop w:val="0"/>
      <w:marBottom w:val="0"/>
      <w:divBdr>
        <w:top w:val="none" w:sz="0" w:space="0" w:color="auto"/>
        <w:left w:val="none" w:sz="0" w:space="0" w:color="auto"/>
        <w:bottom w:val="none" w:sz="0" w:space="0" w:color="auto"/>
        <w:right w:val="none" w:sz="0" w:space="0" w:color="auto"/>
      </w:divBdr>
    </w:div>
    <w:div w:id="307826229">
      <w:bodyDiv w:val="1"/>
      <w:marLeft w:val="0"/>
      <w:marRight w:val="0"/>
      <w:marTop w:val="0"/>
      <w:marBottom w:val="0"/>
      <w:divBdr>
        <w:top w:val="none" w:sz="0" w:space="0" w:color="auto"/>
        <w:left w:val="none" w:sz="0" w:space="0" w:color="auto"/>
        <w:bottom w:val="none" w:sz="0" w:space="0" w:color="auto"/>
        <w:right w:val="none" w:sz="0" w:space="0" w:color="auto"/>
      </w:divBdr>
      <w:divsChild>
        <w:div w:id="1271550944">
          <w:marLeft w:val="0"/>
          <w:marRight w:val="0"/>
          <w:marTop w:val="120"/>
          <w:marBottom w:val="0"/>
          <w:divBdr>
            <w:top w:val="none" w:sz="0" w:space="0" w:color="auto"/>
            <w:left w:val="none" w:sz="0" w:space="0" w:color="auto"/>
            <w:bottom w:val="none" w:sz="0" w:space="0" w:color="auto"/>
            <w:right w:val="none" w:sz="0" w:space="0" w:color="auto"/>
          </w:divBdr>
        </w:div>
        <w:div w:id="1346009811">
          <w:marLeft w:val="1134"/>
          <w:marRight w:val="0"/>
          <w:marTop w:val="60"/>
          <w:marBottom w:val="0"/>
          <w:divBdr>
            <w:top w:val="none" w:sz="0" w:space="0" w:color="auto"/>
            <w:left w:val="none" w:sz="0" w:space="0" w:color="auto"/>
            <w:bottom w:val="none" w:sz="0" w:space="0" w:color="auto"/>
            <w:right w:val="none" w:sz="0" w:space="0" w:color="auto"/>
          </w:divBdr>
        </w:div>
        <w:div w:id="1521503139">
          <w:marLeft w:val="1134"/>
          <w:marRight w:val="0"/>
          <w:marTop w:val="60"/>
          <w:marBottom w:val="0"/>
          <w:divBdr>
            <w:top w:val="none" w:sz="0" w:space="0" w:color="auto"/>
            <w:left w:val="none" w:sz="0" w:space="0" w:color="auto"/>
            <w:bottom w:val="none" w:sz="0" w:space="0" w:color="auto"/>
            <w:right w:val="none" w:sz="0" w:space="0" w:color="auto"/>
          </w:divBdr>
        </w:div>
      </w:divsChild>
    </w:div>
    <w:div w:id="345600385">
      <w:bodyDiv w:val="1"/>
      <w:marLeft w:val="0"/>
      <w:marRight w:val="0"/>
      <w:marTop w:val="0"/>
      <w:marBottom w:val="0"/>
      <w:divBdr>
        <w:top w:val="none" w:sz="0" w:space="0" w:color="auto"/>
        <w:left w:val="none" w:sz="0" w:space="0" w:color="auto"/>
        <w:bottom w:val="none" w:sz="0" w:space="0" w:color="auto"/>
        <w:right w:val="none" w:sz="0" w:space="0" w:color="auto"/>
      </w:divBdr>
    </w:div>
    <w:div w:id="361169704">
      <w:bodyDiv w:val="1"/>
      <w:marLeft w:val="0"/>
      <w:marRight w:val="0"/>
      <w:marTop w:val="0"/>
      <w:marBottom w:val="0"/>
      <w:divBdr>
        <w:top w:val="none" w:sz="0" w:space="0" w:color="auto"/>
        <w:left w:val="none" w:sz="0" w:space="0" w:color="auto"/>
        <w:bottom w:val="none" w:sz="0" w:space="0" w:color="auto"/>
        <w:right w:val="none" w:sz="0" w:space="0" w:color="auto"/>
      </w:divBdr>
    </w:div>
    <w:div w:id="368148134">
      <w:bodyDiv w:val="1"/>
      <w:marLeft w:val="0"/>
      <w:marRight w:val="0"/>
      <w:marTop w:val="0"/>
      <w:marBottom w:val="0"/>
      <w:divBdr>
        <w:top w:val="none" w:sz="0" w:space="0" w:color="auto"/>
        <w:left w:val="none" w:sz="0" w:space="0" w:color="auto"/>
        <w:bottom w:val="none" w:sz="0" w:space="0" w:color="auto"/>
        <w:right w:val="none" w:sz="0" w:space="0" w:color="auto"/>
      </w:divBdr>
    </w:div>
    <w:div w:id="445081359">
      <w:bodyDiv w:val="1"/>
      <w:marLeft w:val="0"/>
      <w:marRight w:val="0"/>
      <w:marTop w:val="0"/>
      <w:marBottom w:val="0"/>
      <w:divBdr>
        <w:top w:val="none" w:sz="0" w:space="0" w:color="auto"/>
        <w:left w:val="none" w:sz="0" w:space="0" w:color="auto"/>
        <w:bottom w:val="none" w:sz="0" w:space="0" w:color="auto"/>
        <w:right w:val="none" w:sz="0" w:space="0" w:color="auto"/>
      </w:divBdr>
    </w:div>
    <w:div w:id="479346571">
      <w:bodyDiv w:val="1"/>
      <w:marLeft w:val="0"/>
      <w:marRight w:val="0"/>
      <w:marTop w:val="0"/>
      <w:marBottom w:val="0"/>
      <w:divBdr>
        <w:top w:val="none" w:sz="0" w:space="0" w:color="auto"/>
        <w:left w:val="none" w:sz="0" w:space="0" w:color="auto"/>
        <w:bottom w:val="none" w:sz="0" w:space="0" w:color="auto"/>
        <w:right w:val="none" w:sz="0" w:space="0" w:color="auto"/>
      </w:divBdr>
    </w:div>
    <w:div w:id="510993261">
      <w:bodyDiv w:val="1"/>
      <w:marLeft w:val="0"/>
      <w:marRight w:val="0"/>
      <w:marTop w:val="0"/>
      <w:marBottom w:val="0"/>
      <w:divBdr>
        <w:top w:val="none" w:sz="0" w:space="0" w:color="auto"/>
        <w:left w:val="none" w:sz="0" w:space="0" w:color="auto"/>
        <w:bottom w:val="none" w:sz="0" w:space="0" w:color="auto"/>
        <w:right w:val="none" w:sz="0" w:space="0" w:color="auto"/>
      </w:divBdr>
    </w:div>
    <w:div w:id="511183247">
      <w:bodyDiv w:val="1"/>
      <w:marLeft w:val="0"/>
      <w:marRight w:val="0"/>
      <w:marTop w:val="0"/>
      <w:marBottom w:val="0"/>
      <w:divBdr>
        <w:top w:val="none" w:sz="0" w:space="0" w:color="auto"/>
        <w:left w:val="none" w:sz="0" w:space="0" w:color="auto"/>
        <w:bottom w:val="none" w:sz="0" w:space="0" w:color="auto"/>
        <w:right w:val="none" w:sz="0" w:space="0" w:color="auto"/>
      </w:divBdr>
    </w:div>
    <w:div w:id="552036596">
      <w:bodyDiv w:val="1"/>
      <w:marLeft w:val="0"/>
      <w:marRight w:val="0"/>
      <w:marTop w:val="0"/>
      <w:marBottom w:val="0"/>
      <w:divBdr>
        <w:top w:val="none" w:sz="0" w:space="0" w:color="auto"/>
        <w:left w:val="none" w:sz="0" w:space="0" w:color="auto"/>
        <w:bottom w:val="none" w:sz="0" w:space="0" w:color="auto"/>
        <w:right w:val="none" w:sz="0" w:space="0" w:color="auto"/>
      </w:divBdr>
    </w:div>
    <w:div w:id="563487087">
      <w:bodyDiv w:val="1"/>
      <w:marLeft w:val="0"/>
      <w:marRight w:val="0"/>
      <w:marTop w:val="0"/>
      <w:marBottom w:val="0"/>
      <w:divBdr>
        <w:top w:val="none" w:sz="0" w:space="0" w:color="auto"/>
        <w:left w:val="none" w:sz="0" w:space="0" w:color="auto"/>
        <w:bottom w:val="none" w:sz="0" w:space="0" w:color="auto"/>
        <w:right w:val="none" w:sz="0" w:space="0" w:color="auto"/>
      </w:divBdr>
    </w:div>
    <w:div w:id="593170454">
      <w:bodyDiv w:val="1"/>
      <w:marLeft w:val="0"/>
      <w:marRight w:val="0"/>
      <w:marTop w:val="0"/>
      <w:marBottom w:val="0"/>
      <w:divBdr>
        <w:top w:val="none" w:sz="0" w:space="0" w:color="auto"/>
        <w:left w:val="none" w:sz="0" w:space="0" w:color="auto"/>
        <w:bottom w:val="none" w:sz="0" w:space="0" w:color="auto"/>
        <w:right w:val="none" w:sz="0" w:space="0" w:color="auto"/>
      </w:divBdr>
    </w:div>
    <w:div w:id="595402145">
      <w:bodyDiv w:val="1"/>
      <w:marLeft w:val="0"/>
      <w:marRight w:val="0"/>
      <w:marTop w:val="0"/>
      <w:marBottom w:val="0"/>
      <w:divBdr>
        <w:top w:val="none" w:sz="0" w:space="0" w:color="auto"/>
        <w:left w:val="none" w:sz="0" w:space="0" w:color="auto"/>
        <w:bottom w:val="none" w:sz="0" w:space="0" w:color="auto"/>
        <w:right w:val="none" w:sz="0" w:space="0" w:color="auto"/>
      </w:divBdr>
    </w:div>
    <w:div w:id="603416877">
      <w:bodyDiv w:val="1"/>
      <w:marLeft w:val="0"/>
      <w:marRight w:val="0"/>
      <w:marTop w:val="0"/>
      <w:marBottom w:val="0"/>
      <w:divBdr>
        <w:top w:val="none" w:sz="0" w:space="0" w:color="auto"/>
        <w:left w:val="none" w:sz="0" w:space="0" w:color="auto"/>
        <w:bottom w:val="none" w:sz="0" w:space="0" w:color="auto"/>
        <w:right w:val="none" w:sz="0" w:space="0" w:color="auto"/>
      </w:divBdr>
    </w:div>
    <w:div w:id="615872885">
      <w:bodyDiv w:val="1"/>
      <w:marLeft w:val="0"/>
      <w:marRight w:val="0"/>
      <w:marTop w:val="0"/>
      <w:marBottom w:val="0"/>
      <w:divBdr>
        <w:top w:val="none" w:sz="0" w:space="0" w:color="auto"/>
        <w:left w:val="none" w:sz="0" w:space="0" w:color="auto"/>
        <w:bottom w:val="none" w:sz="0" w:space="0" w:color="auto"/>
        <w:right w:val="none" w:sz="0" w:space="0" w:color="auto"/>
      </w:divBdr>
    </w:div>
    <w:div w:id="619871823">
      <w:bodyDiv w:val="1"/>
      <w:marLeft w:val="0"/>
      <w:marRight w:val="0"/>
      <w:marTop w:val="0"/>
      <w:marBottom w:val="0"/>
      <w:divBdr>
        <w:top w:val="none" w:sz="0" w:space="0" w:color="auto"/>
        <w:left w:val="none" w:sz="0" w:space="0" w:color="auto"/>
        <w:bottom w:val="none" w:sz="0" w:space="0" w:color="auto"/>
        <w:right w:val="none" w:sz="0" w:space="0" w:color="auto"/>
      </w:divBdr>
    </w:div>
    <w:div w:id="655915328">
      <w:bodyDiv w:val="1"/>
      <w:marLeft w:val="0"/>
      <w:marRight w:val="0"/>
      <w:marTop w:val="0"/>
      <w:marBottom w:val="0"/>
      <w:divBdr>
        <w:top w:val="none" w:sz="0" w:space="0" w:color="auto"/>
        <w:left w:val="none" w:sz="0" w:space="0" w:color="auto"/>
        <w:bottom w:val="none" w:sz="0" w:space="0" w:color="auto"/>
        <w:right w:val="none" w:sz="0" w:space="0" w:color="auto"/>
      </w:divBdr>
    </w:div>
    <w:div w:id="698895522">
      <w:bodyDiv w:val="1"/>
      <w:marLeft w:val="0"/>
      <w:marRight w:val="0"/>
      <w:marTop w:val="0"/>
      <w:marBottom w:val="0"/>
      <w:divBdr>
        <w:top w:val="none" w:sz="0" w:space="0" w:color="auto"/>
        <w:left w:val="none" w:sz="0" w:space="0" w:color="auto"/>
        <w:bottom w:val="none" w:sz="0" w:space="0" w:color="auto"/>
        <w:right w:val="none" w:sz="0" w:space="0" w:color="auto"/>
      </w:divBdr>
    </w:div>
    <w:div w:id="716317293">
      <w:bodyDiv w:val="1"/>
      <w:marLeft w:val="0"/>
      <w:marRight w:val="0"/>
      <w:marTop w:val="0"/>
      <w:marBottom w:val="0"/>
      <w:divBdr>
        <w:top w:val="none" w:sz="0" w:space="0" w:color="auto"/>
        <w:left w:val="none" w:sz="0" w:space="0" w:color="auto"/>
        <w:bottom w:val="none" w:sz="0" w:space="0" w:color="auto"/>
        <w:right w:val="none" w:sz="0" w:space="0" w:color="auto"/>
      </w:divBdr>
    </w:div>
    <w:div w:id="726732275">
      <w:bodyDiv w:val="1"/>
      <w:marLeft w:val="0"/>
      <w:marRight w:val="0"/>
      <w:marTop w:val="0"/>
      <w:marBottom w:val="0"/>
      <w:divBdr>
        <w:top w:val="none" w:sz="0" w:space="0" w:color="auto"/>
        <w:left w:val="none" w:sz="0" w:space="0" w:color="auto"/>
        <w:bottom w:val="none" w:sz="0" w:space="0" w:color="auto"/>
        <w:right w:val="none" w:sz="0" w:space="0" w:color="auto"/>
      </w:divBdr>
    </w:div>
    <w:div w:id="807740717">
      <w:bodyDiv w:val="1"/>
      <w:marLeft w:val="0"/>
      <w:marRight w:val="0"/>
      <w:marTop w:val="0"/>
      <w:marBottom w:val="0"/>
      <w:divBdr>
        <w:top w:val="none" w:sz="0" w:space="0" w:color="auto"/>
        <w:left w:val="none" w:sz="0" w:space="0" w:color="auto"/>
        <w:bottom w:val="none" w:sz="0" w:space="0" w:color="auto"/>
        <w:right w:val="none" w:sz="0" w:space="0" w:color="auto"/>
      </w:divBdr>
    </w:div>
    <w:div w:id="876548553">
      <w:bodyDiv w:val="1"/>
      <w:marLeft w:val="0"/>
      <w:marRight w:val="0"/>
      <w:marTop w:val="0"/>
      <w:marBottom w:val="0"/>
      <w:divBdr>
        <w:top w:val="none" w:sz="0" w:space="0" w:color="auto"/>
        <w:left w:val="none" w:sz="0" w:space="0" w:color="auto"/>
        <w:bottom w:val="none" w:sz="0" w:space="0" w:color="auto"/>
        <w:right w:val="none" w:sz="0" w:space="0" w:color="auto"/>
      </w:divBdr>
    </w:div>
    <w:div w:id="893275473">
      <w:bodyDiv w:val="1"/>
      <w:marLeft w:val="0"/>
      <w:marRight w:val="0"/>
      <w:marTop w:val="0"/>
      <w:marBottom w:val="0"/>
      <w:divBdr>
        <w:top w:val="none" w:sz="0" w:space="0" w:color="auto"/>
        <w:left w:val="none" w:sz="0" w:space="0" w:color="auto"/>
        <w:bottom w:val="none" w:sz="0" w:space="0" w:color="auto"/>
        <w:right w:val="none" w:sz="0" w:space="0" w:color="auto"/>
      </w:divBdr>
    </w:div>
    <w:div w:id="933132145">
      <w:bodyDiv w:val="1"/>
      <w:marLeft w:val="0"/>
      <w:marRight w:val="0"/>
      <w:marTop w:val="0"/>
      <w:marBottom w:val="0"/>
      <w:divBdr>
        <w:top w:val="none" w:sz="0" w:space="0" w:color="auto"/>
        <w:left w:val="none" w:sz="0" w:space="0" w:color="auto"/>
        <w:bottom w:val="none" w:sz="0" w:space="0" w:color="auto"/>
        <w:right w:val="none" w:sz="0" w:space="0" w:color="auto"/>
      </w:divBdr>
    </w:div>
    <w:div w:id="976253693">
      <w:bodyDiv w:val="1"/>
      <w:marLeft w:val="0"/>
      <w:marRight w:val="0"/>
      <w:marTop w:val="0"/>
      <w:marBottom w:val="0"/>
      <w:divBdr>
        <w:top w:val="none" w:sz="0" w:space="0" w:color="auto"/>
        <w:left w:val="none" w:sz="0" w:space="0" w:color="auto"/>
        <w:bottom w:val="none" w:sz="0" w:space="0" w:color="auto"/>
        <w:right w:val="none" w:sz="0" w:space="0" w:color="auto"/>
      </w:divBdr>
    </w:div>
    <w:div w:id="1027634210">
      <w:bodyDiv w:val="1"/>
      <w:marLeft w:val="0"/>
      <w:marRight w:val="0"/>
      <w:marTop w:val="0"/>
      <w:marBottom w:val="0"/>
      <w:divBdr>
        <w:top w:val="none" w:sz="0" w:space="0" w:color="auto"/>
        <w:left w:val="none" w:sz="0" w:space="0" w:color="auto"/>
        <w:bottom w:val="none" w:sz="0" w:space="0" w:color="auto"/>
        <w:right w:val="none" w:sz="0" w:space="0" w:color="auto"/>
      </w:divBdr>
    </w:div>
    <w:div w:id="1041444923">
      <w:bodyDiv w:val="1"/>
      <w:marLeft w:val="0"/>
      <w:marRight w:val="0"/>
      <w:marTop w:val="0"/>
      <w:marBottom w:val="0"/>
      <w:divBdr>
        <w:top w:val="none" w:sz="0" w:space="0" w:color="auto"/>
        <w:left w:val="none" w:sz="0" w:space="0" w:color="auto"/>
        <w:bottom w:val="none" w:sz="0" w:space="0" w:color="auto"/>
        <w:right w:val="none" w:sz="0" w:space="0" w:color="auto"/>
      </w:divBdr>
    </w:div>
    <w:div w:id="1043361487">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89352429">
      <w:bodyDiv w:val="1"/>
      <w:marLeft w:val="0"/>
      <w:marRight w:val="0"/>
      <w:marTop w:val="0"/>
      <w:marBottom w:val="0"/>
      <w:divBdr>
        <w:top w:val="none" w:sz="0" w:space="0" w:color="auto"/>
        <w:left w:val="none" w:sz="0" w:space="0" w:color="auto"/>
        <w:bottom w:val="none" w:sz="0" w:space="0" w:color="auto"/>
        <w:right w:val="none" w:sz="0" w:space="0" w:color="auto"/>
      </w:divBdr>
    </w:div>
    <w:div w:id="1132676540">
      <w:bodyDiv w:val="1"/>
      <w:marLeft w:val="0"/>
      <w:marRight w:val="0"/>
      <w:marTop w:val="0"/>
      <w:marBottom w:val="0"/>
      <w:divBdr>
        <w:top w:val="none" w:sz="0" w:space="0" w:color="auto"/>
        <w:left w:val="none" w:sz="0" w:space="0" w:color="auto"/>
        <w:bottom w:val="none" w:sz="0" w:space="0" w:color="auto"/>
        <w:right w:val="none" w:sz="0" w:space="0" w:color="auto"/>
      </w:divBdr>
    </w:div>
    <w:div w:id="1145128393">
      <w:bodyDiv w:val="1"/>
      <w:marLeft w:val="0"/>
      <w:marRight w:val="0"/>
      <w:marTop w:val="0"/>
      <w:marBottom w:val="0"/>
      <w:divBdr>
        <w:top w:val="none" w:sz="0" w:space="0" w:color="auto"/>
        <w:left w:val="none" w:sz="0" w:space="0" w:color="auto"/>
        <w:bottom w:val="none" w:sz="0" w:space="0" w:color="auto"/>
        <w:right w:val="none" w:sz="0" w:space="0" w:color="auto"/>
      </w:divBdr>
    </w:div>
    <w:div w:id="1167015128">
      <w:bodyDiv w:val="1"/>
      <w:marLeft w:val="0"/>
      <w:marRight w:val="0"/>
      <w:marTop w:val="0"/>
      <w:marBottom w:val="0"/>
      <w:divBdr>
        <w:top w:val="none" w:sz="0" w:space="0" w:color="auto"/>
        <w:left w:val="none" w:sz="0" w:space="0" w:color="auto"/>
        <w:bottom w:val="none" w:sz="0" w:space="0" w:color="auto"/>
        <w:right w:val="none" w:sz="0" w:space="0" w:color="auto"/>
      </w:divBdr>
    </w:div>
    <w:div w:id="1190682773">
      <w:bodyDiv w:val="1"/>
      <w:marLeft w:val="0"/>
      <w:marRight w:val="0"/>
      <w:marTop w:val="0"/>
      <w:marBottom w:val="0"/>
      <w:divBdr>
        <w:top w:val="none" w:sz="0" w:space="0" w:color="auto"/>
        <w:left w:val="none" w:sz="0" w:space="0" w:color="auto"/>
        <w:bottom w:val="none" w:sz="0" w:space="0" w:color="auto"/>
        <w:right w:val="none" w:sz="0" w:space="0" w:color="auto"/>
      </w:divBdr>
    </w:div>
    <w:div w:id="1200778357">
      <w:bodyDiv w:val="1"/>
      <w:marLeft w:val="0"/>
      <w:marRight w:val="0"/>
      <w:marTop w:val="0"/>
      <w:marBottom w:val="0"/>
      <w:divBdr>
        <w:top w:val="none" w:sz="0" w:space="0" w:color="auto"/>
        <w:left w:val="none" w:sz="0" w:space="0" w:color="auto"/>
        <w:bottom w:val="none" w:sz="0" w:space="0" w:color="auto"/>
        <w:right w:val="none" w:sz="0" w:space="0" w:color="auto"/>
      </w:divBdr>
    </w:div>
    <w:div w:id="1205825523">
      <w:bodyDiv w:val="1"/>
      <w:marLeft w:val="0"/>
      <w:marRight w:val="0"/>
      <w:marTop w:val="0"/>
      <w:marBottom w:val="0"/>
      <w:divBdr>
        <w:top w:val="none" w:sz="0" w:space="0" w:color="auto"/>
        <w:left w:val="none" w:sz="0" w:space="0" w:color="auto"/>
        <w:bottom w:val="none" w:sz="0" w:space="0" w:color="auto"/>
        <w:right w:val="none" w:sz="0" w:space="0" w:color="auto"/>
      </w:divBdr>
    </w:div>
    <w:div w:id="1211457464">
      <w:bodyDiv w:val="1"/>
      <w:marLeft w:val="0"/>
      <w:marRight w:val="0"/>
      <w:marTop w:val="0"/>
      <w:marBottom w:val="0"/>
      <w:divBdr>
        <w:top w:val="none" w:sz="0" w:space="0" w:color="auto"/>
        <w:left w:val="none" w:sz="0" w:space="0" w:color="auto"/>
        <w:bottom w:val="none" w:sz="0" w:space="0" w:color="auto"/>
        <w:right w:val="none" w:sz="0" w:space="0" w:color="auto"/>
      </w:divBdr>
    </w:div>
    <w:div w:id="1214999652">
      <w:bodyDiv w:val="1"/>
      <w:marLeft w:val="0"/>
      <w:marRight w:val="0"/>
      <w:marTop w:val="0"/>
      <w:marBottom w:val="0"/>
      <w:divBdr>
        <w:top w:val="none" w:sz="0" w:space="0" w:color="auto"/>
        <w:left w:val="none" w:sz="0" w:space="0" w:color="auto"/>
        <w:bottom w:val="none" w:sz="0" w:space="0" w:color="auto"/>
        <w:right w:val="none" w:sz="0" w:space="0" w:color="auto"/>
      </w:divBdr>
    </w:div>
    <w:div w:id="1289624353">
      <w:bodyDiv w:val="1"/>
      <w:marLeft w:val="0"/>
      <w:marRight w:val="0"/>
      <w:marTop w:val="0"/>
      <w:marBottom w:val="0"/>
      <w:divBdr>
        <w:top w:val="none" w:sz="0" w:space="0" w:color="auto"/>
        <w:left w:val="none" w:sz="0" w:space="0" w:color="auto"/>
        <w:bottom w:val="none" w:sz="0" w:space="0" w:color="auto"/>
        <w:right w:val="none" w:sz="0" w:space="0" w:color="auto"/>
      </w:divBdr>
    </w:div>
    <w:div w:id="1303389410">
      <w:bodyDiv w:val="1"/>
      <w:marLeft w:val="0"/>
      <w:marRight w:val="0"/>
      <w:marTop w:val="0"/>
      <w:marBottom w:val="0"/>
      <w:divBdr>
        <w:top w:val="none" w:sz="0" w:space="0" w:color="auto"/>
        <w:left w:val="none" w:sz="0" w:space="0" w:color="auto"/>
        <w:bottom w:val="none" w:sz="0" w:space="0" w:color="auto"/>
        <w:right w:val="none" w:sz="0" w:space="0" w:color="auto"/>
      </w:divBdr>
    </w:div>
    <w:div w:id="1374888965">
      <w:bodyDiv w:val="1"/>
      <w:marLeft w:val="0"/>
      <w:marRight w:val="0"/>
      <w:marTop w:val="0"/>
      <w:marBottom w:val="0"/>
      <w:divBdr>
        <w:top w:val="none" w:sz="0" w:space="0" w:color="auto"/>
        <w:left w:val="none" w:sz="0" w:space="0" w:color="auto"/>
        <w:bottom w:val="none" w:sz="0" w:space="0" w:color="auto"/>
        <w:right w:val="none" w:sz="0" w:space="0" w:color="auto"/>
      </w:divBdr>
    </w:div>
    <w:div w:id="1409575345">
      <w:bodyDiv w:val="1"/>
      <w:marLeft w:val="0"/>
      <w:marRight w:val="0"/>
      <w:marTop w:val="0"/>
      <w:marBottom w:val="0"/>
      <w:divBdr>
        <w:top w:val="none" w:sz="0" w:space="0" w:color="auto"/>
        <w:left w:val="none" w:sz="0" w:space="0" w:color="auto"/>
        <w:bottom w:val="none" w:sz="0" w:space="0" w:color="auto"/>
        <w:right w:val="none" w:sz="0" w:space="0" w:color="auto"/>
      </w:divBdr>
    </w:div>
    <w:div w:id="1427387872">
      <w:bodyDiv w:val="1"/>
      <w:marLeft w:val="0"/>
      <w:marRight w:val="0"/>
      <w:marTop w:val="0"/>
      <w:marBottom w:val="0"/>
      <w:divBdr>
        <w:top w:val="none" w:sz="0" w:space="0" w:color="auto"/>
        <w:left w:val="none" w:sz="0" w:space="0" w:color="auto"/>
        <w:bottom w:val="none" w:sz="0" w:space="0" w:color="auto"/>
        <w:right w:val="none" w:sz="0" w:space="0" w:color="auto"/>
      </w:divBdr>
    </w:div>
    <w:div w:id="1428499771">
      <w:bodyDiv w:val="1"/>
      <w:marLeft w:val="0"/>
      <w:marRight w:val="0"/>
      <w:marTop w:val="0"/>
      <w:marBottom w:val="0"/>
      <w:divBdr>
        <w:top w:val="none" w:sz="0" w:space="0" w:color="auto"/>
        <w:left w:val="none" w:sz="0" w:space="0" w:color="auto"/>
        <w:bottom w:val="none" w:sz="0" w:space="0" w:color="auto"/>
        <w:right w:val="none" w:sz="0" w:space="0" w:color="auto"/>
      </w:divBdr>
    </w:div>
    <w:div w:id="1453864745">
      <w:bodyDiv w:val="1"/>
      <w:marLeft w:val="0"/>
      <w:marRight w:val="0"/>
      <w:marTop w:val="0"/>
      <w:marBottom w:val="0"/>
      <w:divBdr>
        <w:top w:val="none" w:sz="0" w:space="0" w:color="auto"/>
        <w:left w:val="none" w:sz="0" w:space="0" w:color="auto"/>
        <w:bottom w:val="none" w:sz="0" w:space="0" w:color="auto"/>
        <w:right w:val="none" w:sz="0" w:space="0" w:color="auto"/>
      </w:divBdr>
    </w:div>
    <w:div w:id="1492522638">
      <w:bodyDiv w:val="1"/>
      <w:marLeft w:val="0"/>
      <w:marRight w:val="0"/>
      <w:marTop w:val="0"/>
      <w:marBottom w:val="0"/>
      <w:divBdr>
        <w:top w:val="none" w:sz="0" w:space="0" w:color="auto"/>
        <w:left w:val="none" w:sz="0" w:space="0" w:color="auto"/>
        <w:bottom w:val="none" w:sz="0" w:space="0" w:color="auto"/>
        <w:right w:val="none" w:sz="0" w:space="0" w:color="auto"/>
      </w:divBdr>
    </w:div>
    <w:div w:id="1494757608">
      <w:bodyDiv w:val="1"/>
      <w:marLeft w:val="0"/>
      <w:marRight w:val="0"/>
      <w:marTop w:val="0"/>
      <w:marBottom w:val="0"/>
      <w:divBdr>
        <w:top w:val="none" w:sz="0" w:space="0" w:color="auto"/>
        <w:left w:val="none" w:sz="0" w:space="0" w:color="auto"/>
        <w:bottom w:val="none" w:sz="0" w:space="0" w:color="auto"/>
        <w:right w:val="none" w:sz="0" w:space="0" w:color="auto"/>
      </w:divBdr>
    </w:div>
    <w:div w:id="1516729798">
      <w:bodyDiv w:val="1"/>
      <w:marLeft w:val="0"/>
      <w:marRight w:val="0"/>
      <w:marTop w:val="0"/>
      <w:marBottom w:val="0"/>
      <w:divBdr>
        <w:top w:val="none" w:sz="0" w:space="0" w:color="auto"/>
        <w:left w:val="none" w:sz="0" w:space="0" w:color="auto"/>
        <w:bottom w:val="none" w:sz="0" w:space="0" w:color="auto"/>
        <w:right w:val="none" w:sz="0" w:space="0" w:color="auto"/>
      </w:divBdr>
    </w:div>
    <w:div w:id="1521042891">
      <w:bodyDiv w:val="1"/>
      <w:marLeft w:val="0"/>
      <w:marRight w:val="0"/>
      <w:marTop w:val="0"/>
      <w:marBottom w:val="0"/>
      <w:divBdr>
        <w:top w:val="none" w:sz="0" w:space="0" w:color="auto"/>
        <w:left w:val="none" w:sz="0" w:space="0" w:color="auto"/>
        <w:bottom w:val="none" w:sz="0" w:space="0" w:color="auto"/>
        <w:right w:val="none" w:sz="0" w:space="0" w:color="auto"/>
      </w:divBdr>
    </w:div>
    <w:div w:id="1544171636">
      <w:bodyDiv w:val="1"/>
      <w:marLeft w:val="0"/>
      <w:marRight w:val="0"/>
      <w:marTop w:val="0"/>
      <w:marBottom w:val="0"/>
      <w:divBdr>
        <w:top w:val="none" w:sz="0" w:space="0" w:color="auto"/>
        <w:left w:val="none" w:sz="0" w:space="0" w:color="auto"/>
        <w:bottom w:val="none" w:sz="0" w:space="0" w:color="auto"/>
        <w:right w:val="none" w:sz="0" w:space="0" w:color="auto"/>
      </w:divBdr>
    </w:div>
    <w:div w:id="1545944508">
      <w:bodyDiv w:val="1"/>
      <w:marLeft w:val="0"/>
      <w:marRight w:val="0"/>
      <w:marTop w:val="0"/>
      <w:marBottom w:val="0"/>
      <w:divBdr>
        <w:top w:val="none" w:sz="0" w:space="0" w:color="auto"/>
        <w:left w:val="none" w:sz="0" w:space="0" w:color="auto"/>
        <w:bottom w:val="none" w:sz="0" w:space="0" w:color="auto"/>
        <w:right w:val="none" w:sz="0" w:space="0" w:color="auto"/>
      </w:divBdr>
    </w:div>
    <w:div w:id="1553544183">
      <w:bodyDiv w:val="1"/>
      <w:marLeft w:val="0"/>
      <w:marRight w:val="0"/>
      <w:marTop w:val="0"/>
      <w:marBottom w:val="0"/>
      <w:divBdr>
        <w:top w:val="none" w:sz="0" w:space="0" w:color="auto"/>
        <w:left w:val="none" w:sz="0" w:space="0" w:color="auto"/>
        <w:bottom w:val="none" w:sz="0" w:space="0" w:color="auto"/>
        <w:right w:val="none" w:sz="0" w:space="0" w:color="auto"/>
      </w:divBdr>
    </w:div>
    <w:div w:id="1637106420">
      <w:bodyDiv w:val="1"/>
      <w:marLeft w:val="0"/>
      <w:marRight w:val="0"/>
      <w:marTop w:val="0"/>
      <w:marBottom w:val="0"/>
      <w:divBdr>
        <w:top w:val="none" w:sz="0" w:space="0" w:color="auto"/>
        <w:left w:val="none" w:sz="0" w:space="0" w:color="auto"/>
        <w:bottom w:val="none" w:sz="0" w:space="0" w:color="auto"/>
        <w:right w:val="none" w:sz="0" w:space="0" w:color="auto"/>
      </w:divBdr>
    </w:div>
    <w:div w:id="1648244135">
      <w:bodyDiv w:val="1"/>
      <w:marLeft w:val="0"/>
      <w:marRight w:val="0"/>
      <w:marTop w:val="0"/>
      <w:marBottom w:val="0"/>
      <w:divBdr>
        <w:top w:val="none" w:sz="0" w:space="0" w:color="auto"/>
        <w:left w:val="none" w:sz="0" w:space="0" w:color="auto"/>
        <w:bottom w:val="none" w:sz="0" w:space="0" w:color="auto"/>
        <w:right w:val="none" w:sz="0" w:space="0" w:color="auto"/>
      </w:divBdr>
    </w:div>
    <w:div w:id="1659533382">
      <w:bodyDiv w:val="1"/>
      <w:marLeft w:val="0"/>
      <w:marRight w:val="0"/>
      <w:marTop w:val="0"/>
      <w:marBottom w:val="0"/>
      <w:divBdr>
        <w:top w:val="none" w:sz="0" w:space="0" w:color="auto"/>
        <w:left w:val="none" w:sz="0" w:space="0" w:color="auto"/>
        <w:bottom w:val="none" w:sz="0" w:space="0" w:color="auto"/>
        <w:right w:val="none" w:sz="0" w:space="0" w:color="auto"/>
      </w:divBdr>
    </w:div>
    <w:div w:id="1684041921">
      <w:bodyDiv w:val="1"/>
      <w:marLeft w:val="0"/>
      <w:marRight w:val="0"/>
      <w:marTop w:val="0"/>
      <w:marBottom w:val="0"/>
      <w:divBdr>
        <w:top w:val="none" w:sz="0" w:space="0" w:color="auto"/>
        <w:left w:val="none" w:sz="0" w:space="0" w:color="auto"/>
        <w:bottom w:val="none" w:sz="0" w:space="0" w:color="auto"/>
        <w:right w:val="none" w:sz="0" w:space="0" w:color="auto"/>
      </w:divBdr>
      <w:divsChild>
        <w:div w:id="354574347">
          <w:marLeft w:val="567"/>
          <w:marRight w:val="0"/>
          <w:marTop w:val="60"/>
          <w:marBottom w:val="0"/>
          <w:divBdr>
            <w:top w:val="none" w:sz="0" w:space="0" w:color="auto"/>
            <w:left w:val="none" w:sz="0" w:space="0" w:color="auto"/>
            <w:bottom w:val="none" w:sz="0" w:space="0" w:color="auto"/>
            <w:right w:val="none" w:sz="0" w:space="0" w:color="auto"/>
          </w:divBdr>
        </w:div>
        <w:div w:id="445009822">
          <w:marLeft w:val="0"/>
          <w:marRight w:val="0"/>
          <w:marTop w:val="240"/>
          <w:marBottom w:val="24"/>
          <w:divBdr>
            <w:top w:val="single" w:sz="8" w:space="2" w:color="808080"/>
            <w:left w:val="none" w:sz="0" w:space="0" w:color="auto"/>
            <w:bottom w:val="none" w:sz="0" w:space="0" w:color="auto"/>
            <w:right w:val="none" w:sz="0" w:space="0" w:color="auto"/>
          </w:divBdr>
        </w:div>
        <w:div w:id="608393993">
          <w:marLeft w:val="567"/>
          <w:marRight w:val="0"/>
          <w:marTop w:val="60"/>
          <w:marBottom w:val="0"/>
          <w:divBdr>
            <w:top w:val="none" w:sz="0" w:space="0" w:color="auto"/>
            <w:left w:val="none" w:sz="0" w:space="0" w:color="auto"/>
            <w:bottom w:val="none" w:sz="0" w:space="0" w:color="auto"/>
            <w:right w:val="none" w:sz="0" w:space="0" w:color="auto"/>
          </w:divBdr>
        </w:div>
        <w:div w:id="1293242943">
          <w:marLeft w:val="567"/>
          <w:marRight w:val="0"/>
          <w:marTop w:val="60"/>
          <w:marBottom w:val="0"/>
          <w:divBdr>
            <w:top w:val="none" w:sz="0" w:space="0" w:color="auto"/>
            <w:left w:val="none" w:sz="0" w:space="0" w:color="auto"/>
            <w:bottom w:val="none" w:sz="0" w:space="0" w:color="auto"/>
            <w:right w:val="none" w:sz="0" w:space="0" w:color="auto"/>
          </w:divBdr>
        </w:div>
        <w:div w:id="1658342416">
          <w:marLeft w:val="0"/>
          <w:marRight w:val="0"/>
          <w:marTop w:val="120"/>
          <w:marBottom w:val="0"/>
          <w:divBdr>
            <w:top w:val="none" w:sz="0" w:space="0" w:color="auto"/>
            <w:left w:val="none" w:sz="0" w:space="0" w:color="auto"/>
            <w:bottom w:val="none" w:sz="0" w:space="0" w:color="auto"/>
            <w:right w:val="none" w:sz="0" w:space="0" w:color="auto"/>
          </w:divBdr>
        </w:div>
        <w:div w:id="1997807326">
          <w:marLeft w:val="0"/>
          <w:marRight w:val="0"/>
          <w:marTop w:val="120"/>
          <w:marBottom w:val="0"/>
          <w:divBdr>
            <w:top w:val="none" w:sz="0" w:space="0" w:color="auto"/>
            <w:left w:val="none" w:sz="0" w:space="0" w:color="auto"/>
            <w:bottom w:val="none" w:sz="0" w:space="0" w:color="auto"/>
            <w:right w:val="none" w:sz="0" w:space="0" w:color="auto"/>
          </w:divBdr>
        </w:div>
      </w:divsChild>
    </w:div>
    <w:div w:id="1702826149">
      <w:bodyDiv w:val="1"/>
      <w:marLeft w:val="0"/>
      <w:marRight w:val="0"/>
      <w:marTop w:val="0"/>
      <w:marBottom w:val="0"/>
      <w:divBdr>
        <w:top w:val="none" w:sz="0" w:space="0" w:color="auto"/>
        <w:left w:val="none" w:sz="0" w:space="0" w:color="auto"/>
        <w:bottom w:val="none" w:sz="0" w:space="0" w:color="auto"/>
        <w:right w:val="none" w:sz="0" w:space="0" w:color="auto"/>
      </w:divBdr>
    </w:div>
    <w:div w:id="1740785012">
      <w:bodyDiv w:val="1"/>
      <w:marLeft w:val="0"/>
      <w:marRight w:val="0"/>
      <w:marTop w:val="0"/>
      <w:marBottom w:val="0"/>
      <w:divBdr>
        <w:top w:val="none" w:sz="0" w:space="0" w:color="auto"/>
        <w:left w:val="none" w:sz="0" w:space="0" w:color="auto"/>
        <w:bottom w:val="none" w:sz="0" w:space="0" w:color="auto"/>
        <w:right w:val="none" w:sz="0" w:space="0" w:color="auto"/>
      </w:divBdr>
    </w:div>
    <w:div w:id="1742756579">
      <w:bodyDiv w:val="1"/>
      <w:marLeft w:val="0"/>
      <w:marRight w:val="0"/>
      <w:marTop w:val="0"/>
      <w:marBottom w:val="0"/>
      <w:divBdr>
        <w:top w:val="none" w:sz="0" w:space="0" w:color="auto"/>
        <w:left w:val="none" w:sz="0" w:space="0" w:color="auto"/>
        <w:bottom w:val="none" w:sz="0" w:space="0" w:color="auto"/>
        <w:right w:val="none" w:sz="0" w:space="0" w:color="auto"/>
      </w:divBdr>
    </w:div>
    <w:div w:id="1838768899">
      <w:bodyDiv w:val="1"/>
      <w:marLeft w:val="0"/>
      <w:marRight w:val="0"/>
      <w:marTop w:val="0"/>
      <w:marBottom w:val="0"/>
      <w:divBdr>
        <w:top w:val="none" w:sz="0" w:space="0" w:color="auto"/>
        <w:left w:val="none" w:sz="0" w:space="0" w:color="auto"/>
        <w:bottom w:val="none" w:sz="0" w:space="0" w:color="auto"/>
        <w:right w:val="none" w:sz="0" w:space="0" w:color="auto"/>
      </w:divBdr>
    </w:div>
    <w:div w:id="1869485623">
      <w:bodyDiv w:val="1"/>
      <w:marLeft w:val="0"/>
      <w:marRight w:val="0"/>
      <w:marTop w:val="0"/>
      <w:marBottom w:val="0"/>
      <w:divBdr>
        <w:top w:val="none" w:sz="0" w:space="0" w:color="auto"/>
        <w:left w:val="none" w:sz="0" w:space="0" w:color="auto"/>
        <w:bottom w:val="none" w:sz="0" w:space="0" w:color="auto"/>
        <w:right w:val="none" w:sz="0" w:space="0" w:color="auto"/>
      </w:divBdr>
    </w:div>
    <w:div w:id="1880166813">
      <w:bodyDiv w:val="1"/>
      <w:marLeft w:val="0"/>
      <w:marRight w:val="0"/>
      <w:marTop w:val="0"/>
      <w:marBottom w:val="0"/>
      <w:divBdr>
        <w:top w:val="none" w:sz="0" w:space="0" w:color="auto"/>
        <w:left w:val="none" w:sz="0" w:space="0" w:color="auto"/>
        <w:bottom w:val="none" w:sz="0" w:space="0" w:color="auto"/>
        <w:right w:val="none" w:sz="0" w:space="0" w:color="auto"/>
      </w:divBdr>
    </w:div>
    <w:div w:id="1912353803">
      <w:bodyDiv w:val="1"/>
      <w:marLeft w:val="0"/>
      <w:marRight w:val="0"/>
      <w:marTop w:val="0"/>
      <w:marBottom w:val="0"/>
      <w:divBdr>
        <w:top w:val="none" w:sz="0" w:space="0" w:color="auto"/>
        <w:left w:val="none" w:sz="0" w:space="0" w:color="auto"/>
        <w:bottom w:val="none" w:sz="0" w:space="0" w:color="auto"/>
        <w:right w:val="none" w:sz="0" w:space="0" w:color="auto"/>
      </w:divBdr>
    </w:div>
    <w:div w:id="1953051374">
      <w:bodyDiv w:val="1"/>
      <w:marLeft w:val="0"/>
      <w:marRight w:val="0"/>
      <w:marTop w:val="0"/>
      <w:marBottom w:val="0"/>
      <w:divBdr>
        <w:top w:val="none" w:sz="0" w:space="0" w:color="auto"/>
        <w:left w:val="none" w:sz="0" w:space="0" w:color="auto"/>
        <w:bottom w:val="none" w:sz="0" w:space="0" w:color="auto"/>
        <w:right w:val="none" w:sz="0" w:space="0" w:color="auto"/>
      </w:divBdr>
    </w:div>
    <w:div w:id="1962489734">
      <w:bodyDiv w:val="1"/>
      <w:marLeft w:val="0"/>
      <w:marRight w:val="0"/>
      <w:marTop w:val="0"/>
      <w:marBottom w:val="0"/>
      <w:divBdr>
        <w:top w:val="none" w:sz="0" w:space="0" w:color="auto"/>
        <w:left w:val="none" w:sz="0" w:space="0" w:color="auto"/>
        <w:bottom w:val="none" w:sz="0" w:space="0" w:color="auto"/>
        <w:right w:val="none" w:sz="0" w:space="0" w:color="auto"/>
      </w:divBdr>
    </w:div>
    <w:div w:id="1966889372">
      <w:bodyDiv w:val="1"/>
      <w:marLeft w:val="0"/>
      <w:marRight w:val="0"/>
      <w:marTop w:val="0"/>
      <w:marBottom w:val="0"/>
      <w:divBdr>
        <w:top w:val="none" w:sz="0" w:space="0" w:color="auto"/>
        <w:left w:val="none" w:sz="0" w:space="0" w:color="auto"/>
        <w:bottom w:val="none" w:sz="0" w:space="0" w:color="auto"/>
        <w:right w:val="none" w:sz="0" w:space="0" w:color="auto"/>
      </w:divBdr>
    </w:div>
    <w:div w:id="1975255522">
      <w:bodyDiv w:val="1"/>
      <w:marLeft w:val="0"/>
      <w:marRight w:val="0"/>
      <w:marTop w:val="0"/>
      <w:marBottom w:val="0"/>
      <w:divBdr>
        <w:top w:val="none" w:sz="0" w:space="0" w:color="auto"/>
        <w:left w:val="none" w:sz="0" w:space="0" w:color="auto"/>
        <w:bottom w:val="none" w:sz="0" w:space="0" w:color="auto"/>
        <w:right w:val="none" w:sz="0" w:space="0" w:color="auto"/>
      </w:divBdr>
    </w:div>
    <w:div w:id="1980106876">
      <w:bodyDiv w:val="1"/>
      <w:marLeft w:val="0"/>
      <w:marRight w:val="0"/>
      <w:marTop w:val="0"/>
      <w:marBottom w:val="0"/>
      <w:divBdr>
        <w:top w:val="none" w:sz="0" w:space="0" w:color="auto"/>
        <w:left w:val="none" w:sz="0" w:space="0" w:color="auto"/>
        <w:bottom w:val="none" w:sz="0" w:space="0" w:color="auto"/>
        <w:right w:val="none" w:sz="0" w:space="0" w:color="auto"/>
      </w:divBdr>
    </w:div>
    <w:div w:id="1980576582">
      <w:bodyDiv w:val="1"/>
      <w:marLeft w:val="0"/>
      <w:marRight w:val="0"/>
      <w:marTop w:val="0"/>
      <w:marBottom w:val="0"/>
      <w:divBdr>
        <w:top w:val="none" w:sz="0" w:space="0" w:color="auto"/>
        <w:left w:val="none" w:sz="0" w:space="0" w:color="auto"/>
        <w:bottom w:val="none" w:sz="0" w:space="0" w:color="auto"/>
        <w:right w:val="none" w:sz="0" w:space="0" w:color="auto"/>
      </w:divBdr>
    </w:div>
    <w:div w:id="1999797921">
      <w:bodyDiv w:val="1"/>
      <w:marLeft w:val="0"/>
      <w:marRight w:val="0"/>
      <w:marTop w:val="0"/>
      <w:marBottom w:val="0"/>
      <w:divBdr>
        <w:top w:val="none" w:sz="0" w:space="0" w:color="auto"/>
        <w:left w:val="none" w:sz="0" w:space="0" w:color="auto"/>
        <w:bottom w:val="none" w:sz="0" w:space="0" w:color="auto"/>
        <w:right w:val="none" w:sz="0" w:space="0" w:color="auto"/>
      </w:divBdr>
    </w:div>
    <w:div w:id="2003047736">
      <w:bodyDiv w:val="1"/>
      <w:marLeft w:val="0"/>
      <w:marRight w:val="0"/>
      <w:marTop w:val="0"/>
      <w:marBottom w:val="0"/>
      <w:divBdr>
        <w:top w:val="none" w:sz="0" w:space="0" w:color="auto"/>
        <w:left w:val="none" w:sz="0" w:space="0" w:color="auto"/>
        <w:bottom w:val="none" w:sz="0" w:space="0" w:color="auto"/>
        <w:right w:val="none" w:sz="0" w:space="0" w:color="auto"/>
      </w:divBdr>
    </w:div>
    <w:div w:id="2008433621">
      <w:bodyDiv w:val="1"/>
      <w:marLeft w:val="0"/>
      <w:marRight w:val="0"/>
      <w:marTop w:val="0"/>
      <w:marBottom w:val="0"/>
      <w:divBdr>
        <w:top w:val="none" w:sz="0" w:space="0" w:color="auto"/>
        <w:left w:val="none" w:sz="0" w:space="0" w:color="auto"/>
        <w:bottom w:val="none" w:sz="0" w:space="0" w:color="auto"/>
        <w:right w:val="none" w:sz="0" w:space="0" w:color="auto"/>
      </w:divBdr>
    </w:div>
    <w:div w:id="211216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poaja2000396/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poaja20003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poaja2000396/" TargetMode="External"/><Relationship Id="rId5" Type="http://schemas.openxmlformats.org/officeDocument/2006/relationships/webSettings" Target="webSettings.xml"/><Relationship Id="rId15" Type="http://schemas.openxmlformats.org/officeDocument/2006/relationships/hyperlink" Target="https://www.mylexisnexis.co.za/Library/IframeContent.aspx?dpath=zb/jilc/owsp/20wp/mxt4e/nxt4e/txt4e&amp;ismultiview=False&amp;caAu=" TargetMode="External"/><Relationship Id="rId10" Type="http://schemas.openxmlformats.org/officeDocument/2006/relationships/hyperlink" Target="https://www.saflii.org/cgi-bin/LawCite?cit=%5b2010%5d%202%20All%20SA%204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za/legis/consol_act/ca1998149/" TargetMode="External"/><Relationship Id="rId14" Type="http://schemas.openxmlformats.org/officeDocument/2006/relationships/hyperlink" Target="https://www.saflii.org/za/cases/ZACC/202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A17F-40B1-4AEE-A9AA-C5C4E574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10983</Words>
  <Characters>62609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4</cp:revision>
  <cp:lastPrinted>2023-12-12T07:26:00Z</cp:lastPrinted>
  <dcterms:created xsi:type="dcterms:W3CDTF">2024-04-30T10:53:00Z</dcterms:created>
  <dcterms:modified xsi:type="dcterms:W3CDTF">2024-05-01T10:24:00Z</dcterms:modified>
</cp:coreProperties>
</file>