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615" w:rsidRPr="00D26615" w:rsidRDefault="000D427F" w:rsidP="003100E3">
      <w:pPr>
        <w:spacing w:line="360" w:lineRule="auto"/>
        <w:jc w:val="center"/>
        <w:rPr>
          <w:b/>
          <w:bCs/>
        </w:rPr>
      </w:pPr>
      <w:r w:rsidRPr="00D26615">
        <w:rPr>
          <w:noProof/>
          <w:lang w:val="en-ZA" w:eastAsia="en-ZA"/>
        </w:rPr>
        <w:drawing>
          <wp:anchor distT="0" distB="0" distL="114300" distR="114300" simplePos="0" relativeHeight="251659264" behindDoc="0" locked="0" layoutInCell="1" allowOverlap="1" wp14:anchorId="07F4F0DD" wp14:editId="10379659">
            <wp:simplePos x="0" y="0"/>
            <wp:positionH relativeFrom="column">
              <wp:posOffset>2457450</wp:posOffset>
            </wp:positionH>
            <wp:positionV relativeFrom="paragraph">
              <wp:posOffset>0</wp:posOffset>
            </wp:positionV>
            <wp:extent cx="781050" cy="8667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6000" contrast="12000"/>
                      <a:extLst>
                        <a:ext uri="{28A0092B-C50C-407E-A947-70E740481C1C}">
                          <a14:useLocalDpi xmlns:a14="http://schemas.microsoft.com/office/drawing/2010/main" val="0"/>
                        </a:ext>
                      </a:extLst>
                    </a:blip>
                    <a:srcRect/>
                    <a:stretch>
                      <a:fillRect/>
                    </a:stretch>
                  </pic:blipFill>
                  <pic:spPr bwMode="auto">
                    <a:xfrm>
                      <a:off x="0" y="0"/>
                      <a:ext cx="781050" cy="866775"/>
                    </a:xfrm>
                    <a:prstGeom prst="rect">
                      <a:avLst/>
                    </a:prstGeom>
                    <a:noFill/>
                  </pic:spPr>
                </pic:pic>
              </a:graphicData>
            </a:graphic>
            <wp14:sizeRelH relativeFrom="page">
              <wp14:pctWidth>0</wp14:pctWidth>
            </wp14:sizeRelH>
            <wp14:sizeRelV relativeFrom="page">
              <wp14:pctHeight>0</wp14:pctHeight>
            </wp14:sizeRelV>
          </wp:anchor>
        </w:drawing>
      </w:r>
    </w:p>
    <w:p w:rsidR="00D26615" w:rsidRPr="00D26615" w:rsidRDefault="00D26615" w:rsidP="003100E3">
      <w:pPr>
        <w:spacing w:line="360" w:lineRule="auto"/>
        <w:jc w:val="center"/>
        <w:rPr>
          <w:b/>
          <w:bCs/>
        </w:rPr>
      </w:pPr>
    </w:p>
    <w:p w:rsidR="00B82C24" w:rsidRDefault="00B82C24" w:rsidP="003100E3">
      <w:pPr>
        <w:spacing w:line="360" w:lineRule="auto"/>
        <w:jc w:val="center"/>
        <w:rPr>
          <w:b/>
          <w:bCs/>
        </w:rPr>
      </w:pPr>
    </w:p>
    <w:p w:rsidR="00B82C24" w:rsidRDefault="00B82C24" w:rsidP="000D427F">
      <w:pPr>
        <w:spacing w:line="360" w:lineRule="auto"/>
        <w:rPr>
          <w:b/>
          <w:bCs/>
        </w:rPr>
      </w:pPr>
    </w:p>
    <w:p w:rsidR="009E0012" w:rsidRPr="00710089" w:rsidRDefault="009E0012" w:rsidP="009F6370">
      <w:pPr>
        <w:spacing w:line="360" w:lineRule="auto"/>
        <w:jc w:val="center"/>
        <w:rPr>
          <w:rFonts w:ascii="Times New Roman" w:eastAsiaTheme="minorHAnsi" w:hAnsi="Times New Roman" w:cs="Times New Roman"/>
          <w:b/>
          <w:bCs/>
          <w:sz w:val="28"/>
          <w:szCs w:val="28"/>
        </w:rPr>
      </w:pPr>
      <w:r w:rsidRPr="00710089">
        <w:rPr>
          <w:rFonts w:ascii="Times New Roman" w:eastAsiaTheme="minorHAnsi" w:hAnsi="Times New Roman" w:cs="Times New Roman"/>
          <w:b/>
          <w:bCs/>
          <w:sz w:val="28"/>
          <w:szCs w:val="28"/>
        </w:rPr>
        <w:t>THE SUPREME COURT OF APPEAL OF SOUTH AFRICA</w:t>
      </w:r>
    </w:p>
    <w:p w:rsidR="00D26615" w:rsidRPr="00710089" w:rsidRDefault="009E0012" w:rsidP="000D427F">
      <w:pPr>
        <w:keepNext/>
        <w:spacing w:line="360" w:lineRule="auto"/>
        <w:jc w:val="center"/>
        <w:outlineLvl w:val="2"/>
        <w:rPr>
          <w:rFonts w:ascii="Times New Roman" w:eastAsiaTheme="minorHAnsi" w:hAnsi="Times New Roman" w:cs="Times New Roman"/>
          <w:b/>
          <w:iCs/>
          <w:sz w:val="28"/>
          <w:szCs w:val="28"/>
        </w:rPr>
      </w:pPr>
      <w:r w:rsidRPr="00710089">
        <w:rPr>
          <w:rFonts w:ascii="Times New Roman" w:eastAsiaTheme="minorHAnsi" w:hAnsi="Times New Roman" w:cs="Times New Roman"/>
          <w:b/>
          <w:iCs/>
          <w:sz w:val="28"/>
          <w:szCs w:val="28"/>
        </w:rPr>
        <w:t>JUDGMENT</w:t>
      </w:r>
    </w:p>
    <w:p w:rsidR="00D26615" w:rsidRPr="00D26615" w:rsidRDefault="00D26615" w:rsidP="003100E3">
      <w:pPr>
        <w:spacing w:line="360" w:lineRule="auto"/>
        <w:jc w:val="right"/>
        <w:rPr>
          <w:b/>
          <w:bCs/>
        </w:rPr>
      </w:pPr>
    </w:p>
    <w:p w:rsidR="00D26615" w:rsidRPr="00B94DCA" w:rsidRDefault="00D26615" w:rsidP="00620FCE">
      <w:pPr>
        <w:spacing w:line="276" w:lineRule="auto"/>
        <w:jc w:val="right"/>
        <w:rPr>
          <w:rFonts w:ascii="Times New Roman" w:hAnsi="Times New Roman" w:cs="Times New Roman"/>
          <w:b/>
          <w:bCs/>
          <w:sz w:val="28"/>
          <w:szCs w:val="28"/>
        </w:rPr>
      </w:pPr>
      <w:r w:rsidRPr="00B94DCA">
        <w:rPr>
          <w:rFonts w:ascii="Times New Roman" w:hAnsi="Times New Roman" w:cs="Times New Roman"/>
          <w:b/>
          <w:bCs/>
          <w:sz w:val="28"/>
          <w:szCs w:val="28"/>
        </w:rPr>
        <w:t>Reportable</w:t>
      </w:r>
    </w:p>
    <w:p w:rsidR="00D26615" w:rsidRPr="00B94DCA" w:rsidRDefault="00172A1D" w:rsidP="00620FCE">
      <w:pPr>
        <w:spacing w:line="276" w:lineRule="auto"/>
        <w:jc w:val="right"/>
        <w:rPr>
          <w:rFonts w:ascii="Times New Roman" w:hAnsi="Times New Roman" w:cs="Times New Roman"/>
          <w:bCs/>
          <w:sz w:val="28"/>
          <w:szCs w:val="28"/>
        </w:rPr>
      </w:pPr>
      <w:r w:rsidRPr="00B94DCA">
        <w:rPr>
          <w:rFonts w:ascii="Times New Roman" w:hAnsi="Times New Roman" w:cs="Times New Roman"/>
          <w:bCs/>
          <w:sz w:val="28"/>
          <w:szCs w:val="28"/>
        </w:rPr>
        <w:t xml:space="preserve">Case no: </w:t>
      </w:r>
      <w:r w:rsidR="00F95F3A">
        <w:rPr>
          <w:rFonts w:ascii="Times New Roman" w:hAnsi="Times New Roman" w:cs="Times New Roman"/>
          <w:bCs/>
          <w:sz w:val="28"/>
          <w:szCs w:val="28"/>
        </w:rPr>
        <w:t>1250/2022</w:t>
      </w:r>
    </w:p>
    <w:p w:rsidR="00D26615" w:rsidRPr="00B94DCA" w:rsidRDefault="00D26615" w:rsidP="003100E3">
      <w:pPr>
        <w:spacing w:line="360" w:lineRule="auto"/>
        <w:jc w:val="right"/>
        <w:rPr>
          <w:rFonts w:ascii="Times New Roman" w:hAnsi="Times New Roman" w:cs="Times New Roman"/>
          <w:b/>
          <w:bCs/>
          <w:sz w:val="28"/>
          <w:szCs w:val="28"/>
        </w:rPr>
      </w:pPr>
    </w:p>
    <w:p w:rsidR="00D26615" w:rsidRPr="00B94DCA" w:rsidRDefault="00D26615" w:rsidP="00620FCE">
      <w:pPr>
        <w:spacing w:line="360" w:lineRule="auto"/>
        <w:rPr>
          <w:rFonts w:ascii="Times New Roman" w:hAnsi="Times New Roman" w:cs="Times New Roman"/>
          <w:b/>
          <w:bCs/>
          <w:sz w:val="28"/>
          <w:szCs w:val="28"/>
        </w:rPr>
      </w:pPr>
      <w:r w:rsidRPr="00B94DCA">
        <w:rPr>
          <w:rFonts w:ascii="Times New Roman" w:hAnsi="Times New Roman" w:cs="Times New Roman"/>
          <w:b/>
          <w:bCs/>
          <w:sz w:val="28"/>
          <w:szCs w:val="28"/>
        </w:rPr>
        <w:t>In the matter between:</w:t>
      </w:r>
    </w:p>
    <w:p w:rsidR="00D26615" w:rsidRPr="00B94DCA" w:rsidRDefault="00D26615" w:rsidP="00620FCE">
      <w:pPr>
        <w:spacing w:line="360" w:lineRule="auto"/>
        <w:rPr>
          <w:rFonts w:ascii="Times New Roman" w:hAnsi="Times New Roman" w:cs="Times New Roman"/>
          <w:b/>
          <w:bCs/>
          <w:sz w:val="28"/>
          <w:szCs w:val="28"/>
        </w:rPr>
      </w:pPr>
    </w:p>
    <w:p w:rsidR="00D26615" w:rsidRPr="00B94DCA" w:rsidRDefault="00710089" w:rsidP="00620FCE">
      <w:pPr>
        <w:rPr>
          <w:rFonts w:ascii="Times New Roman" w:hAnsi="Times New Roman" w:cs="Times New Roman"/>
          <w:b/>
          <w:bCs/>
          <w:sz w:val="28"/>
          <w:szCs w:val="28"/>
        </w:rPr>
      </w:pPr>
      <w:r>
        <w:rPr>
          <w:rFonts w:ascii="Times New Roman" w:hAnsi="Times New Roman" w:cs="Times New Roman"/>
          <w:b/>
          <w:bCs/>
          <w:sz w:val="28"/>
          <w:szCs w:val="28"/>
        </w:rPr>
        <w:t>MINISTER OF POLICE</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w:t>
      </w:r>
      <w:r w:rsidR="00D26615" w:rsidRPr="00B94DCA">
        <w:rPr>
          <w:rFonts w:ascii="Times New Roman" w:hAnsi="Times New Roman" w:cs="Times New Roman"/>
          <w:b/>
          <w:bCs/>
          <w:sz w:val="28"/>
          <w:szCs w:val="28"/>
        </w:rPr>
        <w:t>APPELLANT</w:t>
      </w:r>
    </w:p>
    <w:p w:rsidR="00086D65" w:rsidRPr="00B94DCA" w:rsidRDefault="00086D65" w:rsidP="00620FCE">
      <w:pPr>
        <w:rPr>
          <w:rFonts w:ascii="Times New Roman" w:hAnsi="Times New Roman" w:cs="Times New Roman"/>
          <w:bCs/>
          <w:sz w:val="28"/>
          <w:szCs w:val="28"/>
        </w:rPr>
      </w:pPr>
    </w:p>
    <w:p w:rsidR="00D26615" w:rsidRPr="00B94DCA" w:rsidRDefault="00D26615" w:rsidP="00620FCE">
      <w:pPr>
        <w:rPr>
          <w:rFonts w:ascii="Times New Roman" w:hAnsi="Times New Roman" w:cs="Times New Roman"/>
          <w:b/>
          <w:bCs/>
          <w:sz w:val="28"/>
          <w:szCs w:val="28"/>
        </w:rPr>
      </w:pPr>
      <w:r w:rsidRPr="00B94DCA">
        <w:rPr>
          <w:rFonts w:ascii="Times New Roman" w:hAnsi="Times New Roman" w:cs="Times New Roman"/>
          <w:b/>
          <w:bCs/>
          <w:sz w:val="28"/>
          <w:szCs w:val="28"/>
        </w:rPr>
        <w:t>and</w:t>
      </w:r>
    </w:p>
    <w:p w:rsidR="00D26615" w:rsidRPr="00B94DCA" w:rsidRDefault="00D26615" w:rsidP="00FB0039">
      <w:pPr>
        <w:rPr>
          <w:rFonts w:ascii="Times New Roman" w:hAnsi="Times New Roman" w:cs="Times New Roman"/>
          <w:b/>
          <w:bCs/>
          <w:sz w:val="28"/>
          <w:szCs w:val="28"/>
        </w:rPr>
      </w:pPr>
    </w:p>
    <w:p w:rsidR="00132419" w:rsidRPr="00512FC9" w:rsidRDefault="00F95F3A" w:rsidP="00FB0039">
      <w:pPr>
        <w:rPr>
          <w:rFonts w:ascii="Times New Roman" w:hAnsi="Times New Roman" w:cs="Times New Roman"/>
          <w:b/>
          <w:bCs/>
          <w:sz w:val="28"/>
          <w:szCs w:val="28"/>
        </w:rPr>
      </w:pPr>
      <w:r>
        <w:rPr>
          <w:rFonts w:ascii="Times New Roman" w:hAnsi="Times New Roman" w:cs="Times New Roman"/>
          <w:b/>
          <w:bCs/>
          <w:sz w:val="28"/>
          <w:szCs w:val="28"/>
        </w:rPr>
        <w:t>THAMSANQA RONNY MIYA</w:t>
      </w:r>
      <w:r w:rsidR="00710089">
        <w:rPr>
          <w:rFonts w:ascii="Times New Roman" w:hAnsi="Times New Roman" w:cs="Times New Roman"/>
          <w:b/>
          <w:bCs/>
          <w:sz w:val="28"/>
          <w:szCs w:val="28"/>
        </w:rPr>
        <w:tab/>
      </w:r>
      <w:r w:rsidR="00710089">
        <w:rPr>
          <w:rFonts w:ascii="Times New Roman" w:hAnsi="Times New Roman" w:cs="Times New Roman"/>
          <w:b/>
          <w:bCs/>
          <w:sz w:val="28"/>
          <w:szCs w:val="28"/>
        </w:rPr>
        <w:tab/>
      </w:r>
      <w:r w:rsidR="00710089">
        <w:rPr>
          <w:rFonts w:ascii="Times New Roman" w:hAnsi="Times New Roman" w:cs="Times New Roman"/>
          <w:b/>
          <w:bCs/>
          <w:sz w:val="28"/>
          <w:szCs w:val="28"/>
        </w:rPr>
        <w:tab/>
      </w:r>
      <w:r w:rsidR="00710089">
        <w:rPr>
          <w:rFonts w:ascii="Times New Roman" w:hAnsi="Times New Roman" w:cs="Times New Roman"/>
          <w:b/>
          <w:bCs/>
          <w:sz w:val="28"/>
          <w:szCs w:val="28"/>
        </w:rPr>
        <w:tab/>
      </w:r>
      <w:r w:rsidR="00710089">
        <w:rPr>
          <w:rFonts w:ascii="Times New Roman" w:hAnsi="Times New Roman" w:cs="Times New Roman"/>
          <w:b/>
          <w:bCs/>
          <w:sz w:val="28"/>
          <w:szCs w:val="28"/>
        </w:rPr>
        <w:tab/>
        <w:t xml:space="preserve">   </w:t>
      </w:r>
      <w:r w:rsidR="00D26615" w:rsidRPr="00B94DCA">
        <w:rPr>
          <w:rFonts w:ascii="Times New Roman" w:hAnsi="Times New Roman" w:cs="Times New Roman"/>
          <w:b/>
          <w:bCs/>
          <w:sz w:val="28"/>
          <w:szCs w:val="28"/>
        </w:rPr>
        <w:t>RESPONDENT</w:t>
      </w:r>
    </w:p>
    <w:p w:rsidR="00132419" w:rsidRPr="00B94DCA" w:rsidRDefault="00132419" w:rsidP="009F6370">
      <w:pPr>
        <w:spacing w:before="120" w:after="120" w:line="360" w:lineRule="auto"/>
        <w:ind w:left="2160" w:hanging="2160"/>
        <w:jc w:val="both"/>
        <w:rPr>
          <w:rFonts w:ascii="Times New Roman" w:eastAsiaTheme="minorHAnsi" w:hAnsi="Times New Roman" w:cs="Times New Roman"/>
          <w:sz w:val="28"/>
          <w:szCs w:val="28"/>
          <w:lang w:val="en-US"/>
        </w:rPr>
      </w:pPr>
      <w:r w:rsidRPr="00B94DCA">
        <w:rPr>
          <w:rFonts w:ascii="Times New Roman" w:eastAsiaTheme="minorHAnsi" w:hAnsi="Times New Roman" w:cs="Times New Roman"/>
          <w:b/>
          <w:bCs/>
          <w:sz w:val="28"/>
          <w:szCs w:val="28"/>
          <w:lang w:val="en-US"/>
        </w:rPr>
        <w:t>Neutral citation:</w:t>
      </w:r>
      <w:r w:rsidR="00E010C0" w:rsidRPr="00B94DCA">
        <w:rPr>
          <w:rFonts w:ascii="Times New Roman" w:eastAsiaTheme="minorHAnsi" w:hAnsi="Times New Roman" w:cs="Times New Roman"/>
          <w:b/>
          <w:bCs/>
          <w:sz w:val="28"/>
          <w:szCs w:val="28"/>
          <w:lang w:val="en-US"/>
        </w:rPr>
        <w:t xml:space="preserve"> </w:t>
      </w:r>
      <w:r w:rsidR="00E25A3D">
        <w:rPr>
          <w:rFonts w:ascii="Times New Roman" w:eastAsiaTheme="minorHAnsi" w:hAnsi="Times New Roman" w:cs="Times New Roman"/>
          <w:bCs/>
          <w:i/>
          <w:sz w:val="28"/>
          <w:szCs w:val="28"/>
          <w:lang w:val="en-US"/>
        </w:rPr>
        <w:t>Minis</w:t>
      </w:r>
      <w:r w:rsidR="00974282">
        <w:rPr>
          <w:rFonts w:ascii="Times New Roman" w:eastAsiaTheme="minorHAnsi" w:hAnsi="Times New Roman" w:cs="Times New Roman"/>
          <w:bCs/>
          <w:i/>
          <w:sz w:val="28"/>
          <w:szCs w:val="28"/>
          <w:lang w:val="en-US"/>
        </w:rPr>
        <w:t xml:space="preserve">ter of Police v </w:t>
      </w:r>
      <w:r w:rsidR="00E25A3D">
        <w:rPr>
          <w:rFonts w:ascii="Times New Roman" w:eastAsiaTheme="minorHAnsi" w:hAnsi="Times New Roman" w:cs="Times New Roman"/>
          <w:bCs/>
          <w:i/>
          <w:sz w:val="28"/>
          <w:szCs w:val="28"/>
          <w:lang w:val="en-US"/>
        </w:rPr>
        <w:t>Miya</w:t>
      </w:r>
      <w:r w:rsidR="00B73A13">
        <w:rPr>
          <w:rFonts w:ascii="Times New Roman" w:eastAsiaTheme="minorHAnsi" w:hAnsi="Times New Roman" w:cs="Times New Roman"/>
          <w:bCs/>
          <w:sz w:val="28"/>
          <w:szCs w:val="28"/>
          <w:lang w:val="en-US"/>
        </w:rPr>
        <w:t xml:space="preserve"> (</w:t>
      </w:r>
      <w:r w:rsidR="007001CB">
        <w:rPr>
          <w:rFonts w:ascii="Times New Roman" w:eastAsiaTheme="minorHAnsi" w:hAnsi="Times New Roman" w:cs="Times New Roman"/>
          <w:bCs/>
          <w:sz w:val="28"/>
          <w:szCs w:val="28"/>
          <w:lang w:val="en-US"/>
        </w:rPr>
        <w:t>1250/</w:t>
      </w:r>
      <w:r w:rsidR="001D1E4E">
        <w:rPr>
          <w:rFonts w:ascii="Times New Roman" w:eastAsiaTheme="minorHAnsi" w:hAnsi="Times New Roman" w:cs="Times New Roman"/>
          <w:bCs/>
          <w:sz w:val="28"/>
          <w:szCs w:val="28"/>
          <w:lang w:val="en-US"/>
        </w:rPr>
        <w:t>2022)</w:t>
      </w:r>
      <w:r w:rsidR="006E2F67">
        <w:rPr>
          <w:rFonts w:ascii="Times New Roman" w:eastAsiaTheme="minorHAnsi" w:hAnsi="Times New Roman" w:cs="Times New Roman"/>
          <w:bCs/>
          <w:sz w:val="28"/>
          <w:szCs w:val="28"/>
          <w:lang w:val="en-US"/>
        </w:rPr>
        <w:t xml:space="preserve"> ZASCA </w:t>
      </w:r>
      <w:r w:rsidR="0078455E">
        <w:rPr>
          <w:rFonts w:ascii="Times New Roman" w:eastAsiaTheme="minorHAnsi" w:hAnsi="Times New Roman" w:cs="Times New Roman"/>
          <w:bCs/>
          <w:sz w:val="28"/>
          <w:szCs w:val="28"/>
          <w:lang w:val="en-US"/>
        </w:rPr>
        <w:t>(06</w:t>
      </w:r>
      <w:r w:rsidR="008F7EE5" w:rsidRPr="00B94DCA">
        <w:rPr>
          <w:rFonts w:ascii="Times New Roman" w:eastAsiaTheme="minorHAnsi" w:hAnsi="Times New Roman" w:cs="Times New Roman"/>
          <w:bCs/>
          <w:sz w:val="28"/>
          <w:szCs w:val="28"/>
          <w:lang w:val="en-US"/>
        </w:rPr>
        <w:t xml:space="preserve"> </w:t>
      </w:r>
      <w:r w:rsidR="00974282">
        <w:rPr>
          <w:rFonts w:ascii="Times New Roman" w:eastAsiaTheme="minorHAnsi" w:hAnsi="Times New Roman" w:cs="Times New Roman"/>
          <w:bCs/>
          <w:sz w:val="28"/>
          <w:szCs w:val="28"/>
          <w:lang w:val="en-US"/>
        </w:rPr>
        <w:t>May</w:t>
      </w:r>
      <w:r w:rsidR="008F7EE5" w:rsidRPr="00B94DCA">
        <w:rPr>
          <w:rFonts w:ascii="Times New Roman" w:eastAsiaTheme="minorHAnsi" w:hAnsi="Times New Roman" w:cs="Times New Roman"/>
          <w:bCs/>
          <w:sz w:val="28"/>
          <w:szCs w:val="28"/>
          <w:lang w:val="en-US"/>
        </w:rPr>
        <w:t xml:space="preserve"> 2024)</w:t>
      </w:r>
      <w:r w:rsidRPr="00B94DCA">
        <w:rPr>
          <w:rFonts w:ascii="Times New Roman" w:eastAsiaTheme="minorHAnsi" w:hAnsi="Times New Roman" w:cs="Times New Roman"/>
          <w:b/>
          <w:bCs/>
          <w:sz w:val="28"/>
          <w:szCs w:val="28"/>
          <w:lang w:val="en-US"/>
        </w:rPr>
        <w:tab/>
      </w:r>
    </w:p>
    <w:p w:rsidR="00132419" w:rsidRPr="005E2794" w:rsidRDefault="00132419" w:rsidP="009F6370">
      <w:pPr>
        <w:spacing w:before="120" w:after="120" w:line="360" w:lineRule="auto"/>
        <w:ind w:left="1440" w:hanging="1440"/>
        <w:jc w:val="both"/>
        <w:rPr>
          <w:rFonts w:ascii="Times New Roman" w:eastAsiaTheme="minorHAnsi" w:hAnsi="Times New Roman" w:cs="Times New Roman"/>
          <w:sz w:val="28"/>
          <w:szCs w:val="28"/>
          <w:lang w:val="en-US"/>
        </w:rPr>
      </w:pPr>
      <w:r w:rsidRPr="00B94DCA">
        <w:rPr>
          <w:rFonts w:ascii="Times New Roman" w:eastAsiaTheme="minorHAnsi" w:hAnsi="Times New Roman" w:cs="Times New Roman"/>
          <w:b/>
          <w:bCs/>
          <w:sz w:val="28"/>
          <w:szCs w:val="28"/>
          <w:lang w:val="en-US"/>
        </w:rPr>
        <w:t>Coram:</w:t>
      </w:r>
      <w:r w:rsidR="004E005C">
        <w:rPr>
          <w:rFonts w:ascii="Times New Roman" w:eastAsiaTheme="minorHAnsi" w:hAnsi="Times New Roman" w:cs="Times New Roman"/>
          <w:b/>
          <w:bCs/>
          <w:sz w:val="28"/>
          <w:szCs w:val="28"/>
          <w:lang w:val="en-US"/>
        </w:rPr>
        <w:tab/>
      </w:r>
      <w:r w:rsidR="00B73A13">
        <w:rPr>
          <w:rFonts w:ascii="Times New Roman" w:eastAsiaTheme="minorHAnsi" w:hAnsi="Times New Roman" w:cs="Times New Roman"/>
          <w:bCs/>
          <w:sz w:val="28"/>
          <w:szCs w:val="28"/>
          <w:lang w:val="en-US"/>
        </w:rPr>
        <w:t>M</w:t>
      </w:r>
      <w:r w:rsidR="00563593">
        <w:rPr>
          <w:rFonts w:ascii="Times New Roman" w:eastAsiaTheme="minorHAnsi" w:hAnsi="Times New Roman" w:cs="Times New Roman"/>
          <w:bCs/>
          <w:sz w:val="28"/>
          <w:szCs w:val="28"/>
          <w:lang w:val="en-US"/>
        </w:rPr>
        <w:t>OKGOHLOA</w:t>
      </w:r>
      <w:r w:rsidR="00B73A13">
        <w:rPr>
          <w:rFonts w:ascii="Times New Roman" w:eastAsiaTheme="minorHAnsi" w:hAnsi="Times New Roman" w:cs="Times New Roman"/>
          <w:bCs/>
          <w:sz w:val="28"/>
          <w:szCs w:val="28"/>
          <w:lang w:val="en-US"/>
        </w:rPr>
        <w:t>, M</w:t>
      </w:r>
      <w:r w:rsidR="00563593">
        <w:rPr>
          <w:rFonts w:ascii="Times New Roman" w:eastAsiaTheme="minorHAnsi" w:hAnsi="Times New Roman" w:cs="Times New Roman"/>
          <w:bCs/>
          <w:sz w:val="28"/>
          <w:szCs w:val="28"/>
          <w:lang w:val="en-US"/>
        </w:rPr>
        <w:t>EYER</w:t>
      </w:r>
      <w:r w:rsidR="004E005C" w:rsidRPr="005E2794">
        <w:rPr>
          <w:rFonts w:ascii="Times New Roman" w:eastAsiaTheme="minorHAnsi" w:hAnsi="Times New Roman" w:cs="Times New Roman"/>
          <w:bCs/>
          <w:sz w:val="28"/>
          <w:szCs w:val="28"/>
          <w:lang w:val="en-US"/>
        </w:rPr>
        <w:t xml:space="preserve"> </w:t>
      </w:r>
      <w:r w:rsidR="00C8724D">
        <w:rPr>
          <w:rFonts w:ascii="Times New Roman" w:eastAsiaTheme="minorHAnsi" w:hAnsi="Times New Roman" w:cs="Times New Roman"/>
          <w:bCs/>
          <w:sz w:val="28"/>
          <w:szCs w:val="28"/>
          <w:lang w:val="en-US"/>
        </w:rPr>
        <w:t xml:space="preserve">and </w:t>
      </w:r>
      <w:r w:rsidR="00B73A13">
        <w:rPr>
          <w:rFonts w:ascii="Times New Roman" w:eastAsiaTheme="minorHAnsi" w:hAnsi="Times New Roman" w:cs="Times New Roman"/>
          <w:bCs/>
          <w:sz w:val="28"/>
          <w:szCs w:val="28"/>
          <w:lang w:val="en-US"/>
        </w:rPr>
        <w:t>K</w:t>
      </w:r>
      <w:r w:rsidR="00563593">
        <w:rPr>
          <w:rFonts w:ascii="Times New Roman" w:eastAsiaTheme="minorHAnsi" w:hAnsi="Times New Roman" w:cs="Times New Roman"/>
          <w:bCs/>
          <w:sz w:val="28"/>
          <w:szCs w:val="28"/>
          <w:lang w:val="en-US"/>
        </w:rPr>
        <w:t>GOELE</w:t>
      </w:r>
      <w:r w:rsidR="00D01A29">
        <w:rPr>
          <w:rFonts w:ascii="Times New Roman" w:eastAsiaTheme="minorHAnsi" w:hAnsi="Times New Roman" w:cs="Times New Roman"/>
          <w:bCs/>
          <w:sz w:val="28"/>
          <w:szCs w:val="28"/>
          <w:lang w:val="en-US"/>
        </w:rPr>
        <w:t xml:space="preserve"> J</w:t>
      </w:r>
      <w:r w:rsidR="00C8724D">
        <w:rPr>
          <w:rFonts w:ascii="Times New Roman" w:eastAsiaTheme="minorHAnsi" w:hAnsi="Times New Roman" w:cs="Times New Roman"/>
          <w:bCs/>
          <w:sz w:val="28"/>
          <w:szCs w:val="28"/>
          <w:lang w:val="en-US"/>
        </w:rPr>
        <w:t>J</w:t>
      </w:r>
      <w:r w:rsidR="00D01A29">
        <w:rPr>
          <w:rFonts w:ascii="Times New Roman" w:eastAsiaTheme="minorHAnsi" w:hAnsi="Times New Roman" w:cs="Times New Roman"/>
          <w:bCs/>
          <w:sz w:val="28"/>
          <w:szCs w:val="28"/>
          <w:lang w:val="en-US"/>
        </w:rPr>
        <w:t>A</w:t>
      </w:r>
      <w:r w:rsidR="00C8724D">
        <w:rPr>
          <w:rFonts w:ascii="Times New Roman" w:eastAsiaTheme="minorHAnsi" w:hAnsi="Times New Roman" w:cs="Times New Roman"/>
          <w:bCs/>
          <w:sz w:val="28"/>
          <w:szCs w:val="28"/>
          <w:lang w:val="en-US"/>
        </w:rPr>
        <w:t xml:space="preserve"> and </w:t>
      </w:r>
      <w:r w:rsidR="00D01A29">
        <w:rPr>
          <w:rFonts w:ascii="Times New Roman" w:eastAsiaTheme="minorHAnsi" w:hAnsi="Times New Roman" w:cs="Times New Roman"/>
          <w:bCs/>
          <w:sz w:val="28"/>
          <w:szCs w:val="28"/>
          <w:lang w:val="en-US"/>
        </w:rPr>
        <w:t>B</w:t>
      </w:r>
      <w:r w:rsidR="00563593">
        <w:rPr>
          <w:rFonts w:ascii="Times New Roman" w:eastAsiaTheme="minorHAnsi" w:hAnsi="Times New Roman" w:cs="Times New Roman"/>
          <w:bCs/>
          <w:sz w:val="28"/>
          <w:szCs w:val="28"/>
          <w:lang w:val="en-US"/>
        </w:rPr>
        <w:t>AARTMAN</w:t>
      </w:r>
      <w:r w:rsidR="00C8724D">
        <w:rPr>
          <w:rFonts w:ascii="Times New Roman" w:eastAsiaTheme="minorHAnsi" w:hAnsi="Times New Roman" w:cs="Times New Roman"/>
          <w:bCs/>
          <w:sz w:val="28"/>
          <w:szCs w:val="28"/>
          <w:lang w:val="en-US"/>
        </w:rPr>
        <w:t xml:space="preserve"> and</w:t>
      </w:r>
      <w:r w:rsidR="00D01A29">
        <w:rPr>
          <w:rFonts w:ascii="Times New Roman" w:eastAsiaTheme="minorHAnsi" w:hAnsi="Times New Roman" w:cs="Times New Roman"/>
          <w:bCs/>
          <w:sz w:val="28"/>
          <w:szCs w:val="28"/>
          <w:lang w:val="en-US"/>
        </w:rPr>
        <w:t xml:space="preserve"> B</w:t>
      </w:r>
      <w:r w:rsidR="00563593">
        <w:rPr>
          <w:rFonts w:ascii="Times New Roman" w:eastAsiaTheme="minorHAnsi" w:hAnsi="Times New Roman" w:cs="Times New Roman"/>
          <w:bCs/>
          <w:sz w:val="28"/>
          <w:szCs w:val="28"/>
          <w:lang w:val="en-US"/>
        </w:rPr>
        <w:t>LOEM</w:t>
      </w:r>
      <w:r w:rsidR="00563593" w:rsidRPr="005E2794">
        <w:rPr>
          <w:rFonts w:ascii="Times New Roman" w:eastAsiaTheme="minorHAnsi" w:hAnsi="Times New Roman" w:cs="Times New Roman"/>
          <w:bCs/>
          <w:sz w:val="28"/>
          <w:szCs w:val="28"/>
          <w:lang w:val="en-US"/>
        </w:rPr>
        <w:t xml:space="preserve"> </w:t>
      </w:r>
      <w:r w:rsidR="005E2794" w:rsidRPr="005E2794">
        <w:rPr>
          <w:rFonts w:ascii="Times New Roman" w:eastAsiaTheme="minorHAnsi" w:hAnsi="Times New Roman" w:cs="Times New Roman"/>
          <w:bCs/>
          <w:sz w:val="28"/>
          <w:szCs w:val="28"/>
          <w:lang w:val="en-US"/>
        </w:rPr>
        <w:t>AJ</w:t>
      </w:r>
      <w:r w:rsidR="00C8724D">
        <w:rPr>
          <w:rFonts w:ascii="Times New Roman" w:eastAsiaTheme="minorHAnsi" w:hAnsi="Times New Roman" w:cs="Times New Roman"/>
          <w:bCs/>
          <w:sz w:val="28"/>
          <w:szCs w:val="28"/>
          <w:lang w:val="en-US"/>
        </w:rPr>
        <w:t>J</w:t>
      </w:r>
      <w:r w:rsidR="005E2794" w:rsidRPr="005E2794">
        <w:rPr>
          <w:rFonts w:ascii="Times New Roman" w:eastAsiaTheme="minorHAnsi" w:hAnsi="Times New Roman" w:cs="Times New Roman"/>
          <w:bCs/>
          <w:sz w:val="28"/>
          <w:szCs w:val="28"/>
          <w:lang w:val="en-US"/>
        </w:rPr>
        <w:t>A</w:t>
      </w:r>
      <w:r w:rsidRPr="005E2794">
        <w:rPr>
          <w:rFonts w:ascii="Times New Roman" w:eastAsiaTheme="minorHAnsi" w:hAnsi="Times New Roman" w:cs="Times New Roman"/>
          <w:sz w:val="28"/>
          <w:szCs w:val="28"/>
          <w:lang w:val="en-US"/>
        </w:rPr>
        <w:tab/>
      </w:r>
    </w:p>
    <w:p w:rsidR="00132419" w:rsidRPr="00B94DCA" w:rsidRDefault="00132419">
      <w:pPr>
        <w:spacing w:before="120" w:after="120" w:line="360" w:lineRule="auto"/>
        <w:jc w:val="both"/>
        <w:rPr>
          <w:rFonts w:ascii="Times New Roman" w:eastAsiaTheme="minorHAnsi" w:hAnsi="Times New Roman" w:cs="Times New Roman"/>
          <w:sz w:val="28"/>
          <w:szCs w:val="28"/>
          <w:lang w:val="en-US"/>
        </w:rPr>
      </w:pPr>
      <w:r w:rsidRPr="00B94DCA">
        <w:rPr>
          <w:rFonts w:ascii="Times New Roman" w:eastAsiaTheme="minorHAnsi" w:hAnsi="Times New Roman" w:cs="Times New Roman"/>
          <w:b/>
          <w:bCs/>
          <w:sz w:val="28"/>
          <w:szCs w:val="28"/>
          <w:lang w:val="en-US"/>
        </w:rPr>
        <w:t>Heard:</w:t>
      </w:r>
      <w:r w:rsidRPr="00B94DCA">
        <w:rPr>
          <w:rFonts w:ascii="Times New Roman" w:eastAsiaTheme="minorHAnsi" w:hAnsi="Times New Roman" w:cs="Times New Roman"/>
          <w:b/>
          <w:bCs/>
          <w:sz w:val="28"/>
          <w:szCs w:val="28"/>
          <w:lang w:val="en-US"/>
        </w:rPr>
        <w:tab/>
      </w:r>
      <w:r w:rsidR="00D01A29">
        <w:rPr>
          <w:rFonts w:ascii="Times New Roman" w:eastAsiaTheme="minorHAnsi" w:hAnsi="Times New Roman" w:cs="Times New Roman"/>
          <w:sz w:val="28"/>
          <w:szCs w:val="28"/>
          <w:lang w:val="en-US"/>
        </w:rPr>
        <w:t>15</w:t>
      </w:r>
      <w:r w:rsidR="0078695F" w:rsidRPr="00B94DCA">
        <w:rPr>
          <w:rFonts w:ascii="Times New Roman" w:eastAsiaTheme="minorHAnsi" w:hAnsi="Times New Roman" w:cs="Times New Roman"/>
          <w:sz w:val="28"/>
          <w:szCs w:val="28"/>
          <w:lang w:val="en-US"/>
        </w:rPr>
        <w:t xml:space="preserve"> March</w:t>
      </w:r>
      <w:r w:rsidR="002E2A12" w:rsidRPr="00B94DCA">
        <w:rPr>
          <w:rFonts w:ascii="Times New Roman" w:eastAsiaTheme="minorHAnsi" w:hAnsi="Times New Roman" w:cs="Times New Roman"/>
          <w:sz w:val="28"/>
          <w:szCs w:val="28"/>
          <w:lang w:val="en-US"/>
        </w:rPr>
        <w:t xml:space="preserve"> 2024</w:t>
      </w:r>
    </w:p>
    <w:p w:rsidR="00132419" w:rsidRPr="00B94DCA" w:rsidRDefault="00132419">
      <w:pPr>
        <w:spacing w:before="120" w:after="120" w:line="360" w:lineRule="auto"/>
        <w:jc w:val="both"/>
        <w:rPr>
          <w:rFonts w:ascii="Times New Roman" w:eastAsiaTheme="minorHAnsi" w:hAnsi="Times New Roman" w:cs="Times New Roman"/>
          <w:b/>
          <w:bCs/>
          <w:sz w:val="28"/>
          <w:szCs w:val="28"/>
          <w:lang w:val="en-US"/>
        </w:rPr>
      </w:pPr>
      <w:r w:rsidRPr="00B94DCA">
        <w:rPr>
          <w:rFonts w:ascii="Times New Roman" w:eastAsiaTheme="minorHAnsi" w:hAnsi="Times New Roman" w:cs="Times New Roman"/>
          <w:b/>
          <w:bCs/>
          <w:sz w:val="28"/>
          <w:szCs w:val="28"/>
          <w:lang w:val="en-US"/>
        </w:rPr>
        <w:t>Delivered:</w:t>
      </w:r>
      <w:r w:rsidRPr="00B94DCA">
        <w:rPr>
          <w:rFonts w:ascii="Times New Roman" w:eastAsiaTheme="minorHAnsi" w:hAnsi="Times New Roman" w:cs="Times New Roman"/>
          <w:b/>
          <w:bCs/>
          <w:sz w:val="28"/>
          <w:szCs w:val="28"/>
          <w:lang w:val="en-US"/>
        </w:rPr>
        <w:tab/>
      </w:r>
      <w:r w:rsidR="0078455E">
        <w:rPr>
          <w:rFonts w:ascii="Times New Roman" w:eastAsiaTheme="minorHAnsi" w:hAnsi="Times New Roman" w:cs="Times New Roman"/>
          <w:bCs/>
          <w:sz w:val="28"/>
          <w:szCs w:val="28"/>
          <w:lang w:val="en-US"/>
        </w:rPr>
        <w:t>06</w:t>
      </w:r>
      <w:r w:rsidR="002E2A12" w:rsidRPr="00B94DCA">
        <w:rPr>
          <w:rFonts w:ascii="Times New Roman" w:eastAsiaTheme="minorHAnsi" w:hAnsi="Times New Roman" w:cs="Times New Roman"/>
          <w:sz w:val="28"/>
          <w:szCs w:val="28"/>
          <w:lang w:val="en-US"/>
        </w:rPr>
        <w:t xml:space="preserve"> </w:t>
      </w:r>
      <w:r w:rsidR="00974282">
        <w:rPr>
          <w:rFonts w:ascii="Times New Roman" w:eastAsiaTheme="minorHAnsi" w:hAnsi="Times New Roman" w:cs="Times New Roman"/>
          <w:sz w:val="28"/>
          <w:szCs w:val="28"/>
          <w:lang w:val="en-US"/>
        </w:rPr>
        <w:t>May</w:t>
      </w:r>
      <w:r w:rsidR="002E2A12" w:rsidRPr="00B94DCA">
        <w:rPr>
          <w:rFonts w:ascii="Times New Roman" w:eastAsiaTheme="minorHAnsi" w:hAnsi="Times New Roman" w:cs="Times New Roman"/>
          <w:sz w:val="28"/>
          <w:szCs w:val="28"/>
          <w:lang w:val="en-US"/>
        </w:rPr>
        <w:t xml:space="preserve"> 2024</w:t>
      </w:r>
    </w:p>
    <w:p w:rsidR="00C8724D" w:rsidRDefault="00132419" w:rsidP="0032763D">
      <w:pPr>
        <w:spacing w:line="276" w:lineRule="auto"/>
        <w:jc w:val="both"/>
        <w:rPr>
          <w:rFonts w:ascii="Times New Roman" w:hAnsi="Times New Roman" w:cs="Times New Roman"/>
          <w:sz w:val="28"/>
          <w:szCs w:val="28"/>
        </w:rPr>
      </w:pPr>
      <w:r w:rsidRPr="00B94DCA">
        <w:rPr>
          <w:rFonts w:ascii="Times New Roman" w:eastAsiaTheme="minorHAnsi" w:hAnsi="Times New Roman" w:cs="Times New Roman"/>
          <w:b/>
          <w:bCs/>
          <w:sz w:val="28"/>
          <w:szCs w:val="28"/>
          <w:lang w:val="en-US"/>
        </w:rPr>
        <w:t>Summary:</w:t>
      </w:r>
      <w:r w:rsidR="00D22AB6">
        <w:rPr>
          <w:rFonts w:ascii="Times New Roman" w:hAnsi="Times New Roman" w:cs="Times New Roman"/>
          <w:b/>
          <w:sz w:val="28"/>
          <w:szCs w:val="28"/>
        </w:rPr>
        <w:tab/>
      </w:r>
      <w:r w:rsidR="00D22AB6" w:rsidRPr="00D22AB6">
        <w:rPr>
          <w:rFonts w:ascii="Times New Roman" w:hAnsi="Times New Roman" w:cs="Times New Roman"/>
          <w:sz w:val="28"/>
          <w:szCs w:val="28"/>
        </w:rPr>
        <w:t>C</w:t>
      </w:r>
      <w:r w:rsidR="00D22AB6">
        <w:rPr>
          <w:rFonts w:ascii="Times New Roman" w:hAnsi="Times New Roman" w:cs="Times New Roman"/>
          <w:sz w:val="28"/>
          <w:szCs w:val="28"/>
        </w:rPr>
        <w:t>ivil claim</w:t>
      </w:r>
      <w:r w:rsidR="00884B27">
        <w:rPr>
          <w:rFonts w:ascii="Times New Roman" w:hAnsi="Times New Roman" w:cs="Times New Roman"/>
          <w:sz w:val="28"/>
          <w:szCs w:val="28"/>
        </w:rPr>
        <w:t xml:space="preserve"> – interpretation of s 2</w:t>
      </w:r>
      <w:r w:rsidR="00BC7D47">
        <w:rPr>
          <w:rFonts w:ascii="Times New Roman" w:hAnsi="Times New Roman" w:cs="Times New Roman"/>
          <w:sz w:val="28"/>
          <w:szCs w:val="28"/>
        </w:rPr>
        <w:t>(2)</w:t>
      </w:r>
      <w:r w:rsidR="00BC7D47" w:rsidRPr="003100E3">
        <w:rPr>
          <w:rFonts w:ascii="Times New Roman" w:hAnsi="Times New Roman" w:cs="Times New Roman"/>
          <w:i/>
          <w:sz w:val="28"/>
          <w:szCs w:val="28"/>
        </w:rPr>
        <w:t>(a)</w:t>
      </w:r>
      <w:r w:rsidR="00CC5827">
        <w:rPr>
          <w:rFonts w:ascii="Times New Roman" w:hAnsi="Times New Roman" w:cs="Times New Roman"/>
          <w:sz w:val="28"/>
          <w:szCs w:val="28"/>
        </w:rPr>
        <w:t xml:space="preserve"> of State Liability Act 20 of 1957 – whether </w:t>
      </w:r>
      <w:r w:rsidR="00884B27">
        <w:rPr>
          <w:rFonts w:ascii="Times New Roman" w:hAnsi="Times New Roman" w:cs="Times New Roman"/>
          <w:sz w:val="28"/>
          <w:szCs w:val="28"/>
        </w:rPr>
        <w:t xml:space="preserve">failure to serve summons on the head of the department </w:t>
      </w:r>
      <w:r w:rsidR="00094301">
        <w:rPr>
          <w:rFonts w:ascii="Times New Roman" w:hAnsi="Times New Roman" w:cs="Times New Roman"/>
          <w:sz w:val="28"/>
          <w:szCs w:val="28"/>
        </w:rPr>
        <w:t>renders</w:t>
      </w:r>
      <w:r w:rsidR="001D1E4E">
        <w:rPr>
          <w:rFonts w:ascii="Times New Roman" w:hAnsi="Times New Roman" w:cs="Times New Roman"/>
          <w:sz w:val="28"/>
          <w:szCs w:val="28"/>
        </w:rPr>
        <w:t xml:space="preserve"> </w:t>
      </w:r>
      <w:r w:rsidR="00094301">
        <w:rPr>
          <w:rFonts w:ascii="Times New Roman" w:hAnsi="Times New Roman" w:cs="Times New Roman"/>
          <w:sz w:val="28"/>
          <w:szCs w:val="28"/>
        </w:rPr>
        <w:t xml:space="preserve">the </w:t>
      </w:r>
      <w:r w:rsidR="001D1E4E">
        <w:rPr>
          <w:rFonts w:ascii="Times New Roman" w:hAnsi="Times New Roman" w:cs="Times New Roman"/>
          <w:sz w:val="28"/>
          <w:szCs w:val="28"/>
        </w:rPr>
        <w:t>summons</w:t>
      </w:r>
      <w:r w:rsidR="00094301">
        <w:rPr>
          <w:rFonts w:ascii="Times New Roman" w:hAnsi="Times New Roman" w:cs="Times New Roman"/>
          <w:sz w:val="28"/>
          <w:szCs w:val="28"/>
        </w:rPr>
        <w:t xml:space="preserve"> a nullity</w:t>
      </w:r>
      <w:r w:rsidR="001D1E4E">
        <w:rPr>
          <w:rFonts w:ascii="Times New Roman" w:hAnsi="Times New Roman" w:cs="Times New Roman"/>
          <w:sz w:val="28"/>
          <w:szCs w:val="28"/>
        </w:rPr>
        <w:t xml:space="preserve"> </w:t>
      </w:r>
      <w:r w:rsidR="001D1E4E" w:rsidRPr="000D7950">
        <w:rPr>
          <w:rFonts w:ascii="Times New Roman" w:hAnsi="Times New Roman" w:cs="Times New Roman"/>
          <w:strike/>
          <w:sz w:val="28"/>
          <w:szCs w:val="28"/>
        </w:rPr>
        <w:t xml:space="preserve">– </w:t>
      </w:r>
      <w:r w:rsidR="00EF5E88" w:rsidRPr="000D7950">
        <w:rPr>
          <w:rFonts w:ascii="Times New Roman" w:hAnsi="Times New Roman" w:cs="Times New Roman"/>
          <w:sz w:val="28"/>
          <w:szCs w:val="28"/>
        </w:rPr>
        <w:t>purpose of the Act achieved</w:t>
      </w:r>
      <w:r w:rsidR="00D229DC" w:rsidRPr="000D7950">
        <w:rPr>
          <w:rFonts w:ascii="Times New Roman" w:hAnsi="Times New Roman" w:cs="Times New Roman"/>
          <w:sz w:val="28"/>
          <w:szCs w:val="28"/>
        </w:rPr>
        <w:t>.</w:t>
      </w:r>
    </w:p>
    <w:p w:rsidR="0032763D" w:rsidRDefault="0032763D" w:rsidP="0032763D">
      <w:pPr>
        <w:spacing w:line="276" w:lineRule="auto"/>
        <w:jc w:val="both"/>
        <w:rPr>
          <w:rFonts w:ascii="Times New Roman" w:hAnsi="Times New Roman" w:cs="Times New Roman"/>
          <w:sz w:val="28"/>
          <w:szCs w:val="28"/>
        </w:rPr>
      </w:pPr>
    </w:p>
    <w:p w:rsidR="0032763D" w:rsidRDefault="0032763D" w:rsidP="00EB6CD2">
      <w:pPr>
        <w:spacing w:line="360" w:lineRule="auto"/>
        <w:jc w:val="both"/>
        <w:rPr>
          <w:rFonts w:ascii="Times New Roman" w:hAnsi="Times New Roman" w:cs="Times New Roman"/>
          <w:sz w:val="28"/>
          <w:szCs w:val="28"/>
        </w:rPr>
      </w:pPr>
    </w:p>
    <w:p w:rsidR="00620FCE" w:rsidRDefault="00620FCE" w:rsidP="00EB6CD2">
      <w:pPr>
        <w:spacing w:line="360" w:lineRule="auto"/>
        <w:jc w:val="both"/>
        <w:rPr>
          <w:rFonts w:ascii="Times New Roman" w:hAnsi="Times New Roman" w:cs="Times New Roman"/>
          <w:sz w:val="28"/>
          <w:szCs w:val="28"/>
        </w:rPr>
      </w:pPr>
    </w:p>
    <w:p w:rsidR="00563593" w:rsidRPr="000D7950" w:rsidRDefault="00563593" w:rsidP="00EB6CD2">
      <w:pPr>
        <w:pBdr>
          <w:bottom w:val="single" w:sz="12" w:space="1" w:color="auto"/>
        </w:pBdr>
        <w:spacing w:line="360" w:lineRule="auto"/>
        <w:jc w:val="both"/>
        <w:rPr>
          <w:rFonts w:ascii="Times New Roman" w:eastAsiaTheme="minorHAnsi" w:hAnsi="Times New Roman" w:cs="Times New Roman"/>
          <w:b/>
          <w:bCs/>
          <w:sz w:val="28"/>
          <w:szCs w:val="28"/>
          <w:lang w:val="en-US"/>
        </w:rPr>
      </w:pPr>
    </w:p>
    <w:p w:rsidR="00F26441" w:rsidRPr="000D7950" w:rsidRDefault="00F26441" w:rsidP="00DF6BEF">
      <w:pPr>
        <w:jc w:val="both"/>
        <w:rPr>
          <w:rFonts w:ascii="Times New Roman" w:eastAsiaTheme="minorHAnsi" w:hAnsi="Times New Roman" w:cs="Times New Roman"/>
          <w:sz w:val="28"/>
          <w:szCs w:val="28"/>
          <w:lang w:val="en-US"/>
        </w:rPr>
      </w:pPr>
    </w:p>
    <w:p w:rsidR="00F26441" w:rsidRPr="000D7950" w:rsidRDefault="00F26441" w:rsidP="00DF6BEF">
      <w:pPr>
        <w:jc w:val="center"/>
        <w:rPr>
          <w:rFonts w:ascii="Times New Roman" w:eastAsiaTheme="minorHAnsi" w:hAnsi="Times New Roman" w:cs="Times New Roman"/>
          <w:b/>
          <w:bCs/>
          <w:sz w:val="28"/>
          <w:szCs w:val="28"/>
          <w:lang w:val="en-US"/>
        </w:rPr>
      </w:pPr>
      <w:r w:rsidRPr="000D7950">
        <w:rPr>
          <w:rFonts w:ascii="Times New Roman" w:eastAsiaTheme="minorHAnsi" w:hAnsi="Times New Roman" w:cs="Times New Roman"/>
          <w:b/>
          <w:bCs/>
          <w:sz w:val="28"/>
          <w:szCs w:val="28"/>
          <w:lang w:val="en-US"/>
        </w:rPr>
        <w:t>ORDER</w:t>
      </w:r>
    </w:p>
    <w:p w:rsidR="00F26441" w:rsidRPr="000D7950" w:rsidRDefault="00F26441" w:rsidP="00DF6BEF">
      <w:pPr>
        <w:pBdr>
          <w:bottom w:val="single" w:sz="12" w:space="1" w:color="auto"/>
        </w:pBdr>
        <w:jc w:val="both"/>
        <w:rPr>
          <w:rFonts w:ascii="Times New Roman" w:eastAsiaTheme="minorHAnsi" w:hAnsi="Times New Roman" w:cs="Times New Roman"/>
          <w:b/>
          <w:bCs/>
          <w:sz w:val="28"/>
          <w:szCs w:val="28"/>
          <w:lang w:val="en-US"/>
        </w:rPr>
      </w:pPr>
    </w:p>
    <w:p w:rsidR="00F26441" w:rsidRPr="000D7950" w:rsidRDefault="00F26441" w:rsidP="004D4BDF">
      <w:pPr>
        <w:jc w:val="both"/>
        <w:rPr>
          <w:rFonts w:ascii="Times New Roman" w:eastAsiaTheme="minorHAnsi" w:hAnsi="Times New Roman" w:cs="Times New Roman"/>
          <w:b/>
          <w:bCs/>
          <w:sz w:val="28"/>
          <w:szCs w:val="28"/>
          <w:lang w:val="en-US"/>
        </w:rPr>
      </w:pPr>
    </w:p>
    <w:p w:rsidR="0053068D" w:rsidRPr="000D7950" w:rsidRDefault="00F26441" w:rsidP="004D4BDF">
      <w:pPr>
        <w:spacing w:line="360" w:lineRule="auto"/>
        <w:jc w:val="both"/>
        <w:rPr>
          <w:rFonts w:ascii="Times New Roman" w:eastAsiaTheme="minorHAnsi" w:hAnsi="Times New Roman" w:cs="Times New Roman"/>
          <w:sz w:val="28"/>
          <w:szCs w:val="28"/>
          <w:lang w:val="en-US"/>
        </w:rPr>
      </w:pPr>
      <w:r w:rsidRPr="000D7950">
        <w:rPr>
          <w:rFonts w:ascii="Times New Roman" w:eastAsiaTheme="minorHAnsi" w:hAnsi="Times New Roman" w:cs="Times New Roman"/>
          <w:b/>
          <w:bCs/>
          <w:sz w:val="28"/>
          <w:szCs w:val="28"/>
          <w:lang w:val="en-US"/>
        </w:rPr>
        <w:t>On appeal from:</w:t>
      </w:r>
      <w:r w:rsidR="000D7A89" w:rsidRPr="000D7950">
        <w:rPr>
          <w:rFonts w:ascii="Times New Roman" w:eastAsiaTheme="minorHAnsi" w:hAnsi="Times New Roman" w:cs="Times New Roman"/>
          <w:sz w:val="28"/>
          <w:szCs w:val="28"/>
          <w:lang w:val="en-US"/>
        </w:rPr>
        <w:t xml:space="preserve"> Gauteng Division of the High Court, Pretoria</w:t>
      </w:r>
      <w:r w:rsidR="0053068D" w:rsidRPr="000D7950">
        <w:rPr>
          <w:rFonts w:ascii="Times New Roman" w:eastAsiaTheme="minorHAnsi" w:hAnsi="Times New Roman" w:cs="Times New Roman"/>
          <w:sz w:val="28"/>
          <w:szCs w:val="28"/>
          <w:lang w:val="en-US"/>
        </w:rPr>
        <w:t xml:space="preserve"> (</w:t>
      </w:r>
      <w:proofErr w:type="spellStart"/>
      <w:r w:rsidR="000D7A89" w:rsidRPr="000D7950">
        <w:rPr>
          <w:rFonts w:ascii="Times New Roman" w:eastAsiaTheme="minorHAnsi" w:hAnsi="Times New Roman" w:cs="Times New Roman"/>
          <w:sz w:val="28"/>
          <w:szCs w:val="28"/>
          <w:lang w:val="en-US"/>
        </w:rPr>
        <w:t>Mazibuko</w:t>
      </w:r>
      <w:proofErr w:type="spellEnd"/>
      <w:r w:rsidR="000D7A89" w:rsidRPr="000D7950">
        <w:rPr>
          <w:rFonts w:ascii="Times New Roman" w:eastAsiaTheme="minorHAnsi" w:hAnsi="Times New Roman" w:cs="Times New Roman"/>
          <w:sz w:val="28"/>
          <w:szCs w:val="28"/>
          <w:lang w:val="en-US"/>
        </w:rPr>
        <w:t xml:space="preserve"> AJ</w:t>
      </w:r>
      <w:r w:rsidR="0053068D" w:rsidRPr="000D7950">
        <w:rPr>
          <w:rFonts w:ascii="Times New Roman" w:eastAsiaTheme="minorHAnsi" w:hAnsi="Times New Roman" w:cs="Times New Roman"/>
          <w:sz w:val="28"/>
          <w:szCs w:val="28"/>
          <w:lang w:val="en-US"/>
        </w:rPr>
        <w:t xml:space="preserve"> sitting as court of first instance):</w:t>
      </w:r>
    </w:p>
    <w:p w:rsidR="00563593" w:rsidRPr="000D7950" w:rsidRDefault="00563593" w:rsidP="004D4BDF">
      <w:pPr>
        <w:spacing w:line="360" w:lineRule="auto"/>
        <w:jc w:val="both"/>
        <w:rPr>
          <w:rFonts w:ascii="Times New Roman" w:eastAsiaTheme="minorHAnsi" w:hAnsi="Times New Roman" w:cs="Times New Roman"/>
          <w:sz w:val="28"/>
          <w:szCs w:val="28"/>
          <w:lang w:val="en-US"/>
        </w:rPr>
      </w:pPr>
      <w:r w:rsidRPr="000D7950">
        <w:rPr>
          <w:rFonts w:ascii="Times New Roman" w:eastAsiaTheme="minorHAnsi" w:hAnsi="Times New Roman" w:cs="Times New Roman"/>
          <w:sz w:val="28"/>
          <w:szCs w:val="28"/>
          <w:lang w:val="en-US"/>
        </w:rPr>
        <w:t xml:space="preserve">The appeal is dismissed with </w:t>
      </w:r>
      <w:proofErr w:type="gramStart"/>
      <w:r w:rsidRPr="000D7950">
        <w:rPr>
          <w:rFonts w:ascii="Times New Roman" w:eastAsiaTheme="minorHAnsi" w:hAnsi="Times New Roman" w:cs="Times New Roman"/>
          <w:sz w:val="28"/>
          <w:szCs w:val="28"/>
          <w:lang w:val="en-US"/>
        </w:rPr>
        <w:t>costs</w:t>
      </w:r>
      <w:r w:rsidR="00C8724D" w:rsidRPr="000D7950">
        <w:rPr>
          <w:rFonts w:ascii="Times New Roman" w:eastAsiaTheme="minorHAnsi" w:hAnsi="Times New Roman" w:cs="Times New Roman"/>
          <w:sz w:val="28"/>
          <w:szCs w:val="28"/>
          <w:lang w:val="en-US"/>
        </w:rPr>
        <w:t>,</w:t>
      </w:r>
      <w:proofErr w:type="gramEnd"/>
      <w:r w:rsidRPr="000D7950">
        <w:rPr>
          <w:rFonts w:ascii="Times New Roman" w:eastAsiaTheme="minorHAnsi" w:hAnsi="Times New Roman" w:cs="Times New Roman"/>
          <w:sz w:val="28"/>
          <w:szCs w:val="28"/>
          <w:lang w:val="en-US"/>
        </w:rPr>
        <w:t xml:space="preserve"> which costs shall include the costs consequent on the appointment of two counsel.</w:t>
      </w:r>
    </w:p>
    <w:p w:rsidR="00D26615" w:rsidRPr="000D7950" w:rsidRDefault="00D26615" w:rsidP="004D4BDF">
      <w:pPr>
        <w:pBdr>
          <w:bottom w:val="single" w:sz="12" w:space="1" w:color="auto"/>
        </w:pBdr>
        <w:rPr>
          <w:rFonts w:ascii="Times New Roman" w:hAnsi="Times New Roman" w:cs="Times New Roman"/>
          <w:bCs/>
          <w:sz w:val="28"/>
          <w:szCs w:val="28"/>
        </w:rPr>
      </w:pPr>
    </w:p>
    <w:p w:rsidR="00D26615" w:rsidRPr="000D7950" w:rsidRDefault="00D26615" w:rsidP="007D32B3">
      <w:pPr>
        <w:rPr>
          <w:rFonts w:ascii="Times New Roman" w:hAnsi="Times New Roman" w:cs="Times New Roman"/>
          <w:b/>
          <w:bCs/>
          <w:sz w:val="28"/>
          <w:szCs w:val="28"/>
        </w:rPr>
      </w:pPr>
    </w:p>
    <w:p w:rsidR="00D26615" w:rsidRPr="000D7950" w:rsidRDefault="00D26615" w:rsidP="007D32B3">
      <w:pPr>
        <w:pBdr>
          <w:bottom w:val="single" w:sz="12" w:space="1" w:color="auto"/>
        </w:pBdr>
        <w:spacing w:line="360" w:lineRule="auto"/>
        <w:jc w:val="center"/>
        <w:rPr>
          <w:rFonts w:ascii="Times New Roman" w:hAnsi="Times New Roman" w:cs="Times New Roman"/>
          <w:b/>
          <w:bCs/>
          <w:sz w:val="28"/>
          <w:szCs w:val="28"/>
        </w:rPr>
      </w:pPr>
      <w:r w:rsidRPr="000D7950">
        <w:rPr>
          <w:rFonts w:ascii="Times New Roman" w:hAnsi="Times New Roman" w:cs="Times New Roman"/>
          <w:b/>
          <w:bCs/>
          <w:sz w:val="28"/>
          <w:szCs w:val="28"/>
        </w:rPr>
        <w:t>JUDGMENT</w:t>
      </w:r>
    </w:p>
    <w:p w:rsidR="00AD3AA7" w:rsidRPr="000D7950" w:rsidRDefault="00AD3AA7" w:rsidP="007D32B3">
      <w:pPr>
        <w:jc w:val="both"/>
        <w:rPr>
          <w:rFonts w:ascii="Times New Roman" w:hAnsi="Times New Roman" w:cs="Times New Roman"/>
          <w:b/>
          <w:bCs/>
          <w:sz w:val="28"/>
          <w:szCs w:val="28"/>
        </w:rPr>
      </w:pPr>
    </w:p>
    <w:p w:rsidR="00021972" w:rsidRPr="000D7950" w:rsidRDefault="00E0500B" w:rsidP="003100E3">
      <w:pPr>
        <w:spacing w:line="36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Kgoele JA (Mokgohloa and Meyer JJA, Baartman and Bloem AJJA</w:t>
      </w:r>
      <w:r w:rsidR="006D06C4" w:rsidRPr="000D7950">
        <w:rPr>
          <w:rFonts w:ascii="Times New Roman" w:hAnsi="Times New Roman" w:cs="Times New Roman"/>
          <w:b/>
          <w:bCs/>
          <w:sz w:val="28"/>
          <w:szCs w:val="28"/>
          <w:lang w:val="en-US"/>
        </w:rPr>
        <w:t xml:space="preserve"> concurring</w:t>
      </w:r>
      <w:r w:rsidR="00862D95" w:rsidRPr="000D7950">
        <w:rPr>
          <w:rFonts w:ascii="Times New Roman" w:hAnsi="Times New Roman" w:cs="Times New Roman"/>
          <w:b/>
          <w:bCs/>
          <w:sz w:val="28"/>
          <w:szCs w:val="28"/>
          <w:lang w:val="en-US"/>
        </w:rPr>
        <w:t>)</w:t>
      </w:r>
      <w:r>
        <w:rPr>
          <w:rFonts w:ascii="Times New Roman" w:hAnsi="Times New Roman" w:cs="Times New Roman"/>
          <w:b/>
          <w:bCs/>
          <w:sz w:val="28"/>
          <w:szCs w:val="28"/>
          <w:lang w:val="en-US"/>
        </w:rPr>
        <w:t>:</w:t>
      </w:r>
    </w:p>
    <w:p w:rsidR="00AD3AA7" w:rsidRPr="000D7950" w:rsidRDefault="00AD3AA7" w:rsidP="00946D79">
      <w:pPr>
        <w:rPr>
          <w:rFonts w:ascii="Times New Roman" w:hAnsi="Times New Roman" w:cs="Times New Roman"/>
          <w:sz w:val="28"/>
          <w:szCs w:val="28"/>
          <w:lang w:val="en-US"/>
        </w:rPr>
      </w:pPr>
    </w:p>
    <w:p w:rsidR="009C5DCC" w:rsidRPr="000D7950" w:rsidRDefault="001D1E4E" w:rsidP="003100E3">
      <w:pPr>
        <w:spacing w:line="360" w:lineRule="auto"/>
        <w:jc w:val="both"/>
        <w:rPr>
          <w:rFonts w:ascii="Times New Roman" w:hAnsi="Times New Roman" w:cs="Times New Roman"/>
          <w:sz w:val="28"/>
          <w:szCs w:val="28"/>
          <w:lang w:val="en-US"/>
        </w:rPr>
      </w:pPr>
      <w:r w:rsidRPr="000D7950">
        <w:rPr>
          <w:rFonts w:ascii="Times New Roman" w:hAnsi="Times New Roman" w:cs="Times New Roman"/>
          <w:sz w:val="28"/>
          <w:szCs w:val="28"/>
          <w:lang w:val="en-US"/>
        </w:rPr>
        <w:t>[1</w:t>
      </w:r>
      <w:r w:rsidR="009F5EBD" w:rsidRPr="000D7950">
        <w:rPr>
          <w:rFonts w:ascii="Times New Roman" w:hAnsi="Times New Roman" w:cs="Times New Roman"/>
          <w:sz w:val="28"/>
          <w:szCs w:val="28"/>
          <w:lang w:val="en-US"/>
        </w:rPr>
        <w:t>]</w:t>
      </w:r>
      <w:r w:rsidR="005C0BF5" w:rsidRPr="000D7950">
        <w:rPr>
          <w:rFonts w:ascii="Times New Roman" w:hAnsi="Times New Roman" w:cs="Times New Roman"/>
          <w:sz w:val="28"/>
          <w:szCs w:val="28"/>
          <w:lang w:val="en-US"/>
        </w:rPr>
        <w:tab/>
      </w:r>
      <w:r w:rsidR="00C83407" w:rsidRPr="000D7950">
        <w:rPr>
          <w:rFonts w:ascii="Times New Roman" w:hAnsi="Times New Roman" w:cs="Times New Roman"/>
          <w:sz w:val="28"/>
          <w:szCs w:val="28"/>
          <w:lang w:val="en-US"/>
        </w:rPr>
        <w:t xml:space="preserve">A little less than a decade ago the </w:t>
      </w:r>
      <w:r w:rsidR="009C5DCC" w:rsidRPr="000D7950">
        <w:rPr>
          <w:rFonts w:ascii="Times New Roman" w:hAnsi="Times New Roman" w:cs="Times New Roman"/>
          <w:sz w:val="28"/>
          <w:szCs w:val="28"/>
          <w:lang w:val="en-US"/>
        </w:rPr>
        <w:t>Constitutional</w:t>
      </w:r>
      <w:r w:rsidR="00C83407" w:rsidRPr="000D7950">
        <w:rPr>
          <w:rFonts w:ascii="Times New Roman" w:hAnsi="Times New Roman" w:cs="Times New Roman"/>
          <w:sz w:val="28"/>
          <w:szCs w:val="28"/>
          <w:lang w:val="en-US"/>
        </w:rPr>
        <w:t xml:space="preserve"> Court</w:t>
      </w:r>
      <w:r w:rsidR="0040753C" w:rsidRPr="000D7950">
        <w:rPr>
          <w:rFonts w:ascii="Times New Roman" w:hAnsi="Times New Roman" w:cs="Times New Roman"/>
          <w:sz w:val="28"/>
          <w:szCs w:val="28"/>
          <w:lang w:val="en-US"/>
        </w:rPr>
        <w:t>,</w:t>
      </w:r>
      <w:r w:rsidR="005C7517" w:rsidRPr="000D7950">
        <w:rPr>
          <w:rFonts w:ascii="Times New Roman" w:hAnsi="Times New Roman" w:cs="Times New Roman"/>
          <w:sz w:val="28"/>
          <w:szCs w:val="28"/>
          <w:lang w:val="en-US"/>
        </w:rPr>
        <w:t xml:space="preserve"> </w:t>
      </w:r>
      <w:r w:rsidR="0040753C" w:rsidRPr="000D7950">
        <w:rPr>
          <w:rFonts w:ascii="Times New Roman" w:hAnsi="Times New Roman" w:cs="Times New Roman"/>
          <w:sz w:val="28"/>
          <w:szCs w:val="28"/>
          <w:lang w:val="en-US"/>
        </w:rPr>
        <w:t>to underscore the approach our courts should employ in</w:t>
      </w:r>
      <w:r w:rsidR="006474E1" w:rsidRPr="000D7950">
        <w:rPr>
          <w:rFonts w:ascii="Times New Roman" w:hAnsi="Times New Roman" w:cs="Times New Roman"/>
          <w:sz w:val="28"/>
          <w:szCs w:val="28"/>
          <w:lang w:val="en-US"/>
        </w:rPr>
        <w:t xml:space="preserve"> applying the laws in this country</w:t>
      </w:r>
      <w:r w:rsidR="009C5DCC" w:rsidRPr="000D7950">
        <w:rPr>
          <w:rFonts w:ascii="Times New Roman" w:hAnsi="Times New Roman" w:cs="Times New Roman"/>
          <w:sz w:val="28"/>
          <w:szCs w:val="28"/>
          <w:lang w:val="en-US"/>
        </w:rPr>
        <w:t>,</w:t>
      </w:r>
      <w:r w:rsidR="006474E1" w:rsidRPr="000D7950">
        <w:rPr>
          <w:rFonts w:ascii="Times New Roman" w:hAnsi="Times New Roman" w:cs="Times New Roman"/>
          <w:sz w:val="28"/>
          <w:szCs w:val="28"/>
          <w:lang w:val="en-US"/>
        </w:rPr>
        <w:t xml:space="preserve"> including </w:t>
      </w:r>
      <w:r w:rsidR="009C5DCC" w:rsidRPr="000D7950">
        <w:rPr>
          <w:rFonts w:ascii="Times New Roman" w:hAnsi="Times New Roman" w:cs="Times New Roman"/>
          <w:sz w:val="28"/>
          <w:szCs w:val="28"/>
          <w:lang w:val="en-US"/>
        </w:rPr>
        <w:t xml:space="preserve">the </w:t>
      </w:r>
      <w:r w:rsidR="006474E1" w:rsidRPr="000D7950">
        <w:rPr>
          <w:rFonts w:ascii="Times New Roman" w:hAnsi="Times New Roman" w:cs="Times New Roman"/>
          <w:sz w:val="28"/>
          <w:szCs w:val="28"/>
          <w:lang w:val="en-US"/>
        </w:rPr>
        <w:t xml:space="preserve">interpretation of </w:t>
      </w:r>
      <w:r w:rsidR="009C5DCC" w:rsidRPr="000D7950">
        <w:rPr>
          <w:rFonts w:ascii="Times New Roman" w:hAnsi="Times New Roman" w:cs="Times New Roman"/>
          <w:sz w:val="28"/>
          <w:szCs w:val="28"/>
          <w:lang w:val="en-US"/>
        </w:rPr>
        <w:t>the Constitution, statute</w:t>
      </w:r>
      <w:r w:rsidR="0040753C" w:rsidRPr="000D7950">
        <w:rPr>
          <w:rFonts w:ascii="Times New Roman" w:hAnsi="Times New Roman" w:cs="Times New Roman"/>
          <w:sz w:val="28"/>
          <w:szCs w:val="28"/>
          <w:lang w:val="en-US"/>
        </w:rPr>
        <w:t xml:space="preserve">s, and contracts in matters </w:t>
      </w:r>
      <w:r w:rsidR="005C7517" w:rsidRPr="000D7950">
        <w:rPr>
          <w:rFonts w:ascii="Times New Roman" w:hAnsi="Times New Roman" w:cs="Times New Roman"/>
          <w:sz w:val="28"/>
          <w:szCs w:val="28"/>
          <w:lang w:val="en-US"/>
        </w:rPr>
        <w:t>before them remarked</w:t>
      </w:r>
      <w:r w:rsidR="009C5DCC" w:rsidRPr="000D7950">
        <w:rPr>
          <w:rFonts w:ascii="Times New Roman" w:hAnsi="Times New Roman" w:cs="Times New Roman"/>
          <w:sz w:val="28"/>
          <w:szCs w:val="28"/>
          <w:lang w:val="en-US"/>
        </w:rPr>
        <w:t xml:space="preserve">: </w:t>
      </w:r>
    </w:p>
    <w:p w:rsidR="00884B27" w:rsidRPr="000D7950" w:rsidRDefault="009C5DCC" w:rsidP="003100E3">
      <w:pPr>
        <w:spacing w:line="360" w:lineRule="auto"/>
        <w:jc w:val="both"/>
        <w:rPr>
          <w:rFonts w:ascii="Times New Roman" w:hAnsi="Times New Roman" w:cs="Times New Roman"/>
          <w:lang w:val="en-US"/>
        </w:rPr>
      </w:pPr>
      <w:r w:rsidRPr="000D7950">
        <w:rPr>
          <w:rFonts w:ascii="Times New Roman" w:hAnsi="Times New Roman" w:cs="Times New Roman"/>
          <w:lang w:val="en-US"/>
        </w:rPr>
        <w:t>‘</w:t>
      </w:r>
      <w:r w:rsidR="002309B2" w:rsidRPr="000D7950">
        <w:rPr>
          <w:rFonts w:ascii="Times New Roman" w:hAnsi="Times New Roman" w:cs="Times New Roman"/>
          <w:lang w:val="en-US"/>
        </w:rPr>
        <w:t xml:space="preserve">Our peculiarity as a nation impels us to remember always, that our Constitution and law could never have been meant to facilitate the frustration of real justice and equity through technicalities. The kind of justice that our constitutional dispensation holds out to all our people is substantive justice. This is the kind that does not ignore the overall constitutional vision, the challenges that cry out for a just and equitable solution in particular circumstances and the context within which the issues arose and are steeped. We cannot </w:t>
      </w:r>
      <w:proofErr w:type="spellStart"/>
      <w:r w:rsidR="002309B2" w:rsidRPr="000D7950">
        <w:rPr>
          <w:rFonts w:ascii="Times New Roman" w:hAnsi="Times New Roman" w:cs="Times New Roman"/>
          <w:lang w:val="en-US"/>
        </w:rPr>
        <w:t>emphasise</w:t>
      </w:r>
      <w:proofErr w:type="spellEnd"/>
      <w:r w:rsidR="002309B2" w:rsidRPr="000D7950">
        <w:rPr>
          <w:rFonts w:ascii="Times New Roman" w:hAnsi="Times New Roman" w:cs="Times New Roman"/>
          <w:lang w:val="en-US"/>
        </w:rPr>
        <w:t xml:space="preserve"> enough, that form should never be allowed to triumph</w:t>
      </w:r>
      <w:r w:rsidR="00E2233A" w:rsidRPr="000D7950">
        <w:rPr>
          <w:rFonts w:ascii="Times New Roman" w:hAnsi="Times New Roman" w:cs="Times New Roman"/>
          <w:lang w:val="en-US"/>
        </w:rPr>
        <w:t xml:space="preserve"> over substance</w:t>
      </w:r>
      <w:r w:rsidR="009166C8" w:rsidRPr="000D7950">
        <w:rPr>
          <w:rFonts w:ascii="Times New Roman" w:hAnsi="Times New Roman" w:cs="Times New Roman"/>
          <w:lang w:val="en-US"/>
        </w:rPr>
        <w:t>….</w:t>
      </w:r>
      <w:r w:rsidRPr="000D7950">
        <w:rPr>
          <w:rFonts w:ascii="Times New Roman" w:hAnsi="Times New Roman" w:cs="Times New Roman"/>
          <w:lang w:val="en-US"/>
        </w:rPr>
        <w:t>’</w:t>
      </w:r>
      <w:r w:rsidR="00AA7967" w:rsidRPr="000D7950">
        <w:rPr>
          <w:rStyle w:val="FootnoteReference"/>
          <w:rFonts w:ascii="Times New Roman" w:hAnsi="Times New Roman" w:cs="Times New Roman"/>
          <w:lang w:val="en-US"/>
        </w:rPr>
        <w:footnoteReference w:id="1"/>
      </w:r>
      <w:r w:rsidR="00E760A9" w:rsidRPr="000D7950">
        <w:rPr>
          <w:rFonts w:ascii="Times New Roman" w:hAnsi="Times New Roman" w:cs="Times New Roman"/>
          <w:lang w:val="en-US"/>
        </w:rPr>
        <w:t xml:space="preserve"> </w:t>
      </w:r>
    </w:p>
    <w:p w:rsidR="005C7517" w:rsidRPr="000D7950" w:rsidRDefault="005C7517" w:rsidP="00946D79">
      <w:pPr>
        <w:jc w:val="both"/>
        <w:rPr>
          <w:rFonts w:ascii="Times New Roman" w:hAnsi="Times New Roman" w:cs="Times New Roman"/>
          <w:lang w:val="en-US"/>
        </w:rPr>
      </w:pPr>
    </w:p>
    <w:p w:rsidR="00884B27" w:rsidRPr="000D7950" w:rsidRDefault="00884B27" w:rsidP="003100E3">
      <w:pPr>
        <w:spacing w:line="360" w:lineRule="auto"/>
        <w:jc w:val="both"/>
        <w:rPr>
          <w:rFonts w:ascii="Times New Roman" w:hAnsi="Times New Roman" w:cs="Times New Roman"/>
          <w:sz w:val="28"/>
          <w:szCs w:val="28"/>
          <w:lang w:val="en-US"/>
        </w:rPr>
      </w:pPr>
    </w:p>
    <w:p w:rsidR="00021972" w:rsidRPr="000D7950" w:rsidRDefault="006A51B7" w:rsidP="0039402A">
      <w:pPr>
        <w:spacing w:line="360" w:lineRule="auto"/>
        <w:jc w:val="both"/>
        <w:rPr>
          <w:rFonts w:ascii="Times New Roman" w:hAnsi="Times New Roman" w:cs="Times New Roman"/>
          <w:sz w:val="28"/>
          <w:szCs w:val="28"/>
          <w:lang w:val="en-US"/>
        </w:rPr>
      </w:pPr>
      <w:r w:rsidRPr="000D7950">
        <w:rPr>
          <w:rFonts w:ascii="Times New Roman" w:hAnsi="Times New Roman" w:cs="Times New Roman"/>
          <w:sz w:val="28"/>
          <w:szCs w:val="28"/>
          <w:lang w:val="en-US"/>
        </w:rPr>
        <w:lastRenderedPageBreak/>
        <w:t>[2]</w:t>
      </w:r>
      <w:r w:rsidR="00D72C5E" w:rsidRPr="000D7950">
        <w:rPr>
          <w:rFonts w:ascii="Times New Roman" w:hAnsi="Times New Roman" w:cs="Times New Roman"/>
          <w:sz w:val="28"/>
          <w:szCs w:val="28"/>
          <w:lang w:val="en-US"/>
        </w:rPr>
        <w:tab/>
      </w:r>
      <w:r w:rsidR="005C7517" w:rsidRPr="000D7950">
        <w:rPr>
          <w:rFonts w:ascii="Times New Roman" w:hAnsi="Times New Roman" w:cs="Times New Roman"/>
          <w:sz w:val="28"/>
          <w:szCs w:val="28"/>
          <w:lang w:val="en-US"/>
        </w:rPr>
        <w:t>C</w:t>
      </w:r>
      <w:r w:rsidR="0024258D" w:rsidRPr="000D7950">
        <w:rPr>
          <w:rFonts w:ascii="Times New Roman" w:hAnsi="Times New Roman" w:cs="Times New Roman"/>
          <w:sz w:val="28"/>
          <w:szCs w:val="28"/>
          <w:lang w:val="en-US"/>
        </w:rPr>
        <w:t xml:space="preserve">entral </w:t>
      </w:r>
      <w:r w:rsidR="005C7517" w:rsidRPr="000D7950">
        <w:rPr>
          <w:rFonts w:ascii="Times New Roman" w:hAnsi="Times New Roman" w:cs="Times New Roman"/>
          <w:sz w:val="28"/>
          <w:szCs w:val="28"/>
          <w:lang w:val="en-US"/>
        </w:rPr>
        <w:t xml:space="preserve">to the </w:t>
      </w:r>
      <w:r w:rsidR="00AA7967" w:rsidRPr="000D7950">
        <w:rPr>
          <w:rFonts w:ascii="Times New Roman" w:hAnsi="Times New Roman" w:cs="Times New Roman"/>
          <w:sz w:val="28"/>
          <w:szCs w:val="28"/>
          <w:lang w:val="en-US"/>
        </w:rPr>
        <w:t>issue</w:t>
      </w:r>
      <w:r w:rsidR="005C7517" w:rsidRPr="000D7950">
        <w:rPr>
          <w:rFonts w:ascii="Times New Roman" w:hAnsi="Times New Roman" w:cs="Times New Roman"/>
          <w:sz w:val="28"/>
          <w:szCs w:val="28"/>
          <w:lang w:val="en-US"/>
        </w:rPr>
        <w:t>s</w:t>
      </w:r>
      <w:r w:rsidR="00AA7967" w:rsidRPr="000D7950">
        <w:rPr>
          <w:rFonts w:ascii="Times New Roman" w:hAnsi="Times New Roman" w:cs="Times New Roman"/>
          <w:sz w:val="28"/>
          <w:szCs w:val="28"/>
          <w:lang w:val="en-US"/>
        </w:rPr>
        <w:t xml:space="preserve"> </w:t>
      </w:r>
      <w:r w:rsidR="000D36FA" w:rsidRPr="000D7950">
        <w:rPr>
          <w:rFonts w:ascii="Times New Roman" w:hAnsi="Times New Roman" w:cs="Times New Roman"/>
          <w:sz w:val="28"/>
          <w:szCs w:val="28"/>
          <w:lang w:val="en-US"/>
        </w:rPr>
        <w:t>in this appeal is</w:t>
      </w:r>
      <w:r w:rsidR="005C7517" w:rsidRPr="000D7950">
        <w:rPr>
          <w:rFonts w:ascii="Times New Roman" w:hAnsi="Times New Roman" w:cs="Times New Roman"/>
          <w:sz w:val="28"/>
          <w:szCs w:val="28"/>
          <w:lang w:val="en-US"/>
        </w:rPr>
        <w:t xml:space="preserve"> the question</w:t>
      </w:r>
      <w:r w:rsidR="000D36FA" w:rsidRPr="000D7950">
        <w:rPr>
          <w:rFonts w:ascii="Times New Roman" w:hAnsi="Times New Roman" w:cs="Times New Roman"/>
          <w:sz w:val="28"/>
          <w:szCs w:val="28"/>
          <w:lang w:val="en-US"/>
        </w:rPr>
        <w:t xml:space="preserve"> whether the non-compliance with the provisions of s 2</w:t>
      </w:r>
      <w:r w:rsidR="008B4B8B" w:rsidRPr="000D7950">
        <w:rPr>
          <w:rFonts w:ascii="Times New Roman" w:hAnsi="Times New Roman" w:cs="Times New Roman"/>
          <w:sz w:val="28"/>
          <w:szCs w:val="28"/>
          <w:lang w:val="en-US"/>
        </w:rPr>
        <w:t>(2)</w:t>
      </w:r>
      <w:r w:rsidR="000D36FA" w:rsidRPr="000D7950">
        <w:rPr>
          <w:rFonts w:ascii="Times New Roman" w:hAnsi="Times New Roman" w:cs="Times New Roman"/>
          <w:i/>
          <w:sz w:val="28"/>
          <w:szCs w:val="28"/>
          <w:lang w:val="en-US"/>
        </w:rPr>
        <w:t>(a)</w:t>
      </w:r>
      <w:r w:rsidR="000D36FA" w:rsidRPr="000D7950">
        <w:rPr>
          <w:rFonts w:ascii="Times New Roman" w:hAnsi="Times New Roman" w:cs="Times New Roman"/>
          <w:sz w:val="28"/>
          <w:szCs w:val="28"/>
          <w:lang w:val="en-US"/>
        </w:rPr>
        <w:t xml:space="preserve"> of the State Liability Act 20 of 1957 (State Liability Act) renders the summons a nullity. This is a</w:t>
      </w:r>
      <w:r w:rsidR="0012347E" w:rsidRPr="000D7950">
        <w:rPr>
          <w:rFonts w:ascii="Times New Roman" w:hAnsi="Times New Roman" w:cs="Times New Roman"/>
          <w:sz w:val="28"/>
          <w:szCs w:val="28"/>
          <w:lang w:val="en-US"/>
        </w:rPr>
        <w:t xml:space="preserve"> similar </w:t>
      </w:r>
      <w:r w:rsidR="000D36FA" w:rsidRPr="000D7950">
        <w:rPr>
          <w:rFonts w:ascii="Times New Roman" w:hAnsi="Times New Roman" w:cs="Times New Roman"/>
          <w:sz w:val="28"/>
          <w:szCs w:val="28"/>
          <w:lang w:val="en-US"/>
        </w:rPr>
        <w:t xml:space="preserve">question already pronounced </w:t>
      </w:r>
      <w:r w:rsidR="0012347E" w:rsidRPr="000D7950">
        <w:rPr>
          <w:rFonts w:ascii="Times New Roman" w:hAnsi="Times New Roman" w:cs="Times New Roman"/>
          <w:sz w:val="28"/>
          <w:szCs w:val="28"/>
          <w:lang w:val="en-US"/>
        </w:rPr>
        <w:t xml:space="preserve">by this </w:t>
      </w:r>
      <w:r w:rsidR="007740D3" w:rsidRPr="000D7950">
        <w:rPr>
          <w:rFonts w:ascii="Times New Roman" w:hAnsi="Times New Roman" w:cs="Times New Roman"/>
          <w:sz w:val="28"/>
          <w:szCs w:val="28"/>
          <w:lang w:val="en-US"/>
        </w:rPr>
        <w:t>C</w:t>
      </w:r>
      <w:r w:rsidR="00FC137A" w:rsidRPr="000D7950">
        <w:rPr>
          <w:rFonts w:ascii="Times New Roman" w:hAnsi="Times New Roman" w:cs="Times New Roman"/>
          <w:sz w:val="28"/>
          <w:szCs w:val="28"/>
          <w:lang w:val="en-US"/>
        </w:rPr>
        <w:t xml:space="preserve">ourt per Makgoka JA recently in </w:t>
      </w:r>
      <w:r w:rsidR="00E27312">
        <w:rPr>
          <w:rFonts w:ascii="Times New Roman" w:hAnsi="Times New Roman" w:cs="Times New Roman"/>
          <w:i/>
          <w:sz w:val="28"/>
          <w:szCs w:val="28"/>
          <w:lang w:val="en-US"/>
        </w:rPr>
        <w:t xml:space="preserve">Minister of Police v </w:t>
      </w:r>
      <w:proofErr w:type="spellStart"/>
      <w:r w:rsidR="00E27312">
        <w:rPr>
          <w:rFonts w:ascii="Times New Roman" w:hAnsi="Times New Roman" w:cs="Times New Roman"/>
          <w:i/>
          <w:sz w:val="28"/>
          <w:szCs w:val="28"/>
          <w:lang w:val="en-US"/>
        </w:rPr>
        <w:t>Molokwa</w:t>
      </w:r>
      <w:r w:rsidR="00FC137A" w:rsidRPr="000D7950">
        <w:rPr>
          <w:rFonts w:ascii="Times New Roman" w:hAnsi="Times New Roman" w:cs="Times New Roman"/>
          <w:i/>
          <w:sz w:val="28"/>
          <w:szCs w:val="28"/>
          <w:lang w:val="en-US"/>
        </w:rPr>
        <w:t>ne</w:t>
      </w:r>
      <w:proofErr w:type="spellEnd"/>
      <w:r w:rsidR="00D72C5E" w:rsidRPr="000D7950">
        <w:rPr>
          <w:rFonts w:ascii="Times New Roman" w:hAnsi="Times New Roman" w:cs="Times New Roman"/>
          <w:i/>
          <w:sz w:val="28"/>
          <w:szCs w:val="28"/>
          <w:lang w:val="en-US"/>
        </w:rPr>
        <w:t xml:space="preserve"> </w:t>
      </w:r>
      <w:r w:rsidR="00E27312">
        <w:rPr>
          <w:rFonts w:ascii="Times New Roman" w:hAnsi="Times New Roman" w:cs="Times New Roman"/>
          <w:i/>
          <w:sz w:val="28"/>
          <w:szCs w:val="28"/>
          <w:lang w:val="en-US"/>
        </w:rPr>
        <w:t>(</w:t>
      </w:r>
      <w:proofErr w:type="spellStart"/>
      <w:r w:rsidR="00E27312">
        <w:rPr>
          <w:rFonts w:ascii="Times New Roman" w:hAnsi="Times New Roman" w:cs="Times New Roman"/>
          <w:i/>
          <w:sz w:val="28"/>
          <w:szCs w:val="28"/>
          <w:lang w:val="en-US"/>
        </w:rPr>
        <w:t>Molokwa</w:t>
      </w:r>
      <w:r w:rsidR="00112B82" w:rsidRPr="000D7950">
        <w:rPr>
          <w:rFonts w:ascii="Times New Roman" w:hAnsi="Times New Roman" w:cs="Times New Roman"/>
          <w:i/>
          <w:sz w:val="28"/>
          <w:szCs w:val="28"/>
          <w:lang w:val="en-US"/>
        </w:rPr>
        <w:t>ne</w:t>
      </w:r>
      <w:proofErr w:type="spellEnd"/>
      <w:r w:rsidR="00112B82" w:rsidRPr="000D7950">
        <w:rPr>
          <w:rFonts w:ascii="Times New Roman" w:hAnsi="Times New Roman" w:cs="Times New Roman"/>
          <w:i/>
          <w:sz w:val="28"/>
          <w:szCs w:val="28"/>
          <w:lang w:val="en-US"/>
        </w:rPr>
        <w:t>)</w:t>
      </w:r>
      <w:r w:rsidR="00AD4397" w:rsidRPr="000D7950">
        <w:rPr>
          <w:rFonts w:ascii="Times New Roman" w:hAnsi="Times New Roman" w:cs="Times New Roman"/>
          <w:sz w:val="28"/>
          <w:szCs w:val="28"/>
          <w:lang w:val="en-US"/>
        </w:rPr>
        <w:t>.</w:t>
      </w:r>
      <w:r w:rsidR="00FC137A" w:rsidRPr="000D7950">
        <w:rPr>
          <w:rStyle w:val="FootnoteReference"/>
          <w:rFonts w:ascii="Times New Roman" w:hAnsi="Times New Roman" w:cs="Times New Roman"/>
          <w:sz w:val="28"/>
          <w:szCs w:val="28"/>
          <w:lang w:val="en-US"/>
        </w:rPr>
        <w:footnoteReference w:id="2"/>
      </w:r>
      <w:r w:rsidR="00AA7967" w:rsidRPr="000D7950">
        <w:rPr>
          <w:rFonts w:ascii="Times New Roman" w:hAnsi="Times New Roman" w:cs="Times New Roman"/>
          <w:sz w:val="28"/>
          <w:szCs w:val="28"/>
          <w:lang w:val="en-US"/>
        </w:rPr>
        <w:t xml:space="preserve"> </w:t>
      </w:r>
      <w:r w:rsidR="000D36FA" w:rsidRPr="000D7950">
        <w:rPr>
          <w:rFonts w:ascii="Times New Roman" w:hAnsi="Times New Roman" w:cs="Times New Roman"/>
          <w:sz w:val="28"/>
          <w:szCs w:val="28"/>
          <w:lang w:val="en-US"/>
        </w:rPr>
        <w:t xml:space="preserve">Whereas </w:t>
      </w:r>
      <w:r w:rsidR="0014214F" w:rsidRPr="000D7950">
        <w:rPr>
          <w:rFonts w:ascii="Times New Roman" w:hAnsi="Times New Roman" w:cs="Times New Roman"/>
          <w:sz w:val="28"/>
          <w:szCs w:val="28"/>
          <w:lang w:val="en-US"/>
        </w:rPr>
        <w:t xml:space="preserve">in </w:t>
      </w:r>
      <w:proofErr w:type="spellStart"/>
      <w:r w:rsidR="00E27312">
        <w:rPr>
          <w:rFonts w:ascii="Times New Roman" w:hAnsi="Times New Roman" w:cs="Times New Roman"/>
          <w:i/>
          <w:sz w:val="28"/>
          <w:szCs w:val="28"/>
          <w:lang w:val="en-US"/>
        </w:rPr>
        <w:t>Molokw</w:t>
      </w:r>
      <w:r w:rsidR="0014214F" w:rsidRPr="000D7950">
        <w:rPr>
          <w:rFonts w:ascii="Times New Roman" w:hAnsi="Times New Roman" w:cs="Times New Roman"/>
          <w:i/>
          <w:sz w:val="28"/>
          <w:szCs w:val="28"/>
          <w:lang w:val="en-US"/>
        </w:rPr>
        <w:t>ane</w:t>
      </w:r>
      <w:proofErr w:type="spellEnd"/>
      <w:r w:rsidR="007740D3" w:rsidRPr="000D7950">
        <w:rPr>
          <w:rFonts w:ascii="Times New Roman" w:hAnsi="Times New Roman" w:cs="Times New Roman"/>
          <w:sz w:val="28"/>
          <w:szCs w:val="28"/>
          <w:lang w:val="en-US"/>
        </w:rPr>
        <w:t xml:space="preserve"> the</w:t>
      </w:r>
      <w:r w:rsidR="00B94B23" w:rsidRPr="000D7950">
        <w:rPr>
          <w:rFonts w:ascii="Times New Roman" w:hAnsi="Times New Roman" w:cs="Times New Roman"/>
          <w:sz w:val="28"/>
          <w:szCs w:val="28"/>
          <w:lang w:val="en-US"/>
        </w:rPr>
        <w:t xml:space="preserve"> non-compliance</w:t>
      </w:r>
      <w:r w:rsidR="007740D3" w:rsidRPr="000D7950">
        <w:rPr>
          <w:rFonts w:ascii="Times New Roman" w:hAnsi="Times New Roman" w:cs="Times New Roman"/>
          <w:sz w:val="28"/>
          <w:szCs w:val="28"/>
          <w:lang w:val="en-US"/>
        </w:rPr>
        <w:t xml:space="preserve"> </w:t>
      </w:r>
      <w:r w:rsidR="002E25BC" w:rsidRPr="000D7950">
        <w:rPr>
          <w:rFonts w:ascii="Times New Roman" w:hAnsi="Times New Roman" w:cs="Times New Roman"/>
          <w:sz w:val="28"/>
          <w:szCs w:val="28"/>
          <w:lang w:val="en-US"/>
        </w:rPr>
        <w:t>relates to the failure to serve the</w:t>
      </w:r>
      <w:r w:rsidR="007740D3" w:rsidRPr="000D7950">
        <w:rPr>
          <w:rFonts w:ascii="Times New Roman" w:hAnsi="Times New Roman" w:cs="Times New Roman"/>
          <w:sz w:val="28"/>
          <w:szCs w:val="28"/>
          <w:lang w:val="en-US"/>
        </w:rPr>
        <w:t xml:space="preserve"> summons </w:t>
      </w:r>
      <w:r w:rsidR="00C6433C" w:rsidRPr="000D7950">
        <w:rPr>
          <w:rFonts w:ascii="Times New Roman" w:hAnsi="Times New Roman" w:cs="Times New Roman"/>
          <w:sz w:val="28"/>
          <w:szCs w:val="28"/>
          <w:lang w:val="en-US"/>
        </w:rPr>
        <w:t>on the</w:t>
      </w:r>
      <w:r w:rsidR="0014214F" w:rsidRPr="000D7950">
        <w:rPr>
          <w:rFonts w:ascii="Times New Roman" w:hAnsi="Times New Roman" w:cs="Times New Roman"/>
          <w:sz w:val="28"/>
          <w:szCs w:val="28"/>
          <w:lang w:val="en-US"/>
        </w:rPr>
        <w:t xml:space="preserve"> State Attorney</w:t>
      </w:r>
      <w:r w:rsidR="00884B27" w:rsidRPr="000D7950">
        <w:rPr>
          <w:rFonts w:ascii="Times New Roman" w:hAnsi="Times New Roman" w:cs="Times New Roman"/>
          <w:sz w:val="28"/>
          <w:szCs w:val="28"/>
          <w:lang w:val="en-US"/>
        </w:rPr>
        <w:t xml:space="preserve"> in terms of s 2</w:t>
      </w:r>
      <w:r w:rsidR="008B4B8B" w:rsidRPr="000D7950">
        <w:rPr>
          <w:rFonts w:ascii="Times New Roman" w:hAnsi="Times New Roman" w:cs="Times New Roman"/>
          <w:sz w:val="28"/>
          <w:szCs w:val="28"/>
          <w:lang w:val="en-US"/>
        </w:rPr>
        <w:t>(2)</w:t>
      </w:r>
      <w:r w:rsidR="00884B27" w:rsidRPr="000D7950">
        <w:rPr>
          <w:rFonts w:ascii="Times New Roman" w:hAnsi="Times New Roman" w:cs="Times New Roman"/>
          <w:i/>
          <w:sz w:val="28"/>
          <w:szCs w:val="28"/>
          <w:lang w:val="en-US"/>
        </w:rPr>
        <w:t>(b)</w:t>
      </w:r>
      <w:r w:rsidR="00884B27" w:rsidRPr="000D7950">
        <w:rPr>
          <w:rFonts w:ascii="Times New Roman" w:hAnsi="Times New Roman" w:cs="Times New Roman"/>
          <w:sz w:val="28"/>
          <w:szCs w:val="28"/>
          <w:lang w:val="en-US"/>
        </w:rPr>
        <w:t xml:space="preserve"> of the State Liability Act</w:t>
      </w:r>
      <w:r w:rsidR="000D36FA" w:rsidRPr="000D7950">
        <w:rPr>
          <w:rFonts w:ascii="Times New Roman" w:hAnsi="Times New Roman" w:cs="Times New Roman"/>
          <w:sz w:val="28"/>
          <w:szCs w:val="28"/>
          <w:lang w:val="en-US"/>
        </w:rPr>
        <w:t>, the converse</w:t>
      </w:r>
      <w:r w:rsidR="0014214F" w:rsidRPr="000D7950">
        <w:rPr>
          <w:rFonts w:ascii="Times New Roman" w:hAnsi="Times New Roman" w:cs="Times New Roman"/>
          <w:sz w:val="28"/>
          <w:szCs w:val="28"/>
          <w:lang w:val="en-US"/>
        </w:rPr>
        <w:t xml:space="preserve"> occurred</w:t>
      </w:r>
      <w:r w:rsidR="00884B27" w:rsidRPr="000D7950">
        <w:rPr>
          <w:rFonts w:ascii="Times New Roman" w:hAnsi="Times New Roman" w:cs="Times New Roman"/>
          <w:sz w:val="28"/>
          <w:szCs w:val="28"/>
          <w:lang w:val="en-US"/>
        </w:rPr>
        <w:t xml:space="preserve"> in this matter</w:t>
      </w:r>
      <w:r w:rsidR="00094301" w:rsidRPr="000D7950">
        <w:rPr>
          <w:rFonts w:ascii="Times New Roman" w:hAnsi="Times New Roman" w:cs="Times New Roman"/>
          <w:sz w:val="28"/>
          <w:szCs w:val="28"/>
          <w:lang w:val="en-US"/>
        </w:rPr>
        <w:t>.</w:t>
      </w:r>
      <w:r w:rsidR="005C7517" w:rsidRPr="000D7950">
        <w:rPr>
          <w:rFonts w:ascii="Times New Roman" w:hAnsi="Times New Roman" w:cs="Times New Roman"/>
          <w:sz w:val="28"/>
          <w:szCs w:val="28"/>
          <w:lang w:val="en-US"/>
        </w:rPr>
        <w:t xml:space="preserve"> </w:t>
      </w:r>
      <w:r w:rsidR="00094301" w:rsidRPr="000D7950">
        <w:rPr>
          <w:rFonts w:ascii="Times New Roman" w:hAnsi="Times New Roman" w:cs="Times New Roman"/>
          <w:sz w:val="28"/>
          <w:szCs w:val="28"/>
          <w:lang w:val="en-US"/>
        </w:rPr>
        <w:t>T</w:t>
      </w:r>
      <w:r w:rsidR="00ED2640">
        <w:rPr>
          <w:rFonts w:ascii="Times New Roman" w:hAnsi="Times New Roman" w:cs="Times New Roman"/>
          <w:sz w:val="28"/>
          <w:szCs w:val="28"/>
          <w:lang w:val="en-US"/>
        </w:rPr>
        <w:t>his appeal</w:t>
      </w:r>
      <w:r w:rsidR="00974282">
        <w:rPr>
          <w:rFonts w:ascii="Times New Roman" w:hAnsi="Times New Roman" w:cs="Times New Roman"/>
          <w:sz w:val="28"/>
          <w:szCs w:val="28"/>
          <w:lang w:val="en-US"/>
        </w:rPr>
        <w:t xml:space="preserve"> concerns the</w:t>
      </w:r>
      <w:r w:rsidR="0014214F" w:rsidRPr="000D7950">
        <w:rPr>
          <w:rFonts w:ascii="Times New Roman" w:hAnsi="Times New Roman" w:cs="Times New Roman"/>
          <w:sz w:val="28"/>
          <w:szCs w:val="28"/>
          <w:lang w:val="en-US"/>
        </w:rPr>
        <w:t xml:space="preserve"> </w:t>
      </w:r>
      <w:r w:rsidR="002E25BC" w:rsidRPr="000D7950">
        <w:rPr>
          <w:rFonts w:ascii="Times New Roman" w:hAnsi="Times New Roman" w:cs="Times New Roman"/>
          <w:sz w:val="28"/>
          <w:szCs w:val="28"/>
          <w:lang w:val="en-US"/>
        </w:rPr>
        <w:t>failure to serve</w:t>
      </w:r>
      <w:r w:rsidR="0014214F" w:rsidRPr="000D7950">
        <w:rPr>
          <w:rFonts w:ascii="Times New Roman" w:hAnsi="Times New Roman" w:cs="Times New Roman"/>
          <w:sz w:val="28"/>
          <w:szCs w:val="28"/>
          <w:lang w:val="en-US"/>
        </w:rPr>
        <w:t xml:space="preserve"> </w:t>
      </w:r>
      <w:r w:rsidR="00FA5DA2" w:rsidRPr="000D7950">
        <w:rPr>
          <w:rFonts w:ascii="Times New Roman" w:hAnsi="Times New Roman" w:cs="Times New Roman"/>
          <w:sz w:val="28"/>
          <w:szCs w:val="28"/>
          <w:lang w:val="en-US"/>
        </w:rPr>
        <w:t>the</w:t>
      </w:r>
      <w:r w:rsidR="00884B27" w:rsidRPr="000D7950">
        <w:rPr>
          <w:rFonts w:ascii="Times New Roman" w:hAnsi="Times New Roman" w:cs="Times New Roman"/>
          <w:sz w:val="28"/>
          <w:szCs w:val="28"/>
          <w:lang w:val="en-US"/>
        </w:rPr>
        <w:t xml:space="preserve"> </w:t>
      </w:r>
      <w:r w:rsidR="00974282">
        <w:rPr>
          <w:rFonts w:ascii="Times New Roman" w:hAnsi="Times New Roman" w:cs="Times New Roman"/>
          <w:sz w:val="28"/>
          <w:szCs w:val="28"/>
          <w:lang w:val="en-US"/>
        </w:rPr>
        <w:t xml:space="preserve">appellant, the </w:t>
      </w:r>
      <w:r w:rsidR="00FA5DA2" w:rsidRPr="000D7950">
        <w:rPr>
          <w:rFonts w:ascii="Times New Roman" w:hAnsi="Times New Roman" w:cs="Times New Roman"/>
          <w:sz w:val="28"/>
          <w:szCs w:val="28"/>
          <w:lang w:val="en-US"/>
        </w:rPr>
        <w:t>Minister</w:t>
      </w:r>
      <w:r w:rsidR="00AD4397" w:rsidRPr="000D7950">
        <w:rPr>
          <w:rFonts w:ascii="Times New Roman" w:hAnsi="Times New Roman" w:cs="Times New Roman"/>
          <w:sz w:val="28"/>
          <w:szCs w:val="28"/>
          <w:lang w:val="en-US"/>
        </w:rPr>
        <w:t xml:space="preserve"> of Police</w:t>
      </w:r>
      <w:r w:rsidR="00974282">
        <w:rPr>
          <w:rFonts w:ascii="Times New Roman" w:hAnsi="Times New Roman" w:cs="Times New Roman"/>
          <w:sz w:val="28"/>
          <w:szCs w:val="28"/>
          <w:lang w:val="en-US"/>
        </w:rPr>
        <w:t xml:space="preserve"> (the Minister),</w:t>
      </w:r>
      <w:r w:rsidR="00884B27" w:rsidRPr="000D7950">
        <w:rPr>
          <w:rFonts w:ascii="Times New Roman" w:hAnsi="Times New Roman" w:cs="Times New Roman"/>
          <w:sz w:val="28"/>
          <w:szCs w:val="28"/>
          <w:lang w:val="en-US"/>
        </w:rPr>
        <w:t xml:space="preserve"> in terms of s 2</w:t>
      </w:r>
      <w:r w:rsidR="002D3D33" w:rsidRPr="000D7950">
        <w:rPr>
          <w:rFonts w:ascii="Times New Roman" w:hAnsi="Times New Roman" w:cs="Times New Roman"/>
          <w:sz w:val="28"/>
          <w:szCs w:val="28"/>
          <w:lang w:val="en-US"/>
        </w:rPr>
        <w:t>(2)</w:t>
      </w:r>
      <w:r w:rsidR="00884B27" w:rsidRPr="000D7950">
        <w:rPr>
          <w:rFonts w:ascii="Times New Roman" w:hAnsi="Times New Roman" w:cs="Times New Roman"/>
          <w:i/>
          <w:sz w:val="28"/>
          <w:szCs w:val="28"/>
          <w:lang w:val="en-US"/>
        </w:rPr>
        <w:t>(a)</w:t>
      </w:r>
      <w:r w:rsidR="00C6433C" w:rsidRPr="000D7950">
        <w:rPr>
          <w:rFonts w:ascii="Times New Roman" w:hAnsi="Times New Roman" w:cs="Times New Roman"/>
          <w:sz w:val="28"/>
          <w:szCs w:val="28"/>
          <w:lang w:val="en-US"/>
        </w:rPr>
        <w:t>, albeit th</w:t>
      </w:r>
      <w:r w:rsidR="00EC0A59" w:rsidRPr="000D7950">
        <w:rPr>
          <w:rFonts w:ascii="Times New Roman" w:hAnsi="Times New Roman" w:cs="Times New Roman"/>
          <w:sz w:val="28"/>
          <w:szCs w:val="28"/>
          <w:lang w:val="en-US"/>
        </w:rPr>
        <w:t>at it was</w:t>
      </w:r>
      <w:r w:rsidR="00C6433C" w:rsidRPr="000D7950">
        <w:rPr>
          <w:rFonts w:ascii="Times New Roman" w:hAnsi="Times New Roman" w:cs="Times New Roman"/>
          <w:sz w:val="28"/>
          <w:szCs w:val="28"/>
          <w:lang w:val="en-US"/>
        </w:rPr>
        <w:t xml:space="preserve"> </w:t>
      </w:r>
      <w:r w:rsidR="00FA5DA2" w:rsidRPr="000D7950">
        <w:rPr>
          <w:rFonts w:ascii="Times New Roman" w:hAnsi="Times New Roman" w:cs="Times New Roman"/>
          <w:sz w:val="28"/>
          <w:szCs w:val="28"/>
          <w:lang w:val="en-US"/>
        </w:rPr>
        <w:t xml:space="preserve">served on the State Attorney. The </w:t>
      </w:r>
      <w:r w:rsidR="000D36FA" w:rsidRPr="000D7950">
        <w:rPr>
          <w:rFonts w:ascii="Times New Roman" w:hAnsi="Times New Roman" w:cs="Times New Roman"/>
          <w:sz w:val="28"/>
          <w:szCs w:val="28"/>
          <w:lang w:val="en-US"/>
        </w:rPr>
        <w:t>Gauteng Division of the High Court, Pretoria</w:t>
      </w:r>
      <w:r w:rsidR="0024258D" w:rsidRPr="000D7950">
        <w:rPr>
          <w:rFonts w:ascii="Times New Roman" w:hAnsi="Times New Roman" w:cs="Times New Roman"/>
          <w:sz w:val="28"/>
          <w:szCs w:val="28"/>
          <w:lang w:val="en-US"/>
        </w:rPr>
        <w:t xml:space="preserve"> (the high court), </w:t>
      </w:r>
      <w:r w:rsidR="00ED2640">
        <w:rPr>
          <w:rFonts w:ascii="Times New Roman" w:hAnsi="Times New Roman" w:cs="Times New Roman"/>
          <w:sz w:val="28"/>
          <w:szCs w:val="28"/>
          <w:lang w:val="en-US"/>
        </w:rPr>
        <w:t>dismissed the special plea</w:t>
      </w:r>
      <w:r w:rsidR="00270E10" w:rsidRPr="000D7950">
        <w:rPr>
          <w:rFonts w:ascii="Times New Roman" w:hAnsi="Times New Roman" w:cs="Times New Roman"/>
          <w:sz w:val="28"/>
          <w:szCs w:val="28"/>
          <w:lang w:val="en-US"/>
        </w:rPr>
        <w:t xml:space="preserve"> </w:t>
      </w:r>
      <w:r w:rsidR="00974282">
        <w:rPr>
          <w:rFonts w:ascii="Times New Roman" w:hAnsi="Times New Roman" w:cs="Times New Roman"/>
          <w:sz w:val="28"/>
          <w:szCs w:val="28"/>
          <w:lang w:val="en-US"/>
        </w:rPr>
        <w:t>the Minister</w:t>
      </w:r>
      <w:r w:rsidR="00B94B23" w:rsidRPr="000D7950">
        <w:rPr>
          <w:rFonts w:ascii="Times New Roman" w:hAnsi="Times New Roman" w:cs="Times New Roman"/>
          <w:sz w:val="28"/>
          <w:szCs w:val="28"/>
          <w:lang w:val="en-US"/>
        </w:rPr>
        <w:t xml:space="preserve"> raised</w:t>
      </w:r>
      <w:r w:rsidR="00270E10" w:rsidRPr="000D7950">
        <w:rPr>
          <w:rFonts w:ascii="Times New Roman" w:hAnsi="Times New Roman" w:cs="Times New Roman"/>
          <w:sz w:val="28"/>
          <w:szCs w:val="28"/>
          <w:lang w:val="en-US"/>
        </w:rPr>
        <w:t xml:space="preserve"> in this regard.</w:t>
      </w:r>
      <w:r w:rsidR="00094301" w:rsidRPr="000D7950">
        <w:rPr>
          <w:rFonts w:ascii="Times New Roman" w:hAnsi="Times New Roman" w:cs="Times New Roman"/>
          <w:sz w:val="28"/>
          <w:szCs w:val="28"/>
          <w:lang w:val="en-US"/>
        </w:rPr>
        <w:t xml:space="preserve"> It</w:t>
      </w:r>
      <w:r w:rsidR="000D36FA" w:rsidRPr="000D7950">
        <w:rPr>
          <w:rFonts w:ascii="Times New Roman" w:hAnsi="Times New Roman" w:cs="Times New Roman"/>
          <w:sz w:val="28"/>
          <w:szCs w:val="28"/>
          <w:lang w:val="en-US"/>
        </w:rPr>
        <w:t xml:space="preserve"> concl</w:t>
      </w:r>
      <w:r w:rsidR="0024258D" w:rsidRPr="000D7950">
        <w:rPr>
          <w:rFonts w:ascii="Times New Roman" w:hAnsi="Times New Roman" w:cs="Times New Roman"/>
          <w:sz w:val="28"/>
          <w:szCs w:val="28"/>
          <w:lang w:val="en-US"/>
        </w:rPr>
        <w:t xml:space="preserve">uded that the non-compliance with </w:t>
      </w:r>
      <w:r w:rsidR="000D36FA" w:rsidRPr="000D7950">
        <w:rPr>
          <w:rFonts w:ascii="Times New Roman" w:hAnsi="Times New Roman" w:cs="Times New Roman"/>
          <w:sz w:val="28"/>
          <w:szCs w:val="28"/>
          <w:lang w:val="en-US"/>
        </w:rPr>
        <w:t>s 2</w:t>
      </w:r>
      <w:r w:rsidR="002D3D33" w:rsidRPr="000D7950">
        <w:rPr>
          <w:rFonts w:ascii="Times New Roman" w:hAnsi="Times New Roman" w:cs="Times New Roman"/>
          <w:sz w:val="28"/>
          <w:szCs w:val="28"/>
          <w:lang w:val="en-US"/>
        </w:rPr>
        <w:t>(2)</w:t>
      </w:r>
      <w:r w:rsidR="000D36FA" w:rsidRPr="000D7950">
        <w:rPr>
          <w:rFonts w:ascii="Times New Roman" w:hAnsi="Times New Roman" w:cs="Times New Roman"/>
          <w:i/>
          <w:sz w:val="28"/>
          <w:szCs w:val="28"/>
          <w:lang w:val="en-US"/>
        </w:rPr>
        <w:t>(a)</w:t>
      </w:r>
      <w:r w:rsidR="000D36FA" w:rsidRPr="000D7950">
        <w:rPr>
          <w:rFonts w:ascii="Times New Roman" w:hAnsi="Times New Roman" w:cs="Times New Roman"/>
          <w:sz w:val="28"/>
          <w:szCs w:val="28"/>
          <w:lang w:val="en-US"/>
        </w:rPr>
        <w:t xml:space="preserve"> did not ren</w:t>
      </w:r>
      <w:r w:rsidR="00AA7967" w:rsidRPr="000D7950">
        <w:rPr>
          <w:rFonts w:ascii="Times New Roman" w:hAnsi="Times New Roman" w:cs="Times New Roman"/>
          <w:sz w:val="28"/>
          <w:szCs w:val="28"/>
          <w:lang w:val="en-US"/>
        </w:rPr>
        <w:t xml:space="preserve">der the summons a nullity. </w:t>
      </w:r>
      <w:r w:rsidR="000D36FA" w:rsidRPr="000D7950">
        <w:rPr>
          <w:rFonts w:ascii="Times New Roman" w:hAnsi="Times New Roman" w:cs="Times New Roman"/>
          <w:sz w:val="28"/>
          <w:szCs w:val="28"/>
          <w:lang w:val="en-US"/>
        </w:rPr>
        <w:t>The appeal is with leave of the high court.</w:t>
      </w:r>
      <w:r w:rsidR="00DD098D" w:rsidRPr="000D7950">
        <w:rPr>
          <w:rFonts w:ascii="Times New Roman" w:hAnsi="Times New Roman" w:cs="Times New Roman"/>
          <w:sz w:val="28"/>
          <w:szCs w:val="28"/>
          <w:lang w:val="en-US"/>
        </w:rPr>
        <w:t xml:space="preserve"> </w:t>
      </w:r>
    </w:p>
    <w:p w:rsidR="00DD098D" w:rsidRPr="000D7950" w:rsidRDefault="00DD098D" w:rsidP="00946D79">
      <w:pPr>
        <w:jc w:val="both"/>
        <w:rPr>
          <w:rFonts w:ascii="Times New Roman" w:hAnsi="Times New Roman" w:cs="Times New Roman"/>
          <w:sz w:val="28"/>
          <w:szCs w:val="28"/>
          <w:lang w:val="en-US"/>
        </w:rPr>
      </w:pPr>
    </w:p>
    <w:p w:rsidR="002D3D33" w:rsidRPr="000D7950" w:rsidRDefault="00884B27" w:rsidP="003100E3">
      <w:pPr>
        <w:spacing w:line="360" w:lineRule="auto"/>
        <w:jc w:val="both"/>
        <w:rPr>
          <w:rFonts w:ascii="Times New Roman" w:hAnsi="Times New Roman" w:cs="Times New Roman"/>
          <w:sz w:val="28"/>
          <w:szCs w:val="28"/>
          <w:lang w:val="en-US"/>
        </w:rPr>
      </w:pPr>
      <w:r w:rsidRPr="000D7950">
        <w:rPr>
          <w:rFonts w:ascii="Times New Roman" w:hAnsi="Times New Roman" w:cs="Times New Roman"/>
          <w:sz w:val="28"/>
          <w:szCs w:val="28"/>
          <w:lang w:val="en-US"/>
        </w:rPr>
        <w:t>[3</w:t>
      </w:r>
      <w:r w:rsidR="00AD4397" w:rsidRPr="000D7950">
        <w:rPr>
          <w:rFonts w:ascii="Times New Roman" w:hAnsi="Times New Roman" w:cs="Times New Roman"/>
          <w:sz w:val="28"/>
          <w:szCs w:val="28"/>
          <w:lang w:val="en-US"/>
        </w:rPr>
        <w:t>]</w:t>
      </w:r>
      <w:r w:rsidR="00AD4397" w:rsidRPr="000D7950">
        <w:rPr>
          <w:rFonts w:ascii="Times New Roman" w:hAnsi="Times New Roman" w:cs="Times New Roman"/>
          <w:sz w:val="28"/>
          <w:szCs w:val="28"/>
          <w:lang w:val="en-US"/>
        </w:rPr>
        <w:tab/>
      </w:r>
      <w:r w:rsidR="00445614" w:rsidRPr="000D7950">
        <w:rPr>
          <w:rFonts w:ascii="Times New Roman" w:hAnsi="Times New Roman" w:cs="Times New Roman"/>
          <w:sz w:val="28"/>
          <w:szCs w:val="28"/>
          <w:lang w:val="en-US"/>
        </w:rPr>
        <w:t>The appeal is opposed by</w:t>
      </w:r>
      <w:r w:rsidR="0024258D" w:rsidRPr="000D7950">
        <w:rPr>
          <w:rFonts w:ascii="Times New Roman" w:hAnsi="Times New Roman" w:cs="Times New Roman"/>
          <w:sz w:val="28"/>
          <w:szCs w:val="28"/>
          <w:lang w:val="en-US"/>
        </w:rPr>
        <w:t xml:space="preserve"> </w:t>
      </w:r>
      <w:r w:rsidR="00974282">
        <w:rPr>
          <w:rFonts w:ascii="Times New Roman" w:hAnsi="Times New Roman" w:cs="Times New Roman"/>
          <w:sz w:val="28"/>
          <w:szCs w:val="28"/>
          <w:lang w:val="en-US"/>
        </w:rPr>
        <w:t xml:space="preserve">the respondent, </w:t>
      </w:r>
      <w:proofErr w:type="spellStart"/>
      <w:r w:rsidR="00974282">
        <w:rPr>
          <w:rFonts w:ascii="Times New Roman" w:hAnsi="Times New Roman" w:cs="Times New Roman"/>
          <w:sz w:val="28"/>
          <w:szCs w:val="28"/>
          <w:lang w:val="en-US"/>
        </w:rPr>
        <w:t>Mr</w:t>
      </w:r>
      <w:proofErr w:type="spellEnd"/>
      <w:r w:rsidR="00974282">
        <w:rPr>
          <w:rFonts w:ascii="Times New Roman" w:hAnsi="Times New Roman" w:cs="Times New Roman"/>
          <w:sz w:val="28"/>
          <w:szCs w:val="28"/>
          <w:lang w:val="en-US"/>
        </w:rPr>
        <w:t xml:space="preserve"> Miya.  </w:t>
      </w:r>
      <w:r w:rsidR="007F04A4" w:rsidRPr="000D7950">
        <w:rPr>
          <w:rFonts w:ascii="Times New Roman" w:hAnsi="Times New Roman" w:cs="Times New Roman"/>
          <w:sz w:val="28"/>
          <w:szCs w:val="28"/>
          <w:lang w:val="en-US"/>
        </w:rPr>
        <w:t>In the main</w:t>
      </w:r>
      <w:r w:rsidR="009E383A">
        <w:rPr>
          <w:rFonts w:ascii="Times New Roman" w:hAnsi="Times New Roman" w:cs="Times New Roman"/>
          <w:sz w:val="28"/>
          <w:szCs w:val="28"/>
          <w:lang w:val="en-US"/>
        </w:rPr>
        <w:t xml:space="preserve"> action, </w:t>
      </w:r>
      <w:proofErr w:type="spellStart"/>
      <w:r w:rsidR="009E383A">
        <w:rPr>
          <w:rFonts w:ascii="Times New Roman" w:hAnsi="Times New Roman" w:cs="Times New Roman"/>
          <w:sz w:val="28"/>
          <w:szCs w:val="28"/>
          <w:lang w:val="en-US"/>
        </w:rPr>
        <w:t>Mr</w:t>
      </w:r>
      <w:proofErr w:type="spellEnd"/>
      <w:r w:rsidR="009E383A">
        <w:rPr>
          <w:rFonts w:ascii="Times New Roman" w:hAnsi="Times New Roman" w:cs="Times New Roman"/>
          <w:sz w:val="28"/>
          <w:szCs w:val="28"/>
          <w:lang w:val="en-US"/>
        </w:rPr>
        <w:t xml:space="preserve"> Miya sued the Minister </w:t>
      </w:r>
      <w:r w:rsidR="000D36FA" w:rsidRPr="000D7950">
        <w:rPr>
          <w:rFonts w:ascii="Times New Roman" w:hAnsi="Times New Roman" w:cs="Times New Roman"/>
          <w:sz w:val="28"/>
          <w:szCs w:val="28"/>
          <w:lang w:val="en-US"/>
        </w:rPr>
        <w:t>and the National Director of Public Prosecution</w:t>
      </w:r>
      <w:r w:rsidR="00914075" w:rsidRPr="000D7950">
        <w:rPr>
          <w:rFonts w:ascii="Times New Roman" w:hAnsi="Times New Roman" w:cs="Times New Roman"/>
          <w:sz w:val="28"/>
          <w:szCs w:val="28"/>
          <w:lang w:val="en-US"/>
        </w:rPr>
        <w:t xml:space="preserve"> </w:t>
      </w:r>
      <w:r w:rsidR="000D36FA" w:rsidRPr="000D7950">
        <w:rPr>
          <w:rFonts w:ascii="Times New Roman" w:hAnsi="Times New Roman" w:cs="Times New Roman"/>
          <w:sz w:val="28"/>
          <w:szCs w:val="28"/>
          <w:lang w:val="en-US"/>
        </w:rPr>
        <w:t>(NDPP) fo</w:t>
      </w:r>
      <w:r w:rsidR="006D6089" w:rsidRPr="000D7950">
        <w:rPr>
          <w:rFonts w:ascii="Times New Roman" w:hAnsi="Times New Roman" w:cs="Times New Roman"/>
          <w:sz w:val="28"/>
          <w:szCs w:val="28"/>
          <w:lang w:val="en-US"/>
        </w:rPr>
        <w:t>r</w:t>
      </w:r>
      <w:r w:rsidR="000D36FA" w:rsidRPr="000D7950">
        <w:rPr>
          <w:rFonts w:ascii="Times New Roman" w:hAnsi="Times New Roman" w:cs="Times New Roman"/>
          <w:sz w:val="28"/>
          <w:szCs w:val="28"/>
          <w:lang w:val="en-US"/>
        </w:rPr>
        <w:t xml:space="preserve"> damages alle</w:t>
      </w:r>
      <w:r w:rsidR="006D6089" w:rsidRPr="000D7950">
        <w:rPr>
          <w:rFonts w:ascii="Times New Roman" w:hAnsi="Times New Roman" w:cs="Times New Roman"/>
          <w:sz w:val="28"/>
          <w:szCs w:val="28"/>
          <w:lang w:val="en-US"/>
        </w:rPr>
        <w:t>gedly suffe</w:t>
      </w:r>
      <w:r w:rsidR="000D36FA" w:rsidRPr="000D7950">
        <w:rPr>
          <w:rFonts w:ascii="Times New Roman" w:hAnsi="Times New Roman" w:cs="Times New Roman"/>
          <w:sz w:val="28"/>
          <w:szCs w:val="28"/>
          <w:lang w:val="en-US"/>
        </w:rPr>
        <w:t>red</w:t>
      </w:r>
      <w:r w:rsidR="007F04A4" w:rsidRPr="000D7950">
        <w:rPr>
          <w:rFonts w:ascii="Times New Roman" w:hAnsi="Times New Roman" w:cs="Times New Roman"/>
          <w:sz w:val="28"/>
          <w:szCs w:val="28"/>
          <w:lang w:val="en-US"/>
        </w:rPr>
        <w:t xml:space="preserve"> on 19 December 2017, at </w:t>
      </w:r>
      <w:proofErr w:type="spellStart"/>
      <w:r w:rsidR="007F04A4" w:rsidRPr="000D7950">
        <w:rPr>
          <w:rFonts w:ascii="Times New Roman" w:hAnsi="Times New Roman" w:cs="Times New Roman"/>
          <w:sz w:val="28"/>
          <w:szCs w:val="28"/>
          <w:lang w:val="en-US"/>
        </w:rPr>
        <w:t>Voslo</w:t>
      </w:r>
      <w:r w:rsidR="00AD4397" w:rsidRPr="000D7950">
        <w:rPr>
          <w:rFonts w:ascii="Times New Roman" w:hAnsi="Times New Roman" w:cs="Times New Roman"/>
          <w:sz w:val="28"/>
          <w:szCs w:val="28"/>
          <w:lang w:val="en-US"/>
        </w:rPr>
        <w:t>o</w:t>
      </w:r>
      <w:r w:rsidR="007F04A4" w:rsidRPr="000D7950">
        <w:rPr>
          <w:rFonts w:ascii="Times New Roman" w:hAnsi="Times New Roman" w:cs="Times New Roman"/>
          <w:sz w:val="28"/>
          <w:szCs w:val="28"/>
          <w:lang w:val="en-US"/>
        </w:rPr>
        <w:t>rus</w:t>
      </w:r>
      <w:proofErr w:type="spellEnd"/>
      <w:r w:rsidR="00270E10" w:rsidRPr="000D7950">
        <w:rPr>
          <w:rFonts w:ascii="Times New Roman" w:hAnsi="Times New Roman" w:cs="Times New Roman"/>
          <w:sz w:val="28"/>
          <w:szCs w:val="28"/>
          <w:lang w:val="en-US"/>
        </w:rPr>
        <w:t>.</w:t>
      </w:r>
      <w:r w:rsidR="005C7517" w:rsidRPr="000D7950">
        <w:rPr>
          <w:rFonts w:ascii="Times New Roman" w:hAnsi="Times New Roman" w:cs="Times New Roman"/>
          <w:sz w:val="28"/>
          <w:szCs w:val="28"/>
          <w:lang w:val="en-US"/>
        </w:rPr>
        <w:t xml:space="preserve"> </w:t>
      </w:r>
      <w:r w:rsidR="00270E10" w:rsidRPr="000D7950">
        <w:rPr>
          <w:rFonts w:ascii="Times New Roman" w:hAnsi="Times New Roman" w:cs="Times New Roman"/>
          <w:sz w:val="28"/>
          <w:szCs w:val="28"/>
          <w:lang w:val="en-US"/>
        </w:rPr>
        <w:t>The allegation</w:t>
      </w:r>
      <w:r w:rsidR="005C7517" w:rsidRPr="000D7950">
        <w:rPr>
          <w:rFonts w:ascii="Times New Roman" w:hAnsi="Times New Roman" w:cs="Times New Roman"/>
          <w:sz w:val="28"/>
          <w:szCs w:val="28"/>
          <w:lang w:val="en-US"/>
        </w:rPr>
        <w:t>s</w:t>
      </w:r>
      <w:r w:rsidR="00270E10" w:rsidRPr="000D7950">
        <w:rPr>
          <w:rFonts w:ascii="Times New Roman" w:hAnsi="Times New Roman" w:cs="Times New Roman"/>
          <w:sz w:val="28"/>
          <w:szCs w:val="28"/>
          <w:lang w:val="en-US"/>
        </w:rPr>
        <w:t xml:space="preserve"> against them are that</w:t>
      </w:r>
      <w:r w:rsidR="000D36FA" w:rsidRPr="000D7950">
        <w:rPr>
          <w:rFonts w:ascii="Times New Roman" w:hAnsi="Times New Roman" w:cs="Times New Roman"/>
          <w:sz w:val="28"/>
          <w:szCs w:val="28"/>
          <w:lang w:val="en-US"/>
        </w:rPr>
        <w:t xml:space="preserve"> </w:t>
      </w:r>
      <w:r w:rsidR="007F04A4" w:rsidRPr="000D7950">
        <w:rPr>
          <w:rFonts w:ascii="Times New Roman" w:hAnsi="Times New Roman" w:cs="Times New Roman"/>
          <w:sz w:val="28"/>
          <w:szCs w:val="28"/>
          <w:lang w:val="en-US"/>
        </w:rPr>
        <w:t>he was unlawfully arrested and detained</w:t>
      </w:r>
      <w:r w:rsidR="000D36FA" w:rsidRPr="000D7950">
        <w:rPr>
          <w:rFonts w:ascii="Times New Roman" w:hAnsi="Times New Roman" w:cs="Times New Roman"/>
          <w:sz w:val="28"/>
          <w:szCs w:val="28"/>
          <w:lang w:val="en-US"/>
        </w:rPr>
        <w:t xml:space="preserve"> for</w:t>
      </w:r>
      <w:r w:rsidR="00820E7B" w:rsidRPr="000D7950">
        <w:rPr>
          <w:rFonts w:ascii="Times New Roman" w:hAnsi="Times New Roman" w:cs="Times New Roman"/>
          <w:sz w:val="28"/>
          <w:szCs w:val="28"/>
          <w:lang w:val="en-US"/>
        </w:rPr>
        <w:t xml:space="preserve"> three</w:t>
      </w:r>
      <w:r w:rsidR="000D36FA" w:rsidRPr="000D7950">
        <w:rPr>
          <w:rFonts w:ascii="Times New Roman" w:hAnsi="Times New Roman" w:cs="Times New Roman"/>
          <w:sz w:val="28"/>
          <w:szCs w:val="28"/>
          <w:lang w:val="en-US"/>
        </w:rPr>
        <w:t xml:space="preserve"> </w:t>
      </w:r>
      <w:r w:rsidR="00ED2640">
        <w:rPr>
          <w:rFonts w:ascii="Times New Roman" w:hAnsi="Times New Roman" w:cs="Times New Roman"/>
          <w:sz w:val="28"/>
          <w:szCs w:val="28"/>
          <w:lang w:val="en-US"/>
        </w:rPr>
        <w:t>days by members of the police acting within the course and scope</w:t>
      </w:r>
      <w:r w:rsidR="00D407DB">
        <w:rPr>
          <w:rFonts w:ascii="Times New Roman" w:hAnsi="Times New Roman" w:cs="Times New Roman"/>
          <w:sz w:val="28"/>
          <w:szCs w:val="28"/>
          <w:lang w:val="en-US"/>
        </w:rPr>
        <w:t xml:space="preserve"> of their employment with the Minister</w:t>
      </w:r>
      <w:r w:rsidR="000D36FA" w:rsidRPr="000D7950">
        <w:rPr>
          <w:rFonts w:ascii="Times New Roman" w:hAnsi="Times New Roman" w:cs="Times New Roman"/>
          <w:sz w:val="28"/>
          <w:szCs w:val="28"/>
          <w:lang w:val="en-US"/>
        </w:rPr>
        <w:t>. The trial began with a determination of a s</w:t>
      </w:r>
      <w:r w:rsidR="009E383A">
        <w:rPr>
          <w:rFonts w:ascii="Times New Roman" w:hAnsi="Times New Roman" w:cs="Times New Roman"/>
          <w:sz w:val="28"/>
          <w:szCs w:val="28"/>
          <w:lang w:val="en-US"/>
        </w:rPr>
        <w:t>pecial plea against the Minister</w:t>
      </w:r>
      <w:r w:rsidR="006D6089" w:rsidRPr="000D7950">
        <w:rPr>
          <w:rFonts w:ascii="Times New Roman" w:hAnsi="Times New Roman" w:cs="Times New Roman"/>
          <w:sz w:val="28"/>
          <w:szCs w:val="28"/>
          <w:lang w:val="en-US"/>
        </w:rPr>
        <w:t xml:space="preserve"> only.</w:t>
      </w:r>
    </w:p>
    <w:p w:rsidR="002D3D33" w:rsidRPr="000D7950" w:rsidRDefault="002D3D33" w:rsidP="00946D79">
      <w:pPr>
        <w:jc w:val="both"/>
        <w:rPr>
          <w:rFonts w:ascii="Times New Roman" w:hAnsi="Times New Roman" w:cs="Times New Roman"/>
          <w:sz w:val="28"/>
          <w:szCs w:val="28"/>
          <w:lang w:val="en-US"/>
        </w:rPr>
      </w:pPr>
    </w:p>
    <w:p w:rsidR="00651B88" w:rsidRPr="000D7950" w:rsidRDefault="00E0500B" w:rsidP="003100E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w:t>
      </w:r>
      <w:r w:rsidR="003116B6" w:rsidRPr="000D7950">
        <w:rPr>
          <w:rFonts w:ascii="Times New Roman" w:hAnsi="Times New Roman" w:cs="Times New Roman"/>
          <w:sz w:val="28"/>
          <w:szCs w:val="28"/>
          <w:lang w:val="en-US"/>
        </w:rPr>
        <w:t>]</w:t>
      </w:r>
      <w:r w:rsidR="003116B6" w:rsidRPr="000D7950">
        <w:rPr>
          <w:rFonts w:ascii="Times New Roman" w:hAnsi="Times New Roman" w:cs="Times New Roman"/>
          <w:sz w:val="28"/>
          <w:szCs w:val="28"/>
          <w:lang w:val="en-US"/>
        </w:rPr>
        <w:tab/>
      </w:r>
      <w:r w:rsidR="006D6089" w:rsidRPr="000D7950">
        <w:rPr>
          <w:rFonts w:ascii="Times New Roman" w:hAnsi="Times New Roman" w:cs="Times New Roman"/>
          <w:sz w:val="28"/>
          <w:szCs w:val="28"/>
          <w:lang w:val="en-US"/>
        </w:rPr>
        <w:t>The</w:t>
      </w:r>
      <w:r w:rsidR="0024258D" w:rsidRPr="000D7950">
        <w:rPr>
          <w:rFonts w:ascii="Times New Roman" w:hAnsi="Times New Roman" w:cs="Times New Roman"/>
          <w:sz w:val="28"/>
          <w:szCs w:val="28"/>
          <w:lang w:val="en-US"/>
        </w:rPr>
        <w:t xml:space="preserve"> salient</w:t>
      </w:r>
      <w:r w:rsidR="006D6089" w:rsidRPr="000D7950">
        <w:rPr>
          <w:rFonts w:ascii="Times New Roman" w:hAnsi="Times New Roman" w:cs="Times New Roman"/>
          <w:sz w:val="28"/>
          <w:szCs w:val="28"/>
          <w:lang w:val="en-US"/>
        </w:rPr>
        <w:t xml:space="preserve"> factual background relevant to the ad</w:t>
      </w:r>
      <w:r w:rsidR="0024258D" w:rsidRPr="000D7950">
        <w:rPr>
          <w:rFonts w:ascii="Times New Roman" w:hAnsi="Times New Roman" w:cs="Times New Roman"/>
          <w:sz w:val="28"/>
          <w:szCs w:val="28"/>
          <w:lang w:val="en-US"/>
        </w:rPr>
        <w:t>judication of the special plea are</w:t>
      </w:r>
      <w:r w:rsidR="006D6089" w:rsidRPr="000D7950">
        <w:rPr>
          <w:rFonts w:ascii="Times New Roman" w:hAnsi="Times New Roman" w:cs="Times New Roman"/>
          <w:sz w:val="28"/>
          <w:szCs w:val="28"/>
          <w:lang w:val="en-US"/>
        </w:rPr>
        <w:t xml:space="preserve"> common cause. They are</w:t>
      </w:r>
      <w:r w:rsidR="007F04A4" w:rsidRPr="000D7950">
        <w:rPr>
          <w:rFonts w:ascii="Times New Roman" w:hAnsi="Times New Roman" w:cs="Times New Roman"/>
          <w:sz w:val="28"/>
          <w:szCs w:val="28"/>
          <w:lang w:val="en-US"/>
        </w:rPr>
        <w:t xml:space="preserve"> that:</w:t>
      </w:r>
      <w:r w:rsidR="005B7C71" w:rsidRPr="000D7950">
        <w:rPr>
          <w:rFonts w:ascii="Times New Roman" w:hAnsi="Times New Roman" w:cs="Times New Roman"/>
          <w:sz w:val="28"/>
          <w:szCs w:val="28"/>
          <w:lang w:val="en-US"/>
        </w:rPr>
        <w:t xml:space="preserve"> the cause of action arose on 19 December 2017; summons was issued on 5 May 2019; </w:t>
      </w:r>
      <w:r w:rsidR="002D3D33" w:rsidRPr="000D7950">
        <w:rPr>
          <w:rFonts w:ascii="Times New Roman" w:hAnsi="Times New Roman" w:cs="Times New Roman"/>
          <w:sz w:val="28"/>
          <w:szCs w:val="28"/>
          <w:lang w:val="en-US"/>
        </w:rPr>
        <w:t>the statutory notice in terms of the Institution of Legal Proceeding Against Certain Organ of the State Act 40 of 2002, as amended</w:t>
      </w:r>
      <w:r w:rsidR="009E383A">
        <w:rPr>
          <w:rFonts w:ascii="Times New Roman" w:hAnsi="Times New Roman" w:cs="Times New Roman"/>
          <w:sz w:val="28"/>
          <w:szCs w:val="28"/>
          <w:lang w:val="en-US"/>
        </w:rPr>
        <w:t xml:space="preserve"> (the statutory notice)</w:t>
      </w:r>
      <w:r w:rsidR="00D407DB">
        <w:rPr>
          <w:rFonts w:ascii="Times New Roman" w:hAnsi="Times New Roman" w:cs="Times New Roman"/>
          <w:sz w:val="28"/>
          <w:szCs w:val="28"/>
          <w:lang w:val="en-US"/>
        </w:rPr>
        <w:t>, was served on the Minister</w:t>
      </w:r>
      <w:r w:rsidR="00940F0D" w:rsidRPr="000D7950">
        <w:rPr>
          <w:rFonts w:ascii="Times New Roman" w:hAnsi="Times New Roman" w:cs="Times New Roman"/>
          <w:sz w:val="28"/>
          <w:szCs w:val="28"/>
          <w:lang w:val="en-US"/>
        </w:rPr>
        <w:t>;</w:t>
      </w:r>
      <w:r w:rsidR="0024258D" w:rsidRPr="000D7950">
        <w:rPr>
          <w:rFonts w:ascii="Times New Roman" w:hAnsi="Times New Roman" w:cs="Times New Roman"/>
          <w:sz w:val="28"/>
          <w:szCs w:val="28"/>
          <w:lang w:val="en-US"/>
        </w:rPr>
        <w:t xml:space="preserve"> </w:t>
      </w:r>
      <w:r w:rsidR="002409DC" w:rsidRPr="000D7950">
        <w:rPr>
          <w:rFonts w:ascii="Times New Roman" w:hAnsi="Times New Roman" w:cs="Times New Roman"/>
          <w:sz w:val="28"/>
          <w:szCs w:val="28"/>
          <w:lang w:val="en-US"/>
        </w:rPr>
        <w:t xml:space="preserve">summons was served </w:t>
      </w:r>
      <w:r w:rsidR="006D6089" w:rsidRPr="000D7950">
        <w:rPr>
          <w:rFonts w:ascii="Times New Roman" w:hAnsi="Times New Roman" w:cs="Times New Roman"/>
          <w:sz w:val="28"/>
          <w:szCs w:val="28"/>
          <w:lang w:val="en-US"/>
        </w:rPr>
        <w:t>at</w:t>
      </w:r>
      <w:r w:rsidR="002409DC" w:rsidRPr="000D7950">
        <w:rPr>
          <w:rFonts w:ascii="Times New Roman" w:hAnsi="Times New Roman" w:cs="Times New Roman"/>
          <w:sz w:val="28"/>
          <w:szCs w:val="28"/>
          <w:lang w:val="en-US"/>
        </w:rPr>
        <w:t xml:space="preserve"> the State </w:t>
      </w:r>
      <w:r w:rsidR="002409DC" w:rsidRPr="000D7950">
        <w:rPr>
          <w:rFonts w:ascii="Times New Roman" w:hAnsi="Times New Roman" w:cs="Times New Roman"/>
          <w:sz w:val="28"/>
          <w:szCs w:val="28"/>
          <w:lang w:val="en-US"/>
        </w:rPr>
        <w:lastRenderedPageBreak/>
        <w:t xml:space="preserve">Attorney’s office on 7 May 2019; </w:t>
      </w:r>
      <w:proofErr w:type="spellStart"/>
      <w:r w:rsidR="00D407DB">
        <w:rPr>
          <w:rFonts w:ascii="Times New Roman" w:hAnsi="Times New Roman" w:cs="Times New Roman"/>
          <w:sz w:val="28"/>
          <w:szCs w:val="28"/>
          <w:lang w:val="en-US"/>
        </w:rPr>
        <w:t>Mr</w:t>
      </w:r>
      <w:proofErr w:type="spellEnd"/>
      <w:r w:rsidR="00D407DB">
        <w:rPr>
          <w:rFonts w:ascii="Times New Roman" w:hAnsi="Times New Roman" w:cs="Times New Roman"/>
          <w:sz w:val="28"/>
          <w:szCs w:val="28"/>
          <w:lang w:val="en-US"/>
        </w:rPr>
        <w:t xml:space="preserve"> Miya </w:t>
      </w:r>
      <w:r w:rsidR="002409DC" w:rsidRPr="000D7950">
        <w:rPr>
          <w:rFonts w:ascii="Times New Roman" w:hAnsi="Times New Roman" w:cs="Times New Roman"/>
          <w:sz w:val="28"/>
          <w:szCs w:val="28"/>
          <w:lang w:val="en-US"/>
        </w:rPr>
        <w:t>never served th</w:t>
      </w:r>
      <w:r w:rsidR="00AD4397" w:rsidRPr="000D7950">
        <w:rPr>
          <w:rFonts w:ascii="Times New Roman" w:hAnsi="Times New Roman" w:cs="Times New Roman"/>
          <w:sz w:val="28"/>
          <w:szCs w:val="28"/>
          <w:lang w:val="en-US"/>
        </w:rPr>
        <w:t>e summon</w:t>
      </w:r>
      <w:r w:rsidR="00D407DB">
        <w:rPr>
          <w:rFonts w:ascii="Times New Roman" w:hAnsi="Times New Roman" w:cs="Times New Roman"/>
          <w:sz w:val="28"/>
          <w:szCs w:val="28"/>
          <w:lang w:val="en-US"/>
        </w:rPr>
        <w:t>s at the office of the Minister</w:t>
      </w:r>
      <w:r w:rsidR="00456666" w:rsidRPr="000D7950">
        <w:rPr>
          <w:rFonts w:ascii="Times New Roman" w:hAnsi="Times New Roman" w:cs="Times New Roman"/>
          <w:sz w:val="28"/>
          <w:szCs w:val="28"/>
          <w:lang w:val="en-US"/>
        </w:rPr>
        <w:t xml:space="preserve"> as </w:t>
      </w:r>
      <w:r w:rsidR="006D6089" w:rsidRPr="000D7950">
        <w:rPr>
          <w:rFonts w:ascii="Times New Roman" w:hAnsi="Times New Roman" w:cs="Times New Roman"/>
          <w:sz w:val="28"/>
          <w:szCs w:val="28"/>
          <w:lang w:val="en-US"/>
        </w:rPr>
        <w:t xml:space="preserve">required in terms of s </w:t>
      </w:r>
      <w:r w:rsidR="0024258D" w:rsidRPr="000D7950">
        <w:rPr>
          <w:rFonts w:ascii="Times New Roman" w:hAnsi="Times New Roman" w:cs="Times New Roman"/>
          <w:sz w:val="28"/>
          <w:szCs w:val="28"/>
          <w:lang w:val="en-US"/>
        </w:rPr>
        <w:t>2(</w:t>
      </w:r>
      <w:r w:rsidR="006D6089" w:rsidRPr="000D7950">
        <w:rPr>
          <w:rFonts w:ascii="Times New Roman" w:hAnsi="Times New Roman" w:cs="Times New Roman"/>
          <w:sz w:val="28"/>
          <w:szCs w:val="28"/>
          <w:lang w:val="en-US"/>
        </w:rPr>
        <w:t>2</w:t>
      </w:r>
      <w:r w:rsidR="0024258D" w:rsidRPr="000D7950">
        <w:rPr>
          <w:rFonts w:ascii="Times New Roman" w:hAnsi="Times New Roman" w:cs="Times New Roman"/>
          <w:sz w:val="28"/>
          <w:szCs w:val="28"/>
          <w:lang w:val="en-US"/>
        </w:rPr>
        <w:t>)</w:t>
      </w:r>
      <w:r w:rsidR="006D6089" w:rsidRPr="000D7950">
        <w:rPr>
          <w:rFonts w:ascii="Times New Roman" w:hAnsi="Times New Roman" w:cs="Times New Roman"/>
          <w:i/>
          <w:sz w:val="28"/>
          <w:szCs w:val="28"/>
          <w:lang w:val="en-US"/>
        </w:rPr>
        <w:t>(a</w:t>
      </w:r>
      <w:r w:rsidR="00456666" w:rsidRPr="000D7950">
        <w:rPr>
          <w:rFonts w:ascii="Times New Roman" w:hAnsi="Times New Roman" w:cs="Times New Roman"/>
          <w:i/>
          <w:sz w:val="28"/>
          <w:szCs w:val="28"/>
          <w:lang w:val="en-US"/>
        </w:rPr>
        <w:t>)</w:t>
      </w:r>
      <w:r w:rsidR="00884B27" w:rsidRPr="000D7950">
        <w:rPr>
          <w:rFonts w:ascii="Times New Roman" w:hAnsi="Times New Roman" w:cs="Times New Roman"/>
          <w:sz w:val="28"/>
          <w:szCs w:val="28"/>
          <w:lang w:val="en-US"/>
        </w:rPr>
        <w:t>;</w:t>
      </w:r>
      <w:r w:rsidR="00456666" w:rsidRPr="000D7950">
        <w:rPr>
          <w:rFonts w:ascii="Times New Roman" w:hAnsi="Times New Roman" w:cs="Times New Roman"/>
          <w:sz w:val="28"/>
          <w:szCs w:val="28"/>
          <w:lang w:val="en-US"/>
        </w:rPr>
        <w:t xml:space="preserve"> on 11 July 2019 the State </w:t>
      </w:r>
      <w:r w:rsidR="00AF44E4" w:rsidRPr="000D7950">
        <w:rPr>
          <w:rFonts w:ascii="Times New Roman" w:hAnsi="Times New Roman" w:cs="Times New Roman"/>
          <w:sz w:val="28"/>
          <w:szCs w:val="28"/>
          <w:lang w:val="en-US"/>
        </w:rPr>
        <w:t>A</w:t>
      </w:r>
      <w:r w:rsidR="00456666" w:rsidRPr="000D7950">
        <w:rPr>
          <w:rFonts w:ascii="Times New Roman" w:hAnsi="Times New Roman" w:cs="Times New Roman"/>
          <w:sz w:val="28"/>
          <w:szCs w:val="28"/>
          <w:lang w:val="en-US"/>
        </w:rPr>
        <w:t xml:space="preserve">ttorney filed a notice of intention </w:t>
      </w:r>
      <w:r w:rsidR="00B87F28" w:rsidRPr="000D7950">
        <w:rPr>
          <w:rFonts w:ascii="Times New Roman" w:hAnsi="Times New Roman" w:cs="Times New Roman"/>
          <w:sz w:val="28"/>
          <w:szCs w:val="28"/>
          <w:lang w:val="en-US"/>
        </w:rPr>
        <w:t>to defend on</w:t>
      </w:r>
      <w:r w:rsidR="00D407DB">
        <w:rPr>
          <w:rFonts w:ascii="Times New Roman" w:hAnsi="Times New Roman" w:cs="Times New Roman"/>
          <w:sz w:val="28"/>
          <w:szCs w:val="28"/>
          <w:lang w:val="en-US"/>
        </w:rPr>
        <w:t xml:space="preserve"> behalf of both the Minister</w:t>
      </w:r>
      <w:r w:rsidR="00B87F28" w:rsidRPr="000D7950">
        <w:rPr>
          <w:rFonts w:ascii="Times New Roman" w:hAnsi="Times New Roman" w:cs="Times New Roman"/>
          <w:sz w:val="28"/>
          <w:szCs w:val="28"/>
          <w:lang w:val="en-US"/>
        </w:rPr>
        <w:t xml:space="preserve"> and the N</w:t>
      </w:r>
      <w:r w:rsidR="00AD4397" w:rsidRPr="000D7950">
        <w:rPr>
          <w:rFonts w:ascii="Times New Roman" w:hAnsi="Times New Roman" w:cs="Times New Roman"/>
          <w:sz w:val="28"/>
          <w:szCs w:val="28"/>
          <w:lang w:val="en-US"/>
        </w:rPr>
        <w:t>DPP</w:t>
      </w:r>
      <w:r w:rsidR="00B87F28" w:rsidRPr="000D7950">
        <w:rPr>
          <w:rFonts w:ascii="Times New Roman" w:hAnsi="Times New Roman" w:cs="Times New Roman"/>
          <w:sz w:val="28"/>
          <w:szCs w:val="28"/>
          <w:lang w:val="en-US"/>
        </w:rPr>
        <w:t xml:space="preserve">; </w:t>
      </w:r>
      <w:r w:rsidR="0024258D" w:rsidRPr="000D7950">
        <w:rPr>
          <w:rFonts w:ascii="Times New Roman" w:hAnsi="Times New Roman" w:cs="Times New Roman"/>
          <w:sz w:val="28"/>
          <w:szCs w:val="28"/>
          <w:lang w:val="en-US"/>
        </w:rPr>
        <w:t xml:space="preserve">almost two years later </w:t>
      </w:r>
      <w:r w:rsidR="00D407DB">
        <w:rPr>
          <w:rFonts w:ascii="Times New Roman" w:hAnsi="Times New Roman" w:cs="Times New Roman"/>
          <w:sz w:val="28"/>
          <w:szCs w:val="28"/>
          <w:lang w:val="en-US"/>
        </w:rPr>
        <w:t>the Minister</w:t>
      </w:r>
      <w:r w:rsidR="00B87F28" w:rsidRPr="000D7950">
        <w:rPr>
          <w:rFonts w:ascii="Times New Roman" w:hAnsi="Times New Roman" w:cs="Times New Roman"/>
          <w:sz w:val="28"/>
          <w:szCs w:val="28"/>
          <w:lang w:val="en-US"/>
        </w:rPr>
        <w:t xml:space="preserve"> filed </w:t>
      </w:r>
      <w:r w:rsidR="00AF44E4" w:rsidRPr="000D7950">
        <w:rPr>
          <w:rFonts w:ascii="Times New Roman" w:hAnsi="Times New Roman" w:cs="Times New Roman"/>
          <w:sz w:val="28"/>
          <w:szCs w:val="28"/>
          <w:lang w:val="en-US"/>
        </w:rPr>
        <w:t xml:space="preserve">his </w:t>
      </w:r>
      <w:r w:rsidR="00B87F28" w:rsidRPr="000D7950">
        <w:rPr>
          <w:rFonts w:ascii="Times New Roman" w:hAnsi="Times New Roman" w:cs="Times New Roman"/>
          <w:sz w:val="28"/>
          <w:szCs w:val="28"/>
          <w:lang w:val="en-US"/>
        </w:rPr>
        <w:t>amended</w:t>
      </w:r>
      <w:r w:rsidR="009D6440" w:rsidRPr="000D7950">
        <w:rPr>
          <w:rFonts w:ascii="Times New Roman" w:hAnsi="Times New Roman" w:cs="Times New Roman"/>
          <w:sz w:val="28"/>
          <w:szCs w:val="28"/>
          <w:lang w:val="en-US"/>
        </w:rPr>
        <w:t xml:space="preserve"> plea </w:t>
      </w:r>
      <w:r w:rsidR="0024258D" w:rsidRPr="000D7950">
        <w:rPr>
          <w:rFonts w:ascii="Times New Roman" w:hAnsi="Times New Roman" w:cs="Times New Roman"/>
          <w:sz w:val="28"/>
          <w:szCs w:val="28"/>
          <w:lang w:val="en-US"/>
        </w:rPr>
        <w:t xml:space="preserve">on 22 February 2022 </w:t>
      </w:r>
      <w:r w:rsidR="009D6440" w:rsidRPr="000D7950">
        <w:rPr>
          <w:rFonts w:ascii="Times New Roman" w:hAnsi="Times New Roman" w:cs="Times New Roman"/>
          <w:sz w:val="28"/>
          <w:szCs w:val="28"/>
          <w:lang w:val="en-US"/>
        </w:rPr>
        <w:t xml:space="preserve">wherein </w:t>
      </w:r>
      <w:r w:rsidR="00AF44E4" w:rsidRPr="000D7950">
        <w:rPr>
          <w:rFonts w:ascii="Times New Roman" w:hAnsi="Times New Roman" w:cs="Times New Roman"/>
          <w:sz w:val="28"/>
          <w:szCs w:val="28"/>
          <w:lang w:val="en-US"/>
        </w:rPr>
        <w:t xml:space="preserve">he </w:t>
      </w:r>
      <w:r w:rsidR="009D6440" w:rsidRPr="000D7950">
        <w:rPr>
          <w:rFonts w:ascii="Times New Roman" w:hAnsi="Times New Roman" w:cs="Times New Roman"/>
          <w:sz w:val="28"/>
          <w:szCs w:val="28"/>
          <w:lang w:val="en-US"/>
        </w:rPr>
        <w:t xml:space="preserve">introduced the special plea which is </w:t>
      </w:r>
      <w:r w:rsidR="00AD4397" w:rsidRPr="000D7950">
        <w:rPr>
          <w:rFonts w:ascii="Times New Roman" w:hAnsi="Times New Roman" w:cs="Times New Roman"/>
          <w:sz w:val="28"/>
          <w:szCs w:val="28"/>
          <w:lang w:val="en-US"/>
        </w:rPr>
        <w:t xml:space="preserve">the </w:t>
      </w:r>
      <w:r w:rsidR="009D6440" w:rsidRPr="000D7950">
        <w:rPr>
          <w:rFonts w:ascii="Times New Roman" w:hAnsi="Times New Roman" w:cs="Times New Roman"/>
          <w:sz w:val="28"/>
          <w:szCs w:val="28"/>
          <w:lang w:val="en-US"/>
        </w:rPr>
        <w:t>subject of this a</w:t>
      </w:r>
      <w:r w:rsidR="006D6089" w:rsidRPr="000D7950">
        <w:rPr>
          <w:rFonts w:ascii="Times New Roman" w:hAnsi="Times New Roman" w:cs="Times New Roman"/>
          <w:sz w:val="28"/>
          <w:szCs w:val="28"/>
          <w:lang w:val="en-US"/>
        </w:rPr>
        <w:t>ppeal</w:t>
      </w:r>
      <w:r w:rsidR="00C26E27" w:rsidRPr="000D7950">
        <w:rPr>
          <w:rFonts w:ascii="Times New Roman" w:hAnsi="Times New Roman" w:cs="Times New Roman"/>
          <w:sz w:val="28"/>
          <w:szCs w:val="28"/>
          <w:lang w:val="en-US"/>
        </w:rPr>
        <w:t>.</w:t>
      </w:r>
      <w:r w:rsidR="00230F5B" w:rsidRPr="000D7950">
        <w:rPr>
          <w:rFonts w:ascii="Times New Roman" w:hAnsi="Times New Roman" w:cs="Times New Roman"/>
          <w:sz w:val="28"/>
          <w:szCs w:val="28"/>
          <w:lang w:val="en-US"/>
        </w:rPr>
        <w:t xml:space="preserve"> </w:t>
      </w:r>
    </w:p>
    <w:p w:rsidR="00651B88" w:rsidRPr="000D7950" w:rsidRDefault="00651B88" w:rsidP="00946D79">
      <w:pPr>
        <w:jc w:val="both"/>
        <w:rPr>
          <w:rFonts w:ascii="Times New Roman" w:hAnsi="Times New Roman" w:cs="Times New Roman"/>
          <w:sz w:val="28"/>
          <w:szCs w:val="28"/>
          <w:lang w:val="en-US"/>
        </w:rPr>
      </w:pPr>
    </w:p>
    <w:p w:rsidR="00C26E27" w:rsidRPr="000D7950" w:rsidRDefault="00E0500B" w:rsidP="003100E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w:t>
      </w:r>
      <w:r w:rsidR="00651B88" w:rsidRPr="000D7950">
        <w:rPr>
          <w:rFonts w:ascii="Times New Roman" w:hAnsi="Times New Roman" w:cs="Times New Roman"/>
          <w:sz w:val="28"/>
          <w:szCs w:val="28"/>
          <w:lang w:val="en-US"/>
        </w:rPr>
        <w:t>]</w:t>
      </w:r>
      <w:r w:rsidR="00651B88" w:rsidRPr="000D7950">
        <w:rPr>
          <w:rFonts w:ascii="Times New Roman" w:hAnsi="Times New Roman" w:cs="Times New Roman"/>
          <w:sz w:val="28"/>
          <w:szCs w:val="28"/>
          <w:lang w:val="en-US"/>
        </w:rPr>
        <w:tab/>
      </w:r>
      <w:r w:rsidR="006A1BD4" w:rsidRPr="000D7950">
        <w:rPr>
          <w:rFonts w:ascii="Times New Roman" w:hAnsi="Times New Roman" w:cs="Times New Roman"/>
          <w:sz w:val="28"/>
          <w:szCs w:val="28"/>
          <w:lang w:val="en-US"/>
        </w:rPr>
        <w:t xml:space="preserve">The contents of the amended plea were that: the </w:t>
      </w:r>
      <w:r w:rsidR="00651B88" w:rsidRPr="000D7950">
        <w:rPr>
          <w:rFonts w:ascii="Times New Roman" w:hAnsi="Times New Roman" w:cs="Times New Roman"/>
          <w:sz w:val="28"/>
          <w:szCs w:val="28"/>
          <w:lang w:val="en-US"/>
        </w:rPr>
        <w:t xml:space="preserve">cause of </w:t>
      </w:r>
      <w:r w:rsidR="006A1BD4" w:rsidRPr="000D7950">
        <w:rPr>
          <w:rFonts w:ascii="Times New Roman" w:hAnsi="Times New Roman" w:cs="Times New Roman"/>
          <w:sz w:val="28"/>
          <w:szCs w:val="28"/>
          <w:lang w:val="en-US"/>
        </w:rPr>
        <w:t>action arose on 19 December 2017;</w:t>
      </w:r>
      <w:r w:rsidR="00446744" w:rsidRPr="000D7950">
        <w:rPr>
          <w:rFonts w:ascii="Times New Roman" w:hAnsi="Times New Roman" w:cs="Times New Roman"/>
          <w:sz w:val="28"/>
          <w:szCs w:val="28"/>
          <w:lang w:val="en-US"/>
        </w:rPr>
        <w:t xml:space="preserve"> </w:t>
      </w:r>
      <w:r w:rsidR="006A1BD4" w:rsidRPr="000D7950">
        <w:rPr>
          <w:rFonts w:ascii="Times New Roman" w:hAnsi="Times New Roman" w:cs="Times New Roman"/>
          <w:sz w:val="28"/>
          <w:szCs w:val="28"/>
          <w:lang w:val="en-US"/>
        </w:rPr>
        <w:t>the summons was issued on 5 May 2019; the summons was served on the State Att</w:t>
      </w:r>
      <w:r w:rsidR="00446744" w:rsidRPr="000D7950">
        <w:rPr>
          <w:rFonts w:ascii="Times New Roman" w:hAnsi="Times New Roman" w:cs="Times New Roman"/>
          <w:sz w:val="28"/>
          <w:szCs w:val="28"/>
          <w:lang w:val="en-US"/>
        </w:rPr>
        <w:t xml:space="preserve">orney on 7 May 2019 and not </w:t>
      </w:r>
      <w:r w:rsidR="00F57F05" w:rsidRPr="000D7950">
        <w:rPr>
          <w:rFonts w:ascii="Times New Roman" w:hAnsi="Times New Roman" w:cs="Times New Roman"/>
          <w:sz w:val="28"/>
          <w:szCs w:val="28"/>
          <w:lang w:val="en-US"/>
        </w:rPr>
        <w:t>on</w:t>
      </w:r>
      <w:r w:rsidR="00446744" w:rsidRPr="000D7950">
        <w:rPr>
          <w:rFonts w:ascii="Times New Roman" w:hAnsi="Times New Roman" w:cs="Times New Roman"/>
          <w:sz w:val="28"/>
          <w:szCs w:val="28"/>
          <w:lang w:val="en-US"/>
        </w:rPr>
        <w:t xml:space="preserve"> the head of the Department concerned; s 2 (1) of the State Liability Act and rule 4(9) of the Uniform Rules of Court are obligatory; the service on the State Attorney alone is fatal a</w:t>
      </w:r>
      <w:r w:rsidR="00651B88" w:rsidRPr="000D7950">
        <w:rPr>
          <w:rFonts w:ascii="Times New Roman" w:hAnsi="Times New Roman" w:cs="Times New Roman"/>
          <w:sz w:val="28"/>
          <w:szCs w:val="28"/>
          <w:lang w:val="en-US"/>
        </w:rPr>
        <w:t>n</w:t>
      </w:r>
      <w:r w:rsidR="00446744" w:rsidRPr="000D7950">
        <w:rPr>
          <w:rFonts w:ascii="Times New Roman" w:hAnsi="Times New Roman" w:cs="Times New Roman"/>
          <w:sz w:val="28"/>
          <w:szCs w:val="28"/>
          <w:lang w:val="en-US"/>
        </w:rPr>
        <w:t>d renders th</w:t>
      </w:r>
      <w:r w:rsidR="00E760A9" w:rsidRPr="000D7950">
        <w:rPr>
          <w:rFonts w:ascii="Times New Roman" w:hAnsi="Times New Roman" w:cs="Times New Roman"/>
          <w:sz w:val="28"/>
          <w:szCs w:val="28"/>
          <w:lang w:val="en-US"/>
        </w:rPr>
        <w:t xml:space="preserve">e claim </w:t>
      </w:r>
      <w:r w:rsidR="00446744" w:rsidRPr="000D7950">
        <w:rPr>
          <w:rFonts w:ascii="Times New Roman" w:hAnsi="Times New Roman" w:cs="Times New Roman"/>
          <w:sz w:val="28"/>
          <w:szCs w:val="28"/>
          <w:lang w:val="en-US"/>
        </w:rPr>
        <w:t>prescribed irrespective of</w:t>
      </w:r>
      <w:r w:rsidR="00E760A9" w:rsidRPr="000D7950">
        <w:rPr>
          <w:rFonts w:ascii="Times New Roman" w:hAnsi="Times New Roman" w:cs="Times New Roman"/>
          <w:sz w:val="28"/>
          <w:szCs w:val="28"/>
          <w:lang w:val="en-US"/>
        </w:rPr>
        <w:t xml:space="preserve"> </w:t>
      </w:r>
      <w:r w:rsidR="00446744" w:rsidRPr="000D7950">
        <w:rPr>
          <w:rFonts w:ascii="Times New Roman" w:hAnsi="Times New Roman" w:cs="Times New Roman"/>
          <w:sz w:val="28"/>
          <w:szCs w:val="28"/>
          <w:lang w:val="en-US"/>
        </w:rPr>
        <w:t>the Minister</w:t>
      </w:r>
      <w:r w:rsidR="00E760A9" w:rsidRPr="000D7950">
        <w:rPr>
          <w:rFonts w:ascii="Times New Roman" w:hAnsi="Times New Roman" w:cs="Times New Roman"/>
          <w:sz w:val="28"/>
          <w:szCs w:val="28"/>
          <w:lang w:val="en-US"/>
        </w:rPr>
        <w:t>’s</w:t>
      </w:r>
      <w:r w:rsidR="00446744" w:rsidRPr="000D7950">
        <w:rPr>
          <w:rFonts w:ascii="Times New Roman" w:hAnsi="Times New Roman" w:cs="Times New Roman"/>
          <w:sz w:val="28"/>
          <w:szCs w:val="28"/>
          <w:lang w:val="en-US"/>
        </w:rPr>
        <w:t xml:space="preserve"> participat</w:t>
      </w:r>
      <w:r w:rsidR="00E760A9" w:rsidRPr="000D7950">
        <w:rPr>
          <w:rFonts w:ascii="Times New Roman" w:hAnsi="Times New Roman" w:cs="Times New Roman"/>
          <w:sz w:val="28"/>
          <w:szCs w:val="28"/>
          <w:lang w:val="en-US"/>
        </w:rPr>
        <w:t>ion</w:t>
      </w:r>
      <w:r w:rsidR="00446744" w:rsidRPr="000D7950">
        <w:rPr>
          <w:rFonts w:ascii="Times New Roman" w:hAnsi="Times New Roman" w:cs="Times New Roman"/>
          <w:sz w:val="28"/>
          <w:szCs w:val="28"/>
          <w:lang w:val="en-US"/>
        </w:rPr>
        <w:t xml:space="preserve"> in the proceedings from its inception.</w:t>
      </w:r>
    </w:p>
    <w:p w:rsidR="00E760A9" w:rsidRPr="000D7950" w:rsidRDefault="00E760A9" w:rsidP="00946D79">
      <w:pPr>
        <w:jc w:val="both"/>
        <w:rPr>
          <w:rFonts w:ascii="Times New Roman" w:hAnsi="Times New Roman" w:cs="Times New Roman"/>
          <w:sz w:val="28"/>
          <w:szCs w:val="28"/>
          <w:lang w:val="en-US"/>
        </w:rPr>
      </w:pPr>
    </w:p>
    <w:p w:rsidR="00C26E27" w:rsidRPr="000D7950" w:rsidRDefault="003253EE" w:rsidP="003100E3">
      <w:pPr>
        <w:spacing w:line="360" w:lineRule="auto"/>
        <w:jc w:val="both"/>
        <w:rPr>
          <w:rFonts w:ascii="Times New Roman" w:hAnsi="Times New Roman" w:cs="Times New Roman"/>
          <w:sz w:val="28"/>
          <w:szCs w:val="28"/>
          <w:lang w:val="en-US"/>
        </w:rPr>
      </w:pPr>
      <w:r w:rsidRPr="000D7950">
        <w:rPr>
          <w:rFonts w:ascii="Times New Roman" w:hAnsi="Times New Roman" w:cs="Times New Roman"/>
          <w:sz w:val="28"/>
          <w:szCs w:val="28"/>
          <w:lang w:val="en-US"/>
        </w:rPr>
        <w:t>[</w:t>
      </w:r>
      <w:r w:rsidR="00E0500B">
        <w:rPr>
          <w:rFonts w:ascii="Times New Roman" w:hAnsi="Times New Roman" w:cs="Times New Roman"/>
          <w:sz w:val="28"/>
          <w:szCs w:val="28"/>
          <w:lang w:val="en-US"/>
        </w:rPr>
        <w:t>6</w:t>
      </w:r>
      <w:r w:rsidR="00C26E27" w:rsidRPr="000D7950">
        <w:rPr>
          <w:rFonts w:ascii="Times New Roman" w:hAnsi="Times New Roman" w:cs="Times New Roman"/>
          <w:sz w:val="28"/>
          <w:szCs w:val="28"/>
          <w:lang w:val="en-US"/>
        </w:rPr>
        <w:t>]</w:t>
      </w:r>
      <w:r w:rsidR="00C26E27" w:rsidRPr="000D7950">
        <w:rPr>
          <w:rFonts w:ascii="Times New Roman" w:hAnsi="Times New Roman" w:cs="Times New Roman"/>
          <w:sz w:val="28"/>
          <w:szCs w:val="28"/>
          <w:lang w:val="en-US"/>
        </w:rPr>
        <w:tab/>
        <w:t>It is important to set out the provision</w:t>
      </w:r>
      <w:r w:rsidR="00AF44E4" w:rsidRPr="000D7950">
        <w:rPr>
          <w:rFonts w:ascii="Times New Roman" w:hAnsi="Times New Roman" w:cs="Times New Roman"/>
          <w:sz w:val="28"/>
          <w:szCs w:val="28"/>
          <w:lang w:val="en-US"/>
        </w:rPr>
        <w:t>s</w:t>
      </w:r>
      <w:r w:rsidR="00C26E27" w:rsidRPr="000D7950">
        <w:rPr>
          <w:rFonts w:ascii="Times New Roman" w:hAnsi="Times New Roman" w:cs="Times New Roman"/>
          <w:sz w:val="28"/>
          <w:szCs w:val="28"/>
          <w:lang w:val="en-US"/>
        </w:rPr>
        <w:t xml:space="preserve"> of section 2(2) of the State</w:t>
      </w:r>
      <w:r w:rsidR="00E0521F" w:rsidRPr="000D7950">
        <w:rPr>
          <w:rFonts w:ascii="Times New Roman" w:hAnsi="Times New Roman" w:cs="Times New Roman"/>
          <w:sz w:val="28"/>
          <w:szCs w:val="28"/>
          <w:lang w:val="en-US"/>
        </w:rPr>
        <w:t xml:space="preserve"> Liability Act in full at the </w:t>
      </w:r>
      <w:r w:rsidR="00F57F05" w:rsidRPr="000D7950">
        <w:rPr>
          <w:rFonts w:ascii="Times New Roman" w:hAnsi="Times New Roman" w:cs="Times New Roman"/>
          <w:sz w:val="28"/>
          <w:szCs w:val="28"/>
          <w:lang w:val="en-US"/>
        </w:rPr>
        <w:t>outset</w:t>
      </w:r>
      <w:r w:rsidR="00E0521F" w:rsidRPr="000D7950">
        <w:rPr>
          <w:rFonts w:ascii="Times New Roman" w:hAnsi="Times New Roman" w:cs="Times New Roman"/>
          <w:sz w:val="28"/>
          <w:szCs w:val="28"/>
          <w:lang w:val="en-US"/>
        </w:rPr>
        <w:t>. It provides:</w:t>
      </w:r>
    </w:p>
    <w:p w:rsidR="00805B3A" w:rsidRPr="000D7950" w:rsidRDefault="00E0521F" w:rsidP="003100E3">
      <w:pPr>
        <w:spacing w:line="360" w:lineRule="auto"/>
        <w:jc w:val="both"/>
        <w:rPr>
          <w:rFonts w:ascii="Times New Roman" w:hAnsi="Times New Roman" w:cs="Times New Roman"/>
          <w:lang w:val="en-US"/>
        </w:rPr>
      </w:pPr>
      <w:r w:rsidRPr="000D7950">
        <w:rPr>
          <w:rFonts w:ascii="Times New Roman" w:hAnsi="Times New Roman" w:cs="Times New Roman"/>
          <w:lang w:val="en-US"/>
        </w:rPr>
        <w:t>‘</w:t>
      </w:r>
      <w:r w:rsidR="009835B9" w:rsidRPr="000D7950">
        <w:rPr>
          <w:rFonts w:ascii="Times New Roman" w:hAnsi="Times New Roman" w:cs="Times New Roman"/>
          <w:lang w:val="en-US"/>
        </w:rPr>
        <w:t xml:space="preserve">(2) The plaintiff or applicant, as the case may be, or his or her legal representative </w:t>
      </w:r>
      <w:r w:rsidR="009835B9" w:rsidRPr="000D7950">
        <w:rPr>
          <w:rFonts w:ascii="Times New Roman" w:hAnsi="Times New Roman" w:cs="Times New Roman"/>
          <w:i/>
          <w:lang w:val="en-US"/>
        </w:rPr>
        <w:t>must</w:t>
      </w:r>
      <w:r w:rsidR="00805B3A" w:rsidRPr="000D7950">
        <w:rPr>
          <w:rFonts w:ascii="Times New Roman" w:hAnsi="Times New Roman" w:cs="Times New Roman"/>
          <w:lang w:val="en-US"/>
        </w:rPr>
        <w:t xml:space="preserve"> – </w:t>
      </w:r>
    </w:p>
    <w:p w:rsidR="0079015C" w:rsidRPr="000D7950" w:rsidRDefault="00805B3A" w:rsidP="003100E3">
      <w:pPr>
        <w:spacing w:line="360" w:lineRule="auto"/>
        <w:jc w:val="both"/>
        <w:rPr>
          <w:rFonts w:ascii="Times New Roman" w:hAnsi="Times New Roman" w:cs="Times New Roman"/>
          <w:lang w:val="en-US"/>
        </w:rPr>
      </w:pPr>
      <w:r w:rsidRPr="000D7950">
        <w:rPr>
          <w:rFonts w:ascii="Times New Roman" w:hAnsi="Times New Roman" w:cs="Times New Roman"/>
          <w:i/>
          <w:lang w:val="en-US"/>
        </w:rPr>
        <w:t>(a)</w:t>
      </w:r>
      <w:r w:rsidRPr="000D7950">
        <w:rPr>
          <w:rFonts w:ascii="Times New Roman" w:hAnsi="Times New Roman" w:cs="Times New Roman"/>
          <w:lang w:val="en-US"/>
        </w:rPr>
        <w:t xml:space="preserve">  after any court process instituting proceedings and in which the executive authority of a department is cited as nominal defendant or respondent has been issued, </w:t>
      </w:r>
      <w:r w:rsidRPr="000D7950">
        <w:rPr>
          <w:rFonts w:ascii="Times New Roman" w:hAnsi="Times New Roman" w:cs="Times New Roman"/>
          <w:i/>
          <w:lang w:val="en-US"/>
        </w:rPr>
        <w:t>serve a copy of that process on the head of the department concerned at the head office of the department</w:t>
      </w:r>
      <w:r w:rsidRPr="000D7950">
        <w:rPr>
          <w:rFonts w:ascii="Times New Roman" w:hAnsi="Times New Roman" w:cs="Times New Roman"/>
          <w:lang w:val="en-US"/>
        </w:rPr>
        <w:t xml:space="preserve">; and </w:t>
      </w:r>
    </w:p>
    <w:p w:rsidR="00E0521F" w:rsidRPr="000D7950" w:rsidRDefault="0079015C" w:rsidP="003100E3">
      <w:pPr>
        <w:spacing w:line="360" w:lineRule="auto"/>
        <w:jc w:val="both"/>
        <w:rPr>
          <w:rFonts w:ascii="Times New Roman" w:hAnsi="Times New Roman" w:cs="Times New Roman"/>
          <w:lang w:val="en-US"/>
        </w:rPr>
      </w:pPr>
      <w:r w:rsidRPr="000D7950">
        <w:rPr>
          <w:rFonts w:ascii="Times New Roman" w:hAnsi="Times New Roman" w:cs="Times New Roman"/>
          <w:i/>
          <w:lang w:val="en-US"/>
        </w:rPr>
        <w:t>(b)</w:t>
      </w:r>
      <w:r w:rsidRPr="000D7950">
        <w:rPr>
          <w:rFonts w:ascii="Times New Roman" w:hAnsi="Times New Roman" w:cs="Times New Roman"/>
          <w:lang w:val="en-US"/>
        </w:rPr>
        <w:t xml:space="preserve">  </w:t>
      </w:r>
      <w:r w:rsidRPr="000D7950">
        <w:rPr>
          <w:rFonts w:ascii="Times New Roman" w:hAnsi="Times New Roman" w:cs="Times New Roman"/>
          <w:i/>
          <w:lang w:val="en-US"/>
        </w:rPr>
        <w:t>within five days</w:t>
      </w:r>
      <w:r w:rsidRPr="000D7950">
        <w:rPr>
          <w:rFonts w:ascii="Times New Roman" w:hAnsi="Times New Roman" w:cs="Times New Roman"/>
          <w:lang w:val="en-US"/>
        </w:rPr>
        <w:t xml:space="preserve"> after the service of the process contemplated in paragraph </w:t>
      </w:r>
      <w:r w:rsidRPr="000D7950">
        <w:rPr>
          <w:rFonts w:ascii="Times New Roman" w:hAnsi="Times New Roman" w:cs="Times New Roman"/>
          <w:i/>
          <w:lang w:val="en-US"/>
        </w:rPr>
        <w:t>(a)</w:t>
      </w:r>
      <w:r w:rsidRPr="000D7950">
        <w:rPr>
          <w:rFonts w:ascii="Times New Roman" w:hAnsi="Times New Roman" w:cs="Times New Roman"/>
          <w:lang w:val="en-US"/>
        </w:rPr>
        <w:t xml:space="preserve">, </w:t>
      </w:r>
      <w:r w:rsidRPr="000D7950">
        <w:rPr>
          <w:rFonts w:ascii="Times New Roman" w:hAnsi="Times New Roman" w:cs="Times New Roman"/>
          <w:i/>
          <w:lang w:val="en-US"/>
        </w:rPr>
        <w:t xml:space="preserve">serve a copy of that process on the office of the State Attorney </w:t>
      </w:r>
      <w:r w:rsidRPr="000D7950">
        <w:rPr>
          <w:rFonts w:ascii="Times New Roman" w:hAnsi="Times New Roman" w:cs="Times New Roman"/>
          <w:lang w:val="en-US"/>
        </w:rPr>
        <w:t>operating within the area of jurisdiction of the court from which the process was issued.</w:t>
      </w:r>
      <w:r w:rsidR="00111C5C" w:rsidRPr="000D7950">
        <w:rPr>
          <w:rFonts w:ascii="Times New Roman" w:hAnsi="Times New Roman" w:cs="Times New Roman"/>
          <w:lang w:val="en-US"/>
        </w:rPr>
        <w:t>’</w:t>
      </w:r>
      <w:r w:rsidR="00940F0D" w:rsidRPr="000D7950">
        <w:rPr>
          <w:rFonts w:ascii="Times New Roman" w:hAnsi="Times New Roman" w:cs="Times New Roman"/>
          <w:lang w:val="en-US"/>
        </w:rPr>
        <w:t xml:space="preserve">  (Emphasis added.)</w:t>
      </w:r>
    </w:p>
    <w:p w:rsidR="00A450BE" w:rsidRPr="000D7950" w:rsidRDefault="00A450BE" w:rsidP="00946D79">
      <w:pPr>
        <w:tabs>
          <w:tab w:val="left" w:pos="1575"/>
        </w:tabs>
        <w:jc w:val="both"/>
        <w:rPr>
          <w:rFonts w:ascii="Times New Roman" w:hAnsi="Times New Roman" w:cs="Times New Roman"/>
          <w:sz w:val="28"/>
          <w:szCs w:val="28"/>
          <w:lang w:val="en-US"/>
        </w:rPr>
      </w:pPr>
    </w:p>
    <w:p w:rsidR="00AC3BDF" w:rsidRPr="000D7950" w:rsidRDefault="003253EE" w:rsidP="003100E3">
      <w:pPr>
        <w:spacing w:line="360" w:lineRule="auto"/>
        <w:jc w:val="both"/>
        <w:rPr>
          <w:rFonts w:ascii="Times New Roman" w:hAnsi="Times New Roman" w:cs="Times New Roman"/>
          <w:sz w:val="28"/>
          <w:szCs w:val="28"/>
          <w:lang w:val="en-US"/>
        </w:rPr>
      </w:pPr>
      <w:r w:rsidRPr="000D7950">
        <w:rPr>
          <w:rFonts w:ascii="Times New Roman" w:hAnsi="Times New Roman" w:cs="Times New Roman"/>
          <w:sz w:val="28"/>
          <w:szCs w:val="28"/>
          <w:lang w:val="en-US"/>
        </w:rPr>
        <w:t>[</w:t>
      </w:r>
      <w:r w:rsidR="00E0500B">
        <w:rPr>
          <w:rFonts w:ascii="Times New Roman" w:hAnsi="Times New Roman" w:cs="Times New Roman"/>
          <w:sz w:val="28"/>
          <w:szCs w:val="28"/>
          <w:lang w:val="en-US"/>
        </w:rPr>
        <w:t>7</w:t>
      </w:r>
      <w:r w:rsidR="00884B27" w:rsidRPr="000D7950">
        <w:rPr>
          <w:rFonts w:ascii="Times New Roman" w:hAnsi="Times New Roman" w:cs="Times New Roman"/>
          <w:sz w:val="28"/>
          <w:szCs w:val="28"/>
          <w:lang w:val="en-US"/>
        </w:rPr>
        <w:t>]</w:t>
      </w:r>
      <w:r w:rsidR="00884B27" w:rsidRPr="000D7950">
        <w:rPr>
          <w:rFonts w:ascii="Times New Roman" w:hAnsi="Times New Roman" w:cs="Times New Roman"/>
          <w:sz w:val="28"/>
          <w:szCs w:val="28"/>
          <w:lang w:val="en-US"/>
        </w:rPr>
        <w:tab/>
        <w:t>Before the high c</w:t>
      </w:r>
      <w:r w:rsidR="009E383A">
        <w:rPr>
          <w:rFonts w:ascii="Times New Roman" w:hAnsi="Times New Roman" w:cs="Times New Roman"/>
          <w:sz w:val="28"/>
          <w:szCs w:val="28"/>
          <w:lang w:val="en-US"/>
        </w:rPr>
        <w:t>ourt, the Minister</w:t>
      </w:r>
      <w:r w:rsidR="006D6089" w:rsidRPr="000D7950">
        <w:rPr>
          <w:rFonts w:ascii="Times New Roman" w:hAnsi="Times New Roman" w:cs="Times New Roman"/>
          <w:sz w:val="28"/>
          <w:szCs w:val="28"/>
          <w:lang w:val="en-US"/>
        </w:rPr>
        <w:t xml:space="preserve"> submitted</w:t>
      </w:r>
      <w:r w:rsidR="00A450BE" w:rsidRPr="000D7950">
        <w:rPr>
          <w:rFonts w:ascii="Times New Roman" w:hAnsi="Times New Roman" w:cs="Times New Roman"/>
          <w:sz w:val="28"/>
          <w:szCs w:val="28"/>
          <w:lang w:val="en-US"/>
        </w:rPr>
        <w:t xml:space="preserve"> that the provisions of </w:t>
      </w:r>
      <w:r w:rsidR="00505136" w:rsidRPr="000D7950">
        <w:rPr>
          <w:rFonts w:ascii="Times New Roman" w:hAnsi="Times New Roman" w:cs="Times New Roman"/>
          <w:sz w:val="28"/>
          <w:szCs w:val="28"/>
          <w:lang w:val="en-US"/>
        </w:rPr>
        <w:t xml:space="preserve">s 2(2) of </w:t>
      </w:r>
      <w:r w:rsidR="00A450BE" w:rsidRPr="000D7950">
        <w:rPr>
          <w:rFonts w:ascii="Times New Roman" w:hAnsi="Times New Roman" w:cs="Times New Roman"/>
          <w:sz w:val="28"/>
          <w:szCs w:val="28"/>
          <w:lang w:val="en-US"/>
        </w:rPr>
        <w:t xml:space="preserve">the State Liability Act </w:t>
      </w:r>
      <w:r w:rsidR="006D6089" w:rsidRPr="000D7950">
        <w:rPr>
          <w:rFonts w:ascii="Times New Roman" w:hAnsi="Times New Roman" w:cs="Times New Roman"/>
          <w:sz w:val="28"/>
          <w:szCs w:val="28"/>
          <w:lang w:val="en-US"/>
        </w:rPr>
        <w:t xml:space="preserve">are </w:t>
      </w:r>
      <w:proofErr w:type="gramStart"/>
      <w:r w:rsidR="006D6089" w:rsidRPr="000D7950">
        <w:rPr>
          <w:rFonts w:ascii="Times New Roman" w:hAnsi="Times New Roman" w:cs="Times New Roman"/>
          <w:sz w:val="28"/>
          <w:szCs w:val="28"/>
          <w:lang w:val="en-US"/>
        </w:rPr>
        <w:t>obligatory</w:t>
      </w:r>
      <w:r w:rsidR="00505136" w:rsidRPr="000D7950">
        <w:rPr>
          <w:rFonts w:ascii="Times New Roman" w:hAnsi="Times New Roman" w:cs="Times New Roman"/>
          <w:sz w:val="28"/>
          <w:szCs w:val="28"/>
          <w:lang w:val="en-US"/>
        </w:rPr>
        <w:t>;</w:t>
      </w:r>
      <w:r w:rsidR="005C7517" w:rsidRPr="000D7950">
        <w:rPr>
          <w:rFonts w:ascii="Times New Roman" w:hAnsi="Times New Roman" w:cs="Times New Roman"/>
          <w:sz w:val="28"/>
          <w:szCs w:val="28"/>
          <w:lang w:val="en-US"/>
        </w:rPr>
        <w:t xml:space="preserve"> </w:t>
      </w:r>
      <w:r w:rsidR="006D6089" w:rsidRPr="000D7950">
        <w:rPr>
          <w:rFonts w:ascii="Times New Roman" w:hAnsi="Times New Roman" w:cs="Times New Roman"/>
          <w:sz w:val="28"/>
          <w:szCs w:val="28"/>
          <w:lang w:val="en-US"/>
        </w:rPr>
        <w:t xml:space="preserve"> </w:t>
      </w:r>
      <w:r w:rsidR="00505136" w:rsidRPr="000D7950">
        <w:rPr>
          <w:rFonts w:ascii="Times New Roman" w:hAnsi="Times New Roman" w:cs="Times New Roman"/>
          <w:sz w:val="28"/>
          <w:szCs w:val="28"/>
          <w:lang w:val="en-US"/>
        </w:rPr>
        <w:t>failure</w:t>
      </w:r>
      <w:proofErr w:type="gramEnd"/>
      <w:r w:rsidR="00505136" w:rsidRPr="000D7950">
        <w:rPr>
          <w:rFonts w:ascii="Times New Roman" w:hAnsi="Times New Roman" w:cs="Times New Roman"/>
          <w:sz w:val="28"/>
          <w:szCs w:val="28"/>
          <w:lang w:val="en-US"/>
        </w:rPr>
        <w:t xml:space="preserve"> to serve the summons </w:t>
      </w:r>
      <w:r w:rsidR="009E383A">
        <w:rPr>
          <w:rFonts w:ascii="Times New Roman" w:hAnsi="Times New Roman" w:cs="Times New Roman"/>
          <w:sz w:val="28"/>
          <w:szCs w:val="28"/>
          <w:lang w:val="en-US"/>
        </w:rPr>
        <w:t>on the Minister</w:t>
      </w:r>
      <w:r w:rsidR="005C7517" w:rsidRPr="000D7950">
        <w:rPr>
          <w:rFonts w:ascii="Times New Roman" w:hAnsi="Times New Roman" w:cs="Times New Roman"/>
          <w:sz w:val="28"/>
          <w:szCs w:val="28"/>
          <w:lang w:val="en-US"/>
        </w:rPr>
        <w:t xml:space="preserve"> is fatal; </w:t>
      </w:r>
      <w:r w:rsidR="00A450BE" w:rsidRPr="000D7950">
        <w:rPr>
          <w:rFonts w:ascii="Times New Roman" w:hAnsi="Times New Roman" w:cs="Times New Roman"/>
          <w:sz w:val="28"/>
          <w:szCs w:val="28"/>
          <w:lang w:val="en-US"/>
        </w:rPr>
        <w:t xml:space="preserve">service on the State Attorney alone </w:t>
      </w:r>
      <w:r w:rsidR="006D6089" w:rsidRPr="000D7950">
        <w:rPr>
          <w:rFonts w:ascii="Times New Roman" w:hAnsi="Times New Roman" w:cs="Times New Roman"/>
          <w:sz w:val="28"/>
          <w:szCs w:val="28"/>
          <w:lang w:val="en-US"/>
        </w:rPr>
        <w:t xml:space="preserve">renders the summons a nullity. </w:t>
      </w:r>
      <w:r w:rsidR="0024258D" w:rsidRPr="000D7950">
        <w:rPr>
          <w:rFonts w:ascii="Times New Roman" w:hAnsi="Times New Roman" w:cs="Times New Roman"/>
          <w:sz w:val="28"/>
          <w:szCs w:val="28"/>
          <w:lang w:val="en-US"/>
        </w:rPr>
        <w:t>In the a</w:t>
      </w:r>
      <w:r w:rsidR="006D6089" w:rsidRPr="000D7950">
        <w:rPr>
          <w:rFonts w:ascii="Times New Roman" w:hAnsi="Times New Roman" w:cs="Times New Roman"/>
          <w:sz w:val="28"/>
          <w:szCs w:val="28"/>
          <w:lang w:val="en-US"/>
        </w:rPr>
        <w:t>lterna</w:t>
      </w:r>
      <w:r w:rsidR="009E383A">
        <w:rPr>
          <w:rFonts w:ascii="Times New Roman" w:hAnsi="Times New Roman" w:cs="Times New Roman"/>
          <w:sz w:val="28"/>
          <w:szCs w:val="28"/>
          <w:lang w:val="en-US"/>
        </w:rPr>
        <w:t>tive, the Minister</w:t>
      </w:r>
      <w:r w:rsidR="0024258D" w:rsidRPr="000D7950">
        <w:rPr>
          <w:rFonts w:ascii="Times New Roman" w:hAnsi="Times New Roman" w:cs="Times New Roman"/>
          <w:sz w:val="28"/>
          <w:szCs w:val="28"/>
          <w:lang w:val="en-US"/>
        </w:rPr>
        <w:t xml:space="preserve"> submitted that</w:t>
      </w:r>
      <w:r w:rsidR="006D6089" w:rsidRPr="000D7950">
        <w:rPr>
          <w:rFonts w:ascii="Times New Roman" w:hAnsi="Times New Roman" w:cs="Times New Roman"/>
          <w:sz w:val="28"/>
          <w:szCs w:val="28"/>
          <w:lang w:val="en-US"/>
        </w:rPr>
        <w:t xml:space="preserve"> the claim </w:t>
      </w:r>
      <w:r w:rsidR="0024258D" w:rsidRPr="000D7950">
        <w:rPr>
          <w:rFonts w:ascii="Times New Roman" w:hAnsi="Times New Roman" w:cs="Times New Roman"/>
          <w:sz w:val="28"/>
          <w:szCs w:val="28"/>
          <w:lang w:val="en-US"/>
        </w:rPr>
        <w:t>had</w:t>
      </w:r>
      <w:r w:rsidR="006D6089" w:rsidRPr="000D7950">
        <w:rPr>
          <w:rFonts w:ascii="Times New Roman" w:hAnsi="Times New Roman" w:cs="Times New Roman"/>
          <w:sz w:val="28"/>
          <w:szCs w:val="28"/>
          <w:lang w:val="en-US"/>
        </w:rPr>
        <w:t xml:space="preserve"> prescribed due to non-service on the debtor</w:t>
      </w:r>
      <w:r w:rsidR="009E383A">
        <w:rPr>
          <w:rFonts w:ascii="Times New Roman" w:hAnsi="Times New Roman" w:cs="Times New Roman"/>
          <w:sz w:val="28"/>
          <w:szCs w:val="28"/>
          <w:lang w:val="en-US"/>
        </w:rPr>
        <w:t>, the Minister,</w:t>
      </w:r>
      <w:r w:rsidR="001F6B52" w:rsidRPr="000D7950">
        <w:rPr>
          <w:rFonts w:ascii="Times New Roman" w:hAnsi="Times New Roman" w:cs="Times New Roman"/>
          <w:sz w:val="28"/>
          <w:szCs w:val="28"/>
          <w:lang w:val="en-US"/>
        </w:rPr>
        <w:t xml:space="preserve"> in terms of s 2(2)</w:t>
      </w:r>
      <w:r w:rsidR="001F6B52" w:rsidRPr="000D7950">
        <w:rPr>
          <w:rFonts w:ascii="Times New Roman" w:hAnsi="Times New Roman" w:cs="Times New Roman"/>
          <w:i/>
          <w:sz w:val="28"/>
          <w:szCs w:val="28"/>
          <w:lang w:val="en-US"/>
        </w:rPr>
        <w:t>(a)</w:t>
      </w:r>
      <w:r w:rsidR="006D6089" w:rsidRPr="000D7950">
        <w:rPr>
          <w:rFonts w:ascii="Times New Roman" w:hAnsi="Times New Roman" w:cs="Times New Roman"/>
          <w:sz w:val="28"/>
          <w:szCs w:val="28"/>
          <w:lang w:val="en-US"/>
        </w:rPr>
        <w:t>.</w:t>
      </w:r>
      <w:r w:rsidR="00AA7967" w:rsidRPr="000D7950">
        <w:rPr>
          <w:rFonts w:ascii="Times New Roman" w:hAnsi="Times New Roman" w:cs="Times New Roman"/>
          <w:sz w:val="28"/>
          <w:szCs w:val="28"/>
          <w:lang w:val="en-US"/>
        </w:rPr>
        <w:t xml:space="preserve"> Although the arguments of both </w:t>
      </w:r>
      <w:r w:rsidR="00AA7967" w:rsidRPr="000D7950">
        <w:rPr>
          <w:rFonts w:ascii="Times New Roman" w:hAnsi="Times New Roman" w:cs="Times New Roman"/>
          <w:sz w:val="28"/>
          <w:szCs w:val="28"/>
          <w:lang w:val="en-US"/>
        </w:rPr>
        <w:lastRenderedPageBreak/>
        <w:t>parties</w:t>
      </w:r>
      <w:r w:rsidR="007B0C4D" w:rsidRPr="000D7950">
        <w:rPr>
          <w:rFonts w:ascii="Times New Roman" w:hAnsi="Times New Roman" w:cs="Times New Roman"/>
          <w:sz w:val="28"/>
          <w:szCs w:val="28"/>
          <w:lang w:val="en-US"/>
        </w:rPr>
        <w:t xml:space="preserve"> centered around the decision in </w:t>
      </w:r>
      <w:proofErr w:type="spellStart"/>
      <w:r w:rsidR="00E27312">
        <w:rPr>
          <w:rFonts w:ascii="Times New Roman" w:hAnsi="Times New Roman" w:cs="Times New Roman"/>
          <w:i/>
          <w:sz w:val="28"/>
          <w:szCs w:val="28"/>
          <w:lang w:val="en-US"/>
        </w:rPr>
        <w:t>Molokw</w:t>
      </w:r>
      <w:r w:rsidR="007B0C4D" w:rsidRPr="000D7950">
        <w:rPr>
          <w:rFonts w:ascii="Times New Roman" w:hAnsi="Times New Roman" w:cs="Times New Roman"/>
          <w:i/>
          <w:sz w:val="28"/>
          <w:szCs w:val="28"/>
          <w:lang w:val="en-US"/>
        </w:rPr>
        <w:t>a</w:t>
      </w:r>
      <w:r w:rsidR="00062D77" w:rsidRPr="000D7950">
        <w:rPr>
          <w:rFonts w:ascii="Times New Roman" w:hAnsi="Times New Roman" w:cs="Times New Roman"/>
          <w:i/>
          <w:sz w:val="28"/>
          <w:szCs w:val="28"/>
          <w:lang w:val="en-US"/>
        </w:rPr>
        <w:t>ne</w:t>
      </w:r>
      <w:proofErr w:type="spellEnd"/>
      <w:r w:rsidR="009E383A">
        <w:rPr>
          <w:rFonts w:ascii="Times New Roman" w:hAnsi="Times New Roman" w:cs="Times New Roman"/>
          <w:sz w:val="28"/>
          <w:szCs w:val="28"/>
          <w:lang w:val="en-US"/>
        </w:rPr>
        <w:t xml:space="preserve">, the Minister </w:t>
      </w:r>
      <w:r w:rsidR="00AA7967" w:rsidRPr="000D7950">
        <w:rPr>
          <w:rFonts w:ascii="Times New Roman" w:hAnsi="Times New Roman" w:cs="Times New Roman"/>
          <w:sz w:val="28"/>
          <w:szCs w:val="28"/>
          <w:lang w:val="en-US"/>
        </w:rPr>
        <w:t>argued</w:t>
      </w:r>
      <w:r w:rsidR="00062D77" w:rsidRPr="000D7950">
        <w:rPr>
          <w:rFonts w:ascii="Times New Roman" w:hAnsi="Times New Roman" w:cs="Times New Roman"/>
          <w:sz w:val="28"/>
          <w:szCs w:val="28"/>
          <w:lang w:val="en-US"/>
        </w:rPr>
        <w:t xml:space="preserve"> </w:t>
      </w:r>
      <w:r w:rsidR="00AA7967" w:rsidRPr="000D7950">
        <w:rPr>
          <w:rFonts w:ascii="Times New Roman" w:hAnsi="Times New Roman" w:cs="Times New Roman"/>
          <w:sz w:val="28"/>
          <w:szCs w:val="28"/>
          <w:lang w:val="en-US"/>
        </w:rPr>
        <w:t xml:space="preserve">that the facts </w:t>
      </w:r>
      <w:r w:rsidR="005C7517" w:rsidRPr="000D7950">
        <w:rPr>
          <w:rFonts w:ascii="Times New Roman" w:hAnsi="Times New Roman" w:cs="Times New Roman"/>
          <w:sz w:val="28"/>
          <w:szCs w:val="28"/>
          <w:lang w:val="en-US"/>
        </w:rPr>
        <w:t xml:space="preserve">therein were </w:t>
      </w:r>
      <w:r w:rsidR="00F57F05" w:rsidRPr="000D7950">
        <w:rPr>
          <w:rFonts w:ascii="Times New Roman" w:hAnsi="Times New Roman" w:cs="Times New Roman"/>
          <w:sz w:val="28"/>
          <w:szCs w:val="28"/>
          <w:lang w:val="en-US"/>
        </w:rPr>
        <w:t>distinguishable</w:t>
      </w:r>
      <w:r w:rsidR="005C7517" w:rsidRPr="000D7950">
        <w:rPr>
          <w:rFonts w:ascii="Times New Roman" w:hAnsi="Times New Roman" w:cs="Times New Roman"/>
          <w:sz w:val="28"/>
          <w:szCs w:val="28"/>
          <w:lang w:val="en-US"/>
        </w:rPr>
        <w:t xml:space="preserve">. </w:t>
      </w:r>
      <w:r w:rsidR="00505136" w:rsidRPr="000D7950">
        <w:rPr>
          <w:rFonts w:ascii="Times New Roman" w:hAnsi="Times New Roman" w:cs="Times New Roman"/>
          <w:sz w:val="28"/>
          <w:szCs w:val="28"/>
          <w:lang w:val="en-US"/>
        </w:rPr>
        <w:t>The difference</w:t>
      </w:r>
      <w:r w:rsidR="00AF44E4" w:rsidRPr="000D7950">
        <w:rPr>
          <w:rFonts w:ascii="Times New Roman" w:hAnsi="Times New Roman" w:cs="Times New Roman"/>
          <w:sz w:val="28"/>
          <w:szCs w:val="28"/>
          <w:lang w:val="en-US"/>
        </w:rPr>
        <w:t>,</w:t>
      </w:r>
      <w:r w:rsidR="00505136" w:rsidRPr="000D7950">
        <w:rPr>
          <w:rFonts w:ascii="Times New Roman" w:hAnsi="Times New Roman" w:cs="Times New Roman"/>
          <w:sz w:val="28"/>
          <w:szCs w:val="28"/>
          <w:lang w:val="en-US"/>
        </w:rPr>
        <w:t xml:space="preserve"> </w:t>
      </w:r>
      <w:r w:rsidR="005C7517" w:rsidRPr="000D7950">
        <w:rPr>
          <w:rFonts w:ascii="Times New Roman" w:hAnsi="Times New Roman" w:cs="Times New Roman"/>
          <w:sz w:val="28"/>
          <w:szCs w:val="28"/>
          <w:lang w:val="en-US"/>
        </w:rPr>
        <w:t>according to him</w:t>
      </w:r>
      <w:r w:rsidR="00AF44E4" w:rsidRPr="000D7950">
        <w:rPr>
          <w:rFonts w:ascii="Times New Roman" w:hAnsi="Times New Roman" w:cs="Times New Roman"/>
          <w:sz w:val="28"/>
          <w:szCs w:val="28"/>
          <w:lang w:val="en-US"/>
        </w:rPr>
        <w:t>,</w:t>
      </w:r>
      <w:r w:rsidR="005C7517" w:rsidRPr="000D7950">
        <w:rPr>
          <w:rFonts w:ascii="Times New Roman" w:hAnsi="Times New Roman" w:cs="Times New Roman"/>
          <w:sz w:val="28"/>
          <w:szCs w:val="28"/>
          <w:lang w:val="en-US"/>
        </w:rPr>
        <w:t xml:space="preserve"> stems from the fact that</w:t>
      </w:r>
      <w:r w:rsidR="00AA7967" w:rsidRPr="000D7950">
        <w:rPr>
          <w:rFonts w:ascii="Times New Roman" w:hAnsi="Times New Roman" w:cs="Times New Roman"/>
          <w:sz w:val="28"/>
          <w:szCs w:val="28"/>
          <w:lang w:val="en-US"/>
        </w:rPr>
        <w:t xml:space="preserve"> in</w:t>
      </w:r>
      <w:r w:rsidR="007B0C4D" w:rsidRPr="000D7950">
        <w:rPr>
          <w:rFonts w:ascii="Times New Roman" w:hAnsi="Times New Roman" w:cs="Times New Roman"/>
          <w:sz w:val="28"/>
          <w:szCs w:val="28"/>
          <w:lang w:val="en-US"/>
        </w:rPr>
        <w:t xml:space="preserve"> </w:t>
      </w:r>
      <w:proofErr w:type="spellStart"/>
      <w:r w:rsidR="00E27312">
        <w:rPr>
          <w:rFonts w:ascii="Times New Roman" w:hAnsi="Times New Roman" w:cs="Times New Roman"/>
          <w:i/>
          <w:sz w:val="28"/>
          <w:szCs w:val="28"/>
          <w:lang w:val="en-US"/>
        </w:rPr>
        <w:t>Molokw</w:t>
      </w:r>
      <w:r w:rsidR="007B0C4D" w:rsidRPr="000D7950">
        <w:rPr>
          <w:rFonts w:ascii="Times New Roman" w:hAnsi="Times New Roman" w:cs="Times New Roman"/>
          <w:i/>
          <w:sz w:val="28"/>
          <w:szCs w:val="28"/>
          <w:lang w:val="en-US"/>
        </w:rPr>
        <w:t>ane</w:t>
      </w:r>
      <w:proofErr w:type="spellEnd"/>
      <w:r w:rsidR="0028415C" w:rsidRPr="000D7950">
        <w:rPr>
          <w:rFonts w:ascii="Times New Roman" w:hAnsi="Times New Roman" w:cs="Times New Roman"/>
          <w:sz w:val="28"/>
          <w:szCs w:val="28"/>
          <w:lang w:val="en-US"/>
        </w:rPr>
        <w:t xml:space="preserve"> summons was served on </w:t>
      </w:r>
      <w:r w:rsidR="009E383A">
        <w:rPr>
          <w:rFonts w:ascii="Times New Roman" w:hAnsi="Times New Roman" w:cs="Times New Roman"/>
          <w:sz w:val="28"/>
          <w:szCs w:val="28"/>
          <w:lang w:val="en-US"/>
        </w:rPr>
        <w:t>the Minister</w:t>
      </w:r>
      <w:r w:rsidR="00AA7967" w:rsidRPr="000D7950">
        <w:rPr>
          <w:rFonts w:ascii="Times New Roman" w:hAnsi="Times New Roman" w:cs="Times New Roman"/>
          <w:sz w:val="28"/>
          <w:szCs w:val="28"/>
          <w:lang w:val="en-US"/>
        </w:rPr>
        <w:t xml:space="preserve"> who is the debtor, which is not the case in this matter.</w:t>
      </w:r>
      <w:r w:rsidR="0028415C" w:rsidRPr="000D7950">
        <w:rPr>
          <w:rFonts w:ascii="Times New Roman" w:hAnsi="Times New Roman" w:cs="Times New Roman"/>
          <w:sz w:val="28"/>
          <w:szCs w:val="28"/>
          <w:lang w:val="en-US"/>
        </w:rPr>
        <w:t xml:space="preserve"> As a basis</w:t>
      </w:r>
      <w:r w:rsidR="00433057" w:rsidRPr="000D7950">
        <w:rPr>
          <w:rFonts w:ascii="Times New Roman" w:hAnsi="Times New Roman" w:cs="Times New Roman"/>
          <w:sz w:val="28"/>
          <w:szCs w:val="28"/>
          <w:lang w:val="en-US"/>
        </w:rPr>
        <w:t xml:space="preserve"> for this argument</w:t>
      </w:r>
      <w:r w:rsidR="009E383A">
        <w:rPr>
          <w:rFonts w:ascii="Times New Roman" w:hAnsi="Times New Roman" w:cs="Times New Roman"/>
          <w:sz w:val="28"/>
          <w:szCs w:val="28"/>
          <w:lang w:val="en-US"/>
        </w:rPr>
        <w:t>, the Minister</w:t>
      </w:r>
      <w:r w:rsidR="000D7950">
        <w:rPr>
          <w:rFonts w:ascii="Times New Roman" w:hAnsi="Times New Roman" w:cs="Times New Roman"/>
          <w:sz w:val="28"/>
          <w:szCs w:val="28"/>
          <w:lang w:val="en-US"/>
        </w:rPr>
        <w:t xml:space="preserve"> pinned</w:t>
      </w:r>
      <w:r w:rsidR="0028415C" w:rsidRPr="000D7950">
        <w:rPr>
          <w:rFonts w:ascii="Times New Roman" w:hAnsi="Times New Roman" w:cs="Times New Roman"/>
          <w:sz w:val="28"/>
          <w:szCs w:val="28"/>
          <w:lang w:val="en-US"/>
        </w:rPr>
        <w:t xml:space="preserve"> </w:t>
      </w:r>
      <w:r w:rsidR="00AF44E4" w:rsidRPr="000D7950">
        <w:rPr>
          <w:rFonts w:ascii="Times New Roman" w:hAnsi="Times New Roman" w:cs="Times New Roman"/>
          <w:sz w:val="28"/>
          <w:szCs w:val="28"/>
          <w:lang w:val="en-US"/>
        </w:rPr>
        <w:t xml:space="preserve">his </w:t>
      </w:r>
      <w:proofErr w:type="spellStart"/>
      <w:r w:rsidR="0028415C" w:rsidRPr="000D7950">
        <w:rPr>
          <w:rFonts w:ascii="Times New Roman" w:hAnsi="Times New Roman" w:cs="Times New Roman"/>
          <w:sz w:val="28"/>
          <w:szCs w:val="28"/>
          <w:lang w:val="en-US"/>
        </w:rPr>
        <w:t>colour</w:t>
      </w:r>
      <w:r w:rsidR="00062D77" w:rsidRPr="000D7950">
        <w:rPr>
          <w:rFonts w:ascii="Times New Roman" w:hAnsi="Times New Roman" w:cs="Times New Roman"/>
          <w:sz w:val="28"/>
          <w:szCs w:val="28"/>
          <w:lang w:val="en-US"/>
        </w:rPr>
        <w:t>s</w:t>
      </w:r>
      <w:proofErr w:type="spellEnd"/>
      <w:r w:rsidR="00062D77" w:rsidRPr="000D7950">
        <w:rPr>
          <w:rFonts w:ascii="Times New Roman" w:hAnsi="Times New Roman" w:cs="Times New Roman"/>
          <w:sz w:val="28"/>
          <w:szCs w:val="28"/>
          <w:lang w:val="en-US"/>
        </w:rPr>
        <w:t xml:space="preserve"> of the ma</w:t>
      </w:r>
      <w:r w:rsidR="0024258D" w:rsidRPr="000D7950">
        <w:rPr>
          <w:rFonts w:ascii="Times New Roman" w:hAnsi="Times New Roman" w:cs="Times New Roman"/>
          <w:sz w:val="28"/>
          <w:szCs w:val="28"/>
          <w:lang w:val="en-US"/>
        </w:rPr>
        <w:t xml:space="preserve">st on s 15(1) </w:t>
      </w:r>
      <w:r w:rsidR="00E92585" w:rsidRPr="000D7950">
        <w:rPr>
          <w:rFonts w:ascii="Times New Roman" w:hAnsi="Times New Roman" w:cs="Times New Roman"/>
          <w:sz w:val="28"/>
          <w:szCs w:val="28"/>
          <w:lang w:val="en-US"/>
        </w:rPr>
        <w:t>of the Prescription Act</w:t>
      </w:r>
      <w:r w:rsidR="00884B27" w:rsidRPr="000D7950">
        <w:rPr>
          <w:rFonts w:ascii="Times New Roman" w:hAnsi="Times New Roman" w:cs="Times New Roman"/>
          <w:sz w:val="28"/>
          <w:szCs w:val="28"/>
          <w:lang w:val="en-US"/>
        </w:rPr>
        <w:t xml:space="preserve"> 68 of 1969 (the Prescription Act)</w:t>
      </w:r>
      <w:r w:rsidR="00433057" w:rsidRPr="000D7950">
        <w:rPr>
          <w:rFonts w:ascii="Times New Roman" w:hAnsi="Times New Roman" w:cs="Times New Roman"/>
          <w:sz w:val="28"/>
          <w:szCs w:val="28"/>
          <w:lang w:val="en-US"/>
        </w:rPr>
        <w:t>. This section</w:t>
      </w:r>
      <w:r w:rsidR="00884B27" w:rsidRPr="000D7950">
        <w:rPr>
          <w:rFonts w:ascii="Times New Roman" w:hAnsi="Times New Roman" w:cs="Times New Roman"/>
          <w:sz w:val="28"/>
          <w:szCs w:val="28"/>
          <w:lang w:val="en-US"/>
        </w:rPr>
        <w:t xml:space="preserve"> </w:t>
      </w:r>
      <w:r w:rsidR="00E92585" w:rsidRPr="000D7950">
        <w:rPr>
          <w:rFonts w:ascii="Times New Roman" w:hAnsi="Times New Roman" w:cs="Times New Roman"/>
          <w:sz w:val="28"/>
          <w:szCs w:val="28"/>
          <w:lang w:val="en-US"/>
        </w:rPr>
        <w:t>provides that the running of prescription</w:t>
      </w:r>
      <w:r w:rsidR="00107A57" w:rsidRPr="000D7950">
        <w:rPr>
          <w:rFonts w:ascii="Times New Roman" w:hAnsi="Times New Roman" w:cs="Times New Roman"/>
          <w:sz w:val="28"/>
          <w:szCs w:val="28"/>
          <w:lang w:val="en-US"/>
        </w:rPr>
        <w:t xml:space="preserve"> shall </w:t>
      </w:r>
      <w:r w:rsidR="005B5354" w:rsidRPr="000D7950">
        <w:rPr>
          <w:rFonts w:ascii="Times New Roman" w:hAnsi="Times New Roman" w:cs="Times New Roman"/>
          <w:sz w:val="28"/>
          <w:szCs w:val="28"/>
          <w:lang w:val="en-US"/>
        </w:rPr>
        <w:t>‘</w:t>
      </w:r>
      <w:r w:rsidR="00107A57" w:rsidRPr="000D7950">
        <w:rPr>
          <w:rFonts w:ascii="Times New Roman" w:hAnsi="Times New Roman" w:cs="Times New Roman"/>
          <w:sz w:val="28"/>
          <w:szCs w:val="28"/>
          <w:lang w:val="en-US"/>
        </w:rPr>
        <w:t xml:space="preserve">be interrupted by the </w:t>
      </w:r>
      <w:r w:rsidR="002E55B8" w:rsidRPr="000D7950">
        <w:rPr>
          <w:rFonts w:ascii="Times New Roman" w:hAnsi="Times New Roman" w:cs="Times New Roman"/>
          <w:sz w:val="28"/>
          <w:szCs w:val="28"/>
          <w:lang w:val="en-US"/>
        </w:rPr>
        <w:t>service on the debtor of any process . . .</w:t>
      </w:r>
      <w:r w:rsidR="005B5354" w:rsidRPr="000D7950">
        <w:rPr>
          <w:rFonts w:ascii="Times New Roman" w:hAnsi="Times New Roman" w:cs="Times New Roman"/>
          <w:sz w:val="28"/>
          <w:szCs w:val="28"/>
          <w:lang w:val="en-US"/>
        </w:rPr>
        <w:t>’</w:t>
      </w:r>
      <w:r w:rsidR="00AC3BDF" w:rsidRPr="000D7950">
        <w:rPr>
          <w:rFonts w:ascii="Times New Roman" w:hAnsi="Times New Roman" w:cs="Times New Roman"/>
          <w:sz w:val="28"/>
          <w:szCs w:val="28"/>
          <w:lang w:val="en-US"/>
        </w:rPr>
        <w:t>.</w:t>
      </w:r>
    </w:p>
    <w:p w:rsidR="00AC3BDF" w:rsidRPr="000D7950" w:rsidRDefault="00AC3BDF" w:rsidP="00946D79">
      <w:pPr>
        <w:jc w:val="both"/>
        <w:rPr>
          <w:rFonts w:ascii="Times New Roman" w:hAnsi="Times New Roman" w:cs="Times New Roman"/>
          <w:sz w:val="28"/>
          <w:szCs w:val="28"/>
          <w:lang w:val="en-US"/>
        </w:rPr>
      </w:pPr>
    </w:p>
    <w:p w:rsidR="00A450BE" w:rsidRPr="000D7950" w:rsidRDefault="003253EE" w:rsidP="003100E3">
      <w:pPr>
        <w:spacing w:line="360" w:lineRule="auto"/>
        <w:jc w:val="both"/>
        <w:rPr>
          <w:rFonts w:ascii="Times New Roman" w:hAnsi="Times New Roman" w:cs="Times New Roman"/>
          <w:sz w:val="28"/>
          <w:szCs w:val="28"/>
          <w:lang w:val="en-US"/>
        </w:rPr>
      </w:pPr>
      <w:r w:rsidRPr="000D7950">
        <w:rPr>
          <w:rFonts w:ascii="Times New Roman" w:hAnsi="Times New Roman" w:cs="Times New Roman"/>
          <w:sz w:val="28"/>
          <w:szCs w:val="28"/>
          <w:lang w:val="en-US"/>
        </w:rPr>
        <w:t>[</w:t>
      </w:r>
      <w:r w:rsidR="00D1512A">
        <w:rPr>
          <w:rFonts w:ascii="Times New Roman" w:hAnsi="Times New Roman" w:cs="Times New Roman"/>
          <w:sz w:val="28"/>
          <w:szCs w:val="28"/>
          <w:lang w:val="en-US"/>
        </w:rPr>
        <w:t>8</w:t>
      </w:r>
      <w:r w:rsidR="00AC3BDF" w:rsidRPr="000D7950">
        <w:rPr>
          <w:rFonts w:ascii="Times New Roman" w:hAnsi="Times New Roman" w:cs="Times New Roman"/>
          <w:sz w:val="28"/>
          <w:szCs w:val="28"/>
          <w:lang w:val="en-US"/>
        </w:rPr>
        <w:t>]</w:t>
      </w:r>
      <w:r w:rsidR="00AC3BDF" w:rsidRPr="000D7950">
        <w:rPr>
          <w:rFonts w:ascii="Times New Roman" w:hAnsi="Times New Roman" w:cs="Times New Roman"/>
          <w:sz w:val="28"/>
          <w:szCs w:val="28"/>
          <w:lang w:val="en-US"/>
        </w:rPr>
        <w:tab/>
      </w:r>
      <w:r w:rsidR="006D6089" w:rsidRPr="000D7950">
        <w:rPr>
          <w:rFonts w:ascii="Times New Roman" w:hAnsi="Times New Roman" w:cs="Times New Roman"/>
          <w:sz w:val="28"/>
          <w:szCs w:val="28"/>
          <w:lang w:val="en-US"/>
        </w:rPr>
        <w:t>I</w:t>
      </w:r>
      <w:r w:rsidR="00FA1143" w:rsidRPr="000D7950">
        <w:rPr>
          <w:rFonts w:ascii="Times New Roman" w:hAnsi="Times New Roman" w:cs="Times New Roman"/>
          <w:sz w:val="28"/>
          <w:szCs w:val="28"/>
          <w:lang w:val="en-US"/>
        </w:rPr>
        <w:t xml:space="preserve">n dismissing the special plea, </w:t>
      </w:r>
      <w:r w:rsidR="006D6089" w:rsidRPr="000D7950">
        <w:rPr>
          <w:rFonts w:ascii="Times New Roman" w:hAnsi="Times New Roman" w:cs="Times New Roman"/>
          <w:sz w:val="28"/>
          <w:szCs w:val="28"/>
          <w:lang w:val="en-US"/>
        </w:rPr>
        <w:t xml:space="preserve">the high court </w:t>
      </w:r>
      <w:r w:rsidR="00651B88" w:rsidRPr="000D7950">
        <w:rPr>
          <w:rFonts w:ascii="Times New Roman" w:hAnsi="Times New Roman" w:cs="Times New Roman"/>
          <w:sz w:val="28"/>
          <w:szCs w:val="28"/>
          <w:lang w:val="en-US"/>
        </w:rPr>
        <w:t>agreed with</w:t>
      </w:r>
      <w:r w:rsidR="009E383A">
        <w:rPr>
          <w:rFonts w:ascii="Times New Roman" w:hAnsi="Times New Roman" w:cs="Times New Roman"/>
          <w:sz w:val="28"/>
          <w:szCs w:val="28"/>
          <w:lang w:val="en-US"/>
        </w:rPr>
        <w:t xml:space="preserve"> the</w:t>
      </w:r>
      <w:r w:rsidR="00FA1143" w:rsidRPr="000D7950">
        <w:rPr>
          <w:rFonts w:ascii="Times New Roman" w:hAnsi="Times New Roman" w:cs="Times New Roman"/>
          <w:sz w:val="28"/>
          <w:szCs w:val="28"/>
          <w:lang w:val="en-US"/>
        </w:rPr>
        <w:t xml:space="preserve"> submission</w:t>
      </w:r>
      <w:r w:rsidR="005C7517" w:rsidRPr="000D7950">
        <w:rPr>
          <w:rFonts w:ascii="Times New Roman" w:hAnsi="Times New Roman" w:cs="Times New Roman"/>
          <w:sz w:val="28"/>
          <w:szCs w:val="28"/>
          <w:lang w:val="en-US"/>
        </w:rPr>
        <w:t>s</w:t>
      </w:r>
      <w:r w:rsidR="00D407DB">
        <w:rPr>
          <w:rFonts w:ascii="Times New Roman" w:hAnsi="Times New Roman" w:cs="Times New Roman"/>
          <w:sz w:val="28"/>
          <w:szCs w:val="28"/>
          <w:lang w:val="en-US"/>
        </w:rPr>
        <w:t xml:space="preserve"> </w:t>
      </w:r>
      <w:r w:rsidR="009E383A">
        <w:rPr>
          <w:rFonts w:ascii="Times New Roman" w:hAnsi="Times New Roman" w:cs="Times New Roman"/>
          <w:sz w:val="28"/>
          <w:szCs w:val="28"/>
          <w:lang w:val="en-US"/>
        </w:rPr>
        <w:t xml:space="preserve">by </w:t>
      </w:r>
      <w:proofErr w:type="spellStart"/>
      <w:r w:rsidR="009E383A">
        <w:rPr>
          <w:rFonts w:ascii="Times New Roman" w:hAnsi="Times New Roman" w:cs="Times New Roman"/>
          <w:sz w:val="28"/>
          <w:szCs w:val="28"/>
          <w:lang w:val="en-US"/>
        </w:rPr>
        <w:t>Mr</w:t>
      </w:r>
      <w:proofErr w:type="spellEnd"/>
      <w:r w:rsidR="009E383A">
        <w:rPr>
          <w:rFonts w:ascii="Times New Roman" w:hAnsi="Times New Roman" w:cs="Times New Roman"/>
          <w:sz w:val="28"/>
          <w:szCs w:val="28"/>
          <w:lang w:val="en-US"/>
        </w:rPr>
        <w:t xml:space="preserve"> Miya to the effect </w:t>
      </w:r>
      <w:r w:rsidR="00FA1143" w:rsidRPr="000D7950">
        <w:rPr>
          <w:rFonts w:ascii="Times New Roman" w:hAnsi="Times New Roman" w:cs="Times New Roman"/>
          <w:sz w:val="28"/>
          <w:szCs w:val="28"/>
          <w:lang w:val="en-US"/>
        </w:rPr>
        <w:t>that</w:t>
      </w:r>
      <w:r w:rsidR="001B4668" w:rsidRPr="000D7950">
        <w:rPr>
          <w:rFonts w:ascii="Times New Roman" w:hAnsi="Times New Roman" w:cs="Times New Roman"/>
          <w:sz w:val="28"/>
          <w:szCs w:val="28"/>
          <w:lang w:val="en-US"/>
        </w:rPr>
        <w:t xml:space="preserve"> </w:t>
      </w:r>
      <w:r w:rsidR="00651B88" w:rsidRPr="000D7950">
        <w:rPr>
          <w:rFonts w:ascii="Times New Roman" w:hAnsi="Times New Roman" w:cs="Times New Roman"/>
          <w:sz w:val="28"/>
          <w:szCs w:val="28"/>
          <w:lang w:val="en-US"/>
        </w:rPr>
        <w:t>un</w:t>
      </w:r>
      <w:r w:rsidR="00FA1143" w:rsidRPr="000D7950">
        <w:rPr>
          <w:rFonts w:ascii="Times New Roman" w:hAnsi="Times New Roman" w:cs="Times New Roman"/>
          <w:sz w:val="28"/>
          <w:szCs w:val="28"/>
          <w:lang w:val="en-US"/>
        </w:rPr>
        <w:t>doubt</w:t>
      </w:r>
      <w:r w:rsidR="00651B88" w:rsidRPr="000D7950">
        <w:rPr>
          <w:rFonts w:ascii="Times New Roman" w:hAnsi="Times New Roman" w:cs="Times New Roman"/>
          <w:sz w:val="28"/>
          <w:szCs w:val="28"/>
          <w:lang w:val="en-US"/>
        </w:rPr>
        <w:t>edly</w:t>
      </w:r>
      <w:r w:rsidR="009E383A">
        <w:rPr>
          <w:rFonts w:ascii="Times New Roman" w:hAnsi="Times New Roman" w:cs="Times New Roman"/>
          <w:sz w:val="28"/>
          <w:szCs w:val="28"/>
          <w:lang w:val="en-US"/>
        </w:rPr>
        <w:t xml:space="preserve"> the Minister,</w:t>
      </w:r>
      <w:r w:rsidR="00FA1143" w:rsidRPr="000D7950">
        <w:rPr>
          <w:rFonts w:ascii="Times New Roman" w:hAnsi="Times New Roman" w:cs="Times New Roman"/>
          <w:sz w:val="28"/>
          <w:szCs w:val="28"/>
          <w:lang w:val="en-US"/>
        </w:rPr>
        <w:t xml:space="preserve"> who is the deb</w:t>
      </w:r>
      <w:r w:rsidR="00062D77" w:rsidRPr="000D7950">
        <w:rPr>
          <w:rFonts w:ascii="Times New Roman" w:hAnsi="Times New Roman" w:cs="Times New Roman"/>
          <w:sz w:val="28"/>
          <w:szCs w:val="28"/>
          <w:lang w:val="en-US"/>
        </w:rPr>
        <w:t>tor</w:t>
      </w:r>
      <w:r w:rsidR="00AF44E4" w:rsidRPr="000D7950">
        <w:rPr>
          <w:rFonts w:ascii="Times New Roman" w:hAnsi="Times New Roman" w:cs="Times New Roman"/>
          <w:sz w:val="28"/>
          <w:szCs w:val="28"/>
          <w:lang w:val="en-US"/>
        </w:rPr>
        <w:t>,</w:t>
      </w:r>
      <w:r w:rsidR="00062D77" w:rsidRPr="000D7950">
        <w:rPr>
          <w:rFonts w:ascii="Times New Roman" w:hAnsi="Times New Roman" w:cs="Times New Roman"/>
          <w:sz w:val="28"/>
          <w:szCs w:val="28"/>
          <w:lang w:val="en-US"/>
        </w:rPr>
        <w:t xml:space="preserve"> became aware of the summons</w:t>
      </w:r>
      <w:r w:rsidR="00AA7967" w:rsidRPr="000D7950">
        <w:rPr>
          <w:rFonts w:ascii="Times New Roman" w:hAnsi="Times New Roman" w:cs="Times New Roman"/>
          <w:sz w:val="28"/>
          <w:szCs w:val="28"/>
          <w:lang w:val="en-US"/>
        </w:rPr>
        <w:t>;</w:t>
      </w:r>
      <w:r w:rsidR="00FA1143" w:rsidRPr="000D7950">
        <w:rPr>
          <w:rFonts w:ascii="Times New Roman" w:hAnsi="Times New Roman" w:cs="Times New Roman"/>
          <w:sz w:val="28"/>
          <w:szCs w:val="28"/>
          <w:lang w:val="en-US"/>
        </w:rPr>
        <w:t xml:space="preserve"> </w:t>
      </w:r>
      <w:r w:rsidR="00062D77" w:rsidRPr="000D7950">
        <w:rPr>
          <w:rFonts w:ascii="Times New Roman" w:hAnsi="Times New Roman" w:cs="Times New Roman"/>
          <w:sz w:val="28"/>
          <w:szCs w:val="28"/>
          <w:lang w:val="en-US"/>
        </w:rPr>
        <w:t>he responded to the summons</w:t>
      </w:r>
      <w:r w:rsidR="00CC25F6" w:rsidRPr="000D7950">
        <w:rPr>
          <w:rFonts w:ascii="Times New Roman" w:hAnsi="Times New Roman" w:cs="Times New Roman"/>
          <w:sz w:val="28"/>
          <w:szCs w:val="28"/>
          <w:lang w:val="en-US"/>
        </w:rPr>
        <w:t xml:space="preserve"> by filing relevant court proc</w:t>
      </w:r>
      <w:r w:rsidR="00062D77" w:rsidRPr="000D7950">
        <w:rPr>
          <w:rFonts w:ascii="Times New Roman" w:hAnsi="Times New Roman" w:cs="Times New Roman"/>
          <w:sz w:val="28"/>
          <w:szCs w:val="28"/>
          <w:lang w:val="en-US"/>
        </w:rPr>
        <w:t>esses in his</w:t>
      </w:r>
      <w:r w:rsidR="00CC25F6" w:rsidRPr="000D7950">
        <w:rPr>
          <w:rFonts w:ascii="Times New Roman" w:hAnsi="Times New Roman" w:cs="Times New Roman"/>
          <w:sz w:val="28"/>
          <w:szCs w:val="28"/>
          <w:lang w:val="en-US"/>
        </w:rPr>
        <w:t xml:space="preserve"> </w:t>
      </w:r>
      <w:proofErr w:type="spellStart"/>
      <w:r w:rsidR="00CC25F6" w:rsidRPr="000D7950">
        <w:rPr>
          <w:rFonts w:ascii="Times New Roman" w:hAnsi="Times New Roman" w:cs="Times New Roman"/>
          <w:sz w:val="28"/>
          <w:szCs w:val="28"/>
          <w:lang w:val="en-US"/>
        </w:rPr>
        <w:t>defence</w:t>
      </w:r>
      <w:proofErr w:type="spellEnd"/>
      <w:r w:rsidR="00CC25F6" w:rsidRPr="000D7950">
        <w:rPr>
          <w:rFonts w:ascii="Times New Roman" w:hAnsi="Times New Roman" w:cs="Times New Roman"/>
          <w:sz w:val="28"/>
          <w:szCs w:val="28"/>
          <w:lang w:val="en-US"/>
        </w:rPr>
        <w:t>; and the om</w:t>
      </w:r>
      <w:r w:rsidR="001F6B52" w:rsidRPr="000D7950">
        <w:rPr>
          <w:rFonts w:ascii="Times New Roman" w:hAnsi="Times New Roman" w:cs="Times New Roman"/>
          <w:sz w:val="28"/>
          <w:szCs w:val="28"/>
          <w:lang w:val="en-US"/>
        </w:rPr>
        <w:t>ission to serve on him</w:t>
      </w:r>
      <w:r w:rsidR="00CC25F6" w:rsidRPr="000D7950">
        <w:rPr>
          <w:rFonts w:ascii="Times New Roman" w:hAnsi="Times New Roman" w:cs="Times New Roman"/>
          <w:sz w:val="28"/>
          <w:szCs w:val="28"/>
          <w:lang w:val="en-US"/>
        </w:rPr>
        <w:t xml:space="preserve"> did not render the summons void </w:t>
      </w:r>
      <w:r w:rsidR="006B5336" w:rsidRPr="000D7950">
        <w:rPr>
          <w:rFonts w:ascii="Times New Roman" w:hAnsi="Times New Roman" w:cs="Times New Roman"/>
          <w:sz w:val="28"/>
          <w:szCs w:val="28"/>
          <w:lang w:val="en-US"/>
        </w:rPr>
        <w:t xml:space="preserve">as </w:t>
      </w:r>
      <w:r w:rsidR="001B4668" w:rsidRPr="000D7950">
        <w:rPr>
          <w:rFonts w:ascii="Times New Roman" w:hAnsi="Times New Roman" w:cs="Times New Roman"/>
          <w:sz w:val="28"/>
          <w:szCs w:val="28"/>
          <w:lang w:val="en-US"/>
        </w:rPr>
        <w:t>its</w:t>
      </w:r>
      <w:r w:rsidR="006B5336" w:rsidRPr="000D7950">
        <w:rPr>
          <w:rFonts w:ascii="Times New Roman" w:hAnsi="Times New Roman" w:cs="Times New Roman"/>
          <w:sz w:val="28"/>
          <w:szCs w:val="28"/>
          <w:lang w:val="en-US"/>
        </w:rPr>
        <w:t xml:space="preserve"> purpose </w:t>
      </w:r>
      <w:r w:rsidR="00062D77" w:rsidRPr="000D7950">
        <w:rPr>
          <w:rFonts w:ascii="Times New Roman" w:hAnsi="Times New Roman" w:cs="Times New Roman"/>
          <w:sz w:val="28"/>
          <w:szCs w:val="28"/>
          <w:lang w:val="en-US"/>
        </w:rPr>
        <w:t>was</w:t>
      </w:r>
      <w:r w:rsidR="006D6089" w:rsidRPr="000D7950">
        <w:rPr>
          <w:rFonts w:ascii="Times New Roman" w:hAnsi="Times New Roman" w:cs="Times New Roman"/>
          <w:sz w:val="28"/>
          <w:szCs w:val="28"/>
          <w:lang w:val="en-US"/>
        </w:rPr>
        <w:t xml:space="preserve"> </w:t>
      </w:r>
      <w:r w:rsidR="00651B88" w:rsidRPr="000D7950">
        <w:rPr>
          <w:rFonts w:ascii="Times New Roman" w:hAnsi="Times New Roman" w:cs="Times New Roman"/>
          <w:sz w:val="28"/>
          <w:szCs w:val="28"/>
          <w:lang w:val="en-US"/>
        </w:rPr>
        <w:t xml:space="preserve">consequently </w:t>
      </w:r>
      <w:r w:rsidR="006D6089" w:rsidRPr="000D7950">
        <w:rPr>
          <w:rFonts w:ascii="Times New Roman" w:hAnsi="Times New Roman" w:cs="Times New Roman"/>
          <w:sz w:val="28"/>
          <w:szCs w:val="28"/>
          <w:lang w:val="en-US"/>
        </w:rPr>
        <w:t>achieved. T</w:t>
      </w:r>
      <w:r w:rsidR="00062D77" w:rsidRPr="000D7950">
        <w:rPr>
          <w:rFonts w:ascii="Times New Roman" w:hAnsi="Times New Roman" w:cs="Times New Roman"/>
          <w:sz w:val="28"/>
          <w:szCs w:val="28"/>
          <w:lang w:val="en-US"/>
        </w:rPr>
        <w:t>he high c</w:t>
      </w:r>
      <w:r w:rsidR="006B5336" w:rsidRPr="000D7950">
        <w:rPr>
          <w:rFonts w:ascii="Times New Roman" w:hAnsi="Times New Roman" w:cs="Times New Roman"/>
          <w:sz w:val="28"/>
          <w:szCs w:val="28"/>
          <w:lang w:val="en-US"/>
        </w:rPr>
        <w:t>ourt did not pronounce on the issue of prescription.</w:t>
      </w:r>
    </w:p>
    <w:p w:rsidR="006B5336" w:rsidRPr="000D7950" w:rsidRDefault="006B5336" w:rsidP="00946D79">
      <w:pPr>
        <w:jc w:val="both"/>
        <w:rPr>
          <w:rFonts w:ascii="Times New Roman" w:hAnsi="Times New Roman" w:cs="Times New Roman"/>
          <w:sz w:val="28"/>
          <w:szCs w:val="28"/>
          <w:lang w:val="en-US"/>
        </w:rPr>
      </w:pPr>
    </w:p>
    <w:p w:rsidR="006B5336" w:rsidRPr="009E383A" w:rsidRDefault="003253EE" w:rsidP="003100E3">
      <w:pPr>
        <w:spacing w:line="360" w:lineRule="auto"/>
        <w:jc w:val="both"/>
        <w:rPr>
          <w:rFonts w:ascii="Times New Roman" w:hAnsi="Times New Roman" w:cs="Times New Roman"/>
          <w:strike/>
          <w:sz w:val="28"/>
          <w:szCs w:val="28"/>
          <w:lang w:val="en-US"/>
        </w:rPr>
      </w:pPr>
      <w:r w:rsidRPr="000D7950">
        <w:rPr>
          <w:rFonts w:ascii="Times New Roman" w:hAnsi="Times New Roman" w:cs="Times New Roman"/>
          <w:sz w:val="28"/>
          <w:szCs w:val="28"/>
          <w:lang w:val="en-US"/>
        </w:rPr>
        <w:t>[</w:t>
      </w:r>
      <w:r w:rsidR="00D1512A">
        <w:rPr>
          <w:rFonts w:ascii="Times New Roman" w:hAnsi="Times New Roman" w:cs="Times New Roman"/>
          <w:sz w:val="28"/>
          <w:szCs w:val="28"/>
          <w:lang w:val="en-US"/>
        </w:rPr>
        <w:t>9</w:t>
      </w:r>
      <w:r w:rsidR="006D6089" w:rsidRPr="000D7950">
        <w:rPr>
          <w:rFonts w:ascii="Times New Roman" w:hAnsi="Times New Roman" w:cs="Times New Roman"/>
          <w:sz w:val="28"/>
          <w:szCs w:val="28"/>
          <w:lang w:val="en-US"/>
        </w:rPr>
        <w:t>]</w:t>
      </w:r>
      <w:r w:rsidR="006D6089" w:rsidRPr="000D7950">
        <w:rPr>
          <w:rFonts w:ascii="Times New Roman" w:hAnsi="Times New Roman" w:cs="Times New Roman"/>
          <w:sz w:val="28"/>
          <w:szCs w:val="28"/>
          <w:lang w:val="en-US"/>
        </w:rPr>
        <w:tab/>
        <w:t>Before us, and in</w:t>
      </w:r>
      <w:r w:rsidR="00CA6E79" w:rsidRPr="000D7950">
        <w:rPr>
          <w:rFonts w:ascii="Times New Roman" w:hAnsi="Times New Roman" w:cs="Times New Roman"/>
          <w:sz w:val="28"/>
          <w:szCs w:val="28"/>
          <w:lang w:val="en-US"/>
        </w:rPr>
        <w:t xml:space="preserve"> </w:t>
      </w:r>
      <w:r w:rsidR="00884B27" w:rsidRPr="000D7950">
        <w:rPr>
          <w:rFonts w:ascii="Times New Roman" w:hAnsi="Times New Roman" w:cs="Times New Roman"/>
          <w:sz w:val="28"/>
          <w:szCs w:val="28"/>
          <w:lang w:val="en-US"/>
        </w:rPr>
        <w:t xml:space="preserve">a </w:t>
      </w:r>
      <w:r w:rsidR="00CA6E79" w:rsidRPr="000D7950">
        <w:rPr>
          <w:rFonts w:ascii="Times New Roman" w:hAnsi="Times New Roman" w:cs="Times New Roman"/>
          <w:sz w:val="28"/>
          <w:szCs w:val="28"/>
          <w:lang w:val="en-US"/>
        </w:rPr>
        <w:t>somewha</w:t>
      </w:r>
      <w:r w:rsidR="00F422BA" w:rsidRPr="000D7950">
        <w:rPr>
          <w:rFonts w:ascii="Times New Roman" w:hAnsi="Times New Roman" w:cs="Times New Roman"/>
          <w:sz w:val="28"/>
          <w:szCs w:val="28"/>
          <w:lang w:val="en-US"/>
        </w:rPr>
        <w:t>t different approach from the one</w:t>
      </w:r>
      <w:r w:rsidR="0024258D" w:rsidRPr="000D7950">
        <w:rPr>
          <w:rFonts w:ascii="Times New Roman" w:hAnsi="Times New Roman" w:cs="Times New Roman"/>
          <w:sz w:val="28"/>
          <w:szCs w:val="28"/>
          <w:lang w:val="en-US"/>
        </w:rPr>
        <w:t xml:space="preserve"> advanced</w:t>
      </w:r>
      <w:r w:rsidR="00062D77" w:rsidRPr="000D7950">
        <w:rPr>
          <w:rFonts w:ascii="Times New Roman" w:hAnsi="Times New Roman" w:cs="Times New Roman"/>
          <w:sz w:val="28"/>
          <w:szCs w:val="28"/>
          <w:lang w:val="en-US"/>
        </w:rPr>
        <w:t xml:space="preserve"> in the high c</w:t>
      </w:r>
      <w:r w:rsidR="009E383A">
        <w:rPr>
          <w:rFonts w:ascii="Times New Roman" w:hAnsi="Times New Roman" w:cs="Times New Roman"/>
          <w:sz w:val="28"/>
          <w:szCs w:val="28"/>
          <w:lang w:val="en-US"/>
        </w:rPr>
        <w:t>ourt, counsel representing the Minister</w:t>
      </w:r>
      <w:r w:rsidR="00062D77" w:rsidRPr="000D7950">
        <w:rPr>
          <w:rFonts w:ascii="Times New Roman" w:hAnsi="Times New Roman" w:cs="Times New Roman"/>
          <w:sz w:val="28"/>
          <w:szCs w:val="28"/>
          <w:lang w:val="en-US"/>
        </w:rPr>
        <w:t xml:space="preserve"> attempted to persuade this C</w:t>
      </w:r>
      <w:r w:rsidR="00CA6E79" w:rsidRPr="000D7950">
        <w:rPr>
          <w:rFonts w:ascii="Times New Roman" w:hAnsi="Times New Roman" w:cs="Times New Roman"/>
          <w:sz w:val="28"/>
          <w:szCs w:val="28"/>
          <w:lang w:val="en-US"/>
        </w:rPr>
        <w:t xml:space="preserve">ourt </w:t>
      </w:r>
      <w:r w:rsidR="006D6089" w:rsidRPr="000D7950">
        <w:rPr>
          <w:rFonts w:ascii="Times New Roman" w:hAnsi="Times New Roman" w:cs="Times New Roman"/>
          <w:sz w:val="28"/>
          <w:szCs w:val="28"/>
          <w:lang w:val="en-US"/>
        </w:rPr>
        <w:t xml:space="preserve">to reconsider its findings in </w:t>
      </w:r>
      <w:proofErr w:type="spellStart"/>
      <w:r w:rsidR="00E27312">
        <w:rPr>
          <w:rFonts w:ascii="Times New Roman" w:hAnsi="Times New Roman" w:cs="Times New Roman"/>
          <w:i/>
          <w:sz w:val="28"/>
          <w:szCs w:val="28"/>
          <w:lang w:val="en-US"/>
        </w:rPr>
        <w:t>Molokw</w:t>
      </w:r>
      <w:r w:rsidR="006D6089" w:rsidRPr="000D7950">
        <w:rPr>
          <w:rFonts w:ascii="Times New Roman" w:hAnsi="Times New Roman" w:cs="Times New Roman"/>
          <w:i/>
          <w:sz w:val="28"/>
          <w:szCs w:val="28"/>
          <w:lang w:val="en-US"/>
        </w:rPr>
        <w:t>ane</w:t>
      </w:r>
      <w:proofErr w:type="spellEnd"/>
      <w:r w:rsidR="006D6089" w:rsidRPr="000D7950">
        <w:rPr>
          <w:rFonts w:ascii="Times New Roman" w:hAnsi="Times New Roman" w:cs="Times New Roman"/>
          <w:i/>
          <w:sz w:val="28"/>
          <w:szCs w:val="28"/>
          <w:lang w:val="en-US"/>
        </w:rPr>
        <w:t>.</w:t>
      </w:r>
      <w:r w:rsidR="006D6089" w:rsidRPr="000D7950">
        <w:rPr>
          <w:rFonts w:ascii="Times New Roman" w:hAnsi="Times New Roman" w:cs="Times New Roman"/>
          <w:sz w:val="28"/>
          <w:szCs w:val="28"/>
          <w:lang w:val="en-US"/>
        </w:rPr>
        <w:t xml:space="preserve"> He argued that the appeal </w:t>
      </w:r>
      <w:r w:rsidR="00CA6E79" w:rsidRPr="000D7950">
        <w:rPr>
          <w:rFonts w:ascii="Times New Roman" w:hAnsi="Times New Roman" w:cs="Times New Roman"/>
          <w:sz w:val="28"/>
          <w:szCs w:val="28"/>
          <w:lang w:val="en-US"/>
        </w:rPr>
        <w:t>primarily</w:t>
      </w:r>
      <w:r w:rsidR="007E20A5" w:rsidRPr="000D7950">
        <w:rPr>
          <w:rFonts w:ascii="Times New Roman" w:hAnsi="Times New Roman" w:cs="Times New Roman"/>
          <w:sz w:val="28"/>
          <w:szCs w:val="28"/>
          <w:lang w:val="en-US"/>
        </w:rPr>
        <w:t xml:space="preserve"> rest</w:t>
      </w:r>
      <w:r w:rsidR="00884B27" w:rsidRPr="000D7950">
        <w:rPr>
          <w:rFonts w:ascii="Times New Roman" w:hAnsi="Times New Roman" w:cs="Times New Roman"/>
          <w:sz w:val="28"/>
          <w:szCs w:val="28"/>
          <w:lang w:val="en-US"/>
        </w:rPr>
        <w:t>s</w:t>
      </w:r>
      <w:r w:rsidR="006D6089" w:rsidRPr="000D7950">
        <w:rPr>
          <w:rFonts w:ascii="Times New Roman" w:hAnsi="Times New Roman" w:cs="Times New Roman"/>
          <w:sz w:val="28"/>
          <w:szCs w:val="28"/>
          <w:lang w:val="en-US"/>
        </w:rPr>
        <w:t xml:space="preserve"> on the issue of prescription which was not dealt with by the high court; </w:t>
      </w:r>
      <w:r w:rsidR="00B15CF2" w:rsidRPr="000D7950">
        <w:rPr>
          <w:rFonts w:ascii="Times New Roman" w:hAnsi="Times New Roman" w:cs="Times New Roman"/>
          <w:sz w:val="28"/>
          <w:szCs w:val="28"/>
          <w:lang w:val="en-US"/>
        </w:rPr>
        <w:t xml:space="preserve">what was said in </w:t>
      </w:r>
      <w:proofErr w:type="spellStart"/>
      <w:r w:rsidR="00E27312">
        <w:rPr>
          <w:rFonts w:ascii="Times New Roman" w:hAnsi="Times New Roman" w:cs="Times New Roman"/>
          <w:i/>
          <w:sz w:val="28"/>
          <w:szCs w:val="28"/>
          <w:lang w:val="en-US"/>
        </w:rPr>
        <w:t>Molokw</w:t>
      </w:r>
      <w:r w:rsidR="00B15CF2" w:rsidRPr="000D7950">
        <w:rPr>
          <w:rFonts w:ascii="Times New Roman" w:hAnsi="Times New Roman" w:cs="Times New Roman"/>
          <w:i/>
          <w:sz w:val="28"/>
          <w:szCs w:val="28"/>
          <w:lang w:val="en-US"/>
        </w:rPr>
        <w:t>ane</w:t>
      </w:r>
      <w:proofErr w:type="spellEnd"/>
      <w:r w:rsidR="00B15CF2" w:rsidRPr="000D7950">
        <w:rPr>
          <w:rFonts w:ascii="Times New Roman" w:hAnsi="Times New Roman" w:cs="Times New Roman"/>
          <w:sz w:val="28"/>
          <w:szCs w:val="28"/>
          <w:lang w:val="en-US"/>
        </w:rPr>
        <w:t xml:space="preserve"> was </w:t>
      </w:r>
      <w:r w:rsidR="00B15CF2" w:rsidRPr="000D7950">
        <w:rPr>
          <w:rFonts w:ascii="Times New Roman" w:hAnsi="Times New Roman" w:cs="Times New Roman"/>
          <w:i/>
          <w:sz w:val="28"/>
          <w:szCs w:val="28"/>
          <w:lang w:val="en-US"/>
        </w:rPr>
        <w:t>obiter</w:t>
      </w:r>
      <w:r w:rsidR="00B15CF2" w:rsidRPr="000D7950">
        <w:rPr>
          <w:rFonts w:ascii="Times New Roman" w:hAnsi="Times New Roman" w:cs="Times New Roman"/>
          <w:sz w:val="28"/>
          <w:szCs w:val="28"/>
          <w:lang w:val="en-US"/>
        </w:rPr>
        <w:t xml:space="preserve"> because in this matter the debtor was not served; </w:t>
      </w:r>
      <w:r w:rsidR="005C7517" w:rsidRPr="000D7950">
        <w:rPr>
          <w:rFonts w:ascii="Times New Roman" w:hAnsi="Times New Roman" w:cs="Times New Roman"/>
          <w:sz w:val="28"/>
          <w:szCs w:val="28"/>
          <w:lang w:val="en-US"/>
        </w:rPr>
        <w:t xml:space="preserve">even </w:t>
      </w:r>
      <w:r w:rsidR="006D6089" w:rsidRPr="000D7950">
        <w:rPr>
          <w:rFonts w:ascii="Times New Roman" w:hAnsi="Times New Roman" w:cs="Times New Roman"/>
          <w:sz w:val="28"/>
          <w:szCs w:val="28"/>
          <w:lang w:val="en-US"/>
        </w:rPr>
        <w:t>though</w:t>
      </w:r>
      <w:r w:rsidR="009E383A">
        <w:rPr>
          <w:rFonts w:ascii="Times New Roman" w:hAnsi="Times New Roman" w:cs="Times New Roman"/>
          <w:sz w:val="28"/>
          <w:szCs w:val="28"/>
          <w:lang w:val="en-US"/>
        </w:rPr>
        <w:t xml:space="preserve"> the Minister</w:t>
      </w:r>
      <w:r w:rsidR="007E20A5" w:rsidRPr="000D7950">
        <w:rPr>
          <w:rFonts w:ascii="Times New Roman" w:hAnsi="Times New Roman" w:cs="Times New Roman"/>
          <w:sz w:val="28"/>
          <w:szCs w:val="28"/>
          <w:lang w:val="en-US"/>
        </w:rPr>
        <w:t xml:space="preserve"> became aware of the summons</w:t>
      </w:r>
      <w:r w:rsidR="00D40692" w:rsidRPr="000D7950">
        <w:rPr>
          <w:rFonts w:ascii="Times New Roman" w:hAnsi="Times New Roman" w:cs="Times New Roman"/>
          <w:sz w:val="28"/>
          <w:szCs w:val="28"/>
          <w:lang w:val="en-US"/>
        </w:rPr>
        <w:t xml:space="preserve"> and filed all</w:t>
      </w:r>
      <w:r w:rsidR="0024258D" w:rsidRPr="000D7950">
        <w:rPr>
          <w:rFonts w:ascii="Times New Roman" w:hAnsi="Times New Roman" w:cs="Times New Roman"/>
          <w:sz w:val="28"/>
          <w:szCs w:val="28"/>
          <w:lang w:val="en-US"/>
        </w:rPr>
        <w:t xml:space="preserve"> the</w:t>
      </w:r>
      <w:r w:rsidR="009E383A">
        <w:rPr>
          <w:rFonts w:ascii="Times New Roman" w:hAnsi="Times New Roman" w:cs="Times New Roman"/>
          <w:sz w:val="28"/>
          <w:szCs w:val="28"/>
          <w:lang w:val="en-US"/>
        </w:rPr>
        <w:t xml:space="preserve"> necessary court processes, service</w:t>
      </w:r>
      <w:r w:rsidR="00B15CF2" w:rsidRPr="000D7950">
        <w:rPr>
          <w:rFonts w:ascii="Times New Roman" w:hAnsi="Times New Roman" w:cs="Times New Roman"/>
          <w:sz w:val="28"/>
          <w:szCs w:val="28"/>
          <w:lang w:val="en-US"/>
        </w:rPr>
        <w:t xml:space="preserve"> on him or his office was still required to interrupt </w:t>
      </w:r>
      <w:r w:rsidR="009059AC" w:rsidRPr="000D7950">
        <w:rPr>
          <w:rFonts w:ascii="Times New Roman" w:hAnsi="Times New Roman" w:cs="Times New Roman"/>
          <w:sz w:val="28"/>
          <w:szCs w:val="28"/>
          <w:lang w:val="en-US"/>
        </w:rPr>
        <w:t>p</w:t>
      </w:r>
      <w:r w:rsidR="00B15CF2" w:rsidRPr="000D7950">
        <w:rPr>
          <w:rFonts w:ascii="Times New Roman" w:hAnsi="Times New Roman" w:cs="Times New Roman"/>
          <w:sz w:val="28"/>
          <w:szCs w:val="28"/>
          <w:lang w:val="en-US"/>
        </w:rPr>
        <w:t xml:space="preserve">rescription; </w:t>
      </w:r>
      <w:r w:rsidR="006D6089" w:rsidRPr="000D7950">
        <w:rPr>
          <w:rFonts w:ascii="Times New Roman" w:hAnsi="Times New Roman" w:cs="Times New Roman"/>
          <w:sz w:val="28"/>
          <w:szCs w:val="28"/>
          <w:lang w:val="en-US"/>
        </w:rPr>
        <w:t xml:space="preserve">the </w:t>
      </w:r>
      <w:r w:rsidR="00B15CF2" w:rsidRPr="000D7950">
        <w:rPr>
          <w:rFonts w:ascii="Times New Roman" w:hAnsi="Times New Roman" w:cs="Times New Roman"/>
          <w:sz w:val="28"/>
          <w:szCs w:val="28"/>
          <w:lang w:val="en-US"/>
        </w:rPr>
        <w:t>failure to serve</w:t>
      </w:r>
      <w:r w:rsidR="00F422BA" w:rsidRPr="000D7950">
        <w:rPr>
          <w:rFonts w:ascii="Times New Roman" w:hAnsi="Times New Roman" w:cs="Times New Roman"/>
          <w:sz w:val="28"/>
          <w:szCs w:val="28"/>
          <w:lang w:val="en-US"/>
        </w:rPr>
        <w:t xml:space="preserve"> </w:t>
      </w:r>
      <w:r w:rsidR="006D6089" w:rsidRPr="000D7950">
        <w:rPr>
          <w:rFonts w:ascii="Times New Roman" w:hAnsi="Times New Roman" w:cs="Times New Roman"/>
          <w:sz w:val="28"/>
          <w:szCs w:val="28"/>
          <w:lang w:val="en-US"/>
        </w:rPr>
        <w:t xml:space="preserve">cannot be condoned as </w:t>
      </w:r>
      <w:r w:rsidR="00026AB9" w:rsidRPr="000D7950">
        <w:rPr>
          <w:rFonts w:ascii="Times New Roman" w:hAnsi="Times New Roman" w:cs="Times New Roman"/>
          <w:sz w:val="28"/>
          <w:szCs w:val="28"/>
          <w:lang w:val="en-US"/>
        </w:rPr>
        <w:t>the Prescri</w:t>
      </w:r>
      <w:r w:rsidR="00884B27" w:rsidRPr="000D7950">
        <w:rPr>
          <w:rFonts w:ascii="Times New Roman" w:hAnsi="Times New Roman" w:cs="Times New Roman"/>
          <w:sz w:val="28"/>
          <w:szCs w:val="28"/>
          <w:lang w:val="en-US"/>
        </w:rPr>
        <w:t>p</w:t>
      </w:r>
      <w:r w:rsidR="00026AB9" w:rsidRPr="000D7950">
        <w:rPr>
          <w:rFonts w:ascii="Times New Roman" w:hAnsi="Times New Roman" w:cs="Times New Roman"/>
          <w:sz w:val="28"/>
          <w:szCs w:val="28"/>
          <w:lang w:val="en-US"/>
        </w:rPr>
        <w:t xml:space="preserve">tion Act is also peremptory on the </w:t>
      </w:r>
      <w:r w:rsidR="00AF44E4" w:rsidRPr="000D7950">
        <w:rPr>
          <w:rFonts w:ascii="Times New Roman" w:hAnsi="Times New Roman" w:cs="Times New Roman"/>
          <w:sz w:val="28"/>
          <w:szCs w:val="28"/>
          <w:lang w:val="en-US"/>
        </w:rPr>
        <w:t xml:space="preserve">issue of </w:t>
      </w:r>
      <w:r w:rsidR="00026AB9" w:rsidRPr="000D7950">
        <w:rPr>
          <w:rFonts w:ascii="Times New Roman" w:hAnsi="Times New Roman" w:cs="Times New Roman"/>
          <w:sz w:val="28"/>
          <w:szCs w:val="28"/>
          <w:lang w:val="en-US"/>
        </w:rPr>
        <w:t xml:space="preserve">service </w:t>
      </w:r>
      <w:r w:rsidR="00AF44E4" w:rsidRPr="000D7950">
        <w:rPr>
          <w:rFonts w:ascii="Times New Roman" w:hAnsi="Times New Roman" w:cs="Times New Roman"/>
          <w:sz w:val="28"/>
          <w:szCs w:val="28"/>
          <w:lang w:val="en-US"/>
        </w:rPr>
        <w:t>on</w:t>
      </w:r>
      <w:r w:rsidR="00026AB9" w:rsidRPr="000D7950">
        <w:rPr>
          <w:rFonts w:ascii="Times New Roman" w:hAnsi="Times New Roman" w:cs="Times New Roman"/>
          <w:sz w:val="28"/>
          <w:szCs w:val="28"/>
          <w:lang w:val="en-US"/>
        </w:rPr>
        <w:t xml:space="preserve"> the debt</w:t>
      </w:r>
      <w:r w:rsidR="006D6089" w:rsidRPr="000D7950">
        <w:rPr>
          <w:rFonts w:ascii="Times New Roman" w:hAnsi="Times New Roman" w:cs="Times New Roman"/>
          <w:sz w:val="28"/>
          <w:szCs w:val="28"/>
          <w:lang w:val="en-US"/>
        </w:rPr>
        <w:t>or</w:t>
      </w:r>
      <w:r w:rsidR="00B15CF2" w:rsidRPr="000D7950">
        <w:rPr>
          <w:rFonts w:ascii="Times New Roman" w:hAnsi="Times New Roman" w:cs="Times New Roman"/>
          <w:sz w:val="28"/>
          <w:szCs w:val="28"/>
          <w:lang w:val="en-US"/>
        </w:rPr>
        <w:t>.</w:t>
      </w:r>
      <w:r w:rsidR="00BB755A">
        <w:rPr>
          <w:rFonts w:ascii="Times New Roman" w:hAnsi="Times New Roman" w:cs="Times New Roman"/>
          <w:sz w:val="28"/>
          <w:szCs w:val="28"/>
          <w:lang w:val="en-US"/>
        </w:rPr>
        <w:t xml:space="preserve"> Furthermore, </w:t>
      </w:r>
      <w:r w:rsidR="000D7950">
        <w:rPr>
          <w:rFonts w:ascii="Times New Roman" w:hAnsi="Times New Roman" w:cs="Times New Roman"/>
          <w:sz w:val="28"/>
          <w:szCs w:val="28"/>
          <w:lang w:val="en-US"/>
        </w:rPr>
        <w:t>counsel</w:t>
      </w:r>
      <w:r w:rsidR="005C7517" w:rsidRPr="000D7950">
        <w:rPr>
          <w:rFonts w:ascii="Times New Roman" w:hAnsi="Times New Roman" w:cs="Times New Roman"/>
          <w:sz w:val="28"/>
          <w:szCs w:val="28"/>
          <w:lang w:val="en-US"/>
        </w:rPr>
        <w:t xml:space="preserve"> </w:t>
      </w:r>
      <w:r w:rsidR="009E383A">
        <w:rPr>
          <w:rFonts w:ascii="Times New Roman" w:hAnsi="Times New Roman" w:cs="Times New Roman"/>
          <w:sz w:val="28"/>
          <w:szCs w:val="28"/>
          <w:lang w:val="en-US"/>
        </w:rPr>
        <w:t xml:space="preserve">representing the Minister </w:t>
      </w:r>
      <w:r w:rsidR="00BB755A">
        <w:rPr>
          <w:rFonts w:ascii="Times New Roman" w:hAnsi="Times New Roman" w:cs="Times New Roman"/>
          <w:sz w:val="28"/>
          <w:szCs w:val="28"/>
          <w:lang w:val="en-US"/>
        </w:rPr>
        <w:t>submitted</w:t>
      </w:r>
      <w:r w:rsidR="005C7517" w:rsidRPr="000D7950">
        <w:rPr>
          <w:rFonts w:ascii="Times New Roman" w:hAnsi="Times New Roman" w:cs="Times New Roman"/>
          <w:sz w:val="28"/>
          <w:szCs w:val="28"/>
          <w:lang w:val="en-US"/>
        </w:rPr>
        <w:t xml:space="preserve"> that</w:t>
      </w:r>
      <w:r w:rsidR="00B15CF2" w:rsidRPr="000D7950">
        <w:rPr>
          <w:rFonts w:ascii="Times New Roman" w:hAnsi="Times New Roman" w:cs="Times New Roman"/>
          <w:sz w:val="28"/>
          <w:szCs w:val="28"/>
          <w:lang w:val="en-US"/>
        </w:rPr>
        <w:t xml:space="preserve"> t</w:t>
      </w:r>
      <w:r w:rsidR="0024258D" w:rsidRPr="000D7950">
        <w:rPr>
          <w:rFonts w:ascii="Times New Roman" w:hAnsi="Times New Roman" w:cs="Times New Roman"/>
          <w:sz w:val="28"/>
          <w:szCs w:val="28"/>
          <w:lang w:val="en-US"/>
        </w:rPr>
        <w:t xml:space="preserve">he failure to </w:t>
      </w:r>
      <w:r w:rsidR="00847ACB" w:rsidRPr="000D7950">
        <w:rPr>
          <w:rFonts w:ascii="Times New Roman" w:hAnsi="Times New Roman" w:cs="Times New Roman"/>
          <w:sz w:val="28"/>
          <w:szCs w:val="28"/>
          <w:lang w:val="en-US"/>
        </w:rPr>
        <w:t>adjudicate</w:t>
      </w:r>
      <w:r w:rsidR="0024258D" w:rsidRPr="000D7950">
        <w:rPr>
          <w:rFonts w:ascii="Times New Roman" w:hAnsi="Times New Roman" w:cs="Times New Roman"/>
          <w:sz w:val="28"/>
          <w:szCs w:val="28"/>
          <w:lang w:val="en-US"/>
        </w:rPr>
        <w:t xml:space="preserve"> the</w:t>
      </w:r>
      <w:r w:rsidR="00884B27" w:rsidRPr="000D7950">
        <w:rPr>
          <w:rFonts w:ascii="Times New Roman" w:hAnsi="Times New Roman" w:cs="Times New Roman"/>
          <w:sz w:val="28"/>
          <w:szCs w:val="28"/>
          <w:lang w:val="en-US"/>
        </w:rPr>
        <w:t xml:space="preserve"> issue </w:t>
      </w:r>
      <w:r w:rsidR="0024258D" w:rsidRPr="000D7950">
        <w:rPr>
          <w:rFonts w:ascii="Times New Roman" w:hAnsi="Times New Roman" w:cs="Times New Roman"/>
          <w:sz w:val="28"/>
          <w:szCs w:val="28"/>
          <w:lang w:val="en-US"/>
        </w:rPr>
        <w:t xml:space="preserve">of prescription </w:t>
      </w:r>
      <w:r w:rsidR="00884B27" w:rsidRPr="000D7950">
        <w:rPr>
          <w:rFonts w:ascii="Times New Roman" w:hAnsi="Times New Roman" w:cs="Times New Roman"/>
          <w:sz w:val="28"/>
          <w:szCs w:val="28"/>
          <w:lang w:val="en-US"/>
        </w:rPr>
        <w:t>is so egregious</w:t>
      </w:r>
      <w:r w:rsidR="00B15CF2" w:rsidRPr="000D7950">
        <w:rPr>
          <w:rFonts w:ascii="Times New Roman" w:hAnsi="Times New Roman" w:cs="Times New Roman"/>
          <w:sz w:val="28"/>
          <w:szCs w:val="28"/>
          <w:lang w:val="en-US"/>
        </w:rPr>
        <w:t xml:space="preserve">, renders the matter </w:t>
      </w:r>
      <w:r w:rsidR="00B15CF2" w:rsidRPr="000D7950">
        <w:rPr>
          <w:rFonts w:ascii="Times New Roman" w:hAnsi="Times New Roman" w:cs="Times New Roman"/>
          <w:i/>
          <w:sz w:val="28"/>
          <w:szCs w:val="28"/>
          <w:lang w:val="en-US"/>
        </w:rPr>
        <w:t>res judicata</w:t>
      </w:r>
      <w:r w:rsidR="001B4668" w:rsidRPr="000D7950">
        <w:rPr>
          <w:rFonts w:ascii="Times New Roman" w:hAnsi="Times New Roman" w:cs="Times New Roman"/>
          <w:i/>
          <w:sz w:val="28"/>
          <w:szCs w:val="28"/>
          <w:lang w:val="en-US"/>
        </w:rPr>
        <w:t>,</w:t>
      </w:r>
      <w:r w:rsidR="00B15CF2" w:rsidRPr="000D7950">
        <w:rPr>
          <w:rFonts w:ascii="Times New Roman" w:hAnsi="Times New Roman" w:cs="Times New Roman"/>
          <w:sz w:val="28"/>
          <w:szCs w:val="28"/>
          <w:lang w:val="en-US"/>
        </w:rPr>
        <w:t xml:space="preserve"> and</w:t>
      </w:r>
      <w:r w:rsidR="0022527B">
        <w:rPr>
          <w:rFonts w:ascii="Times New Roman" w:hAnsi="Times New Roman" w:cs="Times New Roman"/>
          <w:sz w:val="28"/>
          <w:szCs w:val="28"/>
          <w:lang w:val="en-US"/>
        </w:rPr>
        <w:t xml:space="preserve"> violated the Minister</w:t>
      </w:r>
      <w:r w:rsidR="000D7950">
        <w:rPr>
          <w:rFonts w:ascii="Times New Roman" w:hAnsi="Times New Roman" w:cs="Times New Roman"/>
          <w:sz w:val="28"/>
          <w:szCs w:val="28"/>
          <w:lang w:val="en-US"/>
        </w:rPr>
        <w:t>’s</w:t>
      </w:r>
      <w:r w:rsidR="00884B27" w:rsidRPr="000D7950">
        <w:rPr>
          <w:rFonts w:ascii="Times New Roman" w:hAnsi="Times New Roman" w:cs="Times New Roman"/>
          <w:sz w:val="28"/>
          <w:szCs w:val="28"/>
          <w:lang w:val="en-US"/>
        </w:rPr>
        <w:t xml:space="preserve"> right to a fair hearing in te</w:t>
      </w:r>
      <w:r w:rsidR="006D6089" w:rsidRPr="000D7950">
        <w:rPr>
          <w:rFonts w:ascii="Times New Roman" w:hAnsi="Times New Roman" w:cs="Times New Roman"/>
          <w:sz w:val="28"/>
          <w:szCs w:val="28"/>
          <w:lang w:val="en-US"/>
        </w:rPr>
        <w:t>rms of s 34 of the Constitution</w:t>
      </w:r>
      <w:r w:rsidR="00B15CF2" w:rsidRPr="000D7950">
        <w:rPr>
          <w:rFonts w:ascii="Times New Roman" w:hAnsi="Times New Roman" w:cs="Times New Roman"/>
          <w:sz w:val="28"/>
          <w:szCs w:val="28"/>
          <w:lang w:val="en-US"/>
        </w:rPr>
        <w:t>.</w:t>
      </w:r>
      <w:r w:rsidR="00F422BA" w:rsidRPr="000D7950">
        <w:rPr>
          <w:rFonts w:ascii="Times New Roman" w:hAnsi="Times New Roman" w:cs="Times New Roman"/>
          <w:i/>
          <w:sz w:val="28"/>
          <w:szCs w:val="28"/>
          <w:lang w:val="en-US"/>
        </w:rPr>
        <w:t xml:space="preserve"> </w:t>
      </w:r>
      <w:r w:rsidR="00F422BA" w:rsidRPr="000D7950">
        <w:rPr>
          <w:rFonts w:ascii="Times New Roman" w:hAnsi="Times New Roman" w:cs="Times New Roman"/>
          <w:sz w:val="28"/>
          <w:szCs w:val="28"/>
          <w:lang w:val="en-US"/>
        </w:rPr>
        <w:t xml:space="preserve"> </w:t>
      </w:r>
    </w:p>
    <w:p w:rsidR="00DA45EC" w:rsidRPr="000D7950" w:rsidRDefault="00DA45EC" w:rsidP="00946D79">
      <w:pPr>
        <w:jc w:val="both"/>
        <w:rPr>
          <w:rFonts w:ascii="Times New Roman" w:hAnsi="Times New Roman" w:cs="Times New Roman"/>
          <w:sz w:val="28"/>
          <w:szCs w:val="28"/>
          <w:lang w:val="en-US"/>
        </w:rPr>
      </w:pPr>
    </w:p>
    <w:p w:rsidR="00E760A9" w:rsidRPr="000D7950" w:rsidRDefault="003253EE" w:rsidP="003100E3">
      <w:pPr>
        <w:spacing w:line="360" w:lineRule="auto"/>
        <w:jc w:val="both"/>
        <w:rPr>
          <w:rFonts w:ascii="Times New Roman" w:hAnsi="Times New Roman" w:cs="Times New Roman"/>
          <w:sz w:val="28"/>
          <w:szCs w:val="28"/>
          <w:lang w:val="en-US"/>
        </w:rPr>
      </w:pPr>
      <w:r w:rsidRPr="000D7950">
        <w:rPr>
          <w:rFonts w:ascii="Times New Roman" w:hAnsi="Times New Roman" w:cs="Times New Roman"/>
          <w:sz w:val="28"/>
          <w:szCs w:val="28"/>
          <w:lang w:val="en-US"/>
        </w:rPr>
        <w:t>[1</w:t>
      </w:r>
      <w:r w:rsidR="00D1512A">
        <w:rPr>
          <w:rFonts w:ascii="Times New Roman" w:hAnsi="Times New Roman" w:cs="Times New Roman"/>
          <w:sz w:val="28"/>
          <w:szCs w:val="28"/>
          <w:lang w:val="en-US"/>
        </w:rPr>
        <w:t>0</w:t>
      </w:r>
      <w:r w:rsidR="00EB4AE8" w:rsidRPr="000D7950">
        <w:rPr>
          <w:rFonts w:ascii="Times New Roman" w:hAnsi="Times New Roman" w:cs="Times New Roman"/>
          <w:sz w:val="28"/>
          <w:szCs w:val="28"/>
          <w:lang w:val="en-US"/>
        </w:rPr>
        <w:t>]</w:t>
      </w:r>
      <w:r w:rsidR="00EB4AE8" w:rsidRPr="000D7950">
        <w:rPr>
          <w:rFonts w:ascii="Times New Roman" w:hAnsi="Times New Roman" w:cs="Times New Roman"/>
          <w:sz w:val="28"/>
          <w:szCs w:val="28"/>
          <w:lang w:val="en-US"/>
        </w:rPr>
        <w:tab/>
      </w:r>
      <w:r w:rsidR="00112B82" w:rsidRPr="000D7950">
        <w:rPr>
          <w:rFonts w:ascii="Times New Roman" w:hAnsi="Times New Roman" w:cs="Times New Roman"/>
          <w:sz w:val="28"/>
          <w:szCs w:val="28"/>
          <w:lang w:val="en-US"/>
        </w:rPr>
        <w:t xml:space="preserve">I </w:t>
      </w:r>
      <w:r w:rsidR="00884B27" w:rsidRPr="000D7950">
        <w:rPr>
          <w:rFonts w:ascii="Times New Roman" w:hAnsi="Times New Roman" w:cs="Times New Roman"/>
          <w:sz w:val="28"/>
          <w:szCs w:val="28"/>
          <w:lang w:val="en-US"/>
        </w:rPr>
        <w:t>sta</w:t>
      </w:r>
      <w:r w:rsidR="0024258D" w:rsidRPr="000D7950">
        <w:rPr>
          <w:rFonts w:ascii="Times New Roman" w:hAnsi="Times New Roman" w:cs="Times New Roman"/>
          <w:sz w:val="28"/>
          <w:szCs w:val="28"/>
          <w:lang w:val="en-US"/>
        </w:rPr>
        <w:t>rt my analysis of the merits</w:t>
      </w:r>
      <w:r w:rsidR="00884B27" w:rsidRPr="000D7950">
        <w:rPr>
          <w:rFonts w:ascii="Times New Roman" w:hAnsi="Times New Roman" w:cs="Times New Roman"/>
          <w:sz w:val="28"/>
          <w:szCs w:val="28"/>
          <w:lang w:val="en-US"/>
        </w:rPr>
        <w:t xml:space="preserve"> with the issue of</w:t>
      </w:r>
      <w:r w:rsidR="00026AB9" w:rsidRPr="000D7950">
        <w:rPr>
          <w:rFonts w:ascii="Times New Roman" w:hAnsi="Times New Roman" w:cs="Times New Roman"/>
          <w:sz w:val="28"/>
          <w:szCs w:val="28"/>
          <w:lang w:val="en-US"/>
        </w:rPr>
        <w:t xml:space="preserve"> </w:t>
      </w:r>
      <w:r w:rsidR="0024258D" w:rsidRPr="000D7950">
        <w:rPr>
          <w:rFonts w:ascii="Times New Roman" w:hAnsi="Times New Roman" w:cs="Times New Roman"/>
          <w:sz w:val="28"/>
          <w:szCs w:val="28"/>
          <w:lang w:val="en-US"/>
        </w:rPr>
        <w:t>p</w:t>
      </w:r>
      <w:r w:rsidR="00EB4AE8" w:rsidRPr="000D7950">
        <w:rPr>
          <w:rFonts w:ascii="Times New Roman" w:hAnsi="Times New Roman" w:cs="Times New Roman"/>
          <w:sz w:val="28"/>
          <w:szCs w:val="28"/>
          <w:lang w:val="en-US"/>
        </w:rPr>
        <w:t xml:space="preserve">rescription </w:t>
      </w:r>
      <w:r w:rsidR="00235BBA">
        <w:rPr>
          <w:rFonts w:ascii="Times New Roman" w:hAnsi="Times New Roman" w:cs="Times New Roman"/>
          <w:sz w:val="28"/>
          <w:szCs w:val="28"/>
          <w:lang w:val="en-US"/>
        </w:rPr>
        <w:t>because, in my view, it ought</w:t>
      </w:r>
      <w:r w:rsidR="00884B27" w:rsidRPr="000D7950">
        <w:rPr>
          <w:rFonts w:ascii="Times New Roman" w:hAnsi="Times New Roman" w:cs="Times New Roman"/>
          <w:sz w:val="28"/>
          <w:szCs w:val="28"/>
          <w:lang w:val="en-US"/>
        </w:rPr>
        <w:t xml:space="preserve"> not detain us much</w:t>
      </w:r>
      <w:r w:rsidR="0024258D" w:rsidRPr="000D7950">
        <w:rPr>
          <w:rFonts w:ascii="Times New Roman" w:hAnsi="Times New Roman" w:cs="Times New Roman"/>
          <w:sz w:val="28"/>
          <w:szCs w:val="28"/>
          <w:lang w:val="en-US"/>
        </w:rPr>
        <w:t xml:space="preserve"> save to say that p</w:t>
      </w:r>
      <w:r w:rsidR="00884B27" w:rsidRPr="000D7950">
        <w:rPr>
          <w:rFonts w:ascii="Times New Roman" w:hAnsi="Times New Roman" w:cs="Times New Roman"/>
          <w:sz w:val="28"/>
          <w:szCs w:val="28"/>
          <w:lang w:val="en-US"/>
        </w:rPr>
        <w:t xml:space="preserve">rescription </w:t>
      </w:r>
      <w:r w:rsidR="00EB4AE8" w:rsidRPr="000D7950">
        <w:rPr>
          <w:rFonts w:ascii="Times New Roman" w:hAnsi="Times New Roman" w:cs="Times New Roman"/>
          <w:sz w:val="28"/>
          <w:szCs w:val="28"/>
          <w:lang w:val="en-US"/>
        </w:rPr>
        <w:t>does not arise in the c</w:t>
      </w:r>
      <w:r w:rsidR="00884B27" w:rsidRPr="000D7950">
        <w:rPr>
          <w:rFonts w:ascii="Times New Roman" w:hAnsi="Times New Roman" w:cs="Times New Roman"/>
          <w:sz w:val="28"/>
          <w:szCs w:val="28"/>
          <w:lang w:val="en-US"/>
        </w:rPr>
        <w:t>ontext of the facts of this matter</w:t>
      </w:r>
      <w:r w:rsidR="00090FB1" w:rsidRPr="00090FB1">
        <w:rPr>
          <w:rFonts w:ascii="Times New Roman" w:hAnsi="Times New Roman" w:cs="Times New Roman"/>
          <w:sz w:val="28"/>
          <w:szCs w:val="28"/>
          <w:lang w:val="en-US"/>
        </w:rPr>
        <w:t>.</w:t>
      </w:r>
      <w:r w:rsidR="00884B27" w:rsidRPr="000D7950">
        <w:rPr>
          <w:rFonts w:ascii="Times New Roman" w:hAnsi="Times New Roman" w:cs="Times New Roman"/>
          <w:sz w:val="28"/>
          <w:szCs w:val="28"/>
          <w:lang w:val="en-US"/>
        </w:rPr>
        <w:t xml:space="preserve"> </w:t>
      </w:r>
      <w:r w:rsidR="00F06035" w:rsidRPr="000D7950">
        <w:rPr>
          <w:rFonts w:ascii="Times New Roman" w:hAnsi="Times New Roman" w:cs="Times New Roman"/>
          <w:sz w:val="28"/>
          <w:szCs w:val="28"/>
          <w:lang w:val="en-US"/>
        </w:rPr>
        <w:t xml:space="preserve">First, the </w:t>
      </w:r>
      <w:r w:rsidR="00847ACB" w:rsidRPr="000D7950">
        <w:rPr>
          <w:rFonts w:ascii="Times New Roman" w:hAnsi="Times New Roman" w:cs="Times New Roman"/>
          <w:sz w:val="28"/>
          <w:szCs w:val="28"/>
          <w:lang w:val="en-US"/>
        </w:rPr>
        <w:t xml:space="preserve">plea of </w:t>
      </w:r>
      <w:r w:rsidR="00230F5B" w:rsidRPr="000D7950">
        <w:rPr>
          <w:rFonts w:ascii="Times New Roman" w:hAnsi="Times New Roman" w:cs="Times New Roman"/>
          <w:sz w:val="28"/>
          <w:szCs w:val="28"/>
          <w:lang w:val="en-US"/>
        </w:rPr>
        <w:t xml:space="preserve">prescription </w:t>
      </w:r>
      <w:r w:rsidR="00F422BA" w:rsidRPr="000D7950">
        <w:rPr>
          <w:rFonts w:ascii="Times New Roman" w:hAnsi="Times New Roman" w:cs="Times New Roman"/>
          <w:sz w:val="28"/>
          <w:szCs w:val="28"/>
          <w:lang w:val="en-US"/>
        </w:rPr>
        <w:t xml:space="preserve">was pleaded </w:t>
      </w:r>
      <w:r w:rsidR="00884B27" w:rsidRPr="000D7950">
        <w:rPr>
          <w:rFonts w:ascii="Times New Roman" w:hAnsi="Times New Roman" w:cs="Times New Roman"/>
          <w:sz w:val="28"/>
          <w:szCs w:val="28"/>
          <w:lang w:val="en-US"/>
        </w:rPr>
        <w:t>in the</w:t>
      </w:r>
      <w:r w:rsidR="00882E03" w:rsidRPr="000D7950">
        <w:rPr>
          <w:rFonts w:ascii="Times New Roman" w:hAnsi="Times New Roman" w:cs="Times New Roman"/>
          <w:sz w:val="28"/>
          <w:szCs w:val="28"/>
          <w:lang w:val="en-US"/>
        </w:rPr>
        <w:t xml:space="preserve"> a</w:t>
      </w:r>
      <w:r w:rsidR="00026AB9" w:rsidRPr="000D7950">
        <w:rPr>
          <w:rFonts w:ascii="Times New Roman" w:hAnsi="Times New Roman" w:cs="Times New Roman"/>
          <w:sz w:val="28"/>
          <w:szCs w:val="28"/>
          <w:lang w:val="en-US"/>
        </w:rPr>
        <w:t xml:space="preserve">lternative. </w:t>
      </w:r>
      <w:r w:rsidR="00884B27" w:rsidRPr="000D7950">
        <w:rPr>
          <w:rFonts w:ascii="Times New Roman" w:hAnsi="Times New Roman" w:cs="Times New Roman"/>
          <w:sz w:val="28"/>
          <w:szCs w:val="28"/>
          <w:lang w:val="en-US"/>
        </w:rPr>
        <w:t>This much i</w:t>
      </w:r>
      <w:r w:rsidR="00BB755A">
        <w:rPr>
          <w:rFonts w:ascii="Times New Roman" w:hAnsi="Times New Roman" w:cs="Times New Roman"/>
          <w:sz w:val="28"/>
          <w:szCs w:val="28"/>
          <w:lang w:val="en-US"/>
        </w:rPr>
        <w:t xml:space="preserve">s acknowledged by the Minister’s </w:t>
      </w:r>
      <w:r w:rsidR="00884B27" w:rsidRPr="000D7950">
        <w:rPr>
          <w:rFonts w:ascii="Times New Roman" w:hAnsi="Times New Roman" w:cs="Times New Roman"/>
          <w:sz w:val="28"/>
          <w:szCs w:val="28"/>
          <w:lang w:val="en-US"/>
        </w:rPr>
        <w:t xml:space="preserve">counsel in </w:t>
      </w:r>
      <w:r w:rsidR="00A22D1E" w:rsidRPr="000D7950">
        <w:rPr>
          <w:rFonts w:ascii="Times New Roman" w:hAnsi="Times New Roman" w:cs="Times New Roman"/>
          <w:sz w:val="28"/>
          <w:szCs w:val="28"/>
          <w:lang w:val="en-US"/>
        </w:rPr>
        <w:t xml:space="preserve">his </w:t>
      </w:r>
      <w:r w:rsidR="00884B27" w:rsidRPr="000D7950">
        <w:rPr>
          <w:rFonts w:ascii="Times New Roman" w:hAnsi="Times New Roman" w:cs="Times New Roman"/>
          <w:sz w:val="28"/>
          <w:szCs w:val="28"/>
          <w:lang w:val="en-US"/>
        </w:rPr>
        <w:t>argument</w:t>
      </w:r>
      <w:r w:rsidR="005C7517" w:rsidRPr="000D7950">
        <w:rPr>
          <w:rFonts w:ascii="Times New Roman" w:hAnsi="Times New Roman" w:cs="Times New Roman"/>
          <w:sz w:val="28"/>
          <w:szCs w:val="28"/>
          <w:lang w:val="en-US"/>
        </w:rPr>
        <w:t>s</w:t>
      </w:r>
      <w:r w:rsidR="00884B27" w:rsidRPr="000D7950">
        <w:rPr>
          <w:rFonts w:ascii="Times New Roman" w:hAnsi="Times New Roman" w:cs="Times New Roman"/>
          <w:sz w:val="28"/>
          <w:szCs w:val="28"/>
          <w:lang w:val="en-US"/>
        </w:rPr>
        <w:t xml:space="preserve">. </w:t>
      </w:r>
      <w:r w:rsidR="00026AB9" w:rsidRPr="000D7950">
        <w:rPr>
          <w:rFonts w:ascii="Times New Roman" w:hAnsi="Times New Roman" w:cs="Times New Roman"/>
          <w:sz w:val="28"/>
          <w:szCs w:val="28"/>
          <w:lang w:val="en-US"/>
        </w:rPr>
        <w:t>Second,</w:t>
      </w:r>
      <w:r w:rsidR="00F422BA" w:rsidRPr="000D7950">
        <w:rPr>
          <w:rFonts w:ascii="Times New Roman" w:hAnsi="Times New Roman" w:cs="Times New Roman"/>
          <w:sz w:val="28"/>
          <w:szCs w:val="28"/>
          <w:lang w:val="en-US"/>
        </w:rPr>
        <w:t xml:space="preserve"> the service on the State Attorney was within</w:t>
      </w:r>
      <w:r w:rsidR="001B4668" w:rsidRPr="000D7950">
        <w:rPr>
          <w:rFonts w:ascii="Times New Roman" w:hAnsi="Times New Roman" w:cs="Times New Roman"/>
          <w:sz w:val="28"/>
          <w:szCs w:val="28"/>
          <w:lang w:val="en-US"/>
        </w:rPr>
        <w:t xml:space="preserve"> the three years</w:t>
      </w:r>
      <w:r w:rsidR="00847ACB" w:rsidRPr="000D7950">
        <w:rPr>
          <w:rFonts w:ascii="Times New Roman" w:hAnsi="Times New Roman" w:cs="Times New Roman"/>
          <w:sz w:val="28"/>
          <w:szCs w:val="28"/>
          <w:lang w:val="en-US"/>
        </w:rPr>
        <w:t xml:space="preserve"> before prescription would begin to run</w:t>
      </w:r>
      <w:r w:rsidR="00F422BA" w:rsidRPr="000D7950">
        <w:rPr>
          <w:rFonts w:ascii="Times New Roman" w:hAnsi="Times New Roman" w:cs="Times New Roman"/>
          <w:sz w:val="28"/>
          <w:szCs w:val="28"/>
          <w:lang w:val="en-US"/>
        </w:rPr>
        <w:t>.</w:t>
      </w:r>
      <w:r w:rsidR="003830D3" w:rsidRPr="000D7950">
        <w:rPr>
          <w:rFonts w:ascii="Times New Roman" w:hAnsi="Times New Roman" w:cs="Times New Roman"/>
          <w:sz w:val="28"/>
          <w:szCs w:val="28"/>
          <w:lang w:val="en-US"/>
        </w:rPr>
        <w:t xml:space="preserve"> The tenor of the high court’s finding is simply that prescription had been interrupted without saying so in </w:t>
      </w:r>
      <w:r w:rsidR="00BB755A">
        <w:rPr>
          <w:rFonts w:ascii="Times New Roman" w:hAnsi="Times New Roman" w:cs="Times New Roman"/>
          <w:sz w:val="28"/>
          <w:szCs w:val="28"/>
          <w:lang w:val="en-US"/>
        </w:rPr>
        <w:t xml:space="preserve">so </w:t>
      </w:r>
      <w:r w:rsidR="003830D3" w:rsidRPr="000D7950">
        <w:rPr>
          <w:rFonts w:ascii="Times New Roman" w:hAnsi="Times New Roman" w:cs="Times New Roman"/>
          <w:sz w:val="28"/>
          <w:szCs w:val="28"/>
          <w:lang w:val="en-US"/>
        </w:rPr>
        <w:t>many words.</w:t>
      </w:r>
      <w:r w:rsidR="00F422BA" w:rsidRPr="000D7950">
        <w:rPr>
          <w:rFonts w:ascii="Times New Roman" w:hAnsi="Times New Roman" w:cs="Times New Roman"/>
          <w:sz w:val="28"/>
          <w:szCs w:val="28"/>
          <w:lang w:val="en-US"/>
        </w:rPr>
        <w:t xml:space="preserve"> </w:t>
      </w:r>
      <w:r w:rsidR="00855E0A" w:rsidRPr="000D7950">
        <w:rPr>
          <w:rFonts w:ascii="Times New Roman" w:hAnsi="Times New Roman" w:cs="Times New Roman"/>
          <w:sz w:val="28"/>
          <w:szCs w:val="28"/>
          <w:lang w:val="en-US"/>
        </w:rPr>
        <w:t>It is demonstra</w:t>
      </w:r>
      <w:r w:rsidR="00664CB5" w:rsidRPr="000D7950">
        <w:rPr>
          <w:rFonts w:ascii="Times New Roman" w:hAnsi="Times New Roman" w:cs="Times New Roman"/>
          <w:sz w:val="28"/>
          <w:szCs w:val="28"/>
          <w:lang w:val="en-US"/>
        </w:rPr>
        <w:t xml:space="preserve">bly clear that once the bridge regarding </w:t>
      </w:r>
      <w:r w:rsidR="001E53BE" w:rsidRPr="000D7950">
        <w:rPr>
          <w:rFonts w:ascii="Times New Roman" w:hAnsi="Times New Roman" w:cs="Times New Roman"/>
          <w:sz w:val="28"/>
          <w:szCs w:val="28"/>
          <w:lang w:val="en-US"/>
        </w:rPr>
        <w:t>eff</w:t>
      </w:r>
      <w:r w:rsidR="00BB755A">
        <w:rPr>
          <w:rFonts w:ascii="Times New Roman" w:hAnsi="Times New Roman" w:cs="Times New Roman"/>
          <w:sz w:val="28"/>
          <w:szCs w:val="28"/>
          <w:lang w:val="en-US"/>
        </w:rPr>
        <w:t>ective service was</w:t>
      </w:r>
      <w:r w:rsidR="00114D6D" w:rsidRPr="000D7950">
        <w:rPr>
          <w:rFonts w:ascii="Times New Roman" w:hAnsi="Times New Roman" w:cs="Times New Roman"/>
          <w:sz w:val="28"/>
          <w:szCs w:val="28"/>
          <w:lang w:val="en-US"/>
        </w:rPr>
        <w:t xml:space="preserve"> crossed, the need for the high court</w:t>
      </w:r>
      <w:r w:rsidR="00AA7967" w:rsidRPr="000D7950">
        <w:rPr>
          <w:rFonts w:ascii="Times New Roman" w:hAnsi="Times New Roman" w:cs="Times New Roman"/>
          <w:sz w:val="28"/>
          <w:szCs w:val="28"/>
          <w:lang w:val="en-US"/>
        </w:rPr>
        <w:t xml:space="preserve"> </w:t>
      </w:r>
      <w:r w:rsidR="001E53BE" w:rsidRPr="000D7950">
        <w:rPr>
          <w:rFonts w:ascii="Times New Roman" w:hAnsi="Times New Roman" w:cs="Times New Roman"/>
          <w:sz w:val="28"/>
          <w:szCs w:val="28"/>
          <w:lang w:val="en-US"/>
        </w:rPr>
        <w:t>to</w:t>
      </w:r>
      <w:r w:rsidR="00BB755A">
        <w:rPr>
          <w:rFonts w:ascii="Times New Roman" w:hAnsi="Times New Roman" w:cs="Times New Roman"/>
          <w:sz w:val="28"/>
          <w:szCs w:val="28"/>
          <w:lang w:val="en-US"/>
        </w:rPr>
        <w:t xml:space="preserve"> have</w:t>
      </w:r>
      <w:r w:rsidR="001E53BE" w:rsidRPr="000D7950">
        <w:rPr>
          <w:rFonts w:ascii="Times New Roman" w:hAnsi="Times New Roman" w:cs="Times New Roman"/>
          <w:sz w:val="28"/>
          <w:szCs w:val="28"/>
          <w:lang w:val="en-US"/>
        </w:rPr>
        <w:t xml:space="preserve"> </w:t>
      </w:r>
      <w:proofErr w:type="spellStart"/>
      <w:r w:rsidR="00876D49" w:rsidRPr="000D7950">
        <w:rPr>
          <w:rFonts w:ascii="Times New Roman" w:hAnsi="Times New Roman" w:cs="Times New Roman"/>
          <w:sz w:val="28"/>
          <w:szCs w:val="28"/>
          <w:lang w:val="en-US"/>
        </w:rPr>
        <w:t>analyse</w:t>
      </w:r>
      <w:r w:rsidR="00BB755A">
        <w:rPr>
          <w:rFonts w:ascii="Times New Roman" w:hAnsi="Times New Roman" w:cs="Times New Roman"/>
          <w:sz w:val="28"/>
          <w:szCs w:val="28"/>
          <w:lang w:val="en-US"/>
        </w:rPr>
        <w:t>d</w:t>
      </w:r>
      <w:proofErr w:type="spellEnd"/>
      <w:r w:rsidR="00664CB5" w:rsidRPr="000D7950">
        <w:rPr>
          <w:rFonts w:ascii="Times New Roman" w:hAnsi="Times New Roman" w:cs="Times New Roman"/>
          <w:sz w:val="28"/>
          <w:szCs w:val="28"/>
          <w:lang w:val="en-US"/>
        </w:rPr>
        <w:t xml:space="preserve"> </w:t>
      </w:r>
      <w:r w:rsidR="00F422BA" w:rsidRPr="000D7950">
        <w:rPr>
          <w:rFonts w:ascii="Times New Roman" w:hAnsi="Times New Roman" w:cs="Times New Roman"/>
          <w:sz w:val="28"/>
          <w:szCs w:val="28"/>
          <w:lang w:val="en-US"/>
        </w:rPr>
        <w:t>th</w:t>
      </w:r>
      <w:r w:rsidR="00876D49" w:rsidRPr="000D7950">
        <w:rPr>
          <w:rFonts w:ascii="Times New Roman" w:hAnsi="Times New Roman" w:cs="Times New Roman"/>
          <w:sz w:val="28"/>
          <w:szCs w:val="28"/>
          <w:lang w:val="en-US"/>
        </w:rPr>
        <w:t>e</w:t>
      </w:r>
      <w:r w:rsidR="00F422BA" w:rsidRPr="000D7950">
        <w:rPr>
          <w:rFonts w:ascii="Times New Roman" w:hAnsi="Times New Roman" w:cs="Times New Roman"/>
          <w:sz w:val="28"/>
          <w:szCs w:val="28"/>
          <w:lang w:val="en-US"/>
        </w:rPr>
        <w:t xml:space="preserve"> issue</w:t>
      </w:r>
      <w:r w:rsidR="009059AC" w:rsidRPr="000D7950">
        <w:rPr>
          <w:rFonts w:ascii="Times New Roman" w:hAnsi="Times New Roman" w:cs="Times New Roman"/>
          <w:sz w:val="28"/>
          <w:szCs w:val="28"/>
          <w:lang w:val="en-US"/>
        </w:rPr>
        <w:t xml:space="preserve"> of prescription</w:t>
      </w:r>
      <w:r w:rsidR="00BB755A">
        <w:rPr>
          <w:rFonts w:ascii="Times New Roman" w:hAnsi="Times New Roman" w:cs="Times New Roman"/>
          <w:sz w:val="28"/>
          <w:szCs w:val="28"/>
          <w:lang w:val="en-US"/>
        </w:rPr>
        <w:t xml:space="preserve"> no longer existed</w:t>
      </w:r>
      <w:r w:rsidR="00D407DB">
        <w:rPr>
          <w:rFonts w:ascii="Times New Roman" w:hAnsi="Times New Roman" w:cs="Times New Roman"/>
          <w:sz w:val="28"/>
          <w:szCs w:val="28"/>
          <w:lang w:val="en-US"/>
        </w:rPr>
        <w:t>. Additionally</w:t>
      </w:r>
      <w:r w:rsidR="00847ACB" w:rsidRPr="000D7950">
        <w:rPr>
          <w:rFonts w:ascii="Times New Roman" w:hAnsi="Times New Roman" w:cs="Times New Roman"/>
          <w:sz w:val="28"/>
          <w:szCs w:val="28"/>
          <w:lang w:val="en-US"/>
        </w:rPr>
        <w:t>,</w:t>
      </w:r>
      <w:r w:rsidR="0024258D" w:rsidRPr="000D7950">
        <w:rPr>
          <w:rFonts w:ascii="Times New Roman" w:hAnsi="Times New Roman" w:cs="Times New Roman"/>
          <w:sz w:val="28"/>
          <w:szCs w:val="28"/>
          <w:lang w:val="en-US"/>
        </w:rPr>
        <w:t xml:space="preserve"> </w:t>
      </w:r>
      <w:r w:rsidR="00BB755A">
        <w:rPr>
          <w:rFonts w:ascii="Times New Roman" w:hAnsi="Times New Roman" w:cs="Times New Roman"/>
          <w:sz w:val="28"/>
          <w:szCs w:val="28"/>
          <w:lang w:val="en-US"/>
        </w:rPr>
        <w:t>the Minister</w:t>
      </w:r>
      <w:r w:rsidR="005C7517" w:rsidRPr="000D7950">
        <w:rPr>
          <w:rFonts w:ascii="Times New Roman" w:hAnsi="Times New Roman" w:cs="Times New Roman"/>
          <w:sz w:val="28"/>
          <w:szCs w:val="28"/>
          <w:lang w:val="en-US"/>
        </w:rPr>
        <w:t xml:space="preserve"> </w:t>
      </w:r>
      <w:r w:rsidR="003830D3" w:rsidRPr="000D7950">
        <w:rPr>
          <w:rFonts w:ascii="Times New Roman" w:hAnsi="Times New Roman" w:cs="Times New Roman"/>
          <w:sz w:val="28"/>
          <w:szCs w:val="28"/>
          <w:lang w:val="en-US"/>
        </w:rPr>
        <w:t>was</w:t>
      </w:r>
      <w:r w:rsidR="00013A5F">
        <w:rPr>
          <w:rFonts w:ascii="Times New Roman" w:hAnsi="Times New Roman" w:cs="Times New Roman"/>
          <w:sz w:val="28"/>
          <w:szCs w:val="28"/>
          <w:lang w:val="en-US"/>
        </w:rPr>
        <w:t xml:space="preserve"> </w:t>
      </w:r>
      <w:r w:rsidR="005C7517" w:rsidRPr="000D7950">
        <w:rPr>
          <w:rFonts w:ascii="Times New Roman" w:hAnsi="Times New Roman" w:cs="Times New Roman"/>
          <w:sz w:val="28"/>
          <w:szCs w:val="28"/>
          <w:lang w:val="en-US"/>
        </w:rPr>
        <w:t xml:space="preserve">timeously served with </w:t>
      </w:r>
      <w:r w:rsidR="003830D3" w:rsidRPr="000D7950">
        <w:rPr>
          <w:rFonts w:ascii="Times New Roman" w:hAnsi="Times New Roman" w:cs="Times New Roman"/>
          <w:sz w:val="28"/>
          <w:szCs w:val="28"/>
          <w:lang w:val="en-US"/>
        </w:rPr>
        <w:t>the</w:t>
      </w:r>
      <w:r w:rsidR="005C7517" w:rsidRPr="000D7950">
        <w:rPr>
          <w:rFonts w:ascii="Times New Roman" w:hAnsi="Times New Roman" w:cs="Times New Roman"/>
          <w:sz w:val="28"/>
          <w:szCs w:val="28"/>
          <w:lang w:val="en-US"/>
        </w:rPr>
        <w:t xml:space="preserve"> statutory notice. It is trite</w:t>
      </w:r>
      <w:r w:rsidR="0066786A" w:rsidRPr="000D7950">
        <w:rPr>
          <w:rFonts w:ascii="Times New Roman" w:hAnsi="Times New Roman" w:cs="Times New Roman"/>
          <w:sz w:val="28"/>
          <w:szCs w:val="28"/>
          <w:lang w:val="en-US"/>
        </w:rPr>
        <w:t xml:space="preserve"> that </w:t>
      </w:r>
      <w:r w:rsidR="005C7517" w:rsidRPr="000D7950">
        <w:rPr>
          <w:rFonts w:ascii="Times New Roman" w:hAnsi="Times New Roman" w:cs="Times New Roman"/>
          <w:sz w:val="28"/>
          <w:szCs w:val="28"/>
          <w:lang w:val="en-US"/>
        </w:rPr>
        <w:t xml:space="preserve">it </w:t>
      </w:r>
      <w:r w:rsidR="00876D49" w:rsidRPr="000D7950">
        <w:rPr>
          <w:rFonts w:ascii="Times New Roman" w:hAnsi="Times New Roman" w:cs="Times New Roman"/>
          <w:sz w:val="28"/>
          <w:szCs w:val="28"/>
          <w:lang w:val="en-US"/>
        </w:rPr>
        <w:t>is</w:t>
      </w:r>
      <w:r w:rsidR="0066786A" w:rsidRPr="000D7950">
        <w:rPr>
          <w:rFonts w:ascii="Times New Roman" w:hAnsi="Times New Roman" w:cs="Times New Roman"/>
          <w:sz w:val="28"/>
          <w:szCs w:val="28"/>
          <w:lang w:val="en-US"/>
        </w:rPr>
        <w:t xml:space="preserve"> </w:t>
      </w:r>
      <w:proofErr w:type="spellStart"/>
      <w:r w:rsidR="0066786A" w:rsidRPr="000D7950">
        <w:rPr>
          <w:rFonts w:ascii="Times New Roman" w:hAnsi="Times New Roman" w:cs="Times New Roman"/>
          <w:sz w:val="28"/>
          <w:szCs w:val="28"/>
          <w:lang w:val="en-US"/>
        </w:rPr>
        <w:t>‘a</w:t>
      </w:r>
      <w:proofErr w:type="spellEnd"/>
      <w:r w:rsidR="0066786A" w:rsidRPr="000D7950">
        <w:rPr>
          <w:rFonts w:ascii="Times New Roman" w:hAnsi="Times New Roman" w:cs="Times New Roman"/>
          <w:sz w:val="28"/>
          <w:szCs w:val="28"/>
          <w:lang w:val="en-US"/>
        </w:rPr>
        <w:t xml:space="preserve"> process’ that serves to interrupt </w:t>
      </w:r>
      <w:r w:rsidR="00112B82" w:rsidRPr="000D7950">
        <w:rPr>
          <w:rFonts w:ascii="Times New Roman" w:hAnsi="Times New Roman" w:cs="Times New Roman"/>
          <w:sz w:val="28"/>
          <w:szCs w:val="28"/>
          <w:lang w:val="en-US"/>
        </w:rPr>
        <w:t>prescription.</w:t>
      </w:r>
      <w:r w:rsidR="00112B82" w:rsidRPr="000D7950">
        <w:rPr>
          <w:rStyle w:val="FootnoteReference"/>
          <w:rFonts w:ascii="Times New Roman" w:hAnsi="Times New Roman" w:cs="Times New Roman"/>
          <w:sz w:val="28"/>
          <w:szCs w:val="28"/>
          <w:lang w:val="en-US"/>
        </w:rPr>
        <w:footnoteReference w:id="3"/>
      </w:r>
      <w:r w:rsidR="0066786A" w:rsidRPr="000D7950">
        <w:rPr>
          <w:rFonts w:ascii="Times New Roman" w:hAnsi="Times New Roman" w:cs="Times New Roman"/>
          <w:sz w:val="28"/>
          <w:szCs w:val="28"/>
          <w:lang w:val="en-US"/>
        </w:rPr>
        <w:t xml:space="preserve"> </w:t>
      </w:r>
      <w:r w:rsidR="001E53BE" w:rsidRPr="000D7950">
        <w:rPr>
          <w:rFonts w:ascii="Times New Roman" w:hAnsi="Times New Roman" w:cs="Times New Roman"/>
          <w:sz w:val="28"/>
          <w:szCs w:val="28"/>
          <w:lang w:val="en-US"/>
        </w:rPr>
        <w:t>T</w:t>
      </w:r>
      <w:r w:rsidR="00112B82" w:rsidRPr="000D7950">
        <w:rPr>
          <w:rFonts w:ascii="Times New Roman" w:hAnsi="Times New Roman" w:cs="Times New Roman"/>
          <w:sz w:val="28"/>
          <w:szCs w:val="28"/>
          <w:lang w:val="en-US"/>
        </w:rPr>
        <w:t xml:space="preserve">he </w:t>
      </w:r>
      <w:proofErr w:type="spellStart"/>
      <w:r w:rsidR="00847ACB" w:rsidRPr="000D7950">
        <w:rPr>
          <w:rFonts w:ascii="Times New Roman" w:hAnsi="Times New Roman" w:cs="Times New Roman"/>
          <w:sz w:val="28"/>
          <w:szCs w:val="28"/>
          <w:lang w:val="en-US"/>
        </w:rPr>
        <w:t>defence</w:t>
      </w:r>
      <w:proofErr w:type="spellEnd"/>
      <w:r w:rsidR="00847ACB" w:rsidRPr="000D7950">
        <w:rPr>
          <w:rFonts w:ascii="Times New Roman" w:hAnsi="Times New Roman" w:cs="Times New Roman"/>
          <w:sz w:val="28"/>
          <w:szCs w:val="28"/>
          <w:lang w:val="en-US"/>
        </w:rPr>
        <w:t xml:space="preserve"> of </w:t>
      </w:r>
      <w:r w:rsidR="003830D3" w:rsidRPr="000D7950">
        <w:rPr>
          <w:rFonts w:ascii="Times New Roman" w:hAnsi="Times New Roman" w:cs="Times New Roman"/>
          <w:sz w:val="28"/>
          <w:szCs w:val="28"/>
          <w:lang w:val="en-US"/>
        </w:rPr>
        <w:t xml:space="preserve">prescription </w:t>
      </w:r>
      <w:r w:rsidR="00B94B23" w:rsidRPr="000D7950">
        <w:rPr>
          <w:rFonts w:ascii="Times New Roman" w:hAnsi="Times New Roman" w:cs="Times New Roman"/>
          <w:sz w:val="28"/>
          <w:szCs w:val="28"/>
          <w:lang w:val="en-US"/>
        </w:rPr>
        <w:t>together with the arguments related thereto were</w:t>
      </w:r>
      <w:r w:rsidR="00112B82" w:rsidRPr="000D7950">
        <w:rPr>
          <w:rFonts w:ascii="Times New Roman" w:hAnsi="Times New Roman" w:cs="Times New Roman"/>
          <w:sz w:val="28"/>
          <w:szCs w:val="28"/>
          <w:lang w:val="en-US"/>
        </w:rPr>
        <w:t xml:space="preserve"> therefore ill-conceived</w:t>
      </w:r>
      <w:r w:rsidR="00A700E6" w:rsidRPr="000D7950">
        <w:rPr>
          <w:rFonts w:ascii="Times New Roman" w:hAnsi="Times New Roman" w:cs="Times New Roman"/>
          <w:sz w:val="28"/>
          <w:szCs w:val="28"/>
          <w:lang w:val="en-US"/>
        </w:rPr>
        <w:t>.</w:t>
      </w:r>
    </w:p>
    <w:p w:rsidR="00E760A9" w:rsidRPr="000D7950" w:rsidRDefault="00E760A9" w:rsidP="00946D79">
      <w:pPr>
        <w:jc w:val="both"/>
        <w:rPr>
          <w:rFonts w:ascii="Times New Roman" w:hAnsi="Times New Roman" w:cs="Times New Roman"/>
          <w:sz w:val="28"/>
          <w:szCs w:val="28"/>
          <w:lang w:val="en-US"/>
        </w:rPr>
      </w:pPr>
    </w:p>
    <w:p w:rsidR="00A5268C" w:rsidRPr="000D7950" w:rsidRDefault="00E760A9" w:rsidP="003100E3">
      <w:pPr>
        <w:spacing w:line="360" w:lineRule="auto"/>
        <w:jc w:val="both"/>
        <w:rPr>
          <w:rFonts w:ascii="Times New Roman" w:hAnsi="Times New Roman" w:cs="Times New Roman"/>
          <w:sz w:val="28"/>
          <w:szCs w:val="28"/>
          <w:lang w:val="en-US"/>
        </w:rPr>
      </w:pPr>
      <w:r w:rsidRPr="000D7950">
        <w:rPr>
          <w:rFonts w:ascii="Times New Roman" w:hAnsi="Times New Roman" w:cs="Times New Roman"/>
          <w:sz w:val="28"/>
          <w:szCs w:val="28"/>
          <w:lang w:val="en-US"/>
        </w:rPr>
        <w:t>[1</w:t>
      </w:r>
      <w:r w:rsidR="00D1512A">
        <w:rPr>
          <w:rFonts w:ascii="Times New Roman" w:hAnsi="Times New Roman" w:cs="Times New Roman"/>
          <w:sz w:val="28"/>
          <w:szCs w:val="28"/>
          <w:lang w:val="en-US"/>
        </w:rPr>
        <w:t>1</w:t>
      </w:r>
      <w:r w:rsidR="00F85A9C" w:rsidRPr="000D7950">
        <w:rPr>
          <w:rFonts w:ascii="Times New Roman" w:hAnsi="Times New Roman" w:cs="Times New Roman"/>
          <w:sz w:val="28"/>
          <w:szCs w:val="28"/>
          <w:lang w:val="en-US"/>
        </w:rPr>
        <w:t>]</w:t>
      </w:r>
      <w:r w:rsidR="00F85A9C" w:rsidRPr="000D7950">
        <w:rPr>
          <w:rFonts w:ascii="Times New Roman" w:hAnsi="Times New Roman" w:cs="Times New Roman"/>
          <w:sz w:val="28"/>
          <w:szCs w:val="28"/>
          <w:lang w:val="en-US"/>
        </w:rPr>
        <w:tab/>
        <w:t>I now turn</w:t>
      </w:r>
      <w:r w:rsidR="00664CB5" w:rsidRPr="000D7950">
        <w:rPr>
          <w:rFonts w:ascii="Times New Roman" w:hAnsi="Times New Roman" w:cs="Times New Roman"/>
          <w:sz w:val="28"/>
          <w:szCs w:val="28"/>
          <w:lang w:val="en-US"/>
        </w:rPr>
        <w:t xml:space="preserve"> to the main issue </w:t>
      </w:r>
      <w:r w:rsidR="00013A5F">
        <w:rPr>
          <w:rFonts w:ascii="Times New Roman" w:hAnsi="Times New Roman" w:cs="Times New Roman"/>
          <w:sz w:val="28"/>
          <w:szCs w:val="28"/>
          <w:lang w:val="en-US"/>
        </w:rPr>
        <w:t xml:space="preserve">of </w:t>
      </w:r>
      <w:r w:rsidR="00F85A9C" w:rsidRPr="000D7950">
        <w:rPr>
          <w:rFonts w:ascii="Times New Roman" w:hAnsi="Times New Roman" w:cs="Times New Roman"/>
          <w:sz w:val="28"/>
          <w:szCs w:val="28"/>
          <w:lang w:val="en-US"/>
        </w:rPr>
        <w:t>whether the non-complian</w:t>
      </w:r>
      <w:r w:rsidR="00D407DB">
        <w:rPr>
          <w:rFonts w:ascii="Times New Roman" w:hAnsi="Times New Roman" w:cs="Times New Roman"/>
          <w:sz w:val="28"/>
          <w:szCs w:val="28"/>
          <w:lang w:val="en-US"/>
        </w:rPr>
        <w:t>ce with service on the Minister</w:t>
      </w:r>
      <w:r w:rsidR="00F85A9C" w:rsidRPr="000D7950">
        <w:rPr>
          <w:rFonts w:ascii="Times New Roman" w:hAnsi="Times New Roman" w:cs="Times New Roman"/>
          <w:sz w:val="28"/>
          <w:szCs w:val="28"/>
          <w:lang w:val="en-US"/>
        </w:rPr>
        <w:t xml:space="preserve"> is fatal to the </w:t>
      </w:r>
      <w:r w:rsidR="00235BBA">
        <w:rPr>
          <w:rFonts w:ascii="Times New Roman" w:hAnsi="Times New Roman" w:cs="Times New Roman"/>
          <w:sz w:val="28"/>
          <w:szCs w:val="28"/>
          <w:lang w:val="en-US"/>
        </w:rPr>
        <w:t xml:space="preserve">main action. </w:t>
      </w:r>
      <w:r w:rsidR="00F422BA" w:rsidRPr="000D7950">
        <w:rPr>
          <w:rFonts w:ascii="Times New Roman" w:hAnsi="Times New Roman" w:cs="Times New Roman"/>
          <w:sz w:val="28"/>
          <w:szCs w:val="28"/>
          <w:lang w:val="en-US"/>
        </w:rPr>
        <w:t>To recap</w:t>
      </w:r>
      <w:r w:rsidR="00AA7967" w:rsidRPr="000D7950">
        <w:rPr>
          <w:rFonts w:ascii="Times New Roman" w:hAnsi="Times New Roman" w:cs="Times New Roman"/>
          <w:sz w:val="28"/>
          <w:szCs w:val="28"/>
          <w:lang w:val="en-US"/>
        </w:rPr>
        <w:t xml:space="preserve">, the arguments </w:t>
      </w:r>
      <w:r w:rsidR="00F422BA" w:rsidRPr="000D7950">
        <w:rPr>
          <w:rFonts w:ascii="Times New Roman" w:hAnsi="Times New Roman" w:cs="Times New Roman"/>
          <w:sz w:val="28"/>
          <w:szCs w:val="28"/>
          <w:lang w:val="en-US"/>
        </w:rPr>
        <w:t xml:space="preserve">supporting the reconsideration of the </w:t>
      </w:r>
      <w:proofErr w:type="spellStart"/>
      <w:r w:rsidR="005E032A">
        <w:rPr>
          <w:rFonts w:ascii="Times New Roman" w:hAnsi="Times New Roman" w:cs="Times New Roman"/>
          <w:i/>
          <w:sz w:val="28"/>
          <w:szCs w:val="28"/>
          <w:lang w:val="en-US"/>
        </w:rPr>
        <w:t>Molokw</w:t>
      </w:r>
      <w:r w:rsidR="00F422BA" w:rsidRPr="000D7950">
        <w:rPr>
          <w:rFonts w:ascii="Times New Roman" w:hAnsi="Times New Roman" w:cs="Times New Roman"/>
          <w:i/>
          <w:sz w:val="28"/>
          <w:szCs w:val="28"/>
          <w:lang w:val="en-US"/>
        </w:rPr>
        <w:t>ane</w:t>
      </w:r>
      <w:proofErr w:type="spellEnd"/>
      <w:r w:rsidR="00F422BA" w:rsidRPr="000D7950">
        <w:rPr>
          <w:rFonts w:ascii="Times New Roman" w:hAnsi="Times New Roman" w:cs="Times New Roman"/>
          <w:sz w:val="28"/>
          <w:szCs w:val="28"/>
          <w:lang w:val="en-US"/>
        </w:rPr>
        <w:t xml:space="preserve"> judgment were couched </w:t>
      </w:r>
      <w:r w:rsidR="00884B27" w:rsidRPr="000D7950">
        <w:rPr>
          <w:rFonts w:ascii="Times New Roman" w:hAnsi="Times New Roman" w:cs="Times New Roman"/>
          <w:sz w:val="28"/>
          <w:szCs w:val="28"/>
          <w:lang w:val="en-US"/>
        </w:rPr>
        <w:t xml:space="preserve">along the following confines: </w:t>
      </w:r>
      <w:r w:rsidR="00F422BA" w:rsidRPr="000D7950">
        <w:rPr>
          <w:rFonts w:ascii="Times New Roman" w:hAnsi="Times New Roman" w:cs="Times New Roman"/>
          <w:sz w:val="28"/>
          <w:szCs w:val="28"/>
          <w:lang w:val="en-US"/>
        </w:rPr>
        <w:t>t</w:t>
      </w:r>
      <w:r w:rsidR="00A5268C" w:rsidRPr="000D7950">
        <w:rPr>
          <w:rFonts w:ascii="Times New Roman" w:hAnsi="Times New Roman" w:cs="Times New Roman"/>
          <w:sz w:val="28"/>
          <w:szCs w:val="28"/>
          <w:lang w:val="en-US"/>
        </w:rPr>
        <w:t xml:space="preserve">he State Attorney is not a debtor as defined by the Prescription Act; it was never the intention of the Prescription Act that the </w:t>
      </w:r>
      <w:r w:rsidR="0024258D" w:rsidRPr="000D7950">
        <w:rPr>
          <w:rFonts w:ascii="Times New Roman" w:hAnsi="Times New Roman" w:cs="Times New Roman"/>
          <w:sz w:val="28"/>
          <w:szCs w:val="28"/>
          <w:lang w:val="en-US"/>
        </w:rPr>
        <w:t xml:space="preserve">mere </w:t>
      </w:r>
      <w:r w:rsidR="00112B82" w:rsidRPr="000D7950">
        <w:rPr>
          <w:rFonts w:ascii="Times New Roman" w:hAnsi="Times New Roman" w:cs="Times New Roman"/>
          <w:sz w:val="28"/>
          <w:szCs w:val="28"/>
          <w:lang w:val="en-US"/>
        </w:rPr>
        <w:t>‘</w:t>
      </w:r>
      <w:r w:rsidR="00E50359" w:rsidRPr="000D7950">
        <w:rPr>
          <w:rFonts w:ascii="Times New Roman" w:hAnsi="Times New Roman" w:cs="Times New Roman"/>
          <w:sz w:val="28"/>
          <w:szCs w:val="28"/>
          <w:lang w:val="en-US"/>
        </w:rPr>
        <w:t>knowledge</w:t>
      </w:r>
      <w:r w:rsidR="0024258D" w:rsidRPr="000D7950">
        <w:rPr>
          <w:rFonts w:ascii="Times New Roman" w:hAnsi="Times New Roman" w:cs="Times New Roman"/>
          <w:sz w:val="28"/>
          <w:szCs w:val="28"/>
          <w:lang w:val="en-US"/>
        </w:rPr>
        <w:t xml:space="preserve">’ </w:t>
      </w:r>
      <w:r w:rsidR="00E50359" w:rsidRPr="000D7950">
        <w:rPr>
          <w:rFonts w:ascii="Times New Roman" w:hAnsi="Times New Roman" w:cs="Times New Roman"/>
          <w:sz w:val="28"/>
          <w:szCs w:val="28"/>
          <w:lang w:val="en-US"/>
        </w:rPr>
        <w:t>of the debtor</w:t>
      </w:r>
      <w:r w:rsidR="0024258D" w:rsidRPr="000D7950">
        <w:rPr>
          <w:rFonts w:ascii="Times New Roman" w:hAnsi="Times New Roman" w:cs="Times New Roman"/>
          <w:sz w:val="28"/>
          <w:szCs w:val="28"/>
          <w:lang w:val="en-US"/>
        </w:rPr>
        <w:t xml:space="preserve"> regarding the institution o</w:t>
      </w:r>
      <w:r w:rsidR="00E50359" w:rsidRPr="000D7950">
        <w:rPr>
          <w:rFonts w:ascii="Times New Roman" w:hAnsi="Times New Roman" w:cs="Times New Roman"/>
          <w:sz w:val="28"/>
          <w:szCs w:val="28"/>
          <w:lang w:val="en-US"/>
        </w:rPr>
        <w:t xml:space="preserve">f the proceedings </w:t>
      </w:r>
      <w:r w:rsidR="0024258D" w:rsidRPr="000D7950">
        <w:rPr>
          <w:rFonts w:ascii="Times New Roman" w:hAnsi="Times New Roman" w:cs="Times New Roman"/>
          <w:sz w:val="28"/>
          <w:szCs w:val="28"/>
          <w:lang w:val="en-US"/>
        </w:rPr>
        <w:t>should be sufficient to</w:t>
      </w:r>
      <w:r w:rsidR="00BC72D4" w:rsidRPr="000D7950">
        <w:rPr>
          <w:rFonts w:ascii="Times New Roman" w:hAnsi="Times New Roman" w:cs="Times New Roman"/>
          <w:sz w:val="28"/>
          <w:szCs w:val="28"/>
          <w:lang w:val="en-US"/>
        </w:rPr>
        <w:t xml:space="preserve"> interrupt the running of prescr</w:t>
      </w:r>
      <w:r w:rsidR="0024258D" w:rsidRPr="000D7950">
        <w:rPr>
          <w:rFonts w:ascii="Times New Roman" w:hAnsi="Times New Roman" w:cs="Times New Roman"/>
          <w:sz w:val="28"/>
          <w:szCs w:val="28"/>
          <w:lang w:val="en-US"/>
        </w:rPr>
        <w:t xml:space="preserve">iption in circumstances where </w:t>
      </w:r>
      <w:r w:rsidR="005F3AA8" w:rsidRPr="000D7950">
        <w:rPr>
          <w:rFonts w:ascii="Times New Roman" w:hAnsi="Times New Roman" w:cs="Times New Roman"/>
          <w:sz w:val="28"/>
          <w:szCs w:val="28"/>
          <w:lang w:val="en-US"/>
        </w:rPr>
        <w:t xml:space="preserve">the summons </w:t>
      </w:r>
      <w:r w:rsidR="0024258D" w:rsidRPr="000D7950">
        <w:rPr>
          <w:rFonts w:ascii="Times New Roman" w:hAnsi="Times New Roman" w:cs="Times New Roman"/>
          <w:sz w:val="28"/>
          <w:szCs w:val="28"/>
          <w:lang w:val="en-US"/>
        </w:rPr>
        <w:t xml:space="preserve">was not served </w:t>
      </w:r>
      <w:r w:rsidR="005F3AA8" w:rsidRPr="000D7950">
        <w:rPr>
          <w:rFonts w:ascii="Times New Roman" w:hAnsi="Times New Roman" w:cs="Times New Roman"/>
          <w:sz w:val="28"/>
          <w:szCs w:val="28"/>
          <w:lang w:val="en-US"/>
        </w:rPr>
        <w:t>on him</w:t>
      </w:r>
      <w:r w:rsidR="00013A5F">
        <w:rPr>
          <w:rFonts w:ascii="Times New Roman" w:hAnsi="Times New Roman" w:cs="Times New Roman"/>
          <w:sz w:val="28"/>
          <w:szCs w:val="28"/>
          <w:lang w:val="en-US"/>
        </w:rPr>
        <w:t>;</w:t>
      </w:r>
      <w:r w:rsidR="0024258D" w:rsidRPr="000D7950">
        <w:rPr>
          <w:rFonts w:ascii="Times New Roman" w:hAnsi="Times New Roman" w:cs="Times New Roman"/>
          <w:sz w:val="28"/>
          <w:szCs w:val="28"/>
          <w:lang w:val="en-US"/>
        </w:rPr>
        <w:t xml:space="preserve"> </w:t>
      </w:r>
      <w:r w:rsidR="00971278" w:rsidRPr="000D7950">
        <w:rPr>
          <w:rFonts w:ascii="Times New Roman" w:hAnsi="Times New Roman" w:cs="Times New Roman"/>
          <w:sz w:val="28"/>
          <w:szCs w:val="28"/>
          <w:lang w:val="en-US"/>
        </w:rPr>
        <w:t>and</w:t>
      </w:r>
      <w:r w:rsidR="00F422BA" w:rsidRPr="000D7950">
        <w:rPr>
          <w:rFonts w:ascii="Times New Roman" w:hAnsi="Times New Roman" w:cs="Times New Roman"/>
          <w:sz w:val="28"/>
          <w:szCs w:val="28"/>
          <w:lang w:val="en-US"/>
        </w:rPr>
        <w:t xml:space="preserve"> </w:t>
      </w:r>
      <w:r w:rsidR="00754970" w:rsidRPr="000D7950">
        <w:rPr>
          <w:rFonts w:ascii="Times New Roman" w:hAnsi="Times New Roman" w:cs="Times New Roman"/>
          <w:sz w:val="28"/>
          <w:szCs w:val="28"/>
          <w:lang w:val="en-US"/>
        </w:rPr>
        <w:t xml:space="preserve">that </w:t>
      </w:r>
      <w:r w:rsidR="00F422BA" w:rsidRPr="000D7950">
        <w:rPr>
          <w:rFonts w:ascii="Times New Roman" w:hAnsi="Times New Roman" w:cs="Times New Roman"/>
          <w:sz w:val="28"/>
          <w:szCs w:val="28"/>
          <w:lang w:val="en-US"/>
        </w:rPr>
        <w:t xml:space="preserve">the </w:t>
      </w:r>
      <w:r w:rsidR="005F3AA8" w:rsidRPr="000D7950">
        <w:rPr>
          <w:rFonts w:ascii="Times New Roman" w:hAnsi="Times New Roman" w:cs="Times New Roman"/>
          <w:sz w:val="28"/>
          <w:szCs w:val="28"/>
          <w:lang w:val="en-US"/>
        </w:rPr>
        <w:t xml:space="preserve">finding in that regard </w:t>
      </w:r>
      <w:r w:rsidR="00112B82" w:rsidRPr="000D7950">
        <w:rPr>
          <w:rFonts w:ascii="Times New Roman" w:hAnsi="Times New Roman" w:cs="Times New Roman"/>
          <w:sz w:val="28"/>
          <w:szCs w:val="28"/>
          <w:lang w:val="en-US"/>
        </w:rPr>
        <w:t xml:space="preserve">in </w:t>
      </w:r>
      <w:proofErr w:type="spellStart"/>
      <w:r w:rsidR="005E032A">
        <w:rPr>
          <w:rFonts w:ascii="Times New Roman" w:hAnsi="Times New Roman" w:cs="Times New Roman"/>
          <w:i/>
          <w:sz w:val="28"/>
          <w:szCs w:val="28"/>
          <w:lang w:val="en-US"/>
        </w:rPr>
        <w:t>Molokw</w:t>
      </w:r>
      <w:r w:rsidR="00112B82" w:rsidRPr="000D7950">
        <w:rPr>
          <w:rFonts w:ascii="Times New Roman" w:hAnsi="Times New Roman" w:cs="Times New Roman"/>
          <w:i/>
          <w:sz w:val="28"/>
          <w:szCs w:val="28"/>
          <w:lang w:val="en-US"/>
        </w:rPr>
        <w:t>ane</w:t>
      </w:r>
      <w:proofErr w:type="spellEnd"/>
      <w:r w:rsidR="00112B82" w:rsidRPr="000D7950">
        <w:rPr>
          <w:rFonts w:ascii="Times New Roman" w:hAnsi="Times New Roman" w:cs="Times New Roman"/>
          <w:sz w:val="28"/>
          <w:szCs w:val="28"/>
          <w:lang w:val="en-US"/>
        </w:rPr>
        <w:t xml:space="preserve"> </w:t>
      </w:r>
      <w:r w:rsidR="00F422BA" w:rsidRPr="000D7950">
        <w:rPr>
          <w:rFonts w:ascii="Times New Roman" w:hAnsi="Times New Roman" w:cs="Times New Roman"/>
          <w:sz w:val="28"/>
          <w:szCs w:val="28"/>
          <w:lang w:val="en-US"/>
        </w:rPr>
        <w:t xml:space="preserve">was </w:t>
      </w:r>
      <w:r w:rsidR="00F422BA" w:rsidRPr="000D7950">
        <w:rPr>
          <w:rFonts w:ascii="Times New Roman" w:hAnsi="Times New Roman" w:cs="Times New Roman"/>
          <w:i/>
          <w:sz w:val="28"/>
          <w:szCs w:val="28"/>
          <w:lang w:val="en-US"/>
        </w:rPr>
        <w:t>obiter</w:t>
      </w:r>
      <w:r w:rsidR="00F422BA" w:rsidRPr="000D7950">
        <w:rPr>
          <w:rFonts w:ascii="Times New Roman" w:hAnsi="Times New Roman" w:cs="Times New Roman"/>
          <w:sz w:val="28"/>
          <w:szCs w:val="28"/>
          <w:lang w:val="en-US"/>
        </w:rPr>
        <w:t xml:space="preserve">. </w:t>
      </w:r>
    </w:p>
    <w:p w:rsidR="00FC0FDD" w:rsidRPr="000D7950" w:rsidRDefault="00FC0FDD" w:rsidP="00A613E7">
      <w:pPr>
        <w:jc w:val="both"/>
        <w:rPr>
          <w:rFonts w:ascii="Times New Roman" w:hAnsi="Times New Roman" w:cs="Times New Roman"/>
          <w:sz w:val="28"/>
          <w:szCs w:val="28"/>
          <w:lang w:val="en-US"/>
        </w:rPr>
      </w:pPr>
    </w:p>
    <w:p w:rsidR="0036176F" w:rsidRDefault="003253EE" w:rsidP="0036176F">
      <w:pPr>
        <w:spacing w:line="360" w:lineRule="auto"/>
        <w:jc w:val="both"/>
        <w:rPr>
          <w:rFonts w:ascii="Times New Roman" w:hAnsi="Times New Roman" w:cs="Times New Roman"/>
          <w:sz w:val="28"/>
          <w:szCs w:val="28"/>
          <w:lang w:val="en-US"/>
        </w:rPr>
      </w:pPr>
      <w:r w:rsidRPr="000D7950">
        <w:rPr>
          <w:rFonts w:ascii="Times New Roman" w:hAnsi="Times New Roman" w:cs="Times New Roman"/>
          <w:sz w:val="28"/>
          <w:szCs w:val="28"/>
          <w:lang w:val="en-US"/>
        </w:rPr>
        <w:t>[1</w:t>
      </w:r>
      <w:r w:rsidR="00D1512A">
        <w:rPr>
          <w:rFonts w:ascii="Times New Roman" w:hAnsi="Times New Roman" w:cs="Times New Roman"/>
          <w:sz w:val="28"/>
          <w:szCs w:val="28"/>
          <w:lang w:val="en-US"/>
        </w:rPr>
        <w:t>2</w:t>
      </w:r>
      <w:r w:rsidR="00AA7967" w:rsidRPr="000D7950">
        <w:rPr>
          <w:rFonts w:ascii="Times New Roman" w:hAnsi="Times New Roman" w:cs="Times New Roman"/>
          <w:sz w:val="28"/>
          <w:szCs w:val="28"/>
          <w:lang w:val="en-US"/>
        </w:rPr>
        <w:t>]</w:t>
      </w:r>
      <w:r w:rsidR="00AA7967" w:rsidRPr="000D7950">
        <w:rPr>
          <w:rFonts w:ascii="Times New Roman" w:hAnsi="Times New Roman" w:cs="Times New Roman"/>
          <w:sz w:val="28"/>
          <w:szCs w:val="28"/>
          <w:lang w:val="en-US"/>
        </w:rPr>
        <w:tab/>
      </w:r>
      <w:r w:rsidR="00013A5F">
        <w:rPr>
          <w:rFonts w:ascii="Times New Roman" w:hAnsi="Times New Roman" w:cs="Times New Roman"/>
          <w:sz w:val="28"/>
          <w:szCs w:val="28"/>
          <w:lang w:val="en-US"/>
        </w:rPr>
        <w:t>As already indicated above, it</w:t>
      </w:r>
      <w:r w:rsidR="00517274" w:rsidRPr="000D7950">
        <w:rPr>
          <w:rFonts w:ascii="Times New Roman" w:hAnsi="Times New Roman" w:cs="Times New Roman"/>
          <w:sz w:val="28"/>
          <w:szCs w:val="28"/>
          <w:lang w:val="en-US"/>
        </w:rPr>
        <w:t xml:space="preserve"> is common cause that the main issue in this appeal concerns the interpretation of s 2(2) of the State Liability Act.</w:t>
      </w:r>
      <w:r w:rsidR="00207659" w:rsidRPr="000D7950">
        <w:rPr>
          <w:rFonts w:ascii="Times New Roman" w:hAnsi="Times New Roman" w:cs="Times New Roman"/>
          <w:sz w:val="28"/>
          <w:szCs w:val="28"/>
          <w:lang w:val="en-US"/>
        </w:rPr>
        <w:t xml:space="preserve"> </w:t>
      </w:r>
      <w:r w:rsidR="00F92F8A" w:rsidRPr="000D7950">
        <w:rPr>
          <w:rFonts w:ascii="Times New Roman" w:hAnsi="Times New Roman" w:cs="Times New Roman"/>
          <w:sz w:val="28"/>
          <w:szCs w:val="28"/>
          <w:lang w:val="en-US"/>
        </w:rPr>
        <w:t xml:space="preserve">It is by now trite </w:t>
      </w:r>
      <w:r w:rsidR="00013A5F">
        <w:rPr>
          <w:rFonts w:ascii="Times New Roman" w:hAnsi="Times New Roman" w:cs="Times New Roman"/>
          <w:sz w:val="28"/>
          <w:szCs w:val="28"/>
          <w:lang w:val="en-US"/>
        </w:rPr>
        <w:t xml:space="preserve">that </w:t>
      </w:r>
      <w:r w:rsidR="000F600C" w:rsidRPr="000D7950">
        <w:rPr>
          <w:rFonts w:ascii="Times New Roman" w:hAnsi="Times New Roman" w:cs="Times New Roman"/>
          <w:sz w:val="28"/>
          <w:szCs w:val="28"/>
          <w:lang w:val="en-US"/>
        </w:rPr>
        <w:t>when a legislative provision is to be interpreted,</w:t>
      </w:r>
      <w:r w:rsidR="00013A5F">
        <w:rPr>
          <w:rFonts w:ascii="Times New Roman" w:hAnsi="Times New Roman" w:cs="Times New Roman"/>
          <w:sz w:val="28"/>
          <w:szCs w:val="28"/>
          <w:lang w:val="en-US"/>
        </w:rPr>
        <w:t xml:space="preserve"> </w:t>
      </w:r>
      <w:r w:rsidR="00207659" w:rsidRPr="000D7950">
        <w:rPr>
          <w:rFonts w:ascii="Times New Roman" w:hAnsi="Times New Roman" w:cs="Times New Roman"/>
          <w:sz w:val="28"/>
          <w:szCs w:val="28"/>
          <w:lang w:val="en-US"/>
        </w:rPr>
        <w:t xml:space="preserve">consideration should be </w:t>
      </w:r>
      <w:r w:rsidR="00207659" w:rsidRPr="000D7950">
        <w:rPr>
          <w:rFonts w:ascii="Times New Roman" w:hAnsi="Times New Roman" w:cs="Times New Roman"/>
          <w:sz w:val="28"/>
          <w:szCs w:val="28"/>
          <w:lang w:val="en-US"/>
        </w:rPr>
        <w:lastRenderedPageBreak/>
        <w:t>given to the language used in the light of the ordinary rules of grammar and syntax; the process of interpretation is objective, not subjective; and a sensible meaning should be preferred rather than an insensible one.</w:t>
      </w:r>
      <w:r w:rsidR="00207659" w:rsidRPr="000D7950" w:rsidDel="00794224">
        <w:rPr>
          <w:rStyle w:val="FootnoteReference"/>
          <w:rFonts w:ascii="Times New Roman" w:hAnsi="Times New Roman" w:cs="Times New Roman"/>
          <w:sz w:val="28"/>
          <w:szCs w:val="28"/>
          <w:lang w:val="en-US"/>
        </w:rPr>
        <w:footnoteReference w:id="4"/>
      </w:r>
      <w:r w:rsidR="00013A5F">
        <w:rPr>
          <w:rFonts w:ascii="Times New Roman" w:hAnsi="Times New Roman" w:cs="Times New Roman"/>
          <w:sz w:val="28"/>
          <w:szCs w:val="28"/>
          <w:lang w:val="en-US"/>
        </w:rPr>
        <w:t xml:space="preserve"> </w:t>
      </w:r>
      <w:r w:rsidR="0036176F" w:rsidRPr="000D7950">
        <w:rPr>
          <w:rFonts w:ascii="Times New Roman" w:hAnsi="Times New Roman" w:cs="Times New Roman"/>
          <w:sz w:val="28"/>
          <w:szCs w:val="28"/>
          <w:lang w:val="en-US"/>
        </w:rPr>
        <w:t>Furthermore, the Constitutional Court has made it clear that when interpreting legislation, the purpose of the impugned section must be fulfilled, and if it is fulfilled, a mechanical approach is to be deprecated.</w:t>
      </w:r>
      <w:r w:rsidR="0036176F" w:rsidRPr="000D7950">
        <w:rPr>
          <w:rStyle w:val="FootnoteReference"/>
          <w:rFonts w:ascii="Times New Roman" w:hAnsi="Times New Roman" w:cs="Times New Roman"/>
          <w:sz w:val="28"/>
          <w:szCs w:val="28"/>
          <w:lang w:val="en-US"/>
        </w:rPr>
        <w:footnoteReference w:id="5"/>
      </w:r>
    </w:p>
    <w:p w:rsidR="00013A5F" w:rsidRPr="000D7950" w:rsidRDefault="00013A5F" w:rsidP="00886D59">
      <w:pPr>
        <w:jc w:val="both"/>
        <w:rPr>
          <w:rFonts w:ascii="Times New Roman" w:hAnsi="Times New Roman" w:cs="Times New Roman"/>
          <w:sz w:val="28"/>
          <w:szCs w:val="28"/>
          <w:lang w:val="en-US"/>
        </w:rPr>
      </w:pPr>
    </w:p>
    <w:p w:rsidR="00EE5826" w:rsidRDefault="00D1512A" w:rsidP="003100E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[13</w:t>
      </w:r>
      <w:r w:rsidR="00EC74F5">
        <w:rPr>
          <w:rFonts w:ascii="Times New Roman" w:hAnsi="Times New Roman" w:cs="Times New Roman"/>
          <w:sz w:val="28"/>
          <w:szCs w:val="28"/>
          <w:lang w:val="en-US"/>
        </w:rPr>
        <w:t>]</w:t>
      </w:r>
      <w:r w:rsidR="00EC74F5">
        <w:rPr>
          <w:rFonts w:ascii="Times New Roman" w:hAnsi="Times New Roman" w:cs="Times New Roman"/>
          <w:sz w:val="28"/>
          <w:szCs w:val="28"/>
          <w:lang w:val="en-US"/>
        </w:rPr>
        <w:tab/>
      </w:r>
      <w:r w:rsidR="000F600C" w:rsidRPr="000D7950">
        <w:rPr>
          <w:rFonts w:ascii="Times New Roman" w:hAnsi="Times New Roman" w:cs="Times New Roman"/>
          <w:sz w:val="28"/>
          <w:szCs w:val="28"/>
          <w:lang w:val="en-US"/>
        </w:rPr>
        <w:t>Consistent with the above principles as propounded in various judgments, most recently, this Court rejected similar argu</w:t>
      </w:r>
      <w:r w:rsidR="00FD12C2">
        <w:rPr>
          <w:rFonts w:ascii="Times New Roman" w:hAnsi="Times New Roman" w:cs="Times New Roman"/>
          <w:sz w:val="28"/>
          <w:szCs w:val="28"/>
          <w:lang w:val="en-US"/>
        </w:rPr>
        <w:t>ments</w:t>
      </w:r>
      <w:r w:rsidR="00D407DB">
        <w:rPr>
          <w:rFonts w:ascii="Times New Roman" w:hAnsi="Times New Roman" w:cs="Times New Roman"/>
          <w:sz w:val="28"/>
          <w:szCs w:val="28"/>
          <w:lang w:val="en-US"/>
        </w:rPr>
        <w:t xml:space="preserve"> raised</w:t>
      </w:r>
      <w:r w:rsidR="0022527B">
        <w:rPr>
          <w:rFonts w:ascii="Times New Roman" w:hAnsi="Times New Roman" w:cs="Times New Roman"/>
          <w:sz w:val="28"/>
          <w:szCs w:val="28"/>
          <w:lang w:val="en-US"/>
        </w:rPr>
        <w:t xml:space="preserve"> by the Minister</w:t>
      </w:r>
      <w:r w:rsidR="00FD12C2">
        <w:rPr>
          <w:rFonts w:ascii="Times New Roman" w:hAnsi="Times New Roman" w:cs="Times New Roman"/>
          <w:sz w:val="28"/>
          <w:szCs w:val="28"/>
          <w:lang w:val="en-US"/>
        </w:rPr>
        <w:t xml:space="preserve"> in</w:t>
      </w:r>
      <w:r w:rsidR="000F600C" w:rsidRPr="000D7950">
        <w:rPr>
          <w:rFonts w:ascii="Times New Roman" w:hAnsi="Times New Roman" w:cs="Times New Roman"/>
          <w:sz w:val="28"/>
          <w:szCs w:val="28"/>
          <w:lang w:val="en-US"/>
        </w:rPr>
        <w:t xml:space="preserve"> </w:t>
      </w:r>
      <w:proofErr w:type="spellStart"/>
      <w:r w:rsidR="000F600C" w:rsidRPr="000D7950">
        <w:rPr>
          <w:rFonts w:ascii="Times New Roman" w:hAnsi="Times New Roman" w:cs="Times New Roman"/>
          <w:i/>
          <w:sz w:val="28"/>
          <w:szCs w:val="28"/>
          <w:lang w:val="en-US"/>
        </w:rPr>
        <w:t>Molok</w:t>
      </w:r>
      <w:r w:rsidR="005E032A">
        <w:rPr>
          <w:rFonts w:ascii="Times New Roman" w:hAnsi="Times New Roman" w:cs="Times New Roman"/>
          <w:i/>
          <w:sz w:val="28"/>
          <w:szCs w:val="28"/>
          <w:lang w:val="en-US"/>
        </w:rPr>
        <w:t>w</w:t>
      </w:r>
      <w:r w:rsidR="000F600C" w:rsidRPr="000D7950">
        <w:rPr>
          <w:rFonts w:ascii="Times New Roman" w:hAnsi="Times New Roman" w:cs="Times New Roman"/>
          <w:i/>
          <w:sz w:val="28"/>
          <w:szCs w:val="28"/>
          <w:lang w:val="en-US"/>
        </w:rPr>
        <w:t>ane</w:t>
      </w:r>
      <w:proofErr w:type="spellEnd"/>
      <w:r w:rsidR="00FD12C2" w:rsidRPr="00FD12C2">
        <w:rPr>
          <w:rFonts w:ascii="Times New Roman" w:hAnsi="Times New Roman" w:cs="Times New Roman"/>
          <w:sz w:val="28"/>
          <w:szCs w:val="28"/>
          <w:lang w:val="en-US"/>
        </w:rPr>
        <w:t>. It remarked</w:t>
      </w:r>
      <w:r w:rsidR="004F54AF" w:rsidRPr="000D7950">
        <w:rPr>
          <w:rFonts w:ascii="Times New Roman" w:hAnsi="Times New Roman" w:cs="Times New Roman"/>
          <w:sz w:val="28"/>
          <w:szCs w:val="28"/>
          <w:lang w:val="en-US"/>
        </w:rPr>
        <w:t>:</w:t>
      </w:r>
      <w:r w:rsidR="00E642AF" w:rsidRPr="000D7950">
        <w:rPr>
          <w:rFonts w:ascii="Times New Roman" w:hAnsi="Times New Roman" w:cs="Times New Roman"/>
          <w:sz w:val="28"/>
          <w:szCs w:val="28"/>
          <w:lang w:val="en-US"/>
        </w:rPr>
        <w:t xml:space="preserve"> </w:t>
      </w:r>
    </w:p>
    <w:p w:rsidR="002E40E4" w:rsidRPr="002E637E" w:rsidRDefault="002E40E4" w:rsidP="003100E3">
      <w:pPr>
        <w:spacing w:line="360" w:lineRule="auto"/>
        <w:jc w:val="both"/>
        <w:rPr>
          <w:rFonts w:ascii="Times New Roman" w:hAnsi="Times New Roman" w:cs="Times New Roman"/>
          <w:sz w:val="28"/>
          <w:szCs w:val="28"/>
          <w:lang w:val="en-US"/>
        </w:rPr>
      </w:pPr>
      <w:r w:rsidRPr="002E637E">
        <w:rPr>
          <w:rFonts w:ascii="Times New Roman" w:hAnsi="Times New Roman" w:cs="Times New Roman"/>
          <w:sz w:val="28"/>
          <w:szCs w:val="28"/>
          <w:lang w:val="en-US"/>
        </w:rPr>
        <w:t>‘</w:t>
      </w:r>
      <w:r w:rsidRPr="002E637E">
        <w:rPr>
          <w:rFonts w:ascii="Times New Roman" w:hAnsi="Times New Roman" w:cs="Times New Roman"/>
        </w:rPr>
        <w:t xml:space="preserve">This approach received the imprimatur of the Constitutional Court in </w:t>
      </w:r>
      <w:r w:rsidRPr="002E637E">
        <w:rPr>
          <w:rFonts w:ascii="Times New Roman" w:hAnsi="Times New Roman" w:cs="Times New Roman"/>
          <w:i/>
          <w:iCs/>
        </w:rPr>
        <w:t xml:space="preserve">African Christian Democratic Party </w:t>
      </w:r>
      <w:proofErr w:type="gramStart"/>
      <w:r w:rsidRPr="002E637E">
        <w:rPr>
          <w:rFonts w:ascii="Times New Roman" w:hAnsi="Times New Roman" w:cs="Times New Roman"/>
          <w:i/>
          <w:iCs/>
        </w:rPr>
        <w:t>v</w:t>
      </w:r>
      <w:proofErr w:type="gramEnd"/>
      <w:r w:rsidRPr="002E637E">
        <w:rPr>
          <w:rFonts w:ascii="Times New Roman" w:hAnsi="Times New Roman" w:cs="Times New Roman"/>
          <w:i/>
          <w:iCs/>
        </w:rPr>
        <w:t xml:space="preserve"> Electoral Commission</w:t>
      </w:r>
      <w:r w:rsidRPr="002E637E">
        <w:rPr>
          <w:rFonts w:ascii="Times New Roman" w:hAnsi="Times New Roman" w:cs="Times New Roman"/>
        </w:rPr>
        <w:t xml:space="preserve"> </w:t>
      </w:r>
      <w:r w:rsidRPr="002E637E">
        <w:rPr>
          <w:rFonts w:ascii="Times New Roman" w:hAnsi="Times New Roman" w:cs="Times New Roman"/>
          <w:i/>
          <w:iCs/>
        </w:rPr>
        <w:t xml:space="preserve">and Others </w:t>
      </w:r>
      <w:r w:rsidRPr="002E637E">
        <w:rPr>
          <w:rFonts w:ascii="Times New Roman" w:hAnsi="Times New Roman" w:cs="Times New Roman"/>
        </w:rPr>
        <w:t xml:space="preserve">[2006] ZACC 1; 2006 (3) SA 305 (CC); 2006 (5) BCLR 579 (CC) </w:t>
      </w:r>
      <w:r w:rsidRPr="002E637E">
        <w:rPr>
          <w:rFonts w:ascii="Times New Roman" w:hAnsi="Times New Roman" w:cs="Times New Roman"/>
          <w:shd w:val="clear" w:color="auto" w:fill="FFFFFF"/>
        </w:rPr>
        <w:t xml:space="preserve">para 25. There, it was held </w:t>
      </w:r>
      <w:r w:rsidRPr="002E637E">
        <w:rPr>
          <w:rFonts w:ascii="Times New Roman" w:hAnsi="Times New Roman" w:cs="Times New Roman"/>
        </w:rPr>
        <w:t xml:space="preserve">that the adoption of the purposive approach in our law has rendered obsolete all the previous attempts to determine whether a statutory provision is directory or peremptory on the basis of the wording and subject of the text of the provision. The question was thus ‘whether what the applicant did constituted compliance with the statutory provisions viewed </w:t>
      </w:r>
      <w:r w:rsidR="00FD12C2">
        <w:rPr>
          <w:rFonts w:ascii="Times New Roman" w:hAnsi="Times New Roman" w:cs="Times New Roman"/>
        </w:rPr>
        <w:t xml:space="preserve">in the light of their purpose’. </w:t>
      </w:r>
      <w:r w:rsidRPr="002E637E">
        <w:rPr>
          <w:rFonts w:ascii="Times New Roman" w:hAnsi="Times New Roman" w:cs="Times New Roman"/>
        </w:rPr>
        <w:t>A narrowly textual and legalistic approach is to be avoided.’</w:t>
      </w:r>
      <w:r w:rsidR="00FD12C2">
        <w:rPr>
          <w:rStyle w:val="FootnoteReference"/>
          <w:rFonts w:ascii="Times New Roman" w:hAnsi="Times New Roman" w:cs="Times New Roman"/>
        </w:rPr>
        <w:footnoteReference w:id="6"/>
      </w:r>
    </w:p>
    <w:p w:rsidR="002E40E4" w:rsidRDefault="002E40E4" w:rsidP="00886D59">
      <w:pPr>
        <w:jc w:val="both"/>
        <w:rPr>
          <w:rFonts w:ascii="Times New Roman" w:hAnsi="Times New Roman" w:cs="Times New Roman"/>
          <w:sz w:val="28"/>
          <w:szCs w:val="28"/>
          <w:highlight w:val="yellow"/>
          <w:lang w:val="en-US"/>
        </w:rPr>
      </w:pPr>
    </w:p>
    <w:p w:rsidR="00BB755A" w:rsidRPr="000D7950" w:rsidRDefault="00D1512A" w:rsidP="003100E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[14</w:t>
      </w:r>
      <w:r w:rsidR="002E40E4" w:rsidRPr="002E40E4">
        <w:rPr>
          <w:rFonts w:ascii="Times New Roman" w:hAnsi="Times New Roman" w:cs="Times New Roman"/>
          <w:sz w:val="28"/>
          <w:szCs w:val="28"/>
          <w:lang w:val="en-US"/>
        </w:rPr>
        <w:t>]</w:t>
      </w:r>
      <w:r w:rsidR="002E40E4" w:rsidRPr="002E40E4">
        <w:rPr>
          <w:rFonts w:ascii="Times New Roman" w:hAnsi="Times New Roman" w:cs="Times New Roman"/>
          <w:sz w:val="28"/>
          <w:szCs w:val="28"/>
          <w:lang w:val="en-US"/>
        </w:rPr>
        <w:tab/>
      </w:r>
      <w:r w:rsidR="00BB755A" w:rsidRPr="002E40E4">
        <w:rPr>
          <w:rFonts w:ascii="Times New Roman" w:hAnsi="Times New Roman" w:cs="Times New Roman"/>
          <w:sz w:val="28"/>
          <w:szCs w:val="28"/>
          <w:lang w:val="en-US"/>
        </w:rPr>
        <w:t>The court further held:</w:t>
      </w:r>
    </w:p>
    <w:p w:rsidR="00FD2724" w:rsidRPr="000D7950" w:rsidRDefault="007E3EDC" w:rsidP="003100E3">
      <w:pPr>
        <w:spacing w:line="360" w:lineRule="auto"/>
        <w:jc w:val="both"/>
        <w:rPr>
          <w:rFonts w:ascii="Times New Roman" w:hAnsi="Times New Roman" w:cs="Times New Roman"/>
          <w:lang w:val="en-US"/>
        </w:rPr>
      </w:pPr>
      <w:r w:rsidRPr="000D7950">
        <w:rPr>
          <w:rFonts w:ascii="Times New Roman" w:hAnsi="Times New Roman" w:cs="Times New Roman"/>
          <w:lang w:val="en-US"/>
        </w:rPr>
        <w:t>‘There is also the injunction in s 39(2) of the Constitution, which enjoins courts</w:t>
      </w:r>
      <w:r w:rsidR="00906274" w:rsidRPr="000D7950">
        <w:rPr>
          <w:rFonts w:ascii="Times New Roman" w:hAnsi="Times New Roman" w:cs="Times New Roman"/>
          <w:lang w:val="en-US"/>
        </w:rPr>
        <w:t>, when interpreting any legislation, to promote the spirit, purport and objects of the Bill of Rights. Thus, where a provision is reasonably capable of two interpretations, the one that better promotes the spirit, purport and objects of the Bill of Rights should be adopted. The right implicated in this case is that of access to courts, enshrined in s 34 of the Constitution</w:t>
      </w:r>
      <w:r w:rsidR="00315092" w:rsidRPr="000D7950">
        <w:rPr>
          <w:rFonts w:ascii="Times New Roman" w:hAnsi="Times New Roman" w:cs="Times New Roman"/>
          <w:lang w:val="en-US"/>
        </w:rPr>
        <w:t xml:space="preserve">. Consistent with this injunction, the interpretation of s 2(2) of the State Liability Act must be one which promotes this right, by </w:t>
      </w:r>
      <w:r w:rsidR="00315092" w:rsidRPr="000D7950">
        <w:rPr>
          <w:rFonts w:ascii="Times New Roman" w:hAnsi="Times New Roman" w:cs="Times New Roman"/>
          <w:lang w:val="en-US"/>
        </w:rPr>
        <w:lastRenderedPageBreak/>
        <w:t>considering the underlying purpose of the section, rather</w:t>
      </w:r>
      <w:r w:rsidR="000F4F54" w:rsidRPr="000D7950">
        <w:rPr>
          <w:rFonts w:ascii="Times New Roman" w:hAnsi="Times New Roman" w:cs="Times New Roman"/>
          <w:lang w:val="en-US"/>
        </w:rPr>
        <w:t xml:space="preserve"> than merely its text. This purposive approach is far more consistent with our constitutional values, than reading </w:t>
      </w:r>
      <w:r w:rsidR="00FD2724" w:rsidRPr="000D7950">
        <w:rPr>
          <w:rFonts w:ascii="Times New Roman" w:hAnsi="Times New Roman" w:cs="Times New Roman"/>
          <w:lang w:val="en-US"/>
        </w:rPr>
        <w:t>the section narrowly and strictly, as preferred by the appellants.’</w:t>
      </w:r>
      <w:r w:rsidR="009F6370" w:rsidRPr="000D7950">
        <w:rPr>
          <w:rStyle w:val="FootnoteReference"/>
          <w:rFonts w:ascii="Times New Roman" w:hAnsi="Times New Roman" w:cs="Times New Roman"/>
          <w:lang w:val="en-US"/>
        </w:rPr>
        <w:footnoteReference w:id="7"/>
      </w:r>
    </w:p>
    <w:p w:rsidR="00B40CC0" w:rsidRPr="000D7950" w:rsidRDefault="00884B27" w:rsidP="003100E3">
      <w:pPr>
        <w:spacing w:line="360" w:lineRule="auto"/>
        <w:jc w:val="both"/>
        <w:rPr>
          <w:rFonts w:ascii="Times New Roman" w:hAnsi="Times New Roman" w:cs="Times New Roman"/>
          <w:sz w:val="28"/>
          <w:szCs w:val="28"/>
          <w:lang w:val="en-US"/>
        </w:rPr>
      </w:pPr>
      <w:r w:rsidRPr="000D7950">
        <w:rPr>
          <w:rFonts w:ascii="Times New Roman" w:hAnsi="Times New Roman" w:cs="Times New Roman"/>
          <w:sz w:val="28"/>
          <w:szCs w:val="28"/>
          <w:lang w:val="en-US"/>
        </w:rPr>
        <w:t xml:space="preserve">The </w:t>
      </w:r>
      <w:r w:rsidR="0024258D" w:rsidRPr="000D7950">
        <w:rPr>
          <w:rFonts w:ascii="Times New Roman" w:hAnsi="Times New Roman" w:cs="Times New Roman"/>
          <w:sz w:val="28"/>
          <w:szCs w:val="28"/>
          <w:lang w:val="en-US"/>
        </w:rPr>
        <w:t>observation</w:t>
      </w:r>
      <w:r w:rsidR="00794224" w:rsidRPr="000D7950">
        <w:rPr>
          <w:rFonts w:ascii="Times New Roman" w:hAnsi="Times New Roman" w:cs="Times New Roman"/>
          <w:sz w:val="28"/>
          <w:szCs w:val="28"/>
          <w:lang w:val="en-US"/>
        </w:rPr>
        <w:t>s</w:t>
      </w:r>
      <w:r w:rsidR="0024258D" w:rsidRPr="000D7950">
        <w:rPr>
          <w:rFonts w:ascii="Times New Roman" w:hAnsi="Times New Roman" w:cs="Times New Roman"/>
          <w:sz w:val="28"/>
          <w:szCs w:val="28"/>
          <w:lang w:val="en-US"/>
        </w:rPr>
        <w:t xml:space="preserve"> expressed in the </w:t>
      </w:r>
      <w:r w:rsidR="00794224" w:rsidRPr="000D7950">
        <w:rPr>
          <w:rFonts w:ascii="Times New Roman" w:hAnsi="Times New Roman" w:cs="Times New Roman"/>
          <w:sz w:val="28"/>
          <w:szCs w:val="28"/>
          <w:lang w:val="en-US"/>
        </w:rPr>
        <w:t xml:space="preserve">preceding </w:t>
      </w:r>
      <w:r w:rsidR="0024258D" w:rsidRPr="000D7950">
        <w:rPr>
          <w:rFonts w:ascii="Times New Roman" w:hAnsi="Times New Roman" w:cs="Times New Roman"/>
          <w:sz w:val="28"/>
          <w:szCs w:val="28"/>
          <w:lang w:val="en-US"/>
        </w:rPr>
        <w:t>para</w:t>
      </w:r>
      <w:r w:rsidR="00163FA9" w:rsidRPr="000D7950">
        <w:rPr>
          <w:rFonts w:ascii="Times New Roman" w:hAnsi="Times New Roman" w:cs="Times New Roman"/>
          <w:sz w:val="28"/>
          <w:szCs w:val="28"/>
          <w:lang w:val="en-US"/>
        </w:rPr>
        <w:t>graph</w:t>
      </w:r>
      <w:r w:rsidR="0024258D" w:rsidRPr="000D7950">
        <w:rPr>
          <w:rFonts w:ascii="Times New Roman" w:hAnsi="Times New Roman" w:cs="Times New Roman"/>
          <w:sz w:val="28"/>
          <w:szCs w:val="28"/>
          <w:lang w:val="en-US"/>
        </w:rPr>
        <w:t>s accord</w:t>
      </w:r>
      <w:r w:rsidRPr="000D7950">
        <w:rPr>
          <w:rFonts w:ascii="Times New Roman" w:hAnsi="Times New Roman" w:cs="Times New Roman"/>
          <w:sz w:val="28"/>
          <w:szCs w:val="28"/>
          <w:lang w:val="en-US"/>
        </w:rPr>
        <w:t xml:space="preserve"> with the remarks</w:t>
      </w:r>
      <w:r w:rsidR="00013A5F">
        <w:rPr>
          <w:rFonts w:ascii="Times New Roman" w:hAnsi="Times New Roman" w:cs="Times New Roman"/>
          <w:sz w:val="28"/>
          <w:szCs w:val="28"/>
          <w:lang w:val="en-US"/>
        </w:rPr>
        <w:t xml:space="preserve"> quoted above </w:t>
      </w:r>
      <w:r w:rsidR="00971278" w:rsidRPr="000D7950">
        <w:rPr>
          <w:rFonts w:ascii="Times New Roman" w:hAnsi="Times New Roman" w:cs="Times New Roman"/>
          <w:sz w:val="28"/>
          <w:szCs w:val="28"/>
          <w:lang w:val="en-US"/>
        </w:rPr>
        <w:t>which were</w:t>
      </w:r>
      <w:r w:rsidRPr="000D7950">
        <w:rPr>
          <w:rFonts w:ascii="Times New Roman" w:hAnsi="Times New Roman" w:cs="Times New Roman"/>
          <w:sz w:val="28"/>
          <w:szCs w:val="28"/>
          <w:lang w:val="en-US"/>
        </w:rPr>
        <w:t xml:space="preserve"> made by the former Chief Justice </w:t>
      </w:r>
      <w:proofErr w:type="spellStart"/>
      <w:r w:rsidRPr="000D7950">
        <w:rPr>
          <w:rFonts w:ascii="Times New Roman" w:hAnsi="Times New Roman" w:cs="Times New Roman"/>
          <w:sz w:val="28"/>
          <w:szCs w:val="28"/>
          <w:lang w:val="en-US"/>
        </w:rPr>
        <w:t>Mogoeng</w:t>
      </w:r>
      <w:proofErr w:type="spellEnd"/>
      <w:r w:rsidRPr="000D7950">
        <w:rPr>
          <w:rFonts w:ascii="Times New Roman" w:hAnsi="Times New Roman" w:cs="Times New Roman"/>
          <w:sz w:val="28"/>
          <w:szCs w:val="28"/>
          <w:lang w:val="en-US"/>
        </w:rPr>
        <w:t xml:space="preserve"> in the </w:t>
      </w:r>
      <w:r w:rsidRPr="000D7950">
        <w:rPr>
          <w:rFonts w:ascii="Times New Roman" w:hAnsi="Times New Roman" w:cs="Times New Roman"/>
          <w:i/>
          <w:sz w:val="28"/>
          <w:szCs w:val="28"/>
          <w:lang w:val="en-US"/>
        </w:rPr>
        <w:t xml:space="preserve">City of Tshwane v </w:t>
      </w:r>
      <w:proofErr w:type="spellStart"/>
      <w:r w:rsidRPr="000D7950">
        <w:rPr>
          <w:rFonts w:ascii="Times New Roman" w:hAnsi="Times New Roman" w:cs="Times New Roman"/>
          <w:i/>
          <w:sz w:val="28"/>
          <w:szCs w:val="28"/>
          <w:lang w:val="en-US"/>
        </w:rPr>
        <w:t>Afriforum</w:t>
      </w:r>
      <w:proofErr w:type="spellEnd"/>
      <w:r w:rsidR="00971278" w:rsidRPr="000D7950">
        <w:rPr>
          <w:rFonts w:ascii="Times New Roman" w:hAnsi="Times New Roman" w:cs="Times New Roman"/>
          <w:i/>
          <w:sz w:val="28"/>
          <w:szCs w:val="28"/>
          <w:lang w:val="en-US"/>
        </w:rPr>
        <w:t>.</w:t>
      </w:r>
      <w:r w:rsidR="00AA7967" w:rsidRPr="000D7950">
        <w:rPr>
          <w:rFonts w:ascii="Times New Roman" w:hAnsi="Times New Roman" w:cs="Times New Roman"/>
          <w:sz w:val="28"/>
          <w:szCs w:val="28"/>
          <w:lang w:val="en-US"/>
        </w:rPr>
        <w:t xml:space="preserve"> </w:t>
      </w:r>
    </w:p>
    <w:p w:rsidR="002406E9" w:rsidRPr="000D7950" w:rsidRDefault="002406E9" w:rsidP="00886D59">
      <w:pPr>
        <w:jc w:val="both"/>
        <w:rPr>
          <w:rFonts w:ascii="Times New Roman" w:hAnsi="Times New Roman" w:cs="Times New Roman"/>
          <w:sz w:val="28"/>
          <w:szCs w:val="28"/>
          <w:lang w:val="en-US"/>
        </w:rPr>
      </w:pPr>
    </w:p>
    <w:p w:rsidR="004F54AF" w:rsidRPr="000D7950" w:rsidRDefault="002406E9" w:rsidP="003100E3">
      <w:pPr>
        <w:spacing w:line="360" w:lineRule="auto"/>
        <w:jc w:val="both"/>
        <w:rPr>
          <w:rFonts w:ascii="Times New Roman" w:hAnsi="Times New Roman" w:cs="Times New Roman"/>
          <w:sz w:val="28"/>
          <w:szCs w:val="28"/>
          <w:lang w:val="en-US"/>
        </w:rPr>
      </w:pPr>
      <w:r w:rsidRPr="000D7950">
        <w:rPr>
          <w:rFonts w:ascii="Times New Roman" w:hAnsi="Times New Roman" w:cs="Times New Roman"/>
          <w:sz w:val="28"/>
          <w:szCs w:val="28"/>
          <w:lang w:val="en-US"/>
        </w:rPr>
        <w:t>[</w:t>
      </w:r>
      <w:r w:rsidR="005C7517" w:rsidRPr="000D7950">
        <w:rPr>
          <w:rFonts w:ascii="Times New Roman" w:hAnsi="Times New Roman" w:cs="Times New Roman"/>
          <w:sz w:val="28"/>
          <w:szCs w:val="28"/>
          <w:lang w:val="en-US"/>
        </w:rPr>
        <w:t>1</w:t>
      </w:r>
      <w:r w:rsidR="00D1512A">
        <w:rPr>
          <w:rFonts w:ascii="Times New Roman" w:hAnsi="Times New Roman" w:cs="Times New Roman"/>
          <w:sz w:val="28"/>
          <w:szCs w:val="28"/>
          <w:lang w:val="en-US"/>
        </w:rPr>
        <w:t>5</w:t>
      </w:r>
      <w:r w:rsidR="00A04340" w:rsidRPr="000D7950">
        <w:rPr>
          <w:rFonts w:ascii="Times New Roman" w:hAnsi="Times New Roman" w:cs="Times New Roman"/>
          <w:sz w:val="28"/>
          <w:szCs w:val="28"/>
          <w:lang w:val="en-US"/>
        </w:rPr>
        <w:t>]</w:t>
      </w:r>
      <w:r w:rsidR="00A04340" w:rsidRPr="000D7950">
        <w:rPr>
          <w:rFonts w:ascii="Times New Roman" w:hAnsi="Times New Roman" w:cs="Times New Roman"/>
          <w:sz w:val="28"/>
          <w:szCs w:val="28"/>
          <w:lang w:val="en-US"/>
        </w:rPr>
        <w:tab/>
      </w:r>
      <w:r w:rsidR="00BB755A">
        <w:rPr>
          <w:rFonts w:ascii="Times New Roman" w:hAnsi="Times New Roman" w:cs="Times New Roman"/>
          <w:sz w:val="28"/>
          <w:szCs w:val="28"/>
          <w:lang w:val="en-US"/>
        </w:rPr>
        <w:t xml:space="preserve"> </w:t>
      </w:r>
      <w:proofErr w:type="spellStart"/>
      <w:r w:rsidR="004F54AF" w:rsidRPr="000D7950">
        <w:rPr>
          <w:rFonts w:ascii="Times New Roman" w:hAnsi="Times New Roman" w:cs="Times New Roman"/>
          <w:i/>
          <w:sz w:val="28"/>
          <w:szCs w:val="28"/>
          <w:lang w:val="en-US"/>
        </w:rPr>
        <w:t>Molok</w:t>
      </w:r>
      <w:r w:rsidR="005E032A">
        <w:rPr>
          <w:rFonts w:ascii="Times New Roman" w:hAnsi="Times New Roman" w:cs="Times New Roman"/>
          <w:i/>
          <w:sz w:val="28"/>
          <w:szCs w:val="28"/>
          <w:lang w:val="en-US"/>
        </w:rPr>
        <w:t>w</w:t>
      </w:r>
      <w:r w:rsidR="004F54AF" w:rsidRPr="000D7950">
        <w:rPr>
          <w:rFonts w:ascii="Times New Roman" w:hAnsi="Times New Roman" w:cs="Times New Roman"/>
          <w:i/>
          <w:sz w:val="28"/>
          <w:szCs w:val="28"/>
          <w:lang w:val="en-US"/>
        </w:rPr>
        <w:t>ane</w:t>
      </w:r>
      <w:proofErr w:type="spellEnd"/>
      <w:r w:rsidR="004F54AF" w:rsidRPr="000D7950">
        <w:rPr>
          <w:rFonts w:ascii="Times New Roman" w:hAnsi="Times New Roman" w:cs="Times New Roman"/>
          <w:sz w:val="28"/>
          <w:szCs w:val="28"/>
          <w:lang w:val="en-US"/>
        </w:rPr>
        <w:t xml:space="preserve"> is on all fours with the present appeal as it dealt with almost similar facts and exactly the same legal points raised in this matter. </w:t>
      </w:r>
      <w:r w:rsidR="00AA7967" w:rsidRPr="000D7950">
        <w:rPr>
          <w:rFonts w:ascii="Times New Roman" w:hAnsi="Times New Roman" w:cs="Times New Roman"/>
          <w:sz w:val="28"/>
          <w:szCs w:val="28"/>
          <w:lang w:val="en-US"/>
        </w:rPr>
        <w:t xml:space="preserve">Looking at the facts of </w:t>
      </w:r>
      <w:r w:rsidR="00235BBA">
        <w:rPr>
          <w:rFonts w:ascii="Times New Roman" w:hAnsi="Times New Roman" w:cs="Times New Roman"/>
          <w:sz w:val="28"/>
          <w:szCs w:val="28"/>
          <w:lang w:val="en-US"/>
        </w:rPr>
        <w:t xml:space="preserve">this appeal </w:t>
      </w:r>
      <w:r w:rsidR="00F422BA" w:rsidRPr="000D7950">
        <w:rPr>
          <w:rFonts w:ascii="Times New Roman" w:hAnsi="Times New Roman" w:cs="Times New Roman"/>
          <w:sz w:val="28"/>
          <w:szCs w:val="28"/>
          <w:lang w:val="en-US"/>
        </w:rPr>
        <w:t>from all angles, the</w:t>
      </w:r>
      <w:r w:rsidR="00C0754D" w:rsidRPr="000D7950">
        <w:rPr>
          <w:rFonts w:ascii="Times New Roman" w:hAnsi="Times New Roman" w:cs="Times New Roman"/>
          <w:sz w:val="28"/>
          <w:szCs w:val="28"/>
          <w:lang w:val="en-US"/>
        </w:rPr>
        <w:t>re is no doubt that the</w:t>
      </w:r>
      <w:r w:rsidR="00F422BA" w:rsidRPr="000D7950">
        <w:rPr>
          <w:rFonts w:ascii="Times New Roman" w:hAnsi="Times New Roman" w:cs="Times New Roman"/>
          <w:sz w:val="28"/>
          <w:szCs w:val="28"/>
          <w:lang w:val="en-US"/>
        </w:rPr>
        <w:t xml:space="preserve"> principles</w:t>
      </w:r>
      <w:r w:rsidR="00C0754D" w:rsidRPr="000D7950">
        <w:rPr>
          <w:rFonts w:ascii="Times New Roman" w:hAnsi="Times New Roman" w:cs="Times New Roman"/>
          <w:sz w:val="28"/>
          <w:szCs w:val="28"/>
          <w:lang w:val="en-US"/>
        </w:rPr>
        <w:t xml:space="preserve"> of interpretation</w:t>
      </w:r>
      <w:r w:rsidR="00F422BA" w:rsidRPr="000D7950">
        <w:rPr>
          <w:rFonts w:ascii="Times New Roman" w:hAnsi="Times New Roman" w:cs="Times New Roman"/>
          <w:sz w:val="28"/>
          <w:szCs w:val="28"/>
          <w:lang w:val="en-US"/>
        </w:rPr>
        <w:t xml:space="preserve"> that were dealt with in </w:t>
      </w:r>
      <w:proofErr w:type="spellStart"/>
      <w:r w:rsidR="005E032A">
        <w:rPr>
          <w:rFonts w:ascii="Times New Roman" w:hAnsi="Times New Roman" w:cs="Times New Roman"/>
          <w:i/>
          <w:sz w:val="28"/>
          <w:szCs w:val="28"/>
          <w:lang w:val="en-US"/>
        </w:rPr>
        <w:t>Molokw</w:t>
      </w:r>
      <w:r w:rsidR="00F422BA" w:rsidRPr="000D7950">
        <w:rPr>
          <w:rFonts w:ascii="Times New Roman" w:hAnsi="Times New Roman" w:cs="Times New Roman"/>
          <w:i/>
          <w:sz w:val="28"/>
          <w:szCs w:val="28"/>
          <w:lang w:val="en-US"/>
        </w:rPr>
        <w:t>ane</w:t>
      </w:r>
      <w:proofErr w:type="spellEnd"/>
      <w:r w:rsidR="00F422BA" w:rsidRPr="000D7950">
        <w:rPr>
          <w:rFonts w:ascii="Times New Roman" w:hAnsi="Times New Roman" w:cs="Times New Roman"/>
          <w:sz w:val="28"/>
          <w:szCs w:val="28"/>
          <w:lang w:val="en-US"/>
        </w:rPr>
        <w:t xml:space="preserve"> albeit with specific reference to s </w:t>
      </w:r>
      <w:r w:rsidR="00114D6D" w:rsidRPr="000D7950">
        <w:rPr>
          <w:rFonts w:ascii="Times New Roman" w:hAnsi="Times New Roman" w:cs="Times New Roman"/>
          <w:sz w:val="28"/>
          <w:szCs w:val="28"/>
          <w:lang w:val="en-US"/>
        </w:rPr>
        <w:t>2(</w:t>
      </w:r>
      <w:r w:rsidR="00F422BA" w:rsidRPr="000D7950">
        <w:rPr>
          <w:rFonts w:ascii="Times New Roman" w:hAnsi="Times New Roman" w:cs="Times New Roman"/>
          <w:sz w:val="28"/>
          <w:szCs w:val="28"/>
          <w:lang w:val="en-US"/>
        </w:rPr>
        <w:t>2</w:t>
      </w:r>
      <w:r w:rsidR="00114D6D" w:rsidRPr="000D7950">
        <w:rPr>
          <w:rFonts w:ascii="Times New Roman" w:hAnsi="Times New Roman" w:cs="Times New Roman"/>
          <w:sz w:val="28"/>
          <w:szCs w:val="28"/>
          <w:lang w:val="en-US"/>
        </w:rPr>
        <w:t>)</w:t>
      </w:r>
      <w:r w:rsidR="00F422BA" w:rsidRPr="000D7950">
        <w:rPr>
          <w:rFonts w:ascii="Times New Roman" w:hAnsi="Times New Roman" w:cs="Times New Roman"/>
          <w:i/>
          <w:sz w:val="28"/>
          <w:szCs w:val="28"/>
          <w:lang w:val="en-US"/>
        </w:rPr>
        <w:t>(b)</w:t>
      </w:r>
      <w:r w:rsidR="00C241C9">
        <w:rPr>
          <w:rFonts w:ascii="Times New Roman" w:hAnsi="Times New Roman" w:cs="Times New Roman"/>
          <w:sz w:val="28"/>
          <w:szCs w:val="28"/>
          <w:lang w:val="en-US"/>
        </w:rPr>
        <w:t xml:space="preserve"> </w:t>
      </w:r>
      <w:r w:rsidR="00F422BA" w:rsidRPr="000D7950">
        <w:rPr>
          <w:rFonts w:ascii="Times New Roman" w:hAnsi="Times New Roman" w:cs="Times New Roman"/>
          <w:sz w:val="28"/>
          <w:szCs w:val="28"/>
          <w:lang w:val="en-US"/>
        </w:rPr>
        <w:t>a</w:t>
      </w:r>
      <w:r w:rsidR="005C7517" w:rsidRPr="000D7950">
        <w:rPr>
          <w:rFonts w:ascii="Times New Roman" w:hAnsi="Times New Roman" w:cs="Times New Roman"/>
          <w:sz w:val="28"/>
          <w:szCs w:val="28"/>
          <w:lang w:val="en-US"/>
        </w:rPr>
        <w:t>pply</w:t>
      </w:r>
      <w:r w:rsidR="005E1EA9" w:rsidRPr="000D7950">
        <w:rPr>
          <w:rFonts w:ascii="Times New Roman" w:hAnsi="Times New Roman" w:cs="Times New Roman"/>
          <w:sz w:val="28"/>
          <w:szCs w:val="28"/>
          <w:lang w:val="en-US"/>
        </w:rPr>
        <w:t xml:space="preserve"> to the facts of this matter</w:t>
      </w:r>
      <w:r w:rsidR="005C7517" w:rsidRPr="000D7950">
        <w:rPr>
          <w:rFonts w:ascii="Times New Roman" w:hAnsi="Times New Roman" w:cs="Times New Roman"/>
          <w:sz w:val="28"/>
          <w:szCs w:val="28"/>
          <w:lang w:val="en-US"/>
        </w:rPr>
        <w:t>.</w:t>
      </w:r>
      <w:r w:rsidR="00AA7967" w:rsidRPr="000D7950">
        <w:rPr>
          <w:rFonts w:ascii="Times New Roman" w:hAnsi="Times New Roman" w:cs="Times New Roman"/>
          <w:sz w:val="28"/>
          <w:szCs w:val="28"/>
          <w:lang w:val="en-US"/>
        </w:rPr>
        <w:t xml:space="preserve"> In my view, the same purposive interpretative approach </w:t>
      </w:r>
      <w:r w:rsidR="0024258D" w:rsidRPr="000D7950">
        <w:rPr>
          <w:rFonts w:ascii="Times New Roman" w:hAnsi="Times New Roman" w:cs="Times New Roman"/>
          <w:sz w:val="28"/>
          <w:szCs w:val="28"/>
          <w:lang w:val="en-US"/>
        </w:rPr>
        <w:t xml:space="preserve">employed </w:t>
      </w:r>
      <w:r w:rsidR="007937DC">
        <w:rPr>
          <w:rFonts w:ascii="Times New Roman" w:hAnsi="Times New Roman" w:cs="Times New Roman"/>
          <w:sz w:val="28"/>
          <w:szCs w:val="28"/>
          <w:lang w:val="en-US"/>
        </w:rPr>
        <w:t>by this Court in</w:t>
      </w:r>
      <w:r w:rsidR="00AA7967" w:rsidRPr="000D7950">
        <w:rPr>
          <w:rFonts w:ascii="Times New Roman" w:hAnsi="Times New Roman" w:cs="Times New Roman"/>
          <w:sz w:val="28"/>
          <w:szCs w:val="28"/>
          <w:lang w:val="en-US"/>
        </w:rPr>
        <w:t xml:space="preserve"> </w:t>
      </w:r>
      <w:proofErr w:type="spellStart"/>
      <w:r w:rsidR="005E032A">
        <w:rPr>
          <w:rFonts w:ascii="Times New Roman" w:hAnsi="Times New Roman" w:cs="Times New Roman"/>
          <w:i/>
          <w:sz w:val="28"/>
          <w:szCs w:val="28"/>
          <w:lang w:val="en-US"/>
        </w:rPr>
        <w:t>Molokw</w:t>
      </w:r>
      <w:r w:rsidR="00AA7967" w:rsidRPr="000D7950">
        <w:rPr>
          <w:rFonts w:ascii="Times New Roman" w:hAnsi="Times New Roman" w:cs="Times New Roman"/>
          <w:i/>
          <w:sz w:val="28"/>
          <w:szCs w:val="28"/>
          <w:lang w:val="en-US"/>
        </w:rPr>
        <w:t>ane</w:t>
      </w:r>
      <w:proofErr w:type="spellEnd"/>
      <w:r w:rsidR="0024258D" w:rsidRPr="000D7950">
        <w:rPr>
          <w:rFonts w:ascii="Times New Roman" w:hAnsi="Times New Roman" w:cs="Times New Roman"/>
          <w:i/>
          <w:sz w:val="28"/>
          <w:szCs w:val="28"/>
          <w:lang w:val="en-US"/>
        </w:rPr>
        <w:t xml:space="preserve"> </w:t>
      </w:r>
      <w:r w:rsidR="00AA7967" w:rsidRPr="000D7950">
        <w:rPr>
          <w:rFonts w:ascii="Times New Roman" w:hAnsi="Times New Roman" w:cs="Times New Roman"/>
          <w:sz w:val="28"/>
          <w:szCs w:val="28"/>
          <w:lang w:val="en-US"/>
        </w:rPr>
        <w:t xml:space="preserve">applies </w:t>
      </w:r>
      <w:r w:rsidR="00AA7967" w:rsidRPr="000D7950">
        <w:rPr>
          <w:rFonts w:ascii="Times New Roman" w:hAnsi="Times New Roman" w:cs="Times New Roman"/>
          <w:i/>
          <w:sz w:val="28"/>
          <w:szCs w:val="28"/>
          <w:lang w:val="en-US"/>
        </w:rPr>
        <w:t xml:space="preserve">mutatis </w:t>
      </w:r>
      <w:proofErr w:type="spellStart"/>
      <w:r w:rsidR="00AA7967" w:rsidRPr="000D7950">
        <w:rPr>
          <w:rFonts w:ascii="Times New Roman" w:hAnsi="Times New Roman" w:cs="Times New Roman"/>
          <w:i/>
          <w:sz w:val="28"/>
          <w:szCs w:val="28"/>
          <w:lang w:val="en-US"/>
        </w:rPr>
        <w:t>mutandi</w:t>
      </w:r>
      <w:proofErr w:type="spellEnd"/>
      <w:r w:rsidR="00AA7967" w:rsidRPr="000D7950">
        <w:rPr>
          <w:rFonts w:ascii="Times New Roman" w:hAnsi="Times New Roman" w:cs="Times New Roman"/>
          <w:sz w:val="28"/>
          <w:szCs w:val="28"/>
          <w:lang w:val="en-US"/>
        </w:rPr>
        <w:t xml:space="preserve"> to s 2</w:t>
      </w:r>
      <w:r w:rsidR="00114D6D" w:rsidRPr="000D7950">
        <w:rPr>
          <w:rFonts w:ascii="Times New Roman" w:hAnsi="Times New Roman" w:cs="Times New Roman"/>
          <w:sz w:val="28"/>
          <w:szCs w:val="28"/>
          <w:lang w:val="en-US"/>
        </w:rPr>
        <w:t>(2)</w:t>
      </w:r>
      <w:r w:rsidR="00AA7967" w:rsidRPr="000D7950">
        <w:rPr>
          <w:rFonts w:ascii="Times New Roman" w:hAnsi="Times New Roman" w:cs="Times New Roman"/>
          <w:i/>
          <w:sz w:val="28"/>
          <w:szCs w:val="28"/>
          <w:lang w:val="en-US"/>
        </w:rPr>
        <w:t>(a)</w:t>
      </w:r>
      <w:r w:rsidR="00AA7967" w:rsidRPr="000D7950">
        <w:rPr>
          <w:rFonts w:ascii="Times New Roman" w:hAnsi="Times New Roman" w:cs="Times New Roman"/>
          <w:sz w:val="28"/>
          <w:szCs w:val="28"/>
          <w:lang w:val="en-US"/>
        </w:rPr>
        <w:t>.</w:t>
      </w:r>
      <w:r w:rsidRPr="000D7950">
        <w:rPr>
          <w:rFonts w:ascii="Times New Roman" w:hAnsi="Times New Roman" w:cs="Times New Roman"/>
          <w:sz w:val="28"/>
          <w:szCs w:val="28"/>
          <w:lang w:val="en-US"/>
        </w:rPr>
        <w:t xml:space="preserve"> </w:t>
      </w:r>
    </w:p>
    <w:p w:rsidR="004F54AF" w:rsidRPr="000D7950" w:rsidRDefault="004F54AF" w:rsidP="00886D59">
      <w:pPr>
        <w:jc w:val="both"/>
        <w:rPr>
          <w:rFonts w:ascii="Times New Roman" w:hAnsi="Times New Roman" w:cs="Times New Roman"/>
          <w:sz w:val="28"/>
          <w:szCs w:val="28"/>
          <w:lang w:val="en-US"/>
        </w:rPr>
      </w:pPr>
    </w:p>
    <w:p w:rsidR="00342B3E" w:rsidRPr="000D7950" w:rsidRDefault="00CF1C8E" w:rsidP="003100E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[16</w:t>
      </w:r>
      <w:r w:rsidR="00E423E5">
        <w:rPr>
          <w:rFonts w:ascii="Times New Roman" w:hAnsi="Times New Roman" w:cs="Times New Roman"/>
          <w:sz w:val="28"/>
          <w:szCs w:val="28"/>
          <w:lang w:val="en-US"/>
        </w:rPr>
        <w:t>]</w:t>
      </w:r>
      <w:r w:rsidR="00E423E5">
        <w:rPr>
          <w:rFonts w:ascii="Times New Roman" w:hAnsi="Times New Roman" w:cs="Times New Roman"/>
          <w:sz w:val="28"/>
          <w:szCs w:val="28"/>
          <w:lang w:val="en-US"/>
        </w:rPr>
        <w:tab/>
      </w:r>
      <w:r w:rsidR="002406E9" w:rsidRPr="000D7950">
        <w:rPr>
          <w:rFonts w:ascii="Times New Roman" w:hAnsi="Times New Roman" w:cs="Times New Roman"/>
          <w:sz w:val="28"/>
          <w:szCs w:val="28"/>
          <w:lang w:val="en-US"/>
        </w:rPr>
        <w:t xml:space="preserve">The argument that </w:t>
      </w:r>
      <w:proofErr w:type="spellStart"/>
      <w:r w:rsidR="005E032A">
        <w:rPr>
          <w:rFonts w:ascii="Times New Roman" w:hAnsi="Times New Roman" w:cs="Times New Roman"/>
          <w:i/>
          <w:sz w:val="28"/>
          <w:szCs w:val="28"/>
          <w:lang w:val="en-US"/>
        </w:rPr>
        <w:t>Molokw</w:t>
      </w:r>
      <w:r w:rsidR="002406E9" w:rsidRPr="000D7950">
        <w:rPr>
          <w:rFonts w:ascii="Times New Roman" w:hAnsi="Times New Roman" w:cs="Times New Roman"/>
          <w:i/>
          <w:sz w:val="28"/>
          <w:szCs w:val="28"/>
          <w:lang w:val="en-US"/>
        </w:rPr>
        <w:t>ane</w:t>
      </w:r>
      <w:proofErr w:type="spellEnd"/>
      <w:r w:rsidR="002406E9" w:rsidRPr="000D7950">
        <w:rPr>
          <w:rFonts w:ascii="Times New Roman" w:hAnsi="Times New Roman" w:cs="Times New Roman"/>
          <w:sz w:val="28"/>
          <w:szCs w:val="28"/>
          <w:lang w:val="en-US"/>
        </w:rPr>
        <w:t xml:space="preserve"> is </w:t>
      </w:r>
      <w:r w:rsidR="002406E9" w:rsidRPr="000D7950">
        <w:rPr>
          <w:rFonts w:ascii="Times New Roman" w:hAnsi="Times New Roman" w:cs="Times New Roman"/>
          <w:i/>
          <w:sz w:val="28"/>
          <w:szCs w:val="28"/>
          <w:lang w:val="en-US"/>
        </w:rPr>
        <w:t>obiter</w:t>
      </w:r>
      <w:r w:rsidR="007937DC">
        <w:rPr>
          <w:rFonts w:ascii="Times New Roman" w:hAnsi="Times New Roman" w:cs="Times New Roman"/>
          <w:sz w:val="28"/>
          <w:szCs w:val="28"/>
          <w:lang w:val="en-US"/>
        </w:rPr>
        <w:t xml:space="preserve"> </w:t>
      </w:r>
      <w:r w:rsidR="00013A5F">
        <w:rPr>
          <w:rFonts w:ascii="Times New Roman" w:hAnsi="Times New Roman" w:cs="Times New Roman"/>
          <w:sz w:val="28"/>
          <w:szCs w:val="28"/>
          <w:lang w:val="en-US"/>
        </w:rPr>
        <w:t>has no merit as well. It is</w:t>
      </w:r>
      <w:r w:rsidR="0024258D" w:rsidRPr="000D7950">
        <w:rPr>
          <w:rFonts w:ascii="Times New Roman" w:hAnsi="Times New Roman" w:cs="Times New Roman"/>
          <w:sz w:val="28"/>
          <w:szCs w:val="28"/>
          <w:lang w:val="en-US"/>
        </w:rPr>
        <w:t xml:space="preserve"> clear that</w:t>
      </w:r>
      <w:r w:rsidR="005C7517" w:rsidRPr="000D7950">
        <w:rPr>
          <w:rFonts w:ascii="Times New Roman" w:hAnsi="Times New Roman" w:cs="Times New Roman"/>
          <w:sz w:val="28"/>
          <w:szCs w:val="28"/>
          <w:lang w:val="en-US"/>
        </w:rPr>
        <w:t xml:space="preserve">, in </w:t>
      </w:r>
      <w:proofErr w:type="spellStart"/>
      <w:r w:rsidR="005E032A">
        <w:rPr>
          <w:rFonts w:ascii="Times New Roman" w:hAnsi="Times New Roman" w:cs="Times New Roman"/>
          <w:i/>
          <w:sz w:val="28"/>
          <w:szCs w:val="28"/>
          <w:lang w:val="en-US"/>
        </w:rPr>
        <w:t>Molokw</w:t>
      </w:r>
      <w:r w:rsidR="005C7517" w:rsidRPr="000D7950">
        <w:rPr>
          <w:rFonts w:ascii="Times New Roman" w:hAnsi="Times New Roman" w:cs="Times New Roman"/>
          <w:i/>
          <w:sz w:val="28"/>
          <w:szCs w:val="28"/>
          <w:lang w:val="en-US"/>
        </w:rPr>
        <w:t>ane</w:t>
      </w:r>
      <w:proofErr w:type="spellEnd"/>
      <w:r w:rsidR="005C7517" w:rsidRPr="000D7950">
        <w:rPr>
          <w:rFonts w:ascii="Times New Roman" w:hAnsi="Times New Roman" w:cs="Times New Roman"/>
          <w:sz w:val="28"/>
          <w:szCs w:val="28"/>
          <w:lang w:val="en-US"/>
        </w:rPr>
        <w:t>,</w:t>
      </w:r>
      <w:r w:rsidR="0024258D" w:rsidRPr="000D7950">
        <w:rPr>
          <w:rFonts w:ascii="Times New Roman" w:hAnsi="Times New Roman" w:cs="Times New Roman"/>
          <w:sz w:val="28"/>
          <w:szCs w:val="28"/>
          <w:lang w:val="en-US"/>
        </w:rPr>
        <w:t xml:space="preserve"> </w:t>
      </w:r>
      <w:r w:rsidR="002406E9" w:rsidRPr="000D7950">
        <w:rPr>
          <w:rFonts w:ascii="Times New Roman" w:hAnsi="Times New Roman" w:cs="Times New Roman"/>
          <w:sz w:val="28"/>
          <w:szCs w:val="28"/>
          <w:lang w:val="en-US"/>
        </w:rPr>
        <w:t>this Court dealt with t</w:t>
      </w:r>
      <w:r w:rsidR="00A85A88" w:rsidRPr="000D7950">
        <w:rPr>
          <w:rFonts w:ascii="Times New Roman" w:hAnsi="Times New Roman" w:cs="Times New Roman"/>
          <w:sz w:val="28"/>
          <w:szCs w:val="28"/>
          <w:lang w:val="en-US"/>
        </w:rPr>
        <w:t>he interpretation of s</w:t>
      </w:r>
      <w:r w:rsidR="00163FA9" w:rsidRPr="000D7950">
        <w:rPr>
          <w:rFonts w:ascii="Times New Roman" w:hAnsi="Times New Roman" w:cs="Times New Roman"/>
          <w:sz w:val="28"/>
          <w:szCs w:val="28"/>
          <w:lang w:val="en-US"/>
        </w:rPr>
        <w:t> </w:t>
      </w:r>
      <w:r w:rsidR="00A85A88" w:rsidRPr="000D7950">
        <w:rPr>
          <w:rFonts w:ascii="Times New Roman" w:hAnsi="Times New Roman" w:cs="Times New Roman"/>
          <w:sz w:val="28"/>
          <w:szCs w:val="28"/>
          <w:lang w:val="en-US"/>
        </w:rPr>
        <w:t>2(2)</w:t>
      </w:r>
      <w:r w:rsidR="002406E9" w:rsidRPr="000D7950">
        <w:rPr>
          <w:rFonts w:ascii="Times New Roman" w:hAnsi="Times New Roman" w:cs="Times New Roman"/>
          <w:sz w:val="28"/>
          <w:szCs w:val="28"/>
          <w:lang w:val="en-US"/>
        </w:rPr>
        <w:t xml:space="preserve"> as a whol</w:t>
      </w:r>
      <w:r w:rsidR="0024258D" w:rsidRPr="000D7950">
        <w:rPr>
          <w:rFonts w:ascii="Times New Roman" w:hAnsi="Times New Roman" w:cs="Times New Roman"/>
          <w:sz w:val="28"/>
          <w:szCs w:val="28"/>
          <w:lang w:val="en-US"/>
        </w:rPr>
        <w:t>e</w:t>
      </w:r>
      <w:r w:rsidR="005C7517" w:rsidRPr="000D7950">
        <w:rPr>
          <w:rFonts w:ascii="Times New Roman" w:hAnsi="Times New Roman" w:cs="Times New Roman"/>
          <w:sz w:val="28"/>
          <w:szCs w:val="28"/>
          <w:lang w:val="en-US"/>
        </w:rPr>
        <w:t>,</w:t>
      </w:r>
      <w:r w:rsidR="0024258D" w:rsidRPr="000D7950">
        <w:rPr>
          <w:rFonts w:ascii="Times New Roman" w:hAnsi="Times New Roman" w:cs="Times New Roman"/>
          <w:sz w:val="28"/>
          <w:szCs w:val="28"/>
          <w:lang w:val="en-US"/>
        </w:rPr>
        <w:t xml:space="preserve"> no</w:t>
      </w:r>
      <w:r w:rsidR="00C241C9">
        <w:rPr>
          <w:rFonts w:ascii="Times New Roman" w:hAnsi="Times New Roman" w:cs="Times New Roman"/>
          <w:sz w:val="28"/>
          <w:szCs w:val="28"/>
          <w:lang w:val="en-US"/>
        </w:rPr>
        <w:t>t disjunctively as counsel for the Minister</w:t>
      </w:r>
      <w:r w:rsidR="0024258D" w:rsidRPr="000D7950">
        <w:rPr>
          <w:rFonts w:ascii="Times New Roman" w:hAnsi="Times New Roman" w:cs="Times New Roman"/>
          <w:sz w:val="28"/>
          <w:szCs w:val="28"/>
          <w:lang w:val="en-US"/>
        </w:rPr>
        <w:t xml:space="preserve"> wants to portray.</w:t>
      </w:r>
      <w:r w:rsidR="00A85A88" w:rsidRPr="000D7950">
        <w:rPr>
          <w:rStyle w:val="FootnoteReference"/>
          <w:rFonts w:ascii="Times New Roman" w:hAnsi="Times New Roman" w:cs="Times New Roman"/>
          <w:sz w:val="28"/>
          <w:szCs w:val="28"/>
          <w:lang w:val="en-US"/>
        </w:rPr>
        <w:footnoteReference w:id="8"/>
      </w:r>
      <w:r w:rsidR="00A85A88" w:rsidRPr="000D7950">
        <w:rPr>
          <w:rFonts w:ascii="Times New Roman" w:hAnsi="Times New Roman" w:cs="Times New Roman"/>
          <w:sz w:val="28"/>
          <w:szCs w:val="28"/>
          <w:lang w:val="en-US"/>
        </w:rPr>
        <w:t xml:space="preserve"> </w:t>
      </w:r>
      <w:r w:rsidR="005E1EA9" w:rsidRPr="000D7950">
        <w:rPr>
          <w:rFonts w:ascii="Times New Roman" w:hAnsi="Times New Roman" w:cs="Times New Roman"/>
          <w:sz w:val="28"/>
          <w:szCs w:val="28"/>
          <w:lang w:val="en-US"/>
        </w:rPr>
        <w:t xml:space="preserve">This much is buttressed by the fact </w:t>
      </w:r>
      <w:r w:rsidR="00DB1699" w:rsidRPr="000D7950">
        <w:rPr>
          <w:rFonts w:ascii="Times New Roman" w:hAnsi="Times New Roman" w:cs="Times New Roman"/>
          <w:sz w:val="28"/>
          <w:szCs w:val="28"/>
          <w:lang w:val="en-US"/>
        </w:rPr>
        <w:t xml:space="preserve">that a simple syntax reading of </w:t>
      </w:r>
      <w:proofErr w:type="spellStart"/>
      <w:r w:rsidR="005E1EA9" w:rsidRPr="000D7950">
        <w:rPr>
          <w:rFonts w:ascii="Times New Roman" w:hAnsi="Times New Roman" w:cs="Times New Roman"/>
          <w:sz w:val="28"/>
          <w:szCs w:val="28"/>
          <w:lang w:val="en-US"/>
        </w:rPr>
        <w:t>ss</w:t>
      </w:r>
      <w:proofErr w:type="spellEnd"/>
      <w:r w:rsidR="005E1EA9" w:rsidRPr="000D7950">
        <w:rPr>
          <w:rFonts w:ascii="Times New Roman" w:hAnsi="Times New Roman" w:cs="Times New Roman"/>
          <w:sz w:val="28"/>
          <w:szCs w:val="28"/>
          <w:lang w:val="en-US"/>
        </w:rPr>
        <w:t xml:space="preserve"> 2(2)</w:t>
      </w:r>
      <w:r w:rsidR="005E1EA9" w:rsidRPr="000D7950">
        <w:rPr>
          <w:rFonts w:ascii="Times New Roman" w:hAnsi="Times New Roman" w:cs="Times New Roman"/>
          <w:i/>
          <w:sz w:val="28"/>
          <w:szCs w:val="28"/>
          <w:lang w:val="en-US"/>
        </w:rPr>
        <w:t>(a)</w:t>
      </w:r>
      <w:r w:rsidR="005E1EA9" w:rsidRPr="000D7950">
        <w:rPr>
          <w:rFonts w:ascii="Times New Roman" w:hAnsi="Times New Roman" w:cs="Times New Roman"/>
          <w:sz w:val="28"/>
          <w:szCs w:val="28"/>
          <w:lang w:val="en-US"/>
        </w:rPr>
        <w:t xml:space="preserve"> and 2(2)</w:t>
      </w:r>
      <w:r w:rsidR="005E1EA9" w:rsidRPr="000D7950">
        <w:rPr>
          <w:rFonts w:ascii="Times New Roman" w:hAnsi="Times New Roman" w:cs="Times New Roman"/>
          <w:i/>
          <w:sz w:val="28"/>
          <w:szCs w:val="28"/>
          <w:lang w:val="en-US"/>
        </w:rPr>
        <w:t>(b)</w:t>
      </w:r>
      <w:r w:rsidR="005E1EA9" w:rsidRPr="000D7950">
        <w:rPr>
          <w:rFonts w:ascii="Times New Roman" w:hAnsi="Times New Roman" w:cs="Times New Roman"/>
          <w:sz w:val="28"/>
          <w:szCs w:val="28"/>
          <w:lang w:val="en-US"/>
        </w:rPr>
        <w:t xml:space="preserve"> reveal</w:t>
      </w:r>
      <w:r w:rsidR="009D4CE3" w:rsidRPr="000D7950">
        <w:rPr>
          <w:rFonts w:ascii="Times New Roman" w:hAnsi="Times New Roman" w:cs="Times New Roman"/>
          <w:sz w:val="28"/>
          <w:szCs w:val="28"/>
          <w:lang w:val="en-US"/>
        </w:rPr>
        <w:t>s</w:t>
      </w:r>
      <w:r w:rsidR="005E1EA9" w:rsidRPr="000D7950">
        <w:rPr>
          <w:rFonts w:ascii="Times New Roman" w:hAnsi="Times New Roman" w:cs="Times New Roman"/>
          <w:sz w:val="28"/>
          <w:szCs w:val="28"/>
          <w:lang w:val="en-US"/>
        </w:rPr>
        <w:t xml:space="preserve"> that the subsections are conjoined </w:t>
      </w:r>
      <w:r w:rsidR="007937DC">
        <w:rPr>
          <w:rFonts w:ascii="Times New Roman" w:hAnsi="Times New Roman" w:cs="Times New Roman"/>
          <w:sz w:val="28"/>
          <w:szCs w:val="28"/>
          <w:lang w:val="en-US"/>
        </w:rPr>
        <w:t xml:space="preserve">twins as there is a word ‘and’ </w:t>
      </w:r>
      <w:r w:rsidR="005E1EA9" w:rsidRPr="000D7950">
        <w:rPr>
          <w:rFonts w:ascii="Times New Roman" w:hAnsi="Times New Roman" w:cs="Times New Roman"/>
          <w:sz w:val="28"/>
          <w:szCs w:val="28"/>
          <w:lang w:val="en-US"/>
        </w:rPr>
        <w:t xml:space="preserve">between them. </w:t>
      </w:r>
      <w:r w:rsidR="00A85A88" w:rsidRPr="000D7950">
        <w:rPr>
          <w:rFonts w:ascii="Times New Roman" w:hAnsi="Times New Roman" w:cs="Times New Roman"/>
          <w:sz w:val="28"/>
          <w:szCs w:val="28"/>
          <w:lang w:val="en-US"/>
        </w:rPr>
        <w:t>Para</w:t>
      </w:r>
      <w:r w:rsidR="00163FA9" w:rsidRPr="000D7950">
        <w:rPr>
          <w:rFonts w:ascii="Times New Roman" w:hAnsi="Times New Roman" w:cs="Times New Roman"/>
          <w:sz w:val="28"/>
          <w:szCs w:val="28"/>
          <w:lang w:val="en-US"/>
        </w:rPr>
        <w:t>graph</w:t>
      </w:r>
      <w:r w:rsidR="00A85A88" w:rsidRPr="000D7950">
        <w:rPr>
          <w:rFonts w:ascii="Times New Roman" w:hAnsi="Times New Roman" w:cs="Times New Roman"/>
          <w:sz w:val="28"/>
          <w:szCs w:val="28"/>
          <w:lang w:val="en-US"/>
        </w:rPr>
        <w:t xml:space="preserve"> 12</w:t>
      </w:r>
      <w:r w:rsidR="00114D6D" w:rsidRPr="000D7950">
        <w:rPr>
          <w:rFonts w:ascii="Times New Roman" w:hAnsi="Times New Roman" w:cs="Times New Roman"/>
          <w:sz w:val="28"/>
          <w:szCs w:val="28"/>
          <w:lang w:val="en-US"/>
        </w:rPr>
        <w:t xml:space="preserve"> of </w:t>
      </w:r>
      <w:proofErr w:type="spellStart"/>
      <w:r w:rsidR="00942AB8">
        <w:rPr>
          <w:rFonts w:ascii="Times New Roman" w:hAnsi="Times New Roman" w:cs="Times New Roman"/>
          <w:i/>
          <w:sz w:val="28"/>
          <w:szCs w:val="28"/>
          <w:lang w:val="en-US"/>
        </w:rPr>
        <w:t>Molokw</w:t>
      </w:r>
      <w:r w:rsidR="00114D6D" w:rsidRPr="000D7950">
        <w:rPr>
          <w:rFonts w:ascii="Times New Roman" w:hAnsi="Times New Roman" w:cs="Times New Roman"/>
          <w:i/>
          <w:sz w:val="28"/>
          <w:szCs w:val="28"/>
          <w:lang w:val="en-US"/>
        </w:rPr>
        <w:t>ane</w:t>
      </w:r>
      <w:proofErr w:type="spellEnd"/>
      <w:r w:rsidR="00A85A88" w:rsidRPr="000D7950">
        <w:rPr>
          <w:rFonts w:ascii="Times New Roman" w:hAnsi="Times New Roman" w:cs="Times New Roman"/>
          <w:sz w:val="28"/>
          <w:szCs w:val="28"/>
          <w:lang w:val="en-US"/>
        </w:rPr>
        <w:t xml:space="preserve"> is in</w:t>
      </w:r>
      <w:r w:rsidR="005E1EA9" w:rsidRPr="000D7950">
        <w:rPr>
          <w:rFonts w:ascii="Times New Roman" w:hAnsi="Times New Roman" w:cs="Times New Roman"/>
          <w:sz w:val="28"/>
          <w:szCs w:val="28"/>
          <w:lang w:val="en-US"/>
        </w:rPr>
        <w:t>s</w:t>
      </w:r>
      <w:r w:rsidR="00A85A88" w:rsidRPr="000D7950">
        <w:rPr>
          <w:rFonts w:ascii="Times New Roman" w:hAnsi="Times New Roman" w:cs="Times New Roman"/>
          <w:sz w:val="28"/>
          <w:szCs w:val="28"/>
          <w:lang w:val="en-US"/>
        </w:rPr>
        <w:t>tru</w:t>
      </w:r>
      <w:r w:rsidR="005E1EA9" w:rsidRPr="000D7950">
        <w:rPr>
          <w:rFonts w:ascii="Times New Roman" w:hAnsi="Times New Roman" w:cs="Times New Roman"/>
          <w:sz w:val="28"/>
          <w:szCs w:val="28"/>
          <w:lang w:val="en-US"/>
        </w:rPr>
        <w:t>ct</w:t>
      </w:r>
      <w:r w:rsidR="00A85A88" w:rsidRPr="000D7950">
        <w:rPr>
          <w:rFonts w:ascii="Times New Roman" w:hAnsi="Times New Roman" w:cs="Times New Roman"/>
          <w:sz w:val="28"/>
          <w:szCs w:val="28"/>
          <w:lang w:val="en-US"/>
        </w:rPr>
        <w:t xml:space="preserve">ive as the purpose of the </w:t>
      </w:r>
      <w:r w:rsidR="0024258D" w:rsidRPr="000D7950">
        <w:rPr>
          <w:rFonts w:ascii="Times New Roman" w:hAnsi="Times New Roman" w:cs="Times New Roman"/>
          <w:sz w:val="28"/>
          <w:szCs w:val="28"/>
          <w:lang w:val="en-US"/>
        </w:rPr>
        <w:t xml:space="preserve">whole s 2(2) was clearly spelled out therein. </w:t>
      </w:r>
      <w:r w:rsidR="00A85A88" w:rsidRPr="000D7950">
        <w:rPr>
          <w:rFonts w:ascii="Times New Roman" w:hAnsi="Times New Roman" w:cs="Times New Roman"/>
          <w:sz w:val="28"/>
          <w:szCs w:val="28"/>
          <w:lang w:val="en-US"/>
        </w:rPr>
        <w:t>I agree with the rema</w:t>
      </w:r>
      <w:r w:rsidR="00114D6D" w:rsidRPr="000D7950">
        <w:rPr>
          <w:rFonts w:ascii="Times New Roman" w:hAnsi="Times New Roman" w:cs="Times New Roman"/>
          <w:sz w:val="28"/>
          <w:szCs w:val="28"/>
          <w:lang w:val="en-US"/>
        </w:rPr>
        <w:t>r</w:t>
      </w:r>
      <w:r w:rsidR="00A85A88" w:rsidRPr="000D7950">
        <w:rPr>
          <w:rFonts w:ascii="Times New Roman" w:hAnsi="Times New Roman" w:cs="Times New Roman"/>
          <w:sz w:val="28"/>
          <w:szCs w:val="28"/>
          <w:lang w:val="en-US"/>
        </w:rPr>
        <w:t xml:space="preserve">ks </w:t>
      </w:r>
      <w:r w:rsidR="00114D6D" w:rsidRPr="000D7950">
        <w:rPr>
          <w:rFonts w:ascii="Times New Roman" w:hAnsi="Times New Roman" w:cs="Times New Roman"/>
          <w:sz w:val="28"/>
          <w:szCs w:val="28"/>
          <w:lang w:val="en-US"/>
        </w:rPr>
        <w:t xml:space="preserve">made </w:t>
      </w:r>
      <w:r w:rsidR="00342B3E" w:rsidRPr="000D7950">
        <w:rPr>
          <w:rFonts w:ascii="Times New Roman" w:hAnsi="Times New Roman" w:cs="Times New Roman"/>
          <w:sz w:val="28"/>
          <w:szCs w:val="28"/>
          <w:lang w:val="en-US"/>
        </w:rPr>
        <w:t xml:space="preserve">therein that </w:t>
      </w:r>
      <w:r w:rsidR="00A85A88" w:rsidRPr="000D7950">
        <w:rPr>
          <w:rFonts w:ascii="Times New Roman" w:hAnsi="Times New Roman" w:cs="Times New Roman"/>
          <w:sz w:val="28"/>
          <w:szCs w:val="28"/>
          <w:lang w:val="en-US"/>
        </w:rPr>
        <w:t xml:space="preserve">the </w:t>
      </w:r>
      <w:r w:rsidR="0024258D" w:rsidRPr="000D7950">
        <w:rPr>
          <w:rFonts w:ascii="Times New Roman" w:hAnsi="Times New Roman" w:cs="Times New Roman"/>
          <w:sz w:val="28"/>
          <w:szCs w:val="28"/>
          <w:lang w:val="en-US"/>
        </w:rPr>
        <w:t xml:space="preserve">question to be considered in interpreting this section is </w:t>
      </w:r>
      <w:r w:rsidR="00A85A88" w:rsidRPr="000D7950">
        <w:rPr>
          <w:rFonts w:ascii="Times New Roman" w:hAnsi="Times New Roman" w:cs="Times New Roman"/>
          <w:sz w:val="28"/>
          <w:szCs w:val="28"/>
          <w:lang w:val="en-US"/>
        </w:rPr>
        <w:t>not about how the knowledge was obtai</w:t>
      </w:r>
      <w:r w:rsidR="00114D6D" w:rsidRPr="000D7950">
        <w:rPr>
          <w:rFonts w:ascii="Times New Roman" w:hAnsi="Times New Roman" w:cs="Times New Roman"/>
          <w:sz w:val="28"/>
          <w:szCs w:val="28"/>
          <w:lang w:val="en-US"/>
        </w:rPr>
        <w:t>n</w:t>
      </w:r>
      <w:r w:rsidR="00A85A88" w:rsidRPr="000D7950">
        <w:rPr>
          <w:rFonts w:ascii="Times New Roman" w:hAnsi="Times New Roman" w:cs="Times New Roman"/>
          <w:sz w:val="28"/>
          <w:szCs w:val="28"/>
          <w:lang w:val="en-US"/>
        </w:rPr>
        <w:t>ed</w:t>
      </w:r>
      <w:r w:rsidR="00163FA9" w:rsidRPr="000D7950">
        <w:rPr>
          <w:rFonts w:ascii="Times New Roman" w:hAnsi="Times New Roman" w:cs="Times New Roman"/>
          <w:sz w:val="28"/>
          <w:szCs w:val="28"/>
          <w:lang w:val="en-US"/>
        </w:rPr>
        <w:t>, but whether knowledge of the action was obtained</w:t>
      </w:r>
      <w:r w:rsidR="00A85A88" w:rsidRPr="000D7950">
        <w:rPr>
          <w:rFonts w:ascii="Times New Roman" w:hAnsi="Times New Roman" w:cs="Times New Roman"/>
          <w:sz w:val="28"/>
          <w:szCs w:val="28"/>
          <w:lang w:val="en-US"/>
        </w:rPr>
        <w:t>.</w:t>
      </w:r>
      <w:r w:rsidR="00342B3E" w:rsidRPr="000D7950">
        <w:rPr>
          <w:rFonts w:ascii="Times New Roman" w:hAnsi="Times New Roman" w:cs="Times New Roman"/>
          <w:sz w:val="28"/>
          <w:szCs w:val="28"/>
          <w:lang w:val="en-US"/>
        </w:rPr>
        <w:t xml:space="preserve"> </w:t>
      </w:r>
    </w:p>
    <w:p w:rsidR="00342B3E" w:rsidRPr="000D7950" w:rsidRDefault="00342B3E" w:rsidP="00886D59">
      <w:pPr>
        <w:jc w:val="both"/>
        <w:rPr>
          <w:rFonts w:ascii="Times New Roman" w:hAnsi="Times New Roman" w:cs="Times New Roman"/>
          <w:sz w:val="28"/>
          <w:szCs w:val="28"/>
          <w:lang w:val="en-US"/>
        </w:rPr>
      </w:pPr>
    </w:p>
    <w:p w:rsidR="00F422BA" w:rsidRPr="000D7950" w:rsidRDefault="005C7517" w:rsidP="003100E3">
      <w:pPr>
        <w:spacing w:line="360" w:lineRule="auto"/>
        <w:jc w:val="both"/>
        <w:rPr>
          <w:rFonts w:ascii="Times New Roman" w:hAnsi="Times New Roman" w:cs="Times New Roman"/>
          <w:sz w:val="28"/>
          <w:szCs w:val="28"/>
          <w:lang w:val="en-US"/>
        </w:rPr>
      </w:pPr>
      <w:r w:rsidRPr="000D7950">
        <w:rPr>
          <w:rFonts w:ascii="Times New Roman" w:hAnsi="Times New Roman" w:cs="Times New Roman"/>
          <w:sz w:val="28"/>
          <w:szCs w:val="28"/>
          <w:lang w:val="en-US"/>
        </w:rPr>
        <w:lastRenderedPageBreak/>
        <w:t>[1</w:t>
      </w:r>
      <w:r w:rsidR="00CF1C8E">
        <w:rPr>
          <w:rFonts w:ascii="Times New Roman" w:hAnsi="Times New Roman" w:cs="Times New Roman"/>
          <w:sz w:val="28"/>
          <w:szCs w:val="28"/>
          <w:lang w:val="en-US"/>
        </w:rPr>
        <w:t>7</w:t>
      </w:r>
      <w:r w:rsidR="00342B3E" w:rsidRPr="000D7950">
        <w:rPr>
          <w:rFonts w:ascii="Times New Roman" w:hAnsi="Times New Roman" w:cs="Times New Roman"/>
          <w:sz w:val="28"/>
          <w:szCs w:val="28"/>
          <w:lang w:val="en-US"/>
        </w:rPr>
        <w:t>]</w:t>
      </w:r>
      <w:r w:rsidR="00DB1699" w:rsidRPr="000D7950">
        <w:rPr>
          <w:rFonts w:ascii="Times New Roman" w:hAnsi="Times New Roman" w:cs="Times New Roman"/>
          <w:sz w:val="28"/>
          <w:szCs w:val="28"/>
          <w:lang w:val="en-US"/>
        </w:rPr>
        <w:tab/>
      </w:r>
      <w:r w:rsidR="00013A5F">
        <w:rPr>
          <w:rFonts w:ascii="Times New Roman" w:hAnsi="Times New Roman" w:cs="Times New Roman"/>
          <w:sz w:val="28"/>
          <w:szCs w:val="28"/>
          <w:lang w:val="en-US"/>
        </w:rPr>
        <w:t>There is a further</w:t>
      </w:r>
      <w:r w:rsidRPr="000D7950">
        <w:rPr>
          <w:rFonts w:ascii="Times New Roman" w:hAnsi="Times New Roman" w:cs="Times New Roman"/>
          <w:sz w:val="28"/>
          <w:szCs w:val="28"/>
          <w:lang w:val="en-US"/>
        </w:rPr>
        <w:t xml:space="preserve"> reason why the approach suggested by the </w:t>
      </w:r>
      <w:r w:rsidR="007937DC">
        <w:rPr>
          <w:rFonts w:ascii="Times New Roman" w:hAnsi="Times New Roman" w:cs="Times New Roman"/>
          <w:sz w:val="28"/>
          <w:szCs w:val="28"/>
          <w:lang w:val="en-US"/>
        </w:rPr>
        <w:t xml:space="preserve">counsel representing the Minister </w:t>
      </w:r>
      <w:r w:rsidRPr="000D7950">
        <w:rPr>
          <w:rFonts w:ascii="Times New Roman" w:hAnsi="Times New Roman" w:cs="Times New Roman"/>
          <w:sz w:val="28"/>
          <w:szCs w:val="28"/>
          <w:lang w:val="en-US"/>
        </w:rPr>
        <w:t xml:space="preserve">is untenable. </w:t>
      </w:r>
      <w:r w:rsidR="00114D6D" w:rsidRPr="000D7950">
        <w:rPr>
          <w:rFonts w:ascii="Times New Roman" w:hAnsi="Times New Roman" w:cs="Times New Roman"/>
          <w:sz w:val="28"/>
          <w:szCs w:val="28"/>
          <w:lang w:val="en-US"/>
        </w:rPr>
        <w:t>Appl</w:t>
      </w:r>
      <w:r w:rsidR="0024258D" w:rsidRPr="000D7950">
        <w:rPr>
          <w:rFonts w:ascii="Times New Roman" w:hAnsi="Times New Roman" w:cs="Times New Roman"/>
          <w:sz w:val="28"/>
          <w:szCs w:val="28"/>
          <w:lang w:val="en-US"/>
        </w:rPr>
        <w:t>ying</w:t>
      </w:r>
      <w:r w:rsidR="00AA7967" w:rsidRPr="000D7950">
        <w:rPr>
          <w:rFonts w:ascii="Times New Roman" w:hAnsi="Times New Roman" w:cs="Times New Roman"/>
          <w:sz w:val="28"/>
          <w:szCs w:val="28"/>
          <w:lang w:val="en-US"/>
        </w:rPr>
        <w:t xml:space="preserve"> a</w:t>
      </w:r>
      <w:r w:rsidR="0024258D" w:rsidRPr="000D7950">
        <w:rPr>
          <w:rFonts w:ascii="Times New Roman" w:hAnsi="Times New Roman" w:cs="Times New Roman"/>
          <w:sz w:val="28"/>
          <w:szCs w:val="28"/>
          <w:lang w:val="en-US"/>
        </w:rPr>
        <w:t xml:space="preserve"> narrow</w:t>
      </w:r>
      <w:r w:rsidR="00F422BA" w:rsidRPr="000D7950">
        <w:rPr>
          <w:rFonts w:ascii="Times New Roman" w:hAnsi="Times New Roman" w:cs="Times New Roman"/>
          <w:sz w:val="28"/>
          <w:szCs w:val="28"/>
          <w:lang w:val="en-US"/>
        </w:rPr>
        <w:t xml:space="preserve"> approach</w:t>
      </w:r>
      <w:r w:rsidR="00163FA9" w:rsidRPr="000D7950">
        <w:rPr>
          <w:rFonts w:ascii="Times New Roman" w:hAnsi="Times New Roman" w:cs="Times New Roman"/>
          <w:sz w:val="28"/>
          <w:szCs w:val="28"/>
          <w:lang w:val="en-US"/>
        </w:rPr>
        <w:t>,</w:t>
      </w:r>
      <w:r w:rsidR="00AA7967" w:rsidRPr="000D7950">
        <w:rPr>
          <w:rFonts w:ascii="Times New Roman" w:hAnsi="Times New Roman" w:cs="Times New Roman"/>
          <w:sz w:val="28"/>
          <w:szCs w:val="28"/>
          <w:lang w:val="en-US"/>
        </w:rPr>
        <w:t xml:space="preserve"> </w:t>
      </w:r>
      <w:r w:rsidR="0024258D" w:rsidRPr="000D7950">
        <w:rPr>
          <w:rFonts w:ascii="Times New Roman" w:hAnsi="Times New Roman" w:cs="Times New Roman"/>
          <w:sz w:val="28"/>
          <w:szCs w:val="28"/>
          <w:lang w:val="en-US"/>
        </w:rPr>
        <w:t xml:space="preserve">as </w:t>
      </w:r>
      <w:r w:rsidR="00AA7967" w:rsidRPr="000D7950">
        <w:rPr>
          <w:rFonts w:ascii="Times New Roman" w:hAnsi="Times New Roman" w:cs="Times New Roman"/>
          <w:sz w:val="28"/>
          <w:szCs w:val="28"/>
          <w:lang w:val="en-US"/>
        </w:rPr>
        <w:t>sugg</w:t>
      </w:r>
      <w:r w:rsidR="007937DC">
        <w:rPr>
          <w:rFonts w:ascii="Times New Roman" w:hAnsi="Times New Roman" w:cs="Times New Roman"/>
          <w:sz w:val="28"/>
          <w:szCs w:val="28"/>
          <w:lang w:val="en-US"/>
        </w:rPr>
        <w:t>ested by him</w:t>
      </w:r>
      <w:r w:rsidR="00163FA9" w:rsidRPr="000D7950">
        <w:rPr>
          <w:rFonts w:ascii="Times New Roman" w:hAnsi="Times New Roman" w:cs="Times New Roman"/>
          <w:sz w:val="28"/>
          <w:szCs w:val="28"/>
          <w:lang w:val="en-US"/>
        </w:rPr>
        <w:t>,</w:t>
      </w:r>
      <w:r w:rsidR="00F422BA" w:rsidRPr="000D7950">
        <w:rPr>
          <w:rFonts w:ascii="Times New Roman" w:hAnsi="Times New Roman" w:cs="Times New Roman"/>
          <w:sz w:val="28"/>
          <w:szCs w:val="28"/>
          <w:lang w:val="en-US"/>
        </w:rPr>
        <w:t xml:space="preserve"> w</w:t>
      </w:r>
      <w:r w:rsidR="00114D6D" w:rsidRPr="000D7950">
        <w:rPr>
          <w:rFonts w:ascii="Times New Roman" w:hAnsi="Times New Roman" w:cs="Times New Roman"/>
          <w:sz w:val="28"/>
          <w:szCs w:val="28"/>
          <w:lang w:val="en-US"/>
        </w:rPr>
        <w:t>ill in my view</w:t>
      </w:r>
      <w:r w:rsidR="0024258D" w:rsidRPr="000D7950">
        <w:rPr>
          <w:rFonts w:ascii="Times New Roman" w:hAnsi="Times New Roman" w:cs="Times New Roman"/>
          <w:sz w:val="28"/>
          <w:szCs w:val="28"/>
          <w:lang w:val="en-US"/>
        </w:rPr>
        <w:t xml:space="preserve"> lead to </w:t>
      </w:r>
      <w:r w:rsidR="00C0754D" w:rsidRPr="000D7950">
        <w:rPr>
          <w:rFonts w:ascii="Times New Roman" w:hAnsi="Times New Roman" w:cs="Times New Roman"/>
          <w:sz w:val="28"/>
          <w:szCs w:val="28"/>
          <w:lang w:val="en-US"/>
        </w:rPr>
        <w:t>an</w:t>
      </w:r>
      <w:r w:rsidR="0024258D" w:rsidRPr="000D7950">
        <w:rPr>
          <w:rFonts w:ascii="Times New Roman" w:hAnsi="Times New Roman" w:cs="Times New Roman"/>
          <w:sz w:val="28"/>
          <w:szCs w:val="28"/>
          <w:lang w:val="en-US"/>
        </w:rPr>
        <w:t xml:space="preserve"> insensible </w:t>
      </w:r>
      <w:r w:rsidR="005E1EA9" w:rsidRPr="000D7950">
        <w:rPr>
          <w:rFonts w:ascii="Times New Roman" w:hAnsi="Times New Roman" w:cs="Times New Roman"/>
          <w:sz w:val="28"/>
          <w:szCs w:val="28"/>
          <w:lang w:val="en-US"/>
        </w:rPr>
        <w:t>conclusion</w:t>
      </w:r>
      <w:r w:rsidR="0024258D" w:rsidRPr="000D7950">
        <w:rPr>
          <w:rFonts w:ascii="Times New Roman" w:hAnsi="Times New Roman" w:cs="Times New Roman"/>
          <w:sz w:val="28"/>
          <w:szCs w:val="28"/>
          <w:lang w:val="en-US"/>
        </w:rPr>
        <w:t xml:space="preserve"> that the State Attorney’s office</w:t>
      </w:r>
      <w:r w:rsidR="00F422BA" w:rsidRPr="000D7950">
        <w:rPr>
          <w:rFonts w:ascii="Times New Roman" w:hAnsi="Times New Roman" w:cs="Times New Roman"/>
          <w:sz w:val="28"/>
          <w:szCs w:val="28"/>
          <w:lang w:val="en-US"/>
        </w:rPr>
        <w:t xml:space="preserve"> acted without </w:t>
      </w:r>
      <w:r w:rsidR="007937DC">
        <w:rPr>
          <w:rFonts w:ascii="Times New Roman" w:hAnsi="Times New Roman" w:cs="Times New Roman"/>
          <w:sz w:val="28"/>
          <w:szCs w:val="28"/>
          <w:lang w:val="en-US"/>
        </w:rPr>
        <w:t>the instruction of the Minister</w:t>
      </w:r>
      <w:r w:rsidR="00F422BA" w:rsidRPr="000D7950">
        <w:rPr>
          <w:rFonts w:ascii="Times New Roman" w:hAnsi="Times New Roman" w:cs="Times New Roman"/>
          <w:sz w:val="28"/>
          <w:szCs w:val="28"/>
          <w:lang w:val="en-US"/>
        </w:rPr>
        <w:t xml:space="preserve"> when it filed </w:t>
      </w:r>
      <w:r w:rsidR="00163FA9" w:rsidRPr="000D7950">
        <w:rPr>
          <w:rFonts w:ascii="Times New Roman" w:hAnsi="Times New Roman" w:cs="Times New Roman"/>
          <w:sz w:val="28"/>
          <w:szCs w:val="28"/>
          <w:lang w:val="en-US"/>
        </w:rPr>
        <w:t xml:space="preserve">the plea and subsequent amended </w:t>
      </w:r>
      <w:r w:rsidR="00013A5F">
        <w:rPr>
          <w:rFonts w:ascii="Times New Roman" w:hAnsi="Times New Roman" w:cs="Times New Roman"/>
          <w:sz w:val="28"/>
          <w:szCs w:val="28"/>
          <w:lang w:val="en-US"/>
        </w:rPr>
        <w:t>plea</w:t>
      </w:r>
      <w:r w:rsidR="007937DC">
        <w:rPr>
          <w:rFonts w:ascii="Times New Roman" w:hAnsi="Times New Roman" w:cs="Times New Roman"/>
          <w:sz w:val="28"/>
          <w:szCs w:val="28"/>
          <w:lang w:val="en-US"/>
        </w:rPr>
        <w:t xml:space="preserve"> on behalf of the Minister</w:t>
      </w:r>
      <w:r w:rsidR="00F422BA" w:rsidRPr="000D7950">
        <w:rPr>
          <w:rFonts w:ascii="Times New Roman" w:hAnsi="Times New Roman" w:cs="Times New Roman"/>
          <w:sz w:val="28"/>
          <w:szCs w:val="28"/>
          <w:lang w:val="en-US"/>
        </w:rPr>
        <w:t xml:space="preserve">. </w:t>
      </w:r>
      <w:r w:rsidR="007937DC">
        <w:rPr>
          <w:rFonts w:ascii="Times New Roman" w:hAnsi="Times New Roman" w:cs="Times New Roman"/>
          <w:sz w:val="28"/>
          <w:szCs w:val="28"/>
          <w:lang w:val="en-US"/>
        </w:rPr>
        <w:t>However,</w:t>
      </w:r>
      <w:r w:rsidR="00114D6D" w:rsidRPr="000D7950">
        <w:rPr>
          <w:rFonts w:ascii="Times New Roman" w:hAnsi="Times New Roman" w:cs="Times New Roman"/>
          <w:sz w:val="28"/>
          <w:szCs w:val="28"/>
          <w:lang w:val="en-US"/>
        </w:rPr>
        <w:t xml:space="preserve"> t</w:t>
      </w:r>
      <w:r w:rsidR="007937DC">
        <w:rPr>
          <w:rFonts w:ascii="Times New Roman" w:hAnsi="Times New Roman" w:cs="Times New Roman"/>
          <w:sz w:val="28"/>
          <w:szCs w:val="28"/>
          <w:lang w:val="en-US"/>
        </w:rPr>
        <w:t>he Minister’s</w:t>
      </w:r>
      <w:r w:rsidR="00C0416A" w:rsidRPr="000D7950">
        <w:rPr>
          <w:rFonts w:ascii="Times New Roman" w:hAnsi="Times New Roman" w:cs="Times New Roman"/>
          <w:sz w:val="28"/>
          <w:szCs w:val="28"/>
          <w:lang w:val="en-US"/>
        </w:rPr>
        <w:t xml:space="preserve"> counsel conceded</w:t>
      </w:r>
      <w:r w:rsidR="00114D6D" w:rsidRPr="000D7950">
        <w:rPr>
          <w:rFonts w:ascii="Times New Roman" w:hAnsi="Times New Roman" w:cs="Times New Roman"/>
          <w:sz w:val="28"/>
          <w:szCs w:val="28"/>
          <w:lang w:val="en-US"/>
        </w:rPr>
        <w:t xml:space="preserve"> from the bar</w:t>
      </w:r>
      <w:r w:rsidR="00C0416A" w:rsidRPr="000D7950">
        <w:rPr>
          <w:rFonts w:ascii="Times New Roman" w:hAnsi="Times New Roman" w:cs="Times New Roman"/>
          <w:sz w:val="28"/>
          <w:szCs w:val="28"/>
          <w:lang w:val="en-US"/>
        </w:rPr>
        <w:t xml:space="preserve"> that when </w:t>
      </w:r>
      <w:r w:rsidR="00AA323C" w:rsidRPr="000D7950">
        <w:rPr>
          <w:rFonts w:ascii="Times New Roman" w:hAnsi="Times New Roman" w:cs="Times New Roman"/>
          <w:sz w:val="28"/>
          <w:szCs w:val="28"/>
          <w:lang w:val="en-US"/>
        </w:rPr>
        <w:t>the State Attorn</w:t>
      </w:r>
      <w:r w:rsidR="007937DC">
        <w:rPr>
          <w:rFonts w:ascii="Times New Roman" w:hAnsi="Times New Roman" w:cs="Times New Roman"/>
          <w:sz w:val="28"/>
          <w:szCs w:val="28"/>
          <w:lang w:val="en-US"/>
        </w:rPr>
        <w:t>ey’s office filed the Minister’</w:t>
      </w:r>
      <w:r w:rsidR="00AA323C" w:rsidRPr="000D7950">
        <w:rPr>
          <w:rFonts w:ascii="Times New Roman" w:hAnsi="Times New Roman" w:cs="Times New Roman"/>
          <w:sz w:val="28"/>
          <w:szCs w:val="28"/>
          <w:lang w:val="en-US"/>
        </w:rPr>
        <w:t>s plea and subsequently the amended plea</w:t>
      </w:r>
      <w:r w:rsidR="00013A5F">
        <w:rPr>
          <w:rFonts w:ascii="Times New Roman" w:hAnsi="Times New Roman" w:cs="Times New Roman"/>
          <w:sz w:val="28"/>
          <w:szCs w:val="28"/>
          <w:lang w:val="en-US"/>
        </w:rPr>
        <w:t xml:space="preserve">, </w:t>
      </w:r>
      <w:r w:rsidR="00AA323C" w:rsidRPr="000D7950">
        <w:rPr>
          <w:rFonts w:ascii="Times New Roman" w:hAnsi="Times New Roman" w:cs="Times New Roman"/>
          <w:sz w:val="28"/>
          <w:szCs w:val="28"/>
          <w:lang w:val="en-US"/>
        </w:rPr>
        <w:t>it</w:t>
      </w:r>
      <w:r w:rsidR="00C0416A" w:rsidRPr="000D7950">
        <w:rPr>
          <w:rFonts w:ascii="Times New Roman" w:hAnsi="Times New Roman" w:cs="Times New Roman"/>
          <w:sz w:val="28"/>
          <w:szCs w:val="28"/>
          <w:lang w:val="en-US"/>
        </w:rPr>
        <w:t xml:space="preserve"> acted on the instruction</w:t>
      </w:r>
      <w:r w:rsidR="00AA323C" w:rsidRPr="000D7950">
        <w:rPr>
          <w:rFonts w:ascii="Times New Roman" w:hAnsi="Times New Roman" w:cs="Times New Roman"/>
          <w:sz w:val="28"/>
          <w:szCs w:val="28"/>
          <w:lang w:val="en-US"/>
        </w:rPr>
        <w:t>s</w:t>
      </w:r>
      <w:r w:rsidR="007937DC">
        <w:rPr>
          <w:rFonts w:ascii="Times New Roman" w:hAnsi="Times New Roman" w:cs="Times New Roman"/>
          <w:sz w:val="28"/>
          <w:szCs w:val="28"/>
          <w:lang w:val="en-US"/>
        </w:rPr>
        <w:t xml:space="preserve"> of the Minister</w:t>
      </w:r>
      <w:r w:rsidR="00114D6D" w:rsidRPr="000D7950">
        <w:rPr>
          <w:rFonts w:ascii="Times New Roman" w:hAnsi="Times New Roman" w:cs="Times New Roman"/>
          <w:sz w:val="28"/>
          <w:szCs w:val="28"/>
          <w:lang w:val="en-US"/>
        </w:rPr>
        <w:t>.</w:t>
      </w:r>
      <w:r w:rsidR="00C0416A" w:rsidRPr="000D7950">
        <w:rPr>
          <w:rFonts w:ascii="Times New Roman" w:hAnsi="Times New Roman" w:cs="Times New Roman"/>
          <w:sz w:val="28"/>
          <w:szCs w:val="28"/>
          <w:lang w:val="en-US"/>
        </w:rPr>
        <w:t xml:space="preserve"> </w:t>
      </w:r>
      <w:r w:rsidR="00114D6D" w:rsidRPr="000D7950">
        <w:rPr>
          <w:rFonts w:ascii="Times New Roman" w:hAnsi="Times New Roman" w:cs="Times New Roman"/>
          <w:sz w:val="28"/>
          <w:szCs w:val="28"/>
          <w:lang w:val="en-US"/>
        </w:rPr>
        <w:t>The concessio</w:t>
      </w:r>
      <w:r w:rsidR="007937DC">
        <w:rPr>
          <w:rFonts w:ascii="Times New Roman" w:hAnsi="Times New Roman" w:cs="Times New Roman"/>
          <w:sz w:val="28"/>
          <w:szCs w:val="28"/>
          <w:lang w:val="en-US"/>
        </w:rPr>
        <w:t xml:space="preserve">n therefore throws the Minister’s </w:t>
      </w:r>
      <w:r w:rsidR="00114D6D" w:rsidRPr="000D7950">
        <w:rPr>
          <w:rFonts w:ascii="Times New Roman" w:hAnsi="Times New Roman" w:cs="Times New Roman"/>
          <w:sz w:val="28"/>
          <w:szCs w:val="28"/>
          <w:lang w:val="en-US"/>
        </w:rPr>
        <w:t xml:space="preserve">approach completely out of balance. </w:t>
      </w:r>
    </w:p>
    <w:p w:rsidR="00F422BA" w:rsidRPr="000D7950" w:rsidRDefault="00F422BA" w:rsidP="00886D59">
      <w:pPr>
        <w:jc w:val="both"/>
        <w:rPr>
          <w:rFonts w:ascii="Times New Roman" w:hAnsi="Times New Roman" w:cs="Times New Roman"/>
          <w:sz w:val="28"/>
          <w:szCs w:val="28"/>
          <w:lang w:val="en-US"/>
        </w:rPr>
      </w:pPr>
    </w:p>
    <w:p w:rsidR="00422554" w:rsidRPr="000D7950" w:rsidRDefault="00F422BA" w:rsidP="003100E3">
      <w:pPr>
        <w:spacing w:line="360" w:lineRule="auto"/>
        <w:jc w:val="both"/>
        <w:rPr>
          <w:rFonts w:ascii="Times New Roman" w:hAnsi="Times New Roman" w:cs="Times New Roman"/>
          <w:sz w:val="28"/>
          <w:szCs w:val="28"/>
          <w:lang w:val="en-US"/>
        </w:rPr>
      </w:pPr>
      <w:r w:rsidRPr="000D7950">
        <w:rPr>
          <w:rFonts w:ascii="Times New Roman" w:hAnsi="Times New Roman" w:cs="Times New Roman"/>
          <w:sz w:val="28"/>
          <w:szCs w:val="28"/>
          <w:lang w:val="en-US"/>
        </w:rPr>
        <w:t>[</w:t>
      </w:r>
      <w:r w:rsidR="00CF1C8E">
        <w:rPr>
          <w:rFonts w:ascii="Times New Roman" w:hAnsi="Times New Roman" w:cs="Times New Roman"/>
          <w:sz w:val="28"/>
          <w:szCs w:val="28"/>
          <w:lang w:val="en-US"/>
        </w:rPr>
        <w:t>18</w:t>
      </w:r>
      <w:r w:rsidRPr="000D7950">
        <w:rPr>
          <w:rFonts w:ascii="Times New Roman" w:hAnsi="Times New Roman" w:cs="Times New Roman"/>
          <w:sz w:val="28"/>
          <w:szCs w:val="28"/>
          <w:lang w:val="en-US"/>
        </w:rPr>
        <w:t>]</w:t>
      </w:r>
      <w:r w:rsidR="00E2233A" w:rsidRPr="000D7950">
        <w:rPr>
          <w:rFonts w:ascii="Times New Roman" w:hAnsi="Times New Roman" w:cs="Times New Roman"/>
          <w:sz w:val="28"/>
          <w:szCs w:val="28"/>
          <w:lang w:val="en-US"/>
        </w:rPr>
        <w:tab/>
      </w:r>
      <w:r w:rsidR="0011180F" w:rsidRPr="000D7950">
        <w:rPr>
          <w:rFonts w:ascii="Times New Roman" w:hAnsi="Times New Roman" w:cs="Times New Roman"/>
          <w:sz w:val="28"/>
          <w:szCs w:val="28"/>
          <w:lang w:val="en-US"/>
        </w:rPr>
        <w:t xml:space="preserve">Apart from the fact that there </w:t>
      </w:r>
      <w:r w:rsidR="00C35E5D" w:rsidRPr="000D7950">
        <w:rPr>
          <w:rFonts w:ascii="Times New Roman" w:hAnsi="Times New Roman" w:cs="Times New Roman"/>
          <w:sz w:val="28"/>
          <w:szCs w:val="28"/>
          <w:lang w:val="en-US"/>
        </w:rPr>
        <w:t>was</w:t>
      </w:r>
      <w:r w:rsidR="007937DC">
        <w:rPr>
          <w:rFonts w:ascii="Times New Roman" w:hAnsi="Times New Roman" w:cs="Times New Roman"/>
          <w:sz w:val="28"/>
          <w:szCs w:val="28"/>
          <w:lang w:val="en-US"/>
        </w:rPr>
        <w:t xml:space="preserve"> no basis laid by the Minister</w:t>
      </w:r>
      <w:r w:rsidR="0011180F" w:rsidRPr="000D7950">
        <w:rPr>
          <w:rFonts w:ascii="Times New Roman" w:hAnsi="Times New Roman" w:cs="Times New Roman"/>
          <w:sz w:val="28"/>
          <w:szCs w:val="28"/>
          <w:lang w:val="en-US"/>
        </w:rPr>
        <w:t xml:space="preserve"> to demonstrate that the principles</w:t>
      </w:r>
      <w:r w:rsidR="0016504E" w:rsidRPr="000D7950">
        <w:rPr>
          <w:rFonts w:ascii="Times New Roman" w:hAnsi="Times New Roman" w:cs="Times New Roman"/>
          <w:sz w:val="28"/>
          <w:szCs w:val="28"/>
          <w:lang w:val="en-US"/>
        </w:rPr>
        <w:t xml:space="preserve"> </w:t>
      </w:r>
      <w:r w:rsidR="00C0754D" w:rsidRPr="000D7950">
        <w:rPr>
          <w:rFonts w:ascii="Times New Roman" w:hAnsi="Times New Roman" w:cs="Times New Roman"/>
          <w:sz w:val="28"/>
          <w:szCs w:val="28"/>
          <w:lang w:val="en-US"/>
        </w:rPr>
        <w:t>already pronounced</w:t>
      </w:r>
      <w:r w:rsidR="0016504E" w:rsidRPr="000D7950">
        <w:rPr>
          <w:rFonts w:ascii="Times New Roman" w:hAnsi="Times New Roman" w:cs="Times New Roman"/>
          <w:sz w:val="28"/>
          <w:szCs w:val="28"/>
          <w:lang w:val="en-US"/>
        </w:rPr>
        <w:t xml:space="preserve"> </w:t>
      </w:r>
      <w:proofErr w:type="gramStart"/>
      <w:r w:rsidR="0016504E" w:rsidRPr="000D7950">
        <w:rPr>
          <w:rFonts w:ascii="Times New Roman" w:hAnsi="Times New Roman" w:cs="Times New Roman"/>
          <w:sz w:val="28"/>
          <w:szCs w:val="28"/>
          <w:lang w:val="en-US"/>
        </w:rPr>
        <w:t xml:space="preserve">in  </w:t>
      </w:r>
      <w:proofErr w:type="spellStart"/>
      <w:r w:rsidR="00942AB8">
        <w:rPr>
          <w:rFonts w:ascii="Times New Roman" w:hAnsi="Times New Roman" w:cs="Times New Roman"/>
          <w:i/>
          <w:sz w:val="28"/>
          <w:szCs w:val="28"/>
          <w:lang w:val="en-US"/>
        </w:rPr>
        <w:t>Molokw</w:t>
      </w:r>
      <w:r w:rsidR="0016504E" w:rsidRPr="000D7950">
        <w:rPr>
          <w:rFonts w:ascii="Times New Roman" w:hAnsi="Times New Roman" w:cs="Times New Roman"/>
          <w:i/>
          <w:sz w:val="28"/>
          <w:szCs w:val="28"/>
          <w:lang w:val="en-US"/>
        </w:rPr>
        <w:t>ane</w:t>
      </w:r>
      <w:proofErr w:type="spellEnd"/>
      <w:proofErr w:type="gramEnd"/>
      <w:r w:rsidR="00664CB5" w:rsidRPr="000D7950">
        <w:rPr>
          <w:rFonts w:ascii="Times New Roman" w:hAnsi="Times New Roman" w:cs="Times New Roman"/>
          <w:sz w:val="28"/>
          <w:szCs w:val="28"/>
          <w:lang w:val="en-US"/>
        </w:rPr>
        <w:t xml:space="preserve"> are</w:t>
      </w:r>
      <w:r w:rsidRPr="000D7950">
        <w:rPr>
          <w:rFonts w:ascii="Times New Roman" w:hAnsi="Times New Roman" w:cs="Times New Roman"/>
          <w:sz w:val="28"/>
          <w:szCs w:val="28"/>
          <w:lang w:val="en-US"/>
        </w:rPr>
        <w:t xml:space="preserve"> clearly</w:t>
      </w:r>
      <w:r w:rsidR="00664CB5" w:rsidRPr="000D7950">
        <w:rPr>
          <w:rFonts w:ascii="Times New Roman" w:hAnsi="Times New Roman" w:cs="Times New Roman"/>
          <w:sz w:val="28"/>
          <w:szCs w:val="28"/>
          <w:lang w:val="en-US"/>
        </w:rPr>
        <w:t xml:space="preserve"> wrong, this C</w:t>
      </w:r>
      <w:r w:rsidR="0016504E" w:rsidRPr="000D7950">
        <w:rPr>
          <w:rFonts w:ascii="Times New Roman" w:hAnsi="Times New Roman" w:cs="Times New Roman"/>
          <w:sz w:val="28"/>
          <w:szCs w:val="28"/>
          <w:lang w:val="en-US"/>
        </w:rPr>
        <w:t xml:space="preserve">ourt is not </w:t>
      </w:r>
      <w:r w:rsidR="000D7950" w:rsidRPr="000D7950">
        <w:rPr>
          <w:rFonts w:ascii="Times New Roman" w:hAnsi="Times New Roman" w:cs="Times New Roman"/>
          <w:sz w:val="28"/>
          <w:szCs w:val="28"/>
          <w:lang w:val="en-US"/>
        </w:rPr>
        <w:t>persuaded by the submission that</w:t>
      </w:r>
      <w:r w:rsidRPr="000D7950">
        <w:rPr>
          <w:rFonts w:ascii="Times New Roman" w:hAnsi="Times New Roman" w:cs="Times New Roman"/>
          <w:sz w:val="28"/>
          <w:szCs w:val="28"/>
          <w:lang w:val="en-US"/>
        </w:rPr>
        <w:t xml:space="preserve"> the mere fact</w:t>
      </w:r>
      <w:r w:rsidR="000D7950" w:rsidRPr="000D7950">
        <w:rPr>
          <w:rFonts w:ascii="Times New Roman" w:hAnsi="Times New Roman" w:cs="Times New Roman"/>
          <w:sz w:val="28"/>
          <w:szCs w:val="28"/>
          <w:lang w:val="en-US"/>
        </w:rPr>
        <w:t xml:space="preserve"> that</w:t>
      </w:r>
      <w:r w:rsidRPr="000D7950">
        <w:rPr>
          <w:rFonts w:ascii="Times New Roman" w:hAnsi="Times New Roman" w:cs="Times New Roman"/>
          <w:sz w:val="28"/>
          <w:szCs w:val="28"/>
          <w:lang w:val="en-US"/>
        </w:rPr>
        <w:t xml:space="preserve"> the non-service relates to the </w:t>
      </w:r>
      <w:r w:rsidR="007937DC">
        <w:rPr>
          <w:rFonts w:ascii="Times New Roman" w:hAnsi="Times New Roman" w:cs="Times New Roman"/>
          <w:sz w:val="28"/>
          <w:szCs w:val="28"/>
          <w:lang w:val="en-US"/>
        </w:rPr>
        <w:t>Minister</w:t>
      </w:r>
      <w:r w:rsidR="00884B27" w:rsidRPr="000D7950">
        <w:rPr>
          <w:rFonts w:ascii="Times New Roman" w:hAnsi="Times New Roman" w:cs="Times New Roman"/>
          <w:sz w:val="28"/>
          <w:szCs w:val="28"/>
          <w:lang w:val="en-US"/>
        </w:rPr>
        <w:t xml:space="preserve"> changes the picture</w:t>
      </w:r>
      <w:r w:rsidR="008F3073" w:rsidRPr="000D7950">
        <w:rPr>
          <w:rFonts w:ascii="Times New Roman" w:hAnsi="Times New Roman" w:cs="Times New Roman"/>
          <w:sz w:val="28"/>
          <w:szCs w:val="28"/>
          <w:lang w:val="en-US"/>
        </w:rPr>
        <w:t>. The</w:t>
      </w:r>
      <w:r w:rsidR="00C35E5D" w:rsidRPr="000D7950">
        <w:rPr>
          <w:rFonts w:ascii="Times New Roman" w:hAnsi="Times New Roman" w:cs="Times New Roman"/>
          <w:sz w:val="28"/>
          <w:szCs w:val="28"/>
          <w:lang w:val="en-US"/>
        </w:rPr>
        <w:t xml:space="preserve"> </w:t>
      </w:r>
      <w:r w:rsidR="00884B27" w:rsidRPr="000D7950">
        <w:rPr>
          <w:rFonts w:ascii="Times New Roman" w:hAnsi="Times New Roman" w:cs="Times New Roman"/>
          <w:sz w:val="28"/>
          <w:szCs w:val="28"/>
          <w:lang w:val="en-US"/>
        </w:rPr>
        <w:t xml:space="preserve">particular </w:t>
      </w:r>
      <w:r w:rsidR="00C35E5D" w:rsidRPr="000D7950">
        <w:rPr>
          <w:rFonts w:ascii="Times New Roman" w:hAnsi="Times New Roman" w:cs="Times New Roman"/>
          <w:sz w:val="28"/>
          <w:szCs w:val="28"/>
          <w:lang w:val="en-US"/>
        </w:rPr>
        <w:t>fa</w:t>
      </w:r>
      <w:r w:rsidR="00664CB5" w:rsidRPr="000D7950">
        <w:rPr>
          <w:rFonts w:ascii="Times New Roman" w:hAnsi="Times New Roman" w:cs="Times New Roman"/>
          <w:sz w:val="28"/>
          <w:szCs w:val="28"/>
          <w:lang w:val="en-US"/>
        </w:rPr>
        <w:t>cts</w:t>
      </w:r>
      <w:r w:rsidR="00884B27" w:rsidRPr="000D7950">
        <w:rPr>
          <w:rFonts w:ascii="Times New Roman" w:hAnsi="Times New Roman" w:cs="Times New Roman"/>
          <w:sz w:val="28"/>
          <w:szCs w:val="28"/>
          <w:lang w:val="en-US"/>
        </w:rPr>
        <w:t xml:space="preserve"> and circumstances</w:t>
      </w:r>
      <w:r w:rsidR="00664CB5" w:rsidRPr="000D7950">
        <w:rPr>
          <w:rFonts w:ascii="Times New Roman" w:hAnsi="Times New Roman" w:cs="Times New Roman"/>
          <w:sz w:val="28"/>
          <w:szCs w:val="28"/>
          <w:lang w:val="en-US"/>
        </w:rPr>
        <w:t xml:space="preserve"> of this matter</w:t>
      </w:r>
      <w:r w:rsidR="008F3073" w:rsidRPr="000D7950">
        <w:rPr>
          <w:rFonts w:ascii="Times New Roman" w:hAnsi="Times New Roman" w:cs="Times New Roman"/>
          <w:sz w:val="28"/>
          <w:szCs w:val="28"/>
          <w:lang w:val="en-US"/>
        </w:rPr>
        <w:t xml:space="preserve"> are telling</w:t>
      </w:r>
      <w:r w:rsidR="00664CB5" w:rsidRPr="000D7950">
        <w:rPr>
          <w:rFonts w:ascii="Times New Roman" w:hAnsi="Times New Roman" w:cs="Times New Roman"/>
          <w:sz w:val="28"/>
          <w:szCs w:val="28"/>
          <w:lang w:val="en-US"/>
        </w:rPr>
        <w:t xml:space="preserve">, </w:t>
      </w:r>
      <w:r w:rsidR="00884B27" w:rsidRPr="000D7950">
        <w:rPr>
          <w:rFonts w:ascii="Times New Roman" w:hAnsi="Times New Roman" w:cs="Times New Roman"/>
          <w:sz w:val="28"/>
          <w:szCs w:val="28"/>
          <w:lang w:val="en-US"/>
        </w:rPr>
        <w:t>including the context within which the issues arose which are: th</w:t>
      </w:r>
      <w:r w:rsidR="00664CB5" w:rsidRPr="000D7950">
        <w:rPr>
          <w:rFonts w:ascii="Times New Roman" w:hAnsi="Times New Roman" w:cs="Times New Roman"/>
          <w:sz w:val="28"/>
          <w:szCs w:val="28"/>
          <w:lang w:val="en-US"/>
        </w:rPr>
        <w:t>e statutory</w:t>
      </w:r>
      <w:r w:rsidR="00C0416A" w:rsidRPr="000D7950">
        <w:rPr>
          <w:rFonts w:ascii="Times New Roman" w:hAnsi="Times New Roman" w:cs="Times New Roman"/>
          <w:sz w:val="28"/>
          <w:szCs w:val="28"/>
          <w:lang w:val="en-US"/>
        </w:rPr>
        <w:t xml:space="preserve"> notice</w:t>
      </w:r>
      <w:r w:rsidR="007937DC">
        <w:rPr>
          <w:rFonts w:ascii="Times New Roman" w:hAnsi="Times New Roman" w:cs="Times New Roman"/>
          <w:sz w:val="28"/>
          <w:szCs w:val="28"/>
          <w:lang w:val="en-US"/>
        </w:rPr>
        <w:t xml:space="preserve"> was served on the Minister</w:t>
      </w:r>
      <w:r w:rsidR="008F3073" w:rsidRPr="000D7950">
        <w:rPr>
          <w:rFonts w:ascii="Times New Roman" w:hAnsi="Times New Roman" w:cs="Times New Roman"/>
          <w:sz w:val="28"/>
          <w:szCs w:val="28"/>
          <w:lang w:val="en-US"/>
        </w:rPr>
        <w:t>;</w:t>
      </w:r>
      <w:r w:rsidR="00884B27" w:rsidRPr="000D7950">
        <w:rPr>
          <w:rFonts w:ascii="Times New Roman" w:hAnsi="Times New Roman" w:cs="Times New Roman"/>
          <w:sz w:val="28"/>
          <w:szCs w:val="28"/>
          <w:lang w:val="en-US"/>
        </w:rPr>
        <w:t xml:space="preserve"> t</w:t>
      </w:r>
      <w:r w:rsidR="007937DC">
        <w:rPr>
          <w:rFonts w:ascii="Times New Roman" w:hAnsi="Times New Roman" w:cs="Times New Roman"/>
          <w:sz w:val="28"/>
          <w:szCs w:val="28"/>
          <w:lang w:val="en-US"/>
        </w:rPr>
        <w:t>he Minister</w:t>
      </w:r>
      <w:r w:rsidR="00742D34" w:rsidRPr="000D7950">
        <w:rPr>
          <w:rFonts w:ascii="Times New Roman" w:hAnsi="Times New Roman" w:cs="Times New Roman"/>
          <w:sz w:val="28"/>
          <w:szCs w:val="28"/>
          <w:lang w:val="en-US"/>
        </w:rPr>
        <w:t xml:space="preserve"> gave instructions to the </w:t>
      </w:r>
      <w:r w:rsidR="007937DC">
        <w:rPr>
          <w:rFonts w:ascii="Times New Roman" w:hAnsi="Times New Roman" w:cs="Times New Roman"/>
          <w:sz w:val="28"/>
          <w:szCs w:val="28"/>
          <w:lang w:val="en-US"/>
        </w:rPr>
        <w:t>State A</w:t>
      </w:r>
      <w:r w:rsidR="008F3073" w:rsidRPr="000D7950">
        <w:rPr>
          <w:rFonts w:ascii="Times New Roman" w:hAnsi="Times New Roman" w:cs="Times New Roman"/>
          <w:sz w:val="28"/>
          <w:szCs w:val="28"/>
          <w:lang w:val="en-US"/>
        </w:rPr>
        <w:t>ttorney</w:t>
      </w:r>
      <w:r w:rsidR="0024258D" w:rsidRPr="000D7950">
        <w:rPr>
          <w:rFonts w:ascii="Times New Roman" w:hAnsi="Times New Roman" w:cs="Times New Roman"/>
          <w:sz w:val="28"/>
          <w:szCs w:val="28"/>
          <w:lang w:val="en-US"/>
        </w:rPr>
        <w:t xml:space="preserve">, an agent </w:t>
      </w:r>
      <w:r w:rsidR="008F3073" w:rsidRPr="000D7950">
        <w:rPr>
          <w:rFonts w:ascii="Times New Roman" w:hAnsi="Times New Roman" w:cs="Times New Roman"/>
          <w:sz w:val="28"/>
          <w:szCs w:val="28"/>
          <w:lang w:val="en-US"/>
        </w:rPr>
        <w:t>acting on his</w:t>
      </w:r>
      <w:r w:rsidR="00055C84" w:rsidRPr="000D7950">
        <w:rPr>
          <w:rFonts w:ascii="Times New Roman" w:hAnsi="Times New Roman" w:cs="Times New Roman"/>
          <w:sz w:val="28"/>
          <w:szCs w:val="28"/>
          <w:lang w:val="en-US"/>
        </w:rPr>
        <w:t xml:space="preserve"> behal</w:t>
      </w:r>
      <w:r w:rsidR="004A49E4" w:rsidRPr="000D7950">
        <w:rPr>
          <w:rFonts w:ascii="Times New Roman" w:hAnsi="Times New Roman" w:cs="Times New Roman"/>
          <w:sz w:val="28"/>
          <w:szCs w:val="28"/>
          <w:lang w:val="en-US"/>
        </w:rPr>
        <w:t xml:space="preserve">f, </w:t>
      </w:r>
      <w:r w:rsidR="00664CB5" w:rsidRPr="000D7950">
        <w:rPr>
          <w:rFonts w:ascii="Times New Roman" w:hAnsi="Times New Roman" w:cs="Times New Roman"/>
          <w:sz w:val="28"/>
          <w:szCs w:val="28"/>
          <w:lang w:val="en-US"/>
        </w:rPr>
        <w:t>to defend the matter by filing</w:t>
      </w:r>
      <w:r w:rsidR="004A49E4" w:rsidRPr="000D7950">
        <w:rPr>
          <w:rFonts w:ascii="Times New Roman" w:hAnsi="Times New Roman" w:cs="Times New Roman"/>
          <w:sz w:val="28"/>
          <w:szCs w:val="28"/>
          <w:lang w:val="en-US"/>
        </w:rPr>
        <w:t xml:space="preserve"> a notice to defend</w:t>
      </w:r>
      <w:r w:rsidR="00C0416A" w:rsidRPr="000D7950">
        <w:rPr>
          <w:rFonts w:ascii="Times New Roman" w:hAnsi="Times New Roman" w:cs="Times New Roman"/>
          <w:sz w:val="28"/>
          <w:szCs w:val="28"/>
          <w:lang w:val="en-US"/>
        </w:rPr>
        <w:t>;</w:t>
      </w:r>
      <w:r w:rsidR="008F3073" w:rsidRPr="000D7950">
        <w:rPr>
          <w:rFonts w:ascii="Times New Roman" w:hAnsi="Times New Roman" w:cs="Times New Roman"/>
          <w:sz w:val="28"/>
          <w:szCs w:val="28"/>
          <w:lang w:val="en-US"/>
        </w:rPr>
        <w:t xml:space="preserve"> </w:t>
      </w:r>
      <w:r w:rsidR="00884B27" w:rsidRPr="000D7950">
        <w:rPr>
          <w:rFonts w:ascii="Times New Roman" w:hAnsi="Times New Roman" w:cs="Times New Roman"/>
          <w:sz w:val="28"/>
          <w:szCs w:val="28"/>
          <w:lang w:val="en-US"/>
        </w:rPr>
        <w:t>t</w:t>
      </w:r>
      <w:r w:rsidR="007937DC">
        <w:rPr>
          <w:rFonts w:ascii="Times New Roman" w:hAnsi="Times New Roman" w:cs="Times New Roman"/>
          <w:sz w:val="28"/>
          <w:szCs w:val="28"/>
          <w:lang w:val="en-US"/>
        </w:rPr>
        <w:t>he Minister</w:t>
      </w:r>
      <w:r w:rsidR="00E23D0E" w:rsidRPr="000D7950">
        <w:rPr>
          <w:rFonts w:ascii="Times New Roman" w:hAnsi="Times New Roman" w:cs="Times New Roman"/>
          <w:sz w:val="28"/>
          <w:szCs w:val="28"/>
          <w:lang w:val="en-US"/>
        </w:rPr>
        <w:t xml:space="preserve"> participated in all the stages of proceeding</w:t>
      </w:r>
      <w:r w:rsidR="00691D10" w:rsidRPr="000D7950">
        <w:rPr>
          <w:rFonts w:ascii="Times New Roman" w:hAnsi="Times New Roman" w:cs="Times New Roman"/>
          <w:sz w:val="28"/>
          <w:szCs w:val="28"/>
          <w:lang w:val="en-US"/>
        </w:rPr>
        <w:t>s until at trial. All of thes</w:t>
      </w:r>
      <w:r w:rsidR="007937DC">
        <w:rPr>
          <w:rFonts w:ascii="Times New Roman" w:hAnsi="Times New Roman" w:cs="Times New Roman"/>
          <w:sz w:val="28"/>
          <w:szCs w:val="28"/>
          <w:lang w:val="en-US"/>
        </w:rPr>
        <w:t>e demonstrate that the Minister</w:t>
      </w:r>
      <w:r w:rsidR="00691D10" w:rsidRPr="000D7950">
        <w:rPr>
          <w:rFonts w:ascii="Times New Roman" w:hAnsi="Times New Roman" w:cs="Times New Roman"/>
          <w:sz w:val="28"/>
          <w:szCs w:val="28"/>
          <w:lang w:val="en-US"/>
        </w:rPr>
        <w:t xml:space="preserve"> was fully aware of </w:t>
      </w:r>
      <w:r w:rsidR="00C0416A" w:rsidRPr="000D7950">
        <w:rPr>
          <w:rFonts w:ascii="Times New Roman" w:hAnsi="Times New Roman" w:cs="Times New Roman"/>
          <w:sz w:val="28"/>
          <w:szCs w:val="28"/>
          <w:lang w:val="en-US"/>
        </w:rPr>
        <w:t>the proceedings against him</w:t>
      </w:r>
      <w:r w:rsidR="00664CB5" w:rsidRPr="000D7950">
        <w:rPr>
          <w:rFonts w:ascii="Times New Roman" w:hAnsi="Times New Roman" w:cs="Times New Roman"/>
          <w:sz w:val="28"/>
          <w:szCs w:val="28"/>
          <w:lang w:val="en-US"/>
        </w:rPr>
        <w:t>. Ther</w:t>
      </w:r>
      <w:r w:rsidR="00691D10" w:rsidRPr="000D7950">
        <w:rPr>
          <w:rFonts w:ascii="Times New Roman" w:hAnsi="Times New Roman" w:cs="Times New Roman"/>
          <w:sz w:val="28"/>
          <w:szCs w:val="28"/>
          <w:lang w:val="en-US"/>
        </w:rPr>
        <w:t xml:space="preserve">e was not even an </w:t>
      </w:r>
      <w:r w:rsidR="00013A5F">
        <w:rPr>
          <w:rFonts w:ascii="Times New Roman" w:hAnsi="Times New Roman" w:cs="Times New Roman"/>
          <w:sz w:val="28"/>
          <w:szCs w:val="28"/>
          <w:lang w:val="en-US"/>
        </w:rPr>
        <w:t xml:space="preserve">iota </w:t>
      </w:r>
      <w:r w:rsidR="0089260E" w:rsidRPr="000D7950">
        <w:rPr>
          <w:rFonts w:ascii="Times New Roman" w:hAnsi="Times New Roman" w:cs="Times New Roman"/>
          <w:sz w:val="28"/>
          <w:szCs w:val="28"/>
          <w:lang w:val="en-US"/>
        </w:rPr>
        <w:t>of pre</w:t>
      </w:r>
      <w:r w:rsidR="007937DC">
        <w:rPr>
          <w:rFonts w:ascii="Times New Roman" w:hAnsi="Times New Roman" w:cs="Times New Roman"/>
          <w:sz w:val="28"/>
          <w:szCs w:val="28"/>
          <w:lang w:val="en-US"/>
        </w:rPr>
        <w:t>judice decried by the Minister</w:t>
      </w:r>
      <w:r w:rsidR="0024258D" w:rsidRPr="000D7950">
        <w:rPr>
          <w:rFonts w:ascii="Times New Roman" w:hAnsi="Times New Roman" w:cs="Times New Roman"/>
          <w:sz w:val="28"/>
          <w:szCs w:val="28"/>
          <w:lang w:val="en-US"/>
        </w:rPr>
        <w:t xml:space="preserve"> as a result of this failure.</w:t>
      </w:r>
    </w:p>
    <w:p w:rsidR="00884B27" w:rsidRPr="000D7950" w:rsidRDefault="00884B27" w:rsidP="00886D59">
      <w:pPr>
        <w:jc w:val="both"/>
        <w:rPr>
          <w:rFonts w:ascii="Times New Roman" w:hAnsi="Times New Roman" w:cs="Times New Roman"/>
          <w:sz w:val="28"/>
          <w:szCs w:val="28"/>
          <w:lang w:val="en-US"/>
        </w:rPr>
      </w:pPr>
    </w:p>
    <w:p w:rsidR="008E25CA" w:rsidRPr="000D7950" w:rsidRDefault="00377C54" w:rsidP="003100E3">
      <w:pPr>
        <w:spacing w:line="360" w:lineRule="auto"/>
        <w:jc w:val="both"/>
        <w:rPr>
          <w:rFonts w:ascii="Times New Roman" w:hAnsi="Times New Roman" w:cs="Times New Roman"/>
          <w:sz w:val="28"/>
          <w:szCs w:val="28"/>
          <w:lang w:val="en-US"/>
        </w:rPr>
      </w:pPr>
      <w:r w:rsidRPr="000D7950">
        <w:rPr>
          <w:rFonts w:ascii="Times New Roman" w:hAnsi="Times New Roman" w:cs="Times New Roman"/>
          <w:sz w:val="28"/>
          <w:szCs w:val="28"/>
          <w:lang w:val="en-US"/>
        </w:rPr>
        <w:t>[</w:t>
      </w:r>
      <w:r w:rsidR="00CF1C8E">
        <w:rPr>
          <w:rFonts w:ascii="Times New Roman" w:hAnsi="Times New Roman" w:cs="Times New Roman"/>
          <w:sz w:val="28"/>
          <w:szCs w:val="28"/>
          <w:lang w:val="en-US"/>
        </w:rPr>
        <w:t>19</w:t>
      </w:r>
      <w:r w:rsidR="00710089" w:rsidRPr="000D7950">
        <w:rPr>
          <w:rFonts w:ascii="Times New Roman" w:hAnsi="Times New Roman" w:cs="Times New Roman"/>
          <w:sz w:val="28"/>
          <w:szCs w:val="28"/>
          <w:lang w:val="en-US"/>
        </w:rPr>
        <w:t>]</w:t>
      </w:r>
      <w:r w:rsidR="00710089" w:rsidRPr="000D7950">
        <w:rPr>
          <w:rFonts w:ascii="Times New Roman" w:hAnsi="Times New Roman" w:cs="Times New Roman"/>
          <w:sz w:val="28"/>
          <w:szCs w:val="28"/>
          <w:lang w:val="en-US"/>
        </w:rPr>
        <w:tab/>
      </w:r>
      <w:r w:rsidR="005C7517" w:rsidRPr="000D7950">
        <w:rPr>
          <w:rFonts w:ascii="Times New Roman" w:hAnsi="Times New Roman" w:cs="Times New Roman"/>
          <w:sz w:val="28"/>
          <w:szCs w:val="28"/>
          <w:lang w:val="en-US"/>
        </w:rPr>
        <w:t>It is for these reasons that I conclude that</w:t>
      </w:r>
      <w:r w:rsidR="0024258D" w:rsidRPr="000D7950">
        <w:rPr>
          <w:rFonts w:ascii="Times New Roman" w:hAnsi="Times New Roman" w:cs="Times New Roman"/>
          <w:sz w:val="28"/>
          <w:szCs w:val="28"/>
          <w:lang w:val="en-US"/>
        </w:rPr>
        <w:t xml:space="preserve"> </w:t>
      </w:r>
      <w:r w:rsidR="00880214" w:rsidRPr="000D7950">
        <w:rPr>
          <w:rFonts w:ascii="Times New Roman" w:hAnsi="Times New Roman" w:cs="Times New Roman"/>
          <w:sz w:val="28"/>
          <w:szCs w:val="28"/>
          <w:lang w:val="en-US"/>
        </w:rPr>
        <w:t>the fact that the summon</w:t>
      </w:r>
      <w:r w:rsidR="00964CA8" w:rsidRPr="000D7950">
        <w:rPr>
          <w:rFonts w:ascii="Times New Roman" w:hAnsi="Times New Roman" w:cs="Times New Roman"/>
          <w:sz w:val="28"/>
          <w:szCs w:val="28"/>
          <w:lang w:val="en-US"/>
        </w:rPr>
        <w:t>s</w:t>
      </w:r>
      <w:r w:rsidR="00880214" w:rsidRPr="000D7950">
        <w:rPr>
          <w:rFonts w:ascii="Times New Roman" w:hAnsi="Times New Roman" w:cs="Times New Roman"/>
          <w:sz w:val="28"/>
          <w:szCs w:val="28"/>
          <w:lang w:val="en-US"/>
        </w:rPr>
        <w:t xml:space="preserve"> was </w:t>
      </w:r>
      <w:r w:rsidR="00114D6D" w:rsidRPr="000D7950">
        <w:rPr>
          <w:rFonts w:ascii="Times New Roman" w:hAnsi="Times New Roman" w:cs="Times New Roman"/>
          <w:sz w:val="28"/>
          <w:szCs w:val="28"/>
          <w:lang w:val="en-US"/>
        </w:rPr>
        <w:t>n</w:t>
      </w:r>
      <w:r w:rsidR="00880214" w:rsidRPr="000D7950">
        <w:rPr>
          <w:rFonts w:ascii="Times New Roman" w:hAnsi="Times New Roman" w:cs="Times New Roman"/>
          <w:sz w:val="28"/>
          <w:szCs w:val="28"/>
          <w:lang w:val="en-US"/>
        </w:rPr>
        <w:t xml:space="preserve">ot served within the prescripts of s 2(2) of the State </w:t>
      </w:r>
      <w:r w:rsidR="00114D6D" w:rsidRPr="000D7950">
        <w:rPr>
          <w:rFonts w:ascii="Times New Roman" w:hAnsi="Times New Roman" w:cs="Times New Roman"/>
          <w:sz w:val="28"/>
          <w:szCs w:val="28"/>
          <w:lang w:val="en-US"/>
        </w:rPr>
        <w:t>L</w:t>
      </w:r>
      <w:r w:rsidR="00880214" w:rsidRPr="000D7950">
        <w:rPr>
          <w:rFonts w:ascii="Times New Roman" w:hAnsi="Times New Roman" w:cs="Times New Roman"/>
          <w:sz w:val="28"/>
          <w:szCs w:val="28"/>
          <w:lang w:val="en-US"/>
        </w:rPr>
        <w:t>iability Act</w:t>
      </w:r>
      <w:r w:rsidR="0024258D" w:rsidRPr="000D7950">
        <w:rPr>
          <w:rFonts w:ascii="Times New Roman" w:hAnsi="Times New Roman" w:cs="Times New Roman"/>
          <w:sz w:val="28"/>
          <w:szCs w:val="28"/>
          <w:lang w:val="en-US"/>
        </w:rPr>
        <w:t xml:space="preserve"> with particular reference to s 2</w:t>
      </w:r>
      <w:r w:rsidR="00585A4B">
        <w:rPr>
          <w:rFonts w:ascii="Times New Roman" w:hAnsi="Times New Roman" w:cs="Times New Roman"/>
          <w:sz w:val="28"/>
          <w:szCs w:val="28"/>
          <w:lang w:val="en-US"/>
        </w:rPr>
        <w:t>(2)</w:t>
      </w:r>
      <w:r w:rsidR="0024258D" w:rsidRPr="000D7950">
        <w:rPr>
          <w:rFonts w:ascii="Times New Roman" w:hAnsi="Times New Roman" w:cs="Times New Roman"/>
          <w:i/>
          <w:sz w:val="28"/>
          <w:szCs w:val="28"/>
          <w:lang w:val="en-US"/>
        </w:rPr>
        <w:t>(a)</w:t>
      </w:r>
      <w:r w:rsidR="0024258D" w:rsidRPr="000D7950">
        <w:rPr>
          <w:rFonts w:ascii="Times New Roman" w:hAnsi="Times New Roman" w:cs="Times New Roman"/>
          <w:sz w:val="28"/>
          <w:szCs w:val="28"/>
          <w:lang w:val="en-US"/>
        </w:rPr>
        <w:t>,</w:t>
      </w:r>
      <w:r w:rsidR="00880214" w:rsidRPr="000D7950">
        <w:rPr>
          <w:rFonts w:ascii="Times New Roman" w:hAnsi="Times New Roman" w:cs="Times New Roman"/>
          <w:sz w:val="28"/>
          <w:szCs w:val="28"/>
          <w:lang w:val="en-US"/>
        </w:rPr>
        <w:t xml:space="preserve"> is</w:t>
      </w:r>
      <w:r w:rsidR="005016E8" w:rsidRPr="000D7950">
        <w:rPr>
          <w:rFonts w:ascii="Times New Roman" w:hAnsi="Times New Roman" w:cs="Times New Roman"/>
          <w:sz w:val="28"/>
          <w:szCs w:val="28"/>
          <w:lang w:val="en-US"/>
        </w:rPr>
        <w:t>, on the facts of this case,</w:t>
      </w:r>
      <w:r w:rsidR="00880214" w:rsidRPr="000D7950">
        <w:rPr>
          <w:rFonts w:ascii="Times New Roman" w:hAnsi="Times New Roman" w:cs="Times New Roman"/>
          <w:sz w:val="28"/>
          <w:szCs w:val="28"/>
          <w:lang w:val="en-US"/>
        </w:rPr>
        <w:t xml:space="preserve"> </w:t>
      </w:r>
      <w:r w:rsidR="003253EE" w:rsidRPr="000D7950">
        <w:rPr>
          <w:rFonts w:ascii="Times New Roman" w:hAnsi="Times New Roman" w:cs="Times New Roman"/>
          <w:sz w:val="28"/>
          <w:szCs w:val="28"/>
          <w:lang w:val="en-US"/>
        </w:rPr>
        <w:t xml:space="preserve">not </w:t>
      </w:r>
      <w:r w:rsidR="00880214" w:rsidRPr="000D7950">
        <w:rPr>
          <w:rFonts w:ascii="Times New Roman" w:hAnsi="Times New Roman" w:cs="Times New Roman"/>
          <w:sz w:val="28"/>
          <w:szCs w:val="28"/>
          <w:lang w:val="en-US"/>
        </w:rPr>
        <w:t>fatal. This much is</w:t>
      </w:r>
      <w:r w:rsidR="00114D6D" w:rsidRPr="000D7950">
        <w:rPr>
          <w:rFonts w:ascii="Times New Roman" w:hAnsi="Times New Roman" w:cs="Times New Roman"/>
          <w:sz w:val="28"/>
          <w:szCs w:val="28"/>
          <w:lang w:val="en-US"/>
        </w:rPr>
        <w:t xml:space="preserve"> best</w:t>
      </w:r>
      <w:r w:rsidR="00880214" w:rsidRPr="000D7950">
        <w:rPr>
          <w:rFonts w:ascii="Times New Roman" w:hAnsi="Times New Roman" w:cs="Times New Roman"/>
          <w:sz w:val="28"/>
          <w:szCs w:val="28"/>
          <w:lang w:val="en-US"/>
        </w:rPr>
        <w:t xml:space="preserve"> </w:t>
      </w:r>
      <w:r w:rsidR="003253EE" w:rsidRPr="000D7950">
        <w:rPr>
          <w:rFonts w:ascii="Times New Roman" w:hAnsi="Times New Roman" w:cs="Times New Roman"/>
          <w:sz w:val="28"/>
          <w:szCs w:val="28"/>
          <w:lang w:val="en-US"/>
        </w:rPr>
        <w:t>accentuated by</w:t>
      </w:r>
      <w:r w:rsidR="00EE56AC" w:rsidRPr="000D7950">
        <w:rPr>
          <w:rFonts w:ascii="Times New Roman" w:hAnsi="Times New Roman" w:cs="Times New Roman"/>
          <w:sz w:val="28"/>
          <w:szCs w:val="28"/>
          <w:lang w:val="en-US"/>
        </w:rPr>
        <w:t xml:space="preserve"> the </w:t>
      </w:r>
      <w:r w:rsidR="003253EE" w:rsidRPr="000D7950">
        <w:rPr>
          <w:rFonts w:ascii="Times New Roman" w:hAnsi="Times New Roman" w:cs="Times New Roman"/>
          <w:sz w:val="28"/>
          <w:szCs w:val="28"/>
          <w:lang w:val="en-US"/>
        </w:rPr>
        <w:t xml:space="preserve">following </w:t>
      </w:r>
      <w:r w:rsidR="00EE56AC" w:rsidRPr="000D7950">
        <w:rPr>
          <w:rFonts w:ascii="Times New Roman" w:hAnsi="Times New Roman" w:cs="Times New Roman"/>
          <w:sz w:val="28"/>
          <w:szCs w:val="28"/>
          <w:lang w:val="en-US"/>
        </w:rPr>
        <w:t xml:space="preserve">conclusion </w:t>
      </w:r>
      <w:r w:rsidR="003253EE" w:rsidRPr="000D7950">
        <w:rPr>
          <w:rFonts w:ascii="Times New Roman" w:hAnsi="Times New Roman" w:cs="Times New Roman"/>
          <w:sz w:val="28"/>
          <w:szCs w:val="28"/>
          <w:lang w:val="en-US"/>
        </w:rPr>
        <w:t>of the</w:t>
      </w:r>
      <w:r w:rsidR="00EE56AC" w:rsidRPr="000D7950">
        <w:rPr>
          <w:rFonts w:ascii="Times New Roman" w:hAnsi="Times New Roman" w:cs="Times New Roman"/>
          <w:sz w:val="28"/>
          <w:szCs w:val="28"/>
          <w:lang w:val="en-US"/>
        </w:rPr>
        <w:t xml:space="preserve"> high court </w:t>
      </w:r>
      <w:r w:rsidR="003253EE" w:rsidRPr="000D7950">
        <w:rPr>
          <w:rFonts w:ascii="Times New Roman" w:hAnsi="Times New Roman" w:cs="Times New Roman"/>
          <w:sz w:val="28"/>
          <w:szCs w:val="28"/>
          <w:lang w:val="en-US"/>
        </w:rPr>
        <w:t xml:space="preserve">which serves </w:t>
      </w:r>
      <w:r w:rsidR="00EE56AC" w:rsidRPr="000D7950">
        <w:rPr>
          <w:rFonts w:ascii="Times New Roman" w:hAnsi="Times New Roman" w:cs="Times New Roman"/>
          <w:sz w:val="28"/>
          <w:szCs w:val="28"/>
          <w:lang w:val="en-US"/>
        </w:rPr>
        <w:t>as the epicenter of the interpretation</w:t>
      </w:r>
      <w:r w:rsidR="0024258D" w:rsidRPr="000D7950">
        <w:rPr>
          <w:rFonts w:ascii="Times New Roman" w:hAnsi="Times New Roman" w:cs="Times New Roman"/>
          <w:sz w:val="28"/>
          <w:szCs w:val="28"/>
          <w:lang w:val="en-US"/>
        </w:rPr>
        <w:t xml:space="preserve"> it affirmed:</w:t>
      </w:r>
    </w:p>
    <w:p w:rsidR="00AE5E98" w:rsidRPr="000D7950" w:rsidRDefault="00AE5E98" w:rsidP="003100E3">
      <w:pPr>
        <w:spacing w:line="360" w:lineRule="auto"/>
        <w:jc w:val="both"/>
        <w:rPr>
          <w:rFonts w:ascii="Times New Roman" w:hAnsi="Times New Roman" w:cs="Times New Roman"/>
          <w:lang w:val="en-US"/>
        </w:rPr>
      </w:pPr>
      <w:r w:rsidRPr="000D7950">
        <w:rPr>
          <w:rFonts w:ascii="Times New Roman" w:hAnsi="Times New Roman" w:cs="Times New Roman"/>
          <w:lang w:val="en-US"/>
        </w:rPr>
        <w:t>‘</w:t>
      </w:r>
      <w:r w:rsidR="001D0693" w:rsidRPr="000D7950">
        <w:rPr>
          <w:rFonts w:ascii="Times New Roman" w:hAnsi="Times New Roman" w:cs="Times New Roman"/>
          <w:lang w:val="en-US"/>
        </w:rPr>
        <w:t xml:space="preserve">It is not my finding that the State Attorney accepted the summons on behalf of the first defendant nor that the State Attorney replaced the first defendant as a debtor. The first defendant remained a </w:t>
      </w:r>
      <w:r w:rsidR="001D0693" w:rsidRPr="000D7950">
        <w:rPr>
          <w:rFonts w:ascii="Times New Roman" w:hAnsi="Times New Roman" w:cs="Times New Roman"/>
          <w:lang w:val="en-US"/>
        </w:rPr>
        <w:lastRenderedPageBreak/>
        <w:t xml:space="preserve">debtor </w:t>
      </w:r>
      <w:r w:rsidR="00F0269A" w:rsidRPr="000D7950">
        <w:rPr>
          <w:rFonts w:ascii="Times New Roman" w:hAnsi="Times New Roman" w:cs="Times New Roman"/>
          <w:lang w:val="en-US"/>
        </w:rPr>
        <w:t>who</w:t>
      </w:r>
      <w:r w:rsidR="001D0693" w:rsidRPr="000D7950">
        <w:rPr>
          <w:rFonts w:ascii="Times New Roman" w:hAnsi="Times New Roman" w:cs="Times New Roman"/>
          <w:lang w:val="en-US"/>
        </w:rPr>
        <w:t xml:space="preserve"> was not served with the court process but who ultimately became aware of the summons (</w:t>
      </w:r>
      <w:r w:rsidR="008B6A28" w:rsidRPr="000D7950">
        <w:rPr>
          <w:rFonts w:ascii="Times New Roman" w:hAnsi="Times New Roman" w:cs="Times New Roman"/>
          <w:lang w:val="en-US"/>
        </w:rPr>
        <w:t>plaintiff’s claim) as</w:t>
      </w:r>
      <w:r w:rsidR="00F0269A" w:rsidRPr="000D7950">
        <w:rPr>
          <w:rFonts w:ascii="Times New Roman" w:hAnsi="Times New Roman" w:cs="Times New Roman"/>
          <w:lang w:val="en-US"/>
        </w:rPr>
        <w:t xml:space="preserve"> he responded</w:t>
      </w:r>
      <w:r w:rsidR="008B6A28" w:rsidRPr="000D7950">
        <w:rPr>
          <w:rFonts w:ascii="Times New Roman" w:hAnsi="Times New Roman" w:cs="Times New Roman"/>
          <w:lang w:val="en-US"/>
        </w:rPr>
        <w:t xml:space="preserve"> to it.</w:t>
      </w:r>
      <w:r w:rsidR="00EA33C9" w:rsidRPr="000D7950">
        <w:rPr>
          <w:rFonts w:ascii="Times New Roman" w:hAnsi="Times New Roman" w:cs="Times New Roman"/>
          <w:lang w:val="en-US"/>
        </w:rPr>
        <w:t>’</w:t>
      </w:r>
    </w:p>
    <w:p w:rsidR="00E31B53" w:rsidRPr="000D7950" w:rsidRDefault="003253EE" w:rsidP="003100E3">
      <w:pPr>
        <w:spacing w:line="360" w:lineRule="auto"/>
        <w:jc w:val="both"/>
        <w:rPr>
          <w:rFonts w:ascii="Times New Roman" w:hAnsi="Times New Roman" w:cs="Times New Roman"/>
          <w:sz w:val="28"/>
          <w:szCs w:val="28"/>
          <w:lang w:val="en-US"/>
        </w:rPr>
      </w:pPr>
      <w:r w:rsidRPr="000D7950">
        <w:rPr>
          <w:rFonts w:ascii="Times New Roman" w:hAnsi="Times New Roman" w:cs="Times New Roman"/>
          <w:sz w:val="28"/>
          <w:szCs w:val="28"/>
          <w:lang w:val="en-US"/>
        </w:rPr>
        <w:t>The decision of the high court to dismiss the specia</w:t>
      </w:r>
      <w:r w:rsidR="00114D6D" w:rsidRPr="000D7950">
        <w:rPr>
          <w:rFonts w:ascii="Times New Roman" w:hAnsi="Times New Roman" w:cs="Times New Roman"/>
          <w:sz w:val="28"/>
          <w:szCs w:val="28"/>
          <w:lang w:val="en-US"/>
        </w:rPr>
        <w:t>l</w:t>
      </w:r>
      <w:r w:rsidRPr="000D7950">
        <w:rPr>
          <w:rFonts w:ascii="Times New Roman" w:hAnsi="Times New Roman" w:cs="Times New Roman"/>
          <w:sz w:val="28"/>
          <w:szCs w:val="28"/>
          <w:lang w:val="en-US"/>
        </w:rPr>
        <w:t xml:space="preserve"> plea was </w:t>
      </w:r>
      <w:r w:rsidR="0024258D" w:rsidRPr="000D7950">
        <w:rPr>
          <w:rFonts w:ascii="Times New Roman" w:hAnsi="Times New Roman" w:cs="Times New Roman"/>
          <w:sz w:val="28"/>
          <w:szCs w:val="28"/>
          <w:lang w:val="en-US"/>
        </w:rPr>
        <w:t xml:space="preserve">therefore </w:t>
      </w:r>
      <w:r w:rsidRPr="000D7950">
        <w:rPr>
          <w:rFonts w:ascii="Times New Roman" w:hAnsi="Times New Roman" w:cs="Times New Roman"/>
          <w:sz w:val="28"/>
          <w:szCs w:val="28"/>
          <w:lang w:val="en-US"/>
        </w:rPr>
        <w:t>correct.</w:t>
      </w:r>
      <w:r w:rsidR="00E31B53" w:rsidRPr="000D7950">
        <w:rPr>
          <w:rFonts w:ascii="Times New Roman" w:hAnsi="Times New Roman" w:cs="Times New Roman"/>
          <w:sz w:val="28"/>
          <w:szCs w:val="28"/>
          <w:lang w:val="en-US"/>
        </w:rPr>
        <w:t xml:space="preserve"> T</w:t>
      </w:r>
      <w:r w:rsidRPr="000D7950">
        <w:rPr>
          <w:rFonts w:ascii="Times New Roman" w:hAnsi="Times New Roman" w:cs="Times New Roman"/>
          <w:sz w:val="28"/>
          <w:szCs w:val="28"/>
          <w:lang w:val="en-US"/>
        </w:rPr>
        <w:t>he appeal must fail.</w:t>
      </w:r>
    </w:p>
    <w:p w:rsidR="00E31B53" w:rsidRPr="000D7950" w:rsidRDefault="00E31B53" w:rsidP="00886D59">
      <w:pPr>
        <w:jc w:val="both"/>
        <w:rPr>
          <w:rFonts w:ascii="Times New Roman" w:hAnsi="Times New Roman" w:cs="Times New Roman"/>
          <w:sz w:val="28"/>
          <w:szCs w:val="28"/>
          <w:lang w:val="en-US"/>
        </w:rPr>
      </w:pPr>
    </w:p>
    <w:p w:rsidR="00FC6929" w:rsidRPr="000D7950" w:rsidRDefault="003253EE" w:rsidP="003100E3">
      <w:pPr>
        <w:spacing w:line="360" w:lineRule="auto"/>
        <w:jc w:val="both"/>
        <w:rPr>
          <w:rFonts w:ascii="Times New Roman" w:hAnsi="Times New Roman" w:cs="Times New Roman"/>
          <w:sz w:val="28"/>
          <w:szCs w:val="28"/>
          <w:lang w:val="en-US"/>
        </w:rPr>
      </w:pPr>
      <w:r w:rsidRPr="000D7950">
        <w:rPr>
          <w:rFonts w:ascii="Times New Roman" w:hAnsi="Times New Roman" w:cs="Times New Roman"/>
          <w:sz w:val="28"/>
          <w:szCs w:val="28"/>
          <w:lang w:val="en-US"/>
        </w:rPr>
        <w:t>[2</w:t>
      </w:r>
      <w:r w:rsidR="00CF1C8E">
        <w:rPr>
          <w:rFonts w:ascii="Times New Roman" w:hAnsi="Times New Roman" w:cs="Times New Roman"/>
          <w:sz w:val="28"/>
          <w:szCs w:val="28"/>
          <w:lang w:val="en-US"/>
        </w:rPr>
        <w:t>0</w:t>
      </w:r>
      <w:r w:rsidR="00E31B53" w:rsidRPr="000D7950">
        <w:rPr>
          <w:rFonts w:ascii="Times New Roman" w:hAnsi="Times New Roman" w:cs="Times New Roman"/>
          <w:sz w:val="28"/>
          <w:szCs w:val="28"/>
          <w:lang w:val="en-US"/>
        </w:rPr>
        <w:t>]</w:t>
      </w:r>
      <w:r w:rsidR="00E31B53" w:rsidRPr="000D7950">
        <w:rPr>
          <w:rFonts w:ascii="Times New Roman" w:hAnsi="Times New Roman" w:cs="Times New Roman"/>
          <w:sz w:val="28"/>
          <w:szCs w:val="28"/>
          <w:lang w:val="en-US"/>
        </w:rPr>
        <w:tab/>
      </w:r>
      <w:r w:rsidR="00BD0056" w:rsidRPr="000D7950">
        <w:rPr>
          <w:rFonts w:ascii="Times New Roman" w:hAnsi="Times New Roman" w:cs="Times New Roman"/>
          <w:sz w:val="28"/>
          <w:szCs w:val="28"/>
          <w:lang w:val="en-US"/>
        </w:rPr>
        <w:t xml:space="preserve">As far as costs </w:t>
      </w:r>
      <w:r w:rsidR="00E760A9" w:rsidRPr="000D7950">
        <w:rPr>
          <w:rFonts w:ascii="Times New Roman" w:hAnsi="Times New Roman" w:cs="Times New Roman"/>
          <w:sz w:val="28"/>
          <w:szCs w:val="28"/>
          <w:lang w:val="en-US"/>
        </w:rPr>
        <w:t xml:space="preserve">are </w:t>
      </w:r>
      <w:r w:rsidR="007937DC">
        <w:rPr>
          <w:rFonts w:ascii="Times New Roman" w:hAnsi="Times New Roman" w:cs="Times New Roman"/>
          <w:sz w:val="28"/>
          <w:szCs w:val="28"/>
          <w:lang w:val="en-US"/>
        </w:rPr>
        <w:t xml:space="preserve">concerned, </w:t>
      </w:r>
      <w:proofErr w:type="spellStart"/>
      <w:r w:rsidR="007937DC">
        <w:rPr>
          <w:rFonts w:ascii="Times New Roman" w:hAnsi="Times New Roman" w:cs="Times New Roman"/>
          <w:sz w:val="28"/>
          <w:szCs w:val="28"/>
          <w:lang w:val="en-US"/>
        </w:rPr>
        <w:t>Mr</w:t>
      </w:r>
      <w:proofErr w:type="spellEnd"/>
      <w:r w:rsidR="007937DC">
        <w:rPr>
          <w:rFonts w:ascii="Times New Roman" w:hAnsi="Times New Roman" w:cs="Times New Roman"/>
          <w:sz w:val="28"/>
          <w:szCs w:val="28"/>
          <w:lang w:val="en-US"/>
        </w:rPr>
        <w:t xml:space="preserve"> Miya</w:t>
      </w:r>
      <w:r w:rsidR="00884B27" w:rsidRPr="000D7950">
        <w:rPr>
          <w:rFonts w:ascii="Times New Roman" w:hAnsi="Times New Roman" w:cs="Times New Roman"/>
          <w:sz w:val="28"/>
          <w:szCs w:val="28"/>
          <w:lang w:val="en-US"/>
        </w:rPr>
        <w:t xml:space="preserve"> argued </w:t>
      </w:r>
      <w:r w:rsidR="00AB319C" w:rsidRPr="000D7950">
        <w:rPr>
          <w:rFonts w:ascii="Times New Roman" w:hAnsi="Times New Roman" w:cs="Times New Roman"/>
          <w:sz w:val="28"/>
          <w:szCs w:val="28"/>
          <w:lang w:val="en-US"/>
        </w:rPr>
        <w:t xml:space="preserve">that he is entitled to </w:t>
      </w:r>
      <w:r w:rsidR="00884B27" w:rsidRPr="000D7950">
        <w:rPr>
          <w:rFonts w:ascii="Times New Roman" w:hAnsi="Times New Roman" w:cs="Times New Roman"/>
          <w:sz w:val="28"/>
          <w:szCs w:val="28"/>
          <w:lang w:val="en-US"/>
        </w:rPr>
        <w:t>costs consequent on the</w:t>
      </w:r>
      <w:r w:rsidR="00BD0056" w:rsidRPr="000D7950">
        <w:rPr>
          <w:rFonts w:ascii="Times New Roman" w:hAnsi="Times New Roman" w:cs="Times New Roman"/>
          <w:sz w:val="28"/>
          <w:szCs w:val="28"/>
          <w:lang w:val="en-US"/>
        </w:rPr>
        <w:t xml:space="preserve"> employment of two counsel. I am of </w:t>
      </w:r>
      <w:r w:rsidR="006D4C9F" w:rsidRPr="000D7950">
        <w:rPr>
          <w:rFonts w:ascii="Times New Roman" w:hAnsi="Times New Roman" w:cs="Times New Roman"/>
          <w:sz w:val="28"/>
          <w:szCs w:val="28"/>
          <w:lang w:val="en-US"/>
        </w:rPr>
        <w:t>the view that the ground that was heav</w:t>
      </w:r>
      <w:r w:rsidR="007937DC">
        <w:rPr>
          <w:rFonts w:ascii="Times New Roman" w:hAnsi="Times New Roman" w:cs="Times New Roman"/>
          <w:sz w:val="28"/>
          <w:szCs w:val="28"/>
          <w:lang w:val="en-US"/>
        </w:rPr>
        <w:t>ily relied upon by the Minister</w:t>
      </w:r>
      <w:r w:rsidR="006D4C9F" w:rsidRPr="000D7950">
        <w:rPr>
          <w:rFonts w:ascii="Times New Roman" w:hAnsi="Times New Roman" w:cs="Times New Roman"/>
          <w:sz w:val="28"/>
          <w:szCs w:val="28"/>
          <w:lang w:val="en-US"/>
        </w:rPr>
        <w:t xml:space="preserve"> to the effect that this </w:t>
      </w:r>
      <w:r w:rsidR="00884B27" w:rsidRPr="000D7950">
        <w:rPr>
          <w:rFonts w:ascii="Times New Roman" w:hAnsi="Times New Roman" w:cs="Times New Roman"/>
          <w:sz w:val="28"/>
          <w:szCs w:val="28"/>
          <w:lang w:val="en-US"/>
        </w:rPr>
        <w:t>Court should</w:t>
      </w:r>
      <w:r w:rsidR="006D4C9F" w:rsidRPr="000D7950">
        <w:rPr>
          <w:rFonts w:ascii="Times New Roman" w:hAnsi="Times New Roman" w:cs="Times New Roman"/>
          <w:sz w:val="28"/>
          <w:szCs w:val="28"/>
          <w:lang w:val="en-US"/>
        </w:rPr>
        <w:t xml:space="preserve"> reconsider the decision in </w:t>
      </w:r>
      <w:proofErr w:type="spellStart"/>
      <w:r w:rsidR="00942AB8">
        <w:rPr>
          <w:rFonts w:ascii="Times New Roman" w:hAnsi="Times New Roman" w:cs="Times New Roman"/>
          <w:i/>
          <w:sz w:val="28"/>
          <w:szCs w:val="28"/>
          <w:lang w:val="en-US"/>
        </w:rPr>
        <w:t>Molokw</w:t>
      </w:r>
      <w:r w:rsidR="001C7877" w:rsidRPr="000D7950">
        <w:rPr>
          <w:rFonts w:ascii="Times New Roman" w:hAnsi="Times New Roman" w:cs="Times New Roman"/>
          <w:i/>
          <w:sz w:val="28"/>
          <w:szCs w:val="28"/>
          <w:lang w:val="en-US"/>
        </w:rPr>
        <w:t>ane</w:t>
      </w:r>
      <w:proofErr w:type="spellEnd"/>
      <w:r w:rsidR="007937DC">
        <w:rPr>
          <w:rFonts w:ascii="Times New Roman" w:hAnsi="Times New Roman" w:cs="Times New Roman"/>
          <w:i/>
          <w:sz w:val="28"/>
          <w:szCs w:val="28"/>
          <w:lang w:val="en-US"/>
        </w:rPr>
        <w:t>,</w:t>
      </w:r>
      <w:r w:rsidR="001C7877" w:rsidRPr="000D7950">
        <w:rPr>
          <w:rFonts w:ascii="Times New Roman" w:hAnsi="Times New Roman" w:cs="Times New Roman"/>
          <w:sz w:val="28"/>
          <w:szCs w:val="28"/>
          <w:lang w:val="en-US"/>
        </w:rPr>
        <w:t xml:space="preserve"> i</w:t>
      </w:r>
      <w:r w:rsidR="00303674" w:rsidRPr="000D7950">
        <w:rPr>
          <w:rFonts w:ascii="Times New Roman" w:hAnsi="Times New Roman" w:cs="Times New Roman"/>
          <w:sz w:val="28"/>
          <w:szCs w:val="28"/>
          <w:lang w:val="en-US"/>
        </w:rPr>
        <w:t>s a substantial issue</w:t>
      </w:r>
      <w:r w:rsidR="007937DC">
        <w:rPr>
          <w:rFonts w:ascii="Times New Roman" w:hAnsi="Times New Roman" w:cs="Times New Roman"/>
          <w:sz w:val="28"/>
          <w:szCs w:val="28"/>
          <w:lang w:val="en-US"/>
        </w:rPr>
        <w:t xml:space="preserve">. </w:t>
      </w:r>
      <w:proofErr w:type="spellStart"/>
      <w:r w:rsidR="007937DC">
        <w:rPr>
          <w:rFonts w:ascii="Times New Roman" w:hAnsi="Times New Roman" w:cs="Times New Roman"/>
          <w:sz w:val="28"/>
          <w:szCs w:val="28"/>
          <w:lang w:val="en-US"/>
        </w:rPr>
        <w:t>Mr</w:t>
      </w:r>
      <w:proofErr w:type="spellEnd"/>
      <w:r w:rsidR="007937DC">
        <w:rPr>
          <w:rFonts w:ascii="Times New Roman" w:hAnsi="Times New Roman" w:cs="Times New Roman"/>
          <w:sz w:val="28"/>
          <w:szCs w:val="28"/>
          <w:lang w:val="en-US"/>
        </w:rPr>
        <w:t xml:space="preserve"> Miya,</w:t>
      </w:r>
      <w:r w:rsidR="001C7877" w:rsidRPr="000D7950">
        <w:rPr>
          <w:rFonts w:ascii="Times New Roman" w:hAnsi="Times New Roman" w:cs="Times New Roman"/>
          <w:sz w:val="28"/>
          <w:szCs w:val="28"/>
          <w:lang w:val="en-US"/>
        </w:rPr>
        <w:t xml:space="preserve"> as an</w:t>
      </w:r>
      <w:r w:rsidR="005C7517" w:rsidRPr="000D7950">
        <w:rPr>
          <w:rFonts w:ascii="Times New Roman" w:hAnsi="Times New Roman" w:cs="Times New Roman"/>
          <w:sz w:val="28"/>
          <w:szCs w:val="28"/>
          <w:lang w:val="en-US"/>
        </w:rPr>
        <w:t xml:space="preserve"> ordinary citiz</w:t>
      </w:r>
      <w:r w:rsidR="00071ED5" w:rsidRPr="000D7950">
        <w:rPr>
          <w:rFonts w:ascii="Times New Roman" w:hAnsi="Times New Roman" w:cs="Times New Roman"/>
          <w:sz w:val="28"/>
          <w:szCs w:val="28"/>
          <w:lang w:val="en-US"/>
        </w:rPr>
        <w:t>en</w:t>
      </w:r>
      <w:r w:rsidR="007937DC">
        <w:rPr>
          <w:rFonts w:ascii="Times New Roman" w:hAnsi="Times New Roman" w:cs="Times New Roman"/>
          <w:sz w:val="28"/>
          <w:szCs w:val="28"/>
          <w:lang w:val="en-US"/>
        </w:rPr>
        <w:t>,</w:t>
      </w:r>
      <w:r w:rsidR="005C7517" w:rsidRPr="000D7950">
        <w:rPr>
          <w:rFonts w:ascii="Times New Roman" w:hAnsi="Times New Roman" w:cs="Times New Roman"/>
          <w:sz w:val="28"/>
          <w:szCs w:val="28"/>
          <w:lang w:val="en-US"/>
        </w:rPr>
        <w:t xml:space="preserve"> had to defend </w:t>
      </w:r>
      <w:r w:rsidR="00AB319C" w:rsidRPr="000D7950">
        <w:rPr>
          <w:rFonts w:ascii="Times New Roman" w:hAnsi="Times New Roman" w:cs="Times New Roman"/>
          <w:sz w:val="28"/>
          <w:szCs w:val="28"/>
          <w:lang w:val="en-US"/>
        </w:rPr>
        <w:t xml:space="preserve">the judgment in his </w:t>
      </w:r>
      <w:proofErr w:type="spellStart"/>
      <w:r w:rsidR="00AB319C" w:rsidRPr="000D7950">
        <w:rPr>
          <w:rFonts w:ascii="Times New Roman" w:hAnsi="Times New Roman" w:cs="Times New Roman"/>
          <w:sz w:val="28"/>
          <w:szCs w:val="28"/>
          <w:lang w:val="en-US"/>
        </w:rPr>
        <w:t>favour</w:t>
      </w:r>
      <w:proofErr w:type="spellEnd"/>
      <w:r w:rsidR="00AB319C" w:rsidRPr="000D7950">
        <w:rPr>
          <w:rFonts w:ascii="Times New Roman" w:hAnsi="Times New Roman" w:cs="Times New Roman"/>
          <w:sz w:val="28"/>
          <w:szCs w:val="28"/>
          <w:lang w:val="en-US"/>
        </w:rPr>
        <w:t xml:space="preserve"> </w:t>
      </w:r>
      <w:r w:rsidR="005C7517" w:rsidRPr="000D7950">
        <w:rPr>
          <w:rFonts w:ascii="Times New Roman" w:hAnsi="Times New Roman" w:cs="Times New Roman"/>
          <w:sz w:val="28"/>
          <w:szCs w:val="28"/>
          <w:lang w:val="en-US"/>
        </w:rPr>
        <w:t>by all the means he had.</w:t>
      </w:r>
      <w:r w:rsidR="001C7877" w:rsidRPr="000D7950">
        <w:rPr>
          <w:rFonts w:ascii="Times New Roman" w:hAnsi="Times New Roman" w:cs="Times New Roman"/>
          <w:sz w:val="28"/>
          <w:szCs w:val="28"/>
          <w:lang w:val="en-US"/>
        </w:rPr>
        <w:t xml:space="preserve"> This</w:t>
      </w:r>
      <w:r w:rsidR="00303674" w:rsidRPr="000D7950">
        <w:rPr>
          <w:rFonts w:ascii="Times New Roman" w:hAnsi="Times New Roman" w:cs="Times New Roman"/>
          <w:sz w:val="28"/>
          <w:szCs w:val="28"/>
          <w:lang w:val="en-US"/>
        </w:rPr>
        <w:t>,</w:t>
      </w:r>
      <w:r w:rsidR="001C7877" w:rsidRPr="000D7950">
        <w:rPr>
          <w:rFonts w:ascii="Times New Roman" w:hAnsi="Times New Roman" w:cs="Times New Roman"/>
          <w:sz w:val="28"/>
          <w:szCs w:val="28"/>
          <w:lang w:val="en-US"/>
        </w:rPr>
        <w:t xml:space="preserve"> in my view</w:t>
      </w:r>
      <w:r w:rsidR="00114D6D" w:rsidRPr="000D7950">
        <w:rPr>
          <w:rFonts w:ascii="Times New Roman" w:hAnsi="Times New Roman" w:cs="Times New Roman"/>
          <w:sz w:val="28"/>
          <w:szCs w:val="28"/>
          <w:lang w:val="en-US"/>
        </w:rPr>
        <w:t>, justified</w:t>
      </w:r>
      <w:r w:rsidR="001C7877" w:rsidRPr="000D7950">
        <w:rPr>
          <w:rFonts w:ascii="Times New Roman" w:hAnsi="Times New Roman" w:cs="Times New Roman"/>
          <w:sz w:val="28"/>
          <w:szCs w:val="28"/>
          <w:lang w:val="en-US"/>
        </w:rPr>
        <w:t xml:space="preserve"> the employment of two counsel. The issue is e</w:t>
      </w:r>
      <w:r w:rsidR="00DC7E54" w:rsidRPr="000D7950">
        <w:rPr>
          <w:rFonts w:ascii="Times New Roman" w:hAnsi="Times New Roman" w:cs="Times New Roman"/>
          <w:sz w:val="28"/>
          <w:szCs w:val="28"/>
          <w:lang w:val="en-US"/>
        </w:rPr>
        <w:t>xa</w:t>
      </w:r>
      <w:r w:rsidR="00884B27" w:rsidRPr="000D7950">
        <w:rPr>
          <w:rFonts w:ascii="Times New Roman" w:hAnsi="Times New Roman" w:cs="Times New Roman"/>
          <w:sz w:val="28"/>
          <w:szCs w:val="28"/>
          <w:lang w:val="en-US"/>
        </w:rPr>
        <w:t>cer</w:t>
      </w:r>
      <w:r w:rsidR="00DC7E54" w:rsidRPr="000D7950">
        <w:rPr>
          <w:rFonts w:ascii="Times New Roman" w:hAnsi="Times New Roman" w:cs="Times New Roman"/>
          <w:sz w:val="28"/>
          <w:szCs w:val="28"/>
          <w:lang w:val="en-US"/>
        </w:rPr>
        <w:t>bated</w:t>
      </w:r>
      <w:r w:rsidR="00C241C9">
        <w:rPr>
          <w:rFonts w:ascii="Times New Roman" w:hAnsi="Times New Roman" w:cs="Times New Roman"/>
          <w:sz w:val="28"/>
          <w:szCs w:val="28"/>
          <w:lang w:val="en-US"/>
        </w:rPr>
        <w:t xml:space="preserve"> by the fact that the Minister</w:t>
      </w:r>
      <w:r w:rsidR="00DC7E54" w:rsidRPr="000D7950">
        <w:rPr>
          <w:rFonts w:ascii="Times New Roman" w:hAnsi="Times New Roman" w:cs="Times New Roman"/>
          <w:sz w:val="28"/>
          <w:szCs w:val="28"/>
          <w:lang w:val="en-US"/>
        </w:rPr>
        <w:t xml:space="preserve"> </w:t>
      </w:r>
      <w:r w:rsidR="00303674" w:rsidRPr="000D7950">
        <w:rPr>
          <w:rFonts w:ascii="Times New Roman" w:hAnsi="Times New Roman" w:cs="Times New Roman"/>
          <w:sz w:val="28"/>
          <w:szCs w:val="28"/>
          <w:lang w:val="en-US"/>
        </w:rPr>
        <w:t>came to this C</w:t>
      </w:r>
      <w:r w:rsidR="00DC7E54" w:rsidRPr="000D7950">
        <w:rPr>
          <w:rFonts w:ascii="Times New Roman" w:hAnsi="Times New Roman" w:cs="Times New Roman"/>
          <w:sz w:val="28"/>
          <w:szCs w:val="28"/>
          <w:lang w:val="en-US"/>
        </w:rPr>
        <w:t xml:space="preserve">ourt to defend the </w:t>
      </w:r>
      <w:r w:rsidR="00884B27" w:rsidRPr="000D7950">
        <w:rPr>
          <w:rFonts w:ascii="Times New Roman" w:hAnsi="Times New Roman" w:cs="Times New Roman"/>
          <w:sz w:val="28"/>
          <w:szCs w:val="28"/>
          <w:lang w:val="en-US"/>
        </w:rPr>
        <w:t>i</w:t>
      </w:r>
      <w:r w:rsidR="00DC7E54" w:rsidRPr="000D7950">
        <w:rPr>
          <w:rFonts w:ascii="Times New Roman" w:hAnsi="Times New Roman" w:cs="Times New Roman"/>
          <w:sz w:val="28"/>
          <w:szCs w:val="28"/>
          <w:lang w:val="en-US"/>
        </w:rPr>
        <w:t>nde</w:t>
      </w:r>
      <w:r w:rsidR="00FC6929" w:rsidRPr="000D7950">
        <w:rPr>
          <w:rFonts w:ascii="Times New Roman" w:hAnsi="Times New Roman" w:cs="Times New Roman"/>
          <w:sz w:val="28"/>
          <w:szCs w:val="28"/>
          <w:lang w:val="en-US"/>
        </w:rPr>
        <w:t>fensible.</w:t>
      </w:r>
    </w:p>
    <w:p w:rsidR="00FC6929" w:rsidRPr="000D7950" w:rsidRDefault="00FC6929" w:rsidP="00886D59">
      <w:pPr>
        <w:jc w:val="both"/>
        <w:rPr>
          <w:rFonts w:ascii="Times New Roman" w:hAnsi="Times New Roman" w:cs="Times New Roman"/>
          <w:sz w:val="28"/>
          <w:szCs w:val="28"/>
          <w:lang w:val="en-US"/>
        </w:rPr>
      </w:pPr>
    </w:p>
    <w:p w:rsidR="00FC6929" w:rsidRPr="000D7950" w:rsidRDefault="006F47B2" w:rsidP="003100E3">
      <w:pPr>
        <w:spacing w:line="360" w:lineRule="auto"/>
        <w:jc w:val="both"/>
        <w:rPr>
          <w:rFonts w:ascii="Times New Roman" w:hAnsi="Times New Roman" w:cs="Times New Roman"/>
          <w:sz w:val="28"/>
          <w:szCs w:val="28"/>
          <w:lang w:val="en-US"/>
        </w:rPr>
      </w:pPr>
      <w:r w:rsidRPr="000D7950">
        <w:rPr>
          <w:rFonts w:ascii="Times New Roman" w:hAnsi="Times New Roman" w:cs="Times New Roman"/>
          <w:sz w:val="28"/>
          <w:szCs w:val="28"/>
          <w:lang w:val="en-US"/>
        </w:rPr>
        <w:t>[2</w:t>
      </w:r>
      <w:r w:rsidR="00CF1C8E">
        <w:rPr>
          <w:rFonts w:ascii="Times New Roman" w:hAnsi="Times New Roman" w:cs="Times New Roman"/>
          <w:sz w:val="28"/>
          <w:szCs w:val="28"/>
          <w:lang w:val="en-US"/>
        </w:rPr>
        <w:t>1</w:t>
      </w:r>
      <w:r w:rsidR="00FC6929" w:rsidRPr="000D7950">
        <w:rPr>
          <w:rFonts w:ascii="Times New Roman" w:hAnsi="Times New Roman" w:cs="Times New Roman"/>
          <w:sz w:val="28"/>
          <w:szCs w:val="28"/>
          <w:lang w:val="en-US"/>
        </w:rPr>
        <w:t>]</w:t>
      </w:r>
      <w:r w:rsidR="00FC6929" w:rsidRPr="000D7950">
        <w:rPr>
          <w:rFonts w:ascii="Times New Roman" w:hAnsi="Times New Roman" w:cs="Times New Roman"/>
          <w:sz w:val="28"/>
          <w:szCs w:val="28"/>
          <w:lang w:val="en-US"/>
        </w:rPr>
        <w:tab/>
        <w:t xml:space="preserve">The following order is thus made: </w:t>
      </w:r>
    </w:p>
    <w:p w:rsidR="003362AC" w:rsidRPr="000D7950" w:rsidRDefault="003362AC" w:rsidP="003100E3">
      <w:pPr>
        <w:spacing w:line="360" w:lineRule="auto"/>
        <w:jc w:val="both"/>
        <w:rPr>
          <w:rFonts w:ascii="Times New Roman" w:hAnsi="Times New Roman" w:cs="Times New Roman"/>
          <w:sz w:val="28"/>
          <w:szCs w:val="28"/>
          <w:lang w:val="en-US"/>
        </w:rPr>
      </w:pPr>
      <w:r w:rsidRPr="000D7950">
        <w:rPr>
          <w:rFonts w:ascii="Times New Roman" w:hAnsi="Times New Roman" w:cs="Times New Roman"/>
          <w:sz w:val="28"/>
          <w:szCs w:val="28"/>
          <w:lang w:val="en-US"/>
        </w:rPr>
        <w:t xml:space="preserve">The appeal is dismissed with </w:t>
      </w:r>
      <w:proofErr w:type="gramStart"/>
      <w:r w:rsidRPr="000D7950">
        <w:rPr>
          <w:rFonts w:ascii="Times New Roman" w:hAnsi="Times New Roman" w:cs="Times New Roman"/>
          <w:sz w:val="28"/>
          <w:szCs w:val="28"/>
          <w:lang w:val="en-US"/>
        </w:rPr>
        <w:t>costs</w:t>
      </w:r>
      <w:r w:rsidR="00C8724D" w:rsidRPr="000D7950">
        <w:rPr>
          <w:rFonts w:ascii="Times New Roman" w:hAnsi="Times New Roman" w:cs="Times New Roman"/>
          <w:sz w:val="28"/>
          <w:szCs w:val="28"/>
          <w:lang w:val="en-US"/>
        </w:rPr>
        <w:t>,</w:t>
      </w:r>
      <w:proofErr w:type="gramEnd"/>
      <w:r w:rsidRPr="000D7950">
        <w:rPr>
          <w:rFonts w:ascii="Times New Roman" w:hAnsi="Times New Roman" w:cs="Times New Roman"/>
          <w:sz w:val="28"/>
          <w:szCs w:val="28"/>
          <w:lang w:val="en-US"/>
        </w:rPr>
        <w:t xml:space="preserve"> which costs shall include the costs consequent on the a</w:t>
      </w:r>
      <w:r w:rsidR="00C614A9" w:rsidRPr="000D7950">
        <w:rPr>
          <w:rFonts w:ascii="Times New Roman" w:hAnsi="Times New Roman" w:cs="Times New Roman"/>
          <w:sz w:val="28"/>
          <w:szCs w:val="28"/>
          <w:lang w:val="en-US"/>
        </w:rPr>
        <w:t>ppointment of two counsel.</w:t>
      </w:r>
    </w:p>
    <w:p w:rsidR="00D26615" w:rsidRDefault="00D26615" w:rsidP="003100E3">
      <w:pPr>
        <w:spacing w:line="360" w:lineRule="auto"/>
        <w:jc w:val="both"/>
        <w:rPr>
          <w:rFonts w:ascii="Times New Roman" w:hAnsi="Times New Roman" w:cs="Times New Roman"/>
          <w:sz w:val="28"/>
          <w:szCs w:val="28"/>
          <w:lang w:val="en-US"/>
        </w:rPr>
      </w:pPr>
    </w:p>
    <w:p w:rsidR="00886D59" w:rsidRDefault="00886D59" w:rsidP="003100E3">
      <w:pPr>
        <w:spacing w:line="360" w:lineRule="auto"/>
        <w:jc w:val="both"/>
        <w:rPr>
          <w:rFonts w:ascii="Times New Roman" w:hAnsi="Times New Roman" w:cs="Times New Roman"/>
          <w:sz w:val="28"/>
          <w:szCs w:val="28"/>
          <w:lang w:val="en-US"/>
        </w:rPr>
      </w:pPr>
    </w:p>
    <w:p w:rsidR="00886D59" w:rsidRPr="000D7950" w:rsidRDefault="00886D59" w:rsidP="003100E3">
      <w:pPr>
        <w:spacing w:line="360" w:lineRule="auto"/>
        <w:jc w:val="both"/>
        <w:rPr>
          <w:rFonts w:ascii="Times New Roman" w:hAnsi="Times New Roman" w:cs="Times New Roman"/>
          <w:sz w:val="28"/>
          <w:szCs w:val="28"/>
          <w:lang w:val="en-US"/>
        </w:rPr>
      </w:pPr>
    </w:p>
    <w:p w:rsidR="005F524B" w:rsidRPr="000D7950" w:rsidRDefault="005F524B" w:rsidP="003100E3">
      <w:pPr>
        <w:spacing w:line="360" w:lineRule="auto"/>
        <w:jc w:val="right"/>
        <w:rPr>
          <w:rFonts w:ascii="Times New Roman" w:eastAsiaTheme="minorHAnsi" w:hAnsi="Times New Roman" w:cs="Times New Roman"/>
          <w:bCs/>
          <w:sz w:val="28"/>
          <w:szCs w:val="28"/>
          <w:lang w:val="en-US"/>
        </w:rPr>
      </w:pPr>
      <w:r w:rsidRPr="000D7950">
        <w:rPr>
          <w:rFonts w:ascii="Times New Roman" w:hAnsi="Times New Roman" w:cs="Times New Roman"/>
          <w:sz w:val="28"/>
          <w:szCs w:val="28"/>
          <w:lang w:val="en-US"/>
        </w:rPr>
        <w:tab/>
      </w:r>
      <w:r w:rsidRPr="000D7950">
        <w:rPr>
          <w:rFonts w:ascii="Times New Roman" w:hAnsi="Times New Roman" w:cs="Times New Roman"/>
          <w:sz w:val="28"/>
          <w:szCs w:val="28"/>
          <w:lang w:val="en-US"/>
        </w:rPr>
        <w:tab/>
      </w:r>
      <w:r w:rsidRPr="000D7950">
        <w:rPr>
          <w:rFonts w:ascii="Times New Roman" w:hAnsi="Times New Roman" w:cs="Times New Roman"/>
          <w:sz w:val="28"/>
          <w:szCs w:val="28"/>
          <w:lang w:val="en-US"/>
        </w:rPr>
        <w:tab/>
      </w:r>
      <w:r w:rsidRPr="000D7950">
        <w:rPr>
          <w:rFonts w:ascii="Times New Roman" w:hAnsi="Times New Roman" w:cs="Times New Roman"/>
          <w:sz w:val="28"/>
          <w:szCs w:val="28"/>
          <w:lang w:val="en-US"/>
        </w:rPr>
        <w:tab/>
      </w:r>
      <w:r w:rsidRPr="000D7950">
        <w:rPr>
          <w:rFonts w:ascii="Times New Roman" w:hAnsi="Times New Roman" w:cs="Times New Roman"/>
          <w:sz w:val="28"/>
          <w:szCs w:val="28"/>
          <w:lang w:val="en-US"/>
        </w:rPr>
        <w:tab/>
      </w:r>
      <w:r w:rsidRPr="000D7950">
        <w:rPr>
          <w:rFonts w:ascii="Times New Roman" w:eastAsiaTheme="minorHAnsi" w:hAnsi="Times New Roman" w:cs="Times New Roman"/>
          <w:bCs/>
          <w:sz w:val="28"/>
          <w:szCs w:val="28"/>
          <w:lang w:val="en-US"/>
        </w:rPr>
        <w:t>________________________</w:t>
      </w:r>
    </w:p>
    <w:p w:rsidR="00377C54" w:rsidRPr="000D7950" w:rsidRDefault="000E39C3" w:rsidP="00377C54">
      <w:pPr>
        <w:spacing w:line="360" w:lineRule="auto"/>
        <w:jc w:val="right"/>
        <w:rPr>
          <w:rFonts w:ascii="Times New Roman" w:eastAsiaTheme="minorHAnsi" w:hAnsi="Times New Roman" w:cs="Times New Roman"/>
          <w:bCs/>
          <w:sz w:val="28"/>
          <w:szCs w:val="28"/>
          <w:lang w:val="en-US"/>
        </w:rPr>
      </w:pPr>
      <w:r w:rsidRPr="000D7950">
        <w:rPr>
          <w:rFonts w:ascii="Times New Roman" w:eastAsiaTheme="minorHAnsi" w:hAnsi="Times New Roman" w:cs="Times New Roman"/>
          <w:bCs/>
          <w:sz w:val="28"/>
          <w:szCs w:val="28"/>
          <w:lang w:val="en-US"/>
        </w:rPr>
        <w:t>A M KGOELE</w:t>
      </w:r>
    </w:p>
    <w:p w:rsidR="000B0B61" w:rsidRPr="00CF1C8E" w:rsidRDefault="005F524B" w:rsidP="00CF1C8E">
      <w:pPr>
        <w:spacing w:line="360" w:lineRule="auto"/>
        <w:jc w:val="right"/>
        <w:rPr>
          <w:rFonts w:ascii="Times New Roman" w:eastAsiaTheme="minorHAnsi" w:hAnsi="Times New Roman" w:cs="Times New Roman"/>
          <w:bCs/>
          <w:sz w:val="28"/>
          <w:szCs w:val="28"/>
          <w:lang w:val="en-US"/>
        </w:rPr>
      </w:pPr>
      <w:r w:rsidRPr="000D7950">
        <w:rPr>
          <w:rFonts w:ascii="Times New Roman" w:eastAsiaTheme="minorHAnsi" w:hAnsi="Times New Roman" w:cs="Times New Roman"/>
          <w:bCs/>
          <w:sz w:val="28"/>
          <w:szCs w:val="28"/>
          <w:lang w:val="en-US"/>
        </w:rPr>
        <w:t>JUDGE OF AP</w:t>
      </w:r>
      <w:r w:rsidR="00377C54" w:rsidRPr="000D7950">
        <w:rPr>
          <w:rFonts w:ascii="Times New Roman" w:eastAsiaTheme="minorHAnsi" w:hAnsi="Times New Roman" w:cs="Times New Roman"/>
          <w:bCs/>
          <w:sz w:val="28"/>
          <w:szCs w:val="28"/>
          <w:lang w:val="en-US"/>
        </w:rPr>
        <w:t>PEAL</w:t>
      </w:r>
    </w:p>
    <w:p w:rsidR="00886D59" w:rsidRDefault="00886D59" w:rsidP="009A33A8">
      <w:pPr>
        <w:spacing w:after="160" w:line="259" w:lineRule="auto"/>
        <w:rPr>
          <w:rFonts w:ascii="Times New Roman" w:eastAsiaTheme="minorHAnsi" w:hAnsi="Times New Roman" w:cs="Times New Roman"/>
          <w:sz w:val="28"/>
          <w:szCs w:val="28"/>
          <w:lang w:val="en-US"/>
        </w:rPr>
      </w:pPr>
    </w:p>
    <w:p w:rsidR="00886D59" w:rsidRDefault="00886D59" w:rsidP="009A33A8">
      <w:pPr>
        <w:spacing w:after="160" w:line="259" w:lineRule="auto"/>
        <w:rPr>
          <w:rFonts w:ascii="Times New Roman" w:eastAsiaTheme="minorHAnsi" w:hAnsi="Times New Roman" w:cs="Times New Roman"/>
          <w:sz w:val="28"/>
          <w:szCs w:val="28"/>
          <w:lang w:val="en-US"/>
        </w:rPr>
      </w:pPr>
    </w:p>
    <w:p w:rsidR="00190E48" w:rsidRDefault="00190E48" w:rsidP="009A33A8">
      <w:pPr>
        <w:spacing w:after="160" w:line="259" w:lineRule="auto"/>
        <w:rPr>
          <w:rFonts w:ascii="Times New Roman" w:eastAsiaTheme="minorHAnsi" w:hAnsi="Times New Roman" w:cs="Times New Roman"/>
          <w:sz w:val="28"/>
          <w:szCs w:val="28"/>
          <w:lang w:val="en-US"/>
        </w:rPr>
      </w:pPr>
    </w:p>
    <w:p w:rsidR="00190E48" w:rsidRDefault="00190E48" w:rsidP="009A33A8">
      <w:pPr>
        <w:spacing w:after="160" w:line="259" w:lineRule="auto"/>
        <w:rPr>
          <w:rFonts w:ascii="Times New Roman" w:eastAsiaTheme="minorHAnsi" w:hAnsi="Times New Roman" w:cs="Times New Roman"/>
          <w:sz w:val="28"/>
          <w:szCs w:val="28"/>
          <w:lang w:val="en-US"/>
        </w:rPr>
      </w:pPr>
      <w:bookmarkStart w:id="0" w:name="_GoBack"/>
      <w:bookmarkEnd w:id="0"/>
    </w:p>
    <w:p w:rsidR="00886D59" w:rsidRDefault="00886D59" w:rsidP="009A33A8">
      <w:pPr>
        <w:spacing w:after="160" w:line="259" w:lineRule="auto"/>
        <w:rPr>
          <w:rFonts w:ascii="Times New Roman" w:eastAsiaTheme="minorHAnsi" w:hAnsi="Times New Roman" w:cs="Times New Roman"/>
          <w:sz w:val="28"/>
          <w:szCs w:val="28"/>
          <w:lang w:val="en-US"/>
        </w:rPr>
      </w:pPr>
    </w:p>
    <w:p w:rsidR="00422881" w:rsidRPr="000D7950" w:rsidRDefault="00422881" w:rsidP="009A33A8">
      <w:pPr>
        <w:spacing w:after="160" w:line="259" w:lineRule="auto"/>
        <w:rPr>
          <w:rFonts w:ascii="Times New Roman" w:eastAsiaTheme="minorHAnsi" w:hAnsi="Times New Roman" w:cs="Times New Roman"/>
          <w:sz w:val="28"/>
          <w:szCs w:val="28"/>
          <w:lang w:val="en-US"/>
        </w:rPr>
      </w:pPr>
      <w:r w:rsidRPr="000D7950">
        <w:rPr>
          <w:rFonts w:ascii="Times New Roman" w:eastAsiaTheme="minorHAnsi" w:hAnsi="Times New Roman" w:cs="Times New Roman"/>
          <w:sz w:val="28"/>
          <w:szCs w:val="28"/>
          <w:lang w:val="en-US"/>
        </w:rPr>
        <w:lastRenderedPageBreak/>
        <w:t>Appearances</w:t>
      </w:r>
    </w:p>
    <w:p w:rsidR="0094354B" w:rsidRPr="000D7950" w:rsidRDefault="0094354B">
      <w:pPr>
        <w:spacing w:line="360" w:lineRule="auto"/>
        <w:ind w:left="5040" w:hanging="5040"/>
        <w:jc w:val="both"/>
        <w:rPr>
          <w:rFonts w:ascii="Times New Roman" w:eastAsiaTheme="minorHAnsi" w:hAnsi="Times New Roman" w:cs="Times New Roman"/>
          <w:sz w:val="28"/>
          <w:szCs w:val="28"/>
          <w:lang w:val="en-US"/>
        </w:rPr>
      </w:pPr>
    </w:p>
    <w:p w:rsidR="00422881" w:rsidRPr="000D7950" w:rsidRDefault="00422881">
      <w:pPr>
        <w:spacing w:line="360" w:lineRule="auto"/>
        <w:ind w:left="3402" w:hanging="3402"/>
        <w:jc w:val="both"/>
        <w:rPr>
          <w:rFonts w:ascii="Times New Roman" w:eastAsiaTheme="minorHAnsi" w:hAnsi="Times New Roman" w:cs="Times New Roman"/>
          <w:sz w:val="28"/>
          <w:szCs w:val="28"/>
          <w:lang w:val="en-US"/>
        </w:rPr>
      </w:pPr>
      <w:r w:rsidRPr="000D7950">
        <w:rPr>
          <w:rFonts w:ascii="Times New Roman" w:eastAsiaTheme="minorHAnsi" w:hAnsi="Times New Roman" w:cs="Times New Roman"/>
          <w:sz w:val="28"/>
          <w:szCs w:val="28"/>
          <w:lang w:val="en-US"/>
        </w:rPr>
        <w:t>For appellant</w:t>
      </w:r>
      <w:r w:rsidR="00212A36" w:rsidRPr="000D7950">
        <w:rPr>
          <w:rFonts w:ascii="Times New Roman" w:eastAsiaTheme="minorHAnsi" w:hAnsi="Times New Roman" w:cs="Times New Roman"/>
          <w:sz w:val="28"/>
          <w:szCs w:val="28"/>
          <w:lang w:val="en-US"/>
        </w:rPr>
        <w:t>:</w:t>
      </w:r>
      <w:r w:rsidR="00BD1446" w:rsidRPr="000D7950">
        <w:rPr>
          <w:rFonts w:ascii="Times New Roman" w:eastAsiaTheme="minorHAnsi" w:hAnsi="Times New Roman" w:cs="Times New Roman"/>
          <w:sz w:val="28"/>
          <w:szCs w:val="28"/>
          <w:lang w:val="en-US"/>
        </w:rPr>
        <w:tab/>
        <w:t xml:space="preserve">T C </w:t>
      </w:r>
      <w:proofErr w:type="spellStart"/>
      <w:r w:rsidR="00BD1446" w:rsidRPr="000D7950">
        <w:rPr>
          <w:rFonts w:ascii="Times New Roman" w:eastAsiaTheme="minorHAnsi" w:hAnsi="Times New Roman" w:cs="Times New Roman"/>
          <w:sz w:val="28"/>
          <w:szCs w:val="28"/>
          <w:lang w:val="en-US"/>
        </w:rPr>
        <w:t>Kwinda</w:t>
      </w:r>
      <w:proofErr w:type="spellEnd"/>
      <w:r w:rsidR="00585A4B">
        <w:rPr>
          <w:rFonts w:ascii="Times New Roman" w:eastAsiaTheme="minorHAnsi" w:hAnsi="Times New Roman" w:cs="Times New Roman"/>
          <w:sz w:val="28"/>
          <w:szCs w:val="28"/>
          <w:lang w:val="en-US"/>
        </w:rPr>
        <w:t xml:space="preserve"> </w:t>
      </w:r>
    </w:p>
    <w:p w:rsidR="00BD1446" w:rsidRPr="000D7950" w:rsidRDefault="00422881">
      <w:pPr>
        <w:spacing w:line="360" w:lineRule="auto"/>
        <w:ind w:left="3402" w:hanging="3402"/>
        <w:jc w:val="both"/>
        <w:rPr>
          <w:rFonts w:ascii="Times New Roman" w:eastAsiaTheme="minorHAnsi" w:hAnsi="Times New Roman" w:cs="Times New Roman"/>
          <w:sz w:val="28"/>
          <w:szCs w:val="28"/>
          <w:lang w:val="en-US"/>
        </w:rPr>
      </w:pPr>
      <w:r w:rsidRPr="000D7950">
        <w:rPr>
          <w:rFonts w:ascii="Times New Roman" w:eastAsiaTheme="minorHAnsi" w:hAnsi="Times New Roman" w:cs="Times New Roman"/>
          <w:sz w:val="28"/>
          <w:szCs w:val="28"/>
          <w:lang w:val="en-US"/>
        </w:rPr>
        <w:t>Instructed by:</w:t>
      </w:r>
      <w:r w:rsidR="00BD1446" w:rsidRPr="000D7950">
        <w:rPr>
          <w:rFonts w:ascii="Times New Roman" w:eastAsiaTheme="minorHAnsi" w:hAnsi="Times New Roman" w:cs="Times New Roman"/>
          <w:sz w:val="28"/>
          <w:szCs w:val="28"/>
          <w:lang w:val="en-US"/>
        </w:rPr>
        <w:tab/>
        <w:t>State Attorney, Pretoria</w:t>
      </w:r>
    </w:p>
    <w:p w:rsidR="00422881" w:rsidRPr="000D7950" w:rsidRDefault="00BD1446">
      <w:pPr>
        <w:spacing w:line="360" w:lineRule="auto"/>
        <w:ind w:left="3402" w:hanging="3402"/>
        <w:jc w:val="both"/>
        <w:rPr>
          <w:rFonts w:ascii="Times New Roman" w:eastAsiaTheme="minorHAnsi" w:hAnsi="Times New Roman" w:cs="Times New Roman"/>
          <w:sz w:val="28"/>
          <w:szCs w:val="28"/>
          <w:lang w:val="en-US"/>
        </w:rPr>
      </w:pPr>
      <w:r w:rsidRPr="000D7950">
        <w:rPr>
          <w:rFonts w:ascii="Times New Roman" w:eastAsiaTheme="minorHAnsi" w:hAnsi="Times New Roman" w:cs="Times New Roman"/>
          <w:sz w:val="28"/>
          <w:szCs w:val="28"/>
          <w:lang w:val="en-US"/>
        </w:rPr>
        <w:tab/>
        <w:t>State Attorney, Bloemfontein</w:t>
      </w:r>
      <w:r w:rsidR="00422881" w:rsidRPr="000D7950">
        <w:rPr>
          <w:rFonts w:ascii="Times New Roman" w:eastAsiaTheme="minorHAnsi" w:hAnsi="Times New Roman" w:cs="Times New Roman"/>
          <w:sz w:val="28"/>
          <w:szCs w:val="28"/>
          <w:lang w:val="en-US"/>
        </w:rPr>
        <w:tab/>
      </w:r>
    </w:p>
    <w:p w:rsidR="00422881" w:rsidRPr="000D7950" w:rsidRDefault="00422881">
      <w:pPr>
        <w:spacing w:line="360" w:lineRule="auto"/>
        <w:ind w:left="3402" w:hanging="3402"/>
        <w:jc w:val="both"/>
        <w:rPr>
          <w:rFonts w:ascii="Times New Roman" w:eastAsiaTheme="minorHAnsi" w:hAnsi="Times New Roman" w:cs="Times New Roman"/>
          <w:sz w:val="28"/>
          <w:szCs w:val="28"/>
          <w:lang w:val="en-US"/>
        </w:rPr>
      </w:pPr>
      <w:r w:rsidRPr="000D7950">
        <w:rPr>
          <w:rFonts w:ascii="Times New Roman" w:eastAsiaTheme="minorHAnsi" w:hAnsi="Times New Roman" w:cs="Times New Roman"/>
          <w:sz w:val="28"/>
          <w:szCs w:val="28"/>
          <w:lang w:val="en-US"/>
        </w:rPr>
        <w:tab/>
      </w:r>
    </w:p>
    <w:p w:rsidR="00422881" w:rsidRPr="000D7950" w:rsidRDefault="00422881">
      <w:pPr>
        <w:spacing w:line="360" w:lineRule="auto"/>
        <w:ind w:left="3402" w:hanging="3402"/>
        <w:jc w:val="both"/>
        <w:rPr>
          <w:rFonts w:ascii="Times New Roman" w:eastAsiaTheme="minorHAnsi" w:hAnsi="Times New Roman" w:cs="Times New Roman"/>
          <w:sz w:val="28"/>
          <w:szCs w:val="28"/>
          <w:lang w:val="en-US"/>
        </w:rPr>
      </w:pPr>
      <w:r w:rsidRPr="000D7950">
        <w:rPr>
          <w:rFonts w:ascii="Times New Roman" w:eastAsiaTheme="minorHAnsi" w:hAnsi="Times New Roman" w:cs="Times New Roman"/>
          <w:sz w:val="28"/>
          <w:szCs w:val="28"/>
          <w:lang w:val="en-US"/>
        </w:rPr>
        <w:t>For respondent:</w:t>
      </w:r>
      <w:r w:rsidR="00BD1446" w:rsidRPr="000D7950">
        <w:rPr>
          <w:rFonts w:ascii="Times New Roman" w:eastAsiaTheme="minorHAnsi" w:hAnsi="Times New Roman" w:cs="Times New Roman"/>
          <w:sz w:val="28"/>
          <w:szCs w:val="28"/>
          <w:lang w:val="en-US"/>
        </w:rPr>
        <w:tab/>
      </w:r>
      <w:r w:rsidR="00BC2C14" w:rsidRPr="000D7950">
        <w:rPr>
          <w:rFonts w:ascii="Times New Roman" w:eastAsiaTheme="minorHAnsi" w:hAnsi="Times New Roman" w:cs="Times New Roman"/>
          <w:sz w:val="28"/>
          <w:szCs w:val="28"/>
          <w:lang w:val="en-US"/>
        </w:rPr>
        <w:t xml:space="preserve">M R </w:t>
      </w:r>
      <w:proofErr w:type="spellStart"/>
      <w:proofErr w:type="gramStart"/>
      <w:r w:rsidR="00BC2C14" w:rsidRPr="000D7950">
        <w:rPr>
          <w:rFonts w:ascii="Times New Roman" w:eastAsiaTheme="minorHAnsi" w:hAnsi="Times New Roman" w:cs="Times New Roman"/>
          <w:sz w:val="28"/>
          <w:szCs w:val="28"/>
          <w:lang w:val="en-US"/>
        </w:rPr>
        <w:t>Maphutha</w:t>
      </w:r>
      <w:proofErr w:type="spellEnd"/>
      <w:r w:rsidR="00585A4B">
        <w:rPr>
          <w:rFonts w:ascii="Times New Roman" w:eastAsiaTheme="minorHAnsi" w:hAnsi="Times New Roman" w:cs="Times New Roman"/>
          <w:sz w:val="28"/>
          <w:szCs w:val="28"/>
          <w:lang w:val="en-US"/>
        </w:rPr>
        <w:t xml:space="preserve"> </w:t>
      </w:r>
      <w:r w:rsidR="00BC2C14" w:rsidRPr="000D7950">
        <w:rPr>
          <w:rFonts w:ascii="Times New Roman" w:eastAsiaTheme="minorHAnsi" w:hAnsi="Times New Roman" w:cs="Times New Roman"/>
          <w:sz w:val="28"/>
          <w:szCs w:val="28"/>
          <w:lang w:val="en-US"/>
        </w:rPr>
        <w:t xml:space="preserve"> </w:t>
      </w:r>
      <w:r w:rsidR="00A57A06" w:rsidRPr="000D7950">
        <w:rPr>
          <w:rFonts w:ascii="Times New Roman" w:eastAsiaTheme="minorHAnsi" w:hAnsi="Times New Roman" w:cs="Times New Roman"/>
          <w:sz w:val="28"/>
          <w:szCs w:val="28"/>
          <w:lang w:val="en-US"/>
        </w:rPr>
        <w:t>(</w:t>
      </w:r>
      <w:proofErr w:type="gramEnd"/>
      <w:r w:rsidR="00BC2C14" w:rsidRPr="000D7950">
        <w:rPr>
          <w:rFonts w:ascii="Times New Roman" w:eastAsiaTheme="minorHAnsi" w:hAnsi="Times New Roman" w:cs="Times New Roman"/>
          <w:sz w:val="28"/>
          <w:szCs w:val="28"/>
          <w:lang w:val="en-US"/>
        </w:rPr>
        <w:t xml:space="preserve">with </w:t>
      </w:r>
      <w:r w:rsidR="00A57A06" w:rsidRPr="000D7950">
        <w:rPr>
          <w:rFonts w:ascii="Times New Roman" w:eastAsiaTheme="minorHAnsi" w:hAnsi="Times New Roman" w:cs="Times New Roman"/>
          <w:sz w:val="28"/>
          <w:szCs w:val="28"/>
          <w:lang w:val="en-US"/>
        </w:rPr>
        <w:t xml:space="preserve">A </w:t>
      </w:r>
      <w:proofErr w:type="spellStart"/>
      <w:r w:rsidR="00A57A06" w:rsidRPr="000D7950">
        <w:rPr>
          <w:rFonts w:ascii="Times New Roman" w:eastAsiaTheme="minorHAnsi" w:hAnsi="Times New Roman" w:cs="Times New Roman"/>
          <w:sz w:val="28"/>
          <w:szCs w:val="28"/>
          <w:lang w:val="en-US"/>
        </w:rPr>
        <w:t>Seshoka</w:t>
      </w:r>
      <w:proofErr w:type="spellEnd"/>
      <w:r w:rsidR="00A57A06" w:rsidRPr="000D7950">
        <w:rPr>
          <w:rFonts w:ascii="Times New Roman" w:eastAsiaTheme="minorHAnsi" w:hAnsi="Times New Roman" w:cs="Times New Roman"/>
          <w:sz w:val="28"/>
          <w:szCs w:val="28"/>
          <w:lang w:val="en-US"/>
        </w:rPr>
        <w:t>)</w:t>
      </w:r>
    </w:p>
    <w:p w:rsidR="00422881" w:rsidRPr="000D7950" w:rsidRDefault="00422881">
      <w:pPr>
        <w:spacing w:line="360" w:lineRule="auto"/>
        <w:ind w:left="3402" w:hanging="3402"/>
        <w:jc w:val="both"/>
        <w:rPr>
          <w:rFonts w:ascii="Times New Roman" w:eastAsiaTheme="minorHAnsi" w:hAnsi="Times New Roman" w:cs="Times New Roman"/>
          <w:sz w:val="28"/>
          <w:szCs w:val="28"/>
          <w:lang w:val="en-US"/>
        </w:rPr>
      </w:pPr>
      <w:r w:rsidRPr="000D7950">
        <w:rPr>
          <w:rFonts w:ascii="Times New Roman" w:eastAsiaTheme="minorHAnsi" w:hAnsi="Times New Roman" w:cs="Times New Roman"/>
          <w:sz w:val="28"/>
          <w:szCs w:val="28"/>
          <w:lang w:val="en-US"/>
        </w:rPr>
        <w:t>Instructed by:</w:t>
      </w:r>
      <w:r w:rsidRPr="000D7950">
        <w:rPr>
          <w:rFonts w:ascii="Times New Roman" w:eastAsiaTheme="minorHAnsi" w:hAnsi="Times New Roman" w:cs="Times New Roman"/>
          <w:sz w:val="28"/>
          <w:szCs w:val="28"/>
          <w:lang w:val="en-US"/>
        </w:rPr>
        <w:tab/>
      </w:r>
      <w:proofErr w:type="spellStart"/>
      <w:r w:rsidR="00A57A06" w:rsidRPr="000D7950">
        <w:rPr>
          <w:rFonts w:ascii="Times New Roman" w:eastAsiaTheme="minorHAnsi" w:hAnsi="Times New Roman" w:cs="Times New Roman"/>
          <w:sz w:val="28"/>
          <w:szCs w:val="28"/>
          <w:lang w:val="en-US"/>
        </w:rPr>
        <w:t>Makhafola</w:t>
      </w:r>
      <w:proofErr w:type="spellEnd"/>
      <w:r w:rsidR="00A57A06" w:rsidRPr="000D7950">
        <w:rPr>
          <w:rFonts w:ascii="Times New Roman" w:eastAsiaTheme="minorHAnsi" w:hAnsi="Times New Roman" w:cs="Times New Roman"/>
          <w:sz w:val="28"/>
          <w:szCs w:val="28"/>
          <w:lang w:val="en-US"/>
        </w:rPr>
        <w:t xml:space="preserve"> &amp; </w:t>
      </w:r>
      <w:proofErr w:type="spellStart"/>
      <w:r w:rsidR="00A57A06" w:rsidRPr="000D7950">
        <w:rPr>
          <w:rFonts w:ascii="Times New Roman" w:eastAsiaTheme="minorHAnsi" w:hAnsi="Times New Roman" w:cs="Times New Roman"/>
          <w:sz w:val="28"/>
          <w:szCs w:val="28"/>
          <w:lang w:val="en-US"/>
        </w:rPr>
        <w:t>Verster</w:t>
      </w:r>
      <w:proofErr w:type="spellEnd"/>
      <w:r w:rsidR="00A57A06" w:rsidRPr="000D7950">
        <w:rPr>
          <w:rFonts w:ascii="Times New Roman" w:eastAsiaTheme="minorHAnsi" w:hAnsi="Times New Roman" w:cs="Times New Roman"/>
          <w:sz w:val="28"/>
          <w:szCs w:val="28"/>
          <w:lang w:val="en-US"/>
        </w:rPr>
        <w:t xml:space="preserve"> Inc., Pretoria</w:t>
      </w:r>
    </w:p>
    <w:p w:rsidR="00A57A06" w:rsidRPr="00B94DCA" w:rsidRDefault="00A57A06">
      <w:pPr>
        <w:spacing w:line="360" w:lineRule="auto"/>
        <w:ind w:left="3402" w:hanging="3402"/>
        <w:jc w:val="both"/>
        <w:rPr>
          <w:rFonts w:ascii="Times New Roman" w:eastAsiaTheme="minorHAnsi" w:hAnsi="Times New Roman" w:cs="Times New Roman"/>
          <w:sz w:val="28"/>
          <w:szCs w:val="28"/>
          <w:lang w:val="en-US"/>
        </w:rPr>
      </w:pPr>
      <w:r w:rsidRPr="000D7950">
        <w:rPr>
          <w:rFonts w:ascii="Times New Roman" w:eastAsiaTheme="minorHAnsi" w:hAnsi="Times New Roman" w:cs="Times New Roman"/>
          <w:sz w:val="28"/>
          <w:szCs w:val="28"/>
          <w:lang w:val="en-US"/>
        </w:rPr>
        <w:tab/>
        <w:t>Makubalo A</w:t>
      </w:r>
      <w:r w:rsidR="00B6756C" w:rsidRPr="000D7950">
        <w:rPr>
          <w:rFonts w:ascii="Times New Roman" w:eastAsiaTheme="minorHAnsi" w:hAnsi="Times New Roman" w:cs="Times New Roman"/>
          <w:sz w:val="28"/>
          <w:szCs w:val="28"/>
          <w:lang w:val="en-US"/>
        </w:rPr>
        <w:t>ttorney, Bloemfontein</w:t>
      </w:r>
    </w:p>
    <w:p w:rsidR="006D707E" w:rsidRPr="00B94DCA" w:rsidRDefault="006D707E">
      <w:pPr>
        <w:spacing w:line="360" w:lineRule="auto"/>
        <w:ind w:left="3402" w:hanging="3402"/>
        <w:jc w:val="both"/>
        <w:rPr>
          <w:rFonts w:ascii="Times New Roman" w:eastAsiaTheme="minorHAnsi" w:hAnsi="Times New Roman" w:cs="Times New Roman"/>
          <w:sz w:val="28"/>
          <w:szCs w:val="28"/>
          <w:lang w:val="en-US"/>
        </w:rPr>
      </w:pPr>
      <w:r w:rsidRPr="00B94DCA">
        <w:rPr>
          <w:rFonts w:ascii="Times New Roman" w:eastAsiaTheme="minorHAnsi" w:hAnsi="Times New Roman" w:cs="Times New Roman"/>
          <w:sz w:val="28"/>
          <w:szCs w:val="28"/>
          <w:lang w:val="en-US"/>
        </w:rPr>
        <w:tab/>
      </w:r>
    </w:p>
    <w:p w:rsidR="00422881" w:rsidRPr="00B94DCA" w:rsidRDefault="00422881" w:rsidP="003100E3">
      <w:pPr>
        <w:spacing w:line="360" w:lineRule="auto"/>
        <w:rPr>
          <w:rFonts w:ascii="Times New Roman" w:hAnsi="Times New Roman" w:cs="Times New Roman"/>
          <w:b/>
          <w:bCs/>
          <w:sz w:val="28"/>
          <w:szCs w:val="28"/>
          <w:lang w:val="en-US"/>
        </w:rPr>
      </w:pPr>
    </w:p>
    <w:p w:rsidR="00D26615" w:rsidRPr="00B94DCA" w:rsidRDefault="00D26615" w:rsidP="003100E3">
      <w:pPr>
        <w:spacing w:line="360" w:lineRule="auto"/>
        <w:jc w:val="both"/>
        <w:rPr>
          <w:rFonts w:ascii="Times New Roman" w:hAnsi="Times New Roman" w:cs="Times New Roman"/>
          <w:b/>
          <w:bCs/>
          <w:sz w:val="28"/>
          <w:szCs w:val="28"/>
          <w:lang w:val="en-US"/>
        </w:rPr>
      </w:pPr>
    </w:p>
    <w:p w:rsidR="00D26615" w:rsidRPr="00B94DCA" w:rsidRDefault="00D26615" w:rsidP="003100E3">
      <w:pPr>
        <w:spacing w:line="360" w:lineRule="auto"/>
        <w:jc w:val="both"/>
        <w:rPr>
          <w:rFonts w:ascii="Times New Roman" w:hAnsi="Times New Roman" w:cs="Times New Roman"/>
          <w:sz w:val="28"/>
          <w:szCs w:val="28"/>
          <w:lang w:val="en-US"/>
        </w:rPr>
      </w:pPr>
    </w:p>
    <w:p w:rsidR="00D26615" w:rsidRPr="00C0076D" w:rsidRDefault="00D26615" w:rsidP="003100E3">
      <w:pPr>
        <w:spacing w:line="360" w:lineRule="auto"/>
        <w:ind w:left="1080"/>
        <w:jc w:val="both"/>
        <w:rPr>
          <w:rFonts w:ascii="Times New Roman" w:hAnsi="Times New Roman" w:cs="Times New Roman"/>
          <w:lang w:val="en-US"/>
        </w:rPr>
      </w:pPr>
    </w:p>
    <w:p w:rsidR="00D26615" w:rsidRPr="00C0076D" w:rsidRDefault="00D26615" w:rsidP="003100E3">
      <w:pPr>
        <w:spacing w:line="360" w:lineRule="auto"/>
        <w:ind w:left="1080"/>
        <w:jc w:val="both"/>
        <w:rPr>
          <w:rFonts w:ascii="Times New Roman" w:hAnsi="Times New Roman" w:cs="Times New Roman"/>
          <w:lang w:val="en-US"/>
        </w:rPr>
      </w:pPr>
    </w:p>
    <w:p w:rsidR="00D26615" w:rsidRPr="00C0076D" w:rsidRDefault="00D26615" w:rsidP="003100E3">
      <w:pPr>
        <w:spacing w:line="360" w:lineRule="auto"/>
        <w:jc w:val="both"/>
        <w:rPr>
          <w:rFonts w:ascii="Times New Roman" w:hAnsi="Times New Roman" w:cs="Times New Roman"/>
          <w:lang w:val="en-US"/>
        </w:rPr>
      </w:pPr>
    </w:p>
    <w:p w:rsidR="00D26615" w:rsidRPr="00C0076D" w:rsidRDefault="00D26615" w:rsidP="003100E3">
      <w:pPr>
        <w:spacing w:line="360" w:lineRule="auto"/>
        <w:ind w:left="360"/>
        <w:jc w:val="both"/>
        <w:rPr>
          <w:rFonts w:ascii="Times New Roman" w:hAnsi="Times New Roman" w:cs="Times New Roman"/>
          <w:lang w:val="en-US"/>
        </w:rPr>
      </w:pPr>
    </w:p>
    <w:p w:rsidR="00D26615" w:rsidRPr="00C0076D" w:rsidRDefault="00D26615" w:rsidP="003100E3">
      <w:pPr>
        <w:spacing w:line="360" w:lineRule="auto"/>
        <w:jc w:val="both"/>
        <w:rPr>
          <w:rFonts w:ascii="Times New Roman" w:hAnsi="Times New Roman" w:cs="Times New Roman"/>
          <w:lang w:val="en-US"/>
        </w:rPr>
      </w:pPr>
    </w:p>
    <w:p w:rsidR="00D26615" w:rsidRPr="00C0076D" w:rsidRDefault="00D26615" w:rsidP="003100E3">
      <w:pPr>
        <w:spacing w:line="360" w:lineRule="auto"/>
        <w:jc w:val="both"/>
        <w:rPr>
          <w:rFonts w:ascii="Times New Roman" w:hAnsi="Times New Roman" w:cs="Times New Roman"/>
          <w:lang w:val="en-US"/>
        </w:rPr>
      </w:pPr>
    </w:p>
    <w:p w:rsidR="00D26615" w:rsidRPr="00C0076D" w:rsidRDefault="00D26615" w:rsidP="003100E3">
      <w:pPr>
        <w:spacing w:line="360" w:lineRule="auto"/>
        <w:jc w:val="both"/>
        <w:rPr>
          <w:rFonts w:ascii="Times New Roman" w:hAnsi="Times New Roman" w:cs="Times New Roman"/>
          <w:lang w:val="en-US"/>
        </w:rPr>
      </w:pPr>
    </w:p>
    <w:p w:rsidR="00D26615" w:rsidRPr="00C0076D" w:rsidRDefault="00D26615" w:rsidP="003100E3">
      <w:pPr>
        <w:spacing w:line="360" w:lineRule="auto"/>
        <w:jc w:val="both"/>
        <w:rPr>
          <w:rFonts w:ascii="Times New Roman" w:hAnsi="Times New Roman" w:cs="Times New Roman"/>
          <w:lang w:val="en-US"/>
        </w:rPr>
      </w:pPr>
    </w:p>
    <w:p w:rsidR="00664D05" w:rsidRPr="00C0076D" w:rsidRDefault="00664D05" w:rsidP="003100E3">
      <w:pPr>
        <w:spacing w:line="360" w:lineRule="auto"/>
        <w:rPr>
          <w:rFonts w:ascii="Times New Roman" w:hAnsi="Times New Roman" w:cs="Times New Roman"/>
        </w:rPr>
      </w:pPr>
    </w:p>
    <w:sectPr w:rsidR="00664D05" w:rsidRPr="00C0076D" w:rsidSect="00641D40">
      <w:headerReference w:type="default" r:id="rId9"/>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699" w:rsidRDefault="00EB4699">
      <w:r>
        <w:separator/>
      </w:r>
    </w:p>
  </w:endnote>
  <w:endnote w:type="continuationSeparator" w:id="0">
    <w:p w:rsidR="00EB4699" w:rsidRDefault="00EB4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699" w:rsidRDefault="00EB4699">
      <w:r>
        <w:separator/>
      </w:r>
    </w:p>
  </w:footnote>
  <w:footnote w:type="continuationSeparator" w:id="0">
    <w:p w:rsidR="00EB4699" w:rsidRDefault="00EB4699">
      <w:r>
        <w:continuationSeparator/>
      </w:r>
    </w:p>
  </w:footnote>
  <w:footnote w:id="1">
    <w:p w:rsidR="007937DC" w:rsidRPr="00AA7967" w:rsidRDefault="007937DC" w:rsidP="003100E3">
      <w:pPr>
        <w:pStyle w:val="FootnoteText"/>
        <w:jc w:val="both"/>
        <w:rPr>
          <w:lang w:val="en-US"/>
        </w:rPr>
      </w:pPr>
      <w:r w:rsidRPr="003100E3">
        <w:rPr>
          <w:rStyle w:val="FootnoteReference"/>
          <w:rFonts w:ascii="Times New Roman" w:hAnsi="Times New Roman" w:cs="Times New Roman"/>
        </w:rPr>
        <w:footnoteRef/>
      </w:r>
      <w:r>
        <w:t xml:space="preserve"> </w:t>
      </w:r>
      <w:r w:rsidRPr="00AA7967">
        <w:rPr>
          <w:rFonts w:ascii="Times New Roman" w:hAnsi="Times New Roman" w:cs="Times New Roman"/>
          <w:i/>
          <w:lang w:val="en-US"/>
        </w:rPr>
        <w:t xml:space="preserve">City of Tshwane Metropolitan Municipality v </w:t>
      </w:r>
      <w:proofErr w:type="spellStart"/>
      <w:r w:rsidRPr="00AA7967">
        <w:rPr>
          <w:rFonts w:ascii="Times New Roman" w:hAnsi="Times New Roman" w:cs="Times New Roman"/>
          <w:i/>
          <w:lang w:val="en-US"/>
        </w:rPr>
        <w:t>Afriforum</w:t>
      </w:r>
      <w:proofErr w:type="spellEnd"/>
      <w:r w:rsidRPr="00AA7967">
        <w:rPr>
          <w:rFonts w:ascii="Times New Roman" w:hAnsi="Times New Roman" w:cs="Times New Roman"/>
          <w:i/>
          <w:lang w:val="en-US"/>
        </w:rPr>
        <w:t xml:space="preserve"> and Another</w:t>
      </w:r>
      <w:r>
        <w:rPr>
          <w:lang w:val="en-US"/>
        </w:rPr>
        <w:t xml:space="preserve"> </w:t>
      </w:r>
      <w:r w:rsidRPr="00AA7967">
        <w:rPr>
          <w:rFonts w:ascii="Times New Roman" w:hAnsi="Times New Roman" w:cs="Times New Roman"/>
          <w:lang w:val="en-US"/>
        </w:rPr>
        <w:t>[2016] ZACC 19</w:t>
      </w:r>
      <w:r>
        <w:rPr>
          <w:rFonts w:ascii="Times New Roman" w:hAnsi="Times New Roman" w:cs="Times New Roman"/>
          <w:lang w:val="en-US"/>
        </w:rPr>
        <w:t xml:space="preserve">; </w:t>
      </w:r>
      <w:r w:rsidRPr="009166C8">
        <w:rPr>
          <w:rFonts w:ascii="Times New Roman" w:hAnsi="Times New Roman" w:cs="Times New Roman"/>
          <w:lang w:val="en-US"/>
        </w:rPr>
        <w:t xml:space="preserve">2016 (9) BCLR 1133 (CC); 2016 (6) SA 279 (CC) </w:t>
      </w:r>
      <w:r>
        <w:rPr>
          <w:rFonts w:ascii="Times New Roman" w:hAnsi="Times New Roman" w:cs="Times New Roman"/>
          <w:lang w:val="en-US"/>
        </w:rPr>
        <w:t>para 18.</w:t>
      </w:r>
    </w:p>
  </w:footnote>
  <w:footnote w:id="2">
    <w:p w:rsidR="007937DC" w:rsidRPr="003100E3" w:rsidRDefault="007937DC" w:rsidP="003100E3">
      <w:pPr>
        <w:pStyle w:val="FootnoteText"/>
        <w:jc w:val="both"/>
        <w:rPr>
          <w:rFonts w:ascii="Times New Roman" w:hAnsi="Times New Roman" w:cs="Times New Roman"/>
          <w:lang w:val="en-ZA"/>
        </w:rPr>
      </w:pPr>
      <w:r w:rsidRPr="003100E3">
        <w:rPr>
          <w:rStyle w:val="FootnoteReference"/>
          <w:rFonts w:ascii="Times New Roman" w:hAnsi="Times New Roman" w:cs="Times New Roman"/>
        </w:rPr>
        <w:footnoteRef/>
      </w:r>
      <w:r w:rsidRPr="003100E3">
        <w:rPr>
          <w:rFonts w:ascii="Times New Roman" w:hAnsi="Times New Roman" w:cs="Times New Roman"/>
        </w:rPr>
        <w:t xml:space="preserve"> </w:t>
      </w:r>
      <w:r w:rsidRPr="00820E7B">
        <w:rPr>
          <w:rFonts w:ascii="Times New Roman" w:hAnsi="Times New Roman" w:cs="Times New Roman"/>
          <w:i/>
          <w:lang w:val="en-ZA"/>
        </w:rPr>
        <w:t xml:space="preserve">Minister of Police v Samuel </w:t>
      </w:r>
      <w:proofErr w:type="spellStart"/>
      <w:r w:rsidRPr="00820E7B">
        <w:rPr>
          <w:rFonts w:ascii="Times New Roman" w:hAnsi="Times New Roman" w:cs="Times New Roman"/>
          <w:i/>
          <w:lang w:val="en-ZA"/>
        </w:rPr>
        <w:t>Molok</w:t>
      </w:r>
      <w:r w:rsidR="00E27312">
        <w:rPr>
          <w:rFonts w:ascii="Times New Roman" w:hAnsi="Times New Roman" w:cs="Times New Roman"/>
          <w:i/>
          <w:lang w:val="en-ZA"/>
        </w:rPr>
        <w:t>w</w:t>
      </w:r>
      <w:r w:rsidRPr="00820E7B">
        <w:rPr>
          <w:rFonts w:ascii="Times New Roman" w:hAnsi="Times New Roman" w:cs="Times New Roman"/>
          <w:i/>
          <w:lang w:val="en-ZA"/>
        </w:rPr>
        <w:t>ane</w:t>
      </w:r>
      <w:proofErr w:type="spellEnd"/>
      <w:r w:rsidRPr="009F6370">
        <w:rPr>
          <w:rFonts w:ascii="Times New Roman" w:hAnsi="Times New Roman" w:cs="Times New Roman"/>
          <w:lang w:val="en-ZA"/>
        </w:rPr>
        <w:t xml:space="preserve"> (730/2021) [2022] ZASCA 111 (15 July 2022)</w:t>
      </w:r>
      <w:r>
        <w:rPr>
          <w:rFonts w:ascii="Times New Roman" w:hAnsi="Times New Roman" w:cs="Times New Roman"/>
          <w:lang w:val="en-ZA"/>
        </w:rPr>
        <w:t>.</w:t>
      </w:r>
    </w:p>
  </w:footnote>
  <w:footnote w:id="3">
    <w:p w:rsidR="007937DC" w:rsidRPr="003100E3" w:rsidRDefault="007937DC" w:rsidP="003100E3">
      <w:pPr>
        <w:pStyle w:val="FootnoteText"/>
        <w:jc w:val="both"/>
        <w:rPr>
          <w:rFonts w:ascii="Times New Roman" w:hAnsi="Times New Roman" w:cs="Times New Roman"/>
          <w:lang w:val="en-US"/>
        </w:rPr>
      </w:pPr>
      <w:r w:rsidRPr="003100E3">
        <w:rPr>
          <w:rStyle w:val="FootnoteReference"/>
          <w:rFonts w:ascii="Times New Roman" w:hAnsi="Times New Roman" w:cs="Times New Roman"/>
        </w:rPr>
        <w:footnoteRef/>
      </w:r>
      <w:r w:rsidRPr="003100E3">
        <w:rPr>
          <w:rFonts w:ascii="Times New Roman" w:hAnsi="Times New Roman" w:cs="Times New Roman"/>
        </w:rPr>
        <w:t xml:space="preserve"> </w:t>
      </w:r>
      <w:proofErr w:type="spellStart"/>
      <w:r w:rsidRPr="003100E3">
        <w:rPr>
          <w:rFonts w:ascii="Times New Roman" w:hAnsi="Times New Roman" w:cs="Times New Roman"/>
          <w:i/>
          <w:lang w:val="en-US"/>
        </w:rPr>
        <w:t>Molok</w:t>
      </w:r>
      <w:r w:rsidR="005E032A">
        <w:rPr>
          <w:rFonts w:ascii="Times New Roman" w:hAnsi="Times New Roman" w:cs="Times New Roman"/>
          <w:i/>
          <w:lang w:val="en-US"/>
        </w:rPr>
        <w:t>w</w:t>
      </w:r>
      <w:r w:rsidRPr="003100E3">
        <w:rPr>
          <w:rFonts w:ascii="Times New Roman" w:hAnsi="Times New Roman" w:cs="Times New Roman"/>
          <w:i/>
          <w:lang w:val="en-US"/>
        </w:rPr>
        <w:t>ane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fn</w:t>
      </w:r>
      <w:proofErr w:type="spellEnd"/>
      <w:r>
        <w:rPr>
          <w:rFonts w:ascii="Times New Roman" w:hAnsi="Times New Roman" w:cs="Times New Roman"/>
          <w:lang w:val="en-US"/>
        </w:rPr>
        <w:t xml:space="preserve"> 2</w:t>
      </w:r>
      <w:r w:rsidRPr="003100E3">
        <w:rPr>
          <w:rFonts w:ascii="Times New Roman" w:hAnsi="Times New Roman" w:cs="Times New Roman"/>
          <w:lang w:val="en-US"/>
        </w:rPr>
        <w:t xml:space="preserve"> par</w:t>
      </w:r>
      <w:r>
        <w:rPr>
          <w:rFonts w:ascii="Times New Roman" w:hAnsi="Times New Roman" w:cs="Times New Roman"/>
          <w:lang w:val="en-US"/>
        </w:rPr>
        <w:t>a</w:t>
      </w:r>
      <w:r w:rsidRPr="003100E3">
        <w:rPr>
          <w:rFonts w:ascii="Times New Roman" w:hAnsi="Times New Roman" w:cs="Times New Roman"/>
          <w:lang w:val="en-US"/>
        </w:rPr>
        <w:t xml:space="preserve"> 24</w:t>
      </w:r>
      <w:r>
        <w:rPr>
          <w:rFonts w:ascii="Times New Roman" w:hAnsi="Times New Roman" w:cs="Times New Roman"/>
          <w:lang w:val="en-US"/>
        </w:rPr>
        <w:t>.</w:t>
      </w:r>
    </w:p>
  </w:footnote>
  <w:footnote w:id="4">
    <w:p w:rsidR="007937DC" w:rsidRPr="003100E3" w:rsidRDefault="007937DC" w:rsidP="00207659">
      <w:pPr>
        <w:pStyle w:val="FootnoteText"/>
        <w:jc w:val="both"/>
        <w:rPr>
          <w:rFonts w:ascii="Times New Roman" w:hAnsi="Times New Roman" w:cs="Times New Roman"/>
          <w:lang w:val="en-US"/>
        </w:rPr>
      </w:pPr>
      <w:r w:rsidRPr="003100E3">
        <w:rPr>
          <w:rStyle w:val="FootnoteReference"/>
          <w:rFonts w:ascii="Times New Roman" w:hAnsi="Times New Roman" w:cs="Times New Roman"/>
        </w:rPr>
        <w:footnoteRef/>
      </w:r>
      <w:r w:rsidRPr="003100E3">
        <w:rPr>
          <w:rFonts w:ascii="Times New Roman" w:hAnsi="Times New Roman" w:cs="Times New Roman"/>
        </w:rPr>
        <w:t xml:space="preserve"> </w:t>
      </w:r>
      <w:r w:rsidRPr="003100E3">
        <w:rPr>
          <w:rFonts w:ascii="Times New Roman" w:hAnsi="Times New Roman" w:cs="Times New Roman"/>
          <w:i/>
        </w:rPr>
        <w:t xml:space="preserve">Natal Joint Municipal Pension Fund v </w:t>
      </w:r>
      <w:proofErr w:type="spellStart"/>
      <w:r w:rsidRPr="003100E3">
        <w:rPr>
          <w:rFonts w:ascii="Times New Roman" w:hAnsi="Times New Roman" w:cs="Times New Roman"/>
          <w:i/>
        </w:rPr>
        <w:t>Endumeni</w:t>
      </w:r>
      <w:proofErr w:type="spellEnd"/>
      <w:r w:rsidRPr="003100E3">
        <w:rPr>
          <w:rFonts w:ascii="Times New Roman" w:hAnsi="Times New Roman" w:cs="Times New Roman"/>
          <w:i/>
        </w:rPr>
        <w:t xml:space="preserve"> Municipality</w:t>
      </w:r>
      <w:r w:rsidRPr="003100E3">
        <w:rPr>
          <w:rFonts w:ascii="Times New Roman" w:hAnsi="Times New Roman" w:cs="Times New Roman"/>
        </w:rPr>
        <w:t xml:space="preserve"> [2012] ZASCA 13; [2012] 2 All SA 262 (SCA); 2012 (4) SA 593 (SCA)</w:t>
      </w:r>
      <w:r>
        <w:rPr>
          <w:rFonts w:ascii="Times New Roman" w:hAnsi="Times New Roman" w:cs="Times New Roman"/>
        </w:rPr>
        <w:t xml:space="preserve"> para 18.</w:t>
      </w:r>
    </w:p>
  </w:footnote>
  <w:footnote w:id="5">
    <w:p w:rsidR="007937DC" w:rsidRPr="00EE5826" w:rsidRDefault="007937DC" w:rsidP="0036176F">
      <w:pPr>
        <w:pStyle w:val="FootnoteText"/>
        <w:rPr>
          <w:rFonts w:ascii="Times New Roman" w:hAnsi="Times New Roman" w:cs="Times New Roman"/>
          <w:lang w:val="en-ZA"/>
        </w:rPr>
      </w:pPr>
      <w:r w:rsidRPr="00EE5826">
        <w:rPr>
          <w:rStyle w:val="FootnoteReference"/>
          <w:rFonts w:ascii="Times New Roman" w:hAnsi="Times New Roman" w:cs="Times New Roman"/>
        </w:rPr>
        <w:footnoteRef/>
      </w:r>
      <w:r w:rsidRPr="00EE5826">
        <w:rPr>
          <w:rFonts w:ascii="Times New Roman" w:hAnsi="Times New Roman" w:cs="Times New Roman"/>
        </w:rPr>
        <w:t xml:space="preserve"> </w:t>
      </w:r>
      <w:r w:rsidRPr="00EE5826">
        <w:rPr>
          <w:rFonts w:ascii="Times New Roman" w:hAnsi="Times New Roman" w:cs="Times New Roman"/>
          <w:lang w:val="en-ZA"/>
        </w:rPr>
        <w:t xml:space="preserve"> </w:t>
      </w:r>
      <w:r w:rsidRPr="00EE5826">
        <w:rPr>
          <w:rFonts w:ascii="Times New Roman" w:hAnsi="Times New Roman" w:cs="Times New Roman"/>
          <w:i/>
          <w:lang w:val="en-ZA"/>
        </w:rPr>
        <w:t xml:space="preserve">African Christian Democratic Party </w:t>
      </w:r>
      <w:proofErr w:type="gramStart"/>
      <w:r w:rsidRPr="00EE5826">
        <w:rPr>
          <w:rFonts w:ascii="Times New Roman" w:hAnsi="Times New Roman" w:cs="Times New Roman"/>
          <w:i/>
          <w:lang w:val="en-ZA"/>
        </w:rPr>
        <w:t>v</w:t>
      </w:r>
      <w:proofErr w:type="gramEnd"/>
      <w:r w:rsidRPr="00EE5826">
        <w:rPr>
          <w:rFonts w:ascii="Times New Roman" w:hAnsi="Times New Roman" w:cs="Times New Roman"/>
          <w:i/>
          <w:lang w:val="en-ZA"/>
        </w:rPr>
        <w:t xml:space="preserve"> Electoral Commission and Others</w:t>
      </w:r>
      <w:r w:rsidRPr="00EE5826">
        <w:rPr>
          <w:rFonts w:ascii="Times New Roman" w:hAnsi="Times New Roman" w:cs="Times New Roman"/>
          <w:lang w:val="en-ZA"/>
        </w:rPr>
        <w:t xml:space="preserve"> [2006] ZACC 1; 2006 (3) SA 305 (CC); 2006 (5) BCLR 579 (CC) para 25.</w:t>
      </w:r>
    </w:p>
  </w:footnote>
  <w:footnote w:id="6">
    <w:p w:rsidR="00FD12C2" w:rsidRPr="00FD12C2" w:rsidRDefault="00FD12C2">
      <w:pPr>
        <w:pStyle w:val="FootnoteText"/>
        <w:rPr>
          <w:lang w:val="en-US"/>
        </w:rPr>
      </w:pPr>
      <w:r>
        <w:rPr>
          <w:rStyle w:val="FootnoteReference"/>
        </w:rPr>
        <w:footnoteRef/>
      </w:r>
      <w:r>
        <w:t xml:space="preserve"> </w:t>
      </w:r>
      <w:proofErr w:type="spellStart"/>
      <w:proofErr w:type="gramStart"/>
      <w:r w:rsidR="005E032A">
        <w:rPr>
          <w:rFonts w:ascii="Times New Roman" w:hAnsi="Times New Roman" w:cs="Times New Roman"/>
          <w:i/>
          <w:lang w:val="en-US"/>
        </w:rPr>
        <w:t>Molokw</w:t>
      </w:r>
      <w:r w:rsidRPr="00FD12C2">
        <w:rPr>
          <w:rFonts w:ascii="Times New Roman" w:hAnsi="Times New Roman" w:cs="Times New Roman"/>
          <w:i/>
          <w:lang w:val="en-US"/>
        </w:rPr>
        <w:t>ane</w:t>
      </w:r>
      <w:proofErr w:type="spellEnd"/>
      <w:r>
        <w:rPr>
          <w:lang w:val="en-US"/>
        </w:rPr>
        <w:t xml:space="preserve">  </w:t>
      </w:r>
      <w:proofErr w:type="spellStart"/>
      <w:r w:rsidRPr="00FD12C2">
        <w:rPr>
          <w:rFonts w:ascii="Times New Roman" w:hAnsi="Times New Roman" w:cs="Times New Roman"/>
          <w:lang w:val="en-US"/>
        </w:rPr>
        <w:t>fn</w:t>
      </w:r>
      <w:proofErr w:type="spellEnd"/>
      <w:proofErr w:type="gramEnd"/>
      <w:r w:rsidRPr="00FD12C2">
        <w:rPr>
          <w:rFonts w:ascii="Times New Roman" w:hAnsi="Times New Roman" w:cs="Times New Roman"/>
          <w:lang w:val="en-US"/>
        </w:rPr>
        <w:t xml:space="preserve"> 2 para 16</w:t>
      </w:r>
    </w:p>
  </w:footnote>
  <w:footnote w:id="7">
    <w:p w:rsidR="007937DC" w:rsidRPr="003100E3" w:rsidRDefault="007937DC" w:rsidP="003100E3">
      <w:pPr>
        <w:pStyle w:val="FootnoteText"/>
        <w:jc w:val="both"/>
        <w:rPr>
          <w:rFonts w:ascii="Times New Roman" w:hAnsi="Times New Roman" w:cs="Times New Roman"/>
          <w:lang w:val="en-ZA"/>
        </w:rPr>
      </w:pPr>
      <w:r w:rsidRPr="003100E3">
        <w:rPr>
          <w:rStyle w:val="FootnoteReference"/>
          <w:rFonts w:ascii="Times New Roman" w:hAnsi="Times New Roman" w:cs="Times New Roman"/>
        </w:rPr>
        <w:footnoteRef/>
      </w:r>
      <w:r w:rsidRPr="003100E3">
        <w:rPr>
          <w:rFonts w:ascii="Times New Roman" w:hAnsi="Times New Roman" w:cs="Times New Roman"/>
        </w:rPr>
        <w:t xml:space="preserve"> </w:t>
      </w:r>
      <w:proofErr w:type="spellStart"/>
      <w:r w:rsidR="00942AB8">
        <w:rPr>
          <w:rFonts w:ascii="Times New Roman" w:hAnsi="Times New Roman" w:cs="Times New Roman"/>
          <w:i/>
          <w:lang w:val="en-ZA"/>
        </w:rPr>
        <w:t>Molokw</w:t>
      </w:r>
      <w:r w:rsidRPr="003100E3">
        <w:rPr>
          <w:rFonts w:ascii="Times New Roman" w:hAnsi="Times New Roman" w:cs="Times New Roman"/>
          <w:i/>
          <w:lang w:val="en-ZA"/>
        </w:rPr>
        <w:t>ane</w:t>
      </w:r>
      <w:proofErr w:type="spellEnd"/>
      <w:r w:rsidRPr="003100E3">
        <w:rPr>
          <w:rFonts w:ascii="Times New Roman" w:hAnsi="Times New Roman" w:cs="Times New Roman"/>
          <w:lang w:val="en-ZA"/>
        </w:rPr>
        <w:t xml:space="preserve"> </w:t>
      </w:r>
      <w:proofErr w:type="spellStart"/>
      <w:r w:rsidRPr="003100E3">
        <w:rPr>
          <w:rFonts w:ascii="Times New Roman" w:hAnsi="Times New Roman" w:cs="Times New Roman"/>
          <w:lang w:val="en-ZA"/>
        </w:rPr>
        <w:t>fn</w:t>
      </w:r>
      <w:proofErr w:type="spellEnd"/>
      <w:r w:rsidRPr="003100E3">
        <w:rPr>
          <w:rFonts w:ascii="Times New Roman" w:hAnsi="Times New Roman" w:cs="Times New Roman"/>
          <w:lang w:val="en-ZA"/>
        </w:rPr>
        <w:t xml:space="preserve"> 2 para 17.</w:t>
      </w:r>
    </w:p>
  </w:footnote>
  <w:footnote w:id="8">
    <w:p w:rsidR="007937DC" w:rsidRPr="003100E3" w:rsidRDefault="007937DC" w:rsidP="003100E3">
      <w:pPr>
        <w:pStyle w:val="FootnoteText"/>
        <w:jc w:val="both"/>
        <w:rPr>
          <w:rFonts w:ascii="Times New Roman" w:hAnsi="Times New Roman" w:cs="Times New Roman"/>
          <w:lang w:val="en-US"/>
        </w:rPr>
      </w:pPr>
      <w:r w:rsidRPr="003100E3">
        <w:rPr>
          <w:rStyle w:val="FootnoteReference"/>
          <w:rFonts w:ascii="Times New Roman" w:hAnsi="Times New Roman" w:cs="Times New Roman"/>
        </w:rPr>
        <w:footnoteRef/>
      </w:r>
      <w:r w:rsidRPr="003100E3">
        <w:rPr>
          <w:rFonts w:ascii="Times New Roman" w:hAnsi="Times New Roman" w:cs="Times New Roman"/>
        </w:rPr>
        <w:t xml:space="preserve"> </w:t>
      </w:r>
      <w:proofErr w:type="spellStart"/>
      <w:r w:rsidR="00942AB8">
        <w:rPr>
          <w:rFonts w:ascii="Times New Roman" w:hAnsi="Times New Roman" w:cs="Times New Roman"/>
          <w:i/>
          <w:lang w:val="en-US"/>
        </w:rPr>
        <w:t>Molokw</w:t>
      </w:r>
      <w:r w:rsidRPr="003100E3">
        <w:rPr>
          <w:rFonts w:ascii="Times New Roman" w:hAnsi="Times New Roman" w:cs="Times New Roman"/>
          <w:i/>
          <w:lang w:val="en-US"/>
        </w:rPr>
        <w:t>ane</w:t>
      </w:r>
      <w:proofErr w:type="spellEnd"/>
      <w:r w:rsidRPr="003100E3">
        <w:rPr>
          <w:rFonts w:ascii="Times New Roman" w:hAnsi="Times New Roman" w:cs="Times New Roman"/>
          <w:lang w:val="en-US"/>
        </w:rPr>
        <w:t xml:space="preserve"> para</w:t>
      </w:r>
      <w:r>
        <w:rPr>
          <w:rFonts w:ascii="Times New Roman" w:hAnsi="Times New Roman" w:cs="Times New Roman"/>
          <w:lang w:val="en-US"/>
        </w:rPr>
        <w:t>s</w:t>
      </w:r>
      <w:r w:rsidRPr="003100E3">
        <w:rPr>
          <w:rFonts w:ascii="Times New Roman" w:hAnsi="Times New Roman" w:cs="Times New Roman"/>
          <w:lang w:val="en-US"/>
        </w:rPr>
        <w:t xml:space="preserve"> 11 and 12</w:t>
      </w:r>
      <w:r>
        <w:rPr>
          <w:rFonts w:ascii="Times New Roman" w:hAnsi="Times New Roman" w:cs="Times New Roman"/>
          <w:lang w:val="en-U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7DC" w:rsidRPr="00222E1C" w:rsidRDefault="007937DC" w:rsidP="003A5C43">
    <w:pPr>
      <w:pStyle w:val="Header"/>
      <w:framePr w:wrap="auto" w:vAnchor="text" w:hAnchor="page" w:x="10711" w:y="-17"/>
      <w:rPr>
        <w:rStyle w:val="PageNumber"/>
        <w:rFonts w:ascii="Times New Roman" w:hAnsi="Times New Roman" w:cs="Times New Roman"/>
      </w:rPr>
    </w:pPr>
    <w:r w:rsidRPr="00222E1C">
      <w:rPr>
        <w:rStyle w:val="PageNumber"/>
        <w:rFonts w:ascii="Times New Roman" w:hAnsi="Times New Roman" w:cs="Times New Roman"/>
      </w:rPr>
      <w:fldChar w:fldCharType="begin"/>
    </w:r>
    <w:r w:rsidRPr="00222E1C">
      <w:rPr>
        <w:rStyle w:val="PageNumber"/>
        <w:rFonts w:ascii="Times New Roman" w:hAnsi="Times New Roman" w:cs="Times New Roman"/>
      </w:rPr>
      <w:instrText xml:space="preserve">PAGE  </w:instrText>
    </w:r>
    <w:r w:rsidRPr="00222E1C">
      <w:rPr>
        <w:rStyle w:val="PageNumber"/>
        <w:rFonts w:ascii="Times New Roman" w:hAnsi="Times New Roman" w:cs="Times New Roman"/>
      </w:rPr>
      <w:fldChar w:fldCharType="separate"/>
    </w:r>
    <w:r w:rsidR="00190E48">
      <w:rPr>
        <w:rStyle w:val="PageNumber"/>
        <w:rFonts w:ascii="Times New Roman" w:hAnsi="Times New Roman" w:cs="Times New Roman"/>
        <w:noProof/>
      </w:rPr>
      <w:t>11</w:t>
    </w:r>
    <w:r w:rsidRPr="00222E1C">
      <w:rPr>
        <w:rStyle w:val="PageNumber"/>
        <w:rFonts w:ascii="Times New Roman" w:hAnsi="Times New Roman" w:cs="Times New Roman"/>
      </w:rPr>
      <w:fldChar w:fldCharType="end"/>
    </w:r>
  </w:p>
  <w:p w:rsidR="007937DC" w:rsidRDefault="007937DC" w:rsidP="008A0678">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6017"/>
    <w:multiLevelType w:val="hybridMultilevel"/>
    <w:tmpl w:val="44BC763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E1F099D"/>
    <w:multiLevelType w:val="hybridMultilevel"/>
    <w:tmpl w:val="0C848596"/>
    <w:lvl w:ilvl="0" w:tplc="08090001">
      <w:start w:val="1"/>
      <w:numFmt w:val="bullet"/>
      <w:lvlText w:val=""/>
      <w:lvlJc w:val="left"/>
      <w:pPr>
        <w:tabs>
          <w:tab w:val="num" w:pos="1080"/>
        </w:tabs>
        <w:ind w:left="1080" w:hanging="360"/>
      </w:pPr>
      <w:rPr>
        <w:rFonts w:ascii="Symbol" w:hAnsi="Symbol" w:cs="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2" w15:restartNumberingAfterBreak="0">
    <w:nsid w:val="316A7DE9"/>
    <w:multiLevelType w:val="multilevel"/>
    <w:tmpl w:val="59A6B8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1E261EC"/>
    <w:multiLevelType w:val="hybridMultilevel"/>
    <w:tmpl w:val="015C9096"/>
    <w:lvl w:ilvl="0" w:tplc="6360C832">
      <w:start w:val="1"/>
      <w:numFmt w:val="lowerRoman"/>
      <w:lvlText w:val="%1)"/>
      <w:lvlJc w:val="left"/>
      <w:pPr>
        <w:tabs>
          <w:tab w:val="num" w:pos="1080"/>
        </w:tabs>
        <w:ind w:left="1080" w:hanging="720"/>
      </w:pPr>
      <w:rPr>
        <w:rFonts w:ascii="Times New Roman" w:eastAsia="Times New Roman" w:hAnsi="Times New Roman"/>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33452CC0"/>
    <w:multiLevelType w:val="multilevel"/>
    <w:tmpl w:val="E60AAFAC"/>
    <w:lvl w:ilvl="0">
      <w:start w:val="4"/>
      <w:numFmt w:val="decimal"/>
      <w:lvlText w:val="%1"/>
      <w:lvlJc w:val="left"/>
      <w:pPr>
        <w:tabs>
          <w:tab w:val="num" w:pos="900"/>
        </w:tabs>
        <w:ind w:left="900" w:hanging="900"/>
      </w:pPr>
      <w:rPr>
        <w:rFonts w:hint="default"/>
      </w:rPr>
    </w:lvl>
    <w:lvl w:ilvl="1">
      <w:start w:val="16"/>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CA771B2"/>
    <w:multiLevelType w:val="hybridMultilevel"/>
    <w:tmpl w:val="3CAC0670"/>
    <w:lvl w:ilvl="0" w:tplc="C49C4EE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F873428"/>
    <w:multiLevelType w:val="hybridMultilevel"/>
    <w:tmpl w:val="A3687584"/>
    <w:lvl w:ilvl="0" w:tplc="CE80BD5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35E4B2E"/>
    <w:multiLevelType w:val="multilevel"/>
    <w:tmpl w:val="C186DE4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66093572"/>
    <w:multiLevelType w:val="hybridMultilevel"/>
    <w:tmpl w:val="9B7C72CA"/>
    <w:lvl w:ilvl="0" w:tplc="CF9E9A66">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cs="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15:restartNumberingAfterBreak="0">
    <w:nsid w:val="70F53863"/>
    <w:multiLevelType w:val="hybridMultilevel"/>
    <w:tmpl w:val="E05CD13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2"/>
  </w:num>
  <w:num w:numId="3">
    <w:abstractNumId w:val="3"/>
  </w:num>
  <w:num w:numId="4">
    <w:abstractNumId w:val="0"/>
  </w:num>
  <w:num w:numId="5">
    <w:abstractNumId w:val="9"/>
  </w:num>
  <w:num w:numId="6">
    <w:abstractNumId w:val="8"/>
  </w:num>
  <w:num w:numId="7">
    <w:abstractNumId w:val="1"/>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bM0NjQ3NDYzMzKzNLNQ0lEKTi0uzszPAykwNKgFAG6owMktAAAA"/>
  </w:docVars>
  <w:rsids>
    <w:rsidRoot w:val="00D26615"/>
    <w:rsid w:val="000038E8"/>
    <w:rsid w:val="000045B7"/>
    <w:rsid w:val="00013A5F"/>
    <w:rsid w:val="00016BCC"/>
    <w:rsid w:val="00021972"/>
    <w:rsid w:val="00024AAB"/>
    <w:rsid w:val="000253E3"/>
    <w:rsid w:val="00026AB9"/>
    <w:rsid w:val="00034B8D"/>
    <w:rsid w:val="00035B9B"/>
    <w:rsid w:val="00037F2D"/>
    <w:rsid w:val="00042934"/>
    <w:rsid w:val="00055C84"/>
    <w:rsid w:val="00062D77"/>
    <w:rsid w:val="000635FC"/>
    <w:rsid w:val="00066F5F"/>
    <w:rsid w:val="00067B4B"/>
    <w:rsid w:val="00071CFC"/>
    <w:rsid w:val="00071ED5"/>
    <w:rsid w:val="00072C3F"/>
    <w:rsid w:val="00072EEF"/>
    <w:rsid w:val="0007624D"/>
    <w:rsid w:val="0008603B"/>
    <w:rsid w:val="00086D65"/>
    <w:rsid w:val="00090FB1"/>
    <w:rsid w:val="00094301"/>
    <w:rsid w:val="000973E1"/>
    <w:rsid w:val="000A1014"/>
    <w:rsid w:val="000A3B7F"/>
    <w:rsid w:val="000B0B61"/>
    <w:rsid w:val="000B3D4A"/>
    <w:rsid w:val="000C09DE"/>
    <w:rsid w:val="000C1D85"/>
    <w:rsid w:val="000D1C17"/>
    <w:rsid w:val="000D36FA"/>
    <w:rsid w:val="000D427F"/>
    <w:rsid w:val="000D4349"/>
    <w:rsid w:val="000D7950"/>
    <w:rsid w:val="000D7A89"/>
    <w:rsid w:val="000E10BA"/>
    <w:rsid w:val="000E1836"/>
    <w:rsid w:val="000E3285"/>
    <w:rsid w:val="000E36F6"/>
    <w:rsid w:val="000E39C3"/>
    <w:rsid w:val="000E595A"/>
    <w:rsid w:val="000F2B4C"/>
    <w:rsid w:val="000F3E9C"/>
    <w:rsid w:val="000F4F54"/>
    <w:rsid w:val="000F600C"/>
    <w:rsid w:val="000F65CE"/>
    <w:rsid w:val="00102BBF"/>
    <w:rsid w:val="00103F0E"/>
    <w:rsid w:val="00107A57"/>
    <w:rsid w:val="0011180F"/>
    <w:rsid w:val="00111C5C"/>
    <w:rsid w:val="00112B82"/>
    <w:rsid w:val="00114D6D"/>
    <w:rsid w:val="0012347E"/>
    <w:rsid w:val="00126B7A"/>
    <w:rsid w:val="00130441"/>
    <w:rsid w:val="00132419"/>
    <w:rsid w:val="001327F9"/>
    <w:rsid w:val="00141318"/>
    <w:rsid w:val="001413CD"/>
    <w:rsid w:val="0014214F"/>
    <w:rsid w:val="00153098"/>
    <w:rsid w:val="001610BB"/>
    <w:rsid w:val="00161290"/>
    <w:rsid w:val="00163FA9"/>
    <w:rsid w:val="0016504E"/>
    <w:rsid w:val="00165D7B"/>
    <w:rsid w:val="00172A1D"/>
    <w:rsid w:val="001773A9"/>
    <w:rsid w:val="00182652"/>
    <w:rsid w:val="00184F39"/>
    <w:rsid w:val="00185B54"/>
    <w:rsid w:val="00190E48"/>
    <w:rsid w:val="00190F29"/>
    <w:rsid w:val="001979F1"/>
    <w:rsid w:val="001A1020"/>
    <w:rsid w:val="001A1827"/>
    <w:rsid w:val="001A1DB6"/>
    <w:rsid w:val="001A322F"/>
    <w:rsid w:val="001A558E"/>
    <w:rsid w:val="001A7B6B"/>
    <w:rsid w:val="001B4668"/>
    <w:rsid w:val="001B62CC"/>
    <w:rsid w:val="001C15D9"/>
    <w:rsid w:val="001C7877"/>
    <w:rsid w:val="001D0693"/>
    <w:rsid w:val="001D1E4E"/>
    <w:rsid w:val="001E3AD5"/>
    <w:rsid w:val="001E53BE"/>
    <w:rsid w:val="001E6D9C"/>
    <w:rsid w:val="001E7BF5"/>
    <w:rsid w:val="001E7F53"/>
    <w:rsid w:val="001F4DA2"/>
    <w:rsid w:val="001F6B52"/>
    <w:rsid w:val="00201E4B"/>
    <w:rsid w:val="00203A5D"/>
    <w:rsid w:val="002070AE"/>
    <w:rsid w:val="002070E4"/>
    <w:rsid w:val="00207659"/>
    <w:rsid w:val="00211365"/>
    <w:rsid w:val="002128A3"/>
    <w:rsid w:val="00212A36"/>
    <w:rsid w:val="002154C3"/>
    <w:rsid w:val="002214AE"/>
    <w:rsid w:val="00222E1C"/>
    <w:rsid w:val="002240E0"/>
    <w:rsid w:val="0022527B"/>
    <w:rsid w:val="002309B2"/>
    <w:rsid w:val="00230F5B"/>
    <w:rsid w:val="0023209D"/>
    <w:rsid w:val="002337B3"/>
    <w:rsid w:val="00233DC6"/>
    <w:rsid w:val="00235BBA"/>
    <w:rsid w:val="002372EE"/>
    <w:rsid w:val="002406E9"/>
    <w:rsid w:val="002409DC"/>
    <w:rsid w:val="0024258D"/>
    <w:rsid w:val="002431D5"/>
    <w:rsid w:val="00244C0F"/>
    <w:rsid w:val="002475E7"/>
    <w:rsid w:val="00256C43"/>
    <w:rsid w:val="002613D2"/>
    <w:rsid w:val="002617A4"/>
    <w:rsid w:val="00262B13"/>
    <w:rsid w:val="00262FD8"/>
    <w:rsid w:val="00267807"/>
    <w:rsid w:val="0027097B"/>
    <w:rsid w:val="00270E10"/>
    <w:rsid w:val="00271DEB"/>
    <w:rsid w:val="00274682"/>
    <w:rsid w:val="0028415C"/>
    <w:rsid w:val="00286A8B"/>
    <w:rsid w:val="00287558"/>
    <w:rsid w:val="00290230"/>
    <w:rsid w:val="0029543E"/>
    <w:rsid w:val="002C2C86"/>
    <w:rsid w:val="002C576A"/>
    <w:rsid w:val="002D0442"/>
    <w:rsid w:val="002D3D33"/>
    <w:rsid w:val="002D3E44"/>
    <w:rsid w:val="002D7F00"/>
    <w:rsid w:val="002E0B56"/>
    <w:rsid w:val="002E1C0A"/>
    <w:rsid w:val="002E24D8"/>
    <w:rsid w:val="002E25BC"/>
    <w:rsid w:val="002E2A12"/>
    <w:rsid w:val="002E40E4"/>
    <w:rsid w:val="002E42EF"/>
    <w:rsid w:val="002E4E5F"/>
    <w:rsid w:val="002E55B8"/>
    <w:rsid w:val="002E637E"/>
    <w:rsid w:val="002F4D53"/>
    <w:rsid w:val="003028E7"/>
    <w:rsid w:val="00303674"/>
    <w:rsid w:val="00303990"/>
    <w:rsid w:val="0030798A"/>
    <w:rsid w:val="003100E3"/>
    <w:rsid w:val="003116B6"/>
    <w:rsid w:val="00311B02"/>
    <w:rsid w:val="00312C16"/>
    <w:rsid w:val="003147D3"/>
    <w:rsid w:val="00315092"/>
    <w:rsid w:val="0032079B"/>
    <w:rsid w:val="003220C8"/>
    <w:rsid w:val="003233D4"/>
    <w:rsid w:val="003253EE"/>
    <w:rsid w:val="0032763D"/>
    <w:rsid w:val="00327CB7"/>
    <w:rsid w:val="00331FCF"/>
    <w:rsid w:val="003362AC"/>
    <w:rsid w:val="00336381"/>
    <w:rsid w:val="00337A2C"/>
    <w:rsid w:val="00340D82"/>
    <w:rsid w:val="0034104C"/>
    <w:rsid w:val="00342B3E"/>
    <w:rsid w:val="00344C75"/>
    <w:rsid w:val="00350E73"/>
    <w:rsid w:val="00355446"/>
    <w:rsid w:val="0036176F"/>
    <w:rsid w:val="00362A0A"/>
    <w:rsid w:val="00370353"/>
    <w:rsid w:val="00371E8F"/>
    <w:rsid w:val="00374A8B"/>
    <w:rsid w:val="00375086"/>
    <w:rsid w:val="00377C54"/>
    <w:rsid w:val="003830D3"/>
    <w:rsid w:val="0038492B"/>
    <w:rsid w:val="00385953"/>
    <w:rsid w:val="0039402A"/>
    <w:rsid w:val="0039581F"/>
    <w:rsid w:val="003A0840"/>
    <w:rsid w:val="003A4952"/>
    <w:rsid w:val="003A53EE"/>
    <w:rsid w:val="003A5C43"/>
    <w:rsid w:val="003A706E"/>
    <w:rsid w:val="003B4C74"/>
    <w:rsid w:val="003C08C9"/>
    <w:rsid w:val="003C10EF"/>
    <w:rsid w:val="003D7C8F"/>
    <w:rsid w:val="003E1D23"/>
    <w:rsid w:val="003E3369"/>
    <w:rsid w:val="003E4F0E"/>
    <w:rsid w:val="003F058E"/>
    <w:rsid w:val="003F05EF"/>
    <w:rsid w:val="003F6A49"/>
    <w:rsid w:val="004009B7"/>
    <w:rsid w:val="00406DC0"/>
    <w:rsid w:val="0040753C"/>
    <w:rsid w:val="00407A14"/>
    <w:rsid w:val="0041424F"/>
    <w:rsid w:val="00415ED6"/>
    <w:rsid w:val="00422554"/>
    <w:rsid w:val="00422881"/>
    <w:rsid w:val="00424ACA"/>
    <w:rsid w:val="00425A80"/>
    <w:rsid w:val="00427193"/>
    <w:rsid w:val="00431B61"/>
    <w:rsid w:val="00433057"/>
    <w:rsid w:val="00436CB7"/>
    <w:rsid w:val="00445614"/>
    <w:rsid w:val="00446744"/>
    <w:rsid w:val="0045067A"/>
    <w:rsid w:val="00453828"/>
    <w:rsid w:val="0045622F"/>
    <w:rsid w:val="00456666"/>
    <w:rsid w:val="00463A5C"/>
    <w:rsid w:val="00467C6F"/>
    <w:rsid w:val="0047165F"/>
    <w:rsid w:val="00480C9D"/>
    <w:rsid w:val="00480FAD"/>
    <w:rsid w:val="00481217"/>
    <w:rsid w:val="004817AA"/>
    <w:rsid w:val="00481C11"/>
    <w:rsid w:val="00492F14"/>
    <w:rsid w:val="00496B92"/>
    <w:rsid w:val="004A4136"/>
    <w:rsid w:val="004A49E4"/>
    <w:rsid w:val="004A6766"/>
    <w:rsid w:val="004B3B8D"/>
    <w:rsid w:val="004B54A7"/>
    <w:rsid w:val="004B5741"/>
    <w:rsid w:val="004B6D3D"/>
    <w:rsid w:val="004C03E9"/>
    <w:rsid w:val="004C1004"/>
    <w:rsid w:val="004C1986"/>
    <w:rsid w:val="004C40E3"/>
    <w:rsid w:val="004C549A"/>
    <w:rsid w:val="004D09B1"/>
    <w:rsid w:val="004D0A63"/>
    <w:rsid w:val="004D22BB"/>
    <w:rsid w:val="004D46F0"/>
    <w:rsid w:val="004D4BDF"/>
    <w:rsid w:val="004E005C"/>
    <w:rsid w:val="004E247A"/>
    <w:rsid w:val="004E47C3"/>
    <w:rsid w:val="004F2C08"/>
    <w:rsid w:val="004F54AF"/>
    <w:rsid w:val="005016E8"/>
    <w:rsid w:val="00505136"/>
    <w:rsid w:val="00512FC9"/>
    <w:rsid w:val="00513F40"/>
    <w:rsid w:val="00517274"/>
    <w:rsid w:val="00522422"/>
    <w:rsid w:val="005247C6"/>
    <w:rsid w:val="00527553"/>
    <w:rsid w:val="0053068D"/>
    <w:rsid w:val="005316F1"/>
    <w:rsid w:val="00533099"/>
    <w:rsid w:val="00537703"/>
    <w:rsid w:val="00544E2F"/>
    <w:rsid w:val="00545BDD"/>
    <w:rsid w:val="005536F3"/>
    <w:rsid w:val="00561417"/>
    <w:rsid w:val="00563230"/>
    <w:rsid w:val="00563593"/>
    <w:rsid w:val="00564198"/>
    <w:rsid w:val="00574131"/>
    <w:rsid w:val="005761E0"/>
    <w:rsid w:val="0057759A"/>
    <w:rsid w:val="0057760A"/>
    <w:rsid w:val="0058157E"/>
    <w:rsid w:val="00582B5C"/>
    <w:rsid w:val="005838E8"/>
    <w:rsid w:val="00585A4B"/>
    <w:rsid w:val="0059504F"/>
    <w:rsid w:val="00595330"/>
    <w:rsid w:val="005A523B"/>
    <w:rsid w:val="005B5354"/>
    <w:rsid w:val="005B546F"/>
    <w:rsid w:val="005B6C28"/>
    <w:rsid w:val="005B7C71"/>
    <w:rsid w:val="005C0BF5"/>
    <w:rsid w:val="005C32A9"/>
    <w:rsid w:val="005C7517"/>
    <w:rsid w:val="005D08CB"/>
    <w:rsid w:val="005D3F80"/>
    <w:rsid w:val="005D5234"/>
    <w:rsid w:val="005E032A"/>
    <w:rsid w:val="005E0427"/>
    <w:rsid w:val="005E090D"/>
    <w:rsid w:val="005E0F19"/>
    <w:rsid w:val="005E0FFE"/>
    <w:rsid w:val="005E1EA9"/>
    <w:rsid w:val="005E2794"/>
    <w:rsid w:val="005E6594"/>
    <w:rsid w:val="005E65F9"/>
    <w:rsid w:val="005F040C"/>
    <w:rsid w:val="005F3AA8"/>
    <w:rsid w:val="005F524B"/>
    <w:rsid w:val="005F74B1"/>
    <w:rsid w:val="0060113D"/>
    <w:rsid w:val="00604F81"/>
    <w:rsid w:val="00605379"/>
    <w:rsid w:val="00607277"/>
    <w:rsid w:val="00610E97"/>
    <w:rsid w:val="00611D94"/>
    <w:rsid w:val="006127C2"/>
    <w:rsid w:val="00612AF5"/>
    <w:rsid w:val="00615EF6"/>
    <w:rsid w:val="00616263"/>
    <w:rsid w:val="00620500"/>
    <w:rsid w:val="00620FCE"/>
    <w:rsid w:val="00622C1F"/>
    <w:rsid w:val="006251F6"/>
    <w:rsid w:val="006253C7"/>
    <w:rsid w:val="00631BE3"/>
    <w:rsid w:val="00637E6C"/>
    <w:rsid w:val="00641D40"/>
    <w:rsid w:val="0064420A"/>
    <w:rsid w:val="006474E1"/>
    <w:rsid w:val="00651B88"/>
    <w:rsid w:val="00656B66"/>
    <w:rsid w:val="00664CB5"/>
    <w:rsid w:val="00664D05"/>
    <w:rsid w:val="006658BA"/>
    <w:rsid w:val="0066786A"/>
    <w:rsid w:val="00670F85"/>
    <w:rsid w:val="00673D6B"/>
    <w:rsid w:val="0067415D"/>
    <w:rsid w:val="00676D74"/>
    <w:rsid w:val="00677ECC"/>
    <w:rsid w:val="00680308"/>
    <w:rsid w:val="006851C5"/>
    <w:rsid w:val="006904A0"/>
    <w:rsid w:val="0069124C"/>
    <w:rsid w:val="00691D10"/>
    <w:rsid w:val="006A1BD4"/>
    <w:rsid w:val="006A382A"/>
    <w:rsid w:val="006A51B7"/>
    <w:rsid w:val="006A523A"/>
    <w:rsid w:val="006B02EC"/>
    <w:rsid w:val="006B3172"/>
    <w:rsid w:val="006B4309"/>
    <w:rsid w:val="006B5303"/>
    <w:rsid w:val="006B5336"/>
    <w:rsid w:val="006B6743"/>
    <w:rsid w:val="006C2B1A"/>
    <w:rsid w:val="006D06C4"/>
    <w:rsid w:val="006D332E"/>
    <w:rsid w:val="006D39DF"/>
    <w:rsid w:val="006D4C9F"/>
    <w:rsid w:val="006D6089"/>
    <w:rsid w:val="006D6280"/>
    <w:rsid w:val="006D707E"/>
    <w:rsid w:val="006E2F67"/>
    <w:rsid w:val="006E348D"/>
    <w:rsid w:val="006E5E46"/>
    <w:rsid w:val="006F17EE"/>
    <w:rsid w:val="006F231D"/>
    <w:rsid w:val="006F3FD2"/>
    <w:rsid w:val="006F47B2"/>
    <w:rsid w:val="006F59C1"/>
    <w:rsid w:val="007001CB"/>
    <w:rsid w:val="00710089"/>
    <w:rsid w:val="00710BF1"/>
    <w:rsid w:val="00720111"/>
    <w:rsid w:val="00720113"/>
    <w:rsid w:val="0072319B"/>
    <w:rsid w:val="007235BE"/>
    <w:rsid w:val="0072647D"/>
    <w:rsid w:val="00726FB2"/>
    <w:rsid w:val="0073002D"/>
    <w:rsid w:val="00731D8D"/>
    <w:rsid w:val="00733719"/>
    <w:rsid w:val="00735E3A"/>
    <w:rsid w:val="007360A2"/>
    <w:rsid w:val="0074225C"/>
    <w:rsid w:val="00742D34"/>
    <w:rsid w:val="00751926"/>
    <w:rsid w:val="00751EC6"/>
    <w:rsid w:val="00754970"/>
    <w:rsid w:val="00756DDF"/>
    <w:rsid w:val="00767866"/>
    <w:rsid w:val="007740D3"/>
    <w:rsid w:val="00775154"/>
    <w:rsid w:val="00775552"/>
    <w:rsid w:val="007767FB"/>
    <w:rsid w:val="0078455E"/>
    <w:rsid w:val="00785D37"/>
    <w:rsid w:val="0078695F"/>
    <w:rsid w:val="0079015C"/>
    <w:rsid w:val="007937DC"/>
    <w:rsid w:val="00794224"/>
    <w:rsid w:val="007A2286"/>
    <w:rsid w:val="007A3B7D"/>
    <w:rsid w:val="007A4137"/>
    <w:rsid w:val="007A65B4"/>
    <w:rsid w:val="007A66D3"/>
    <w:rsid w:val="007A6933"/>
    <w:rsid w:val="007B0C4D"/>
    <w:rsid w:val="007B3863"/>
    <w:rsid w:val="007B7201"/>
    <w:rsid w:val="007C2C12"/>
    <w:rsid w:val="007C35B5"/>
    <w:rsid w:val="007D0ABB"/>
    <w:rsid w:val="007D32B3"/>
    <w:rsid w:val="007D61BE"/>
    <w:rsid w:val="007E11D6"/>
    <w:rsid w:val="007E19DB"/>
    <w:rsid w:val="007E20A5"/>
    <w:rsid w:val="007E3EDC"/>
    <w:rsid w:val="007E7A4F"/>
    <w:rsid w:val="007F0382"/>
    <w:rsid w:val="007F04A4"/>
    <w:rsid w:val="007F79CD"/>
    <w:rsid w:val="00800E8D"/>
    <w:rsid w:val="00803BBB"/>
    <w:rsid w:val="00805048"/>
    <w:rsid w:val="00805B3A"/>
    <w:rsid w:val="00806970"/>
    <w:rsid w:val="008126F6"/>
    <w:rsid w:val="008134D1"/>
    <w:rsid w:val="00814D9F"/>
    <w:rsid w:val="00820426"/>
    <w:rsid w:val="00820E7B"/>
    <w:rsid w:val="008220B3"/>
    <w:rsid w:val="008360ED"/>
    <w:rsid w:val="0083751A"/>
    <w:rsid w:val="0084246B"/>
    <w:rsid w:val="008477A7"/>
    <w:rsid w:val="00847ACB"/>
    <w:rsid w:val="00851BAB"/>
    <w:rsid w:val="00855E0A"/>
    <w:rsid w:val="00862D95"/>
    <w:rsid w:val="00876D49"/>
    <w:rsid w:val="00877CF1"/>
    <w:rsid w:val="00880214"/>
    <w:rsid w:val="00882E03"/>
    <w:rsid w:val="00882F49"/>
    <w:rsid w:val="0088450E"/>
    <w:rsid w:val="00884B27"/>
    <w:rsid w:val="00886D59"/>
    <w:rsid w:val="0089260E"/>
    <w:rsid w:val="008A0678"/>
    <w:rsid w:val="008A355B"/>
    <w:rsid w:val="008B21F9"/>
    <w:rsid w:val="008B3AD3"/>
    <w:rsid w:val="008B4B8B"/>
    <w:rsid w:val="008B4DF7"/>
    <w:rsid w:val="008B6A28"/>
    <w:rsid w:val="008B6B19"/>
    <w:rsid w:val="008C37A1"/>
    <w:rsid w:val="008C4372"/>
    <w:rsid w:val="008D2A24"/>
    <w:rsid w:val="008D3981"/>
    <w:rsid w:val="008D7E5A"/>
    <w:rsid w:val="008E0690"/>
    <w:rsid w:val="008E0F76"/>
    <w:rsid w:val="008E25CA"/>
    <w:rsid w:val="008E55E2"/>
    <w:rsid w:val="008E5AB8"/>
    <w:rsid w:val="008F3073"/>
    <w:rsid w:val="008F39FF"/>
    <w:rsid w:val="008F50F9"/>
    <w:rsid w:val="008F7EE5"/>
    <w:rsid w:val="009016FD"/>
    <w:rsid w:val="00901C9D"/>
    <w:rsid w:val="00904667"/>
    <w:rsid w:val="009059AC"/>
    <w:rsid w:val="00906274"/>
    <w:rsid w:val="0091309D"/>
    <w:rsid w:val="00914075"/>
    <w:rsid w:val="00914DE7"/>
    <w:rsid w:val="009166C8"/>
    <w:rsid w:val="00920D7F"/>
    <w:rsid w:val="00920E30"/>
    <w:rsid w:val="00921730"/>
    <w:rsid w:val="00924CB0"/>
    <w:rsid w:val="009331AF"/>
    <w:rsid w:val="009407B3"/>
    <w:rsid w:val="00940F0D"/>
    <w:rsid w:val="0094162C"/>
    <w:rsid w:val="00942AB8"/>
    <w:rsid w:val="009431BB"/>
    <w:rsid w:val="0094354B"/>
    <w:rsid w:val="00945C71"/>
    <w:rsid w:val="00946D79"/>
    <w:rsid w:val="00951EBF"/>
    <w:rsid w:val="00964CA8"/>
    <w:rsid w:val="00966283"/>
    <w:rsid w:val="00971278"/>
    <w:rsid w:val="00973344"/>
    <w:rsid w:val="009740D5"/>
    <w:rsid w:val="00974282"/>
    <w:rsid w:val="009835B9"/>
    <w:rsid w:val="009835E4"/>
    <w:rsid w:val="00993D85"/>
    <w:rsid w:val="00995CBD"/>
    <w:rsid w:val="009A22CF"/>
    <w:rsid w:val="009A33A8"/>
    <w:rsid w:val="009A5E54"/>
    <w:rsid w:val="009B2EBA"/>
    <w:rsid w:val="009B3339"/>
    <w:rsid w:val="009B3C38"/>
    <w:rsid w:val="009C15C7"/>
    <w:rsid w:val="009C4CED"/>
    <w:rsid w:val="009C5DCC"/>
    <w:rsid w:val="009D4CE3"/>
    <w:rsid w:val="009D6440"/>
    <w:rsid w:val="009D794F"/>
    <w:rsid w:val="009E0012"/>
    <w:rsid w:val="009E383A"/>
    <w:rsid w:val="009E436A"/>
    <w:rsid w:val="009E4B74"/>
    <w:rsid w:val="009E56D6"/>
    <w:rsid w:val="009E7584"/>
    <w:rsid w:val="009F48B5"/>
    <w:rsid w:val="009F5EBD"/>
    <w:rsid w:val="009F6370"/>
    <w:rsid w:val="00A0020D"/>
    <w:rsid w:val="00A0142F"/>
    <w:rsid w:val="00A04340"/>
    <w:rsid w:val="00A05428"/>
    <w:rsid w:val="00A067C2"/>
    <w:rsid w:val="00A12A3F"/>
    <w:rsid w:val="00A16FFA"/>
    <w:rsid w:val="00A17AB7"/>
    <w:rsid w:val="00A20A1B"/>
    <w:rsid w:val="00A22D1E"/>
    <w:rsid w:val="00A26170"/>
    <w:rsid w:val="00A348FD"/>
    <w:rsid w:val="00A352B9"/>
    <w:rsid w:val="00A40CBB"/>
    <w:rsid w:val="00A43724"/>
    <w:rsid w:val="00A440EC"/>
    <w:rsid w:val="00A450BE"/>
    <w:rsid w:val="00A5268C"/>
    <w:rsid w:val="00A53BB4"/>
    <w:rsid w:val="00A542A6"/>
    <w:rsid w:val="00A5488F"/>
    <w:rsid w:val="00A57997"/>
    <w:rsid w:val="00A57A06"/>
    <w:rsid w:val="00A57FC8"/>
    <w:rsid w:val="00A613E7"/>
    <w:rsid w:val="00A62437"/>
    <w:rsid w:val="00A62E5F"/>
    <w:rsid w:val="00A64739"/>
    <w:rsid w:val="00A650A7"/>
    <w:rsid w:val="00A700E6"/>
    <w:rsid w:val="00A70D27"/>
    <w:rsid w:val="00A746DB"/>
    <w:rsid w:val="00A7633F"/>
    <w:rsid w:val="00A831AE"/>
    <w:rsid w:val="00A85A88"/>
    <w:rsid w:val="00A9042C"/>
    <w:rsid w:val="00A938A4"/>
    <w:rsid w:val="00A940C7"/>
    <w:rsid w:val="00A96300"/>
    <w:rsid w:val="00AA323C"/>
    <w:rsid w:val="00AA3EF5"/>
    <w:rsid w:val="00AA4CC8"/>
    <w:rsid w:val="00AA697B"/>
    <w:rsid w:val="00AA78C8"/>
    <w:rsid w:val="00AA7967"/>
    <w:rsid w:val="00AB1F85"/>
    <w:rsid w:val="00AB319C"/>
    <w:rsid w:val="00AB3849"/>
    <w:rsid w:val="00AB5697"/>
    <w:rsid w:val="00AC1650"/>
    <w:rsid w:val="00AC3BDF"/>
    <w:rsid w:val="00AC6B67"/>
    <w:rsid w:val="00AD07CB"/>
    <w:rsid w:val="00AD15B9"/>
    <w:rsid w:val="00AD1FBD"/>
    <w:rsid w:val="00AD3AA7"/>
    <w:rsid w:val="00AD4397"/>
    <w:rsid w:val="00AD676D"/>
    <w:rsid w:val="00AD6A22"/>
    <w:rsid w:val="00AD714E"/>
    <w:rsid w:val="00AE4CB8"/>
    <w:rsid w:val="00AE5C5E"/>
    <w:rsid w:val="00AE5E98"/>
    <w:rsid w:val="00AE75BA"/>
    <w:rsid w:val="00AF1732"/>
    <w:rsid w:val="00AF44E4"/>
    <w:rsid w:val="00AF5FA0"/>
    <w:rsid w:val="00AF6640"/>
    <w:rsid w:val="00B004D0"/>
    <w:rsid w:val="00B00C74"/>
    <w:rsid w:val="00B04888"/>
    <w:rsid w:val="00B04A41"/>
    <w:rsid w:val="00B04E0D"/>
    <w:rsid w:val="00B15572"/>
    <w:rsid w:val="00B15CF2"/>
    <w:rsid w:val="00B17674"/>
    <w:rsid w:val="00B17CA9"/>
    <w:rsid w:val="00B20AA5"/>
    <w:rsid w:val="00B22717"/>
    <w:rsid w:val="00B24844"/>
    <w:rsid w:val="00B31229"/>
    <w:rsid w:val="00B31B50"/>
    <w:rsid w:val="00B40CC0"/>
    <w:rsid w:val="00B46524"/>
    <w:rsid w:val="00B4766B"/>
    <w:rsid w:val="00B52896"/>
    <w:rsid w:val="00B55219"/>
    <w:rsid w:val="00B64C0B"/>
    <w:rsid w:val="00B6756C"/>
    <w:rsid w:val="00B73A13"/>
    <w:rsid w:val="00B74339"/>
    <w:rsid w:val="00B76D95"/>
    <w:rsid w:val="00B801C8"/>
    <w:rsid w:val="00B82C24"/>
    <w:rsid w:val="00B8428C"/>
    <w:rsid w:val="00B84295"/>
    <w:rsid w:val="00B856A5"/>
    <w:rsid w:val="00B87F28"/>
    <w:rsid w:val="00B92610"/>
    <w:rsid w:val="00B94B23"/>
    <w:rsid w:val="00B94DCA"/>
    <w:rsid w:val="00B9738F"/>
    <w:rsid w:val="00BB755A"/>
    <w:rsid w:val="00BC24B3"/>
    <w:rsid w:val="00BC2C14"/>
    <w:rsid w:val="00BC72D4"/>
    <w:rsid w:val="00BC7D47"/>
    <w:rsid w:val="00BD0056"/>
    <w:rsid w:val="00BD1446"/>
    <w:rsid w:val="00BD2064"/>
    <w:rsid w:val="00BD2509"/>
    <w:rsid w:val="00BE4900"/>
    <w:rsid w:val="00BE6668"/>
    <w:rsid w:val="00BE697B"/>
    <w:rsid w:val="00BF628F"/>
    <w:rsid w:val="00C0076D"/>
    <w:rsid w:val="00C0416A"/>
    <w:rsid w:val="00C0754D"/>
    <w:rsid w:val="00C07651"/>
    <w:rsid w:val="00C10A04"/>
    <w:rsid w:val="00C11CBC"/>
    <w:rsid w:val="00C13370"/>
    <w:rsid w:val="00C16C35"/>
    <w:rsid w:val="00C241C9"/>
    <w:rsid w:val="00C26E27"/>
    <w:rsid w:val="00C3216F"/>
    <w:rsid w:val="00C34355"/>
    <w:rsid w:val="00C35A30"/>
    <w:rsid w:val="00C35E5D"/>
    <w:rsid w:val="00C37BDE"/>
    <w:rsid w:val="00C37EAE"/>
    <w:rsid w:val="00C402B2"/>
    <w:rsid w:val="00C40D49"/>
    <w:rsid w:val="00C46FFA"/>
    <w:rsid w:val="00C47243"/>
    <w:rsid w:val="00C57B0C"/>
    <w:rsid w:val="00C614A9"/>
    <w:rsid w:val="00C61878"/>
    <w:rsid w:val="00C6433C"/>
    <w:rsid w:val="00C71EDB"/>
    <w:rsid w:val="00C7469B"/>
    <w:rsid w:val="00C778FA"/>
    <w:rsid w:val="00C82F56"/>
    <w:rsid w:val="00C83407"/>
    <w:rsid w:val="00C838C2"/>
    <w:rsid w:val="00C83E3C"/>
    <w:rsid w:val="00C86C93"/>
    <w:rsid w:val="00C8724D"/>
    <w:rsid w:val="00C914B9"/>
    <w:rsid w:val="00C952C9"/>
    <w:rsid w:val="00C96779"/>
    <w:rsid w:val="00C97F45"/>
    <w:rsid w:val="00CA2A81"/>
    <w:rsid w:val="00CA34AB"/>
    <w:rsid w:val="00CA6E79"/>
    <w:rsid w:val="00CA7208"/>
    <w:rsid w:val="00CA7956"/>
    <w:rsid w:val="00CC0A92"/>
    <w:rsid w:val="00CC1739"/>
    <w:rsid w:val="00CC25F6"/>
    <w:rsid w:val="00CC2D93"/>
    <w:rsid w:val="00CC5827"/>
    <w:rsid w:val="00CD53A8"/>
    <w:rsid w:val="00CD7474"/>
    <w:rsid w:val="00CE0CDA"/>
    <w:rsid w:val="00CE139F"/>
    <w:rsid w:val="00CE1AC3"/>
    <w:rsid w:val="00CF0991"/>
    <w:rsid w:val="00CF1C8E"/>
    <w:rsid w:val="00CF22B0"/>
    <w:rsid w:val="00CF4B46"/>
    <w:rsid w:val="00D01A29"/>
    <w:rsid w:val="00D06F2D"/>
    <w:rsid w:val="00D07357"/>
    <w:rsid w:val="00D1399B"/>
    <w:rsid w:val="00D14367"/>
    <w:rsid w:val="00D1512A"/>
    <w:rsid w:val="00D152C1"/>
    <w:rsid w:val="00D217EC"/>
    <w:rsid w:val="00D22316"/>
    <w:rsid w:val="00D229DC"/>
    <w:rsid w:val="00D22AB6"/>
    <w:rsid w:val="00D23FDA"/>
    <w:rsid w:val="00D26615"/>
    <w:rsid w:val="00D279AA"/>
    <w:rsid w:val="00D303AB"/>
    <w:rsid w:val="00D345D3"/>
    <w:rsid w:val="00D40692"/>
    <w:rsid w:val="00D407DB"/>
    <w:rsid w:val="00D40D2C"/>
    <w:rsid w:val="00D41FEA"/>
    <w:rsid w:val="00D505E2"/>
    <w:rsid w:val="00D535B2"/>
    <w:rsid w:val="00D55A97"/>
    <w:rsid w:val="00D65115"/>
    <w:rsid w:val="00D72C5E"/>
    <w:rsid w:val="00D82E3C"/>
    <w:rsid w:val="00D86ED1"/>
    <w:rsid w:val="00D917E9"/>
    <w:rsid w:val="00DA2598"/>
    <w:rsid w:val="00DA2774"/>
    <w:rsid w:val="00DA2FD5"/>
    <w:rsid w:val="00DA3C76"/>
    <w:rsid w:val="00DA3D70"/>
    <w:rsid w:val="00DA45EC"/>
    <w:rsid w:val="00DA6588"/>
    <w:rsid w:val="00DB021D"/>
    <w:rsid w:val="00DB1699"/>
    <w:rsid w:val="00DB29E0"/>
    <w:rsid w:val="00DC4E31"/>
    <w:rsid w:val="00DC5EA1"/>
    <w:rsid w:val="00DC7E54"/>
    <w:rsid w:val="00DD098D"/>
    <w:rsid w:val="00DD45BB"/>
    <w:rsid w:val="00DD67AA"/>
    <w:rsid w:val="00DE55EB"/>
    <w:rsid w:val="00DF1519"/>
    <w:rsid w:val="00DF4AF0"/>
    <w:rsid w:val="00DF6BEF"/>
    <w:rsid w:val="00E010C0"/>
    <w:rsid w:val="00E035F2"/>
    <w:rsid w:val="00E0400E"/>
    <w:rsid w:val="00E0500B"/>
    <w:rsid w:val="00E0521F"/>
    <w:rsid w:val="00E14B21"/>
    <w:rsid w:val="00E2066E"/>
    <w:rsid w:val="00E2233A"/>
    <w:rsid w:val="00E23D0E"/>
    <w:rsid w:val="00E25A3D"/>
    <w:rsid w:val="00E25C12"/>
    <w:rsid w:val="00E27312"/>
    <w:rsid w:val="00E31B53"/>
    <w:rsid w:val="00E331B8"/>
    <w:rsid w:val="00E35AE3"/>
    <w:rsid w:val="00E37BBE"/>
    <w:rsid w:val="00E406B3"/>
    <w:rsid w:val="00E4112C"/>
    <w:rsid w:val="00E423E5"/>
    <w:rsid w:val="00E42C27"/>
    <w:rsid w:val="00E42C5D"/>
    <w:rsid w:val="00E434A9"/>
    <w:rsid w:val="00E4732D"/>
    <w:rsid w:val="00E50359"/>
    <w:rsid w:val="00E509B9"/>
    <w:rsid w:val="00E642AF"/>
    <w:rsid w:val="00E703B2"/>
    <w:rsid w:val="00E760A9"/>
    <w:rsid w:val="00E819B4"/>
    <w:rsid w:val="00E82F5B"/>
    <w:rsid w:val="00E859D0"/>
    <w:rsid w:val="00E90941"/>
    <w:rsid w:val="00E92585"/>
    <w:rsid w:val="00E95B87"/>
    <w:rsid w:val="00E96D8B"/>
    <w:rsid w:val="00EA075D"/>
    <w:rsid w:val="00EA33C9"/>
    <w:rsid w:val="00EB18D5"/>
    <w:rsid w:val="00EB248E"/>
    <w:rsid w:val="00EB4699"/>
    <w:rsid w:val="00EB4AE8"/>
    <w:rsid w:val="00EB6042"/>
    <w:rsid w:val="00EB6490"/>
    <w:rsid w:val="00EB6CD2"/>
    <w:rsid w:val="00EB6EB0"/>
    <w:rsid w:val="00EC0A59"/>
    <w:rsid w:val="00EC3179"/>
    <w:rsid w:val="00EC656C"/>
    <w:rsid w:val="00EC74F5"/>
    <w:rsid w:val="00EC75B4"/>
    <w:rsid w:val="00EC76F5"/>
    <w:rsid w:val="00ED0A0A"/>
    <w:rsid w:val="00ED2640"/>
    <w:rsid w:val="00ED2AF8"/>
    <w:rsid w:val="00ED3394"/>
    <w:rsid w:val="00EE1397"/>
    <w:rsid w:val="00EE1EB6"/>
    <w:rsid w:val="00EE3213"/>
    <w:rsid w:val="00EE56AC"/>
    <w:rsid w:val="00EE5826"/>
    <w:rsid w:val="00EE730E"/>
    <w:rsid w:val="00EF2773"/>
    <w:rsid w:val="00EF5E88"/>
    <w:rsid w:val="00EF6930"/>
    <w:rsid w:val="00EF7E56"/>
    <w:rsid w:val="00F012A6"/>
    <w:rsid w:val="00F0269A"/>
    <w:rsid w:val="00F02AD2"/>
    <w:rsid w:val="00F03102"/>
    <w:rsid w:val="00F06035"/>
    <w:rsid w:val="00F060A8"/>
    <w:rsid w:val="00F11449"/>
    <w:rsid w:val="00F122E8"/>
    <w:rsid w:val="00F12C29"/>
    <w:rsid w:val="00F15591"/>
    <w:rsid w:val="00F203C6"/>
    <w:rsid w:val="00F204CC"/>
    <w:rsid w:val="00F20BFA"/>
    <w:rsid w:val="00F226C7"/>
    <w:rsid w:val="00F26441"/>
    <w:rsid w:val="00F26F98"/>
    <w:rsid w:val="00F30E5E"/>
    <w:rsid w:val="00F3175F"/>
    <w:rsid w:val="00F33B80"/>
    <w:rsid w:val="00F36E0C"/>
    <w:rsid w:val="00F4063C"/>
    <w:rsid w:val="00F40856"/>
    <w:rsid w:val="00F422BA"/>
    <w:rsid w:val="00F436A8"/>
    <w:rsid w:val="00F50B7A"/>
    <w:rsid w:val="00F57F05"/>
    <w:rsid w:val="00F630E7"/>
    <w:rsid w:val="00F634FE"/>
    <w:rsid w:val="00F66AA1"/>
    <w:rsid w:val="00F74543"/>
    <w:rsid w:val="00F768EF"/>
    <w:rsid w:val="00F85A9C"/>
    <w:rsid w:val="00F90272"/>
    <w:rsid w:val="00F929D7"/>
    <w:rsid w:val="00F92C7F"/>
    <w:rsid w:val="00F92F8A"/>
    <w:rsid w:val="00F95119"/>
    <w:rsid w:val="00F956BB"/>
    <w:rsid w:val="00F95F3A"/>
    <w:rsid w:val="00FA1143"/>
    <w:rsid w:val="00FA35C1"/>
    <w:rsid w:val="00FA5DA2"/>
    <w:rsid w:val="00FA6683"/>
    <w:rsid w:val="00FB0039"/>
    <w:rsid w:val="00FB45CA"/>
    <w:rsid w:val="00FC08AA"/>
    <w:rsid w:val="00FC0FDD"/>
    <w:rsid w:val="00FC137A"/>
    <w:rsid w:val="00FC20DE"/>
    <w:rsid w:val="00FC27AE"/>
    <w:rsid w:val="00FC532E"/>
    <w:rsid w:val="00FC5458"/>
    <w:rsid w:val="00FC6929"/>
    <w:rsid w:val="00FD0D4E"/>
    <w:rsid w:val="00FD12C2"/>
    <w:rsid w:val="00FD2724"/>
    <w:rsid w:val="00FD592E"/>
    <w:rsid w:val="00FF1828"/>
    <w:rsid w:val="00FF34C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EEC446"/>
  <w15:chartTrackingRefBased/>
  <w15:docId w15:val="{472B7BA8-1AFD-49E2-9031-B1BDEB95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615"/>
    <w:pPr>
      <w:spacing w:after="0" w:line="240" w:lineRule="auto"/>
    </w:pPr>
    <w:rPr>
      <w:rFonts w:ascii="Arial" w:eastAsia="Times New Roman" w:hAnsi="Arial" w:cs="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6615"/>
    <w:pPr>
      <w:tabs>
        <w:tab w:val="center" w:pos="4320"/>
        <w:tab w:val="right" w:pos="8640"/>
      </w:tabs>
    </w:pPr>
  </w:style>
  <w:style w:type="character" w:customStyle="1" w:styleId="HeaderChar">
    <w:name w:val="Header Char"/>
    <w:basedOn w:val="DefaultParagraphFont"/>
    <w:link w:val="Header"/>
    <w:uiPriority w:val="99"/>
    <w:rsid w:val="00D26615"/>
    <w:rPr>
      <w:rFonts w:ascii="Arial" w:eastAsia="Times New Roman" w:hAnsi="Arial" w:cs="Arial"/>
      <w:sz w:val="24"/>
      <w:szCs w:val="24"/>
      <w:lang w:val="en-GB"/>
    </w:rPr>
  </w:style>
  <w:style w:type="character" w:styleId="PageNumber">
    <w:name w:val="page number"/>
    <w:basedOn w:val="DefaultParagraphFont"/>
    <w:uiPriority w:val="99"/>
    <w:rsid w:val="00D26615"/>
  </w:style>
  <w:style w:type="paragraph" w:styleId="FootnoteText">
    <w:name w:val="footnote text"/>
    <w:basedOn w:val="Normal"/>
    <w:link w:val="FootnoteTextChar"/>
    <w:uiPriority w:val="99"/>
    <w:semiHidden/>
    <w:unhideWhenUsed/>
    <w:rsid w:val="00CD53A8"/>
    <w:rPr>
      <w:sz w:val="20"/>
      <w:szCs w:val="20"/>
    </w:rPr>
  </w:style>
  <w:style w:type="character" w:customStyle="1" w:styleId="FootnoteTextChar">
    <w:name w:val="Footnote Text Char"/>
    <w:basedOn w:val="DefaultParagraphFont"/>
    <w:link w:val="FootnoteText"/>
    <w:uiPriority w:val="99"/>
    <w:semiHidden/>
    <w:rsid w:val="00CD53A8"/>
    <w:rPr>
      <w:rFonts w:ascii="Arial" w:eastAsia="Times New Roman" w:hAnsi="Arial" w:cs="Arial"/>
      <w:sz w:val="20"/>
      <w:szCs w:val="20"/>
      <w:lang w:val="en-GB"/>
    </w:rPr>
  </w:style>
  <w:style w:type="character" w:styleId="FootnoteReference">
    <w:name w:val="footnote reference"/>
    <w:basedOn w:val="DefaultParagraphFont"/>
    <w:uiPriority w:val="99"/>
    <w:semiHidden/>
    <w:unhideWhenUsed/>
    <w:rsid w:val="00CD53A8"/>
    <w:rPr>
      <w:vertAlign w:val="superscript"/>
    </w:rPr>
  </w:style>
  <w:style w:type="paragraph" w:styleId="ListParagraph">
    <w:name w:val="List Paragraph"/>
    <w:basedOn w:val="Normal"/>
    <w:uiPriority w:val="34"/>
    <w:qFormat/>
    <w:rsid w:val="0008603B"/>
    <w:pPr>
      <w:ind w:left="720"/>
      <w:contextualSpacing/>
    </w:pPr>
  </w:style>
  <w:style w:type="table" w:styleId="TableGrid">
    <w:name w:val="Table Grid"/>
    <w:basedOn w:val="TableNormal"/>
    <w:uiPriority w:val="39"/>
    <w:rsid w:val="003F0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04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4CC"/>
    <w:rPr>
      <w:rFonts w:ascii="Segoe UI" w:eastAsia="Times New Roman" w:hAnsi="Segoe UI" w:cs="Segoe UI"/>
      <w:sz w:val="18"/>
      <w:szCs w:val="18"/>
      <w:lang w:val="en-GB"/>
    </w:rPr>
  </w:style>
  <w:style w:type="paragraph" w:styleId="Footer">
    <w:name w:val="footer"/>
    <w:basedOn w:val="Normal"/>
    <w:link w:val="FooterChar"/>
    <w:uiPriority w:val="99"/>
    <w:unhideWhenUsed/>
    <w:rsid w:val="00F204CC"/>
    <w:pPr>
      <w:tabs>
        <w:tab w:val="center" w:pos="4513"/>
        <w:tab w:val="right" w:pos="9026"/>
      </w:tabs>
    </w:pPr>
  </w:style>
  <w:style w:type="character" w:customStyle="1" w:styleId="FooterChar">
    <w:name w:val="Footer Char"/>
    <w:basedOn w:val="DefaultParagraphFont"/>
    <w:link w:val="Footer"/>
    <w:uiPriority w:val="99"/>
    <w:rsid w:val="00F204CC"/>
    <w:rPr>
      <w:rFonts w:ascii="Arial" w:eastAsia="Times New Roman" w:hAnsi="Arial" w:cs="Arial"/>
      <w:sz w:val="24"/>
      <w:szCs w:val="24"/>
      <w:lang w:val="en-GB"/>
    </w:rPr>
  </w:style>
  <w:style w:type="character" w:styleId="CommentReference">
    <w:name w:val="annotation reference"/>
    <w:basedOn w:val="DefaultParagraphFont"/>
    <w:uiPriority w:val="99"/>
    <w:semiHidden/>
    <w:unhideWhenUsed/>
    <w:rsid w:val="00563593"/>
    <w:rPr>
      <w:sz w:val="16"/>
      <w:szCs w:val="16"/>
    </w:rPr>
  </w:style>
  <w:style w:type="paragraph" w:styleId="CommentText">
    <w:name w:val="annotation text"/>
    <w:basedOn w:val="Normal"/>
    <w:link w:val="CommentTextChar"/>
    <w:uiPriority w:val="99"/>
    <w:semiHidden/>
    <w:unhideWhenUsed/>
    <w:rsid w:val="00563593"/>
    <w:rPr>
      <w:sz w:val="20"/>
      <w:szCs w:val="20"/>
    </w:rPr>
  </w:style>
  <w:style w:type="character" w:customStyle="1" w:styleId="CommentTextChar">
    <w:name w:val="Comment Text Char"/>
    <w:basedOn w:val="DefaultParagraphFont"/>
    <w:link w:val="CommentText"/>
    <w:uiPriority w:val="99"/>
    <w:semiHidden/>
    <w:rsid w:val="00563593"/>
    <w:rPr>
      <w:rFonts w:ascii="Arial" w:eastAsia="Times New Roman"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563593"/>
    <w:rPr>
      <w:b/>
      <w:bCs/>
    </w:rPr>
  </w:style>
  <w:style w:type="character" w:customStyle="1" w:styleId="CommentSubjectChar">
    <w:name w:val="Comment Subject Char"/>
    <w:basedOn w:val="CommentTextChar"/>
    <w:link w:val="CommentSubject"/>
    <w:uiPriority w:val="99"/>
    <w:semiHidden/>
    <w:rsid w:val="00563593"/>
    <w:rPr>
      <w:rFonts w:ascii="Arial" w:eastAsia="Times New Roman" w:hAnsi="Arial" w:cs="Arial"/>
      <w:b/>
      <w:bCs/>
      <w:sz w:val="20"/>
      <w:szCs w:val="20"/>
      <w:lang w:val="en-GB"/>
    </w:rPr>
  </w:style>
  <w:style w:type="paragraph" w:styleId="Revision">
    <w:name w:val="Revision"/>
    <w:hidden/>
    <w:uiPriority w:val="99"/>
    <w:semiHidden/>
    <w:rsid w:val="00F57F05"/>
    <w:pPr>
      <w:spacing w:after="0" w:line="240" w:lineRule="auto"/>
    </w:pPr>
    <w:rPr>
      <w:rFonts w:ascii="Arial" w:eastAsia="Times New Roman" w:hAnsi="Arial" w:cs="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8717C-1434-4F6C-A5A6-0AE2981A4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2470</Words>
  <Characters>14083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Baratang Mocumie</dc:creator>
  <cp:keywords/>
  <dc:description/>
  <cp:lastModifiedBy>Tshireleco Mabula</cp:lastModifiedBy>
  <cp:revision>4</cp:revision>
  <cp:lastPrinted>2024-05-06T07:36:00Z</cp:lastPrinted>
  <dcterms:created xsi:type="dcterms:W3CDTF">2024-05-03T13:04:00Z</dcterms:created>
  <dcterms:modified xsi:type="dcterms:W3CDTF">2024-05-06T07:38:00Z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70f66e0fb2d2ae40a80055a71859f08842a9e6d3281a5778955d053281662ed1</vt:lpwstr>
  </property>
</Properties>
</file>