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F5" w:rsidRPr="008F1D2D" w:rsidRDefault="006024F5" w:rsidP="006024F5">
      <w:pPr>
        <w:spacing w:line="360" w:lineRule="auto"/>
        <w:jc w:val="center"/>
        <w:rPr>
          <w:rFonts w:ascii="Arial" w:hAnsi="Arial" w:cs="Arial"/>
        </w:rPr>
      </w:pPr>
      <w:r w:rsidRPr="008F1D2D">
        <w:rPr>
          <w:rFonts w:ascii="Arial" w:hAnsi="Arial" w:cs="Arial"/>
          <w:noProof/>
        </w:rPr>
        <w:drawing>
          <wp:inline distT="0" distB="0" distL="0" distR="0" wp14:anchorId="7028988D" wp14:editId="60714950">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rsidR="006024F5" w:rsidRPr="008F1D2D" w:rsidRDefault="006024F5" w:rsidP="006024F5">
      <w:pPr>
        <w:spacing w:line="360" w:lineRule="auto"/>
        <w:jc w:val="center"/>
        <w:rPr>
          <w:rFonts w:ascii="Arial" w:hAnsi="Arial" w:cs="Arial"/>
          <w:b/>
        </w:rPr>
      </w:pPr>
      <w:r w:rsidRPr="008F1D2D">
        <w:rPr>
          <w:rFonts w:ascii="Arial" w:hAnsi="Arial" w:cs="Arial"/>
          <w:b/>
        </w:rPr>
        <w:t xml:space="preserve">IN THE SPECIAL TRIBUNAL ESTABLISHED IN TERMS OF SECTION 2 (1) OF THE SPECIAL INVESTIGATIONS UNIT AND </w:t>
      </w:r>
    </w:p>
    <w:p w:rsidR="006024F5" w:rsidRPr="008F1D2D" w:rsidRDefault="006024F5" w:rsidP="006024F5">
      <w:pPr>
        <w:spacing w:line="360" w:lineRule="auto"/>
        <w:jc w:val="center"/>
        <w:rPr>
          <w:rFonts w:ascii="Arial" w:hAnsi="Arial" w:cs="Arial"/>
          <w:b/>
        </w:rPr>
      </w:pPr>
      <w:r w:rsidRPr="008F1D2D">
        <w:rPr>
          <w:rFonts w:ascii="Arial" w:hAnsi="Arial" w:cs="Arial"/>
          <w:b/>
        </w:rPr>
        <w:t>SPECIAL TRIBUNALS ACT 74 OF 1996</w:t>
      </w:r>
    </w:p>
    <w:p w:rsidR="006024F5" w:rsidRDefault="006024F5" w:rsidP="006024F5">
      <w:pPr>
        <w:spacing w:line="360" w:lineRule="auto"/>
        <w:jc w:val="center"/>
        <w:rPr>
          <w:rFonts w:ascii="Arial" w:hAnsi="Arial" w:cs="Arial"/>
        </w:rPr>
      </w:pPr>
      <w:r w:rsidRPr="008F1D2D">
        <w:rPr>
          <w:rFonts w:ascii="Arial" w:hAnsi="Arial" w:cs="Arial"/>
          <w:b/>
        </w:rPr>
        <w:t>(REPUBLIC OF SOUTH AFRICA)</w:t>
      </w:r>
      <w:r w:rsidRPr="008F1D2D">
        <w:rPr>
          <w:rFonts w:ascii="Arial" w:hAnsi="Arial" w:cs="Arial"/>
        </w:rPr>
        <w:t xml:space="preserve"> </w:t>
      </w:r>
    </w:p>
    <w:p w:rsidR="006024F5" w:rsidRDefault="006024F5" w:rsidP="007B2F11">
      <w:pPr>
        <w:pStyle w:val="p1"/>
        <w:spacing w:before="0" w:beforeAutospacing="0" w:after="45" w:afterAutospacing="0" w:line="360" w:lineRule="auto"/>
        <w:jc w:val="both"/>
        <w:rPr>
          <w:rStyle w:val="s1"/>
          <w:rFonts w:ascii="Arial" w:hAnsi="Arial" w:cs="Arial"/>
          <w:b/>
          <w:bCs/>
          <w:color w:val="000000"/>
        </w:rPr>
      </w:pPr>
    </w:p>
    <w:p w:rsidR="006024F5" w:rsidRDefault="006024F5" w:rsidP="007B2F11">
      <w:pPr>
        <w:pStyle w:val="p1"/>
        <w:spacing w:before="0" w:beforeAutospacing="0" w:after="45" w:afterAutospacing="0" w:line="360" w:lineRule="auto"/>
        <w:jc w:val="both"/>
        <w:rPr>
          <w:rStyle w:val="s1"/>
          <w:rFonts w:ascii="Arial" w:hAnsi="Arial" w:cs="Arial"/>
          <w:b/>
          <w:bCs/>
          <w:color w:val="000000"/>
        </w:rPr>
      </w:pPr>
    </w:p>
    <w:p w:rsidR="007B2F11" w:rsidRDefault="006024F5" w:rsidP="007B2F11">
      <w:pPr>
        <w:pStyle w:val="p1"/>
        <w:spacing w:before="0" w:beforeAutospacing="0" w:after="45" w:afterAutospacing="0" w:line="360" w:lineRule="auto"/>
        <w:jc w:val="both"/>
        <w:rPr>
          <w:rStyle w:val="s1"/>
          <w:rFonts w:ascii="Arial" w:hAnsi="Arial" w:cs="Arial"/>
          <w:b/>
          <w:bCs/>
          <w:color w:val="000000"/>
        </w:rPr>
      </w:pPr>
      <w:r>
        <w:rPr>
          <w:rStyle w:val="s1"/>
          <w:rFonts w:ascii="Arial" w:hAnsi="Arial" w:cs="Arial"/>
          <w:b/>
          <w:bCs/>
          <w:color w:val="000000"/>
        </w:rPr>
        <w:t>In the matter between:</w:t>
      </w:r>
      <w:r>
        <w:rPr>
          <w:rStyle w:val="s1"/>
          <w:rFonts w:ascii="Arial" w:hAnsi="Arial" w:cs="Arial"/>
          <w:b/>
          <w:bCs/>
          <w:color w:val="000000"/>
        </w:rPr>
        <w:tab/>
      </w:r>
      <w:r>
        <w:rPr>
          <w:rStyle w:val="s1"/>
          <w:rFonts w:ascii="Arial" w:hAnsi="Arial" w:cs="Arial"/>
          <w:b/>
          <w:bCs/>
          <w:color w:val="000000"/>
        </w:rPr>
        <w:tab/>
      </w:r>
      <w:r>
        <w:rPr>
          <w:rStyle w:val="s1"/>
          <w:rFonts w:ascii="Arial" w:hAnsi="Arial" w:cs="Arial"/>
          <w:b/>
          <w:bCs/>
          <w:color w:val="000000"/>
        </w:rPr>
        <w:tab/>
      </w:r>
      <w:r>
        <w:rPr>
          <w:rStyle w:val="s1"/>
          <w:rFonts w:ascii="Arial" w:hAnsi="Arial" w:cs="Arial"/>
          <w:b/>
          <w:bCs/>
          <w:color w:val="000000"/>
        </w:rPr>
        <w:tab/>
      </w:r>
      <w:r>
        <w:rPr>
          <w:rStyle w:val="s1"/>
          <w:rFonts w:ascii="Arial" w:hAnsi="Arial" w:cs="Arial"/>
          <w:b/>
          <w:bCs/>
          <w:color w:val="000000"/>
        </w:rPr>
        <w:tab/>
        <w:t xml:space="preserve">Case </w:t>
      </w:r>
      <w:r w:rsidR="00D84901">
        <w:rPr>
          <w:rStyle w:val="s1"/>
          <w:rFonts w:ascii="Arial" w:hAnsi="Arial" w:cs="Arial"/>
          <w:b/>
          <w:bCs/>
          <w:color w:val="000000"/>
        </w:rPr>
        <w:t>N</w:t>
      </w:r>
      <w:r>
        <w:rPr>
          <w:rStyle w:val="s1"/>
          <w:rFonts w:ascii="Arial" w:hAnsi="Arial" w:cs="Arial"/>
          <w:b/>
          <w:bCs/>
          <w:color w:val="000000"/>
        </w:rPr>
        <w:t>umber: NW02/2020</w:t>
      </w:r>
    </w:p>
    <w:p w:rsidR="00D84901" w:rsidRDefault="00D84901" w:rsidP="007B2F11">
      <w:pPr>
        <w:pStyle w:val="p1"/>
        <w:spacing w:before="0" w:beforeAutospacing="0" w:after="45" w:afterAutospacing="0" w:line="360" w:lineRule="auto"/>
        <w:jc w:val="both"/>
        <w:rPr>
          <w:rStyle w:val="s1"/>
          <w:rFonts w:ascii="Arial" w:hAnsi="Arial" w:cs="Arial"/>
          <w:bCs/>
          <w:color w:val="000000"/>
        </w:rPr>
      </w:pPr>
    </w:p>
    <w:p w:rsidR="006024F5" w:rsidRPr="006024F5" w:rsidRDefault="006024F5" w:rsidP="007B2F11">
      <w:pPr>
        <w:pStyle w:val="p1"/>
        <w:spacing w:before="0" w:beforeAutospacing="0" w:after="45" w:afterAutospacing="0" w:line="360" w:lineRule="auto"/>
        <w:jc w:val="both"/>
        <w:rPr>
          <w:rStyle w:val="s1"/>
          <w:rFonts w:ascii="Arial" w:hAnsi="Arial" w:cs="Arial"/>
          <w:bCs/>
          <w:color w:val="000000"/>
        </w:rPr>
      </w:pPr>
      <w:r w:rsidRPr="006024F5">
        <w:rPr>
          <w:rStyle w:val="s1"/>
          <w:rFonts w:ascii="Arial" w:hAnsi="Arial" w:cs="Arial"/>
          <w:bCs/>
          <w:color w:val="000000"/>
        </w:rPr>
        <w:t>Special Investigating Unit</w:t>
      </w:r>
      <w:r w:rsidRPr="006024F5">
        <w:rPr>
          <w:rStyle w:val="s1"/>
          <w:rFonts w:ascii="Arial" w:hAnsi="Arial" w:cs="Arial"/>
          <w:bCs/>
          <w:color w:val="000000"/>
        </w:rPr>
        <w:tab/>
      </w:r>
      <w:r w:rsidRPr="006024F5">
        <w:rPr>
          <w:rStyle w:val="s1"/>
          <w:rFonts w:ascii="Arial" w:hAnsi="Arial" w:cs="Arial"/>
          <w:bCs/>
          <w:color w:val="000000"/>
        </w:rPr>
        <w:tab/>
      </w:r>
      <w:r>
        <w:rPr>
          <w:rStyle w:val="s1"/>
          <w:rFonts w:ascii="Arial" w:hAnsi="Arial" w:cs="Arial"/>
          <w:bCs/>
          <w:color w:val="000000"/>
        </w:rPr>
        <w:tab/>
      </w:r>
      <w:r>
        <w:rPr>
          <w:rStyle w:val="s1"/>
          <w:rFonts w:ascii="Arial" w:hAnsi="Arial" w:cs="Arial"/>
          <w:bCs/>
          <w:color w:val="000000"/>
        </w:rPr>
        <w:tab/>
      </w:r>
      <w:r w:rsidRPr="006024F5">
        <w:rPr>
          <w:rStyle w:val="s1"/>
          <w:rFonts w:ascii="Arial" w:hAnsi="Arial" w:cs="Arial"/>
          <w:bCs/>
          <w:color w:val="000000"/>
        </w:rPr>
        <w:t>First Applicant</w:t>
      </w:r>
    </w:p>
    <w:p w:rsidR="006024F5" w:rsidRPr="006024F5" w:rsidRDefault="006024F5" w:rsidP="006024F5">
      <w:pPr>
        <w:pStyle w:val="p1"/>
        <w:spacing w:before="0" w:beforeAutospacing="0" w:after="45" w:afterAutospacing="0"/>
        <w:jc w:val="both"/>
        <w:rPr>
          <w:rStyle w:val="s1"/>
          <w:rFonts w:ascii="Arial" w:hAnsi="Arial" w:cs="Arial"/>
          <w:bCs/>
          <w:color w:val="000000"/>
        </w:rPr>
      </w:pPr>
      <w:r w:rsidRPr="006024F5">
        <w:rPr>
          <w:rStyle w:val="s1"/>
          <w:rFonts w:ascii="Arial" w:hAnsi="Arial" w:cs="Arial"/>
          <w:bCs/>
          <w:color w:val="000000"/>
        </w:rPr>
        <w:t>MEC for Department of</w:t>
      </w:r>
      <w:r w:rsidRPr="006024F5">
        <w:rPr>
          <w:rStyle w:val="s1"/>
          <w:rFonts w:ascii="Arial" w:hAnsi="Arial" w:cs="Arial"/>
          <w:bCs/>
          <w:color w:val="000000"/>
        </w:rPr>
        <w:tab/>
      </w:r>
      <w:r w:rsidRPr="006024F5">
        <w:rPr>
          <w:rStyle w:val="s1"/>
          <w:rFonts w:ascii="Arial" w:hAnsi="Arial" w:cs="Arial"/>
          <w:bCs/>
          <w:color w:val="000000"/>
        </w:rPr>
        <w:tab/>
      </w:r>
      <w:r w:rsidRPr="006024F5">
        <w:rPr>
          <w:rStyle w:val="s1"/>
          <w:rFonts w:ascii="Arial" w:hAnsi="Arial" w:cs="Arial"/>
          <w:bCs/>
          <w:color w:val="000000"/>
        </w:rPr>
        <w:tab/>
      </w:r>
      <w:r>
        <w:rPr>
          <w:rStyle w:val="s1"/>
          <w:rFonts w:ascii="Arial" w:hAnsi="Arial" w:cs="Arial"/>
          <w:bCs/>
          <w:color w:val="000000"/>
        </w:rPr>
        <w:tab/>
      </w:r>
      <w:r w:rsidRPr="006024F5">
        <w:rPr>
          <w:rStyle w:val="s1"/>
          <w:rFonts w:ascii="Arial" w:hAnsi="Arial" w:cs="Arial"/>
          <w:bCs/>
          <w:color w:val="000000"/>
        </w:rPr>
        <w:t>Second Applicant</w:t>
      </w:r>
    </w:p>
    <w:p w:rsidR="006024F5" w:rsidRDefault="006024F5" w:rsidP="006024F5">
      <w:pPr>
        <w:pStyle w:val="p1"/>
        <w:spacing w:before="0" w:beforeAutospacing="0" w:after="45" w:afterAutospacing="0"/>
        <w:jc w:val="both"/>
        <w:rPr>
          <w:rStyle w:val="s1"/>
          <w:rFonts w:ascii="Arial" w:hAnsi="Arial" w:cs="Arial"/>
          <w:bCs/>
          <w:color w:val="000000"/>
        </w:rPr>
      </w:pPr>
      <w:r w:rsidRPr="006024F5">
        <w:rPr>
          <w:rStyle w:val="s1"/>
          <w:rFonts w:ascii="Arial" w:hAnsi="Arial" w:cs="Arial"/>
          <w:bCs/>
          <w:color w:val="000000"/>
        </w:rPr>
        <w:t>Community and Transport Management</w:t>
      </w:r>
    </w:p>
    <w:p w:rsidR="006024F5" w:rsidRDefault="006024F5" w:rsidP="006024F5">
      <w:pPr>
        <w:pStyle w:val="p1"/>
        <w:spacing w:before="0" w:beforeAutospacing="0" w:after="45" w:afterAutospacing="0"/>
        <w:jc w:val="both"/>
        <w:rPr>
          <w:rStyle w:val="s1"/>
          <w:rFonts w:ascii="Arial" w:hAnsi="Arial" w:cs="Arial"/>
          <w:bCs/>
          <w:color w:val="000000"/>
        </w:rPr>
      </w:pPr>
    </w:p>
    <w:p w:rsidR="006024F5" w:rsidRDefault="006024F5" w:rsidP="006024F5">
      <w:pPr>
        <w:pStyle w:val="p1"/>
        <w:spacing w:before="0" w:beforeAutospacing="0" w:after="45" w:afterAutospacing="0"/>
        <w:jc w:val="both"/>
        <w:rPr>
          <w:rStyle w:val="s1"/>
          <w:rFonts w:ascii="Arial" w:hAnsi="Arial" w:cs="Arial"/>
          <w:bCs/>
          <w:color w:val="000000"/>
        </w:rPr>
      </w:pPr>
      <w:r>
        <w:rPr>
          <w:rStyle w:val="s1"/>
          <w:rFonts w:ascii="Arial" w:hAnsi="Arial" w:cs="Arial"/>
          <w:bCs/>
          <w:color w:val="000000"/>
        </w:rPr>
        <w:t xml:space="preserve">And </w:t>
      </w:r>
    </w:p>
    <w:p w:rsidR="006024F5" w:rsidRDefault="006024F5" w:rsidP="006024F5">
      <w:pPr>
        <w:pStyle w:val="p1"/>
        <w:spacing w:before="0" w:beforeAutospacing="0" w:after="45" w:afterAutospacing="0"/>
        <w:jc w:val="both"/>
        <w:rPr>
          <w:rStyle w:val="s1"/>
          <w:rFonts w:ascii="Arial" w:hAnsi="Arial" w:cs="Arial"/>
          <w:bCs/>
          <w:color w:val="000000"/>
        </w:rPr>
      </w:pPr>
    </w:p>
    <w:p w:rsidR="006024F5" w:rsidRDefault="006024F5" w:rsidP="006024F5">
      <w:pPr>
        <w:pStyle w:val="p1"/>
        <w:spacing w:before="0" w:beforeAutospacing="0" w:after="45" w:afterAutospacing="0"/>
        <w:jc w:val="both"/>
        <w:rPr>
          <w:rStyle w:val="s1"/>
          <w:rFonts w:ascii="Arial" w:hAnsi="Arial" w:cs="Arial"/>
          <w:bCs/>
          <w:color w:val="000000"/>
        </w:rPr>
      </w:pPr>
      <w:r>
        <w:rPr>
          <w:rStyle w:val="s1"/>
          <w:rFonts w:ascii="Arial" w:hAnsi="Arial" w:cs="Arial"/>
          <w:bCs/>
          <w:color w:val="000000"/>
        </w:rPr>
        <w:t>RI Mako Trading and Projects</w:t>
      </w:r>
      <w:r>
        <w:rPr>
          <w:rStyle w:val="s1"/>
          <w:rFonts w:ascii="Arial" w:hAnsi="Arial" w:cs="Arial"/>
          <w:bCs/>
          <w:color w:val="000000"/>
        </w:rPr>
        <w:tab/>
      </w:r>
      <w:r>
        <w:rPr>
          <w:rStyle w:val="s1"/>
          <w:rFonts w:ascii="Arial" w:hAnsi="Arial" w:cs="Arial"/>
          <w:bCs/>
          <w:color w:val="000000"/>
        </w:rPr>
        <w:tab/>
      </w:r>
      <w:r>
        <w:rPr>
          <w:rStyle w:val="s1"/>
          <w:rFonts w:ascii="Arial" w:hAnsi="Arial" w:cs="Arial"/>
          <w:bCs/>
          <w:color w:val="000000"/>
        </w:rPr>
        <w:tab/>
        <w:t>First Respondent</w:t>
      </w:r>
    </w:p>
    <w:p w:rsidR="006024F5" w:rsidRDefault="006024F5" w:rsidP="006024F5">
      <w:pPr>
        <w:pStyle w:val="p1"/>
        <w:spacing w:before="0" w:beforeAutospacing="0" w:after="45" w:afterAutospacing="0"/>
        <w:jc w:val="both"/>
        <w:rPr>
          <w:rStyle w:val="s1"/>
          <w:rFonts w:ascii="Arial" w:hAnsi="Arial" w:cs="Arial"/>
          <w:bCs/>
          <w:color w:val="000000"/>
        </w:rPr>
      </w:pPr>
      <w:r>
        <w:rPr>
          <w:rStyle w:val="s1"/>
          <w:rFonts w:ascii="Arial" w:hAnsi="Arial" w:cs="Arial"/>
          <w:bCs/>
          <w:color w:val="000000"/>
        </w:rPr>
        <w:t>Mako Remosetlha Isaac</w:t>
      </w:r>
      <w:r>
        <w:rPr>
          <w:rStyle w:val="s1"/>
          <w:rFonts w:ascii="Arial" w:hAnsi="Arial" w:cs="Arial"/>
          <w:bCs/>
          <w:color w:val="000000"/>
        </w:rPr>
        <w:tab/>
      </w:r>
      <w:r>
        <w:rPr>
          <w:rStyle w:val="s1"/>
          <w:rFonts w:ascii="Arial" w:hAnsi="Arial" w:cs="Arial"/>
          <w:bCs/>
          <w:color w:val="000000"/>
        </w:rPr>
        <w:tab/>
      </w:r>
      <w:r>
        <w:rPr>
          <w:rStyle w:val="s1"/>
          <w:rFonts w:ascii="Arial" w:hAnsi="Arial" w:cs="Arial"/>
          <w:bCs/>
          <w:color w:val="000000"/>
        </w:rPr>
        <w:tab/>
      </w:r>
      <w:r>
        <w:rPr>
          <w:rStyle w:val="s1"/>
          <w:rFonts w:ascii="Arial" w:hAnsi="Arial" w:cs="Arial"/>
          <w:bCs/>
          <w:color w:val="000000"/>
        </w:rPr>
        <w:tab/>
        <w:t>Second Respondent</w:t>
      </w:r>
    </w:p>
    <w:p w:rsidR="006024F5" w:rsidRDefault="006024F5" w:rsidP="006024F5">
      <w:pPr>
        <w:pStyle w:val="p1"/>
        <w:spacing w:before="0" w:beforeAutospacing="0" w:after="45" w:afterAutospacing="0"/>
        <w:jc w:val="both"/>
        <w:rPr>
          <w:rStyle w:val="s1"/>
          <w:rFonts w:ascii="Arial" w:hAnsi="Arial" w:cs="Arial"/>
          <w:bCs/>
          <w:color w:val="000000"/>
        </w:rPr>
      </w:pPr>
    </w:p>
    <w:p w:rsidR="006024F5" w:rsidRDefault="006024F5" w:rsidP="006024F5">
      <w:pPr>
        <w:pStyle w:val="p1"/>
        <w:spacing w:before="0" w:beforeAutospacing="0" w:after="45" w:afterAutospacing="0"/>
        <w:jc w:val="both"/>
        <w:rPr>
          <w:rStyle w:val="s1"/>
          <w:rFonts w:ascii="Arial" w:hAnsi="Arial" w:cs="Arial"/>
          <w:bCs/>
          <w:color w:val="000000"/>
        </w:rPr>
      </w:pPr>
    </w:p>
    <w:p w:rsidR="006024F5" w:rsidRDefault="006024F5" w:rsidP="006024F5">
      <w:pPr>
        <w:pStyle w:val="p1"/>
        <w:spacing w:before="0" w:beforeAutospacing="0" w:after="45" w:afterAutospacing="0"/>
        <w:jc w:val="both"/>
        <w:rPr>
          <w:rStyle w:val="s1"/>
          <w:rFonts w:ascii="Arial" w:hAnsi="Arial" w:cs="Arial"/>
          <w:bCs/>
          <w:color w:val="00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024F5" w:rsidRPr="009B18FC" w:rsidTr="000E341E">
        <w:tc>
          <w:tcPr>
            <w:tcW w:w="9016" w:type="dxa"/>
          </w:tcPr>
          <w:p w:rsidR="006024F5" w:rsidRPr="009B18FC" w:rsidRDefault="006024F5" w:rsidP="000E341E">
            <w:pPr>
              <w:jc w:val="center"/>
              <w:rPr>
                <w:rFonts w:ascii="Arial" w:hAnsi="Arial" w:cs="Arial"/>
                <w:b/>
              </w:rPr>
            </w:pPr>
            <w:r w:rsidRPr="009B18FC">
              <w:rPr>
                <w:rFonts w:ascii="Arial" w:hAnsi="Arial" w:cs="Arial"/>
                <w:b/>
              </w:rPr>
              <w:br/>
            </w:r>
            <w:r>
              <w:rPr>
                <w:rFonts w:ascii="Arial" w:hAnsi="Arial" w:cs="Arial"/>
                <w:b/>
              </w:rPr>
              <w:t>JUDGEMENT</w:t>
            </w:r>
            <w:r w:rsidRPr="009B18FC">
              <w:rPr>
                <w:rFonts w:ascii="Arial" w:hAnsi="Arial" w:cs="Arial"/>
                <w:b/>
              </w:rPr>
              <w:br/>
            </w:r>
          </w:p>
        </w:tc>
      </w:tr>
    </w:tbl>
    <w:p w:rsidR="006024F5" w:rsidRDefault="006024F5" w:rsidP="006024F5">
      <w:pPr>
        <w:pStyle w:val="p1"/>
        <w:spacing w:before="0" w:beforeAutospacing="0" w:after="45" w:afterAutospacing="0"/>
        <w:jc w:val="both"/>
        <w:rPr>
          <w:rFonts w:ascii="Arial" w:hAnsi="Arial" w:cs="Arial"/>
          <w:color w:val="000000"/>
        </w:rPr>
      </w:pPr>
    </w:p>
    <w:p w:rsidR="00527FA5" w:rsidRDefault="00527FA5" w:rsidP="00527FA5">
      <w:pPr>
        <w:spacing w:line="360" w:lineRule="auto"/>
        <w:jc w:val="both"/>
        <w:rPr>
          <w:rFonts w:ascii="Arial" w:hAnsi="Arial" w:cs="Arial"/>
        </w:rPr>
      </w:pPr>
      <w:r w:rsidRPr="00175632">
        <w:rPr>
          <w:rFonts w:ascii="Arial" w:hAnsi="Arial" w:cs="Arial"/>
          <w:i/>
        </w:rPr>
        <w:t>Application for monetary judgment</w:t>
      </w:r>
      <w:r w:rsidRPr="00175632">
        <w:rPr>
          <w:rFonts w:ascii="Arial" w:hAnsi="Arial" w:cs="Arial"/>
        </w:rPr>
        <w:t xml:space="preserve"> – whether the respondents submitted excessive claims to the second applicant in respect of the learner scholar transport contract – whether the applicants have made out a case for monetary</w:t>
      </w:r>
      <w:r>
        <w:rPr>
          <w:rFonts w:ascii="Arial" w:hAnsi="Arial" w:cs="Arial"/>
        </w:rPr>
        <w:t xml:space="preserve"> relief sought</w:t>
      </w:r>
      <w:r w:rsidRPr="00175632">
        <w:rPr>
          <w:rFonts w:ascii="Arial" w:hAnsi="Arial" w:cs="Arial"/>
        </w:rPr>
        <w:t xml:space="preserve"> against the respondents.   </w:t>
      </w:r>
    </w:p>
    <w:p w:rsidR="00527FA5" w:rsidRDefault="00527FA5" w:rsidP="00527FA5">
      <w:pPr>
        <w:spacing w:line="360" w:lineRule="auto"/>
        <w:jc w:val="both"/>
        <w:rPr>
          <w:rFonts w:ascii="Arial" w:hAnsi="Arial" w:cs="Arial"/>
        </w:rPr>
      </w:pPr>
    </w:p>
    <w:p w:rsidR="00527FA5" w:rsidRDefault="00527FA5" w:rsidP="00527FA5">
      <w:pPr>
        <w:spacing w:line="360" w:lineRule="auto"/>
        <w:jc w:val="both"/>
        <w:rPr>
          <w:rFonts w:ascii="Arial" w:hAnsi="Arial" w:cs="Arial"/>
        </w:rPr>
      </w:pPr>
    </w:p>
    <w:p w:rsidR="00527FA5" w:rsidRPr="00527FA5" w:rsidRDefault="00527FA5" w:rsidP="00527FA5">
      <w:pPr>
        <w:spacing w:line="360" w:lineRule="auto"/>
        <w:jc w:val="both"/>
        <w:rPr>
          <w:rFonts w:ascii="Arial" w:hAnsi="Arial" w:cs="Arial"/>
          <w:b/>
        </w:rPr>
      </w:pPr>
      <w:r w:rsidRPr="00527FA5">
        <w:rPr>
          <w:rFonts w:ascii="Arial" w:hAnsi="Arial" w:cs="Arial"/>
          <w:b/>
        </w:rPr>
        <w:lastRenderedPageBreak/>
        <w:t xml:space="preserve">MODIBA J: </w:t>
      </w:r>
    </w:p>
    <w:p w:rsidR="00304F34" w:rsidRPr="00527FA5" w:rsidRDefault="00AA6D13" w:rsidP="006A432E">
      <w:pPr>
        <w:widowControl w:val="0"/>
        <w:tabs>
          <w:tab w:val="left" w:pos="-720"/>
          <w:tab w:val="left" w:pos="5387"/>
        </w:tabs>
        <w:suppressAutoHyphens/>
        <w:snapToGrid w:val="0"/>
        <w:spacing w:before="600" w:line="480" w:lineRule="auto"/>
        <w:jc w:val="both"/>
        <w:rPr>
          <w:rFonts w:ascii="Arial" w:hAnsi="Arial" w:cs="Arial"/>
          <w:spacing w:val="-3"/>
          <w:lang w:val="en-GB"/>
        </w:rPr>
      </w:pPr>
      <w:r w:rsidRPr="00527FA5">
        <w:rPr>
          <w:rFonts w:ascii="Arial" w:hAnsi="Arial" w:cs="Arial"/>
          <w:color w:val="000000"/>
        </w:rPr>
        <w:t>[1]</w:t>
      </w:r>
      <w:r w:rsidR="00304F34" w:rsidRPr="00527FA5">
        <w:rPr>
          <w:rFonts w:ascii="Arial" w:hAnsi="Arial" w:cs="Arial"/>
          <w:color w:val="000000"/>
        </w:rPr>
        <w:t xml:space="preserve"> In an </w:t>
      </w:r>
      <w:r w:rsidR="00304F34" w:rsidRPr="00527FA5">
        <w:rPr>
          <w:rFonts w:ascii="Arial" w:hAnsi="Arial" w:cs="Arial"/>
          <w:spacing w:val="-3"/>
          <w:lang w:val="en-GB"/>
        </w:rPr>
        <w:t>amended notice of motion, the applicants seek the following orders from the Tribunal:</w:t>
      </w:r>
    </w:p>
    <w:p w:rsidR="00304F34" w:rsidRPr="00527FA5" w:rsidRDefault="00874A3D" w:rsidP="006A432E">
      <w:pPr>
        <w:widowControl w:val="0"/>
        <w:tabs>
          <w:tab w:val="left" w:pos="-720"/>
          <w:tab w:val="left" w:pos="5387"/>
        </w:tabs>
        <w:suppressAutoHyphens/>
        <w:snapToGrid w:val="0"/>
        <w:spacing w:line="360" w:lineRule="auto"/>
        <w:jc w:val="both"/>
        <w:rPr>
          <w:rFonts w:ascii="Arial" w:hAnsi="Arial" w:cs="Arial"/>
          <w:i/>
          <w:iCs/>
          <w:spacing w:val="-3"/>
          <w:lang w:val="en-GB"/>
        </w:rPr>
      </w:pPr>
      <w:r w:rsidRPr="00527FA5">
        <w:rPr>
          <w:rFonts w:ascii="Arial" w:hAnsi="Arial" w:cs="Arial"/>
          <w:i/>
          <w:iCs/>
          <w:spacing w:val="-3"/>
          <w:lang w:val="en-GB"/>
        </w:rPr>
        <w:t xml:space="preserve">“1. </w:t>
      </w:r>
      <w:r w:rsidR="00304F34" w:rsidRPr="00527FA5">
        <w:rPr>
          <w:rFonts w:ascii="Arial" w:hAnsi="Arial" w:cs="Arial"/>
          <w:i/>
          <w:iCs/>
          <w:spacing w:val="-3"/>
          <w:lang w:val="en-GB"/>
        </w:rPr>
        <w:t>That the Respondents invoices submitted to the Department of Public Works Roads and Transport for the period 2010 to 2017 be declared invalid and irregular due to inflated kilometres claimed by the Respondents;</w:t>
      </w:r>
    </w:p>
    <w:p w:rsidR="006A432E" w:rsidRDefault="00874A3D" w:rsidP="006A432E">
      <w:pPr>
        <w:widowControl w:val="0"/>
        <w:tabs>
          <w:tab w:val="left" w:pos="-720"/>
          <w:tab w:val="left" w:pos="5387"/>
        </w:tabs>
        <w:suppressAutoHyphens/>
        <w:snapToGrid w:val="0"/>
        <w:spacing w:line="360" w:lineRule="auto"/>
        <w:jc w:val="both"/>
        <w:rPr>
          <w:rFonts w:ascii="Arial" w:hAnsi="Arial" w:cs="Arial"/>
          <w:i/>
          <w:iCs/>
          <w:spacing w:val="-3"/>
          <w:lang w:val="en-GB"/>
        </w:rPr>
      </w:pPr>
      <w:r w:rsidRPr="00527FA5">
        <w:rPr>
          <w:rFonts w:ascii="Arial" w:hAnsi="Arial" w:cs="Arial"/>
          <w:i/>
          <w:iCs/>
          <w:spacing w:val="-3"/>
          <w:lang w:val="en-GB"/>
        </w:rPr>
        <w:t xml:space="preserve">2. </w:t>
      </w:r>
      <w:r w:rsidR="00304F34" w:rsidRPr="00527FA5">
        <w:rPr>
          <w:rFonts w:ascii="Arial" w:hAnsi="Arial" w:cs="Arial"/>
          <w:i/>
          <w:iCs/>
          <w:spacing w:val="-3"/>
          <w:lang w:val="en-GB"/>
        </w:rPr>
        <w:t>That the Respondents be ordered to reimburse the Second Applicant for all monies that they have unduly enriched themselves through the submission of inflated kilometres to the amount of R7 479 648.44 (seven million four hundred seventy</w:t>
      </w:r>
      <w:r w:rsidR="00E675E6">
        <w:rPr>
          <w:rFonts w:ascii="Arial" w:hAnsi="Arial" w:cs="Arial"/>
          <w:i/>
          <w:iCs/>
          <w:spacing w:val="-3"/>
          <w:lang w:val="en-GB"/>
        </w:rPr>
        <w:t>-</w:t>
      </w:r>
      <w:r w:rsidR="00304F34" w:rsidRPr="00527FA5">
        <w:rPr>
          <w:rFonts w:ascii="Arial" w:hAnsi="Arial" w:cs="Arial"/>
          <w:i/>
          <w:iCs/>
          <w:spacing w:val="-3"/>
          <w:lang w:val="en-GB"/>
        </w:rPr>
        <w:t>nin</w:t>
      </w:r>
      <w:r w:rsidR="00E675E6">
        <w:rPr>
          <w:rFonts w:ascii="Arial" w:hAnsi="Arial" w:cs="Arial"/>
          <w:i/>
          <w:iCs/>
          <w:spacing w:val="-3"/>
          <w:lang w:val="en-GB"/>
        </w:rPr>
        <w:t>e thousand six hundred forty-</w:t>
      </w:r>
      <w:r w:rsidR="00304F34" w:rsidRPr="00527FA5">
        <w:rPr>
          <w:rFonts w:ascii="Arial" w:hAnsi="Arial" w:cs="Arial"/>
          <w:i/>
          <w:iCs/>
          <w:spacing w:val="-3"/>
          <w:lang w:val="en-GB"/>
        </w:rPr>
        <w:t xml:space="preserve">eight rand </w:t>
      </w:r>
      <w:r w:rsidR="00E675E6" w:rsidRPr="00527FA5">
        <w:rPr>
          <w:rFonts w:ascii="Arial" w:hAnsi="Arial" w:cs="Arial"/>
          <w:i/>
          <w:iCs/>
          <w:spacing w:val="-3"/>
          <w:lang w:val="en-GB"/>
        </w:rPr>
        <w:t>forty-four</w:t>
      </w:r>
      <w:r w:rsidR="00304F34" w:rsidRPr="00527FA5">
        <w:rPr>
          <w:rFonts w:ascii="Arial" w:hAnsi="Arial" w:cs="Arial"/>
          <w:i/>
          <w:iCs/>
          <w:spacing w:val="-3"/>
          <w:lang w:val="en-GB"/>
        </w:rPr>
        <w:t xml:space="preserve"> cents) from</w:t>
      </w:r>
      <w:r w:rsidRPr="00527FA5">
        <w:rPr>
          <w:rFonts w:ascii="Arial" w:hAnsi="Arial" w:cs="Arial"/>
          <w:i/>
          <w:iCs/>
          <w:spacing w:val="-3"/>
          <w:lang w:val="en-GB"/>
        </w:rPr>
        <w:t xml:space="preserve"> 2010 to 2017;</w:t>
      </w:r>
    </w:p>
    <w:p w:rsidR="006A432E" w:rsidRDefault="006A432E" w:rsidP="006A432E">
      <w:pPr>
        <w:widowControl w:val="0"/>
        <w:tabs>
          <w:tab w:val="left" w:pos="-720"/>
          <w:tab w:val="left" w:pos="5387"/>
        </w:tabs>
        <w:suppressAutoHyphens/>
        <w:snapToGrid w:val="0"/>
        <w:spacing w:line="360" w:lineRule="auto"/>
        <w:jc w:val="both"/>
        <w:rPr>
          <w:rFonts w:ascii="Arial" w:hAnsi="Arial" w:cs="Arial"/>
          <w:i/>
          <w:iCs/>
          <w:spacing w:val="-3"/>
          <w:lang w:val="en-GB"/>
        </w:rPr>
      </w:pPr>
      <w:r>
        <w:rPr>
          <w:rFonts w:ascii="Arial" w:hAnsi="Arial" w:cs="Arial"/>
          <w:i/>
          <w:iCs/>
          <w:spacing w:val="-3"/>
          <w:lang w:val="en-GB"/>
        </w:rPr>
        <w:t xml:space="preserve">3. </w:t>
      </w:r>
      <w:r w:rsidR="00304F34" w:rsidRPr="006A432E">
        <w:rPr>
          <w:rFonts w:ascii="Arial" w:hAnsi="Arial" w:cs="Arial"/>
          <w:i/>
          <w:iCs/>
          <w:spacing w:val="-3"/>
          <w:lang w:val="en-GB"/>
        </w:rPr>
        <w:t>That a declaratory order be granted by the Honourable Tribunal t</w:t>
      </w:r>
      <w:r w:rsidR="00874A3D" w:rsidRPr="006A432E">
        <w:rPr>
          <w:rFonts w:ascii="Arial" w:hAnsi="Arial" w:cs="Arial"/>
          <w:i/>
          <w:iCs/>
          <w:spacing w:val="-3"/>
          <w:lang w:val="en-GB"/>
        </w:rPr>
        <w:t>hat the debt has not prescribed;</w:t>
      </w:r>
    </w:p>
    <w:p w:rsidR="006A432E" w:rsidRDefault="006A432E" w:rsidP="006A432E">
      <w:pPr>
        <w:widowControl w:val="0"/>
        <w:tabs>
          <w:tab w:val="left" w:pos="-720"/>
          <w:tab w:val="left" w:pos="5387"/>
        </w:tabs>
        <w:suppressAutoHyphens/>
        <w:snapToGrid w:val="0"/>
        <w:spacing w:line="360" w:lineRule="auto"/>
        <w:jc w:val="both"/>
        <w:rPr>
          <w:rFonts w:ascii="Arial" w:hAnsi="Arial" w:cs="Arial"/>
          <w:i/>
          <w:iCs/>
          <w:spacing w:val="-3"/>
          <w:lang w:val="en-GB"/>
        </w:rPr>
      </w:pPr>
      <w:r>
        <w:rPr>
          <w:rFonts w:ascii="Arial" w:hAnsi="Arial" w:cs="Arial"/>
          <w:i/>
          <w:iCs/>
          <w:spacing w:val="-3"/>
          <w:lang w:val="en-GB"/>
        </w:rPr>
        <w:t xml:space="preserve">4. </w:t>
      </w:r>
      <w:r w:rsidR="00304F34" w:rsidRPr="006A432E">
        <w:rPr>
          <w:rFonts w:ascii="Arial" w:hAnsi="Arial" w:cs="Arial"/>
          <w:i/>
          <w:iCs/>
          <w:spacing w:val="-3"/>
          <w:lang w:val="en-GB"/>
        </w:rPr>
        <w:t>Costs of the suit, and</w:t>
      </w:r>
    </w:p>
    <w:p w:rsidR="00304F34" w:rsidRDefault="006A432E" w:rsidP="006A432E">
      <w:pPr>
        <w:widowControl w:val="0"/>
        <w:tabs>
          <w:tab w:val="left" w:pos="-720"/>
          <w:tab w:val="left" w:pos="5387"/>
        </w:tabs>
        <w:suppressAutoHyphens/>
        <w:snapToGrid w:val="0"/>
        <w:spacing w:line="360" w:lineRule="auto"/>
        <w:jc w:val="both"/>
        <w:rPr>
          <w:rFonts w:ascii="Arial" w:hAnsi="Arial" w:cs="Arial"/>
          <w:spacing w:val="-3"/>
          <w:lang w:val="en-GB"/>
        </w:rPr>
      </w:pPr>
      <w:r>
        <w:rPr>
          <w:rFonts w:ascii="Arial" w:hAnsi="Arial" w:cs="Arial"/>
          <w:i/>
          <w:iCs/>
          <w:spacing w:val="-3"/>
          <w:lang w:val="en-GB"/>
        </w:rPr>
        <w:t xml:space="preserve">5. </w:t>
      </w:r>
      <w:r w:rsidR="00304F34" w:rsidRPr="006A432E">
        <w:rPr>
          <w:rFonts w:ascii="Arial" w:hAnsi="Arial" w:cs="Arial"/>
          <w:i/>
          <w:iCs/>
          <w:spacing w:val="-3"/>
          <w:lang w:val="en-GB"/>
        </w:rPr>
        <w:t>Further and/or alternative relief</w:t>
      </w:r>
      <w:r w:rsidR="00304F34" w:rsidRPr="006A432E">
        <w:rPr>
          <w:rFonts w:ascii="Arial" w:hAnsi="Arial" w:cs="Arial"/>
          <w:spacing w:val="-3"/>
          <w:lang w:val="en-GB"/>
        </w:rPr>
        <w:t>.</w:t>
      </w:r>
      <w:r w:rsidR="00874A3D" w:rsidRPr="006A432E">
        <w:rPr>
          <w:rFonts w:ascii="Arial" w:hAnsi="Arial" w:cs="Arial"/>
          <w:spacing w:val="-3"/>
          <w:lang w:val="en-GB"/>
        </w:rPr>
        <w:t>”</w:t>
      </w:r>
    </w:p>
    <w:p w:rsidR="006A432E" w:rsidRPr="006A432E" w:rsidRDefault="006A432E" w:rsidP="006A432E">
      <w:pPr>
        <w:widowControl w:val="0"/>
        <w:tabs>
          <w:tab w:val="left" w:pos="-720"/>
          <w:tab w:val="left" w:pos="5387"/>
        </w:tabs>
        <w:suppressAutoHyphens/>
        <w:snapToGrid w:val="0"/>
        <w:spacing w:line="360" w:lineRule="auto"/>
        <w:jc w:val="both"/>
        <w:rPr>
          <w:rFonts w:ascii="Arial" w:hAnsi="Arial" w:cs="Arial"/>
          <w:i/>
          <w:iCs/>
          <w:spacing w:val="-3"/>
          <w:lang w:val="en-GB"/>
        </w:rPr>
      </w:pPr>
    </w:p>
    <w:p w:rsidR="00AA6D13" w:rsidRPr="00527FA5" w:rsidRDefault="00AA6D13" w:rsidP="007B2F11">
      <w:pPr>
        <w:pStyle w:val="p2"/>
        <w:spacing w:before="0" w:beforeAutospacing="0" w:after="0" w:afterAutospacing="0" w:line="360" w:lineRule="auto"/>
        <w:jc w:val="both"/>
        <w:rPr>
          <w:rFonts w:ascii="Arial" w:hAnsi="Arial" w:cs="Arial"/>
          <w:color w:val="000000"/>
        </w:rPr>
      </w:pPr>
      <w:r w:rsidRPr="00527FA5">
        <w:rPr>
          <w:rFonts w:ascii="Arial" w:hAnsi="Arial" w:cs="Arial"/>
          <w:color w:val="000000"/>
        </w:rPr>
        <w:t>[2]</w:t>
      </w:r>
      <w:r w:rsidR="00874A3D" w:rsidRPr="00527FA5">
        <w:rPr>
          <w:rFonts w:ascii="Arial" w:hAnsi="Arial" w:cs="Arial"/>
          <w:color w:val="000000"/>
        </w:rPr>
        <w:tab/>
        <w:t xml:space="preserve">The respondents are opposing the application. </w:t>
      </w:r>
      <w:r w:rsidR="006024F5" w:rsidRPr="00527FA5">
        <w:rPr>
          <w:rFonts w:ascii="Arial" w:hAnsi="Arial" w:cs="Arial"/>
          <w:color w:val="000000"/>
        </w:rPr>
        <w:t>However</w:t>
      </w:r>
      <w:r w:rsidR="00874A3D" w:rsidRPr="00527FA5">
        <w:rPr>
          <w:rFonts w:ascii="Arial" w:hAnsi="Arial" w:cs="Arial"/>
          <w:color w:val="000000"/>
        </w:rPr>
        <w:t>, although they filed opposing papers</w:t>
      </w:r>
      <w:r w:rsidR="003A1093">
        <w:rPr>
          <w:rFonts w:ascii="Arial" w:hAnsi="Arial" w:cs="Arial"/>
          <w:color w:val="000000"/>
        </w:rPr>
        <w:t xml:space="preserve">, </w:t>
      </w:r>
      <w:r w:rsidR="00874A3D" w:rsidRPr="00527FA5">
        <w:rPr>
          <w:rFonts w:ascii="Arial" w:hAnsi="Arial" w:cs="Arial"/>
          <w:color w:val="000000"/>
        </w:rPr>
        <w:t>the date for hearing was determined and directives for the filing of heads</w:t>
      </w:r>
      <w:r w:rsidR="000747AC">
        <w:rPr>
          <w:rFonts w:ascii="Arial" w:hAnsi="Arial" w:cs="Arial"/>
          <w:color w:val="000000"/>
        </w:rPr>
        <w:t xml:space="preserve"> of argument were given at the case m</w:t>
      </w:r>
      <w:r w:rsidR="00874A3D" w:rsidRPr="00527FA5">
        <w:rPr>
          <w:rFonts w:ascii="Arial" w:hAnsi="Arial" w:cs="Arial"/>
          <w:color w:val="000000"/>
        </w:rPr>
        <w:t>anagement meeting where their attorney of record was in attendance, he failed to file heads of argument. He also failed to appear on the date of hearing. The application remains of opposed. The Tribunal had regard to the res</w:t>
      </w:r>
      <w:r w:rsidR="000747AC">
        <w:rPr>
          <w:rFonts w:ascii="Arial" w:hAnsi="Arial" w:cs="Arial"/>
          <w:color w:val="000000"/>
        </w:rPr>
        <w:t>pondents’ answering affidavit when adjudicating the application.</w:t>
      </w:r>
      <w:r w:rsidR="00874A3D" w:rsidRPr="00527FA5">
        <w:rPr>
          <w:rFonts w:ascii="Arial" w:hAnsi="Arial" w:cs="Arial"/>
          <w:color w:val="000000"/>
        </w:rPr>
        <w:t xml:space="preserve"> </w:t>
      </w:r>
      <w:r w:rsidRPr="00527FA5">
        <w:rPr>
          <w:rFonts w:ascii="Arial" w:hAnsi="Arial" w:cs="Arial"/>
          <w:color w:val="000000"/>
        </w:rPr>
        <w:tab/>
      </w:r>
    </w:p>
    <w:p w:rsidR="00AA6D13" w:rsidRPr="00527FA5" w:rsidRDefault="00AA6D13" w:rsidP="007B2F11">
      <w:pPr>
        <w:pStyle w:val="p2"/>
        <w:spacing w:before="0" w:beforeAutospacing="0" w:after="0" w:afterAutospacing="0" w:line="360" w:lineRule="auto"/>
        <w:jc w:val="both"/>
        <w:rPr>
          <w:rFonts w:ascii="Arial" w:hAnsi="Arial" w:cs="Arial"/>
          <w:color w:val="000000"/>
        </w:rPr>
      </w:pPr>
    </w:p>
    <w:p w:rsidR="00AA6D13" w:rsidRPr="00527FA5" w:rsidRDefault="00874A3D" w:rsidP="007B2F11">
      <w:pPr>
        <w:pStyle w:val="p2"/>
        <w:spacing w:before="0" w:beforeAutospacing="0" w:after="0" w:afterAutospacing="0" w:line="360" w:lineRule="auto"/>
        <w:jc w:val="both"/>
        <w:rPr>
          <w:rFonts w:ascii="Arial" w:hAnsi="Arial" w:cs="Arial"/>
          <w:color w:val="000000"/>
        </w:rPr>
      </w:pPr>
      <w:r w:rsidRPr="00527FA5">
        <w:rPr>
          <w:rFonts w:ascii="Arial" w:hAnsi="Arial" w:cs="Arial"/>
          <w:color w:val="000000"/>
        </w:rPr>
        <w:t>[3]</w:t>
      </w:r>
      <w:r w:rsidRPr="00527FA5">
        <w:rPr>
          <w:rFonts w:ascii="Arial" w:hAnsi="Arial" w:cs="Arial"/>
          <w:color w:val="000000"/>
        </w:rPr>
        <w:tab/>
        <w:t>This judgment follows the following scheme. I first set out the background facts. Then</w:t>
      </w:r>
      <w:r w:rsidR="000747AC">
        <w:rPr>
          <w:rFonts w:ascii="Arial" w:hAnsi="Arial" w:cs="Arial"/>
          <w:color w:val="000000"/>
        </w:rPr>
        <w:t>,</w:t>
      </w:r>
      <w:r w:rsidRPr="00527FA5">
        <w:rPr>
          <w:rFonts w:ascii="Arial" w:hAnsi="Arial" w:cs="Arial"/>
          <w:color w:val="000000"/>
        </w:rPr>
        <w:t xml:space="preserve"> I outline the basis for the relief sought by the applicants and the respondents’ basis for opposition. Then, I determine the respondents’ point </w:t>
      </w:r>
      <w:r w:rsidRPr="003A1093">
        <w:rPr>
          <w:rFonts w:ascii="Arial" w:hAnsi="Arial" w:cs="Arial"/>
          <w:i/>
          <w:color w:val="000000"/>
        </w:rPr>
        <w:t>in limine</w:t>
      </w:r>
      <w:r w:rsidRPr="00527FA5">
        <w:rPr>
          <w:rFonts w:ascii="Arial" w:hAnsi="Arial" w:cs="Arial"/>
          <w:color w:val="000000"/>
        </w:rPr>
        <w:t xml:space="preserve"> followed by the merits of the application. Lastly I deal with the question of cost. An order concludes the judgment. </w:t>
      </w:r>
    </w:p>
    <w:p w:rsidR="00AA6D13" w:rsidRPr="00527FA5" w:rsidRDefault="00AA6D13" w:rsidP="007B2F11">
      <w:pPr>
        <w:pStyle w:val="p2"/>
        <w:spacing w:before="0" w:beforeAutospacing="0" w:after="0" w:afterAutospacing="0" w:line="360" w:lineRule="auto"/>
        <w:jc w:val="both"/>
        <w:rPr>
          <w:rFonts w:ascii="Arial" w:hAnsi="Arial" w:cs="Arial"/>
          <w:color w:val="000000"/>
        </w:rPr>
      </w:pPr>
    </w:p>
    <w:p w:rsidR="006A432E" w:rsidRDefault="006A432E" w:rsidP="007B2F11">
      <w:pPr>
        <w:pStyle w:val="p2"/>
        <w:spacing w:before="0" w:beforeAutospacing="0" w:after="0" w:afterAutospacing="0" w:line="360" w:lineRule="auto"/>
        <w:jc w:val="both"/>
        <w:rPr>
          <w:rFonts w:ascii="Arial" w:hAnsi="Arial" w:cs="Arial"/>
          <w:b/>
          <w:color w:val="000000"/>
        </w:rPr>
      </w:pPr>
    </w:p>
    <w:p w:rsidR="006A432E" w:rsidRDefault="006A432E" w:rsidP="007B2F11">
      <w:pPr>
        <w:pStyle w:val="p2"/>
        <w:spacing w:before="0" w:beforeAutospacing="0" w:after="0" w:afterAutospacing="0" w:line="360" w:lineRule="auto"/>
        <w:jc w:val="both"/>
        <w:rPr>
          <w:rFonts w:ascii="Arial" w:hAnsi="Arial" w:cs="Arial"/>
          <w:b/>
          <w:color w:val="000000"/>
        </w:rPr>
      </w:pPr>
    </w:p>
    <w:p w:rsidR="006A432E" w:rsidRDefault="006A432E" w:rsidP="007B2F11">
      <w:pPr>
        <w:pStyle w:val="p2"/>
        <w:spacing w:before="0" w:beforeAutospacing="0" w:after="0" w:afterAutospacing="0" w:line="360" w:lineRule="auto"/>
        <w:jc w:val="both"/>
        <w:rPr>
          <w:rFonts w:ascii="Arial" w:hAnsi="Arial" w:cs="Arial"/>
          <w:b/>
          <w:color w:val="000000"/>
        </w:rPr>
      </w:pPr>
    </w:p>
    <w:p w:rsidR="00AA6D13" w:rsidRPr="00527FA5" w:rsidRDefault="00AA6D13" w:rsidP="007B2F11">
      <w:pPr>
        <w:pStyle w:val="p2"/>
        <w:spacing w:before="0" w:beforeAutospacing="0" w:after="0" w:afterAutospacing="0" w:line="360" w:lineRule="auto"/>
        <w:jc w:val="both"/>
        <w:rPr>
          <w:rFonts w:ascii="Arial" w:hAnsi="Arial" w:cs="Arial"/>
          <w:b/>
          <w:color w:val="000000"/>
        </w:rPr>
      </w:pPr>
      <w:r w:rsidRPr="00527FA5">
        <w:rPr>
          <w:rFonts w:ascii="Arial" w:hAnsi="Arial" w:cs="Arial"/>
          <w:b/>
          <w:color w:val="000000"/>
        </w:rPr>
        <w:t xml:space="preserve">BACKGROUND FACTS </w:t>
      </w:r>
    </w:p>
    <w:p w:rsidR="006A432E" w:rsidRDefault="006A432E" w:rsidP="007B2F11">
      <w:pPr>
        <w:pStyle w:val="p3"/>
        <w:spacing w:before="0" w:beforeAutospacing="0" w:after="0" w:afterAutospacing="0" w:line="360" w:lineRule="auto"/>
        <w:jc w:val="both"/>
        <w:rPr>
          <w:rStyle w:val="s2"/>
          <w:rFonts w:ascii="Arial" w:hAnsi="Arial" w:cs="Arial"/>
          <w:color w:val="000000"/>
        </w:rPr>
      </w:pPr>
    </w:p>
    <w:p w:rsidR="00B93E61" w:rsidRDefault="00AA6D13" w:rsidP="007B2F11">
      <w:pPr>
        <w:pStyle w:val="p3"/>
        <w:spacing w:before="0" w:beforeAutospacing="0" w:after="0" w:afterAutospacing="0" w:line="360" w:lineRule="auto"/>
        <w:jc w:val="both"/>
        <w:rPr>
          <w:rStyle w:val="s2"/>
          <w:rFonts w:ascii="Arial" w:hAnsi="Arial" w:cs="Arial"/>
          <w:color w:val="000000"/>
        </w:rPr>
      </w:pPr>
      <w:r w:rsidRPr="00527FA5">
        <w:rPr>
          <w:rStyle w:val="s2"/>
          <w:rFonts w:ascii="Arial" w:hAnsi="Arial" w:cs="Arial"/>
          <w:color w:val="000000"/>
        </w:rPr>
        <w:t>[4]</w:t>
      </w:r>
      <w:r w:rsidRPr="00527FA5">
        <w:rPr>
          <w:rStyle w:val="s2"/>
          <w:rFonts w:ascii="Arial" w:hAnsi="Arial" w:cs="Arial"/>
          <w:color w:val="000000"/>
        </w:rPr>
        <w:tab/>
      </w:r>
      <w:r w:rsidR="007B2F11" w:rsidRPr="00527FA5">
        <w:rPr>
          <w:rStyle w:val="s2"/>
          <w:rFonts w:ascii="Arial" w:hAnsi="Arial" w:cs="Arial"/>
          <w:color w:val="000000"/>
        </w:rPr>
        <w:t>The background facts</w:t>
      </w:r>
      <w:r w:rsidR="00B93E61">
        <w:rPr>
          <w:rStyle w:val="s2"/>
          <w:rFonts w:ascii="Arial" w:hAnsi="Arial" w:cs="Arial"/>
          <w:color w:val="000000"/>
        </w:rPr>
        <w:t xml:space="preserve"> are largely common cause. The first r</w:t>
      </w:r>
      <w:r w:rsidR="007B2F11" w:rsidRPr="00527FA5">
        <w:rPr>
          <w:rStyle w:val="s2"/>
          <w:rFonts w:ascii="Arial" w:hAnsi="Arial" w:cs="Arial"/>
          <w:color w:val="000000"/>
        </w:rPr>
        <w:t>espondent was appointed to render a service to the Department providing transportation for p</w:t>
      </w:r>
      <w:r w:rsidR="006F5EB1" w:rsidRPr="00527FA5">
        <w:rPr>
          <w:rStyle w:val="s2"/>
          <w:rFonts w:ascii="Arial" w:hAnsi="Arial" w:cs="Arial"/>
          <w:color w:val="000000"/>
        </w:rPr>
        <w:t>ublic school learners in the Delareyville</w:t>
      </w:r>
      <w:r w:rsidR="007B2F11" w:rsidRPr="00527FA5">
        <w:rPr>
          <w:rStyle w:val="s2"/>
          <w:rFonts w:ascii="Arial" w:hAnsi="Arial" w:cs="Arial"/>
          <w:color w:val="000000"/>
        </w:rPr>
        <w:t xml:space="preserve"> rural area in </w:t>
      </w:r>
      <w:r w:rsidR="006F5EB1" w:rsidRPr="00527FA5">
        <w:rPr>
          <w:rStyle w:val="s2"/>
          <w:rFonts w:ascii="Arial" w:hAnsi="Arial" w:cs="Arial"/>
          <w:color w:val="000000"/>
        </w:rPr>
        <w:t xml:space="preserve">the </w:t>
      </w:r>
      <w:r w:rsidR="007B2F11" w:rsidRPr="00527FA5">
        <w:rPr>
          <w:rStyle w:val="s2"/>
          <w:rFonts w:ascii="Arial" w:hAnsi="Arial" w:cs="Arial"/>
          <w:color w:val="000000"/>
        </w:rPr>
        <w:t>North West</w:t>
      </w:r>
      <w:r w:rsidR="006F5EB1" w:rsidRPr="00527FA5">
        <w:rPr>
          <w:rStyle w:val="s2"/>
          <w:rFonts w:ascii="Arial" w:hAnsi="Arial" w:cs="Arial"/>
          <w:color w:val="000000"/>
        </w:rPr>
        <w:t xml:space="preserve"> Province under tender number PWRT029/2010 (the tender)</w:t>
      </w:r>
      <w:r w:rsidR="007B2F11" w:rsidRPr="00527FA5">
        <w:rPr>
          <w:rStyle w:val="s2"/>
          <w:rFonts w:ascii="Arial" w:hAnsi="Arial" w:cs="Arial"/>
          <w:color w:val="000000"/>
        </w:rPr>
        <w:t xml:space="preserve">. </w:t>
      </w:r>
      <w:r w:rsidR="00B93E61">
        <w:rPr>
          <w:rStyle w:val="s2"/>
          <w:rFonts w:ascii="Arial" w:hAnsi="Arial" w:cs="Arial"/>
          <w:color w:val="000000"/>
        </w:rPr>
        <w:t xml:space="preserve">Subsequently the Department entered into a contract with the first respondent to provide services in terms of the tender (the contract). </w:t>
      </w:r>
      <w:r w:rsidR="007B2F11" w:rsidRPr="00527FA5">
        <w:rPr>
          <w:rStyle w:val="s2"/>
          <w:rFonts w:ascii="Arial" w:hAnsi="Arial" w:cs="Arial"/>
          <w:color w:val="000000"/>
        </w:rPr>
        <w:t xml:space="preserve">The </w:t>
      </w:r>
      <w:r w:rsidR="00B93E61">
        <w:rPr>
          <w:rStyle w:val="s2"/>
          <w:rFonts w:ascii="Arial" w:hAnsi="Arial" w:cs="Arial"/>
          <w:color w:val="000000"/>
        </w:rPr>
        <w:t>contract</w:t>
      </w:r>
      <w:r w:rsidR="006F5EB1" w:rsidRPr="00527FA5">
        <w:rPr>
          <w:rStyle w:val="s2"/>
          <w:rFonts w:ascii="Arial" w:hAnsi="Arial" w:cs="Arial"/>
          <w:color w:val="000000"/>
        </w:rPr>
        <w:t xml:space="preserve"> </w:t>
      </w:r>
      <w:r w:rsidR="007B2F11" w:rsidRPr="00527FA5">
        <w:rPr>
          <w:rStyle w:val="s2"/>
          <w:rFonts w:ascii="Arial" w:hAnsi="Arial" w:cs="Arial"/>
          <w:color w:val="000000"/>
        </w:rPr>
        <w:t xml:space="preserve">would endure from October 2010 until October 2015. </w:t>
      </w:r>
      <w:r w:rsidR="00B93E61">
        <w:rPr>
          <w:rStyle w:val="s2"/>
          <w:rFonts w:ascii="Arial" w:hAnsi="Arial" w:cs="Arial"/>
          <w:color w:val="000000"/>
        </w:rPr>
        <w:t>When the contract expired, the first r</w:t>
      </w:r>
      <w:r w:rsidR="007B2F11" w:rsidRPr="00527FA5">
        <w:rPr>
          <w:rStyle w:val="s2"/>
          <w:rFonts w:ascii="Arial" w:hAnsi="Arial" w:cs="Arial"/>
          <w:color w:val="000000"/>
        </w:rPr>
        <w:t>espondent continued to provide transportation to the learners on a month to month basis until 30 March 2017</w:t>
      </w:r>
      <w:r w:rsidR="006C4729" w:rsidRPr="00527FA5">
        <w:rPr>
          <w:rStyle w:val="s2"/>
          <w:rFonts w:ascii="Arial" w:hAnsi="Arial" w:cs="Arial"/>
          <w:color w:val="000000"/>
        </w:rPr>
        <w:t xml:space="preserve"> wh</w:t>
      </w:r>
      <w:r w:rsidR="00B93E61">
        <w:rPr>
          <w:rStyle w:val="s2"/>
          <w:rFonts w:ascii="Arial" w:hAnsi="Arial" w:cs="Arial"/>
          <w:color w:val="000000"/>
        </w:rPr>
        <w:t xml:space="preserve">en the Department terminated the </w:t>
      </w:r>
      <w:r w:rsidR="006C4729" w:rsidRPr="00527FA5">
        <w:rPr>
          <w:rStyle w:val="s2"/>
          <w:rFonts w:ascii="Arial" w:hAnsi="Arial" w:cs="Arial"/>
          <w:color w:val="000000"/>
        </w:rPr>
        <w:t>contract.</w:t>
      </w:r>
      <w:r w:rsidR="007B2F11" w:rsidRPr="00527FA5">
        <w:rPr>
          <w:rStyle w:val="s2"/>
          <w:rFonts w:ascii="Arial" w:hAnsi="Arial" w:cs="Arial"/>
          <w:color w:val="000000"/>
        </w:rPr>
        <w:t xml:space="preserve"> </w:t>
      </w:r>
    </w:p>
    <w:p w:rsidR="00B93E61" w:rsidRDefault="00B93E61" w:rsidP="007B2F11">
      <w:pPr>
        <w:pStyle w:val="p3"/>
        <w:spacing w:before="0" w:beforeAutospacing="0" w:after="0" w:afterAutospacing="0" w:line="360" w:lineRule="auto"/>
        <w:jc w:val="both"/>
        <w:rPr>
          <w:rStyle w:val="s2"/>
          <w:rFonts w:ascii="Arial" w:hAnsi="Arial" w:cs="Arial"/>
          <w:color w:val="000000"/>
        </w:rPr>
      </w:pPr>
    </w:p>
    <w:p w:rsidR="007B2F11" w:rsidRPr="00527FA5" w:rsidRDefault="00B93E61" w:rsidP="007B2F11">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[5]</w:t>
      </w:r>
      <w:r>
        <w:rPr>
          <w:rStyle w:val="s2"/>
          <w:rFonts w:ascii="Arial" w:hAnsi="Arial" w:cs="Arial"/>
          <w:color w:val="000000"/>
        </w:rPr>
        <w:tab/>
      </w:r>
      <w:r w:rsidR="007B2F11" w:rsidRPr="00527FA5">
        <w:rPr>
          <w:rStyle w:val="s2"/>
          <w:rFonts w:ascii="Arial" w:hAnsi="Arial" w:cs="Arial"/>
          <w:color w:val="000000"/>
        </w:rPr>
        <w:t>In terms of the contract, the service would be provided on pre-determined routes set out in RSMDM 13.</w:t>
      </w:r>
    </w:p>
    <w:p w:rsidR="00527FA5" w:rsidRDefault="00527FA5" w:rsidP="007B2F11">
      <w:pPr>
        <w:pStyle w:val="p3"/>
        <w:spacing w:before="0" w:beforeAutospacing="0" w:after="0" w:afterAutospacing="0" w:line="360" w:lineRule="auto"/>
        <w:jc w:val="both"/>
        <w:rPr>
          <w:rStyle w:val="s2"/>
          <w:rFonts w:ascii="Arial" w:hAnsi="Arial" w:cs="Arial"/>
          <w:color w:val="000000"/>
        </w:rPr>
      </w:pPr>
    </w:p>
    <w:p w:rsidR="007B2F11" w:rsidRPr="00527FA5" w:rsidRDefault="00B93E61" w:rsidP="007B2F11">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[6</w:t>
      </w:r>
      <w:r w:rsidR="00AA6D13" w:rsidRPr="00527FA5">
        <w:rPr>
          <w:rStyle w:val="s2"/>
          <w:rFonts w:ascii="Arial" w:hAnsi="Arial" w:cs="Arial"/>
          <w:color w:val="000000"/>
        </w:rPr>
        <w:t>]</w:t>
      </w:r>
      <w:r w:rsidR="00AA6D13" w:rsidRPr="00527FA5">
        <w:rPr>
          <w:rStyle w:val="s2"/>
          <w:rFonts w:ascii="Arial" w:hAnsi="Arial" w:cs="Arial"/>
          <w:color w:val="000000"/>
        </w:rPr>
        <w:tab/>
      </w:r>
      <w:r w:rsidR="006F5EB1" w:rsidRPr="00527FA5">
        <w:rPr>
          <w:rStyle w:val="s2"/>
          <w:rFonts w:ascii="Arial" w:hAnsi="Arial" w:cs="Arial"/>
          <w:color w:val="000000"/>
        </w:rPr>
        <w:t>Through</w:t>
      </w:r>
      <w:r w:rsidR="007B2F11" w:rsidRPr="00527FA5">
        <w:rPr>
          <w:rStyle w:val="s2"/>
          <w:rFonts w:ascii="Arial" w:hAnsi="Arial" w:cs="Arial"/>
          <w:color w:val="000000"/>
        </w:rPr>
        <w:t>out</w:t>
      </w:r>
      <w:r>
        <w:rPr>
          <w:rStyle w:val="s2"/>
          <w:rFonts w:ascii="Arial" w:hAnsi="Arial" w:cs="Arial"/>
          <w:color w:val="000000"/>
        </w:rPr>
        <w:t xml:space="preserve"> the term of the contract, the second r</w:t>
      </w:r>
      <w:r w:rsidR="007B2F11" w:rsidRPr="00527FA5">
        <w:rPr>
          <w:rStyle w:val="s2"/>
          <w:rFonts w:ascii="Arial" w:hAnsi="Arial" w:cs="Arial"/>
          <w:color w:val="000000"/>
        </w:rPr>
        <w:t>esponden</w:t>
      </w:r>
      <w:r>
        <w:rPr>
          <w:rStyle w:val="s2"/>
          <w:rFonts w:ascii="Arial" w:hAnsi="Arial" w:cs="Arial"/>
          <w:color w:val="000000"/>
        </w:rPr>
        <w:t>t was the sole director of the first r</w:t>
      </w:r>
      <w:r w:rsidR="007B2F11" w:rsidRPr="00527FA5">
        <w:rPr>
          <w:rStyle w:val="s2"/>
          <w:rFonts w:ascii="Arial" w:hAnsi="Arial" w:cs="Arial"/>
          <w:color w:val="000000"/>
        </w:rPr>
        <w:t>espondent. In that capacity, he was responsible for overseei</w:t>
      </w:r>
      <w:r>
        <w:rPr>
          <w:rStyle w:val="s2"/>
          <w:rFonts w:ascii="Arial" w:hAnsi="Arial" w:cs="Arial"/>
          <w:color w:val="000000"/>
        </w:rPr>
        <w:t>ng the daily operations of the first r</w:t>
      </w:r>
      <w:r w:rsidR="007B2F11" w:rsidRPr="00527FA5">
        <w:rPr>
          <w:rStyle w:val="s2"/>
          <w:rFonts w:ascii="Arial" w:hAnsi="Arial" w:cs="Arial"/>
          <w:color w:val="000000"/>
        </w:rPr>
        <w:t>espondent and was accountable for the overall performance and the admi</w:t>
      </w:r>
      <w:r>
        <w:rPr>
          <w:rStyle w:val="s2"/>
          <w:rFonts w:ascii="Arial" w:hAnsi="Arial" w:cs="Arial"/>
          <w:color w:val="000000"/>
        </w:rPr>
        <w:t>nistration of the first r</w:t>
      </w:r>
      <w:r w:rsidR="007B2F11" w:rsidRPr="00527FA5">
        <w:rPr>
          <w:rStyle w:val="s2"/>
          <w:rFonts w:ascii="Arial" w:hAnsi="Arial" w:cs="Arial"/>
          <w:color w:val="000000"/>
        </w:rPr>
        <w:t xml:space="preserve">espondent. </w:t>
      </w:r>
      <w:r w:rsidR="006C4729" w:rsidRPr="00527FA5">
        <w:rPr>
          <w:rStyle w:val="s2"/>
          <w:rFonts w:ascii="Arial" w:hAnsi="Arial" w:cs="Arial"/>
          <w:color w:val="000000"/>
        </w:rPr>
        <w:t>T</w:t>
      </w:r>
      <w:r>
        <w:rPr>
          <w:rStyle w:val="s2"/>
          <w:rFonts w:ascii="Arial" w:hAnsi="Arial" w:cs="Arial"/>
          <w:color w:val="000000"/>
        </w:rPr>
        <w:t>he second respondent on behalf of the first r</w:t>
      </w:r>
      <w:r w:rsidR="007B2F11" w:rsidRPr="00527FA5">
        <w:rPr>
          <w:rStyle w:val="s2"/>
          <w:rFonts w:ascii="Arial" w:hAnsi="Arial" w:cs="Arial"/>
          <w:color w:val="000000"/>
        </w:rPr>
        <w:t xml:space="preserve">espondent submitted claims to the </w:t>
      </w:r>
      <w:r>
        <w:rPr>
          <w:rStyle w:val="s2"/>
          <w:rFonts w:ascii="Arial" w:hAnsi="Arial" w:cs="Arial"/>
          <w:color w:val="000000"/>
        </w:rPr>
        <w:t>Department</w:t>
      </w:r>
      <w:r w:rsidR="006C4729" w:rsidRPr="00527FA5">
        <w:rPr>
          <w:rStyle w:val="s2"/>
          <w:rFonts w:ascii="Arial" w:hAnsi="Arial" w:cs="Arial"/>
          <w:color w:val="000000"/>
        </w:rPr>
        <w:t xml:space="preserve"> in respect of</w:t>
      </w:r>
      <w:r w:rsidR="007B2F11" w:rsidRPr="00527FA5">
        <w:rPr>
          <w:rStyle w:val="s2"/>
          <w:rFonts w:ascii="Arial" w:hAnsi="Arial" w:cs="Arial"/>
          <w:color w:val="000000"/>
        </w:rPr>
        <w:t xml:space="preserve"> service</w:t>
      </w:r>
      <w:r w:rsidR="006C4729" w:rsidRPr="00527FA5">
        <w:rPr>
          <w:rStyle w:val="s2"/>
          <w:rFonts w:ascii="Arial" w:hAnsi="Arial" w:cs="Arial"/>
          <w:color w:val="000000"/>
        </w:rPr>
        <w:t>s</w:t>
      </w:r>
      <w:r w:rsidR="007B2F11" w:rsidRPr="00527FA5">
        <w:rPr>
          <w:rStyle w:val="s2"/>
          <w:rFonts w:ascii="Arial" w:hAnsi="Arial" w:cs="Arial"/>
          <w:color w:val="000000"/>
        </w:rPr>
        <w:t xml:space="preserve"> rendered in terms of the contract.</w:t>
      </w:r>
    </w:p>
    <w:p w:rsidR="00874A3D" w:rsidRPr="00527FA5" w:rsidRDefault="00874A3D" w:rsidP="007B2F11">
      <w:pPr>
        <w:pStyle w:val="p3"/>
        <w:spacing w:before="0" w:beforeAutospacing="0" w:after="0" w:afterAutospacing="0" w:line="360" w:lineRule="auto"/>
        <w:jc w:val="both"/>
        <w:rPr>
          <w:rStyle w:val="s2"/>
          <w:rFonts w:ascii="Arial" w:hAnsi="Arial" w:cs="Arial"/>
          <w:color w:val="000000"/>
        </w:rPr>
      </w:pPr>
    </w:p>
    <w:p w:rsidR="00874A3D" w:rsidRDefault="00874A3D" w:rsidP="007B2F11">
      <w:pPr>
        <w:pStyle w:val="p3"/>
        <w:spacing w:before="0" w:beforeAutospacing="0" w:after="0" w:afterAutospacing="0" w:line="360" w:lineRule="auto"/>
        <w:jc w:val="both"/>
        <w:rPr>
          <w:rStyle w:val="s2"/>
          <w:rFonts w:ascii="Arial" w:hAnsi="Arial" w:cs="Arial"/>
          <w:b/>
          <w:color w:val="000000"/>
        </w:rPr>
      </w:pPr>
      <w:r w:rsidRPr="00527FA5">
        <w:rPr>
          <w:rStyle w:val="s2"/>
          <w:rFonts w:ascii="Arial" w:hAnsi="Arial" w:cs="Arial"/>
          <w:b/>
          <w:color w:val="000000"/>
        </w:rPr>
        <w:t>THE BASIS FOR THE RELIEF SOUGHT AND RESPONDENTS’ OPPOSITION</w:t>
      </w:r>
    </w:p>
    <w:p w:rsidR="00E675E6" w:rsidRPr="00527FA5" w:rsidRDefault="00E675E6" w:rsidP="007B2F11">
      <w:pPr>
        <w:pStyle w:val="p3"/>
        <w:spacing w:before="0" w:beforeAutospacing="0" w:after="0" w:afterAutospacing="0" w:line="360" w:lineRule="auto"/>
        <w:jc w:val="both"/>
        <w:rPr>
          <w:rFonts w:ascii="Arial" w:hAnsi="Arial" w:cs="Arial"/>
          <w:b/>
          <w:color w:val="000000"/>
        </w:rPr>
      </w:pPr>
    </w:p>
    <w:p w:rsidR="007B2F11" w:rsidRDefault="00B93E61" w:rsidP="007B2F11">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[7</w:t>
      </w:r>
      <w:r w:rsidR="00AA6D13" w:rsidRPr="00527FA5">
        <w:rPr>
          <w:rStyle w:val="s2"/>
          <w:rFonts w:ascii="Arial" w:hAnsi="Arial" w:cs="Arial"/>
          <w:color w:val="000000"/>
        </w:rPr>
        <w:t>]</w:t>
      </w:r>
      <w:r w:rsidR="00AA6D13" w:rsidRPr="00527FA5">
        <w:rPr>
          <w:rStyle w:val="s2"/>
          <w:rFonts w:ascii="Arial" w:hAnsi="Arial" w:cs="Arial"/>
          <w:color w:val="000000"/>
        </w:rPr>
        <w:tab/>
      </w:r>
      <w:r w:rsidR="007B2F11" w:rsidRPr="00527FA5">
        <w:rPr>
          <w:rStyle w:val="s2"/>
          <w:rFonts w:ascii="Arial" w:hAnsi="Arial" w:cs="Arial"/>
          <w:color w:val="000000"/>
        </w:rPr>
        <w:t xml:space="preserve">The applicants allege that the respondents inflated the kilometres </w:t>
      </w:r>
      <w:r w:rsidR="003A1093" w:rsidRPr="00527FA5">
        <w:rPr>
          <w:rStyle w:val="s2"/>
          <w:rFonts w:ascii="Arial" w:hAnsi="Arial" w:cs="Arial"/>
          <w:color w:val="000000"/>
        </w:rPr>
        <w:t>travelled when</w:t>
      </w:r>
      <w:r>
        <w:rPr>
          <w:rStyle w:val="s2"/>
          <w:rFonts w:ascii="Arial" w:hAnsi="Arial" w:cs="Arial"/>
          <w:color w:val="000000"/>
        </w:rPr>
        <w:t xml:space="preserve"> rendering services in terms of </w:t>
      </w:r>
      <w:r w:rsidR="006C4729" w:rsidRPr="00527FA5">
        <w:rPr>
          <w:rStyle w:val="s2"/>
          <w:rFonts w:ascii="Arial" w:hAnsi="Arial" w:cs="Arial"/>
          <w:color w:val="000000"/>
        </w:rPr>
        <w:t>the contract</w:t>
      </w:r>
      <w:r>
        <w:rPr>
          <w:rStyle w:val="s2"/>
          <w:rFonts w:ascii="Arial" w:hAnsi="Arial" w:cs="Arial"/>
          <w:color w:val="000000"/>
        </w:rPr>
        <w:t xml:space="preserve">. </w:t>
      </w:r>
      <w:r w:rsidR="007B2F11" w:rsidRPr="00527FA5">
        <w:rPr>
          <w:rStyle w:val="s2"/>
          <w:rFonts w:ascii="Arial" w:hAnsi="Arial" w:cs="Arial"/>
          <w:color w:val="000000"/>
        </w:rPr>
        <w:t xml:space="preserve">As a result, the invoices submitted to claim payment for services rendered in terms of the contract </w:t>
      </w:r>
      <w:r>
        <w:rPr>
          <w:rStyle w:val="s2"/>
          <w:rFonts w:ascii="Arial" w:hAnsi="Arial" w:cs="Arial"/>
          <w:color w:val="000000"/>
        </w:rPr>
        <w:t xml:space="preserve">were </w:t>
      </w:r>
      <w:r w:rsidR="007B2F11" w:rsidRPr="00527FA5">
        <w:rPr>
          <w:rStyle w:val="s2"/>
          <w:rFonts w:ascii="Arial" w:hAnsi="Arial" w:cs="Arial"/>
          <w:color w:val="000000"/>
        </w:rPr>
        <w:t>overstated. This conduct constitutes fraud. As a result, the first respondent was unjusti</w:t>
      </w:r>
      <w:r w:rsidR="006C4729" w:rsidRPr="00527FA5">
        <w:rPr>
          <w:rStyle w:val="s2"/>
          <w:rFonts w:ascii="Arial" w:hAnsi="Arial" w:cs="Arial"/>
          <w:color w:val="000000"/>
        </w:rPr>
        <w:t xml:space="preserve">fiably enriched. The applicants further allege that they are therefore entitled </w:t>
      </w:r>
      <w:r w:rsidR="007B2F11" w:rsidRPr="00527FA5">
        <w:rPr>
          <w:rStyle w:val="s2"/>
          <w:rFonts w:ascii="Arial" w:hAnsi="Arial" w:cs="Arial"/>
          <w:color w:val="000000"/>
        </w:rPr>
        <w:t>to recover the cumulative amounts by which the respondents exaggerated the second respondent</w:t>
      </w:r>
      <w:r w:rsidR="006C4729" w:rsidRPr="00527FA5">
        <w:rPr>
          <w:rStyle w:val="s2"/>
          <w:rFonts w:ascii="Arial" w:hAnsi="Arial" w:cs="Arial"/>
          <w:color w:val="000000"/>
        </w:rPr>
        <w:t>’</w:t>
      </w:r>
      <w:r w:rsidR="007B2F11" w:rsidRPr="00527FA5">
        <w:rPr>
          <w:rStyle w:val="s2"/>
          <w:rFonts w:ascii="Arial" w:hAnsi="Arial" w:cs="Arial"/>
          <w:color w:val="000000"/>
        </w:rPr>
        <w:t>s</w:t>
      </w:r>
      <w:r w:rsidR="006C4729" w:rsidRPr="00527FA5">
        <w:rPr>
          <w:rStyle w:val="s2"/>
          <w:rFonts w:ascii="Arial" w:hAnsi="Arial" w:cs="Arial"/>
          <w:color w:val="000000"/>
        </w:rPr>
        <w:t xml:space="preserve"> invoices </w:t>
      </w:r>
      <w:r w:rsidR="007B2F11" w:rsidRPr="00527FA5">
        <w:rPr>
          <w:rStyle w:val="s2"/>
          <w:rFonts w:ascii="Arial" w:hAnsi="Arial" w:cs="Arial"/>
          <w:color w:val="000000"/>
        </w:rPr>
        <w:t>as prayed for in the applicants’ amended notice of motion. </w:t>
      </w:r>
    </w:p>
    <w:p w:rsidR="00E675E6" w:rsidRPr="00527FA5" w:rsidRDefault="00E675E6" w:rsidP="007B2F11">
      <w:pPr>
        <w:pStyle w:val="p3"/>
        <w:spacing w:before="0" w:beforeAutospacing="0" w:after="0" w:afterAutospacing="0" w:line="360" w:lineRule="auto"/>
        <w:jc w:val="both"/>
        <w:rPr>
          <w:rStyle w:val="s2"/>
          <w:rFonts w:ascii="Arial" w:hAnsi="Arial" w:cs="Arial"/>
          <w:color w:val="000000"/>
        </w:rPr>
      </w:pPr>
    </w:p>
    <w:p w:rsidR="006C4729" w:rsidRPr="00527FA5" w:rsidRDefault="00B93E61" w:rsidP="007B2F11">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[8</w:t>
      </w:r>
      <w:r w:rsidR="00AA6D13" w:rsidRPr="00527FA5">
        <w:rPr>
          <w:rStyle w:val="s2"/>
          <w:rFonts w:ascii="Arial" w:hAnsi="Arial" w:cs="Arial"/>
          <w:color w:val="000000"/>
        </w:rPr>
        <w:t>]</w:t>
      </w:r>
      <w:r w:rsidR="00AA6D13" w:rsidRPr="00527FA5">
        <w:rPr>
          <w:rStyle w:val="s2"/>
          <w:rFonts w:ascii="Arial" w:hAnsi="Arial" w:cs="Arial"/>
          <w:color w:val="000000"/>
        </w:rPr>
        <w:tab/>
      </w:r>
      <w:r w:rsidR="006C4729" w:rsidRPr="00527FA5">
        <w:rPr>
          <w:rStyle w:val="s2"/>
          <w:rFonts w:ascii="Arial" w:hAnsi="Arial" w:cs="Arial"/>
          <w:color w:val="000000"/>
        </w:rPr>
        <w:t>Initially, the applicants had prayed that the respondents rep</w:t>
      </w:r>
      <w:r>
        <w:rPr>
          <w:rStyle w:val="s2"/>
          <w:rFonts w:ascii="Arial" w:hAnsi="Arial" w:cs="Arial"/>
          <w:color w:val="000000"/>
        </w:rPr>
        <w:t>ay an amount of R5,205,577.56. F</w:t>
      </w:r>
      <w:r w:rsidR="006C4729" w:rsidRPr="00527FA5">
        <w:rPr>
          <w:rStyle w:val="s2"/>
          <w:rFonts w:ascii="Arial" w:hAnsi="Arial" w:cs="Arial"/>
          <w:color w:val="000000"/>
        </w:rPr>
        <w:t>ollowing further investigations, they discove</w:t>
      </w:r>
      <w:r w:rsidR="00AA6D13" w:rsidRPr="00527FA5">
        <w:rPr>
          <w:rStyle w:val="s2"/>
          <w:rFonts w:ascii="Arial" w:hAnsi="Arial" w:cs="Arial"/>
          <w:color w:val="000000"/>
        </w:rPr>
        <w:t>red that the respondents had exaggerated</w:t>
      </w:r>
      <w:r w:rsidR="006C4729" w:rsidRPr="00527FA5">
        <w:rPr>
          <w:rStyle w:val="s2"/>
          <w:rFonts w:ascii="Arial" w:hAnsi="Arial" w:cs="Arial"/>
          <w:color w:val="000000"/>
        </w:rPr>
        <w:t xml:space="preserve"> </w:t>
      </w:r>
      <w:r w:rsidR="00AA6D13" w:rsidRPr="00527FA5">
        <w:rPr>
          <w:rStyle w:val="s2"/>
          <w:rFonts w:ascii="Arial" w:hAnsi="Arial" w:cs="Arial"/>
          <w:color w:val="000000"/>
        </w:rPr>
        <w:t xml:space="preserve">the second respondent’s invoices by an amount of </w:t>
      </w:r>
      <w:r w:rsidR="00AA6D13" w:rsidRPr="00527FA5">
        <w:rPr>
          <w:rFonts w:ascii="Arial" w:eastAsia="Calibri" w:hAnsi="Arial" w:cs="Arial"/>
        </w:rPr>
        <w:t>R7 479 648.44</w:t>
      </w:r>
      <w:r>
        <w:rPr>
          <w:rFonts w:ascii="Arial" w:eastAsia="Calibri" w:hAnsi="Arial" w:cs="Arial"/>
        </w:rPr>
        <w:t>.</w:t>
      </w:r>
      <w:r w:rsidR="00AA6D13" w:rsidRPr="00527FA5">
        <w:rPr>
          <w:rStyle w:val="BalloonTextChar"/>
          <w:rFonts w:ascii="Arial" w:eastAsiaTheme="minorHAnsi" w:hAnsi="Arial" w:cs="Arial"/>
          <w:color w:val="000000"/>
        </w:rPr>
        <w:t>.</w:t>
      </w:r>
      <w:r w:rsidR="00AA6D13" w:rsidRPr="00527FA5">
        <w:rPr>
          <w:rStyle w:val="s2"/>
          <w:rFonts w:ascii="Arial" w:hAnsi="Arial" w:cs="Arial"/>
          <w:color w:val="000000"/>
        </w:rPr>
        <w:t xml:space="preserve"> It is for that reason </w:t>
      </w:r>
      <w:r>
        <w:rPr>
          <w:rStyle w:val="s2"/>
          <w:rFonts w:ascii="Arial" w:hAnsi="Arial" w:cs="Arial"/>
          <w:color w:val="000000"/>
        </w:rPr>
        <w:t>that the applicants amended their</w:t>
      </w:r>
      <w:r w:rsidR="00AA6D13" w:rsidRPr="00527FA5">
        <w:rPr>
          <w:rStyle w:val="s2"/>
          <w:rFonts w:ascii="Arial" w:hAnsi="Arial" w:cs="Arial"/>
          <w:color w:val="000000"/>
        </w:rPr>
        <w:t xml:space="preserve"> notice of motion, praying for </w:t>
      </w:r>
      <w:r>
        <w:rPr>
          <w:rStyle w:val="s2"/>
          <w:rFonts w:ascii="Arial" w:hAnsi="Arial" w:cs="Arial"/>
          <w:color w:val="000000"/>
        </w:rPr>
        <w:t xml:space="preserve">the </w:t>
      </w:r>
      <w:r w:rsidR="00AA6D13" w:rsidRPr="00527FA5">
        <w:rPr>
          <w:rStyle w:val="s2"/>
          <w:rFonts w:ascii="Arial" w:hAnsi="Arial" w:cs="Arial"/>
          <w:color w:val="000000"/>
        </w:rPr>
        <w:t xml:space="preserve">repayment of the latter amount. </w:t>
      </w:r>
    </w:p>
    <w:p w:rsidR="00E675E6" w:rsidRDefault="00E675E6" w:rsidP="007B2F11">
      <w:pPr>
        <w:pStyle w:val="p3"/>
        <w:spacing w:before="0" w:beforeAutospacing="0" w:after="0" w:afterAutospacing="0" w:line="360" w:lineRule="auto"/>
        <w:jc w:val="both"/>
        <w:rPr>
          <w:rStyle w:val="s2"/>
          <w:rFonts w:ascii="Arial" w:hAnsi="Arial" w:cs="Arial"/>
          <w:color w:val="000000"/>
        </w:rPr>
      </w:pPr>
    </w:p>
    <w:p w:rsidR="007B2F11" w:rsidRPr="00527FA5" w:rsidRDefault="00B93E61" w:rsidP="007B2F11">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[9</w:t>
      </w:r>
      <w:r w:rsidR="00AA6D13" w:rsidRPr="00527FA5">
        <w:rPr>
          <w:rStyle w:val="s2"/>
          <w:rFonts w:ascii="Arial" w:hAnsi="Arial" w:cs="Arial"/>
          <w:color w:val="000000"/>
        </w:rPr>
        <w:t>]</w:t>
      </w:r>
      <w:r w:rsidR="00AA6D13" w:rsidRPr="00527FA5">
        <w:rPr>
          <w:rStyle w:val="s2"/>
          <w:rFonts w:ascii="Arial" w:hAnsi="Arial" w:cs="Arial"/>
          <w:color w:val="000000"/>
        </w:rPr>
        <w:tab/>
      </w:r>
      <w:r w:rsidR="007B2F11" w:rsidRPr="00527FA5">
        <w:rPr>
          <w:rStyle w:val="s2"/>
          <w:rFonts w:ascii="Arial" w:hAnsi="Arial" w:cs="Arial"/>
          <w:color w:val="000000"/>
        </w:rPr>
        <w:t xml:space="preserve">Although the respondents deny these allegations, they do not dispute that they have inflated the kilometres travelled as claimed. They contend that they claimed for kilometres as verified by the Department and were paid on the basis of their invoices as </w:t>
      </w:r>
      <w:r w:rsidR="003A1093">
        <w:rPr>
          <w:rStyle w:val="s2"/>
          <w:rFonts w:ascii="Arial" w:hAnsi="Arial" w:cs="Arial"/>
          <w:color w:val="000000"/>
        </w:rPr>
        <w:t>ap</w:t>
      </w:r>
      <w:r w:rsidR="007B2F11" w:rsidRPr="00527FA5">
        <w:rPr>
          <w:rStyle w:val="s2"/>
          <w:rFonts w:ascii="Arial" w:hAnsi="Arial" w:cs="Arial"/>
          <w:color w:val="000000"/>
        </w:rPr>
        <w:t>proved by the Department. </w:t>
      </w:r>
    </w:p>
    <w:p w:rsidR="00E675E6" w:rsidRDefault="00E675E6" w:rsidP="007B2F11">
      <w:pPr>
        <w:pStyle w:val="p3"/>
        <w:spacing w:before="0" w:beforeAutospacing="0" w:after="0" w:afterAutospacing="0" w:line="360" w:lineRule="auto"/>
        <w:jc w:val="both"/>
        <w:rPr>
          <w:rStyle w:val="s2"/>
          <w:rFonts w:ascii="Arial" w:hAnsi="Arial" w:cs="Arial"/>
          <w:color w:val="000000"/>
        </w:rPr>
      </w:pPr>
    </w:p>
    <w:p w:rsidR="007B2F11" w:rsidRPr="00527FA5" w:rsidRDefault="00B93E61" w:rsidP="007B2F11">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[10</w:t>
      </w:r>
      <w:r w:rsidR="00AA6D13" w:rsidRPr="00527FA5">
        <w:rPr>
          <w:rStyle w:val="s2"/>
          <w:rFonts w:ascii="Arial" w:hAnsi="Arial" w:cs="Arial"/>
          <w:color w:val="000000"/>
        </w:rPr>
        <w:t>]</w:t>
      </w:r>
      <w:r w:rsidR="00AA6D13" w:rsidRPr="00527FA5">
        <w:rPr>
          <w:rStyle w:val="s2"/>
          <w:rFonts w:ascii="Arial" w:hAnsi="Arial" w:cs="Arial"/>
          <w:color w:val="000000"/>
        </w:rPr>
        <w:tab/>
        <w:t>The respondents</w:t>
      </w:r>
      <w:r w:rsidR="007B2F11" w:rsidRPr="00527FA5">
        <w:rPr>
          <w:rStyle w:val="s2"/>
          <w:rFonts w:ascii="Arial" w:hAnsi="Arial" w:cs="Arial"/>
          <w:color w:val="000000"/>
        </w:rPr>
        <w:t xml:space="preserve"> have also raised the following points in </w:t>
      </w:r>
      <w:r w:rsidR="007B2F11" w:rsidRPr="00527FA5">
        <w:rPr>
          <w:rStyle w:val="s2"/>
          <w:rFonts w:ascii="Arial" w:hAnsi="Arial" w:cs="Arial"/>
          <w:i/>
          <w:color w:val="000000"/>
        </w:rPr>
        <w:t>limine:</w:t>
      </w:r>
    </w:p>
    <w:p w:rsidR="00AA6D13" w:rsidRPr="00527FA5" w:rsidRDefault="006A432E" w:rsidP="00B93E61">
      <w:pPr>
        <w:pStyle w:val="p3"/>
        <w:numPr>
          <w:ilvl w:val="1"/>
          <w:numId w:val="10"/>
        </w:numPr>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p</w:t>
      </w:r>
      <w:r w:rsidR="007B2F11" w:rsidRPr="00527FA5">
        <w:rPr>
          <w:rStyle w:val="s2"/>
          <w:rFonts w:ascii="Arial" w:hAnsi="Arial" w:cs="Arial"/>
          <w:color w:val="000000"/>
        </w:rPr>
        <w:t>rescription;</w:t>
      </w:r>
    </w:p>
    <w:p w:rsidR="00AA6D13" w:rsidRPr="00527FA5" w:rsidRDefault="006A432E" w:rsidP="00B93E61">
      <w:pPr>
        <w:pStyle w:val="p3"/>
        <w:numPr>
          <w:ilvl w:val="1"/>
          <w:numId w:val="10"/>
        </w:numPr>
        <w:spacing w:before="0" w:beforeAutospacing="0" w:after="0" w:afterAutospacing="0" w:line="360" w:lineRule="auto"/>
        <w:jc w:val="both"/>
        <w:rPr>
          <w:rStyle w:val="s2"/>
          <w:rFonts w:ascii="Arial" w:hAnsi="Arial" w:cs="Arial"/>
          <w:color w:val="000000"/>
        </w:rPr>
      </w:pPr>
      <w:r>
        <w:rPr>
          <w:rStyle w:val="s2"/>
          <w:rFonts w:ascii="Arial" w:eastAsia="Times New Roman" w:hAnsi="Arial" w:cs="Arial"/>
          <w:color w:val="000000"/>
        </w:rPr>
        <w:t>t</w:t>
      </w:r>
      <w:r w:rsidR="007B2F11" w:rsidRPr="00527FA5">
        <w:rPr>
          <w:rStyle w:val="s2"/>
          <w:rFonts w:ascii="Arial" w:eastAsia="Times New Roman" w:hAnsi="Arial" w:cs="Arial"/>
          <w:color w:val="000000"/>
        </w:rPr>
        <w:t>he application procedure is inapp</w:t>
      </w:r>
      <w:r w:rsidR="00AA6D13" w:rsidRPr="00527FA5">
        <w:rPr>
          <w:rStyle w:val="s2"/>
          <w:rFonts w:ascii="Arial" w:eastAsia="Times New Roman" w:hAnsi="Arial" w:cs="Arial"/>
          <w:color w:val="000000"/>
        </w:rPr>
        <w:t>ropriate in the present circumstances</w:t>
      </w:r>
      <w:r w:rsidR="007B2F11" w:rsidRPr="00527FA5">
        <w:rPr>
          <w:rStyle w:val="s2"/>
          <w:rFonts w:ascii="Arial" w:eastAsia="Times New Roman" w:hAnsi="Arial" w:cs="Arial"/>
          <w:color w:val="000000"/>
        </w:rPr>
        <w:t>; </w:t>
      </w:r>
    </w:p>
    <w:p w:rsidR="007B2F11" w:rsidRPr="00E675E6" w:rsidRDefault="006A432E" w:rsidP="00B93E61">
      <w:pPr>
        <w:pStyle w:val="p3"/>
        <w:numPr>
          <w:ilvl w:val="1"/>
          <w:numId w:val="10"/>
        </w:numPr>
        <w:spacing w:before="0" w:beforeAutospacing="0" w:after="0" w:afterAutospacing="0" w:line="360" w:lineRule="auto"/>
        <w:jc w:val="both"/>
        <w:rPr>
          <w:rStyle w:val="s2"/>
          <w:rFonts w:ascii="Arial" w:hAnsi="Arial" w:cs="Arial"/>
          <w:color w:val="000000"/>
        </w:rPr>
      </w:pPr>
      <w:r>
        <w:rPr>
          <w:rStyle w:val="s2"/>
          <w:rFonts w:ascii="Arial" w:eastAsia="Times New Roman" w:hAnsi="Arial" w:cs="Arial"/>
          <w:color w:val="000000"/>
        </w:rPr>
        <w:t>n</w:t>
      </w:r>
      <w:r w:rsidR="00824540" w:rsidRPr="00527FA5">
        <w:rPr>
          <w:rStyle w:val="s2"/>
          <w:rFonts w:ascii="Arial" w:eastAsia="Times New Roman" w:hAnsi="Arial" w:cs="Arial"/>
          <w:color w:val="000000"/>
        </w:rPr>
        <w:t>on-compliance with the Administration of O</w:t>
      </w:r>
      <w:r w:rsidR="007B2F11" w:rsidRPr="00527FA5">
        <w:rPr>
          <w:rStyle w:val="s2"/>
          <w:rFonts w:ascii="Arial" w:eastAsia="Times New Roman" w:hAnsi="Arial" w:cs="Arial"/>
          <w:color w:val="000000"/>
        </w:rPr>
        <w:t>aths</w:t>
      </w:r>
      <w:r w:rsidR="00824540" w:rsidRPr="00527FA5">
        <w:rPr>
          <w:rStyle w:val="s2"/>
          <w:rFonts w:ascii="Arial" w:eastAsia="Times New Roman" w:hAnsi="Arial" w:cs="Arial"/>
          <w:color w:val="000000"/>
        </w:rPr>
        <w:t xml:space="preserve"> Act</w:t>
      </w:r>
      <w:r w:rsidR="00824540" w:rsidRPr="00527FA5">
        <w:rPr>
          <w:rStyle w:val="FootnoteReference"/>
          <w:rFonts w:ascii="Arial" w:eastAsia="Times New Roman" w:hAnsi="Arial" w:cs="Arial"/>
          <w:color w:val="000000"/>
        </w:rPr>
        <w:footnoteReference w:id="1"/>
      </w:r>
      <w:r w:rsidR="007B2F11" w:rsidRPr="00527FA5">
        <w:rPr>
          <w:rStyle w:val="s2"/>
          <w:rFonts w:ascii="Arial" w:eastAsia="Times New Roman" w:hAnsi="Arial" w:cs="Arial"/>
          <w:color w:val="000000"/>
        </w:rPr>
        <w:t>.</w:t>
      </w:r>
    </w:p>
    <w:p w:rsidR="00E675E6" w:rsidRDefault="00E675E6" w:rsidP="00E675E6">
      <w:pPr>
        <w:pStyle w:val="p3"/>
        <w:spacing w:before="0" w:beforeAutospacing="0" w:after="0" w:afterAutospacing="0" w:line="360" w:lineRule="auto"/>
        <w:jc w:val="both"/>
        <w:rPr>
          <w:rStyle w:val="s2"/>
          <w:rFonts w:ascii="Arial" w:eastAsia="Times New Roman" w:hAnsi="Arial" w:cs="Arial"/>
          <w:color w:val="000000"/>
        </w:rPr>
      </w:pPr>
    </w:p>
    <w:p w:rsidR="00E675E6" w:rsidRPr="00527FA5" w:rsidRDefault="00B93E61" w:rsidP="00E675E6">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[11</w:t>
      </w:r>
      <w:r w:rsidR="00E675E6" w:rsidRPr="00527FA5">
        <w:rPr>
          <w:rStyle w:val="s2"/>
          <w:rFonts w:ascii="Arial" w:hAnsi="Arial" w:cs="Arial"/>
          <w:color w:val="000000"/>
        </w:rPr>
        <w:t>]</w:t>
      </w:r>
      <w:r w:rsidR="00E675E6" w:rsidRPr="00527FA5">
        <w:rPr>
          <w:rStyle w:val="s2"/>
          <w:rFonts w:ascii="Arial" w:hAnsi="Arial" w:cs="Arial"/>
          <w:color w:val="000000"/>
        </w:rPr>
        <w:tab/>
        <w:t xml:space="preserve">I firstly deal with the points in </w:t>
      </w:r>
      <w:r w:rsidR="00E675E6" w:rsidRPr="00527FA5">
        <w:rPr>
          <w:rStyle w:val="s2"/>
          <w:rFonts w:ascii="Arial" w:hAnsi="Arial" w:cs="Arial"/>
          <w:i/>
          <w:color w:val="000000"/>
        </w:rPr>
        <w:t>limine.</w:t>
      </w:r>
      <w:r w:rsidR="00E675E6" w:rsidRPr="00527FA5">
        <w:rPr>
          <w:rStyle w:val="s2"/>
          <w:rFonts w:ascii="Arial" w:hAnsi="Arial" w:cs="Arial"/>
          <w:color w:val="000000"/>
        </w:rPr>
        <w:t xml:space="preserve"> Then, I consider the merits of the applicants’ claim. </w:t>
      </w:r>
    </w:p>
    <w:p w:rsidR="00AA6D13" w:rsidRPr="00527FA5" w:rsidRDefault="00AA6D13" w:rsidP="00AA6D13">
      <w:pPr>
        <w:pStyle w:val="p3"/>
        <w:spacing w:before="0" w:beforeAutospacing="0" w:after="0" w:afterAutospacing="0" w:line="360" w:lineRule="auto"/>
        <w:jc w:val="both"/>
        <w:rPr>
          <w:rStyle w:val="s2"/>
          <w:rFonts w:ascii="Arial" w:eastAsia="Times New Roman" w:hAnsi="Arial" w:cs="Arial"/>
          <w:color w:val="000000"/>
        </w:rPr>
      </w:pPr>
    </w:p>
    <w:p w:rsidR="00AA6D13" w:rsidRPr="00527FA5" w:rsidRDefault="00AA6D13" w:rsidP="00AA6D13">
      <w:pPr>
        <w:pStyle w:val="p3"/>
        <w:spacing w:before="0" w:beforeAutospacing="0" w:after="0" w:afterAutospacing="0" w:line="360" w:lineRule="auto"/>
        <w:jc w:val="both"/>
        <w:rPr>
          <w:rFonts w:ascii="Arial" w:hAnsi="Arial" w:cs="Arial"/>
          <w:b/>
          <w:color w:val="000000"/>
        </w:rPr>
      </w:pPr>
      <w:r w:rsidRPr="00527FA5">
        <w:rPr>
          <w:rStyle w:val="s2"/>
          <w:rFonts w:ascii="Arial" w:eastAsia="Times New Roman" w:hAnsi="Arial" w:cs="Arial"/>
          <w:b/>
          <w:color w:val="000000"/>
        </w:rPr>
        <w:t>POINTS IN LIMINE</w:t>
      </w:r>
    </w:p>
    <w:p w:rsidR="007B2F11" w:rsidRPr="00527FA5" w:rsidRDefault="007B2F11" w:rsidP="007B2F11">
      <w:pPr>
        <w:pStyle w:val="p2"/>
        <w:spacing w:before="0" w:beforeAutospacing="0" w:after="0" w:afterAutospacing="0" w:line="360" w:lineRule="auto"/>
        <w:jc w:val="both"/>
        <w:rPr>
          <w:rFonts w:ascii="Arial" w:hAnsi="Arial" w:cs="Arial"/>
          <w:color w:val="000000"/>
        </w:rPr>
      </w:pPr>
    </w:p>
    <w:p w:rsidR="007B2F11" w:rsidRPr="00527FA5" w:rsidRDefault="007B2F11" w:rsidP="007B2F11">
      <w:pPr>
        <w:pStyle w:val="p4"/>
        <w:spacing w:before="0" w:beforeAutospacing="0" w:after="60" w:afterAutospacing="0" w:line="360" w:lineRule="auto"/>
        <w:jc w:val="both"/>
        <w:rPr>
          <w:rFonts w:ascii="Arial" w:hAnsi="Arial" w:cs="Arial"/>
          <w:color w:val="000000"/>
        </w:rPr>
      </w:pPr>
      <w:r w:rsidRPr="00527FA5">
        <w:rPr>
          <w:rStyle w:val="s4"/>
          <w:rFonts w:ascii="Arial" w:hAnsi="Arial" w:cs="Arial"/>
          <w:b/>
          <w:bCs/>
          <w:color w:val="000000"/>
        </w:rPr>
        <w:t>Prescription</w:t>
      </w:r>
    </w:p>
    <w:p w:rsidR="00AF7459" w:rsidRPr="00527FA5" w:rsidRDefault="00B93E61" w:rsidP="007B2F11">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[12</w:t>
      </w:r>
      <w:r w:rsidR="00AA6D13" w:rsidRPr="00527FA5">
        <w:rPr>
          <w:rStyle w:val="s2"/>
          <w:rFonts w:ascii="Arial" w:hAnsi="Arial" w:cs="Arial"/>
          <w:color w:val="000000"/>
        </w:rPr>
        <w:t>]</w:t>
      </w:r>
      <w:r w:rsidR="00AA6D13" w:rsidRPr="00527FA5">
        <w:rPr>
          <w:rStyle w:val="s2"/>
          <w:rFonts w:ascii="Arial" w:hAnsi="Arial" w:cs="Arial"/>
          <w:color w:val="000000"/>
        </w:rPr>
        <w:tab/>
      </w:r>
      <w:r w:rsidR="007B2F11" w:rsidRPr="00527FA5">
        <w:rPr>
          <w:rStyle w:val="s2"/>
          <w:rFonts w:ascii="Arial" w:hAnsi="Arial" w:cs="Arial"/>
          <w:color w:val="000000"/>
        </w:rPr>
        <w:t>The applicants pre-empted the respondents’ prescription defence by dealing with it in their founding affidavit. They have also prayed for an order declaring that their claim has not prescribed. </w:t>
      </w:r>
    </w:p>
    <w:p w:rsidR="00AF7459" w:rsidRPr="00527FA5" w:rsidRDefault="00AF7459" w:rsidP="007B2F11">
      <w:pPr>
        <w:pStyle w:val="p3"/>
        <w:spacing w:before="0" w:beforeAutospacing="0" w:after="0" w:afterAutospacing="0" w:line="360" w:lineRule="auto"/>
        <w:jc w:val="both"/>
        <w:rPr>
          <w:rStyle w:val="s2"/>
          <w:rFonts w:ascii="Arial" w:hAnsi="Arial" w:cs="Arial"/>
          <w:color w:val="000000"/>
        </w:rPr>
      </w:pPr>
    </w:p>
    <w:p w:rsidR="007B2F11" w:rsidRDefault="00B93E61" w:rsidP="007B2F11">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[13</w:t>
      </w:r>
      <w:r w:rsidR="00AF7459" w:rsidRPr="00527FA5">
        <w:rPr>
          <w:rStyle w:val="s2"/>
          <w:rFonts w:ascii="Arial" w:hAnsi="Arial" w:cs="Arial"/>
          <w:color w:val="000000"/>
        </w:rPr>
        <w:t>]</w:t>
      </w:r>
      <w:r w:rsidR="00AF7459" w:rsidRPr="00527FA5">
        <w:rPr>
          <w:rStyle w:val="s2"/>
          <w:rFonts w:ascii="Arial" w:hAnsi="Arial" w:cs="Arial"/>
          <w:color w:val="000000"/>
        </w:rPr>
        <w:tab/>
      </w:r>
      <w:r w:rsidR="007B2F11" w:rsidRPr="00527FA5">
        <w:rPr>
          <w:rStyle w:val="s2"/>
          <w:rFonts w:ascii="Arial" w:hAnsi="Arial" w:cs="Arial"/>
          <w:color w:val="000000"/>
        </w:rPr>
        <w:t xml:space="preserve">They have set out </w:t>
      </w:r>
      <w:r w:rsidR="00AF7459" w:rsidRPr="00527FA5">
        <w:rPr>
          <w:rStyle w:val="s2"/>
          <w:rFonts w:ascii="Arial" w:hAnsi="Arial" w:cs="Arial"/>
          <w:color w:val="000000"/>
        </w:rPr>
        <w:t xml:space="preserve">in </w:t>
      </w:r>
      <w:r w:rsidR="007B2F11" w:rsidRPr="00527FA5">
        <w:rPr>
          <w:rStyle w:val="s2"/>
          <w:rFonts w:ascii="Arial" w:hAnsi="Arial" w:cs="Arial"/>
          <w:color w:val="000000"/>
        </w:rPr>
        <w:t>the</w:t>
      </w:r>
      <w:r w:rsidR="00AF7459" w:rsidRPr="00527FA5">
        <w:rPr>
          <w:rStyle w:val="s2"/>
          <w:rFonts w:ascii="Arial" w:hAnsi="Arial" w:cs="Arial"/>
          <w:color w:val="000000"/>
        </w:rPr>
        <w:t>ir</w:t>
      </w:r>
      <w:r w:rsidR="007B2F11" w:rsidRPr="00527FA5">
        <w:rPr>
          <w:rStyle w:val="s2"/>
          <w:rFonts w:ascii="Arial" w:hAnsi="Arial" w:cs="Arial"/>
          <w:color w:val="000000"/>
        </w:rPr>
        <w:t xml:space="preserve"> founding</w:t>
      </w:r>
      <w:r w:rsidR="00AF7459" w:rsidRPr="00527FA5">
        <w:rPr>
          <w:rStyle w:val="s2"/>
          <w:rFonts w:ascii="Arial" w:hAnsi="Arial" w:cs="Arial"/>
          <w:color w:val="000000"/>
        </w:rPr>
        <w:t xml:space="preserve"> affidavit </w:t>
      </w:r>
      <w:r w:rsidR="003A1093">
        <w:rPr>
          <w:rStyle w:val="s2"/>
          <w:rFonts w:ascii="Arial" w:hAnsi="Arial" w:cs="Arial"/>
          <w:color w:val="000000"/>
        </w:rPr>
        <w:t xml:space="preserve">a </w:t>
      </w:r>
      <w:r w:rsidR="007B2F11" w:rsidRPr="00527FA5">
        <w:rPr>
          <w:rStyle w:val="s2"/>
          <w:rFonts w:ascii="Arial" w:hAnsi="Arial" w:cs="Arial"/>
          <w:color w:val="000000"/>
        </w:rPr>
        <w:t>factual basi</w:t>
      </w:r>
      <w:r>
        <w:rPr>
          <w:rStyle w:val="s2"/>
          <w:rFonts w:ascii="Arial" w:hAnsi="Arial" w:cs="Arial"/>
          <w:color w:val="000000"/>
        </w:rPr>
        <w:t xml:space="preserve">s for their contention that their </w:t>
      </w:r>
      <w:r w:rsidR="007B2F11" w:rsidRPr="00527FA5">
        <w:rPr>
          <w:rStyle w:val="s2"/>
          <w:rFonts w:ascii="Arial" w:hAnsi="Arial" w:cs="Arial"/>
          <w:color w:val="000000"/>
        </w:rPr>
        <w:t>claim has not prescribed. The</w:t>
      </w:r>
      <w:r w:rsidR="00AF7459" w:rsidRPr="00527FA5">
        <w:rPr>
          <w:rStyle w:val="s2"/>
          <w:rFonts w:ascii="Arial" w:hAnsi="Arial" w:cs="Arial"/>
          <w:color w:val="000000"/>
        </w:rPr>
        <w:t>y contend that the</w:t>
      </w:r>
      <w:r w:rsidR="007B2F11" w:rsidRPr="00527FA5">
        <w:rPr>
          <w:rStyle w:val="s2"/>
          <w:rFonts w:ascii="Arial" w:hAnsi="Arial" w:cs="Arial"/>
          <w:color w:val="000000"/>
        </w:rPr>
        <w:t xml:space="preserve"> SIU </w:t>
      </w:r>
      <w:r w:rsidR="00AF7459" w:rsidRPr="00527FA5">
        <w:rPr>
          <w:rStyle w:val="s2"/>
          <w:rFonts w:ascii="Arial" w:hAnsi="Arial" w:cs="Arial"/>
          <w:color w:val="000000"/>
        </w:rPr>
        <w:t xml:space="preserve">was </w:t>
      </w:r>
      <w:r w:rsidR="007B2F11" w:rsidRPr="00527FA5">
        <w:rPr>
          <w:rStyle w:val="s2"/>
          <w:rFonts w:ascii="Arial" w:hAnsi="Arial" w:cs="Arial"/>
          <w:color w:val="000000"/>
        </w:rPr>
        <w:t>only authorised to institute action on 19 January 2018. The balance of convenience favours the adjudication of this dispute in the public interest to promote ethical, accountable and transparent public administration. The prejudice to the applicants far outweigh the prejudice to the respondents. </w:t>
      </w:r>
    </w:p>
    <w:p w:rsidR="007B2F11" w:rsidRPr="00527FA5" w:rsidRDefault="00AF7459" w:rsidP="007B2F11">
      <w:pPr>
        <w:spacing w:line="360" w:lineRule="auto"/>
        <w:jc w:val="both"/>
        <w:rPr>
          <w:rStyle w:val="s2"/>
          <w:rFonts w:ascii="Arial" w:hAnsi="Arial" w:cs="Arial"/>
          <w:color w:val="000000"/>
        </w:rPr>
      </w:pPr>
      <w:r w:rsidRPr="00527FA5">
        <w:rPr>
          <w:rStyle w:val="s2"/>
          <w:rFonts w:ascii="Arial" w:hAnsi="Arial" w:cs="Arial"/>
          <w:color w:val="000000"/>
        </w:rPr>
        <w:t>[1</w:t>
      </w:r>
      <w:r w:rsidR="00607877">
        <w:rPr>
          <w:rStyle w:val="s2"/>
          <w:rFonts w:ascii="Arial" w:hAnsi="Arial" w:cs="Arial"/>
          <w:color w:val="000000"/>
        </w:rPr>
        <w:t>4</w:t>
      </w:r>
      <w:r w:rsidRPr="00527FA5">
        <w:rPr>
          <w:rStyle w:val="s2"/>
          <w:rFonts w:ascii="Arial" w:hAnsi="Arial" w:cs="Arial"/>
          <w:color w:val="000000"/>
        </w:rPr>
        <w:t>]</w:t>
      </w:r>
      <w:r w:rsidRPr="00527FA5">
        <w:rPr>
          <w:rStyle w:val="s2"/>
          <w:rFonts w:ascii="Arial" w:hAnsi="Arial" w:cs="Arial"/>
          <w:color w:val="000000"/>
        </w:rPr>
        <w:tab/>
      </w:r>
      <w:r w:rsidR="007B2F11" w:rsidRPr="00527FA5">
        <w:rPr>
          <w:rStyle w:val="s2"/>
          <w:rFonts w:ascii="Arial" w:hAnsi="Arial" w:cs="Arial"/>
          <w:color w:val="000000"/>
        </w:rPr>
        <w:t>The respondents contend that the applicants</w:t>
      </w:r>
      <w:r w:rsidRPr="00527FA5">
        <w:rPr>
          <w:rStyle w:val="s2"/>
          <w:rFonts w:ascii="Arial" w:hAnsi="Arial" w:cs="Arial"/>
          <w:color w:val="000000"/>
        </w:rPr>
        <w:t>’</w:t>
      </w:r>
      <w:r w:rsidR="007B2F11" w:rsidRPr="00527FA5">
        <w:rPr>
          <w:rStyle w:val="s2"/>
          <w:rFonts w:ascii="Arial" w:hAnsi="Arial" w:cs="Arial"/>
          <w:color w:val="000000"/>
        </w:rPr>
        <w:t xml:space="preserve"> claim has become prescribed in terms of s 11(d) of the Prescription Act</w:t>
      </w:r>
      <w:r w:rsidR="007B2F11" w:rsidRPr="00527FA5">
        <w:rPr>
          <w:rStyle w:val="FootnoteReference"/>
          <w:rFonts w:ascii="Arial" w:hAnsi="Arial" w:cs="Arial"/>
          <w:color w:val="000000"/>
        </w:rPr>
        <w:footnoteReference w:id="2"/>
      </w:r>
      <w:r w:rsidR="007B2F11" w:rsidRPr="00527FA5">
        <w:rPr>
          <w:rStyle w:val="s2"/>
          <w:rFonts w:ascii="Arial" w:hAnsi="Arial" w:cs="Arial"/>
          <w:color w:val="000000"/>
        </w:rPr>
        <w:t>. It started running in terms s</w:t>
      </w:r>
      <w:r w:rsidRPr="00527FA5">
        <w:rPr>
          <w:rStyle w:val="s2"/>
          <w:rFonts w:ascii="Arial" w:hAnsi="Arial" w:cs="Arial"/>
          <w:color w:val="000000"/>
        </w:rPr>
        <w:t xml:space="preserve"> </w:t>
      </w:r>
      <w:r w:rsidR="007B2F11" w:rsidRPr="00527FA5">
        <w:rPr>
          <w:rStyle w:val="s2"/>
          <w:rFonts w:ascii="Arial" w:hAnsi="Arial" w:cs="Arial"/>
          <w:color w:val="000000"/>
        </w:rPr>
        <w:t>12(1). It was never delayed in terms of s 13(1). It was also never interrupted in terms of s 14(1) or s15(1). </w:t>
      </w:r>
    </w:p>
    <w:p w:rsidR="00B93E61" w:rsidRDefault="00B93E61" w:rsidP="007B2F11">
      <w:pPr>
        <w:spacing w:line="360" w:lineRule="auto"/>
        <w:jc w:val="both"/>
        <w:rPr>
          <w:rFonts w:ascii="Arial" w:hAnsi="Arial" w:cs="Arial"/>
        </w:rPr>
      </w:pPr>
    </w:p>
    <w:p w:rsidR="00AF7459" w:rsidRPr="00527FA5" w:rsidRDefault="00607877" w:rsidP="007B2F11">
      <w:pPr>
        <w:spacing w:line="360" w:lineRule="auto"/>
        <w:jc w:val="both"/>
        <w:rPr>
          <w:rFonts w:ascii="Arial" w:hAnsi="Arial" w:cs="Arial"/>
        </w:rPr>
      </w:pPr>
      <w:r>
        <w:rPr>
          <w:rFonts w:ascii="Arial" w:hAnsi="Arial" w:cs="Arial"/>
        </w:rPr>
        <w:t>[15</w:t>
      </w:r>
      <w:r w:rsidR="00AF7459" w:rsidRPr="00527FA5">
        <w:rPr>
          <w:rFonts w:ascii="Arial" w:hAnsi="Arial" w:cs="Arial"/>
        </w:rPr>
        <w:t>]</w:t>
      </w:r>
      <w:r w:rsidR="00AF7459" w:rsidRPr="00527FA5">
        <w:rPr>
          <w:rFonts w:ascii="Arial" w:hAnsi="Arial" w:cs="Arial"/>
        </w:rPr>
        <w:tab/>
        <w:t xml:space="preserve">The principles regulating prescription are trite. </w:t>
      </w:r>
      <w:r w:rsidR="007B2F11" w:rsidRPr="00527FA5">
        <w:rPr>
          <w:rFonts w:ascii="Arial" w:hAnsi="Arial" w:cs="Arial"/>
        </w:rPr>
        <w:t xml:space="preserve">In terms of </w:t>
      </w:r>
      <w:r w:rsidR="00AF7459" w:rsidRPr="00527FA5">
        <w:rPr>
          <w:rFonts w:ascii="Arial" w:hAnsi="Arial" w:cs="Arial"/>
        </w:rPr>
        <w:t>s</w:t>
      </w:r>
      <w:r w:rsidR="007B2F11" w:rsidRPr="00527FA5">
        <w:rPr>
          <w:rFonts w:ascii="Arial" w:hAnsi="Arial" w:cs="Arial"/>
        </w:rPr>
        <w:t xml:space="preserve"> 11 (d) read with </w:t>
      </w:r>
      <w:r w:rsidR="00AF7459" w:rsidRPr="00527FA5">
        <w:rPr>
          <w:rFonts w:ascii="Arial" w:hAnsi="Arial" w:cs="Arial"/>
        </w:rPr>
        <w:t xml:space="preserve">s </w:t>
      </w:r>
      <w:r w:rsidR="007B2F11" w:rsidRPr="00527FA5">
        <w:rPr>
          <w:rFonts w:ascii="Arial" w:hAnsi="Arial" w:cs="Arial"/>
        </w:rPr>
        <w:t>12 (3), the applicants had three years from the date they had knowledge of the identity of respondents and of the facts from which the debt arose within which to institute the</w:t>
      </w:r>
      <w:r w:rsidR="00AF7459" w:rsidRPr="00527FA5">
        <w:rPr>
          <w:rFonts w:ascii="Arial" w:hAnsi="Arial" w:cs="Arial"/>
        </w:rPr>
        <w:t>ir</w:t>
      </w:r>
      <w:r w:rsidR="007B2F11" w:rsidRPr="00527FA5">
        <w:rPr>
          <w:rFonts w:ascii="Arial" w:hAnsi="Arial" w:cs="Arial"/>
        </w:rPr>
        <w:t xml:space="preserve"> claim. </w:t>
      </w:r>
      <w:r w:rsidR="00AF7459" w:rsidRPr="00527FA5">
        <w:rPr>
          <w:rFonts w:ascii="Arial" w:hAnsi="Arial" w:cs="Arial"/>
        </w:rPr>
        <w:t>The running of prescription</w:t>
      </w:r>
      <w:r w:rsidR="007B2F11" w:rsidRPr="00527FA5">
        <w:rPr>
          <w:rFonts w:ascii="Arial" w:hAnsi="Arial" w:cs="Arial"/>
        </w:rPr>
        <w:t xml:space="preserve"> is delayed under certain cir</w:t>
      </w:r>
      <w:r w:rsidR="006E0054" w:rsidRPr="00527FA5">
        <w:rPr>
          <w:rFonts w:ascii="Arial" w:hAnsi="Arial" w:cs="Arial"/>
        </w:rPr>
        <w:t xml:space="preserve">cumstances </w:t>
      </w:r>
      <w:r w:rsidR="00AF7459" w:rsidRPr="00527FA5">
        <w:rPr>
          <w:rFonts w:ascii="Arial" w:hAnsi="Arial" w:cs="Arial"/>
        </w:rPr>
        <w:t>as described in s 13(1). N</w:t>
      </w:r>
      <w:r w:rsidR="006E0054" w:rsidRPr="00527FA5">
        <w:rPr>
          <w:rFonts w:ascii="Arial" w:hAnsi="Arial" w:cs="Arial"/>
        </w:rPr>
        <w:t xml:space="preserve">one of </w:t>
      </w:r>
      <w:r w:rsidR="00AF7459" w:rsidRPr="00527FA5">
        <w:rPr>
          <w:rFonts w:ascii="Arial" w:hAnsi="Arial" w:cs="Arial"/>
        </w:rPr>
        <w:t xml:space="preserve">the relevant circumstances </w:t>
      </w:r>
      <w:r w:rsidR="006E0054" w:rsidRPr="00527FA5">
        <w:rPr>
          <w:rFonts w:ascii="Arial" w:hAnsi="Arial" w:cs="Arial"/>
        </w:rPr>
        <w:t>are prevalent her</w:t>
      </w:r>
      <w:r w:rsidR="00AF7459" w:rsidRPr="00527FA5">
        <w:rPr>
          <w:rFonts w:ascii="Arial" w:hAnsi="Arial" w:cs="Arial"/>
        </w:rPr>
        <w:t>e. In terms of s 14(1), prescription</w:t>
      </w:r>
      <w:r w:rsidR="006E0054" w:rsidRPr="00527FA5">
        <w:rPr>
          <w:rFonts w:ascii="Arial" w:hAnsi="Arial" w:cs="Arial"/>
        </w:rPr>
        <w:t xml:space="preserve"> is interrupted when the debtor has expressly or tacitly acknowledged liability of the debt to the creditor</w:t>
      </w:r>
      <w:r w:rsidR="00AF7459" w:rsidRPr="00527FA5">
        <w:rPr>
          <w:rFonts w:ascii="Arial" w:hAnsi="Arial" w:cs="Arial"/>
        </w:rPr>
        <w:t xml:space="preserve">. The respondents have not acknowledged their liability to the applicants. Prescription is also interrupted in </w:t>
      </w:r>
      <w:r w:rsidR="006E0054" w:rsidRPr="00527FA5">
        <w:rPr>
          <w:rFonts w:ascii="Arial" w:hAnsi="Arial" w:cs="Arial"/>
        </w:rPr>
        <w:t>terms of s</w:t>
      </w:r>
      <w:r w:rsidR="00AF7459" w:rsidRPr="00527FA5">
        <w:rPr>
          <w:rFonts w:ascii="Arial" w:hAnsi="Arial" w:cs="Arial"/>
        </w:rPr>
        <w:t xml:space="preserve"> </w:t>
      </w:r>
      <w:r w:rsidR="006E0054" w:rsidRPr="00527FA5">
        <w:rPr>
          <w:rFonts w:ascii="Arial" w:hAnsi="Arial" w:cs="Arial"/>
        </w:rPr>
        <w:t xml:space="preserve">15(1) when the creditor serves process on the debtor claiming payment of the debt. </w:t>
      </w:r>
    </w:p>
    <w:p w:rsidR="00E675E6" w:rsidRDefault="00E675E6" w:rsidP="007B2F11">
      <w:pPr>
        <w:spacing w:line="360" w:lineRule="auto"/>
        <w:jc w:val="both"/>
        <w:rPr>
          <w:rFonts w:ascii="Arial" w:hAnsi="Arial" w:cs="Arial"/>
        </w:rPr>
      </w:pPr>
    </w:p>
    <w:p w:rsidR="006E0054" w:rsidRPr="00527FA5" w:rsidRDefault="00607877" w:rsidP="007B2F11">
      <w:pPr>
        <w:spacing w:line="360" w:lineRule="auto"/>
        <w:jc w:val="both"/>
        <w:rPr>
          <w:rFonts w:ascii="Arial" w:hAnsi="Arial" w:cs="Arial"/>
        </w:rPr>
      </w:pPr>
      <w:r>
        <w:rPr>
          <w:rFonts w:ascii="Arial" w:hAnsi="Arial" w:cs="Arial"/>
        </w:rPr>
        <w:t>[16</w:t>
      </w:r>
      <w:r w:rsidR="00AF7459" w:rsidRPr="00527FA5">
        <w:rPr>
          <w:rFonts w:ascii="Arial" w:hAnsi="Arial" w:cs="Arial"/>
        </w:rPr>
        <w:t>]</w:t>
      </w:r>
      <w:r w:rsidR="00AF7459" w:rsidRPr="00527FA5">
        <w:rPr>
          <w:rFonts w:ascii="Arial" w:hAnsi="Arial" w:cs="Arial"/>
        </w:rPr>
        <w:tab/>
      </w:r>
      <w:r w:rsidR="006E0054" w:rsidRPr="00527FA5">
        <w:rPr>
          <w:rFonts w:ascii="Arial" w:hAnsi="Arial" w:cs="Arial"/>
        </w:rPr>
        <w:t xml:space="preserve">The respondents have not presented a version regarding when prescription </w:t>
      </w:r>
      <w:r>
        <w:rPr>
          <w:rFonts w:ascii="Arial" w:hAnsi="Arial" w:cs="Arial"/>
        </w:rPr>
        <w:t xml:space="preserve">started </w:t>
      </w:r>
      <w:r w:rsidR="006E0054" w:rsidRPr="00527FA5">
        <w:rPr>
          <w:rFonts w:ascii="Arial" w:hAnsi="Arial" w:cs="Arial"/>
        </w:rPr>
        <w:t>running.</w:t>
      </w:r>
    </w:p>
    <w:p w:rsidR="006E0054" w:rsidRPr="00527FA5" w:rsidRDefault="006E0054" w:rsidP="007B2F11">
      <w:pPr>
        <w:spacing w:line="360" w:lineRule="auto"/>
        <w:jc w:val="both"/>
        <w:rPr>
          <w:rFonts w:ascii="Arial" w:hAnsi="Arial" w:cs="Arial"/>
        </w:rPr>
      </w:pPr>
    </w:p>
    <w:p w:rsidR="00824540" w:rsidRPr="00527FA5" w:rsidRDefault="00607877" w:rsidP="007B2F11">
      <w:pPr>
        <w:spacing w:line="360" w:lineRule="auto"/>
        <w:jc w:val="both"/>
        <w:rPr>
          <w:rFonts w:ascii="Arial" w:hAnsi="Arial" w:cs="Arial"/>
        </w:rPr>
      </w:pPr>
      <w:r>
        <w:rPr>
          <w:rFonts w:ascii="Arial" w:hAnsi="Arial" w:cs="Arial"/>
        </w:rPr>
        <w:t>[17</w:t>
      </w:r>
      <w:r w:rsidR="00AF7459" w:rsidRPr="00527FA5">
        <w:rPr>
          <w:rFonts w:ascii="Arial" w:hAnsi="Arial" w:cs="Arial"/>
        </w:rPr>
        <w:t>]</w:t>
      </w:r>
      <w:r w:rsidR="00AF7459" w:rsidRPr="00527FA5">
        <w:rPr>
          <w:rFonts w:ascii="Arial" w:hAnsi="Arial" w:cs="Arial"/>
        </w:rPr>
        <w:tab/>
      </w:r>
      <w:r w:rsidR="006E0054" w:rsidRPr="00527FA5">
        <w:rPr>
          <w:rFonts w:ascii="Arial" w:hAnsi="Arial" w:cs="Arial"/>
        </w:rPr>
        <w:t xml:space="preserve">In their founding affidavit, the applicants also do not specifically allege when prescription started running. </w:t>
      </w:r>
      <w:r w:rsidR="001435DD" w:rsidRPr="00527FA5">
        <w:rPr>
          <w:rFonts w:ascii="Arial" w:hAnsi="Arial" w:cs="Arial"/>
        </w:rPr>
        <w:t>Counsel for the applicants submitted from the bar in response to a question from the bench, that prescription started running in June 2018 when the SIU was furnished with the forensic investigation report. However, this is not expressly pleaded. In their founding affidavit, the</w:t>
      </w:r>
      <w:r w:rsidR="006E0054" w:rsidRPr="00527FA5">
        <w:rPr>
          <w:rFonts w:ascii="Arial" w:hAnsi="Arial" w:cs="Arial"/>
        </w:rPr>
        <w:t xml:space="preserve"> </w:t>
      </w:r>
      <w:r w:rsidR="001435DD" w:rsidRPr="00527FA5">
        <w:rPr>
          <w:rFonts w:ascii="Arial" w:hAnsi="Arial" w:cs="Arial"/>
        </w:rPr>
        <w:t xml:space="preserve">applicants </w:t>
      </w:r>
      <w:r w:rsidR="006E0054" w:rsidRPr="00527FA5">
        <w:rPr>
          <w:rFonts w:ascii="Arial" w:hAnsi="Arial" w:cs="Arial"/>
        </w:rPr>
        <w:t>only state that they were only authorised to investigat</w:t>
      </w:r>
      <w:r w:rsidR="00AF7459" w:rsidRPr="00527FA5">
        <w:rPr>
          <w:rFonts w:ascii="Arial" w:hAnsi="Arial" w:cs="Arial"/>
        </w:rPr>
        <w:t>e</w:t>
      </w:r>
      <w:r w:rsidR="006E0054" w:rsidRPr="00527FA5">
        <w:rPr>
          <w:rFonts w:ascii="Arial" w:hAnsi="Arial" w:cs="Arial"/>
        </w:rPr>
        <w:t xml:space="preserve"> the matter on 19 January 2018 when</w:t>
      </w:r>
      <w:r w:rsidR="001435DD" w:rsidRPr="00527FA5">
        <w:rPr>
          <w:rFonts w:ascii="Arial" w:hAnsi="Arial" w:cs="Arial"/>
        </w:rPr>
        <w:t xml:space="preserve"> Proclamation </w:t>
      </w:r>
      <w:r w:rsidR="00824540" w:rsidRPr="00527FA5">
        <w:rPr>
          <w:rFonts w:ascii="Arial" w:hAnsi="Arial" w:cs="Arial"/>
        </w:rPr>
        <w:t>R.2 of 2018</w:t>
      </w:r>
      <w:r w:rsidR="001435DD" w:rsidRPr="00527FA5">
        <w:rPr>
          <w:rFonts w:ascii="Arial" w:hAnsi="Arial" w:cs="Arial"/>
        </w:rPr>
        <w:t xml:space="preserve"> was published</w:t>
      </w:r>
      <w:r w:rsidR="006E0054" w:rsidRPr="00527FA5">
        <w:rPr>
          <w:rFonts w:ascii="Arial" w:hAnsi="Arial" w:cs="Arial"/>
        </w:rPr>
        <w:t xml:space="preserve">.  </w:t>
      </w:r>
      <w:r w:rsidR="001435DD" w:rsidRPr="00527FA5">
        <w:rPr>
          <w:rFonts w:ascii="Arial" w:hAnsi="Arial" w:cs="Arial"/>
        </w:rPr>
        <w:t xml:space="preserve">According to what is pleaded, this is the earliest date on which I reckon the date from which prescription started running. The applicants instituted the present proceedings on 5 March 2020. </w:t>
      </w:r>
      <w:r w:rsidR="00824540" w:rsidRPr="00527FA5">
        <w:rPr>
          <w:rFonts w:ascii="Arial" w:hAnsi="Arial" w:cs="Arial"/>
        </w:rPr>
        <w:t xml:space="preserve">They served the present application on the respondents on </w:t>
      </w:r>
      <w:r w:rsidR="00632964" w:rsidRPr="00607877">
        <w:rPr>
          <w:rFonts w:ascii="Arial" w:hAnsi="Arial" w:cs="Arial"/>
        </w:rPr>
        <w:t>21 May 2020</w:t>
      </w:r>
      <w:r w:rsidR="00824540" w:rsidRPr="00607877">
        <w:rPr>
          <w:rFonts w:ascii="Arial" w:hAnsi="Arial" w:cs="Arial"/>
        </w:rPr>
        <w:t>.</w:t>
      </w:r>
      <w:r w:rsidR="00824540" w:rsidRPr="00527FA5">
        <w:rPr>
          <w:rFonts w:ascii="Arial" w:hAnsi="Arial" w:cs="Arial"/>
        </w:rPr>
        <w:t xml:space="preserve"> </w:t>
      </w:r>
      <w:r w:rsidR="001435DD" w:rsidRPr="00527FA5">
        <w:rPr>
          <w:rFonts w:ascii="Arial" w:hAnsi="Arial" w:cs="Arial"/>
        </w:rPr>
        <w:t>This date falls withi</w:t>
      </w:r>
      <w:r w:rsidR="00073F8D" w:rsidRPr="00527FA5">
        <w:rPr>
          <w:rFonts w:ascii="Arial" w:hAnsi="Arial" w:cs="Arial"/>
        </w:rPr>
        <w:t>n the three-</w:t>
      </w:r>
      <w:r w:rsidR="001435DD" w:rsidRPr="00527FA5">
        <w:rPr>
          <w:rFonts w:ascii="Arial" w:hAnsi="Arial" w:cs="Arial"/>
        </w:rPr>
        <w:t xml:space="preserve">year period contemplated in s 11(d) read with s 12(3).  </w:t>
      </w:r>
    </w:p>
    <w:p w:rsidR="00E675E6" w:rsidRDefault="00E675E6" w:rsidP="007B2F11">
      <w:pPr>
        <w:spacing w:line="360" w:lineRule="auto"/>
        <w:jc w:val="both"/>
        <w:rPr>
          <w:rFonts w:ascii="Arial" w:hAnsi="Arial" w:cs="Arial"/>
        </w:rPr>
      </w:pPr>
    </w:p>
    <w:p w:rsidR="006E0054" w:rsidRPr="00527FA5" w:rsidRDefault="00607877" w:rsidP="007B2F11">
      <w:pPr>
        <w:spacing w:line="360" w:lineRule="auto"/>
        <w:jc w:val="both"/>
        <w:rPr>
          <w:rFonts w:ascii="Arial" w:hAnsi="Arial" w:cs="Arial"/>
        </w:rPr>
      </w:pPr>
      <w:r>
        <w:rPr>
          <w:rFonts w:ascii="Arial" w:hAnsi="Arial" w:cs="Arial"/>
        </w:rPr>
        <w:t>[18</w:t>
      </w:r>
      <w:r w:rsidR="00824540" w:rsidRPr="00527FA5">
        <w:rPr>
          <w:rFonts w:ascii="Arial" w:hAnsi="Arial" w:cs="Arial"/>
        </w:rPr>
        <w:t>]</w:t>
      </w:r>
      <w:r w:rsidR="00824540" w:rsidRPr="00527FA5">
        <w:rPr>
          <w:rFonts w:ascii="Arial" w:hAnsi="Arial" w:cs="Arial"/>
        </w:rPr>
        <w:tab/>
      </w:r>
      <w:r w:rsidR="00073F8D" w:rsidRPr="00527FA5">
        <w:rPr>
          <w:rFonts w:ascii="Arial" w:hAnsi="Arial" w:cs="Arial"/>
        </w:rPr>
        <w:t xml:space="preserve">Therefore, the respondents’ prescription point </w:t>
      </w:r>
      <w:r w:rsidR="00073F8D" w:rsidRPr="00607877">
        <w:rPr>
          <w:rFonts w:ascii="Arial" w:hAnsi="Arial" w:cs="Arial"/>
          <w:i/>
        </w:rPr>
        <w:t>in limine</w:t>
      </w:r>
      <w:r w:rsidR="00073F8D" w:rsidRPr="00527FA5">
        <w:rPr>
          <w:rFonts w:ascii="Arial" w:hAnsi="Arial" w:cs="Arial"/>
        </w:rPr>
        <w:t xml:space="preserve"> stands to fail. </w:t>
      </w:r>
    </w:p>
    <w:p w:rsidR="007B2F11" w:rsidRPr="00527FA5" w:rsidRDefault="007B2F11" w:rsidP="007B2F11">
      <w:pPr>
        <w:pStyle w:val="p3"/>
        <w:spacing w:before="0" w:beforeAutospacing="0" w:after="0" w:afterAutospacing="0" w:line="360" w:lineRule="auto"/>
        <w:jc w:val="both"/>
        <w:rPr>
          <w:rStyle w:val="s2"/>
          <w:rFonts w:ascii="Arial" w:hAnsi="Arial" w:cs="Arial"/>
          <w:color w:val="000000"/>
        </w:rPr>
      </w:pPr>
    </w:p>
    <w:p w:rsidR="001435DD" w:rsidRPr="00527FA5" w:rsidRDefault="00073F8D" w:rsidP="007B2F11">
      <w:pPr>
        <w:pStyle w:val="p3"/>
        <w:spacing w:before="0" w:beforeAutospacing="0" w:after="0" w:afterAutospacing="0" w:line="360" w:lineRule="auto"/>
        <w:jc w:val="both"/>
        <w:rPr>
          <w:rStyle w:val="s2"/>
          <w:rFonts w:ascii="Arial" w:eastAsia="Times New Roman" w:hAnsi="Arial" w:cs="Arial"/>
          <w:b/>
          <w:color w:val="000000"/>
        </w:rPr>
      </w:pPr>
      <w:r w:rsidRPr="00527FA5">
        <w:rPr>
          <w:rStyle w:val="s2"/>
          <w:rFonts w:ascii="Arial" w:eastAsia="Times New Roman" w:hAnsi="Arial" w:cs="Arial"/>
          <w:b/>
          <w:color w:val="000000"/>
        </w:rPr>
        <w:t>Whether the application procedure is inappropriate in the present circumstances</w:t>
      </w:r>
    </w:p>
    <w:p w:rsidR="00073F8D" w:rsidRPr="00527FA5" w:rsidRDefault="00607877" w:rsidP="00073F8D">
      <w:pPr>
        <w:pStyle w:val="p3"/>
        <w:spacing w:before="0" w:beforeAutospacing="0" w:after="0" w:afterAutospacing="0" w:line="360" w:lineRule="auto"/>
        <w:jc w:val="both"/>
        <w:rPr>
          <w:rStyle w:val="s2"/>
          <w:rFonts w:ascii="Arial" w:eastAsia="Times New Roman" w:hAnsi="Arial" w:cs="Arial"/>
          <w:color w:val="000000"/>
        </w:rPr>
      </w:pPr>
      <w:r>
        <w:rPr>
          <w:rStyle w:val="s2"/>
          <w:rFonts w:ascii="Arial" w:eastAsia="Times New Roman" w:hAnsi="Arial" w:cs="Arial"/>
          <w:color w:val="000000"/>
        </w:rPr>
        <w:t>[19</w:t>
      </w:r>
      <w:r w:rsidR="00824540" w:rsidRPr="00527FA5">
        <w:rPr>
          <w:rStyle w:val="s2"/>
          <w:rFonts w:ascii="Arial" w:eastAsia="Times New Roman" w:hAnsi="Arial" w:cs="Arial"/>
          <w:color w:val="000000"/>
        </w:rPr>
        <w:t>]</w:t>
      </w:r>
      <w:r w:rsidR="00824540" w:rsidRPr="00527FA5">
        <w:rPr>
          <w:rStyle w:val="s2"/>
          <w:rFonts w:ascii="Arial" w:eastAsia="Times New Roman" w:hAnsi="Arial" w:cs="Arial"/>
          <w:color w:val="000000"/>
        </w:rPr>
        <w:tab/>
      </w:r>
      <w:r w:rsidR="00073F8D" w:rsidRPr="00527FA5">
        <w:rPr>
          <w:rStyle w:val="s2"/>
          <w:rFonts w:ascii="Arial" w:eastAsia="Times New Roman" w:hAnsi="Arial" w:cs="Arial"/>
          <w:color w:val="000000"/>
        </w:rPr>
        <w:t>The respondents contend that the application procedure is inappropriate in the present circumstances because the applicants put up refutable inaccurate facts. They further contend that the application sets out incomplete information and raises more questions than answers.</w:t>
      </w:r>
    </w:p>
    <w:p w:rsidR="00824540" w:rsidRPr="00527FA5" w:rsidRDefault="00607877" w:rsidP="00824540">
      <w:pPr>
        <w:widowControl w:val="0"/>
        <w:suppressAutoHyphens/>
        <w:snapToGrid w:val="0"/>
        <w:spacing w:before="600" w:after="600" w:line="480" w:lineRule="auto"/>
        <w:jc w:val="both"/>
        <w:rPr>
          <w:rFonts w:ascii="Arial" w:hAnsi="Arial" w:cs="Arial"/>
          <w:spacing w:val="-3"/>
          <w:lang w:val="en-GB"/>
        </w:rPr>
      </w:pPr>
      <w:r>
        <w:rPr>
          <w:rStyle w:val="s2"/>
          <w:rFonts w:ascii="Arial" w:hAnsi="Arial" w:cs="Arial"/>
          <w:color w:val="000000"/>
        </w:rPr>
        <w:t>[20</w:t>
      </w:r>
      <w:r w:rsidR="00824540" w:rsidRPr="00527FA5">
        <w:rPr>
          <w:rStyle w:val="s2"/>
          <w:rFonts w:ascii="Arial" w:hAnsi="Arial" w:cs="Arial"/>
          <w:color w:val="000000"/>
        </w:rPr>
        <w:t>]</w:t>
      </w:r>
      <w:r w:rsidR="00824540" w:rsidRPr="00527FA5">
        <w:rPr>
          <w:rStyle w:val="s2"/>
          <w:rFonts w:ascii="Arial" w:hAnsi="Arial" w:cs="Arial"/>
          <w:color w:val="000000"/>
        </w:rPr>
        <w:tab/>
      </w:r>
      <w:r w:rsidR="00824540" w:rsidRPr="00527FA5">
        <w:rPr>
          <w:rFonts w:ascii="Arial" w:hAnsi="Arial" w:cs="Arial"/>
          <w:spacing w:val="-3"/>
          <w:lang w:val="en-GB"/>
        </w:rPr>
        <w:t xml:space="preserve">It is trite that application proceedings are appropriate where there is </w:t>
      </w:r>
      <w:r>
        <w:rPr>
          <w:rFonts w:ascii="Arial" w:hAnsi="Arial" w:cs="Arial"/>
          <w:spacing w:val="-3"/>
          <w:lang w:val="en-GB"/>
        </w:rPr>
        <w:t xml:space="preserve">no foreseeable dispute of fact </w:t>
      </w:r>
      <w:r w:rsidR="00824540" w:rsidRPr="00527FA5">
        <w:rPr>
          <w:rFonts w:ascii="Arial" w:hAnsi="Arial" w:cs="Arial"/>
          <w:spacing w:val="-3"/>
          <w:lang w:val="en-GB"/>
        </w:rPr>
        <w:t>between the parties which is incapable of resolution on the papers</w:t>
      </w:r>
      <w:r>
        <w:rPr>
          <w:rFonts w:ascii="Arial" w:hAnsi="Arial" w:cs="Arial"/>
          <w:spacing w:val="-3"/>
          <w:lang w:val="en-GB"/>
        </w:rPr>
        <w:t xml:space="preserve">. </w:t>
      </w:r>
      <w:r w:rsidR="00824540" w:rsidRPr="00527FA5">
        <w:rPr>
          <w:rFonts w:ascii="Arial" w:hAnsi="Arial" w:cs="Arial"/>
          <w:spacing w:val="-3"/>
          <w:lang w:val="en-GB"/>
        </w:rPr>
        <w:t xml:space="preserve">As I find below, there is no dispute of facts between </w:t>
      </w:r>
      <w:r w:rsidR="00D63E24" w:rsidRPr="00527FA5">
        <w:rPr>
          <w:rFonts w:ascii="Arial" w:hAnsi="Arial" w:cs="Arial"/>
          <w:spacing w:val="-3"/>
          <w:lang w:val="en-GB"/>
        </w:rPr>
        <w:t xml:space="preserve">the parties </w:t>
      </w:r>
      <w:r w:rsidR="00824540" w:rsidRPr="00527FA5">
        <w:rPr>
          <w:rFonts w:ascii="Arial" w:hAnsi="Arial" w:cs="Arial"/>
          <w:spacing w:val="-3"/>
          <w:lang w:val="en-GB"/>
        </w:rPr>
        <w:t xml:space="preserve">which is incapable of resolution on the papers.  </w:t>
      </w:r>
    </w:p>
    <w:p w:rsidR="00824540" w:rsidRPr="00527FA5" w:rsidRDefault="00607877" w:rsidP="00824540">
      <w:pPr>
        <w:widowControl w:val="0"/>
        <w:suppressAutoHyphens/>
        <w:snapToGrid w:val="0"/>
        <w:spacing w:before="600" w:after="600" w:line="480" w:lineRule="auto"/>
        <w:jc w:val="both"/>
        <w:rPr>
          <w:rFonts w:ascii="Arial" w:hAnsi="Arial" w:cs="Arial"/>
          <w:spacing w:val="-3"/>
          <w:lang w:val="en-GB"/>
        </w:rPr>
      </w:pPr>
      <w:r>
        <w:rPr>
          <w:rFonts w:ascii="Arial" w:hAnsi="Arial" w:cs="Arial"/>
          <w:spacing w:val="-3"/>
          <w:lang w:val="en-GB"/>
        </w:rPr>
        <w:t>[21</w:t>
      </w:r>
      <w:r w:rsidR="00824540" w:rsidRPr="00527FA5">
        <w:rPr>
          <w:rFonts w:ascii="Arial" w:hAnsi="Arial" w:cs="Arial"/>
          <w:spacing w:val="-3"/>
          <w:lang w:val="en-GB"/>
        </w:rPr>
        <w:t>]</w:t>
      </w:r>
      <w:r w:rsidR="00824540" w:rsidRPr="00527FA5">
        <w:rPr>
          <w:rFonts w:ascii="Arial" w:hAnsi="Arial" w:cs="Arial"/>
          <w:spacing w:val="-3"/>
          <w:lang w:val="en-GB"/>
        </w:rPr>
        <w:tab/>
        <w:t xml:space="preserve">The application procedure is appropriate in the present circumstances. Therefore, this point in </w:t>
      </w:r>
      <w:r w:rsidR="00824540" w:rsidRPr="00527FA5">
        <w:rPr>
          <w:rFonts w:ascii="Arial" w:hAnsi="Arial" w:cs="Arial"/>
          <w:i/>
          <w:spacing w:val="-3"/>
          <w:lang w:val="en-GB"/>
        </w:rPr>
        <w:t>limine</w:t>
      </w:r>
      <w:r w:rsidR="00824540" w:rsidRPr="00527FA5">
        <w:rPr>
          <w:rFonts w:ascii="Arial" w:hAnsi="Arial" w:cs="Arial"/>
          <w:spacing w:val="-3"/>
          <w:lang w:val="en-GB"/>
        </w:rPr>
        <w:t xml:space="preserve"> also stands to fail.  </w:t>
      </w:r>
    </w:p>
    <w:p w:rsidR="007B2F11" w:rsidRPr="00527FA5" w:rsidRDefault="000D5523" w:rsidP="007B2F11">
      <w:pPr>
        <w:pStyle w:val="p3"/>
        <w:spacing w:before="0" w:beforeAutospacing="0" w:after="0" w:afterAutospacing="0" w:line="360" w:lineRule="auto"/>
        <w:jc w:val="both"/>
        <w:rPr>
          <w:rStyle w:val="s2"/>
          <w:rFonts w:ascii="Arial" w:eastAsia="Times New Roman" w:hAnsi="Arial" w:cs="Arial"/>
          <w:b/>
          <w:color w:val="000000"/>
        </w:rPr>
      </w:pPr>
      <w:r w:rsidRPr="00527FA5">
        <w:rPr>
          <w:rStyle w:val="s2"/>
          <w:rFonts w:ascii="Arial" w:eastAsia="Times New Roman" w:hAnsi="Arial" w:cs="Arial"/>
          <w:b/>
          <w:color w:val="000000"/>
        </w:rPr>
        <w:t xml:space="preserve">The founding affidavit is not properly commissioned </w:t>
      </w:r>
    </w:p>
    <w:p w:rsidR="005D5A5C" w:rsidRDefault="00607877" w:rsidP="00E675E6">
      <w:pPr>
        <w:widowControl w:val="0"/>
        <w:suppressAutoHyphens/>
        <w:snapToGrid w:val="0"/>
        <w:spacing w:line="480" w:lineRule="auto"/>
        <w:jc w:val="both"/>
        <w:rPr>
          <w:rFonts w:ascii="Arial" w:eastAsia="Times New Roman" w:hAnsi="Arial" w:cs="Arial"/>
          <w:lang w:eastAsia="en-GB"/>
        </w:rPr>
      </w:pPr>
      <w:r>
        <w:rPr>
          <w:rStyle w:val="s2"/>
          <w:rFonts w:ascii="Arial" w:eastAsia="Times New Roman" w:hAnsi="Arial" w:cs="Arial"/>
          <w:color w:val="000000"/>
        </w:rPr>
        <w:t>[22</w:t>
      </w:r>
      <w:r w:rsidR="000D5523" w:rsidRPr="00527FA5">
        <w:rPr>
          <w:rStyle w:val="s2"/>
          <w:rFonts w:ascii="Arial" w:eastAsia="Times New Roman" w:hAnsi="Arial" w:cs="Arial"/>
          <w:color w:val="000000"/>
        </w:rPr>
        <w:t>]</w:t>
      </w:r>
      <w:r w:rsidR="000D5523" w:rsidRPr="00527FA5">
        <w:rPr>
          <w:rStyle w:val="s2"/>
          <w:rFonts w:ascii="Arial" w:eastAsia="Times New Roman" w:hAnsi="Arial" w:cs="Arial"/>
          <w:color w:val="000000"/>
        </w:rPr>
        <w:tab/>
      </w:r>
      <w:r w:rsidR="005D5A5C" w:rsidRPr="00527FA5">
        <w:rPr>
          <w:rFonts w:ascii="Arial" w:eastAsia="Times New Roman" w:hAnsi="Arial" w:cs="Arial"/>
          <w:lang w:eastAsia="en-GB"/>
        </w:rPr>
        <w:t>The respondents contend that the founding affidavit has not been properly commissioned in that some of the pages were not initialled by either the commissioner of oath</w:t>
      </w:r>
      <w:r w:rsidR="003A1093">
        <w:rPr>
          <w:rFonts w:ascii="Arial" w:eastAsia="Times New Roman" w:hAnsi="Arial" w:cs="Arial"/>
          <w:lang w:eastAsia="en-GB"/>
        </w:rPr>
        <w:t>s</w:t>
      </w:r>
      <w:r w:rsidR="005D5A5C" w:rsidRPr="00527FA5">
        <w:rPr>
          <w:rFonts w:ascii="Arial" w:eastAsia="Times New Roman" w:hAnsi="Arial" w:cs="Arial"/>
          <w:lang w:eastAsia="en-GB"/>
        </w:rPr>
        <w:t xml:space="preserve"> or the deponent. </w:t>
      </w:r>
    </w:p>
    <w:p w:rsidR="005D5A5C" w:rsidRPr="00527FA5" w:rsidRDefault="00607877" w:rsidP="005D5A5C">
      <w:pPr>
        <w:widowControl w:val="0"/>
        <w:suppressAutoHyphens/>
        <w:snapToGrid w:val="0"/>
        <w:spacing w:before="600" w:after="600" w:line="480" w:lineRule="auto"/>
        <w:jc w:val="both"/>
        <w:rPr>
          <w:rFonts w:ascii="Arial" w:hAnsi="Arial" w:cs="Arial"/>
          <w:color w:val="FF0000"/>
          <w:spacing w:val="-3"/>
          <w:lang w:val="en-GB"/>
        </w:rPr>
      </w:pPr>
      <w:r>
        <w:rPr>
          <w:rFonts w:ascii="Arial" w:eastAsia="Times New Roman" w:hAnsi="Arial" w:cs="Arial"/>
          <w:lang w:eastAsia="en-GB"/>
        </w:rPr>
        <w:t>[23</w:t>
      </w:r>
      <w:r w:rsidR="005D5A5C" w:rsidRPr="00527FA5">
        <w:rPr>
          <w:rFonts w:ascii="Arial" w:eastAsia="Times New Roman" w:hAnsi="Arial" w:cs="Arial"/>
          <w:lang w:eastAsia="en-GB"/>
        </w:rPr>
        <w:t>]</w:t>
      </w:r>
      <w:r w:rsidR="005D5A5C" w:rsidRPr="00527FA5">
        <w:rPr>
          <w:rFonts w:ascii="Arial" w:eastAsia="Times New Roman" w:hAnsi="Arial" w:cs="Arial"/>
          <w:lang w:eastAsia="en-GB"/>
        </w:rPr>
        <w:tab/>
        <w:t xml:space="preserve">As contended by the applicants, this is not entirely accurate. All the pages of the founding affidavit have been properly commissioned. It is the annexures to the founding affidavit, comprising of Proclamation R.2 of 2018 and confirmatory affidavits by Dinoko Mphumela and Palena Molefe and Tiroyamodimo David Matshane which have not been initialled by both the deponent to the founding affidavit and the commissioner of oaths. It is important to mention that the deponents to the confirmatory affidavits have been signed by the deponents and the commissioner of </w:t>
      </w:r>
      <w:r>
        <w:rPr>
          <w:rFonts w:ascii="Arial" w:eastAsia="Times New Roman" w:hAnsi="Arial" w:cs="Arial"/>
          <w:lang w:eastAsia="en-GB"/>
        </w:rPr>
        <w:t xml:space="preserve">oath. </w:t>
      </w:r>
    </w:p>
    <w:p w:rsidR="005D5A5C" w:rsidRPr="00527FA5" w:rsidRDefault="00607877" w:rsidP="005D5A5C">
      <w:pPr>
        <w:widowControl w:val="0"/>
        <w:suppressAutoHyphens/>
        <w:snapToGrid w:val="0"/>
        <w:spacing w:before="600" w:after="600" w:line="480" w:lineRule="auto"/>
        <w:jc w:val="both"/>
        <w:rPr>
          <w:rFonts w:ascii="Arial" w:eastAsia="Times New Roman" w:hAnsi="Arial" w:cs="Arial"/>
          <w:lang w:eastAsia="en-GB"/>
        </w:rPr>
      </w:pPr>
      <w:r>
        <w:rPr>
          <w:rFonts w:ascii="Arial" w:eastAsia="Times New Roman" w:hAnsi="Arial" w:cs="Arial"/>
          <w:lang w:eastAsia="en-GB"/>
        </w:rPr>
        <w:t>[24</w:t>
      </w:r>
      <w:r w:rsidR="005D5A5C" w:rsidRPr="00527FA5">
        <w:rPr>
          <w:rFonts w:ascii="Arial" w:eastAsia="Times New Roman" w:hAnsi="Arial" w:cs="Arial"/>
          <w:lang w:eastAsia="en-GB"/>
        </w:rPr>
        <w:t>]</w:t>
      </w:r>
      <w:r w:rsidR="005D5A5C" w:rsidRPr="00527FA5">
        <w:rPr>
          <w:rFonts w:ascii="Arial" w:eastAsia="Times New Roman" w:hAnsi="Arial" w:cs="Arial"/>
          <w:lang w:eastAsia="en-GB"/>
        </w:rPr>
        <w:tab/>
        <w:t xml:space="preserve">As contended by the applications on the authority in </w:t>
      </w:r>
      <w:r w:rsidR="005D5A5C" w:rsidRPr="00527FA5">
        <w:rPr>
          <w:rFonts w:ascii="Arial" w:eastAsia="Times New Roman" w:hAnsi="Arial" w:cs="Arial"/>
          <w:i/>
          <w:lang w:eastAsia="en-GB"/>
        </w:rPr>
        <w:t>Msibi</w:t>
      </w:r>
      <w:r w:rsidR="005D5A5C" w:rsidRPr="00527FA5">
        <w:rPr>
          <w:rStyle w:val="FootnoteReference"/>
          <w:rFonts w:ascii="Arial" w:eastAsia="Times New Roman" w:hAnsi="Arial" w:cs="Arial"/>
          <w:lang w:eastAsia="en-GB"/>
        </w:rPr>
        <w:footnoteReference w:id="3"/>
      </w:r>
      <w:r w:rsidR="005D5A5C" w:rsidRPr="00527FA5">
        <w:rPr>
          <w:rFonts w:ascii="Arial" w:eastAsia="Times New Roman" w:hAnsi="Arial" w:cs="Arial"/>
          <w:lang w:eastAsia="en-GB"/>
        </w:rPr>
        <w:t>, these omissions do not render the founding affidavit not properly commissioned because they are not substantial. The Proclamation is an official document, published in the government gazette. The confirmatory affidavits only confirm the evidence set out in founding affidavit concerning the relevant deponents. The respondents have not stated what prejudice they would suffer if the Tribunal accepted the</w:t>
      </w:r>
      <w:r w:rsidR="003A1093">
        <w:rPr>
          <w:rFonts w:ascii="Arial" w:eastAsia="Times New Roman" w:hAnsi="Arial" w:cs="Arial"/>
          <w:lang w:eastAsia="en-GB"/>
        </w:rPr>
        <w:t>se</w:t>
      </w:r>
      <w:r w:rsidR="005D5A5C" w:rsidRPr="00527FA5">
        <w:rPr>
          <w:rFonts w:ascii="Arial" w:eastAsia="Times New Roman" w:hAnsi="Arial" w:cs="Arial"/>
          <w:lang w:eastAsia="en-GB"/>
        </w:rPr>
        <w:t xml:space="preserve"> annexures.  Neither h</w:t>
      </w:r>
      <w:r>
        <w:rPr>
          <w:rFonts w:ascii="Arial" w:eastAsia="Times New Roman" w:hAnsi="Arial" w:cs="Arial"/>
          <w:lang w:eastAsia="en-GB"/>
        </w:rPr>
        <w:t xml:space="preserve">ave they challenged the probative value </w:t>
      </w:r>
      <w:r w:rsidR="005D5A5C" w:rsidRPr="00527FA5">
        <w:rPr>
          <w:rFonts w:ascii="Arial" w:eastAsia="Times New Roman" w:hAnsi="Arial" w:cs="Arial"/>
          <w:lang w:eastAsia="en-GB"/>
        </w:rPr>
        <w:t xml:space="preserve">of the annexures. </w:t>
      </w:r>
    </w:p>
    <w:p w:rsidR="005D5A5C" w:rsidRPr="003A1093" w:rsidRDefault="00607877" w:rsidP="005D5A5C">
      <w:pPr>
        <w:widowControl w:val="0"/>
        <w:suppressAutoHyphens/>
        <w:snapToGrid w:val="0"/>
        <w:spacing w:before="600" w:after="600" w:line="480" w:lineRule="auto"/>
        <w:jc w:val="both"/>
        <w:rPr>
          <w:rFonts w:ascii="Arial" w:eastAsia="Times New Roman" w:hAnsi="Arial" w:cs="Arial"/>
          <w:i/>
          <w:iCs/>
          <w:lang w:eastAsia="en-GB"/>
        </w:rPr>
      </w:pPr>
      <w:r>
        <w:rPr>
          <w:rFonts w:ascii="Arial" w:hAnsi="Arial" w:cs="Arial"/>
          <w:spacing w:val="-3"/>
          <w:lang w:val="en-GB"/>
        </w:rPr>
        <w:t>[25</w:t>
      </w:r>
      <w:r w:rsidR="005D5A5C" w:rsidRPr="00E675E6">
        <w:rPr>
          <w:rFonts w:ascii="Arial" w:hAnsi="Arial" w:cs="Arial"/>
          <w:spacing w:val="-3"/>
          <w:lang w:val="en-GB"/>
        </w:rPr>
        <w:t>]</w:t>
      </w:r>
      <w:r w:rsidR="005D5A5C" w:rsidRPr="00E675E6">
        <w:rPr>
          <w:rFonts w:ascii="Arial" w:hAnsi="Arial" w:cs="Arial"/>
          <w:spacing w:val="-3"/>
          <w:lang w:val="en-GB"/>
        </w:rPr>
        <w:tab/>
        <w:t xml:space="preserve">The applicants also rely on </w:t>
      </w:r>
      <w:r w:rsidR="005D5A5C" w:rsidRPr="003A1093">
        <w:rPr>
          <w:rFonts w:ascii="Arial" w:eastAsia="Times New Roman" w:hAnsi="Arial" w:cs="Arial"/>
          <w:bCs/>
          <w:i/>
          <w:iCs/>
          <w:lang w:eastAsia="en-GB"/>
        </w:rPr>
        <w:t>Munn</w:t>
      </w:r>
      <w:r w:rsidR="005D5A5C" w:rsidRPr="003A1093">
        <w:rPr>
          <w:rStyle w:val="FootnoteReference"/>
          <w:rFonts w:ascii="Arial" w:eastAsia="Times New Roman" w:hAnsi="Arial" w:cs="Arial"/>
          <w:lang w:eastAsia="en-GB"/>
        </w:rPr>
        <w:footnoteReference w:id="4"/>
      </w:r>
      <w:r w:rsidR="005D5A5C" w:rsidRPr="00527FA5">
        <w:rPr>
          <w:rFonts w:ascii="Arial" w:eastAsia="Times New Roman" w:hAnsi="Arial" w:cs="Arial"/>
          <w:lang w:eastAsia="en-GB"/>
        </w:rPr>
        <w:t xml:space="preserve"> where the court assessed the purpose of administering an oath. The court</w:t>
      </w:r>
      <w:r w:rsidR="00632964" w:rsidRPr="00527FA5">
        <w:rPr>
          <w:rFonts w:ascii="Arial" w:eastAsia="Times New Roman" w:hAnsi="Arial" w:cs="Arial"/>
          <w:lang w:eastAsia="en-GB"/>
        </w:rPr>
        <w:t xml:space="preserve"> held</w:t>
      </w:r>
      <w:r w:rsidR="005D5A5C" w:rsidRPr="00527FA5">
        <w:rPr>
          <w:rFonts w:ascii="Arial" w:eastAsia="Times New Roman" w:hAnsi="Arial" w:cs="Arial"/>
          <w:lang w:eastAsia="en-GB"/>
        </w:rPr>
        <w:t xml:space="preserve"> that a</w:t>
      </w:r>
      <w:r w:rsidR="005D5A5C" w:rsidRPr="00527FA5">
        <w:rPr>
          <w:rFonts w:ascii="Arial" w:eastAsia="Times New Roman" w:hAnsi="Arial" w:cs="Arial"/>
          <w:iCs/>
          <w:lang w:eastAsia="en-GB"/>
        </w:rPr>
        <w:t xml:space="preserve"> study of the history and purpose of the administration of the oath leads to the view that the purpose of obtaining the deponent’s signature to an affidavit is primarily to obtain irrefutable evidence that the relevant deposition was indeed sworn to and add to the dignity or impressiveness of the occasion.  I find that these requirements are satisfactorily met </w:t>
      </w:r>
      <w:r w:rsidR="005D5A5C" w:rsidRPr="00527FA5">
        <w:rPr>
          <w:rFonts w:ascii="Arial" w:eastAsia="Times New Roman" w:hAnsi="Arial" w:cs="Arial"/>
          <w:lang w:eastAsia="en-GB"/>
        </w:rPr>
        <w:t xml:space="preserve">in </w:t>
      </w:r>
      <w:r w:rsidR="005D5A5C" w:rsidRPr="003A1093">
        <w:rPr>
          <w:rFonts w:ascii="Arial" w:eastAsia="Times New Roman" w:hAnsi="Arial" w:cs="Arial"/>
          <w:i/>
          <w:lang w:eastAsia="en-GB"/>
        </w:rPr>
        <w:t xml:space="preserve">casu. </w:t>
      </w:r>
    </w:p>
    <w:p w:rsidR="005D5A5C" w:rsidRDefault="00607877" w:rsidP="005D5A5C">
      <w:pPr>
        <w:widowControl w:val="0"/>
        <w:suppressAutoHyphens/>
        <w:snapToGrid w:val="0"/>
        <w:spacing w:before="600" w:after="600" w:line="480" w:lineRule="auto"/>
        <w:jc w:val="both"/>
        <w:rPr>
          <w:rFonts w:ascii="Arial" w:eastAsia="Times New Roman" w:hAnsi="Arial" w:cs="Arial"/>
          <w:lang w:eastAsia="en-GB"/>
        </w:rPr>
      </w:pPr>
      <w:r>
        <w:rPr>
          <w:rFonts w:ascii="Arial" w:eastAsia="Times New Roman" w:hAnsi="Arial" w:cs="Arial"/>
          <w:lang w:eastAsia="en-GB"/>
        </w:rPr>
        <w:t>[26</w:t>
      </w:r>
      <w:r w:rsidR="005D5A5C" w:rsidRPr="00527FA5">
        <w:rPr>
          <w:rFonts w:ascii="Arial" w:eastAsia="Times New Roman" w:hAnsi="Arial" w:cs="Arial"/>
          <w:lang w:eastAsia="en-GB"/>
        </w:rPr>
        <w:t>]</w:t>
      </w:r>
      <w:r w:rsidR="005D5A5C" w:rsidRPr="00527FA5">
        <w:rPr>
          <w:rFonts w:ascii="Arial" w:eastAsia="Times New Roman" w:hAnsi="Arial" w:cs="Arial"/>
          <w:lang w:eastAsia="en-GB"/>
        </w:rPr>
        <w:tab/>
        <w:t xml:space="preserve">For these reasons, this point in </w:t>
      </w:r>
      <w:r w:rsidR="005D5A5C" w:rsidRPr="00527FA5">
        <w:rPr>
          <w:rFonts w:ascii="Arial" w:eastAsia="Times New Roman" w:hAnsi="Arial" w:cs="Arial"/>
          <w:i/>
          <w:lang w:eastAsia="en-GB"/>
        </w:rPr>
        <w:t>limine</w:t>
      </w:r>
      <w:r w:rsidR="005D5A5C" w:rsidRPr="00527FA5">
        <w:rPr>
          <w:rFonts w:ascii="Arial" w:eastAsia="Times New Roman" w:hAnsi="Arial" w:cs="Arial"/>
          <w:lang w:eastAsia="en-GB"/>
        </w:rPr>
        <w:t xml:space="preserve"> also stands to be dismissed.  </w:t>
      </w:r>
    </w:p>
    <w:p w:rsidR="00502855" w:rsidRPr="00527FA5" w:rsidRDefault="00502855" w:rsidP="00E675E6">
      <w:pPr>
        <w:widowControl w:val="0"/>
        <w:suppressAutoHyphens/>
        <w:snapToGrid w:val="0"/>
        <w:spacing w:before="600" w:line="480" w:lineRule="auto"/>
        <w:jc w:val="both"/>
        <w:rPr>
          <w:rFonts w:ascii="Arial" w:eastAsia="Times New Roman" w:hAnsi="Arial" w:cs="Arial"/>
          <w:b/>
          <w:lang w:eastAsia="en-GB"/>
        </w:rPr>
      </w:pPr>
      <w:r w:rsidRPr="00527FA5">
        <w:rPr>
          <w:rFonts w:ascii="Arial" w:eastAsia="Times New Roman" w:hAnsi="Arial" w:cs="Arial"/>
          <w:b/>
          <w:lang w:eastAsia="en-GB"/>
        </w:rPr>
        <w:t>Misjoinder of the second respondents</w:t>
      </w:r>
    </w:p>
    <w:p w:rsidR="00855C60" w:rsidRPr="00607877" w:rsidRDefault="00607877" w:rsidP="00607877">
      <w:pPr>
        <w:widowControl w:val="0"/>
        <w:suppressAutoHyphens/>
        <w:snapToGrid w:val="0"/>
        <w:spacing w:line="480" w:lineRule="auto"/>
        <w:jc w:val="both"/>
        <w:rPr>
          <w:rFonts w:ascii="Arial" w:eastAsia="Times New Roman" w:hAnsi="Arial" w:cs="Arial"/>
          <w:lang w:eastAsia="en-GB"/>
        </w:rPr>
      </w:pPr>
      <w:r>
        <w:rPr>
          <w:rFonts w:ascii="Arial" w:eastAsia="Times New Roman" w:hAnsi="Arial" w:cs="Arial"/>
          <w:lang w:eastAsia="en-GB"/>
        </w:rPr>
        <w:t>[27</w:t>
      </w:r>
      <w:r w:rsidR="00502855" w:rsidRPr="00527FA5">
        <w:rPr>
          <w:rFonts w:ascii="Arial" w:eastAsia="Times New Roman" w:hAnsi="Arial" w:cs="Arial"/>
          <w:lang w:eastAsia="en-GB"/>
        </w:rPr>
        <w:t>]</w:t>
      </w:r>
      <w:r w:rsidR="00502855" w:rsidRPr="00527FA5">
        <w:rPr>
          <w:rFonts w:ascii="Arial" w:eastAsia="Times New Roman" w:hAnsi="Arial" w:cs="Arial"/>
          <w:lang w:eastAsia="en-GB"/>
        </w:rPr>
        <w:tab/>
        <w:t xml:space="preserve">The respondents also resist the relief being granted against the second respondent as prayed for in the notice of motion because the first respondent is a juristic person and the first respondent did not receive any payment from the Department. </w:t>
      </w:r>
      <w:r>
        <w:rPr>
          <w:rFonts w:ascii="Arial" w:eastAsia="Times New Roman" w:hAnsi="Arial" w:cs="Arial"/>
          <w:lang w:eastAsia="en-GB"/>
        </w:rPr>
        <w:t>In response to this complaint, t</w:t>
      </w:r>
      <w:r w:rsidR="00855C60" w:rsidRPr="00527FA5">
        <w:rPr>
          <w:rFonts w:ascii="Arial" w:eastAsia="Times New Roman" w:hAnsi="Arial" w:cs="Arial"/>
          <w:lang w:eastAsia="en-GB"/>
        </w:rPr>
        <w:t>he applicants have invited the Tribunal to invoke s</w:t>
      </w:r>
      <w:r w:rsidR="00632964" w:rsidRPr="00527FA5">
        <w:rPr>
          <w:rFonts w:ascii="Arial" w:eastAsia="Times New Roman" w:hAnsi="Arial" w:cs="Arial"/>
          <w:lang w:eastAsia="en-GB"/>
        </w:rPr>
        <w:t xml:space="preserve"> 20</w:t>
      </w:r>
      <w:r w:rsidR="006B323B" w:rsidRPr="00527FA5">
        <w:rPr>
          <w:rFonts w:ascii="Arial" w:eastAsia="Times New Roman" w:hAnsi="Arial" w:cs="Arial"/>
          <w:lang w:eastAsia="en-GB"/>
        </w:rPr>
        <w:t>(9) (a) (b)</w:t>
      </w:r>
      <w:r w:rsidR="00855C60" w:rsidRPr="00527FA5">
        <w:rPr>
          <w:rFonts w:ascii="Arial" w:eastAsia="Times New Roman" w:hAnsi="Arial" w:cs="Arial"/>
          <w:lang w:eastAsia="en-GB"/>
        </w:rPr>
        <w:t xml:space="preserve"> of the Companies Act. It provides that if,</w:t>
      </w:r>
      <w:r w:rsidR="00855C60" w:rsidRPr="00527FA5">
        <w:rPr>
          <w:rFonts w:ascii="Arial" w:eastAsia="Times New Roman" w:hAnsi="Arial" w:cs="Arial"/>
          <w:color w:val="111111"/>
          <w:lang w:eastAsia="en-GB"/>
        </w:rPr>
        <w:t xml:space="preserve"> on application by an interested person or in any proceedings in which a company is involved, a court finds that the incorporation of the company, constitutes an unconscionable abuse of the juristic personality of the company as a separate entity, the court may –</w:t>
      </w:r>
    </w:p>
    <w:p w:rsidR="00855C60" w:rsidRPr="00527FA5" w:rsidRDefault="00855C60" w:rsidP="00855C60">
      <w:pPr>
        <w:spacing w:before="100" w:beforeAutospacing="1" w:after="100" w:afterAutospacing="1" w:line="480" w:lineRule="auto"/>
        <w:ind w:left="720"/>
        <w:jc w:val="both"/>
        <w:rPr>
          <w:rFonts w:ascii="Arial" w:eastAsia="Times New Roman" w:hAnsi="Arial" w:cs="Arial"/>
          <w:i/>
          <w:iCs/>
          <w:color w:val="111111"/>
          <w:lang w:eastAsia="en-GB"/>
        </w:rPr>
      </w:pPr>
      <w:r w:rsidRPr="00527FA5">
        <w:rPr>
          <w:rFonts w:ascii="Arial" w:eastAsia="Times New Roman" w:hAnsi="Arial" w:cs="Arial"/>
          <w:i/>
          <w:iCs/>
          <w:color w:val="111111"/>
          <w:lang w:eastAsia="en-GB"/>
        </w:rPr>
        <w:t>“Declare that the company is to be deemed not to be a juristic person in respect of any right, liability or obligation of the company or of a shareholder of the company or, in the case of a non-profit company, a member of the company, or any other specified person in the declaration; and</w:t>
      </w:r>
    </w:p>
    <w:p w:rsidR="00855C60" w:rsidRPr="00527FA5" w:rsidRDefault="00855C60" w:rsidP="00855C60">
      <w:pPr>
        <w:spacing w:before="100" w:beforeAutospacing="1" w:after="100" w:afterAutospacing="1" w:line="480" w:lineRule="auto"/>
        <w:ind w:left="720"/>
        <w:jc w:val="both"/>
        <w:rPr>
          <w:rFonts w:ascii="Arial" w:eastAsia="Times New Roman" w:hAnsi="Arial" w:cs="Arial"/>
          <w:i/>
          <w:iCs/>
          <w:color w:val="111111"/>
          <w:lang w:eastAsia="en-GB"/>
        </w:rPr>
      </w:pPr>
      <w:r w:rsidRPr="00527FA5">
        <w:rPr>
          <w:rFonts w:ascii="Arial" w:eastAsia="Times New Roman" w:hAnsi="Arial" w:cs="Arial"/>
          <w:i/>
          <w:iCs/>
          <w:color w:val="111111"/>
          <w:lang w:eastAsia="en-GB"/>
        </w:rPr>
        <w:t>“Make any further order the court considers appropriate to give effect to a declaration contemplated in paragraph (a).</w:t>
      </w:r>
    </w:p>
    <w:p w:rsidR="00137EA2" w:rsidRDefault="00E675E6" w:rsidP="00137EA2">
      <w:pPr>
        <w:widowControl w:val="0"/>
        <w:suppressAutoHyphens/>
        <w:snapToGrid w:val="0"/>
        <w:spacing w:before="600" w:after="600" w:line="480" w:lineRule="auto"/>
        <w:jc w:val="both"/>
        <w:rPr>
          <w:rFonts w:ascii="Arial" w:eastAsia="Times New Roman" w:hAnsi="Arial" w:cs="Arial"/>
          <w:lang w:eastAsia="en-GB"/>
        </w:rPr>
      </w:pPr>
      <w:r>
        <w:rPr>
          <w:rFonts w:ascii="Arial" w:eastAsia="Times New Roman" w:hAnsi="Arial" w:cs="Arial"/>
          <w:lang w:eastAsia="en-GB"/>
        </w:rPr>
        <w:t>[28</w:t>
      </w:r>
      <w:r w:rsidR="00855C60" w:rsidRPr="00527FA5">
        <w:rPr>
          <w:rFonts w:ascii="Arial" w:eastAsia="Times New Roman" w:hAnsi="Arial" w:cs="Arial"/>
          <w:lang w:eastAsia="en-GB"/>
        </w:rPr>
        <w:t>]</w:t>
      </w:r>
      <w:r w:rsidR="00137EA2" w:rsidRPr="00527FA5">
        <w:rPr>
          <w:rFonts w:ascii="Arial" w:eastAsia="Times New Roman" w:hAnsi="Arial" w:cs="Arial"/>
          <w:lang w:eastAsia="en-GB"/>
        </w:rPr>
        <w:tab/>
      </w:r>
      <w:r w:rsidR="00304F34" w:rsidRPr="00527FA5">
        <w:rPr>
          <w:rFonts w:ascii="Arial" w:eastAsia="Times New Roman" w:hAnsi="Arial" w:cs="Arial"/>
          <w:lang w:eastAsia="en-GB"/>
        </w:rPr>
        <w:t xml:space="preserve">I am satisfied, on the authority on </w:t>
      </w:r>
      <w:r w:rsidR="00304F34" w:rsidRPr="00527FA5">
        <w:rPr>
          <w:rFonts w:ascii="Arial" w:eastAsia="Times New Roman" w:hAnsi="Arial" w:cs="Arial"/>
          <w:bCs/>
          <w:i/>
          <w:iCs/>
          <w:color w:val="111111"/>
          <w:lang w:eastAsia="en-GB"/>
        </w:rPr>
        <w:t>Cape Pacific Ltd v Lubner Controlling Investments (Pty) Ltd and others</w:t>
      </w:r>
      <w:r w:rsidR="00304F34" w:rsidRPr="00527FA5">
        <w:rPr>
          <w:rStyle w:val="FootnoteReference"/>
          <w:rFonts w:ascii="Arial" w:eastAsia="Times New Roman" w:hAnsi="Arial" w:cs="Arial"/>
          <w:bCs/>
          <w:i/>
          <w:iCs/>
          <w:color w:val="111111"/>
          <w:lang w:eastAsia="en-GB"/>
        </w:rPr>
        <w:footnoteReference w:id="5"/>
      </w:r>
      <w:r w:rsidR="00304F34" w:rsidRPr="00527FA5">
        <w:rPr>
          <w:rFonts w:ascii="Arial" w:eastAsia="Times New Roman" w:hAnsi="Arial" w:cs="Arial"/>
          <w:bCs/>
          <w:i/>
          <w:iCs/>
          <w:color w:val="111111"/>
          <w:lang w:eastAsia="en-GB"/>
        </w:rPr>
        <w:t xml:space="preserve"> and </w:t>
      </w:r>
      <w:hyperlink r:id="rId9" w:tgtFrame="_blank" w:history="1">
        <w:r w:rsidR="00304F34" w:rsidRPr="00527FA5">
          <w:rPr>
            <w:rFonts w:ascii="Arial" w:eastAsia="Times New Roman" w:hAnsi="Arial" w:cs="Arial"/>
            <w:bCs/>
            <w:i/>
            <w:iCs/>
            <w:color w:val="000000" w:themeColor="text1"/>
            <w:lang w:eastAsia="en-GB"/>
          </w:rPr>
          <w:t>Department of Agriculture, Forestry and Fisheries and Another v B Xulu and Partners Incorporated and Others</w:t>
        </w:r>
        <w:r w:rsidR="00304F34" w:rsidRPr="00527FA5">
          <w:rPr>
            <w:rFonts w:ascii="Arial" w:eastAsia="Times New Roman" w:hAnsi="Arial" w:cs="Arial"/>
            <w:bCs/>
            <w:color w:val="000000" w:themeColor="text1"/>
            <w:lang w:eastAsia="en-GB"/>
          </w:rPr>
          <w:t> [2022] 1 All SA 434 (WCC)</w:t>
        </w:r>
      </w:hyperlink>
      <w:r w:rsidR="00304F34" w:rsidRPr="00527FA5">
        <w:rPr>
          <w:rFonts w:ascii="Arial" w:eastAsia="Times New Roman" w:hAnsi="Arial" w:cs="Arial"/>
          <w:bCs/>
          <w:color w:val="000000" w:themeColor="text1"/>
          <w:lang w:eastAsia="en-GB"/>
        </w:rPr>
        <w:t xml:space="preserve"> that the present circumstances are appropriate for the </w:t>
      </w:r>
      <w:r w:rsidR="003A1093">
        <w:rPr>
          <w:rFonts w:ascii="Arial" w:eastAsia="Times New Roman" w:hAnsi="Arial" w:cs="Arial"/>
          <w:bCs/>
          <w:color w:val="000000" w:themeColor="text1"/>
          <w:lang w:eastAsia="en-GB"/>
        </w:rPr>
        <w:t xml:space="preserve">invocation of </w:t>
      </w:r>
      <w:r w:rsidR="003A1093" w:rsidRPr="00527FA5">
        <w:rPr>
          <w:rFonts w:ascii="Arial" w:eastAsia="Times New Roman" w:hAnsi="Arial" w:cs="Arial"/>
          <w:lang w:eastAsia="en-GB"/>
        </w:rPr>
        <w:t>s 20(9) (a) (b) of the Companies Act</w:t>
      </w:r>
      <w:r w:rsidR="00304F34" w:rsidRPr="00527FA5">
        <w:rPr>
          <w:rFonts w:ascii="Arial" w:eastAsia="Times New Roman" w:hAnsi="Arial" w:cs="Arial"/>
          <w:bCs/>
          <w:color w:val="000000" w:themeColor="text1"/>
          <w:lang w:eastAsia="en-GB"/>
        </w:rPr>
        <w:t>.</w:t>
      </w:r>
      <w:r w:rsidR="00304F34" w:rsidRPr="00527FA5">
        <w:rPr>
          <w:rFonts w:ascii="Arial" w:eastAsia="Times New Roman" w:hAnsi="Arial" w:cs="Arial"/>
          <w:b/>
          <w:bCs/>
          <w:color w:val="000000" w:themeColor="text1"/>
          <w:lang w:eastAsia="en-GB"/>
        </w:rPr>
        <w:t xml:space="preserve"> </w:t>
      </w:r>
      <w:r w:rsidR="00137EA2" w:rsidRPr="00527FA5">
        <w:rPr>
          <w:rFonts w:ascii="Arial" w:eastAsia="Times New Roman" w:hAnsi="Arial" w:cs="Arial"/>
          <w:lang w:eastAsia="en-GB"/>
        </w:rPr>
        <w:t>The first respondent being a jurist</w:t>
      </w:r>
      <w:r w:rsidR="00607877">
        <w:rPr>
          <w:rFonts w:ascii="Arial" w:eastAsia="Times New Roman" w:hAnsi="Arial" w:cs="Arial"/>
          <w:lang w:eastAsia="en-GB"/>
        </w:rPr>
        <w:t xml:space="preserve">ic person could only engage in the alleged </w:t>
      </w:r>
      <w:r w:rsidR="00137EA2" w:rsidRPr="00527FA5">
        <w:rPr>
          <w:rFonts w:ascii="Arial" w:eastAsia="Times New Roman" w:hAnsi="Arial" w:cs="Arial"/>
          <w:lang w:eastAsia="en-GB"/>
        </w:rPr>
        <w:t>activities on the basis of the</w:t>
      </w:r>
      <w:r w:rsidR="00607877">
        <w:rPr>
          <w:rFonts w:ascii="Arial" w:eastAsia="Times New Roman" w:hAnsi="Arial" w:cs="Arial"/>
          <w:lang w:eastAsia="en-GB"/>
        </w:rPr>
        <w:t xml:space="preserve"> second respondent’s</w:t>
      </w:r>
      <w:r w:rsidR="00137EA2" w:rsidRPr="00527FA5">
        <w:rPr>
          <w:rFonts w:ascii="Arial" w:eastAsia="Times New Roman" w:hAnsi="Arial" w:cs="Arial"/>
          <w:lang w:eastAsia="en-GB"/>
        </w:rPr>
        <w:t xml:space="preserve"> conduct</w:t>
      </w:r>
      <w:r w:rsidR="00607877">
        <w:rPr>
          <w:rFonts w:ascii="Arial" w:eastAsia="Times New Roman" w:hAnsi="Arial" w:cs="Arial"/>
          <w:lang w:eastAsia="en-GB"/>
        </w:rPr>
        <w:t xml:space="preserve">. </w:t>
      </w:r>
      <w:r w:rsidR="00137EA2" w:rsidRPr="00527FA5">
        <w:rPr>
          <w:rFonts w:ascii="Arial" w:eastAsia="Times New Roman" w:hAnsi="Arial" w:cs="Arial"/>
          <w:lang w:eastAsia="en-GB"/>
        </w:rPr>
        <w:t>He prepared invoices and submitted claims for payment to the Department on the first respondents’ behalf. He had a fiduciary duty to ensure that the conduct of the first respondent was at all times in accordance with the law.</w:t>
      </w:r>
      <w:r w:rsidR="00304F34" w:rsidRPr="00527FA5">
        <w:rPr>
          <w:rFonts w:ascii="Arial" w:eastAsia="Times New Roman" w:hAnsi="Arial" w:cs="Arial"/>
          <w:lang w:eastAsia="en-GB"/>
        </w:rPr>
        <w:t xml:space="preserve"> He failed in that duty. </w:t>
      </w:r>
      <w:r w:rsidR="003A1093">
        <w:rPr>
          <w:rFonts w:ascii="Arial" w:eastAsia="Times New Roman" w:hAnsi="Arial" w:cs="Arial"/>
          <w:lang w:eastAsia="en-GB"/>
        </w:rPr>
        <w:t>In this regard, t</w:t>
      </w:r>
      <w:r w:rsidR="00304F34" w:rsidRPr="00527FA5">
        <w:rPr>
          <w:rFonts w:ascii="Arial" w:eastAsia="Times New Roman" w:hAnsi="Arial" w:cs="Arial"/>
          <w:lang w:eastAsia="en-GB"/>
        </w:rPr>
        <w:t>here is no distinction between the conduct of the first respondent as a juristic person and the second respondent as the person controlling the first respondent</w:t>
      </w:r>
      <w:r w:rsidR="00607877">
        <w:rPr>
          <w:rFonts w:ascii="Arial" w:eastAsia="Times New Roman" w:hAnsi="Arial" w:cs="Arial"/>
          <w:lang w:eastAsia="en-GB"/>
        </w:rPr>
        <w:t xml:space="preserve">. The first respondent’s </w:t>
      </w:r>
      <w:r w:rsidR="003A1093">
        <w:rPr>
          <w:rFonts w:ascii="Arial" w:eastAsia="Times New Roman" w:hAnsi="Arial" w:cs="Arial"/>
          <w:lang w:eastAsia="en-GB"/>
        </w:rPr>
        <w:t xml:space="preserve">alleged </w:t>
      </w:r>
      <w:r w:rsidR="00607877" w:rsidRPr="00527FA5">
        <w:rPr>
          <w:rFonts w:ascii="Arial" w:eastAsia="Times New Roman" w:hAnsi="Arial" w:cs="Arial"/>
          <w:lang w:eastAsia="en-GB"/>
        </w:rPr>
        <w:t>dishonest and fraudulent conduct</w:t>
      </w:r>
      <w:r w:rsidR="00607877">
        <w:rPr>
          <w:rFonts w:ascii="Arial" w:eastAsia="Times New Roman" w:hAnsi="Arial" w:cs="Arial"/>
          <w:lang w:eastAsia="en-GB"/>
        </w:rPr>
        <w:t xml:space="preserve"> was </w:t>
      </w:r>
      <w:r w:rsidR="00304F34" w:rsidRPr="00527FA5">
        <w:rPr>
          <w:rFonts w:ascii="Arial" w:eastAsia="Times New Roman" w:hAnsi="Arial" w:cs="Arial"/>
          <w:lang w:eastAsia="en-GB"/>
        </w:rPr>
        <w:t xml:space="preserve">enabled </w:t>
      </w:r>
      <w:r w:rsidR="00607877">
        <w:rPr>
          <w:rFonts w:ascii="Arial" w:eastAsia="Times New Roman" w:hAnsi="Arial" w:cs="Arial"/>
          <w:lang w:eastAsia="en-GB"/>
        </w:rPr>
        <w:t xml:space="preserve">by </w:t>
      </w:r>
      <w:r w:rsidR="00304F34" w:rsidRPr="00527FA5">
        <w:rPr>
          <w:rFonts w:ascii="Arial" w:eastAsia="Times New Roman" w:hAnsi="Arial" w:cs="Arial"/>
          <w:lang w:eastAsia="en-GB"/>
        </w:rPr>
        <w:t>the second responde</w:t>
      </w:r>
      <w:r w:rsidR="00607877">
        <w:rPr>
          <w:rFonts w:ascii="Arial" w:eastAsia="Times New Roman" w:hAnsi="Arial" w:cs="Arial"/>
          <w:lang w:eastAsia="en-GB"/>
        </w:rPr>
        <w:t>nt</w:t>
      </w:r>
      <w:r w:rsidR="00304F34" w:rsidRPr="00527FA5">
        <w:rPr>
          <w:rFonts w:ascii="Arial" w:eastAsia="Times New Roman" w:hAnsi="Arial" w:cs="Arial"/>
          <w:lang w:eastAsia="en-GB"/>
        </w:rPr>
        <w:t xml:space="preserve">.  </w:t>
      </w:r>
      <w:r w:rsidR="00137EA2" w:rsidRPr="00527FA5">
        <w:rPr>
          <w:rFonts w:ascii="Arial" w:eastAsia="Times New Roman" w:hAnsi="Arial" w:cs="Arial"/>
          <w:lang w:eastAsia="en-GB"/>
        </w:rPr>
        <w:t xml:space="preserve"> </w:t>
      </w:r>
    </w:p>
    <w:p w:rsidR="00607877" w:rsidRDefault="00607877" w:rsidP="00137EA2">
      <w:pPr>
        <w:widowControl w:val="0"/>
        <w:suppressAutoHyphens/>
        <w:snapToGrid w:val="0"/>
        <w:spacing w:before="600" w:after="600" w:line="480" w:lineRule="auto"/>
        <w:jc w:val="both"/>
        <w:rPr>
          <w:rFonts w:ascii="Arial" w:eastAsia="Times New Roman" w:hAnsi="Arial" w:cs="Arial"/>
          <w:lang w:eastAsia="en-GB"/>
        </w:rPr>
      </w:pPr>
      <w:r>
        <w:rPr>
          <w:rFonts w:ascii="Arial" w:eastAsia="Times New Roman" w:hAnsi="Arial" w:cs="Arial"/>
          <w:lang w:eastAsia="en-GB"/>
        </w:rPr>
        <w:t>[29]</w:t>
      </w:r>
      <w:r>
        <w:rPr>
          <w:rFonts w:ascii="Arial" w:eastAsia="Times New Roman" w:hAnsi="Arial" w:cs="Arial"/>
          <w:lang w:eastAsia="en-GB"/>
        </w:rPr>
        <w:tab/>
        <w:t xml:space="preserve">Therefore, this point </w:t>
      </w:r>
      <w:r w:rsidRPr="00607877">
        <w:rPr>
          <w:rFonts w:ascii="Arial" w:eastAsia="Times New Roman" w:hAnsi="Arial" w:cs="Arial"/>
          <w:i/>
          <w:lang w:eastAsia="en-GB"/>
        </w:rPr>
        <w:t>in limine</w:t>
      </w:r>
      <w:r>
        <w:rPr>
          <w:rFonts w:ascii="Arial" w:eastAsia="Times New Roman" w:hAnsi="Arial" w:cs="Arial"/>
          <w:lang w:eastAsia="en-GB"/>
        </w:rPr>
        <w:t xml:space="preserve"> falls to be dismissed. </w:t>
      </w:r>
    </w:p>
    <w:p w:rsidR="005D5A5C" w:rsidRPr="00527FA5" w:rsidRDefault="005D5A5C" w:rsidP="005D5A5C">
      <w:pPr>
        <w:rPr>
          <w:rFonts w:ascii="Arial" w:hAnsi="Arial" w:cs="Arial"/>
          <w:b/>
        </w:rPr>
      </w:pPr>
      <w:r w:rsidRPr="00527FA5">
        <w:rPr>
          <w:rFonts w:ascii="Arial" w:hAnsi="Arial" w:cs="Arial"/>
          <w:b/>
        </w:rPr>
        <w:t>THE MERITS</w:t>
      </w:r>
    </w:p>
    <w:p w:rsidR="005D5A5C" w:rsidRPr="00527FA5" w:rsidRDefault="00607877" w:rsidP="005D5A5C">
      <w:pPr>
        <w:adjustRightInd w:val="0"/>
        <w:snapToGrid w:val="0"/>
        <w:spacing w:before="600" w:after="600" w:line="480" w:lineRule="auto"/>
        <w:jc w:val="both"/>
        <w:rPr>
          <w:rFonts w:ascii="Arial" w:eastAsia="Times New Roman" w:hAnsi="Arial" w:cs="Arial"/>
          <w:lang w:val="en-GB"/>
        </w:rPr>
      </w:pPr>
      <w:r>
        <w:rPr>
          <w:rFonts w:ascii="Arial" w:eastAsia="Times New Roman" w:hAnsi="Arial" w:cs="Arial"/>
          <w:lang w:val="en-GB"/>
        </w:rPr>
        <w:t>[30]</w:t>
      </w:r>
      <w:r>
        <w:rPr>
          <w:rFonts w:ascii="Arial" w:eastAsia="Times New Roman" w:hAnsi="Arial" w:cs="Arial"/>
          <w:lang w:val="en-GB"/>
        </w:rPr>
        <w:tab/>
        <w:t>The second r</w:t>
      </w:r>
      <w:r w:rsidR="005D5A5C" w:rsidRPr="00527FA5">
        <w:rPr>
          <w:rFonts w:ascii="Arial" w:eastAsia="Times New Roman" w:hAnsi="Arial" w:cs="Arial"/>
          <w:lang w:val="en-GB"/>
        </w:rPr>
        <w:t>espondent confirms</w:t>
      </w:r>
      <w:r>
        <w:rPr>
          <w:rFonts w:ascii="Arial" w:eastAsia="Times New Roman" w:hAnsi="Arial" w:cs="Arial"/>
          <w:lang w:val="en-GB"/>
        </w:rPr>
        <w:t xml:space="preserve"> that he is the director of the first r</w:t>
      </w:r>
      <w:r w:rsidR="005D5A5C" w:rsidRPr="00527FA5">
        <w:rPr>
          <w:rFonts w:ascii="Arial" w:eastAsia="Times New Roman" w:hAnsi="Arial" w:cs="Arial"/>
          <w:lang w:val="en-GB"/>
        </w:rPr>
        <w:t>espondent and as such responsible for its affairs. The respondents do not dispute that the actual distance for the route it travelled or operated is</w:t>
      </w:r>
      <w:r>
        <w:rPr>
          <w:rFonts w:ascii="Arial" w:eastAsia="Times New Roman" w:hAnsi="Arial" w:cs="Arial"/>
          <w:lang w:val="en-GB"/>
        </w:rPr>
        <w:t xml:space="preserve"> 226 kilometres per month. The r</w:t>
      </w:r>
      <w:r w:rsidR="005D5A5C" w:rsidRPr="00527FA5">
        <w:rPr>
          <w:rFonts w:ascii="Arial" w:eastAsia="Times New Roman" w:hAnsi="Arial" w:cs="Arial"/>
          <w:lang w:val="en-GB"/>
        </w:rPr>
        <w:t>esponden</w:t>
      </w:r>
      <w:r>
        <w:rPr>
          <w:rFonts w:ascii="Arial" w:eastAsia="Times New Roman" w:hAnsi="Arial" w:cs="Arial"/>
          <w:lang w:val="en-GB"/>
        </w:rPr>
        <w:t xml:space="preserve">ts also do not dispute that in the </w:t>
      </w:r>
      <w:r w:rsidR="005D5A5C" w:rsidRPr="00527FA5">
        <w:rPr>
          <w:rFonts w:ascii="Arial" w:eastAsia="Times New Roman" w:hAnsi="Arial" w:cs="Arial"/>
          <w:lang w:val="en-GB"/>
        </w:rPr>
        <w:t>invoices submitted b</w:t>
      </w:r>
      <w:r>
        <w:rPr>
          <w:rFonts w:ascii="Arial" w:eastAsia="Times New Roman" w:hAnsi="Arial" w:cs="Arial"/>
          <w:lang w:val="en-GB"/>
        </w:rPr>
        <w:t>y the first r</w:t>
      </w:r>
      <w:r w:rsidR="00D142BE" w:rsidRPr="00527FA5">
        <w:rPr>
          <w:rFonts w:ascii="Arial" w:eastAsia="Times New Roman" w:hAnsi="Arial" w:cs="Arial"/>
          <w:lang w:val="en-GB"/>
        </w:rPr>
        <w:t>espondent to the Department</w:t>
      </w:r>
      <w:r>
        <w:rPr>
          <w:rFonts w:ascii="Arial" w:eastAsia="Times New Roman" w:hAnsi="Arial" w:cs="Arial"/>
          <w:lang w:val="en-GB"/>
        </w:rPr>
        <w:t>, the first r</w:t>
      </w:r>
      <w:r w:rsidR="005D5A5C" w:rsidRPr="00527FA5">
        <w:rPr>
          <w:rFonts w:ascii="Arial" w:eastAsia="Times New Roman" w:hAnsi="Arial" w:cs="Arial"/>
          <w:lang w:val="en-GB"/>
        </w:rPr>
        <w:t>espondent claimed payment for more kilometres than the</w:t>
      </w:r>
      <w:r>
        <w:rPr>
          <w:rFonts w:ascii="Arial" w:eastAsia="Times New Roman" w:hAnsi="Arial" w:cs="Arial"/>
          <w:lang w:val="en-GB"/>
        </w:rPr>
        <w:t xml:space="preserve"> distance travelled as alleged by the a</w:t>
      </w:r>
      <w:r w:rsidR="005D5A5C" w:rsidRPr="00527FA5">
        <w:rPr>
          <w:rFonts w:ascii="Arial" w:eastAsia="Times New Roman" w:hAnsi="Arial" w:cs="Arial"/>
          <w:lang w:val="en-GB"/>
        </w:rPr>
        <w:t>pplicants. T</w:t>
      </w:r>
      <w:r w:rsidR="00E5679B">
        <w:rPr>
          <w:rFonts w:ascii="Arial" w:eastAsia="Times New Roman" w:hAnsi="Arial" w:cs="Arial"/>
          <w:lang w:val="en-GB"/>
        </w:rPr>
        <w:t>hey are also not disputing the a</w:t>
      </w:r>
      <w:r w:rsidR="005D5A5C" w:rsidRPr="00527FA5">
        <w:rPr>
          <w:rFonts w:ascii="Arial" w:eastAsia="Times New Roman" w:hAnsi="Arial" w:cs="Arial"/>
          <w:lang w:val="en-GB"/>
        </w:rPr>
        <w:t xml:space="preserve">pplicants’ evidence in respect of the excess kilometres </w:t>
      </w:r>
      <w:r w:rsidR="00E5679B">
        <w:rPr>
          <w:rFonts w:ascii="Arial" w:eastAsia="Times New Roman" w:hAnsi="Arial" w:cs="Arial"/>
          <w:lang w:val="en-GB"/>
        </w:rPr>
        <w:t xml:space="preserve">claimed for. </w:t>
      </w:r>
      <w:r w:rsidR="005D5A5C" w:rsidRPr="00527FA5">
        <w:rPr>
          <w:rFonts w:ascii="Arial" w:eastAsia="Times New Roman" w:hAnsi="Arial" w:cs="Arial"/>
          <w:lang w:val="en-GB"/>
        </w:rPr>
        <w:t>All that they are contending, is that the kilometres they cl</w:t>
      </w:r>
      <w:r w:rsidR="00E5679B">
        <w:rPr>
          <w:rFonts w:ascii="Arial" w:eastAsia="Times New Roman" w:hAnsi="Arial" w:cs="Arial"/>
          <w:lang w:val="en-GB"/>
        </w:rPr>
        <w:t>aimed for were verified by the second a</w:t>
      </w:r>
      <w:r w:rsidR="005D5A5C" w:rsidRPr="00527FA5">
        <w:rPr>
          <w:rFonts w:ascii="Arial" w:eastAsia="Times New Roman" w:hAnsi="Arial" w:cs="Arial"/>
          <w:lang w:val="en-GB"/>
        </w:rPr>
        <w:t>pplicant on</w:t>
      </w:r>
      <w:r w:rsidR="00E5679B">
        <w:rPr>
          <w:rFonts w:ascii="Arial" w:eastAsia="Times New Roman" w:hAnsi="Arial" w:cs="Arial"/>
          <w:lang w:val="en-GB"/>
        </w:rPr>
        <w:t xml:space="preserve"> the basis of which the second a</w:t>
      </w:r>
      <w:r w:rsidR="005D5A5C" w:rsidRPr="00527FA5">
        <w:rPr>
          <w:rFonts w:ascii="Arial" w:eastAsia="Times New Roman" w:hAnsi="Arial" w:cs="Arial"/>
          <w:lang w:val="en-GB"/>
        </w:rPr>
        <w:t>pplicant approved the invoices and honoured them.</w:t>
      </w:r>
    </w:p>
    <w:p w:rsidR="005D5A5C" w:rsidRPr="00527FA5" w:rsidRDefault="00E5679B" w:rsidP="005D5A5C">
      <w:pPr>
        <w:adjustRightInd w:val="0"/>
        <w:snapToGrid w:val="0"/>
        <w:spacing w:before="600" w:after="600" w:line="480" w:lineRule="auto"/>
        <w:jc w:val="both"/>
        <w:rPr>
          <w:rFonts w:ascii="Arial" w:eastAsia="Times New Roman" w:hAnsi="Arial" w:cs="Arial"/>
          <w:lang w:val="en-GB"/>
        </w:rPr>
      </w:pPr>
      <w:r>
        <w:rPr>
          <w:rFonts w:ascii="Arial" w:eastAsia="Times New Roman" w:hAnsi="Arial" w:cs="Arial"/>
          <w:lang w:val="en-GB"/>
        </w:rPr>
        <w:t>[31]</w:t>
      </w:r>
      <w:r>
        <w:rPr>
          <w:rFonts w:ascii="Arial" w:eastAsia="Times New Roman" w:hAnsi="Arial" w:cs="Arial"/>
          <w:lang w:val="en-GB"/>
        </w:rPr>
        <w:tab/>
        <w:t>The r</w:t>
      </w:r>
      <w:r w:rsidR="005D5A5C" w:rsidRPr="00527FA5">
        <w:rPr>
          <w:rFonts w:ascii="Arial" w:eastAsia="Times New Roman" w:hAnsi="Arial" w:cs="Arial"/>
          <w:lang w:val="en-GB"/>
        </w:rPr>
        <w:t>espondents are s</w:t>
      </w:r>
      <w:r>
        <w:rPr>
          <w:rFonts w:ascii="Arial" w:eastAsia="Times New Roman" w:hAnsi="Arial" w:cs="Arial"/>
          <w:lang w:val="en-GB"/>
        </w:rPr>
        <w:t>ilent on which official of the second a</w:t>
      </w:r>
      <w:r w:rsidR="005D5A5C" w:rsidRPr="00527FA5">
        <w:rPr>
          <w:rFonts w:ascii="Arial" w:eastAsia="Times New Roman" w:hAnsi="Arial" w:cs="Arial"/>
          <w:lang w:val="en-GB"/>
        </w:rPr>
        <w:t>pplicant verified the kilometres claimed. They have also not placed evidence of such approval by such an official</w:t>
      </w:r>
      <w:r w:rsidR="003A1093">
        <w:rPr>
          <w:rFonts w:ascii="Arial" w:eastAsia="Times New Roman" w:hAnsi="Arial" w:cs="Arial"/>
          <w:lang w:val="en-GB"/>
        </w:rPr>
        <w:t xml:space="preserve"> before the Tribunal</w:t>
      </w:r>
      <w:r w:rsidR="005D5A5C" w:rsidRPr="00527FA5">
        <w:rPr>
          <w:rFonts w:ascii="Arial" w:eastAsia="Times New Roman" w:hAnsi="Arial" w:cs="Arial"/>
          <w:lang w:val="en-GB"/>
        </w:rPr>
        <w:t>. Be that as it may, even if such approval was given, it would hav</w:t>
      </w:r>
      <w:r>
        <w:rPr>
          <w:rFonts w:ascii="Arial" w:eastAsia="Times New Roman" w:hAnsi="Arial" w:cs="Arial"/>
          <w:lang w:val="en-GB"/>
        </w:rPr>
        <w:t>e been unlawfully given as the first r</w:t>
      </w:r>
      <w:r w:rsidR="005D5A5C" w:rsidRPr="00527FA5">
        <w:rPr>
          <w:rFonts w:ascii="Arial" w:eastAsia="Times New Roman" w:hAnsi="Arial" w:cs="Arial"/>
          <w:lang w:val="en-GB"/>
        </w:rPr>
        <w:t xml:space="preserve">espondent is not entitled to claim for more kilometres than it actually travelled. The respondents </w:t>
      </w:r>
      <w:r>
        <w:rPr>
          <w:rFonts w:ascii="Arial" w:eastAsia="Times New Roman" w:hAnsi="Arial" w:cs="Arial"/>
          <w:lang w:val="en-GB"/>
        </w:rPr>
        <w:t xml:space="preserve">have </w:t>
      </w:r>
      <w:r w:rsidR="005D5A5C" w:rsidRPr="00527FA5">
        <w:rPr>
          <w:rFonts w:ascii="Arial" w:eastAsia="Times New Roman" w:hAnsi="Arial" w:cs="Arial"/>
          <w:lang w:val="en-GB"/>
        </w:rPr>
        <w:t xml:space="preserve">failed to explain the basis on which they claimed </w:t>
      </w:r>
      <w:r>
        <w:rPr>
          <w:rFonts w:ascii="Arial" w:eastAsia="Times New Roman" w:hAnsi="Arial" w:cs="Arial"/>
          <w:lang w:val="en-GB"/>
        </w:rPr>
        <w:t xml:space="preserve">vastly different amounts for the same route. In one instance they claimed </w:t>
      </w:r>
      <w:r w:rsidR="00D84901" w:rsidRPr="00E5679B">
        <w:rPr>
          <w:rFonts w:ascii="Arial" w:eastAsia="Times New Roman" w:hAnsi="Arial" w:cs="Arial"/>
          <w:lang w:val="en-GB"/>
        </w:rPr>
        <w:t>985</w:t>
      </w:r>
      <w:r w:rsidRPr="00E5679B">
        <w:rPr>
          <w:rFonts w:ascii="Arial" w:eastAsia="Times New Roman" w:hAnsi="Arial" w:cs="Arial"/>
          <w:lang w:val="en-GB"/>
        </w:rPr>
        <w:t>km for one month. In another instance, they claimed</w:t>
      </w:r>
      <w:r w:rsidR="00D84901" w:rsidRPr="00E5679B">
        <w:rPr>
          <w:rFonts w:ascii="Arial" w:eastAsia="Times New Roman" w:hAnsi="Arial" w:cs="Arial"/>
          <w:lang w:val="en-GB"/>
        </w:rPr>
        <w:t xml:space="preserve"> 334</w:t>
      </w:r>
      <w:r w:rsidRPr="00E5679B">
        <w:rPr>
          <w:rFonts w:ascii="Arial" w:eastAsia="Times New Roman" w:hAnsi="Arial" w:cs="Arial"/>
          <w:lang w:val="en-GB"/>
        </w:rPr>
        <w:t>kms for one month.</w:t>
      </w:r>
      <w:r w:rsidR="005D5A5C" w:rsidRPr="00527FA5">
        <w:rPr>
          <w:rFonts w:ascii="Arial" w:eastAsia="Times New Roman" w:hAnsi="Arial" w:cs="Arial"/>
          <w:lang w:val="en-GB"/>
        </w:rPr>
        <w:t xml:space="preserve"> If anything, the disparity of the kilometres claimed for the same route at various times during the term of the contract </w:t>
      </w:r>
      <w:r w:rsidR="003A1093">
        <w:rPr>
          <w:rFonts w:ascii="Arial" w:eastAsia="Times New Roman" w:hAnsi="Arial" w:cs="Arial"/>
          <w:lang w:val="en-GB"/>
        </w:rPr>
        <w:t>manif</w:t>
      </w:r>
      <w:r>
        <w:rPr>
          <w:rFonts w:ascii="Arial" w:eastAsia="Times New Roman" w:hAnsi="Arial" w:cs="Arial"/>
          <w:lang w:val="en-GB"/>
        </w:rPr>
        <w:t xml:space="preserve">est a fraudulent intent and strongly implicate </w:t>
      </w:r>
      <w:r w:rsidR="005D5A5C" w:rsidRPr="00527FA5">
        <w:rPr>
          <w:rFonts w:ascii="Arial" w:eastAsia="Times New Roman" w:hAnsi="Arial" w:cs="Arial"/>
          <w:lang w:val="en-GB"/>
        </w:rPr>
        <w:t xml:space="preserve">the respondents’ complicity in such fraud.     </w:t>
      </w:r>
    </w:p>
    <w:p w:rsidR="00E5679B" w:rsidRDefault="00E5679B" w:rsidP="00E5679B">
      <w:pPr>
        <w:adjustRightInd w:val="0"/>
        <w:snapToGrid w:val="0"/>
        <w:spacing w:before="600" w:after="600" w:line="480" w:lineRule="auto"/>
        <w:jc w:val="both"/>
        <w:rPr>
          <w:rFonts w:ascii="Arial" w:eastAsia="Times New Roman" w:hAnsi="Arial" w:cs="Arial"/>
          <w:lang w:val="en-GB"/>
        </w:rPr>
      </w:pPr>
      <w:r>
        <w:rPr>
          <w:rFonts w:ascii="Arial" w:eastAsia="Times New Roman" w:hAnsi="Arial" w:cs="Arial"/>
          <w:lang w:val="en-GB"/>
        </w:rPr>
        <w:t>[32</w:t>
      </w:r>
      <w:r w:rsidR="005D5A5C" w:rsidRPr="00527FA5">
        <w:rPr>
          <w:rFonts w:ascii="Arial" w:eastAsia="Times New Roman" w:hAnsi="Arial" w:cs="Arial"/>
          <w:lang w:val="en-GB"/>
        </w:rPr>
        <w:t>]</w:t>
      </w:r>
      <w:r w:rsidR="005D5A5C" w:rsidRPr="00527FA5">
        <w:rPr>
          <w:rFonts w:ascii="Arial" w:eastAsia="Times New Roman" w:hAnsi="Arial" w:cs="Arial"/>
          <w:lang w:val="en-GB"/>
        </w:rPr>
        <w:tab/>
        <w:t>I am satisfied that the applicants have made out a proper case for the relief claimed in the amended notice of motion.</w:t>
      </w:r>
    </w:p>
    <w:p w:rsidR="00D142BE" w:rsidRPr="00527FA5" w:rsidRDefault="00D142BE" w:rsidP="00E5679B">
      <w:pPr>
        <w:adjustRightInd w:val="0"/>
        <w:snapToGrid w:val="0"/>
        <w:spacing w:before="600" w:after="600" w:line="480" w:lineRule="auto"/>
        <w:jc w:val="both"/>
        <w:rPr>
          <w:rFonts w:ascii="Arial" w:eastAsia="Times New Roman" w:hAnsi="Arial" w:cs="Arial"/>
          <w:b/>
          <w:lang w:eastAsia="en-GB"/>
        </w:rPr>
      </w:pPr>
      <w:r w:rsidRPr="00527FA5">
        <w:rPr>
          <w:rFonts w:ascii="Arial" w:eastAsia="Times New Roman" w:hAnsi="Arial" w:cs="Arial"/>
          <w:b/>
          <w:lang w:eastAsia="en-GB"/>
        </w:rPr>
        <w:t>COSTS</w:t>
      </w:r>
    </w:p>
    <w:p w:rsidR="00D142BE" w:rsidRPr="00527FA5" w:rsidRDefault="00D142BE" w:rsidP="00D142BE">
      <w:pPr>
        <w:widowControl w:val="0"/>
        <w:suppressAutoHyphens/>
        <w:snapToGrid w:val="0"/>
        <w:spacing w:before="600" w:after="600" w:line="480" w:lineRule="auto"/>
        <w:jc w:val="both"/>
        <w:rPr>
          <w:rFonts w:ascii="Arial" w:eastAsia="Times New Roman" w:hAnsi="Arial" w:cs="Arial"/>
          <w:lang w:eastAsia="en-GB"/>
        </w:rPr>
      </w:pPr>
      <w:r w:rsidRPr="00527FA5">
        <w:rPr>
          <w:rFonts w:ascii="Arial" w:eastAsia="Times New Roman" w:hAnsi="Arial" w:cs="Arial"/>
          <w:lang w:eastAsia="en-GB"/>
        </w:rPr>
        <w:t>[</w:t>
      </w:r>
      <w:r w:rsidR="00E5679B">
        <w:rPr>
          <w:rFonts w:ascii="Arial" w:eastAsia="Times New Roman" w:hAnsi="Arial" w:cs="Arial"/>
          <w:lang w:eastAsia="en-GB"/>
        </w:rPr>
        <w:t>33</w:t>
      </w:r>
      <w:r w:rsidR="00E675E6">
        <w:rPr>
          <w:rFonts w:ascii="Arial" w:eastAsia="Times New Roman" w:hAnsi="Arial" w:cs="Arial"/>
          <w:lang w:eastAsia="en-GB"/>
        </w:rPr>
        <w:t>]</w:t>
      </w:r>
      <w:r w:rsidR="00E675E6">
        <w:rPr>
          <w:rFonts w:ascii="Arial" w:eastAsia="Times New Roman" w:hAnsi="Arial" w:cs="Arial"/>
          <w:lang w:eastAsia="en-GB"/>
        </w:rPr>
        <w:tab/>
      </w:r>
      <w:r w:rsidRPr="00527FA5">
        <w:rPr>
          <w:rFonts w:ascii="Arial" w:eastAsia="Times New Roman" w:hAnsi="Arial" w:cs="Arial"/>
          <w:lang w:eastAsia="en-GB"/>
        </w:rPr>
        <w:t>The respondents</w:t>
      </w:r>
      <w:r w:rsidR="00E5679B">
        <w:rPr>
          <w:rFonts w:ascii="Arial" w:eastAsia="Times New Roman" w:hAnsi="Arial" w:cs="Arial"/>
          <w:lang w:eastAsia="en-GB"/>
        </w:rPr>
        <w:t>’</w:t>
      </w:r>
      <w:r w:rsidRPr="00527FA5">
        <w:rPr>
          <w:rFonts w:ascii="Arial" w:eastAsia="Times New Roman" w:hAnsi="Arial" w:cs="Arial"/>
          <w:lang w:eastAsia="en-GB"/>
        </w:rPr>
        <w:t xml:space="preserve"> fraudulent conduct warrant a punitive cost order against the respondents.  </w:t>
      </w:r>
    </w:p>
    <w:p w:rsidR="00D142BE" w:rsidRPr="00527FA5" w:rsidRDefault="00E5679B" w:rsidP="00D142BE">
      <w:pPr>
        <w:widowControl w:val="0"/>
        <w:suppressAutoHyphens/>
        <w:snapToGrid w:val="0"/>
        <w:spacing w:before="600" w:after="600" w:line="480" w:lineRule="auto"/>
        <w:jc w:val="both"/>
        <w:rPr>
          <w:rFonts w:ascii="Arial" w:eastAsia="Times New Roman" w:hAnsi="Arial" w:cs="Arial"/>
          <w:lang w:eastAsia="en-GB"/>
        </w:rPr>
      </w:pPr>
      <w:r>
        <w:rPr>
          <w:rFonts w:ascii="Arial" w:eastAsia="Times New Roman" w:hAnsi="Arial" w:cs="Arial"/>
          <w:lang w:eastAsia="en-GB"/>
        </w:rPr>
        <w:t>[34</w:t>
      </w:r>
      <w:r w:rsidR="00D142BE" w:rsidRPr="00527FA5">
        <w:rPr>
          <w:rFonts w:ascii="Arial" w:eastAsia="Times New Roman" w:hAnsi="Arial" w:cs="Arial"/>
          <w:lang w:eastAsia="en-GB"/>
        </w:rPr>
        <w:t>]</w:t>
      </w:r>
      <w:r w:rsidR="00D142BE" w:rsidRPr="00527FA5">
        <w:rPr>
          <w:rFonts w:ascii="Arial" w:eastAsia="Times New Roman" w:hAnsi="Arial" w:cs="Arial"/>
          <w:lang w:eastAsia="en-GB"/>
        </w:rPr>
        <w:tab/>
        <w:t>In the premises, the following order is made:</w:t>
      </w:r>
    </w:p>
    <w:p w:rsidR="00D142BE" w:rsidRPr="00527FA5" w:rsidRDefault="00D142BE" w:rsidP="00D142BE">
      <w:pPr>
        <w:widowControl w:val="0"/>
        <w:suppressAutoHyphens/>
        <w:snapToGrid w:val="0"/>
        <w:spacing w:before="600" w:after="600" w:line="480" w:lineRule="auto"/>
        <w:jc w:val="both"/>
        <w:rPr>
          <w:rFonts w:ascii="Arial" w:eastAsia="Times New Roman" w:hAnsi="Arial" w:cs="Arial"/>
          <w:b/>
          <w:lang w:eastAsia="en-GB"/>
        </w:rPr>
      </w:pPr>
      <w:r w:rsidRPr="00527FA5">
        <w:rPr>
          <w:rFonts w:ascii="Arial" w:eastAsia="Times New Roman" w:hAnsi="Arial" w:cs="Arial"/>
          <w:b/>
          <w:lang w:eastAsia="en-GB"/>
        </w:rPr>
        <w:t>ORDER</w:t>
      </w:r>
    </w:p>
    <w:p w:rsidR="00E5679B" w:rsidRDefault="00E5679B" w:rsidP="00D142BE">
      <w:pPr>
        <w:pStyle w:val="ListParagraph"/>
        <w:numPr>
          <w:ilvl w:val="0"/>
          <w:numId w:val="9"/>
        </w:numPr>
        <w:spacing w:after="160" w:line="480" w:lineRule="auto"/>
        <w:ind w:hanging="720"/>
        <w:jc w:val="both"/>
        <w:rPr>
          <w:rFonts w:ascii="Arial" w:eastAsia="Times New Roman" w:hAnsi="Arial" w:cs="Arial"/>
          <w:bCs/>
          <w:lang w:val="en-US"/>
        </w:rPr>
      </w:pPr>
      <w:r>
        <w:rPr>
          <w:rFonts w:ascii="Arial" w:eastAsia="Times New Roman" w:hAnsi="Arial" w:cs="Arial"/>
          <w:bCs/>
          <w:lang w:val="en-US"/>
        </w:rPr>
        <w:t>The application succeeds.</w:t>
      </w:r>
    </w:p>
    <w:p w:rsidR="00D142BE" w:rsidRPr="00527FA5" w:rsidRDefault="00D142BE" w:rsidP="00D142BE">
      <w:pPr>
        <w:pStyle w:val="ListParagraph"/>
        <w:numPr>
          <w:ilvl w:val="0"/>
          <w:numId w:val="9"/>
        </w:numPr>
        <w:spacing w:after="160" w:line="480" w:lineRule="auto"/>
        <w:ind w:hanging="720"/>
        <w:jc w:val="both"/>
        <w:rPr>
          <w:rFonts w:ascii="Arial" w:eastAsia="Times New Roman" w:hAnsi="Arial" w:cs="Arial"/>
          <w:bCs/>
          <w:lang w:val="en-US"/>
        </w:rPr>
      </w:pPr>
      <w:r w:rsidRPr="00527FA5">
        <w:rPr>
          <w:rFonts w:ascii="Arial" w:eastAsia="Times New Roman" w:hAnsi="Arial" w:cs="Arial"/>
          <w:bCs/>
          <w:lang w:val="en-US"/>
        </w:rPr>
        <w:t>It is declared that the applicants’ claims against the respondent have not become prescribed.</w:t>
      </w:r>
    </w:p>
    <w:p w:rsidR="00E5679B" w:rsidRDefault="00E5679B" w:rsidP="00EB4408">
      <w:pPr>
        <w:pStyle w:val="ListParagraph"/>
        <w:numPr>
          <w:ilvl w:val="0"/>
          <w:numId w:val="9"/>
        </w:numPr>
        <w:spacing w:after="160" w:line="480" w:lineRule="auto"/>
        <w:jc w:val="both"/>
        <w:rPr>
          <w:rFonts w:ascii="Arial" w:eastAsia="Times New Roman" w:hAnsi="Arial" w:cs="Arial"/>
          <w:bCs/>
          <w:lang w:val="en-US"/>
        </w:rPr>
      </w:pPr>
      <w:r w:rsidRPr="00E5679B">
        <w:rPr>
          <w:rFonts w:ascii="Arial" w:eastAsia="Times New Roman" w:hAnsi="Arial" w:cs="Arial"/>
          <w:bCs/>
          <w:lang w:val="en-US"/>
        </w:rPr>
        <w:t xml:space="preserve">The first respondent is to be deemed not to be a juristic person in respect of liability or obligation to the applicants arising from this judgment. </w:t>
      </w:r>
    </w:p>
    <w:p w:rsidR="00D142BE" w:rsidRPr="003A1093" w:rsidRDefault="003A1093" w:rsidP="00EB4408">
      <w:pPr>
        <w:pStyle w:val="ListParagraph"/>
        <w:numPr>
          <w:ilvl w:val="0"/>
          <w:numId w:val="9"/>
        </w:numPr>
        <w:spacing w:after="160" w:line="480" w:lineRule="auto"/>
        <w:jc w:val="both"/>
        <w:rPr>
          <w:rFonts w:ascii="Arial" w:eastAsia="Times New Roman" w:hAnsi="Arial" w:cs="Arial"/>
          <w:bCs/>
          <w:lang w:val="en-US"/>
        </w:rPr>
      </w:pPr>
      <w:r>
        <w:rPr>
          <w:rFonts w:ascii="Arial" w:hAnsi="Arial" w:cs="Arial"/>
        </w:rPr>
        <w:t>The r</w:t>
      </w:r>
      <w:r w:rsidR="00D142BE" w:rsidRPr="00E5679B">
        <w:rPr>
          <w:rFonts w:ascii="Arial" w:hAnsi="Arial" w:cs="Arial"/>
        </w:rPr>
        <w:t xml:space="preserve">espondents are jointly and severally liable to make payment to the second applicant in the amount of R7 479 648.44 </w:t>
      </w:r>
      <w:r w:rsidR="00D142BE" w:rsidRPr="00E5679B">
        <w:rPr>
          <w:rFonts w:ascii="Arial" w:hAnsi="Arial" w:cs="Arial"/>
          <w:i/>
          <w:iCs/>
        </w:rPr>
        <w:t xml:space="preserve">(seven million four hundred </w:t>
      </w:r>
      <w:r w:rsidRPr="00E5679B">
        <w:rPr>
          <w:rFonts w:ascii="Arial" w:hAnsi="Arial" w:cs="Arial"/>
          <w:i/>
          <w:iCs/>
        </w:rPr>
        <w:t>seventy-nine</w:t>
      </w:r>
      <w:r>
        <w:rPr>
          <w:rFonts w:ascii="Arial" w:hAnsi="Arial" w:cs="Arial"/>
          <w:i/>
          <w:iCs/>
        </w:rPr>
        <w:t xml:space="preserve"> thousand six hundred forty-</w:t>
      </w:r>
      <w:r w:rsidR="00D142BE" w:rsidRPr="00E5679B">
        <w:rPr>
          <w:rFonts w:ascii="Arial" w:hAnsi="Arial" w:cs="Arial"/>
          <w:i/>
          <w:iCs/>
        </w:rPr>
        <w:t xml:space="preserve">eight rand and forty four cents), </w:t>
      </w:r>
      <w:r w:rsidR="00D142BE" w:rsidRPr="003A1093">
        <w:rPr>
          <w:rFonts w:ascii="Arial" w:hAnsi="Arial" w:cs="Arial"/>
          <w:iCs/>
        </w:rPr>
        <w:t>the one paying the other to be absolved</w:t>
      </w:r>
      <w:r w:rsidR="00D142BE" w:rsidRPr="003A1093">
        <w:rPr>
          <w:rFonts w:ascii="Arial" w:hAnsi="Arial" w:cs="Arial"/>
        </w:rPr>
        <w:t xml:space="preserve">. </w:t>
      </w:r>
    </w:p>
    <w:p w:rsidR="00D142BE" w:rsidRPr="00527FA5" w:rsidRDefault="00D142BE" w:rsidP="00D142BE">
      <w:pPr>
        <w:pStyle w:val="ListParagraph"/>
        <w:numPr>
          <w:ilvl w:val="0"/>
          <w:numId w:val="9"/>
        </w:numPr>
        <w:spacing w:after="160" w:line="480" w:lineRule="auto"/>
        <w:ind w:hanging="720"/>
        <w:jc w:val="both"/>
        <w:rPr>
          <w:rFonts w:ascii="Arial" w:eastAsia="Times New Roman" w:hAnsi="Arial" w:cs="Arial"/>
          <w:bCs/>
          <w:lang w:val="en-US"/>
        </w:rPr>
      </w:pPr>
      <w:r w:rsidRPr="00527FA5">
        <w:rPr>
          <w:rFonts w:ascii="Arial" w:eastAsia="Times New Roman" w:hAnsi="Arial" w:cs="Arial"/>
          <w:bCs/>
          <w:lang w:val="en-US"/>
        </w:rPr>
        <w:t>The Respondents are ordered to pay the costs of this application jointly and severally, the one paying the other to be absolved on a punitive scale, inclusive of costs occasioned by the employment of counsel.</w:t>
      </w:r>
    </w:p>
    <w:p w:rsidR="00C16430" w:rsidRDefault="00C16430" w:rsidP="00C16430">
      <w:pPr>
        <w:jc w:val="right"/>
        <w:rPr>
          <w:rFonts w:ascii="Arial" w:hAnsi="Arial" w:cs="Arial"/>
          <w:noProof/>
        </w:rPr>
      </w:pPr>
    </w:p>
    <w:p w:rsidR="00BA0449" w:rsidRDefault="00BA0449" w:rsidP="00C16430">
      <w:pPr>
        <w:jc w:val="right"/>
        <w:rPr>
          <w:rFonts w:ascii="Arial" w:hAnsi="Arial" w:cs="Arial"/>
          <w:noProof/>
        </w:rPr>
      </w:pPr>
    </w:p>
    <w:p w:rsidR="00BA0449" w:rsidRDefault="00BA0449" w:rsidP="00C16430">
      <w:pPr>
        <w:jc w:val="right"/>
        <w:rPr>
          <w:rFonts w:ascii="Arial" w:hAnsi="Arial" w:cs="Arial"/>
          <w:noProof/>
        </w:rPr>
      </w:pPr>
    </w:p>
    <w:p w:rsidR="00BA0449" w:rsidRPr="00502C40" w:rsidRDefault="00BA0449" w:rsidP="00C16430">
      <w:pPr>
        <w:jc w:val="right"/>
        <w:rPr>
          <w:rFonts w:ascii="Arial" w:hAnsi="Arial" w:cs="Arial"/>
        </w:rPr>
      </w:pPr>
      <w:bookmarkStart w:id="0" w:name="_GoBack"/>
      <w:bookmarkEnd w:id="0"/>
    </w:p>
    <w:p w:rsidR="00C16430" w:rsidRPr="00502C40" w:rsidRDefault="00C16430" w:rsidP="00C16430">
      <w:pPr>
        <w:pStyle w:val="Indent"/>
        <w:numPr>
          <w:ilvl w:val="0"/>
          <w:numId w:val="0"/>
        </w:numPr>
        <w:spacing w:after="0" w:line="360" w:lineRule="auto"/>
        <w:jc w:val="right"/>
        <w:rPr>
          <w:rFonts w:cs="Arial"/>
          <w:sz w:val="24"/>
          <w:szCs w:val="24"/>
        </w:rPr>
      </w:pPr>
      <w:r w:rsidRPr="00502C40">
        <w:rPr>
          <w:rFonts w:cs="Arial"/>
          <w:sz w:val="24"/>
          <w:szCs w:val="24"/>
        </w:rPr>
        <w:t>____________________________</w:t>
      </w:r>
    </w:p>
    <w:p w:rsidR="00C16430" w:rsidRPr="00502C40" w:rsidRDefault="00C16430" w:rsidP="00C16430">
      <w:pPr>
        <w:pStyle w:val="Indent"/>
        <w:numPr>
          <w:ilvl w:val="0"/>
          <w:numId w:val="0"/>
        </w:numPr>
        <w:spacing w:after="0" w:line="360" w:lineRule="auto"/>
        <w:jc w:val="right"/>
        <w:rPr>
          <w:rFonts w:cs="Arial"/>
          <w:b/>
          <w:bCs/>
          <w:sz w:val="24"/>
          <w:szCs w:val="24"/>
        </w:rPr>
      </w:pPr>
      <w:r w:rsidRPr="00502C40">
        <w:rPr>
          <w:rFonts w:cs="Arial"/>
          <w:b/>
          <w:bCs/>
          <w:sz w:val="24"/>
          <w:szCs w:val="24"/>
        </w:rPr>
        <w:t>JUDGE L.T. MODIBA</w:t>
      </w:r>
    </w:p>
    <w:p w:rsidR="00C16430" w:rsidRPr="00502C40" w:rsidRDefault="00C16430" w:rsidP="00C16430">
      <w:pPr>
        <w:pStyle w:val="Indent"/>
        <w:numPr>
          <w:ilvl w:val="0"/>
          <w:numId w:val="0"/>
        </w:numPr>
        <w:spacing w:after="0" w:line="360" w:lineRule="auto"/>
        <w:jc w:val="right"/>
        <w:rPr>
          <w:rFonts w:cs="Arial"/>
          <w:b/>
          <w:bCs/>
          <w:sz w:val="24"/>
          <w:szCs w:val="24"/>
        </w:rPr>
      </w:pPr>
      <w:r w:rsidRPr="00502C40">
        <w:rPr>
          <w:rFonts w:cs="Arial"/>
          <w:b/>
          <w:bCs/>
          <w:sz w:val="24"/>
          <w:szCs w:val="24"/>
        </w:rPr>
        <w:t>PRESIDENT OF THE SPECIAL TRIBUNAL</w:t>
      </w:r>
    </w:p>
    <w:p w:rsidR="006A432E" w:rsidRDefault="006A432E" w:rsidP="007B2F11">
      <w:pPr>
        <w:spacing w:line="360" w:lineRule="auto"/>
        <w:jc w:val="both"/>
        <w:rPr>
          <w:rFonts w:ascii="Arial" w:hAnsi="Arial" w:cs="Arial"/>
          <w:b/>
        </w:rPr>
      </w:pPr>
    </w:p>
    <w:p w:rsidR="0095459D" w:rsidRPr="00E675E6" w:rsidRDefault="00E675E6" w:rsidP="007B2F11">
      <w:pPr>
        <w:spacing w:line="360" w:lineRule="auto"/>
        <w:jc w:val="both"/>
        <w:rPr>
          <w:rFonts w:ascii="Arial" w:hAnsi="Arial" w:cs="Arial"/>
          <w:b/>
        </w:rPr>
      </w:pPr>
      <w:r w:rsidRPr="00E675E6">
        <w:rPr>
          <w:rFonts w:ascii="Arial" w:hAnsi="Arial" w:cs="Arial"/>
          <w:b/>
        </w:rPr>
        <w:t>APPEARANCE</w:t>
      </w:r>
      <w:r w:rsidR="00C16430">
        <w:rPr>
          <w:rFonts w:ascii="Arial" w:hAnsi="Arial" w:cs="Arial"/>
          <w:b/>
        </w:rPr>
        <w:t>S</w:t>
      </w:r>
      <w:r w:rsidRPr="00E675E6">
        <w:rPr>
          <w:rFonts w:ascii="Arial" w:hAnsi="Arial" w:cs="Arial"/>
          <w:b/>
        </w:rPr>
        <w:t xml:space="preserve"> </w:t>
      </w:r>
    </w:p>
    <w:p w:rsidR="006B323B" w:rsidRPr="00527FA5" w:rsidRDefault="006B323B" w:rsidP="007B2F11">
      <w:pPr>
        <w:spacing w:line="360" w:lineRule="auto"/>
        <w:jc w:val="both"/>
        <w:rPr>
          <w:rFonts w:ascii="Arial" w:hAnsi="Arial" w:cs="Arial"/>
        </w:rPr>
      </w:pPr>
      <w:r w:rsidRPr="00527FA5">
        <w:rPr>
          <w:rFonts w:ascii="Arial" w:hAnsi="Arial" w:cs="Arial"/>
        </w:rPr>
        <w:t>Attorney for the 1</w:t>
      </w:r>
      <w:r w:rsidRPr="00E675E6">
        <w:rPr>
          <w:rFonts w:ascii="Arial" w:hAnsi="Arial" w:cs="Arial"/>
          <w:vertAlign w:val="superscript"/>
        </w:rPr>
        <w:t>st</w:t>
      </w:r>
      <w:r w:rsidRPr="00527FA5">
        <w:rPr>
          <w:rFonts w:ascii="Arial" w:hAnsi="Arial" w:cs="Arial"/>
        </w:rPr>
        <w:t xml:space="preserve"> and 2</w:t>
      </w:r>
      <w:r w:rsidRPr="00E675E6">
        <w:rPr>
          <w:rFonts w:ascii="Arial" w:hAnsi="Arial" w:cs="Arial"/>
          <w:vertAlign w:val="superscript"/>
        </w:rPr>
        <w:t>nd</w:t>
      </w:r>
      <w:r w:rsidRPr="00527FA5">
        <w:rPr>
          <w:rFonts w:ascii="Arial" w:hAnsi="Arial" w:cs="Arial"/>
        </w:rPr>
        <w:t xml:space="preserve"> applicant</w:t>
      </w:r>
      <w:r w:rsidRPr="00527FA5">
        <w:rPr>
          <w:rFonts w:ascii="Arial" w:hAnsi="Arial" w:cs="Arial"/>
        </w:rPr>
        <w:tab/>
      </w:r>
      <w:r w:rsidRPr="00527FA5">
        <w:rPr>
          <w:rFonts w:ascii="Arial" w:hAnsi="Arial" w:cs="Arial"/>
        </w:rPr>
        <w:tab/>
        <w:t>Ms S Zondi, Office of State Attorney, Pretoria</w:t>
      </w:r>
    </w:p>
    <w:p w:rsidR="006B323B" w:rsidRPr="00527FA5" w:rsidRDefault="006B323B" w:rsidP="007B2F11">
      <w:pPr>
        <w:spacing w:line="360" w:lineRule="auto"/>
        <w:jc w:val="both"/>
        <w:rPr>
          <w:rFonts w:ascii="Arial" w:hAnsi="Arial" w:cs="Arial"/>
        </w:rPr>
      </w:pPr>
      <w:r w:rsidRPr="00527FA5">
        <w:rPr>
          <w:rFonts w:ascii="Arial" w:hAnsi="Arial" w:cs="Arial"/>
        </w:rPr>
        <w:t>Counsel for the 1</w:t>
      </w:r>
      <w:r w:rsidRPr="00E675E6">
        <w:rPr>
          <w:rFonts w:ascii="Arial" w:hAnsi="Arial" w:cs="Arial"/>
          <w:vertAlign w:val="superscript"/>
        </w:rPr>
        <w:t>st</w:t>
      </w:r>
      <w:r w:rsidRPr="00527FA5">
        <w:rPr>
          <w:rFonts w:ascii="Arial" w:hAnsi="Arial" w:cs="Arial"/>
        </w:rPr>
        <w:t xml:space="preserve"> and 2</w:t>
      </w:r>
      <w:r w:rsidRPr="00E675E6">
        <w:rPr>
          <w:rFonts w:ascii="Arial" w:hAnsi="Arial" w:cs="Arial"/>
          <w:vertAlign w:val="superscript"/>
        </w:rPr>
        <w:t>nd</w:t>
      </w:r>
      <w:r w:rsidRPr="00527FA5">
        <w:rPr>
          <w:rFonts w:ascii="Arial" w:hAnsi="Arial" w:cs="Arial"/>
        </w:rPr>
        <w:t xml:space="preserve"> applicant</w:t>
      </w:r>
      <w:r w:rsidRPr="00527FA5">
        <w:rPr>
          <w:rFonts w:ascii="Arial" w:hAnsi="Arial" w:cs="Arial"/>
        </w:rPr>
        <w:tab/>
      </w:r>
      <w:r w:rsidRPr="00527FA5">
        <w:rPr>
          <w:rFonts w:ascii="Arial" w:hAnsi="Arial" w:cs="Arial"/>
        </w:rPr>
        <w:tab/>
        <w:t>Adv. G Mokonoto</w:t>
      </w:r>
    </w:p>
    <w:p w:rsidR="006B323B" w:rsidRPr="00527FA5" w:rsidRDefault="006B323B" w:rsidP="007B2F11">
      <w:pPr>
        <w:spacing w:line="360" w:lineRule="auto"/>
        <w:jc w:val="both"/>
        <w:rPr>
          <w:rFonts w:ascii="Arial" w:hAnsi="Arial" w:cs="Arial"/>
        </w:rPr>
      </w:pPr>
    </w:p>
    <w:p w:rsidR="006B323B" w:rsidRPr="00527FA5" w:rsidRDefault="006B323B" w:rsidP="00C16430">
      <w:pPr>
        <w:spacing w:line="360" w:lineRule="auto"/>
        <w:ind w:left="5040" w:hanging="5040"/>
        <w:jc w:val="both"/>
        <w:rPr>
          <w:rFonts w:ascii="Arial" w:hAnsi="Arial" w:cs="Arial"/>
        </w:rPr>
      </w:pPr>
      <w:r w:rsidRPr="00527FA5">
        <w:rPr>
          <w:rFonts w:ascii="Arial" w:hAnsi="Arial" w:cs="Arial"/>
        </w:rPr>
        <w:t>Attorney for the 1</w:t>
      </w:r>
      <w:r w:rsidRPr="00E675E6">
        <w:rPr>
          <w:rFonts w:ascii="Arial" w:hAnsi="Arial" w:cs="Arial"/>
          <w:vertAlign w:val="superscript"/>
        </w:rPr>
        <w:t>st</w:t>
      </w:r>
      <w:r w:rsidRPr="00527FA5">
        <w:rPr>
          <w:rFonts w:ascii="Arial" w:hAnsi="Arial" w:cs="Arial"/>
        </w:rPr>
        <w:t xml:space="preserve"> and 2</w:t>
      </w:r>
      <w:r w:rsidRPr="00E675E6">
        <w:rPr>
          <w:rFonts w:ascii="Arial" w:hAnsi="Arial" w:cs="Arial"/>
          <w:vertAlign w:val="superscript"/>
        </w:rPr>
        <w:t>nd</w:t>
      </w:r>
      <w:r w:rsidRPr="00527FA5">
        <w:rPr>
          <w:rFonts w:ascii="Arial" w:hAnsi="Arial" w:cs="Arial"/>
        </w:rPr>
        <w:t xml:space="preserve"> respondent</w:t>
      </w:r>
      <w:r w:rsidRPr="00527FA5">
        <w:rPr>
          <w:rFonts w:ascii="Arial" w:hAnsi="Arial" w:cs="Arial"/>
        </w:rPr>
        <w:tab/>
        <w:t>Mr N</w:t>
      </w:r>
      <w:r w:rsidR="00C16430">
        <w:rPr>
          <w:rFonts w:ascii="Arial" w:hAnsi="Arial" w:cs="Arial"/>
        </w:rPr>
        <w:t>.</w:t>
      </w:r>
      <w:r w:rsidRPr="00527FA5">
        <w:rPr>
          <w:rFonts w:ascii="Arial" w:hAnsi="Arial" w:cs="Arial"/>
        </w:rPr>
        <w:t xml:space="preserve"> Mahlangu, </w:t>
      </w:r>
      <w:r w:rsidR="00C80D11" w:rsidRPr="00527FA5">
        <w:rPr>
          <w:rFonts w:ascii="Arial" w:hAnsi="Arial" w:cs="Arial"/>
        </w:rPr>
        <w:t>Mahlangu &amp; Associates INC</w:t>
      </w:r>
    </w:p>
    <w:p w:rsidR="00C80D11" w:rsidRDefault="00C80D11" w:rsidP="007B2F11">
      <w:pPr>
        <w:spacing w:line="360" w:lineRule="auto"/>
        <w:jc w:val="both"/>
        <w:rPr>
          <w:rFonts w:ascii="Arial" w:hAnsi="Arial" w:cs="Arial"/>
        </w:rPr>
      </w:pPr>
      <w:r w:rsidRPr="00527FA5">
        <w:rPr>
          <w:rFonts w:ascii="Arial" w:hAnsi="Arial" w:cs="Arial"/>
        </w:rPr>
        <w:t>Counsel for 1</w:t>
      </w:r>
      <w:r w:rsidRPr="00E675E6">
        <w:rPr>
          <w:rFonts w:ascii="Arial" w:hAnsi="Arial" w:cs="Arial"/>
          <w:vertAlign w:val="superscript"/>
        </w:rPr>
        <w:t>st</w:t>
      </w:r>
      <w:r w:rsidRPr="00527FA5">
        <w:rPr>
          <w:rFonts w:ascii="Arial" w:hAnsi="Arial" w:cs="Arial"/>
        </w:rPr>
        <w:t xml:space="preserve"> and 2</w:t>
      </w:r>
      <w:r w:rsidRPr="00E675E6">
        <w:rPr>
          <w:rFonts w:ascii="Arial" w:hAnsi="Arial" w:cs="Arial"/>
          <w:vertAlign w:val="superscript"/>
        </w:rPr>
        <w:t>nd</w:t>
      </w:r>
      <w:r w:rsidRPr="00527FA5">
        <w:rPr>
          <w:rFonts w:ascii="Arial" w:hAnsi="Arial" w:cs="Arial"/>
        </w:rPr>
        <w:t xml:space="preserve"> respondent</w:t>
      </w:r>
      <w:r w:rsidRPr="00527FA5">
        <w:rPr>
          <w:rFonts w:ascii="Arial" w:hAnsi="Arial" w:cs="Arial"/>
        </w:rPr>
        <w:tab/>
      </w:r>
      <w:r w:rsidRPr="00527FA5">
        <w:rPr>
          <w:rFonts w:ascii="Arial" w:hAnsi="Arial" w:cs="Arial"/>
        </w:rPr>
        <w:tab/>
        <w:t xml:space="preserve">No appearance </w:t>
      </w:r>
    </w:p>
    <w:p w:rsidR="00C16430" w:rsidRPr="00527FA5" w:rsidRDefault="00C16430" w:rsidP="007B2F11">
      <w:pPr>
        <w:spacing w:line="360" w:lineRule="auto"/>
        <w:jc w:val="both"/>
        <w:rPr>
          <w:rFonts w:ascii="Arial" w:hAnsi="Arial" w:cs="Arial"/>
        </w:rPr>
      </w:pPr>
    </w:p>
    <w:p w:rsidR="00C80D11" w:rsidRPr="00527FA5" w:rsidRDefault="00C80D11" w:rsidP="007B2F11">
      <w:pPr>
        <w:spacing w:line="360" w:lineRule="auto"/>
        <w:jc w:val="both"/>
        <w:rPr>
          <w:rFonts w:ascii="Arial" w:hAnsi="Arial" w:cs="Arial"/>
        </w:rPr>
      </w:pPr>
      <w:r w:rsidRPr="00527FA5">
        <w:rPr>
          <w:rFonts w:ascii="Arial" w:hAnsi="Arial" w:cs="Arial"/>
        </w:rPr>
        <w:t>Date of hearing:</w:t>
      </w:r>
      <w:r w:rsidRPr="00527FA5">
        <w:rPr>
          <w:rFonts w:ascii="Arial" w:hAnsi="Arial" w:cs="Arial"/>
        </w:rPr>
        <w:tab/>
      </w:r>
      <w:r w:rsidRPr="00527FA5">
        <w:rPr>
          <w:rFonts w:ascii="Arial" w:hAnsi="Arial" w:cs="Arial"/>
        </w:rPr>
        <w:tab/>
      </w:r>
      <w:r w:rsidRPr="00527FA5">
        <w:rPr>
          <w:rFonts w:ascii="Arial" w:hAnsi="Arial" w:cs="Arial"/>
        </w:rPr>
        <w:tab/>
      </w:r>
      <w:r w:rsidRPr="00527FA5">
        <w:rPr>
          <w:rFonts w:ascii="Arial" w:hAnsi="Arial" w:cs="Arial"/>
        </w:rPr>
        <w:tab/>
      </w:r>
      <w:r w:rsidRPr="00527FA5">
        <w:rPr>
          <w:rFonts w:ascii="Arial" w:hAnsi="Arial" w:cs="Arial"/>
        </w:rPr>
        <w:tab/>
        <w:t>29 August 2022</w:t>
      </w:r>
    </w:p>
    <w:p w:rsidR="00C80D11" w:rsidRDefault="00C80D11" w:rsidP="007B2F11">
      <w:pPr>
        <w:spacing w:line="360" w:lineRule="auto"/>
        <w:jc w:val="both"/>
        <w:rPr>
          <w:rFonts w:ascii="Arial" w:hAnsi="Arial" w:cs="Arial"/>
        </w:rPr>
      </w:pPr>
      <w:r w:rsidRPr="00527FA5">
        <w:rPr>
          <w:rFonts w:ascii="Arial" w:hAnsi="Arial" w:cs="Arial"/>
        </w:rPr>
        <w:t>Date of Judgment:</w:t>
      </w:r>
      <w:r w:rsidR="00E5679B">
        <w:rPr>
          <w:rFonts w:ascii="Arial" w:hAnsi="Arial" w:cs="Arial"/>
        </w:rPr>
        <w:tab/>
      </w:r>
      <w:r w:rsidR="00E5679B">
        <w:rPr>
          <w:rFonts w:ascii="Arial" w:hAnsi="Arial" w:cs="Arial"/>
        </w:rPr>
        <w:tab/>
      </w:r>
      <w:r w:rsidR="00E5679B">
        <w:rPr>
          <w:rFonts w:ascii="Arial" w:hAnsi="Arial" w:cs="Arial"/>
        </w:rPr>
        <w:tab/>
      </w:r>
      <w:r w:rsidR="00E5679B">
        <w:rPr>
          <w:rFonts w:ascii="Arial" w:hAnsi="Arial" w:cs="Arial"/>
        </w:rPr>
        <w:tab/>
      </w:r>
      <w:r w:rsidR="00E5679B">
        <w:rPr>
          <w:rFonts w:ascii="Arial" w:hAnsi="Arial" w:cs="Arial"/>
        </w:rPr>
        <w:tab/>
        <w:t>20 October 2022</w:t>
      </w:r>
    </w:p>
    <w:p w:rsidR="00106724" w:rsidRPr="00CC0AC0" w:rsidRDefault="00106724" w:rsidP="00106724">
      <w:pPr>
        <w:tabs>
          <w:tab w:val="left" w:pos="709"/>
          <w:tab w:val="left" w:pos="1560"/>
          <w:tab w:val="right" w:pos="8931"/>
        </w:tabs>
        <w:spacing w:after="480" w:line="360" w:lineRule="auto"/>
        <w:jc w:val="both"/>
        <w:rPr>
          <w:rFonts w:ascii="Arial" w:hAnsi="Arial" w:cs="Arial"/>
          <w:i/>
          <w:color w:val="222222"/>
        </w:rPr>
      </w:pPr>
      <w:r w:rsidRPr="00CC0AC0">
        <w:rPr>
          <w:rFonts w:ascii="Arial" w:hAnsi="Arial" w:cs="Arial"/>
          <w:b/>
          <w:i/>
        </w:rPr>
        <w:t>Mode of delivery:</w:t>
      </w:r>
      <w:r w:rsidRPr="00CC0AC0">
        <w:rPr>
          <w:rFonts w:ascii="Arial" w:hAnsi="Arial" w:cs="Arial"/>
          <w:i/>
        </w:rPr>
        <w:t xml:space="preserve"> this judgment was </w:t>
      </w:r>
      <w:r w:rsidRPr="00CC0AC0">
        <w:rPr>
          <w:rFonts w:ascii="Arial" w:hAnsi="Arial" w:cs="Arial"/>
          <w:i/>
          <w:color w:val="222222"/>
        </w:rPr>
        <w:t xml:space="preserve">handed down electronically by circulation to the parties’ legal representatives by email, uploading on Caselines and release to SAFLII. The date and time of delivery is deemed to be 10am. </w:t>
      </w:r>
    </w:p>
    <w:p w:rsidR="00106724" w:rsidRPr="00676646" w:rsidRDefault="00106724" w:rsidP="00106724">
      <w:pPr>
        <w:spacing w:line="480" w:lineRule="auto"/>
        <w:jc w:val="both"/>
        <w:rPr>
          <w:rFonts w:eastAsia="Times New Roman"/>
        </w:rPr>
      </w:pPr>
    </w:p>
    <w:p w:rsidR="00106724" w:rsidRPr="00527FA5" w:rsidRDefault="00106724" w:rsidP="007B2F11">
      <w:pPr>
        <w:spacing w:line="360" w:lineRule="auto"/>
        <w:jc w:val="both"/>
        <w:rPr>
          <w:rFonts w:ascii="Arial" w:hAnsi="Arial" w:cs="Arial"/>
        </w:rPr>
      </w:pPr>
    </w:p>
    <w:sectPr w:rsidR="00106724" w:rsidRPr="00527FA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14" w:rsidRDefault="000F7814" w:rsidP="007B2F11">
      <w:r>
        <w:separator/>
      </w:r>
    </w:p>
  </w:endnote>
  <w:endnote w:type="continuationSeparator" w:id="0">
    <w:p w:rsidR="000F7814" w:rsidRDefault="000F7814" w:rsidP="007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14" w:rsidRDefault="000F7814" w:rsidP="007B2F11">
      <w:r>
        <w:separator/>
      </w:r>
    </w:p>
  </w:footnote>
  <w:footnote w:type="continuationSeparator" w:id="0">
    <w:p w:rsidR="000F7814" w:rsidRDefault="000F7814" w:rsidP="007B2F11">
      <w:r>
        <w:continuationSeparator/>
      </w:r>
    </w:p>
  </w:footnote>
  <w:footnote w:id="1">
    <w:p w:rsidR="00824540" w:rsidRPr="00824540" w:rsidRDefault="00824540">
      <w:pPr>
        <w:pStyle w:val="FootnoteText"/>
        <w:rPr>
          <w:lang w:val="en-GB"/>
        </w:rPr>
      </w:pPr>
      <w:r>
        <w:rPr>
          <w:rStyle w:val="FootnoteReference"/>
        </w:rPr>
        <w:footnoteRef/>
      </w:r>
      <w:r>
        <w:t xml:space="preserve"> </w:t>
      </w:r>
      <w:r w:rsidR="000D5523">
        <w:rPr>
          <w:lang w:val="en-GB"/>
        </w:rPr>
        <w:t xml:space="preserve">Act no 16 of 1963. </w:t>
      </w:r>
    </w:p>
  </w:footnote>
  <w:footnote w:id="2">
    <w:p w:rsidR="007B2F11" w:rsidRPr="007B2F11" w:rsidRDefault="007B2F11" w:rsidP="007B2F11">
      <w:pPr>
        <w:pStyle w:val="FootnoteText"/>
      </w:pPr>
      <w:r>
        <w:rPr>
          <w:rStyle w:val="FootnoteReference"/>
        </w:rPr>
        <w:footnoteRef/>
      </w:r>
      <w:r>
        <w:t xml:space="preserve"> </w:t>
      </w:r>
      <w:r w:rsidRPr="007B2F11">
        <w:t>68 of 1969.</w:t>
      </w:r>
      <w:r>
        <w:t xml:space="preserve"> </w:t>
      </w:r>
    </w:p>
  </w:footnote>
  <w:footnote w:id="3">
    <w:p w:rsidR="005D5A5C" w:rsidRPr="00DC39FB" w:rsidRDefault="005D5A5C" w:rsidP="005D5A5C">
      <w:pPr>
        <w:pStyle w:val="FootnoteText"/>
        <w:rPr>
          <w:lang w:val="en-US"/>
        </w:rPr>
      </w:pPr>
      <w:r>
        <w:rPr>
          <w:rStyle w:val="FootnoteReference"/>
        </w:rPr>
        <w:footnoteRef/>
      </w:r>
      <w:r>
        <w:t xml:space="preserve"> </w:t>
      </w:r>
      <w:r w:rsidRPr="00D142BE">
        <w:rPr>
          <w:i/>
        </w:rPr>
        <w:t>S v Msibi</w:t>
      </w:r>
      <w:r>
        <w:t xml:space="preserve"> 1974 (4) 821 (T)</w:t>
      </w:r>
    </w:p>
  </w:footnote>
  <w:footnote w:id="4">
    <w:p w:rsidR="005D5A5C" w:rsidRPr="006A55F5" w:rsidRDefault="005D5A5C" w:rsidP="005D5A5C">
      <w:pPr>
        <w:pStyle w:val="FootnoteText"/>
        <w:rPr>
          <w:lang w:val="en-US"/>
        </w:rPr>
      </w:pPr>
      <w:r>
        <w:rPr>
          <w:rStyle w:val="FootnoteReference"/>
        </w:rPr>
        <w:footnoteRef/>
      </w:r>
      <w:r>
        <w:t xml:space="preserve"> </w:t>
      </w:r>
      <w:r w:rsidRPr="00D142BE">
        <w:rPr>
          <w:i/>
          <w:lang w:val="en-US"/>
        </w:rPr>
        <w:t>S v Munn</w:t>
      </w:r>
      <w:r>
        <w:rPr>
          <w:lang w:val="en-US"/>
        </w:rPr>
        <w:t xml:space="preserve"> 1973 (3) SA 734 (NC) at para 737 F-H</w:t>
      </w:r>
    </w:p>
  </w:footnote>
  <w:footnote w:id="5">
    <w:p w:rsidR="00304F34" w:rsidRPr="008D787D" w:rsidRDefault="00304F34" w:rsidP="00304F34">
      <w:pPr>
        <w:pStyle w:val="FootnoteText"/>
        <w:rPr>
          <w:lang w:val="en-US"/>
        </w:rPr>
      </w:pPr>
      <w:r>
        <w:rPr>
          <w:rStyle w:val="FootnoteReference"/>
        </w:rPr>
        <w:footnoteRef/>
      </w:r>
      <w:r>
        <w:t xml:space="preserve"> </w:t>
      </w:r>
      <w:r w:rsidRPr="00D142BE">
        <w:rPr>
          <w:i/>
          <w:lang w:val="en-US"/>
        </w:rPr>
        <w:t>Cape Pacific Ltd v Lubner Controlling Investments (Pty) Ltd and Others</w:t>
      </w:r>
      <w:r>
        <w:rPr>
          <w:lang w:val="en-US"/>
        </w:rPr>
        <w:t xml:space="preserve"> 1995 (4) SA 790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D5A5C" w:rsidRDefault="005D5A5C">
        <w:pPr>
          <w:pStyle w:val="Header"/>
          <w:jc w:val="right"/>
        </w:pPr>
        <w:r>
          <w:t xml:space="preserve">Page </w:t>
        </w:r>
        <w:r>
          <w:rPr>
            <w:b/>
            <w:bCs/>
          </w:rPr>
          <w:fldChar w:fldCharType="begin"/>
        </w:r>
        <w:r>
          <w:rPr>
            <w:b/>
            <w:bCs/>
          </w:rPr>
          <w:instrText xml:space="preserve"> PAGE </w:instrText>
        </w:r>
        <w:r>
          <w:rPr>
            <w:b/>
            <w:bCs/>
          </w:rPr>
          <w:fldChar w:fldCharType="separate"/>
        </w:r>
        <w:r w:rsidR="000F78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F7814">
          <w:rPr>
            <w:b/>
            <w:bCs/>
            <w:noProof/>
          </w:rPr>
          <w:t>1</w:t>
        </w:r>
        <w:r>
          <w:rPr>
            <w:b/>
            <w:bCs/>
          </w:rPr>
          <w:fldChar w:fldCharType="end"/>
        </w:r>
      </w:p>
    </w:sdtContent>
  </w:sdt>
  <w:p w:rsidR="005D5A5C" w:rsidRDefault="005D5A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586"/>
    <w:multiLevelType w:val="multilevel"/>
    <w:tmpl w:val="2A3EFD28"/>
    <w:lvl w:ilvl="0">
      <w:start w:val="2"/>
      <w:numFmt w:val="decimal"/>
      <w:lvlText w:val="%1"/>
      <w:lvlJc w:val="left"/>
      <w:pPr>
        <w:ind w:left="360" w:hanging="360"/>
      </w:pPr>
      <w:rPr>
        <w:rFonts w:hint="default"/>
      </w:rPr>
    </w:lvl>
    <w:lvl w:ilvl="1">
      <w:start w:val="1"/>
      <w:numFmt w:val="decimal"/>
      <w:lvlText w:val="%2."/>
      <w:lvlJc w:val="left"/>
      <w:pPr>
        <w:ind w:left="121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C4D4B"/>
    <w:multiLevelType w:val="hybridMultilevel"/>
    <w:tmpl w:val="3FF4DA0A"/>
    <w:lvl w:ilvl="0" w:tplc="29783F7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368FA"/>
    <w:multiLevelType w:val="multilevel"/>
    <w:tmpl w:val="0DAE3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F65374"/>
    <w:multiLevelType w:val="multilevel"/>
    <w:tmpl w:val="9E36F6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52EE6"/>
    <w:multiLevelType w:val="multilevel"/>
    <w:tmpl w:val="D9E81EA4"/>
    <w:lvl w:ilvl="0">
      <w:start w:val="20"/>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AD798D"/>
    <w:multiLevelType w:val="multilevel"/>
    <w:tmpl w:val="C2967EAE"/>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E07013"/>
    <w:multiLevelType w:val="hybridMultilevel"/>
    <w:tmpl w:val="8E06236A"/>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98753FA"/>
    <w:multiLevelType w:val="multilevel"/>
    <w:tmpl w:val="E4CAA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D407C"/>
    <w:multiLevelType w:val="multilevel"/>
    <w:tmpl w:val="510ED6B8"/>
    <w:lvl w:ilvl="0">
      <w:start w:val="1"/>
      <w:numFmt w:val="decimal"/>
      <w:lvlText w:val="%1."/>
      <w:lvlJc w:val="left"/>
      <w:pPr>
        <w:ind w:left="360" w:hanging="360"/>
      </w:pPr>
      <w:rPr>
        <w:rFonts w:hint="default"/>
        <w:b w:val="0"/>
        <w:bCs w:val="0"/>
        <w:i w:val="0"/>
        <w:iCs w:val="0"/>
        <w:color w:val="000000" w:themeColor="text1"/>
      </w:rPr>
    </w:lvl>
    <w:lvl w:ilvl="1">
      <w:start w:val="1"/>
      <w:numFmt w:val="lowerLetter"/>
      <w:lvlText w:val="%2."/>
      <w:lvlJc w:val="left"/>
      <w:pPr>
        <w:ind w:left="1282" w:hanging="432"/>
      </w:pPr>
      <w:rPr>
        <w:rFonts w:ascii="Arial" w:eastAsiaTheme="minorHAnsi" w:hAnsi="Arial" w:cs="Arial"/>
        <w:b w:val="0"/>
        <w:bCs w:val="0"/>
        <w:i w:val="0"/>
        <w:iCs w:val="0"/>
        <w:color w:val="000000" w:themeColor="text1"/>
      </w:rPr>
    </w:lvl>
    <w:lvl w:ilvl="2">
      <w:start w:val="1"/>
      <w:numFmt w:val="decimal"/>
      <w:lvlText w:val="%1.%2.%3."/>
      <w:lvlJc w:val="left"/>
      <w:pPr>
        <w:ind w:left="1921" w:hanging="504"/>
      </w:pPr>
      <w:rPr>
        <w:b w:val="0"/>
        <w:bCs w:val="0"/>
        <w:i w:val="0"/>
        <w:iCs w:val="0"/>
      </w:rPr>
    </w:lvl>
    <w:lvl w:ilvl="3">
      <w:start w:val="1"/>
      <w:numFmt w:val="decimal"/>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0" w15:restartNumberingAfterBreak="0">
    <w:nsid w:val="6D260EB1"/>
    <w:multiLevelType w:val="multilevel"/>
    <w:tmpl w:val="A57CF27E"/>
    <w:lvl w:ilvl="0">
      <w:start w:val="1"/>
      <w:numFmt w:val="bullet"/>
      <w:lvlText w:val=""/>
      <w:lvlJc w:val="left"/>
      <w:pPr>
        <w:tabs>
          <w:tab w:val="num" w:pos="1571"/>
        </w:tabs>
        <w:ind w:left="1571" w:hanging="360"/>
      </w:pPr>
      <w:rPr>
        <w:rFonts w:ascii="Symbol" w:hAnsi="Symbol" w:hint="default"/>
        <w:sz w:val="20"/>
      </w:rPr>
    </w:lvl>
    <w:lvl w:ilvl="1">
      <w:start w:val="1"/>
      <w:numFmt w:val="upperRoman"/>
      <w:lvlText w:val="%2."/>
      <w:lvlJc w:val="left"/>
      <w:pPr>
        <w:ind w:left="1712" w:hanging="720"/>
      </w:pPr>
      <w:rPr>
        <w:rFonts w:ascii="Arial" w:hAnsi="Arial" w:cs="Arial" w:hint="default"/>
      </w:rPr>
    </w:lvl>
    <w:lvl w:ilvl="2">
      <w:start w:val="78"/>
      <w:numFmt w:val="decimal"/>
      <w:lvlText w:val="%3"/>
      <w:lvlJc w:val="left"/>
      <w:pPr>
        <w:ind w:left="3011" w:hanging="360"/>
      </w:pPr>
      <w:rPr>
        <w:rFonts w:eastAsiaTheme="minorHAnsi" w:hint="default"/>
        <w:color w:val="33383D"/>
      </w:rPr>
    </w:lvl>
    <w:lvl w:ilvl="3" w:tentative="1">
      <w:start w:val="1"/>
      <w:numFmt w:val="bullet"/>
      <w:lvlText w:val=""/>
      <w:lvlJc w:val="left"/>
      <w:pPr>
        <w:tabs>
          <w:tab w:val="num" w:pos="3731"/>
        </w:tabs>
        <w:ind w:left="3731" w:hanging="360"/>
      </w:pPr>
      <w:rPr>
        <w:rFonts w:ascii="Wingdings" w:hAnsi="Wingdings" w:hint="default"/>
        <w:sz w:val="20"/>
      </w:rPr>
    </w:lvl>
    <w:lvl w:ilvl="4" w:tentative="1">
      <w:start w:val="1"/>
      <w:numFmt w:val="bullet"/>
      <w:lvlText w:val=""/>
      <w:lvlJc w:val="left"/>
      <w:pPr>
        <w:tabs>
          <w:tab w:val="num" w:pos="4451"/>
        </w:tabs>
        <w:ind w:left="4451" w:hanging="360"/>
      </w:pPr>
      <w:rPr>
        <w:rFonts w:ascii="Wingdings" w:hAnsi="Wingdings" w:hint="default"/>
        <w:sz w:val="20"/>
      </w:rPr>
    </w:lvl>
    <w:lvl w:ilvl="5" w:tentative="1">
      <w:start w:val="1"/>
      <w:numFmt w:val="bullet"/>
      <w:lvlText w:val=""/>
      <w:lvlJc w:val="left"/>
      <w:pPr>
        <w:tabs>
          <w:tab w:val="num" w:pos="5171"/>
        </w:tabs>
        <w:ind w:left="5171" w:hanging="360"/>
      </w:pPr>
      <w:rPr>
        <w:rFonts w:ascii="Wingdings" w:hAnsi="Wingdings" w:hint="default"/>
        <w:sz w:val="20"/>
      </w:rPr>
    </w:lvl>
    <w:lvl w:ilvl="6" w:tentative="1">
      <w:start w:val="1"/>
      <w:numFmt w:val="bullet"/>
      <w:lvlText w:val=""/>
      <w:lvlJc w:val="left"/>
      <w:pPr>
        <w:tabs>
          <w:tab w:val="num" w:pos="5891"/>
        </w:tabs>
        <w:ind w:left="5891" w:hanging="360"/>
      </w:pPr>
      <w:rPr>
        <w:rFonts w:ascii="Wingdings" w:hAnsi="Wingdings" w:hint="default"/>
        <w:sz w:val="20"/>
      </w:rPr>
    </w:lvl>
    <w:lvl w:ilvl="7" w:tentative="1">
      <w:start w:val="1"/>
      <w:numFmt w:val="bullet"/>
      <w:lvlText w:val=""/>
      <w:lvlJc w:val="left"/>
      <w:pPr>
        <w:tabs>
          <w:tab w:val="num" w:pos="6611"/>
        </w:tabs>
        <w:ind w:left="6611" w:hanging="360"/>
      </w:pPr>
      <w:rPr>
        <w:rFonts w:ascii="Wingdings" w:hAnsi="Wingdings" w:hint="default"/>
        <w:sz w:val="20"/>
      </w:rPr>
    </w:lvl>
    <w:lvl w:ilvl="8" w:tentative="1">
      <w:start w:val="1"/>
      <w:numFmt w:val="bullet"/>
      <w:lvlText w:val=""/>
      <w:lvlJc w:val="left"/>
      <w:pPr>
        <w:tabs>
          <w:tab w:val="num" w:pos="7331"/>
        </w:tabs>
        <w:ind w:left="7331" w:hanging="360"/>
      </w:pPr>
      <w:rPr>
        <w:rFonts w:ascii="Wingdings" w:hAnsi="Wingdings" w:hint="default"/>
        <w:sz w:val="20"/>
      </w:rPr>
    </w:lvl>
  </w:abstractNum>
  <w:num w:numId="1">
    <w:abstractNumId w:val="7"/>
  </w:num>
  <w:num w:numId="2">
    <w:abstractNumId w:val="3"/>
  </w:num>
  <w:num w:numId="3">
    <w:abstractNumId w:val="2"/>
  </w:num>
  <w:num w:numId="4">
    <w:abstractNumId w:val="8"/>
  </w:num>
  <w:num w:numId="5">
    <w:abstractNumId w:val="4"/>
  </w:num>
  <w:num w:numId="6">
    <w:abstractNumId w:val="10"/>
  </w:num>
  <w:num w:numId="7">
    <w:abstractNumId w:val="0"/>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1"/>
    <w:rsid w:val="00073F8D"/>
    <w:rsid w:val="000747AC"/>
    <w:rsid w:val="000D5523"/>
    <w:rsid w:val="000F7814"/>
    <w:rsid w:val="00101685"/>
    <w:rsid w:val="00106724"/>
    <w:rsid w:val="00137EA2"/>
    <w:rsid w:val="001435DD"/>
    <w:rsid w:val="001944F7"/>
    <w:rsid w:val="00304F34"/>
    <w:rsid w:val="00370E89"/>
    <w:rsid w:val="00390467"/>
    <w:rsid w:val="003A1093"/>
    <w:rsid w:val="003A17C9"/>
    <w:rsid w:val="004138CC"/>
    <w:rsid w:val="004D36F2"/>
    <w:rsid w:val="00502855"/>
    <w:rsid w:val="00505E82"/>
    <w:rsid w:val="00527FA5"/>
    <w:rsid w:val="005D5A5C"/>
    <w:rsid w:val="006024F5"/>
    <w:rsid w:val="00607877"/>
    <w:rsid w:val="00632964"/>
    <w:rsid w:val="006A432E"/>
    <w:rsid w:val="006B323B"/>
    <w:rsid w:val="006C4729"/>
    <w:rsid w:val="006E0054"/>
    <w:rsid w:val="006F1B2D"/>
    <w:rsid w:val="006F5EB1"/>
    <w:rsid w:val="00723F52"/>
    <w:rsid w:val="007B2F11"/>
    <w:rsid w:val="00824540"/>
    <w:rsid w:val="00855C60"/>
    <w:rsid w:val="00874A3D"/>
    <w:rsid w:val="00AA6D13"/>
    <w:rsid w:val="00AF7459"/>
    <w:rsid w:val="00B82787"/>
    <w:rsid w:val="00B93E61"/>
    <w:rsid w:val="00BA0449"/>
    <w:rsid w:val="00BA31EC"/>
    <w:rsid w:val="00C16430"/>
    <w:rsid w:val="00C80D11"/>
    <w:rsid w:val="00CD72F3"/>
    <w:rsid w:val="00D142BE"/>
    <w:rsid w:val="00D63E24"/>
    <w:rsid w:val="00D84901"/>
    <w:rsid w:val="00DD3F64"/>
    <w:rsid w:val="00E5679B"/>
    <w:rsid w:val="00E6122D"/>
    <w:rsid w:val="00E675E6"/>
    <w:rsid w:val="00F837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94E"/>
  <w15:chartTrackingRefBased/>
  <w15:docId w15:val="{0754D1CF-6263-4E52-92BB-93920E41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1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2F11"/>
    <w:pPr>
      <w:spacing w:before="100" w:beforeAutospacing="1" w:after="100" w:afterAutospacing="1"/>
    </w:pPr>
  </w:style>
  <w:style w:type="paragraph" w:customStyle="1" w:styleId="p2">
    <w:name w:val="p2"/>
    <w:basedOn w:val="Normal"/>
    <w:rsid w:val="007B2F11"/>
    <w:pPr>
      <w:spacing w:before="100" w:beforeAutospacing="1" w:after="100" w:afterAutospacing="1"/>
    </w:pPr>
  </w:style>
  <w:style w:type="paragraph" w:customStyle="1" w:styleId="p3">
    <w:name w:val="p3"/>
    <w:basedOn w:val="Normal"/>
    <w:rsid w:val="007B2F11"/>
    <w:pPr>
      <w:spacing w:before="100" w:beforeAutospacing="1" w:after="100" w:afterAutospacing="1"/>
    </w:pPr>
  </w:style>
  <w:style w:type="paragraph" w:customStyle="1" w:styleId="p4">
    <w:name w:val="p4"/>
    <w:basedOn w:val="Normal"/>
    <w:rsid w:val="007B2F11"/>
    <w:pPr>
      <w:spacing w:before="100" w:beforeAutospacing="1" w:after="100" w:afterAutospacing="1"/>
    </w:pPr>
  </w:style>
  <w:style w:type="character" w:customStyle="1" w:styleId="s1">
    <w:name w:val="s1"/>
    <w:basedOn w:val="DefaultParagraphFont"/>
    <w:rsid w:val="007B2F11"/>
  </w:style>
  <w:style w:type="character" w:customStyle="1" w:styleId="s2">
    <w:name w:val="s2"/>
    <w:basedOn w:val="DefaultParagraphFont"/>
    <w:rsid w:val="007B2F11"/>
  </w:style>
  <w:style w:type="character" w:customStyle="1" w:styleId="s4">
    <w:name w:val="s4"/>
    <w:basedOn w:val="DefaultParagraphFont"/>
    <w:rsid w:val="007B2F11"/>
  </w:style>
  <w:style w:type="paragraph" w:styleId="FootnoteText">
    <w:name w:val="footnote text"/>
    <w:basedOn w:val="Normal"/>
    <w:link w:val="FootnoteTextChar"/>
    <w:uiPriority w:val="99"/>
    <w:unhideWhenUsed/>
    <w:rsid w:val="007B2F11"/>
    <w:rPr>
      <w:sz w:val="20"/>
      <w:szCs w:val="20"/>
    </w:rPr>
  </w:style>
  <w:style w:type="character" w:customStyle="1" w:styleId="FootnoteTextChar">
    <w:name w:val="Footnote Text Char"/>
    <w:basedOn w:val="DefaultParagraphFont"/>
    <w:link w:val="FootnoteText"/>
    <w:uiPriority w:val="99"/>
    <w:rsid w:val="007B2F11"/>
    <w:rPr>
      <w:rFonts w:ascii="Times New Roman" w:hAnsi="Times New Roman" w:cs="Times New Roman"/>
      <w:sz w:val="20"/>
      <w:szCs w:val="20"/>
      <w:lang w:eastAsia="en-ZA"/>
    </w:rPr>
  </w:style>
  <w:style w:type="character" w:styleId="FootnoteReference">
    <w:name w:val="footnote reference"/>
    <w:basedOn w:val="DefaultParagraphFont"/>
    <w:uiPriority w:val="99"/>
    <w:unhideWhenUsed/>
    <w:rsid w:val="007B2F11"/>
    <w:rPr>
      <w:vertAlign w:val="superscript"/>
    </w:rPr>
  </w:style>
  <w:style w:type="paragraph" w:styleId="BalloonText">
    <w:name w:val="Balloon Text"/>
    <w:basedOn w:val="Normal"/>
    <w:link w:val="BalloonTextChar"/>
    <w:rsid w:val="00AA6D13"/>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A6D13"/>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AA6D13"/>
    <w:pPr>
      <w:ind w:left="720"/>
      <w:contextualSpacing/>
    </w:pPr>
  </w:style>
  <w:style w:type="character" w:customStyle="1" w:styleId="ListParagraphChar">
    <w:name w:val="List Paragraph Char"/>
    <w:link w:val="ListParagraph"/>
    <w:uiPriority w:val="34"/>
    <w:locked/>
    <w:rsid w:val="00824540"/>
    <w:rPr>
      <w:rFonts w:ascii="Times New Roman" w:hAnsi="Times New Roman" w:cs="Times New Roman"/>
      <w:sz w:val="24"/>
      <w:szCs w:val="24"/>
      <w:lang w:eastAsia="en-ZA"/>
    </w:rPr>
  </w:style>
  <w:style w:type="paragraph" w:styleId="Header">
    <w:name w:val="header"/>
    <w:basedOn w:val="Normal"/>
    <w:link w:val="HeaderChar"/>
    <w:uiPriority w:val="99"/>
    <w:unhideWhenUsed/>
    <w:rsid w:val="005D5A5C"/>
    <w:pPr>
      <w:tabs>
        <w:tab w:val="center" w:pos="4513"/>
        <w:tab w:val="right" w:pos="9026"/>
      </w:tabs>
    </w:pPr>
  </w:style>
  <w:style w:type="character" w:customStyle="1" w:styleId="HeaderChar">
    <w:name w:val="Header Char"/>
    <w:basedOn w:val="DefaultParagraphFont"/>
    <w:link w:val="Header"/>
    <w:uiPriority w:val="99"/>
    <w:rsid w:val="005D5A5C"/>
    <w:rPr>
      <w:rFonts w:ascii="Times New Roman" w:hAnsi="Times New Roman" w:cs="Times New Roman"/>
      <w:sz w:val="24"/>
      <w:szCs w:val="24"/>
      <w:lang w:eastAsia="en-ZA"/>
    </w:rPr>
  </w:style>
  <w:style w:type="paragraph" w:styleId="Footer">
    <w:name w:val="footer"/>
    <w:basedOn w:val="Normal"/>
    <w:link w:val="FooterChar"/>
    <w:uiPriority w:val="99"/>
    <w:unhideWhenUsed/>
    <w:rsid w:val="005D5A5C"/>
    <w:pPr>
      <w:tabs>
        <w:tab w:val="center" w:pos="4513"/>
        <w:tab w:val="right" w:pos="9026"/>
      </w:tabs>
    </w:pPr>
  </w:style>
  <w:style w:type="character" w:customStyle="1" w:styleId="FooterChar">
    <w:name w:val="Footer Char"/>
    <w:basedOn w:val="DefaultParagraphFont"/>
    <w:link w:val="Footer"/>
    <w:uiPriority w:val="99"/>
    <w:rsid w:val="005D5A5C"/>
    <w:rPr>
      <w:rFonts w:ascii="Times New Roman" w:hAnsi="Times New Roman" w:cs="Times New Roman"/>
      <w:sz w:val="24"/>
      <w:szCs w:val="24"/>
      <w:lang w:eastAsia="en-ZA"/>
    </w:rPr>
  </w:style>
  <w:style w:type="table" w:styleId="TableGrid">
    <w:name w:val="Table Grid"/>
    <w:basedOn w:val="TableNormal"/>
    <w:uiPriority w:val="39"/>
    <w:qFormat/>
    <w:rsid w:val="0060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C16430"/>
    <w:pPr>
      <w:widowControl w:val="0"/>
      <w:numPr>
        <w:numId w:val="11"/>
      </w:numPr>
      <w:tabs>
        <w:tab w:val="clear" w:pos="850"/>
      </w:tabs>
      <w:spacing w:after="480" w:line="480" w:lineRule="auto"/>
      <w:jc w:val="both"/>
    </w:pPr>
    <w:rPr>
      <w:rFonts w:ascii="Arial" w:eastAsia="Times New Roman" w:hAnsi="Arial"/>
      <w:kern w:val="25"/>
      <w:sz w:val="2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8644">
      <w:bodyDiv w:val="1"/>
      <w:marLeft w:val="0"/>
      <w:marRight w:val="0"/>
      <w:marTop w:val="0"/>
      <w:marBottom w:val="0"/>
      <w:divBdr>
        <w:top w:val="none" w:sz="0" w:space="0" w:color="auto"/>
        <w:left w:val="none" w:sz="0" w:space="0" w:color="auto"/>
        <w:bottom w:val="none" w:sz="0" w:space="0" w:color="auto"/>
        <w:right w:val="none" w:sz="0" w:space="0" w:color="auto"/>
      </w:divBdr>
    </w:div>
    <w:div w:id="17315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rebus.org.za/wp-content/uploads/2022/03/Department-of-Agriculture-Forestry-and-Fisheries-and-Another-v-B-Xulu-and-Partners-Incorporated-and-oth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D0F6-5F1B-4485-B31F-0B06C5D5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Judge-Lebogang Modiba</cp:lastModifiedBy>
  <cp:revision>2</cp:revision>
  <cp:lastPrinted>2022-10-20T07:37:00Z</cp:lastPrinted>
  <dcterms:created xsi:type="dcterms:W3CDTF">2022-10-20T07:38:00Z</dcterms:created>
  <dcterms:modified xsi:type="dcterms:W3CDTF">2022-10-20T07:38:00Z</dcterms:modified>
</cp:coreProperties>
</file>