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AC5" w:rsidRPr="00933FD1" w:rsidRDefault="00627AC5" w:rsidP="00627AC5">
      <w:pPr>
        <w:jc w:val="center"/>
        <w:rPr>
          <w:rFonts w:ascii="Arial" w:hAnsi="Arial" w:cs="Arial"/>
          <w:sz w:val="24"/>
          <w:szCs w:val="24"/>
        </w:rPr>
      </w:pPr>
      <w:r w:rsidRPr="00933FD1">
        <w:rPr>
          <w:rFonts w:ascii="Arial" w:hAnsi="Arial" w:cs="Arial"/>
          <w:noProof/>
          <w:sz w:val="24"/>
          <w:szCs w:val="24"/>
          <w:lang w:eastAsia="en-ZA"/>
        </w:rPr>
        <w:drawing>
          <wp:inline distT="0" distB="0" distL="0" distR="0" wp14:anchorId="65EBF872" wp14:editId="28A71A10">
            <wp:extent cx="2157572" cy="17979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19_BS_Special Tribunal_Revised logo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0583" cy="1792153"/>
                    </a:xfrm>
                    <a:prstGeom prst="rect">
                      <a:avLst/>
                    </a:prstGeom>
                  </pic:spPr>
                </pic:pic>
              </a:graphicData>
            </a:graphic>
          </wp:inline>
        </w:drawing>
      </w:r>
    </w:p>
    <w:p w:rsidR="00627AC5" w:rsidRPr="00933FD1" w:rsidRDefault="00627AC5" w:rsidP="00627AC5">
      <w:pPr>
        <w:spacing w:after="0" w:line="240" w:lineRule="auto"/>
        <w:jc w:val="center"/>
        <w:rPr>
          <w:rFonts w:ascii="Arial" w:hAnsi="Arial" w:cs="Arial"/>
          <w:b/>
          <w:sz w:val="24"/>
          <w:szCs w:val="24"/>
        </w:rPr>
      </w:pPr>
      <w:r w:rsidRPr="00933FD1">
        <w:rPr>
          <w:rFonts w:ascii="Arial" w:hAnsi="Arial" w:cs="Arial"/>
          <w:b/>
          <w:sz w:val="24"/>
          <w:szCs w:val="24"/>
        </w:rPr>
        <w:t xml:space="preserve">IN THE SPECIAL TRIBUNAL ESTABLISHED IN TERMS OF SECTION 2 (1) OF THE SPECIAL INVESTIGATIONS UNIT AND </w:t>
      </w:r>
    </w:p>
    <w:p w:rsidR="00627AC5" w:rsidRPr="00933FD1" w:rsidRDefault="00627AC5" w:rsidP="00627AC5">
      <w:pPr>
        <w:spacing w:after="0" w:line="240" w:lineRule="auto"/>
        <w:jc w:val="center"/>
        <w:rPr>
          <w:rFonts w:ascii="Arial" w:hAnsi="Arial" w:cs="Arial"/>
          <w:b/>
          <w:sz w:val="24"/>
          <w:szCs w:val="24"/>
        </w:rPr>
      </w:pPr>
      <w:r>
        <w:rPr>
          <w:rFonts w:ascii="Arial" w:hAnsi="Arial" w:cs="Arial"/>
          <w:b/>
          <w:sz w:val="24"/>
          <w:szCs w:val="24"/>
        </w:rPr>
        <w:t>SPECIAL TRIBUNALS ACT 74 OF 1996</w:t>
      </w:r>
    </w:p>
    <w:p w:rsidR="00627AC5" w:rsidRPr="00933FD1" w:rsidRDefault="00627AC5" w:rsidP="00627AC5">
      <w:pPr>
        <w:spacing w:after="0" w:line="240" w:lineRule="auto"/>
        <w:jc w:val="center"/>
        <w:rPr>
          <w:rFonts w:ascii="Arial" w:hAnsi="Arial" w:cs="Arial"/>
          <w:b/>
          <w:sz w:val="24"/>
          <w:szCs w:val="24"/>
        </w:rPr>
      </w:pPr>
    </w:p>
    <w:p w:rsidR="00627AC5" w:rsidRPr="00933FD1" w:rsidRDefault="00627AC5" w:rsidP="00627AC5">
      <w:pPr>
        <w:spacing w:line="360" w:lineRule="auto"/>
        <w:jc w:val="center"/>
        <w:rPr>
          <w:rFonts w:ascii="Arial" w:hAnsi="Arial" w:cs="Arial"/>
          <w:b/>
          <w:sz w:val="24"/>
          <w:szCs w:val="24"/>
        </w:rPr>
      </w:pPr>
      <w:r w:rsidRPr="00933FD1">
        <w:rPr>
          <w:rFonts w:ascii="Arial" w:hAnsi="Arial" w:cs="Arial"/>
          <w:b/>
          <w:sz w:val="24"/>
          <w:szCs w:val="24"/>
        </w:rPr>
        <w:t>(REPUBLIC OF SOUTH AFRICA)</w:t>
      </w:r>
    </w:p>
    <w:p w:rsidR="00627AC5" w:rsidRPr="00933FD1" w:rsidRDefault="00627AC5" w:rsidP="00627AC5">
      <w:pPr>
        <w:spacing w:after="254"/>
        <w:ind w:right="53"/>
        <w:rPr>
          <w:rFonts w:ascii="Arial" w:hAnsi="Arial" w:cs="Arial"/>
          <w:sz w:val="24"/>
          <w:szCs w:val="24"/>
        </w:rPr>
      </w:pPr>
      <w:r w:rsidRPr="00933FD1">
        <w:rPr>
          <w:rFonts w:ascii="Arial" w:hAnsi="Arial" w:cs="Arial"/>
          <w:b/>
          <w:sz w:val="24"/>
          <w:szCs w:val="24"/>
        </w:rPr>
        <w:t xml:space="preserve"> </w:t>
      </w:r>
    </w:p>
    <w:p w:rsidR="00627AC5" w:rsidRPr="00933FD1" w:rsidRDefault="00627AC5" w:rsidP="00627AC5">
      <w:pPr>
        <w:spacing w:after="254"/>
        <w:ind w:right="53"/>
        <w:jc w:val="right"/>
        <w:rPr>
          <w:rFonts w:ascii="Arial" w:hAnsi="Arial" w:cs="Arial"/>
          <w:sz w:val="24"/>
          <w:szCs w:val="24"/>
        </w:rPr>
      </w:pPr>
      <w:r>
        <w:rPr>
          <w:rFonts w:ascii="Arial" w:hAnsi="Arial" w:cs="Arial"/>
          <w:b/>
          <w:sz w:val="24"/>
          <w:szCs w:val="24"/>
        </w:rPr>
        <w:t>CASE NUMBER: EC06</w:t>
      </w:r>
      <w:r w:rsidRPr="00933FD1">
        <w:rPr>
          <w:rFonts w:ascii="Arial" w:hAnsi="Arial" w:cs="Arial"/>
          <w:b/>
          <w:sz w:val="24"/>
          <w:szCs w:val="24"/>
        </w:rPr>
        <w:t xml:space="preserve">/2020 </w:t>
      </w:r>
    </w:p>
    <w:p w:rsidR="00627AC5" w:rsidRPr="001F17E6" w:rsidRDefault="00627AC5" w:rsidP="00627AC5">
      <w:pPr>
        <w:snapToGrid w:val="0"/>
        <w:spacing w:before="360" w:after="360" w:line="480" w:lineRule="auto"/>
        <w:rPr>
          <w:rFonts w:ascii="Arial" w:hAnsi="Arial" w:cs="Arial"/>
          <w:sz w:val="24"/>
          <w:szCs w:val="24"/>
        </w:rPr>
      </w:pPr>
      <w:r w:rsidRPr="001F17E6">
        <w:rPr>
          <w:rFonts w:ascii="Arial" w:hAnsi="Arial" w:cs="Arial"/>
          <w:sz w:val="24"/>
          <w:szCs w:val="24"/>
        </w:rPr>
        <w:t>In the matter between:</w:t>
      </w:r>
    </w:p>
    <w:p w:rsidR="00627AC5" w:rsidRPr="00D46126" w:rsidRDefault="00627AC5" w:rsidP="00627AC5">
      <w:pPr>
        <w:spacing w:line="360" w:lineRule="auto"/>
        <w:rPr>
          <w:rFonts w:ascii="Arial" w:hAnsi="Arial" w:cs="Arial"/>
          <w:bCs/>
          <w:sz w:val="24"/>
          <w:szCs w:val="24"/>
        </w:rPr>
      </w:pPr>
      <w:r w:rsidRPr="001F17E6">
        <w:rPr>
          <w:rFonts w:ascii="Arial" w:hAnsi="Arial" w:cs="Arial"/>
          <w:b/>
          <w:sz w:val="24"/>
          <w:szCs w:val="24"/>
        </w:rPr>
        <w:t xml:space="preserve">THE SPECIAL INVESTIGATING UNIT </w:t>
      </w:r>
      <w:r w:rsidRPr="001F17E6">
        <w:rPr>
          <w:rFonts w:ascii="Arial" w:hAnsi="Arial" w:cs="Arial"/>
          <w:bCs/>
          <w:sz w:val="24"/>
          <w:szCs w:val="24"/>
        </w:rPr>
        <w:t xml:space="preserve">                       Applicant </w:t>
      </w:r>
    </w:p>
    <w:p w:rsidR="00627AC5" w:rsidRPr="001F17E6" w:rsidRDefault="00627AC5" w:rsidP="00627AC5">
      <w:pPr>
        <w:spacing w:line="360" w:lineRule="auto"/>
        <w:rPr>
          <w:rFonts w:ascii="Arial" w:hAnsi="Arial" w:cs="Arial"/>
          <w:sz w:val="24"/>
          <w:szCs w:val="24"/>
        </w:rPr>
      </w:pPr>
      <w:r w:rsidRPr="001F17E6">
        <w:rPr>
          <w:rFonts w:ascii="Arial" w:hAnsi="Arial" w:cs="Arial"/>
          <w:sz w:val="24"/>
          <w:szCs w:val="24"/>
        </w:rPr>
        <w:t>and</w:t>
      </w:r>
    </w:p>
    <w:p w:rsidR="00627AC5" w:rsidRPr="001F17E6" w:rsidRDefault="00627AC5" w:rsidP="00627AC5">
      <w:pPr>
        <w:spacing w:line="360" w:lineRule="auto"/>
        <w:rPr>
          <w:rFonts w:ascii="Arial" w:hAnsi="Arial" w:cs="Arial"/>
          <w:b/>
          <w:sz w:val="24"/>
          <w:szCs w:val="24"/>
        </w:rPr>
      </w:pPr>
      <w:r w:rsidRPr="001F17E6">
        <w:rPr>
          <w:rFonts w:ascii="Arial" w:hAnsi="Arial" w:cs="Arial"/>
          <w:b/>
          <w:sz w:val="24"/>
          <w:szCs w:val="24"/>
        </w:rPr>
        <w:t xml:space="preserve">PHATHILIZWI TRAINING INSTITUTE                         </w:t>
      </w:r>
      <w:r w:rsidRPr="001F17E6">
        <w:rPr>
          <w:rFonts w:ascii="Arial" w:hAnsi="Arial" w:cs="Arial"/>
          <w:bCs/>
          <w:sz w:val="24"/>
          <w:szCs w:val="24"/>
        </w:rPr>
        <w:t>First Respondent</w:t>
      </w:r>
    </w:p>
    <w:p w:rsidR="00627AC5" w:rsidRPr="001F17E6" w:rsidRDefault="00627AC5" w:rsidP="00627AC5">
      <w:pPr>
        <w:spacing w:line="360" w:lineRule="auto"/>
        <w:rPr>
          <w:rFonts w:ascii="Arial" w:hAnsi="Arial" w:cs="Arial"/>
          <w:sz w:val="24"/>
          <w:szCs w:val="24"/>
        </w:rPr>
      </w:pPr>
      <w:r w:rsidRPr="001F17E6">
        <w:rPr>
          <w:rFonts w:ascii="Arial" w:hAnsi="Arial" w:cs="Arial"/>
          <w:sz w:val="24"/>
          <w:szCs w:val="24"/>
        </w:rPr>
        <w:t>(</w:t>
      </w:r>
      <w:r w:rsidRPr="001F17E6">
        <w:rPr>
          <w:rFonts w:ascii="Arial" w:hAnsi="Arial" w:cs="Arial"/>
          <w:i/>
          <w:iCs/>
          <w:sz w:val="24"/>
          <w:szCs w:val="24"/>
        </w:rPr>
        <w:t>Registration NO: 2017/096970/07</w:t>
      </w:r>
      <w:r w:rsidRPr="001F17E6">
        <w:rPr>
          <w:rFonts w:ascii="Arial" w:hAnsi="Arial" w:cs="Arial"/>
          <w:sz w:val="24"/>
          <w:szCs w:val="24"/>
        </w:rPr>
        <w:t xml:space="preserve">) </w:t>
      </w:r>
    </w:p>
    <w:p w:rsidR="00627AC5" w:rsidRPr="001F17E6" w:rsidRDefault="00627AC5" w:rsidP="00627AC5">
      <w:pPr>
        <w:spacing w:line="360" w:lineRule="auto"/>
        <w:rPr>
          <w:rFonts w:ascii="Arial" w:hAnsi="Arial" w:cs="Arial"/>
          <w:bCs/>
          <w:sz w:val="24"/>
          <w:szCs w:val="24"/>
        </w:rPr>
      </w:pPr>
      <w:r w:rsidRPr="001F17E6">
        <w:rPr>
          <w:rFonts w:ascii="Arial" w:hAnsi="Arial" w:cs="Arial"/>
          <w:b/>
          <w:sz w:val="24"/>
          <w:szCs w:val="24"/>
        </w:rPr>
        <w:t>O.R</w:t>
      </w:r>
      <w:r w:rsidR="00F50659">
        <w:rPr>
          <w:rFonts w:ascii="Arial" w:hAnsi="Arial" w:cs="Arial"/>
          <w:b/>
          <w:sz w:val="24"/>
          <w:szCs w:val="24"/>
        </w:rPr>
        <w:t>.</w:t>
      </w:r>
      <w:r w:rsidRPr="001F17E6">
        <w:rPr>
          <w:rFonts w:ascii="Arial" w:hAnsi="Arial" w:cs="Arial"/>
          <w:b/>
          <w:sz w:val="24"/>
          <w:szCs w:val="24"/>
        </w:rPr>
        <w:t xml:space="preserve"> TAMBO DISTRICT </w:t>
      </w:r>
      <w:r w:rsidR="00003BBB">
        <w:rPr>
          <w:rFonts w:ascii="Arial" w:hAnsi="Arial" w:cs="Arial"/>
          <w:b/>
          <w:sz w:val="24"/>
          <w:szCs w:val="24"/>
        </w:rPr>
        <w:t>MUNICIPALITY</w:t>
      </w:r>
      <w:r w:rsidRPr="001F17E6">
        <w:rPr>
          <w:rFonts w:ascii="Arial" w:hAnsi="Arial" w:cs="Arial"/>
          <w:b/>
          <w:sz w:val="24"/>
          <w:szCs w:val="24"/>
        </w:rPr>
        <w:t xml:space="preserve">                    </w:t>
      </w:r>
      <w:r w:rsidRPr="001F17E6">
        <w:rPr>
          <w:rFonts w:ascii="Arial" w:hAnsi="Arial" w:cs="Arial"/>
          <w:bCs/>
          <w:sz w:val="24"/>
          <w:szCs w:val="24"/>
        </w:rPr>
        <w:t>Second Respondent</w:t>
      </w:r>
    </w:p>
    <w:p w:rsidR="00627AC5" w:rsidRDefault="00627AC5" w:rsidP="00627AC5">
      <w:pPr>
        <w:pBdr>
          <w:top w:val="single" w:sz="12" w:space="1" w:color="auto"/>
          <w:bottom w:val="single" w:sz="12" w:space="1" w:color="auto"/>
        </w:pBdr>
        <w:spacing w:line="480" w:lineRule="auto"/>
        <w:rPr>
          <w:rFonts w:ascii="Arial" w:hAnsi="Arial" w:cs="Arial"/>
          <w:b/>
          <w:sz w:val="24"/>
          <w:szCs w:val="24"/>
        </w:rPr>
      </w:pPr>
    </w:p>
    <w:p w:rsidR="00627AC5" w:rsidRPr="00933FD1" w:rsidRDefault="00627AC5" w:rsidP="00627AC5">
      <w:pPr>
        <w:pBdr>
          <w:top w:val="single" w:sz="12" w:space="1" w:color="auto"/>
          <w:bottom w:val="single" w:sz="12" w:space="1" w:color="auto"/>
        </w:pBdr>
        <w:spacing w:line="480" w:lineRule="auto"/>
        <w:jc w:val="center"/>
        <w:rPr>
          <w:rFonts w:ascii="Arial" w:hAnsi="Arial" w:cs="Arial"/>
          <w:b/>
          <w:sz w:val="24"/>
          <w:szCs w:val="24"/>
        </w:rPr>
      </w:pPr>
      <w:r>
        <w:rPr>
          <w:rFonts w:ascii="Arial" w:hAnsi="Arial" w:cs="Arial"/>
          <w:b/>
          <w:sz w:val="24"/>
          <w:szCs w:val="24"/>
        </w:rPr>
        <w:t xml:space="preserve">JUDGMENT </w:t>
      </w:r>
    </w:p>
    <w:p w:rsidR="00397F58" w:rsidRPr="00397F58" w:rsidRDefault="00397F58" w:rsidP="00202D80">
      <w:pPr>
        <w:pStyle w:val="ListParagraph"/>
        <w:ind w:left="0"/>
        <w:jc w:val="both"/>
        <w:rPr>
          <w:rFonts w:ascii="Arial" w:hAnsi="Arial" w:cs="Arial"/>
          <w:sz w:val="22"/>
          <w:szCs w:val="26"/>
        </w:rPr>
      </w:pPr>
      <w:r w:rsidRPr="00397F58">
        <w:rPr>
          <w:rFonts w:ascii="Arial" w:hAnsi="Arial" w:cs="Arial"/>
          <w:i/>
          <w:sz w:val="22"/>
        </w:rPr>
        <w:t>Summary</w:t>
      </w:r>
      <w:r w:rsidRPr="00397F58">
        <w:rPr>
          <w:rFonts w:ascii="Arial" w:hAnsi="Arial" w:cs="Arial"/>
          <w:sz w:val="22"/>
        </w:rPr>
        <w:t xml:space="preserve"> – Review of the extension of a tender - </w:t>
      </w:r>
      <w:r w:rsidRPr="00397F58">
        <w:rPr>
          <w:rFonts w:ascii="Arial" w:hAnsi="Arial" w:cs="Arial"/>
          <w:sz w:val="22"/>
          <w:szCs w:val="26"/>
        </w:rPr>
        <w:t>whether the extension of the tender was irregular and unlawful - whether services were rendered under the extended tender - whether it is just and equitable for the respondent to be permitted to retain all the funds it earned from the extended tender</w:t>
      </w:r>
      <w:r w:rsidR="00F50659">
        <w:rPr>
          <w:rFonts w:ascii="Arial" w:hAnsi="Arial" w:cs="Arial"/>
          <w:sz w:val="22"/>
          <w:szCs w:val="26"/>
        </w:rPr>
        <w:t>.</w:t>
      </w:r>
    </w:p>
    <w:p w:rsidR="00396730" w:rsidRDefault="00396730" w:rsidP="00202D80">
      <w:pPr>
        <w:spacing w:line="240" w:lineRule="auto"/>
        <w:rPr>
          <w:rFonts w:ascii="Arial" w:hAnsi="Arial" w:cs="Arial"/>
          <w:b/>
          <w:sz w:val="24"/>
          <w:szCs w:val="24"/>
        </w:rPr>
      </w:pPr>
    </w:p>
    <w:p w:rsidR="00202D80" w:rsidRDefault="00202D80" w:rsidP="00202D80">
      <w:pPr>
        <w:spacing w:line="240" w:lineRule="auto"/>
        <w:rPr>
          <w:rFonts w:ascii="Arial" w:hAnsi="Arial" w:cs="Arial"/>
          <w:b/>
          <w:sz w:val="24"/>
          <w:szCs w:val="24"/>
        </w:rPr>
      </w:pPr>
    </w:p>
    <w:p w:rsidR="00202D80" w:rsidRDefault="00202D80" w:rsidP="00202D80">
      <w:pPr>
        <w:spacing w:line="240" w:lineRule="auto"/>
        <w:rPr>
          <w:rFonts w:ascii="Arial" w:hAnsi="Arial" w:cs="Arial"/>
          <w:b/>
          <w:sz w:val="24"/>
          <w:szCs w:val="24"/>
        </w:rPr>
      </w:pPr>
    </w:p>
    <w:p w:rsidR="00202D80" w:rsidRDefault="00202D80" w:rsidP="00202D80">
      <w:pPr>
        <w:spacing w:line="240" w:lineRule="auto"/>
        <w:rPr>
          <w:rFonts w:ascii="Arial" w:hAnsi="Arial" w:cs="Arial"/>
          <w:b/>
          <w:sz w:val="24"/>
          <w:szCs w:val="24"/>
        </w:rPr>
      </w:pPr>
    </w:p>
    <w:p w:rsidR="00F50659" w:rsidRDefault="00F50659" w:rsidP="00F50659">
      <w:pPr>
        <w:spacing w:line="480" w:lineRule="auto"/>
        <w:rPr>
          <w:rFonts w:ascii="Arial" w:hAnsi="Arial" w:cs="Arial"/>
          <w:b/>
          <w:sz w:val="24"/>
          <w:szCs w:val="24"/>
        </w:rPr>
      </w:pPr>
      <w:r w:rsidRPr="008C7623">
        <w:rPr>
          <w:rFonts w:ascii="Arial" w:hAnsi="Arial" w:cs="Arial"/>
          <w:b/>
          <w:sz w:val="24"/>
          <w:szCs w:val="24"/>
        </w:rPr>
        <w:lastRenderedPageBreak/>
        <w:t>MODIBA J:</w:t>
      </w:r>
    </w:p>
    <w:p w:rsidR="00202D80" w:rsidRPr="008C7623" w:rsidRDefault="00202D80" w:rsidP="00F50659">
      <w:pPr>
        <w:spacing w:line="480" w:lineRule="auto"/>
        <w:rPr>
          <w:rFonts w:ascii="Arial" w:hAnsi="Arial" w:cs="Arial"/>
          <w:b/>
          <w:sz w:val="24"/>
          <w:szCs w:val="24"/>
        </w:rPr>
      </w:pPr>
      <w:r>
        <w:rPr>
          <w:rFonts w:ascii="Arial" w:hAnsi="Arial" w:cs="Arial"/>
          <w:b/>
          <w:sz w:val="24"/>
          <w:szCs w:val="24"/>
        </w:rPr>
        <w:t>INTRODUCTION</w:t>
      </w:r>
    </w:p>
    <w:p w:rsidR="00C6303F" w:rsidRDefault="00FD1EF2" w:rsidP="00FD1EF2">
      <w:pPr>
        <w:pStyle w:val="ListParagraph"/>
        <w:numPr>
          <w:ilvl w:val="0"/>
          <w:numId w:val="3"/>
        </w:numPr>
        <w:spacing w:line="480" w:lineRule="auto"/>
        <w:jc w:val="both"/>
        <w:rPr>
          <w:rFonts w:ascii="Arial" w:hAnsi="Arial" w:cs="Arial"/>
        </w:rPr>
      </w:pPr>
      <w:r w:rsidRPr="00C6303F">
        <w:rPr>
          <w:rFonts w:ascii="Arial" w:hAnsi="Arial" w:cs="Arial"/>
        </w:rPr>
        <w:t>The Special Investigating Unit (</w:t>
      </w:r>
      <w:r w:rsidRPr="00202D80">
        <w:rPr>
          <w:rFonts w:ascii="Arial" w:hAnsi="Arial" w:cs="Arial"/>
          <w:b/>
        </w:rPr>
        <w:t>SIU</w:t>
      </w:r>
      <w:r w:rsidRPr="00C6303F">
        <w:rPr>
          <w:rFonts w:ascii="Arial" w:hAnsi="Arial" w:cs="Arial"/>
        </w:rPr>
        <w:t>) seeks an order declaring the contract the O</w:t>
      </w:r>
      <w:r w:rsidR="000F0A4C">
        <w:rPr>
          <w:rFonts w:ascii="Arial" w:hAnsi="Arial" w:cs="Arial"/>
        </w:rPr>
        <w:t>.</w:t>
      </w:r>
      <w:r w:rsidRPr="00C6303F">
        <w:rPr>
          <w:rFonts w:ascii="Arial" w:hAnsi="Arial" w:cs="Arial"/>
        </w:rPr>
        <w:t>R</w:t>
      </w:r>
      <w:r w:rsidR="000F0A4C">
        <w:rPr>
          <w:rFonts w:ascii="Arial" w:hAnsi="Arial" w:cs="Arial"/>
        </w:rPr>
        <w:t>.</w:t>
      </w:r>
      <w:r w:rsidRPr="00C6303F">
        <w:rPr>
          <w:rFonts w:ascii="Arial" w:hAnsi="Arial" w:cs="Arial"/>
        </w:rPr>
        <w:t xml:space="preserve"> Ta</w:t>
      </w:r>
      <w:r w:rsidR="00202D80">
        <w:rPr>
          <w:rFonts w:ascii="Arial" w:hAnsi="Arial" w:cs="Arial"/>
        </w:rPr>
        <w:t>mbo District Municipality (</w:t>
      </w:r>
      <w:r w:rsidR="00003BBB" w:rsidRPr="00202D80">
        <w:rPr>
          <w:rFonts w:ascii="Arial" w:hAnsi="Arial" w:cs="Arial"/>
          <w:b/>
        </w:rPr>
        <w:t>Municipality</w:t>
      </w:r>
      <w:r w:rsidRPr="00C6303F">
        <w:rPr>
          <w:rFonts w:ascii="Arial" w:hAnsi="Arial" w:cs="Arial"/>
        </w:rPr>
        <w:t>) awarded to Phathilizwi Training Institute (</w:t>
      </w:r>
      <w:r w:rsidRPr="00202D80">
        <w:rPr>
          <w:rFonts w:ascii="Arial" w:hAnsi="Arial" w:cs="Arial"/>
          <w:b/>
        </w:rPr>
        <w:t>Phathilizwi</w:t>
      </w:r>
      <w:r w:rsidRPr="00C6303F">
        <w:rPr>
          <w:rFonts w:ascii="Arial" w:hAnsi="Arial" w:cs="Arial"/>
        </w:rPr>
        <w:t xml:space="preserve">) under Tender No: ORTD SCUM 05-08/19 </w:t>
      </w:r>
      <w:r w:rsidR="00202D80">
        <w:rPr>
          <w:rFonts w:ascii="Arial" w:hAnsi="Arial" w:cs="Arial"/>
        </w:rPr>
        <w:t>(</w:t>
      </w:r>
      <w:r w:rsidR="00202D80" w:rsidRPr="00202D80">
        <w:rPr>
          <w:rFonts w:ascii="Arial" w:hAnsi="Arial" w:cs="Arial"/>
          <w:b/>
        </w:rPr>
        <w:t>tender or</w:t>
      </w:r>
      <w:r w:rsidR="00202D80">
        <w:rPr>
          <w:rFonts w:ascii="Arial" w:hAnsi="Arial" w:cs="Arial"/>
        </w:rPr>
        <w:t xml:space="preserve"> </w:t>
      </w:r>
      <w:r w:rsidR="00202D80" w:rsidRPr="00202D80">
        <w:rPr>
          <w:rFonts w:ascii="Arial" w:hAnsi="Arial" w:cs="Arial"/>
          <w:b/>
        </w:rPr>
        <w:t>original</w:t>
      </w:r>
      <w:r w:rsidR="00DC569C" w:rsidRPr="00202D80">
        <w:rPr>
          <w:rFonts w:ascii="Arial" w:hAnsi="Arial" w:cs="Arial"/>
          <w:b/>
        </w:rPr>
        <w:t xml:space="preserve"> tender</w:t>
      </w:r>
      <w:r w:rsidR="00DC569C">
        <w:rPr>
          <w:rFonts w:ascii="Arial" w:hAnsi="Arial" w:cs="Arial"/>
        </w:rPr>
        <w:t xml:space="preserve">) </w:t>
      </w:r>
      <w:r w:rsidRPr="00C6303F">
        <w:rPr>
          <w:rFonts w:ascii="Arial" w:hAnsi="Arial" w:cs="Arial"/>
        </w:rPr>
        <w:t xml:space="preserve">unlawful and void </w:t>
      </w:r>
      <w:r w:rsidRPr="00DC569C">
        <w:rPr>
          <w:rFonts w:ascii="Arial" w:hAnsi="Arial" w:cs="Arial"/>
          <w:i/>
        </w:rPr>
        <w:t>ab initio</w:t>
      </w:r>
      <w:r w:rsidRPr="00C6303F">
        <w:rPr>
          <w:rFonts w:ascii="Arial" w:hAnsi="Arial" w:cs="Arial"/>
        </w:rPr>
        <w:t>. It also seeks other ancillary relief.</w:t>
      </w:r>
    </w:p>
    <w:p w:rsidR="00C6303F" w:rsidRDefault="00C6303F" w:rsidP="00C6303F">
      <w:pPr>
        <w:pStyle w:val="ListParagraph"/>
        <w:spacing w:line="480" w:lineRule="auto"/>
        <w:ind w:left="360"/>
        <w:jc w:val="both"/>
        <w:rPr>
          <w:rFonts w:ascii="Arial" w:hAnsi="Arial" w:cs="Arial"/>
        </w:rPr>
      </w:pPr>
    </w:p>
    <w:p w:rsidR="00C6303F" w:rsidRDefault="00FD1EF2" w:rsidP="00C6303F">
      <w:pPr>
        <w:pStyle w:val="ListParagraph"/>
        <w:numPr>
          <w:ilvl w:val="0"/>
          <w:numId w:val="3"/>
        </w:numPr>
        <w:spacing w:line="480" w:lineRule="auto"/>
        <w:jc w:val="both"/>
        <w:rPr>
          <w:rFonts w:ascii="Arial" w:hAnsi="Arial" w:cs="Arial"/>
        </w:rPr>
      </w:pPr>
      <w:r w:rsidRPr="00C6303F">
        <w:rPr>
          <w:rFonts w:ascii="Arial" w:hAnsi="Arial" w:cs="Arial"/>
        </w:rPr>
        <w:t xml:space="preserve">Phathilizwi is opposing the application. The </w:t>
      </w:r>
      <w:r w:rsidR="00003BBB">
        <w:rPr>
          <w:rFonts w:ascii="Arial" w:hAnsi="Arial" w:cs="Arial"/>
        </w:rPr>
        <w:t>Municipality</w:t>
      </w:r>
      <w:r w:rsidRPr="00C6303F">
        <w:rPr>
          <w:rFonts w:ascii="Arial" w:hAnsi="Arial" w:cs="Arial"/>
        </w:rPr>
        <w:t xml:space="preserve"> is not participating in these proceedings.  </w:t>
      </w:r>
    </w:p>
    <w:p w:rsidR="00C6303F" w:rsidRPr="00C6303F" w:rsidRDefault="00C6303F" w:rsidP="00C6303F">
      <w:pPr>
        <w:pStyle w:val="ListParagraph"/>
        <w:rPr>
          <w:rFonts w:ascii="Arial" w:hAnsi="Arial" w:cs="Arial"/>
        </w:rPr>
      </w:pPr>
    </w:p>
    <w:p w:rsidR="00C6303F" w:rsidRDefault="00FD1EF2" w:rsidP="00C6303F">
      <w:pPr>
        <w:pStyle w:val="ListParagraph"/>
        <w:numPr>
          <w:ilvl w:val="0"/>
          <w:numId w:val="3"/>
        </w:numPr>
        <w:spacing w:line="480" w:lineRule="auto"/>
        <w:jc w:val="both"/>
        <w:rPr>
          <w:rFonts w:ascii="Arial" w:hAnsi="Arial" w:cs="Arial"/>
        </w:rPr>
      </w:pPr>
      <w:r w:rsidRPr="00C6303F">
        <w:rPr>
          <w:rFonts w:ascii="Arial" w:hAnsi="Arial" w:cs="Arial"/>
        </w:rPr>
        <w:t xml:space="preserve">The background facts are largely common cause. </w:t>
      </w:r>
      <w:r w:rsidR="00C6303F" w:rsidRPr="00C6303F">
        <w:rPr>
          <w:rFonts w:ascii="Arial" w:hAnsi="Arial" w:cs="Arial"/>
        </w:rPr>
        <w:t xml:space="preserve">On 10 October 2018, the </w:t>
      </w:r>
      <w:r w:rsidR="00003BBB">
        <w:rPr>
          <w:rFonts w:ascii="Arial" w:hAnsi="Arial" w:cs="Arial"/>
        </w:rPr>
        <w:t>Municipality</w:t>
      </w:r>
      <w:r w:rsidR="00C6303F" w:rsidRPr="00C6303F">
        <w:rPr>
          <w:rFonts w:ascii="Arial" w:hAnsi="Arial" w:cs="Arial"/>
        </w:rPr>
        <w:t xml:space="preserve"> advertised the tender in the Daily Dispatch newspaper, inviting bidders to submit proposals for the appointment of </w:t>
      </w:r>
      <w:r w:rsidR="00C6303F">
        <w:rPr>
          <w:rFonts w:ascii="Arial" w:hAnsi="Arial" w:cs="Arial"/>
        </w:rPr>
        <w:t>a service provider</w:t>
      </w:r>
      <w:r w:rsidR="00C6303F" w:rsidRPr="00C6303F">
        <w:rPr>
          <w:rFonts w:ascii="Arial" w:hAnsi="Arial" w:cs="Arial"/>
        </w:rPr>
        <w:t xml:space="preserve"> to conduct community education workshops within the </w:t>
      </w:r>
      <w:r w:rsidR="00F50659">
        <w:rPr>
          <w:rFonts w:ascii="Arial" w:hAnsi="Arial" w:cs="Arial"/>
        </w:rPr>
        <w:t xml:space="preserve">Municipality </w:t>
      </w:r>
      <w:r w:rsidR="00C6303F" w:rsidRPr="00C6303F">
        <w:rPr>
          <w:rFonts w:ascii="Arial" w:hAnsi="Arial" w:cs="Arial"/>
        </w:rPr>
        <w:t>for a period of 12 months from the date of appointment of the successful bidder. The closing date for the submission of proposals was 31</w:t>
      </w:r>
      <w:r w:rsidR="00C6303F" w:rsidRPr="00C6303F">
        <w:rPr>
          <w:rFonts w:ascii="Arial" w:hAnsi="Arial" w:cs="Arial"/>
          <w:vertAlign w:val="superscript"/>
        </w:rPr>
        <w:t xml:space="preserve"> </w:t>
      </w:r>
      <w:r w:rsidR="00C6303F" w:rsidRPr="00C6303F">
        <w:rPr>
          <w:rFonts w:ascii="Arial" w:hAnsi="Arial" w:cs="Arial"/>
        </w:rPr>
        <w:t>October 2018.</w:t>
      </w:r>
    </w:p>
    <w:p w:rsidR="00C6303F" w:rsidRPr="00C6303F" w:rsidRDefault="00C6303F" w:rsidP="00C6303F">
      <w:pPr>
        <w:pStyle w:val="ListParagraph"/>
        <w:rPr>
          <w:rFonts w:ascii="Arial" w:hAnsi="Arial" w:cs="Arial"/>
        </w:rPr>
      </w:pPr>
    </w:p>
    <w:p w:rsidR="000F0A4C" w:rsidRPr="000F0A4C" w:rsidRDefault="00C6303F" w:rsidP="00D32F62">
      <w:pPr>
        <w:pStyle w:val="ListParagraph"/>
        <w:numPr>
          <w:ilvl w:val="0"/>
          <w:numId w:val="3"/>
        </w:numPr>
        <w:spacing w:line="480" w:lineRule="auto"/>
        <w:jc w:val="both"/>
        <w:rPr>
          <w:rFonts w:ascii="Arial" w:hAnsi="Arial" w:cs="Arial"/>
          <w:sz w:val="21"/>
          <w:szCs w:val="21"/>
        </w:rPr>
      </w:pPr>
      <w:r w:rsidRPr="00C6303F">
        <w:rPr>
          <w:rFonts w:ascii="Arial" w:hAnsi="Arial" w:cs="Arial"/>
        </w:rPr>
        <w:t xml:space="preserve">On 31 January 2019, the </w:t>
      </w:r>
      <w:r w:rsidR="00003BBB">
        <w:rPr>
          <w:rFonts w:ascii="Arial" w:hAnsi="Arial" w:cs="Arial"/>
        </w:rPr>
        <w:t>Municipality</w:t>
      </w:r>
      <w:r w:rsidRPr="00C6303F">
        <w:rPr>
          <w:rFonts w:ascii="Arial" w:hAnsi="Arial" w:cs="Arial"/>
        </w:rPr>
        <w:t xml:space="preserve"> issued a letter </w:t>
      </w:r>
      <w:r w:rsidR="00202D80">
        <w:rPr>
          <w:rFonts w:ascii="Arial" w:hAnsi="Arial" w:cs="Arial"/>
        </w:rPr>
        <w:t xml:space="preserve">awarding the tender </w:t>
      </w:r>
      <w:r>
        <w:rPr>
          <w:rFonts w:ascii="Arial" w:hAnsi="Arial" w:cs="Arial"/>
        </w:rPr>
        <w:t>to Phathilizwi</w:t>
      </w:r>
      <w:r w:rsidR="00202D80">
        <w:rPr>
          <w:rFonts w:ascii="Arial" w:hAnsi="Arial" w:cs="Arial"/>
        </w:rPr>
        <w:t xml:space="preserve">. The tender </w:t>
      </w:r>
      <w:r w:rsidR="004F0D49">
        <w:rPr>
          <w:rFonts w:ascii="Arial" w:hAnsi="Arial" w:cs="Arial"/>
        </w:rPr>
        <w:t>is subject to the government’s General Conditions of Contract (</w:t>
      </w:r>
      <w:r w:rsidR="004F0D49" w:rsidRPr="00202D80">
        <w:rPr>
          <w:rFonts w:ascii="Arial" w:hAnsi="Arial" w:cs="Arial"/>
          <w:b/>
        </w:rPr>
        <w:t>GCC</w:t>
      </w:r>
      <w:r w:rsidR="004F0D49">
        <w:rPr>
          <w:rFonts w:ascii="Arial" w:hAnsi="Arial" w:cs="Arial"/>
        </w:rPr>
        <w:t xml:space="preserve">). </w:t>
      </w:r>
      <w:r w:rsidR="000F0A4C">
        <w:rPr>
          <w:rFonts w:ascii="Arial" w:hAnsi="Arial" w:cs="Arial"/>
        </w:rPr>
        <w:t>The SIU has no issue with th</w:t>
      </w:r>
      <w:r w:rsidR="00202D80">
        <w:rPr>
          <w:rFonts w:ascii="Arial" w:hAnsi="Arial" w:cs="Arial"/>
        </w:rPr>
        <w:t xml:space="preserve">e awarding of this tender. </w:t>
      </w:r>
      <w:r w:rsidR="000F0A4C">
        <w:rPr>
          <w:rFonts w:ascii="Arial" w:hAnsi="Arial" w:cs="Arial"/>
        </w:rPr>
        <w:t xml:space="preserve"> </w:t>
      </w:r>
    </w:p>
    <w:p w:rsidR="000F0A4C" w:rsidRPr="000F0A4C" w:rsidRDefault="000F0A4C" w:rsidP="000F0A4C">
      <w:pPr>
        <w:pStyle w:val="ListParagraph"/>
        <w:rPr>
          <w:rFonts w:ascii="Arial" w:hAnsi="Arial" w:cs="Arial"/>
        </w:rPr>
      </w:pPr>
    </w:p>
    <w:p w:rsidR="00C6303F" w:rsidRPr="00D32F62" w:rsidRDefault="00C6303F" w:rsidP="00D32F62">
      <w:pPr>
        <w:pStyle w:val="ListParagraph"/>
        <w:numPr>
          <w:ilvl w:val="0"/>
          <w:numId w:val="3"/>
        </w:numPr>
        <w:spacing w:line="480" w:lineRule="auto"/>
        <w:jc w:val="both"/>
        <w:rPr>
          <w:rFonts w:ascii="Arial" w:hAnsi="Arial" w:cs="Arial"/>
          <w:sz w:val="21"/>
          <w:szCs w:val="21"/>
        </w:rPr>
      </w:pPr>
      <w:r w:rsidRPr="00D32F62">
        <w:rPr>
          <w:rFonts w:ascii="Arial" w:hAnsi="Arial" w:cs="Arial"/>
        </w:rPr>
        <w:t xml:space="preserve">On </w:t>
      </w:r>
      <w:r w:rsidR="00F00391" w:rsidRPr="00D32F62">
        <w:rPr>
          <w:rFonts w:ascii="Arial" w:hAnsi="Arial" w:cs="Arial"/>
        </w:rPr>
        <w:t>24 February 2020</w:t>
      </w:r>
      <w:r w:rsidRPr="00D32F62">
        <w:rPr>
          <w:rFonts w:ascii="Arial" w:hAnsi="Arial" w:cs="Arial"/>
        </w:rPr>
        <w:t xml:space="preserve">, the </w:t>
      </w:r>
      <w:r w:rsidR="00003BBB" w:rsidRPr="00D32F62">
        <w:rPr>
          <w:rFonts w:ascii="Arial" w:hAnsi="Arial" w:cs="Arial"/>
        </w:rPr>
        <w:t>Municipality</w:t>
      </w:r>
      <w:r w:rsidR="00F50659">
        <w:rPr>
          <w:rFonts w:ascii="Arial" w:hAnsi="Arial" w:cs="Arial"/>
        </w:rPr>
        <w:t xml:space="preserve"> extended the tender</w:t>
      </w:r>
      <w:r w:rsidRPr="00D32F62">
        <w:rPr>
          <w:rFonts w:ascii="Arial" w:hAnsi="Arial" w:cs="Arial"/>
        </w:rPr>
        <w:t xml:space="preserve"> </w:t>
      </w:r>
      <w:r w:rsidR="00202D80">
        <w:rPr>
          <w:rFonts w:ascii="Arial" w:hAnsi="Arial" w:cs="Arial"/>
        </w:rPr>
        <w:t>(</w:t>
      </w:r>
      <w:r w:rsidR="00202D80" w:rsidRPr="00202D80">
        <w:rPr>
          <w:rFonts w:ascii="Arial" w:hAnsi="Arial" w:cs="Arial"/>
          <w:b/>
        </w:rPr>
        <w:t>the extended tender</w:t>
      </w:r>
      <w:r w:rsidR="00202D80">
        <w:rPr>
          <w:rFonts w:ascii="Arial" w:hAnsi="Arial" w:cs="Arial"/>
        </w:rPr>
        <w:t xml:space="preserve">) </w:t>
      </w:r>
      <w:r w:rsidRPr="00D32F62">
        <w:rPr>
          <w:rFonts w:ascii="Arial" w:hAnsi="Arial" w:cs="Arial"/>
        </w:rPr>
        <w:t xml:space="preserve">by a period of </w:t>
      </w:r>
      <w:r w:rsidR="00942464" w:rsidRPr="00D32F62">
        <w:rPr>
          <w:rFonts w:ascii="Arial" w:hAnsi="Arial" w:cs="Arial"/>
        </w:rPr>
        <w:t>six (6</w:t>
      </w:r>
      <w:r w:rsidR="00F00391" w:rsidRPr="00D32F62">
        <w:rPr>
          <w:rFonts w:ascii="Arial" w:hAnsi="Arial" w:cs="Arial"/>
        </w:rPr>
        <w:t>) months</w:t>
      </w:r>
      <w:r w:rsidRPr="00D32F62">
        <w:rPr>
          <w:rFonts w:ascii="Arial" w:hAnsi="Arial" w:cs="Arial"/>
        </w:rPr>
        <w:t xml:space="preserve">. </w:t>
      </w:r>
    </w:p>
    <w:p w:rsidR="00942464" w:rsidRPr="00942464" w:rsidRDefault="00942464" w:rsidP="00942464">
      <w:pPr>
        <w:pStyle w:val="ListParagraph"/>
        <w:rPr>
          <w:rFonts w:ascii="Arial" w:hAnsi="Arial" w:cs="Arial"/>
        </w:rPr>
      </w:pPr>
    </w:p>
    <w:p w:rsidR="00202D80" w:rsidRPr="00202D80" w:rsidRDefault="00C6303F" w:rsidP="00D030BC">
      <w:pPr>
        <w:pStyle w:val="ListParagraph"/>
        <w:numPr>
          <w:ilvl w:val="0"/>
          <w:numId w:val="3"/>
        </w:numPr>
        <w:spacing w:line="480" w:lineRule="auto"/>
        <w:jc w:val="both"/>
        <w:rPr>
          <w:rFonts w:ascii="Verdana" w:hAnsi="Verdana" w:cs="Arial"/>
          <w:sz w:val="26"/>
          <w:szCs w:val="26"/>
        </w:rPr>
      </w:pPr>
      <w:r w:rsidRPr="00B07875">
        <w:rPr>
          <w:rFonts w:ascii="Arial" w:hAnsi="Arial" w:cs="Arial"/>
        </w:rPr>
        <w:t>While conducting an investigation into Covid 19 related procurement as authorized by President Cyril Ramaphosa in terms of Proclamation 23 of 2020, the SIU alleges that it found irregularities in the extension of the tender. Hence, i</w:t>
      </w:r>
      <w:r w:rsidR="00B07875" w:rsidRPr="00B07875">
        <w:rPr>
          <w:rFonts w:ascii="Arial" w:hAnsi="Arial" w:cs="Arial"/>
        </w:rPr>
        <w:t xml:space="preserve">t has instituted proceedings for the order described above. </w:t>
      </w:r>
      <w:r w:rsidRPr="00B07875">
        <w:rPr>
          <w:rFonts w:ascii="Arial" w:hAnsi="Arial" w:cs="Arial"/>
        </w:rPr>
        <w:t xml:space="preserve"> </w:t>
      </w:r>
    </w:p>
    <w:p w:rsidR="00202D80" w:rsidRPr="00202D80" w:rsidRDefault="00202D80" w:rsidP="00202D80">
      <w:pPr>
        <w:pStyle w:val="ListParagraph"/>
        <w:rPr>
          <w:rFonts w:ascii="Verdana" w:hAnsi="Verdana" w:cs="Arial"/>
          <w:sz w:val="26"/>
          <w:szCs w:val="26"/>
        </w:rPr>
      </w:pPr>
    </w:p>
    <w:p w:rsidR="00202D80" w:rsidRPr="00202D80" w:rsidRDefault="00202D80" w:rsidP="00202D80">
      <w:pPr>
        <w:pStyle w:val="ListParagraph"/>
        <w:spacing w:line="480" w:lineRule="auto"/>
        <w:ind w:left="360"/>
        <w:jc w:val="both"/>
        <w:rPr>
          <w:rFonts w:ascii="Arial" w:hAnsi="Arial" w:cs="Arial"/>
          <w:b/>
          <w:szCs w:val="26"/>
        </w:rPr>
      </w:pPr>
      <w:r w:rsidRPr="00202D80">
        <w:rPr>
          <w:rFonts w:ascii="Arial" w:hAnsi="Arial" w:cs="Arial"/>
          <w:b/>
          <w:szCs w:val="26"/>
        </w:rPr>
        <w:t>GROUNDS OF REVIEW</w:t>
      </w:r>
    </w:p>
    <w:p w:rsidR="00FD1EF2" w:rsidRPr="00B07875" w:rsidRDefault="00202D80" w:rsidP="00D030BC">
      <w:pPr>
        <w:pStyle w:val="ListParagraph"/>
        <w:numPr>
          <w:ilvl w:val="0"/>
          <w:numId w:val="3"/>
        </w:numPr>
        <w:spacing w:line="480" w:lineRule="auto"/>
        <w:jc w:val="both"/>
        <w:rPr>
          <w:rFonts w:ascii="Verdana" w:hAnsi="Verdana" w:cs="Arial"/>
          <w:sz w:val="26"/>
          <w:szCs w:val="26"/>
        </w:rPr>
      </w:pPr>
      <w:r>
        <w:rPr>
          <w:rFonts w:ascii="Arial" w:hAnsi="Arial" w:cs="Arial"/>
        </w:rPr>
        <w:t>The SIU</w:t>
      </w:r>
      <w:r w:rsidR="00B07875">
        <w:rPr>
          <w:rFonts w:ascii="Arial" w:hAnsi="Arial" w:cs="Arial"/>
        </w:rPr>
        <w:t xml:space="preserve"> relies on the following grounds of review:</w:t>
      </w:r>
    </w:p>
    <w:p w:rsidR="00B07875" w:rsidRPr="00D577E9" w:rsidRDefault="00202D80" w:rsidP="00F50659">
      <w:pPr>
        <w:pStyle w:val="ListParagraph"/>
        <w:spacing w:line="480" w:lineRule="auto"/>
        <w:ind w:left="1440" w:hanging="1080"/>
        <w:jc w:val="both"/>
        <w:rPr>
          <w:rFonts w:ascii="Arial" w:hAnsi="Arial" w:cs="Arial"/>
          <w:szCs w:val="26"/>
        </w:rPr>
      </w:pPr>
      <w:r>
        <w:rPr>
          <w:rFonts w:ascii="Arial" w:hAnsi="Arial" w:cs="Arial"/>
          <w:szCs w:val="26"/>
        </w:rPr>
        <w:t>7</w:t>
      </w:r>
      <w:r w:rsidR="00B07875" w:rsidRPr="00DC569C">
        <w:rPr>
          <w:rFonts w:ascii="Arial" w:hAnsi="Arial" w:cs="Arial"/>
          <w:szCs w:val="26"/>
        </w:rPr>
        <w:t>.1</w:t>
      </w:r>
      <w:r w:rsidR="00DC569C">
        <w:rPr>
          <w:rFonts w:ascii="Arial" w:hAnsi="Arial" w:cs="Arial"/>
          <w:szCs w:val="26"/>
        </w:rPr>
        <w:tab/>
      </w:r>
      <w:r w:rsidR="00B07875" w:rsidRPr="00D577E9">
        <w:rPr>
          <w:rFonts w:ascii="Arial" w:hAnsi="Arial" w:cs="Arial"/>
          <w:szCs w:val="26"/>
        </w:rPr>
        <w:t>non-compliance with the applicable regulatory prescripts when the tender was extended;</w:t>
      </w:r>
    </w:p>
    <w:p w:rsidR="00B07875" w:rsidRPr="00D577E9" w:rsidRDefault="00202D80" w:rsidP="00B07875">
      <w:pPr>
        <w:pStyle w:val="ListParagraph"/>
        <w:spacing w:line="480" w:lineRule="auto"/>
        <w:ind w:left="360"/>
        <w:jc w:val="both"/>
        <w:rPr>
          <w:rFonts w:ascii="Arial" w:hAnsi="Arial" w:cs="Arial"/>
          <w:szCs w:val="26"/>
        </w:rPr>
      </w:pPr>
      <w:r>
        <w:rPr>
          <w:rFonts w:ascii="Arial" w:hAnsi="Arial" w:cs="Arial"/>
          <w:szCs w:val="26"/>
        </w:rPr>
        <w:t>7</w:t>
      </w:r>
      <w:r w:rsidR="00B07875" w:rsidRPr="00D577E9">
        <w:rPr>
          <w:rFonts w:ascii="Arial" w:hAnsi="Arial" w:cs="Arial"/>
          <w:szCs w:val="26"/>
        </w:rPr>
        <w:t>.2</w:t>
      </w:r>
      <w:r w:rsidR="00B07875" w:rsidRPr="00D577E9">
        <w:rPr>
          <w:rFonts w:ascii="Arial" w:hAnsi="Arial" w:cs="Arial"/>
          <w:szCs w:val="26"/>
        </w:rPr>
        <w:tab/>
      </w:r>
      <w:r w:rsidR="00D577E9">
        <w:rPr>
          <w:rFonts w:ascii="Arial" w:hAnsi="Arial" w:cs="Arial"/>
          <w:szCs w:val="26"/>
        </w:rPr>
        <w:tab/>
      </w:r>
      <w:r w:rsidR="00B07875" w:rsidRPr="00D577E9">
        <w:rPr>
          <w:rFonts w:ascii="Arial" w:hAnsi="Arial" w:cs="Arial"/>
          <w:szCs w:val="26"/>
        </w:rPr>
        <w:t xml:space="preserve">no services were rendered in terms of the </w:t>
      </w:r>
      <w:r>
        <w:rPr>
          <w:rFonts w:ascii="Arial" w:hAnsi="Arial" w:cs="Arial"/>
          <w:szCs w:val="26"/>
        </w:rPr>
        <w:t>extended tender</w:t>
      </w:r>
      <w:r w:rsidR="00B07875" w:rsidRPr="00D577E9">
        <w:rPr>
          <w:rFonts w:ascii="Arial" w:hAnsi="Arial" w:cs="Arial"/>
          <w:szCs w:val="26"/>
        </w:rPr>
        <w:t>;</w:t>
      </w:r>
    </w:p>
    <w:p w:rsidR="00B07875" w:rsidRPr="00B07875" w:rsidRDefault="00B07875" w:rsidP="00B07875">
      <w:pPr>
        <w:pStyle w:val="ListParagraph"/>
        <w:rPr>
          <w:rFonts w:ascii="Verdana" w:hAnsi="Verdana" w:cs="Arial"/>
          <w:sz w:val="26"/>
          <w:szCs w:val="26"/>
        </w:rPr>
      </w:pPr>
    </w:p>
    <w:p w:rsidR="00B07875" w:rsidRPr="00D577E9" w:rsidRDefault="00B07875" w:rsidP="00D030BC">
      <w:pPr>
        <w:pStyle w:val="ListParagraph"/>
        <w:numPr>
          <w:ilvl w:val="0"/>
          <w:numId w:val="3"/>
        </w:numPr>
        <w:spacing w:line="480" w:lineRule="auto"/>
        <w:jc w:val="both"/>
        <w:rPr>
          <w:rFonts w:ascii="Arial" w:hAnsi="Arial" w:cs="Arial"/>
          <w:szCs w:val="26"/>
        </w:rPr>
      </w:pPr>
      <w:r w:rsidRPr="00D577E9">
        <w:rPr>
          <w:rFonts w:ascii="Arial" w:hAnsi="Arial" w:cs="Arial"/>
          <w:szCs w:val="26"/>
        </w:rPr>
        <w:t>Phathilizwi relies on the following grounds of opposition:</w:t>
      </w:r>
    </w:p>
    <w:p w:rsidR="00B07875" w:rsidRDefault="00202D80" w:rsidP="00F50659">
      <w:pPr>
        <w:pStyle w:val="ListParagraph"/>
        <w:spacing w:line="480" w:lineRule="auto"/>
        <w:ind w:left="1440" w:hanging="1080"/>
        <w:jc w:val="both"/>
        <w:rPr>
          <w:rFonts w:ascii="Arial" w:hAnsi="Arial" w:cs="Arial"/>
          <w:szCs w:val="26"/>
        </w:rPr>
      </w:pPr>
      <w:r>
        <w:rPr>
          <w:rFonts w:ascii="Arial" w:hAnsi="Arial" w:cs="Arial"/>
          <w:szCs w:val="26"/>
        </w:rPr>
        <w:t>8</w:t>
      </w:r>
      <w:r w:rsidR="00B07875" w:rsidRPr="00D577E9">
        <w:rPr>
          <w:rFonts w:ascii="Arial" w:hAnsi="Arial" w:cs="Arial"/>
          <w:szCs w:val="26"/>
        </w:rPr>
        <w:t>.1</w:t>
      </w:r>
      <w:r w:rsidR="00B07875" w:rsidRPr="00D577E9">
        <w:rPr>
          <w:rFonts w:ascii="Arial" w:hAnsi="Arial" w:cs="Arial"/>
          <w:szCs w:val="26"/>
        </w:rPr>
        <w:tab/>
        <w:t xml:space="preserve">the tender was duly extended in terms of clause </w:t>
      </w:r>
      <w:r w:rsidR="00C45D3C">
        <w:rPr>
          <w:rFonts w:ascii="Arial" w:hAnsi="Arial" w:cs="Arial"/>
          <w:szCs w:val="26"/>
        </w:rPr>
        <w:t>21.2</w:t>
      </w:r>
      <w:r w:rsidR="00B07875" w:rsidRPr="00D577E9">
        <w:rPr>
          <w:rFonts w:ascii="Arial" w:hAnsi="Arial" w:cs="Arial"/>
          <w:szCs w:val="26"/>
        </w:rPr>
        <w:t xml:space="preserve"> of the G</w:t>
      </w:r>
      <w:r w:rsidR="004F0D49">
        <w:rPr>
          <w:rFonts w:ascii="Arial" w:hAnsi="Arial" w:cs="Arial"/>
          <w:szCs w:val="26"/>
        </w:rPr>
        <w:t>CC</w:t>
      </w:r>
      <w:r w:rsidR="00B07875" w:rsidRPr="00D577E9">
        <w:rPr>
          <w:rFonts w:ascii="Arial" w:hAnsi="Arial" w:cs="Arial"/>
          <w:szCs w:val="26"/>
        </w:rPr>
        <w:t>;</w:t>
      </w:r>
    </w:p>
    <w:p w:rsidR="00DC569C" w:rsidRDefault="00202D80" w:rsidP="00F50659">
      <w:pPr>
        <w:pStyle w:val="ListParagraph"/>
        <w:spacing w:line="480" w:lineRule="auto"/>
        <w:ind w:left="1440" w:hanging="1080"/>
        <w:jc w:val="both"/>
        <w:rPr>
          <w:rFonts w:ascii="Arial" w:hAnsi="Arial" w:cs="Arial"/>
          <w:szCs w:val="26"/>
        </w:rPr>
      </w:pPr>
      <w:r>
        <w:rPr>
          <w:rFonts w:ascii="Arial" w:hAnsi="Arial" w:cs="Arial"/>
          <w:szCs w:val="26"/>
        </w:rPr>
        <w:t>8</w:t>
      </w:r>
      <w:r w:rsidR="00DC569C">
        <w:rPr>
          <w:rFonts w:ascii="Arial" w:hAnsi="Arial" w:cs="Arial"/>
          <w:szCs w:val="26"/>
        </w:rPr>
        <w:t>.2</w:t>
      </w:r>
      <w:r w:rsidR="00DC569C">
        <w:rPr>
          <w:rFonts w:ascii="Arial" w:hAnsi="Arial" w:cs="Arial"/>
          <w:szCs w:val="26"/>
        </w:rPr>
        <w:tab/>
      </w:r>
      <w:r w:rsidR="00003BBB">
        <w:rPr>
          <w:rFonts w:ascii="Arial" w:hAnsi="Arial" w:cs="Arial"/>
          <w:szCs w:val="26"/>
        </w:rPr>
        <w:t>Annexure FA6</w:t>
      </w:r>
      <w:r w:rsidR="00DC569C">
        <w:rPr>
          <w:rFonts w:ascii="Arial" w:hAnsi="Arial" w:cs="Arial"/>
          <w:szCs w:val="26"/>
        </w:rPr>
        <w:t xml:space="preserve"> constitutes a deviation that authorized </w:t>
      </w:r>
      <w:r w:rsidR="00003BBB" w:rsidRPr="00003BBB">
        <w:rPr>
          <w:rFonts w:ascii="Arial" w:hAnsi="Arial" w:cs="Arial"/>
          <w:szCs w:val="26"/>
        </w:rPr>
        <w:t xml:space="preserve">the </w:t>
      </w:r>
      <w:r w:rsidR="00003BBB">
        <w:rPr>
          <w:rFonts w:ascii="Arial" w:hAnsi="Arial" w:cs="Arial"/>
          <w:szCs w:val="26"/>
        </w:rPr>
        <w:t>Municipality</w:t>
      </w:r>
      <w:r w:rsidR="00DC569C">
        <w:rPr>
          <w:rFonts w:ascii="Arial" w:hAnsi="Arial" w:cs="Arial"/>
          <w:szCs w:val="26"/>
        </w:rPr>
        <w:t xml:space="preserve"> not to follow an open bidding process</w:t>
      </w:r>
      <w:r w:rsidR="00F50659">
        <w:rPr>
          <w:rFonts w:ascii="Arial" w:hAnsi="Arial" w:cs="Arial"/>
          <w:szCs w:val="26"/>
        </w:rPr>
        <w:t xml:space="preserve"> when extending the tender</w:t>
      </w:r>
      <w:r w:rsidR="00DC569C">
        <w:rPr>
          <w:rFonts w:ascii="Arial" w:hAnsi="Arial" w:cs="Arial"/>
          <w:szCs w:val="26"/>
        </w:rPr>
        <w:t>;</w:t>
      </w:r>
    </w:p>
    <w:p w:rsidR="00B07875" w:rsidRDefault="00202D80" w:rsidP="00F50659">
      <w:pPr>
        <w:pStyle w:val="ListParagraph"/>
        <w:spacing w:line="480" w:lineRule="auto"/>
        <w:ind w:left="1440" w:hanging="1080"/>
        <w:jc w:val="both"/>
        <w:rPr>
          <w:rFonts w:ascii="Arial" w:hAnsi="Arial" w:cs="Arial"/>
          <w:szCs w:val="26"/>
        </w:rPr>
      </w:pPr>
      <w:r>
        <w:rPr>
          <w:rFonts w:ascii="Arial" w:hAnsi="Arial" w:cs="Arial"/>
          <w:szCs w:val="26"/>
        </w:rPr>
        <w:t>8</w:t>
      </w:r>
      <w:r w:rsidR="00DC569C">
        <w:rPr>
          <w:rFonts w:ascii="Arial" w:hAnsi="Arial" w:cs="Arial"/>
          <w:szCs w:val="26"/>
        </w:rPr>
        <w:t>.3</w:t>
      </w:r>
      <w:r w:rsidR="00B07875" w:rsidRPr="00D577E9">
        <w:rPr>
          <w:rFonts w:ascii="Arial" w:hAnsi="Arial" w:cs="Arial"/>
          <w:szCs w:val="26"/>
        </w:rPr>
        <w:tab/>
        <w:t>in the event that the Tribunal finds that the tender was irregularly extended as contended by the SIU, it is not just and equitable for Phathilizwi to be outstripped of the pro</w:t>
      </w:r>
      <w:r w:rsidR="00F50659">
        <w:rPr>
          <w:rFonts w:ascii="Arial" w:hAnsi="Arial" w:cs="Arial"/>
          <w:szCs w:val="26"/>
        </w:rPr>
        <w:t>fits it earned from the extende</w:t>
      </w:r>
      <w:r w:rsidR="000F0A4C">
        <w:rPr>
          <w:rFonts w:ascii="Arial" w:hAnsi="Arial" w:cs="Arial"/>
          <w:szCs w:val="26"/>
        </w:rPr>
        <w:t>d</w:t>
      </w:r>
      <w:r w:rsidR="00F50659">
        <w:rPr>
          <w:rFonts w:ascii="Arial" w:hAnsi="Arial" w:cs="Arial"/>
          <w:szCs w:val="26"/>
        </w:rPr>
        <w:t xml:space="preserve"> tender</w:t>
      </w:r>
      <w:r w:rsidR="00B07875" w:rsidRPr="00D577E9">
        <w:rPr>
          <w:rFonts w:ascii="Arial" w:hAnsi="Arial" w:cs="Arial"/>
          <w:szCs w:val="26"/>
        </w:rPr>
        <w:t xml:space="preserve"> as it has duly performed the required services in</w:t>
      </w:r>
      <w:r w:rsidR="000F0A4C">
        <w:rPr>
          <w:rFonts w:ascii="Arial" w:hAnsi="Arial" w:cs="Arial"/>
          <w:szCs w:val="26"/>
        </w:rPr>
        <w:t xml:space="preserve"> terms of the extended tender.</w:t>
      </w:r>
    </w:p>
    <w:p w:rsidR="00D577E9" w:rsidRDefault="00D577E9" w:rsidP="00B07875">
      <w:pPr>
        <w:pStyle w:val="ListParagraph"/>
        <w:spacing w:line="480" w:lineRule="auto"/>
        <w:ind w:left="360"/>
        <w:jc w:val="both"/>
        <w:rPr>
          <w:rFonts w:ascii="Arial" w:hAnsi="Arial" w:cs="Arial"/>
          <w:szCs w:val="26"/>
        </w:rPr>
      </w:pPr>
    </w:p>
    <w:p w:rsidR="00D577E9" w:rsidRPr="00712572" w:rsidRDefault="00D577E9" w:rsidP="00D577E9">
      <w:pPr>
        <w:pStyle w:val="ListParagraph"/>
        <w:numPr>
          <w:ilvl w:val="0"/>
          <w:numId w:val="3"/>
        </w:numPr>
        <w:spacing w:line="480" w:lineRule="auto"/>
        <w:jc w:val="both"/>
        <w:rPr>
          <w:rFonts w:ascii="Arial" w:hAnsi="Arial" w:cs="Arial"/>
          <w:i/>
          <w:szCs w:val="26"/>
        </w:rPr>
      </w:pPr>
      <w:r>
        <w:rPr>
          <w:rFonts w:ascii="Arial" w:hAnsi="Arial" w:cs="Arial"/>
          <w:szCs w:val="26"/>
        </w:rPr>
        <w:t xml:space="preserve">Phathilizwi has also raised the following points </w:t>
      </w:r>
      <w:r w:rsidRPr="00712572">
        <w:rPr>
          <w:rFonts w:ascii="Arial" w:hAnsi="Arial" w:cs="Arial"/>
          <w:i/>
          <w:szCs w:val="26"/>
        </w:rPr>
        <w:t>in limine:</w:t>
      </w:r>
    </w:p>
    <w:p w:rsidR="00D577E9" w:rsidRDefault="00202D80" w:rsidP="00F50659">
      <w:pPr>
        <w:pStyle w:val="ListParagraph"/>
        <w:spacing w:line="480" w:lineRule="auto"/>
        <w:ind w:left="1440" w:hanging="1080"/>
        <w:jc w:val="both"/>
        <w:rPr>
          <w:rFonts w:ascii="Arial" w:hAnsi="Arial" w:cs="Arial"/>
          <w:szCs w:val="26"/>
        </w:rPr>
      </w:pPr>
      <w:r>
        <w:rPr>
          <w:rFonts w:ascii="Arial" w:hAnsi="Arial" w:cs="Arial"/>
          <w:szCs w:val="26"/>
        </w:rPr>
        <w:t>9</w:t>
      </w:r>
      <w:r w:rsidR="00F50659">
        <w:rPr>
          <w:rFonts w:ascii="Arial" w:hAnsi="Arial" w:cs="Arial"/>
          <w:szCs w:val="26"/>
        </w:rPr>
        <w:t>.1</w:t>
      </w:r>
      <w:r w:rsidR="00F50659">
        <w:rPr>
          <w:rFonts w:ascii="Arial" w:hAnsi="Arial" w:cs="Arial"/>
          <w:szCs w:val="26"/>
        </w:rPr>
        <w:tab/>
      </w:r>
      <w:r w:rsidR="00D577E9">
        <w:rPr>
          <w:rFonts w:ascii="Arial" w:hAnsi="Arial" w:cs="Arial"/>
          <w:szCs w:val="26"/>
        </w:rPr>
        <w:t>the SIU ought to have sought the review in terms of the Promotion of Just Administrative Act</w:t>
      </w:r>
      <w:r w:rsidR="00003BBB">
        <w:rPr>
          <w:rFonts w:ascii="Arial" w:hAnsi="Arial" w:cs="Arial"/>
          <w:szCs w:val="26"/>
        </w:rPr>
        <w:t xml:space="preserve"> (PAJA)</w:t>
      </w:r>
      <w:r w:rsidR="00D577E9">
        <w:rPr>
          <w:rFonts w:ascii="Arial" w:hAnsi="Arial" w:cs="Arial"/>
          <w:szCs w:val="26"/>
        </w:rPr>
        <w:t>;</w:t>
      </w:r>
      <w:r w:rsidR="00D577E9">
        <w:rPr>
          <w:rStyle w:val="FootnoteReference"/>
          <w:rFonts w:ascii="Arial" w:hAnsi="Arial" w:cs="Arial"/>
          <w:szCs w:val="26"/>
        </w:rPr>
        <w:footnoteReference w:id="1"/>
      </w:r>
    </w:p>
    <w:p w:rsidR="00D577E9" w:rsidRDefault="00202D80" w:rsidP="00712572">
      <w:pPr>
        <w:pStyle w:val="ListParagraph"/>
        <w:spacing w:line="480" w:lineRule="auto"/>
        <w:ind w:left="1440" w:hanging="1080"/>
        <w:jc w:val="both"/>
        <w:rPr>
          <w:rFonts w:ascii="Arial" w:hAnsi="Arial" w:cs="Arial"/>
          <w:szCs w:val="26"/>
        </w:rPr>
      </w:pPr>
      <w:r>
        <w:rPr>
          <w:rFonts w:ascii="Arial" w:hAnsi="Arial" w:cs="Arial"/>
          <w:szCs w:val="26"/>
        </w:rPr>
        <w:t>9</w:t>
      </w:r>
      <w:r w:rsidR="00D577E9">
        <w:rPr>
          <w:rFonts w:ascii="Arial" w:hAnsi="Arial" w:cs="Arial"/>
          <w:szCs w:val="26"/>
        </w:rPr>
        <w:t xml:space="preserve">.2 </w:t>
      </w:r>
      <w:r w:rsidR="00F50659">
        <w:rPr>
          <w:rFonts w:ascii="Arial" w:hAnsi="Arial" w:cs="Arial"/>
          <w:szCs w:val="26"/>
        </w:rPr>
        <w:tab/>
      </w:r>
      <w:r w:rsidR="00D577E9">
        <w:rPr>
          <w:rFonts w:ascii="Arial" w:hAnsi="Arial" w:cs="Arial"/>
          <w:szCs w:val="26"/>
        </w:rPr>
        <w:t>p</w:t>
      </w:r>
      <w:r w:rsidR="000F0A4C">
        <w:rPr>
          <w:rFonts w:ascii="Arial" w:hAnsi="Arial" w:cs="Arial"/>
          <w:szCs w:val="26"/>
        </w:rPr>
        <w:t>aragraphs 30 and 31 of the founding a</w:t>
      </w:r>
      <w:r w:rsidR="00D577E9">
        <w:rPr>
          <w:rFonts w:ascii="Arial" w:hAnsi="Arial" w:cs="Arial"/>
          <w:szCs w:val="26"/>
        </w:rPr>
        <w:t>ffidav</w:t>
      </w:r>
      <w:r w:rsidR="00DC569C">
        <w:rPr>
          <w:rFonts w:ascii="Arial" w:hAnsi="Arial" w:cs="Arial"/>
          <w:szCs w:val="26"/>
        </w:rPr>
        <w:t xml:space="preserve">it ought to be struck out as they </w:t>
      </w:r>
      <w:r w:rsidR="00D577E9">
        <w:rPr>
          <w:rFonts w:ascii="Arial" w:hAnsi="Arial" w:cs="Arial"/>
          <w:szCs w:val="26"/>
        </w:rPr>
        <w:t>cont</w:t>
      </w:r>
      <w:r w:rsidR="000F0A4C">
        <w:rPr>
          <w:rFonts w:ascii="Arial" w:hAnsi="Arial" w:cs="Arial"/>
          <w:szCs w:val="26"/>
        </w:rPr>
        <w:t>a</w:t>
      </w:r>
      <w:r w:rsidR="00D577E9">
        <w:rPr>
          <w:rFonts w:ascii="Arial" w:hAnsi="Arial" w:cs="Arial"/>
          <w:szCs w:val="26"/>
        </w:rPr>
        <w:t>i</w:t>
      </w:r>
      <w:r w:rsidR="000F0A4C">
        <w:rPr>
          <w:rFonts w:ascii="Arial" w:hAnsi="Arial" w:cs="Arial"/>
          <w:szCs w:val="26"/>
        </w:rPr>
        <w:t xml:space="preserve">n </w:t>
      </w:r>
      <w:r w:rsidR="00D577E9">
        <w:rPr>
          <w:rFonts w:ascii="Arial" w:hAnsi="Arial" w:cs="Arial"/>
          <w:szCs w:val="26"/>
        </w:rPr>
        <w:t xml:space="preserve">inadmissible hearsay evidence. </w:t>
      </w:r>
    </w:p>
    <w:p w:rsidR="00D577E9" w:rsidRDefault="00D577E9" w:rsidP="00D577E9">
      <w:pPr>
        <w:pStyle w:val="ListParagraph"/>
        <w:spacing w:line="480" w:lineRule="auto"/>
        <w:ind w:left="360"/>
        <w:jc w:val="both"/>
        <w:rPr>
          <w:rFonts w:ascii="Arial" w:hAnsi="Arial" w:cs="Arial"/>
          <w:szCs w:val="26"/>
        </w:rPr>
      </w:pPr>
    </w:p>
    <w:p w:rsidR="00D577E9" w:rsidRDefault="00D577E9" w:rsidP="00D577E9">
      <w:pPr>
        <w:pStyle w:val="ListParagraph"/>
        <w:numPr>
          <w:ilvl w:val="0"/>
          <w:numId w:val="3"/>
        </w:numPr>
        <w:spacing w:line="480" w:lineRule="auto"/>
        <w:jc w:val="both"/>
        <w:rPr>
          <w:rFonts w:ascii="Arial" w:hAnsi="Arial" w:cs="Arial"/>
          <w:szCs w:val="26"/>
        </w:rPr>
      </w:pPr>
      <w:r>
        <w:rPr>
          <w:rFonts w:ascii="Arial" w:hAnsi="Arial" w:cs="Arial"/>
          <w:szCs w:val="26"/>
        </w:rPr>
        <w:t xml:space="preserve">The first point </w:t>
      </w:r>
      <w:r w:rsidRPr="00712572">
        <w:rPr>
          <w:rFonts w:ascii="Arial" w:hAnsi="Arial" w:cs="Arial"/>
          <w:i/>
          <w:szCs w:val="26"/>
        </w:rPr>
        <w:t>in limine</w:t>
      </w:r>
      <w:r>
        <w:rPr>
          <w:rFonts w:ascii="Arial" w:hAnsi="Arial" w:cs="Arial"/>
          <w:szCs w:val="26"/>
        </w:rPr>
        <w:t xml:space="preserve"> is dispositive of the review application, while the second is not. In the event that the first point </w:t>
      </w:r>
      <w:r w:rsidRPr="00712572">
        <w:rPr>
          <w:rFonts w:ascii="Arial" w:hAnsi="Arial" w:cs="Arial"/>
          <w:i/>
          <w:szCs w:val="26"/>
        </w:rPr>
        <w:t>in limine</w:t>
      </w:r>
      <w:r>
        <w:rPr>
          <w:rFonts w:ascii="Arial" w:hAnsi="Arial" w:cs="Arial"/>
          <w:szCs w:val="26"/>
        </w:rPr>
        <w:t xml:space="preserve"> is not upheld, the followings issues stand to be determined in respect of the merits. </w:t>
      </w:r>
    </w:p>
    <w:p w:rsidR="00D577E9" w:rsidRDefault="00997E77" w:rsidP="00D577E9">
      <w:pPr>
        <w:pStyle w:val="ListParagraph"/>
        <w:spacing w:line="480" w:lineRule="auto"/>
        <w:ind w:left="360"/>
        <w:jc w:val="both"/>
        <w:rPr>
          <w:rFonts w:ascii="Arial" w:hAnsi="Arial" w:cs="Arial"/>
          <w:szCs w:val="26"/>
        </w:rPr>
      </w:pPr>
      <w:r>
        <w:rPr>
          <w:rFonts w:ascii="Arial" w:hAnsi="Arial" w:cs="Arial"/>
          <w:szCs w:val="26"/>
        </w:rPr>
        <w:t>10</w:t>
      </w:r>
      <w:r w:rsidR="00D577E9">
        <w:rPr>
          <w:rFonts w:ascii="Arial" w:hAnsi="Arial" w:cs="Arial"/>
          <w:szCs w:val="26"/>
        </w:rPr>
        <w:t>.1 whether the extension of the tender was irregular and unlawful;</w:t>
      </w:r>
    </w:p>
    <w:p w:rsidR="00D577E9" w:rsidRDefault="00997E77" w:rsidP="00D577E9">
      <w:pPr>
        <w:pStyle w:val="ListParagraph"/>
        <w:spacing w:line="480" w:lineRule="auto"/>
        <w:ind w:left="360"/>
        <w:jc w:val="both"/>
        <w:rPr>
          <w:rFonts w:ascii="Arial" w:hAnsi="Arial" w:cs="Arial"/>
          <w:szCs w:val="26"/>
        </w:rPr>
      </w:pPr>
      <w:r>
        <w:rPr>
          <w:rFonts w:ascii="Arial" w:hAnsi="Arial" w:cs="Arial"/>
          <w:szCs w:val="26"/>
        </w:rPr>
        <w:t>10.2</w:t>
      </w:r>
      <w:r w:rsidR="00D577E9">
        <w:rPr>
          <w:rFonts w:ascii="Arial" w:hAnsi="Arial" w:cs="Arial"/>
          <w:szCs w:val="26"/>
        </w:rPr>
        <w:t xml:space="preserve"> whether the services were rendered</w:t>
      </w:r>
      <w:r w:rsidR="00202D80">
        <w:rPr>
          <w:rFonts w:ascii="Arial" w:hAnsi="Arial" w:cs="Arial"/>
          <w:szCs w:val="26"/>
        </w:rPr>
        <w:t xml:space="preserve"> under the extended tender</w:t>
      </w:r>
      <w:r w:rsidR="00D577E9">
        <w:rPr>
          <w:rFonts w:ascii="Arial" w:hAnsi="Arial" w:cs="Arial"/>
          <w:szCs w:val="26"/>
        </w:rPr>
        <w:t>;</w:t>
      </w:r>
    </w:p>
    <w:p w:rsidR="00D577E9" w:rsidRPr="00D577E9" w:rsidRDefault="00997E77" w:rsidP="00712572">
      <w:pPr>
        <w:pStyle w:val="ListParagraph"/>
        <w:spacing w:line="480" w:lineRule="auto"/>
        <w:ind w:left="360"/>
        <w:jc w:val="both"/>
        <w:rPr>
          <w:rFonts w:ascii="Arial" w:hAnsi="Arial" w:cs="Arial"/>
          <w:szCs w:val="26"/>
        </w:rPr>
      </w:pPr>
      <w:r>
        <w:rPr>
          <w:rFonts w:ascii="Arial" w:hAnsi="Arial" w:cs="Arial"/>
          <w:szCs w:val="26"/>
        </w:rPr>
        <w:t xml:space="preserve">10.3 </w:t>
      </w:r>
      <w:r w:rsidR="00D577E9">
        <w:rPr>
          <w:rFonts w:ascii="Arial" w:hAnsi="Arial" w:cs="Arial"/>
          <w:szCs w:val="26"/>
        </w:rPr>
        <w:t>whether Phathilizwi should be permitted to retain all the funds it earned from the extended tender</w:t>
      </w:r>
      <w:r w:rsidR="00202D80">
        <w:rPr>
          <w:rFonts w:ascii="Arial" w:hAnsi="Arial" w:cs="Arial"/>
          <w:szCs w:val="26"/>
        </w:rPr>
        <w:t>.</w:t>
      </w:r>
    </w:p>
    <w:p w:rsidR="00FD1EF2" w:rsidRPr="00D577E9" w:rsidRDefault="00FD1EF2" w:rsidP="00FD1EF2">
      <w:pPr>
        <w:spacing w:line="480" w:lineRule="auto"/>
        <w:jc w:val="both"/>
        <w:rPr>
          <w:rFonts w:ascii="Arial" w:hAnsi="Arial" w:cs="Arial"/>
          <w:sz w:val="26"/>
          <w:szCs w:val="26"/>
        </w:rPr>
      </w:pPr>
    </w:p>
    <w:p w:rsidR="00FD1EF2" w:rsidRPr="006B0A3E" w:rsidRDefault="00D577E9" w:rsidP="00FD1EF2">
      <w:pPr>
        <w:spacing w:line="480" w:lineRule="auto"/>
        <w:jc w:val="both"/>
        <w:rPr>
          <w:rFonts w:ascii="Arial" w:hAnsi="Arial" w:cs="Arial"/>
          <w:b/>
          <w:sz w:val="24"/>
          <w:szCs w:val="24"/>
        </w:rPr>
      </w:pPr>
      <w:r w:rsidRPr="006B0A3E">
        <w:rPr>
          <w:rFonts w:ascii="Arial" w:hAnsi="Arial" w:cs="Arial"/>
          <w:b/>
          <w:sz w:val="24"/>
          <w:szCs w:val="24"/>
        </w:rPr>
        <w:t>POINTS IN LIMINE</w:t>
      </w:r>
    </w:p>
    <w:p w:rsidR="00FD1EF2" w:rsidRPr="006B0A3E" w:rsidRDefault="006B0A3E" w:rsidP="006B0A3E">
      <w:pPr>
        <w:spacing w:line="480" w:lineRule="auto"/>
        <w:jc w:val="both"/>
        <w:rPr>
          <w:rFonts w:ascii="Arial" w:hAnsi="Arial" w:cs="Arial"/>
          <w:b/>
          <w:i/>
          <w:sz w:val="24"/>
          <w:szCs w:val="24"/>
        </w:rPr>
      </w:pPr>
      <w:r w:rsidRPr="006B0A3E">
        <w:rPr>
          <w:rFonts w:ascii="Arial" w:hAnsi="Arial" w:cs="Arial"/>
          <w:b/>
          <w:i/>
          <w:sz w:val="24"/>
          <w:szCs w:val="24"/>
        </w:rPr>
        <w:t>Whether the SIU should have brought the Review in terms of PAJA</w:t>
      </w:r>
    </w:p>
    <w:p w:rsidR="0095459D" w:rsidRPr="00C22DBC" w:rsidRDefault="00C22DBC" w:rsidP="00335504">
      <w:pPr>
        <w:pStyle w:val="ListParagraph"/>
        <w:numPr>
          <w:ilvl w:val="0"/>
          <w:numId w:val="3"/>
        </w:numPr>
        <w:spacing w:line="480" w:lineRule="auto"/>
        <w:jc w:val="both"/>
        <w:rPr>
          <w:rFonts w:ascii="Arial" w:hAnsi="Arial" w:cs="Arial"/>
        </w:rPr>
      </w:pPr>
      <w:r w:rsidRPr="00C22DBC">
        <w:rPr>
          <w:rFonts w:ascii="Arial" w:hAnsi="Arial" w:cs="Arial"/>
        </w:rPr>
        <w:t xml:space="preserve">On the authority in </w:t>
      </w:r>
      <w:r w:rsidRPr="00942464">
        <w:rPr>
          <w:rFonts w:ascii="Arial" w:hAnsi="Arial" w:cs="Arial"/>
          <w:i/>
        </w:rPr>
        <w:t>Gijima</w:t>
      </w:r>
      <w:r>
        <w:rPr>
          <w:rStyle w:val="FootnoteReference"/>
          <w:rFonts w:ascii="Arial" w:hAnsi="Arial" w:cs="Arial"/>
        </w:rPr>
        <w:footnoteReference w:id="2"/>
      </w:r>
      <w:r w:rsidR="00003BBB">
        <w:rPr>
          <w:rFonts w:ascii="Arial" w:hAnsi="Arial" w:cs="Arial"/>
        </w:rPr>
        <w:t xml:space="preserve"> as applied</w:t>
      </w:r>
      <w:r w:rsidRPr="00C22DBC">
        <w:rPr>
          <w:rFonts w:ascii="Arial" w:hAnsi="Arial" w:cs="Arial"/>
        </w:rPr>
        <w:t xml:space="preserve"> in </w:t>
      </w:r>
      <w:r w:rsidRPr="00942464">
        <w:rPr>
          <w:rFonts w:ascii="Arial" w:hAnsi="Arial" w:cs="Arial"/>
          <w:i/>
        </w:rPr>
        <w:t>MEC for Department of Treasury Free State Province</w:t>
      </w:r>
      <w:r w:rsidRPr="00C22DBC">
        <w:rPr>
          <w:rFonts w:ascii="Arial" w:hAnsi="Arial" w:cs="Arial"/>
        </w:rPr>
        <w:t>,</w:t>
      </w:r>
      <w:r>
        <w:rPr>
          <w:rStyle w:val="FootnoteReference"/>
          <w:rFonts w:ascii="Arial" w:hAnsi="Arial" w:cs="Arial"/>
        </w:rPr>
        <w:footnoteReference w:id="3"/>
      </w:r>
      <w:r w:rsidRPr="00C22DBC">
        <w:rPr>
          <w:rFonts w:ascii="Arial" w:hAnsi="Arial" w:cs="Arial"/>
        </w:rPr>
        <w:t xml:space="preserve"> </w:t>
      </w:r>
      <w:r w:rsidR="00202D80">
        <w:rPr>
          <w:rFonts w:ascii="Arial" w:hAnsi="Arial" w:cs="Arial"/>
        </w:rPr>
        <w:t xml:space="preserve">this review is akin to a self-review. Therefore, </w:t>
      </w:r>
      <w:r w:rsidRPr="00C22DBC">
        <w:rPr>
          <w:rFonts w:ascii="Arial" w:hAnsi="Arial" w:cs="Arial"/>
        </w:rPr>
        <w:t xml:space="preserve">PAJA is incompetent under the present circumstances. </w:t>
      </w:r>
      <w:r w:rsidR="00202D80">
        <w:rPr>
          <w:rFonts w:ascii="Arial" w:hAnsi="Arial" w:cs="Arial"/>
        </w:rPr>
        <w:t>The SIU correctly relies</w:t>
      </w:r>
      <w:r>
        <w:rPr>
          <w:rFonts w:ascii="Arial" w:hAnsi="Arial" w:cs="Arial"/>
        </w:rPr>
        <w:t xml:space="preserve"> on the prin</w:t>
      </w:r>
      <w:r w:rsidR="00202D80">
        <w:rPr>
          <w:rFonts w:ascii="Arial" w:hAnsi="Arial" w:cs="Arial"/>
        </w:rPr>
        <w:t>ciple of legality</w:t>
      </w:r>
      <w:r>
        <w:rPr>
          <w:rFonts w:ascii="Arial" w:hAnsi="Arial" w:cs="Arial"/>
        </w:rPr>
        <w:t xml:space="preserve">. </w:t>
      </w:r>
    </w:p>
    <w:p w:rsidR="00C22DBC" w:rsidRDefault="00C22DBC" w:rsidP="00C22DBC">
      <w:pPr>
        <w:spacing w:line="360" w:lineRule="auto"/>
        <w:rPr>
          <w:rFonts w:ascii="Arial" w:hAnsi="Arial" w:cs="Arial"/>
        </w:rPr>
      </w:pPr>
    </w:p>
    <w:p w:rsidR="00C22DBC" w:rsidRPr="00C22DBC" w:rsidRDefault="00712572" w:rsidP="00C22DBC">
      <w:pPr>
        <w:pStyle w:val="ListParagraph"/>
        <w:numPr>
          <w:ilvl w:val="0"/>
          <w:numId w:val="3"/>
        </w:numPr>
        <w:spacing w:line="360" w:lineRule="auto"/>
        <w:rPr>
          <w:rFonts w:ascii="Arial" w:hAnsi="Arial" w:cs="Arial"/>
          <w:sz w:val="22"/>
          <w:szCs w:val="22"/>
        </w:rPr>
      </w:pPr>
      <w:r>
        <w:rPr>
          <w:rFonts w:ascii="Arial" w:hAnsi="Arial" w:cs="Arial"/>
        </w:rPr>
        <w:t xml:space="preserve">Therefore, this point </w:t>
      </w:r>
      <w:r w:rsidRPr="00712572">
        <w:rPr>
          <w:rFonts w:ascii="Arial" w:hAnsi="Arial" w:cs="Arial"/>
          <w:i/>
        </w:rPr>
        <w:t>in</w:t>
      </w:r>
      <w:r w:rsidR="00C22DBC" w:rsidRPr="00712572">
        <w:rPr>
          <w:rFonts w:ascii="Arial" w:hAnsi="Arial" w:cs="Arial"/>
          <w:i/>
        </w:rPr>
        <w:t xml:space="preserve"> limine</w:t>
      </w:r>
      <w:r w:rsidR="00202D80">
        <w:rPr>
          <w:rFonts w:ascii="Arial" w:hAnsi="Arial" w:cs="Arial"/>
        </w:rPr>
        <w:t xml:space="preserve"> falls</w:t>
      </w:r>
      <w:r w:rsidR="00C22DBC" w:rsidRPr="00C22DBC">
        <w:rPr>
          <w:rFonts w:ascii="Arial" w:hAnsi="Arial" w:cs="Arial"/>
        </w:rPr>
        <w:t xml:space="preserve"> to be dismissed. </w:t>
      </w:r>
    </w:p>
    <w:p w:rsidR="00CF4A06" w:rsidRDefault="00CF4A06">
      <w:pPr>
        <w:rPr>
          <w:rFonts w:ascii="Arial" w:hAnsi="Arial" w:cs="Arial"/>
          <w:b/>
          <w:sz w:val="24"/>
          <w:szCs w:val="24"/>
        </w:rPr>
      </w:pPr>
    </w:p>
    <w:p w:rsidR="00CF4A06" w:rsidRDefault="00CF4A06">
      <w:pPr>
        <w:rPr>
          <w:rFonts w:ascii="Arial" w:hAnsi="Arial" w:cs="Arial"/>
          <w:b/>
          <w:i/>
          <w:sz w:val="24"/>
          <w:szCs w:val="24"/>
        </w:rPr>
      </w:pPr>
      <w:r w:rsidRPr="00C72150">
        <w:rPr>
          <w:rFonts w:ascii="Arial" w:hAnsi="Arial" w:cs="Arial"/>
          <w:b/>
          <w:i/>
          <w:sz w:val="24"/>
          <w:szCs w:val="24"/>
        </w:rPr>
        <w:t>Hearsay evidence</w:t>
      </w:r>
    </w:p>
    <w:p w:rsidR="0074179C" w:rsidRDefault="000F0A4C" w:rsidP="0074179C">
      <w:pPr>
        <w:pStyle w:val="ListParagraph"/>
        <w:numPr>
          <w:ilvl w:val="0"/>
          <w:numId w:val="3"/>
        </w:numPr>
        <w:spacing w:line="480" w:lineRule="auto"/>
        <w:jc w:val="both"/>
        <w:rPr>
          <w:rFonts w:ascii="Arial" w:hAnsi="Arial" w:cs="Arial"/>
        </w:rPr>
      </w:pPr>
      <w:r>
        <w:rPr>
          <w:rFonts w:ascii="Arial" w:hAnsi="Arial" w:cs="Arial"/>
        </w:rPr>
        <w:t>Phathilizwi</w:t>
      </w:r>
      <w:r w:rsidR="0074179C" w:rsidRPr="0074179C">
        <w:rPr>
          <w:rFonts w:ascii="Arial" w:hAnsi="Arial" w:cs="Arial"/>
        </w:rPr>
        <w:t xml:space="preserve"> seeks the evidence of the </w:t>
      </w:r>
      <w:r w:rsidR="00003BBB">
        <w:rPr>
          <w:rFonts w:ascii="Arial" w:hAnsi="Arial" w:cs="Arial"/>
        </w:rPr>
        <w:t>Municipality</w:t>
      </w:r>
      <w:r w:rsidR="00C72150">
        <w:rPr>
          <w:rFonts w:ascii="Arial" w:hAnsi="Arial" w:cs="Arial"/>
        </w:rPr>
        <w:t>’s Municipal</w:t>
      </w:r>
      <w:r w:rsidR="0074179C" w:rsidRPr="0074179C">
        <w:rPr>
          <w:rFonts w:ascii="Arial" w:hAnsi="Arial" w:cs="Arial"/>
        </w:rPr>
        <w:t xml:space="preserve"> </w:t>
      </w:r>
      <w:r w:rsidR="00C72150">
        <w:rPr>
          <w:rFonts w:ascii="Arial" w:hAnsi="Arial" w:cs="Arial"/>
        </w:rPr>
        <w:t xml:space="preserve">Manager, </w:t>
      </w:r>
      <w:r w:rsidR="0074179C" w:rsidRPr="0074179C">
        <w:rPr>
          <w:rFonts w:ascii="Arial" w:hAnsi="Arial" w:cs="Arial"/>
        </w:rPr>
        <w:t xml:space="preserve">Mr Hlazo as set out in paragraphs 30 and 31 </w:t>
      </w:r>
      <w:r>
        <w:rPr>
          <w:rFonts w:ascii="Arial" w:hAnsi="Arial" w:cs="Arial"/>
        </w:rPr>
        <w:t>of the founding a</w:t>
      </w:r>
      <w:r w:rsidR="00003BBB">
        <w:rPr>
          <w:rFonts w:ascii="Arial" w:hAnsi="Arial" w:cs="Arial"/>
        </w:rPr>
        <w:t>ffidavit</w:t>
      </w:r>
      <w:r w:rsidR="00C72150">
        <w:rPr>
          <w:rFonts w:ascii="Arial" w:hAnsi="Arial" w:cs="Arial"/>
        </w:rPr>
        <w:t>,</w:t>
      </w:r>
      <w:r w:rsidR="00003BBB">
        <w:rPr>
          <w:rFonts w:ascii="Arial" w:hAnsi="Arial" w:cs="Arial"/>
        </w:rPr>
        <w:t xml:space="preserve"> </w:t>
      </w:r>
      <w:r w:rsidR="0074179C" w:rsidRPr="0074179C">
        <w:rPr>
          <w:rFonts w:ascii="Arial" w:hAnsi="Arial" w:cs="Arial"/>
        </w:rPr>
        <w:t xml:space="preserve">struck out </w:t>
      </w:r>
      <w:r w:rsidR="00F61C2D">
        <w:rPr>
          <w:rFonts w:ascii="Arial" w:hAnsi="Arial" w:cs="Arial"/>
        </w:rPr>
        <w:t>as hearsay evidence because th</w:t>
      </w:r>
      <w:r w:rsidR="0074179C" w:rsidRPr="0074179C">
        <w:rPr>
          <w:rFonts w:ascii="Arial" w:hAnsi="Arial" w:cs="Arial"/>
        </w:rPr>
        <w:t xml:space="preserve">e SIU did not file a confirmatory affidavit by </w:t>
      </w:r>
      <w:r w:rsidR="00C72150">
        <w:rPr>
          <w:rFonts w:ascii="Arial" w:hAnsi="Arial" w:cs="Arial"/>
        </w:rPr>
        <w:t xml:space="preserve">Mr </w:t>
      </w:r>
      <w:r w:rsidR="0074179C" w:rsidRPr="0074179C">
        <w:rPr>
          <w:rFonts w:ascii="Arial" w:hAnsi="Arial" w:cs="Arial"/>
        </w:rPr>
        <w:t>Hlazo</w:t>
      </w:r>
      <w:r w:rsidR="00003BBB">
        <w:rPr>
          <w:rFonts w:ascii="Arial" w:hAnsi="Arial" w:cs="Arial"/>
        </w:rPr>
        <w:t xml:space="preserve">. </w:t>
      </w:r>
      <w:r w:rsidR="0074179C">
        <w:rPr>
          <w:rFonts w:ascii="Arial" w:hAnsi="Arial" w:cs="Arial"/>
        </w:rPr>
        <w:t xml:space="preserve"> </w:t>
      </w:r>
    </w:p>
    <w:p w:rsidR="00CF4A06" w:rsidRDefault="0074179C" w:rsidP="0074179C">
      <w:pPr>
        <w:pStyle w:val="ListParagraph"/>
        <w:spacing w:line="480" w:lineRule="auto"/>
        <w:ind w:left="360"/>
        <w:jc w:val="both"/>
        <w:rPr>
          <w:rFonts w:ascii="Arial" w:hAnsi="Arial" w:cs="Arial"/>
        </w:rPr>
      </w:pPr>
      <w:r w:rsidRPr="0074179C">
        <w:rPr>
          <w:rFonts w:ascii="Arial" w:hAnsi="Arial" w:cs="Arial"/>
        </w:rPr>
        <w:t xml:space="preserve"> </w:t>
      </w:r>
    </w:p>
    <w:p w:rsidR="00F61C2D" w:rsidRPr="00202D80" w:rsidRDefault="00F61C2D" w:rsidP="00F61C2D">
      <w:pPr>
        <w:pStyle w:val="ListParagraph"/>
        <w:numPr>
          <w:ilvl w:val="0"/>
          <w:numId w:val="3"/>
        </w:numPr>
        <w:spacing w:line="480" w:lineRule="auto"/>
        <w:jc w:val="both"/>
        <w:rPr>
          <w:rFonts w:ascii="Arial" w:hAnsi="Arial" w:cs="Arial"/>
        </w:rPr>
      </w:pPr>
      <w:r w:rsidRPr="00202D80">
        <w:rPr>
          <w:rFonts w:ascii="Arial" w:hAnsi="Arial" w:cs="Arial"/>
          <w:color w:val="000000"/>
        </w:rPr>
        <w:t xml:space="preserve">On the authority in </w:t>
      </w:r>
      <w:r w:rsidRPr="00202D80">
        <w:rPr>
          <w:rFonts w:ascii="Arial" w:hAnsi="Arial" w:cs="Arial"/>
          <w:i/>
          <w:color w:val="000000"/>
        </w:rPr>
        <w:t>Swissborough Diamond Mines</w:t>
      </w:r>
      <w:r w:rsidRPr="00202D80">
        <w:rPr>
          <w:rFonts w:ascii="Arial" w:hAnsi="Arial" w:cs="Arial"/>
          <w:color w:val="000000"/>
        </w:rPr>
        <w:t>,</w:t>
      </w:r>
      <w:r w:rsidRPr="00202D80">
        <w:rPr>
          <w:rStyle w:val="FootnoteReference"/>
          <w:rFonts w:ascii="Arial" w:hAnsi="Arial" w:cs="Arial"/>
          <w:bCs/>
          <w:color w:val="000000"/>
        </w:rPr>
        <w:footnoteReference w:id="4"/>
      </w:r>
      <w:r w:rsidRPr="00202D80">
        <w:rPr>
          <w:rFonts w:ascii="Arial" w:hAnsi="Arial" w:cs="Arial"/>
          <w:color w:val="000000"/>
        </w:rPr>
        <w:t xml:space="preserve"> hearsay evidence is subject to striking out because it constitutes irrelevant evidence.</w:t>
      </w:r>
      <w:r w:rsidRPr="00202D80">
        <w:rPr>
          <w:rFonts w:ascii="Arial" w:hAnsi="Arial" w:cs="Arial"/>
          <w:bCs/>
          <w:color w:val="000000"/>
        </w:rPr>
        <w:t xml:space="preserve"> </w:t>
      </w:r>
      <w:r w:rsidRPr="00202D80">
        <w:rPr>
          <w:rFonts w:ascii="Arial" w:hAnsi="Arial" w:cs="Arial"/>
        </w:rPr>
        <w:t xml:space="preserve">For the reasons that follow, I find that the evidence </w:t>
      </w:r>
      <w:r w:rsidR="0074179C" w:rsidRPr="00202D80">
        <w:rPr>
          <w:rFonts w:ascii="Arial" w:hAnsi="Arial" w:cs="Arial"/>
        </w:rPr>
        <w:t>Phathilizwi</w:t>
      </w:r>
      <w:r w:rsidRPr="00202D80">
        <w:rPr>
          <w:rFonts w:ascii="Arial" w:hAnsi="Arial" w:cs="Arial"/>
        </w:rPr>
        <w:t xml:space="preserve"> contends should be struck out does not constitute hearsay evidence. As a result, it is not subject to striking out. </w:t>
      </w:r>
    </w:p>
    <w:p w:rsidR="00F61C2D" w:rsidRPr="00F61C2D" w:rsidRDefault="00F61C2D" w:rsidP="00F61C2D">
      <w:pPr>
        <w:pStyle w:val="ListParagraph"/>
        <w:rPr>
          <w:rFonts w:ascii="Arial" w:hAnsi="Arial" w:cs="Arial"/>
        </w:rPr>
      </w:pPr>
    </w:p>
    <w:p w:rsidR="0074179C" w:rsidRDefault="0074179C" w:rsidP="0074179C">
      <w:pPr>
        <w:pStyle w:val="ListParagraph"/>
        <w:numPr>
          <w:ilvl w:val="0"/>
          <w:numId w:val="3"/>
        </w:numPr>
        <w:spacing w:line="480" w:lineRule="auto"/>
        <w:jc w:val="both"/>
        <w:rPr>
          <w:rFonts w:ascii="Arial" w:hAnsi="Arial" w:cs="Arial"/>
        </w:rPr>
      </w:pPr>
      <w:r>
        <w:rPr>
          <w:rFonts w:ascii="Arial" w:hAnsi="Arial" w:cs="Arial"/>
        </w:rPr>
        <w:t xml:space="preserve">At paragraph 32 of its answering affidavit, Phathilizwi states that </w:t>
      </w:r>
      <w:r w:rsidR="00C72150">
        <w:rPr>
          <w:rFonts w:ascii="Arial" w:hAnsi="Arial" w:cs="Arial"/>
        </w:rPr>
        <w:t xml:space="preserve">Mr </w:t>
      </w:r>
      <w:r>
        <w:rPr>
          <w:rFonts w:ascii="Arial" w:hAnsi="Arial" w:cs="Arial"/>
        </w:rPr>
        <w:t xml:space="preserve">Hlazo refused to settle its invoices and demanded that the invoices be accompanied by a portfolio of evidence that work had been done. This is what the SIU stated in the paragraphs Phathilizwi seeks struck out.  Phathilizwi submitted the portfolio on 15 June 2021. </w:t>
      </w:r>
    </w:p>
    <w:p w:rsidR="0074179C" w:rsidRPr="0074179C" w:rsidRDefault="0074179C" w:rsidP="0074179C">
      <w:pPr>
        <w:pStyle w:val="ListParagraph"/>
        <w:rPr>
          <w:rFonts w:ascii="Arial" w:hAnsi="Arial" w:cs="Arial"/>
        </w:rPr>
      </w:pPr>
    </w:p>
    <w:p w:rsidR="0074179C" w:rsidRDefault="0074179C" w:rsidP="0074179C">
      <w:pPr>
        <w:pStyle w:val="ListParagraph"/>
        <w:numPr>
          <w:ilvl w:val="0"/>
          <w:numId w:val="3"/>
        </w:numPr>
        <w:spacing w:line="480" w:lineRule="auto"/>
        <w:jc w:val="both"/>
        <w:rPr>
          <w:rFonts w:ascii="Arial" w:hAnsi="Arial" w:cs="Arial"/>
        </w:rPr>
      </w:pPr>
      <w:r>
        <w:rPr>
          <w:rFonts w:ascii="Arial" w:hAnsi="Arial" w:cs="Arial"/>
        </w:rPr>
        <w:t xml:space="preserve">It is unclear why Phathilizwi </w:t>
      </w:r>
      <w:r w:rsidR="00003BBB">
        <w:rPr>
          <w:rFonts w:ascii="Arial" w:hAnsi="Arial" w:cs="Arial"/>
        </w:rPr>
        <w:t xml:space="preserve">has turned about, </w:t>
      </w:r>
      <w:r>
        <w:rPr>
          <w:rFonts w:ascii="Arial" w:hAnsi="Arial" w:cs="Arial"/>
        </w:rPr>
        <w:t>seek</w:t>
      </w:r>
      <w:r w:rsidR="00003BBB">
        <w:rPr>
          <w:rFonts w:ascii="Arial" w:hAnsi="Arial" w:cs="Arial"/>
        </w:rPr>
        <w:t>ing</w:t>
      </w:r>
      <w:r>
        <w:rPr>
          <w:rFonts w:ascii="Arial" w:hAnsi="Arial" w:cs="Arial"/>
        </w:rPr>
        <w:t xml:space="preserve"> to </w:t>
      </w:r>
      <w:r w:rsidR="00C45D3C">
        <w:rPr>
          <w:rFonts w:ascii="Arial" w:hAnsi="Arial" w:cs="Arial"/>
        </w:rPr>
        <w:t xml:space="preserve">suppress this common cause evidence. </w:t>
      </w:r>
    </w:p>
    <w:p w:rsidR="00C45D3C" w:rsidRPr="00C45D3C" w:rsidRDefault="00C45D3C" w:rsidP="00C45D3C">
      <w:pPr>
        <w:pStyle w:val="ListParagraph"/>
        <w:rPr>
          <w:rFonts w:ascii="Arial" w:hAnsi="Arial" w:cs="Arial"/>
        </w:rPr>
      </w:pPr>
    </w:p>
    <w:p w:rsidR="00C45D3C" w:rsidRPr="00F61C2D" w:rsidRDefault="00C72150" w:rsidP="0074179C">
      <w:pPr>
        <w:pStyle w:val="ListParagraph"/>
        <w:numPr>
          <w:ilvl w:val="0"/>
          <w:numId w:val="3"/>
        </w:numPr>
        <w:spacing w:line="480" w:lineRule="auto"/>
        <w:jc w:val="both"/>
        <w:rPr>
          <w:rFonts w:ascii="Arial" w:hAnsi="Arial" w:cs="Arial"/>
        </w:rPr>
      </w:pPr>
      <w:r w:rsidRPr="00F61C2D">
        <w:rPr>
          <w:rFonts w:ascii="Arial" w:hAnsi="Arial" w:cs="Arial"/>
        </w:rPr>
        <w:t xml:space="preserve">Therefore, this point </w:t>
      </w:r>
      <w:r w:rsidRPr="00F61C2D">
        <w:rPr>
          <w:rFonts w:ascii="Arial" w:hAnsi="Arial" w:cs="Arial"/>
          <w:i/>
        </w:rPr>
        <w:t>in limine</w:t>
      </w:r>
      <w:r w:rsidRPr="00F61C2D">
        <w:rPr>
          <w:rFonts w:ascii="Arial" w:hAnsi="Arial" w:cs="Arial"/>
        </w:rPr>
        <w:t xml:space="preserve"> stands to be </w:t>
      </w:r>
      <w:r w:rsidR="00C45D3C" w:rsidRPr="00F61C2D">
        <w:rPr>
          <w:rFonts w:ascii="Arial" w:hAnsi="Arial" w:cs="Arial"/>
        </w:rPr>
        <w:t>dismissed.</w:t>
      </w:r>
    </w:p>
    <w:p w:rsidR="00CF4A06" w:rsidRDefault="00CF4A06" w:rsidP="00CF4A06">
      <w:pPr>
        <w:pStyle w:val="ListParagraph"/>
        <w:ind w:left="360"/>
        <w:rPr>
          <w:rFonts w:ascii="Arial" w:hAnsi="Arial" w:cs="Arial"/>
          <w:b/>
        </w:rPr>
      </w:pPr>
    </w:p>
    <w:p w:rsidR="00CF4A06" w:rsidRPr="00CF4A06" w:rsidRDefault="00CF4A06" w:rsidP="00CF4A06">
      <w:pPr>
        <w:pStyle w:val="ListParagraph"/>
        <w:ind w:left="360"/>
        <w:rPr>
          <w:rFonts w:ascii="Arial" w:hAnsi="Arial" w:cs="Arial"/>
          <w:b/>
        </w:rPr>
      </w:pPr>
    </w:p>
    <w:p w:rsidR="00CF4A06" w:rsidRPr="00CF4A06" w:rsidRDefault="00CF4A06">
      <w:pPr>
        <w:rPr>
          <w:rFonts w:ascii="Arial" w:hAnsi="Arial" w:cs="Arial"/>
          <w:b/>
          <w:sz w:val="24"/>
          <w:szCs w:val="24"/>
        </w:rPr>
      </w:pPr>
      <w:r w:rsidRPr="00CF4A06">
        <w:rPr>
          <w:rFonts w:ascii="Arial" w:hAnsi="Arial" w:cs="Arial"/>
          <w:b/>
          <w:sz w:val="24"/>
          <w:szCs w:val="24"/>
        </w:rPr>
        <w:t>THE MERITS</w:t>
      </w:r>
    </w:p>
    <w:p w:rsidR="00CF4A06" w:rsidRDefault="00CF4A06">
      <w:pPr>
        <w:rPr>
          <w:rFonts w:ascii="Arial" w:hAnsi="Arial" w:cs="Arial"/>
          <w:sz w:val="24"/>
          <w:szCs w:val="24"/>
        </w:rPr>
      </w:pPr>
    </w:p>
    <w:p w:rsidR="00CF4A06" w:rsidRPr="00CF4A06" w:rsidRDefault="00CF4A06" w:rsidP="00CF4A06">
      <w:pPr>
        <w:spacing w:line="480" w:lineRule="auto"/>
        <w:jc w:val="both"/>
        <w:rPr>
          <w:rFonts w:ascii="Arial" w:hAnsi="Arial" w:cs="Arial"/>
          <w:b/>
          <w:i/>
          <w:szCs w:val="26"/>
        </w:rPr>
      </w:pPr>
      <w:r w:rsidRPr="00CF4A06">
        <w:rPr>
          <w:rFonts w:ascii="Arial" w:hAnsi="Arial" w:cs="Arial"/>
          <w:b/>
          <w:i/>
          <w:szCs w:val="26"/>
        </w:rPr>
        <w:t>Whether the tender was duly extended in terms of the G</w:t>
      </w:r>
      <w:r w:rsidR="004F0D49">
        <w:rPr>
          <w:rFonts w:ascii="Arial" w:hAnsi="Arial" w:cs="Arial"/>
          <w:b/>
          <w:i/>
          <w:szCs w:val="26"/>
        </w:rPr>
        <w:t>CC</w:t>
      </w:r>
    </w:p>
    <w:p w:rsidR="00CF4A06" w:rsidRPr="00CF4A06" w:rsidRDefault="00CF4A06" w:rsidP="00CF4A06">
      <w:pPr>
        <w:pStyle w:val="ListParagraph"/>
        <w:numPr>
          <w:ilvl w:val="0"/>
          <w:numId w:val="3"/>
        </w:numPr>
        <w:rPr>
          <w:rFonts w:ascii="Arial" w:hAnsi="Arial" w:cs="Arial"/>
        </w:rPr>
      </w:pPr>
      <w:r>
        <w:rPr>
          <w:rFonts w:ascii="Arial" w:hAnsi="Arial" w:cs="Arial"/>
        </w:rPr>
        <w:t xml:space="preserve">Clause 21.2 of the </w:t>
      </w:r>
      <w:r w:rsidRPr="00CF4A06">
        <w:rPr>
          <w:rFonts w:ascii="Arial" w:hAnsi="Arial" w:cs="Arial"/>
          <w:szCs w:val="26"/>
        </w:rPr>
        <w:t>G</w:t>
      </w:r>
      <w:r w:rsidR="004F0D49">
        <w:rPr>
          <w:rFonts w:ascii="Arial" w:hAnsi="Arial" w:cs="Arial"/>
          <w:szCs w:val="26"/>
        </w:rPr>
        <w:t>CC</w:t>
      </w:r>
      <w:r>
        <w:rPr>
          <w:rFonts w:ascii="Arial" w:hAnsi="Arial" w:cs="Arial"/>
          <w:szCs w:val="26"/>
        </w:rPr>
        <w:t xml:space="preserve"> provides that:</w:t>
      </w:r>
    </w:p>
    <w:p w:rsidR="00CF4A06" w:rsidRDefault="00CF4A06" w:rsidP="00CF4A06">
      <w:pPr>
        <w:pStyle w:val="ListParagraph"/>
        <w:ind w:left="360"/>
        <w:rPr>
          <w:rFonts w:ascii="Arial" w:hAnsi="Arial" w:cs="Arial"/>
          <w:szCs w:val="26"/>
        </w:rPr>
      </w:pPr>
    </w:p>
    <w:p w:rsidR="00CF4A06" w:rsidRPr="00CF4A06" w:rsidRDefault="00712572" w:rsidP="00CF4A06">
      <w:pPr>
        <w:pStyle w:val="ListParagraph"/>
        <w:jc w:val="both"/>
        <w:rPr>
          <w:rFonts w:ascii="Arial" w:hAnsi="Arial" w:cs="Arial"/>
          <w:i/>
          <w:sz w:val="22"/>
          <w:szCs w:val="22"/>
        </w:rPr>
      </w:pPr>
      <w:r>
        <w:rPr>
          <w:rFonts w:ascii="Arial" w:hAnsi="Arial" w:cs="Arial"/>
          <w:i/>
          <w:sz w:val="22"/>
          <w:szCs w:val="22"/>
        </w:rPr>
        <w:t xml:space="preserve"> “I</w:t>
      </w:r>
      <w:r w:rsidR="00CF4A06" w:rsidRPr="00CF4A06">
        <w:rPr>
          <w:rFonts w:ascii="Arial" w:hAnsi="Arial" w:cs="Arial"/>
          <w:i/>
          <w:sz w:val="22"/>
          <w:szCs w:val="22"/>
        </w:rPr>
        <w:t>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cause. As soon as practicable after the receipt of the suppliers notice, the purchaser shall evaluate the situation and may at his discretion extend suppliers time for performance with or without the imposition of penalties in which case the extension shall be ratified by the parties by amendment of contract.”</w:t>
      </w:r>
      <w:r w:rsidR="00B87A4A">
        <w:rPr>
          <w:rFonts w:ascii="Arial" w:hAnsi="Arial" w:cs="Arial"/>
          <w:i/>
          <w:sz w:val="22"/>
          <w:szCs w:val="22"/>
        </w:rPr>
        <w:t xml:space="preserve"> (sic)</w:t>
      </w:r>
    </w:p>
    <w:p w:rsidR="00CF4A06" w:rsidRDefault="00CF4A06" w:rsidP="00CF4A06">
      <w:pPr>
        <w:pStyle w:val="ListParagraph"/>
        <w:ind w:left="360"/>
        <w:rPr>
          <w:rFonts w:ascii="Arial" w:hAnsi="Arial" w:cs="Arial"/>
        </w:rPr>
      </w:pPr>
    </w:p>
    <w:p w:rsidR="00C45D3C" w:rsidRPr="00CF4A06" w:rsidRDefault="00C45D3C" w:rsidP="00CF4A06">
      <w:pPr>
        <w:pStyle w:val="ListParagraph"/>
        <w:ind w:left="360"/>
        <w:rPr>
          <w:rFonts w:ascii="Arial" w:hAnsi="Arial" w:cs="Arial"/>
        </w:rPr>
      </w:pPr>
    </w:p>
    <w:p w:rsidR="00CF4A06" w:rsidRDefault="00CF4A06" w:rsidP="00191CDE">
      <w:pPr>
        <w:pStyle w:val="ListParagraph"/>
        <w:numPr>
          <w:ilvl w:val="0"/>
          <w:numId w:val="3"/>
        </w:numPr>
        <w:spacing w:line="480" w:lineRule="auto"/>
        <w:jc w:val="both"/>
        <w:rPr>
          <w:rFonts w:ascii="Arial" w:hAnsi="Arial" w:cs="Arial"/>
        </w:rPr>
      </w:pPr>
      <w:r>
        <w:rPr>
          <w:rFonts w:ascii="Arial" w:hAnsi="Arial" w:cs="Arial"/>
        </w:rPr>
        <w:t>Properly interpreted</w:t>
      </w:r>
      <w:r w:rsidR="00C72150">
        <w:rPr>
          <w:rFonts w:ascii="Arial" w:hAnsi="Arial" w:cs="Arial"/>
        </w:rPr>
        <w:t xml:space="preserve"> having regard to the text, context and purpose of the </w:t>
      </w:r>
      <w:r w:rsidR="004F0D49">
        <w:rPr>
          <w:rFonts w:ascii="Arial" w:hAnsi="Arial" w:cs="Arial"/>
        </w:rPr>
        <w:t>GCC</w:t>
      </w:r>
      <w:r w:rsidR="00C72150">
        <w:rPr>
          <w:rStyle w:val="FootnoteReference"/>
          <w:rFonts w:ascii="Arial" w:hAnsi="Arial" w:cs="Arial"/>
        </w:rPr>
        <w:footnoteReference w:id="5"/>
      </w:r>
      <w:r w:rsidR="00003BBB">
        <w:rPr>
          <w:rFonts w:ascii="Arial" w:hAnsi="Arial" w:cs="Arial"/>
        </w:rPr>
        <w:t>,</w:t>
      </w:r>
      <w:r>
        <w:rPr>
          <w:rFonts w:ascii="Arial" w:hAnsi="Arial" w:cs="Arial"/>
        </w:rPr>
        <w:t xml:space="preserve"> clause 21.2 permits the extension of a tender under the following circumstances:</w:t>
      </w:r>
    </w:p>
    <w:p w:rsidR="00CF4A06" w:rsidRDefault="00C12F3D" w:rsidP="00712572">
      <w:pPr>
        <w:pStyle w:val="ListParagraph"/>
        <w:spacing w:line="480" w:lineRule="auto"/>
        <w:ind w:left="1440" w:hanging="1080"/>
        <w:jc w:val="both"/>
        <w:rPr>
          <w:rFonts w:ascii="Arial" w:hAnsi="Arial" w:cs="Arial"/>
        </w:rPr>
      </w:pPr>
      <w:r>
        <w:rPr>
          <w:rFonts w:ascii="Arial" w:hAnsi="Arial" w:cs="Arial"/>
        </w:rPr>
        <w:t>19</w:t>
      </w:r>
      <w:r w:rsidR="00003BBB" w:rsidRPr="00397F58">
        <w:rPr>
          <w:rFonts w:ascii="Arial" w:hAnsi="Arial" w:cs="Arial"/>
        </w:rPr>
        <w:t xml:space="preserve">.1 </w:t>
      </w:r>
      <w:r w:rsidR="00712572">
        <w:rPr>
          <w:rFonts w:ascii="Arial" w:hAnsi="Arial" w:cs="Arial"/>
        </w:rPr>
        <w:tab/>
      </w:r>
      <w:r w:rsidR="00C72150" w:rsidRPr="00397F58">
        <w:rPr>
          <w:rFonts w:ascii="Arial" w:hAnsi="Arial" w:cs="Arial"/>
        </w:rPr>
        <w:t>a supplie</w:t>
      </w:r>
      <w:r w:rsidR="00712572">
        <w:rPr>
          <w:rFonts w:ascii="Arial" w:hAnsi="Arial" w:cs="Arial"/>
        </w:rPr>
        <w:t>r</w:t>
      </w:r>
      <w:r w:rsidR="00CF4A06" w:rsidRPr="00397F58">
        <w:rPr>
          <w:rFonts w:ascii="Arial" w:hAnsi="Arial" w:cs="Arial"/>
        </w:rPr>
        <w:t xml:space="preserve"> o</w:t>
      </w:r>
      <w:r w:rsidR="00C72150" w:rsidRPr="00397F58">
        <w:rPr>
          <w:rFonts w:ascii="Arial" w:hAnsi="Arial" w:cs="Arial"/>
        </w:rPr>
        <w:t>r</w:t>
      </w:r>
      <w:r w:rsidR="00CF4A06" w:rsidRPr="00397F58">
        <w:rPr>
          <w:rFonts w:ascii="Arial" w:hAnsi="Arial" w:cs="Arial"/>
        </w:rPr>
        <w:t xml:space="preserve"> service provider encounters circumstances that impede timeous performance;</w:t>
      </w:r>
      <w:r w:rsidR="00712572">
        <w:rPr>
          <w:rFonts w:ascii="Arial" w:hAnsi="Arial" w:cs="Arial"/>
        </w:rPr>
        <w:t xml:space="preserve"> </w:t>
      </w:r>
    </w:p>
    <w:p w:rsidR="00CF4A06" w:rsidRDefault="00C12F3D" w:rsidP="00712572">
      <w:pPr>
        <w:pStyle w:val="ListParagraph"/>
        <w:spacing w:line="480" w:lineRule="auto"/>
        <w:ind w:left="1440" w:hanging="1080"/>
        <w:jc w:val="both"/>
        <w:rPr>
          <w:rFonts w:ascii="Arial" w:hAnsi="Arial" w:cs="Arial"/>
        </w:rPr>
      </w:pPr>
      <w:r>
        <w:rPr>
          <w:rFonts w:ascii="Arial" w:hAnsi="Arial" w:cs="Arial"/>
        </w:rPr>
        <w:t>19</w:t>
      </w:r>
      <w:r w:rsidR="00712572">
        <w:rPr>
          <w:rFonts w:ascii="Arial" w:hAnsi="Arial" w:cs="Arial"/>
        </w:rPr>
        <w:t>.2</w:t>
      </w:r>
      <w:r w:rsidR="00712572">
        <w:rPr>
          <w:rFonts w:ascii="Arial" w:hAnsi="Arial" w:cs="Arial"/>
        </w:rPr>
        <w:tab/>
      </w:r>
      <w:r w:rsidR="00CF4A06">
        <w:rPr>
          <w:rFonts w:ascii="Arial" w:hAnsi="Arial" w:cs="Arial"/>
        </w:rPr>
        <w:t xml:space="preserve">the supplier or service provider has promptly notified the purchaser in </w:t>
      </w:r>
      <w:r w:rsidR="00083891">
        <w:rPr>
          <w:rFonts w:ascii="Arial" w:hAnsi="Arial" w:cs="Arial"/>
        </w:rPr>
        <w:t>w</w:t>
      </w:r>
      <w:r w:rsidR="00CF4A06">
        <w:rPr>
          <w:rFonts w:ascii="Arial" w:hAnsi="Arial" w:cs="Arial"/>
        </w:rPr>
        <w:t>riting of the fact of the delay, its likely duration and cause</w:t>
      </w:r>
      <w:r w:rsidR="00191CDE">
        <w:rPr>
          <w:rFonts w:ascii="Arial" w:hAnsi="Arial" w:cs="Arial"/>
        </w:rPr>
        <w:t>;</w:t>
      </w:r>
    </w:p>
    <w:p w:rsidR="00191CDE" w:rsidRDefault="00C12F3D" w:rsidP="00712572">
      <w:pPr>
        <w:pStyle w:val="ListParagraph"/>
        <w:spacing w:line="480" w:lineRule="auto"/>
        <w:ind w:left="1440" w:hanging="1080"/>
        <w:jc w:val="both"/>
        <w:rPr>
          <w:rFonts w:ascii="Arial" w:hAnsi="Arial" w:cs="Arial"/>
        </w:rPr>
      </w:pPr>
      <w:r>
        <w:rPr>
          <w:rFonts w:ascii="Arial" w:hAnsi="Arial" w:cs="Arial"/>
        </w:rPr>
        <w:t>19</w:t>
      </w:r>
      <w:r w:rsidR="00712572">
        <w:rPr>
          <w:rFonts w:ascii="Arial" w:hAnsi="Arial" w:cs="Arial"/>
        </w:rPr>
        <w:t>.3</w:t>
      </w:r>
      <w:r w:rsidR="00712572">
        <w:rPr>
          <w:rFonts w:ascii="Arial" w:hAnsi="Arial" w:cs="Arial"/>
        </w:rPr>
        <w:tab/>
      </w:r>
      <w:r w:rsidR="00191CDE">
        <w:rPr>
          <w:rFonts w:ascii="Arial" w:hAnsi="Arial" w:cs="Arial"/>
        </w:rPr>
        <w:t>on receipt of the request to extend the contract, the purchaser has evaluated the circumstances and has exercised a discretion to extend the time for performance with or without the imposition of penalties;</w:t>
      </w:r>
    </w:p>
    <w:p w:rsidR="00191CDE" w:rsidRDefault="00C12F3D" w:rsidP="00712572">
      <w:pPr>
        <w:pStyle w:val="ListParagraph"/>
        <w:spacing w:line="480" w:lineRule="auto"/>
        <w:ind w:left="1440" w:hanging="1080"/>
        <w:jc w:val="both"/>
        <w:rPr>
          <w:rFonts w:ascii="Arial" w:hAnsi="Arial" w:cs="Arial"/>
        </w:rPr>
      </w:pPr>
      <w:r>
        <w:rPr>
          <w:rFonts w:ascii="Arial" w:hAnsi="Arial" w:cs="Arial"/>
        </w:rPr>
        <w:t>19</w:t>
      </w:r>
      <w:r w:rsidR="00712572">
        <w:rPr>
          <w:rFonts w:ascii="Arial" w:hAnsi="Arial" w:cs="Arial"/>
        </w:rPr>
        <w:t>.4</w:t>
      </w:r>
      <w:r w:rsidR="00712572">
        <w:rPr>
          <w:rFonts w:ascii="Arial" w:hAnsi="Arial" w:cs="Arial"/>
        </w:rPr>
        <w:tab/>
      </w:r>
      <w:r w:rsidR="00191CDE">
        <w:rPr>
          <w:rFonts w:ascii="Arial" w:hAnsi="Arial" w:cs="Arial"/>
        </w:rPr>
        <w:t>the parties</w:t>
      </w:r>
      <w:r w:rsidR="00003BBB">
        <w:rPr>
          <w:rFonts w:ascii="Arial" w:hAnsi="Arial" w:cs="Arial"/>
        </w:rPr>
        <w:t xml:space="preserve"> have</w:t>
      </w:r>
      <w:r w:rsidR="00191CDE">
        <w:rPr>
          <w:rFonts w:ascii="Arial" w:hAnsi="Arial" w:cs="Arial"/>
        </w:rPr>
        <w:t xml:space="preserve"> conclude</w:t>
      </w:r>
      <w:r w:rsidR="00003BBB">
        <w:rPr>
          <w:rFonts w:ascii="Arial" w:hAnsi="Arial" w:cs="Arial"/>
        </w:rPr>
        <w:t>d</w:t>
      </w:r>
      <w:r w:rsidR="00191CDE">
        <w:rPr>
          <w:rFonts w:ascii="Arial" w:hAnsi="Arial" w:cs="Arial"/>
        </w:rPr>
        <w:t xml:space="preserve"> an amendment to the contract to </w:t>
      </w:r>
      <w:r w:rsidR="00B87A4A">
        <w:rPr>
          <w:rFonts w:ascii="Arial" w:hAnsi="Arial" w:cs="Arial"/>
        </w:rPr>
        <w:t xml:space="preserve">give effect to </w:t>
      </w:r>
      <w:r w:rsidR="00191CDE">
        <w:rPr>
          <w:rFonts w:ascii="Arial" w:hAnsi="Arial" w:cs="Arial"/>
        </w:rPr>
        <w:t xml:space="preserve">the extension. </w:t>
      </w:r>
    </w:p>
    <w:p w:rsidR="00191CDE" w:rsidRDefault="00191CDE" w:rsidP="00191CDE">
      <w:pPr>
        <w:pStyle w:val="ListParagraph"/>
        <w:spacing w:line="480" w:lineRule="auto"/>
        <w:ind w:left="360"/>
        <w:jc w:val="both"/>
        <w:rPr>
          <w:rFonts w:ascii="Arial" w:hAnsi="Arial" w:cs="Arial"/>
        </w:rPr>
      </w:pPr>
    </w:p>
    <w:p w:rsidR="00C72150" w:rsidRDefault="00191CDE" w:rsidP="00C009DB">
      <w:pPr>
        <w:pStyle w:val="ListParagraph"/>
        <w:numPr>
          <w:ilvl w:val="0"/>
          <w:numId w:val="3"/>
        </w:numPr>
        <w:spacing w:line="480" w:lineRule="auto"/>
        <w:jc w:val="both"/>
        <w:rPr>
          <w:rFonts w:ascii="Arial" w:hAnsi="Arial" w:cs="Arial"/>
        </w:rPr>
      </w:pPr>
      <w:r w:rsidRPr="00097BB9">
        <w:rPr>
          <w:rFonts w:ascii="Arial" w:hAnsi="Arial" w:cs="Arial"/>
        </w:rPr>
        <w:t>Phathilizwi conflates the purpose of clause 21.2 with a deviation authorized in terms of Treasury Regulation 16A6.4. The purpose of clause 21.2 is</w:t>
      </w:r>
      <w:r w:rsidR="00712572" w:rsidRPr="00097BB9">
        <w:rPr>
          <w:rFonts w:ascii="Arial" w:hAnsi="Arial" w:cs="Arial"/>
        </w:rPr>
        <w:t xml:space="preserve"> to authorize and give </w:t>
      </w:r>
      <w:r w:rsidRPr="00097BB9">
        <w:rPr>
          <w:rFonts w:ascii="Arial" w:hAnsi="Arial" w:cs="Arial"/>
        </w:rPr>
        <w:t>effect</w:t>
      </w:r>
      <w:r w:rsidR="00712572" w:rsidRPr="00097BB9">
        <w:rPr>
          <w:rFonts w:ascii="Arial" w:hAnsi="Arial" w:cs="Arial"/>
        </w:rPr>
        <w:t xml:space="preserve"> to</w:t>
      </w:r>
      <w:r w:rsidRPr="00097BB9">
        <w:rPr>
          <w:rFonts w:ascii="Arial" w:hAnsi="Arial" w:cs="Arial"/>
        </w:rPr>
        <w:t xml:space="preserve"> the extension of a contract </w:t>
      </w:r>
      <w:r w:rsidR="00097BB9" w:rsidRPr="00097BB9">
        <w:rPr>
          <w:rFonts w:ascii="Arial" w:hAnsi="Arial" w:cs="Arial"/>
        </w:rPr>
        <w:t>when</w:t>
      </w:r>
      <w:r w:rsidRPr="00097BB9">
        <w:rPr>
          <w:rFonts w:ascii="Arial" w:hAnsi="Arial" w:cs="Arial"/>
        </w:rPr>
        <w:t xml:space="preserve"> a supplier or service provid</w:t>
      </w:r>
      <w:r w:rsidR="004F0D49">
        <w:rPr>
          <w:rFonts w:ascii="Arial" w:hAnsi="Arial" w:cs="Arial"/>
        </w:rPr>
        <w:t>e</w:t>
      </w:r>
      <w:r w:rsidRPr="00097BB9">
        <w:rPr>
          <w:rFonts w:ascii="Arial" w:hAnsi="Arial" w:cs="Arial"/>
        </w:rPr>
        <w:t>r encounters circumstances that impede timeous performance</w:t>
      </w:r>
      <w:r w:rsidR="00097BB9" w:rsidRPr="00097BB9">
        <w:rPr>
          <w:rFonts w:ascii="Arial" w:hAnsi="Arial" w:cs="Arial"/>
        </w:rPr>
        <w:t xml:space="preserve"> in terms of the original </w:t>
      </w:r>
      <w:r w:rsidR="00C12F3D">
        <w:rPr>
          <w:rFonts w:ascii="Arial" w:hAnsi="Arial" w:cs="Arial"/>
        </w:rPr>
        <w:t>tender</w:t>
      </w:r>
      <w:r w:rsidR="00097BB9" w:rsidRPr="00097BB9">
        <w:rPr>
          <w:rFonts w:ascii="Arial" w:hAnsi="Arial" w:cs="Arial"/>
        </w:rPr>
        <w:t xml:space="preserve">. </w:t>
      </w:r>
    </w:p>
    <w:p w:rsidR="002B0FCD" w:rsidRDefault="002B0FCD" w:rsidP="002B0FCD">
      <w:pPr>
        <w:pStyle w:val="ListParagraph"/>
        <w:spacing w:line="480" w:lineRule="auto"/>
        <w:ind w:left="360"/>
        <w:jc w:val="both"/>
        <w:rPr>
          <w:rFonts w:ascii="Arial" w:hAnsi="Arial" w:cs="Arial"/>
        </w:rPr>
      </w:pPr>
    </w:p>
    <w:p w:rsidR="002B0FCD" w:rsidRDefault="002B0FCD" w:rsidP="002B0FCD">
      <w:pPr>
        <w:pStyle w:val="ListParagraph"/>
        <w:numPr>
          <w:ilvl w:val="0"/>
          <w:numId w:val="3"/>
        </w:numPr>
        <w:spacing w:line="480" w:lineRule="auto"/>
        <w:jc w:val="both"/>
        <w:rPr>
          <w:rFonts w:ascii="Arial" w:hAnsi="Arial" w:cs="Arial"/>
        </w:rPr>
      </w:pPr>
      <w:r>
        <w:rPr>
          <w:rFonts w:ascii="Arial" w:hAnsi="Arial" w:cs="Arial"/>
        </w:rPr>
        <w:t>It is not Phathilizwi’s case that it encountered</w:t>
      </w:r>
      <w:r w:rsidRPr="00397F58">
        <w:rPr>
          <w:rFonts w:ascii="Arial" w:hAnsi="Arial" w:cs="Arial"/>
        </w:rPr>
        <w:t xml:space="preserve"> circumstances that impede timeous performance</w:t>
      </w:r>
      <w:r>
        <w:rPr>
          <w:rFonts w:ascii="Arial" w:hAnsi="Arial" w:cs="Arial"/>
        </w:rPr>
        <w:t xml:space="preserve"> under the original tender. On Phathilizwi’s own version as set out in paragraph 38 of its answering affidavit, it did not request the extension of the original tender. The extension was instigated by the Municipality because it could not follow a competitive bidding process for an entirely different service. Therefore, Phathilizwi’s reliance on </w:t>
      </w:r>
      <w:r w:rsidRPr="00097BB9">
        <w:rPr>
          <w:rFonts w:ascii="Arial" w:hAnsi="Arial" w:cs="Arial"/>
        </w:rPr>
        <w:t>clause 21.2</w:t>
      </w:r>
      <w:r>
        <w:rPr>
          <w:rFonts w:ascii="Arial" w:hAnsi="Arial" w:cs="Arial"/>
        </w:rPr>
        <w:t xml:space="preserve"> is misplaced.</w:t>
      </w:r>
    </w:p>
    <w:p w:rsidR="00097BB9" w:rsidRPr="00097BB9" w:rsidRDefault="00097BB9" w:rsidP="00097BB9">
      <w:pPr>
        <w:pStyle w:val="ListParagraph"/>
        <w:spacing w:line="480" w:lineRule="auto"/>
        <w:ind w:left="360"/>
        <w:jc w:val="both"/>
        <w:rPr>
          <w:rFonts w:ascii="Arial" w:hAnsi="Arial" w:cs="Arial"/>
        </w:rPr>
      </w:pPr>
    </w:p>
    <w:p w:rsidR="00C72150" w:rsidRPr="00544375" w:rsidRDefault="00C72150" w:rsidP="00191CDE">
      <w:pPr>
        <w:pStyle w:val="ListParagraph"/>
        <w:numPr>
          <w:ilvl w:val="0"/>
          <w:numId w:val="3"/>
        </w:numPr>
        <w:spacing w:line="480" w:lineRule="auto"/>
        <w:jc w:val="both"/>
        <w:rPr>
          <w:rFonts w:ascii="Arial" w:hAnsi="Arial" w:cs="Arial"/>
        </w:rPr>
      </w:pPr>
      <w:r w:rsidRPr="00544375">
        <w:rPr>
          <w:rFonts w:ascii="Arial" w:hAnsi="Arial" w:cs="Arial"/>
        </w:rPr>
        <w:t>It is convenient at this point to quote the purported deviation as set out in Annexure FA6:</w:t>
      </w:r>
    </w:p>
    <w:p w:rsidR="00397F58" w:rsidRPr="00397F58" w:rsidRDefault="00397F58" w:rsidP="00397F58">
      <w:pPr>
        <w:pStyle w:val="ListParagraph"/>
        <w:rPr>
          <w:rFonts w:ascii="Arial" w:hAnsi="Arial" w:cs="Arial"/>
          <w:highlight w:val="yellow"/>
        </w:rPr>
      </w:pPr>
    </w:p>
    <w:p w:rsidR="00397F58" w:rsidRPr="00544375" w:rsidRDefault="00397F58" w:rsidP="00397F58">
      <w:pPr>
        <w:pStyle w:val="FootnoteText"/>
        <w:spacing w:line="360" w:lineRule="auto"/>
        <w:ind w:left="360"/>
        <w:jc w:val="both"/>
        <w:rPr>
          <w:rFonts w:ascii="Arial" w:hAnsi="Arial" w:cs="Arial"/>
          <w:i/>
          <w:sz w:val="22"/>
        </w:rPr>
      </w:pPr>
      <w:r w:rsidRPr="00544375">
        <w:rPr>
          <w:rFonts w:ascii="Arial" w:hAnsi="Arial" w:cs="Arial"/>
          <w:i/>
          <w:sz w:val="22"/>
        </w:rPr>
        <w:t xml:space="preserve">‘The Department of Legislative Services in its 2019/2020 SDBIP is responsible for conducting community education workshops and facilitating Speaker’s outreaches to the communities in an endeavour to encourage community members to participate in municipal programmes with full understanding of Local Government processes. </w:t>
      </w:r>
      <w:r w:rsidR="00B87A4A">
        <w:rPr>
          <w:rFonts w:ascii="Arial" w:hAnsi="Arial" w:cs="Arial"/>
          <w:i/>
          <w:sz w:val="22"/>
        </w:rPr>
        <w:t>(sic)</w:t>
      </w:r>
    </w:p>
    <w:p w:rsidR="00397F58" w:rsidRPr="00544375" w:rsidRDefault="00397F58" w:rsidP="00397F58">
      <w:pPr>
        <w:pStyle w:val="FootnoteText"/>
        <w:spacing w:line="360" w:lineRule="auto"/>
        <w:ind w:left="360"/>
        <w:jc w:val="both"/>
        <w:rPr>
          <w:rFonts w:ascii="Arial" w:hAnsi="Arial" w:cs="Arial"/>
          <w:i/>
          <w:sz w:val="13"/>
          <w:szCs w:val="11"/>
        </w:rPr>
      </w:pPr>
    </w:p>
    <w:p w:rsidR="00397F58" w:rsidRPr="00544375" w:rsidRDefault="00397F58" w:rsidP="00397F58">
      <w:pPr>
        <w:pStyle w:val="FootnoteText"/>
        <w:spacing w:line="360" w:lineRule="auto"/>
        <w:ind w:left="360"/>
        <w:jc w:val="both"/>
        <w:rPr>
          <w:rFonts w:ascii="Arial" w:hAnsi="Arial" w:cs="Arial"/>
          <w:i/>
          <w:sz w:val="22"/>
        </w:rPr>
      </w:pPr>
      <w:r w:rsidRPr="00544375">
        <w:rPr>
          <w:rFonts w:ascii="Arial" w:hAnsi="Arial" w:cs="Arial"/>
          <w:i/>
          <w:sz w:val="22"/>
        </w:rPr>
        <w:t>In order to successfully implement the above mandate, the department appointed Phathilizwi Training Institute on a term contract for a period of One (1) year, as per the attached appointment letter. The above contract has come to an end. Even though procurement process ha</w:t>
      </w:r>
      <w:r w:rsidR="00B87A4A">
        <w:rPr>
          <w:rFonts w:ascii="Arial" w:hAnsi="Arial" w:cs="Arial"/>
          <w:i/>
          <w:sz w:val="22"/>
        </w:rPr>
        <w:t>s</w:t>
      </w:r>
      <w:r w:rsidRPr="00544375">
        <w:rPr>
          <w:rFonts w:ascii="Arial" w:hAnsi="Arial" w:cs="Arial"/>
          <w:i/>
          <w:sz w:val="22"/>
        </w:rPr>
        <w:t xml:space="preserve"> </w:t>
      </w:r>
      <w:r w:rsidR="00B87A4A" w:rsidRPr="00544375">
        <w:rPr>
          <w:rFonts w:ascii="Arial" w:hAnsi="Arial" w:cs="Arial"/>
          <w:i/>
          <w:sz w:val="22"/>
        </w:rPr>
        <w:t>begun</w:t>
      </w:r>
      <w:r w:rsidRPr="00544375">
        <w:rPr>
          <w:rFonts w:ascii="Arial" w:hAnsi="Arial" w:cs="Arial"/>
          <w:i/>
          <w:sz w:val="22"/>
        </w:rPr>
        <w:t>, there are some delays that can negatively affect the implementation of the departmental DBIP.</w:t>
      </w:r>
      <w:r w:rsidR="00B87A4A">
        <w:rPr>
          <w:rFonts w:ascii="Arial" w:hAnsi="Arial" w:cs="Arial"/>
          <w:i/>
          <w:sz w:val="22"/>
        </w:rPr>
        <w:t xml:space="preserve"> (sic)</w:t>
      </w:r>
    </w:p>
    <w:p w:rsidR="00397F58" w:rsidRPr="00544375" w:rsidRDefault="00397F58" w:rsidP="00397F58">
      <w:pPr>
        <w:pStyle w:val="FootnoteText"/>
        <w:spacing w:line="360" w:lineRule="auto"/>
        <w:ind w:left="360"/>
        <w:jc w:val="both"/>
        <w:rPr>
          <w:rFonts w:ascii="Arial" w:hAnsi="Arial" w:cs="Arial"/>
          <w:i/>
          <w:sz w:val="22"/>
        </w:rPr>
      </w:pPr>
    </w:p>
    <w:p w:rsidR="00397F58" w:rsidRDefault="00397F58" w:rsidP="00397F58">
      <w:pPr>
        <w:pStyle w:val="FootnoteText"/>
        <w:spacing w:line="360" w:lineRule="auto"/>
        <w:ind w:left="360"/>
        <w:jc w:val="both"/>
        <w:rPr>
          <w:rFonts w:ascii="Arial" w:hAnsi="Arial" w:cs="Arial"/>
          <w:i/>
          <w:sz w:val="22"/>
        </w:rPr>
      </w:pPr>
      <w:r w:rsidRPr="00544375">
        <w:rPr>
          <w:rFonts w:ascii="Arial" w:hAnsi="Arial" w:cs="Arial"/>
          <w:i/>
          <w:sz w:val="22"/>
        </w:rPr>
        <w:t>In light of the above, your approval for extension of Phathilizwi Training Institute’s Contract for a period of Six (6) Months, is recommended’.</w:t>
      </w:r>
    </w:p>
    <w:p w:rsidR="002B0FCD" w:rsidRPr="00544375" w:rsidRDefault="002B0FCD" w:rsidP="00397F58">
      <w:pPr>
        <w:pStyle w:val="FootnoteText"/>
        <w:spacing w:line="360" w:lineRule="auto"/>
        <w:ind w:left="360"/>
        <w:jc w:val="both"/>
        <w:rPr>
          <w:rFonts w:ascii="Arial" w:hAnsi="Arial" w:cs="Arial"/>
          <w:i/>
          <w:sz w:val="22"/>
        </w:rPr>
      </w:pPr>
    </w:p>
    <w:p w:rsidR="00B87A4A" w:rsidRDefault="00397F58" w:rsidP="00C72150">
      <w:pPr>
        <w:pStyle w:val="ListParagraph"/>
        <w:numPr>
          <w:ilvl w:val="0"/>
          <w:numId w:val="3"/>
        </w:numPr>
        <w:spacing w:line="480" w:lineRule="auto"/>
        <w:jc w:val="both"/>
        <w:rPr>
          <w:rFonts w:ascii="Arial" w:hAnsi="Arial" w:cs="Arial"/>
        </w:rPr>
      </w:pPr>
      <w:r>
        <w:rPr>
          <w:rFonts w:ascii="Arial" w:hAnsi="Arial" w:cs="Arial"/>
        </w:rPr>
        <w:t xml:space="preserve">The recommendation was approved </w:t>
      </w:r>
      <w:r w:rsidRPr="00397F58">
        <w:rPr>
          <w:rFonts w:ascii="Arial" w:hAnsi="Arial" w:cs="Arial"/>
        </w:rPr>
        <w:t xml:space="preserve">as reflected from the annotation </w:t>
      </w:r>
      <w:r>
        <w:rPr>
          <w:rFonts w:ascii="Arial" w:hAnsi="Arial" w:cs="Arial"/>
        </w:rPr>
        <w:t xml:space="preserve">that appears in Annexure FA6. </w:t>
      </w:r>
    </w:p>
    <w:p w:rsidR="00B87A4A" w:rsidRDefault="00B87A4A" w:rsidP="00B87A4A">
      <w:pPr>
        <w:pStyle w:val="ListParagraph"/>
        <w:spacing w:line="480" w:lineRule="auto"/>
        <w:ind w:left="360"/>
        <w:jc w:val="both"/>
        <w:rPr>
          <w:rFonts w:ascii="Arial" w:hAnsi="Arial" w:cs="Arial"/>
        </w:rPr>
      </w:pPr>
    </w:p>
    <w:p w:rsidR="00C45D3C" w:rsidRDefault="00B87A4A" w:rsidP="00C72150">
      <w:pPr>
        <w:pStyle w:val="ListParagraph"/>
        <w:numPr>
          <w:ilvl w:val="0"/>
          <w:numId w:val="3"/>
        </w:numPr>
        <w:spacing w:line="480" w:lineRule="auto"/>
        <w:jc w:val="both"/>
        <w:rPr>
          <w:rFonts w:ascii="Arial" w:hAnsi="Arial" w:cs="Arial"/>
        </w:rPr>
      </w:pPr>
      <w:r>
        <w:rPr>
          <w:rFonts w:ascii="Arial" w:hAnsi="Arial" w:cs="Arial"/>
        </w:rPr>
        <w:t xml:space="preserve">The original tender was in respect of a community </w:t>
      </w:r>
      <w:r w:rsidRPr="00B87A4A">
        <w:rPr>
          <w:rFonts w:ascii="Arial" w:hAnsi="Arial" w:cs="Arial"/>
        </w:rPr>
        <w:t>outreach</w:t>
      </w:r>
      <w:r>
        <w:rPr>
          <w:rFonts w:ascii="Arial" w:hAnsi="Arial" w:cs="Arial"/>
        </w:rPr>
        <w:t xml:space="preserve"> </w:t>
      </w:r>
      <w:r w:rsidR="00C12F3D">
        <w:rPr>
          <w:rFonts w:ascii="Arial" w:hAnsi="Arial" w:cs="Arial"/>
        </w:rPr>
        <w:t xml:space="preserve">program </w:t>
      </w:r>
      <w:r w:rsidR="00BF620F">
        <w:rPr>
          <w:rFonts w:ascii="Arial" w:hAnsi="Arial" w:cs="Arial"/>
        </w:rPr>
        <w:t>aimed</w:t>
      </w:r>
      <w:r w:rsidRPr="00B87A4A">
        <w:rPr>
          <w:rFonts w:ascii="Arial" w:hAnsi="Arial" w:cs="Arial"/>
        </w:rPr>
        <w:t xml:space="preserve"> to encourage community members to participate in municipal program</w:t>
      </w:r>
      <w:r w:rsidR="00BF620F">
        <w:rPr>
          <w:rFonts w:ascii="Arial" w:hAnsi="Arial" w:cs="Arial"/>
        </w:rPr>
        <w:t>mes with full understanding of local g</w:t>
      </w:r>
      <w:r w:rsidRPr="00B87A4A">
        <w:rPr>
          <w:rFonts w:ascii="Arial" w:hAnsi="Arial" w:cs="Arial"/>
        </w:rPr>
        <w:t>overnment processes.</w:t>
      </w:r>
      <w:r w:rsidRPr="00B87A4A">
        <w:rPr>
          <w:rFonts w:ascii="Arial" w:hAnsi="Arial" w:cs="Arial"/>
          <w:i/>
        </w:rPr>
        <w:t xml:space="preserve"> </w:t>
      </w:r>
      <w:r w:rsidRPr="00BF620F">
        <w:rPr>
          <w:rFonts w:ascii="Arial" w:hAnsi="Arial" w:cs="Arial"/>
        </w:rPr>
        <w:t xml:space="preserve">The </w:t>
      </w:r>
      <w:r w:rsidR="00AE25D5">
        <w:rPr>
          <w:rFonts w:ascii="Arial" w:hAnsi="Arial" w:cs="Arial"/>
        </w:rPr>
        <w:t>extended tender is</w:t>
      </w:r>
      <w:r w:rsidRPr="00BF620F">
        <w:rPr>
          <w:rFonts w:ascii="Arial" w:hAnsi="Arial" w:cs="Arial"/>
        </w:rPr>
        <w:t xml:space="preserve"> for a completely different activity, namely </w:t>
      </w:r>
      <w:r w:rsidR="00BF620F" w:rsidRPr="00BF620F">
        <w:rPr>
          <w:rFonts w:ascii="Arial" w:hAnsi="Arial" w:cs="Arial"/>
        </w:rPr>
        <w:t xml:space="preserve">a </w:t>
      </w:r>
      <w:r w:rsidRPr="00BF620F">
        <w:rPr>
          <w:rFonts w:ascii="Arial" w:hAnsi="Arial" w:cs="Arial"/>
        </w:rPr>
        <w:t xml:space="preserve">Covid-19 door-to-door campaign. </w:t>
      </w:r>
      <w:r>
        <w:rPr>
          <w:rFonts w:ascii="Arial" w:hAnsi="Arial" w:cs="Arial"/>
        </w:rPr>
        <w:t xml:space="preserve"> </w:t>
      </w:r>
      <w:r w:rsidR="00B13AB2" w:rsidRPr="00B13AB2">
        <w:rPr>
          <w:rFonts w:ascii="Arial" w:hAnsi="Arial" w:cs="Arial"/>
        </w:rPr>
        <w:t>It clearly appears from the</w:t>
      </w:r>
      <w:r w:rsidR="00C12F3D">
        <w:rPr>
          <w:rFonts w:ascii="Arial" w:hAnsi="Arial" w:cs="Arial"/>
        </w:rPr>
        <w:t xml:space="preserve"> wording in</w:t>
      </w:r>
      <w:r w:rsidR="00C12F3D">
        <w:rPr>
          <w:rFonts w:ascii="Arial" w:hAnsi="Arial" w:cs="Arial"/>
        </w:rPr>
        <w:tab/>
      </w:r>
      <w:r w:rsidR="00AE25D5">
        <w:rPr>
          <w:rFonts w:ascii="Arial" w:hAnsi="Arial" w:cs="Arial"/>
        </w:rPr>
        <w:t xml:space="preserve"> Annexure FA6 that it</w:t>
      </w:r>
      <w:r w:rsidR="00B13AB2" w:rsidRPr="00B13AB2">
        <w:rPr>
          <w:rFonts w:ascii="Arial" w:hAnsi="Arial" w:cs="Arial"/>
        </w:rPr>
        <w:t xml:space="preserve"> constitutes an approval of the e</w:t>
      </w:r>
      <w:r w:rsidR="00AE25D5">
        <w:rPr>
          <w:rFonts w:ascii="Arial" w:hAnsi="Arial" w:cs="Arial"/>
        </w:rPr>
        <w:t xml:space="preserve">xtension of the original </w:t>
      </w:r>
      <w:r w:rsidR="00B13AB2" w:rsidRPr="00B13AB2">
        <w:rPr>
          <w:rFonts w:ascii="Arial" w:hAnsi="Arial" w:cs="Arial"/>
        </w:rPr>
        <w:t>t</w:t>
      </w:r>
      <w:r w:rsidR="00AE25D5">
        <w:rPr>
          <w:rFonts w:ascii="Arial" w:hAnsi="Arial" w:cs="Arial"/>
        </w:rPr>
        <w:t>ender</w:t>
      </w:r>
      <w:r w:rsidR="00B13AB2" w:rsidRPr="00B13AB2">
        <w:rPr>
          <w:rFonts w:ascii="Arial" w:hAnsi="Arial" w:cs="Arial"/>
        </w:rPr>
        <w:t>. It does</w:t>
      </w:r>
      <w:r w:rsidR="00BF620F">
        <w:rPr>
          <w:rFonts w:ascii="Arial" w:hAnsi="Arial" w:cs="Arial"/>
        </w:rPr>
        <w:t xml:space="preserve"> not authorize the expansion of the scope of the </w:t>
      </w:r>
      <w:r w:rsidR="00AE25D5">
        <w:rPr>
          <w:rFonts w:ascii="Arial" w:hAnsi="Arial" w:cs="Arial"/>
        </w:rPr>
        <w:t xml:space="preserve">original </w:t>
      </w:r>
      <w:r w:rsidR="00BF620F">
        <w:rPr>
          <w:rFonts w:ascii="Arial" w:hAnsi="Arial" w:cs="Arial"/>
        </w:rPr>
        <w:t xml:space="preserve">tender to include the </w:t>
      </w:r>
      <w:r w:rsidR="00BF620F" w:rsidRPr="00BF620F">
        <w:rPr>
          <w:rFonts w:ascii="Arial" w:hAnsi="Arial" w:cs="Arial"/>
        </w:rPr>
        <w:t>Covid-19 door-to-door campaign</w:t>
      </w:r>
      <w:r w:rsidR="00BF620F">
        <w:rPr>
          <w:rFonts w:ascii="Arial" w:hAnsi="Arial" w:cs="Arial"/>
        </w:rPr>
        <w:t xml:space="preserve">. </w:t>
      </w:r>
      <w:r w:rsidR="00AE25D5">
        <w:rPr>
          <w:rFonts w:ascii="Arial" w:hAnsi="Arial" w:cs="Arial"/>
        </w:rPr>
        <w:t>Neither</w:t>
      </w:r>
      <w:r w:rsidR="00B13AB2" w:rsidRPr="00B13AB2">
        <w:rPr>
          <w:rFonts w:ascii="Arial" w:hAnsi="Arial" w:cs="Arial"/>
        </w:rPr>
        <w:t xml:space="preserve"> </w:t>
      </w:r>
      <w:r w:rsidR="00BF620F">
        <w:rPr>
          <w:rFonts w:ascii="Arial" w:hAnsi="Arial" w:cs="Arial"/>
        </w:rPr>
        <w:t xml:space="preserve">does </w:t>
      </w:r>
      <w:r w:rsidR="00AE25D5">
        <w:rPr>
          <w:rFonts w:ascii="Arial" w:hAnsi="Arial" w:cs="Arial"/>
        </w:rPr>
        <w:t>it</w:t>
      </w:r>
      <w:r w:rsidR="00B13AB2" w:rsidRPr="00B13AB2">
        <w:rPr>
          <w:rFonts w:ascii="Arial" w:hAnsi="Arial" w:cs="Arial"/>
        </w:rPr>
        <w:t xml:space="preserve"> </w:t>
      </w:r>
      <w:r w:rsidR="00BF620F">
        <w:rPr>
          <w:rFonts w:ascii="Arial" w:hAnsi="Arial" w:cs="Arial"/>
        </w:rPr>
        <w:t>authorize</w:t>
      </w:r>
      <w:r w:rsidR="00B13AB2" w:rsidRPr="00B13AB2">
        <w:rPr>
          <w:rFonts w:ascii="Arial" w:hAnsi="Arial" w:cs="Arial"/>
        </w:rPr>
        <w:t xml:space="preserve"> </w:t>
      </w:r>
      <w:r w:rsidR="00BF620F">
        <w:rPr>
          <w:rFonts w:ascii="Arial" w:hAnsi="Arial" w:cs="Arial"/>
        </w:rPr>
        <w:t xml:space="preserve">a deviation from the normal </w:t>
      </w:r>
      <w:r w:rsidR="00B13AB2" w:rsidRPr="00B13AB2">
        <w:rPr>
          <w:rFonts w:ascii="Arial" w:hAnsi="Arial" w:cs="Arial"/>
        </w:rPr>
        <w:t xml:space="preserve">bidding process in the event that the </w:t>
      </w:r>
      <w:r w:rsidR="00003BBB">
        <w:rPr>
          <w:rFonts w:ascii="Arial" w:hAnsi="Arial" w:cs="Arial"/>
        </w:rPr>
        <w:t>Municipality</w:t>
      </w:r>
      <w:r w:rsidR="00B13AB2" w:rsidRPr="00B13AB2">
        <w:rPr>
          <w:rFonts w:ascii="Arial" w:hAnsi="Arial" w:cs="Arial"/>
        </w:rPr>
        <w:t xml:space="preserve"> requires new services. Therefore, annexure FA6 does not constitute an approved deviation as foreshadowed in Treasury Regulation 16A6.4. </w:t>
      </w:r>
    </w:p>
    <w:p w:rsidR="00C72150" w:rsidRPr="00C72150" w:rsidRDefault="00C72150" w:rsidP="00C72150">
      <w:pPr>
        <w:pStyle w:val="ListParagraph"/>
        <w:rPr>
          <w:rFonts w:ascii="Arial" w:hAnsi="Arial" w:cs="Arial"/>
        </w:rPr>
      </w:pPr>
    </w:p>
    <w:p w:rsidR="00C33002" w:rsidRDefault="00B13AB2">
      <w:pPr>
        <w:pStyle w:val="ListParagraph"/>
        <w:numPr>
          <w:ilvl w:val="0"/>
          <w:numId w:val="3"/>
        </w:numPr>
        <w:spacing w:line="480" w:lineRule="auto"/>
        <w:jc w:val="both"/>
        <w:rPr>
          <w:rFonts w:ascii="Arial" w:hAnsi="Arial" w:cs="Arial"/>
        </w:rPr>
      </w:pPr>
      <w:r>
        <w:rPr>
          <w:rFonts w:ascii="Arial" w:hAnsi="Arial" w:cs="Arial"/>
        </w:rPr>
        <w:t xml:space="preserve">The fact that Phathilizwi would provide the additional services at the same price is of no moment. The original tender </w:t>
      </w:r>
      <w:r w:rsidR="00C33002">
        <w:rPr>
          <w:rFonts w:ascii="Arial" w:hAnsi="Arial" w:cs="Arial"/>
        </w:rPr>
        <w:t>did not set a fix</w:t>
      </w:r>
      <w:r w:rsidR="00C72150">
        <w:rPr>
          <w:rFonts w:ascii="Arial" w:hAnsi="Arial" w:cs="Arial"/>
        </w:rPr>
        <w:t>ed</w:t>
      </w:r>
      <w:r w:rsidR="00C33002">
        <w:rPr>
          <w:rFonts w:ascii="Arial" w:hAnsi="Arial" w:cs="Arial"/>
        </w:rPr>
        <w:t xml:space="preserve"> price for the services Phathilizwi was originally contracted to provide. For these services, Phathilizwi charged R660 per person per day</w:t>
      </w:r>
      <w:r w:rsidR="00477070">
        <w:rPr>
          <w:rFonts w:ascii="Arial" w:hAnsi="Arial" w:cs="Arial"/>
        </w:rPr>
        <w:t xml:space="preserve">. </w:t>
      </w:r>
      <w:r w:rsidR="00C33002">
        <w:rPr>
          <w:rFonts w:ascii="Arial" w:hAnsi="Arial" w:cs="Arial"/>
        </w:rPr>
        <w:t>To the extent that when performing the door</w:t>
      </w:r>
      <w:r w:rsidR="00AE25D5">
        <w:rPr>
          <w:rFonts w:ascii="Arial" w:hAnsi="Arial" w:cs="Arial"/>
        </w:rPr>
        <w:t>-</w:t>
      </w:r>
      <w:r w:rsidR="00C33002">
        <w:rPr>
          <w:rFonts w:ascii="Arial" w:hAnsi="Arial" w:cs="Arial"/>
        </w:rPr>
        <w:t>to</w:t>
      </w:r>
      <w:r w:rsidR="00AE25D5">
        <w:rPr>
          <w:rFonts w:ascii="Arial" w:hAnsi="Arial" w:cs="Arial"/>
        </w:rPr>
        <w:t>-</w:t>
      </w:r>
      <w:r w:rsidR="00C33002">
        <w:rPr>
          <w:rFonts w:ascii="Arial" w:hAnsi="Arial" w:cs="Arial"/>
        </w:rPr>
        <w:t xml:space="preserve">door campaign in terms of the extended </w:t>
      </w:r>
      <w:r w:rsidR="00AE25D5">
        <w:rPr>
          <w:rFonts w:ascii="Arial" w:hAnsi="Arial" w:cs="Arial"/>
        </w:rPr>
        <w:t>tender</w:t>
      </w:r>
      <w:r w:rsidR="00C33002">
        <w:rPr>
          <w:rFonts w:ascii="Arial" w:hAnsi="Arial" w:cs="Arial"/>
        </w:rPr>
        <w:t xml:space="preserve">, Phathilizwi would levy additional charges for each person it provided Covid 19 information or training to, the extension resulted in an increase in the cost of the tender. But for the extension, the </w:t>
      </w:r>
      <w:r w:rsidR="00003BBB">
        <w:rPr>
          <w:rFonts w:ascii="Arial" w:hAnsi="Arial" w:cs="Arial"/>
        </w:rPr>
        <w:t>Municipality</w:t>
      </w:r>
      <w:r w:rsidR="00C33002">
        <w:rPr>
          <w:rFonts w:ascii="Arial" w:hAnsi="Arial" w:cs="Arial"/>
        </w:rPr>
        <w:t xml:space="preserve"> would not have incurred the additional cost of R4,856,600 in respect of the invoices Phathilizwi rendered on 21 and 25 May</w:t>
      </w:r>
      <w:r w:rsidR="00477070">
        <w:rPr>
          <w:rFonts w:ascii="Arial" w:hAnsi="Arial" w:cs="Arial"/>
        </w:rPr>
        <w:t xml:space="preserve"> 2020</w:t>
      </w:r>
      <w:r w:rsidR="00C33002">
        <w:rPr>
          <w:rFonts w:ascii="Arial" w:hAnsi="Arial" w:cs="Arial"/>
        </w:rPr>
        <w:t xml:space="preserve"> for the Covid 19 door</w:t>
      </w:r>
      <w:r w:rsidR="00AE25D5">
        <w:rPr>
          <w:rFonts w:ascii="Arial" w:hAnsi="Arial" w:cs="Arial"/>
        </w:rPr>
        <w:t>-</w:t>
      </w:r>
      <w:r w:rsidR="00C33002">
        <w:rPr>
          <w:rFonts w:ascii="Arial" w:hAnsi="Arial" w:cs="Arial"/>
        </w:rPr>
        <w:t>to</w:t>
      </w:r>
      <w:r w:rsidR="00AE25D5">
        <w:rPr>
          <w:rFonts w:ascii="Arial" w:hAnsi="Arial" w:cs="Arial"/>
        </w:rPr>
        <w:t>-</w:t>
      </w:r>
      <w:r w:rsidR="00C33002">
        <w:rPr>
          <w:rFonts w:ascii="Arial" w:hAnsi="Arial" w:cs="Arial"/>
        </w:rPr>
        <w:t xml:space="preserve">door campaign.  </w:t>
      </w:r>
      <w:r w:rsidR="00C12F3D">
        <w:rPr>
          <w:rFonts w:ascii="Arial" w:hAnsi="Arial" w:cs="Arial"/>
        </w:rPr>
        <w:t xml:space="preserve">Consistently with Phathilizwi’s version as set out in paragraph 21 of this judgment, these circumstances suggest that the extended tender is, for all intends and purposes, a new tender. The prescribed procurement process had to be followed when awarding it. </w:t>
      </w:r>
    </w:p>
    <w:p w:rsidR="00B13AB2" w:rsidRDefault="00C33002" w:rsidP="00C33002">
      <w:pPr>
        <w:pStyle w:val="ListParagraph"/>
        <w:spacing w:line="480" w:lineRule="auto"/>
        <w:ind w:left="360"/>
        <w:jc w:val="both"/>
        <w:rPr>
          <w:rFonts w:ascii="Arial" w:hAnsi="Arial" w:cs="Arial"/>
        </w:rPr>
      </w:pPr>
      <w:r>
        <w:rPr>
          <w:rFonts w:ascii="Arial" w:hAnsi="Arial" w:cs="Arial"/>
        </w:rPr>
        <w:t xml:space="preserve"> </w:t>
      </w:r>
    </w:p>
    <w:p w:rsidR="00AB3AFC" w:rsidRDefault="00AE25D5" w:rsidP="00CF031F">
      <w:pPr>
        <w:pStyle w:val="ListParagraph"/>
        <w:numPr>
          <w:ilvl w:val="0"/>
          <w:numId w:val="3"/>
        </w:numPr>
        <w:spacing w:line="480" w:lineRule="auto"/>
        <w:jc w:val="both"/>
        <w:rPr>
          <w:rFonts w:ascii="Arial" w:hAnsi="Arial" w:cs="Arial"/>
          <w:szCs w:val="26"/>
        </w:rPr>
      </w:pPr>
      <w:r>
        <w:rPr>
          <w:rFonts w:ascii="Arial" w:hAnsi="Arial" w:cs="Arial"/>
          <w:szCs w:val="26"/>
        </w:rPr>
        <w:t>When extending the tender, t</w:t>
      </w:r>
      <w:r w:rsidR="00CA0E97">
        <w:rPr>
          <w:rFonts w:ascii="Arial" w:hAnsi="Arial" w:cs="Arial"/>
          <w:szCs w:val="26"/>
        </w:rPr>
        <w:t>he Municipality failed to comply with the emergency procurement process as set out in Treasury Regulation 16A6.4</w:t>
      </w:r>
      <w:r w:rsidR="0055560C">
        <w:rPr>
          <w:rFonts w:ascii="Arial" w:hAnsi="Arial" w:cs="Arial"/>
          <w:szCs w:val="26"/>
        </w:rPr>
        <w:t xml:space="preserve"> as required by the National Treasury Practice Note 6 of 2007/2008 (NTP 6)</w:t>
      </w:r>
      <w:r w:rsidR="00CA0E97">
        <w:rPr>
          <w:rFonts w:ascii="Arial" w:hAnsi="Arial" w:cs="Arial"/>
          <w:szCs w:val="26"/>
        </w:rPr>
        <w:t xml:space="preserve">. </w:t>
      </w:r>
      <w:r w:rsidR="00CF031F">
        <w:rPr>
          <w:rFonts w:ascii="Arial" w:hAnsi="Arial" w:cs="Arial"/>
          <w:szCs w:val="26"/>
        </w:rPr>
        <w:t xml:space="preserve">This </w:t>
      </w:r>
      <w:r w:rsidR="00CF031F" w:rsidRPr="00CA0E97">
        <w:rPr>
          <w:rFonts w:ascii="Arial" w:hAnsi="Arial" w:cs="Arial"/>
          <w:szCs w:val="26"/>
        </w:rPr>
        <w:t>regulation</w:t>
      </w:r>
      <w:r w:rsidR="00CF031F">
        <w:rPr>
          <w:rFonts w:ascii="Arial" w:hAnsi="Arial" w:cs="Arial"/>
          <w:szCs w:val="26"/>
        </w:rPr>
        <w:t xml:space="preserve"> was</w:t>
      </w:r>
      <w:r w:rsidR="00CF031F" w:rsidRPr="00CA0E97">
        <w:rPr>
          <w:rFonts w:ascii="Arial" w:hAnsi="Arial" w:cs="Arial"/>
          <w:szCs w:val="26"/>
        </w:rPr>
        <w:t xml:space="preserve"> promulgated to give effect to the values of fairness, equity, transparency, competitiveness and cost effectiveness in public procurement as mandated by section 217(1) of the Constitution. </w:t>
      </w:r>
      <w:r w:rsidR="002B0FCD">
        <w:rPr>
          <w:rFonts w:ascii="Arial" w:hAnsi="Arial" w:cs="Arial"/>
          <w:szCs w:val="26"/>
        </w:rPr>
        <w:t xml:space="preserve">The procurement process followed to extend the tender undermines these values. </w:t>
      </w:r>
      <w:r w:rsidR="00097BB9" w:rsidRPr="00CF031F">
        <w:rPr>
          <w:rFonts w:ascii="Arial" w:hAnsi="Arial" w:cs="Arial"/>
          <w:szCs w:val="26"/>
        </w:rPr>
        <w:t>Th</w:t>
      </w:r>
      <w:r w:rsidRPr="00CF031F">
        <w:rPr>
          <w:rFonts w:ascii="Arial" w:hAnsi="Arial" w:cs="Arial"/>
          <w:szCs w:val="26"/>
        </w:rPr>
        <w:t xml:space="preserve">is </w:t>
      </w:r>
      <w:r w:rsidR="00097BB9" w:rsidRPr="00CF031F">
        <w:rPr>
          <w:rFonts w:ascii="Arial" w:hAnsi="Arial" w:cs="Arial"/>
          <w:szCs w:val="26"/>
        </w:rPr>
        <w:t xml:space="preserve">renders the extension </w:t>
      </w:r>
      <w:r w:rsidRPr="00CF031F">
        <w:rPr>
          <w:rFonts w:ascii="Arial" w:hAnsi="Arial" w:cs="Arial"/>
          <w:szCs w:val="26"/>
        </w:rPr>
        <w:t xml:space="preserve">of the tender </w:t>
      </w:r>
      <w:r w:rsidR="00097BB9" w:rsidRPr="00CF031F">
        <w:rPr>
          <w:rFonts w:ascii="Arial" w:hAnsi="Arial" w:cs="Arial"/>
          <w:szCs w:val="26"/>
        </w:rPr>
        <w:t xml:space="preserve">unlawful. </w:t>
      </w:r>
    </w:p>
    <w:p w:rsidR="00AB3AFC" w:rsidRPr="00AB3AFC" w:rsidRDefault="00AB3AFC" w:rsidP="00AB3AFC">
      <w:pPr>
        <w:pStyle w:val="ListParagraph"/>
        <w:rPr>
          <w:rFonts w:ascii="Arial" w:hAnsi="Arial" w:cs="Arial"/>
          <w:szCs w:val="26"/>
        </w:rPr>
      </w:pPr>
    </w:p>
    <w:p w:rsidR="00CA0E97" w:rsidRPr="00CF031F" w:rsidRDefault="004F0D49" w:rsidP="00CF031F">
      <w:pPr>
        <w:pStyle w:val="ListParagraph"/>
        <w:numPr>
          <w:ilvl w:val="0"/>
          <w:numId w:val="3"/>
        </w:numPr>
        <w:spacing w:line="480" w:lineRule="auto"/>
        <w:jc w:val="both"/>
        <w:rPr>
          <w:rFonts w:ascii="Arial" w:hAnsi="Arial" w:cs="Arial"/>
          <w:szCs w:val="26"/>
        </w:rPr>
      </w:pPr>
      <w:r w:rsidRPr="00CF031F">
        <w:rPr>
          <w:rFonts w:ascii="Arial" w:hAnsi="Arial" w:cs="Arial"/>
          <w:szCs w:val="26"/>
        </w:rPr>
        <w:t xml:space="preserve">The emergency presented by the Covid 19 pandemic does not justify the utilization </w:t>
      </w:r>
      <w:r w:rsidR="0027104F" w:rsidRPr="00CF031F">
        <w:rPr>
          <w:rFonts w:ascii="Arial" w:hAnsi="Arial" w:cs="Arial"/>
          <w:szCs w:val="26"/>
        </w:rPr>
        <w:t xml:space="preserve">of </w:t>
      </w:r>
      <w:r w:rsidRPr="00CF031F">
        <w:rPr>
          <w:rFonts w:ascii="Arial" w:hAnsi="Arial" w:cs="Arial"/>
          <w:szCs w:val="26"/>
        </w:rPr>
        <w:t xml:space="preserve">an unlawful procurement process to extend the tender. </w:t>
      </w:r>
      <w:r w:rsidR="00AB3AFC">
        <w:rPr>
          <w:rFonts w:ascii="Arial" w:hAnsi="Arial" w:cs="Arial"/>
          <w:szCs w:val="26"/>
        </w:rPr>
        <w:t xml:space="preserve">Circumventing the prescribed competitive bidding process under these circumstances is clearly prohibited by </w:t>
      </w:r>
      <w:r w:rsidR="0055560C">
        <w:rPr>
          <w:rFonts w:ascii="Arial" w:hAnsi="Arial" w:cs="Arial"/>
          <w:szCs w:val="26"/>
        </w:rPr>
        <w:t>NTP 6. Further, no evidence that, within 10 days of authorizing the purported deviation, the Municipality’s accounting officer reported the extension of the tender to the relevant treasury and the Auditor General as required by NTP 6.</w:t>
      </w:r>
      <w:r w:rsidR="0055560C">
        <w:rPr>
          <w:rStyle w:val="FootnoteReference"/>
          <w:rFonts w:ascii="Arial" w:hAnsi="Arial" w:cs="Arial"/>
          <w:szCs w:val="26"/>
        </w:rPr>
        <w:footnoteReference w:id="6"/>
      </w:r>
      <w:r w:rsidR="0055560C">
        <w:rPr>
          <w:rFonts w:ascii="Arial" w:hAnsi="Arial" w:cs="Arial"/>
          <w:szCs w:val="26"/>
        </w:rPr>
        <w:t xml:space="preserve">  </w:t>
      </w:r>
      <w:r w:rsidR="00AB3AFC">
        <w:rPr>
          <w:rFonts w:ascii="Arial" w:hAnsi="Arial" w:cs="Arial"/>
          <w:szCs w:val="26"/>
        </w:rPr>
        <w:t xml:space="preserve"> </w:t>
      </w:r>
    </w:p>
    <w:p w:rsidR="00CA0E97" w:rsidRPr="00CA0E97" w:rsidRDefault="00CA0E97" w:rsidP="00CA0E97">
      <w:pPr>
        <w:pStyle w:val="ListParagraph"/>
        <w:rPr>
          <w:rFonts w:ascii="Arial" w:hAnsi="Arial" w:cs="Arial"/>
          <w:szCs w:val="26"/>
        </w:rPr>
      </w:pPr>
    </w:p>
    <w:p w:rsidR="00CA0E97" w:rsidRPr="00CA0E97" w:rsidRDefault="00CA0E97" w:rsidP="00CA0E97">
      <w:pPr>
        <w:pStyle w:val="ListParagraph"/>
        <w:rPr>
          <w:rFonts w:ascii="Arial" w:hAnsi="Arial" w:cs="Arial"/>
          <w:szCs w:val="26"/>
        </w:rPr>
      </w:pPr>
    </w:p>
    <w:p w:rsidR="00097BB9" w:rsidRDefault="00097BB9" w:rsidP="00097BB9">
      <w:pPr>
        <w:pStyle w:val="ListParagraph"/>
        <w:numPr>
          <w:ilvl w:val="0"/>
          <w:numId w:val="3"/>
        </w:numPr>
        <w:spacing w:line="480" w:lineRule="auto"/>
        <w:jc w:val="both"/>
        <w:rPr>
          <w:rFonts w:ascii="Arial" w:hAnsi="Arial" w:cs="Arial"/>
          <w:szCs w:val="26"/>
        </w:rPr>
      </w:pPr>
      <w:r w:rsidRPr="00DF5A0E">
        <w:rPr>
          <w:rFonts w:ascii="Arial" w:hAnsi="Arial" w:cs="Arial"/>
          <w:szCs w:val="26"/>
        </w:rPr>
        <w:t xml:space="preserve">For these reasons, the review application falls to succeed. </w:t>
      </w:r>
    </w:p>
    <w:p w:rsidR="00544375" w:rsidRDefault="00544375" w:rsidP="00097BB9">
      <w:pPr>
        <w:spacing w:after="0" w:line="480" w:lineRule="auto"/>
        <w:jc w:val="both"/>
        <w:rPr>
          <w:rFonts w:ascii="Arial" w:eastAsia="Times New Roman" w:hAnsi="Arial" w:cs="Arial"/>
          <w:sz w:val="24"/>
          <w:szCs w:val="24"/>
          <w:lang w:val="en-US"/>
        </w:rPr>
      </w:pPr>
    </w:p>
    <w:p w:rsidR="00C33002" w:rsidRPr="00C72150" w:rsidRDefault="00C33002" w:rsidP="00C33002">
      <w:pPr>
        <w:spacing w:line="480" w:lineRule="auto"/>
        <w:jc w:val="both"/>
        <w:rPr>
          <w:rFonts w:ascii="Arial" w:hAnsi="Arial" w:cs="Arial"/>
          <w:sz w:val="24"/>
          <w:szCs w:val="26"/>
        </w:rPr>
      </w:pPr>
      <w:r w:rsidRPr="00C72150">
        <w:rPr>
          <w:rFonts w:ascii="Arial" w:eastAsia="Times New Roman" w:hAnsi="Arial" w:cs="Arial"/>
          <w:b/>
          <w:i/>
          <w:sz w:val="28"/>
          <w:szCs w:val="24"/>
          <w:lang w:val="en-US"/>
        </w:rPr>
        <w:t>W</w:t>
      </w:r>
      <w:r w:rsidRPr="00C72150">
        <w:rPr>
          <w:rFonts w:ascii="Arial" w:hAnsi="Arial" w:cs="Arial"/>
          <w:b/>
          <w:i/>
          <w:sz w:val="24"/>
          <w:szCs w:val="26"/>
        </w:rPr>
        <w:t>hether the services were rendered</w:t>
      </w:r>
    </w:p>
    <w:p w:rsidR="00D859DF" w:rsidRDefault="00C33002" w:rsidP="00726E55">
      <w:pPr>
        <w:pStyle w:val="ListParagraph"/>
        <w:numPr>
          <w:ilvl w:val="0"/>
          <w:numId w:val="3"/>
        </w:numPr>
        <w:spacing w:line="480" w:lineRule="auto"/>
        <w:jc w:val="both"/>
        <w:rPr>
          <w:rFonts w:ascii="Arial" w:hAnsi="Arial" w:cs="Arial"/>
          <w:szCs w:val="26"/>
        </w:rPr>
      </w:pPr>
      <w:r>
        <w:rPr>
          <w:rFonts w:ascii="Arial" w:hAnsi="Arial" w:cs="Arial"/>
          <w:szCs w:val="26"/>
        </w:rPr>
        <w:t xml:space="preserve">Phathilizwi disputes the </w:t>
      </w:r>
      <w:r w:rsidR="00003BBB">
        <w:rPr>
          <w:rFonts w:ascii="Arial" w:hAnsi="Arial" w:cs="Arial"/>
          <w:szCs w:val="26"/>
        </w:rPr>
        <w:t>Municipality</w:t>
      </w:r>
      <w:r>
        <w:rPr>
          <w:rFonts w:ascii="Arial" w:hAnsi="Arial" w:cs="Arial"/>
          <w:szCs w:val="26"/>
        </w:rPr>
        <w:t>’s version that it did not render services i</w:t>
      </w:r>
      <w:r w:rsidR="006B0183">
        <w:rPr>
          <w:rFonts w:ascii="Arial" w:hAnsi="Arial" w:cs="Arial"/>
          <w:szCs w:val="26"/>
        </w:rPr>
        <w:t>n terms of the extended tender</w:t>
      </w:r>
      <w:r>
        <w:rPr>
          <w:rFonts w:ascii="Arial" w:hAnsi="Arial" w:cs="Arial"/>
          <w:szCs w:val="26"/>
        </w:rPr>
        <w:t xml:space="preserve">. To support its version, Phathilizwi has put up </w:t>
      </w:r>
      <w:r w:rsidR="00645449">
        <w:rPr>
          <w:rFonts w:ascii="Arial" w:hAnsi="Arial" w:cs="Arial"/>
          <w:szCs w:val="26"/>
        </w:rPr>
        <w:t>a report entitled ‘</w:t>
      </w:r>
      <w:r w:rsidR="00FA0366">
        <w:rPr>
          <w:rFonts w:ascii="Arial" w:hAnsi="Arial" w:cs="Arial"/>
          <w:szCs w:val="26"/>
        </w:rPr>
        <w:t xml:space="preserve">Report, </w:t>
      </w:r>
      <w:r w:rsidR="00645449">
        <w:rPr>
          <w:rFonts w:ascii="Arial" w:hAnsi="Arial" w:cs="Arial"/>
          <w:szCs w:val="26"/>
        </w:rPr>
        <w:t xml:space="preserve">Public </w:t>
      </w:r>
      <w:r w:rsidR="00FA0366">
        <w:rPr>
          <w:rFonts w:ascii="Arial" w:hAnsi="Arial" w:cs="Arial"/>
          <w:szCs w:val="26"/>
        </w:rPr>
        <w:t>Participation Door-to-Door Programme on Covid 19’, dated 15 June 2020</w:t>
      </w:r>
      <w:r w:rsidR="00C12F3D">
        <w:rPr>
          <w:rFonts w:ascii="Arial" w:hAnsi="Arial" w:cs="Arial"/>
          <w:szCs w:val="26"/>
        </w:rPr>
        <w:t xml:space="preserve"> (</w:t>
      </w:r>
      <w:r w:rsidR="00CA0E97" w:rsidRPr="00C12F3D">
        <w:rPr>
          <w:rFonts w:ascii="Arial" w:hAnsi="Arial" w:cs="Arial"/>
          <w:b/>
          <w:szCs w:val="26"/>
        </w:rPr>
        <w:t>training report</w:t>
      </w:r>
      <w:r w:rsidR="00CA0E97">
        <w:rPr>
          <w:rFonts w:ascii="Arial" w:hAnsi="Arial" w:cs="Arial"/>
          <w:szCs w:val="26"/>
        </w:rPr>
        <w:t>)</w:t>
      </w:r>
      <w:r w:rsidR="00FA0366">
        <w:rPr>
          <w:rFonts w:ascii="Arial" w:hAnsi="Arial" w:cs="Arial"/>
          <w:szCs w:val="26"/>
        </w:rPr>
        <w:t>.</w:t>
      </w:r>
      <w:r w:rsidR="00726E55">
        <w:rPr>
          <w:rFonts w:ascii="Arial" w:hAnsi="Arial" w:cs="Arial"/>
          <w:szCs w:val="26"/>
        </w:rPr>
        <w:t xml:space="preserve"> For the reasons below, </w:t>
      </w:r>
      <w:r w:rsidR="00726E55" w:rsidRPr="00726E55">
        <w:rPr>
          <w:rFonts w:ascii="Arial" w:hAnsi="Arial" w:cs="Arial"/>
          <w:szCs w:val="26"/>
        </w:rPr>
        <w:t>I am unable to reasonably rely on Phathilizwi’s version that it conducted a Covid 19 d</w:t>
      </w:r>
      <w:r w:rsidR="00726E55">
        <w:rPr>
          <w:rFonts w:ascii="Arial" w:hAnsi="Arial" w:cs="Arial"/>
          <w:szCs w:val="26"/>
        </w:rPr>
        <w:t xml:space="preserve">oor-to-door campaign in the O.R. </w:t>
      </w:r>
      <w:r w:rsidR="00726E55" w:rsidRPr="00726E55">
        <w:rPr>
          <w:rFonts w:ascii="Arial" w:hAnsi="Arial" w:cs="Arial"/>
          <w:szCs w:val="26"/>
        </w:rPr>
        <w:t>Tambo Municipal ar</w:t>
      </w:r>
      <w:r w:rsidR="00726E55">
        <w:rPr>
          <w:rFonts w:ascii="Arial" w:hAnsi="Arial" w:cs="Arial"/>
          <w:szCs w:val="26"/>
        </w:rPr>
        <w:t>ea to the extent of 4112 pe</w:t>
      </w:r>
      <w:r w:rsidR="00CA0E97">
        <w:rPr>
          <w:rFonts w:ascii="Arial" w:hAnsi="Arial" w:cs="Arial"/>
          <w:szCs w:val="26"/>
        </w:rPr>
        <w:t>ople as reported in the training report</w:t>
      </w:r>
      <w:r w:rsidR="00726E55">
        <w:rPr>
          <w:rFonts w:ascii="Arial" w:hAnsi="Arial" w:cs="Arial"/>
          <w:szCs w:val="26"/>
        </w:rPr>
        <w:t>:</w:t>
      </w:r>
      <w:r w:rsidR="00726E55" w:rsidRPr="00726E55">
        <w:rPr>
          <w:rFonts w:ascii="Arial" w:hAnsi="Arial" w:cs="Arial"/>
          <w:szCs w:val="26"/>
        </w:rPr>
        <w:t xml:space="preserve"> </w:t>
      </w:r>
      <w:r w:rsidR="00FA0366">
        <w:rPr>
          <w:rFonts w:ascii="Arial" w:hAnsi="Arial" w:cs="Arial"/>
          <w:szCs w:val="26"/>
        </w:rPr>
        <w:t xml:space="preserve"> </w:t>
      </w:r>
    </w:p>
    <w:p w:rsidR="001D3E48" w:rsidRDefault="00003BBB" w:rsidP="001D3E48">
      <w:pPr>
        <w:pStyle w:val="ListParagraph"/>
        <w:numPr>
          <w:ilvl w:val="1"/>
          <w:numId w:val="22"/>
        </w:numPr>
        <w:spacing w:line="480" w:lineRule="auto"/>
        <w:jc w:val="both"/>
        <w:rPr>
          <w:rFonts w:ascii="Arial" w:hAnsi="Arial" w:cs="Arial"/>
          <w:szCs w:val="26"/>
        </w:rPr>
      </w:pPr>
      <w:r w:rsidRPr="001D3E48">
        <w:rPr>
          <w:rFonts w:ascii="Arial" w:hAnsi="Arial" w:cs="Arial"/>
          <w:szCs w:val="26"/>
        </w:rPr>
        <w:t>i</w:t>
      </w:r>
      <w:r w:rsidR="00D859DF" w:rsidRPr="001D3E48">
        <w:rPr>
          <w:rFonts w:ascii="Arial" w:hAnsi="Arial" w:cs="Arial"/>
          <w:szCs w:val="26"/>
        </w:rPr>
        <w:t xml:space="preserve">n </w:t>
      </w:r>
      <w:r w:rsidR="00CA0E97" w:rsidRPr="001D3E48">
        <w:rPr>
          <w:rFonts w:ascii="Arial" w:hAnsi="Arial" w:cs="Arial"/>
          <w:szCs w:val="26"/>
        </w:rPr>
        <w:t>the training report</w:t>
      </w:r>
      <w:r w:rsidR="00D859DF" w:rsidRPr="001D3E48">
        <w:rPr>
          <w:rFonts w:ascii="Arial" w:hAnsi="Arial" w:cs="Arial"/>
          <w:szCs w:val="26"/>
        </w:rPr>
        <w:t>, Phathilizwi reports that it utilized 12 fi</w:t>
      </w:r>
      <w:r w:rsidR="00185F3A" w:rsidRPr="001D3E48">
        <w:rPr>
          <w:rFonts w:ascii="Arial" w:hAnsi="Arial" w:cs="Arial"/>
          <w:szCs w:val="26"/>
        </w:rPr>
        <w:t>e</w:t>
      </w:r>
      <w:r w:rsidR="00D859DF" w:rsidRPr="001D3E48">
        <w:rPr>
          <w:rFonts w:ascii="Arial" w:hAnsi="Arial" w:cs="Arial"/>
          <w:szCs w:val="26"/>
        </w:rPr>
        <w:t xml:space="preserve">ld agents and 1 supervisor to render the service. Yet, at paragraph 31 of its answering affidavit, it avers that it only incurred salaries for 8 employees. </w:t>
      </w:r>
      <w:r w:rsidR="00997E77" w:rsidRPr="001D3E48">
        <w:rPr>
          <w:rFonts w:ascii="Arial" w:hAnsi="Arial" w:cs="Arial"/>
          <w:szCs w:val="26"/>
        </w:rPr>
        <w:t xml:space="preserve">It makes no reference to the 13 persons who conducted the training as reported in the training report. Neither does it explain on what basis were the 5 employees that appear not to have been remunerated performed the services. At best, these </w:t>
      </w:r>
      <w:r w:rsidR="001D3E48">
        <w:rPr>
          <w:rFonts w:ascii="Arial" w:hAnsi="Arial" w:cs="Arial"/>
          <w:szCs w:val="26"/>
        </w:rPr>
        <w:t>versions are contradictory;</w:t>
      </w:r>
    </w:p>
    <w:p w:rsidR="000176AD" w:rsidRPr="001D3E48" w:rsidRDefault="00CA0E97" w:rsidP="001D3E48">
      <w:pPr>
        <w:pStyle w:val="ListParagraph"/>
        <w:numPr>
          <w:ilvl w:val="1"/>
          <w:numId w:val="22"/>
        </w:numPr>
        <w:spacing w:line="480" w:lineRule="auto"/>
        <w:jc w:val="both"/>
        <w:rPr>
          <w:rFonts w:ascii="Arial" w:hAnsi="Arial" w:cs="Arial"/>
          <w:szCs w:val="26"/>
        </w:rPr>
      </w:pPr>
      <w:r w:rsidRPr="001D3E48">
        <w:rPr>
          <w:rFonts w:ascii="Arial" w:hAnsi="Arial" w:cs="Arial"/>
          <w:szCs w:val="26"/>
        </w:rPr>
        <w:t>the training</w:t>
      </w:r>
      <w:r w:rsidR="00D859DF" w:rsidRPr="001D3E48">
        <w:rPr>
          <w:rFonts w:ascii="Arial" w:hAnsi="Arial" w:cs="Arial"/>
          <w:szCs w:val="26"/>
        </w:rPr>
        <w:t xml:space="preserve"> </w:t>
      </w:r>
      <w:r w:rsidR="00185F3A" w:rsidRPr="001D3E48">
        <w:rPr>
          <w:rFonts w:ascii="Arial" w:hAnsi="Arial" w:cs="Arial"/>
          <w:szCs w:val="26"/>
        </w:rPr>
        <w:t xml:space="preserve">report </w:t>
      </w:r>
      <w:r w:rsidR="00D859DF" w:rsidRPr="001D3E48">
        <w:rPr>
          <w:rFonts w:ascii="Arial" w:hAnsi="Arial" w:cs="Arial"/>
          <w:szCs w:val="26"/>
        </w:rPr>
        <w:t xml:space="preserve">does not </w:t>
      </w:r>
      <w:r w:rsidR="00BC2B9D" w:rsidRPr="001D3E48">
        <w:rPr>
          <w:rFonts w:ascii="Arial" w:hAnsi="Arial" w:cs="Arial"/>
          <w:szCs w:val="26"/>
        </w:rPr>
        <w:t xml:space="preserve">constitute the portfolio of evidence </w:t>
      </w:r>
      <w:r w:rsidR="00BF30B4" w:rsidRPr="001D3E48">
        <w:rPr>
          <w:rFonts w:ascii="Arial" w:hAnsi="Arial" w:cs="Arial"/>
          <w:szCs w:val="26"/>
        </w:rPr>
        <w:t xml:space="preserve">- that Phathilizwi reached 4112 people during the door-to-door campaign - </w:t>
      </w:r>
      <w:r w:rsidR="00BC2B9D" w:rsidRPr="001D3E48">
        <w:rPr>
          <w:rFonts w:ascii="Arial" w:hAnsi="Arial" w:cs="Arial"/>
          <w:szCs w:val="26"/>
        </w:rPr>
        <w:t xml:space="preserve">which the Municipality called for </w:t>
      </w:r>
      <w:r w:rsidR="00BF30B4" w:rsidRPr="001D3E48">
        <w:rPr>
          <w:rFonts w:ascii="Arial" w:hAnsi="Arial" w:cs="Arial"/>
          <w:szCs w:val="26"/>
        </w:rPr>
        <w:t>after Phathilizwi presented its invoices to the Municipality for payment</w:t>
      </w:r>
      <w:r w:rsidR="006B5354" w:rsidRPr="001D3E48">
        <w:rPr>
          <w:rFonts w:ascii="Arial" w:hAnsi="Arial" w:cs="Arial"/>
          <w:szCs w:val="26"/>
        </w:rPr>
        <w:t xml:space="preserve">. </w:t>
      </w:r>
      <w:r w:rsidR="00185F3A" w:rsidRPr="001D3E48">
        <w:rPr>
          <w:rFonts w:ascii="Arial" w:hAnsi="Arial" w:cs="Arial"/>
          <w:szCs w:val="26"/>
        </w:rPr>
        <w:t>As contended by t</w:t>
      </w:r>
      <w:r w:rsidR="00BC2B9D" w:rsidRPr="001D3E48">
        <w:rPr>
          <w:rFonts w:ascii="Arial" w:hAnsi="Arial" w:cs="Arial"/>
          <w:szCs w:val="26"/>
        </w:rPr>
        <w:t>he SIU, attendance registers or other</w:t>
      </w:r>
      <w:r w:rsidR="00185F3A" w:rsidRPr="001D3E48">
        <w:rPr>
          <w:rFonts w:ascii="Arial" w:hAnsi="Arial" w:cs="Arial"/>
          <w:szCs w:val="26"/>
        </w:rPr>
        <w:t xml:space="preserve"> objective proof that Phathilizwi </w:t>
      </w:r>
      <w:r w:rsidR="00BF30B4" w:rsidRPr="001D3E48">
        <w:rPr>
          <w:rFonts w:ascii="Arial" w:hAnsi="Arial" w:cs="Arial"/>
          <w:szCs w:val="26"/>
        </w:rPr>
        <w:t xml:space="preserve">reached 4112 people </w:t>
      </w:r>
      <w:r w:rsidR="00185F3A" w:rsidRPr="001D3E48">
        <w:rPr>
          <w:rFonts w:ascii="Arial" w:hAnsi="Arial" w:cs="Arial"/>
          <w:szCs w:val="26"/>
        </w:rPr>
        <w:t xml:space="preserve">is not reflected in the report. </w:t>
      </w:r>
      <w:r w:rsidR="00C42EF1" w:rsidRPr="001D3E48">
        <w:rPr>
          <w:rFonts w:ascii="Arial" w:hAnsi="Arial" w:cs="Arial"/>
          <w:szCs w:val="26"/>
        </w:rPr>
        <w:t xml:space="preserve">The pictures set out in the report only depict a handful of community members allegedly reached. </w:t>
      </w:r>
      <w:r w:rsidR="00185F3A" w:rsidRPr="001D3E48">
        <w:rPr>
          <w:rFonts w:ascii="Arial" w:hAnsi="Arial" w:cs="Arial"/>
          <w:szCs w:val="26"/>
        </w:rPr>
        <w:t>This is a serious omission since Phathilizwi’s remuneration is premised on the number of people trained.</w:t>
      </w:r>
      <w:r w:rsidR="00BF30B4" w:rsidRPr="001D3E48">
        <w:rPr>
          <w:rFonts w:ascii="Arial" w:hAnsi="Arial" w:cs="Arial"/>
          <w:szCs w:val="26"/>
        </w:rPr>
        <w:t xml:space="preserve"> </w:t>
      </w:r>
    </w:p>
    <w:p w:rsidR="000176AD" w:rsidRDefault="000176AD" w:rsidP="000176AD">
      <w:pPr>
        <w:spacing w:line="480" w:lineRule="auto"/>
        <w:ind w:left="360"/>
        <w:jc w:val="both"/>
        <w:rPr>
          <w:rFonts w:ascii="Arial" w:hAnsi="Arial" w:cs="Arial"/>
          <w:szCs w:val="26"/>
        </w:rPr>
      </w:pPr>
    </w:p>
    <w:p w:rsidR="002B0FCD" w:rsidRDefault="000176AD" w:rsidP="00F61C2D">
      <w:pPr>
        <w:pStyle w:val="ListParagraph"/>
        <w:numPr>
          <w:ilvl w:val="0"/>
          <w:numId w:val="3"/>
        </w:numPr>
        <w:spacing w:line="480" w:lineRule="auto"/>
        <w:jc w:val="both"/>
        <w:rPr>
          <w:rFonts w:ascii="Arial" w:hAnsi="Arial" w:cs="Arial"/>
          <w:szCs w:val="26"/>
        </w:rPr>
      </w:pPr>
      <w:r w:rsidRPr="000176AD">
        <w:rPr>
          <w:rFonts w:ascii="Arial" w:hAnsi="Arial" w:cs="Arial"/>
          <w:szCs w:val="26"/>
        </w:rPr>
        <w:t xml:space="preserve">Therefore, </w:t>
      </w:r>
      <w:r w:rsidR="00DF5A0E" w:rsidRPr="000176AD">
        <w:rPr>
          <w:rFonts w:ascii="Arial" w:hAnsi="Arial" w:cs="Arial"/>
          <w:szCs w:val="26"/>
        </w:rPr>
        <w:t>I</w:t>
      </w:r>
      <w:r>
        <w:rPr>
          <w:rFonts w:ascii="Arial" w:hAnsi="Arial" w:cs="Arial"/>
          <w:szCs w:val="26"/>
        </w:rPr>
        <w:t xml:space="preserve"> am unable, on the basis of the training</w:t>
      </w:r>
      <w:r w:rsidR="00DF5A0E" w:rsidRPr="000176AD">
        <w:rPr>
          <w:rFonts w:ascii="Arial" w:hAnsi="Arial" w:cs="Arial"/>
          <w:szCs w:val="26"/>
        </w:rPr>
        <w:t xml:space="preserve"> report, to rely on </w:t>
      </w:r>
      <w:r w:rsidR="003B3DB1" w:rsidRPr="000176AD">
        <w:rPr>
          <w:rFonts w:ascii="Arial" w:hAnsi="Arial" w:cs="Arial"/>
          <w:szCs w:val="26"/>
        </w:rPr>
        <w:t xml:space="preserve">Phathilizwi’s </w:t>
      </w:r>
      <w:r w:rsidR="00DF5A0E" w:rsidRPr="000176AD">
        <w:rPr>
          <w:rFonts w:ascii="Arial" w:hAnsi="Arial" w:cs="Arial"/>
          <w:szCs w:val="26"/>
        </w:rPr>
        <w:t xml:space="preserve">version that it </w:t>
      </w:r>
      <w:r w:rsidR="006B0183" w:rsidRPr="000176AD">
        <w:rPr>
          <w:rFonts w:ascii="Arial" w:hAnsi="Arial" w:cs="Arial"/>
          <w:szCs w:val="26"/>
        </w:rPr>
        <w:t xml:space="preserve">trained 4112 people as alleged. </w:t>
      </w:r>
      <w:r w:rsidR="00DF5A0E" w:rsidRPr="000176AD">
        <w:rPr>
          <w:rFonts w:ascii="Arial" w:hAnsi="Arial" w:cs="Arial"/>
          <w:szCs w:val="26"/>
        </w:rPr>
        <w:t xml:space="preserve"> </w:t>
      </w:r>
      <w:r w:rsidR="006B5354" w:rsidRPr="000176AD">
        <w:rPr>
          <w:rFonts w:ascii="Arial" w:hAnsi="Arial" w:cs="Arial"/>
          <w:szCs w:val="26"/>
        </w:rPr>
        <w:t xml:space="preserve"> </w:t>
      </w:r>
    </w:p>
    <w:p w:rsidR="00F61C2D" w:rsidRDefault="00F61C2D" w:rsidP="00F61C2D">
      <w:pPr>
        <w:pStyle w:val="ListParagraph"/>
        <w:spacing w:line="480" w:lineRule="auto"/>
        <w:ind w:left="360"/>
        <w:jc w:val="both"/>
        <w:rPr>
          <w:rFonts w:ascii="Arial" w:hAnsi="Arial" w:cs="Arial"/>
          <w:szCs w:val="26"/>
        </w:rPr>
      </w:pPr>
    </w:p>
    <w:p w:rsidR="002B0FCD" w:rsidRDefault="00D629C5" w:rsidP="00F61C2D">
      <w:pPr>
        <w:pStyle w:val="ListParagraph"/>
        <w:numPr>
          <w:ilvl w:val="0"/>
          <w:numId w:val="3"/>
        </w:numPr>
        <w:spacing w:line="480" w:lineRule="auto"/>
        <w:jc w:val="both"/>
        <w:rPr>
          <w:rFonts w:ascii="Arial" w:hAnsi="Arial" w:cs="Arial"/>
          <w:szCs w:val="26"/>
        </w:rPr>
      </w:pPr>
      <w:r w:rsidRPr="002B0FCD">
        <w:rPr>
          <w:rFonts w:ascii="Arial" w:hAnsi="Arial" w:cs="Arial"/>
          <w:szCs w:val="26"/>
        </w:rPr>
        <w:t xml:space="preserve">It has become trite that rendering services under an irregular tender does not give a tenderer the right to retain profits accrued from </w:t>
      </w:r>
      <w:r w:rsidR="006B0183" w:rsidRPr="002B0FCD">
        <w:rPr>
          <w:rFonts w:ascii="Arial" w:hAnsi="Arial" w:cs="Arial"/>
          <w:szCs w:val="26"/>
        </w:rPr>
        <w:t xml:space="preserve">the </w:t>
      </w:r>
      <w:r w:rsidRPr="002B0FCD">
        <w:rPr>
          <w:rFonts w:ascii="Arial" w:hAnsi="Arial" w:cs="Arial"/>
          <w:szCs w:val="26"/>
        </w:rPr>
        <w:t>tender.</w:t>
      </w:r>
      <w:r w:rsidR="00D73391">
        <w:rPr>
          <w:rStyle w:val="FootnoteReference"/>
          <w:rFonts w:ascii="Arial" w:hAnsi="Arial" w:cs="Arial"/>
          <w:szCs w:val="26"/>
        </w:rPr>
        <w:footnoteReference w:id="7"/>
      </w:r>
      <w:r w:rsidRPr="002B0FCD">
        <w:rPr>
          <w:rFonts w:ascii="Arial" w:hAnsi="Arial" w:cs="Arial"/>
          <w:szCs w:val="26"/>
        </w:rPr>
        <w:t xml:space="preserve"> The Constitutional Court has permitted a tenderer to retain profits derived from an unlawful tender only under exceptional circumstances.</w:t>
      </w:r>
      <w:r w:rsidR="00054A0C">
        <w:rPr>
          <w:rStyle w:val="FootnoteReference"/>
          <w:rFonts w:ascii="Arial" w:hAnsi="Arial" w:cs="Arial"/>
          <w:szCs w:val="26"/>
        </w:rPr>
        <w:footnoteReference w:id="8"/>
      </w:r>
      <w:r w:rsidRPr="002B0FCD">
        <w:rPr>
          <w:rFonts w:ascii="Arial" w:hAnsi="Arial" w:cs="Arial"/>
          <w:szCs w:val="26"/>
        </w:rPr>
        <w:t xml:space="preserve">  Even if I were to find that Phathilizwi did render the services as alleged, it has not established exceptional circumstances that justify the exercise of the Tribunal’s discretion to allow it to derive full payment for the services. </w:t>
      </w:r>
    </w:p>
    <w:p w:rsidR="002B0FCD" w:rsidRDefault="002B0FCD" w:rsidP="002B0FCD">
      <w:pPr>
        <w:pStyle w:val="ListParagraph"/>
        <w:spacing w:line="480" w:lineRule="auto"/>
        <w:ind w:left="360"/>
        <w:jc w:val="both"/>
        <w:rPr>
          <w:rFonts w:ascii="Arial" w:hAnsi="Arial" w:cs="Arial"/>
          <w:szCs w:val="26"/>
        </w:rPr>
      </w:pPr>
    </w:p>
    <w:p w:rsidR="002B0FCD" w:rsidRDefault="00BC2B9D" w:rsidP="00F61C2D">
      <w:pPr>
        <w:pStyle w:val="ListParagraph"/>
        <w:numPr>
          <w:ilvl w:val="0"/>
          <w:numId w:val="3"/>
        </w:numPr>
        <w:spacing w:line="480" w:lineRule="auto"/>
        <w:jc w:val="both"/>
        <w:rPr>
          <w:rFonts w:ascii="Arial" w:hAnsi="Arial" w:cs="Arial"/>
          <w:szCs w:val="26"/>
        </w:rPr>
      </w:pPr>
      <w:r w:rsidRPr="002B0FCD">
        <w:rPr>
          <w:rFonts w:ascii="Arial" w:hAnsi="Arial" w:cs="Arial"/>
          <w:szCs w:val="26"/>
        </w:rPr>
        <w:t xml:space="preserve">At best for Phathilizwi, in accordance with the no profit, no loss principle enunciated in </w:t>
      </w:r>
      <w:r w:rsidRPr="002B0FCD">
        <w:rPr>
          <w:rFonts w:ascii="Arial" w:hAnsi="Arial" w:cs="Arial"/>
          <w:i/>
          <w:szCs w:val="26"/>
        </w:rPr>
        <w:t>All Pay</w:t>
      </w:r>
      <w:r w:rsidR="00D73391">
        <w:rPr>
          <w:rStyle w:val="FootnoteReference"/>
          <w:rFonts w:ascii="Arial" w:hAnsi="Arial" w:cs="Arial"/>
          <w:i/>
          <w:szCs w:val="26"/>
        </w:rPr>
        <w:footnoteReference w:id="9"/>
      </w:r>
      <w:r w:rsidRPr="002B0FCD">
        <w:rPr>
          <w:rFonts w:ascii="Arial" w:hAnsi="Arial" w:cs="Arial"/>
          <w:szCs w:val="26"/>
        </w:rPr>
        <w:t xml:space="preserve">, </w:t>
      </w:r>
      <w:r w:rsidR="00D73391" w:rsidRPr="002B0FCD">
        <w:rPr>
          <w:rFonts w:ascii="Arial" w:hAnsi="Arial" w:cs="Arial"/>
          <w:szCs w:val="26"/>
        </w:rPr>
        <w:t xml:space="preserve">it </w:t>
      </w:r>
      <w:r w:rsidR="000176AD" w:rsidRPr="002B0FCD">
        <w:rPr>
          <w:rFonts w:ascii="Arial" w:hAnsi="Arial" w:cs="Arial"/>
          <w:szCs w:val="26"/>
        </w:rPr>
        <w:t>is</w:t>
      </w:r>
      <w:r w:rsidRPr="002B0FCD">
        <w:rPr>
          <w:rFonts w:ascii="Arial" w:hAnsi="Arial" w:cs="Arial"/>
          <w:szCs w:val="26"/>
        </w:rPr>
        <w:t xml:space="preserve"> entitled only to costs incurred when rendering </w:t>
      </w:r>
      <w:r w:rsidR="006B0183" w:rsidRPr="002B0FCD">
        <w:rPr>
          <w:rFonts w:ascii="Arial" w:hAnsi="Arial" w:cs="Arial"/>
          <w:szCs w:val="26"/>
        </w:rPr>
        <w:t>s</w:t>
      </w:r>
      <w:r w:rsidRPr="002B0FCD">
        <w:rPr>
          <w:rFonts w:ascii="Arial" w:hAnsi="Arial" w:cs="Arial"/>
          <w:szCs w:val="26"/>
        </w:rPr>
        <w:t>ervices</w:t>
      </w:r>
      <w:r w:rsidR="006B0183" w:rsidRPr="002B0FCD">
        <w:rPr>
          <w:rFonts w:ascii="Arial" w:hAnsi="Arial" w:cs="Arial"/>
          <w:szCs w:val="26"/>
        </w:rPr>
        <w:t xml:space="preserve"> under the extended tender</w:t>
      </w:r>
      <w:r w:rsidRPr="002B0FCD">
        <w:rPr>
          <w:rFonts w:ascii="Arial" w:hAnsi="Arial" w:cs="Arial"/>
          <w:szCs w:val="26"/>
        </w:rPr>
        <w:t xml:space="preserve">. </w:t>
      </w:r>
      <w:r w:rsidR="00D73391" w:rsidRPr="002B0FCD">
        <w:rPr>
          <w:rFonts w:ascii="Arial" w:hAnsi="Arial" w:cs="Arial"/>
          <w:szCs w:val="26"/>
        </w:rPr>
        <w:t>On the evidence before the Tribunal, Phathilizwi contradicts itse</w:t>
      </w:r>
      <w:r w:rsidR="00997E77">
        <w:rPr>
          <w:rFonts w:ascii="Arial" w:hAnsi="Arial" w:cs="Arial"/>
          <w:szCs w:val="26"/>
        </w:rPr>
        <w:t>lf regarding the number of employees</w:t>
      </w:r>
      <w:r w:rsidR="00D73391" w:rsidRPr="002B0FCD">
        <w:rPr>
          <w:rFonts w:ascii="Arial" w:hAnsi="Arial" w:cs="Arial"/>
          <w:szCs w:val="26"/>
        </w:rPr>
        <w:t xml:space="preserve"> it used to conduct the </w:t>
      </w:r>
      <w:r w:rsidR="006B0183" w:rsidRPr="002B0FCD">
        <w:rPr>
          <w:rFonts w:ascii="Arial" w:hAnsi="Arial" w:cs="Arial"/>
          <w:szCs w:val="26"/>
        </w:rPr>
        <w:t xml:space="preserve">Covid 19 </w:t>
      </w:r>
      <w:r w:rsidR="00D73391" w:rsidRPr="002B0FCD">
        <w:rPr>
          <w:rFonts w:ascii="Arial" w:hAnsi="Arial" w:cs="Arial"/>
          <w:szCs w:val="26"/>
        </w:rPr>
        <w:t>door-to-do</w:t>
      </w:r>
      <w:r w:rsidR="006B0183" w:rsidRPr="002B0FCD">
        <w:rPr>
          <w:rFonts w:ascii="Arial" w:hAnsi="Arial" w:cs="Arial"/>
          <w:szCs w:val="26"/>
        </w:rPr>
        <w:t>or campaign</w:t>
      </w:r>
      <w:r w:rsidR="00D73391" w:rsidRPr="002B0FCD">
        <w:rPr>
          <w:rFonts w:ascii="Arial" w:hAnsi="Arial" w:cs="Arial"/>
          <w:szCs w:val="26"/>
        </w:rPr>
        <w:t>. Even more seriously, i</w:t>
      </w:r>
      <w:r w:rsidR="00D629C5" w:rsidRPr="002B0FCD">
        <w:rPr>
          <w:rFonts w:ascii="Arial" w:hAnsi="Arial" w:cs="Arial"/>
          <w:szCs w:val="26"/>
        </w:rPr>
        <w:t xml:space="preserve">t has not presented evidence </w:t>
      </w:r>
      <w:r w:rsidR="00D73391" w:rsidRPr="002B0FCD">
        <w:rPr>
          <w:rFonts w:ascii="Arial" w:hAnsi="Arial" w:cs="Arial"/>
          <w:szCs w:val="26"/>
        </w:rPr>
        <w:t xml:space="preserve">of the </w:t>
      </w:r>
      <w:r w:rsidR="00D629C5" w:rsidRPr="002B0FCD">
        <w:rPr>
          <w:rFonts w:ascii="Arial" w:hAnsi="Arial" w:cs="Arial"/>
          <w:szCs w:val="26"/>
        </w:rPr>
        <w:t xml:space="preserve">costs </w:t>
      </w:r>
      <w:r w:rsidR="00D73391" w:rsidRPr="002B0FCD">
        <w:rPr>
          <w:rFonts w:ascii="Arial" w:hAnsi="Arial" w:cs="Arial"/>
          <w:szCs w:val="26"/>
        </w:rPr>
        <w:t xml:space="preserve">incurred </w:t>
      </w:r>
      <w:r w:rsidR="00D629C5" w:rsidRPr="002B0FCD">
        <w:rPr>
          <w:rFonts w:ascii="Arial" w:hAnsi="Arial" w:cs="Arial"/>
          <w:szCs w:val="26"/>
        </w:rPr>
        <w:t xml:space="preserve">when allegedly rendering services under the </w:t>
      </w:r>
      <w:r w:rsidR="006B0183" w:rsidRPr="002B0FCD">
        <w:rPr>
          <w:rFonts w:ascii="Arial" w:hAnsi="Arial" w:cs="Arial"/>
          <w:szCs w:val="26"/>
        </w:rPr>
        <w:t xml:space="preserve">extended </w:t>
      </w:r>
      <w:r w:rsidR="00D629C5" w:rsidRPr="002B0FCD">
        <w:rPr>
          <w:rFonts w:ascii="Arial" w:hAnsi="Arial" w:cs="Arial"/>
          <w:szCs w:val="26"/>
        </w:rPr>
        <w:t xml:space="preserve">tender.  </w:t>
      </w:r>
      <w:r w:rsidR="007C43E8" w:rsidRPr="002B0FCD">
        <w:rPr>
          <w:rFonts w:ascii="Arial" w:hAnsi="Arial" w:cs="Arial"/>
          <w:szCs w:val="26"/>
        </w:rPr>
        <w:t xml:space="preserve"> </w:t>
      </w:r>
    </w:p>
    <w:p w:rsidR="00AA473A" w:rsidRPr="00AA473A" w:rsidRDefault="00AA473A" w:rsidP="00AA473A">
      <w:pPr>
        <w:pStyle w:val="ListParagraph"/>
        <w:rPr>
          <w:rFonts w:ascii="Arial" w:hAnsi="Arial" w:cs="Arial"/>
          <w:szCs w:val="26"/>
        </w:rPr>
      </w:pPr>
    </w:p>
    <w:p w:rsidR="007C43E8" w:rsidRDefault="00AA473A" w:rsidP="00F61C2D">
      <w:pPr>
        <w:pStyle w:val="ListParagraph"/>
        <w:numPr>
          <w:ilvl w:val="0"/>
          <w:numId w:val="3"/>
        </w:numPr>
        <w:spacing w:line="480" w:lineRule="auto"/>
        <w:jc w:val="both"/>
        <w:rPr>
          <w:rFonts w:ascii="Arial" w:hAnsi="Arial" w:cs="Arial"/>
          <w:szCs w:val="26"/>
        </w:rPr>
      </w:pPr>
      <w:r>
        <w:rPr>
          <w:rFonts w:ascii="Arial" w:hAnsi="Arial" w:cs="Arial"/>
          <w:szCs w:val="26"/>
        </w:rPr>
        <w:t xml:space="preserve">In the premises, the </w:t>
      </w:r>
      <w:r w:rsidR="007C43E8" w:rsidRPr="002B0FCD">
        <w:rPr>
          <w:rFonts w:ascii="Arial" w:hAnsi="Arial" w:cs="Arial"/>
          <w:szCs w:val="26"/>
        </w:rPr>
        <w:t>order</w:t>
      </w:r>
      <w:r>
        <w:rPr>
          <w:rFonts w:ascii="Arial" w:hAnsi="Arial" w:cs="Arial"/>
          <w:szCs w:val="26"/>
        </w:rPr>
        <w:t xml:space="preserve"> below is made.</w:t>
      </w:r>
    </w:p>
    <w:p w:rsidR="00997E77" w:rsidRPr="00997E77" w:rsidRDefault="00997E77" w:rsidP="00997E77">
      <w:pPr>
        <w:pStyle w:val="ListParagraph"/>
        <w:rPr>
          <w:rFonts w:ascii="Arial" w:hAnsi="Arial" w:cs="Arial"/>
          <w:szCs w:val="26"/>
        </w:rPr>
      </w:pPr>
    </w:p>
    <w:p w:rsidR="00AA473A" w:rsidRPr="002B0FCD" w:rsidRDefault="00AA473A" w:rsidP="00F61C2D">
      <w:pPr>
        <w:pStyle w:val="ListParagraph"/>
        <w:numPr>
          <w:ilvl w:val="0"/>
          <w:numId w:val="3"/>
        </w:numPr>
        <w:spacing w:line="480" w:lineRule="auto"/>
        <w:jc w:val="both"/>
        <w:rPr>
          <w:rFonts w:ascii="Arial" w:hAnsi="Arial" w:cs="Arial"/>
          <w:szCs w:val="26"/>
        </w:rPr>
      </w:pPr>
      <w:r>
        <w:rPr>
          <w:rFonts w:ascii="Arial" w:hAnsi="Arial" w:cs="Arial"/>
          <w:szCs w:val="26"/>
        </w:rPr>
        <w:t xml:space="preserve">It is appropriate that I explain the delay in handing down this judgment. It was occasioned by failure by the parties to file legible documents on which they rely, which made it extremely difficult to decipher their respective cases. It took them almost three months to comply with the Tribunal’s directive issued after judgment was reserved, </w:t>
      </w:r>
      <w:r w:rsidR="001D284D">
        <w:rPr>
          <w:rFonts w:ascii="Arial" w:hAnsi="Arial" w:cs="Arial"/>
          <w:szCs w:val="26"/>
        </w:rPr>
        <w:t xml:space="preserve">to file </w:t>
      </w:r>
      <w:r>
        <w:rPr>
          <w:rFonts w:ascii="Arial" w:hAnsi="Arial" w:cs="Arial"/>
          <w:szCs w:val="26"/>
        </w:rPr>
        <w:t xml:space="preserve">legible copies of annexures to their affidavits. When ultimately pressed to agree on the content of Annexure FA6, the SIU contended that it stood by the content of this annexure as quoted in its heads of argument. Astoundingly, only then was a legible copy of Annexure FA6 filed.   </w:t>
      </w:r>
    </w:p>
    <w:p w:rsidR="007C43E8" w:rsidRPr="00DF5A0E" w:rsidRDefault="007C43E8" w:rsidP="007C43E8">
      <w:pPr>
        <w:pStyle w:val="ListParagraph"/>
        <w:spacing w:line="480" w:lineRule="auto"/>
        <w:ind w:left="360"/>
        <w:jc w:val="both"/>
        <w:rPr>
          <w:rFonts w:ascii="Arial" w:hAnsi="Arial" w:cs="Arial"/>
          <w:szCs w:val="26"/>
        </w:rPr>
      </w:pPr>
      <w:r>
        <w:rPr>
          <w:rFonts w:ascii="Arial" w:hAnsi="Arial" w:cs="Arial"/>
          <w:szCs w:val="26"/>
        </w:rPr>
        <w:t xml:space="preserve"> </w:t>
      </w:r>
    </w:p>
    <w:p w:rsidR="007C43E8" w:rsidRDefault="007C43E8" w:rsidP="007C43E8">
      <w:pPr>
        <w:spacing w:line="480" w:lineRule="auto"/>
        <w:jc w:val="both"/>
        <w:rPr>
          <w:rFonts w:ascii="Arial" w:hAnsi="Arial" w:cs="Arial"/>
          <w:b/>
          <w:szCs w:val="26"/>
        </w:rPr>
      </w:pPr>
      <w:r w:rsidRPr="0059639B">
        <w:rPr>
          <w:rFonts w:ascii="Arial" w:eastAsia="Times New Roman" w:hAnsi="Arial" w:cs="Arial"/>
          <w:b/>
          <w:sz w:val="24"/>
          <w:szCs w:val="26"/>
          <w:lang w:val="en-US"/>
        </w:rPr>
        <w:t>ORDER</w:t>
      </w:r>
      <w:r w:rsidRPr="0059639B">
        <w:rPr>
          <w:rFonts w:ascii="Arial" w:hAnsi="Arial" w:cs="Arial"/>
          <w:b/>
          <w:szCs w:val="26"/>
        </w:rPr>
        <w:t xml:space="preserve">   </w:t>
      </w:r>
    </w:p>
    <w:p w:rsidR="007C43E8" w:rsidRDefault="007C43E8" w:rsidP="007C43E8">
      <w:pPr>
        <w:pStyle w:val="ListParagraph"/>
        <w:numPr>
          <w:ilvl w:val="0"/>
          <w:numId w:val="13"/>
        </w:numPr>
        <w:spacing w:line="480" w:lineRule="auto"/>
        <w:jc w:val="both"/>
        <w:rPr>
          <w:rFonts w:ascii="Arial" w:hAnsi="Arial" w:cs="Arial"/>
        </w:rPr>
      </w:pPr>
      <w:r w:rsidRPr="00544375">
        <w:rPr>
          <w:rFonts w:ascii="Arial" w:hAnsi="Arial" w:cs="Arial"/>
        </w:rPr>
        <w:t>The extension of Tender No: ORT</w:t>
      </w:r>
      <w:r>
        <w:rPr>
          <w:rFonts w:ascii="Arial" w:hAnsi="Arial" w:cs="Arial"/>
        </w:rPr>
        <w:t>D SCUM 05-18/19 (</w:t>
      </w:r>
      <w:r w:rsidRPr="007C43E8">
        <w:rPr>
          <w:rFonts w:ascii="Arial" w:hAnsi="Arial" w:cs="Arial"/>
          <w:b/>
        </w:rPr>
        <w:t>the tender</w:t>
      </w:r>
      <w:r>
        <w:rPr>
          <w:rFonts w:ascii="Arial" w:hAnsi="Arial" w:cs="Arial"/>
        </w:rPr>
        <w:t>) awarded to</w:t>
      </w:r>
      <w:r w:rsidRPr="00544375">
        <w:rPr>
          <w:rFonts w:ascii="Arial" w:hAnsi="Arial" w:cs="Arial"/>
        </w:rPr>
        <w:t xml:space="preserve"> </w:t>
      </w:r>
      <w:r>
        <w:rPr>
          <w:rFonts w:ascii="Arial" w:hAnsi="Arial" w:cs="Arial"/>
        </w:rPr>
        <w:t>P</w:t>
      </w:r>
      <w:r w:rsidRPr="00544375">
        <w:rPr>
          <w:rFonts w:ascii="Arial" w:hAnsi="Arial" w:cs="Arial"/>
        </w:rPr>
        <w:t>hathilizwi Training Institute Registration Number: 2017/096970/07 (</w:t>
      </w:r>
      <w:r w:rsidRPr="007C43E8">
        <w:rPr>
          <w:rFonts w:ascii="Arial" w:hAnsi="Arial" w:cs="Arial"/>
          <w:b/>
        </w:rPr>
        <w:t>Phathilizwi</w:t>
      </w:r>
      <w:r w:rsidRPr="00544375">
        <w:rPr>
          <w:rFonts w:ascii="Arial" w:hAnsi="Arial" w:cs="Arial"/>
        </w:rPr>
        <w:t xml:space="preserve">) </w:t>
      </w:r>
      <w:r>
        <w:rPr>
          <w:rFonts w:ascii="Arial" w:hAnsi="Arial" w:cs="Arial"/>
        </w:rPr>
        <w:t xml:space="preserve">to conduct </w:t>
      </w:r>
      <w:r w:rsidR="00997E77">
        <w:rPr>
          <w:rFonts w:ascii="Arial" w:hAnsi="Arial" w:cs="Arial"/>
        </w:rPr>
        <w:t xml:space="preserve">a Covid-19 campaign </w:t>
      </w:r>
      <w:r>
        <w:rPr>
          <w:rFonts w:ascii="Arial" w:hAnsi="Arial" w:cs="Arial"/>
        </w:rPr>
        <w:t>for</w:t>
      </w:r>
      <w:r w:rsidRPr="00544375">
        <w:rPr>
          <w:rFonts w:ascii="Arial" w:hAnsi="Arial" w:cs="Arial"/>
        </w:rPr>
        <w:t xml:space="preserve"> the O.R</w:t>
      </w:r>
      <w:r>
        <w:rPr>
          <w:rFonts w:ascii="Arial" w:hAnsi="Arial" w:cs="Arial"/>
        </w:rPr>
        <w:t>.</w:t>
      </w:r>
      <w:r w:rsidRPr="00544375">
        <w:rPr>
          <w:rFonts w:ascii="Arial" w:hAnsi="Arial" w:cs="Arial"/>
        </w:rPr>
        <w:t xml:space="preserve"> Tambo Municipality</w:t>
      </w:r>
      <w:r>
        <w:rPr>
          <w:rFonts w:ascii="Arial" w:hAnsi="Arial" w:cs="Arial"/>
        </w:rPr>
        <w:t xml:space="preserve"> (</w:t>
      </w:r>
      <w:r w:rsidRPr="007C43E8">
        <w:rPr>
          <w:rFonts w:ascii="Arial" w:hAnsi="Arial" w:cs="Arial"/>
          <w:b/>
        </w:rPr>
        <w:t>Municipality</w:t>
      </w:r>
      <w:r>
        <w:rPr>
          <w:rFonts w:ascii="Arial" w:hAnsi="Arial" w:cs="Arial"/>
        </w:rPr>
        <w:t>)</w:t>
      </w:r>
      <w:r w:rsidRPr="00544375">
        <w:rPr>
          <w:rFonts w:ascii="Arial" w:hAnsi="Arial" w:cs="Arial"/>
        </w:rPr>
        <w:t xml:space="preserve"> is </w:t>
      </w:r>
      <w:r w:rsidR="000176AD">
        <w:rPr>
          <w:rFonts w:ascii="Arial" w:hAnsi="Arial" w:cs="Arial"/>
        </w:rPr>
        <w:t>declared unlawful</w:t>
      </w:r>
      <w:r w:rsidRPr="00544375">
        <w:rPr>
          <w:rFonts w:ascii="Arial" w:hAnsi="Arial" w:cs="Arial"/>
        </w:rPr>
        <w:t xml:space="preserve"> and set aside.  </w:t>
      </w:r>
    </w:p>
    <w:p w:rsidR="007C43E8" w:rsidRDefault="007C43E8" w:rsidP="007C43E8">
      <w:pPr>
        <w:pStyle w:val="ListParagraph"/>
        <w:spacing w:line="480" w:lineRule="auto"/>
        <w:ind w:left="360"/>
        <w:jc w:val="both"/>
        <w:rPr>
          <w:rFonts w:ascii="Arial" w:hAnsi="Arial" w:cs="Arial"/>
        </w:rPr>
      </w:pPr>
    </w:p>
    <w:p w:rsidR="007C43E8" w:rsidRDefault="007C43E8" w:rsidP="009D089A">
      <w:pPr>
        <w:pStyle w:val="ListParagraph"/>
        <w:numPr>
          <w:ilvl w:val="0"/>
          <w:numId w:val="13"/>
        </w:numPr>
        <w:spacing w:line="480" w:lineRule="auto"/>
        <w:jc w:val="both"/>
        <w:rPr>
          <w:rFonts w:ascii="Arial" w:hAnsi="Arial" w:cs="Arial"/>
        </w:rPr>
      </w:pPr>
      <w:r w:rsidRPr="000176AD">
        <w:rPr>
          <w:rFonts w:ascii="Arial" w:hAnsi="Arial" w:cs="Arial"/>
        </w:rPr>
        <w:t xml:space="preserve">The </w:t>
      </w:r>
      <w:r w:rsidR="006B0183" w:rsidRPr="000176AD">
        <w:rPr>
          <w:rFonts w:ascii="Arial" w:hAnsi="Arial" w:cs="Arial"/>
        </w:rPr>
        <w:t xml:space="preserve">Municipality is not liable to Phathilizwi for the </w:t>
      </w:r>
      <w:r w:rsidRPr="000176AD">
        <w:rPr>
          <w:rFonts w:ascii="Arial" w:hAnsi="Arial" w:cs="Arial"/>
        </w:rPr>
        <w:t xml:space="preserve">tax invoices Phathilizwi issued under reference numbers: 452056876 and 4520156896 in the amount of R3 036 000.00 </w:t>
      </w:r>
      <w:r w:rsidR="000176AD">
        <w:rPr>
          <w:rFonts w:ascii="Arial" w:hAnsi="Arial" w:cs="Arial"/>
        </w:rPr>
        <w:t>and R1 821 600.00 respectively.</w:t>
      </w:r>
    </w:p>
    <w:p w:rsidR="000176AD" w:rsidRPr="000176AD" w:rsidRDefault="000176AD" w:rsidP="000176AD">
      <w:pPr>
        <w:pStyle w:val="ListParagraph"/>
        <w:rPr>
          <w:rFonts w:ascii="Arial" w:hAnsi="Arial" w:cs="Arial"/>
        </w:rPr>
      </w:pPr>
    </w:p>
    <w:p w:rsidR="007C43E8" w:rsidRDefault="007C43E8" w:rsidP="007C43E8">
      <w:pPr>
        <w:pStyle w:val="ListParagraph"/>
        <w:numPr>
          <w:ilvl w:val="0"/>
          <w:numId w:val="13"/>
        </w:numPr>
        <w:spacing w:line="480" w:lineRule="auto"/>
        <w:jc w:val="both"/>
        <w:rPr>
          <w:rFonts w:ascii="Arial" w:hAnsi="Arial" w:cs="Arial"/>
        </w:rPr>
      </w:pPr>
      <w:r>
        <w:rPr>
          <w:rFonts w:ascii="Arial" w:hAnsi="Arial" w:cs="Arial"/>
        </w:rPr>
        <w:t>Phathilizwi is liable for the Special Investigating Unit’s legal costs as follows:</w:t>
      </w:r>
    </w:p>
    <w:p w:rsidR="007C43E8" w:rsidRDefault="007C43E8" w:rsidP="007C43E8">
      <w:pPr>
        <w:pStyle w:val="ListParagraph"/>
        <w:numPr>
          <w:ilvl w:val="1"/>
          <w:numId w:val="13"/>
        </w:numPr>
        <w:spacing w:line="480" w:lineRule="auto"/>
        <w:jc w:val="both"/>
        <w:rPr>
          <w:rFonts w:ascii="Arial" w:hAnsi="Arial" w:cs="Arial"/>
        </w:rPr>
      </w:pPr>
      <w:r>
        <w:rPr>
          <w:rFonts w:ascii="Arial" w:hAnsi="Arial" w:cs="Arial"/>
        </w:rPr>
        <w:t>the costs of the review application;</w:t>
      </w:r>
    </w:p>
    <w:p w:rsidR="007C43E8" w:rsidRDefault="007C43E8" w:rsidP="007C43E8">
      <w:pPr>
        <w:pStyle w:val="ListParagraph"/>
        <w:numPr>
          <w:ilvl w:val="1"/>
          <w:numId w:val="13"/>
        </w:numPr>
        <w:spacing w:line="480" w:lineRule="auto"/>
        <w:contextualSpacing/>
        <w:jc w:val="both"/>
        <w:rPr>
          <w:rFonts w:ascii="Arial" w:hAnsi="Arial" w:cs="Arial"/>
        </w:rPr>
      </w:pPr>
      <w:r>
        <w:rPr>
          <w:rFonts w:ascii="Arial" w:hAnsi="Arial" w:cs="Arial"/>
        </w:rPr>
        <w:t xml:space="preserve">the costs of 03 March 2021 when the matter was removed from the roll at Phathiliziw’s request; </w:t>
      </w:r>
    </w:p>
    <w:p w:rsidR="007C43E8" w:rsidRDefault="007C43E8" w:rsidP="007C43E8">
      <w:pPr>
        <w:pStyle w:val="ListParagraph"/>
        <w:numPr>
          <w:ilvl w:val="1"/>
          <w:numId w:val="13"/>
        </w:numPr>
        <w:spacing w:line="480" w:lineRule="auto"/>
        <w:contextualSpacing/>
        <w:jc w:val="both"/>
        <w:rPr>
          <w:rFonts w:ascii="Arial" w:hAnsi="Arial" w:cs="Arial"/>
        </w:rPr>
      </w:pPr>
      <w:r>
        <w:rPr>
          <w:rFonts w:ascii="Arial" w:hAnsi="Arial" w:cs="Arial"/>
        </w:rPr>
        <w:t xml:space="preserve">the costs of 20 April 2021 when default judgment was granted in favour of the SIU; </w:t>
      </w:r>
      <w:r w:rsidRPr="006B570B">
        <w:rPr>
          <w:rFonts w:ascii="Arial" w:hAnsi="Arial" w:cs="Arial"/>
          <w:highlight w:val="yellow"/>
        </w:rPr>
        <w:t xml:space="preserve"> </w:t>
      </w:r>
    </w:p>
    <w:p w:rsidR="007C43E8" w:rsidRPr="006B570B" w:rsidRDefault="007C43E8" w:rsidP="007C43E8">
      <w:pPr>
        <w:pStyle w:val="ListParagraph"/>
        <w:numPr>
          <w:ilvl w:val="1"/>
          <w:numId w:val="13"/>
        </w:numPr>
        <w:spacing w:line="480" w:lineRule="auto"/>
        <w:contextualSpacing/>
        <w:jc w:val="both"/>
        <w:rPr>
          <w:rFonts w:ascii="Arial" w:hAnsi="Arial" w:cs="Arial"/>
        </w:rPr>
      </w:pPr>
      <w:r w:rsidRPr="006B570B">
        <w:rPr>
          <w:rFonts w:ascii="Arial" w:hAnsi="Arial" w:cs="Arial"/>
        </w:rPr>
        <w:t xml:space="preserve">the costs of </w:t>
      </w:r>
      <w:r>
        <w:rPr>
          <w:rFonts w:ascii="Arial" w:hAnsi="Arial" w:cs="Arial"/>
        </w:rPr>
        <w:t xml:space="preserve">the </w:t>
      </w:r>
      <w:r w:rsidRPr="006B570B">
        <w:rPr>
          <w:rFonts w:ascii="Arial" w:hAnsi="Arial" w:cs="Arial"/>
        </w:rPr>
        <w:t>application</w:t>
      </w:r>
      <w:r>
        <w:rPr>
          <w:rFonts w:ascii="Arial" w:hAnsi="Arial" w:cs="Arial"/>
        </w:rPr>
        <w:t xml:space="preserve"> for rescission of the default judgment</w:t>
      </w:r>
      <w:r w:rsidRPr="006B570B">
        <w:rPr>
          <w:rFonts w:ascii="Arial" w:hAnsi="Arial" w:cs="Arial"/>
        </w:rPr>
        <w:t>.</w:t>
      </w:r>
    </w:p>
    <w:p w:rsidR="007C43E8" w:rsidRDefault="007C43E8" w:rsidP="007C43E8">
      <w:pPr>
        <w:spacing w:line="360" w:lineRule="auto"/>
        <w:jc w:val="both"/>
        <w:rPr>
          <w:rFonts w:ascii="Arial" w:hAnsi="Arial" w:cs="Arial"/>
        </w:rPr>
      </w:pPr>
    </w:p>
    <w:p w:rsidR="004A659A" w:rsidRDefault="004A659A" w:rsidP="000176AD">
      <w:pPr>
        <w:spacing w:line="360" w:lineRule="auto"/>
        <w:ind w:left="3600"/>
        <w:jc w:val="right"/>
        <w:rPr>
          <w:rFonts w:ascii="Arial" w:hAnsi="Arial" w:cs="Arial"/>
          <w:noProof/>
          <w:lang w:eastAsia="en-ZA"/>
        </w:rPr>
      </w:pPr>
    </w:p>
    <w:p w:rsidR="006C4F79" w:rsidRDefault="006C4F79" w:rsidP="000176AD">
      <w:pPr>
        <w:spacing w:line="360" w:lineRule="auto"/>
        <w:ind w:left="3600"/>
        <w:jc w:val="right"/>
        <w:rPr>
          <w:rFonts w:ascii="Arial" w:hAnsi="Arial" w:cs="Arial"/>
          <w:noProof/>
          <w:lang w:eastAsia="en-ZA"/>
        </w:rPr>
      </w:pPr>
    </w:p>
    <w:p w:rsidR="006C4F79" w:rsidRDefault="006C4F79" w:rsidP="000176AD">
      <w:pPr>
        <w:spacing w:line="360" w:lineRule="auto"/>
        <w:ind w:left="3600"/>
        <w:jc w:val="right"/>
        <w:rPr>
          <w:rFonts w:ascii="Arial" w:hAnsi="Arial" w:cs="Arial"/>
        </w:rPr>
      </w:pPr>
      <w:bookmarkStart w:id="0" w:name="_GoBack"/>
      <w:bookmarkEnd w:id="0"/>
    </w:p>
    <w:p w:rsidR="00C45D3C" w:rsidRPr="00BE0EDA" w:rsidRDefault="00C45D3C" w:rsidP="00C45D3C">
      <w:pPr>
        <w:pStyle w:val="ListParagraph"/>
        <w:ind w:left="0"/>
        <w:jc w:val="right"/>
        <w:rPr>
          <w:rFonts w:ascii="Arial" w:hAnsi="Arial" w:cs="Arial"/>
          <w:lang w:val="en-GB"/>
        </w:rPr>
      </w:pPr>
      <w:r w:rsidRPr="00BE0EDA">
        <w:rPr>
          <w:rFonts w:ascii="Arial" w:hAnsi="Arial" w:cs="Arial"/>
          <w:lang w:val="en-GB"/>
        </w:rPr>
        <w:t>_______________________________</w:t>
      </w:r>
    </w:p>
    <w:p w:rsidR="00C45D3C" w:rsidRPr="00BE0EDA" w:rsidRDefault="00C45D3C" w:rsidP="00C45D3C">
      <w:pPr>
        <w:spacing w:before="240" w:line="360" w:lineRule="auto"/>
        <w:ind w:left="1412" w:firstLine="720"/>
        <w:contextualSpacing/>
        <w:jc w:val="right"/>
        <w:rPr>
          <w:rFonts w:ascii="Arial" w:hAnsi="Arial" w:cs="Arial"/>
          <w:b/>
          <w:lang w:val="en-GB"/>
        </w:rPr>
      </w:pPr>
      <w:r w:rsidRPr="00BE0EDA">
        <w:rPr>
          <w:rFonts w:ascii="Arial" w:hAnsi="Arial" w:cs="Arial"/>
          <w:b/>
          <w:lang w:val="en-GB"/>
        </w:rPr>
        <w:t xml:space="preserve">     JUDGE L.T</w:t>
      </w:r>
      <w:r>
        <w:rPr>
          <w:rFonts w:ascii="Arial" w:hAnsi="Arial" w:cs="Arial"/>
          <w:b/>
          <w:lang w:val="en-GB"/>
        </w:rPr>
        <w:t>.</w:t>
      </w:r>
      <w:r w:rsidRPr="00BE0EDA">
        <w:rPr>
          <w:rFonts w:ascii="Arial" w:hAnsi="Arial" w:cs="Arial"/>
          <w:b/>
          <w:lang w:val="en-GB"/>
        </w:rPr>
        <w:t xml:space="preserve"> MODIBA</w:t>
      </w:r>
    </w:p>
    <w:p w:rsidR="00C45D3C" w:rsidRPr="00BE0EDA" w:rsidRDefault="00C45D3C" w:rsidP="00C45D3C">
      <w:pPr>
        <w:spacing w:before="240" w:line="360" w:lineRule="auto"/>
        <w:ind w:left="720"/>
        <w:contextualSpacing/>
        <w:jc w:val="right"/>
        <w:rPr>
          <w:rFonts w:ascii="Arial" w:hAnsi="Arial" w:cs="Arial"/>
          <w:b/>
          <w:lang w:val="en-GB"/>
        </w:rPr>
      </w:pPr>
      <w:r w:rsidRPr="00BE0EDA">
        <w:rPr>
          <w:rFonts w:ascii="Arial" w:hAnsi="Arial" w:cs="Arial"/>
          <w:b/>
          <w:lang w:val="en-GB"/>
        </w:rPr>
        <w:t xml:space="preserve">                                </w:t>
      </w:r>
      <w:r w:rsidR="000176AD">
        <w:rPr>
          <w:rFonts w:ascii="Arial" w:hAnsi="Arial" w:cs="Arial"/>
          <w:b/>
          <w:lang w:val="en-GB"/>
        </w:rPr>
        <w:t>PRESIDENT</w:t>
      </w:r>
      <w:r w:rsidRPr="00BE0EDA">
        <w:rPr>
          <w:rFonts w:ascii="Arial" w:hAnsi="Arial" w:cs="Arial"/>
          <w:b/>
          <w:lang w:val="en-GB"/>
        </w:rPr>
        <w:t xml:space="preserve"> OF THE SPECIAL TRIBUNAL </w:t>
      </w:r>
    </w:p>
    <w:p w:rsidR="00F61C2D" w:rsidRDefault="00F61C2D" w:rsidP="006B570B">
      <w:pPr>
        <w:spacing w:line="480" w:lineRule="auto"/>
        <w:jc w:val="both"/>
        <w:rPr>
          <w:rFonts w:ascii="Arial" w:hAnsi="Arial" w:cs="Arial"/>
          <w:b/>
          <w:sz w:val="24"/>
          <w:szCs w:val="24"/>
        </w:rPr>
      </w:pPr>
    </w:p>
    <w:p w:rsidR="006B570B" w:rsidRPr="00933FD1" w:rsidRDefault="006B570B" w:rsidP="006B570B">
      <w:pPr>
        <w:spacing w:line="480" w:lineRule="auto"/>
        <w:jc w:val="both"/>
        <w:rPr>
          <w:rFonts w:ascii="Arial" w:hAnsi="Arial" w:cs="Arial"/>
          <w:b/>
          <w:sz w:val="24"/>
          <w:szCs w:val="24"/>
        </w:rPr>
      </w:pPr>
      <w:r w:rsidRPr="00933FD1">
        <w:rPr>
          <w:rFonts w:ascii="Arial" w:hAnsi="Arial" w:cs="Arial"/>
          <w:b/>
          <w:sz w:val="24"/>
          <w:szCs w:val="24"/>
        </w:rPr>
        <w:t>APPEARENCES</w:t>
      </w:r>
    </w:p>
    <w:p w:rsidR="006B570B" w:rsidRPr="00933FD1" w:rsidRDefault="006B570B" w:rsidP="006B570B">
      <w:pPr>
        <w:pStyle w:val="ListParagraph"/>
        <w:spacing w:line="480" w:lineRule="auto"/>
        <w:ind w:left="5040" w:hanging="4320"/>
        <w:jc w:val="both"/>
        <w:rPr>
          <w:rFonts w:ascii="Arial" w:hAnsi="Arial" w:cs="Arial"/>
        </w:rPr>
      </w:pPr>
      <w:r w:rsidRPr="00933FD1">
        <w:rPr>
          <w:rFonts w:ascii="Arial" w:hAnsi="Arial" w:cs="Arial"/>
        </w:rPr>
        <w:t xml:space="preserve">Counsel for the </w:t>
      </w:r>
      <w:r>
        <w:rPr>
          <w:rFonts w:ascii="Arial" w:hAnsi="Arial" w:cs="Arial"/>
        </w:rPr>
        <w:t>Applicants</w:t>
      </w:r>
      <w:r w:rsidRPr="00933FD1">
        <w:rPr>
          <w:rFonts w:ascii="Arial" w:hAnsi="Arial" w:cs="Arial"/>
        </w:rPr>
        <w:t>:</w:t>
      </w:r>
      <w:r w:rsidRPr="00933FD1">
        <w:rPr>
          <w:rFonts w:ascii="Arial" w:hAnsi="Arial" w:cs="Arial"/>
        </w:rPr>
        <w:tab/>
      </w:r>
      <w:r w:rsidRPr="00933FD1">
        <w:rPr>
          <w:rFonts w:ascii="Arial" w:hAnsi="Arial" w:cs="Arial"/>
        </w:rPr>
        <w:tab/>
      </w:r>
      <w:r>
        <w:rPr>
          <w:rFonts w:ascii="Arial" w:hAnsi="Arial" w:cs="Arial"/>
        </w:rPr>
        <w:tab/>
      </w:r>
      <w:r w:rsidR="00544375">
        <w:rPr>
          <w:rFonts w:ascii="Arial" w:hAnsi="Arial" w:cs="Arial"/>
        </w:rPr>
        <w:t>Adv</w:t>
      </w:r>
      <w:r w:rsidRPr="00933FD1">
        <w:rPr>
          <w:rFonts w:ascii="Arial" w:hAnsi="Arial" w:cs="Arial"/>
        </w:rPr>
        <w:t xml:space="preserve"> </w:t>
      </w:r>
      <w:r>
        <w:rPr>
          <w:rFonts w:ascii="Arial" w:hAnsi="Arial" w:cs="Arial"/>
        </w:rPr>
        <w:t>T.C Kwinda</w:t>
      </w:r>
      <w:r w:rsidRPr="00933FD1">
        <w:rPr>
          <w:rFonts w:ascii="Arial" w:hAnsi="Arial" w:cs="Arial"/>
        </w:rPr>
        <w:tab/>
      </w:r>
    </w:p>
    <w:p w:rsidR="006B570B" w:rsidRPr="00933FD1" w:rsidRDefault="006B570B" w:rsidP="006B570B">
      <w:pPr>
        <w:pStyle w:val="ListParagraph"/>
        <w:spacing w:line="480" w:lineRule="auto"/>
        <w:jc w:val="both"/>
        <w:rPr>
          <w:rFonts w:ascii="Arial" w:hAnsi="Arial" w:cs="Arial"/>
        </w:rPr>
      </w:pPr>
      <w:r w:rsidRPr="00933FD1">
        <w:rPr>
          <w:rFonts w:ascii="Arial" w:hAnsi="Arial" w:cs="Arial"/>
        </w:rPr>
        <w:t xml:space="preserve">Attorney for the </w:t>
      </w:r>
      <w:r>
        <w:rPr>
          <w:rFonts w:ascii="Arial" w:hAnsi="Arial" w:cs="Arial"/>
        </w:rPr>
        <w:t>Applicants</w:t>
      </w:r>
      <w:r w:rsidRPr="00933FD1">
        <w:rPr>
          <w:rFonts w:ascii="Arial" w:hAnsi="Arial" w:cs="Arial"/>
        </w:rPr>
        <w:t>:</w:t>
      </w:r>
      <w:r w:rsidRPr="00933FD1">
        <w:rPr>
          <w:rFonts w:ascii="Arial" w:hAnsi="Arial" w:cs="Arial"/>
        </w:rPr>
        <w:tab/>
      </w:r>
      <w:r w:rsidRPr="00933FD1">
        <w:rPr>
          <w:rFonts w:ascii="Arial" w:hAnsi="Arial" w:cs="Arial"/>
        </w:rPr>
        <w:tab/>
      </w:r>
      <w:r w:rsidRPr="00933FD1">
        <w:rPr>
          <w:rFonts w:ascii="Arial" w:hAnsi="Arial" w:cs="Arial"/>
        </w:rPr>
        <w:tab/>
      </w:r>
      <w:r w:rsidRPr="00933FD1">
        <w:rPr>
          <w:rFonts w:ascii="Arial" w:hAnsi="Arial" w:cs="Arial"/>
        </w:rPr>
        <w:tab/>
        <w:t>Ms. S</w:t>
      </w:r>
      <w:r w:rsidR="00544375">
        <w:rPr>
          <w:rFonts w:ascii="Arial" w:hAnsi="Arial" w:cs="Arial"/>
        </w:rPr>
        <w:t>.</w:t>
      </w:r>
      <w:r w:rsidRPr="00933FD1">
        <w:rPr>
          <w:rFonts w:ascii="Arial" w:hAnsi="Arial" w:cs="Arial"/>
        </w:rPr>
        <w:t xml:space="preserve"> Zondi, Office of the State Attorney, Pretoria  </w:t>
      </w:r>
    </w:p>
    <w:p w:rsidR="00D749C4" w:rsidRDefault="00D749C4" w:rsidP="006B570B">
      <w:pPr>
        <w:pStyle w:val="ListParagraph"/>
        <w:spacing w:line="480" w:lineRule="auto"/>
        <w:jc w:val="both"/>
        <w:rPr>
          <w:rFonts w:ascii="Arial" w:hAnsi="Arial" w:cs="Arial"/>
        </w:rPr>
      </w:pPr>
    </w:p>
    <w:p w:rsidR="006B570B" w:rsidRPr="00933FD1" w:rsidRDefault="006B570B" w:rsidP="00544375">
      <w:pPr>
        <w:pStyle w:val="ListParagraph"/>
        <w:spacing w:line="480" w:lineRule="auto"/>
        <w:ind w:left="6480" w:hanging="5760"/>
        <w:jc w:val="both"/>
        <w:rPr>
          <w:rFonts w:ascii="Arial" w:hAnsi="Arial" w:cs="Arial"/>
        </w:rPr>
      </w:pPr>
      <w:r w:rsidRPr="00933FD1">
        <w:rPr>
          <w:rFonts w:ascii="Arial" w:hAnsi="Arial" w:cs="Arial"/>
        </w:rPr>
        <w:t>Counsel for the</w:t>
      </w:r>
      <w:r>
        <w:rPr>
          <w:rFonts w:ascii="Arial" w:hAnsi="Arial" w:cs="Arial"/>
        </w:rPr>
        <w:t xml:space="preserve"> 1</w:t>
      </w:r>
      <w:r w:rsidRPr="00D46126">
        <w:rPr>
          <w:rFonts w:ascii="Arial" w:hAnsi="Arial" w:cs="Arial"/>
          <w:vertAlign w:val="superscript"/>
        </w:rPr>
        <w:t>st</w:t>
      </w:r>
      <w:r>
        <w:rPr>
          <w:rFonts w:ascii="Arial" w:hAnsi="Arial" w:cs="Arial"/>
        </w:rPr>
        <w:t xml:space="preserve"> </w:t>
      </w:r>
      <w:r w:rsidRPr="00933FD1">
        <w:rPr>
          <w:rFonts w:ascii="Arial" w:hAnsi="Arial" w:cs="Arial"/>
        </w:rPr>
        <w:t>respondent</w:t>
      </w:r>
      <w:r>
        <w:rPr>
          <w:rFonts w:ascii="Arial" w:hAnsi="Arial" w:cs="Arial"/>
        </w:rPr>
        <w:t>:</w:t>
      </w:r>
      <w:r w:rsidR="00544375">
        <w:rPr>
          <w:rFonts w:ascii="Arial" w:hAnsi="Arial" w:cs="Arial"/>
        </w:rPr>
        <w:tab/>
      </w:r>
      <w:r>
        <w:rPr>
          <w:rFonts w:ascii="Arial" w:hAnsi="Arial" w:cs="Arial"/>
        </w:rPr>
        <w:t xml:space="preserve">Adv </w:t>
      </w:r>
      <w:r w:rsidRPr="00D46126">
        <w:rPr>
          <w:rFonts w:ascii="Arial" w:hAnsi="Arial" w:cs="Arial"/>
        </w:rPr>
        <w:t>Matotie</w:t>
      </w:r>
      <w:r>
        <w:rPr>
          <w:rFonts w:ascii="Arial" w:hAnsi="Arial" w:cs="Arial"/>
        </w:rPr>
        <w:t>, assisted by Adv L Rusi</w:t>
      </w:r>
    </w:p>
    <w:p w:rsidR="006B570B" w:rsidRPr="00933FD1" w:rsidRDefault="006B570B" w:rsidP="00544375">
      <w:pPr>
        <w:pStyle w:val="ListParagraph"/>
        <w:spacing w:line="480" w:lineRule="auto"/>
        <w:ind w:left="6480" w:hanging="5760"/>
        <w:jc w:val="both"/>
        <w:rPr>
          <w:rFonts w:ascii="Arial" w:hAnsi="Arial" w:cs="Arial"/>
        </w:rPr>
      </w:pPr>
      <w:r w:rsidRPr="00933FD1">
        <w:rPr>
          <w:rFonts w:ascii="Arial" w:hAnsi="Arial" w:cs="Arial"/>
        </w:rPr>
        <w:t>Attorney the</w:t>
      </w:r>
      <w:r>
        <w:rPr>
          <w:rFonts w:ascii="Arial" w:hAnsi="Arial" w:cs="Arial"/>
        </w:rPr>
        <w:t xml:space="preserve"> 1</w:t>
      </w:r>
      <w:r w:rsidRPr="00D46126">
        <w:rPr>
          <w:rFonts w:ascii="Arial" w:hAnsi="Arial" w:cs="Arial"/>
          <w:vertAlign w:val="superscript"/>
        </w:rPr>
        <w:t>st</w:t>
      </w:r>
      <w:r>
        <w:rPr>
          <w:rFonts w:ascii="Arial" w:hAnsi="Arial" w:cs="Arial"/>
        </w:rPr>
        <w:t xml:space="preserve"> respondent:</w:t>
      </w:r>
      <w:r>
        <w:rPr>
          <w:rFonts w:ascii="Arial" w:hAnsi="Arial" w:cs="Arial"/>
        </w:rPr>
        <w:tab/>
        <w:t>Mr. M</w:t>
      </w:r>
      <w:r w:rsidR="00544375">
        <w:rPr>
          <w:rFonts w:ascii="Arial" w:hAnsi="Arial" w:cs="Arial"/>
        </w:rPr>
        <w:t xml:space="preserve">. </w:t>
      </w:r>
      <w:r>
        <w:rPr>
          <w:rFonts w:ascii="Arial" w:hAnsi="Arial" w:cs="Arial"/>
        </w:rPr>
        <w:t>Dal</w:t>
      </w:r>
      <w:r w:rsidR="00544375">
        <w:rPr>
          <w:rFonts w:ascii="Arial" w:hAnsi="Arial" w:cs="Arial"/>
        </w:rPr>
        <w:t>asile, Mnikelo Dalasile &amp; Associates</w:t>
      </w:r>
    </w:p>
    <w:p w:rsidR="006B570B" w:rsidRPr="00933FD1" w:rsidRDefault="006B570B" w:rsidP="006B570B">
      <w:pPr>
        <w:pStyle w:val="ListParagraph"/>
        <w:spacing w:line="480" w:lineRule="auto"/>
        <w:jc w:val="both"/>
        <w:rPr>
          <w:rFonts w:ascii="Arial" w:hAnsi="Arial" w:cs="Arial"/>
        </w:rPr>
      </w:pPr>
      <w:r w:rsidRPr="00933FD1">
        <w:rPr>
          <w:rFonts w:ascii="Arial" w:hAnsi="Arial" w:cs="Arial"/>
        </w:rPr>
        <w:tab/>
      </w:r>
      <w:r w:rsidRPr="00933FD1">
        <w:rPr>
          <w:rFonts w:ascii="Arial" w:hAnsi="Arial" w:cs="Arial"/>
        </w:rPr>
        <w:tab/>
        <w:t xml:space="preserve"> </w:t>
      </w:r>
    </w:p>
    <w:p w:rsidR="006B570B" w:rsidRPr="00933FD1" w:rsidRDefault="006B570B" w:rsidP="006B570B">
      <w:pPr>
        <w:pStyle w:val="ListParagraph"/>
        <w:spacing w:line="480" w:lineRule="auto"/>
        <w:jc w:val="both"/>
        <w:rPr>
          <w:rFonts w:ascii="Arial" w:hAnsi="Arial" w:cs="Arial"/>
        </w:rPr>
      </w:pPr>
      <w:r w:rsidRPr="00933FD1">
        <w:rPr>
          <w:rFonts w:ascii="Arial" w:hAnsi="Arial" w:cs="Arial"/>
        </w:rPr>
        <w:t xml:space="preserve">Date of hearing: </w:t>
      </w:r>
      <w:r w:rsidRPr="00933FD1">
        <w:rPr>
          <w:rFonts w:ascii="Arial" w:hAnsi="Arial" w:cs="Arial"/>
        </w:rPr>
        <w:tab/>
      </w:r>
      <w:r w:rsidRPr="00933FD1">
        <w:rPr>
          <w:rFonts w:ascii="Arial" w:hAnsi="Arial" w:cs="Arial"/>
        </w:rPr>
        <w:tab/>
      </w:r>
      <w:r w:rsidRPr="00933FD1">
        <w:rPr>
          <w:rFonts w:ascii="Arial" w:hAnsi="Arial" w:cs="Arial"/>
        </w:rPr>
        <w:tab/>
      </w:r>
      <w:r w:rsidRPr="00933FD1">
        <w:rPr>
          <w:rFonts w:ascii="Arial" w:hAnsi="Arial" w:cs="Arial"/>
        </w:rPr>
        <w:tab/>
      </w:r>
      <w:r w:rsidRPr="00933FD1">
        <w:rPr>
          <w:rFonts w:ascii="Arial" w:hAnsi="Arial" w:cs="Arial"/>
        </w:rPr>
        <w:tab/>
      </w:r>
      <w:r>
        <w:rPr>
          <w:rFonts w:ascii="Arial" w:hAnsi="Arial" w:cs="Arial"/>
        </w:rPr>
        <w:tab/>
        <w:t>10 February 2022</w:t>
      </w:r>
    </w:p>
    <w:p w:rsidR="006B570B" w:rsidRDefault="006B570B" w:rsidP="006B570B">
      <w:pPr>
        <w:pStyle w:val="ListParagraph"/>
        <w:spacing w:line="480" w:lineRule="auto"/>
        <w:jc w:val="both"/>
        <w:rPr>
          <w:rFonts w:ascii="Arial" w:hAnsi="Arial" w:cs="Arial"/>
        </w:rPr>
      </w:pPr>
      <w:r w:rsidRPr="00933FD1">
        <w:rPr>
          <w:rFonts w:ascii="Arial" w:hAnsi="Arial" w:cs="Arial"/>
        </w:rPr>
        <w:t>Date of Judgment:</w:t>
      </w:r>
      <w:r w:rsidRPr="00933FD1">
        <w:rPr>
          <w:rFonts w:ascii="Arial" w:hAnsi="Arial" w:cs="Arial"/>
        </w:rPr>
        <w:tab/>
        <w:t xml:space="preserve"> </w:t>
      </w:r>
      <w:r w:rsidRPr="00933FD1">
        <w:rPr>
          <w:rFonts w:ascii="Arial" w:hAnsi="Arial" w:cs="Arial"/>
        </w:rPr>
        <w:tab/>
        <w:t xml:space="preserve">  </w:t>
      </w:r>
      <w:r w:rsidRPr="00933FD1">
        <w:rPr>
          <w:rFonts w:ascii="Arial" w:hAnsi="Arial" w:cs="Arial"/>
        </w:rPr>
        <w:tab/>
      </w:r>
      <w:r w:rsidRPr="00933FD1">
        <w:rPr>
          <w:rFonts w:ascii="Arial" w:hAnsi="Arial" w:cs="Arial"/>
        </w:rPr>
        <w:tab/>
      </w:r>
      <w:r w:rsidRPr="00933FD1">
        <w:rPr>
          <w:rFonts w:ascii="Arial" w:hAnsi="Arial" w:cs="Arial"/>
        </w:rPr>
        <w:tab/>
      </w:r>
      <w:r>
        <w:rPr>
          <w:rFonts w:ascii="Arial" w:hAnsi="Arial" w:cs="Arial"/>
        </w:rPr>
        <w:tab/>
      </w:r>
      <w:r w:rsidR="00D749C4">
        <w:rPr>
          <w:rFonts w:ascii="Arial" w:hAnsi="Arial" w:cs="Arial"/>
        </w:rPr>
        <w:t>1</w:t>
      </w:r>
      <w:r w:rsidR="00DB0242">
        <w:rPr>
          <w:rFonts w:ascii="Arial" w:hAnsi="Arial" w:cs="Arial"/>
        </w:rPr>
        <w:t>8</w:t>
      </w:r>
      <w:r w:rsidR="00D749C4">
        <w:rPr>
          <w:rFonts w:ascii="Arial" w:hAnsi="Arial" w:cs="Arial"/>
        </w:rPr>
        <w:t xml:space="preserve"> May </w:t>
      </w:r>
      <w:r>
        <w:rPr>
          <w:rFonts w:ascii="Arial" w:hAnsi="Arial" w:cs="Arial"/>
        </w:rPr>
        <w:t>2022</w:t>
      </w:r>
    </w:p>
    <w:p w:rsidR="007C43E8" w:rsidRDefault="007C43E8" w:rsidP="007C43E8">
      <w:pPr>
        <w:tabs>
          <w:tab w:val="left" w:pos="709"/>
          <w:tab w:val="left" w:pos="1560"/>
          <w:tab w:val="right" w:pos="8931"/>
        </w:tabs>
        <w:spacing w:after="0" w:line="240" w:lineRule="auto"/>
        <w:ind w:left="709"/>
        <w:jc w:val="both"/>
        <w:rPr>
          <w:rFonts w:ascii="Arial" w:eastAsia="Times New Roman" w:hAnsi="Arial" w:cs="Arial"/>
          <w:i/>
          <w:sz w:val="24"/>
          <w:lang w:eastAsia="en-GB"/>
        </w:rPr>
      </w:pPr>
      <w:r>
        <w:rPr>
          <w:rFonts w:ascii="Arial" w:eastAsia="Times New Roman" w:hAnsi="Arial" w:cs="Arial"/>
          <w:b/>
          <w:i/>
          <w:sz w:val="24"/>
          <w:lang w:eastAsia="en-GB"/>
        </w:rPr>
        <w:t>MODE OF DELIVERY</w:t>
      </w:r>
    </w:p>
    <w:p w:rsidR="00C45D3C" w:rsidRPr="00C33002" w:rsidRDefault="007C43E8" w:rsidP="00544EA1">
      <w:pPr>
        <w:tabs>
          <w:tab w:val="left" w:pos="709"/>
          <w:tab w:val="left" w:pos="1560"/>
          <w:tab w:val="right" w:pos="8931"/>
        </w:tabs>
        <w:spacing w:after="0" w:line="240" w:lineRule="auto"/>
        <w:ind w:left="709"/>
        <w:jc w:val="both"/>
        <w:rPr>
          <w:rFonts w:ascii="Arial" w:hAnsi="Arial" w:cs="Arial"/>
        </w:rPr>
      </w:pPr>
      <w:r>
        <w:rPr>
          <w:rFonts w:ascii="Arial" w:eastAsia="Times New Roman" w:hAnsi="Arial" w:cs="Arial"/>
          <w:i/>
          <w:sz w:val="24"/>
          <w:lang w:eastAsia="en-GB"/>
        </w:rPr>
        <w:t>T</w:t>
      </w:r>
      <w:r w:rsidR="00D749C4">
        <w:rPr>
          <w:rFonts w:ascii="Arial" w:eastAsia="Times New Roman" w:hAnsi="Arial" w:cs="Arial"/>
          <w:i/>
          <w:sz w:val="24"/>
          <w:lang w:eastAsia="en-GB"/>
        </w:rPr>
        <w:t xml:space="preserve">his judgment was </w:t>
      </w:r>
      <w:r w:rsidR="00D749C4">
        <w:rPr>
          <w:rFonts w:ascii="Arial" w:eastAsia="Times New Roman" w:hAnsi="Arial" w:cs="Arial"/>
          <w:i/>
          <w:color w:val="222222"/>
          <w:sz w:val="24"/>
          <w:lang w:eastAsia="en-ZA"/>
        </w:rPr>
        <w:t xml:space="preserve">handed down electronically by email to the parties’ legal representatives, loading on Caselines, publishing on the Department of Justice and Constitutional Development’s website and releasing to Saflii. The time of delivery is deemed to be 10am. </w:t>
      </w:r>
    </w:p>
    <w:sectPr w:rsidR="00C45D3C" w:rsidRPr="00C3300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46C" w:rsidRDefault="0053046C" w:rsidP="00C6303F">
      <w:pPr>
        <w:spacing w:after="0" w:line="240" w:lineRule="auto"/>
      </w:pPr>
      <w:r>
        <w:separator/>
      </w:r>
    </w:p>
  </w:endnote>
  <w:endnote w:type="continuationSeparator" w:id="0">
    <w:p w:rsidR="0053046C" w:rsidRDefault="0053046C" w:rsidP="00C63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46C" w:rsidRDefault="0053046C" w:rsidP="00C6303F">
      <w:pPr>
        <w:spacing w:after="0" w:line="240" w:lineRule="auto"/>
      </w:pPr>
      <w:r>
        <w:separator/>
      </w:r>
    </w:p>
  </w:footnote>
  <w:footnote w:type="continuationSeparator" w:id="0">
    <w:p w:rsidR="0053046C" w:rsidRDefault="0053046C" w:rsidP="00C6303F">
      <w:pPr>
        <w:spacing w:after="0" w:line="240" w:lineRule="auto"/>
      </w:pPr>
      <w:r>
        <w:continuationSeparator/>
      </w:r>
    </w:p>
  </w:footnote>
  <w:footnote w:id="1">
    <w:p w:rsidR="00D577E9" w:rsidRPr="00D577E9" w:rsidRDefault="00D577E9">
      <w:pPr>
        <w:pStyle w:val="FootnoteText"/>
        <w:rPr>
          <w:lang w:val="en-GB"/>
        </w:rPr>
      </w:pPr>
      <w:r>
        <w:rPr>
          <w:rStyle w:val="FootnoteReference"/>
        </w:rPr>
        <w:footnoteRef/>
      </w:r>
      <w:r>
        <w:t xml:space="preserve"> </w:t>
      </w:r>
      <w:r>
        <w:rPr>
          <w:lang w:val="en-GB"/>
        </w:rPr>
        <w:t>Act 3 of 2000.</w:t>
      </w:r>
    </w:p>
  </w:footnote>
  <w:footnote w:id="2">
    <w:p w:rsidR="00C22DBC" w:rsidRPr="00942464" w:rsidRDefault="00C22DBC" w:rsidP="00942464">
      <w:pPr>
        <w:spacing w:after="0" w:line="240" w:lineRule="auto"/>
        <w:jc w:val="both"/>
        <w:rPr>
          <w:rFonts w:ascii="Arial" w:eastAsia="Times New Roman" w:hAnsi="Arial" w:cs="Arial"/>
          <w:bCs/>
          <w:color w:val="000000"/>
          <w:sz w:val="20"/>
        </w:rPr>
      </w:pPr>
      <w:r>
        <w:rPr>
          <w:rStyle w:val="FootnoteReference"/>
        </w:rPr>
        <w:footnoteRef/>
      </w:r>
      <w:r>
        <w:t xml:space="preserve"> </w:t>
      </w:r>
      <w:r w:rsidRPr="00942464">
        <w:rPr>
          <w:rFonts w:ascii="Arial" w:eastAsia="Times New Roman" w:hAnsi="Arial" w:cs="Arial"/>
          <w:bCs/>
          <w:i/>
          <w:color w:val="000000"/>
          <w:sz w:val="20"/>
        </w:rPr>
        <w:t>State Information Technology Agency SOC Ltd v Gijima Holdings (Pty) Ltd</w:t>
      </w:r>
      <w:r w:rsidRPr="00942464">
        <w:rPr>
          <w:rFonts w:ascii="Arial" w:eastAsia="Times New Roman" w:hAnsi="Arial" w:cs="Arial"/>
          <w:bCs/>
          <w:color w:val="000000"/>
          <w:sz w:val="20"/>
        </w:rPr>
        <w:t xml:space="preserve"> 2018 (2) SA 23 (CC) </w:t>
      </w:r>
    </w:p>
  </w:footnote>
  <w:footnote w:id="3">
    <w:p w:rsidR="00C22DBC" w:rsidRPr="00942464" w:rsidRDefault="00C22DBC" w:rsidP="00942464">
      <w:pPr>
        <w:pStyle w:val="FootnoteText"/>
        <w:jc w:val="both"/>
        <w:rPr>
          <w:rFonts w:ascii="Arial" w:hAnsi="Arial" w:cs="Arial"/>
          <w:szCs w:val="22"/>
          <w:lang w:val="en-GB"/>
        </w:rPr>
      </w:pPr>
      <w:r w:rsidRPr="00942464">
        <w:rPr>
          <w:rStyle w:val="FootnoteReference"/>
          <w:rFonts w:ascii="Arial" w:hAnsi="Arial" w:cs="Arial"/>
          <w:szCs w:val="22"/>
        </w:rPr>
        <w:footnoteRef/>
      </w:r>
      <w:r w:rsidRPr="00942464">
        <w:rPr>
          <w:rFonts w:ascii="Arial" w:hAnsi="Arial" w:cs="Arial"/>
          <w:szCs w:val="22"/>
        </w:rPr>
        <w:t xml:space="preserve"> </w:t>
      </w:r>
      <w:r w:rsidR="00942464" w:rsidRPr="00942464">
        <w:rPr>
          <w:rFonts w:ascii="Arial" w:hAnsi="Arial" w:cs="Arial"/>
          <w:i/>
          <w:szCs w:val="22"/>
        </w:rPr>
        <w:t>Special Investigating Unit v MEC for Department of Treasury Free State Province</w:t>
      </w:r>
      <w:r w:rsidR="00942464" w:rsidRPr="00942464">
        <w:rPr>
          <w:rFonts w:ascii="Arial" w:hAnsi="Arial" w:cs="Arial"/>
          <w:szCs w:val="22"/>
          <w:lang w:val="en-GB"/>
        </w:rPr>
        <w:t xml:space="preserve">. </w:t>
      </w:r>
      <w:r w:rsidRPr="00942464">
        <w:rPr>
          <w:rFonts w:ascii="Arial" w:hAnsi="Arial" w:cs="Arial"/>
          <w:szCs w:val="22"/>
          <w:lang w:val="en-GB"/>
        </w:rPr>
        <w:t>An unreported judgment of the Special Tribunal delivered</w:t>
      </w:r>
      <w:r w:rsidR="000F0A4C">
        <w:rPr>
          <w:rFonts w:ascii="Arial" w:hAnsi="Arial" w:cs="Arial"/>
          <w:szCs w:val="22"/>
          <w:lang w:val="en-GB"/>
        </w:rPr>
        <w:t xml:space="preserve"> on 31 January 2022 under case n</w:t>
      </w:r>
      <w:r w:rsidRPr="00942464">
        <w:rPr>
          <w:rFonts w:ascii="Arial" w:hAnsi="Arial" w:cs="Arial"/>
          <w:szCs w:val="22"/>
          <w:lang w:val="en-GB"/>
        </w:rPr>
        <w:t>umber</w:t>
      </w:r>
      <w:r w:rsidR="000F0A4C">
        <w:rPr>
          <w:rFonts w:ascii="Arial" w:hAnsi="Arial" w:cs="Arial"/>
          <w:szCs w:val="22"/>
          <w:lang w:val="en-GB"/>
        </w:rPr>
        <w:t>:</w:t>
      </w:r>
      <w:r w:rsidRPr="00942464">
        <w:rPr>
          <w:rFonts w:ascii="Arial" w:hAnsi="Arial" w:cs="Arial"/>
          <w:szCs w:val="22"/>
          <w:lang w:val="en-GB"/>
        </w:rPr>
        <w:t xml:space="preserve"> FS01/ 2020.  </w:t>
      </w:r>
    </w:p>
  </w:footnote>
  <w:footnote w:id="4">
    <w:p w:rsidR="00F61C2D" w:rsidRPr="002050AA" w:rsidRDefault="00F61C2D" w:rsidP="00F61C2D">
      <w:pPr>
        <w:pStyle w:val="FootnoteText"/>
        <w:tabs>
          <w:tab w:val="left" w:pos="284"/>
        </w:tabs>
        <w:ind w:left="284" w:hanging="284"/>
        <w:jc w:val="both"/>
        <w:rPr>
          <w:rFonts w:ascii="Tahoma" w:hAnsi="Tahoma" w:cs="Tahoma"/>
          <w:lang w:val="en-US"/>
        </w:rPr>
      </w:pPr>
      <w:r w:rsidRPr="00584F8F">
        <w:rPr>
          <w:rStyle w:val="FootnoteReference"/>
          <w:rFonts w:ascii="Franklin Gothic Book" w:hAnsi="Franklin Gothic Book" w:cs="Tahoma"/>
        </w:rPr>
        <w:footnoteRef/>
      </w:r>
      <w:r w:rsidRPr="00584F8F">
        <w:rPr>
          <w:rFonts w:ascii="Franklin Gothic Book" w:hAnsi="Franklin Gothic Book" w:cs="Tahoma"/>
        </w:rPr>
        <w:t xml:space="preserve"> </w:t>
      </w:r>
      <w:r w:rsidRPr="00584F8F">
        <w:rPr>
          <w:rFonts w:ascii="Franklin Gothic Book" w:hAnsi="Franklin Gothic Book" w:cs="Tahoma"/>
        </w:rPr>
        <w:tab/>
      </w:r>
      <w:r w:rsidRPr="00584F8F">
        <w:rPr>
          <w:rFonts w:ascii="Franklin Gothic Book" w:hAnsi="Franklin Gothic Book" w:cs="Tahoma"/>
          <w:color w:val="000000"/>
        </w:rPr>
        <w:t xml:space="preserve">1999 (2) SA 279 (T) </w:t>
      </w:r>
      <w:r w:rsidRPr="00584F8F">
        <w:rPr>
          <w:rFonts w:ascii="Franklin Gothic Book" w:hAnsi="Franklin Gothic Book" w:cs="Tahoma"/>
        </w:rPr>
        <w:t xml:space="preserve">Page 335 </w:t>
      </w:r>
      <w:r>
        <w:rPr>
          <w:rFonts w:ascii="Franklin Gothic Book" w:hAnsi="Franklin Gothic Book" w:cs="Tahoma"/>
        </w:rPr>
        <w:t>–</w:t>
      </w:r>
      <w:r w:rsidRPr="00584F8F">
        <w:rPr>
          <w:rFonts w:ascii="Franklin Gothic Book" w:hAnsi="Franklin Gothic Book" w:cs="Tahoma"/>
        </w:rPr>
        <w:t xml:space="preserve"> 338</w:t>
      </w:r>
      <w:r>
        <w:rPr>
          <w:rFonts w:ascii="Franklin Gothic Book" w:hAnsi="Franklin Gothic Book" w:cs="Tahoma"/>
        </w:rPr>
        <w:t>.</w:t>
      </w:r>
    </w:p>
  </w:footnote>
  <w:footnote w:id="5">
    <w:p w:rsidR="00397F58" w:rsidRPr="005011E2" w:rsidRDefault="00C72150" w:rsidP="00397F58">
      <w:pPr>
        <w:pStyle w:val="FootnoteText"/>
        <w:rPr>
          <w:lang w:val="en-US"/>
        </w:rPr>
      </w:pPr>
      <w:r>
        <w:rPr>
          <w:rStyle w:val="FootnoteReference"/>
        </w:rPr>
        <w:footnoteRef/>
      </w:r>
      <w:r>
        <w:t xml:space="preserve"> </w:t>
      </w:r>
      <w:r w:rsidR="00397F58">
        <w:rPr>
          <w:i/>
        </w:rPr>
        <w:t xml:space="preserve">Natal Joint Municipal Pension Fund v Endumeni Municipality </w:t>
      </w:r>
      <w:r w:rsidR="00397F58">
        <w:t>[2012] ZASCA 13; 2012 (4) SA 593 (SCA) para 18.</w:t>
      </w:r>
    </w:p>
    <w:p w:rsidR="00C72150" w:rsidRPr="00C72150" w:rsidRDefault="00C72150">
      <w:pPr>
        <w:pStyle w:val="FootnoteText"/>
        <w:rPr>
          <w:lang w:val="en-GB"/>
        </w:rPr>
      </w:pPr>
    </w:p>
  </w:footnote>
  <w:footnote w:id="6">
    <w:p w:rsidR="0055560C" w:rsidRPr="0055560C" w:rsidRDefault="0055560C">
      <w:pPr>
        <w:pStyle w:val="FootnoteText"/>
        <w:rPr>
          <w:lang w:val="en-GB"/>
        </w:rPr>
      </w:pPr>
      <w:r>
        <w:rPr>
          <w:rStyle w:val="FootnoteReference"/>
        </w:rPr>
        <w:footnoteRef/>
      </w:r>
      <w:r>
        <w:t xml:space="preserve"> </w:t>
      </w:r>
      <w:r>
        <w:rPr>
          <w:lang w:val="en-GB"/>
        </w:rPr>
        <w:t xml:space="preserve">See paragraph 3.1 of </w:t>
      </w:r>
      <w:r w:rsidRPr="0055560C">
        <w:rPr>
          <w:lang w:val="en-GB"/>
        </w:rPr>
        <w:t>the National Treasury Practice Note 6 of 2007/2008</w:t>
      </w:r>
      <w:r>
        <w:rPr>
          <w:lang w:val="en-GB"/>
        </w:rPr>
        <w:t>.</w:t>
      </w:r>
    </w:p>
  </w:footnote>
  <w:footnote w:id="7">
    <w:p w:rsidR="00D73391" w:rsidRPr="00D73391" w:rsidRDefault="00D73391">
      <w:pPr>
        <w:pStyle w:val="FootnoteText"/>
        <w:rPr>
          <w:lang w:val="en-GB"/>
        </w:rPr>
      </w:pPr>
      <w:r>
        <w:rPr>
          <w:rStyle w:val="FootnoteReference"/>
        </w:rPr>
        <w:footnoteRef/>
      </w:r>
      <w:r>
        <w:t xml:space="preserve"> </w:t>
      </w:r>
      <w:r>
        <w:rPr>
          <w:lang w:val="en-GB"/>
        </w:rPr>
        <w:t xml:space="preserve">See </w:t>
      </w:r>
      <w:r w:rsidRPr="00D73391">
        <w:rPr>
          <w:i/>
          <w:lang w:val="en-GB"/>
        </w:rPr>
        <w:t xml:space="preserve">AllPay Consolidated Investment Holdings (Pty) Ltd and Others v CEO of the South African Social Security Agency and Others </w:t>
      </w:r>
      <w:r w:rsidRPr="00D73391">
        <w:rPr>
          <w:lang w:val="en-GB"/>
        </w:rPr>
        <w:t xml:space="preserve">2014 (1) SA 604 (CC), </w:t>
      </w:r>
      <w:r w:rsidRPr="00D73391">
        <w:rPr>
          <w:i/>
          <w:lang w:val="en-GB"/>
        </w:rPr>
        <w:t>AllPay Consolidated Investment Holdings (Pty) Ltd and Others v CEO of the South African Social Security Agency and Others</w:t>
      </w:r>
      <w:r w:rsidRPr="00D73391">
        <w:rPr>
          <w:lang w:val="en-GB"/>
        </w:rPr>
        <w:t xml:space="preserve"> 2014 (4) SA 179 (CC)</w:t>
      </w:r>
    </w:p>
  </w:footnote>
  <w:footnote w:id="8">
    <w:p w:rsidR="00054A0C" w:rsidRPr="00054A0C" w:rsidRDefault="00054A0C" w:rsidP="00054A0C">
      <w:pPr>
        <w:pStyle w:val="FootnoteText"/>
        <w:rPr>
          <w:lang w:val="en-GB"/>
        </w:rPr>
      </w:pPr>
      <w:r>
        <w:rPr>
          <w:rStyle w:val="FootnoteReference"/>
        </w:rPr>
        <w:footnoteRef/>
      </w:r>
      <w:r>
        <w:t xml:space="preserve"> </w:t>
      </w:r>
      <w:r>
        <w:rPr>
          <w:lang w:val="en-GB"/>
        </w:rPr>
        <w:t xml:space="preserve">See </w:t>
      </w:r>
      <w:r w:rsidRPr="00054A0C">
        <w:rPr>
          <w:i/>
          <w:lang w:val="en-GB"/>
        </w:rPr>
        <w:t>State Information Technology SOC Ltd v Gijima Holdings (Pty) Ltd</w:t>
      </w:r>
      <w:r>
        <w:rPr>
          <w:lang w:val="en-GB"/>
        </w:rPr>
        <w:t xml:space="preserve"> 2018 (2) SA (CC)</w:t>
      </w:r>
      <w:r w:rsidRPr="00054A0C">
        <w:rPr>
          <w:lang w:val="en-GB"/>
        </w:rPr>
        <w:t>.</w:t>
      </w:r>
    </w:p>
  </w:footnote>
  <w:footnote w:id="9">
    <w:p w:rsidR="00D73391" w:rsidRPr="00D73391" w:rsidRDefault="00D73391">
      <w:pPr>
        <w:pStyle w:val="FootnoteText"/>
        <w:rPr>
          <w:lang w:val="en-GB"/>
        </w:rPr>
      </w:pPr>
      <w:r>
        <w:rPr>
          <w:rStyle w:val="FootnoteReference"/>
        </w:rPr>
        <w:footnoteRef/>
      </w:r>
      <w:r>
        <w:t xml:space="preserve"> </w:t>
      </w:r>
      <w:r>
        <w:rPr>
          <w:lang w:val="en-GB"/>
        </w:rPr>
        <w:t>Foot note 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D749C4" w:rsidRDefault="00D749C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3046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046C">
          <w:rPr>
            <w:b/>
            <w:bCs/>
            <w:noProof/>
          </w:rPr>
          <w:t>1</w:t>
        </w:r>
        <w:r>
          <w:rPr>
            <w:b/>
            <w:bCs/>
            <w:sz w:val="24"/>
            <w:szCs w:val="24"/>
          </w:rPr>
          <w:fldChar w:fldCharType="end"/>
        </w:r>
      </w:p>
    </w:sdtContent>
  </w:sdt>
  <w:p w:rsidR="00D749C4" w:rsidRDefault="00D749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4D8F"/>
    <w:multiLevelType w:val="hybridMultilevel"/>
    <w:tmpl w:val="9146BF16"/>
    <w:lvl w:ilvl="0" w:tplc="39CA5F60">
      <w:start w:val="1"/>
      <w:numFmt w:val="decimal"/>
      <w:lvlText w:val="[%1]"/>
      <w:lvlJc w:val="right"/>
      <w:pPr>
        <w:ind w:left="360" w:hanging="360"/>
      </w:pPr>
      <w:rPr>
        <w:rFonts w:ascii="Arial" w:hAnsi="Arial" w:cs="Arial" w:hint="default"/>
        <w:b w:val="0"/>
        <w:i w:val="0"/>
        <w:sz w:val="24"/>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C5431C0"/>
    <w:multiLevelType w:val="hybridMultilevel"/>
    <w:tmpl w:val="8AFEB72A"/>
    <w:lvl w:ilvl="0" w:tplc="07244FBE">
      <w:start w:val="1"/>
      <w:numFmt w:val="decimal"/>
      <w:lvlText w:val="[%1]"/>
      <w:lvlJc w:val="right"/>
      <w:pPr>
        <w:ind w:left="360" w:hanging="360"/>
      </w:pPr>
      <w:rPr>
        <w:rFonts w:ascii="Arial" w:hAnsi="Arial" w:cs="Arial" w:hint="default"/>
        <w:sz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130722CD"/>
    <w:multiLevelType w:val="hybridMultilevel"/>
    <w:tmpl w:val="7A2453F2"/>
    <w:lvl w:ilvl="0" w:tplc="6D08478C">
      <w:start w:val="1"/>
      <w:numFmt w:val="decimal"/>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1762338E"/>
    <w:multiLevelType w:val="hybridMultilevel"/>
    <w:tmpl w:val="353E0B66"/>
    <w:lvl w:ilvl="0" w:tplc="911E9A92">
      <w:start w:val="1"/>
      <w:numFmt w:val="decimal"/>
      <w:lvlText w:val="[%1]"/>
      <w:lvlJc w:val="righ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A8637B5"/>
    <w:multiLevelType w:val="hybridMultilevel"/>
    <w:tmpl w:val="CE48150C"/>
    <w:lvl w:ilvl="0" w:tplc="3978299C">
      <w:start w:val="1"/>
      <w:numFmt w:val="decimal"/>
      <w:lvlText w:val="[%1]"/>
      <w:lvlJc w:val="right"/>
      <w:pPr>
        <w:ind w:left="360" w:hanging="360"/>
      </w:pPr>
      <w:rPr>
        <w:rFonts w:ascii="Arial" w:hAnsi="Arial" w:cs="Arial" w:hint="default"/>
        <w:b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C2E3694"/>
    <w:multiLevelType w:val="multilevel"/>
    <w:tmpl w:val="3238F9AE"/>
    <w:lvl w:ilvl="0">
      <w:start w:val="2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CF436E2"/>
    <w:multiLevelType w:val="hybridMultilevel"/>
    <w:tmpl w:val="80A0DF6A"/>
    <w:lvl w:ilvl="0" w:tplc="07244FBE">
      <w:start w:val="1"/>
      <w:numFmt w:val="decimal"/>
      <w:lvlText w:val="[%1]"/>
      <w:lvlJc w:val="righ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A742B64"/>
    <w:multiLevelType w:val="multilevel"/>
    <w:tmpl w:val="D06E9B16"/>
    <w:lvl w:ilvl="0">
      <w:start w:val="23"/>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EF92166"/>
    <w:multiLevelType w:val="hybridMultilevel"/>
    <w:tmpl w:val="E27A233A"/>
    <w:lvl w:ilvl="0" w:tplc="E04C528E">
      <w:start w:val="28"/>
      <w:numFmt w:val="decimal"/>
      <w:lvlText w:val="[%1]"/>
      <w:lvlJc w:val="righ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316699C"/>
    <w:multiLevelType w:val="hybridMultilevel"/>
    <w:tmpl w:val="1C3A48E4"/>
    <w:lvl w:ilvl="0" w:tplc="07244FBE">
      <w:start w:val="1"/>
      <w:numFmt w:val="decimal"/>
      <w:lvlText w:val="[%1]"/>
      <w:lvlJc w:val="righ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3DF7ACA"/>
    <w:multiLevelType w:val="multilevel"/>
    <w:tmpl w:val="951AA9B4"/>
    <w:lvl w:ilvl="0">
      <w:start w:val="1"/>
      <w:numFmt w:val="decimal"/>
      <w:lvlText w:val="%1."/>
      <w:lvlJc w:val="left"/>
      <w:pPr>
        <w:ind w:left="720" w:hanging="360"/>
      </w:pPr>
      <w:rPr>
        <w:rFonts w:ascii="Arial" w:hAnsi="Arial" w:cs="Arial" w:hint="default"/>
        <w:b w:val="0"/>
        <w:bCs w:val="0"/>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48C0184"/>
    <w:multiLevelType w:val="multilevel"/>
    <w:tmpl w:val="912CD5DC"/>
    <w:lvl w:ilvl="0">
      <w:start w:val="2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8336F9"/>
    <w:multiLevelType w:val="hybridMultilevel"/>
    <w:tmpl w:val="59FED77E"/>
    <w:lvl w:ilvl="0" w:tplc="6D08478C">
      <w:start w:val="1"/>
      <w:numFmt w:val="decimal"/>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55C956EF"/>
    <w:multiLevelType w:val="multilevel"/>
    <w:tmpl w:val="2A021DEC"/>
    <w:lvl w:ilvl="0">
      <w:start w:val="1"/>
      <w:numFmt w:val="decimal"/>
      <w:lvlText w:val="%1."/>
      <w:lvlJc w:val="left"/>
      <w:pPr>
        <w:ind w:left="360" w:hanging="360"/>
      </w:p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55F97FA8"/>
    <w:multiLevelType w:val="hybridMultilevel"/>
    <w:tmpl w:val="620A6F14"/>
    <w:lvl w:ilvl="0" w:tplc="07244FBE">
      <w:start w:val="1"/>
      <w:numFmt w:val="decimal"/>
      <w:lvlText w:val="[%1]"/>
      <w:lvlJc w:val="right"/>
      <w:pPr>
        <w:ind w:left="360" w:hanging="360"/>
      </w:pPr>
      <w:rPr>
        <w:rFonts w:ascii="Arial" w:hAnsi="Arial" w:cs="Arial" w:hint="default"/>
        <w:sz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641376E9"/>
    <w:multiLevelType w:val="hybridMultilevel"/>
    <w:tmpl w:val="0F00CAA4"/>
    <w:lvl w:ilvl="0" w:tplc="6D08478C">
      <w:start w:val="1"/>
      <w:numFmt w:val="decimal"/>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60B7414"/>
    <w:multiLevelType w:val="hybridMultilevel"/>
    <w:tmpl w:val="E95E594A"/>
    <w:lvl w:ilvl="0" w:tplc="6D08478C">
      <w:start w:val="1"/>
      <w:numFmt w:val="decimal"/>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6EA214B2"/>
    <w:multiLevelType w:val="hybridMultilevel"/>
    <w:tmpl w:val="393E7CF2"/>
    <w:lvl w:ilvl="0" w:tplc="E10C2E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FA73A4"/>
    <w:multiLevelType w:val="multilevel"/>
    <w:tmpl w:val="3B8CF83A"/>
    <w:lvl w:ilvl="0">
      <w:start w:val="2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7507DE5"/>
    <w:multiLevelType w:val="hybridMultilevel"/>
    <w:tmpl w:val="2CA2A5CE"/>
    <w:lvl w:ilvl="0" w:tplc="07244FBE">
      <w:start w:val="1"/>
      <w:numFmt w:val="decimal"/>
      <w:lvlText w:val="[%1]"/>
      <w:lvlJc w:val="right"/>
      <w:pPr>
        <w:ind w:left="360" w:hanging="360"/>
      </w:pPr>
      <w:rPr>
        <w:rFonts w:ascii="Arial" w:hAnsi="Arial" w:cs="Arial" w:hint="default"/>
        <w:sz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7AA72615"/>
    <w:multiLevelType w:val="multilevel"/>
    <w:tmpl w:val="66AAE0E0"/>
    <w:lvl w:ilvl="0">
      <w:start w:val="2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BC51888"/>
    <w:multiLevelType w:val="multilevel"/>
    <w:tmpl w:val="B1DCCB14"/>
    <w:lvl w:ilvl="0">
      <w:start w:val="2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10"/>
  </w:num>
  <w:num w:numId="3">
    <w:abstractNumId w:val="0"/>
  </w:num>
  <w:num w:numId="4">
    <w:abstractNumId w:val="16"/>
  </w:num>
  <w:num w:numId="5">
    <w:abstractNumId w:val="2"/>
  </w:num>
  <w:num w:numId="6">
    <w:abstractNumId w:val="14"/>
  </w:num>
  <w:num w:numId="7">
    <w:abstractNumId w:val="9"/>
  </w:num>
  <w:num w:numId="8">
    <w:abstractNumId w:val="6"/>
  </w:num>
  <w:num w:numId="9">
    <w:abstractNumId w:val="19"/>
  </w:num>
  <w:num w:numId="10">
    <w:abstractNumId w:val="1"/>
  </w:num>
  <w:num w:numId="11">
    <w:abstractNumId w:val="3"/>
  </w:num>
  <w:num w:numId="12">
    <w:abstractNumId w:val="4"/>
  </w:num>
  <w:num w:numId="13">
    <w:abstractNumId w:val="13"/>
  </w:num>
  <w:num w:numId="14">
    <w:abstractNumId w:val="7"/>
  </w:num>
  <w:num w:numId="15">
    <w:abstractNumId w:val="20"/>
  </w:num>
  <w:num w:numId="16">
    <w:abstractNumId w:val="18"/>
  </w:num>
  <w:num w:numId="17">
    <w:abstractNumId w:val="15"/>
  </w:num>
  <w:num w:numId="18">
    <w:abstractNumId w:val="12"/>
  </w:num>
  <w:num w:numId="19">
    <w:abstractNumId w:val="8"/>
  </w:num>
  <w:num w:numId="20">
    <w:abstractNumId w:val="21"/>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F2"/>
    <w:rsid w:val="00003BBB"/>
    <w:rsid w:val="000176AD"/>
    <w:rsid w:val="00054A0C"/>
    <w:rsid w:val="00063A55"/>
    <w:rsid w:val="00083891"/>
    <w:rsid w:val="00097BB9"/>
    <w:rsid w:val="000D7E17"/>
    <w:rsid w:val="000F0A4C"/>
    <w:rsid w:val="00185F3A"/>
    <w:rsid w:val="00191CDE"/>
    <w:rsid w:val="001D284D"/>
    <w:rsid w:val="001D3E48"/>
    <w:rsid w:val="00202D80"/>
    <w:rsid w:val="0027104F"/>
    <w:rsid w:val="002B0FCD"/>
    <w:rsid w:val="00335504"/>
    <w:rsid w:val="00386DF2"/>
    <w:rsid w:val="00396730"/>
    <w:rsid w:val="00397F58"/>
    <w:rsid w:val="003A17C9"/>
    <w:rsid w:val="003B3DB1"/>
    <w:rsid w:val="00466942"/>
    <w:rsid w:val="00477070"/>
    <w:rsid w:val="00482226"/>
    <w:rsid w:val="004A659A"/>
    <w:rsid w:val="004D430D"/>
    <w:rsid w:val="004F0D49"/>
    <w:rsid w:val="0051263A"/>
    <w:rsid w:val="0052553A"/>
    <w:rsid w:val="0053046C"/>
    <w:rsid w:val="00540390"/>
    <w:rsid w:val="00544375"/>
    <w:rsid w:val="00544EA1"/>
    <w:rsid w:val="0055560C"/>
    <w:rsid w:val="00570F59"/>
    <w:rsid w:val="0059639B"/>
    <w:rsid w:val="00627AC5"/>
    <w:rsid w:val="00645449"/>
    <w:rsid w:val="006B0183"/>
    <w:rsid w:val="006B0A3E"/>
    <w:rsid w:val="006B5354"/>
    <w:rsid w:val="006B570B"/>
    <w:rsid w:val="006C4F79"/>
    <w:rsid w:val="00712572"/>
    <w:rsid w:val="00723747"/>
    <w:rsid w:val="00723F52"/>
    <w:rsid w:val="00726E55"/>
    <w:rsid w:val="0074179C"/>
    <w:rsid w:val="007C43E8"/>
    <w:rsid w:val="008024EF"/>
    <w:rsid w:val="00836106"/>
    <w:rsid w:val="0088317A"/>
    <w:rsid w:val="0088354D"/>
    <w:rsid w:val="008E474D"/>
    <w:rsid w:val="00942464"/>
    <w:rsid w:val="00982C90"/>
    <w:rsid w:val="00997E77"/>
    <w:rsid w:val="00AA473A"/>
    <w:rsid w:val="00AB3AFC"/>
    <w:rsid w:val="00AE25D5"/>
    <w:rsid w:val="00B07875"/>
    <w:rsid w:val="00B11D0B"/>
    <w:rsid w:val="00B13AB2"/>
    <w:rsid w:val="00B43705"/>
    <w:rsid w:val="00B64753"/>
    <w:rsid w:val="00B82F7B"/>
    <w:rsid w:val="00B87A4A"/>
    <w:rsid w:val="00BC2B9D"/>
    <w:rsid w:val="00BD3A0B"/>
    <w:rsid w:val="00BF30B4"/>
    <w:rsid w:val="00BF620F"/>
    <w:rsid w:val="00C12F3D"/>
    <w:rsid w:val="00C21824"/>
    <w:rsid w:val="00C22DBC"/>
    <w:rsid w:val="00C33002"/>
    <w:rsid w:val="00C42EF1"/>
    <w:rsid w:val="00C45D3C"/>
    <w:rsid w:val="00C6303F"/>
    <w:rsid w:val="00C72150"/>
    <w:rsid w:val="00C87504"/>
    <w:rsid w:val="00CA0E97"/>
    <w:rsid w:val="00CC183D"/>
    <w:rsid w:val="00CF031F"/>
    <w:rsid w:val="00CF4A06"/>
    <w:rsid w:val="00D32F62"/>
    <w:rsid w:val="00D577E9"/>
    <w:rsid w:val="00D629C5"/>
    <w:rsid w:val="00D73391"/>
    <w:rsid w:val="00D749C4"/>
    <w:rsid w:val="00D859DF"/>
    <w:rsid w:val="00DB0242"/>
    <w:rsid w:val="00DC569C"/>
    <w:rsid w:val="00DF5A0E"/>
    <w:rsid w:val="00E9313E"/>
    <w:rsid w:val="00EC04A2"/>
    <w:rsid w:val="00F00391"/>
    <w:rsid w:val="00F50659"/>
    <w:rsid w:val="00F61C2D"/>
    <w:rsid w:val="00F8513F"/>
    <w:rsid w:val="00F86EF9"/>
    <w:rsid w:val="00FA0366"/>
    <w:rsid w:val="00FD1E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3704"/>
  <w15:docId w15:val="{ABCE32BF-32BB-403B-BC56-78F6E766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EF2"/>
    <w:pPr>
      <w:spacing w:after="0" w:line="240" w:lineRule="auto"/>
      <w:ind w:left="720"/>
    </w:pPr>
    <w:rPr>
      <w:rFonts w:ascii="Times New Roman" w:eastAsia="Times New Roman" w:hAnsi="Times New Roman" w:cs="Times New Roman"/>
      <w:sz w:val="24"/>
      <w:szCs w:val="24"/>
      <w:lang w:val="en-US"/>
    </w:rPr>
  </w:style>
  <w:style w:type="paragraph" w:styleId="FootnoteText">
    <w:name w:val="footnote text"/>
    <w:aliases w:val="Char"/>
    <w:basedOn w:val="Normal"/>
    <w:link w:val="FootnoteTextChar"/>
    <w:rsid w:val="00C6303F"/>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Char Char"/>
    <w:basedOn w:val="DefaultParagraphFont"/>
    <w:link w:val="FootnoteText"/>
    <w:rsid w:val="00C6303F"/>
    <w:rPr>
      <w:rFonts w:ascii="Times New Roman" w:eastAsia="Times New Roman" w:hAnsi="Times New Roman" w:cs="Times New Roman"/>
      <w:sz w:val="20"/>
      <w:szCs w:val="20"/>
      <w:lang w:eastAsia="en-GB"/>
    </w:rPr>
  </w:style>
  <w:style w:type="character" w:styleId="FootnoteReference">
    <w:name w:val="footnote reference"/>
    <w:aliases w:val="Footnotes refss,Footnote Reference + Superscript,(NECG) Footnote Reference,Appel note de bas de page,Ref,de nota al pie,註腳內容,fr,Footnote symbol,Footnote,Style 4,-E Fußnotenzeichen,16 Point,Superscript 6 Point,Heading 6 Char1,Style 12"/>
    <w:basedOn w:val="DefaultParagraphFont"/>
    <w:qFormat/>
    <w:rsid w:val="00C6303F"/>
    <w:rPr>
      <w:vertAlign w:val="superscript"/>
    </w:rPr>
  </w:style>
  <w:style w:type="paragraph" w:customStyle="1" w:styleId="p1">
    <w:name w:val="p1"/>
    <w:basedOn w:val="Normal"/>
    <w:rsid w:val="00C22DBC"/>
    <w:pPr>
      <w:spacing w:before="100" w:beforeAutospacing="1" w:after="100" w:afterAutospacing="1" w:line="240" w:lineRule="auto"/>
    </w:pPr>
    <w:rPr>
      <w:rFonts w:ascii="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6B5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70B"/>
    <w:rPr>
      <w:rFonts w:ascii="Tahoma" w:hAnsi="Tahoma" w:cs="Tahoma"/>
      <w:sz w:val="16"/>
      <w:szCs w:val="16"/>
    </w:rPr>
  </w:style>
  <w:style w:type="paragraph" w:styleId="Header">
    <w:name w:val="header"/>
    <w:basedOn w:val="Normal"/>
    <w:link w:val="HeaderChar"/>
    <w:uiPriority w:val="99"/>
    <w:unhideWhenUsed/>
    <w:rsid w:val="00D749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C4"/>
  </w:style>
  <w:style w:type="paragraph" w:styleId="Footer">
    <w:name w:val="footer"/>
    <w:basedOn w:val="Normal"/>
    <w:link w:val="FooterChar"/>
    <w:uiPriority w:val="99"/>
    <w:unhideWhenUsed/>
    <w:rsid w:val="00D749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C4"/>
  </w:style>
  <w:style w:type="paragraph" w:styleId="Revision">
    <w:name w:val="Revision"/>
    <w:hidden/>
    <w:uiPriority w:val="99"/>
    <w:semiHidden/>
    <w:rsid w:val="00DB02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D13F3-DD27-436F-A11C-F547D5B42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Judge-Lebogang Modiba</dc:creator>
  <cp:lastModifiedBy>Judge-Lebogang Modiba</cp:lastModifiedBy>
  <cp:revision>12</cp:revision>
  <cp:lastPrinted>2022-05-18T05:50:00Z</cp:lastPrinted>
  <dcterms:created xsi:type="dcterms:W3CDTF">2022-05-18T04:38:00Z</dcterms:created>
  <dcterms:modified xsi:type="dcterms:W3CDTF">2022-05-18T05:52:00Z</dcterms:modified>
</cp:coreProperties>
</file>