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44FE0" w14:textId="77777777" w:rsidR="00710A2A" w:rsidRPr="00710A2A" w:rsidRDefault="00825D4F" w:rsidP="00710A2A">
      <w:pPr>
        <w:jc w:val="center"/>
        <w:rPr>
          <w:rFonts w:ascii="Arial" w:eastAsiaTheme="minorHAnsi" w:hAnsi="Arial" w:cs="Arial"/>
          <w:lang w:val="en-ZA" w:eastAsia="en-US"/>
        </w:rPr>
      </w:pPr>
      <w:r>
        <w:rPr>
          <w:rFonts w:ascii="Arial" w:hAnsi="Arial" w:cs="Arial"/>
          <w:b/>
          <w:sz w:val="28"/>
          <w:szCs w:val="28"/>
          <w:lang w:val="en-ZA"/>
        </w:rPr>
        <w:t xml:space="preserve">      </w:t>
      </w:r>
      <w:r w:rsidR="00710A2A" w:rsidRPr="00710A2A">
        <w:rPr>
          <w:rFonts w:ascii="Arial" w:eastAsiaTheme="minorHAnsi" w:hAnsi="Arial" w:cs="Arial"/>
          <w:noProof/>
          <w:lang w:val="en-ZA" w:eastAsia="en-ZA"/>
        </w:rPr>
        <w:drawing>
          <wp:inline distT="0" distB="0" distL="0" distR="0" wp14:anchorId="28A3FD7C" wp14:editId="364054BE">
            <wp:extent cx="2157572" cy="1797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_BS_Special Tribunal_Revised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583" cy="1792153"/>
                    </a:xfrm>
                    <a:prstGeom prst="rect">
                      <a:avLst/>
                    </a:prstGeom>
                  </pic:spPr>
                </pic:pic>
              </a:graphicData>
            </a:graphic>
          </wp:inline>
        </w:drawing>
      </w:r>
    </w:p>
    <w:p w14:paraId="10C92EDA" w14:textId="77777777" w:rsidR="00710A2A" w:rsidRPr="00710A2A" w:rsidRDefault="00710A2A" w:rsidP="00710A2A">
      <w:pPr>
        <w:spacing w:after="200" w:line="276" w:lineRule="auto"/>
        <w:rPr>
          <w:rFonts w:ascii="Arial" w:eastAsiaTheme="minorHAnsi" w:hAnsi="Arial" w:cs="Arial"/>
          <w:lang w:val="en-ZA" w:eastAsia="en-US"/>
        </w:rPr>
      </w:pPr>
    </w:p>
    <w:p w14:paraId="11171905" w14:textId="77777777" w:rsidR="00710A2A" w:rsidRPr="00710A2A" w:rsidRDefault="00710A2A" w:rsidP="00710A2A">
      <w:pPr>
        <w:jc w:val="center"/>
        <w:rPr>
          <w:rFonts w:ascii="Arial" w:eastAsiaTheme="minorHAnsi" w:hAnsi="Arial" w:cs="Arial"/>
          <w:b/>
          <w:lang w:val="en-ZA" w:eastAsia="en-US"/>
        </w:rPr>
      </w:pPr>
      <w:r w:rsidRPr="00710A2A">
        <w:rPr>
          <w:rFonts w:ascii="Arial" w:eastAsiaTheme="minorHAnsi" w:hAnsi="Arial" w:cs="Arial"/>
          <w:b/>
          <w:lang w:val="en-ZA" w:eastAsia="en-US"/>
        </w:rPr>
        <w:t xml:space="preserve">IN THE SPECIAL TRIBUNAL ESTABLISHED IN TERMS OF SECTION 2 (1) OF THE SPECIAL INVESTIGATIONS UNIT AND </w:t>
      </w:r>
    </w:p>
    <w:p w14:paraId="3E2794A8" w14:textId="77777777" w:rsidR="00710A2A" w:rsidRPr="00710A2A" w:rsidRDefault="00710A2A" w:rsidP="00710A2A">
      <w:pPr>
        <w:jc w:val="center"/>
        <w:rPr>
          <w:rFonts w:ascii="Arial" w:eastAsiaTheme="minorHAnsi" w:hAnsi="Arial" w:cs="Arial"/>
          <w:b/>
          <w:lang w:val="en-ZA" w:eastAsia="en-US"/>
        </w:rPr>
      </w:pPr>
      <w:r w:rsidRPr="00710A2A">
        <w:rPr>
          <w:rFonts w:ascii="Arial" w:eastAsiaTheme="minorHAnsi" w:hAnsi="Arial" w:cs="Arial"/>
          <w:b/>
          <w:lang w:val="en-ZA" w:eastAsia="en-US"/>
        </w:rPr>
        <w:t>SPECIAL TRIBUNALS ACT 74 OF 1999</w:t>
      </w:r>
    </w:p>
    <w:p w14:paraId="0F7EC195" w14:textId="77777777" w:rsidR="00710A2A" w:rsidRPr="00710A2A" w:rsidRDefault="00710A2A" w:rsidP="00710A2A">
      <w:pPr>
        <w:jc w:val="center"/>
        <w:rPr>
          <w:rFonts w:ascii="Arial" w:eastAsiaTheme="minorHAnsi" w:hAnsi="Arial" w:cs="Arial"/>
          <w:b/>
          <w:lang w:val="en-ZA" w:eastAsia="en-US"/>
        </w:rPr>
      </w:pPr>
    </w:p>
    <w:p w14:paraId="0CD52EB9" w14:textId="77777777" w:rsidR="00710A2A" w:rsidRPr="00710A2A" w:rsidRDefault="00710A2A" w:rsidP="00710A2A">
      <w:pPr>
        <w:spacing w:after="200" w:line="360" w:lineRule="auto"/>
        <w:jc w:val="center"/>
        <w:rPr>
          <w:rFonts w:ascii="Arial" w:eastAsiaTheme="minorHAnsi" w:hAnsi="Arial" w:cs="Arial"/>
          <w:b/>
          <w:lang w:val="en-ZA" w:eastAsia="en-US"/>
        </w:rPr>
      </w:pPr>
      <w:r w:rsidRPr="00710A2A">
        <w:rPr>
          <w:rFonts w:ascii="Arial" w:eastAsiaTheme="minorHAnsi" w:hAnsi="Arial" w:cs="Arial"/>
          <w:b/>
          <w:lang w:val="en-ZA" w:eastAsia="en-US"/>
        </w:rPr>
        <w:t>(REPUBLIC OF SOUTH AFRICA)</w:t>
      </w:r>
    </w:p>
    <w:p w14:paraId="696E2E85" w14:textId="77777777" w:rsidR="00710A2A" w:rsidRPr="00710A2A" w:rsidRDefault="00710A2A" w:rsidP="00710A2A">
      <w:pPr>
        <w:spacing w:after="254" w:line="259" w:lineRule="auto"/>
        <w:ind w:right="53"/>
        <w:rPr>
          <w:rFonts w:ascii="Arial" w:eastAsiaTheme="minorHAnsi" w:hAnsi="Arial" w:cs="Arial"/>
          <w:lang w:val="en-ZA" w:eastAsia="en-US"/>
        </w:rPr>
      </w:pPr>
      <w:r w:rsidRPr="00710A2A">
        <w:rPr>
          <w:rFonts w:ascii="Arial" w:eastAsiaTheme="minorHAnsi" w:hAnsi="Arial" w:cs="Arial"/>
          <w:b/>
          <w:lang w:val="en-ZA" w:eastAsia="en-US"/>
        </w:rPr>
        <w:t xml:space="preserve"> </w:t>
      </w:r>
    </w:p>
    <w:p w14:paraId="42FB90D0" w14:textId="6F377D45" w:rsidR="00710A2A" w:rsidRPr="00710A2A" w:rsidRDefault="00710A2A" w:rsidP="00710A2A">
      <w:pPr>
        <w:spacing w:after="254" w:line="259" w:lineRule="auto"/>
        <w:ind w:right="53"/>
        <w:jc w:val="right"/>
        <w:rPr>
          <w:rFonts w:ascii="Arial" w:eastAsiaTheme="minorHAnsi" w:hAnsi="Arial" w:cs="Arial"/>
          <w:lang w:val="en-ZA" w:eastAsia="en-US"/>
        </w:rPr>
      </w:pPr>
      <w:r>
        <w:rPr>
          <w:rFonts w:ascii="Arial" w:eastAsiaTheme="minorHAnsi" w:hAnsi="Arial" w:cs="Arial"/>
          <w:b/>
          <w:lang w:val="en-ZA" w:eastAsia="en-US"/>
        </w:rPr>
        <w:t>CASE NUMBER:</w:t>
      </w:r>
      <w:r w:rsidR="00141F00">
        <w:rPr>
          <w:rFonts w:ascii="Arial" w:eastAsiaTheme="minorHAnsi" w:hAnsi="Arial" w:cs="Arial"/>
          <w:b/>
          <w:lang w:val="en-ZA" w:eastAsia="en-US"/>
        </w:rPr>
        <w:t xml:space="preserve"> </w:t>
      </w:r>
      <w:r w:rsidR="002676AB">
        <w:rPr>
          <w:rFonts w:ascii="Arial" w:eastAsiaTheme="minorHAnsi" w:hAnsi="Arial" w:cs="Arial"/>
          <w:b/>
          <w:lang w:val="en-ZA" w:eastAsia="en-US"/>
        </w:rPr>
        <w:t>GP/10/2020</w:t>
      </w:r>
    </w:p>
    <w:p w14:paraId="47EF5600" w14:textId="77777777" w:rsidR="00710A2A" w:rsidRPr="00710A2A" w:rsidRDefault="00710A2A" w:rsidP="00710A2A">
      <w:pPr>
        <w:spacing w:after="264" w:line="276" w:lineRule="auto"/>
        <w:ind w:left="-5" w:right="61"/>
        <w:rPr>
          <w:rFonts w:ascii="Arial" w:eastAsiaTheme="minorHAnsi" w:hAnsi="Arial" w:cs="Arial"/>
          <w:lang w:val="en-ZA" w:eastAsia="en-US"/>
        </w:rPr>
      </w:pPr>
      <w:r w:rsidRPr="00710A2A">
        <w:rPr>
          <w:rFonts w:ascii="Arial" w:eastAsiaTheme="minorHAnsi" w:hAnsi="Arial" w:cs="Arial"/>
          <w:lang w:val="en-ZA" w:eastAsia="en-US"/>
        </w:rPr>
        <w:t xml:space="preserve">In the case between: </w:t>
      </w:r>
    </w:p>
    <w:p w14:paraId="43C3210E" w14:textId="77777777" w:rsidR="007A6A55" w:rsidRPr="001965CD" w:rsidRDefault="007A6A55" w:rsidP="00710A2A">
      <w:pPr>
        <w:outlineLvl w:val="0"/>
        <w:rPr>
          <w:rFonts w:ascii="Arial" w:hAnsi="Arial" w:cs="Arial"/>
          <w:lang w:val="en-ZA"/>
        </w:rPr>
      </w:pPr>
    </w:p>
    <w:p w14:paraId="2FD7F4DF" w14:textId="77777777" w:rsidR="00302956" w:rsidRDefault="00302956" w:rsidP="00212377">
      <w:pPr>
        <w:jc w:val="both"/>
        <w:rPr>
          <w:rFonts w:ascii="Arial" w:hAnsi="Arial" w:cs="Arial"/>
          <w:lang w:val="en-ZA"/>
        </w:rPr>
      </w:pPr>
    </w:p>
    <w:p w14:paraId="0AD9E03D" w14:textId="77777777" w:rsidR="00CD30C1" w:rsidRDefault="001B2E5C" w:rsidP="00212377">
      <w:pPr>
        <w:jc w:val="both"/>
        <w:rPr>
          <w:rFonts w:ascii="Arial" w:hAnsi="Arial" w:cs="Arial"/>
          <w:lang w:val="en-ZA"/>
        </w:rPr>
      </w:pPr>
      <w:r>
        <w:rPr>
          <w:rFonts w:ascii="Arial" w:hAnsi="Arial" w:cs="Arial"/>
          <w:b/>
          <w:lang w:val="en-ZA"/>
        </w:rPr>
        <w:t>SPECIAL INVESTIGATING UNIT</w:t>
      </w:r>
      <w:r w:rsidR="00FA7193">
        <w:rPr>
          <w:rFonts w:ascii="Arial" w:hAnsi="Arial" w:cs="Arial"/>
          <w:b/>
          <w:lang w:val="en-ZA"/>
        </w:rPr>
        <w:tab/>
      </w:r>
      <w:r w:rsidR="00FA7193">
        <w:rPr>
          <w:rFonts w:ascii="Arial" w:hAnsi="Arial" w:cs="Arial"/>
          <w:b/>
          <w:lang w:val="en-ZA"/>
        </w:rPr>
        <w:tab/>
      </w:r>
      <w:r w:rsidR="0016473F">
        <w:rPr>
          <w:rFonts w:ascii="Arial" w:hAnsi="Arial" w:cs="Arial"/>
          <w:lang w:val="en-ZA"/>
        </w:rPr>
        <w:tab/>
        <w:t xml:space="preserve">   </w:t>
      </w:r>
      <w:r w:rsidR="00764AA4">
        <w:rPr>
          <w:rFonts w:ascii="Arial" w:hAnsi="Arial" w:cs="Arial"/>
          <w:lang w:val="en-ZA"/>
        </w:rPr>
        <w:t xml:space="preserve">      </w:t>
      </w:r>
      <w:r>
        <w:rPr>
          <w:rFonts w:ascii="Arial" w:hAnsi="Arial" w:cs="Arial"/>
          <w:lang w:val="en-ZA"/>
        </w:rPr>
        <w:tab/>
      </w:r>
      <w:r w:rsidR="007D74DD">
        <w:rPr>
          <w:rFonts w:ascii="Arial" w:hAnsi="Arial" w:cs="Arial"/>
          <w:lang w:val="en-ZA"/>
        </w:rPr>
        <w:t xml:space="preserve"> </w:t>
      </w:r>
      <w:r w:rsidR="006937BA">
        <w:rPr>
          <w:rFonts w:ascii="Arial" w:hAnsi="Arial" w:cs="Arial"/>
          <w:lang w:val="en-ZA"/>
        </w:rPr>
        <w:t xml:space="preserve">   </w:t>
      </w:r>
      <w:r w:rsidR="00764AA4">
        <w:rPr>
          <w:rFonts w:ascii="Arial" w:hAnsi="Arial" w:cs="Arial"/>
          <w:lang w:val="en-ZA"/>
        </w:rPr>
        <w:t xml:space="preserve">  </w:t>
      </w:r>
      <w:r w:rsidR="007D74DD" w:rsidRPr="00764AA4">
        <w:rPr>
          <w:rFonts w:ascii="Arial" w:hAnsi="Arial" w:cs="Arial"/>
          <w:b/>
          <w:lang w:val="en-ZA"/>
        </w:rPr>
        <w:t>A</w:t>
      </w:r>
      <w:r w:rsidR="007D74DD">
        <w:rPr>
          <w:rFonts w:ascii="Arial" w:hAnsi="Arial" w:cs="Arial"/>
          <w:b/>
          <w:lang w:val="en-ZA"/>
        </w:rPr>
        <w:t>PPLICANT</w:t>
      </w:r>
    </w:p>
    <w:p w14:paraId="637C33BD" w14:textId="77777777" w:rsidR="0016473F" w:rsidRDefault="0016473F" w:rsidP="00212377">
      <w:pPr>
        <w:jc w:val="both"/>
        <w:rPr>
          <w:rFonts w:ascii="Arial" w:hAnsi="Arial" w:cs="Arial"/>
          <w:lang w:val="en-ZA"/>
        </w:rPr>
      </w:pPr>
    </w:p>
    <w:p w14:paraId="2ED9C09D" w14:textId="77777777" w:rsidR="0016473F" w:rsidRPr="009C277C" w:rsidRDefault="0016473F" w:rsidP="00212377">
      <w:pPr>
        <w:jc w:val="both"/>
        <w:rPr>
          <w:rFonts w:ascii="Arial" w:hAnsi="Arial" w:cs="Arial"/>
          <w:lang w:val="en-ZA"/>
        </w:rPr>
      </w:pPr>
      <w:r>
        <w:rPr>
          <w:rFonts w:ascii="Arial" w:hAnsi="Arial" w:cs="Arial"/>
          <w:b/>
          <w:lang w:val="en-ZA"/>
        </w:rPr>
        <w:tab/>
      </w:r>
      <w:r w:rsidR="00302956">
        <w:rPr>
          <w:rFonts w:ascii="Arial" w:hAnsi="Arial" w:cs="Arial"/>
          <w:b/>
          <w:lang w:val="en-ZA"/>
        </w:rPr>
        <w:tab/>
      </w:r>
      <w:r w:rsidR="00302956">
        <w:rPr>
          <w:rFonts w:ascii="Arial" w:hAnsi="Arial" w:cs="Arial"/>
          <w:b/>
          <w:lang w:val="en-ZA"/>
        </w:rPr>
        <w:tab/>
      </w:r>
      <w:r w:rsidR="00302956">
        <w:rPr>
          <w:rFonts w:ascii="Arial" w:hAnsi="Arial" w:cs="Arial"/>
          <w:b/>
          <w:lang w:val="en-ZA"/>
        </w:rPr>
        <w:tab/>
      </w:r>
      <w:r w:rsidR="00302956">
        <w:rPr>
          <w:rFonts w:ascii="Arial" w:hAnsi="Arial" w:cs="Arial"/>
          <w:b/>
          <w:lang w:val="en-ZA"/>
        </w:rPr>
        <w:tab/>
      </w:r>
      <w:r w:rsidR="00302956">
        <w:rPr>
          <w:rFonts w:ascii="Arial" w:hAnsi="Arial" w:cs="Arial"/>
          <w:b/>
          <w:lang w:val="en-ZA"/>
        </w:rPr>
        <w:tab/>
      </w:r>
      <w:r w:rsidR="00302956">
        <w:rPr>
          <w:rFonts w:ascii="Arial" w:hAnsi="Arial" w:cs="Arial"/>
          <w:b/>
          <w:lang w:val="en-ZA"/>
        </w:rPr>
        <w:tab/>
      </w:r>
      <w:r w:rsidR="0021346A">
        <w:rPr>
          <w:rFonts w:ascii="Arial" w:hAnsi="Arial" w:cs="Arial"/>
          <w:b/>
          <w:lang w:val="en-ZA"/>
        </w:rPr>
        <w:tab/>
      </w:r>
    </w:p>
    <w:p w14:paraId="72BF1089" w14:textId="77777777" w:rsidR="00FE218B" w:rsidRPr="009C277C" w:rsidRDefault="00FE218B" w:rsidP="00212377">
      <w:pPr>
        <w:jc w:val="both"/>
        <w:rPr>
          <w:rFonts w:ascii="Arial" w:hAnsi="Arial" w:cs="Arial"/>
          <w:lang w:val="en-ZA"/>
        </w:rPr>
      </w:pPr>
      <w:r w:rsidRPr="009C277C">
        <w:rPr>
          <w:rFonts w:ascii="Arial" w:hAnsi="Arial" w:cs="Arial"/>
          <w:lang w:val="en-ZA"/>
        </w:rPr>
        <w:t>and</w:t>
      </w:r>
    </w:p>
    <w:p w14:paraId="26EA5F3E" w14:textId="77777777" w:rsidR="00B74D03" w:rsidRPr="009C277C" w:rsidRDefault="00B74D03" w:rsidP="00F31B6E">
      <w:pPr>
        <w:jc w:val="both"/>
        <w:rPr>
          <w:rFonts w:ascii="Arial" w:hAnsi="Arial" w:cs="Arial"/>
          <w:lang w:val="en-ZA"/>
        </w:rPr>
      </w:pPr>
    </w:p>
    <w:p w14:paraId="08549097" w14:textId="77777777" w:rsidR="00CD30C1" w:rsidRPr="009C277C" w:rsidRDefault="00CD30C1" w:rsidP="00F31B6E">
      <w:pPr>
        <w:rPr>
          <w:rFonts w:ascii="Arial" w:hAnsi="Arial" w:cs="Arial"/>
          <w:lang w:val="en-ZA"/>
        </w:rPr>
      </w:pPr>
      <w:r w:rsidRPr="009C277C">
        <w:rPr>
          <w:rFonts w:ascii="Arial" w:hAnsi="Arial" w:cs="Arial"/>
          <w:lang w:val="en-ZA"/>
        </w:rPr>
        <w:tab/>
      </w:r>
      <w:r w:rsidRPr="009C277C">
        <w:rPr>
          <w:rFonts w:ascii="Arial" w:hAnsi="Arial" w:cs="Arial"/>
          <w:lang w:val="en-ZA"/>
        </w:rPr>
        <w:tab/>
      </w:r>
      <w:r w:rsidRPr="009C277C">
        <w:rPr>
          <w:rFonts w:ascii="Arial" w:hAnsi="Arial" w:cs="Arial"/>
          <w:lang w:val="en-ZA"/>
        </w:rPr>
        <w:tab/>
      </w:r>
      <w:r w:rsidRPr="009C277C">
        <w:rPr>
          <w:rFonts w:ascii="Arial" w:hAnsi="Arial" w:cs="Arial"/>
          <w:lang w:val="en-ZA"/>
        </w:rPr>
        <w:tab/>
      </w:r>
    </w:p>
    <w:p w14:paraId="2F3B93C6" w14:textId="77777777" w:rsidR="007D74DD" w:rsidRDefault="00141F00" w:rsidP="00F31B6E">
      <w:pPr>
        <w:spacing w:line="360" w:lineRule="auto"/>
        <w:jc w:val="both"/>
        <w:rPr>
          <w:rFonts w:ascii="Arial" w:hAnsi="Arial" w:cs="Arial"/>
          <w:b/>
          <w:lang w:val="en-ZA"/>
        </w:rPr>
      </w:pPr>
      <w:r>
        <w:rPr>
          <w:rFonts w:ascii="Arial" w:hAnsi="Arial" w:cs="Arial"/>
          <w:b/>
          <w:lang w:val="en-ZA"/>
        </w:rPr>
        <w:t xml:space="preserve">MUNICIPALITY EMPLOYEES UNION </w:t>
      </w:r>
    </w:p>
    <w:p w14:paraId="1BA0DF22" w14:textId="77777777" w:rsidR="00CD30C1" w:rsidRPr="007D74DD" w:rsidRDefault="00141F00" w:rsidP="00F31B6E">
      <w:pPr>
        <w:spacing w:line="360" w:lineRule="auto"/>
        <w:jc w:val="both"/>
        <w:rPr>
          <w:rFonts w:ascii="Arial" w:hAnsi="Arial" w:cs="Arial"/>
          <w:b/>
          <w:lang w:val="en-ZA"/>
        </w:rPr>
      </w:pPr>
      <w:r>
        <w:rPr>
          <w:rFonts w:ascii="Arial" w:hAnsi="Arial" w:cs="Arial"/>
          <w:b/>
          <w:lang w:val="en-ZA"/>
        </w:rPr>
        <w:t>RETIREMENT FUND</w:t>
      </w:r>
      <w:r w:rsidR="00302956">
        <w:rPr>
          <w:rFonts w:ascii="Arial" w:hAnsi="Arial" w:cs="Arial"/>
          <w:lang w:val="en-ZA"/>
        </w:rPr>
        <w:tab/>
        <w:t xml:space="preserve">          </w:t>
      </w:r>
      <w:r w:rsidR="0021346A">
        <w:rPr>
          <w:rFonts w:ascii="Arial" w:hAnsi="Arial" w:cs="Arial"/>
          <w:lang w:val="en-ZA"/>
        </w:rPr>
        <w:tab/>
      </w:r>
      <w:r w:rsidR="001B2E5C">
        <w:rPr>
          <w:rFonts w:ascii="Arial" w:hAnsi="Arial" w:cs="Arial"/>
          <w:lang w:val="en-ZA"/>
        </w:rPr>
        <w:tab/>
      </w:r>
      <w:r w:rsidR="001B2E5C">
        <w:rPr>
          <w:rFonts w:ascii="Arial" w:hAnsi="Arial" w:cs="Arial"/>
          <w:lang w:val="en-ZA"/>
        </w:rPr>
        <w:tab/>
      </w:r>
      <w:r w:rsidR="001B2E5C">
        <w:rPr>
          <w:rFonts w:ascii="Arial" w:hAnsi="Arial" w:cs="Arial"/>
          <w:lang w:val="en-ZA"/>
        </w:rPr>
        <w:tab/>
      </w:r>
      <w:r w:rsidR="007D74DD">
        <w:rPr>
          <w:rFonts w:ascii="Arial" w:hAnsi="Arial" w:cs="Arial"/>
          <w:lang w:val="en-ZA"/>
        </w:rPr>
        <w:t xml:space="preserve">  </w:t>
      </w:r>
      <w:r w:rsidR="007D74DD">
        <w:rPr>
          <w:rFonts w:ascii="Arial" w:hAnsi="Arial" w:cs="Arial"/>
          <w:b/>
          <w:lang w:val="en-ZA"/>
        </w:rPr>
        <w:t>FIRST RESPONDENT</w:t>
      </w:r>
    </w:p>
    <w:p w14:paraId="059CEAC8" w14:textId="77777777" w:rsidR="0016473F" w:rsidRDefault="00533F0C" w:rsidP="00F31B6E">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t xml:space="preserve">           </w:t>
      </w:r>
    </w:p>
    <w:p w14:paraId="6FE79C72" w14:textId="77777777" w:rsidR="00CD30C1" w:rsidRDefault="00141F00" w:rsidP="00F31B6E">
      <w:pPr>
        <w:spacing w:line="360" w:lineRule="auto"/>
        <w:jc w:val="both"/>
        <w:rPr>
          <w:rFonts w:ascii="Arial" w:hAnsi="Arial" w:cs="Arial"/>
          <w:b/>
          <w:lang w:val="en-ZA"/>
        </w:rPr>
      </w:pPr>
      <w:r>
        <w:rPr>
          <w:rFonts w:ascii="Arial" w:hAnsi="Arial" w:cs="Arial"/>
          <w:b/>
          <w:lang w:val="en-ZA"/>
        </w:rPr>
        <w:t>PHINEAS KYAHLISO LEGODI</w:t>
      </w:r>
      <w:r w:rsidR="00441A22">
        <w:rPr>
          <w:rFonts w:ascii="Arial" w:hAnsi="Arial" w:cs="Arial"/>
          <w:lang w:val="en-ZA"/>
        </w:rPr>
        <w:tab/>
      </w:r>
      <w:r w:rsidR="00441A22">
        <w:rPr>
          <w:rFonts w:ascii="Arial" w:hAnsi="Arial" w:cs="Arial"/>
          <w:lang w:val="en-ZA"/>
        </w:rPr>
        <w:tab/>
      </w:r>
      <w:r w:rsidR="00441A22">
        <w:rPr>
          <w:rFonts w:ascii="Arial" w:hAnsi="Arial" w:cs="Arial"/>
          <w:lang w:val="en-ZA"/>
        </w:rPr>
        <w:tab/>
        <w:t xml:space="preserve">       </w:t>
      </w:r>
      <w:r w:rsidR="007D74DD">
        <w:rPr>
          <w:rFonts w:ascii="Arial" w:hAnsi="Arial" w:cs="Arial"/>
          <w:b/>
          <w:lang w:val="en-ZA"/>
        </w:rPr>
        <w:t xml:space="preserve">SECOND RESPONDENT </w:t>
      </w:r>
    </w:p>
    <w:p w14:paraId="2369BE8C" w14:textId="77777777" w:rsidR="00CD30C1" w:rsidRPr="009C277C" w:rsidRDefault="00CD30C1" w:rsidP="00F31B6E">
      <w:pPr>
        <w:jc w:val="both"/>
        <w:rPr>
          <w:rFonts w:ascii="Arial" w:hAnsi="Arial" w:cs="Arial"/>
          <w:lang w:val="en-ZA"/>
        </w:rPr>
      </w:pPr>
    </w:p>
    <w:p w14:paraId="2ABFC186" w14:textId="77777777" w:rsidR="00CD30C1" w:rsidRPr="009C277C" w:rsidRDefault="00CD30C1" w:rsidP="00F31B6E">
      <w:pPr>
        <w:jc w:val="both"/>
        <w:rPr>
          <w:rFonts w:ascii="Arial" w:hAnsi="Arial" w:cs="Arial"/>
          <w:lang w:val="en-ZA"/>
        </w:rPr>
      </w:pPr>
      <w:r w:rsidRPr="009C277C">
        <w:rPr>
          <w:rFonts w:ascii="Arial" w:hAnsi="Arial" w:cs="Arial"/>
          <w:lang w:val="en-ZA"/>
        </w:rPr>
        <w:tab/>
      </w:r>
      <w:r w:rsidRPr="009C277C">
        <w:rPr>
          <w:rFonts w:ascii="Arial" w:hAnsi="Arial" w:cs="Arial"/>
          <w:lang w:val="en-ZA"/>
        </w:rPr>
        <w:tab/>
      </w:r>
      <w:r w:rsidRPr="009C277C">
        <w:rPr>
          <w:rFonts w:ascii="Arial" w:hAnsi="Arial" w:cs="Arial"/>
          <w:lang w:val="en-ZA"/>
        </w:rPr>
        <w:tab/>
        <w:t xml:space="preserve">     </w:t>
      </w:r>
      <w:r w:rsidR="00F31B6E">
        <w:rPr>
          <w:rFonts w:ascii="Arial" w:hAnsi="Arial" w:cs="Arial"/>
          <w:lang w:val="en-ZA"/>
        </w:rPr>
        <w:t xml:space="preserve">                    </w:t>
      </w:r>
      <w:r w:rsidR="00533F0C">
        <w:rPr>
          <w:rFonts w:ascii="Arial" w:hAnsi="Arial" w:cs="Arial"/>
          <w:lang w:val="en-ZA"/>
        </w:rPr>
        <w:t xml:space="preserve">   </w:t>
      </w:r>
    </w:p>
    <w:p w14:paraId="19700228" w14:textId="77777777" w:rsidR="0038305D" w:rsidRDefault="009C3B9C" w:rsidP="00533F0C">
      <w:pPr>
        <w:pBdr>
          <w:bottom w:val="single" w:sz="12" w:space="1" w:color="auto"/>
        </w:pBdr>
        <w:jc w:val="both"/>
        <w:rPr>
          <w:rFonts w:ascii="Arial" w:hAnsi="Arial" w:cs="Arial"/>
          <w:lang w:val="en-ZA"/>
        </w:rPr>
      </w:pPr>
      <w:r>
        <w:rPr>
          <w:rFonts w:ascii="Arial" w:hAnsi="Arial" w:cs="Arial"/>
          <w:b/>
          <w:lang w:val="en-ZA"/>
        </w:rPr>
        <w:tab/>
      </w:r>
      <w:r>
        <w:rPr>
          <w:rFonts w:ascii="Arial" w:hAnsi="Arial" w:cs="Arial"/>
          <w:b/>
          <w:lang w:val="en-ZA"/>
        </w:rPr>
        <w:tab/>
      </w:r>
      <w:r w:rsidR="00212377">
        <w:rPr>
          <w:rFonts w:ascii="Arial" w:hAnsi="Arial" w:cs="Arial"/>
          <w:b/>
          <w:lang w:val="en-ZA"/>
        </w:rPr>
        <w:t xml:space="preserve">   </w:t>
      </w:r>
      <w:r w:rsidR="00D27C1D" w:rsidRPr="001965CD">
        <w:rPr>
          <w:rFonts w:ascii="Arial" w:hAnsi="Arial" w:cs="Arial"/>
          <w:b/>
          <w:lang w:val="en-ZA"/>
        </w:rPr>
        <w:tab/>
      </w:r>
      <w:r w:rsidR="001965CD" w:rsidRPr="001965CD">
        <w:rPr>
          <w:rFonts w:ascii="Arial" w:hAnsi="Arial" w:cs="Arial"/>
          <w:b/>
          <w:lang w:val="en-ZA"/>
        </w:rPr>
        <w:tab/>
      </w:r>
      <w:r w:rsidR="00870D7F">
        <w:rPr>
          <w:rFonts w:ascii="Arial" w:hAnsi="Arial" w:cs="Arial"/>
          <w:b/>
          <w:lang w:val="en-ZA"/>
        </w:rPr>
        <w:tab/>
      </w:r>
      <w:r w:rsidR="0099070C" w:rsidRPr="00212377">
        <w:rPr>
          <w:rFonts w:ascii="Arial" w:hAnsi="Arial" w:cs="Arial"/>
          <w:lang w:val="en-ZA"/>
        </w:rPr>
        <w:t xml:space="preserve">   </w:t>
      </w:r>
      <w:r w:rsidR="004D4429" w:rsidRPr="00212377">
        <w:rPr>
          <w:rFonts w:ascii="Arial" w:hAnsi="Arial" w:cs="Arial"/>
          <w:lang w:val="en-ZA"/>
        </w:rPr>
        <w:t xml:space="preserve">  </w:t>
      </w:r>
      <w:r w:rsidR="00212377">
        <w:rPr>
          <w:rFonts w:ascii="Arial" w:hAnsi="Arial" w:cs="Arial"/>
          <w:lang w:val="en-ZA"/>
        </w:rPr>
        <w:t xml:space="preserve">  </w:t>
      </w:r>
    </w:p>
    <w:p w14:paraId="790F6F27" w14:textId="77777777" w:rsidR="0038305D" w:rsidRPr="00593621" w:rsidRDefault="0038305D" w:rsidP="007D74DD">
      <w:pPr>
        <w:spacing w:line="360" w:lineRule="auto"/>
        <w:jc w:val="center"/>
        <w:rPr>
          <w:rFonts w:ascii="Arial" w:hAnsi="Arial" w:cs="Arial"/>
          <w:b/>
          <w:lang w:val="en-ZA"/>
        </w:rPr>
      </w:pPr>
    </w:p>
    <w:p w14:paraId="602814F7" w14:textId="77777777" w:rsidR="0038305D" w:rsidRDefault="0038305D" w:rsidP="00593621">
      <w:pPr>
        <w:pBdr>
          <w:bottom w:val="single" w:sz="12" w:space="1" w:color="auto"/>
        </w:pBdr>
        <w:spacing w:line="360" w:lineRule="auto"/>
        <w:jc w:val="center"/>
        <w:rPr>
          <w:rFonts w:ascii="Arial" w:hAnsi="Arial" w:cs="Arial"/>
          <w:b/>
          <w:lang w:val="en-ZA"/>
        </w:rPr>
      </w:pPr>
      <w:r w:rsidRPr="00593621">
        <w:rPr>
          <w:rFonts w:ascii="Arial" w:hAnsi="Arial" w:cs="Arial"/>
          <w:b/>
          <w:lang w:val="en-ZA"/>
        </w:rPr>
        <w:t>ORD</w:t>
      </w:r>
      <w:r>
        <w:rPr>
          <w:rFonts w:ascii="Arial" w:hAnsi="Arial" w:cs="Arial"/>
          <w:b/>
          <w:lang w:val="en-ZA"/>
        </w:rPr>
        <w:t xml:space="preserve">ER </w:t>
      </w:r>
    </w:p>
    <w:p w14:paraId="7CB933D9" w14:textId="77777777" w:rsidR="007D74DD" w:rsidRDefault="007D74DD" w:rsidP="007D74DD">
      <w:pPr>
        <w:pBdr>
          <w:bottom w:val="single" w:sz="12" w:space="1" w:color="auto"/>
        </w:pBdr>
        <w:jc w:val="center"/>
        <w:rPr>
          <w:rFonts w:ascii="Arial" w:hAnsi="Arial" w:cs="Arial"/>
          <w:b/>
          <w:lang w:val="en-ZA"/>
        </w:rPr>
      </w:pPr>
    </w:p>
    <w:p w14:paraId="68071027" w14:textId="77777777" w:rsidR="00593621" w:rsidRDefault="00593621" w:rsidP="00141F00">
      <w:pPr>
        <w:rPr>
          <w:rFonts w:ascii="Arial" w:hAnsi="Arial" w:cs="Arial"/>
          <w:b/>
          <w:lang w:val="en-ZA"/>
        </w:rPr>
      </w:pPr>
    </w:p>
    <w:p w14:paraId="3E2CA8E5" w14:textId="642D5699" w:rsidR="0066209A" w:rsidRPr="00392279" w:rsidRDefault="0066209A" w:rsidP="008F5402">
      <w:pPr>
        <w:spacing w:line="360" w:lineRule="auto"/>
        <w:ind w:left="720" w:hanging="720"/>
        <w:rPr>
          <w:rFonts w:ascii="Arial" w:hAnsi="Arial" w:cs="Arial"/>
          <w:lang w:val="en-ZA"/>
        </w:rPr>
      </w:pPr>
      <w:r w:rsidRPr="00392279">
        <w:rPr>
          <w:rFonts w:ascii="Arial" w:hAnsi="Arial" w:cs="Arial"/>
          <w:lang w:val="en-ZA"/>
        </w:rPr>
        <w:t>1</w:t>
      </w:r>
      <w:r w:rsidR="008F5402">
        <w:rPr>
          <w:rFonts w:ascii="Arial" w:hAnsi="Arial" w:cs="Arial"/>
          <w:lang w:val="en-ZA"/>
        </w:rPr>
        <w:t>.</w:t>
      </w:r>
      <w:r w:rsidRPr="00392279">
        <w:rPr>
          <w:rFonts w:ascii="Arial" w:hAnsi="Arial" w:cs="Arial"/>
          <w:lang w:val="en-ZA"/>
        </w:rPr>
        <w:tab/>
        <w:t xml:space="preserve">The rule </w:t>
      </w:r>
      <w:r w:rsidRPr="001057C1">
        <w:rPr>
          <w:rFonts w:ascii="Arial" w:hAnsi="Arial" w:cs="Arial"/>
          <w:i/>
          <w:lang w:val="en-ZA"/>
        </w:rPr>
        <w:t>nisi</w:t>
      </w:r>
      <w:r w:rsidRPr="00392279">
        <w:rPr>
          <w:rFonts w:ascii="Arial" w:hAnsi="Arial" w:cs="Arial"/>
          <w:lang w:val="en-ZA"/>
        </w:rPr>
        <w:t xml:space="preserve"> which was declared to have lapsed is cancelled.  The rule</w:t>
      </w:r>
      <w:r w:rsidR="008F5402">
        <w:rPr>
          <w:rFonts w:ascii="Arial" w:hAnsi="Arial" w:cs="Arial"/>
          <w:lang w:val="en-ZA"/>
        </w:rPr>
        <w:t xml:space="preserve"> </w:t>
      </w:r>
      <w:r w:rsidRPr="001057C1">
        <w:rPr>
          <w:rFonts w:ascii="Arial" w:hAnsi="Arial" w:cs="Arial"/>
          <w:i/>
          <w:lang w:val="en-ZA"/>
        </w:rPr>
        <w:t>nisi</w:t>
      </w:r>
      <w:r w:rsidRPr="00392279">
        <w:rPr>
          <w:rFonts w:ascii="Arial" w:hAnsi="Arial" w:cs="Arial"/>
          <w:lang w:val="en-ZA"/>
        </w:rPr>
        <w:t xml:space="preserve"> is revived and extended until confirmed or discharged.</w:t>
      </w:r>
    </w:p>
    <w:p w14:paraId="525832BB" w14:textId="2A859E61" w:rsidR="0066209A" w:rsidRPr="00392279" w:rsidRDefault="0066209A" w:rsidP="008F5402">
      <w:pPr>
        <w:spacing w:line="360" w:lineRule="auto"/>
        <w:rPr>
          <w:rFonts w:ascii="Arial" w:hAnsi="Arial" w:cs="Arial"/>
          <w:lang w:val="en-ZA"/>
        </w:rPr>
      </w:pPr>
      <w:r w:rsidRPr="00392279">
        <w:rPr>
          <w:rFonts w:ascii="Arial" w:hAnsi="Arial" w:cs="Arial"/>
          <w:lang w:val="en-ZA"/>
        </w:rPr>
        <w:t>2</w:t>
      </w:r>
      <w:r w:rsidR="008F5402">
        <w:rPr>
          <w:rFonts w:ascii="Arial" w:hAnsi="Arial" w:cs="Arial"/>
          <w:lang w:val="en-ZA"/>
        </w:rPr>
        <w:t>.</w:t>
      </w:r>
      <w:r w:rsidRPr="00392279">
        <w:rPr>
          <w:rFonts w:ascii="Arial" w:hAnsi="Arial" w:cs="Arial"/>
          <w:lang w:val="en-ZA"/>
        </w:rPr>
        <w:tab/>
        <w:t>The second respondent is directed to pay the costs of this application.</w:t>
      </w:r>
    </w:p>
    <w:p w14:paraId="288446F7" w14:textId="2DEE5291" w:rsidR="007D74DD" w:rsidRPr="0066209A" w:rsidRDefault="0066209A" w:rsidP="008F5402">
      <w:pPr>
        <w:spacing w:line="360" w:lineRule="auto"/>
        <w:ind w:left="720" w:hanging="720"/>
        <w:rPr>
          <w:rFonts w:ascii="Arial" w:hAnsi="Arial" w:cs="Arial"/>
          <w:lang w:val="en-ZA"/>
        </w:rPr>
      </w:pPr>
      <w:r w:rsidRPr="00392279">
        <w:rPr>
          <w:rFonts w:ascii="Arial" w:hAnsi="Arial" w:cs="Arial"/>
          <w:lang w:val="en-ZA"/>
        </w:rPr>
        <w:lastRenderedPageBreak/>
        <w:t>3</w:t>
      </w:r>
      <w:r w:rsidR="008F5402">
        <w:rPr>
          <w:rFonts w:ascii="Arial" w:hAnsi="Arial" w:cs="Arial"/>
          <w:lang w:val="en-ZA"/>
        </w:rPr>
        <w:t>.</w:t>
      </w:r>
      <w:r w:rsidRPr="00392279">
        <w:rPr>
          <w:rFonts w:ascii="Arial" w:hAnsi="Arial" w:cs="Arial"/>
          <w:lang w:val="en-ZA"/>
        </w:rPr>
        <w:tab/>
        <w:t>The applicant is directed to pay the costs rela</w:t>
      </w:r>
      <w:r w:rsidR="008F5402">
        <w:rPr>
          <w:rFonts w:ascii="Arial" w:hAnsi="Arial" w:cs="Arial"/>
          <w:lang w:val="en-ZA"/>
        </w:rPr>
        <w:t xml:space="preserve">ting to the application to file </w:t>
      </w:r>
      <w:r w:rsidRPr="00392279">
        <w:rPr>
          <w:rFonts w:ascii="Arial" w:hAnsi="Arial" w:cs="Arial"/>
          <w:lang w:val="en-ZA"/>
        </w:rPr>
        <w:t xml:space="preserve">a supplementary affidavit.  </w:t>
      </w:r>
    </w:p>
    <w:p w14:paraId="75A32C9F" w14:textId="77777777" w:rsidR="00593621" w:rsidRPr="00593621" w:rsidRDefault="00593621" w:rsidP="00593621">
      <w:pPr>
        <w:pBdr>
          <w:bottom w:val="single" w:sz="12" w:space="1" w:color="auto"/>
        </w:pBdr>
        <w:spacing w:line="360" w:lineRule="auto"/>
        <w:jc w:val="both"/>
        <w:outlineLvl w:val="0"/>
        <w:rPr>
          <w:rFonts w:ascii="Arial" w:eastAsiaTheme="minorHAnsi" w:hAnsi="Arial" w:cs="Arial"/>
          <w:b/>
          <w:lang w:val="en-ZA" w:eastAsia="en-US"/>
        </w:rPr>
      </w:pPr>
    </w:p>
    <w:p w14:paraId="0FF3C720" w14:textId="77777777" w:rsidR="00593621" w:rsidRPr="00593621" w:rsidRDefault="00593621" w:rsidP="00593621">
      <w:pPr>
        <w:spacing w:line="360" w:lineRule="auto"/>
        <w:jc w:val="both"/>
        <w:outlineLvl w:val="0"/>
        <w:rPr>
          <w:rFonts w:ascii="Arial" w:eastAsiaTheme="minorHAnsi" w:hAnsi="Arial" w:cs="Arial"/>
          <w:b/>
          <w:lang w:val="en-ZA" w:eastAsia="en-US"/>
        </w:rPr>
      </w:pPr>
    </w:p>
    <w:p w14:paraId="162AD7BE" w14:textId="77777777" w:rsidR="00593621" w:rsidRPr="00593621" w:rsidRDefault="00593621" w:rsidP="00593621">
      <w:pPr>
        <w:pBdr>
          <w:bottom w:val="single" w:sz="12" w:space="1" w:color="auto"/>
        </w:pBdr>
        <w:spacing w:line="360" w:lineRule="auto"/>
        <w:jc w:val="center"/>
        <w:outlineLvl w:val="0"/>
        <w:rPr>
          <w:rFonts w:ascii="Arial" w:eastAsiaTheme="minorHAnsi" w:hAnsi="Arial" w:cs="Arial"/>
          <w:b/>
          <w:lang w:val="en-ZA" w:eastAsia="en-US"/>
        </w:rPr>
      </w:pPr>
      <w:r w:rsidRPr="00593621">
        <w:rPr>
          <w:rFonts w:ascii="Arial" w:eastAsiaTheme="minorHAnsi" w:hAnsi="Arial" w:cs="Arial"/>
          <w:b/>
          <w:lang w:val="en-ZA" w:eastAsia="en-US"/>
        </w:rPr>
        <w:t>JUDGMENT</w:t>
      </w:r>
    </w:p>
    <w:p w14:paraId="04A34195" w14:textId="77777777" w:rsidR="00593621" w:rsidRPr="00593621" w:rsidRDefault="00593621" w:rsidP="0066209A">
      <w:pPr>
        <w:pBdr>
          <w:bottom w:val="single" w:sz="12" w:space="1" w:color="auto"/>
        </w:pBdr>
        <w:jc w:val="center"/>
        <w:outlineLvl w:val="0"/>
        <w:rPr>
          <w:rFonts w:ascii="Arial" w:eastAsiaTheme="minorHAnsi" w:hAnsi="Arial" w:cs="Arial"/>
          <w:b/>
          <w:lang w:val="en-ZA" w:eastAsia="en-US"/>
        </w:rPr>
      </w:pPr>
    </w:p>
    <w:p w14:paraId="0617B564" w14:textId="77777777" w:rsidR="00A853EE" w:rsidRDefault="00A853EE" w:rsidP="0021346A">
      <w:pPr>
        <w:spacing w:line="360" w:lineRule="auto"/>
        <w:outlineLvl w:val="0"/>
        <w:rPr>
          <w:rFonts w:ascii="Arial" w:hAnsi="Arial" w:cs="Arial"/>
          <w:b/>
          <w:lang w:val="en-ZA"/>
        </w:rPr>
      </w:pPr>
    </w:p>
    <w:p w14:paraId="672CE114" w14:textId="21976F26" w:rsidR="00B067D7" w:rsidRDefault="00CE40C1" w:rsidP="00157EE0">
      <w:pPr>
        <w:spacing w:line="360" w:lineRule="auto"/>
        <w:outlineLvl w:val="0"/>
        <w:rPr>
          <w:rFonts w:ascii="Arial" w:hAnsi="Arial" w:cs="Arial"/>
          <w:b/>
          <w:lang w:val="en-ZA"/>
        </w:rPr>
      </w:pPr>
      <w:r w:rsidRPr="001965CD">
        <w:rPr>
          <w:rFonts w:ascii="Arial" w:hAnsi="Arial" w:cs="Arial"/>
          <w:b/>
          <w:lang w:val="en-ZA"/>
        </w:rPr>
        <w:t xml:space="preserve">K </w:t>
      </w:r>
      <w:r w:rsidR="00D27C1D" w:rsidRPr="001965CD">
        <w:rPr>
          <w:rFonts w:ascii="Arial" w:hAnsi="Arial" w:cs="Arial"/>
          <w:b/>
          <w:lang w:val="en-ZA"/>
        </w:rPr>
        <w:t>PILLAY J</w:t>
      </w:r>
    </w:p>
    <w:p w14:paraId="498FDC2C" w14:textId="77777777" w:rsidR="008F5402" w:rsidRPr="00157EE0" w:rsidRDefault="008F5402" w:rsidP="00157EE0">
      <w:pPr>
        <w:spacing w:line="360" w:lineRule="auto"/>
        <w:outlineLvl w:val="0"/>
        <w:rPr>
          <w:rFonts w:ascii="Arial" w:hAnsi="Arial" w:cs="Arial"/>
          <w:b/>
          <w:lang w:val="en-ZA"/>
        </w:rPr>
      </w:pPr>
    </w:p>
    <w:p w14:paraId="3FC3B80C" w14:textId="77777777" w:rsidR="00593621" w:rsidRDefault="009A6B18" w:rsidP="00B40AE1">
      <w:pPr>
        <w:tabs>
          <w:tab w:val="left" w:pos="567"/>
        </w:tabs>
        <w:spacing w:line="360" w:lineRule="auto"/>
        <w:jc w:val="both"/>
        <w:outlineLvl w:val="0"/>
        <w:rPr>
          <w:rFonts w:ascii="Arial" w:hAnsi="Arial" w:cs="Arial"/>
          <w:lang w:val="en-ZA"/>
        </w:rPr>
      </w:pPr>
      <w:r>
        <w:rPr>
          <w:rFonts w:ascii="Arial" w:hAnsi="Arial" w:cs="Arial"/>
          <w:lang w:val="en-ZA"/>
        </w:rPr>
        <w:t>[1</w:t>
      </w:r>
      <w:r w:rsidR="00FA2435">
        <w:rPr>
          <w:rFonts w:ascii="Arial" w:hAnsi="Arial" w:cs="Arial"/>
          <w:lang w:val="en-ZA"/>
        </w:rPr>
        <w:t xml:space="preserve">] </w:t>
      </w:r>
      <w:r w:rsidR="0062041B">
        <w:rPr>
          <w:rFonts w:ascii="Arial" w:hAnsi="Arial" w:cs="Arial"/>
          <w:lang w:val="en-ZA"/>
        </w:rPr>
        <w:tab/>
      </w:r>
      <w:r w:rsidR="00141F00">
        <w:rPr>
          <w:rFonts w:ascii="Arial" w:hAnsi="Arial" w:cs="Arial"/>
          <w:lang w:val="en-ZA"/>
        </w:rPr>
        <w:t>The applicant seeks the following order:</w:t>
      </w:r>
    </w:p>
    <w:p w14:paraId="527880E5" w14:textId="77777777" w:rsidR="00141F00" w:rsidRDefault="00141F00" w:rsidP="00AA51B2">
      <w:pPr>
        <w:spacing w:line="360" w:lineRule="auto"/>
        <w:jc w:val="both"/>
        <w:outlineLvl w:val="0"/>
        <w:rPr>
          <w:rFonts w:ascii="Arial" w:hAnsi="Arial" w:cs="Arial"/>
          <w:lang w:val="en-ZA"/>
        </w:rPr>
      </w:pPr>
    </w:p>
    <w:p w14:paraId="73F5B78A" w14:textId="77777777" w:rsidR="00141F00" w:rsidRDefault="00141F00" w:rsidP="00AA51B2">
      <w:pPr>
        <w:pStyle w:val="ListParagraph"/>
        <w:numPr>
          <w:ilvl w:val="0"/>
          <w:numId w:val="33"/>
        </w:numPr>
        <w:spacing w:line="360" w:lineRule="auto"/>
        <w:ind w:left="1440" w:hanging="720"/>
        <w:jc w:val="both"/>
        <w:outlineLvl w:val="0"/>
        <w:rPr>
          <w:rFonts w:ascii="Arial" w:eastAsiaTheme="minorHAnsi" w:hAnsi="Arial" w:cs="Arial"/>
          <w:lang w:val="en-ZA" w:eastAsia="en-US"/>
        </w:rPr>
      </w:pPr>
      <w:r w:rsidRPr="00141F00">
        <w:rPr>
          <w:rFonts w:ascii="Arial" w:eastAsiaTheme="minorHAnsi" w:hAnsi="Arial" w:cs="Arial"/>
          <w:lang w:val="en-ZA" w:eastAsia="en-US"/>
        </w:rPr>
        <w:t xml:space="preserve">That the rule </w:t>
      </w:r>
      <w:r w:rsidRPr="00392279">
        <w:rPr>
          <w:rFonts w:ascii="Arial" w:eastAsiaTheme="minorHAnsi" w:hAnsi="Arial" w:cs="Arial"/>
          <w:i/>
          <w:lang w:val="en-ZA" w:eastAsia="en-US"/>
        </w:rPr>
        <w:t>nisi</w:t>
      </w:r>
      <w:r w:rsidRPr="00141F00">
        <w:rPr>
          <w:rFonts w:ascii="Arial" w:eastAsiaTheme="minorHAnsi" w:hAnsi="Arial" w:cs="Arial"/>
          <w:lang w:val="en-ZA" w:eastAsia="en-US"/>
        </w:rPr>
        <w:t xml:space="preserve"> which was declared to have lapsed on 24 November 2020 be and is hereby revived.</w:t>
      </w:r>
    </w:p>
    <w:p w14:paraId="348F2DFB" w14:textId="77777777" w:rsidR="00141F00" w:rsidRPr="00141F00" w:rsidRDefault="00141F00" w:rsidP="00AA51B2">
      <w:pPr>
        <w:pStyle w:val="ListParagraph"/>
        <w:spacing w:line="360" w:lineRule="auto"/>
        <w:ind w:left="1440" w:hanging="720"/>
        <w:jc w:val="both"/>
        <w:outlineLvl w:val="0"/>
        <w:rPr>
          <w:rFonts w:ascii="Arial" w:eastAsiaTheme="minorHAnsi" w:hAnsi="Arial" w:cs="Arial"/>
          <w:lang w:val="en-ZA" w:eastAsia="en-US"/>
        </w:rPr>
      </w:pPr>
    </w:p>
    <w:p w14:paraId="73E3D1F8" w14:textId="77777777" w:rsidR="00141F00" w:rsidRDefault="00141F00" w:rsidP="00AA51B2">
      <w:pPr>
        <w:pStyle w:val="ListParagraph"/>
        <w:numPr>
          <w:ilvl w:val="0"/>
          <w:numId w:val="33"/>
        </w:numPr>
        <w:spacing w:line="360" w:lineRule="auto"/>
        <w:ind w:left="1440" w:hanging="720"/>
        <w:jc w:val="both"/>
        <w:outlineLvl w:val="0"/>
        <w:rPr>
          <w:rFonts w:ascii="Arial" w:eastAsiaTheme="minorHAnsi" w:hAnsi="Arial" w:cs="Arial"/>
          <w:lang w:val="en-ZA" w:eastAsia="en-US"/>
        </w:rPr>
      </w:pPr>
      <w:r>
        <w:rPr>
          <w:rFonts w:ascii="Arial" w:eastAsiaTheme="minorHAnsi" w:hAnsi="Arial" w:cs="Arial"/>
          <w:lang w:val="en-ZA" w:eastAsia="en-US"/>
        </w:rPr>
        <w:t>Alternatively, that the time period within which the applicant must institute action proceedings for the recovery of the financial losses and damages be extended for a period of 30 days from the date of this order.</w:t>
      </w:r>
    </w:p>
    <w:p w14:paraId="05FB047E" w14:textId="77777777" w:rsidR="00141F00" w:rsidRPr="00141F00" w:rsidRDefault="00141F00" w:rsidP="00AA51B2">
      <w:pPr>
        <w:spacing w:line="360" w:lineRule="auto"/>
        <w:ind w:left="1440" w:hanging="720"/>
        <w:jc w:val="both"/>
        <w:outlineLvl w:val="0"/>
        <w:rPr>
          <w:rFonts w:ascii="Arial" w:eastAsiaTheme="minorHAnsi" w:hAnsi="Arial" w:cs="Arial"/>
          <w:lang w:val="en-ZA" w:eastAsia="en-US"/>
        </w:rPr>
      </w:pPr>
    </w:p>
    <w:p w14:paraId="09E810BF" w14:textId="77777777" w:rsidR="00141F00" w:rsidRDefault="00141F00" w:rsidP="00AA51B2">
      <w:pPr>
        <w:pStyle w:val="ListParagraph"/>
        <w:numPr>
          <w:ilvl w:val="0"/>
          <w:numId w:val="33"/>
        </w:numPr>
        <w:spacing w:line="360" w:lineRule="auto"/>
        <w:ind w:left="1440" w:hanging="720"/>
        <w:jc w:val="both"/>
        <w:outlineLvl w:val="0"/>
        <w:rPr>
          <w:rFonts w:ascii="Arial" w:eastAsiaTheme="minorHAnsi" w:hAnsi="Arial" w:cs="Arial"/>
          <w:lang w:val="en-ZA" w:eastAsia="en-US"/>
        </w:rPr>
      </w:pPr>
      <w:r>
        <w:rPr>
          <w:rFonts w:ascii="Arial" w:eastAsiaTheme="minorHAnsi" w:hAnsi="Arial" w:cs="Arial"/>
          <w:lang w:val="en-ZA" w:eastAsia="en-US"/>
        </w:rPr>
        <w:t>That the respondent be ordered to pay the costs of the application (only in case of opposition); and</w:t>
      </w:r>
    </w:p>
    <w:p w14:paraId="26D720FE" w14:textId="77777777" w:rsidR="00141F00" w:rsidRPr="00141F00" w:rsidRDefault="00141F00" w:rsidP="00AA51B2">
      <w:pPr>
        <w:spacing w:line="360" w:lineRule="auto"/>
        <w:ind w:left="1440" w:hanging="720"/>
        <w:jc w:val="both"/>
        <w:outlineLvl w:val="0"/>
        <w:rPr>
          <w:rFonts w:ascii="Arial" w:eastAsiaTheme="minorHAnsi" w:hAnsi="Arial" w:cs="Arial"/>
          <w:lang w:val="en-ZA" w:eastAsia="en-US"/>
        </w:rPr>
      </w:pPr>
    </w:p>
    <w:p w14:paraId="387EBE21" w14:textId="2AB4D91D" w:rsidR="00141F00" w:rsidRPr="001057C1" w:rsidRDefault="00141F00" w:rsidP="001057C1">
      <w:pPr>
        <w:pStyle w:val="ListParagraph"/>
        <w:numPr>
          <w:ilvl w:val="0"/>
          <w:numId w:val="33"/>
        </w:numPr>
        <w:spacing w:line="360" w:lineRule="auto"/>
        <w:ind w:left="1440" w:hanging="720"/>
        <w:jc w:val="both"/>
        <w:outlineLvl w:val="0"/>
        <w:rPr>
          <w:rFonts w:ascii="Arial" w:eastAsiaTheme="minorHAnsi" w:hAnsi="Arial" w:cs="Arial"/>
          <w:lang w:val="en-ZA" w:eastAsia="en-US"/>
        </w:rPr>
      </w:pPr>
      <w:r>
        <w:rPr>
          <w:rFonts w:ascii="Arial" w:eastAsiaTheme="minorHAnsi" w:hAnsi="Arial" w:cs="Arial"/>
          <w:lang w:val="en-ZA" w:eastAsia="en-US"/>
        </w:rPr>
        <w:t>Further and/or alternative relief.</w:t>
      </w:r>
    </w:p>
    <w:p w14:paraId="7150BCD8" w14:textId="77777777" w:rsidR="00141F00" w:rsidRDefault="00141F00" w:rsidP="00AA51B2">
      <w:pPr>
        <w:spacing w:line="360" w:lineRule="auto"/>
        <w:jc w:val="both"/>
        <w:outlineLvl w:val="0"/>
        <w:rPr>
          <w:rFonts w:ascii="Arial" w:eastAsiaTheme="minorHAnsi" w:hAnsi="Arial" w:cs="Arial"/>
          <w:lang w:val="en-ZA" w:eastAsia="en-US"/>
        </w:rPr>
      </w:pPr>
    </w:p>
    <w:p w14:paraId="4169A7E6" w14:textId="77777777" w:rsidR="00141F00" w:rsidRDefault="00141F00"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[2]</w:t>
      </w:r>
      <w:r>
        <w:rPr>
          <w:rFonts w:ascii="Arial" w:eastAsiaTheme="minorHAnsi" w:hAnsi="Arial" w:cs="Arial"/>
          <w:lang w:val="en-ZA" w:eastAsia="en-US"/>
        </w:rPr>
        <w:tab/>
        <w:t>The application is opposed.</w:t>
      </w:r>
    </w:p>
    <w:p w14:paraId="0D5AFF18" w14:textId="77777777" w:rsidR="00141F00" w:rsidRDefault="00141F00" w:rsidP="00141F00">
      <w:pPr>
        <w:spacing w:line="360" w:lineRule="auto"/>
        <w:jc w:val="both"/>
        <w:outlineLvl w:val="0"/>
        <w:rPr>
          <w:rFonts w:ascii="Arial" w:eastAsiaTheme="minorHAnsi" w:hAnsi="Arial" w:cs="Arial"/>
          <w:lang w:val="en-ZA" w:eastAsia="en-US"/>
        </w:rPr>
      </w:pPr>
    </w:p>
    <w:p w14:paraId="681D58F2" w14:textId="716BC8EC" w:rsidR="00141F00" w:rsidRDefault="00141F00"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[3]</w:t>
      </w:r>
      <w:r>
        <w:rPr>
          <w:rFonts w:ascii="Arial" w:eastAsiaTheme="minorHAnsi" w:hAnsi="Arial" w:cs="Arial"/>
          <w:lang w:val="en-ZA" w:eastAsia="en-US"/>
        </w:rPr>
        <w:tab/>
      </w:r>
      <w:r w:rsidR="00AA51B2">
        <w:rPr>
          <w:rFonts w:ascii="Arial" w:eastAsiaTheme="minorHAnsi" w:hAnsi="Arial" w:cs="Arial"/>
          <w:lang w:val="en-ZA" w:eastAsia="en-US"/>
        </w:rPr>
        <w:t>The applicant</w:t>
      </w:r>
      <w:r>
        <w:rPr>
          <w:rFonts w:ascii="Arial" w:eastAsiaTheme="minorHAnsi" w:hAnsi="Arial" w:cs="Arial"/>
          <w:lang w:val="en-ZA" w:eastAsia="en-US"/>
        </w:rPr>
        <w:t xml:space="preserve"> instituted an </w:t>
      </w:r>
      <w:r w:rsidRPr="00B02333">
        <w:rPr>
          <w:rFonts w:ascii="Arial" w:eastAsiaTheme="minorHAnsi" w:hAnsi="Arial" w:cs="Arial"/>
          <w:i/>
          <w:lang w:val="en-ZA" w:eastAsia="en-US"/>
        </w:rPr>
        <w:t>ex parte</w:t>
      </w:r>
      <w:r>
        <w:rPr>
          <w:rFonts w:ascii="Arial" w:eastAsiaTheme="minorHAnsi" w:hAnsi="Arial" w:cs="Arial"/>
          <w:lang w:val="en-ZA" w:eastAsia="en-US"/>
        </w:rPr>
        <w:t xml:space="preserve"> application to withhold payment of </w:t>
      </w:r>
      <w:r w:rsidR="00AA51B2">
        <w:rPr>
          <w:rFonts w:ascii="Arial" w:eastAsiaTheme="minorHAnsi" w:hAnsi="Arial" w:cs="Arial"/>
          <w:lang w:val="en-ZA" w:eastAsia="en-US"/>
        </w:rPr>
        <w:t>pension fund benefits due to the</w:t>
      </w:r>
      <w:r>
        <w:rPr>
          <w:rFonts w:ascii="Arial" w:eastAsiaTheme="minorHAnsi" w:hAnsi="Arial" w:cs="Arial"/>
          <w:lang w:val="en-ZA" w:eastAsia="en-US"/>
        </w:rPr>
        <w:t xml:space="preserve"> second respondent which are currently held by the first respondent pending the adjudication and/or finalisation of the main action proceedings to be instituted by the applicant against the</w:t>
      </w:r>
      <w:r w:rsidR="004A787D">
        <w:rPr>
          <w:rFonts w:ascii="Arial" w:eastAsiaTheme="minorHAnsi" w:hAnsi="Arial" w:cs="Arial"/>
          <w:lang w:val="en-ZA" w:eastAsia="en-US"/>
        </w:rPr>
        <w:t xml:space="preserve"> second</w:t>
      </w:r>
      <w:r>
        <w:rPr>
          <w:rFonts w:ascii="Arial" w:eastAsiaTheme="minorHAnsi" w:hAnsi="Arial" w:cs="Arial"/>
          <w:lang w:val="en-ZA" w:eastAsia="en-US"/>
        </w:rPr>
        <w:t xml:space="preserve"> respondent.  </w:t>
      </w:r>
    </w:p>
    <w:p w14:paraId="48EA294F" w14:textId="77777777" w:rsidR="00141F00" w:rsidRDefault="00141F00" w:rsidP="00B40AE1">
      <w:pPr>
        <w:tabs>
          <w:tab w:val="left" w:pos="567"/>
        </w:tabs>
        <w:spacing w:line="360" w:lineRule="auto"/>
        <w:jc w:val="both"/>
        <w:outlineLvl w:val="0"/>
        <w:rPr>
          <w:rFonts w:ascii="Arial" w:eastAsiaTheme="minorHAnsi" w:hAnsi="Arial" w:cs="Arial"/>
          <w:lang w:val="en-ZA" w:eastAsia="en-US"/>
        </w:rPr>
      </w:pPr>
    </w:p>
    <w:p w14:paraId="5A3F9D08" w14:textId="77777777" w:rsidR="00141F00" w:rsidRDefault="00141F00"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[4]</w:t>
      </w:r>
      <w:r>
        <w:rPr>
          <w:rFonts w:ascii="Arial" w:eastAsiaTheme="minorHAnsi" w:hAnsi="Arial" w:cs="Arial"/>
          <w:lang w:val="en-ZA" w:eastAsia="en-US"/>
        </w:rPr>
        <w:tab/>
        <w:t xml:space="preserve">The Special Tribunal issued a rule </w:t>
      </w:r>
      <w:r w:rsidRPr="005A2BDA">
        <w:rPr>
          <w:rFonts w:ascii="Arial" w:eastAsiaTheme="minorHAnsi" w:hAnsi="Arial" w:cs="Arial"/>
          <w:i/>
          <w:lang w:val="en-ZA" w:eastAsia="en-US"/>
        </w:rPr>
        <w:t>nisi</w:t>
      </w:r>
      <w:r>
        <w:rPr>
          <w:rFonts w:ascii="Arial" w:eastAsiaTheme="minorHAnsi" w:hAnsi="Arial" w:cs="Arial"/>
          <w:lang w:val="en-ZA" w:eastAsia="en-US"/>
        </w:rPr>
        <w:t xml:space="preserve"> on 4 September 2020, returnable on 19 October 2020 (“the interim order”).  Paragraph 3 of the interim order </w:t>
      </w:r>
      <w:r w:rsidR="00E01704">
        <w:rPr>
          <w:rFonts w:ascii="Arial" w:eastAsiaTheme="minorHAnsi" w:hAnsi="Arial" w:cs="Arial"/>
          <w:lang w:val="en-ZA" w:eastAsia="en-US"/>
        </w:rPr>
        <w:lastRenderedPageBreak/>
        <w:t>directed the applicant to institute</w:t>
      </w:r>
      <w:r>
        <w:rPr>
          <w:rFonts w:ascii="Arial" w:eastAsiaTheme="minorHAnsi" w:hAnsi="Arial" w:cs="Arial"/>
          <w:lang w:val="en-ZA" w:eastAsia="en-US"/>
        </w:rPr>
        <w:t xml:space="preserve"> action proceedings against the second respondent for the recovery of financial losses and damages within a period of 30 days from the date of the aforesaid order.  The period of 30 days expired on 19 October 2020.</w:t>
      </w:r>
    </w:p>
    <w:p w14:paraId="557813DF" w14:textId="77777777" w:rsidR="00141F00" w:rsidRDefault="00141F00" w:rsidP="00141F00">
      <w:pPr>
        <w:spacing w:line="360" w:lineRule="auto"/>
        <w:jc w:val="both"/>
        <w:outlineLvl w:val="0"/>
        <w:rPr>
          <w:rFonts w:ascii="Arial" w:eastAsiaTheme="minorHAnsi" w:hAnsi="Arial" w:cs="Arial"/>
          <w:lang w:val="en-ZA" w:eastAsia="en-US"/>
        </w:rPr>
      </w:pPr>
    </w:p>
    <w:p w14:paraId="7A9F354A" w14:textId="4CD7CB7D" w:rsidR="00141F00" w:rsidRDefault="00141F00"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[5]</w:t>
      </w:r>
      <w:r>
        <w:rPr>
          <w:rFonts w:ascii="Arial" w:eastAsiaTheme="minorHAnsi" w:hAnsi="Arial" w:cs="Arial"/>
          <w:lang w:val="en-ZA" w:eastAsia="en-US"/>
        </w:rPr>
        <w:tab/>
        <w:t xml:space="preserve">The second respondent was served with </w:t>
      </w:r>
      <w:r w:rsidR="000947A5">
        <w:rPr>
          <w:rFonts w:ascii="Arial" w:eastAsiaTheme="minorHAnsi" w:hAnsi="Arial" w:cs="Arial"/>
          <w:lang w:val="en-ZA" w:eastAsia="en-US"/>
        </w:rPr>
        <w:t>Notice of Motion</w:t>
      </w:r>
      <w:r>
        <w:rPr>
          <w:rFonts w:ascii="Arial" w:eastAsiaTheme="minorHAnsi" w:hAnsi="Arial" w:cs="Arial"/>
          <w:lang w:val="en-ZA" w:eastAsia="en-US"/>
        </w:rPr>
        <w:t xml:space="preserve"> </w:t>
      </w:r>
      <w:r w:rsidR="002D2CE0">
        <w:rPr>
          <w:rFonts w:ascii="Arial" w:eastAsiaTheme="minorHAnsi" w:hAnsi="Arial" w:cs="Arial"/>
          <w:lang w:val="en-ZA" w:eastAsia="en-US"/>
        </w:rPr>
        <w:t xml:space="preserve">on 8 September 2020 </w:t>
      </w:r>
      <w:r w:rsidR="000947A5">
        <w:rPr>
          <w:rFonts w:ascii="Arial" w:eastAsiaTheme="minorHAnsi" w:hAnsi="Arial" w:cs="Arial"/>
          <w:lang w:val="en-ZA" w:eastAsia="en-US"/>
        </w:rPr>
        <w:t xml:space="preserve">at the 9681, </w:t>
      </w:r>
      <w:proofErr w:type="spellStart"/>
      <w:r w:rsidR="000947A5">
        <w:rPr>
          <w:rFonts w:ascii="Arial" w:eastAsiaTheme="minorHAnsi" w:hAnsi="Arial" w:cs="Arial"/>
          <w:lang w:val="en-ZA" w:eastAsia="en-US"/>
        </w:rPr>
        <w:t>Serola</w:t>
      </w:r>
      <w:proofErr w:type="spellEnd"/>
      <w:r w:rsidR="000947A5">
        <w:rPr>
          <w:rFonts w:ascii="Arial" w:eastAsiaTheme="minorHAnsi" w:hAnsi="Arial" w:cs="Arial"/>
          <w:lang w:val="en-ZA" w:eastAsia="en-US"/>
        </w:rPr>
        <w:t xml:space="preserve"> View, Polokwane (the address furnished by the second respondent) </w:t>
      </w:r>
      <w:r w:rsidR="002D2CE0">
        <w:rPr>
          <w:rFonts w:ascii="Arial" w:eastAsiaTheme="minorHAnsi" w:hAnsi="Arial" w:cs="Arial"/>
          <w:lang w:val="en-ZA" w:eastAsia="en-US"/>
        </w:rPr>
        <w:t xml:space="preserve">by the Limpopo Sheriff based in Polokwane (“the Sheriff”).  The second respondent delivered his answering affidavit on 17 October 2020 which caused the rule </w:t>
      </w:r>
      <w:r w:rsidR="002D2CE0" w:rsidRPr="00E439DC">
        <w:rPr>
          <w:rFonts w:ascii="Arial" w:eastAsiaTheme="minorHAnsi" w:hAnsi="Arial" w:cs="Arial"/>
          <w:i/>
          <w:lang w:val="en-ZA" w:eastAsia="en-US"/>
        </w:rPr>
        <w:t>nisi</w:t>
      </w:r>
      <w:r w:rsidR="002D2CE0">
        <w:rPr>
          <w:rFonts w:ascii="Arial" w:eastAsiaTheme="minorHAnsi" w:hAnsi="Arial" w:cs="Arial"/>
          <w:lang w:val="en-ZA" w:eastAsia="en-US"/>
        </w:rPr>
        <w:t xml:space="preserve"> to be extended to 24 November 2020 (“the extended rule nisi”).</w:t>
      </w:r>
    </w:p>
    <w:p w14:paraId="48CC4B92" w14:textId="77777777" w:rsidR="002D2CE0" w:rsidRDefault="002D2CE0" w:rsidP="00141F00">
      <w:pPr>
        <w:spacing w:line="360" w:lineRule="auto"/>
        <w:jc w:val="both"/>
        <w:outlineLvl w:val="0"/>
        <w:rPr>
          <w:rFonts w:ascii="Arial" w:eastAsiaTheme="minorHAnsi" w:hAnsi="Arial" w:cs="Arial"/>
          <w:lang w:val="en-ZA" w:eastAsia="en-US"/>
        </w:rPr>
      </w:pPr>
    </w:p>
    <w:p w14:paraId="11C8E069" w14:textId="2909FC89" w:rsidR="00AA51B2" w:rsidRDefault="002D2CE0"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[6]</w:t>
      </w:r>
      <w:r>
        <w:rPr>
          <w:rFonts w:ascii="Arial" w:eastAsiaTheme="minorHAnsi" w:hAnsi="Arial" w:cs="Arial"/>
          <w:lang w:val="en-ZA" w:eastAsia="en-US"/>
        </w:rPr>
        <w:tab/>
        <w:t xml:space="preserve">Pursuant to the extension of </w:t>
      </w:r>
      <w:r w:rsidR="003824C3">
        <w:rPr>
          <w:rFonts w:ascii="Arial" w:eastAsiaTheme="minorHAnsi" w:hAnsi="Arial" w:cs="Arial"/>
          <w:lang w:val="en-ZA" w:eastAsia="en-US"/>
        </w:rPr>
        <w:t xml:space="preserve">the </w:t>
      </w:r>
      <w:r>
        <w:rPr>
          <w:rFonts w:ascii="Arial" w:eastAsiaTheme="minorHAnsi" w:hAnsi="Arial" w:cs="Arial"/>
          <w:lang w:val="en-ZA" w:eastAsia="en-US"/>
        </w:rPr>
        <w:t xml:space="preserve">rule </w:t>
      </w:r>
      <w:r w:rsidRPr="00E439DC">
        <w:rPr>
          <w:rFonts w:ascii="Arial" w:eastAsiaTheme="minorHAnsi" w:hAnsi="Arial" w:cs="Arial"/>
          <w:i/>
          <w:lang w:val="en-ZA" w:eastAsia="en-US"/>
        </w:rPr>
        <w:t>nisi</w:t>
      </w:r>
      <w:r>
        <w:rPr>
          <w:rFonts w:ascii="Arial" w:eastAsiaTheme="minorHAnsi" w:hAnsi="Arial" w:cs="Arial"/>
          <w:lang w:val="en-ZA" w:eastAsia="en-US"/>
        </w:rPr>
        <w:t xml:space="preserve">, the applicant delivered a replying affidavit.  Both parties filed their heads of arguments and practise notes timeously. </w:t>
      </w:r>
      <w:r w:rsidR="00806DCD">
        <w:rPr>
          <w:rFonts w:ascii="Arial" w:eastAsiaTheme="minorHAnsi" w:hAnsi="Arial" w:cs="Arial"/>
          <w:lang w:val="en-ZA" w:eastAsia="en-US"/>
        </w:rPr>
        <w:t>However,</w:t>
      </w:r>
      <w:r>
        <w:rPr>
          <w:rFonts w:ascii="Arial" w:eastAsiaTheme="minorHAnsi" w:hAnsi="Arial" w:cs="Arial"/>
          <w:lang w:val="en-ZA" w:eastAsia="en-US"/>
        </w:rPr>
        <w:t xml:space="preserve"> on the extended return date</w:t>
      </w:r>
      <w:r w:rsidR="00830F95">
        <w:rPr>
          <w:rFonts w:ascii="Arial" w:eastAsiaTheme="minorHAnsi" w:hAnsi="Arial" w:cs="Arial"/>
          <w:lang w:val="en-ZA" w:eastAsia="en-US"/>
        </w:rPr>
        <w:t xml:space="preserve"> of </w:t>
      </w:r>
      <w:r w:rsidR="003824C3">
        <w:rPr>
          <w:rFonts w:ascii="Arial" w:eastAsiaTheme="minorHAnsi" w:hAnsi="Arial" w:cs="Arial"/>
          <w:lang w:val="en-ZA" w:eastAsia="en-US"/>
        </w:rPr>
        <w:t>the</w:t>
      </w:r>
      <w:r w:rsidR="00AA51B2">
        <w:rPr>
          <w:rFonts w:ascii="Arial" w:eastAsiaTheme="minorHAnsi" w:hAnsi="Arial" w:cs="Arial"/>
          <w:lang w:val="en-ZA" w:eastAsia="en-US"/>
        </w:rPr>
        <w:t xml:space="preserve"> rule </w:t>
      </w:r>
      <w:r w:rsidR="00AA51B2" w:rsidRPr="00E439DC">
        <w:rPr>
          <w:rFonts w:ascii="Arial" w:eastAsiaTheme="minorHAnsi" w:hAnsi="Arial" w:cs="Arial"/>
          <w:i/>
          <w:lang w:val="en-ZA" w:eastAsia="en-US"/>
        </w:rPr>
        <w:t>nisi</w:t>
      </w:r>
      <w:r w:rsidR="00AA51B2">
        <w:rPr>
          <w:rFonts w:ascii="Arial" w:eastAsiaTheme="minorHAnsi" w:hAnsi="Arial" w:cs="Arial"/>
          <w:lang w:val="en-ZA" w:eastAsia="en-US"/>
        </w:rPr>
        <w:t>,</w:t>
      </w:r>
      <w:r>
        <w:rPr>
          <w:rFonts w:ascii="Arial" w:eastAsiaTheme="minorHAnsi" w:hAnsi="Arial" w:cs="Arial"/>
          <w:lang w:val="en-ZA" w:eastAsia="en-US"/>
        </w:rPr>
        <w:t xml:space="preserve"> Modiba J declared the rule </w:t>
      </w:r>
      <w:r w:rsidRPr="00E439DC">
        <w:rPr>
          <w:rFonts w:ascii="Arial" w:eastAsiaTheme="minorHAnsi" w:hAnsi="Arial" w:cs="Arial"/>
          <w:i/>
          <w:lang w:val="en-ZA" w:eastAsia="en-US"/>
        </w:rPr>
        <w:t>nisi</w:t>
      </w:r>
      <w:r>
        <w:rPr>
          <w:rFonts w:ascii="Arial" w:eastAsiaTheme="minorHAnsi" w:hAnsi="Arial" w:cs="Arial"/>
          <w:lang w:val="en-ZA" w:eastAsia="en-US"/>
        </w:rPr>
        <w:t xml:space="preserve"> to have lapsed on the basis that the applicant had not delivered </w:t>
      </w:r>
      <w:r w:rsidR="00AA51B2">
        <w:rPr>
          <w:rFonts w:ascii="Arial" w:eastAsiaTheme="minorHAnsi" w:hAnsi="Arial" w:cs="Arial"/>
          <w:lang w:val="en-ZA" w:eastAsia="en-US"/>
        </w:rPr>
        <w:t xml:space="preserve">the </w:t>
      </w:r>
      <w:r>
        <w:rPr>
          <w:rFonts w:ascii="Arial" w:eastAsiaTheme="minorHAnsi" w:hAnsi="Arial" w:cs="Arial"/>
          <w:lang w:val="en-ZA" w:eastAsia="en-US"/>
        </w:rPr>
        <w:t>summons on the second respondent within</w:t>
      </w:r>
      <w:r w:rsidR="00A15EF6">
        <w:rPr>
          <w:rFonts w:ascii="Arial" w:eastAsiaTheme="minorHAnsi" w:hAnsi="Arial" w:cs="Arial"/>
          <w:lang w:val="en-ZA" w:eastAsia="en-US"/>
        </w:rPr>
        <w:t xml:space="preserve"> the</w:t>
      </w:r>
      <w:r>
        <w:rPr>
          <w:rFonts w:ascii="Arial" w:eastAsiaTheme="minorHAnsi" w:hAnsi="Arial" w:cs="Arial"/>
          <w:lang w:val="en-ZA" w:eastAsia="en-US"/>
        </w:rPr>
        <w:t xml:space="preserve"> 30</w:t>
      </w:r>
      <w:r w:rsidR="00F65C46">
        <w:rPr>
          <w:rFonts w:ascii="Arial" w:eastAsiaTheme="minorHAnsi" w:hAnsi="Arial" w:cs="Arial"/>
          <w:lang w:val="en-ZA" w:eastAsia="en-US"/>
        </w:rPr>
        <w:t>-</w:t>
      </w:r>
      <w:r>
        <w:rPr>
          <w:rFonts w:ascii="Arial" w:eastAsiaTheme="minorHAnsi" w:hAnsi="Arial" w:cs="Arial"/>
          <w:lang w:val="en-ZA" w:eastAsia="en-US"/>
        </w:rPr>
        <w:t>days period fixed by the court, namely 19 October 2020.</w:t>
      </w:r>
      <w:r w:rsidR="00830F95">
        <w:rPr>
          <w:rFonts w:ascii="Arial" w:eastAsiaTheme="minorHAnsi" w:hAnsi="Arial" w:cs="Arial"/>
          <w:lang w:val="en-ZA" w:eastAsia="en-US"/>
        </w:rPr>
        <w:t xml:space="preserve">  The order of Modiba J reads as follows:</w:t>
      </w:r>
    </w:p>
    <w:p w14:paraId="6255D22B" w14:textId="77777777" w:rsidR="00AA51B2" w:rsidRDefault="00AA51B2" w:rsidP="00AD7AEC">
      <w:pPr>
        <w:spacing w:line="360" w:lineRule="auto"/>
        <w:ind w:left="426" w:hanging="426"/>
        <w:jc w:val="both"/>
        <w:outlineLvl w:val="0"/>
        <w:rPr>
          <w:rFonts w:ascii="Arial" w:eastAsiaTheme="minorHAnsi" w:hAnsi="Arial" w:cs="Arial"/>
          <w:sz w:val="22"/>
          <w:szCs w:val="22"/>
          <w:lang w:val="en-ZA" w:eastAsia="en-US"/>
        </w:rPr>
      </w:pPr>
      <w:r>
        <w:rPr>
          <w:rFonts w:ascii="Arial" w:eastAsiaTheme="minorHAnsi" w:hAnsi="Arial" w:cs="Arial"/>
          <w:sz w:val="22"/>
          <w:szCs w:val="22"/>
          <w:lang w:val="en-ZA" w:eastAsia="en-US"/>
        </w:rPr>
        <w:t>‘1.</w:t>
      </w:r>
      <w:r>
        <w:rPr>
          <w:rFonts w:ascii="Arial" w:eastAsiaTheme="minorHAnsi" w:hAnsi="Arial" w:cs="Arial"/>
          <w:sz w:val="22"/>
          <w:szCs w:val="22"/>
          <w:lang w:val="en-ZA" w:eastAsia="en-US"/>
        </w:rPr>
        <w:tab/>
        <w:t xml:space="preserve">It is declared that the rule </w:t>
      </w:r>
      <w:r w:rsidRPr="00E439DC">
        <w:rPr>
          <w:rFonts w:ascii="Arial" w:eastAsiaTheme="minorHAnsi" w:hAnsi="Arial" w:cs="Arial"/>
          <w:i/>
          <w:sz w:val="22"/>
          <w:szCs w:val="22"/>
          <w:lang w:val="en-ZA" w:eastAsia="en-US"/>
        </w:rPr>
        <w:t>nisi</w:t>
      </w:r>
      <w:r>
        <w:rPr>
          <w:rFonts w:ascii="Arial" w:eastAsiaTheme="minorHAnsi" w:hAnsi="Arial" w:cs="Arial"/>
          <w:sz w:val="22"/>
          <w:szCs w:val="22"/>
          <w:lang w:val="en-ZA" w:eastAsia="en-US"/>
        </w:rPr>
        <w:t xml:space="preserve"> granted on 4 September 2020 lapsed by virtue of the applicant having failed to comply with paragraph 3 of the rule </w:t>
      </w:r>
      <w:r w:rsidRPr="00E439DC">
        <w:rPr>
          <w:rFonts w:ascii="Arial" w:eastAsiaTheme="minorHAnsi" w:hAnsi="Arial" w:cs="Arial"/>
          <w:i/>
          <w:sz w:val="22"/>
          <w:szCs w:val="22"/>
          <w:lang w:val="en-ZA" w:eastAsia="en-US"/>
        </w:rPr>
        <w:t>nisi</w:t>
      </w:r>
      <w:r>
        <w:rPr>
          <w:rFonts w:ascii="Arial" w:eastAsiaTheme="minorHAnsi" w:hAnsi="Arial" w:cs="Arial"/>
          <w:sz w:val="22"/>
          <w:szCs w:val="22"/>
          <w:lang w:val="en-ZA" w:eastAsia="en-US"/>
        </w:rPr>
        <w:t>.</w:t>
      </w:r>
    </w:p>
    <w:p w14:paraId="116C940A" w14:textId="77777777" w:rsidR="00AA51B2" w:rsidRDefault="00AA51B2" w:rsidP="00AD7AEC">
      <w:pPr>
        <w:spacing w:line="360" w:lineRule="auto"/>
        <w:ind w:left="426" w:hanging="426"/>
        <w:jc w:val="both"/>
        <w:outlineLvl w:val="0"/>
        <w:rPr>
          <w:rFonts w:ascii="Arial" w:eastAsiaTheme="minorHAnsi" w:hAnsi="Arial" w:cs="Arial"/>
          <w:sz w:val="22"/>
          <w:szCs w:val="22"/>
          <w:lang w:val="en-ZA" w:eastAsia="en-US"/>
        </w:rPr>
      </w:pPr>
      <w:r>
        <w:rPr>
          <w:rFonts w:ascii="Arial" w:eastAsiaTheme="minorHAnsi" w:hAnsi="Arial" w:cs="Arial"/>
          <w:sz w:val="22"/>
          <w:szCs w:val="22"/>
          <w:lang w:val="en-ZA" w:eastAsia="en-US"/>
        </w:rPr>
        <w:t>2.</w:t>
      </w:r>
      <w:r>
        <w:rPr>
          <w:rFonts w:ascii="Arial" w:eastAsiaTheme="minorHAnsi" w:hAnsi="Arial" w:cs="Arial"/>
          <w:sz w:val="22"/>
          <w:szCs w:val="22"/>
          <w:lang w:val="en-ZA" w:eastAsia="en-US"/>
        </w:rPr>
        <w:tab/>
        <w:t>The applicant shall pay the costs of the application inclusive of the costs of two counsel where so employed.’</w:t>
      </w:r>
    </w:p>
    <w:p w14:paraId="0D780400" w14:textId="22B5557C" w:rsidR="002D2CE0" w:rsidRDefault="002D2CE0" w:rsidP="00141F00">
      <w:pPr>
        <w:spacing w:line="360" w:lineRule="auto"/>
        <w:jc w:val="both"/>
        <w:outlineLvl w:val="0"/>
        <w:rPr>
          <w:rFonts w:ascii="Arial" w:eastAsiaTheme="minorHAnsi" w:hAnsi="Arial" w:cs="Arial"/>
          <w:lang w:val="en-ZA" w:eastAsia="en-US"/>
        </w:rPr>
      </w:pPr>
    </w:p>
    <w:p w14:paraId="219D2AE0" w14:textId="0EC0C8C0" w:rsidR="004A787D" w:rsidRDefault="00073C76" w:rsidP="00141F00">
      <w:pPr>
        <w:spacing w:line="360" w:lineRule="auto"/>
        <w:jc w:val="both"/>
        <w:outlineLvl w:val="0"/>
        <w:rPr>
          <w:rFonts w:ascii="Arial" w:eastAsiaTheme="minorHAnsi" w:hAnsi="Arial" w:cs="Arial"/>
          <w:b/>
          <w:u w:val="single"/>
          <w:lang w:val="en-ZA" w:eastAsia="en-US"/>
        </w:rPr>
      </w:pPr>
      <w:r>
        <w:rPr>
          <w:rFonts w:ascii="Arial" w:eastAsiaTheme="minorHAnsi" w:hAnsi="Arial" w:cs="Arial"/>
          <w:b/>
          <w:u w:val="single"/>
          <w:lang w:val="en-ZA" w:eastAsia="en-US"/>
        </w:rPr>
        <w:t>Applicant’s C</w:t>
      </w:r>
      <w:r w:rsidR="004A787D">
        <w:rPr>
          <w:rFonts w:ascii="Arial" w:eastAsiaTheme="minorHAnsi" w:hAnsi="Arial" w:cs="Arial"/>
          <w:b/>
          <w:u w:val="single"/>
          <w:lang w:val="en-ZA" w:eastAsia="en-US"/>
        </w:rPr>
        <w:t>ase</w:t>
      </w:r>
    </w:p>
    <w:p w14:paraId="45E60429" w14:textId="77777777" w:rsidR="004A787D" w:rsidRPr="004A787D" w:rsidRDefault="004A787D" w:rsidP="00141F00">
      <w:pPr>
        <w:spacing w:line="360" w:lineRule="auto"/>
        <w:jc w:val="both"/>
        <w:outlineLvl w:val="0"/>
        <w:rPr>
          <w:rFonts w:ascii="Arial" w:eastAsiaTheme="minorHAnsi" w:hAnsi="Arial" w:cs="Arial"/>
          <w:b/>
          <w:u w:val="single"/>
          <w:lang w:val="en-ZA" w:eastAsia="en-US"/>
        </w:rPr>
      </w:pPr>
    </w:p>
    <w:p w14:paraId="503E2899" w14:textId="6BD99C98" w:rsidR="00AA51B2" w:rsidRDefault="002D2CE0"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[7]</w:t>
      </w:r>
      <w:r>
        <w:rPr>
          <w:rFonts w:ascii="Arial" w:eastAsiaTheme="minorHAnsi" w:hAnsi="Arial" w:cs="Arial"/>
          <w:lang w:val="en-ZA" w:eastAsia="en-US"/>
        </w:rPr>
        <w:tab/>
        <w:t>The applicant grounds this ap</w:t>
      </w:r>
      <w:r w:rsidR="000E3419">
        <w:rPr>
          <w:rFonts w:ascii="Arial" w:eastAsiaTheme="minorHAnsi" w:hAnsi="Arial" w:cs="Arial"/>
          <w:lang w:val="en-ZA" w:eastAsia="en-US"/>
        </w:rPr>
        <w:t>plication on the provisions of R</w:t>
      </w:r>
      <w:r>
        <w:rPr>
          <w:rFonts w:ascii="Arial" w:eastAsiaTheme="minorHAnsi" w:hAnsi="Arial" w:cs="Arial"/>
          <w:lang w:val="en-ZA" w:eastAsia="en-US"/>
        </w:rPr>
        <w:t xml:space="preserve">ule 28(1) of the </w:t>
      </w:r>
      <w:r w:rsidR="00D76555">
        <w:rPr>
          <w:rFonts w:ascii="Arial" w:eastAsiaTheme="minorHAnsi" w:hAnsi="Arial" w:cs="Arial"/>
          <w:lang w:val="en-ZA" w:eastAsia="en-US"/>
        </w:rPr>
        <w:t xml:space="preserve">Special </w:t>
      </w:r>
      <w:r w:rsidR="00781BC7">
        <w:rPr>
          <w:rFonts w:ascii="Arial" w:eastAsiaTheme="minorHAnsi" w:hAnsi="Arial" w:cs="Arial"/>
          <w:lang w:val="en-ZA" w:eastAsia="en-US"/>
        </w:rPr>
        <w:t>Tribunal r</w:t>
      </w:r>
      <w:r w:rsidR="000E3419">
        <w:rPr>
          <w:rFonts w:ascii="Arial" w:eastAsiaTheme="minorHAnsi" w:hAnsi="Arial" w:cs="Arial"/>
          <w:lang w:val="en-ZA" w:eastAsia="en-US"/>
        </w:rPr>
        <w:t>ules</w:t>
      </w:r>
      <w:r w:rsidR="00286C73">
        <w:rPr>
          <w:rFonts w:ascii="Arial" w:eastAsiaTheme="minorHAnsi" w:hAnsi="Arial" w:cs="Arial"/>
          <w:lang w:val="en-ZA" w:eastAsia="en-US"/>
        </w:rPr>
        <w:t xml:space="preserve"> (“</w:t>
      </w:r>
      <w:r w:rsidR="001717EC">
        <w:rPr>
          <w:rFonts w:ascii="Arial" w:eastAsiaTheme="minorHAnsi" w:hAnsi="Arial" w:cs="Arial"/>
          <w:lang w:val="en-ZA" w:eastAsia="en-US"/>
        </w:rPr>
        <w:t xml:space="preserve">the </w:t>
      </w:r>
      <w:r w:rsidR="00286C73">
        <w:rPr>
          <w:rFonts w:ascii="Arial" w:eastAsiaTheme="minorHAnsi" w:hAnsi="Arial" w:cs="Arial"/>
          <w:lang w:val="en-ZA" w:eastAsia="en-US"/>
        </w:rPr>
        <w:t xml:space="preserve">Tribunal </w:t>
      </w:r>
      <w:r w:rsidR="00781BC7">
        <w:rPr>
          <w:rFonts w:ascii="Arial" w:eastAsiaTheme="minorHAnsi" w:hAnsi="Arial" w:cs="Arial"/>
          <w:lang w:val="en-ZA" w:eastAsia="en-US"/>
        </w:rPr>
        <w:t>r</w:t>
      </w:r>
      <w:r w:rsidR="00286C73">
        <w:rPr>
          <w:rFonts w:ascii="Arial" w:eastAsiaTheme="minorHAnsi" w:hAnsi="Arial" w:cs="Arial"/>
          <w:lang w:val="en-ZA" w:eastAsia="en-US"/>
        </w:rPr>
        <w:t>ules”)</w:t>
      </w:r>
      <w:r>
        <w:rPr>
          <w:rFonts w:ascii="Arial" w:eastAsiaTheme="minorHAnsi" w:hAnsi="Arial" w:cs="Arial"/>
          <w:lang w:val="en-ZA" w:eastAsia="en-US"/>
        </w:rPr>
        <w:t xml:space="preserve"> read </w:t>
      </w:r>
      <w:r w:rsidR="000E3419">
        <w:rPr>
          <w:rFonts w:ascii="Arial" w:eastAsiaTheme="minorHAnsi" w:hAnsi="Arial" w:cs="Arial"/>
          <w:lang w:val="en-ZA" w:eastAsia="en-US"/>
        </w:rPr>
        <w:t>with R</w:t>
      </w:r>
      <w:r w:rsidR="00286C73">
        <w:rPr>
          <w:rFonts w:ascii="Arial" w:eastAsiaTheme="minorHAnsi" w:hAnsi="Arial" w:cs="Arial"/>
          <w:lang w:val="en-ZA" w:eastAsia="en-US"/>
        </w:rPr>
        <w:t>ule 27(1) of the Uniform r</w:t>
      </w:r>
      <w:r>
        <w:rPr>
          <w:rFonts w:ascii="Arial" w:eastAsiaTheme="minorHAnsi" w:hAnsi="Arial" w:cs="Arial"/>
          <w:lang w:val="en-ZA" w:eastAsia="en-US"/>
        </w:rPr>
        <w:t>ules</w:t>
      </w:r>
      <w:r w:rsidR="000E3419">
        <w:rPr>
          <w:rFonts w:ascii="Arial" w:eastAsiaTheme="minorHAnsi" w:hAnsi="Arial" w:cs="Arial"/>
          <w:lang w:val="en-ZA" w:eastAsia="en-US"/>
        </w:rPr>
        <w:t>.  The reliance on R</w:t>
      </w:r>
      <w:r w:rsidR="00AA51B2">
        <w:rPr>
          <w:rFonts w:ascii="Arial" w:eastAsiaTheme="minorHAnsi" w:hAnsi="Arial" w:cs="Arial"/>
          <w:lang w:val="en-ZA" w:eastAsia="en-US"/>
        </w:rPr>
        <w:t>ule</w:t>
      </w:r>
      <w:r>
        <w:rPr>
          <w:rFonts w:ascii="Arial" w:eastAsiaTheme="minorHAnsi" w:hAnsi="Arial" w:cs="Arial"/>
          <w:lang w:val="en-ZA" w:eastAsia="en-US"/>
        </w:rPr>
        <w:t xml:space="preserve"> 28 of the </w:t>
      </w:r>
      <w:r w:rsidR="00781BC7">
        <w:rPr>
          <w:rFonts w:ascii="Arial" w:eastAsiaTheme="minorHAnsi" w:hAnsi="Arial" w:cs="Arial"/>
          <w:lang w:val="en-ZA" w:eastAsia="en-US"/>
        </w:rPr>
        <w:t>Tribunal r</w:t>
      </w:r>
      <w:r>
        <w:rPr>
          <w:rFonts w:ascii="Arial" w:eastAsiaTheme="minorHAnsi" w:hAnsi="Arial" w:cs="Arial"/>
          <w:lang w:val="en-ZA" w:eastAsia="en-US"/>
        </w:rPr>
        <w:t xml:space="preserve">ules arises from the basis that Rule 14 of the </w:t>
      </w:r>
      <w:r w:rsidR="00781BC7">
        <w:rPr>
          <w:rFonts w:ascii="Arial" w:eastAsiaTheme="minorHAnsi" w:hAnsi="Arial" w:cs="Arial"/>
          <w:lang w:val="en-ZA" w:eastAsia="en-US"/>
        </w:rPr>
        <w:t>Tribunal r</w:t>
      </w:r>
      <w:r>
        <w:rPr>
          <w:rFonts w:ascii="Arial" w:eastAsiaTheme="minorHAnsi" w:hAnsi="Arial" w:cs="Arial"/>
          <w:lang w:val="en-ZA" w:eastAsia="en-US"/>
        </w:rPr>
        <w:t>ules makes no provision for the condonation of non-compliance with the time fixe</w:t>
      </w:r>
      <w:r w:rsidR="00AA51B2">
        <w:rPr>
          <w:rFonts w:ascii="Arial" w:eastAsiaTheme="minorHAnsi" w:hAnsi="Arial" w:cs="Arial"/>
          <w:lang w:val="en-ZA" w:eastAsia="en-US"/>
        </w:rPr>
        <w:t>d by an order of the Tribunal.</w:t>
      </w:r>
    </w:p>
    <w:p w14:paraId="7BA8630D" w14:textId="77777777" w:rsidR="00AA51B2" w:rsidRDefault="00AA51B2" w:rsidP="00AA51B2">
      <w:pPr>
        <w:spacing w:line="360" w:lineRule="auto"/>
        <w:jc w:val="both"/>
        <w:outlineLvl w:val="0"/>
        <w:rPr>
          <w:rFonts w:ascii="Arial" w:eastAsiaTheme="minorHAnsi" w:hAnsi="Arial" w:cs="Arial"/>
          <w:lang w:val="en-ZA" w:eastAsia="en-US"/>
        </w:rPr>
      </w:pPr>
    </w:p>
    <w:p w14:paraId="05ECD207" w14:textId="6823281D" w:rsidR="00AA51B2" w:rsidRDefault="00830F95" w:rsidP="00B40AE1">
      <w:pPr>
        <w:tabs>
          <w:tab w:val="left" w:pos="567"/>
        </w:tabs>
        <w:spacing w:line="360" w:lineRule="auto"/>
        <w:jc w:val="both"/>
        <w:outlineLvl w:val="0"/>
        <w:rPr>
          <w:rFonts w:ascii="Arial" w:eastAsiaTheme="minorHAnsi" w:hAnsi="Arial" w:cs="Arial"/>
          <w:lang w:val="en-ZA" w:eastAsia="en-US"/>
        </w:rPr>
      </w:pPr>
      <w:r>
        <w:rPr>
          <w:rFonts w:ascii="Arial" w:hAnsi="Arial" w:cs="Arial"/>
          <w:szCs w:val="20"/>
          <w:lang w:eastAsia="en-ZA"/>
        </w:rPr>
        <w:t>[</w:t>
      </w:r>
      <w:r w:rsidR="00E53B70">
        <w:rPr>
          <w:rFonts w:ascii="Arial" w:hAnsi="Arial" w:cs="Arial"/>
          <w:szCs w:val="20"/>
          <w:lang w:eastAsia="en-ZA"/>
        </w:rPr>
        <w:t>8</w:t>
      </w:r>
      <w:r>
        <w:rPr>
          <w:rFonts w:ascii="Arial" w:hAnsi="Arial" w:cs="Arial"/>
          <w:szCs w:val="20"/>
          <w:lang w:eastAsia="en-ZA"/>
        </w:rPr>
        <w:t>]</w:t>
      </w:r>
      <w:r>
        <w:rPr>
          <w:rFonts w:ascii="Arial" w:hAnsi="Arial" w:cs="Arial"/>
          <w:szCs w:val="20"/>
          <w:lang w:eastAsia="en-ZA"/>
        </w:rPr>
        <w:tab/>
      </w:r>
      <w:r>
        <w:rPr>
          <w:rFonts w:ascii="Arial" w:eastAsiaTheme="minorHAnsi" w:hAnsi="Arial" w:cs="Arial"/>
          <w:lang w:val="en-ZA" w:eastAsia="en-US"/>
        </w:rPr>
        <w:t>I set out the aforesaid rules</w:t>
      </w:r>
      <w:r w:rsidR="00813FC6">
        <w:rPr>
          <w:rFonts w:ascii="Arial" w:eastAsiaTheme="minorHAnsi" w:hAnsi="Arial" w:cs="Arial"/>
          <w:lang w:val="en-ZA" w:eastAsia="en-US"/>
        </w:rPr>
        <w:t xml:space="preserve"> below</w:t>
      </w:r>
      <w:r>
        <w:rPr>
          <w:rFonts w:ascii="Arial" w:eastAsiaTheme="minorHAnsi" w:hAnsi="Arial" w:cs="Arial"/>
          <w:lang w:val="en-ZA" w:eastAsia="en-US"/>
        </w:rPr>
        <w:t xml:space="preserve"> as reference </w:t>
      </w:r>
      <w:r w:rsidR="00AA51B2">
        <w:rPr>
          <w:rFonts w:ascii="Arial" w:eastAsiaTheme="minorHAnsi" w:hAnsi="Arial" w:cs="Arial"/>
          <w:lang w:val="en-ZA" w:eastAsia="en-US"/>
        </w:rPr>
        <w:t xml:space="preserve">will be made thereto </w:t>
      </w:r>
      <w:r w:rsidR="00B152BC">
        <w:rPr>
          <w:rFonts w:ascii="Arial" w:eastAsiaTheme="minorHAnsi" w:hAnsi="Arial" w:cs="Arial"/>
          <w:lang w:val="en-ZA" w:eastAsia="en-US"/>
        </w:rPr>
        <w:t xml:space="preserve">regularly. </w:t>
      </w:r>
      <w:r w:rsidR="00B152BC">
        <w:rPr>
          <w:rFonts w:ascii="Arial" w:eastAsiaTheme="minorHAnsi" w:hAnsi="Arial" w:cs="Arial"/>
          <w:lang w:val="en-ZA" w:eastAsia="en-US"/>
        </w:rPr>
        <w:softHyphen/>
      </w:r>
      <w:r w:rsidR="00D76555">
        <w:rPr>
          <w:rFonts w:ascii="Arial" w:eastAsiaTheme="minorHAnsi" w:hAnsi="Arial" w:cs="Arial"/>
          <w:lang w:val="en-ZA" w:eastAsia="en-US"/>
        </w:rPr>
        <w:softHyphen/>
      </w:r>
    </w:p>
    <w:p w14:paraId="24A13DD6" w14:textId="26103C75" w:rsidR="00AA51B2" w:rsidRDefault="00AA51B2" w:rsidP="00AA51B2">
      <w:pPr>
        <w:spacing w:line="360" w:lineRule="auto"/>
        <w:jc w:val="both"/>
        <w:rPr>
          <w:rFonts w:ascii="Arial" w:hAnsi="Arial" w:cs="Arial"/>
        </w:rPr>
      </w:pPr>
    </w:p>
    <w:p w14:paraId="72914579" w14:textId="45CB113E" w:rsidR="00AA51B2" w:rsidRPr="00900E80" w:rsidRDefault="00E439DC" w:rsidP="00900E80">
      <w:pPr>
        <w:spacing w:line="360" w:lineRule="auto"/>
        <w:ind w:left="720" w:hanging="720"/>
        <w:jc w:val="both"/>
        <w:rPr>
          <w:rFonts w:ascii="Arial" w:hAnsi="Arial" w:cs="Arial"/>
          <w:b/>
          <w:i/>
        </w:rPr>
      </w:pPr>
      <w:r>
        <w:rPr>
          <w:rFonts w:ascii="Arial" w:hAnsi="Arial" w:cs="Arial"/>
          <w:b/>
          <w:i/>
        </w:rPr>
        <w:t>Uniform rules of c</w:t>
      </w:r>
      <w:r w:rsidR="00830F95" w:rsidRPr="00E439DC">
        <w:rPr>
          <w:rFonts w:ascii="Arial" w:hAnsi="Arial" w:cs="Arial"/>
          <w:b/>
          <w:i/>
        </w:rPr>
        <w:t>ourt</w:t>
      </w:r>
    </w:p>
    <w:p w14:paraId="4A233243" w14:textId="77777777" w:rsidR="00830F95" w:rsidRPr="00AA51B2" w:rsidRDefault="00830F95" w:rsidP="00AA51B2">
      <w:pPr>
        <w:spacing w:line="360" w:lineRule="auto"/>
        <w:ind w:left="720" w:hanging="720"/>
        <w:jc w:val="both"/>
        <w:rPr>
          <w:rFonts w:ascii="Arial" w:hAnsi="Arial" w:cs="Arial"/>
          <w:sz w:val="22"/>
          <w:szCs w:val="22"/>
        </w:rPr>
      </w:pPr>
      <w:r w:rsidRPr="00AA51B2">
        <w:rPr>
          <w:rFonts w:ascii="Arial" w:hAnsi="Arial" w:cs="Arial"/>
          <w:bCs/>
          <w:color w:val="000000"/>
          <w:sz w:val="22"/>
          <w:szCs w:val="22"/>
        </w:rPr>
        <w:t>‘27.   Extension of time and removal of bar and condonation.</w:t>
      </w:r>
      <w:r w:rsidRPr="00AA51B2">
        <w:rPr>
          <w:rFonts w:ascii="Arial" w:hAnsi="Arial" w:cs="Arial"/>
          <w:color w:val="000000"/>
          <w:sz w:val="22"/>
          <w:szCs w:val="22"/>
        </w:rPr>
        <w:t xml:space="preserve"> — </w:t>
      </w:r>
    </w:p>
    <w:p w14:paraId="434BFF31" w14:textId="28DCA95B" w:rsidR="00830F95" w:rsidRPr="00AA51B2" w:rsidRDefault="00830F95" w:rsidP="00A259B8">
      <w:pPr>
        <w:pStyle w:val="lg-section"/>
        <w:shd w:val="clear" w:color="auto" w:fill="FFFFFF"/>
        <w:spacing w:before="0" w:beforeAutospacing="0" w:after="0" w:afterAutospacing="0" w:line="360" w:lineRule="auto"/>
        <w:jc w:val="both"/>
        <w:rPr>
          <w:rFonts w:ascii="Arial" w:hAnsi="Arial" w:cs="Arial"/>
          <w:color w:val="000000"/>
          <w:sz w:val="22"/>
          <w:szCs w:val="22"/>
        </w:rPr>
      </w:pPr>
      <w:r w:rsidRPr="00AA51B2">
        <w:rPr>
          <w:rFonts w:ascii="Arial" w:hAnsi="Arial" w:cs="Arial"/>
          <w:color w:val="000000"/>
          <w:sz w:val="22"/>
          <w:szCs w:val="22"/>
        </w:rPr>
        <w:t>(1)  In the absence of agreement between the parties, the court may upon application on notice and on good cause shown, make an order extending or abridgin</w:t>
      </w:r>
      <w:r w:rsidR="00A259B8">
        <w:rPr>
          <w:rFonts w:ascii="Arial" w:hAnsi="Arial" w:cs="Arial"/>
          <w:color w:val="000000"/>
          <w:sz w:val="22"/>
          <w:szCs w:val="22"/>
        </w:rPr>
        <w:t>g any time prescribed by these R</w:t>
      </w:r>
      <w:r w:rsidRPr="00AA51B2">
        <w:rPr>
          <w:rFonts w:ascii="Arial" w:hAnsi="Arial" w:cs="Arial"/>
          <w:color w:val="000000"/>
          <w:sz w:val="22"/>
          <w:szCs w:val="22"/>
        </w:rPr>
        <w:t>ules or by an order of court or fixed by an order extending or abridging any time for doing any act or taking any step in connection with any proceedings of any nature whatsoever upon such terms as to it seems meet.</w:t>
      </w:r>
    </w:p>
    <w:p w14:paraId="5589E63F" w14:textId="165957DA" w:rsidR="00830F95" w:rsidRPr="00AA51B2" w:rsidRDefault="00830F95" w:rsidP="00657330">
      <w:pPr>
        <w:pStyle w:val="lg-para3"/>
        <w:shd w:val="clear" w:color="auto" w:fill="FFFFFF"/>
        <w:spacing w:before="120" w:beforeAutospacing="0" w:after="0" w:afterAutospacing="0" w:line="360" w:lineRule="auto"/>
        <w:jc w:val="both"/>
        <w:rPr>
          <w:rFonts w:ascii="Arial" w:hAnsi="Arial" w:cs="Arial"/>
          <w:color w:val="000000"/>
          <w:sz w:val="22"/>
          <w:szCs w:val="22"/>
        </w:rPr>
      </w:pPr>
      <w:r w:rsidRPr="00AA51B2">
        <w:rPr>
          <w:rFonts w:ascii="Arial" w:hAnsi="Arial" w:cs="Arial"/>
          <w:color w:val="000000"/>
          <w:sz w:val="22"/>
          <w:szCs w:val="22"/>
        </w:rPr>
        <w:t>(2)  Any such extension may be ordered although the application therefor is not made until after expiry of the time prescribed or fixed, and the court ordering any such extension may make such order</w:t>
      </w:r>
      <w:r w:rsidR="00A259B8">
        <w:rPr>
          <w:rFonts w:ascii="Arial" w:hAnsi="Arial" w:cs="Arial"/>
          <w:color w:val="000000"/>
          <w:sz w:val="22"/>
          <w:szCs w:val="22"/>
        </w:rPr>
        <w:t xml:space="preserve"> as to it seems meet</w:t>
      </w:r>
      <w:r w:rsidRPr="00AA51B2">
        <w:rPr>
          <w:rFonts w:ascii="Arial" w:hAnsi="Arial" w:cs="Arial"/>
          <w:color w:val="000000"/>
          <w:sz w:val="22"/>
          <w:szCs w:val="22"/>
        </w:rPr>
        <w:t xml:space="preserve"> as to the recalling, varying or cancelling of the results of the expiry of any time so prescribed or fixed, whether such results flow from the terms of any order or from the</w:t>
      </w:r>
      <w:r w:rsidR="00A259B8">
        <w:rPr>
          <w:rFonts w:ascii="Arial" w:hAnsi="Arial" w:cs="Arial"/>
          <w:color w:val="000000"/>
          <w:sz w:val="22"/>
          <w:szCs w:val="22"/>
        </w:rPr>
        <w:t>se R</w:t>
      </w:r>
      <w:r w:rsidRPr="00AA51B2">
        <w:rPr>
          <w:rFonts w:ascii="Arial" w:hAnsi="Arial" w:cs="Arial"/>
          <w:color w:val="000000"/>
          <w:sz w:val="22"/>
          <w:szCs w:val="22"/>
        </w:rPr>
        <w:t>ules.</w:t>
      </w:r>
    </w:p>
    <w:p w14:paraId="2652EADC" w14:textId="03516493" w:rsidR="00830F95" w:rsidRPr="00AA51B2" w:rsidRDefault="00830F95" w:rsidP="00657330">
      <w:pPr>
        <w:pStyle w:val="lg-para3"/>
        <w:shd w:val="clear" w:color="auto" w:fill="FFFFFF"/>
        <w:spacing w:before="120" w:beforeAutospacing="0" w:after="0" w:afterAutospacing="0" w:line="360" w:lineRule="auto"/>
        <w:jc w:val="both"/>
        <w:rPr>
          <w:rFonts w:ascii="Arial" w:hAnsi="Arial" w:cs="Arial"/>
          <w:color w:val="000000"/>
          <w:sz w:val="22"/>
          <w:szCs w:val="22"/>
        </w:rPr>
      </w:pPr>
      <w:r w:rsidRPr="00AA51B2">
        <w:rPr>
          <w:rFonts w:ascii="Arial" w:hAnsi="Arial" w:cs="Arial"/>
          <w:color w:val="000000"/>
          <w:sz w:val="22"/>
          <w:szCs w:val="22"/>
        </w:rPr>
        <w:t>(3)  The court may, on good cause shown, condone</w:t>
      </w:r>
      <w:r w:rsidR="00657330">
        <w:rPr>
          <w:rFonts w:ascii="Arial" w:hAnsi="Arial" w:cs="Arial"/>
          <w:color w:val="000000"/>
          <w:sz w:val="22"/>
          <w:szCs w:val="22"/>
        </w:rPr>
        <w:t xml:space="preserve"> any non-compliance with these R</w:t>
      </w:r>
      <w:r w:rsidRPr="00AA51B2">
        <w:rPr>
          <w:rFonts w:ascii="Arial" w:hAnsi="Arial" w:cs="Arial"/>
          <w:color w:val="000000"/>
          <w:sz w:val="22"/>
          <w:szCs w:val="22"/>
        </w:rPr>
        <w:t>ules.</w:t>
      </w:r>
    </w:p>
    <w:p w14:paraId="2A382274" w14:textId="46B2865D" w:rsidR="00AA51B2" w:rsidRDefault="00830F95" w:rsidP="00AA51B2">
      <w:pPr>
        <w:pStyle w:val="lg-para3"/>
        <w:shd w:val="clear" w:color="auto" w:fill="FFFFFF"/>
        <w:spacing w:before="120" w:beforeAutospacing="0" w:after="0" w:afterAutospacing="0" w:line="360" w:lineRule="auto"/>
        <w:jc w:val="both"/>
        <w:rPr>
          <w:rFonts w:ascii="Arial" w:hAnsi="Arial" w:cs="Arial"/>
          <w:color w:val="000000"/>
          <w:sz w:val="22"/>
          <w:szCs w:val="22"/>
        </w:rPr>
      </w:pPr>
      <w:r w:rsidRPr="00AA51B2">
        <w:rPr>
          <w:rFonts w:ascii="Arial" w:hAnsi="Arial" w:cs="Arial"/>
          <w:color w:val="000000"/>
          <w:sz w:val="22"/>
          <w:szCs w:val="22"/>
        </w:rPr>
        <w:t>(4)  After a rule </w:t>
      </w:r>
      <w:r w:rsidRPr="00AA51B2">
        <w:rPr>
          <w:rFonts w:ascii="Arial" w:hAnsi="Arial" w:cs="Arial"/>
          <w:i/>
          <w:iCs/>
          <w:color w:val="000000"/>
          <w:sz w:val="22"/>
          <w:szCs w:val="22"/>
        </w:rPr>
        <w:t>nisi </w:t>
      </w:r>
      <w:r w:rsidRPr="00AA51B2">
        <w:rPr>
          <w:rFonts w:ascii="Arial" w:hAnsi="Arial" w:cs="Arial"/>
          <w:color w:val="000000"/>
          <w:sz w:val="22"/>
          <w:szCs w:val="22"/>
        </w:rPr>
        <w:t>has been discharged by default of appearance by the applicant, the court or a judge may revive the rule and direct that the rule so revived need not be served again.</w:t>
      </w:r>
      <w:r w:rsidR="00AA51B2">
        <w:rPr>
          <w:rFonts w:ascii="Arial" w:hAnsi="Arial" w:cs="Arial"/>
          <w:color w:val="000000"/>
          <w:sz w:val="22"/>
          <w:szCs w:val="22"/>
        </w:rPr>
        <w:t>’</w:t>
      </w:r>
    </w:p>
    <w:p w14:paraId="49D97347" w14:textId="77777777" w:rsidR="00813FC6" w:rsidRDefault="00813FC6" w:rsidP="00813FC6">
      <w:pPr>
        <w:pStyle w:val="lg-para3"/>
        <w:shd w:val="clear" w:color="auto" w:fill="FFFFFF"/>
        <w:spacing w:before="120" w:beforeAutospacing="0" w:after="0" w:afterAutospacing="0"/>
        <w:jc w:val="both"/>
        <w:rPr>
          <w:rFonts w:ascii="Arial" w:hAnsi="Arial" w:cs="Arial"/>
          <w:color w:val="000000"/>
          <w:sz w:val="22"/>
          <w:szCs w:val="22"/>
        </w:rPr>
      </w:pPr>
    </w:p>
    <w:p w14:paraId="6775ABD8" w14:textId="0AAFFC23" w:rsidR="002D2CE0" w:rsidRPr="00813FC6" w:rsidRDefault="00813FC6" w:rsidP="00813FC6">
      <w:pPr>
        <w:pStyle w:val="lg-para3"/>
        <w:shd w:val="clear" w:color="auto" w:fill="FFFFFF"/>
        <w:spacing w:before="120" w:beforeAutospacing="0" w:after="0" w:afterAutospacing="0" w:line="360" w:lineRule="auto"/>
        <w:jc w:val="both"/>
        <w:rPr>
          <w:rFonts w:ascii="Arial" w:hAnsi="Arial" w:cs="Arial"/>
          <w:b/>
          <w:i/>
          <w:color w:val="000000"/>
          <w:sz w:val="22"/>
          <w:szCs w:val="22"/>
        </w:rPr>
      </w:pPr>
      <w:r w:rsidRPr="00E439DC">
        <w:rPr>
          <w:rFonts w:ascii="Arial" w:eastAsiaTheme="minorHAnsi" w:hAnsi="Arial" w:cs="Arial"/>
          <w:b/>
          <w:i/>
          <w:lang w:val="en-ZA" w:eastAsia="en-US"/>
        </w:rPr>
        <w:t xml:space="preserve">Special </w:t>
      </w:r>
      <w:r w:rsidR="000E3419">
        <w:rPr>
          <w:rFonts w:ascii="Arial" w:eastAsiaTheme="minorHAnsi" w:hAnsi="Arial" w:cs="Arial"/>
          <w:b/>
          <w:i/>
          <w:lang w:val="en-ZA" w:eastAsia="en-US"/>
        </w:rPr>
        <w:t>T</w:t>
      </w:r>
      <w:r w:rsidR="000E3419" w:rsidRPr="00E439DC">
        <w:rPr>
          <w:rFonts w:ascii="Arial" w:eastAsiaTheme="minorHAnsi" w:hAnsi="Arial" w:cs="Arial"/>
          <w:b/>
          <w:i/>
          <w:lang w:val="en-ZA" w:eastAsia="en-US"/>
        </w:rPr>
        <w:t>ribunal</w:t>
      </w:r>
      <w:r w:rsidR="00781BC7">
        <w:rPr>
          <w:rFonts w:ascii="Arial" w:eastAsiaTheme="minorHAnsi" w:hAnsi="Arial" w:cs="Arial"/>
          <w:b/>
          <w:i/>
          <w:lang w:val="en-ZA" w:eastAsia="en-US"/>
        </w:rPr>
        <w:t xml:space="preserve"> r</w:t>
      </w:r>
      <w:r w:rsidR="000E3419" w:rsidRPr="00E439DC">
        <w:rPr>
          <w:rFonts w:ascii="Arial" w:eastAsiaTheme="minorHAnsi" w:hAnsi="Arial" w:cs="Arial"/>
          <w:b/>
          <w:i/>
          <w:lang w:val="en-ZA" w:eastAsia="en-US"/>
        </w:rPr>
        <w:t>ules</w:t>
      </w:r>
    </w:p>
    <w:p w14:paraId="6CE5FC78" w14:textId="3B840A2B" w:rsidR="00FC7083" w:rsidRDefault="00417F70" w:rsidP="00F22F30">
      <w:pPr>
        <w:spacing w:line="360" w:lineRule="auto"/>
        <w:jc w:val="both"/>
        <w:outlineLvl w:val="0"/>
        <w:rPr>
          <w:rFonts w:ascii="Arial" w:eastAsiaTheme="minorHAnsi" w:hAnsi="Arial" w:cs="Arial"/>
          <w:sz w:val="22"/>
          <w:szCs w:val="22"/>
          <w:lang w:val="en-ZA" w:eastAsia="en-US"/>
        </w:rPr>
      </w:pPr>
      <w:r>
        <w:rPr>
          <w:rFonts w:ascii="Arial" w:eastAsiaTheme="minorHAnsi" w:hAnsi="Arial" w:cs="Arial"/>
          <w:sz w:val="22"/>
          <w:szCs w:val="22"/>
          <w:lang w:val="en-ZA" w:eastAsia="en-US"/>
        </w:rPr>
        <w:t>’</w:t>
      </w:r>
      <w:r w:rsidR="002D2CE0" w:rsidRPr="00AA51B2">
        <w:rPr>
          <w:rFonts w:ascii="Arial" w:eastAsiaTheme="minorHAnsi" w:hAnsi="Arial" w:cs="Arial"/>
          <w:sz w:val="22"/>
          <w:szCs w:val="22"/>
          <w:lang w:val="en-ZA" w:eastAsia="en-US"/>
        </w:rPr>
        <w:t>14</w:t>
      </w:r>
      <w:r>
        <w:rPr>
          <w:rFonts w:ascii="Arial" w:eastAsiaTheme="minorHAnsi" w:hAnsi="Arial" w:cs="Arial"/>
          <w:sz w:val="22"/>
          <w:szCs w:val="22"/>
          <w:lang w:val="en-ZA" w:eastAsia="en-US"/>
        </w:rPr>
        <w:t>.</w:t>
      </w:r>
      <w:r w:rsidR="002D2CE0" w:rsidRPr="00AA51B2">
        <w:rPr>
          <w:rFonts w:ascii="Arial" w:eastAsiaTheme="minorHAnsi" w:hAnsi="Arial" w:cs="Arial"/>
          <w:sz w:val="22"/>
          <w:szCs w:val="22"/>
          <w:lang w:val="en-ZA" w:eastAsia="en-US"/>
        </w:rPr>
        <w:t xml:space="preserve"> Extension of time, </w:t>
      </w:r>
      <w:r w:rsidR="00FC7083" w:rsidRPr="00AA51B2">
        <w:rPr>
          <w:rFonts w:ascii="Arial" w:eastAsiaTheme="minorHAnsi" w:hAnsi="Arial" w:cs="Arial"/>
          <w:sz w:val="22"/>
          <w:szCs w:val="22"/>
          <w:lang w:val="en-ZA" w:eastAsia="en-US"/>
        </w:rPr>
        <w:t>Removal</w:t>
      </w:r>
      <w:r w:rsidR="002D2CE0" w:rsidRPr="00AA51B2">
        <w:rPr>
          <w:rFonts w:ascii="Arial" w:eastAsiaTheme="minorHAnsi" w:hAnsi="Arial" w:cs="Arial"/>
          <w:sz w:val="22"/>
          <w:szCs w:val="22"/>
          <w:lang w:val="en-ZA" w:eastAsia="en-US"/>
        </w:rPr>
        <w:t xml:space="preserve"> of </w:t>
      </w:r>
      <w:r w:rsidR="00FC7083" w:rsidRPr="00AA51B2">
        <w:rPr>
          <w:rFonts w:ascii="Arial" w:eastAsiaTheme="minorHAnsi" w:hAnsi="Arial" w:cs="Arial"/>
          <w:sz w:val="22"/>
          <w:szCs w:val="22"/>
          <w:lang w:val="en-ZA" w:eastAsia="en-US"/>
        </w:rPr>
        <w:t>Bar</w:t>
      </w:r>
      <w:r w:rsidR="002D2CE0" w:rsidRPr="00AA51B2">
        <w:rPr>
          <w:rFonts w:ascii="Arial" w:eastAsiaTheme="minorHAnsi" w:hAnsi="Arial" w:cs="Arial"/>
          <w:sz w:val="22"/>
          <w:szCs w:val="22"/>
          <w:lang w:val="en-ZA" w:eastAsia="en-US"/>
        </w:rPr>
        <w:t xml:space="preserve"> and </w:t>
      </w:r>
      <w:r w:rsidR="00FC7083" w:rsidRPr="00AA51B2">
        <w:rPr>
          <w:rFonts w:ascii="Arial" w:eastAsiaTheme="minorHAnsi" w:hAnsi="Arial" w:cs="Arial"/>
          <w:sz w:val="22"/>
          <w:szCs w:val="22"/>
          <w:lang w:val="en-ZA" w:eastAsia="en-US"/>
        </w:rPr>
        <w:t>C</w:t>
      </w:r>
      <w:r w:rsidR="002D2CE0" w:rsidRPr="00AA51B2">
        <w:rPr>
          <w:rFonts w:ascii="Arial" w:eastAsiaTheme="minorHAnsi" w:hAnsi="Arial" w:cs="Arial"/>
          <w:sz w:val="22"/>
          <w:szCs w:val="22"/>
          <w:lang w:val="en-ZA" w:eastAsia="en-US"/>
        </w:rPr>
        <w:t>ondonation</w:t>
      </w:r>
      <w:r w:rsidR="00FC7083">
        <w:rPr>
          <w:rFonts w:ascii="Arial" w:eastAsiaTheme="minorHAnsi" w:hAnsi="Arial" w:cs="Arial"/>
          <w:sz w:val="22"/>
          <w:szCs w:val="22"/>
          <w:lang w:val="en-ZA" w:eastAsia="en-US"/>
        </w:rPr>
        <w:t xml:space="preserve"> </w:t>
      </w:r>
    </w:p>
    <w:p w14:paraId="6440F7C9" w14:textId="7EA07644" w:rsidR="002D2CE0" w:rsidRDefault="00F22F30" w:rsidP="00F22F30">
      <w:pPr>
        <w:spacing w:line="360" w:lineRule="auto"/>
        <w:jc w:val="both"/>
        <w:outlineLvl w:val="0"/>
        <w:rPr>
          <w:rFonts w:ascii="Arial" w:eastAsiaTheme="minorHAnsi" w:hAnsi="Arial" w:cs="Arial"/>
          <w:sz w:val="22"/>
          <w:szCs w:val="22"/>
          <w:lang w:val="en-ZA" w:eastAsia="en-US"/>
        </w:rPr>
      </w:pPr>
      <w:r>
        <w:rPr>
          <w:rFonts w:ascii="Arial" w:eastAsiaTheme="minorHAnsi" w:hAnsi="Arial" w:cs="Arial"/>
          <w:sz w:val="22"/>
          <w:szCs w:val="22"/>
          <w:lang w:val="en-ZA" w:eastAsia="en-US"/>
        </w:rPr>
        <w:t xml:space="preserve">(1) </w:t>
      </w:r>
      <w:r w:rsidR="00D0109B" w:rsidRPr="00F22F30">
        <w:rPr>
          <w:rFonts w:ascii="Arial" w:eastAsiaTheme="minorHAnsi" w:hAnsi="Arial" w:cs="Arial"/>
          <w:sz w:val="22"/>
          <w:szCs w:val="22"/>
          <w:lang w:val="en-ZA" w:eastAsia="en-US"/>
        </w:rPr>
        <w:t xml:space="preserve">In the absence of </w:t>
      </w:r>
      <w:r>
        <w:rPr>
          <w:rFonts w:ascii="Arial" w:eastAsiaTheme="minorHAnsi" w:hAnsi="Arial" w:cs="Arial"/>
          <w:sz w:val="22"/>
          <w:szCs w:val="22"/>
          <w:lang w:val="en-ZA" w:eastAsia="en-US"/>
        </w:rPr>
        <w:t>agreement between the parties, T</w:t>
      </w:r>
      <w:r w:rsidR="00D0109B" w:rsidRPr="00F22F30">
        <w:rPr>
          <w:rFonts w:ascii="Arial" w:eastAsiaTheme="minorHAnsi" w:hAnsi="Arial" w:cs="Arial"/>
          <w:sz w:val="22"/>
          <w:szCs w:val="22"/>
          <w:lang w:val="en-ZA" w:eastAsia="en-US"/>
        </w:rPr>
        <w:t xml:space="preserve">ribunal may upon application on notice and on good cause shown, make an order extending </w:t>
      </w:r>
      <w:r>
        <w:rPr>
          <w:rFonts w:ascii="Arial" w:eastAsiaTheme="minorHAnsi" w:hAnsi="Arial" w:cs="Arial"/>
          <w:sz w:val="22"/>
          <w:szCs w:val="22"/>
          <w:lang w:val="en-ZA" w:eastAsia="en-US"/>
        </w:rPr>
        <w:t>anytime prescribed by these R</w:t>
      </w:r>
      <w:r w:rsidR="00D0109B" w:rsidRPr="00F22F30">
        <w:rPr>
          <w:rFonts w:ascii="Arial" w:eastAsiaTheme="minorHAnsi" w:hAnsi="Arial" w:cs="Arial"/>
          <w:sz w:val="22"/>
          <w:szCs w:val="22"/>
          <w:lang w:val="en-ZA" w:eastAsia="en-US"/>
        </w:rPr>
        <w:t>ules.</w:t>
      </w:r>
    </w:p>
    <w:p w14:paraId="1ECF7660" w14:textId="0042B6CF" w:rsidR="00F22F30" w:rsidRPr="00F22F30" w:rsidRDefault="00F22F30" w:rsidP="00F22F30">
      <w:pPr>
        <w:spacing w:line="360" w:lineRule="auto"/>
        <w:jc w:val="both"/>
        <w:outlineLvl w:val="0"/>
        <w:rPr>
          <w:rFonts w:ascii="Arial" w:eastAsiaTheme="minorHAnsi" w:hAnsi="Arial" w:cs="Arial"/>
          <w:sz w:val="22"/>
          <w:szCs w:val="22"/>
          <w:lang w:val="en-ZA" w:eastAsia="en-US"/>
        </w:rPr>
      </w:pPr>
      <w:r>
        <w:rPr>
          <w:rFonts w:ascii="Arial" w:eastAsiaTheme="minorHAnsi" w:hAnsi="Arial" w:cs="Arial"/>
          <w:sz w:val="22"/>
          <w:szCs w:val="22"/>
          <w:lang w:val="en-ZA" w:eastAsia="en-US"/>
        </w:rPr>
        <w:t>…</w:t>
      </w:r>
    </w:p>
    <w:p w14:paraId="2B6ED20E" w14:textId="3E6C3D6B" w:rsidR="00D0109B" w:rsidRPr="00F22F30" w:rsidRDefault="00D0109B" w:rsidP="00F22F30">
      <w:pPr>
        <w:pStyle w:val="ListParagraph"/>
        <w:numPr>
          <w:ilvl w:val="0"/>
          <w:numId w:val="39"/>
        </w:numPr>
        <w:tabs>
          <w:tab w:val="left" w:pos="567"/>
        </w:tabs>
        <w:spacing w:line="360" w:lineRule="auto"/>
        <w:ind w:left="0" w:firstLine="0"/>
        <w:jc w:val="both"/>
        <w:outlineLvl w:val="0"/>
        <w:rPr>
          <w:rFonts w:ascii="Arial" w:eastAsiaTheme="minorHAnsi" w:hAnsi="Arial" w:cs="Arial"/>
          <w:sz w:val="22"/>
          <w:szCs w:val="22"/>
          <w:lang w:val="en-ZA" w:eastAsia="en-US"/>
        </w:rPr>
      </w:pPr>
      <w:r w:rsidRPr="00F22F30">
        <w:rPr>
          <w:rFonts w:ascii="Arial" w:eastAsiaTheme="minorHAnsi" w:hAnsi="Arial" w:cs="Arial"/>
          <w:sz w:val="22"/>
          <w:szCs w:val="22"/>
          <w:lang w:val="en-ZA" w:eastAsia="en-US"/>
        </w:rPr>
        <w:t xml:space="preserve">The Tribunal may, on good cause shown, condone any </w:t>
      </w:r>
      <w:r w:rsidR="00725DF8" w:rsidRPr="00F22F30">
        <w:rPr>
          <w:rFonts w:ascii="Arial" w:eastAsiaTheme="minorHAnsi" w:hAnsi="Arial" w:cs="Arial"/>
          <w:sz w:val="22"/>
          <w:szCs w:val="22"/>
          <w:lang w:val="en-ZA" w:eastAsia="en-US"/>
        </w:rPr>
        <w:t>non-compliance</w:t>
      </w:r>
      <w:r w:rsidRPr="00F22F30">
        <w:rPr>
          <w:rFonts w:ascii="Arial" w:eastAsiaTheme="minorHAnsi" w:hAnsi="Arial" w:cs="Arial"/>
          <w:sz w:val="22"/>
          <w:szCs w:val="22"/>
          <w:lang w:val="en-ZA" w:eastAsia="en-US"/>
        </w:rPr>
        <w:t xml:space="preserve"> with these rules. </w:t>
      </w:r>
    </w:p>
    <w:p w14:paraId="557D3C79" w14:textId="58AAA930" w:rsidR="003824C3" w:rsidRPr="00F22F30" w:rsidRDefault="00FC7083" w:rsidP="00F22F30">
      <w:pPr>
        <w:pStyle w:val="ListParagraph"/>
        <w:numPr>
          <w:ilvl w:val="0"/>
          <w:numId w:val="39"/>
        </w:numPr>
        <w:tabs>
          <w:tab w:val="left" w:pos="567"/>
        </w:tabs>
        <w:spacing w:line="360" w:lineRule="auto"/>
        <w:ind w:left="0" w:firstLine="0"/>
        <w:jc w:val="both"/>
        <w:outlineLvl w:val="0"/>
        <w:rPr>
          <w:rFonts w:ascii="Arial" w:eastAsiaTheme="minorHAnsi" w:hAnsi="Arial" w:cs="Arial"/>
          <w:sz w:val="22"/>
          <w:szCs w:val="22"/>
          <w:lang w:val="en-ZA" w:eastAsia="en-US"/>
        </w:rPr>
      </w:pPr>
      <w:r>
        <w:rPr>
          <w:rFonts w:ascii="Arial" w:eastAsiaTheme="minorHAnsi" w:hAnsi="Arial" w:cs="Arial"/>
          <w:sz w:val="22"/>
          <w:szCs w:val="22"/>
          <w:lang w:val="en-ZA" w:eastAsia="en-US"/>
        </w:rPr>
        <w:t>After the discharge of a R</w:t>
      </w:r>
      <w:r w:rsidR="001C5C86" w:rsidRPr="00F22F30">
        <w:rPr>
          <w:rFonts w:ascii="Arial" w:eastAsiaTheme="minorHAnsi" w:hAnsi="Arial" w:cs="Arial"/>
          <w:sz w:val="22"/>
          <w:szCs w:val="22"/>
          <w:lang w:val="en-ZA" w:eastAsia="en-US"/>
        </w:rPr>
        <w:t xml:space="preserve">ule </w:t>
      </w:r>
      <w:r w:rsidR="001C5C86" w:rsidRPr="00304046">
        <w:rPr>
          <w:rFonts w:ascii="Arial" w:eastAsiaTheme="minorHAnsi" w:hAnsi="Arial" w:cs="Arial"/>
          <w:i/>
          <w:sz w:val="22"/>
          <w:szCs w:val="22"/>
          <w:lang w:val="en-ZA" w:eastAsia="en-US"/>
        </w:rPr>
        <w:t>nisi</w:t>
      </w:r>
      <w:r w:rsidR="001C5C86" w:rsidRPr="00F22F30">
        <w:rPr>
          <w:rFonts w:ascii="Arial" w:eastAsiaTheme="minorHAnsi" w:hAnsi="Arial" w:cs="Arial"/>
          <w:sz w:val="22"/>
          <w:szCs w:val="22"/>
          <w:lang w:val="en-ZA" w:eastAsia="en-US"/>
        </w:rPr>
        <w:t xml:space="preserve"> by default, the Tribunal may on application revive it.</w:t>
      </w:r>
    </w:p>
    <w:p w14:paraId="6B50E09C" w14:textId="304800D8" w:rsidR="003824C3" w:rsidRDefault="003824C3" w:rsidP="003824C3">
      <w:pPr>
        <w:spacing w:line="360" w:lineRule="auto"/>
        <w:jc w:val="both"/>
        <w:outlineLvl w:val="0"/>
        <w:rPr>
          <w:rFonts w:ascii="Arial" w:eastAsiaTheme="minorHAnsi" w:hAnsi="Arial" w:cs="Arial"/>
          <w:sz w:val="22"/>
          <w:szCs w:val="22"/>
          <w:lang w:val="en-ZA" w:eastAsia="en-US"/>
        </w:rPr>
      </w:pPr>
      <w:r>
        <w:rPr>
          <w:rFonts w:ascii="Arial" w:eastAsiaTheme="minorHAnsi" w:hAnsi="Arial" w:cs="Arial"/>
          <w:sz w:val="22"/>
          <w:szCs w:val="22"/>
          <w:lang w:val="en-ZA" w:eastAsia="en-US"/>
        </w:rPr>
        <w:t>…</w:t>
      </w:r>
    </w:p>
    <w:p w14:paraId="3EC03AF0" w14:textId="3232035E" w:rsidR="00FC7083" w:rsidRDefault="003824C3" w:rsidP="00417F70">
      <w:pPr>
        <w:spacing w:line="360" w:lineRule="auto"/>
        <w:jc w:val="both"/>
        <w:outlineLvl w:val="0"/>
        <w:rPr>
          <w:rFonts w:ascii="Arial" w:eastAsiaTheme="minorHAnsi" w:hAnsi="Arial" w:cs="Arial"/>
          <w:sz w:val="22"/>
          <w:szCs w:val="22"/>
          <w:lang w:val="en-ZA" w:eastAsia="en-US"/>
        </w:rPr>
      </w:pPr>
      <w:r>
        <w:rPr>
          <w:rFonts w:ascii="Arial" w:eastAsiaTheme="minorHAnsi" w:hAnsi="Arial" w:cs="Arial"/>
          <w:sz w:val="22"/>
          <w:szCs w:val="22"/>
          <w:lang w:val="en-ZA" w:eastAsia="en-US"/>
        </w:rPr>
        <w:t>28</w:t>
      </w:r>
      <w:r w:rsidR="00417F70">
        <w:rPr>
          <w:rFonts w:ascii="Arial" w:eastAsiaTheme="minorHAnsi" w:hAnsi="Arial" w:cs="Arial"/>
          <w:sz w:val="22"/>
          <w:szCs w:val="22"/>
          <w:lang w:val="en-ZA" w:eastAsia="en-US"/>
        </w:rPr>
        <w:t>.</w:t>
      </w:r>
      <w:r>
        <w:rPr>
          <w:rFonts w:ascii="Arial" w:eastAsiaTheme="minorHAnsi" w:hAnsi="Arial" w:cs="Arial"/>
          <w:sz w:val="22"/>
          <w:szCs w:val="22"/>
          <w:lang w:val="en-ZA" w:eastAsia="en-US"/>
        </w:rPr>
        <w:t xml:space="preserve"> Procedure not provided for in the Rule</w:t>
      </w:r>
      <w:r w:rsidR="00417F70">
        <w:rPr>
          <w:rFonts w:ascii="Arial" w:eastAsiaTheme="minorHAnsi" w:hAnsi="Arial" w:cs="Arial"/>
          <w:sz w:val="22"/>
          <w:szCs w:val="22"/>
          <w:lang w:val="en-ZA" w:eastAsia="en-US"/>
        </w:rPr>
        <w:t>s</w:t>
      </w:r>
      <w:r>
        <w:rPr>
          <w:rFonts w:ascii="Arial" w:eastAsiaTheme="minorHAnsi" w:hAnsi="Arial" w:cs="Arial"/>
          <w:sz w:val="22"/>
          <w:szCs w:val="22"/>
          <w:lang w:val="en-ZA" w:eastAsia="en-US"/>
        </w:rPr>
        <w:t>.</w:t>
      </w:r>
    </w:p>
    <w:p w14:paraId="58A70DFE" w14:textId="1C687607" w:rsidR="00417F70" w:rsidRDefault="00417F70" w:rsidP="00FC7083">
      <w:pPr>
        <w:tabs>
          <w:tab w:val="left" w:pos="567"/>
        </w:tabs>
        <w:spacing w:line="360" w:lineRule="auto"/>
        <w:jc w:val="both"/>
        <w:outlineLvl w:val="0"/>
        <w:rPr>
          <w:rFonts w:ascii="Arial" w:eastAsiaTheme="minorHAnsi" w:hAnsi="Arial" w:cs="Arial"/>
          <w:sz w:val="22"/>
          <w:szCs w:val="22"/>
          <w:lang w:val="en-ZA" w:eastAsia="en-US"/>
        </w:rPr>
      </w:pPr>
      <w:r>
        <w:rPr>
          <w:rFonts w:ascii="Arial" w:eastAsiaTheme="minorHAnsi" w:hAnsi="Arial" w:cs="Arial"/>
          <w:sz w:val="22"/>
          <w:szCs w:val="22"/>
          <w:lang w:val="en-ZA" w:eastAsia="en-US"/>
        </w:rPr>
        <w:t>(1)</w:t>
      </w:r>
      <w:r>
        <w:rPr>
          <w:rFonts w:ascii="Arial" w:eastAsiaTheme="minorHAnsi" w:hAnsi="Arial" w:cs="Arial"/>
          <w:sz w:val="22"/>
          <w:szCs w:val="22"/>
          <w:lang w:val="en-ZA" w:eastAsia="en-US"/>
        </w:rPr>
        <w:tab/>
      </w:r>
      <w:r w:rsidR="003824C3" w:rsidRPr="00417F70">
        <w:rPr>
          <w:rFonts w:ascii="Arial" w:eastAsiaTheme="minorHAnsi" w:hAnsi="Arial" w:cs="Arial"/>
          <w:sz w:val="22"/>
          <w:szCs w:val="22"/>
          <w:lang w:val="en-ZA" w:eastAsia="en-US"/>
        </w:rPr>
        <w:t>If a situation for w</w:t>
      </w:r>
      <w:r w:rsidR="00926A95">
        <w:rPr>
          <w:rFonts w:ascii="Arial" w:eastAsiaTheme="minorHAnsi" w:hAnsi="Arial" w:cs="Arial"/>
          <w:sz w:val="22"/>
          <w:szCs w:val="22"/>
          <w:lang w:val="en-ZA" w:eastAsia="en-US"/>
        </w:rPr>
        <w:t>hich these Rules do not provide</w:t>
      </w:r>
      <w:r w:rsidR="003824C3" w:rsidRPr="00417F70">
        <w:rPr>
          <w:rFonts w:ascii="Arial" w:eastAsiaTheme="minorHAnsi" w:hAnsi="Arial" w:cs="Arial"/>
          <w:sz w:val="22"/>
          <w:szCs w:val="22"/>
          <w:lang w:val="en-ZA" w:eastAsia="en-US"/>
        </w:rPr>
        <w:t xml:space="preserve"> arises in proceedings or contemplated proceedings</w:t>
      </w:r>
      <w:r w:rsidR="00926A95">
        <w:rPr>
          <w:rFonts w:ascii="Arial" w:eastAsiaTheme="minorHAnsi" w:hAnsi="Arial" w:cs="Arial"/>
          <w:sz w:val="22"/>
          <w:szCs w:val="22"/>
          <w:lang w:val="en-ZA" w:eastAsia="en-US"/>
        </w:rPr>
        <w:t>,</w:t>
      </w:r>
      <w:r w:rsidR="003824C3" w:rsidRPr="00417F70">
        <w:rPr>
          <w:rFonts w:ascii="Arial" w:eastAsiaTheme="minorHAnsi" w:hAnsi="Arial" w:cs="Arial"/>
          <w:sz w:val="22"/>
          <w:szCs w:val="22"/>
          <w:lang w:val="en-ZA" w:eastAsia="en-US"/>
        </w:rPr>
        <w:t xml:space="preserve"> the Tribunal may adopt any procedure that it deems appropriate in the circumstances</w:t>
      </w:r>
      <w:r w:rsidR="00926A95">
        <w:rPr>
          <w:rFonts w:ascii="Arial" w:eastAsiaTheme="minorHAnsi" w:hAnsi="Arial" w:cs="Arial"/>
          <w:sz w:val="22"/>
          <w:szCs w:val="22"/>
          <w:lang w:val="en-ZA" w:eastAsia="en-US"/>
        </w:rPr>
        <w:t>,</w:t>
      </w:r>
      <w:r w:rsidR="003824C3" w:rsidRPr="00417F70">
        <w:rPr>
          <w:rFonts w:ascii="Arial" w:eastAsiaTheme="minorHAnsi" w:hAnsi="Arial" w:cs="Arial"/>
          <w:sz w:val="22"/>
          <w:szCs w:val="22"/>
          <w:lang w:val="en-ZA" w:eastAsia="en-US"/>
        </w:rPr>
        <w:t xml:space="preserve"> including the invocation of the High Court Rules.</w:t>
      </w:r>
    </w:p>
    <w:p w14:paraId="43BFDE65" w14:textId="3E1090FD" w:rsidR="00572045" w:rsidRPr="00417F70" w:rsidRDefault="00417F70" w:rsidP="00417F70">
      <w:pPr>
        <w:tabs>
          <w:tab w:val="left" w:pos="567"/>
        </w:tabs>
        <w:spacing w:line="360" w:lineRule="auto"/>
        <w:jc w:val="both"/>
        <w:outlineLvl w:val="0"/>
        <w:rPr>
          <w:rFonts w:ascii="Arial" w:eastAsiaTheme="minorHAnsi" w:hAnsi="Arial" w:cs="Arial"/>
          <w:sz w:val="22"/>
          <w:szCs w:val="22"/>
          <w:lang w:val="en-ZA" w:eastAsia="en-US"/>
        </w:rPr>
      </w:pPr>
      <w:r>
        <w:rPr>
          <w:rFonts w:ascii="Arial" w:eastAsiaTheme="minorHAnsi" w:hAnsi="Arial" w:cs="Arial"/>
          <w:sz w:val="22"/>
          <w:szCs w:val="22"/>
          <w:lang w:val="en-ZA" w:eastAsia="en-US"/>
        </w:rPr>
        <w:t>(2)</w:t>
      </w:r>
      <w:r>
        <w:rPr>
          <w:rFonts w:ascii="Arial" w:eastAsiaTheme="minorHAnsi" w:hAnsi="Arial" w:cs="Arial"/>
          <w:sz w:val="22"/>
          <w:szCs w:val="22"/>
          <w:lang w:val="en-ZA" w:eastAsia="en-US"/>
        </w:rPr>
        <w:tab/>
      </w:r>
      <w:r w:rsidR="00572045" w:rsidRPr="00417F70">
        <w:rPr>
          <w:rFonts w:ascii="Arial" w:eastAsiaTheme="minorHAnsi" w:hAnsi="Arial" w:cs="Arial"/>
          <w:sz w:val="22"/>
          <w:szCs w:val="22"/>
          <w:lang w:val="en-ZA" w:eastAsia="en-US"/>
        </w:rPr>
        <w:t xml:space="preserve">The Tribunal may, in the exercise of its powers and in the performance of its functions, or in any incidental matter, take any steps in relation to the hearing of a </w:t>
      </w:r>
      <w:r w:rsidR="00572045" w:rsidRPr="00417F70">
        <w:rPr>
          <w:rFonts w:ascii="Arial" w:eastAsiaTheme="minorHAnsi" w:hAnsi="Arial" w:cs="Arial"/>
          <w:sz w:val="22"/>
          <w:szCs w:val="22"/>
          <w:lang w:val="en-ZA" w:eastAsia="en-US"/>
        </w:rPr>
        <w:lastRenderedPageBreak/>
        <w:t>matter before it which may lead to the expeditious and cost-saving disposal of the matter, including the abandonment of the application of any rule of evidence in order to achieve the objects of the Act.’</w:t>
      </w:r>
    </w:p>
    <w:p w14:paraId="32C3A275" w14:textId="77777777" w:rsidR="000532E2" w:rsidRDefault="000532E2" w:rsidP="000532E2">
      <w:pPr>
        <w:spacing w:line="360" w:lineRule="auto"/>
        <w:jc w:val="both"/>
        <w:outlineLvl w:val="0"/>
        <w:rPr>
          <w:rFonts w:ascii="Arial" w:eastAsiaTheme="minorHAnsi" w:hAnsi="Arial" w:cs="Arial"/>
          <w:sz w:val="22"/>
          <w:szCs w:val="22"/>
          <w:lang w:val="en-ZA" w:eastAsia="en-US"/>
        </w:rPr>
      </w:pPr>
    </w:p>
    <w:p w14:paraId="163C2D36" w14:textId="2F550375" w:rsidR="00A15EF6" w:rsidRPr="00AA51B2" w:rsidRDefault="000532E2" w:rsidP="00B40AE1">
      <w:pPr>
        <w:tabs>
          <w:tab w:val="left" w:pos="567"/>
        </w:tabs>
        <w:spacing w:line="360" w:lineRule="auto"/>
        <w:jc w:val="both"/>
        <w:outlineLvl w:val="0"/>
        <w:rPr>
          <w:rFonts w:ascii="Arial" w:eastAsiaTheme="minorHAnsi" w:hAnsi="Arial" w:cs="Arial"/>
          <w:lang w:val="en-ZA" w:eastAsia="en-US"/>
        </w:rPr>
      </w:pPr>
      <w:r w:rsidRPr="00AA51B2">
        <w:rPr>
          <w:rFonts w:ascii="Arial" w:eastAsiaTheme="minorHAnsi" w:hAnsi="Arial" w:cs="Arial"/>
          <w:lang w:val="en-ZA" w:eastAsia="en-US"/>
        </w:rPr>
        <w:t>[10</w:t>
      </w:r>
      <w:r w:rsidR="005028BA">
        <w:rPr>
          <w:rFonts w:ascii="Arial" w:eastAsiaTheme="minorHAnsi" w:hAnsi="Arial" w:cs="Arial"/>
          <w:lang w:val="en-ZA" w:eastAsia="en-US"/>
        </w:rPr>
        <w:t>]</w:t>
      </w:r>
      <w:r w:rsidR="005028BA">
        <w:rPr>
          <w:rFonts w:ascii="Arial" w:eastAsiaTheme="minorHAnsi" w:hAnsi="Arial" w:cs="Arial"/>
          <w:lang w:val="en-ZA" w:eastAsia="en-US"/>
        </w:rPr>
        <w:tab/>
      </w:r>
      <w:r w:rsidR="000947A5">
        <w:rPr>
          <w:rFonts w:ascii="Arial" w:eastAsiaTheme="minorHAnsi" w:hAnsi="Arial" w:cs="Arial"/>
          <w:lang w:val="en-ZA" w:eastAsia="en-US"/>
        </w:rPr>
        <w:t>Given the submission that, Tribunal Rule 14, only caters for non-compliance with the rules and not of non-compliance with an order of the Tribunal t</w:t>
      </w:r>
      <w:r w:rsidR="005028BA">
        <w:rPr>
          <w:rFonts w:ascii="Arial" w:eastAsiaTheme="minorHAnsi" w:hAnsi="Arial" w:cs="Arial"/>
          <w:lang w:val="en-ZA" w:eastAsia="en-US"/>
        </w:rPr>
        <w:t>he applicant thus relies on R</w:t>
      </w:r>
      <w:r w:rsidRPr="00AA51B2">
        <w:rPr>
          <w:rFonts w:ascii="Arial" w:eastAsiaTheme="minorHAnsi" w:hAnsi="Arial" w:cs="Arial"/>
          <w:lang w:val="en-ZA" w:eastAsia="en-US"/>
        </w:rPr>
        <w:t xml:space="preserve">ule 27 of the </w:t>
      </w:r>
      <w:r w:rsidR="00E439DC">
        <w:rPr>
          <w:rFonts w:ascii="Arial" w:eastAsiaTheme="minorHAnsi" w:hAnsi="Arial" w:cs="Arial"/>
          <w:lang w:val="en-ZA" w:eastAsia="en-US"/>
        </w:rPr>
        <w:t>Uniform r</w:t>
      </w:r>
      <w:r w:rsidRPr="00AA51B2">
        <w:rPr>
          <w:rFonts w:ascii="Arial" w:eastAsiaTheme="minorHAnsi" w:hAnsi="Arial" w:cs="Arial"/>
          <w:lang w:val="en-ZA" w:eastAsia="en-US"/>
        </w:rPr>
        <w:t>ule</w:t>
      </w:r>
      <w:r w:rsidR="00A15EF6" w:rsidRPr="00AA51B2">
        <w:rPr>
          <w:rFonts w:ascii="Arial" w:eastAsiaTheme="minorHAnsi" w:hAnsi="Arial" w:cs="Arial"/>
          <w:lang w:val="en-ZA" w:eastAsia="en-US"/>
        </w:rPr>
        <w:t>s</w:t>
      </w:r>
      <w:r w:rsidRPr="00AA51B2">
        <w:rPr>
          <w:rFonts w:ascii="Arial" w:eastAsiaTheme="minorHAnsi" w:hAnsi="Arial" w:cs="Arial"/>
          <w:lang w:val="en-ZA" w:eastAsia="en-US"/>
        </w:rPr>
        <w:t xml:space="preserve"> to cater for the lacuna</w:t>
      </w:r>
      <w:r w:rsidR="00A15EF6" w:rsidRPr="00AA51B2">
        <w:rPr>
          <w:rFonts w:ascii="Arial" w:eastAsiaTheme="minorHAnsi" w:hAnsi="Arial" w:cs="Arial"/>
          <w:lang w:val="en-ZA" w:eastAsia="en-US"/>
        </w:rPr>
        <w:t>.</w:t>
      </w:r>
      <w:r w:rsidRPr="00AA51B2">
        <w:rPr>
          <w:rFonts w:ascii="Arial" w:eastAsiaTheme="minorHAnsi" w:hAnsi="Arial" w:cs="Arial"/>
          <w:lang w:val="en-ZA" w:eastAsia="en-US"/>
        </w:rPr>
        <w:t xml:space="preserve"> </w:t>
      </w:r>
      <w:r w:rsidR="00A15EF6" w:rsidRPr="00AA51B2">
        <w:rPr>
          <w:rFonts w:ascii="Arial" w:eastAsiaTheme="minorHAnsi" w:hAnsi="Arial" w:cs="Arial"/>
          <w:lang w:val="en-ZA" w:eastAsia="en-US"/>
        </w:rPr>
        <w:t xml:space="preserve"> T</w:t>
      </w:r>
      <w:r w:rsidRPr="00AA51B2">
        <w:rPr>
          <w:rFonts w:ascii="Arial" w:eastAsiaTheme="minorHAnsi" w:hAnsi="Arial" w:cs="Arial"/>
          <w:lang w:val="en-ZA" w:eastAsia="en-US"/>
        </w:rPr>
        <w:t>o justify the grant of the order pursuant to the provisions of the aforementi</w:t>
      </w:r>
      <w:r w:rsidR="00A15EF6" w:rsidRPr="00AA51B2">
        <w:rPr>
          <w:rFonts w:ascii="Arial" w:eastAsiaTheme="minorHAnsi" w:hAnsi="Arial" w:cs="Arial"/>
          <w:lang w:val="en-ZA" w:eastAsia="en-US"/>
        </w:rPr>
        <w:t xml:space="preserve">oned </w:t>
      </w:r>
      <w:r w:rsidR="00E439DC">
        <w:rPr>
          <w:rFonts w:ascii="Arial" w:eastAsiaTheme="minorHAnsi" w:hAnsi="Arial" w:cs="Arial"/>
          <w:lang w:val="en-ZA" w:eastAsia="en-US"/>
        </w:rPr>
        <w:t>r</w:t>
      </w:r>
      <w:r w:rsidR="00A15EF6" w:rsidRPr="00AA51B2">
        <w:rPr>
          <w:rFonts w:ascii="Arial" w:eastAsiaTheme="minorHAnsi" w:hAnsi="Arial" w:cs="Arial"/>
          <w:lang w:val="en-ZA" w:eastAsia="en-US"/>
        </w:rPr>
        <w:t>ule, the applicant contend</w:t>
      </w:r>
      <w:r w:rsidRPr="00AA51B2">
        <w:rPr>
          <w:rFonts w:ascii="Arial" w:eastAsiaTheme="minorHAnsi" w:hAnsi="Arial" w:cs="Arial"/>
          <w:lang w:val="en-ZA" w:eastAsia="en-US"/>
        </w:rPr>
        <w:t>s that it has to show good cause for the</w:t>
      </w:r>
      <w:r w:rsidR="003824C3">
        <w:rPr>
          <w:rFonts w:ascii="Arial" w:eastAsiaTheme="minorHAnsi" w:hAnsi="Arial" w:cs="Arial"/>
          <w:lang w:val="en-ZA" w:eastAsia="en-US"/>
        </w:rPr>
        <w:t xml:space="preserve"> revival of the </w:t>
      </w:r>
      <w:r w:rsidR="003824C3" w:rsidRPr="00E439DC">
        <w:rPr>
          <w:rFonts w:ascii="Arial" w:eastAsiaTheme="minorHAnsi" w:hAnsi="Arial" w:cs="Arial"/>
          <w:lang w:val="en-ZA" w:eastAsia="en-US"/>
        </w:rPr>
        <w:t>rule</w:t>
      </w:r>
      <w:r w:rsidR="003824C3" w:rsidRPr="00E439DC">
        <w:rPr>
          <w:rFonts w:ascii="Arial" w:eastAsiaTheme="minorHAnsi" w:hAnsi="Arial" w:cs="Arial"/>
          <w:i/>
          <w:lang w:val="en-ZA" w:eastAsia="en-US"/>
        </w:rPr>
        <w:t xml:space="preserve"> nisi</w:t>
      </w:r>
      <w:r w:rsidR="003824C3">
        <w:rPr>
          <w:rFonts w:ascii="Arial" w:eastAsiaTheme="minorHAnsi" w:hAnsi="Arial" w:cs="Arial"/>
          <w:lang w:val="en-ZA" w:eastAsia="en-US"/>
        </w:rPr>
        <w:t xml:space="preserve"> </w:t>
      </w:r>
      <w:r w:rsidRPr="00AA51B2">
        <w:rPr>
          <w:rFonts w:ascii="Arial" w:eastAsiaTheme="minorHAnsi" w:hAnsi="Arial" w:cs="Arial"/>
          <w:lang w:val="en-ZA" w:eastAsia="en-US"/>
        </w:rPr>
        <w:t>alternative</w:t>
      </w:r>
      <w:r w:rsidR="003824C3">
        <w:rPr>
          <w:rFonts w:ascii="Arial" w:eastAsiaTheme="minorHAnsi" w:hAnsi="Arial" w:cs="Arial"/>
          <w:lang w:val="en-ZA" w:eastAsia="en-US"/>
        </w:rPr>
        <w:t>ly</w:t>
      </w:r>
      <w:r w:rsidRPr="00AA51B2">
        <w:rPr>
          <w:rFonts w:ascii="Arial" w:eastAsiaTheme="minorHAnsi" w:hAnsi="Arial" w:cs="Arial"/>
          <w:lang w:val="en-ZA" w:eastAsia="en-US"/>
        </w:rPr>
        <w:t xml:space="preserve"> </w:t>
      </w:r>
      <w:r w:rsidR="003824C3">
        <w:rPr>
          <w:rFonts w:ascii="Arial" w:eastAsiaTheme="minorHAnsi" w:hAnsi="Arial" w:cs="Arial"/>
          <w:lang w:val="en-ZA" w:eastAsia="en-US"/>
        </w:rPr>
        <w:t>for the extension of the time period within which the applicant must institute action for its claim.</w:t>
      </w:r>
      <w:r w:rsidRPr="00AA51B2">
        <w:rPr>
          <w:rFonts w:ascii="Arial" w:eastAsiaTheme="minorHAnsi" w:hAnsi="Arial" w:cs="Arial"/>
          <w:lang w:val="en-ZA" w:eastAsia="en-US"/>
        </w:rPr>
        <w:t xml:space="preserve">  </w:t>
      </w:r>
    </w:p>
    <w:p w14:paraId="1D9F27C4" w14:textId="77777777" w:rsidR="00A15EF6" w:rsidRPr="00AA51B2" w:rsidRDefault="00A15EF6" w:rsidP="000532E2">
      <w:pPr>
        <w:spacing w:line="360" w:lineRule="auto"/>
        <w:jc w:val="both"/>
        <w:outlineLvl w:val="0"/>
        <w:rPr>
          <w:rFonts w:ascii="Arial" w:eastAsiaTheme="minorHAnsi" w:hAnsi="Arial" w:cs="Arial"/>
          <w:lang w:val="en-ZA" w:eastAsia="en-US"/>
        </w:rPr>
      </w:pPr>
    </w:p>
    <w:p w14:paraId="7DC5580D" w14:textId="59DED468" w:rsidR="009B3825" w:rsidRPr="00AA51B2" w:rsidRDefault="00A15EF6" w:rsidP="00B40AE1">
      <w:pPr>
        <w:tabs>
          <w:tab w:val="left" w:pos="567"/>
        </w:tabs>
        <w:spacing w:line="360" w:lineRule="auto"/>
        <w:jc w:val="both"/>
        <w:outlineLvl w:val="0"/>
        <w:rPr>
          <w:rFonts w:ascii="Arial" w:eastAsiaTheme="minorHAnsi" w:hAnsi="Arial" w:cs="Arial"/>
          <w:lang w:val="en-ZA" w:eastAsia="en-US"/>
        </w:rPr>
      </w:pPr>
      <w:r w:rsidRPr="00AA51B2">
        <w:rPr>
          <w:rFonts w:ascii="Arial" w:eastAsiaTheme="minorHAnsi" w:hAnsi="Arial" w:cs="Arial"/>
          <w:lang w:val="en-ZA" w:eastAsia="en-US"/>
        </w:rPr>
        <w:t>[</w:t>
      </w:r>
      <w:r w:rsidR="00FE4D85">
        <w:rPr>
          <w:rFonts w:ascii="Arial" w:eastAsiaTheme="minorHAnsi" w:hAnsi="Arial" w:cs="Arial"/>
          <w:lang w:val="en-ZA" w:eastAsia="en-US"/>
        </w:rPr>
        <w:t>11</w:t>
      </w:r>
      <w:r w:rsidRPr="00AA51B2">
        <w:rPr>
          <w:rFonts w:ascii="Arial" w:eastAsiaTheme="minorHAnsi" w:hAnsi="Arial" w:cs="Arial"/>
          <w:lang w:val="en-ZA" w:eastAsia="en-US"/>
        </w:rPr>
        <w:t>]</w:t>
      </w:r>
      <w:r w:rsidRPr="00AA51B2">
        <w:rPr>
          <w:rFonts w:ascii="Arial" w:eastAsiaTheme="minorHAnsi" w:hAnsi="Arial" w:cs="Arial"/>
          <w:lang w:val="en-ZA" w:eastAsia="en-US"/>
        </w:rPr>
        <w:tab/>
      </w:r>
      <w:r w:rsidR="000532E2" w:rsidRPr="00AA51B2">
        <w:rPr>
          <w:rFonts w:ascii="Arial" w:eastAsiaTheme="minorHAnsi" w:hAnsi="Arial" w:cs="Arial"/>
          <w:lang w:val="en-ZA" w:eastAsia="en-US"/>
        </w:rPr>
        <w:t>To demonstrate good cause, the applicant avers that the combined summons was issued by th</w:t>
      </w:r>
      <w:r w:rsidR="00C26BA6">
        <w:rPr>
          <w:rFonts w:ascii="Arial" w:eastAsiaTheme="minorHAnsi" w:hAnsi="Arial" w:cs="Arial"/>
          <w:lang w:val="en-ZA" w:eastAsia="en-US"/>
        </w:rPr>
        <w:t>e Registrar of the Tribunal on 6</w:t>
      </w:r>
      <w:r w:rsidR="000532E2" w:rsidRPr="00AA51B2">
        <w:rPr>
          <w:rFonts w:ascii="Arial" w:eastAsiaTheme="minorHAnsi" w:hAnsi="Arial" w:cs="Arial"/>
          <w:lang w:val="en-ZA" w:eastAsia="en-US"/>
        </w:rPr>
        <w:t xml:space="preserve"> October 2020 after the Particulars of Claim were</w:t>
      </w:r>
      <w:r w:rsidR="009B3825" w:rsidRPr="00AA51B2">
        <w:rPr>
          <w:rFonts w:ascii="Arial" w:eastAsiaTheme="minorHAnsi" w:hAnsi="Arial" w:cs="Arial"/>
          <w:lang w:val="en-ZA" w:eastAsia="en-US"/>
        </w:rPr>
        <w:t xml:space="preserve"> received </w:t>
      </w:r>
      <w:r w:rsidR="008A5113">
        <w:rPr>
          <w:rFonts w:ascii="Arial" w:eastAsiaTheme="minorHAnsi" w:hAnsi="Arial" w:cs="Arial"/>
          <w:lang w:val="en-ZA" w:eastAsia="en-US"/>
        </w:rPr>
        <w:t xml:space="preserve">on the same date </w:t>
      </w:r>
      <w:r w:rsidR="009B3825" w:rsidRPr="00AA51B2">
        <w:rPr>
          <w:rFonts w:ascii="Arial" w:eastAsiaTheme="minorHAnsi" w:hAnsi="Arial" w:cs="Arial"/>
          <w:lang w:val="en-ZA" w:eastAsia="en-US"/>
        </w:rPr>
        <w:t>from counsel acting on behalf of the applicant</w:t>
      </w:r>
      <w:r w:rsidR="008A5113">
        <w:rPr>
          <w:rFonts w:ascii="Arial" w:eastAsiaTheme="minorHAnsi" w:hAnsi="Arial" w:cs="Arial"/>
          <w:lang w:val="en-ZA" w:eastAsia="en-US"/>
        </w:rPr>
        <w:t xml:space="preserve">.  </w:t>
      </w:r>
      <w:r w:rsidR="009B3825" w:rsidRPr="00AA51B2">
        <w:rPr>
          <w:rFonts w:ascii="Arial" w:eastAsiaTheme="minorHAnsi" w:hAnsi="Arial" w:cs="Arial"/>
          <w:lang w:val="en-ZA" w:eastAsia="en-US"/>
        </w:rPr>
        <w:t>After the summons was issued, it was discovered that an incorrect version of the Particulars of Claim was sent out.  The deponent to the applicant</w:t>
      </w:r>
      <w:r w:rsidR="00FE4D85">
        <w:rPr>
          <w:rFonts w:ascii="Arial" w:eastAsiaTheme="minorHAnsi" w:hAnsi="Arial" w:cs="Arial"/>
          <w:lang w:val="en-ZA" w:eastAsia="en-US"/>
        </w:rPr>
        <w:t>’</w:t>
      </w:r>
      <w:r w:rsidR="009B3825" w:rsidRPr="00AA51B2">
        <w:rPr>
          <w:rFonts w:ascii="Arial" w:eastAsiaTheme="minorHAnsi" w:hAnsi="Arial" w:cs="Arial"/>
          <w:lang w:val="en-ZA" w:eastAsia="en-US"/>
        </w:rPr>
        <w:t xml:space="preserve">s founding affidavit, </w:t>
      </w:r>
      <w:proofErr w:type="spellStart"/>
      <w:r w:rsidR="009B3825" w:rsidRPr="00AA51B2">
        <w:rPr>
          <w:rFonts w:ascii="Arial" w:eastAsiaTheme="minorHAnsi" w:hAnsi="Arial" w:cs="Arial"/>
          <w:lang w:val="en-ZA" w:eastAsia="en-US"/>
        </w:rPr>
        <w:t>Gosiame</w:t>
      </w:r>
      <w:proofErr w:type="spellEnd"/>
      <w:r w:rsidR="009B3825" w:rsidRPr="00AA51B2">
        <w:rPr>
          <w:rFonts w:ascii="Arial" w:eastAsiaTheme="minorHAnsi" w:hAnsi="Arial" w:cs="Arial"/>
          <w:lang w:val="en-ZA" w:eastAsia="en-US"/>
        </w:rPr>
        <w:t xml:space="preserve"> Peter </w:t>
      </w:r>
      <w:proofErr w:type="spellStart"/>
      <w:r w:rsidR="009B3825" w:rsidRPr="00AA51B2">
        <w:rPr>
          <w:rFonts w:ascii="Arial" w:eastAsiaTheme="minorHAnsi" w:hAnsi="Arial" w:cs="Arial"/>
          <w:lang w:val="en-ZA" w:eastAsia="en-US"/>
        </w:rPr>
        <w:t>Seleka</w:t>
      </w:r>
      <w:proofErr w:type="spellEnd"/>
      <w:r w:rsidR="009B3825" w:rsidRPr="00AA51B2">
        <w:rPr>
          <w:rFonts w:ascii="Arial" w:eastAsiaTheme="minorHAnsi" w:hAnsi="Arial" w:cs="Arial"/>
          <w:lang w:val="en-ZA" w:eastAsia="en-US"/>
        </w:rPr>
        <w:t xml:space="preserve"> (</w:t>
      </w:r>
      <w:proofErr w:type="spellStart"/>
      <w:r w:rsidR="009B3825" w:rsidRPr="00AA51B2">
        <w:rPr>
          <w:rFonts w:ascii="Arial" w:eastAsiaTheme="minorHAnsi" w:hAnsi="Arial" w:cs="Arial"/>
          <w:lang w:val="en-ZA" w:eastAsia="en-US"/>
        </w:rPr>
        <w:t>Sel</w:t>
      </w:r>
      <w:r w:rsidR="005A736C">
        <w:rPr>
          <w:rFonts w:ascii="Arial" w:eastAsiaTheme="minorHAnsi" w:hAnsi="Arial" w:cs="Arial"/>
          <w:lang w:val="en-ZA" w:eastAsia="en-US"/>
        </w:rPr>
        <w:t>e</w:t>
      </w:r>
      <w:r w:rsidR="009B3825" w:rsidRPr="00AA51B2">
        <w:rPr>
          <w:rFonts w:ascii="Arial" w:eastAsiaTheme="minorHAnsi" w:hAnsi="Arial" w:cs="Arial"/>
          <w:lang w:val="en-ZA" w:eastAsia="en-US"/>
        </w:rPr>
        <w:t>ka</w:t>
      </w:r>
      <w:proofErr w:type="spellEnd"/>
      <w:r w:rsidR="009B3825" w:rsidRPr="00AA51B2">
        <w:rPr>
          <w:rFonts w:ascii="Arial" w:eastAsiaTheme="minorHAnsi" w:hAnsi="Arial" w:cs="Arial"/>
          <w:lang w:val="en-ZA" w:eastAsia="en-US"/>
        </w:rPr>
        <w:t>)</w:t>
      </w:r>
      <w:r w:rsidR="008D2BA9">
        <w:rPr>
          <w:rFonts w:ascii="Arial" w:eastAsiaTheme="minorHAnsi" w:hAnsi="Arial" w:cs="Arial"/>
          <w:lang w:val="en-ZA" w:eastAsia="en-US"/>
        </w:rPr>
        <w:t>,</w:t>
      </w:r>
      <w:r w:rsidR="009B3825" w:rsidRPr="00AA51B2">
        <w:rPr>
          <w:rFonts w:ascii="Arial" w:eastAsiaTheme="minorHAnsi" w:hAnsi="Arial" w:cs="Arial"/>
          <w:lang w:val="en-ZA" w:eastAsia="en-US"/>
        </w:rPr>
        <w:t xml:space="preserve"> </w:t>
      </w:r>
      <w:r w:rsidR="003824C3">
        <w:rPr>
          <w:rFonts w:ascii="Arial" w:eastAsiaTheme="minorHAnsi" w:hAnsi="Arial" w:cs="Arial"/>
          <w:lang w:val="en-ZA" w:eastAsia="en-US"/>
        </w:rPr>
        <w:t xml:space="preserve">avers that he </w:t>
      </w:r>
      <w:r w:rsidR="009B3825" w:rsidRPr="00AA51B2">
        <w:rPr>
          <w:rFonts w:ascii="Arial" w:eastAsiaTheme="minorHAnsi" w:hAnsi="Arial" w:cs="Arial"/>
          <w:lang w:val="en-ZA" w:eastAsia="en-US"/>
        </w:rPr>
        <w:t xml:space="preserve">had discussions </w:t>
      </w:r>
      <w:r w:rsidR="00C26BA6" w:rsidRPr="00AA51B2">
        <w:rPr>
          <w:rFonts w:ascii="Arial" w:eastAsiaTheme="minorHAnsi" w:hAnsi="Arial" w:cs="Arial"/>
          <w:lang w:val="en-ZA" w:eastAsia="en-US"/>
        </w:rPr>
        <w:t xml:space="preserve">with </w:t>
      </w:r>
      <w:r w:rsidR="00C26BA6">
        <w:rPr>
          <w:rFonts w:ascii="Arial" w:eastAsiaTheme="minorHAnsi" w:hAnsi="Arial" w:cs="Arial"/>
          <w:lang w:val="en-ZA" w:eastAsia="en-US"/>
        </w:rPr>
        <w:t>a legal representative,</w:t>
      </w:r>
      <w:r w:rsidR="009B3825" w:rsidRPr="00AA51B2">
        <w:rPr>
          <w:rFonts w:ascii="Arial" w:eastAsiaTheme="minorHAnsi" w:hAnsi="Arial" w:cs="Arial"/>
          <w:lang w:val="en-ZA" w:eastAsia="en-US"/>
        </w:rPr>
        <w:t xml:space="preserve"> Stella Zondi (Zondi).  Pursuant to those discussions, an instruction to s</w:t>
      </w:r>
      <w:r w:rsidRPr="00AA51B2">
        <w:rPr>
          <w:rFonts w:ascii="Arial" w:eastAsiaTheme="minorHAnsi" w:hAnsi="Arial" w:cs="Arial"/>
          <w:lang w:val="en-ZA" w:eastAsia="en-US"/>
        </w:rPr>
        <w:t>erve the summons was made through</w:t>
      </w:r>
      <w:r w:rsidR="00304046">
        <w:rPr>
          <w:rFonts w:ascii="Arial" w:eastAsiaTheme="minorHAnsi" w:hAnsi="Arial" w:cs="Arial"/>
          <w:lang w:val="en-ZA" w:eastAsia="en-US"/>
        </w:rPr>
        <w:t xml:space="preserve"> a courier company (“the c</w:t>
      </w:r>
      <w:r w:rsidR="009B3825" w:rsidRPr="00AA51B2">
        <w:rPr>
          <w:rFonts w:ascii="Arial" w:eastAsiaTheme="minorHAnsi" w:hAnsi="Arial" w:cs="Arial"/>
          <w:lang w:val="en-ZA" w:eastAsia="en-US"/>
        </w:rPr>
        <w:t>ourier”) on 12 October 2020 to deliver the summons to the Sheriff by 15 October 2020.</w:t>
      </w:r>
    </w:p>
    <w:p w14:paraId="16CFE05D" w14:textId="77777777" w:rsidR="009B3825" w:rsidRPr="00AA51B2" w:rsidRDefault="009B3825" w:rsidP="000532E2">
      <w:pPr>
        <w:spacing w:line="360" w:lineRule="auto"/>
        <w:jc w:val="both"/>
        <w:outlineLvl w:val="0"/>
        <w:rPr>
          <w:rFonts w:ascii="Arial" w:eastAsiaTheme="minorHAnsi" w:hAnsi="Arial" w:cs="Arial"/>
          <w:lang w:val="en-ZA" w:eastAsia="en-US"/>
        </w:rPr>
      </w:pPr>
    </w:p>
    <w:p w14:paraId="3FDF0A28" w14:textId="77777777" w:rsidR="009B3825" w:rsidRPr="00AA51B2" w:rsidRDefault="00FE4D85"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[12</w:t>
      </w:r>
      <w:r w:rsidR="009B3825" w:rsidRPr="00AA51B2">
        <w:rPr>
          <w:rFonts w:ascii="Arial" w:eastAsiaTheme="minorHAnsi" w:hAnsi="Arial" w:cs="Arial"/>
          <w:lang w:val="en-ZA" w:eastAsia="en-US"/>
        </w:rPr>
        <w:t>]</w:t>
      </w:r>
      <w:r w:rsidR="009B3825" w:rsidRPr="00AA51B2">
        <w:rPr>
          <w:rFonts w:ascii="Arial" w:eastAsiaTheme="minorHAnsi" w:hAnsi="Arial" w:cs="Arial"/>
          <w:lang w:val="en-ZA" w:eastAsia="en-US"/>
        </w:rPr>
        <w:tab/>
        <w:t xml:space="preserve">The Sheriff received instructions from the courier on 13 October 2020.  The summons was not served timeously.  Enquiries from the Sheriff’s Office revealed that due to non-payment of a previous bill, the Sheriff decided not to deliver </w:t>
      </w:r>
      <w:r w:rsidR="003824C3">
        <w:rPr>
          <w:rFonts w:ascii="Arial" w:eastAsiaTheme="minorHAnsi" w:hAnsi="Arial" w:cs="Arial"/>
          <w:lang w:val="en-ZA" w:eastAsia="en-US"/>
        </w:rPr>
        <w:t xml:space="preserve">the </w:t>
      </w:r>
      <w:r w:rsidR="009B3825" w:rsidRPr="00AA51B2">
        <w:rPr>
          <w:rFonts w:ascii="Arial" w:eastAsiaTheme="minorHAnsi" w:hAnsi="Arial" w:cs="Arial"/>
          <w:lang w:val="en-ZA" w:eastAsia="en-US"/>
        </w:rPr>
        <w:t xml:space="preserve">summons as required.  </w:t>
      </w:r>
      <w:r w:rsidR="003824C3">
        <w:rPr>
          <w:rFonts w:ascii="Arial" w:eastAsiaTheme="minorHAnsi" w:hAnsi="Arial" w:cs="Arial"/>
          <w:lang w:val="en-ZA" w:eastAsia="en-US"/>
        </w:rPr>
        <w:t>Zondi requested an account which was only furnished on 23 November 2020.</w:t>
      </w:r>
      <w:r w:rsidR="009B3825" w:rsidRPr="00AA51B2">
        <w:rPr>
          <w:rFonts w:ascii="Arial" w:eastAsiaTheme="minorHAnsi" w:hAnsi="Arial" w:cs="Arial"/>
          <w:lang w:val="en-ZA" w:eastAsia="en-US"/>
        </w:rPr>
        <w:t xml:space="preserve">  The account was settled and the summons was then served on 27 November 2020.</w:t>
      </w:r>
    </w:p>
    <w:p w14:paraId="6A95671D" w14:textId="77777777" w:rsidR="009B3825" w:rsidRPr="00AA51B2" w:rsidRDefault="009B3825" w:rsidP="000532E2">
      <w:pPr>
        <w:spacing w:line="360" w:lineRule="auto"/>
        <w:jc w:val="both"/>
        <w:outlineLvl w:val="0"/>
        <w:rPr>
          <w:rFonts w:ascii="Arial" w:eastAsiaTheme="minorHAnsi" w:hAnsi="Arial" w:cs="Arial"/>
          <w:lang w:val="en-ZA" w:eastAsia="en-US"/>
        </w:rPr>
      </w:pPr>
    </w:p>
    <w:p w14:paraId="00A1A16D" w14:textId="2BFA479B" w:rsidR="000208CD" w:rsidRPr="00AA51B2" w:rsidRDefault="00FE4D85"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[13</w:t>
      </w:r>
      <w:r w:rsidR="003824C3">
        <w:rPr>
          <w:rFonts w:ascii="Arial" w:eastAsiaTheme="minorHAnsi" w:hAnsi="Arial" w:cs="Arial"/>
          <w:lang w:val="en-ZA" w:eastAsia="en-US"/>
        </w:rPr>
        <w:t>]</w:t>
      </w:r>
      <w:r w:rsidR="003824C3">
        <w:rPr>
          <w:rFonts w:ascii="Arial" w:eastAsiaTheme="minorHAnsi" w:hAnsi="Arial" w:cs="Arial"/>
          <w:lang w:val="en-ZA" w:eastAsia="en-US"/>
        </w:rPr>
        <w:tab/>
        <w:t xml:space="preserve">On </w:t>
      </w:r>
      <w:r w:rsidR="009B3825" w:rsidRPr="00AA51B2">
        <w:rPr>
          <w:rFonts w:ascii="Arial" w:eastAsiaTheme="minorHAnsi" w:hAnsi="Arial" w:cs="Arial"/>
          <w:lang w:val="en-ZA" w:eastAsia="en-US"/>
        </w:rPr>
        <w:t xml:space="preserve">3 </w:t>
      </w:r>
      <w:r w:rsidR="003824C3">
        <w:rPr>
          <w:rFonts w:ascii="Arial" w:eastAsiaTheme="minorHAnsi" w:hAnsi="Arial" w:cs="Arial"/>
          <w:lang w:val="en-ZA" w:eastAsia="en-US"/>
        </w:rPr>
        <w:t>November 2020</w:t>
      </w:r>
      <w:r w:rsidR="008D2BA9">
        <w:rPr>
          <w:rFonts w:ascii="Arial" w:eastAsiaTheme="minorHAnsi" w:hAnsi="Arial" w:cs="Arial"/>
          <w:lang w:val="en-ZA" w:eastAsia="en-US"/>
        </w:rPr>
        <w:t>,</w:t>
      </w:r>
      <w:r w:rsidR="009B3825" w:rsidRPr="00AA51B2">
        <w:rPr>
          <w:rFonts w:ascii="Arial" w:eastAsiaTheme="minorHAnsi" w:hAnsi="Arial" w:cs="Arial"/>
          <w:lang w:val="en-ZA" w:eastAsia="en-US"/>
        </w:rPr>
        <w:t xml:space="preserve"> the Sheriff </w:t>
      </w:r>
      <w:r w:rsidR="00C26BA6">
        <w:rPr>
          <w:rFonts w:ascii="Arial" w:eastAsiaTheme="minorHAnsi" w:hAnsi="Arial" w:cs="Arial"/>
          <w:lang w:val="en-ZA" w:eastAsia="en-US"/>
        </w:rPr>
        <w:t>produced</w:t>
      </w:r>
      <w:r w:rsidR="009B3825" w:rsidRPr="00AA51B2">
        <w:rPr>
          <w:rFonts w:ascii="Arial" w:eastAsiaTheme="minorHAnsi" w:hAnsi="Arial" w:cs="Arial"/>
          <w:lang w:val="en-ZA" w:eastAsia="en-US"/>
        </w:rPr>
        <w:t xml:space="preserve"> a return of non-service on the second respondent, with the Sheriff indicating that the second respondent’s </w:t>
      </w:r>
      <w:r w:rsidR="008D2BA9">
        <w:rPr>
          <w:rFonts w:ascii="Arial" w:eastAsiaTheme="minorHAnsi" w:hAnsi="Arial" w:cs="Arial"/>
          <w:lang w:val="en-ZA" w:eastAsia="en-US"/>
        </w:rPr>
        <w:t>address</w:t>
      </w:r>
      <w:r w:rsidR="000208CD" w:rsidRPr="00AA51B2">
        <w:rPr>
          <w:rFonts w:ascii="Arial" w:eastAsiaTheme="minorHAnsi" w:hAnsi="Arial" w:cs="Arial"/>
          <w:lang w:val="en-ZA" w:eastAsia="en-US"/>
        </w:rPr>
        <w:t xml:space="preserve"> was not located.  Instructively, as pointed out, the Sheriff had managed to serve the</w:t>
      </w:r>
      <w:r w:rsidR="000947A5">
        <w:rPr>
          <w:rFonts w:ascii="Arial" w:eastAsiaTheme="minorHAnsi" w:hAnsi="Arial" w:cs="Arial"/>
          <w:lang w:val="en-ZA" w:eastAsia="en-US"/>
        </w:rPr>
        <w:t xml:space="preserve"> application for the rule </w:t>
      </w:r>
      <w:r w:rsidR="000947A5">
        <w:rPr>
          <w:rFonts w:ascii="Arial" w:eastAsiaTheme="minorHAnsi" w:hAnsi="Arial" w:cs="Arial"/>
          <w:i/>
          <w:lang w:val="en-ZA" w:eastAsia="en-US"/>
        </w:rPr>
        <w:t>nisi</w:t>
      </w:r>
      <w:r w:rsidR="000208CD" w:rsidRPr="00AA51B2">
        <w:rPr>
          <w:rFonts w:ascii="Arial" w:eastAsiaTheme="minorHAnsi" w:hAnsi="Arial" w:cs="Arial"/>
          <w:lang w:val="en-ZA" w:eastAsia="en-US"/>
        </w:rPr>
        <w:t xml:space="preserve"> on the second respondent at the same </w:t>
      </w:r>
      <w:r w:rsidR="000208CD" w:rsidRPr="00AA51B2">
        <w:rPr>
          <w:rFonts w:ascii="Arial" w:eastAsiaTheme="minorHAnsi" w:hAnsi="Arial" w:cs="Arial"/>
          <w:lang w:val="en-ZA" w:eastAsia="en-US"/>
        </w:rPr>
        <w:lastRenderedPageBreak/>
        <w:t>address.  The return of non-service was only delivered to the applicant’s attorney on</w:t>
      </w:r>
      <w:r w:rsidR="0036089B">
        <w:rPr>
          <w:rFonts w:ascii="Arial" w:eastAsiaTheme="minorHAnsi" w:hAnsi="Arial" w:cs="Arial"/>
          <w:lang w:val="en-ZA" w:eastAsia="en-US"/>
        </w:rPr>
        <w:t xml:space="preserve"> 24 November 2020.  The Sheriff</w:t>
      </w:r>
      <w:r w:rsidR="0048659D">
        <w:rPr>
          <w:rFonts w:ascii="Arial" w:eastAsiaTheme="minorHAnsi" w:hAnsi="Arial" w:cs="Arial"/>
          <w:lang w:val="en-ZA" w:eastAsia="en-US"/>
        </w:rPr>
        <w:t>,</w:t>
      </w:r>
      <w:r w:rsidR="000208CD" w:rsidRPr="00AA51B2">
        <w:rPr>
          <w:rFonts w:ascii="Arial" w:eastAsiaTheme="minorHAnsi" w:hAnsi="Arial" w:cs="Arial"/>
          <w:lang w:val="en-ZA" w:eastAsia="en-US"/>
        </w:rPr>
        <w:t xml:space="preserve"> it seems</w:t>
      </w:r>
      <w:r w:rsidR="0048659D">
        <w:rPr>
          <w:rFonts w:ascii="Arial" w:eastAsiaTheme="minorHAnsi" w:hAnsi="Arial" w:cs="Arial"/>
          <w:lang w:val="en-ZA" w:eastAsia="en-US"/>
        </w:rPr>
        <w:t>,</w:t>
      </w:r>
      <w:r w:rsidR="000208CD" w:rsidRPr="00AA51B2">
        <w:rPr>
          <w:rFonts w:ascii="Arial" w:eastAsiaTheme="minorHAnsi" w:hAnsi="Arial" w:cs="Arial"/>
          <w:lang w:val="en-ZA" w:eastAsia="en-US"/>
        </w:rPr>
        <w:t xml:space="preserve"> sat with the return of non-service from 3 November 2020 to 24 November 2020, when it was delivered to the applicant’s attorneys.</w:t>
      </w:r>
    </w:p>
    <w:p w14:paraId="53BA7690" w14:textId="77777777" w:rsidR="000208CD" w:rsidRPr="00AA51B2" w:rsidRDefault="000208CD" w:rsidP="000532E2">
      <w:pPr>
        <w:spacing w:line="360" w:lineRule="auto"/>
        <w:jc w:val="both"/>
        <w:outlineLvl w:val="0"/>
        <w:rPr>
          <w:rFonts w:ascii="Arial" w:eastAsiaTheme="minorHAnsi" w:hAnsi="Arial" w:cs="Arial"/>
          <w:lang w:val="en-ZA" w:eastAsia="en-US"/>
        </w:rPr>
      </w:pPr>
    </w:p>
    <w:p w14:paraId="33635359" w14:textId="75F1904C" w:rsidR="006256C4" w:rsidRPr="00AA51B2" w:rsidRDefault="00FE4D85" w:rsidP="0035564B">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[14</w:t>
      </w:r>
      <w:r w:rsidR="000208CD" w:rsidRPr="00AA51B2">
        <w:rPr>
          <w:rFonts w:ascii="Arial" w:eastAsiaTheme="minorHAnsi" w:hAnsi="Arial" w:cs="Arial"/>
          <w:lang w:val="en-ZA" w:eastAsia="en-US"/>
        </w:rPr>
        <w:t>]</w:t>
      </w:r>
      <w:r w:rsidR="000208CD" w:rsidRPr="00AA51B2">
        <w:rPr>
          <w:rFonts w:ascii="Arial" w:eastAsiaTheme="minorHAnsi" w:hAnsi="Arial" w:cs="Arial"/>
          <w:lang w:val="en-ZA" w:eastAsia="en-US"/>
        </w:rPr>
        <w:tab/>
        <w:t>The applicant therefore contends that there was no delibe</w:t>
      </w:r>
      <w:r w:rsidR="00781BC7">
        <w:rPr>
          <w:rFonts w:ascii="Arial" w:eastAsiaTheme="minorHAnsi" w:hAnsi="Arial" w:cs="Arial"/>
          <w:lang w:val="en-ZA" w:eastAsia="en-US"/>
        </w:rPr>
        <w:t>rate disregard of the Tribunal r</w:t>
      </w:r>
      <w:r w:rsidR="000208CD" w:rsidRPr="00AA51B2">
        <w:rPr>
          <w:rFonts w:ascii="Arial" w:eastAsiaTheme="minorHAnsi" w:hAnsi="Arial" w:cs="Arial"/>
          <w:lang w:val="en-ZA" w:eastAsia="en-US"/>
        </w:rPr>
        <w:t>ules by the applicant or its attorneys and that the second respondent did not suffer any prejudice as a result of the non-compliance, whereas the applicant will be prejudiced if the</w:t>
      </w:r>
      <w:r w:rsidR="00E53B70" w:rsidRPr="00AA51B2">
        <w:rPr>
          <w:rFonts w:ascii="Arial" w:eastAsiaTheme="minorHAnsi" w:hAnsi="Arial" w:cs="Arial"/>
          <w:lang w:val="en-ZA" w:eastAsia="en-US"/>
        </w:rPr>
        <w:t xml:space="preserve"> second respondent were</w:t>
      </w:r>
      <w:r w:rsidR="006256C4" w:rsidRPr="00AA51B2">
        <w:rPr>
          <w:rFonts w:ascii="Arial" w:eastAsiaTheme="minorHAnsi" w:hAnsi="Arial" w:cs="Arial"/>
          <w:lang w:val="en-ZA" w:eastAsia="en-US"/>
        </w:rPr>
        <w:t xml:space="preserve"> to dispose of the pension fund benefi</w:t>
      </w:r>
      <w:r w:rsidR="008A5113">
        <w:rPr>
          <w:rFonts w:ascii="Arial" w:eastAsiaTheme="minorHAnsi" w:hAnsi="Arial" w:cs="Arial"/>
          <w:lang w:val="en-ZA" w:eastAsia="en-US"/>
        </w:rPr>
        <w:t>ts held by the first respondent, pending the finalisation of the action instituted.</w:t>
      </w:r>
      <w:r w:rsidR="006256C4" w:rsidRPr="00AA51B2">
        <w:rPr>
          <w:rFonts w:ascii="Arial" w:eastAsiaTheme="minorHAnsi" w:hAnsi="Arial" w:cs="Arial"/>
          <w:lang w:val="en-ZA" w:eastAsia="en-US"/>
        </w:rPr>
        <w:t xml:space="preserve">  </w:t>
      </w:r>
    </w:p>
    <w:p w14:paraId="048144E4" w14:textId="5FAE2F56" w:rsidR="006256C4" w:rsidRDefault="006256C4" w:rsidP="0035564B">
      <w:pPr>
        <w:tabs>
          <w:tab w:val="left" w:pos="567"/>
        </w:tabs>
        <w:spacing w:line="360" w:lineRule="auto"/>
        <w:jc w:val="both"/>
        <w:outlineLvl w:val="0"/>
        <w:rPr>
          <w:rFonts w:ascii="Arial" w:eastAsiaTheme="minorHAnsi" w:hAnsi="Arial" w:cs="Arial"/>
          <w:lang w:val="en-ZA" w:eastAsia="en-US"/>
        </w:rPr>
      </w:pPr>
    </w:p>
    <w:p w14:paraId="385AD687" w14:textId="2473DB7F" w:rsidR="00C26BA6" w:rsidRDefault="00C26BA6" w:rsidP="0035564B">
      <w:pPr>
        <w:tabs>
          <w:tab w:val="left" w:pos="567"/>
        </w:tabs>
        <w:spacing w:line="360" w:lineRule="auto"/>
        <w:jc w:val="both"/>
        <w:outlineLvl w:val="0"/>
        <w:rPr>
          <w:rFonts w:ascii="Arial" w:eastAsiaTheme="minorHAnsi" w:hAnsi="Arial" w:cs="Arial"/>
          <w:b/>
          <w:u w:val="single"/>
          <w:lang w:val="en-ZA" w:eastAsia="en-US"/>
        </w:rPr>
      </w:pPr>
      <w:r>
        <w:rPr>
          <w:rFonts w:ascii="Arial" w:eastAsiaTheme="minorHAnsi" w:hAnsi="Arial" w:cs="Arial"/>
          <w:b/>
          <w:u w:val="single"/>
          <w:lang w:val="en-ZA" w:eastAsia="en-US"/>
        </w:rPr>
        <w:t>Second Respondent</w:t>
      </w:r>
      <w:r w:rsidR="00073C76">
        <w:rPr>
          <w:rFonts w:ascii="Arial" w:eastAsiaTheme="minorHAnsi" w:hAnsi="Arial" w:cs="Arial"/>
          <w:b/>
          <w:u w:val="single"/>
          <w:lang w:val="en-ZA" w:eastAsia="en-US"/>
        </w:rPr>
        <w:t>’s</w:t>
      </w:r>
      <w:r>
        <w:rPr>
          <w:rFonts w:ascii="Arial" w:eastAsiaTheme="minorHAnsi" w:hAnsi="Arial" w:cs="Arial"/>
          <w:b/>
          <w:u w:val="single"/>
          <w:lang w:val="en-ZA" w:eastAsia="en-US"/>
        </w:rPr>
        <w:t xml:space="preserve"> Case</w:t>
      </w:r>
    </w:p>
    <w:p w14:paraId="240E4C78" w14:textId="77777777" w:rsidR="00C26BA6" w:rsidRPr="00C26BA6" w:rsidRDefault="00C26BA6" w:rsidP="0035564B">
      <w:pPr>
        <w:tabs>
          <w:tab w:val="left" w:pos="567"/>
        </w:tabs>
        <w:spacing w:line="360" w:lineRule="auto"/>
        <w:jc w:val="both"/>
        <w:outlineLvl w:val="0"/>
        <w:rPr>
          <w:rFonts w:ascii="Arial" w:eastAsiaTheme="minorHAnsi" w:hAnsi="Arial" w:cs="Arial"/>
          <w:b/>
          <w:u w:val="single"/>
          <w:lang w:val="en-ZA" w:eastAsia="en-US"/>
        </w:rPr>
      </w:pPr>
    </w:p>
    <w:p w14:paraId="6E3CA436" w14:textId="6DB2D474" w:rsidR="00C24C7B" w:rsidRPr="00AA51B2" w:rsidRDefault="00FE4D85" w:rsidP="0035564B">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[15</w:t>
      </w:r>
      <w:r w:rsidR="006256C4" w:rsidRPr="00AA51B2">
        <w:rPr>
          <w:rFonts w:ascii="Arial" w:eastAsiaTheme="minorHAnsi" w:hAnsi="Arial" w:cs="Arial"/>
          <w:lang w:val="en-ZA" w:eastAsia="en-US"/>
        </w:rPr>
        <w:t>]</w:t>
      </w:r>
      <w:r w:rsidR="006256C4" w:rsidRPr="00AA51B2">
        <w:rPr>
          <w:rFonts w:ascii="Arial" w:eastAsiaTheme="minorHAnsi" w:hAnsi="Arial" w:cs="Arial"/>
          <w:lang w:val="en-ZA" w:eastAsia="en-US"/>
        </w:rPr>
        <w:tab/>
        <w:t xml:space="preserve">The second respondent contends that the revival of </w:t>
      </w:r>
      <w:r w:rsidR="00A15EF6" w:rsidRPr="00AA51B2">
        <w:rPr>
          <w:rFonts w:ascii="Arial" w:eastAsiaTheme="minorHAnsi" w:hAnsi="Arial" w:cs="Arial"/>
          <w:lang w:val="en-ZA" w:eastAsia="en-US"/>
        </w:rPr>
        <w:t xml:space="preserve">the </w:t>
      </w:r>
      <w:r w:rsidR="00E53B70" w:rsidRPr="00AA51B2">
        <w:rPr>
          <w:rFonts w:ascii="Arial" w:eastAsiaTheme="minorHAnsi" w:hAnsi="Arial" w:cs="Arial"/>
          <w:lang w:val="en-ZA" w:eastAsia="en-US"/>
        </w:rPr>
        <w:t>rule</w:t>
      </w:r>
      <w:r w:rsidR="006256C4" w:rsidRPr="00AA51B2">
        <w:rPr>
          <w:rFonts w:ascii="Arial" w:eastAsiaTheme="minorHAnsi" w:hAnsi="Arial" w:cs="Arial"/>
          <w:lang w:val="en-ZA" w:eastAsia="en-US"/>
        </w:rPr>
        <w:t xml:space="preserve"> claimed by the applicant is not merely a procedural matter, as the revival relief, if granted</w:t>
      </w:r>
      <w:r w:rsidR="0035564B">
        <w:rPr>
          <w:rFonts w:ascii="Arial" w:eastAsiaTheme="minorHAnsi" w:hAnsi="Arial" w:cs="Arial"/>
          <w:lang w:val="en-ZA" w:eastAsia="en-US"/>
        </w:rPr>
        <w:t>,</w:t>
      </w:r>
      <w:r w:rsidR="006256C4" w:rsidRPr="00AA51B2">
        <w:rPr>
          <w:rFonts w:ascii="Arial" w:eastAsiaTheme="minorHAnsi" w:hAnsi="Arial" w:cs="Arial"/>
          <w:lang w:val="en-ZA" w:eastAsia="en-US"/>
        </w:rPr>
        <w:t xml:space="preserve"> would result in an order precluding him from accessing his pension fund benefits held by the first respondent.  He submits that the reliance by the applicant on </w:t>
      </w:r>
      <w:r w:rsidR="0035564B">
        <w:rPr>
          <w:rFonts w:ascii="Arial" w:eastAsiaTheme="minorHAnsi" w:hAnsi="Arial" w:cs="Arial"/>
          <w:lang w:val="en-ZA" w:eastAsia="en-US"/>
        </w:rPr>
        <w:t>Rule</w:t>
      </w:r>
      <w:r w:rsidR="0035564B" w:rsidRPr="00AA51B2">
        <w:rPr>
          <w:rFonts w:ascii="Arial" w:eastAsiaTheme="minorHAnsi" w:hAnsi="Arial" w:cs="Arial"/>
          <w:lang w:val="en-ZA" w:eastAsia="en-US"/>
        </w:rPr>
        <w:t xml:space="preserve"> </w:t>
      </w:r>
      <w:r w:rsidR="006256C4" w:rsidRPr="00AA51B2">
        <w:rPr>
          <w:rFonts w:ascii="Arial" w:eastAsiaTheme="minorHAnsi" w:hAnsi="Arial" w:cs="Arial"/>
          <w:lang w:val="en-ZA" w:eastAsia="en-US"/>
        </w:rPr>
        <w:t xml:space="preserve">28(1) of the Tribunal </w:t>
      </w:r>
      <w:r w:rsidR="00781BC7">
        <w:rPr>
          <w:rFonts w:ascii="Arial" w:eastAsiaTheme="minorHAnsi" w:hAnsi="Arial" w:cs="Arial"/>
          <w:lang w:val="en-ZA" w:eastAsia="en-US"/>
        </w:rPr>
        <w:t>r</w:t>
      </w:r>
      <w:r w:rsidR="00C24C7B" w:rsidRPr="00AA51B2">
        <w:rPr>
          <w:rFonts w:ascii="Arial" w:eastAsiaTheme="minorHAnsi" w:hAnsi="Arial" w:cs="Arial"/>
          <w:lang w:val="en-ZA" w:eastAsia="en-US"/>
        </w:rPr>
        <w:t xml:space="preserve">ules is inappropriate in that the aforesaid rule provides for those instances where a procedural situation arises and in respect of which the </w:t>
      </w:r>
      <w:r w:rsidR="00781BC7">
        <w:rPr>
          <w:rFonts w:ascii="Arial" w:eastAsiaTheme="minorHAnsi" w:hAnsi="Arial" w:cs="Arial"/>
          <w:lang w:val="en-ZA" w:eastAsia="en-US"/>
        </w:rPr>
        <w:t>Tribunal r</w:t>
      </w:r>
      <w:r w:rsidR="000E3419">
        <w:rPr>
          <w:rFonts w:ascii="Arial" w:eastAsiaTheme="minorHAnsi" w:hAnsi="Arial" w:cs="Arial"/>
          <w:lang w:val="en-ZA" w:eastAsia="en-US"/>
        </w:rPr>
        <w:t>ules</w:t>
      </w:r>
      <w:r w:rsidR="00C24C7B" w:rsidRPr="00AA51B2">
        <w:rPr>
          <w:rFonts w:ascii="Arial" w:eastAsiaTheme="minorHAnsi" w:hAnsi="Arial" w:cs="Arial"/>
          <w:lang w:val="en-ZA" w:eastAsia="en-US"/>
        </w:rPr>
        <w:t xml:space="preserve"> do not provide </w:t>
      </w:r>
      <w:r w:rsidR="003824C3">
        <w:rPr>
          <w:rFonts w:ascii="Arial" w:eastAsiaTheme="minorHAnsi" w:hAnsi="Arial" w:cs="Arial"/>
          <w:lang w:val="en-ZA" w:eastAsia="en-US"/>
        </w:rPr>
        <w:t xml:space="preserve">for </w:t>
      </w:r>
      <w:r w:rsidR="00C24C7B" w:rsidRPr="00AA51B2">
        <w:rPr>
          <w:rFonts w:ascii="Arial" w:eastAsiaTheme="minorHAnsi" w:hAnsi="Arial" w:cs="Arial"/>
          <w:lang w:val="en-ZA" w:eastAsia="en-US"/>
        </w:rPr>
        <w:t xml:space="preserve">the manner in which to deal with such a situation.  </w:t>
      </w:r>
    </w:p>
    <w:p w14:paraId="27748D1A" w14:textId="77777777" w:rsidR="00C24C7B" w:rsidRPr="00AA51B2" w:rsidRDefault="00C24C7B" w:rsidP="000532E2">
      <w:pPr>
        <w:spacing w:line="360" w:lineRule="auto"/>
        <w:jc w:val="both"/>
        <w:outlineLvl w:val="0"/>
        <w:rPr>
          <w:rFonts w:ascii="Arial" w:eastAsiaTheme="minorHAnsi" w:hAnsi="Arial" w:cs="Arial"/>
          <w:lang w:val="en-ZA" w:eastAsia="en-US"/>
        </w:rPr>
      </w:pPr>
    </w:p>
    <w:p w14:paraId="5DD49D75" w14:textId="751A99FD" w:rsidR="008F11FE" w:rsidRPr="00AA51B2" w:rsidRDefault="00FE4D85" w:rsidP="00C26BA6">
      <w:pPr>
        <w:tabs>
          <w:tab w:val="left" w:pos="567"/>
        </w:tabs>
        <w:spacing w:line="360" w:lineRule="auto"/>
        <w:jc w:val="both"/>
        <w:outlineLvl w:val="0"/>
        <w:rPr>
          <w:rFonts w:ascii="Arial" w:eastAsiaTheme="minorHAnsi" w:hAnsi="Arial" w:cs="Arial"/>
          <w:sz w:val="22"/>
          <w:szCs w:val="22"/>
          <w:lang w:val="en-ZA" w:eastAsia="en-US"/>
        </w:rPr>
      </w:pPr>
      <w:r>
        <w:rPr>
          <w:rFonts w:ascii="Arial" w:eastAsiaTheme="minorHAnsi" w:hAnsi="Arial" w:cs="Arial"/>
          <w:lang w:val="en-ZA" w:eastAsia="en-US"/>
        </w:rPr>
        <w:t>[16</w:t>
      </w:r>
      <w:r w:rsidR="00C24C7B" w:rsidRPr="00AA51B2">
        <w:rPr>
          <w:rFonts w:ascii="Arial" w:eastAsiaTheme="minorHAnsi" w:hAnsi="Arial" w:cs="Arial"/>
          <w:lang w:val="en-ZA" w:eastAsia="en-US"/>
        </w:rPr>
        <w:t>]</w:t>
      </w:r>
      <w:r w:rsidR="00C24C7B" w:rsidRPr="00AA51B2">
        <w:rPr>
          <w:rFonts w:ascii="Arial" w:eastAsiaTheme="minorHAnsi" w:hAnsi="Arial" w:cs="Arial"/>
          <w:lang w:val="en-ZA" w:eastAsia="en-US"/>
        </w:rPr>
        <w:tab/>
        <w:t xml:space="preserve">A further submission </w:t>
      </w:r>
      <w:r w:rsidR="006645C4">
        <w:rPr>
          <w:rFonts w:ascii="Arial" w:eastAsiaTheme="minorHAnsi" w:hAnsi="Arial" w:cs="Arial"/>
          <w:lang w:val="en-ZA" w:eastAsia="en-US"/>
        </w:rPr>
        <w:t>is that Rule 27 of the Uniform r</w:t>
      </w:r>
      <w:r w:rsidR="00C24C7B" w:rsidRPr="00AA51B2">
        <w:rPr>
          <w:rFonts w:ascii="Arial" w:eastAsiaTheme="minorHAnsi" w:hAnsi="Arial" w:cs="Arial"/>
          <w:lang w:val="en-ZA" w:eastAsia="en-US"/>
        </w:rPr>
        <w:t>ules does not provide</w:t>
      </w:r>
      <w:r w:rsidR="00A15EF6" w:rsidRPr="00AA51B2">
        <w:rPr>
          <w:rFonts w:ascii="Arial" w:eastAsiaTheme="minorHAnsi" w:hAnsi="Arial" w:cs="Arial"/>
          <w:lang w:val="en-ZA" w:eastAsia="en-US"/>
        </w:rPr>
        <w:t xml:space="preserve"> for the ge</w:t>
      </w:r>
      <w:r w:rsidR="008A5113">
        <w:rPr>
          <w:rFonts w:ascii="Arial" w:eastAsiaTheme="minorHAnsi" w:hAnsi="Arial" w:cs="Arial"/>
          <w:lang w:val="en-ZA" w:eastAsia="en-US"/>
        </w:rPr>
        <w:t xml:space="preserve">neral revival of a rule </w:t>
      </w:r>
      <w:r w:rsidR="008A5113" w:rsidRPr="006645C4">
        <w:rPr>
          <w:rFonts w:ascii="Arial" w:eastAsiaTheme="minorHAnsi" w:hAnsi="Arial" w:cs="Arial"/>
          <w:i/>
          <w:lang w:val="en-ZA" w:eastAsia="en-US"/>
        </w:rPr>
        <w:t>nisi</w:t>
      </w:r>
      <w:r w:rsidR="003824C3">
        <w:rPr>
          <w:rFonts w:ascii="Arial" w:eastAsiaTheme="minorHAnsi" w:hAnsi="Arial" w:cs="Arial"/>
          <w:lang w:val="en-ZA" w:eastAsia="en-US"/>
        </w:rPr>
        <w:t>.  In</w:t>
      </w:r>
      <w:r w:rsidR="008A5113">
        <w:rPr>
          <w:rFonts w:ascii="Arial" w:eastAsiaTheme="minorHAnsi" w:hAnsi="Arial" w:cs="Arial"/>
          <w:lang w:val="en-ZA" w:eastAsia="en-US"/>
        </w:rPr>
        <w:t xml:space="preserve"> support thereof, counsel for the second respondent</w:t>
      </w:r>
      <w:r w:rsidR="00C24C7B" w:rsidRPr="00AA51B2">
        <w:rPr>
          <w:rFonts w:ascii="Arial" w:eastAsiaTheme="minorHAnsi" w:hAnsi="Arial" w:cs="Arial"/>
          <w:lang w:val="en-ZA" w:eastAsia="en-US"/>
        </w:rPr>
        <w:t xml:space="preserve"> refers to the wordi</w:t>
      </w:r>
      <w:r w:rsidR="006645C4">
        <w:rPr>
          <w:rFonts w:ascii="Arial" w:eastAsiaTheme="minorHAnsi" w:hAnsi="Arial" w:cs="Arial"/>
          <w:lang w:val="en-ZA" w:eastAsia="en-US"/>
        </w:rPr>
        <w:t xml:space="preserve">ng of the aforesaid </w:t>
      </w:r>
      <w:r w:rsidR="00C26BA6">
        <w:rPr>
          <w:rFonts w:ascii="Arial" w:eastAsiaTheme="minorHAnsi" w:hAnsi="Arial" w:cs="Arial"/>
          <w:lang w:val="en-ZA" w:eastAsia="en-US"/>
        </w:rPr>
        <w:t>as cited above.</w:t>
      </w:r>
      <w:r w:rsidR="00C26BA6" w:rsidRPr="00AA51B2">
        <w:rPr>
          <w:rFonts w:ascii="Arial" w:eastAsiaTheme="minorHAnsi" w:hAnsi="Arial" w:cs="Arial"/>
          <w:sz w:val="22"/>
          <w:szCs w:val="22"/>
          <w:lang w:val="en-ZA" w:eastAsia="en-US"/>
        </w:rPr>
        <w:t xml:space="preserve"> </w:t>
      </w:r>
    </w:p>
    <w:p w14:paraId="40A9760F" w14:textId="77777777" w:rsidR="008F11FE" w:rsidRDefault="008F11FE" w:rsidP="000532E2">
      <w:pPr>
        <w:spacing w:line="360" w:lineRule="auto"/>
        <w:jc w:val="both"/>
        <w:outlineLvl w:val="0"/>
        <w:rPr>
          <w:rFonts w:ascii="Arial" w:eastAsiaTheme="minorHAnsi" w:hAnsi="Arial" w:cs="Arial"/>
          <w:sz w:val="22"/>
          <w:szCs w:val="22"/>
          <w:lang w:val="en-ZA" w:eastAsia="en-US"/>
        </w:rPr>
      </w:pPr>
    </w:p>
    <w:p w14:paraId="4022EE26" w14:textId="1C968B40" w:rsidR="008F11FE" w:rsidRPr="00AA51B2" w:rsidRDefault="00FE4D85"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[17</w:t>
      </w:r>
      <w:r w:rsidR="008F11FE" w:rsidRPr="00AA51B2">
        <w:rPr>
          <w:rFonts w:ascii="Arial" w:eastAsiaTheme="minorHAnsi" w:hAnsi="Arial" w:cs="Arial"/>
          <w:lang w:val="en-ZA" w:eastAsia="en-US"/>
        </w:rPr>
        <w:t>]</w:t>
      </w:r>
      <w:r w:rsidR="008F11FE" w:rsidRPr="00AA51B2">
        <w:rPr>
          <w:rFonts w:ascii="Arial" w:eastAsiaTheme="minorHAnsi" w:hAnsi="Arial" w:cs="Arial"/>
          <w:lang w:val="en-ZA" w:eastAsia="en-US"/>
        </w:rPr>
        <w:tab/>
        <w:t xml:space="preserve">It is pointed out that in these proceedings the rule </w:t>
      </w:r>
      <w:r w:rsidR="008F11FE" w:rsidRPr="00B27471">
        <w:rPr>
          <w:rFonts w:ascii="Arial" w:eastAsiaTheme="minorHAnsi" w:hAnsi="Arial" w:cs="Arial"/>
          <w:i/>
          <w:lang w:val="en-ZA" w:eastAsia="en-US"/>
        </w:rPr>
        <w:t>nisi</w:t>
      </w:r>
      <w:r w:rsidR="008F11FE" w:rsidRPr="00AA51B2">
        <w:rPr>
          <w:rFonts w:ascii="Arial" w:eastAsiaTheme="minorHAnsi" w:hAnsi="Arial" w:cs="Arial"/>
          <w:lang w:val="en-ZA" w:eastAsia="en-US"/>
        </w:rPr>
        <w:t xml:space="preserve"> was not discharged by default of appearance </w:t>
      </w:r>
      <w:r w:rsidR="00C57E4B">
        <w:rPr>
          <w:rFonts w:ascii="Arial" w:eastAsiaTheme="minorHAnsi" w:hAnsi="Arial" w:cs="Arial"/>
          <w:lang w:val="en-ZA" w:eastAsia="en-US"/>
        </w:rPr>
        <w:t>by</w:t>
      </w:r>
      <w:r w:rsidR="00C57E4B" w:rsidRPr="00AA51B2">
        <w:rPr>
          <w:rFonts w:ascii="Arial" w:eastAsiaTheme="minorHAnsi" w:hAnsi="Arial" w:cs="Arial"/>
          <w:lang w:val="en-ZA" w:eastAsia="en-US"/>
        </w:rPr>
        <w:t xml:space="preserve"> </w:t>
      </w:r>
      <w:r w:rsidR="008F11FE" w:rsidRPr="00AA51B2">
        <w:rPr>
          <w:rFonts w:ascii="Arial" w:eastAsiaTheme="minorHAnsi" w:hAnsi="Arial" w:cs="Arial"/>
          <w:lang w:val="en-ZA" w:eastAsia="en-US"/>
        </w:rPr>
        <w:t>the applicant a</w:t>
      </w:r>
      <w:r w:rsidR="00B538C0">
        <w:rPr>
          <w:rFonts w:ascii="Arial" w:eastAsiaTheme="minorHAnsi" w:hAnsi="Arial" w:cs="Arial"/>
          <w:lang w:val="en-ZA" w:eastAsia="en-US"/>
        </w:rPr>
        <w:t>s the applicant was present in c</w:t>
      </w:r>
      <w:r w:rsidR="008F11FE" w:rsidRPr="00AA51B2">
        <w:rPr>
          <w:rFonts w:ascii="Arial" w:eastAsiaTheme="minorHAnsi" w:hAnsi="Arial" w:cs="Arial"/>
          <w:lang w:val="en-ZA" w:eastAsia="en-US"/>
        </w:rPr>
        <w:t xml:space="preserve">ourt when the rule </w:t>
      </w:r>
      <w:r w:rsidR="008F11FE" w:rsidRPr="00B538C0">
        <w:rPr>
          <w:rFonts w:ascii="Arial" w:eastAsiaTheme="minorHAnsi" w:hAnsi="Arial" w:cs="Arial"/>
          <w:i/>
          <w:lang w:val="en-ZA" w:eastAsia="en-US"/>
        </w:rPr>
        <w:t>nisi</w:t>
      </w:r>
      <w:r w:rsidR="008F11FE" w:rsidRPr="00AA51B2">
        <w:rPr>
          <w:rFonts w:ascii="Arial" w:eastAsiaTheme="minorHAnsi" w:hAnsi="Arial" w:cs="Arial"/>
          <w:lang w:val="en-ZA" w:eastAsia="en-US"/>
        </w:rPr>
        <w:t xml:space="preserve"> was</w:t>
      </w:r>
      <w:r w:rsidR="003824C3">
        <w:rPr>
          <w:rFonts w:ascii="Arial" w:eastAsiaTheme="minorHAnsi" w:hAnsi="Arial" w:cs="Arial"/>
          <w:lang w:val="en-ZA" w:eastAsia="en-US"/>
        </w:rPr>
        <w:t xml:space="preserve"> declared lapsed by Modiba J.  I</w:t>
      </w:r>
      <w:r w:rsidR="008F11FE" w:rsidRPr="00AA51B2">
        <w:rPr>
          <w:rFonts w:ascii="Arial" w:eastAsiaTheme="minorHAnsi" w:hAnsi="Arial" w:cs="Arial"/>
          <w:lang w:val="en-ZA" w:eastAsia="en-US"/>
        </w:rPr>
        <w:t>n this case</w:t>
      </w:r>
      <w:r w:rsidR="00B538C0">
        <w:rPr>
          <w:rFonts w:ascii="Arial" w:eastAsiaTheme="minorHAnsi" w:hAnsi="Arial" w:cs="Arial"/>
          <w:lang w:val="en-ZA" w:eastAsia="en-US"/>
        </w:rPr>
        <w:t>,</w:t>
      </w:r>
      <w:r w:rsidR="008F11FE" w:rsidRPr="00AA51B2">
        <w:rPr>
          <w:rFonts w:ascii="Arial" w:eastAsiaTheme="minorHAnsi" w:hAnsi="Arial" w:cs="Arial"/>
          <w:lang w:val="en-ZA" w:eastAsia="en-US"/>
        </w:rPr>
        <w:t xml:space="preserve"> the </w:t>
      </w:r>
      <w:r w:rsidR="00C26BA6">
        <w:rPr>
          <w:rFonts w:ascii="Arial" w:eastAsiaTheme="minorHAnsi" w:hAnsi="Arial" w:cs="Arial"/>
          <w:lang w:val="en-ZA" w:eastAsia="en-US"/>
        </w:rPr>
        <w:t xml:space="preserve">second </w:t>
      </w:r>
      <w:r w:rsidR="008F11FE" w:rsidRPr="00AA51B2">
        <w:rPr>
          <w:rFonts w:ascii="Arial" w:eastAsiaTheme="minorHAnsi" w:hAnsi="Arial" w:cs="Arial"/>
          <w:lang w:val="en-ZA" w:eastAsia="en-US"/>
        </w:rPr>
        <w:t xml:space="preserve">respondent filed </w:t>
      </w:r>
      <w:r w:rsidR="00806DCD" w:rsidRPr="00AA51B2">
        <w:rPr>
          <w:rFonts w:ascii="Arial" w:eastAsiaTheme="minorHAnsi" w:hAnsi="Arial" w:cs="Arial"/>
          <w:lang w:val="en-ZA" w:eastAsia="en-US"/>
        </w:rPr>
        <w:t>an</w:t>
      </w:r>
      <w:r w:rsidR="008F11FE" w:rsidRPr="00AA51B2">
        <w:rPr>
          <w:rFonts w:ascii="Arial" w:eastAsiaTheme="minorHAnsi" w:hAnsi="Arial" w:cs="Arial"/>
          <w:lang w:val="en-ZA" w:eastAsia="en-US"/>
        </w:rPr>
        <w:t xml:space="preserve"> affidavit showing cause why the rule </w:t>
      </w:r>
      <w:r w:rsidR="008F11FE" w:rsidRPr="00B538C0">
        <w:rPr>
          <w:rFonts w:ascii="Arial" w:eastAsiaTheme="minorHAnsi" w:hAnsi="Arial" w:cs="Arial"/>
          <w:i/>
          <w:lang w:val="en-ZA" w:eastAsia="en-US"/>
        </w:rPr>
        <w:t>nisi</w:t>
      </w:r>
      <w:r w:rsidR="008F11FE" w:rsidRPr="00AA51B2">
        <w:rPr>
          <w:rFonts w:ascii="Arial" w:eastAsiaTheme="minorHAnsi" w:hAnsi="Arial" w:cs="Arial"/>
          <w:lang w:val="en-ZA" w:eastAsia="en-US"/>
        </w:rPr>
        <w:t xml:space="preserve"> should not be made final, therefore it would now be absurd, according </w:t>
      </w:r>
      <w:r w:rsidR="00A15EF6" w:rsidRPr="00AA51B2">
        <w:rPr>
          <w:rFonts w:ascii="Arial" w:eastAsiaTheme="minorHAnsi" w:hAnsi="Arial" w:cs="Arial"/>
          <w:lang w:val="en-ZA" w:eastAsia="en-US"/>
        </w:rPr>
        <w:t xml:space="preserve">to </w:t>
      </w:r>
      <w:r w:rsidR="008F11FE" w:rsidRPr="00AA51B2">
        <w:rPr>
          <w:rFonts w:ascii="Arial" w:eastAsiaTheme="minorHAnsi" w:hAnsi="Arial" w:cs="Arial"/>
          <w:lang w:val="en-ZA" w:eastAsia="en-US"/>
        </w:rPr>
        <w:t>the second respondent</w:t>
      </w:r>
      <w:r w:rsidR="00B538C0">
        <w:rPr>
          <w:rFonts w:ascii="Arial" w:eastAsiaTheme="minorHAnsi" w:hAnsi="Arial" w:cs="Arial"/>
          <w:lang w:val="en-ZA" w:eastAsia="en-US"/>
        </w:rPr>
        <w:t>,</w:t>
      </w:r>
      <w:r w:rsidR="008F11FE" w:rsidRPr="00AA51B2">
        <w:rPr>
          <w:rFonts w:ascii="Arial" w:eastAsiaTheme="minorHAnsi" w:hAnsi="Arial" w:cs="Arial"/>
          <w:lang w:val="en-ZA" w:eastAsia="en-US"/>
        </w:rPr>
        <w:t xml:space="preserve"> to revive a rule </w:t>
      </w:r>
      <w:r w:rsidR="008F11FE" w:rsidRPr="00B538C0">
        <w:rPr>
          <w:rFonts w:ascii="Arial" w:eastAsiaTheme="minorHAnsi" w:hAnsi="Arial" w:cs="Arial"/>
          <w:i/>
          <w:lang w:val="en-ZA" w:eastAsia="en-US"/>
        </w:rPr>
        <w:t>nisi</w:t>
      </w:r>
      <w:r w:rsidR="008F11FE" w:rsidRPr="00AA51B2">
        <w:rPr>
          <w:rFonts w:ascii="Arial" w:eastAsiaTheme="minorHAnsi" w:hAnsi="Arial" w:cs="Arial"/>
          <w:lang w:val="en-ZA" w:eastAsia="en-US"/>
        </w:rPr>
        <w:t xml:space="preserve"> that calls upon him to show cause why the order </w:t>
      </w:r>
      <w:r w:rsidR="008F11FE" w:rsidRPr="00AA51B2">
        <w:rPr>
          <w:rFonts w:ascii="Arial" w:eastAsiaTheme="minorHAnsi" w:hAnsi="Arial" w:cs="Arial"/>
          <w:lang w:val="en-ZA" w:eastAsia="en-US"/>
        </w:rPr>
        <w:lastRenderedPageBreak/>
        <w:t>sought should not be made final.  The doctrine of effectiveness militates against the grant of the revival relief.</w:t>
      </w:r>
    </w:p>
    <w:p w14:paraId="1716F356" w14:textId="77777777" w:rsidR="008F11FE" w:rsidRPr="00AA51B2" w:rsidRDefault="008F11FE" w:rsidP="000532E2">
      <w:pPr>
        <w:spacing w:line="360" w:lineRule="auto"/>
        <w:jc w:val="both"/>
        <w:outlineLvl w:val="0"/>
        <w:rPr>
          <w:rFonts w:ascii="Arial" w:eastAsiaTheme="minorHAnsi" w:hAnsi="Arial" w:cs="Arial"/>
          <w:lang w:val="en-ZA" w:eastAsia="en-US"/>
        </w:rPr>
      </w:pPr>
    </w:p>
    <w:p w14:paraId="6681E150" w14:textId="0415FFFF" w:rsidR="00E566A7" w:rsidRPr="00AA51B2" w:rsidRDefault="00FE4D85"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[18</w:t>
      </w:r>
      <w:r w:rsidR="008F11FE" w:rsidRPr="00AA51B2">
        <w:rPr>
          <w:rFonts w:ascii="Arial" w:eastAsiaTheme="minorHAnsi" w:hAnsi="Arial" w:cs="Arial"/>
          <w:lang w:val="en-ZA" w:eastAsia="en-US"/>
        </w:rPr>
        <w:t>]</w:t>
      </w:r>
      <w:r w:rsidR="008F11FE" w:rsidRPr="00AA51B2">
        <w:rPr>
          <w:rFonts w:ascii="Arial" w:eastAsiaTheme="minorHAnsi" w:hAnsi="Arial" w:cs="Arial"/>
          <w:lang w:val="en-ZA" w:eastAsia="en-US"/>
        </w:rPr>
        <w:tab/>
        <w:t xml:space="preserve">The second respondent submits further that the explanation furnished by the applicant for its failure to comply with the court order timeously, is </w:t>
      </w:r>
      <w:r w:rsidR="00883AA3">
        <w:rPr>
          <w:rFonts w:ascii="Arial" w:eastAsiaTheme="minorHAnsi" w:hAnsi="Arial" w:cs="Arial"/>
          <w:lang w:val="en-ZA" w:eastAsia="en-US"/>
        </w:rPr>
        <w:t>‘</w:t>
      </w:r>
      <w:r w:rsidR="008F11FE" w:rsidRPr="00AA51B2">
        <w:rPr>
          <w:rFonts w:ascii="Arial" w:eastAsiaTheme="minorHAnsi" w:hAnsi="Arial" w:cs="Arial"/>
          <w:lang w:val="en-ZA" w:eastAsia="en-US"/>
        </w:rPr>
        <w:t>hopeless</w:t>
      </w:r>
      <w:r w:rsidR="00883AA3">
        <w:rPr>
          <w:rFonts w:ascii="Arial" w:eastAsiaTheme="minorHAnsi" w:hAnsi="Arial" w:cs="Arial"/>
          <w:lang w:val="en-ZA" w:eastAsia="en-US"/>
        </w:rPr>
        <w:t>’</w:t>
      </w:r>
      <w:r w:rsidR="008F11FE" w:rsidRPr="00AA51B2">
        <w:rPr>
          <w:rFonts w:ascii="Arial" w:eastAsiaTheme="minorHAnsi" w:hAnsi="Arial" w:cs="Arial"/>
          <w:lang w:val="en-ZA" w:eastAsia="en-US"/>
        </w:rPr>
        <w:t>.  In this regard</w:t>
      </w:r>
      <w:r w:rsidR="00883AA3">
        <w:rPr>
          <w:rFonts w:ascii="Arial" w:eastAsiaTheme="minorHAnsi" w:hAnsi="Arial" w:cs="Arial"/>
          <w:lang w:val="en-ZA" w:eastAsia="en-US"/>
        </w:rPr>
        <w:t>,</w:t>
      </w:r>
      <w:r w:rsidR="008F11FE" w:rsidRPr="00AA51B2">
        <w:rPr>
          <w:rFonts w:ascii="Arial" w:eastAsiaTheme="minorHAnsi" w:hAnsi="Arial" w:cs="Arial"/>
          <w:lang w:val="en-ZA" w:eastAsia="en-US"/>
        </w:rPr>
        <w:t xml:space="preserve"> the second respondent points out that the applicant has not explained what had happened between 4 September </w:t>
      </w:r>
      <w:r w:rsidR="008A5113">
        <w:rPr>
          <w:rFonts w:ascii="Arial" w:eastAsiaTheme="minorHAnsi" w:hAnsi="Arial" w:cs="Arial"/>
          <w:lang w:val="en-ZA" w:eastAsia="en-US"/>
        </w:rPr>
        <w:t xml:space="preserve">2020 </w:t>
      </w:r>
      <w:r w:rsidR="008F11FE" w:rsidRPr="00AA51B2">
        <w:rPr>
          <w:rFonts w:ascii="Arial" w:eastAsiaTheme="minorHAnsi" w:hAnsi="Arial" w:cs="Arial"/>
          <w:lang w:val="en-ZA" w:eastAsia="en-US"/>
        </w:rPr>
        <w:t>and 6 October 2020.  The Sheriff is alleged to have received the summons on 13 October 2020, with express instructions to effect service by no later than 15 October 2020</w:t>
      </w:r>
      <w:r w:rsidR="00883AA3">
        <w:rPr>
          <w:rFonts w:ascii="Arial" w:eastAsiaTheme="minorHAnsi" w:hAnsi="Arial" w:cs="Arial"/>
          <w:lang w:val="en-ZA" w:eastAsia="en-US"/>
        </w:rPr>
        <w:t>,</w:t>
      </w:r>
      <w:r w:rsidR="008F11FE" w:rsidRPr="00AA51B2">
        <w:rPr>
          <w:rFonts w:ascii="Arial" w:eastAsiaTheme="minorHAnsi" w:hAnsi="Arial" w:cs="Arial"/>
          <w:lang w:val="en-ZA" w:eastAsia="en-US"/>
        </w:rPr>
        <w:t xml:space="preserve"> yet the applicant furnishes no explanation </w:t>
      </w:r>
      <w:r w:rsidR="00E566A7" w:rsidRPr="00AA51B2">
        <w:rPr>
          <w:rFonts w:ascii="Arial" w:eastAsiaTheme="minorHAnsi" w:hAnsi="Arial" w:cs="Arial"/>
          <w:lang w:val="en-ZA" w:eastAsia="en-US"/>
        </w:rPr>
        <w:t xml:space="preserve">for any follow up enquiries pursued with the Sheriff to confirm if the Sheriff had complied.  </w:t>
      </w:r>
    </w:p>
    <w:p w14:paraId="1FADA74F" w14:textId="77777777" w:rsidR="00E566A7" w:rsidRPr="00AA51B2" w:rsidRDefault="00E566A7" w:rsidP="000532E2">
      <w:pPr>
        <w:spacing w:line="360" w:lineRule="auto"/>
        <w:jc w:val="both"/>
        <w:outlineLvl w:val="0"/>
        <w:rPr>
          <w:rFonts w:ascii="Arial" w:eastAsiaTheme="minorHAnsi" w:hAnsi="Arial" w:cs="Arial"/>
          <w:lang w:val="en-ZA" w:eastAsia="en-US"/>
        </w:rPr>
      </w:pPr>
    </w:p>
    <w:p w14:paraId="63F85518" w14:textId="466FED9B" w:rsidR="001C5C86" w:rsidRPr="00AA51B2" w:rsidRDefault="00FE4D85"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[19</w:t>
      </w:r>
      <w:r w:rsidR="00E566A7" w:rsidRPr="00AA51B2">
        <w:rPr>
          <w:rFonts w:ascii="Arial" w:eastAsiaTheme="minorHAnsi" w:hAnsi="Arial" w:cs="Arial"/>
          <w:lang w:val="en-ZA" w:eastAsia="en-US"/>
        </w:rPr>
        <w:t>]</w:t>
      </w:r>
      <w:r w:rsidR="00E566A7" w:rsidRPr="00AA51B2">
        <w:rPr>
          <w:rFonts w:ascii="Arial" w:eastAsiaTheme="minorHAnsi" w:hAnsi="Arial" w:cs="Arial"/>
          <w:lang w:val="en-ZA" w:eastAsia="en-US"/>
        </w:rPr>
        <w:tab/>
      </w:r>
      <w:r w:rsidR="008A5113">
        <w:rPr>
          <w:rFonts w:ascii="Arial" w:eastAsiaTheme="minorHAnsi" w:hAnsi="Arial" w:cs="Arial"/>
          <w:lang w:val="en-ZA" w:eastAsia="en-US"/>
        </w:rPr>
        <w:t>I</w:t>
      </w:r>
      <w:r w:rsidR="00E53B70" w:rsidRPr="00AA51B2">
        <w:rPr>
          <w:rFonts w:ascii="Arial" w:eastAsiaTheme="minorHAnsi" w:hAnsi="Arial" w:cs="Arial"/>
          <w:lang w:val="en-ZA" w:eastAsia="en-US"/>
        </w:rPr>
        <w:t xml:space="preserve">t is </w:t>
      </w:r>
      <w:r w:rsidR="00C26BA6" w:rsidRPr="00AA51B2">
        <w:rPr>
          <w:rFonts w:ascii="Arial" w:eastAsiaTheme="minorHAnsi" w:hAnsi="Arial" w:cs="Arial"/>
          <w:lang w:val="en-ZA" w:eastAsia="en-US"/>
        </w:rPr>
        <w:t xml:space="preserve">contended </w:t>
      </w:r>
      <w:r w:rsidR="00C26BA6">
        <w:rPr>
          <w:rFonts w:ascii="Arial" w:eastAsiaTheme="minorHAnsi" w:hAnsi="Arial" w:cs="Arial"/>
          <w:lang w:val="en-ZA" w:eastAsia="en-US"/>
        </w:rPr>
        <w:t xml:space="preserve">by the second respondent that </w:t>
      </w:r>
      <w:r w:rsidR="00E53B70" w:rsidRPr="00AA51B2">
        <w:rPr>
          <w:rFonts w:ascii="Arial" w:eastAsiaTheme="minorHAnsi" w:hAnsi="Arial" w:cs="Arial"/>
          <w:lang w:val="en-ZA" w:eastAsia="en-US"/>
        </w:rPr>
        <w:t>f</w:t>
      </w:r>
      <w:r w:rsidR="00E566A7" w:rsidRPr="00AA51B2">
        <w:rPr>
          <w:rFonts w:ascii="Arial" w:eastAsiaTheme="minorHAnsi" w:hAnsi="Arial" w:cs="Arial"/>
          <w:lang w:val="en-ZA" w:eastAsia="en-US"/>
        </w:rPr>
        <w:t xml:space="preserve">rom 16 to 19 October 2020, the applicant ought to have followed up with the Sheriff to ensure that the summons was served or instituted an application in terms of Rule 14 of the </w:t>
      </w:r>
      <w:r w:rsidR="00781BC7">
        <w:rPr>
          <w:rFonts w:ascii="Arial" w:eastAsiaTheme="minorHAnsi" w:hAnsi="Arial" w:cs="Arial"/>
          <w:lang w:val="en-ZA" w:eastAsia="en-US"/>
        </w:rPr>
        <w:t>Tribunal r</w:t>
      </w:r>
      <w:r w:rsidR="000E3419">
        <w:rPr>
          <w:rFonts w:ascii="Arial" w:eastAsiaTheme="minorHAnsi" w:hAnsi="Arial" w:cs="Arial"/>
          <w:lang w:val="en-ZA" w:eastAsia="en-US"/>
        </w:rPr>
        <w:t>ules</w:t>
      </w:r>
      <w:r w:rsidR="00E566A7" w:rsidRPr="00AA51B2">
        <w:rPr>
          <w:rFonts w:ascii="Arial" w:eastAsiaTheme="minorHAnsi" w:hAnsi="Arial" w:cs="Arial"/>
          <w:lang w:val="en-ZA" w:eastAsia="en-US"/>
        </w:rPr>
        <w:t xml:space="preserve"> for the extensio</w:t>
      </w:r>
      <w:r w:rsidR="00806DCD" w:rsidRPr="00AA51B2">
        <w:rPr>
          <w:rFonts w:ascii="Arial" w:eastAsiaTheme="minorHAnsi" w:hAnsi="Arial" w:cs="Arial"/>
          <w:lang w:val="en-ZA" w:eastAsia="en-US"/>
        </w:rPr>
        <w:t>n of the 30-day</w:t>
      </w:r>
      <w:r w:rsidR="00E566A7" w:rsidRPr="00AA51B2">
        <w:rPr>
          <w:rFonts w:ascii="Arial" w:eastAsiaTheme="minorHAnsi" w:hAnsi="Arial" w:cs="Arial"/>
          <w:lang w:val="en-ZA" w:eastAsia="en-US"/>
        </w:rPr>
        <w:t xml:space="preserve"> p</w:t>
      </w:r>
      <w:r w:rsidR="00E53B70" w:rsidRPr="00AA51B2">
        <w:rPr>
          <w:rFonts w:ascii="Arial" w:eastAsiaTheme="minorHAnsi" w:hAnsi="Arial" w:cs="Arial"/>
          <w:lang w:val="en-ZA" w:eastAsia="en-US"/>
        </w:rPr>
        <w:t>eriod.  The applicant also failed</w:t>
      </w:r>
      <w:r w:rsidR="00E566A7" w:rsidRPr="00AA51B2">
        <w:rPr>
          <w:rFonts w:ascii="Arial" w:eastAsiaTheme="minorHAnsi" w:hAnsi="Arial" w:cs="Arial"/>
          <w:lang w:val="en-ZA" w:eastAsia="en-US"/>
        </w:rPr>
        <w:t xml:space="preserve"> to request an extension on 19 October 20</w:t>
      </w:r>
      <w:r w:rsidR="00814477">
        <w:rPr>
          <w:rFonts w:ascii="Arial" w:eastAsiaTheme="minorHAnsi" w:hAnsi="Arial" w:cs="Arial"/>
          <w:lang w:val="en-ZA" w:eastAsia="en-US"/>
        </w:rPr>
        <w:t>20, when the matter was before c</w:t>
      </w:r>
      <w:r w:rsidR="00E566A7" w:rsidRPr="00AA51B2">
        <w:rPr>
          <w:rFonts w:ascii="Arial" w:eastAsiaTheme="minorHAnsi" w:hAnsi="Arial" w:cs="Arial"/>
          <w:lang w:val="en-ZA" w:eastAsia="en-US"/>
        </w:rPr>
        <w:t>ourt.  On 24 November 2020</w:t>
      </w:r>
      <w:r w:rsidR="00A15EF6" w:rsidRPr="00AA51B2">
        <w:rPr>
          <w:rFonts w:ascii="Arial" w:eastAsiaTheme="minorHAnsi" w:hAnsi="Arial" w:cs="Arial"/>
          <w:lang w:val="en-ZA" w:eastAsia="en-US"/>
        </w:rPr>
        <w:t>,</w:t>
      </w:r>
      <w:r w:rsidR="00E566A7" w:rsidRPr="00AA51B2">
        <w:rPr>
          <w:rFonts w:ascii="Arial" w:eastAsiaTheme="minorHAnsi" w:hAnsi="Arial" w:cs="Arial"/>
          <w:lang w:val="en-ZA" w:eastAsia="en-US"/>
        </w:rPr>
        <w:t xml:space="preserve"> when the</w:t>
      </w:r>
      <w:r w:rsidR="00C26BA6">
        <w:rPr>
          <w:rFonts w:ascii="Arial" w:eastAsiaTheme="minorHAnsi" w:hAnsi="Arial" w:cs="Arial"/>
          <w:lang w:val="en-ZA" w:eastAsia="en-US"/>
        </w:rPr>
        <w:t xml:space="preserve"> applicant</w:t>
      </w:r>
      <w:r w:rsidR="00E566A7" w:rsidRPr="00AA51B2">
        <w:rPr>
          <w:rFonts w:ascii="Arial" w:eastAsiaTheme="minorHAnsi" w:hAnsi="Arial" w:cs="Arial"/>
          <w:lang w:val="en-ZA" w:eastAsia="en-US"/>
        </w:rPr>
        <w:t xml:space="preserve"> </w:t>
      </w:r>
      <w:r w:rsidR="00E53B70" w:rsidRPr="00AA51B2">
        <w:rPr>
          <w:rFonts w:ascii="Arial" w:eastAsiaTheme="minorHAnsi" w:hAnsi="Arial" w:cs="Arial"/>
          <w:lang w:val="en-ZA" w:eastAsia="en-US"/>
        </w:rPr>
        <w:t>became</w:t>
      </w:r>
      <w:r>
        <w:rPr>
          <w:rFonts w:ascii="Arial" w:eastAsiaTheme="minorHAnsi" w:hAnsi="Arial" w:cs="Arial"/>
          <w:lang w:val="en-ZA" w:eastAsia="en-US"/>
        </w:rPr>
        <w:t xml:space="preserve"> aware that the rule had</w:t>
      </w:r>
      <w:r w:rsidR="00E566A7" w:rsidRPr="00AA51B2">
        <w:rPr>
          <w:rFonts w:ascii="Arial" w:eastAsiaTheme="minorHAnsi" w:hAnsi="Arial" w:cs="Arial"/>
          <w:lang w:val="en-ZA" w:eastAsia="en-US"/>
        </w:rPr>
        <w:t xml:space="preserve"> lapsed, it d</w:t>
      </w:r>
      <w:r>
        <w:rPr>
          <w:rFonts w:ascii="Arial" w:eastAsiaTheme="minorHAnsi" w:hAnsi="Arial" w:cs="Arial"/>
          <w:lang w:val="en-ZA" w:eastAsia="en-US"/>
        </w:rPr>
        <w:t>id</w:t>
      </w:r>
      <w:r w:rsidR="00E566A7" w:rsidRPr="00AA51B2">
        <w:rPr>
          <w:rFonts w:ascii="Arial" w:eastAsiaTheme="minorHAnsi" w:hAnsi="Arial" w:cs="Arial"/>
          <w:lang w:val="en-ZA" w:eastAsia="en-US"/>
        </w:rPr>
        <w:t xml:space="preserve"> not ra</w:t>
      </w:r>
      <w:r>
        <w:rPr>
          <w:rFonts w:ascii="Arial" w:eastAsiaTheme="minorHAnsi" w:hAnsi="Arial" w:cs="Arial"/>
          <w:lang w:val="en-ZA" w:eastAsia="en-US"/>
        </w:rPr>
        <w:t xml:space="preserve">ise the issue </w:t>
      </w:r>
      <w:proofErr w:type="spellStart"/>
      <w:r>
        <w:rPr>
          <w:rFonts w:ascii="Arial" w:eastAsiaTheme="minorHAnsi" w:hAnsi="Arial" w:cs="Arial"/>
          <w:lang w:val="en-ZA" w:eastAsia="en-US"/>
        </w:rPr>
        <w:t>mero</w:t>
      </w:r>
      <w:proofErr w:type="spellEnd"/>
      <w:r w:rsidR="00521E7F">
        <w:rPr>
          <w:rFonts w:ascii="Arial" w:eastAsiaTheme="minorHAnsi" w:hAnsi="Arial" w:cs="Arial"/>
          <w:lang w:val="en-ZA" w:eastAsia="en-US"/>
        </w:rPr>
        <w:t xml:space="preserve"> </w:t>
      </w:r>
      <w:proofErr w:type="spellStart"/>
      <w:r w:rsidR="00521E7F">
        <w:rPr>
          <w:rFonts w:ascii="Arial" w:eastAsiaTheme="minorHAnsi" w:hAnsi="Arial" w:cs="Arial"/>
          <w:lang w:val="en-ZA" w:eastAsia="en-US"/>
        </w:rPr>
        <w:t>motu</w:t>
      </w:r>
      <w:proofErr w:type="spellEnd"/>
      <w:r w:rsidR="00521E7F">
        <w:rPr>
          <w:rFonts w:ascii="Arial" w:eastAsiaTheme="minorHAnsi" w:hAnsi="Arial" w:cs="Arial"/>
          <w:lang w:val="en-ZA" w:eastAsia="en-US"/>
        </w:rPr>
        <w:t xml:space="preserve"> but did so only when the c</w:t>
      </w:r>
      <w:r>
        <w:rPr>
          <w:rFonts w:ascii="Arial" w:eastAsiaTheme="minorHAnsi" w:hAnsi="Arial" w:cs="Arial"/>
          <w:lang w:val="en-ZA" w:eastAsia="en-US"/>
        </w:rPr>
        <w:t>ourt raised</w:t>
      </w:r>
      <w:r w:rsidR="00E566A7" w:rsidRPr="00AA51B2">
        <w:rPr>
          <w:rFonts w:ascii="Arial" w:eastAsiaTheme="minorHAnsi" w:hAnsi="Arial" w:cs="Arial"/>
          <w:lang w:val="en-ZA" w:eastAsia="en-US"/>
        </w:rPr>
        <w:t xml:space="preserve"> an issue regarding the service of the summons.  The second respondent contends that the applicant could have used other option</w:t>
      </w:r>
      <w:r w:rsidR="00E53B70" w:rsidRPr="00AA51B2">
        <w:rPr>
          <w:rFonts w:ascii="Arial" w:eastAsiaTheme="minorHAnsi" w:hAnsi="Arial" w:cs="Arial"/>
          <w:lang w:val="en-ZA" w:eastAsia="en-US"/>
        </w:rPr>
        <w:t xml:space="preserve">s to effect service on the second respondent </w:t>
      </w:r>
      <w:r w:rsidR="00E566A7" w:rsidRPr="00AA51B2">
        <w:rPr>
          <w:rFonts w:ascii="Arial" w:eastAsiaTheme="minorHAnsi" w:hAnsi="Arial" w:cs="Arial"/>
          <w:lang w:val="en-ZA" w:eastAsia="en-US"/>
        </w:rPr>
        <w:t>as foreshad</w:t>
      </w:r>
      <w:r w:rsidR="00781BC7">
        <w:rPr>
          <w:rFonts w:ascii="Arial" w:eastAsiaTheme="minorHAnsi" w:hAnsi="Arial" w:cs="Arial"/>
          <w:lang w:val="en-ZA" w:eastAsia="en-US"/>
        </w:rPr>
        <w:t>owed in Rule 6 of the Tribunal r</w:t>
      </w:r>
      <w:r w:rsidR="00E566A7" w:rsidRPr="00AA51B2">
        <w:rPr>
          <w:rFonts w:ascii="Arial" w:eastAsiaTheme="minorHAnsi" w:hAnsi="Arial" w:cs="Arial"/>
          <w:lang w:val="en-ZA" w:eastAsia="en-US"/>
        </w:rPr>
        <w:t>ules.</w:t>
      </w:r>
      <w:r w:rsidR="008F11FE" w:rsidRPr="00AA51B2">
        <w:rPr>
          <w:rFonts w:ascii="Arial" w:eastAsiaTheme="minorHAnsi" w:hAnsi="Arial" w:cs="Arial"/>
          <w:lang w:val="en-ZA" w:eastAsia="en-US"/>
        </w:rPr>
        <w:t xml:space="preserve"> </w:t>
      </w:r>
      <w:r w:rsidR="001C5C86" w:rsidRPr="00AA51B2">
        <w:rPr>
          <w:rFonts w:ascii="Arial" w:eastAsiaTheme="minorHAnsi" w:hAnsi="Arial" w:cs="Arial"/>
          <w:lang w:val="en-ZA" w:eastAsia="en-US"/>
        </w:rPr>
        <w:t xml:space="preserve">   </w:t>
      </w:r>
    </w:p>
    <w:p w14:paraId="48E559ED" w14:textId="77777777" w:rsidR="0006552B" w:rsidRPr="00AA51B2" w:rsidRDefault="0006552B" w:rsidP="000532E2">
      <w:pPr>
        <w:spacing w:line="360" w:lineRule="auto"/>
        <w:jc w:val="both"/>
        <w:outlineLvl w:val="0"/>
        <w:rPr>
          <w:rFonts w:ascii="Arial" w:eastAsiaTheme="minorHAnsi" w:hAnsi="Arial" w:cs="Arial"/>
          <w:lang w:val="en-ZA" w:eastAsia="en-US"/>
        </w:rPr>
      </w:pPr>
    </w:p>
    <w:p w14:paraId="21B7BBA1" w14:textId="31849112" w:rsidR="00E53B70" w:rsidRDefault="00FE4D85"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[20</w:t>
      </w:r>
      <w:r w:rsidR="0006552B">
        <w:rPr>
          <w:rFonts w:ascii="Arial" w:eastAsiaTheme="minorHAnsi" w:hAnsi="Arial" w:cs="Arial"/>
          <w:lang w:val="en-ZA" w:eastAsia="en-US"/>
        </w:rPr>
        <w:t>]</w:t>
      </w:r>
      <w:r w:rsidR="0006552B">
        <w:rPr>
          <w:rFonts w:ascii="Arial" w:eastAsiaTheme="minorHAnsi" w:hAnsi="Arial" w:cs="Arial"/>
          <w:lang w:val="en-ZA" w:eastAsia="en-US"/>
        </w:rPr>
        <w:tab/>
        <w:t xml:space="preserve">The applicant </w:t>
      </w:r>
      <w:r w:rsidR="00E53B70">
        <w:rPr>
          <w:rFonts w:ascii="Arial" w:eastAsiaTheme="minorHAnsi" w:hAnsi="Arial" w:cs="Arial"/>
          <w:lang w:val="en-ZA" w:eastAsia="en-US"/>
        </w:rPr>
        <w:t xml:space="preserve">then </w:t>
      </w:r>
      <w:r w:rsidR="0006552B">
        <w:rPr>
          <w:rFonts w:ascii="Arial" w:eastAsiaTheme="minorHAnsi" w:hAnsi="Arial" w:cs="Arial"/>
          <w:lang w:val="en-ZA" w:eastAsia="en-US"/>
        </w:rPr>
        <w:t>sought leave to file a supplementary affidavit to address the lacuna between 4 September</w:t>
      </w:r>
      <w:r w:rsidR="008A5113">
        <w:rPr>
          <w:rFonts w:ascii="Arial" w:eastAsiaTheme="minorHAnsi" w:hAnsi="Arial" w:cs="Arial"/>
          <w:lang w:val="en-ZA" w:eastAsia="en-US"/>
        </w:rPr>
        <w:t xml:space="preserve"> 2020</w:t>
      </w:r>
      <w:r w:rsidR="0006552B">
        <w:rPr>
          <w:rFonts w:ascii="Arial" w:eastAsiaTheme="minorHAnsi" w:hAnsi="Arial" w:cs="Arial"/>
          <w:lang w:val="en-ZA" w:eastAsia="en-US"/>
        </w:rPr>
        <w:t xml:space="preserve"> to 6 October 2020, </w:t>
      </w:r>
      <w:r w:rsidR="008A5113">
        <w:rPr>
          <w:rFonts w:ascii="Arial" w:eastAsiaTheme="minorHAnsi" w:hAnsi="Arial" w:cs="Arial"/>
          <w:lang w:val="en-ZA" w:eastAsia="en-US"/>
        </w:rPr>
        <w:t>raised by the second respondent.  T</w:t>
      </w:r>
      <w:r w:rsidR="00C26BA6">
        <w:rPr>
          <w:rFonts w:ascii="Arial" w:eastAsiaTheme="minorHAnsi" w:hAnsi="Arial" w:cs="Arial"/>
          <w:lang w:val="en-ZA" w:eastAsia="en-US"/>
        </w:rPr>
        <w:t>he application was opposed, by</w:t>
      </w:r>
      <w:r w:rsidR="00E53B70">
        <w:rPr>
          <w:rFonts w:ascii="Arial" w:eastAsiaTheme="minorHAnsi" w:hAnsi="Arial" w:cs="Arial"/>
          <w:lang w:val="en-ZA" w:eastAsia="en-US"/>
        </w:rPr>
        <w:t xml:space="preserve"> t</w:t>
      </w:r>
      <w:r w:rsidR="0006552B">
        <w:rPr>
          <w:rFonts w:ascii="Arial" w:eastAsiaTheme="minorHAnsi" w:hAnsi="Arial" w:cs="Arial"/>
          <w:lang w:val="en-ZA" w:eastAsia="en-US"/>
        </w:rPr>
        <w:t xml:space="preserve">he second respondent </w:t>
      </w:r>
      <w:r w:rsidR="00C26BA6">
        <w:rPr>
          <w:rFonts w:ascii="Arial" w:eastAsiaTheme="minorHAnsi" w:hAnsi="Arial" w:cs="Arial"/>
          <w:lang w:val="en-ZA" w:eastAsia="en-US"/>
        </w:rPr>
        <w:t>who filed</w:t>
      </w:r>
      <w:r w:rsidR="0006552B">
        <w:rPr>
          <w:rFonts w:ascii="Arial" w:eastAsiaTheme="minorHAnsi" w:hAnsi="Arial" w:cs="Arial"/>
          <w:lang w:val="en-ZA" w:eastAsia="en-US"/>
        </w:rPr>
        <w:t xml:space="preserve"> an affidavit in opposition thereto.  The supplementary affidavit deal</w:t>
      </w:r>
      <w:r w:rsidR="008A5113">
        <w:rPr>
          <w:rFonts w:ascii="Arial" w:eastAsiaTheme="minorHAnsi" w:hAnsi="Arial" w:cs="Arial"/>
          <w:lang w:val="en-ZA" w:eastAsia="en-US"/>
        </w:rPr>
        <w:t>t</w:t>
      </w:r>
      <w:r w:rsidR="0006552B">
        <w:rPr>
          <w:rFonts w:ascii="Arial" w:eastAsiaTheme="minorHAnsi" w:hAnsi="Arial" w:cs="Arial"/>
          <w:lang w:val="en-ZA" w:eastAsia="en-US"/>
        </w:rPr>
        <w:t xml:space="preserve"> with an explanation of the events that occurred between 4 to 6 October 2020</w:t>
      </w:r>
      <w:r w:rsidR="00E53B70">
        <w:rPr>
          <w:rFonts w:ascii="Arial" w:eastAsiaTheme="minorHAnsi" w:hAnsi="Arial" w:cs="Arial"/>
          <w:lang w:val="en-ZA" w:eastAsia="en-US"/>
        </w:rPr>
        <w:t>.</w:t>
      </w:r>
      <w:r w:rsidR="0006552B">
        <w:rPr>
          <w:rFonts w:ascii="Arial" w:eastAsiaTheme="minorHAnsi" w:hAnsi="Arial" w:cs="Arial"/>
          <w:lang w:val="en-ZA" w:eastAsia="en-US"/>
        </w:rPr>
        <w:t xml:space="preserve"> </w:t>
      </w:r>
      <w:r w:rsidR="00E53B70">
        <w:rPr>
          <w:rFonts w:ascii="Arial" w:eastAsiaTheme="minorHAnsi" w:hAnsi="Arial" w:cs="Arial"/>
          <w:lang w:val="en-ZA" w:eastAsia="en-US"/>
        </w:rPr>
        <w:t xml:space="preserve"> </w:t>
      </w:r>
      <w:r w:rsidR="0006552B">
        <w:rPr>
          <w:rFonts w:ascii="Arial" w:eastAsiaTheme="minorHAnsi" w:hAnsi="Arial" w:cs="Arial"/>
          <w:lang w:val="en-ZA" w:eastAsia="en-US"/>
        </w:rPr>
        <w:t>I considered th</w:t>
      </w:r>
      <w:r w:rsidR="00E53B70">
        <w:rPr>
          <w:rFonts w:ascii="Arial" w:eastAsiaTheme="minorHAnsi" w:hAnsi="Arial" w:cs="Arial"/>
          <w:lang w:val="en-ZA" w:eastAsia="en-US"/>
        </w:rPr>
        <w:t>e</w:t>
      </w:r>
      <w:r w:rsidR="0006552B">
        <w:rPr>
          <w:rFonts w:ascii="Arial" w:eastAsiaTheme="minorHAnsi" w:hAnsi="Arial" w:cs="Arial"/>
          <w:lang w:val="en-ZA" w:eastAsia="en-US"/>
        </w:rPr>
        <w:t xml:space="preserve"> contents of the</w:t>
      </w:r>
      <w:r w:rsidR="00E53B70">
        <w:rPr>
          <w:rFonts w:ascii="Arial" w:eastAsiaTheme="minorHAnsi" w:hAnsi="Arial" w:cs="Arial"/>
          <w:lang w:val="en-ZA" w:eastAsia="en-US"/>
        </w:rPr>
        <w:t>se</w:t>
      </w:r>
      <w:r w:rsidR="0006552B">
        <w:rPr>
          <w:rFonts w:ascii="Arial" w:eastAsiaTheme="minorHAnsi" w:hAnsi="Arial" w:cs="Arial"/>
          <w:lang w:val="en-ZA" w:eastAsia="en-US"/>
        </w:rPr>
        <w:t xml:space="preserve"> affidavit</w:t>
      </w:r>
      <w:r w:rsidR="008A5113">
        <w:rPr>
          <w:rFonts w:ascii="Arial" w:eastAsiaTheme="minorHAnsi" w:hAnsi="Arial" w:cs="Arial"/>
          <w:lang w:val="en-ZA" w:eastAsia="en-US"/>
        </w:rPr>
        <w:t>s</w:t>
      </w:r>
      <w:r w:rsidR="0006552B">
        <w:rPr>
          <w:rFonts w:ascii="Arial" w:eastAsiaTheme="minorHAnsi" w:hAnsi="Arial" w:cs="Arial"/>
          <w:lang w:val="en-ZA" w:eastAsia="en-US"/>
        </w:rPr>
        <w:t xml:space="preserve"> together with the reasons for the opposition thereto.</w:t>
      </w:r>
      <w:r w:rsidR="00806DCD">
        <w:rPr>
          <w:rFonts w:ascii="Arial" w:eastAsiaTheme="minorHAnsi" w:hAnsi="Arial" w:cs="Arial"/>
          <w:lang w:val="en-ZA" w:eastAsia="en-US"/>
        </w:rPr>
        <w:t xml:space="preserve">  Exercising my discretion, I granted the application.  Clearly the applicant,</w:t>
      </w:r>
      <w:r w:rsidR="008A5113">
        <w:rPr>
          <w:rFonts w:ascii="Arial" w:eastAsiaTheme="minorHAnsi" w:hAnsi="Arial" w:cs="Arial"/>
          <w:lang w:val="en-ZA" w:eastAsia="en-US"/>
        </w:rPr>
        <w:t xml:space="preserve"> seeking an indulgence</w:t>
      </w:r>
      <w:r w:rsidR="00F7360D">
        <w:rPr>
          <w:rFonts w:ascii="Arial" w:eastAsiaTheme="minorHAnsi" w:hAnsi="Arial" w:cs="Arial"/>
          <w:lang w:val="en-ZA" w:eastAsia="en-US"/>
        </w:rPr>
        <w:t>,</w:t>
      </w:r>
      <w:r w:rsidR="008A5113">
        <w:rPr>
          <w:rFonts w:ascii="Arial" w:eastAsiaTheme="minorHAnsi" w:hAnsi="Arial" w:cs="Arial"/>
          <w:lang w:val="en-ZA" w:eastAsia="en-US"/>
        </w:rPr>
        <w:t xml:space="preserve"> has to</w:t>
      </w:r>
      <w:r w:rsidR="00806DCD">
        <w:rPr>
          <w:rFonts w:ascii="Arial" w:eastAsiaTheme="minorHAnsi" w:hAnsi="Arial" w:cs="Arial"/>
          <w:lang w:val="en-ZA" w:eastAsia="en-US"/>
        </w:rPr>
        <w:t xml:space="preserve"> pay the costs of this application.  </w:t>
      </w:r>
    </w:p>
    <w:p w14:paraId="20A5E3DC" w14:textId="79981ED1" w:rsidR="00E53B70" w:rsidRDefault="00E53B70" w:rsidP="00141F00">
      <w:pPr>
        <w:spacing w:line="360" w:lineRule="auto"/>
        <w:jc w:val="both"/>
        <w:outlineLvl w:val="0"/>
        <w:rPr>
          <w:rFonts w:ascii="Arial" w:eastAsiaTheme="minorHAnsi" w:hAnsi="Arial" w:cs="Arial"/>
          <w:lang w:val="en-ZA" w:eastAsia="en-US"/>
        </w:rPr>
      </w:pPr>
    </w:p>
    <w:p w14:paraId="5BE32FEC" w14:textId="5FA675C5" w:rsidR="00C26BA6" w:rsidRDefault="00C26BA6" w:rsidP="00141F00">
      <w:pPr>
        <w:spacing w:line="360" w:lineRule="auto"/>
        <w:jc w:val="both"/>
        <w:outlineLvl w:val="0"/>
        <w:rPr>
          <w:rFonts w:ascii="Arial" w:eastAsiaTheme="minorHAnsi" w:hAnsi="Arial" w:cs="Arial"/>
          <w:b/>
          <w:u w:val="single"/>
          <w:lang w:val="en-ZA" w:eastAsia="en-US"/>
        </w:rPr>
      </w:pPr>
      <w:r>
        <w:rPr>
          <w:rFonts w:ascii="Arial" w:eastAsiaTheme="minorHAnsi" w:hAnsi="Arial" w:cs="Arial"/>
          <w:b/>
          <w:u w:val="single"/>
          <w:lang w:val="en-ZA" w:eastAsia="en-US"/>
        </w:rPr>
        <w:t>Issue</w:t>
      </w:r>
    </w:p>
    <w:p w14:paraId="10010293" w14:textId="77777777" w:rsidR="00C26BA6" w:rsidRPr="00C26BA6" w:rsidRDefault="00C26BA6" w:rsidP="00141F00">
      <w:pPr>
        <w:spacing w:line="360" w:lineRule="auto"/>
        <w:jc w:val="both"/>
        <w:outlineLvl w:val="0"/>
        <w:rPr>
          <w:rFonts w:ascii="Arial" w:eastAsiaTheme="minorHAnsi" w:hAnsi="Arial" w:cs="Arial"/>
          <w:b/>
          <w:u w:val="single"/>
          <w:lang w:val="en-ZA" w:eastAsia="en-US"/>
        </w:rPr>
      </w:pPr>
    </w:p>
    <w:p w14:paraId="172336A2" w14:textId="66FA2939" w:rsidR="00806DCD" w:rsidRDefault="00FE4D85"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[21</w:t>
      </w:r>
      <w:r w:rsidR="00E53B70">
        <w:rPr>
          <w:rFonts w:ascii="Arial" w:eastAsiaTheme="minorHAnsi" w:hAnsi="Arial" w:cs="Arial"/>
          <w:lang w:val="en-ZA" w:eastAsia="en-US"/>
        </w:rPr>
        <w:t>]</w:t>
      </w:r>
      <w:r w:rsidR="00E53B70">
        <w:rPr>
          <w:rFonts w:ascii="Arial" w:eastAsiaTheme="minorHAnsi" w:hAnsi="Arial" w:cs="Arial"/>
          <w:lang w:val="en-ZA" w:eastAsia="en-US"/>
        </w:rPr>
        <w:tab/>
      </w:r>
      <w:r w:rsidR="00806DCD">
        <w:rPr>
          <w:rFonts w:ascii="Arial" w:eastAsiaTheme="minorHAnsi" w:hAnsi="Arial" w:cs="Arial"/>
          <w:lang w:val="en-ZA" w:eastAsia="en-US"/>
        </w:rPr>
        <w:t>The issue herein is whether the applicant has made out a case for the revival of the lapsed rule, alternatively the extension of the period within which the applicant must institute action proceedings against the second respondent fo</w:t>
      </w:r>
      <w:r w:rsidR="00073C76">
        <w:rPr>
          <w:rFonts w:ascii="Arial" w:eastAsiaTheme="minorHAnsi" w:hAnsi="Arial" w:cs="Arial"/>
          <w:lang w:val="en-ZA" w:eastAsia="en-US"/>
        </w:rPr>
        <w:t>r the recovery of financial los</w:t>
      </w:r>
      <w:r w:rsidR="00806DCD">
        <w:rPr>
          <w:rFonts w:ascii="Arial" w:eastAsiaTheme="minorHAnsi" w:hAnsi="Arial" w:cs="Arial"/>
          <w:lang w:val="en-ZA" w:eastAsia="en-US"/>
        </w:rPr>
        <w:t>s and damages.</w:t>
      </w:r>
    </w:p>
    <w:p w14:paraId="3CF391CF" w14:textId="41318126" w:rsidR="00806DCD" w:rsidRDefault="00806DCD" w:rsidP="00141F00">
      <w:pPr>
        <w:spacing w:line="360" w:lineRule="auto"/>
        <w:jc w:val="both"/>
        <w:outlineLvl w:val="0"/>
        <w:rPr>
          <w:rFonts w:ascii="Arial" w:eastAsiaTheme="minorHAnsi" w:hAnsi="Arial" w:cs="Arial"/>
          <w:lang w:val="en-ZA" w:eastAsia="en-US"/>
        </w:rPr>
      </w:pPr>
    </w:p>
    <w:p w14:paraId="233464F9" w14:textId="1E804811" w:rsidR="00C26BA6" w:rsidRDefault="00C26BA6" w:rsidP="00141F00">
      <w:pPr>
        <w:spacing w:line="360" w:lineRule="auto"/>
        <w:jc w:val="both"/>
        <w:outlineLvl w:val="0"/>
        <w:rPr>
          <w:rFonts w:ascii="Arial" w:eastAsiaTheme="minorHAnsi" w:hAnsi="Arial" w:cs="Arial"/>
          <w:b/>
          <w:u w:val="single"/>
          <w:lang w:val="en-ZA" w:eastAsia="en-US"/>
        </w:rPr>
      </w:pPr>
      <w:r>
        <w:rPr>
          <w:rFonts w:ascii="Arial" w:eastAsiaTheme="minorHAnsi" w:hAnsi="Arial" w:cs="Arial"/>
          <w:b/>
          <w:u w:val="single"/>
          <w:lang w:val="en-ZA" w:eastAsia="en-US"/>
        </w:rPr>
        <w:t>Evaluation</w:t>
      </w:r>
    </w:p>
    <w:p w14:paraId="3A596A46" w14:textId="77777777" w:rsidR="00C26BA6" w:rsidRPr="00C26BA6" w:rsidRDefault="00C26BA6" w:rsidP="00141F00">
      <w:pPr>
        <w:spacing w:line="360" w:lineRule="auto"/>
        <w:jc w:val="both"/>
        <w:outlineLvl w:val="0"/>
        <w:rPr>
          <w:rFonts w:ascii="Arial" w:eastAsiaTheme="minorHAnsi" w:hAnsi="Arial" w:cs="Arial"/>
          <w:b/>
          <w:u w:val="single"/>
          <w:lang w:val="en-ZA" w:eastAsia="en-US"/>
        </w:rPr>
      </w:pPr>
    </w:p>
    <w:p w14:paraId="594B2E57" w14:textId="19203128" w:rsidR="00806DCD" w:rsidRDefault="00FE4D85"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[22</w:t>
      </w:r>
      <w:r w:rsidR="00806DCD">
        <w:rPr>
          <w:rFonts w:ascii="Arial" w:eastAsiaTheme="minorHAnsi" w:hAnsi="Arial" w:cs="Arial"/>
          <w:lang w:val="en-ZA" w:eastAsia="en-US"/>
        </w:rPr>
        <w:t>]</w:t>
      </w:r>
      <w:r w:rsidR="00806DCD">
        <w:rPr>
          <w:rFonts w:ascii="Arial" w:eastAsiaTheme="minorHAnsi" w:hAnsi="Arial" w:cs="Arial"/>
          <w:lang w:val="en-ZA" w:eastAsia="en-US"/>
        </w:rPr>
        <w:tab/>
        <w:t>In my view</w:t>
      </w:r>
      <w:r w:rsidR="00463232">
        <w:rPr>
          <w:rFonts w:ascii="Arial" w:eastAsiaTheme="minorHAnsi" w:hAnsi="Arial" w:cs="Arial"/>
          <w:lang w:val="en-ZA" w:eastAsia="en-US"/>
        </w:rPr>
        <w:t>,</w:t>
      </w:r>
      <w:r w:rsidR="00806DCD">
        <w:rPr>
          <w:rFonts w:ascii="Arial" w:eastAsiaTheme="minorHAnsi" w:hAnsi="Arial" w:cs="Arial"/>
          <w:lang w:val="en-ZA" w:eastAsia="en-US"/>
        </w:rPr>
        <w:t xml:space="preserve"> the st</w:t>
      </w:r>
      <w:r w:rsidR="00E53B70">
        <w:rPr>
          <w:rFonts w:ascii="Arial" w:eastAsiaTheme="minorHAnsi" w:hAnsi="Arial" w:cs="Arial"/>
          <w:lang w:val="en-ZA" w:eastAsia="en-US"/>
        </w:rPr>
        <w:t>arting point to determining</w:t>
      </w:r>
      <w:r w:rsidR="00806DCD">
        <w:rPr>
          <w:rFonts w:ascii="Arial" w:eastAsiaTheme="minorHAnsi" w:hAnsi="Arial" w:cs="Arial"/>
          <w:lang w:val="en-ZA" w:eastAsia="en-US"/>
        </w:rPr>
        <w:t xml:space="preserve"> this issue is to consider the wording of paragraph 3 of the court order and the interpretation thereof</w:t>
      </w:r>
      <w:r w:rsidR="008A5113">
        <w:rPr>
          <w:rFonts w:ascii="Arial" w:eastAsiaTheme="minorHAnsi" w:hAnsi="Arial" w:cs="Arial"/>
          <w:lang w:val="en-ZA" w:eastAsia="en-US"/>
        </w:rPr>
        <w:t xml:space="preserve">.  </w:t>
      </w:r>
      <w:r w:rsidR="00806DCD">
        <w:rPr>
          <w:rFonts w:ascii="Arial" w:eastAsiaTheme="minorHAnsi" w:hAnsi="Arial" w:cs="Arial"/>
          <w:lang w:val="en-ZA" w:eastAsia="en-US"/>
        </w:rPr>
        <w:t>Paragraph 3 of the court order</w:t>
      </w:r>
      <w:r>
        <w:rPr>
          <w:rFonts w:ascii="Arial" w:eastAsiaTheme="minorHAnsi" w:hAnsi="Arial" w:cs="Arial"/>
          <w:lang w:val="en-ZA" w:eastAsia="en-US"/>
        </w:rPr>
        <w:t>,</w:t>
      </w:r>
      <w:r w:rsidR="00806DCD">
        <w:rPr>
          <w:rFonts w:ascii="Arial" w:eastAsiaTheme="minorHAnsi" w:hAnsi="Arial" w:cs="Arial"/>
          <w:lang w:val="en-ZA" w:eastAsia="en-US"/>
        </w:rPr>
        <w:t xml:space="preserve"> </w:t>
      </w:r>
      <w:r w:rsidR="003824C3">
        <w:rPr>
          <w:rFonts w:ascii="Arial" w:eastAsiaTheme="minorHAnsi" w:hAnsi="Arial" w:cs="Arial"/>
          <w:lang w:val="en-ZA" w:eastAsia="en-US"/>
        </w:rPr>
        <w:t>inter alia</w:t>
      </w:r>
      <w:r>
        <w:rPr>
          <w:rFonts w:ascii="Arial" w:eastAsiaTheme="minorHAnsi" w:hAnsi="Arial" w:cs="Arial"/>
          <w:lang w:val="en-ZA" w:eastAsia="en-US"/>
        </w:rPr>
        <w:t>,</w:t>
      </w:r>
      <w:r w:rsidR="003824C3">
        <w:rPr>
          <w:rFonts w:ascii="Arial" w:eastAsiaTheme="minorHAnsi" w:hAnsi="Arial" w:cs="Arial"/>
          <w:lang w:val="en-ZA" w:eastAsia="en-US"/>
        </w:rPr>
        <w:t xml:space="preserve"> </w:t>
      </w:r>
      <w:r w:rsidR="00806DCD">
        <w:rPr>
          <w:rFonts w:ascii="Arial" w:eastAsiaTheme="minorHAnsi" w:hAnsi="Arial" w:cs="Arial"/>
          <w:lang w:val="en-ZA" w:eastAsia="en-US"/>
        </w:rPr>
        <w:t>reads as follows:</w:t>
      </w:r>
    </w:p>
    <w:p w14:paraId="343D939A" w14:textId="77777777" w:rsidR="00806DCD" w:rsidRDefault="00E53B70" w:rsidP="00141F00">
      <w:pPr>
        <w:spacing w:line="360" w:lineRule="auto"/>
        <w:jc w:val="both"/>
        <w:outlineLvl w:val="0"/>
        <w:rPr>
          <w:rFonts w:ascii="Arial" w:eastAsiaTheme="minorHAnsi" w:hAnsi="Arial" w:cs="Arial"/>
          <w:lang w:val="en-ZA" w:eastAsia="en-US"/>
        </w:rPr>
      </w:pPr>
      <w:r>
        <w:rPr>
          <w:rFonts w:ascii="Arial" w:eastAsiaTheme="minorHAnsi" w:hAnsi="Arial" w:cs="Arial"/>
          <w:sz w:val="22"/>
          <w:szCs w:val="22"/>
          <w:lang w:val="en-ZA" w:eastAsia="en-US"/>
        </w:rPr>
        <w:t>‘The applicant</w:t>
      </w:r>
      <w:r w:rsidR="00806DCD">
        <w:rPr>
          <w:rFonts w:ascii="Arial" w:eastAsiaTheme="minorHAnsi" w:hAnsi="Arial" w:cs="Arial"/>
          <w:sz w:val="22"/>
          <w:szCs w:val="22"/>
          <w:lang w:val="en-ZA" w:eastAsia="en-US"/>
        </w:rPr>
        <w:t xml:space="preserve"> shall institute the action … within 30 days from the date of this order.’</w:t>
      </w:r>
    </w:p>
    <w:p w14:paraId="3954462D" w14:textId="77777777" w:rsidR="00806DCD" w:rsidRDefault="00806DCD" w:rsidP="00141F00">
      <w:pPr>
        <w:spacing w:line="360" w:lineRule="auto"/>
        <w:jc w:val="both"/>
        <w:outlineLvl w:val="0"/>
        <w:rPr>
          <w:rFonts w:ascii="Arial" w:eastAsiaTheme="minorHAnsi" w:hAnsi="Arial" w:cs="Arial"/>
          <w:lang w:val="en-ZA" w:eastAsia="en-US"/>
        </w:rPr>
      </w:pPr>
    </w:p>
    <w:p w14:paraId="7114EDE8" w14:textId="7A77A3F4" w:rsidR="00141F00" w:rsidRDefault="00806DCD"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[2</w:t>
      </w:r>
      <w:r w:rsidR="00FE4D85">
        <w:rPr>
          <w:rFonts w:ascii="Arial" w:eastAsiaTheme="minorHAnsi" w:hAnsi="Arial" w:cs="Arial"/>
          <w:lang w:val="en-ZA" w:eastAsia="en-US"/>
        </w:rPr>
        <w:t>3</w:t>
      </w:r>
      <w:r>
        <w:rPr>
          <w:rFonts w:ascii="Arial" w:eastAsiaTheme="minorHAnsi" w:hAnsi="Arial" w:cs="Arial"/>
          <w:lang w:val="en-ZA" w:eastAsia="en-US"/>
        </w:rPr>
        <w:t>]</w:t>
      </w:r>
      <w:r>
        <w:rPr>
          <w:rFonts w:ascii="Arial" w:eastAsiaTheme="minorHAnsi" w:hAnsi="Arial" w:cs="Arial"/>
          <w:lang w:val="en-ZA" w:eastAsia="en-US"/>
        </w:rPr>
        <w:tab/>
        <w:t xml:space="preserve">It is not in dispute that the action was instituted on </w:t>
      </w:r>
      <w:r w:rsidR="00E01704">
        <w:rPr>
          <w:rFonts w:ascii="Arial" w:eastAsiaTheme="minorHAnsi" w:hAnsi="Arial" w:cs="Arial"/>
          <w:lang w:val="en-ZA" w:eastAsia="en-US"/>
        </w:rPr>
        <w:t>06 October</w:t>
      </w:r>
      <w:r w:rsidR="00FE4D85">
        <w:rPr>
          <w:rFonts w:ascii="Arial" w:eastAsiaTheme="minorHAnsi" w:hAnsi="Arial" w:cs="Arial"/>
          <w:lang w:val="en-ZA" w:eastAsia="en-US"/>
        </w:rPr>
        <w:t xml:space="preserve"> 2020</w:t>
      </w:r>
      <w:r w:rsidR="0041051D">
        <w:rPr>
          <w:rFonts w:ascii="Arial" w:eastAsiaTheme="minorHAnsi" w:hAnsi="Arial" w:cs="Arial"/>
          <w:lang w:val="en-ZA" w:eastAsia="en-US"/>
        </w:rPr>
        <w:t>.  Action is defined in Rule 1 of the Uniform r</w:t>
      </w:r>
      <w:r>
        <w:rPr>
          <w:rFonts w:ascii="Arial" w:eastAsiaTheme="minorHAnsi" w:hAnsi="Arial" w:cs="Arial"/>
          <w:lang w:val="en-ZA" w:eastAsia="en-US"/>
        </w:rPr>
        <w:t>ules</w:t>
      </w:r>
      <w:r w:rsidR="0041051D">
        <w:rPr>
          <w:rFonts w:ascii="Arial" w:eastAsiaTheme="minorHAnsi" w:hAnsi="Arial" w:cs="Arial"/>
          <w:lang w:val="en-ZA" w:eastAsia="en-US"/>
        </w:rPr>
        <w:t xml:space="preserve"> </w:t>
      </w:r>
      <w:r w:rsidR="008C2F62">
        <w:rPr>
          <w:rFonts w:ascii="Arial" w:eastAsiaTheme="minorHAnsi" w:hAnsi="Arial" w:cs="Arial"/>
          <w:lang w:val="en-ZA" w:eastAsia="en-US"/>
        </w:rPr>
        <w:t xml:space="preserve">as </w:t>
      </w:r>
      <w:r w:rsidR="0041051D">
        <w:rPr>
          <w:rFonts w:ascii="Arial" w:eastAsiaTheme="minorHAnsi" w:hAnsi="Arial" w:cs="Arial"/>
          <w:lang w:val="en-ZA" w:eastAsia="en-US"/>
        </w:rPr>
        <w:t>‘</w:t>
      </w:r>
      <w:r>
        <w:rPr>
          <w:rFonts w:ascii="Arial" w:eastAsiaTheme="minorHAnsi" w:hAnsi="Arial" w:cs="Arial"/>
          <w:lang w:val="en-ZA" w:eastAsia="en-US"/>
        </w:rPr>
        <w:t xml:space="preserve">a </w:t>
      </w:r>
      <w:r w:rsidR="0041051D">
        <w:rPr>
          <w:rFonts w:ascii="Arial" w:eastAsiaTheme="minorHAnsi" w:hAnsi="Arial" w:cs="Arial"/>
          <w:lang w:val="en-ZA" w:eastAsia="en-US"/>
        </w:rPr>
        <w:t>proceeding commenced by summons’</w:t>
      </w:r>
      <w:r>
        <w:rPr>
          <w:rFonts w:ascii="Arial" w:eastAsiaTheme="minorHAnsi" w:hAnsi="Arial" w:cs="Arial"/>
          <w:lang w:val="en-ZA" w:eastAsia="en-US"/>
        </w:rPr>
        <w:t xml:space="preserve">.  </w:t>
      </w:r>
      <w:r w:rsidR="00272C89">
        <w:rPr>
          <w:rFonts w:ascii="Arial" w:eastAsiaTheme="minorHAnsi" w:hAnsi="Arial" w:cs="Arial"/>
          <w:lang w:val="en-ZA" w:eastAsia="en-US"/>
        </w:rPr>
        <w:t>Unfortunately,</w:t>
      </w:r>
      <w:r>
        <w:rPr>
          <w:rFonts w:ascii="Arial" w:eastAsiaTheme="minorHAnsi" w:hAnsi="Arial" w:cs="Arial"/>
          <w:lang w:val="en-ZA" w:eastAsia="en-US"/>
        </w:rPr>
        <w:t xml:space="preserve"> </w:t>
      </w:r>
      <w:r w:rsidR="0041051D">
        <w:rPr>
          <w:rFonts w:ascii="Arial" w:eastAsiaTheme="minorHAnsi" w:hAnsi="Arial" w:cs="Arial"/>
          <w:lang w:val="en-ZA" w:eastAsia="en-US"/>
        </w:rPr>
        <w:t>‘</w:t>
      </w:r>
      <w:r>
        <w:rPr>
          <w:rFonts w:ascii="Arial" w:eastAsiaTheme="minorHAnsi" w:hAnsi="Arial" w:cs="Arial"/>
          <w:lang w:val="en-ZA" w:eastAsia="en-US"/>
        </w:rPr>
        <w:t>institute</w:t>
      </w:r>
      <w:r w:rsidR="0041051D">
        <w:rPr>
          <w:rFonts w:ascii="Arial" w:eastAsiaTheme="minorHAnsi" w:hAnsi="Arial" w:cs="Arial"/>
          <w:lang w:val="en-ZA" w:eastAsia="en-US"/>
        </w:rPr>
        <w:t>’ or ‘</w:t>
      </w:r>
      <w:r>
        <w:rPr>
          <w:rFonts w:ascii="Arial" w:eastAsiaTheme="minorHAnsi" w:hAnsi="Arial" w:cs="Arial"/>
          <w:lang w:val="en-ZA" w:eastAsia="en-US"/>
        </w:rPr>
        <w:t>instituted</w:t>
      </w:r>
      <w:r w:rsidR="0041051D">
        <w:rPr>
          <w:rFonts w:ascii="Arial" w:eastAsiaTheme="minorHAnsi" w:hAnsi="Arial" w:cs="Arial"/>
          <w:lang w:val="en-ZA" w:eastAsia="en-US"/>
        </w:rPr>
        <w:t>’</w:t>
      </w:r>
      <w:r>
        <w:rPr>
          <w:rFonts w:ascii="Arial" w:eastAsiaTheme="minorHAnsi" w:hAnsi="Arial" w:cs="Arial"/>
          <w:lang w:val="en-ZA" w:eastAsia="en-US"/>
        </w:rPr>
        <w:t xml:space="preserve"> is not defi</w:t>
      </w:r>
      <w:r w:rsidR="00E01704">
        <w:rPr>
          <w:rFonts w:ascii="Arial" w:eastAsiaTheme="minorHAnsi" w:hAnsi="Arial" w:cs="Arial"/>
          <w:lang w:val="en-ZA" w:eastAsia="en-US"/>
        </w:rPr>
        <w:t>ned in either the R</w:t>
      </w:r>
      <w:r w:rsidR="007B7810">
        <w:rPr>
          <w:rFonts w:ascii="Arial" w:eastAsiaTheme="minorHAnsi" w:hAnsi="Arial" w:cs="Arial"/>
          <w:lang w:val="en-ZA" w:eastAsia="en-US"/>
        </w:rPr>
        <w:t>ules or the S</w:t>
      </w:r>
      <w:r>
        <w:rPr>
          <w:rFonts w:ascii="Arial" w:eastAsiaTheme="minorHAnsi" w:hAnsi="Arial" w:cs="Arial"/>
          <w:lang w:val="en-ZA" w:eastAsia="en-US"/>
        </w:rPr>
        <w:t>uperior</w:t>
      </w:r>
      <w:r w:rsidR="007B7810">
        <w:rPr>
          <w:rFonts w:ascii="Arial" w:eastAsiaTheme="minorHAnsi" w:hAnsi="Arial" w:cs="Arial"/>
          <w:lang w:val="en-ZA" w:eastAsia="en-US"/>
        </w:rPr>
        <w:t xml:space="preserve"> Courts Act 10 of 2013.  Similarly, the Special Investigating Units and Special Tribunals Act 74 of 1996 and the </w:t>
      </w:r>
      <w:r w:rsidR="00781BC7">
        <w:rPr>
          <w:rFonts w:ascii="Arial" w:eastAsiaTheme="minorHAnsi" w:hAnsi="Arial" w:cs="Arial"/>
          <w:lang w:val="en-ZA" w:eastAsia="en-US"/>
        </w:rPr>
        <w:t>Tribunal r</w:t>
      </w:r>
      <w:r w:rsidR="000E3419">
        <w:rPr>
          <w:rFonts w:ascii="Arial" w:eastAsiaTheme="minorHAnsi" w:hAnsi="Arial" w:cs="Arial"/>
          <w:lang w:val="en-ZA" w:eastAsia="en-US"/>
        </w:rPr>
        <w:t>ules</w:t>
      </w:r>
      <w:r w:rsidR="007B7810">
        <w:rPr>
          <w:rFonts w:ascii="Arial" w:eastAsiaTheme="minorHAnsi" w:hAnsi="Arial" w:cs="Arial"/>
          <w:lang w:val="en-ZA" w:eastAsia="en-US"/>
        </w:rPr>
        <w:t xml:space="preserve"> do not define either of these words.</w:t>
      </w:r>
      <w:r>
        <w:rPr>
          <w:rFonts w:ascii="Arial" w:eastAsiaTheme="minorHAnsi" w:hAnsi="Arial" w:cs="Arial"/>
          <w:lang w:val="en-ZA" w:eastAsia="en-US"/>
        </w:rPr>
        <w:t xml:space="preserve"> </w:t>
      </w:r>
    </w:p>
    <w:p w14:paraId="4AF7DB03" w14:textId="77777777" w:rsidR="007B7810" w:rsidRDefault="007B7810" w:rsidP="00141F00">
      <w:pPr>
        <w:spacing w:line="360" w:lineRule="auto"/>
        <w:jc w:val="both"/>
        <w:outlineLvl w:val="0"/>
        <w:rPr>
          <w:rFonts w:ascii="Arial" w:eastAsiaTheme="minorHAnsi" w:hAnsi="Arial" w:cs="Arial"/>
          <w:lang w:val="en-ZA" w:eastAsia="en-US"/>
        </w:rPr>
      </w:pPr>
    </w:p>
    <w:p w14:paraId="256C1896" w14:textId="75FDD4D7" w:rsidR="00205E1D" w:rsidRDefault="00FE4D85" w:rsidP="00B40AE1">
      <w:pPr>
        <w:tabs>
          <w:tab w:val="left" w:pos="567"/>
        </w:tabs>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[24</w:t>
      </w:r>
      <w:r w:rsidR="00E53B70">
        <w:rPr>
          <w:rFonts w:ascii="Arial" w:eastAsiaTheme="minorHAnsi" w:hAnsi="Arial" w:cs="Arial"/>
          <w:lang w:val="en-ZA" w:eastAsia="en-US"/>
        </w:rPr>
        <w:t>]</w:t>
      </w:r>
      <w:r w:rsidR="00E53B70">
        <w:rPr>
          <w:rFonts w:ascii="Arial" w:eastAsiaTheme="minorHAnsi" w:hAnsi="Arial" w:cs="Arial"/>
          <w:lang w:val="en-ZA" w:eastAsia="en-US"/>
        </w:rPr>
        <w:tab/>
      </w:r>
      <w:r w:rsidR="007B7810">
        <w:rPr>
          <w:rFonts w:ascii="Arial" w:eastAsiaTheme="minorHAnsi" w:hAnsi="Arial" w:cs="Arial"/>
          <w:lang w:val="en-ZA" w:eastAsia="en-US"/>
        </w:rPr>
        <w:t xml:space="preserve">In </w:t>
      </w:r>
      <w:proofErr w:type="spellStart"/>
      <w:r w:rsidR="007B7810" w:rsidRPr="00E53B70">
        <w:rPr>
          <w:rFonts w:ascii="Arial" w:eastAsiaTheme="minorHAnsi" w:hAnsi="Arial" w:cs="Arial"/>
          <w:i/>
          <w:lang w:val="en-ZA" w:eastAsia="en-US"/>
        </w:rPr>
        <w:t>Nxumalo</w:t>
      </w:r>
      <w:proofErr w:type="spellEnd"/>
      <w:r w:rsidR="008A5113">
        <w:rPr>
          <w:rFonts w:ascii="Arial" w:eastAsiaTheme="minorHAnsi" w:hAnsi="Arial" w:cs="Arial"/>
          <w:i/>
          <w:lang w:val="en-ZA" w:eastAsia="en-US"/>
        </w:rPr>
        <w:t xml:space="preserve"> v Minister of Justice and Other</w:t>
      </w:r>
      <w:r w:rsidR="002C0DE9">
        <w:rPr>
          <w:rFonts w:ascii="Arial" w:eastAsiaTheme="minorHAnsi" w:hAnsi="Arial" w:cs="Arial"/>
          <w:i/>
          <w:lang w:val="en-ZA" w:eastAsia="en-US"/>
        </w:rPr>
        <w:t>s</w:t>
      </w:r>
      <w:r w:rsidR="00F61C61">
        <w:rPr>
          <w:rFonts w:ascii="Arial" w:eastAsiaTheme="minorHAnsi" w:hAnsi="Arial" w:cs="Arial"/>
          <w:i/>
          <w:lang w:val="en-ZA" w:eastAsia="en-US"/>
        </w:rPr>
        <w:t xml:space="preserve"> </w:t>
      </w:r>
      <w:r w:rsidR="00F61C61" w:rsidRPr="00883FCB">
        <w:rPr>
          <w:rFonts w:ascii="Arial" w:hAnsi="Arial" w:cs="Arial"/>
        </w:rPr>
        <w:t>1961</w:t>
      </w:r>
      <w:r w:rsidR="00F31BDD">
        <w:rPr>
          <w:rFonts w:ascii="Arial" w:hAnsi="Arial" w:cs="Arial"/>
        </w:rPr>
        <w:t xml:space="preserve"> </w:t>
      </w:r>
      <w:r w:rsidR="00F61C61" w:rsidRPr="00883FCB">
        <w:rPr>
          <w:rFonts w:ascii="Arial" w:hAnsi="Arial" w:cs="Arial"/>
        </w:rPr>
        <w:t>(3) SA 663 (W) at 667D</w:t>
      </w:r>
      <w:r w:rsidR="00F61C61">
        <w:rPr>
          <w:rStyle w:val="FootnoteReference"/>
          <w:rFonts w:ascii="Arial" w:eastAsiaTheme="minorHAnsi" w:hAnsi="Arial" w:cs="Arial"/>
          <w:i/>
          <w:lang w:val="en-ZA" w:eastAsia="en-US"/>
        </w:rPr>
        <w:t xml:space="preserve"> </w:t>
      </w:r>
      <w:proofErr w:type="spellStart"/>
      <w:r w:rsidR="008A5113">
        <w:rPr>
          <w:rFonts w:ascii="Arial" w:eastAsiaTheme="minorHAnsi" w:hAnsi="Arial" w:cs="Arial"/>
          <w:lang w:val="en-ZA" w:eastAsia="en-US"/>
        </w:rPr>
        <w:t>K</w:t>
      </w:r>
      <w:r w:rsidR="00205E1D">
        <w:rPr>
          <w:rFonts w:ascii="Arial" w:eastAsiaTheme="minorHAnsi" w:hAnsi="Arial" w:cs="Arial"/>
          <w:lang w:val="en-ZA" w:eastAsia="en-US"/>
        </w:rPr>
        <w:t>uper</w:t>
      </w:r>
      <w:proofErr w:type="spellEnd"/>
      <w:r w:rsidR="00205E1D">
        <w:rPr>
          <w:rFonts w:ascii="Arial" w:eastAsiaTheme="minorHAnsi" w:hAnsi="Arial" w:cs="Arial"/>
          <w:lang w:val="en-ZA" w:eastAsia="en-US"/>
        </w:rPr>
        <w:t xml:space="preserve"> J wrote:</w:t>
      </w:r>
    </w:p>
    <w:p w14:paraId="3EF7EC1D" w14:textId="3F60827B" w:rsidR="00205E1D" w:rsidRDefault="00205E1D" w:rsidP="00141F00">
      <w:pPr>
        <w:spacing w:line="360" w:lineRule="auto"/>
        <w:jc w:val="both"/>
        <w:outlineLvl w:val="0"/>
        <w:rPr>
          <w:rFonts w:ascii="Arial" w:eastAsiaTheme="minorHAnsi" w:hAnsi="Arial" w:cs="Arial"/>
          <w:sz w:val="22"/>
          <w:szCs w:val="22"/>
          <w:lang w:val="en-ZA" w:eastAsia="en-US"/>
        </w:rPr>
      </w:pPr>
      <w:r>
        <w:rPr>
          <w:rFonts w:ascii="Arial" w:eastAsiaTheme="minorHAnsi" w:hAnsi="Arial" w:cs="Arial"/>
          <w:sz w:val="22"/>
          <w:szCs w:val="22"/>
          <w:lang w:val="en-ZA" w:eastAsia="en-US"/>
        </w:rPr>
        <w:t>‘…it seems to me to be clear that an action is co</w:t>
      </w:r>
      <w:r w:rsidR="002C0DE9">
        <w:rPr>
          <w:rFonts w:ascii="Arial" w:eastAsiaTheme="minorHAnsi" w:hAnsi="Arial" w:cs="Arial"/>
          <w:sz w:val="22"/>
          <w:szCs w:val="22"/>
          <w:lang w:val="en-ZA" w:eastAsia="en-US"/>
        </w:rPr>
        <w:t>mmenced by the issue of summons</w:t>
      </w:r>
      <w:r>
        <w:rPr>
          <w:rFonts w:ascii="Arial" w:eastAsiaTheme="minorHAnsi" w:hAnsi="Arial" w:cs="Arial"/>
          <w:sz w:val="22"/>
          <w:szCs w:val="22"/>
          <w:lang w:val="en-ZA" w:eastAsia="en-US"/>
        </w:rPr>
        <w:t>.</w:t>
      </w:r>
      <w:r w:rsidR="002C0DE9">
        <w:rPr>
          <w:rFonts w:ascii="Arial" w:eastAsiaTheme="minorHAnsi" w:hAnsi="Arial" w:cs="Arial"/>
          <w:sz w:val="22"/>
          <w:szCs w:val="22"/>
          <w:lang w:val="en-ZA" w:eastAsia="en-US"/>
        </w:rPr>
        <w:t>’</w:t>
      </w:r>
    </w:p>
    <w:p w14:paraId="4829E229" w14:textId="77777777" w:rsidR="00205E1D" w:rsidRDefault="00205E1D" w:rsidP="00141F00">
      <w:pPr>
        <w:spacing w:line="360" w:lineRule="auto"/>
        <w:jc w:val="both"/>
        <w:outlineLvl w:val="0"/>
        <w:rPr>
          <w:rFonts w:ascii="Arial" w:eastAsiaTheme="minorHAnsi" w:hAnsi="Arial" w:cs="Arial"/>
          <w:sz w:val="22"/>
          <w:szCs w:val="22"/>
          <w:lang w:val="en-ZA" w:eastAsia="en-US"/>
        </w:rPr>
      </w:pPr>
    </w:p>
    <w:p w14:paraId="76882A11" w14:textId="0835DF25" w:rsidR="00205E1D" w:rsidRDefault="00205E1D" w:rsidP="00141F00">
      <w:pPr>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At 667A-B he wrote:</w:t>
      </w:r>
    </w:p>
    <w:p w14:paraId="60C2D26C" w14:textId="77777777" w:rsidR="00205E1D" w:rsidRDefault="00205E1D" w:rsidP="00141F00">
      <w:pPr>
        <w:spacing w:line="360" w:lineRule="auto"/>
        <w:jc w:val="both"/>
        <w:outlineLvl w:val="0"/>
        <w:rPr>
          <w:rFonts w:ascii="Arial" w:eastAsiaTheme="minorHAnsi" w:hAnsi="Arial" w:cs="Arial"/>
          <w:sz w:val="22"/>
          <w:szCs w:val="22"/>
          <w:lang w:val="en-ZA" w:eastAsia="en-US"/>
        </w:rPr>
      </w:pPr>
      <w:r>
        <w:rPr>
          <w:rFonts w:ascii="Arial" w:eastAsiaTheme="minorHAnsi" w:hAnsi="Arial" w:cs="Arial"/>
          <w:lang w:val="en-ZA" w:eastAsia="en-US"/>
        </w:rPr>
        <w:t>‘</w:t>
      </w:r>
      <w:r>
        <w:rPr>
          <w:rFonts w:ascii="Arial" w:eastAsiaTheme="minorHAnsi" w:hAnsi="Arial" w:cs="Arial"/>
          <w:sz w:val="22"/>
          <w:szCs w:val="22"/>
          <w:lang w:val="en-ZA" w:eastAsia="en-US"/>
        </w:rPr>
        <w:t>It is quite clear in my view that, once a summons has been issued, i.e. once it has been signed by the Registrar… and handed to the plaintiff’s attorney to enable him to have the matter served, the litigation has commenced…’</w:t>
      </w:r>
    </w:p>
    <w:p w14:paraId="2D0F6A01" w14:textId="77777777" w:rsidR="00205E1D" w:rsidRDefault="00205E1D" w:rsidP="00141F00">
      <w:pPr>
        <w:spacing w:line="360" w:lineRule="auto"/>
        <w:jc w:val="both"/>
        <w:outlineLvl w:val="0"/>
        <w:rPr>
          <w:rFonts w:ascii="Arial" w:eastAsiaTheme="minorHAnsi" w:hAnsi="Arial" w:cs="Arial"/>
          <w:lang w:val="en-ZA" w:eastAsia="en-US"/>
        </w:rPr>
      </w:pPr>
    </w:p>
    <w:p w14:paraId="31896056" w14:textId="38BDD159" w:rsidR="00205E1D" w:rsidRDefault="00205E1D" w:rsidP="00141F00">
      <w:pPr>
        <w:spacing w:line="360" w:lineRule="auto"/>
        <w:jc w:val="both"/>
        <w:outlineLvl w:val="0"/>
        <w:rPr>
          <w:rFonts w:ascii="Arial" w:eastAsiaTheme="minorHAnsi" w:hAnsi="Arial" w:cs="Arial"/>
          <w:lang w:val="en-ZA" w:eastAsia="en-US"/>
        </w:rPr>
      </w:pPr>
      <w:r>
        <w:rPr>
          <w:rFonts w:ascii="Arial" w:eastAsiaTheme="minorHAnsi" w:hAnsi="Arial" w:cs="Arial"/>
          <w:lang w:val="en-ZA" w:eastAsia="en-US"/>
        </w:rPr>
        <w:t>And at 668C-E</w:t>
      </w:r>
    </w:p>
    <w:p w14:paraId="7E419104" w14:textId="77777777" w:rsidR="00205E1D" w:rsidRDefault="00205E1D" w:rsidP="00141F00">
      <w:pPr>
        <w:spacing w:line="360" w:lineRule="auto"/>
        <w:jc w:val="both"/>
        <w:outlineLvl w:val="0"/>
        <w:rPr>
          <w:rFonts w:ascii="Arial" w:eastAsiaTheme="minorHAnsi" w:hAnsi="Arial" w:cs="Arial"/>
          <w:sz w:val="22"/>
          <w:szCs w:val="22"/>
          <w:lang w:val="en-ZA" w:eastAsia="en-US"/>
        </w:rPr>
      </w:pPr>
      <w:r>
        <w:rPr>
          <w:rFonts w:ascii="Arial" w:eastAsiaTheme="minorHAnsi" w:hAnsi="Arial" w:cs="Arial"/>
          <w:sz w:val="22"/>
          <w:szCs w:val="22"/>
          <w:lang w:val="en-ZA" w:eastAsia="en-US"/>
        </w:rPr>
        <w:t>‘Now, the commencement of the proceedings is the institution of the action.  It seems to me that no other meaning can be given to those words…When did this action commence?  Inevitably the answer would be: The day when the summons was issued.</w:t>
      </w:r>
    </w:p>
    <w:p w14:paraId="34653520" w14:textId="77777777" w:rsidR="00205E1D" w:rsidRDefault="00205E1D" w:rsidP="00141F00">
      <w:pPr>
        <w:spacing w:line="360" w:lineRule="auto"/>
        <w:jc w:val="both"/>
        <w:outlineLvl w:val="0"/>
        <w:rPr>
          <w:rFonts w:ascii="Arial" w:eastAsiaTheme="minorHAnsi" w:hAnsi="Arial" w:cs="Arial"/>
          <w:sz w:val="22"/>
          <w:szCs w:val="22"/>
          <w:lang w:val="en-ZA" w:eastAsia="en-US"/>
        </w:rPr>
      </w:pPr>
    </w:p>
    <w:p w14:paraId="7181243C" w14:textId="0D802880" w:rsidR="00FE4D85" w:rsidRPr="00B152BC" w:rsidRDefault="00205E1D" w:rsidP="00262783">
      <w:pPr>
        <w:spacing w:line="360" w:lineRule="auto"/>
        <w:jc w:val="both"/>
        <w:outlineLvl w:val="0"/>
        <w:rPr>
          <w:rFonts w:ascii="Arial" w:eastAsiaTheme="minorHAnsi" w:hAnsi="Arial" w:cs="Arial"/>
          <w:sz w:val="22"/>
          <w:szCs w:val="22"/>
          <w:lang w:val="en-ZA" w:eastAsia="en-US"/>
        </w:rPr>
      </w:pPr>
      <w:r>
        <w:rPr>
          <w:rFonts w:ascii="Arial" w:eastAsiaTheme="minorHAnsi" w:hAnsi="Arial" w:cs="Arial"/>
          <w:sz w:val="22"/>
          <w:szCs w:val="22"/>
          <w:lang w:val="en-ZA" w:eastAsia="en-US"/>
        </w:rPr>
        <w:lastRenderedPageBreak/>
        <w:t xml:space="preserve">I would only add that, if it could be contended that the ordinary meaning of the words “the commencement of the proceedings” could be either </w:t>
      </w:r>
      <w:r w:rsidR="00262783">
        <w:rPr>
          <w:rFonts w:ascii="Arial" w:eastAsiaTheme="minorHAnsi" w:hAnsi="Arial" w:cs="Arial"/>
          <w:sz w:val="22"/>
          <w:szCs w:val="22"/>
          <w:lang w:val="en-ZA" w:eastAsia="en-US"/>
        </w:rPr>
        <w:t>the date of the issue of summons or equally the date of service of the summons, the former view would have to prevail.’</w:t>
      </w:r>
    </w:p>
    <w:p w14:paraId="2E2CD631" w14:textId="77777777" w:rsidR="009413D6" w:rsidRDefault="009413D6" w:rsidP="00CC0021">
      <w:pPr>
        <w:tabs>
          <w:tab w:val="left" w:pos="567"/>
        </w:tabs>
        <w:spacing w:line="360" w:lineRule="auto"/>
        <w:jc w:val="both"/>
        <w:outlineLvl w:val="0"/>
        <w:rPr>
          <w:rFonts w:ascii="Arial" w:hAnsi="Arial" w:cs="Arial"/>
          <w:szCs w:val="20"/>
          <w:lang w:eastAsia="en-ZA"/>
        </w:rPr>
      </w:pPr>
    </w:p>
    <w:p w14:paraId="03B809CA" w14:textId="355F903A" w:rsidR="00262783" w:rsidRDefault="00FE4D85" w:rsidP="00CC0021">
      <w:pPr>
        <w:tabs>
          <w:tab w:val="left" w:pos="567"/>
        </w:tabs>
        <w:spacing w:line="360" w:lineRule="auto"/>
        <w:jc w:val="both"/>
        <w:outlineLvl w:val="0"/>
        <w:rPr>
          <w:rFonts w:ascii="Arial" w:eastAsiaTheme="minorHAnsi" w:hAnsi="Arial" w:cs="Arial"/>
          <w:sz w:val="22"/>
          <w:szCs w:val="22"/>
          <w:lang w:val="en-ZA" w:eastAsia="en-US"/>
        </w:rPr>
      </w:pPr>
      <w:r>
        <w:rPr>
          <w:rFonts w:ascii="Arial" w:hAnsi="Arial" w:cs="Arial"/>
          <w:szCs w:val="20"/>
          <w:lang w:eastAsia="en-ZA"/>
        </w:rPr>
        <w:t>[25</w:t>
      </w:r>
      <w:r w:rsidR="00E53B70">
        <w:rPr>
          <w:rFonts w:ascii="Arial" w:hAnsi="Arial" w:cs="Arial"/>
          <w:szCs w:val="20"/>
          <w:lang w:eastAsia="en-ZA"/>
        </w:rPr>
        <w:t>]</w:t>
      </w:r>
      <w:r w:rsidR="00E53B70">
        <w:rPr>
          <w:rFonts w:ascii="Arial" w:hAnsi="Arial" w:cs="Arial"/>
          <w:szCs w:val="20"/>
          <w:lang w:eastAsia="en-ZA"/>
        </w:rPr>
        <w:tab/>
        <w:t xml:space="preserve">In </w:t>
      </w:r>
      <w:proofErr w:type="spellStart"/>
      <w:r w:rsidR="00E53B70">
        <w:rPr>
          <w:rFonts w:ascii="Arial" w:hAnsi="Arial" w:cs="Arial"/>
          <w:i/>
          <w:szCs w:val="20"/>
          <w:lang w:eastAsia="en-ZA"/>
        </w:rPr>
        <w:t>Mati</w:t>
      </w:r>
      <w:proofErr w:type="spellEnd"/>
      <w:r w:rsidR="00E53B70">
        <w:rPr>
          <w:rFonts w:ascii="Arial" w:hAnsi="Arial" w:cs="Arial"/>
          <w:i/>
          <w:szCs w:val="20"/>
          <w:lang w:eastAsia="en-ZA"/>
        </w:rPr>
        <w:t xml:space="preserve"> v Minister of Justice, Police and Prisons, Ciskei </w:t>
      </w:r>
      <w:r w:rsidR="00E53B70">
        <w:rPr>
          <w:rFonts w:ascii="Arial" w:hAnsi="Arial" w:cs="Arial"/>
          <w:szCs w:val="20"/>
          <w:lang w:eastAsia="en-ZA"/>
        </w:rPr>
        <w:t xml:space="preserve">1988 (3) </w:t>
      </w:r>
      <w:r w:rsidR="00883FCB">
        <w:rPr>
          <w:rFonts w:ascii="Arial" w:hAnsi="Arial" w:cs="Arial"/>
          <w:szCs w:val="20"/>
          <w:lang w:eastAsia="en-ZA"/>
        </w:rPr>
        <w:t xml:space="preserve">SA 750 (CK) at 753, </w:t>
      </w:r>
      <w:proofErr w:type="spellStart"/>
      <w:r w:rsidR="00883FCB">
        <w:rPr>
          <w:rFonts w:ascii="Arial" w:hAnsi="Arial" w:cs="Arial"/>
          <w:szCs w:val="20"/>
          <w:lang w:eastAsia="en-ZA"/>
        </w:rPr>
        <w:t>Claassens</w:t>
      </w:r>
      <w:proofErr w:type="spellEnd"/>
      <w:r w:rsidR="00883FCB">
        <w:rPr>
          <w:rFonts w:ascii="Arial" w:hAnsi="Arial" w:cs="Arial"/>
          <w:szCs w:val="20"/>
          <w:lang w:eastAsia="en-ZA"/>
        </w:rPr>
        <w:t xml:space="preserve"> J stated:</w:t>
      </w:r>
      <w:r w:rsidR="00E53B70">
        <w:rPr>
          <w:rFonts w:ascii="Arial" w:hAnsi="Arial" w:cs="Arial"/>
          <w:szCs w:val="20"/>
          <w:lang w:eastAsia="en-ZA"/>
        </w:rPr>
        <w:t xml:space="preserve"> </w:t>
      </w:r>
    </w:p>
    <w:p w14:paraId="465C4DAC" w14:textId="3E06B723" w:rsidR="00262783" w:rsidRDefault="00E53B70" w:rsidP="00262783">
      <w:pPr>
        <w:spacing w:line="360" w:lineRule="auto"/>
        <w:jc w:val="both"/>
        <w:outlineLvl w:val="0"/>
        <w:rPr>
          <w:rFonts w:ascii="Arial" w:eastAsiaTheme="minorHAnsi" w:hAnsi="Arial" w:cs="Arial"/>
          <w:sz w:val="22"/>
          <w:szCs w:val="22"/>
          <w:lang w:val="en-ZA" w:eastAsia="en-US"/>
        </w:rPr>
      </w:pPr>
      <w:r w:rsidRPr="00EA56CC">
        <w:rPr>
          <w:rFonts w:ascii="Arial" w:hAnsi="Arial" w:cs="Arial"/>
          <w:sz w:val="22"/>
          <w:szCs w:val="22"/>
          <w:lang w:eastAsia="en-ZA"/>
        </w:rPr>
        <w:t>‘</w:t>
      </w:r>
      <w:r w:rsidR="00883FCB">
        <w:rPr>
          <w:rFonts w:ascii="Arial" w:hAnsi="Arial" w:cs="Arial"/>
          <w:sz w:val="22"/>
          <w:szCs w:val="22"/>
          <w:lang w:eastAsia="en-ZA"/>
        </w:rPr>
        <w:t>…</w:t>
      </w:r>
      <w:r w:rsidRPr="00EA56CC">
        <w:rPr>
          <w:rFonts w:ascii="Arial" w:hAnsi="Arial" w:cs="Arial"/>
          <w:sz w:val="22"/>
          <w:szCs w:val="22"/>
          <w:lang w:eastAsia="en-ZA"/>
        </w:rPr>
        <w:t>that in general terms as well it has been held that action is commenced or action is instituted when summons is issued.</w:t>
      </w:r>
      <w:r w:rsidR="00883FCB">
        <w:rPr>
          <w:rFonts w:ascii="Arial" w:hAnsi="Arial" w:cs="Arial"/>
          <w:sz w:val="22"/>
          <w:szCs w:val="22"/>
          <w:lang w:eastAsia="en-ZA"/>
        </w:rPr>
        <w:t>’</w:t>
      </w:r>
    </w:p>
    <w:p w14:paraId="5E1C8E4C" w14:textId="77777777" w:rsidR="00262783" w:rsidRDefault="00262783" w:rsidP="00262783">
      <w:pPr>
        <w:spacing w:line="360" w:lineRule="auto"/>
        <w:jc w:val="both"/>
        <w:outlineLvl w:val="0"/>
        <w:rPr>
          <w:rFonts w:ascii="Arial" w:eastAsiaTheme="minorHAnsi" w:hAnsi="Arial" w:cs="Arial"/>
          <w:sz w:val="22"/>
          <w:szCs w:val="22"/>
          <w:lang w:val="en-ZA" w:eastAsia="en-US"/>
        </w:rPr>
      </w:pPr>
    </w:p>
    <w:p w14:paraId="7B2F86EC" w14:textId="223CF981" w:rsidR="00262783" w:rsidRDefault="00FE4D85" w:rsidP="008C2F62">
      <w:pPr>
        <w:tabs>
          <w:tab w:val="left" w:pos="567"/>
        </w:tabs>
        <w:spacing w:line="360" w:lineRule="auto"/>
        <w:jc w:val="both"/>
        <w:outlineLvl w:val="0"/>
        <w:rPr>
          <w:rFonts w:ascii="Arial" w:eastAsiaTheme="minorHAnsi" w:hAnsi="Arial" w:cs="Arial"/>
          <w:sz w:val="22"/>
          <w:szCs w:val="22"/>
          <w:lang w:val="en-ZA" w:eastAsia="en-US"/>
        </w:rPr>
      </w:pPr>
      <w:r>
        <w:rPr>
          <w:rFonts w:ascii="Arial" w:hAnsi="Arial" w:cs="Arial"/>
          <w:szCs w:val="20"/>
          <w:lang w:eastAsia="en-ZA"/>
        </w:rPr>
        <w:t>[26</w:t>
      </w:r>
      <w:r w:rsidR="00E53B70">
        <w:rPr>
          <w:rFonts w:ascii="Arial" w:hAnsi="Arial" w:cs="Arial"/>
          <w:szCs w:val="20"/>
          <w:lang w:eastAsia="en-ZA"/>
        </w:rPr>
        <w:t>]</w:t>
      </w:r>
      <w:r w:rsidR="00E53B70">
        <w:rPr>
          <w:rFonts w:ascii="Arial" w:hAnsi="Arial" w:cs="Arial"/>
          <w:szCs w:val="20"/>
          <w:lang w:eastAsia="en-ZA"/>
        </w:rPr>
        <w:tab/>
        <w:t xml:space="preserve">As per </w:t>
      </w:r>
      <w:r w:rsidR="009A259A">
        <w:rPr>
          <w:rFonts w:ascii="Arial" w:hAnsi="Arial" w:cs="Arial"/>
          <w:szCs w:val="20"/>
          <w:lang w:eastAsia="en-ZA"/>
        </w:rPr>
        <w:t xml:space="preserve">AC </w:t>
      </w:r>
      <w:proofErr w:type="spellStart"/>
      <w:r w:rsidR="009A259A">
        <w:rPr>
          <w:rFonts w:ascii="Arial" w:hAnsi="Arial" w:cs="Arial"/>
          <w:szCs w:val="20"/>
          <w:lang w:eastAsia="en-ZA"/>
        </w:rPr>
        <w:t>Cilliers</w:t>
      </w:r>
      <w:proofErr w:type="spellEnd"/>
      <w:r w:rsidR="009A259A">
        <w:rPr>
          <w:rFonts w:ascii="Arial" w:hAnsi="Arial" w:cs="Arial"/>
          <w:szCs w:val="20"/>
          <w:lang w:eastAsia="en-ZA"/>
        </w:rPr>
        <w:t xml:space="preserve"> </w:t>
      </w:r>
      <w:r w:rsidR="009A259A">
        <w:rPr>
          <w:rFonts w:ascii="Arial" w:hAnsi="Arial" w:cs="Arial"/>
          <w:i/>
          <w:szCs w:val="20"/>
          <w:lang w:eastAsia="en-ZA"/>
        </w:rPr>
        <w:t xml:space="preserve">et al </w:t>
      </w:r>
      <w:proofErr w:type="spellStart"/>
      <w:r w:rsidR="00E53B70" w:rsidRPr="00A86A79">
        <w:rPr>
          <w:rFonts w:ascii="Arial" w:hAnsi="Arial" w:cs="Arial"/>
          <w:i/>
          <w:szCs w:val="20"/>
          <w:lang w:eastAsia="en-ZA"/>
        </w:rPr>
        <w:t>Herbstein</w:t>
      </w:r>
      <w:proofErr w:type="spellEnd"/>
      <w:r w:rsidR="00E53B70" w:rsidRPr="00A86A79">
        <w:rPr>
          <w:rFonts w:ascii="Arial" w:hAnsi="Arial" w:cs="Arial"/>
          <w:i/>
          <w:szCs w:val="20"/>
          <w:lang w:eastAsia="en-ZA"/>
        </w:rPr>
        <w:t xml:space="preserve"> and Van </w:t>
      </w:r>
      <w:proofErr w:type="spellStart"/>
      <w:r w:rsidR="00E53B70" w:rsidRPr="00A86A79">
        <w:rPr>
          <w:rFonts w:ascii="Arial" w:hAnsi="Arial" w:cs="Arial"/>
          <w:i/>
          <w:szCs w:val="20"/>
          <w:lang w:eastAsia="en-ZA"/>
        </w:rPr>
        <w:t>Winsen</w:t>
      </w:r>
      <w:proofErr w:type="spellEnd"/>
      <w:r w:rsidR="00E53B70" w:rsidRPr="00A86A79">
        <w:rPr>
          <w:rFonts w:ascii="Arial" w:hAnsi="Arial" w:cs="Arial"/>
          <w:i/>
          <w:szCs w:val="20"/>
          <w:lang w:eastAsia="en-ZA"/>
        </w:rPr>
        <w:t>: The Civil Practice of the High Courts and Supreme Court of Appeal of South Africa</w:t>
      </w:r>
      <w:r w:rsidR="00E53B70">
        <w:rPr>
          <w:rFonts w:ascii="Arial" w:hAnsi="Arial" w:cs="Arial"/>
          <w:szCs w:val="20"/>
          <w:lang w:eastAsia="en-ZA"/>
        </w:rPr>
        <w:t xml:space="preserve"> 5 </w:t>
      </w:r>
      <w:proofErr w:type="spellStart"/>
      <w:r w:rsidR="00E53B70">
        <w:rPr>
          <w:rFonts w:ascii="Arial" w:hAnsi="Arial" w:cs="Arial"/>
          <w:szCs w:val="20"/>
          <w:lang w:eastAsia="en-ZA"/>
        </w:rPr>
        <w:t>ed</w:t>
      </w:r>
      <w:proofErr w:type="spellEnd"/>
      <w:r w:rsidR="00E53B70">
        <w:rPr>
          <w:rFonts w:ascii="Arial" w:hAnsi="Arial" w:cs="Arial"/>
          <w:szCs w:val="20"/>
          <w:lang w:eastAsia="en-ZA"/>
        </w:rPr>
        <w:t xml:space="preserve"> (2009) at 503:</w:t>
      </w:r>
    </w:p>
    <w:p w14:paraId="699A3657" w14:textId="2E9BE893" w:rsidR="00262783" w:rsidRPr="00900E80" w:rsidRDefault="00E53B70" w:rsidP="00B40AE1">
      <w:pPr>
        <w:tabs>
          <w:tab w:val="left" w:pos="567"/>
        </w:tabs>
        <w:spacing w:line="360" w:lineRule="auto"/>
        <w:jc w:val="both"/>
        <w:outlineLvl w:val="0"/>
        <w:rPr>
          <w:rFonts w:ascii="Arial" w:hAnsi="Arial" w:cs="Arial"/>
          <w:sz w:val="22"/>
          <w:szCs w:val="22"/>
          <w:lang w:eastAsia="en-ZA"/>
        </w:rPr>
      </w:pPr>
      <w:r w:rsidRPr="00EA56CC">
        <w:rPr>
          <w:rFonts w:ascii="Arial" w:hAnsi="Arial" w:cs="Arial"/>
          <w:sz w:val="22"/>
          <w:szCs w:val="22"/>
          <w:lang w:eastAsia="en-ZA"/>
        </w:rPr>
        <w:t>‘</w:t>
      </w:r>
      <w:r w:rsidRPr="00EA56CC">
        <w:rPr>
          <w:rFonts w:ascii="Arial" w:hAnsi="Arial" w:cs="Arial"/>
          <w:i/>
          <w:sz w:val="22"/>
          <w:szCs w:val="22"/>
          <w:lang w:eastAsia="en-ZA"/>
        </w:rPr>
        <w:t>(b)</w:t>
      </w:r>
      <w:r w:rsidRPr="00EA56CC">
        <w:rPr>
          <w:rFonts w:ascii="Arial" w:hAnsi="Arial" w:cs="Arial"/>
          <w:i/>
          <w:sz w:val="22"/>
          <w:szCs w:val="22"/>
          <w:lang w:eastAsia="en-ZA"/>
        </w:rPr>
        <w:tab/>
      </w:r>
      <w:r w:rsidRPr="00EA56CC">
        <w:rPr>
          <w:rFonts w:ascii="Arial" w:hAnsi="Arial" w:cs="Arial"/>
          <w:sz w:val="22"/>
          <w:szCs w:val="22"/>
          <w:lang w:eastAsia="en-ZA"/>
        </w:rPr>
        <w:t>The issue of summons, not service of it, ordinarily constitutes the commencement of proceedings. The issue of a summons is the initiation of an action.’</w:t>
      </w:r>
      <w:r>
        <w:rPr>
          <w:rFonts w:ascii="Arial" w:hAnsi="Arial" w:cs="Arial"/>
          <w:szCs w:val="20"/>
          <w:lang w:eastAsia="en-ZA"/>
        </w:rPr>
        <w:t xml:space="preserve"> (Footnotes omitted.)</w:t>
      </w:r>
    </w:p>
    <w:p w14:paraId="5C23936D" w14:textId="77777777" w:rsidR="00262783" w:rsidRDefault="00262783" w:rsidP="00262783">
      <w:pPr>
        <w:spacing w:line="360" w:lineRule="auto"/>
        <w:jc w:val="both"/>
        <w:outlineLvl w:val="0"/>
        <w:rPr>
          <w:rFonts w:ascii="Arial" w:eastAsiaTheme="minorHAnsi" w:hAnsi="Arial" w:cs="Arial"/>
          <w:sz w:val="22"/>
          <w:szCs w:val="22"/>
          <w:lang w:val="en-ZA" w:eastAsia="en-US"/>
        </w:rPr>
      </w:pPr>
    </w:p>
    <w:p w14:paraId="14579F25" w14:textId="66DEF1DC" w:rsidR="00262783" w:rsidRDefault="00FE4D85" w:rsidP="002F1E6B">
      <w:pPr>
        <w:tabs>
          <w:tab w:val="left" w:pos="567"/>
        </w:tabs>
        <w:spacing w:line="360" w:lineRule="auto"/>
        <w:jc w:val="both"/>
        <w:outlineLvl w:val="0"/>
        <w:rPr>
          <w:rFonts w:ascii="Arial" w:eastAsiaTheme="minorHAnsi" w:hAnsi="Arial" w:cs="Arial"/>
          <w:sz w:val="22"/>
          <w:szCs w:val="22"/>
          <w:lang w:val="en-ZA" w:eastAsia="en-US"/>
        </w:rPr>
      </w:pPr>
      <w:r>
        <w:rPr>
          <w:rFonts w:ascii="Arial" w:hAnsi="Arial" w:cs="Arial"/>
          <w:szCs w:val="20"/>
          <w:lang w:eastAsia="en-ZA"/>
        </w:rPr>
        <w:t>[27</w:t>
      </w:r>
      <w:r w:rsidR="00E53B70">
        <w:rPr>
          <w:rFonts w:ascii="Arial" w:hAnsi="Arial" w:cs="Arial"/>
          <w:szCs w:val="20"/>
          <w:lang w:eastAsia="en-ZA"/>
        </w:rPr>
        <w:t>]</w:t>
      </w:r>
      <w:r w:rsidR="00E53B70">
        <w:rPr>
          <w:rFonts w:ascii="Arial" w:hAnsi="Arial" w:cs="Arial"/>
          <w:szCs w:val="20"/>
          <w:lang w:eastAsia="en-ZA"/>
        </w:rPr>
        <w:tab/>
        <w:t xml:space="preserve">In the </w:t>
      </w:r>
      <w:r w:rsidR="00E53B70">
        <w:rPr>
          <w:rFonts w:ascii="Arial" w:hAnsi="Arial" w:cs="Arial"/>
          <w:i/>
          <w:szCs w:val="20"/>
          <w:lang w:eastAsia="en-ZA"/>
        </w:rPr>
        <w:t>P</w:t>
      </w:r>
      <w:r w:rsidR="00F61C61">
        <w:rPr>
          <w:rFonts w:ascii="Arial" w:hAnsi="Arial" w:cs="Arial"/>
          <w:i/>
          <w:szCs w:val="20"/>
          <w:lang w:eastAsia="en-ZA"/>
        </w:rPr>
        <w:t>uma</w:t>
      </w:r>
      <w:r w:rsidR="00E53B70">
        <w:rPr>
          <w:rFonts w:ascii="Arial" w:hAnsi="Arial" w:cs="Arial"/>
          <w:i/>
          <w:szCs w:val="20"/>
          <w:lang w:eastAsia="en-ZA"/>
        </w:rPr>
        <w:t xml:space="preserve"> SE v H</w:t>
      </w:r>
      <w:r w:rsidR="00F61C61">
        <w:rPr>
          <w:rFonts w:ascii="Arial" w:hAnsi="Arial" w:cs="Arial"/>
          <w:i/>
          <w:szCs w:val="20"/>
          <w:lang w:eastAsia="en-ZA"/>
        </w:rPr>
        <w:t>am</w:t>
      </w:r>
      <w:r w:rsidR="00E53B70">
        <w:rPr>
          <w:rFonts w:ascii="Arial" w:hAnsi="Arial" w:cs="Arial"/>
          <w:i/>
          <w:szCs w:val="20"/>
          <w:lang w:eastAsia="en-ZA"/>
        </w:rPr>
        <w:t xml:space="preserve"> Trading Enterprise CC and others</w:t>
      </w:r>
      <w:r w:rsidR="002F1E6B">
        <w:rPr>
          <w:rFonts w:ascii="Arial" w:hAnsi="Arial" w:cs="Arial"/>
          <w:szCs w:val="20"/>
          <w:lang w:eastAsia="en-ZA"/>
        </w:rPr>
        <w:t xml:space="preserve"> </w:t>
      </w:r>
      <w:r w:rsidR="002F1E6B" w:rsidRPr="002F1E6B">
        <w:rPr>
          <w:rFonts w:ascii="Arial" w:hAnsi="Arial" w:cs="Arial"/>
          <w:szCs w:val="20"/>
          <w:lang w:eastAsia="en-ZA"/>
        </w:rPr>
        <w:t>[2018] ZAKZDHC 42</w:t>
      </w:r>
      <w:r w:rsidR="00E53B70">
        <w:rPr>
          <w:rFonts w:ascii="Arial" w:hAnsi="Arial" w:cs="Arial"/>
          <w:szCs w:val="20"/>
          <w:lang w:eastAsia="en-ZA"/>
        </w:rPr>
        <w:t xml:space="preserve">, an unreported judgment by Olsen J, the following </w:t>
      </w:r>
      <w:r w:rsidR="00CC0021">
        <w:rPr>
          <w:rFonts w:ascii="Arial" w:hAnsi="Arial" w:cs="Arial"/>
          <w:szCs w:val="20"/>
          <w:lang w:eastAsia="en-ZA"/>
        </w:rPr>
        <w:t xml:space="preserve">was </w:t>
      </w:r>
      <w:r w:rsidR="00E53B70">
        <w:rPr>
          <w:rFonts w:ascii="Arial" w:hAnsi="Arial" w:cs="Arial"/>
          <w:szCs w:val="20"/>
          <w:lang w:eastAsia="en-ZA"/>
        </w:rPr>
        <w:t>said:</w:t>
      </w:r>
      <w:r w:rsidR="00E53B70">
        <w:rPr>
          <w:rFonts w:ascii="Arial" w:hAnsi="Arial" w:cs="Arial"/>
          <w:i/>
          <w:szCs w:val="20"/>
          <w:lang w:eastAsia="en-ZA"/>
        </w:rPr>
        <w:t xml:space="preserve"> </w:t>
      </w:r>
    </w:p>
    <w:p w14:paraId="0081037F" w14:textId="77777777" w:rsidR="00E53B70" w:rsidRPr="00262783" w:rsidRDefault="00E53B70" w:rsidP="00262783">
      <w:pPr>
        <w:spacing w:line="360" w:lineRule="auto"/>
        <w:jc w:val="both"/>
        <w:outlineLvl w:val="0"/>
        <w:rPr>
          <w:rFonts w:ascii="Arial" w:eastAsiaTheme="minorHAnsi" w:hAnsi="Arial" w:cs="Arial"/>
          <w:sz w:val="22"/>
          <w:szCs w:val="22"/>
          <w:lang w:val="en-ZA" w:eastAsia="en-US"/>
        </w:rPr>
      </w:pPr>
      <w:r w:rsidRPr="00573C03">
        <w:rPr>
          <w:rFonts w:ascii="Arial" w:hAnsi="Arial" w:cs="Arial"/>
          <w:sz w:val="22"/>
          <w:szCs w:val="22"/>
        </w:rPr>
        <w:t xml:space="preserve">‘[6] Counsel for the plaintiff have drawn my attention to the judgment in the matter of </w:t>
      </w:r>
      <w:r w:rsidRPr="00573C03">
        <w:rPr>
          <w:rFonts w:ascii="Arial" w:hAnsi="Arial" w:cs="Arial"/>
          <w:i/>
          <w:sz w:val="22"/>
          <w:szCs w:val="22"/>
        </w:rPr>
        <w:t>Jazz Cellular CC v Nokia Corporation and others</w:t>
      </w:r>
      <w:r w:rsidRPr="00573C03">
        <w:rPr>
          <w:rFonts w:ascii="Arial" w:hAnsi="Arial" w:cs="Arial"/>
          <w:sz w:val="22"/>
          <w:szCs w:val="22"/>
        </w:rPr>
        <w:t xml:space="preserve"> 2008 BIP 352 (C) where the point which concerns me was taken. As to the argument that service is required, and not merely the issue of the process, the learned Judge stated (at 357A-B) that he agreed with counsel’s submission </w:t>
      </w:r>
    </w:p>
    <w:p w14:paraId="706FC353" w14:textId="7DB3DE3B" w:rsidR="00E53B70" w:rsidRPr="00573C03" w:rsidRDefault="00E53B70" w:rsidP="00C26BA6">
      <w:pPr>
        <w:spacing w:line="360" w:lineRule="auto"/>
        <w:ind w:left="720"/>
        <w:jc w:val="both"/>
        <w:rPr>
          <w:rFonts w:ascii="Arial" w:hAnsi="Arial" w:cs="Arial"/>
          <w:sz w:val="22"/>
          <w:szCs w:val="22"/>
        </w:rPr>
      </w:pPr>
      <w:r w:rsidRPr="00573C03">
        <w:rPr>
          <w:rFonts w:ascii="Arial" w:hAnsi="Arial" w:cs="Arial"/>
          <w:sz w:val="22"/>
          <w:szCs w:val="22"/>
        </w:rPr>
        <w:t xml:space="preserve">“that this contention has been disposed of by this court in </w:t>
      </w:r>
      <w:r w:rsidRPr="00573C03">
        <w:rPr>
          <w:rFonts w:ascii="Arial" w:hAnsi="Arial" w:cs="Arial"/>
          <w:i/>
          <w:sz w:val="22"/>
          <w:szCs w:val="22"/>
        </w:rPr>
        <w:t xml:space="preserve">Commissioner of the South African Revenue Service and others v Shoprite-Checkers </w:t>
      </w:r>
      <w:r w:rsidRPr="00573C03">
        <w:rPr>
          <w:rFonts w:ascii="Arial" w:hAnsi="Arial" w:cs="Arial"/>
          <w:sz w:val="22"/>
          <w:szCs w:val="22"/>
        </w:rPr>
        <w:t xml:space="preserve">2006 BIP 243 (C). I agree that there is no requirement of service within 10 court days, only institution of proceedings within that time. Of course, service would have to take place for the action to proceed, but service after the </w:t>
      </w:r>
      <w:r w:rsidR="002F1E6B">
        <w:rPr>
          <w:rFonts w:ascii="Arial" w:hAnsi="Arial" w:cs="Arial"/>
          <w:sz w:val="22"/>
          <w:szCs w:val="22"/>
        </w:rPr>
        <w:t xml:space="preserve">10 </w:t>
      </w:r>
      <w:r w:rsidR="00F65C46" w:rsidRPr="00573C03">
        <w:rPr>
          <w:rFonts w:ascii="Arial" w:hAnsi="Arial" w:cs="Arial"/>
          <w:sz w:val="22"/>
          <w:szCs w:val="22"/>
        </w:rPr>
        <w:t>day</w:t>
      </w:r>
      <w:r w:rsidRPr="00573C03">
        <w:rPr>
          <w:rFonts w:ascii="Arial" w:hAnsi="Arial" w:cs="Arial"/>
          <w:sz w:val="22"/>
          <w:szCs w:val="22"/>
        </w:rPr>
        <w:t xml:space="preserve"> period would not have the effect of non-suiting a plaintiff.” </w:t>
      </w:r>
    </w:p>
    <w:p w14:paraId="0AA53D18" w14:textId="77777777" w:rsidR="00E53B70" w:rsidRPr="00573C03" w:rsidRDefault="00E53B70" w:rsidP="00E53B70">
      <w:pPr>
        <w:spacing w:line="360" w:lineRule="auto"/>
        <w:jc w:val="both"/>
        <w:rPr>
          <w:rFonts w:ascii="Arial" w:hAnsi="Arial" w:cs="Arial"/>
          <w:sz w:val="22"/>
          <w:szCs w:val="22"/>
        </w:rPr>
      </w:pPr>
      <w:r w:rsidRPr="00573C03">
        <w:rPr>
          <w:rFonts w:ascii="Arial" w:hAnsi="Arial" w:cs="Arial"/>
          <w:sz w:val="22"/>
          <w:szCs w:val="22"/>
        </w:rPr>
        <w:t xml:space="preserve">The </w:t>
      </w:r>
      <w:r w:rsidRPr="00573C03">
        <w:rPr>
          <w:rFonts w:ascii="Arial" w:hAnsi="Arial" w:cs="Arial"/>
          <w:i/>
          <w:sz w:val="22"/>
          <w:szCs w:val="22"/>
        </w:rPr>
        <w:t>Shoprite Checkers</w:t>
      </w:r>
      <w:r w:rsidRPr="00573C03">
        <w:rPr>
          <w:rFonts w:ascii="Arial" w:hAnsi="Arial" w:cs="Arial"/>
          <w:sz w:val="22"/>
          <w:szCs w:val="22"/>
        </w:rPr>
        <w:t xml:space="preserve"> case referred to in </w:t>
      </w:r>
      <w:r w:rsidRPr="00573C03">
        <w:rPr>
          <w:rFonts w:ascii="Arial" w:hAnsi="Arial" w:cs="Arial"/>
          <w:i/>
          <w:sz w:val="22"/>
          <w:szCs w:val="22"/>
        </w:rPr>
        <w:t xml:space="preserve">Jazz Cellular </w:t>
      </w:r>
      <w:r w:rsidRPr="00573C03">
        <w:rPr>
          <w:rFonts w:ascii="Arial" w:hAnsi="Arial" w:cs="Arial"/>
          <w:sz w:val="22"/>
          <w:szCs w:val="22"/>
        </w:rPr>
        <w:t xml:space="preserve">dealt with a requirement of confirmation by a court of steps taken by an inspector on application “brought within 10 days of the day on which those steps had been taken”. On the question of whether service of the process within the allotted time was required, the learned Judge said the following. </w:t>
      </w:r>
    </w:p>
    <w:p w14:paraId="00257CFE" w14:textId="77777777" w:rsidR="00E53B70" w:rsidRPr="00573C03" w:rsidRDefault="00E53B70" w:rsidP="00C26BA6">
      <w:pPr>
        <w:spacing w:line="360" w:lineRule="auto"/>
        <w:ind w:left="720"/>
        <w:jc w:val="both"/>
        <w:rPr>
          <w:rFonts w:ascii="Arial" w:hAnsi="Arial" w:cs="Arial"/>
          <w:sz w:val="22"/>
          <w:szCs w:val="22"/>
        </w:rPr>
      </w:pPr>
      <w:r w:rsidRPr="00573C03">
        <w:rPr>
          <w:rFonts w:ascii="Arial" w:hAnsi="Arial" w:cs="Arial"/>
          <w:sz w:val="22"/>
          <w:szCs w:val="22"/>
        </w:rPr>
        <w:lastRenderedPageBreak/>
        <w:t xml:space="preserve">“In </w:t>
      </w:r>
      <w:proofErr w:type="spellStart"/>
      <w:r w:rsidRPr="00573C03">
        <w:rPr>
          <w:rFonts w:ascii="Arial" w:hAnsi="Arial" w:cs="Arial"/>
          <w:i/>
          <w:sz w:val="22"/>
          <w:szCs w:val="22"/>
        </w:rPr>
        <w:t>Mati</w:t>
      </w:r>
      <w:proofErr w:type="spellEnd"/>
      <w:r w:rsidRPr="00573C03">
        <w:rPr>
          <w:rFonts w:ascii="Arial" w:hAnsi="Arial" w:cs="Arial"/>
          <w:i/>
          <w:sz w:val="22"/>
          <w:szCs w:val="22"/>
        </w:rPr>
        <w:t xml:space="preserve"> v Minister of Justice, Police and Prisons, Ciskei</w:t>
      </w:r>
      <w:r w:rsidRPr="00573C03">
        <w:rPr>
          <w:rFonts w:ascii="Arial" w:hAnsi="Arial" w:cs="Arial"/>
          <w:sz w:val="22"/>
          <w:szCs w:val="22"/>
        </w:rPr>
        <w:t xml:space="preserve"> 1988 (3) SA 750 (C) </w:t>
      </w:r>
      <w:proofErr w:type="spellStart"/>
      <w:r w:rsidRPr="00573C03">
        <w:rPr>
          <w:rFonts w:ascii="Arial" w:hAnsi="Arial" w:cs="Arial"/>
          <w:sz w:val="22"/>
          <w:szCs w:val="22"/>
        </w:rPr>
        <w:t>Claasens</w:t>
      </w:r>
      <w:proofErr w:type="spellEnd"/>
      <w:r w:rsidRPr="00573C03">
        <w:rPr>
          <w:rFonts w:ascii="Arial" w:hAnsi="Arial" w:cs="Arial"/>
          <w:sz w:val="22"/>
          <w:szCs w:val="22"/>
        </w:rPr>
        <w:t xml:space="preserve"> J exhaustively considered the authorities dealing with the interpretation of the phrase ‘proceedings shall be brought’. I respectfully concur with his interpretation that proceedings are brought by means of the issue of the summons or application and that service thereof is not a requirement.” </w:t>
      </w:r>
    </w:p>
    <w:p w14:paraId="3938C363" w14:textId="77777777" w:rsidR="00E53B70" w:rsidRPr="00573C03" w:rsidRDefault="00E53B70" w:rsidP="00E53B70">
      <w:pPr>
        <w:spacing w:line="360" w:lineRule="auto"/>
        <w:jc w:val="both"/>
        <w:rPr>
          <w:rFonts w:ascii="Arial" w:hAnsi="Arial" w:cs="Arial"/>
          <w:sz w:val="22"/>
          <w:szCs w:val="22"/>
        </w:rPr>
      </w:pPr>
      <w:r w:rsidRPr="00573C03">
        <w:rPr>
          <w:rFonts w:ascii="Arial" w:hAnsi="Arial" w:cs="Arial"/>
          <w:sz w:val="22"/>
          <w:szCs w:val="22"/>
        </w:rPr>
        <w:t xml:space="preserve">In </w:t>
      </w:r>
      <w:proofErr w:type="spellStart"/>
      <w:r w:rsidRPr="00573C03">
        <w:rPr>
          <w:rFonts w:ascii="Arial" w:hAnsi="Arial" w:cs="Arial"/>
          <w:i/>
          <w:sz w:val="22"/>
          <w:szCs w:val="22"/>
        </w:rPr>
        <w:t>Mati’s</w:t>
      </w:r>
      <w:proofErr w:type="spellEnd"/>
      <w:r w:rsidRPr="00573C03">
        <w:rPr>
          <w:rFonts w:ascii="Arial" w:hAnsi="Arial" w:cs="Arial"/>
          <w:i/>
          <w:sz w:val="22"/>
          <w:szCs w:val="22"/>
        </w:rPr>
        <w:t xml:space="preserve"> </w:t>
      </w:r>
      <w:r w:rsidRPr="00573C03">
        <w:rPr>
          <w:rFonts w:ascii="Arial" w:hAnsi="Arial" w:cs="Arial"/>
          <w:sz w:val="22"/>
          <w:szCs w:val="22"/>
        </w:rPr>
        <w:t xml:space="preserve">case, with reference </w:t>
      </w:r>
      <w:r w:rsidRPr="00573C03">
        <w:rPr>
          <w:rFonts w:ascii="Arial" w:hAnsi="Arial" w:cs="Arial"/>
          <w:i/>
          <w:sz w:val="22"/>
          <w:szCs w:val="22"/>
        </w:rPr>
        <w:t>inter alia</w:t>
      </w:r>
      <w:r w:rsidRPr="00573C03">
        <w:rPr>
          <w:rFonts w:ascii="Arial" w:hAnsi="Arial" w:cs="Arial"/>
          <w:sz w:val="22"/>
          <w:szCs w:val="22"/>
        </w:rPr>
        <w:t xml:space="preserve"> to </w:t>
      </w:r>
      <w:proofErr w:type="spellStart"/>
      <w:r w:rsidRPr="00573C03">
        <w:rPr>
          <w:rFonts w:ascii="Arial" w:hAnsi="Arial" w:cs="Arial"/>
          <w:i/>
          <w:sz w:val="22"/>
          <w:szCs w:val="22"/>
        </w:rPr>
        <w:t>Labuschagne</w:t>
      </w:r>
      <w:proofErr w:type="spellEnd"/>
      <w:r w:rsidRPr="00573C03">
        <w:rPr>
          <w:rFonts w:ascii="Arial" w:hAnsi="Arial" w:cs="Arial"/>
          <w:i/>
          <w:sz w:val="22"/>
          <w:szCs w:val="22"/>
        </w:rPr>
        <w:t xml:space="preserve"> v Minister of Justice</w:t>
      </w:r>
      <w:r w:rsidRPr="00573C03">
        <w:rPr>
          <w:rFonts w:ascii="Arial" w:hAnsi="Arial" w:cs="Arial"/>
          <w:sz w:val="22"/>
          <w:szCs w:val="22"/>
        </w:rPr>
        <w:t xml:space="preserve"> 1967 (2) SA 575 (A), the learned Judge held that under both the Ciskei Police Act which contemplated action being “brought”, and the South African Police Act which contemplated action being “commenced”, what was required to be done within a stipulated period was the issue of summons. The learned Judge also made the observation (at page 754) that he could see no reason to differentiate between the meaning of the words “commence”, “institute”, or “bring”, when used in such contexts. </w:t>
      </w:r>
    </w:p>
    <w:p w14:paraId="51AC7FC3" w14:textId="77777777" w:rsidR="00E53B70" w:rsidRPr="00573C03" w:rsidRDefault="00E53B70" w:rsidP="00E53B70">
      <w:pPr>
        <w:spacing w:before="240" w:line="360" w:lineRule="auto"/>
        <w:jc w:val="both"/>
        <w:rPr>
          <w:rFonts w:ascii="Arial" w:hAnsi="Arial" w:cs="Arial"/>
          <w:sz w:val="22"/>
          <w:szCs w:val="22"/>
        </w:rPr>
      </w:pPr>
      <w:r w:rsidRPr="00573C03">
        <w:rPr>
          <w:rFonts w:ascii="Arial" w:hAnsi="Arial" w:cs="Arial"/>
          <w:sz w:val="22"/>
          <w:szCs w:val="22"/>
        </w:rPr>
        <w:t xml:space="preserve">[7] The learned judges deciding </w:t>
      </w:r>
      <w:r w:rsidRPr="00573C03">
        <w:rPr>
          <w:rFonts w:ascii="Arial" w:hAnsi="Arial" w:cs="Arial"/>
          <w:i/>
          <w:sz w:val="22"/>
          <w:szCs w:val="22"/>
        </w:rPr>
        <w:t>Jazz Cellular</w:t>
      </w:r>
      <w:r w:rsidRPr="00573C03">
        <w:rPr>
          <w:rFonts w:ascii="Arial" w:hAnsi="Arial" w:cs="Arial"/>
          <w:sz w:val="22"/>
          <w:szCs w:val="22"/>
        </w:rPr>
        <w:t xml:space="preserve"> and </w:t>
      </w:r>
      <w:r w:rsidRPr="00573C03">
        <w:rPr>
          <w:rFonts w:ascii="Arial" w:hAnsi="Arial" w:cs="Arial"/>
          <w:i/>
          <w:sz w:val="22"/>
          <w:szCs w:val="22"/>
        </w:rPr>
        <w:t>Shoprite Checkers</w:t>
      </w:r>
      <w:r w:rsidRPr="00573C03">
        <w:rPr>
          <w:rFonts w:ascii="Arial" w:hAnsi="Arial" w:cs="Arial"/>
          <w:sz w:val="22"/>
          <w:szCs w:val="22"/>
        </w:rPr>
        <w:t xml:space="preserve"> adopted the conclusion in </w:t>
      </w:r>
      <w:proofErr w:type="spellStart"/>
      <w:r w:rsidRPr="00573C03">
        <w:rPr>
          <w:rFonts w:ascii="Arial" w:hAnsi="Arial" w:cs="Arial"/>
          <w:i/>
          <w:sz w:val="22"/>
          <w:szCs w:val="22"/>
        </w:rPr>
        <w:t>Mati’s</w:t>
      </w:r>
      <w:proofErr w:type="spellEnd"/>
      <w:r w:rsidRPr="00573C03">
        <w:rPr>
          <w:rFonts w:ascii="Arial" w:hAnsi="Arial" w:cs="Arial"/>
          <w:sz w:val="22"/>
          <w:szCs w:val="22"/>
        </w:rPr>
        <w:t xml:space="preserve"> case without discussing the fact that in their respective cases the contexts in which the words concerned were employed were not on all fours with the contexts considered in </w:t>
      </w:r>
      <w:proofErr w:type="spellStart"/>
      <w:r w:rsidRPr="00573C03">
        <w:rPr>
          <w:rFonts w:ascii="Arial" w:hAnsi="Arial" w:cs="Arial"/>
          <w:i/>
          <w:sz w:val="22"/>
          <w:szCs w:val="22"/>
        </w:rPr>
        <w:t>Mati</w:t>
      </w:r>
      <w:proofErr w:type="spellEnd"/>
      <w:r w:rsidRPr="00573C03">
        <w:rPr>
          <w:rFonts w:ascii="Arial" w:hAnsi="Arial" w:cs="Arial"/>
          <w:sz w:val="22"/>
          <w:szCs w:val="22"/>
        </w:rPr>
        <w:t xml:space="preserve">. </w:t>
      </w:r>
    </w:p>
    <w:p w14:paraId="61AE390D" w14:textId="77777777" w:rsidR="00E53B70" w:rsidRPr="00573C03" w:rsidRDefault="00E53B70" w:rsidP="00E53B70">
      <w:pPr>
        <w:spacing w:before="240" w:line="360" w:lineRule="auto"/>
        <w:jc w:val="both"/>
        <w:rPr>
          <w:rFonts w:ascii="Arial" w:hAnsi="Arial" w:cs="Arial"/>
          <w:sz w:val="22"/>
          <w:szCs w:val="22"/>
        </w:rPr>
      </w:pPr>
      <w:r w:rsidRPr="00573C03">
        <w:rPr>
          <w:rFonts w:ascii="Arial" w:hAnsi="Arial" w:cs="Arial"/>
          <w:sz w:val="22"/>
          <w:szCs w:val="22"/>
        </w:rPr>
        <w:t xml:space="preserve">[8] It is long established that some words will bear different meanings depending on the context in which and purpose for which they are employed. To my mind the verb “institute”, when used in connection with civil proceedings, may convey merely that the requisite court process is issued; or on the other hand, that the process is not only issued but also served upon the person against whom the proceedings are being instituted. If a fixed time is laid down (statutorily or otherwise) for the institution of proceedings in a context in which a requirement of service is feasible, and the aim of the provision or requirement would be defeated if the process were not to be served within the allotted time, the word “institute” in that context might signify the need to join the defendant or respondent in the litigation by formally notifying the defendant of the claim made on it, thereby setting in motion the defendant’s access to court for the purpose of dealing with the claim. In the case of an action, the issue of a summons is the necessary first step in engaging the court as the arbiter of the proposed claim. In that sense it qualifies as the “institution of action”. But the mere issue of the summons does not “set [proceedings] in motion” (another meaning of the word “institute” given in the second edition of the Oxford South African Concise Dictionary). A consideration of our Rules and practice regulating civil proceedings which involve defendants or respondents illustrates that they are set in motion – the regulation of the adjudicative process starts and then moves ahead – when there is notification to the party against whom the claim is to be made, that being achieved through service. See </w:t>
      </w:r>
      <w:r w:rsidRPr="00573C03">
        <w:rPr>
          <w:rFonts w:ascii="Arial" w:hAnsi="Arial" w:cs="Arial"/>
          <w:i/>
          <w:sz w:val="22"/>
          <w:szCs w:val="22"/>
        </w:rPr>
        <w:t xml:space="preserve">Marine and </w:t>
      </w:r>
      <w:r w:rsidRPr="00573C03">
        <w:rPr>
          <w:rFonts w:ascii="Arial" w:hAnsi="Arial" w:cs="Arial"/>
          <w:i/>
          <w:sz w:val="22"/>
          <w:szCs w:val="22"/>
        </w:rPr>
        <w:lastRenderedPageBreak/>
        <w:t xml:space="preserve">Trade Insurance Co. Ltd v </w:t>
      </w:r>
      <w:proofErr w:type="spellStart"/>
      <w:r w:rsidRPr="00573C03">
        <w:rPr>
          <w:rFonts w:ascii="Arial" w:hAnsi="Arial" w:cs="Arial"/>
          <w:i/>
          <w:sz w:val="22"/>
          <w:szCs w:val="22"/>
        </w:rPr>
        <w:t>Reddinger</w:t>
      </w:r>
      <w:proofErr w:type="spellEnd"/>
      <w:r w:rsidRPr="00573C03">
        <w:rPr>
          <w:rFonts w:ascii="Arial" w:hAnsi="Arial" w:cs="Arial"/>
          <w:sz w:val="22"/>
          <w:szCs w:val="22"/>
        </w:rPr>
        <w:t xml:space="preserve"> 1966 (2) SA 407 (A) at 413D where </w:t>
      </w:r>
      <w:proofErr w:type="spellStart"/>
      <w:r w:rsidRPr="00573C03">
        <w:rPr>
          <w:rFonts w:ascii="Arial" w:hAnsi="Arial" w:cs="Arial"/>
          <w:sz w:val="22"/>
          <w:szCs w:val="22"/>
        </w:rPr>
        <w:t>Wessels</w:t>
      </w:r>
      <w:proofErr w:type="spellEnd"/>
      <w:r w:rsidRPr="00573C03">
        <w:rPr>
          <w:rFonts w:ascii="Arial" w:hAnsi="Arial" w:cs="Arial"/>
          <w:sz w:val="22"/>
          <w:szCs w:val="22"/>
        </w:rPr>
        <w:t xml:space="preserve"> JA put the matter </w:t>
      </w:r>
      <w:r w:rsidR="00F65C46" w:rsidRPr="00573C03">
        <w:rPr>
          <w:rFonts w:ascii="Arial" w:hAnsi="Arial" w:cs="Arial"/>
          <w:sz w:val="22"/>
          <w:szCs w:val="22"/>
        </w:rPr>
        <w:t>succinctly</w:t>
      </w:r>
      <w:r w:rsidRPr="00573C03">
        <w:rPr>
          <w:rFonts w:ascii="Arial" w:hAnsi="Arial" w:cs="Arial"/>
          <w:sz w:val="22"/>
          <w:szCs w:val="22"/>
        </w:rPr>
        <w:t xml:space="preserve">. </w:t>
      </w:r>
    </w:p>
    <w:p w14:paraId="7A70C591" w14:textId="65A3B26B" w:rsidR="00262783" w:rsidRDefault="00E53B70" w:rsidP="00B152BC">
      <w:pPr>
        <w:spacing w:line="360" w:lineRule="auto"/>
        <w:ind w:left="720"/>
        <w:jc w:val="both"/>
        <w:rPr>
          <w:rFonts w:ascii="Arial" w:hAnsi="Arial" w:cs="Arial"/>
          <w:sz w:val="22"/>
          <w:szCs w:val="22"/>
        </w:rPr>
      </w:pPr>
      <w:r w:rsidRPr="00573C03">
        <w:rPr>
          <w:rFonts w:ascii="Arial" w:hAnsi="Arial" w:cs="Arial"/>
          <w:sz w:val="22"/>
          <w:szCs w:val="22"/>
        </w:rPr>
        <w:t>“Although an action is commenced when the summons is issued the defendant is not involved in litigation until service has been effected, because it is only at that stage that a formal claim is made upon him.”’</w:t>
      </w:r>
    </w:p>
    <w:p w14:paraId="191F8367" w14:textId="77777777" w:rsidR="000947A5" w:rsidRDefault="000947A5" w:rsidP="00262783">
      <w:pPr>
        <w:spacing w:line="360" w:lineRule="auto"/>
        <w:jc w:val="both"/>
        <w:rPr>
          <w:rFonts w:ascii="Arial" w:hAnsi="Arial" w:cs="Arial"/>
          <w:szCs w:val="20"/>
          <w:lang w:eastAsia="en-ZA"/>
        </w:rPr>
      </w:pPr>
    </w:p>
    <w:p w14:paraId="53585146" w14:textId="468FE3B5" w:rsidR="00E53B70" w:rsidRPr="00262783" w:rsidRDefault="00FE4D85" w:rsidP="00262783">
      <w:pPr>
        <w:spacing w:line="360" w:lineRule="auto"/>
        <w:jc w:val="both"/>
        <w:rPr>
          <w:rFonts w:ascii="Arial" w:hAnsi="Arial" w:cs="Arial"/>
          <w:sz w:val="22"/>
          <w:szCs w:val="22"/>
        </w:rPr>
      </w:pPr>
      <w:r>
        <w:rPr>
          <w:rFonts w:ascii="Arial" w:hAnsi="Arial" w:cs="Arial"/>
          <w:szCs w:val="20"/>
          <w:lang w:eastAsia="en-ZA"/>
        </w:rPr>
        <w:t>[28</w:t>
      </w:r>
      <w:r w:rsidR="00E53B70">
        <w:rPr>
          <w:rFonts w:ascii="Arial" w:hAnsi="Arial" w:cs="Arial"/>
          <w:szCs w:val="20"/>
          <w:lang w:eastAsia="en-ZA"/>
        </w:rPr>
        <w:t>]</w:t>
      </w:r>
      <w:r w:rsidR="00E53B70">
        <w:rPr>
          <w:rFonts w:ascii="Arial" w:hAnsi="Arial" w:cs="Arial"/>
          <w:szCs w:val="20"/>
          <w:lang w:eastAsia="en-ZA"/>
        </w:rPr>
        <w:tab/>
      </w:r>
      <w:r w:rsidR="00E53B70" w:rsidRPr="00C64AB2">
        <w:rPr>
          <w:rFonts w:ascii="Arial" w:hAnsi="Arial" w:cs="Arial"/>
          <w:szCs w:val="20"/>
          <w:lang w:eastAsia="en-ZA"/>
        </w:rPr>
        <w:t>In</w:t>
      </w:r>
      <w:r w:rsidR="00E53B70">
        <w:rPr>
          <w:rFonts w:ascii="Arial" w:hAnsi="Arial" w:cs="Arial"/>
          <w:szCs w:val="20"/>
          <w:lang w:eastAsia="en-ZA"/>
        </w:rPr>
        <w:t xml:space="preserve"> the current matter</w:t>
      </w:r>
      <w:r w:rsidR="00E53B70" w:rsidRPr="00C64AB2">
        <w:rPr>
          <w:rFonts w:ascii="Arial" w:hAnsi="Arial" w:cs="Arial"/>
          <w:szCs w:val="20"/>
          <w:lang w:eastAsia="en-ZA"/>
        </w:rPr>
        <w:t xml:space="preserve">, the applicant was ordered to institute </w:t>
      </w:r>
      <w:r w:rsidR="00E53B70">
        <w:rPr>
          <w:rFonts w:ascii="Arial" w:hAnsi="Arial" w:cs="Arial"/>
          <w:szCs w:val="20"/>
          <w:lang w:eastAsia="en-ZA"/>
        </w:rPr>
        <w:t>action within 30 days of the</w:t>
      </w:r>
      <w:r w:rsidR="00E53B70" w:rsidRPr="00C64AB2">
        <w:rPr>
          <w:rFonts w:ascii="Arial" w:hAnsi="Arial" w:cs="Arial"/>
          <w:szCs w:val="20"/>
          <w:lang w:eastAsia="en-ZA"/>
        </w:rPr>
        <w:t xml:space="preserve"> order.</w:t>
      </w:r>
      <w:r w:rsidR="00E53B70">
        <w:rPr>
          <w:rStyle w:val="FootnoteReference"/>
          <w:rFonts w:ascii="Arial" w:hAnsi="Arial" w:cs="Arial"/>
          <w:szCs w:val="20"/>
          <w:lang w:eastAsia="en-ZA"/>
        </w:rPr>
        <w:footnoteReference w:id="1"/>
      </w:r>
      <w:r w:rsidR="00E53B70" w:rsidRPr="00C64AB2">
        <w:rPr>
          <w:rFonts w:ascii="Arial" w:hAnsi="Arial" w:cs="Arial"/>
          <w:szCs w:val="20"/>
          <w:lang w:eastAsia="en-ZA"/>
        </w:rPr>
        <w:t xml:space="preserve"> The combined summons</w:t>
      </w:r>
      <w:r w:rsidR="00E53B70">
        <w:rPr>
          <w:rFonts w:ascii="Arial" w:hAnsi="Arial" w:cs="Arial"/>
          <w:szCs w:val="20"/>
          <w:lang w:eastAsia="en-ZA"/>
        </w:rPr>
        <w:t xml:space="preserve"> (action)</w:t>
      </w:r>
      <w:r w:rsidR="00E53B70" w:rsidRPr="00C64AB2">
        <w:rPr>
          <w:rFonts w:ascii="Arial" w:hAnsi="Arial" w:cs="Arial"/>
          <w:szCs w:val="20"/>
          <w:lang w:eastAsia="en-ZA"/>
        </w:rPr>
        <w:t xml:space="preserve"> was issued by the </w:t>
      </w:r>
      <w:r w:rsidR="00E53B70">
        <w:rPr>
          <w:rFonts w:ascii="Arial" w:hAnsi="Arial" w:cs="Arial"/>
          <w:szCs w:val="20"/>
          <w:lang w:eastAsia="en-ZA"/>
        </w:rPr>
        <w:t>registrar</w:t>
      </w:r>
      <w:r w:rsidR="00E53B70" w:rsidRPr="00C64AB2">
        <w:rPr>
          <w:rFonts w:ascii="Arial" w:hAnsi="Arial" w:cs="Arial"/>
          <w:szCs w:val="20"/>
          <w:lang w:eastAsia="en-ZA"/>
        </w:rPr>
        <w:t xml:space="preserve"> on 6 October 2020.</w:t>
      </w:r>
      <w:r w:rsidR="00E53B70" w:rsidRPr="00C64AB2">
        <w:rPr>
          <w:rStyle w:val="FootnoteReference"/>
          <w:rFonts w:ascii="Arial" w:hAnsi="Arial" w:cs="Arial"/>
          <w:szCs w:val="20"/>
          <w:lang w:eastAsia="en-ZA"/>
        </w:rPr>
        <w:footnoteReference w:id="2"/>
      </w:r>
      <w:r w:rsidR="00E53B70">
        <w:rPr>
          <w:rFonts w:ascii="Arial" w:hAnsi="Arial" w:cs="Arial"/>
          <w:szCs w:val="20"/>
          <w:lang w:eastAsia="en-ZA"/>
        </w:rPr>
        <w:t xml:space="preserve"> In light of the authorities referred to above, which suggest that action is instituted when the summons is issued, it would appear that the applicant complied with the timeframe set out in the order. </w:t>
      </w:r>
    </w:p>
    <w:p w14:paraId="7E32BF2C" w14:textId="77777777" w:rsidR="00E53B70" w:rsidRDefault="00E53B70" w:rsidP="00E53B70">
      <w:pPr>
        <w:spacing w:line="360" w:lineRule="auto"/>
        <w:ind w:left="720" w:hanging="720"/>
        <w:jc w:val="both"/>
        <w:rPr>
          <w:rFonts w:ascii="Arial" w:hAnsi="Arial" w:cs="Arial"/>
        </w:rPr>
      </w:pPr>
    </w:p>
    <w:p w14:paraId="7BDCE587" w14:textId="06C36CED" w:rsidR="00E53B70" w:rsidRPr="00E93ED1" w:rsidRDefault="00FE4D85" w:rsidP="00E53B70">
      <w:pPr>
        <w:spacing w:line="360" w:lineRule="auto"/>
        <w:jc w:val="both"/>
        <w:rPr>
          <w:rFonts w:ascii="Arial" w:hAnsi="Arial" w:cs="Arial"/>
          <w:szCs w:val="20"/>
          <w:lang w:eastAsia="en-ZA"/>
        </w:rPr>
      </w:pPr>
      <w:r>
        <w:rPr>
          <w:rFonts w:ascii="Arial" w:hAnsi="Arial" w:cs="Arial"/>
          <w:szCs w:val="20"/>
          <w:lang w:eastAsia="en-ZA"/>
        </w:rPr>
        <w:t>[29</w:t>
      </w:r>
      <w:r w:rsidR="00E53B70">
        <w:rPr>
          <w:rFonts w:ascii="Arial" w:hAnsi="Arial" w:cs="Arial"/>
          <w:szCs w:val="20"/>
          <w:lang w:eastAsia="en-ZA"/>
        </w:rPr>
        <w:t>]</w:t>
      </w:r>
      <w:r w:rsidR="00E53B70">
        <w:rPr>
          <w:rFonts w:ascii="Arial" w:hAnsi="Arial" w:cs="Arial"/>
          <w:szCs w:val="20"/>
          <w:lang w:eastAsia="en-ZA"/>
        </w:rPr>
        <w:tab/>
      </w:r>
      <w:r w:rsidR="00E53B70" w:rsidRPr="00E93ED1">
        <w:rPr>
          <w:rFonts w:ascii="Arial" w:hAnsi="Arial" w:cs="Arial"/>
          <w:szCs w:val="20"/>
          <w:lang w:eastAsia="en-ZA"/>
        </w:rPr>
        <w:t xml:space="preserve">In </w:t>
      </w:r>
      <w:proofErr w:type="spellStart"/>
      <w:r w:rsidR="00E53B70" w:rsidRPr="00E93ED1">
        <w:rPr>
          <w:rFonts w:ascii="Arial" w:hAnsi="Arial" w:cs="Arial"/>
          <w:i/>
          <w:szCs w:val="20"/>
          <w:lang w:eastAsia="en-ZA"/>
        </w:rPr>
        <w:t>Matsapa</w:t>
      </w:r>
      <w:proofErr w:type="spellEnd"/>
      <w:r w:rsidR="00E53B70" w:rsidRPr="00E93ED1">
        <w:rPr>
          <w:rFonts w:ascii="Arial" w:hAnsi="Arial" w:cs="Arial"/>
          <w:i/>
          <w:szCs w:val="20"/>
          <w:lang w:eastAsia="en-ZA"/>
        </w:rPr>
        <w:t xml:space="preserve"> Trading 562 CC v </w:t>
      </w:r>
      <w:proofErr w:type="spellStart"/>
      <w:r w:rsidR="00E53B70" w:rsidRPr="00E93ED1">
        <w:rPr>
          <w:rFonts w:ascii="Arial" w:hAnsi="Arial" w:cs="Arial"/>
          <w:i/>
          <w:szCs w:val="20"/>
          <w:lang w:eastAsia="en-ZA"/>
        </w:rPr>
        <w:t>Gebuza</w:t>
      </w:r>
      <w:proofErr w:type="spellEnd"/>
      <w:r w:rsidR="00E53B70" w:rsidRPr="00E93ED1">
        <w:rPr>
          <w:rFonts w:ascii="Arial" w:hAnsi="Arial" w:cs="Arial"/>
          <w:i/>
          <w:szCs w:val="20"/>
          <w:lang w:eastAsia="en-ZA"/>
        </w:rPr>
        <w:t xml:space="preserve"> and</w:t>
      </w:r>
      <w:r w:rsidR="00E53B70">
        <w:rPr>
          <w:rFonts w:ascii="Arial" w:hAnsi="Arial" w:cs="Arial"/>
          <w:i/>
          <w:szCs w:val="20"/>
          <w:lang w:eastAsia="en-ZA"/>
        </w:rPr>
        <w:t xml:space="preserve"> others</w:t>
      </w:r>
      <w:r w:rsidR="000F1B10">
        <w:rPr>
          <w:rFonts w:ascii="Arial" w:hAnsi="Arial" w:cs="Arial"/>
          <w:i/>
          <w:szCs w:val="20"/>
          <w:lang w:eastAsia="en-ZA"/>
        </w:rPr>
        <w:t xml:space="preserve"> </w:t>
      </w:r>
      <w:r w:rsidR="000F1B10" w:rsidRPr="000F1B10">
        <w:rPr>
          <w:rFonts w:ascii="Arial" w:hAnsi="Arial" w:cs="Arial"/>
          <w:szCs w:val="20"/>
          <w:lang w:eastAsia="en-ZA"/>
        </w:rPr>
        <w:t>2013 JDR 2507 (ECM)</w:t>
      </w:r>
      <w:r w:rsidR="00E53B70" w:rsidRPr="00E93ED1">
        <w:rPr>
          <w:rFonts w:ascii="Arial" w:hAnsi="Arial" w:cs="Arial"/>
          <w:szCs w:val="20"/>
          <w:lang w:eastAsia="en-ZA"/>
        </w:rPr>
        <w:t xml:space="preserve">, </w:t>
      </w:r>
      <w:r w:rsidR="00E53B70">
        <w:rPr>
          <w:rFonts w:ascii="Arial" w:hAnsi="Arial" w:cs="Arial"/>
          <w:szCs w:val="20"/>
          <w:lang w:eastAsia="en-ZA"/>
        </w:rPr>
        <w:t xml:space="preserve">Griffiths J was similarly tasked with determining whether </w:t>
      </w:r>
      <w:r w:rsidR="00E53B70" w:rsidRPr="00E93ED1">
        <w:rPr>
          <w:rFonts w:ascii="Arial" w:hAnsi="Arial" w:cs="Arial"/>
          <w:szCs w:val="20"/>
          <w:lang w:eastAsia="en-ZA"/>
        </w:rPr>
        <w:t xml:space="preserve">or not </w:t>
      </w:r>
      <w:r w:rsidR="00E53B70">
        <w:rPr>
          <w:rFonts w:ascii="Arial" w:hAnsi="Arial" w:cs="Arial"/>
          <w:szCs w:val="20"/>
          <w:lang w:eastAsia="en-ZA"/>
        </w:rPr>
        <w:t>a</w:t>
      </w:r>
      <w:r w:rsidR="00E53B70" w:rsidRPr="00E93ED1">
        <w:rPr>
          <w:rFonts w:ascii="Arial" w:hAnsi="Arial" w:cs="Arial"/>
          <w:szCs w:val="20"/>
          <w:lang w:eastAsia="en-ZA"/>
        </w:rPr>
        <w:t>ction was instituted timeously</w:t>
      </w:r>
      <w:r w:rsidR="00E53B70">
        <w:rPr>
          <w:rFonts w:ascii="Arial" w:hAnsi="Arial" w:cs="Arial"/>
          <w:szCs w:val="20"/>
          <w:lang w:eastAsia="en-ZA"/>
        </w:rPr>
        <w:t xml:space="preserve"> following a court order/judgment by </w:t>
      </w:r>
      <w:proofErr w:type="spellStart"/>
      <w:r w:rsidR="00E53B70">
        <w:rPr>
          <w:rFonts w:ascii="Arial" w:hAnsi="Arial" w:cs="Arial"/>
          <w:szCs w:val="20"/>
          <w:lang w:eastAsia="en-ZA"/>
        </w:rPr>
        <w:t>Cossie</w:t>
      </w:r>
      <w:proofErr w:type="spellEnd"/>
      <w:r w:rsidR="00E53B70">
        <w:rPr>
          <w:rFonts w:ascii="Arial" w:hAnsi="Arial" w:cs="Arial"/>
          <w:szCs w:val="20"/>
          <w:lang w:eastAsia="en-ZA"/>
        </w:rPr>
        <w:t xml:space="preserve"> AJ.</w:t>
      </w:r>
      <w:r w:rsidR="00E53B70" w:rsidRPr="00E93ED1">
        <w:rPr>
          <w:rFonts w:ascii="Arial" w:hAnsi="Arial" w:cs="Arial"/>
          <w:szCs w:val="20"/>
          <w:lang w:eastAsia="en-ZA"/>
        </w:rPr>
        <w:t xml:space="preserve"> </w:t>
      </w:r>
      <w:r w:rsidR="00E53B70">
        <w:rPr>
          <w:rFonts w:ascii="Arial" w:hAnsi="Arial" w:cs="Arial"/>
          <w:szCs w:val="20"/>
          <w:lang w:eastAsia="en-ZA"/>
        </w:rPr>
        <w:t xml:space="preserve">Briefly, in terms of the order, the </w:t>
      </w:r>
      <w:r w:rsidR="00E53B70" w:rsidRPr="00E93ED1">
        <w:rPr>
          <w:rFonts w:ascii="Arial" w:hAnsi="Arial" w:cs="Arial"/>
          <w:szCs w:val="20"/>
          <w:lang w:eastAsia="en-ZA"/>
        </w:rPr>
        <w:t>first respondent had to institute action within 30 days</w:t>
      </w:r>
      <w:r w:rsidR="00E53B70">
        <w:rPr>
          <w:rFonts w:ascii="Arial" w:hAnsi="Arial" w:cs="Arial"/>
          <w:szCs w:val="20"/>
          <w:lang w:eastAsia="en-ZA"/>
        </w:rPr>
        <w:t xml:space="preserve"> of the court order</w:t>
      </w:r>
      <w:r w:rsidR="00E53B70" w:rsidRPr="00E93ED1">
        <w:rPr>
          <w:rFonts w:ascii="Arial" w:hAnsi="Arial" w:cs="Arial"/>
          <w:szCs w:val="20"/>
          <w:lang w:eastAsia="en-ZA"/>
        </w:rPr>
        <w:t xml:space="preserve">. </w:t>
      </w:r>
      <w:r w:rsidR="00E53B70">
        <w:rPr>
          <w:rFonts w:ascii="Arial" w:hAnsi="Arial" w:cs="Arial"/>
          <w:szCs w:val="20"/>
          <w:lang w:eastAsia="en-ZA"/>
        </w:rPr>
        <w:t>From the facts of the matter, s</w:t>
      </w:r>
      <w:r w:rsidR="00E53B70" w:rsidRPr="00E93ED1">
        <w:rPr>
          <w:rFonts w:ascii="Arial" w:hAnsi="Arial" w:cs="Arial"/>
          <w:szCs w:val="20"/>
          <w:lang w:eastAsia="en-ZA"/>
        </w:rPr>
        <w:t xml:space="preserve">ervice of the summons was effected two days after the 30-day period stipulated in </w:t>
      </w:r>
      <w:r w:rsidR="00E53B70">
        <w:rPr>
          <w:rFonts w:ascii="Arial" w:hAnsi="Arial" w:cs="Arial"/>
          <w:szCs w:val="20"/>
          <w:lang w:eastAsia="en-ZA"/>
        </w:rPr>
        <w:t xml:space="preserve">the </w:t>
      </w:r>
      <w:r w:rsidR="00E53B70" w:rsidRPr="00E93ED1">
        <w:rPr>
          <w:rFonts w:ascii="Arial" w:hAnsi="Arial" w:cs="Arial"/>
          <w:szCs w:val="20"/>
          <w:lang w:eastAsia="en-ZA"/>
        </w:rPr>
        <w:t>order.</w:t>
      </w:r>
    </w:p>
    <w:p w14:paraId="645E77A2" w14:textId="77777777" w:rsidR="00E53B70" w:rsidRDefault="00E53B70" w:rsidP="00E53B70">
      <w:pPr>
        <w:spacing w:line="360" w:lineRule="auto"/>
        <w:jc w:val="both"/>
        <w:rPr>
          <w:rFonts w:ascii="Arial" w:hAnsi="Arial" w:cs="Arial"/>
          <w:color w:val="000000"/>
        </w:rPr>
      </w:pPr>
    </w:p>
    <w:p w14:paraId="51B4CC97" w14:textId="7A94A3EA" w:rsidR="00E53B70" w:rsidRPr="00AA6D67" w:rsidRDefault="00FE4D85" w:rsidP="00B40AE1">
      <w:pPr>
        <w:tabs>
          <w:tab w:val="left" w:pos="567"/>
        </w:tabs>
        <w:spacing w:line="360" w:lineRule="auto"/>
        <w:jc w:val="both"/>
        <w:rPr>
          <w:rFonts w:ascii="Arial" w:hAnsi="Arial" w:cs="Arial"/>
          <w:color w:val="000000"/>
        </w:rPr>
      </w:pPr>
      <w:r>
        <w:rPr>
          <w:rFonts w:ascii="Arial" w:hAnsi="Arial" w:cs="Arial"/>
          <w:color w:val="000000"/>
        </w:rPr>
        <w:t>[30</w:t>
      </w:r>
      <w:r w:rsidR="00E53B70">
        <w:rPr>
          <w:rFonts w:ascii="Arial" w:hAnsi="Arial" w:cs="Arial"/>
          <w:color w:val="000000"/>
        </w:rPr>
        <w:t>]</w:t>
      </w:r>
      <w:r w:rsidR="00E53B70">
        <w:rPr>
          <w:rFonts w:ascii="Arial" w:hAnsi="Arial" w:cs="Arial"/>
          <w:color w:val="000000"/>
        </w:rPr>
        <w:tab/>
        <w:t xml:space="preserve">In determining the matter, Griffiths J stated that the answer as to whether or not action was instituted timeously lay in the correct interpretation of the order given by </w:t>
      </w:r>
      <w:proofErr w:type="spellStart"/>
      <w:r w:rsidR="00E53B70">
        <w:rPr>
          <w:rFonts w:ascii="Arial" w:hAnsi="Arial" w:cs="Arial"/>
          <w:color w:val="000000"/>
        </w:rPr>
        <w:t>Cossie</w:t>
      </w:r>
      <w:proofErr w:type="spellEnd"/>
      <w:r w:rsidR="00E53B70">
        <w:rPr>
          <w:rFonts w:ascii="Arial" w:hAnsi="Arial" w:cs="Arial"/>
          <w:color w:val="000000"/>
        </w:rPr>
        <w:t xml:space="preserve"> AJ. I</w:t>
      </w:r>
      <w:r w:rsidR="00E53B70" w:rsidRPr="00AA6D67">
        <w:rPr>
          <w:rFonts w:ascii="Arial" w:hAnsi="Arial" w:cs="Arial"/>
          <w:color w:val="000000"/>
        </w:rPr>
        <w:t xml:space="preserve">n </w:t>
      </w:r>
      <w:r w:rsidR="00FA32D2">
        <w:rPr>
          <w:rFonts w:ascii="Arial" w:hAnsi="Arial" w:cs="Arial"/>
          <w:i/>
          <w:color w:val="000000"/>
        </w:rPr>
        <w:t>Administrator, Cape, and a</w:t>
      </w:r>
      <w:r w:rsidR="00E53B70" w:rsidRPr="00AA6D67">
        <w:rPr>
          <w:rFonts w:ascii="Arial" w:hAnsi="Arial" w:cs="Arial"/>
          <w:i/>
          <w:color w:val="000000"/>
        </w:rPr>
        <w:t xml:space="preserve">nother v </w:t>
      </w:r>
      <w:proofErr w:type="spellStart"/>
      <w:r w:rsidR="00E53B70" w:rsidRPr="00AA6D67">
        <w:rPr>
          <w:rFonts w:ascii="Arial" w:hAnsi="Arial" w:cs="Arial"/>
          <w:i/>
          <w:color w:val="000000"/>
        </w:rPr>
        <w:t>Ntshwaqela</w:t>
      </w:r>
      <w:proofErr w:type="spellEnd"/>
      <w:r w:rsidR="00E53B70" w:rsidRPr="00AA6D67">
        <w:rPr>
          <w:rFonts w:ascii="Arial" w:hAnsi="Arial" w:cs="Arial"/>
          <w:i/>
          <w:color w:val="000000"/>
        </w:rPr>
        <w:t xml:space="preserve"> and others </w:t>
      </w:r>
      <w:r w:rsidR="00E53B70" w:rsidRPr="00AA6D67">
        <w:rPr>
          <w:rFonts w:ascii="Arial" w:hAnsi="Arial" w:cs="Arial"/>
          <w:color w:val="000000"/>
        </w:rPr>
        <w:t xml:space="preserve">1990 (1) SA 705 (A) at 715F-H, Nicholas AJA stated: </w:t>
      </w:r>
    </w:p>
    <w:p w14:paraId="2019998B" w14:textId="64F1FF20" w:rsidR="00262783" w:rsidRDefault="00E53B70" w:rsidP="00262783">
      <w:pPr>
        <w:spacing w:line="360" w:lineRule="auto"/>
        <w:jc w:val="both"/>
        <w:rPr>
          <w:rFonts w:ascii="Arial" w:hAnsi="Arial" w:cs="Arial"/>
          <w:color w:val="000000"/>
          <w:sz w:val="22"/>
          <w:szCs w:val="22"/>
        </w:rPr>
      </w:pPr>
      <w:r>
        <w:rPr>
          <w:rFonts w:ascii="Arial" w:hAnsi="Arial" w:cs="Arial"/>
          <w:color w:val="000000"/>
          <w:sz w:val="22"/>
          <w:szCs w:val="22"/>
        </w:rPr>
        <w:t>‘.</w:t>
      </w:r>
      <w:r w:rsidRPr="00573C03">
        <w:rPr>
          <w:rFonts w:ascii="Arial" w:hAnsi="Arial" w:cs="Arial"/>
          <w:color w:val="000000"/>
          <w:sz w:val="22"/>
          <w:szCs w:val="22"/>
        </w:rPr>
        <w:t>..the Court's intention is to be ascertained primarily from the language of the judgment or order as construed according to the usual well-known rules. As in the case of any document, the judgment or order and the Court's reasons for giving it must be read as a whole in order to ascertain its intention.’</w:t>
      </w:r>
      <w:r w:rsidRPr="00573C03">
        <w:rPr>
          <w:rStyle w:val="FootnoteReference"/>
          <w:rFonts w:ascii="Arial" w:hAnsi="Arial" w:cs="Arial"/>
          <w:color w:val="000000"/>
          <w:sz w:val="22"/>
          <w:szCs w:val="22"/>
        </w:rPr>
        <w:footnoteReference w:id="3"/>
      </w:r>
      <w:r w:rsidRPr="00573C03">
        <w:rPr>
          <w:rFonts w:ascii="Arial" w:hAnsi="Arial" w:cs="Arial"/>
          <w:color w:val="000000"/>
          <w:sz w:val="22"/>
          <w:szCs w:val="22"/>
        </w:rPr>
        <w:t> </w:t>
      </w:r>
    </w:p>
    <w:p w14:paraId="32D56397" w14:textId="77777777" w:rsidR="00920BB3" w:rsidRDefault="00920BB3" w:rsidP="00262783">
      <w:pPr>
        <w:spacing w:line="360" w:lineRule="auto"/>
        <w:jc w:val="both"/>
        <w:rPr>
          <w:rFonts w:ascii="Arial" w:hAnsi="Arial" w:cs="Arial"/>
          <w:b/>
          <w:sz w:val="22"/>
          <w:szCs w:val="22"/>
          <w:lang w:eastAsia="en-ZA"/>
        </w:rPr>
      </w:pPr>
    </w:p>
    <w:p w14:paraId="1124376D" w14:textId="3EA56CB2" w:rsidR="00262783" w:rsidRDefault="00FE4D85" w:rsidP="00B40AE1">
      <w:pPr>
        <w:tabs>
          <w:tab w:val="left" w:pos="567"/>
        </w:tabs>
        <w:spacing w:line="360" w:lineRule="auto"/>
        <w:jc w:val="both"/>
        <w:rPr>
          <w:rFonts w:ascii="Arial" w:hAnsi="Arial" w:cs="Arial"/>
          <w:b/>
          <w:sz w:val="22"/>
          <w:szCs w:val="22"/>
          <w:lang w:eastAsia="en-ZA"/>
        </w:rPr>
      </w:pPr>
      <w:r>
        <w:rPr>
          <w:rFonts w:ascii="Arial" w:hAnsi="Arial" w:cs="Arial"/>
          <w:szCs w:val="20"/>
          <w:lang w:eastAsia="en-ZA"/>
        </w:rPr>
        <w:t>[31</w:t>
      </w:r>
      <w:r w:rsidR="00E53B70">
        <w:rPr>
          <w:rFonts w:ascii="Arial" w:hAnsi="Arial" w:cs="Arial"/>
          <w:szCs w:val="20"/>
          <w:lang w:eastAsia="en-ZA"/>
        </w:rPr>
        <w:t>]</w:t>
      </w:r>
      <w:r w:rsidR="00E53B70">
        <w:rPr>
          <w:rFonts w:ascii="Arial" w:hAnsi="Arial" w:cs="Arial"/>
          <w:szCs w:val="20"/>
          <w:lang w:eastAsia="en-ZA"/>
        </w:rPr>
        <w:tab/>
      </w:r>
      <w:r w:rsidR="00C26BA6" w:rsidRPr="00C26BA6">
        <w:rPr>
          <w:rFonts w:ascii="Arial" w:hAnsi="Arial" w:cs="Arial"/>
        </w:rPr>
        <w:t xml:space="preserve">Griffiths J indicated that if </w:t>
      </w:r>
      <w:proofErr w:type="spellStart"/>
      <w:r w:rsidR="00C26BA6" w:rsidRPr="00C26BA6">
        <w:rPr>
          <w:rFonts w:ascii="Arial" w:hAnsi="Arial" w:cs="Arial"/>
        </w:rPr>
        <w:t>Cossie</w:t>
      </w:r>
      <w:proofErr w:type="spellEnd"/>
      <w:r w:rsidR="00C26BA6" w:rsidRPr="00C26BA6">
        <w:rPr>
          <w:rFonts w:ascii="Arial" w:hAnsi="Arial" w:cs="Arial"/>
        </w:rPr>
        <w:t xml:space="preserve"> AJ ‘intended service to be an element of the act of instituting the action, one would have expected her to have expressed </w:t>
      </w:r>
      <w:r w:rsidR="00C26BA6" w:rsidRPr="00C26BA6">
        <w:rPr>
          <w:rFonts w:ascii="Arial" w:hAnsi="Arial" w:cs="Arial"/>
        </w:rPr>
        <w:lastRenderedPageBreak/>
        <w:t xml:space="preserve">this in her order’. </w:t>
      </w:r>
      <w:r w:rsidR="00C26BA6">
        <w:rPr>
          <w:rFonts w:ascii="Arial" w:hAnsi="Arial" w:cs="Arial"/>
        </w:rPr>
        <w:t xml:space="preserve"> </w:t>
      </w:r>
      <w:r w:rsidR="00C26BA6" w:rsidRPr="00C26BA6">
        <w:rPr>
          <w:rFonts w:ascii="Arial" w:hAnsi="Arial" w:cs="Arial"/>
        </w:rPr>
        <w:t>Thus, Griffiths J was of the view that to institute action was to issue summons out of the registrar’s office.</w:t>
      </w:r>
      <w:r w:rsidR="00C26BA6" w:rsidRPr="00770B4D">
        <w:t xml:space="preserve">  </w:t>
      </w:r>
    </w:p>
    <w:p w14:paraId="356F007A" w14:textId="77777777" w:rsidR="00262783" w:rsidRDefault="00262783" w:rsidP="00262783">
      <w:pPr>
        <w:spacing w:line="360" w:lineRule="auto"/>
        <w:jc w:val="both"/>
        <w:rPr>
          <w:rFonts w:ascii="Arial" w:hAnsi="Arial" w:cs="Arial"/>
          <w:b/>
          <w:sz w:val="22"/>
          <w:szCs w:val="22"/>
          <w:lang w:eastAsia="en-ZA"/>
        </w:rPr>
      </w:pPr>
    </w:p>
    <w:p w14:paraId="7E7224C7" w14:textId="11F15F97" w:rsidR="00262783" w:rsidRDefault="00E53B70" w:rsidP="00B40AE1">
      <w:pPr>
        <w:tabs>
          <w:tab w:val="left" w:pos="567"/>
        </w:tabs>
        <w:spacing w:line="360" w:lineRule="auto"/>
        <w:jc w:val="both"/>
        <w:rPr>
          <w:rFonts w:ascii="Arial" w:hAnsi="Arial" w:cs="Arial"/>
          <w:szCs w:val="20"/>
          <w:lang w:eastAsia="en-ZA"/>
        </w:rPr>
      </w:pPr>
      <w:r>
        <w:rPr>
          <w:rFonts w:ascii="Arial" w:hAnsi="Arial" w:cs="Arial"/>
          <w:szCs w:val="20"/>
          <w:lang w:eastAsia="en-ZA"/>
        </w:rPr>
        <w:t>[3</w:t>
      </w:r>
      <w:r w:rsidR="00FE4D85">
        <w:rPr>
          <w:rFonts w:ascii="Arial" w:hAnsi="Arial" w:cs="Arial"/>
          <w:szCs w:val="20"/>
          <w:lang w:eastAsia="en-ZA"/>
        </w:rPr>
        <w:t>2</w:t>
      </w:r>
      <w:r>
        <w:rPr>
          <w:rFonts w:ascii="Arial" w:hAnsi="Arial" w:cs="Arial"/>
          <w:szCs w:val="20"/>
          <w:lang w:eastAsia="en-ZA"/>
        </w:rPr>
        <w:t>]</w:t>
      </w:r>
      <w:r>
        <w:rPr>
          <w:rFonts w:ascii="Arial" w:hAnsi="Arial" w:cs="Arial"/>
          <w:szCs w:val="20"/>
          <w:lang w:eastAsia="en-ZA"/>
        </w:rPr>
        <w:tab/>
        <w:t xml:space="preserve">In her order dated 4 September 2020, specifically paragraphs 2 and 3, Modiba J has not expressly mentioned that action should be </w:t>
      </w:r>
      <w:r w:rsidRPr="00A266E5">
        <w:rPr>
          <w:rFonts w:ascii="Arial" w:hAnsi="Arial" w:cs="Arial"/>
          <w:szCs w:val="20"/>
          <w:lang w:eastAsia="en-ZA"/>
        </w:rPr>
        <w:t xml:space="preserve">instituted </w:t>
      </w:r>
      <w:r w:rsidRPr="0028409C">
        <w:rPr>
          <w:rFonts w:ascii="Arial" w:hAnsi="Arial" w:cs="Arial"/>
          <w:szCs w:val="20"/>
          <w:u w:val="single"/>
          <w:lang w:eastAsia="en-ZA"/>
        </w:rPr>
        <w:t>and served</w:t>
      </w:r>
      <w:r>
        <w:rPr>
          <w:rFonts w:ascii="Arial" w:hAnsi="Arial" w:cs="Arial"/>
          <w:szCs w:val="20"/>
          <w:lang w:eastAsia="en-ZA"/>
        </w:rPr>
        <w:t xml:space="preserve"> within 30 days. Considering the reasoning by Griffiths J above, it can be assumed that service was not intended to be an element of the act of instituting the action.</w:t>
      </w:r>
      <w:r w:rsidR="00C40543">
        <w:rPr>
          <w:rFonts w:ascii="Arial" w:hAnsi="Arial" w:cs="Arial"/>
          <w:szCs w:val="20"/>
          <w:lang w:eastAsia="en-ZA"/>
        </w:rPr>
        <w:t xml:space="preserve"> (My emphasis.)</w:t>
      </w:r>
    </w:p>
    <w:p w14:paraId="7BF9EC09" w14:textId="77777777" w:rsidR="00262783" w:rsidRDefault="00262783" w:rsidP="00262783">
      <w:pPr>
        <w:spacing w:line="360" w:lineRule="auto"/>
        <w:jc w:val="both"/>
        <w:rPr>
          <w:rFonts w:ascii="Arial" w:hAnsi="Arial" w:cs="Arial"/>
          <w:szCs w:val="20"/>
          <w:lang w:eastAsia="en-ZA"/>
        </w:rPr>
      </w:pPr>
    </w:p>
    <w:p w14:paraId="0054C573" w14:textId="0DF851FC" w:rsidR="00262783" w:rsidRPr="00B152BC" w:rsidRDefault="00781BC7" w:rsidP="00262783">
      <w:pPr>
        <w:spacing w:line="360" w:lineRule="auto"/>
        <w:jc w:val="both"/>
        <w:rPr>
          <w:rFonts w:ascii="Arial" w:hAnsi="Arial" w:cs="Arial"/>
          <w:b/>
          <w:color w:val="000000"/>
          <w:szCs w:val="18"/>
          <w:u w:val="single"/>
        </w:rPr>
      </w:pPr>
      <w:r w:rsidRPr="00B152BC">
        <w:rPr>
          <w:rFonts w:ascii="Arial" w:hAnsi="Arial" w:cs="Arial"/>
          <w:b/>
          <w:color w:val="000000"/>
          <w:szCs w:val="18"/>
          <w:u w:val="single"/>
        </w:rPr>
        <w:t>Application of Uniform r</w:t>
      </w:r>
      <w:r w:rsidR="007B7810" w:rsidRPr="00B152BC">
        <w:rPr>
          <w:rFonts w:ascii="Arial" w:hAnsi="Arial" w:cs="Arial"/>
          <w:b/>
          <w:color w:val="000000"/>
          <w:szCs w:val="18"/>
          <w:u w:val="single"/>
        </w:rPr>
        <w:t>ules to Tribunal matters</w:t>
      </w:r>
    </w:p>
    <w:p w14:paraId="0A6DF1D0" w14:textId="77777777" w:rsidR="00B152BC" w:rsidRDefault="00B152BC" w:rsidP="00262783">
      <w:pPr>
        <w:spacing w:line="360" w:lineRule="auto"/>
        <w:jc w:val="both"/>
        <w:rPr>
          <w:rFonts w:ascii="Arial" w:hAnsi="Arial" w:cs="Arial"/>
          <w:b/>
          <w:sz w:val="22"/>
          <w:szCs w:val="22"/>
          <w:lang w:eastAsia="en-ZA"/>
        </w:rPr>
      </w:pPr>
    </w:p>
    <w:p w14:paraId="4F276CD9" w14:textId="73ACB29C" w:rsidR="00262783" w:rsidRDefault="00EA56CC" w:rsidP="00B40AE1">
      <w:pPr>
        <w:tabs>
          <w:tab w:val="left" w:pos="567"/>
        </w:tabs>
        <w:spacing w:line="360" w:lineRule="auto"/>
        <w:jc w:val="both"/>
        <w:rPr>
          <w:rFonts w:ascii="Arial" w:hAnsi="Arial" w:cs="Arial"/>
          <w:b/>
          <w:lang w:eastAsia="en-ZA"/>
        </w:rPr>
      </w:pPr>
      <w:r w:rsidRPr="00262783">
        <w:rPr>
          <w:rFonts w:ascii="Arial" w:hAnsi="Arial" w:cs="Arial"/>
          <w:color w:val="000000"/>
        </w:rPr>
        <w:t>[</w:t>
      </w:r>
      <w:r w:rsidR="00EF2741" w:rsidRPr="00262783">
        <w:rPr>
          <w:rFonts w:ascii="Arial" w:hAnsi="Arial" w:cs="Arial"/>
          <w:color w:val="000000"/>
        </w:rPr>
        <w:t>3</w:t>
      </w:r>
      <w:r w:rsidR="00FE4D85">
        <w:rPr>
          <w:rFonts w:ascii="Arial" w:hAnsi="Arial" w:cs="Arial"/>
          <w:color w:val="000000"/>
        </w:rPr>
        <w:t>3</w:t>
      </w:r>
      <w:r w:rsidRPr="00262783">
        <w:rPr>
          <w:rFonts w:ascii="Arial" w:hAnsi="Arial" w:cs="Arial"/>
          <w:color w:val="000000"/>
        </w:rPr>
        <w:t>]</w:t>
      </w:r>
      <w:r w:rsidRPr="00262783">
        <w:rPr>
          <w:rFonts w:ascii="Arial" w:hAnsi="Arial" w:cs="Arial"/>
          <w:color w:val="000000"/>
        </w:rPr>
        <w:tab/>
      </w:r>
      <w:r w:rsidR="00FE4D85">
        <w:rPr>
          <w:rFonts w:ascii="Arial" w:hAnsi="Arial" w:cs="Arial"/>
          <w:color w:val="000000"/>
        </w:rPr>
        <w:t xml:space="preserve">I return to the </w:t>
      </w:r>
      <w:r w:rsidR="007B7810" w:rsidRPr="00262783">
        <w:rPr>
          <w:rFonts w:ascii="Arial" w:hAnsi="Arial" w:cs="Arial"/>
          <w:color w:val="000000"/>
        </w:rPr>
        <w:t>applicant</w:t>
      </w:r>
      <w:r w:rsidR="00FE4D85">
        <w:rPr>
          <w:rFonts w:ascii="Arial" w:hAnsi="Arial" w:cs="Arial"/>
          <w:color w:val="000000"/>
        </w:rPr>
        <w:t>’s</w:t>
      </w:r>
      <w:r w:rsidR="007B7810" w:rsidRPr="00262783">
        <w:rPr>
          <w:rFonts w:ascii="Arial" w:hAnsi="Arial" w:cs="Arial"/>
          <w:color w:val="000000"/>
        </w:rPr>
        <w:t xml:space="preserve"> </w:t>
      </w:r>
      <w:r w:rsidR="00FE4D85" w:rsidRPr="00262783">
        <w:rPr>
          <w:rFonts w:ascii="Arial" w:hAnsi="Arial" w:cs="Arial"/>
          <w:color w:val="000000"/>
        </w:rPr>
        <w:t>argum</w:t>
      </w:r>
      <w:r w:rsidR="00FE4D85">
        <w:rPr>
          <w:rFonts w:ascii="Arial" w:hAnsi="Arial" w:cs="Arial"/>
          <w:color w:val="000000"/>
        </w:rPr>
        <w:t>ent</w:t>
      </w:r>
      <w:r w:rsidR="00781BC7">
        <w:rPr>
          <w:rFonts w:ascii="Arial" w:hAnsi="Arial" w:cs="Arial"/>
          <w:color w:val="000000"/>
        </w:rPr>
        <w:t xml:space="preserve"> that Tribunal r</w:t>
      </w:r>
      <w:r w:rsidR="007B7810" w:rsidRPr="00262783">
        <w:rPr>
          <w:rFonts w:ascii="Arial" w:hAnsi="Arial" w:cs="Arial"/>
          <w:color w:val="000000"/>
        </w:rPr>
        <w:t>ule 14 does not make provision for the condonation of non-compliance with the time fixed by an order of the Tribunal, and that a solution to this is to be found i</w:t>
      </w:r>
      <w:r w:rsidR="000A6678">
        <w:rPr>
          <w:rFonts w:ascii="Arial" w:hAnsi="Arial" w:cs="Arial"/>
          <w:color w:val="000000"/>
        </w:rPr>
        <w:t>n Tribunal rule 28 and Uniform r</w:t>
      </w:r>
      <w:r w:rsidR="007B7810" w:rsidRPr="00262783">
        <w:rPr>
          <w:rFonts w:ascii="Arial" w:hAnsi="Arial" w:cs="Arial"/>
          <w:color w:val="000000"/>
        </w:rPr>
        <w:t>ule 27.</w:t>
      </w:r>
      <w:r w:rsidR="00262783" w:rsidRPr="00262783">
        <w:rPr>
          <w:rFonts w:ascii="Arial" w:hAnsi="Arial" w:cs="Arial"/>
          <w:b/>
          <w:lang w:eastAsia="en-ZA"/>
        </w:rPr>
        <w:t xml:space="preserve">  </w:t>
      </w:r>
      <w:r w:rsidR="007B7810" w:rsidRPr="00262783">
        <w:rPr>
          <w:rFonts w:ascii="Arial" w:hAnsi="Arial" w:cs="Arial"/>
          <w:color w:val="000000"/>
        </w:rPr>
        <w:t>This argument is rejected by the second respondent who maintains that Tribunal rule 28 provides for instances where a procedural situation arises,</w:t>
      </w:r>
      <w:r w:rsidR="000947A5">
        <w:rPr>
          <w:rFonts w:ascii="Arial" w:hAnsi="Arial" w:cs="Arial"/>
          <w:color w:val="000000"/>
        </w:rPr>
        <w:t xml:space="preserve"> and the Tribunal rules are silent on the conduct of proceedings.</w:t>
      </w:r>
      <w:r w:rsidR="007B7810" w:rsidRPr="00262783">
        <w:rPr>
          <w:rFonts w:ascii="Arial" w:hAnsi="Arial" w:cs="Arial"/>
          <w:color w:val="000000"/>
        </w:rPr>
        <w:t xml:space="preserve"> </w:t>
      </w:r>
    </w:p>
    <w:p w14:paraId="368790C8" w14:textId="77777777" w:rsidR="00262783" w:rsidRDefault="00262783" w:rsidP="00262783">
      <w:pPr>
        <w:spacing w:line="360" w:lineRule="auto"/>
        <w:jc w:val="both"/>
        <w:rPr>
          <w:rFonts w:ascii="Arial" w:hAnsi="Arial" w:cs="Arial"/>
          <w:b/>
          <w:lang w:eastAsia="en-ZA"/>
        </w:rPr>
      </w:pPr>
    </w:p>
    <w:p w14:paraId="2BAB4786" w14:textId="401208CF" w:rsidR="00262783" w:rsidRDefault="00EA56CC" w:rsidP="005E027A">
      <w:pPr>
        <w:tabs>
          <w:tab w:val="left" w:pos="567"/>
        </w:tabs>
        <w:spacing w:line="360" w:lineRule="auto"/>
        <w:jc w:val="both"/>
        <w:rPr>
          <w:rFonts w:ascii="Arial" w:hAnsi="Arial" w:cs="Arial"/>
          <w:b/>
          <w:lang w:eastAsia="en-ZA"/>
        </w:rPr>
      </w:pPr>
      <w:r>
        <w:rPr>
          <w:rFonts w:ascii="Arial" w:hAnsi="Arial" w:cs="Arial"/>
          <w:color w:val="000000"/>
          <w:szCs w:val="20"/>
        </w:rPr>
        <w:t>[</w:t>
      </w:r>
      <w:r w:rsidR="00EF2741">
        <w:rPr>
          <w:rFonts w:ascii="Arial" w:hAnsi="Arial" w:cs="Arial"/>
          <w:color w:val="000000"/>
          <w:szCs w:val="20"/>
        </w:rPr>
        <w:t>3</w:t>
      </w:r>
      <w:r w:rsidR="00FE4D85">
        <w:rPr>
          <w:rFonts w:ascii="Arial" w:hAnsi="Arial" w:cs="Arial"/>
          <w:color w:val="000000"/>
          <w:szCs w:val="20"/>
        </w:rPr>
        <w:t>4</w:t>
      </w:r>
      <w:r>
        <w:rPr>
          <w:rFonts w:ascii="Arial" w:hAnsi="Arial" w:cs="Arial"/>
          <w:color w:val="000000"/>
          <w:szCs w:val="20"/>
        </w:rPr>
        <w:t>]</w:t>
      </w:r>
      <w:r>
        <w:rPr>
          <w:rFonts w:ascii="Arial" w:hAnsi="Arial" w:cs="Arial"/>
          <w:color w:val="000000"/>
          <w:szCs w:val="20"/>
        </w:rPr>
        <w:tab/>
      </w:r>
      <w:r w:rsidR="007B7810" w:rsidRPr="009A6EB3">
        <w:rPr>
          <w:rFonts w:ascii="Arial" w:hAnsi="Arial" w:cs="Arial"/>
          <w:color w:val="000000"/>
          <w:szCs w:val="20"/>
        </w:rPr>
        <w:t xml:space="preserve">In </w:t>
      </w:r>
      <w:r w:rsidR="007B7810" w:rsidRPr="009A6EB3">
        <w:rPr>
          <w:rFonts w:ascii="Arial" w:hAnsi="Arial" w:cs="Arial"/>
          <w:i/>
          <w:color w:val="000000"/>
          <w:szCs w:val="20"/>
        </w:rPr>
        <w:t>The Specia</w:t>
      </w:r>
      <w:r w:rsidR="00573C03">
        <w:rPr>
          <w:rFonts w:ascii="Arial" w:hAnsi="Arial" w:cs="Arial"/>
          <w:i/>
          <w:color w:val="000000"/>
          <w:szCs w:val="20"/>
        </w:rPr>
        <w:t>l Investigating Unit (SIU) and O</w:t>
      </w:r>
      <w:r w:rsidR="007B7810" w:rsidRPr="009A6EB3">
        <w:rPr>
          <w:rFonts w:ascii="Arial" w:hAnsi="Arial" w:cs="Arial"/>
          <w:i/>
          <w:color w:val="000000"/>
          <w:szCs w:val="20"/>
        </w:rPr>
        <w:t xml:space="preserve">thers v </w:t>
      </w:r>
      <w:proofErr w:type="spellStart"/>
      <w:r w:rsidR="007B7810" w:rsidRPr="009A6EB3">
        <w:rPr>
          <w:rFonts w:ascii="Arial" w:hAnsi="Arial" w:cs="Arial"/>
          <w:i/>
          <w:color w:val="000000"/>
          <w:szCs w:val="20"/>
        </w:rPr>
        <w:t>Lekabe</w:t>
      </w:r>
      <w:proofErr w:type="spellEnd"/>
      <w:r w:rsidR="007B7810" w:rsidRPr="009A6EB3">
        <w:rPr>
          <w:rFonts w:ascii="Arial" w:hAnsi="Arial" w:cs="Arial"/>
          <w:i/>
          <w:color w:val="000000"/>
          <w:szCs w:val="20"/>
        </w:rPr>
        <w:t xml:space="preserve"> </w:t>
      </w:r>
      <w:r w:rsidR="007B7810" w:rsidRPr="009A6EB3">
        <w:rPr>
          <w:rFonts w:ascii="Arial" w:hAnsi="Arial" w:cs="Arial"/>
          <w:color w:val="000000"/>
          <w:szCs w:val="20"/>
        </w:rPr>
        <w:t xml:space="preserve">[2021] ZAST 40, </w:t>
      </w:r>
      <w:proofErr w:type="spellStart"/>
      <w:r w:rsidR="007B7810" w:rsidRPr="009A6EB3">
        <w:rPr>
          <w:rFonts w:ascii="Arial" w:hAnsi="Arial" w:cs="Arial"/>
          <w:color w:val="000000"/>
          <w:szCs w:val="20"/>
        </w:rPr>
        <w:t>Siwendu</w:t>
      </w:r>
      <w:proofErr w:type="spellEnd"/>
      <w:r w:rsidR="007B7810" w:rsidRPr="009A6EB3">
        <w:rPr>
          <w:rFonts w:ascii="Arial" w:hAnsi="Arial" w:cs="Arial"/>
          <w:color w:val="000000"/>
          <w:szCs w:val="20"/>
        </w:rPr>
        <w:t xml:space="preserve"> J said the following</w:t>
      </w:r>
      <w:r w:rsidR="00942C4C">
        <w:rPr>
          <w:rFonts w:ascii="Arial" w:hAnsi="Arial" w:cs="Arial"/>
          <w:color w:val="000000"/>
          <w:szCs w:val="20"/>
        </w:rPr>
        <w:t xml:space="preserve"> in relation to Rule 28(1) of the Tribunal Rules</w:t>
      </w:r>
      <w:r w:rsidR="007B7810" w:rsidRPr="009A6EB3">
        <w:rPr>
          <w:rFonts w:ascii="Arial" w:hAnsi="Arial" w:cs="Arial"/>
          <w:color w:val="000000"/>
          <w:szCs w:val="20"/>
        </w:rPr>
        <w:t>:</w:t>
      </w:r>
    </w:p>
    <w:p w14:paraId="373CD84D" w14:textId="77777777" w:rsidR="00942C4C" w:rsidRDefault="007B7810" w:rsidP="005E027A">
      <w:pPr>
        <w:tabs>
          <w:tab w:val="left" w:pos="567"/>
        </w:tabs>
        <w:spacing w:line="360" w:lineRule="auto"/>
        <w:jc w:val="both"/>
        <w:rPr>
          <w:rFonts w:ascii="Arial" w:hAnsi="Arial" w:cs="Arial"/>
          <w:color w:val="000000"/>
          <w:sz w:val="22"/>
          <w:szCs w:val="22"/>
        </w:rPr>
      </w:pPr>
      <w:r w:rsidRPr="00EA56CC">
        <w:rPr>
          <w:rFonts w:ascii="Arial" w:hAnsi="Arial" w:cs="Arial"/>
          <w:color w:val="000000"/>
          <w:sz w:val="22"/>
          <w:szCs w:val="22"/>
        </w:rPr>
        <w:t>‘[25]</w:t>
      </w:r>
      <w:r w:rsidRPr="00EA56CC">
        <w:rPr>
          <w:rFonts w:ascii="Arial" w:hAnsi="Arial" w:cs="Arial"/>
          <w:color w:val="000000"/>
          <w:sz w:val="22"/>
          <w:szCs w:val="22"/>
        </w:rPr>
        <w:tab/>
        <w:t xml:space="preserve">It merits restating once more </w:t>
      </w:r>
      <w:r w:rsidR="00A777A5">
        <w:rPr>
          <w:rFonts w:ascii="Arial" w:hAnsi="Arial" w:cs="Arial"/>
          <w:color w:val="000000"/>
          <w:sz w:val="22"/>
          <w:szCs w:val="22"/>
        </w:rPr>
        <w:t>t</w:t>
      </w:r>
      <w:r w:rsidRPr="00EA56CC">
        <w:rPr>
          <w:rFonts w:ascii="Arial" w:hAnsi="Arial" w:cs="Arial"/>
          <w:color w:val="000000"/>
          <w:sz w:val="22"/>
          <w:szCs w:val="22"/>
        </w:rPr>
        <w:t>hat the Tribunal has the same status as the High Cour</w:t>
      </w:r>
      <w:r w:rsidR="00942C4C">
        <w:rPr>
          <w:rFonts w:ascii="Arial" w:hAnsi="Arial" w:cs="Arial"/>
          <w:color w:val="000000"/>
          <w:sz w:val="22"/>
          <w:szCs w:val="22"/>
        </w:rPr>
        <w:t>t.</w:t>
      </w:r>
    </w:p>
    <w:p w14:paraId="70565F08" w14:textId="77777777" w:rsidR="00942C4C" w:rsidRDefault="00942C4C" w:rsidP="005E027A">
      <w:pPr>
        <w:tabs>
          <w:tab w:val="left" w:pos="567"/>
        </w:tabs>
        <w:spacing w:line="360" w:lineRule="auto"/>
        <w:jc w:val="both"/>
        <w:rPr>
          <w:rFonts w:ascii="Arial" w:hAnsi="Arial" w:cs="Arial"/>
          <w:color w:val="000000"/>
          <w:sz w:val="22"/>
          <w:szCs w:val="22"/>
        </w:rPr>
      </w:pPr>
      <w:r>
        <w:rPr>
          <w:rFonts w:ascii="Arial" w:hAnsi="Arial" w:cs="Arial"/>
          <w:color w:val="000000"/>
          <w:sz w:val="22"/>
          <w:szCs w:val="22"/>
        </w:rPr>
        <w:t>…</w:t>
      </w:r>
    </w:p>
    <w:p w14:paraId="2945E553" w14:textId="2B27E085" w:rsidR="007B7810" w:rsidRPr="00EA56CC" w:rsidRDefault="007B7810" w:rsidP="00B40AE1">
      <w:pPr>
        <w:tabs>
          <w:tab w:val="left" w:pos="567"/>
        </w:tabs>
        <w:spacing w:line="360" w:lineRule="auto"/>
        <w:jc w:val="both"/>
        <w:rPr>
          <w:rFonts w:ascii="Arial" w:hAnsi="Arial" w:cs="Arial"/>
          <w:color w:val="000000"/>
          <w:sz w:val="22"/>
          <w:szCs w:val="22"/>
        </w:rPr>
      </w:pPr>
      <w:r w:rsidRPr="00EA56CC">
        <w:rPr>
          <w:rFonts w:ascii="Arial" w:hAnsi="Arial" w:cs="Arial"/>
          <w:color w:val="000000"/>
          <w:sz w:val="22"/>
          <w:szCs w:val="22"/>
        </w:rPr>
        <w:t>[26]</w:t>
      </w:r>
      <w:r w:rsidRPr="00EA56CC">
        <w:rPr>
          <w:rFonts w:ascii="Arial" w:hAnsi="Arial" w:cs="Arial"/>
          <w:color w:val="000000"/>
          <w:sz w:val="22"/>
          <w:szCs w:val="22"/>
        </w:rPr>
        <w:tab/>
        <w:t xml:space="preserve">The rule renders, the Uniform rules applicable to the Tribunal where there is a </w:t>
      </w:r>
      <w:r w:rsidRPr="00EA56CC">
        <w:rPr>
          <w:rFonts w:ascii="Arial" w:hAnsi="Arial" w:cs="Arial"/>
          <w:i/>
          <w:color w:val="000000"/>
          <w:sz w:val="22"/>
          <w:szCs w:val="22"/>
        </w:rPr>
        <w:t xml:space="preserve">lacuna </w:t>
      </w:r>
      <w:r w:rsidRPr="00EA56CC">
        <w:rPr>
          <w:rFonts w:ascii="Arial" w:hAnsi="Arial" w:cs="Arial"/>
          <w:color w:val="000000"/>
          <w:sz w:val="22"/>
          <w:szCs w:val="22"/>
        </w:rPr>
        <w:t>in its rules. The provision does so without the conditions and or standard contended by the defendant.</w:t>
      </w:r>
    </w:p>
    <w:p w14:paraId="797B5E84" w14:textId="77777777" w:rsidR="007B7810" w:rsidRPr="00EA56CC" w:rsidRDefault="007B7810" w:rsidP="007B7810">
      <w:pPr>
        <w:spacing w:line="360" w:lineRule="auto"/>
        <w:jc w:val="both"/>
        <w:rPr>
          <w:rFonts w:ascii="Arial" w:hAnsi="Arial" w:cs="Arial"/>
          <w:color w:val="000000"/>
          <w:sz w:val="22"/>
          <w:szCs w:val="22"/>
        </w:rPr>
      </w:pPr>
      <w:r w:rsidRPr="00EA56CC">
        <w:rPr>
          <w:rFonts w:ascii="Arial" w:hAnsi="Arial" w:cs="Arial"/>
          <w:color w:val="000000"/>
          <w:sz w:val="22"/>
          <w:szCs w:val="22"/>
        </w:rPr>
        <w:t>. . .</w:t>
      </w:r>
    </w:p>
    <w:p w14:paraId="0CE5E518" w14:textId="77777777" w:rsidR="007B7810" w:rsidRDefault="007B7810" w:rsidP="00B40AE1">
      <w:pPr>
        <w:tabs>
          <w:tab w:val="left" w:pos="567"/>
        </w:tabs>
        <w:spacing w:line="360" w:lineRule="auto"/>
        <w:jc w:val="both"/>
        <w:rPr>
          <w:rFonts w:ascii="Arial" w:hAnsi="Arial" w:cs="Arial"/>
          <w:color w:val="000000"/>
          <w:szCs w:val="20"/>
        </w:rPr>
      </w:pPr>
      <w:r w:rsidRPr="00EA56CC">
        <w:rPr>
          <w:rFonts w:ascii="Arial" w:hAnsi="Arial" w:cs="Arial"/>
          <w:color w:val="000000"/>
          <w:sz w:val="22"/>
          <w:szCs w:val="22"/>
        </w:rPr>
        <w:t>[31]</w:t>
      </w:r>
      <w:r w:rsidRPr="00EA56CC">
        <w:rPr>
          <w:rFonts w:ascii="Arial" w:hAnsi="Arial" w:cs="Arial"/>
          <w:color w:val="000000"/>
          <w:sz w:val="22"/>
          <w:szCs w:val="22"/>
        </w:rPr>
        <w:tab/>
        <w:t xml:space="preserve">When read in their proper context, it is clear that the Tribunal rules envisage that a hybrid approach would be adopted, where there is a </w:t>
      </w:r>
      <w:r w:rsidRPr="00EA56CC">
        <w:rPr>
          <w:rFonts w:ascii="Arial" w:hAnsi="Arial" w:cs="Arial"/>
          <w:i/>
          <w:color w:val="000000"/>
          <w:sz w:val="22"/>
          <w:szCs w:val="22"/>
        </w:rPr>
        <w:t>lacuna</w:t>
      </w:r>
      <w:r w:rsidRPr="00EA56CC">
        <w:rPr>
          <w:rFonts w:ascii="Arial" w:hAnsi="Arial" w:cs="Arial"/>
          <w:color w:val="000000"/>
          <w:sz w:val="22"/>
          <w:szCs w:val="22"/>
        </w:rPr>
        <w:t xml:space="preserve"> in the Tribunal rules. Given that the status of the Tribunal is that of a High Court, despite its own rules, the uniform rules are intended to be supplementary and or complementary to the Tribunal rules. . .’</w:t>
      </w:r>
      <w:r>
        <w:rPr>
          <w:rFonts w:ascii="Arial" w:hAnsi="Arial" w:cs="Arial"/>
          <w:color w:val="000000"/>
          <w:szCs w:val="20"/>
        </w:rPr>
        <w:t xml:space="preserve"> (Footnote omitted.)</w:t>
      </w:r>
    </w:p>
    <w:p w14:paraId="6A927600" w14:textId="77777777" w:rsidR="007B7810" w:rsidRDefault="007B7810" w:rsidP="00E53B70">
      <w:pPr>
        <w:spacing w:line="360" w:lineRule="auto"/>
        <w:jc w:val="both"/>
        <w:rPr>
          <w:rFonts w:ascii="Arial" w:hAnsi="Arial" w:cs="Arial"/>
        </w:rPr>
      </w:pPr>
    </w:p>
    <w:p w14:paraId="0FC5C541" w14:textId="45318269" w:rsidR="00F53133" w:rsidRDefault="009C7B06" w:rsidP="00B40AE1">
      <w:pPr>
        <w:tabs>
          <w:tab w:val="left" w:pos="567"/>
        </w:tabs>
        <w:spacing w:line="360" w:lineRule="auto"/>
        <w:jc w:val="both"/>
        <w:rPr>
          <w:rFonts w:ascii="Arial" w:hAnsi="Arial" w:cs="Arial"/>
        </w:rPr>
      </w:pPr>
      <w:r>
        <w:rPr>
          <w:rFonts w:ascii="Arial" w:hAnsi="Arial" w:cs="Arial"/>
        </w:rPr>
        <w:t>[</w:t>
      </w:r>
      <w:r w:rsidR="00FE4D85">
        <w:rPr>
          <w:rFonts w:ascii="Arial" w:hAnsi="Arial" w:cs="Arial"/>
        </w:rPr>
        <w:t>35</w:t>
      </w:r>
      <w:r>
        <w:rPr>
          <w:rFonts w:ascii="Arial" w:hAnsi="Arial" w:cs="Arial"/>
        </w:rPr>
        <w:t>]</w:t>
      </w:r>
      <w:r>
        <w:rPr>
          <w:rFonts w:ascii="Arial" w:hAnsi="Arial" w:cs="Arial"/>
        </w:rPr>
        <w:tab/>
        <w:t>I turn to the</w:t>
      </w:r>
      <w:r w:rsidR="00942C4C">
        <w:rPr>
          <w:rFonts w:ascii="Arial" w:hAnsi="Arial" w:cs="Arial"/>
        </w:rPr>
        <w:t xml:space="preserve"> application</w:t>
      </w:r>
      <w:r>
        <w:rPr>
          <w:rFonts w:ascii="Arial" w:hAnsi="Arial" w:cs="Arial"/>
        </w:rPr>
        <w:t xml:space="preserve"> seeking the revival of the rule </w:t>
      </w:r>
      <w:r w:rsidRPr="00DC140C">
        <w:rPr>
          <w:rFonts w:ascii="Arial" w:hAnsi="Arial" w:cs="Arial"/>
          <w:i/>
        </w:rPr>
        <w:t>nisi</w:t>
      </w:r>
      <w:r>
        <w:rPr>
          <w:rFonts w:ascii="Arial" w:hAnsi="Arial" w:cs="Arial"/>
        </w:rPr>
        <w:t xml:space="preserve"> of 24 November 2020.  The second respon</w:t>
      </w:r>
      <w:r w:rsidR="000947A5">
        <w:rPr>
          <w:rFonts w:ascii="Arial" w:hAnsi="Arial" w:cs="Arial"/>
        </w:rPr>
        <w:t>dent correctly contends that</w:t>
      </w:r>
      <w:r>
        <w:rPr>
          <w:rFonts w:ascii="Arial" w:hAnsi="Arial" w:cs="Arial"/>
        </w:rPr>
        <w:t xml:space="preserve"> Rule 27(4) is not </w:t>
      </w:r>
      <w:r>
        <w:rPr>
          <w:rFonts w:ascii="Arial" w:hAnsi="Arial" w:cs="Arial"/>
        </w:rPr>
        <w:lastRenderedPageBreak/>
        <w:t xml:space="preserve">applicable given that the rule was not discharged by default of appearance by the </w:t>
      </w:r>
      <w:r w:rsidR="003E6131">
        <w:rPr>
          <w:rFonts w:ascii="Arial" w:hAnsi="Arial" w:cs="Arial"/>
        </w:rPr>
        <w:t>applicant</w:t>
      </w:r>
      <w:r w:rsidR="00262783">
        <w:rPr>
          <w:rFonts w:ascii="Arial" w:hAnsi="Arial" w:cs="Arial"/>
        </w:rPr>
        <w:t xml:space="preserve"> as</w:t>
      </w:r>
      <w:r w:rsidR="00573C03">
        <w:rPr>
          <w:rFonts w:ascii="Arial" w:hAnsi="Arial" w:cs="Arial"/>
        </w:rPr>
        <w:t xml:space="preserve"> it</w:t>
      </w:r>
      <w:r>
        <w:rPr>
          <w:rFonts w:ascii="Arial" w:hAnsi="Arial" w:cs="Arial"/>
        </w:rPr>
        <w:t xml:space="preserve"> is common </w:t>
      </w:r>
      <w:r w:rsidR="003E6131">
        <w:rPr>
          <w:rFonts w:ascii="Arial" w:hAnsi="Arial" w:cs="Arial"/>
        </w:rPr>
        <w:t>cause that the applicant</w:t>
      </w:r>
      <w:r>
        <w:rPr>
          <w:rFonts w:ascii="Arial" w:hAnsi="Arial" w:cs="Arial"/>
        </w:rPr>
        <w:t xml:space="preserve"> was present when the rule was declared discharged.  </w:t>
      </w:r>
    </w:p>
    <w:p w14:paraId="312D0DA1" w14:textId="77777777" w:rsidR="00F53133" w:rsidRDefault="00F53133" w:rsidP="00F53133">
      <w:pPr>
        <w:spacing w:line="360" w:lineRule="auto"/>
        <w:jc w:val="both"/>
        <w:rPr>
          <w:rFonts w:ascii="Arial" w:hAnsi="Arial" w:cs="Arial"/>
        </w:rPr>
      </w:pPr>
    </w:p>
    <w:p w14:paraId="2870AA1D" w14:textId="6CED02D5" w:rsidR="00F53133" w:rsidRDefault="009C7B06" w:rsidP="00B40AE1">
      <w:pPr>
        <w:tabs>
          <w:tab w:val="left" w:pos="567"/>
        </w:tabs>
        <w:spacing w:line="360" w:lineRule="auto"/>
        <w:jc w:val="both"/>
        <w:rPr>
          <w:rFonts w:ascii="Arial" w:hAnsi="Arial" w:cs="Arial"/>
        </w:rPr>
      </w:pPr>
      <w:r>
        <w:rPr>
          <w:rFonts w:ascii="Arial" w:hAnsi="Arial" w:cs="Arial"/>
        </w:rPr>
        <w:t>[</w:t>
      </w:r>
      <w:r w:rsidR="00FE4D85">
        <w:rPr>
          <w:rFonts w:ascii="Arial" w:hAnsi="Arial" w:cs="Arial"/>
        </w:rPr>
        <w:t>36</w:t>
      </w:r>
      <w:r>
        <w:rPr>
          <w:rFonts w:ascii="Arial" w:hAnsi="Arial" w:cs="Arial"/>
        </w:rPr>
        <w:t>]</w:t>
      </w:r>
      <w:r>
        <w:rPr>
          <w:rFonts w:ascii="Arial" w:hAnsi="Arial" w:cs="Arial"/>
        </w:rPr>
        <w:tab/>
        <w:t>However</w:t>
      </w:r>
      <w:r w:rsidR="00DC140C">
        <w:rPr>
          <w:rFonts w:ascii="Arial" w:hAnsi="Arial" w:cs="Arial"/>
        </w:rPr>
        <w:t>,</w:t>
      </w:r>
      <w:r>
        <w:rPr>
          <w:rFonts w:ascii="Arial" w:hAnsi="Arial" w:cs="Arial"/>
        </w:rPr>
        <w:t xml:space="preserve"> the applicant </w:t>
      </w:r>
      <w:r w:rsidR="00572045">
        <w:rPr>
          <w:rFonts w:ascii="Arial" w:hAnsi="Arial" w:cs="Arial"/>
        </w:rPr>
        <w:t>submits</w:t>
      </w:r>
      <w:r>
        <w:rPr>
          <w:rFonts w:ascii="Arial" w:hAnsi="Arial" w:cs="Arial"/>
        </w:rPr>
        <w:t xml:space="preserve"> that Rules 27(1) and (2) cater fo</w:t>
      </w:r>
      <w:r w:rsidR="00F851F0">
        <w:rPr>
          <w:rFonts w:ascii="Arial" w:hAnsi="Arial" w:cs="Arial"/>
        </w:rPr>
        <w:t xml:space="preserve">r the situation extant herein. </w:t>
      </w:r>
      <w:r>
        <w:rPr>
          <w:rFonts w:ascii="Arial" w:hAnsi="Arial" w:cs="Arial"/>
        </w:rPr>
        <w:t xml:space="preserve">The applicants need merely </w:t>
      </w:r>
      <w:r w:rsidR="00DC140C">
        <w:rPr>
          <w:rFonts w:ascii="Arial" w:hAnsi="Arial" w:cs="Arial"/>
        </w:rPr>
        <w:t xml:space="preserve">to </w:t>
      </w:r>
      <w:r w:rsidR="00F851F0">
        <w:rPr>
          <w:rFonts w:ascii="Arial" w:hAnsi="Arial" w:cs="Arial"/>
        </w:rPr>
        <w:t>demonstrate good cause</w:t>
      </w:r>
      <w:r>
        <w:rPr>
          <w:rFonts w:ascii="Arial" w:hAnsi="Arial" w:cs="Arial"/>
        </w:rPr>
        <w:t xml:space="preserve"> upon application.  </w:t>
      </w:r>
    </w:p>
    <w:p w14:paraId="053ADF19" w14:textId="77777777" w:rsidR="00F53133" w:rsidRDefault="00F53133" w:rsidP="00FE4D85">
      <w:pPr>
        <w:spacing w:line="360" w:lineRule="auto"/>
        <w:jc w:val="both"/>
        <w:rPr>
          <w:rFonts w:ascii="Arial" w:hAnsi="Arial" w:cs="Arial"/>
        </w:rPr>
      </w:pPr>
    </w:p>
    <w:p w14:paraId="550BD34D" w14:textId="5ED177C6" w:rsidR="00FE4D85" w:rsidRPr="00A30462" w:rsidRDefault="00FE4D85" w:rsidP="00B40AE1">
      <w:pPr>
        <w:tabs>
          <w:tab w:val="left" w:pos="567"/>
        </w:tabs>
        <w:spacing w:line="360" w:lineRule="auto"/>
        <w:jc w:val="both"/>
        <w:rPr>
          <w:rFonts w:ascii="Arial" w:hAnsi="Arial" w:cs="Arial"/>
        </w:rPr>
      </w:pPr>
      <w:r>
        <w:rPr>
          <w:rFonts w:ascii="Arial" w:hAnsi="Arial" w:cs="Arial"/>
        </w:rPr>
        <w:t>[37]</w:t>
      </w:r>
      <w:r>
        <w:rPr>
          <w:rFonts w:ascii="Arial" w:hAnsi="Arial" w:cs="Arial"/>
        </w:rPr>
        <w:tab/>
      </w:r>
      <w:r>
        <w:rPr>
          <w:rFonts w:ascii="Arial" w:hAnsi="Arial" w:cs="Arial"/>
          <w:color w:val="000000"/>
          <w:szCs w:val="28"/>
        </w:rPr>
        <w:t xml:space="preserve">According to </w:t>
      </w:r>
      <w:r w:rsidR="003E7928" w:rsidRPr="003E7928">
        <w:rPr>
          <w:rFonts w:ascii="Arial" w:hAnsi="Arial" w:cs="Arial"/>
          <w:color w:val="000000"/>
          <w:szCs w:val="28"/>
        </w:rPr>
        <w:t xml:space="preserve">D E van </w:t>
      </w:r>
      <w:proofErr w:type="spellStart"/>
      <w:r w:rsidR="003E7928" w:rsidRPr="003E7928">
        <w:rPr>
          <w:rFonts w:ascii="Arial" w:hAnsi="Arial" w:cs="Arial"/>
          <w:color w:val="000000"/>
          <w:szCs w:val="28"/>
        </w:rPr>
        <w:t>Loggerenberg</w:t>
      </w:r>
      <w:proofErr w:type="spellEnd"/>
      <w:r w:rsidR="003E7928" w:rsidRPr="003E7928">
        <w:rPr>
          <w:rFonts w:ascii="Arial" w:hAnsi="Arial" w:cs="Arial"/>
          <w:color w:val="000000"/>
          <w:szCs w:val="28"/>
        </w:rPr>
        <w:t xml:space="preserve"> et al </w:t>
      </w:r>
      <w:r>
        <w:rPr>
          <w:rFonts w:ascii="Arial" w:hAnsi="Arial" w:cs="Arial"/>
          <w:i/>
          <w:color w:val="000000"/>
          <w:szCs w:val="28"/>
        </w:rPr>
        <w:t>Erasmus</w:t>
      </w:r>
      <w:r w:rsidR="003E7928">
        <w:rPr>
          <w:rFonts w:ascii="Arial" w:hAnsi="Arial" w:cs="Arial"/>
          <w:i/>
          <w:color w:val="000000"/>
          <w:szCs w:val="28"/>
        </w:rPr>
        <w:t>:</w:t>
      </w:r>
      <w:r>
        <w:rPr>
          <w:rFonts w:ascii="Arial" w:hAnsi="Arial" w:cs="Arial"/>
          <w:i/>
          <w:color w:val="000000"/>
          <w:szCs w:val="28"/>
        </w:rPr>
        <w:t xml:space="preserve"> Superior Court Practice</w:t>
      </w:r>
      <w:r w:rsidR="003E7928">
        <w:rPr>
          <w:rFonts w:ascii="Arial" w:hAnsi="Arial" w:cs="Arial"/>
          <w:i/>
          <w:color w:val="000000"/>
          <w:szCs w:val="28"/>
        </w:rPr>
        <w:t xml:space="preserve"> </w:t>
      </w:r>
      <w:r w:rsidR="007C52F6">
        <w:rPr>
          <w:rFonts w:ascii="Arial" w:hAnsi="Arial" w:cs="Arial"/>
          <w:color w:val="000000"/>
          <w:szCs w:val="28"/>
        </w:rPr>
        <w:t>(2021)</w:t>
      </w:r>
      <w:r w:rsidR="0090208D">
        <w:rPr>
          <w:rFonts w:ascii="Arial" w:hAnsi="Arial" w:cs="Arial"/>
          <w:color w:val="000000"/>
          <w:szCs w:val="28"/>
        </w:rPr>
        <w:t xml:space="preserve"> </w:t>
      </w:r>
      <w:r w:rsidR="003E7928">
        <w:rPr>
          <w:rFonts w:ascii="Arial" w:hAnsi="Arial" w:cs="Arial"/>
          <w:color w:val="000000"/>
          <w:szCs w:val="28"/>
        </w:rPr>
        <w:t>at 323-324</w:t>
      </w:r>
      <w:r>
        <w:rPr>
          <w:rFonts w:ascii="Arial" w:hAnsi="Arial" w:cs="Arial"/>
          <w:color w:val="000000"/>
          <w:szCs w:val="28"/>
        </w:rPr>
        <w:t>,</w:t>
      </w:r>
      <w:r w:rsidR="00A30462">
        <w:rPr>
          <w:rStyle w:val="FootnoteReference"/>
          <w:rFonts w:ascii="Arial" w:hAnsi="Arial" w:cs="Arial"/>
          <w:color w:val="000000"/>
          <w:szCs w:val="28"/>
        </w:rPr>
        <w:footnoteReference w:id="4"/>
      </w:r>
      <w:r>
        <w:rPr>
          <w:rFonts w:ascii="Arial" w:hAnsi="Arial" w:cs="Arial"/>
          <w:color w:val="000000"/>
          <w:szCs w:val="28"/>
        </w:rPr>
        <w:t xml:space="preserve"> the courts have refrained from formulating an exhaustive definiti</w:t>
      </w:r>
      <w:r w:rsidR="00A30462">
        <w:rPr>
          <w:rFonts w:ascii="Arial" w:hAnsi="Arial" w:cs="Arial"/>
          <w:color w:val="000000"/>
          <w:szCs w:val="28"/>
        </w:rPr>
        <w:t>on or list of what constitutes ‘good cause’</w:t>
      </w:r>
      <w:r>
        <w:rPr>
          <w:rFonts w:ascii="Arial" w:hAnsi="Arial" w:cs="Arial"/>
          <w:color w:val="000000"/>
          <w:szCs w:val="28"/>
        </w:rPr>
        <w:t>. Two principle requirements have, however, been identified:</w:t>
      </w:r>
    </w:p>
    <w:p w14:paraId="41B607E4" w14:textId="77777777" w:rsidR="00F53133" w:rsidRPr="00F53133" w:rsidRDefault="00FE4D85" w:rsidP="003E7928">
      <w:pPr>
        <w:pStyle w:val="ListParagraph"/>
        <w:numPr>
          <w:ilvl w:val="0"/>
          <w:numId w:val="36"/>
        </w:numPr>
        <w:spacing w:line="360" w:lineRule="auto"/>
        <w:ind w:left="567" w:hanging="567"/>
        <w:jc w:val="both"/>
        <w:rPr>
          <w:rFonts w:ascii="Arial" w:hAnsi="Arial" w:cs="Arial"/>
          <w:color w:val="000000"/>
          <w:sz w:val="22"/>
          <w:szCs w:val="22"/>
        </w:rPr>
      </w:pPr>
      <w:r w:rsidRPr="00262783">
        <w:rPr>
          <w:rFonts w:ascii="Arial" w:hAnsi="Arial" w:cs="Arial"/>
          <w:color w:val="000000"/>
          <w:szCs w:val="28"/>
        </w:rPr>
        <w:t>The applicant should file an affidavit satisfactorily explaining the delay; and</w:t>
      </w:r>
    </w:p>
    <w:p w14:paraId="28347874" w14:textId="7E5D0F13" w:rsidR="00F53133" w:rsidRPr="003E7928" w:rsidRDefault="00FE4D85" w:rsidP="003E7928">
      <w:pPr>
        <w:pStyle w:val="ListParagraph"/>
        <w:numPr>
          <w:ilvl w:val="0"/>
          <w:numId w:val="36"/>
        </w:numPr>
        <w:spacing w:line="360" w:lineRule="auto"/>
        <w:ind w:left="567" w:hanging="567"/>
        <w:jc w:val="both"/>
        <w:rPr>
          <w:rFonts w:ascii="Arial" w:hAnsi="Arial" w:cs="Arial"/>
          <w:color w:val="000000"/>
          <w:sz w:val="22"/>
          <w:szCs w:val="22"/>
        </w:rPr>
      </w:pPr>
      <w:r w:rsidRPr="00F53133">
        <w:rPr>
          <w:rFonts w:ascii="Arial" w:hAnsi="Arial" w:cs="Arial"/>
          <w:color w:val="000000"/>
          <w:szCs w:val="28"/>
        </w:rPr>
        <w:t>The applicant should satisfy the court that he has a bona fide defence.</w:t>
      </w:r>
    </w:p>
    <w:p w14:paraId="53185971" w14:textId="77777777" w:rsidR="003E7928" w:rsidRPr="003E7928" w:rsidRDefault="003E7928" w:rsidP="003E7928">
      <w:pPr>
        <w:pStyle w:val="ListParagraph"/>
        <w:spacing w:line="360" w:lineRule="auto"/>
        <w:ind w:left="567"/>
        <w:jc w:val="both"/>
        <w:rPr>
          <w:rFonts w:ascii="Arial" w:hAnsi="Arial" w:cs="Arial"/>
          <w:color w:val="000000"/>
          <w:sz w:val="22"/>
          <w:szCs w:val="22"/>
        </w:rPr>
      </w:pPr>
    </w:p>
    <w:p w14:paraId="60FEF0DA" w14:textId="77777777" w:rsidR="0090208D" w:rsidRDefault="00FE4D85" w:rsidP="00B40AE1">
      <w:pPr>
        <w:pStyle w:val="lg-para3"/>
        <w:shd w:val="clear" w:color="auto" w:fill="FFFFFF"/>
        <w:tabs>
          <w:tab w:val="left" w:pos="567"/>
        </w:tabs>
        <w:spacing w:before="0" w:beforeAutospacing="0" w:after="0" w:afterAutospacing="0" w:line="360" w:lineRule="auto"/>
        <w:jc w:val="both"/>
        <w:rPr>
          <w:rFonts w:ascii="Arial" w:hAnsi="Arial" w:cs="Arial"/>
          <w:color w:val="000000"/>
          <w:szCs w:val="28"/>
        </w:rPr>
      </w:pPr>
      <w:r w:rsidRPr="00F53133">
        <w:rPr>
          <w:rFonts w:ascii="Arial" w:hAnsi="Arial" w:cs="Arial"/>
          <w:color w:val="000000"/>
          <w:szCs w:val="28"/>
        </w:rPr>
        <w:t>[38]</w:t>
      </w:r>
      <w:r w:rsidRPr="00F53133">
        <w:rPr>
          <w:rFonts w:ascii="Arial" w:hAnsi="Arial" w:cs="Arial"/>
          <w:color w:val="000000"/>
          <w:szCs w:val="28"/>
        </w:rPr>
        <w:tab/>
        <w:t>Regarding the explanation for delay, it should be:</w:t>
      </w:r>
    </w:p>
    <w:p w14:paraId="7FFDB9E7" w14:textId="32E6F2D7" w:rsidR="00F53133" w:rsidRPr="0090208D" w:rsidRDefault="00FE4D85" w:rsidP="00F53133">
      <w:pPr>
        <w:pStyle w:val="lg-para3"/>
        <w:shd w:val="clear" w:color="auto" w:fill="FFFFFF"/>
        <w:spacing w:before="0" w:beforeAutospacing="0" w:after="240" w:afterAutospacing="0" w:line="360" w:lineRule="auto"/>
        <w:jc w:val="both"/>
        <w:rPr>
          <w:rFonts w:ascii="Arial" w:hAnsi="Arial" w:cs="Arial"/>
          <w:color w:val="000000"/>
          <w:szCs w:val="28"/>
        </w:rPr>
      </w:pPr>
      <w:r w:rsidRPr="00F53133">
        <w:rPr>
          <w:rFonts w:ascii="Arial" w:hAnsi="Arial" w:cs="Arial"/>
          <w:sz w:val="22"/>
          <w:szCs w:val="22"/>
        </w:rPr>
        <w:t>‘. . .sufficiently full to enable the court to understand how it really came about, and to assess his conduct and motives. </w:t>
      </w:r>
      <w:bookmarkStart w:id="0" w:name="0-0-0-41217"/>
      <w:bookmarkEnd w:id="0"/>
      <w:r w:rsidRPr="00F53133">
        <w:rPr>
          <w:rFonts w:ascii="Arial" w:hAnsi="Arial" w:cs="Arial"/>
          <w:sz w:val="22"/>
          <w:szCs w:val="22"/>
        </w:rPr>
        <w:t>A full and reasonable explanation, which covers the entire period of delay, must be given. If there has been a long delay, the court should require the party in default to satisfy the court that the relief sought should be granted, especially in a case where the applicant is the </w:t>
      </w:r>
      <w:proofErr w:type="spellStart"/>
      <w:r w:rsidRPr="00F53133">
        <w:rPr>
          <w:rFonts w:ascii="Arial" w:hAnsi="Arial" w:cs="Arial"/>
          <w:i/>
          <w:iCs/>
          <w:sz w:val="22"/>
          <w:szCs w:val="22"/>
        </w:rPr>
        <w:t>dominus</w:t>
      </w:r>
      <w:proofErr w:type="spellEnd"/>
      <w:r w:rsidRPr="00F53133">
        <w:rPr>
          <w:rFonts w:ascii="Arial" w:hAnsi="Arial" w:cs="Arial"/>
          <w:i/>
          <w:iCs/>
          <w:sz w:val="22"/>
          <w:szCs w:val="22"/>
        </w:rPr>
        <w:t xml:space="preserve"> </w:t>
      </w:r>
      <w:proofErr w:type="spellStart"/>
      <w:r w:rsidRPr="00F53133">
        <w:rPr>
          <w:rFonts w:ascii="Arial" w:hAnsi="Arial" w:cs="Arial"/>
          <w:i/>
          <w:iCs/>
          <w:sz w:val="22"/>
          <w:szCs w:val="22"/>
        </w:rPr>
        <w:t>litis</w:t>
      </w:r>
      <w:proofErr w:type="spellEnd"/>
      <w:r w:rsidRPr="00F53133">
        <w:rPr>
          <w:rFonts w:ascii="Arial" w:hAnsi="Arial" w:cs="Arial"/>
          <w:sz w:val="22"/>
          <w:szCs w:val="22"/>
        </w:rPr>
        <w:t>. </w:t>
      </w:r>
      <w:bookmarkStart w:id="1" w:name="0-0-0-41225"/>
      <w:bookmarkEnd w:id="1"/>
      <w:r w:rsidRPr="00F53133">
        <w:rPr>
          <w:rFonts w:ascii="Arial" w:hAnsi="Arial" w:cs="Arial"/>
          <w:sz w:val="22"/>
          <w:szCs w:val="22"/>
        </w:rPr>
        <w:t>It is not sufficient for the applicant to show that condonation will not result in prejudice to the other party. An applicant for relief under this rule must show good cause; the question of prejudice does not arise if it is unable to do so.</w:t>
      </w:r>
      <w:bookmarkStart w:id="2" w:name="0-0-0-41229"/>
      <w:bookmarkEnd w:id="2"/>
      <w:r w:rsidRPr="00F53133">
        <w:rPr>
          <w:rFonts w:ascii="Arial" w:hAnsi="Arial" w:cs="Arial"/>
          <w:sz w:val="22"/>
          <w:szCs w:val="22"/>
        </w:rPr>
        <w:t xml:space="preserve"> The court will refuse to grant the application where there has been a reckless or intentional disregard of the rules of court, or the court is convinced that the applicant does not seriously intend to proceed.’</w:t>
      </w:r>
      <w:r w:rsidRPr="00F53133">
        <w:rPr>
          <w:rStyle w:val="FootnoteReference"/>
          <w:rFonts w:ascii="Arial" w:hAnsi="Arial" w:cs="Arial"/>
          <w:color w:val="000000"/>
          <w:sz w:val="22"/>
          <w:szCs w:val="22"/>
        </w:rPr>
        <w:footnoteReference w:id="5"/>
      </w:r>
      <w:r w:rsidRPr="00F53133">
        <w:rPr>
          <w:rFonts w:ascii="Arial" w:hAnsi="Arial" w:cs="Arial"/>
          <w:sz w:val="22"/>
          <w:szCs w:val="22"/>
        </w:rPr>
        <w:t xml:space="preserve"> (Footnotes omitted.</w:t>
      </w:r>
      <w:bookmarkStart w:id="3" w:name="0-0-0-41221"/>
      <w:bookmarkEnd w:id="3"/>
      <w:r w:rsidRPr="00F53133">
        <w:rPr>
          <w:rFonts w:ascii="Arial" w:hAnsi="Arial" w:cs="Arial"/>
          <w:sz w:val="22"/>
          <w:szCs w:val="22"/>
        </w:rPr>
        <w:t>)</w:t>
      </w:r>
    </w:p>
    <w:p w14:paraId="43D1C2DC" w14:textId="77777777" w:rsidR="00F53133" w:rsidRDefault="00F53133" w:rsidP="00F53133">
      <w:pPr>
        <w:rPr>
          <w:szCs w:val="22"/>
        </w:rPr>
      </w:pPr>
    </w:p>
    <w:p w14:paraId="24F55A5C" w14:textId="2E4C61F5" w:rsidR="002F02F8" w:rsidRDefault="00FE4D85" w:rsidP="00B40AE1">
      <w:pPr>
        <w:tabs>
          <w:tab w:val="left" w:pos="567"/>
        </w:tabs>
        <w:spacing w:line="360" w:lineRule="auto"/>
        <w:jc w:val="both"/>
        <w:rPr>
          <w:rFonts w:ascii="Arial" w:hAnsi="Arial" w:cs="Arial"/>
        </w:rPr>
      </w:pPr>
      <w:r w:rsidRPr="00F53133">
        <w:rPr>
          <w:rFonts w:ascii="Arial" w:hAnsi="Arial" w:cs="Arial"/>
        </w:rPr>
        <w:t>[39]</w:t>
      </w:r>
      <w:r w:rsidRPr="00F53133">
        <w:rPr>
          <w:rFonts w:ascii="Arial" w:hAnsi="Arial" w:cs="Arial"/>
        </w:rPr>
        <w:tab/>
        <w:t xml:space="preserve">In </w:t>
      </w:r>
      <w:proofErr w:type="spellStart"/>
      <w:r w:rsidRPr="00F53133">
        <w:rPr>
          <w:rFonts w:ascii="Arial" w:hAnsi="Arial" w:cs="Arial"/>
          <w:i/>
        </w:rPr>
        <w:t>Himelsein</w:t>
      </w:r>
      <w:proofErr w:type="spellEnd"/>
      <w:r w:rsidR="00AD652F" w:rsidRPr="00AD652F">
        <w:rPr>
          <w:rFonts w:ascii="Arial" w:hAnsi="Arial" w:cs="Arial"/>
          <w:i/>
        </w:rPr>
        <w:t xml:space="preserve"> Super Rich CC and another </w:t>
      </w:r>
      <w:r w:rsidR="00AD652F" w:rsidRPr="00AD652F">
        <w:rPr>
          <w:rFonts w:ascii="Arial" w:hAnsi="Arial" w:cs="Arial"/>
        </w:rPr>
        <w:t>1998 (1) SA 929 (W)</w:t>
      </w:r>
      <w:r w:rsidRPr="00F53133">
        <w:rPr>
          <w:rFonts w:ascii="Arial" w:hAnsi="Arial" w:cs="Arial"/>
        </w:rPr>
        <w:t>:</w:t>
      </w:r>
    </w:p>
    <w:p w14:paraId="1DA06AFD" w14:textId="60455FCD" w:rsidR="00FE4D85" w:rsidRDefault="00FE4D85" w:rsidP="00A111F8">
      <w:pPr>
        <w:spacing w:line="360" w:lineRule="auto"/>
        <w:jc w:val="both"/>
        <w:rPr>
          <w:rFonts w:ascii="Arial" w:hAnsi="Arial" w:cs="Arial"/>
          <w:sz w:val="22"/>
          <w:szCs w:val="22"/>
        </w:rPr>
      </w:pPr>
      <w:r>
        <w:rPr>
          <w:rFonts w:ascii="Arial" w:hAnsi="Arial" w:cs="Arial"/>
          <w:sz w:val="22"/>
          <w:szCs w:val="22"/>
        </w:rPr>
        <w:t>‘The applicant applied in a Local Division for the setting aside of an attachment</w:t>
      </w:r>
      <w:r w:rsidR="002F02F8">
        <w:rPr>
          <w:rFonts w:ascii="Arial" w:hAnsi="Arial" w:cs="Arial"/>
          <w:sz w:val="22"/>
          <w:szCs w:val="22"/>
        </w:rPr>
        <w:t xml:space="preserve"> made to confirm jurisdiction. </w:t>
      </w:r>
      <w:r>
        <w:rPr>
          <w:rFonts w:ascii="Arial" w:hAnsi="Arial" w:cs="Arial"/>
          <w:sz w:val="22"/>
          <w:szCs w:val="22"/>
        </w:rPr>
        <w:t>The applicant was a former South African resid</w:t>
      </w:r>
      <w:r w:rsidR="002F02F8">
        <w:rPr>
          <w:rFonts w:ascii="Arial" w:hAnsi="Arial" w:cs="Arial"/>
          <w:sz w:val="22"/>
          <w:szCs w:val="22"/>
        </w:rPr>
        <w:t xml:space="preserve">ent, now living in California. </w:t>
      </w:r>
      <w:r>
        <w:rPr>
          <w:rFonts w:ascii="Arial" w:hAnsi="Arial" w:cs="Arial"/>
          <w:sz w:val="22"/>
          <w:szCs w:val="22"/>
        </w:rPr>
        <w:t xml:space="preserve">The respondents brought an application to attach his interest in certain </w:t>
      </w:r>
      <w:r>
        <w:rPr>
          <w:rFonts w:ascii="Arial" w:hAnsi="Arial" w:cs="Arial"/>
          <w:sz w:val="22"/>
          <w:szCs w:val="22"/>
        </w:rPr>
        <w:lastRenderedPageBreak/>
        <w:t>payments arising from an agreement</w:t>
      </w:r>
      <w:r w:rsidR="002F02F8">
        <w:rPr>
          <w:rFonts w:ascii="Arial" w:hAnsi="Arial" w:cs="Arial"/>
          <w:sz w:val="22"/>
          <w:szCs w:val="22"/>
        </w:rPr>
        <w:t xml:space="preserve"> with a South African company. </w:t>
      </w:r>
      <w:r>
        <w:rPr>
          <w:rFonts w:ascii="Arial" w:hAnsi="Arial" w:cs="Arial"/>
          <w:sz w:val="22"/>
          <w:szCs w:val="22"/>
        </w:rPr>
        <w:t>An order attaching the applicant’s interest in the payments to confirm jurisdiction was granted by the Court on 3 December 1996, with the proviso that the attachment would lapse should the respondents not institute the action within 30 days</w:t>
      </w:r>
      <w:r w:rsidR="002F02F8">
        <w:rPr>
          <w:rFonts w:ascii="Arial" w:hAnsi="Arial" w:cs="Arial"/>
          <w:sz w:val="22"/>
          <w:szCs w:val="22"/>
        </w:rPr>
        <w:t xml:space="preserve"> of the granting of the order. </w:t>
      </w:r>
      <w:r>
        <w:rPr>
          <w:rFonts w:ascii="Arial" w:hAnsi="Arial" w:cs="Arial"/>
          <w:sz w:val="22"/>
          <w:szCs w:val="22"/>
        </w:rPr>
        <w:t xml:space="preserve">The respondents issued summons against the applicant two days later, but only managed to serve the summons on the applicant on 9 February 1997, 21 days after the expiry of the </w:t>
      </w:r>
      <w:r w:rsidR="00AC2702">
        <w:rPr>
          <w:rFonts w:ascii="Arial" w:hAnsi="Arial" w:cs="Arial"/>
          <w:sz w:val="22"/>
          <w:szCs w:val="22"/>
        </w:rPr>
        <w:t>stipulated</w:t>
      </w:r>
      <w:r w:rsidR="002F02F8">
        <w:rPr>
          <w:rFonts w:ascii="Arial" w:hAnsi="Arial" w:cs="Arial"/>
          <w:sz w:val="22"/>
          <w:szCs w:val="22"/>
        </w:rPr>
        <w:t xml:space="preserve"> period. </w:t>
      </w:r>
      <w:r>
        <w:rPr>
          <w:rFonts w:ascii="Arial" w:hAnsi="Arial" w:cs="Arial"/>
          <w:sz w:val="22"/>
          <w:szCs w:val="22"/>
        </w:rPr>
        <w:t>The applicant contended that in the circumstan</w:t>
      </w:r>
      <w:r w:rsidR="002F02F8">
        <w:rPr>
          <w:rFonts w:ascii="Arial" w:hAnsi="Arial" w:cs="Arial"/>
          <w:sz w:val="22"/>
          <w:szCs w:val="22"/>
        </w:rPr>
        <w:t xml:space="preserve">ces the attachment had lapsed. </w:t>
      </w:r>
      <w:r>
        <w:rPr>
          <w:rFonts w:ascii="Arial" w:hAnsi="Arial" w:cs="Arial"/>
          <w:sz w:val="22"/>
          <w:szCs w:val="22"/>
        </w:rPr>
        <w:t>The respondents disputed this, and in any event brought a counter-application for an extension of the time allowed so as to cover the 9 February service.’</w:t>
      </w:r>
    </w:p>
    <w:p w14:paraId="2E353557" w14:textId="77777777" w:rsidR="00FE4D85" w:rsidRDefault="00FE4D85" w:rsidP="00FE4D85">
      <w:pPr>
        <w:spacing w:line="360" w:lineRule="auto"/>
        <w:jc w:val="both"/>
        <w:rPr>
          <w:rFonts w:ascii="Arial" w:hAnsi="Arial" w:cs="Arial"/>
        </w:rPr>
      </w:pPr>
    </w:p>
    <w:p w14:paraId="662A7A91" w14:textId="25278E8F" w:rsidR="00FE4D85" w:rsidRPr="00F53133" w:rsidRDefault="00FE4D85" w:rsidP="00B40AE1">
      <w:pPr>
        <w:tabs>
          <w:tab w:val="left" w:pos="567"/>
        </w:tabs>
        <w:spacing w:line="360" w:lineRule="auto"/>
        <w:jc w:val="both"/>
        <w:rPr>
          <w:rFonts w:ascii="Arial" w:hAnsi="Arial" w:cs="Arial"/>
        </w:rPr>
      </w:pPr>
      <w:r>
        <w:rPr>
          <w:rFonts w:ascii="Arial" w:hAnsi="Arial" w:cs="Arial"/>
        </w:rPr>
        <w:t>[40]</w:t>
      </w:r>
      <w:r>
        <w:rPr>
          <w:rFonts w:ascii="Arial" w:hAnsi="Arial" w:cs="Arial"/>
        </w:rPr>
        <w:tab/>
      </w:r>
      <w:r>
        <w:rPr>
          <w:rFonts w:ascii="Arial" w:hAnsi="Arial" w:cs="Arial"/>
          <w:sz w:val="22"/>
          <w:szCs w:val="22"/>
        </w:rPr>
        <w:t xml:space="preserve">   </w:t>
      </w:r>
      <w:r>
        <w:rPr>
          <w:rFonts w:ascii="Arial" w:hAnsi="Arial" w:cs="Arial"/>
        </w:rPr>
        <w:t>In this case the 30-day period</w:t>
      </w:r>
      <w:r w:rsidR="002F02F8">
        <w:rPr>
          <w:rFonts w:ascii="Arial" w:hAnsi="Arial" w:cs="Arial"/>
        </w:rPr>
        <w:t xml:space="preserve"> was prescribed by an order of c</w:t>
      </w:r>
      <w:r>
        <w:rPr>
          <w:rFonts w:ascii="Arial" w:hAnsi="Arial" w:cs="Arial"/>
        </w:rPr>
        <w:t xml:space="preserve">ourt.  As was found in </w:t>
      </w:r>
      <w:proofErr w:type="spellStart"/>
      <w:r w:rsidRPr="00603231">
        <w:rPr>
          <w:rFonts w:ascii="Arial" w:hAnsi="Arial" w:cs="Arial"/>
          <w:i/>
        </w:rPr>
        <w:t>Himelsein</w:t>
      </w:r>
      <w:proofErr w:type="spellEnd"/>
      <w:r>
        <w:rPr>
          <w:rFonts w:ascii="Arial" w:hAnsi="Arial" w:cs="Arial"/>
        </w:rPr>
        <w:t>:</w:t>
      </w:r>
      <w:r>
        <w:rPr>
          <w:rStyle w:val="FootnoteReference"/>
          <w:rFonts w:ascii="Arial" w:hAnsi="Arial" w:cs="Arial"/>
        </w:rPr>
        <w:footnoteReference w:id="6"/>
      </w:r>
    </w:p>
    <w:p w14:paraId="06ACFBF3" w14:textId="48678102" w:rsidR="00F53133" w:rsidRPr="00F53133" w:rsidRDefault="00FE4D85" w:rsidP="00722391">
      <w:pPr>
        <w:spacing w:line="360" w:lineRule="auto"/>
        <w:jc w:val="both"/>
        <w:rPr>
          <w:rFonts w:ascii="Arial" w:hAnsi="Arial" w:cs="Arial"/>
          <w:sz w:val="22"/>
          <w:szCs w:val="22"/>
        </w:rPr>
      </w:pPr>
      <w:r w:rsidRPr="00F53133">
        <w:rPr>
          <w:rFonts w:ascii="Arial" w:hAnsi="Arial" w:cs="Arial"/>
          <w:sz w:val="22"/>
          <w:szCs w:val="22"/>
        </w:rPr>
        <w:t xml:space="preserve">‘The 30-day period was </w:t>
      </w:r>
      <w:r w:rsidR="00722391">
        <w:rPr>
          <w:rFonts w:ascii="Arial" w:hAnsi="Arial" w:cs="Arial"/>
          <w:sz w:val="22"/>
          <w:szCs w:val="22"/>
        </w:rPr>
        <w:t>“prescribed…</w:t>
      </w:r>
      <w:r w:rsidRPr="00F53133">
        <w:rPr>
          <w:rFonts w:ascii="Arial" w:hAnsi="Arial" w:cs="Arial"/>
          <w:sz w:val="22"/>
          <w:szCs w:val="22"/>
        </w:rPr>
        <w:t>by an order of Court”.  Rule 27 entails not only that this period can be extended after its lapse, but that “the result</w:t>
      </w:r>
      <w:r w:rsidR="00722391">
        <w:rPr>
          <w:rFonts w:ascii="Arial" w:hAnsi="Arial" w:cs="Arial"/>
          <w:sz w:val="22"/>
          <w:szCs w:val="22"/>
        </w:rPr>
        <w:t>s</w:t>
      </w:r>
      <w:r w:rsidRPr="00F53133">
        <w:rPr>
          <w:rFonts w:ascii="Arial" w:hAnsi="Arial" w:cs="Arial"/>
          <w:sz w:val="22"/>
          <w:szCs w:val="22"/>
        </w:rPr>
        <w:t xml:space="preserve"> of expiry” of the period on 20 January 1997 may be recalled, varied or cancelled.  Those “result</w:t>
      </w:r>
      <w:r w:rsidR="00722391">
        <w:rPr>
          <w:rFonts w:ascii="Arial" w:hAnsi="Arial" w:cs="Arial"/>
          <w:sz w:val="22"/>
          <w:szCs w:val="22"/>
        </w:rPr>
        <w:t>s</w:t>
      </w:r>
      <w:r w:rsidRPr="00F53133">
        <w:rPr>
          <w:rFonts w:ascii="Arial" w:hAnsi="Arial" w:cs="Arial"/>
          <w:sz w:val="22"/>
          <w:szCs w:val="22"/>
        </w:rPr>
        <w:t xml:space="preserve">” include the lapse of the attachment.  But the respondents make an overwhelming case for condonation of their failure to serve the process on </w:t>
      </w:r>
      <w:proofErr w:type="spellStart"/>
      <w:r w:rsidRPr="00F53133">
        <w:rPr>
          <w:rFonts w:ascii="Arial" w:hAnsi="Arial" w:cs="Arial"/>
          <w:sz w:val="22"/>
          <w:szCs w:val="22"/>
        </w:rPr>
        <w:t>Himelsein</w:t>
      </w:r>
      <w:proofErr w:type="spellEnd"/>
      <w:r w:rsidRPr="00F53133">
        <w:rPr>
          <w:rFonts w:ascii="Arial" w:hAnsi="Arial" w:cs="Arial"/>
          <w:sz w:val="22"/>
          <w:szCs w:val="22"/>
        </w:rPr>
        <w:t xml:space="preserve"> by 20 January.  Their depositions show that they acted with expedition and persistence, and that the period allowed simply proved too short.’</w:t>
      </w:r>
    </w:p>
    <w:p w14:paraId="354A42A4" w14:textId="77777777" w:rsidR="00F53133" w:rsidRPr="00F53133" w:rsidRDefault="00F53133" w:rsidP="00F53133">
      <w:pPr>
        <w:jc w:val="both"/>
        <w:rPr>
          <w:rFonts w:ascii="Arial" w:hAnsi="Arial" w:cs="Arial"/>
        </w:rPr>
      </w:pPr>
    </w:p>
    <w:p w14:paraId="69B2762B" w14:textId="44C27AE8" w:rsidR="00F53133" w:rsidRDefault="00FE4D85" w:rsidP="00B40AE1">
      <w:pPr>
        <w:tabs>
          <w:tab w:val="left" w:pos="567"/>
        </w:tabs>
        <w:spacing w:line="360" w:lineRule="auto"/>
        <w:jc w:val="both"/>
        <w:rPr>
          <w:rFonts w:ascii="Arial" w:hAnsi="Arial" w:cs="Arial"/>
          <w:color w:val="000000"/>
          <w:szCs w:val="18"/>
        </w:rPr>
      </w:pPr>
      <w:r w:rsidRPr="00F53133">
        <w:rPr>
          <w:rFonts w:ascii="Arial" w:hAnsi="Arial" w:cs="Arial"/>
        </w:rPr>
        <w:t>[41]</w:t>
      </w:r>
      <w:r w:rsidRPr="00F53133">
        <w:rPr>
          <w:rFonts w:ascii="Arial" w:hAnsi="Arial" w:cs="Arial"/>
          <w:color w:val="000000"/>
          <w:szCs w:val="18"/>
        </w:rPr>
        <w:tab/>
      </w:r>
      <w:r w:rsidR="009C7B06" w:rsidRPr="00F53133">
        <w:rPr>
          <w:rFonts w:ascii="Arial" w:hAnsi="Arial" w:cs="Arial"/>
          <w:color w:val="000000"/>
          <w:szCs w:val="18"/>
        </w:rPr>
        <w:t>Cameron J made the following finding</w:t>
      </w:r>
      <w:r w:rsidRPr="00F53133">
        <w:rPr>
          <w:rFonts w:ascii="Arial" w:hAnsi="Arial" w:cs="Arial"/>
          <w:color w:val="000000"/>
          <w:szCs w:val="18"/>
        </w:rPr>
        <w:t xml:space="preserve"> in </w:t>
      </w:r>
      <w:proofErr w:type="spellStart"/>
      <w:r w:rsidRPr="00F53133">
        <w:rPr>
          <w:rFonts w:ascii="Arial" w:hAnsi="Arial" w:cs="Arial"/>
          <w:i/>
          <w:color w:val="000000"/>
          <w:szCs w:val="18"/>
        </w:rPr>
        <w:t>Himelsein</w:t>
      </w:r>
      <w:proofErr w:type="spellEnd"/>
      <w:r w:rsidR="009C7B06" w:rsidRPr="00F53133">
        <w:rPr>
          <w:rFonts w:ascii="Arial" w:hAnsi="Arial" w:cs="Arial"/>
          <w:color w:val="000000"/>
          <w:szCs w:val="18"/>
        </w:rPr>
        <w:t>:</w:t>
      </w:r>
      <w:r w:rsidR="00593EF8">
        <w:rPr>
          <w:rStyle w:val="FootnoteReference"/>
          <w:rFonts w:ascii="Arial" w:hAnsi="Arial" w:cs="Arial"/>
          <w:color w:val="000000"/>
          <w:szCs w:val="18"/>
        </w:rPr>
        <w:footnoteReference w:id="7"/>
      </w:r>
    </w:p>
    <w:p w14:paraId="18B2CC32" w14:textId="6F4DF0E3" w:rsidR="00CD1352" w:rsidRPr="002F02F8" w:rsidRDefault="009C7B06" w:rsidP="002F02F8">
      <w:pPr>
        <w:spacing w:line="360" w:lineRule="auto"/>
        <w:rPr>
          <w:rFonts w:ascii="Arial" w:hAnsi="Arial" w:cs="Arial"/>
        </w:rPr>
      </w:pPr>
      <w:r w:rsidRPr="009C7B06">
        <w:rPr>
          <w:rFonts w:ascii="Arial" w:hAnsi="Arial" w:cs="Arial"/>
          <w:color w:val="000000"/>
          <w:sz w:val="22"/>
          <w:szCs w:val="22"/>
          <w:u w:val="single"/>
        </w:rPr>
        <w:t>‘Did the order of 3 December 1996 lapse and can it be revived?</w:t>
      </w:r>
      <w:r w:rsidRPr="009C7B06">
        <w:rPr>
          <w:rFonts w:ascii="Arial" w:hAnsi="Arial" w:cs="Arial"/>
          <w:color w:val="000000"/>
          <w:sz w:val="22"/>
          <w:szCs w:val="22"/>
        </w:rPr>
        <w:t> </w:t>
      </w:r>
    </w:p>
    <w:p w14:paraId="1E504B3F" w14:textId="77818E71" w:rsidR="009C7B06" w:rsidRDefault="009C7B06" w:rsidP="009C7B06">
      <w:pPr>
        <w:spacing w:line="360" w:lineRule="auto"/>
        <w:jc w:val="both"/>
        <w:rPr>
          <w:rFonts w:ascii="Arial" w:hAnsi="Arial" w:cs="Arial"/>
          <w:color w:val="000000"/>
          <w:sz w:val="22"/>
          <w:szCs w:val="22"/>
        </w:rPr>
      </w:pPr>
      <w:r w:rsidRPr="009C7B06">
        <w:rPr>
          <w:rFonts w:ascii="Arial" w:hAnsi="Arial" w:cs="Arial"/>
          <w:color w:val="000000"/>
          <w:sz w:val="22"/>
          <w:szCs w:val="22"/>
        </w:rPr>
        <w:t>Mr </w:t>
      </w:r>
      <w:r w:rsidRPr="009C7B06">
        <w:rPr>
          <w:rFonts w:ascii="Arial" w:hAnsi="Arial" w:cs="Arial"/>
          <w:i/>
          <w:iCs/>
          <w:color w:val="000000"/>
          <w:sz w:val="22"/>
          <w:szCs w:val="22"/>
        </w:rPr>
        <w:t>Fine</w:t>
      </w:r>
      <w:r w:rsidRPr="009C7B06">
        <w:rPr>
          <w:rFonts w:ascii="Arial" w:hAnsi="Arial" w:cs="Arial"/>
          <w:color w:val="000000"/>
          <w:sz w:val="22"/>
          <w:szCs w:val="22"/>
        </w:rPr>
        <w:t xml:space="preserve">, who appeared for </w:t>
      </w:r>
      <w:proofErr w:type="spellStart"/>
      <w:r w:rsidRPr="00836B94">
        <w:rPr>
          <w:rFonts w:ascii="Arial" w:hAnsi="Arial" w:cs="Arial"/>
          <w:i/>
          <w:color w:val="000000"/>
          <w:sz w:val="22"/>
          <w:szCs w:val="22"/>
        </w:rPr>
        <w:t>Himelsein</w:t>
      </w:r>
      <w:proofErr w:type="spellEnd"/>
      <w:r w:rsidRPr="009C7B06">
        <w:rPr>
          <w:rFonts w:ascii="Arial" w:hAnsi="Arial" w:cs="Arial"/>
          <w:color w:val="000000"/>
          <w:sz w:val="22"/>
          <w:szCs w:val="22"/>
        </w:rPr>
        <w:t>, contended that the order of 3 December contained a “built-in self-destruct clause”. It was, he argued, incapable of extension once its terms had not been complied with. Mr </w:t>
      </w:r>
      <w:proofErr w:type="spellStart"/>
      <w:r w:rsidRPr="009C7B06">
        <w:rPr>
          <w:rFonts w:ascii="Arial" w:hAnsi="Arial" w:cs="Arial"/>
          <w:i/>
          <w:iCs/>
          <w:color w:val="000000"/>
          <w:sz w:val="22"/>
          <w:szCs w:val="22"/>
        </w:rPr>
        <w:t>Medalie</w:t>
      </w:r>
      <w:proofErr w:type="spellEnd"/>
      <w:r w:rsidRPr="009C7B06">
        <w:rPr>
          <w:rFonts w:ascii="Arial" w:hAnsi="Arial" w:cs="Arial"/>
          <w:color w:val="000000"/>
          <w:sz w:val="22"/>
          <w:szCs w:val="22"/>
        </w:rPr>
        <w:t xml:space="preserve">, who appeared for the respondents, countered this by submitting that the order, “taken in its context”, entailed that the action was “instituted” merely by issue of summons. Thereafter, the order conferred permission on the respondents to proceed by service on </w:t>
      </w:r>
      <w:proofErr w:type="spellStart"/>
      <w:r w:rsidRPr="00836B94">
        <w:rPr>
          <w:rFonts w:ascii="Arial" w:hAnsi="Arial" w:cs="Arial"/>
          <w:i/>
          <w:color w:val="000000"/>
          <w:sz w:val="22"/>
          <w:szCs w:val="22"/>
        </w:rPr>
        <w:t>Himelsein</w:t>
      </w:r>
      <w:proofErr w:type="spellEnd"/>
      <w:r w:rsidRPr="009C7B06">
        <w:rPr>
          <w:rFonts w:ascii="Arial" w:hAnsi="Arial" w:cs="Arial"/>
          <w:color w:val="000000"/>
          <w:sz w:val="22"/>
          <w:szCs w:val="22"/>
        </w:rPr>
        <w:t xml:space="preserve"> in the manner specified, namely personally, whether at the address mentioned or elsewhere in the United States. On Mr </w:t>
      </w:r>
      <w:proofErr w:type="spellStart"/>
      <w:r w:rsidRPr="009C7B06">
        <w:rPr>
          <w:rFonts w:ascii="Arial" w:hAnsi="Arial" w:cs="Arial"/>
          <w:i/>
          <w:iCs/>
          <w:color w:val="000000"/>
          <w:sz w:val="22"/>
          <w:szCs w:val="22"/>
        </w:rPr>
        <w:t>Medalie's</w:t>
      </w:r>
      <w:proofErr w:type="spellEnd"/>
      <w:r w:rsidRPr="009C7B06">
        <w:rPr>
          <w:rFonts w:ascii="Arial" w:hAnsi="Arial" w:cs="Arial"/>
          <w:color w:val="000000"/>
          <w:sz w:val="22"/>
          <w:szCs w:val="22"/>
        </w:rPr>
        <w:t> reading, the respondents thus “instituted” the action within 30 days. Alternatively, if service was required within that period, the respondents’ inability to comply should be retrospectively condoned.</w:t>
      </w:r>
    </w:p>
    <w:p w14:paraId="40427D16" w14:textId="77777777" w:rsidR="00593EF8" w:rsidRPr="009C7B06" w:rsidRDefault="00593EF8" w:rsidP="004C7FC0">
      <w:pPr>
        <w:jc w:val="both"/>
        <w:rPr>
          <w:rFonts w:ascii="Arial" w:hAnsi="Arial" w:cs="Arial"/>
          <w:color w:val="000000"/>
          <w:sz w:val="22"/>
          <w:szCs w:val="22"/>
        </w:rPr>
      </w:pPr>
    </w:p>
    <w:p w14:paraId="09636264" w14:textId="77777777" w:rsidR="009C7B06" w:rsidRPr="009C7B06" w:rsidRDefault="009C7B06" w:rsidP="009C7B06">
      <w:pPr>
        <w:spacing w:line="360" w:lineRule="auto"/>
        <w:jc w:val="both"/>
        <w:rPr>
          <w:rFonts w:ascii="Arial" w:hAnsi="Arial" w:cs="Arial"/>
          <w:color w:val="000000"/>
          <w:sz w:val="22"/>
          <w:szCs w:val="22"/>
        </w:rPr>
      </w:pPr>
      <w:r w:rsidRPr="009C7B06">
        <w:rPr>
          <w:rFonts w:ascii="Arial" w:hAnsi="Arial" w:cs="Arial"/>
          <w:color w:val="000000"/>
          <w:sz w:val="22"/>
          <w:szCs w:val="22"/>
        </w:rPr>
        <w:lastRenderedPageBreak/>
        <w:t xml:space="preserve">I shall assume that </w:t>
      </w:r>
      <w:proofErr w:type="spellStart"/>
      <w:r w:rsidRPr="00836B94">
        <w:rPr>
          <w:rFonts w:ascii="Arial" w:hAnsi="Arial" w:cs="Arial"/>
          <w:i/>
          <w:color w:val="000000"/>
          <w:sz w:val="22"/>
          <w:szCs w:val="22"/>
        </w:rPr>
        <w:t>Himelsein's</w:t>
      </w:r>
      <w:proofErr w:type="spellEnd"/>
      <w:r w:rsidRPr="00836B94">
        <w:rPr>
          <w:rFonts w:ascii="Arial" w:hAnsi="Arial" w:cs="Arial"/>
          <w:i/>
          <w:color w:val="000000"/>
          <w:sz w:val="22"/>
          <w:szCs w:val="22"/>
        </w:rPr>
        <w:t xml:space="preserve"> </w:t>
      </w:r>
      <w:r w:rsidRPr="009C7B06">
        <w:rPr>
          <w:rFonts w:ascii="Arial" w:hAnsi="Arial" w:cs="Arial"/>
          <w:color w:val="000000"/>
          <w:sz w:val="22"/>
          <w:szCs w:val="22"/>
        </w:rPr>
        <w:t>contention that the order automatically lapsed on 20 January in the absence of service is correct; and that the respondents’ contention that “institute” the action should be amended to read “commence by issue of summons” is wrong. The provisions of Rule 27 seem to me nevertheless to govern the issue. Rule 27(1) empowers the Court on good cause shown to make an order extending or abridging</w:t>
      </w:r>
    </w:p>
    <w:p w14:paraId="44C25A23" w14:textId="6097BCC7" w:rsidR="009C7B06" w:rsidRPr="009C7B06" w:rsidRDefault="009C7B06" w:rsidP="00942C4C">
      <w:pPr>
        <w:spacing w:line="360" w:lineRule="auto"/>
        <w:ind w:left="720"/>
        <w:jc w:val="both"/>
        <w:rPr>
          <w:rFonts w:ascii="Arial" w:hAnsi="Arial" w:cs="Arial"/>
          <w:color w:val="000000"/>
          <w:sz w:val="22"/>
          <w:szCs w:val="22"/>
        </w:rPr>
      </w:pPr>
      <w:r w:rsidRPr="009C7B06">
        <w:rPr>
          <w:rFonts w:ascii="Arial" w:hAnsi="Arial" w:cs="Arial"/>
          <w:color w:val="000000"/>
          <w:sz w:val="22"/>
          <w:szCs w:val="22"/>
        </w:rPr>
        <w:t>“. . . any time prescribed by these Rules or by an order of Court or fixed by an order extending or abridging any time for doing any act or taking any step in connection with any proceedings of any nature whatsoever . . .”. </w:t>
      </w:r>
    </w:p>
    <w:p w14:paraId="7A6F1370" w14:textId="77777777" w:rsidR="004C7FC0" w:rsidRDefault="004C7FC0" w:rsidP="004C7FC0">
      <w:pPr>
        <w:jc w:val="both"/>
        <w:rPr>
          <w:rFonts w:ascii="Arial" w:hAnsi="Arial" w:cs="Arial"/>
          <w:color w:val="000000"/>
          <w:sz w:val="22"/>
          <w:szCs w:val="22"/>
        </w:rPr>
      </w:pPr>
    </w:p>
    <w:p w14:paraId="6F08D950" w14:textId="6B0A0502" w:rsidR="009C7B06" w:rsidRPr="009C7B06" w:rsidRDefault="009C7B06" w:rsidP="009C7B06">
      <w:pPr>
        <w:spacing w:line="360" w:lineRule="auto"/>
        <w:jc w:val="both"/>
        <w:rPr>
          <w:rFonts w:ascii="Arial" w:hAnsi="Arial" w:cs="Arial"/>
          <w:color w:val="000000"/>
          <w:sz w:val="22"/>
          <w:szCs w:val="22"/>
        </w:rPr>
      </w:pPr>
      <w:r w:rsidRPr="009C7B06">
        <w:rPr>
          <w:rFonts w:ascii="Arial" w:hAnsi="Arial" w:cs="Arial"/>
          <w:color w:val="000000"/>
          <w:sz w:val="22"/>
          <w:szCs w:val="22"/>
        </w:rPr>
        <w:t>Rule 27(2) expressly provides that:</w:t>
      </w:r>
    </w:p>
    <w:p w14:paraId="4185C1C8" w14:textId="4B9A4C05" w:rsidR="009C7B06" w:rsidRDefault="009C7B06" w:rsidP="00942C4C">
      <w:pPr>
        <w:spacing w:line="360" w:lineRule="auto"/>
        <w:ind w:left="720" w:hanging="14"/>
        <w:jc w:val="both"/>
        <w:rPr>
          <w:rFonts w:ascii="Arial" w:hAnsi="Arial" w:cs="Arial"/>
          <w:color w:val="000000"/>
          <w:sz w:val="22"/>
          <w:szCs w:val="22"/>
        </w:rPr>
      </w:pPr>
      <w:r w:rsidRPr="009C7B06">
        <w:rPr>
          <w:rFonts w:ascii="Arial" w:hAnsi="Arial" w:cs="Arial"/>
          <w:color w:val="000000"/>
          <w:sz w:val="22"/>
          <w:szCs w:val="22"/>
        </w:rPr>
        <w:t>“Any such extension may be ordered although the application therefor is not made until after expiry of the time prescribed or fixed, and the Court ordering any such extension may make such order as to it seems meet as to the recalling, varying or cancelling of the results of the expiry of any time so prescribed or fixed, whether such results flow from the terms of any order or from these Rules.”  </w:t>
      </w:r>
    </w:p>
    <w:p w14:paraId="04CE3DBF" w14:textId="77777777" w:rsidR="004C7FC0" w:rsidRPr="009C7B06" w:rsidRDefault="004C7FC0" w:rsidP="004C7FC0">
      <w:pPr>
        <w:spacing w:line="360" w:lineRule="auto"/>
        <w:ind w:left="284" w:hanging="142"/>
        <w:jc w:val="both"/>
        <w:rPr>
          <w:rFonts w:ascii="Arial" w:hAnsi="Arial" w:cs="Arial"/>
          <w:color w:val="000000"/>
          <w:sz w:val="22"/>
          <w:szCs w:val="22"/>
        </w:rPr>
      </w:pPr>
    </w:p>
    <w:p w14:paraId="4367E8E7" w14:textId="0C52428D" w:rsidR="009C7B06" w:rsidRDefault="009C7B06" w:rsidP="009C7B06">
      <w:pPr>
        <w:spacing w:line="360" w:lineRule="auto"/>
        <w:jc w:val="both"/>
        <w:rPr>
          <w:rFonts w:ascii="Arial" w:hAnsi="Arial" w:cs="Arial"/>
          <w:color w:val="000000"/>
          <w:sz w:val="22"/>
          <w:szCs w:val="22"/>
        </w:rPr>
      </w:pPr>
      <w:r w:rsidRPr="009C7B06">
        <w:rPr>
          <w:rFonts w:ascii="Arial" w:hAnsi="Arial" w:cs="Arial"/>
          <w:color w:val="000000"/>
          <w:sz w:val="22"/>
          <w:szCs w:val="22"/>
        </w:rPr>
        <w:t>Th</w:t>
      </w:r>
      <w:r w:rsidR="004A36E7">
        <w:rPr>
          <w:rFonts w:ascii="Arial" w:hAnsi="Arial" w:cs="Arial"/>
          <w:color w:val="000000"/>
          <w:sz w:val="22"/>
          <w:szCs w:val="22"/>
        </w:rPr>
        <w:t>e 30-day period was “prescribed…</w:t>
      </w:r>
      <w:r w:rsidRPr="009C7B06">
        <w:rPr>
          <w:rFonts w:ascii="Arial" w:hAnsi="Arial" w:cs="Arial"/>
          <w:color w:val="000000"/>
          <w:sz w:val="22"/>
          <w:szCs w:val="22"/>
        </w:rPr>
        <w:t xml:space="preserve">by an order of Court”. Rule 27 entails not only that this period can be extended after its lapse, but that “the results of the expiry” of the period on 20 January 1997 </w:t>
      </w:r>
      <w:r w:rsidRPr="00BE7C48">
        <w:rPr>
          <w:rFonts w:ascii="Arial" w:hAnsi="Arial" w:cs="Arial"/>
          <w:color w:val="000000"/>
          <w:sz w:val="22"/>
          <w:szCs w:val="22"/>
          <w:u w:val="single"/>
        </w:rPr>
        <w:t>may be recalled, varied or cancelled. Those “results” include the lapse of the attachment</w:t>
      </w:r>
      <w:r w:rsidRPr="009C7B06">
        <w:rPr>
          <w:rFonts w:ascii="Arial" w:hAnsi="Arial" w:cs="Arial"/>
          <w:color w:val="000000"/>
          <w:sz w:val="22"/>
          <w:szCs w:val="22"/>
        </w:rPr>
        <w:t>. . .</w:t>
      </w:r>
    </w:p>
    <w:p w14:paraId="0BF4009F" w14:textId="3E723FBF" w:rsidR="006D77B4" w:rsidRPr="009C7B06" w:rsidRDefault="006D77B4" w:rsidP="009C7B06">
      <w:pPr>
        <w:spacing w:line="360" w:lineRule="auto"/>
        <w:jc w:val="both"/>
        <w:rPr>
          <w:rFonts w:ascii="Arial" w:hAnsi="Arial" w:cs="Arial"/>
          <w:color w:val="000000"/>
          <w:sz w:val="22"/>
          <w:szCs w:val="22"/>
        </w:rPr>
      </w:pPr>
      <w:r>
        <w:rPr>
          <w:rFonts w:ascii="Arial" w:hAnsi="Arial" w:cs="Arial"/>
          <w:color w:val="000000"/>
          <w:sz w:val="22"/>
          <w:szCs w:val="22"/>
        </w:rPr>
        <w:t>…</w:t>
      </w:r>
    </w:p>
    <w:p w14:paraId="045EB831" w14:textId="5C4DB6CB" w:rsidR="00FE4D85" w:rsidRDefault="009C7B06" w:rsidP="00FE4D85">
      <w:pPr>
        <w:spacing w:line="360" w:lineRule="auto"/>
        <w:jc w:val="both"/>
        <w:rPr>
          <w:rFonts w:ascii="Arial" w:hAnsi="Arial" w:cs="Arial"/>
          <w:color w:val="000000"/>
          <w:sz w:val="22"/>
          <w:szCs w:val="22"/>
        </w:rPr>
      </w:pPr>
      <w:r w:rsidRPr="009C7B06">
        <w:rPr>
          <w:rFonts w:ascii="Arial" w:hAnsi="Arial" w:cs="Arial"/>
          <w:color w:val="000000"/>
          <w:sz w:val="22"/>
          <w:szCs w:val="22"/>
        </w:rPr>
        <w:t xml:space="preserve">I accordingly conclude that the Court is empowered to grant, and that the respondents are entitled to be given, a retrospective extension of the 30-day period for service of the process on </w:t>
      </w:r>
      <w:proofErr w:type="spellStart"/>
      <w:r w:rsidRPr="007950DA">
        <w:rPr>
          <w:rFonts w:ascii="Arial" w:hAnsi="Arial" w:cs="Arial"/>
          <w:i/>
          <w:color w:val="000000"/>
          <w:sz w:val="22"/>
          <w:szCs w:val="22"/>
        </w:rPr>
        <w:t>Himelsein</w:t>
      </w:r>
      <w:proofErr w:type="spellEnd"/>
      <w:r w:rsidRPr="009C7B06">
        <w:rPr>
          <w:rFonts w:ascii="Arial" w:hAnsi="Arial" w:cs="Arial"/>
          <w:color w:val="000000"/>
          <w:sz w:val="22"/>
          <w:szCs w:val="22"/>
        </w:rPr>
        <w:t>, as well as a concomitant order that the lapse of the attachment be cancelled.’</w:t>
      </w:r>
      <w:r w:rsidRPr="009C7B06">
        <w:rPr>
          <w:rStyle w:val="FootnoteReference"/>
          <w:rFonts w:ascii="Arial" w:hAnsi="Arial" w:cs="Arial"/>
          <w:color w:val="000000"/>
          <w:sz w:val="22"/>
          <w:szCs w:val="22"/>
        </w:rPr>
        <w:footnoteReference w:id="8"/>
      </w:r>
      <w:r w:rsidR="00BE7C48">
        <w:rPr>
          <w:rFonts w:ascii="Arial" w:hAnsi="Arial" w:cs="Arial"/>
          <w:color w:val="000000"/>
          <w:sz w:val="22"/>
          <w:szCs w:val="22"/>
        </w:rPr>
        <w:t xml:space="preserve"> (</w:t>
      </w:r>
      <w:r w:rsidR="00836B94">
        <w:rPr>
          <w:rFonts w:ascii="Arial" w:hAnsi="Arial" w:cs="Arial"/>
          <w:color w:val="000000"/>
          <w:sz w:val="22"/>
          <w:szCs w:val="22"/>
        </w:rPr>
        <w:t xml:space="preserve">my </w:t>
      </w:r>
      <w:r w:rsidR="00BE7C48">
        <w:rPr>
          <w:rFonts w:ascii="Arial" w:hAnsi="Arial" w:cs="Arial"/>
          <w:color w:val="000000"/>
          <w:sz w:val="22"/>
          <w:szCs w:val="22"/>
        </w:rPr>
        <w:t>emphasis)</w:t>
      </w:r>
    </w:p>
    <w:p w14:paraId="40CCF436" w14:textId="77777777" w:rsidR="00FE4D85" w:rsidRDefault="00FE4D85" w:rsidP="00FE4D85">
      <w:pPr>
        <w:spacing w:line="360" w:lineRule="auto"/>
        <w:jc w:val="both"/>
        <w:rPr>
          <w:rFonts w:ascii="Arial" w:hAnsi="Arial" w:cs="Arial"/>
          <w:color w:val="000000"/>
          <w:sz w:val="22"/>
          <w:szCs w:val="22"/>
        </w:rPr>
      </w:pPr>
    </w:p>
    <w:p w14:paraId="49A0E5E9" w14:textId="596FED48" w:rsidR="00FE4D85" w:rsidRDefault="00262783" w:rsidP="00B40AE1">
      <w:pPr>
        <w:tabs>
          <w:tab w:val="left" w:pos="567"/>
        </w:tabs>
        <w:spacing w:line="360" w:lineRule="auto"/>
        <w:jc w:val="both"/>
        <w:rPr>
          <w:rFonts w:ascii="Arial" w:hAnsi="Arial" w:cs="Arial"/>
        </w:rPr>
      </w:pPr>
      <w:r w:rsidRPr="00262783">
        <w:rPr>
          <w:rFonts w:ascii="Arial" w:hAnsi="Arial" w:cs="Arial"/>
          <w:color w:val="000000"/>
        </w:rPr>
        <w:t>[42]</w:t>
      </w:r>
      <w:r>
        <w:rPr>
          <w:rFonts w:ascii="Arial" w:hAnsi="Arial" w:cs="Arial"/>
          <w:color w:val="000000"/>
          <w:sz w:val="22"/>
          <w:szCs w:val="20"/>
        </w:rPr>
        <w:tab/>
      </w:r>
      <w:r w:rsidR="009C7B06">
        <w:rPr>
          <w:rFonts w:ascii="Arial" w:hAnsi="Arial" w:cs="Arial"/>
        </w:rPr>
        <w:t xml:space="preserve">The second respondent referred to the case of </w:t>
      </w:r>
      <w:proofErr w:type="spellStart"/>
      <w:r w:rsidR="009C7B06">
        <w:rPr>
          <w:rFonts w:ascii="Arial" w:hAnsi="Arial" w:cs="Arial"/>
          <w:i/>
        </w:rPr>
        <w:t>Melane</w:t>
      </w:r>
      <w:proofErr w:type="spellEnd"/>
      <w:r w:rsidR="009C7B06">
        <w:rPr>
          <w:rFonts w:ascii="Arial" w:hAnsi="Arial" w:cs="Arial"/>
          <w:i/>
        </w:rPr>
        <w:t xml:space="preserve"> v Sanlam Insurance Co Ltd</w:t>
      </w:r>
      <w:r w:rsidR="00A227A8">
        <w:rPr>
          <w:rFonts w:ascii="Arial" w:hAnsi="Arial" w:cs="Arial"/>
          <w:i/>
        </w:rPr>
        <w:t xml:space="preserve"> </w:t>
      </w:r>
      <w:r w:rsidR="00A227A8" w:rsidRPr="00A227A8">
        <w:rPr>
          <w:rFonts w:ascii="Arial" w:hAnsi="Arial" w:cs="Arial"/>
        </w:rPr>
        <w:t>1962</w:t>
      </w:r>
      <w:r w:rsidR="00A227A8">
        <w:rPr>
          <w:rFonts w:ascii="Arial" w:hAnsi="Arial" w:cs="Arial"/>
        </w:rPr>
        <w:t xml:space="preserve"> </w:t>
      </w:r>
      <w:r w:rsidR="00A227A8" w:rsidRPr="00A227A8">
        <w:rPr>
          <w:rFonts w:ascii="Arial" w:hAnsi="Arial" w:cs="Arial"/>
        </w:rPr>
        <w:t>(4) SA 531 (A) at 532C-F</w:t>
      </w:r>
      <w:r w:rsidR="00A227A8" w:rsidRPr="00A227A8">
        <w:rPr>
          <w:rStyle w:val="FootnoteReference"/>
          <w:rFonts w:ascii="Arial" w:hAnsi="Arial" w:cs="Arial"/>
          <w:i/>
          <w:vertAlign w:val="baseline"/>
        </w:rPr>
        <w:t xml:space="preserve"> </w:t>
      </w:r>
      <w:r w:rsidR="00E53B70">
        <w:rPr>
          <w:rFonts w:ascii="Arial" w:hAnsi="Arial" w:cs="Arial"/>
        </w:rPr>
        <w:t>in support for</w:t>
      </w:r>
      <w:r w:rsidR="00996157">
        <w:rPr>
          <w:rFonts w:ascii="Arial" w:hAnsi="Arial" w:cs="Arial"/>
        </w:rPr>
        <w:t xml:space="preserve"> its submission that in addition to the explanation for the lateness of compliance, the prospects of success have to be demonstrated, which </w:t>
      </w:r>
      <w:r w:rsidR="005C7DDF">
        <w:rPr>
          <w:rFonts w:ascii="Arial" w:hAnsi="Arial" w:cs="Arial"/>
        </w:rPr>
        <w:t>he</w:t>
      </w:r>
      <w:r w:rsidR="00996157">
        <w:rPr>
          <w:rFonts w:ascii="Arial" w:hAnsi="Arial" w:cs="Arial"/>
        </w:rPr>
        <w:t xml:space="preserve"> aver that the a</w:t>
      </w:r>
      <w:r w:rsidR="005C7DDF">
        <w:rPr>
          <w:rFonts w:ascii="Arial" w:hAnsi="Arial" w:cs="Arial"/>
        </w:rPr>
        <w:t>pplicant</w:t>
      </w:r>
      <w:r w:rsidR="00996157">
        <w:rPr>
          <w:rFonts w:ascii="Arial" w:hAnsi="Arial" w:cs="Arial"/>
        </w:rPr>
        <w:t xml:space="preserve"> ha</w:t>
      </w:r>
      <w:r w:rsidR="005C7DDF">
        <w:rPr>
          <w:rFonts w:ascii="Arial" w:hAnsi="Arial" w:cs="Arial"/>
        </w:rPr>
        <w:t>s</w:t>
      </w:r>
      <w:r w:rsidR="00996157">
        <w:rPr>
          <w:rFonts w:ascii="Arial" w:hAnsi="Arial" w:cs="Arial"/>
        </w:rPr>
        <w:t xml:space="preserve"> failed to do.  The following </w:t>
      </w:r>
      <w:r w:rsidR="00996157" w:rsidRPr="003D67A4">
        <w:rPr>
          <w:rFonts w:ascii="Arial" w:hAnsi="Arial" w:cs="Arial"/>
          <w:i/>
        </w:rPr>
        <w:t>dicta</w:t>
      </w:r>
      <w:r w:rsidR="00996157">
        <w:rPr>
          <w:rFonts w:ascii="Arial" w:hAnsi="Arial" w:cs="Arial"/>
        </w:rPr>
        <w:t xml:space="preserve"> from </w:t>
      </w:r>
      <w:proofErr w:type="spellStart"/>
      <w:r w:rsidR="00996157">
        <w:rPr>
          <w:rFonts w:ascii="Arial" w:hAnsi="Arial" w:cs="Arial"/>
          <w:i/>
        </w:rPr>
        <w:t>M</w:t>
      </w:r>
      <w:r w:rsidR="003F0B32">
        <w:rPr>
          <w:rFonts w:ascii="Arial" w:hAnsi="Arial" w:cs="Arial"/>
          <w:i/>
        </w:rPr>
        <w:t>el</w:t>
      </w:r>
      <w:r w:rsidR="00996157">
        <w:rPr>
          <w:rFonts w:ascii="Arial" w:hAnsi="Arial" w:cs="Arial"/>
          <w:i/>
        </w:rPr>
        <w:t>ane</w:t>
      </w:r>
      <w:proofErr w:type="spellEnd"/>
      <w:r w:rsidR="003D67A4">
        <w:rPr>
          <w:rStyle w:val="FootnoteReference"/>
          <w:rFonts w:ascii="Arial" w:hAnsi="Arial" w:cs="Arial"/>
          <w:i/>
        </w:rPr>
        <w:footnoteReference w:id="9"/>
      </w:r>
      <w:r w:rsidR="00996157">
        <w:rPr>
          <w:rFonts w:ascii="Arial" w:hAnsi="Arial" w:cs="Arial"/>
          <w:i/>
        </w:rPr>
        <w:t xml:space="preserve"> </w:t>
      </w:r>
      <w:r w:rsidR="00996157">
        <w:rPr>
          <w:rFonts w:ascii="Arial" w:hAnsi="Arial" w:cs="Arial"/>
        </w:rPr>
        <w:t>are relevant:</w:t>
      </w:r>
    </w:p>
    <w:p w14:paraId="05698E0F" w14:textId="12255B0E" w:rsidR="00F53133" w:rsidRDefault="00996157" w:rsidP="00F53133">
      <w:pPr>
        <w:spacing w:line="360" w:lineRule="auto"/>
        <w:jc w:val="both"/>
        <w:rPr>
          <w:rFonts w:ascii="Arial" w:hAnsi="Arial" w:cs="Arial"/>
          <w:sz w:val="22"/>
          <w:szCs w:val="22"/>
        </w:rPr>
      </w:pPr>
      <w:r>
        <w:rPr>
          <w:rFonts w:ascii="Arial" w:hAnsi="Arial" w:cs="Arial"/>
          <w:sz w:val="22"/>
          <w:szCs w:val="22"/>
        </w:rPr>
        <w:t>‘Among the</w:t>
      </w:r>
      <w:r w:rsidR="00074154">
        <w:rPr>
          <w:rFonts w:ascii="Arial" w:hAnsi="Arial" w:cs="Arial"/>
          <w:sz w:val="22"/>
          <w:szCs w:val="22"/>
        </w:rPr>
        <w:t xml:space="preserve"> facts usually relevant</w:t>
      </w:r>
      <w:r>
        <w:rPr>
          <w:rFonts w:ascii="Arial" w:hAnsi="Arial" w:cs="Arial"/>
          <w:sz w:val="22"/>
          <w:szCs w:val="22"/>
        </w:rPr>
        <w:t xml:space="preserve"> are the degree of lateness</w:t>
      </w:r>
      <w:r w:rsidR="00074154">
        <w:rPr>
          <w:rFonts w:ascii="Arial" w:hAnsi="Arial" w:cs="Arial"/>
          <w:sz w:val="22"/>
          <w:szCs w:val="22"/>
        </w:rPr>
        <w:t>,</w:t>
      </w:r>
      <w:r>
        <w:rPr>
          <w:rFonts w:ascii="Arial" w:hAnsi="Arial" w:cs="Arial"/>
          <w:sz w:val="22"/>
          <w:szCs w:val="22"/>
        </w:rPr>
        <w:t xml:space="preserve"> </w:t>
      </w:r>
      <w:r w:rsidR="00074154">
        <w:rPr>
          <w:rFonts w:ascii="Arial" w:hAnsi="Arial" w:cs="Arial"/>
          <w:sz w:val="22"/>
          <w:szCs w:val="22"/>
        </w:rPr>
        <w:t>t</w:t>
      </w:r>
      <w:r>
        <w:rPr>
          <w:rFonts w:ascii="Arial" w:hAnsi="Arial" w:cs="Arial"/>
          <w:sz w:val="22"/>
          <w:szCs w:val="22"/>
        </w:rPr>
        <w:t>he explanation therefor, the prospects of success and the importance of the case.  Ordinari</w:t>
      </w:r>
      <w:r w:rsidR="00074154">
        <w:rPr>
          <w:rFonts w:ascii="Arial" w:hAnsi="Arial" w:cs="Arial"/>
          <w:sz w:val="22"/>
          <w:szCs w:val="22"/>
        </w:rPr>
        <w:t xml:space="preserve">ly these facts are </w:t>
      </w:r>
      <w:r w:rsidR="00074154">
        <w:rPr>
          <w:rFonts w:ascii="Arial" w:hAnsi="Arial" w:cs="Arial"/>
          <w:sz w:val="22"/>
          <w:szCs w:val="22"/>
        </w:rPr>
        <w:lastRenderedPageBreak/>
        <w:t>interrelated:</w:t>
      </w:r>
      <w:r>
        <w:rPr>
          <w:rFonts w:ascii="Arial" w:hAnsi="Arial" w:cs="Arial"/>
          <w:sz w:val="22"/>
          <w:szCs w:val="22"/>
        </w:rPr>
        <w:t xml:space="preserve"> they are not individually decisive, for that would be a piecemeal approach incompatible with a true discretion, save of course that if</w:t>
      </w:r>
      <w:r w:rsidR="003F0B32">
        <w:rPr>
          <w:rFonts w:ascii="Arial" w:hAnsi="Arial" w:cs="Arial"/>
          <w:sz w:val="22"/>
          <w:szCs w:val="22"/>
        </w:rPr>
        <w:t xml:space="preserve"> there are no prospects of success there </w:t>
      </w:r>
      <w:r w:rsidR="00074154">
        <w:rPr>
          <w:rFonts w:ascii="Arial" w:hAnsi="Arial" w:cs="Arial"/>
          <w:sz w:val="22"/>
          <w:szCs w:val="22"/>
        </w:rPr>
        <w:t>would</w:t>
      </w:r>
      <w:r w:rsidR="003F0B32">
        <w:rPr>
          <w:rFonts w:ascii="Arial" w:hAnsi="Arial" w:cs="Arial"/>
          <w:sz w:val="22"/>
          <w:szCs w:val="22"/>
        </w:rPr>
        <w:t xml:space="preserve"> be no point in granting condonation</w:t>
      </w:r>
      <w:r w:rsidR="00074154">
        <w:rPr>
          <w:rFonts w:ascii="Arial" w:hAnsi="Arial" w:cs="Arial"/>
          <w:sz w:val="22"/>
          <w:szCs w:val="22"/>
        </w:rPr>
        <w:t>…</w:t>
      </w:r>
      <w:r w:rsidR="003F0B32">
        <w:rPr>
          <w:rFonts w:ascii="Arial" w:hAnsi="Arial" w:cs="Arial"/>
          <w:sz w:val="22"/>
          <w:szCs w:val="22"/>
        </w:rPr>
        <w:t>What is needed is an objective conspectus of all the facts.’</w:t>
      </w:r>
    </w:p>
    <w:p w14:paraId="7A341635" w14:textId="77777777" w:rsidR="00BE7C48" w:rsidRDefault="00BE7C48" w:rsidP="00B40AE1">
      <w:pPr>
        <w:tabs>
          <w:tab w:val="left" w:pos="567"/>
        </w:tabs>
        <w:spacing w:line="360" w:lineRule="auto"/>
        <w:jc w:val="both"/>
        <w:rPr>
          <w:rFonts w:ascii="Arial" w:hAnsi="Arial" w:cs="Arial"/>
        </w:rPr>
      </w:pPr>
    </w:p>
    <w:p w14:paraId="48B38D16" w14:textId="2A5AD898" w:rsidR="00F53133" w:rsidRDefault="003F0B32" w:rsidP="00B40AE1">
      <w:pPr>
        <w:tabs>
          <w:tab w:val="left" w:pos="567"/>
        </w:tabs>
        <w:spacing w:line="360" w:lineRule="auto"/>
        <w:jc w:val="both"/>
        <w:rPr>
          <w:rFonts w:ascii="Arial" w:hAnsi="Arial" w:cs="Arial"/>
          <w:color w:val="000000"/>
          <w:sz w:val="22"/>
          <w:szCs w:val="22"/>
        </w:rPr>
      </w:pPr>
      <w:r w:rsidRPr="00262783">
        <w:rPr>
          <w:rFonts w:ascii="Arial" w:hAnsi="Arial" w:cs="Arial"/>
        </w:rPr>
        <w:t>[</w:t>
      </w:r>
      <w:r w:rsidR="00573C03" w:rsidRPr="00262783">
        <w:rPr>
          <w:rFonts w:ascii="Arial" w:hAnsi="Arial" w:cs="Arial"/>
        </w:rPr>
        <w:t>43</w:t>
      </w:r>
      <w:r w:rsidRPr="00262783">
        <w:rPr>
          <w:rFonts w:ascii="Arial" w:hAnsi="Arial" w:cs="Arial"/>
        </w:rPr>
        <w:t>]</w:t>
      </w:r>
      <w:r w:rsidRPr="00262783">
        <w:rPr>
          <w:rFonts w:ascii="Arial" w:hAnsi="Arial" w:cs="Arial"/>
        </w:rPr>
        <w:tab/>
      </w:r>
      <w:r w:rsidR="00661C5A">
        <w:rPr>
          <w:rFonts w:ascii="Arial" w:hAnsi="Arial" w:cs="Arial"/>
        </w:rPr>
        <w:t>Further</w:t>
      </w:r>
      <w:r w:rsidR="00B95816">
        <w:rPr>
          <w:rFonts w:ascii="Arial" w:hAnsi="Arial" w:cs="Arial"/>
        </w:rPr>
        <w:t>,</w:t>
      </w:r>
      <w:r w:rsidRPr="00262783">
        <w:rPr>
          <w:rFonts w:ascii="Arial" w:hAnsi="Arial" w:cs="Arial"/>
        </w:rPr>
        <w:t xml:space="preserve"> the second </w:t>
      </w:r>
      <w:r w:rsidR="00661C5A">
        <w:rPr>
          <w:rFonts w:ascii="Arial" w:hAnsi="Arial" w:cs="Arial"/>
        </w:rPr>
        <w:t>respondent</w:t>
      </w:r>
      <w:r w:rsidR="00661C5A" w:rsidRPr="00262783">
        <w:rPr>
          <w:rFonts w:ascii="Arial" w:hAnsi="Arial" w:cs="Arial"/>
        </w:rPr>
        <w:t xml:space="preserve"> </w:t>
      </w:r>
      <w:r w:rsidRPr="00262783">
        <w:rPr>
          <w:rFonts w:ascii="Arial" w:hAnsi="Arial" w:cs="Arial"/>
        </w:rPr>
        <w:t xml:space="preserve">contends that there was patent </w:t>
      </w:r>
      <w:r w:rsidR="00322038" w:rsidRPr="00262783">
        <w:rPr>
          <w:rFonts w:ascii="Arial" w:hAnsi="Arial" w:cs="Arial"/>
        </w:rPr>
        <w:t xml:space="preserve">non-compliance with Rule 23 of the </w:t>
      </w:r>
      <w:r w:rsidR="00FC7083">
        <w:rPr>
          <w:rFonts w:ascii="Arial" w:hAnsi="Arial" w:cs="Arial"/>
        </w:rPr>
        <w:t>Tribunal r</w:t>
      </w:r>
      <w:r w:rsidR="000E3419">
        <w:rPr>
          <w:rFonts w:ascii="Arial" w:hAnsi="Arial" w:cs="Arial"/>
        </w:rPr>
        <w:t>ules</w:t>
      </w:r>
      <w:r w:rsidR="00FC7083">
        <w:rPr>
          <w:rFonts w:ascii="Arial" w:hAnsi="Arial" w:cs="Arial"/>
        </w:rPr>
        <w:t>.  This r</w:t>
      </w:r>
      <w:r w:rsidR="005C7DDF">
        <w:rPr>
          <w:rFonts w:ascii="Arial" w:hAnsi="Arial" w:cs="Arial"/>
        </w:rPr>
        <w:t>ule</w:t>
      </w:r>
      <w:r w:rsidR="00322038" w:rsidRPr="00262783">
        <w:rPr>
          <w:rFonts w:ascii="Arial" w:hAnsi="Arial" w:cs="Arial"/>
        </w:rPr>
        <w:t xml:space="preserve"> provides</w:t>
      </w:r>
      <w:r w:rsidR="00FC7083">
        <w:rPr>
          <w:rFonts w:ascii="Arial" w:hAnsi="Arial" w:cs="Arial"/>
        </w:rPr>
        <w:t>:</w:t>
      </w:r>
      <w:r w:rsidR="00322038" w:rsidRPr="00262783">
        <w:rPr>
          <w:rFonts w:ascii="Arial" w:hAnsi="Arial" w:cs="Arial"/>
        </w:rPr>
        <w:t xml:space="preserve"> </w:t>
      </w:r>
    </w:p>
    <w:p w14:paraId="2B3863DA" w14:textId="5BAA8824" w:rsidR="00F53133" w:rsidRDefault="00EF0631" w:rsidP="00F53133">
      <w:pPr>
        <w:spacing w:line="360" w:lineRule="auto"/>
        <w:jc w:val="both"/>
        <w:rPr>
          <w:rFonts w:ascii="Arial" w:hAnsi="Arial" w:cs="Arial"/>
          <w:sz w:val="22"/>
          <w:szCs w:val="22"/>
        </w:rPr>
      </w:pPr>
      <w:r w:rsidRPr="00F53133">
        <w:rPr>
          <w:rFonts w:ascii="Arial" w:hAnsi="Arial" w:cs="Arial"/>
          <w:sz w:val="22"/>
          <w:szCs w:val="22"/>
        </w:rPr>
        <w:t>‘</w:t>
      </w:r>
      <w:r w:rsidR="00D62CC7">
        <w:rPr>
          <w:rFonts w:ascii="Arial" w:hAnsi="Arial" w:cs="Arial"/>
          <w:sz w:val="22"/>
          <w:szCs w:val="22"/>
        </w:rPr>
        <w:t>The</w:t>
      </w:r>
      <w:r w:rsidRPr="00F53133">
        <w:rPr>
          <w:rFonts w:ascii="Arial" w:hAnsi="Arial" w:cs="Arial"/>
          <w:sz w:val="22"/>
          <w:szCs w:val="22"/>
        </w:rPr>
        <w:t xml:space="preserve"> preservation order shall be applied for only after or simultaneous with the institution of the main application or action proceedings in the Tribunal, or where there is an application or action proceedings pending in the High Court.’</w:t>
      </w:r>
    </w:p>
    <w:p w14:paraId="2D5B7A63" w14:textId="77777777" w:rsidR="00F53133" w:rsidRDefault="00F53133" w:rsidP="00F53133">
      <w:pPr>
        <w:spacing w:line="360" w:lineRule="auto"/>
        <w:jc w:val="both"/>
        <w:rPr>
          <w:rFonts w:ascii="Arial" w:hAnsi="Arial" w:cs="Arial"/>
          <w:sz w:val="22"/>
          <w:szCs w:val="22"/>
        </w:rPr>
      </w:pPr>
    </w:p>
    <w:p w14:paraId="3AE57B59" w14:textId="1EEAD480" w:rsidR="00F53133" w:rsidRDefault="00EF0631" w:rsidP="00B40AE1">
      <w:pPr>
        <w:tabs>
          <w:tab w:val="left" w:pos="567"/>
        </w:tabs>
        <w:spacing w:line="360" w:lineRule="auto"/>
        <w:jc w:val="both"/>
        <w:rPr>
          <w:rFonts w:ascii="Arial" w:hAnsi="Arial" w:cs="Arial"/>
        </w:rPr>
      </w:pPr>
      <w:r w:rsidRPr="00296A23">
        <w:rPr>
          <w:rFonts w:ascii="Arial" w:hAnsi="Arial" w:cs="Arial"/>
        </w:rPr>
        <w:t>[</w:t>
      </w:r>
      <w:r w:rsidR="00573C03">
        <w:rPr>
          <w:rFonts w:ascii="Arial" w:hAnsi="Arial" w:cs="Arial"/>
        </w:rPr>
        <w:t>44</w:t>
      </w:r>
      <w:r w:rsidRPr="00296A23">
        <w:rPr>
          <w:rFonts w:ascii="Arial" w:hAnsi="Arial" w:cs="Arial"/>
        </w:rPr>
        <w:t>]</w:t>
      </w:r>
      <w:r w:rsidRPr="00296A23">
        <w:rPr>
          <w:rFonts w:ascii="Arial" w:hAnsi="Arial" w:cs="Arial"/>
        </w:rPr>
        <w:tab/>
        <w:t>In this regard</w:t>
      </w:r>
      <w:r w:rsidR="008F7AD4">
        <w:rPr>
          <w:rFonts w:ascii="Arial" w:hAnsi="Arial" w:cs="Arial"/>
        </w:rPr>
        <w:t>,</w:t>
      </w:r>
      <w:r w:rsidRPr="00296A23">
        <w:rPr>
          <w:rFonts w:ascii="Arial" w:hAnsi="Arial" w:cs="Arial"/>
        </w:rPr>
        <w:t xml:space="preserve"> the second respondent points out that the applicants approached the Tribunal on an </w:t>
      </w:r>
      <w:r w:rsidRPr="00B02333">
        <w:rPr>
          <w:rFonts w:ascii="Arial" w:hAnsi="Arial" w:cs="Arial"/>
          <w:i/>
        </w:rPr>
        <w:t>ex parte</w:t>
      </w:r>
      <w:r w:rsidRPr="00296A23">
        <w:rPr>
          <w:rFonts w:ascii="Arial" w:hAnsi="Arial" w:cs="Arial"/>
        </w:rPr>
        <w:t xml:space="preserve"> basis when action had not yet been instituted prior </w:t>
      </w:r>
      <w:r w:rsidR="00296A23" w:rsidRPr="00296A23">
        <w:rPr>
          <w:rFonts w:ascii="Arial" w:hAnsi="Arial" w:cs="Arial"/>
        </w:rPr>
        <w:t xml:space="preserve">or simultaneously with </w:t>
      </w:r>
      <w:r w:rsidR="00B02333">
        <w:rPr>
          <w:rFonts w:ascii="Arial" w:hAnsi="Arial" w:cs="Arial"/>
        </w:rPr>
        <w:t xml:space="preserve">the </w:t>
      </w:r>
      <w:r w:rsidR="00296A23" w:rsidRPr="00296A23">
        <w:rPr>
          <w:rFonts w:ascii="Arial" w:hAnsi="Arial" w:cs="Arial"/>
        </w:rPr>
        <w:t xml:space="preserve">application for the preservation order.  Ergo, the applicants are not entitled to the order they now seek. I was then referred to the decision in </w:t>
      </w:r>
      <w:proofErr w:type="spellStart"/>
      <w:r w:rsidR="00296A23" w:rsidRPr="00296A23">
        <w:rPr>
          <w:rFonts w:ascii="Arial" w:hAnsi="Arial" w:cs="Arial"/>
          <w:i/>
        </w:rPr>
        <w:t>Mulaudzi</w:t>
      </w:r>
      <w:proofErr w:type="spellEnd"/>
      <w:r w:rsidR="00296A23" w:rsidRPr="00296A23">
        <w:rPr>
          <w:rFonts w:ascii="Arial" w:hAnsi="Arial" w:cs="Arial"/>
          <w:i/>
        </w:rPr>
        <w:t xml:space="preserve"> v Old Mutual Life Insurance Comp</w:t>
      </w:r>
      <w:r w:rsidR="00B02333">
        <w:rPr>
          <w:rFonts w:ascii="Arial" w:hAnsi="Arial" w:cs="Arial"/>
          <w:i/>
        </w:rPr>
        <w:t>any (South Africa) Limited and o</w:t>
      </w:r>
      <w:r w:rsidR="00296A23" w:rsidRPr="00296A23">
        <w:rPr>
          <w:rFonts w:ascii="Arial" w:hAnsi="Arial" w:cs="Arial"/>
          <w:i/>
        </w:rPr>
        <w:t>thers, National Direc</w:t>
      </w:r>
      <w:r w:rsidR="00B02333">
        <w:rPr>
          <w:rFonts w:ascii="Arial" w:hAnsi="Arial" w:cs="Arial"/>
          <w:i/>
        </w:rPr>
        <w:t>tor of Public Prosecutions and a</w:t>
      </w:r>
      <w:r w:rsidR="00296A23" w:rsidRPr="00296A23">
        <w:rPr>
          <w:rFonts w:ascii="Arial" w:hAnsi="Arial" w:cs="Arial"/>
          <w:i/>
        </w:rPr>
        <w:t xml:space="preserve">nother v </w:t>
      </w:r>
      <w:proofErr w:type="spellStart"/>
      <w:r w:rsidR="00296A23" w:rsidRPr="00296A23">
        <w:rPr>
          <w:rFonts w:ascii="Arial" w:hAnsi="Arial" w:cs="Arial"/>
          <w:i/>
        </w:rPr>
        <w:t>Mulaudzi</w:t>
      </w:r>
      <w:proofErr w:type="spellEnd"/>
      <w:r w:rsidR="009C172F">
        <w:rPr>
          <w:rFonts w:ascii="Arial" w:hAnsi="Arial" w:cs="Arial"/>
        </w:rPr>
        <w:t>,</w:t>
      </w:r>
      <w:r w:rsidR="00296A23" w:rsidRPr="00296A23">
        <w:rPr>
          <w:rStyle w:val="FootnoteReference"/>
          <w:rFonts w:ascii="Arial" w:hAnsi="Arial" w:cs="Arial"/>
          <w:i/>
        </w:rPr>
        <w:footnoteReference w:id="10"/>
      </w:r>
      <w:r w:rsidR="00296A23" w:rsidRPr="00296A23">
        <w:rPr>
          <w:rFonts w:ascii="Arial" w:hAnsi="Arial" w:cs="Arial"/>
        </w:rPr>
        <w:t xml:space="preserve"> where the Supreme Court </w:t>
      </w:r>
      <w:r w:rsidR="00CA3F1B">
        <w:rPr>
          <w:rFonts w:ascii="Arial" w:hAnsi="Arial" w:cs="Arial"/>
        </w:rPr>
        <w:t>o</w:t>
      </w:r>
      <w:r w:rsidR="00296A23" w:rsidRPr="00296A23">
        <w:rPr>
          <w:rFonts w:ascii="Arial" w:hAnsi="Arial" w:cs="Arial"/>
        </w:rPr>
        <w:t>f Appeal face</w:t>
      </w:r>
      <w:r w:rsidR="00CA3F1B">
        <w:rPr>
          <w:rFonts w:ascii="Arial" w:hAnsi="Arial" w:cs="Arial"/>
        </w:rPr>
        <w:t>d</w:t>
      </w:r>
      <w:r w:rsidR="00296A23" w:rsidRPr="00296A23">
        <w:rPr>
          <w:rFonts w:ascii="Arial" w:hAnsi="Arial" w:cs="Arial"/>
        </w:rPr>
        <w:t xml:space="preserve"> with a condonation application for a lapsed right of appeal and a request for its revival confirmed once again that:</w:t>
      </w:r>
    </w:p>
    <w:p w14:paraId="10B9CB51" w14:textId="77777777" w:rsidR="00F53133" w:rsidRDefault="00296A23" w:rsidP="00F53133">
      <w:pPr>
        <w:spacing w:line="360" w:lineRule="auto"/>
        <w:jc w:val="both"/>
        <w:rPr>
          <w:rFonts w:ascii="Arial" w:hAnsi="Arial" w:cs="Arial"/>
          <w:sz w:val="22"/>
          <w:szCs w:val="22"/>
        </w:rPr>
      </w:pPr>
      <w:r>
        <w:rPr>
          <w:rFonts w:ascii="Arial" w:hAnsi="Arial" w:cs="Arial"/>
          <w:sz w:val="22"/>
          <w:szCs w:val="22"/>
        </w:rPr>
        <w:t>‘It has been pointed out that the court is bound to make an assessment of an applicant’s prospects of success as one of the factors relevant to the exercise of its discretion, unless the cumulative effect of the other relevant factors in the case is such as to render the application for condonation obviously unworthy of consideration.’</w:t>
      </w:r>
    </w:p>
    <w:p w14:paraId="42B9AEED" w14:textId="77777777" w:rsidR="00F53133" w:rsidRDefault="00F53133" w:rsidP="00F53133">
      <w:pPr>
        <w:spacing w:line="360" w:lineRule="auto"/>
        <w:jc w:val="both"/>
        <w:rPr>
          <w:rFonts w:ascii="Arial" w:hAnsi="Arial" w:cs="Arial"/>
          <w:sz w:val="22"/>
          <w:szCs w:val="22"/>
        </w:rPr>
      </w:pPr>
    </w:p>
    <w:p w14:paraId="6878A565" w14:textId="3835C1F8" w:rsidR="00296A23" w:rsidRPr="00F53133" w:rsidRDefault="00296A23" w:rsidP="00B40AE1">
      <w:pPr>
        <w:tabs>
          <w:tab w:val="left" w:pos="567"/>
        </w:tabs>
        <w:spacing w:line="360" w:lineRule="auto"/>
        <w:jc w:val="both"/>
        <w:rPr>
          <w:rFonts w:ascii="Arial" w:hAnsi="Arial" w:cs="Arial"/>
          <w:color w:val="000000"/>
          <w:sz w:val="22"/>
          <w:szCs w:val="22"/>
        </w:rPr>
      </w:pPr>
      <w:r>
        <w:rPr>
          <w:rFonts w:ascii="Arial" w:hAnsi="Arial" w:cs="Arial"/>
        </w:rPr>
        <w:t>[</w:t>
      </w:r>
      <w:r w:rsidR="00573C03">
        <w:rPr>
          <w:rFonts w:ascii="Arial" w:hAnsi="Arial" w:cs="Arial"/>
        </w:rPr>
        <w:t>45</w:t>
      </w:r>
      <w:r>
        <w:rPr>
          <w:rFonts w:ascii="Arial" w:hAnsi="Arial" w:cs="Arial"/>
        </w:rPr>
        <w:t>]</w:t>
      </w:r>
      <w:r>
        <w:rPr>
          <w:rFonts w:ascii="Arial" w:hAnsi="Arial" w:cs="Arial"/>
        </w:rPr>
        <w:tab/>
        <w:t>The applicant’s submission is that the second respondent</w:t>
      </w:r>
      <w:r w:rsidR="0055331C">
        <w:rPr>
          <w:rFonts w:ascii="Arial" w:hAnsi="Arial" w:cs="Arial"/>
        </w:rPr>
        <w:t>’s</w:t>
      </w:r>
      <w:r>
        <w:rPr>
          <w:rFonts w:ascii="Arial" w:hAnsi="Arial" w:cs="Arial"/>
        </w:rPr>
        <w:t xml:space="preserve"> contentions on the issue of the requirements </w:t>
      </w:r>
      <w:r w:rsidR="0055331C">
        <w:rPr>
          <w:rFonts w:ascii="Arial" w:hAnsi="Arial" w:cs="Arial"/>
        </w:rPr>
        <w:t xml:space="preserve">of </w:t>
      </w:r>
      <w:r w:rsidR="00011747">
        <w:rPr>
          <w:rFonts w:ascii="Arial" w:hAnsi="Arial" w:cs="Arial"/>
        </w:rPr>
        <w:t>Rule 23 of the Tribunal r</w:t>
      </w:r>
      <w:r>
        <w:rPr>
          <w:rFonts w:ascii="Arial" w:hAnsi="Arial" w:cs="Arial"/>
        </w:rPr>
        <w:t xml:space="preserve">ules are without merit.  They submit that the second respondent conflates the requirements for the revival of a rule </w:t>
      </w:r>
      <w:r w:rsidRPr="0055331C">
        <w:rPr>
          <w:rFonts w:ascii="Arial" w:hAnsi="Arial" w:cs="Arial"/>
          <w:i/>
        </w:rPr>
        <w:t>nisi</w:t>
      </w:r>
      <w:r>
        <w:rPr>
          <w:rFonts w:ascii="Arial" w:hAnsi="Arial" w:cs="Arial"/>
        </w:rPr>
        <w:t xml:space="preserve"> with the requirements that the applicants should show cause why the rule </w:t>
      </w:r>
      <w:r w:rsidRPr="0055331C">
        <w:rPr>
          <w:rFonts w:ascii="Arial" w:hAnsi="Arial" w:cs="Arial"/>
          <w:i/>
        </w:rPr>
        <w:t>nisi</w:t>
      </w:r>
      <w:r>
        <w:rPr>
          <w:rFonts w:ascii="Arial" w:hAnsi="Arial" w:cs="Arial"/>
        </w:rPr>
        <w:t xml:space="preserve"> should not be made final.  They assert that all that this court is required to do in an application for the revival of the rule </w:t>
      </w:r>
      <w:r w:rsidRPr="0055331C">
        <w:rPr>
          <w:rFonts w:ascii="Arial" w:hAnsi="Arial" w:cs="Arial"/>
          <w:i/>
        </w:rPr>
        <w:t>nisi</w:t>
      </w:r>
      <w:r>
        <w:rPr>
          <w:rFonts w:ascii="Arial" w:hAnsi="Arial" w:cs="Arial"/>
        </w:rPr>
        <w:t xml:space="preserve"> is to determine whether good cause has </w:t>
      </w:r>
      <w:r w:rsidR="00EA56CC">
        <w:rPr>
          <w:rFonts w:ascii="Arial" w:hAnsi="Arial" w:cs="Arial"/>
        </w:rPr>
        <w:t xml:space="preserve">been demonstrated by the applicants.  </w:t>
      </w:r>
      <w:r w:rsidR="00EA56CC">
        <w:rPr>
          <w:rFonts w:ascii="Arial" w:hAnsi="Arial" w:cs="Arial"/>
        </w:rPr>
        <w:lastRenderedPageBreak/>
        <w:t>Further</w:t>
      </w:r>
      <w:r w:rsidR="0055331C">
        <w:rPr>
          <w:rFonts w:ascii="Arial" w:hAnsi="Arial" w:cs="Arial"/>
        </w:rPr>
        <w:t>,</w:t>
      </w:r>
      <w:r w:rsidR="00EA56CC">
        <w:rPr>
          <w:rFonts w:ascii="Arial" w:hAnsi="Arial" w:cs="Arial"/>
        </w:rPr>
        <w:t xml:space="preserve"> that the question whether the rule </w:t>
      </w:r>
      <w:r w:rsidR="00EA56CC" w:rsidRPr="0055331C">
        <w:rPr>
          <w:rFonts w:ascii="Arial" w:hAnsi="Arial" w:cs="Arial"/>
          <w:i/>
        </w:rPr>
        <w:t>nisi</w:t>
      </w:r>
      <w:r w:rsidR="00EA56CC">
        <w:rPr>
          <w:rFonts w:ascii="Arial" w:hAnsi="Arial" w:cs="Arial"/>
        </w:rPr>
        <w:t xml:space="preserve"> ought to have been granted must be left for </w:t>
      </w:r>
      <w:r w:rsidR="003E6131">
        <w:rPr>
          <w:rFonts w:ascii="Arial" w:hAnsi="Arial" w:cs="Arial"/>
        </w:rPr>
        <w:t xml:space="preserve">decision by </w:t>
      </w:r>
      <w:r w:rsidR="0055331C">
        <w:rPr>
          <w:rFonts w:ascii="Arial" w:hAnsi="Arial" w:cs="Arial"/>
        </w:rPr>
        <w:t>the c</w:t>
      </w:r>
      <w:r w:rsidR="00EA56CC">
        <w:rPr>
          <w:rFonts w:ascii="Arial" w:hAnsi="Arial" w:cs="Arial"/>
        </w:rPr>
        <w:t xml:space="preserve">ourt which determines whether the rule </w:t>
      </w:r>
      <w:r w:rsidR="00EA56CC" w:rsidRPr="0055331C">
        <w:rPr>
          <w:rFonts w:ascii="Arial" w:hAnsi="Arial" w:cs="Arial"/>
          <w:i/>
        </w:rPr>
        <w:t>nisi</w:t>
      </w:r>
      <w:r w:rsidR="00EA56CC">
        <w:rPr>
          <w:rFonts w:ascii="Arial" w:hAnsi="Arial" w:cs="Arial"/>
        </w:rPr>
        <w:t xml:space="preserve"> must be confirmed</w:t>
      </w:r>
      <w:r w:rsidR="003E6131">
        <w:rPr>
          <w:rFonts w:ascii="Arial" w:hAnsi="Arial" w:cs="Arial"/>
        </w:rPr>
        <w:t xml:space="preserve"> or discharged</w:t>
      </w:r>
      <w:r w:rsidR="00EA56CC">
        <w:rPr>
          <w:rFonts w:ascii="Arial" w:hAnsi="Arial" w:cs="Arial"/>
        </w:rPr>
        <w:t>.</w:t>
      </w:r>
    </w:p>
    <w:p w14:paraId="776DF1B9" w14:textId="77777777" w:rsidR="009428F6" w:rsidRDefault="009428F6" w:rsidP="009C7B06">
      <w:pPr>
        <w:spacing w:line="360" w:lineRule="auto"/>
        <w:jc w:val="both"/>
        <w:rPr>
          <w:rFonts w:ascii="Arial" w:hAnsi="Arial" w:cs="Arial"/>
        </w:rPr>
      </w:pPr>
    </w:p>
    <w:p w14:paraId="4FDF44D6" w14:textId="374573DA" w:rsidR="009428F6" w:rsidRDefault="00F53133" w:rsidP="00B40AE1">
      <w:pPr>
        <w:tabs>
          <w:tab w:val="left" w:pos="567"/>
        </w:tabs>
        <w:spacing w:line="360" w:lineRule="auto"/>
        <w:jc w:val="both"/>
        <w:rPr>
          <w:rFonts w:ascii="Arial" w:hAnsi="Arial" w:cs="Arial"/>
        </w:rPr>
      </w:pPr>
      <w:r>
        <w:rPr>
          <w:rFonts w:ascii="Arial" w:hAnsi="Arial" w:cs="Arial"/>
        </w:rPr>
        <w:t>[46</w:t>
      </w:r>
      <w:r w:rsidR="009428F6">
        <w:rPr>
          <w:rFonts w:ascii="Arial" w:hAnsi="Arial" w:cs="Arial"/>
        </w:rPr>
        <w:t>]</w:t>
      </w:r>
      <w:r w:rsidR="009428F6">
        <w:rPr>
          <w:rFonts w:ascii="Arial" w:hAnsi="Arial" w:cs="Arial"/>
        </w:rPr>
        <w:tab/>
        <w:t>During the preparation of judgment, I directed both parties to address me, via supplementary heads of argument</w:t>
      </w:r>
      <w:r w:rsidR="0055331C">
        <w:rPr>
          <w:rFonts w:ascii="Arial" w:hAnsi="Arial" w:cs="Arial"/>
        </w:rPr>
        <w:t>,</w:t>
      </w:r>
      <w:r w:rsidR="009428F6">
        <w:rPr>
          <w:rFonts w:ascii="Arial" w:hAnsi="Arial" w:cs="Arial"/>
        </w:rPr>
        <w:t xml:space="preserve"> on the issue of whether the rule </w:t>
      </w:r>
      <w:r w:rsidR="009428F6" w:rsidRPr="0055331C">
        <w:rPr>
          <w:rFonts w:ascii="Arial" w:hAnsi="Arial" w:cs="Arial"/>
          <w:i/>
        </w:rPr>
        <w:t>nisi</w:t>
      </w:r>
      <w:r w:rsidR="009428F6">
        <w:rPr>
          <w:rFonts w:ascii="Arial" w:hAnsi="Arial" w:cs="Arial"/>
        </w:rPr>
        <w:t xml:space="preserve"> had in fact lapsed for failure to comply with the terms of Modiba J’</w:t>
      </w:r>
      <w:r w:rsidR="003E6131">
        <w:rPr>
          <w:rFonts w:ascii="Arial" w:hAnsi="Arial" w:cs="Arial"/>
        </w:rPr>
        <w:t>s order.  I am grateful for the</w:t>
      </w:r>
      <w:r w:rsidR="009428F6">
        <w:rPr>
          <w:rFonts w:ascii="Arial" w:hAnsi="Arial" w:cs="Arial"/>
        </w:rPr>
        <w:t xml:space="preserve"> responses received</w:t>
      </w:r>
      <w:r w:rsidR="003E6131">
        <w:rPr>
          <w:rFonts w:ascii="Arial" w:hAnsi="Arial" w:cs="Arial"/>
        </w:rPr>
        <w:t xml:space="preserve"> from counsel representing each of the party</w:t>
      </w:r>
      <w:r w:rsidR="009428F6">
        <w:rPr>
          <w:rFonts w:ascii="Arial" w:hAnsi="Arial" w:cs="Arial"/>
        </w:rPr>
        <w:t>.  Both parties concede that the order did not lapse.  The applicant refers to various authorities in support thereof.</w:t>
      </w:r>
      <w:r w:rsidR="009428F6">
        <w:rPr>
          <w:rStyle w:val="FootnoteReference"/>
          <w:rFonts w:ascii="Arial" w:hAnsi="Arial" w:cs="Arial"/>
        </w:rPr>
        <w:footnoteReference w:id="11"/>
      </w:r>
      <w:r w:rsidR="009428F6">
        <w:rPr>
          <w:rFonts w:ascii="Arial" w:hAnsi="Arial" w:cs="Arial"/>
        </w:rPr>
        <w:t xml:space="preserve">  The applicant however contends</w:t>
      </w:r>
      <w:r w:rsidR="003E6131">
        <w:rPr>
          <w:rFonts w:ascii="Arial" w:hAnsi="Arial" w:cs="Arial"/>
        </w:rPr>
        <w:t>,</w:t>
      </w:r>
      <w:r w:rsidR="009428F6">
        <w:rPr>
          <w:rFonts w:ascii="Arial" w:hAnsi="Arial" w:cs="Arial"/>
        </w:rPr>
        <w:t xml:space="preserve"> in view of these authorities</w:t>
      </w:r>
      <w:r w:rsidR="003E6131">
        <w:rPr>
          <w:rFonts w:ascii="Arial" w:hAnsi="Arial" w:cs="Arial"/>
        </w:rPr>
        <w:t>, that</w:t>
      </w:r>
      <w:r w:rsidR="009428F6">
        <w:rPr>
          <w:rFonts w:ascii="Arial" w:hAnsi="Arial" w:cs="Arial"/>
        </w:rPr>
        <w:t xml:space="preserve"> the order did not lapse and </w:t>
      </w:r>
      <w:r w:rsidR="003E6131">
        <w:rPr>
          <w:rFonts w:ascii="Arial" w:hAnsi="Arial" w:cs="Arial"/>
        </w:rPr>
        <w:t xml:space="preserve">that </w:t>
      </w:r>
      <w:r w:rsidR="009428F6">
        <w:rPr>
          <w:rFonts w:ascii="Arial" w:hAnsi="Arial" w:cs="Arial"/>
        </w:rPr>
        <w:t>there is no  need to persist with the revival application.  The second respondent correctly submits that there is an order by Modiba J</w:t>
      </w:r>
      <w:r w:rsidR="005C7DDF">
        <w:rPr>
          <w:rFonts w:ascii="Arial" w:hAnsi="Arial" w:cs="Arial"/>
        </w:rPr>
        <w:t>, that the issue for determination herein is not the correctness of the order declaring the rule to have lapsed but whether the rule should be revived</w:t>
      </w:r>
      <w:r w:rsidR="0066209A">
        <w:rPr>
          <w:rFonts w:ascii="Arial" w:hAnsi="Arial" w:cs="Arial"/>
        </w:rPr>
        <w:t>,</w:t>
      </w:r>
      <w:r w:rsidR="009428F6">
        <w:rPr>
          <w:rFonts w:ascii="Arial" w:hAnsi="Arial" w:cs="Arial"/>
        </w:rPr>
        <w:t xml:space="preserve"> in which case</w:t>
      </w:r>
      <w:r w:rsidR="0066209A">
        <w:rPr>
          <w:rFonts w:ascii="Arial" w:hAnsi="Arial" w:cs="Arial"/>
        </w:rPr>
        <w:t>,</w:t>
      </w:r>
      <w:r w:rsidR="009428F6">
        <w:rPr>
          <w:rFonts w:ascii="Arial" w:hAnsi="Arial" w:cs="Arial"/>
        </w:rPr>
        <w:t xml:space="preserve"> they stand by their earlier argument that Rule 23(3) of the </w:t>
      </w:r>
      <w:r w:rsidR="000E3419">
        <w:rPr>
          <w:rFonts w:ascii="Arial" w:hAnsi="Arial" w:cs="Arial"/>
        </w:rPr>
        <w:t>Tribunal Rules</w:t>
      </w:r>
      <w:r w:rsidR="009428F6">
        <w:rPr>
          <w:rFonts w:ascii="Arial" w:hAnsi="Arial" w:cs="Arial"/>
        </w:rPr>
        <w:t xml:space="preserve"> militates against the applicant succeeding in the main proceedings </w:t>
      </w:r>
      <w:r w:rsidR="0066209A">
        <w:rPr>
          <w:rFonts w:ascii="Arial" w:hAnsi="Arial" w:cs="Arial"/>
        </w:rPr>
        <w:t>i</w:t>
      </w:r>
      <w:r w:rsidR="009428F6">
        <w:rPr>
          <w:rFonts w:ascii="Arial" w:hAnsi="Arial" w:cs="Arial"/>
        </w:rPr>
        <w:t>f the rule is revived.</w:t>
      </w:r>
    </w:p>
    <w:p w14:paraId="43609EAF" w14:textId="77777777" w:rsidR="0073080F" w:rsidRDefault="0073080F" w:rsidP="009C7B06">
      <w:pPr>
        <w:spacing w:line="360" w:lineRule="auto"/>
        <w:jc w:val="both"/>
        <w:rPr>
          <w:rFonts w:ascii="Arial" w:hAnsi="Arial" w:cs="Arial"/>
        </w:rPr>
      </w:pPr>
    </w:p>
    <w:p w14:paraId="6CB46A5A" w14:textId="31FE8F8E" w:rsidR="00F53133" w:rsidRDefault="00F53133" w:rsidP="00073C76">
      <w:pPr>
        <w:spacing w:line="360" w:lineRule="auto"/>
        <w:jc w:val="both"/>
        <w:rPr>
          <w:rFonts w:ascii="Arial" w:hAnsi="Arial" w:cs="Arial"/>
        </w:rPr>
      </w:pPr>
      <w:r>
        <w:rPr>
          <w:rFonts w:ascii="Arial" w:hAnsi="Arial" w:cs="Arial"/>
        </w:rPr>
        <w:t>[47</w:t>
      </w:r>
      <w:r w:rsidR="0073080F">
        <w:rPr>
          <w:rFonts w:ascii="Arial" w:hAnsi="Arial" w:cs="Arial"/>
        </w:rPr>
        <w:t>]</w:t>
      </w:r>
      <w:r w:rsidR="0073080F">
        <w:rPr>
          <w:rFonts w:ascii="Arial" w:hAnsi="Arial" w:cs="Arial"/>
        </w:rPr>
        <w:tab/>
        <w:t>In this case</w:t>
      </w:r>
      <w:r w:rsidR="0066209A">
        <w:rPr>
          <w:rFonts w:ascii="Arial" w:hAnsi="Arial" w:cs="Arial"/>
        </w:rPr>
        <w:t>,</w:t>
      </w:r>
      <w:r w:rsidR="0073080F">
        <w:rPr>
          <w:rFonts w:ascii="Arial" w:hAnsi="Arial" w:cs="Arial"/>
        </w:rPr>
        <w:t xml:space="preserve"> the parties have exchanged the relevant affidavits, and the matter is ready to be set down for hearing on whether the rule shou</w:t>
      </w:r>
      <w:r w:rsidR="003E6131">
        <w:rPr>
          <w:rFonts w:ascii="Arial" w:hAnsi="Arial" w:cs="Arial"/>
        </w:rPr>
        <w:t xml:space="preserve">ld be confirmed or discharged.  </w:t>
      </w:r>
      <w:r w:rsidR="0073080F">
        <w:rPr>
          <w:rFonts w:ascii="Arial" w:hAnsi="Arial" w:cs="Arial"/>
        </w:rPr>
        <w:t xml:space="preserve">My view is that the applicant </w:t>
      </w:r>
      <w:r w:rsidR="00612CF9">
        <w:rPr>
          <w:rFonts w:ascii="Arial" w:hAnsi="Arial" w:cs="Arial"/>
        </w:rPr>
        <w:t>has</w:t>
      </w:r>
      <w:r w:rsidR="0073080F">
        <w:rPr>
          <w:rFonts w:ascii="Arial" w:hAnsi="Arial" w:cs="Arial"/>
        </w:rPr>
        <w:t xml:space="preserve"> shown good cause for the revival of the rule</w:t>
      </w:r>
      <w:r w:rsidR="00073C76">
        <w:rPr>
          <w:rFonts w:ascii="Arial" w:hAnsi="Arial" w:cs="Arial"/>
        </w:rPr>
        <w:t xml:space="preserve"> in accordance with the provisions of Rule 27(2) of the Uniform Rules</w:t>
      </w:r>
      <w:r w:rsidR="0073080F">
        <w:rPr>
          <w:rFonts w:ascii="Arial" w:hAnsi="Arial" w:cs="Arial"/>
        </w:rPr>
        <w:t>, irrespective of whether I am right or wrong on my interpretat</w:t>
      </w:r>
      <w:r w:rsidR="003E6131">
        <w:rPr>
          <w:rFonts w:ascii="Arial" w:hAnsi="Arial" w:cs="Arial"/>
        </w:rPr>
        <w:t>ion of the order of Modiba J.  T</w:t>
      </w:r>
      <w:r w:rsidR="0073080F">
        <w:rPr>
          <w:rFonts w:ascii="Arial" w:hAnsi="Arial" w:cs="Arial"/>
        </w:rPr>
        <w:t xml:space="preserve">here was clearly no mala fide on their part in failing to serve timeously.  The applicants have attached a copy of the summons which sets out their case against the second respondent.  Further, given that this matter is already enrolled for hearing on the issue </w:t>
      </w:r>
      <w:r w:rsidR="00BE7C48">
        <w:rPr>
          <w:rFonts w:ascii="Arial" w:hAnsi="Arial" w:cs="Arial"/>
        </w:rPr>
        <w:t xml:space="preserve">of </w:t>
      </w:r>
      <w:r w:rsidR="005C7DDF">
        <w:rPr>
          <w:rFonts w:ascii="Arial" w:hAnsi="Arial" w:cs="Arial"/>
        </w:rPr>
        <w:t xml:space="preserve">whether the rule has to be confirmed or discharged, </w:t>
      </w:r>
      <w:r w:rsidR="0073080F">
        <w:rPr>
          <w:rFonts w:ascii="Arial" w:hAnsi="Arial" w:cs="Arial"/>
        </w:rPr>
        <w:t>I am of the view that th</w:t>
      </w:r>
      <w:r w:rsidR="0066209A">
        <w:rPr>
          <w:rFonts w:ascii="Arial" w:hAnsi="Arial" w:cs="Arial"/>
        </w:rPr>
        <w:t>e c</w:t>
      </w:r>
      <w:r w:rsidR="0073080F">
        <w:rPr>
          <w:rFonts w:ascii="Arial" w:hAnsi="Arial" w:cs="Arial"/>
        </w:rPr>
        <w:t>ourt dealing with this will be in a better position to consider the second respondent</w:t>
      </w:r>
      <w:r w:rsidR="003E6131">
        <w:rPr>
          <w:rFonts w:ascii="Arial" w:hAnsi="Arial" w:cs="Arial"/>
        </w:rPr>
        <w:t>’s</w:t>
      </w:r>
      <w:r w:rsidR="0073080F">
        <w:rPr>
          <w:rFonts w:ascii="Arial" w:hAnsi="Arial" w:cs="Arial"/>
        </w:rPr>
        <w:t xml:space="preserve"> subm</w:t>
      </w:r>
      <w:r w:rsidR="00BE7C48">
        <w:rPr>
          <w:rFonts w:ascii="Arial" w:hAnsi="Arial" w:cs="Arial"/>
        </w:rPr>
        <w:t>ission in respect of Rule 23(3), which issue was only raised in argument.</w:t>
      </w:r>
      <w:r w:rsidR="0073080F">
        <w:rPr>
          <w:rFonts w:ascii="Arial" w:hAnsi="Arial" w:cs="Arial"/>
        </w:rPr>
        <w:t xml:space="preserve">   </w:t>
      </w:r>
    </w:p>
    <w:p w14:paraId="6060E32C" w14:textId="77777777" w:rsidR="00F53133" w:rsidRDefault="00F53133" w:rsidP="009C7B06">
      <w:pPr>
        <w:spacing w:line="360" w:lineRule="auto"/>
        <w:jc w:val="both"/>
        <w:rPr>
          <w:rFonts w:ascii="Arial" w:hAnsi="Arial" w:cs="Arial"/>
        </w:rPr>
      </w:pPr>
    </w:p>
    <w:p w14:paraId="7FF7FF26" w14:textId="17D2C286" w:rsidR="0073080F" w:rsidRDefault="00B44AE2" w:rsidP="0066209A">
      <w:pPr>
        <w:tabs>
          <w:tab w:val="left" w:pos="567"/>
        </w:tabs>
        <w:spacing w:line="360" w:lineRule="auto"/>
        <w:jc w:val="both"/>
        <w:rPr>
          <w:rFonts w:ascii="Arial" w:hAnsi="Arial" w:cs="Arial"/>
        </w:rPr>
      </w:pPr>
      <w:r>
        <w:rPr>
          <w:rFonts w:ascii="Arial" w:hAnsi="Arial" w:cs="Arial"/>
        </w:rPr>
        <w:t>[</w:t>
      </w:r>
      <w:r w:rsidR="00F53133">
        <w:rPr>
          <w:rFonts w:ascii="Arial" w:hAnsi="Arial" w:cs="Arial"/>
        </w:rPr>
        <w:t>48</w:t>
      </w:r>
      <w:r w:rsidR="0073080F">
        <w:rPr>
          <w:rFonts w:ascii="Arial" w:hAnsi="Arial" w:cs="Arial"/>
        </w:rPr>
        <w:t>]</w:t>
      </w:r>
      <w:r w:rsidR="0073080F">
        <w:rPr>
          <w:rFonts w:ascii="Arial" w:hAnsi="Arial" w:cs="Arial"/>
        </w:rPr>
        <w:tab/>
        <w:t>In the circumstances</w:t>
      </w:r>
      <w:r w:rsidR="002C3190">
        <w:rPr>
          <w:rFonts w:ascii="Arial" w:hAnsi="Arial" w:cs="Arial"/>
        </w:rPr>
        <w:t>,</w:t>
      </w:r>
      <w:r w:rsidR="0073080F">
        <w:rPr>
          <w:rFonts w:ascii="Arial" w:hAnsi="Arial" w:cs="Arial"/>
        </w:rPr>
        <w:t xml:space="preserve"> I make the following order:</w:t>
      </w:r>
    </w:p>
    <w:p w14:paraId="680451C8" w14:textId="77777777" w:rsidR="0073080F" w:rsidRDefault="0073080F" w:rsidP="009C7B06">
      <w:pPr>
        <w:spacing w:line="360" w:lineRule="auto"/>
        <w:jc w:val="both"/>
        <w:rPr>
          <w:rFonts w:ascii="Arial" w:hAnsi="Arial" w:cs="Arial"/>
        </w:rPr>
      </w:pPr>
    </w:p>
    <w:p w14:paraId="08C264F7" w14:textId="09059BE1" w:rsidR="0073080F" w:rsidRPr="005C7DDF" w:rsidRDefault="00FE4D85" w:rsidP="005C7DDF">
      <w:pPr>
        <w:pStyle w:val="ListParagraph"/>
        <w:numPr>
          <w:ilvl w:val="0"/>
          <w:numId w:val="37"/>
        </w:numPr>
        <w:spacing w:line="360" w:lineRule="auto"/>
        <w:ind w:hanging="720"/>
        <w:jc w:val="both"/>
        <w:rPr>
          <w:rFonts w:ascii="Arial" w:hAnsi="Arial" w:cs="Arial"/>
        </w:rPr>
      </w:pPr>
      <w:r w:rsidRPr="005C7DDF">
        <w:rPr>
          <w:rFonts w:ascii="Arial" w:hAnsi="Arial" w:cs="Arial"/>
        </w:rPr>
        <w:t>The ru</w:t>
      </w:r>
      <w:r w:rsidR="0073080F" w:rsidRPr="005C7DDF">
        <w:rPr>
          <w:rFonts w:ascii="Arial" w:hAnsi="Arial" w:cs="Arial"/>
        </w:rPr>
        <w:t xml:space="preserve">le </w:t>
      </w:r>
      <w:r w:rsidR="0073080F" w:rsidRPr="005C7DDF">
        <w:rPr>
          <w:rFonts w:ascii="Arial" w:hAnsi="Arial" w:cs="Arial"/>
          <w:i/>
        </w:rPr>
        <w:t xml:space="preserve">nisi </w:t>
      </w:r>
      <w:r w:rsidR="0073080F" w:rsidRPr="005C7DDF">
        <w:rPr>
          <w:rFonts w:ascii="Arial" w:hAnsi="Arial" w:cs="Arial"/>
        </w:rPr>
        <w:t>which was declared to hav</w:t>
      </w:r>
      <w:r w:rsidR="005C7DDF">
        <w:rPr>
          <w:rFonts w:ascii="Arial" w:hAnsi="Arial" w:cs="Arial"/>
        </w:rPr>
        <w:t xml:space="preserve">e lapsed is cancelled.  The rule </w:t>
      </w:r>
      <w:r w:rsidR="0073080F" w:rsidRPr="005C7DDF">
        <w:rPr>
          <w:rFonts w:ascii="Arial" w:hAnsi="Arial" w:cs="Arial"/>
          <w:i/>
        </w:rPr>
        <w:t>nisi</w:t>
      </w:r>
      <w:r w:rsidR="0073080F" w:rsidRPr="005C7DDF">
        <w:rPr>
          <w:rFonts w:ascii="Arial" w:hAnsi="Arial" w:cs="Arial"/>
        </w:rPr>
        <w:t xml:space="preserve"> is revived and extended until confirmed or discharged.</w:t>
      </w:r>
    </w:p>
    <w:p w14:paraId="24A7FC26" w14:textId="77777777" w:rsidR="00FE4D85" w:rsidRDefault="0073080F" w:rsidP="00BE7C48">
      <w:pPr>
        <w:pStyle w:val="ListParagraph"/>
        <w:numPr>
          <w:ilvl w:val="0"/>
          <w:numId w:val="37"/>
        </w:numPr>
        <w:spacing w:line="360" w:lineRule="auto"/>
        <w:ind w:left="0" w:firstLine="0"/>
        <w:jc w:val="both"/>
        <w:rPr>
          <w:rFonts w:ascii="Arial" w:hAnsi="Arial" w:cs="Arial"/>
        </w:rPr>
      </w:pPr>
      <w:r>
        <w:rPr>
          <w:rFonts w:ascii="Arial" w:hAnsi="Arial" w:cs="Arial"/>
        </w:rPr>
        <w:t xml:space="preserve">The second respondent is directed to pay the costs </w:t>
      </w:r>
      <w:r w:rsidR="00FE4D85">
        <w:rPr>
          <w:rFonts w:ascii="Arial" w:hAnsi="Arial" w:cs="Arial"/>
        </w:rPr>
        <w:t>of this application.</w:t>
      </w:r>
    </w:p>
    <w:p w14:paraId="5B80FBEB" w14:textId="4CD1D58C" w:rsidR="0073080F" w:rsidRPr="00BE7C48" w:rsidRDefault="0073080F" w:rsidP="00BE7C48">
      <w:pPr>
        <w:pStyle w:val="ListParagraph"/>
        <w:numPr>
          <w:ilvl w:val="0"/>
          <w:numId w:val="37"/>
        </w:numPr>
        <w:spacing w:line="360" w:lineRule="auto"/>
        <w:ind w:hanging="720"/>
        <w:jc w:val="both"/>
        <w:rPr>
          <w:rFonts w:ascii="Arial" w:hAnsi="Arial" w:cs="Arial"/>
        </w:rPr>
      </w:pPr>
      <w:r>
        <w:rPr>
          <w:rFonts w:ascii="Arial" w:hAnsi="Arial" w:cs="Arial"/>
        </w:rPr>
        <w:t>The applicant is directed to pay the costs rela</w:t>
      </w:r>
      <w:r w:rsidR="005C7DDF">
        <w:rPr>
          <w:rFonts w:ascii="Arial" w:hAnsi="Arial" w:cs="Arial"/>
        </w:rPr>
        <w:t>ting to the application to file</w:t>
      </w:r>
      <w:r w:rsidR="00BE7C48">
        <w:rPr>
          <w:rFonts w:ascii="Arial" w:hAnsi="Arial" w:cs="Arial"/>
        </w:rPr>
        <w:t xml:space="preserve"> </w:t>
      </w:r>
      <w:r w:rsidRPr="00BE7C48">
        <w:rPr>
          <w:rFonts w:ascii="Arial" w:hAnsi="Arial" w:cs="Arial"/>
        </w:rPr>
        <w:t xml:space="preserve">a supplementary affidavit.  </w:t>
      </w:r>
    </w:p>
    <w:p w14:paraId="7E4D5676" w14:textId="77777777" w:rsidR="0073080F" w:rsidRDefault="0073080F" w:rsidP="009C7B06">
      <w:pPr>
        <w:spacing w:line="360" w:lineRule="auto"/>
        <w:jc w:val="both"/>
        <w:rPr>
          <w:rFonts w:ascii="Arial" w:hAnsi="Arial" w:cs="Arial"/>
        </w:rPr>
      </w:pPr>
    </w:p>
    <w:p w14:paraId="77FAE2E0" w14:textId="2C64E5FD" w:rsidR="007B7810" w:rsidRDefault="007B7810" w:rsidP="003E6131">
      <w:pPr>
        <w:spacing w:line="360" w:lineRule="auto"/>
        <w:jc w:val="both"/>
        <w:rPr>
          <w:rFonts w:ascii="Arial" w:hAnsi="Arial" w:cs="Arial"/>
        </w:rPr>
      </w:pPr>
    </w:p>
    <w:p w14:paraId="6FE798D2" w14:textId="5C72101D" w:rsidR="00141F00" w:rsidRPr="007950DA" w:rsidRDefault="00141F00" w:rsidP="007950DA">
      <w:pPr>
        <w:spacing w:line="360" w:lineRule="auto"/>
        <w:ind w:left="4320"/>
        <w:jc w:val="both"/>
        <w:rPr>
          <w:rFonts w:ascii="Arial" w:hAnsi="Arial" w:cs="Arial"/>
        </w:rPr>
      </w:pPr>
      <w:bookmarkStart w:id="4" w:name="_GoBack"/>
      <w:bookmarkEnd w:id="4"/>
    </w:p>
    <w:p w14:paraId="22DE9B37" w14:textId="77777777" w:rsidR="00710A2A" w:rsidRPr="00710A2A" w:rsidRDefault="00710A2A" w:rsidP="00710A2A">
      <w:pPr>
        <w:spacing w:after="160" w:line="259" w:lineRule="auto"/>
        <w:contextualSpacing/>
        <w:jc w:val="right"/>
        <w:rPr>
          <w:rFonts w:ascii="Arial" w:eastAsiaTheme="minorHAnsi" w:hAnsi="Arial" w:cs="Arial"/>
          <w:lang w:eastAsia="en-ZA"/>
        </w:rPr>
      </w:pPr>
      <w:r w:rsidRPr="00710A2A">
        <w:rPr>
          <w:rFonts w:ascii="Arial" w:eastAsiaTheme="minorHAnsi" w:hAnsi="Arial" w:cs="Arial"/>
          <w:lang w:eastAsia="en-ZA"/>
        </w:rPr>
        <w:t>________________________________</w:t>
      </w:r>
    </w:p>
    <w:p w14:paraId="50F5483F" w14:textId="77777777" w:rsidR="00710A2A" w:rsidRPr="00710A2A" w:rsidRDefault="00767F90" w:rsidP="009A6B18">
      <w:pPr>
        <w:spacing w:before="240" w:line="360" w:lineRule="auto"/>
        <w:ind w:left="1412" w:firstLine="720"/>
        <w:contextualSpacing/>
        <w:jc w:val="right"/>
        <w:rPr>
          <w:rFonts w:ascii="Arial" w:eastAsiaTheme="minorHAnsi" w:hAnsi="Arial" w:cs="Arial"/>
          <w:b/>
          <w:lang w:eastAsia="en-ZA"/>
        </w:rPr>
      </w:pPr>
      <w:r>
        <w:rPr>
          <w:rFonts w:ascii="Arial" w:eastAsiaTheme="minorHAnsi" w:hAnsi="Arial" w:cs="Arial"/>
          <w:b/>
          <w:lang w:eastAsia="en-ZA"/>
        </w:rPr>
        <w:t>JUDGE K. PILLAY</w:t>
      </w:r>
    </w:p>
    <w:p w14:paraId="6CE18CB9" w14:textId="77777777" w:rsidR="00710A2A" w:rsidRPr="00710A2A" w:rsidRDefault="00710A2A" w:rsidP="00710A2A">
      <w:pPr>
        <w:spacing w:before="240" w:line="360" w:lineRule="auto"/>
        <w:ind w:left="720"/>
        <w:contextualSpacing/>
        <w:jc w:val="right"/>
        <w:rPr>
          <w:rFonts w:ascii="Arial" w:eastAsiaTheme="minorHAnsi" w:hAnsi="Arial" w:cs="Arial"/>
          <w:b/>
          <w:lang w:eastAsia="en-ZA"/>
        </w:rPr>
      </w:pPr>
      <w:r w:rsidRPr="00710A2A">
        <w:rPr>
          <w:rFonts w:ascii="Arial" w:eastAsiaTheme="minorHAnsi" w:hAnsi="Arial" w:cs="Arial"/>
          <w:b/>
          <w:lang w:eastAsia="en-ZA"/>
        </w:rPr>
        <w:t xml:space="preserve">                                MEMBER OF THE SPECIAL TRIBUNAL </w:t>
      </w:r>
    </w:p>
    <w:p w14:paraId="23E08E5E" w14:textId="7D2D5D68" w:rsidR="00710A2A" w:rsidRDefault="00710A2A" w:rsidP="00710A2A">
      <w:pPr>
        <w:spacing w:after="160" w:line="480" w:lineRule="auto"/>
        <w:ind w:left="1080"/>
        <w:contextualSpacing/>
        <w:jc w:val="both"/>
        <w:rPr>
          <w:rFonts w:ascii="Arial" w:eastAsiaTheme="minorHAnsi" w:hAnsi="Arial" w:cs="Arial"/>
          <w:lang w:val="en-US" w:eastAsia="en-US"/>
        </w:rPr>
      </w:pPr>
    </w:p>
    <w:p w14:paraId="506565E0" w14:textId="539ED710" w:rsidR="000A5F40" w:rsidRDefault="000A5F40" w:rsidP="00710A2A">
      <w:pPr>
        <w:spacing w:after="160" w:line="480" w:lineRule="auto"/>
        <w:ind w:left="1080"/>
        <w:contextualSpacing/>
        <w:jc w:val="both"/>
        <w:rPr>
          <w:rFonts w:ascii="Arial" w:eastAsiaTheme="minorHAnsi" w:hAnsi="Arial" w:cs="Arial"/>
          <w:lang w:val="en-US" w:eastAsia="en-US"/>
        </w:rPr>
      </w:pPr>
    </w:p>
    <w:p w14:paraId="0FAD600D" w14:textId="10B056E1" w:rsidR="000A5F40" w:rsidRDefault="000A5F40" w:rsidP="00710A2A">
      <w:pPr>
        <w:spacing w:after="160" w:line="480" w:lineRule="auto"/>
        <w:ind w:left="1080"/>
        <w:contextualSpacing/>
        <w:jc w:val="both"/>
        <w:rPr>
          <w:rFonts w:ascii="Arial" w:eastAsiaTheme="minorHAnsi" w:hAnsi="Arial" w:cs="Arial"/>
          <w:lang w:val="en-US" w:eastAsia="en-US"/>
        </w:rPr>
      </w:pPr>
    </w:p>
    <w:p w14:paraId="58019DAD" w14:textId="7C07C167" w:rsidR="000A5F40" w:rsidRDefault="000A5F40" w:rsidP="00710A2A">
      <w:pPr>
        <w:spacing w:after="160" w:line="480" w:lineRule="auto"/>
        <w:ind w:left="1080"/>
        <w:contextualSpacing/>
        <w:jc w:val="both"/>
        <w:rPr>
          <w:rFonts w:ascii="Arial" w:eastAsiaTheme="minorHAnsi" w:hAnsi="Arial" w:cs="Arial"/>
          <w:lang w:val="en-US" w:eastAsia="en-US"/>
        </w:rPr>
      </w:pPr>
    </w:p>
    <w:p w14:paraId="509386B3" w14:textId="6CBD4298" w:rsidR="000A5F40" w:rsidRDefault="000A5F40" w:rsidP="00710A2A">
      <w:pPr>
        <w:spacing w:after="160" w:line="480" w:lineRule="auto"/>
        <w:ind w:left="1080"/>
        <w:contextualSpacing/>
        <w:jc w:val="both"/>
        <w:rPr>
          <w:rFonts w:ascii="Arial" w:eastAsiaTheme="minorHAnsi" w:hAnsi="Arial" w:cs="Arial"/>
          <w:lang w:val="en-US" w:eastAsia="en-US"/>
        </w:rPr>
      </w:pPr>
    </w:p>
    <w:p w14:paraId="33B0A792" w14:textId="64E3DA01" w:rsidR="000A5F40" w:rsidRDefault="000A5F40" w:rsidP="00710A2A">
      <w:pPr>
        <w:spacing w:after="160" w:line="480" w:lineRule="auto"/>
        <w:ind w:left="1080"/>
        <w:contextualSpacing/>
        <w:jc w:val="both"/>
        <w:rPr>
          <w:rFonts w:ascii="Arial" w:eastAsiaTheme="minorHAnsi" w:hAnsi="Arial" w:cs="Arial"/>
          <w:lang w:val="en-US" w:eastAsia="en-US"/>
        </w:rPr>
      </w:pPr>
    </w:p>
    <w:p w14:paraId="142F3C52" w14:textId="5B1D8C3F" w:rsidR="000A5F40" w:rsidRDefault="000A5F40" w:rsidP="00710A2A">
      <w:pPr>
        <w:spacing w:after="160" w:line="480" w:lineRule="auto"/>
        <w:ind w:left="1080"/>
        <w:contextualSpacing/>
        <w:jc w:val="both"/>
        <w:rPr>
          <w:rFonts w:ascii="Arial" w:eastAsiaTheme="minorHAnsi" w:hAnsi="Arial" w:cs="Arial"/>
          <w:lang w:val="en-US" w:eastAsia="en-US"/>
        </w:rPr>
      </w:pPr>
    </w:p>
    <w:p w14:paraId="179A2DFF" w14:textId="66B0A0FE" w:rsidR="000A5F40" w:rsidRDefault="000A5F40" w:rsidP="00710A2A">
      <w:pPr>
        <w:spacing w:after="160" w:line="480" w:lineRule="auto"/>
        <w:ind w:left="1080"/>
        <w:contextualSpacing/>
        <w:jc w:val="both"/>
        <w:rPr>
          <w:rFonts w:ascii="Arial" w:eastAsiaTheme="minorHAnsi" w:hAnsi="Arial" w:cs="Arial"/>
          <w:lang w:val="en-US" w:eastAsia="en-US"/>
        </w:rPr>
      </w:pPr>
    </w:p>
    <w:p w14:paraId="211D2949" w14:textId="2AAD6AA3" w:rsidR="000A5F40" w:rsidRDefault="000A5F40" w:rsidP="00710A2A">
      <w:pPr>
        <w:spacing w:after="160" w:line="480" w:lineRule="auto"/>
        <w:ind w:left="1080"/>
        <w:contextualSpacing/>
        <w:jc w:val="both"/>
        <w:rPr>
          <w:rFonts w:ascii="Arial" w:eastAsiaTheme="minorHAnsi" w:hAnsi="Arial" w:cs="Arial"/>
          <w:lang w:val="en-US" w:eastAsia="en-US"/>
        </w:rPr>
      </w:pPr>
    </w:p>
    <w:p w14:paraId="59E0B010" w14:textId="42CAFE62" w:rsidR="000A5F40" w:rsidRDefault="000A5F40" w:rsidP="00710A2A">
      <w:pPr>
        <w:spacing w:after="160" w:line="480" w:lineRule="auto"/>
        <w:ind w:left="1080"/>
        <w:contextualSpacing/>
        <w:jc w:val="both"/>
        <w:rPr>
          <w:rFonts w:ascii="Arial" w:eastAsiaTheme="minorHAnsi" w:hAnsi="Arial" w:cs="Arial"/>
          <w:lang w:val="en-US" w:eastAsia="en-US"/>
        </w:rPr>
      </w:pPr>
    </w:p>
    <w:p w14:paraId="008DBEF6" w14:textId="5EBCD895" w:rsidR="00032185" w:rsidRDefault="00032185" w:rsidP="00710A2A">
      <w:pPr>
        <w:spacing w:after="160" w:line="480" w:lineRule="auto"/>
        <w:ind w:left="1080"/>
        <w:contextualSpacing/>
        <w:jc w:val="both"/>
        <w:rPr>
          <w:rFonts w:ascii="Arial" w:eastAsiaTheme="minorHAnsi" w:hAnsi="Arial" w:cs="Arial"/>
          <w:lang w:val="en-US" w:eastAsia="en-US"/>
        </w:rPr>
      </w:pPr>
    </w:p>
    <w:p w14:paraId="0DCDB9AD" w14:textId="0E148271" w:rsidR="00032185" w:rsidRDefault="00032185" w:rsidP="00710A2A">
      <w:pPr>
        <w:spacing w:after="160" w:line="480" w:lineRule="auto"/>
        <w:ind w:left="1080"/>
        <w:contextualSpacing/>
        <w:jc w:val="both"/>
        <w:rPr>
          <w:rFonts w:ascii="Arial" w:eastAsiaTheme="minorHAnsi" w:hAnsi="Arial" w:cs="Arial"/>
          <w:lang w:val="en-US" w:eastAsia="en-US"/>
        </w:rPr>
      </w:pPr>
    </w:p>
    <w:p w14:paraId="43DCEF2F" w14:textId="417FFB0B" w:rsidR="00032185" w:rsidRDefault="00032185" w:rsidP="00710A2A">
      <w:pPr>
        <w:spacing w:after="160" w:line="480" w:lineRule="auto"/>
        <w:ind w:left="1080"/>
        <w:contextualSpacing/>
        <w:jc w:val="both"/>
        <w:rPr>
          <w:rFonts w:ascii="Arial" w:eastAsiaTheme="minorHAnsi" w:hAnsi="Arial" w:cs="Arial"/>
          <w:lang w:val="en-US" w:eastAsia="en-US"/>
        </w:rPr>
      </w:pPr>
    </w:p>
    <w:p w14:paraId="65CEA445" w14:textId="4487A720" w:rsidR="00032185" w:rsidRDefault="00032185" w:rsidP="00710A2A">
      <w:pPr>
        <w:spacing w:after="160" w:line="480" w:lineRule="auto"/>
        <w:ind w:left="1080"/>
        <w:contextualSpacing/>
        <w:jc w:val="both"/>
        <w:rPr>
          <w:rFonts w:ascii="Arial" w:eastAsiaTheme="minorHAnsi" w:hAnsi="Arial" w:cs="Arial"/>
          <w:lang w:val="en-US" w:eastAsia="en-US"/>
        </w:rPr>
      </w:pPr>
    </w:p>
    <w:p w14:paraId="78C27B0B" w14:textId="1B4F7090" w:rsidR="00710A2A" w:rsidRPr="00710A2A" w:rsidRDefault="00710A2A" w:rsidP="00710A2A">
      <w:pPr>
        <w:spacing w:after="200" w:line="480" w:lineRule="auto"/>
        <w:jc w:val="both"/>
        <w:rPr>
          <w:rFonts w:ascii="Arial" w:eastAsiaTheme="minorHAnsi" w:hAnsi="Arial" w:cs="Arial"/>
          <w:b/>
          <w:u w:val="single"/>
          <w:lang w:val="en-ZA" w:eastAsia="en-US"/>
        </w:rPr>
      </w:pPr>
      <w:r w:rsidRPr="00710A2A">
        <w:rPr>
          <w:rFonts w:ascii="Arial" w:eastAsiaTheme="minorHAnsi" w:hAnsi="Arial" w:cs="Arial"/>
          <w:b/>
          <w:u w:val="single"/>
          <w:lang w:val="en-ZA" w:eastAsia="en-US"/>
        </w:rPr>
        <w:t>APPEARENCES</w:t>
      </w:r>
    </w:p>
    <w:p w14:paraId="57F75F76" w14:textId="6F053D77" w:rsidR="00710A2A" w:rsidRPr="006937BA" w:rsidRDefault="00710A2A" w:rsidP="00710A2A">
      <w:pPr>
        <w:spacing w:after="160" w:line="360" w:lineRule="auto"/>
        <w:contextualSpacing/>
        <w:jc w:val="both"/>
        <w:rPr>
          <w:rFonts w:ascii="Arial" w:eastAsiaTheme="minorHAnsi" w:hAnsi="Arial" w:cs="Arial"/>
          <w:lang w:val="en-US" w:eastAsia="en-US"/>
        </w:rPr>
      </w:pPr>
      <w:r w:rsidRPr="00710A2A">
        <w:rPr>
          <w:rFonts w:ascii="Arial" w:eastAsiaTheme="minorHAnsi" w:hAnsi="Arial" w:cs="Arial"/>
          <w:lang w:val="en-US" w:eastAsia="en-US"/>
        </w:rPr>
        <w:lastRenderedPageBreak/>
        <w:t>Counsel for the Applicants:</w:t>
      </w:r>
      <w:r w:rsidRPr="00710A2A">
        <w:rPr>
          <w:rFonts w:ascii="Arial" w:eastAsiaTheme="minorHAnsi" w:hAnsi="Arial" w:cs="Arial"/>
          <w:lang w:val="en-US" w:eastAsia="en-US"/>
        </w:rPr>
        <w:tab/>
      </w:r>
      <w:r w:rsidRPr="00710A2A">
        <w:rPr>
          <w:rFonts w:ascii="Arial" w:eastAsiaTheme="minorHAnsi" w:hAnsi="Arial" w:cs="Arial"/>
          <w:lang w:val="en-US" w:eastAsia="en-US"/>
        </w:rPr>
        <w:tab/>
      </w:r>
      <w:r w:rsidR="002F00A9">
        <w:rPr>
          <w:rFonts w:ascii="Arial" w:eastAsiaTheme="minorHAnsi" w:hAnsi="Arial" w:cs="Arial"/>
          <w:lang w:val="en-US" w:eastAsia="en-US"/>
        </w:rPr>
        <w:tab/>
        <w:t>H.O.R.</w:t>
      </w:r>
      <w:r w:rsidR="003741A0">
        <w:rPr>
          <w:rFonts w:ascii="Arial" w:eastAsiaTheme="minorHAnsi" w:hAnsi="Arial" w:cs="Arial"/>
          <w:lang w:val="en-US" w:eastAsia="en-US"/>
        </w:rPr>
        <w:t xml:space="preserve"> </w:t>
      </w:r>
      <w:proofErr w:type="spellStart"/>
      <w:r w:rsidR="003741A0">
        <w:rPr>
          <w:rFonts w:ascii="Arial" w:eastAsiaTheme="minorHAnsi" w:hAnsi="Arial" w:cs="Arial"/>
          <w:lang w:val="en-US" w:eastAsia="en-US"/>
        </w:rPr>
        <w:t>Modais</w:t>
      </w:r>
      <w:proofErr w:type="spellEnd"/>
      <w:r w:rsidR="003741A0">
        <w:rPr>
          <w:rFonts w:ascii="Arial" w:eastAsiaTheme="minorHAnsi" w:hAnsi="Arial" w:cs="Arial"/>
          <w:lang w:val="en-US" w:eastAsia="en-US"/>
        </w:rPr>
        <w:t xml:space="preserve"> SC / P. </w:t>
      </w:r>
      <w:proofErr w:type="spellStart"/>
      <w:r w:rsidR="003741A0">
        <w:rPr>
          <w:rFonts w:ascii="Arial" w:eastAsiaTheme="minorHAnsi" w:hAnsi="Arial" w:cs="Arial"/>
          <w:lang w:val="en-US" w:eastAsia="en-US"/>
        </w:rPr>
        <w:t>Loselo</w:t>
      </w:r>
      <w:proofErr w:type="spellEnd"/>
      <w:r w:rsidR="006937BA">
        <w:rPr>
          <w:rFonts w:ascii="Arial" w:eastAsiaTheme="minorHAnsi" w:hAnsi="Arial" w:cs="Arial"/>
          <w:lang w:val="en-US" w:eastAsia="en-US"/>
        </w:rPr>
        <w:tab/>
      </w:r>
      <w:r w:rsidR="006937BA">
        <w:rPr>
          <w:rFonts w:ascii="Arial" w:eastAsiaTheme="minorHAnsi" w:hAnsi="Arial" w:cs="Arial"/>
          <w:lang w:val="en-US" w:eastAsia="en-US"/>
        </w:rPr>
        <w:tab/>
      </w:r>
    </w:p>
    <w:p w14:paraId="4816257B" w14:textId="77777777" w:rsidR="00710A2A" w:rsidRPr="00710A2A" w:rsidRDefault="00710A2A" w:rsidP="00710A2A">
      <w:pPr>
        <w:spacing w:after="160" w:line="360" w:lineRule="auto"/>
        <w:contextualSpacing/>
        <w:jc w:val="both"/>
        <w:rPr>
          <w:rFonts w:ascii="Arial" w:eastAsiaTheme="minorHAnsi" w:hAnsi="Arial" w:cs="Arial"/>
          <w:lang w:val="en-US" w:eastAsia="en-US"/>
        </w:rPr>
      </w:pPr>
      <w:r w:rsidRPr="00710A2A">
        <w:rPr>
          <w:rFonts w:ascii="Arial" w:eastAsiaTheme="minorHAnsi" w:hAnsi="Arial" w:cs="Arial"/>
          <w:lang w:val="en-US" w:eastAsia="en-US"/>
        </w:rPr>
        <w:tab/>
      </w:r>
      <w:r w:rsidRPr="00710A2A">
        <w:rPr>
          <w:rFonts w:ascii="Arial" w:eastAsiaTheme="minorHAnsi" w:hAnsi="Arial" w:cs="Arial"/>
          <w:lang w:val="en-US" w:eastAsia="en-US"/>
        </w:rPr>
        <w:tab/>
      </w:r>
      <w:r w:rsidRPr="00710A2A">
        <w:rPr>
          <w:rFonts w:ascii="Arial" w:eastAsiaTheme="minorHAnsi" w:hAnsi="Arial" w:cs="Arial"/>
          <w:lang w:val="en-US" w:eastAsia="en-US"/>
        </w:rPr>
        <w:tab/>
      </w:r>
    </w:p>
    <w:p w14:paraId="14A8C3F1" w14:textId="535A0E87" w:rsidR="00710A2A" w:rsidRDefault="006937BA" w:rsidP="003741A0">
      <w:pPr>
        <w:spacing w:after="160" w:line="360" w:lineRule="auto"/>
        <w:contextualSpacing/>
        <w:rPr>
          <w:rFonts w:ascii="Arial" w:eastAsiaTheme="minorHAnsi" w:hAnsi="Arial" w:cs="Arial"/>
          <w:lang w:val="en-US" w:eastAsia="en-US"/>
        </w:rPr>
      </w:pPr>
      <w:r>
        <w:rPr>
          <w:rFonts w:ascii="Arial" w:eastAsiaTheme="minorHAnsi" w:hAnsi="Arial" w:cs="Arial"/>
          <w:lang w:val="en-US" w:eastAsia="en-US"/>
        </w:rPr>
        <w:t>Attorney for the Applicants:</w:t>
      </w:r>
      <w:r w:rsidR="003741A0">
        <w:rPr>
          <w:rFonts w:ascii="Arial" w:eastAsiaTheme="minorHAnsi" w:hAnsi="Arial" w:cs="Arial"/>
          <w:lang w:val="en-US" w:eastAsia="en-US"/>
        </w:rPr>
        <w:tab/>
      </w:r>
      <w:r w:rsidR="003741A0">
        <w:rPr>
          <w:rFonts w:ascii="Arial" w:eastAsiaTheme="minorHAnsi" w:hAnsi="Arial" w:cs="Arial"/>
          <w:lang w:val="en-US" w:eastAsia="en-US"/>
        </w:rPr>
        <w:tab/>
        <w:t>State Attorneys Pretoria</w:t>
      </w:r>
      <w:r>
        <w:rPr>
          <w:rFonts w:ascii="Arial" w:eastAsiaTheme="minorHAnsi" w:hAnsi="Arial" w:cs="Arial"/>
          <w:lang w:val="en-US" w:eastAsia="en-US"/>
        </w:rPr>
        <w:tab/>
      </w:r>
    </w:p>
    <w:p w14:paraId="5468720E" w14:textId="736EC2F5" w:rsidR="00710A2A" w:rsidRPr="00710A2A" w:rsidRDefault="00710A2A" w:rsidP="00710A2A">
      <w:pPr>
        <w:spacing w:after="160" w:line="360" w:lineRule="auto"/>
        <w:contextualSpacing/>
        <w:jc w:val="both"/>
        <w:rPr>
          <w:rFonts w:ascii="Arial" w:eastAsiaTheme="minorHAnsi" w:hAnsi="Arial" w:cs="Arial"/>
          <w:lang w:val="en-US" w:eastAsia="en-US"/>
        </w:rPr>
      </w:pPr>
      <w:r w:rsidRPr="00710A2A">
        <w:rPr>
          <w:rFonts w:ascii="Arial" w:eastAsiaTheme="minorHAnsi" w:hAnsi="Arial" w:cs="Arial"/>
          <w:lang w:val="en-US" w:eastAsia="en-US"/>
        </w:rPr>
        <w:tab/>
      </w:r>
      <w:r w:rsidRPr="00710A2A">
        <w:rPr>
          <w:rFonts w:ascii="Arial" w:eastAsiaTheme="minorHAnsi" w:hAnsi="Arial" w:cs="Arial"/>
          <w:lang w:val="en-US" w:eastAsia="en-US"/>
        </w:rPr>
        <w:tab/>
      </w:r>
      <w:r w:rsidRPr="00710A2A">
        <w:rPr>
          <w:rFonts w:ascii="Arial" w:eastAsiaTheme="minorHAnsi" w:hAnsi="Arial" w:cs="Arial"/>
          <w:lang w:val="en-US" w:eastAsia="en-US"/>
        </w:rPr>
        <w:tab/>
      </w:r>
    </w:p>
    <w:p w14:paraId="45EC5BE0" w14:textId="5D8B1013" w:rsidR="00710A2A" w:rsidRDefault="00710A2A" w:rsidP="00710A2A">
      <w:pPr>
        <w:spacing w:after="160" w:line="360" w:lineRule="auto"/>
        <w:contextualSpacing/>
        <w:jc w:val="both"/>
        <w:rPr>
          <w:rFonts w:ascii="Arial" w:eastAsiaTheme="minorHAnsi" w:hAnsi="Arial" w:cs="Arial"/>
          <w:lang w:val="en-US" w:eastAsia="en-US"/>
        </w:rPr>
      </w:pPr>
      <w:r w:rsidRPr="00710A2A">
        <w:rPr>
          <w:rFonts w:ascii="Arial" w:eastAsiaTheme="minorHAnsi" w:hAnsi="Arial" w:cs="Arial"/>
          <w:lang w:val="en-US" w:eastAsia="en-US"/>
        </w:rPr>
        <w:t xml:space="preserve">Counsel for the </w:t>
      </w:r>
      <w:r w:rsidR="00141F00">
        <w:rPr>
          <w:rFonts w:ascii="Arial" w:eastAsiaTheme="minorHAnsi" w:hAnsi="Arial" w:cs="Arial"/>
          <w:lang w:val="en-US" w:eastAsia="en-US"/>
        </w:rPr>
        <w:t>Second</w:t>
      </w:r>
      <w:r w:rsidR="00AE005D">
        <w:rPr>
          <w:rFonts w:ascii="Arial" w:eastAsiaTheme="minorHAnsi" w:hAnsi="Arial" w:cs="Arial"/>
          <w:lang w:val="en-US" w:eastAsia="en-US"/>
        </w:rPr>
        <w:t xml:space="preserve"> R</w:t>
      </w:r>
      <w:r w:rsidRPr="00710A2A">
        <w:rPr>
          <w:rFonts w:ascii="Arial" w:eastAsiaTheme="minorHAnsi" w:hAnsi="Arial" w:cs="Arial"/>
          <w:lang w:val="en-US" w:eastAsia="en-US"/>
        </w:rPr>
        <w:t>espondent:</w:t>
      </w:r>
      <w:r w:rsidR="003741A0">
        <w:rPr>
          <w:rFonts w:ascii="Arial" w:eastAsiaTheme="minorHAnsi" w:hAnsi="Arial" w:cs="Arial"/>
          <w:lang w:val="en-US" w:eastAsia="en-US"/>
        </w:rPr>
        <w:tab/>
        <w:t xml:space="preserve">M.E. Manala / H. </w:t>
      </w:r>
      <w:proofErr w:type="spellStart"/>
      <w:r w:rsidR="003741A0">
        <w:rPr>
          <w:rFonts w:ascii="Arial" w:eastAsiaTheme="minorHAnsi" w:hAnsi="Arial" w:cs="Arial"/>
          <w:lang w:val="en-US" w:eastAsia="en-US"/>
        </w:rPr>
        <w:t>Legoabe</w:t>
      </w:r>
      <w:proofErr w:type="spellEnd"/>
      <w:r w:rsidRPr="00710A2A">
        <w:rPr>
          <w:rFonts w:ascii="Arial" w:eastAsiaTheme="minorHAnsi" w:hAnsi="Arial" w:cs="Arial"/>
          <w:lang w:val="en-US" w:eastAsia="en-US"/>
        </w:rPr>
        <w:tab/>
      </w:r>
      <w:r w:rsidRPr="00710A2A">
        <w:rPr>
          <w:rFonts w:ascii="Arial" w:eastAsiaTheme="minorHAnsi" w:hAnsi="Arial" w:cs="Arial"/>
          <w:lang w:val="en-US" w:eastAsia="en-US"/>
        </w:rPr>
        <w:tab/>
      </w:r>
    </w:p>
    <w:p w14:paraId="178D8395" w14:textId="77777777" w:rsidR="00710A2A" w:rsidRDefault="00710A2A" w:rsidP="00710A2A">
      <w:pPr>
        <w:spacing w:after="160" w:line="360" w:lineRule="auto"/>
        <w:contextualSpacing/>
        <w:jc w:val="both"/>
        <w:rPr>
          <w:rFonts w:ascii="Arial" w:eastAsiaTheme="minorHAnsi" w:hAnsi="Arial" w:cs="Arial"/>
          <w:lang w:val="en-US" w:eastAsia="en-US"/>
        </w:rPr>
      </w:pPr>
      <w:r w:rsidRPr="00710A2A">
        <w:rPr>
          <w:rFonts w:ascii="Arial" w:eastAsiaTheme="minorHAnsi" w:hAnsi="Arial" w:cs="Arial"/>
          <w:lang w:val="en-US" w:eastAsia="en-US"/>
        </w:rPr>
        <w:tab/>
      </w:r>
      <w:r w:rsidRPr="00710A2A">
        <w:rPr>
          <w:rFonts w:ascii="Arial" w:eastAsiaTheme="minorHAnsi" w:hAnsi="Arial" w:cs="Arial"/>
          <w:lang w:val="en-US" w:eastAsia="en-US"/>
        </w:rPr>
        <w:tab/>
      </w:r>
    </w:p>
    <w:p w14:paraId="2AFDB17D" w14:textId="2EB4698C" w:rsidR="00710A2A" w:rsidRPr="00710A2A" w:rsidRDefault="00710A2A" w:rsidP="00710A2A">
      <w:pPr>
        <w:spacing w:after="160" w:line="360" w:lineRule="auto"/>
        <w:contextualSpacing/>
        <w:jc w:val="both"/>
        <w:rPr>
          <w:rFonts w:ascii="Arial" w:eastAsiaTheme="minorHAnsi" w:hAnsi="Arial" w:cs="Arial"/>
          <w:lang w:val="en-US" w:eastAsia="en-US"/>
        </w:rPr>
      </w:pPr>
      <w:r w:rsidRPr="00710A2A">
        <w:rPr>
          <w:rFonts w:ascii="Arial" w:eastAsiaTheme="minorHAnsi" w:hAnsi="Arial" w:cs="Arial"/>
          <w:lang w:val="en-US" w:eastAsia="en-US"/>
        </w:rPr>
        <w:t xml:space="preserve">Attorney </w:t>
      </w:r>
      <w:r w:rsidR="006937BA">
        <w:rPr>
          <w:rFonts w:ascii="Arial" w:eastAsiaTheme="minorHAnsi" w:hAnsi="Arial" w:cs="Arial"/>
          <w:lang w:val="en-US" w:eastAsia="en-US"/>
        </w:rPr>
        <w:t xml:space="preserve">for </w:t>
      </w:r>
      <w:r w:rsidRPr="00710A2A">
        <w:rPr>
          <w:rFonts w:ascii="Arial" w:eastAsiaTheme="minorHAnsi" w:hAnsi="Arial" w:cs="Arial"/>
          <w:lang w:val="en-US" w:eastAsia="en-US"/>
        </w:rPr>
        <w:t xml:space="preserve">the </w:t>
      </w:r>
      <w:r w:rsidR="00141F00">
        <w:rPr>
          <w:rFonts w:ascii="Arial" w:eastAsiaTheme="minorHAnsi" w:hAnsi="Arial" w:cs="Arial"/>
          <w:lang w:val="en-US" w:eastAsia="en-US"/>
        </w:rPr>
        <w:t>Second</w:t>
      </w:r>
      <w:r w:rsidR="00AE005D">
        <w:rPr>
          <w:rFonts w:ascii="Arial" w:eastAsiaTheme="minorHAnsi" w:hAnsi="Arial" w:cs="Arial"/>
          <w:lang w:val="en-US" w:eastAsia="en-US"/>
        </w:rPr>
        <w:t xml:space="preserve"> R</w:t>
      </w:r>
      <w:r w:rsidRPr="00710A2A">
        <w:rPr>
          <w:rFonts w:ascii="Arial" w:eastAsiaTheme="minorHAnsi" w:hAnsi="Arial" w:cs="Arial"/>
          <w:lang w:val="en-US" w:eastAsia="en-US"/>
        </w:rPr>
        <w:t>espondent:</w:t>
      </w:r>
      <w:r w:rsidRPr="00710A2A">
        <w:rPr>
          <w:rFonts w:ascii="Arial" w:eastAsiaTheme="minorHAnsi" w:hAnsi="Arial" w:cs="Arial"/>
          <w:lang w:val="en-US" w:eastAsia="en-US"/>
        </w:rPr>
        <w:tab/>
      </w:r>
      <w:r w:rsidR="003741A0">
        <w:rPr>
          <w:rFonts w:ascii="Arial" w:eastAsiaTheme="minorHAnsi" w:hAnsi="Arial" w:cs="Arial"/>
          <w:lang w:val="en-US" w:eastAsia="en-US"/>
        </w:rPr>
        <w:t>TBN Attorneys</w:t>
      </w:r>
      <w:r w:rsidRPr="00710A2A">
        <w:rPr>
          <w:rFonts w:ascii="Arial" w:eastAsiaTheme="minorHAnsi" w:hAnsi="Arial" w:cs="Arial"/>
          <w:lang w:val="en-US" w:eastAsia="en-US"/>
        </w:rPr>
        <w:tab/>
      </w:r>
      <w:r w:rsidRPr="00710A2A">
        <w:rPr>
          <w:rFonts w:ascii="Arial" w:eastAsiaTheme="minorHAnsi" w:hAnsi="Arial" w:cs="Arial"/>
          <w:lang w:val="en-US" w:eastAsia="en-US"/>
        </w:rPr>
        <w:tab/>
      </w:r>
    </w:p>
    <w:p w14:paraId="3F03C005" w14:textId="09BDBEF2" w:rsidR="00710A2A" w:rsidRDefault="00710A2A" w:rsidP="00710A2A">
      <w:pPr>
        <w:spacing w:after="160" w:line="360" w:lineRule="auto"/>
        <w:contextualSpacing/>
        <w:jc w:val="both"/>
        <w:rPr>
          <w:rFonts w:ascii="Arial" w:eastAsiaTheme="minorHAnsi" w:hAnsi="Arial" w:cs="Arial"/>
          <w:lang w:val="en-US" w:eastAsia="en-US"/>
        </w:rPr>
      </w:pPr>
      <w:r w:rsidRPr="00710A2A">
        <w:rPr>
          <w:rFonts w:ascii="Arial" w:eastAsiaTheme="minorHAnsi" w:hAnsi="Arial" w:cs="Arial"/>
          <w:lang w:val="en-US" w:eastAsia="en-US"/>
        </w:rPr>
        <w:tab/>
      </w:r>
      <w:r w:rsidRPr="00710A2A">
        <w:rPr>
          <w:rFonts w:ascii="Arial" w:eastAsiaTheme="minorHAnsi" w:hAnsi="Arial" w:cs="Arial"/>
          <w:lang w:val="en-US" w:eastAsia="en-US"/>
        </w:rPr>
        <w:tab/>
        <w:t xml:space="preserve"> </w:t>
      </w:r>
      <w:r w:rsidR="0062041B">
        <w:rPr>
          <w:rFonts w:ascii="Arial" w:eastAsiaTheme="minorHAnsi" w:hAnsi="Arial" w:cs="Arial"/>
          <w:lang w:val="en-US" w:eastAsia="en-US"/>
        </w:rPr>
        <w:tab/>
      </w:r>
      <w:r w:rsidR="0062041B">
        <w:rPr>
          <w:rFonts w:ascii="Arial" w:eastAsiaTheme="minorHAnsi" w:hAnsi="Arial" w:cs="Arial"/>
          <w:lang w:val="en-US" w:eastAsia="en-US"/>
        </w:rPr>
        <w:tab/>
      </w:r>
      <w:r w:rsidR="00AE005D">
        <w:rPr>
          <w:rFonts w:ascii="Arial" w:eastAsiaTheme="minorHAnsi" w:hAnsi="Arial" w:cs="Arial"/>
          <w:lang w:val="en-US" w:eastAsia="en-US"/>
        </w:rPr>
        <w:tab/>
      </w:r>
    </w:p>
    <w:p w14:paraId="7367293A" w14:textId="0C18FDAD" w:rsidR="00635396" w:rsidRDefault="00710A2A" w:rsidP="00710A2A">
      <w:pPr>
        <w:spacing w:after="160" w:line="360" w:lineRule="auto"/>
        <w:contextualSpacing/>
        <w:jc w:val="both"/>
        <w:rPr>
          <w:rFonts w:ascii="Arial" w:eastAsiaTheme="minorHAnsi" w:hAnsi="Arial" w:cs="Arial"/>
          <w:lang w:val="en-US" w:eastAsia="en-US"/>
        </w:rPr>
      </w:pPr>
      <w:r w:rsidRPr="00710A2A">
        <w:rPr>
          <w:rFonts w:ascii="Arial" w:eastAsiaTheme="minorHAnsi" w:hAnsi="Arial" w:cs="Arial"/>
          <w:lang w:val="en-US" w:eastAsia="en-US"/>
        </w:rPr>
        <w:t>Date of Judgment:</w:t>
      </w:r>
      <w:r w:rsidRPr="00710A2A">
        <w:rPr>
          <w:rFonts w:ascii="Arial" w:eastAsiaTheme="minorHAnsi" w:hAnsi="Arial" w:cs="Arial"/>
          <w:lang w:val="en-US" w:eastAsia="en-US"/>
        </w:rPr>
        <w:tab/>
      </w:r>
      <w:r w:rsidR="00A148C9">
        <w:rPr>
          <w:rFonts w:ascii="Arial" w:eastAsiaTheme="minorHAnsi" w:hAnsi="Arial" w:cs="Arial"/>
          <w:lang w:val="en-US" w:eastAsia="en-US"/>
        </w:rPr>
        <w:tab/>
      </w:r>
      <w:r w:rsidR="00BE7C48">
        <w:rPr>
          <w:rFonts w:ascii="Arial" w:eastAsiaTheme="minorHAnsi" w:hAnsi="Arial" w:cs="Arial"/>
          <w:lang w:val="en-US" w:eastAsia="en-US"/>
        </w:rPr>
        <w:tab/>
      </w:r>
      <w:r w:rsidR="00BE7C48">
        <w:rPr>
          <w:rFonts w:ascii="Arial" w:eastAsiaTheme="minorHAnsi" w:hAnsi="Arial" w:cs="Arial"/>
          <w:lang w:val="en-US" w:eastAsia="en-US"/>
        </w:rPr>
        <w:tab/>
        <w:t>14 July 2022</w:t>
      </w:r>
      <w:r w:rsidR="00A148C9">
        <w:rPr>
          <w:rFonts w:ascii="Arial" w:eastAsiaTheme="minorHAnsi" w:hAnsi="Arial" w:cs="Arial"/>
          <w:lang w:val="en-US" w:eastAsia="en-US"/>
        </w:rPr>
        <w:tab/>
      </w:r>
      <w:r w:rsidR="00A148C9">
        <w:rPr>
          <w:rFonts w:ascii="Arial" w:eastAsiaTheme="minorHAnsi" w:hAnsi="Arial" w:cs="Arial"/>
          <w:lang w:val="en-US" w:eastAsia="en-US"/>
        </w:rPr>
        <w:tab/>
      </w:r>
      <w:r w:rsidRPr="00710A2A">
        <w:rPr>
          <w:rFonts w:ascii="Arial" w:eastAsiaTheme="minorHAnsi" w:hAnsi="Arial" w:cs="Arial"/>
          <w:lang w:val="en-US" w:eastAsia="en-US"/>
        </w:rPr>
        <w:tab/>
      </w:r>
    </w:p>
    <w:p w14:paraId="57A57AEC" w14:textId="77777777" w:rsidR="00635396" w:rsidRDefault="00635396" w:rsidP="00710A2A">
      <w:pPr>
        <w:spacing w:after="160" w:line="360" w:lineRule="auto"/>
        <w:contextualSpacing/>
        <w:jc w:val="both"/>
        <w:rPr>
          <w:rFonts w:ascii="Arial" w:eastAsiaTheme="minorHAnsi" w:hAnsi="Arial" w:cs="Arial"/>
          <w:lang w:val="en-US" w:eastAsia="en-US"/>
        </w:rPr>
      </w:pPr>
    </w:p>
    <w:p w14:paraId="02699C76" w14:textId="7B4E9AB7" w:rsidR="00710A2A" w:rsidRPr="00573C03" w:rsidRDefault="00635396" w:rsidP="00573C03">
      <w:pPr>
        <w:spacing w:after="160" w:line="360" w:lineRule="auto"/>
        <w:contextualSpacing/>
        <w:jc w:val="both"/>
        <w:rPr>
          <w:rFonts w:ascii="Arial" w:eastAsiaTheme="minorHAnsi" w:hAnsi="Arial" w:cs="Arial"/>
          <w:lang w:val="en-US" w:eastAsia="en-US"/>
        </w:rPr>
      </w:pPr>
      <w:r w:rsidRPr="00635396">
        <w:rPr>
          <w:rFonts w:ascii="Arial" w:hAnsi="Arial" w:cs="Arial"/>
        </w:rPr>
        <w:t>This judgment was handed down electronically by circulation to the parties’ representatives by email. The date and time for hand down is de</w:t>
      </w:r>
      <w:r>
        <w:rPr>
          <w:rFonts w:ascii="Arial" w:hAnsi="Arial" w:cs="Arial"/>
        </w:rPr>
        <w:t xml:space="preserve">emed to be </w:t>
      </w:r>
      <w:r w:rsidR="00232866">
        <w:rPr>
          <w:rFonts w:ascii="Arial" w:hAnsi="Arial" w:cs="Arial"/>
          <w:u w:val="single"/>
        </w:rPr>
        <w:t>11</w:t>
      </w:r>
      <w:r w:rsidR="00BE7C48" w:rsidRPr="00BE7C48">
        <w:rPr>
          <w:rFonts w:ascii="Arial" w:hAnsi="Arial" w:cs="Arial"/>
          <w:u w:val="single"/>
        </w:rPr>
        <w:t>H00</w:t>
      </w:r>
      <w:r w:rsidR="00141F00">
        <w:rPr>
          <w:rFonts w:ascii="Arial" w:hAnsi="Arial" w:cs="Arial"/>
        </w:rPr>
        <w:t xml:space="preserve"> on </w:t>
      </w:r>
      <w:r w:rsidR="00BE7C48" w:rsidRPr="00BE7C48">
        <w:rPr>
          <w:rFonts w:ascii="Arial" w:hAnsi="Arial" w:cs="Arial"/>
          <w:u w:val="single"/>
        </w:rPr>
        <w:t>14 July 2022</w:t>
      </w:r>
      <w:r w:rsidRPr="00635396">
        <w:rPr>
          <w:rFonts w:ascii="Arial" w:hAnsi="Arial" w:cs="Arial"/>
        </w:rPr>
        <w:t>.</w:t>
      </w:r>
      <w:r w:rsidR="00710A2A" w:rsidRPr="00635396">
        <w:rPr>
          <w:rFonts w:ascii="Arial" w:eastAsiaTheme="minorHAnsi" w:hAnsi="Arial" w:cs="Arial"/>
          <w:lang w:val="en-US" w:eastAsia="en-US"/>
        </w:rPr>
        <w:tab/>
      </w:r>
      <w:r w:rsidR="00710A2A" w:rsidRPr="00635396">
        <w:rPr>
          <w:rFonts w:ascii="Arial" w:eastAsiaTheme="minorHAnsi" w:hAnsi="Arial" w:cs="Arial"/>
          <w:lang w:val="en-US" w:eastAsia="en-US"/>
        </w:rPr>
        <w:tab/>
      </w:r>
      <w:r w:rsidR="00710A2A" w:rsidRPr="00635396">
        <w:rPr>
          <w:rFonts w:ascii="Arial" w:eastAsiaTheme="minorHAnsi" w:hAnsi="Arial" w:cs="Arial"/>
          <w:lang w:val="en-US" w:eastAsia="en-US"/>
        </w:rPr>
        <w:tab/>
      </w:r>
    </w:p>
    <w:sectPr w:rsidR="00710A2A" w:rsidRPr="00573C03" w:rsidSect="00F31B6E">
      <w:headerReference w:type="even" r:id="rId9"/>
      <w:headerReference w:type="default" r:id="rId10"/>
      <w:footerReference w:type="default" r:id="rId11"/>
      <w:pgSz w:w="11906" w:h="16838"/>
      <w:pgMar w:top="1135"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E89E7" w14:textId="77777777" w:rsidR="005B756A" w:rsidRDefault="005B756A">
      <w:r>
        <w:separator/>
      </w:r>
    </w:p>
  </w:endnote>
  <w:endnote w:type="continuationSeparator" w:id="0">
    <w:p w14:paraId="460D8E36" w14:textId="77777777" w:rsidR="005B756A" w:rsidRDefault="005B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5A8F4" w14:textId="6F64E22B" w:rsidR="00A148C9" w:rsidRDefault="00A148C9">
    <w:pPr>
      <w:pStyle w:val="Footer"/>
      <w:jc w:val="right"/>
    </w:pPr>
  </w:p>
  <w:p w14:paraId="75BF65E4" w14:textId="77777777" w:rsidR="00A148C9" w:rsidRDefault="00A14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80F84" w14:textId="77777777" w:rsidR="005B756A" w:rsidRDefault="005B756A">
      <w:r>
        <w:separator/>
      </w:r>
    </w:p>
  </w:footnote>
  <w:footnote w:type="continuationSeparator" w:id="0">
    <w:p w14:paraId="7AE520F8" w14:textId="77777777" w:rsidR="005B756A" w:rsidRDefault="005B756A">
      <w:r>
        <w:continuationSeparator/>
      </w:r>
    </w:p>
  </w:footnote>
  <w:footnote w:id="1">
    <w:p w14:paraId="608FBFE7" w14:textId="7B5FD565" w:rsidR="00A148C9" w:rsidRPr="00611E73" w:rsidRDefault="00A148C9" w:rsidP="00E53B70">
      <w:pPr>
        <w:pStyle w:val="FootnoteText"/>
        <w:jc w:val="both"/>
        <w:rPr>
          <w:rFonts w:ascii="Arial" w:hAnsi="Arial" w:cs="Arial"/>
        </w:rPr>
      </w:pPr>
      <w:r w:rsidRPr="00611E73">
        <w:rPr>
          <w:rStyle w:val="FootnoteReference"/>
          <w:rFonts w:ascii="Arial" w:hAnsi="Arial" w:cs="Arial"/>
        </w:rPr>
        <w:footnoteRef/>
      </w:r>
      <w:r>
        <w:rPr>
          <w:rFonts w:ascii="Arial" w:hAnsi="Arial" w:cs="Arial"/>
        </w:rPr>
        <w:t xml:space="preserve"> A day in terms of Tribunal R</w:t>
      </w:r>
      <w:r w:rsidRPr="00611E73">
        <w:rPr>
          <w:rFonts w:ascii="Arial" w:hAnsi="Arial" w:cs="Arial"/>
        </w:rPr>
        <w:t>ule 3, ‘shall mean any day other than Saturday, Sunday or Public Holiday and only days that shall be included in the computation of any time expressed in days prescribed by these Rules or fixed by any order of the Tribunal</w:t>
      </w:r>
      <w:r>
        <w:rPr>
          <w:rFonts w:ascii="Arial" w:hAnsi="Arial" w:cs="Arial"/>
        </w:rPr>
        <w:t>’.</w:t>
      </w:r>
    </w:p>
  </w:footnote>
  <w:footnote w:id="2">
    <w:p w14:paraId="05C1FD01" w14:textId="77777777" w:rsidR="00A148C9" w:rsidRPr="00C64AB2" w:rsidRDefault="00A148C9" w:rsidP="00E53B70">
      <w:pPr>
        <w:pStyle w:val="FootnoteText"/>
        <w:rPr>
          <w:rFonts w:ascii="Arial" w:hAnsi="Arial" w:cs="Arial"/>
        </w:rPr>
      </w:pPr>
      <w:r w:rsidRPr="00C64AB2">
        <w:rPr>
          <w:rStyle w:val="FootnoteReference"/>
          <w:rFonts w:ascii="Arial" w:hAnsi="Arial" w:cs="Arial"/>
        </w:rPr>
        <w:footnoteRef/>
      </w:r>
      <w:r w:rsidRPr="00C64AB2">
        <w:rPr>
          <w:rFonts w:ascii="Arial" w:hAnsi="Arial" w:cs="Arial"/>
        </w:rPr>
        <w:t xml:space="preserve"> See annexure </w:t>
      </w:r>
      <w:r>
        <w:rPr>
          <w:rFonts w:ascii="Arial" w:hAnsi="Arial" w:cs="Arial"/>
        </w:rPr>
        <w:t>“</w:t>
      </w:r>
      <w:r w:rsidRPr="00C64AB2">
        <w:rPr>
          <w:rFonts w:ascii="Arial" w:hAnsi="Arial" w:cs="Arial"/>
        </w:rPr>
        <w:t>GP3</w:t>
      </w:r>
      <w:r>
        <w:rPr>
          <w:rFonts w:ascii="Arial" w:hAnsi="Arial" w:cs="Arial"/>
        </w:rPr>
        <w:t>” page 27.1 of the application</w:t>
      </w:r>
      <w:r w:rsidRPr="00C64AB2">
        <w:rPr>
          <w:rFonts w:ascii="Arial" w:hAnsi="Arial" w:cs="Arial"/>
        </w:rPr>
        <w:t>.</w:t>
      </w:r>
    </w:p>
  </w:footnote>
  <w:footnote w:id="3">
    <w:p w14:paraId="7E13BB0B" w14:textId="5306127A" w:rsidR="00A148C9" w:rsidRPr="000924D5" w:rsidRDefault="00A148C9" w:rsidP="00E53B70">
      <w:pPr>
        <w:pStyle w:val="FootnoteText"/>
        <w:jc w:val="both"/>
        <w:rPr>
          <w:rFonts w:ascii="Arial" w:hAnsi="Arial" w:cs="Arial"/>
        </w:rPr>
      </w:pPr>
      <w:r w:rsidRPr="000924D5">
        <w:rPr>
          <w:rStyle w:val="FootnoteReference"/>
          <w:rFonts w:ascii="Arial" w:hAnsi="Arial" w:cs="Arial"/>
        </w:rPr>
        <w:footnoteRef/>
      </w:r>
      <w:r w:rsidRPr="000924D5">
        <w:rPr>
          <w:rFonts w:ascii="Arial" w:hAnsi="Arial" w:cs="Arial"/>
        </w:rPr>
        <w:t xml:space="preserve"> Also see</w:t>
      </w:r>
      <w:r>
        <w:rPr>
          <w:rFonts w:ascii="Arial" w:hAnsi="Arial" w:cs="Arial"/>
        </w:rPr>
        <w:t xml:space="preserve"> </w:t>
      </w:r>
      <w:r w:rsidRPr="00FA32D2">
        <w:rPr>
          <w:rFonts w:ascii="Arial" w:hAnsi="Arial" w:cs="Arial"/>
        </w:rPr>
        <w:t xml:space="preserve">AC </w:t>
      </w:r>
      <w:proofErr w:type="spellStart"/>
      <w:r w:rsidRPr="00FA32D2">
        <w:rPr>
          <w:rFonts w:ascii="Arial" w:hAnsi="Arial" w:cs="Arial"/>
        </w:rPr>
        <w:t>Cilliers</w:t>
      </w:r>
      <w:proofErr w:type="spellEnd"/>
      <w:r w:rsidRPr="00FA32D2">
        <w:rPr>
          <w:rFonts w:ascii="Arial" w:hAnsi="Arial" w:cs="Arial"/>
        </w:rPr>
        <w:t xml:space="preserve"> et al</w:t>
      </w:r>
      <w:r w:rsidRPr="000924D5">
        <w:rPr>
          <w:rFonts w:ascii="Arial" w:hAnsi="Arial" w:cs="Arial"/>
        </w:rPr>
        <w:t xml:space="preserve"> </w:t>
      </w:r>
      <w:proofErr w:type="spellStart"/>
      <w:r w:rsidRPr="000924D5">
        <w:rPr>
          <w:rFonts w:ascii="Arial" w:hAnsi="Arial" w:cs="Arial"/>
          <w:i/>
        </w:rPr>
        <w:t>Herbstein</w:t>
      </w:r>
      <w:proofErr w:type="spellEnd"/>
      <w:r w:rsidRPr="000924D5">
        <w:rPr>
          <w:rFonts w:ascii="Arial" w:hAnsi="Arial" w:cs="Arial"/>
          <w:i/>
        </w:rPr>
        <w:t xml:space="preserve"> and Van </w:t>
      </w:r>
      <w:proofErr w:type="spellStart"/>
      <w:r w:rsidRPr="000924D5">
        <w:rPr>
          <w:rFonts w:ascii="Arial" w:hAnsi="Arial" w:cs="Arial"/>
          <w:i/>
        </w:rPr>
        <w:t>Winsen</w:t>
      </w:r>
      <w:proofErr w:type="spellEnd"/>
      <w:r w:rsidRPr="000924D5">
        <w:rPr>
          <w:rFonts w:ascii="Arial" w:hAnsi="Arial" w:cs="Arial"/>
          <w:i/>
        </w:rPr>
        <w:t>: The Civil Practice of the High Courts and Supreme Court of Appeal of South Africa</w:t>
      </w:r>
      <w:r w:rsidRPr="000924D5">
        <w:rPr>
          <w:rFonts w:ascii="Arial" w:hAnsi="Arial" w:cs="Arial"/>
        </w:rPr>
        <w:t xml:space="preserve"> 5 </w:t>
      </w:r>
      <w:proofErr w:type="spellStart"/>
      <w:r w:rsidRPr="000924D5">
        <w:rPr>
          <w:rFonts w:ascii="Arial" w:hAnsi="Arial" w:cs="Arial"/>
        </w:rPr>
        <w:t>ed</w:t>
      </w:r>
      <w:proofErr w:type="spellEnd"/>
      <w:r w:rsidRPr="000924D5">
        <w:rPr>
          <w:rFonts w:ascii="Arial" w:hAnsi="Arial" w:cs="Arial"/>
        </w:rPr>
        <w:t xml:space="preserve"> (2009) at 936.</w:t>
      </w:r>
    </w:p>
  </w:footnote>
  <w:footnote w:id="4">
    <w:p w14:paraId="0C2607B8" w14:textId="47EF2D3E" w:rsidR="00A148C9" w:rsidRPr="004A787D" w:rsidRDefault="00A148C9">
      <w:pPr>
        <w:pStyle w:val="FootnoteText"/>
        <w:rPr>
          <w:rFonts w:ascii="Arial" w:hAnsi="Arial" w:cs="Arial"/>
          <w:lang w:val="en-ZA"/>
        </w:rPr>
      </w:pPr>
      <w:r w:rsidRPr="00A30462">
        <w:rPr>
          <w:rStyle w:val="FootnoteReference"/>
          <w:rFonts w:ascii="Arial" w:hAnsi="Arial" w:cs="Arial"/>
        </w:rPr>
        <w:footnoteRef/>
      </w:r>
      <w:r w:rsidRPr="00A30462">
        <w:rPr>
          <w:rFonts w:ascii="Arial" w:hAnsi="Arial" w:cs="Arial"/>
        </w:rPr>
        <w:t xml:space="preserve"> </w:t>
      </w:r>
      <w:r w:rsidRPr="00A30462">
        <w:rPr>
          <w:rFonts w:ascii="Arial" w:hAnsi="Arial" w:cs="Arial"/>
          <w:lang w:val="en-ZA"/>
        </w:rPr>
        <w:t>RS-17.</w:t>
      </w:r>
    </w:p>
  </w:footnote>
  <w:footnote w:id="5">
    <w:p w14:paraId="2EFF3E34" w14:textId="5606C0C3" w:rsidR="00A148C9" w:rsidRPr="00B262D7" w:rsidRDefault="00A148C9" w:rsidP="00FE4D85">
      <w:pPr>
        <w:pStyle w:val="FootnoteText"/>
        <w:rPr>
          <w:rFonts w:ascii="Arial" w:hAnsi="Arial" w:cs="Arial"/>
        </w:rPr>
      </w:pPr>
      <w:r w:rsidRPr="00B262D7">
        <w:rPr>
          <w:rStyle w:val="FootnoteReference"/>
          <w:rFonts w:ascii="Arial" w:hAnsi="Arial" w:cs="Arial"/>
        </w:rPr>
        <w:footnoteRef/>
      </w:r>
      <w:r w:rsidRPr="00B262D7">
        <w:rPr>
          <w:rFonts w:ascii="Arial" w:hAnsi="Arial" w:cs="Arial"/>
        </w:rPr>
        <w:t xml:space="preserve"> </w:t>
      </w:r>
      <w:r w:rsidRPr="0090208D">
        <w:rPr>
          <w:rFonts w:ascii="Arial" w:hAnsi="Arial" w:cs="Arial"/>
        </w:rPr>
        <w:t xml:space="preserve">Erasmus: Superior Court Practice </w:t>
      </w:r>
      <w:r w:rsidRPr="00B262D7">
        <w:rPr>
          <w:rFonts w:ascii="Arial" w:hAnsi="Arial" w:cs="Arial"/>
        </w:rPr>
        <w:t>at 324.</w:t>
      </w:r>
    </w:p>
  </w:footnote>
  <w:footnote w:id="6">
    <w:p w14:paraId="1B7036A2" w14:textId="46FE36B3" w:rsidR="00A148C9" w:rsidRPr="00722391" w:rsidRDefault="00A148C9" w:rsidP="00FE4D85">
      <w:pPr>
        <w:pStyle w:val="FootnoteText"/>
        <w:rPr>
          <w:rFonts w:ascii="Arial" w:hAnsi="Arial" w:cs="Arial"/>
        </w:rPr>
      </w:pPr>
      <w:r w:rsidRPr="00722391">
        <w:rPr>
          <w:rStyle w:val="FootnoteReference"/>
          <w:rFonts w:ascii="Arial" w:hAnsi="Arial" w:cs="Arial"/>
        </w:rPr>
        <w:footnoteRef/>
      </w:r>
      <w:r w:rsidRPr="00722391">
        <w:rPr>
          <w:rFonts w:ascii="Arial" w:hAnsi="Arial" w:cs="Arial"/>
        </w:rPr>
        <w:t xml:space="preserve"> </w:t>
      </w:r>
      <w:proofErr w:type="spellStart"/>
      <w:r w:rsidRPr="002F02F8">
        <w:rPr>
          <w:rFonts w:ascii="Arial" w:hAnsi="Arial" w:cs="Arial"/>
          <w:i/>
        </w:rPr>
        <w:t>Himelsein</w:t>
      </w:r>
      <w:proofErr w:type="spellEnd"/>
      <w:r w:rsidRPr="00722391">
        <w:rPr>
          <w:rFonts w:ascii="Arial" w:hAnsi="Arial" w:cs="Arial"/>
        </w:rPr>
        <w:t xml:space="preserve"> at 933</w:t>
      </w:r>
      <w:r>
        <w:rPr>
          <w:rFonts w:ascii="Arial" w:hAnsi="Arial" w:cs="Arial"/>
        </w:rPr>
        <w:t>.</w:t>
      </w:r>
    </w:p>
  </w:footnote>
  <w:footnote w:id="7">
    <w:p w14:paraId="087BFFAE" w14:textId="0950D408" w:rsidR="00A148C9" w:rsidRPr="00392279" w:rsidRDefault="00A148C9">
      <w:pPr>
        <w:pStyle w:val="FootnoteText"/>
        <w:rPr>
          <w:lang w:val="en-ZA"/>
        </w:rPr>
      </w:pPr>
      <w:r>
        <w:rPr>
          <w:rStyle w:val="FootnoteReference"/>
        </w:rPr>
        <w:footnoteRef/>
      </w:r>
      <w:r>
        <w:t xml:space="preserve"> </w:t>
      </w:r>
      <w:r w:rsidRPr="00392279">
        <w:rPr>
          <w:rFonts w:ascii="Arial" w:hAnsi="Arial" w:cs="Arial"/>
          <w:lang w:val="en-ZA"/>
        </w:rPr>
        <w:t>Ibid at 932-933.</w:t>
      </w:r>
    </w:p>
  </w:footnote>
  <w:footnote w:id="8">
    <w:p w14:paraId="3AECAC2F" w14:textId="17EF2F65" w:rsidR="00A148C9" w:rsidRPr="00042861" w:rsidRDefault="00A148C9" w:rsidP="009C7B06">
      <w:pPr>
        <w:pStyle w:val="FootnoteText"/>
        <w:rPr>
          <w:rFonts w:ascii="Arial" w:hAnsi="Arial" w:cs="Arial"/>
        </w:rPr>
      </w:pPr>
      <w:r w:rsidRPr="00042861">
        <w:rPr>
          <w:rStyle w:val="FootnoteReference"/>
          <w:rFonts w:ascii="Arial" w:hAnsi="Arial" w:cs="Arial"/>
        </w:rPr>
        <w:footnoteRef/>
      </w:r>
      <w:r w:rsidRPr="00042861">
        <w:rPr>
          <w:rFonts w:ascii="Arial" w:hAnsi="Arial" w:cs="Arial"/>
        </w:rPr>
        <w:t xml:space="preserve"> See also </w:t>
      </w:r>
      <w:r w:rsidRPr="00042861">
        <w:rPr>
          <w:rFonts w:ascii="Arial" w:hAnsi="Arial" w:cs="Arial"/>
          <w:i/>
          <w:color w:val="000000"/>
          <w:szCs w:val="28"/>
        </w:rPr>
        <w:t>Erasmus</w:t>
      </w:r>
      <w:r>
        <w:rPr>
          <w:rFonts w:ascii="Arial" w:hAnsi="Arial" w:cs="Arial"/>
          <w:i/>
          <w:color w:val="000000"/>
          <w:szCs w:val="28"/>
        </w:rPr>
        <w:t>:</w:t>
      </w:r>
      <w:r w:rsidRPr="00042861">
        <w:rPr>
          <w:rFonts w:ascii="Arial" w:hAnsi="Arial" w:cs="Arial"/>
          <w:i/>
          <w:color w:val="000000"/>
          <w:szCs w:val="28"/>
        </w:rPr>
        <w:t xml:space="preserve"> Superior Court Practice </w:t>
      </w:r>
      <w:r w:rsidRPr="00042861">
        <w:rPr>
          <w:rFonts w:ascii="Arial" w:hAnsi="Arial" w:cs="Arial"/>
          <w:color w:val="000000"/>
          <w:szCs w:val="28"/>
        </w:rPr>
        <w:t xml:space="preserve">at 327. </w:t>
      </w:r>
    </w:p>
  </w:footnote>
  <w:footnote w:id="9">
    <w:p w14:paraId="16BB1387" w14:textId="5DF5AA74" w:rsidR="00A148C9" w:rsidRPr="00B02333" w:rsidRDefault="00A148C9">
      <w:pPr>
        <w:pStyle w:val="FootnoteText"/>
        <w:rPr>
          <w:lang w:val="en-ZA"/>
        </w:rPr>
      </w:pPr>
      <w:r w:rsidRPr="003D67A4">
        <w:rPr>
          <w:rStyle w:val="FootnoteReference"/>
          <w:rFonts w:ascii="Arial" w:hAnsi="Arial" w:cs="Arial"/>
        </w:rPr>
        <w:footnoteRef/>
      </w:r>
      <w:r w:rsidRPr="003D67A4">
        <w:rPr>
          <w:rFonts w:ascii="Arial" w:hAnsi="Arial" w:cs="Arial"/>
        </w:rPr>
        <w:t xml:space="preserve"> </w:t>
      </w:r>
      <w:proofErr w:type="spellStart"/>
      <w:r w:rsidRPr="003D67A4">
        <w:rPr>
          <w:rFonts w:ascii="Arial" w:hAnsi="Arial" w:cs="Arial"/>
          <w:i/>
          <w:lang w:val="en-ZA"/>
        </w:rPr>
        <w:t>Melane</w:t>
      </w:r>
      <w:proofErr w:type="spellEnd"/>
      <w:r w:rsidRPr="003D67A4">
        <w:rPr>
          <w:rFonts w:ascii="Arial" w:hAnsi="Arial" w:cs="Arial"/>
          <w:lang w:val="en-ZA"/>
        </w:rPr>
        <w:t xml:space="preserve"> at 532.</w:t>
      </w:r>
    </w:p>
  </w:footnote>
  <w:footnote w:id="10">
    <w:p w14:paraId="379DC7DB" w14:textId="351E863A" w:rsidR="00A148C9" w:rsidRPr="00B02333" w:rsidRDefault="00A148C9">
      <w:pPr>
        <w:pStyle w:val="FootnoteText"/>
        <w:rPr>
          <w:rFonts w:ascii="Arial" w:hAnsi="Arial" w:cs="Arial"/>
        </w:rPr>
      </w:pPr>
      <w:r w:rsidRPr="00B02333">
        <w:rPr>
          <w:rStyle w:val="FootnoteReference"/>
          <w:rFonts w:ascii="Arial" w:hAnsi="Arial" w:cs="Arial"/>
        </w:rPr>
        <w:footnoteRef/>
      </w:r>
      <w:r w:rsidRPr="00B02333">
        <w:rPr>
          <w:rFonts w:ascii="Arial" w:hAnsi="Arial" w:cs="Arial"/>
        </w:rPr>
        <w:t xml:space="preserve"> </w:t>
      </w:r>
      <w:proofErr w:type="spellStart"/>
      <w:r w:rsidRPr="00B02333">
        <w:rPr>
          <w:rFonts w:ascii="Arial" w:hAnsi="Arial" w:cs="Arial"/>
          <w:i/>
        </w:rPr>
        <w:t>Mulaudzi</w:t>
      </w:r>
      <w:proofErr w:type="spellEnd"/>
      <w:r w:rsidRPr="00B02333">
        <w:rPr>
          <w:rFonts w:ascii="Arial" w:hAnsi="Arial" w:cs="Arial"/>
          <w:i/>
        </w:rPr>
        <w:t xml:space="preserve"> v Old Mutual Life Insurance Company (South Africa) Limited and others, National Director of Public Prosecutions and another v </w:t>
      </w:r>
      <w:proofErr w:type="spellStart"/>
      <w:r w:rsidRPr="00B02333">
        <w:rPr>
          <w:rFonts w:ascii="Arial" w:hAnsi="Arial" w:cs="Arial"/>
          <w:i/>
        </w:rPr>
        <w:t>Mulaudzi</w:t>
      </w:r>
      <w:proofErr w:type="spellEnd"/>
      <w:r w:rsidRPr="00B02333">
        <w:rPr>
          <w:rFonts w:ascii="Arial" w:hAnsi="Arial" w:cs="Arial"/>
        </w:rPr>
        <w:t xml:space="preserve"> [2017] ZASCA 88; [2017] 3 All SA 520; 2017 (6) SA 90 (SCA).</w:t>
      </w:r>
    </w:p>
  </w:footnote>
  <w:footnote w:id="11">
    <w:p w14:paraId="3B08DAF9" w14:textId="1E520D3F" w:rsidR="00A148C9" w:rsidRPr="00562105" w:rsidRDefault="00A148C9" w:rsidP="0055331C">
      <w:pPr>
        <w:pStyle w:val="FootnoteText"/>
        <w:rPr>
          <w:rFonts w:ascii="Arial" w:hAnsi="Arial" w:cs="Arial"/>
        </w:rPr>
      </w:pPr>
      <w:r>
        <w:rPr>
          <w:rStyle w:val="FootnoteReference"/>
        </w:rPr>
        <w:footnoteRef/>
      </w:r>
      <w:r>
        <w:t xml:space="preserve"> </w:t>
      </w:r>
      <w:r w:rsidRPr="0055331C">
        <w:rPr>
          <w:rFonts w:ascii="Arial" w:hAnsi="Arial" w:cs="Arial"/>
          <w:i/>
        </w:rPr>
        <w:t xml:space="preserve">The </w:t>
      </w:r>
      <w:proofErr w:type="spellStart"/>
      <w:r w:rsidRPr="0055331C">
        <w:rPr>
          <w:rFonts w:ascii="Arial" w:hAnsi="Arial" w:cs="Arial"/>
          <w:i/>
        </w:rPr>
        <w:t>Seaspan</w:t>
      </w:r>
      <w:proofErr w:type="spellEnd"/>
      <w:r w:rsidRPr="0055331C">
        <w:rPr>
          <w:rFonts w:ascii="Arial" w:hAnsi="Arial" w:cs="Arial"/>
          <w:i/>
        </w:rPr>
        <w:t xml:space="preserve"> Grouse </w:t>
      </w:r>
      <w:proofErr w:type="spellStart"/>
      <w:r w:rsidRPr="0055331C">
        <w:rPr>
          <w:rFonts w:ascii="Arial" w:hAnsi="Arial" w:cs="Arial"/>
          <w:i/>
        </w:rPr>
        <w:t>Seas</w:t>
      </w:r>
      <w:r>
        <w:rPr>
          <w:rFonts w:ascii="Arial" w:hAnsi="Arial" w:cs="Arial"/>
          <w:i/>
        </w:rPr>
        <w:t>pan</w:t>
      </w:r>
      <w:proofErr w:type="spellEnd"/>
      <w:r>
        <w:rPr>
          <w:rFonts w:ascii="Arial" w:hAnsi="Arial" w:cs="Arial"/>
          <w:i/>
        </w:rPr>
        <w:t xml:space="preserve"> Holdco 1 Ltd and others v MS</w:t>
      </w:r>
      <w:r w:rsidRPr="0055331C">
        <w:rPr>
          <w:rFonts w:ascii="Arial" w:hAnsi="Arial" w:cs="Arial"/>
          <w:i/>
        </w:rPr>
        <w:t xml:space="preserve"> Mare Tracer </w:t>
      </w:r>
      <w:proofErr w:type="spellStart"/>
      <w:r w:rsidRPr="0055331C">
        <w:rPr>
          <w:rFonts w:ascii="Arial" w:hAnsi="Arial" w:cs="Arial"/>
          <w:i/>
        </w:rPr>
        <w:t>Schiffahrts</w:t>
      </w:r>
      <w:proofErr w:type="spellEnd"/>
      <w:r w:rsidRPr="0055331C">
        <w:rPr>
          <w:rFonts w:ascii="Arial" w:hAnsi="Arial" w:cs="Arial"/>
          <w:i/>
        </w:rPr>
        <w:t xml:space="preserve"> and another</w:t>
      </w:r>
      <w:r w:rsidRPr="0055331C">
        <w:rPr>
          <w:rFonts w:ascii="Arial" w:hAnsi="Arial" w:cs="Arial"/>
        </w:rPr>
        <w:t xml:space="preserve"> 2019 (4) SA 483 (SCA); Marine</w:t>
      </w:r>
      <w:r w:rsidRPr="0055331C">
        <w:rPr>
          <w:rFonts w:ascii="Arial" w:hAnsi="Arial" w:cs="Arial"/>
          <w:i/>
        </w:rPr>
        <w:t xml:space="preserve"> and Trade Insurance Co Ltd v </w:t>
      </w:r>
      <w:proofErr w:type="spellStart"/>
      <w:r w:rsidRPr="0055331C">
        <w:rPr>
          <w:rFonts w:ascii="Arial" w:hAnsi="Arial" w:cs="Arial"/>
          <w:i/>
        </w:rPr>
        <w:t>Reddinger</w:t>
      </w:r>
      <w:proofErr w:type="spellEnd"/>
      <w:r w:rsidRPr="0055331C">
        <w:rPr>
          <w:rFonts w:ascii="Arial" w:hAnsi="Arial" w:cs="Arial"/>
        </w:rPr>
        <w:t xml:space="preserve"> 1966 (2) SA 407 (A)</w:t>
      </w:r>
      <w:r>
        <w:rPr>
          <w:rFonts w:ascii="Arial" w:hAnsi="Arial" w:cs="Arial"/>
        </w:rPr>
        <w:t xml:space="preserve">; </w:t>
      </w:r>
      <w:r w:rsidRPr="00562105">
        <w:rPr>
          <w:rFonts w:ascii="Arial" w:hAnsi="Arial" w:cs="Arial"/>
          <w:i/>
        </w:rPr>
        <w:t>MV</w:t>
      </w:r>
      <w:r w:rsidRPr="0055331C">
        <w:rPr>
          <w:rFonts w:ascii="Arial" w:hAnsi="Arial" w:cs="Arial"/>
        </w:rPr>
        <w:t xml:space="preserve"> </w:t>
      </w:r>
      <w:r w:rsidRPr="00562105">
        <w:rPr>
          <w:rFonts w:ascii="Arial" w:hAnsi="Arial" w:cs="Arial"/>
          <w:i/>
        </w:rPr>
        <w:t>Jute Express</w:t>
      </w:r>
      <w:r w:rsidRPr="0055331C">
        <w:rPr>
          <w:rFonts w:ascii="Arial" w:hAnsi="Arial" w:cs="Arial"/>
        </w:rPr>
        <w:t xml:space="preserve"> v </w:t>
      </w:r>
      <w:r w:rsidRPr="0055331C">
        <w:rPr>
          <w:rFonts w:ascii="Arial" w:hAnsi="Arial" w:cs="Arial"/>
          <w:i/>
        </w:rPr>
        <w:t>Owners</w:t>
      </w:r>
      <w:r w:rsidRPr="00562105">
        <w:rPr>
          <w:rFonts w:ascii="Arial" w:hAnsi="Arial" w:cs="Arial"/>
          <w:i/>
        </w:rPr>
        <w:t xml:space="preserve"> </w:t>
      </w:r>
      <w:r w:rsidRPr="0055331C">
        <w:rPr>
          <w:rFonts w:ascii="Arial" w:hAnsi="Arial" w:cs="Arial"/>
          <w:i/>
        </w:rPr>
        <w:t>of the Cargo</w:t>
      </w:r>
      <w:r w:rsidRPr="00562105">
        <w:rPr>
          <w:rFonts w:ascii="Arial" w:hAnsi="Arial" w:cs="Arial"/>
          <w:i/>
        </w:rPr>
        <w:t xml:space="preserve"> </w:t>
      </w:r>
      <w:r w:rsidRPr="0055331C">
        <w:rPr>
          <w:rFonts w:ascii="Arial" w:hAnsi="Arial" w:cs="Arial"/>
          <w:i/>
        </w:rPr>
        <w:t>lately Laden on board</w:t>
      </w:r>
      <w:r w:rsidRPr="00562105">
        <w:rPr>
          <w:rFonts w:ascii="Arial" w:hAnsi="Arial" w:cs="Arial"/>
          <w:i/>
        </w:rPr>
        <w:t xml:space="preserve"> </w:t>
      </w:r>
      <w:r w:rsidRPr="0055331C">
        <w:rPr>
          <w:rFonts w:ascii="Arial" w:hAnsi="Arial" w:cs="Arial"/>
          <w:i/>
        </w:rPr>
        <w:t>the</w:t>
      </w:r>
      <w:r w:rsidRPr="00562105">
        <w:rPr>
          <w:rFonts w:ascii="Arial" w:hAnsi="Arial" w:cs="Arial"/>
          <w:i/>
        </w:rPr>
        <w:t xml:space="preserve"> </w:t>
      </w:r>
      <w:r>
        <w:rPr>
          <w:rFonts w:ascii="Arial" w:hAnsi="Arial" w:cs="Arial"/>
          <w:i/>
        </w:rPr>
        <w:t>MV</w:t>
      </w:r>
      <w:r w:rsidRPr="0055331C">
        <w:rPr>
          <w:rFonts w:ascii="Arial" w:hAnsi="Arial" w:cs="Arial"/>
          <w:i/>
        </w:rPr>
        <w:t xml:space="preserve"> Jute Express</w:t>
      </w:r>
      <w:r w:rsidRPr="0055331C">
        <w:rPr>
          <w:rFonts w:ascii="Arial" w:hAnsi="Arial" w:cs="Arial"/>
        </w:rPr>
        <w:t xml:space="preserve"> 1992 (3) SA 9 (A)</w:t>
      </w:r>
      <w:r>
        <w:rPr>
          <w:rFonts w:ascii="Arial" w:hAnsi="Arial" w:cs="Arial"/>
        </w:rPr>
        <w:t>.</w:t>
      </w:r>
    </w:p>
    <w:p w14:paraId="7935ECF9" w14:textId="00D6B1CF" w:rsidR="00A148C9" w:rsidRDefault="00A148C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D0AC3" w14:textId="77777777" w:rsidR="00A148C9" w:rsidRDefault="00A148C9" w:rsidP="00345E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28672" w14:textId="77777777" w:rsidR="00A148C9" w:rsidRDefault="00A148C9" w:rsidP="00893C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604199"/>
      <w:docPartObj>
        <w:docPartGallery w:val="Page Numbers (Top of Page)"/>
        <w:docPartUnique/>
      </w:docPartObj>
    </w:sdtPr>
    <w:sdtEndPr>
      <w:rPr>
        <w:noProof/>
      </w:rPr>
    </w:sdtEndPr>
    <w:sdtContent>
      <w:p w14:paraId="13BCDAA3" w14:textId="7EF0C315" w:rsidR="00A148C9" w:rsidRDefault="00A148C9">
        <w:pPr>
          <w:pStyle w:val="Header"/>
          <w:jc w:val="right"/>
        </w:pPr>
        <w:r>
          <w:fldChar w:fldCharType="begin"/>
        </w:r>
        <w:r>
          <w:instrText xml:space="preserve"> PAGE   \* MERGEFORMAT </w:instrText>
        </w:r>
        <w:r>
          <w:fldChar w:fldCharType="separate"/>
        </w:r>
        <w:r w:rsidR="00A61C95">
          <w:rPr>
            <w:noProof/>
          </w:rPr>
          <w:t>19</w:t>
        </w:r>
        <w:r>
          <w:rPr>
            <w:noProof/>
          </w:rPr>
          <w:fldChar w:fldCharType="end"/>
        </w:r>
      </w:p>
    </w:sdtContent>
  </w:sdt>
  <w:p w14:paraId="11DDC303" w14:textId="77777777" w:rsidR="00A148C9" w:rsidRDefault="00A14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426"/>
    <w:multiLevelType w:val="hybridMultilevel"/>
    <w:tmpl w:val="FF260776"/>
    <w:lvl w:ilvl="0" w:tplc="80FE04AE">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2099C"/>
    <w:multiLevelType w:val="hybridMultilevel"/>
    <w:tmpl w:val="FDECE1DC"/>
    <w:lvl w:ilvl="0" w:tplc="A28A3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249EA"/>
    <w:multiLevelType w:val="hybridMultilevel"/>
    <w:tmpl w:val="80F49772"/>
    <w:lvl w:ilvl="0" w:tplc="E08E32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C8117D"/>
    <w:multiLevelType w:val="hybridMultilevel"/>
    <w:tmpl w:val="09C2AC10"/>
    <w:lvl w:ilvl="0" w:tplc="356AA8B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DB3445B"/>
    <w:multiLevelType w:val="hybridMultilevel"/>
    <w:tmpl w:val="F6CED9F6"/>
    <w:lvl w:ilvl="0" w:tplc="8C0A0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268BF"/>
    <w:multiLevelType w:val="hybridMultilevel"/>
    <w:tmpl w:val="86EA60F0"/>
    <w:lvl w:ilvl="0" w:tplc="7BC22F5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95B69D0"/>
    <w:multiLevelType w:val="hybridMultilevel"/>
    <w:tmpl w:val="AA527DD0"/>
    <w:lvl w:ilvl="0" w:tplc="FA704E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83B53"/>
    <w:multiLevelType w:val="hybridMultilevel"/>
    <w:tmpl w:val="7CEE15BA"/>
    <w:lvl w:ilvl="0" w:tplc="FE6C09A8">
      <w:start w:val="1"/>
      <w:numFmt w:val="lowerLetter"/>
      <w:lvlText w:val="(%1)"/>
      <w:lvlJc w:val="left"/>
      <w:pPr>
        <w:ind w:left="1440" w:hanging="720"/>
      </w:pPr>
      <w:rPr>
        <w:rFonts w:ascii="Arial" w:eastAsia="Times New Roman" w:hAnsi="Arial" w:cs="Arial"/>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971C5"/>
    <w:multiLevelType w:val="hybridMultilevel"/>
    <w:tmpl w:val="AA589172"/>
    <w:lvl w:ilvl="0" w:tplc="2E946AC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97A00"/>
    <w:multiLevelType w:val="hybridMultilevel"/>
    <w:tmpl w:val="5AC0D0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3B6630"/>
    <w:multiLevelType w:val="hybridMultilevel"/>
    <w:tmpl w:val="AF865792"/>
    <w:lvl w:ilvl="0" w:tplc="F146BF3A">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5868CB"/>
    <w:multiLevelType w:val="hybridMultilevel"/>
    <w:tmpl w:val="E1029CFE"/>
    <w:lvl w:ilvl="0" w:tplc="735C348A">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280205DB"/>
    <w:multiLevelType w:val="hybridMultilevel"/>
    <w:tmpl w:val="47584C62"/>
    <w:lvl w:ilvl="0" w:tplc="2DC07816">
      <w:start w:val="2"/>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3">
    <w:nsid w:val="28A62394"/>
    <w:multiLevelType w:val="hybridMultilevel"/>
    <w:tmpl w:val="47FE60CA"/>
    <w:lvl w:ilvl="0" w:tplc="A45E16D4">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16759"/>
    <w:multiLevelType w:val="hybridMultilevel"/>
    <w:tmpl w:val="C21063E0"/>
    <w:lvl w:ilvl="0" w:tplc="BFDE4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3117D6"/>
    <w:multiLevelType w:val="hybridMultilevel"/>
    <w:tmpl w:val="DC740656"/>
    <w:lvl w:ilvl="0" w:tplc="64FA2156">
      <w:start w:val="1"/>
      <w:numFmt w:val="lowerLetter"/>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2715C07"/>
    <w:multiLevelType w:val="hybridMultilevel"/>
    <w:tmpl w:val="E6889F2E"/>
    <w:lvl w:ilvl="0" w:tplc="FC1A1D1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6CD0FA6"/>
    <w:multiLevelType w:val="hybridMultilevel"/>
    <w:tmpl w:val="6DC6A42E"/>
    <w:lvl w:ilvl="0" w:tplc="BE80EE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B31912"/>
    <w:multiLevelType w:val="hybridMultilevel"/>
    <w:tmpl w:val="0374BF40"/>
    <w:lvl w:ilvl="0" w:tplc="FA3ED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B53E92"/>
    <w:multiLevelType w:val="hybridMultilevel"/>
    <w:tmpl w:val="365A6CF2"/>
    <w:lvl w:ilvl="0" w:tplc="C58ACB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F4A2C87"/>
    <w:multiLevelType w:val="hybridMultilevel"/>
    <w:tmpl w:val="874C1278"/>
    <w:lvl w:ilvl="0" w:tplc="D430ACA2">
      <w:start w:val="1"/>
      <w:numFmt w:val="lowerLetter"/>
      <w:lvlText w:val="(%1)"/>
      <w:lvlJc w:val="left"/>
      <w:pPr>
        <w:ind w:left="720" w:hanging="360"/>
      </w:pPr>
      <w:rPr>
        <w:rFonts w:hint="default"/>
        <w:b w:val="0"/>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F561325"/>
    <w:multiLevelType w:val="hybridMultilevel"/>
    <w:tmpl w:val="50A0A0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2503E77"/>
    <w:multiLevelType w:val="hybridMultilevel"/>
    <w:tmpl w:val="4D88F384"/>
    <w:lvl w:ilvl="0" w:tplc="FA3ED87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CC25F4"/>
    <w:multiLevelType w:val="hybridMultilevel"/>
    <w:tmpl w:val="BEA8B132"/>
    <w:lvl w:ilvl="0" w:tplc="3F46AA1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B9D1991"/>
    <w:multiLevelType w:val="hybridMultilevel"/>
    <w:tmpl w:val="40C08434"/>
    <w:lvl w:ilvl="0" w:tplc="AF585B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0172B6"/>
    <w:multiLevelType w:val="hybridMultilevel"/>
    <w:tmpl w:val="F7E82C62"/>
    <w:lvl w:ilvl="0" w:tplc="14C66D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DA1343"/>
    <w:multiLevelType w:val="hybridMultilevel"/>
    <w:tmpl w:val="1D780346"/>
    <w:lvl w:ilvl="0" w:tplc="22186F4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12700A9"/>
    <w:multiLevelType w:val="hybridMultilevel"/>
    <w:tmpl w:val="C35C24F0"/>
    <w:lvl w:ilvl="0" w:tplc="735C34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1544619"/>
    <w:multiLevelType w:val="hybridMultilevel"/>
    <w:tmpl w:val="D8CA535E"/>
    <w:lvl w:ilvl="0" w:tplc="A9605E40">
      <w:start w:val="1"/>
      <w:numFmt w:val="lowerLetter"/>
      <w:lvlText w:val="(%1)"/>
      <w:lvlJc w:val="left"/>
      <w:pPr>
        <w:ind w:left="1440" w:hanging="720"/>
      </w:pPr>
      <w:rPr>
        <w:rFonts w:ascii="Arial" w:eastAsia="Times New Roman" w:hAnsi="Arial" w:cs="Arial"/>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7C2E39"/>
    <w:multiLevelType w:val="hybridMultilevel"/>
    <w:tmpl w:val="83E465D4"/>
    <w:lvl w:ilvl="0" w:tplc="6AD854CC">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A9F5828"/>
    <w:multiLevelType w:val="hybridMultilevel"/>
    <w:tmpl w:val="0AC2146E"/>
    <w:lvl w:ilvl="0" w:tplc="5A90DD36">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E0D85"/>
    <w:multiLevelType w:val="hybridMultilevel"/>
    <w:tmpl w:val="ADA6589A"/>
    <w:lvl w:ilvl="0" w:tplc="EAF2F0C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10019E7"/>
    <w:multiLevelType w:val="hybridMultilevel"/>
    <w:tmpl w:val="513CE904"/>
    <w:lvl w:ilvl="0" w:tplc="FA3ED8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3C154B"/>
    <w:multiLevelType w:val="hybridMultilevel"/>
    <w:tmpl w:val="70B41782"/>
    <w:lvl w:ilvl="0" w:tplc="7F44B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0633AC"/>
    <w:multiLevelType w:val="hybridMultilevel"/>
    <w:tmpl w:val="EC46C942"/>
    <w:lvl w:ilvl="0" w:tplc="F84058E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2D79CB"/>
    <w:multiLevelType w:val="hybridMultilevel"/>
    <w:tmpl w:val="71F6553A"/>
    <w:lvl w:ilvl="0" w:tplc="69122F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DB11FE"/>
    <w:multiLevelType w:val="hybridMultilevel"/>
    <w:tmpl w:val="8D9E5E96"/>
    <w:lvl w:ilvl="0" w:tplc="B9A8FC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E81B92"/>
    <w:multiLevelType w:val="hybridMultilevel"/>
    <w:tmpl w:val="4D843AB8"/>
    <w:lvl w:ilvl="0" w:tplc="84EA82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7E7BF1"/>
    <w:multiLevelType w:val="hybridMultilevel"/>
    <w:tmpl w:val="3356E2B2"/>
    <w:lvl w:ilvl="0" w:tplc="467C6EF2">
      <w:start w:val="1"/>
      <w:numFmt w:val="lowerLetter"/>
      <w:lvlText w:val="(%1)"/>
      <w:lvlJc w:val="left"/>
      <w:pPr>
        <w:ind w:left="1440" w:hanging="720"/>
      </w:pPr>
      <w:rPr>
        <w:rFonts w:ascii="Arial" w:eastAsia="Times New Roman"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6"/>
  </w:num>
  <w:num w:numId="2">
    <w:abstractNumId w:val="38"/>
  </w:num>
  <w:num w:numId="3">
    <w:abstractNumId w:val="3"/>
  </w:num>
  <w:num w:numId="4">
    <w:abstractNumId w:val="5"/>
  </w:num>
  <w:num w:numId="5">
    <w:abstractNumId w:val="37"/>
  </w:num>
  <w:num w:numId="6">
    <w:abstractNumId w:val="33"/>
  </w:num>
  <w:num w:numId="7">
    <w:abstractNumId w:val="11"/>
  </w:num>
  <w:num w:numId="8">
    <w:abstractNumId w:val="34"/>
  </w:num>
  <w:num w:numId="9">
    <w:abstractNumId w:val="1"/>
  </w:num>
  <w:num w:numId="10">
    <w:abstractNumId w:val="18"/>
  </w:num>
  <w:num w:numId="11">
    <w:abstractNumId w:val="36"/>
  </w:num>
  <w:num w:numId="12">
    <w:abstractNumId w:val="35"/>
  </w:num>
  <w:num w:numId="13">
    <w:abstractNumId w:val="7"/>
  </w:num>
  <w:num w:numId="14">
    <w:abstractNumId w:val="28"/>
  </w:num>
  <w:num w:numId="15">
    <w:abstractNumId w:val="25"/>
  </w:num>
  <w:num w:numId="16">
    <w:abstractNumId w:val="4"/>
  </w:num>
  <w:num w:numId="17">
    <w:abstractNumId w:val="21"/>
  </w:num>
  <w:num w:numId="18">
    <w:abstractNumId w:val="13"/>
  </w:num>
  <w:num w:numId="19">
    <w:abstractNumId w:val="30"/>
  </w:num>
  <w:num w:numId="20">
    <w:abstractNumId w:val="17"/>
  </w:num>
  <w:num w:numId="21">
    <w:abstractNumId w:val="14"/>
  </w:num>
  <w:num w:numId="22">
    <w:abstractNumId w:val="24"/>
  </w:num>
  <w:num w:numId="23">
    <w:abstractNumId w:val="12"/>
  </w:num>
  <w:num w:numId="24">
    <w:abstractNumId w:val="27"/>
  </w:num>
  <w:num w:numId="25">
    <w:abstractNumId w:val="20"/>
  </w:num>
  <w:num w:numId="26">
    <w:abstractNumId w:val="9"/>
  </w:num>
  <w:num w:numId="27">
    <w:abstractNumId w:val="31"/>
  </w:num>
  <w:num w:numId="28">
    <w:abstractNumId w:val="2"/>
  </w:num>
  <w:num w:numId="29">
    <w:abstractNumId w:val="0"/>
  </w:num>
  <w:num w:numId="30">
    <w:abstractNumId w:val="26"/>
  </w:num>
  <w:num w:numId="31">
    <w:abstractNumId w:val="23"/>
  </w:num>
  <w:num w:numId="32">
    <w:abstractNumId w:val="15"/>
  </w:num>
  <w:num w:numId="33">
    <w:abstractNumId w:val="32"/>
  </w:num>
  <w:num w:numId="34">
    <w:abstractNumId w:val="8"/>
  </w:num>
  <w:num w:numId="35">
    <w:abstractNumId w:val="6"/>
  </w:num>
  <w:num w:numId="36">
    <w:abstractNumId w:val="22"/>
  </w:num>
  <w:num w:numId="37">
    <w:abstractNumId w:val="10"/>
  </w:num>
  <w:num w:numId="38">
    <w:abstractNumId w:val="19"/>
  </w:num>
  <w:num w:numId="3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8B"/>
    <w:rsid w:val="000011C9"/>
    <w:rsid w:val="00001DA7"/>
    <w:rsid w:val="0000205B"/>
    <w:rsid w:val="00004A57"/>
    <w:rsid w:val="00004BAD"/>
    <w:rsid w:val="00005DFA"/>
    <w:rsid w:val="000073C4"/>
    <w:rsid w:val="00011747"/>
    <w:rsid w:val="00011F29"/>
    <w:rsid w:val="00011FAF"/>
    <w:rsid w:val="00011FBC"/>
    <w:rsid w:val="000128EA"/>
    <w:rsid w:val="00012CF0"/>
    <w:rsid w:val="0001370E"/>
    <w:rsid w:val="00013C4A"/>
    <w:rsid w:val="00013F02"/>
    <w:rsid w:val="00013FBF"/>
    <w:rsid w:val="000150D2"/>
    <w:rsid w:val="00016190"/>
    <w:rsid w:val="000162C2"/>
    <w:rsid w:val="00016C03"/>
    <w:rsid w:val="00017139"/>
    <w:rsid w:val="000208CD"/>
    <w:rsid w:val="00022EDC"/>
    <w:rsid w:val="000231A1"/>
    <w:rsid w:val="00024A66"/>
    <w:rsid w:val="000264A8"/>
    <w:rsid w:val="00026765"/>
    <w:rsid w:val="00026FBF"/>
    <w:rsid w:val="00032185"/>
    <w:rsid w:val="000335B3"/>
    <w:rsid w:val="000366AB"/>
    <w:rsid w:val="0003781E"/>
    <w:rsid w:val="00040466"/>
    <w:rsid w:val="00044E4D"/>
    <w:rsid w:val="00045D38"/>
    <w:rsid w:val="00046AB9"/>
    <w:rsid w:val="0004759D"/>
    <w:rsid w:val="00047715"/>
    <w:rsid w:val="00050696"/>
    <w:rsid w:val="0005088F"/>
    <w:rsid w:val="000513D3"/>
    <w:rsid w:val="00051C06"/>
    <w:rsid w:val="000532E2"/>
    <w:rsid w:val="0005376F"/>
    <w:rsid w:val="00054347"/>
    <w:rsid w:val="00054EAA"/>
    <w:rsid w:val="000560CE"/>
    <w:rsid w:val="00057537"/>
    <w:rsid w:val="0006088C"/>
    <w:rsid w:val="00062191"/>
    <w:rsid w:val="0006262C"/>
    <w:rsid w:val="00062797"/>
    <w:rsid w:val="00063068"/>
    <w:rsid w:val="00063070"/>
    <w:rsid w:val="00064716"/>
    <w:rsid w:val="00064EB2"/>
    <w:rsid w:val="0006552B"/>
    <w:rsid w:val="00065587"/>
    <w:rsid w:val="0006739F"/>
    <w:rsid w:val="00070B4D"/>
    <w:rsid w:val="00071697"/>
    <w:rsid w:val="00071F98"/>
    <w:rsid w:val="0007338B"/>
    <w:rsid w:val="00073750"/>
    <w:rsid w:val="00073B38"/>
    <w:rsid w:val="00073C76"/>
    <w:rsid w:val="00074154"/>
    <w:rsid w:val="0007494A"/>
    <w:rsid w:val="00080696"/>
    <w:rsid w:val="00081013"/>
    <w:rsid w:val="00084455"/>
    <w:rsid w:val="00084ADF"/>
    <w:rsid w:val="0009238A"/>
    <w:rsid w:val="00092D70"/>
    <w:rsid w:val="00093534"/>
    <w:rsid w:val="000946E5"/>
    <w:rsid w:val="000947A5"/>
    <w:rsid w:val="00094C93"/>
    <w:rsid w:val="00095F36"/>
    <w:rsid w:val="00096782"/>
    <w:rsid w:val="00096D3C"/>
    <w:rsid w:val="00097C38"/>
    <w:rsid w:val="000A0D10"/>
    <w:rsid w:val="000A115A"/>
    <w:rsid w:val="000A185C"/>
    <w:rsid w:val="000A1DED"/>
    <w:rsid w:val="000A351F"/>
    <w:rsid w:val="000A45DE"/>
    <w:rsid w:val="000A5112"/>
    <w:rsid w:val="000A590C"/>
    <w:rsid w:val="000A5F40"/>
    <w:rsid w:val="000A6678"/>
    <w:rsid w:val="000A7A32"/>
    <w:rsid w:val="000B093F"/>
    <w:rsid w:val="000B3610"/>
    <w:rsid w:val="000B4958"/>
    <w:rsid w:val="000B4DBE"/>
    <w:rsid w:val="000B5459"/>
    <w:rsid w:val="000B5934"/>
    <w:rsid w:val="000B6E06"/>
    <w:rsid w:val="000B736A"/>
    <w:rsid w:val="000B780C"/>
    <w:rsid w:val="000C0305"/>
    <w:rsid w:val="000C0AB1"/>
    <w:rsid w:val="000C0F85"/>
    <w:rsid w:val="000C2611"/>
    <w:rsid w:val="000C2992"/>
    <w:rsid w:val="000C2EEF"/>
    <w:rsid w:val="000C31F2"/>
    <w:rsid w:val="000C320A"/>
    <w:rsid w:val="000C4ABB"/>
    <w:rsid w:val="000C5503"/>
    <w:rsid w:val="000C6DFA"/>
    <w:rsid w:val="000D2DC9"/>
    <w:rsid w:val="000D3EA9"/>
    <w:rsid w:val="000D5111"/>
    <w:rsid w:val="000D6F6A"/>
    <w:rsid w:val="000E1995"/>
    <w:rsid w:val="000E1B86"/>
    <w:rsid w:val="000E1BF4"/>
    <w:rsid w:val="000E3419"/>
    <w:rsid w:val="000E34D9"/>
    <w:rsid w:val="000E540C"/>
    <w:rsid w:val="000E58A5"/>
    <w:rsid w:val="000E6085"/>
    <w:rsid w:val="000E6FC1"/>
    <w:rsid w:val="000E79A9"/>
    <w:rsid w:val="000F14BD"/>
    <w:rsid w:val="000F1B10"/>
    <w:rsid w:val="000F390A"/>
    <w:rsid w:val="000F3A39"/>
    <w:rsid w:val="000F4225"/>
    <w:rsid w:val="000F4D7C"/>
    <w:rsid w:val="000F6458"/>
    <w:rsid w:val="001008F9"/>
    <w:rsid w:val="001057C1"/>
    <w:rsid w:val="00105E81"/>
    <w:rsid w:val="00106A3E"/>
    <w:rsid w:val="00106CA9"/>
    <w:rsid w:val="00106D74"/>
    <w:rsid w:val="0010747E"/>
    <w:rsid w:val="00111132"/>
    <w:rsid w:val="00113AE4"/>
    <w:rsid w:val="0011474F"/>
    <w:rsid w:val="00114ECA"/>
    <w:rsid w:val="0011577B"/>
    <w:rsid w:val="00116549"/>
    <w:rsid w:val="001170EE"/>
    <w:rsid w:val="00121157"/>
    <w:rsid w:val="0012157E"/>
    <w:rsid w:val="00121F40"/>
    <w:rsid w:val="00122614"/>
    <w:rsid w:val="001228B4"/>
    <w:rsid w:val="001236B6"/>
    <w:rsid w:val="00123A27"/>
    <w:rsid w:val="001246FD"/>
    <w:rsid w:val="00126CF3"/>
    <w:rsid w:val="00127FAB"/>
    <w:rsid w:val="001302E7"/>
    <w:rsid w:val="001324B4"/>
    <w:rsid w:val="00133911"/>
    <w:rsid w:val="00133AE2"/>
    <w:rsid w:val="00134072"/>
    <w:rsid w:val="00136A23"/>
    <w:rsid w:val="00141992"/>
    <w:rsid w:val="00141F00"/>
    <w:rsid w:val="00143CF3"/>
    <w:rsid w:val="00144D5F"/>
    <w:rsid w:val="00145263"/>
    <w:rsid w:val="00145298"/>
    <w:rsid w:val="001468BB"/>
    <w:rsid w:val="0015063F"/>
    <w:rsid w:val="0015326F"/>
    <w:rsid w:val="001537BA"/>
    <w:rsid w:val="00154898"/>
    <w:rsid w:val="00155E74"/>
    <w:rsid w:val="00157EE0"/>
    <w:rsid w:val="0016071F"/>
    <w:rsid w:val="00161BC9"/>
    <w:rsid w:val="00162486"/>
    <w:rsid w:val="00162B33"/>
    <w:rsid w:val="001640E6"/>
    <w:rsid w:val="0016473F"/>
    <w:rsid w:val="001659CF"/>
    <w:rsid w:val="00166E58"/>
    <w:rsid w:val="00171711"/>
    <w:rsid w:val="001717EC"/>
    <w:rsid w:val="00171A9D"/>
    <w:rsid w:val="0017244F"/>
    <w:rsid w:val="00175DFB"/>
    <w:rsid w:val="001761AA"/>
    <w:rsid w:val="00176324"/>
    <w:rsid w:val="001809D0"/>
    <w:rsid w:val="001859B3"/>
    <w:rsid w:val="00186942"/>
    <w:rsid w:val="00186FEF"/>
    <w:rsid w:val="00187771"/>
    <w:rsid w:val="001877BA"/>
    <w:rsid w:val="00187CCB"/>
    <w:rsid w:val="00191686"/>
    <w:rsid w:val="0019269C"/>
    <w:rsid w:val="00193BB9"/>
    <w:rsid w:val="001957D2"/>
    <w:rsid w:val="001965CD"/>
    <w:rsid w:val="0019662A"/>
    <w:rsid w:val="00196C35"/>
    <w:rsid w:val="00197213"/>
    <w:rsid w:val="001A01D3"/>
    <w:rsid w:val="001A1219"/>
    <w:rsid w:val="001A16E4"/>
    <w:rsid w:val="001A246C"/>
    <w:rsid w:val="001A44E6"/>
    <w:rsid w:val="001A4582"/>
    <w:rsid w:val="001A4790"/>
    <w:rsid w:val="001B0334"/>
    <w:rsid w:val="001B100F"/>
    <w:rsid w:val="001B2878"/>
    <w:rsid w:val="001B2E5C"/>
    <w:rsid w:val="001B3C79"/>
    <w:rsid w:val="001B52E9"/>
    <w:rsid w:val="001B67DB"/>
    <w:rsid w:val="001B6D3D"/>
    <w:rsid w:val="001B6F19"/>
    <w:rsid w:val="001C13AC"/>
    <w:rsid w:val="001C2F60"/>
    <w:rsid w:val="001C4F56"/>
    <w:rsid w:val="001C5C86"/>
    <w:rsid w:val="001C5D0C"/>
    <w:rsid w:val="001C6534"/>
    <w:rsid w:val="001D0145"/>
    <w:rsid w:val="001D0F53"/>
    <w:rsid w:val="001D12DE"/>
    <w:rsid w:val="001D4708"/>
    <w:rsid w:val="001D4885"/>
    <w:rsid w:val="001D582A"/>
    <w:rsid w:val="001D68E2"/>
    <w:rsid w:val="001E0249"/>
    <w:rsid w:val="001E45FE"/>
    <w:rsid w:val="001F2F6C"/>
    <w:rsid w:val="001F3AED"/>
    <w:rsid w:val="001F4619"/>
    <w:rsid w:val="001F6E0F"/>
    <w:rsid w:val="00200517"/>
    <w:rsid w:val="00201AE8"/>
    <w:rsid w:val="00202261"/>
    <w:rsid w:val="0020423D"/>
    <w:rsid w:val="00205E1D"/>
    <w:rsid w:val="00206F7D"/>
    <w:rsid w:val="002072AA"/>
    <w:rsid w:val="002077F0"/>
    <w:rsid w:val="00207D72"/>
    <w:rsid w:val="002105B0"/>
    <w:rsid w:val="00210B34"/>
    <w:rsid w:val="00210EB2"/>
    <w:rsid w:val="00212377"/>
    <w:rsid w:val="002124BE"/>
    <w:rsid w:val="00213002"/>
    <w:rsid w:val="0021346A"/>
    <w:rsid w:val="00217176"/>
    <w:rsid w:val="00217468"/>
    <w:rsid w:val="00217F8D"/>
    <w:rsid w:val="0022030B"/>
    <w:rsid w:val="002212C1"/>
    <w:rsid w:val="002218A2"/>
    <w:rsid w:val="002252CC"/>
    <w:rsid w:val="00225C94"/>
    <w:rsid w:val="00225FFE"/>
    <w:rsid w:val="00227637"/>
    <w:rsid w:val="00230C53"/>
    <w:rsid w:val="00230FCD"/>
    <w:rsid w:val="00231E2F"/>
    <w:rsid w:val="00231F53"/>
    <w:rsid w:val="002324C2"/>
    <w:rsid w:val="00232866"/>
    <w:rsid w:val="00232FCC"/>
    <w:rsid w:val="002330D4"/>
    <w:rsid w:val="0023337F"/>
    <w:rsid w:val="0023643A"/>
    <w:rsid w:val="00236976"/>
    <w:rsid w:val="00237569"/>
    <w:rsid w:val="00240C2A"/>
    <w:rsid w:val="00241A35"/>
    <w:rsid w:val="00241BB3"/>
    <w:rsid w:val="00243F73"/>
    <w:rsid w:val="002443DA"/>
    <w:rsid w:val="00250130"/>
    <w:rsid w:val="00251A64"/>
    <w:rsid w:val="00252A96"/>
    <w:rsid w:val="002532BB"/>
    <w:rsid w:val="0025347B"/>
    <w:rsid w:val="00254861"/>
    <w:rsid w:val="00255F8F"/>
    <w:rsid w:val="002571D1"/>
    <w:rsid w:val="00262783"/>
    <w:rsid w:val="002647CD"/>
    <w:rsid w:val="00265007"/>
    <w:rsid w:val="002660AE"/>
    <w:rsid w:val="002676AB"/>
    <w:rsid w:val="0027008E"/>
    <w:rsid w:val="002700B5"/>
    <w:rsid w:val="0027103B"/>
    <w:rsid w:val="0027118E"/>
    <w:rsid w:val="00272C89"/>
    <w:rsid w:val="00272CB1"/>
    <w:rsid w:val="002750CE"/>
    <w:rsid w:val="00275354"/>
    <w:rsid w:val="00275DFE"/>
    <w:rsid w:val="00276C98"/>
    <w:rsid w:val="002823A0"/>
    <w:rsid w:val="0028359A"/>
    <w:rsid w:val="00283D57"/>
    <w:rsid w:val="0028518C"/>
    <w:rsid w:val="0028551D"/>
    <w:rsid w:val="00286C73"/>
    <w:rsid w:val="00290A23"/>
    <w:rsid w:val="002920A8"/>
    <w:rsid w:val="00292116"/>
    <w:rsid w:val="00295D0E"/>
    <w:rsid w:val="00296A23"/>
    <w:rsid w:val="00297BBA"/>
    <w:rsid w:val="002A10CA"/>
    <w:rsid w:val="002A4032"/>
    <w:rsid w:val="002A4AC1"/>
    <w:rsid w:val="002A53A7"/>
    <w:rsid w:val="002A57D6"/>
    <w:rsid w:val="002B1792"/>
    <w:rsid w:val="002B4CA9"/>
    <w:rsid w:val="002B7A81"/>
    <w:rsid w:val="002C057A"/>
    <w:rsid w:val="002C0DE9"/>
    <w:rsid w:val="002C1325"/>
    <w:rsid w:val="002C1BB2"/>
    <w:rsid w:val="002C2B00"/>
    <w:rsid w:val="002C3190"/>
    <w:rsid w:val="002C5B22"/>
    <w:rsid w:val="002C5F3B"/>
    <w:rsid w:val="002C72EC"/>
    <w:rsid w:val="002D22E9"/>
    <w:rsid w:val="002D2CE0"/>
    <w:rsid w:val="002D573F"/>
    <w:rsid w:val="002E0BE7"/>
    <w:rsid w:val="002E1499"/>
    <w:rsid w:val="002E1ACE"/>
    <w:rsid w:val="002E1D03"/>
    <w:rsid w:val="002E1FAF"/>
    <w:rsid w:val="002E3233"/>
    <w:rsid w:val="002E3804"/>
    <w:rsid w:val="002E43BC"/>
    <w:rsid w:val="002E5DB2"/>
    <w:rsid w:val="002E7983"/>
    <w:rsid w:val="002F00A9"/>
    <w:rsid w:val="002F01A2"/>
    <w:rsid w:val="002F02F8"/>
    <w:rsid w:val="002F0592"/>
    <w:rsid w:val="002F0789"/>
    <w:rsid w:val="002F08E2"/>
    <w:rsid w:val="002F1E6B"/>
    <w:rsid w:val="002F2ADE"/>
    <w:rsid w:val="002F2D82"/>
    <w:rsid w:val="002F33E3"/>
    <w:rsid w:val="002F50A4"/>
    <w:rsid w:val="00300385"/>
    <w:rsid w:val="0030080B"/>
    <w:rsid w:val="0030242F"/>
    <w:rsid w:val="00302595"/>
    <w:rsid w:val="00302956"/>
    <w:rsid w:val="00304046"/>
    <w:rsid w:val="0030433D"/>
    <w:rsid w:val="003063A4"/>
    <w:rsid w:val="00306464"/>
    <w:rsid w:val="003068A5"/>
    <w:rsid w:val="00307837"/>
    <w:rsid w:val="00310419"/>
    <w:rsid w:val="00310C20"/>
    <w:rsid w:val="00310E41"/>
    <w:rsid w:val="00311A87"/>
    <w:rsid w:val="003126E2"/>
    <w:rsid w:val="00312DA5"/>
    <w:rsid w:val="0031427E"/>
    <w:rsid w:val="0031467D"/>
    <w:rsid w:val="00315834"/>
    <w:rsid w:val="0031595D"/>
    <w:rsid w:val="00316728"/>
    <w:rsid w:val="003173E1"/>
    <w:rsid w:val="003175AE"/>
    <w:rsid w:val="00320E59"/>
    <w:rsid w:val="00320FE0"/>
    <w:rsid w:val="00321301"/>
    <w:rsid w:val="00322038"/>
    <w:rsid w:val="003225CA"/>
    <w:rsid w:val="00322E77"/>
    <w:rsid w:val="00323573"/>
    <w:rsid w:val="003235CD"/>
    <w:rsid w:val="003251A4"/>
    <w:rsid w:val="003269D0"/>
    <w:rsid w:val="00326AC7"/>
    <w:rsid w:val="003274A2"/>
    <w:rsid w:val="00327764"/>
    <w:rsid w:val="00327B67"/>
    <w:rsid w:val="00327ED8"/>
    <w:rsid w:val="00330A88"/>
    <w:rsid w:val="00330CA6"/>
    <w:rsid w:val="00331078"/>
    <w:rsid w:val="003316E2"/>
    <w:rsid w:val="00334D68"/>
    <w:rsid w:val="003363BC"/>
    <w:rsid w:val="00336C26"/>
    <w:rsid w:val="00336E65"/>
    <w:rsid w:val="00337553"/>
    <w:rsid w:val="003378B2"/>
    <w:rsid w:val="0034077C"/>
    <w:rsid w:val="003423B9"/>
    <w:rsid w:val="0034377B"/>
    <w:rsid w:val="00344821"/>
    <w:rsid w:val="00344A29"/>
    <w:rsid w:val="00345E3E"/>
    <w:rsid w:val="00345E40"/>
    <w:rsid w:val="00346482"/>
    <w:rsid w:val="00350473"/>
    <w:rsid w:val="00350966"/>
    <w:rsid w:val="0035228F"/>
    <w:rsid w:val="003535A6"/>
    <w:rsid w:val="00354058"/>
    <w:rsid w:val="003545E4"/>
    <w:rsid w:val="0035564B"/>
    <w:rsid w:val="0036089B"/>
    <w:rsid w:val="003624A2"/>
    <w:rsid w:val="00362D00"/>
    <w:rsid w:val="00362E96"/>
    <w:rsid w:val="00362F24"/>
    <w:rsid w:val="00364493"/>
    <w:rsid w:val="003667E2"/>
    <w:rsid w:val="003671D0"/>
    <w:rsid w:val="0037363A"/>
    <w:rsid w:val="003741A0"/>
    <w:rsid w:val="00377A85"/>
    <w:rsid w:val="003815F1"/>
    <w:rsid w:val="003824C3"/>
    <w:rsid w:val="00382C57"/>
    <w:rsid w:val="0038305D"/>
    <w:rsid w:val="003854D9"/>
    <w:rsid w:val="0038587C"/>
    <w:rsid w:val="00385BFA"/>
    <w:rsid w:val="003861B8"/>
    <w:rsid w:val="003862E9"/>
    <w:rsid w:val="00386BF0"/>
    <w:rsid w:val="0038762D"/>
    <w:rsid w:val="0039029E"/>
    <w:rsid w:val="00391521"/>
    <w:rsid w:val="00391CFF"/>
    <w:rsid w:val="00391D75"/>
    <w:rsid w:val="00392279"/>
    <w:rsid w:val="003931ED"/>
    <w:rsid w:val="00393789"/>
    <w:rsid w:val="003938D8"/>
    <w:rsid w:val="00396183"/>
    <w:rsid w:val="00396CF3"/>
    <w:rsid w:val="00397EB9"/>
    <w:rsid w:val="003A0062"/>
    <w:rsid w:val="003A0732"/>
    <w:rsid w:val="003A1E00"/>
    <w:rsid w:val="003A24EC"/>
    <w:rsid w:val="003A28D5"/>
    <w:rsid w:val="003A3083"/>
    <w:rsid w:val="003A6829"/>
    <w:rsid w:val="003B0254"/>
    <w:rsid w:val="003B14C7"/>
    <w:rsid w:val="003B1A9D"/>
    <w:rsid w:val="003B2384"/>
    <w:rsid w:val="003B2D27"/>
    <w:rsid w:val="003B4ACD"/>
    <w:rsid w:val="003B5EAD"/>
    <w:rsid w:val="003B6112"/>
    <w:rsid w:val="003B6A2B"/>
    <w:rsid w:val="003B70B3"/>
    <w:rsid w:val="003C1E49"/>
    <w:rsid w:val="003C2DDB"/>
    <w:rsid w:val="003C32A9"/>
    <w:rsid w:val="003C4F33"/>
    <w:rsid w:val="003C5ADD"/>
    <w:rsid w:val="003C6D5D"/>
    <w:rsid w:val="003C7031"/>
    <w:rsid w:val="003C731A"/>
    <w:rsid w:val="003D0372"/>
    <w:rsid w:val="003D0572"/>
    <w:rsid w:val="003D2D52"/>
    <w:rsid w:val="003D2F96"/>
    <w:rsid w:val="003D3EB2"/>
    <w:rsid w:val="003D3F42"/>
    <w:rsid w:val="003D442F"/>
    <w:rsid w:val="003D5726"/>
    <w:rsid w:val="003D5858"/>
    <w:rsid w:val="003D67A4"/>
    <w:rsid w:val="003D69D6"/>
    <w:rsid w:val="003D748C"/>
    <w:rsid w:val="003D7D98"/>
    <w:rsid w:val="003E1311"/>
    <w:rsid w:val="003E2063"/>
    <w:rsid w:val="003E288D"/>
    <w:rsid w:val="003E290B"/>
    <w:rsid w:val="003E6131"/>
    <w:rsid w:val="003E72DB"/>
    <w:rsid w:val="003E7928"/>
    <w:rsid w:val="003F05BF"/>
    <w:rsid w:val="003F0B32"/>
    <w:rsid w:val="003F1343"/>
    <w:rsid w:val="003F269B"/>
    <w:rsid w:val="003F56C4"/>
    <w:rsid w:val="003F5FAF"/>
    <w:rsid w:val="004007A3"/>
    <w:rsid w:val="004019B7"/>
    <w:rsid w:val="00401A3F"/>
    <w:rsid w:val="0040486D"/>
    <w:rsid w:val="00405FE9"/>
    <w:rsid w:val="0041051D"/>
    <w:rsid w:val="00411580"/>
    <w:rsid w:val="00411F04"/>
    <w:rsid w:val="0041251F"/>
    <w:rsid w:val="00414927"/>
    <w:rsid w:val="00414EF9"/>
    <w:rsid w:val="0041514E"/>
    <w:rsid w:val="004160E6"/>
    <w:rsid w:val="00417630"/>
    <w:rsid w:val="004176DC"/>
    <w:rsid w:val="00417AEB"/>
    <w:rsid w:val="00417F70"/>
    <w:rsid w:val="00420CD7"/>
    <w:rsid w:val="00421A5A"/>
    <w:rsid w:val="004225FF"/>
    <w:rsid w:val="0042353B"/>
    <w:rsid w:val="00423A98"/>
    <w:rsid w:val="0042628B"/>
    <w:rsid w:val="00427206"/>
    <w:rsid w:val="00427669"/>
    <w:rsid w:val="0043065E"/>
    <w:rsid w:val="00436A7D"/>
    <w:rsid w:val="00436C73"/>
    <w:rsid w:val="00437074"/>
    <w:rsid w:val="00437AB3"/>
    <w:rsid w:val="00440A3B"/>
    <w:rsid w:val="00441045"/>
    <w:rsid w:val="00441A22"/>
    <w:rsid w:val="004433C4"/>
    <w:rsid w:val="00443694"/>
    <w:rsid w:val="004440B8"/>
    <w:rsid w:val="00444F98"/>
    <w:rsid w:val="00445A03"/>
    <w:rsid w:val="00446F02"/>
    <w:rsid w:val="004504A2"/>
    <w:rsid w:val="004512B1"/>
    <w:rsid w:val="00451CC4"/>
    <w:rsid w:val="00451DFA"/>
    <w:rsid w:val="00452503"/>
    <w:rsid w:val="00452D5A"/>
    <w:rsid w:val="0045422B"/>
    <w:rsid w:val="00454775"/>
    <w:rsid w:val="00457C90"/>
    <w:rsid w:val="004619C8"/>
    <w:rsid w:val="00461A1D"/>
    <w:rsid w:val="00463232"/>
    <w:rsid w:val="00464FF4"/>
    <w:rsid w:val="00465BC1"/>
    <w:rsid w:val="00465F1B"/>
    <w:rsid w:val="00466361"/>
    <w:rsid w:val="00467187"/>
    <w:rsid w:val="004677F5"/>
    <w:rsid w:val="004700A6"/>
    <w:rsid w:val="0047029E"/>
    <w:rsid w:val="00472B4C"/>
    <w:rsid w:val="00473852"/>
    <w:rsid w:val="004749A3"/>
    <w:rsid w:val="0048197E"/>
    <w:rsid w:val="00483026"/>
    <w:rsid w:val="00485EA7"/>
    <w:rsid w:val="0048659D"/>
    <w:rsid w:val="0048793F"/>
    <w:rsid w:val="00487C84"/>
    <w:rsid w:val="00490469"/>
    <w:rsid w:val="004916B6"/>
    <w:rsid w:val="0049525C"/>
    <w:rsid w:val="00495CE4"/>
    <w:rsid w:val="00495FBB"/>
    <w:rsid w:val="004A1366"/>
    <w:rsid w:val="004A238E"/>
    <w:rsid w:val="004A280A"/>
    <w:rsid w:val="004A2F93"/>
    <w:rsid w:val="004A332A"/>
    <w:rsid w:val="004A36E7"/>
    <w:rsid w:val="004A787D"/>
    <w:rsid w:val="004A7FD3"/>
    <w:rsid w:val="004B0566"/>
    <w:rsid w:val="004B19AD"/>
    <w:rsid w:val="004B3961"/>
    <w:rsid w:val="004B3AC9"/>
    <w:rsid w:val="004B47E2"/>
    <w:rsid w:val="004B762E"/>
    <w:rsid w:val="004B78ED"/>
    <w:rsid w:val="004C0453"/>
    <w:rsid w:val="004C1904"/>
    <w:rsid w:val="004C22DB"/>
    <w:rsid w:val="004C2805"/>
    <w:rsid w:val="004C2848"/>
    <w:rsid w:val="004C554F"/>
    <w:rsid w:val="004C567E"/>
    <w:rsid w:val="004C5B63"/>
    <w:rsid w:val="004C5E57"/>
    <w:rsid w:val="004C6252"/>
    <w:rsid w:val="004C720A"/>
    <w:rsid w:val="004C7C5D"/>
    <w:rsid w:val="004C7D42"/>
    <w:rsid w:val="004C7FC0"/>
    <w:rsid w:val="004D1FB7"/>
    <w:rsid w:val="004D2ADC"/>
    <w:rsid w:val="004D2B67"/>
    <w:rsid w:val="004D4429"/>
    <w:rsid w:val="004D697F"/>
    <w:rsid w:val="004D7C30"/>
    <w:rsid w:val="004E04AA"/>
    <w:rsid w:val="004E0900"/>
    <w:rsid w:val="004E0F96"/>
    <w:rsid w:val="004E2743"/>
    <w:rsid w:val="004E29AF"/>
    <w:rsid w:val="004E2F8E"/>
    <w:rsid w:val="004E3BF5"/>
    <w:rsid w:val="004E6188"/>
    <w:rsid w:val="004E65A1"/>
    <w:rsid w:val="004E6ABA"/>
    <w:rsid w:val="004E6B77"/>
    <w:rsid w:val="004E7F14"/>
    <w:rsid w:val="004F0251"/>
    <w:rsid w:val="004F0956"/>
    <w:rsid w:val="004F1DCD"/>
    <w:rsid w:val="004F2982"/>
    <w:rsid w:val="004F3055"/>
    <w:rsid w:val="004F39E3"/>
    <w:rsid w:val="004F4888"/>
    <w:rsid w:val="004F4EFE"/>
    <w:rsid w:val="004F5425"/>
    <w:rsid w:val="004F5AEB"/>
    <w:rsid w:val="00500BDF"/>
    <w:rsid w:val="00501919"/>
    <w:rsid w:val="005028BA"/>
    <w:rsid w:val="00502CFB"/>
    <w:rsid w:val="00502D0D"/>
    <w:rsid w:val="00504595"/>
    <w:rsid w:val="005061C4"/>
    <w:rsid w:val="00506AE4"/>
    <w:rsid w:val="00506F31"/>
    <w:rsid w:val="00507111"/>
    <w:rsid w:val="00512469"/>
    <w:rsid w:val="005129CE"/>
    <w:rsid w:val="00514EDE"/>
    <w:rsid w:val="005151C2"/>
    <w:rsid w:val="005157FE"/>
    <w:rsid w:val="005159EF"/>
    <w:rsid w:val="00515D6E"/>
    <w:rsid w:val="00515E4E"/>
    <w:rsid w:val="00515ECE"/>
    <w:rsid w:val="00516F67"/>
    <w:rsid w:val="00520A99"/>
    <w:rsid w:val="00520C95"/>
    <w:rsid w:val="00521426"/>
    <w:rsid w:val="00521E7F"/>
    <w:rsid w:val="00521F92"/>
    <w:rsid w:val="00524C1D"/>
    <w:rsid w:val="00525E5A"/>
    <w:rsid w:val="0053275A"/>
    <w:rsid w:val="00532959"/>
    <w:rsid w:val="00533A15"/>
    <w:rsid w:val="00533F0C"/>
    <w:rsid w:val="00536B7D"/>
    <w:rsid w:val="005408E4"/>
    <w:rsid w:val="0054348A"/>
    <w:rsid w:val="0054469C"/>
    <w:rsid w:val="00546526"/>
    <w:rsid w:val="00546D77"/>
    <w:rsid w:val="00550913"/>
    <w:rsid w:val="00551E22"/>
    <w:rsid w:val="0055331C"/>
    <w:rsid w:val="00553EE5"/>
    <w:rsid w:val="00554669"/>
    <w:rsid w:val="00555C4D"/>
    <w:rsid w:val="00556386"/>
    <w:rsid w:val="005601B9"/>
    <w:rsid w:val="005609AC"/>
    <w:rsid w:val="00561D31"/>
    <w:rsid w:val="00562105"/>
    <w:rsid w:val="00563ED6"/>
    <w:rsid w:val="005648B0"/>
    <w:rsid w:val="00564A7E"/>
    <w:rsid w:val="0056615C"/>
    <w:rsid w:val="00566FC0"/>
    <w:rsid w:val="00567960"/>
    <w:rsid w:val="00570BEF"/>
    <w:rsid w:val="00572045"/>
    <w:rsid w:val="005724CC"/>
    <w:rsid w:val="00573378"/>
    <w:rsid w:val="00573C03"/>
    <w:rsid w:val="00574520"/>
    <w:rsid w:val="005750A3"/>
    <w:rsid w:val="00580125"/>
    <w:rsid w:val="005808C9"/>
    <w:rsid w:val="00583EA6"/>
    <w:rsid w:val="00584304"/>
    <w:rsid w:val="005844CE"/>
    <w:rsid w:val="00584F25"/>
    <w:rsid w:val="00584F9C"/>
    <w:rsid w:val="00590582"/>
    <w:rsid w:val="00591305"/>
    <w:rsid w:val="0059163D"/>
    <w:rsid w:val="005916E9"/>
    <w:rsid w:val="005930E7"/>
    <w:rsid w:val="00593621"/>
    <w:rsid w:val="00593CBD"/>
    <w:rsid w:val="00593EF8"/>
    <w:rsid w:val="005962B0"/>
    <w:rsid w:val="005A18AD"/>
    <w:rsid w:val="005A23F1"/>
    <w:rsid w:val="005A2BDA"/>
    <w:rsid w:val="005A2DE6"/>
    <w:rsid w:val="005A31A7"/>
    <w:rsid w:val="005A4188"/>
    <w:rsid w:val="005A5739"/>
    <w:rsid w:val="005A6DC5"/>
    <w:rsid w:val="005A736C"/>
    <w:rsid w:val="005A7476"/>
    <w:rsid w:val="005A7ECE"/>
    <w:rsid w:val="005B4527"/>
    <w:rsid w:val="005B658D"/>
    <w:rsid w:val="005B6CED"/>
    <w:rsid w:val="005B756A"/>
    <w:rsid w:val="005B76D7"/>
    <w:rsid w:val="005B792C"/>
    <w:rsid w:val="005C09D0"/>
    <w:rsid w:val="005C25F7"/>
    <w:rsid w:val="005C2D99"/>
    <w:rsid w:val="005C7DDF"/>
    <w:rsid w:val="005D0E5C"/>
    <w:rsid w:val="005D0FDC"/>
    <w:rsid w:val="005D12E6"/>
    <w:rsid w:val="005D23B7"/>
    <w:rsid w:val="005D2DEA"/>
    <w:rsid w:val="005D3058"/>
    <w:rsid w:val="005D3993"/>
    <w:rsid w:val="005D5AE0"/>
    <w:rsid w:val="005E027A"/>
    <w:rsid w:val="005E1530"/>
    <w:rsid w:val="005E3D5E"/>
    <w:rsid w:val="005E45A1"/>
    <w:rsid w:val="005E4F60"/>
    <w:rsid w:val="005E50E3"/>
    <w:rsid w:val="005E7842"/>
    <w:rsid w:val="005F4008"/>
    <w:rsid w:val="005F5016"/>
    <w:rsid w:val="005F5376"/>
    <w:rsid w:val="005F5D89"/>
    <w:rsid w:val="005F61BF"/>
    <w:rsid w:val="005F750F"/>
    <w:rsid w:val="005F7C69"/>
    <w:rsid w:val="00601410"/>
    <w:rsid w:val="00603231"/>
    <w:rsid w:val="00604217"/>
    <w:rsid w:val="006043D7"/>
    <w:rsid w:val="00604AA1"/>
    <w:rsid w:val="00605583"/>
    <w:rsid w:val="00605F49"/>
    <w:rsid w:val="0060677A"/>
    <w:rsid w:val="00606A0B"/>
    <w:rsid w:val="0060734C"/>
    <w:rsid w:val="0061012F"/>
    <w:rsid w:val="00611679"/>
    <w:rsid w:val="00612CF9"/>
    <w:rsid w:val="00613BBE"/>
    <w:rsid w:val="00617132"/>
    <w:rsid w:val="0061715E"/>
    <w:rsid w:val="0062041B"/>
    <w:rsid w:val="006206E6"/>
    <w:rsid w:val="00620716"/>
    <w:rsid w:val="006209F1"/>
    <w:rsid w:val="00621C99"/>
    <w:rsid w:val="00622704"/>
    <w:rsid w:val="00622ED4"/>
    <w:rsid w:val="00623BCB"/>
    <w:rsid w:val="00623D40"/>
    <w:rsid w:val="00624125"/>
    <w:rsid w:val="00624219"/>
    <w:rsid w:val="006256C4"/>
    <w:rsid w:val="00626142"/>
    <w:rsid w:val="006265B4"/>
    <w:rsid w:val="00626EA9"/>
    <w:rsid w:val="00627136"/>
    <w:rsid w:val="00627AF2"/>
    <w:rsid w:val="006308E9"/>
    <w:rsid w:val="00630FD1"/>
    <w:rsid w:val="006327E1"/>
    <w:rsid w:val="006330B7"/>
    <w:rsid w:val="00633F75"/>
    <w:rsid w:val="006344B6"/>
    <w:rsid w:val="0063480C"/>
    <w:rsid w:val="00635396"/>
    <w:rsid w:val="00637856"/>
    <w:rsid w:val="00637DE1"/>
    <w:rsid w:val="0064047F"/>
    <w:rsid w:val="0064071C"/>
    <w:rsid w:val="006422BC"/>
    <w:rsid w:val="0064259C"/>
    <w:rsid w:val="00644A5A"/>
    <w:rsid w:val="00646426"/>
    <w:rsid w:val="00646850"/>
    <w:rsid w:val="006479F8"/>
    <w:rsid w:val="006502CC"/>
    <w:rsid w:val="006526DD"/>
    <w:rsid w:val="00652B57"/>
    <w:rsid w:val="00654445"/>
    <w:rsid w:val="0065544B"/>
    <w:rsid w:val="006555C8"/>
    <w:rsid w:val="00655C97"/>
    <w:rsid w:val="00657330"/>
    <w:rsid w:val="00657848"/>
    <w:rsid w:val="00660D79"/>
    <w:rsid w:val="00661C5A"/>
    <w:rsid w:val="0066209A"/>
    <w:rsid w:val="006623CA"/>
    <w:rsid w:val="006638C6"/>
    <w:rsid w:val="006642D3"/>
    <w:rsid w:val="006645C4"/>
    <w:rsid w:val="006657D9"/>
    <w:rsid w:val="00666AC5"/>
    <w:rsid w:val="00666D69"/>
    <w:rsid w:val="0067002B"/>
    <w:rsid w:val="006710F9"/>
    <w:rsid w:val="00673CF2"/>
    <w:rsid w:val="00673D68"/>
    <w:rsid w:val="00673E40"/>
    <w:rsid w:val="006764F1"/>
    <w:rsid w:val="00684F89"/>
    <w:rsid w:val="00685979"/>
    <w:rsid w:val="0068624F"/>
    <w:rsid w:val="006917B6"/>
    <w:rsid w:val="006928AA"/>
    <w:rsid w:val="006933A1"/>
    <w:rsid w:val="006937BA"/>
    <w:rsid w:val="00693AA3"/>
    <w:rsid w:val="006960A5"/>
    <w:rsid w:val="006A1104"/>
    <w:rsid w:val="006A16BA"/>
    <w:rsid w:val="006A2319"/>
    <w:rsid w:val="006A24B5"/>
    <w:rsid w:val="006A2DC6"/>
    <w:rsid w:val="006A32E5"/>
    <w:rsid w:val="006A3F6C"/>
    <w:rsid w:val="006A4463"/>
    <w:rsid w:val="006A6F01"/>
    <w:rsid w:val="006A71F9"/>
    <w:rsid w:val="006A7762"/>
    <w:rsid w:val="006A79CF"/>
    <w:rsid w:val="006A7AE1"/>
    <w:rsid w:val="006B030F"/>
    <w:rsid w:val="006B09CA"/>
    <w:rsid w:val="006B0F00"/>
    <w:rsid w:val="006B2B28"/>
    <w:rsid w:val="006B35C7"/>
    <w:rsid w:val="006B4392"/>
    <w:rsid w:val="006B4BA1"/>
    <w:rsid w:val="006B6FC6"/>
    <w:rsid w:val="006B779F"/>
    <w:rsid w:val="006C1B36"/>
    <w:rsid w:val="006C1E41"/>
    <w:rsid w:val="006C49CE"/>
    <w:rsid w:val="006C5F5A"/>
    <w:rsid w:val="006C6FAE"/>
    <w:rsid w:val="006C7386"/>
    <w:rsid w:val="006D07B7"/>
    <w:rsid w:val="006D08AC"/>
    <w:rsid w:val="006D24B1"/>
    <w:rsid w:val="006D32EC"/>
    <w:rsid w:val="006D6139"/>
    <w:rsid w:val="006D6A0F"/>
    <w:rsid w:val="006D6DF7"/>
    <w:rsid w:val="006D74D3"/>
    <w:rsid w:val="006D77B4"/>
    <w:rsid w:val="006E0CA6"/>
    <w:rsid w:val="006E3788"/>
    <w:rsid w:val="006E395C"/>
    <w:rsid w:val="006E3C75"/>
    <w:rsid w:val="006E40EA"/>
    <w:rsid w:val="006E4870"/>
    <w:rsid w:val="006E5254"/>
    <w:rsid w:val="006E58F4"/>
    <w:rsid w:val="006E72F6"/>
    <w:rsid w:val="006E76D8"/>
    <w:rsid w:val="006E7908"/>
    <w:rsid w:val="006F2E1E"/>
    <w:rsid w:val="006F3652"/>
    <w:rsid w:val="006F6870"/>
    <w:rsid w:val="006F7444"/>
    <w:rsid w:val="00700B7F"/>
    <w:rsid w:val="00700CB1"/>
    <w:rsid w:val="0070416C"/>
    <w:rsid w:val="00704C37"/>
    <w:rsid w:val="007077E5"/>
    <w:rsid w:val="00710A2A"/>
    <w:rsid w:val="0071276F"/>
    <w:rsid w:val="007127B7"/>
    <w:rsid w:val="00712C68"/>
    <w:rsid w:val="00712EB0"/>
    <w:rsid w:val="00713CCF"/>
    <w:rsid w:val="00713D3F"/>
    <w:rsid w:val="0071452B"/>
    <w:rsid w:val="00715016"/>
    <w:rsid w:val="007167F8"/>
    <w:rsid w:val="00717EF5"/>
    <w:rsid w:val="00720A91"/>
    <w:rsid w:val="00722391"/>
    <w:rsid w:val="00723CDF"/>
    <w:rsid w:val="007258E2"/>
    <w:rsid w:val="00725DF8"/>
    <w:rsid w:val="007260B9"/>
    <w:rsid w:val="00726FF3"/>
    <w:rsid w:val="00727B4B"/>
    <w:rsid w:val="0073080F"/>
    <w:rsid w:val="00731423"/>
    <w:rsid w:val="00731BCB"/>
    <w:rsid w:val="0073363C"/>
    <w:rsid w:val="007349BF"/>
    <w:rsid w:val="00736A7D"/>
    <w:rsid w:val="007406B5"/>
    <w:rsid w:val="00740861"/>
    <w:rsid w:val="00741B8D"/>
    <w:rsid w:val="00741CEC"/>
    <w:rsid w:val="00742AF4"/>
    <w:rsid w:val="007438AE"/>
    <w:rsid w:val="007446AC"/>
    <w:rsid w:val="0074632D"/>
    <w:rsid w:val="0074642B"/>
    <w:rsid w:val="0074645E"/>
    <w:rsid w:val="00746AFF"/>
    <w:rsid w:val="00751273"/>
    <w:rsid w:val="00752DA9"/>
    <w:rsid w:val="0075302B"/>
    <w:rsid w:val="00753185"/>
    <w:rsid w:val="007534E5"/>
    <w:rsid w:val="007538E6"/>
    <w:rsid w:val="00753EFC"/>
    <w:rsid w:val="007561B1"/>
    <w:rsid w:val="00762725"/>
    <w:rsid w:val="007631D6"/>
    <w:rsid w:val="007648E3"/>
    <w:rsid w:val="00764AA4"/>
    <w:rsid w:val="00765266"/>
    <w:rsid w:val="0076545B"/>
    <w:rsid w:val="007658DA"/>
    <w:rsid w:val="007664C8"/>
    <w:rsid w:val="00766860"/>
    <w:rsid w:val="007668D5"/>
    <w:rsid w:val="00767F90"/>
    <w:rsid w:val="00770B4D"/>
    <w:rsid w:val="00770EDF"/>
    <w:rsid w:val="007741DC"/>
    <w:rsid w:val="00777CAA"/>
    <w:rsid w:val="007810F8"/>
    <w:rsid w:val="0078112D"/>
    <w:rsid w:val="007819D4"/>
    <w:rsid w:val="00781BC7"/>
    <w:rsid w:val="00786275"/>
    <w:rsid w:val="0078670C"/>
    <w:rsid w:val="00786BA5"/>
    <w:rsid w:val="00787BEB"/>
    <w:rsid w:val="0079022F"/>
    <w:rsid w:val="00791231"/>
    <w:rsid w:val="0079140A"/>
    <w:rsid w:val="007929DF"/>
    <w:rsid w:val="00792B8B"/>
    <w:rsid w:val="00793291"/>
    <w:rsid w:val="007936C0"/>
    <w:rsid w:val="00793A20"/>
    <w:rsid w:val="007950DA"/>
    <w:rsid w:val="00795352"/>
    <w:rsid w:val="00795CF3"/>
    <w:rsid w:val="00796660"/>
    <w:rsid w:val="00796E9F"/>
    <w:rsid w:val="00797951"/>
    <w:rsid w:val="007A2657"/>
    <w:rsid w:val="007A3761"/>
    <w:rsid w:val="007A3A0F"/>
    <w:rsid w:val="007A42B0"/>
    <w:rsid w:val="007A5D51"/>
    <w:rsid w:val="007A6A55"/>
    <w:rsid w:val="007B02BB"/>
    <w:rsid w:val="007B036B"/>
    <w:rsid w:val="007B0D58"/>
    <w:rsid w:val="007B0E33"/>
    <w:rsid w:val="007B19BE"/>
    <w:rsid w:val="007B68E1"/>
    <w:rsid w:val="007B6CD7"/>
    <w:rsid w:val="007B7810"/>
    <w:rsid w:val="007B7D63"/>
    <w:rsid w:val="007C0594"/>
    <w:rsid w:val="007C10CA"/>
    <w:rsid w:val="007C52F6"/>
    <w:rsid w:val="007C59FD"/>
    <w:rsid w:val="007C6701"/>
    <w:rsid w:val="007D0FC6"/>
    <w:rsid w:val="007D14D3"/>
    <w:rsid w:val="007D17A3"/>
    <w:rsid w:val="007D1BB0"/>
    <w:rsid w:val="007D26F3"/>
    <w:rsid w:val="007D38EC"/>
    <w:rsid w:val="007D4AE0"/>
    <w:rsid w:val="007D5F69"/>
    <w:rsid w:val="007D6364"/>
    <w:rsid w:val="007D6787"/>
    <w:rsid w:val="007D74DD"/>
    <w:rsid w:val="007D7F60"/>
    <w:rsid w:val="007E0EA3"/>
    <w:rsid w:val="007E0F98"/>
    <w:rsid w:val="007E102C"/>
    <w:rsid w:val="007E1D57"/>
    <w:rsid w:val="007E1ED4"/>
    <w:rsid w:val="007E22A1"/>
    <w:rsid w:val="007E25E7"/>
    <w:rsid w:val="007E447D"/>
    <w:rsid w:val="007E5704"/>
    <w:rsid w:val="007E7AC9"/>
    <w:rsid w:val="007E7B2D"/>
    <w:rsid w:val="007F47C8"/>
    <w:rsid w:val="007F4A3F"/>
    <w:rsid w:val="007F706F"/>
    <w:rsid w:val="007F77F1"/>
    <w:rsid w:val="0080059E"/>
    <w:rsid w:val="00801B78"/>
    <w:rsid w:val="008039FD"/>
    <w:rsid w:val="00803C0C"/>
    <w:rsid w:val="008057E5"/>
    <w:rsid w:val="00806DCD"/>
    <w:rsid w:val="00807745"/>
    <w:rsid w:val="00807AB1"/>
    <w:rsid w:val="00810F5E"/>
    <w:rsid w:val="0081271B"/>
    <w:rsid w:val="00813859"/>
    <w:rsid w:val="00813FC6"/>
    <w:rsid w:val="00814075"/>
    <w:rsid w:val="00814477"/>
    <w:rsid w:val="00815101"/>
    <w:rsid w:val="008154C9"/>
    <w:rsid w:val="00816461"/>
    <w:rsid w:val="00817347"/>
    <w:rsid w:val="00821C7B"/>
    <w:rsid w:val="00825A39"/>
    <w:rsid w:val="00825D4F"/>
    <w:rsid w:val="0082753E"/>
    <w:rsid w:val="00830640"/>
    <w:rsid w:val="00830F95"/>
    <w:rsid w:val="00832FE1"/>
    <w:rsid w:val="00833E57"/>
    <w:rsid w:val="00834866"/>
    <w:rsid w:val="00836B94"/>
    <w:rsid w:val="00836FBB"/>
    <w:rsid w:val="00840707"/>
    <w:rsid w:val="008415CE"/>
    <w:rsid w:val="00841FD4"/>
    <w:rsid w:val="00842AE3"/>
    <w:rsid w:val="008458FE"/>
    <w:rsid w:val="008467FE"/>
    <w:rsid w:val="00846DE7"/>
    <w:rsid w:val="0084736B"/>
    <w:rsid w:val="008474EE"/>
    <w:rsid w:val="00851E84"/>
    <w:rsid w:val="00852E14"/>
    <w:rsid w:val="008541F3"/>
    <w:rsid w:val="00855BAE"/>
    <w:rsid w:val="00856A62"/>
    <w:rsid w:val="00860389"/>
    <w:rsid w:val="00860601"/>
    <w:rsid w:val="00861181"/>
    <w:rsid w:val="008619CF"/>
    <w:rsid w:val="00861A8E"/>
    <w:rsid w:val="00861CBC"/>
    <w:rsid w:val="00862B45"/>
    <w:rsid w:val="00865EF1"/>
    <w:rsid w:val="00866BBD"/>
    <w:rsid w:val="00867198"/>
    <w:rsid w:val="00870AE3"/>
    <w:rsid w:val="00870BA2"/>
    <w:rsid w:val="00870D7F"/>
    <w:rsid w:val="008711B3"/>
    <w:rsid w:val="00871255"/>
    <w:rsid w:val="00873FFB"/>
    <w:rsid w:val="00875E48"/>
    <w:rsid w:val="00875E76"/>
    <w:rsid w:val="008801B0"/>
    <w:rsid w:val="008810A0"/>
    <w:rsid w:val="00881890"/>
    <w:rsid w:val="00881977"/>
    <w:rsid w:val="0088249A"/>
    <w:rsid w:val="0088349D"/>
    <w:rsid w:val="00883AA3"/>
    <w:rsid w:val="00883FCB"/>
    <w:rsid w:val="008843F7"/>
    <w:rsid w:val="0088630A"/>
    <w:rsid w:val="008863D5"/>
    <w:rsid w:val="00886D60"/>
    <w:rsid w:val="0089204B"/>
    <w:rsid w:val="008927EE"/>
    <w:rsid w:val="00892B42"/>
    <w:rsid w:val="00892D0E"/>
    <w:rsid w:val="00893877"/>
    <w:rsid w:val="00893C6E"/>
    <w:rsid w:val="00893C79"/>
    <w:rsid w:val="00893F58"/>
    <w:rsid w:val="00894328"/>
    <w:rsid w:val="00894F62"/>
    <w:rsid w:val="008964CF"/>
    <w:rsid w:val="008969A1"/>
    <w:rsid w:val="008A0257"/>
    <w:rsid w:val="008A0381"/>
    <w:rsid w:val="008A149C"/>
    <w:rsid w:val="008A235D"/>
    <w:rsid w:val="008A3B02"/>
    <w:rsid w:val="008A5113"/>
    <w:rsid w:val="008A5150"/>
    <w:rsid w:val="008A581B"/>
    <w:rsid w:val="008A5ABF"/>
    <w:rsid w:val="008A63FD"/>
    <w:rsid w:val="008A735E"/>
    <w:rsid w:val="008B37FA"/>
    <w:rsid w:val="008B3ED6"/>
    <w:rsid w:val="008B3FE8"/>
    <w:rsid w:val="008B5323"/>
    <w:rsid w:val="008B592E"/>
    <w:rsid w:val="008B6A3E"/>
    <w:rsid w:val="008B7C62"/>
    <w:rsid w:val="008C0025"/>
    <w:rsid w:val="008C01D5"/>
    <w:rsid w:val="008C0290"/>
    <w:rsid w:val="008C074E"/>
    <w:rsid w:val="008C106D"/>
    <w:rsid w:val="008C2F62"/>
    <w:rsid w:val="008C3156"/>
    <w:rsid w:val="008C6236"/>
    <w:rsid w:val="008C6F93"/>
    <w:rsid w:val="008C76D0"/>
    <w:rsid w:val="008C7FB0"/>
    <w:rsid w:val="008D0A7E"/>
    <w:rsid w:val="008D14C3"/>
    <w:rsid w:val="008D2BA9"/>
    <w:rsid w:val="008D2CE8"/>
    <w:rsid w:val="008D30A1"/>
    <w:rsid w:val="008D496B"/>
    <w:rsid w:val="008E3222"/>
    <w:rsid w:val="008E708E"/>
    <w:rsid w:val="008F0B26"/>
    <w:rsid w:val="008F0E5C"/>
    <w:rsid w:val="008F11FE"/>
    <w:rsid w:val="008F2A8F"/>
    <w:rsid w:val="008F37E5"/>
    <w:rsid w:val="008F5402"/>
    <w:rsid w:val="008F547F"/>
    <w:rsid w:val="008F7AD4"/>
    <w:rsid w:val="0090000A"/>
    <w:rsid w:val="00900E80"/>
    <w:rsid w:val="00901575"/>
    <w:rsid w:val="00901B7A"/>
    <w:rsid w:val="00901EAC"/>
    <w:rsid w:val="0090208D"/>
    <w:rsid w:val="00902281"/>
    <w:rsid w:val="00902A3C"/>
    <w:rsid w:val="00903214"/>
    <w:rsid w:val="00904756"/>
    <w:rsid w:val="0090566A"/>
    <w:rsid w:val="00905C34"/>
    <w:rsid w:val="00906EB2"/>
    <w:rsid w:val="009119E0"/>
    <w:rsid w:val="00913418"/>
    <w:rsid w:val="00915580"/>
    <w:rsid w:val="009161A5"/>
    <w:rsid w:val="009163A1"/>
    <w:rsid w:val="00916961"/>
    <w:rsid w:val="00916B09"/>
    <w:rsid w:val="00920BB3"/>
    <w:rsid w:val="00920FBC"/>
    <w:rsid w:val="009216D7"/>
    <w:rsid w:val="009217A6"/>
    <w:rsid w:val="00923D9A"/>
    <w:rsid w:val="00926219"/>
    <w:rsid w:val="00926A95"/>
    <w:rsid w:val="0093046E"/>
    <w:rsid w:val="009322F9"/>
    <w:rsid w:val="00935346"/>
    <w:rsid w:val="00936D65"/>
    <w:rsid w:val="0094031E"/>
    <w:rsid w:val="00940E50"/>
    <w:rsid w:val="00941109"/>
    <w:rsid w:val="009413D6"/>
    <w:rsid w:val="00942643"/>
    <w:rsid w:val="009426C6"/>
    <w:rsid w:val="009428F6"/>
    <w:rsid w:val="00942C4C"/>
    <w:rsid w:val="00942F10"/>
    <w:rsid w:val="00943694"/>
    <w:rsid w:val="00943D1C"/>
    <w:rsid w:val="009472FC"/>
    <w:rsid w:val="009476A3"/>
    <w:rsid w:val="00954E7A"/>
    <w:rsid w:val="00956A8C"/>
    <w:rsid w:val="00956C25"/>
    <w:rsid w:val="009608F5"/>
    <w:rsid w:val="009615D7"/>
    <w:rsid w:val="00961CC1"/>
    <w:rsid w:val="00962862"/>
    <w:rsid w:val="00965424"/>
    <w:rsid w:val="009672B7"/>
    <w:rsid w:val="009678EB"/>
    <w:rsid w:val="00970AEF"/>
    <w:rsid w:val="009723F2"/>
    <w:rsid w:val="0097345E"/>
    <w:rsid w:val="00974252"/>
    <w:rsid w:val="00976B13"/>
    <w:rsid w:val="00976E8D"/>
    <w:rsid w:val="0097703B"/>
    <w:rsid w:val="00977572"/>
    <w:rsid w:val="00977C11"/>
    <w:rsid w:val="009815F6"/>
    <w:rsid w:val="00981D7E"/>
    <w:rsid w:val="00983E91"/>
    <w:rsid w:val="00985135"/>
    <w:rsid w:val="0098581B"/>
    <w:rsid w:val="0098618F"/>
    <w:rsid w:val="0099070C"/>
    <w:rsid w:val="00990C9C"/>
    <w:rsid w:val="00990FDF"/>
    <w:rsid w:val="00991ADB"/>
    <w:rsid w:val="009922F6"/>
    <w:rsid w:val="00993852"/>
    <w:rsid w:val="009944A1"/>
    <w:rsid w:val="009951D8"/>
    <w:rsid w:val="00996157"/>
    <w:rsid w:val="009966B4"/>
    <w:rsid w:val="009A259A"/>
    <w:rsid w:val="009A3858"/>
    <w:rsid w:val="009A3922"/>
    <w:rsid w:val="009A5482"/>
    <w:rsid w:val="009A6B18"/>
    <w:rsid w:val="009A7EE8"/>
    <w:rsid w:val="009A7F2F"/>
    <w:rsid w:val="009B31F5"/>
    <w:rsid w:val="009B3825"/>
    <w:rsid w:val="009B4499"/>
    <w:rsid w:val="009B469B"/>
    <w:rsid w:val="009B475A"/>
    <w:rsid w:val="009B4F5A"/>
    <w:rsid w:val="009B6AA4"/>
    <w:rsid w:val="009C0F77"/>
    <w:rsid w:val="009C113E"/>
    <w:rsid w:val="009C172F"/>
    <w:rsid w:val="009C2074"/>
    <w:rsid w:val="009C277C"/>
    <w:rsid w:val="009C3B92"/>
    <w:rsid w:val="009C3B9C"/>
    <w:rsid w:val="009C45DB"/>
    <w:rsid w:val="009C4A06"/>
    <w:rsid w:val="009C5A8F"/>
    <w:rsid w:val="009C771A"/>
    <w:rsid w:val="009C77F9"/>
    <w:rsid w:val="009C7B06"/>
    <w:rsid w:val="009D0638"/>
    <w:rsid w:val="009D1A36"/>
    <w:rsid w:val="009D1FA6"/>
    <w:rsid w:val="009D26E3"/>
    <w:rsid w:val="009D297F"/>
    <w:rsid w:val="009D4604"/>
    <w:rsid w:val="009D5E59"/>
    <w:rsid w:val="009D5EFF"/>
    <w:rsid w:val="009D724C"/>
    <w:rsid w:val="009E16DE"/>
    <w:rsid w:val="009E23D7"/>
    <w:rsid w:val="009E311F"/>
    <w:rsid w:val="009E3639"/>
    <w:rsid w:val="009E3EBD"/>
    <w:rsid w:val="009E3F38"/>
    <w:rsid w:val="009E47DE"/>
    <w:rsid w:val="009E4E61"/>
    <w:rsid w:val="009E4F99"/>
    <w:rsid w:val="009E5FA5"/>
    <w:rsid w:val="009E6D28"/>
    <w:rsid w:val="009F0CEF"/>
    <w:rsid w:val="009F5986"/>
    <w:rsid w:val="009F7CA3"/>
    <w:rsid w:val="00A007E9"/>
    <w:rsid w:val="00A00958"/>
    <w:rsid w:val="00A00C6E"/>
    <w:rsid w:val="00A016FB"/>
    <w:rsid w:val="00A018D7"/>
    <w:rsid w:val="00A01AD7"/>
    <w:rsid w:val="00A02BAF"/>
    <w:rsid w:val="00A03FBB"/>
    <w:rsid w:val="00A047CF"/>
    <w:rsid w:val="00A04E64"/>
    <w:rsid w:val="00A07C06"/>
    <w:rsid w:val="00A07E92"/>
    <w:rsid w:val="00A10311"/>
    <w:rsid w:val="00A10E2A"/>
    <w:rsid w:val="00A111F8"/>
    <w:rsid w:val="00A1417F"/>
    <w:rsid w:val="00A148C9"/>
    <w:rsid w:val="00A150C3"/>
    <w:rsid w:val="00A15EF6"/>
    <w:rsid w:val="00A16364"/>
    <w:rsid w:val="00A21BC7"/>
    <w:rsid w:val="00A22783"/>
    <w:rsid w:val="00A227A8"/>
    <w:rsid w:val="00A2280D"/>
    <w:rsid w:val="00A22949"/>
    <w:rsid w:val="00A22B3F"/>
    <w:rsid w:val="00A259B8"/>
    <w:rsid w:val="00A264A6"/>
    <w:rsid w:val="00A30462"/>
    <w:rsid w:val="00A308A0"/>
    <w:rsid w:val="00A31202"/>
    <w:rsid w:val="00A3148F"/>
    <w:rsid w:val="00A31605"/>
    <w:rsid w:val="00A31628"/>
    <w:rsid w:val="00A31AD5"/>
    <w:rsid w:val="00A32AE1"/>
    <w:rsid w:val="00A350BD"/>
    <w:rsid w:val="00A36300"/>
    <w:rsid w:val="00A40157"/>
    <w:rsid w:val="00A4075C"/>
    <w:rsid w:val="00A40C56"/>
    <w:rsid w:val="00A40F2E"/>
    <w:rsid w:val="00A414AD"/>
    <w:rsid w:val="00A42AF3"/>
    <w:rsid w:val="00A42C60"/>
    <w:rsid w:val="00A4380F"/>
    <w:rsid w:val="00A44C8C"/>
    <w:rsid w:val="00A44EFE"/>
    <w:rsid w:val="00A467D7"/>
    <w:rsid w:val="00A50472"/>
    <w:rsid w:val="00A50F65"/>
    <w:rsid w:val="00A53721"/>
    <w:rsid w:val="00A55856"/>
    <w:rsid w:val="00A56944"/>
    <w:rsid w:val="00A6124B"/>
    <w:rsid w:val="00A61C95"/>
    <w:rsid w:val="00A62832"/>
    <w:rsid w:val="00A6384C"/>
    <w:rsid w:val="00A64527"/>
    <w:rsid w:val="00A67D18"/>
    <w:rsid w:val="00A67D34"/>
    <w:rsid w:val="00A7037A"/>
    <w:rsid w:val="00A714F9"/>
    <w:rsid w:val="00A73593"/>
    <w:rsid w:val="00A746F0"/>
    <w:rsid w:val="00A74BB9"/>
    <w:rsid w:val="00A74D90"/>
    <w:rsid w:val="00A7569D"/>
    <w:rsid w:val="00A758BB"/>
    <w:rsid w:val="00A777A5"/>
    <w:rsid w:val="00A80DB5"/>
    <w:rsid w:val="00A81A88"/>
    <w:rsid w:val="00A820A6"/>
    <w:rsid w:val="00A826DF"/>
    <w:rsid w:val="00A82A06"/>
    <w:rsid w:val="00A82F37"/>
    <w:rsid w:val="00A853EE"/>
    <w:rsid w:val="00A8643F"/>
    <w:rsid w:val="00A8705B"/>
    <w:rsid w:val="00A872D7"/>
    <w:rsid w:val="00A917EB"/>
    <w:rsid w:val="00A91FF3"/>
    <w:rsid w:val="00A92A9A"/>
    <w:rsid w:val="00A92E4C"/>
    <w:rsid w:val="00A94FAE"/>
    <w:rsid w:val="00A97A46"/>
    <w:rsid w:val="00AA05CA"/>
    <w:rsid w:val="00AA15A9"/>
    <w:rsid w:val="00AA1CE3"/>
    <w:rsid w:val="00AA1F73"/>
    <w:rsid w:val="00AA236B"/>
    <w:rsid w:val="00AA4DD9"/>
    <w:rsid w:val="00AA4F0F"/>
    <w:rsid w:val="00AA51B2"/>
    <w:rsid w:val="00AA5974"/>
    <w:rsid w:val="00AA7B9D"/>
    <w:rsid w:val="00AB039E"/>
    <w:rsid w:val="00AB03F5"/>
    <w:rsid w:val="00AB0718"/>
    <w:rsid w:val="00AB0843"/>
    <w:rsid w:val="00AB5FFA"/>
    <w:rsid w:val="00AC064B"/>
    <w:rsid w:val="00AC15AD"/>
    <w:rsid w:val="00AC2669"/>
    <w:rsid w:val="00AC2702"/>
    <w:rsid w:val="00AC54E2"/>
    <w:rsid w:val="00AC586B"/>
    <w:rsid w:val="00AC5AB5"/>
    <w:rsid w:val="00AC6F36"/>
    <w:rsid w:val="00AC70D9"/>
    <w:rsid w:val="00AD1710"/>
    <w:rsid w:val="00AD1EF0"/>
    <w:rsid w:val="00AD3393"/>
    <w:rsid w:val="00AD5057"/>
    <w:rsid w:val="00AD50C2"/>
    <w:rsid w:val="00AD652F"/>
    <w:rsid w:val="00AD7AEC"/>
    <w:rsid w:val="00AE005D"/>
    <w:rsid w:val="00AE143C"/>
    <w:rsid w:val="00AE4E3F"/>
    <w:rsid w:val="00AE5FFE"/>
    <w:rsid w:val="00AE60AC"/>
    <w:rsid w:val="00AE660F"/>
    <w:rsid w:val="00AE6F42"/>
    <w:rsid w:val="00AF2254"/>
    <w:rsid w:val="00AF4DAB"/>
    <w:rsid w:val="00B01960"/>
    <w:rsid w:val="00B01FA8"/>
    <w:rsid w:val="00B02333"/>
    <w:rsid w:val="00B02D9C"/>
    <w:rsid w:val="00B04F28"/>
    <w:rsid w:val="00B067D7"/>
    <w:rsid w:val="00B06E6C"/>
    <w:rsid w:val="00B07CDB"/>
    <w:rsid w:val="00B07DF6"/>
    <w:rsid w:val="00B114B5"/>
    <w:rsid w:val="00B11C73"/>
    <w:rsid w:val="00B124DE"/>
    <w:rsid w:val="00B12AEE"/>
    <w:rsid w:val="00B14096"/>
    <w:rsid w:val="00B152BC"/>
    <w:rsid w:val="00B169D0"/>
    <w:rsid w:val="00B176F0"/>
    <w:rsid w:val="00B22579"/>
    <w:rsid w:val="00B22867"/>
    <w:rsid w:val="00B22E6F"/>
    <w:rsid w:val="00B22FBF"/>
    <w:rsid w:val="00B24766"/>
    <w:rsid w:val="00B25F4D"/>
    <w:rsid w:val="00B26DF1"/>
    <w:rsid w:val="00B271E6"/>
    <w:rsid w:val="00B2740A"/>
    <w:rsid w:val="00B27471"/>
    <w:rsid w:val="00B275F3"/>
    <w:rsid w:val="00B277D8"/>
    <w:rsid w:val="00B30017"/>
    <w:rsid w:val="00B320B9"/>
    <w:rsid w:val="00B32BFA"/>
    <w:rsid w:val="00B33BBA"/>
    <w:rsid w:val="00B3406A"/>
    <w:rsid w:val="00B3772C"/>
    <w:rsid w:val="00B40777"/>
    <w:rsid w:val="00B40AE1"/>
    <w:rsid w:val="00B41A33"/>
    <w:rsid w:val="00B44AE2"/>
    <w:rsid w:val="00B476C7"/>
    <w:rsid w:val="00B47E5D"/>
    <w:rsid w:val="00B50ED0"/>
    <w:rsid w:val="00B52A25"/>
    <w:rsid w:val="00B538C0"/>
    <w:rsid w:val="00B540B1"/>
    <w:rsid w:val="00B54DE4"/>
    <w:rsid w:val="00B55764"/>
    <w:rsid w:val="00B60EB5"/>
    <w:rsid w:val="00B612FF"/>
    <w:rsid w:val="00B64DD9"/>
    <w:rsid w:val="00B655EC"/>
    <w:rsid w:val="00B65FBC"/>
    <w:rsid w:val="00B70A56"/>
    <w:rsid w:val="00B73048"/>
    <w:rsid w:val="00B7357E"/>
    <w:rsid w:val="00B742F4"/>
    <w:rsid w:val="00B74D03"/>
    <w:rsid w:val="00B76B4E"/>
    <w:rsid w:val="00B7755C"/>
    <w:rsid w:val="00B801A0"/>
    <w:rsid w:val="00B8258B"/>
    <w:rsid w:val="00B829A0"/>
    <w:rsid w:val="00B82A1F"/>
    <w:rsid w:val="00B85D7D"/>
    <w:rsid w:val="00B85DD5"/>
    <w:rsid w:val="00B905C4"/>
    <w:rsid w:val="00B9144E"/>
    <w:rsid w:val="00B917D9"/>
    <w:rsid w:val="00B92AF1"/>
    <w:rsid w:val="00B92ECC"/>
    <w:rsid w:val="00B94201"/>
    <w:rsid w:val="00B9497F"/>
    <w:rsid w:val="00B95816"/>
    <w:rsid w:val="00B969D3"/>
    <w:rsid w:val="00B97225"/>
    <w:rsid w:val="00BA09FC"/>
    <w:rsid w:val="00BA4A8F"/>
    <w:rsid w:val="00BA5376"/>
    <w:rsid w:val="00BA5EFC"/>
    <w:rsid w:val="00BA6180"/>
    <w:rsid w:val="00BA6BF8"/>
    <w:rsid w:val="00BA6F74"/>
    <w:rsid w:val="00BB054E"/>
    <w:rsid w:val="00BB092D"/>
    <w:rsid w:val="00BB141A"/>
    <w:rsid w:val="00BB1AD2"/>
    <w:rsid w:val="00BB294A"/>
    <w:rsid w:val="00BB491A"/>
    <w:rsid w:val="00BB4A2D"/>
    <w:rsid w:val="00BB4E89"/>
    <w:rsid w:val="00BC004E"/>
    <w:rsid w:val="00BC492E"/>
    <w:rsid w:val="00BC4C8E"/>
    <w:rsid w:val="00BC555D"/>
    <w:rsid w:val="00BC55CF"/>
    <w:rsid w:val="00BC5947"/>
    <w:rsid w:val="00BD0205"/>
    <w:rsid w:val="00BD0F1A"/>
    <w:rsid w:val="00BD1E14"/>
    <w:rsid w:val="00BD29A2"/>
    <w:rsid w:val="00BD40B4"/>
    <w:rsid w:val="00BE2A28"/>
    <w:rsid w:val="00BE2DB3"/>
    <w:rsid w:val="00BE3A88"/>
    <w:rsid w:val="00BE6133"/>
    <w:rsid w:val="00BE67F3"/>
    <w:rsid w:val="00BE707D"/>
    <w:rsid w:val="00BE70A9"/>
    <w:rsid w:val="00BE7862"/>
    <w:rsid w:val="00BE7C48"/>
    <w:rsid w:val="00BF0FC8"/>
    <w:rsid w:val="00BF1C2C"/>
    <w:rsid w:val="00BF24D0"/>
    <w:rsid w:val="00BF2D98"/>
    <w:rsid w:val="00BF5CC5"/>
    <w:rsid w:val="00BF7067"/>
    <w:rsid w:val="00BF7283"/>
    <w:rsid w:val="00C005F8"/>
    <w:rsid w:val="00C00645"/>
    <w:rsid w:val="00C0190A"/>
    <w:rsid w:val="00C02EDF"/>
    <w:rsid w:val="00C03561"/>
    <w:rsid w:val="00C05094"/>
    <w:rsid w:val="00C05B49"/>
    <w:rsid w:val="00C060ED"/>
    <w:rsid w:val="00C06C20"/>
    <w:rsid w:val="00C074A6"/>
    <w:rsid w:val="00C07B2F"/>
    <w:rsid w:val="00C11060"/>
    <w:rsid w:val="00C12101"/>
    <w:rsid w:val="00C130ED"/>
    <w:rsid w:val="00C14891"/>
    <w:rsid w:val="00C14991"/>
    <w:rsid w:val="00C14A75"/>
    <w:rsid w:val="00C17596"/>
    <w:rsid w:val="00C20E18"/>
    <w:rsid w:val="00C21700"/>
    <w:rsid w:val="00C23516"/>
    <w:rsid w:val="00C24C7B"/>
    <w:rsid w:val="00C26BA6"/>
    <w:rsid w:val="00C26C74"/>
    <w:rsid w:val="00C3005B"/>
    <w:rsid w:val="00C307CC"/>
    <w:rsid w:val="00C3109A"/>
    <w:rsid w:val="00C32124"/>
    <w:rsid w:val="00C333C6"/>
    <w:rsid w:val="00C33D51"/>
    <w:rsid w:val="00C356BA"/>
    <w:rsid w:val="00C36A42"/>
    <w:rsid w:val="00C36F1A"/>
    <w:rsid w:val="00C3727C"/>
    <w:rsid w:val="00C4011A"/>
    <w:rsid w:val="00C40543"/>
    <w:rsid w:val="00C40B44"/>
    <w:rsid w:val="00C42424"/>
    <w:rsid w:val="00C4464F"/>
    <w:rsid w:val="00C469F5"/>
    <w:rsid w:val="00C53F5E"/>
    <w:rsid w:val="00C5669E"/>
    <w:rsid w:val="00C57E4B"/>
    <w:rsid w:val="00C603A0"/>
    <w:rsid w:val="00C61F44"/>
    <w:rsid w:val="00C62276"/>
    <w:rsid w:val="00C6300A"/>
    <w:rsid w:val="00C64189"/>
    <w:rsid w:val="00C64648"/>
    <w:rsid w:val="00C7009B"/>
    <w:rsid w:val="00C717BE"/>
    <w:rsid w:val="00C71DBD"/>
    <w:rsid w:val="00C72462"/>
    <w:rsid w:val="00C74229"/>
    <w:rsid w:val="00C743E1"/>
    <w:rsid w:val="00C7674B"/>
    <w:rsid w:val="00C769A6"/>
    <w:rsid w:val="00C81899"/>
    <w:rsid w:val="00C82BCA"/>
    <w:rsid w:val="00C83DAC"/>
    <w:rsid w:val="00C83DB5"/>
    <w:rsid w:val="00C858FB"/>
    <w:rsid w:val="00C929AF"/>
    <w:rsid w:val="00C938C8"/>
    <w:rsid w:val="00C93EEE"/>
    <w:rsid w:val="00C948A0"/>
    <w:rsid w:val="00C94E8B"/>
    <w:rsid w:val="00C96B83"/>
    <w:rsid w:val="00C97765"/>
    <w:rsid w:val="00CA2B14"/>
    <w:rsid w:val="00CA2F6A"/>
    <w:rsid w:val="00CA3F1B"/>
    <w:rsid w:val="00CA4BD3"/>
    <w:rsid w:val="00CB1B59"/>
    <w:rsid w:val="00CB2417"/>
    <w:rsid w:val="00CB3990"/>
    <w:rsid w:val="00CB4CAC"/>
    <w:rsid w:val="00CB613D"/>
    <w:rsid w:val="00CB6A20"/>
    <w:rsid w:val="00CB6FEE"/>
    <w:rsid w:val="00CB7AD7"/>
    <w:rsid w:val="00CC0021"/>
    <w:rsid w:val="00CC1927"/>
    <w:rsid w:val="00CC1DF0"/>
    <w:rsid w:val="00CC22F6"/>
    <w:rsid w:val="00CC2F07"/>
    <w:rsid w:val="00CC2FD8"/>
    <w:rsid w:val="00CC343D"/>
    <w:rsid w:val="00CC4360"/>
    <w:rsid w:val="00CC517D"/>
    <w:rsid w:val="00CC5284"/>
    <w:rsid w:val="00CD12FE"/>
    <w:rsid w:val="00CD1352"/>
    <w:rsid w:val="00CD25C0"/>
    <w:rsid w:val="00CD3018"/>
    <w:rsid w:val="00CD30C1"/>
    <w:rsid w:val="00CD3753"/>
    <w:rsid w:val="00CD4829"/>
    <w:rsid w:val="00CD62E3"/>
    <w:rsid w:val="00CD7BA8"/>
    <w:rsid w:val="00CE0225"/>
    <w:rsid w:val="00CE0448"/>
    <w:rsid w:val="00CE0D5B"/>
    <w:rsid w:val="00CE1063"/>
    <w:rsid w:val="00CE40C1"/>
    <w:rsid w:val="00CE4385"/>
    <w:rsid w:val="00CE4D58"/>
    <w:rsid w:val="00CE6483"/>
    <w:rsid w:val="00CE7111"/>
    <w:rsid w:val="00CE7D63"/>
    <w:rsid w:val="00CF123D"/>
    <w:rsid w:val="00CF20B1"/>
    <w:rsid w:val="00CF3520"/>
    <w:rsid w:val="00CF3A16"/>
    <w:rsid w:val="00CF5334"/>
    <w:rsid w:val="00CF650C"/>
    <w:rsid w:val="00CF7452"/>
    <w:rsid w:val="00CF7A0F"/>
    <w:rsid w:val="00D00F39"/>
    <w:rsid w:val="00D0109B"/>
    <w:rsid w:val="00D01715"/>
    <w:rsid w:val="00D04EDC"/>
    <w:rsid w:val="00D057B6"/>
    <w:rsid w:val="00D05C36"/>
    <w:rsid w:val="00D05D56"/>
    <w:rsid w:val="00D067FF"/>
    <w:rsid w:val="00D07319"/>
    <w:rsid w:val="00D11707"/>
    <w:rsid w:val="00D13933"/>
    <w:rsid w:val="00D142A9"/>
    <w:rsid w:val="00D15026"/>
    <w:rsid w:val="00D1532D"/>
    <w:rsid w:val="00D1551D"/>
    <w:rsid w:val="00D17120"/>
    <w:rsid w:val="00D20458"/>
    <w:rsid w:val="00D2123A"/>
    <w:rsid w:val="00D22145"/>
    <w:rsid w:val="00D23F59"/>
    <w:rsid w:val="00D242F4"/>
    <w:rsid w:val="00D2447D"/>
    <w:rsid w:val="00D26762"/>
    <w:rsid w:val="00D26BC2"/>
    <w:rsid w:val="00D2799A"/>
    <w:rsid w:val="00D27C1D"/>
    <w:rsid w:val="00D308E9"/>
    <w:rsid w:val="00D31E08"/>
    <w:rsid w:val="00D32525"/>
    <w:rsid w:val="00D325EF"/>
    <w:rsid w:val="00D32F32"/>
    <w:rsid w:val="00D3351C"/>
    <w:rsid w:val="00D34122"/>
    <w:rsid w:val="00D34C81"/>
    <w:rsid w:val="00D3781E"/>
    <w:rsid w:val="00D37872"/>
    <w:rsid w:val="00D40A12"/>
    <w:rsid w:val="00D41A2E"/>
    <w:rsid w:val="00D4264C"/>
    <w:rsid w:val="00D43F6B"/>
    <w:rsid w:val="00D45F27"/>
    <w:rsid w:val="00D5122A"/>
    <w:rsid w:val="00D51B53"/>
    <w:rsid w:val="00D5217A"/>
    <w:rsid w:val="00D54263"/>
    <w:rsid w:val="00D55673"/>
    <w:rsid w:val="00D567E4"/>
    <w:rsid w:val="00D609EE"/>
    <w:rsid w:val="00D629A8"/>
    <w:rsid w:val="00D62CC7"/>
    <w:rsid w:val="00D6375C"/>
    <w:rsid w:val="00D63997"/>
    <w:rsid w:val="00D66256"/>
    <w:rsid w:val="00D66FDE"/>
    <w:rsid w:val="00D67645"/>
    <w:rsid w:val="00D67C3C"/>
    <w:rsid w:val="00D70FC4"/>
    <w:rsid w:val="00D73859"/>
    <w:rsid w:val="00D73945"/>
    <w:rsid w:val="00D73AF8"/>
    <w:rsid w:val="00D75FD8"/>
    <w:rsid w:val="00D76555"/>
    <w:rsid w:val="00D76724"/>
    <w:rsid w:val="00D77311"/>
    <w:rsid w:val="00D81D36"/>
    <w:rsid w:val="00D829E4"/>
    <w:rsid w:val="00D82D90"/>
    <w:rsid w:val="00D8318F"/>
    <w:rsid w:val="00D831B7"/>
    <w:rsid w:val="00D8350D"/>
    <w:rsid w:val="00D8706C"/>
    <w:rsid w:val="00D91F3F"/>
    <w:rsid w:val="00D9222A"/>
    <w:rsid w:val="00D92531"/>
    <w:rsid w:val="00D925CB"/>
    <w:rsid w:val="00D92CEB"/>
    <w:rsid w:val="00D93788"/>
    <w:rsid w:val="00DA1616"/>
    <w:rsid w:val="00DA294C"/>
    <w:rsid w:val="00DB1F94"/>
    <w:rsid w:val="00DB6643"/>
    <w:rsid w:val="00DB70BC"/>
    <w:rsid w:val="00DC0AAB"/>
    <w:rsid w:val="00DC0FA2"/>
    <w:rsid w:val="00DC140C"/>
    <w:rsid w:val="00DC3370"/>
    <w:rsid w:val="00DC3401"/>
    <w:rsid w:val="00DC37CE"/>
    <w:rsid w:val="00DC3E7F"/>
    <w:rsid w:val="00DC4E0F"/>
    <w:rsid w:val="00DC6C57"/>
    <w:rsid w:val="00DD0E30"/>
    <w:rsid w:val="00DD1234"/>
    <w:rsid w:val="00DD2D90"/>
    <w:rsid w:val="00DD3C41"/>
    <w:rsid w:val="00DD44BD"/>
    <w:rsid w:val="00DD490E"/>
    <w:rsid w:val="00DD4ACF"/>
    <w:rsid w:val="00DD6AC3"/>
    <w:rsid w:val="00DE069E"/>
    <w:rsid w:val="00DE162F"/>
    <w:rsid w:val="00DE2B36"/>
    <w:rsid w:val="00DE3755"/>
    <w:rsid w:val="00DE6861"/>
    <w:rsid w:val="00DF0E57"/>
    <w:rsid w:val="00DF1C20"/>
    <w:rsid w:val="00DF30B9"/>
    <w:rsid w:val="00DF43FF"/>
    <w:rsid w:val="00DF4ABA"/>
    <w:rsid w:val="00DF60E8"/>
    <w:rsid w:val="00E01704"/>
    <w:rsid w:val="00E02517"/>
    <w:rsid w:val="00E02695"/>
    <w:rsid w:val="00E02C66"/>
    <w:rsid w:val="00E0333A"/>
    <w:rsid w:val="00E04A42"/>
    <w:rsid w:val="00E053BC"/>
    <w:rsid w:val="00E0562C"/>
    <w:rsid w:val="00E05DF9"/>
    <w:rsid w:val="00E1049A"/>
    <w:rsid w:val="00E12D61"/>
    <w:rsid w:val="00E1404A"/>
    <w:rsid w:val="00E14789"/>
    <w:rsid w:val="00E14810"/>
    <w:rsid w:val="00E15021"/>
    <w:rsid w:val="00E163FD"/>
    <w:rsid w:val="00E17F0E"/>
    <w:rsid w:val="00E20997"/>
    <w:rsid w:val="00E21CC6"/>
    <w:rsid w:val="00E239AA"/>
    <w:rsid w:val="00E2408D"/>
    <w:rsid w:val="00E25B6F"/>
    <w:rsid w:val="00E25F0A"/>
    <w:rsid w:val="00E266F1"/>
    <w:rsid w:val="00E27775"/>
    <w:rsid w:val="00E27FCA"/>
    <w:rsid w:val="00E30B66"/>
    <w:rsid w:val="00E30C3E"/>
    <w:rsid w:val="00E31437"/>
    <w:rsid w:val="00E364A8"/>
    <w:rsid w:val="00E40097"/>
    <w:rsid w:val="00E402BB"/>
    <w:rsid w:val="00E4031C"/>
    <w:rsid w:val="00E419CA"/>
    <w:rsid w:val="00E42B02"/>
    <w:rsid w:val="00E42C1A"/>
    <w:rsid w:val="00E42EE2"/>
    <w:rsid w:val="00E439DC"/>
    <w:rsid w:val="00E4421B"/>
    <w:rsid w:val="00E45962"/>
    <w:rsid w:val="00E45E83"/>
    <w:rsid w:val="00E46DA6"/>
    <w:rsid w:val="00E51740"/>
    <w:rsid w:val="00E53B70"/>
    <w:rsid w:val="00E55AAD"/>
    <w:rsid w:val="00E55B8A"/>
    <w:rsid w:val="00E566A7"/>
    <w:rsid w:val="00E57F16"/>
    <w:rsid w:val="00E628EE"/>
    <w:rsid w:val="00E639EF"/>
    <w:rsid w:val="00E64D06"/>
    <w:rsid w:val="00E6610C"/>
    <w:rsid w:val="00E66BA6"/>
    <w:rsid w:val="00E674BD"/>
    <w:rsid w:val="00E70421"/>
    <w:rsid w:val="00E706A2"/>
    <w:rsid w:val="00E71C5E"/>
    <w:rsid w:val="00E72405"/>
    <w:rsid w:val="00E736B2"/>
    <w:rsid w:val="00E75096"/>
    <w:rsid w:val="00E75342"/>
    <w:rsid w:val="00E75A9B"/>
    <w:rsid w:val="00E81ACE"/>
    <w:rsid w:val="00E82D22"/>
    <w:rsid w:val="00E832EA"/>
    <w:rsid w:val="00E8334D"/>
    <w:rsid w:val="00E86882"/>
    <w:rsid w:val="00E87BC7"/>
    <w:rsid w:val="00E87C7F"/>
    <w:rsid w:val="00E87FE0"/>
    <w:rsid w:val="00E9050B"/>
    <w:rsid w:val="00E90F64"/>
    <w:rsid w:val="00E9496D"/>
    <w:rsid w:val="00E95FC1"/>
    <w:rsid w:val="00E9614A"/>
    <w:rsid w:val="00E96AE5"/>
    <w:rsid w:val="00E97880"/>
    <w:rsid w:val="00EA21A0"/>
    <w:rsid w:val="00EA2240"/>
    <w:rsid w:val="00EA2BFB"/>
    <w:rsid w:val="00EA3520"/>
    <w:rsid w:val="00EA36DF"/>
    <w:rsid w:val="00EA4261"/>
    <w:rsid w:val="00EA56CC"/>
    <w:rsid w:val="00EB0BCA"/>
    <w:rsid w:val="00EB1B81"/>
    <w:rsid w:val="00EB2675"/>
    <w:rsid w:val="00EB3475"/>
    <w:rsid w:val="00EB57D8"/>
    <w:rsid w:val="00EB5922"/>
    <w:rsid w:val="00EB5A36"/>
    <w:rsid w:val="00EC0D3B"/>
    <w:rsid w:val="00EC1512"/>
    <w:rsid w:val="00EC1940"/>
    <w:rsid w:val="00EC5325"/>
    <w:rsid w:val="00EC5A2F"/>
    <w:rsid w:val="00ED3569"/>
    <w:rsid w:val="00ED3866"/>
    <w:rsid w:val="00ED4835"/>
    <w:rsid w:val="00ED7AD1"/>
    <w:rsid w:val="00EE2157"/>
    <w:rsid w:val="00EE2377"/>
    <w:rsid w:val="00EE27E6"/>
    <w:rsid w:val="00EE5583"/>
    <w:rsid w:val="00EE7BD2"/>
    <w:rsid w:val="00EE7C77"/>
    <w:rsid w:val="00EE7DFF"/>
    <w:rsid w:val="00EF026F"/>
    <w:rsid w:val="00EF0631"/>
    <w:rsid w:val="00EF0973"/>
    <w:rsid w:val="00EF1D04"/>
    <w:rsid w:val="00EF2741"/>
    <w:rsid w:val="00EF2FCD"/>
    <w:rsid w:val="00EF3D3F"/>
    <w:rsid w:val="00EF48DA"/>
    <w:rsid w:val="00EF6C61"/>
    <w:rsid w:val="00F010BD"/>
    <w:rsid w:val="00F01870"/>
    <w:rsid w:val="00F01FB2"/>
    <w:rsid w:val="00F0222B"/>
    <w:rsid w:val="00F024F8"/>
    <w:rsid w:val="00F0275A"/>
    <w:rsid w:val="00F029AE"/>
    <w:rsid w:val="00F042AB"/>
    <w:rsid w:val="00F0436F"/>
    <w:rsid w:val="00F058E6"/>
    <w:rsid w:val="00F10AE4"/>
    <w:rsid w:val="00F11AA8"/>
    <w:rsid w:val="00F12149"/>
    <w:rsid w:val="00F14B55"/>
    <w:rsid w:val="00F154FA"/>
    <w:rsid w:val="00F159A7"/>
    <w:rsid w:val="00F15D9C"/>
    <w:rsid w:val="00F20985"/>
    <w:rsid w:val="00F21035"/>
    <w:rsid w:val="00F21642"/>
    <w:rsid w:val="00F216BA"/>
    <w:rsid w:val="00F22651"/>
    <w:rsid w:val="00F22831"/>
    <w:rsid w:val="00F22B67"/>
    <w:rsid w:val="00F22F30"/>
    <w:rsid w:val="00F23BF9"/>
    <w:rsid w:val="00F24677"/>
    <w:rsid w:val="00F25044"/>
    <w:rsid w:val="00F251BF"/>
    <w:rsid w:val="00F26796"/>
    <w:rsid w:val="00F26A1C"/>
    <w:rsid w:val="00F26A67"/>
    <w:rsid w:val="00F31B2D"/>
    <w:rsid w:val="00F31B6E"/>
    <w:rsid w:val="00F31BDD"/>
    <w:rsid w:val="00F32332"/>
    <w:rsid w:val="00F32CE4"/>
    <w:rsid w:val="00F33488"/>
    <w:rsid w:val="00F3349C"/>
    <w:rsid w:val="00F33D54"/>
    <w:rsid w:val="00F33DCF"/>
    <w:rsid w:val="00F35325"/>
    <w:rsid w:val="00F35B2B"/>
    <w:rsid w:val="00F36DA3"/>
    <w:rsid w:val="00F37244"/>
    <w:rsid w:val="00F40306"/>
    <w:rsid w:val="00F411A9"/>
    <w:rsid w:val="00F411BD"/>
    <w:rsid w:val="00F42123"/>
    <w:rsid w:val="00F42BE9"/>
    <w:rsid w:val="00F42F7B"/>
    <w:rsid w:val="00F43462"/>
    <w:rsid w:val="00F438F7"/>
    <w:rsid w:val="00F442CA"/>
    <w:rsid w:val="00F4431C"/>
    <w:rsid w:val="00F4565B"/>
    <w:rsid w:val="00F4615A"/>
    <w:rsid w:val="00F47372"/>
    <w:rsid w:val="00F51D76"/>
    <w:rsid w:val="00F53133"/>
    <w:rsid w:val="00F5446E"/>
    <w:rsid w:val="00F5468B"/>
    <w:rsid w:val="00F57EE2"/>
    <w:rsid w:val="00F60519"/>
    <w:rsid w:val="00F615E8"/>
    <w:rsid w:val="00F61C61"/>
    <w:rsid w:val="00F62BD4"/>
    <w:rsid w:val="00F64493"/>
    <w:rsid w:val="00F64F4E"/>
    <w:rsid w:val="00F65C46"/>
    <w:rsid w:val="00F679A8"/>
    <w:rsid w:val="00F705E9"/>
    <w:rsid w:val="00F7236A"/>
    <w:rsid w:val="00F7264A"/>
    <w:rsid w:val="00F72B1D"/>
    <w:rsid w:val="00F7360D"/>
    <w:rsid w:val="00F75C53"/>
    <w:rsid w:val="00F81CDA"/>
    <w:rsid w:val="00F83770"/>
    <w:rsid w:val="00F83D55"/>
    <w:rsid w:val="00F843BE"/>
    <w:rsid w:val="00F84F4E"/>
    <w:rsid w:val="00F851F0"/>
    <w:rsid w:val="00F858D6"/>
    <w:rsid w:val="00F914BE"/>
    <w:rsid w:val="00F933D4"/>
    <w:rsid w:val="00F93597"/>
    <w:rsid w:val="00F948A1"/>
    <w:rsid w:val="00F94D7E"/>
    <w:rsid w:val="00F94F47"/>
    <w:rsid w:val="00F96447"/>
    <w:rsid w:val="00F96DFC"/>
    <w:rsid w:val="00FA0499"/>
    <w:rsid w:val="00FA1B59"/>
    <w:rsid w:val="00FA2435"/>
    <w:rsid w:val="00FA32D2"/>
    <w:rsid w:val="00FA4D47"/>
    <w:rsid w:val="00FA55A5"/>
    <w:rsid w:val="00FA7193"/>
    <w:rsid w:val="00FB0DAD"/>
    <w:rsid w:val="00FB17FF"/>
    <w:rsid w:val="00FB4683"/>
    <w:rsid w:val="00FB5B71"/>
    <w:rsid w:val="00FC02E9"/>
    <w:rsid w:val="00FC1E5F"/>
    <w:rsid w:val="00FC1FEC"/>
    <w:rsid w:val="00FC2254"/>
    <w:rsid w:val="00FC4B53"/>
    <w:rsid w:val="00FC4BB7"/>
    <w:rsid w:val="00FC5083"/>
    <w:rsid w:val="00FC5248"/>
    <w:rsid w:val="00FC7083"/>
    <w:rsid w:val="00FC7AC0"/>
    <w:rsid w:val="00FD10FE"/>
    <w:rsid w:val="00FD2E6F"/>
    <w:rsid w:val="00FD4B9C"/>
    <w:rsid w:val="00FD59BB"/>
    <w:rsid w:val="00FD5F2B"/>
    <w:rsid w:val="00FD6E95"/>
    <w:rsid w:val="00FD7DCD"/>
    <w:rsid w:val="00FE1795"/>
    <w:rsid w:val="00FE17AB"/>
    <w:rsid w:val="00FE218B"/>
    <w:rsid w:val="00FE4A7E"/>
    <w:rsid w:val="00FE4D85"/>
    <w:rsid w:val="00FE60DD"/>
    <w:rsid w:val="00FF1517"/>
    <w:rsid w:val="00FF2278"/>
    <w:rsid w:val="00FF2952"/>
    <w:rsid w:val="00FF410D"/>
    <w:rsid w:val="00FF59D9"/>
    <w:rsid w:val="00FF5D9C"/>
    <w:rsid w:val="00FF5DF9"/>
    <w:rsid w:val="00FF6353"/>
    <w:rsid w:val="00FF6A44"/>
    <w:rsid w:val="00FF6D22"/>
    <w:rsid w:val="00FF6FD0"/>
    <w:rsid w:val="00FF78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1116A"/>
  <w15:docId w15:val="{92468EA5-947F-4BAA-A34F-A814EF7D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C6E"/>
    <w:pPr>
      <w:tabs>
        <w:tab w:val="center" w:pos="4153"/>
        <w:tab w:val="right" w:pos="8306"/>
      </w:tabs>
    </w:pPr>
  </w:style>
  <w:style w:type="character" w:styleId="PageNumber">
    <w:name w:val="page number"/>
    <w:basedOn w:val="DefaultParagraphFont"/>
    <w:rsid w:val="00893C6E"/>
  </w:style>
  <w:style w:type="paragraph" w:styleId="DocumentMap">
    <w:name w:val="Document Map"/>
    <w:basedOn w:val="Normal"/>
    <w:semiHidden/>
    <w:rsid w:val="0007338B"/>
    <w:pPr>
      <w:shd w:val="clear" w:color="auto" w:fill="000080"/>
    </w:pPr>
    <w:rPr>
      <w:rFonts w:ascii="Tahoma" w:hAnsi="Tahoma" w:cs="Tahoma"/>
      <w:sz w:val="20"/>
      <w:szCs w:val="20"/>
    </w:rPr>
  </w:style>
  <w:style w:type="paragraph" w:styleId="ListParagraph">
    <w:name w:val="List Paragraph"/>
    <w:basedOn w:val="Normal"/>
    <w:uiPriority w:val="34"/>
    <w:qFormat/>
    <w:rsid w:val="00F62BD4"/>
    <w:pPr>
      <w:ind w:left="720"/>
    </w:pPr>
  </w:style>
  <w:style w:type="paragraph" w:styleId="FootnoteText">
    <w:name w:val="footnote text"/>
    <w:basedOn w:val="Normal"/>
    <w:link w:val="FootnoteTextChar"/>
    <w:uiPriority w:val="99"/>
    <w:rsid w:val="008C6F93"/>
    <w:rPr>
      <w:sz w:val="20"/>
      <w:szCs w:val="20"/>
    </w:rPr>
  </w:style>
  <w:style w:type="character" w:styleId="FootnoteReference">
    <w:name w:val="footnote reference"/>
    <w:uiPriority w:val="99"/>
    <w:semiHidden/>
    <w:rsid w:val="008C6F93"/>
    <w:rPr>
      <w:vertAlign w:val="superscript"/>
    </w:rPr>
  </w:style>
  <w:style w:type="paragraph" w:styleId="EndnoteText">
    <w:name w:val="endnote text"/>
    <w:basedOn w:val="Normal"/>
    <w:link w:val="EndnoteTextChar"/>
    <w:rsid w:val="00940E50"/>
    <w:rPr>
      <w:sz w:val="20"/>
      <w:szCs w:val="20"/>
    </w:rPr>
  </w:style>
  <w:style w:type="character" w:customStyle="1" w:styleId="EndnoteTextChar">
    <w:name w:val="Endnote Text Char"/>
    <w:link w:val="EndnoteText"/>
    <w:rsid w:val="00940E50"/>
    <w:rPr>
      <w:lang w:val="en-GB" w:eastAsia="en-GB"/>
    </w:rPr>
  </w:style>
  <w:style w:type="character" w:styleId="EndnoteReference">
    <w:name w:val="endnote reference"/>
    <w:rsid w:val="00940E50"/>
    <w:rPr>
      <w:vertAlign w:val="superscript"/>
    </w:rPr>
  </w:style>
  <w:style w:type="paragraph" w:styleId="BalloonText">
    <w:name w:val="Balloon Text"/>
    <w:basedOn w:val="Normal"/>
    <w:link w:val="BalloonTextChar"/>
    <w:rsid w:val="00440A3B"/>
    <w:rPr>
      <w:rFonts w:ascii="Tahoma" w:hAnsi="Tahoma" w:cs="Tahoma"/>
      <w:sz w:val="16"/>
      <w:szCs w:val="16"/>
    </w:rPr>
  </w:style>
  <w:style w:type="character" w:customStyle="1" w:styleId="BalloonTextChar">
    <w:name w:val="Balloon Text Char"/>
    <w:link w:val="BalloonText"/>
    <w:rsid w:val="00440A3B"/>
    <w:rPr>
      <w:rFonts w:ascii="Tahoma" w:hAnsi="Tahoma" w:cs="Tahoma"/>
      <w:sz w:val="16"/>
      <w:szCs w:val="16"/>
      <w:lang w:val="en-GB" w:eastAsia="en-GB"/>
    </w:rPr>
  </w:style>
  <w:style w:type="paragraph" w:styleId="Footer">
    <w:name w:val="footer"/>
    <w:basedOn w:val="Normal"/>
    <w:link w:val="FooterChar"/>
    <w:uiPriority w:val="99"/>
    <w:rsid w:val="00B8258B"/>
    <w:pPr>
      <w:tabs>
        <w:tab w:val="center" w:pos="4513"/>
        <w:tab w:val="right" w:pos="9026"/>
      </w:tabs>
    </w:pPr>
  </w:style>
  <w:style w:type="character" w:customStyle="1" w:styleId="FooterChar">
    <w:name w:val="Footer Char"/>
    <w:link w:val="Footer"/>
    <w:uiPriority w:val="99"/>
    <w:rsid w:val="00B8258B"/>
    <w:rPr>
      <w:sz w:val="24"/>
      <w:szCs w:val="24"/>
      <w:lang w:val="en-GB" w:eastAsia="en-GB"/>
    </w:rPr>
  </w:style>
  <w:style w:type="paragraph" w:styleId="Revision">
    <w:name w:val="Revision"/>
    <w:hidden/>
    <w:uiPriority w:val="99"/>
    <w:semiHidden/>
    <w:rsid w:val="00CF123D"/>
    <w:rPr>
      <w:sz w:val="24"/>
      <w:szCs w:val="24"/>
      <w:lang w:val="en-GB" w:eastAsia="en-GB"/>
    </w:rPr>
  </w:style>
  <w:style w:type="character" w:customStyle="1" w:styleId="FootnoteTextChar">
    <w:name w:val="Footnote Text Char"/>
    <w:basedOn w:val="DefaultParagraphFont"/>
    <w:link w:val="FootnoteText"/>
    <w:uiPriority w:val="99"/>
    <w:rsid w:val="004D2ADC"/>
    <w:rPr>
      <w:lang w:val="en-GB" w:eastAsia="en-GB"/>
    </w:rPr>
  </w:style>
  <w:style w:type="character" w:styleId="CommentReference">
    <w:name w:val="annotation reference"/>
    <w:basedOn w:val="DefaultParagraphFont"/>
    <w:semiHidden/>
    <w:unhideWhenUsed/>
    <w:rsid w:val="00F7236A"/>
    <w:rPr>
      <w:sz w:val="16"/>
      <w:szCs w:val="16"/>
    </w:rPr>
  </w:style>
  <w:style w:type="paragraph" w:styleId="CommentText">
    <w:name w:val="annotation text"/>
    <w:basedOn w:val="Normal"/>
    <w:link w:val="CommentTextChar"/>
    <w:semiHidden/>
    <w:unhideWhenUsed/>
    <w:rsid w:val="00F7236A"/>
    <w:rPr>
      <w:sz w:val="20"/>
      <w:szCs w:val="20"/>
    </w:rPr>
  </w:style>
  <w:style w:type="character" w:customStyle="1" w:styleId="CommentTextChar">
    <w:name w:val="Comment Text Char"/>
    <w:basedOn w:val="DefaultParagraphFont"/>
    <w:link w:val="CommentText"/>
    <w:semiHidden/>
    <w:rsid w:val="00F7236A"/>
    <w:rPr>
      <w:lang w:val="en-GB" w:eastAsia="en-GB"/>
    </w:rPr>
  </w:style>
  <w:style w:type="paragraph" w:styleId="CommentSubject">
    <w:name w:val="annotation subject"/>
    <w:basedOn w:val="CommentText"/>
    <w:next w:val="CommentText"/>
    <w:link w:val="CommentSubjectChar"/>
    <w:semiHidden/>
    <w:unhideWhenUsed/>
    <w:rsid w:val="00F7236A"/>
    <w:rPr>
      <w:b/>
      <w:bCs/>
    </w:rPr>
  </w:style>
  <w:style w:type="character" w:customStyle="1" w:styleId="CommentSubjectChar">
    <w:name w:val="Comment Subject Char"/>
    <w:basedOn w:val="CommentTextChar"/>
    <w:link w:val="CommentSubject"/>
    <w:semiHidden/>
    <w:rsid w:val="00F7236A"/>
    <w:rPr>
      <w:b/>
      <w:bCs/>
      <w:lang w:val="en-GB" w:eastAsia="en-GB"/>
    </w:rPr>
  </w:style>
  <w:style w:type="paragraph" w:customStyle="1" w:styleId="lg-section">
    <w:name w:val="lg-section"/>
    <w:basedOn w:val="Normal"/>
    <w:rsid w:val="007B7810"/>
    <w:pPr>
      <w:spacing w:before="100" w:beforeAutospacing="1" w:after="100" w:afterAutospacing="1"/>
    </w:pPr>
  </w:style>
  <w:style w:type="paragraph" w:customStyle="1" w:styleId="lg-para3">
    <w:name w:val="lg-para3"/>
    <w:basedOn w:val="Normal"/>
    <w:rsid w:val="007B7810"/>
    <w:pPr>
      <w:spacing w:before="100" w:beforeAutospacing="1" w:after="100" w:afterAutospacing="1"/>
    </w:pPr>
  </w:style>
  <w:style w:type="character" w:customStyle="1" w:styleId="HeaderChar">
    <w:name w:val="Header Char"/>
    <w:basedOn w:val="DefaultParagraphFont"/>
    <w:link w:val="Header"/>
    <w:uiPriority w:val="99"/>
    <w:rsid w:val="007D4AE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5377">
      <w:bodyDiv w:val="1"/>
      <w:marLeft w:val="0"/>
      <w:marRight w:val="0"/>
      <w:marTop w:val="0"/>
      <w:marBottom w:val="0"/>
      <w:divBdr>
        <w:top w:val="none" w:sz="0" w:space="0" w:color="auto"/>
        <w:left w:val="none" w:sz="0" w:space="0" w:color="auto"/>
        <w:bottom w:val="none" w:sz="0" w:space="0" w:color="auto"/>
        <w:right w:val="none" w:sz="0" w:space="0" w:color="auto"/>
      </w:divBdr>
    </w:div>
    <w:div w:id="14231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2871-1C48-46CA-BAEE-4CA4C8B2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5187</Words>
  <Characters>29569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IN THE KWAZULU-NATAL HIGH COURT, DURBAN</vt:lpstr>
    </vt:vector>
  </TitlesOfParts>
  <Company>DOJCD</Company>
  <LinksUpToDate>false</LinksUpToDate>
  <CharactersWithSpaces>34687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KWAZULU-NATAL HIGH COURT, DURBAN</dc:title>
  <dc:creator>Sajala Somaru</dc:creator>
  <cp:lastModifiedBy>Mashitisho Mpho</cp:lastModifiedBy>
  <cp:revision>15</cp:revision>
  <cp:lastPrinted>2022-07-14T09:20:00Z</cp:lastPrinted>
  <dcterms:created xsi:type="dcterms:W3CDTF">2022-07-13T10:47:00Z</dcterms:created>
  <dcterms:modified xsi:type="dcterms:W3CDTF">2022-07-14T09:55:00Z</dcterms:modified>
</cp:coreProperties>
</file>