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1CB6" w14:textId="77777777" w:rsidR="00841AF2" w:rsidRPr="00841AF2" w:rsidRDefault="00841AF2" w:rsidP="00841AF2">
      <w:pPr>
        <w:jc w:val="center"/>
        <w:rPr>
          <w:rFonts w:ascii="Arial" w:hAnsi="Arial" w:cs="Arial"/>
          <w:sz w:val="24"/>
          <w:szCs w:val="24"/>
        </w:rPr>
      </w:pPr>
      <w:bookmarkStart w:id="0" w:name="_GoBack"/>
      <w:bookmarkEnd w:id="0"/>
      <w:r w:rsidRPr="00841AF2">
        <w:rPr>
          <w:rFonts w:ascii="Arial" w:hAnsi="Arial" w:cs="Arial"/>
          <w:noProof/>
          <w:sz w:val="24"/>
          <w:szCs w:val="24"/>
          <w:lang w:eastAsia="en-ZA"/>
        </w:rPr>
        <w:drawing>
          <wp:inline distT="0" distB="0" distL="0" distR="0" wp14:anchorId="774E0F29" wp14:editId="08A89734">
            <wp:extent cx="2159000" cy="179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97050"/>
                    </a:xfrm>
                    <a:prstGeom prst="rect">
                      <a:avLst/>
                    </a:prstGeom>
                    <a:noFill/>
                    <a:ln>
                      <a:noFill/>
                    </a:ln>
                  </pic:spPr>
                </pic:pic>
              </a:graphicData>
            </a:graphic>
          </wp:inline>
        </w:drawing>
      </w:r>
    </w:p>
    <w:p w14:paraId="348A45F7" w14:textId="47B204C6" w:rsidR="00841AF2" w:rsidRPr="00841AF2" w:rsidRDefault="00841AF2" w:rsidP="00841AF2">
      <w:pPr>
        <w:jc w:val="center"/>
        <w:rPr>
          <w:rFonts w:ascii="Arial" w:hAnsi="Arial" w:cs="Arial"/>
          <w:b/>
          <w:sz w:val="24"/>
          <w:szCs w:val="24"/>
        </w:rPr>
      </w:pPr>
      <w:r w:rsidRPr="00841AF2">
        <w:rPr>
          <w:rFonts w:ascii="Arial" w:hAnsi="Arial" w:cs="Arial"/>
          <w:b/>
          <w:sz w:val="24"/>
          <w:szCs w:val="24"/>
        </w:rPr>
        <w:t>IN THE SPECIAL TRIBUNAL ESTABLISHED IN TERMS OF S2 (1) OF THE SPECIAL INVESTIGATI</w:t>
      </w:r>
      <w:r w:rsidR="000B36A8">
        <w:rPr>
          <w:rFonts w:ascii="Arial" w:hAnsi="Arial" w:cs="Arial"/>
          <w:b/>
          <w:sz w:val="24"/>
          <w:szCs w:val="24"/>
        </w:rPr>
        <w:t>NG</w:t>
      </w:r>
      <w:r w:rsidRPr="00841AF2">
        <w:rPr>
          <w:rFonts w:ascii="Arial" w:hAnsi="Arial" w:cs="Arial"/>
          <w:b/>
          <w:sz w:val="24"/>
          <w:szCs w:val="24"/>
        </w:rPr>
        <w:t xml:space="preserve"> UNIT AND</w:t>
      </w:r>
    </w:p>
    <w:p w14:paraId="37AAD206" w14:textId="77777777" w:rsidR="00841AF2" w:rsidRPr="00841AF2" w:rsidRDefault="00841AF2" w:rsidP="00841AF2">
      <w:pPr>
        <w:jc w:val="center"/>
        <w:rPr>
          <w:rFonts w:ascii="Arial" w:hAnsi="Arial" w:cs="Arial"/>
          <w:b/>
          <w:sz w:val="24"/>
          <w:szCs w:val="24"/>
        </w:rPr>
      </w:pPr>
      <w:r w:rsidRPr="00841AF2">
        <w:rPr>
          <w:rFonts w:ascii="Arial" w:hAnsi="Arial" w:cs="Arial"/>
          <w:b/>
          <w:sz w:val="24"/>
          <w:szCs w:val="24"/>
        </w:rPr>
        <w:t>SPECIAL TRIBUNALS ACT 74 OF 1996</w:t>
      </w:r>
    </w:p>
    <w:p w14:paraId="1374E652" w14:textId="0A7CAA4D" w:rsidR="00841AF2" w:rsidRPr="00841AF2" w:rsidRDefault="00841AF2" w:rsidP="00841AF2">
      <w:pPr>
        <w:jc w:val="center"/>
        <w:rPr>
          <w:rFonts w:ascii="Arial" w:hAnsi="Arial" w:cs="Arial"/>
          <w:b/>
          <w:sz w:val="24"/>
          <w:szCs w:val="24"/>
        </w:rPr>
      </w:pPr>
      <w:r w:rsidRPr="00841AF2">
        <w:rPr>
          <w:rFonts w:ascii="Arial" w:hAnsi="Arial" w:cs="Arial"/>
          <w:b/>
          <w:sz w:val="24"/>
          <w:szCs w:val="24"/>
        </w:rPr>
        <w:t>(REPUBLIC OF SOUTH AFRICA)</w:t>
      </w:r>
    </w:p>
    <w:p w14:paraId="7A14981A" w14:textId="2C192629" w:rsidR="00841AF2" w:rsidRDefault="00841AF2" w:rsidP="008505EC">
      <w:pPr>
        <w:spacing w:before="60" w:line="360" w:lineRule="auto"/>
        <w:rPr>
          <w:rFonts w:ascii="Arial" w:eastAsia="Times New Roman" w:hAnsi="Arial" w:cs="Arial"/>
          <w:color w:val="000000"/>
          <w:lang w:eastAsia="en-GB"/>
        </w:rPr>
      </w:pPr>
    </w:p>
    <w:p w14:paraId="137E7D93" w14:textId="77777777" w:rsidR="00841AF2" w:rsidRDefault="00841AF2" w:rsidP="00841AF2">
      <w:pPr>
        <w:ind w:left="5902" w:firstLine="578"/>
        <w:rPr>
          <w:rFonts w:ascii="Arial" w:hAnsi="Arial" w:cs="Arial"/>
          <w:b/>
        </w:rPr>
      </w:pPr>
      <w:r>
        <w:rPr>
          <w:rFonts w:ascii="Arial" w:hAnsi="Arial" w:cs="Arial"/>
          <w:b/>
        </w:rPr>
        <w:t>CASE NO. KN/04/2022</w:t>
      </w:r>
    </w:p>
    <w:p w14:paraId="10BC6F07"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In the matter between : </w:t>
      </w:r>
    </w:p>
    <w:p w14:paraId="0D302FF5" w14:textId="77777777" w:rsidR="00841AF2" w:rsidRPr="00841AF2" w:rsidRDefault="00841AF2" w:rsidP="00841AF2">
      <w:pPr>
        <w:rPr>
          <w:rFonts w:ascii="Arial" w:hAnsi="Arial" w:cs="Arial"/>
          <w:sz w:val="24"/>
          <w:szCs w:val="24"/>
        </w:rPr>
      </w:pPr>
    </w:p>
    <w:p w14:paraId="0CAC7996" w14:textId="77777777" w:rsidR="00841AF2" w:rsidRPr="00841AF2" w:rsidRDefault="00841AF2" w:rsidP="00841AF2">
      <w:pPr>
        <w:rPr>
          <w:rFonts w:ascii="Arial" w:hAnsi="Arial" w:cs="Arial"/>
          <w:sz w:val="24"/>
          <w:szCs w:val="24"/>
        </w:rPr>
      </w:pPr>
      <w:r w:rsidRPr="00841AF2">
        <w:rPr>
          <w:rFonts w:ascii="Arial" w:hAnsi="Arial" w:cs="Arial"/>
          <w:sz w:val="24"/>
          <w:szCs w:val="24"/>
        </w:rPr>
        <w:t>SPECIAL INVESTIGATING UNIT</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 xml:space="preserve">APPLICANT </w:t>
      </w:r>
    </w:p>
    <w:p w14:paraId="5C747C75" w14:textId="77777777" w:rsidR="00841AF2" w:rsidRPr="00841AF2" w:rsidRDefault="00841AF2" w:rsidP="00841AF2">
      <w:pPr>
        <w:rPr>
          <w:rFonts w:ascii="Arial" w:hAnsi="Arial" w:cs="Arial"/>
          <w:sz w:val="24"/>
          <w:szCs w:val="24"/>
        </w:rPr>
      </w:pPr>
    </w:p>
    <w:p w14:paraId="7BD77DED" w14:textId="77777777" w:rsidR="00841AF2" w:rsidRPr="00841AF2" w:rsidRDefault="00841AF2" w:rsidP="00841AF2">
      <w:pPr>
        <w:rPr>
          <w:rFonts w:ascii="Arial" w:hAnsi="Arial" w:cs="Arial"/>
          <w:sz w:val="24"/>
          <w:szCs w:val="24"/>
        </w:rPr>
      </w:pPr>
      <w:r w:rsidRPr="00841AF2">
        <w:rPr>
          <w:rFonts w:ascii="Arial" w:hAnsi="Arial" w:cs="Arial"/>
          <w:sz w:val="24"/>
          <w:szCs w:val="24"/>
        </w:rPr>
        <w:t>AND</w:t>
      </w:r>
    </w:p>
    <w:p w14:paraId="50260D3C" w14:textId="77777777" w:rsidR="00841AF2" w:rsidRPr="00841AF2" w:rsidRDefault="00841AF2" w:rsidP="00841AF2">
      <w:pPr>
        <w:rPr>
          <w:rFonts w:ascii="Arial" w:hAnsi="Arial" w:cs="Arial"/>
          <w:sz w:val="24"/>
          <w:szCs w:val="24"/>
        </w:rPr>
      </w:pPr>
    </w:p>
    <w:p w14:paraId="5ED69D13"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CZAKHELE ENTERPRISE (PTY) LTD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w:t>
      </w:r>
      <w:r w:rsidRPr="00841AF2">
        <w:rPr>
          <w:rFonts w:ascii="Arial" w:hAnsi="Arial" w:cs="Arial"/>
          <w:sz w:val="24"/>
          <w:szCs w:val="24"/>
          <w:vertAlign w:val="superscript"/>
        </w:rPr>
        <w:t>ST</w:t>
      </w:r>
      <w:r w:rsidRPr="00841AF2">
        <w:rPr>
          <w:rFonts w:ascii="Arial" w:hAnsi="Arial" w:cs="Arial"/>
          <w:sz w:val="24"/>
          <w:szCs w:val="24"/>
        </w:rPr>
        <w:t xml:space="preserve"> RESPONDENT </w:t>
      </w:r>
    </w:p>
    <w:p w14:paraId="6A54B96B" w14:textId="77777777" w:rsidR="00841AF2" w:rsidRPr="00841AF2" w:rsidRDefault="00841AF2" w:rsidP="00841AF2">
      <w:pPr>
        <w:rPr>
          <w:rFonts w:ascii="Arial" w:hAnsi="Arial" w:cs="Arial"/>
          <w:sz w:val="24"/>
          <w:szCs w:val="24"/>
        </w:rPr>
      </w:pPr>
    </w:p>
    <w:p w14:paraId="4F5A1DB4"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THEMBISILE OTTILIA HLENGWA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2</w:t>
      </w:r>
      <w:r w:rsidRPr="00841AF2">
        <w:rPr>
          <w:rFonts w:ascii="Arial" w:hAnsi="Arial" w:cs="Arial"/>
          <w:sz w:val="24"/>
          <w:szCs w:val="24"/>
          <w:vertAlign w:val="superscript"/>
        </w:rPr>
        <w:t>ND</w:t>
      </w:r>
      <w:r w:rsidRPr="00841AF2">
        <w:rPr>
          <w:rFonts w:ascii="Arial" w:hAnsi="Arial" w:cs="Arial"/>
          <w:sz w:val="24"/>
          <w:szCs w:val="24"/>
        </w:rPr>
        <w:t xml:space="preserve"> RESPONDENT </w:t>
      </w:r>
    </w:p>
    <w:p w14:paraId="4F326871" w14:textId="77777777" w:rsidR="00841AF2" w:rsidRPr="00841AF2" w:rsidRDefault="00841AF2" w:rsidP="00841AF2">
      <w:pPr>
        <w:rPr>
          <w:rFonts w:ascii="Arial" w:hAnsi="Arial" w:cs="Arial"/>
          <w:sz w:val="24"/>
          <w:szCs w:val="24"/>
        </w:rPr>
      </w:pPr>
    </w:p>
    <w:p w14:paraId="5BDDA006" w14:textId="77777777" w:rsidR="00841AF2" w:rsidRPr="00841AF2" w:rsidRDefault="00841AF2" w:rsidP="00841AF2">
      <w:pPr>
        <w:rPr>
          <w:rFonts w:ascii="Arial" w:hAnsi="Arial" w:cs="Arial"/>
          <w:sz w:val="24"/>
          <w:szCs w:val="24"/>
        </w:rPr>
      </w:pPr>
      <w:r w:rsidRPr="00841AF2">
        <w:rPr>
          <w:rFonts w:ascii="Arial" w:hAnsi="Arial" w:cs="Arial"/>
          <w:sz w:val="24"/>
          <w:szCs w:val="24"/>
        </w:rPr>
        <w:t>MASHIBELA BUSINESS ENTERPRISE CC</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3</w:t>
      </w:r>
      <w:r w:rsidRPr="00841AF2">
        <w:rPr>
          <w:rFonts w:ascii="Arial" w:hAnsi="Arial" w:cs="Arial"/>
          <w:sz w:val="24"/>
          <w:szCs w:val="24"/>
          <w:vertAlign w:val="superscript"/>
        </w:rPr>
        <w:t>RD</w:t>
      </w:r>
      <w:r w:rsidRPr="00841AF2">
        <w:rPr>
          <w:rFonts w:ascii="Arial" w:hAnsi="Arial" w:cs="Arial"/>
          <w:sz w:val="24"/>
          <w:szCs w:val="24"/>
        </w:rPr>
        <w:t xml:space="preserve"> RESPONDENT</w:t>
      </w:r>
    </w:p>
    <w:p w14:paraId="6050F260" w14:textId="77777777" w:rsidR="00841AF2" w:rsidRPr="00841AF2" w:rsidRDefault="00841AF2" w:rsidP="00841AF2">
      <w:pPr>
        <w:rPr>
          <w:rFonts w:ascii="Arial" w:hAnsi="Arial" w:cs="Arial"/>
          <w:sz w:val="24"/>
          <w:szCs w:val="24"/>
        </w:rPr>
      </w:pPr>
    </w:p>
    <w:p w14:paraId="1C6F31CE"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PATRICK SIBUSISO MABASO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4</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70D67902" w14:textId="77777777" w:rsidR="00841AF2" w:rsidRPr="00841AF2" w:rsidRDefault="00841AF2" w:rsidP="00841AF2">
      <w:pPr>
        <w:rPr>
          <w:rFonts w:ascii="Arial" w:hAnsi="Arial" w:cs="Arial"/>
          <w:sz w:val="24"/>
          <w:szCs w:val="24"/>
        </w:rPr>
      </w:pPr>
    </w:p>
    <w:p w14:paraId="6EED455F"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SIZAKELE MABASO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5</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1F8B5343" w14:textId="77777777" w:rsidR="00841AF2" w:rsidRPr="00841AF2" w:rsidRDefault="00841AF2" w:rsidP="00841AF2">
      <w:pPr>
        <w:rPr>
          <w:rFonts w:ascii="Arial" w:hAnsi="Arial" w:cs="Arial"/>
          <w:sz w:val="24"/>
          <w:szCs w:val="24"/>
        </w:rPr>
      </w:pPr>
    </w:p>
    <w:p w14:paraId="3F05EDA8" w14:textId="77777777" w:rsidR="00841AF2" w:rsidRPr="00841AF2" w:rsidRDefault="00841AF2" w:rsidP="00841AF2">
      <w:pPr>
        <w:rPr>
          <w:rFonts w:ascii="Arial" w:hAnsi="Arial" w:cs="Arial"/>
          <w:sz w:val="24"/>
          <w:szCs w:val="24"/>
        </w:rPr>
      </w:pPr>
      <w:r w:rsidRPr="00841AF2">
        <w:rPr>
          <w:rFonts w:ascii="Arial" w:hAnsi="Arial" w:cs="Arial"/>
          <w:sz w:val="24"/>
          <w:szCs w:val="24"/>
        </w:rPr>
        <w:t>THE DEPARTMENT OF BASIC EDUCATION,</w:t>
      </w:r>
    </w:p>
    <w:p w14:paraId="617B2856" w14:textId="77777777" w:rsidR="00841AF2" w:rsidRPr="00841AF2" w:rsidRDefault="00841AF2" w:rsidP="00841AF2">
      <w:pPr>
        <w:rPr>
          <w:rFonts w:ascii="Arial" w:hAnsi="Arial" w:cs="Arial"/>
          <w:sz w:val="24"/>
          <w:szCs w:val="24"/>
        </w:rPr>
      </w:pPr>
      <w:r w:rsidRPr="00841AF2">
        <w:rPr>
          <w:rFonts w:ascii="Arial" w:hAnsi="Arial" w:cs="Arial"/>
          <w:sz w:val="24"/>
          <w:szCs w:val="24"/>
        </w:rPr>
        <w:t>KWAZULU NATAL PROVINCE</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6</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4CC75112" w14:textId="77777777" w:rsidR="00841AF2" w:rsidRPr="00841AF2" w:rsidRDefault="00841AF2" w:rsidP="00841AF2">
      <w:pPr>
        <w:rPr>
          <w:rFonts w:ascii="Arial" w:hAnsi="Arial" w:cs="Arial"/>
          <w:sz w:val="24"/>
          <w:szCs w:val="24"/>
        </w:rPr>
      </w:pPr>
    </w:p>
    <w:p w14:paraId="157DF39D"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MEMBER OF THE EXECUTIVE COUNCIL </w:t>
      </w:r>
    </w:p>
    <w:p w14:paraId="1BF779DF"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FOR EDUCATION KWAZULU NATAL, PROVINCE </w:t>
      </w:r>
      <w:r w:rsidRPr="00841AF2">
        <w:rPr>
          <w:rFonts w:ascii="Arial" w:hAnsi="Arial" w:cs="Arial"/>
          <w:sz w:val="24"/>
          <w:szCs w:val="24"/>
        </w:rPr>
        <w:tab/>
      </w:r>
      <w:r w:rsidRPr="00841AF2">
        <w:rPr>
          <w:rFonts w:ascii="Arial" w:hAnsi="Arial" w:cs="Arial"/>
          <w:sz w:val="24"/>
          <w:szCs w:val="24"/>
        </w:rPr>
        <w:tab/>
        <w:t>7</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000B1D75" w14:textId="77777777" w:rsidR="00841AF2" w:rsidRPr="00841AF2" w:rsidRDefault="00841AF2" w:rsidP="00841AF2">
      <w:pPr>
        <w:rPr>
          <w:rFonts w:ascii="Arial" w:hAnsi="Arial" w:cs="Arial"/>
          <w:sz w:val="24"/>
          <w:szCs w:val="24"/>
        </w:rPr>
      </w:pPr>
    </w:p>
    <w:p w14:paraId="4575C2E2"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JENNY NAIDOO N.O.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8</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51C2267A" w14:textId="77777777" w:rsidR="00841AF2" w:rsidRPr="00841AF2" w:rsidRDefault="00841AF2" w:rsidP="00841AF2">
      <w:pPr>
        <w:rPr>
          <w:rFonts w:ascii="Arial" w:hAnsi="Arial" w:cs="Arial"/>
          <w:sz w:val="24"/>
          <w:szCs w:val="24"/>
        </w:rPr>
      </w:pPr>
    </w:p>
    <w:p w14:paraId="204AFDA6"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LAL RAMBARAN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9</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77F18F49" w14:textId="77777777" w:rsidR="00841AF2" w:rsidRPr="00841AF2" w:rsidRDefault="00841AF2" w:rsidP="00841AF2">
      <w:pPr>
        <w:rPr>
          <w:rFonts w:ascii="Arial" w:hAnsi="Arial" w:cs="Arial"/>
          <w:sz w:val="24"/>
          <w:szCs w:val="24"/>
        </w:rPr>
      </w:pPr>
    </w:p>
    <w:p w14:paraId="0912D663" w14:textId="77777777" w:rsidR="00841AF2" w:rsidRPr="00841AF2" w:rsidRDefault="00841AF2" w:rsidP="00841AF2">
      <w:pPr>
        <w:rPr>
          <w:rFonts w:ascii="Arial" w:hAnsi="Arial" w:cs="Arial"/>
          <w:sz w:val="24"/>
          <w:szCs w:val="24"/>
        </w:rPr>
      </w:pPr>
      <w:r w:rsidRPr="00841AF2">
        <w:rPr>
          <w:rFonts w:ascii="Arial" w:hAnsi="Arial" w:cs="Arial"/>
          <w:sz w:val="24"/>
          <w:szCs w:val="24"/>
        </w:rPr>
        <w:t>FUSI EPHRAIHIM RADEBE</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10</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32B758FA" w14:textId="77777777" w:rsidR="00841AF2" w:rsidRPr="00841AF2" w:rsidRDefault="00841AF2" w:rsidP="00841AF2">
      <w:pPr>
        <w:rPr>
          <w:rFonts w:ascii="Arial" w:hAnsi="Arial" w:cs="Arial"/>
          <w:sz w:val="24"/>
          <w:szCs w:val="24"/>
        </w:rPr>
      </w:pPr>
    </w:p>
    <w:p w14:paraId="3EDD2D76"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HAZEL B KHUMALO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11</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4625DC03" w14:textId="77777777" w:rsidR="00841AF2" w:rsidRPr="00841AF2" w:rsidRDefault="00841AF2" w:rsidP="00841AF2">
      <w:pPr>
        <w:rPr>
          <w:rFonts w:ascii="Arial" w:hAnsi="Arial" w:cs="Arial"/>
          <w:sz w:val="24"/>
          <w:szCs w:val="24"/>
        </w:rPr>
      </w:pPr>
    </w:p>
    <w:p w14:paraId="35763841"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BHEKITHEMBA V MLAMBO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12</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1358F54D" w14:textId="77777777" w:rsidR="00841AF2" w:rsidRPr="00841AF2" w:rsidRDefault="00841AF2" w:rsidP="00841AF2">
      <w:pPr>
        <w:rPr>
          <w:rFonts w:ascii="Arial" w:hAnsi="Arial" w:cs="Arial"/>
          <w:sz w:val="24"/>
          <w:szCs w:val="24"/>
        </w:rPr>
      </w:pPr>
    </w:p>
    <w:p w14:paraId="56C73CB9" w14:textId="547ECA03" w:rsidR="00841AF2" w:rsidRPr="00841AF2" w:rsidRDefault="00841AF2" w:rsidP="00841AF2">
      <w:pPr>
        <w:rPr>
          <w:rFonts w:ascii="Arial" w:hAnsi="Arial" w:cs="Arial"/>
          <w:sz w:val="24"/>
          <w:szCs w:val="24"/>
        </w:rPr>
      </w:pPr>
      <w:r>
        <w:rPr>
          <w:rFonts w:ascii="Arial" w:hAnsi="Arial" w:cs="Arial"/>
          <w:sz w:val="24"/>
          <w:szCs w:val="24"/>
        </w:rPr>
        <w:t xml:space="preserve">PHATHIWE PATRICA BHENGU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1AF2">
        <w:rPr>
          <w:rFonts w:ascii="Arial" w:hAnsi="Arial" w:cs="Arial"/>
          <w:sz w:val="24"/>
          <w:szCs w:val="24"/>
        </w:rPr>
        <w:t>13</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7FD8F8AE" w14:textId="7984806A" w:rsidR="00841AF2" w:rsidRPr="00841AF2" w:rsidRDefault="00841AF2" w:rsidP="00841AF2">
      <w:pPr>
        <w:rPr>
          <w:rFonts w:ascii="Arial" w:hAnsi="Arial" w:cs="Arial"/>
          <w:sz w:val="24"/>
          <w:szCs w:val="24"/>
        </w:rPr>
      </w:pPr>
      <w:r>
        <w:rPr>
          <w:rFonts w:ascii="Arial" w:hAnsi="Arial" w:cs="Arial"/>
          <w:sz w:val="24"/>
          <w:szCs w:val="24"/>
        </w:rPr>
        <w:lastRenderedPageBreak/>
        <w:t xml:space="preserve">P MVELASE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1AF2">
        <w:rPr>
          <w:rFonts w:ascii="Arial" w:hAnsi="Arial" w:cs="Arial"/>
          <w:sz w:val="24"/>
          <w:szCs w:val="24"/>
        </w:rPr>
        <w:t>14</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41C9172F" w14:textId="77777777" w:rsidR="00841AF2" w:rsidRPr="00841AF2" w:rsidRDefault="00841AF2" w:rsidP="00841AF2">
      <w:pPr>
        <w:rPr>
          <w:rFonts w:ascii="Arial" w:hAnsi="Arial" w:cs="Arial"/>
          <w:sz w:val="24"/>
          <w:szCs w:val="24"/>
        </w:rPr>
      </w:pPr>
    </w:p>
    <w:p w14:paraId="5A8B362C"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L J BOIK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15</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29AA167E" w14:textId="77777777" w:rsidR="00841AF2" w:rsidRPr="00841AF2" w:rsidRDefault="00841AF2" w:rsidP="00841AF2">
      <w:pPr>
        <w:rPr>
          <w:rFonts w:ascii="Arial" w:hAnsi="Arial" w:cs="Arial"/>
          <w:sz w:val="24"/>
          <w:szCs w:val="24"/>
        </w:rPr>
      </w:pPr>
    </w:p>
    <w:p w14:paraId="7D2DB7D0"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THULISILE MASINGA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16</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5DF190CF" w14:textId="77777777" w:rsidR="00841AF2" w:rsidRPr="00841AF2" w:rsidRDefault="00841AF2" w:rsidP="00841AF2">
      <w:pPr>
        <w:rPr>
          <w:rFonts w:ascii="Arial" w:hAnsi="Arial" w:cs="Arial"/>
          <w:sz w:val="24"/>
          <w:szCs w:val="24"/>
        </w:rPr>
      </w:pPr>
    </w:p>
    <w:p w14:paraId="174D44EC" w14:textId="77777777" w:rsidR="00841AF2" w:rsidRPr="00841AF2" w:rsidRDefault="00841AF2" w:rsidP="00841AF2">
      <w:pPr>
        <w:rPr>
          <w:rFonts w:ascii="Arial" w:hAnsi="Arial" w:cs="Arial"/>
          <w:sz w:val="24"/>
          <w:szCs w:val="24"/>
        </w:rPr>
      </w:pPr>
      <w:r w:rsidRPr="00841AF2">
        <w:rPr>
          <w:rFonts w:ascii="Arial" w:hAnsi="Arial" w:cs="Arial"/>
          <w:sz w:val="24"/>
          <w:szCs w:val="24"/>
        </w:rPr>
        <w:t xml:space="preserve">THULISILE P CHILIZA </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17</w:t>
      </w:r>
      <w:r w:rsidRPr="00841AF2">
        <w:rPr>
          <w:rFonts w:ascii="Arial" w:hAnsi="Arial" w:cs="Arial"/>
          <w:sz w:val="24"/>
          <w:szCs w:val="24"/>
          <w:vertAlign w:val="superscript"/>
        </w:rPr>
        <w:t>TH</w:t>
      </w:r>
      <w:r w:rsidRPr="00841AF2">
        <w:rPr>
          <w:rFonts w:ascii="Arial" w:hAnsi="Arial" w:cs="Arial"/>
          <w:sz w:val="24"/>
          <w:szCs w:val="24"/>
        </w:rPr>
        <w:t xml:space="preserve"> RESPONDENT</w:t>
      </w:r>
    </w:p>
    <w:p w14:paraId="0A59BE8C" w14:textId="77777777" w:rsidR="00841AF2" w:rsidRPr="00841AF2" w:rsidRDefault="00841AF2" w:rsidP="00841AF2">
      <w:pPr>
        <w:rPr>
          <w:rFonts w:ascii="Arial" w:hAnsi="Arial" w:cs="Arial"/>
          <w:sz w:val="24"/>
          <w:szCs w:val="24"/>
        </w:rPr>
      </w:pPr>
    </w:p>
    <w:p w14:paraId="2FEFA5CD" w14:textId="4DED822E" w:rsidR="00841AF2" w:rsidRPr="00841AF2" w:rsidRDefault="00841AF2" w:rsidP="00841AF2">
      <w:pPr>
        <w:rPr>
          <w:rFonts w:ascii="Arial" w:hAnsi="Arial" w:cs="Arial"/>
          <w:sz w:val="24"/>
          <w:szCs w:val="24"/>
        </w:rPr>
      </w:pPr>
      <w:r>
        <w:rPr>
          <w:rFonts w:ascii="Arial" w:hAnsi="Arial" w:cs="Arial"/>
          <w:sz w:val="24"/>
          <w:szCs w:val="24"/>
        </w:rPr>
        <w:t xml:space="preserve">NF MKHIZE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1AF2">
        <w:rPr>
          <w:rFonts w:ascii="Arial" w:hAnsi="Arial" w:cs="Arial"/>
          <w:sz w:val="24"/>
          <w:szCs w:val="24"/>
        </w:rPr>
        <w:t>18</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17B87202" w14:textId="77777777" w:rsidR="00841AF2" w:rsidRPr="00841AF2" w:rsidRDefault="00841AF2" w:rsidP="00841AF2">
      <w:pPr>
        <w:rPr>
          <w:rFonts w:ascii="Arial" w:hAnsi="Arial" w:cs="Arial"/>
          <w:sz w:val="24"/>
          <w:szCs w:val="24"/>
        </w:rPr>
      </w:pPr>
    </w:p>
    <w:p w14:paraId="19FA639C" w14:textId="3CF8EA43" w:rsidR="00841AF2" w:rsidRPr="00841AF2" w:rsidRDefault="00841AF2" w:rsidP="00841AF2">
      <w:pPr>
        <w:rPr>
          <w:rFonts w:ascii="Arial" w:hAnsi="Arial" w:cs="Arial"/>
          <w:sz w:val="24"/>
          <w:szCs w:val="24"/>
        </w:rPr>
      </w:pPr>
      <w:r w:rsidRPr="00841AF2">
        <w:rPr>
          <w:rFonts w:ascii="Arial" w:hAnsi="Arial" w:cs="Arial"/>
          <w:sz w:val="24"/>
          <w:szCs w:val="24"/>
        </w:rPr>
        <w:t xml:space="preserve">GUGU HADEBE </w:t>
      </w:r>
      <w:r w:rsidRPr="00841AF2">
        <w:rPr>
          <w:rFonts w:ascii="Arial" w:hAnsi="Arial" w:cs="Arial"/>
          <w:sz w:val="24"/>
          <w:szCs w:val="24"/>
        </w:rPr>
        <w:tab/>
      </w:r>
      <w:r w:rsidRPr="00841AF2">
        <w:rPr>
          <w:rFonts w:ascii="Arial" w:hAnsi="Arial" w:cs="Arial"/>
          <w:sz w:val="24"/>
          <w:szCs w:val="24"/>
        </w:rPr>
        <w:tab/>
      </w:r>
      <w:r w:rsidR="00BA5389">
        <w:rPr>
          <w:rFonts w:ascii="Arial" w:hAnsi="Arial" w:cs="Arial"/>
          <w:sz w:val="24"/>
          <w:szCs w:val="24"/>
        </w:rPr>
        <w:t>Judiciary@2024</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19</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35CC29F2" w14:textId="77777777" w:rsidR="00841AF2" w:rsidRPr="00841AF2" w:rsidRDefault="00841AF2" w:rsidP="00841AF2">
      <w:pPr>
        <w:rPr>
          <w:rFonts w:ascii="Arial" w:hAnsi="Arial" w:cs="Arial"/>
          <w:sz w:val="24"/>
          <w:szCs w:val="24"/>
        </w:rPr>
      </w:pPr>
    </w:p>
    <w:p w14:paraId="7471ED52" w14:textId="77777777" w:rsidR="00841AF2" w:rsidRPr="00841AF2" w:rsidRDefault="00841AF2" w:rsidP="00841AF2">
      <w:pPr>
        <w:rPr>
          <w:rFonts w:ascii="Arial" w:hAnsi="Arial" w:cs="Arial"/>
          <w:sz w:val="24"/>
          <w:szCs w:val="24"/>
        </w:rPr>
      </w:pPr>
      <w:r w:rsidRPr="00841AF2">
        <w:rPr>
          <w:rFonts w:ascii="Arial" w:hAnsi="Arial" w:cs="Arial"/>
          <w:sz w:val="24"/>
          <w:szCs w:val="24"/>
        </w:rPr>
        <w:t>NA ZULU</w:t>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r>
      <w:r w:rsidRPr="00841AF2">
        <w:rPr>
          <w:rFonts w:ascii="Arial" w:hAnsi="Arial" w:cs="Arial"/>
          <w:sz w:val="24"/>
          <w:szCs w:val="24"/>
        </w:rPr>
        <w:tab/>
        <w:t>20</w:t>
      </w:r>
      <w:r w:rsidRPr="00841AF2">
        <w:rPr>
          <w:rFonts w:ascii="Arial" w:hAnsi="Arial" w:cs="Arial"/>
          <w:sz w:val="24"/>
          <w:szCs w:val="24"/>
          <w:vertAlign w:val="superscript"/>
        </w:rPr>
        <w:t>TH</w:t>
      </w:r>
      <w:r w:rsidRPr="00841AF2">
        <w:rPr>
          <w:rFonts w:ascii="Arial" w:hAnsi="Arial" w:cs="Arial"/>
          <w:sz w:val="24"/>
          <w:szCs w:val="24"/>
        </w:rPr>
        <w:t xml:space="preserve"> RESPONDENT </w:t>
      </w:r>
    </w:p>
    <w:p w14:paraId="51AA5CC6" w14:textId="77777777" w:rsidR="00841AF2" w:rsidRPr="00841AF2" w:rsidRDefault="00841AF2" w:rsidP="00841AF2">
      <w:pPr>
        <w:rPr>
          <w:rFonts w:ascii="Arial" w:hAnsi="Arial" w:cs="Arial"/>
          <w:sz w:val="24"/>
          <w:szCs w:val="24"/>
        </w:rPr>
      </w:pPr>
    </w:p>
    <w:p w14:paraId="0FB5E6AF" w14:textId="77777777" w:rsidR="00841AF2" w:rsidRPr="00841AF2" w:rsidRDefault="00841AF2" w:rsidP="00841AF2">
      <w:pPr>
        <w:pBdr>
          <w:bottom w:val="single" w:sz="12" w:space="1" w:color="auto"/>
        </w:pBdr>
        <w:rPr>
          <w:rFonts w:ascii="Arial" w:hAnsi="Arial" w:cs="Arial"/>
          <w:sz w:val="24"/>
          <w:szCs w:val="24"/>
        </w:rPr>
      </w:pPr>
    </w:p>
    <w:p w14:paraId="505F7761" w14:textId="77777777" w:rsidR="00841AF2" w:rsidRPr="00841AF2" w:rsidRDefault="00841AF2" w:rsidP="00841AF2">
      <w:pPr>
        <w:rPr>
          <w:rFonts w:ascii="Arial" w:hAnsi="Arial" w:cs="Arial"/>
          <w:sz w:val="24"/>
          <w:szCs w:val="24"/>
        </w:rPr>
      </w:pPr>
    </w:p>
    <w:p w14:paraId="664870EB" w14:textId="136E0E27" w:rsidR="00841AF2" w:rsidRPr="00841AF2" w:rsidRDefault="00841AF2" w:rsidP="00841AF2">
      <w:pPr>
        <w:pBdr>
          <w:bottom w:val="single" w:sz="12" w:space="1" w:color="auto"/>
        </w:pBdr>
        <w:jc w:val="center"/>
        <w:rPr>
          <w:rFonts w:ascii="Arial Black" w:hAnsi="Arial Black" w:cs="Arial"/>
          <w:sz w:val="24"/>
          <w:szCs w:val="24"/>
        </w:rPr>
      </w:pPr>
      <w:r w:rsidRPr="00841AF2">
        <w:rPr>
          <w:rFonts w:ascii="Arial Black" w:hAnsi="Arial Black" w:cs="Arial"/>
          <w:sz w:val="24"/>
          <w:szCs w:val="24"/>
        </w:rPr>
        <w:t xml:space="preserve">JUDGMENT </w:t>
      </w:r>
    </w:p>
    <w:p w14:paraId="0420C63C" w14:textId="77777777" w:rsidR="00841AF2" w:rsidRDefault="00841AF2" w:rsidP="00841AF2">
      <w:pPr>
        <w:pBdr>
          <w:bottom w:val="single" w:sz="12" w:space="1" w:color="auto"/>
        </w:pBdr>
        <w:jc w:val="center"/>
        <w:rPr>
          <w:rFonts w:ascii="Arial" w:hAnsi="Arial" w:cs="Arial"/>
        </w:rPr>
      </w:pPr>
    </w:p>
    <w:p w14:paraId="78619D9F" w14:textId="77777777" w:rsidR="00841AF2" w:rsidRDefault="00841AF2" w:rsidP="00841AF2">
      <w:pPr>
        <w:rPr>
          <w:rFonts w:ascii="Arial" w:hAnsi="Arial" w:cs="Arial"/>
        </w:rPr>
      </w:pPr>
    </w:p>
    <w:p w14:paraId="46A0D206" w14:textId="77777777" w:rsidR="000B36A8" w:rsidRDefault="000B36A8" w:rsidP="008505EC">
      <w:pPr>
        <w:spacing w:before="60" w:line="360" w:lineRule="auto"/>
        <w:rPr>
          <w:rFonts w:ascii="Arial" w:eastAsia="Times New Roman" w:hAnsi="Arial" w:cs="Arial"/>
          <w:b/>
          <w:bCs/>
          <w:color w:val="000000"/>
          <w:lang w:eastAsia="en-GB"/>
        </w:rPr>
      </w:pPr>
      <w:r w:rsidRPr="000B36A8">
        <w:rPr>
          <w:rFonts w:ascii="Arial" w:eastAsia="Times New Roman" w:hAnsi="Arial" w:cs="Arial"/>
          <w:b/>
          <w:bCs/>
          <w:color w:val="000000"/>
          <w:lang w:eastAsia="en-GB"/>
        </w:rPr>
        <w:t>Summary</w:t>
      </w:r>
    </w:p>
    <w:p w14:paraId="04A2CCA0" w14:textId="1E4F551A" w:rsidR="000B36A8" w:rsidRPr="000B36A8" w:rsidRDefault="000B36A8" w:rsidP="008505EC">
      <w:pPr>
        <w:spacing w:before="60" w:line="360" w:lineRule="auto"/>
        <w:rPr>
          <w:rFonts w:ascii="Arial" w:eastAsia="Times New Roman" w:hAnsi="Arial" w:cs="Arial"/>
          <w:color w:val="000000"/>
          <w:lang w:eastAsia="en-GB"/>
        </w:rPr>
      </w:pPr>
      <w:r w:rsidRPr="000B36A8">
        <w:rPr>
          <w:rFonts w:ascii="Arial" w:eastAsia="Times New Roman" w:hAnsi="Arial" w:cs="Arial"/>
          <w:i/>
          <w:iCs/>
          <w:color w:val="000000"/>
          <w:lang w:eastAsia="en-GB"/>
        </w:rPr>
        <w:t>Application to strike out in terms of Uniform Rule 23(2) read with Tribunal Rule 28(1).</w:t>
      </w:r>
      <w:r>
        <w:rPr>
          <w:rFonts w:ascii="Arial" w:eastAsia="Times New Roman" w:hAnsi="Arial" w:cs="Arial"/>
          <w:b/>
          <w:bCs/>
          <w:color w:val="000000"/>
          <w:lang w:eastAsia="en-GB"/>
        </w:rPr>
        <w:t xml:space="preserve"> </w:t>
      </w:r>
      <w:r w:rsidRPr="000B36A8">
        <w:rPr>
          <w:rFonts w:ascii="Arial" w:eastAsia="Times New Roman" w:hAnsi="Arial" w:cs="Arial"/>
          <w:color w:val="000000"/>
          <w:lang w:eastAsia="en-GB"/>
        </w:rPr>
        <w:t>Whether the material sought to be struck ou</w:t>
      </w:r>
      <w:r w:rsidR="009D78ED">
        <w:rPr>
          <w:rFonts w:ascii="Arial" w:eastAsia="Times New Roman" w:hAnsi="Arial" w:cs="Arial"/>
          <w:color w:val="000000"/>
          <w:lang w:eastAsia="en-GB"/>
        </w:rPr>
        <w:t>t</w:t>
      </w:r>
      <w:r w:rsidRPr="000B36A8">
        <w:rPr>
          <w:rFonts w:ascii="Arial" w:eastAsia="Times New Roman" w:hAnsi="Arial" w:cs="Arial"/>
          <w:color w:val="000000"/>
          <w:lang w:eastAsia="en-GB"/>
        </w:rPr>
        <w:t xml:space="preserve"> is scandalous and irrelevant and will cause prejudice to the twelfth respondent if not struck out. The application partially upheld with costs.</w:t>
      </w:r>
    </w:p>
    <w:p w14:paraId="65F4C79C" w14:textId="7974C0C7" w:rsidR="000B36A8" w:rsidRPr="000B36A8" w:rsidRDefault="000B36A8" w:rsidP="000B36A8">
      <w:pPr>
        <w:spacing w:before="60" w:line="360" w:lineRule="auto"/>
        <w:rPr>
          <w:rFonts w:ascii="Arial" w:eastAsia="Times New Roman" w:hAnsi="Arial" w:cs="Arial"/>
          <w:color w:val="000000"/>
          <w:lang w:eastAsia="en-GB"/>
        </w:rPr>
      </w:pPr>
      <w:r w:rsidRPr="000B36A8">
        <w:rPr>
          <w:rFonts w:ascii="Arial" w:eastAsia="Times New Roman" w:hAnsi="Arial" w:cs="Arial"/>
          <w:i/>
          <w:iCs/>
          <w:color w:val="000000"/>
          <w:lang w:eastAsia="en-GB"/>
        </w:rPr>
        <w:t>Application to compel discovery</w:t>
      </w:r>
      <w:r>
        <w:rPr>
          <w:rFonts w:ascii="Arial" w:eastAsia="Times New Roman" w:hAnsi="Arial" w:cs="Arial"/>
          <w:b/>
          <w:bCs/>
          <w:color w:val="000000"/>
          <w:lang w:eastAsia="en-GB"/>
        </w:rPr>
        <w:t xml:space="preserve"> </w:t>
      </w:r>
      <w:r w:rsidR="00C36C50">
        <w:rPr>
          <w:rFonts w:ascii="Arial" w:eastAsia="Times New Roman" w:hAnsi="Arial" w:cs="Arial"/>
          <w:i/>
          <w:iCs/>
          <w:color w:val="000000"/>
          <w:lang w:eastAsia="en-GB"/>
        </w:rPr>
        <w:t xml:space="preserve">in terms of Uniform Rule 35(12) read with Tribunal Rule 17(4) </w:t>
      </w:r>
      <w:r w:rsidRPr="000B36A8">
        <w:rPr>
          <w:rFonts w:ascii="Arial" w:eastAsia="Times New Roman" w:hAnsi="Arial" w:cs="Arial"/>
          <w:color w:val="000000"/>
          <w:lang w:eastAsia="en-GB"/>
        </w:rPr>
        <w:t>– the Special Investigating Unit’s grounds of opposition lack merit. Application succeeds with costs.</w:t>
      </w:r>
    </w:p>
    <w:p w14:paraId="1FA7DFC0" w14:textId="77777777" w:rsidR="000B36A8" w:rsidRDefault="000B36A8" w:rsidP="008505EC">
      <w:pPr>
        <w:spacing w:before="60" w:line="360" w:lineRule="auto"/>
        <w:rPr>
          <w:rFonts w:ascii="Arial" w:eastAsia="Times New Roman" w:hAnsi="Arial" w:cs="Arial"/>
          <w:color w:val="000000"/>
          <w:lang w:eastAsia="en-GB"/>
        </w:rPr>
      </w:pPr>
    </w:p>
    <w:p w14:paraId="4E147D27" w14:textId="58855415" w:rsidR="000B36A8" w:rsidRPr="000B36A8" w:rsidRDefault="000B36A8" w:rsidP="008505EC">
      <w:pPr>
        <w:spacing w:before="60" w:line="360" w:lineRule="auto"/>
        <w:rPr>
          <w:rFonts w:ascii="Arial" w:eastAsia="Times New Roman" w:hAnsi="Arial" w:cs="Arial"/>
          <w:b/>
          <w:bCs/>
          <w:color w:val="000000"/>
          <w:lang w:eastAsia="en-GB"/>
        </w:rPr>
      </w:pPr>
      <w:r w:rsidRPr="000B36A8">
        <w:rPr>
          <w:rFonts w:ascii="Arial" w:eastAsia="Times New Roman" w:hAnsi="Arial" w:cs="Arial"/>
          <w:b/>
          <w:bCs/>
          <w:color w:val="000000"/>
          <w:lang w:eastAsia="en-GB"/>
        </w:rPr>
        <w:t>MODIBA J</w:t>
      </w:r>
    </w:p>
    <w:p w14:paraId="56CD04FE" w14:textId="387820AE" w:rsidR="00B36A16" w:rsidRDefault="000D2B9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[1]</w:t>
      </w:r>
      <w:r>
        <w:rPr>
          <w:rFonts w:ascii="Arial" w:eastAsia="Times New Roman" w:hAnsi="Arial" w:cs="Arial"/>
          <w:color w:val="000000"/>
          <w:lang w:eastAsia="en-GB"/>
        </w:rPr>
        <w:tab/>
        <w:t>The twelfth respondent seeks an order compelling the Special Investigating Unit (“SIU”) to comply with its notice in terms of Uniform Rule 35(12)</w:t>
      </w:r>
      <w:r w:rsidR="000B36A8">
        <w:rPr>
          <w:rFonts w:ascii="Arial" w:eastAsia="Times New Roman" w:hAnsi="Arial" w:cs="Arial"/>
          <w:color w:val="000000"/>
          <w:lang w:eastAsia="en-GB"/>
        </w:rPr>
        <w:t xml:space="preserve"> (“notice”)</w:t>
      </w:r>
      <w:r>
        <w:rPr>
          <w:rFonts w:ascii="Arial" w:eastAsia="Times New Roman" w:hAnsi="Arial" w:cs="Arial"/>
          <w:color w:val="000000"/>
          <w:lang w:eastAsia="en-GB"/>
        </w:rPr>
        <w:t xml:space="preserve">. It contends that the SIU only partially complied with </w:t>
      </w:r>
      <w:r w:rsidR="000B36A8">
        <w:rPr>
          <w:rFonts w:ascii="Arial" w:eastAsia="Times New Roman" w:hAnsi="Arial" w:cs="Arial"/>
          <w:color w:val="000000"/>
          <w:lang w:eastAsia="en-GB"/>
        </w:rPr>
        <w:t>this</w:t>
      </w:r>
      <w:r>
        <w:rPr>
          <w:rFonts w:ascii="Arial" w:eastAsia="Times New Roman" w:hAnsi="Arial" w:cs="Arial"/>
          <w:color w:val="000000"/>
          <w:lang w:eastAsia="en-GB"/>
        </w:rPr>
        <w:t xml:space="preserve"> notice</w:t>
      </w:r>
      <w:r w:rsidR="000B36A8">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SIU opposes the application to compel on the basis </w:t>
      </w:r>
      <w:r w:rsidR="0034422F">
        <w:rPr>
          <w:rFonts w:ascii="Arial" w:eastAsia="Times New Roman" w:hAnsi="Arial" w:cs="Arial"/>
          <w:color w:val="000000"/>
          <w:lang w:eastAsia="en-GB"/>
        </w:rPr>
        <w:t>I will deal with shortly. The twelfth respondent also seeks an order striking out certain material from the SIU’s answering affidavit in the application to compel.</w:t>
      </w:r>
      <w:r w:rsidR="00B36A16">
        <w:rPr>
          <w:rFonts w:ascii="Arial" w:eastAsia="Times New Roman" w:hAnsi="Arial" w:cs="Arial"/>
          <w:color w:val="000000"/>
          <w:lang w:eastAsia="en-GB"/>
        </w:rPr>
        <w:t xml:space="preserve"> The SIU also opposes the latter application.</w:t>
      </w:r>
    </w:p>
    <w:p w14:paraId="0DB647FD" w14:textId="77777777" w:rsidR="00B36A16" w:rsidRDefault="00B36A16" w:rsidP="008505EC">
      <w:pPr>
        <w:spacing w:before="60" w:line="360" w:lineRule="auto"/>
        <w:rPr>
          <w:rFonts w:ascii="Arial" w:eastAsia="Times New Roman" w:hAnsi="Arial" w:cs="Arial"/>
          <w:color w:val="000000"/>
          <w:lang w:eastAsia="en-GB"/>
        </w:rPr>
      </w:pPr>
    </w:p>
    <w:p w14:paraId="221DBCB3" w14:textId="42B923D5" w:rsidR="00BF7AF7" w:rsidRDefault="00BF7AF7"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[2]</w:t>
      </w:r>
      <w:r>
        <w:rPr>
          <w:rFonts w:ascii="Arial" w:eastAsia="Times New Roman" w:hAnsi="Arial" w:cs="Arial"/>
          <w:color w:val="000000"/>
          <w:lang w:eastAsia="en-GB"/>
        </w:rPr>
        <w:tab/>
        <w:t xml:space="preserve">The background facts </w:t>
      </w:r>
      <w:r w:rsidR="000B36A8">
        <w:rPr>
          <w:rFonts w:ascii="Arial" w:eastAsia="Times New Roman" w:hAnsi="Arial" w:cs="Arial"/>
          <w:color w:val="000000"/>
          <w:lang w:eastAsia="en-GB"/>
        </w:rPr>
        <w:t>in t</w:t>
      </w:r>
      <w:r>
        <w:rPr>
          <w:rFonts w:ascii="Arial" w:eastAsia="Times New Roman" w:hAnsi="Arial" w:cs="Arial"/>
          <w:color w:val="000000"/>
          <w:lang w:eastAsia="en-GB"/>
        </w:rPr>
        <w:t xml:space="preserve">he two applications are largely common cause. </w:t>
      </w:r>
    </w:p>
    <w:p w14:paraId="4D9433A8" w14:textId="77777777" w:rsidR="00BF7AF7" w:rsidRDefault="00BF7AF7" w:rsidP="008505EC">
      <w:pPr>
        <w:spacing w:before="60" w:line="360" w:lineRule="auto"/>
        <w:rPr>
          <w:rFonts w:ascii="Arial" w:eastAsia="Times New Roman" w:hAnsi="Arial" w:cs="Arial"/>
          <w:color w:val="000000"/>
          <w:lang w:eastAsia="en-GB"/>
        </w:rPr>
      </w:pPr>
    </w:p>
    <w:p w14:paraId="5E939D46" w14:textId="640E5532" w:rsidR="00BF7AF7" w:rsidRDefault="00BF7AF7" w:rsidP="00BF7AF7">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lastRenderedPageBreak/>
        <w:t>[3]</w:t>
      </w:r>
      <w:r>
        <w:rPr>
          <w:rFonts w:ascii="Arial" w:eastAsia="Times New Roman" w:hAnsi="Arial" w:cs="Arial"/>
          <w:color w:val="000000"/>
          <w:lang w:eastAsia="en-GB"/>
        </w:rPr>
        <w:tab/>
        <w:t xml:space="preserve">The SIU has cited the twelfth respondent in a review application it filed on 7 November 2022, seeking a variety of relief against various respondents including the twelfth respondent. The twelfth respondent filed its notice of intention to oppose on 2 December 2022. On 14 June 2023, the </w:t>
      </w:r>
      <w:r w:rsidR="000B36A8">
        <w:rPr>
          <w:rFonts w:ascii="Arial" w:eastAsia="Times New Roman" w:hAnsi="Arial" w:cs="Arial"/>
          <w:color w:val="000000"/>
          <w:lang w:eastAsia="en-GB"/>
        </w:rPr>
        <w:t>SIU</w:t>
      </w:r>
      <w:r>
        <w:rPr>
          <w:rFonts w:ascii="Arial" w:eastAsia="Times New Roman" w:hAnsi="Arial" w:cs="Arial"/>
          <w:color w:val="000000"/>
          <w:lang w:eastAsia="en-GB"/>
        </w:rPr>
        <w:t xml:space="preserve"> filed a notice of set down, enrolling the review application for default judgment on 15 August 2023. The application for default judgment was duly enrolled. However, I removed it from the roll because the SIU had not filed a practice note and draft order.  </w:t>
      </w:r>
    </w:p>
    <w:p w14:paraId="60057699" w14:textId="77777777" w:rsidR="00BF7AF7" w:rsidRDefault="00BF7AF7" w:rsidP="00BF7AF7">
      <w:pPr>
        <w:spacing w:before="60" w:line="360" w:lineRule="auto"/>
        <w:ind w:left="360"/>
        <w:rPr>
          <w:rFonts w:ascii="Arial" w:eastAsia="Times New Roman" w:hAnsi="Arial" w:cs="Arial"/>
          <w:color w:val="000000"/>
          <w:lang w:eastAsia="en-GB"/>
        </w:rPr>
      </w:pPr>
    </w:p>
    <w:p w14:paraId="4CA3A233" w14:textId="631425E8" w:rsidR="00BF7AF7" w:rsidRDefault="00BF7AF7" w:rsidP="00BF7AF7">
      <w:pPr>
        <w:spacing w:line="360" w:lineRule="auto"/>
        <w:ind w:left="0"/>
      </w:pPr>
      <w:r>
        <w:t>[4]</w:t>
      </w:r>
      <w:r>
        <w:tab/>
        <w:t xml:space="preserve">On 18 August 2023, the twelve respondent filed </w:t>
      </w:r>
      <w:r w:rsidR="000B36A8">
        <w:t>the</w:t>
      </w:r>
      <w:r>
        <w:t xml:space="preserve"> notice</w:t>
      </w:r>
      <w:r w:rsidR="000B36A8">
        <w:t>,</w:t>
      </w:r>
      <w:r>
        <w:t xml:space="preserve"> calling on the SIU to make available to it specified documents for inspection and copying. It considered the said notice defective. On 21 August 2023, it delivered a second notice</w:t>
      </w:r>
      <w:r w:rsidR="000B36A8">
        <w:t xml:space="preserve">. The latter notice </w:t>
      </w:r>
      <w:r w:rsidR="00A03D86">
        <w:t>includes</w:t>
      </w:r>
      <w:r w:rsidR="000B36A8">
        <w:t xml:space="preserve"> material details what were omitted from the notice filed on 18 August 2023. To resolve the dispute between the parties, it is not necessary to delve into the details added to the notice filed on 21 August 2023</w:t>
      </w:r>
      <w:r>
        <w:t xml:space="preserve">. The notice called on the SIU to comply with </w:t>
      </w:r>
      <w:r w:rsidR="000B36A8">
        <w:t>the twelfth respondent’s</w:t>
      </w:r>
      <w:r>
        <w:t xml:space="preserve"> request within 10 days. This period expired on 4 September 2023. The SIU only responded on 29 September</w:t>
      </w:r>
      <w:r w:rsidR="00082E4E">
        <w:t xml:space="preserve"> 2023</w:t>
      </w:r>
      <w:r>
        <w:t xml:space="preserve"> </w:t>
      </w:r>
      <w:r w:rsidR="00F04054">
        <w:t xml:space="preserve">by </w:t>
      </w:r>
      <w:r>
        <w:t xml:space="preserve">partially complying with the </w:t>
      </w:r>
      <w:r w:rsidR="00F04054">
        <w:t xml:space="preserve">notice. </w:t>
      </w:r>
      <w:r>
        <w:t xml:space="preserve"> </w:t>
      </w:r>
    </w:p>
    <w:p w14:paraId="3C925778" w14:textId="77777777" w:rsidR="00BF7AF7" w:rsidRDefault="00BF7AF7" w:rsidP="00BF7AF7">
      <w:pPr>
        <w:spacing w:before="60" w:line="360" w:lineRule="auto"/>
        <w:ind w:left="360"/>
        <w:rPr>
          <w:rFonts w:ascii="Arial" w:eastAsia="Times New Roman" w:hAnsi="Arial" w:cs="Arial"/>
          <w:color w:val="000000"/>
          <w:lang w:eastAsia="en-GB"/>
        </w:rPr>
      </w:pPr>
    </w:p>
    <w:p w14:paraId="5532615F" w14:textId="168C0C51" w:rsidR="00BF7AF7" w:rsidRDefault="00BF7AF7" w:rsidP="00BF7AF7">
      <w:pPr>
        <w:spacing w:line="360" w:lineRule="auto"/>
        <w:ind w:left="0"/>
        <w:rPr>
          <w:rFonts w:ascii="Arial" w:eastAsia="Times New Roman" w:hAnsi="Arial" w:cs="Arial"/>
          <w:color w:val="000000"/>
          <w:lang w:eastAsia="en-GB"/>
        </w:rPr>
      </w:pPr>
      <w:r>
        <w:rPr>
          <w:rFonts w:ascii="Arial" w:eastAsia="Times New Roman" w:hAnsi="Arial" w:cs="Arial"/>
          <w:color w:val="000000"/>
          <w:lang w:eastAsia="en-GB"/>
        </w:rPr>
        <w:t>[5]</w:t>
      </w:r>
      <w:r>
        <w:rPr>
          <w:rFonts w:ascii="Arial" w:eastAsia="Times New Roman" w:hAnsi="Arial" w:cs="Arial"/>
          <w:color w:val="000000"/>
          <w:lang w:eastAsia="en-GB"/>
        </w:rPr>
        <w:tab/>
        <w:t>Meanwhile, on 22 August 2023, the SIU delivered its first notice to amend its notice of motion in the review application. On 12 September 2023, it filed a notice withdrawing its notice to amend. On the same da</w:t>
      </w:r>
      <w:r w:rsidR="00F04054">
        <w:rPr>
          <w:rFonts w:ascii="Arial" w:eastAsia="Times New Roman" w:hAnsi="Arial" w:cs="Arial"/>
          <w:color w:val="000000"/>
          <w:lang w:eastAsia="en-GB"/>
        </w:rPr>
        <w:t>y</w:t>
      </w:r>
      <w:r>
        <w:rPr>
          <w:rFonts w:ascii="Arial" w:eastAsia="Times New Roman" w:hAnsi="Arial" w:cs="Arial"/>
          <w:color w:val="000000"/>
          <w:lang w:eastAsia="en-GB"/>
        </w:rPr>
        <w:t xml:space="preserve">, it filed another notice to amend. The twelfth respondent instituted the application to compel on 20 September 2023. </w:t>
      </w:r>
    </w:p>
    <w:p w14:paraId="7CC2F73B" w14:textId="77777777" w:rsidR="00BF7AF7" w:rsidRDefault="00BF7AF7" w:rsidP="008505EC">
      <w:pPr>
        <w:spacing w:before="60" w:line="360" w:lineRule="auto"/>
        <w:rPr>
          <w:rFonts w:ascii="Arial" w:eastAsia="Times New Roman" w:hAnsi="Arial" w:cs="Arial"/>
          <w:color w:val="000000"/>
          <w:lang w:eastAsia="en-GB"/>
        </w:rPr>
      </w:pPr>
    </w:p>
    <w:p w14:paraId="0D92E5CF" w14:textId="7A48F1E9" w:rsidR="00B36A16" w:rsidRDefault="00B36A16" w:rsidP="00F04054">
      <w:pPr>
        <w:spacing w:before="60" w:line="360" w:lineRule="auto"/>
        <w:ind w:left="0"/>
        <w:rPr>
          <w:rFonts w:ascii="Arial" w:eastAsia="Times New Roman" w:hAnsi="Arial" w:cs="Arial"/>
          <w:color w:val="000000"/>
          <w:lang w:eastAsia="en-GB"/>
        </w:rPr>
      </w:pPr>
      <w:r>
        <w:rPr>
          <w:rFonts w:ascii="Arial" w:eastAsia="Times New Roman" w:hAnsi="Arial" w:cs="Arial"/>
          <w:color w:val="000000"/>
          <w:lang w:eastAsia="en-GB"/>
        </w:rPr>
        <w:t>[</w:t>
      </w:r>
      <w:r w:rsidR="00BF7AF7">
        <w:rPr>
          <w:rFonts w:ascii="Arial" w:eastAsia="Times New Roman" w:hAnsi="Arial" w:cs="Arial"/>
          <w:color w:val="000000"/>
          <w:lang w:eastAsia="en-GB"/>
        </w:rPr>
        <w:t>6</w:t>
      </w:r>
      <w:r>
        <w:rPr>
          <w:rFonts w:ascii="Arial" w:eastAsia="Times New Roman" w:hAnsi="Arial" w:cs="Arial"/>
          <w:color w:val="000000"/>
          <w:lang w:eastAsia="en-GB"/>
        </w:rPr>
        <w:t>]</w:t>
      </w:r>
      <w:r>
        <w:rPr>
          <w:rFonts w:ascii="Arial" w:eastAsia="Times New Roman" w:hAnsi="Arial" w:cs="Arial"/>
          <w:color w:val="000000"/>
          <w:lang w:eastAsia="en-GB"/>
        </w:rPr>
        <w:tab/>
        <w:t xml:space="preserve">It is prudent to deal with the latter application first because if it succeeds, then the application to compel stands to be considered excluding the material struck out from the answering affidavit. </w:t>
      </w:r>
    </w:p>
    <w:p w14:paraId="6C4C9433" w14:textId="77777777" w:rsidR="00B36A16" w:rsidRDefault="00B36A16" w:rsidP="008505EC">
      <w:pPr>
        <w:spacing w:before="60" w:line="360" w:lineRule="auto"/>
        <w:rPr>
          <w:rFonts w:ascii="Arial" w:eastAsia="Times New Roman" w:hAnsi="Arial" w:cs="Arial"/>
          <w:color w:val="000000"/>
          <w:lang w:eastAsia="en-GB"/>
        </w:rPr>
      </w:pPr>
    </w:p>
    <w:p w14:paraId="5DB6E772" w14:textId="441690BC" w:rsidR="0034422F" w:rsidRPr="00BF7AF7" w:rsidRDefault="00B36A16" w:rsidP="008505EC">
      <w:pPr>
        <w:spacing w:before="60" w:line="360" w:lineRule="auto"/>
        <w:rPr>
          <w:rFonts w:ascii="Arial" w:eastAsia="Times New Roman" w:hAnsi="Arial" w:cs="Arial"/>
          <w:b/>
          <w:bCs/>
          <w:color w:val="000000"/>
          <w:lang w:eastAsia="en-GB"/>
        </w:rPr>
      </w:pPr>
      <w:r w:rsidRPr="00BF7AF7">
        <w:rPr>
          <w:rFonts w:ascii="Arial" w:eastAsia="Times New Roman" w:hAnsi="Arial" w:cs="Arial"/>
          <w:b/>
          <w:bCs/>
          <w:color w:val="000000"/>
          <w:lang w:eastAsia="en-GB"/>
        </w:rPr>
        <w:t>APPLICATION TO STRIKE OUT</w:t>
      </w:r>
      <w:r w:rsidR="0034422F" w:rsidRPr="00BF7AF7">
        <w:rPr>
          <w:rFonts w:ascii="Arial" w:eastAsia="Times New Roman" w:hAnsi="Arial" w:cs="Arial"/>
          <w:b/>
          <w:bCs/>
          <w:color w:val="000000"/>
          <w:lang w:eastAsia="en-GB"/>
        </w:rPr>
        <w:t xml:space="preserve"> </w:t>
      </w:r>
    </w:p>
    <w:p w14:paraId="0C137643" w14:textId="16FF31D1" w:rsidR="00BF7AF7" w:rsidRDefault="00BF7AF7" w:rsidP="00BF7AF7">
      <w:pPr>
        <w:spacing w:line="360" w:lineRule="auto"/>
        <w:rPr>
          <w:rFonts w:ascii="Arial" w:hAnsi="Arial" w:cs="Arial"/>
        </w:rPr>
      </w:pPr>
      <w:r>
        <w:rPr>
          <w:rFonts w:ascii="Arial" w:eastAsia="Times New Roman" w:hAnsi="Arial" w:cs="Arial"/>
          <w:color w:val="000000"/>
          <w:lang w:eastAsia="en-GB"/>
        </w:rPr>
        <w:t>[7]</w:t>
      </w:r>
      <w:r>
        <w:rPr>
          <w:rFonts w:ascii="Arial" w:eastAsia="Times New Roman" w:hAnsi="Arial" w:cs="Arial"/>
          <w:color w:val="000000"/>
          <w:lang w:eastAsia="en-GB"/>
        </w:rPr>
        <w:tab/>
        <w:t>The twelfth respondent instituted this application by notice filed on 25 October</w:t>
      </w:r>
      <w:r w:rsidR="00082E4E">
        <w:rPr>
          <w:rFonts w:ascii="Arial" w:eastAsia="Times New Roman" w:hAnsi="Arial" w:cs="Arial"/>
          <w:color w:val="000000"/>
          <w:lang w:eastAsia="en-GB"/>
        </w:rPr>
        <w:t xml:space="preserve"> 2023</w:t>
      </w:r>
      <w:r>
        <w:rPr>
          <w:rFonts w:ascii="Arial" w:eastAsia="Times New Roman" w:hAnsi="Arial" w:cs="Arial"/>
          <w:color w:val="000000"/>
          <w:lang w:eastAsia="en-GB"/>
        </w:rPr>
        <w:t xml:space="preserve"> informing the SIU </w:t>
      </w:r>
      <w:r w:rsidRPr="005C2598">
        <w:rPr>
          <w:rFonts w:ascii="Arial" w:hAnsi="Arial" w:cs="Arial"/>
        </w:rPr>
        <w:t xml:space="preserve">that at the hearing of </w:t>
      </w:r>
      <w:r>
        <w:rPr>
          <w:rFonts w:ascii="Arial" w:hAnsi="Arial" w:cs="Arial"/>
        </w:rPr>
        <w:t xml:space="preserve">its application to compel, it will apply for </w:t>
      </w:r>
      <w:r w:rsidR="00F04054">
        <w:rPr>
          <w:rFonts w:ascii="Arial" w:hAnsi="Arial" w:cs="Arial"/>
        </w:rPr>
        <w:t xml:space="preserve">specified </w:t>
      </w:r>
      <w:r>
        <w:rPr>
          <w:rFonts w:ascii="Arial" w:hAnsi="Arial" w:cs="Arial"/>
        </w:rPr>
        <w:t>content in the SIU’s answering affidavit deposed to on 24</w:t>
      </w:r>
      <w:r w:rsidRPr="005C2598">
        <w:rPr>
          <w:rFonts w:ascii="Arial" w:hAnsi="Arial" w:cs="Arial"/>
          <w:vertAlign w:val="superscript"/>
        </w:rPr>
        <w:t>th</w:t>
      </w:r>
      <w:r>
        <w:rPr>
          <w:rFonts w:ascii="Arial" w:hAnsi="Arial" w:cs="Arial"/>
        </w:rPr>
        <w:t xml:space="preserve"> October 2023 by its attorney of record Stella Tamensi  Zondi</w:t>
      </w:r>
      <w:r w:rsidR="00F04054">
        <w:rPr>
          <w:rFonts w:ascii="Arial" w:hAnsi="Arial" w:cs="Arial"/>
        </w:rPr>
        <w:t>,</w:t>
      </w:r>
      <w:r>
        <w:rPr>
          <w:rFonts w:ascii="Arial" w:hAnsi="Arial" w:cs="Arial"/>
        </w:rPr>
        <w:t xml:space="preserve"> struck out with costs on the grounds I will deal with shortly. </w:t>
      </w:r>
    </w:p>
    <w:p w14:paraId="47FD0600" w14:textId="77777777" w:rsidR="00BF7AF7" w:rsidRDefault="00BF7AF7" w:rsidP="00BF7AF7">
      <w:pPr>
        <w:spacing w:line="360" w:lineRule="auto"/>
        <w:rPr>
          <w:rFonts w:ascii="Arial" w:hAnsi="Arial" w:cs="Arial"/>
        </w:rPr>
      </w:pPr>
    </w:p>
    <w:p w14:paraId="334474E0" w14:textId="7BB2F84B" w:rsidR="00832881" w:rsidRDefault="00BF7AF7" w:rsidP="00BF7AF7">
      <w:pPr>
        <w:spacing w:line="360" w:lineRule="auto"/>
        <w:rPr>
          <w:rFonts w:ascii="Arial" w:hAnsi="Arial" w:cs="Arial"/>
        </w:rPr>
      </w:pPr>
      <w:r>
        <w:rPr>
          <w:rFonts w:ascii="Arial" w:hAnsi="Arial" w:cs="Arial"/>
        </w:rPr>
        <w:lastRenderedPageBreak/>
        <w:t>[8]</w:t>
      </w:r>
      <w:r>
        <w:rPr>
          <w:rFonts w:ascii="Arial" w:hAnsi="Arial" w:cs="Arial"/>
        </w:rPr>
        <w:tab/>
        <w:t>When the Tribunal sat to hear oral argument in the application to compel on 26 October 2023, the initial response by council for the SIU from the bar was that the application to strike out was filed less than twenty-four hours ago, the SIU has not filed opposing papers and he holds no instruction in respect of the application. I offered to stand the matter down to afford him an opportunity to obtain instruction</w:t>
      </w:r>
      <w:r w:rsidR="00F04054">
        <w:rPr>
          <w:rFonts w:ascii="Arial" w:hAnsi="Arial" w:cs="Arial"/>
        </w:rPr>
        <w:t>s</w:t>
      </w:r>
      <w:r>
        <w:rPr>
          <w:rFonts w:ascii="Arial" w:hAnsi="Arial" w:cs="Arial"/>
        </w:rPr>
        <w:t>. I also emphasized that there is often hardly a n</w:t>
      </w:r>
      <w:r w:rsidR="00F04054">
        <w:rPr>
          <w:rFonts w:ascii="Arial" w:hAnsi="Arial" w:cs="Arial"/>
        </w:rPr>
        <w:t xml:space="preserve">eed </w:t>
      </w:r>
      <w:r>
        <w:rPr>
          <w:rFonts w:ascii="Arial" w:hAnsi="Arial" w:cs="Arial"/>
        </w:rPr>
        <w:t xml:space="preserve">to file opposing papers in an application to strike out, unless the SIU would like to place evidence before the Tribunal to oppose the application. Such applications are brought in terms of Tribunal Rule </w:t>
      </w:r>
      <w:r w:rsidR="00832881">
        <w:rPr>
          <w:rFonts w:ascii="Arial" w:hAnsi="Arial" w:cs="Arial"/>
        </w:rPr>
        <w:t>10(10) which is akin to Uniform Rule 6(11). Postponing the application, even if it is only for oral argument at a later stage</w:t>
      </w:r>
      <w:r w:rsidR="00F04054">
        <w:rPr>
          <w:rFonts w:ascii="Arial" w:hAnsi="Arial" w:cs="Arial"/>
        </w:rPr>
        <w:t>,</w:t>
      </w:r>
      <w:r w:rsidR="00832881">
        <w:rPr>
          <w:rFonts w:ascii="Arial" w:hAnsi="Arial" w:cs="Arial"/>
        </w:rPr>
        <w:t xml:space="preserve"> will unnecessarily escalate costs. Therefore, a request for postponement should be carefully considered before being made to this Tribunal. </w:t>
      </w:r>
    </w:p>
    <w:p w14:paraId="324304AB" w14:textId="77777777" w:rsidR="00832881" w:rsidRDefault="00832881" w:rsidP="00BF7AF7">
      <w:pPr>
        <w:spacing w:line="360" w:lineRule="auto"/>
        <w:rPr>
          <w:rFonts w:ascii="Arial" w:hAnsi="Arial" w:cs="Arial"/>
        </w:rPr>
      </w:pPr>
    </w:p>
    <w:p w14:paraId="230341D7" w14:textId="3BCD511F" w:rsidR="00BF7AF7" w:rsidRDefault="00832881" w:rsidP="00BF7AF7">
      <w:pPr>
        <w:spacing w:line="360" w:lineRule="auto"/>
        <w:rPr>
          <w:rFonts w:ascii="Arial" w:hAnsi="Arial" w:cs="Arial"/>
        </w:rPr>
      </w:pPr>
      <w:r>
        <w:rPr>
          <w:rFonts w:ascii="Arial" w:hAnsi="Arial" w:cs="Arial"/>
        </w:rPr>
        <w:t>[9]</w:t>
      </w:r>
      <w:r>
        <w:rPr>
          <w:rFonts w:ascii="Arial" w:hAnsi="Arial" w:cs="Arial"/>
        </w:rPr>
        <w:tab/>
        <w:t xml:space="preserve">Council for the SIU subsequently submitted that the SIU opposes the </w:t>
      </w:r>
      <w:r w:rsidR="00802C6E">
        <w:rPr>
          <w:rFonts w:ascii="Arial" w:hAnsi="Arial" w:cs="Arial"/>
        </w:rPr>
        <w:t>application,</w:t>
      </w:r>
      <w:r>
        <w:rPr>
          <w:rFonts w:ascii="Arial" w:hAnsi="Arial" w:cs="Arial"/>
        </w:rPr>
        <w:t xml:space="preserve"> and he has obtained instructions to argue the application on the papers. </w:t>
      </w:r>
    </w:p>
    <w:p w14:paraId="61ACA448" w14:textId="77777777" w:rsidR="00BF7AF7" w:rsidRDefault="00BF7AF7" w:rsidP="00BF7AF7">
      <w:pPr>
        <w:spacing w:line="360" w:lineRule="auto"/>
        <w:rPr>
          <w:rFonts w:ascii="Arial" w:hAnsi="Arial" w:cs="Arial"/>
        </w:rPr>
      </w:pPr>
    </w:p>
    <w:p w14:paraId="372743FC" w14:textId="54467225" w:rsidR="00BF7AF7" w:rsidRDefault="00832881" w:rsidP="00832881">
      <w:pPr>
        <w:spacing w:line="360" w:lineRule="auto"/>
        <w:rPr>
          <w:rFonts w:ascii="Arial" w:hAnsi="Arial" w:cs="Arial"/>
        </w:rPr>
      </w:pPr>
      <w:r>
        <w:rPr>
          <w:rFonts w:ascii="Arial" w:hAnsi="Arial" w:cs="Arial"/>
        </w:rPr>
        <w:t>[10]</w:t>
      </w:r>
      <w:r w:rsidR="00F04054">
        <w:rPr>
          <w:rFonts w:ascii="Arial" w:hAnsi="Arial" w:cs="Arial"/>
        </w:rPr>
        <w:tab/>
      </w:r>
      <w:r>
        <w:rPr>
          <w:rFonts w:ascii="Arial" w:hAnsi="Arial" w:cs="Arial"/>
        </w:rPr>
        <w:t>I now turn to consider the material the twelfth respondent wants struck out, its reasons for the request and the SIU’s basis for opposition.</w:t>
      </w:r>
      <w:r w:rsidR="00515580">
        <w:rPr>
          <w:rFonts w:ascii="Arial" w:hAnsi="Arial" w:cs="Arial"/>
        </w:rPr>
        <w:t xml:space="preserve"> Before I do so, I consider the applicable legal principles and authorities relied on by the parties.</w:t>
      </w:r>
    </w:p>
    <w:p w14:paraId="2A472EC9" w14:textId="77777777" w:rsidR="00515580" w:rsidRDefault="00515580" w:rsidP="00832881">
      <w:pPr>
        <w:spacing w:line="360" w:lineRule="auto"/>
        <w:rPr>
          <w:rFonts w:ascii="Arial" w:hAnsi="Arial" w:cs="Arial"/>
        </w:rPr>
      </w:pPr>
    </w:p>
    <w:p w14:paraId="6210042E" w14:textId="7C926304" w:rsidR="00515580" w:rsidRPr="006E72E0" w:rsidRDefault="00515580" w:rsidP="00515580">
      <w:p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Pr="006E72E0">
        <w:rPr>
          <w:rFonts w:ascii="Arial" w:hAnsi="Arial" w:cs="Arial"/>
          <w:sz w:val="24"/>
          <w:szCs w:val="24"/>
        </w:rPr>
        <w:t xml:space="preserve">Tribunal </w:t>
      </w:r>
      <w:r w:rsidR="00F04054">
        <w:rPr>
          <w:rFonts w:ascii="Arial" w:hAnsi="Arial" w:cs="Arial"/>
          <w:sz w:val="24"/>
          <w:szCs w:val="24"/>
        </w:rPr>
        <w:t>R</w:t>
      </w:r>
      <w:r w:rsidRPr="006E72E0">
        <w:rPr>
          <w:rFonts w:ascii="Arial" w:hAnsi="Arial" w:cs="Arial"/>
          <w:sz w:val="24"/>
          <w:szCs w:val="24"/>
        </w:rPr>
        <w:t xml:space="preserve">ules do not have a rule regulating applications to strike out. Tribunal Rule 28(1) confers a discretion on the presiding judge to invoke the applicable </w:t>
      </w:r>
      <w:r>
        <w:rPr>
          <w:rFonts w:ascii="Arial" w:hAnsi="Arial" w:cs="Arial"/>
          <w:sz w:val="24"/>
          <w:szCs w:val="24"/>
        </w:rPr>
        <w:t>U</w:t>
      </w:r>
      <w:r w:rsidRPr="006E72E0">
        <w:rPr>
          <w:rFonts w:ascii="Arial" w:hAnsi="Arial" w:cs="Arial"/>
          <w:sz w:val="24"/>
          <w:szCs w:val="24"/>
        </w:rPr>
        <w:t xml:space="preserve">niform </w:t>
      </w:r>
      <w:r>
        <w:rPr>
          <w:rFonts w:ascii="Arial" w:hAnsi="Arial" w:cs="Arial"/>
          <w:sz w:val="24"/>
          <w:szCs w:val="24"/>
        </w:rPr>
        <w:t>R</w:t>
      </w:r>
      <w:r w:rsidRPr="006E72E0">
        <w:rPr>
          <w:rFonts w:ascii="Arial" w:hAnsi="Arial" w:cs="Arial"/>
          <w:sz w:val="24"/>
          <w:szCs w:val="24"/>
        </w:rPr>
        <w:t>ule to address a lacuna in Tribunal rules. The present circumstances are appropriate for the invocation of Uniform Rule 23(2).</w:t>
      </w:r>
      <w:r>
        <w:rPr>
          <w:rFonts w:ascii="Arial" w:hAnsi="Arial" w:cs="Arial"/>
          <w:sz w:val="24"/>
          <w:szCs w:val="24"/>
        </w:rPr>
        <w:t xml:space="preserve"> </w:t>
      </w:r>
      <w:r w:rsidRPr="006E72E0">
        <w:rPr>
          <w:rFonts w:ascii="Arial" w:hAnsi="Arial" w:cs="Arial"/>
          <w:sz w:val="24"/>
          <w:szCs w:val="24"/>
        </w:rPr>
        <w:t>It provides as follows:</w:t>
      </w:r>
    </w:p>
    <w:p w14:paraId="30929428" w14:textId="77777777" w:rsidR="00515580" w:rsidRPr="00217C96" w:rsidRDefault="00515580" w:rsidP="00F04054">
      <w:pPr>
        <w:rPr>
          <w:rFonts w:ascii="Arial" w:eastAsia="Times New Roman" w:hAnsi="Arial" w:cs="Arial"/>
          <w:sz w:val="24"/>
          <w:szCs w:val="24"/>
          <w:lang w:eastAsia="en-ZA"/>
        </w:rPr>
      </w:pPr>
      <w:r w:rsidRPr="006E72E0">
        <w:rPr>
          <w:rFonts w:ascii="Arial" w:eastAsia="Times New Roman" w:hAnsi="Arial" w:cs="Arial"/>
          <w:sz w:val="24"/>
          <w:szCs w:val="24"/>
          <w:lang w:eastAsia="en-ZA"/>
        </w:rPr>
        <w:t>“</w:t>
      </w:r>
      <w:r w:rsidRPr="00217C96">
        <w:rPr>
          <w:rFonts w:ascii="Arial" w:eastAsia="Times New Roman" w:hAnsi="Arial" w:cs="Arial"/>
          <w:sz w:val="24"/>
          <w:szCs w:val="24"/>
          <w:lang w:eastAsia="en-ZA"/>
        </w:rPr>
        <w:t>(2) Where any pleading contains averments which are scandalous, vexatious, or irrelevant, the opposite party may, within the period allowed for filing any subsequent pleading, apply for the striking out of the aforesaid matter, and may set such application down for hearing within five days of expiry of the time limit for the delivery of an answering affidavit or, if an answering affidavit is delivered, within five days after the delivery of a replying affidavit or expiry of the time limit for delivery of a replying affidavit, referred to in rule 6(5)</w:t>
      </w:r>
      <w:r w:rsidRPr="00217C96">
        <w:rPr>
          <w:rFonts w:ascii="Arial" w:eastAsia="Times New Roman" w:hAnsi="Arial" w:cs="Arial"/>
          <w:i/>
          <w:iCs/>
          <w:sz w:val="24"/>
          <w:szCs w:val="24"/>
          <w:lang w:eastAsia="en-ZA"/>
        </w:rPr>
        <w:t>(f)</w:t>
      </w:r>
      <w:r w:rsidRPr="00217C96">
        <w:rPr>
          <w:rFonts w:ascii="Arial" w:eastAsia="Times New Roman" w:hAnsi="Arial" w:cs="Arial"/>
          <w:sz w:val="24"/>
          <w:szCs w:val="24"/>
          <w:lang w:eastAsia="en-ZA"/>
        </w:rPr>
        <w:t>: Provided that —</w:t>
      </w:r>
    </w:p>
    <w:p w14:paraId="024AA225" w14:textId="77777777" w:rsidR="00515580" w:rsidRPr="00217C96" w:rsidRDefault="00515580" w:rsidP="00F04054">
      <w:pPr>
        <w:ind w:left="284" w:hanging="624"/>
        <w:rPr>
          <w:rFonts w:ascii="Arial" w:eastAsia="Times New Roman" w:hAnsi="Arial" w:cs="Arial"/>
          <w:sz w:val="24"/>
          <w:szCs w:val="24"/>
          <w:lang w:eastAsia="en-ZA"/>
        </w:rPr>
      </w:pPr>
      <w:bookmarkStart w:id="1" w:name="0-0-0-42121"/>
      <w:bookmarkEnd w:id="1"/>
      <w:r w:rsidRPr="00217C96">
        <w:rPr>
          <w:rFonts w:ascii="Arial" w:eastAsia="Times New Roman" w:hAnsi="Arial" w:cs="Arial"/>
          <w:sz w:val="24"/>
          <w:szCs w:val="24"/>
          <w:lang w:eastAsia="en-ZA"/>
        </w:rPr>
        <w:t>   </w:t>
      </w:r>
      <w:r w:rsidRPr="006E72E0">
        <w:rPr>
          <w:rFonts w:ascii="Arial" w:eastAsia="Times New Roman" w:hAnsi="Arial" w:cs="Arial"/>
          <w:sz w:val="24"/>
          <w:szCs w:val="24"/>
          <w:lang w:eastAsia="en-ZA"/>
        </w:rPr>
        <w:tab/>
        <w:t>“</w:t>
      </w:r>
      <w:r w:rsidRPr="00217C96">
        <w:rPr>
          <w:rFonts w:ascii="Arial" w:eastAsia="Times New Roman" w:hAnsi="Arial" w:cs="Arial"/>
          <w:i/>
          <w:iCs/>
          <w:sz w:val="24"/>
          <w:szCs w:val="24"/>
          <w:lang w:eastAsia="en-ZA"/>
        </w:rPr>
        <w:t>(a)</w:t>
      </w:r>
      <w:r w:rsidRPr="00217C96">
        <w:rPr>
          <w:rFonts w:ascii="Arial" w:eastAsia="Times New Roman" w:hAnsi="Arial" w:cs="Arial"/>
          <w:sz w:val="24"/>
          <w:szCs w:val="24"/>
          <w:lang w:eastAsia="en-ZA"/>
        </w:rPr>
        <w:t>   the party intending to make an application to strike out shall, by notice delivered within 10 days of receipt of the pleading, afford the party delivering the pleading an opportunity to remove the cause of complaint within 15 days of delivery of the notice of intention to strike out; and</w:t>
      </w:r>
    </w:p>
    <w:p w14:paraId="043B103B" w14:textId="77777777" w:rsidR="00515580" w:rsidRPr="00217C96" w:rsidRDefault="00515580" w:rsidP="00F04054">
      <w:pPr>
        <w:ind w:left="284" w:hanging="624"/>
        <w:rPr>
          <w:rFonts w:ascii="Arial" w:eastAsia="Times New Roman" w:hAnsi="Arial" w:cs="Arial"/>
          <w:sz w:val="24"/>
          <w:szCs w:val="24"/>
          <w:lang w:eastAsia="en-ZA"/>
        </w:rPr>
      </w:pPr>
      <w:bookmarkStart w:id="2" w:name="0-0-0-42123"/>
      <w:bookmarkEnd w:id="2"/>
      <w:r w:rsidRPr="00217C96">
        <w:rPr>
          <w:rFonts w:ascii="Arial" w:eastAsia="Times New Roman" w:hAnsi="Arial" w:cs="Arial"/>
          <w:sz w:val="24"/>
          <w:szCs w:val="24"/>
          <w:lang w:eastAsia="en-ZA"/>
        </w:rPr>
        <w:t>   </w:t>
      </w:r>
      <w:r w:rsidRPr="006E72E0">
        <w:rPr>
          <w:rFonts w:ascii="Arial" w:eastAsia="Times New Roman" w:hAnsi="Arial" w:cs="Arial"/>
          <w:sz w:val="24"/>
          <w:szCs w:val="24"/>
          <w:lang w:eastAsia="en-ZA"/>
        </w:rPr>
        <w:tab/>
        <w:t>“</w:t>
      </w:r>
      <w:r w:rsidRPr="00217C96">
        <w:rPr>
          <w:rFonts w:ascii="Arial" w:eastAsia="Times New Roman" w:hAnsi="Arial" w:cs="Arial"/>
          <w:i/>
          <w:iCs/>
          <w:sz w:val="24"/>
          <w:szCs w:val="24"/>
          <w:lang w:eastAsia="en-ZA"/>
        </w:rPr>
        <w:t>(b)</w:t>
      </w:r>
      <w:r w:rsidRPr="00217C96">
        <w:rPr>
          <w:rFonts w:ascii="Arial" w:eastAsia="Times New Roman" w:hAnsi="Arial" w:cs="Arial"/>
          <w:sz w:val="24"/>
          <w:szCs w:val="24"/>
          <w:lang w:eastAsia="en-ZA"/>
        </w:rPr>
        <w:t>   the court shall not grant the application unless it is satisfied that the applicant will be prejudiced in the conduct of any claim or defence if the application is not granted.</w:t>
      </w:r>
      <w:r w:rsidRPr="006E72E0">
        <w:rPr>
          <w:rFonts w:ascii="Arial" w:eastAsia="Times New Roman" w:hAnsi="Arial" w:cs="Arial"/>
          <w:sz w:val="24"/>
          <w:szCs w:val="24"/>
          <w:lang w:eastAsia="en-ZA"/>
        </w:rPr>
        <w:t>”</w:t>
      </w:r>
    </w:p>
    <w:p w14:paraId="68EA500B" w14:textId="77777777" w:rsidR="00515580" w:rsidRPr="006E72E0" w:rsidRDefault="00515580" w:rsidP="00F04054">
      <w:pPr>
        <w:spacing w:line="360" w:lineRule="auto"/>
        <w:ind w:left="284"/>
        <w:rPr>
          <w:rFonts w:ascii="Arial" w:hAnsi="Arial" w:cs="Arial"/>
          <w:sz w:val="24"/>
          <w:szCs w:val="24"/>
        </w:rPr>
      </w:pPr>
    </w:p>
    <w:p w14:paraId="000DB811" w14:textId="0D9CBA8A" w:rsidR="00515580" w:rsidRPr="006E72E0" w:rsidRDefault="00515580" w:rsidP="00515580">
      <w:pPr>
        <w:spacing w:line="360" w:lineRule="auto"/>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B6416F">
        <w:rPr>
          <w:rFonts w:ascii="Arial" w:hAnsi="Arial" w:cs="Arial"/>
          <w:sz w:val="24"/>
          <w:szCs w:val="24"/>
        </w:rPr>
        <w:t xml:space="preserve">The twelfth respondent </w:t>
      </w:r>
      <w:r w:rsidRPr="006E72E0">
        <w:rPr>
          <w:rFonts w:ascii="Arial" w:hAnsi="Arial" w:cs="Arial"/>
          <w:sz w:val="24"/>
          <w:szCs w:val="24"/>
        </w:rPr>
        <w:t xml:space="preserve"> relied on the principles set out below as referenced in the cited authorities</w:t>
      </w:r>
      <w:r>
        <w:rPr>
          <w:rFonts w:ascii="Arial" w:hAnsi="Arial" w:cs="Arial"/>
          <w:sz w:val="24"/>
          <w:szCs w:val="24"/>
        </w:rPr>
        <w:t>.</w:t>
      </w:r>
    </w:p>
    <w:p w14:paraId="295B14F5" w14:textId="77777777" w:rsidR="00515580" w:rsidRPr="006E72E0" w:rsidRDefault="00515580" w:rsidP="00515580">
      <w:pPr>
        <w:spacing w:line="360" w:lineRule="auto"/>
        <w:rPr>
          <w:rFonts w:ascii="Arial" w:hAnsi="Arial" w:cs="Arial"/>
          <w:sz w:val="24"/>
          <w:szCs w:val="24"/>
        </w:rPr>
      </w:pPr>
    </w:p>
    <w:p w14:paraId="263FB800" w14:textId="3F3DA6E4" w:rsidR="00515580" w:rsidRPr="006E72E0"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r>
      <w:r w:rsidRPr="006E3088">
        <w:rPr>
          <w:rFonts w:ascii="Arial" w:eastAsia="Times New Roman" w:hAnsi="Arial" w:cs="Arial"/>
          <w:sz w:val="24"/>
          <w:szCs w:val="24"/>
          <w:lang w:eastAsia="en-ZA"/>
        </w:rPr>
        <w:t>Two requirements must be met before a striking-out application can succeed:  </w:t>
      </w:r>
      <w:r w:rsidR="00F04054">
        <w:rPr>
          <w:rFonts w:ascii="Arial" w:eastAsia="Times New Roman" w:hAnsi="Arial" w:cs="Arial"/>
          <w:sz w:val="24"/>
          <w:szCs w:val="24"/>
          <w:lang w:eastAsia="en-ZA"/>
        </w:rPr>
        <w:t>(</w:t>
      </w:r>
      <w:r w:rsidRPr="006E3088">
        <w:rPr>
          <w:rFonts w:ascii="Arial" w:eastAsia="Times New Roman" w:hAnsi="Arial" w:cs="Arial"/>
          <w:sz w:val="24"/>
          <w:szCs w:val="24"/>
          <w:lang w:eastAsia="en-ZA"/>
        </w:rPr>
        <w:t>i) the matter sought to be struck out must be scandalous, vexatious or irrelevant; and (ii) the court must be satisfied that if such a matter is not struck out the party seeking such relief would be prejudiced.</w:t>
      </w:r>
      <w:r w:rsidRPr="006E72E0">
        <w:rPr>
          <w:rStyle w:val="FootnoteReference"/>
          <w:rFonts w:ascii="Arial" w:eastAsia="Times New Roman" w:hAnsi="Arial" w:cs="Arial"/>
          <w:sz w:val="24"/>
          <w:szCs w:val="24"/>
          <w:lang w:eastAsia="en-ZA"/>
        </w:rPr>
        <w:footnoteReference w:id="1"/>
      </w:r>
      <w:r w:rsidRPr="006E3088">
        <w:rPr>
          <w:rFonts w:ascii="Arial" w:eastAsia="Times New Roman" w:hAnsi="Arial" w:cs="Arial"/>
          <w:sz w:val="24"/>
          <w:szCs w:val="24"/>
          <w:lang w:eastAsia="en-ZA"/>
        </w:rPr>
        <w:t> </w:t>
      </w:r>
      <w:bookmarkStart w:id="3" w:name="0-0-0-206233"/>
      <w:bookmarkEnd w:id="3"/>
    </w:p>
    <w:p w14:paraId="75829391" w14:textId="77777777" w:rsidR="00515580" w:rsidRPr="006E3088" w:rsidRDefault="00515580" w:rsidP="00515580">
      <w:pPr>
        <w:spacing w:line="360" w:lineRule="auto"/>
        <w:rPr>
          <w:rFonts w:ascii="Arial" w:eastAsia="Times New Roman" w:hAnsi="Arial" w:cs="Arial"/>
          <w:sz w:val="24"/>
          <w:szCs w:val="24"/>
          <w:lang w:eastAsia="en-ZA"/>
        </w:rPr>
      </w:pPr>
      <w:r w:rsidRPr="006E72E0">
        <w:rPr>
          <w:rFonts w:ascii="Arial" w:eastAsia="Times New Roman" w:hAnsi="Arial" w:cs="Arial"/>
          <w:sz w:val="24"/>
          <w:szCs w:val="24"/>
          <w:lang w:eastAsia="en-ZA"/>
        </w:rPr>
        <w:t xml:space="preserve"> </w:t>
      </w:r>
    </w:p>
    <w:p w14:paraId="2D640B07" w14:textId="5823A226" w:rsidR="00515580" w:rsidRPr="006E72E0"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[14]</w:t>
      </w:r>
      <w:r>
        <w:rPr>
          <w:rFonts w:ascii="Arial" w:eastAsia="Times New Roman" w:hAnsi="Arial" w:cs="Arial"/>
          <w:sz w:val="24"/>
          <w:szCs w:val="24"/>
          <w:lang w:eastAsia="en-ZA"/>
        </w:rPr>
        <w:tab/>
      </w:r>
      <w:r w:rsidRPr="006E3088">
        <w:rPr>
          <w:rFonts w:ascii="Arial" w:eastAsia="Times New Roman" w:hAnsi="Arial" w:cs="Arial"/>
          <w:sz w:val="24"/>
          <w:szCs w:val="24"/>
          <w:lang w:eastAsia="en-ZA"/>
        </w:rPr>
        <w:t>Scandalous allegations are those which may or may not be relevant but which are so worded as to be abusive or defamatory</w:t>
      </w:r>
      <w:r w:rsidRPr="006E72E0">
        <w:rPr>
          <w:rFonts w:ascii="Arial" w:eastAsia="Times New Roman" w:hAnsi="Arial" w:cs="Arial"/>
          <w:sz w:val="24"/>
          <w:szCs w:val="24"/>
          <w:lang w:eastAsia="en-ZA"/>
        </w:rPr>
        <w:t>.</w:t>
      </w:r>
      <w:r w:rsidRPr="006E72E0">
        <w:rPr>
          <w:rStyle w:val="FootnoteReference"/>
          <w:rFonts w:ascii="Arial" w:eastAsia="Times New Roman" w:hAnsi="Arial" w:cs="Arial"/>
          <w:sz w:val="24"/>
          <w:szCs w:val="24"/>
          <w:lang w:eastAsia="en-ZA"/>
        </w:rPr>
        <w:footnoteReference w:id="2"/>
      </w:r>
      <w:r w:rsidRPr="006E3088">
        <w:rPr>
          <w:rFonts w:ascii="Arial" w:eastAsia="Times New Roman" w:hAnsi="Arial" w:cs="Arial"/>
          <w:sz w:val="24"/>
          <w:szCs w:val="24"/>
          <w:lang w:eastAsia="en-ZA"/>
        </w:rPr>
        <w:t xml:space="preserve"> </w:t>
      </w:r>
    </w:p>
    <w:p w14:paraId="7207CE00" w14:textId="77777777" w:rsidR="00515580" w:rsidRPr="006E72E0" w:rsidRDefault="00515580" w:rsidP="00515580">
      <w:pPr>
        <w:spacing w:line="360" w:lineRule="auto"/>
        <w:rPr>
          <w:rFonts w:ascii="Arial" w:eastAsia="Times New Roman" w:hAnsi="Arial" w:cs="Arial"/>
          <w:sz w:val="24"/>
          <w:szCs w:val="24"/>
          <w:lang w:eastAsia="en-ZA"/>
        </w:rPr>
      </w:pPr>
    </w:p>
    <w:p w14:paraId="3076DAA0" w14:textId="1065DE83" w:rsidR="00515580" w:rsidRPr="006E72E0"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r>
      <w:r w:rsidRPr="006E72E0">
        <w:rPr>
          <w:rFonts w:ascii="Arial" w:eastAsia="Times New Roman" w:hAnsi="Arial" w:cs="Arial"/>
          <w:sz w:val="24"/>
          <w:szCs w:val="24"/>
          <w:lang w:eastAsia="en-ZA"/>
        </w:rPr>
        <w:t xml:space="preserve">A </w:t>
      </w:r>
      <w:r w:rsidRPr="006E3088">
        <w:rPr>
          <w:rFonts w:ascii="Arial" w:eastAsia="Times New Roman" w:hAnsi="Arial" w:cs="Arial"/>
          <w:sz w:val="24"/>
          <w:szCs w:val="24"/>
          <w:lang w:eastAsia="en-ZA"/>
        </w:rPr>
        <w:t>vexatious matter refers to allegations which may or may not be relevant but are so worded as to convey an intention to harass or annoy</w:t>
      </w:r>
      <w:r w:rsidRPr="006E72E0">
        <w:rPr>
          <w:rFonts w:ascii="Arial" w:eastAsia="Times New Roman" w:hAnsi="Arial" w:cs="Arial"/>
          <w:sz w:val="24"/>
          <w:szCs w:val="24"/>
          <w:lang w:eastAsia="en-ZA"/>
        </w:rPr>
        <w:t>.</w:t>
      </w:r>
      <w:r w:rsidRPr="006E72E0">
        <w:rPr>
          <w:rStyle w:val="FootnoteReference"/>
          <w:rFonts w:ascii="Arial" w:eastAsia="Times New Roman" w:hAnsi="Arial" w:cs="Arial"/>
          <w:sz w:val="24"/>
          <w:szCs w:val="24"/>
          <w:lang w:eastAsia="en-ZA"/>
        </w:rPr>
        <w:footnoteReference w:id="3"/>
      </w:r>
    </w:p>
    <w:p w14:paraId="5AADF315" w14:textId="77777777" w:rsidR="00515580" w:rsidRPr="006E72E0" w:rsidRDefault="00515580" w:rsidP="00515580">
      <w:pPr>
        <w:spacing w:line="360" w:lineRule="auto"/>
        <w:rPr>
          <w:rFonts w:ascii="Arial" w:eastAsia="Times New Roman" w:hAnsi="Arial" w:cs="Arial"/>
          <w:sz w:val="24"/>
          <w:szCs w:val="24"/>
          <w:lang w:eastAsia="en-ZA"/>
        </w:rPr>
      </w:pPr>
    </w:p>
    <w:p w14:paraId="1A5A7FCA" w14:textId="40A50F75" w:rsidR="00515580" w:rsidRPr="006E72E0"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[16]</w:t>
      </w:r>
      <w:r>
        <w:rPr>
          <w:rFonts w:ascii="Arial" w:eastAsia="Times New Roman" w:hAnsi="Arial" w:cs="Arial"/>
          <w:sz w:val="24"/>
          <w:szCs w:val="24"/>
          <w:lang w:eastAsia="en-ZA"/>
        </w:rPr>
        <w:tab/>
      </w:r>
      <w:r w:rsidRPr="006E72E0">
        <w:rPr>
          <w:rFonts w:ascii="Arial" w:eastAsia="Times New Roman" w:hAnsi="Arial" w:cs="Arial"/>
          <w:sz w:val="24"/>
          <w:szCs w:val="24"/>
          <w:lang w:eastAsia="en-ZA"/>
        </w:rPr>
        <w:t>I</w:t>
      </w:r>
      <w:r w:rsidRPr="006E3088">
        <w:rPr>
          <w:rFonts w:ascii="Arial" w:eastAsia="Times New Roman" w:hAnsi="Arial" w:cs="Arial"/>
          <w:sz w:val="24"/>
          <w:szCs w:val="24"/>
          <w:lang w:eastAsia="en-ZA"/>
        </w:rPr>
        <w:t>rrelevant allegations do not apply to the matter at hand and do not contribute one way or the other to a decision of that matter.</w:t>
      </w:r>
      <w:bookmarkStart w:id="4" w:name="0-0-0-206237"/>
      <w:bookmarkEnd w:id="4"/>
      <w:r w:rsidRPr="006E72E0">
        <w:rPr>
          <w:rFonts w:ascii="Arial" w:eastAsia="Times New Roman" w:hAnsi="Arial" w:cs="Arial"/>
          <w:sz w:val="24"/>
          <w:szCs w:val="24"/>
          <w:lang w:eastAsia="en-ZA"/>
        </w:rPr>
        <w:t xml:space="preserve"> </w:t>
      </w:r>
      <w:r w:rsidRPr="006E3088">
        <w:rPr>
          <w:rFonts w:ascii="Arial" w:eastAsia="Times New Roman" w:hAnsi="Arial" w:cs="Arial"/>
          <w:sz w:val="24"/>
          <w:szCs w:val="24"/>
          <w:lang w:eastAsia="en-ZA"/>
        </w:rPr>
        <w:t>The test for determining relevance is whether the evidence objected to is relevant to an issue in the litigation.</w:t>
      </w:r>
      <w:bookmarkStart w:id="5" w:name="0-0-0-206241"/>
      <w:bookmarkEnd w:id="5"/>
      <w:r w:rsidRPr="006E72E0">
        <w:rPr>
          <w:rStyle w:val="FootnoteReference"/>
          <w:rFonts w:ascii="Arial" w:eastAsia="Times New Roman" w:hAnsi="Arial" w:cs="Arial"/>
          <w:sz w:val="24"/>
          <w:szCs w:val="24"/>
          <w:lang w:eastAsia="en-ZA"/>
        </w:rPr>
        <w:footnoteReference w:id="4"/>
      </w:r>
      <w:r w:rsidRPr="006E72E0">
        <w:rPr>
          <w:rFonts w:ascii="Arial" w:eastAsia="Times New Roman" w:hAnsi="Arial" w:cs="Arial"/>
          <w:sz w:val="24"/>
          <w:szCs w:val="24"/>
          <w:lang w:eastAsia="en-ZA"/>
        </w:rPr>
        <w:t xml:space="preserve"> </w:t>
      </w:r>
    </w:p>
    <w:p w14:paraId="4583CC57" w14:textId="77777777" w:rsidR="00515580" w:rsidRDefault="00515580" w:rsidP="00515580">
      <w:pPr>
        <w:spacing w:line="360" w:lineRule="auto"/>
        <w:rPr>
          <w:rFonts w:ascii="Arial" w:eastAsia="Times New Roman" w:hAnsi="Arial" w:cs="Arial"/>
          <w:sz w:val="24"/>
          <w:szCs w:val="24"/>
          <w:lang w:eastAsia="en-ZA"/>
        </w:rPr>
      </w:pPr>
    </w:p>
    <w:p w14:paraId="5E5346FE" w14:textId="6692AF73" w:rsidR="00515580" w:rsidRPr="006E72E0"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[17]</w:t>
      </w:r>
      <w:r>
        <w:rPr>
          <w:rFonts w:ascii="Arial" w:eastAsia="Times New Roman" w:hAnsi="Arial" w:cs="Arial"/>
          <w:sz w:val="24"/>
          <w:szCs w:val="24"/>
          <w:lang w:eastAsia="en-ZA"/>
        </w:rPr>
        <w:tab/>
      </w:r>
      <w:r w:rsidRPr="006E72E0">
        <w:rPr>
          <w:rFonts w:ascii="Arial" w:eastAsia="Times New Roman" w:hAnsi="Arial" w:cs="Arial"/>
          <w:sz w:val="24"/>
          <w:szCs w:val="24"/>
          <w:lang w:eastAsia="en-ZA"/>
        </w:rPr>
        <w:t xml:space="preserve">As a general rule, </w:t>
      </w:r>
      <w:r w:rsidRPr="00091CA8">
        <w:rPr>
          <w:rFonts w:ascii="Arial" w:eastAsia="Times New Roman" w:hAnsi="Arial" w:cs="Arial"/>
          <w:sz w:val="24"/>
          <w:szCs w:val="24"/>
          <w:lang w:eastAsia="en-ZA"/>
        </w:rPr>
        <w:t>questions of credibility ought not to be raised in affidavit proceedings</w:t>
      </w:r>
      <w:r>
        <w:rPr>
          <w:rFonts w:ascii="Arial" w:eastAsia="Times New Roman" w:hAnsi="Arial" w:cs="Arial"/>
          <w:sz w:val="24"/>
          <w:szCs w:val="24"/>
          <w:lang w:eastAsia="en-ZA"/>
        </w:rPr>
        <w:t>.</w:t>
      </w:r>
      <w:r w:rsidRPr="006E72E0">
        <w:rPr>
          <w:rStyle w:val="FootnoteReference"/>
          <w:rFonts w:ascii="Arial" w:eastAsia="Times New Roman" w:hAnsi="Arial" w:cs="Arial"/>
          <w:sz w:val="24"/>
          <w:szCs w:val="24"/>
          <w:lang w:eastAsia="en-ZA"/>
        </w:rPr>
        <w:footnoteReference w:id="5"/>
      </w:r>
    </w:p>
    <w:p w14:paraId="3BD75A5C" w14:textId="77777777" w:rsidR="00515580" w:rsidRPr="006E72E0" w:rsidRDefault="00515580" w:rsidP="00515580">
      <w:pPr>
        <w:spacing w:line="360" w:lineRule="auto"/>
        <w:rPr>
          <w:rFonts w:ascii="Arial" w:eastAsia="Times New Roman" w:hAnsi="Arial" w:cs="Arial"/>
          <w:sz w:val="24"/>
          <w:szCs w:val="24"/>
          <w:lang w:eastAsia="en-ZA"/>
        </w:rPr>
      </w:pPr>
    </w:p>
    <w:p w14:paraId="4AF1B7B6" w14:textId="172B11BA" w:rsidR="00515580" w:rsidRPr="00091CA8" w:rsidRDefault="00515580" w:rsidP="00515580">
      <w:pPr>
        <w:spacing w:line="360" w:lineRule="auto"/>
        <w:rPr>
          <w:rFonts w:ascii="Arial" w:eastAsia="Times New Roman" w:hAnsi="Arial" w:cs="Arial"/>
          <w:sz w:val="24"/>
          <w:szCs w:val="24"/>
          <w:lang w:eastAsia="en-ZA"/>
        </w:rPr>
      </w:pPr>
      <w:r>
        <w:rPr>
          <w:rFonts w:ascii="Arial" w:eastAsia="Times New Roman" w:hAnsi="Arial" w:cs="Arial"/>
          <w:sz w:val="24"/>
          <w:szCs w:val="24"/>
          <w:lang w:eastAsia="en-ZA"/>
        </w:rPr>
        <w:t>[18]</w:t>
      </w:r>
      <w:r>
        <w:rPr>
          <w:rFonts w:ascii="Arial" w:eastAsia="Times New Roman" w:hAnsi="Arial" w:cs="Arial"/>
          <w:sz w:val="24"/>
          <w:szCs w:val="24"/>
          <w:lang w:eastAsia="en-ZA"/>
        </w:rPr>
        <w:tab/>
      </w:r>
      <w:r w:rsidRPr="006E72E0">
        <w:rPr>
          <w:rFonts w:ascii="Arial" w:eastAsia="Times New Roman" w:hAnsi="Arial" w:cs="Arial"/>
          <w:sz w:val="24"/>
          <w:szCs w:val="24"/>
          <w:lang w:eastAsia="en-ZA"/>
        </w:rPr>
        <w:t>The SIU sought to</w:t>
      </w:r>
      <w:r>
        <w:rPr>
          <w:rFonts w:ascii="Arial" w:eastAsia="Times New Roman" w:hAnsi="Arial" w:cs="Arial"/>
          <w:sz w:val="24"/>
          <w:szCs w:val="24"/>
          <w:lang w:eastAsia="en-ZA"/>
        </w:rPr>
        <w:t xml:space="preserve"> place general reliance </w:t>
      </w:r>
      <w:r w:rsidRPr="006E72E0">
        <w:rPr>
          <w:rFonts w:ascii="Arial" w:eastAsia="Times New Roman" w:hAnsi="Arial" w:cs="Arial"/>
          <w:sz w:val="24"/>
          <w:szCs w:val="24"/>
          <w:lang w:eastAsia="en-ZA"/>
        </w:rPr>
        <w:t xml:space="preserve">on </w:t>
      </w:r>
      <w:r w:rsidRPr="006E72E0">
        <w:rPr>
          <w:rFonts w:ascii="Arial" w:hAnsi="Arial" w:cs="Arial"/>
          <w:i/>
          <w:iCs/>
          <w:sz w:val="24"/>
          <w:szCs w:val="24"/>
        </w:rPr>
        <w:t>Gefen and Another V De Wet No and Another</w:t>
      </w:r>
      <w:r w:rsidRPr="006E72E0">
        <w:rPr>
          <w:rStyle w:val="FootnoteReference"/>
          <w:rFonts w:ascii="Arial" w:hAnsi="Arial" w:cs="Arial"/>
          <w:sz w:val="24"/>
          <w:szCs w:val="24"/>
        </w:rPr>
        <w:footnoteReference w:id="6"/>
      </w:r>
      <w:r w:rsidRPr="006E72E0">
        <w:rPr>
          <w:rFonts w:ascii="Arial" w:hAnsi="Arial" w:cs="Arial"/>
          <w:sz w:val="24"/>
          <w:szCs w:val="24"/>
        </w:rPr>
        <w:t xml:space="preserve"> to persuade me not to strike out the material </w:t>
      </w:r>
      <w:r w:rsidR="00F04054">
        <w:rPr>
          <w:rFonts w:ascii="Arial" w:hAnsi="Arial" w:cs="Arial"/>
          <w:sz w:val="24"/>
          <w:szCs w:val="24"/>
        </w:rPr>
        <w:t xml:space="preserve">the twelfth respondent </w:t>
      </w:r>
      <w:r w:rsidRPr="006E72E0">
        <w:rPr>
          <w:rFonts w:ascii="Arial" w:hAnsi="Arial" w:cs="Arial"/>
          <w:sz w:val="24"/>
          <w:szCs w:val="24"/>
        </w:rPr>
        <w:t>identified as subject to be struck out. Its reliance on this judgment is misplaced. The judgment deal</w:t>
      </w:r>
      <w:r>
        <w:rPr>
          <w:rFonts w:ascii="Arial" w:hAnsi="Arial" w:cs="Arial"/>
          <w:sz w:val="24"/>
          <w:szCs w:val="24"/>
        </w:rPr>
        <w:t>s</w:t>
      </w:r>
      <w:r w:rsidRPr="006E72E0">
        <w:rPr>
          <w:rFonts w:ascii="Arial" w:hAnsi="Arial" w:cs="Arial"/>
          <w:sz w:val="24"/>
          <w:szCs w:val="24"/>
        </w:rPr>
        <w:t xml:space="preserve"> with the striking out of a defence and not the striking out of scandalous and irrelevant material. Striking out the material identified by </w:t>
      </w:r>
      <w:r w:rsidR="00F04054">
        <w:rPr>
          <w:rFonts w:ascii="Arial" w:hAnsi="Arial" w:cs="Arial"/>
          <w:sz w:val="24"/>
          <w:szCs w:val="24"/>
        </w:rPr>
        <w:t xml:space="preserve">the twelfth </w:t>
      </w:r>
      <w:r w:rsidR="00F04054">
        <w:rPr>
          <w:rFonts w:ascii="Arial" w:hAnsi="Arial" w:cs="Arial"/>
          <w:sz w:val="24"/>
          <w:szCs w:val="24"/>
        </w:rPr>
        <w:lastRenderedPageBreak/>
        <w:t xml:space="preserve">respondent </w:t>
      </w:r>
      <w:r w:rsidRPr="006E72E0">
        <w:rPr>
          <w:rFonts w:ascii="Arial" w:hAnsi="Arial" w:cs="Arial"/>
          <w:sz w:val="24"/>
          <w:szCs w:val="24"/>
        </w:rPr>
        <w:t>will not have the effect o</w:t>
      </w:r>
      <w:r w:rsidR="00F04054">
        <w:rPr>
          <w:rFonts w:ascii="Arial" w:hAnsi="Arial" w:cs="Arial"/>
          <w:sz w:val="24"/>
          <w:szCs w:val="24"/>
        </w:rPr>
        <w:t>f</w:t>
      </w:r>
      <w:r w:rsidRPr="006E72E0">
        <w:rPr>
          <w:rFonts w:ascii="Arial" w:hAnsi="Arial" w:cs="Arial"/>
          <w:sz w:val="24"/>
          <w:szCs w:val="24"/>
        </w:rPr>
        <w:t xml:space="preserve"> striking out the SIU’s grounds of opposition in the application to compel. </w:t>
      </w:r>
    </w:p>
    <w:p w14:paraId="36219E7B" w14:textId="77777777" w:rsidR="00515580" w:rsidRPr="006E72E0" w:rsidRDefault="00515580" w:rsidP="00515580">
      <w:pPr>
        <w:spacing w:line="360" w:lineRule="auto"/>
        <w:rPr>
          <w:rFonts w:ascii="Arial" w:hAnsi="Arial" w:cs="Arial"/>
          <w:sz w:val="24"/>
          <w:szCs w:val="24"/>
        </w:rPr>
      </w:pPr>
    </w:p>
    <w:p w14:paraId="4639F598" w14:textId="7620E5AF" w:rsidR="00BF7AF7" w:rsidRPr="00832881" w:rsidRDefault="00BF7AF7" w:rsidP="00BF7AF7">
      <w:pPr>
        <w:spacing w:line="360" w:lineRule="auto"/>
        <w:rPr>
          <w:rFonts w:ascii="Arial" w:hAnsi="Arial" w:cs="Arial"/>
          <w:b/>
          <w:bCs/>
        </w:rPr>
      </w:pPr>
      <w:r w:rsidRPr="00832881">
        <w:rPr>
          <w:rFonts w:ascii="Arial" w:hAnsi="Arial" w:cs="Arial"/>
          <w:b/>
          <w:bCs/>
        </w:rPr>
        <w:t xml:space="preserve">Ad </w:t>
      </w:r>
      <w:r w:rsidR="00D05547">
        <w:rPr>
          <w:rFonts w:ascii="Arial" w:hAnsi="Arial" w:cs="Arial"/>
          <w:b/>
          <w:bCs/>
        </w:rPr>
        <w:t>p</w:t>
      </w:r>
      <w:r w:rsidRPr="00832881">
        <w:rPr>
          <w:rFonts w:ascii="Arial" w:hAnsi="Arial" w:cs="Arial"/>
          <w:b/>
          <w:bCs/>
        </w:rPr>
        <w:t>ara</w:t>
      </w:r>
      <w:r w:rsidR="00D05547">
        <w:rPr>
          <w:rFonts w:ascii="Arial" w:hAnsi="Arial" w:cs="Arial"/>
          <w:b/>
          <w:bCs/>
        </w:rPr>
        <w:t>graph</w:t>
      </w:r>
      <w:r w:rsidRPr="00832881">
        <w:rPr>
          <w:rFonts w:ascii="Arial" w:hAnsi="Arial" w:cs="Arial"/>
          <w:b/>
          <w:bCs/>
        </w:rPr>
        <w:t xml:space="preserve"> 14</w:t>
      </w:r>
    </w:p>
    <w:p w14:paraId="364C4B00" w14:textId="71960A43" w:rsidR="00BF7AF7" w:rsidRDefault="00832881" w:rsidP="00BF7AF7">
      <w:pPr>
        <w:spacing w:line="360" w:lineRule="auto"/>
        <w:rPr>
          <w:rFonts w:ascii="Arial" w:hAnsi="Arial" w:cs="Arial"/>
        </w:rPr>
      </w:pPr>
      <w:r>
        <w:rPr>
          <w:rFonts w:ascii="Arial" w:hAnsi="Arial" w:cs="Arial"/>
        </w:rPr>
        <w:t>[1</w:t>
      </w:r>
      <w:r w:rsidR="00515580">
        <w:rPr>
          <w:rFonts w:ascii="Arial" w:hAnsi="Arial" w:cs="Arial"/>
        </w:rPr>
        <w:t>9</w:t>
      </w:r>
      <w:r>
        <w:rPr>
          <w:rFonts w:ascii="Arial" w:hAnsi="Arial" w:cs="Arial"/>
        </w:rPr>
        <w:t>]</w:t>
      </w:r>
      <w:r>
        <w:rPr>
          <w:rFonts w:ascii="Arial" w:hAnsi="Arial" w:cs="Arial"/>
        </w:rPr>
        <w:tab/>
        <w:t xml:space="preserve">The twelfth respondent requires </w:t>
      </w:r>
      <w:r w:rsidR="00BF7AF7">
        <w:rPr>
          <w:rFonts w:ascii="Arial" w:hAnsi="Arial" w:cs="Arial"/>
        </w:rPr>
        <w:t xml:space="preserve">the words that appear after the comma in line 3 </w:t>
      </w:r>
      <w:r w:rsidR="00802C6E">
        <w:rPr>
          <w:rFonts w:ascii="Arial" w:hAnsi="Arial" w:cs="Arial"/>
        </w:rPr>
        <w:t>i.e.</w:t>
      </w:r>
      <w:r w:rsidR="00BF7AF7">
        <w:rPr>
          <w:rFonts w:ascii="Arial" w:hAnsi="Arial" w:cs="Arial"/>
        </w:rPr>
        <w:t xml:space="preserve">.: “and the Twelfth Respondent’s attorneys …. is not warranted” </w:t>
      </w:r>
      <w:r>
        <w:rPr>
          <w:rFonts w:ascii="Arial" w:hAnsi="Arial" w:cs="Arial"/>
        </w:rPr>
        <w:t xml:space="preserve">struck out </w:t>
      </w:r>
      <w:r w:rsidR="00BF7AF7">
        <w:rPr>
          <w:rFonts w:ascii="Arial" w:hAnsi="Arial" w:cs="Arial"/>
        </w:rPr>
        <w:t xml:space="preserve">on the grounds that it is unfounded, </w:t>
      </w:r>
      <w:r w:rsidR="00802C6E">
        <w:rPr>
          <w:rFonts w:ascii="Arial" w:hAnsi="Arial" w:cs="Arial"/>
        </w:rPr>
        <w:t>defamatory,</w:t>
      </w:r>
      <w:r w:rsidR="00BF7AF7">
        <w:rPr>
          <w:rFonts w:ascii="Arial" w:hAnsi="Arial" w:cs="Arial"/>
        </w:rPr>
        <w:t xml:space="preserve"> and irrelevant. I</w:t>
      </w:r>
      <w:r>
        <w:rPr>
          <w:rFonts w:ascii="Arial" w:hAnsi="Arial" w:cs="Arial"/>
        </w:rPr>
        <w:t>t contends that it</w:t>
      </w:r>
      <w:r w:rsidR="00BF7AF7">
        <w:rPr>
          <w:rFonts w:ascii="Arial" w:hAnsi="Arial" w:cs="Arial"/>
        </w:rPr>
        <w:t xml:space="preserve"> will be prejudiced if that aspect is not struck out as it seeks to colour the Tribunal’s mind on the aforesaid allegations and influence it in determining the </w:t>
      </w:r>
      <w:r>
        <w:rPr>
          <w:rFonts w:ascii="Arial" w:hAnsi="Arial" w:cs="Arial"/>
        </w:rPr>
        <w:t xml:space="preserve">dispute between the parties. </w:t>
      </w:r>
      <w:r w:rsidR="00BF7AF7">
        <w:rPr>
          <w:rFonts w:ascii="Arial" w:hAnsi="Arial" w:cs="Arial"/>
        </w:rPr>
        <w:t xml:space="preserve">   </w:t>
      </w:r>
    </w:p>
    <w:p w14:paraId="67F2D5E0" w14:textId="77777777" w:rsidR="005D0936" w:rsidRDefault="005D0936" w:rsidP="00BF7AF7">
      <w:pPr>
        <w:spacing w:line="360" w:lineRule="auto"/>
        <w:rPr>
          <w:rFonts w:ascii="Arial" w:hAnsi="Arial" w:cs="Arial"/>
        </w:rPr>
      </w:pPr>
    </w:p>
    <w:p w14:paraId="2400F265" w14:textId="328E9837" w:rsidR="00C87BDC" w:rsidRDefault="005D0936" w:rsidP="00BF7AF7">
      <w:pPr>
        <w:spacing w:line="360" w:lineRule="auto"/>
        <w:rPr>
          <w:rFonts w:ascii="Arial" w:hAnsi="Arial" w:cs="Arial"/>
        </w:rPr>
      </w:pPr>
      <w:r>
        <w:rPr>
          <w:rFonts w:ascii="Arial" w:hAnsi="Arial" w:cs="Arial"/>
        </w:rPr>
        <w:t>[</w:t>
      </w:r>
      <w:r w:rsidR="00515580">
        <w:rPr>
          <w:rFonts w:ascii="Arial" w:hAnsi="Arial" w:cs="Arial"/>
        </w:rPr>
        <w:t>20</w:t>
      </w:r>
      <w:r>
        <w:rPr>
          <w:rFonts w:ascii="Arial" w:hAnsi="Arial" w:cs="Arial"/>
        </w:rPr>
        <w:t>]</w:t>
      </w:r>
      <w:r>
        <w:rPr>
          <w:rFonts w:ascii="Arial" w:hAnsi="Arial" w:cs="Arial"/>
        </w:rPr>
        <w:tab/>
        <w:t xml:space="preserve">Counsel for the SIU contended the SIU attorney believed that since it had communicated to the twelfth respondent that it is no longer seeking relief against it, the filing of heads of argument was unwarranted. </w:t>
      </w:r>
      <w:r w:rsidR="00802C6E">
        <w:rPr>
          <w:rFonts w:ascii="Arial" w:hAnsi="Arial" w:cs="Arial"/>
        </w:rPr>
        <w:t>Later</w:t>
      </w:r>
      <w:r>
        <w:rPr>
          <w:rFonts w:ascii="Arial" w:hAnsi="Arial" w:cs="Arial"/>
        </w:rPr>
        <w:t xml:space="preserve"> in this judgment, I find that the stance the SIU had taken </w:t>
      </w:r>
      <w:r w:rsidR="00C87BDC">
        <w:rPr>
          <w:rFonts w:ascii="Arial" w:hAnsi="Arial" w:cs="Arial"/>
        </w:rPr>
        <w:t xml:space="preserve">regarding the application to compel was wrong. Thus, its attorney wrongly believed that it was no longer necessary for the twelfth respondent to file heads of arguments in its application to compel. Even if the attorney for the SIU held that believe for the reasons it has advanced, it does not justify accusing the twelfth respondent’s attorney for outrageously refusing to withdraw the application to compel and using it </w:t>
      </w:r>
      <w:r w:rsidR="00163D1C">
        <w:rPr>
          <w:rFonts w:ascii="Arial" w:hAnsi="Arial" w:cs="Arial"/>
        </w:rPr>
        <w:t xml:space="preserve">as </w:t>
      </w:r>
      <w:r w:rsidR="00C87BDC">
        <w:rPr>
          <w:rFonts w:ascii="Arial" w:hAnsi="Arial" w:cs="Arial"/>
        </w:rPr>
        <w:t xml:space="preserve">a “careful ploy to build more costs where it is not warranted”.  </w:t>
      </w:r>
    </w:p>
    <w:p w14:paraId="20C864D5" w14:textId="77777777" w:rsidR="00C87BDC" w:rsidRDefault="00C87BDC" w:rsidP="00BF7AF7">
      <w:pPr>
        <w:spacing w:line="360" w:lineRule="auto"/>
        <w:rPr>
          <w:rFonts w:ascii="Arial" w:hAnsi="Arial" w:cs="Arial"/>
        </w:rPr>
      </w:pPr>
    </w:p>
    <w:p w14:paraId="30A115ED" w14:textId="510BE917" w:rsidR="005D0936" w:rsidRDefault="00C87BDC" w:rsidP="00BF7AF7">
      <w:pPr>
        <w:spacing w:line="360" w:lineRule="auto"/>
        <w:rPr>
          <w:rFonts w:ascii="Arial" w:hAnsi="Arial" w:cs="Arial"/>
        </w:rPr>
      </w:pPr>
      <w:r>
        <w:rPr>
          <w:rFonts w:ascii="Arial" w:hAnsi="Arial" w:cs="Arial"/>
        </w:rPr>
        <w:t>[</w:t>
      </w:r>
      <w:r w:rsidR="00515580">
        <w:rPr>
          <w:rFonts w:ascii="Arial" w:hAnsi="Arial" w:cs="Arial"/>
        </w:rPr>
        <w:t>21</w:t>
      </w:r>
      <w:r>
        <w:rPr>
          <w:rFonts w:ascii="Arial" w:hAnsi="Arial" w:cs="Arial"/>
        </w:rPr>
        <w:t>]</w:t>
      </w:r>
      <w:r>
        <w:rPr>
          <w:rFonts w:ascii="Arial" w:hAnsi="Arial" w:cs="Arial"/>
        </w:rPr>
        <w:tab/>
        <w:t xml:space="preserve">I find that the words sought to be struck out are indeed unfounded, </w:t>
      </w:r>
      <w:r w:rsidR="00802C6E">
        <w:rPr>
          <w:rFonts w:ascii="Arial" w:hAnsi="Arial" w:cs="Arial"/>
        </w:rPr>
        <w:t>defamatory,</w:t>
      </w:r>
      <w:r>
        <w:rPr>
          <w:rFonts w:ascii="Arial" w:hAnsi="Arial" w:cs="Arial"/>
        </w:rPr>
        <w:t xml:space="preserve"> and irrelevant. They stand to be struck out. </w:t>
      </w:r>
      <w:r w:rsidR="00D05547">
        <w:rPr>
          <w:rFonts w:ascii="Arial" w:hAnsi="Arial" w:cs="Arial"/>
        </w:rPr>
        <w:t>The twelfth respondent will be prejudiced if th</w:t>
      </w:r>
      <w:r w:rsidR="004D2B02">
        <w:rPr>
          <w:rFonts w:ascii="Arial" w:hAnsi="Arial" w:cs="Arial"/>
        </w:rPr>
        <w:t xml:space="preserve">e relevant words are </w:t>
      </w:r>
      <w:r w:rsidR="00D05547">
        <w:rPr>
          <w:rFonts w:ascii="Arial" w:hAnsi="Arial" w:cs="Arial"/>
        </w:rPr>
        <w:t>not struck out as the SIU seeks to influence the Tribunal’s decision against it</w:t>
      </w:r>
      <w:r w:rsidR="004D2B02">
        <w:rPr>
          <w:rFonts w:ascii="Arial" w:hAnsi="Arial" w:cs="Arial"/>
        </w:rPr>
        <w:t>.</w:t>
      </w:r>
    </w:p>
    <w:p w14:paraId="27E61924" w14:textId="77777777" w:rsidR="00BF7AF7" w:rsidRDefault="00BF7AF7" w:rsidP="00BF7AF7">
      <w:pPr>
        <w:spacing w:line="360" w:lineRule="auto"/>
        <w:rPr>
          <w:rFonts w:ascii="Arial" w:hAnsi="Arial" w:cs="Arial"/>
        </w:rPr>
      </w:pPr>
    </w:p>
    <w:p w14:paraId="6259E3BF" w14:textId="4A6A7488" w:rsidR="00BF7AF7" w:rsidRPr="00832881" w:rsidRDefault="00BF7AF7" w:rsidP="00BF7AF7">
      <w:pPr>
        <w:spacing w:line="360" w:lineRule="auto"/>
        <w:rPr>
          <w:rFonts w:ascii="Arial" w:hAnsi="Arial" w:cs="Arial"/>
          <w:b/>
          <w:bCs/>
        </w:rPr>
      </w:pPr>
      <w:r w:rsidRPr="00832881">
        <w:rPr>
          <w:rFonts w:ascii="Arial" w:hAnsi="Arial" w:cs="Arial"/>
          <w:b/>
          <w:bCs/>
        </w:rPr>
        <w:t xml:space="preserve">Ad </w:t>
      </w:r>
      <w:r w:rsidR="00D05547">
        <w:rPr>
          <w:rFonts w:ascii="Arial" w:hAnsi="Arial" w:cs="Arial"/>
          <w:b/>
          <w:bCs/>
        </w:rPr>
        <w:t>p</w:t>
      </w:r>
      <w:r w:rsidRPr="00832881">
        <w:rPr>
          <w:rFonts w:ascii="Arial" w:hAnsi="Arial" w:cs="Arial"/>
          <w:b/>
          <w:bCs/>
        </w:rPr>
        <w:t>ara</w:t>
      </w:r>
      <w:r w:rsidR="00D05547">
        <w:rPr>
          <w:rFonts w:ascii="Arial" w:hAnsi="Arial" w:cs="Arial"/>
          <w:b/>
          <w:bCs/>
        </w:rPr>
        <w:t>graph</w:t>
      </w:r>
      <w:r w:rsidRPr="00832881">
        <w:rPr>
          <w:rFonts w:ascii="Arial" w:hAnsi="Arial" w:cs="Arial"/>
          <w:b/>
          <w:bCs/>
        </w:rPr>
        <w:t xml:space="preserve"> 16, 17 and 18</w:t>
      </w:r>
    </w:p>
    <w:p w14:paraId="167FADA1" w14:textId="3D493653" w:rsidR="00BF7AF7" w:rsidRDefault="00832881" w:rsidP="00BF7AF7">
      <w:pPr>
        <w:spacing w:line="360" w:lineRule="auto"/>
        <w:rPr>
          <w:rFonts w:ascii="Arial" w:hAnsi="Arial" w:cs="Arial"/>
        </w:rPr>
      </w:pPr>
      <w:r>
        <w:rPr>
          <w:rFonts w:ascii="Arial" w:hAnsi="Arial" w:cs="Arial"/>
        </w:rPr>
        <w:t>[</w:t>
      </w:r>
      <w:r w:rsidR="00515580">
        <w:rPr>
          <w:rFonts w:ascii="Arial" w:hAnsi="Arial" w:cs="Arial"/>
        </w:rPr>
        <w:t>22</w:t>
      </w:r>
      <w:r>
        <w:rPr>
          <w:rFonts w:ascii="Arial" w:hAnsi="Arial" w:cs="Arial"/>
        </w:rPr>
        <w:t>]</w:t>
      </w:r>
      <w:r>
        <w:rPr>
          <w:rFonts w:ascii="Arial" w:hAnsi="Arial" w:cs="Arial"/>
        </w:rPr>
        <w:tab/>
      </w:r>
      <w:r w:rsidR="00BF7AF7">
        <w:rPr>
          <w:rFonts w:ascii="Arial" w:hAnsi="Arial" w:cs="Arial"/>
        </w:rPr>
        <w:t xml:space="preserve">The </w:t>
      </w:r>
      <w:r>
        <w:rPr>
          <w:rFonts w:ascii="Arial" w:hAnsi="Arial" w:cs="Arial"/>
        </w:rPr>
        <w:t xml:space="preserve">twelfth respondent contends that the </w:t>
      </w:r>
      <w:r w:rsidR="00BF7AF7">
        <w:rPr>
          <w:rFonts w:ascii="Arial" w:hAnsi="Arial" w:cs="Arial"/>
        </w:rPr>
        <w:t>entire content is inadmissible on the grounds that it constitutes exchanges in negotiations to attempt a settlement that was not reached. I</w:t>
      </w:r>
      <w:r>
        <w:rPr>
          <w:rFonts w:ascii="Arial" w:hAnsi="Arial" w:cs="Arial"/>
        </w:rPr>
        <w:t>t further contends that it</w:t>
      </w:r>
      <w:r w:rsidR="00BF7AF7">
        <w:rPr>
          <w:rFonts w:ascii="Arial" w:hAnsi="Arial" w:cs="Arial"/>
        </w:rPr>
        <w:t xml:space="preserve"> will be prejudiced if </w:t>
      </w:r>
      <w:r>
        <w:rPr>
          <w:rFonts w:ascii="Arial" w:hAnsi="Arial" w:cs="Arial"/>
        </w:rPr>
        <w:t>these paragraphs are</w:t>
      </w:r>
      <w:r w:rsidR="00BF7AF7">
        <w:rPr>
          <w:rFonts w:ascii="Arial" w:hAnsi="Arial" w:cs="Arial"/>
        </w:rPr>
        <w:t xml:space="preserve"> not struck out as the </w:t>
      </w:r>
      <w:r>
        <w:rPr>
          <w:rFonts w:ascii="Arial" w:hAnsi="Arial" w:cs="Arial"/>
        </w:rPr>
        <w:t>SIU</w:t>
      </w:r>
      <w:r w:rsidR="00BF7AF7">
        <w:rPr>
          <w:rFonts w:ascii="Arial" w:hAnsi="Arial" w:cs="Arial"/>
        </w:rPr>
        <w:t xml:space="preserve"> seeks to influence the Tribunal’s decision against </w:t>
      </w:r>
      <w:r>
        <w:rPr>
          <w:rFonts w:ascii="Arial" w:hAnsi="Arial" w:cs="Arial"/>
        </w:rPr>
        <w:t>it</w:t>
      </w:r>
      <w:r w:rsidR="00BF7AF7">
        <w:rPr>
          <w:rFonts w:ascii="Arial" w:hAnsi="Arial" w:cs="Arial"/>
        </w:rPr>
        <w:t xml:space="preserve">. </w:t>
      </w:r>
    </w:p>
    <w:p w14:paraId="3B34B309" w14:textId="77777777" w:rsidR="00BF7AF7" w:rsidRDefault="00BF7AF7" w:rsidP="00BF7AF7">
      <w:pPr>
        <w:spacing w:line="360" w:lineRule="auto"/>
        <w:rPr>
          <w:rFonts w:ascii="Arial" w:hAnsi="Arial" w:cs="Arial"/>
        </w:rPr>
      </w:pPr>
    </w:p>
    <w:p w14:paraId="1784C244" w14:textId="01DF0C14" w:rsidR="00C87BDC" w:rsidRDefault="00C87BDC" w:rsidP="00BF7AF7">
      <w:pPr>
        <w:spacing w:line="360" w:lineRule="auto"/>
        <w:rPr>
          <w:rFonts w:ascii="Arial" w:hAnsi="Arial" w:cs="Arial"/>
        </w:rPr>
      </w:pPr>
      <w:r>
        <w:rPr>
          <w:rFonts w:ascii="Arial" w:hAnsi="Arial" w:cs="Arial"/>
        </w:rPr>
        <w:t>[</w:t>
      </w:r>
      <w:r w:rsidR="00515580">
        <w:rPr>
          <w:rFonts w:ascii="Arial" w:hAnsi="Arial" w:cs="Arial"/>
        </w:rPr>
        <w:t>23</w:t>
      </w:r>
      <w:r>
        <w:rPr>
          <w:rFonts w:ascii="Arial" w:hAnsi="Arial" w:cs="Arial"/>
        </w:rPr>
        <w:t>]</w:t>
      </w:r>
      <w:r>
        <w:rPr>
          <w:rFonts w:ascii="Arial" w:hAnsi="Arial" w:cs="Arial"/>
        </w:rPr>
        <w:tab/>
        <w:t xml:space="preserve">The SIU contends that it included these paragraph in support for its application for condonation for the late filing of its answering affidavit. </w:t>
      </w:r>
      <w:r w:rsidR="00D05547">
        <w:rPr>
          <w:rFonts w:ascii="Arial" w:hAnsi="Arial" w:cs="Arial"/>
        </w:rPr>
        <w:t xml:space="preserve">Having studied these paragraphs, I agree with the SIU. </w:t>
      </w:r>
      <w:r>
        <w:rPr>
          <w:rFonts w:ascii="Arial" w:hAnsi="Arial" w:cs="Arial"/>
        </w:rPr>
        <w:t xml:space="preserve">The paragraphs </w:t>
      </w:r>
      <w:r w:rsidR="00D05547">
        <w:rPr>
          <w:rFonts w:ascii="Arial" w:hAnsi="Arial" w:cs="Arial"/>
        </w:rPr>
        <w:t xml:space="preserve">(and the correspondence referenced therein) </w:t>
      </w:r>
      <w:r>
        <w:rPr>
          <w:rFonts w:ascii="Arial" w:hAnsi="Arial" w:cs="Arial"/>
        </w:rPr>
        <w:t xml:space="preserve">do not constitute exchanges between the parties in negotiations to attempt a settlement that </w:t>
      </w:r>
      <w:r>
        <w:rPr>
          <w:rFonts w:ascii="Arial" w:hAnsi="Arial" w:cs="Arial"/>
        </w:rPr>
        <w:lastRenderedPageBreak/>
        <w:t>was not reached. The parties were articulating their respective cases</w:t>
      </w:r>
      <w:r w:rsidR="009D7C75">
        <w:rPr>
          <w:rFonts w:ascii="Arial" w:hAnsi="Arial" w:cs="Arial"/>
        </w:rPr>
        <w:t xml:space="preserve"> and blaming each other for the costs of the interlocutory application, which the SIU considered to be unnecessary</w:t>
      </w:r>
      <w:r>
        <w:rPr>
          <w:rFonts w:ascii="Arial" w:hAnsi="Arial" w:cs="Arial"/>
        </w:rPr>
        <w:t xml:space="preserve">. </w:t>
      </w:r>
      <w:r w:rsidR="009D7C75">
        <w:rPr>
          <w:rFonts w:ascii="Arial" w:hAnsi="Arial" w:cs="Arial"/>
        </w:rPr>
        <w:t xml:space="preserve">There was no attempt made to settle that application. </w:t>
      </w:r>
    </w:p>
    <w:p w14:paraId="2678D9E9" w14:textId="60D4CD5A" w:rsidR="009D7C75" w:rsidRDefault="009D7C75" w:rsidP="00BF7AF7">
      <w:pPr>
        <w:spacing w:line="360" w:lineRule="auto"/>
        <w:rPr>
          <w:rFonts w:ascii="Arial" w:hAnsi="Arial" w:cs="Arial"/>
        </w:rPr>
      </w:pPr>
      <w:r>
        <w:rPr>
          <w:rFonts w:ascii="Arial" w:hAnsi="Arial" w:cs="Arial"/>
        </w:rPr>
        <w:t>[</w:t>
      </w:r>
      <w:r w:rsidR="00515580">
        <w:rPr>
          <w:rFonts w:ascii="Arial" w:hAnsi="Arial" w:cs="Arial"/>
        </w:rPr>
        <w:t>24</w:t>
      </w:r>
      <w:r>
        <w:rPr>
          <w:rFonts w:ascii="Arial" w:hAnsi="Arial" w:cs="Arial"/>
        </w:rPr>
        <w:t>]</w:t>
      </w:r>
      <w:r>
        <w:rPr>
          <w:rFonts w:ascii="Arial" w:hAnsi="Arial" w:cs="Arial"/>
        </w:rPr>
        <w:tab/>
        <w:t>I find that disclosing the relevant corresponden</w:t>
      </w:r>
      <w:r w:rsidR="00D05547">
        <w:rPr>
          <w:rFonts w:ascii="Arial" w:hAnsi="Arial" w:cs="Arial"/>
        </w:rPr>
        <w:t>ce</w:t>
      </w:r>
      <w:r>
        <w:rPr>
          <w:rFonts w:ascii="Arial" w:hAnsi="Arial" w:cs="Arial"/>
        </w:rPr>
        <w:t xml:space="preserve"> to the Tribunal is not prejudicial to the twelfth respondent. Therefore, its request that it be struck out is dismissed.</w:t>
      </w:r>
    </w:p>
    <w:p w14:paraId="723036CD" w14:textId="77777777" w:rsidR="009D7C75" w:rsidRDefault="009D7C75" w:rsidP="00BF7AF7">
      <w:pPr>
        <w:spacing w:line="360" w:lineRule="auto"/>
        <w:rPr>
          <w:rFonts w:ascii="Arial" w:hAnsi="Arial" w:cs="Arial"/>
        </w:rPr>
      </w:pPr>
    </w:p>
    <w:p w14:paraId="0336CA0F" w14:textId="2F54DF93" w:rsidR="00BF7AF7" w:rsidRPr="00832881" w:rsidRDefault="00BF7AF7" w:rsidP="00D05547">
      <w:pPr>
        <w:spacing w:line="360" w:lineRule="auto"/>
        <w:ind w:left="0"/>
        <w:rPr>
          <w:rFonts w:ascii="Arial" w:hAnsi="Arial" w:cs="Arial"/>
          <w:b/>
          <w:bCs/>
        </w:rPr>
      </w:pPr>
      <w:r w:rsidRPr="00832881">
        <w:rPr>
          <w:rFonts w:ascii="Arial" w:hAnsi="Arial" w:cs="Arial"/>
          <w:b/>
          <w:bCs/>
        </w:rPr>
        <w:t xml:space="preserve">Ad </w:t>
      </w:r>
      <w:r w:rsidR="00D05547">
        <w:rPr>
          <w:rFonts w:ascii="Arial" w:hAnsi="Arial" w:cs="Arial"/>
          <w:b/>
          <w:bCs/>
        </w:rPr>
        <w:t>p</w:t>
      </w:r>
      <w:r w:rsidRPr="00832881">
        <w:rPr>
          <w:rFonts w:ascii="Arial" w:hAnsi="Arial" w:cs="Arial"/>
          <w:b/>
          <w:bCs/>
        </w:rPr>
        <w:t>ara</w:t>
      </w:r>
      <w:r w:rsidR="00D05547">
        <w:rPr>
          <w:rFonts w:ascii="Arial" w:hAnsi="Arial" w:cs="Arial"/>
          <w:b/>
          <w:bCs/>
        </w:rPr>
        <w:t>graph</w:t>
      </w:r>
      <w:r w:rsidRPr="00832881">
        <w:rPr>
          <w:rFonts w:ascii="Arial" w:hAnsi="Arial" w:cs="Arial"/>
          <w:b/>
          <w:bCs/>
        </w:rPr>
        <w:t xml:space="preserve"> 18</w:t>
      </w:r>
    </w:p>
    <w:p w14:paraId="5743732D" w14:textId="68D3A2B0" w:rsidR="00BF7AF7" w:rsidRDefault="00832881" w:rsidP="00802C6E">
      <w:pPr>
        <w:spacing w:line="360" w:lineRule="auto"/>
        <w:ind w:left="0"/>
        <w:rPr>
          <w:rFonts w:ascii="Arial" w:hAnsi="Arial" w:cs="Arial"/>
        </w:rPr>
      </w:pPr>
      <w:r>
        <w:rPr>
          <w:rFonts w:ascii="Arial" w:hAnsi="Arial" w:cs="Arial"/>
        </w:rPr>
        <w:t>[</w:t>
      </w:r>
      <w:r w:rsidR="00515580">
        <w:rPr>
          <w:rFonts w:ascii="Arial" w:hAnsi="Arial" w:cs="Arial"/>
        </w:rPr>
        <w:t>25</w:t>
      </w:r>
      <w:r>
        <w:rPr>
          <w:rFonts w:ascii="Arial" w:hAnsi="Arial" w:cs="Arial"/>
        </w:rPr>
        <w:t>]</w:t>
      </w:r>
      <w:r>
        <w:rPr>
          <w:rFonts w:ascii="Arial" w:hAnsi="Arial" w:cs="Arial"/>
        </w:rPr>
        <w:tab/>
        <w:t xml:space="preserve">The twelfth respondent contends that </w:t>
      </w:r>
      <w:r w:rsidR="00BF7AF7">
        <w:rPr>
          <w:rFonts w:ascii="Arial" w:hAnsi="Arial" w:cs="Arial"/>
        </w:rPr>
        <w:t xml:space="preserve">Annexure SM5 </w:t>
      </w:r>
      <w:r w:rsidR="00643364">
        <w:rPr>
          <w:rFonts w:ascii="Arial" w:hAnsi="Arial" w:cs="Arial"/>
        </w:rPr>
        <w:t xml:space="preserve">is </w:t>
      </w:r>
      <w:r w:rsidR="00BF7AF7">
        <w:rPr>
          <w:rFonts w:ascii="Arial" w:hAnsi="Arial" w:cs="Arial"/>
        </w:rPr>
        <w:t xml:space="preserve">the same document as </w:t>
      </w:r>
      <w:r w:rsidR="00802C6E">
        <w:rPr>
          <w:rFonts w:ascii="Arial" w:hAnsi="Arial" w:cs="Arial"/>
        </w:rPr>
        <w:t>“SM4” and</w:t>
      </w:r>
      <w:r w:rsidR="00BF7AF7">
        <w:rPr>
          <w:rFonts w:ascii="Arial" w:hAnsi="Arial" w:cs="Arial"/>
        </w:rPr>
        <w:t xml:space="preserve"> is unnecessarily repetitive and prolix. </w:t>
      </w:r>
      <w:r>
        <w:rPr>
          <w:rFonts w:ascii="Arial" w:hAnsi="Arial" w:cs="Arial"/>
        </w:rPr>
        <w:t>It</w:t>
      </w:r>
      <w:r w:rsidR="00BF7AF7">
        <w:rPr>
          <w:rFonts w:ascii="Arial" w:hAnsi="Arial" w:cs="Arial"/>
        </w:rPr>
        <w:t xml:space="preserve"> </w:t>
      </w:r>
      <w:r w:rsidR="00802C6E">
        <w:rPr>
          <w:rFonts w:ascii="Arial" w:hAnsi="Arial" w:cs="Arial"/>
        </w:rPr>
        <w:t>is</w:t>
      </w:r>
      <w:r w:rsidR="00BF7AF7">
        <w:rPr>
          <w:rFonts w:ascii="Arial" w:hAnsi="Arial" w:cs="Arial"/>
        </w:rPr>
        <w:t xml:space="preserve"> prejudiced with unnecessary costs if it is not struck out.  </w:t>
      </w:r>
    </w:p>
    <w:p w14:paraId="51A66362" w14:textId="77777777" w:rsidR="00BF7AF7" w:rsidRDefault="00BF7AF7" w:rsidP="00BF7AF7">
      <w:pPr>
        <w:spacing w:line="360" w:lineRule="auto"/>
        <w:rPr>
          <w:rFonts w:ascii="Arial" w:hAnsi="Arial" w:cs="Arial"/>
        </w:rPr>
      </w:pPr>
    </w:p>
    <w:p w14:paraId="7E705ADA" w14:textId="24E5B84D" w:rsidR="009D7C75" w:rsidRDefault="009D7C75" w:rsidP="00802C6E">
      <w:pPr>
        <w:spacing w:line="360" w:lineRule="auto"/>
        <w:ind w:left="0"/>
        <w:rPr>
          <w:rFonts w:ascii="Arial" w:hAnsi="Arial" w:cs="Arial"/>
        </w:rPr>
      </w:pPr>
      <w:r>
        <w:rPr>
          <w:rFonts w:ascii="Arial" w:hAnsi="Arial" w:cs="Arial"/>
        </w:rPr>
        <w:t>[</w:t>
      </w:r>
      <w:r w:rsidR="00515580">
        <w:rPr>
          <w:rFonts w:ascii="Arial" w:hAnsi="Arial" w:cs="Arial"/>
        </w:rPr>
        <w:t>26</w:t>
      </w:r>
      <w:r>
        <w:rPr>
          <w:rFonts w:ascii="Arial" w:hAnsi="Arial" w:cs="Arial"/>
        </w:rPr>
        <w:t>]</w:t>
      </w:r>
      <w:r>
        <w:rPr>
          <w:rFonts w:ascii="Arial" w:hAnsi="Arial" w:cs="Arial"/>
        </w:rPr>
        <w:tab/>
        <w:t xml:space="preserve">Indeed SM5 is the same document as SM4. </w:t>
      </w:r>
      <w:r w:rsidR="00D05547">
        <w:rPr>
          <w:rFonts w:ascii="Arial" w:hAnsi="Arial" w:cs="Arial"/>
        </w:rPr>
        <w:t xml:space="preserve">However, the twelfth respondent’s request lacks merit. To identify the document as being the same as SM4, the twelfth respondent’s attorney had to peruse it. Thus, the prejudice complained of has already been suffered. It is up to the </w:t>
      </w:r>
      <w:r>
        <w:rPr>
          <w:rFonts w:ascii="Arial" w:hAnsi="Arial" w:cs="Arial"/>
        </w:rPr>
        <w:t>twelfth respondent</w:t>
      </w:r>
      <w:r w:rsidR="00D05547">
        <w:rPr>
          <w:rFonts w:ascii="Arial" w:hAnsi="Arial" w:cs="Arial"/>
        </w:rPr>
        <w:t xml:space="preserve"> to seek a remedy by </w:t>
      </w:r>
      <w:r w:rsidR="0051128C">
        <w:rPr>
          <w:rFonts w:ascii="Arial" w:hAnsi="Arial" w:cs="Arial"/>
        </w:rPr>
        <w:t xml:space="preserve">arguing for the costs of perusing this document </w:t>
      </w:r>
      <w:r w:rsidR="00D05547">
        <w:rPr>
          <w:rFonts w:ascii="Arial" w:hAnsi="Arial" w:cs="Arial"/>
        </w:rPr>
        <w:t>in the review application.</w:t>
      </w:r>
      <w:r w:rsidR="00B6416F">
        <w:rPr>
          <w:rFonts w:ascii="Arial" w:hAnsi="Arial" w:cs="Arial"/>
        </w:rPr>
        <w:t xml:space="preserve"> Therefore, the twelfth respondent’s request to strike out SM5 is dismissed.  </w:t>
      </w:r>
    </w:p>
    <w:p w14:paraId="5836EDA5" w14:textId="77777777" w:rsidR="009D7C75" w:rsidRDefault="009D7C75" w:rsidP="00832881">
      <w:pPr>
        <w:spacing w:line="360" w:lineRule="auto"/>
        <w:ind w:left="0"/>
        <w:rPr>
          <w:rFonts w:ascii="Arial" w:hAnsi="Arial" w:cs="Arial"/>
          <w:b/>
          <w:bCs/>
        </w:rPr>
      </w:pPr>
    </w:p>
    <w:p w14:paraId="59F2E370" w14:textId="67FA1EBC" w:rsidR="00BF7AF7" w:rsidRPr="00832881" w:rsidRDefault="00BF7AF7" w:rsidP="00832881">
      <w:pPr>
        <w:spacing w:line="360" w:lineRule="auto"/>
        <w:ind w:left="0"/>
        <w:rPr>
          <w:rFonts w:ascii="Arial" w:hAnsi="Arial" w:cs="Arial"/>
          <w:b/>
          <w:bCs/>
        </w:rPr>
      </w:pPr>
      <w:r w:rsidRPr="00832881">
        <w:rPr>
          <w:rFonts w:ascii="Arial" w:hAnsi="Arial" w:cs="Arial"/>
          <w:b/>
          <w:bCs/>
        </w:rPr>
        <w:t xml:space="preserve">Ad </w:t>
      </w:r>
      <w:r w:rsidR="0051128C">
        <w:rPr>
          <w:rFonts w:ascii="Arial" w:hAnsi="Arial" w:cs="Arial"/>
          <w:b/>
          <w:bCs/>
        </w:rPr>
        <w:t>p</w:t>
      </w:r>
      <w:r w:rsidRPr="00832881">
        <w:rPr>
          <w:rFonts w:ascii="Arial" w:hAnsi="Arial" w:cs="Arial"/>
          <w:b/>
          <w:bCs/>
        </w:rPr>
        <w:t>ara</w:t>
      </w:r>
      <w:r w:rsidR="0051128C">
        <w:rPr>
          <w:rFonts w:ascii="Arial" w:hAnsi="Arial" w:cs="Arial"/>
          <w:b/>
          <w:bCs/>
        </w:rPr>
        <w:t>graph</w:t>
      </w:r>
      <w:r w:rsidRPr="00832881">
        <w:rPr>
          <w:rFonts w:ascii="Arial" w:hAnsi="Arial" w:cs="Arial"/>
          <w:b/>
          <w:bCs/>
        </w:rPr>
        <w:t xml:space="preserve"> 21</w:t>
      </w:r>
    </w:p>
    <w:p w14:paraId="2AA6516C" w14:textId="4DA03DD4" w:rsidR="00BF7AF7" w:rsidRDefault="00832881" w:rsidP="00832881">
      <w:pPr>
        <w:spacing w:line="360" w:lineRule="auto"/>
        <w:ind w:left="0"/>
        <w:rPr>
          <w:rFonts w:ascii="Arial" w:hAnsi="Arial" w:cs="Arial"/>
        </w:rPr>
      </w:pPr>
      <w:r>
        <w:rPr>
          <w:rFonts w:ascii="Arial" w:hAnsi="Arial" w:cs="Arial"/>
        </w:rPr>
        <w:t>[</w:t>
      </w:r>
      <w:r w:rsidR="00515580">
        <w:rPr>
          <w:rFonts w:ascii="Arial" w:hAnsi="Arial" w:cs="Arial"/>
        </w:rPr>
        <w:t>27</w:t>
      </w:r>
      <w:r>
        <w:rPr>
          <w:rFonts w:ascii="Arial" w:hAnsi="Arial" w:cs="Arial"/>
        </w:rPr>
        <w:t>]</w:t>
      </w:r>
      <w:r>
        <w:rPr>
          <w:rFonts w:ascii="Arial" w:hAnsi="Arial" w:cs="Arial"/>
        </w:rPr>
        <w:tab/>
        <w:t xml:space="preserve">The twelfth respondent seeks the words </w:t>
      </w:r>
      <w:r w:rsidR="00BF7AF7">
        <w:rPr>
          <w:rFonts w:ascii="Arial" w:hAnsi="Arial" w:cs="Arial"/>
        </w:rPr>
        <w:t>“that sanity will prevail”</w:t>
      </w:r>
      <w:r>
        <w:rPr>
          <w:rFonts w:ascii="Arial" w:hAnsi="Arial" w:cs="Arial"/>
        </w:rPr>
        <w:t xml:space="preserve"> struck out on </w:t>
      </w:r>
      <w:r w:rsidR="00BF7AF7">
        <w:rPr>
          <w:rFonts w:ascii="Arial" w:hAnsi="Arial" w:cs="Arial"/>
        </w:rPr>
        <w:t xml:space="preserve">the grounds that it is defamatory, </w:t>
      </w:r>
      <w:r w:rsidR="00802C6E">
        <w:rPr>
          <w:rFonts w:ascii="Arial" w:hAnsi="Arial" w:cs="Arial"/>
        </w:rPr>
        <w:t>unfounded,</w:t>
      </w:r>
      <w:r w:rsidR="00BF7AF7">
        <w:rPr>
          <w:rFonts w:ascii="Arial" w:hAnsi="Arial" w:cs="Arial"/>
        </w:rPr>
        <w:t xml:space="preserve"> and irrelevant. I</w:t>
      </w:r>
      <w:r>
        <w:rPr>
          <w:rFonts w:ascii="Arial" w:hAnsi="Arial" w:cs="Arial"/>
        </w:rPr>
        <w:t>t</w:t>
      </w:r>
      <w:r w:rsidR="00BF7AF7">
        <w:rPr>
          <w:rFonts w:ascii="Arial" w:hAnsi="Arial" w:cs="Arial"/>
        </w:rPr>
        <w:t xml:space="preserve"> will be prejudiced if th</w:t>
      </w:r>
      <w:r>
        <w:rPr>
          <w:rFonts w:ascii="Arial" w:hAnsi="Arial" w:cs="Arial"/>
        </w:rPr>
        <w:t xml:space="preserve">ese words are </w:t>
      </w:r>
      <w:r w:rsidR="00BF7AF7">
        <w:rPr>
          <w:rFonts w:ascii="Arial" w:hAnsi="Arial" w:cs="Arial"/>
        </w:rPr>
        <w:t xml:space="preserve">not struck out as </w:t>
      </w:r>
      <w:r>
        <w:rPr>
          <w:rFonts w:ascii="Arial" w:hAnsi="Arial" w:cs="Arial"/>
        </w:rPr>
        <w:t>they</w:t>
      </w:r>
      <w:r w:rsidR="00BF7AF7">
        <w:rPr>
          <w:rFonts w:ascii="Arial" w:hAnsi="Arial" w:cs="Arial"/>
        </w:rPr>
        <w:t xml:space="preserve"> </w:t>
      </w:r>
      <w:r w:rsidR="00802C6E">
        <w:rPr>
          <w:rFonts w:ascii="Arial" w:hAnsi="Arial" w:cs="Arial"/>
        </w:rPr>
        <w:t>seek</w:t>
      </w:r>
      <w:r w:rsidR="00BF7AF7">
        <w:rPr>
          <w:rFonts w:ascii="Arial" w:hAnsi="Arial" w:cs="Arial"/>
        </w:rPr>
        <w:t xml:space="preserve"> to colour the Tribunal’s mind on the aforesaid allegations and influence it in determining the </w:t>
      </w:r>
      <w:r w:rsidR="005D0936">
        <w:rPr>
          <w:rFonts w:ascii="Arial" w:hAnsi="Arial" w:cs="Arial"/>
        </w:rPr>
        <w:t xml:space="preserve">dispute between the parties. </w:t>
      </w:r>
      <w:r w:rsidR="00BF7AF7">
        <w:rPr>
          <w:rFonts w:ascii="Arial" w:hAnsi="Arial" w:cs="Arial"/>
        </w:rPr>
        <w:t xml:space="preserve">  </w:t>
      </w:r>
    </w:p>
    <w:p w14:paraId="498E6118" w14:textId="77777777" w:rsidR="00BF7AF7" w:rsidRDefault="00BF7AF7" w:rsidP="009D7C75">
      <w:pPr>
        <w:spacing w:line="360" w:lineRule="auto"/>
        <w:ind w:left="0"/>
        <w:rPr>
          <w:rFonts w:ascii="Arial" w:hAnsi="Arial" w:cs="Arial"/>
        </w:rPr>
      </w:pPr>
    </w:p>
    <w:p w14:paraId="08DFC449" w14:textId="585737D0" w:rsidR="009D7C75" w:rsidRDefault="009D7C75" w:rsidP="009D7C75">
      <w:pPr>
        <w:spacing w:line="360" w:lineRule="auto"/>
        <w:ind w:left="0"/>
        <w:rPr>
          <w:rFonts w:ascii="Arial" w:hAnsi="Arial" w:cs="Arial"/>
        </w:rPr>
      </w:pPr>
      <w:r>
        <w:rPr>
          <w:rFonts w:ascii="Arial" w:hAnsi="Arial" w:cs="Arial"/>
        </w:rPr>
        <w:t>[2</w:t>
      </w:r>
      <w:r w:rsidR="00515580">
        <w:rPr>
          <w:rFonts w:ascii="Arial" w:hAnsi="Arial" w:cs="Arial"/>
        </w:rPr>
        <w:t>8</w:t>
      </w:r>
      <w:r>
        <w:rPr>
          <w:rFonts w:ascii="Arial" w:hAnsi="Arial" w:cs="Arial"/>
        </w:rPr>
        <w:t>]</w:t>
      </w:r>
      <w:r>
        <w:rPr>
          <w:rFonts w:ascii="Arial" w:hAnsi="Arial" w:cs="Arial"/>
        </w:rPr>
        <w:tab/>
        <w:t xml:space="preserve">The contention by counsel for the SIU that ‘these words were not intended to be used and that the SIU intended to mean that the parties will reach each other’ </w:t>
      </w:r>
      <w:r w:rsidR="0051128C">
        <w:rPr>
          <w:rFonts w:ascii="Arial" w:hAnsi="Arial" w:cs="Arial"/>
        </w:rPr>
        <w:t>a</w:t>
      </w:r>
      <w:r>
        <w:rPr>
          <w:rFonts w:ascii="Arial" w:hAnsi="Arial" w:cs="Arial"/>
        </w:rPr>
        <w:t>mounts to a concession that the words ought not to be used. Contrary to the submission by counsel for the SIU, these words were clearly directed by the attorney for the SIU to the attorney for the twelfth respondent. As contended by the twelfth respondent,</w:t>
      </w:r>
      <w:r w:rsidR="0051128C">
        <w:rPr>
          <w:rFonts w:ascii="Arial" w:hAnsi="Arial" w:cs="Arial"/>
        </w:rPr>
        <w:t xml:space="preserve"> the words are</w:t>
      </w:r>
      <w:r>
        <w:rPr>
          <w:rFonts w:ascii="Arial" w:hAnsi="Arial" w:cs="Arial"/>
        </w:rPr>
        <w:t xml:space="preserve"> defamatory, </w:t>
      </w:r>
      <w:r w:rsidR="00802C6E">
        <w:rPr>
          <w:rFonts w:ascii="Arial" w:hAnsi="Arial" w:cs="Arial"/>
        </w:rPr>
        <w:t>unfounded,</w:t>
      </w:r>
      <w:r>
        <w:rPr>
          <w:rFonts w:ascii="Arial" w:hAnsi="Arial" w:cs="Arial"/>
        </w:rPr>
        <w:t xml:space="preserve"> and irrelevant. It is also unprofessional and disrespectful for an officer of this court to address another officer of this court in that manner. </w:t>
      </w:r>
      <w:r w:rsidR="0051128C">
        <w:rPr>
          <w:rFonts w:ascii="Arial" w:hAnsi="Arial" w:cs="Arial"/>
        </w:rPr>
        <w:t>Further, the words stand to be struck out as they seek to colour the Tribunal’s mind on the parties’ respective cases in the application to compel and influence it in determining the dispute between the parties. They stand to be struck out.</w:t>
      </w:r>
    </w:p>
    <w:p w14:paraId="762FACC8" w14:textId="77777777" w:rsidR="00BF7AF7" w:rsidRDefault="00BF7AF7" w:rsidP="00BF7AF7">
      <w:pPr>
        <w:spacing w:line="360" w:lineRule="auto"/>
        <w:rPr>
          <w:rFonts w:ascii="Arial" w:hAnsi="Arial" w:cs="Arial"/>
        </w:rPr>
      </w:pPr>
    </w:p>
    <w:p w14:paraId="531BA9C3" w14:textId="49A64E6A" w:rsidR="00BF7AF7" w:rsidRPr="005D0936" w:rsidRDefault="00BF7AF7" w:rsidP="00BF7AF7">
      <w:pPr>
        <w:spacing w:line="360" w:lineRule="auto"/>
        <w:rPr>
          <w:rFonts w:ascii="Arial" w:hAnsi="Arial" w:cs="Arial"/>
          <w:b/>
          <w:bCs/>
        </w:rPr>
      </w:pPr>
      <w:r w:rsidRPr="005D0936">
        <w:rPr>
          <w:rFonts w:ascii="Arial" w:hAnsi="Arial" w:cs="Arial"/>
          <w:b/>
          <w:bCs/>
        </w:rPr>
        <w:lastRenderedPageBreak/>
        <w:t xml:space="preserve">Ad </w:t>
      </w:r>
      <w:r w:rsidR="0051128C">
        <w:rPr>
          <w:rFonts w:ascii="Arial" w:hAnsi="Arial" w:cs="Arial"/>
          <w:b/>
          <w:bCs/>
        </w:rPr>
        <w:t>p</w:t>
      </w:r>
      <w:r w:rsidRPr="005D0936">
        <w:rPr>
          <w:rFonts w:ascii="Arial" w:hAnsi="Arial" w:cs="Arial"/>
          <w:b/>
          <w:bCs/>
        </w:rPr>
        <w:t>ara</w:t>
      </w:r>
      <w:r w:rsidR="0051128C">
        <w:rPr>
          <w:rFonts w:ascii="Arial" w:hAnsi="Arial" w:cs="Arial"/>
          <w:b/>
          <w:bCs/>
        </w:rPr>
        <w:t>graph</w:t>
      </w:r>
      <w:r w:rsidRPr="005D0936">
        <w:rPr>
          <w:rFonts w:ascii="Arial" w:hAnsi="Arial" w:cs="Arial"/>
          <w:b/>
          <w:bCs/>
        </w:rPr>
        <w:t xml:space="preserve"> 26.3</w:t>
      </w:r>
    </w:p>
    <w:p w14:paraId="7B25250D" w14:textId="63999266" w:rsidR="00BF7AF7" w:rsidRDefault="005D0936" w:rsidP="00BF7AF7">
      <w:pPr>
        <w:spacing w:line="360" w:lineRule="auto"/>
        <w:rPr>
          <w:rFonts w:ascii="Arial" w:hAnsi="Arial" w:cs="Arial"/>
        </w:rPr>
      </w:pPr>
      <w:r>
        <w:rPr>
          <w:rFonts w:ascii="Arial" w:hAnsi="Arial" w:cs="Arial"/>
        </w:rPr>
        <w:t>[</w:t>
      </w:r>
      <w:r w:rsidR="009D7C75">
        <w:rPr>
          <w:rFonts w:ascii="Arial" w:hAnsi="Arial" w:cs="Arial"/>
        </w:rPr>
        <w:t>2</w:t>
      </w:r>
      <w:r w:rsidR="00515580">
        <w:rPr>
          <w:rFonts w:ascii="Arial" w:hAnsi="Arial" w:cs="Arial"/>
        </w:rPr>
        <w:t>9</w:t>
      </w:r>
      <w:r>
        <w:rPr>
          <w:rFonts w:ascii="Arial" w:hAnsi="Arial" w:cs="Arial"/>
        </w:rPr>
        <w:t>]</w:t>
      </w:r>
      <w:r>
        <w:rPr>
          <w:rFonts w:ascii="Arial" w:hAnsi="Arial" w:cs="Arial"/>
        </w:rPr>
        <w:tab/>
        <w:t>The twelfth respondent seeks t</w:t>
      </w:r>
      <w:r w:rsidR="00BF7AF7">
        <w:rPr>
          <w:rFonts w:ascii="Arial" w:hAnsi="Arial" w:cs="Arial"/>
        </w:rPr>
        <w:t xml:space="preserve">he entire content </w:t>
      </w:r>
      <w:r>
        <w:rPr>
          <w:rFonts w:ascii="Arial" w:hAnsi="Arial" w:cs="Arial"/>
        </w:rPr>
        <w:t xml:space="preserve">of this paragraph struck out </w:t>
      </w:r>
      <w:r w:rsidR="00BF7AF7">
        <w:rPr>
          <w:rFonts w:ascii="Arial" w:hAnsi="Arial" w:cs="Arial"/>
        </w:rPr>
        <w:t>on the grounds that is constitutes argument.  I</w:t>
      </w:r>
      <w:r>
        <w:rPr>
          <w:rFonts w:ascii="Arial" w:hAnsi="Arial" w:cs="Arial"/>
        </w:rPr>
        <w:t>t</w:t>
      </w:r>
      <w:r w:rsidR="00BF7AF7">
        <w:rPr>
          <w:rFonts w:ascii="Arial" w:hAnsi="Arial" w:cs="Arial"/>
        </w:rPr>
        <w:t xml:space="preserve"> will be prejudiced if it is not struck out as it is not based on fact which </w:t>
      </w:r>
      <w:r>
        <w:rPr>
          <w:rFonts w:ascii="Arial" w:hAnsi="Arial" w:cs="Arial"/>
        </w:rPr>
        <w:t>it</w:t>
      </w:r>
      <w:r w:rsidR="00BF7AF7">
        <w:rPr>
          <w:rFonts w:ascii="Arial" w:hAnsi="Arial" w:cs="Arial"/>
        </w:rPr>
        <w:t xml:space="preserve"> can respond to and is included by </w:t>
      </w:r>
      <w:r>
        <w:rPr>
          <w:rFonts w:ascii="Arial" w:hAnsi="Arial" w:cs="Arial"/>
        </w:rPr>
        <w:t xml:space="preserve">the SIU </w:t>
      </w:r>
      <w:r w:rsidR="00BF7AF7">
        <w:rPr>
          <w:rFonts w:ascii="Arial" w:hAnsi="Arial" w:cs="Arial"/>
        </w:rPr>
        <w:t>to influence the Tribunal’s decision.</w:t>
      </w:r>
    </w:p>
    <w:p w14:paraId="5EA1E9BF" w14:textId="5B0B6EDD" w:rsidR="0034422F" w:rsidRDefault="0034422F" w:rsidP="008505EC">
      <w:pPr>
        <w:spacing w:before="60" w:line="360" w:lineRule="auto"/>
        <w:rPr>
          <w:rFonts w:ascii="Arial" w:eastAsia="Times New Roman" w:hAnsi="Arial" w:cs="Arial"/>
          <w:color w:val="000000"/>
          <w:lang w:eastAsia="en-GB"/>
        </w:rPr>
      </w:pPr>
    </w:p>
    <w:p w14:paraId="3709EED6" w14:textId="7625BCE3" w:rsidR="0051128C" w:rsidRDefault="009D7C75" w:rsidP="0051128C">
      <w:pPr>
        <w:spacing w:line="360" w:lineRule="auto"/>
        <w:rPr>
          <w:rFonts w:ascii="Arial" w:hAnsi="Arial" w:cs="Arial"/>
        </w:rPr>
      </w:pPr>
      <w:r>
        <w:rPr>
          <w:rFonts w:ascii="Arial" w:eastAsia="Times New Roman" w:hAnsi="Arial" w:cs="Arial"/>
          <w:color w:val="000000"/>
          <w:lang w:eastAsia="en-GB"/>
        </w:rPr>
        <w:t>[</w:t>
      </w:r>
      <w:r w:rsidR="00515580">
        <w:rPr>
          <w:rFonts w:ascii="Arial" w:eastAsia="Times New Roman" w:hAnsi="Arial" w:cs="Arial"/>
          <w:color w:val="000000"/>
          <w:lang w:eastAsia="en-GB"/>
        </w:rPr>
        <w:t>30</w:t>
      </w:r>
      <w:r>
        <w:rPr>
          <w:rFonts w:ascii="Arial" w:eastAsia="Times New Roman" w:hAnsi="Arial" w:cs="Arial"/>
          <w:color w:val="000000"/>
          <w:lang w:eastAsia="en-GB"/>
        </w:rPr>
        <w:t>]</w:t>
      </w:r>
      <w:r>
        <w:rPr>
          <w:rFonts w:ascii="Arial" w:eastAsia="Times New Roman" w:hAnsi="Arial" w:cs="Arial"/>
          <w:color w:val="000000"/>
          <w:lang w:eastAsia="en-GB"/>
        </w:rPr>
        <w:tab/>
        <w:t xml:space="preserve">The contention by counsel for the </w:t>
      </w:r>
      <w:r w:rsidR="00222877">
        <w:rPr>
          <w:rFonts w:ascii="Arial" w:eastAsia="Times New Roman" w:hAnsi="Arial" w:cs="Arial"/>
          <w:color w:val="000000"/>
          <w:lang w:eastAsia="en-GB"/>
        </w:rPr>
        <w:t>SIU that his client was entitled to advance argument in its answering affidavit to bolster its factual averments is shocking. Reserving argument for inclusion in heads of argument is a long-standing practice in our court</w:t>
      </w:r>
      <w:r w:rsidR="0051128C">
        <w:rPr>
          <w:rFonts w:ascii="Arial" w:eastAsia="Times New Roman" w:hAnsi="Arial" w:cs="Arial"/>
          <w:color w:val="000000"/>
          <w:lang w:eastAsia="en-GB"/>
        </w:rPr>
        <w:t>s</w:t>
      </w:r>
      <w:r w:rsidR="00222877">
        <w:rPr>
          <w:rFonts w:ascii="Arial" w:eastAsia="Times New Roman" w:hAnsi="Arial" w:cs="Arial"/>
          <w:color w:val="000000"/>
          <w:lang w:eastAsia="en-GB"/>
        </w:rPr>
        <w:t>. This paragraph falls to be struck out for the reason advanced by the twelfth respondent.</w:t>
      </w:r>
      <w:r w:rsidR="0051128C">
        <w:rPr>
          <w:rFonts w:ascii="Arial" w:eastAsia="Times New Roman" w:hAnsi="Arial" w:cs="Arial"/>
          <w:color w:val="000000"/>
          <w:lang w:eastAsia="en-GB"/>
        </w:rPr>
        <w:t xml:space="preserve"> </w:t>
      </w:r>
    </w:p>
    <w:p w14:paraId="3DB6E29A" w14:textId="131C64CE" w:rsidR="0051128C" w:rsidRDefault="0051128C" w:rsidP="0051128C">
      <w:pPr>
        <w:spacing w:before="60" w:line="360" w:lineRule="auto"/>
        <w:rPr>
          <w:rFonts w:ascii="Arial" w:eastAsia="Times New Roman" w:hAnsi="Arial" w:cs="Arial"/>
          <w:color w:val="000000"/>
          <w:lang w:eastAsia="en-GB"/>
        </w:rPr>
      </w:pPr>
    </w:p>
    <w:p w14:paraId="1D02EB96" w14:textId="312B428E" w:rsidR="00222877" w:rsidRPr="00222877" w:rsidRDefault="00222877" w:rsidP="008505EC">
      <w:pPr>
        <w:spacing w:before="60" w:line="360" w:lineRule="auto"/>
        <w:rPr>
          <w:rFonts w:ascii="Arial" w:eastAsia="Times New Roman" w:hAnsi="Arial" w:cs="Arial"/>
          <w:b/>
          <w:bCs/>
          <w:color w:val="000000"/>
          <w:lang w:eastAsia="en-GB"/>
        </w:rPr>
      </w:pPr>
      <w:r w:rsidRPr="00222877">
        <w:rPr>
          <w:rFonts w:ascii="Arial" w:eastAsia="Times New Roman" w:hAnsi="Arial" w:cs="Arial"/>
          <w:b/>
          <w:bCs/>
          <w:color w:val="000000"/>
          <w:lang w:eastAsia="en-GB"/>
        </w:rPr>
        <w:t xml:space="preserve">APPLICATION TO COMPEL </w:t>
      </w:r>
    </w:p>
    <w:p w14:paraId="763386DF" w14:textId="2DD25988" w:rsidR="0034422F" w:rsidRDefault="0034422F"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31</w:t>
      </w:r>
      <w:r>
        <w:rPr>
          <w:rFonts w:ascii="Arial" w:eastAsia="Times New Roman" w:hAnsi="Arial" w:cs="Arial"/>
          <w:color w:val="000000"/>
          <w:lang w:eastAsia="en-GB"/>
        </w:rPr>
        <w:t>]</w:t>
      </w:r>
      <w:r>
        <w:rPr>
          <w:rFonts w:ascii="Arial" w:eastAsia="Times New Roman" w:hAnsi="Arial" w:cs="Arial"/>
          <w:color w:val="000000"/>
          <w:lang w:eastAsia="en-GB"/>
        </w:rPr>
        <w:tab/>
        <w:t xml:space="preserve">The SIU’s main grounds of opposition in the application to compel morphed as that application unfolded. Initially, the SIU contended that </w:t>
      </w:r>
      <w:r w:rsidR="000D2B99">
        <w:rPr>
          <w:rFonts w:ascii="Arial" w:eastAsia="Times New Roman" w:hAnsi="Arial" w:cs="Arial"/>
          <w:color w:val="000000"/>
          <w:lang w:eastAsia="en-GB"/>
        </w:rPr>
        <w:t xml:space="preserve">the application is rendered moot by the fact that it intends amending its notice of motion </w:t>
      </w:r>
      <w:r>
        <w:rPr>
          <w:rFonts w:ascii="Arial" w:eastAsia="Times New Roman" w:hAnsi="Arial" w:cs="Arial"/>
          <w:color w:val="000000"/>
          <w:lang w:eastAsia="en-GB"/>
        </w:rPr>
        <w:t xml:space="preserve">to delete the prayer in respect of which it seeks relief </w:t>
      </w:r>
      <w:r w:rsidR="000D2B99">
        <w:rPr>
          <w:rFonts w:ascii="Arial" w:eastAsia="Times New Roman" w:hAnsi="Arial" w:cs="Arial"/>
          <w:color w:val="000000"/>
          <w:lang w:eastAsia="en-GB"/>
        </w:rPr>
        <w:t>against the twelfth respondent.</w:t>
      </w:r>
      <w:r>
        <w:rPr>
          <w:rFonts w:ascii="Arial" w:eastAsia="Times New Roman" w:hAnsi="Arial" w:cs="Arial"/>
          <w:color w:val="000000"/>
          <w:lang w:eastAsia="en-GB"/>
        </w:rPr>
        <w:t xml:space="preserve"> </w:t>
      </w:r>
      <w:r w:rsidR="0020314E">
        <w:rPr>
          <w:rFonts w:ascii="Arial" w:eastAsia="Times New Roman" w:hAnsi="Arial" w:cs="Arial"/>
          <w:color w:val="000000"/>
          <w:lang w:eastAsia="en-GB"/>
        </w:rPr>
        <w:t xml:space="preserve">I conveniently refer to this prayer as </w:t>
      </w:r>
      <w:r w:rsidR="00222877">
        <w:rPr>
          <w:rFonts w:ascii="Arial" w:eastAsia="Times New Roman" w:hAnsi="Arial" w:cs="Arial"/>
          <w:color w:val="000000"/>
          <w:lang w:eastAsia="en-GB"/>
        </w:rPr>
        <w:t>prayer</w:t>
      </w:r>
      <w:r w:rsidR="0020314E">
        <w:rPr>
          <w:rFonts w:ascii="Arial" w:eastAsia="Times New Roman" w:hAnsi="Arial" w:cs="Arial"/>
          <w:color w:val="000000"/>
          <w:lang w:eastAsia="en-GB"/>
        </w:rPr>
        <w:t xml:space="preserve"> five. </w:t>
      </w:r>
      <w:r w:rsidR="0051128C">
        <w:rPr>
          <w:rFonts w:ascii="Arial" w:eastAsia="Times New Roman" w:hAnsi="Arial" w:cs="Arial"/>
          <w:color w:val="000000"/>
          <w:lang w:eastAsia="en-GB"/>
        </w:rPr>
        <w:t>T</w:t>
      </w:r>
      <w:r>
        <w:rPr>
          <w:rFonts w:ascii="Arial" w:eastAsia="Times New Roman" w:hAnsi="Arial" w:cs="Arial"/>
          <w:color w:val="000000"/>
          <w:lang w:eastAsia="en-GB"/>
        </w:rPr>
        <w:t>he SIU further contended</w:t>
      </w:r>
      <w:r w:rsidR="00222877">
        <w:rPr>
          <w:rFonts w:ascii="Arial" w:eastAsia="Times New Roman" w:hAnsi="Arial" w:cs="Arial"/>
          <w:color w:val="000000"/>
          <w:lang w:eastAsia="en-GB"/>
        </w:rPr>
        <w:t xml:space="preserve"> that</w:t>
      </w:r>
      <w:r>
        <w:rPr>
          <w:rFonts w:ascii="Arial" w:eastAsia="Times New Roman" w:hAnsi="Arial" w:cs="Arial"/>
          <w:color w:val="000000"/>
          <w:lang w:eastAsia="en-GB"/>
        </w:rPr>
        <w:t xml:space="preserve">, that being the case, the twelfth respondent is not entitled to an order compelling it to comply with </w:t>
      </w:r>
      <w:r w:rsidR="00222877">
        <w:rPr>
          <w:rFonts w:ascii="Arial" w:eastAsia="Times New Roman" w:hAnsi="Arial" w:cs="Arial"/>
          <w:color w:val="000000"/>
          <w:lang w:eastAsia="en-GB"/>
        </w:rPr>
        <w:t xml:space="preserve">its </w:t>
      </w:r>
      <w:r w:rsidR="0051128C">
        <w:rPr>
          <w:rFonts w:ascii="Arial" w:eastAsia="Times New Roman" w:hAnsi="Arial" w:cs="Arial"/>
          <w:color w:val="000000"/>
          <w:lang w:eastAsia="en-GB"/>
        </w:rPr>
        <w:t>n</w:t>
      </w:r>
      <w:r>
        <w:rPr>
          <w:rFonts w:ascii="Arial" w:eastAsia="Times New Roman" w:hAnsi="Arial" w:cs="Arial"/>
          <w:color w:val="000000"/>
          <w:lang w:eastAsia="en-GB"/>
        </w:rPr>
        <w:t>otice</w:t>
      </w:r>
      <w:r w:rsidR="0020314E">
        <w:rPr>
          <w:rFonts w:ascii="Arial" w:eastAsia="Times New Roman" w:hAnsi="Arial" w:cs="Arial"/>
          <w:color w:val="000000"/>
          <w:lang w:eastAsia="en-GB"/>
        </w:rPr>
        <w:t>.</w:t>
      </w:r>
      <w:r>
        <w:rPr>
          <w:rFonts w:ascii="Arial" w:eastAsia="Times New Roman" w:hAnsi="Arial" w:cs="Arial"/>
          <w:color w:val="000000"/>
          <w:lang w:eastAsia="en-GB"/>
        </w:rPr>
        <w:t xml:space="preserve"> It also contended that the notice is defective as it fails to specify the rule </w:t>
      </w:r>
      <w:r w:rsidR="0051128C">
        <w:rPr>
          <w:rFonts w:ascii="Arial" w:eastAsia="Times New Roman" w:hAnsi="Arial" w:cs="Arial"/>
          <w:color w:val="000000"/>
          <w:lang w:eastAsia="en-GB"/>
        </w:rPr>
        <w:t xml:space="preserve">on </w:t>
      </w:r>
      <w:r>
        <w:rPr>
          <w:rFonts w:ascii="Arial" w:eastAsia="Times New Roman" w:hAnsi="Arial" w:cs="Arial"/>
          <w:color w:val="000000"/>
          <w:lang w:eastAsia="en-GB"/>
        </w:rPr>
        <w:t>which the request to ma</w:t>
      </w:r>
      <w:r w:rsidR="0051128C">
        <w:rPr>
          <w:rFonts w:ascii="Arial" w:eastAsia="Times New Roman" w:hAnsi="Arial" w:cs="Arial"/>
          <w:color w:val="000000"/>
          <w:lang w:eastAsia="en-GB"/>
        </w:rPr>
        <w:t>k</w:t>
      </w:r>
      <w:r>
        <w:rPr>
          <w:rFonts w:ascii="Arial" w:eastAsia="Times New Roman" w:hAnsi="Arial" w:cs="Arial"/>
          <w:color w:val="000000"/>
          <w:lang w:eastAsia="en-GB"/>
        </w:rPr>
        <w:t>e</w:t>
      </w:r>
      <w:r w:rsidR="0051128C">
        <w:rPr>
          <w:rFonts w:ascii="Arial" w:eastAsia="Times New Roman" w:hAnsi="Arial" w:cs="Arial"/>
          <w:color w:val="000000"/>
          <w:lang w:eastAsia="en-GB"/>
        </w:rPr>
        <w:t xml:space="preserve"> documents available for inspection and copying is made</w:t>
      </w:r>
      <w:r>
        <w:rPr>
          <w:rFonts w:ascii="Arial" w:eastAsia="Times New Roman" w:hAnsi="Arial" w:cs="Arial"/>
          <w:color w:val="000000"/>
          <w:lang w:eastAsia="en-GB"/>
        </w:rPr>
        <w:t xml:space="preserve">. </w:t>
      </w:r>
    </w:p>
    <w:p w14:paraId="2FC3557D" w14:textId="77777777" w:rsidR="0034422F" w:rsidRDefault="0034422F" w:rsidP="008505EC">
      <w:pPr>
        <w:spacing w:before="60" w:line="360" w:lineRule="auto"/>
        <w:rPr>
          <w:rFonts w:ascii="Arial" w:eastAsia="Times New Roman" w:hAnsi="Arial" w:cs="Arial"/>
          <w:color w:val="000000"/>
          <w:lang w:eastAsia="en-GB"/>
        </w:rPr>
      </w:pPr>
    </w:p>
    <w:p w14:paraId="5D4C69B9" w14:textId="6089D112" w:rsidR="0020314E" w:rsidRDefault="0034422F" w:rsidP="00222877">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32</w:t>
      </w:r>
      <w:r>
        <w:rPr>
          <w:rFonts w:ascii="Arial" w:eastAsia="Times New Roman" w:hAnsi="Arial" w:cs="Arial"/>
          <w:color w:val="000000"/>
          <w:lang w:eastAsia="en-GB"/>
        </w:rPr>
        <w:t>]</w:t>
      </w:r>
      <w:r>
        <w:rPr>
          <w:rFonts w:ascii="Arial" w:eastAsia="Times New Roman" w:hAnsi="Arial" w:cs="Arial"/>
          <w:color w:val="000000"/>
          <w:lang w:eastAsia="en-GB"/>
        </w:rPr>
        <w:tab/>
        <w:t xml:space="preserve">In reply to the SIU’s grounds of opposition, the twelfth respondent </w:t>
      </w:r>
      <w:r w:rsidR="000E2C39">
        <w:rPr>
          <w:rFonts w:ascii="Arial" w:eastAsia="Times New Roman" w:hAnsi="Arial" w:cs="Arial"/>
          <w:color w:val="000000"/>
          <w:lang w:eastAsia="en-GB"/>
        </w:rPr>
        <w:t xml:space="preserve">contended that the SIU has not effected its </w:t>
      </w:r>
      <w:r w:rsidR="0020314E">
        <w:rPr>
          <w:rFonts w:ascii="Arial" w:eastAsia="Times New Roman" w:hAnsi="Arial" w:cs="Arial"/>
          <w:color w:val="000000"/>
          <w:lang w:eastAsia="en-GB"/>
        </w:rPr>
        <w:t xml:space="preserve">intended </w:t>
      </w:r>
      <w:r w:rsidR="000E2C39">
        <w:rPr>
          <w:rFonts w:ascii="Arial" w:eastAsia="Times New Roman" w:hAnsi="Arial" w:cs="Arial"/>
          <w:color w:val="000000"/>
          <w:lang w:eastAsia="en-GB"/>
        </w:rPr>
        <w:t xml:space="preserve">amendment because it has not filed its amended pages as required in terms of Tribunal Rule 15(5). Further, even if the SIU were to file its amended pages, a prayer seeking the costs of opposition from the respondents who oppose the </w:t>
      </w:r>
      <w:r w:rsidR="0051128C">
        <w:rPr>
          <w:rFonts w:ascii="Arial" w:eastAsia="Times New Roman" w:hAnsi="Arial" w:cs="Arial"/>
          <w:color w:val="000000"/>
          <w:lang w:eastAsia="en-GB"/>
        </w:rPr>
        <w:t xml:space="preserve">review </w:t>
      </w:r>
      <w:r w:rsidR="000E2C39">
        <w:rPr>
          <w:rFonts w:ascii="Arial" w:eastAsia="Times New Roman" w:hAnsi="Arial" w:cs="Arial"/>
          <w:color w:val="000000"/>
          <w:lang w:eastAsia="en-GB"/>
        </w:rPr>
        <w:t>application remains in the notice of motion.</w:t>
      </w:r>
      <w:r w:rsidR="00D969BB">
        <w:rPr>
          <w:rFonts w:ascii="Arial" w:eastAsia="Times New Roman" w:hAnsi="Arial" w:cs="Arial"/>
          <w:color w:val="000000"/>
          <w:lang w:eastAsia="en-GB"/>
        </w:rPr>
        <w:t xml:space="preserve"> I conveniently refer to this prayer as the prayer for costs.</w:t>
      </w:r>
      <w:r w:rsidR="000E2C39">
        <w:rPr>
          <w:rFonts w:ascii="Arial" w:eastAsia="Times New Roman" w:hAnsi="Arial" w:cs="Arial"/>
          <w:color w:val="000000"/>
          <w:lang w:eastAsia="en-GB"/>
        </w:rPr>
        <w:t xml:space="preserve"> The </w:t>
      </w:r>
      <w:r w:rsidR="0051128C">
        <w:rPr>
          <w:rFonts w:ascii="Arial" w:eastAsia="Times New Roman" w:hAnsi="Arial" w:cs="Arial"/>
          <w:color w:val="000000"/>
          <w:lang w:eastAsia="en-GB"/>
        </w:rPr>
        <w:t>t</w:t>
      </w:r>
      <w:r w:rsidR="000E2C39">
        <w:rPr>
          <w:rFonts w:ascii="Arial" w:eastAsia="Times New Roman" w:hAnsi="Arial" w:cs="Arial"/>
          <w:color w:val="000000"/>
          <w:lang w:eastAsia="en-GB"/>
        </w:rPr>
        <w:t>welfth respondent hitherto filed a notice of intention to oppose the</w:t>
      </w:r>
      <w:r w:rsidR="0051128C">
        <w:rPr>
          <w:rFonts w:ascii="Arial" w:eastAsia="Times New Roman" w:hAnsi="Arial" w:cs="Arial"/>
          <w:color w:val="000000"/>
          <w:lang w:eastAsia="en-GB"/>
        </w:rPr>
        <w:t xml:space="preserve"> review</w:t>
      </w:r>
      <w:r w:rsidR="000E2C39">
        <w:rPr>
          <w:rFonts w:ascii="Arial" w:eastAsia="Times New Roman" w:hAnsi="Arial" w:cs="Arial"/>
          <w:color w:val="000000"/>
          <w:lang w:eastAsia="en-GB"/>
        </w:rPr>
        <w:t xml:space="preserve"> application. Therefore,</w:t>
      </w:r>
      <w:r w:rsidR="0020314E">
        <w:rPr>
          <w:rFonts w:ascii="Arial" w:eastAsia="Times New Roman" w:hAnsi="Arial" w:cs="Arial"/>
          <w:color w:val="000000"/>
          <w:lang w:eastAsia="en-GB"/>
        </w:rPr>
        <w:t xml:space="preserve"> </w:t>
      </w:r>
      <w:r w:rsidR="000E2C39">
        <w:rPr>
          <w:rFonts w:ascii="Arial" w:eastAsia="Times New Roman" w:hAnsi="Arial" w:cs="Arial"/>
          <w:color w:val="000000"/>
          <w:lang w:eastAsia="en-GB"/>
        </w:rPr>
        <w:t xml:space="preserve">the SIU </w:t>
      </w:r>
      <w:r w:rsidR="0020314E">
        <w:rPr>
          <w:rFonts w:ascii="Arial" w:eastAsia="Times New Roman" w:hAnsi="Arial" w:cs="Arial"/>
          <w:color w:val="000000"/>
          <w:lang w:eastAsia="en-GB"/>
        </w:rPr>
        <w:t xml:space="preserve">would effectively </w:t>
      </w:r>
      <w:r w:rsidR="000E2C39">
        <w:rPr>
          <w:rFonts w:ascii="Arial" w:eastAsia="Times New Roman" w:hAnsi="Arial" w:cs="Arial"/>
          <w:color w:val="000000"/>
          <w:lang w:eastAsia="en-GB"/>
        </w:rPr>
        <w:t xml:space="preserve">persist in seeking relief against it albeit only limited to an order for costs. </w:t>
      </w:r>
      <w:r w:rsidR="0020314E">
        <w:rPr>
          <w:rFonts w:ascii="Arial" w:eastAsia="Times New Roman" w:hAnsi="Arial" w:cs="Arial"/>
          <w:color w:val="000000"/>
          <w:lang w:eastAsia="en-GB"/>
        </w:rPr>
        <w:t>Th</w:t>
      </w:r>
      <w:r w:rsidR="00222877">
        <w:rPr>
          <w:rFonts w:ascii="Arial" w:eastAsia="Times New Roman" w:hAnsi="Arial" w:cs="Arial"/>
          <w:color w:val="000000"/>
          <w:lang w:eastAsia="en-GB"/>
        </w:rPr>
        <w:t>us</w:t>
      </w:r>
      <w:r w:rsidR="0020314E">
        <w:rPr>
          <w:rFonts w:ascii="Arial" w:eastAsia="Times New Roman" w:hAnsi="Arial" w:cs="Arial"/>
          <w:color w:val="000000"/>
          <w:lang w:eastAsia="en-GB"/>
        </w:rPr>
        <w:t xml:space="preserve">, it is entitled to insist on compliance with its notice as it requires the documents specified in the notice to </w:t>
      </w:r>
      <w:r w:rsidR="0051128C">
        <w:rPr>
          <w:rFonts w:ascii="Arial" w:eastAsia="Times New Roman" w:hAnsi="Arial" w:cs="Arial"/>
          <w:color w:val="000000"/>
          <w:lang w:eastAsia="en-GB"/>
        </w:rPr>
        <w:t xml:space="preserve">answer to the SIU’s allegations and prayer for costs against it. </w:t>
      </w:r>
      <w:r w:rsidR="0020314E">
        <w:rPr>
          <w:rFonts w:ascii="Arial" w:eastAsia="Times New Roman" w:hAnsi="Arial" w:cs="Arial"/>
          <w:color w:val="000000"/>
          <w:lang w:eastAsia="en-GB"/>
        </w:rPr>
        <w:t xml:space="preserve"> </w:t>
      </w:r>
    </w:p>
    <w:p w14:paraId="005253D6" w14:textId="77777777" w:rsidR="0020314E" w:rsidRDefault="0020314E" w:rsidP="008505EC">
      <w:pPr>
        <w:spacing w:before="60" w:line="360" w:lineRule="auto"/>
        <w:rPr>
          <w:rFonts w:ascii="Arial" w:eastAsia="Times New Roman" w:hAnsi="Arial" w:cs="Arial"/>
          <w:color w:val="000000"/>
          <w:lang w:eastAsia="en-GB"/>
        </w:rPr>
      </w:pPr>
    </w:p>
    <w:p w14:paraId="14980CED" w14:textId="1E5F2B95" w:rsidR="0020314E" w:rsidRDefault="0020314E" w:rsidP="008505EC">
      <w:pPr>
        <w:spacing w:before="60" w:line="360" w:lineRule="auto"/>
        <w:rPr>
          <w:rFonts w:ascii="Arial" w:hAnsi="Arial" w:cs="Arial"/>
        </w:rPr>
      </w:pPr>
      <w:r>
        <w:rPr>
          <w:rFonts w:ascii="Arial" w:eastAsia="Times New Roman" w:hAnsi="Arial" w:cs="Arial"/>
          <w:color w:val="000000"/>
          <w:lang w:eastAsia="en-GB"/>
        </w:rPr>
        <w:lastRenderedPageBreak/>
        <w:t>[</w:t>
      </w:r>
      <w:r w:rsidR="00515580">
        <w:rPr>
          <w:rFonts w:ascii="Arial" w:eastAsia="Times New Roman" w:hAnsi="Arial" w:cs="Arial"/>
          <w:color w:val="000000"/>
          <w:lang w:eastAsia="en-GB"/>
        </w:rPr>
        <w:t>33</w:t>
      </w:r>
      <w:r>
        <w:rPr>
          <w:rFonts w:ascii="Arial" w:eastAsia="Times New Roman" w:hAnsi="Arial" w:cs="Arial"/>
          <w:color w:val="000000"/>
          <w:lang w:eastAsia="en-GB"/>
        </w:rPr>
        <w:t>]</w:t>
      </w:r>
      <w:r w:rsidR="004D2B02">
        <w:rPr>
          <w:rFonts w:ascii="Arial" w:eastAsia="Times New Roman" w:hAnsi="Arial" w:cs="Arial"/>
          <w:color w:val="000000"/>
          <w:lang w:eastAsia="en-GB"/>
        </w:rPr>
        <w:tab/>
      </w:r>
      <w:r>
        <w:rPr>
          <w:rFonts w:ascii="Arial" w:eastAsia="Times New Roman" w:hAnsi="Arial" w:cs="Arial"/>
          <w:color w:val="000000"/>
          <w:lang w:eastAsia="en-GB"/>
        </w:rPr>
        <w:t xml:space="preserve">The </w:t>
      </w:r>
      <w:r w:rsidR="0051128C">
        <w:rPr>
          <w:rFonts w:ascii="Arial" w:eastAsia="Times New Roman" w:hAnsi="Arial" w:cs="Arial"/>
          <w:color w:val="000000"/>
          <w:lang w:eastAsia="en-GB"/>
        </w:rPr>
        <w:t>t</w:t>
      </w:r>
      <w:r>
        <w:rPr>
          <w:rFonts w:ascii="Arial" w:eastAsia="Times New Roman" w:hAnsi="Arial" w:cs="Arial"/>
          <w:color w:val="000000"/>
          <w:lang w:eastAsia="en-GB"/>
        </w:rPr>
        <w:t xml:space="preserve">welfth respondent pointed out that </w:t>
      </w:r>
      <w:r>
        <w:rPr>
          <w:rFonts w:ascii="Arial" w:hAnsi="Arial" w:cs="Arial"/>
        </w:rPr>
        <w:t>it remains open to the SIU to deliver its amended pages in accordance with Tribunal rule 15(5), and furthermore to deliver a notice of withdrawal of the</w:t>
      </w:r>
      <w:r w:rsidR="0051128C">
        <w:rPr>
          <w:rFonts w:ascii="Arial" w:hAnsi="Arial" w:cs="Arial"/>
        </w:rPr>
        <w:t xml:space="preserve"> review a</w:t>
      </w:r>
      <w:r>
        <w:rPr>
          <w:rFonts w:ascii="Arial" w:hAnsi="Arial" w:cs="Arial"/>
        </w:rPr>
        <w:t>pplication against the twelfth respondent.</w:t>
      </w:r>
    </w:p>
    <w:p w14:paraId="05758FEA" w14:textId="77777777" w:rsidR="0020314E" w:rsidRDefault="0020314E" w:rsidP="008505EC">
      <w:pPr>
        <w:spacing w:before="60" w:line="360" w:lineRule="auto"/>
        <w:rPr>
          <w:rFonts w:ascii="Arial" w:hAnsi="Arial" w:cs="Arial"/>
        </w:rPr>
      </w:pPr>
    </w:p>
    <w:p w14:paraId="7FC03C6E" w14:textId="10D553DA" w:rsidR="00222877" w:rsidRDefault="0020314E" w:rsidP="008505EC">
      <w:pPr>
        <w:spacing w:before="60" w:line="360" w:lineRule="auto"/>
        <w:rPr>
          <w:rFonts w:ascii="Arial" w:hAnsi="Arial" w:cs="Arial"/>
        </w:rPr>
      </w:pPr>
      <w:r>
        <w:rPr>
          <w:rFonts w:ascii="Arial" w:hAnsi="Arial" w:cs="Arial"/>
        </w:rPr>
        <w:t>[</w:t>
      </w:r>
      <w:r w:rsidR="00515580">
        <w:rPr>
          <w:rFonts w:ascii="Arial" w:hAnsi="Arial" w:cs="Arial"/>
        </w:rPr>
        <w:t>34</w:t>
      </w:r>
      <w:r>
        <w:rPr>
          <w:rFonts w:ascii="Arial" w:hAnsi="Arial" w:cs="Arial"/>
        </w:rPr>
        <w:t>]</w:t>
      </w:r>
      <w:r>
        <w:rPr>
          <w:rFonts w:ascii="Arial" w:hAnsi="Arial" w:cs="Arial"/>
        </w:rPr>
        <w:tab/>
        <w:t xml:space="preserve">In the evening on the day before the hearing of the present applications, the SIU filed its amended pages. It contended that effecting its proposed amendment renders the application to compel moot. </w:t>
      </w:r>
    </w:p>
    <w:p w14:paraId="507B26E3" w14:textId="77777777" w:rsidR="00222877" w:rsidRDefault="00222877" w:rsidP="008505EC">
      <w:pPr>
        <w:spacing w:before="60" w:line="360" w:lineRule="auto"/>
        <w:rPr>
          <w:rFonts w:ascii="Arial" w:hAnsi="Arial" w:cs="Arial"/>
        </w:rPr>
      </w:pPr>
    </w:p>
    <w:p w14:paraId="7B29FFDA" w14:textId="4C1E4DBA" w:rsidR="00222877" w:rsidRDefault="00222877" w:rsidP="008505EC">
      <w:pPr>
        <w:spacing w:before="60" w:line="360" w:lineRule="auto"/>
        <w:rPr>
          <w:rFonts w:ascii="Arial" w:hAnsi="Arial" w:cs="Arial"/>
        </w:rPr>
      </w:pPr>
      <w:r>
        <w:rPr>
          <w:rFonts w:ascii="Arial" w:hAnsi="Arial" w:cs="Arial"/>
        </w:rPr>
        <w:t>[</w:t>
      </w:r>
      <w:r w:rsidR="00515580">
        <w:rPr>
          <w:rFonts w:ascii="Arial" w:hAnsi="Arial" w:cs="Arial"/>
        </w:rPr>
        <w:t>35</w:t>
      </w:r>
      <w:r>
        <w:rPr>
          <w:rFonts w:ascii="Arial" w:hAnsi="Arial" w:cs="Arial"/>
        </w:rPr>
        <w:t>]</w:t>
      </w:r>
      <w:r>
        <w:rPr>
          <w:rFonts w:ascii="Arial" w:hAnsi="Arial" w:cs="Arial"/>
        </w:rPr>
        <w:tab/>
        <w:t>By filing its amended pages, the SIU effectively conceded that its initial stance to the application to compel was wrong. It had failed to file its amended pages as required in terms of tribunal Rule 15(5). Hence, it remedie</w:t>
      </w:r>
      <w:r w:rsidR="00E64D89">
        <w:rPr>
          <w:rFonts w:ascii="Arial" w:hAnsi="Arial" w:cs="Arial"/>
        </w:rPr>
        <w:t>d</w:t>
      </w:r>
      <w:r>
        <w:rPr>
          <w:rFonts w:ascii="Arial" w:hAnsi="Arial" w:cs="Arial"/>
        </w:rPr>
        <w:t xml:space="preserve"> this omission. Regrettably for the SIU, as contended on behalf of the twelfth respondent, effecting its amendment does not reso</w:t>
      </w:r>
      <w:r w:rsidR="00E64D89">
        <w:rPr>
          <w:rFonts w:ascii="Arial" w:hAnsi="Arial" w:cs="Arial"/>
        </w:rPr>
        <w:t xml:space="preserve">lve </w:t>
      </w:r>
      <w:r>
        <w:rPr>
          <w:rFonts w:ascii="Arial" w:hAnsi="Arial" w:cs="Arial"/>
        </w:rPr>
        <w:t>the dispute between the parties in the review application and in the application to compel.</w:t>
      </w:r>
    </w:p>
    <w:p w14:paraId="3B4089BD" w14:textId="78CA1239" w:rsidR="0034422F" w:rsidRDefault="0020314E" w:rsidP="008505EC">
      <w:pPr>
        <w:spacing w:before="60" w:line="360" w:lineRule="auto"/>
        <w:rPr>
          <w:rFonts w:ascii="Arial" w:eastAsia="Times New Roman" w:hAnsi="Arial" w:cs="Arial"/>
          <w:color w:val="000000"/>
          <w:lang w:eastAsia="en-GB"/>
        </w:rPr>
      </w:pPr>
      <w:r>
        <w:rPr>
          <w:rFonts w:ascii="Arial" w:hAnsi="Arial" w:cs="Arial"/>
        </w:rPr>
        <w:t xml:space="preserve"> </w:t>
      </w:r>
    </w:p>
    <w:p w14:paraId="0554B7CE" w14:textId="17BE0B9A" w:rsidR="00D969BB" w:rsidRDefault="000D2B9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36</w:t>
      </w:r>
      <w:r>
        <w:rPr>
          <w:rFonts w:ascii="Arial" w:eastAsia="Times New Roman" w:hAnsi="Arial" w:cs="Arial"/>
          <w:color w:val="000000"/>
          <w:lang w:eastAsia="en-GB"/>
        </w:rPr>
        <w:t>]</w:t>
      </w:r>
      <w:r>
        <w:rPr>
          <w:rFonts w:ascii="Arial" w:eastAsia="Times New Roman" w:hAnsi="Arial" w:cs="Arial"/>
          <w:color w:val="000000"/>
          <w:lang w:eastAsia="en-GB"/>
        </w:rPr>
        <w:tab/>
      </w:r>
      <w:r w:rsidR="00D969BB">
        <w:rPr>
          <w:rFonts w:ascii="Arial" w:eastAsia="Times New Roman" w:hAnsi="Arial" w:cs="Arial"/>
          <w:color w:val="000000"/>
          <w:lang w:eastAsia="en-GB"/>
        </w:rPr>
        <w:t>T</w:t>
      </w:r>
      <w:r>
        <w:rPr>
          <w:rFonts w:ascii="Arial" w:eastAsia="Times New Roman" w:hAnsi="Arial" w:cs="Arial"/>
          <w:color w:val="000000"/>
          <w:lang w:eastAsia="en-GB"/>
        </w:rPr>
        <w:t xml:space="preserve">he issue between the parties is very narrow. It is whether in the review application, there is still a live dispute between the SIU and the twelfth respondent and if there is, whether the twelfth respondent has made out a proper case for the relief it seeks in the application to compel. </w:t>
      </w:r>
    </w:p>
    <w:p w14:paraId="7141B461" w14:textId="6F9013CE" w:rsidR="000D2B99" w:rsidRDefault="000D2B9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14:paraId="166FF83D" w14:textId="23AC71EE" w:rsidR="00D969BB" w:rsidRDefault="0020314E"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37</w:t>
      </w:r>
      <w:r>
        <w:rPr>
          <w:rFonts w:ascii="Arial" w:eastAsia="Times New Roman" w:hAnsi="Arial" w:cs="Arial"/>
          <w:color w:val="000000"/>
          <w:lang w:eastAsia="en-GB"/>
        </w:rPr>
        <w:t>]</w:t>
      </w:r>
      <w:r>
        <w:rPr>
          <w:rFonts w:ascii="Arial" w:eastAsia="Times New Roman" w:hAnsi="Arial" w:cs="Arial"/>
          <w:color w:val="000000"/>
          <w:lang w:eastAsia="en-GB"/>
        </w:rPr>
        <w:tab/>
        <w:t xml:space="preserve">The filing of the SIU’s amended pages only removes prayer </w:t>
      </w:r>
      <w:r w:rsidR="00D969BB">
        <w:rPr>
          <w:rFonts w:ascii="Arial" w:eastAsia="Times New Roman" w:hAnsi="Arial" w:cs="Arial"/>
          <w:color w:val="000000"/>
          <w:lang w:eastAsia="en-GB"/>
        </w:rPr>
        <w:t xml:space="preserve">five </w:t>
      </w:r>
      <w:r>
        <w:rPr>
          <w:rFonts w:ascii="Arial" w:eastAsia="Times New Roman" w:hAnsi="Arial" w:cs="Arial"/>
          <w:color w:val="000000"/>
          <w:lang w:eastAsia="en-GB"/>
        </w:rPr>
        <w:t xml:space="preserve">from the SIU’s notice of motion. </w:t>
      </w:r>
      <w:r w:rsidR="00D969BB">
        <w:rPr>
          <w:rFonts w:ascii="Arial" w:eastAsia="Times New Roman" w:hAnsi="Arial" w:cs="Arial"/>
          <w:color w:val="000000"/>
          <w:lang w:eastAsia="en-GB"/>
        </w:rPr>
        <w:t>The p</w:t>
      </w:r>
      <w:r>
        <w:rPr>
          <w:rFonts w:ascii="Arial" w:eastAsia="Times New Roman" w:hAnsi="Arial" w:cs="Arial"/>
          <w:color w:val="000000"/>
          <w:lang w:eastAsia="en-GB"/>
        </w:rPr>
        <w:t xml:space="preserve">rayer </w:t>
      </w:r>
      <w:r w:rsidR="00D969BB">
        <w:rPr>
          <w:rFonts w:ascii="Arial" w:eastAsia="Times New Roman" w:hAnsi="Arial" w:cs="Arial"/>
          <w:color w:val="000000"/>
          <w:lang w:eastAsia="en-GB"/>
        </w:rPr>
        <w:t xml:space="preserve">for costs </w:t>
      </w:r>
      <w:r>
        <w:rPr>
          <w:rFonts w:ascii="Arial" w:eastAsia="Times New Roman" w:hAnsi="Arial" w:cs="Arial"/>
          <w:color w:val="000000"/>
          <w:lang w:eastAsia="en-GB"/>
        </w:rPr>
        <w:t>remains.</w:t>
      </w:r>
      <w:r w:rsidR="00D969BB">
        <w:rPr>
          <w:rFonts w:ascii="Arial" w:eastAsia="Times New Roman" w:hAnsi="Arial" w:cs="Arial"/>
          <w:color w:val="000000"/>
          <w:lang w:eastAsia="en-GB"/>
        </w:rPr>
        <w:t xml:space="preserve"> The SIU’s contention that since the twelfth respondent has not filed its answering affidavit, effectively</w:t>
      </w:r>
      <w:r w:rsidR="00E64D89">
        <w:rPr>
          <w:rFonts w:ascii="Arial" w:eastAsia="Times New Roman" w:hAnsi="Arial" w:cs="Arial"/>
          <w:color w:val="000000"/>
          <w:lang w:eastAsia="en-GB"/>
        </w:rPr>
        <w:t>,</w:t>
      </w:r>
      <w:r w:rsidR="00D969BB">
        <w:rPr>
          <w:rFonts w:ascii="Arial" w:eastAsia="Times New Roman" w:hAnsi="Arial" w:cs="Arial"/>
          <w:color w:val="000000"/>
          <w:lang w:eastAsia="en-GB"/>
        </w:rPr>
        <w:t xml:space="preserve"> it is not opposing the main application</w:t>
      </w:r>
      <w:r w:rsidR="00222877">
        <w:rPr>
          <w:rFonts w:ascii="Arial" w:eastAsia="Times New Roman" w:hAnsi="Arial" w:cs="Arial"/>
          <w:color w:val="000000"/>
          <w:lang w:eastAsia="en-GB"/>
        </w:rPr>
        <w:t xml:space="preserve">, </w:t>
      </w:r>
      <w:r w:rsidR="00D969BB">
        <w:rPr>
          <w:rFonts w:ascii="Arial" w:eastAsia="Times New Roman" w:hAnsi="Arial" w:cs="Arial"/>
          <w:color w:val="000000"/>
          <w:lang w:eastAsia="en-GB"/>
        </w:rPr>
        <w:t>there</w:t>
      </w:r>
      <w:r w:rsidR="00E64D89">
        <w:rPr>
          <w:rFonts w:ascii="Arial" w:eastAsia="Times New Roman" w:hAnsi="Arial" w:cs="Arial"/>
          <w:color w:val="000000"/>
          <w:lang w:eastAsia="en-GB"/>
        </w:rPr>
        <w:t>fore, there</w:t>
      </w:r>
      <w:r w:rsidR="00D969BB">
        <w:rPr>
          <w:rFonts w:ascii="Arial" w:eastAsia="Times New Roman" w:hAnsi="Arial" w:cs="Arial"/>
          <w:color w:val="000000"/>
          <w:lang w:eastAsia="en-GB"/>
        </w:rPr>
        <w:t xml:space="preserve"> is no live dispute between the parties</w:t>
      </w:r>
      <w:r w:rsidR="00E64D89">
        <w:rPr>
          <w:rFonts w:ascii="Arial" w:eastAsia="Times New Roman" w:hAnsi="Arial" w:cs="Arial"/>
          <w:color w:val="000000"/>
          <w:lang w:eastAsia="en-GB"/>
        </w:rPr>
        <w:t>. Thus,</w:t>
      </w:r>
      <w:r w:rsidR="00D969BB">
        <w:rPr>
          <w:rFonts w:ascii="Arial" w:eastAsia="Times New Roman" w:hAnsi="Arial" w:cs="Arial"/>
          <w:color w:val="000000"/>
          <w:lang w:eastAsia="en-GB"/>
        </w:rPr>
        <w:t xml:space="preserve"> the</w:t>
      </w:r>
      <w:r w:rsidR="00A65DBA">
        <w:rPr>
          <w:rFonts w:ascii="Arial" w:eastAsia="Times New Roman" w:hAnsi="Arial" w:cs="Arial"/>
          <w:color w:val="000000"/>
          <w:lang w:eastAsia="en-GB"/>
        </w:rPr>
        <w:t xml:space="preserve"> SUI’s contention that the</w:t>
      </w:r>
      <w:r w:rsidR="00D969BB">
        <w:rPr>
          <w:rFonts w:ascii="Arial" w:eastAsia="Times New Roman" w:hAnsi="Arial" w:cs="Arial"/>
          <w:color w:val="000000"/>
          <w:lang w:eastAsia="en-GB"/>
        </w:rPr>
        <w:t xml:space="preserve"> twelfth respondent is not entitled to the relief it seeks in the application to compel</w:t>
      </w:r>
      <w:r w:rsidR="00E64D89">
        <w:rPr>
          <w:rFonts w:ascii="Arial" w:eastAsia="Times New Roman" w:hAnsi="Arial" w:cs="Arial"/>
          <w:color w:val="000000"/>
          <w:lang w:eastAsia="en-GB"/>
        </w:rPr>
        <w:t>,</w:t>
      </w:r>
      <w:r w:rsidR="00222877">
        <w:rPr>
          <w:rFonts w:ascii="Arial" w:eastAsia="Times New Roman" w:hAnsi="Arial" w:cs="Arial"/>
          <w:color w:val="000000"/>
          <w:lang w:eastAsia="en-GB"/>
        </w:rPr>
        <w:t xml:space="preserve"> lack</w:t>
      </w:r>
      <w:r w:rsidR="00A65DBA">
        <w:rPr>
          <w:rFonts w:ascii="Arial" w:eastAsia="Times New Roman" w:hAnsi="Arial" w:cs="Arial"/>
          <w:color w:val="000000"/>
          <w:lang w:eastAsia="en-GB"/>
        </w:rPr>
        <w:t>s</w:t>
      </w:r>
      <w:r w:rsidR="00222877">
        <w:rPr>
          <w:rFonts w:ascii="Arial" w:eastAsia="Times New Roman" w:hAnsi="Arial" w:cs="Arial"/>
          <w:color w:val="000000"/>
          <w:lang w:eastAsia="en-GB"/>
        </w:rPr>
        <w:t xml:space="preserve"> merit.</w:t>
      </w:r>
    </w:p>
    <w:p w14:paraId="017B80D2" w14:textId="77777777" w:rsidR="00D969BB" w:rsidRDefault="00D969BB" w:rsidP="008505EC">
      <w:pPr>
        <w:spacing w:before="60" w:line="360" w:lineRule="auto"/>
        <w:rPr>
          <w:rFonts w:ascii="Arial" w:eastAsia="Times New Roman" w:hAnsi="Arial" w:cs="Arial"/>
          <w:color w:val="000000"/>
          <w:lang w:eastAsia="en-GB"/>
        </w:rPr>
      </w:pPr>
    </w:p>
    <w:p w14:paraId="63A58B18" w14:textId="061CA8F9" w:rsidR="00476A69" w:rsidRDefault="00D969BB"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222877">
        <w:rPr>
          <w:rFonts w:ascii="Arial" w:eastAsia="Times New Roman" w:hAnsi="Arial" w:cs="Arial"/>
          <w:color w:val="000000"/>
          <w:lang w:eastAsia="en-GB"/>
        </w:rPr>
        <w:t>3</w:t>
      </w:r>
      <w:r w:rsidR="00515580">
        <w:rPr>
          <w:rFonts w:ascii="Arial" w:eastAsia="Times New Roman" w:hAnsi="Arial" w:cs="Arial"/>
          <w:color w:val="000000"/>
          <w:lang w:eastAsia="en-GB"/>
        </w:rPr>
        <w:t>8</w:t>
      </w:r>
      <w:r>
        <w:rPr>
          <w:rFonts w:ascii="Arial" w:eastAsia="Times New Roman" w:hAnsi="Arial" w:cs="Arial"/>
          <w:color w:val="000000"/>
          <w:lang w:eastAsia="en-GB"/>
        </w:rPr>
        <w:t>]</w:t>
      </w:r>
      <w:r>
        <w:rPr>
          <w:rFonts w:ascii="Arial" w:eastAsia="Times New Roman" w:hAnsi="Arial" w:cs="Arial"/>
          <w:color w:val="000000"/>
          <w:lang w:eastAsia="en-GB"/>
        </w:rPr>
        <w:tab/>
      </w:r>
      <w:r w:rsidR="00E64D89">
        <w:rPr>
          <w:rFonts w:ascii="Arial" w:eastAsia="Times New Roman" w:hAnsi="Arial" w:cs="Arial"/>
          <w:color w:val="000000"/>
          <w:lang w:eastAsia="en-GB"/>
        </w:rPr>
        <w:t>In my view, the</w:t>
      </w:r>
      <w:r>
        <w:rPr>
          <w:rFonts w:ascii="Arial" w:eastAsia="Times New Roman" w:hAnsi="Arial" w:cs="Arial"/>
          <w:color w:val="000000"/>
          <w:lang w:eastAsia="en-GB"/>
        </w:rPr>
        <w:t xml:space="preserve"> SIU </w:t>
      </w:r>
      <w:r w:rsidR="00E64D89">
        <w:rPr>
          <w:rFonts w:ascii="Arial" w:eastAsia="Times New Roman" w:hAnsi="Arial" w:cs="Arial"/>
          <w:color w:val="000000"/>
          <w:lang w:eastAsia="en-GB"/>
        </w:rPr>
        <w:t>is</w:t>
      </w:r>
      <w:r>
        <w:rPr>
          <w:rFonts w:ascii="Arial" w:eastAsia="Times New Roman" w:hAnsi="Arial" w:cs="Arial"/>
          <w:color w:val="000000"/>
          <w:lang w:eastAsia="en-GB"/>
        </w:rPr>
        <w:t xml:space="preserve"> attempting to pressure the twelfth respondent into abandoning its notice of intention to oppose. </w:t>
      </w:r>
      <w:r w:rsidR="00E64D89">
        <w:rPr>
          <w:rFonts w:ascii="Arial" w:eastAsia="Times New Roman" w:hAnsi="Arial" w:cs="Arial"/>
          <w:color w:val="000000"/>
          <w:lang w:eastAsia="en-GB"/>
        </w:rPr>
        <w:t>Its amended notice of motion kicks the review application for touch, thus creating the current</w:t>
      </w:r>
      <w:r>
        <w:rPr>
          <w:rFonts w:ascii="Arial" w:eastAsia="Times New Roman" w:hAnsi="Arial" w:cs="Arial"/>
          <w:color w:val="000000"/>
          <w:lang w:eastAsia="en-GB"/>
        </w:rPr>
        <w:t xml:space="preserve"> conundrum between the parties</w:t>
      </w:r>
      <w:r w:rsidR="00E64D89">
        <w:rPr>
          <w:rFonts w:ascii="Arial" w:eastAsia="Times New Roman" w:hAnsi="Arial" w:cs="Arial"/>
          <w:color w:val="000000"/>
          <w:lang w:eastAsia="en-GB"/>
        </w:rPr>
        <w:t xml:space="preserve"> to avoid costs consequent upon withdrawing the review application by failing to follow the prescribed procedure for with</w:t>
      </w:r>
      <w:r>
        <w:rPr>
          <w:rFonts w:ascii="Arial" w:eastAsia="Times New Roman" w:hAnsi="Arial" w:cs="Arial"/>
          <w:color w:val="000000"/>
          <w:lang w:eastAsia="en-GB"/>
        </w:rPr>
        <w:t>draw</w:t>
      </w:r>
      <w:r w:rsidR="00E64D89">
        <w:rPr>
          <w:rFonts w:ascii="Arial" w:eastAsia="Times New Roman" w:hAnsi="Arial" w:cs="Arial"/>
          <w:color w:val="000000"/>
          <w:lang w:eastAsia="en-GB"/>
        </w:rPr>
        <w:t xml:space="preserve">ing legal proceedings. </w:t>
      </w:r>
      <w:r>
        <w:rPr>
          <w:rFonts w:ascii="Arial" w:eastAsia="Times New Roman" w:hAnsi="Arial" w:cs="Arial"/>
          <w:color w:val="000000"/>
          <w:lang w:eastAsia="en-GB"/>
        </w:rPr>
        <w:t xml:space="preserve">The procedure </w:t>
      </w:r>
      <w:r w:rsidR="00E64D89">
        <w:rPr>
          <w:rFonts w:ascii="Arial" w:eastAsia="Times New Roman" w:hAnsi="Arial" w:cs="Arial"/>
          <w:color w:val="000000"/>
          <w:lang w:eastAsia="en-GB"/>
        </w:rPr>
        <w:t>is set out in</w:t>
      </w:r>
      <w:r>
        <w:rPr>
          <w:rFonts w:ascii="Arial" w:eastAsia="Times New Roman" w:hAnsi="Arial" w:cs="Arial"/>
          <w:color w:val="000000"/>
          <w:lang w:eastAsia="en-GB"/>
        </w:rPr>
        <w:t xml:space="preserve"> Tribunal </w:t>
      </w:r>
      <w:r w:rsidR="00964376">
        <w:rPr>
          <w:rFonts w:ascii="Arial" w:eastAsia="Times New Roman" w:hAnsi="Arial" w:cs="Arial"/>
          <w:color w:val="000000"/>
          <w:lang w:eastAsia="en-GB"/>
        </w:rPr>
        <w:t>R</w:t>
      </w:r>
      <w:r>
        <w:rPr>
          <w:rFonts w:ascii="Arial" w:eastAsia="Times New Roman" w:hAnsi="Arial" w:cs="Arial"/>
          <w:color w:val="000000"/>
          <w:lang w:eastAsia="en-GB"/>
        </w:rPr>
        <w:t xml:space="preserve">ule </w:t>
      </w:r>
      <w:r w:rsidR="00476A69">
        <w:rPr>
          <w:rFonts w:ascii="Arial" w:eastAsia="Times New Roman" w:hAnsi="Arial" w:cs="Arial"/>
          <w:color w:val="000000"/>
          <w:lang w:eastAsia="en-GB"/>
        </w:rPr>
        <w:t>21 (1). It provides as follows:</w:t>
      </w:r>
    </w:p>
    <w:p w14:paraId="64936371" w14:textId="2487154C" w:rsidR="00476A69" w:rsidRDefault="00476A6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lastRenderedPageBreak/>
        <w:t>“A party wishing to withdraw the proceedings must deliver a notice of withdrawal in which it tenders costs of suit as soon as possible.</w:t>
      </w:r>
      <w:r w:rsidR="00802C6E">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13159DBA" w14:textId="77777777" w:rsidR="00476A69" w:rsidRDefault="00476A69" w:rsidP="008505EC">
      <w:pPr>
        <w:spacing w:before="60" w:line="360" w:lineRule="auto"/>
        <w:rPr>
          <w:rFonts w:ascii="Arial" w:eastAsia="Times New Roman" w:hAnsi="Arial" w:cs="Arial"/>
          <w:color w:val="000000"/>
          <w:lang w:eastAsia="en-GB"/>
        </w:rPr>
      </w:pPr>
    </w:p>
    <w:p w14:paraId="328C7022" w14:textId="46532CF6" w:rsidR="0020314E" w:rsidRDefault="00476A6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4D2B02">
        <w:rPr>
          <w:rFonts w:ascii="Arial" w:eastAsia="Times New Roman" w:hAnsi="Arial" w:cs="Arial"/>
          <w:color w:val="000000"/>
          <w:lang w:eastAsia="en-GB"/>
        </w:rPr>
        <w:t>39</w:t>
      </w:r>
      <w:r>
        <w:rPr>
          <w:rFonts w:ascii="Arial" w:eastAsia="Times New Roman" w:hAnsi="Arial" w:cs="Arial"/>
          <w:color w:val="000000"/>
          <w:lang w:eastAsia="en-GB"/>
        </w:rPr>
        <w:t>]</w:t>
      </w:r>
      <w:r>
        <w:rPr>
          <w:rFonts w:ascii="Arial" w:eastAsia="Times New Roman" w:hAnsi="Arial" w:cs="Arial"/>
          <w:color w:val="000000"/>
          <w:lang w:eastAsia="en-GB"/>
        </w:rPr>
        <w:tab/>
        <w:t xml:space="preserve">During oral argument, I stood the matter down to afford the SIU an opportunity to obtain an instruction to </w:t>
      </w:r>
      <w:r w:rsidR="003E570F">
        <w:rPr>
          <w:rFonts w:ascii="Arial" w:eastAsia="Times New Roman" w:hAnsi="Arial" w:cs="Arial"/>
          <w:color w:val="000000"/>
          <w:lang w:eastAsia="en-GB"/>
        </w:rPr>
        <w:t xml:space="preserve">comply with the abovementioned subrule. </w:t>
      </w:r>
      <w:r>
        <w:rPr>
          <w:rFonts w:ascii="Arial" w:eastAsia="Times New Roman" w:hAnsi="Arial" w:cs="Arial"/>
          <w:color w:val="000000"/>
          <w:lang w:eastAsia="en-GB"/>
        </w:rPr>
        <w:t xml:space="preserve">Counsel for the SIU agreed to the standing </w:t>
      </w:r>
      <w:r w:rsidR="00E64D89">
        <w:rPr>
          <w:rFonts w:ascii="Arial" w:eastAsia="Times New Roman" w:hAnsi="Arial" w:cs="Arial"/>
          <w:color w:val="000000"/>
          <w:lang w:eastAsia="en-GB"/>
        </w:rPr>
        <w:t xml:space="preserve">down </w:t>
      </w:r>
      <w:r>
        <w:rPr>
          <w:rFonts w:ascii="Arial" w:eastAsia="Times New Roman" w:hAnsi="Arial" w:cs="Arial"/>
          <w:color w:val="000000"/>
          <w:lang w:eastAsia="en-GB"/>
        </w:rPr>
        <w:t>of the matter</w:t>
      </w:r>
      <w:r w:rsidR="00E64D89">
        <w:rPr>
          <w:rFonts w:ascii="Arial" w:eastAsia="Times New Roman" w:hAnsi="Arial" w:cs="Arial"/>
          <w:color w:val="000000"/>
          <w:lang w:eastAsia="en-GB"/>
        </w:rPr>
        <w:t>. W</w:t>
      </w:r>
      <w:r>
        <w:rPr>
          <w:rFonts w:ascii="Arial" w:eastAsia="Times New Roman" w:hAnsi="Arial" w:cs="Arial"/>
          <w:color w:val="000000"/>
          <w:lang w:eastAsia="en-GB"/>
        </w:rPr>
        <w:t>hen the hearing resume</w:t>
      </w:r>
      <w:r w:rsidR="003E570F">
        <w:rPr>
          <w:rFonts w:ascii="Arial" w:eastAsia="Times New Roman" w:hAnsi="Arial" w:cs="Arial"/>
          <w:color w:val="000000"/>
          <w:lang w:eastAsia="en-GB"/>
        </w:rPr>
        <w:t>d</w:t>
      </w:r>
      <w:r>
        <w:rPr>
          <w:rFonts w:ascii="Arial" w:eastAsia="Times New Roman" w:hAnsi="Arial" w:cs="Arial"/>
          <w:color w:val="000000"/>
          <w:lang w:eastAsia="en-GB"/>
        </w:rPr>
        <w:t xml:space="preserve">, he submitted that the </w:t>
      </w:r>
      <w:r w:rsidR="003E570F">
        <w:rPr>
          <w:rFonts w:ascii="Arial" w:eastAsia="Times New Roman" w:hAnsi="Arial" w:cs="Arial"/>
          <w:color w:val="000000"/>
          <w:lang w:eastAsia="en-GB"/>
        </w:rPr>
        <w:t xml:space="preserve">SIU’s </w:t>
      </w:r>
      <w:r>
        <w:rPr>
          <w:rFonts w:ascii="Arial" w:eastAsia="Times New Roman" w:hAnsi="Arial" w:cs="Arial"/>
          <w:color w:val="000000"/>
          <w:lang w:eastAsia="en-GB"/>
        </w:rPr>
        <w:t>process</w:t>
      </w:r>
      <w:r w:rsidR="003E570F">
        <w:rPr>
          <w:rFonts w:ascii="Arial" w:eastAsia="Times New Roman" w:hAnsi="Arial" w:cs="Arial"/>
          <w:color w:val="000000"/>
          <w:lang w:eastAsia="en-GB"/>
        </w:rPr>
        <w:t>es</w:t>
      </w:r>
      <w:r>
        <w:rPr>
          <w:rFonts w:ascii="Arial" w:eastAsia="Times New Roman" w:hAnsi="Arial" w:cs="Arial"/>
          <w:color w:val="000000"/>
          <w:lang w:eastAsia="en-GB"/>
        </w:rPr>
        <w:t xml:space="preserve"> for obtain</w:t>
      </w:r>
      <w:r w:rsidR="003E570F">
        <w:rPr>
          <w:rFonts w:ascii="Arial" w:eastAsia="Times New Roman" w:hAnsi="Arial" w:cs="Arial"/>
          <w:color w:val="000000"/>
          <w:lang w:eastAsia="en-GB"/>
        </w:rPr>
        <w:t>ing</w:t>
      </w:r>
      <w:r>
        <w:rPr>
          <w:rFonts w:ascii="Arial" w:eastAsia="Times New Roman" w:hAnsi="Arial" w:cs="Arial"/>
          <w:color w:val="000000"/>
          <w:lang w:eastAsia="en-GB"/>
        </w:rPr>
        <w:t xml:space="preserve"> any instruction that includes tendering costs </w:t>
      </w:r>
      <w:r w:rsidR="003E570F">
        <w:rPr>
          <w:rFonts w:ascii="Arial" w:eastAsia="Times New Roman" w:hAnsi="Arial" w:cs="Arial"/>
          <w:color w:val="000000"/>
          <w:lang w:eastAsia="en-GB"/>
        </w:rPr>
        <w:t>are</w:t>
      </w:r>
      <w:r>
        <w:rPr>
          <w:rFonts w:ascii="Arial" w:eastAsia="Times New Roman" w:hAnsi="Arial" w:cs="Arial"/>
          <w:color w:val="000000"/>
          <w:lang w:eastAsia="en-GB"/>
        </w:rPr>
        <w:t xml:space="preserve"> long. Therefore, I should proceed to adjudicate the matter on the merits. </w:t>
      </w:r>
    </w:p>
    <w:p w14:paraId="50529037" w14:textId="77777777" w:rsidR="00476A69" w:rsidRDefault="00476A69" w:rsidP="008505EC">
      <w:pPr>
        <w:spacing w:before="60" w:line="360" w:lineRule="auto"/>
        <w:rPr>
          <w:rFonts w:ascii="Arial" w:eastAsia="Times New Roman" w:hAnsi="Arial" w:cs="Arial"/>
          <w:color w:val="000000"/>
          <w:lang w:eastAsia="en-GB"/>
        </w:rPr>
      </w:pPr>
    </w:p>
    <w:p w14:paraId="1E1FC5DA" w14:textId="3DEA5D11" w:rsidR="003E570F" w:rsidRDefault="00476A69"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4</w:t>
      </w:r>
      <w:r w:rsidR="004D2B02">
        <w:rPr>
          <w:rFonts w:ascii="Arial" w:eastAsia="Times New Roman" w:hAnsi="Arial" w:cs="Arial"/>
          <w:color w:val="000000"/>
          <w:lang w:eastAsia="en-GB"/>
        </w:rPr>
        <w:t>0</w:t>
      </w:r>
      <w:r>
        <w:rPr>
          <w:rFonts w:ascii="Arial" w:eastAsia="Times New Roman" w:hAnsi="Arial" w:cs="Arial"/>
          <w:color w:val="000000"/>
          <w:lang w:eastAsia="en-GB"/>
        </w:rPr>
        <w:t>]</w:t>
      </w:r>
      <w:r w:rsidR="00515580">
        <w:rPr>
          <w:rFonts w:ascii="Arial" w:eastAsia="Times New Roman" w:hAnsi="Arial" w:cs="Arial"/>
          <w:color w:val="000000"/>
          <w:lang w:eastAsia="en-GB"/>
        </w:rPr>
        <w:tab/>
      </w:r>
      <w:r>
        <w:rPr>
          <w:rFonts w:ascii="Arial" w:eastAsia="Times New Roman" w:hAnsi="Arial" w:cs="Arial"/>
          <w:color w:val="000000"/>
          <w:lang w:eastAsia="en-GB"/>
        </w:rPr>
        <w:t>Regrettably,</w:t>
      </w:r>
      <w:r w:rsidR="003E570F">
        <w:rPr>
          <w:rFonts w:ascii="Arial" w:eastAsia="Times New Roman" w:hAnsi="Arial" w:cs="Arial"/>
          <w:color w:val="000000"/>
          <w:lang w:eastAsia="en-GB"/>
        </w:rPr>
        <w:t xml:space="preserve"> by persisting with a completely unfounded opposition, mounted to avoid complying with Tribunal Rule 21(1)</w:t>
      </w:r>
      <w:r w:rsidR="00A65DBA">
        <w:rPr>
          <w:rFonts w:ascii="Arial" w:eastAsia="Times New Roman" w:hAnsi="Arial" w:cs="Arial"/>
          <w:color w:val="000000"/>
          <w:lang w:eastAsia="en-GB"/>
        </w:rPr>
        <w:t>,</w:t>
      </w:r>
      <w:r w:rsidR="003E570F">
        <w:rPr>
          <w:rFonts w:ascii="Arial" w:eastAsia="Times New Roman" w:hAnsi="Arial" w:cs="Arial"/>
          <w:color w:val="000000"/>
          <w:lang w:eastAsia="en-GB"/>
        </w:rPr>
        <w:t xml:space="preserve"> </w:t>
      </w:r>
      <w:r w:rsidR="00E64D89">
        <w:rPr>
          <w:rFonts w:ascii="Arial" w:eastAsia="Times New Roman" w:hAnsi="Arial" w:cs="Arial"/>
          <w:color w:val="000000"/>
          <w:lang w:eastAsia="en-GB"/>
        </w:rPr>
        <w:t xml:space="preserve">the SIU </w:t>
      </w:r>
      <w:r w:rsidR="003E570F">
        <w:rPr>
          <w:rFonts w:ascii="Arial" w:eastAsia="Times New Roman" w:hAnsi="Arial" w:cs="Arial"/>
          <w:color w:val="000000"/>
          <w:lang w:eastAsia="en-GB"/>
        </w:rPr>
        <w:t xml:space="preserve">has escalated costs in this matter. </w:t>
      </w:r>
      <w:r w:rsidR="00E64D89">
        <w:rPr>
          <w:rFonts w:ascii="Arial" w:eastAsia="Times New Roman" w:hAnsi="Arial" w:cs="Arial"/>
          <w:color w:val="000000"/>
          <w:lang w:eastAsia="en-GB"/>
        </w:rPr>
        <w:t>I</w:t>
      </w:r>
      <w:r w:rsidR="003E570F">
        <w:rPr>
          <w:rFonts w:ascii="Arial" w:eastAsia="Times New Roman" w:hAnsi="Arial" w:cs="Arial"/>
          <w:color w:val="000000"/>
          <w:lang w:eastAsia="en-GB"/>
        </w:rPr>
        <w:t>t is for that reason that this subrule requires the filling of a notice to withdraw as soon as possible. Ha</w:t>
      </w:r>
      <w:r w:rsidR="00A65DBA">
        <w:rPr>
          <w:rFonts w:ascii="Arial" w:eastAsia="Times New Roman" w:hAnsi="Arial" w:cs="Arial"/>
          <w:color w:val="000000"/>
          <w:lang w:eastAsia="en-GB"/>
        </w:rPr>
        <w:t>d</w:t>
      </w:r>
      <w:r w:rsidR="003E570F">
        <w:rPr>
          <w:rFonts w:ascii="Arial" w:eastAsia="Times New Roman" w:hAnsi="Arial" w:cs="Arial"/>
          <w:color w:val="000000"/>
          <w:lang w:eastAsia="en-GB"/>
        </w:rPr>
        <w:t xml:space="preserve"> it done </w:t>
      </w:r>
      <w:r w:rsidR="00802C6E">
        <w:rPr>
          <w:rFonts w:ascii="Arial" w:eastAsia="Times New Roman" w:hAnsi="Arial" w:cs="Arial"/>
          <w:color w:val="000000"/>
          <w:lang w:eastAsia="en-GB"/>
        </w:rPr>
        <w:t>so;</w:t>
      </w:r>
      <w:r w:rsidR="003E570F">
        <w:rPr>
          <w:rFonts w:ascii="Arial" w:eastAsia="Times New Roman" w:hAnsi="Arial" w:cs="Arial"/>
          <w:color w:val="000000"/>
          <w:lang w:eastAsia="en-GB"/>
        </w:rPr>
        <w:t xml:space="preserve"> this application would not have been necessary.</w:t>
      </w:r>
    </w:p>
    <w:p w14:paraId="503CE586" w14:textId="77777777" w:rsidR="003E570F" w:rsidRDefault="003E570F" w:rsidP="008505EC">
      <w:pPr>
        <w:spacing w:before="60" w:line="360" w:lineRule="auto"/>
        <w:rPr>
          <w:rFonts w:ascii="Arial" w:eastAsia="Times New Roman" w:hAnsi="Arial" w:cs="Arial"/>
          <w:color w:val="000000"/>
          <w:lang w:eastAsia="en-GB"/>
        </w:rPr>
      </w:pPr>
    </w:p>
    <w:p w14:paraId="55414139" w14:textId="0C297BA3" w:rsidR="00476A69" w:rsidRDefault="003E570F"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4</w:t>
      </w:r>
      <w:r w:rsidR="004D2B02">
        <w:rPr>
          <w:rFonts w:ascii="Arial" w:eastAsia="Times New Roman" w:hAnsi="Arial" w:cs="Arial"/>
          <w:color w:val="000000"/>
          <w:lang w:eastAsia="en-GB"/>
        </w:rPr>
        <w:t>1</w:t>
      </w:r>
      <w:r>
        <w:rPr>
          <w:rFonts w:ascii="Arial" w:eastAsia="Times New Roman" w:hAnsi="Arial" w:cs="Arial"/>
          <w:color w:val="000000"/>
          <w:lang w:eastAsia="en-GB"/>
        </w:rPr>
        <w:t>]</w:t>
      </w:r>
      <w:r>
        <w:rPr>
          <w:rFonts w:ascii="Arial" w:eastAsia="Times New Roman" w:hAnsi="Arial" w:cs="Arial"/>
          <w:color w:val="000000"/>
          <w:lang w:eastAsia="en-GB"/>
        </w:rPr>
        <w:tab/>
        <w:t xml:space="preserve">If </w:t>
      </w:r>
      <w:r w:rsidR="00476A69">
        <w:rPr>
          <w:rFonts w:ascii="Arial" w:eastAsia="Times New Roman" w:hAnsi="Arial" w:cs="Arial"/>
          <w:color w:val="000000"/>
          <w:lang w:eastAsia="en-GB"/>
        </w:rPr>
        <w:t xml:space="preserve">the SIU intends withdrawing the </w:t>
      </w:r>
      <w:r w:rsidR="00E64D89">
        <w:rPr>
          <w:rFonts w:ascii="Arial" w:eastAsia="Times New Roman" w:hAnsi="Arial" w:cs="Arial"/>
          <w:color w:val="000000"/>
          <w:lang w:eastAsia="en-GB"/>
        </w:rPr>
        <w:t>review</w:t>
      </w:r>
      <w:r w:rsidR="00476A69">
        <w:rPr>
          <w:rFonts w:ascii="Arial" w:eastAsia="Times New Roman" w:hAnsi="Arial" w:cs="Arial"/>
          <w:color w:val="000000"/>
          <w:lang w:eastAsia="en-GB"/>
        </w:rPr>
        <w:t xml:space="preserve"> application against the twelfth respondent, </w:t>
      </w:r>
      <w:r w:rsidR="00E64D89">
        <w:rPr>
          <w:rFonts w:ascii="Arial" w:eastAsia="Times New Roman" w:hAnsi="Arial" w:cs="Arial"/>
          <w:color w:val="000000"/>
          <w:lang w:eastAsia="en-GB"/>
        </w:rPr>
        <w:t xml:space="preserve">I find that </w:t>
      </w:r>
      <w:r w:rsidR="00476A69">
        <w:rPr>
          <w:rFonts w:ascii="Arial" w:eastAsia="Times New Roman" w:hAnsi="Arial" w:cs="Arial"/>
          <w:color w:val="000000"/>
          <w:lang w:eastAsia="en-GB"/>
        </w:rPr>
        <w:t xml:space="preserve">it has not followed the correct procedure. For the reasons advanced by the twelfth respondent, a live dispute remains between the parties. The </w:t>
      </w:r>
      <w:r>
        <w:rPr>
          <w:rFonts w:ascii="Arial" w:eastAsia="Times New Roman" w:hAnsi="Arial" w:cs="Arial"/>
          <w:color w:val="000000"/>
          <w:lang w:eastAsia="en-GB"/>
        </w:rPr>
        <w:t>twelfth</w:t>
      </w:r>
      <w:r w:rsidR="00476A69">
        <w:rPr>
          <w:rFonts w:ascii="Arial" w:eastAsia="Times New Roman" w:hAnsi="Arial" w:cs="Arial"/>
          <w:color w:val="000000"/>
          <w:lang w:eastAsia="en-GB"/>
        </w:rPr>
        <w:t xml:space="preserve"> respondent has filed a notice of opposition. It remain</w:t>
      </w:r>
      <w:r w:rsidR="00B36A16">
        <w:rPr>
          <w:rFonts w:ascii="Arial" w:eastAsia="Times New Roman" w:hAnsi="Arial" w:cs="Arial"/>
          <w:color w:val="000000"/>
          <w:lang w:eastAsia="en-GB"/>
        </w:rPr>
        <w:t>s</w:t>
      </w:r>
      <w:r w:rsidR="00476A69">
        <w:rPr>
          <w:rFonts w:ascii="Arial" w:eastAsia="Times New Roman" w:hAnsi="Arial" w:cs="Arial"/>
          <w:color w:val="000000"/>
          <w:lang w:eastAsia="en-GB"/>
        </w:rPr>
        <w:t xml:space="preserve"> cited in the main application. </w:t>
      </w:r>
      <w:r>
        <w:rPr>
          <w:rFonts w:ascii="Arial" w:eastAsia="Times New Roman" w:hAnsi="Arial" w:cs="Arial"/>
          <w:color w:val="000000"/>
          <w:lang w:eastAsia="en-GB"/>
        </w:rPr>
        <w:t>T</w:t>
      </w:r>
      <w:r w:rsidR="00476A69">
        <w:rPr>
          <w:rFonts w:ascii="Arial" w:eastAsia="Times New Roman" w:hAnsi="Arial" w:cs="Arial"/>
          <w:color w:val="000000"/>
          <w:lang w:eastAsia="en-GB"/>
        </w:rPr>
        <w:t>here are allegations made against it in the founding affidavit, which it is entitled to answer to. If it does, it remains liable for costs as prayed for in the SIU’s notice of motion. Thus, a live dispute between the parties remain</w:t>
      </w:r>
      <w:r w:rsidR="00B36A16">
        <w:rPr>
          <w:rFonts w:ascii="Arial" w:eastAsia="Times New Roman" w:hAnsi="Arial" w:cs="Arial"/>
          <w:color w:val="000000"/>
          <w:lang w:eastAsia="en-GB"/>
        </w:rPr>
        <w:t>s</w:t>
      </w:r>
      <w:r w:rsidR="00476A69">
        <w:rPr>
          <w:rFonts w:ascii="Arial" w:eastAsia="Times New Roman" w:hAnsi="Arial" w:cs="Arial"/>
          <w:color w:val="000000"/>
          <w:lang w:eastAsia="en-GB"/>
        </w:rPr>
        <w:t>. Even if the SIU were to amend its notice of motion to delete the prayer for costs, thus avoiding tendering a notice to withdraw the application</w:t>
      </w:r>
      <w:r>
        <w:rPr>
          <w:rFonts w:ascii="Arial" w:eastAsia="Times New Roman" w:hAnsi="Arial" w:cs="Arial"/>
          <w:color w:val="000000"/>
          <w:lang w:eastAsia="en-GB"/>
        </w:rPr>
        <w:t>, and that</w:t>
      </w:r>
      <w:r w:rsidR="00B36A16">
        <w:rPr>
          <w:rFonts w:ascii="Arial" w:eastAsia="Times New Roman" w:hAnsi="Arial" w:cs="Arial"/>
          <w:color w:val="000000"/>
          <w:lang w:eastAsia="en-GB"/>
        </w:rPr>
        <w:t xml:space="preserve"> amendment renders the twelfth respondent’s opposition of the </w:t>
      </w:r>
      <w:r w:rsidR="00E64D89">
        <w:rPr>
          <w:rFonts w:ascii="Arial" w:eastAsia="Times New Roman" w:hAnsi="Arial" w:cs="Arial"/>
          <w:color w:val="000000"/>
          <w:lang w:eastAsia="en-GB"/>
        </w:rPr>
        <w:t>review</w:t>
      </w:r>
      <w:r w:rsidR="00B36A16">
        <w:rPr>
          <w:rFonts w:ascii="Arial" w:eastAsia="Times New Roman" w:hAnsi="Arial" w:cs="Arial"/>
          <w:color w:val="000000"/>
          <w:lang w:eastAsia="en-GB"/>
        </w:rPr>
        <w:t xml:space="preserve"> application nugatory, a dispute in respect of the cost of the current application and the costs of the</w:t>
      </w:r>
      <w:r>
        <w:rPr>
          <w:rFonts w:ascii="Arial" w:eastAsia="Times New Roman" w:hAnsi="Arial" w:cs="Arial"/>
          <w:color w:val="000000"/>
          <w:lang w:eastAsia="en-GB"/>
        </w:rPr>
        <w:t xml:space="preserve"> review </w:t>
      </w:r>
      <w:r w:rsidR="00B36A16">
        <w:rPr>
          <w:rFonts w:ascii="Arial" w:eastAsia="Times New Roman" w:hAnsi="Arial" w:cs="Arial"/>
          <w:color w:val="000000"/>
          <w:lang w:eastAsia="en-GB"/>
        </w:rPr>
        <w:t xml:space="preserve">application will remain. </w:t>
      </w:r>
      <w:r>
        <w:rPr>
          <w:rFonts w:ascii="Arial" w:eastAsia="Times New Roman" w:hAnsi="Arial" w:cs="Arial"/>
          <w:color w:val="000000"/>
          <w:lang w:eastAsia="en-GB"/>
        </w:rPr>
        <w:t xml:space="preserve">If the SIU does not intend to withdraw the application against the twelfth respondent, then the twelfth respondent is not only obligated to file an answering affidavit, </w:t>
      </w:r>
      <w:r w:rsidR="00802C6E">
        <w:rPr>
          <w:rFonts w:ascii="Arial" w:eastAsia="Times New Roman" w:hAnsi="Arial" w:cs="Arial"/>
          <w:color w:val="000000"/>
          <w:lang w:eastAsia="en-GB"/>
        </w:rPr>
        <w:t>but it also</w:t>
      </w:r>
      <w:r>
        <w:rPr>
          <w:rFonts w:ascii="Arial" w:eastAsia="Times New Roman" w:hAnsi="Arial" w:cs="Arial"/>
          <w:color w:val="000000"/>
          <w:lang w:eastAsia="en-GB"/>
        </w:rPr>
        <w:t xml:space="preserve"> has the right to do so. </w:t>
      </w:r>
      <w:r w:rsidR="00E64D89">
        <w:rPr>
          <w:rFonts w:ascii="Arial" w:eastAsia="Times New Roman" w:hAnsi="Arial" w:cs="Arial"/>
          <w:color w:val="000000"/>
          <w:lang w:eastAsia="en-GB"/>
        </w:rPr>
        <w:t>However,</w:t>
      </w:r>
      <w:r w:rsidR="00B36A16">
        <w:rPr>
          <w:rFonts w:ascii="Arial" w:eastAsia="Times New Roman" w:hAnsi="Arial" w:cs="Arial"/>
          <w:color w:val="000000"/>
          <w:lang w:eastAsia="en-GB"/>
        </w:rPr>
        <w:t xml:space="preserve"> it is not for this Tribunal to speculate what step any of the parties </w:t>
      </w:r>
      <w:r>
        <w:rPr>
          <w:rFonts w:ascii="Arial" w:eastAsia="Times New Roman" w:hAnsi="Arial" w:cs="Arial"/>
          <w:color w:val="000000"/>
          <w:lang w:eastAsia="en-GB"/>
        </w:rPr>
        <w:t xml:space="preserve">will </w:t>
      </w:r>
      <w:r w:rsidR="00B36A16">
        <w:rPr>
          <w:rFonts w:ascii="Arial" w:eastAsia="Times New Roman" w:hAnsi="Arial" w:cs="Arial"/>
          <w:color w:val="000000"/>
          <w:lang w:eastAsia="en-GB"/>
        </w:rPr>
        <w:t xml:space="preserve">take to absolve themselves from the current conundrum. </w:t>
      </w:r>
      <w:r w:rsidR="00476A69">
        <w:rPr>
          <w:rFonts w:ascii="Arial" w:eastAsia="Times New Roman" w:hAnsi="Arial" w:cs="Arial"/>
          <w:color w:val="000000"/>
          <w:lang w:eastAsia="en-GB"/>
        </w:rPr>
        <w:t xml:space="preserve"> </w:t>
      </w:r>
    </w:p>
    <w:p w14:paraId="4920BB66" w14:textId="77777777" w:rsidR="00B36A16" w:rsidRDefault="00B36A16" w:rsidP="008505EC">
      <w:pPr>
        <w:spacing w:before="60" w:line="360" w:lineRule="auto"/>
        <w:rPr>
          <w:rFonts w:ascii="Arial" w:eastAsia="Times New Roman" w:hAnsi="Arial" w:cs="Arial"/>
          <w:color w:val="000000"/>
          <w:lang w:eastAsia="en-GB"/>
        </w:rPr>
      </w:pPr>
    </w:p>
    <w:p w14:paraId="271A6FB3" w14:textId="4AAAD562" w:rsidR="003E570F" w:rsidRDefault="00B36A16"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4</w:t>
      </w:r>
      <w:r w:rsidR="00A03D86">
        <w:rPr>
          <w:rFonts w:ascii="Arial" w:eastAsia="Times New Roman" w:hAnsi="Arial" w:cs="Arial"/>
          <w:color w:val="000000"/>
          <w:lang w:eastAsia="en-GB"/>
        </w:rPr>
        <w:t>2</w:t>
      </w:r>
      <w:r>
        <w:rPr>
          <w:rFonts w:ascii="Arial" w:eastAsia="Times New Roman" w:hAnsi="Arial" w:cs="Arial"/>
          <w:color w:val="000000"/>
          <w:lang w:eastAsia="en-GB"/>
        </w:rPr>
        <w:t>]</w:t>
      </w:r>
      <w:r w:rsidR="00515580">
        <w:rPr>
          <w:rFonts w:ascii="Arial" w:eastAsia="Times New Roman" w:hAnsi="Arial" w:cs="Arial"/>
          <w:color w:val="000000"/>
          <w:lang w:eastAsia="en-GB"/>
        </w:rPr>
        <w:tab/>
      </w:r>
      <w:r w:rsidR="003E570F">
        <w:rPr>
          <w:rFonts w:ascii="Arial" w:eastAsia="Times New Roman" w:hAnsi="Arial" w:cs="Arial"/>
          <w:color w:val="000000"/>
          <w:lang w:eastAsia="en-GB"/>
        </w:rPr>
        <w:t xml:space="preserve">The SIU’s complaint that the twelfth respondent has failed to specify the rule under which the request is made is rendered trifling by the fact that it has partially complied with the </w:t>
      </w:r>
      <w:r w:rsidR="00E64D89">
        <w:rPr>
          <w:rFonts w:ascii="Arial" w:eastAsia="Times New Roman" w:hAnsi="Arial" w:cs="Arial"/>
          <w:color w:val="000000"/>
          <w:lang w:eastAsia="en-GB"/>
        </w:rPr>
        <w:t>notice</w:t>
      </w:r>
      <w:r w:rsidR="003E570F">
        <w:rPr>
          <w:rFonts w:ascii="Arial" w:eastAsia="Times New Roman" w:hAnsi="Arial" w:cs="Arial"/>
          <w:color w:val="000000"/>
          <w:lang w:eastAsia="en-GB"/>
        </w:rPr>
        <w:t xml:space="preserve">. It would not have done so if it was not aware of the rule relied on by the </w:t>
      </w:r>
      <w:r w:rsidR="003E570F">
        <w:rPr>
          <w:rFonts w:ascii="Arial" w:eastAsia="Times New Roman" w:hAnsi="Arial" w:cs="Arial"/>
          <w:color w:val="000000"/>
          <w:lang w:eastAsia="en-GB"/>
        </w:rPr>
        <w:lastRenderedPageBreak/>
        <w:t xml:space="preserve">twelfth respondent and prejudiced by its failure to specify the </w:t>
      </w:r>
      <w:r w:rsidR="00A03D86">
        <w:rPr>
          <w:rFonts w:ascii="Arial" w:eastAsia="Times New Roman" w:hAnsi="Arial" w:cs="Arial"/>
          <w:color w:val="000000"/>
          <w:lang w:eastAsia="en-GB"/>
        </w:rPr>
        <w:t>applicable</w:t>
      </w:r>
      <w:r w:rsidR="003E570F">
        <w:rPr>
          <w:rFonts w:ascii="Arial" w:eastAsia="Times New Roman" w:hAnsi="Arial" w:cs="Arial"/>
          <w:color w:val="000000"/>
          <w:lang w:eastAsia="en-GB"/>
        </w:rPr>
        <w:t xml:space="preserve"> </w:t>
      </w:r>
      <w:r w:rsidR="00A03D86">
        <w:rPr>
          <w:rFonts w:ascii="Arial" w:eastAsia="Times New Roman" w:hAnsi="Arial" w:cs="Arial"/>
          <w:color w:val="000000"/>
          <w:lang w:eastAsia="en-GB"/>
        </w:rPr>
        <w:t>sub</w:t>
      </w:r>
      <w:r w:rsidR="003E570F">
        <w:rPr>
          <w:rFonts w:ascii="Arial" w:eastAsia="Times New Roman" w:hAnsi="Arial" w:cs="Arial"/>
          <w:color w:val="000000"/>
          <w:lang w:eastAsia="en-GB"/>
        </w:rPr>
        <w:t>rule. Therefore, this complaint lacks merit.</w:t>
      </w:r>
    </w:p>
    <w:p w14:paraId="61C8BC5E" w14:textId="77777777" w:rsidR="003E570F" w:rsidRDefault="003E570F" w:rsidP="008505EC">
      <w:pPr>
        <w:spacing w:before="60" w:line="360" w:lineRule="auto"/>
        <w:rPr>
          <w:rFonts w:ascii="Arial" w:eastAsia="Times New Roman" w:hAnsi="Arial" w:cs="Arial"/>
          <w:color w:val="000000"/>
          <w:lang w:eastAsia="en-GB"/>
        </w:rPr>
      </w:pPr>
    </w:p>
    <w:p w14:paraId="3128AA6F" w14:textId="3407BD79" w:rsidR="00476A69" w:rsidRDefault="003E570F"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4</w:t>
      </w:r>
      <w:r w:rsidR="00A03D86">
        <w:rPr>
          <w:rFonts w:ascii="Arial" w:eastAsia="Times New Roman" w:hAnsi="Arial" w:cs="Arial"/>
          <w:color w:val="000000"/>
          <w:lang w:eastAsia="en-GB"/>
        </w:rPr>
        <w:t>3</w:t>
      </w:r>
      <w:r>
        <w:rPr>
          <w:rFonts w:ascii="Arial" w:eastAsia="Times New Roman" w:hAnsi="Arial" w:cs="Arial"/>
          <w:color w:val="000000"/>
          <w:lang w:eastAsia="en-GB"/>
        </w:rPr>
        <w:t>]</w:t>
      </w:r>
      <w:r>
        <w:rPr>
          <w:rFonts w:ascii="Arial" w:eastAsia="Times New Roman" w:hAnsi="Arial" w:cs="Arial"/>
          <w:color w:val="000000"/>
          <w:lang w:eastAsia="en-GB"/>
        </w:rPr>
        <w:tab/>
      </w:r>
      <w:r w:rsidR="00B36A16">
        <w:rPr>
          <w:rFonts w:ascii="Arial" w:eastAsia="Times New Roman" w:hAnsi="Arial" w:cs="Arial"/>
          <w:color w:val="000000"/>
          <w:lang w:eastAsia="en-GB"/>
        </w:rPr>
        <w:t>On the papers filed in this matter, the twelfth respondent has made out a proper case for the relief sought in the application to compel.</w:t>
      </w:r>
      <w:r w:rsidR="00B643BB">
        <w:rPr>
          <w:rFonts w:ascii="Arial" w:eastAsia="Times New Roman" w:hAnsi="Arial" w:cs="Arial"/>
          <w:color w:val="000000"/>
          <w:lang w:eastAsia="en-GB"/>
        </w:rPr>
        <w:t xml:space="preserve"> It meets the requirements in R35(12). I have already found that it remains a party in the review application. The documents required are referenced in the founding affidavit filed in the review application. This subrule allows it to call for the inspection of the documents and to make copies thereof at any time before the hearing.  </w:t>
      </w:r>
      <w:r w:rsidR="00B36A16">
        <w:rPr>
          <w:rFonts w:ascii="Arial" w:eastAsia="Times New Roman" w:hAnsi="Arial" w:cs="Arial"/>
          <w:color w:val="000000"/>
          <w:lang w:eastAsia="en-GB"/>
        </w:rPr>
        <w:t xml:space="preserve"> </w:t>
      </w:r>
    </w:p>
    <w:p w14:paraId="39F63E38" w14:textId="77777777" w:rsidR="00B36A16" w:rsidRDefault="00B36A16" w:rsidP="008505EC">
      <w:pPr>
        <w:spacing w:before="60" w:line="360" w:lineRule="auto"/>
        <w:rPr>
          <w:rFonts w:ascii="Arial" w:eastAsia="Times New Roman" w:hAnsi="Arial" w:cs="Arial"/>
          <w:color w:val="000000"/>
          <w:lang w:eastAsia="en-GB"/>
        </w:rPr>
      </w:pPr>
    </w:p>
    <w:p w14:paraId="074AA6BC" w14:textId="03032B47" w:rsidR="00B36A16" w:rsidRDefault="00B36A16" w:rsidP="008505EC">
      <w:pPr>
        <w:spacing w:before="60" w:line="360" w:lineRule="auto"/>
        <w:rPr>
          <w:rFonts w:ascii="Arial" w:eastAsia="Times New Roman" w:hAnsi="Arial" w:cs="Arial"/>
          <w:color w:val="000000"/>
          <w:lang w:eastAsia="en-GB"/>
        </w:rPr>
      </w:pPr>
      <w:r>
        <w:rPr>
          <w:rFonts w:ascii="Arial" w:eastAsia="Times New Roman" w:hAnsi="Arial" w:cs="Arial"/>
          <w:color w:val="000000"/>
          <w:lang w:eastAsia="en-GB"/>
        </w:rPr>
        <w:t>[</w:t>
      </w:r>
      <w:r w:rsidR="00515580">
        <w:rPr>
          <w:rFonts w:ascii="Arial" w:eastAsia="Times New Roman" w:hAnsi="Arial" w:cs="Arial"/>
          <w:color w:val="000000"/>
          <w:lang w:eastAsia="en-GB"/>
        </w:rPr>
        <w:t>4</w:t>
      </w:r>
      <w:r w:rsidR="00A03D86">
        <w:rPr>
          <w:rFonts w:ascii="Arial" w:eastAsia="Times New Roman" w:hAnsi="Arial" w:cs="Arial"/>
          <w:color w:val="000000"/>
          <w:lang w:eastAsia="en-GB"/>
        </w:rPr>
        <w:t>4</w:t>
      </w:r>
      <w:r>
        <w:rPr>
          <w:rFonts w:ascii="Arial" w:eastAsia="Times New Roman" w:hAnsi="Arial" w:cs="Arial"/>
          <w:color w:val="000000"/>
          <w:lang w:eastAsia="en-GB"/>
        </w:rPr>
        <w:t>]</w:t>
      </w:r>
      <w:r>
        <w:rPr>
          <w:rFonts w:ascii="Arial" w:eastAsia="Times New Roman" w:hAnsi="Arial" w:cs="Arial"/>
          <w:color w:val="000000"/>
          <w:lang w:eastAsia="en-GB"/>
        </w:rPr>
        <w:tab/>
        <w:t xml:space="preserve">An order in terms of the draft order filed by the twelfth respondent stands to be granted. </w:t>
      </w:r>
    </w:p>
    <w:p w14:paraId="602E335B" w14:textId="77777777" w:rsidR="00802C6E" w:rsidRDefault="00802C6E" w:rsidP="008505EC">
      <w:pPr>
        <w:spacing w:before="60" w:line="360" w:lineRule="auto"/>
        <w:rPr>
          <w:rFonts w:ascii="Arial" w:eastAsia="Times New Roman" w:hAnsi="Arial" w:cs="Arial"/>
          <w:color w:val="000000"/>
          <w:lang w:eastAsia="en-GB"/>
        </w:rPr>
      </w:pPr>
    </w:p>
    <w:p w14:paraId="30F5DC13" w14:textId="664840E4" w:rsidR="00802C6E" w:rsidRDefault="00802C6E" w:rsidP="008505EC">
      <w:pPr>
        <w:spacing w:before="60" w:line="360" w:lineRule="auto"/>
        <w:rPr>
          <w:rFonts w:ascii="Arial" w:eastAsia="Times New Roman" w:hAnsi="Arial" w:cs="Arial"/>
          <w:b/>
          <w:bCs/>
          <w:color w:val="000000"/>
          <w:lang w:eastAsia="en-GB"/>
        </w:rPr>
      </w:pPr>
      <w:r w:rsidRPr="00802C6E">
        <w:rPr>
          <w:rFonts w:ascii="Arial" w:eastAsia="Times New Roman" w:hAnsi="Arial" w:cs="Arial"/>
          <w:b/>
          <w:bCs/>
          <w:color w:val="000000"/>
          <w:lang w:eastAsia="en-GB"/>
        </w:rPr>
        <w:t>ORDER</w:t>
      </w:r>
    </w:p>
    <w:p w14:paraId="6E202FD0" w14:textId="77777777" w:rsidR="004D2B02" w:rsidRDefault="004D2B02" w:rsidP="008505EC">
      <w:pPr>
        <w:spacing w:before="60" w:line="360" w:lineRule="auto"/>
        <w:rPr>
          <w:rFonts w:ascii="Arial" w:eastAsia="Times New Roman" w:hAnsi="Arial" w:cs="Arial"/>
          <w:b/>
          <w:bCs/>
          <w:color w:val="000000"/>
          <w:lang w:eastAsia="en-GB"/>
        </w:rPr>
      </w:pPr>
    </w:p>
    <w:p w14:paraId="42F5871E" w14:textId="2B9FEF60" w:rsidR="00802C6E" w:rsidRDefault="00802C6E" w:rsidP="00802C6E">
      <w:pPr>
        <w:spacing w:line="360" w:lineRule="auto"/>
        <w:ind w:left="0"/>
        <w:rPr>
          <w:rFonts w:ascii="Arial" w:hAnsi="Arial" w:cs="Arial"/>
        </w:rPr>
      </w:pPr>
      <w:r>
        <w:rPr>
          <w:rFonts w:ascii="Arial" w:hAnsi="Arial" w:cs="Arial"/>
        </w:rPr>
        <w:t>1. The below content which appears in the Special Investigating Unit’s (“SIU”) answering affidavit filed in the twelfth respondent’s interlocutory application is struck out:</w:t>
      </w:r>
    </w:p>
    <w:p w14:paraId="604D5DAB" w14:textId="77777777" w:rsidR="00802C6E" w:rsidRDefault="00802C6E" w:rsidP="00802C6E">
      <w:pPr>
        <w:spacing w:line="360" w:lineRule="auto"/>
        <w:rPr>
          <w:rFonts w:ascii="Arial" w:hAnsi="Arial" w:cs="Arial"/>
        </w:rPr>
      </w:pPr>
    </w:p>
    <w:p w14:paraId="333D75DE" w14:textId="5519402D" w:rsidR="00802C6E" w:rsidRPr="00B6416F" w:rsidRDefault="00E746D5" w:rsidP="00E746D5">
      <w:pPr>
        <w:spacing w:line="360" w:lineRule="auto"/>
        <w:ind w:left="720" w:hanging="720"/>
        <w:jc w:val="left"/>
        <w:pPrChange w:id="12" w:author="Mary Bruce" w:date="2023-11-03T11:22:00Z">
          <w:pPr>
            <w:pStyle w:val="ListParagraph"/>
            <w:numPr>
              <w:ilvl w:val="1"/>
              <w:numId w:val="3"/>
            </w:numPr>
            <w:spacing w:line="360" w:lineRule="auto"/>
            <w:ind w:hanging="720"/>
            <w:jc w:val="left"/>
          </w:pPr>
        </w:pPrChange>
      </w:pPr>
      <w:r w:rsidRPr="00B6416F">
        <w:t>1.1</w:t>
      </w:r>
      <w:r w:rsidRPr="00B6416F">
        <w:tab/>
      </w:r>
      <w:r w:rsidR="00802C6E" w:rsidRPr="00E746D5">
        <w:rPr>
          <w:rFonts w:ascii="Arial" w:hAnsi="Arial" w:cs="Arial"/>
          <w:rPrChange w:id="13" w:author="Mary Bruce" w:date="2023-11-03T11:22:00Z">
            <w:rPr/>
          </w:rPrChange>
        </w:rPr>
        <w:t>The words that appear after the comma in line 3 i</w:t>
      </w:r>
      <w:r w:rsidR="004D2B02" w:rsidRPr="00E746D5">
        <w:rPr>
          <w:rFonts w:ascii="Arial" w:hAnsi="Arial" w:cs="Arial"/>
          <w:rPrChange w:id="14" w:author="Mary Bruce" w:date="2023-11-03T11:22:00Z">
            <w:rPr/>
          </w:rPrChange>
        </w:rPr>
        <w:t>.</w:t>
      </w:r>
      <w:r w:rsidR="00802C6E" w:rsidRPr="00E746D5">
        <w:rPr>
          <w:rFonts w:ascii="Arial" w:hAnsi="Arial" w:cs="Arial"/>
          <w:rPrChange w:id="15" w:author="Mary Bruce" w:date="2023-11-03T11:22:00Z">
            <w:rPr/>
          </w:rPrChange>
        </w:rPr>
        <w:t>e.: “and the Twelfth Respondent’s attorneys …. is not warranted” in paragraph 14.</w:t>
      </w:r>
    </w:p>
    <w:p w14:paraId="57DFA21C" w14:textId="77777777" w:rsidR="00802C6E" w:rsidRPr="008365D9" w:rsidRDefault="00802C6E" w:rsidP="00802C6E">
      <w:pPr>
        <w:pStyle w:val="ListParagraph"/>
        <w:rPr>
          <w:rFonts w:ascii="Arial" w:hAnsi="Arial" w:cs="Arial"/>
        </w:rPr>
      </w:pPr>
    </w:p>
    <w:p w14:paraId="395AEB8E" w14:textId="6D49AB2D" w:rsidR="00802C6E" w:rsidRPr="00E746D5" w:rsidRDefault="00E746D5" w:rsidP="00E746D5">
      <w:pPr>
        <w:spacing w:line="360" w:lineRule="auto"/>
        <w:ind w:left="720" w:hanging="720"/>
        <w:jc w:val="left"/>
        <w:rPr>
          <w:rFonts w:ascii="Arial" w:hAnsi="Arial" w:cs="Arial"/>
          <w:rPrChange w:id="16" w:author="Mary Bruce" w:date="2023-11-03T11:22:00Z">
            <w:rPr/>
          </w:rPrChange>
        </w:rPr>
        <w:pPrChange w:id="17" w:author="Mary Bruce" w:date="2023-11-03T11:22:00Z">
          <w:pPr>
            <w:pStyle w:val="ListParagraph"/>
            <w:numPr>
              <w:ilvl w:val="1"/>
              <w:numId w:val="3"/>
            </w:numPr>
            <w:spacing w:line="360" w:lineRule="auto"/>
            <w:ind w:hanging="720"/>
            <w:jc w:val="left"/>
          </w:pPr>
        </w:pPrChange>
      </w:pPr>
      <w:r>
        <w:rPr>
          <w:rFonts w:ascii="Arial" w:hAnsi="Arial" w:cs="Arial"/>
        </w:rPr>
        <w:t>1.2</w:t>
      </w:r>
      <w:r>
        <w:rPr>
          <w:rFonts w:ascii="Arial" w:hAnsi="Arial" w:cs="Arial"/>
        </w:rPr>
        <w:tab/>
      </w:r>
      <w:r w:rsidR="00802C6E" w:rsidRPr="00E746D5">
        <w:rPr>
          <w:rFonts w:ascii="Arial" w:hAnsi="Arial" w:cs="Arial"/>
          <w:rPrChange w:id="18" w:author="Mary Bruce" w:date="2023-11-03T11:22:00Z">
            <w:rPr/>
          </w:rPrChange>
        </w:rPr>
        <w:t>The words “that sanity will prevail” in paragraph 21.</w:t>
      </w:r>
    </w:p>
    <w:p w14:paraId="700B8930" w14:textId="77777777" w:rsidR="00802C6E" w:rsidRPr="008365D9" w:rsidRDefault="00802C6E" w:rsidP="00802C6E">
      <w:pPr>
        <w:pStyle w:val="ListParagraph"/>
        <w:rPr>
          <w:rFonts w:ascii="Arial" w:hAnsi="Arial" w:cs="Arial"/>
        </w:rPr>
      </w:pPr>
    </w:p>
    <w:p w14:paraId="059AF824" w14:textId="27187D3F" w:rsidR="00802C6E" w:rsidRPr="00E746D5" w:rsidRDefault="00E746D5" w:rsidP="00E746D5">
      <w:pPr>
        <w:spacing w:line="360" w:lineRule="auto"/>
        <w:ind w:left="720" w:hanging="720"/>
        <w:jc w:val="left"/>
        <w:rPr>
          <w:rFonts w:ascii="Arial" w:hAnsi="Arial" w:cs="Arial"/>
          <w:rPrChange w:id="19" w:author="Mary Bruce" w:date="2023-11-03T11:22:00Z">
            <w:rPr/>
          </w:rPrChange>
        </w:rPr>
        <w:pPrChange w:id="20" w:author="Mary Bruce" w:date="2023-11-03T11:22:00Z">
          <w:pPr>
            <w:pStyle w:val="ListParagraph"/>
            <w:numPr>
              <w:ilvl w:val="1"/>
              <w:numId w:val="3"/>
            </w:numPr>
            <w:spacing w:line="360" w:lineRule="auto"/>
            <w:ind w:hanging="720"/>
            <w:jc w:val="left"/>
          </w:pPr>
        </w:pPrChange>
      </w:pPr>
      <w:r w:rsidRPr="008365D9">
        <w:rPr>
          <w:rFonts w:ascii="Arial" w:hAnsi="Arial" w:cs="Arial"/>
        </w:rPr>
        <w:t>1.3</w:t>
      </w:r>
      <w:r w:rsidRPr="008365D9">
        <w:rPr>
          <w:rFonts w:ascii="Arial" w:hAnsi="Arial" w:cs="Arial"/>
        </w:rPr>
        <w:tab/>
      </w:r>
      <w:r w:rsidR="00802C6E" w:rsidRPr="00E746D5">
        <w:rPr>
          <w:rFonts w:ascii="Arial" w:hAnsi="Arial" w:cs="Arial"/>
          <w:rPrChange w:id="21" w:author="Mary Bruce" w:date="2023-11-03T11:22:00Z">
            <w:rPr/>
          </w:rPrChange>
        </w:rPr>
        <w:t xml:space="preserve">The entire content of paragraph 26.3. </w:t>
      </w:r>
    </w:p>
    <w:p w14:paraId="7A766D52" w14:textId="77777777" w:rsidR="00802C6E" w:rsidRDefault="00802C6E" w:rsidP="00802C6E">
      <w:pPr>
        <w:spacing w:line="360" w:lineRule="auto"/>
        <w:rPr>
          <w:rFonts w:ascii="Arial" w:hAnsi="Arial" w:cs="Arial"/>
        </w:rPr>
      </w:pPr>
    </w:p>
    <w:p w14:paraId="47DA0E26" w14:textId="38B30F31" w:rsidR="00802C6E" w:rsidRDefault="00802C6E" w:rsidP="00802C6E">
      <w:pPr>
        <w:spacing w:line="360" w:lineRule="auto"/>
        <w:ind w:left="0"/>
        <w:rPr>
          <w:rFonts w:ascii="Arial" w:hAnsi="Arial" w:cs="Arial"/>
        </w:rPr>
      </w:pPr>
      <w:r>
        <w:rPr>
          <w:rFonts w:ascii="Arial" w:hAnsi="Arial" w:cs="Arial"/>
        </w:rPr>
        <w:t>2. Within fiv</w:t>
      </w:r>
      <w:r w:rsidRPr="00C12DAE">
        <w:rPr>
          <w:rFonts w:ascii="Arial" w:hAnsi="Arial" w:cs="Arial"/>
        </w:rPr>
        <w:t xml:space="preserve">e (5) days from date of this </w:t>
      </w:r>
      <w:r>
        <w:rPr>
          <w:rFonts w:ascii="Arial" w:hAnsi="Arial" w:cs="Arial"/>
        </w:rPr>
        <w:t>o</w:t>
      </w:r>
      <w:r w:rsidRPr="00C12DAE">
        <w:rPr>
          <w:rFonts w:ascii="Arial" w:hAnsi="Arial" w:cs="Arial"/>
        </w:rPr>
        <w:t>rder</w:t>
      </w:r>
      <w:r>
        <w:rPr>
          <w:rFonts w:ascii="Arial" w:hAnsi="Arial" w:cs="Arial"/>
        </w:rPr>
        <w:t>, the SIU shall</w:t>
      </w:r>
      <w:r w:rsidRPr="00C12DAE">
        <w:rPr>
          <w:rFonts w:ascii="Arial" w:hAnsi="Arial" w:cs="Arial"/>
        </w:rPr>
        <w:t xml:space="preserve"> make available to the </w:t>
      </w:r>
      <w:r>
        <w:rPr>
          <w:rFonts w:ascii="Arial" w:hAnsi="Arial" w:cs="Arial"/>
        </w:rPr>
        <w:t>t</w:t>
      </w:r>
      <w:r w:rsidRPr="00C12DAE">
        <w:rPr>
          <w:rFonts w:ascii="Arial" w:hAnsi="Arial" w:cs="Arial"/>
        </w:rPr>
        <w:t xml:space="preserve">welfth </w:t>
      </w:r>
      <w:r>
        <w:rPr>
          <w:rFonts w:ascii="Arial" w:hAnsi="Arial" w:cs="Arial"/>
        </w:rPr>
        <w:t>r</w:t>
      </w:r>
      <w:r w:rsidRPr="00C12DAE">
        <w:rPr>
          <w:rFonts w:ascii="Arial" w:hAnsi="Arial" w:cs="Arial"/>
        </w:rPr>
        <w:t xml:space="preserve">espondent for </w:t>
      </w:r>
      <w:r>
        <w:rPr>
          <w:rFonts w:ascii="Arial" w:hAnsi="Arial" w:cs="Arial"/>
        </w:rPr>
        <w:t>its</w:t>
      </w:r>
      <w:r w:rsidRPr="00C12DAE">
        <w:rPr>
          <w:rFonts w:ascii="Arial" w:hAnsi="Arial" w:cs="Arial"/>
        </w:rPr>
        <w:t xml:space="preserve"> inspection and allow </w:t>
      </w:r>
      <w:r>
        <w:rPr>
          <w:rFonts w:ascii="Arial" w:hAnsi="Arial" w:cs="Arial"/>
        </w:rPr>
        <w:t>it</w:t>
      </w:r>
      <w:r w:rsidRPr="00C12DAE">
        <w:rPr>
          <w:rFonts w:ascii="Arial" w:hAnsi="Arial" w:cs="Arial"/>
        </w:rPr>
        <w:t xml:space="preserve"> to make a copy or transcription or furnish </w:t>
      </w:r>
      <w:r>
        <w:rPr>
          <w:rFonts w:ascii="Arial" w:hAnsi="Arial" w:cs="Arial"/>
        </w:rPr>
        <w:t>it with</w:t>
      </w:r>
      <w:r w:rsidRPr="00C12DAE">
        <w:rPr>
          <w:rFonts w:ascii="Arial" w:hAnsi="Arial" w:cs="Arial"/>
        </w:rPr>
        <w:t xml:space="preserve"> a true copy of those parts of the undermentioned</w:t>
      </w:r>
      <w:r>
        <w:rPr>
          <w:rFonts w:ascii="Arial" w:hAnsi="Arial" w:cs="Arial"/>
        </w:rPr>
        <w:t xml:space="preserve"> </w:t>
      </w:r>
      <w:r w:rsidRPr="00C12DAE">
        <w:rPr>
          <w:rFonts w:ascii="Arial" w:hAnsi="Arial" w:cs="Arial"/>
        </w:rPr>
        <w:t xml:space="preserve">documents which are relevant to </w:t>
      </w:r>
      <w:r>
        <w:rPr>
          <w:rFonts w:ascii="Arial" w:hAnsi="Arial" w:cs="Arial"/>
        </w:rPr>
        <w:t>it:</w:t>
      </w:r>
    </w:p>
    <w:p w14:paraId="135D97AE" w14:textId="77777777" w:rsidR="00802C6E" w:rsidRPr="00C07088" w:rsidRDefault="00802C6E" w:rsidP="00802C6E">
      <w:pPr>
        <w:spacing w:line="360" w:lineRule="auto"/>
        <w:rPr>
          <w:rFonts w:ascii="Arial" w:hAnsi="Arial" w:cs="Arial"/>
        </w:rPr>
      </w:pPr>
    </w:p>
    <w:p w14:paraId="0890B9D1" w14:textId="77777777" w:rsidR="00802C6E" w:rsidRPr="00596B01" w:rsidRDefault="00802C6E" w:rsidP="00802C6E">
      <w:pPr>
        <w:spacing w:line="360" w:lineRule="auto"/>
        <w:ind w:left="720" w:hanging="720"/>
        <w:rPr>
          <w:rFonts w:ascii="Arial" w:hAnsi="Arial" w:cs="Arial"/>
        </w:rPr>
      </w:pPr>
      <w:r>
        <w:rPr>
          <w:rFonts w:ascii="Arial" w:hAnsi="Arial" w:cs="Arial"/>
        </w:rPr>
        <w:t xml:space="preserve">2.1 </w:t>
      </w:r>
      <w:r>
        <w:rPr>
          <w:rFonts w:ascii="Arial" w:hAnsi="Arial" w:cs="Arial"/>
        </w:rPr>
        <w:tab/>
      </w:r>
      <w:r w:rsidRPr="00596B01">
        <w:rPr>
          <w:rFonts w:ascii="Arial" w:hAnsi="Arial" w:cs="Arial"/>
        </w:rPr>
        <w:t>All evidence defined in Section 4(1)(b) of the Special Investigating Units and Special Tribunal Act 74 of 1996 (“The Act”);</w:t>
      </w:r>
    </w:p>
    <w:p w14:paraId="333544F8" w14:textId="77777777" w:rsidR="00802C6E" w:rsidRDefault="00802C6E" w:rsidP="00802C6E">
      <w:pPr>
        <w:spacing w:line="360" w:lineRule="auto"/>
        <w:rPr>
          <w:rFonts w:ascii="Arial" w:hAnsi="Arial" w:cs="Arial"/>
        </w:rPr>
      </w:pPr>
    </w:p>
    <w:p w14:paraId="1DA3A0DB" w14:textId="1B871610" w:rsidR="00802C6E" w:rsidRDefault="00802C6E" w:rsidP="00A03D86">
      <w:pPr>
        <w:spacing w:line="360" w:lineRule="auto"/>
        <w:ind w:left="0"/>
        <w:rPr>
          <w:rFonts w:ascii="Arial" w:hAnsi="Arial" w:cs="Arial"/>
        </w:rPr>
      </w:pPr>
      <w:r>
        <w:rPr>
          <w:rFonts w:ascii="Arial" w:hAnsi="Arial" w:cs="Arial"/>
        </w:rPr>
        <w:t xml:space="preserve">2.2 </w:t>
      </w:r>
      <w:r>
        <w:rPr>
          <w:rFonts w:ascii="Arial" w:hAnsi="Arial" w:cs="Arial"/>
        </w:rPr>
        <w:tab/>
        <w:t xml:space="preserve">All and any reports made by </w:t>
      </w:r>
      <w:r w:rsidR="008042CC">
        <w:rPr>
          <w:rFonts w:ascii="Arial" w:hAnsi="Arial" w:cs="Arial"/>
        </w:rPr>
        <w:t>the SIU</w:t>
      </w:r>
      <w:r>
        <w:rPr>
          <w:rFonts w:ascii="Arial" w:hAnsi="Arial" w:cs="Arial"/>
        </w:rPr>
        <w:t xml:space="preserve"> in terms of Section 4(2) of the Act;</w:t>
      </w:r>
    </w:p>
    <w:p w14:paraId="295EC555" w14:textId="77777777" w:rsidR="00802C6E" w:rsidRDefault="00802C6E" w:rsidP="00802C6E">
      <w:pPr>
        <w:spacing w:line="360" w:lineRule="auto"/>
        <w:rPr>
          <w:rFonts w:ascii="Arial" w:hAnsi="Arial" w:cs="Arial"/>
        </w:rPr>
      </w:pPr>
    </w:p>
    <w:p w14:paraId="33C50434" w14:textId="3E17C12B" w:rsidR="00802C6E" w:rsidRPr="00C77E13" w:rsidRDefault="00802C6E" w:rsidP="00802C6E">
      <w:pPr>
        <w:spacing w:line="360" w:lineRule="auto"/>
        <w:ind w:left="720" w:hanging="720"/>
        <w:rPr>
          <w:rFonts w:ascii="Arial" w:hAnsi="Arial" w:cs="Arial"/>
        </w:rPr>
      </w:pPr>
      <w:r>
        <w:rPr>
          <w:rFonts w:ascii="Arial" w:hAnsi="Arial" w:cs="Arial"/>
        </w:rPr>
        <w:lastRenderedPageBreak/>
        <w:t xml:space="preserve">2.3 </w:t>
      </w:r>
      <w:r>
        <w:rPr>
          <w:rFonts w:ascii="Arial" w:hAnsi="Arial" w:cs="Arial"/>
        </w:rPr>
        <w:tab/>
      </w:r>
      <w:r w:rsidRPr="00E564CC">
        <w:rPr>
          <w:rFonts w:ascii="Arial" w:hAnsi="Arial" w:cs="Arial"/>
        </w:rPr>
        <w:t xml:space="preserve">The </w:t>
      </w:r>
      <w:r>
        <w:rPr>
          <w:rFonts w:ascii="Arial" w:hAnsi="Arial" w:cs="Arial"/>
        </w:rPr>
        <w:t xml:space="preserve">documents </w:t>
      </w:r>
      <w:r w:rsidRPr="00E564CC">
        <w:rPr>
          <w:rFonts w:ascii="Arial" w:hAnsi="Arial" w:cs="Arial"/>
        </w:rPr>
        <w:t>referred to in the undermentioned paragraphs of the</w:t>
      </w:r>
      <w:r>
        <w:rPr>
          <w:rFonts w:ascii="Arial" w:hAnsi="Arial" w:cs="Arial"/>
        </w:rPr>
        <w:t xml:space="preserve"> </w:t>
      </w:r>
      <w:r w:rsidR="008042CC">
        <w:rPr>
          <w:rFonts w:ascii="Arial" w:hAnsi="Arial" w:cs="Arial"/>
        </w:rPr>
        <w:t>SIU</w:t>
      </w:r>
      <w:r>
        <w:rPr>
          <w:rFonts w:ascii="Arial" w:hAnsi="Arial" w:cs="Arial"/>
        </w:rPr>
        <w:t>’s</w:t>
      </w:r>
      <w:r w:rsidRPr="00E564CC">
        <w:rPr>
          <w:rFonts w:ascii="Arial" w:hAnsi="Arial" w:cs="Arial"/>
        </w:rPr>
        <w:t xml:space="preserve"> </w:t>
      </w:r>
      <w:r w:rsidR="008042CC">
        <w:rPr>
          <w:rFonts w:ascii="Arial" w:hAnsi="Arial" w:cs="Arial"/>
        </w:rPr>
        <w:t>f</w:t>
      </w:r>
      <w:r w:rsidRPr="00E564CC">
        <w:rPr>
          <w:rFonts w:ascii="Arial" w:hAnsi="Arial" w:cs="Arial"/>
        </w:rPr>
        <w:t xml:space="preserve">ounding </w:t>
      </w:r>
      <w:r w:rsidR="008042CC">
        <w:rPr>
          <w:rFonts w:ascii="Arial" w:hAnsi="Arial" w:cs="Arial"/>
        </w:rPr>
        <w:t>a</w:t>
      </w:r>
      <w:r w:rsidRPr="00E564CC">
        <w:rPr>
          <w:rFonts w:ascii="Arial" w:hAnsi="Arial" w:cs="Arial"/>
        </w:rPr>
        <w:t xml:space="preserve">ffidavit </w:t>
      </w:r>
      <w:r>
        <w:rPr>
          <w:rFonts w:ascii="Arial" w:hAnsi="Arial" w:cs="Arial"/>
        </w:rPr>
        <w:t>in the</w:t>
      </w:r>
      <w:r w:rsidR="008042CC">
        <w:rPr>
          <w:rFonts w:ascii="Arial" w:hAnsi="Arial" w:cs="Arial"/>
        </w:rPr>
        <w:t xml:space="preserve"> review</w:t>
      </w:r>
      <w:r>
        <w:rPr>
          <w:rFonts w:ascii="Arial" w:hAnsi="Arial" w:cs="Arial"/>
        </w:rPr>
        <w:t xml:space="preserve"> application </w:t>
      </w:r>
      <w:r w:rsidRPr="00E564CC">
        <w:rPr>
          <w:rFonts w:ascii="Arial" w:hAnsi="Arial" w:cs="Arial"/>
        </w:rPr>
        <w:t>deposed to</w:t>
      </w:r>
      <w:r>
        <w:rPr>
          <w:rFonts w:ascii="Arial" w:hAnsi="Arial" w:cs="Arial"/>
        </w:rPr>
        <w:t xml:space="preserve"> on 31 October 2022</w:t>
      </w:r>
      <w:r w:rsidRPr="00E564CC">
        <w:rPr>
          <w:rFonts w:ascii="Arial" w:hAnsi="Arial" w:cs="Arial"/>
        </w:rPr>
        <w:t xml:space="preserve"> by Mafeka Andrew Ngubane</w:t>
      </w:r>
      <w:r w:rsidR="008042CC">
        <w:rPr>
          <w:rFonts w:ascii="Arial" w:hAnsi="Arial" w:cs="Arial"/>
        </w:rPr>
        <w:t>:</w:t>
      </w:r>
      <w:r w:rsidRPr="00AF37AC">
        <w:rPr>
          <w:rFonts w:ascii="Arial" w:hAnsi="Arial" w:cs="Arial"/>
          <w:b/>
          <w:bCs/>
        </w:rPr>
        <w:tab/>
      </w:r>
    </w:p>
    <w:p w14:paraId="283F0CD1" w14:textId="77777777" w:rsidR="00802C6E" w:rsidRPr="00AF37AC" w:rsidRDefault="00802C6E" w:rsidP="00802C6E">
      <w:pPr>
        <w:spacing w:line="360" w:lineRule="auto"/>
        <w:rPr>
          <w:rFonts w:ascii="Arial" w:hAnsi="Arial" w:cs="Arial"/>
          <w:b/>
          <w:bCs/>
        </w:rPr>
      </w:pPr>
    </w:p>
    <w:p w14:paraId="15DB842C" w14:textId="1A8062F1" w:rsidR="00802C6E" w:rsidRPr="00E746D5" w:rsidRDefault="00E746D5" w:rsidP="00E746D5">
      <w:pPr>
        <w:spacing w:line="360" w:lineRule="auto"/>
        <w:ind w:left="1080" w:hanging="720"/>
        <w:rPr>
          <w:rFonts w:ascii="Arial" w:hAnsi="Arial" w:cs="Arial"/>
          <w:rPrChange w:id="22" w:author="Mary Bruce" w:date="2023-11-03T11:22:00Z">
            <w:rPr/>
          </w:rPrChange>
        </w:rPr>
        <w:pPrChange w:id="23" w:author="Mary Bruce" w:date="2023-11-03T11:22:00Z">
          <w:pPr>
            <w:pStyle w:val="ListParagraph"/>
            <w:numPr>
              <w:ilvl w:val="2"/>
              <w:numId w:val="4"/>
            </w:numPr>
            <w:spacing w:line="360" w:lineRule="auto"/>
            <w:ind w:left="1080" w:hanging="720"/>
          </w:pPr>
        </w:pPrChange>
      </w:pPr>
      <w:r>
        <w:rPr>
          <w:rFonts w:ascii="Arial" w:hAnsi="Arial" w:cs="Arial"/>
        </w:rPr>
        <w:t>2.3.1</w:t>
      </w:r>
      <w:r>
        <w:rPr>
          <w:rFonts w:ascii="Arial" w:hAnsi="Arial" w:cs="Arial"/>
        </w:rPr>
        <w:tab/>
      </w:r>
      <w:r w:rsidR="00802C6E" w:rsidRPr="00E746D5">
        <w:rPr>
          <w:rFonts w:ascii="Arial" w:hAnsi="Arial" w:cs="Arial"/>
          <w:rPrChange w:id="24" w:author="Mary Bruce" w:date="2023-11-03T11:22:00Z">
            <w:rPr/>
          </w:rPrChange>
        </w:rPr>
        <w:t>The documents referred to in paragraph 4</w:t>
      </w:r>
      <w:r w:rsidR="008042CC" w:rsidRPr="00E746D5">
        <w:rPr>
          <w:rFonts w:ascii="Arial" w:hAnsi="Arial" w:cs="Arial"/>
          <w:rPrChange w:id="25" w:author="Mary Bruce" w:date="2023-11-03T11:22:00Z">
            <w:rPr/>
          </w:rPrChange>
        </w:rPr>
        <w:t>.</w:t>
      </w:r>
    </w:p>
    <w:p w14:paraId="216A4216" w14:textId="77777777" w:rsidR="00802C6E" w:rsidRDefault="00802C6E" w:rsidP="00802C6E">
      <w:pPr>
        <w:pStyle w:val="ListParagraph"/>
        <w:spacing w:line="360" w:lineRule="auto"/>
        <w:ind w:left="1080"/>
        <w:rPr>
          <w:rFonts w:ascii="Arial" w:hAnsi="Arial" w:cs="Arial"/>
        </w:rPr>
      </w:pPr>
    </w:p>
    <w:p w14:paraId="0475FF04" w14:textId="3CD9172F" w:rsidR="00802C6E" w:rsidRPr="00E746D5" w:rsidRDefault="00E746D5" w:rsidP="00E746D5">
      <w:pPr>
        <w:spacing w:line="360" w:lineRule="auto"/>
        <w:ind w:left="1080" w:hanging="720"/>
        <w:rPr>
          <w:rFonts w:ascii="Arial" w:hAnsi="Arial" w:cs="Arial"/>
          <w:rPrChange w:id="26" w:author="Mary Bruce" w:date="2023-11-03T11:22:00Z">
            <w:rPr/>
          </w:rPrChange>
        </w:rPr>
        <w:pPrChange w:id="27" w:author="Mary Bruce" w:date="2023-11-03T11:22:00Z">
          <w:pPr>
            <w:pStyle w:val="ListParagraph"/>
            <w:numPr>
              <w:ilvl w:val="2"/>
              <w:numId w:val="4"/>
            </w:numPr>
            <w:spacing w:line="360" w:lineRule="auto"/>
            <w:ind w:left="1080" w:hanging="720"/>
          </w:pPr>
        </w:pPrChange>
      </w:pPr>
      <w:r>
        <w:rPr>
          <w:rFonts w:ascii="Arial" w:hAnsi="Arial" w:cs="Arial"/>
        </w:rPr>
        <w:t>2.3.2</w:t>
      </w:r>
      <w:r>
        <w:rPr>
          <w:rFonts w:ascii="Arial" w:hAnsi="Arial" w:cs="Arial"/>
        </w:rPr>
        <w:tab/>
      </w:r>
      <w:r w:rsidR="00802C6E" w:rsidRPr="00E746D5">
        <w:rPr>
          <w:rFonts w:ascii="Arial" w:hAnsi="Arial" w:cs="Arial"/>
          <w:rPrChange w:id="28" w:author="Mary Bruce" w:date="2023-11-03T11:22:00Z">
            <w:rPr/>
          </w:rPrChange>
        </w:rPr>
        <w:t>All documents describing and evidencing the deviation process referred to in paragraph 15</w:t>
      </w:r>
      <w:r w:rsidR="008042CC" w:rsidRPr="00E746D5">
        <w:rPr>
          <w:rFonts w:ascii="Arial" w:hAnsi="Arial" w:cs="Arial"/>
          <w:rPrChange w:id="29" w:author="Mary Bruce" w:date="2023-11-03T11:22:00Z">
            <w:rPr/>
          </w:rPrChange>
        </w:rPr>
        <w:t>.</w:t>
      </w:r>
    </w:p>
    <w:p w14:paraId="3DC4F8B2" w14:textId="77777777" w:rsidR="00802C6E" w:rsidRPr="00392B31" w:rsidRDefault="00802C6E" w:rsidP="00802C6E">
      <w:pPr>
        <w:spacing w:line="360" w:lineRule="auto"/>
        <w:rPr>
          <w:rFonts w:ascii="Arial" w:hAnsi="Arial" w:cs="Arial"/>
        </w:rPr>
      </w:pPr>
    </w:p>
    <w:p w14:paraId="4885A000" w14:textId="1D65CEA0" w:rsidR="00802C6E" w:rsidRPr="00E746D5" w:rsidRDefault="00E746D5" w:rsidP="00E746D5">
      <w:pPr>
        <w:spacing w:line="360" w:lineRule="auto"/>
        <w:ind w:left="1080" w:hanging="720"/>
        <w:rPr>
          <w:rFonts w:ascii="Arial" w:hAnsi="Arial" w:cs="Arial"/>
          <w:rPrChange w:id="30" w:author="Mary Bruce" w:date="2023-11-03T11:22:00Z">
            <w:rPr/>
          </w:rPrChange>
        </w:rPr>
        <w:pPrChange w:id="31" w:author="Mary Bruce" w:date="2023-11-03T11:22:00Z">
          <w:pPr>
            <w:pStyle w:val="ListParagraph"/>
            <w:numPr>
              <w:ilvl w:val="2"/>
              <w:numId w:val="4"/>
            </w:numPr>
            <w:spacing w:line="360" w:lineRule="auto"/>
            <w:ind w:left="1080" w:hanging="720"/>
          </w:pPr>
        </w:pPrChange>
      </w:pPr>
      <w:r>
        <w:rPr>
          <w:rFonts w:ascii="Arial" w:hAnsi="Arial" w:cs="Arial"/>
        </w:rPr>
        <w:t>2.3.3</w:t>
      </w:r>
      <w:r>
        <w:rPr>
          <w:rFonts w:ascii="Arial" w:hAnsi="Arial" w:cs="Arial"/>
        </w:rPr>
        <w:tab/>
      </w:r>
      <w:r w:rsidR="00802C6E" w:rsidRPr="00E746D5">
        <w:rPr>
          <w:rFonts w:ascii="Arial" w:hAnsi="Arial" w:cs="Arial"/>
          <w:rPrChange w:id="32" w:author="Mary Bruce" w:date="2023-11-03T11:22:00Z">
            <w:rPr/>
          </w:rPrChange>
        </w:rPr>
        <w:t>All documents regarding the election of officials referred to in paragraph 31</w:t>
      </w:r>
      <w:r w:rsidR="008042CC" w:rsidRPr="00E746D5">
        <w:rPr>
          <w:rFonts w:ascii="Arial" w:hAnsi="Arial" w:cs="Arial"/>
          <w:rPrChange w:id="33" w:author="Mary Bruce" w:date="2023-11-03T11:22:00Z">
            <w:rPr/>
          </w:rPrChange>
        </w:rPr>
        <w:t>.</w:t>
      </w:r>
    </w:p>
    <w:p w14:paraId="495809F3" w14:textId="77777777" w:rsidR="00802C6E" w:rsidRPr="00392B31" w:rsidRDefault="00802C6E" w:rsidP="00802C6E">
      <w:pPr>
        <w:pStyle w:val="ListParagraph"/>
        <w:rPr>
          <w:rFonts w:ascii="Arial" w:hAnsi="Arial" w:cs="Arial"/>
        </w:rPr>
      </w:pPr>
    </w:p>
    <w:p w14:paraId="518282F9" w14:textId="77777777" w:rsidR="00802C6E" w:rsidRDefault="00802C6E" w:rsidP="00802C6E">
      <w:pPr>
        <w:pStyle w:val="ListParagraph"/>
        <w:spacing w:line="360" w:lineRule="auto"/>
        <w:ind w:left="1080"/>
        <w:rPr>
          <w:rFonts w:ascii="Arial" w:hAnsi="Arial" w:cs="Arial"/>
        </w:rPr>
      </w:pPr>
    </w:p>
    <w:p w14:paraId="16E7602E" w14:textId="3F565782" w:rsidR="00802C6E" w:rsidRPr="00E746D5" w:rsidRDefault="00E746D5" w:rsidP="00E746D5">
      <w:pPr>
        <w:spacing w:line="360" w:lineRule="auto"/>
        <w:ind w:left="1080" w:hanging="720"/>
        <w:rPr>
          <w:rFonts w:ascii="Arial" w:hAnsi="Arial" w:cs="Arial"/>
          <w:rPrChange w:id="34" w:author="Mary Bruce" w:date="2023-11-03T11:22:00Z">
            <w:rPr/>
          </w:rPrChange>
        </w:rPr>
        <w:pPrChange w:id="35" w:author="Mary Bruce" w:date="2023-11-03T11:22:00Z">
          <w:pPr>
            <w:pStyle w:val="ListParagraph"/>
            <w:numPr>
              <w:ilvl w:val="2"/>
              <w:numId w:val="4"/>
            </w:numPr>
            <w:spacing w:line="360" w:lineRule="auto"/>
            <w:ind w:left="1080" w:hanging="720"/>
          </w:pPr>
        </w:pPrChange>
      </w:pPr>
      <w:r>
        <w:rPr>
          <w:rFonts w:ascii="Arial" w:hAnsi="Arial" w:cs="Arial"/>
        </w:rPr>
        <w:t>2.3.4</w:t>
      </w:r>
      <w:r>
        <w:rPr>
          <w:rFonts w:ascii="Arial" w:hAnsi="Arial" w:cs="Arial"/>
        </w:rPr>
        <w:tab/>
      </w:r>
      <w:r w:rsidR="00802C6E" w:rsidRPr="00E746D5">
        <w:rPr>
          <w:rFonts w:ascii="Arial" w:hAnsi="Arial" w:cs="Arial"/>
          <w:rPrChange w:id="36" w:author="Mary Bruce" w:date="2023-11-03T11:22:00Z">
            <w:rPr/>
          </w:rPrChange>
        </w:rPr>
        <w:t>The procurement pack referred to in paragraph 62</w:t>
      </w:r>
      <w:r w:rsidR="008042CC" w:rsidRPr="00E746D5">
        <w:rPr>
          <w:rFonts w:ascii="Arial" w:hAnsi="Arial" w:cs="Arial"/>
          <w:rPrChange w:id="37" w:author="Mary Bruce" w:date="2023-11-03T11:22:00Z">
            <w:rPr/>
          </w:rPrChange>
        </w:rPr>
        <w:t>.</w:t>
      </w:r>
    </w:p>
    <w:p w14:paraId="45617065" w14:textId="77777777" w:rsidR="00802C6E" w:rsidRDefault="00802C6E" w:rsidP="00802C6E">
      <w:pPr>
        <w:pStyle w:val="ListParagraph"/>
        <w:spacing w:line="360" w:lineRule="auto"/>
        <w:ind w:left="1080"/>
        <w:rPr>
          <w:rFonts w:ascii="Arial" w:hAnsi="Arial" w:cs="Arial"/>
        </w:rPr>
      </w:pPr>
    </w:p>
    <w:p w14:paraId="4621A88F" w14:textId="49118F50" w:rsidR="00802C6E" w:rsidRPr="00E746D5" w:rsidRDefault="00E746D5" w:rsidP="00E746D5">
      <w:pPr>
        <w:spacing w:line="360" w:lineRule="auto"/>
        <w:ind w:left="1080" w:hanging="720"/>
        <w:rPr>
          <w:rFonts w:ascii="Arial" w:hAnsi="Arial" w:cs="Arial"/>
          <w:rPrChange w:id="38" w:author="Mary Bruce" w:date="2023-11-03T11:22:00Z">
            <w:rPr/>
          </w:rPrChange>
        </w:rPr>
        <w:pPrChange w:id="39" w:author="Mary Bruce" w:date="2023-11-03T11:22:00Z">
          <w:pPr>
            <w:pStyle w:val="ListParagraph"/>
            <w:numPr>
              <w:ilvl w:val="2"/>
              <w:numId w:val="4"/>
            </w:numPr>
            <w:spacing w:line="360" w:lineRule="auto"/>
            <w:ind w:left="1080" w:hanging="720"/>
          </w:pPr>
        </w:pPrChange>
      </w:pPr>
      <w:r>
        <w:rPr>
          <w:rFonts w:ascii="Arial" w:hAnsi="Arial" w:cs="Arial"/>
        </w:rPr>
        <w:t>2.3.5</w:t>
      </w:r>
      <w:r>
        <w:rPr>
          <w:rFonts w:ascii="Arial" w:hAnsi="Arial" w:cs="Arial"/>
        </w:rPr>
        <w:tab/>
      </w:r>
      <w:r w:rsidR="00802C6E" w:rsidRPr="00E746D5">
        <w:rPr>
          <w:rFonts w:ascii="Arial" w:hAnsi="Arial" w:cs="Arial"/>
          <w:rPrChange w:id="40" w:author="Mary Bruce" w:date="2023-11-03T11:22:00Z">
            <w:rPr/>
          </w:rPrChange>
        </w:rPr>
        <w:t xml:space="preserve">The CSD report submitted at the time of quoting by </w:t>
      </w:r>
      <w:r w:rsidR="008042CC" w:rsidRPr="00E746D5">
        <w:rPr>
          <w:rFonts w:ascii="Arial" w:hAnsi="Arial" w:cs="Arial"/>
          <w:rPrChange w:id="41" w:author="Mary Bruce" w:date="2023-11-03T11:22:00Z">
            <w:rPr/>
          </w:rPrChange>
        </w:rPr>
        <w:t>f</w:t>
      </w:r>
      <w:r w:rsidR="00802C6E" w:rsidRPr="00E746D5">
        <w:rPr>
          <w:rFonts w:ascii="Arial" w:hAnsi="Arial" w:cs="Arial"/>
          <w:rPrChange w:id="42" w:author="Mary Bruce" w:date="2023-11-03T11:22:00Z">
            <w:rPr/>
          </w:rPrChange>
        </w:rPr>
        <w:t xml:space="preserve">irst and </w:t>
      </w:r>
      <w:r w:rsidR="008042CC" w:rsidRPr="00E746D5">
        <w:rPr>
          <w:rFonts w:ascii="Arial" w:hAnsi="Arial" w:cs="Arial"/>
          <w:rPrChange w:id="43" w:author="Mary Bruce" w:date="2023-11-03T11:22:00Z">
            <w:rPr/>
          </w:rPrChange>
        </w:rPr>
        <w:t>t</w:t>
      </w:r>
      <w:r w:rsidR="00802C6E" w:rsidRPr="00E746D5">
        <w:rPr>
          <w:rFonts w:ascii="Arial" w:hAnsi="Arial" w:cs="Arial"/>
          <w:rPrChange w:id="44" w:author="Mary Bruce" w:date="2023-11-03T11:22:00Z">
            <w:rPr/>
          </w:rPrChange>
        </w:rPr>
        <w:t xml:space="preserve">hird  </w:t>
      </w:r>
      <w:r w:rsidR="008042CC" w:rsidRPr="00E746D5">
        <w:rPr>
          <w:rFonts w:ascii="Arial" w:hAnsi="Arial" w:cs="Arial"/>
          <w:rPrChange w:id="45" w:author="Mary Bruce" w:date="2023-11-03T11:22:00Z">
            <w:rPr/>
          </w:rPrChange>
        </w:rPr>
        <w:t>r</w:t>
      </w:r>
      <w:r w:rsidR="00802C6E" w:rsidRPr="00E746D5">
        <w:rPr>
          <w:rFonts w:ascii="Arial" w:hAnsi="Arial" w:cs="Arial"/>
          <w:rPrChange w:id="46" w:author="Mary Bruce" w:date="2023-11-03T11:22:00Z">
            <w:rPr/>
          </w:rPrChange>
        </w:rPr>
        <w:t>espondents in consequence of what is stated in paragraphs 66 to 70 and 92 inclusive</w:t>
      </w:r>
      <w:r w:rsidR="008042CC" w:rsidRPr="00E746D5">
        <w:rPr>
          <w:rFonts w:ascii="Arial" w:hAnsi="Arial" w:cs="Arial"/>
          <w:rPrChange w:id="47" w:author="Mary Bruce" w:date="2023-11-03T11:22:00Z">
            <w:rPr/>
          </w:rPrChange>
        </w:rPr>
        <w:t>.</w:t>
      </w:r>
    </w:p>
    <w:p w14:paraId="144C55EF" w14:textId="77777777" w:rsidR="00802C6E" w:rsidRPr="00392B31" w:rsidRDefault="00802C6E" w:rsidP="00802C6E">
      <w:pPr>
        <w:spacing w:line="360" w:lineRule="auto"/>
        <w:rPr>
          <w:rFonts w:ascii="Arial" w:hAnsi="Arial" w:cs="Arial"/>
        </w:rPr>
      </w:pPr>
    </w:p>
    <w:p w14:paraId="4F897F73" w14:textId="68BD1758" w:rsidR="00802C6E" w:rsidRPr="00E746D5" w:rsidRDefault="00E746D5" w:rsidP="00E746D5">
      <w:pPr>
        <w:spacing w:line="360" w:lineRule="auto"/>
        <w:ind w:left="1080" w:hanging="720"/>
        <w:rPr>
          <w:rFonts w:ascii="Arial" w:hAnsi="Arial" w:cs="Arial"/>
          <w:rPrChange w:id="48" w:author="Mary Bruce" w:date="2023-11-03T11:22:00Z">
            <w:rPr/>
          </w:rPrChange>
        </w:rPr>
        <w:pPrChange w:id="49" w:author="Mary Bruce" w:date="2023-11-03T11:22:00Z">
          <w:pPr>
            <w:pStyle w:val="ListParagraph"/>
            <w:numPr>
              <w:ilvl w:val="2"/>
              <w:numId w:val="4"/>
            </w:numPr>
            <w:spacing w:line="360" w:lineRule="auto"/>
            <w:ind w:left="1080" w:hanging="720"/>
          </w:pPr>
        </w:pPrChange>
      </w:pPr>
      <w:r>
        <w:rPr>
          <w:rFonts w:ascii="Arial" w:hAnsi="Arial" w:cs="Arial"/>
        </w:rPr>
        <w:t>2.3.6</w:t>
      </w:r>
      <w:r>
        <w:rPr>
          <w:rFonts w:ascii="Arial" w:hAnsi="Arial" w:cs="Arial"/>
        </w:rPr>
        <w:tab/>
      </w:r>
      <w:r w:rsidR="00802C6E" w:rsidRPr="00E746D5">
        <w:rPr>
          <w:rFonts w:ascii="Arial" w:hAnsi="Arial" w:cs="Arial"/>
          <w:rPrChange w:id="50" w:author="Mary Bruce" w:date="2023-11-03T11:22:00Z">
            <w:rPr/>
          </w:rPrChange>
        </w:rPr>
        <w:t xml:space="preserve">The documents in the pack and/or those generated by the Department </w:t>
      </w:r>
      <w:r w:rsidR="008042CC" w:rsidRPr="00E746D5">
        <w:rPr>
          <w:rFonts w:ascii="Arial" w:hAnsi="Arial" w:cs="Arial"/>
          <w:rPrChange w:id="51" w:author="Mary Bruce" w:date="2023-11-03T11:22:00Z">
            <w:rPr/>
          </w:rPrChange>
        </w:rPr>
        <w:t>o</w:t>
      </w:r>
      <w:r w:rsidR="00802C6E" w:rsidRPr="00E746D5">
        <w:rPr>
          <w:rFonts w:ascii="Arial" w:hAnsi="Arial" w:cs="Arial"/>
          <w:rPrChange w:id="52" w:author="Mary Bruce" w:date="2023-11-03T11:22:00Z">
            <w:rPr/>
          </w:rPrChange>
        </w:rPr>
        <w:t>fficials concerned referred to in paragraph 152; and</w:t>
      </w:r>
    </w:p>
    <w:p w14:paraId="23F04B2D" w14:textId="77777777" w:rsidR="00802C6E" w:rsidRDefault="00802C6E" w:rsidP="00802C6E">
      <w:pPr>
        <w:pStyle w:val="ListParagraph"/>
        <w:spacing w:line="360" w:lineRule="auto"/>
        <w:ind w:left="1080"/>
        <w:rPr>
          <w:rFonts w:ascii="Arial" w:hAnsi="Arial" w:cs="Arial"/>
        </w:rPr>
      </w:pPr>
    </w:p>
    <w:p w14:paraId="5480B4DE" w14:textId="245182CE" w:rsidR="00802C6E" w:rsidRPr="00E746D5" w:rsidRDefault="00E746D5" w:rsidP="00E746D5">
      <w:pPr>
        <w:spacing w:line="360" w:lineRule="auto"/>
        <w:ind w:left="1080" w:hanging="720"/>
        <w:rPr>
          <w:rFonts w:ascii="Arial" w:hAnsi="Arial" w:cs="Arial"/>
          <w:rPrChange w:id="53" w:author="Mary Bruce" w:date="2023-11-03T11:22:00Z">
            <w:rPr/>
          </w:rPrChange>
        </w:rPr>
        <w:pPrChange w:id="54" w:author="Mary Bruce" w:date="2023-11-03T11:22:00Z">
          <w:pPr>
            <w:pStyle w:val="ListParagraph"/>
            <w:numPr>
              <w:ilvl w:val="2"/>
              <w:numId w:val="4"/>
            </w:numPr>
            <w:spacing w:line="360" w:lineRule="auto"/>
            <w:ind w:left="1080" w:hanging="720"/>
          </w:pPr>
        </w:pPrChange>
      </w:pPr>
      <w:r w:rsidRPr="00386EF3">
        <w:rPr>
          <w:rFonts w:ascii="Arial" w:hAnsi="Arial" w:cs="Arial"/>
        </w:rPr>
        <w:t>2.3.7</w:t>
      </w:r>
      <w:r w:rsidRPr="00386EF3">
        <w:rPr>
          <w:rFonts w:ascii="Arial" w:hAnsi="Arial" w:cs="Arial"/>
        </w:rPr>
        <w:tab/>
      </w:r>
      <w:r w:rsidR="00802C6E" w:rsidRPr="00E746D5">
        <w:rPr>
          <w:rFonts w:ascii="Arial" w:hAnsi="Arial" w:cs="Arial"/>
          <w:rPrChange w:id="55" w:author="Mary Bruce" w:date="2023-11-03T11:22:00Z">
            <w:rPr/>
          </w:rPrChange>
        </w:rPr>
        <w:t xml:space="preserve">The referral to the relevant prosecuting authority referred to in paragraph 214. </w:t>
      </w:r>
    </w:p>
    <w:p w14:paraId="68A79957" w14:textId="77777777" w:rsidR="00802C6E" w:rsidRDefault="00802C6E" w:rsidP="00802C6E">
      <w:pPr>
        <w:spacing w:line="360" w:lineRule="auto"/>
        <w:rPr>
          <w:rFonts w:ascii="Arial" w:hAnsi="Arial" w:cs="Arial"/>
        </w:rPr>
      </w:pPr>
    </w:p>
    <w:p w14:paraId="5AD772AB" w14:textId="6223E254" w:rsidR="00802C6E" w:rsidRDefault="008042CC" w:rsidP="00802C6E">
      <w:pPr>
        <w:spacing w:line="360" w:lineRule="auto"/>
        <w:rPr>
          <w:rFonts w:ascii="Arial" w:hAnsi="Arial" w:cs="Arial"/>
        </w:rPr>
      </w:pPr>
      <w:r>
        <w:rPr>
          <w:rFonts w:ascii="Arial" w:hAnsi="Arial" w:cs="Arial"/>
        </w:rPr>
        <w:t xml:space="preserve">3. </w:t>
      </w:r>
      <w:r w:rsidR="00802C6E">
        <w:rPr>
          <w:rFonts w:ascii="Arial" w:hAnsi="Arial" w:cs="Arial"/>
        </w:rPr>
        <w:t xml:space="preserve">The </w:t>
      </w:r>
      <w:r>
        <w:rPr>
          <w:rFonts w:ascii="Arial" w:hAnsi="Arial" w:cs="Arial"/>
        </w:rPr>
        <w:t>t</w:t>
      </w:r>
      <w:r w:rsidR="00802C6E">
        <w:rPr>
          <w:rFonts w:ascii="Arial" w:hAnsi="Arial" w:cs="Arial"/>
        </w:rPr>
        <w:t xml:space="preserve">welfth </w:t>
      </w:r>
      <w:r>
        <w:rPr>
          <w:rFonts w:ascii="Arial" w:hAnsi="Arial" w:cs="Arial"/>
        </w:rPr>
        <w:t>r</w:t>
      </w:r>
      <w:r w:rsidR="00802C6E">
        <w:rPr>
          <w:rFonts w:ascii="Arial" w:hAnsi="Arial" w:cs="Arial"/>
        </w:rPr>
        <w:t xml:space="preserve">espondent is granted leave, in the event of the </w:t>
      </w:r>
      <w:r>
        <w:rPr>
          <w:rFonts w:ascii="Arial" w:hAnsi="Arial" w:cs="Arial"/>
        </w:rPr>
        <w:t>SIU</w:t>
      </w:r>
      <w:r w:rsidR="00802C6E">
        <w:rPr>
          <w:rFonts w:ascii="Arial" w:hAnsi="Arial" w:cs="Arial"/>
        </w:rPr>
        <w:t xml:space="preserve"> failing to comply with the </w:t>
      </w:r>
      <w:r>
        <w:rPr>
          <w:rFonts w:ascii="Arial" w:hAnsi="Arial" w:cs="Arial"/>
        </w:rPr>
        <w:t>o</w:t>
      </w:r>
      <w:r w:rsidR="00802C6E">
        <w:rPr>
          <w:rFonts w:ascii="Arial" w:hAnsi="Arial" w:cs="Arial"/>
        </w:rPr>
        <w:t>rder in paragraph 2 above, to supplement these papers insofar as may be necessary and to apply for such further or alternate relief that may be relevant.</w:t>
      </w:r>
    </w:p>
    <w:p w14:paraId="1656FDE4" w14:textId="682906C0" w:rsidR="00802C6E" w:rsidRDefault="00802C6E" w:rsidP="008042CC">
      <w:pPr>
        <w:spacing w:line="360" w:lineRule="auto"/>
        <w:rPr>
          <w:rFonts w:ascii="Arial" w:hAnsi="Arial" w:cs="Arial"/>
        </w:rPr>
      </w:pPr>
    </w:p>
    <w:p w14:paraId="75C71167" w14:textId="6D6F56F6" w:rsidR="00802C6E" w:rsidRDefault="008042CC" w:rsidP="00802C6E">
      <w:pPr>
        <w:spacing w:line="360" w:lineRule="auto"/>
        <w:rPr>
          <w:rFonts w:ascii="Arial" w:hAnsi="Arial" w:cs="Arial"/>
        </w:rPr>
      </w:pPr>
      <w:r>
        <w:rPr>
          <w:rFonts w:ascii="Arial" w:hAnsi="Arial" w:cs="Arial"/>
        </w:rPr>
        <w:t xml:space="preserve">4. </w:t>
      </w:r>
      <w:r w:rsidR="00802C6E">
        <w:rPr>
          <w:rFonts w:ascii="Arial" w:hAnsi="Arial" w:cs="Arial"/>
        </w:rPr>
        <w:t xml:space="preserve">The </w:t>
      </w:r>
      <w:r>
        <w:rPr>
          <w:rFonts w:ascii="Arial" w:hAnsi="Arial" w:cs="Arial"/>
        </w:rPr>
        <w:t>SIU</w:t>
      </w:r>
      <w:r w:rsidR="00802C6E">
        <w:rPr>
          <w:rFonts w:ascii="Arial" w:hAnsi="Arial" w:cs="Arial"/>
        </w:rPr>
        <w:t xml:space="preserve"> is ordered to pay the </w:t>
      </w:r>
      <w:r>
        <w:rPr>
          <w:rFonts w:ascii="Arial" w:hAnsi="Arial" w:cs="Arial"/>
        </w:rPr>
        <w:t>t</w:t>
      </w:r>
      <w:r w:rsidR="00802C6E">
        <w:rPr>
          <w:rFonts w:ascii="Arial" w:hAnsi="Arial" w:cs="Arial"/>
        </w:rPr>
        <w:t xml:space="preserve">welfth </w:t>
      </w:r>
      <w:r>
        <w:rPr>
          <w:rFonts w:ascii="Arial" w:hAnsi="Arial" w:cs="Arial"/>
        </w:rPr>
        <w:t>r</w:t>
      </w:r>
      <w:r w:rsidR="00802C6E">
        <w:rPr>
          <w:rFonts w:ascii="Arial" w:hAnsi="Arial" w:cs="Arial"/>
        </w:rPr>
        <w:t xml:space="preserve">espondent’s costs of both the </w:t>
      </w:r>
      <w:r w:rsidR="00B6416F">
        <w:rPr>
          <w:rFonts w:ascii="Arial" w:hAnsi="Arial" w:cs="Arial"/>
        </w:rPr>
        <w:t>application to compel</w:t>
      </w:r>
      <w:r w:rsidR="00802C6E">
        <w:rPr>
          <w:rFonts w:ascii="Arial" w:hAnsi="Arial" w:cs="Arial"/>
        </w:rPr>
        <w:t xml:space="preserve"> and </w:t>
      </w:r>
      <w:r w:rsidR="00B6416F">
        <w:rPr>
          <w:rFonts w:ascii="Arial" w:hAnsi="Arial" w:cs="Arial"/>
        </w:rPr>
        <w:t xml:space="preserve">the application to </w:t>
      </w:r>
      <w:r w:rsidR="00802C6E">
        <w:rPr>
          <w:rFonts w:ascii="Arial" w:hAnsi="Arial" w:cs="Arial"/>
        </w:rPr>
        <w:t xml:space="preserve">strike out on an opposed basis. </w:t>
      </w:r>
    </w:p>
    <w:p w14:paraId="01AC1060" w14:textId="31464057" w:rsidR="00C36C50" w:rsidRDefault="00C36C50" w:rsidP="00C36C50">
      <w:pPr>
        <w:spacing w:line="360" w:lineRule="auto"/>
        <w:jc w:val="right"/>
        <w:rPr>
          <w:rFonts w:ascii="Arial" w:hAnsi="Arial" w:cs="Arial"/>
        </w:rPr>
      </w:pPr>
    </w:p>
    <w:p w14:paraId="67357C75" w14:textId="77777777" w:rsidR="00041EE7" w:rsidRDefault="00041EE7" w:rsidP="00C36C50">
      <w:pPr>
        <w:spacing w:line="360" w:lineRule="auto"/>
        <w:jc w:val="right"/>
        <w:rPr>
          <w:rFonts w:ascii="Arial" w:hAnsi="Arial" w:cs="Arial"/>
        </w:rPr>
      </w:pPr>
    </w:p>
    <w:p w14:paraId="5A578224" w14:textId="1AFA3C9C" w:rsidR="00C36C50" w:rsidRDefault="00C36C50" w:rsidP="00C36C50">
      <w:pPr>
        <w:spacing w:before="60" w:line="36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____________________________________</w:t>
      </w:r>
    </w:p>
    <w:p w14:paraId="636308D3" w14:textId="2371A86F" w:rsidR="00802C6E" w:rsidRDefault="00C36C50" w:rsidP="00C36C50">
      <w:pPr>
        <w:spacing w:before="60" w:line="36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JUDGE L.T. MODIBA</w:t>
      </w:r>
    </w:p>
    <w:p w14:paraId="62066AD8" w14:textId="73E198EF" w:rsidR="00C36C50" w:rsidRDefault="00C36C50" w:rsidP="00C36C50">
      <w:pPr>
        <w:spacing w:before="60" w:line="360" w:lineRule="auto"/>
        <w:jc w:val="right"/>
        <w:rPr>
          <w:rFonts w:ascii="Arial" w:eastAsia="Times New Roman" w:hAnsi="Arial" w:cs="Arial"/>
          <w:b/>
          <w:color w:val="000000"/>
          <w:sz w:val="24"/>
          <w:szCs w:val="24"/>
          <w:lang w:eastAsia="en-GB"/>
        </w:rPr>
      </w:pPr>
      <w:r>
        <w:rPr>
          <w:rFonts w:ascii="Arial" w:eastAsia="Times New Roman" w:hAnsi="Arial" w:cs="Arial"/>
          <w:b/>
          <w:bCs/>
          <w:color w:val="000000"/>
          <w:lang w:eastAsia="en-GB"/>
        </w:rPr>
        <w:t>PRESIDENT OF THE SPECIAL TRIBUNAL</w:t>
      </w:r>
    </w:p>
    <w:p w14:paraId="0C2E0A54" w14:textId="77777777" w:rsidR="00041EE7" w:rsidRDefault="00041EE7" w:rsidP="008505EC">
      <w:pPr>
        <w:spacing w:before="60" w:line="360" w:lineRule="auto"/>
        <w:rPr>
          <w:rFonts w:ascii="Arial" w:eastAsia="Times New Roman" w:hAnsi="Arial" w:cs="Arial"/>
          <w:b/>
          <w:color w:val="000000"/>
          <w:sz w:val="24"/>
          <w:szCs w:val="24"/>
          <w:lang w:eastAsia="en-GB"/>
        </w:rPr>
      </w:pPr>
    </w:p>
    <w:p w14:paraId="74895FCF" w14:textId="77777777" w:rsidR="00041EE7" w:rsidRDefault="00041EE7" w:rsidP="008505EC">
      <w:pPr>
        <w:spacing w:before="60" w:line="360" w:lineRule="auto"/>
        <w:rPr>
          <w:rFonts w:ascii="Arial" w:eastAsia="Times New Roman" w:hAnsi="Arial" w:cs="Arial"/>
          <w:b/>
          <w:color w:val="000000"/>
          <w:sz w:val="24"/>
          <w:szCs w:val="24"/>
          <w:lang w:eastAsia="en-GB"/>
        </w:rPr>
      </w:pPr>
    </w:p>
    <w:p w14:paraId="35DE788F" w14:textId="44A47781" w:rsidR="00841AF2" w:rsidRPr="00515580" w:rsidRDefault="00515580" w:rsidP="008505EC">
      <w:pPr>
        <w:spacing w:before="60" w:line="360" w:lineRule="auto"/>
        <w:rPr>
          <w:rFonts w:ascii="Arial" w:eastAsia="Times New Roman" w:hAnsi="Arial" w:cs="Arial"/>
          <w:b/>
          <w:color w:val="000000"/>
          <w:sz w:val="24"/>
          <w:szCs w:val="24"/>
          <w:lang w:eastAsia="en-GB"/>
        </w:rPr>
      </w:pPr>
      <w:r w:rsidRPr="00515580">
        <w:rPr>
          <w:rFonts w:ascii="Arial" w:eastAsia="Times New Roman" w:hAnsi="Arial" w:cs="Arial"/>
          <w:b/>
          <w:color w:val="000000"/>
          <w:sz w:val="24"/>
          <w:szCs w:val="24"/>
          <w:lang w:eastAsia="en-GB"/>
        </w:rPr>
        <w:lastRenderedPageBreak/>
        <w:t>APPEARANCE</w:t>
      </w:r>
      <w:r>
        <w:rPr>
          <w:rFonts w:ascii="Arial" w:eastAsia="Times New Roman" w:hAnsi="Arial" w:cs="Arial"/>
          <w:b/>
          <w:color w:val="000000"/>
          <w:sz w:val="24"/>
          <w:szCs w:val="24"/>
          <w:lang w:eastAsia="en-GB"/>
        </w:rPr>
        <w:t>S</w:t>
      </w:r>
    </w:p>
    <w:p w14:paraId="61E3C4DD" w14:textId="4323C529" w:rsidR="00FE5E48" w:rsidRPr="00FE5E48" w:rsidRDefault="00841AF2" w:rsidP="00FE5E48">
      <w:pPr>
        <w:rPr>
          <w:rFonts w:ascii="Arial" w:hAnsi="Arial" w:cs="Arial"/>
          <w:sz w:val="24"/>
          <w:szCs w:val="24"/>
        </w:rPr>
      </w:pPr>
      <w:r w:rsidRPr="00FE5E48">
        <w:rPr>
          <w:rFonts w:ascii="Arial" w:eastAsia="Times New Roman" w:hAnsi="Arial" w:cs="Arial"/>
          <w:bCs/>
          <w:color w:val="000000"/>
          <w:sz w:val="24"/>
          <w:szCs w:val="24"/>
          <w:lang w:eastAsia="en-GB"/>
        </w:rPr>
        <w:t>Attorney for the Applicant:</w:t>
      </w:r>
      <w:r w:rsidR="00FE5E48" w:rsidRPr="00FE5E48">
        <w:rPr>
          <w:rFonts w:ascii="Arial" w:hAnsi="Arial" w:cs="Arial"/>
          <w:sz w:val="24"/>
          <w:szCs w:val="24"/>
        </w:rPr>
        <w:t xml:space="preserve"> Anand-Nepaul Attorneys </w:t>
      </w:r>
    </w:p>
    <w:p w14:paraId="6179F06A" w14:textId="38376034" w:rsidR="00841AF2" w:rsidRPr="00FE5E48" w:rsidRDefault="00FE5E48" w:rsidP="00FE5E48">
      <w:pPr>
        <w:spacing w:before="60" w:line="360" w:lineRule="auto"/>
        <w:ind w:left="0"/>
        <w:rPr>
          <w:rFonts w:ascii="Arial" w:eastAsia="Times New Roman" w:hAnsi="Arial" w:cs="Arial"/>
          <w:bCs/>
          <w:color w:val="000000"/>
          <w:sz w:val="24"/>
          <w:szCs w:val="24"/>
          <w:lang w:eastAsia="en-GB"/>
        </w:rPr>
      </w:pPr>
      <w:r w:rsidRPr="00FE5E48">
        <w:rPr>
          <w:rFonts w:ascii="Arial" w:eastAsia="Times New Roman" w:hAnsi="Arial" w:cs="Arial"/>
          <w:bCs/>
          <w:color w:val="000000"/>
          <w:sz w:val="24"/>
          <w:szCs w:val="24"/>
          <w:lang w:eastAsia="en-GB"/>
        </w:rPr>
        <w:t xml:space="preserve">  </w:t>
      </w:r>
      <w:r w:rsidR="00841AF2" w:rsidRPr="00FE5E48">
        <w:rPr>
          <w:rFonts w:ascii="Arial" w:eastAsia="Times New Roman" w:hAnsi="Arial" w:cs="Arial"/>
          <w:bCs/>
          <w:color w:val="000000"/>
          <w:sz w:val="24"/>
          <w:szCs w:val="24"/>
          <w:lang w:eastAsia="en-GB"/>
        </w:rPr>
        <w:t>Counsel for the Applicant:</w:t>
      </w:r>
      <w:r w:rsidRPr="00FE5E48">
        <w:rPr>
          <w:rFonts w:ascii="Arial" w:eastAsia="Times New Roman" w:hAnsi="Arial" w:cs="Arial"/>
          <w:bCs/>
          <w:color w:val="000000"/>
          <w:sz w:val="24"/>
          <w:szCs w:val="24"/>
          <w:lang w:eastAsia="en-GB"/>
        </w:rPr>
        <w:t xml:space="preserve"> Mr Nepaul</w:t>
      </w:r>
    </w:p>
    <w:p w14:paraId="075B4213" w14:textId="2B47C064" w:rsidR="00841AF2" w:rsidRPr="00FE5E48" w:rsidRDefault="00841AF2" w:rsidP="00FE5E48">
      <w:pPr>
        <w:spacing w:before="60" w:line="360" w:lineRule="auto"/>
        <w:ind w:left="0" w:firstLine="142"/>
        <w:rPr>
          <w:rFonts w:ascii="Arial" w:eastAsia="Times New Roman" w:hAnsi="Arial" w:cs="Arial"/>
          <w:bCs/>
          <w:color w:val="000000"/>
          <w:sz w:val="24"/>
          <w:szCs w:val="24"/>
          <w:lang w:eastAsia="en-GB"/>
        </w:rPr>
      </w:pPr>
      <w:r w:rsidRPr="00FE5E48">
        <w:rPr>
          <w:rFonts w:ascii="Arial" w:eastAsia="Times New Roman" w:hAnsi="Arial" w:cs="Arial"/>
          <w:bCs/>
          <w:color w:val="000000"/>
          <w:sz w:val="24"/>
          <w:szCs w:val="24"/>
          <w:lang w:eastAsia="en-GB"/>
        </w:rPr>
        <w:t xml:space="preserve">Attorney for the Respondent: </w:t>
      </w:r>
      <w:r w:rsidRPr="00FE5E48">
        <w:rPr>
          <w:rFonts w:ascii="Arial" w:hAnsi="Arial" w:cs="Arial"/>
          <w:sz w:val="24"/>
          <w:szCs w:val="24"/>
        </w:rPr>
        <w:t>Ms S Zondi, State Attorney, Pretoria</w:t>
      </w:r>
    </w:p>
    <w:p w14:paraId="4932950B" w14:textId="1B4BB87F" w:rsidR="00841AF2" w:rsidRPr="00FE5E48" w:rsidRDefault="00841AF2" w:rsidP="008505EC">
      <w:pPr>
        <w:spacing w:before="60" w:line="360" w:lineRule="auto"/>
        <w:rPr>
          <w:rFonts w:ascii="Arial" w:eastAsia="Times New Roman" w:hAnsi="Arial" w:cs="Arial"/>
          <w:bCs/>
          <w:color w:val="000000"/>
          <w:sz w:val="24"/>
          <w:szCs w:val="24"/>
          <w:lang w:eastAsia="en-GB"/>
        </w:rPr>
      </w:pPr>
      <w:r w:rsidRPr="00FE5E48">
        <w:rPr>
          <w:rFonts w:ascii="Arial" w:eastAsia="Times New Roman" w:hAnsi="Arial" w:cs="Arial"/>
          <w:bCs/>
          <w:color w:val="000000"/>
          <w:sz w:val="24"/>
          <w:szCs w:val="24"/>
          <w:lang w:eastAsia="en-GB"/>
        </w:rPr>
        <w:t>Counsel for the Respondent:</w:t>
      </w:r>
      <w:r w:rsidR="00FE5E48" w:rsidRPr="00FE5E48">
        <w:rPr>
          <w:rFonts w:ascii="Arial" w:eastAsia="Times New Roman" w:hAnsi="Arial" w:cs="Arial"/>
          <w:bCs/>
          <w:color w:val="000000"/>
          <w:sz w:val="24"/>
          <w:szCs w:val="24"/>
          <w:lang w:eastAsia="en-GB"/>
        </w:rPr>
        <w:t xml:space="preserve"> Adv L </w:t>
      </w:r>
      <w:r w:rsidR="00FE5E48" w:rsidRPr="00FE5E48">
        <w:rPr>
          <w:rFonts w:ascii="Arial" w:hAnsi="Arial" w:cs="Arial"/>
          <w:bCs/>
          <w:sz w:val="24"/>
          <w:szCs w:val="24"/>
        </w:rPr>
        <w:t>Mgwetyana</w:t>
      </w:r>
    </w:p>
    <w:p w14:paraId="4A43C936" w14:textId="2763E239" w:rsidR="00841AF2" w:rsidRPr="00FE5E48" w:rsidRDefault="00841AF2" w:rsidP="008505EC">
      <w:pPr>
        <w:spacing w:before="60" w:line="360" w:lineRule="auto"/>
        <w:rPr>
          <w:rFonts w:ascii="Arial" w:eastAsia="Times New Roman" w:hAnsi="Arial" w:cs="Arial"/>
          <w:bCs/>
          <w:color w:val="000000"/>
          <w:sz w:val="24"/>
          <w:szCs w:val="24"/>
          <w:lang w:eastAsia="en-GB"/>
        </w:rPr>
      </w:pPr>
      <w:r w:rsidRPr="00FE5E48">
        <w:rPr>
          <w:rFonts w:ascii="Arial" w:eastAsia="Times New Roman" w:hAnsi="Arial" w:cs="Arial"/>
          <w:bCs/>
          <w:color w:val="000000"/>
          <w:sz w:val="24"/>
          <w:szCs w:val="24"/>
          <w:lang w:eastAsia="en-GB"/>
        </w:rPr>
        <w:t>Date of hearing: 26 October 2023</w:t>
      </w:r>
    </w:p>
    <w:p w14:paraId="0583B210" w14:textId="32A8A368" w:rsidR="00841AF2" w:rsidRPr="00FE5E48" w:rsidRDefault="00841AF2" w:rsidP="008505EC">
      <w:pPr>
        <w:spacing w:before="60" w:line="360" w:lineRule="auto"/>
        <w:rPr>
          <w:rFonts w:ascii="Arial" w:eastAsia="Times New Roman" w:hAnsi="Arial" w:cs="Arial"/>
          <w:bCs/>
          <w:color w:val="000000"/>
          <w:sz w:val="24"/>
          <w:szCs w:val="24"/>
          <w:lang w:eastAsia="en-GB"/>
        </w:rPr>
      </w:pPr>
      <w:r w:rsidRPr="00FE5E48">
        <w:rPr>
          <w:rFonts w:ascii="Arial" w:eastAsia="Times New Roman" w:hAnsi="Arial" w:cs="Arial"/>
          <w:bCs/>
          <w:color w:val="000000"/>
          <w:sz w:val="24"/>
          <w:szCs w:val="24"/>
          <w:lang w:eastAsia="en-GB"/>
        </w:rPr>
        <w:t>Date of Judgement</w:t>
      </w:r>
      <w:r w:rsidR="00FE5E48">
        <w:rPr>
          <w:rFonts w:ascii="Arial" w:eastAsia="Times New Roman" w:hAnsi="Arial" w:cs="Arial"/>
          <w:bCs/>
          <w:color w:val="000000"/>
          <w:sz w:val="24"/>
          <w:szCs w:val="24"/>
          <w:lang w:eastAsia="en-GB"/>
        </w:rPr>
        <w:t>:</w:t>
      </w:r>
      <w:r w:rsidR="00BA5389">
        <w:rPr>
          <w:rFonts w:ascii="Arial" w:eastAsia="Times New Roman" w:hAnsi="Arial" w:cs="Arial"/>
          <w:bCs/>
          <w:color w:val="000000"/>
          <w:sz w:val="24"/>
          <w:szCs w:val="24"/>
          <w:lang w:eastAsia="en-GB"/>
        </w:rPr>
        <w:t xml:space="preserve"> 3 November 2023</w:t>
      </w:r>
    </w:p>
    <w:p w14:paraId="51B49B6B" w14:textId="2D0CC1BD" w:rsidR="00841AF2" w:rsidRPr="00841AF2" w:rsidRDefault="00841AF2" w:rsidP="00841AF2">
      <w:pPr>
        <w:ind w:left="0"/>
        <w:rPr>
          <w:rFonts w:ascii="Arial" w:eastAsia="Times New Roman" w:hAnsi="Arial" w:cs="Arial"/>
          <w:lang w:eastAsia="en-GB"/>
        </w:rPr>
      </w:pPr>
    </w:p>
    <w:p w14:paraId="449B9EEB" w14:textId="77777777" w:rsidR="00841AF2" w:rsidRPr="00F94D1F" w:rsidRDefault="00841AF2" w:rsidP="00841AF2">
      <w:pPr>
        <w:tabs>
          <w:tab w:val="left" w:pos="709"/>
          <w:tab w:val="left" w:pos="1560"/>
          <w:tab w:val="right" w:pos="8931"/>
        </w:tabs>
        <w:spacing w:after="480"/>
        <w:rPr>
          <w:sz w:val="24"/>
          <w:szCs w:val="24"/>
        </w:rPr>
      </w:pPr>
      <w:r w:rsidRPr="00FA7D34">
        <w:rPr>
          <w:rFonts w:ascii="Arial" w:eastAsia="Times New Roman" w:hAnsi="Arial" w:cs="Arial"/>
          <w:b/>
          <w:i/>
          <w:sz w:val="24"/>
          <w:szCs w:val="24"/>
          <w:lang w:eastAsia="en-GB"/>
        </w:rPr>
        <w:t>Mode of delivery:</w:t>
      </w:r>
      <w:r w:rsidRPr="00FA7D34">
        <w:rPr>
          <w:rFonts w:ascii="Arial" w:eastAsia="Times New Roman" w:hAnsi="Arial" w:cs="Arial"/>
          <w:i/>
          <w:sz w:val="24"/>
          <w:szCs w:val="24"/>
          <w:lang w:eastAsia="en-GB"/>
        </w:rPr>
        <w:t xml:space="preserve"> this judgment is </w:t>
      </w:r>
      <w:r w:rsidRPr="00FA7D34">
        <w:rPr>
          <w:rFonts w:ascii="Arial" w:eastAsia="Times New Roman" w:hAnsi="Arial" w:cs="Arial"/>
          <w:i/>
          <w:color w:val="222222"/>
          <w:sz w:val="24"/>
          <w:szCs w:val="24"/>
        </w:rPr>
        <w:t>handed down by sending it by email to the parties’ legal representatives</w:t>
      </w:r>
      <w:r>
        <w:rPr>
          <w:rFonts w:ascii="Arial" w:eastAsia="Times New Roman" w:hAnsi="Arial" w:cs="Arial"/>
          <w:i/>
          <w:color w:val="222222"/>
          <w:sz w:val="24"/>
          <w:szCs w:val="24"/>
        </w:rPr>
        <w:t xml:space="preserve">, </w:t>
      </w:r>
      <w:r w:rsidRPr="00FA7D34">
        <w:rPr>
          <w:rFonts w:ascii="Arial" w:eastAsia="Times New Roman" w:hAnsi="Arial" w:cs="Arial"/>
          <w:i/>
          <w:color w:val="222222"/>
          <w:sz w:val="24"/>
          <w:szCs w:val="24"/>
        </w:rPr>
        <w:t>loading on Caselines</w:t>
      </w:r>
      <w:r>
        <w:rPr>
          <w:rFonts w:ascii="Arial" w:eastAsia="Times New Roman" w:hAnsi="Arial" w:cs="Arial"/>
          <w:i/>
          <w:color w:val="222222"/>
          <w:sz w:val="24"/>
          <w:szCs w:val="24"/>
        </w:rPr>
        <w:t xml:space="preserve"> and release to SAFLII and AFRICANLII</w:t>
      </w:r>
      <w:r w:rsidRPr="00FA7D34">
        <w:rPr>
          <w:rFonts w:ascii="Arial" w:eastAsia="Times New Roman" w:hAnsi="Arial" w:cs="Arial"/>
          <w:i/>
          <w:color w:val="222222"/>
          <w:sz w:val="24"/>
          <w:szCs w:val="24"/>
        </w:rPr>
        <w:t xml:space="preserve">. The date and time for delivery is deemed to be </w:t>
      </w:r>
      <w:r>
        <w:rPr>
          <w:rFonts w:ascii="Arial" w:eastAsia="Times New Roman" w:hAnsi="Arial" w:cs="Arial"/>
          <w:i/>
          <w:color w:val="222222"/>
          <w:sz w:val="24"/>
          <w:szCs w:val="24"/>
        </w:rPr>
        <w:t xml:space="preserve">10 a.m. </w:t>
      </w:r>
    </w:p>
    <w:p w14:paraId="405A907A" w14:textId="77777777" w:rsidR="00841AF2" w:rsidRPr="00841AF2" w:rsidRDefault="00841AF2" w:rsidP="00841AF2">
      <w:pPr>
        <w:rPr>
          <w:rFonts w:ascii="Arial" w:eastAsia="Times New Roman" w:hAnsi="Arial" w:cs="Arial"/>
          <w:lang w:eastAsia="en-GB"/>
        </w:rPr>
      </w:pPr>
    </w:p>
    <w:sectPr w:rsidR="00841AF2" w:rsidRPr="00841A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9E87" w14:textId="77777777" w:rsidR="001D1CAD" w:rsidRDefault="001D1CAD" w:rsidP="00C33F3A">
      <w:r>
        <w:separator/>
      </w:r>
    </w:p>
  </w:endnote>
  <w:endnote w:type="continuationSeparator" w:id="0">
    <w:p w14:paraId="02C08660" w14:textId="77777777" w:rsidR="001D1CAD" w:rsidRDefault="001D1CAD" w:rsidP="00C3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B909" w14:textId="77777777" w:rsidR="001D1CAD" w:rsidRDefault="001D1CAD" w:rsidP="00C33F3A">
      <w:r>
        <w:separator/>
      </w:r>
    </w:p>
  </w:footnote>
  <w:footnote w:type="continuationSeparator" w:id="0">
    <w:p w14:paraId="281A90D1" w14:textId="77777777" w:rsidR="001D1CAD" w:rsidRDefault="001D1CAD" w:rsidP="00C33F3A">
      <w:r>
        <w:continuationSeparator/>
      </w:r>
    </w:p>
  </w:footnote>
  <w:footnote w:id="1">
    <w:p w14:paraId="42C99499" w14:textId="77777777" w:rsidR="00515580" w:rsidRPr="007C6B07" w:rsidRDefault="00515580" w:rsidP="00F04054">
      <w:pPr>
        <w:spacing w:line="360" w:lineRule="auto"/>
        <w:ind w:left="0"/>
        <w:rPr>
          <w:rFonts w:asciiTheme="minorHAnsi" w:hAnsiTheme="minorHAnsi" w:cstheme="minorHAnsi"/>
          <w:lang w:val="en-GB"/>
        </w:rPr>
      </w:pPr>
      <w:r w:rsidRPr="00F04054">
        <w:rPr>
          <w:rStyle w:val="FootnoteReference"/>
          <w:rFonts w:asciiTheme="minorHAnsi" w:hAnsiTheme="minorHAnsi" w:cstheme="minorHAnsi"/>
          <w:sz w:val="20"/>
          <w:szCs w:val="20"/>
        </w:rPr>
        <w:footnoteRef/>
      </w:r>
      <w:r w:rsidRPr="00F04054">
        <w:rPr>
          <w:rFonts w:asciiTheme="minorHAnsi" w:hAnsiTheme="minorHAnsi" w:cstheme="minorHAnsi"/>
          <w:sz w:val="20"/>
          <w:szCs w:val="20"/>
        </w:rPr>
        <w:t xml:space="preserve"> </w:t>
      </w:r>
      <w:r w:rsidRPr="00F04054">
        <w:rPr>
          <w:rFonts w:asciiTheme="minorHAnsi" w:hAnsiTheme="minorHAnsi" w:cstheme="minorHAnsi"/>
          <w:i/>
          <w:iCs/>
          <w:sz w:val="20"/>
          <w:szCs w:val="20"/>
        </w:rPr>
        <w:t>Helen Suzman Foundation v President of The Republic of South Africa and Others 2015 (2) SA 1 (CC) </w:t>
      </w:r>
      <w:r w:rsidRPr="00BA5389">
        <w:rPr>
          <w:rFonts w:asciiTheme="minorHAnsi" w:hAnsiTheme="minorHAnsi" w:cstheme="minorHAnsi"/>
          <w:sz w:val="20"/>
          <w:szCs w:val="20"/>
        </w:rPr>
        <w:t xml:space="preserve">at par 27-28. </w:t>
      </w:r>
    </w:p>
  </w:footnote>
  <w:footnote w:id="2">
    <w:p w14:paraId="4A568919" w14:textId="77777777" w:rsidR="00515580" w:rsidRPr="00300B69" w:rsidRDefault="00515580" w:rsidP="00515580">
      <w:pPr>
        <w:pStyle w:val="FootnoteText"/>
        <w:rPr>
          <w:lang w:val="en-GB"/>
        </w:rPr>
      </w:pPr>
      <w:r>
        <w:rPr>
          <w:rStyle w:val="FootnoteReference"/>
        </w:rPr>
        <w:footnoteRef/>
      </w:r>
      <w:r>
        <w:t xml:space="preserve"> </w:t>
      </w:r>
      <w:r>
        <w:rPr>
          <w:lang w:val="en-GB"/>
        </w:rPr>
        <w:t xml:space="preserve">Ibid. See also </w:t>
      </w:r>
      <w:r w:rsidRPr="00300B69">
        <w:rPr>
          <w:i/>
          <w:iCs/>
          <w:lang w:val="en-GB"/>
        </w:rPr>
        <w:t xml:space="preserve">Swissborough Diamond Mines (Pty) Ltd and Others v Government of the Republic of South Africa and </w:t>
      </w:r>
      <w:r>
        <w:rPr>
          <w:i/>
          <w:iCs/>
          <w:lang w:val="en-GB"/>
        </w:rPr>
        <w:t>O</w:t>
      </w:r>
      <w:r w:rsidRPr="00300B69">
        <w:rPr>
          <w:i/>
          <w:iCs/>
          <w:lang w:val="en-GB"/>
        </w:rPr>
        <w:t>thers</w:t>
      </w:r>
      <w:r w:rsidRPr="00300B69">
        <w:rPr>
          <w:lang w:val="en-GB"/>
        </w:rPr>
        <w:t xml:space="preserve"> 1999 (2) SA 279 (T)</w:t>
      </w:r>
      <w:r>
        <w:rPr>
          <w:lang w:val="en-GB"/>
        </w:rPr>
        <w:t xml:space="preserve"> a</w:t>
      </w:r>
      <w:r w:rsidRPr="00300B69">
        <w:rPr>
          <w:lang w:val="en-GB"/>
        </w:rPr>
        <w:t xml:space="preserve">t 377b-c quoting </w:t>
      </w:r>
      <w:r w:rsidRPr="00300B69">
        <w:rPr>
          <w:i/>
          <w:iCs/>
          <w:lang w:val="en-GB"/>
        </w:rPr>
        <w:t>Vaatz v Law Society of Namibia</w:t>
      </w:r>
      <w:r w:rsidRPr="00300B69">
        <w:rPr>
          <w:lang w:val="en-GB"/>
        </w:rPr>
        <w:t xml:space="preserve"> 1991 (3) SA 563 (Nm) at 566D</w:t>
      </w:r>
      <w:r>
        <w:rPr>
          <w:lang w:val="en-GB"/>
        </w:rPr>
        <w:t>.</w:t>
      </w:r>
    </w:p>
  </w:footnote>
  <w:footnote w:id="3">
    <w:p w14:paraId="74D663EA" w14:textId="77777777" w:rsidR="00515580" w:rsidRPr="00300B69" w:rsidRDefault="00515580" w:rsidP="00515580">
      <w:pPr>
        <w:pStyle w:val="FootnoteText"/>
        <w:rPr>
          <w:lang w:val="en-GB"/>
        </w:rPr>
      </w:pPr>
      <w:r>
        <w:rPr>
          <w:rStyle w:val="FootnoteReference"/>
        </w:rPr>
        <w:footnoteRef/>
      </w:r>
      <w:r>
        <w:t xml:space="preserve"> </w:t>
      </w:r>
      <w:r>
        <w:rPr>
          <w:lang w:val="en-GB"/>
        </w:rPr>
        <w:t>Ibid.</w:t>
      </w:r>
    </w:p>
  </w:footnote>
  <w:footnote w:id="4">
    <w:p w14:paraId="1CE51D36" w14:textId="77777777" w:rsidR="00515580" w:rsidRPr="00300B69" w:rsidRDefault="00515580" w:rsidP="00515580">
      <w:pPr>
        <w:pStyle w:val="FootnoteText"/>
        <w:rPr>
          <w:lang w:val="en-GB"/>
        </w:rPr>
      </w:pPr>
      <w:r>
        <w:rPr>
          <w:rStyle w:val="FootnoteReference"/>
        </w:rPr>
        <w:footnoteRef/>
      </w:r>
      <w:r>
        <w:t xml:space="preserve"> </w:t>
      </w:r>
      <w:r>
        <w:rPr>
          <w:lang w:val="en-GB"/>
        </w:rPr>
        <w:t>Ibid.</w:t>
      </w:r>
    </w:p>
  </w:footnote>
  <w:footnote w:id="5">
    <w:p w14:paraId="1FB2172A" w14:textId="63455C19" w:rsidR="00515580" w:rsidRPr="00C22419" w:rsidRDefault="00515580" w:rsidP="00515580">
      <w:pPr>
        <w:pStyle w:val="FootnoteText"/>
        <w:rPr>
          <w:lang w:val="en-GB"/>
        </w:rPr>
      </w:pPr>
      <w:r>
        <w:rPr>
          <w:rStyle w:val="FootnoteReference"/>
        </w:rPr>
        <w:footnoteRef/>
      </w:r>
      <w:r>
        <w:t xml:space="preserve"> </w:t>
      </w:r>
      <w:r w:rsidRPr="00C22419">
        <w:rPr>
          <w:i/>
          <w:iCs/>
        </w:rPr>
        <w:t xml:space="preserve">Jones </w:t>
      </w:r>
      <w:r>
        <w:rPr>
          <w:i/>
          <w:iCs/>
        </w:rPr>
        <w:t>v</w:t>
      </w:r>
      <w:r w:rsidRPr="00C22419">
        <w:rPr>
          <w:i/>
          <w:iCs/>
        </w:rPr>
        <w:t xml:space="preserve"> John Barr &amp; Co (Pty) Ltd </w:t>
      </w:r>
      <w:r>
        <w:rPr>
          <w:i/>
          <w:iCs/>
        </w:rPr>
        <w:t>a</w:t>
      </w:r>
      <w:r w:rsidRPr="00C22419">
        <w:rPr>
          <w:i/>
          <w:iCs/>
        </w:rPr>
        <w:t>nd Another</w:t>
      </w:r>
      <w:r w:rsidRPr="00C22419">
        <w:t xml:space="preserve"> 1967 (3) SA 292 (W) at 296c</w:t>
      </w:r>
      <w:r>
        <w:t xml:space="preserve"> quoting </w:t>
      </w:r>
      <w:r w:rsidRPr="00C22419">
        <w:rPr>
          <w:i/>
          <w:iCs/>
        </w:rPr>
        <w:t>Morgendaal v Ferreira</w:t>
      </w:r>
      <w:r w:rsidRPr="00C22419">
        <w:t>, 1956 (4) SA 625 (T)</w:t>
      </w:r>
      <w:r>
        <w:t xml:space="preserve"> quoting </w:t>
      </w:r>
      <w:r w:rsidRPr="00C22419">
        <w:rPr>
          <w:i/>
          <w:iCs/>
        </w:rPr>
        <w:t>Morgendaal v Ferreira,</w:t>
      </w:r>
      <w:r w:rsidRPr="00C22419">
        <w:t xml:space="preserve"> 1956 (4) SA 625 (T) at p. 268B.</w:t>
      </w:r>
    </w:p>
  </w:footnote>
  <w:footnote w:id="6">
    <w:p w14:paraId="057111D3" w14:textId="40458528" w:rsidR="00515580" w:rsidRPr="00F04054" w:rsidRDefault="00515580" w:rsidP="00F04054">
      <w:pPr>
        <w:spacing w:line="360" w:lineRule="auto"/>
        <w:rPr>
          <w:rFonts w:ascii="Arial" w:eastAsia="Times New Roman" w:hAnsi="Arial" w:cs="Arial"/>
          <w:i/>
          <w:iCs/>
          <w:sz w:val="24"/>
          <w:szCs w:val="24"/>
          <w:lang w:eastAsia="en-ZA"/>
        </w:rPr>
      </w:pPr>
      <w:r>
        <w:rPr>
          <w:rStyle w:val="FootnoteReference"/>
        </w:rPr>
        <w:footnoteRef/>
      </w:r>
      <w:r>
        <w:t xml:space="preserve"> </w:t>
      </w:r>
      <w:r w:rsidR="00F04054" w:rsidRPr="00F04054">
        <w:rPr>
          <w:rFonts w:asciiTheme="minorHAnsi" w:hAnsiTheme="minorHAnsi" w:cstheme="minorHAnsi"/>
          <w:i/>
          <w:iCs/>
          <w:sz w:val="20"/>
          <w:szCs w:val="20"/>
        </w:rPr>
        <w:t>Gefen and </w:t>
      </w:r>
      <w:bookmarkStart w:id="6" w:name="LPHit2"/>
      <w:bookmarkEnd w:id="6"/>
      <w:r w:rsidR="00F04054" w:rsidRPr="00F04054">
        <w:rPr>
          <w:rFonts w:asciiTheme="minorHAnsi" w:hAnsiTheme="minorHAnsi" w:cstheme="minorHAnsi"/>
          <w:i/>
          <w:iCs/>
          <w:sz w:val="20"/>
          <w:szCs w:val="20"/>
        </w:rPr>
        <w:t>Another </w:t>
      </w:r>
      <w:bookmarkStart w:id="7" w:name="LPHit3"/>
      <w:bookmarkEnd w:id="7"/>
      <w:r w:rsidR="00F04054" w:rsidRPr="00F04054">
        <w:rPr>
          <w:rFonts w:asciiTheme="minorHAnsi" w:hAnsiTheme="minorHAnsi" w:cstheme="minorHAnsi"/>
          <w:i/>
          <w:iCs/>
          <w:sz w:val="20"/>
          <w:szCs w:val="20"/>
        </w:rPr>
        <w:t>v </w:t>
      </w:r>
      <w:bookmarkStart w:id="8" w:name="LPHit4"/>
      <w:bookmarkEnd w:id="8"/>
      <w:r w:rsidR="00F04054" w:rsidRPr="00F04054">
        <w:rPr>
          <w:rFonts w:asciiTheme="minorHAnsi" w:hAnsiTheme="minorHAnsi" w:cstheme="minorHAnsi"/>
          <w:i/>
          <w:iCs/>
          <w:sz w:val="20"/>
          <w:szCs w:val="20"/>
        </w:rPr>
        <w:t>De </w:t>
      </w:r>
      <w:bookmarkStart w:id="9" w:name="LPHit5"/>
      <w:bookmarkEnd w:id="9"/>
      <w:r w:rsidR="00F04054" w:rsidRPr="00F04054">
        <w:rPr>
          <w:rFonts w:asciiTheme="minorHAnsi" w:hAnsiTheme="minorHAnsi" w:cstheme="minorHAnsi"/>
          <w:i/>
          <w:iCs/>
          <w:sz w:val="20"/>
          <w:szCs w:val="20"/>
        </w:rPr>
        <w:t>Wet </w:t>
      </w:r>
      <w:bookmarkStart w:id="10" w:name="LPHit6"/>
      <w:bookmarkEnd w:id="10"/>
      <w:r w:rsidR="00F04054" w:rsidRPr="00F04054">
        <w:rPr>
          <w:rFonts w:asciiTheme="minorHAnsi" w:hAnsiTheme="minorHAnsi" w:cstheme="minorHAnsi"/>
          <w:i/>
          <w:iCs/>
          <w:sz w:val="20"/>
          <w:szCs w:val="20"/>
        </w:rPr>
        <w:t>No and </w:t>
      </w:r>
      <w:bookmarkStart w:id="11" w:name="LPHit7"/>
      <w:bookmarkEnd w:id="11"/>
      <w:r w:rsidR="00F04054" w:rsidRPr="00F04054">
        <w:rPr>
          <w:rFonts w:asciiTheme="minorHAnsi" w:hAnsiTheme="minorHAnsi" w:cstheme="minorHAnsi"/>
          <w:i/>
          <w:iCs/>
          <w:sz w:val="20"/>
          <w:szCs w:val="20"/>
        </w:rPr>
        <w:t>Another 2022 (3) SA 465 (GJ)</w:t>
      </w:r>
      <w:r w:rsidR="00F04054">
        <w:rPr>
          <w:rFonts w:ascii="Verdana" w:hAnsi="Verdana"/>
          <w:i/>
          <w:iCs/>
          <w:sz w:val="20"/>
          <w:szCs w:val="20"/>
        </w:rPr>
        <w:t xml:space="preserve"> </w:t>
      </w:r>
      <w:r w:rsidR="00F04054" w:rsidRPr="00F04054">
        <w:rPr>
          <w:rFonts w:asciiTheme="minorHAnsi" w:hAnsiTheme="minorHAnsi" w:cstheme="minorHAnsi"/>
          <w:sz w:val="20"/>
          <w:szCs w:val="20"/>
          <w:lang w:val="en-GB"/>
        </w:rPr>
        <w:t>a</w:t>
      </w:r>
      <w:r w:rsidRPr="00F04054">
        <w:rPr>
          <w:rFonts w:asciiTheme="minorHAnsi" w:hAnsiTheme="minorHAnsi" w:cstheme="minorHAnsi"/>
          <w:sz w:val="20"/>
          <w:szCs w:val="20"/>
          <w:lang w:val="en-GB"/>
        </w:rPr>
        <w:t>t paragraph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63CBB20" w14:textId="4628BCE0" w:rsidR="00C33F3A" w:rsidRDefault="00C33F3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46D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6D5">
          <w:rPr>
            <w:b/>
            <w:bCs/>
            <w:noProof/>
          </w:rPr>
          <w:t>13</w:t>
        </w:r>
        <w:r>
          <w:rPr>
            <w:b/>
            <w:bCs/>
            <w:sz w:val="24"/>
            <w:szCs w:val="24"/>
          </w:rPr>
          <w:fldChar w:fldCharType="end"/>
        </w:r>
      </w:p>
    </w:sdtContent>
  </w:sdt>
  <w:p w14:paraId="7DCE679D" w14:textId="77777777" w:rsidR="00C33F3A" w:rsidRDefault="00C33F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999"/>
    <w:multiLevelType w:val="multilevel"/>
    <w:tmpl w:val="DDDCD89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7BC1536"/>
    <w:multiLevelType w:val="multilevel"/>
    <w:tmpl w:val="F43A1B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9B793B"/>
    <w:multiLevelType w:val="hybridMultilevel"/>
    <w:tmpl w:val="F58229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EC4A3A"/>
    <w:multiLevelType w:val="hybridMultilevel"/>
    <w:tmpl w:val="BCAA7DBE"/>
    <w:lvl w:ilvl="0" w:tplc="8B222B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08"/>
    <w:rsid w:val="00041EE7"/>
    <w:rsid w:val="00082E4E"/>
    <w:rsid w:val="000B36A8"/>
    <w:rsid w:val="000D2B99"/>
    <w:rsid w:val="000E2C39"/>
    <w:rsid w:val="000F5877"/>
    <w:rsid w:val="00154D08"/>
    <w:rsid w:val="00163D1C"/>
    <w:rsid w:val="001D1CAD"/>
    <w:rsid w:val="0020314E"/>
    <w:rsid w:val="00222877"/>
    <w:rsid w:val="0034422F"/>
    <w:rsid w:val="003A17C9"/>
    <w:rsid w:val="003E570F"/>
    <w:rsid w:val="00476A69"/>
    <w:rsid w:val="00481156"/>
    <w:rsid w:val="00491769"/>
    <w:rsid w:val="004D2B02"/>
    <w:rsid w:val="0051128C"/>
    <w:rsid w:val="00515580"/>
    <w:rsid w:val="005164D0"/>
    <w:rsid w:val="005D0936"/>
    <w:rsid w:val="00617588"/>
    <w:rsid w:val="006204BA"/>
    <w:rsid w:val="00643364"/>
    <w:rsid w:val="00723F52"/>
    <w:rsid w:val="00726AE4"/>
    <w:rsid w:val="00797AA3"/>
    <w:rsid w:val="007C6B07"/>
    <w:rsid w:val="007F653E"/>
    <w:rsid w:val="00802C6E"/>
    <w:rsid w:val="008042CC"/>
    <w:rsid w:val="00832881"/>
    <w:rsid w:val="00841AF2"/>
    <w:rsid w:val="008505EC"/>
    <w:rsid w:val="00943925"/>
    <w:rsid w:val="00964376"/>
    <w:rsid w:val="009B1D81"/>
    <w:rsid w:val="009D78ED"/>
    <w:rsid w:val="009D7C75"/>
    <w:rsid w:val="009F6DC2"/>
    <w:rsid w:val="00A03D86"/>
    <w:rsid w:val="00A65DBA"/>
    <w:rsid w:val="00B36A16"/>
    <w:rsid w:val="00B6416F"/>
    <w:rsid w:val="00B643BB"/>
    <w:rsid w:val="00B75F8A"/>
    <w:rsid w:val="00BA5389"/>
    <w:rsid w:val="00BF7AF7"/>
    <w:rsid w:val="00C33F3A"/>
    <w:rsid w:val="00C36C50"/>
    <w:rsid w:val="00C87BDC"/>
    <w:rsid w:val="00CB33F9"/>
    <w:rsid w:val="00CB42DD"/>
    <w:rsid w:val="00D05547"/>
    <w:rsid w:val="00D740F2"/>
    <w:rsid w:val="00D969BB"/>
    <w:rsid w:val="00E37C4E"/>
    <w:rsid w:val="00E64D89"/>
    <w:rsid w:val="00E746D5"/>
    <w:rsid w:val="00EA1A44"/>
    <w:rsid w:val="00F04054"/>
    <w:rsid w:val="00F50156"/>
    <w:rsid w:val="00FD2EA2"/>
    <w:rsid w:val="00FE5E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229A"/>
  <w15:chartTrackingRefBased/>
  <w15:docId w15:val="{AC2A336F-069C-4D3F-A057-9290DF1D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08"/>
    <w:pPr>
      <w:spacing w:after="0" w:line="240" w:lineRule="auto"/>
      <w:ind w:left="142"/>
      <w:jc w:val="both"/>
    </w:pPr>
    <w:rPr>
      <w:rFonts w:ascii="Tahoma" w:eastAsia="MS Mincho" w:hAnsi="Tahoma" w:cs="Tahoma"/>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08"/>
    <w:pPr>
      <w:ind w:left="720"/>
      <w:contextualSpacing/>
    </w:pPr>
  </w:style>
  <w:style w:type="paragraph" w:styleId="Header">
    <w:name w:val="header"/>
    <w:basedOn w:val="Normal"/>
    <w:link w:val="HeaderChar"/>
    <w:uiPriority w:val="99"/>
    <w:unhideWhenUsed/>
    <w:rsid w:val="00C33F3A"/>
    <w:pPr>
      <w:tabs>
        <w:tab w:val="center" w:pos="4513"/>
        <w:tab w:val="right" w:pos="9026"/>
      </w:tabs>
    </w:pPr>
  </w:style>
  <w:style w:type="character" w:customStyle="1" w:styleId="HeaderChar">
    <w:name w:val="Header Char"/>
    <w:basedOn w:val="DefaultParagraphFont"/>
    <w:link w:val="Header"/>
    <w:uiPriority w:val="99"/>
    <w:rsid w:val="00C33F3A"/>
    <w:rPr>
      <w:rFonts w:ascii="Tahoma" w:eastAsia="MS Mincho" w:hAnsi="Tahoma" w:cs="Tahoma"/>
      <w:kern w:val="0"/>
      <w:sz w:val="23"/>
      <w:szCs w:val="23"/>
      <w14:ligatures w14:val="none"/>
    </w:rPr>
  </w:style>
  <w:style w:type="paragraph" w:styleId="Footer">
    <w:name w:val="footer"/>
    <w:basedOn w:val="Normal"/>
    <w:link w:val="FooterChar"/>
    <w:uiPriority w:val="99"/>
    <w:unhideWhenUsed/>
    <w:rsid w:val="00C33F3A"/>
    <w:pPr>
      <w:tabs>
        <w:tab w:val="center" w:pos="4513"/>
        <w:tab w:val="right" w:pos="9026"/>
      </w:tabs>
    </w:pPr>
  </w:style>
  <w:style w:type="character" w:customStyle="1" w:styleId="FooterChar">
    <w:name w:val="Footer Char"/>
    <w:basedOn w:val="DefaultParagraphFont"/>
    <w:link w:val="Footer"/>
    <w:uiPriority w:val="99"/>
    <w:rsid w:val="00C33F3A"/>
    <w:rPr>
      <w:rFonts w:ascii="Tahoma" w:eastAsia="MS Mincho" w:hAnsi="Tahoma" w:cs="Tahoma"/>
      <w:kern w:val="0"/>
      <w:sz w:val="23"/>
      <w:szCs w:val="23"/>
      <w14:ligatures w14:val="none"/>
    </w:rPr>
  </w:style>
  <w:style w:type="paragraph" w:styleId="FootnoteText">
    <w:name w:val="footnote text"/>
    <w:basedOn w:val="Normal"/>
    <w:link w:val="FootnoteTextChar"/>
    <w:uiPriority w:val="99"/>
    <w:semiHidden/>
    <w:unhideWhenUsed/>
    <w:rsid w:val="00515580"/>
    <w:pPr>
      <w:ind w:left="0"/>
      <w:jc w:val="left"/>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515580"/>
    <w:rPr>
      <w:sz w:val="20"/>
      <w:szCs w:val="20"/>
    </w:rPr>
  </w:style>
  <w:style w:type="character" w:styleId="FootnoteReference">
    <w:name w:val="footnote reference"/>
    <w:basedOn w:val="DefaultParagraphFont"/>
    <w:uiPriority w:val="99"/>
    <w:semiHidden/>
    <w:unhideWhenUsed/>
    <w:rsid w:val="00515580"/>
    <w:rPr>
      <w:vertAlign w:val="superscript"/>
    </w:rPr>
  </w:style>
  <w:style w:type="paragraph" w:styleId="Revision">
    <w:name w:val="Revision"/>
    <w:hidden/>
    <w:uiPriority w:val="99"/>
    <w:semiHidden/>
    <w:rsid w:val="00B6416F"/>
    <w:pPr>
      <w:spacing w:after="0" w:line="240" w:lineRule="auto"/>
    </w:pPr>
    <w:rPr>
      <w:rFonts w:ascii="Tahoma" w:eastAsia="MS Mincho" w:hAnsi="Tahoma" w:cs="Tahoma"/>
      <w:kern w:val="0"/>
      <w:sz w:val="23"/>
      <w:szCs w:val="23"/>
      <w14:ligatures w14:val="none"/>
    </w:rPr>
  </w:style>
  <w:style w:type="character" w:styleId="CommentReference">
    <w:name w:val="annotation reference"/>
    <w:basedOn w:val="DefaultParagraphFont"/>
    <w:uiPriority w:val="99"/>
    <w:semiHidden/>
    <w:unhideWhenUsed/>
    <w:rsid w:val="00A65DBA"/>
    <w:rPr>
      <w:sz w:val="16"/>
      <w:szCs w:val="16"/>
    </w:rPr>
  </w:style>
  <w:style w:type="paragraph" w:styleId="CommentText">
    <w:name w:val="annotation text"/>
    <w:basedOn w:val="Normal"/>
    <w:link w:val="CommentTextChar"/>
    <w:uiPriority w:val="99"/>
    <w:semiHidden/>
    <w:unhideWhenUsed/>
    <w:rsid w:val="00A65DBA"/>
    <w:rPr>
      <w:sz w:val="20"/>
      <w:szCs w:val="20"/>
    </w:rPr>
  </w:style>
  <w:style w:type="character" w:customStyle="1" w:styleId="CommentTextChar">
    <w:name w:val="Comment Text Char"/>
    <w:basedOn w:val="DefaultParagraphFont"/>
    <w:link w:val="CommentText"/>
    <w:uiPriority w:val="99"/>
    <w:semiHidden/>
    <w:rsid w:val="00A65DBA"/>
    <w:rPr>
      <w:rFonts w:ascii="Tahoma" w:eastAsia="MS Mincho" w:hAnsi="Tahoma" w:cs="Tahom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65DBA"/>
    <w:rPr>
      <w:b/>
      <w:bCs/>
    </w:rPr>
  </w:style>
  <w:style w:type="character" w:customStyle="1" w:styleId="CommentSubjectChar">
    <w:name w:val="Comment Subject Char"/>
    <w:basedOn w:val="CommentTextChar"/>
    <w:link w:val="CommentSubject"/>
    <w:uiPriority w:val="99"/>
    <w:semiHidden/>
    <w:rsid w:val="00A65DBA"/>
    <w:rPr>
      <w:rFonts w:ascii="Tahoma" w:eastAsia="MS Mincho" w:hAnsi="Tahoma" w:cs="Tahom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C27A-D47C-4B82-B6FB-8D707010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3</cp:revision>
  <cp:lastPrinted>2023-11-02T10:04:00Z</cp:lastPrinted>
  <dcterms:created xsi:type="dcterms:W3CDTF">2023-11-02T10:04:00Z</dcterms:created>
  <dcterms:modified xsi:type="dcterms:W3CDTF">2023-11-03T09:22:00Z</dcterms:modified>
</cp:coreProperties>
</file>