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0E687" w14:textId="77777777" w:rsidR="007C3FC7" w:rsidRPr="002C492B" w:rsidRDefault="007C3FC7" w:rsidP="007C3FC7">
      <w:pPr>
        <w:spacing w:line="360" w:lineRule="auto"/>
        <w:jc w:val="center"/>
        <w:rPr>
          <w:rFonts w:ascii="Arial" w:hAnsi="Arial" w:cs="Arial"/>
        </w:rPr>
      </w:pPr>
      <w:bookmarkStart w:id="0" w:name="_GoBack"/>
      <w:bookmarkEnd w:id="0"/>
      <w:r w:rsidRPr="002C492B">
        <w:rPr>
          <w:rFonts w:ascii="Arial" w:hAnsi="Arial" w:cs="Arial"/>
          <w:noProof/>
          <w:lang w:eastAsia="en-ZA"/>
        </w:rPr>
        <w:drawing>
          <wp:inline distT="0" distB="0" distL="0" distR="0" wp14:anchorId="39090481" wp14:editId="29FE93F1">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14:paraId="09189506" w14:textId="77777777" w:rsidR="007C3FC7" w:rsidRPr="002C492B" w:rsidRDefault="007C3FC7" w:rsidP="007C3FC7">
      <w:pPr>
        <w:jc w:val="center"/>
        <w:rPr>
          <w:rFonts w:ascii="Arial" w:hAnsi="Arial" w:cs="Arial"/>
          <w:b/>
        </w:rPr>
      </w:pPr>
      <w:r w:rsidRPr="002C492B">
        <w:rPr>
          <w:rFonts w:ascii="Arial" w:hAnsi="Arial" w:cs="Arial"/>
          <w:b/>
        </w:rPr>
        <w:t>IN THE SPECIAL TRIBUNAL ESTABLISHED IN TERMS OF SECTION 2 (1) OF THE SPECIAL INVESTIGATING UNIT AND</w:t>
      </w:r>
    </w:p>
    <w:p w14:paraId="0F19C1B4" w14:textId="77777777" w:rsidR="007C3FC7" w:rsidRPr="002C492B" w:rsidRDefault="007C3FC7" w:rsidP="007C3FC7">
      <w:pPr>
        <w:jc w:val="center"/>
        <w:rPr>
          <w:rFonts w:ascii="Arial" w:hAnsi="Arial" w:cs="Arial"/>
          <w:b/>
        </w:rPr>
      </w:pPr>
      <w:r w:rsidRPr="002C492B">
        <w:rPr>
          <w:rFonts w:ascii="Arial" w:hAnsi="Arial" w:cs="Arial"/>
          <w:b/>
        </w:rPr>
        <w:t>SPECIAL TRIBUNALS ACT 74 OF 1996</w:t>
      </w:r>
    </w:p>
    <w:p w14:paraId="6A28C48B" w14:textId="77777777" w:rsidR="007C3FC7" w:rsidRPr="002C492B" w:rsidRDefault="007C3FC7" w:rsidP="007C3FC7">
      <w:pPr>
        <w:jc w:val="center"/>
        <w:rPr>
          <w:rFonts w:ascii="Arial" w:hAnsi="Arial" w:cs="Arial"/>
        </w:rPr>
      </w:pPr>
      <w:r w:rsidRPr="002C492B">
        <w:rPr>
          <w:rFonts w:ascii="Arial" w:hAnsi="Arial" w:cs="Arial"/>
          <w:b/>
        </w:rPr>
        <w:t>(REPUBLIC OF SOUTH AFRICA)</w:t>
      </w:r>
    </w:p>
    <w:p w14:paraId="53D6A038" w14:textId="77777777" w:rsidR="003E0813" w:rsidRPr="00E85D18" w:rsidRDefault="003E0813" w:rsidP="003E0813">
      <w:pPr>
        <w:rPr>
          <w:rFonts w:ascii="Arial" w:hAnsi="Arial" w:cs="Arial"/>
        </w:rPr>
      </w:pPr>
    </w:p>
    <w:p w14:paraId="6BCD6AD8" w14:textId="77777777" w:rsidR="003E0813" w:rsidRPr="00E85D18" w:rsidRDefault="003E0813" w:rsidP="003E0813">
      <w:pPr>
        <w:pStyle w:val="WWBodyText"/>
        <w:spacing w:line="240" w:lineRule="auto"/>
        <w:jc w:val="right"/>
        <w:rPr>
          <w:rFonts w:cs="Arial"/>
        </w:rPr>
      </w:pPr>
      <w:r w:rsidRPr="00E85D18">
        <w:rPr>
          <w:rFonts w:cs="Arial"/>
          <w:b/>
        </w:rPr>
        <w:t xml:space="preserve">        CASE NO</w:t>
      </w:r>
      <w:r w:rsidRPr="00E85D18">
        <w:rPr>
          <w:rFonts w:cs="Arial"/>
          <w:b/>
          <w:bCs/>
        </w:rPr>
        <w:t>:   GP06/2022</w:t>
      </w:r>
    </w:p>
    <w:p w14:paraId="4288CCE4" w14:textId="77777777" w:rsidR="003E0813" w:rsidRPr="00E85D18" w:rsidRDefault="003E0813" w:rsidP="003E0813">
      <w:pPr>
        <w:pStyle w:val="WWBodyText"/>
        <w:spacing w:line="240" w:lineRule="auto"/>
        <w:ind w:left="142"/>
        <w:rPr>
          <w:rFonts w:cs="Arial"/>
        </w:rPr>
      </w:pPr>
      <w:r w:rsidRPr="00E85D18">
        <w:rPr>
          <w:rFonts w:cs="Arial"/>
        </w:rPr>
        <w:t>In the matter between:</w:t>
      </w:r>
    </w:p>
    <w:tbl>
      <w:tblPr>
        <w:tblW w:w="9072" w:type="dxa"/>
        <w:tblLayout w:type="fixed"/>
        <w:tblLook w:val="04A0" w:firstRow="1" w:lastRow="0" w:firstColumn="1" w:lastColumn="0" w:noHBand="0" w:noVBand="1"/>
      </w:tblPr>
      <w:tblGrid>
        <w:gridCol w:w="5670"/>
        <w:gridCol w:w="3402"/>
      </w:tblGrid>
      <w:tr w:rsidR="003E0813" w:rsidRPr="00E85D18" w14:paraId="57B7B352" w14:textId="77777777" w:rsidTr="00F822A1">
        <w:trPr>
          <w:trHeight w:val="283"/>
        </w:trPr>
        <w:tc>
          <w:tcPr>
            <w:tcW w:w="5670" w:type="dxa"/>
            <w:shd w:val="clear" w:color="auto" w:fill="auto"/>
          </w:tcPr>
          <w:p w14:paraId="15291A60" w14:textId="77777777" w:rsidR="003E0813" w:rsidRPr="00E85D18" w:rsidRDefault="003E0813" w:rsidP="00F822A1">
            <w:pPr>
              <w:tabs>
                <w:tab w:val="right" w:pos="8505"/>
              </w:tabs>
              <w:rPr>
                <w:rFonts w:ascii="Arial" w:hAnsi="Arial" w:cs="Arial"/>
                <w:b/>
              </w:rPr>
            </w:pPr>
            <w:r w:rsidRPr="00E85D18">
              <w:rPr>
                <w:rFonts w:ascii="Arial" w:hAnsi="Arial" w:cs="Arial"/>
                <w:b/>
              </w:rPr>
              <w:t>SPECIAL INVESTIGATING UNIT</w:t>
            </w:r>
          </w:p>
        </w:tc>
        <w:tc>
          <w:tcPr>
            <w:tcW w:w="3402" w:type="dxa"/>
            <w:shd w:val="clear" w:color="auto" w:fill="auto"/>
          </w:tcPr>
          <w:p w14:paraId="64E59CA8" w14:textId="77777777" w:rsidR="003E0813" w:rsidRPr="00E85D18" w:rsidRDefault="003E0813" w:rsidP="00F822A1">
            <w:pPr>
              <w:tabs>
                <w:tab w:val="right" w:pos="8505"/>
              </w:tabs>
              <w:jc w:val="right"/>
              <w:rPr>
                <w:rFonts w:ascii="Arial" w:hAnsi="Arial" w:cs="Arial"/>
              </w:rPr>
            </w:pPr>
            <w:r w:rsidRPr="00E85D18">
              <w:rPr>
                <w:rFonts w:ascii="Arial" w:hAnsi="Arial" w:cs="Arial"/>
              </w:rPr>
              <w:t>First Applicant</w:t>
            </w:r>
          </w:p>
        </w:tc>
      </w:tr>
      <w:tr w:rsidR="003E0813" w:rsidRPr="00E85D18" w14:paraId="0618D32D" w14:textId="77777777" w:rsidTr="00F822A1">
        <w:trPr>
          <w:trHeight w:val="283"/>
        </w:trPr>
        <w:tc>
          <w:tcPr>
            <w:tcW w:w="5670" w:type="dxa"/>
            <w:shd w:val="clear" w:color="auto" w:fill="auto"/>
          </w:tcPr>
          <w:p w14:paraId="3D6725E8" w14:textId="77777777" w:rsidR="003E0813" w:rsidRPr="00E85D18" w:rsidRDefault="003E0813" w:rsidP="00F822A1">
            <w:pPr>
              <w:tabs>
                <w:tab w:val="right" w:pos="8505"/>
              </w:tabs>
              <w:rPr>
                <w:rFonts w:ascii="Arial" w:hAnsi="Arial" w:cs="Arial"/>
                <w:b/>
              </w:rPr>
            </w:pPr>
          </w:p>
        </w:tc>
        <w:tc>
          <w:tcPr>
            <w:tcW w:w="3402" w:type="dxa"/>
            <w:shd w:val="clear" w:color="auto" w:fill="auto"/>
          </w:tcPr>
          <w:p w14:paraId="39261C4F" w14:textId="77777777" w:rsidR="003E0813" w:rsidRPr="00E85D18" w:rsidRDefault="003E0813" w:rsidP="00F822A1">
            <w:pPr>
              <w:tabs>
                <w:tab w:val="right" w:pos="8505"/>
              </w:tabs>
              <w:jc w:val="right"/>
              <w:rPr>
                <w:rFonts w:ascii="Arial" w:hAnsi="Arial" w:cs="Arial"/>
              </w:rPr>
            </w:pPr>
          </w:p>
        </w:tc>
      </w:tr>
      <w:tr w:rsidR="003E0813" w:rsidRPr="00E85D18" w14:paraId="027030F4" w14:textId="77777777" w:rsidTr="00F822A1">
        <w:trPr>
          <w:trHeight w:val="283"/>
        </w:trPr>
        <w:tc>
          <w:tcPr>
            <w:tcW w:w="5670" w:type="dxa"/>
            <w:shd w:val="clear" w:color="auto" w:fill="auto"/>
          </w:tcPr>
          <w:p w14:paraId="016A1BF9" w14:textId="77777777" w:rsidR="003E0813" w:rsidRPr="00E85D18" w:rsidRDefault="003E0813" w:rsidP="00F822A1">
            <w:pPr>
              <w:tabs>
                <w:tab w:val="right" w:pos="8505"/>
              </w:tabs>
              <w:rPr>
                <w:rFonts w:ascii="Arial" w:hAnsi="Arial" w:cs="Arial"/>
                <w:b/>
              </w:rPr>
            </w:pPr>
            <w:r w:rsidRPr="00E85D18">
              <w:rPr>
                <w:rFonts w:ascii="Arial" w:hAnsi="Arial" w:cs="Arial"/>
                <w:b/>
              </w:rPr>
              <w:t>TRANSNET SOC LTD</w:t>
            </w:r>
          </w:p>
        </w:tc>
        <w:tc>
          <w:tcPr>
            <w:tcW w:w="3402" w:type="dxa"/>
            <w:shd w:val="clear" w:color="auto" w:fill="auto"/>
          </w:tcPr>
          <w:p w14:paraId="5EBFE2E4" w14:textId="77777777" w:rsidR="003E0813" w:rsidRPr="00E85D18" w:rsidRDefault="003E0813" w:rsidP="00F822A1">
            <w:pPr>
              <w:tabs>
                <w:tab w:val="right" w:pos="8505"/>
              </w:tabs>
              <w:jc w:val="right"/>
              <w:rPr>
                <w:rFonts w:ascii="Arial" w:hAnsi="Arial" w:cs="Arial"/>
              </w:rPr>
            </w:pPr>
            <w:r w:rsidRPr="00E85D18">
              <w:rPr>
                <w:rFonts w:ascii="Arial" w:hAnsi="Arial" w:cs="Arial"/>
              </w:rPr>
              <w:t>Second Applicant</w:t>
            </w:r>
          </w:p>
        </w:tc>
      </w:tr>
    </w:tbl>
    <w:p w14:paraId="2512C3B4" w14:textId="77777777" w:rsidR="003E0813" w:rsidRPr="00E85D18" w:rsidRDefault="003E0813" w:rsidP="003E0813">
      <w:pPr>
        <w:pStyle w:val="WWBodyText"/>
        <w:spacing w:before="360" w:line="240" w:lineRule="auto"/>
        <w:ind w:left="142"/>
        <w:rPr>
          <w:rFonts w:cs="Arial"/>
        </w:rPr>
      </w:pPr>
      <w:r w:rsidRPr="00E85D18">
        <w:rPr>
          <w:rFonts w:cs="Arial"/>
        </w:rPr>
        <w:t>and</w:t>
      </w:r>
    </w:p>
    <w:tbl>
      <w:tblPr>
        <w:tblW w:w="9072" w:type="dxa"/>
        <w:tblLayout w:type="fixed"/>
        <w:tblLook w:val="04A0" w:firstRow="1" w:lastRow="0" w:firstColumn="1" w:lastColumn="0" w:noHBand="0" w:noVBand="1"/>
      </w:tblPr>
      <w:tblGrid>
        <w:gridCol w:w="5812"/>
        <w:gridCol w:w="3260"/>
      </w:tblGrid>
      <w:tr w:rsidR="003E0813" w:rsidRPr="00E85D18" w14:paraId="3A6FD2A9" w14:textId="77777777" w:rsidTr="00F822A1">
        <w:tc>
          <w:tcPr>
            <w:tcW w:w="5812" w:type="dxa"/>
            <w:shd w:val="clear" w:color="auto" w:fill="auto"/>
          </w:tcPr>
          <w:p w14:paraId="5BEA99AC" w14:textId="77777777" w:rsidR="003E0813" w:rsidRPr="00E85D18" w:rsidRDefault="003E0813" w:rsidP="00F822A1">
            <w:pPr>
              <w:tabs>
                <w:tab w:val="right" w:pos="8505"/>
              </w:tabs>
              <w:rPr>
                <w:rFonts w:ascii="Arial" w:hAnsi="Arial" w:cs="Arial"/>
                <w:b/>
              </w:rPr>
            </w:pPr>
            <w:r w:rsidRPr="00E85D18">
              <w:rPr>
                <w:rFonts w:ascii="Arial" w:hAnsi="Arial" w:cs="Arial"/>
                <w:b/>
              </w:rPr>
              <w:t xml:space="preserve">SUPERFECTA TRADING 209 (PTY) LTD </w:t>
            </w:r>
          </w:p>
        </w:tc>
        <w:tc>
          <w:tcPr>
            <w:tcW w:w="3260" w:type="dxa"/>
            <w:shd w:val="clear" w:color="auto" w:fill="auto"/>
          </w:tcPr>
          <w:p w14:paraId="52163EB0"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First Respondent</w:t>
            </w:r>
          </w:p>
        </w:tc>
      </w:tr>
      <w:tr w:rsidR="003E0813" w:rsidRPr="00E85D18" w14:paraId="566FD205" w14:textId="77777777" w:rsidTr="00F822A1">
        <w:tc>
          <w:tcPr>
            <w:tcW w:w="5812" w:type="dxa"/>
            <w:shd w:val="clear" w:color="auto" w:fill="auto"/>
          </w:tcPr>
          <w:p w14:paraId="6EF1665F" w14:textId="77777777" w:rsidR="003E0813" w:rsidRPr="00E85D18" w:rsidRDefault="003E0813" w:rsidP="00F822A1">
            <w:pPr>
              <w:tabs>
                <w:tab w:val="right" w:pos="8505"/>
              </w:tabs>
              <w:rPr>
                <w:rFonts w:ascii="Arial" w:hAnsi="Arial" w:cs="Arial"/>
                <w:b/>
              </w:rPr>
            </w:pPr>
            <w:r w:rsidRPr="00E85D18">
              <w:rPr>
                <w:rFonts w:ascii="Arial" w:hAnsi="Arial" w:cs="Arial"/>
                <w:b/>
              </w:rPr>
              <w:t>BBDM BROS ADVERTISING AGENCY (PTY) LTD</w:t>
            </w:r>
          </w:p>
          <w:p w14:paraId="3DF14791" w14:textId="77777777" w:rsidR="003E0813" w:rsidRPr="00E85D18" w:rsidRDefault="003E0813" w:rsidP="00F822A1">
            <w:pPr>
              <w:tabs>
                <w:tab w:val="right" w:pos="8505"/>
              </w:tabs>
              <w:rPr>
                <w:rFonts w:ascii="Arial" w:hAnsi="Arial" w:cs="Arial"/>
                <w:b/>
              </w:rPr>
            </w:pPr>
          </w:p>
        </w:tc>
        <w:tc>
          <w:tcPr>
            <w:tcW w:w="3260" w:type="dxa"/>
            <w:shd w:val="clear" w:color="auto" w:fill="auto"/>
          </w:tcPr>
          <w:p w14:paraId="6C5365A8"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Second Respondent</w:t>
            </w:r>
          </w:p>
        </w:tc>
      </w:tr>
      <w:tr w:rsidR="003E0813" w:rsidRPr="00E85D18" w14:paraId="4DD861B8" w14:textId="77777777" w:rsidTr="00F822A1">
        <w:tc>
          <w:tcPr>
            <w:tcW w:w="5812" w:type="dxa"/>
            <w:shd w:val="clear" w:color="auto" w:fill="auto"/>
          </w:tcPr>
          <w:p w14:paraId="1AD8EA8D" w14:textId="77777777" w:rsidR="003E0813" w:rsidRPr="00E85D18" w:rsidRDefault="003E0813" w:rsidP="00F822A1">
            <w:pPr>
              <w:tabs>
                <w:tab w:val="right" w:pos="8505"/>
              </w:tabs>
              <w:rPr>
                <w:rFonts w:ascii="Arial" w:hAnsi="Arial" w:cs="Arial"/>
                <w:b/>
              </w:rPr>
            </w:pPr>
            <w:r w:rsidRPr="00E85D18">
              <w:rPr>
                <w:rFonts w:ascii="Arial" w:hAnsi="Arial" w:cs="Arial"/>
                <w:b/>
              </w:rPr>
              <w:t>ZAKHELE EZEKIEL ‘THABO’ LEBELO</w:t>
            </w:r>
          </w:p>
        </w:tc>
        <w:tc>
          <w:tcPr>
            <w:tcW w:w="3260" w:type="dxa"/>
            <w:shd w:val="clear" w:color="auto" w:fill="auto"/>
          </w:tcPr>
          <w:p w14:paraId="0EAAE9CF"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 xml:space="preserve"> Third Respondent</w:t>
            </w:r>
          </w:p>
        </w:tc>
      </w:tr>
      <w:tr w:rsidR="003E0813" w:rsidRPr="00E85D18" w14:paraId="3355A354" w14:textId="77777777" w:rsidTr="00F822A1">
        <w:tc>
          <w:tcPr>
            <w:tcW w:w="5812" w:type="dxa"/>
            <w:shd w:val="clear" w:color="auto" w:fill="auto"/>
          </w:tcPr>
          <w:p w14:paraId="0129C08A" w14:textId="77777777" w:rsidR="003E0813" w:rsidRPr="00E85D18" w:rsidRDefault="003E0813" w:rsidP="00F822A1">
            <w:pPr>
              <w:tabs>
                <w:tab w:val="right" w:pos="8505"/>
              </w:tabs>
              <w:spacing w:line="360" w:lineRule="auto"/>
              <w:rPr>
                <w:rFonts w:ascii="Arial" w:hAnsi="Arial" w:cs="Arial"/>
                <w:b/>
              </w:rPr>
            </w:pPr>
            <w:r w:rsidRPr="00E85D18">
              <w:rPr>
                <w:rFonts w:ascii="Arial" w:hAnsi="Arial" w:cs="Arial"/>
                <w:b/>
              </w:rPr>
              <w:t>ZAKHELE EZEKIEL LEBELO N.O.</w:t>
            </w:r>
          </w:p>
          <w:p w14:paraId="39CC28CD" w14:textId="77777777" w:rsidR="003E0813" w:rsidRPr="00E85D18" w:rsidRDefault="003E0813" w:rsidP="00F822A1">
            <w:pPr>
              <w:tabs>
                <w:tab w:val="right" w:pos="9356"/>
              </w:tabs>
              <w:spacing w:line="276" w:lineRule="auto"/>
              <w:rPr>
                <w:rFonts w:ascii="Arial" w:hAnsi="Arial" w:cs="Arial"/>
              </w:rPr>
            </w:pPr>
            <w:r w:rsidRPr="00E85D18">
              <w:rPr>
                <w:rFonts w:ascii="Arial" w:hAnsi="Arial" w:cs="Arial"/>
              </w:rPr>
              <w:t xml:space="preserve">In his representative capacity as a Trustee of the Thabo Lebelo Family Trust </w:t>
            </w:r>
          </w:p>
          <w:p w14:paraId="684622ED" w14:textId="77777777" w:rsidR="003E0813" w:rsidRPr="00E85D18" w:rsidRDefault="003E0813" w:rsidP="00F822A1">
            <w:pPr>
              <w:tabs>
                <w:tab w:val="right" w:pos="8505"/>
              </w:tabs>
              <w:rPr>
                <w:rFonts w:ascii="Arial" w:hAnsi="Arial" w:cs="Arial"/>
                <w:b/>
              </w:rPr>
            </w:pPr>
          </w:p>
        </w:tc>
        <w:tc>
          <w:tcPr>
            <w:tcW w:w="3260" w:type="dxa"/>
            <w:shd w:val="clear" w:color="auto" w:fill="auto"/>
          </w:tcPr>
          <w:p w14:paraId="65B6DD53"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Fourth Respondent</w:t>
            </w:r>
          </w:p>
        </w:tc>
      </w:tr>
      <w:tr w:rsidR="003E0813" w:rsidRPr="00E85D18" w14:paraId="3786F5A6" w14:textId="77777777" w:rsidTr="00F822A1">
        <w:tc>
          <w:tcPr>
            <w:tcW w:w="5812" w:type="dxa"/>
            <w:shd w:val="clear" w:color="auto" w:fill="auto"/>
          </w:tcPr>
          <w:p w14:paraId="77678FC0" w14:textId="77777777" w:rsidR="003E0813" w:rsidRPr="00E85D18" w:rsidRDefault="003E0813" w:rsidP="00F822A1">
            <w:pPr>
              <w:tabs>
                <w:tab w:val="right" w:pos="9356"/>
              </w:tabs>
              <w:spacing w:line="276" w:lineRule="auto"/>
              <w:rPr>
                <w:rFonts w:ascii="Arial" w:hAnsi="Arial" w:cs="Arial"/>
              </w:rPr>
            </w:pPr>
            <w:r w:rsidRPr="00E85D18">
              <w:rPr>
                <w:rFonts w:ascii="Arial" w:hAnsi="Arial" w:cs="Arial"/>
                <w:b/>
              </w:rPr>
              <w:t>ALETTA MOKGORO MABITSI N.O.</w:t>
            </w:r>
          </w:p>
          <w:p w14:paraId="5B02A877" w14:textId="77777777" w:rsidR="003E0813" w:rsidRPr="00E85D18" w:rsidRDefault="003E0813" w:rsidP="00F822A1">
            <w:pPr>
              <w:tabs>
                <w:tab w:val="right" w:pos="9356"/>
              </w:tabs>
              <w:rPr>
                <w:rFonts w:ascii="Arial" w:hAnsi="Arial" w:cs="Arial"/>
                <w:b/>
              </w:rPr>
            </w:pPr>
            <w:r w:rsidRPr="00E85D18">
              <w:rPr>
                <w:rFonts w:ascii="Arial" w:hAnsi="Arial" w:cs="Arial"/>
              </w:rPr>
              <w:t>In her representative capacity as a Trustee of the Thabo Lebelo Family Trust</w:t>
            </w:r>
          </w:p>
        </w:tc>
        <w:tc>
          <w:tcPr>
            <w:tcW w:w="3260" w:type="dxa"/>
            <w:shd w:val="clear" w:color="auto" w:fill="auto"/>
          </w:tcPr>
          <w:p w14:paraId="1005D6D8"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Fifth Respondent</w:t>
            </w:r>
          </w:p>
          <w:p w14:paraId="4B0FC860" w14:textId="77777777" w:rsidR="003E0813" w:rsidRPr="00E85D18" w:rsidRDefault="003E0813" w:rsidP="00F822A1">
            <w:pPr>
              <w:tabs>
                <w:tab w:val="right" w:pos="8505"/>
              </w:tabs>
              <w:spacing w:line="480" w:lineRule="auto"/>
              <w:jc w:val="right"/>
              <w:rPr>
                <w:rFonts w:ascii="Arial" w:hAnsi="Arial" w:cs="Arial"/>
              </w:rPr>
            </w:pPr>
          </w:p>
        </w:tc>
      </w:tr>
      <w:tr w:rsidR="003E0813" w:rsidRPr="00E85D18" w14:paraId="4EB27900" w14:textId="77777777" w:rsidTr="00F822A1">
        <w:tc>
          <w:tcPr>
            <w:tcW w:w="5812" w:type="dxa"/>
            <w:shd w:val="clear" w:color="auto" w:fill="auto"/>
          </w:tcPr>
          <w:p w14:paraId="4F8AB4ED" w14:textId="77777777" w:rsidR="003E0813" w:rsidRPr="00E85D18" w:rsidRDefault="003E0813" w:rsidP="00F822A1">
            <w:pPr>
              <w:spacing w:line="480" w:lineRule="auto"/>
              <w:rPr>
                <w:rFonts w:ascii="Arial" w:hAnsi="Arial" w:cs="Arial"/>
                <w:b/>
              </w:rPr>
            </w:pPr>
            <w:r w:rsidRPr="00E85D18">
              <w:rPr>
                <w:rFonts w:ascii="Arial" w:hAnsi="Arial" w:cs="Arial"/>
                <w:b/>
              </w:rPr>
              <w:t>PHATHUTSHEDZO BRIGHTON MASHAMBA</w:t>
            </w:r>
          </w:p>
        </w:tc>
        <w:tc>
          <w:tcPr>
            <w:tcW w:w="3260" w:type="dxa"/>
            <w:shd w:val="clear" w:color="auto" w:fill="auto"/>
          </w:tcPr>
          <w:p w14:paraId="174BB6DA" w14:textId="77777777" w:rsidR="003E0813" w:rsidRPr="00E85D18" w:rsidRDefault="003E0813" w:rsidP="00F822A1">
            <w:pPr>
              <w:tabs>
                <w:tab w:val="right" w:pos="8505"/>
              </w:tabs>
              <w:jc w:val="right"/>
              <w:rPr>
                <w:rFonts w:ascii="Arial" w:hAnsi="Arial" w:cs="Arial"/>
              </w:rPr>
            </w:pPr>
            <w:r w:rsidRPr="00E85D18">
              <w:rPr>
                <w:rFonts w:ascii="Arial" w:hAnsi="Arial" w:cs="Arial"/>
              </w:rPr>
              <w:t>Sixth Respondent</w:t>
            </w:r>
          </w:p>
        </w:tc>
      </w:tr>
      <w:tr w:rsidR="003E0813" w:rsidRPr="00E85D18" w14:paraId="0138B107" w14:textId="77777777" w:rsidTr="00F822A1">
        <w:tc>
          <w:tcPr>
            <w:tcW w:w="5812" w:type="dxa"/>
            <w:shd w:val="clear" w:color="auto" w:fill="auto"/>
          </w:tcPr>
          <w:p w14:paraId="2FD8CA7F" w14:textId="77777777" w:rsidR="003E0813" w:rsidRPr="00E85D18" w:rsidRDefault="003E0813" w:rsidP="00F822A1">
            <w:pPr>
              <w:spacing w:line="480" w:lineRule="auto"/>
              <w:ind w:left="31"/>
              <w:rPr>
                <w:rFonts w:ascii="Arial" w:hAnsi="Arial" w:cs="Arial"/>
                <w:b/>
              </w:rPr>
            </w:pPr>
            <w:r w:rsidRPr="00E85D18">
              <w:rPr>
                <w:rFonts w:ascii="Arial" w:hAnsi="Arial" w:cs="Arial"/>
                <w:b/>
              </w:rPr>
              <w:t>MATLHODI PHILLICIA MASHAMBA</w:t>
            </w:r>
          </w:p>
        </w:tc>
        <w:tc>
          <w:tcPr>
            <w:tcW w:w="3260" w:type="dxa"/>
            <w:shd w:val="clear" w:color="auto" w:fill="auto"/>
          </w:tcPr>
          <w:p w14:paraId="2ADD2748"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Seventh Respondent</w:t>
            </w:r>
          </w:p>
        </w:tc>
      </w:tr>
      <w:tr w:rsidR="003E0813" w:rsidRPr="00E85D18" w14:paraId="26F03917" w14:textId="77777777" w:rsidTr="00F822A1">
        <w:tc>
          <w:tcPr>
            <w:tcW w:w="5812" w:type="dxa"/>
            <w:shd w:val="clear" w:color="auto" w:fill="auto"/>
          </w:tcPr>
          <w:p w14:paraId="76EC1209" w14:textId="77777777" w:rsidR="003E0813" w:rsidRPr="00E85D18" w:rsidRDefault="003E0813" w:rsidP="00F822A1">
            <w:pPr>
              <w:ind w:left="31"/>
              <w:rPr>
                <w:rFonts w:ascii="Arial" w:hAnsi="Arial" w:cs="Arial"/>
                <w:b/>
              </w:rPr>
            </w:pPr>
            <w:r w:rsidRPr="00E85D18">
              <w:rPr>
                <w:rFonts w:ascii="Arial" w:hAnsi="Arial" w:cs="Arial"/>
                <w:b/>
              </w:rPr>
              <w:t xml:space="preserve">INDUSTRIAL DEVELOPMENT CORPORATION OF SOUTH AFRICA LIMITED </w:t>
            </w:r>
          </w:p>
        </w:tc>
        <w:tc>
          <w:tcPr>
            <w:tcW w:w="3260" w:type="dxa"/>
            <w:shd w:val="clear" w:color="auto" w:fill="auto"/>
          </w:tcPr>
          <w:p w14:paraId="597CE1D3" w14:textId="77777777" w:rsidR="003E0813" w:rsidRPr="00E85D18" w:rsidRDefault="003E0813" w:rsidP="00F822A1">
            <w:pPr>
              <w:tabs>
                <w:tab w:val="right" w:pos="8505"/>
              </w:tabs>
              <w:spacing w:line="480" w:lineRule="auto"/>
              <w:jc w:val="right"/>
              <w:rPr>
                <w:rFonts w:ascii="Arial" w:hAnsi="Arial" w:cs="Arial"/>
              </w:rPr>
            </w:pPr>
            <w:r w:rsidRPr="00E85D18">
              <w:rPr>
                <w:rFonts w:ascii="Arial" w:hAnsi="Arial" w:cs="Arial"/>
              </w:rPr>
              <w:t>Eighth Respondent</w:t>
            </w:r>
          </w:p>
        </w:tc>
      </w:tr>
      <w:tr w:rsidR="003E0813" w:rsidRPr="00E85D18" w14:paraId="12933D8B" w14:textId="77777777" w:rsidTr="00F822A1">
        <w:tc>
          <w:tcPr>
            <w:tcW w:w="5812" w:type="dxa"/>
            <w:shd w:val="clear" w:color="auto" w:fill="auto"/>
          </w:tcPr>
          <w:p w14:paraId="68CAEE3C" w14:textId="77777777" w:rsidR="003E0813" w:rsidRPr="00E85D18" w:rsidRDefault="003E0813" w:rsidP="00F822A1">
            <w:pPr>
              <w:rPr>
                <w:rFonts w:ascii="Arial" w:hAnsi="Arial" w:cs="Arial"/>
                <w:b/>
              </w:rPr>
            </w:pPr>
          </w:p>
          <w:p w14:paraId="4C226D8E" w14:textId="77777777" w:rsidR="003E0813" w:rsidRPr="00E85D18" w:rsidRDefault="003E0813" w:rsidP="00F822A1">
            <w:pPr>
              <w:rPr>
                <w:rFonts w:ascii="Arial" w:hAnsi="Arial" w:cs="Arial"/>
                <w:b/>
              </w:rPr>
            </w:pPr>
            <w:r w:rsidRPr="00E85D18">
              <w:rPr>
                <w:rFonts w:ascii="Arial" w:hAnsi="Arial" w:cs="Arial"/>
                <w:b/>
              </w:rPr>
              <w:t>TRANSNET RETIREMENT FUND</w:t>
            </w:r>
          </w:p>
          <w:p w14:paraId="5FD1C0CB" w14:textId="77777777" w:rsidR="003E0813" w:rsidRPr="00E85D18" w:rsidRDefault="003E0813" w:rsidP="00F822A1">
            <w:pPr>
              <w:rPr>
                <w:rFonts w:ascii="Arial" w:hAnsi="Arial" w:cs="Arial"/>
                <w:b/>
              </w:rPr>
            </w:pPr>
          </w:p>
          <w:p w14:paraId="0CDE0E48" w14:textId="77777777" w:rsidR="003E0813" w:rsidRPr="00E85D18" w:rsidRDefault="003E0813" w:rsidP="00F822A1">
            <w:pPr>
              <w:rPr>
                <w:rFonts w:ascii="Arial" w:hAnsi="Arial" w:cs="Arial"/>
                <w:b/>
              </w:rPr>
            </w:pPr>
            <w:r w:rsidRPr="00E85D18">
              <w:rPr>
                <w:rFonts w:ascii="Arial" w:hAnsi="Arial" w:cs="Arial"/>
                <w:b/>
              </w:rPr>
              <w:t>AVIWE NDYAMARA N.O.</w:t>
            </w:r>
          </w:p>
          <w:p w14:paraId="3DD68E2A" w14:textId="77777777" w:rsidR="003E0813" w:rsidRPr="00E85D18" w:rsidRDefault="003E0813" w:rsidP="00F822A1">
            <w:pPr>
              <w:rPr>
                <w:rFonts w:ascii="Arial" w:hAnsi="Arial" w:cs="Arial"/>
                <w:b/>
              </w:rPr>
            </w:pPr>
          </w:p>
          <w:p w14:paraId="6B18A8F6" w14:textId="77777777" w:rsidR="003E0813" w:rsidRPr="00E85D18" w:rsidRDefault="003E0813" w:rsidP="00F822A1">
            <w:pPr>
              <w:rPr>
                <w:rFonts w:ascii="Arial" w:hAnsi="Arial" w:cs="Arial"/>
                <w:b/>
              </w:rPr>
            </w:pPr>
            <w:r w:rsidRPr="00E85D18">
              <w:rPr>
                <w:rFonts w:ascii="Arial" w:hAnsi="Arial" w:cs="Arial"/>
                <w:b/>
              </w:rPr>
              <w:t>OFFICE OF THE DEEDS REGISTRAR, PRETORIA</w:t>
            </w:r>
          </w:p>
          <w:p w14:paraId="2C16DF0D" w14:textId="77777777" w:rsidR="003E0813" w:rsidRPr="00E85D18" w:rsidRDefault="003E0813" w:rsidP="00F822A1">
            <w:pPr>
              <w:rPr>
                <w:rFonts w:ascii="Arial" w:hAnsi="Arial" w:cs="Arial"/>
                <w:b/>
              </w:rPr>
            </w:pPr>
          </w:p>
          <w:p w14:paraId="0477CEF7" w14:textId="77777777" w:rsidR="003E0813" w:rsidRPr="00E85D18" w:rsidRDefault="003E0813" w:rsidP="00F822A1">
            <w:pPr>
              <w:rPr>
                <w:rFonts w:ascii="Arial" w:hAnsi="Arial" w:cs="Arial"/>
                <w:b/>
              </w:rPr>
            </w:pPr>
            <w:r w:rsidRPr="00E85D18">
              <w:rPr>
                <w:rFonts w:ascii="Arial" w:hAnsi="Arial" w:cs="Arial"/>
                <w:b/>
              </w:rPr>
              <w:t>STANDARD BANK OF SOUTH AFRICA LIMITED</w:t>
            </w:r>
          </w:p>
        </w:tc>
        <w:tc>
          <w:tcPr>
            <w:tcW w:w="3260" w:type="dxa"/>
            <w:shd w:val="clear" w:color="auto" w:fill="auto"/>
          </w:tcPr>
          <w:p w14:paraId="034B9A06" w14:textId="77777777" w:rsidR="003E0813" w:rsidRPr="00E85D18" w:rsidRDefault="003E0813" w:rsidP="00F822A1">
            <w:pPr>
              <w:tabs>
                <w:tab w:val="right" w:pos="8505"/>
              </w:tabs>
              <w:spacing w:before="240" w:line="480" w:lineRule="auto"/>
              <w:ind w:right="29"/>
              <w:jc w:val="right"/>
              <w:rPr>
                <w:rFonts w:ascii="Arial" w:hAnsi="Arial" w:cs="Arial"/>
              </w:rPr>
            </w:pPr>
            <w:r w:rsidRPr="00E85D18">
              <w:rPr>
                <w:rFonts w:ascii="Arial" w:hAnsi="Arial" w:cs="Arial"/>
              </w:rPr>
              <w:lastRenderedPageBreak/>
              <w:t>Ninth Respondent</w:t>
            </w:r>
          </w:p>
          <w:p w14:paraId="066085D1" w14:textId="77777777" w:rsidR="003E0813" w:rsidRPr="00E85D18" w:rsidRDefault="003E0813" w:rsidP="00F822A1">
            <w:pPr>
              <w:tabs>
                <w:tab w:val="right" w:pos="8505"/>
              </w:tabs>
              <w:jc w:val="right"/>
              <w:rPr>
                <w:rFonts w:ascii="Arial" w:hAnsi="Arial" w:cs="Arial"/>
              </w:rPr>
            </w:pPr>
            <w:r w:rsidRPr="00E85D18">
              <w:rPr>
                <w:rFonts w:ascii="Arial" w:hAnsi="Arial" w:cs="Arial"/>
              </w:rPr>
              <w:t>Tenth Respondent</w:t>
            </w:r>
          </w:p>
          <w:p w14:paraId="3FFA47CB" w14:textId="77777777" w:rsidR="003E0813" w:rsidRPr="00E85D18" w:rsidRDefault="003E0813" w:rsidP="00F822A1">
            <w:pPr>
              <w:tabs>
                <w:tab w:val="right" w:pos="8505"/>
              </w:tabs>
              <w:jc w:val="right"/>
              <w:rPr>
                <w:rFonts w:ascii="Arial" w:hAnsi="Arial" w:cs="Arial"/>
              </w:rPr>
            </w:pPr>
          </w:p>
          <w:p w14:paraId="7FA10F4C" w14:textId="77777777" w:rsidR="003E0813" w:rsidRPr="00E85D18" w:rsidRDefault="003E0813" w:rsidP="00F822A1">
            <w:pPr>
              <w:tabs>
                <w:tab w:val="right" w:pos="8505"/>
              </w:tabs>
              <w:jc w:val="right"/>
              <w:rPr>
                <w:rFonts w:ascii="Arial" w:hAnsi="Arial" w:cs="Arial"/>
              </w:rPr>
            </w:pPr>
            <w:r w:rsidRPr="00E85D18">
              <w:rPr>
                <w:rFonts w:ascii="Arial" w:hAnsi="Arial" w:cs="Arial"/>
              </w:rPr>
              <w:t>Eleventh Respondent</w:t>
            </w:r>
          </w:p>
          <w:p w14:paraId="60D4E259" w14:textId="77777777" w:rsidR="003E0813" w:rsidRPr="00E85D18" w:rsidRDefault="003E0813" w:rsidP="00F822A1">
            <w:pPr>
              <w:tabs>
                <w:tab w:val="right" w:pos="8505"/>
              </w:tabs>
              <w:jc w:val="right"/>
              <w:rPr>
                <w:rFonts w:ascii="Arial" w:hAnsi="Arial" w:cs="Arial"/>
              </w:rPr>
            </w:pPr>
          </w:p>
          <w:p w14:paraId="61FC6764" w14:textId="77777777" w:rsidR="003E0813" w:rsidRPr="00E85D18" w:rsidRDefault="003E0813" w:rsidP="00F822A1">
            <w:pPr>
              <w:tabs>
                <w:tab w:val="right" w:pos="8505"/>
              </w:tabs>
              <w:jc w:val="right"/>
              <w:rPr>
                <w:rFonts w:ascii="Arial" w:hAnsi="Arial" w:cs="Arial"/>
              </w:rPr>
            </w:pPr>
            <w:r w:rsidRPr="00E85D18">
              <w:rPr>
                <w:rFonts w:ascii="Arial" w:hAnsi="Arial" w:cs="Arial"/>
              </w:rPr>
              <w:t>Twelfth Respondent</w:t>
            </w:r>
          </w:p>
          <w:p w14:paraId="2B175939" w14:textId="77777777" w:rsidR="003E0813" w:rsidRPr="00E85D18" w:rsidRDefault="003E0813" w:rsidP="00F822A1">
            <w:pPr>
              <w:tabs>
                <w:tab w:val="right" w:pos="8505"/>
              </w:tabs>
              <w:jc w:val="right"/>
              <w:rPr>
                <w:rFonts w:ascii="Arial" w:hAnsi="Arial" w:cs="Arial"/>
              </w:rPr>
            </w:pPr>
          </w:p>
          <w:p w14:paraId="39C696C8" w14:textId="77777777" w:rsidR="003E0813" w:rsidRPr="00E85D18" w:rsidRDefault="003E0813" w:rsidP="00F822A1">
            <w:pPr>
              <w:tabs>
                <w:tab w:val="right" w:pos="8505"/>
              </w:tabs>
              <w:jc w:val="right"/>
              <w:rPr>
                <w:rFonts w:ascii="Arial" w:hAnsi="Arial" w:cs="Arial"/>
              </w:rPr>
            </w:pPr>
          </w:p>
        </w:tc>
      </w:tr>
    </w:tbl>
    <w:p w14:paraId="3C16DD40" w14:textId="68A95867" w:rsidR="003E0813" w:rsidRPr="00E85D18" w:rsidRDefault="003E0813" w:rsidP="003E0813">
      <w:pPr>
        <w:pStyle w:val="WWTramLines"/>
        <w:spacing w:after="240"/>
        <w:rPr>
          <w:rFonts w:cs="Arial"/>
        </w:rPr>
      </w:pPr>
      <w:r w:rsidRPr="00E85D18">
        <w:rPr>
          <w:rFonts w:cs="Arial"/>
        </w:rPr>
        <w:lastRenderedPageBreak/>
        <w:t xml:space="preserve">JUDGMENT </w:t>
      </w:r>
    </w:p>
    <w:p w14:paraId="230F907C" w14:textId="77777777" w:rsidR="007C3FC7" w:rsidRDefault="003E0813" w:rsidP="003E0813">
      <w:pPr>
        <w:pStyle w:val="WLGLevel1"/>
        <w:numPr>
          <w:ilvl w:val="0"/>
          <w:numId w:val="0"/>
        </w:numPr>
        <w:rPr>
          <w:rFonts w:cs="Arial"/>
          <w:szCs w:val="24"/>
        </w:rPr>
      </w:pPr>
      <w:r w:rsidRPr="002979C9">
        <w:rPr>
          <w:rFonts w:cs="Arial"/>
          <w:b/>
          <w:bCs/>
          <w:szCs w:val="24"/>
        </w:rPr>
        <w:t>Summary:</w:t>
      </w:r>
      <w:r w:rsidRPr="00E85D18">
        <w:rPr>
          <w:rFonts w:cs="Arial"/>
          <w:szCs w:val="24"/>
        </w:rPr>
        <w:t xml:space="preserve"> Civil procedure – application to amend the applicants’ notice of motion in terms of Tribunal Rule </w:t>
      </w:r>
      <w:r w:rsidR="00981BBA">
        <w:rPr>
          <w:rFonts w:cs="Arial"/>
          <w:szCs w:val="24"/>
        </w:rPr>
        <w:t xml:space="preserve">15 </w:t>
      </w:r>
      <w:r w:rsidR="002979C9">
        <w:rPr>
          <w:rFonts w:cs="Arial"/>
          <w:szCs w:val="24"/>
        </w:rPr>
        <w:t>– whether the requirements for an amendment are made.</w:t>
      </w:r>
    </w:p>
    <w:p w14:paraId="05ECE6F1" w14:textId="532797FA" w:rsidR="003E0813" w:rsidRPr="007C3FC7" w:rsidRDefault="007C3FC7" w:rsidP="003E0813">
      <w:pPr>
        <w:pStyle w:val="WLGLevel1"/>
        <w:numPr>
          <w:ilvl w:val="0"/>
          <w:numId w:val="0"/>
        </w:numPr>
        <w:rPr>
          <w:rFonts w:cs="Arial"/>
          <w:b/>
          <w:bCs/>
          <w:szCs w:val="24"/>
        </w:rPr>
      </w:pPr>
      <w:r w:rsidRPr="007C3FC7">
        <w:rPr>
          <w:rFonts w:cs="Arial"/>
          <w:b/>
          <w:bCs/>
          <w:szCs w:val="24"/>
        </w:rPr>
        <w:t xml:space="preserve">MODIBA J: </w:t>
      </w:r>
    </w:p>
    <w:p w14:paraId="793AD476" w14:textId="479BD59B" w:rsidR="003E0813" w:rsidRPr="00E85D18" w:rsidRDefault="003E0813" w:rsidP="003E0813">
      <w:pPr>
        <w:pStyle w:val="WLGLevel1"/>
        <w:numPr>
          <w:ilvl w:val="0"/>
          <w:numId w:val="0"/>
        </w:numPr>
        <w:rPr>
          <w:rFonts w:cs="Arial"/>
          <w:b/>
          <w:szCs w:val="24"/>
        </w:rPr>
      </w:pPr>
      <w:r w:rsidRPr="00E85D18">
        <w:rPr>
          <w:rFonts w:cs="Arial"/>
          <w:b/>
          <w:szCs w:val="24"/>
        </w:rPr>
        <w:t>INTRODUCTION</w:t>
      </w:r>
    </w:p>
    <w:p w14:paraId="49E7272F" w14:textId="791B7703" w:rsidR="003E0813" w:rsidRPr="00E85D18" w:rsidRDefault="002979C9" w:rsidP="003E0813">
      <w:pPr>
        <w:pStyle w:val="WLGLevel1"/>
        <w:numPr>
          <w:ilvl w:val="0"/>
          <w:numId w:val="0"/>
        </w:numPr>
        <w:ind w:left="567" w:hanging="567"/>
        <w:rPr>
          <w:rFonts w:cs="Arial"/>
          <w:szCs w:val="24"/>
        </w:rPr>
      </w:pPr>
      <w:r>
        <w:rPr>
          <w:rFonts w:cs="Arial"/>
          <w:szCs w:val="24"/>
        </w:rPr>
        <w:t>[</w:t>
      </w:r>
      <w:r w:rsidR="003E0813" w:rsidRPr="00E85D18">
        <w:rPr>
          <w:rFonts w:cs="Arial"/>
          <w:szCs w:val="24"/>
        </w:rPr>
        <w:t>1]</w:t>
      </w:r>
      <w:r w:rsidR="003E0813" w:rsidRPr="00E85D18">
        <w:rPr>
          <w:rFonts w:cs="Arial"/>
          <w:szCs w:val="24"/>
        </w:rPr>
        <w:tab/>
        <w:t>The Special Investigati</w:t>
      </w:r>
      <w:r w:rsidR="00981BBA">
        <w:rPr>
          <w:rFonts w:cs="Arial"/>
          <w:szCs w:val="24"/>
        </w:rPr>
        <w:t>ng</w:t>
      </w:r>
      <w:r w:rsidR="003E0813" w:rsidRPr="00E85D18">
        <w:rPr>
          <w:rFonts w:cs="Arial"/>
          <w:szCs w:val="24"/>
        </w:rPr>
        <w:t xml:space="preserve"> Unit (SIU) and Transnet SOC Limited (Transnet) as applicants seek to amend prayers 5, 6.1 and 6.2 in their notice of motion in the main application to increase the amounts of money they claim from the third respondent (Mr Lebelo) and the sixth respondent (Mr Mashamba). </w:t>
      </w:r>
    </w:p>
    <w:p w14:paraId="02DF2B0C" w14:textId="77777777" w:rsidR="00020574" w:rsidRPr="00E85D18" w:rsidRDefault="003E0813" w:rsidP="003E0813">
      <w:pPr>
        <w:pStyle w:val="WLGLevel1"/>
        <w:numPr>
          <w:ilvl w:val="0"/>
          <w:numId w:val="0"/>
        </w:numPr>
        <w:suppressAutoHyphens w:val="0"/>
        <w:ind w:left="720" w:hanging="720"/>
        <w:rPr>
          <w:rFonts w:cs="Arial"/>
          <w:szCs w:val="24"/>
        </w:rPr>
      </w:pPr>
      <w:r w:rsidRPr="00E85D18">
        <w:rPr>
          <w:rFonts w:cs="Arial"/>
          <w:szCs w:val="24"/>
        </w:rPr>
        <w:t>[2]</w:t>
      </w:r>
      <w:r w:rsidRPr="00E85D18">
        <w:rPr>
          <w:rFonts w:cs="Arial"/>
          <w:szCs w:val="24"/>
        </w:rPr>
        <w:tab/>
      </w:r>
      <w:r w:rsidR="00020574" w:rsidRPr="00E85D18">
        <w:rPr>
          <w:rFonts w:cs="Arial"/>
          <w:szCs w:val="24"/>
        </w:rPr>
        <w:t>T</w:t>
      </w:r>
      <w:r w:rsidRPr="00E85D18">
        <w:rPr>
          <w:rFonts w:cs="Arial"/>
          <w:szCs w:val="24"/>
        </w:rPr>
        <w:t>he</w:t>
      </w:r>
      <w:r w:rsidR="00020574" w:rsidRPr="00E85D18">
        <w:rPr>
          <w:rFonts w:cs="Arial"/>
          <w:szCs w:val="24"/>
        </w:rPr>
        <w:t xml:space="preserve"> particulars of the amendments sought are as follows:</w:t>
      </w:r>
    </w:p>
    <w:p w14:paraId="25163636" w14:textId="15FF33C5" w:rsidR="003E0813" w:rsidRPr="00E85D18" w:rsidRDefault="00020574" w:rsidP="003E0813">
      <w:pPr>
        <w:pStyle w:val="WLGLevel1"/>
        <w:numPr>
          <w:ilvl w:val="0"/>
          <w:numId w:val="0"/>
        </w:numPr>
        <w:suppressAutoHyphens w:val="0"/>
        <w:ind w:left="720" w:hanging="720"/>
        <w:rPr>
          <w:rFonts w:cs="Arial"/>
          <w:szCs w:val="24"/>
        </w:rPr>
      </w:pPr>
      <w:r w:rsidRPr="00E85D18">
        <w:rPr>
          <w:rFonts w:cs="Arial"/>
          <w:szCs w:val="24"/>
        </w:rPr>
        <w:t>2.1</w:t>
      </w:r>
      <w:r w:rsidRPr="00E85D18">
        <w:rPr>
          <w:rFonts w:cs="Arial"/>
          <w:szCs w:val="24"/>
        </w:rPr>
        <w:tab/>
        <w:t xml:space="preserve">In prayer 5, the applicants sought </w:t>
      </w:r>
      <w:r w:rsidR="003E0813" w:rsidRPr="00E85D18">
        <w:rPr>
          <w:rFonts w:cs="Arial"/>
          <w:szCs w:val="24"/>
        </w:rPr>
        <w:t xml:space="preserve">an order in terms of which Mr Lebelo is directed to pay to Transnet an amount of R5 182 767.73 as the bribe, </w:t>
      </w:r>
      <w:r w:rsidRPr="00E85D18">
        <w:rPr>
          <w:rFonts w:cs="Arial"/>
          <w:szCs w:val="24"/>
        </w:rPr>
        <w:t>gratification,</w:t>
      </w:r>
      <w:r w:rsidR="003E0813" w:rsidRPr="00E85D18">
        <w:rPr>
          <w:rFonts w:cs="Arial"/>
          <w:szCs w:val="24"/>
        </w:rPr>
        <w:t xml:space="preserve"> and secret profits he unlawfully received, while employed at Transnet. They seek this payer amended to include an order in terms of which Mr Lebelo is directed to pay a further amount of R100,000.00 as the bribe, </w:t>
      </w:r>
      <w:r w:rsidRPr="00E85D18">
        <w:rPr>
          <w:rFonts w:cs="Arial"/>
          <w:szCs w:val="24"/>
        </w:rPr>
        <w:t>gratification,</w:t>
      </w:r>
      <w:r w:rsidR="003E0813" w:rsidRPr="00E85D18">
        <w:rPr>
          <w:rFonts w:cs="Arial"/>
          <w:szCs w:val="24"/>
        </w:rPr>
        <w:t xml:space="preserve"> and secret profits he unlawfully received following his resignation from Transnet, for his role in the Superfecta contracts with Transnet.</w:t>
      </w:r>
    </w:p>
    <w:p w14:paraId="064B07F3" w14:textId="137B5060" w:rsidR="00020574" w:rsidRPr="00E85D18" w:rsidRDefault="00020574" w:rsidP="003E0813">
      <w:pPr>
        <w:pStyle w:val="WLGLevel1"/>
        <w:numPr>
          <w:ilvl w:val="0"/>
          <w:numId w:val="0"/>
        </w:numPr>
        <w:suppressAutoHyphens w:val="0"/>
        <w:ind w:left="720" w:hanging="720"/>
        <w:rPr>
          <w:rFonts w:cs="Arial"/>
          <w:szCs w:val="24"/>
        </w:rPr>
      </w:pPr>
      <w:r w:rsidRPr="00E85D18">
        <w:rPr>
          <w:rFonts w:cs="Arial"/>
          <w:szCs w:val="24"/>
        </w:rPr>
        <w:lastRenderedPageBreak/>
        <w:t>2.2</w:t>
      </w:r>
      <w:r w:rsidRPr="00E85D18">
        <w:rPr>
          <w:rFonts w:cs="Arial"/>
          <w:szCs w:val="24"/>
        </w:rPr>
        <w:tab/>
        <w:t xml:space="preserve">In prayer 6.1 the applicants sought an order in terms of which Mr Mashamba is directed to Transnet pay an amount of R2 million as the bribe, </w:t>
      </w:r>
      <w:r w:rsidR="00010C51" w:rsidRPr="00E85D18">
        <w:rPr>
          <w:rFonts w:cs="Arial"/>
          <w:szCs w:val="24"/>
        </w:rPr>
        <w:t>gratification,</w:t>
      </w:r>
      <w:r w:rsidRPr="00E85D18">
        <w:rPr>
          <w:rFonts w:cs="Arial"/>
          <w:szCs w:val="24"/>
        </w:rPr>
        <w:t xml:space="preserve"> and secret profits he unlawfully received, while employed at Transnet, for his role in the Superfecta contracts with Transnet. The</w:t>
      </w:r>
      <w:r w:rsidR="00981BBA">
        <w:rPr>
          <w:rFonts w:cs="Arial"/>
          <w:szCs w:val="24"/>
        </w:rPr>
        <w:t>y</w:t>
      </w:r>
      <w:r w:rsidRPr="00E85D18">
        <w:rPr>
          <w:rFonts w:cs="Arial"/>
          <w:szCs w:val="24"/>
        </w:rPr>
        <w:t xml:space="preserve"> seek an amendment to increase this amount to R2,3 million. </w:t>
      </w:r>
    </w:p>
    <w:p w14:paraId="058A7D95" w14:textId="4AFE9915" w:rsidR="00E85D18" w:rsidRPr="00E85D18" w:rsidRDefault="00E85D18" w:rsidP="00E85D18">
      <w:pPr>
        <w:pStyle w:val="WLGLevel1"/>
        <w:numPr>
          <w:ilvl w:val="0"/>
          <w:numId w:val="0"/>
        </w:numPr>
        <w:suppressAutoHyphens w:val="0"/>
        <w:ind w:left="720" w:hanging="720"/>
        <w:rPr>
          <w:rFonts w:cs="Arial"/>
          <w:szCs w:val="24"/>
        </w:rPr>
      </w:pPr>
      <w:r w:rsidRPr="00E85D18">
        <w:rPr>
          <w:rFonts w:cs="Arial"/>
          <w:szCs w:val="24"/>
        </w:rPr>
        <w:t>2.3</w:t>
      </w:r>
      <w:r w:rsidRPr="00E85D18">
        <w:rPr>
          <w:rFonts w:cs="Arial"/>
          <w:szCs w:val="24"/>
        </w:rPr>
        <w:tab/>
        <w:t xml:space="preserve">In prayer 6.2 the applicants sought an order in terms of which Mr Mashamba is directed to Transnet pay an amount of R4,5 million as the bribe, </w:t>
      </w:r>
      <w:r w:rsidR="00010C51" w:rsidRPr="00E85D18">
        <w:rPr>
          <w:rFonts w:cs="Arial"/>
          <w:szCs w:val="24"/>
        </w:rPr>
        <w:t>gratification,</w:t>
      </w:r>
      <w:r w:rsidRPr="00E85D18">
        <w:rPr>
          <w:rFonts w:cs="Arial"/>
          <w:szCs w:val="24"/>
        </w:rPr>
        <w:t xml:space="preserve"> and secret profits he unlawfully received, while employed at Transnet, for his role in the BBDM contracts with Transnet. The</w:t>
      </w:r>
      <w:r>
        <w:rPr>
          <w:rFonts w:cs="Arial"/>
          <w:szCs w:val="24"/>
        </w:rPr>
        <w:t>y</w:t>
      </w:r>
      <w:r w:rsidRPr="00E85D18">
        <w:rPr>
          <w:rFonts w:cs="Arial"/>
          <w:szCs w:val="24"/>
        </w:rPr>
        <w:t xml:space="preserve"> seek an amendment to increase this amount to R 5,113,255.00</w:t>
      </w:r>
      <w:r>
        <w:rPr>
          <w:rFonts w:cs="Arial"/>
          <w:szCs w:val="24"/>
        </w:rPr>
        <w:t xml:space="preserve"> to </w:t>
      </w:r>
      <w:r w:rsidRPr="00E85D18">
        <w:rPr>
          <w:rFonts w:cs="Arial"/>
          <w:szCs w:val="24"/>
        </w:rPr>
        <w:t>recover</w:t>
      </w:r>
      <w:r>
        <w:rPr>
          <w:rFonts w:cs="Arial"/>
          <w:szCs w:val="24"/>
        </w:rPr>
        <w:t xml:space="preserve"> </w:t>
      </w:r>
      <w:r w:rsidRPr="00E85D18">
        <w:rPr>
          <w:rFonts w:cs="Arial"/>
          <w:szCs w:val="24"/>
        </w:rPr>
        <w:t xml:space="preserve">an additional R613,255.00 from Mr Mashamba as additional bribes, undue gratiﬁcation and secret profits he received pursuant to the BBDM lease, </w:t>
      </w:r>
      <w:r>
        <w:rPr>
          <w:rFonts w:cs="Arial"/>
          <w:szCs w:val="24"/>
        </w:rPr>
        <w:t xml:space="preserve">through </w:t>
      </w:r>
      <w:r w:rsidRPr="00E85D18">
        <w:rPr>
          <w:rFonts w:cs="Arial"/>
          <w:szCs w:val="24"/>
        </w:rPr>
        <w:t xml:space="preserve">an entity called Dundubala Trading CC, trading as Dundubala Projects (Dundubala).  </w:t>
      </w:r>
    </w:p>
    <w:p w14:paraId="6353F668" w14:textId="7C503BCC" w:rsidR="003E0813" w:rsidRPr="00E85D18" w:rsidRDefault="002F05CD" w:rsidP="002F05CD">
      <w:pPr>
        <w:pStyle w:val="WLGLevel2"/>
        <w:numPr>
          <w:ilvl w:val="0"/>
          <w:numId w:val="0"/>
        </w:numPr>
        <w:ind w:left="567" w:hanging="567"/>
        <w:rPr>
          <w:rFonts w:cs="Arial"/>
          <w:szCs w:val="24"/>
        </w:rPr>
      </w:pPr>
      <w:r>
        <w:rPr>
          <w:rFonts w:cs="Arial"/>
          <w:szCs w:val="24"/>
        </w:rPr>
        <w:t>[</w:t>
      </w:r>
      <w:r w:rsidR="002463F9">
        <w:rPr>
          <w:rFonts w:cs="Arial"/>
          <w:szCs w:val="24"/>
        </w:rPr>
        <w:t>3</w:t>
      </w:r>
      <w:r>
        <w:rPr>
          <w:rFonts w:cs="Arial"/>
          <w:szCs w:val="24"/>
        </w:rPr>
        <w:t>]</w:t>
      </w:r>
      <w:r>
        <w:rPr>
          <w:rFonts w:cs="Arial"/>
          <w:szCs w:val="24"/>
        </w:rPr>
        <w:tab/>
        <w:t xml:space="preserve">In relation to the additional amount of R100,000 the applicants seek to recover from Mr Lebelo in </w:t>
      </w:r>
      <w:r w:rsidR="003E0813" w:rsidRPr="0065337A">
        <w:rPr>
          <w:rFonts w:cs="Arial"/>
          <w:szCs w:val="24"/>
        </w:rPr>
        <w:t>prayer 5,</w:t>
      </w:r>
      <w:r w:rsidR="003E0813" w:rsidRPr="00E85D18">
        <w:rPr>
          <w:rFonts w:cs="Arial"/>
          <w:szCs w:val="24"/>
        </w:rPr>
        <w:t xml:space="preserve"> </w:t>
      </w:r>
      <w:r>
        <w:rPr>
          <w:rFonts w:cs="Arial"/>
          <w:szCs w:val="24"/>
        </w:rPr>
        <w:t>the applicants allege that on 21 January 2019, Mr Lebelo received this amount from Mr Mphephu’s personal account. A</w:t>
      </w:r>
      <w:r w:rsidR="003E0813" w:rsidRPr="00E85D18">
        <w:rPr>
          <w:rFonts w:cs="Arial"/>
          <w:szCs w:val="24"/>
        </w:rPr>
        <w:t xml:space="preserve">bsent any credible and legitimate explanation, Mr Mphephu’s payment constitutes a bribe, </w:t>
      </w:r>
      <w:r w:rsidR="00010C51" w:rsidRPr="00E85D18">
        <w:rPr>
          <w:rFonts w:cs="Arial"/>
          <w:szCs w:val="24"/>
        </w:rPr>
        <w:t>gratification,</w:t>
      </w:r>
      <w:r w:rsidR="003E0813" w:rsidRPr="00E85D18">
        <w:rPr>
          <w:rFonts w:cs="Arial"/>
          <w:szCs w:val="24"/>
        </w:rPr>
        <w:t xml:space="preserve"> or secret profit for Mr Lebelo’s role in awarding Superfecta the Generators contract and/or emergency maintenance contract with Transnet. </w:t>
      </w:r>
    </w:p>
    <w:p w14:paraId="2720E560" w14:textId="725E4680" w:rsidR="003E0813" w:rsidRDefault="002F05CD" w:rsidP="002463F9">
      <w:pPr>
        <w:pStyle w:val="WLGLevel2"/>
        <w:numPr>
          <w:ilvl w:val="0"/>
          <w:numId w:val="0"/>
        </w:numPr>
        <w:ind w:left="567" w:hanging="567"/>
        <w:rPr>
          <w:rFonts w:cs="Arial"/>
          <w:szCs w:val="24"/>
        </w:rPr>
      </w:pPr>
      <w:r>
        <w:rPr>
          <w:rFonts w:cs="Arial"/>
          <w:szCs w:val="24"/>
        </w:rPr>
        <w:t>[</w:t>
      </w:r>
      <w:r w:rsidR="002463F9">
        <w:rPr>
          <w:rFonts w:cs="Arial"/>
          <w:szCs w:val="24"/>
        </w:rPr>
        <w:t>4</w:t>
      </w:r>
      <w:r>
        <w:rPr>
          <w:rFonts w:cs="Arial"/>
          <w:szCs w:val="24"/>
        </w:rPr>
        <w:t>]</w:t>
      </w:r>
      <w:r>
        <w:rPr>
          <w:rFonts w:cs="Arial"/>
          <w:szCs w:val="24"/>
        </w:rPr>
        <w:tab/>
        <w:t xml:space="preserve">In relation to the additional amount of R300,000 the applicants seek to recover </w:t>
      </w:r>
      <w:r w:rsidR="002463F9">
        <w:rPr>
          <w:rFonts w:cs="Arial"/>
          <w:szCs w:val="24"/>
        </w:rPr>
        <w:t>f</w:t>
      </w:r>
      <w:r>
        <w:rPr>
          <w:rFonts w:cs="Arial"/>
          <w:szCs w:val="24"/>
        </w:rPr>
        <w:t xml:space="preserve">rom Mr Mashamba, the applicants allege that in addition to the R2 million identified in the founding affidavit, </w:t>
      </w:r>
      <w:r w:rsidR="003E0813" w:rsidRPr="00E85D18">
        <w:rPr>
          <w:rFonts w:cs="Arial"/>
          <w:szCs w:val="24"/>
        </w:rPr>
        <w:t>Mr Khoncha paid these funds to Tonkin Clacey for the purchase of the Diepsloot property</w:t>
      </w:r>
      <w:r>
        <w:rPr>
          <w:rFonts w:cs="Arial"/>
          <w:szCs w:val="24"/>
        </w:rPr>
        <w:t xml:space="preserve">. </w:t>
      </w:r>
      <w:r w:rsidR="003E0813" w:rsidRPr="00E85D18">
        <w:rPr>
          <w:rFonts w:cs="Arial"/>
          <w:szCs w:val="24"/>
        </w:rPr>
        <w:t xml:space="preserve">These funds accordingly also </w:t>
      </w:r>
      <w:r w:rsidR="003E0813" w:rsidRPr="00E85D18">
        <w:rPr>
          <w:rFonts w:cs="Arial"/>
          <w:szCs w:val="24"/>
        </w:rPr>
        <w:lastRenderedPageBreak/>
        <w:t xml:space="preserve">constitute part of the bribe, </w:t>
      </w:r>
      <w:r w:rsidR="00010C51" w:rsidRPr="00E85D18">
        <w:rPr>
          <w:rFonts w:cs="Arial"/>
          <w:szCs w:val="24"/>
        </w:rPr>
        <w:t>gratification,</w:t>
      </w:r>
      <w:r w:rsidR="003E0813" w:rsidRPr="00E85D18">
        <w:rPr>
          <w:rFonts w:cs="Arial"/>
          <w:szCs w:val="24"/>
        </w:rPr>
        <w:t xml:space="preserve"> or secret profit Superfecta paid to Mr Mashamba for his role in the Superfecta contracts with Transnet.</w:t>
      </w:r>
    </w:p>
    <w:p w14:paraId="2E9B3BAF" w14:textId="4B3CB5FB" w:rsidR="002463F9" w:rsidRPr="00E85D18" w:rsidRDefault="002463F9" w:rsidP="002463F9">
      <w:pPr>
        <w:pStyle w:val="WLGLevel1"/>
        <w:numPr>
          <w:ilvl w:val="0"/>
          <w:numId w:val="0"/>
        </w:numPr>
        <w:ind w:left="567" w:hanging="567"/>
        <w:rPr>
          <w:rFonts w:cs="Arial"/>
          <w:szCs w:val="24"/>
        </w:rPr>
      </w:pPr>
      <w:r>
        <w:rPr>
          <w:rFonts w:cs="Arial"/>
          <w:szCs w:val="24"/>
        </w:rPr>
        <w:t>[5]</w:t>
      </w:r>
      <w:r>
        <w:rPr>
          <w:rFonts w:cs="Arial"/>
          <w:szCs w:val="24"/>
        </w:rPr>
        <w:tab/>
      </w:r>
      <w:r w:rsidRPr="00E85D18">
        <w:rPr>
          <w:rFonts w:cs="Arial"/>
          <w:szCs w:val="24"/>
        </w:rPr>
        <w:t xml:space="preserve">Mr Lebelo, Mr Mashamba and the parties associated with them as the third to seventh respondents initially objected to the proposed amendment. They have since withdrawn their opposition.  </w:t>
      </w:r>
      <w:r>
        <w:rPr>
          <w:rFonts w:cs="Arial"/>
          <w:szCs w:val="24"/>
        </w:rPr>
        <w:t xml:space="preserve">Superfecta Trading 209 (Pty) Ltd (Superfecta) as </w:t>
      </w:r>
      <w:r w:rsidRPr="00E85D18">
        <w:rPr>
          <w:rFonts w:cs="Arial"/>
          <w:szCs w:val="24"/>
        </w:rPr>
        <w:t xml:space="preserve">the first respondent </w:t>
      </w:r>
      <w:r>
        <w:rPr>
          <w:rFonts w:cs="Arial"/>
          <w:szCs w:val="24"/>
        </w:rPr>
        <w:t xml:space="preserve">opposes </w:t>
      </w:r>
      <w:r w:rsidRPr="00E85D18">
        <w:rPr>
          <w:rFonts w:cs="Arial"/>
          <w:szCs w:val="24"/>
        </w:rPr>
        <w:t>the proposed amendment</w:t>
      </w:r>
      <w:r>
        <w:rPr>
          <w:rFonts w:cs="Arial"/>
          <w:szCs w:val="24"/>
        </w:rPr>
        <w:t xml:space="preserve"> to prayers </w:t>
      </w:r>
      <w:r w:rsidRPr="00E85D18">
        <w:rPr>
          <w:rFonts w:cs="Arial"/>
          <w:szCs w:val="24"/>
        </w:rPr>
        <w:t>5 and 6.1.</w:t>
      </w:r>
      <w:r>
        <w:rPr>
          <w:rFonts w:cs="Arial"/>
          <w:szCs w:val="24"/>
        </w:rPr>
        <w:t xml:space="preserve"> Consequently, the proposed amendment to prayer 6.2 is unopposed. It stands to be granted. Only the proposed amendments to prayer 5 and 6.1 remain in issue.</w:t>
      </w:r>
      <w:r w:rsidR="002979C9">
        <w:rPr>
          <w:rFonts w:cs="Arial"/>
          <w:szCs w:val="24"/>
        </w:rPr>
        <w:t xml:space="preserve"> They affect Superfecta. Its counsel filed its heads of argument one day late due to ill-health. </w:t>
      </w:r>
      <w:r w:rsidR="00981BBA">
        <w:rPr>
          <w:rFonts w:cs="Arial"/>
          <w:szCs w:val="24"/>
        </w:rPr>
        <w:t>It</w:t>
      </w:r>
      <w:r w:rsidR="002979C9">
        <w:rPr>
          <w:rFonts w:cs="Arial"/>
          <w:szCs w:val="24"/>
        </w:rPr>
        <w:t xml:space="preserve"> has apologised to the Tribunal and applicants for the delay and seeks condonation. The applicants have taken no issue with the late filing of Superfecta’s heads of argument. It stands to be condoned.   </w:t>
      </w:r>
    </w:p>
    <w:p w14:paraId="3EA7B347" w14:textId="46E52FD3" w:rsidR="002463F9" w:rsidRDefault="002463F9" w:rsidP="002463F9">
      <w:pPr>
        <w:pStyle w:val="WLGLevel1"/>
        <w:numPr>
          <w:ilvl w:val="0"/>
          <w:numId w:val="0"/>
        </w:numPr>
        <w:ind w:left="567" w:hanging="567"/>
        <w:rPr>
          <w:rFonts w:cs="Arial"/>
          <w:szCs w:val="24"/>
        </w:rPr>
      </w:pPr>
      <w:r>
        <w:rPr>
          <w:rFonts w:cs="Arial"/>
          <w:szCs w:val="24"/>
        </w:rPr>
        <w:t>[6]</w:t>
      </w:r>
      <w:r>
        <w:rPr>
          <w:rFonts w:cs="Arial"/>
          <w:szCs w:val="24"/>
        </w:rPr>
        <w:tab/>
        <w:t>The basis for Superfecta’s opposition is as follows:</w:t>
      </w:r>
      <w:r w:rsidR="007F3EE9">
        <w:rPr>
          <w:rFonts w:cs="Arial"/>
          <w:szCs w:val="24"/>
        </w:rPr>
        <w:t xml:space="preserve"> </w:t>
      </w:r>
    </w:p>
    <w:p w14:paraId="6ED4C0D8" w14:textId="3D0A5BB4" w:rsidR="007F3EE9" w:rsidRPr="00A15714" w:rsidRDefault="00A15714" w:rsidP="00A15714">
      <w:pPr>
        <w:tabs>
          <w:tab w:val="left" w:pos="1276"/>
        </w:tabs>
        <w:spacing w:after="160" w:line="480" w:lineRule="auto"/>
        <w:ind w:left="360" w:hanging="360"/>
        <w:jc w:val="both"/>
        <w:rPr>
          <w:rFonts w:ascii="Arial" w:hAnsi="Arial" w:cs="Arial"/>
        </w:rPr>
      </w:pPr>
      <w:r>
        <w:rPr>
          <w:rFonts w:ascii="Arial" w:hAnsi="Arial" w:cs="Arial"/>
        </w:rPr>
        <w:t>6.1</w:t>
      </w:r>
      <w:r>
        <w:rPr>
          <w:rFonts w:ascii="Arial" w:hAnsi="Arial" w:cs="Arial"/>
        </w:rPr>
        <w:tab/>
      </w:r>
      <w:r w:rsidR="007F3EE9" w:rsidRPr="00A15714">
        <w:rPr>
          <w:rFonts w:ascii="Arial" w:hAnsi="Arial" w:cs="Arial"/>
        </w:rPr>
        <w:t xml:space="preserve">The proposed amendments introduce the new cause of action, alternatively new issues for the first time in the replying affidavit; </w:t>
      </w:r>
    </w:p>
    <w:p w14:paraId="55E2A725" w14:textId="7BDE0643" w:rsidR="007F3EE9" w:rsidRPr="00A15714" w:rsidRDefault="00A15714" w:rsidP="00A15714">
      <w:pPr>
        <w:tabs>
          <w:tab w:val="left" w:pos="1276"/>
        </w:tabs>
        <w:spacing w:after="160" w:line="480" w:lineRule="auto"/>
        <w:ind w:left="360" w:hanging="360"/>
        <w:jc w:val="both"/>
        <w:rPr>
          <w:rFonts w:ascii="Arial" w:hAnsi="Arial" w:cs="Arial"/>
        </w:rPr>
      </w:pPr>
      <w:r>
        <w:rPr>
          <w:rFonts w:ascii="Arial" w:hAnsi="Arial" w:cs="Arial"/>
        </w:rPr>
        <w:t>6.2</w:t>
      </w:r>
      <w:r>
        <w:rPr>
          <w:rFonts w:ascii="Arial" w:hAnsi="Arial" w:cs="Arial"/>
        </w:rPr>
        <w:tab/>
      </w:r>
      <w:r w:rsidR="007F3EE9" w:rsidRPr="00A15714">
        <w:rPr>
          <w:rFonts w:ascii="Arial" w:hAnsi="Arial" w:cs="Arial"/>
        </w:rPr>
        <w:t xml:space="preserve">No explanation is tendered for the belated proposed amendments; </w:t>
      </w:r>
    </w:p>
    <w:p w14:paraId="1DF9359D" w14:textId="64BD7F9C" w:rsidR="007F3EE9" w:rsidRPr="00A15714" w:rsidRDefault="00A15714" w:rsidP="00A15714">
      <w:pPr>
        <w:tabs>
          <w:tab w:val="left" w:pos="1276"/>
        </w:tabs>
        <w:spacing w:after="160" w:line="480" w:lineRule="auto"/>
        <w:ind w:left="360" w:hanging="360"/>
        <w:jc w:val="both"/>
        <w:rPr>
          <w:rFonts w:ascii="Arial" w:hAnsi="Arial" w:cs="Arial"/>
        </w:rPr>
      </w:pPr>
      <w:r>
        <w:rPr>
          <w:rFonts w:ascii="Arial" w:hAnsi="Arial" w:cs="Arial"/>
        </w:rPr>
        <w:t>6.3</w:t>
      </w:r>
      <w:r>
        <w:rPr>
          <w:rFonts w:ascii="Arial" w:hAnsi="Arial" w:cs="Arial"/>
        </w:rPr>
        <w:tab/>
      </w:r>
      <w:r w:rsidR="007F3EE9" w:rsidRPr="00A15714">
        <w:rPr>
          <w:rFonts w:ascii="Arial" w:hAnsi="Arial" w:cs="Arial"/>
        </w:rPr>
        <w:t xml:space="preserve">The proposed amendments are not </w:t>
      </w:r>
      <w:r w:rsidR="007F3EE9" w:rsidRPr="00A15714">
        <w:rPr>
          <w:rFonts w:ascii="Arial" w:hAnsi="Arial" w:cs="Arial"/>
          <w:i/>
          <w:iCs/>
        </w:rPr>
        <w:t>bona fide</w:t>
      </w:r>
      <w:r w:rsidR="007F3EE9" w:rsidRPr="00A15714">
        <w:rPr>
          <w:rFonts w:ascii="Arial" w:hAnsi="Arial" w:cs="Arial"/>
        </w:rPr>
        <w:t xml:space="preserve">; </w:t>
      </w:r>
    </w:p>
    <w:p w14:paraId="4630D36E" w14:textId="3C32061D" w:rsidR="007F3EE9" w:rsidRPr="00A15714" w:rsidRDefault="00A15714" w:rsidP="00A15714">
      <w:pPr>
        <w:tabs>
          <w:tab w:val="left" w:pos="1276"/>
        </w:tabs>
        <w:spacing w:after="160" w:line="480" w:lineRule="auto"/>
        <w:ind w:left="360" w:hanging="360"/>
        <w:jc w:val="both"/>
        <w:rPr>
          <w:rFonts w:ascii="Arial" w:hAnsi="Arial" w:cs="Arial"/>
        </w:rPr>
      </w:pPr>
      <w:r>
        <w:rPr>
          <w:rFonts w:ascii="Arial" w:hAnsi="Arial" w:cs="Arial"/>
        </w:rPr>
        <w:t>6.4</w:t>
      </w:r>
      <w:r>
        <w:rPr>
          <w:rFonts w:ascii="Arial" w:hAnsi="Arial" w:cs="Arial"/>
        </w:rPr>
        <w:tab/>
      </w:r>
      <w:r w:rsidR="007F3EE9" w:rsidRPr="00A15714">
        <w:rPr>
          <w:rFonts w:ascii="Arial" w:hAnsi="Arial" w:cs="Arial"/>
        </w:rPr>
        <w:t xml:space="preserve">The Superfecta will suffer prejudice which cannot be compensated by an order of costs; and </w:t>
      </w:r>
    </w:p>
    <w:p w14:paraId="20565B1B" w14:textId="1E16FA99" w:rsidR="007F3EE9" w:rsidRPr="00A15714" w:rsidRDefault="00A15714" w:rsidP="00A15714">
      <w:pPr>
        <w:tabs>
          <w:tab w:val="left" w:pos="1276"/>
        </w:tabs>
        <w:spacing w:after="160" w:line="480" w:lineRule="auto"/>
        <w:ind w:left="360" w:hanging="360"/>
        <w:jc w:val="both"/>
        <w:rPr>
          <w:rFonts w:ascii="Arial" w:hAnsi="Arial" w:cs="Arial"/>
        </w:rPr>
      </w:pPr>
      <w:r w:rsidRPr="007F3EE9">
        <w:rPr>
          <w:rFonts w:ascii="Arial" w:hAnsi="Arial" w:cs="Arial"/>
        </w:rPr>
        <w:t>6.5</w:t>
      </w:r>
      <w:r w:rsidRPr="007F3EE9">
        <w:rPr>
          <w:rFonts w:ascii="Arial" w:hAnsi="Arial" w:cs="Arial"/>
        </w:rPr>
        <w:tab/>
      </w:r>
      <w:r w:rsidR="007F3EE9" w:rsidRPr="00A15714">
        <w:rPr>
          <w:rFonts w:ascii="Arial" w:hAnsi="Arial" w:cs="Arial"/>
        </w:rPr>
        <w:t>Granting of leave to amend is not in the interest of justice.</w:t>
      </w:r>
    </w:p>
    <w:p w14:paraId="340C5570" w14:textId="7D388E69" w:rsidR="003E0813" w:rsidRPr="00E85D18" w:rsidRDefault="002463F9" w:rsidP="004200AB">
      <w:pPr>
        <w:pStyle w:val="WLGLevel1"/>
        <w:numPr>
          <w:ilvl w:val="0"/>
          <w:numId w:val="0"/>
        </w:numPr>
        <w:rPr>
          <w:rFonts w:cs="Arial"/>
          <w:szCs w:val="24"/>
        </w:rPr>
      </w:pPr>
      <w:r>
        <w:rPr>
          <w:rFonts w:cs="Arial"/>
          <w:szCs w:val="24"/>
        </w:rPr>
        <w:lastRenderedPageBreak/>
        <w:t>[7]</w:t>
      </w:r>
      <w:r>
        <w:rPr>
          <w:rFonts w:cs="Arial"/>
          <w:szCs w:val="24"/>
        </w:rPr>
        <w:tab/>
        <w:t>In determining this application, I am guided by the trite principles that govern amendments</w:t>
      </w:r>
      <w:r w:rsidR="00981BBA">
        <w:rPr>
          <w:rFonts w:cs="Arial"/>
          <w:szCs w:val="24"/>
        </w:rPr>
        <w:t>. The have been put up by the applicants. Superfecta has taken no issue with them. I</w:t>
      </w:r>
      <w:r>
        <w:rPr>
          <w:rFonts w:cs="Arial"/>
          <w:szCs w:val="24"/>
        </w:rPr>
        <w:t xml:space="preserve"> set</w:t>
      </w:r>
      <w:r w:rsidR="00981BBA">
        <w:rPr>
          <w:rFonts w:cs="Arial"/>
          <w:szCs w:val="24"/>
        </w:rPr>
        <w:t xml:space="preserve"> them</w:t>
      </w:r>
      <w:r>
        <w:rPr>
          <w:rFonts w:cs="Arial"/>
          <w:szCs w:val="24"/>
        </w:rPr>
        <w:t xml:space="preserve"> out below. </w:t>
      </w:r>
    </w:p>
    <w:p w14:paraId="7731F004" w14:textId="77777777" w:rsidR="002979C9" w:rsidRDefault="002979C9" w:rsidP="003E0813">
      <w:pPr>
        <w:pStyle w:val="WLGLevel1"/>
        <w:numPr>
          <w:ilvl w:val="0"/>
          <w:numId w:val="0"/>
        </w:numPr>
        <w:rPr>
          <w:rFonts w:cs="Arial"/>
          <w:b/>
          <w:bCs/>
          <w:szCs w:val="24"/>
        </w:rPr>
      </w:pPr>
    </w:p>
    <w:p w14:paraId="6ADFBD63" w14:textId="77777777" w:rsidR="00981BBA" w:rsidRPr="00E85D18" w:rsidRDefault="00981BBA" w:rsidP="00981BBA">
      <w:pPr>
        <w:pStyle w:val="WLGLevel1"/>
        <w:numPr>
          <w:ilvl w:val="0"/>
          <w:numId w:val="0"/>
        </w:numPr>
        <w:rPr>
          <w:rFonts w:cs="Arial"/>
          <w:b/>
          <w:bCs/>
          <w:szCs w:val="24"/>
        </w:rPr>
      </w:pPr>
      <w:r w:rsidRPr="00E85D18">
        <w:rPr>
          <w:rFonts w:cs="Arial"/>
          <w:b/>
          <w:bCs/>
          <w:szCs w:val="24"/>
        </w:rPr>
        <w:t xml:space="preserve">APPLICABLE </w:t>
      </w:r>
      <w:r>
        <w:rPr>
          <w:rFonts w:cs="Arial"/>
          <w:b/>
          <w:bCs/>
          <w:szCs w:val="24"/>
        </w:rPr>
        <w:t xml:space="preserve">LEGAL </w:t>
      </w:r>
      <w:r w:rsidRPr="00E85D18">
        <w:rPr>
          <w:rFonts w:cs="Arial"/>
          <w:b/>
          <w:bCs/>
          <w:szCs w:val="24"/>
        </w:rPr>
        <w:t xml:space="preserve">PRINCIPLES </w:t>
      </w:r>
    </w:p>
    <w:p w14:paraId="24717235" w14:textId="141F8BB9" w:rsidR="00981BBA" w:rsidRDefault="00981BBA" w:rsidP="00981BBA">
      <w:pPr>
        <w:pStyle w:val="WLGLevel1"/>
        <w:numPr>
          <w:ilvl w:val="0"/>
          <w:numId w:val="0"/>
        </w:numPr>
        <w:spacing w:after="240"/>
        <w:ind w:left="567" w:hanging="567"/>
        <w:rPr>
          <w:rFonts w:cs="Arial"/>
          <w:szCs w:val="24"/>
        </w:rPr>
      </w:pPr>
      <w:r>
        <w:rPr>
          <w:rFonts w:cs="Arial"/>
          <w:szCs w:val="24"/>
        </w:rPr>
        <w:t>[8]</w:t>
      </w:r>
      <w:r>
        <w:rPr>
          <w:rFonts w:cs="Arial"/>
          <w:szCs w:val="24"/>
        </w:rPr>
        <w:tab/>
      </w:r>
      <w:r w:rsidRPr="00E85D18">
        <w:rPr>
          <w:rFonts w:cs="Arial"/>
          <w:szCs w:val="24"/>
        </w:rPr>
        <w:t>The</w:t>
      </w:r>
      <w:r>
        <w:rPr>
          <w:rFonts w:cs="Arial"/>
          <w:szCs w:val="24"/>
        </w:rPr>
        <w:t xml:space="preserve"> applicants rely on the</w:t>
      </w:r>
      <w:r w:rsidRPr="00E85D18">
        <w:rPr>
          <w:rFonts w:cs="Arial"/>
          <w:szCs w:val="24"/>
        </w:rPr>
        <w:t xml:space="preserve"> genera</w:t>
      </w:r>
      <w:r>
        <w:rPr>
          <w:rFonts w:cs="Arial"/>
          <w:szCs w:val="24"/>
        </w:rPr>
        <w:t>l principles that govern</w:t>
      </w:r>
      <w:r w:rsidRPr="00E85D18">
        <w:rPr>
          <w:rFonts w:cs="Arial"/>
          <w:szCs w:val="24"/>
        </w:rPr>
        <w:t xml:space="preserve"> applications for </w:t>
      </w:r>
      <w:r>
        <w:rPr>
          <w:rFonts w:cs="Arial"/>
          <w:szCs w:val="24"/>
        </w:rPr>
        <w:t xml:space="preserve">an </w:t>
      </w:r>
      <w:r w:rsidRPr="00E85D18">
        <w:rPr>
          <w:rFonts w:cs="Arial"/>
          <w:szCs w:val="24"/>
        </w:rPr>
        <w:t xml:space="preserve">amendment </w:t>
      </w:r>
      <w:r>
        <w:rPr>
          <w:rFonts w:cs="Arial"/>
          <w:szCs w:val="24"/>
        </w:rPr>
        <w:t xml:space="preserve">as set out in the seminal judgment in </w:t>
      </w:r>
      <w:r w:rsidRPr="00E85D18">
        <w:rPr>
          <w:rFonts w:cs="Arial"/>
          <w:i/>
          <w:iCs/>
          <w:szCs w:val="24"/>
        </w:rPr>
        <w:t>Moolman v Estate Moolman</w:t>
      </w:r>
      <w:r>
        <w:rPr>
          <w:rFonts w:cs="Arial"/>
          <w:i/>
          <w:iCs/>
          <w:szCs w:val="24"/>
        </w:rPr>
        <w:t>,</w:t>
      </w:r>
      <w:r w:rsidRPr="00E85D18">
        <w:rPr>
          <w:rStyle w:val="FootnoteReference"/>
          <w:rFonts w:cs="Arial"/>
          <w:szCs w:val="24"/>
        </w:rPr>
        <w:footnoteReference w:id="1"/>
      </w:r>
      <w:r w:rsidRPr="00E85D18">
        <w:rPr>
          <w:rFonts w:cs="Arial"/>
          <w:szCs w:val="24"/>
        </w:rPr>
        <w:t xml:space="preserve"> </w:t>
      </w:r>
      <w:r w:rsidRPr="00E85D18">
        <w:rPr>
          <w:rFonts w:cs="Arial"/>
          <w:i/>
          <w:iCs/>
          <w:szCs w:val="24"/>
        </w:rPr>
        <w:t>Pienaar Brothers</w:t>
      </w:r>
      <w:r w:rsidRPr="00E85D18">
        <w:rPr>
          <w:rFonts w:cs="Arial"/>
          <w:szCs w:val="24"/>
        </w:rPr>
        <w:t>,</w:t>
      </w:r>
      <w:r w:rsidRPr="00E85D18">
        <w:rPr>
          <w:rStyle w:val="FootnoteReference"/>
          <w:rFonts w:cs="Arial"/>
          <w:szCs w:val="24"/>
        </w:rPr>
        <w:footnoteReference w:id="2"/>
      </w:r>
      <w:r w:rsidRPr="00E85D18">
        <w:rPr>
          <w:rFonts w:cs="Arial"/>
          <w:szCs w:val="24"/>
        </w:rPr>
        <w:t xml:space="preserve"> </w:t>
      </w:r>
      <w:r>
        <w:rPr>
          <w:rFonts w:cs="Arial"/>
          <w:szCs w:val="24"/>
        </w:rPr>
        <w:t>and Affordable Medicines Trust.</w:t>
      </w:r>
      <w:r>
        <w:rPr>
          <w:rStyle w:val="FootnoteReference"/>
          <w:rFonts w:cs="Arial"/>
          <w:szCs w:val="24"/>
        </w:rPr>
        <w:footnoteReference w:id="3"/>
      </w:r>
      <w:r>
        <w:rPr>
          <w:rFonts w:cs="Arial"/>
          <w:szCs w:val="24"/>
        </w:rPr>
        <w:t xml:space="preserve"> </w:t>
      </w:r>
    </w:p>
    <w:p w14:paraId="2F371CD1" w14:textId="77777777" w:rsidR="00981BBA" w:rsidRDefault="00981BBA" w:rsidP="00981BBA">
      <w:pPr>
        <w:pStyle w:val="WLGLevel1"/>
        <w:numPr>
          <w:ilvl w:val="0"/>
          <w:numId w:val="0"/>
        </w:numPr>
        <w:spacing w:after="240"/>
        <w:rPr>
          <w:rFonts w:cs="Arial"/>
          <w:szCs w:val="24"/>
        </w:rPr>
      </w:pPr>
      <w:r>
        <w:rPr>
          <w:rFonts w:cs="Arial"/>
          <w:szCs w:val="24"/>
        </w:rPr>
        <w:t>8.1</w:t>
      </w:r>
      <w:r>
        <w:rPr>
          <w:rFonts w:cs="Arial"/>
          <w:szCs w:val="24"/>
        </w:rPr>
        <w:tab/>
      </w:r>
      <w:r w:rsidRPr="00BD37BC">
        <w:rPr>
          <w:rFonts w:cs="Arial"/>
          <w:szCs w:val="24"/>
        </w:rPr>
        <w:t>The primary object of allowing an amendment is to obtain a proper ventilation of the dispute between the parties, to determine the real issues between them, so that justice may be done.</w:t>
      </w:r>
      <w:r>
        <w:rPr>
          <w:rFonts w:cs="Arial"/>
          <w:szCs w:val="24"/>
        </w:rPr>
        <w:t xml:space="preserve"> It is for that reason that requests for amendments are always granted.</w:t>
      </w:r>
    </w:p>
    <w:p w14:paraId="7059554A" w14:textId="77777777" w:rsidR="00981BBA" w:rsidRPr="00E85D18" w:rsidRDefault="00981BBA" w:rsidP="00981BBA">
      <w:pPr>
        <w:pStyle w:val="WLGLevel1"/>
        <w:numPr>
          <w:ilvl w:val="0"/>
          <w:numId w:val="0"/>
        </w:numPr>
        <w:spacing w:after="240"/>
        <w:rPr>
          <w:rFonts w:cs="Arial"/>
          <w:szCs w:val="24"/>
        </w:rPr>
      </w:pPr>
      <w:r>
        <w:rPr>
          <w:rFonts w:cs="Arial"/>
          <w:szCs w:val="24"/>
        </w:rPr>
        <w:t>8.2</w:t>
      </w:r>
      <w:r>
        <w:rPr>
          <w:rFonts w:cs="Arial"/>
          <w:szCs w:val="24"/>
        </w:rPr>
        <w:tab/>
        <w:t xml:space="preserve">A request for an amendment may be refused when it is </w:t>
      </w:r>
      <w:r w:rsidRPr="00A205E1">
        <w:rPr>
          <w:rFonts w:cs="Arial"/>
          <w:i/>
          <w:iCs/>
          <w:szCs w:val="24"/>
        </w:rPr>
        <w:t>mala fide</w:t>
      </w:r>
      <w:r>
        <w:rPr>
          <w:rFonts w:cs="Arial"/>
          <w:szCs w:val="24"/>
        </w:rPr>
        <w:t xml:space="preserve"> or it would cause a prejudice to the other side which cannot be compensated by way of a cost order, in other words; </w:t>
      </w:r>
      <w:r w:rsidRPr="00BC4022">
        <w:rPr>
          <w:rFonts w:cs="Arial"/>
          <w:szCs w:val="24"/>
        </w:rPr>
        <w:t>unless the parties cannot be put back for the purposes of justice in the same position as they were when the pleading sought to</w:t>
      </w:r>
      <w:r>
        <w:rPr>
          <w:rFonts w:cs="Arial"/>
          <w:szCs w:val="24"/>
        </w:rPr>
        <w:t xml:space="preserve"> be</w:t>
      </w:r>
      <w:r w:rsidRPr="00BC4022">
        <w:rPr>
          <w:rFonts w:cs="Arial"/>
          <w:szCs w:val="24"/>
        </w:rPr>
        <w:t xml:space="preserve"> amend</w:t>
      </w:r>
      <w:r>
        <w:rPr>
          <w:rFonts w:cs="Arial"/>
          <w:szCs w:val="24"/>
        </w:rPr>
        <w:t>ed</w:t>
      </w:r>
      <w:r w:rsidRPr="00BC4022">
        <w:rPr>
          <w:rFonts w:cs="Arial"/>
          <w:szCs w:val="24"/>
        </w:rPr>
        <w:t xml:space="preserve"> was filed</w:t>
      </w:r>
      <w:r>
        <w:rPr>
          <w:rFonts w:cs="Arial"/>
          <w:szCs w:val="24"/>
        </w:rPr>
        <w:t xml:space="preserve">. </w:t>
      </w:r>
    </w:p>
    <w:p w14:paraId="2E29F025" w14:textId="77777777" w:rsidR="00981BBA" w:rsidRPr="00E85D18" w:rsidRDefault="00981BBA" w:rsidP="00981BBA">
      <w:pPr>
        <w:pStyle w:val="WLGLevel1"/>
        <w:numPr>
          <w:ilvl w:val="0"/>
          <w:numId w:val="0"/>
        </w:numPr>
        <w:ind w:left="284"/>
        <w:rPr>
          <w:rFonts w:cs="Arial"/>
          <w:szCs w:val="24"/>
        </w:rPr>
      </w:pPr>
      <w:r>
        <w:rPr>
          <w:rFonts w:cs="Arial"/>
          <w:szCs w:val="24"/>
        </w:rPr>
        <w:t>8.4</w:t>
      </w:r>
      <w:r>
        <w:rPr>
          <w:rFonts w:cs="Arial"/>
          <w:szCs w:val="24"/>
        </w:rPr>
        <w:tab/>
        <w:t xml:space="preserve">In motion proceedings, when the </w:t>
      </w:r>
      <w:r w:rsidRPr="00E85D18">
        <w:rPr>
          <w:rFonts w:cs="Arial"/>
          <w:szCs w:val="24"/>
        </w:rPr>
        <w:t>applicant s</w:t>
      </w:r>
      <w:r>
        <w:rPr>
          <w:rFonts w:cs="Arial"/>
          <w:szCs w:val="24"/>
        </w:rPr>
        <w:t xml:space="preserve">eeks </w:t>
      </w:r>
      <w:r w:rsidRPr="00E85D18">
        <w:rPr>
          <w:rFonts w:cs="Arial"/>
          <w:szCs w:val="24"/>
        </w:rPr>
        <w:t>to amend its relief at the time of filing its reply</w:t>
      </w:r>
      <w:r>
        <w:rPr>
          <w:rFonts w:cs="Arial"/>
          <w:szCs w:val="24"/>
        </w:rPr>
        <w:t>:</w:t>
      </w:r>
      <w:r w:rsidRPr="00E85D18">
        <w:rPr>
          <w:rFonts w:cs="Arial"/>
          <w:szCs w:val="24"/>
        </w:rPr>
        <w:t xml:space="preserve"> </w:t>
      </w:r>
    </w:p>
    <w:p w14:paraId="19EE8373" w14:textId="3AC07BDC" w:rsidR="00981BBA" w:rsidRPr="00E85D18" w:rsidRDefault="00A15714" w:rsidP="00A15714">
      <w:pPr>
        <w:pStyle w:val="WLGLevel2"/>
        <w:numPr>
          <w:ilvl w:val="0"/>
          <w:numId w:val="0"/>
        </w:numPr>
        <w:ind w:left="644" w:hanging="360"/>
        <w:rPr>
          <w:rFonts w:cs="Arial"/>
          <w:szCs w:val="24"/>
        </w:rPr>
      </w:pPr>
      <w:r w:rsidRPr="00E85D18">
        <w:rPr>
          <w:rFonts w:cs="Arial"/>
          <w:szCs w:val="24"/>
        </w:rPr>
        <w:lastRenderedPageBreak/>
        <w:t>(a)</w:t>
      </w:r>
      <w:r w:rsidRPr="00E85D18">
        <w:rPr>
          <w:rFonts w:cs="Arial"/>
          <w:szCs w:val="24"/>
        </w:rPr>
        <w:tab/>
      </w:r>
      <w:r w:rsidR="00981BBA">
        <w:rPr>
          <w:rFonts w:cs="Arial"/>
          <w:szCs w:val="24"/>
        </w:rPr>
        <w:t xml:space="preserve">The court </w:t>
      </w:r>
      <w:r w:rsidR="00981BBA" w:rsidRPr="00E85D18">
        <w:rPr>
          <w:rFonts w:cs="Arial"/>
          <w:szCs w:val="24"/>
        </w:rPr>
        <w:t>has a discretion to permit</w:t>
      </w:r>
      <w:r w:rsidR="00981BBA">
        <w:rPr>
          <w:rFonts w:cs="Arial"/>
          <w:szCs w:val="24"/>
        </w:rPr>
        <w:t xml:space="preserve"> the proposed</w:t>
      </w:r>
      <w:r w:rsidR="00981BBA" w:rsidRPr="00E85D18">
        <w:rPr>
          <w:rFonts w:cs="Arial"/>
          <w:szCs w:val="24"/>
        </w:rPr>
        <w:t xml:space="preserve"> amendment and the filing of further affidavits</w:t>
      </w:r>
      <w:r w:rsidR="00981BBA">
        <w:rPr>
          <w:rFonts w:cs="Arial"/>
          <w:szCs w:val="24"/>
        </w:rPr>
        <w:t>.</w:t>
      </w:r>
    </w:p>
    <w:p w14:paraId="6E359B9B" w14:textId="47AC5EDF" w:rsidR="00981BBA" w:rsidRDefault="00A15714" w:rsidP="00A15714">
      <w:pPr>
        <w:pStyle w:val="WLGLevel2"/>
        <w:numPr>
          <w:ilvl w:val="0"/>
          <w:numId w:val="0"/>
        </w:numPr>
        <w:ind w:left="644" w:hanging="360"/>
        <w:rPr>
          <w:rFonts w:cs="Arial"/>
          <w:szCs w:val="24"/>
        </w:rPr>
      </w:pPr>
      <w:r>
        <w:rPr>
          <w:rFonts w:cs="Arial"/>
          <w:szCs w:val="24"/>
        </w:rPr>
        <w:t>(b)</w:t>
      </w:r>
      <w:r>
        <w:rPr>
          <w:rFonts w:cs="Arial"/>
          <w:szCs w:val="24"/>
        </w:rPr>
        <w:tab/>
      </w:r>
      <w:r w:rsidR="00981BBA">
        <w:rPr>
          <w:rFonts w:cs="Arial"/>
          <w:szCs w:val="24"/>
        </w:rPr>
        <w:t xml:space="preserve">When exercising its discretion, the court </w:t>
      </w:r>
      <w:r w:rsidR="00981BBA" w:rsidRPr="00E85D18">
        <w:rPr>
          <w:rFonts w:cs="Arial"/>
          <w:szCs w:val="24"/>
        </w:rPr>
        <w:t>will be guided by the principle that the parties should be permitted to have the case adjudicated on the full facts</w:t>
      </w:r>
      <w:r w:rsidR="00981BBA">
        <w:rPr>
          <w:rFonts w:cs="Arial"/>
          <w:szCs w:val="24"/>
        </w:rPr>
        <w:t>. It will consider the following factors:</w:t>
      </w:r>
    </w:p>
    <w:p w14:paraId="199F786E" w14:textId="15967252" w:rsidR="00981BBA" w:rsidRPr="004200AB" w:rsidRDefault="00A15714" w:rsidP="00A15714">
      <w:pPr>
        <w:pStyle w:val="WLGLevel2"/>
        <w:numPr>
          <w:ilvl w:val="0"/>
          <w:numId w:val="0"/>
        </w:numPr>
        <w:ind w:left="1287" w:hanging="360"/>
        <w:rPr>
          <w:rFonts w:cs="Arial"/>
          <w:szCs w:val="24"/>
        </w:rPr>
      </w:pPr>
      <w:r w:rsidRPr="004200AB">
        <w:rPr>
          <w:rFonts w:cs="Arial"/>
          <w:szCs w:val="24"/>
        </w:rPr>
        <w:t>(i)</w:t>
      </w:r>
      <w:r w:rsidRPr="004200AB">
        <w:rPr>
          <w:rFonts w:cs="Arial"/>
          <w:szCs w:val="24"/>
        </w:rPr>
        <w:tab/>
      </w:r>
      <w:r w:rsidR="00981BBA" w:rsidRPr="004200AB">
        <w:rPr>
          <w:rFonts w:cs="Arial"/>
          <w:color w:val="242121"/>
          <w:szCs w:val="24"/>
        </w:rPr>
        <w:t>the  reason why the evidence was not produced timeously;</w:t>
      </w:r>
    </w:p>
    <w:p w14:paraId="15DBD5D3" w14:textId="360C6BF5" w:rsidR="00981BBA" w:rsidRPr="004200AB" w:rsidRDefault="00A15714" w:rsidP="00A15714">
      <w:pPr>
        <w:pStyle w:val="WLGLevel2"/>
        <w:numPr>
          <w:ilvl w:val="0"/>
          <w:numId w:val="0"/>
        </w:numPr>
        <w:ind w:left="1287" w:hanging="360"/>
        <w:rPr>
          <w:rFonts w:cs="Arial"/>
          <w:szCs w:val="24"/>
        </w:rPr>
      </w:pPr>
      <w:r w:rsidRPr="004200AB">
        <w:rPr>
          <w:rFonts w:cs="Arial"/>
          <w:szCs w:val="24"/>
        </w:rPr>
        <w:t>(ii)</w:t>
      </w:r>
      <w:r w:rsidRPr="004200AB">
        <w:rPr>
          <w:rFonts w:cs="Arial"/>
          <w:szCs w:val="24"/>
        </w:rPr>
        <w:tab/>
      </w:r>
      <w:r w:rsidR="00981BBA" w:rsidRPr="004200AB">
        <w:rPr>
          <w:rFonts w:cs="Arial"/>
          <w:color w:val="242121"/>
          <w:szCs w:val="24"/>
        </w:rPr>
        <w:t xml:space="preserve">the degree of materiality of the evidence; </w:t>
      </w:r>
    </w:p>
    <w:p w14:paraId="2DA6CC88" w14:textId="1F5C6146" w:rsidR="00981BBA" w:rsidRPr="004200AB" w:rsidRDefault="00A15714" w:rsidP="00A15714">
      <w:pPr>
        <w:pStyle w:val="WLGLevel2"/>
        <w:numPr>
          <w:ilvl w:val="0"/>
          <w:numId w:val="0"/>
        </w:numPr>
        <w:ind w:left="1287" w:hanging="360"/>
        <w:rPr>
          <w:rFonts w:cs="Arial"/>
          <w:szCs w:val="24"/>
        </w:rPr>
      </w:pPr>
      <w:r w:rsidRPr="004200AB">
        <w:rPr>
          <w:rFonts w:cs="Arial"/>
          <w:szCs w:val="24"/>
        </w:rPr>
        <w:t>(iii)</w:t>
      </w:r>
      <w:r w:rsidRPr="004200AB">
        <w:rPr>
          <w:rFonts w:cs="Arial"/>
          <w:szCs w:val="24"/>
        </w:rPr>
        <w:tab/>
      </w:r>
      <w:r w:rsidR="00981BBA" w:rsidRPr="004200AB">
        <w:rPr>
          <w:rFonts w:cs="Arial"/>
          <w:color w:val="242121"/>
          <w:szCs w:val="24"/>
        </w:rPr>
        <w:t xml:space="preserve">the possibility that the further affidavit may have been shaped to cure a material defect in the papers; </w:t>
      </w:r>
    </w:p>
    <w:p w14:paraId="73013ED1" w14:textId="604DAFC1" w:rsidR="00981BBA" w:rsidRPr="004200AB" w:rsidRDefault="00A15714" w:rsidP="00A15714">
      <w:pPr>
        <w:pStyle w:val="WLGLevel2"/>
        <w:numPr>
          <w:ilvl w:val="0"/>
          <w:numId w:val="0"/>
        </w:numPr>
        <w:ind w:left="1287" w:hanging="360"/>
        <w:rPr>
          <w:rFonts w:cs="Arial"/>
          <w:szCs w:val="24"/>
        </w:rPr>
      </w:pPr>
      <w:r w:rsidRPr="004200AB">
        <w:rPr>
          <w:rFonts w:cs="Arial"/>
          <w:szCs w:val="24"/>
        </w:rPr>
        <w:t>(iv)</w:t>
      </w:r>
      <w:r w:rsidRPr="004200AB">
        <w:rPr>
          <w:rFonts w:cs="Arial"/>
          <w:szCs w:val="24"/>
        </w:rPr>
        <w:tab/>
      </w:r>
      <w:r w:rsidR="00981BBA" w:rsidRPr="004200AB">
        <w:rPr>
          <w:rFonts w:cs="Arial"/>
          <w:color w:val="242121"/>
          <w:szCs w:val="24"/>
        </w:rPr>
        <w:t xml:space="preserve">the balance of prejudice to the applicant if the application is refused and the prejudice to the respondent if it is granted; </w:t>
      </w:r>
    </w:p>
    <w:p w14:paraId="11D3C7B9" w14:textId="586CC851" w:rsidR="00981BBA" w:rsidRPr="004200AB" w:rsidRDefault="00A15714" w:rsidP="00A15714">
      <w:pPr>
        <w:pStyle w:val="WLGLevel2"/>
        <w:numPr>
          <w:ilvl w:val="0"/>
          <w:numId w:val="0"/>
        </w:numPr>
        <w:ind w:left="1287" w:hanging="360"/>
        <w:rPr>
          <w:rFonts w:cs="Arial"/>
          <w:szCs w:val="24"/>
        </w:rPr>
      </w:pPr>
      <w:r w:rsidRPr="004200AB">
        <w:rPr>
          <w:rFonts w:cs="Arial"/>
          <w:szCs w:val="24"/>
        </w:rPr>
        <w:t>(v)</w:t>
      </w:r>
      <w:r w:rsidRPr="004200AB">
        <w:rPr>
          <w:rFonts w:cs="Arial"/>
          <w:szCs w:val="24"/>
        </w:rPr>
        <w:tab/>
      </w:r>
      <w:r w:rsidR="00981BBA" w:rsidRPr="004200AB">
        <w:rPr>
          <w:rFonts w:cs="Arial"/>
          <w:color w:val="242121"/>
          <w:szCs w:val="24"/>
        </w:rPr>
        <w:t xml:space="preserve">the stage which the particular litigation has reached; </w:t>
      </w:r>
    </w:p>
    <w:p w14:paraId="04A1B7FD" w14:textId="68B3E533" w:rsidR="00981BBA" w:rsidRPr="004200AB" w:rsidRDefault="00A15714" w:rsidP="00A15714">
      <w:pPr>
        <w:pStyle w:val="WLGLevel2"/>
        <w:numPr>
          <w:ilvl w:val="0"/>
          <w:numId w:val="0"/>
        </w:numPr>
        <w:ind w:left="1287" w:hanging="360"/>
        <w:rPr>
          <w:rFonts w:cs="Arial"/>
          <w:szCs w:val="24"/>
        </w:rPr>
      </w:pPr>
      <w:r w:rsidRPr="004200AB">
        <w:rPr>
          <w:rFonts w:cs="Arial"/>
          <w:szCs w:val="24"/>
        </w:rPr>
        <w:t>(vi)</w:t>
      </w:r>
      <w:r w:rsidRPr="004200AB">
        <w:rPr>
          <w:rFonts w:cs="Arial"/>
          <w:szCs w:val="24"/>
        </w:rPr>
        <w:tab/>
      </w:r>
      <w:r w:rsidR="00981BBA" w:rsidRPr="004200AB">
        <w:rPr>
          <w:rFonts w:cs="Arial"/>
          <w:color w:val="242121"/>
          <w:szCs w:val="24"/>
        </w:rPr>
        <w:t>the general need for finality in judicial proceedings;</w:t>
      </w:r>
    </w:p>
    <w:p w14:paraId="4B1C05BA" w14:textId="0BF247A9" w:rsidR="00981BBA" w:rsidRDefault="00A15714" w:rsidP="00A15714">
      <w:pPr>
        <w:pStyle w:val="WLGLevel2"/>
        <w:numPr>
          <w:ilvl w:val="0"/>
          <w:numId w:val="0"/>
        </w:numPr>
        <w:ind w:left="927" w:hanging="360"/>
        <w:rPr>
          <w:rFonts w:cs="Arial"/>
          <w:szCs w:val="24"/>
        </w:rPr>
      </w:pPr>
      <w:r>
        <w:rPr>
          <w:rFonts w:cs="Arial"/>
          <w:szCs w:val="24"/>
        </w:rPr>
        <w:t>8.4</w:t>
      </w:r>
      <w:r>
        <w:rPr>
          <w:rFonts w:cs="Arial"/>
          <w:szCs w:val="24"/>
        </w:rPr>
        <w:tab/>
      </w:r>
      <w:r w:rsidR="00981BBA" w:rsidRPr="00BC4022">
        <w:rPr>
          <w:rFonts w:cs="Arial"/>
          <w:szCs w:val="24"/>
        </w:rPr>
        <w:t xml:space="preserve">Whether the filing of further affidavits should be </w:t>
      </w:r>
      <w:r w:rsidR="00981BBA">
        <w:rPr>
          <w:rFonts w:cs="Arial"/>
          <w:szCs w:val="24"/>
        </w:rPr>
        <w:t>permitted</w:t>
      </w:r>
      <w:r w:rsidR="00981BBA" w:rsidRPr="00BC4022">
        <w:rPr>
          <w:rFonts w:cs="Arial"/>
          <w:szCs w:val="24"/>
        </w:rPr>
        <w:t xml:space="preserve"> is essentially a question of fairness to both sides</w:t>
      </w:r>
      <w:r w:rsidR="00981BBA">
        <w:rPr>
          <w:rFonts w:cs="Arial"/>
          <w:szCs w:val="24"/>
        </w:rPr>
        <w:t xml:space="preserve">. </w:t>
      </w:r>
    </w:p>
    <w:p w14:paraId="0D149FD8" w14:textId="4C30EC9E" w:rsidR="00981BBA" w:rsidRPr="00E85D18" w:rsidRDefault="00A15714" w:rsidP="00A15714">
      <w:pPr>
        <w:pStyle w:val="WLGLevel2"/>
        <w:numPr>
          <w:ilvl w:val="0"/>
          <w:numId w:val="0"/>
        </w:numPr>
        <w:ind w:left="927" w:hanging="360"/>
        <w:rPr>
          <w:rFonts w:cs="Arial"/>
          <w:szCs w:val="24"/>
        </w:rPr>
      </w:pPr>
      <w:r w:rsidRPr="00E85D18">
        <w:rPr>
          <w:rFonts w:cs="Arial"/>
          <w:szCs w:val="24"/>
        </w:rPr>
        <w:t>8.5</w:t>
      </w:r>
      <w:r w:rsidRPr="00E85D18">
        <w:rPr>
          <w:rFonts w:cs="Arial"/>
          <w:szCs w:val="24"/>
        </w:rPr>
        <w:tab/>
      </w:r>
      <w:r w:rsidR="00981BBA">
        <w:rPr>
          <w:rFonts w:cs="Arial"/>
          <w:szCs w:val="24"/>
        </w:rPr>
        <w:t>T</w:t>
      </w:r>
      <w:r w:rsidR="00981BBA" w:rsidRPr="00E85D18">
        <w:rPr>
          <w:rFonts w:cs="Arial"/>
          <w:szCs w:val="24"/>
        </w:rPr>
        <w:t>he court will readily allow the amendment of a prayer if the main issue or cause of action between the parties remains the same.</w:t>
      </w:r>
      <w:r w:rsidR="00981BBA" w:rsidRPr="00E85D18">
        <w:rPr>
          <w:rFonts w:cs="Arial"/>
          <w:szCs w:val="24"/>
          <w:vertAlign w:val="superscript"/>
        </w:rPr>
        <w:footnoteReference w:id="4"/>
      </w:r>
      <w:r w:rsidR="00981BBA" w:rsidRPr="00E85D18">
        <w:rPr>
          <w:rFonts w:cs="Arial"/>
          <w:szCs w:val="24"/>
          <w:vertAlign w:val="superscript"/>
        </w:rPr>
        <w:t xml:space="preserve">   </w:t>
      </w:r>
    </w:p>
    <w:p w14:paraId="6B44CAD4" w14:textId="4528E047" w:rsidR="00981BBA" w:rsidRPr="00E85D18" w:rsidRDefault="00A15714" w:rsidP="00A15714">
      <w:pPr>
        <w:pStyle w:val="WLGLevel2"/>
        <w:numPr>
          <w:ilvl w:val="0"/>
          <w:numId w:val="0"/>
        </w:numPr>
        <w:ind w:left="927" w:hanging="360"/>
        <w:rPr>
          <w:rFonts w:cs="Arial"/>
          <w:szCs w:val="24"/>
        </w:rPr>
      </w:pPr>
      <w:r w:rsidRPr="00E85D18">
        <w:rPr>
          <w:rFonts w:cs="Arial"/>
          <w:szCs w:val="24"/>
        </w:rPr>
        <w:lastRenderedPageBreak/>
        <w:t>8.6</w:t>
      </w:r>
      <w:r w:rsidRPr="00E85D18">
        <w:rPr>
          <w:rFonts w:cs="Arial"/>
          <w:szCs w:val="24"/>
        </w:rPr>
        <w:tab/>
      </w:r>
      <w:r w:rsidR="00981BBA" w:rsidRPr="00E85D18">
        <w:rPr>
          <w:rFonts w:cs="Arial"/>
          <w:szCs w:val="24"/>
        </w:rPr>
        <w:t>The fact that granting the amendment would necessitate the leading of further evidence is no ground for refusing the amendment.  Even where an amendment has led to the re-opening of a case and a new cause of action, it has been allowed.</w:t>
      </w:r>
      <w:r w:rsidR="00981BBA" w:rsidRPr="00E85D18">
        <w:rPr>
          <w:rFonts w:cs="Arial"/>
          <w:szCs w:val="24"/>
          <w:vertAlign w:val="superscript"/>
        </w:rPr>
        <w:footnoteReference w:id="5"/>
      </w:r>
      <w:r w:rsidR="00981BBA" w:rsidRPr="00E85D18">
        <w:rPr>
          <w:rFonts w:cs="Arial"/>
          <w:szCs w:val="24"/>
        </w:rPr>
        <w:t xml:space="preserve">  </w:t>
      </w:r>
    </w:p>
    <w:p w14:paraId="49260B0B" w14:textId="6870A9A4" w:rsidR="00981BBA" w:rsidRPr="00E85D18" w:rsidRDefault="00A15714" w:rsidP="00A15714">
      <w:pPr>
        <w:pStyle w:val="WLGLevel2"/>
        <w:numPr>
          <w:ilvl w:val="0"/>
          <w:numId w:val="0"/>
        </w:numPr>
        <w:ind w:left="927" w:hanging="360"/>
        <w:rPr>
          <w:rFonts w:cs="Arial"/>
          <w:szCs w:val="24"/>
        </w:rPr>
      </w:pPr>
      <w:r w:rsidRPr="00E85D18">
        <w:rPr>
          <w:rFonts w:cs="Arial"/>
          <w:szCs w:val="24"/>
        </w:rPr>
        <w:t>8.7</w:t>
      </w:r>
      <w:r w:rsidRPr="00E85D18">
        <w:rPr>
          <w:rFonts w:cs="Arial"/>
          <w:szCs w:val="24"/>
        </w:rPr>
        <w:tab/>
      </w:r>
      <w:r w:rsidR="00981BBA" w:rsidRPr="00E85D18">
        <w:rPr>
          <w:rFonts w:cs="Arial"/>
          <w:szCs w:val="24"/>
        </w:rPr>
        <w:t>Delay in seeking an amendment is, in and of itself, no ground for its refusal.</w:t>
      </w:r>
      <w:r w:rsidR="00981BBA" w:rsidRPr="00E85D18">
        <w:rPr>
          <w:rFonts w:cs="Arial"/>
          <w:szCs w:val="24"/>
          <w:vertAlign w:val="superscript"/>
        </w:rPr>
        <w:footnoteReference w:id="6"/>
      </w:r>
      <w:r w:rsidR="00981BBA" w:rsidRPr="00E85D18">
        <w:rPr>
          <w:rFonts w:cs="Arial"/>
          <w:szCs w:val="24"/>
          <w:vertAlign w:val="superscript"/>
        </w:rPr>
        <w:t xml:space="preserve">  </w:t>
      </w:r>
      <w:r w:rsidR="00981BBA" w:rsidRPr="00E85D18">
        <w:rPr>
          <w:rFonts w:cs="Arial"/>
          <w:szCs w:val="24"/>
        </w:rPr>
        <w:t xml:space="preserve"> </w:t>
      </w:r>
    </w:p>
    <w:p w14:paraId="538291B7" w14:textId="37418AA5" w:rsidR="00981BBA" w:rsidRDefault="00A15714" w:rsidP="00A15714">
      <w:pPr>
        <w:pStyle w:val="WLGLevel2"/>
        <w:numPr>
          <w:ilvl w:val="0"/>
          <w:numId w:val="0"/>
        </w:numPr>
        <w:ind w:left="927" w:hanging="360"/>
        <w:rPr>
          <w:rFonts w:cs="Arial"/>
          <w:szCs w:val="24"/>
        </w:rPr>
      </w:pPr>
      <w:r>
        <w:rPr>
          <w:rFonts w:cs="Arial"/>
          <w:szCs w:val="24"/>
        </w:rPr>
        <w:t>8.8</w:t>
      </w:r>
      <w:r>
        <w:rPr>
          <w:rFonts w:cs="Arial"/>
          <w:szCs w:val="24"/>
        </w:rPr>
        <w:tab/>
      </w:r>
      <w:r w:rsidR="00981BBA" w:rsidRPr="00E85D18">
        <w:rPr>
          <w:rFonts w:cs="Arial"/>
          <w:szCs w:val="24"/>
        </w:rPr>
        <w:t xml:space="preserve">In the absence of prejudice to the other party, leave to amend may be granted </w:t>
      </w:r>
      <w:r w:rsidR="00981BBA" w:rsidRPr="000D051F">
        <w:rPr>
          <w:rFonts w:cs="Arial"/>
          <w:szCs w:val="24"/>
        </w:rPr>
        <w:t>at any stage, however careless the mistake or omission may have been, and however late may be the application for amendment’.</w:t>
      </w:r>
      <w:r w:rsidR="00981BBA" w:rsidRPr="000D051F">
        <w:rPr>
          <w:rStyle w:val="FootnoteReference"/>
          <w:rFonts w:cs="Arial"/>
          <w:szCs w:val="24"/>
        </w:rPr>
        <w:footnoteReference w:id="7"/>
      </w:r>
    </w:p>
    <w:p w14:paraId="52472B92" w14:textId="0A5DD404" w:rsidR="003E0813" w:rsidRDefault="000D051F" w:rsidP="003E0813">
      <w:pPr>
        <w:pStyle w:val="WLGLevel1"/>
        <w:keepNext/>
        <w:numPr>
          <w:ilvl w:val="0"/>
          <w:numId w:val="0"/>
        </w:numPr>
        <w:spacing w:before="480"/>
        <w:rPr>
          <w:rFonts w:cs="Arial"/>
          <w:b/>
          <w:bCs/>
          <w:szCs w:val="24"/>
        </w:rPr>
      </w:pPr>
      <w:r w:rsidRPr="002979C9">
        <w:rPr>
          <w:rFonts w:cs="Arial"/>
          <w:b/>
          <w:bCs/>
          <w:szCs w:val="24"/>
        </w:rPr>
        <w:t xml:space="preserve">WHETHER THE </w:t>
      </w:r>
      <w:r w:rsidR="003E0813" w:rsidRPr="002979C9">
        <w:rPr>
          <w:rFonts w:cs="Arial"/>
          <w:b/>
          <w:bCs/>
          <w:szCs w:val="24"/>
        </w:rPr>
        <w:t xml:space="preserve">REQUIREMENTS </w:t>
      </w:r>
      <w:r w:rsidRPr="002979C9">
        <w:rPr>
          <w:rFonts w:cs="Arial"/>
          <w:b/>
          <w:bCs/>
          <w:szCs w:val="24"/>
        </w:rPr>
        <w:t xml:space="preserve">FOR AN AMENDMENT </w:t>
      </w:r>
      <w:r w:rsidR="003E0813" w:rsidRPr="002979C9">
        <w:rPr>
          <w:rFonts w:cs="Arial"/>
          <w:b/>
          <w:bCs/>
          <w:szCs w:val="24"/>
        </w:rPr>
        <w:t>ARE MET</w:t>
      </w:r>
    </w:p>
    <w:p w14:paraId="5B971457" w14:textId="69768D80" w:rsidR="007F3EE9" w:rsidRPr="007F3EE9" w:rsidRDefault="007F3EE9" w:rsidP="003E0813">
      <w:pPr>
        <w:pStyle w:val="WLGLevel1"/>
        <w:keepNext/>
        <w:numPr>
          <w:ilvl w:val="0"/>
          <w:numId w:val="0"/>
        </w:numPr>
        <w:spacing w:before="480"/>
        <w:rPr>
          <w:rFonts w:cs="Arial"/>
          <w:b/>
          <w:bCs/>
          <w:szCs w:val="24"/>
        </w:rPr>
      </w:pPr>
      <w:r w:rsidRPr="007F3EE9">
        <w:rPr>
          <w:rFonts w:cs="Arial"/>
          <w:b/>
          <w:bCs/>
          <w:szCs w:val="24"/>
        </w:rPr>
        <w:t>New cause of action; alternatively new issue introduced for the first time in a replying affidavit</w:t>
      </w:r>
    </w:p>
    <w:p w14:paraId="235C7154" w14:textId="5E2B2453" w:rsidR="007F3EE9" w:rsidRDefault="007F3EE9" w:rsidP="004200AB">
      <w:pPr>
        <w:pStyle w:val="WLGLevel1"/>
        <w:numPr>
          <w:ilvl w:val="0"/>
          <w:numId w:val="0"/>
        </w:numPr>
        <w:suppressAutoHyphens w:val="0"/>
        <w:rPr>
          <w:rFonts w:cs="Arial"/>
          <w:szCs w:val="24"/>
        </w:rPr>
      </w:pPr>
      <w:r>
        <w:rPr>
          <w:rFonts w:cs="Arial"/>
          <w:szCs w:val="24"/>
        </w:rPr>
        <w:t>[9]</w:t>
      </w:r>
      <w:r>
        <w:rPr>
          <w:rFonts w:cs="Arial"/>
          <w:szCs w:val="24"/>
        </w:rPr>
        <w:tab/>
        <w:t xml:space="preserve">The proposed amendments do not introduce a new cause of action. They relate to the same cause of action that is set out in the applicants’ founding papers, namely, the recovery of monies Mr Lebelo is alleged to have unlawfully received </w:t>
      </w:r>
      <w:r w:rsidRPr="00E85D18">
        <w:rPr>
          <w:rFonts w:cs="Arial"/>
          <w:szCs w:val="24"/>
        </w:rPr>
        <w:t>as the bribe, gratification, and secret profits he unlawfully received, while employed at Transnet</w:t>
      </w:r>
      <w:r>
        <w:rPr>
          <w:rFonts w:cs="Arial"/>
          <w:szCs w:val="24"/>
        </w:rPr>
        <w:t xml:space="preserve"> for </w:t>
      </w:r>
      <w:r>
        <w:rPr>
          <w:rFonts w:cs="Arial"/>
          <w:szCs w:val="24"/>
        </w:rPr>
        <w:lastRenderedPageBreak/>
        <w:t xml:space="preserve">his role in the Superfecta contracts with Transnet. </w:t>
      </w:r>
      <w:r w:rsidRPr="00E85D18">
        <w:rPr>
          <w:rFonts w:cs="Arial"/>
          <w:szCs w:val="24"/>
        </w:rPr>
        <w:t xml:space="preserve"> </w:t>
      </w:r>
      <w:r>
        <w:rPr>
          <w:rFonts w:cs="Arial"/>
          <w:szCs w:val="24"/>
        </w:rPr>
        <w:t xml:space="preserve">Essentially, they mainly seek to increase the amounts claimed. To the extent that these amounts relate to separate transactions, the proposed amendments introduce a new issue. There is no bar to introducing new issues in a replying affidavit. The respondents have been afforded an opportunity to supplement their answering affidavits to respond to the new issue(s) introduced in </w:t>
      </w:r>
      <w:r w:rsidR="006272A9">
        <w:rPr>
          <w:rFonts w:cs="Arial"/>
          <w:szCs w:val="24"/>
        </w:rPr>
        <w:t xml:space="preserve">the applicants’ affidavit. </w:t>
      </w:r>
    </w:p>
    <w:p w14:paraId="59B72A6D" w14:textId="48C16A55" w:rsidR="006272A9" w:rsidRDefault="006272A9" w:rsidP="004200AB">
      <w:pPr>
        <w:pStyle w:val="WLGLevel1"/>
        <w:numPr>
          <w:ilvl w:val="0"/>
          <w:numId w:val="0"/>
        </w:numPr>
        <w:suppressAutoHyphens w:val="0"/>
        <w:rPr>
          <w:rFonts w:cs="Arial"/>
          <w:szCs w:val="24"/>
        </w:rPr>
      </w:pPr>
      <w:r>
        <w:rPr>
          <w:rFonts w:cs="Arial"/>
          <w:szCs w:val="24"/>
        </w:rPr>
        <w:t>[10]</w:t>
      </w:r>
      <w:r>
        <w:rPr>
          <w:rFonts w:cs="Arial"/>
          <w:szCs w:val="24"/>
        </w:rPr>
        <w:tab/>
        <w:t>The</w:t>
      </w:r>
      <w:r w:rsidR="00F92B87">
        <w:rPr>
          <w:rFonts w:cs="Arial"/>
          <w:szCs w:val="24"/>
        </w:rPr>
        <w:t xml:space="preserve"> respondents</w:t>
      </w:r>
      <w:r>
        <w:rPr>
          <w:rFonts w:cs="Arial"/>
          <w:szCs w:val="24"/>
        </w:rPr>
        <w:t xml:space="preserve"> will have an opportunity in the main proceedings to petition the Tribunal for compensation for any wasted costs occasioned by this belated amendment. </w:t>
      </w:r>
    </w:p>
    <w:p w14:paraId="3E7C33E1" w14:textId="3F1923CF" w:rsidR="007F3EE9" w:rsidRDefault="006272A9" w:rsidP="007F3EE9">
      <w:pPr>
        <w:pStyle w:val="WLGLevel1"/>
        <w:numPr>
          <w:ilvl w:val="0"/>
          <w:numId w:val="0"/>
        </w:numPr>
        <w:ind w:left="567" w:hanging="567"/>
        <w:rPr>
          <w:rFonts w:cs="Arial"/>
          <w:b/>
          <w:bCs/>
        </w:rPr>
      </w:pPr>
      <w:r w:rsidRPr="006272A9">
        <w:rPr>
          <w:rFonts w:cs="Arial"/>
          <w:b/>
          <w:bCs/>
        </w:rPr>
        <w:t>No explanation is tendered for the belated proposed amendments</w:t>
      </w:r>
    </w:p>
    <w:p w14:paraId="58AC6B62" w14:textId="4E6DAE1E" w:rsidR="006272A9" w:rsidRPr="006272A9" w:rsidRDefault="006272A9" w:rsidP="004200AB">
      <w:pPr>
        <w:pStyle w:val="WLGLevel1"/>
        <w:numPr>
          <w:ilvl w:val="0"/>
          <w:numId w:val="0"/>
        </w:numPr>
        <w:rPr>
          <w:rFonts w:cs="Arial"/>
          <w:szCs w:val="24"/>
        </w:rPr>
      </w:pPr>
      <w:r w:rsidRPr="006272A9">
        <w:rPr>
          <w:rFonts w:cs="Arial"/>
        </w:rPr>
        <w:t>[11]</w:t>
      </w:r>
      <w:r w:rsidRPr="006272A9">
        <w:rPr>
          <w:rFonts w:cs="Arial"/>
        </w:rPr>
        <w:tab/>
        <w:t xml:space="preserve">Contrary to the contention by Superfecta, the applicants have tendered an explanation for the amendments. </w:t>
      </w:r>
    </w:p>
    <w:p w14:paraId="07561F8C" w14:textId="33D0C75C" w:rsidR="003E0813" w:rsidRDefault="00ED4D1F" w:rsidP="004200AB">
      <w:pPr>
        <w:pStyle w:val="WLGLevel1"/>
        <w:numPr>
          <w:ilvl w:val="0"/>
          <w:numId w:val="0"/>
        </w:numPr>
        <w:rPr>
          <w:rFonts w:cs="Arial"/>
          <w:szCs w:val="24"/>
        </w:rPr>
      </w:pPr>
      <w:r>
        <w:rPr>
          <w:rFonts w:cs="Arial"/>
          <w:szCs w:val="24"/>
        </w:rPr>
        <w:t>[12]</w:t>
      </w:r>
      <w:r>
        <w:rPr>
          <w:rFonts w:cs="Arial"/>
          <w:szCs w:val="24"/>
        </w:rPr>
        <w:tab/>
        <w:t>Regarding</w:t>
      </w:r>
      <w:r w:rsidR="003E0813" w:rsidRPr="00E85D18">
        <w:rPr>
          <w:rFonts w:cs="Arial"/>
          <w:szCs w:val="24"/>
        </w:rPr>
        <w:t xml:space="preserve"> prayer 5</w:t>
      </w:r>
      <w:r>
        <w:rPr>
          <w:rFonts w:cs="Arial"/>
          <w:szCs w:val="24"/>
        </w:rPr>
        <w:t>, t</w:t>
      </w:r>
      <w:r w:rsidR="003E0813" w:rsidRPr="00E85D18">
        <w:rPr>
          <w:rFonts w:cs="Arial"/>
          <w:szCs w:val="24"/>
        </w:rPr>
        <w:t xml:space="preserve">he </w:t>
      </w:r>
      <w:r>
        <w:rPr>
          <w:rFonts w:cs="Arial"/>
          <w:szCs w:val="24"/>
        </w:rPr>
        <w:t xml:space="preserve">applicants’ explanation for not including the relevant transaction in their founding papers is that they only </w:t>
      </w:r>
      <w:r w:rsidR="003E0813" w:rsidRPr="00E85D18">
        <w:rPr>
          <w:rFonts w:cs="Arial"/>
          <w:szCs w:val="24"/>
        </w:rPr>
        <w:t xml:space="preserve">identiﬁed </w:t>
      </w:r>
      <w:r>
        <w:rPr>
          <w:rFonts w:cs="Arial"/>
          <w:szCs w:val="24"/>
        </w:rPr>
        <w:t xml:space="preserve">the payment in December 2022 </w:t>
      </w:r>
      <w:r w:rsidR="003E0813" w:rsidRPr="00E85D18">
        <w:rPr>
          <w:rFonts w:cs="Arial"/>
          <w:szCs w:val="24"/>
        </w:rPr>
        <w:t>after the founding papers were ﬁled and upon receipt of Mr Mphephu's bank statements. The SIU had obtained Mr Lebelo's bank statements on or about 26 July 2022, before the founding afﬁdavit was ﬁled, but did not have any contra-account information.  The reference on Mr Lebelo’s bank statement for the R100,000.00 payment of 21 January 2019 was “IB Payment from Dollars”. Since the reference is cryptic, it was not possible to identify the source of this payment at that stage.  The SIU received Mr Mphephu's Standard Bank account records on or about 22 December 2022 and analysed them in January 2023</w:t>
      </w:r>
      <w:r>
        <w:rPr>
          <w:rFonts w:cs="Arial"/>
          <w:szCs w:val="24"/>
        </w:rPr>
        <w:t xml:space="preserve">. Only then did they learn </w:t>
      </w:r>
      <w:r w:rsidR="003E0813" w:rsidRPr="00E85D18">
        <w:rPr>
          <w:rFonts w:cs="Arial"/>
          <w:szCs w:val="24"/>
        </w:rPr>
        <w:t>for the first time that Mr Mphephu had made the payment to Mr Lebelo.</w:t>
      </w:r>
    </w:p>
    <w:p w14:paraId="3B90C6EC" w14:textId="77777777" w:rsidR="00DA4B7B" w:rsidRDefault="00ED4D1F" w:rsidP="004200AB">
      <w:pPr>
        <w:pStyle w:val="WLGLevel1"/>
        <w:numPr>
          <w:ilvl w:val="0"/>
          <w:numId w:val="0"/>
        </w:numPr>
        <w:rPr>
          <w:rFonts w:cs="Arial"/>
          <w:szCs w:val="24"/>
        </w:rPr>
      </w:pPr>
      <w:r>
        <w:rPr>
          <w:rFonts w:cs="Arial"/>
          <w:szCs w:val="24"/>
        </w:rPr>
        <w:lastRenderedPageBreak/>
        <w:t>[13]</w:t>
      </w:r>
      <w:r>
        <w:rPr>
          <w:rFonts w:cs="Arial"/>
          <w:szCs w:val="24"/>
        </w:rPr>
        <w:tab/>
        <w:t xml:space="preserve">The applicants did not seek an amendment to prayer 5 earlier. </w:t>
      </w:r>
      <w:r w:rsidR="00DA4B7B">
        <w:rPr>
          <w:rFonts w:cs="Arial"/>
          <w:szCs w:val="24"/>
        </w:rPr>
        <w:t xml:space="preserve">Investigations were ongoing. In the meantime, other payments that constitute its cause of action were unearthed. </w:t>
      </w:r>
      <w:r>
        <w:rPr>
          <w:rFonts w:cs="Arial"/>
          <w:szCs w:val="24"/>
        </w:rPr>
        <w:t xml:space="preserve">As advised by their legal representatives, they only sought the proposed amendment in their replying affidavit </w:t>
      </w:r>
      <w:r w:rsidR="003E0813" w:rsidRPr="00E85D18">
        <w:rPr>
          <w:rFonts w:cs="Arial"/>
          <w:szCs w:val="24"/>
        </w:rPr>
        <w:t xml:space="preserve">having regard to all the information at the applicants’ disposal and considering all the additional alleged gratifications that had by then been uncovered.  </w:t>
      </w:r>
      <w:r w:rsidR="00DA4B7B">
        <w:rPr>
          <w:rFonts w:cs="Arial"/>
          <w:szCs w:val="24"/>
        </w:rPr>
        <w:t>Cumulatively, these payments amount to approximately R1 million. Bringing amendment applications each time every payment was uncovered would have been costly, tedious and would have only delayed the closing of pleadings.</w:t>
      </w:r>
    </w:p>
    <w:p w14:paraId="704B3F8D" w14:textId="58F30913" w:rsidR="00DA4B7B" w:rsidRDefault="00DA4B7B" w:rsidP="004200AB">
      <w:pPr>
        <w:pStyle w:val="WLGLevel1"/>
        <w:numPr>
          <w:ilvl w:val="0"/>
          <w:numId w:val="0"/>
        </w:numPr>
        <w:rPr>
          <w:rFonts w:cs="Arial"/>
          <w:szCs w:val="24"/>
        </w:rPr>
      </w:pPr>
      <w:r>
        <w:rPr>
          <w:rFonts w:cs="Arial"/>
          <w:szCs w:val="24"/>
        </w:rPr>
        <w:t>[14]</w:t>
      </w:r>
      <w:r>
        <w:rPr>
          <w:rFonts w:cs="Arial"/>
          <w:szCs w:val="24"/>
        </w:rPr>
        <w:tab/>
        <w:t xml:space="preserve">Regarding </w:t>
      </w:r>
      <w:r w:rsidR="003E0813" w:rsidRPr="00E85D18">
        <w:rPr>
          <w:rFonts w:cs="Arial"/>
          <w:szCs w:val="24"/>
        </w:rPr>
        <w:t>prayer 6.1</w:t>
      </w:r>
      <w:r>
        <w:rPr>
          <w:rFonts w:cs="Arial"/>
          <w:szCs w:val="24"/>
        </w:rPr>
        <w:t xml:space="preserve">, the applicants had explained at paragraphs 176 to 179 of  the founding affidavit that </w:t>
      </w:r>
      <w:r w:rsidR="003E0813" w:rsidRPr="00E85D18">
        <w:rPr>
          <w:rFonts w:cs="Arial"/>
          <w:szCs w:val="24"/>
        </w:rPr>
        <w:t xml:space="preserve">the full purchase price of the Diepsloot property was R2,3 million.  At the time, the SIU had traced the R2 million deposit Tonkin Clacey received on 30 July 2018 </w:t>
      </w:r>
      <w:r w:rsidR="00F92B87">
        <w:rPr>
          <w:rFonts w:cs="Arial"/>
          <w:szCs w:val="24"/>
        </w:rPr>
        <w:t>from</w:t>
      </w:r>
      <w:r w:rsidR="003E0813" w:rsidRPr="00E85D18">
        <w:rPr>
          <w:rFonts w:cs="Arial"/>
          <w:szCs w:val="24"/>
        </w:rPr>
        <w:t xml:space="preserve"> Mr Khoncha.  However, two further payments were made to Tonkin Clacey towards the purchase price which the SIU had not been able to trace before filing the founding papers.  These were</w:t>
      </w:r>
      <w:r>
        <w:rPr>
          <w:rFonts w:cs="Arial"/>
          <w:szCs w:val="24"/>
        </w:rPr>
        <w:t xml:space="preserve"> a </w:t>
      </w:r>
      <w:r w:rsidR="003E0813" w:rsidRPr="00E85D18">
        <w:rPr>
          <w:rFonts w:cs="Arial"/>
          <w:szCs w:val="24"/>
        </w:rPr>
        <w:t xml:space="preserve">cash deposit of R230,000 on 23 June 2018; and another EFT of R70,000 on 30 July 2018. </w:t>
      </w:r>
    </w:p>
    <w:p w14:paraId="68C2573F" w14:textId="7C0B38C2" w:rsidR="00DA4B7B" w:rsidRDefault="00DA4B7B" w:rsidP="004200AB">
      <w:pPr>
        <w:pStyle w:val="WLGLevel1"/>
        <w:numPr>
          <w:ilvl w:val="0"/>
          <w:numId w:val="0"/>
        </w:numPr>
        <w:rPr>
          <w:rFonts w:cs="Arial"/>
          <w:szCs w:val="24"/>
        </w:rPr>
      </w:pPr>
      <w:r>
        <w:rPr>
          <w:rFonts w:cs="Arial"/>
          <w:szCs w:val="24"/>
        </w:rPr>
        <w:t>[15]</w:t>
      </w:r>
      <w:r>
        <w:rPr>
          <w:rFonts w:cs="Arial"/>
          <w:szCs w:val="24"/>
        </w:rPr>
        <w:tab/>
      </w:r>
      <w:r w:rsidR="003E0813" w:rsidRPr="00E85D18">
        <w:rPr>
          <w:rFonts w:cs="Arial"/>
          <w:szCs w:val="24"/>
        </w:rPr>
        <w:t xml:space="preserve">In his answering affidavit, Mr Mashamba averred that </w:t>
      </w:r>
      <w:r w:rsidR="003E0813" w:rsidRPr="00E85D18">
        <w:rPr>
          <w:rFonts w:cs="Arial"/>
          <w:i/>
          <w:iCs/>
          <w:szCs w:val="24"/>
        </w:rPr>
        <w:t>“I advanced the sum of R300 000.00 in terms of the agreement with Mr Khoncha so I admit that the unknown person who made the deposit was in fact me.”</w:t>
      </w:r>
      <w:r w:rsidR="003E0813" w:rsidRPr="00E85D18">
        <w:rPr>
          <w:rFonts w:cs="Arial"/>
          <w:szCs w:val="24"/>
        </w:rPr>
        <w:t xml:space="preserve">  Mr Mashamba provided no evidence to support his averment. </w:t>
      </w:r>
      <w:r w:rsidR="00010C51">
        <w:rPr>
          <w:rFonts w:cs="Arial"/>
          <w:szCs w:val="24"/>
        </w:rPr>
        <w:t>During</w:t>
      </w:r>
      <w:r>
        <w:rPr>
          <w:rFonts w:cs="Arial"/>
          <w:szCs w:val="24"/>
        </w:rPr>
        <w:t xml:space="preserve"> its investigation, the </w:t>
      </w:r>
      <w:r w:rsidR="003E0813" w:rsidRPr="00E85D18">
        <w:rPr>
          <w:rFonts w:cs="Arial"/>
          <w:szCs w:val="24"/>
        </w:rPr>
        <w:t xml:space="preserve"> SIU sought to verify Mr Mashamba’s claim.  It established that the EFT payment of R70,000 to Tonkin Clacey on 30 July 2018 was derived from another bank account held in Mr Khoncha’s name</w:t>
      </w:r>
      <w:r>
        <w:rPr>
          <w:rFonts w:cs="Arial"/>
          <w:szCs w:val="24"/>
        </w:rPr>
        <w:t xml:space="preserve">. </w:t>
      </w:r>
      <w:r w:rsidR="003E0813" w:rsidRPr="00E85D18">
        <w:rPr>
          <w:rFonts w:cs="Arial"/>
          <w:szCs w:val="24"/>
        </w:rPr>
        <w:t xml:space="preserve">These banking records prove </w:t>
      </w:r>
      <w:r w:rsidR="00010C51" w:rsidRPr="00E85D18">
        <w:rPr>
          <w:rFonts w:cs="Arial"/>
          <w:szCs w:val="24"/>
        </w:rPr>
        <w:t>that</w:t>
      </w:r>
      <w:r w:rsidR="003E0813" w:rsidRPr="00E85D18">
        <w:rPr>
          <w:rFonts w:cs="Arial"/>
          <w:szCs w:val="24"/>
        </w:rPr>
        <w:t xml:space="preserve"> contrary to his evidence under oath, it was not Mr Mashamba who made the R70,000 payment, but Mr Khoncha.  </w:t>
      </w:r>
    </w:p>
    <w:p w14:paraId="16E667FF" w14:textId="704F74F9" w:rsidR="003E0813" w:rsidRDefault="00DA4B7B" w:rsidP="004200AB">
      <w:pPr>
        <w:pStyle w:val="WLGLevel1"/>
        <w:numPr>
          <w:ilvl w:val="0"/>
          <w:numId w:val="0"/>
        </w:numPr>
        <w:rPr>
          <w:rFonts w:cs="Arial"/>
          <w:szCs w:val="24"/>
        </w:rPr>
      </w:pPr>
      <w:r>
        <w:rPr>
          <w:rFonts w:cs="Arial"/>
          <w:szCs w:val="24"/>
        </w:rPr>
        <w:lastRenderedPageBreak/>
        <w:t>[16]</w:t>
      </w:r>
      <w:r>
        <w:rPr>
          <w:rFonts w:cs="Arial"/>
          <w:szCs w:val="24"/>
        </w:rPr>
        <w:tab/>
      </w:r>
      <w:r w:rsidR="003E0813" w:rsidRPr="00E85D18">
        <w:rPr>
          <w:rFonts w:cs="Arial"/>
          <w:szCs w:val="24"/>
        </w:rPr>
        <w:t xml:space="preserve">The same transaction reference was used for all three payments to Tonkin Clacey for the purchase of the Diepsloot property, i.e., the initial cash deposit of R230,000.00 made on 23 June 2018; the R70,000.00 paid from Mr Khoncha’s FNB account on 30 July 2018; and the R2 million paid from Mr Khoncha’s Standard Bank account on 30 July 2018. Given the common transaction reference, and the absence of any evidence that Mr Mashamba paid the cash deposit of R230,000.00 as he had claimed, the </w:t>
      </w:r>
      <w:r w:rsidR="004200AB">
        <w:rPr>
          <w:rFonts w:cs="Arial"/>
          <w:szCs w:val="24"/>
        </w:rPr>
        <w:t xml:space="preserve">conclusion the </w:t>
      </w:r>
      <w:r w:rsidR="003E0813" w:rsidRPr="00E85D18">
        <w:rPr>
          <w:rFonts w:cs="Arial"/>
          <w:szCs w:val="24"/>
        </w:rPr>
        <w:t xml:space="preserve">SIU </w:t>
      </w:r>
      <w:r w:rsidR="004200AB">
        <w:rPr>
          <w:rFonts w:cs="Arial"/>
          <w:szCs w:val="24"/>
        </w:rPr>
        <w:t xml:space="preserve">seeks drawn, </w:t>
      </w:r>
      <w:r w:rsidR="003E0813" w:rsidRPr="00E85D18">
        <w:rPr>
          <w:rFonts w:cs="Arial"/>
          <w:szCs w:val="24"/>
        </w:rPr>
        <w:t>that Mr Khoncha also made this payment on Superfecta’s behalf for Mr Mashamba’s benefit</w:t>
      </w:r>
      <w:r w:rsidR="004200AB">
        <w:rPr>
          <w:rFonts w:cs="Arial"/>
          <w:szCs w:val="24"/>
        </w:rPr>
        <w:t xml:space="preserve"> is supported by its version, which is Superfecta has not seriously disputed. </w:t>
      </w:r>
      <w:r w:rsidR="003E0813" w:rsidRPr="00E85D18">
        <w:rPr>
          <w:rFonts w:cs="Arial"/>
          <w:szCs w:val="24"/>
        </w:rPr>
        <w:t xml:space="preserve">  </w:t>
      </w:r>
    </w:p>
    <w:p w14:paraId="67A1DE28" w14:textId="750FBE29" w:rsidR="00063D56" w:rsidRPr="00063D56" w:rsidRDefault="00063D56" w:rsidP="00DA4B7B">
      <w:pPr>
        <w:pStyle w:val="WLGLevel1"/>
        <w:numPr>
          <w:ilvl w:val="0"/>
          <w:numId w:val="0"/>
        </w:numPr>
        <w:ind w:left="567" w:hanging="567"/>
        <w:rPr>
          <w:rFonts w:cs="Arial"/>
          <w:b/>
          <w:bCs/>
          <w:szCs w:val="24"/>
        </w:rPr>
      </w:pPr>
      <w:r w:rsidRPr="00063D56">
        <w:rPr>
          <w:rFonts w:cs="Arial"/>
          <w:b/>
          <w:bCs/>
          <w:szCs w:val="24"/>
        </w:rPr>
        <w:t xml:space="preserve">Bona fides, </w:t>
      </w:r>
      <w:r w:rsidR="00010C51" w:rsidRPr="00063D56">
        <w:rPr>
          <w:rFonts w:cs="Arial"/>
          <w:b/>
          <w:bCs/>
          <w:szCs w:val="24"/>
        </w:rPr>
        <w:t>prejudice,</w:t>
      </w:r>
      <w:r w:rsidRPr="00063D56">
        <w:rPr>
          <w:rFonts w:cs="Arial"/>
          <w:b/>
          <w:bCs/>
          <w:szCs w:val="24"/>
        </w:rPr>
        <w:t xml:space="preserve"> and the interests of justice</w:t>
      </w:r>
    </w:p>
    <w:p w14:paraId="1E901365" w14:textId="77777777" w:rsidR="00063D56" w:rsidRDefault="00063D56" w:rsidP="004200AB">
      <w:pPr>
        <w:pStyle w:val="WLGLevel1"/>
        <w:numPr>
          <w:ilvl w:val="0"/>
          <w:numId w:val="0"/>
        </w:numPr>
        <w:rPr>
          <w:rFonts w:cs="Arial"/>
          <w:szCs w:val="24"/>
        </w:rPr>
      </w:pPr>
      <w:r>
        <w:rPr>
          <w:rFonts w:cs="Arial"/>
          <w:szCs w:val="24"/>
        </w:rPr>
        <w:t>[17]</w:t>
      </w:r>
      <w:r>
        <w:rPr>
          <w:rFonts w:cs="Arial"/>
          <w:szCs w:val="24"/>
        </w:rPr>
        <w:tab/>
        <w:t xml:space="preserve">The allegation that the proposed amendments are not made bona fide is baldly made without substantiation. The explanation the applicants have put forward for the proposed amendments and their timing is rational. Superfacta has not meaningfully counteracted it. </w:t>
      </w:r>
    </w:p>
    <w:p w14:paraId="3C482853" w14:textId="262EE802" w:rsidR="00063D56" w:rsidRDefault="00063D56" w:rsidP="004200AB">
      <w:pPr>
        <w:pStyle w:val="WLGLevel1"/>
        <w:numPr>
          <w:ilvl w:val="0"/>
          <w:numId w:val="0"/>
        </w:numPr>
        <w:rPr>
          <w:rFonts w:cs="Arial"/>
          <w:szCs w:val="24"/>
        </w:rPr>
      </w:pPr>
      <w:r>
        <w:rPr>
          <w:rFonts w:cs="Arial"/>
          <w:szCs w:val="24"/>
        </w:rPr>
        <w:t>[18]</w:t>
      </w:r>
      <w:r>
        <w:rPr>
          <w:rFonts w:cs="Arial"/>
          <w:szCs w:val="24"/>
        </w:rPr>
        <w:tab/>
        <w:t xml:space="preserve">The allegation that the </w:t>
      </w:r>
      <w:r w:rsidR="004200AB">
        <w:rPr>
          <w:rFonts w:cs="Arial"/>
          <w:szCs w:val="24"/>
        </w:rPr>
        <w:t xml:space="preserve">proposed amendment </w:t>
      </w:r>
      <w:r>
        <w:rPr>
          <w:rFonts w:cs="Arial"/>
          <w:szCs w:val="24"/>
        </w:rPr>
        <w:t xml:space="preserve">is prejudicial to Superfecta and not in the interests of justice has also not been substantiated.  The proposed amendments mainly relate to the quantum of the applicants’ claims. They relate to the same cause of action. The applicants have afforded the respondents an opportunity to supplement their answering affidavit to deal with the new issues on which the proposed amendments are based. The issues are narrow and within the respondents’ personal knowledge. It is clearly in the interests of justice that, if the applicants successfully establish their cause of action, they recover these amounts from the respondents. </w:t>
      </w:r>
    </w:p>
    <w:p w14:paraId="69852C95" w14:textId="1C9F42C0" w:rsidR="00063D56" w:rsidRDefault="00063D56" w:rsidP="004200AB">
      <w:pPr>
        <w:pStyle w:val="WLGLevel1"/>
        <w:numPr>
          <w:ilvl w:val="0"/>
          <w:numId w:val="0"/>
        </w:numPr>
        <w:rPr>
          <w:rFonts w:cs="Arial"/>
          <w:szCs w:val="24"/>
        </w:rPr>
      </w:pPr>
      <w:r>
        <w:rPr>
          <w:rFonts w:cs="Arial"/>
          <w:szCs w:val="24"/>
        </w:rPr>
        <w:lastRenderedPageBreak/>
        <w:t>[19]</w:t>
      </w:r>
      <w:r>
        <w:rPr>
          <w:rFonts w:cs="Arial"/>
          <w:szCs w:val="24"/>
        </w:rPr>
        <w:tab/>
        <w:t xml:space="preserve">Superfecta has not established that if the amendments are allowed, it will suffer any prejudice that cannot be compensated by a compensatory cost order.  </w:t>
      </w:r>
    </w:p>
    <w:p w14:paraId="745192E8" w14:textId="35088FE4" w:rsidR="002979C9" w:rsidRDefault="002979C9" w:rsidP="004200AB">
      <w:pPr>
        <w:pStyle w:val="WLGLevel1"/>
        <w:numPr>
          <w:ilvl w:val="0"/>
          <w:numId w:val="0"/>
        </w:numPr>
        <w:rPr>
          <w:rFonts w:cs="Arial"/>
          <w:szCs w:val="24"/>
        </w:rPr>
      </w:pPr>
      <w:r>
        <w:rPr>
          <w:rFonts w:cs="Arial"/>
          <w:szCs w:val="24"/>
        </w:rPr>
        <w:t>[20]</w:t>
      </w:r>
      <w:r>
        <w:rPr>
          <w:rFonts w:cs="Arial"/>
          <w:szCs w:val="24"/>
        </w:rPr>
        <w:tab/>
        <w:t>In the result, Superfecta’s grounds of opposition fall to be dismissed. The applicants</w:t>
      </w:r>
      <w:r w:rsidR="00010C51">
        <w:rPr>
          <w:rFonts w:cs="Arial"/>
          <w:szCs w:val="24"/>
        </w:rPr>
        <w:t>’</w:t>
      </w:r>
      <w:r>
        <w:rPr>
          <w:rFonts w:cs="Arial"/>
          <w:szCs w:val="24"/>
        </w:rPr>
        <w:t xml:space="preserve"> amendment application </w:t>
      </w:r>
      <w:r w:rsidR="00010C51">
        <w:rPr>
          <w:rFonts w:cs="Arial"/>
          <w:szCs w:val="24"/>
        </w:rPr>
        <w:t>stands</w:t>
      </w:r>
      <w:r>
        <w:rPr>
          <w:rFonts w:cs="Arial"/>
          <w:szCs w:val="24"/>
        </w:rPr>
        <w:t xml:space="preserve"> to succeed.</w:t>
      </w:r>
    </w:p>
    <w:p w14:paraId="2AE95D85" w14:textId="77777777" w:rsidR="00063D56" w:rsidRDefault="00063D56" w:rsidP="00063D56">
      <w:pPr>
        <w:pStyle w:val="WLGLevel1"/>
        <w:numPr>
          <w:ilvl w:val="0"/>
          <w:numId w:val="0"/>
        </w:numPr>
        <w:ind w:left="567" w:hanging="567"/>
        <w:rPr>
          <w:rFonts w:cs="Arial"/>
          <w:szCs w:val="24"/>
        </w:rPr>
      </w:pPr>
    </w:p>
    <w:p w14:paraId="2C9AD63D" w14:textId="1D307889" w:rsidR="00063D56" w:rsidRDefault="00063D56" w:rsidP="00063D56">
      <w:pPr>
        <w:pStyle w:val="WLGLevel1"/>
        <w:numPr>
          <w:ilvl w:val="0"/>
          <w:numId w:val="0"/>
        </w:numPr>
        <w:ind w:left="567" w:hanging="567"/>
        <w:rPr>
          <w:rFonts w:cs="Arial"/>
          <w:b/>
          <w:bCs/>
          <w:szCs w:val="24"/>
        </w:rPr>
      </w:pPr>
      <w:r w:rsidRPr="00063D56">
        <w:rPr>
          <w:rFonts w:cs="Arial"/>
          <w:b/>
          <w:bCs/>
          <w:szCs w:val="24"/>
        </w:rPr>
        <w:t>COSTS</w:t>
      </w:r>
    </w:p>
    <w:p w14:paraId="250EB5D5" w14:textId="1BB0F1B6" w:rsidR="00063D56" w:rsidRDefault="00063D56" w:rsidP="004200AB">
      <w:pPr>
        <w:pStyle w:val="WLGLevel1"/>
        <w:numPr>
          <w:ilvl w:val="0"/>
          <w:numId w:val="0"/>
        </w:numPr>
        <w:rPr>
          <w:rFonts w:cs="Arial"/>
          <w:szCs w:val="24"/>
        </w:rPr>
      </w:pPr>
      <w:r w:rsidRPr="002979C9">
        <w:rPr>
          <w:rFonts w:cs="Arial"/>
          <w:szCs w:val="24"/>
        </w:rPr>
        <w:t>[2</w:t>
      </w:r>
      <w:r w:rsidR="002979C9" w:rsidRPr="002979C9">
        <w:rPr>
          <w:rFonts w:cs="Arial"/>
          <w:szCs w:val="24"/>
        </w:rPr>
        <w:t>1</w:t>
      </w:r>
      <w:r w:rsidRPr="002979C9">
        <w:rPr>
          <w:rFonts w:cs="Arial"/>
          <w:szCs w:val="24"/>
        </w:rPr>
        <w:t>]</w:t>
      </w:r>
      <w:r>
        <w:rPr>
          <w:rFonts w:cs="Arial"/>
          <w:b/>
          <w:bCs/>
          <w:szCs w:val="24"/>
        </w:rPr>
        <w:tab/>
      </w:r>
      <w:r w:rsidRPr="002979C9">
        <w:rPr>
          <w:rFonts w:cs="Arial"/>
          <w:szCs w:val="24"/>
        </w:rPr>
        <w:t xml:space="preserve">The applicants seek </w:t>
      </w:r>
      <w:r w:rsidR="002979C9" w:rsidRPr="002979C9">
        <w:rPr>
          <w:rFonts w:cs="Arial"/>
          <w:szCs w:val="24"/>
        </w:rPr>
        <w:t xml:space="preserve">the costs of Superfecta’s opposition as it was not warranted. I am satisfied that they should be awarded these costs. From the reasons set out above, </w:t>
      </w:r>
      <w:r w:rsidR="00010C51" w:rsidRPr="002979C9">
        <w:rPr>
          <w:rFonts w:cs="Arial"/>
          <w:szCs w:val="24"/>
        </w:rPr>
        <w:t>Superfecta’s</w:t>
      </w:r>
      <w:r w:rsidR="002979C9" w:rsidRPr="002979C9">
        <w:rPr>
          <w:rFonts w:cs="Arial"/>
          <w:szCs w:val="24"/>
        </w:rPr>
        <w:t xml:space="preserve"> opposition was not warranted because none of its grounds of opposition were sustainable, and most were merely made without any substantive basis. </w:t>
      </w:r>
    </w:p>
    <w:p w14:paraId="139BA587" w14:textId="77777777" w:rsidR="004200AB" w:rsidRDefault="004200AB" w:rsidP="00063D56">
      <w:pPr>
        <w:pStyle w:val="WLGLevel1"/>
        <w:numPr>
          <w:ilvl w:val="0"/>
          <w:numId w:val="0"/>
        </w:numPr>
        <w:ind w:left="567" w:hanging="567"/>
        <w:rPr>
          <w:rFonts w:cs="Arial"/>
          <w:b/>
          <w:bCs/>
          <w:szCs w:val="24"/>
        </w:rPr>
      </w:pPr>
    </w:p>
    <w:p w14:paraId="7D4E6A92" w14:textId="70875A2F" w:rsidR="002979C9" w:rsidRDefault="002979C9" w:rsidP="00063D56">
      <w:pPr>
        <w:pStyle w:val="WLGLevel1"/>
        <w:numPr>
          <w:ilvl w:val="0"/>
          <w:numId w:val="0"/>
        </w:numPr>
        <w:ind w:left="567" w:hanging="567"/>
        <w:rPr>
          <w:rFonts w:cs="Arial"/>
          <w:b/>
          <w:bCs/>
          <w:szCs w:val="24"/>
        </w:rPr>
      </w:pPr>
      <w:r w:rsidRPr="002979C9">
        <w:rPr>
          <w:rFonts w:cs="Arial"/>
          <w:b/>
          <w:bCs/>
          <w:szCs w:val="24"/>
        </w:rPr>
        <w:t>ORDER</w:t>
      </w:r>
    </w:p>
    <w:p w14:paraId="4043C115" w14:textId="6CFF4B2E" w:rsidR="00F92B87" w:rsidRDefault="00F92B87" w:rsidP="00F92B87">
      <w:pPr>
        <w:pStyle w:val="NormalWeb"/>
        <w:spacing w:before="320" w:beforeAutospacing="0" w:after="320" w:afterAutospacing="0" w:line="480" w:lineRule="auto"/>
        <w:ind w:hanging="567"/>
        <w:jc w:val="both"/>
      </w:pPr>
      <w:r>
        <w:rPr>
          <w:rFonts w:ascii="Arial" w:hAnsi="Arial" w:cs="Arial"/>
          <w:color w:val="000000"/>
        </w:rPr>
        <w:t>[22]</w:t>
      </w:r>
      <w:r>
        <w:rPr>
          <w:rFonts w:ascii="Arial" w:hAnsi="Arial" w:cs="Arial"/>
          <w:color w:val="000000"/>
        </w:rPr>
        <w:tab/>
        <w:t>The following order is made:</w:t>
      </w:r>
    </w:p>
    <w:p w14:paraId="02530FA9" w14:textId="43B2C086" w:rsidR="00F92B87" w:rsidRPr="004200AB" w:rsidRDefault="00A15714" w:rsidP="00A15714">
      <w:pPr>
        <w:pStyle w:val="NormalWeb"/>
        <w:tabs>
          <w:tab w:val="left" w:pos="720"/>
        </w:tabs>
        <w:spacing w:before="320" w:beforeAutospacing="0" w:after="320" w:afterAutospacing="0" w:line="480" w:lineRule="auto"/>
        <w:ind w:left="360" w:hanging="360"/>
        <w:jc w:val="both"/>
        <w:textAlignment w:val="baseline"/>
        <w:rPr>
          <w:rFonts w:ascii="Arial" w:hAnsi="Arial" w:cs="Arial"/>
          <w:color w:val="000000"/>
        </w:rPr>
      </w:pPr>
      <w:r w:rsidRPr="004200AB">
        <w:rPr>
          <w:rFonts w:ascii="Arial" w:hAnsi="Arial" w:cs="Arial"/>
          <w:color w:val="000000"/>
        </w:rPr>
        <w:t>1.</w:t>
      </w:r>
      <w:r w:rsidRPr="004200AB">
        <w:rPr>
          <w:rFonts w:ascii="Arial" w:hAnsi="Arial" w:cs="Arial"/>
          <w:color w:val="000000"/>
        </w:rPr>
        <w:tab/>
      </w:r>
      <w:r w:rsidR="00F92B87" w:rsidRPr="004200AB">
        <w:rPr>
          <w:rFonts w:ascii="Arial" w:hAnsi="Arial" w:cs="Arial"/>
          <w:color w:val="000000"/>
        </w:rPr>
        <w:t>Prayer 5 is amended to read as follows (with insertion underlined):</w:t>
      </w:r>
    </w:p>
    <w:p w14:paraId="478C6F61" w14:textId="77777777" w:rsidR="00F92B87" w:rsidRPr="004200AB" w:rsidRDefault="00F92B87" w:rsidP="00F92B87">
      <w:pPr>
        <w:pStyle w:val="NormalWeb"/>
        <w:spacing w:before="320" w:beforeAutospacing="0" w:after="320" w:afterAutospacing="0" w:line="480" w:lineRule="auto"/>
        <w:ind w:left="1440" w:hanging="720"/>
        <w:jc w:val="both"/>
      </w:pPr>
      <w:r w:rsidRPr="004200AB">
        <w:rPr>
          <w:rFonts w:ascii="Arial" w:hAnsi="Arial" w:cs="Arial"/>
          <w:i/>
          <w:iCs/>
          <w:color w:val="000000"/>
        </w:rPr>
        <w:t xml:space="preserve">“5. </w:t>
      </w:r>
      <w:r w:rsidRPr="004200AB">
        <w:rPr>
          <w:rStyle w:val="apple-tab-span"/>
          <w:rFonts w:ascii="Arial" w:eastAsiaTheme="majorEastAsia" w:hAnsi="Arial" w:cs="Arial"/>
          <w:i/>
          <w:iCs/>
          <w:color w:val="000000"/>
        </w:rPr>
        <w:tab/>
      </w:r>
      <w:r w:rsidRPr="004200AB">
        <w:rPr>
          <w:rFonts w:ascii="Arial" w:hAnsi="Arial" w:cs="Arial"/>
          <w:i/>
          <w:iCs/>
          <w:color w:val="000000"/>
        </w:rPr>
        <w:t>The third respondent (“</w:t>
      </w:r>
      <w:r w:rsidRPr="004200AB">
        <w:rPr>
          <w:rFonts w:ascii="Arial" w:hAnsi="Arial" w:cs="Arial"/>
          <w:b/>
          <w:bCs/>
          <w:i/>
          <w:iCs/>
          <w:color w:val="000000"/>
        </w:rPr>
        <w:t>Mr Lebelo</w:t>
      </w:r>
      <w:r w:rsidRPr="004200AB">
        <w:rPr>
          <w:rFonts w:ascii="Arial" w:hAnsi="Arial" w:cs="Arial"/>
          <w:i/>
          <w:iCs/>
          <w:color w:val="000000"/>
        </w:rPr>
        <w:t xml:space="preserve">”) is directed to pay Transnet an amount of R5 182 767.73 as the bribe, gratification and secret profits he unlawfully received, while employed at Transnet, </w:t>
      </w:r>
      <w:r w:rsidRPr="004200AB">
        <w:rPr>
          <w:rFonts w:ascii="Arial" w:hAnsi="Arial" w:cs="Arial"/>
          <w:i/>
          <w:iCs/>
          <w:color w:val="000000"/>
          <w:u w:val="single"/>
        </w:rPr>
        <w:t xml:space="preserve">and the further amount of R100,000.00 as the bribe, gratification and secret profits he unlawfully </w:t>
      </w:r>
      <w:r w:rsidRPr="004200AB">
        <w:rPr>
          <w:rFonts w:ascii="Arial" w:hAnsi="Arial" w:cs="Arial"/>
          <w:i/>
          <w:iCs/>
          <w:color w:val="000000"/>
          <w:u w:val="single"/>
        </w:rPr>
        <w:lastRenderedPageBreak/>
        <w:t>received following his resignation from Transnet,</w:t>
      </w:r>
      <w:r w:rsidRPr="004200AB">
        <w:rPr>
          <w:rFonts w:ascii="Arial" w:hAnsi="Arial" w:cs="Arial"/>
          <w:i/>
          <w:iCs/>
          <w:color w:val="000000"/>
        </w:rPr>
        <w:t xml:space="preserve"> for his role in the Superfecta contracts with Transnet.</w:t>
      </w:r>
    </w:p>
    <w:p w14:paraId="7199C3CA" w14:textId="17A8D9A8" w:rsidR="00F92B87" w:rsidRPr="004200AB" w:rsidRDefault="00A15714" w:rsidP="00A15714">
      <w:pPr>
        <w:pStyle w:val="NormalWeb"/>
        <w:spacing w:before="320" w:beforeAutospacing="0" w:after="320" w:afterAutospacing="0" w:line="480" w:lineRule="auto"/>
        <w:jc w:val="both"/>
        <w:textAlignment w:val="baseline"/>
        <w:rPr>
          <w:rFonts w:ascii="Arial" w:hAnsi="Arial" w:cs="Arial"/>
          <w:color w:val="000000"/>
        </w:rPr>
      </w:pPr>
      <w:r w:rsidRPr="004200AB">
        <w:rPr>
          <w:rFonts w:ascii="Arial" w:hAnsi="Arial" w:cs="Arial"/>
          <w:color w:val="000000"/>
        </w:rPr>
        <w:t>2.</w:t>
      </w:r>
      <w:r w:rsidRPr="004200AB">
        <w:rPr>
          <w:rFonts w:ascii="Arial" w:hAnsi="Arial" w:cs="Arial"/>
          <w:color w:val="000000"/>
        </w:rPr>
        <w:tab/>
      </w:r>
      <w:r w:rsidR="00F92B87" w:rsidRPr="004200AB">
        <w:rPr>
          <w:rFonts w:ascii="Arial" w:hAnsi="Arial" w:cs="Arial"/>
          <w:color w:val="000000"/>
        </w:rPr>
        <w:t>Prayers 6.1 and 6.2 are amended to read as follows (with amendments underlined):</w:t>
      </w:r>
    </w:p>
    <w:p w14:paraId="32F90E46" w14:textId="77777777" w:rsidR="00F92B87" w:rsidRPr="004200AB" w:rsidRDefault="00F92B87" w:rsidP="00F92B87">
      <w:pPr>
        <w:pStyle w:val="NormalWeb"/>
        <w:spacing w:before="240" w:beforeAutospacing="0" w:after="360" w:afterAutospacing="0" w:line="480" w:lineRule="auto"/>
        <w:ind w:left="1440" w:hanging="720"/>
        <w:jc w:val="both"/>
      </w:pPr>
      <w:r w:rsidRPr="004200AB">
        <w:rPr>
          <w:rFonts w:ascii="Arial" w:hAnsi="Arial" w:cs="Arial"/>
          <w:i/>
          <w:iCs/>
          <w:color w:val="000000"/>
        </w:rPr>
        <w:t xml:space="preserve">“6. </w:t>
      </w:r>
      <w:r w:rsidRPr="004200AB">
        <w:rPr>
          <w:rStyle w:val="apple-tab-span"/>
          <w:rFonts w:ascii="Arial" w:eastAsiaTheme="majorEastAsia" w:hAnsi="Arial" w:cs="Arial"/>
          <w:i/>
          <w:iCs/>
          <w:color w:val="000000"/>
        </w:rPr>
        <w:tab/>
      </w:r>
      <w:r w:rsidRPr="004200AB">
        <w:rPr>
          <w:rFonts w:ascii="Arial" w:hAnsi="Arial" w:cs="Arial"/>
          <w:i/>
          <w:iCs/>
          <w:color w:val="000000"/>
        </w:rPr>
        <w:t>The sixth respondent (“</w:t>
      </w:r>
      <w:r w:rsidRPr="004200AB">
        <w:rPr>
          <w:rFonts w:ascii="Arial" w:hAnsi="Arial" w:cs="Arial"/>
          <w:b/>
          <w:bCs/>
          <w:i/>
          <w:iCs/>
          <w:color w:val="000000"/>
        </w:rPr>
        <w:t>Mr Mashamba</w:t>
      </w:r>
      <w:r w:rsidRPr="004200AB">
        <w:rPr>
          <w:rFonts w:ascii="Arial" w:hAnsi="Arial" w:cs="Arial"/>
          <w:i/>
          <w:iCs/>
          <w:color w:val="000000"/>
        </w:rPr>
        <w:t>”) is directed to pay Transnet the following amounts:</w:t>
      </w:r>
    </w:p>
    <w:p w14:paraId="17A570DE" w14:textId="77777777" w:rsidR="00F92B87" w:rsidRPr="004200AB" w:rsidRDefault="00F92B87" w:rsidP="00F92B87">
      <w:pPr>
        <w:pStyle w:val="NormalWeb"/>
        <w:spacing w:before="240" w:beforeAutospacing="0" w:after="360" w:afterAutospacing="0" w:line="480" w:lineRule="auto"/>
        <w:ind w:left="2268" w:hanging="567"/>
        <w:jc w:val="both"/>
      </w:pPr>
      <w:r w:rsidRPr="004200AB">
        <w:rPr>
          <w:rFonts w:ascii="Arial" w:hAnsi="Arial" w:cs="Arial"/>
          <w:i/>
          <w:iCs/>
          <w:color w:val="000000"/>
        </w:rPr>
        <w:t xml:space="preserve">6.1  </w:t>
      </w:r>
      <w:r w:rsidRPr="004200AB">
        <w:rPr>
          <w:rFonts w:ascii="Arial" w:hAnsi="Arial" w:cs="Arial"/>
          <w:i/>
          <w:iCs/>
          <w:color w:val="000000"/>
          <w:u w:val="single"/>
        </w:rPr>
        <w:t>R2,3 million</w:t>
      </w:r>
      <w:r w:rsidRPr="004200AB">
        <w:rPr>
          <w:rFonts w:ascii="Arial" w:hAnsi="Arial" w:cs="Arial"/>
          <w:i/>
          <w:iCs/>
          <w:color w:val="000000"/>
        </w:rPr>
        <w:t xml:space="preserve"> as the bribe, gratification and secret profits he unlawfully received, while employed at Transnet, for his role in the Superfecta contracts with Transnet</w:t>
      </w:r>
      <w:r w:rsidRPr="004200AB">
        <w:rPr>
          <w:rFonts w:ascii="Arial" w:hAnsi="Arial" w:cs="Arial"/>
          <w:color w:val="000000"/>
        </w:rPr>
        <w:t>; and</w:t>
      </w:r>
    </w:p>
    <w:p w14:paraId="40E7BB88" w14:textId="77777777" w:rsidR="00F92B87" w:rsidRPr="004200AB" w:rsidRDefault="00F92B87" w:rsidP="00F92B87">
      <w:pPr>
        <w:pStyle w:val="NormalWeb"/>
        <w:spacing w:before="240" w:beforeAutospacing="0" w:after="360" w:afterAutospacing="0" w:line="480" w:lineRule="auto"/>
        <w:ind w:left="2268" w:hanging="567"/>
        <w:jc w:val="both"/>
        <w:rPr>
          <w:rFonts w:ascii="Arial" w:hAnsi="Arial" w:cs="Arial"/>
          <w:color w:val="000000"/>
        </w:rPr>
      </w:pPr>
      <w:r w:rsidRPr="004200AB">
        <w:rPr>
          <w:rFonts w:ascii="Arial" w:hAnsi="Arial" w:cs="Arial"/>
          <w:i/>
          <w:iCs/>
          <w:color w:val="000000"/>
        </w:rPr>
        <w:t xml:space="preserve">6.2  </w:t>
      </w:r>
      <w:r w:rsidRPr="004200AB">
        <w:rPr>
          <w:rFonts w:ascii="Arial" w:hAnsi="Arial" w:cs="Arial"/>
          <w:i/>
          <w:iCs/>
          <w:color w:val="000000"/>
          <w:u w:val="single"/>
        </w:rPr>
        <w:t>R 5,113,255.00</w:t>
      </w:r>
      <w:r w:rsidRPr="004200AB">
        <w:rPr>
          <w:rFonts w:ascii="Arial" w:hAnsi="Arial" w:cs="Arial"/>
          <w:i/>
          <w:iCs/>
          <w:color w:val="000000"/>
        </w:rPr>
        <w:t xml:space="preserve"> as the bribe, gratification and secret profits he unlawfully received, while employed at Transnet, for his role in the BBDM contracts with Transnet</w:t>
      </w:r>
      <w:r w:rsidRPr="004200AB">
        <w:rPr>
          <w:rFonts w:ascii="Arial" w:hAnsi="Arial" w:cs="Arial"/>
          <w:color w:val="000000"/>
        </w:rPr>
        <w:t>”.  </w:t>
      </w:r>
    </w:p>
    <w:p w14:paraId="1D0F8A42" w14:textId="29AC6FC9" w:rsidR="00F92B87" w:rsidRDefault="00F92B87" w:rsidP="00F92B87">
      <w:pPr>
        <w:pStyle w:val="NormalWeb"/>
        <w:spacing w:before="240" w:beforeAutospacing="0" w:after="360" w:afterAutospacing="0" w:line="480" w:lineRule="auto"/>
        <w:ind w:left="1287" w:hanging="567"/>
        <w:jc w:val="both"/>
        <w:rPr>
          <w:rFonts w:ascii="Arial" w:hAnsi="Arial" w:cs="Arial"/>
          <w:color w:val="000000"/>
        </w:rPr>
      </w:pPr>
      <w:r w:rsidRPr="004200AB">
        <w:rPr>
          <w:rFonts w:ascii="Arial" w:hAnsi="Arial" w:cs="Arial"/>
          <w:color w:val="000000"/>
        </w:rPr>
        <w:t>3.</w:t>
      </w:r>
      <w:r w:rsidRPr="004200AB">
        <w:rPr>
          <w:rFonts w:ascii="Arial" w:hAnsi="Arial" w:cs="Arial"/>
          <w:color w:val="000000"/>
        </w:rPr>
        <w:tab/>
        <w:t>The first respondent shall pay the applicants’ costs of opposition.</w:t>
      </w:r>
    </w:p>
    <w:p w14:paraId="1E04D6B3" w14:textId="72F98EB8" w:rsidR="004200AB" w:rsidRDefault="004200AB" w:rsidP="00C225E9">
      <w:pPr>
        <w:pStyle w:val="NormalWeb"/>
        <w:spacing w:before="240" w:beforeAutospacing="0" w:after="360" w:afterAutospacing="0" w:line="480" w:lineRule="auto"/>
        <w:ind w:left="1287" w:hanging="567"/>
        <w:jc w:val="right"/>
        <w:rPr>
          <w:noProof/>
        </w:rPr>
      </w:pPr>
    </w:p>
    <w:p w14:paraId="7A2E56A3" w14:textId="77777777" w:rsidR="002B07F4" w:rsidRPr="004200AB" w:rsidRDefault="002B07F4" w:rsidP="00C225E9">
      <w:pPr>
        <w:pStyle w:val="NormalWeb"/>
        <w:spacing w:before="240" w:beforeAutospacing="0" w:after="360" w:afterAutospacing="0" w:line="480" w:lineRule="auto"/>
        <w:ind w:left="1287" w:hanging="567"/>
        <w:jc w:val="right"/>
      </w:pPr>
    </w:p>
    <w:p w14:paraId="151223CE" w14:textId="075E2E4A" w:rsidR="00F92B87" w:rsidRPr="004200AB" w:rsidRDefault="00F92B87" w:rsidP="004200AB">
      <w:pPr>
        <w:pStyle w:val="NormalWeb"/>
        <w:spacing w:before="0" w:beforeAutospacing="0" w:after="0" w:afterAutospacing="0"/>
        <w:jc w:val="right"/>
        <w:rPr>
          <w:rFonts w:ascii="Arial" w:eastAsiaTheme="majorEastAsia" w:hAnsi="Arial" w:cs="Arial"/>
          <w:b/>
          <w:bCs/>
          <w:color w:val="000000"/>
          <w:u w:val="single"/>
        </w:rPr>
      </w:pPr>
      <w:r w:rsidRPr="004200AB">
        <w:rPr>
          <w:rStyle w:val="apple-tab-span"/>
          <w:rFonts w:ascii="Arial" w:eastAsiaTheme="majorEastAsia" w:hAnsi="Arial" w:cs="Arial"/>
          <w:b/>
          <w:bCs/>
          <w:color w:val="000000"/>
          <w:u w:val="single"/>
        </w:rPr>
        <w:tab/>
      </w:r>
      <w:r w:rsidRPr="004200AB">
        <w:rPr>
          <w:rStyle w:val="apple-tab-span"/>
          <w:rFonts w:ascii="Arial" w:eastAsiaTheme="majorEastAsia" w:hAnsi="Arial" w:cs="Arial"/>
          <w:b/>
          <w:bCs/>
          <w:color w:val="000000"/>
          <w:u w:val="single"/>
        </w:rPr>
        <w:tab/>
      </w:r>
      <w:r w:rsidRPr="004200AB">
        <w:rPr>
          <w:rStyle w:val="apple-tab-span"/>
          <w:rFonts w:ascii="Arial" w:eastAsiaTheme="majorEastAsia" w:hAnsi="Arial" w:cs="Arial"/>
          <w:b/>
          <w:bCs/>
          <w:color w:val="000000"/>
          <w:u w:val="single"/>
        </w:rPr>
        <w:tab/>
      </w:r>
      <w:r w:rsidRPr="004200AB">
        <w:rPr>
          <w:rStyle w:val="apple-tab-span"/>
          <w:rFonts w:ascii="Arial" w:eastAsiaTheme="majorEastAsia" w:hAnsi="Arial" w:cs="Arial"/>
          <w:b/>
          <w:bCs/>
          <w:color w:val="000000"/>
          <w:u w:val="single"/>
        </w:rPr>
        <w:tab/>
      </w:r>
      <w:r w:rsidRPr="004200AB">
        <w:rPr>
          <w:rStyle w:val="apple-tab-span"/>
          <w:rFonts w:ascii="Arial" w:eastAsiaTheme="majorEastAsia" w:hAnsi="Arial" w:cs="Arial"/>
          <w:b/>
          <w:bCs/>
          <w:color w:val="000000"/>
          <w:u w:val="single"/>
        </w:rPr>
        <w:tab/>
      </w:r>
      <w:r w:rsidRPr="004200AB">
        <w:rPr>
          <w:rStyle w:val="apple-tab-span"/>
          <w:rFonts w:ascii="Arial" w:eastAsiaTheme="majorEastAsia" w:hAnsi="Arial" w:cs="Arial"/>
          <w:b/>
          <w:bCs/>
          <w:color w:val="000000"/>
          <w:u w:val="single"/>
        </w:rPr>
        <w:tab/>
      </w:r>
      <w:r w:rsidRPr="004200AB">
        <w:rPr>
          <w:rStyle w:val="apple-tab-span"/>
          <w:rFonts w:ascii="Arial" w:eastAsiaTheme="majorEastAsia" w:hAnsi="Arial" w:cs="Arial"/>
          <w:b/>
          <w:bCs/>
          <w:color w:val="000000"/>
          <w:u w:val="single"/>
        </w:rPr>
        <w:tab/>
      </w:r>
    </w:p>
    <w:p w14:paraId="73F44FAE" w14:textId="77777777" w:rsidR="00F92B87" w:rsidRDefault="00F92B87" w:rsidP="00F92B87">
      <w:pPr>
        <w:pStyle w:val="NormalWeb"/>
        <w:spacing w:before="0" w:beforeAutospacing="0" w:after="0" w:afterAutospacing="0"/>
        <w:ind w:left="1440" w:firstLine="720"/>
        <w:jc w:val="center"/>
      </w:pPr>
      <w:r>
        <w:rPr>
          <w:rFonts w:ascii="Arial" w:hAnsi="Arial" w:cs="Arial"/>
          <w:b/>
          <w:bCs/>
          <w:color w:val="000000"/>
        </w:rPr>
        <w:t>JUDGE L.T. MODIBA</w:t>
      </w:r>
    </w:p>
    <w:p w14:paraId="7EA1A8BD" w14:textId="77777777" w:rsidR="00F92B87" w:rsidRDefault="00F92B87" w:rsidP="00F92B87">
      <w:pPr>
        <w:pStyle w:val="NormalWeb"/>
        <w:spacing w:before="0" w:beforeAutospacing="0" w:after="0" w:afterAutospacing="0"/>
        <w:jc w:val="right"/>
      </w:pPr>
      <w:r>
        <w:rPr>
          <w:rFonts w:ascii="Arial" w:hAnsi="Arial" w:cs="Arial"/>
          <w:b/>
          <w:bCs/>
          <w:color w:val="000000"/>
        </w:rPr>
        <w:t>PRESIDENT OF THE SPECIAL TRIBUNAL</w:t>
      </w:r>
    </w:p>
    <w:p w14:paraId="1AD35578" w14:textId="77777777" w:rsidR="00F92B87" w:rsidRDefault="00F92B87" w:rsidP="00F92B87"/>
    <w:p w14:paraId="4337D59E" w14:textId="77777777" w:rsidR="00C225E9" w:rsidRDefault="00C225E9" w:rsidP="00F92B87">
      <w:pPr>
        <w:pStyle w:val="NormalWeb"/>
        <w:spacing w:before="0" w:beforeAutospacing="0" w:after="0" w:afterAutospacing="0"/>
        <w:jc w:val="both"/>
        <w:rPr>
          <w:rFonts w:ascii="Arial" w:hAnsi="Arial" w:cs="Arial"/>
          <w:b/>
          <w:bCs/>
          <w:color w:val="000000"/>
        </w:rPr>
      </w:pPr>
    </w:p>
    <w:p w14:paraId="4DC9DA57" w14:textId="77777777" w:rsidR="00C225E9" w:rsidRDefault="00C225E9" w:rsidP="00F92B87">
      <w:pPr>
        <w:pStyle w:val="NormalWeb"/>
        <w:spacing w:before="0" w:beforeAutospacing="0" w:after="0" w:afterAutospacing="0"/>
        <w:jc w:val="both"/>
        <w:rPr>
          <w:rFonts w:ascii="Arial" w:hAnsi="Arial" w:cs="Arial"/>
          <w:b/>
          <w:bCs/>
          <w:color w:val="000000"/>
        </w:rPr>
      </w:pPr>
    </w:p>
    <w:p w14:paraId="0B26E245" w14:textId="77777777" w:rsidR="00C225E9" w:rsidRDefault="00C225E9" w:rsidP="00F92B87">
      <w:pPr>
        <w:pStyle w:val="NormalWeb"/>
        <w:spacing w:before="0" w:beforeAutospacing="0" w:after="0" w:afterAutospacing="0"/>
        <w:jc w:val="both"/>
        <w:rPr>
          <w:rFonts w:ascii="Arial" w:hAnsi="Arial" w:cs="Arial"/>
          <w:b/>
          <w:bCs/>
          <w:color w:val="000000"/>
        </w:rPr>
      </w:pPr>
    </w:p>
    <w:p w14:paraId="3882AB58" w14:textId="53CA18D1" w:rsidR="00F92B87" w:rsidRDefault="00F92B87" w:rsidP="00F92B87">
      <w:pPr>
        <w:pStyle w:val="NormalWeb"/>
        <w:spacing w:before="0" w:beforeAutospacing="0" w:after="0" w:afterAutospacing="0"/>
        <w:jc w:val="both"/>
      </w:pPr>
      <w:r>
        <w:rPr>
          <w:rFonts w:ascii="Arial" w:hAnsi="Arial" w:cs="Arial"/>
          <w:b/>
          <w:bCs/>
          <w:color w:val="000000"/>
        </w:rPr>
        <w:t>Appearances</w:t>
      </w:r>
    </w:p>
    <w:p w14:paraId="07F42524" w14:textId="77777777" w:rsidR="00F92B87" w:rsidRDefault="00F92B87" w:rsidP="00F92B87">
      <w:pPr>
        <w:pStyle w:val="NormalWeb"/>
        <w:spacing w:before="0" w:beforeAutospacing="0" w:after="0" w:afterAutospacing="0"/>
        <w:jc w:val="both"/>
      </w:pPr>
      <w:r>
        <w:rPr>
          <w:rFonts w:ascii="Arial" w:hAnsi="Arial" w:cs="Arial"/>
          <w:i/>
          <w:iCs/>
          <w:color w:val="000000"/>
        </w:rPr>
        <w:t>For Superfecta Trading 209 (Pty) Ltd</w:t>
      </w:r>
    </w:p>
    <w:p w14:paraId="3C418535" w14:textId="77777777" w:rsidR="00F92B87" w:rsidRDefault="00F92B87" w:rsidP="00F92B87">
      <w:pPr>
        <w:pStyle w:val="NormalWeb"/>
        <w:spacing w:before="0" w:beforeAutospacing="0" w:after="0" w:afterAutospacing="0"/>
        <w:jc w:val="both"/>
      </w:pPr>
      <w:r>
        <w:rPr>
          <w:rFonts w:ascii="Arial" w:hAnsi="Arial" w:cs="Arial"/>
          <w:color w:val="000000"/>
        </w:rPr>
        <w:t>Counsel: Adv. N.O. Manaka</w:t>
      </w:r>
    </w:p>
    <w:p w14:paraId="38A025C2" w14:textId="3592E949" w:rsidR="00F92B87" w:rsidRDefault="00F92B87" w:rsidP="00F92B87">
      <w:pPr>
        <w:pStyle w:val="NormalWeb"/>
        <w:spacing w:before="0" w:beforeAutospacing="0" w:after="0" w:afterAutospacing="0"/>
        <w:jc w:val="both"/>
      </w:pPr>
      <w:r>
        <w:rPr>
          <w:rFonts w:ascii="Arial" w:hAnsi="Arial" w:cs="Arial"/>
          <w:color w:val="000000"/>
        </w:rPr>
        <w:lastRenderedPageBreak/>
        <w:t>Attorney: Mr J. Maluleke, Maluleke INC t/a Maluks Attorney</w:t>
      </w:r>
    </w:p>
    <w:p w14:paraId="72D565B4" w14:textId="77777777" w:rsidR="00F92B87" w:rsidRDefault="00F92B87" w:rsidP="00F92B87"/>
    <w:p w14:paraId="7FABAF9C" w14:textId="77777777" w:rsidR="00F92B87" w:rsidRDefault="00F92B87" w:rsidP="00F92B87">
      <w:pPr>
        <w:pStyle w:val="NormalWeb"/>
        <w:spacing w:before="0" w:beforeAutospacing="0" w:after="0" w:afterAutospacing="0"/>
        <w:jc w:val="both"/>
      </w:pPr>
      <w:r>
        <w:rPr>
          <w:rFonts w:ascii="Arial" w:hAnsi="Arial" w:cs="Arial"/>
          <w:i/>
          <w:iCs/>
          <w:color w:val="000000"/>
        </w:rPr>
        <w:t>For The Special Investigating Unit and Transnet SOC LTD</w:t>
      </w:r>
    </w:p>
    <w:p w14:paraId="787CF25F" w14:textId="77777777" w:rsidR="00F92B87" w:rsidRDefault="00F92B87" w:rsidP="00F92B87">
      <w:pPr>
        <w:pStyle w:val="NormalWeb"/>
        <w:spacing w:before="0" w:beforeAutospacing="0" w:after="0" w:afterAutospacing="0"/>
      </w:pPr>
      <w:r>
        <w:rPr>
          <w:rFonts w:ascii="Arial" w:hAnsi="Arial" w:cs="Arial"/>
          <w:color w:val="000000"/>
        </w:rPr>
        <w:t>Counsel: Adv. C. Steinberg SC, assisted by Adv. J. Bleazard</w:t>
      </w:r>
    </w:p>
    <w:p w14:paraId="6C6B2CB5" w14:textId="77777777" w:rsidR="00F92B87" w:rsidRDefault="00F92B87" w:rsidP="00F92B87">
      <w:pPr>
        <w:pStyle w:val="NormalWeb"/>
        <w:spacing w:before="0" w:beforeAutospacing="0" w:after="0" w:afterAutospacing="0"/>
      </w:pPr>
      <w:r>
        <w:rPr>
          <w:rFonts w:ascii="Arial" w:hAnsi="Arial" w:cs="Arial"/>
          <w:color w:val="000000"/>
        </w:rPr>
        <w:t>Attorney: Ms S. Machado, Bowman Gilfillan Attorneys</w:t>
      </w:r>
    </w:p>
    <w:p w14:paraId="669F01E1" w14:textId="77777777" w:rsidR="00F92B87" w:rsidRDefault="00F92B87" w:rsidP="00F92B87"/>
    <w:p w14:paraId="1D7B4F29" w14:textId="1B09D67C" w:rsidR="00F92B87" w:rsidRDefault="00F92B87" w:rsidP="00F92B87">
      <w:pPr>
        <w:pStyle w:val="NormalWeb"/>
        <w:spacing w:before="0" w:beforeAutospacing="0" w:after="0" w:afterAutospacing="0"/>
      </w:pPr>
      <w:r>
        <w:rPr>
          <w:rFonts w:ascii="Arial" w:hAnsi="Arial" w:cs="Arial"/>
          <w:b/>
          <w:bCs/>
          <w:color w:val="000000"/>
        </w:rPr>
        <w:t>Date of hearing</w:t>
      </w:r>
      <w:r w:rsidR="004200AB">
        <w:rPr>
          <w:rFonts w:ascii="Arial" w:hAnsi="Arial" w:cs="Arial"/>
          <w:b/>
          <w:bCs/>
          <w:color w:val="000000"/>
        </w:rPr>
        <w:t xml:space="preserve">: </w:t>
      </w:r>
      <w:r>
        <w:rPr>
          <w:rFonts w:ascii="Arial" w:hAnsi="Arial" w:cs="Arial"/>
          <w:color w:val="000000"/>
        </w:rPr>
        <w:t>Not applicable. Application determined on the papers filed as Directed by the presiding Judge. Last day of filing of heads of arguments 15 April 2024. </w:t>
      </w:r>
    </w:p>
    <w:p w14:paraId="1E9892DE" w14:textId="77777777" w:rsidR="00F92B87" w:rsidRDefault="00F92B87" w:rsidP="00F92B87"/>
    <w:p w14:paraId="5E470040" w14:textId="63761056" w:rsidR="00F92B87" w:rsidRDefault="00F92B87" w:rsidP="00F92B87">
      <w:pPr>
        <w:pStyle w:val="NormalWeb"/>
        <w:spacing w:before="0" w:beforeAutospacing="0" w:after="0" w:afterAutospacing="0"/>
      </w:pPr>
      <w:r>
        <w:rPr>
          <w:rFonts w:ascii="Arial" w:hAnsi="Arial" w:cs="Arial"/>
          <w:b/>
          <w:bCs/>
          <w:color w:val="000000"/>
        </w:rPr>
        <w:t>Date of judgment</w:t>
      </w:r>
      <w:r w:rsidR="004200AB">
        <w:rPr>
          <w:rFonts w:ascii="Arial" w:hAnsi="Arial" w:cs="Arial"/>
          <w:b/>
          <w:bCs/>
          <w:color w:val="000000"/>
        </w:rPr>
        <w:t>:</w:t>
      </w:r>
      <w:r>
        <w:rPr>
          <w:rFonts w:ascii="Arial" w:hAnsi="Arial" w:cs="Arial"/>
          <w:color w:val="000000"/>
        </w:rPr>
        <w:t>  3 May 2024 </w:t>
      </w:r>
    </w:p>
    <w:p w14:paraId="64E17A87" w14:textId="77777777" w:rsidR="00F92B87" w:rsidRDefault="00F92B87" w:rsidP="00F92B87">
      <w:pPr>
        <w:spacing w:after="240"/>
      </w:pPr>
      <w:r>
        <w:br/>
      </w:r>
    </w:p>
    <w:p w14:paraId="392680BC" w14:textId="77777777" w:rsidR="00F92B87" w:rsidRDefault="00F92B87" w:rsidP="00F92B87">
      <w:pPr>
        <w:pStyle w:val="NormalWeb"/>
        <w:spacing w:before="0" w:beforeAutospacing="0" w:after="0" w:afterAutospacing="0"/>
      </w:pPr>
      <w:r>
        <w:rPr>
          <w:rFonts w:ascii="Arial" w:hAnsi="Arial" w:cs="Arial"/>
          <w:b/>
          <w:bCs/>
          <w:color w:val="000000"/>
        </w:rPr>
        <w:t>Mode of delivery</w:t>
      </w:r>
    </w:p>
    <w:p w14:paraId="15257129" w14:textId="2618444B" w:rsidR="00F92B87" w:rsidRDefault="00F92B87" w:rsidP="00F92B87">
      <w:pPr>
        <w:pStyle w:val="NormalWeb"/>
        <w:spacing w:before="0" w:beforeAutospacing="0" w:after="0" w:afterAutospacing="0"/>
        <w:jc w:val="both"/>
      </w:pPr>
      <w:r>
        <w:rPr>
          <w:rFonts w:ascii="Arial" w:hAnsi="Arial" w:cs="Arial"/>
          <w:color w:val="000000"/>
        </w:rPr>
        <w:t xml:space="preserve">This judgment is </w:t>
      </w:r>
      <w:r>
        <w:rPr>
          <w:rFonts w:ascii="Arial" w:hAnsi="Arial" w:cs="Arial"/>
          <w:color w:val="222222"/>
        </w:rPr>
        <w:t xml:space="preserve">handed down by email transmission to the parties’ legal representatives, </w:t>
      </w:r>
      <w:r w:rsidR="004200AB">
        <w:rPr>
          <w:rFonts w:ascii="Arial" w:hAnsi="Arial" w:cs="Arial"/>
          <w:color w:val="222222"/>
        </w:rPr>
        <w:t>uploading</w:t>
      </w:r>
      <w:r>
        <w:rPr>
          <w:rFonts w:ascii="Arial" w:hAnsi="Arial" w:cs="Arial"/>
          <w:color w:val="222222"/>
        </w:rPr>
        <w:t xml:space="preserve"> on Caselines and release to SAFLII and AFRICANLII. The date and time for delivery is deemed to be 10 am.  </w:t>
      </w:r>
    </w:p>
    <w:p w14:paraId="5872E299" w14:textId="77777777" w:rsidR="00F92B87" w:rsidRDefault="00F92B87" w:rsidP="00F92B87"/>
    <w:p w14:paraId="580BD9F9" w14:textId="77777777" w:rsidR="003E0813" w:rsidRPr="00E85D18" w:rsidRDefault="003E0813" w:rsidP="003E0813">
      <w:pPr>
        <w:pStyle w:val="WLGLevel1"/>
        <w:numPr>
          <w:ilvl w:val="0"/>
          <w:numId w:val="0"/>
        </w:numPr>
        <w:spacing w:line="240" w:lineRule="auto"/>
        <w:ind w:left="6946"/>
        <w:rPr>
          <w:rFonts w:cs="Arial"/>
          <w:b/>
          <w:bCs/>
          <w:szCs w:val="24"/>
        </w:rPr>
      </w:pPr>
    </w:p>
    <w:p w14:paraId="59B5FD7F" w14:textId="77777777" w:rsidR="003E0813" w:rsidRPr="00E85D18" w:rsidRDefault="003E0813" w:rsidP="003E0813">
      <w:pPr>
        <w:pStyle w:val="WLGLevel1"/>
        <w:numPr>
          <w:ilvl w:val="0"/>
          <w:numId w:val="0"/>
        </w:numPr>
        <w:spacing w:line="240" w:lineRule="auto"/>
        <w:ind w:left="6946"/>
        <w:rPr>
          <w:rFonts w:cs="Arial"/>
          <w:b/>
          <w:bCs/>
          <w:szCs w:val="24"/>
        </w:rPr>
      </w:pPr>
    </w:p>
    <w:sectPr w:rsidR="003E0813" w:rsidRPr="00E85D18" w:rsidSect="007E1D04">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15D9" w14:textId="77777777" w:rsidR="0015621B" w:rsidRDefault="0015621B" w:rsidP="003E0813">
      <w:r>
        <w:separator/>
      </w:r>
    </w:p>
  </w:endnote>
  <w:endnote w:type="continuationSeparator" w:id="0">
    <w:p w14:paraId="22710445" w14:textId="77777777" w:rsidR="0015621B" w:rsidRDefault="0015621B" w:rsidP="003E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3502708"/>
      <w:docPartObj>
        <w:docPartGallery w:val="Page Numbers (Bottom of Page)"/>
        <w:docPartUnique/>
      </w:docPartObj>
    </w:sdtPr>
    <w:sdtEndPr>
      <w:rPr>
        <w:rStyle w:val="PageNumber"/>
      </w:rPr>
    </w:sdtEndPr>
    <w:sdtContent>
      <w:p w14:paraId="7BCA91B2" w14:textId="77777777" w:rsidR="002713E7" w:rsidRDefault="0015621B" w:rsidP="00663E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45AC4" w14:textId="77777777" w:rsidR="002713E7" w:rsidRDefault="002713E7" w:rsidP="00A67D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D8BD" w14:textId="21C9A767" w:rsidR="002713E7" w:rsidRPr="00CD6FF3" w:rsidRDefault="002713E7" w:rsidP="00663EB9">
    <w:pPr>
      <w:pStyle w:val="Footer"/>
      <w:framePr w:wrap="none" w:vAnchor="text" w:hAnchor="margin" w:xAlign="right" w:y="1"/>
      <w:rPr>
        <w:rStyle w:val="PageNumber"/>
        <w:rFonts w:ascii="Arial" w:hAnsi="Arial" w:cs="Arial"/>
        <w:sz w:val="22"/>
        <w:szCs w:val="22"/>
      </w:rPr>
    </w:pPr>
  </w:p>
  <w:p w14:paraId="068C9944" w14:textId="77777777" w:rsidR="002713E7" w:rsidRPr="00CD6FF3" w:rsidRDefault="0015621B" w:rsidP="00A67D6F">
    <w:pPr>
      <w:pStyle w:val="Footer"/>
      <w:ind w:right="360"/>
      <w:rPr>
        <w:rFonts w:ascii="Arial" w:hAnsi="Arial" w:cs="Arial"/>
        <w:sz w:val="22"/>
        <w:szCs w:val="22"/>
      </w:rPr>
    </w:pP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FD7E4" w14:textId="77777777" w:rsidR="0015621B" w:rsidRDefault="0015621B" w:rsidP="003E0813">
      <w:r>
        <w:separator/>
      </w:r>
    </w:p>
  </w:footnote>
  <w:footnote w:type="continuationSeparator" w:id="0">
    <w:p w14:paraId="14FBBF08" w14:textId="77777777" w:rsidR="0015621B" w:rsidRDefault="0015621B" w:rsidP="003E0813">
      <w:r>
        <w:continuationSeparator/>
      </w:r>
    </w:p>
  </w:footnote>
  <w:footnote w:id="1">
    <w:p w14:paraId="531D08D3" w14:textId="77777777" w:rsidR="00981BBA" w:rsidRPr="005F3AE6" w:rsidRDefault="00981BBA" w:rsidP="00981BBA">
      <w:pPr>
        <w:pStyle w:val="FootnoteText"/>
        <w:spacing w:after="120"/>
        <w:jc w:val="both"/>
        <w:rPr>
          <w:rFonts w:ascii="Arial" w:hAnsi="Arial" w:cs="Arial"/>
          <w:sz w:val="18"/>
          <w:szCs w:val="18"/>
          <w:lang w:val="en-US"/>
        </w:rPr>
      </w:pPr>
      <w:r w:rsidRPr="005F3AE6">
        <w:rPr>
          <w:rStyle w:val="FootnoteReference"/>
          <w:rFonts w:ascii="Arial" w:hAnsi="Arial" w:cs="Arial"/>
          <w:sz w:val="18"/>
          <w:szCs w:val="18"/>
        </w:rPr>
        <w:footnoteRef/>
      </w:r>
      <w:r w:rsidRPr="005F3AE6">
        <w:rPr>
          <w:rFonts w:ascii="Arial" w:hAnsi="Arial" w:cs="Arial"/>
          <w:sz w:val="18"/>
          <w:szCs w:val="18"/>
        </w:rPr>
        <w:t xml:space="preserve"> 1927 CPD 27.</w:t>
      </w:r>
    </w:p>
  </w:footnote>
  <w:footnote w:id="2">
    <w:p w14:paraId="1BE85D59" w14:textId="77777777" w:rsidR="00981BBA" w:rsidRPr="00425790" w:rsidRDefault="00981BBA" w:rsidP="00981BBA">
      <w:pPr>
        <w:pStyle w:val="FootnoteText"/>
        <w:spacing w:after="120"/>
        <w:rPr>
          <w:lang w:val="en-US"/>
        </w:rPr>
      </w:pPr>
      <w:r>
        <w:rPr>
          <w:rStyle w:val="FootnoteReference"/>
        </w:rPr>
        <w:footnoteRef/>
      </w:r>
      <w:r>
        <w:t xml:space="preserve"> </w:t>
      </w:r>
      <w:r w:rsidRPr="005F3AE6">
        <w:rPr>
          <w:rFonts w:ascii="Arial" w:hAnsi="Arial" w:cs="Arial"/>
          <w:i/>
          <w:iCs/>
          <w:sz w:val="18"/>
          <w:szCs w:val="18"/>
        </w:rPr>
        <w:t>Pienaar Brothers Proprietary Limited v Brian Pienaar North Proprietary Limited and Others</w:t>
      </w:r>
      <w:r w:rsidRPr="005F3AE6">
        <w:rPr>
          <w:rFonts w:ascii="Arial" w:hAnsi="Arial" w:cs="Arial"/>
          <w:sz w:val="18"/>
          <w:szCs w:val="18"/>
        </w:rPr>
        <w:t xml:space="preserve"> (21220/21) [2023] ZAWCHC 151</w:t>
      </w:r>
      <w:r>
        <w:rPr>
          <w:rFonts w:ascii="Arial" w:hAnsi="Arial" w:cs="Arial"/>
          <w:sz w:val="18"/>
          <w:szCs w:val="18"/>
        </w:rPr>
        <w:t xml:space="preserve"> (“</w:t>
      </w:r>
      <w:r w:rsidRPr="00425790">
        <w:rPr>
          <w:rFonts w:ascii="Arial" w:hAnsi="Arial" w:cs="Arial"/>
          <w:i/>
          <w:iCs/>
          <w:sz w:val="18"/>
          <w:szCs w:val="18"/>
        </w:rPr>
        <w:t>Pienaar Brothers</w:t>
      </w:r>
      <w:r>
        <w:rPr>
          <w:rFonts w:ascii="Arial" w:hAnsi="Arial" w:cs="Arial"/>
          <w:sz w:val="18"/>
          <w:szCs w:val="18"/>
        </w:rPr>
        <w:t>”).</w:t>
      </w:r>
    </w:p>
  </w:footnote>
  <w:footnote w:id="3">
    <w:p w14:paraId="3C51D8E1" w14:textId="77777777" w:rsidR="00981BBA" w:rsidRPr="00BD37BC" w:rsidRDefault="00981BBA" w:rsidP="00981BBA">
      <w:pPr>
        <w:pStyle w:val="FootnoteText"/>
        <w:rPr>
          <w:lang w:val="en-GB"/>
        </w:rPr>
      </w:pPr>
      <w:r>
        <w:rPr>
          <w:rStyle w:val="FootnoteReference"/>
        </w:rPr>
        <w:footnoteRef/>
      </w:r>
      <w:r>
        <w:t xml:space="preserve"> </w:t>
      </w:r>
      <w:r w:rsidRPr="00BD37BC">
        <w:rPr>
          <w:i/>
          <w:iCs/>
        </w:rPr>
        <w:t>Affordable Medicines Trust and Others v Minister of Health and Others</w:t>
      </w:r>
      <w:r w:rsidRPr="00BD37BC">
        <w:t xml:space="preserve"> [[2005] ZACC 3; 2006 (3) SA 247 (CC)]</w:t>
      </w:r>
      <w:r>
        <w:t>.</w:t>
      </w:r>
    </w:p>
  </w:footnote>
  <w:footnote w:id="4">
    <w:p w14:paraId="2AF9F666" w14:textId="77777777" w:rsidR="00981BBA" w:rsidRPr="005F3AE6" w:rsidRDefault="00981BBA" w:rsidP="00981BBA">
      <w:pPr>
        <w:pStyle w:val="FootnoteText"/>
        <w:spacing w:after="120"/>
        <w:jc w:val="both"/>
        <w:rPr>
          <w:rFonts w:ascii="Arial" w:hAnsi="Arial" w:cs="Arial"/>
          <w:sz w:val="18"/>
          <w:szCs w:val="18"/>
          <w:lang w:val="en-US"/>
        </w:rPr>
      </w:pPr>
      <w:r w:rsidRPr="005F3AE6">
        <w:rPr>
          <w:rStyle w:val="FootnoteReference"/>
          <w:rFonts w:ascii="Arial" w:hAnsi="Arial" w:cs="Arial"/>
          <w:sz w:val="18"/>
          <w:szCs w:val="18"/>
        </w:rPr>
        <w:footnoteRef/>
      </w:r>
      <w:r w:rsidRPr="005F3AE6">
        <w:rPr>
          <w:rFonts w:ascii="Arial" w:hAnsi="Arial" w:cs="Arial"/>
          <w:sz w:val="18"/>
          <w:szCs w:val="18"/>
        </w:rPr>
        <w:t xml:space="preserve"> </w:t>
      </w:r>
      <w:r w:rsidRPr="005F3AE6">
        <w:rPr>
          <w:rFonts w:ascii="Arial" w:hAnsi="Arial" w:cs="Arial"/>
          <w:i/>
          <w:iCs/>
          <w:sz w:val="18"/>
          <w:szCs w:val="18"/>
        </w:rPr>
        <w:t>Tomassini v Dos Remendos</w:t>
      </w:r>
      <w:r w:rsidRPr="005F3AE6">
        <w:rPr>
          <w:rFonts w:ascii="Arial" w:hAnsi="Arial" w:cs="Arial"/>
          <w:sz w:val="18"/>
          <w:szCs w:val="18"/>
        </w:rPr>
        <w:t xml:space="preserve"> 1961 (1) SA 226 (W) at 228D-E. </w:t>
      </w:r>
    </w:p>
  </w:footnote>
  <w:footnote w:id="5">
    <w:p w14:paraId="526E658B" w14:textId="77777777" w:rsidR="00981BBA" w:rsidRPr="005F3AE6" w:rsidRDefault="00981BBA" w:rsidP="00981BBA">
      <w:pPr>
        <w:pStyle w:val="FootnoteText"/>
        <w:spacing w:after="120"/>
        <w:jc w:val="both"/>
        <w:rPr>
          <w:rFonts w:ascii="Arial" w:hAnsi="Arial" w:cs="Arial"/>
          <w:sz w:val="18"/>
          <w:szCs w:val="18"/>
          <w:lang w:val="en-US"/>
        </w:rPr>
      </w:pPr>
      <w:r w:rsidRPr="005F3AE6">
        <w:rPr>
          <w:rStyle w:val="FootnoteReference"/>
          <w:rFonts w:ascii="Arial" w:hAnsi="Arial" w:cs="Arial"/>
          <w:sz w:val="18"/>
          <w:szCs w:val="18"/>
        </w:rPr>
        <w:footnoteRef/>
      </w:r>
      <w:r w:rsidRPr="005F3AE6">
        <w:rPr>
          <w:rFonts w:ascii="Arial" w:hAnsi="Arial" w:cs="Arial"/>
          <w:sz w:val="18"/>
          <w:szCs w:val="18"/>
        </w:rPr>
        <w:t xml:space="preserve"> </w:t>
      </w:r>
      <w:r w:rsidRPr="005F3AE6">
        <w:rPr>
          <w:rFonts w:ascii="Arial" w:hAnsi="Arial" w:cs="Arial"/>
          <w:i/>
          <w:iCs/>
          <w:sz w:val="18"/>
          <w:szCs w:val="18"/>
        </w:rPr>
        <w:t>Myers v Abramson</w:t>
      </w:r>
      <w:r w:rsidRPr="005F3AE6">
        <w:rPr>
          <w:rFonts w:ascii="Arial" w:hAnsi="Arial" w:cs="Arial"/>
          <w:sz w:val="18"/>
          <w:szCs w:val="18"/>
        </w:rPr>
        <w:t xml:space="preserve"> 1951 (3) SA 438 (C) at 450A–B; followed by the Supreme Court of Appeal in </w:t>
      </w:r>
      <w:r w:rsidRPr="005F3AE6">
        <w:rPr>
          <w:rFonts w:ascii="Arial" w:hAnsi="Arial" w:cs="Arial"/>
          <w:i/>
          <w:iCs/>
          <w:sz w:val="18"/>
          <w:szCs w:val="18"/>
        </w:rPr>
        <w:t>Media 24 (Pty) Ltd v Nhleko &amp; Another</w:t>
      </w:r>
      <w:r w:rsidRPr="005F3AE6">
        <w:rPr>
          <w:rFonts w:ascii="Arial" w:hAnsi="Arial" w:cs="Arial"/>
          <w:sz w:val="18"/>
          <w:szCs w:val="18"/>
        </w:rPr>
        <w:t xml:space="preserve"> (Case no 109/22) [2023] ZASCA 77 para 17.  See also </w:t>
      </w:r>
      <w:r>
        <w:rPr>
          <w:rFonts w:ascii="Arial" w:hAnsi="Arial" w:cs="Arial"/>
          <w:sz w:val="18"/>
          <w:szCs w:val="18"/>
        </w:rPr>
        <w:t xml:space="preserve">the quoted passage above from </w:t>
      </w:r>
      <w:r w:rsidRPr="005F3AE6">
        <w:rPr>
          <w:rFonts w:ascii="Arial" w:hAnsi="Arial" w:cs="Arial"/>
          <w:i/>
          <w:iCs/>
          <w:sz w:val="18"/>
          <w:szCs w:val="18"/>
        </w:rPr>
        <w:t xml:space="preserve">Pienaar Brothers </w:t>
      </w:r>
      <w:r w:rsidRPr="005F3AE6">
        <w:rPr>
          <w:rFonts w:ascii="Arial" w:hAnsi="Arial" w:cs="Arial"/>
          <w:sz w:val="18"/>
          <w:szCs w:val="18"/>
        </w:rPr>
        <w:t>at para 30</w:t>
      </w:r>
      <w:r>
        <w:rPr>
          <w:rFonts w:ascii="Arial" w:hAnsi="Arial" w:cs="Arial"/>
          <w:sz w:val="18"/>
          <w:szCs w:val="18"/>
        </w:rPr>
        <w:t>.</w:t>
      </w:r>
    </w:p>
  </w:footnote>
  <w:footnote w:id="6">
    <w:p w14:paraId="703A7211" w14:textId="77777777" w:rsidR="00981BBA" w:rsidRPr="005F3AE6" w:rsidRDefault="00981BBA" w:rsidP="00981BBA">
      <w:pPr>
        <w:pStyle w:val="FootnoteText"/>
        <w:spacing w:after="120"/>
        <w:rPr>
          <w:rFonts w:ascii="Arial" w:hAnsi="Arial" w:cs="Arial"/>
          <w:sz w:val="18"/>
          <w:szCs w:val="18"/>
          <w:lang w:val="en-US"/>
        </w:rPr>
      </w:pPr>
      <w:r w:rsidRPr="005F3AE6">
        <w:rPr>
          <w:rStyle w:val="FootnoteReference"/>
          <w:rFonts w:ascii="Arial" w:hAnsi="Arial" w:cs="Arial"/>
          <w:sz w:val="18"/>
          <w:szCs w:val="18"/>
        </w:rPr>
        <w:footnoteRef/>
      </w:r>
      <w:r w:rsidRPr="005F3AE6">
        <w:rPr>
          <w:rFonts w:ascii="Arial" w:hAnsi="Arial" w:cs="Arial"/>
          <w:sz w:val="18"/>
          <w:szCs w:val="18"/>
        </w:rPr>
        <w:t xml:space="preserve"> See </w:t>
      </w:r>
      <w:r w:rsidRPr="005F3AE6">
        <w:rPr>
          <w:rFonts w:ascii="Arial" w:hAnsi="Arial" w:cs="Arial"/>
          <w:i/>
          <w:iCs/>
          <w:sz w:val="18"/>
          <w:szCs w:val="18"/>
        </w:rPr>
        <w:t>Trans-Drakensberg Bank Ltd (under Judicial Management) v Combined Engineering (Pty) Ltd</w:t>
      </w:r>
      <w:r w:rsidRPr="005F3AE6">
        <w:rPr>
          <w:rFonts w:ascii="Arial" w:hAnsi="Arial" w:cs="Arial"/>
          <w:sz w:val="18"/>
          <w:szCs w:val="18"/>
        </w:rPr>
        <w:t xml:space="preserve"> 1967 (3) SA 632 (D) at 638 to 642, and the cases discussed there.</w:t>
      </w:r>
    </w:p>
  </w:footnote>
  <w:footnote w:id="7">
    <w:p w14:paraId="0D36D796" w14:textId="77777777" w:rsidR="00981BBA" w:rsidRPr="005F3AE6" w:rsidRDefault="00981BBA" w:rsidP="00981BBA">
      <w:pPr>
        <w:pStyle w:val="FootnoteText"/>
        <w:spacing w:after="120"/>
        <w:jc w:val="both"/>
        <w:rPr>
          <w:rFonts w:ascii="Arial" w:hAnsi="Arial" w:cs="Arial"/>
          <w:sz w:val="18"/>
          <w:szCs w:val="18"/>
        </w:rPr>
      </w:pPr>
      <w:r w:rsidRPr="005F3AE6">
        <w:rPr>
          <w:rStyle w:val="FootnoteReference"/>
          <w:rFonts w:ascii="Arial" w:hAnsi="Arial" w:cs="Arial"/>
          <w:sz w:val="18"/>
          <w:szCs w:val="18"/>
        </w:rPr>
        <w:footnoteRef/>
      </w:r>
      <w:r w:rsidRPr="005F3AE6">
        <w:rPr>
          <w:rFonts w:ascii="Arial" w:hAnsi="Arial" w:cs="Arial"/>
          <w:sz w:val="18"/>
          <w:szCs w:val="18"/>
        </w:rPr>
        <w:t xml:space="preserve"> </w:t>
      </w:r>
      <w:r w:rsidRPr="005F3AE6">
        <w:rPr>
          <w:rFonts w:ascii="Arial" w:hAnsi="Arial" w:cs="Arial"/>
          <w:i/>
          <w:iCs/>
          <w:sz w:val="18"/>
          <w:szCs w:val="18"/>
        </w:rPr>
        <w:t>Krogman v Van Reenen</w:t>
      </w:r>
      <w:r w:rsidRPr="005F3AE6">
        <w:rPr>
          <w:rFonts w:ascii="Arial" w:hAnsi="Arial" w:cs="Arial"/>
          <w:sz w:val="18"/>
          <w:szCs w:val="18"/>
        </w:rPr>
        <w:t xml:space="preserve"> 1926 OPD 191 at 193. These words derive from a dictum in </w:t>
      </w:r>
      <w:r w:rsidRPr="005F3AE6">
        <w:rPr>
          <w:rFonts w:ascii="Arial" w:hAnsi="Arial" w:cs="Arial"/>
          <w:i/>
          <w:iCs/>
          <w:sz w:val="18"/>
          <w:szCs w:val="18"/>
        </w:rPr>
        <w:t>Clarapede &amp; Co v Commercial Union Association</w:t>
      </w:r>
      <w:r w:rsidRPr="005F3AE6">
        <w:rPr>
          <w:rFonts w:ascii="Arial" w:hAnsi="Arial" w:cs="Arial"/>
          <w:sz w:val="18"/>
          <w:szCs w:val="18"/>
        </w:rPr>
        <w:t xml:space="preserve"> (1883) 32 WR 262 at 263 which has often been cited with approval: see, for example, </w:t>
      </w:r>
      <w:r w:rsidRPr="005F3AE6">
        <w:rPr>
          <w:rFonts w:ascii="Arial" w:hAnsi="Arial" w:cs="Arial"/>
          <w:i/>
          <w:iCs/>
          <w:sz w:val="18"/>
          <w:szCs w:val="18"/>
        </w:rPr>
        <w:t>Rishton v Rishton</w:t>
      </w:r>
      <w:r w:rsidRPr="005F3AE6">
        <w:rPr>
          <w:rFonts w:ascii="Arial" w:hAnsi="Arial" w:cs="Arial"/>
          <w:sz w:val="18"/>
          <w:szCs w:val="18"/>
        </w:rPr>
        <w:t xml:space="preserve"> 1912 TPD 718 at 719, </w:t>
      </w:r>
      <w:r w:rsidRPr="005F3AE6">
        <w:rPr>
          <w:rFonts w:ascii="Arial" w:hAnsi="Arial" w:cs="Arial"/>
          <w:i/>
          <w:iCs/>
          <w:sz w:val="18"/>
          <w:szCs w:val="18"/>
        </w:rPr>
        <w:t>SA Steel Equipment Co (Pty) Ltd v Lurelk (Pty) Ltd</w:t>
      </w:r>
      <w:r w:rsidRPr="005F3AE6">
        <w:rPr>
          <w:rFonts w:ascii="Arial" w:hAnsi="Arial" w:cs="Arial"/>
          <w:sz w:val="18"/>
          <w:szCs w:val="18"/>
        </w:rPr>
        <w:t xml:space="preserve"> 1951 (4) SA 167 (T) 175D and </w:t>
      </w:r>
      <w:r w:rsidRPr="005F3AE6">
        <w:rPr>
          <w:rFonts w:ascii="Arial" w:hAnsi="Arial" w:cs="Arial"/>
          <w:i/>
          <w:iCs/>
          <w:sz w:val="18"/>
          <w:szCs w:val="18"/>
        </w:rPr>
        <w:t>Trans-Drakensberg Bank Ltd (under Judicial Management) v Combined Engineering (Pty) Ltd</w:t>
      </w:r>
      <w:r w:rsidRPr="005F3AE6">
        <w:rPr>
          <w:rFonts w:ascii="Arial" w:hAnsi="Arial" w:cs="Arial"/>
          <w:sz w:val="18"/>
          <w:szCs w:val="18"/>
        </w:rPr>
        <w:t xml:space="preserve"> 1967 (3) SA 632 (D) 638F and 641H-642A.</w:t>
      </w:r>
    </w:p>
    <w:p w14:paraId="0BF94E11" w14:textId="77777777" w:rsidR="00981BBA" w:rsidRPr="005F3AE6" w:rsidRDefault="00981BBA" w:rsidP="00981BBA">
      <w:pPr>
        <w:pStyle w:val="FootnoteText"/>
        <w:spacing w:after="120"/>
        <w:jc w:val="both"/>
        <w:rPr>
          <w:rFonts w:ascii="Arial" w:hAnsi="Arial" w:cs="Arial"/>
          <w:sz w:val="18"/>
          <w:szCs w:val="18"/>
          <w:lang w:val="en-US"/>
        </w:rPr>
      </w:pPr>
      <w:r w:rsidRPr="005F3AE6">
        <w:rPr>
          <w:rFonts w:ascii="Arial" w:hAnsi="Arial" w:cs="Arial"/>
          <w:sz w:val="18"/>
          <w:szCs w:val="18"/>
        </w:rPr>
        <w:t xml:space="preserve">In </w:t>
      </w:r>
      <w:r w:rsidRPr="005F3AE6">
        <w:rPr>
          <w:rFonts w:ascii="Arial" w:hAnsi="Arial" w:cs="Arial"/>
          <w:i/>
          <w:iCs/>
          <w:sz w:val="18"/>
          <w:szCs w:val="18"/>
        </w:rPr>
        <w:t>Mabaso v Minister of Police</w:t>
      </w:r>
      <w:r w:rsidRPr="005F3AE6">
        <w:rPr>
          <w:rFonts w:ascii="Arial" w:hAnsi="Arial" w:cs="Arial"/>
          <w:sz w:val="18"/>
          <w:szCs w:val="18"/>
        </w:rPr>
        <w:t xml:space="preserve"> 1980 (4) SA 319 (W) at 323D Goldstone AJ (as he then was) said that ‘even in a gross case’ the court should grant an amendment unless there is a likelihood of prejudice which cannot be cured by a suitable order for costs.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24F9E23" w14:textId="6D9F3EC6" w:rsidR="007C3FC7" w:rsidRDefault="007C3FC7">
        <w:pPr>
          <w:pStyle w:val="Header"/>
          <w:jc w:val="right"/>
        </w:pPr>
        <w:r>
          <w:t xml:space="preserve">Page </w:t>
        </w:r>
        <w:r>
          <w:rPr>
            <w:b/>
            <w:bCs/>
          </w:rPr>
          <w:fldChar w:fldCharType="begin"/>
        </w:r>
        <w:r>
          <w:rPr>
            <w:b/>
            <w:bCs/>
          </w:rPr>
          <w:instrText xml:space="preserve"> PAGE </w:instrText>
        </w:r>
        <w:r>
          <w:rPr>
            <w:b/>
            <w:bCs/>
          </w:rPr>
          <w:fldChar w:fldCharType="separate"/>
        </w:r>
        <w:r w:rsidR="00A15714">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A15714">
          <w:rPr>
            <w:b/>
            <w:bCs/>
            <w:noProof/>
          </w:rPr>
          <w:t>13</w:t>
        </w:r>
        <w:r>
          <w:rPr>
            <w:b/>
            <w:bCs/>
          </w:rPr>
          <w:fldChar w:fldCharType="end"/>
        </w:r>
      </w:p>
    </w:sdtContent>
  </w:sdt>
  <w:p w14:paraId="143DDB8F" w14:textId="77777777" w:rsidR="007C3FC7" w:rsidRDefault="007C3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46F"/>
    <w:multiLevelType w:val="hybridMultilevel"/>
    <w:tmpl w:val="D750A9A0"/>
    <w:lvl w:ilvl="0" w:tplc="E7C65582">
      <w:start w:val="1"/>
      <w:numFmt w:val="lowerRoman"/>
      <w:lvlText w:val="(%1)"/>
      <w:lvlJc w:val="left"/>
      <w:pPr>
        <w:ind w:left="1287" w:hanging="360"/>
      </w:pPr>
      <w:rPr>
        <w:rFonts w:ascii="Arial" w:eastAsia="Times New Roman" w:hAnsi="Arial" w:cs="Arial"/>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259579C6"/>
    <w:multiLevelType w:val="multilevel"/>
    <w:tmpl w:val="032C0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3E7B9E"/>
    <w:multiLevelType w:val="multilevel"/>
    <w:tmpl w:val="844857EC"/>
    <w:lvl w:ilvl="0">
      <w:start w:val="8"/>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1066F56"/>
    <w:multiLevelType w:val="multilevel"/>
    <w:tmpl w:val="0F66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72006"/>
    <w:multiLevelType w:val="hybridMultilevel"/>
    <w:tmpl w:val="76B22ECC"/>
    <w:lvl w:ilvl="0" w:tplc="4850B0D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455E62DF"/>
    <w:multiLevelType w:val="multilevel"/>
    <w:tmpl w:val="4FE8D776"/>
    <w:lvl w:ilvl="0">
      <w:start w:val="9"/>
      <w:numFmt w:val="decimal"/>
      <w:lvlText w:val="%1"/>
      <w:lvlJc w:val="left"/>
      <w:pPr>
        <w:ind w:left="360" w:hanging="360"/>
      </w:pPr>
      <w:rPr>
        <w:rFonts w:hint="default"/>
      </w:r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0783170"/>
    <w:multiLevelType w:val="multilevel"/>
    <w:tmpl w:val="950C8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61304"/>
    <w:multiLevelType w:val="multilevel"/>
    <w:tmpl w:val="7108D576"/>
    <w:lvl w:ilvl="0">
      <w:start w:val="1"/>
      <w:numFmt w:val="decimal"/>
      <w:pStyle w:val="WLGLevel1"/>
      <w:lvlText w:val="%1"/>
      <w:lvlJc w:val="left"/>
      <w:pPr>
        <w:tabs>
          <w:tab w:val="num" w:pos="567"/>
        </w:tabs>
        <w:ind w:left="567" w:hanging="567"/>
      </w:pPr>
      <w:rPr>
        <w:rFonts w:ascii="Arial" w:hAnsi="Arial" w:cs="Arial" w:hint="default"/>
        <w:b w:val="0"/>
        <w:i w:val="0"/>
        <w:sz w:val="22"/>
        <w:szCs w:val="22"/>
      </w:rPr>
    </w:lvl>
    <w:lvl w:ilvl="1">
      <w:start w:val="1"/>
      <w:numFmt w:val="decimal"/>
      <w:pStyle w:val="WLGLevel2"/>
      <w:lvlText w:val="%1.%2"/>
      <w:lvlJc w:val="left"/>
      <w:pPr>
        <w:tabs>
          <w:tab w:val="num" w:pos="1361"/>
        </w:tabs>
        <w:ind w:left="1361" w:hanging="794"/>
      </w:pPr>
      <w:rPr>
        <w:rFonts w:ascii="Arial" w:hAnsi="Arial" w:cs="Arial" w:hint="default"/>
        <w:b w:val="0"/>
        <w:i w:val="0"/>
        <w:sz w:val="22"/>
        <w:szCs w:val="22"/>
      </w:rPr>
    </w:lvl>
    <w:lvl w:ilvl="2">
      <w:start w:val="1"/>
      <w:numFmt w:val="decimal"/>
      <w:pStyle w:val="WLGLevel3"/>
      <w:lvlText w:val="%1.%2.%3"/>
      <w:lvlJc w:val="left"/>
      <w:pPr>
        <w:tabs>
          <w:tab w:val="num" w:pos="2381"/>
        </w:tabs>
        <w:ind w:left="2381" w:hanging="1020"/>
      </w:pPr>
      <w:rPr>
        <w:rFonts w:hint="default"/>
        <w:i w:val="0"/>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8" w15:restartNumberingAfterBreak="0">
    <w:nsid w:val="76014544"/>
    <w:multiLevelType w:val="multilevel"/>
    <w:tmpl w:val="6DD2ADD0"/>
    <w:lvl w:ilvl="0">
      <w:start w:val="1"/>
      <w:numFmt w:val="decimal"/>
      <w:lvlText w:val="%1."/>
      <w:lvlJc w:val="left"/>
      <w:pPr>
        <w:ind w:left="720" w:hanging="720"/>
      </w:pPr>
      <w:rPr>
        <w:rFonts w:ascii="Arial" w:hAnsi="Arial" w:cs="Arial" w:hint="default"/>
        <w:b w:val="0"/>
        <w:color w:val="auto"/>
      </w:rPr>
    </w:lvl>
    <w:lvl w:ilvl="1">
      <w:start w:val="1"/>
      <w:numFmt w:val="decimal"/>
      <w:isLgl/>
      <w:lvlText w:val="%1.%2"/>
      <w:lvlJc w:val="left"/>
      <w:pPr>
        <w:ind w:left="1080" w:hanging="720"/>
      </w:pPr>
      <w:rPr>
        <w:rFonts w:ascii="Arial" w:hAnsi="Arial"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1"/>
  </w:num>
  <w:num w:numId="8">
    <w:abstractNumId w:val="3"/>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3"/>
    <w:rsid w:val="00010C51"/>
    <w:rsid w:val="00020574"/>
    <w:rsid w:val="00063D56"/>
    <w:rsid w:val="000D051F"/>
    <w:rsid w:val="000F5877"/>
    <w:rsid w:val="00141A71"/>
    <w:rsid w:val="00155544"/>
    <w:rsid w:val="0015621B"/>
    <w:rsid w:val="00165272"/>
    <w:rsid w:val="002463F9"/>
    <w:rsid w:val="002713E7"/>
    <w:rsid w:val="002979C9"/>
    <w:rsid w:val="002B07F4"/>
    <w:rsid w:val="002F05CD"/>
    <w:rsid w:val="00332530"/>
    <w:rsid w:val="003A17C9"/>
    <w:rsid w:val="003E0813"/>
    <w:rsid w:val="004200AB"/>
    <w:rsid w:val="00491769"/>
    <w:rsid w:val="005164D0"/>
    <w:rsid w:val="006272A9"/>
    <w:rsid w:val="00627AF4"/>
    <w:rsid w:val="0065337A"/>
    <w:rsid w:val="007203FE"/>
    <w:rsid w:val="00723F52"/>
    <w:rsid w:val="007C3FC7"/>
    <w:rsid w:val="007E1D04"/>
    <w:rsid w:val="007F3EE9"/>
    <w:rsid w:val="00952E53"/>
    <w:rsid w:val="00981BBA"/>
    <w:rsid w:val="009F6DC2"/>
    <w:rsid w:val="00A15714"/>
    <w:rsid w:val="00B609B0"/>
    <w:rsid w:val="00BC4022"/>
    <w:rsid w:val="00BD37BC"/>
    <w:rsid w:val="00C225E9"/>
    <w:rsid w:val="00D61906"/>
    <w:rsid w:val="00DA4B7B"/>
    <w:rsid w:val="00E85D18"/>
    <w:rsid w:val="00EA1A44"/>
    <w:rsid w:val="00ED4D1F"/>
    <w:rsid w:val="00F92B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00D7"/>
  <w15:chartTrackingRefBased/>
  <w15:docId w15:val="{3A6D860C-8831-4A4A-A3F9-5EE0053A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1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E08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08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08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08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08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08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08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08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08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08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08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08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08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08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08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08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0813"/>
    <w:rPr>
      <w:rFonts w:eastAsiaTheme="majorEastAsia" w:cstheme="majorBidi"/>
      <w:color w:val="272727" w:themeColor="text1" w:themeTint="D8"/>
    </w:rPr>
  </w:style>
  <w:style w:type="paragraph" w:styleId="Title">
    <w:name w:val="Title"/>
    <w:basedOn w:val="Normal"/>
    <w:next w:val="Normal"/>
    <w:link w:val="TitleChar"/>
    <w:qFormat/>
    <w:rsid w:val="003E08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E08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08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08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0813"/>
    <w:pPr>
      <w:spacing w:before="160"/>
      <w:jc w:val="center"/>
    </w:pPr>
    <w:rPr>
      <w:i/>
      <w:iCs/>
      <w:color w:val="404040" w:themeColor="text1" w:themeTint="BF"/>
    </w:rPr>
  </w:style>
  <w:style w:type="character" w:customStyle="1" w:styleId="QuoteChar">
    <w:name w:val="Quote Char"/>
    <w:basedOn w:val="DefaultParagraphFont"/>
    <w:link w:val="Quote"/>
    <w:uiPriority w:val="29"/>
    <w:rsid w:val="003E0813"/>
    <w:rPr>
      <w:i/>
      <w:iCs/>
      <w:color w:val="404040" w:themeColor="text1" w:themeTint="BF"/>
    </w:rPr>
  </w:style>
  <w:style w:type="paragraph" w:styleId="ListParagraph">
    <w:name w:val="List Paragraph"/>
    <w:aliases w:val="Body text,List Paragraph1"/>
    <w:basedOn w:val="Normal"/>
    <w:link w:val="ListParagraphChar"/>
    <w:uiPriority w:val="34"/>
    <w:qFormat/>
    <w:rsid w:val="003E0813"/>
    <w:pPr>
      <w:ind w:left="720"/>
      <w:contextualSpacing/>
    </w:pPr>
  </w:style>
  <w:style w:type="character" w:styleId="IntenseEmphasis">
    <w:name w:val="Intense Emphasis"/>
    <w:basedOn w:val="DefaultParagraphFont"/>
    <w:uiPriority w:val="21"/>
    <w:qFormat/>
    <w:rsid w:val="003E0813"/>
    <w:rPr>
      <w:i/>
      <w:iCs/>
      <w:color w:val="0F4761" w:themeColor="accent1" w:themeShade="BF"/>
    </w:rPr>
  </w:style>
  <w:style w:type="paragraph" w:styleId="IntenseQuote">
    <w:name w:val="Intense Quote"/>
    <w:basedOn w:val="Normal"/>
    <w:next w:val="Normal"/>
    <w:link w:val="IntenseQuoteChar"/>
    <w:uiPriority w:val="30"/>
    <w:qFormat/>
    <w:rsid w:val="003E08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0813"/>
    <w:rPr>
      <w:i/>
      <w:iCs/>
      <w:color w:val="0F4761" w:themeColor="accent1" w:themeShade="BF"/>
    </w:rPr>
  </w:style>
  <w:style w:type="character" w:styleId="IntenseReference">
    <w:name w:val="Intense Reference"/>
    <w:basedOn w:val="DefaultParagraphFont"/>
    <w:uiPriority w:val="32"/>
    <w:qFormat/>
    <w:rsid w:val="003E0813"/>
    <w:rPr>
      <w:b/>
      <w:bCs/>
      <w:smallCaps/>
      <w:color w:val="0F4761" w:themeColor="accent1" w:themeShade="BF"/>
      <w:spacing w:val="5"/>
    </w:rPr>
  </w:style>
  <w:style w:type="paragraph" w:customStyle="1" w:styleId="WWTramLines">
    <w:name w:val="WW_TramLines"/>
    <w:basedOn w:val="WWBodyText"/>
    <w:next w:val="WWBodyText"/>
    <w:rsid w:val="003E0813"/>
    <w:pPr>
      <w:pBdr>
        <w:top w:val="single" w:sz="4" w:space="18" w:color="auto"/>
        <w:bottom w:val="single" w:sz="4" w:space="18" w:color="auto"/>
      </w:pBdr>
      <w:spacing w:after="360" w:line="240" w:lineRule="auto"/>
      <w:jc w:val="center"/>
    </w:pPr>
    <w:rPr>
      <w:b/>
    </w:rPr>
  </w:style>
  <w:style w:type="paragraph" w:customStyle="1" w:styleId="WWBodyText">
    <w:name w:val="WW_BodyText"/>
    <w:basedOn w:val="Normal"/>
    <w:rsid w:val="003E0813"/>
    <w:pPr>
      <w:suppressAutoHyphens/>
      <w:spacing w:after="240" w:line="480" w:lineRule="auto"/>
      <w:jc w:val="both"/>
    </w:pPr>
    <w:rPr>
      <w:rFonts w:ascii="Arial" w:hAnsi="Arial"/>
      <w:lang w:eastAsia="en-GB"/>
    </w:rPr>
  </w:style>
  <w:style w:type="paragraph" w:customStyle="1" w:styleId="WLGLevel1">
    <w:name w:val="WLGLevel1"/>
    <w:basedOn w:val="Normal"/>
    <w:qFormat/>
    <w:rsid w:val="003E0813"/>
    <w:pPr>
      <w:numPr>
        <w:numId w:val="1"/>
      </w:numPr>
      <w:suppressAutoHyphens/>
      <w:spacing w:before="320" w:after="320" w:line="480" w:lineRule="auto"/>
      <w:jc w:val="both"/>
      <w:outlineLvl w:val="0"/>
    </w:pPr>
    <w:rPr>
      <w:rFonts w:ascii="Arial" w:hAnsi="Arial"/>
      <w:szCs w:val="20"/>
      <w:lang w:val="en-GB"/>
    </w:rPr>
  </w:style>
  <w:style w:type="paragraph" w:customStyle="1" w:styleId="WLGLevel2">
    <w:name w:val="WLGLevel2"/>
    <w:basedOn w:val="Normal"/>
    <w:qFormat/>
    <w:rsid w:val="003E0813"/>
    <w:pPr>
      <w:numPr>
        <w:ilvl w:val="1"/>
        <w:numId w:val="1"/>
      </w:numPr>
      <w:suppressAutoHyphens/>
      <w:spacing w:after="320" w:line="480" w:lineRule="auto"/>
      <w:jc w:val="both"/>
      <w:outlineLvl w:val="1"/>
    </w:pPr>
    <w:rPr>
      <w:rFonts w:ascii="Arial" w:hAnsi="Arial"/>
      <w:szCs w:val="20"/>
      <w:lang w:val="en-GB"/>
    </w:rPr>
  </w:style>
  <w:style w:type="paragraph" w:customStyle="1" w:styleId="WLGLevel3">
    <w:name w:val="WLGLevel3"/>
    <w:basedOn w:val="Normal"/>
    <w:qFormat/>
    <w:rsid w:val="003E0813"/>
    <w:pPr>
      <w:numPr>
        <w:ilvl w:val="2"/>
        <w:numId w:val="1"/>
      </w:numPr>
      <w:suppressAutoHyphens/>
      <w:spacing w:after="320" w:line="480" w:lineRule="auto"/>
      <w:jc w:val="both"/>
      <w:outlineLvl w:val="2"/>
    </w:pPr>
    <w:rPr>
      <w:rFonts w:ascii="Arial" w:hAnsi="Arial"/>
      <w:szCs w:val="20"/>
      <w:lang w:val="en-GB"/>
    </w:rPr>
  </w:style>
  <w:style w:type="paragraph" w:customStyle="1" w:styleId="WLGLevel4">
    <w:name w:val="WLGLevel4"/>
    <w:basedOn w:val="Normal"/>
    <w:qFormat/>
    <w:rsid w:val="003E0813"/>
    <w:pPr>
      <w:numPr>
        <w:ilvl w:val="3"/>
        <w:numId w:val="1"/>
      </w:numPr>
      <w:suppressAutoHyphens/>
      <w:spacing w:after="320" w:line="480" w:lineRule="auto"/>
      <w:jc w:val="both"/>
      <w:outlineLvl w:val="3"/>
    </w:pPr>
    <w:rPr>
      <w:rFonts w:ascii="Arial" w:hAnsi="Arial"/>
      <w:szCs w:val="20"/>
      <w:lang w:val="en-GB"/>
    </w:rPr>
  </w:style>
  <w:style w:type="paragraph" w:customStyle="1" w:styleId="WLGLevel5">
    <w:name w:val="WLGLevel5"/>
    <w:basedOn w:val="Normal"/>
    <w:qFormat/>
    <w:rsid w:val="003E0813"/>
    <w:pPr>
      <w:numPr>
        <w:ilvl w:val="4"/>
        <w:numId w:val="1"/>
      </w:numPr>
      <w:suppressAutoHyphens/>
      <w:spacing w:after="320" w:line="480" w:lineRule="auto"/>
      <w:jc w:val="both"/>
      <w:outlineLvl w:val="4"/>
    </w:pPr>
    <w:rPr>
      <w:rFonts w:ascii="Arial" w:hAnsi="Arial"/>
      <w:szCs w:val="20"/>
      <w:lang w:val="en-GB"/>
    </w:rPr>
  </w:style>
  <w:style w:type="paragraph" w:styleId="FootnoteText">
    <w:name w:val="footnote text"/>
    <w:basedOn w:val="Normal"/>
    <w:link w:val="FootnoteTextChar"/>
    <w:uiPriority w:val="99"/>
    <w:unhideWhenUsed/>
    <w:rsid w:val="003E0813"/>
    <w:rPr>
      <w:sz w:val="20"/>
      <w:szCs w:val="20"/>
    </w:rPr>
  </w:style>
  <w:style w:type="character" w:customStyle="1" w:styleId="FootnoteTextChar">
    <w:name w:val="Footnote Text Char"/>
    <w:basedOn w:val="DefaultParagraphFont"/>
    <w:link w:val="FootnoteText"/>
    <w:uiPriority w:val="99"/>
    <w:rsid w:val="003E0813"/>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3E0813"/>
    <w:rPr>
      <w:vertAlign w:val="superscript"/>
    </w:rPr>
  </w:style>
  <w:style w:type="paragraph" w:styleId="Footer">
    <w:name w:val="footer"/>
    <w:basedOn w:val="Normal"/>
    <w:link w:val="FooterChar"/>
    <w:uiPriority w:val="99"/>
    <w:unhideWhenUsed/>
    <w:rsid w:val="003E0813"/>
    <w:pPr>
      <w:tabs>
        <w:tab w:val="center" w:pos="4513"/>
        <w:tab w:val="right" w:pos="9026"/>
      </w:tabs>
    </w:pPr>
  </w:style>
  <w:style w:type="character" w:customStyle="1" w:styleId="FooterChar">
    <w:name w:val="Footer Char"/>
    <w:basedOn w:val="DefaultParagraphFont"/>
    <w:link w:val="Footer"/>
    <w:uiPriority w:val="99"/>
    <w:rsid w:val="003E0813"/>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3E0813"/>
  </w:style>
  <w:style w:type="paragraph" w:styleId="NormalWeb">
    <w:name w:val="Normal (Web)"/>
    <w:basedOn w:val="Normal"/>
    <w:uiPriority w:val="99"/>
    <w:unhideWhenUsed/>
    <w:rsid w:val="003E0813"/>
    <w:pPr>
      <w:spacing w:before="100" w:beforeAutospacing="1" w:after="100" w:afterAutospacing="1"/>
    </w:pPr>
    <w:rPr>
      <w:lang w:eastAsia="en-GB"/>
    </w:rPr>
  </w:style>
  <w:style w:type="character" w:customStyle="1" w:styleId="ListParagraphChar">
    <w:name w:val="List Paragraph Char"/>
    <w:aliases w:val="Body text Char,List Paragraph1 Char"/>
    <w:basedOn w:val="DefaultParagraphFont"/>
    <w:link w:val="ListParagraph"/>
    <w:uiPriority w:val="34"/>
    <w:rsid w:val="007F3EE9"/>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F92B87"/>
  </w:style>
  <w:style w:type="paragraph" w:styleId="Header">
    <w:name w:val="header"/>
    <w:basedOn w:val="Normal"/>
    <w:link w:val="HeaderChar"/>
    <w:uiPriority w:val="99"/>
    <w:unhideWhenUsed/>
    <w:rsid w:val="007C3FC7"/>
    <w:pPr>
      <w:tabs>
        <w:tab w:val="center" w:pos="4513"/>
        <w:tab w:val="right" w:pos="9026"/>
      </w:tabs>
    </w:pPr>
  </w:style>
  <w:style w:type="character" w:customStyle="1" w:styleId="HeaderChar">
    <w:name w:val="Header Char"/>
    <w:basedOn w:val="DefaultParagraphFont"/>
    <w:link w:val="Header"/>
    <w:uiPriority w:val="99"/>
    <w:rsid w:val="007C3FC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AEB4-99EB-4564-A80A-052E1720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2430</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Summary: Civil procedure – application to amend the applicants’ notice of motion</vt:lpstr>
      <vt:lpstr>INTRODUCTION</vt:lpstr>
      <vt:lpstr>[1]	The Special Investigating Unit (SIU) and Transnet SOC Limited (Transnet) as </vt:lpstr>
      <vt:lpstr>[2]	The particulars of the amendments sought are as follows:</vt:lpstr>
      <vt:lpstr>2.1	In prayer 5, the applicants sought an order in terms of which Mr Lebelo is d</vt:lpstr>
      <vt:lpstr>2.2	In prayer 6.1 the applicants sought an order in terms of which Mr Mashamba i</vt:lpstr>
      <vt:lpstr>2.3	In prayer 6.2 the applicants sought an order in terms of which Mr Mashamba i</vt:lpstr>
      <vt:lpstr>    [3]	In relation to the additional amount of R100,000 the applicants seek to reco</vt:lpstr>
      <vt:lpstr>    [4]	In relation to the additional amount of R300,000 the applicants seek to reco</vt:lpstr>
      <vt:lpstr>[5]	Mr Lebelo, Mr Mashamba and the parties associated with them as the third to </vt:lpstr>
      <vt:lpstr>[6]	The basis for Superfecta’s opposition is as follows: </vt:lpstr>
      <vt:lpstr>[7]	In determining this application, I am guided by the trite principles that go</vt:lpstr>
      <vt:lpstr/>
      <vt:lpstr>APPLICABLE LEGAL PRINCIPLES </vt:lpstr>
      <vt:lpstr>[8]	The applicants rely on the general principles that govern applications for a</vt:lpstr>
      <vt:lpstr>8.1	The primary object of allowing an amendment is to obtain a proper ventilatio</vt:lpstr>
      <vt:lpstr>8.2	A request for an amendment may be refused when it is mala fide or it would c</vt:lpstr>
      <vt:lpstr>8.4	In motion proceedings, when the applicant seeks to amend its relief at the t</vt:lpstr>
      <vt:lpstr>    The court has a discretion to permit the proposed amendment and the filing of fu</vt:lpstr>
      <vt:lpstr>    When exercising its discretion, the court will be guided by the principle that t</vt:lpstr>
      <vt:lpstr>    the  reason why the evidence was not produced timeously;</vt:lpstr>
      <vt:lpstr>    the degree of materiality of the evidence; </vt:lpstr>
      <vt:lpstr>    the possibility that the further affidavit may have been shaped to cure a materi</vt:lpstr>
      <vt:lpstr>    the balance of prejudice to the applicant if the application is refused and the </vt:lpstr>
      <vt:lpstr>    the stage which the particular litigation has reached; </vt:lpstr>
      <vt:lpstr>    the general need for finality in judicial proceedings;</vt:lpstr>
      <vt:lpstr>    Whether the filing of further affidavits should be permitted is essentially a qu</vt:lpstr>
      <vt:lpstr>    The court will readily allow the amendment of a prayer if the main issue or caus</vt:lpstr>
      <vt:lpstr>    The fact that granting the amendment would necessitate the leading of further ev</vt:lpstr>
      <vt:lpstr>    Delay in seeking an amendment is, in and of itself, no ground for its refusal.  </vt:lpstr>
      <vt:lpstr>    In the absence of prejudice to the other party, leave to amend may be granted at</vt:lpstr>
      <vt:lpstr>WHETHER THE REQUIREMENTS FOR AN AMENDMENT ARE MET</vt:lpstr>
      <vt:lpstr>New cause of action; alternatively new issue introduced for the first time in a </vt:lpstr>
      <vt:lpstr>[9]	The proposed amendments do not introduce a new cause of action. They relate </vt:lpstr>
      <vt:lpstr>[10]	They will have an opportunity in the main proceedings to petition the Tribu</vt:lpstr>
      <vt:lpstr/>
      <vt:lpstr/>
      <vt:lpstr/>
      <vt:lpstr>No explanation is tendered for the belated proposed amendments</vt:lpstr>
      <vt:lpstr>[11]	Contrary to the contention by Superfecta, the applicants have tendered an e</vt:lpstr>
      <vt:lpstr>[12]	Regarding prayer 5, the applicants’ explanation for not including the relev</vt:lpstr>
      <vt:lpstr>[13]	The applicants did not seek an amendment to prayer 5 earlier. Investigation</vt:lpstr>
      <vt:lpstr>[14]	Regarding prayer 6.1, the applicants had explained at paragraphs 176 to 179</vt:lpstr>
      <vt:lpstr>[15]	In his answering affidavit, Mr Mashamba averred that “I advanced the sum of</vt:lpstr>
      <vt:lpstr>[16]	The same transaction reference was used for all three payments to Tonkin Cl</vt:lpstr>
      <vt:lpstr>Bona fides, prejudice, and the interests of justice</vt:lpstr>
      <vt:lpstr>[17]	The allegation that the proposed amendments are not made bona fide is baldl</vt:lpstr>
      <vt:lpstr>[18]	The allegation that the allegation is prejudicial to Superfecta and not in </vt:lpstr>
      <vt:lpstr>[19]	Superfecta has not established that if the amendments are allowed, it will </vt:lpstr>
      <vt:lpstr>[20]	In the result, Superfecta’s grounds of opposition fall to be dismissed. The</vt:lpstr>
      <vt:lpstr/>
      <vt:lpstr>COSTS</vt:lpstr>
      <vt:lpstr>[21]	The applicants seek the costs of Superfecta’s opposition as it was not warr</vt:lpstr>
      <vt:lpstr>ORDER</vt:lpstr>
      <vt:lpstr>The following order is made:</vt:lpstr>
      <vt:lpstr>Mpho, please include the order as per notice of motion, appearances, and deliver</vt:lpstr>
      <vt:lpstr/>
      <vt:lpstr/>
    </vt:vector>
  </TitlesOfParts>
  <Company>HP Inc.</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Reagile Modiba</dc:creator>
  <cp:keywords/>
  <dc:description/>
  <cp:lastModifiedBy>Mary Bruce</cp:lastModifiedBy>
  <cp:revision>11</cp:revision>
  <cp:lastPrinted>2024-05-03T06:52:00Z</cp:lastPrinted>
  <dcterms:created xsi:type="dcterms:W3CDTF">2024-05-02T17:17:00Z</dcterms:created>
  <dcterms:modified xsi:type="dcterms:W3CDTF">2024-05-03T11:20:00Z</dcterms:modified>
</cp:coreProperties>
</file>