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F0" w:rsidRDefault="0092073C" w:rsidP="0092073C">
      <w:pPr>
        <w:jc w:val="center"/>
        <w:rPr>
          <w:rFonts w:ascii="Arial" w:hAnsi="Arial" w:cs="Arial"/>
          <w:b/>
          <w:sz w:val="24"/>
          <w:szCs w:val="24"/>
        </w:rPr>
      </w:pPr>
      <w:r>
        <w:rPr>
          <w:noProof/>
          <w:lang w:eastAsia="en-ZA"/>
        </w:rPr>
        <w:drawing>
          <wp:inline distT="0" distB="0" distL="0" distR="0" wp14:anchorId="307B5402" wp14:editId="27E5A236">
            <wp:extent cx="1444625" cy="1274445"/>
            <wp:effectExtent l="0" t="0" r="317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DF6B6C" w:rsidRDefault="00F03307">
      <w:pPr>
        <w:rPr>
          <w:rFonts w:ascii="Arial" w:hAnsi="Arial" w:cs="Arial"/>
          <w:b/>
          <w:sz w:val="24"/>
          <w:szCs w:val="24"/>
        </w:rPr>
      </w:pPr>
      <w:r>
        <w:rPr>
          <w:rFonts w:ascii="Arial" w:hAnsi="Arial" w:cs="Arial"/>
          <w:b/>
          <w:sz w:val="24"/>
          <w:szCs w:val="24"/>
        </w:rPr>
        <w:t>IN THE HIGH COURT OF SOUTH AFRICA</w:t>
      </w:r>
    </w:p>
    <w:p w:rsidR="0092073C" w:rsidRDefault="00F03307">
      <w:pPr>
        <w:rPr>
          <w:rFonts w:ascii="Arial" w:hAnsi="Arial" w:cs="Arial"/>
          <w:b/>
          <w:sz w:val="24"/>
          <w:szCs w:val="24"/>
        </w:rPr>
      </w:pPr>
      <w:r>
        <w:rPr>
          <w:rFonts w:ascii="Arial" w:hAnsi="Arial" w:cs="Arial"/>
          <w:b/>
          <w:sz w:val="24"/>
          <w:szCs w:val="24"/>
        </w:rPr>
        <w:t>EASTERN CAPE LOCAL DIVISION – BHISHO</w:t>
      </w:r>
    </w:p>
    <w:p w:rsidR="00F03307" w:rsidRPr="0092073C" w:rsidRDefault="0092073C" w:rsidP="0092073C">
      <w:pPr>
        <w:ind w:left="5040" w:firstLine="720"/>
        <w:rPr>
          <w:rFonts w:ascii="Arial" w:hAnsi="Arial" w:cs="Arial"/>
          <w:sz w:val="20"/>
          <w:szCs w:val="20"/>
        </w:rPr>
      </w:pPr>
      <w:r>
        <w:rPr>
          <w:rFonts w:ascii="Arial" w:hAnsi="Arial" w:cs="Arial"/>
          <w:sz w:val="20"/>
          <w:szCs w:val="20"/>
        </w:rPr>
        <w:t>REPOTABLE/NOT REPORTABLE</w:t>
      </w:r>
    </w:p>
    <w:p w:rsidR="00F03307" w:rsidRDefault="00F03307">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F759A">
        <w:rPr>
          <w:rFonts w:ascii="Arial" w:hAnsi="Arial" w:cs="Arial"/>
          <w:sz w:val="24"/>
          <w:szCs w:val="24"/>
        </w:rPr>
        <w:t>Case No:  755/2021</w:t>
      </w:r>
    </w:p>
    <w:p w:rsidR="00F03307" w:rsidRDefault="00F03307">
      <w:pPr>
        <w:rPr>
          <w:rFonts w:ascii="Arial" w:hAnsi="Arial" w:cs="Arial"/>
          <w:sz w:val="24"/>
          <w:szCs w:val="24"/>
        </w:rPr>
      </w:pPr>
      <w:r>
        <w:rPr>
          <w:rFonts w:ascii="Arial" w:hAnsi="Arial" w:cs="Arial"/>
          <w:sz w:val="24"/>
          <w:szCs w:val="24"/>
        </w:rPr>
        <w:t>In the matter between:</w:t>
      </w:r>
    </w:p>
    <w:p w:rsidR="00F03307" w:rsidRDefault="00F03307">
      <w:pPr>
        <w:rPr>
          <w:rFonts w:ascii="Arial" w:hAnsi="Arial" w:cs="Arial"/>
          <w:sz w:val="24"/>
          <w:szCs w:val="24"/>
        </w:rPr>
      </w:pPr>
    </w:p>
    <w:p w:rsidR="00F03307" w:rsidRDefault="00F03307">
      <w:pPr>
        <w:rPr>
          <w:rFonts w:ascii="Arial" w:hAnsi="Arial" w:cs="Arial"/>
          <w:sz w:val="24"/>
          <w:szCs w:val="24"/>
        </w:rPr>
      </w:pPr>
      <w:r>
        <w:rPr>
          <w:rFonts w:ascii="Arial" w:hAnsi="Arial" w:cs="Arial"/>
          <w:b/>
          <w:sz w:val="24"/>
          <w:szCs w:val="24"/>
        </w:rPr>
        <w:t>BUKIWE EUD</w:t>
      </w:r>
      <w:bookmarkStart w:id="0" w:name="_GoBack"/>
      <w:bookmarkEnd w:id="0"/>
      <w:r w:rsidR="00DC1DF3">
        <w:rPr>
          <w:rFonts w:ascii="Arial" w:hAnsi="Arial" w:cs="Arial"/>
          <w:b/>
          <w:sz w:val="24"/>
          <w:szCs w:val="24"/>
        </w:rPr>
        <w:t>O</w:t>
      </w:r>
      <w:r>
        <w:rPr>
          <w:rFonts w:ascii="Arial" w:hAnsi="Arial" w:cs="Arial"/>
          <w:b/>
          <w:sz w:val="24"/>
          <w:szCs w:val="24"/>
        </w:rPr>
        <w:t>RIA GQOKOM</w:t>
      </w:r>
      <w:r w:rsidR="00DC1DF3">
        <w:rPr>
          <w:rFonts w:ascii="Arial" w:hAnsi="Arial" w:cs="Arial"/>
          <w:b/>
          <w:sz w:val="24"/>
          <w:szCs w:val="24"/>
        </w:rPr>
        <w:t>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Applicant</w:t>
      </w:r>
    </w:p>
    <w:p w:rsidR="00F03307" w:rsidRDefault="00F03307">
      <w:pPr>
        <w:rPr>
          <w:rFonts w:ascii="Arial" w:hAnsi="Arial" w:cs="Arial"/>
          <w:sz w:val="24"/>
          <w:szCs w:val="24"/>
        </w:rPr>
      </w:pPr>
    </w:p>
    <w:p w:rsidR="00F03307" w:rsidRDefault="00DC1DF3">
      <w:pPr>
        <w:rPr>
          <w:rFonts w:ascii="Arial" w:hAnsi="Arial" w:cs="Arial"/>
          <w:sz w:val="24"/>
          <w:szCs w:val="24"/>
        </w:rPr>
      </w:pPr>
      <w:r>
        <w:rPr>
          <w:rFonts w:ascii="Arial" w:hAnsi="Arial" w:cs="Arial"/>
          <w:sz w:val="24"/>
          <w:szCs w:val="24"/>
        </w:rPr>
        <w:t>a</w:t>
      </w:r>
      <w:r w:rsidR="00F03307">
        <w:rPr>
          <w:rFonts w:ascii="Arial" w:hAnsi="Arial" w:cs="Arial"/>
          <w:sz w:val="24"/>
          <w:szCs w:val="24"/>
        </w:rPr>
        <w:t>nd</w:t>
      </w:r>
    </w:p>
    <w:p w:rsidR="00F03307" w:rsidRDefault="00F03307">
      <w:pPr>
        <w:rPr>
          <w:rFonts w:ascii="Arial" w:hAnsi="Arial" w:cs="Arial"/>
          <w:sz w:val="24"/>
          <w:szCs w:val="24"/>
        </w:rPr>
      </w:pPr>
    </w:p>
    <w:p w:rsidR="00F03307" w:rsidRDefault="00F03307">
      <w:pPr>
        <w:rPr>
          <w:rFonts w:ascii="Arial" w:hAnsi="Arial" w:cs="Arial"/>
          <w:b/>
          <w:sz w:val="24"/>
          <w:szCs w:val="24"/>
        </w:rPr>
      </w:pPr>
      <w:r w:rsidRPr="00F03307">
        <w:rPr>
          <w:rFonts w:ascii="Arial" w:hAnsi="Arial" w:cs="Arial"/>
          <w:b/>
          <w:sz w:val="24"/>
          <w:szCs w:val="24"/>
        </w:rPr>
        <w:t>MEMBER OF THE EXECUTIVE</w:t>
      </w:r>
      <w:r>
        <w:rPr>
          <w:rFonts w:ascii="Arial" w:hAnsi="Arial" w:cs="Arial"/>
          <w:b/>
          <w:sz w:val="24"/>
          <w:szCs w:val="24"/>
        </w:rPr>
        <w:t xml:space="preserve"> COUNCIL FOR THE</w:t>
      </w:r>
    </w:p>
    <w:p w:rsidR="00DC1DF3" w:rsidRDefault="00F03307">
      <w:pPr>
        <w:rPr>
          <w:rFonts w:ascii="Arial" w:hAnsi="Arial" w:cs="Arial"/>
          <w:b/>
          <w:sz w:val="24"/>
          <w:szCs w:val="24"/>
        </w:rPr>
      </w:pPr>
      <w:r>
        <w:rPr>
          <w:rFonts w:ascii="Arial" w:hAnsi="Arial" w:cs="Arial"/>
          <w:b/>
          <w:sz w:val="24"/>
          <w:szCs w:val="24"/>
        </w:rPr>
        <w:t>DEPARTMENT OF EDUCATION</w:t>
      </w:r>
      <w:r w:rsidR="00DC1DF3">
        <w:rPr>
          <w:rFonts w:ascii="Arial" w:hAnsi="Arial" w:cs="Arial"/>
          <w:b/>
          <w:sz w:val="24"/>
          <w:szCs w:val="24"/>
        </w:rPr>
        <w:t>,</w:t>
      </w:r>
      <w:r>
        <w:rPr>
          <w:rFonts w:ascii="Arial" w:hAnsi="Arial" w:cs="Arial"/>
          <w:b/>
          <w:sz w:val="24"/>
          <w:szCs w:val="24"/>
        </w:rPr>
        <w:t xml:space="preserve"> EASTERN CAPE</w:t>
      </w:r>
    </w:p>
    <w:p w:rsidR="00F03307" w:rsidRDefault="00DC1DF3">
      <w:pPr>
        <w:rPr>
          <w:rFonts w:ascii="Arial" w:hAnsi="Arial" w:cs="Arial"/>
          <w:sz w:val="24"/>
          <w:szCs w:val="24"/>
        </w:rPr>
      </w:pPr>
      <w:r>
        <w:rPr>
          <w:rFonts w:ascii="Arial" w:hAnsi="Arial" w:cs="Arial"/>
          <w:b/>
          <w:sz w:val="24"/>
          <w:szCs w:val="24"/>
        </w:rPr>
        <w:t>PROVINCIAL GOVERNMENT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F03307">
        <w:rPr>
          <w:rFonts w:ascii="Arial" w:hAnsi="Arial" w:cs="Arial"/>
          <w:sz w:val="24"/>
          <w:szCs w:val="24"/>
        </w:rPr>
        <w:t>First Respondent</w:t>
      </w:r>
    </w:p>
    <w:p w:rsidR="00F03307" w:rsidRDefault="00F03307">
      <w:pPr>
        <w:rPr>
          <w:rFonts w:ascii="Arial" w:hAnsi="Arial" w:cs="Arial"/>
          <w:sz w:val="24"/>
          <w:szCs w:val="24"/>
        </w:rPr>
      </w:pPr>
    </w:p>
    <w:p w:rsidR="00F03307" w:rsidRDefault="00DC1DF3">
      <w:pPr>
        <w:rPr>
          <w:rFonts w:ascii="Arial" w:hAnsi="Arial" w:cs="Arial"/>
          <w:sz w:val="24"/>
          <w:szCs w:val="24"/>
        </w:rPr>
      </w:pPr>
      <w:r>
        <w:rPr>
          <w:rFonts w:ascii="Arial" w:hAnsi="Arial" w:cs="Arial"/>
          <w:b/>
          <w:sz w:val="24"/>
          <w:szCs w:val="24"/>
        </w:rPr>
        <w:t>MARIA</w:t>
      </w:r>
      <w:r w:rsidR="00F03307">
        <w:rPr>
          <w:rFonts w:ascii="Arial" w:hAnsi="Arial" w:cs="Arial"/>
          <w:b/>
          <w:sz w:val="24"/>
          <w:szCs w:val="24"/>
        </w:rPr>
        <w:t xml:space="preserve"> BESTER</w:t>
      </w:r>
      <w:r w:rsidR="00F03307">
        <w:rPr>
          <w:rFonts w:ascii="Arial" w:hAnsi="Arial" w:cs="Arial"/>
          <w:b/>
          <w:sz w:val="24"/>
          <w:szCs w:val="24"/>
        </w:rPr>
        <w:tab/>
      </w:r>
      <w:r w:rsidR="00F03307">
        <w:rPr>
          <w:rFonts w:ascii="Arial" w:hAnsi="Arial" w:cs="Arial"/>
          <w:b/>
          <w:sz w:val="24"/>
          <w:szCs w:val="24"/>
        </w:rPr>
        <w:tab/>
      </w:r>
      <w:r w:rsidR="00F03307">
        <w:rPr>
          <w:rFonts w:ascii="Arial" w:hAnsi="Arial" w:cs="Arial"/>
          <w:b/>
          <w:sz w:val="24"/>
          <w:szCs w:val="24"/>
        </w:rPr>
        <w:tab/>
      </w:r>
      <w:r w:rsidR="00F03307">
        <w:rPr>
          <w:rFonts w:ascii="Arial" w:hAnsi="Arial" w:cs="Arial"/>
          <w:b/>
          <w:sz w:val="24"/>
          <w:szCs w:val="24"/>
        </w:rPr>
        <w:tab/>
      </w:r>
      <w:r w:rsidR="00F03307">
        <w:rPr>
          <w:rFonts w:ascii="Arial" w:hAnsi="Arial" w:cs="Arial"/>
          <w:b/>
          <w:sz w:val="24"/>
          <w:szCs w:val="24"/>
        </w:rPr>
        <w:tab/>
      </w:r>
      <w:r w:rsidR="00F03307">
        <w:rPr>
          <w:rFonts w:ascii="Arial" w:hAnsi="Arial" w:cs="Arial"/>
          <w:b/>
          <w:sz w:val="24"/>
          <w:szCs w:val="24"/>
        </w:rPr>
        <w:tab/>
      </w:r>
      <w:r w:rsidR="00F03307">
        <w:rPr>
          <w:rFonts w:ascii="Arial" w:hAnsi="Arial" w:cs="Arial"/>
          <w:b/>
          <w:sz w:val="24"/>
          <w:szCs w:val="24"/>
        </w:rPr>
        <w:tab/>
        <w:t xml:space="preserve">     </w:t>
      </w:r>
      <w:r w:rsidR="00F03307">
        <w:rPr>
          <w:rFonts w:ascii="Arial" w:hAnsi="Arial" w:cs="Arial"/>
          <w:sz w:val="24"/>
          <w:szCs w:val="24"/>
        </w:rPr>
        <w:t>Second Respondent</w:t>
      </w:r>
    </w:p>
    <w:p w:rsidR="00F03307" w:rsidRDefault="00F03307" w:rsidP="00F03307">
      <w:pPr>
        <w:pBdr>
          <w:top w:val="single" w:sz="12" w:space="1" w:color="auto"/>
          <w:bottom w:val="single" w:sz="12" w:space="1" w:color="auto"/>
        </w:pBdr>
        <w:jc w:val="center"/>
        <w:rPr>
          <w:rFonts w:ascii="Arial" w:hAnsi="Arial" w:cs="Arial"/>
          <w:b/>
          <w:sz w:val="24"/>
          <w:szCs w:val="24"/>
        </w:rPr>
      </w:pPr>
    </w:p>
    <w:p w:rsidR="00F03307" w:rsidRDefault="00F03307" w:rsidP="004D51E2">
      <w:pPr>
        <w:pBdr>
          <w:top w:val="single" w:sz="12" w:space="1" w:color="auto"/>
          <w:bottom w:val="single" w:sz="12" w:space="1" w:color="auto"/>
        </w:pBdr>
        <w:spacing w:after="0"/>
        <w:jc w:val="center"/>
        <w:rPr>
          <w:rFonts w:ascii="Arial" w:hAnsi="Arial" w:cs="Arial"/>
          <w:b/>
          <w:sz w:val="24"/>
          <w:szCs w:val="24"/>
        </w:rPr>
      </w:pPr>
      <w:r>
        <w:rPr>
          <w:rFonts w:ascii="Arial" w:hAnsi="Arial" w:cs="Arial"/>
          <w:b/>
          <w:sz w:val="24"/>
          <w:szCs w:val="24"/>
        </w:rPr>
        <w:t>JUDGMENT</w:t>
      </w:r>
    </w:p>
    <w:p w:rsidR="00F03307" w:rsidRDefault="00F03307" w:rsidP="00D750DF">
      <w:pPr>
        <w:pBdr>
          <w:top w:val="single" w:sz="12" w:space="1" w:color="auto"/>
          <w:bottom w:val="single" w:sz="12" w:space="1" w:color="auto"/>
        </w:pBdr>
        <w:spacing w:after="0"/>
        <w:rPr>
          <w:rFonts w:ascii="Arial" w:hAnsi="Arial" w:cs="Arial"/>
          <w:b/>
          <w:sz w:val="24"/>
          <w:szCs w:val="24"/>
        </w:rPr>
      </w:pPr>
    </w:p>
    <w:p w:rsidR="00F03307" w:rsidRDefault="00F03307" w:rsidP="004D51E2">
      <w:pPr>
        <w:spacing w:after="0"/>
        <w:jc w:val="both"/>
        <w:rPr>
          <w:rFonts w:ascii="Arial" w:hAnsi="Arial" w:cs="Arial"/>
          <w:b/>
          <w:sz w:val="24"/>
          <w:szCs w:val="24"/>
        </w:rPr>
      </w:pPr>
      <w:r>
        <w:rPr>
          <w:rFonts w:ascii="Arial" w:hAnsi="Arial" w:cs="Arial"/>
          <w:b/>
          <w:sz w:val="24"/>
          <w:szCs w:val="24"/>
        </w:rPr>
        <w:t>DA SILVA AJ</w:t>
      </w:r>
      <w:r w:rsidR="004D51E2">
        <w:rPr>
          <w:rFonts w:ascii="Arial" w:hAnsi="Arial" w:cs="Arial"/>
          <w:b/>
          <w:sz w:val="24"/>
          <w:szCs w:val="24"/>
        </w:rPr>
        <w:t>:</w:t>
      </w:r>
    </w:p>
    <w:p w:rsidR="0092073C" w:rsidRDefault="0092073C" w:rsidP="004D51E2">
      <w:pPr>
        <w:spacing w:after="0" w:line="480" w:lineRule="auto"/>
        <w:jc w:val="both"/>
        <w:rPr>
          <w:rFonts w:ascii="Arial" w:hAnsi="Arial" w:cs="Arial"/>
          <w:sz w:val="24"/>
          <w:szCs w:val="24"/>
        </w:rPr>
      </w:pPr>
    </w:p>
    <w:p w:rsidR="00D750DF" w:rsidRPr="00D750DF" w:rsidRDefault="00D750DF" w:rsidP="004D51E2">
      <w:pPr>
        <w:spacing w:after="0" w:line="480" w:lineRule="auto"/>
        <w:jc w:val="both"/>
        <w:rPr>
          <w:rFonts w:ascii="Arial" w:hAnsi="Arial" w:cs="Arial"/>
          <w:b/>
          <w:sz w:val="24"/>
          <w:szCs w:val="24"/>
        </w:rPr>
      </w:pPr>
      <w:r>
        <w:rPr>
          <w:rFonts w:ascii="Arial" w:hAnsi="Arial" w:cs="Arial"/>
          <w:sz w:val="24"/>
          <w:szCs w:val="24"/>
        </w:rPr>
        <w:t>A.</w:t>
      </w:r>
      <w:r>
        <w:rPr>
          <w:rFonts w:ascii="Arial" w:hAnsi="Arial" w:cs="Arial"/>
          <w:sz w:val="24"/>
          <w:szCs w:val="24"/>
        </w:rPr>
        <w:tab/>
      </w:r>
      <w:r w:rsidRPr="00D750DF">
        <w:rPr>
          <w:rFonts w:ascii="Arial" w:hAnsi="Arial" w:cs="Arial"/>
          <w:b/>
          <w:sz w:val="24"/>
          <w:szCs w:val="24"/>
          <w:u w:val="single"/>
        </w:rPr>
        <w:t>Relief sought</w:t>
      </w:r>
    </w:p>
    <w:p w:rsidR="004D00C1" w:rsidRPr="00746D93" w:rsidRDefault="004D00C1" w:rsidP="004D51E2">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In this applicatio</w:t>
      </w:r>
      <w:r w:rsidR="00746D93">
        <w:rPr>
          <w:rFonts w:ascii="Arial" w:hAnsi="Arial" w:cs="Arial"/>
          <w:sz w:val="24"/>
          <w:szCs w:val="24"/>
        </w:rPr>
        <w:t xml:space="preserve">n, the applicant seeks an order, </w:t>
      </w:r>
      <w:r w:rsidR="00746D93">
        <w:rPr>
          <w:rFonts w:ascii="Arial" w:hAnsi="Arial" w:cs="Arial"/>
          <w:i/>
          <w:sz w:val="24"/>
          <w:szCs w:val="24"/>
        </w:rPr>
        <w:t>inter alia</w:t>
      </w:r>
      <w:r w:rsidR="00746D93">
        <w:rPr>
          <w:rFonts w:ascii="Arial" w:hAnsi="Arial" w:cs="Arial"/>
          <w:sz w:val="24"/>
          <w:szCs w:val="24"/>
        </w:rPr>
        <w:t>:</w:t>
      </w:r>
    </w:p>
    <w:p w:rsidR="00DC1DF3" w:rsidRDefault="00DC1DF3" w:rsidP="00DC1DF3">
      <w:pPr>
        <w:spacing w:after="0" w:line="480" w:lineRule="auto"/>
        <w:ind w:left="1440" w:hanging="720"/>
        <w:jc w:val="both"/>
        <w:rPr>
          <w:rFonts w:ascii="Arial" w:hAnsi="Arial" w:cs="Arial"/>
          <w:sz w:val="24"/>
          <w:szCs w:val="24"/>
        </w:rPr>
      </w:pPr>
    </w:p>
    <w:p w:rsidR="004D00C1" w:rsidRDefault="004D00C1" w:rsidP="00DC1DF3">
      <w:pPr>
        <w:spacing w:after="0" w:line="480" w:lineRule="auto"/>
        <w:ind w:left="1440" w:hanging="720"/>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t>declaring invalid the recommend</w:t>
      </w:r>
      <w:r w:rsidR="00D63D78">
        <w:rPr>
          <w:rFonts w:ascii="Arial" w:hAnsi="Arial" w:cs="Arial"/>
          <w:sz w:val="24"/>
          <w:szCs w:val="24"/>
        </w:rPr>
        <w:t>ation</w:t>
      </w:r>
      <w:r>
        <w:rPr>
          <w:rFonts w:ascii="Arial" w:hAnsi="Arial" w:cs="Arial"/>
          <w:sz w:val="24"/>
          <w:szCs w:val="24"/>
        </w:rPr>
        <w:t xml:space="preserve"> dated 25 November 2019 of the chairperson of the int</w:t>
      </w:r>
      <w:r w:rsidR="00D63D78">
        <w:rPr>
          <w:rFonts w:ascii="Arial" w:hAnsi="Arial" w:cs="Arial"/>
          <w:sz w:val="24"/>
          <w:szCs w:val="24"/>
        </w:rPr>
        <w:t>erview panel for the appointment</w:t>
      </w:r>
      <w:r>
        <w:rPr>
          <w:rFonts w:ascii="Arial" w:hAnsi="Arial" w:cs="Arial"/>
          <w:sz w:val="24"/>
          <w:szCs w:val="24"/>
        </w:rPr>
        <w:t xml:space="preserve"> of th</w:t>
      </w:r>
      <w:r w:rsidR="00DC1DF3">
        <w:rPr>
          <w:rFonts w:ascii="Arial" w:hAnsi="Arial" w:cs="Arial"/>
          <w:sz w:val="24"/>
          <w:szCs w:val="24"/>
        </w:rPr>
        <w:t>e s</w:t>
      </w:r>
      <w:r>
        <w:rPr>
          <w:rFonts w:ascii="Arial" w:hAnsi="Arial" w:cs="Arial"/>
          <w:sz w:val="24"/>
          <w:szCs w:val="24"/>
        </w:rPr>
        <w:t>econd</w:t>
      </w:r>
      <w:r w:rsidR="00DC1DF3">
        <w:rPr>
          <w:rFonts w:ascii="Arial" w:hAnsi="Arial" w:cs="Arial"/>
          <w:sz w:val="24"/>
          <w:szCs w:val="24"/>
        </w:rPr>
        <w:t xml:space="preserve"> r</w:t>
      </w:r>
      <w:r>
        <w:rPr>
          <w:rFonts w:ascii="Arial" w:hAnsi="Arial" w:cs="Arial"/>
          <w:sz w:val="24"/>
          <w:szCs w:val="24"/>
        </w:rPr>
        <w:t>espondent to the position of Deputy Principal: Bhisho Primary School;</w:t>
      </w:r>
    </w:p>
    <w:p w:rsidR="005F44A1" w:rsidRDefault="005F44A1" w:rsidP="004D00C1">
      <w:pPr>
        <w:spacing w:after="0" w:line="480" w:lineRule="auto"/>
        <w:ind w:left="1440" w:hanging="720"/>
        <w:jc w:val="both"/>
        <w:rPr>
          <w:rFonts w:ascii="Arial" w:hAnsi="Arial" w:cs="Arial"/>
          <w:sz w:val="24"/>
          <w:szCs w:val="24"/>
        </w:rPr>
      </w:pPr>
    </w:p>
    <w:p w:rsidR="00D63D78" w:rsidRDefault="00DC1DF3" w:rsidP="004D00C1">
      <w:pPr>
        <w:spacing w:after="0" w:line="480" w:lineRule="auto"/>
        <w:ind w:left="144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declaring the a</w:t>
      </w:r>
      <w:r w:rsidR="00D63D78">
        <w:rPr>
          <w:rFonts w:ascii="Arial" w:hAnsi="Arial" w:cs="Arial"/>
          <w:sz w:val="24"/>
          <w:szCs w:val="24"/>
        </w:rPr>
        <w:t>pplicant as a successful candidate to the position of Deputy Principal: Bhisho Primary School;</w:t>
      </w:r>
    </w:p>
    <w:p w:rsidR="005F44A1" w:rsidRDefault="005F44A1" w:rsidP="004D00C1">
      <w:pPr>
        <w:spacing w:after="0" w:line="480" w:lineRule="auto"/>
        <w:ind w:left="1440" w:hanging="720"/>
        <w:jc w:val="both"/>
        <w:rPr>
          <w:rFonts w:ascii="Arial" w:hAnsi="Arial" w:cs="Arial"/>
          <w:sz w:val="24"/>
          <w:szCs w:val="24"/>
        </w:rPr>
      </w:pPr>
    </w:p>
    <w:p w:rsidR="005F44A1" w:rsidRDefault="00DC1DF3" w:rsidP="004D00C1">
      <w:pPr>
        <w:spacing w:after="0" w:line="480" w:lineRule="auto"/>
        <w:ind w:left="144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directing the first r</w:t>
      </w:r>
      <w:r w:rsidR="005F44A1">
        <w:rPr>
          <w:rFonts w:ascii="Arial" w:hAnsi="Arial" w:cs="Arial"/>
          <w:sz w:val="24"/>
          <w:szCs w:val="24"/>
        </w:rPr>
        <w:t>espondent (the MEC for Education: Eastern Cape (“the MEC”) to do all things necessary to implement the recommendations of the interview pa</w:t>
      </w:r>
      <w:r>
        <w:rPr>
          <w:rFonts w:ascii="Arial" w:hAnsi="Arial" w:cs="Arial"/>
          <w:sz w:val="24"/>
          <w:szCs w:val="24"/>
        </w:rPr>
        <w:t>nel for the appointment of the a</w:t>
      </w:r>
      <w:r w:rsidR="005F44A1">
        <w:rPr>
          <w:rFonts w:ascii="Arial" w:hAnsi="Arial" w:cs="Arial"/>
          <w:sz w:val="24"/>
          <w:szCs w:val="24"/>
        </w:rPr>
        <w:t xml:space="preserve">pplicant to the position of Deputy Principal: Bhisho Primary School; and </w:t>
      </w:r>
    </w:p>
    <w:p w:rsidR="005F44A1" w:rsidRDefault="005F44A1" w:rsidP="004D00C1">
      <w:pPr>
        <w:spacing w:after="0" w:line="480" w:lineRule="auto"/>
        <w:ind w:left="1440" w:hanging="720"/>
        <w:jc w:val="both"/>
        <w:rPr>
          <w:rFonts w:ascii="Arial" w:hAnsi="Arial" w:cs="Arial"/>
          <w:sz w:val="24"/>
          <w:szCs w:val="24"/>
        </w:rPr>
      </w:pPr>
    </w:p>
    <w:p w:rsidR="005F44A1" w:rsidRDefault="005F44A1" w:rsidP="004D00C1">
      <w:pPr>
        <w:spacing w:after="0" w:line="480" w:lineRule="auto"/>
        <w:ind w:left="1440" w:hanging="720"/>
        <w:jc w:val="both"/>
        <w:rPr>
          <w:rFonts w:ascii="Arial" w:hAnsi="Arial" w:cs="Arial"/>
          <w:sz w:val="24"/>
          <w:szCs w:val="24"/>
        </w:rPr>
      </w:pPr>
      <w:r>
        <w:rPr>
          <w:rFonts w:ascii="Arial" w:hAnsi="Arial" w:cs="Arial"/>
          <w:sz w:val="24"/>
          <w:szCs w:val="24"/>
        </w:rPr>
        <w:t xml:space="preserve">1.4 </w:t>
      </w:r>
      <w:r>
        <w:rPr>
          <w:rFonts w:ascii="Arial" w:hAnsi="Arial" w:cs="Arial"/>
          <w:sz w:val="24"/>
          <w:szCs w:val="24"/>
        </w:rPr>
        <w:tab/>
        <w:t>an order of costs.</w:t>
      </w:r>
    </w:p>
    <w:p w:rsidR="005F44A1" w:rsidRDefault="005F44A1" w:rsidP="005F44A1">
      <w:pPr>
        <w:spacing w:after="0" w:line="480" w:lineRule="auto"/>
        <w:jc w:val="both"/>
        <w:rPr>
          <w:rFonts w:ascii="Arial" w:hAnsi="Arial" w:cs="Arial"/>
          <w:sz w:val="24"/>
          <w:szCs w:val="24"/>
        </w:rPr>
      </w:pPr>
    </w:p>
    <w:p w:rsidR="005F44A1" w:rsidRDefault="00746D93" w:rsidP="005F44A1">
      <w:pPr>
        <w:spacing w:after="0" w:line="480" w:lineRule="auto"/>
        <w:jc w:val="both"/>
        <w:rPr>
          <w:rFonts w:ascii="Arial" w:hAnsi="Arial" w:cs="Arial"/>
          <w:b/>
          <w:sz w:val="24"/>
          <w:szCs w:val="24"/>
          <w:u w:val="single"/>
        </w:rPr>
      </w:pPr>
      <w:r>
        <w:rPr>
          <w:rFonts w:ascii="Arial" w:hAnsi="Arial" w:cs="Arial"/>
          <w:sz w:val="24"/>
          <w:szCs w:val="24"/>
        </w:rPr>
        <w:t>B.</w:t>
      </w:r>
      <w:r>
        <w:rPr>
          <w:rFonts w:ascii="Arial" w:hAnsi="Arial" w:cs="Arial"/>
          <w:sz w:val="24"/>
          <w:szCs w:val="24"/>
        </w:rPr>
        <w:tab/>
      </w:r>
      <w:r>
        <w:rPr>
          <w:rFonts w:ascii="Arial" w:hAnsi="Arial" w:cs="Arial"/>
          <w:b/>
          <w:sz w:val="24"/>
          <w:szCs w:val="24"/>
          <w:u w:val="single"/>
        </w:rPr>
        <w:t>Applicant’s case</w:t>
      </w:r>
    </w:p>
    <w:p w:rsidR="00D750DF" w:rsidRDefault="00D750DF" w:rsidP="005F44A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 s</w:t>
      </w:r>
      <w:r w:rsidR="00DC1DF3">
        <w:rPr>
          <w:rFonts w:ascii="Arial" w:hAnsi="Arial" w:cs="Arial"/>
          <w:sz w:val="24"/>
          <w:szCs w:val="24"/>
        </w:rPr>
        <w:t>upport of the application, the a</w:t>
      </w:r>
      <w:r>
        <w:rPr>
          <w:rFonts w:ascii="Arial" w:hAnsi="Arial" w:cs="Arial"/>
          <w:sz w:val="24"/>
          <w:szCs w:val="24"/>
        </w:rPr>
        <w:t>pplicant has averred that she was a master teacher at Bhisho Primary School</w:t>
      </w:r>
      <w:r w:rsidR="00746D93">
        <w:rPr>
          <w:rFonts w:ascii="Arial" w:hAnsi="Arial" w:cs="Arial"/>
          <w:sz w:val="24"/>
          <w:szCs w:val="24"/>
        </w:rPr>
        <w:t>.  B</w:t>
      </w:r>
      <w:r>
        <w:rPr>
          <w:rFonts w:ascii="Arial" w:hAnsi="Arial" w:cs="Arial"/>
          <w:sz w:val="24"/>
          <w:szCs w:val="24"/>
        </w:rPr>
        <w:t>efore 11 October 2019, she applied for the advertised post of Deputy Principal: Bhisho Primary School.</w:t>
      </w:r>
      <w:r w:rsidR="008B0108">
        <w:rPr>
          <w:rFonts w:ascii="Arial" w:hAnsi="Arial" w:cs="Arial"/>
          <w:sz w:val="24"/>
          <w:szCs w:val="24"/>
        </w:rPr>
        <w:t xml:space="preserve">  </w:t>
      </w:r>
      <w:r w:rsidR="00DC1DF3">
        <w:rPr>
          <w:rFonts w:ascii="Arial" w:hAnsi="Arial" w:cs="Arial"/>
          <w:sz w:val="24"/>
          <w:szCs w:val="24"/>
        </w:rPr>
        <w:t>The a</w:t>
      </w:r>
      <w:r>
        <w:rPr>
          <w:rFonts w:ascii="Arial" w:hAnsi="Arial" w:cs="Arial"/>
          <w:sz w:val="24"/>
          <w:szCs w:val="24"/>
        </w:rPr>
        <w:t xml:space="preserve">pplicant was shortlisted and attended the interview together with the other candidates who had been shortlisted.  The </w:t>
      </w:r>
      <w:r w:rsidR="00DC1DF3">
        <w:rPr>
          <w:rFonts w:ascii="Arial" w:hAnsi="Arial" w:cs="Arial"/>
          <w:sz w:val="24"/>
          <w:szCs w:val="24"/>
        </w:rPr>
        <w:t>a</w:t>
      </w:r>
      <w:r>
        <w:rPr>
          <w:rFonts w:ascii="Arial" w:hAnsi="Arial" w:cs="Arial"/>
          <w:sz w:val="24"/>
          <w:szCs w:val="24"/>
        </w:rPr>
        <w:t>pplicant alleges that she was the highest scoring candidate.</w:t>
      </w:r>
      <w:r w:rsidR="00746D93">
        <w:rPr>
          <w:rFonts w:ascii="Arial" w:hAnsi="Arial" w:cs="Arial"/>
          <w:sz w:val="24"/>
          <w:szCs w:val="24"/>
        </w:rPr>
        <w:t xml:space="preserve">  </w:t>
      </w:r>
      <w:r>
        <w:rPr>
          <w:rFonts w:ascii="Arial" w:hAnsi="Arial" w:cs="Arial"/>
          <w:sz w:val="24"/>
          <w:szCs w:val="24"/>
        </w:rPr>
        <w:t xml:space="preserve">The </w:t>
      </w:r>
      <w:r w:rsidR="00746D93">
        <w:rPr>
          <w:rFonts w:ascii="Arial" w:hAnsi="Arial" w:cs="Arial"/>
          <w:sz w:val="24"/>
          <w:szCs w:val="24"/>
        </w:rPr>
        <w:t xml:space="preserve">panellists </w:t>
      </w:r>
      <w:r w:rsidR="00DC1DF3">
        <w:rPr>
          <w:rFonts w:ascii="Arial" w:hAnsi="Arial" w:cs="Arial"/>
          <w:sz w:val="24"/>
          <w:szCs w:val="24"/>
        </w:rPr>
        <w:t>recommended that the a</w:t>
      </w:r>
      <w:r>
        <w:rPr>
          <w:rFonts w:ascii="Arial" w:hAnsi="Arial" w:cs="Arial"/>
          <w:sz w:val="24"/>
          <w:szCs w:val="24"/>
        </w:rPr>
        <w:t>pplicant be appointed to the position of Deputy Principal: Bhisho Primary School.</w:t>
      </w:r>
    </w:p>
    <w:p w:rsidR="00D750DF" w:rsidRDefault="00D750DF" w:rsidP="005F44A1">
      <w:pPr>
        <w:spacing w:after="0" w:line="480" w:lineRule="auto"/>
        <w:jc w:val="both"/>
        <w:rPr>
          <w:rFonts w:ascii="Arial" w:hAnsi="Arial" w:cs="Arial"/>
          <w:sz w:val="24"/>
          <w:szCs w:val="24"/>
        </w:rPr>
      </w:pPr>
    </w:p>
    <w:p w:rsidR="0092073C" w:rsidRDefault="0092073C" w:rsidP="005F44A1">
      <w:pPr>
        <w:spacing w:after="0" w:line="480" w:lineRule="auto"/>
        <w:jc w:val="both"/>
        <w:rPr>
          <w:rFonts w:ascii="Arial" w:hAnsi="Arial" w:cs="Arial"/>
          <w:sz w:val="24"/>
          <w:szCs w:val="24"/>
        </w:rPr>
      </w:pPr>
      <w:r>
        <w:rPr>
          <w:rFonts w:ascii="Arial" w:hAnsi="Arial" w:cs="Arial"/>
          <w:sz w:val="24"/>
          <w:szCs w:val="24"/>
        </w:rPr>
        <w:t>[3</w:t>
      </w:r>
      <w:r w:rsidR="00D750DF">
        <w:rPr>
          <w:rFonts w:ascii="Arial" w:hAnsi="Arial" w:cs="Arial"/>
          <w:sz w:val="24"/>
          <w:szCs w:val="24"/>
        </w:rPr>
        <w:t>]</w:t>
      </w:r>
      <w:r w:rsidR="00D750DF">
        <w:rPr>
          <w:rFonts w:ascii="Arial" w:hAnsi="Arial" w:cs="Arial"/>
          <w:sz w:val="24"/>
          <w:szCs w:val="24"/>
        </w:rPr>
        <w:tab/>
        <w:t>However, the Principal of the school, who was not to be involved in the selection process, and the chairperson of th</w:t>
      </w:r>
      <w:r w:rsidR="00DC1DF3">
        <w:rPr>
          <w:rFonts w:ascii="Arial" w:hAnsi="Arial" w:cs="Arial"/>
          <w:sz w:val="24"/>
          <w:szCs w:val="24"/>
        </w:rPr>
        <w:t>e interview panel favoured the second r</w:t>
      </w:r>
      <w:r w:rsidR="00D750DF">
        <w:rPr>
          <w:rFonts w:ascii="Arial" w:hAnsi="Arial" w:cs="Arial"/>
          <w:sz w:val="24"/>
          <w:szCs w:val="24"/>
        </w:rPr>
        <w:t xml:space="preserve">espondent, </w:t>
      </w:r>
      <w:r w:rsidR="00D750DF">
        <w:rPr>
          <w:rFonts w:ascii="Arial" w:hAnsi="Arial" w:cs="Arial"/>
          <w:sz w:val="24"/>
          <w:szCs w:val="24"/>
        </w:rPr>
        <w:lastRenderedPageBreak/>
        <w:t>who o</w:t>
      </w:r>
      <w:r w:rsidR="00746D93">
        <w:rPr>
          <w:rFonts w:ascii="Arial" w:hAnsi="Arial" w:cs="Arial"/>
          <w:sz w:val="24"/>
          <w:szCs w:val="24"/>
        </w:rPr>
        <w:t>btained lesser points than</w:t>
      </w:r>
      <w:r w:rsidR="00DC1DF3">
        <w:rPr>
          <w:rFonts w:ascii="Arial" w:hAnsi="Arial" w:cs="Arial"/>
          <w:sz w:val="24"/>
          <w:szCs w:val="24"/>
        </w:rPr>
        <w:t xml:space="preserve"> the a</w:t>
      </w:r>
      <w:r w:rsidR="00D750DF">
        <w:rPr>
          <w:rFonts w:ascii="Arial" w:hAnsi="Arial" w:cs="Arial"/>
          <w:sz w:val="24"/>
          <w:szCs w:val="24"/>
        </w:rPr>
        <w:t>pplicant.</w:t>
      </w:r>
      <w:r w:rsidR="008B0108">
        <w:rPr>
          <w:rFonts w:ascii="Arial" w:hAnsi="Arial" w:cs="Arial"/>
          <w:sz w:val="24"/>
          <w:szCs w:val="24"/>
        </w:rPr>
        <w:t xml:space="preserve">  This culminated in the chairperson of the interview panel signing a different recommendation letter, recommending that the second respondent be appointed.</w:t>
      </w:r>
    </w:p>
    <w:p w:rsidR="0092073C" w:rsidRDefault="0092073C" w:rsidP="005F44A1">
      <w:pPr>
        <w:spacing w:after="0" w:line="480" w:lineRule="auto"/>
        <w:jc w:val="both"/>
        <w:rPr>
          <w:rFonts w:ascii="Arial" w:hAnsi="Arial" w:cs="Arial"/>
          <w:sz w:val="24"/>
          <w:szCs w:val="24"/>
        </w:rPr>
      </w:pPr>
    </w:p>
    <w:p w:rsidR="0092073C" w:rsidRDefault="0092073C" w:rsidP="005F44A1">
      <w:pPr>
        <w:spacing w:after="0" w:line="480" w:lineRule="auto"/>
        <w:jc w:val="both"/>
        <w:rPr>
          <w:rFonts w:ascii="Arial" w:hAnsi="Arial" w:cs="Arial"/>
          <w:sz w:val="24"/>
          <w:szCs w:val="24"/>
        </w:rPr>
      </w:pPr>
      <w:r>
        <w:rPr>
          <w:rFonts w:ascii="Arial" w:hAnsi="Arial" w:cs="Arial"/>
          <w:sz w:val="24"/>
          <w:szCs w:val="24"/>
        </w:rPr>
        <w:t>[4</w:t>
      </w:r>
      <w:r w:rsidR="00C24F5C">
        <w:rPr>
          <w:rFonts w:ascii="Arial" w:hAnsi="Arial" w:cs="Arial"/>
          <w:sz w:val="24"/>
          <w:szCs w:val="24"/>
        </w:rPr>
        <w:t>]</w:t>
      </w:r>
      <w:r w:rsidR="00C24F5C">
        <w:rPr>
          <w:rFonts w:ascii="Arial" w:hAnsi="Arial" w:cs="Arial"/>
          <w:sz w:val="24"/>
          <w:szCs w:val="24"/>
        </w:rPr>
        <w:tab/>
        <w:t>The a</w:t>
      </w:r>
      <w:r w:rsidR="00D750DF">
        <w:rPr>
          <w:rFonts w:ascii="Arial" w:hAnsi="Arial" w:cs="Arial"/>
          <w:sz w:val="24"/>
          <w:szCs w:val="24"/>
        </w:rPr>
        <w:t xml:space="preserve">pplicant contends that the chairperson’s recommendation </w:t>
      </w:r>
      <w:r w:rsidR="00C24F5C">
        <w:rPr>
          <w:rFonts w:ascii="Arial" w:hAnsi="Arial" w:cs="Arial"/>
          <w:sz w:val="24"/>
          <w:szCs w:val="24"/>
        </w:rPr>
        <w:t>of the second r</w:t>
      </w:r>
      <w:r w:rsidR="00D2696B">
        <w:rPr>
          <w:rFonts w:ascii="Arial" w:hAnsi="Arial" w:cs="Arial"/>
          <w:sz w:val="24"/>
          <w:szCs w:val="24"/>
        </w:rPr>
        <w:t>espondent is without a legal or sound basis,</w:t>
      </w:r>
      <w:r w:rsidR="00746D93">
        <w:rPr>
          <w:rFonts w:ascii="Arial" w:hAnsi="Arial" w:cs="Arial"/>
          <w:sz w:val="24"/>
          <w:szCs w:val="24"/>
        </w:rPr>
        <w:t xml:space="preserve"> is</w:t>
      </w:r>
      <w:r w:rsidR="00D2696B">
        <w:rPr>
          <w:rFonts w:ascii="Arial" w:hAnsi="Arial" w:cs="Arial"/>
          <w:sz w:val="24"/>
          <w:szCs w:val="24"/>
        </w:rPr>
        <w:t xml:space="preserve"> fraudulent and thus unlawful and illegal.  According to the applicant, the chairperson did not have the power to unilaterally veto the majority decision of the panel and substitute same with his own.</w:t>
      </w:r>
    </w:p>
    <w:p w:rsidR="0092073C" w:rsidRDefault="0092073C" w:rsidP="005F44A1">
      <w:pPr>
        <w:spacing w:after="0" w:line="480" w:lineRule="auto"/>
        <w:jc w:val="both"/>
        <w:rPr>
          <w:rFonts w:ascii="Arial" w:hAnsi="Arial" w:cs="Arial"/>
          <w:sz w:val="24"/>
          <w:szCs w:val="24"/>
        </w:rPr>
      </w:pPr>
    </w:p>
    <w:p w:rsidR="00D2696B" w:rsidRDefault="0092073C" w:rsidP="005F44A1">
      <w:pPr>
        <w:spacing w:after="0" w:line="480" w:lineRule="auto"/>
        <w:jc w:val="both"/>
        <w:rPr>
          <w:rFonts w:ascii="Arial" w:hAnsi="Arial" w:cs="Arial"/>
          <w:sz w:val="24"/>
          <w:szCs w:val="24"/>
        </w:rPr>
      </w:pPr>
      <w:r>
        <w:rPr>
          <w:rFonts w:ascii="Arial" w:hAnsi="Arial" w:cs="Arial"/>
          <w:sz w:val="24"/>
          <w:szCs w:val="24"/>
        </w:rPr>
        <w:t>[5</w:t>
      </w:r>
      <w:r w:rsidR="00D2696B">
        <w:rPr>
          <w:rFonts w:ascii="Arial" w:hAnsi="Arial" w:cs="Arial"/>
          <w:sz w:val="24"/>
          <w:szCs w:val="24"/>
        </w:rPr>
        <w:t>]</w:t>
      </w:r>
      <w:r w:rsidR="00D2696B">
        <w:rPr>
          <w:rFonts w:ascii="Arial" w:hAnsi="Arial" w:cs="Arial"/>
          <w:sz w:val="24"/>
          <w:szCs w:val="24"/>
        </w:rPr>
        <w:tab/>
        <w:t xml:space="preserve">The court asked Mr </w:t>
      </w:r>
      <w:r w:rsidR="00D2696B">
        <w:rPr>
          <w:rFonts w:ascii="Arial" w:hAnsi="Arial" w:cs="Arial"/>
          <w:i/>
          <w:sz w:val="24"/>
          <w:szCs w:val="24"/>
        </w:rPr>
        <w:t>Poswa</w:t>
      </w:r>
      <w:r w:rsidR="00D2696B">
        <w:rPr>
          <w:rFonts w:ascii="Arial" w:hAnsi="Arial" w:cs="Arial"/>
          <w:sz w:val="24"/>
          <w:szCs w:val="24"/>
        </w:rPr>
        <w:t>,</w:t>
      </w:r>
      <w:r w:rsidR="00C24F5C">
        <w:rPr>
          <w:rFonts w:ascii="Arial" w:hAnsi="Arial" w:cs="Arial"/>
          <w:sz w:val="24"/>
          <w:szCs w:val="24"/>
        </w:rPr>
        <w:t xml:space="preserve"> who appeared for the a</w:t>
      </w:r>
      <w:r w:rsidR="00D2696B">
        <w:rPr>
          <w:rFonts w:ascii="Arial" w:hAnsi="Arial" w:cs="Arial"/>
          <w:sz w:val="24"/>
          <w:szCs w:val="24"/>
        </w:rPr>
        <w:t xml:space="preserve">pplicant, to identify the cause of action in seeking the declarator.  Mr </w:t>
      </w:r>
      <w:r w:rsidR="00D2696B">
        <w:rPr>
          <w:rFonts w:ascii="Arial" w:hAnsi="Arial" w:cs="Arial"/>
          <w:i/>
          <w:sz w:val="24"/>
          <w:szCs w:val="24"/>
        </w:rPr>
        <w:t xml:space="preserve">Poswa’s </w:t>
      </w:r>
      <w:r w:rsidR="00C24F5C">
        <w:rPr>
          <w:rFonts w:ascii="Arial" w:hAnsi="Arial" w:cs="Arial"/>
          <w:sz w:val="24"/>
          <w:szCs w:val="24"/>
        </w:rPr>
        <w:t>response was that the a</w:t>
      </w:r>
      <w:r w:rsidR="00D2696B">
        <w:rPr>
          <w:rFonts w:ascii="Arial" w:hAnsi="Arial" w:cs="Arial"/>
          <w:sz w:val="24"/>
          <w:szCs w:val="24"/>
        </w:rPr>
        <w:t>pplicant’s cause of action was based on section 33 of the Constitution and not the Promotion of Administrative Justice Act, 2000 (Act 3 of 2000) (PAJA).  This much is also evident from paragraph 10 of the reply</w:t>
      </w:r>
      <w:r w:rsidR="00746D93">
        <w:rPr>
          <w:rFonts w:ascii="Arial" w:hAnsi="Arial" w:cs="Arial"/>
          <w:sz w:val="24"/>
          <w:szCs w:val="24"/>
        </w:rPr>
        <w:t>ing affidavit where</w:t>
      </w:r>
      <w:r w:rsidR="00C24F5C">
        <w:rPr>
          <w:rFonts w:ascii="Arial" w:hAnsi="Arial" w:cs="Arial"/>
          <w:sz w:val="24"/>
          <w:szCs w:val="24"/>
        </w:rPr>
        <w:t xml:space="preserve"> the a</w:t>
      </w:r>
      <w:r w:rsidR="00D2696B">
        <w:rPr>
          <w:rFonts w:ascii="Arial" w:hAnsi="Arial" w:cs="Arial"/>
          <w:sz w:val="24"/>
          <w:szCs w:val="24"/>
        </w:rPr>
        <w:t>pplicant avers as follows:</w:t>
      </w:r>
    </w:p>
    <w:p w:rsidR="0092073C" w:rsidRDefault="00D2696B" w:rsidP="0092073C">
      <w:pPr>
        <w:spacing w:after="0" w:line="480" w:lineRule="auto"/>
        <w:ind w:left="720"/>
        <w:jc w:val="both"/>
        <w:rPr>
          <w:rFonts w:ascii="Arial" w:hAnsi="Arial" w:cs="Arial"/>
          <w:sz w:val="20"/>
          <w:szCs w:val="20"/>
        </w:rPr>
      </w:pPr>
      <w:r w:rsidRPr="00C24F5C">
        <w:rPr>
          <w:rFonts w:ascii="Arial" w:hAnsi="Arial" w:cs="Arial"/>
          <w:sz w:val="20"/>
          <w:szCs w:val="20"/>
        </w:rPr>
        <w:t>“. . . The cause of action is premised on an allegation of a violation or threatened violation of my right to just administrative action as entrenched in</w:t>
      </w:r>
      <w:r w:rsidR="00F325D8" w:rsidRPr="00C24F5C">
        <w:rPr>
          <w:rFonts w:ascii="Arial" w:hAnsi="Arial" w:cs="Arial"/>
          <w:sz w:val="20"/>
          <w:szCs w:val="20"/>
        </w:rPr>
        <w:t xml:space="preserve"> section 33 of the Constitutional of the Republic of South</w:t>
      </w:r>
      <w:r w:rsidR="0092073C">
        <w:rPr>
          <w:rFonts w:ascii="Arial" w:hAnsi="Arial" w:cs="Arial"/>
          <w:sz w:val="20"/>
          <w:szCs w:val="20"/>
        </w:rPr>
        <w:t xml:space="preserve"> Africa, Act No. 108 0f 1996”.</w:t>
      </w:r>
    </w:p>
    <w:p w:rsidR="0092073C" w:rsidRDefault="0092073C" w:rsidP="0092073C">
      <w:pPr>
        <w:spacing w:after="0" w:line="480" w:lineRule="auto"/>
        <w:jc w:val="both"/>
        <w:rPr>
          <w:rFonts w:ascii="Arial" w:hAnsi="Arial" w:cs="Arial"/>
          <w:sz w:val="20"/>
          <w:szCs w:val="20"/>
        </w:rPr>
      </w:pPr>
    </w:p>
    <w:p w:rsidR="00F325D8" w:rsidRPr="0092073C" w:rsidRDefault="0092073C" w:rsidP="0092073C">
      <w:pPr>
        <w:spacing w:after="0" w:line="480" w:lineRule="auto"/>
        <w:jc w:val="both"/>
        <w:rPr>
          <w:rFonts w:ascii="Arial" w:hAnsi="Arial" w:cs="Arial"/>
          <w:sz w:val="20"/>
          <w:szCs w:val="20"/>
        </w:rPr>
      </w:pPr>
      <w:r>
        <w:rPr>
          <w:rFonts w:ascii="Arial" w:hAnsi="Arial" w:cs="Arial"/>
          <w:sz w:val="24"/>
          <w:szCs w:val="24"/>
        </w:rPr>
        <w:t>[6</w:t>
      </w:r>
      <w:r w:rsidR="00C24F5C">
        <w:rPr>
          <w:rFonts w:ascii="Arial" w:hAnsi="Arial" w:cs="Arial"/>
          <w:sz w:val="24"/>
          <w:szCs w:val="24"/>
        </w:rPr>
        <w:t>]</w:t>
      </w:r>
      <w:r w:rsidR="00C24F5C">
        <w:rPr>
          <w:rFonts w:ascii="Arial" w:hAnsi="Arial" w:cs="Arial"/>
          <w:sz w:val="24"/>
          <w:szCs w:val="24"/>
        </w:rPr>
        <w:tab/>
        <w:t>The a</w:t>
      </w:r>
      <w:r w:rsidR="00F325D8">
        <w:rPr>
          <w:rFonts w:ascii="Arial" w:hAnsi="Arial" w:cs="Arial"/>
          <w:sz w:val="24"/>
          <w:szCs w:val="24"/>
        </w:rPr>
        <w:t>pplicant, in reply, further contends</w:t>
      </w:r>
      <w:r w:rsidR="00746D93">
        <w:rPr>
          <w:rFonts w:ascii="Arial" w:hAnsi="Arial" w:cs="Arial"/>
          <w:sz w:val="24"/>
          <w:szCs w:val="24"/>
        </w:rPr>
        <w:t xml:space="preserve"> that</w:t>
      </w:r>
      <w:r w:rsidR="00F325D8">
        <w:rPr>
          <w:rFonts w:ascii="Arial" w:hAnsi="Arial" w:cs="Arial"/>
          <w:sz w:val="24"/>
          <w:szCs w:val="24"/>
        </w:rPr>
        <w:t xml:space="preserve"> the recommendation of the chairperson, as adumbrated above, amounts to administrative action that is unlawful, unreasonable and procedurally unfair.</w:t>
      </w:r>
    </w:p>
    <w:p w:rsidR="00F325D8" w:rsidRDefault="00F325D8" w:rsidP="00F325D8">
      <w:pPr>
        <w:spacing w:after="0" w:line="480" w:lineRule="auto"/>
        <w:jc w:val="both"/>
        <w:rPr>
          <w:rFonts w:ascii="Arial" w:hAnsi="Arial" w:cs="Arial"/>
          <w:sz w:val="24"/>
          <w:szCs w:val="24"/>
        </w:rPr>
      </w:pPr>
    </w:p>
    <w:p w:rsidR="00F325D8" w:rsidRDefault="00F325D8" w:rsidP="00F325D8">
      <w:pPr>
        <w:spacing w:after="0" w:line="480" w:lineRule="auto"/>
        <w:jc w:val="both"/>
        <w:rPr>
          <w:rFonts w:ascii="Arial" w:hAnsi="Arial" w:cs="Arial"/>
          <w:b/>
          <w:sz w:val="24"/>
          <w:szCs w:val="24"/>
        </w:rPr>
      </w:pPr>
      <w:r>
        <w:rPr>
          <w:rFonts w:ascii="Arial" w:hAnsi="Arial" w:cs="Arial"/>
          <w:sz w:val="24"/>
          <w:szCs w:val="24"/>
        </w:rPr>
        <w:t>C.</w:t>
      </w:r>
      <w:r>
        <w:rPr>
          <w:rFonts w:ascii="Arial" w:hAnsi="Arial" w:cs="Arial"/>
          <w:sz w:val="24"/>
          <w:szCs w:val="24"/>
        </w:rPr>
        <w:tab/>
      </w:r>
      <w:r w:rsidRPr="00F325D8">
        <w:rPr>
          <w:rFonts w:ascii="Arial" w:hAnsi="Arial" w:cs="Arial"/>
          <w:b/>
          <w:sz w:val="24"/>
          <w:szCs w:val="24"/>
          <w:u w:val="single"/>
        </w:rPr>
        <w:t>First Respondent’</w:t>
      </w:r>
      <w:r>
        <w:rPr>
          <w:rFonts w:ascii="Arial" w:hAnsi="Arial" w:cs="Arial"/>
          <w:b/>
          <w:sz w:val="24"/>
          <w:szCs w:val="24"/>
          <w:u w:val="single"/>
        </w:rPr>
        <w:t>s grounds of opposition</w:t>
      </w:r>
    </w:p>
    <w:p w:rsidR="00F325D8" w:rsidRDefault="0092073C" w:rsidP="00F325D8">
      <w:pPr>
        <w:spacing w:after="0" w:line="480" w:lineRule="auto"/>
        <w:jc w:val="both"/>
        <w:rPr>
          <w:rFonts w:ascii="Arial" w:hAnsi="Arial" w:cs="Arial"/>
          <w:sz w:val="24"/>
          <w:szCs w:val="24"/>
        </w:rPr>
      </w:pPr>
      <w:r>
        <w:rPr>
          <w:rFonts w:ascii="Arial" w:hAnsi="Arial" w:cs="Arial"/>
          <w:sz w:val="24"/>
          <w:szCs w:val="24"/>
        </w:rPr>
        <w:t>[7</w:t>
      </w:r>
      <w:r w:rsidR="00C24F5C">
        <w:rPr>
          <w:rFonts w:ascii="Arial" w:hAnsi="Arial" w:cs="Arial"/>
          <w:sz w:val="24"/>
          <w:szCs w:val="24"/>
        </w:rPr>
        <w:t>]</w:t>
      </w:r>
      <w:r w:rsidR="008B0108">
        <w:rPr>
          <w:rFonts w:ascii="Arial" w:hAnsi="Arial" w:cs="Arial"/>
          <w:sz w:val="24"/>
          <w:szCs w:val="24"/>
        </w:rPr>
        <w:tab/>
        <w:t xml:space="preserve">Mr </w:t>
      </w:r>
      <w:r w:rsidR="008B0108" w:rsidRPr="008B0108">
        <w:rPr>
          <w:rFonts w:ascii="Arial" w:hAnsi="Arial" w:cs="Arial"/>
          <w:i/>
          <w:sz w:val="24"/>
          <w:szCs w:val="24"/>
        </w:rPr>
        <w:t>Malunga</w:t>
      </w:r>
      <w:r w:rsidR="008B0108">
        <w:rPr>
          <w:rFonts w:ascii="Arial" w:hAnsi="Arial" w:cs="Arial"/>
          <w:sz w:val="24"/>
          <w:szCs w:val="24"/>
        </w:rPr>
        <w:t xml:space="preserve">, who appeared for the </w:t>
      </w:r>
      <w:r w:rsidR="00C24F5C">
        <w:rPr>
          <w:rFonts w:ascii="Arial" w:hAnsi="Arial" w:cs="Arial"/>
          <w:sz w:val="24"/>
          <w:szCs w:val="24"/>
        </w:rPr>
        <w:t>first r</w:t>
      </w:r>
      <w:r w:rsidR="00F325D8">
        <w:rPr>
          <w:rFonts w:ascii="Arial" w:hAnsi="Arial" w:cs="Arial"/>
          <w:sz w:val="24"/>
          <w:szCs w:val="24"/>
        </w:rPr>
        <w:t>espondent</w:t>
      </w:r>
      <w:r w:rsidR="008B0108">
        <w:rPr>
          <w:rFonts w:ascii="Arial" w:hAnsi="Arial" w:cs="Arial"/>
          <w:sz w:val="24"/>
          <w:szCs w:val="24"/>
        </w:rPr>
        <w:t>,</w:t>
      </w:r>
      <w:r w:rsidR="00F325D8">
        <w:rPr>
          <w:rFonts w:ascii="Arial" w:hAnsi="Arial" w:cs="Arial"/>
          <w:sz w:val="24"/>
          <w:szCs w:val="24"/>
        </w:rPr>
        <w:t xml:space="preserve"> has raised various points </w:t>
      </w:r>
      <w:r w:rsidR="00F325D8" w:rsidRPr="00C24F5C">
        <w:rPr>
          <w:rFonts w:ascii="Arial" w:hAnsi="Arial" w:cs="Arial"/>
          <w:i/>
          <w:sz w:val="24"/>
          <w:szCs w:val="24"/>
        </w:rPr>
        <w:t>in</w:t>
      </w:r>
      <w:r w:rsidR="00F325D8">
        <w:rPr>
          <w:rFonts w:ascii="Arial" w:hAnsi="Arial" w:cs="Arial"/>
          <w:sz w:val="24"/>
          <w:szCs w:val="24"/>
        </w:rPr>
        <w:t xml:space="preserve"> </w:t>
      </w:r>
      <w:r w:rsidR="00F325D8">
        <w:rPr>
          <w:rFonts w:ascii="Arial" w:hAnsi="Arial" w:cs="Arial"/>
          <w:i/>
          <w:sz w:val="24"/>
          <w:szCs w:val="24"/>
        </w:rPr>
        <w:t>limine,</w:t>
      </w:r>
      <w:r w:rsidR="00F325D8">
        <w:rPr>
          <w:rFonts w:ascii="Arial" w:hAnsi="Arial" w:cs="Arial"/>
          <w:sz w:val="24"/>
          <w:szCs w:val="24"/>
        </w:rPr>
        <w:t xml:space="preserve"> namely:</w:t>
      </w:r>
    </w:p>
    <w:p w:rsidR="00C24F5C" w:rsidRDefault="00C24F5C" w:rsidP="008469A9">
      <w:pPr>
        <w:spacing w:after="0" w:line="480" w:lineRule="auto"/>
        <w:ind w:left="1440" w:hanging="720"/>
        <w:jc w:val="both"/>
        <w:rPr>
          <w:rFonts w:ascii="Arial" w:hAnsi="Arial" w:cs="Arial"/>
          <w:sz w:val="24"/>
          <w:szCs w:val="24"/>
        </w:rPr>
      </w:pPr>
    </w:p>
    <w:p w:rsidR="008469A9" w:rsidRDefault="0092073C" w:rsidP="00C24F5C">
      <w:pPr>
        <w:spacing w:after="0" w:line="480" w:lineRule="auto"/>
        <w:ind w:left="1440" w:hanging="720"/>
        <w:jc w:val="both"/>
        <w:rPr>
          <w:rFonts w:ascii="Arial" w:hAnsi="Arial" w:cs="Arial"/>
          <w:sz w:val="24"/>
          <w:szCs w:val="24"/>
        </w:rPr>
      </w:pPr>
      <w:r>
        <w:rPr>
          <w:rFonts w:ascii="Arial" w:hAnsi="Arial" w:cs="Arial"/>
          <w:sz w:val="24"/>
          <w:szCs w:val="24"/>
        </w:rPr>
        <w:t>7</w:t>
      </w:r>
      <w:r w:rsidR="00F325D8">
        <w:rPr>
          <w:rFonts w:ascii="Arial" w:hAnsi="Arial" w:cs="Arial"/>
          <w:sz w:val="24"/>
          <w:szCs w:val="24"/>
        </w:rPr>
        <w:t>.1</w:t>
      </w:r>
      <w:r w:rsidR="00F325D8">
        <w:rPr>
          <w:rFonts w:ascii="Arial" w:hAnsi="Arial" w:cs="Arial"/>
          <w:sz w:val="24"/>
          <w:szCs w:val="24"/>
        </w:rPr>
        <w:tab/>
        <w:t xml:space="preserve">non-compliance with section 2 of the State Liability Act, 2011 (Act 14 of </w:t>
      </w:r>
      <w:r w:rsidR="00C24F5C">
        <w:rPr>
          <w:rFonts w:ascii="Arial" w:hAnsi="Arial" w:cs="Arial"/>
          <w:sz w:val="24"/>
          <w:szCs w:val="24"/>
        </w:rPr>
        <w:t>2011), in that the a</w:t>
      </w:r>
      <w:r w:rsidR="00F325D8">
        <w:rPr>
          <w:rFonts w:ascii="Arial" w:hAnsi="Arial" w:cs="Arial"/>
          <w:sz w:val="24"/>
          <w:szCs w:val="24"/>
        </w:rPr>
        <w:t>pplicant ought to have cited the head of the Department of Education: Eastern Cape as he has the power to appoint</w:t>
      </w:r>
      <w:r w:rsidR="00746D93">
        <w:rPr>
          <w:rFonts w:ascii="Arial" w:hAnsi="Arial" w:cs="Arial"/>
          <w:sz w:val="24"/>
          <w:szCs w:val="24"/>
        </w:rPr>
        <w:t xml:space="preserve"> an</w:t>
      </w:r>
      <w:r w:rsidR="00F325D8">
        <w:rPr>
          <w:rFonts w:ascii="Arial" w:hAnsi="Arial" w:cs="Arial"/>
          <w:sz w:val="24"/>
          <w:szCs w:val="24"/>
        </w:rPr>
        <w:t xml:space="preserve"> educator in</w:t>
      </w:r>
      <w:r w:rsidR="008469A9">
        <w:rPr>
          <w:rFonts w:ascii="Arial" w:hAnsi="Arial" w:cs="Arial"/>
          <w:sz w:val="24"/>
          <w:szCs w:val="24"/>
        </w:rPr>
        <w:t xml:space="preserve"> terms of the Employment of Educators Act 1998 (Act 76 of 1998; and</w:t>
      </w:r>
    </w:p>
    <w:p w:rsidR="008469A9" w:rsidRDefault="008469A9" w:rsidP="008469A9">
      <w:pPr>
        <w:spacing w:after="0" w:line="480" w:lineRule="auto"/>
        <w:ind w:left="1440" w:hanging="720"/>
        <w:jc w:val="both"/>
        <w:rPr>
          <w:rFonts w:ascii="Arial" w:hAnsi="Arial" w:cs="Arial"/>
          <w:sz w:val="24"/>
          <w:szCs w:val="24"/>
        </w:rPr>
      </w:pPr>
    </w:p>
    <w:p w:rsidR="008469A9" w:rsidRDefault="0092073C" w:rsidP="008469A9">
      <w:pPr>
        <w:spacing w:after="0" w:line="480" w:lineRule="auto"/>
        <w:ind w:left="1440" w:hanging="720"/>
        <w:jc w:val="both"/>
        <w:rPr>
          <w:rFonts w:ascii="Arial" w:hAnsi="Arial" w:cs="Arial"/>
          <w:sz w:val="24"/>
          <w:szCs w:val="24"/>
        </w:rPr>
      </w:pPr>
      <w:r>
        <w:rPr>
          <w:rFonts w:ascii="Arial" w:hAnsi="Arial" w:cs="Arial"/>
          <w:sz w:val="24"/>
          <w:szCs w:val="24"/>
        </w:rPr>
        <w:t>7</w:t>
      </w:r>
      <w:r w:rsidR="008469A9">
        <w:rPr>
          <w:rFonts w:ascii="Arial" w:hAnsi="Arial" w:cs="Arial"/>
          <w:sz w:val="24"/>
          <w:szCs w:val="24"/>
        </w:rPr>
        <w:t>.2</w:t>
      </w:r>
      <w:r w:rsidR="008469A9">
        <w:rPr>
          <w:rFonts w:ascii="Arial" w:hAnsi="Arial" w:cs="Arial"/>
          <w:sz w:val="24"/>
          <w:szCs w:val="24"/>
        </w:rPr>
        <w:tab/>
        <w:t>la</w:t>
      </w:r>
      <w:r w:rsidR="00C24F5C">
        <w:rPr>
          <w:rFonts w:ascii="Arial" w:hAnsi="Arial" w:cs="Arial"/>
          <w:sz w:val="24"/>
          <w:szCs w:val="24"/>
        </w:rPr>
        <w:t>ck of jurisdiction in that the a</w:t>
      </w:r>
      <w:r w:rsidR="008469A9">
        <w:rPr>
          <w:rFonts w:ascii="Arial" w:hAnsi="Arial" w:cs="Arial"/>
          <w:sz w:val="24"/>
          <w:szCs w:val="24"/>
        </w:rPr>
        <w:t>pplicant’s cause of action is premised on an unfair labour practice.</w:t>
      </w:r>
    </w:p>
    <w:p w:rsidR="008469A9" w:rsidRDefault="008469A9" w:rsidP="008469A9">
      <w:pPr>
        <w:spacing w:after="0" w:line="480" w:lineRule="auto"/>
        <w:jc w:val="both"/>
        <w:rPr>
          <w:rFonts w:ascii="Arial" w:hAnsi="Arial" w:cs="Arial"/>
          <w:sz w:val="24"/>
          <w:szCs w:val="24"/>
        </w:rPr>
      </w:pPr>
    </w:p>
    <w:p w:rsidR="008469A9" w:rsidRDefault="0092073C" w:rsidP="008469A9">
      <w:pPr>
        <w:spacing w:after="0" w:line="480" w:lineRule="auto"/>
        <w:jc w:val="both"/>
        <w:rPr>
          <w:rFonts w:ascii="Arial" w:hAnsi="Arial" w:cs="Arial"/>
          <w:sz w:val="24"/>
          <w:szCs w:val="24"/>
        </w:rPr>
      </w:pPr>
      <w:r>
        <w:rPr>
          <w:rFonts w:ascii="Arial" w:hAnsi="Arial" w:cs="Arial"/>
          <w:sz w:val="24"/>
          <w:szCs w:val="24"/>
        </w:rPr>
        <w:t>[8</w:t>
      </w:r>
      <w:r w:rsidR="00C24F5C">
        <w:rPr>
          <w:rFonts w:ascii="Arial" w:hAnsi="Arial" w:cs="Arial"/>
          <w:sz w:val="24"/>
          <w:szCs w:val="24"/>
        </w:rPr>
        <w:t>]</w:t>
      </w:r>
      <w:r w:rsidR="00C24F5C">
        <w:rPr>
          <w:rFonts w:ascii="Arial" w:hAnsi="Arial" w:cs="Arial"/>
          <w:sz w:val="24"/>
          <w:szCs w:val="24"/>
        </w:rPr>
        <w:tab/>
        <w:t>On the merits, the first r</w:t>
      </w:r>
      <w:r w:rsidR="008469A9">
        <w:rPr>
          <w:rFonts w:ascii="Arial" w:hAnsi="Arial" w:cs="Arial"/>
          <w:sz w:val="24"/>
          <w:szCs w:val="24"/>
        </w:rPr>
        <w:t xml:space="preserve">espondent contends that during the deliberation from the recruitment process various irregularities arose which culminated in the abandonment of the process without a candidate being </w:t>
      </w:r>
      <w:r w:rsidR="00C24F5C">
        <w:rPr>
          <w:rFonts w:ascii="Arial" w:hAnsi="Arial" w:cs="Arial"/>
          <w:sz w:val="24"/>
          <w:szCs w:val="24"/>
        </w:rPr>
        <w:t>embarked</w:t>
      </w:r>
      <w:r w:rsidR="008469A9">
        <w:rPr>
          <w:rFonts w:ascii="Arial" w:hAnsi="Arial" w:cs="Arial"/>
          <w:sz w:val="24"/>
          <w:szCs w:val="24"/>
        </w:rPr>
        <w:t xml:space="preserve"> for the position.  The nature of the irregularity is that the panellists could not agree on the suitable candidate to be appointed.</w:t>
      </w:r>
    </w:p>
    <w:p w:rsidR="008469A9" w:rsidRDefault="008469A9" w:rsidP="008469A9">
      <w:pPr>
        <w:spacing w:after="0" w:line="480" w:lineRule="auto"/>
        <w:jc w:val="both"/>
        <w:rPr>
          <w:rFonts w:ascii="Arial" w:hAnsi="Arial" w:cs="Arial"/>
          <w:sz w:val="24"/>
          <w:szCs w:val="24"/>
        </w:rPr>
      </w:pPr>
    </w:p>
    <w:p w:rsidR="00D750DF" w:rsidRPr="00D750DF" w:rsidRDefault="008469A9" w:rsidP="008469A9">
      <w:pPr>
        <w:spacing w:after="0" w:line="480" w:lineRule="auto"/>
        <w:jc w:val="both"/>
        <w:rPr>
          <w:rFonts w:ascii="Arial" w:hAnsi="Arial" w:cs="Arial"/>
          <w:sz w:val="24"/>
          <w:szCs w:val="24"/>
        </w:rPr>
      </w:pPr>
      <w:r>
        <w:rPr>
          <w:rFonts w:ascii="Arial" w:hAnsi="Arial" w:cs="Arial"/>
          <w:sz w:val="24"/>
          <w:szCs w:val="24"/>
        </w:rPr>
        <w:t>D.</w:t>
      </w:r>
      <w:r>
        <w:rPr>
          <w:rFonts w:ascii="Arial" w:hAnsi="Arial" w:cs="Arial"/>
          <w:b/>
          <w:sz w:val="24"/>
          <w:szCs w:val="24"/>
        </w:rPr>
        <w:tab/>
      </w:r>
      <w:r w:rsidR="00746D93">
        <w:rPr>
          <w:rFonts w:ascii="Arial" w:hAnsi="Arial" w:cs="Arial"/>
          <w:b/>
          <w:sz w:val="24"/>
          <w:szCs w:val="24"/>
          <w:u w:val="single"/>
        </w:rPr>
        <w:t>Application of the law to</w:t>
      </w:r>
      <w:r>
        <w:rPr>
          <w:rFonts w:ascii="Arial" w:hAnsi="Arial" w:cs="Arial"/>
          <w:b/>
          <w:sz w:val="24"/>
          <w:szCs w:val="24"/>
          <w:u w:val="single"/>
        </w:rPr>
        <w:t xml:space="preserve"> the facts</w:t>
      </w:r>
      <w:r>
        <w:rPr>
          <w:rFonts w:ascii="Arial" w:hAnsi="Arial" w:cs="Arial"/>
          <w:sz w:val="24"/>
          <w:szCs w:val="24"/>
        </w:rPr>
        <w:t xml:space="preserve">   </w:t>
      </w:r>
      <w:r w:rsidR="00F325D8">
        <w:rPr>
          <w:rFonts w:ascii="Arial" w:hAnsi="Arial" w:cs="Arial"/>
          <w:sz w:val="24"/>
          <w:szCs w:val="24"/>
        </w:rPr>
        <w:t xml:space="preserve">   </w:t>
      </w:r>
      <w:r w:rsidR="00D2696B">
        <w:rPr>
          <w:rFonts w:ascii="Arial" w:hAnsi="Arial" w:cs="Arial"/>
          <w:sz w:val="24"/>
          <w:szCs w:val="24"/>
        </w:rPr>
        <w:t xml:space="preserve">  </w:t>
      </w:r>
      <w:r w:rsidR="00D750DF">
        <w:rPr>
          <w:rFonts w:ascii="Arial" w:hAnsi="Arial" w:cs="Arial"/>
          <w:sz w:val="24"/>
          <w:szCs w:val="24"/>
        </w:rPr>
        <w:t xml:space="preserve"> </w:t>
      </w:r>
    </w:p>
    <w:p w:rsidR="00ED4A09" w:rsidRDefault="0092073C" w:rsidP="008469A9">
      <w:pPr>
        <w:spacing w:after="0" w:line="480" w:lineRule="auto"/>
        <w:jc w:val="both"/>
        <w:rPr>
          <w:rFonts w:ascii="Arial" w:hAnsi="Arial" w:cs="Arial"/>
          <w:sz w:val="24"/>
          <w:szCs w:val="24"/>
        </w:rPr>
      </w:pPr>
      <w:r>
        <w:rPr>
          <w:rFonts w:ascii="Arial" w:hAnsi="Arial" w:cs="Arial"/>
          <w:sz w:val="24"/>
          <w:szCs w:val="24"/>
        </w:rPr>
        <w:t>[9</w:t>
      </w:r>
      <w:r w:rsidR="008469A9">
        <w:rPr>
          <w:rFonts w:ascii="Arial" w:hAnsi="Arial" w:cs="Arial"/>
          <w:sz w:val="24"/>
          <w:szCs w:val="24"/>
        </w:rPr>
        <w:t>]</w:t>
      </w:r>
      <w:r w:rsidR="008B0108">
        <w:rPr>
          <w:rFonts w:ascii="Arial" w:hAnsi="Arial" w:cs="Arial"/>
          <w:sz w:val="24"/>
          <w:szCs w:val="24"/>
        </w:rPr>
        <w:tab/>
        <w:t xml:space="preserve">In this matter, I deem it not necessary to deal with the first point </w:t>
      </w:r>
      <w:r w:rsidR="008B0108">
        <w:rPr>
          <w:rFonts w:ascii="Arial" w:hAnsi="Arial" w:cs="Arial"/>
          <w:i/>
          <w:sz w:val="24"/>
          <w:szCs w:val="24"/>
        </w:rPr>
        <w:t>in limine,</w:t>
      </w:r>
      <w:r w:rsidR="008B0108">
        <w:rPr>
          <w:rFonts w:ascii="Arial" w:hAnsi="Arial" w:cs="Arial"/>
          <w:sz w:val="24"/>
          <w:szCs w:val="24"/>
        </w:rPr>
        <w:t xml:space="preserve"> i.e. non joinder of the HOD, especially if regard is had to the nature of this judgment.  </w:t>
      </w:r>
      <w:r w:rsidR="00C24F5C">
        <w:rPr>
          <w:rFonts w:ascii="Arial" w:hAnsi="Arial" w:cs="Arial"/>
          <w:sz w:val="24"/>
          <w:szCs w:val="24"/>
        </w:rPr>
        <w:t>It is trite law that the a</w:t>
      </w:r>
      <w:r w:rsidR="00ED4A09">
        <w:rPr>
          <w:rFonts w:ascii="Arial" w:hAnsi="Arial" w:cs="Arial"/>
          <w:sz w:val="24"/>
          <w:szCs w:val="24"/>
        </w:rPr>
        <w:t>pplicant must stand and fall by her cause of action</w:t>
      </w:r>
      <w:r w:rsidR="00746D93">
        <w:rPr>
          <w:rFonts w:ascii="Arial" w:hAnsi="Arial" w:cs="Arial"/>
          <w:sz w:val="24"/>
          <w:szCs w:val="24"/>
        </w:rPr>
        <w:t xml:space="preserve"> as articulated in her founding papers</w:t>
      </w:r>
      <w:r w:rsidR="008B0108">
        <w:rPr>
          <w:rFonts w:ascii="Arial" w:hAnsi="Arial" w:cs="Arial"/>
          <w:sz w:val="24"/>
          <w:szCs w:val="24"/>
        </w:rPr>
        <w:t xml:space="preserve">.  </w:t>
      </w:r>
      <w:r w:rsidR="00C24F5C">
        <w:rPr>
          <w:rFonts w:ascii="Arial" w:hAnsi="Arial" w:cs="Arial"/>
          <w:sz w:val="24"/>
          <w:szCs w:val="24"/>
        </w:rPr>
        <w:t>The a</w:t>
      </w:r>
      <w:r w:rsidR="00ED4A09">
        <w:rPr>
          <w:rFonts w:ascii="Arial" w:hAnsi="Arial" w:cs="Arial"/>
          <w:sz w:val="24"/>
          <w:szCs w:val="24"/>
        </w:rPr>
        <w:t>pplicant avers that her cause of action is section 33 of the Constitution.  Section 33 provides:</w:t>
      </w:r>
    </w:p>
    <w:p w:rsidR="00231F9D" w:rsidRPr="00231F9D" w:rsidRDefault="00231F9D" w:rsidP="00231F9D">
      <w:pPr>
        <w:spacing w:after="0" w:line="480" w:lineRule="auto"/>
        <w:ind w:left="720"/>
        <w:jc w:val="both"/>
        <w:rPr>
          <w:rFonts w:ascii="Arial" w:hAnsi="Arial" w:cs="Arial"/>
          <w:sz w:val="20"/>
          <w:szCs w:val="20"/>
        </w:rPr>
      </w:pPr>
      <w:r>
        <w:rPr>
          <w:rFonts w:ascii="Arial" w:hAnsi="Arial" w:cs="Arial"/>
          <w:sz w:val="24"/>
          <w:szCs w:val="24"/>
        </w:rPr>
        <w:t>“</w:t>
      </w:r>
      <w:r>
        <w:rPr>
          <w:rFonts w:ascii="Arial" w:hAnsi="Arial" w:cs="Arial"/>
          <w:sz w:val="20"/>
          <w:szCs w:val="20"/>
        </w:rPr>
        <w:t>Everyone has the right to administrative action that is lawful, reasonable and procedurally fair.  Everyone whose rights have been adversely affected by</w:t>
      </w:r>
      <w:r w:rsidR="00746D93">
        <w:rPr>
          <w:rFonts w:ascii="Arial" w:hAnsi="Arial" w:cs="Arial"/>
          <w:sz w:val="20"/>
          <w:szCs w:val="20"/>
        </w:rPr>
        <w:t xml:space="preserve"> an</w:t>
      </w:r>
      <w:r>
        <w:rPr>
          <w:rFonts w:ascii="Arial" w:hAnsi="Arial" w:cs="Arial"/>
          <w:sz w:val="20"/>
          <w:szCs w:val="20"/>
        </w:rPr>
        <w:t xml:space="preserve"> administrative action has the right to be given written reasons”. </w:t>
      </w:r>
    </w:p>
    <w:p w:rsidR="00ED4A09" w:rsidRDefault="00ED4A09" w:rsidP="008469A9">
      <w:pPr>
        <w:spacing w:after="0" w:line="480" w:lineRule="auto"/>
        <w:jc w:val="both"/>
        <w:rPr>
          <w:rFonts w:ascii="Arial" w:hAnsi="Arial" w:cs="Arial"/>
          <w:sz w:val="24"/>
          <w:szCs w:val="24"/>
        </w:rPr>
      </w:pPr>
    </w:p>
    <w:p w:rsidR="00231F9D" w:rsidRDefault="0092073C" w:rsidP="008469A9">
      <w:pPr>
        <w:spacing w:after="0" w:line="480" w:lineRule="auto"/>
        <w:jc w:val="both"/>
        <w:rPr>
          <w:rFonts w:ascii="Arial" w:hAnsi="Arial" w:cs="Arial"/>
          <w:sz w:val="24"/>
          <w:szCs w:val="24"/>
        </w:rPr>
      </w:pPr>
      <w:r>
        <w:rPr>
          <w:rFonts w:ascii="Arial" w:hAnsi="Arial" w:cs="Arial"/>
          <w:sz w:val="24"/>
          <w:szCs w:val="24"/>
        </w:rPr>
        <w:lastRenderedPageBreak/>
        <w:t>[10</w:t>
      </w:r>
      <w:r w:rsidR="00ED4A09">
        <w:rPr>
          <w:rFonts w:ascii="Arial" w:hAnsi="Arial" w:cs="Arial"/>
          <w:sz w:val="24"/>
          <w:szCs w:val="24"/>
        </w:rPr>
        <w:t>]</w:t>
      </w:r>
      <w:r w:rsidR="00ED4A09">
        <w:rPr>
          <w:rFonts w:ascii="Arial" w:hAnsi="Arial" w:cs="Arial"/>
          <w:sz w:val="24"/>
          <w:szCs w:val="24"/>
        </w:rPr>
        <w:tab/>
        <w:t>The national legislation that has been enacted to give effect to section 33 of the Constitution is the PAJA.  Section 1 of the PAJA defines an administrative decision to mean any decision or any failure to take a decision by an organ of state, when exercising a power in terms of the constitution or exercising a public power or performing a public function in terms of any legislation which adversely affects the rights of any person and which has a direct, external legal effect.</w:t>
      </w:r>
    </w:p>
    <w:p w:rsidR="00231F9D" w:rsidRDefault="00231F9D" w:rsidP="008469A9">
      <w:pPr>
        <w:spacing w:after="0" w:line="480" w:lineRule="auto"/>
        <w:jc w:val="both"/>
        <w:rPr>
          <w:rFonts w:ascii="Arial" w:hAnsi="Arial" w:cs="Arial"/>
          <w:sz w:val="24"/>
          <w:szCs w:val="24"/>
        </w:rPr>
      </w:pPr>
    </w:p>
    <w:p w:rsidR="00231F9D" w:rsidRDefault="0092073C" w:rsidP="008469A9">
      <w:pPr>
        <w:spacing w:after="0" w:line="480" w:lineRule="auto"/>
        <w:jc w:val="both"/>
        <w:rPr>
          <w:rFonts w:ascii="Arial" w:hAnsi="Arial" w:cs="Arial"/>
          <w:sz w:val="24"/>
          <w:szCs w:val="24"/>
        </w:rPr>
      </w:pPr>
      <w:r>
        <w:rPr>
          <w:rFonts w:ascii="Arial" w:hAnsi="Arial" w:cs="Arial"/>
          <w:sz w:val="24"/>
          <w:szCs w:val="24"/>
        </w:rPr>
        <w:t>[11</w:t>
      </w:r>
      <w:r w:rsidR="00231F9D">
        <w:rPr>
          <w:rFonts w:ascii="Arial" w:hAnsi="Arial" w:cs="Arial"/>
          <w:sz w:val="24"/>
          <w:szCs w:val="24"/>
        </w:rPr>
        <w:t>]</w:t>
      </w:r>
      <w:r w:rsidR="00231F9D">
        <w:rPr>
          <w:rFonts w:ascii="Arial" w:hAnsi="Arial" w:cs="Arial"/>
          <w:sz w:val="24"/>
          <w:szCs w:val="24"/>
        </w:rPr>
        <w:tab/>
        <w:t>Thus, in so far</w:t>
      </w:r>
      <w:r w:rsidR="00C24F5C">
        <w:rPr>
          <w:rFonts w:ascii="Arial" w:hAnsi="Arial" w:cs="Arial"/>
          <w:sz w:val="24"/>
          <w:szCs w:val="24"/>
        </w:rPr>
        <w:t xml:space="preserve"> as the a</w:t>
      </w:r>
      <w:r w:rsidR="00231F9D">
        <w:rPr>
          <w:rFonts w:ascii="Arial" w:hAnsi="Arial" w:cs="Arial"/>
          <w:sz w:val="24"/>
          <w:szCs w:val="24"/>
        </w:rPr>
        <w:t>pplicant has premised her cause of action on section 33 of the constitution, the question to be answered is whether the con</w:t>
      </w:r>
      <w:r w:rsidR="00746D93">
        <w:rPr>
          <w:rFonts w:ascii="Arial" w:hAnsi="Arial" w:cs="Arial"/>
          <w:sz w:val="24"/>
          <w:szCs w:val="24"/>
        </w:rPr>
        <w:t>duct complained</w:t>
      </w:r>
      <w:r w:rsidR="00367AA7">
        <w:rPr>
          <w:rFonts w:ascii="Arial" w:hAnsi="Arial" w:cs="Arial"/>
          <w:sz w:val="24"/>
          <w:szCs w:val="24"/>
        </w:rPr>
        <w:t xml:space="preserve"> of</w:t>
      </w:r>
      <w:r w:rsidR="00746D93">
        <w:rPr>
          <w:rFonts w:ascii="Arial" w:hAnsi="Arial" w:cs="Arial"/>
          <w:sz w:val="24"/>
          <w:szCs w:val="24"/>
        </w:rPr>
        <w:t xml:space="preserve"> by</w:t>
      </w:r>
      <w:r w:rsidR="00C24F5C">
        <w:rPr>
          <w:rFonts w:ascii="Arial" w:hAnsi="Arial" w:cs="Arial"/>
          <w:sz w:val="24"/>
          <w:szCs w:val="24"/>
        </w:rPr>
        <w:t xml:space="preserve"> the a</w:t>
      </w:r>
      <w:r w:rsidR="00231F9D">
        <w:rPr>
          <w:rFonts w:ascii="Arial" w:hAnsi="Arial" w:cs="Arial"/>
          <w:sz w:val="24"/>
          <w:szCs w:val="24"/>
        </w:rPr>
        <w:t>pplicant was</w:t>
      </w:r>
      <w:r w:rsidR="00746D93">
        <w:rPr>
          <w:rFonts w:ascii="Arial" w:hAnsi="Arial" w:cs="Arial"/>
          <w:sz w:val="24"/>
          <w:szCs w:val="24"/>
        </w:rPr>
        <w:t xml:space="preserve"> an</w:t>
      </w:r>
      <w:r w:rsidR="00231F9D">
        <w:rPr>
          <w:rFonts w:ascii="Arial" w:hAnsi="Arial" w:cs="Arial"/>
          <w:sz w:val="24"/>
          <w:szCs w:val="24"/>
        </w:rPr>
        <w:t xml:space="preserve"> administrative action.  </w:t>
      </w:r>
    </w:p>
    <w:p w:rsidR="00231F9D" w:rsidRDefault="00231F9D" w:rsidP="008469A9">
      <w:pPr>
        <w:spacing w:after="0" w:line="480" w:lineRule="auto"/>
        <w:jc w:val="both"/>
        <w:rPr>
          <w:rFonts w:ascii="Arial" w:hAnsi="Arial" w:cs="Arial"/>
          <w:sz w:val="24"/>
          <w:szCs w:val="24"/>
        </w:rPr>
      </w:pPr>
    </w:p>
    <w:p w:rsidR="00A225BB" w:rsidRDefault="0092073C" w:rsidP="008469A9">
      <w:pPr>
        <w:spacing w:after="0" w:line="480" w:lineRule="auto"/>
        <w:jc w:val="both"/>
        <w:rPr>
          <w:rFonts w:ascii="Arial" w:hAnsi="Arial" w:cs="Arial"/>
          <w:sz w:val="24"/>
          <w:szCs w:val="24"/>
        </w:rPr>
      </w:pPr>
      <w:r>
        <w:rPr>
          <w:rFonts w:ascii="Arial" w:hAnsi="Arial" w:cs="Arial"/>
          <w:sz w:val="24"/>
          <w:szCs w:val="24"/>
        </w:rPr>
        <w:t>[12</w:t>
      </w:r>
      <w:r w:rsidR="00231F9D">
        <w:rPr>
          <w:rFonts w:ascii="Arial" w:hAnsi="Arial" w:cs="Arial"/>
          <w:sz w:val="24"/>
          <w:szCs w:val="24"/>
        </w:rPr>
        <w:t>]</w:t>
      </w:r>
      <w:r w:rsidR="00231F9D">
        <w:rPr>
          <w:rFonts w:ascii="Arial" w:hAnsi="Arial" w:cs="Arial"/>
          <w:sz w:val="24"/>
          <w:szCs w:val="24"/>
        </w:rPr>
        <w:tab/>
        <w:t xml:space="preserve">In </w:t>
      </w:r>
      <w:r w:rsidR="00231F9D">
        <w:rPr>
          <w:rFonts w:ascii="Arial" w:hAnsi="Arial" w:cs="Arial"/>
          <w:i/>
          <w:sz w:val="24"/>
          <w:szCs w:val="24"/>
        </w:rPr>
        <w:t>Gcaba v Minister for Safety and Security &amp; Others</w:t>
      </w:r>
      <w:r w:rsidR="00A225BB">
        <w:rPr>
          <w:rStyle w:val="FootnoteReference"/>
          <w:rFonts w:ascii="Arial" w:hAnsi="Arial" w:cs="Arial"/>
          <w:i/>
          <w:sz w:val="24"/>
          <w:szCs w:val="24"/>
        </w:rPr>
        <w:footnoteReference w:id="1"/>
      </w:r>
      <w:r w:rsidR="00746D93">
        <w:rPr>
          <w:rFonts w:ascii="Arial" w:hAnsi="Arial" w:cs="Arial"/>
          <w:sz w:val="24"/>
          <w:szCs w:val="24"/>
        </w:rPr>
        <w:t xml:space="preserve"> </w:t>
      </w:r>
      <w:r w:rsidR="00A225BB">
        <w:rPr>
          <w:rFonts w:ascii="Arial" w:hAnsi="Arial" w:cs="Arial"/>
          <w:sz w:val="24"/>
          <w:szCs w:val="24"/>
        </w:rPr>
        <w:t xml:space="preserve"> Van der Westhuizen, writing for the majority stated:</w:t>
      </w:r>
    </w:p>
    <w:p w:rsidR="00746D93" w:rsidRDefault="00746D93" w:rsidP="001B6439">
      <w:pPr>
        <w:spacing w:after="0" w:line="480" w:lineRule="auto"/>
        <w:ind w:left="1440" w:hanging="720"/>
        <w:jc w:val="both"/>
        <w:rPr>
          <w:rFonts w:ascii="Arial" w:hAnsi="Arial" w:cs="Arial"/>
          <w:sz w:val="20"/>
          <w:szCs w:val="20"/>
        </w:rPr>
      </w:pPr>
    </w:p>
    <w:p w:rsidR="00730DEB" w:rsidRDefault="004814FC" w:rsidP="001B6439">
      <w:pPr>
        <w:spacing w:after="0" w:line="480" w:lineRule="auto"/>
        <w:ind w:left="1440" w:hanging="720"/>
        <w:jc w:val="both"/>
        <w:rPr>
          <w:rFonts w:ascii="Arial" w:hAnsi="Arial" w:cs="Arial"/>
          <w:sz w:val="20"/>
          <w:szCs w:val="20"/>
        </w:rPr>
      </w:pPr>
      <w:r>
        <w:rPr>
          <w:rFonts w:ascii="Arial" w:hAnsi="Arial" w:cs="Arial"/>
          <w:sz w:val="20"/>
          <w:szCs w:val="20"/>
        </w:rPr>
        <w:t>“</w:t>
      </w:r>
      <w:r w:rsidR="001B6439">
        <w:rPr>
          <w:rFonts w:ascii="Arial" w:hAnsi="Arial" w:cs="Arial"/>
          <w:sz w:val="20"/>
          <w:szCs w:val="20"/>
        </w:rPr>
        <w:t>64.</w:t>
      </w:r>
      <w:r w:rsidR="001B6439">
        <w:rPr>
          <w:rFonts w:ascii="Arial" w:hAnsi="Arial" w:cs="Arial"/>
          <w:sz w:val="20"/>
          <w:szCs w:val="20"/>
        </w:rPr>
        <w:tab/>
      </w:r>
      <w:r>
        <w:rPr>
          <w:rFonts w:ascii="Arial" w:hAnsi="Arial" w:cs="Arial"/>
          <w:sz w:val="20"/>
          <w:szCs w:val="20"/>
        </w:rPr>
        <w:t xml:space="preserve">Generally, employment and labour relationship issues do not amount to administrative action within the meaning of PAJA.  This is recognised by the Constitution.  Section 23 regulates the employment relationship </w:t>
      </w:r>
      <w:r w:rsidR="001B6439">
        <w:rPr>
          <w:rFonts w:ascii="Arial" w:hAnsi="Arial" w:cs="Arial"/>
          <w:sz w:val="20"/>
          <w:szCs w:val="20"/>
        </w:rPr>
        <w:t>between employer and employee and guarantees</w:t>
      </w:r>
      <w:r w:rsidR="0020665D">
        <w:rPr>
          <w:rFonts w:ascii="Arial" w:hAnsi="Arial" w:cs="Arial"/>
          <w:sz w:val="20"/>
          <w:szCs w:val="20"/>
        </w:rPr>
        <w:t xml:space="preserve"> the right to fair labour practices.  </w:t>
      </w:r>
      <w:r w:rsidR="001B6439">
        <w:rPr>
          <w:rFonts w:ascii="Arial" w:hAnsi="Arial" w:cs="Arial"/>
          <w:sz w:val="20"/>
          <w:szCs w:val="20"/>
        </w:rPr>
        <w:t>The ordinary thrust of section 33</w:t>
      </w:r>
      <w:r w:rsidR="0020665D">
        <w:rPr>
          <w:rFonts w:ascii="Arial" w:hAnsi="Arial" w:cs="Arial"/>
          <w:sz w:val="20"/>
          <w:szCs w:val="20"/>
        </w:rPr>
        <w:t xml:space="preserve"> is to deal with the relationship between the State as bureaucracy and citizens and guarantees the right to lawful, reasonable and procedurally fair administrative action.  Section 33 does not regulate the relationship between the State as employer and its workers.  When a grievance is raised by an employee relating to the conduct of the State </w:t>
      </w:r>
      <w:r w:rsidR="00730DEB">
        <w:rPr>
          <w:rFonts w:ascii="Arial" w:hAnsi="Arial" w:cs="Arial"/>
          <w:sz w:val="20"/>
          <w:szCs w:val="20"/>
        </w:rPr>
        <w:t>as employer and it has few or no direct implications or consequences for other citizens, it does not constitute administrative action.</w:t>
      </w:r>
    </w:p>
    <w:p w:rsidR="00746D93" w:rsidRDefault="00746D93" w:rsidP="001B6439">
      <w:pPr>
        <w:spacing w:after="0" w:line="480" w:lineRule="auto"/>
        <w:ind w:left="1440" w:hanging="720"/>
        <w:jc w:val="both"/>
        <w:rPr>
          <w:rFonts w:ascii="Arial" w:hAnsi="Arial" w:cs="Arial"/>
          <w:sz w:val="20"/>
          <w:szCs w:val="20"/>
        </w:rPr>
      </w:pPr>
    </w:p>
    <w:p w:rsidR="00E82901" w:rsidRDefault="00730DEB" w:rsidP="001B6439">
      <w:pPr>
        <w:spacing w:after="0" w:line="480" w:lineRule="auto"/>
        <w:ind w:left="1440" w:hanging="720"/>
        <w:jc w:val="both"/>
        <w:rPr>
          <w:rFonts w:ascii="Arial" w:hAnsi="Arial" w:cs="Arial"/>
          <w:sz w:val="20"/>
          <w:szCs w:val="20"/>
        </w:rPr>
      </w:pPr>
      <w:r>
        <w:rPr>
          <w:rFonts w:ascii="Arial" w:hAnsi="Arial" w:cs="Arial"/>
          <w:sz w:val="20"/>
          <w:szCs w:val="20"/>
        </w:rPr>
        <w:lastRenderedPageBreak/>
        <w:t>65.</w:t>
      </w:r>
      <w:r>
        <w:rPr>
          <w:rFonts w:ascii="Arial" w:hAnsi="Arial" w:cs="Arial"/>
          <w:sz w:val="20"/>
          <w:szCs w:val="20"/>
        </w:rPr>
        <w:tab/>
        <w:t xml:space="preserve">In this regard the reasoning of Murphy AJ in </w:t>
      </w:r>
      <w:r>
        <w:rPr>
          <w:rFonts w:ascii="Arial" w:hAnsi="Arial" w:cs="Arial"/>
          <w:i/>
          <w:sz w:val="20"/>
          <w:szCs w:val="20"/>
        </w:rPr>
        <w:t xml:space="preserve">SAPU </w:t>
      </w:r>
      <w:r w:rsidRPr="00730DEB">
        <w:rPr>
          <w:rFonts w:ascii="Arial" w:hAnsi="Arial" w:cs="Arial"/>
          <w:sz w:val="20"/>
          <w:szCs w:val="20"/>
        </w:rPr>
        <w:t>is persuasive</w:t>
      </w:r>
      <w:r>
        <w:rPr>
          <w:rFonts w:ascii="Arial" w:hAnsi="Arial" w:cs="Arial"/>
          <w:i/>
          <w:sz w:val="20"/>
          <w:szCs w:val="20"/>
        </w:rPr>
        <w:t xml:space="preserve">.  </w:t>
      </w:r>
      <w:r>
        <w:rPr>
          <w:rFonts w:ascii="Arial" w:hAnsi="Arial" w:cs="Arial"/>
          <w:sz w:val="20"/>
          <w:szCs w:val="20"/>
        </w:rPr>
        <w:t xml:space="preserve">The distinction drawn in that decision in relation to tender contracting processes and employment seems correct.  For purposes of constitutional interpretation, there are material differences between tender processes and employment.  One is that the Constitution regulates the employment relationship expressly in section 23, which is does not do for procurement (although section 217(1) of the Constitution does provide that procurement must be fair, equitable, transparent, competitive and cost-effective).  Another is that the employment relationship is different from the contractual relationships which underpin procurement.  The court concluded that the employment decision at issue in </w:t>
      </w:r>
      <w:r>
        <w:rPr>
          <w:rFonts w:ascii="Arial" w:hAnsi="Arial" w:cs="Arial"/>
          <w:i/>
          <w:sz w:val="20"/>
          <w:szCs w:val="20"/>
        </w:rPr>
        <w:t>SAPU</w:t>
      </w:r>
      <w:r>
        <w:rPr>
          <w:rFonts w:ascii="Arial" w:hAnsi="Arial" w:cs="Arial"/>
          <w:sz w:val="20"/>
          <w:szCs w:val="20"/>
        </w:rPr>
        <w:t xml:space="preserve"> was not administrative action.  This does not mean that employees have no protection.  Employment is not a bargain of equals, but a relationship of demand.  Since the 1980s in South Africa, the Legislature has realised that leaving the regulation of employment purely </w:t>
      </w:r>
      <w:r w:rsidR="00E82901">
        <w:rPr>
          <w:rFonts w:ascii="Arial" w:hAnsi="Arial" w:cs="Arial"/>
          <w:sz w:val="20"/>
          <w:szCs w:val="20"/>
        </w:rPr>
        <w:t>within the realm of contract law could foster injustice; therefore the relationship is regulated carefully through the LRA.  Section 23 is an express constitutional recognition of the special status of employment relationship</w:t>
      </w:r>
      <w:r w:rsidR="0097621C">
        <w:rPr>
          <w:rFonts w:ascii="Arial" w:hAnsi="Arial" w:cs="Arial"/>
          <w:sz w:val="20"/>
          <w:szCs w:val="20"/>
        </w:rPr>
        <w:t>s</w:t>
      </w:r>
      <w:r w:rsidR="00E82901">
        <w:rPr>
          <w:rFonts w:ascii="Arial" w:hAnsi="Arial" w:cs="Arial"/>
          <w:sz w:val="20"/>
          <w:szCs w:val="20"/>
        </w:rPr>
        <w:t xml:space="preserve"> and the need for legal regulation outside the law of contract.</w:t>
      </w:r>
    </w:p>
    <w:p w:rsidR="00746D93" w:rsidRDefault="00746D93" w:rsidP="001B6439">
      <w:pPr>
        <w:spacing w:after="0" w:line="480" w:lineRule="auto"/>
        <w:ind w:left="1440" w:hanging="720"/>
        <w:jc w:val="both"/>
        <w:rPr>
          <w:rFonts w:ascii="Arial" w:hAnsi="Arial" w:cs="Arial"/>
          <w:sz w:val="20"/>
          <w:szCs w:val="20"/>
        </w:rPr>
      </w:pPr>
    </w:p>
    <w:p w:rsidR="00E82901" w:rsidRDefault="00E82901" w:rsidP="001B6439">
      <w:pPr>
        <w:spacing w:after="0" w:line="480" w:lineRule="auto"/>
        <w:ind w:left="1440" w:hanging="720"/>
        <w:jc w:val="both"/>
        <w:rPr>
          <w:rFonts w:ascii="Arial" w:hAnsi="Arial" w:cs="Arial"/>
          <w:sz w:val="20"/>
          <w:szCs w:val="20"/>
        </w:rPr>
      </w:pPr>
      <w:r>
        <w:rPr>
          <w:rFonts w:ascii="Arial" w:hAnsi="Arial" w:cs="Arial"/>
          <w:sz w:val="20"/>
          <w:szCs w:val="20"/>
        </w:rPr>
        <w:t>66.</w:t>
      </w:r>
      <w:r>
        <w:rPr>
          <w:rFonts w:ascii="Arial" w:hAnsi="Arial" w:cs="Arial"/>
          <w:sz w:val="20"/>
          <w:szCs w:val="20"/>
        </w:rPr>
        <w:tab/>
        <w:t xml:space="preserve">In </w:t>
      </w:r>
      <w:r>
        <w:rPr>
          <w:rFonts w:ascii="Arial" w:hAnsi="Arial" w:cs="Arial"/>
          <w:i/>
          <w:sz w:val="20"/>
          <w:szCs w:val="20"/>
        </w:rPr>
        <w:t>Chirwa</w:t>
      </w:r>
      <w:r>
        <w:rPr>
          <w:rFonts w:ascii="Arial" w:hAnsi="Arial" w:cs="Arial"/>
          <w:sz w:val="20"/>
          <w:szCs w:val="20"/>
        </w:rPr>
        <w:t xml:space="preserve"> Ngcobo J found that the decision to dismiss Ms </w:t>
      </w:r>
      <w:r w:rsidRPr="00E82901">
        <w:rPr>
          <w:rFonts w:ascii="Arial" w:hAnsi="Arial" w:cs="Arial"/>
          <w:i/>
          <w:sz w:val="20"/>
          <w:szCs w:val="20"/>
        </w:rPr>
        <w:t>Chirwa</w:t>
      </w:r>
      <w:r w:rsidR="00730DEB" w:rsidRPr="00E82901">
        <w:rPr>
          <w:rFonts w:ascii="Arial" w:hAnsi="Arial" w:cs="Arial"/>
          <w:i/>
          <w:sz w:val="20"/>
          <w:szCs w:val="20"/>
        </w:rPr>
        <w:t xml:space="preserve"> </w:t>
      </w:r>
      <w:r>
        <w:rPr>
          <w:rFonts w:ascii="Arial" w:hAnsi="Arial" w:cs="Arial"/>
          <w:sz w:val="20"/>
          <w:szCs w:val="20"/>
        </w:rPr>
        <w:t xml:space="preserve">did not amount to administrative action.  He held that whether an employer is regarded as “public” or “private” cannot determine whether its conduct is administrative action or an unfair labour practice.  Similarly, the failure to promote and appoint Mr </w:t>
      </w:r>
      <w:r>
        <w:rPr>
          <w:rFonts w:ascii="Arial" w:hAnsi="Arial" w:cs="Arial"/>
          <w:i/>
          <w:sz w:val="20"/>
          <w:szCs w:val="20"/>
        </w:rPr>
        <w:t>Gcaba</w:t>
      </w:r>
      <w:r>
        <w:rPr>
          <w:rFonts w:ascii="Arial" w:hAnsi="Arial" w:cs="Arial"/>
          <w:sz w:val="20"/>
          <w:szCs w:val="20"/>
        </w:rPr>
        <w:t xml:space="preserve"> appears to be a quintessential labour-related issue, based on the right to fair labour practices, almost as clearly as an unfair dismissal.  Its impact is felt mainly by Mr </w:t>
      </w:r>
      <w:r>
        <w:rPr>
          <w:rFonts w:ascii="Arial" w:hAnsi="Arial" w:cs="Arial"/>
          <w:i/>
          <w:sz w:val="20"/>
          <w:szCs w:val="20"/>
        </w:rPr>
        <w:t>Gcaba</w:t>
      </w:r>
      <w:r>
        <w:rPr>
          <w:rFonts w:ascii="Arial" w:hAnsi="Arial" w:cs="Arial"/>
          <w:sz w:val="20"/>
          <w:szCs w:val="20"/>
        </w:rPr>
        <w:t xml:space="preserve"> and has little or no direct consequence for any other citizens.</w:t>
      </w:r>
    </w:p>
    <w:p w:rsidR="00746D93" w:rsidRDefault="00746D93" w:rsidP="001B6439">
      <w:pPr>
        <w:spacing w:after="0" w:line="480" w:lineRule="auto"/>
        <w:ind w:left="1440" w:hanging="720"/>
        <w:jc w:val="both"/>
        <w:rPr>
          <w:rFonts w:ascii="Arial" w:hAnsi="Arial" w:cs="Arial"/>
          <w:sz w:val="20"/>
          <w:szCs w:val="20"/>
        </w:rPr>
      </w:pPr>
    </w:p>
    <w:p w:rsidR="00531B5B" w:rsidRDefault="00E82901" w:rsidP="001B6439">
      <w:pPr>
        <w:spacing w:after="0" w:line="480" w:lineRule="auto"/>
        <w:ind w:left="1440" w:hanging="720"/>
        <w:jc w:val="both"/>
        <w:rPr>
          <w:rFonts w:ascii="Arial" w:hAnsi="Arial" w:cs="Arial"/>
          <w:sz w:val="20"/>
          <w:szCs w:val="20"/>
        </w:rPr>
      </w:pPr>
      <w:r>
        <w:rPr>
          <w:rFonts w:ascii="Arial" w:hAnsi="Arial" w:cs="Arial"/>
          <w:sz w:val="20"/>
          <w:szCs w:val="20"/>
        </w:rPr>
        <w:t>67.</w:t>
      </w:r>
      <w:r>
        <w:rPr>
          <w:rFonts w:ascii="Arial" w:hAnsi="Arial" w:cs="Arial"/>
          <w:sz w:val="20"/>
          <w:szCs w:val="20"/>
        </w:rPr>
        <w:tab/>
        <w:t xml:space="preserve">This view is consistent with the judgment of </w:t>
      </w:r>
      <w:r w:rsidRPr="00E82901">
        <w:rPr>
          <w:rFonts w:ascii="Arial" w:hAnsi="Arial" w:cs="Arial"/>
          <w:sz w:val="20"/>
          <w:szCs w:val="20"/>
        </w:rPr>
        <w:t>Skweyiya</w:t>
      </w:r>
      <w:r>
        <w:rPr>
          <w:rFonts w:ascii="Arial" w:hAnsi="Arial" w:cs="Arial"/>
          <w:sz w:val="20"/>
          <w:szCs w:val="20"/>
        </w:rPr>
        <w:t xml:space="preserve"> J in </w:t>
      </w:r>
      <w:r>
        <w:rPr>
          <w:rFonts w:ascii="Arial" w:hAnsi="Arial" w:cs="Arial"/>
          <w:i/>
          <w:sz w:val="20"/>
          <w:szCs w:val="20"/>
        </w:rPr>
        <w:t>Chirwa,</w:t>
      </w:r>
      <w:r>
        <w:rPr>
          <w:rFonts w:ascii="Arial" w:hAnsi="Arial" w:cs="Arial"/>
          <w:sz w:val="20"/>
          <w:szCs w:val="20"/>
        </w:rPr>
        <w:t xml:space="preserve"> who did not decide this issue, but indicated a leaning in this direction.  It furthermore does not contradict the unanimous judgment of this Court in </w:t>
      </w:r>
      <w:r>
        <w:rPr>
          <w:rFonts w:ascii="Arial" w:hAnsi="Arial" w:cs="Arial"/>
          <w:i/>
          <w:sz w:val="20"/>
          <w:szCs w:val="20"/>
        </w:rPr>
        <w:t xml:space="preserve">Fredericks, </w:t>
      </w:r>
      <w:r>
        <w:rPr>
          <w:rFonts w:ascii="Arial" w:hAnsi="Arial" w:cs="Arial"/>
          <w:sz w:val="20"/>
          <w:szCs w:val="20"/>
        </w:rPr>
        <w:t xml:space="preserve">which left the issue open.  There was no dispute about whether the decision at the </w:t>
      </w:r>
      <w:r w:rsidR="00531B5B">
        <w:rPr>
          <w:rFonts w:ascii="Arial" w:hAnsi="Arial" w:cs="Arial"/>
          <w:sz w:val="20"/>
          <w:szCs w:val="20"/>
        </w:rPr>
        <w:t>centre of the dispute was administrative action</w:t>
      </w:r>
      <w:r w:rsidR="0097621C">
        <w:rPr>
          <w:rFonts w:ascii="Arial" w:hAnsi="Arial" w:cs="Arial"/>
          <w:sz w:val="20"/>
          <w:szCs w:val="20"/>
        </w:rPr>
        <w:t>.</w:t>
      </w:r>
      <w:r w:rsidR="00531B5B">
        <w:rPr>
          <w:rFonts w:ascii="Arial" w:hAnsi="Arial" w:cs="Arial"/>
          <w:sz w:val="20"/>
          <w:szCs w:val="20"/>
        </w:rPr>
        <w:t xml:space="preserve"> </w:t>
      </w:r>
    </w:p>
    <w:p w:rsidR="0097621C" w:rsidRDefault="00531B5B" w:rsidP="0097621C">
      <w:pPr>
        <w:spacing w:after="0" w:line="480" w:lineRule="auto"/>
        <w:ind w:left="1440" w:hanging="720"/>
        <w:jc w:val="both"/>
        <w:rPr>
          <w:rFonts w:ascii="Arial" w:hAnsi="Arial" w:cs="Arial"/>
          <w:sz w:val="20"/>
          <w:szCs w:val="20"/>
        </w:rPr>
      </w:pPr>
      <w:r>
        <w:rPr>
          <w:rFonts w:ascii="Arial" w:hAnsi="Arial" w:cs="Arial"/>
          <w:sz w:val="20"/>
          <w:szCs w:val="20"/>
        </w:rPr>
        <w:lastRenderedPageBreak/>
        <w:t>68.</w:t>
      </w:r>
      <w:r>
        <w:rPr>
          <w:rFonts w:ascii="Arial" w:hAnsi="Arial" w:cs="Arial"/>
          <w:sz w:val="20"/>
          <w:szCs w:val="20"/>
        </w:rPr>
        <w:tab/>
        <w:t>Accordingly, the failure to promote and appoint the applicant was not administrative action.  If his case proceeded in the High Court, he would have been destined t</w:t>
      </w:r>
      <w:r w:rsidR="007E4EF1">
        <w:rPr>
          <w:rFonts w:ascii="Arial" w:hAnsi="Arial" w:cs="Arial"/>
          <w:sz w:val="20"/>
          <w:szCs w:val="20"/>
        </w:rPr>
        <w:t>o fail for not making out the case with which he approached this Court, namely an application to review what he regarded as administrative action.”</w:t>
      </w:r>
      <w:r w:rsidR="007E4EF1">
        <w:rPr>
          <w:rStyle w:val="FootnoteReference"/>
          <w:rFonts w:ascii="Arial" w:hAnsi="Arial" w:cs="Arial"/>
          <w:sz w:val="20"/>
          <w:szCs w:val="20"/>
        </w:rPr>
        <w:footnoteReference w:id="2"/>
      </w:r>
      <w:r w:rsidR="00730DEB">
        <w:rPr>
          <w:rFonts w:ascii="Arial" w:hAnsi="Arial" w:cs="Arial"/>
          <w:sz w:val="20"/>
          <w:szCs w:val="20"/>
        </w:rPr>
        <w:t xml:space="preserve">  </w:t>
      </w:r>
      <w:r w:rsidR="0020665D">
        <w:rPr>
          <w:rFonts w:ascii="Arial" w:hAnsi="Arial" w:cs="Arial"/>
          <w:sz w:val="20"/>
          <w:szCs w:val="20"/>
        </w:rPr>
        <w:t xml:space="preserve"> </w:t>
      </w:r>
      <w:r w:rsidR="001B6439">
        <w:rPr>
          <w:rFonts w:ascii="Arial" w:hAnsi="Arial" w:cs="Arial"/>
          <w:sz w:val="20"/>
          <w:szCs w:val="20"/>
        </w:rPr>
        <w:t xml:space="preserve"> </w:t>
      </w:r>
    </w:p>
    <w:p w:rsidR="00746D93" w:rsidRDefault="00746D93" w:rsidP="0097621C">
      <w:pPr>
        <w:spacing w:after="0" w:line="480" w:lineRule="auto"/>
        <w:jc w:val="both"/>
        <w:rPr>
          <w:rFonts w:ascii="Arial" w:hAnsi="Arial" w:cs="Arial"/>
          <w:sz w:val="24"/>
          <w:szCs w:val="24"/>
        </w:rPr>
      </w:pPr>
    </w:p>
    <w:p w:rsidR="00C24F5C" w:rsidRDefault="0092073C" w:rsidP="0097621C">
      <w:pPr>
        <w:spacing w:after="0" w:line="480" w:lineRule="auto"/>
        <w:jc w:val="both"/>
        <w:rPr>
          <w:rFonts w:ascii="Arial" w:hAnsi="Arial" w:cs="Arial"/>
          <w:sz w:val="24"/>
          <w:szCs w:val="24"/>
        </w:rPr>
      </w:pPr>
      <w:r>
        <w:rPr>
          <w:rFonts w:ascii="Arial" w:hAnsi="Arial" w:cs="Arial"/>
          <w:sz w:val="24"/>
          <w:szCs w:val="24"/>
        </w:rPr>
        <w:t>[13</w:t>
      </w:r>
      <w:r w:rsidR="00A225BB">
        <w:rPr>
          <w:rFonts w:ascii="Arial" w:hAnsi="Arial" w:cs="Arial"/>
          <w:sz w:val="24"/>
          <w:szCs w:val="24"/>
        </w:rPr>
        <w:t>]</w:t>
      </w:r>
      <w:r w:rsidR="00A225BB">
        <w:rPr>
          <w:rFonts w:ascii="Arial" w:hAnsi="Arial" w:cs="Arial"/>
          <w:sz w:val="24"/>
          <w:szCs w:val="24"/>
        </w:rPr>
        <w:tab/>
      </w:r>
      <w:r w:rsidR="00D72A78">
        <w:rPr>
          <w:rFonts w:ascii="Arial" w:hAnsi="Arial" w:cs="Arial"/>
          <w:sz w:val="24"/>
          <w:szCs w:val="24"/>
        </w:rPr>
        <w:t xml:space="preserve">In light of the </w:t>
      </w:r>
      <w:r w:rsidR="00D72A78">
        <w:rPr>
          <w:rFonts w:ascii="Arial" w:hAnsi="Arial" w:cs="Arial"/>
          <w:i/>
          <w:sz w:val="24"/>
          <w:szCs w:val="24"/>
        </w:rPr>
        <w:t xml:space="preserve">Gcaba </w:t>
      </w:r>
      <w:r w:rsidR="00D72A78">
        <w:rPr>
          <w:rFonts w:ascii="Arial" w:hAnsi="Arial" w:cs="Arial"/>
          <w:sz w:val="24"/>
          <w:szCs w:val="24"/>
        </w:rPr>
        <w:t>judgment the decision no</w:t>
      </w:r>
      <w:r w:rsidR="00C24F5C">
        <w:rPr>
          <w:rFonts w:ascii="Arial" w:hAnsi="Arial" w:cs="Arial"/>
          <w:sz w:val="24"/>
          <w:szCs w:val="24"/>
        </w:rPr>
        <w:t>t to recommend and appoint the a</w:t>
      </w:r>
      <w:r w:rsidR="00D72A78">
        <w:rPr>
          <w:rFonts w:ascii="Arial" w:hAnsi="Arial" w:cs="Arial"/>
          <w:sz w:val="24"/>
          <w:szCs w:val="24"/>
        </w:rPr>
        <w:t>pplicant, is not an administrative deci</w:t>
      </w:r>
      <w:r w:rsidR="00746D93">
        <w:rPr>
          <w:rFonts w:ascii="Arial" w:hAnsi="Arial" w:cs="Arial"/>
          <w:sz w:val="24"/>
          <w:szCs w:val="24"/>
        </w:rPr>
        <w:t>sion</w:t>
      </w:r>
      <w:r w:rsidR="00C24F5C">
        <w:rPr>
          <w:rFonts w:ascii="Arial" w:hAnsi="Arial" w:cs="Arial"/>
          <w:sz w:val="24"/>
          <w:szCs w:val="24"/>
        </w:rPr>
        <w:t>.</w:t>
      </w:r>
      <w:r w:rsidR="00367AA7">
        <w:rPr>
          <w:rFonts w:ascii="Arial" w:hAnsi="Arial" w:cs="Arial"/>
          <w:sz w:val="24"/>
          <w:szCs w:val="24"/>
        </w:rPr>
        <w:t xml:space="preserve">  The decision is a q</w:t>
      </w:r>
      <w:r w:rsidR="00BF032B">
        <w:rPr>
          <w:rFonts w:ascii="Arial" w:hAnsi="Arial" w:cs="Arial"/>
          <w:sz w:val="24"/>
          <w:szCs w:val="24"/>
        </w:rPr>
        <w:t>uintessential labour related issue that has few or no direct consequences for citizens apart from the applicant herself.</w:t>
      </w:r>
    </w:p>
    <w:p w:rsidR="00367AA7" w:rsidRDefault="00367AA7" w:rsidP="0097621C">
      <w:pPr>
        <w:spacing w:after="0" w:line="480" w:lineRule="auto"/>
        <w:jc w:val="both"/>
        <w:rPr>
          <w:rFonts w:ascii="Arial" w:hAnsi="Arial" w:cs="Arial"/>
          <w:sz w:val="24"/>
          <w:szCs w:val="24"/>
        </w:rPr>
      </w:pPr>
    </w:p>
    <w:p w:rsidR="00367AA7" w:rsidRPr="0097621C" w:rsidRDefault="0092073C" w:rsidP="0097621C">
      <w:pPr>
        <w:spacing w:after="0" w:line="480" w:lineRule="auto"/>
        <w:jc w:val="both"/>
        <w:rPr>
          <w:rFonts w:ascii="Arial" w:hAnsi="Arial" w:cs="Arial"/>
          <w:sz w:val="20"/>
          <w:szCs w:val="20"/>
        </w:rPr>
      </w:pPr>
      <w:r>
        <w:rPr>
          <w:rFonts w:ascii="Arial" w:hAnsi="Arial" w:cs="Arial"/>
          <w:sz w:val="24"/>
          <w:szCs w:val="24"/>
        </w:rPr>
        <w:t>[14</w:t>
      </w:r>
      <w:r w:rsidR="00367AA7">
        <w:rPr>
          <w:rFonts w:ascii="Arial" w:hAnsi="Arial" w:cs="Arial"/>
          <w:sz w:val="24"/>
          <w:szCs w:val="24"/>
        </w:rPr>
        <w:t>]</w:t>
      </w:r>
      <w:r w:rsidR="00367AA7">
        <w:rPr>
          <w:rFonts w:ascii="Arial" w:hAnsi="Arial" w:cs="Arial"/>
          <w:sz w:val="24"/>
          <w:szCs w:val="24"/>
        </w:rPr>
        <w:tab/>
        <w:t>On the issue of jurisdiction, Van der Westhuizen had this to say:</w:t>
      </w:r>
    </w:p>
    <w:p w:rsidR="00BF032B" w:rsidRDefault="00BF032B" w:rsidP="00BF032B">
      <w:pPr>
        <w:spacing w:after="0" w:line="480" w:lineRule="auto"/>
        <w:ind w:left="1440" w:hanging="720"/>
        <w:jc w:val="both"/>
        <w:rPr>
          <w:rFonts w:ascii="Arial" w:hAnsi="Arial" w:cs="Arial"/>
          <w:sz w:val="24"/>
          <w:szCs w:val="24"/>
        </w:rPr>
      </w:pPr>
    </w:p>
    <w:p w:rsidR="00D72A78" w:rsidRDefault="00BF032B" w:rsidP="00BF032B">
      <w:pPr>
        <w:spacing w:after="0"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0"/>
          <w:szCs w:val="20"/>
        </w:rPr>
        <w:t>75.</w:t>
      </w:r>
      <w:r>
        <w:rPr>
          <w:rFonts w:ascii="Arial" w:hAnsi="Arial" w:cs="Arial"/>
          <w:sz w:val="20"/>
          <w:szCs w:val="20"/>
        </w:rPr>
        <w:tab/>
      </w:r>
      <w:r w:rsidR="000E15D9" w:rsidRPr="00BF032B">
        <w:rPr>
          <w:rFonts w:ascii="Arial" w:hAnsi="Arial" w:cs="Arial"/>
          <w:sz w:val="20"/>
          <w:szCs w:val="20"/>
        </w:rPr>
        <w:t xml:space="preserve">Jurisdiction is determined on the basis of the pleadings, as Langa CJ held in </w:t>
      </w:r>
      <w:r w:rsidR="000E15D9" w:rsidRPr="00BF032B">
        <w:rPr>
          <w:rFonts w:ascii="Arial" w:hAnsi="Arial" w:cs="Arial"/>
          <w:i/>
          <w:sz w:val="20"/>
          <w:szCs w:val="20"/>
        </w:rPr>
        <w:t>Chirwa</w:t>
      </w:r>
      <w:r w:rsidR="000E15D9" w:rsidRPr="00BF032B">
        <w:rPr>
          <w:rFonts w:ascii="Arial" w:hAnsi="Arial" w:cs="Arial"/>
          <w:sz w:val="20"/>
          <w:szCs w:val="20"/>
        </w:rPr>
        <w:t xml:space="preserve">, </w:t>
      </w:r>
      <w:r w:rsidR="000E15D9" w:rsidRPr="00BF032B">
        <w:rPr>
          <w:rFonts w:ascii="Arial" w:hAnsi="Arial" w:cs="Arial"/>
          <w:i/>
          <w:sz w:val="20"/>
          <w:szCs w:val="20"/>
        </w:rPr>
        <w:t>supra</w:t>
      </w:r>
      <w:r w:rsidR="000E15D9" w:rsidRPr="00BF032B">
        <w:rPr>
          <w:rFonts w:ascii="Arial" w:hAnsi="Arial" w:cs="Arial"/>
          <w:sz w:val="20"/>
          <w:szCs w:val="20"/>
        </w:rPr>
        <w:t xml:space="preserve"> and not the substantive merits of the case.  If Mr </w:t>
      </w:r>
      <w:r w:rsidR="000E15D9" w:rsidRPr="00BF032B">
        <w:rPr>
          <w:rFonts w:ascii="Arial" w:hAnsi="Arial" w:cs="Arial"/>
          <w:i/>
          <w:sz w:val="20"/>
          <w:szCs w:val="20"/>
        </w:rPr>
        <w:t xml:space="preserve">Gcaba’s </w:t>
      </w:r>
      <w:r w:rsidR="000E15D9" w:rsidRPr="00BF032B">
        <w:rPr>
          <w:rFonts w:ascii="Arial" w:hAnsi="Arial" w:cs="Arial"/>
          <w:sz w:val="20"/>
          <w:szCs w:val="20"/>
        </w:rPr>
        <w:t>case were</w:t>
      </w:r>
      <w:r w:rsidR="000E15D9" w:rsidRPr="00BF032B">
        <w:rPr>
          <w:rFonts w:ascii="Arial" w:hAnsi="Arial" w:cs="Arial"/>
          <w:i/>
          <w:sz w:val="20"/>
          <w:szCs w:val="20"/>
        </w:rPr>
        <w:t xml:space="preserve"> </w:t>
      </w:r>
      <w:r w:rsidR="000E15D9" w:rsidRPr="00BF032B">
        <w:rPr>
          <w:rFonts w:ascii="Arial" w:hAnsi="Arial" w:cs="Arial"/>
          <w:sz w:val="20"/>
          <w:szCs w:val="20"/>
        </w:rPr>
        <w:t>heard by the High Court, he would have failed for not being able to make out a case for the relief he sought, namely review of an administrative decision.  In the event of the Court’s jurisdiction being challenged at the outset (</w:t>
      </w:r>
      <w:r w:rsidR="000E15D9" w:rsidRPr="00BF032B">
        <w:rPr>
          <w:rFonts w:ascii="Arial" w:hAnsi="Arial" w:cs="Arial"/>
          <w:i/>
          <w:sz w:val="20"/>
          <w:szCs w:val="20"/>
        </w:rPr>
        <w:t>in limine</w:t>
      </w:r>
      <w:r w:rsidR="000E15D9" w:rsidRPr="00BF032B">
        <w:rPr>
          <w:rFonts w:ascii="Arial" w:hAnsi="Arial" w:cs="Arial"/>
          <w:sz w:val="20"/>
          <w:szCs w:val="20"/>
        </w:rPr>
        <w:t xml:space="preserve">), the applicant’s pleadings are the determining factor.  They contain the legal basis of the claim under which the applicant has chosen to invoke the Court’s competence.  While the pleadings – including in motion proceedings, not only the formal terminology of the notice of motion, but also the contents of the supporting affidavits – must be interpreted to established what the legal basis of the applicant’s claim is, it is not for the court to say that the facts asserted by the applicant would also sustain another claim, cognisable only in another court.  If however the pleadings, properly interpreted, established that the applicant is asserting a claim under the LRA, one that is to be determined exclusively by the Labour Court, the High Court would lack jurisdiction.  An applicant like Mr </w:t>
      </w:r>
      <w:r w:rsidR="000E15D9" w:rsidRPr="00BF032B">
        <w:rPr>
          <w:rFonts w:ascii="Arial" w:hAnsi="Arial" w:cs="Arial"/>
          <w:i/>
          <w:sz w:val="20"/>
          <w:szCs w:val="20"/>
        </w:rPr>
        <w:t>Gcaba</w:t>
      </w:r>
      <w:r w:rsidR="000E15D9" w:rsidRPr="00BF032B">
        <w:rPr>
          <w:rFonts w:ascii="Arial" w:hAnsi="Arial" w:cs="Arial"/>
          <w:sz w:val="20"/>
          <w:szCs w:val="20"/>
        </w:rPr>
        <w:t xml:space="preserve"> who is unable to </w:t>
      </w:r>
      <w:r w:rsidR="000E15D9" w:rsidRPr="00BF032B">
        <w:rPr>
          <w:rFonts w:ascii="Arial" w:hAnsi="Arial" w:cs="Arial"/>
          <w:sz w:val="20"/>
          <w:szCs w:val="20"/>
        </w:rPr>
        <w:lastRenderedPageBreak/>
        <w:t xml:space="preserve">plead facts that sustain a cause of administrative action that is </w:t>
      </w:r>
      <w:r w:rsidR="007E4EF1" w:rsidRPr="00BF032B">
        <w:rPr>
          <w:rFonts w:ascii="Arial" w:hAnsi="Arial" w:cs="Arial"/>
          <w:sz w:val="20"/>
          <w:szCs w:val="20"/>
        </w:rPr>
        <w:t>cognisable by the High Court, should thus approach the Labour Court</w:t>
      </w:r>
      <w:r>
        <w:rPr>
          <w:rFonts w:ascii="Arial" w:hAnsi="Arial" w:cs="Arial"/>
          <w:sz w:val="20"/>
          <w:szCs w:val="20"/>
        </w:rPr>
        <w:t>”</w:t>
      </w:r>
      <w:r w:rsidR="007E4EF1" w:rsidRPr="00BF032B">
        <w:rPr>
          <w:rFonts w:ascii="Arial" w:hAnsi="Arial" w:cs="Arial"/>
          <w:sz w:val="20"/>
          <w:szCs w:val="20"/>
        </w:rPr>
        <w:t>.</w:t>
      </w:r>
      <w:r w:rsidR="000E15D9" w:rsidRPr="00BF032B">
        <w:rPr>
          <w:rFonts w:ascii="Arial" w:hAnsi="Arial" w:cs="Arial"/>
          <w:sz w:val="20"/>
          <w:szCs w:val="20"/>
        </w:rPr>
        <w:t xml:space="preserve"> </w:t>
      </w:r>
    </w:p>
    <w:p w:rsidR="00D72A78" w:rsidRDefault="00D72A78" w:rsidP="008469A9">
      <w:pPr>
        <w:spacing w:after="0" w:line="480" w:lineRule="auto"/>
        <w:jc w:val="both"/>
        <w:rPr>
          <w:rFonts w:ascii="Arial" w:hAnsi="Arial" w:cs="Arial"/>
          <w:sz w:val="24"/>
          <w:szCs w:val="24"/>
        </w:rPr>
      </w:pPr>
    </w:p>
    <w:p w:rsidR="00ED4A09" w:rsidRDefault="0092073C" w:rsidP="008469A9">
      <w:pPr>
        <w:spacing w:after="0" w:line="480" w:lineRule="auto"/>
        <w:jc w:val="both"/>
        <w:rPr>
          <w:rFonts w:ascii="Arial" w:hAnsi="Arial" w:cs="Arial"/>
          <w:sz w:val="24"/>
          <w:szCs w:val="24"/>
        </w:rPr>
      </w:pPr>
      <w:r>
        <w:rPr>
          <w:rFonts w:ascii="Arial" w:hAnsi="Arial" w:cs="Arial"/>
          <w:sz w:val="24"/>
          <w:szCs w:val="24"/>
        </w:rPr>
        <w:t>[15</w:t>
      </w:r>
      <w:r w:rsidR="00C24F5C">
        <w:rPr>
          <w:rFonts w:ascii="Arial" w:hAnsi="Arial" w:cs="Arial"/>
          <w:sz w:val="24"/>
          <w:szCs w:val="24"/>
        </w:rPr>
        <w:t>]</w:t>
      </w:r>
      <w:r w:rsidR="00C24F5C">
        <w:rPr>
          <w:rFonts w:ascii="Arial" w:hAnsi="Arial" w:cs="Arial"/>
          <w:sz w:val="24"/>
          <w:szCs w:val="24"/>
        </w:rPr>
        <w:tab/>
        <w:t>In view of the above, the a</w:t>
      </w:r>
      <w:r w:rsidR="00D72A78">
        <w:rPr>
          <w:rFonts w:ascii="Arial" w:hAnsi="Arial" w:cs="Arial"/>
          <w:sz w:val="24"/>
          <w:szCs w:val="24"/>
        </w:rPr>
        <w:t>pplicant has failed to establish that the decisions complained of are “administrative action</w:t>
      </w:r>
      <w:r w:rsidR="00BF032B">
        <w:rPr>
          <w:rFonts w:ascii="Arial" w:hAnsi="Arial" w:cs="Arial"/>
          <w:sz w:val="24"/>
          <w:szCs w:val="24"/>
        </w:rPr>
        <w:t>s</w:t>
      </w:r>
      <w:r w:rsidR="00D72A78">
        <w:rPr>
          <w:rFonts w:ascii="Arial" w:hAnsi="Arial" w:cs="Arial"/>
          <w:sz w:val="24"/>
          <w:szCs w:val="24"/>
        </w:rPr>
        <w:t>”.  That having been said, t</w:t>
      </w:r>
      <w:r w:rsidR="00C24F5C">
        <w:rPr>
          <w:rFonts w:ascii="Arial" w:hAnsi="Arial" w:cs="Arial"/>
          <w:sz w:val="24"/>
          <w:szCs w:val="24"/>
        </w:rPr>
        <w:t>he decision not to appoint the a</w:t>
      </w:r>
      <w:r w:rsidR="00BF032B">
        <w:rPr>
          <w:rFonts w:ascii="Arial" w:hAnsi="Arial" w:cs="Arial"/>
          <w:sz w:val="24"/>
          <w:szCs w:val="24"/>
        </w:rPr>
        <w:t>pplicant is more of a l</w:t>
      </w:r>
      <w:r w:rsidR="00D72A78">
        <w:rPr>
          <w:rFonts w:ascii="Arial" w:hAnsi="Arial" w:cs="Arial"/>
          <w:sz w:val="24"/>
          <w:szCs w:val="24"/>
        </w:rPr>
        <w:t>abour related issue which is founded on the provisions of section 185 read with section 186(2)(a) of the Labour Relations Act, 1995 (Act 66 of 1995).</w:t>
      </w:r>
      <w:r w:rsidR="00D72A78">
        <w:rPr>
          <w:rStyle w:val="FootnoteReference"/>
          <w:rFonts w:ascii="Arial" w:hAnsi="Arial" w:cs="Arial"/>
          <w:sz w:val="24"/>
          <w:szCs w:val="24"/>
        </w:rPr>
        <w:footnoteReference w:id="3"/>
      </w:r>
      <w:r w:rsidR="00ED4A09">
        <w:rPr>
          <w:rFonts w:ascii="Arial" w:hAnsi="Arial" w:cs="Arial"/>
          <w:sz w:val="24"/>
          <w:szCs w:val="24"/>
        </w:rPr>
        <w:t xml:space="preserve">  </w:t>
      </w:r>
    </w:p>
    <w:p w:rsidR="00C24F5C" w:rsidRDefault="00C24F5C" w:rsidP="008469A9">
      <w:pPr>
        <w:spacing w:after="0" w:line="480" w:lineRule="auto"/>
        <w:jc w:val="both"/>
        <w:rPr>
          <w:rFonts w:ascii="Arial" w:hAnsi="Arial" w:cs="Arial"/>
          <w:sz w:val="24"/>
          <w:szCs w:val="24"/>
        </w:rPr>
      </w:pPr>
    </w:p>
    <w:p w:rsidR="00806906" w:rsidRDefault="0092073C" w:rsidP="008469A9">
      <w:pPr>
        <w:spacing w:after="0" w:line="480" w:lineRule="auto"/>
        <w:jc w:val="both"/>
        <w:rPr>
          <w:rFonts w:ascii="Arial" w:hAnsi="Arial" w:cs="Arial"/>
          <w:sz w:val="24"/>
          <w:szCs w:val="24"/>
        </w:rPr>
      </w:pPr>
      <w:r>
        <w:rPr>
          <w:rFonts w:ascii="Arial" w:hAnsi="Arial" w:cs="Arial"/>
          <w:sz w:val="24"/>
          <w:szCs w:val="24"/>
        </w:rPr>
        <w:t>[16</w:t>
      </w:r>
      <w:r w:rsidR="00806906">
        <w:rPr>
          <w:rFonts w:ascii="Arial" w:hAnsi="Arial" w:cs="Arial"/>
          <w:sz w:val="24"/>
          <w:szCs w:val="24"/>
        </w:rPr>
        <w:t>]</w:t>
      </w:r>
      <w:r w:rsidR="00806906">
        <w:rPr>
          <w:rFonts w:ascii="Arial" w:hAnsi="Arial" w:cs="Arial"/>
          <w:sz w:val="24"/>
          <w:szCs w:val="24"/>
        </w:rPr>
        <w:tab/>
        <w:t>The following order is thus made:</w:t>
      </w:r>
    </w:p>
    <w:p w:rsidR="00806906" w:rsidRDefault="00806906" w:rsidP="008469A9">
      <w:pPr>
        <w:spacing w:after="0" w:line="480" w:lineRule="auto"/>
        <w:jc w:val="both"/>
        <w:rPr>
          <w:rFonts w:ascii="Arial" w:hAnsi="Arial" w:cs="Arial"/>
          <w:sz w:val="24"/>
          <w:szCs w:val="24"/>
        </w:rPr>
      </w:pPr>
      <w:r>
        <w:rPr>
          <w:rFonts w:ascii="Arial" w:hAnsi="Arial" w:cs="Arial"/>
          <w:sz w:val="24"/>
          <w:szCs w:val="24"/>
        </w:rPr>
        <w:tab/>
        <w:t>“The application is dismissed with costs”.</w:t>
      </w:r>
    </w:p>
    <w:p w:rsidR="00806906" w:rsidRDefault="00806906" w:rsidP="008469A9">
      <w:pPr>
        <w:spacing w:after="0" w:line="480" w:lineRule="auto"/>
        <w:jc w:val="both"/>
        <w:rPr>
          <w:rFonts w:ascii="Arial" w:hAnsi="Arial" w:cs="Arial"/>
          <w:sz w:val="24"/>
          <w:szCs w:val="24"/>
        </w:rPr>
      </w:pPr>
    </w:p>
    <w:p w:rsidR="00806906" w:rsidRDefault="00806906" w:rsidP="00806906">
      <w:pPr>
        <w:spacing w:after="0" w:line="240" w:lineRule="auto"/>
        <w:jc w:val="both"/>
        <w:rPr>
          <w:rFonts w:ascii="Arial" w:hAnsi="Arial" w:cs="Arial"/>
          <w:sz w:val="24"/>
          <w:szCs w:val="24"/>
        </w:rPr>
      </w:pPr>
      <w:r>
        <w:rPr>
          <w:rFonts w:ascii="Arial" w:hAnsi="Arial" w:cs="Arial"/>
          <w:sz w:val="24"/>
          <w:szCs w:val="24"/>
        </w:rPr>
        <w:t>______________________</w:t>
      </w:r>
    </w:p>
    <w:p w:rsidR="00806906" w:rsidRPr="00806906" w:rsidRDefault="00806906" w:rsidP="00806906">
      <w:pPr>
        <w:spacing w:after="0" w:line="240" w:lineRule="auto"/>
        <w:jc w:val="both"/>
        <w:rPr>
          <w:rFonts w:ascii="Arial" w:hAnsi="Arial" w:cs="Arial"/>
          <w:b/>
          <w:sz w:val="24"/>
          <w:szCs w:val="24"/>
        </w:rPr>
      </w:pPr>
      <w:r w:rsidRPr="00806906">
        <w:rPr>
          <w:rFonts w:ascii="Arial" w:hAnsi="Arial" w:cs="Arial"/>
          <w:b/>
          <w:sz w:val="24"/>
          <w:szCs w:val="24"/>
        </w:rPr>
        <w:t>AM DA SILVA</w:t>
      </w:r>
    </w:p>
    <w:p w:rsidR="00806906" w:rsidRPr="00806906" w:rsidRDefault="00806906" w:rsidP="00806906">
      <w:pPr>
        <w:spacing w:after="0" w:line="240" w:lineRule="auto"/>
        <w:jc w:val="both"/>
        <w:rPr>
          <w:rFonts w:ascii="Arial" w:hAnsi="Arial" w:cs="Arial"/>
          <w:b/>
          <w:sz w:val="24"/>
          <w:szCs w:val="24"/>
        </w:rPr>
      </w:pPr>
      <w:r w:rsidRPr="00806906">
        <w:rPr>
          <w:rFonts w:ascii="Arial" w:hAnsi="Arial" w:cs="Arial"/>
          <w:b/>
          <w:sz w:val="24"/>
          <w:szCs w:val="24"/>
        </w:rPr>
        <w:t xml:space="preserve">Acting Judge of the High Court </w:t>
      </w:r>
    </w:p>
    <w:p w:rsidR="0092073C" w:rsidRDefault="004D00C1" w:rsidP="0092073C">
      <w:pPr>
        <w:spacing w:after="0" w:line="480" w:lineRule="auto"/>
        <w:jc w:val="both"/>
        <w:rPr>
          <w:rFonts w:ascii="Arial" w:hAnsi="Arial" w:cs="Arial"/>
          <w:sz w:val="24"/>
          <w:szCs w:val="24"/>
        </w:rPr>
      </w:pPr>
      <w:r>
        <w:rPr>
          <w:rFonts w:ascii="Arial" w:hAnsi="Arial" w:cs="Arial"/>
          <w:sz w:val="24"/>
          <w:szCs w:val="24"/>
        </w:rPr>
        <w:t xml:space="preserve"> </w:t>
      </w:r>
    </w:p>
    <w:p w:rsidR="004D51E2" w:rsidRPr="0092073C" w:rsidRDefault="00C24F5C" w:rsidP="0092073C">
      <w:pPr>
        <w:spacing w:after="0" w:line="240" w:lineRule="auto"/>
        <w:jc w:val="both"/>
        <w:rPr>
          <w:rFonts w:ascii="Arial" w:hAnsi="Arial" w:cs="Arial"/>
          <w:sz w:val="24"/>
          <w:szCs w:val="24"/>
        </w:rPr>
      </w:pPr>
      <w:r>
        <w:rPr>
          <w:rFonts w:ascii="Arial" w:hAnsi="Arial" w:cs="Arial"/>
          <w:i/>
          <w:sz w:val="24"/>
          <w:szCs w:val="24"/>
          <w:u w:val="single"/>
        </w:rPr>
        <w:t>Appearances</w:t>
      </w:r>
      <w:r>
        <w:rPr>
          <w:rFonts w:ascii="Arial" w:hAnsi="Arial" w:cs="Arial"/>
          <w:i/>
          <w:sz w:val="24"/>
          <w:szCs w:val="24"/>
        </w:rPr>
        <w:t>:</w:t>
      </w:r>
    </w:p>
    <w:p w:rsidR="00C24F5C" w:rsidRDefault="00C24F5C" w:rsidP="0092073C">
      <w:pPr>
        <w:spacing w:after="0" w:line="240" w:lineRule="auto"/>
        <w:jc w:val="both"/>
        <w:rPr>
          <w:rFonts w:ascii="Arial" w:hAnsi="Arial" w:cs="Arial"/>
          <w:i/>
          <w:sz w:val="24"/>
          <w:szCs w:val="24"/>
        </w:rPr>
      </w:pPr>
      <w:r>
        <w:rPr>
          <w:rFonts w:ascii="Arial" w:hAnsi="Arial" w:cs="Arial"/>
          <w:i/>
          <w:sz w:val="24"/>
          <w:szCs w:val="24"/>
        </w:rPr>
        <w:t>Counsel for Applicant: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Adv SG Poswa</w:t>
      </w:r>
    </w:p>
    <w:p w:rsidR="00C24F5C" w:rsidRDefault="00C24F5C" w:rsidP="0092073C">
      <w:pPr>
        <w:spacing w:after="0"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East London</w:t>
      </w:r>
    </w:p>
    <w:p w:rsidR="00C24F5C" w:rsidRDefault="00C24F5C" w:rsidP="0092073C">
      <w:pPr>
        <w:spacing w:after="0" w:line="240" w:lineRule="auto"/>
        <w:jc w:val="both"/>
        <w:rPr>
          <w:rFonts w:ascii="Arial" w:hAnsi="Arial" w:cs="Arial"/>
          <w:i/>
          <w:sz w:val="24"/>
          <w:szCs w:val="24"/>
        </w:rPr>
      </w:pPr>
    </w:p>
    <w:p w:rsidR="00C24F5C" w:rsidRDefault="00C24F5C" w:rsidP="0092073C">
      <w:pPr>
        <w:spacing w:after="0" w:line="240" w:lineRule="auto"/>
        <w:jc w:val="both"/>
        <w:rPr>
          <w:rFonts w:ascii="Arial" w:hAnsi="Arial" w:cs="Arial"/>
          <w:i/>
          <w:sz w:val="24"/>
          <w:szCs w:val="24"/>
        </w:rPr>
      </w:pPr>
      <w:r>
        <w:rPr>
          <w:rFonts w:ascii="Arial" w:hAnsi="Arial" w:cs="Arial"/>
          <w:i/>
          <w:sz w:val="24"/>
          <w:szCs w:val="24"/>
        </w:rPr>
        <w:t>Instructed by:</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Messrs Bacela Bukula &amp; Assoc.</w:t>
      </w:r>
    </w:p>
    <w:p w:rsidR="00C24F5C" w:rsidRDefault="00C24F5C" w:rsidP="0092073C">
      <w:pPr>
        <w:spacing w:after="0"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King Williams Town</w:t>
      </w:r>
    </w:p>
    <w:p w:rsidR="00C24F5C" w:rsidRDefault="00C24F5C" w:rsidP="0092073C">
      <w:pPr>
        <w:spacing w:after="0" w:line="240" w:lineRule="auto"/>
        <w:jc w:val="both"/>
        <w:rPr>
          <w:rFonts w:ascii="Arial" w:hAnsi="Arial" w:cs="Arial"/>
          <w:i/>
          <w:sz w:val="24"/>
          <w:szCs w:val="24"/>
        </w:rPr>
      </w:pPr>
    </w:p>
    <w:p w:rsidR="00900602" w:rsidRDefault="00C24F5C" w:rsidP="0092073C">
      <w:pPr>
        <w:spacing w:after="0" w:line="240" w:lineRule="auto"/>
        <w:jc w:val="both"/>
        <w:rPr>
          <w:rFonts w:ascii="Arial" w:hAnsi="Arial" w:cs="Arial"/>
          <w:i/>
          <w:sz w:val="24"/>
          <w:szCs w:val="24"/>
        </w:rPr>
      </w:pPr>
      <w:r>
        <w:rPr>
          <w:rFonts w:ascii="Arial" w:hAnsi="Arial" w:cs="Arial"/>
          <w:i/>
          <w:sz w:val="24"/>
          <w:szCs w:val="24"/>
        </w:rPr>
        <w:t>Counsel for First Respondent:</w:t>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900602">
        <w:rPr>
          <w:rFonts w:ascii="Arial" w:hAnsi="Arial" w:cs="Arial"/>
          <w:i/>
          <w:sz w:val="24"/>
          <w:szCs w:val="24"/>
        </w:rPr>
        <w:t>Adv SY Malunga</w:t>
      </w:r>
    </w:p>
    <w:p w:rsidR="00900602" w:rsidRDefault="00900602" w:rsidP="0092073C">
      <w:pPr>
        <w:spacing w:after="0"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East London</w:t>
      </w:r>
    </w:p>
    <w:p w:rsidR="00900602" w:rsidRDefault="00900602" w:rsidP="0092073C">
      <w:pPr>
        <w:spacing w:after="0" w:line="240" w:lineRule="auto"/>
        <w:jc w:val="both"/>
        <w:rPr>
          <w:rFonts w:ascii="Arial" w:hAnsi="Arial" w:cs="Arial"/>
          <w:i/>
          <w:sz w:val="24"/>
          <w:szCs w:val="24"/>
        </w:rPr>
      </w:pPr>
    </w:p>
    <w:p w:rsidR="00900602" w:rsidRDefault="00900602" w:rsidP="0092073C">
      <w:pPr>
        <w:spacing w:after="0" w:line="240" w:lineRule="auto"/>
        <w:jc w:val="both"/>
        <w:rPr>
          <w:rFonts w:ascii="Arial" w:hAnsi="Arial" w:cs="Arial"/>
          <w:i/>
          <w:sz w:val="24"/>
          <w:szCs w:val="24"/>
        </w:rPr>
      </w:pPr>
      <w:r>
        <w:rPr>
          <w:rFonts w:ascii="Arial" w:hAnsi="Arial" w:cs="Arial"/>
          <w:i/>
          <w:sz w:val="24"/>
          <w:szCs w:val="24"/>
        </w:rPr>
        <w:t>Instructed by:</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Messrs State Attorneys</w:t>
      </w:r>
    </w:p>
    <w:p w:rsidR="00900602" w:rsidRDefault="00900602" w:rsidP="0092073C">
      <w:pPr>
        <w:spacing w:after="0"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c/o Shared Legal Services </w:t>
      </w:r>
    </w:p>
    <w:p w:rsidR="00900602" w:rsidRDefault="00900602" w:rsidP="0092073C">
      <w:pPr>
        <w:spacing w:after="0"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Office of the Premier </w:t>
      </w:r>
    </w:p>
    <w:p w:rsidR="00900602" w:rsidRDefault="00900602" w:rsidP="0092073C">
      <w:pPr>
        <w:spacing w:after="0"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King Williams Town</w:t>
      </w:r>
    </w:p>
    <w:p w:rsidR="00900602" w:rsidRDefault="00900602" w:rsidP="0092073C">
      <w:pPr>
        <w:spacing w:after="0" w:line="240" w:lineRule="auto"/>
        <w:jc w:val="both"/>
        <w:rPr>
          <w:rFonts w:ascii="Arial" w:hAnsi="Arial" w:cs="Arial"/>
          <w:i/>
          <w:sz w:val="24"/>
          <w:szCs w:val="24"/>
        </w:rPr>
      </w:pPr>
    </w:p>
    <w:p w:rsidR="00900602" w:rsidRDefault="00900602" w:rsidP="0092073C">
      <w:pPr>
        <w:spacing w:after="0" w:line="240" w:lineRule="auto"/>
        <w:jc w:val="both"/>
        <w:rPr>
          <w:rFonts w:ascii="Arial" w:hAnsi="Arial" w:cs="Arial"/>
          <w:i/>
          <w:sz w:val="24"/>
          <w:szCs w:val="24"/>
        </w:rPr>
      </w:pPr>
      <w:r>
        <w:rPr>
          <w:rFonts w:ascii="Arial" w:hAnsi="Arial" w:cs="Arial"/>
          <w:i/>
          <w:sz w:val="24"/>
          <w:szCs w:val="24"/>
        </w:rPr>
        <w:t>Date heard:</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18 August 2022</w:t>
      </w:r>
    </w:p>
    <w:p w:rsidR="00C24F5C" w:rsidRDefault="00C24F5C" w:rsidP="0092073C">
      <w:pPr>
        <w:spacing w:line="240" w:lineRule="auto"/>
        <w:jc w:val="both"/>
        <w:rPr>
          <w:rFonts w:ascii="Arial" w:hAnsi="Arial" w:cs="Arial"/>
          <w:i/>
          <w:sz w:val="24"/>
          <w:szCs w:val="24"/>
        </w:rPr>
      </w:pPr>
      <w:r>
        <w:rPr>
          <w:rFonts w:ascii="Arial" w:hAnsi="Arial" w:cs="Arial"/>
          <w:i/>
          <w:sz w:val="24"/>
          <w:szCs w:val="24"/>
        </w:rPr>
        <w:t xml:space="preserve"> </w:t>
      </w:r>
    </w:p>
    <w:p w:rsidR="00F03307" w:rsidRPr="0092073C" w:rsidRDefault="00900602" w:rsidP="0092073C">
      <w:pPr>
        <w:spacing w:line="240" w:lineRule="auto"/>
        <w:jc w:val="both"/>
        <w:rPr>
          <w:rFonts w:ascii="Arial" w:hAnsi="Arial" w:cs="Arial"/>
          <w:i/>
          <w:sz w:val="24"/>
          <w:szCs w:val="24"/>
        </w:rPr>
      </w:pPr>
      <w:r>
        <w:rPr>
          <w:rFonts w:ascii="Arial" w:hAnsi="Arial" w:cs="Arial"/>
          <w:i/>
          <w:sz w:val="24"/>
          <w:szCs w:val="24"/>
        </w:rPr>
        <w:t>Date delivered:</w:t>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7278C6">
        <w:rPr>
          <w:rFonts w:ascii="Arial" w:hAnsi="Arial" w:cs="Arial"/>
          <w:i/>
          <w:sz w:val="24"/>
          <w:szCs w:val="24"/>
        </w:rPr>
        <w:tab/>
      </w:r>
      <w:r w:rsidR="007278C6">
        <w:rPr>
          <w:rFonts w:ascii="Arial" w:hAnsi="Arial" w:cs="Arial"/>
          <w:i/>
          <w:sz w:val="24"/>
          <w:szCs w:val="24"/>
        </w:rPr>
        <w:tab/>
      </w:r>
      <w:r w:rsidR="004E4FB5">
        <w:rPr>
          <w:rFonts w:ascii="Arial" w:hAnsi="Arial" w:cs="Arial"/>
          <w:i/>
          <w:sz w:val="24"/>
          <w:szCs w:val="24"/>
        </w:rPr>
        <w:t>27</w:t>
      </w:r>
      <w:r w:rsidR="00533F6A">
        <w:rPr>
          <w:rFonts w:ascii="Arial" w:hAnsi="Arial" w:cs="Arial"/>
          <w:i/>
          <w:sz w:val="24"/>
          <w:szCs w:val="24"/>
        </w:rPr>
        <w:t xml:space="preserve"> September 2022</w:t>
      </w:r>
    </w:p>
    <w:sectPr w:rsidR="00F03307" w:rsidRPr="0092073C" w:rsidSect="0090060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CD" w:rsidRDefault="002100CD" w:rsidP="00A225BB">
      <w:pPr>
        <w:spacing w:after="0" w:line="240" w:lineRule="auto"/>
      </w:pPr>
      <w:r>
        <w:separator/>
      </w:r>
    </w:p>
  </w:endnote>
  <w:endnote w:type="continuationSeparator" w:id="0">
    <w:p w:rsidR="002100CD" w:rsidRDefault="002100CD" w:rsidP="00A2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44311"/>
      <w:docPartObj>
        <w:docPartGallery w:val="Page Numbers (Bottom of Page)"/>
        <w:docPartUnique/>
      </w:docPartObj>
    </w:sdtPr>
    <w:sdtEndPr/>
    <w:sdtContent>
      <w:sdt>
        <w:sdtPr>
          <w:id w:val="-1769616900"/>
          <w:docPartObj>
            <w:docPartGallery w:val="Page Numbers (Top of Page)"/>
            <w:docPartUnique/>
          </w:docPartObj>
        </w:sdtPr>
        <w:sdtEndPr/>
        <w:sdtContent>
          <w:p w:rsidR="00900602" w:rsidRDefault="009006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51B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51B2">
              <w:rPr>
                <w:b/>
                <w:bCs/>
                <w:noProof/>
              </w:rPr>
              <w:t>8</w:t>
            </w:r>
            <w:r>
              <w:rPr>
                <w:b/>
                <w:bCs/>
                <w:sz w:val="24"/>
                <w:szCs w:val="24"/>
              </w:rPr>
              <w:fldChar w:fldCharType="end"/>
            </w:r>
          </w:p>
        </w:sdtContent>
      </w:sdt>
    </w:sdtContent>
  </w:sdt>
  <w:p w:rsidR="00900602" w:rsidRDefault="009006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CD" w:rsidRDefault="002100CD" w:rsidP="00A225BB">
      <w:pPr>
        <w:spacing w:after="0" w:line="240" w:lineRule="auto"/>
      </w:pPr>
      <w:r>
        <w:separator/>
      </w:r>
    </w:p>
  </w:footnote>
  <w:footnote w:type="continuationSeparator" w:id="0">
    <w:p w:rsidR="002100CD" w:rsidRDefault="002100CD" w:rsidP="00A225BB">
      <w:pPr>
        <w:spacing w:after="0" w:line="240" w:lineRule="auto"/>
      </w:pPr>
      <w:r>
        <w:continuationSeparator/>
      </w:r>
    </w:p>
  </w:footnote>
  <w:footnote w:id="1">
    <w:p w:rsidR="00A225BB" w:rsidRDefault="00A225BB">
      <w:pPr>
        <w:pStyle w:val="FootnoteText"/>
      </w:pPr>
      <w:r>
        <w:rPr>
          <w:rStyle w:val="FootnoteReference"/>
        </w:rPr>
        <w:footnoteRef/>
      </w:r>
      <w:r>
        <w:t xml:space="preserve"> [2009] 12 BLLR 1145 (CC), para [64].</w:t>
      </w:r>
    </w:p>
  </w:footnote>
  <w:footnote w:id="2">
    <w:p w:rsidR="007E4EF1" w:rsidRPr="007E4EF1" w:rsidRDefault="007E4EF1">
      <w:pPr>
        <w:pStyle w:val="FootnoteText"/>
      </w:pPr>
      <w:r>
        <w:rPr>
          <w:rStyle w:val="FootnoteReference"/>
        </w:rPr>
        <w:footnoteRef/>
      </w:r>
      <w:r>
        <w:t xml:space="preserve"> See also </w:t>
      </w:r>
      <w:r>
        <w:rPr>
          <w:i/>
        </w:rPr>
        <w:t>NDPP &amp; An</w:t>
      </w:r>
      <w:r w:rsidR="00AB02A9">
        <w:rPr>
          <w:i/>
        </w:rPr>
        <w:t>other v Tshavhun</w:t>
      </w:r>
      <w:r>
        <w:rPr>
          <w:i/>
        </w:rPr>
        <w:t xml:space="preserve">gwa &amp; Another; Tshavhungwa v NDPP </w:t>
      </w:r>
      <w:r>
        <w:t>(2010) ILJ 81 (SCA)</w:t>
      </w:r>
      <w:r w:rsidR="00AB02A9">
        <w:t>.</w:t>
      </w:r>
    </w:p>
  </w:footnote>
  <w:footnote w:id="3">
    <w:p w:rsidR="00D72A78" w:rsidRPr="00806906" w:rsidRDefault="00D72A78" w:rsidP="00806906">
      <w:pPr>
        <w:pStyle w:val="FootnoteText"/>
        <w:jc w:val="both"/>
        <w:rPr>
          <w:u w:val="single"/>
        </w:rPr>
      </w:pPr>
      <w:r>
        <w:rPr>
          <w:rStyle w:val="FootnoteReference"/>
        </w:rPr>
        <w:footnoteRef/>
      </w:r>
      <w:r>
        <w:t xml:space="preserve"> “Promotion” was defined in </w:t>
      </w:r>
      <w:r>
        <w:rPr>
          <w:i/>
        </w:rPr>
        <w:t xml:space="preserve">Mashegoane v University of the </w:t>
      </w:r>
      <w:r w:rsidR="00806906">
        <w:rPr>
          <w:i/>
        </w:rPr>
        <w:t xml:space="preserve">North </w:t>
      </w:r>
      <w:r w:rsidR="00806906">
        <w:t xml:space="preserve">[1998] 1 BLLR 73 (LC) as being elevated or </w:t>
      </w:r>
      <w:r w:rsidR="00806906">
        <w:rPr>
          <w:u w:val="single"/>
        </w:rPr>
        <w:t>appointed</w:t>
      </w:r>
      <w:r w:rsidR="00806906" w:rsidRPr="00806906">
        <w:t xml:space="preserve"> to a position that c</w:t>
      </w:r>
      <w:r w:rsidR="00806906">
        <w:t>arries greater authority and status that the current position an employee is 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07"/>
    <w:rsid w:val="00087DBD"/>
    <w:rsid w:val="000E15D9"/>
    <w:rsid w:val="001B6439"/>
    <w:rsid w:val="001D1EF3"/>
    <w:rsid w:val="0020665D"/>
    <w:rsid w:val="002100CD"/>
    <w:rsid w:val="00231F9D"/>
    <w:rsid w:val="00303E32"/>
    <w:rsid w:val="003301CF"/>
    <w:rsid w:val="00367AA7"/>
    <w:rsid w:val="00443DF0"/>
    <w:rsid w:val="004814FC"/>
    <w:rsid w:val="004D00C1"/>
    <w:rsid w:val="004D51E2"/>
    <w:rsid w:val="004E4FB5"/>
    <w:rsid w:val="00531B5B"/>
    <w:rsid w:val="00533F6A"/>
    <w:rsid w:val="00555606"/>
    <w:rsid w:val="005F44A1"/>
    <w:rsid w:val="006F759A"/>
    <w:rsid w:val="007278C6"/>
    <w:rsid w:val="00730DEB"/>
    <w:rsid w:val="00746D93"/>
    <w:rsid w:val="00753AC3"/>
    <w:rsid w:val="007E4EF1"/>
    <w:rsid w:val="00806906"/>
    <w:rsid w:val="008469A9"/>
    <w:rsid w:val="008B0108"/>
    <w:rsid w:val="00900602"/>
    <w:rsid w:val="0092073C"/>
    <w:rsid w:val="0097621C"/>
    <w:rsid w:val="009F0C3C"/>
    <w:rsid w:val="00A225BB"/>
    <w:rsid w:val="00AB02A9"/>
    <w:rsid w:val="00AC29F0"/>
    <w:rsid w:val="00BF032B"/>
    <w:rsid w:val="00C24F5C"/>
    <w:rsid w:val="00C27D82"/>
    <w:rsid w:val="00D05D71"/>
    <w:rsid w:val="00D2696B"/>
    <w:rsid w:val="00D63D78"/>
    <w:rsid w:val="00D72A78"/>
    <w:rsid w:val="00D750DF"/>
    <w:rsid w:val="00DC1DF3"/>
    <w:rsid w:val="00DD29E0"/>
    <w:rsid w:val="00DF6B6C"/>
    <w:rsid w:val="00E82901"/>
    <w:rsid w:val="00ED4A09"/>
    <w:rsid w:val="00F03307"/>
    <w:rsid w:val="00F325D8"/>
    <w:rsid w:val="00F3556A"/>
    <w:rsid w:val="00F951B2"/>
    <w:rsid w:val="00FF29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8F837-335A-44D8-AAF8-1BAA34A0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2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5BB"/>
    <w:rPr>
      <w:sz w:val="20"/>
      <w:szCs w:val="20"/>
    </w:rPr>
  </w:style>
  <w:style w:type="character" w:styleId="FootnoteReference">
    <w:name w:val="footnote reference"/>
    <w:basedOn w:val="DefaultParagraphFont"/>
    <w:uiPriority w:val="99"/>
    <w:semiHidden/>
    <w:unhideWhenUsed/>
    <w:rsid w:val="00A225BB"/>
    <w:rPr>
      <w:vertAlign w:val="superscript"/>
    </w:rPr>
  </w:style>
  <w:style w:type="paragraph" w:styleId="Header">
    <w:name w:val="header"/>
    <w:basedOn w:val="Normal"/>
    <w:link w:val="HeaderChar"/>
    <w:uiPriority w:val="99"/>
    <w:unhideWhenUsed/>
    <w:rsid w:val="00900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602"/>
  </w:style>
  <w:style w:type="paragraph" w:styleId="Footer">
    <w:name w:val="footer"/>
    <w:basedOn w:val="Normal"/>
    <w:link w:val="FooterChar"/>
    <w:uiPriority w:val="99"/>
    <w:unhideWhenUsed/>
    <w:rsid w:val="00900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602"/>
  </w:style>
  <w:style w:type="paragraph" w:styleId="BalloonText">
    <w:name w:val="Balloon Text"/>
    <w:basedOn w:val="Normal"/>
    <w:link w:val="BalloonTextChar"/>
    <w:uiPriority w:val="99"/>
    <w:semiHidden/>
    <w:unhideWhenUsed/>
    <w:rsid w:val="009F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24C3-CFEE-444E-82F1-A9B2F43A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Horn</dc:creator>
  <cp:keywords/>
  <dc:description/>
  <cp:lastModifiedBy>Nomakorinte Ntliziywana</cp:lastModifiedBy>
  <cp:revision>2</cp:revision>
  <cp:lastPrinted>2022-09-21T08:32:00Z</cp:lastPrinted>
  <dcterms:created xsi:type="dcterms:W3CDTF">2022-10-03T14:35:00Z</dcterms:created>
  <dcterms:modified xsi:type="dcterms:W3CDTF">2022-10-03T14:35:00Z</dcterms:modified>
</cp:coreProperties>
</file>