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EC8D" w14:textId="77777777" w:rsidR="002F4398" w:rsidRDefault="00115564" w:rsidP="002F4398">
      <w:pPr>
        <w:jc w:val="center"/>
        <w:rPr>
          <w:b/>
          <w:lang w:val="en-ZA"/>
        </w:rPr>
      </w:pPr>
      <w:r w:rsidRPr="007373B9">
        <w:rPr>
          <w:b/>
          <w:i/>
          <w:noProof/>
          <w:sz w:val="20"/>
          <w:szCs w:val="20"/>
          <w:lang w:val="en-ZA" w:eastAsia="en-ZA"/>
        </w:rPr>
        <w:drawing>
          <wp:anchor distT="0" distB="0" distL="114300" distR="114300" simplePos="0" relativeHeight="251659264" behindDoc="0" locked="0" layoutInCell="1" allowOverlap="1" wp14:anchorId="38C9E4B4" wp14:editId="3457A9A1">
            <wp:simplePos x="0" y="0"/>
            <wp:positionH relativeFrom="margin">
              <wp:posOffset>2304288</wp:posOffset>
            </wp:positionH>
            <wp:positionV relativeFrom="paragraph">
              <wp:posOffset>127</wp:posOffset>
            </wp:positionV>
            <wp:extent cx="990600" cy="1171575"/>
            <wp:effectExtent l="0" t="0" r="0" b="9525"/>
            <wp:wrapThrough wrapText="bothSides">
              <wp:wrapPolygon edited="0">
                <wp:start x="0" y="0"/>
                <wp:lineTo x="0" y="21424"/>
                <wp:lineTo x="21185" y="21424"/>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293CAD06" w14:textId="77777777" w:rsidR="00115564" w:rsidRDefault="00115564" w:rsidP="002F4398">
      <w:pPr>
        <w:jc w:val="center"/>
        <w:rPr>
          <w:b/>
          <w:lang w:val="en-ZA"/>
        </w:rPr>
      </w:pPr>
    </w:p>
    <w:p w14:paraId="17C683D1" w14:textId="77777777" w:rsidR="00115564" w:rsidRDefault="00115564" w:rsidP="002F4398">
      <w:pPr>
        <w:jc w:val="center"/>
        <w:rPr>
          <w:b/>
          <w:lang w:val="en-ZA"/>
        </w:rPr>
      </w:pPr>
    </w:p>
    <w:p w14:paraId="35BBAB17" w14:textId="77777777" w:rsidR="00115564" w:rsidRDefault="00115564" w:rsidP="002F4398">
      <w:pPr>
        <w:jc w:val="center"/>
        <w:rPr>
          <w:b/>
          <w:lang w:val="en-ZA"/>
        </w:rPr>
      </w:pPr>
    </w:p>
    <w:p w14:paraId="7B9F53BD" w14:textId="77777777" w:rsidR="00115564" w:rsidRDefault="00115564" w:rsidP="002F4398">
      <w:pPr>
        <w:jc w:val="center"/>
        <w:rPr>
          <w:b/>
          <w:lang w:val="en-ZA"/>
        </w:rPr>
      </w:pPr>
    </w:p>
    <w:p w14:paraId="2A5C7751" w14:textId="77777777" w:rsidR="00115564" w:rsidRDefault="00115564" w:rsidP="002F4398">
      <w:pPr>
        <w:jc w:val="center"/>
        <w:rPr>
          <w:b/>
          <w:lang w:val="en-ZA"/>
        </w:rPr>
      </w:pPr>
    </w:p>
    <w:p w14:paraId="385A296E" w14:textId="77777777" w:rsidR="00115564" w:rsidRDefault="00115564" w:rsidP="002F4398">
      <w:pPr>
        <w:jc w:val="center"/>
        <w:rPr>
          <w:b/>
          <w:lang w:val="en-ZA"/>
        </w:rPr>
      </w:pPr>
    </w:p>
    <w:p w14:paraId="75F433FB" w14:textId="77777777" w:rsidR="00115564" w:rsidRPr="00015944" w:rsidRDefault="00115564" w:rsidP="002F4398">
      <w:pPr>
        <w:jc w:val="center"/>
        <w:rPr>
          <w:b/>
          <w:lang w:val="en-ZA"/>
        </w:rPr>
      </w:pPr>
    </w:p>
    <w:p w14:paraId="347B07EA" w14:textId="77777777" w:rsidR="000C6B8C" w:rsidRPr="00015944" w:rsidRDefault="000C6B8C" w:rsidP="002F4398">
      <w:pPr>
        <w:jc w:val="center"/>
        <w:rPr>
          <w:b/>
          <w:lang w:val="en-ZA"/>
        </w:rPr>
      </w:pPr>
      <w:r w:rsidRPr="00015944">
        <w:rPr>
          <w:b/>
          <w:lang w:val="en-ZA"/>
        </w:rPr>
        <w:t>IN THE HIGH COURT OF SOUTH AFRICA</w:t>
      </w:r>
    </w:p>
    <w:p w14:paraId="6EEB6CDA" w14:textId="77777777" w:rsidR="002F4398" w:rsidRPr="00015944" w:rsidRDefault="000C6B8C" w:rsidP="002F4398">
      <w:pPr>
        <w:jc w:val="center"/>
        <w:rPr>
          <w:b/>
          <w:lang w:val="en-ZA"/>
        </w:rPr>
      </w:pPr>
      <w:r w:rsidRPr="00015944">
        <w:rPr>
          <w:b/>
          <w:lang w:val="en-ZA"/>
        </w:rPr>
        <w:t>(</w:t>
      </w:r>
      <w:r w:rsidR="002100D2">
        <w:rPr>
          <w:b/>
          <w:lang w:val="en-ZA"/>
        </w:rPr>
        <w:t>EASTERN CAPE LOCAL</w:t>
      </w:r>
      <w:r w:rsidR="00A74F99" w:rsidRPr="00015944">
        <w:rPr>
          <w:b/>
          <w:lang w:val="en-ZA"/>
        </w:rPr>
        <w:t xml:space="preserve"> DIVISION, </w:t>
      </w:r>
      <w:r w:rsidR="00D07F03">
        <w:rPr>
          <w:b/>
          <w:lang w:val="en-ZA"/>
        </w:rPr>
        <w:t>BISHO</w:t>
      </w:r>
      <w:r w:rsidRPr="00015944">
        <w:rPr>
          <w:b/>
          <w:lang w:val="en-ZA"/>
        </w:rPr>
        <w:t>)</w:t>
      </w:r>
    </w:p>
    <w:p w14:paraId="58BBE706" w14:textId="77777777" w:rsidR="00DA564D" w:rsidRPr="00015944" w:rsidRDefault="00DA564D" w:rsidP="002F4398">
      <w:pPr>
        <w:jc w:val="center"/>
        <w:rPr>
          <w:b/>
          <w:lang w:val="en-ZA"/>
        </w:rPr>
      </w:pPr>
    </w:p>
    <w:p w14:paraId="3B9AA686" w14:textId="77777777" w:rsidR="002F4398" w:rsidRPr="00015944" w:rsidRDefault="002F4398" w:rsidP="002F4398">
      <w:pPr>
        <w:jc w:val="right"/>
        <w:rPr>
          <w:b/>
          <w:lang w:val="en-ZA"/>
        </w:rPr>
      </w:pPr>
      <w:r w:rsidRPr="00015944">
        <w:rPr>
          <w:b/>
          <w:lang w:val="en-ZA"/>
        </w:rPr>
        <w:t xml:space="preserve">CASE NO: </w:t>
      </w:r>
      <w:r w:rsidR="00D07F03">
        <w:rPr>
          <w:b/>
          <w:lang w:val="en-ZA"/>
        </w:rPr>
        <w:t>711/2018</w:t>
      </w:r>
    </w:p>
    <w:p w14:paraId="36F33840" w14:textId="77777777" w:rsidR="002F4398" w:rsidRPr="00015944" w:rsidRDefault="00591818" w:rsidP="002F4398">
      <w:r w:rsidRPr="00015944">
        <w:rPr>
          <w:noProof/>
          <w:lang w:val="en-ZA" w:eastAsia="en-ZA"/>
        </w:rPr>
        <mc:AlternateContent>
          <mc:Choice Requires="wps">
            <w:drawing>
              <wp:anchor distT="0" distB="0" distL="114300" distR="114300" simplePos="0" relativeHeight="251657216" behindDoc="0" locked="0" layoutInCell="1" allowOverlap="1" wp14:anchorId="22134FF8" wp14:editId="59EFA5B3">
                <wp:simplePos x="0" y="0"/>
                <wp:positionH relativeFrom="column">
                  <wp:posOffset>2143125</wp:posOffset>
                </wp:positionH>
                <wp:positionV relativeFrom="paragraph">
                  <wp:posOffset>154940</wp:posOffset>
                </wp:positionV>
                <wp:extent cx="3314700" cy="1371600"/>
                <wp:effectExtent l="9525" t="1206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64F24FF" w14:textId="77777777" w:rsidR="00F20EF2" w:rsidRPr="00913F95" w:rsidRDefault="00F20EF2" w:rsidP="002F4398">
                            <w:pPr>
                              <w:jc w:val="center"/>
                              <w:rPr>
                                <w:rFonts w:ascii="Century Gothic" w:hAnsi="Century Gothic"/>
                                <w:b/>
                                <w:sz w:val="20"/>
                                <w:szCs w:val="20"/>
                              </w:rPr>
                            </w:pPr>
                          </w:p>
                          <w:p w14:paraId="054B34AA" w14:textId="02B8D188" w:rsidR="00F20EF2" w:rsidRDefault="007C17E8" w:rsidP="007C17E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20EF2" w:rsidRPr="00913F95">
                              <w:rPr>
                                <w:rFonts w:ascii="Century Gothic" w:hAnsi="Century Gothic"/>
                                <w:sz w:val="20"/>
                                <w:szCs w:val="20"/>
                              </w:rPr>
                              <w:t>REPORTABLE: YES</w:t>
                            </w:r>
                            <w:r w:rsidR="00F20EF2">
                              <w:rPr>
                                <w:rFonts w:ascii="Century Gothic" w:hAnsi="Century Gothic"/>
                                <w:sz w:val="20"/>
                                <w:szCs w:val="20"/>
                              </w:rPr>
                              <w:t xml:space="preserve"> / NO</w:t>
                            </w:r>
                          </w:p>
                          <w:p w14:paraId="3130120F" w14:textId="008829D0" w:rsidR="00F20EF2" w:rsidRPr="00913F95" w:rsidRDefault="007C17E8" w:rsidP="007C17E8">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20EF2" w:rsidRPr="00913F95">
                              <w:rPr>
                                <w:rFonts w:ascii="Century Gothic" w:hAnsi="Century Gothic"/>
                                <w:sz w:val="20"/>
                                <w:szCs w:val="20"/>
                              </w:rPr>
                              <w:t xml:space="preserve">OF INTEREST TO OTHER JUDGES: </w:t>
                            </w:r>
                            <w:r w:rsidR="00F20EF2">
                              <w:rPr>
                                <w:rFonts w:ascii="Century Gothic" w:hAnsi="Century Gothic"/>
                                <w:sz w:val="20"/>
                                <w:szCs w:val="20"/>
                              </w:rPr>
                              <w:t>YES/</w:t>
                            </w:r>
                            <w:r w:rsidR="00F20EF2" w:rsidRPr="00913F95">
                              <w:rPr>
                                <w:rFonts w:ascii="Century Gothic" w:hAnsi="Century Gothic"/>
                                <w:sz w:val="20"/>
                                <w:szCs w:val="20"/>
                              </w:rPr>
                              <w:t>NO</w:t>
                            </w:r>
                          </w:p>
                          <w:p w14:paraId="1C319B0C" w14:textId="765D9E20" w:rsidR="00F20EF2" w:rsidRPr="00913F95" w:rsidRDefault="007C17E8" w:rsidP="007C17E8">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F20EF2" w:rsidRPr="00913F95">
                              <w:rPr>
                                <w:rFonts w:ascii="Century Gothic" w:hAnsi="Century Gothic"/>
                                <w:sz w:val="20"/>
                                <w:szCs w:val="20"/>
                              </w:rPr>
                              <w:t>REVISED</w:t>
                            </w:r>
                            <w:r w:rsidR="00C20320">
                              <w:rPr>
                                <w:rFonts w:ascii="Century Gothic" w:hAnsi="Century Gothic"/>
                                <w:sz w:val="20"/>
                                <w:szCs w:val="20"/>
                              </w:rPr>
                              <w:t xml:space="preserve">.  </w:t>
                            </w:r>
                          </w:p>
                          <w:p w14:paraId="3615EDC8" w14:textId="77777777" w:rsidR="00F20EF2" w:rsidRDefault="00F20EF2" w:rsidP="002F4398">
                            <w:pPr>
                              <w:rPr>
                                <w:rFonts w:ascii="Century Gothic" w:hAnsi="Century Gothic"/>
                                <w:b/>
                                <w:sz w:val="18"/>
                                <w:szCs w:val="18"/>
                              </w:rPr>
                            </w:pPr>
                          </w:p>
                          <w:p w14:paraId="024FE402" w14:textId="2E0147FB" w:rsidR="00F20EF2" w:rsidRPr="00084341" w:rsidRDefault="00C20320" w:rsidP="002F4398">
                            <w:pPr>
                              <w:rPr>
                                <w:rFonts w:ascii="Century Gothic" w:hAnsi="Century Gothic"/>
                                <w:b/>
                                <w:sz w:val="18"/>
                                <w:szCs w:val="18"/>
                              </w:rPr>
                            </w:pPr>
                            <w:r>
                              <w:rPr>
                                <w:rFonts w:ascii="Century Gothic" w:hAnsi="Century Gothic"/>
                                <w:b/>
                                <w:sz w:val="18"/>
                                <w:szCs w:val="18"/>
                              </w:rPr>
                              <w:t xml:space="preserve">    </w:t>
                            </w:r>
                            <w:r w:rsidR="00F20EF2" w:rsidRPr="00084341">
                              <w:rPr>
                                <w:rFonts w:ascii="Century Gothic" w:hAnsi="Century Gothic"/>
                                <w:b/>
                                <w:sz w:val="18"/>
                                <w:szCs w:val="18"/>
                              </w:rPr>
                              <w:t xml:space="preserve"> ……………………..</w:t>
                            </w:r>
                            <w:r w:rsidR="00F20EF2" w:rsidRPr="00084341">
                              <w:rPr>
                                <w:rFonts w:ascii="Century Gothic" w:hAnsi="Century Gothic"/>
                                <w:b/>
                                <w:sz w:val="18"/>
                                <w:szCs w:val="18"/>
                              </w:rPr>
                              <w:tab/>
                            </w:r>
                            <w:r w:rsidR="00F20EF2" w:rsidRPr="00084341">
                              <w:rPr>
                                <w:rFonts w:ascii="Century Gothic" w:hAnsi="Century Gothic"/>
                                <w:b/>
                                <w:sz w:val="18"/>
                                <w:szCs w:val="18"/>
                              </w:rPr>
                              <w:tab/>
                              <w:t>………………………...</w:t>
                            </w:r>
                          </w:p>
                          <w:p w14:paraId="4DEAC5BE" w14:textId="5178F11E" w:rsidR="00F20EF2" w:rsidRPr="00084341" w:rsidRDefault="00C20320" w:rsidP="002F4398">
                            <w:pPr>
                              <w:rPr>
                                <w:rFonts w:ascii="Century Gothic" w:hAnsi="Century Gothic"/>
                                <w:sz w:val="18"/>
                                <w:szCs w:val="18"/>
                              </w:rPr>
                            </w:pPr>
                            <w:r>
                              <w:rPr>
                                <w:rFonts w:ascii="Century Gothic" w:hAnsi="Century Gothic"/>
                                <w:sz w:val="18"/>
                                <w:szCs w:val="18"/>
                              </w:rPr>
                              <w:t xml:space="preserve">         </w:t>
                            </w:r>
                            <w:r w:rsidR="00F20EF2" w:rsidRPr="00084341">
                              <w:rPr>
                                <w:rFonts w:ascii="Century Gothic" w:hAnsi="Century Gothic"/>
                                <w:sz w:val="18"/>
                                <w:szCs w:val="18"/>
                              </w:rPr>
                              <w:t xml:space="preserve"> DATE</w:t>
                            </w:r>
                            <w:r w:rsidR="00F20EF2" w:rsidRPr="00084341">
                              <w:rPr>
                                <w:rFonts w:ascii="Century Gothic" w:hAnsi="Century Gothic"/>
                                <w:sz w:val="18"/>
                                <w:szCs w:val="18"/>
                              </w:rPr>
                              <w:tab/>
                            </w:r>
                            <w:r w:rsidR="00F20EF2" w:rsidRPr="00084341">
                              <w:rPr>
                                <w:rFonts w:ascii="Century Gothic" w:hAnsi="Century Gothic"/>
                                <w:sz w:val="18"/>
                                <w:szCs w:val="18"/>
                              </w:rPr>
                              <w:tab/>
                            </w:r>
                            <w:r w:rsidR="00F20EF2" w:rsidRPr="00084341">
                              <w:rPr>
                                <w:rFonts w:ascii="Century Gothic" w:hAnsi="Century Gothic"/>
                                <w:sz w:val="18"/>
                                <w:szCs w:val="18"/>
                              </w:rPr>
                              <w:tab/>
                            </w:r>
                            <w:r>
                              <w:rPr>
                                <w:rFonts w:ascii="Century Gothic" w:hAnsi="Century Gothic"/>
                                <w:sz w:val="18"/>
                                <w:szCs w:val="18"/>
                              </w:rPr>
                              <w:t xml:space="preserve">    </w:t>
                            </w:r>
                            <w:r w:rsidR="00F20EF2"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4FF8" id="_x0000_t202" coordsize="21600,21600" o:spt="202" path="m,l,21600r21600,l21600,xe">
                <v:stroke joinstyle="miter"/>
                <v:path gradientshapeok="t" o:connecttype="rect"/>
              </v:shapetype>
              <v:shape id="Text Box 5" o:spid="_x0000_s1026" type="#_x0000_t202" style="position:absolute;left:0;text-align:left;margin-left:168.75pt;margin-top:12.2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tqdIn98AAAAKAQAADwAAAGRycy9kb3ducmV2LnhtbEyPwU7DMAyG70i8Q2QkLoil&#10;rN3WlaYTQgLBDQaCa9Z6bUXilCTrytvjneDo359+fy43kzViRB96RwpuZgkIpNo1PbUK3t8ernMQ&#10;IWpqtHGECn4wwKY6Pyt10bgjveK4ja3gEgqFVtDFOBRShrpDq8PMDUi82ztvdeTRt7Lx+sjl1sh5&#10;kiyl1T3xhU4PeN9h/bU9WAV59jR+huf05aNe7s06Xq3Gx2+v1OXFdHcLIuIU/2A46bM6VOy0cwdq&#10;gjAK0nS1YFTBPMtAMJAv1hzsTkGSgaxK+f+F6hcAAP//AwBQSwECLQAUAAYACAAAACEAtoM4kv4A&#10;AADhAQAAEwAAAAAAAAAAAAAAAAAAAAAAW0NvbnRlbnRfVHlwZXNdLnhtbFBLAQItABQABgAIAAAA&#10;IQA4/SH/1gAAAJQBAAALAAAAAAAAAAAAAAAAAC8BAABfcmVscy8ucmVsc1BLAQItABQABgAIAAAA&#10;IQAAGbdrFQIAACwEAAAOAAAAAAAAAAAAAAAAAC4CAABkcnMvZTJvRG9jLnhtbFBLAQItABQABgAI&#10;AAAAIQC2p0if3wAAAAoBAAAPAAAAAAAAAAAAAAAAAG8EAABkcnMvZG93bnJldi54bWxQSwUGAAAA&#10;AAQABADzAAAAewUAAAAA&#10;">
                <v:textbox>
                  <w:txbxContent>
                    <w:p w14:paraId="664F24FF" w14:textId="77777777" w:rsidR="00F20EF2" w:rsidRPr="00913F95" w:rsidRDefault="00F20EF2" w:rsidP="002F4398">
                      <w:pPr>
                        <w:jc w:val="center"/>
                        <w:rPr>
                          <w:rFonts w:ascii="Century Gothic" w:hAnsi="Century Gothic"/>
                          <w:b/>
                          <w:sz w:val="20"/>
                          <w:szCs w:val="20"/>
                        </w:rPr>
                      </w:pPr>
                    </w:p>
                    <w:p w14:paraId="054B34AA" w14:textId="02B8D188" w:rsidR="00F20EF2" w:rsidRDefault="007C17E8" w:rsidP="007C17E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20EF2" w:rsidRPr="00913F95">
                        <w:rPr>
                          <w:rFonts w:ascii="Century Gothic" w:hAnsi="Century Gothic"/>
                          <w:sz w:val="20"/>
                          <w:szCs w:val="20"/>
                        </w:rPr>
                        <w:t>REPORTABLE: YES</w:t>
                      </w:r>
                      <w:r w:rsidR="00F20EF2">
                        <w:rPr>
                          <w:rFonts w:ascii="Century Gothic" w:hAnsi="Century Gothic"/>
                          <w:sz w:val="20"/>
                          <w:szCs w:val="20"/>
                        </w:rPr>
                        <w:t xml:space="preserve"> / NO</w:t>
                      </w:r>
                    </w:p>
                    <w:p w14:paraId="3130120F" w14:textId="008829D0" w:rsidR="00F20EF2" w:rsidRPr="00913F95" w:rsidRDefault="007C17E8" w:rsidP="007C17E8">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F20EF2" w:rsidRPr="00913F95">
                        <w:rPr>
                          <w:rFonts w:ascii="Century Gothic" w:hAnsi="Century Gothic"/>
                          <w:sz w:val="20"/>
                          <w:szCs w:val="20"/>
                        </w:rPr>
                        <w:t xml:space="preserve">OF INTEREST TO OTHER JUDGES: </w:t>
                      </w:r>
                      <w:r w:rsidR="00F20EF2">
                        <w:rPr>
                          <w:rFonts w:ascii="Century Gothic" w:hAnsi="Century Gothic"/>
                          <w:sz w:val="20"/>
                          <w:szCs w:val="20"/>
                        </w:rPr>
                        <w:t>YES/</w:t>
                      </w:r>
                      <w:r w:rsidR="00F20EF2" w:rsidRPr="00913F95">
                        <w:rPr>
                          <w:rFonts w:ascii="Century Gothic" w:hAnsi="Century Gothic"/>
                          <w:sz w:val="20"/>
                          <w:szCs w:val="20"/>
                        </w:rPr>
                        <w:t>NO</w:t>
                      </w:r>
                    </w:p>
                    <w:p w14:paraId="1C319B0C" w14:textId="765D9E20" w:rsidR="00F20EF2" w:rsidRPr="00913F95" w:rsidRDefault="007C17E8" w:rsidP="007C17E8">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F20EF2" w:rsidRPr="00913F95">
                        <w:rPr>
                          <w:rFonts w:ascii="Century Gothic" w:hAnsi="Century Gothic"/>
                          <w:sz w:val="20"/>
                          <w:szCs w:val="20"/>
                        </w:rPr>
                        <w:t>REVISED</w:t>
                      </w:r>
                      <w:r w:rsidR="00C20320">
                        <w:rPr>
                          <w:rFonts w:ascii="Century Gothic" w:hAnsi="Century Gothic"/>
                          <w:sz w:val="20"/>
                          <w:szCs w:val="20"/>
                        </w:rPr>
                        <w:t xml:space="preserve">.  </w:t>
                      </w:r>
                    </w:p>
                    <w:p w14:paraId="3615EDC8" w14:textId="77777777" w:rsidR="00F20EF2" w:rsidRDefault="00F20EF2" w:rsidP="002F4398">
                      <w:pPr>
                        <w:rPr>
                          <w:rFonts w:ascii="Century Gothic" w:hAnsi="Century Gothic"/>
                          <w:b/>
                          <w:sz w:val="18"/>
                          <w:szCs w:val="18"/>
                        </w:rPr>
                      </w:pPr>
                    </w:p>
                    <w:p w14:paraId="024FE402" w14:textId="2E0147FB" w:rsidR="00F20EF2" w:rsidRPr="00084341" w:rsidRDefault="00C20320" w:rsidP="002F4398">
                      <w:pPr>
                        <w:rPr>
                          <w:rFonts w:ascii="Century Gothic" w:hAnsi="Century Gothic"/>
                          <w:b/>
                          <w:sz w:val="18"/>
                          <w:szCs w:val="18"/>
                        </w:rPr>
                      </w:pPr>
                      <w:r>
                        <w:rPr>
                          <w:rFonts w:ascii="Century Gothic" w:hAnsi="Century Gothic"/>
                          <w:b/>
                          <w:sz w:val="18"/>
                          <w:szCs w:val="18"/>
                        </w:rPr>
                        <w:t xml:space="preserve">    </w:t>
                      </w:r>
                      <w:r w:rsidR="00F20EF2" w:rsidRPr="00084341">
                        <w:rPr>
                          <w:rFonts w:ascii="Century Gothic" w:hAnsi="Century Gothic"/>
                          <w:b/>
                          <w:sz w:val="18"/>
                          <w:szCs w:val="18"/>
                        </w:rPr>
                        <w:t xml:space="preserve"> ……………………..</w:t>
                      </w:r>
                      <w:r w:rsidR="00F20EF2" w:rsidRPr="00084341">
                        <w:rPr>
                          <w:rFonts w:ascii="Century Gothic" w:hAnsi="Century Gothic"/>
                          <w:b/>
                          <w:sz w:val="18"/>
                          <w:szCs w:val="18"/>
                        </w:rPr>
                        <w:tab/>
                      </w:r>
                      <w:r w:rsidR="00F20EF2" w:rsidRPr="00084341">
                        <w:rPr>
                          <w:rFonts w:ascii="Century Gothic" w:hAnsi="Century Gothic"/>
                          <w:b/>
                          <w:sz w:val="18"/>
                          <w:szCs w:val="18"/>
                        </w:rPr>
                        <w:tab/>
                        <w:t>………………………...</w:t>
                      </w:r>
                    </w:p>
                    <w:p w14:paraId="4DEAC5BE" w14:textId="5178F11E" w:rsidR="00F20EF2" w:rsidRPr="00084341" w:rsidRDefault="00C20320" w:rsidP="002F4398">
                      <w:pPr>
                        <w:rPr>
                          <w:rFonts w:ascii="Century Gothic" w:hAnsi="Century Gothic"/>
                          <w:sz w:val="18"/>
                          <w:szCs w:val="18"/>
                        </w:rPr>
                      </w:pPr>
                      <w:r>
                        <w:rPr>
                          <w:rFonts w:ascii="Century Gothic" w:hAnsi="Century Gothic"/>
                          <w:sz w:val="18"/>
                          <w:szCs w:val="18"/>
                        </w:rPr>
                        <w:t xml:space="preserve">         </w:t>
                      </w:r>
                      <w:r w:rsidR="00F20EF2" w:rsidRPr="00084341">
                        <w:rPr>
                          <w:rFonts w:ascii="Century Gothic" w:hAnsi="Century Gothic"/>
                          <w:sz w:val="18"/>
                          <w:szCs w:val="18"/>
                        </w:rPr>
                        <w:t xml:space="preserve"> DATE</w:t>
                      </w:r>
                      <w:r w:rsidR="00F20EF2" w:rsidRPr="00084341">
                        <w:rPr>
                          <w:rFonts w:ascii="Century Gothic" w:hAnsi="Century Gothic"/>
                          <w:sz w:val="18"/>
                          <w:szCs w:val="18"/>
                        </w:rPr>
                        <w:tab/>
                      </w:r>
                      <w:r w:rsidR="00F20EF2" w:rsidRPr="00084341">
                        <w:rPr>
                          <w:rFonts w:ascii="Century Gothic" w:hAnsi="Century Gothic"/>
                          <w:sz w:val="18"/>
                          <w:szCs w:val="18"/>
                        </w:rPr>
                        <w:tab/>
                      </w:r>
                      <w:r w:rsidR="00F20EF2" w:rsidRPr="00084341">
                        <w:rPr>
                          <w:rFonts w:ascii="Century Gothic" w:hAnsi="Century Gothic"/>
                          <w:sz w:val="18"/>
                          <w:szCs w:val="18"/>
                        </w:rPr>
                        <w:tab/>
                      </w:r>
                      <w:r>
                        <w:rPr>
                          <w:rFonts w:ascii="Century Gothic" w:hAnsi="Century Gothic"/>
                          <w:sz w:val="18"/>
                          <w:szCs w:val="18"/>
                        </w:rPr>
                        <w:t xml:space="preserve">    </w:t>
                      </w:r>
                      <w:r w:rsidR="00F20EF2" w:rsidRPr="00084341">
                        <w:rPr>
                          <w:rFonts w:ascii="Century Gothic" w:hAnsi="Century Gothic"/>
                          <w:sz w:val="18"/>
                          <w:szCs w:val="18"/>
                        </w:rPr>
                        <w:t>SIGNATURE</w:t>
                      </w:r>
                    </w:p>
                  </w:txbxContent>
                </v:textbox>
              </v:shape>
            </w:pict>
          </mc:Fallback>
        </mc:AlternateContent>
      </w:r>
    </w:p>
    <w:p w14:paraId="2BC1B35D" w14:textId="77777777" w:rsidR="002F4398" w:rsidRPr="00015944" w:rsidRDefault="002F4398" w:rsidP="002F4398"/>
    <w:p w14:paraId="410AAE88" w14:textId="77777777" w:rsidR="002F4398" w:rsidRPr="00015944" w:rsidRDefault="002F4398" w:rsidP="002F4398"/>
    <w:p w14:paraId="51D676A4" w14:textId="77777777" w:rsidR="002F4398" w:rsidRPr="00015944" w:rsidRDefault="002F4398" w:rsidP="002F4398"/>
    <w:p w14:paraId="2B924640" w14:textId="77777777" w:rsidR="002F4398" w:rsidRPr="00015944" w:rsidRDefault="002F4398" w:rsidP="002F4398"/>
    <w:p w14:paraId="259DC278" w14:textId="77777777" w:rsidR="002F4398" w:rsidRPr="00015944" w:rsidRDefault="002F4398" w:rsidP="002F4398"/>
    <w:p w14:paraId="303A386E" w14:textId="77777777" w:rsidR="002F4398" w:rsidRPr="00015944" w:rsidRDefault="002F4398" w:rsidP="002F4398"/>
    <w:p w14:paraId="4493AEB3" w14:textId="77777777" w:rsidR="002F4398" w:rsidRPr="00015944" w:rsidRDefault="002F4398" w:rsidP="002F4398"/>
    <w:p w14:paraId="70A1E197" w14:textId="77777777" w:rsidR="002F4398" w:rsidRPr="00015944" w:rsidRDefault="002F4398" w:rsidP="002F4398"/>
    <w:p w14:paraId="0D585286" w14:textId="77777777" w:rsidR="002F4398" w:rsidRPr="00015944" w:rsidRDefault="002F4398" w:rsidP="002F4398"/>
    <w:p w14:paraId="10628B1E" w14:textId="77777777" w:rsidR="002F4398" w:rsidRPr="00015944" w:rsidRDefault="002F4398" w:rsidP="00CE4C3F">
      <w:pPr>
        <w:spacing w:line="480" w:lineRule="auto"/>
        <w:rPr>
          <w:lang w:val="en-ZA"/>
        </w:rPr>
      </w:pPr>
      <w:r w:rsidRPr="00015944">
        <w:rPr>
          <w:lang w:val="en-ZA"/>
        </w:rPr>
        <w:t>In the matter between:</w:t>
      </w:r>
    </w:p>
    <w:p w14:paraId="2F7FA65C" w14:textId="77777777" w:rsidR="002F4398" w:rsidRPr="00015944" w:rsidRDefault="002F4398" w:rsidP="00CE4C3F">
      <w:pPr>
        <w:spacing w:line="480" w:lineRule="auto"/>
        <w:rPr>
          <w:lang w:val="en-ZA"/>
        </w:rPr>
      </w:pPr>
    </w:p>
    <w:p w14:paraId="4F1DF48F" w14:textId="77777777" w:rsidR="002F4398" w:rsidRPr="00015944" w:rsidRDefault="00D07F03" w:rsidP="0012632C">
      <w:pPr>
        <w:tabs>
          <w:tab w:val="right" w:pos="8222"/>
        </w:tabs>
        <w:spacing w:line="360" w:lineRule="auto"/>
        <w:rPr>
          <w:lang w:val="en-ZA"/>
        </w:rPr>
      </w:pPr>
      <w:r>
        <w:rPr>
          <w:b/>
          <w:lang w:val="en-ZA"/>
        </w:rPr>
        <w:t>SINDISWA ALMEIDA PETER</w:t>
      </w:r>
      <w:r w:rsidR="00A74F99" w:rsidRPr="00015944">
        <w:rPr>
          <w:b/>
          <w:lang w:val="en-ZA"/>
        </w:rPr>
        <w:tab/>
      </w:r>
      <w:r>
        <w:rPr>
          <w:lang w:val="en-ZA"/>
        </w:rPr>
        <w:t>Applicant</w:t>
      </w:r>
    </w:p>
    <w:p w14:paraId="4B3BE352" w14:textId="77777777" w:rsidR="001F27D6" w:rsidRPr="00015944" w:rsidRDefault="001F27D6" w:rsidP="0012632C">
      <w:pPr>
        <w:tabs>
          <w:tab w:val="right" w:pos="8222"/>
        </w:tabs>
        <w:spacing w:line="360" w:lineRule="auto"/>
        <w:rPr>
          <w:lang w:val="en-ZA"/>
        </w:rPr>
      </w:pPr>
    </w:p>
    <w:p w14:paraId="538CA4AB" w14:textId="77777777" w:rsidR="00A74F99" w:rsidRPr="00015944" w:rsidRDefault="00A74F99" w:rsidP="0012632C">
      <w:pPr>
        <w:tabs>
          <w:tab w:val="right" w:pos="8222"/>
        </w:tabs>
        <w:spacing w:line="360" w:lineRule="auto"/>
        <w:rPr>
          <w:lang w:val="en-ZA"/>
        </w:rPr>
      </w:pPr>
      <w:r w:rsidRPr="00015944">
        <w:rPr>
          <w:lang w:val="en-ZA"/>
        </w:rPr>
        <w:t>and</w:t>
      </w:r>
    </w:p>
    <w:p w14:paraId="559612D4" w14:textId="77777777" w:rsidR="00A74F99" w:rsidRPr="00015944" w:rsidRDefault="00A74F99" w:rsidP="0012632C">
      <w:pPr>
        <w:tabs>
          <w:tab w:val="right" w:pos="8222"/>
        </w:tabs>
        <w:spacing w:line="360" w:lineRule="auto"/>
        <w:rPr>
          <w:lang w:val="en-ZA"/>
        </w:rPr>
      </w:pPr>
    </w:p>
    <w:p w14:paraId="795D3FA1" w14:textId="77777777" w:rsidR="00D07F03" w:rsidRDefault="00D07F03" w:rsidP="0012632C">
      <w:pPr>
        <w:tabs>
          <w:tab w:val="right" w:pos="8222"/>
        </w:tabs>
        <w:spacing w:line="360" w:lineRule="auto"/>
        <w:rPr>
          <w:b/>
          <w:lang w:val="en-ZA"/>
        </w:rPr>
      </w:pPr>
      <w:r>
        <w:rPr>
          <w:b/>
          <w:lang w:val="en-ZA"/>
        </w:rPr>
        <w:t>THE MEMBER OF THE EXECUTIVE COUNCIL,</w:t>
      </w:r>
    </w:p>
    <w:p w14:paraId="095F03EB" w14:textId="77777777" w:rsidR="00A74F99" w:rsidRDefault="00D07F03" w:rsidP="0012632C">
      <w:pPr>
        <w:tabs>
          <w:tab w:val="right" w:pos="8222"/>
        </w:tabs>
        <w:spacing w:line="360" w:lineRule="auto"/>
        <w:rPr>
          <w:lang w:val="en-ZA"/>
        </w:rPr>
      </w:pPr>
      <w:r>
        <w:rPr>
          <w:b/>
          <w:lang w:val="en-ZA"/>
        </w:rPr>
        <w:t>DEPARTMENT OF HEALTH, EASTERN CAPE</w:t>
      </w:r>
      <w:r w:rsidR="00A74F99" w:rsidRPr="00015944">
        <w:rPr>
          <w:b/>
          <w:lang w:val="en-ZA"/>
        </w:rPr>
        <w:tab/>
      </w:r>
      <w:r>
        <w:rPr>
          <w:lang w:val="en-ZA"/>
        </w:rPr>
        <w:t>First Respondent</w:t>
      </w:r>
    </w:p>
    <w:p w14:paraId="1D260EBD" w14:textId="77777777" w:rsidR="00D07F03" w:rsidRDefault="00D07F03" w:rsidP="0012632C">
      <w:pPr>
        <w:tabs>
          <w:tab w:val="right" w:pos="8222"/>
        </w:tabs>
        <w:spacing w:line="360" w:lineRule="auto"/>
        <w:rPr>
          <w:lang w:val="en-ZA"/>
        </w:rPr>
      </w:pPr>
    </w:p>
    <w:p w14:paraId="58101D42" w14:textId="77777777" w:rsidR="00D07F03" w:rsidRDefault="00D07F03" w:rsidP="0012632C">
      <w:pPr>
        <w:tabs>
          <w:tab w:val="right" w:pos="8222"/>
        </w:tabs>
        <w:spacing w:line="360" w:lineRule="auto"/>
        <w:rPr>
          <w:b/>
          <w:lang w:val="en-ZA"/>
        </w:rPr>
      </w:pPr>
      <w:r>
        <w:rPr>
          <w:b/>
          <w:lang w:val="en-ZA"/>
        </w:rPr>
        <w:t>THE HEAD OF DEPARTMENT, DEPARTMENT</w:t>
      </w:r>
    </w:p>
    <w:p w14:paraId="7D3F5A72" w14:textId="77777777" w:rsidR="00D07F03" w:rsidRPr="00D07F03" w:rsidRDefault="00D07F03" w:rsidP="0012632C">
      <w:pPr>
        <w:tabs>
          <w:tab w:val="right" w:pos="8222"/>
        </w:tabs>
        <w:spacing w:line="360" w:lineRule="auto"/>
        <w:rPr>
          <w:lang w:val="en-ZA"/>
        </w:rPr>
      </w:pPr>
      <w:r>
        <w:rPr>
          <w:b/>
          <w:lang w:val="en-ZA"/>
        </w:rPr>
        <w:t>OF HEALTH, EASTERN CAPE</w:t>
      </w:r>
      <w:r>
        <w:rPr>
          <w:b/>
          <w:lang w:val="en-ZA"/>
        </w:rPr>
        <w:tab/>
      </w:r>
      <w:r>
        <w:rPr>
          <w:lang w:val="en-ZA"/>
        </w:rPr>
        <w:t xml:space="preserve">Second Respondent </w:t>
      </w:r>
    </w:p>
    <w:p w14:paraId="2ACAD354" w14:textId="77777777" w:rsidR="002F4398" w:rsidRPr="00015944" w:rsidRDefault="002F4398" w:rsidP="002F4398">
      <w:pPr>
        <w:tabs>
          <w:tab w:val="right" w:pos="8280"/>
        </w:tabs>
        <w:rPr>
          <w:lang w:val="en-ZA"/>
        </w:rPr>
      </w:pPr>
      <w:r w:rsidRPr="00015944">
        <w:rPr>
          <w:lang w:val="en-ZA"/>
        </w:rPr>
        <w:t xml:space="preserve">______________________________________________________________ </w:t>
      </w:r>
    </w:p>
    <w:p w14:paraId="4219FACF" w14:textId="77777777" w:rsidR="002F4398" w:rsidRPr="00015944" w:rsidRDefault="002F4398" w:rsidP="002F4398">
      <w:pPr>
        <w:tabs>
          <w:tab w:val="right" w:pos="8280"/>
        </w:tabs>
        <w:rPr>
          <w:lang w:val="en-ZA"/>
        </w:rPr>
      </w:pPr>
    </w:p>
    <w:p w14:paraId="79B7B801" w14:textId="77777777" w:rsidR="002F4398" w:rsidRPr="00015944" w:rsidRDefault="002F4398" w:rsidP="002F4398">
      <w:pPr>
        <w:tabs>
          <w:tab w:val="right" w:pos="8280"/>
        </w:tabs>
        <w:jc w:val="center"/>
        <w:rPr>
          <w:lang w:val="en-ZA"/>
        </w:rPr>
      </w:pPr>
      <w:r w:rsidRPr="00015944">
        <w:rPr>
          <w:b/>
          <w:lang w:val="en-ZA"/>
        </w:rPr>
        <w:t>J U D G M E N T</w:t>
      </w:r>
    </w:p>
    <w:p w14:paraId="181AF248" w14:textId="77777777" w:rsidR="002F4398" w:rsidRPr="00015944" w:rsidRDefault="002F4398" w:rsidP="002F4398">
      <w:pPr>
        <w:tabs>
          <w:tab w:val="right" w:pos="8280"/>
        </w:tabs>
        <w:rPr>
          <w:lang w:val="en-ZA"/>
        </w:rPr>
      </w:pPr>
      <w:r w:rsidRPr="00015944">
        <w:rPr>
          <w:lang w:val="en-ZA"/>
        </w:rPr>
        <w:t xml:space="preserve">______________________________________________________________ </w:t>
      </w:r>
    </w:p>
    <w:p w14:paraId="5CCD67A1" w14:textId="77777777" w:rsidR="00DA564D" w:rsidRPr="00015944" w:rsidRDefault="00615DE5" w:rsidP="00D67B23">
      <w:pPr>
        <w:tabs>
          <w:tab w:val="right" w:pos="8280"/>
        </w:tabs>
        <w:spacing w:before="480" w:line="480" w:lineRule="auto"/>
        <w:rPr>
          <w:b/>
          <w:lang w:val="en-ZA"/>
        </w:rPr>
      </w:pPr>
      <w:r>
        <w:rPr>
          <w:b/>
          <w:lang w:val="en-ZA"/>
        </w:rPr>
        <w:t>DREYER</w:t>
      </w:r>
      <w:r w:rsidR="00D67B23" w:rsidRPr="00015944">
        <w:rPr>
          <w:b/>
          <w:lang w:val="en-ZA"/>
        </w:rPr>
        <w:t xml:space="preserve"> AJ</w:t>
      </w:r>
    </w:p>
    <w:p w14:paraId="4F0D8386" w14:textId="671D9EAF" w:rsidR="00015944" w:rsidRPr="007C17E8" w:rsidRDefault="007C17E8" w:rsidP="007C17E8">
      <w:pPr>
        <w:tabs>
          <w:tab w:val="left" w:pos="851"/>
          <w:tab w:val="right" w:pos="8280"/>
        </w:tabs>
        <w:spacing w:before="480" w:line="480" w:lineRule="auto"/>
        <w:ind w:left="851" w:hanging="851"/>
        <w:rPr>
          <w:lang w:val="en-ZA"/>
        </w:rPr>
      </w:pPr>
      <w:r>
        <w:rPr>
          <w:lang w:val="en-ZA"/>
        </w:rPr>
        <w:t>[1]</w:t>
      </w:r>
      <w:r>
        <w:rPr>
          <w:lang w:val="en-ZA"/>
        </w:rPr>
        <w:tab/>
      </w:r>
      <w:r w:rsidR="00EF39DB" w:rsidRPr="007C17E8">
        <w:rPr>
          <w:lang w:val="en-ZA"/>
        </w:rPr>
        <w:t xml:space="preserve">The Department of Health, Eastern Cape terminated the applicant’s, </w:t>
      </w:r>
      <w:proofErr w:type="spellStart"/>
      <w:r w:rsidR="00EF39DB" w:rsidRPr="007C17E8">
        <w:rPr>
          <w:lang w:val="en-ZA"/>
        </w:rPr>
        <w:t>Sindiswa</w:t>
      </w:r>
      <w:proofErr w:type="spellEnd"/>
      <w:r w:rsidR="00EF39DB" w:rsidRPr="007C17E8">
        <w:rPr>
          <w:lang w:val="en-ZA"/>
        </w:rPr>
        <w:t xml:space="preserve"> Almeida Peter</w:t>
      </w:r>
      <w:r w:rsidR="00A61F6D" w:rsidRPr="007C17E8">
        <w:rPr>
          <w:lang w:val="en-ZA"/>
        </w:rPr>
        <w:t xml:space="preserve"> (“Peter”)</w:t>
      </w:r>
      <w:r w:rsidR="00EF39DB" w:rsidRPr="007C17E8">
        <w:rPr>
          <w:lang w:val="en-ZA"/>
        </w:rPr>
        <w:t xml:space="preserve">, employment </w:t>
      </w:r>
      <w:r w:rsidR="00B32035" w:rsidRPr="007C17E8">
        <w:rPr>
          <w:lang w:val="en-ZA"/>
        </w:rPr>
        <w:t>in 1998</w:t>
      </w:r>
      <w:r w:rsidR="00C20320" w:rsidRPr="007C17E8">
        <w:rPr>
          <w:lang w:val="en-ZA"/>
        </w:rPr>
        <w:t xml:space="preserve">.  </w:t>
      </w:r>
      <w:r w:rsidR="00EF39DB" w:rsidRPr="007C17E8">
        <w:rPr>
          <w:lang w:val="en-ZA"/>
        </w:rPr>
        <w:t xml:space="preserve">After initially </w:t>
      </w:r>
      <w:r w:rsidR="00EF39DB" w:rsidRPr="007C17E8">
        <w:rPr>
          <w:lang w:val="en-ZA"/>
        </w:rPr>
        <w:lastRenderedPageBreak/>
        <w:t>disputing the fairness of her termination, Peter accepted</w:t>
      </w:r>
      <w:r w:rsidR="00B32035" w:rsidRPr="007C17E8">
        <w:rPr>
          <w:lang w:val="en-ZA"/>
        </w:rPr>
        <w:t xml:space="preserve"> the decision of the</w:t>
      </w:r>
      <w:r w:rsidR="00C20320" w:rsidRPr="007C17E8">
        <w:rPr>
          <w:lang w:val="en-ZA"/>
        </w:rPr>
        <w:t xml:space="preserve"> </w:t>
      </w:r>
      <w:r w:rsidR="005515C9" w:rsidRPr="007C17E8">
        <w:rPr>
          <w:lang w:val="en-ZA"/>
        </w:rPr>
        <w:t xml:space="preserve">Public Health and Welfare Sector </w:t>
      </w:r>
      <w:r w:rsidR="00B32035" w:rsidRPr="007C17E8">
        <w:rPr>
          <w:lang w:val="en-ZA"/>
        </w:rPr>
        <w:t>Bargaining Council on 8 April 2001</w:t>
      </w:r>
      <w:r w:rsidR="005515C9" w:rsidRPr="007C17E8">
        <w:rPr>
          <w:lang w:val="en-ZA"/>
        </w:rPr>
        <w:t>, confirming the fairness of her dismissal.</w:t>
      </w:r>
      <w:r w:rsidR="00B32035" w:rsidRPr="007C17E8">
        <w:rPr>
          <w:lang w:val="en-ZA"/>
        </w:rPr>
        <w:t>.</w:t>
      </w:r>
      <w:r w:rsidR="00C20320" w:rsidRPr="007C17E8">
        <w:rPr>
          <w:lang w:val="en-ZA"/>
        </w:rPr>
        <w:t xml:space="preserve">.  </w:t>
      </w:r>
    </w:p>
    <w:p w14:paraId="547B8511" w14:textId="40C326BC" w:rsidR="00EF39DB" w:rsidRPr="007C17E8" w:rsidRDefault="007C17E8" w:rsidP="007C17E8">
      <w:pPr>
        <w:tabs>
          <w:tab w:val="left" w:pos="851"/>
          <w:tab w:val="right" w:pos="8280"/>
        </w:tabs>
        <w:spacing w:before="480" w:line="480" w:lineRule="auto"/>
        <w:ind w:left="851" w:hanging="851"/>
        <w:rPr>
          <w:lang w:val="en-ZA"/>
        </w:rPr>
      </w:pPr>
      <w:r>
        <w:rPr>
          <w:lang w:val="en-ZA"/>
        </w:rPr>
        <w:t>[2]</w:t>
      </w:r>
      <w:r>
        <w:rPr>
          <w:lang w:val="en-ZA"/>
        </w:rPr>
        <w:tab/>
      </w:r>
      <w:r w:rsidR="00EF39DB" w:rsidRPr="007C17E8">
        <w:rPr>
          <w:lang w:val="en-ZA"/>
        </w:rPr>
        <w:t xml:space="preserve">The Department of Health did not submit the requisite Government Employees’ Pension Fund (“the GEPF”) to facilitate </w:t>
      </w:r>
      <w:r w:rsidR="00A61F6D" w:rsidRPr="007C17E8">
        <w:rPr>
          <w:lang w:val="en-ZA"/>
        </w:rPr>
        <w:t>Peter’s election that she be paid out her pension benefits on the termination of her employment</w:t>
      </w:r>
      <w:r w:rsidR="00C20320" w:rsidRPr="007C17E8">
        <w:rPr>
          <w:lang w:val="en-ZA"/>
        </w:rPr>
        <w:t xml:space="preserve">.  </w:t>
      </w:r>
    </w:p>
    <w:p w14:paraId="21ACD1C4" w14:textId="71E4A379" w:rsidR="00A61F6D" w:rsidRPr="007C17E8" w:rsidRDefault="007C17E8" w:rsidP="007C17E8">
      <w:pPr>
        <w:tabs>
          <w:tab w:val="left" w:pos="851"/>
          <w:tab w:val="right" w:pos="8280"/>
        </w:tabs>
        <w:spacing w:before="480" w:line="480" w:lineRule="auto"/>
        <w:ind w:left="851" w:hanging="851"/>
        <w:rPr>
          <w:lang w:val="en-ZA"/>
        </w:rPr>
      </w:pPr>
      <w:r>
        <w:rPr>
          <w:lang w:val="en-ZA"/>
        </w:rPr>
        <w:t>[3]</w:t>
      </w:r>
      <w:r>
        <w:rPr>
          <w:lang w:val="en-ZA"/>
        </w:rPr>
        <w:tab/>
      </w:r>
      <w:r w:rsidR="00A61F6D" w:rsidRPr="007C17E8">
        <w:rPr>
          <w:lang w:val="en-ZA"/>
        </w:rPr>
        <w:t>In 2003, Peter instituted review proceedings that the</w:t>
      </w:r>
      <w:r w:rsidR="00B32035" w:rsidRPr="007C17E8">
        <w:rPr>
          <w:lang w:val="en-ZA"/>
        </w:rPr>
        <w:t xml:space="preserve"> failure by the</w:t>
      </w:r>
      <w:r w:rsidR="00A61F6D" w:rsidRPr="007C17E8">
        <w:rPr>
          <w:lang w:val="en-ZA"/>
        </w:rPr>
        <w:t xml:space="preserve"> then Member of the Executive Council for </w:t>
      </w:r>
      <w:r w:rsidR="00E20DAE" w:rsidRPr="007C17E8">
        <w:rPr>
          <w:lang w:val="en-ZA"/>
        </w:rPr>
        <w:t>Health’s (“the MEC Health”), Mr </w:t>
      </w:r>
      <w:r w:rsidR="00A61F6D" w:rsidRPr="007C17E8">
        <w:rPr>
          <w:lang w:val="en-ZA"/>
        </w:rPr>
        <w:t xml:space="preserve">Bevan </w:t>
      </w:r>
      <w:proofErr w:type="spellStart"/>
      <w:r w:rsidR="00A61F6D" w:rsidRPr="007C17E8">
        <w:rPr>
          <w:lang w:val="en-ZA"/>
        </w:rPr>
        <w:t>Goqwani</w:t>
      </w:r>
      <w:proofErr w:type="spellEnd"/>
      <w:r w:rsidR="00A61F6D" w:rsidRPr="007C17E8">
        <w:rPr>
          <w:lang w:val="en-ZA"/>
        </w:rPr>
        <w:t xml:space="preserve">, to furnish the GEPF with the relevant documents to </w:t>
      </w:r>
      <w:r w:rsidR="00B32035" w:rsidRPr="007C17E8">
        <w:rPr>
          <w:lang w:val="en-ZA"/>
        </w:rPr>
        <w:t>facilitate</w:t>
      </w:r>
      <w:r w:rsidR="00A61F6D" w:rsidRPr="007C17E8">
        <w:rPr>
          <w:lang w:val="en-ZA"/>
        </w:rPr>
        <w:t xml:space="preserve"> the payment of Peter’s pension monies, was reviewed and set aside.</w:t>
      </w:r>
    </w:p>
    <w:p w14:paraId="7DF817F4" w14:textId="487BB8F2" w:rsidR="00AE00ED" w:rsidRPr="007C17E8" w:rsidRDefault="007C17E8" w:rsidP="007C17E8">
      <w:pPr>
        <w:tabs>
          <w:tab w:val="left" w:pos="851"/>
          <w:tab w:val="right" w:pos="8280"/>
        </w:tabs>
        <w:spacing w:before="480" w:line="480" w:lineRule="auto"/>
        <w:ind w:left="851" w:hanging="851"/>
        <w:rPr>
          <w:lang w:val="en-ZA"/>
        </w:rPr>
      </w:pPr>
      <w:r>
        <w:rPr>
          <w:lang w:val="en-ZA"/>
        </w:rPr>
        <w:t>[4]</w:t>
      </w:r>
      <w:r>
        <w:rPr>
          <w:lang w:val="en-ZA"/>
        </w:rPr>
        <w:tab/>
      </w:r>
      <w:r w:rsidR="00AE00ED" w:rsidRPr="007C17E8">
        <w:rPr>
          <w:lang w:val="en-ZA"/>
        </w:rPr>
        <w:t>On 5 February 2004, this Court, per Judge Van Zyl (as he then was), granted an order</w:t>
      </w:r>
      <w:r w:rsidR="005515C9" w:rsidRPr="007C17E8">
        <w:rPr>
          <w:lang w:val="en-ZA"/>
        </w:rPr>
        <w:t xml:space="preserve"> (“the 2004 </w:t>
      </w:r>
      <w:r w:rsidR="003D2B52" w:rsidRPr="007C17E8">
        <w:rPr>
          <w:lang w:val="en-ZA"/>
        </w:rPr>
        <w:t>O</w:t>
      </w:r>
      <w:r w:rsidR="005515C9" w:rsidRPr="007C17E8">
        <w:rPr>
          <w:lang w:val="en-ZA"/>
        </w:rPr>
        <w:t>rder”)</w:t>
      </w:r>
      <w:r w:rsidR="00AE00ED" w:rsidRPr="007C17E8">
        <w:rPr>
          <w:lang w:val="en-ZA"/>
        </w:rPr>
        <w:t xml:space="preserve"> that:</w:t>
      </w:r>
    </w:p>
    <w:p w14:paraId="31BBDDFB" w14:textId="77777777" w:rsidR="00AE00ED" w:rsidRDefault="00AE00ED" w:rsidP="00AE00ED">
      <w:pPr>
        <w:pStyle w:val="ListParagraph"/>
        <w:tabs>
          <w:tab w:val="left" w:pos="1985"/>
          <w:tab w:val="right" w:pos="8280"/>
        </w:tabs>
        <w:spacing w:before="360" w:line="360" w:lineRule="auto"/>
        <w:ind w:left="1985" w:hanging="567"/>
        <w:contextualSpacing w:val="0"/>
        <w:rPr>
          <w:i/>
          <w:lang w:val="en-ZA"/>
        </w:rPr>
      </w:pPr>
      <w:r>
        <w:rPr>
          <w:lang w:val="en-ZA"/>
        </w:rPr>
        <w:t>“</w:t>
      </w:r>
      <w:r>
        <w:rPr>
          <w:i/>
          <w:lang w:val="en-ZA"/>
        </w:rPr>
        <w:t>1.</w:t>
      </w:r>
      <w:r>
        <w:rPr>
          <w:i/>
          <w:lang w:val="en-ZA"/>
        </w:rPr>
        <w:tab/>
        <w:t>The respondent’s administrative action in failing to furnish the Government Employees Pension Fund and the relevant documents necessary to procure the payment of the applicant’s pension monies in terms of the Government Employees Pension Law, is directed to be reviewed.</w:t>
      </w:r>
    </w:p>
    <w:p w14:paraId="0F3FC738" w14:textId="77777777" w:rsidR="00AE00ED" w:rsidRDefault="00AE00ED" w:rsidP="00AE00ED">
      <w:pPr>
        <w:pStyle w:val="ListParagraph"/>
        <w:tabs>
          <w:tab w:val="left" w:pos="1985"/>
          <w:tab w:val="right" w:pos="8280"/>
        </w:tabs>
        <w:spacing w:before="360" w:line="360" w:lineRule="auto"/>
        <w:ind w:left="1985" w:hanging="567"/>
        <w:contextualSpacing w:val="0"/>
        <w:rPr>
          <w:i/>
          <w:lang w:val="en-ZA"/>
        </w:rPr>
      </w:pPr>
      <w:r>
        <w:rPr>
          <w:i/>
          <w:lang w:val="en-ZA"/>
        </w:rPr>
        <w:t>2.</w:t>
      </w:r>
      <w:r>
        <w:rPr>
          <w:i/>
          <w:lang w:val="en-ZA"/>
        </w:rPr>
        <w:tab/>
        <w:t>The respondent is directed to furnish the Government Employees Pension Fund such documentation as may be necessary so as to procure the payment of the applicant’s pension monies.</w:t>
      </w:r>
    </w:p>
    <w:p w14:paraId="1CCA6B70" w14:textId="77777777" w:rsidR="00AE00ED" w:rsidRPr="00AE00ED" w:rsidRDefault="00AE00ED" w:rsidP="00AE00ED">
      <w:pPr>
        <w:pStyle w:val="ListParagraph"/>
        <w:tabs>
          <w:tab w:val="left" w:pos="1985"/>
          <w:tab w:val="right" w:pos="8280"/>
        </w:tabs>
        <w:spacing w:before="360" w:line="360" w:lineRule="auto"/>
        <w:ind w:left="1985" w:hanging="567"/>
        <w:contextualSpacing w:val="0"/>
        <w:rPr>
          <w:lang w:val="en-ZA"/>
        </w:rPr>
      </w:pPr>
      <w:r>
        <w:rPr>
          <w:i/>
          <w:lang w:val="en-ZA"/>
        </w:rPr>
        <w:lastRenderedPageBreak/>
        <w:t>3.</w:t>
      </w:r>
      <w:r>
        <w:rPr>
          <w:i/>
          <w:lang w:val="en-ZA"/>
        </w:rPr>
        <w:tab/>
        <w:t>The respondent is directed to pay the applicant, interest on the applicant’s pension monies which may become due, owing and payable to her by the Government Employees Pension Fund at the legal rate of 15.5% calculated as from 1 December 1998 capitalised annually to date of payment.</w:t>
      </w:r>
      <w:r>
        <w:rPr>
          <w:lang w:val="en-ZA"/>
        </w:rPr>
        <w:t>”</w:t>
      </w:r>
    </w:p>
    <w:p w14:paraId="48AECB20" w14:textId="2E092C5F" w:rsidR="00D63098" w:rsidRPr="007C17E8" w:rsidRDefault="007C17E8" w:rsidP="007C17E8">
      <w:pPr>
        <w:tabs>
          <w:tab w:val="left" w:pos="851"/>
          <w:tab w:val="right" w:pos="8280"/>
        </w:tabs>
        <w:spacing w:before="480" w:line="480" w:lineRule="auto"/>
        <w:ind w:left="851" w:hanging="851"/>
        <w:rPr>
          <w:lang w:val="en-ZA"/>
        </w:rPr>
      </w:pPr>
      <w:r>
        <w:rPr>
          <w:lang w:val="en-ZA"/>
        </w:rPr>
        <w:t>[5]</w:t>
      </w:r>
      <w:r>
        <w:rPr>
          <w:lang w:val="en-ZA"/>
        </w:rPr>
        <w:tab/>
      </w:r>
      <w:r w:rsidR="00AE00ED" w:rsidRPr="007C17E8">
        <w:rPr>
          <w:lang w:val="en-ZA"/>
        </w:rPr>
        <w:t>On 1 October 2005, Peter received the capital portion of her pension monies due to her in the sum of R18 372.81</w:t>
      </w:r>
      <w:r w:rsidR="00C20320" w:rsidRPr="007C17E8">
        <w:rPr>
          <w:lang w:val="en-ZA"/>
        </w:rPr>
        <w:t xml:space="preserve">.  </w:t>
      </w:r>
      <w:r w:rsidR="00AE00ED" w:rsidRPr="007C17E8">
        <w:rPr>
          <w:lang w:val="en-ZA"/>
        </w:rPr>
        <w:t>The MEC Health,</w:t>
      </w:r>
      <w:r w:rsidR="00C20320" w:rsidRPr="007C17E8">
        <w:rPr>
          <w:lang w:val="en-ZA"/>
        </w:rPr>
        <w:t xml:space="preserve"> </w:t>
      </w:r>
      <w:r w:rsidR="00AE00ED" w:rsidRPr="007C17E8">
        <w:rPr>
          <w:lang w:val="en-ZA"/>
        </w:rPr>
        <w:t xml:space="preserve">did not pay interest on Peter’s pension monies as required in paragraph 3 of the </w:t>
      </w:r>
      <w:r w:rsidR="005515C9" w:rsidRPr="007C17E8">
        <w:rPr>
          <w:lang w:val="en-ZA"/>
        </w:rPr>
        <w:t xml:space="preserve">2004 </w:t>
      </w:r>
      <w:r w:rsidR="003D2B52" w:rsidRPr="007C17E8">
        <w:rPr>
          <w:lang w:val="en-ZA"/>
        </w:rPr>
        <w:t>O</w:t>
      </w:r>
      <w:r w:rsidR="00AE00ED" w:rsidRPr="007C17E8">
        <w:rPr>
          <w:lang w:val="en-ZA"/>
        </w:rPr>
        <w:t>rder</w:t>
      </w:r>
      <w:r w:rsidR="00D63098" w:rsidRPr="007C17E8">
        <w:rPr>
          <w:lang w:val="en-ZA"/>
        </w:rPr>
        <w:t>.</w:t>
      </w:r>
    </w:p>
    <w:p w14:paraId="3A00BF2F" w14:textId="45691FF9" w:rsidR="00AE00ED" w:rsidRPr="007C17E8" w:rsidRDefault="007C17E8" w:rsidP="007C17E8">
      <w:pPr>
        <w:tabs>
          <w:tab w:val="left" w:pos="851"/>
          <w:tab w:val="right" w:pos="8280"/>
        </w:tabs>
        <w:spacing w:before="480" w:line="480" w:lineRule="auto"/>
        <w:ind w:left="851" w:hanging="851"/>
        <w:rPr>
          <w:lang w:val="en-ZA"/>
        </w:rPr>
      </w:pPr>
      <w:r w:rsidRPr="00D63098">
        <w:rPr>
          <w:lang w:val="en-ZA"/>
        </w:rPr>
        <w:t>[6]</w:t>
      </w:r>
      <w:r w:rsidRPr="00D63098">
        <w:rPr>
          <w:lang w:val="en-ZA"/>
        </w:rPr>
        <w:tab/>
      </w:r>
      <w:r w:rsidR="00AE00ED" w:rsidRPr="007C17E8">
        <w:rPr>
          <w:lang w:val="en-ZA"/>
        </w:rPr>
        <w:t xml:space="preserve">The MEC </w:t>
      </w:r>
      <w:r w:rsidR="004A05B5" w:rsidRPr="007C17E8">
        <w:rPr>
          <w:lang w:val="en-ZA"/>
        </w:rPr>
        <w:t>He</w:t>
      </w:r>
      <w:r w:rsidR="00AE00ED" w:rsidRPr="007C17E8">
        <w:rPr>
          <w:lang w:val="en-ZA"/>
        </w:rPr>
        <w:t>alth</w:t>
      </w:r>
      <w:r w:rsidR="004A05B5" w:rsidRPr="007C17E8">
        <w:rPr>
          <w:lang w:val="en-ZA"/>
        </w:rPr>
        <w:t>’s</w:t>
      </w:r>
      <w:r w:rsidR="00AE00ED" w:rsidRPr="007C17E8">
        <w:rPr>
          <w:lang w:val="en-ZA"/>
        </w:rPr>
        <w:t>, failure to pay the accrued interest resulted in further litigation</w:t>
      </w:r>
      <w:r w:rsidR="00C20320" w:rsidRPr="007C17E8">
        <w:rPr>
          <w:lang w:val="en-ZA"/>
        </w:rPr>
        <w:t xml:space="preserve">.  </w:t>
      </w:r>
      <w:r w:rsidR="00AE00ED" w:rsidRPr="007C17E8">
        <w:rPr>
          <w:lang w:val="en-ZA"/>
        </w:rPr>
        <w:t xml:space="preserve">On 4 December 2018, Acting Judge </w:t>
      </w:r>
      <w:proofErr w:type="spellStart"/>
      <w:r w:rsidR="00AE00ED" w:rsidRPr="007C17E8">
        <w:rPr>
          <w:lang w:val="en-ZA"/>
        </w:rPr>
        <w:t>Nqumse</w:t>
      </w:r>
      <w:proofErr w:type="spellEnd"/>
      <w:r w:rsidR="00AE00ED" w:rsidRPr="007C17E8">
        <w:rPr>
          <w:lang w:val="en-ZA"/>
        </w:rPr>
        <w:t xml:space="preserve"> granted a</w:t>
      </w:r>
      <w:r w:rsidR="005515C9" w:rsidRPr="007C17E8">
        <w:rPr>
          <w:lang w:val="en-ZA"/>
        </w:rPr>
        <w:t xml:space="preserve"> further</w:t>
      </w:r>
      <w:r w:rsidR="00AE00ED" w:rsidRPr="007C17E8">
        <w:rPr>
          <w:lang w:val="en-ZA"/>
        </w:rPr>
        <w:t xml:space="preserve"> order</w:t>
      </w:r>
      <w:r w:rsidR="005515C9" w:rsidRPr="007C17E8">
        <w:rPr>
          <w:lang w:val="en-ZA"/>
        </w:rPr>
        <w:t xml:space="preserve"> (“the 2018 </w:t>
      </w:r>
      <w:r w:rsidR="003D2B52" w:rsidRPr="007C17E8">
        <w:rPr>
          <w:lang w:val="en-ZA"/>
        </w:rPr>
        <w:t>O</w:t>
      </w:r>
      <w:r w:rsidR="005515C9" w:rsidRPr="007C17E8">
        <w:rPr>
          <w:lang w:val="en-ZA"/>
        </w:rPr>
        <w:t>rder”)</w:t>
      </w:r>
      <w:r w:rsidR="00C20320" w:rsidRPr="007C17E8">
        <w:rPr>
          <w:lang w:val="en-ZA"/>
        </w:rPr>
        <w:t xml:space="preserve">.  </w:t>
      </w:r>
      <w:r w:rsidR="00D63098" w:rsidRPr="007C17E8">
        <w:rPr>
          <w:lang w:val="en-ZA"/>
        </w:rPr>
        <w:t>The incumb</w:t>
      </w:r>
      <w:r w:rsidR="003D2B52" w:rsidRPr="007C17E8">
        <w:rPr>
          <w:lang w:val="en-ZA"/>
        </w:rPr>
        <w:t>e</w:t>
      </w:r>
      <w:r w:rsidR="00D63098" w:rsidRPr="007C17E8">
        <w:rPr>
          <w:lang w:val="en-ZA"/>
        </w:rPr>
        <w:t xml:space="preserve">nts </w:t>
      </w:r>
      <w:r w:rsidR="00AE00ED" w:rsidRPr="007C17E8">
        <w:rPr>
          <w:lang w:val="en-ZA"/>
        </w:rPr>
        <w:t xml:space="preserve">Helen </w:t>
      </w:r>
      <w:proofErr w:type="spellStart"/>
      <w:r w:rsidR="00AE00ED" w:rsidRPr="007C17E8">
        <w:rPr>
          <w:lang w:val="en-ZA"/>
        </w:rPr>
        <w:t>Sauls</w:t>
      </w:r>
      <w:proofErr w:type="spellEnd"/>
      <w:r w:rsidR="00AE00ED" w:rsidRPr="007C17E8">
        <w:rPr>
          <w:lang w:val="en-ZA"/>
        </w:rPr>
        <w:t xml:space="preserve"> August,</w:t>
      </w:r>
      <w:r w:rsidR="005515C9" w:rsidRPr="007C17E8">
        <w:rPr>
          <w:lang w:val="en-ZA"/>
        </w:rPr>
        <w:t xml:space="preserve"> as MEC Health</w:t>
      </w:r>
      <w:r w:rsidR="00D63098" w:rsidRPr="007C17E8">
        <w:rPr>
          <w:lang w:val="en-ZA"/>
        </w:rPr>
        <w:t xml:space="preserve"> and </w:t>
      </w:r>
      <w:proofErr w:type="spellStart"/>
      <w:r w:rsidR="00AE00ED" w:rsidRPr="007C17E8">
        <w:rPr>
          <w:lang w:val="en-ZA"/>
        </w:rPr>
        <w:t>Thobile</w:t>
      </w:r>
      <w:proofErr w:type="spellEnd"/>
      <w:r w:rsidR="00AE00ED" w:rsidRPr="007C17E8">
        <w:rPr>
          <w:lang w:val="en-ZA"/>
        </w:rPr>
        <w:t xml:space="preserve"> </w:t>
      </w:r>
      <w:proofErr w:type="spellStart"/>
      <w:r w:rsidR="00AE00ED" w:rsidRPr="007C17E8">
        <w:rPr>
          <w:lang w:val="en-ZA"/>
        </w:rPr>
        <w:t>Mbengashe</w:t>
      </w:r>
      <w:proofErr w:type="spellEnd"/>
      <w:r w:rsidR="00D63098" w:rsidRPr="007C17E8">
        <w:rPr>
          <w:lang w:val="en-ZA"/>
        </w:rPr>
        <w:t xml:space="preserve"> </w:t>
      </w:r>
      <w:r w:rsidR="005515C9" w:rsidRPr="007C17E8">
        <w:rPr>
          <w:lang w:val="en-ZA"/>
        </w:rPr>
        <w:t xml:space="preserve">as HOD Health </w:t>
      </w:r>
      <w:r w:rsidR="00D63098" w:rsidRPr="007C17E8">
        <w:rPr>
          <w:lang w:val="en-ZA"/>
        </w:rPr>
        <w:t>were cited</w:t>
      </w:r>
      <w:r w:rsidR="00C20320" w:rsidRPr="007C17E8">
        <w:rPr>
          <w:lang w:val="en-ZA"/>
        </w:rPr>
        <w:t xml:space="preserve"> </w:t>
      </w:r>
      <w:r w:rsidR="00D63098" w:rsidRPr="007C17E8">
        <w:rPr>
          <w:lang w:val="en-ZA"/>
        </w:rPr>
        <w:t xml:space="preserve">both in their representative </w:t>
      </w:r>
      <w:r w:rsidR="005E4B0B" w:rsidRPr="007C17E8">
        <w:rPr>
          <w:lang w:val="en-ZA"/>
        </w:rPr>
        <w:t>capacity</w:t>
      </w:r>
      <w:r w:rsidR="003D2B52" w:rsidRPr="007C17E8">
        <w:rPr>
          <w:lang w:val="en-ZA"/>
        </w:rPr>
        <w:t xml:space="preserve"> and </w:t>
      </w:r>
      <w:r w:rsidR="005E4B0B" w:rsidRPr="007C17E8">
        <w:rPr>
          <w:lang w:val="en-ZA"/>
        </w:rPr>
        <w:t xml:space="preserve">their </w:t>
      </w:r>
      <w:r w:rsidR="003D2B52" w:rsidRPr="007C17E8">
        <w:rPr>
          <w:lang w:val="en-ZA"/>
        </w:rPr>
        <w:t xml:space="preserve">personal </w:t>
      </w:r>
      <w:r w:rsidR="00D63098" w:rsidRPr="007C17E8">
        <w:rPr>
          <w:lang w:val="en-ZA"/>
        </w:rPr>
        <w:t>capacity</w:t>
      </w:r>
      <w:r w:rsidR="00C20320" w:rsidRPr="007C17E8">
        <w:rPr>
          <w:lang w:val="en-ZA"/>
        </w:rPr>
        <w:t xml:space="preserve">.  </w:t>
      </w:r>
      <w:r w:rsidR="00D63098" w:rsidRPr="007C17E8">
        <w:rPr>
          <w:lang w:val="en-ZA"/>
        </w:rPr>
        <w:t>The</w:t>
      </w:r>
      <w:r w:rsidR="005515C9" w:rsidRPr="007C17E8">
        <w:rPr>
          <w:lang w:val="en-ZA"/>
        </w:rPr>
        <w:t xml:space="preserve"> 2018</w:t>
      </w:r>
      <w:r w:rsidR="00D63098" w:rsidRPr="007C17E8">
        <w:rPr>
          <w:lang w:val="en-ZA"/>
        </w:rPr>
        <w:t xml:space="preserve"> order required, </w:t>
      </w:r>
    </w:p>
    <w:p w14:paraId="49B34105" w14:textId="77777777" w:rsidR="00AE00ED" w:rsidRDefault="00AE00ED" w:rsidP="00AE00ED">
      <w:pPr>
        <w:pStyle w:val="ListParagraph"/>
        <w:tabs>
          <w:tab w:val="left" w:pos="1985"/>
          <w:tab w:val="right" w:pos="8280"/>
        </w:tabs>
        <w:spacing w:before="360" w:line="360" w:lineRule="auto"/>
        <w:ind w:left="1985" w:hanging="567"/>
        <w:contextualSpacing w:val="0"/>
        <w:rPr>
          <w:i/>
          <w:lang w:val="en-ZA"/>
        </w:rPr>
      </w:pPr>
      <w:r>
        <w:rPr>
          <w:lang w:val="en-ZA"/>
        </w:rPr>
        <w:t>“</w:t>
      </w:r>
      <w:r>
        <w:rPr>
          <w:i/>
          <w:lang w:val="en-ZA"/>
        </w:rPr>
        <w:t>1.</w:t>
      </w:r>
      <w:r>
        <w:rPr>
          <w:i/>
          <w:lang w:val="en-ZA"/>
        </w:rPr>
        <w:tab/>
        <w:t>The respondents take all administrative steps to ensure that paragraph 3 of the order granted on 5 February 2004 under case 4918/2013 is complied with within 20 days as from this order having been served on the respondents.</w:t>
      </w:r>
    </w:p>
    <w:p w14:paraId="7CD23993" w14:textId="77777777" w:rsidR="00AE00ED" w:rsidRDefault="00AE00ED" w:rsidP="00AE00ED">
      <w:pPr>
        <w:pStyle w:val="ListParagraph"/>
        <w:tabs>
          <w:tab w:val="left" w:pos="1985"/>
          <w:tab w:val="right" w:pos="8280"/>
        </w:tabs>
        <w:spacing w:before="360" w:line="360" w:lineRule="auto"/>
        <w:ind w:left="1985" w:hanging="567"/>
        <w:contextualSpacing w:val="0"/>
        <w:rPr>
          <w:i/>
          <w:lang w:val="en-ZA"/>
        </w:rPr>
      </w:pPr>
      <w:r>
        <w:rPr>
          <w:i/>
          <w:lang w:val="en-ZA"/>
        </w:rPr>
        <w:t>2.</w:t>
      </w:r>
      <w:r>
        <w:rPr>
          <w:i/>
          <w:lang w:val="en-ZA"/>
        </w:rPr>
        <w:tab/>
        <w:t>The respondents deliver a report in writing to the registrar of the court and to the applicant’s attorneys within 20 days of this order having been served on them, of the manner and extent of the respondents’ compliance with the order granted in paragraph 1 above.</w:t>
      </w:r>
    </w:p>
    <w:p w14:paraId="27F7B7A9" w14:textId="77777777" w:rsidR="00AE00ED" w:rsidRPr="000E06B5" w:rsidRDefault="00AE00ED" w:rsidP="00AE00ED">
      <w:pPr>
        <w:pStyle w:val="ListParagraph"/>
        <w:tabs>
          <w:tab w:val="left" w:pos="1985"/>
          <w:tab w:val="right" w:pos="8280"/>
        </w:tabs>
        <w:spacing w:before="360" w:line="360" w:lineRule="auto"/>
        <w:ind w:left="1985" w:hanging="567"/>
        <w:contextualSpacing w:val="0"/>
        <w:rPr>
          <w:lang w:val="en-ZA"/>
        </w:rPr>
      </w:pPr>
      <w:r>
        <w:rPr>
          <w:i/>
          <w:lang w:val="en-ZA"/>
        </w:rPr>
        <w:lastRenderedPageBreak/>
        <w:t>3.</w:t>
      </w:r>
      <w:r>
        <w:rPr>
          <w:i/>
          <w:lang w:val="en-ZA"/>
        </w:rPr>
        <w:tab/>
        <w:t>If the respondents fail to comply with the order</w:t>
      </w:r>
      <w:r w:rsidR="000E06B5">
        <w:rPr>
          <w:i/>
          <w:lang w:val="en-ZA"/>
        </w:rPr>
        <w:t xml:space="preserve"> referred to in paragraphs 1 and 2 above, the applicant is given leave to supplement the notice of motion and founding affidavit and to enrol on reasonable notice to the respondents for a further order or on such further relief as the applicant may seek.</w:t>
      </w:r>
      <w:r w:rsidR="000E06B5">
        <w:rPr>
          <w:lang w:val="en-ZA"/>
        </w:rPr>
        <w:t>”</w:t>
      </w:r>
    </w:p>
    <w:p w14:paraId="654DA097" w14:textId="420B9C48" w:rsidR="00F45DA6" w:rsidRPr="007C17E8" w:rsidRDefault="007C17E8" w:rsidP="007C17E8">
      <w:pPr>
        <w:tabs>
          <w:tab w:val="left" w:pos="851"/>
          <w:tab w:val="right" w:pos="8280"/>
        </w:tabs>
        <w:spacing w:before="480" w:line="480" w:lineRule="auto"/>
        <w:ind w:left="851" w:hanging="851"/>
        <w:rPr>
          <w:lang w:val="en-ZA"/>
        </w:rPr>
      </w:pPr>
      <w:r>
        <w:rPr>
          <w:lang w:val="en-ZA"/>
        </w:rPr>
        <w:t>[7]</w:t>
      </w:r>
      <w:r>
        <w:rPr>
          <w:lang w:val="en-ZA"/>
        </w:rPr>
        <w:tab/>
      </w:r>
      <w:r w:rsidR="000E06B5" w:rsidRPr="007C17E8">
        <w:rPr>
          <w:lang w:val="en-ZA"/>
        </w:rPr>
        <w:t>On 12 March 2021, the Department of Health, through its attorneys of record, the State Attorney, paid Peter the sum of R26 853.61</w:t>
      </w:r>
      <w:r w:rsidR="00C20320" w:rsidRPr="007C17E8">
        <w:rPr>
          <w:lang w:val="en-ZA"/>
        </w:rPr>
        <w:t xml:space="preserve">.  </w:t>
      </w:r>
      <w:r w:rsidR="000E06B5" w:rsidRPr="007C17E8">
        <w:rPr>
          <w:lang w:val="en-ZA"/>
        </w:rPr>
        <w:t>This</w:t>
      </w:r>
      <w:r w:rsidR="00C20320" w:rsidRPr="007C17E8">
        <w:rPr>
          <w:lang w:val="en-ZA"/>
        </w:rPr>
        <w:t xml:space="preserve"> </w:t>
      </w:r>
      <w:r w:rsidR="000E06B5" w:rsidRPr="007C17E8">
        <w:rPr>
          <w:lang w:val="en-ZA"/>
        </w:rPr>
        <w:t>amount</w:t>
      </w:r>
      <w:r w:rsidR="004A05B5" w:rsidRPr="007C17E8">
        <w:rPr>
          <w:lang w:val="en-ZA"/>
        </w:rPr>
        <w:t>,</w:t>
      </w:r>
      <w:r w:rsidR="000E06B5" w:rsidRPr="007C17E8">
        <w:rPr>
          <w:lang w:val="en-ZA"/>
        </w:rPr>
        <w:t xml:space="preserve"> on the Department’s calculation </w:t>
      </w:r>
      <w:r w:rsidR="004A05B5" w:rsidRPr="007C17E8">
        <w:rPr>
          <w:lang w:val="en-ZA"/>
        </w:rPr>
        <w:t xml:space="preserve">fully </w:t>
      </w:r>
      <w:r w:rsidR="000E06B5" w:rsidRPr="007C17E8">
        <w:rPr>
          <w:lang w:val="en-ZA"/>
        </w:rPr>
        <w:t>discharged its indebtedness to Peter in</w:t>
      </w:r>
      <w:r w:rsidR="00C20320" w:rsidRPr="007C17E8">
        <w:rPr>
          <w:lang w:val="en-ZA"/>
        </w:rPr>
        <w:t xml:space="preserve"> </w:t>
      </w:r>
      <w:r w:rsidR="005515C9" w:rsidRPr="007C17E8">
        <w:rPr>
          <w:lang w:val="en-ZA"/>
        </w:rPr>
        <w:t>accordance with the 2004 order</w:t>
      </w:r>
      <w:r w:rsidR="000E06B5" w:rsidRPr="007C17E8">
        <w:rPr>
          <w:lang w:val="en-ZA"/>
        </w:rPr>
        <w:t>.</w:t>
      </w:r>
    </w:p>
    <w:p w14:paraId="6E16A4A8" w14:textId="547B7C47" w:rsidR="000E06B5" w:rsidRPr="007C17E8" w:rsidRDefault="007C17E8" w:rsidP="007C17E8">
      <w:pPr>
        <w:tabs>
          <w:tab w:val="left" w:pos="851"/>
          <w:tab w:val="right" w:pos="8280"/>
        </w:tabs>
        <w:spacing w:before="480" w:line="480" w:lineRule="auto"/>
        <w:ind w:left="851" w:hanging="851"/>
        <w:rPr>
          <w:lang w:val="en-ZA"/>
        </w:rPr>
      </w:pPr>
      <w:r>
        <w:rPr>
          <w:lang w:val="en-ZA"/>
        </w:rPr>
        <w:t>[8]</w:t>
      </w:r>
      <w:r>
        <w:rPr>
          <w:lang w:val="en-ZA"/>
        </w:rPr>
        <w:tab/>
      </w:r>
      <w:r w:rsidR="000E06B5" w:rsidRPr="007C17E8">
        <w:rPr>
          <w:lang w:val="en-ZA"/>
        </w:rPr>
        <w:t xml:space="preserve">On the Department of Health’s calculation, interest was only payable on the capital portion of the pension money from the due date of payment, </w:t>
      </w:r>
      <w:r w:rsidR="005515C9" w:rsidRPr="007C17E8">
        <w:rPr>
          <w:lang w:val="en-ZA"/>
        </w:rPr>
        <w:t>namely</w:t>
      </w:r>
      <w:r w:rsidR="000E06B5" w:rsidRPr="007C17E8">
        <w:rPr>
          <w:lang w:val="en-ZA"/>
        </w:rPr>
        <w:t xml:space="preserve"> 1 December 1998, until the</w:t>
      </w:r>
      <w:r w:rsidR="00C20320" w:rsidRPr="007C17E8">
        <w:rPr>
          <w:lang w:val="en-ZA"/>
        </w:rPr>
        <w:t xml:space="preserve"> </w:t>
      </w:r>
      <w:r w:rsidR="00F541CB" w:rsidRPr="007C17E8">
        <w:rPr>
          <w:lang w:val="en-ZA"/>
        </w:rPr>
        <w:t xml:space="preserve">actual date of </w:t>
      </w:r>
      <w:r w:rsidR="000E06B5" w:rsidRPr="007C17E8">
        <w:rPr>
          <w:lang w:val="en-ZA"/>
        </w:rPr>
        <w:t>payment</w:t>
      </w:r>
      <w:r w:rsidR="00C20320" w:rsidRPr="007C17E8">
        <w:rPr>
          <w:lang w:val="en-ZA"/>
        </w:rPr>
        <w:t xml:space="preserve"> </w:t>
      </w:r>
      <w:r w:rsidR="005515C9" w:rsidRPr="007C17E8">
        <w:rPr>
          <w:lang w:val="en-ZA"/>
        </w:rPr>
        <w:t>namely</w:t>
      </w:r>
      <w:r w:rsidR="00F541CB" w:rsidRPr="007C17E8">
        <w:rPr>
          <w:lang w:val="en-ZA"/>
        </w:rPr>
        <w:t xml:space="preserve"> </w:t>
      </w:r>
      <w:r w:rsidR="000E06B5" w:rsidRPr="007C17E8">
        <w:rPr>
          <w:lang w:val="en-ZA"/>
        </w:rPr>
        <w:t>1 October 2005</w:t>
      </w:r>
      <w:r w:rsidR="00C20320" w:rsidRPr="007C17E8">
        <w:rPr>
          <w:lang w:val="en-ZA"/>
        </w:rPr>
        <w:t xml:space="preserve">.  </w:t>
      </w:r>
    </w:p>
    <w:p w14:paraId="75B7BF22" w14:textId="2A9112B8" w:rsidR="000E06B5" w:rsidRPr="007C17E8" w:rsidRDefault="007C17E8" w:rsidP="007C17E8">
      <w:pPr>
        <w:tabs>
          <w:tab w:val="left" w:pos="851"/>
          <w:tab w:val="right" w:pos="8280"/>
        </w:tabs>
        <w:spacing w:before="480" w:line="480" w:lineRule="auto"/>
        <w:ind w:left="851" w:hanging="851"/>
        <w:rPr>
          <w:lang w:val="en-ZA"/>
        </w:rPr>
      </w:pPr>
      <w:r>
        <w:rPr>
          <w:lang w:val="en-ZA"/>
        </w:rPr>
        <w:t>[9]</w:t>
      </w:r>
      <w:r>
        <w:rPr>
          <w:lang w:val="en-ZA"/>
        </w:rPr>
        <w:tab/>
      </w:r>
      <w:r w:rsidR="000E06B5" w:rsidRPr="007C17E8">
        <w:rPr>
          <w:lang w:val="en-ZA"/>
        </w:rPr>
        <w:t>Peter disagreed that this was the only interest due and payable</w:t>
      </w:r>
      <w:r w:rsidR="00C20320" w:rsidRPr="007C17E8">
        <w:rPr>
          <w:lang w:val="en-ZA"/>
        </w:rPr>
        <w:t xml:space="preserve">.  </w:t>
      </w:r>
      <w:r w:rsidR="000E06B5" w:rsidRPr="007C17E8">
        <w:rPr>
          <w:lang w:val="en-ZA"/>
        </w:rPr>
        <w:t xml:space="preserve">Peter contends that </w:t>
      </w:r>
      <w:r w:rsidR="00264503" w:rsidRPr="007C17E8">
        <w:rPr>
          <w:lang w:val="en-ZA"/>
        </w:rPr>
        <w:t xml:space="preserve">she was due payment of an amount of </w:t>
      </w:r>
      <w:r w:rsidR="000E06B5" w:rsidRPr="007C17E8">
        <w:rPr>
          <w:lang w:val="en-ZA"/>
        </w:rPr>
        <w:t xml:space="preserve">interest </w:t>
      </w:r>
      <w:r w:rsidR="00264503" w:rsidRPr="007C17E8">
        <w:rPr>
          <w:lang w:val="en-ZA"/>
        </w:rPr>
        <w:t xml:space="preserve">calculated </w:t>
      </w:r>
      <w:r w:rsidR="000E06B5" w:rsidRPr="007C17E8">
        <w:rPr>
          <w:lang w:val="en-ZA"/>
        </w:rPr>
        <w:t>from 5 October 2005 until the payment of the interest on 12 March 2021</w:t>
      </w:r>
      <w:r w:rsidR="00C20320" w:rsidRPr="007C17E8">
        <w:rPr>
          <w:lang w:val="en-ZA"/>
        </w:rPr>
        <w:t xml:space="preserve">.  </w:t>
      </w:r>
      <w:r w:rsidR="000E06B5" w:rsidRPr="007C17E8">
        <w:rPr>
          <w:lang w:val="en-ZA"/>
        </w:rPr>
        <w:t>This dispute gives rise to the current proceedings.</w:t>
      </w:r>
    </w:p>
    <w:p w14:paraId="252C702B" w14:textId="3B8D1C89" w:rsidR="000E06B5" w:rsidRPr="007C17E8" w:rsidRDefault="007C17E8" w:rsidP="007C17E8">
      <w:pPr>
        <w:tabs>
          <w:tab w:val="left" w:pos="851"/>
          <w:tab w:val="right" w:pos="8280"/>
        </w:tabs>
        <w:spacing w:before="480" w:line="480" w:lineRule="auto"/>
        <w:ind w:left="851" w:hanging="851"/>
        <w:rPr>
          <w:lang w:val="en-ZA"/>
        </w:rPr>
      </w:pPr>
      <w:r>
        <w:rPr>
          <w:lang w:val="en-ZA"/>
        </w:rPr>
        <w:t>[10]</w:t>
      </w:r>
      <w:r>
        <w:rPr>
          <w:lang w:val="en-ZA"/>
        </w:rPr>
        <w:tab/>
      </w:r>
      <w:r w:rsidR="000E06B5" w:rsidRPr="007C17E8">
        <w:rPr>
          <w:lang w:val="en-ZA"/>
        </w:rPr>
        <w:t>In these proceedings, the relief that Peter seeks in the notice of motion is couched as follows:</w:t>
      </w:r>
    </w:p>
    <w:p w14:paraId="34D7DBFE" w14:textId="77777777" w:rsidR="000E06B5" w:rsidRDefault="00FE2496" w:rsidP="00FE2496">
      <w:pPr>
        <w:pStyle w:val="ListParagraph"/>
        <w:tabs>
          <w:tab w:val="left" w:pos="1985"/>
          <w:tab w:val="right" w:pos="8280"/>
        </w:tabs>
        <w:spacing w:before="360" w:line="360" w:lineRule="auto"/>
        <w:ind w:left="1985" w:hanging="567"/>
        <w:contextualSpacing w:val="0"/>
        <w:rPr>
          <w:i/>
          <w:lang w:val="en-ZA"/>
        </w:rPr>
      </w:pPr>
      <w:r>
        <w:rPr>
          <w:lang w:val="en-ZA"/>
        </w:rPr>
        <w:t>“</w:t>
      </w:r>
      <w:r>
        <w:rPr>
          <w:i/>
          <w:lang w:val="en-ZA"/>
        </w:rPr>
        <w:t>1.</w:t>
      </w:r>
      <w:r>
        <w:rPr>
          <w:i/>
          <w:lang w:val="en-ZA"/>
        </w:rPr>
        <w:tab/>
        <w:t xml:space="preserve">Directing that the first respondent </w:t>
      </w:r>
      <w:proofErr w:type="spellStart"/>
      <w:r>
        <w:rPr>
          <w:i/>
          <w:lang w:val="en-ZA"/>
        </w:rPr>
        <w:t>Nomakhosazan</w:t>
      </w:r>
      <w:r w:rsidR="003F24EC">
        <w:rPr>
          <w:i/>
          <w:lang w:val="en-ZA"/>
        </w:rPr>
        <w:t>a</w:t>
      </w:r>
      <w:proofErr w:type="spellEnd"/>
      <w:r w:rsidR="003F24EC">
        <w:rPr>
          <w:i/>
          <w:lang w:val="en-ZA"/>
        </w:rPr>
        <w:t xml:space="preserve"> Meth</w:t>
      </w:r>
      <w:r>
        <w:rPr>
          <w:i/>
          <w:lang w:val="en-ZA"/>
        </w:rPr>
        <w:t xml:space="preserve"> show cause to this court on a date to be determined by this court why she should not be committed to prison for such period as this honourable court may seem meet, on account </w:t>
      </w:r>
      <w:r>
        <w:rPr>
          <w:i/>
          <w:lang w:val="en-ZA"/>
        </w:rPr>
        <w:lastRenderedPageBreak/>
        <w:t>of her contempt of court for failing to comply with the order granted in this matter on 4 December 2018.</w:t>
      </w:r>
    </w:p>
    <w:p w14:paraId="581F65DB" w14:textId="77777777" w:rsidR="00FE2496" w:rsidRDefault="003F24EC" w:rsidP="003F24EC">
      <w:pPr>
        <w:pStyle w:val="ListParagraph"/>
        <w:tabs>
          <w:tab w:val="left" w:pos="1985"/>
          <w:tab w:val="right" w:pos="8280"/>
        </w:tabs>
        <w:spacing w:before="360" w:line="360" w:lineRule="auto"/>
        <w:ind w:left="1985" w:hanging="567"/>
        <w:contextualSpacing w:val="0"/>
        <w:rPr>
          <w:i/>
          <w:lang w:val="en-ZA"/>
        </w:rPr>
      </w:pPr>
      <w:r>
        <w:rPr>
          <w:i/>
          <w:lang w:val="en-ZA"/>
        </w:rPr>
        <w:t>2.</w:t>
      </w:r>
      <w:r>
        <w:rPr>
          <w:i/>
          <w:lang w:val="en-ZA"/>
        </w:rPr>
        <w:tab/>
        <w:t xml:space="preserve">Directing that the further order granted herein be served by way of personal delivery by the State Attorney on the said Ms </w:t>
      </w:r>
      <w:proofErr w:type="spellStart"/>
      <w:r>
        <w:rPr>
          <w:i/>
          <w:lang w:val="en-ZA"/>
        </w:rPr>
        <w:t>Nomakhosazana</w:t>
      </w:r>
      <w:proofErr w:type="spellEnd"/>
      <w:r>
        <w:rPr>
          <w:i/>
          <w:lang w:val="en-ZA"/>
        </w:rPr>
        <w:t xml:space="preserve"> Meth.</w:t>
      </w:r>
    </w:p>
    <w:p w14:paraId="47936072" w14:textId="77777777" w:rsidR="003F24EC" w:rsidRPr="003F24EC" w:rsidRDefault="003F24EC" w:rsidP="003F24EC">
      <w:pPr>
        <w:pStyle w:val="ListParagraph"/>
        <w:tabs>
          <w:tab w:val="left" w:pos="1985"/>
          <w:tab w:val="right" w:pos="8280"/>
        </w:tabs>
        <w:spacing w:before="360" w:line="360" w:lineRule="auto"/>
        <w:ind w:left="1985" w:hanging="567"/>
        <w:contextualSpacing w:val="0"/>
        <w:rPr>
          <w:lang w:val="en-ZA"/>
        </w:rPr>
      </w:pPr>
      <w:r>
        <w:rPr>
          <w:i/>
          <w:lang w:val="en-ZA"/>
        </w:rPr>
        <w:t>3.</w:t>
      </w:r>
      <w:r>
        <w:rPr>
          <w:i/>
          <w:lang w:val="en-ZA"/>
        </w:rPr>
        <w:tab/>
        <w:t>Directing that the State Attorney deliver to this court within 10 days of granting of the further order a report in writing certifying that such service has been effected, and that a copy thereof be served on the applicant’s attorney of record.</w:t>
      </w:r>
      <w:r>
        <w:rPr>
          <w:lang w:val="en-ZA"/>
        </w:rPr>
        <w:t>”</w:t>
      </w:r>
    </w:p>
    <w:p w14:paraId="7BE7BFBD" w14:textId="3CBD6A20" w:rsidR="000E06B5" w:rsidRPr="007C17E8" w:rsidRDefault="007C17E8" w:rsidP="007C17E8">
      <w:pPr>
        <w:tabs>
          <w:tab w:val="left" w:pos="851"/>
          <w:tab w:val="right" w:pos="8280"/>
        </w:tabs>
        <w:spacing w:before="480" w:line="480" w:lineRule="auto"/>
        <w:ind w:left="851" w:hanging="851"/>
        <w:rPr>
          <w:lang w:val="en-ZA"/>
        </w:rPr>
      </w:pPr>
      <w:r>
        <w:rPr>
          <w:lang w:val="en-ZA"/>
        </w:rPr>
        <w:t>[11]</w:t>
      </w:r>
      <w:r>
        <w:rPr>
          <w:lang w:val="en-ZA"/>
        </w:rPr>
        <w:tab/>
      </w:r>
      <w:r w:rsidR="003F24EC" w:rsidRPr="007C17E8">
        <w:rPr>
          <w:lang w:val="en-ZA"/>
        </w:rPr>
        <w:t xml:space="preserve">It is not clear from the notice of motion what relief is </w:t>
      </w:r>
      <w:proofErr w:type="gramStart"/>
      <w:r w:rsidR="003F24EC" w:rsidRPr="007C17E8">
        <w:rPr>
          <w:lang w:val="en-ZA"/>
        </w:rPr>
        <w:t>actually sought</w:t>
      </w:r>
      <w:proofErr w:type="gramEnd"/>
      <w:r w:rsidR="003F24EC" w:rsidRPr="007C17E8">
        <w:rPr>
          <w:lang w:val="en-ZA"/>
        </w:rPr>
        <w:t xml:space="preserve">, whether </w:t>
      </w:r>
      <w:r w:rsidR="000420CC" w:rsidRPr="007C17E8">
        <w:rPr>
          <w:lang w:val="en-ZA"/>
        </w:rPr>
        <w:t>Peter</w:t>
      </w:r>
      <w:r w:rsidR="003F24EC" w:rsidRPr="007C17E8">
        <w:rPr>
          <w:lang w:val="en-ZA"/>
        </w:rPr>
        <w:t xml:space="preserve"> seeks payment of the outstanding interest, if any, or whether what Peter seeks is an order to hold the current MEC, Ms </w:t>
      </w:r>
      <w:proofErr w:type="spellStart"/>
      <w:r w:rsidR="003F24EC" w:rsidRPr="007C17E8">
        <w:rPr>
          <w:lang w:val="en-ZA"/>
        </w:rPr>
        <w:t>Nomakhosazana</w:t>
      </w:r>
      <w:proofErr w:type="spellEnd"/>
      <w:r w:rsidR="003F24EC" w:rsidRPr="007C17E8">
        <w:rPr>
          <w:lang w:val="en-ZA"/>
        </w:rPr>
        <w:t xml:space="preserve"> Meth, in contempt of court</w:t>
      </w:r>
      <w:r w:rsidR="00BA0084" w:rsidRPr="007C17E8">
        <w:rPr>
          <w:lang w:val="en-ZA"/>
        </w:rPr>
        <w:t xml:space="preserve"> and commit her to a period of incarceration</w:t>
      </w:r>
      <w:r w:rsidR="00C20320" w:rsidRPr="007C17E8">
        <w:rPr>
          <w:lang w:val="en-ZA"/>
        </w:rPr>
        <w:t xml:space="preserve">.  </w:t>
      </w:r>
      <w:r w:rsidR="003F24EC" w:rsidRPr="007C17E8">
        <w:rPr>
          <w:lang w:val="en-ZA"/>
        </w:rPr>
        <w:t xml:space="preserve">When this Court posed the question to </w:t>
      </w:r>
      <w:r w:rsidR="00AD306E" w:rsidRPr="007C17E8">
        <w:rPr>
          <w:lang w:val="en-ZA"/>
        </w:rPr>
        <w:t xml:space="preserve">Peter’s </w:t>
      </w:r>
      <w:r w:rsidR="003F24EC" w:rsidRPr="007C17E8">
        <w:rPr>
          <w:lang w:val="en-ZA"/>
        </w:rPr>
        <w:t>legal representative, her answer was “</w:t>
      </w:r>
      <w:r w:rsidR="003F24EC" w:rsidRPr="007C17E8">
        <w:rPr>
          <w:i/>
          <w:lang w:val="en-ZA"/>
        </w:rPr>
        <w:t>the relief as set out in the notice of motion</w:t>
      </w:r>
      <w:r w:rsidR="003F24EC" w:rsidRPr="007C17E8">
        <w:rPr>
          <w:lang w:val="en-ZA"/>
        </w:rPr>
        <w:t>”</w:t>
      </w:r>
      <w:r w:rsidR="00C20320" w:rsidRPr="007C17E8">
        <w:rPr>
          <w:lang w:val="en-ZA"/>
        </w:rPr>
        <w:t xml:space="preserve">.  </w:t>
      </w:r>
      <w:r w:rsidR="003F24EC" w:rsidRPr="007C17E8">
        <w:rPr>
          <w:lang w:val="en-ZA"/>
        </w:rPr>
        <w:t xml:space="preserve">This answer </w:t>
      </w:r>
      <w:r w:rsidR="007D1DB3" w:rsidRPr="007C17E8">
        <w:rPr>
          <w:lang w:val="en-ZA"/>
        </w:rPr>
        <w:t>i</w:t>
      </w:r>
      <w:r w:rsidR="003F24EC" w:rsidRPr="007C17E8">
        <w:rPr>
          <w:lang w:val="en-ZA"/>
        </w:rPr>
        <w:t>s singularly unhelpful.</w:t>
      </w:r>
    </w:p>
    <w:p w14:paraId="04B3BD0F" w14:textId="3B604265" w:rsidR="003F24EC" w:rsidRPr="007C17E8" w:rsidRDefault="007C17E8" w:rsidP="007C17E8">
      <w:pPr>
        <w:tabs>
          <w:tab w:val="left" w:pos="851"/>
          <w:tab w:val="right" w:pos="8280"/>
        </w:tabs>
        <w:spacing w:before="480" w:line="480" w:lineRule="auto"/>
        <w:ind w:left="851" w:hanging="851"/>
        <w:rPr>
          <w:i/>
          <w:iCs/>
          <w:lang w:val="en-ZA"/>
        </w:rPr>
      </w:pPr>
      <w:r w:rsidRPr="00EC4228">
        <w:rPr>
          <w:lang w:val="en-ZA"/>
        </w:rPr>
        <w:t>[12]</w:t>
      </w:r>
      <w:r w:rsidRPr="00EC4228">
        <w:rPr>
          <w:lang w:val="en-ZA"/>
        </w:rPr>
        <w:tab/>
      </w:r>
      <w:r w:rsidR="003F24EC" w:rsidRPr="007C17E8">
        <w:rPr>
          <w:lang w:val="en-ZA"/>
        </w:rPr>
        <w:t>Contempt proceedings are not appropriate relief to compel a functionary to make payment of an outstanding debt</w:t>
      </w:r>
      <w:r w:rsidR="00A30A8B" w:rsidRPr="007C17E8">
        <w:rPr>
          <w:lang w:val="en-ZA"/>
        </w:rPr>
        <w:t>.</w:t>
      </w:r>
      <w:r w:rsidR="000420CC">
        <w:rPr>
          <w:rStyle w:val="FootnoteReference"/>
          <w:lang w:val="en-ZA"/>
        </w:rPr>
        <w:footnoteReference w:id="1"/>
      </w:r>
      <w:r w:rsidR="00EC4228" w:rsidRPr="007C17E8">
        <w:rPr>
          <w:lang w:val="en-ZA"/>
        </w:rPr>
        <w:t xml:space="preserve"> </w:t>
      </w:r>
      <w:r w:rsidR="00A30A8B" w:rsidRPr="007C17E8">
        <w:rPr>
          <w:lang w:val="en-ZA"/>
        </w:rPr>
        <w:t>E</w:t>
      </w:r>
      <w:r w:rsidR="00EC4228" w:rsidRPr="007C17E8">
        <w:rPr>
          <w:lang w:val="en-ZA"/>
        </w:rPr>
        <w:t>xecution</w:t>
      </w:r>
      <w:r w:rsidR="00C20320" w:rsidRPr="007C17E8">
        <w:rPr>
          <w:lang w:val="en-ZA"/>
        </w:rPr>
        <w:t xml:space="preserve"> </w:t>
      </w:r>
      <w:r w:rsidR="00EC4228" w:rsidRPr="007C17E8">
        <w:rPr>
          <w:lang w:val="en-ZA"/>
        </w:rPr>
        <w:t>proceedings are</w:t>
      </w:r>
      <w:r w:rsidR="003F24EC" w:rsidRPr="007C17E8">
        <w:rPr>
          <w:lang w:val="en-ZA"/>
        </w:rPr>
        <w:t>.</w:t>
      </w:r>
      <w:r w:rsidR="00EC4228">
        <w:rPr>
          <w:rStyle w:val="FootnoteReference"/>
          <w:lang w:val="en-ZA"/>
        </w:rPr>
        <w:footnoteReference w:id="2"/>
      </w:r>
      <w:r w:rsidR="00C20320" w:rsidRPr="007C17E8">
        <w:rPr>
          <w:lang w:val="en-ZA"/>
        </w:rPr>
        <w:t xml:space="preserve"> </w:t>
      </w:r>
      <w:r w:rsidR="00EC4228" w:rsidRPr="007C17E8">
        <w:rPr>
          <w:lang w:val="en-ZA"/>
        </w:rPr>
        <w:t>The Constitutional Court</w:t>
      </w:r>
      <w:r w:rsidR="00A30A8B" w:rsidRPr="007C17E8">
        <w:rPr>
          <w:lang w:val="en-ZA"/>
        </w:rPr>
        <w:t xml:space="preserve"> held</w:t>
      </w:r>
      <w:r w:rsidR="00EC4228" w:rsidRPr="007C17E8">
        <w:rPr>
          <w:lang w:val="en-ZA"/>
        </w:rPr>
        <w:t xml:space="preserve"> in </w:t>
      </w:r>
      <w:proofErr w:type="spellStart"/>
      <w:r w:rsidR="00EC4228" w:rsidRPr="007C17E8">
        <w:rPr>
          <w:i/>
          <w:iCs/>
          <w:lang w:val="en-ZA"/>
        </w:rPr>
        <w:t>Pheko</w:t>
      </w:r>
      <w:proofErr w:type="spellEnd"/>
      <w:r w:rsidR="00EC4228" w:rsidRPr="007C17E8">
        <w:rPr>
          <w:i/>
          <w:iCs/>
          <w:lang w:val="en-ZA"/>
        </w:rPr>
        <w:t xml:space="preserve"> 2</w:t>
      </w:r>
      <w:r w:rsidR="00EC4228">
        <w:rPr>
          <w:rStyle w:val="FootnoteReference"/>
          <w:i/>
          <w:iCs/>
          <w:lang w:val="en-ZA"/>
        </w:rPr>
        <w:footnoteReference w:id="3"/>
      </w:r>
      <w:r w:rsidR="00A30A8B" w:rsidRPr="007C17E8">
        <w:rPr>
          <w:i/>
          <w:iCs/>
          <w:lang w:val="en-ZA"/>
        </w:rPr>
        <w:t xml:space="preserve"> </w:t>
      </w:r>
      <w:r w:rsidR="00A30A8B" w:rsidRPr="007C17E8">
        <w:rPr>
          <w:lang w:val="en-ZA"/>
        </w:rPr>
        <w:t xml:space="preserve">that </w:t>
      </w:r>
      <w:r w:rsidR="00167D80" w:rsidRPr="007C17E8">
        <w:rPr>
          <w:lang w:val="en-ZA"/>
        </w:rPr>
        <w:t xml:space="preserve">civil contempt </w:t>
      </w:r>
      <w:r w:rsidR="00140732" w:rsidRPr="007C17E8">
        <w:rPr>
          <w:lang w:val="en-ZA"/>
        </w:rPr>
        <w:t xml:space="preserve">remedies </w:t>
      </w:r>
      <w:r w:rsidR="009B3C34" w:rsidRPr="007C17E8">
        <w:rPr>
          <w:lang w:val="en-ZA"/>
        </w:rPr>
        <w:t xml:space="preserve">other than </w:t>
      </w:r>
      <w:r w:rsidR="00AD08B4" w:rsidRPr="007C17E8">
        <w:rPr>
          <w:lang w:val="en-ZA"/>
        </w:rPr>
        <w:t>incarceration</w:t>
      </w:r>
      <w:r w:rsidR="009B3C34" w:rsidRPr="007C17E8">
        <w:rPr>
          <w:lang w:val="en-ZA"/>
        </w:rPr>
        <w:t xml:space="preserve"> should be </w:t>
      </w:r>
      <w:r w:rsidR="00445BE2" w:rsidRPr="007C17E8">
        <w:rPr>
          <w:lang w:val="en-ZA"/>
        </w:rPr>
        <w:t>considered</w:t>
      </w:r>
      <w:r w:rsidR="00AD08B4" w:rsidRPr="007C17E8">
        <w:rPr>
          <w:lang w:val="en-ZA"/>
        </w:rPr>
        <w:t xml:space="preserve"> to compel compliance</w:t>
      </w:r>
      <w:r w:rsidR="00C20320" w:rsidRPr="007C17E8">
        <w:rPr>
          <w:lang w:val="en-ZA"/>
        </w:rPr>
        <w:t xml:space="preserve">.  </w:t>
      </w:r>
      <w:r w:rsidR="000154BC" w:rsidRPr="007C17E8">
        <w:rPr>
          <w:lang w:val="en-ZA"/>
        </w:rPr>
        <w:t>None are proposed by the applicant, Peter.</w:t>
      </w:r>
    </w:p>
    <w:p w14:paraId="7E68A49D" w14:textId="1F6151E0" w:rsidR="003F24EC" w:rsidRPr="007C17E8" w:rsidRDefault="007C17E8" w:rsidP="007C17E8">
      <w:pPr>
        <w:tabs>
          <w:tab w:val="left" w:pos="851"/>
          <w:tab w:val="right" w:pos="8280"/>
        </w:tabs>
        <w:spacing w:before="480" w:line="480" w:lineRule="auto"/>
        <w:ind w:left="851" w:hanging="851"/>
        <w:rPr>
          <w:lang w:val="en-ZA"/>
        </w:rPr>
      </w:pPr>
      <w:r>
        <w:rPr>
          <w:lang w:val="en-ZA"/>
        </w:rPr>
        <w:lastRenderedPageBreak/>
        <w:t>[13]</w:t>
      </w:r>
      <w:r>
        <w:rPr>
          <w:lang w:val="en-ZA"/>
        </w:rPr>
        <w:tab/>
      </w:r>
      <w:r w:rsidR="003F24EC" w:rsidRPr="007C17E8">
        <w:rPr>
          <w:lang w:val="en-ZA"/>
        </w:rPr>
        <w:t>If the relief that Peter seeks is that Ms Meth, the current MEC,</w:t>
      </w:r>
      <w:r w:rsidR="00B2679F" w:rsidRPr="007C17E8">
        <w:rPr>
          <w:lang w:val="en-ZA"/>
        </w:rPr>
        <w:t xml:space="preserve"> Health</w:t>
      </w:r>
      <w:r w:rsidR="003F24EC" w:rsidRPr="007C17E8">
        <w:rPr>
          <w:lang w:val="en-ZA"/>
        </w:rPr>
        <w:t xml:space="preserve"> is brought before court to give an explanation why she should not be held in contempt of court for failure to pay </w:t>
      </w:r>
      <w:r w:rsidR="00B2679F" w:rsidRPr="007C17E8">
        <w:rPr>
          <w:lang w:val="en-ZA"/>
        </w:rPr>
        <w:t>any</w:t>
      </w:r>
      <w:r w:rsidR="003F24EC" w:rsidRPr="007C17E8">
        <w:rPr>
          <w:lang w:val="en-ZA"/>
        </w:rPr>
        <w:t xml:space="preserve"> interest that may be due in terms of the</w:t>
      </w:r>
      <w:r w:rsidR="00C20320" w:rsidRPr="007C17E8">
        <w:rPr>
          <w:lang w:val="en-ZA"/>
        </w:rPr>
        <w:t xml:space="preserve"> </w:t>
      </w:r>
      <w:r w:rsidR="00B2679F" w:rsidRPr="007C17E8">
        <w:rPr>
          <w:lang w:val="en-ZA"/>
        </w:rPr>
        <w:t>2004 order read with the 2018</w:t>
      </w:r>
      <w:r w:rsidR="003F24EC" w:rsidRPr="007C17E8">
        <w:rPr>
          <w:lang w:val="en-ZA"/>
        </w:rPr>
        <w:t xml:space="preserve"> order</w:t>
      </w:r>
      <w:r w:rsidR="00B2679F" w:rsidRPr="007C17E8">
        <w:rPr>
          <w:lang w:val="en-ZA"/>
        </w:rPr>
        <w:t xml:space="preserve"> </w:t>
      </w:r>
      <w:r w:rsidR="003F24EC" w:rsidRPr="007C17E8">
        <w:rPr>
          <w:lang w:val="en-ZA"/>
        </w:rPr>
        <w:t>then contempt proceedings would be appropriate</w:t>
      </w:r>
      <w:r w:rsidR="00C20320" w:rsidRPr="007C17E8">
        <w:rPr>
          <w:lang w:val="en-ZA"/>
        </w:rPr>
        <w:t xml:space="preserve">.  </w:t>
      </w:r>
    </w:p>
    <w:p w14:paraId="0F8015C5" w14:textId="01CE0414" w:rsidR="003F24EC" w:rsidRPr="007C17E8" w:rsidRDefault="007C17E8" w:rsidP="007C17E8">
      <w:pPr>
        <w:tabs>
          <w:tab w:val="left" w:pos="851"/>
          <w:tab w:val="right" w:pos="8280"/>
        </w:tabs>
        <w:spacing w:before="480" w:line="480" w:lineRule="auto"/>
        <w:ind w:left="851" w:hanging="851"/>
        <w:rPr>
          <w:lang w:val="en-ZA"/>
        </w:rPr>
      </w:pPr>
      <w:r>
        <w:rPr>
          <w:lang w:val="en-ZA"/>
        </w:rPr>
        <w:t>[14]</w:t>
      </w:r>
      <w:r>
        <w:rPr>
          <w:lang w:val="en-ZA"/>
        </w:rPr>
        <w:tab/>
      </w:r>
      <w:r w:rsidR="003F24EC" w:rsidRPr="007C17E8">
        <w:rPr>
          <w:lang w:val="en-ZA"/>
        </w:rPr>
        <w:t xml:space="preserve">As stated by the Constitutional Court in </w:t>
      </w:r>
      <w:r w:rsidR="003F24EC" w:rsidRPr="007C17E8">
        <w:rPr>
          <w:i/>
          <w:lang w:val="en-ZA"/>
        </w:rPr>
        <w:t>Secretary of the Judicial Commission of Enquiry into Allegations of State Capture, Corruption and Fraud in the Public Sector including Organs of State v Zuma and Others</w:t>
      </w:r>
      <w:r w:rsidR="003F24EC" w:rsidRPr="007C17E8">
        <w:rPr>
          <w:lang w:val="en-ZA"/>
        </w:rPr>
        <w:t>:</w:t>
      </w:r>
      <w:r w:rsidR="003F24EC">
        <w:rPr>
          <w:rStyle w:val="FootnoteReference"/>
          <w:lang w:val="en-ZA"/>
        </w:rPr>
        <w:footnoteReference w:id="4"/>
      </w:r>
    </w:p>
    <w:p w14:paraId="3FCFEE6C" w14:textId="6DB5C6C4" w:rsidR="003F24EC" w:rsidRPr="00D924FE" w:rsidRDefault="003F24EC" w:rsidP="00D924FE">
      <w:pPr>
        <w:pStyle w:val="ListParagraph"/>
        <w:tabs>
          <w:tab w:val="right" w:pos="8280"/>
        </w:tabs>
        <w:spacing w:before="360" w:line="360" w:lineRule="auto"/>
        <w:ind w:left="1418"/>
        <w:contextualSpacing w:val="0"/>
        <w:rPr>
          <w:lang w:val="en-ZA"/>
        </w:rPr>
      </w:pPr>
      <w:r>
        <w:rPr>
          <w:lang w:val="en-ZA"/>
        </w:rPr>
        <w:t>“</w:t>
      </w:r>
      <w:r>
        <w:rPr>
          <w:i/>
          <w:lang w:val="en-ZA"/>
        </w:rPr>
        <w:t>Contempt of court proceedings</w:t>
      </w:r>
      <w:r w:rsidR="00F541CB">
        <w:rPr>
          <w:i/>
          <w:lang w:val="en-ZA"/>
        </w:rPr>
        <w:t xml:space="preserve"> </w:t>
      </w:r>
      <w:r>
        <w:rPr>
          <w:i/>
          <w:lang w:val="en-ZA"/>
        </w:rPr>
        <w:t>exist to protect the rule of law and the</w:t>
      </w:r>
      <w:r w:rsidR="00D924FE">
        <w:rPr>
          <w:i/>
          <w:lang w:val="en-ZA"/>
        </w:rPr>
        <w:t xml:space="preserve"> authority of the judiciary</w:t>
      </w:r>
      <w:r w:rsidR="00C20320">
        <w:rPr>
          <w:i/>
          <w:lang w:val="en-ZA"/>
        </w:rPr>
        <w:t xml:space="preserve">.  </w:t>
      </w:r>
      <w:r w:rsidR="00D924FE">
        <w:rPr>
          <w:i/>
          <w:lang w:val="en-ZA"/>
        </w:rPr>
        <w:t>As the applicant correctly avers, the authority of the courts and obedience of their laws – the very foundation of constitutional order founded on the rule of law – depends on public trust and the respect of the courts.</w:t>
      </w:r>
      <w:r w:rsidR="00D924FE">
        <w:rPr>
          <w:lang w:val="en-ZA"/>
        </w:rPr>
        <w:t>”</w:t>
      </w:r>
    </w:p>
    <w:p w14:paraId="4443C4E5" w14:textId="01FBE744" w:rsidR="00F541CB" w:rsidRPr="007C17E8" w:rsidRDefault="007C17E8" w:rsidP="007C17E8">
      <w:pPr>
        <w:tabs>
          <w:tab w:val="left" w:pos="851"/>
          <w:tab w:val="right" w:pos="8280"/>
        </w:tabs>
        <w:spacing w:before="480" w:line="480" w:lineRule="auto"/>
        <w:ind w:left="851" w:hanging="851"/>
        <w:rPr>
          <w:lang w:val="en-ZA"/>
        </w:rPr>
      </w:pPr>
      <w:r>
        <w:rPr>
          <w:lang w:val="en-ZA"/>
        </w:rPr>
        <w:t>[15]</w:t>
      </w:r>
      <w:r>
        <w:rPr>
          <w:lang w:val="en-ZA"/>
        </w:rPr>
        <w:tab/>
      </w:r>
      <w:r w:rsidR="00D924FE" w:rsidRPr="007C17E8">
        <w:rPr>
          <w:lang w:val="en-ZA"/>
        </w:rPr>
        <w:t>Any disregard of this Court’s order and the judicial process requires this Court to intervene</w:t>
      </w:r>
      <w:r w:rsidR="00C20320" w:rsidRPr="007C17E8">
        <w:rPr>
          <w:lang w:val="en-ZA"/>
        </w:rPr>
        <w:t xml:space="preserve">.  </w:t>
      </w:r>
      <w:r w:rsidR="00D924FE" w:rsidRPr="007C17E8">
        <w:rPr>
          <w:lang w:val="en-ZA"/>
        </w:rPr>
        <w:t xml:space="preserve">As enunciated in </w:t>
      </w:r>
      <w:r w:rsidR="00D924FE" w:rsidRPr="007C17E8">
        <w:rPr>
          <w:i/>
          <w:lang w:val="en-ZA"/>
        </w:rPr>
        <w:t xml:space="preserve">Victoria Park Ratepayers Association v </w:t>
      </w:r>
      <w:proofErr w:type="spellStart"/>
      <w:r w:rsidR="00D924FE" w:rsidRPr="007C17E8">
        <w:rPr>
          <w:i/>
          <w:lang w:val="en-ZA"/>
        </w:rPr>
        <w:t>Greyvenhouw</w:t>
      </w:r>
      <w:proofErr w:type="spellEnd"/>
      <w:r w:rsidR="00D924FE" w:rsidRPr="007C17E8">
        <w:rPr>
          <w:i/>
          <w:lang w:val="en-ZA"/>
        </w:rPr>
        <w:t xml:space="preserve"> CC</w:t>
      </w:r>
      <w:r w:rsidR="00D924FE" w:rsidRPr="007C17E8">
        <w:rPr>
          <w:lang w:val="en-ZA"/>
        </w:rPr>
        <w:t>,</w:t>
      </w:r>
      <w:r w:rsidR="00D924FE">
        <w:rPr>
          <w:rStyle w:val="FootnoteReference"/>
          <w:lang w:val="en-ZA"/>
        </w:rPr>
        <w:footnoteReference w:id="5"/>
      </w:r>
      <w:r w:rsidR="00D924FE" w:rsidRPr="007C17E8">
        <w:rPr>
          <w:lang w:val="en-ZA"/>
        </w:rPr>
        <w:t xml:space="preserve"> contempt jurisdiction, whatever the situation may have been before 27 April 1994, now also involves the vindication of the Constitution.</w:t>
      </w:r>
      <w:r w:rsidR="00D924FE">
        <w:rPr>
          <w:rStyle w:val="FootnoteReference"/>
          <w:lang w:val="en-ZA"/>
        </w:rPr>
        <w:footnoteReference w:id="6"/>
      </w:r>
      <w:r w:rsidR="00D924FE" w:rsidRPr="007C17E8">
        <w:rPr>
          <w:lang w:val="en-ZA"/>
        </w:rPr>
        <w:t xml:space="preserve"> </w:t>
      </w:r>
    </w:p>
    <w:p w14:paraId="26FA867E" w14:textId="1E494448" w:rsidR="00D924FE" w:rsidRPr="007C17E8" w:rsidRDefault="007C17E8" w:rsidP="007C17E8">
      <w:pPr>
        <w:tabs>
          <w:tab w:val="left" w:pos="851"/>
          <w:tab w:val="right" w:pos="8280"/>
        </w:tabs>
        <w:spacing w:before="480" w:line="480" w:lineRule="auto"/>
        <w:ind w:left="851" w:hanging="851"/>
        <w:rPr>
          <w:lang w:val="en-ZA"/>
        </w:rPr>
      </w:pPr>
      <w:r>
        <w:rPr>
          <w:lang w:val="en-ZA"/>
        </w:rPr>
        <w:lastRenderedPageBreak/>
        <w:t>[16]</w:t>
      </w:r>
      <w:r>
        <w:rPr>
          <w:lang w:val="en-ZA"/>
        </w:rPr>
        <w:tab/>
      </w:r>
      <w:r w:rsidR="00D924FE" w:rsidRPr="007C17E8">
        <w:rPr>
          <w:lang w:val="en-ZA"/>
        </w:rPr>
        <w:t>The test</w:t>
      </w:r>
      <w:r w:rsidR="00F541CB" w:rsidRPr="007C17E8">
        <w:rPr>
          <w:lang w:val="en-ZA"/>
        </w:rPr>
        <w:t xml:space="preserve"> for contempt</w:t>
      </w:r>
      <w:r w:rsidR="00154508" w:rsidRPr="007C17E8">
        <w:rPr>
          <w:lang w:val="en-ZA"/>
        </w:rPr>
        <w:t>, a deliberate intent</w:t>
      </w:r>
      <w:r w:rsidR="00996906" w:rsidRPr="007C17E8">
        <w:rPr>
          <w:lang w:val="en-ZA"/>
        </w:rPr>
        <w:t xml:space="preserve">ional disobedience of an order of a competent court, </w:t>
      </w:r>
      <w:r w:rsidR="00F541CB" w:rsidRPr="007C17E8">
        <w:rPr>
          <w:lang w:val="en-ZA"/>
        </w:rPr>
        <w:t>is</w:t>
      </w:r>
      <w:r w:rsidR="00D924FE" w:rsidRPr="007C17E8">
        <w:rPr>
          <w:lang w:val="en-ZA"/>
        </w:rPr>
        <w:t xml:space="preserve"> threefold: firstly, an order was granted against the alleged contemnor, secondly, the alleged contemnor was served with </w:t>
      </w:r>
      <w:r w:rsidR="000E3717" w:rsidRPr="007C17E8">
        <w:rPr>
          <w:lang w:val="en-ZA"/>
        </w:rPr>
        <w:t>the</w:t>
      </w:r>
      <w:r w:rsidR="00D924FE" w:rsidRPr="007C17E8">
        <w:rPr>
          <w:lang w:val="en-ZA"/>
        </w:rPr>
        <w:t xml:space="preserve"> order or had knowledge of it and, lastly, that the alleged contemnor failed to comply with the order.</w:t>
      </w:r>
      <w:r w:rsidR="00D924FE">
        <w:rPr>
          <w:rStyle w:val="FootnoteReference"/>
          <w:lang w:val="en-ZA"/>
        </w:rPr>
        <w:footnoteReference w:id="7"/>
      </w:r>
    </w:p>
    <w:p w14:paraId="740660C5" w14:textId="5F6190C5" w:rsidR="00F20EF2" w:rsidRPr="007C17E8" w:rsidRDefault="007C17E8" w:rsidP="007C17E8">
      <w:pPr>
        <w:tabs>
          <w:tab w:val="left" w:pos="851"/>
          <w:tab w:val="right" w:pos="8280"/>
        </w:tabs>
        <w:spacing w:before="480" w:line="480" w:lineRule="auto"/>
        <w:ind w:left="851" w:hanging="851"/>
        <w:rPr>
          <w:lang w:val="en-ZA"/>
        </w:rPr>
      </w:pPr>
      <w:r>
        <w:rPr>
          <w:lang w:val="en-ZA"/>
        </w:rPr>
        <w:t>[17]</w:t>
      </w:r>
      <w:r>
        <w:rPr>
          <w:lang w:val="en-ZA"/>
        </w:rPr>
        <w:tab/>
      </w:r>
      <w:r w:rsidR="00F20EF2" w:rsidRPr="007C17E8">
        <w:rPr>
          <w:lang w:val="en-ZA"/>
        </w:rPr>
        <w:t xml:space="preserve">Once these elements are established, it is established beyond a reasonable doubt that the contemnor is in contempt of court unless the contemnor establishes reasonable doubt relating both to wilfulness and </w:t>
      </w:r>
      <w:r w:rsidR="00F20EF2" w:rsidRPr="007C17E8">
        <w:rPr>
          <w:i/>
          <w:lang w:val="en-ZA"/>
        </w:rPr>
        <w:t>mala fides</w:t>
      </w:r>
      <w:r w:rsidR="00F20EF2" w:rsidRPr="007C17E8">
        <w:rPr>
          <w:lang w:val="en-ZA"/>
        </w:rPr>
        <w:t>.</w:t>
      </w:r>
      <w:r w:rsidR="00F20EF2">
        <w:rPr>
          <w:rStyle w:val="FootnoteReference"/>
          <w:lang w:val="en-ZA"/>
        </w:rPr>
        <w:footnoteReference w:id="8"/>
      </w:r>
    </w:p>
    <w:p w14:paraId="2B598444" w14:textId="27DB538F" w:rsidR="00400276" w:rsidRPr="007C17E8" w:rsidRDefault="007C17E8" w:rsidP="007C17E8">
      <w:pPr>
        <w:tabs>
          <w:tab w:val="left" w:pos="851"/>
          <w:tab w:val="right" w:pos="8280"/>
        </w:tabs>
        <w:spacing w:before="480" w:line="480" w:lineRule="auto"/>
        <w:ind w:left="851" w:hanging="851"/>
        <w:rPr>
          <w:lang w:val="en-ZA"/>
        </w:rPr>
      </w:pPr>
      <w:r w:rsidRPr="00CC7F57">
        <w:rPr>
          <w:lang w:val="en-ZA"/>
        </w:rPr>
        <w:t>[18]</w:t>
      </w:r>
      <w:r w:rsidRPr="00CC7F57">
        <w:rPr>
          <w:lang w:val="en-ZA"/>
        </w:rPr>
        <w:tab/>
      </w:r>
      <w:r w:rsidR="00400276" w:rsidRPr="007C17E8">
        <w:rPr>
          <w:lang w:val="en-ZA"/>
        </w:rPr>
        <w:t>Contempt i</w:t>
      </w:r>
      <w:r w:rsidR="00C40315" w:rsidRPr="007C17E8">
        <w:rPr>
          <w:lang w:val="en-ZA"/>
        </w:rPr>
        <w:t>s</w:t>
      </w:r>
      <w:r w:rsidR="00400276" w:rsidRPr="007C17E8">
        <w:rPr>
          <w:lang w:val="en-ZA"/>
        </w:rPr>
        <w:t xml:space="preserve"> not an issue </w:t>
      </w:r>
      <w:r w:rsidR="00400276" w:rsidRPr="007C17E8">
        <w:rPr>
          <w:i/>
          <w:iCs/>
          <w:lang w:val="en-ZA"/>
        </w:rPr>
        <w:t xml:space="preserve">inter </w:t>
      </w:r>
      <w:proofErr w:type="spellStart"/>
      <w:r w:rsidR="00400276" w:rsidRPr="007C17E8">
        <w:rPr>
          <w:i/>
          <w:iCs/>
          <w:lang w:val="en-ZA"/>
        </w:rPr>
        <w:t>partes</w:t>
      </w:r>
      <w:proofErr w:type="spellEnd"/>
      <w:r w:rsidR="00C20320" w:rsidRPr="007C17E8">
        <w:rPr>
          <w:i/>
          <w:iCs/>
          <w:lang w:val="en-ZA"/>
        </w:rPr>
        <w:t xml:space="preserve">.  </w:t>
      </w:r>
      <w:r w:rsidR="003A33C1" w:rsidRPr="007C17E8">
        <w:rPr>
          <w:lang w:val="en-ZA"/>
        </w:rPr>
        <w:t>I</w:t>
      </w:r>
      <w:r w:rsidR="00400276" w:rsidRPr="007C17E8">
        <w:rPr>
          <w:lang w:val="en-ZA"/>
        </w:rPr>
        <w:t xml:space="preserve">t is an issue between the court and the person who </w:t>
      </w:r>
      <w:r w:rsidR="00C40315" w:rsidRPr="007C17E8">
        <w:rPr>
          <w:lang w:val="en-ZA"/>
        </w:rPr>
        <w:t>has</w:t>
      </w:r>
      <w:r w:rsidR="00400276" w:rsidRPr="007C17E8">
        <w:rPr>
          <w:lang w:val="en-ZA"/>
        </w:rPr>
        <w:t xml:space="preserve"> not complied with the order.</w:t>
      </w:r>
      <w:r w:rsidR="00400276" w:rsidRPr="00CC7F57">
        <w:rPr>
          <w:rStyle w:val="FootnoteReference"/>
          <w:lang w:val="en-ZA"/>
        </w:rPr>
        <w:footnoteReference w:id="9"/>
      </w:r>
    </w:p>
    <w:p w14:paraId="6E5669B3" w14:textId="3F5677D5" w:rsidR="00CC7F57" w:rsidRPr="007C17E8" w:rsidRDefault="007C17E8" w:rsidP="007C17E8">
      <w:pPr>
        <w:tabs>
          <w:tab w:val="left" w:pos="851"/>
          <w:tab w:val="right" w:pos="8280"/>
        </w:tabs>
        <w:spacing w:before="480" w:line="480" w:lineRule="auto"/>
        <w:ind w:left="851" w:hanging="851"/>
        <w:rPr>
          <w:lang w:val="en-ZA"/>
        </w:rPr>
      </w:pPr>
      <w:r w:rsidRPr="00C20320">
        <w:rPr>
          <w:lang w:val="en-ZA"/>
        </w:rPr>
        <w:t>[19]</w:t>
      </w:r>
      <w:r w:rsidRPr="00C20320">
        <w:rPr>
          <w:lang w:val="en-ZA"/>
        </w:rPr>
        <w:tab/>
      </w:r>
      <w:r w:rsidR="00CC7F57" w:rsidRPr="007C17E8">
        <w:rPr>
          <w:lang w:val="en-ZA"/>
        </w:rPr>
        <w:t xml:space="preserve">It is trite that, personal service must be </w:t>
      </w:r>
      <w:proofErr w:type="gramStart"/>
      <w:r w:rsidR="00CC7F57" w:rsidRPr="007C17E8">
        <w:rPr>
          <w:lang w:val="en-ZA"/>
        </w:rPr>
        <w:t>effected</w:t>
      </w:r>
      <w:proofErr w:type="gramEnd"/>
      <w:r w:rsidR="00CC7F57" w:rsidRPr="007C17E8">
        <w:rPr>
          <w:lang w:val="en-ZA"/>
        </w:rPr>
        <w:t xml:space="preserve"> on the </w:t>
      </w:r>
      <w:r w:rsidR="00E61724" w:rsidRPr="007C17E8">
        <w:rPr>
          <w:lang w:val="en-ZA"/>
        </w:rPr>
        <w:t>contemnor</w:t>
      </w:r>
      <w:r w:rsidR="004156BC" w:rsidRPr="007C17E8">
        <w:rPr>
          <w:lang w:val="en-ZA"/>
        </w:rPr>
        <w:t xml:space="preserve"> for the contemnor </w:t>
      </w:r>
      <w:r w:rsidR="00CC7F57" w:rsidRPr="007C17E8">
        <w:rPr>
          <w:lang w:val="en-ZA"/>
        </w:rPr>
        <w:t>to be held in contempt of court</w:t>
      </w:r>
      <w:r w:rsidR="00C20320" w:rsidRPr="007C17E8">
        <w:rPr>
          <w:lang w:val="en-ZA"/>
        </w:rPr>
        <w:t xml:space="preserve">.  </w:t>
      </w:r>
      <w:r w:rsidR="00CC7F57" w:rsidRPr="007C17E8">
        <w:rPr>
          <w:lang w:val="en-ZA"/>
        </w:rPr>
        <w:t xml:space="preserve">Absent </w:t>
      </w:r>
      <w:r w:rsidR="00C962A8" w:rsidRPr="007C17E8">
        <w:rPr>
          <w:lang w:val="en-ZA"/>
        </w:rPr>
        <w:t xml:space="preserve">personal </w:t>
      </w:r>
      <w:r w:rsidR="00CC7F57" w:rsidRPr="007C17E8">
        <w:rPr>
          <w:lang w:val="en-ZA"/>
        </w:rPr>
        <w:t>service,</w:t>
      </w:r>
      <w:r w:rsidR="001D415F" w:rsidRPr="007C17E8">
        <w:rPr>
          <w:lang w:val="en-ZA"/>
        </w:rPr>
        <w:t xml:space="preserve"> </w:t>
      </w:r>
      <w:r w:rsidR="00CC7F57" w:rsidRPr="007C17E8">
        <w:rPr>
          <w:lang w:val="en-ZA"/>
        </w:rPr>
        <w:t>it must be shown that the</w:t>
      </w:r>
      <w:r w:rsidR="001D415F" w:rsidRPr="007C17E8">
        <w:rPr>
          <w:lang w:val="en-ZA"/>
        </w:rPr>
        <w:t xml:space="preserve"> contem</w:t>
      </w:r>
      <w:r w:rsidR="00E61724" w:rsidRPr="007C17E8">
        <w:rPr>
          <w:lang w:val="en-ZA"/>
        </w:rPr>
        <w:t>n</w:t>
      </w:r>
      <w:r w:rsidR="001D415F" w:rsidRPr="007C17E8">
        <w:rPr>
          <w:lang w:val="en-ZA"/>
        </w:rPr>
        <w:t>or</w:t>
      </w:r>
      <w:r w:rsidR="00CC7F57" w:rsidRPr="007C17E8">
        <w:rPr>
          <w:lang w:val="en-ZA"/>
        </w:rPr>
        <w:t xml:space="preserve"> has knowledge of the court order</w:t>
      </w:r>
      <w:r w:rsidR="004156BC" w:rsidRPr="007C17E8">
        <w:rPr>
          <w:lang w:val="en-ZA"/>
        </w:rPr>
        <w:t>.</w:t>
      </w:r>
    </w:p>
    <w:p w14:paraId="32931B3D" w14:textId="49AF144E" w:rsidR="00F541CB" w:rsidRPr="007C17E8" w:rsidRDefault="007C17E8" w:rsidP="007C17E8">
      <w:pPr>
        <w:tabs>
          <w:tab w:val="left" w:pos="851"/>
          <w:tab w:val="right" w:pos="8280"/>
        </w:tabs>
        <w:spacing w:before="480" w:line="480" w:lineRule="auto"/>
        <w:ind w:left="851" w:hanging="851"/>
        <w:rPr>
          <w:lang w:val="en-ZA"/>
        </w:rPr>
      </w:pPr>
      <w:r>
        <w:rPr>
          <w:lang w:val="en-ZA"/>
        </w:rPr>
        <w:t>[20]</w:t>
      </w:r>
      <w:r>
        <w:rPr>
          <w:lang w:val="en-ZA"/>
        </w:rPr>
        <w:tab/>
      </w:r>
      <w:r w:rsidR="00F20EF2" w:rsidRPr="007C17E8">
        <w:rPr>
          <w:lang w:val="en-ZA"/>
        </w:rPr>
        <w:t>The current MEC,</w:t>
      </w:r>
      <w:r w:rsidR="006417AA" w:rsidRPr="007C17E8">
        <w:rPr>
          <w:lang w:val="en-ZA"/>
        </w:rPr>
        <w:t xml:space="preserve"> Health</w:t>
      </w:r>
      <w:r w:rsidR="00A9476A" w:rsidRPr="007C17E8">
        <w:rPr>
          <w:lang w:val="en-ZA"/>
        </w:rPr>
        <w:t>,</w:t>
      </w:r>
      <w:r w:rsidR="00F20EF2" w:rsidRPr="007C17E8">
        <w:rPr>
          <w:lang w:val="en-ZA"/>
        </w:rPr>
        <w:t xml:space="preserve"> Ms Meth, and HOD,</w:t>
      </w:r>
      <w:r w:rsidR="00A9476A" w:rsidRPr="007C17E8">
        <w:rPr>
          <w:lang w:val="en-ZA"/>
        </w:rPr>
        <w:t xml:space="preserve"> Health</w:t>
      </w:r>
      <w:r w:rsidR="00F20EF2" w:rsidRPr="007C17E8">
        <w:rPr>
          <w:lang w:val="en-ZA"/>
        </w:rPr>
        <w:t xml:space="preserve"> </w:t>
      </w:r>
      <w:r w:rsidR="00BA5DED" w:rsidRPr="007C17E8">
        <w:rPr>
          <w:lang w:val="en-ZA"/>
        </w:rPr>
        <w:t xml:space="preserve">Dr </w:t>
      </w:r>
      <w:r w:rsidR="00F20EF2" w:rsidRPr="007C17E8">
        <w:rPr>
          <w:lang w:val="en-ZA"/>
        </w:rPr>
        <w:t>Wagner, refute that Peter is entitled to any of the relief she seeks</w:t>
      </w:r>
      <w:r w:rsidR="00C20320" w:rsidRPr="007C17E8">
        <w:rPr>
          <w:lang w:val="en-ZA"/>
        </w:rPr>
        <w:t xml:space="preserve">.  </w:t>
      </w:r>
      <w:r w:rsidR="00F20EF2" w:rsidRPr="007C17E8">
        <w:rPr>
          <w:lang w:val="en-ZA"/>
        </w:rPr>
        <w:t>Firstly,</w:t>
      </w:r>
      <w:r w:rsidR="007E3C9D" w:rsidRPr="007C17E8">
        <w:rPr>
          <w:lang w:val="en-ZA"/>
        </w:rPr>
        <w:t xml:space="preserve"> they contend, </w:t>
      </w:r>
      <w:r w:rsidR="003E1F6B" w:rsidRPr="007C17E8">
        <w:rPr>
          <w:lang w:val="en-ZA"/>
        </w:rPr>
        <w:t>neither</w:t>
      </w:r>
      <w:r w:rsidR="007A4347" w:rsidRPr="007C17E8">
        <w:rPr>
          <w:lang w:val="en-ZA"/>
        </w:rPr>
        <w:t xml:space="preserve"> the 2004 </w:t>
      </w:r>
      <w:r w:rsidR="003D2B52" w:rsidRPr="007C17E8">
        <w:rPr>
          <w:lang w:val="en-ZA"/>
        </w:rPr>
        <w:t>O</w:t>
      </w:r>
      <w:r w:rsidR="007A4347" w:rsidRPr="007C17E8">
        <w:rPr>
          <w:lang w:val="en-ZA"/>
        </w:rPr>
        <w:t xml:space="preserve">rder nor the 2018 </w:t>
      </w:r>
      <w:r w:rsidR="003D2B52" w:rsidRPr="007C17E8">
        <w:rPr>
          <w:lang w:val="en-ZA"/>
        </w:rPr>
        <w:t>O</w:t>
      </w:r>
      <w:r w:rsidR="007A4347" w:rsidRPr="007C17E8">
        <w:rPr>
          <w:lang w:val="en-ZA"/>
        </w:rPr>
        <w:t>rder w</w:t>
      </w:r>
      <w:r w:rsidR="00744699" w:rsidRPr="007C17E8">
        <w:rPr>
          <w:lang w:val="en-ZA"/>
        </w:rPr>
        <w:t>as</w:t>
      </w:r>
      <w:r w:rsidR="007A4347" w:rsidRPr="007C17E8">
        <w:rPr>
          <w:lang w:val="en-ZA"/>
        </w:rPr>
        <w:t xml:space="preserve"> served on them </w:t>
      </w:r>
      <w:r w:rsidR="007A4347" w:rsidRPr="007C17E8">
        <w:rPr>
          <w:lang w:val="en-ZA"/>
        </w:rPr>
        <w:lastRenderedPageBreak/>
        <w:t>personally</w:t>
      </w:r>
      <w:r w:rsidR="00F20EF2" w:rsidRPr="007C17E8">
        <w:rPr>
          <w:lang w:val="en-ZA"/>
        </w:rPr>
        <w:t xml:space="preserve"> and, secondly, the debt that Peter seeks to enforce has, in fact, been paid</w:t>
      </w:r>
      <w:r w:rsidR="00C20320" w:rsidRPr="007C17E8">
        <w:rPr>
          <w:lang w:val="en-ZA"/>
        </w:rPr>
        <w:t xml:space="preserve">.  </w:t>
      </w:r>
    </w:p>
    <w:p w14:paraId="3FE6EBED" w14:textId="628C6467" w:rsidR="00F541CB" w:rsidRPr="007C17E8" w:rsidRDefault="007C17E8" w:rsidP="007C17E8">
      <w:pPr>
        <w:tabs>
          <w:tab w:val="left" w:pos="851"/>
          <w:tab w:val="right" w:pos="8280"/>
        </w:tabs>
        <w:spacing w:before="480" w:line="480" w:lineRule="auto"/>
        <w:ind w:left="1701" w:hanging="850"/>
        <w:rPr>
          <w:lang w:val="en-ZA"/>
        </w:rPr>
      </w:pPr>
      <w:r>
        <w:rPr>
          <w:lang w:val="en-ZA"/>
        </w:rPr>
        <w:t>20.1</w:t>
      </w:r>
      <w:r>
        <w:rPr>
          <w:lang w:val="en-ZA"/>
        </w:rPr>
        <w:tab/>
      </w:r>
      <w:r w:rsidR="003D54E4" w:rsidRPr="007C17E8">
        <w:rPr>
          <w:lang w:val="en-ZA"/>
        </w:rPr>
        <w:t xml:space="preserve">On 2 March 2011, the </w:t>
      </w:r>
      <w:r w:rsidR="00744699" w:rsidRPr="007C17E8">
        <w:rPr>
          <w:lang w:val="en-ZA"/>
        </w:rPr>
        <w:t xml:space="preserve">2004 </w:t>
      </w:r>
      <w:r w:rsidR="003D54E4" w:rsidRPr="007C17E8">
        <w:rPr>
          <w:lang w:val="en-ZA"/>
        </w:rPr>
        <w:t>order was served on a Ms L Mooi in Legal Services, who accepted service, both for the accounting officer of the Department of Health, Eastern Cape (that is the Head of Department) and the MEC of Health, Eastern Cape</w:t>
      </w:r>
    </w:p>
    <w:p w14:paraId="33BB4CF8" w14:textId="6D5FF8E4" w:rsidR="00F20EF2" w:rsidRPr="007C17E8" w:rsidRDefault="007C17E8" w:rsidP="007C17E8">
      <w:pPr>
        <w:tabs>
          <w:tab w:val="left" w:pos="851"/>
          <w:tab w:val="right" w:pos="8280"/>
        </w:tabs>
        <w:spacing w:before="480" w:line="480" w:lineRule="auto"/>
        <w:ind w:left="1701" w:hanging="850"/>
        <w:rPr>
          <w:lang w:val="en-ZA"/>
        </w:rPr>
      </w:pPr>
      <w:r>
        <w:rPr>
          <w:lang w:val="en-ZA"/>
        </w:rPr>
        <w:t>20.2</w:t>
      </w:r>
      <w:r>
        <w:rPr>
          <w:lang w:val="en-ZA"/>
        </w:rPr>
        <w:tab/>
      </w:r>
      <w:r w:rsidR="003D54E4" w:rsidRPr="007C17E8">
        <w:rPr>
          <w:lang w:val="en-ZA"/>
        </w:rPr>
        <w:t>On 18 December 2018, t</w:t>
      </w:r>
      <w:r w:rsidR="00F20EF2" w:rsidRPr="007C17E8">
        <w:rPr>
          <w:lang w:val="en-ZA"/>
        </w:rPr>
        <w:t>he</w:t>
      </w:r>
      <w:r w:rsidR="003D2B52" w:rsidRPr="007C17E8">
        <w:rPr>
          <w:lang w:val="en-ZA"/>
        </w:rPr>
        <w:t xml:space="preserve"> 2018 O</w:t>
      </w:r>
      <w:r w:rsidR="00C20320" w:rsidRPr="007C17E8">
        <w:rPr>
          <w:lang w:val="en-ZA"/>
        </w:rPr>
        <w:t>rder was served on a Mrs Z </w:t>
      </w:r>
      <w:proofErr w:type="spellStart"/>
      <w:r w:rsidR="00F20EF2" w:rsidRPr="007C17E8">
        <w:rPr>
          <w:lang w:val="en-ZA"/>
        </w:rPr>
        <w:t>Mephlo</w:t>
      </w:r>
      <w:proofErr w:type="spellEnd"/>
      <w:r w:rsidR="00F20EF2" w:rsidRPr="007C17E8">
        <w:rPr>
          <w:lang w:val="en-ZA"/>
        </w:rPr>
        <w:t xml:space="preserve">, the office manager of the Superintendent General of Health, Dr TD </w:t>
      </w:r>
      <w:proofErr w:type="spellStart"/>
      <w:r w:rsidR="00F20EF2" w:rsidRPr="007C17E8">
        <w:rPr>
          <w:lang w:val="en-ZA"/>
        </w:rPr>
        <w:t>Mbengashe</w:t>
      </w:r>
      <w:proofErr w:type="spellEnd"/>
      <w:r w:rsidR="00F20EF2" w:rsidRPr="007C17E8">
        <w:rPr>
          <w:lang w:val="en-ZA"/>
        </w:rPr>
        <w:t>, as the person designated by him to accept service on his behalf in terms of the State Liability Act</w:t>
      </w:r>
      <w:r w:rsidR="003D54E4" w:rsidRPr="007C17E8">
        <w:rPr>
          <w:lang w:val="en-ZA"/>
        </w:rPr>
        <w:t>.</w:t>
      </w:r>
    </w:p>
    <w:p w14:paraId="055E9830" w14:textId="40C4D79C" w:rsidR="00F73A5B" w:rsidRPr="007C17E8" w:rsidRDefault="007C17E8" w:rsidP="007C17E8">
      <w:pPr>
        <w:tabs>
          <w:tab w:val="left" w:pos="851"/>
          <w:tab w:val="right" w:pos="8280"/>
        </w:tabs>
        <w:spacing w:before="480" w:line="480" w:lineRule="auto"/>
        <w:ind w:left="1701" w:hanging="850"/>
        <w:rPr>
          <w:lang w:val="en-ZA"/>
        </w:rPr>
      </w:pPr>
      <w:r>
        <w:rPr>
          <w:lang w:val="en-ZA"/>
        </w:rPr>
        <w:t>20.3</w:t>
      </w:r>
      <w:r>
        <w:rPr>
          <w:lang w:val="en-ZA"/>
        </w:rPr>
        <w:tab/>
      </w:r>
      <w:r w:rsidR="00F20EF2" w:rsidRPr="007C17E8">
        <w:rPr>
          <w:lang w:val="en-ZA"/>
        </w:rPr>
        <w:t xml:space="preserve">On 13 December 2018, the </w:t>
      </w:r>
      <w:r w:rsidR="00537C4D" w:rsidRPr="007C17E8">
        <w:rPr>
          <w:lang w:val="en-ZA"/>
        </w:rPr>
        <w:t>2018 O</w:t>
      </w:r>
      <w:r w:rsidR="00C20320" w:rsidRPr="007C17E8">
        <w:rPr>
          <w:lang w:val="en-ZA"/>
        </w:rPr>
        <w:t>rder was served on a Ms Z </w:t>
      </w:r>
      <w:proofErr w:type="spellStart"/>
      <w:r w:rsidR="00F20EF2" w:rsidRPr="007C17E8">
        <w:rPr>
          <w:lang w:val="en-ZA"/>
        </w:rPr>
        <w:t>Gangana</w:t>
      </w:r>
      <w:proofErr w:type="spellEnd"/>
      <w:r w:rsidR="00F20EF2" w:rsidRPr="007C17E8">
        <w:rPr>
          <w:lang w:val="en-ZA"/>
        </w:rPr>
        <w:t xml:space="preserve">, the person in charge of Shared Legal Services at the office of the Premier, who accepted service on behalf of the MEC for Health, Helen </w:t>
      </w:r>
      <w:proofErr w:type="spellStart"/>
      <w:r w:rsidR="00F20EF2" w:rsidRPr="007C17E8">
        <w:rPr>
          <w:lang w:val="en-ZA"/>
        </w:rPr>
        <w:t>Sauls</w:t>
      </w:r>
      <w:proofErr w:type="spellEnd"/>
      <w:r w:rsidR="00F20EF2" w:rsidRPr="007C17E8">
        <w:rPr>
          <w:lang w:val="en-ZA"/>
        </w:rPr>
        <w:t xml:space="preserve"> August and the HOD for Health, </w:t>
      </w:r>
      <w:proofErr w:type="spellStart"/>
      <w:r w:rsidR="00F20EF2" w:rsidRPr="007C17E8">
        <w:rPr>
          <w:lang w:val="en-ZA"/>
        </w:rPr>
        <w:t>Thobile</w:t>
      </w:r>
      <w:proofErr w:type="spellEnd"/>
      <w:r w:rsidR="00F20EF2" w:rsidRPr="007C17E8">
        <w:rPr>
          <w:lang w:val="en-ZA"/>
        </w:rPr>
        <w:t xml:space="preserve"> </w:t>
      </w:r>
      <w:proofErr w:type="spellStart"/>
      <w:r w:rsidR="00F20EF2" w:rsidRPr="007C17E8">
        <w:rPr>
          <w:lang w:val="en-ZA"/>
        </w:rPr>
        <w:t>Mbengashe</w:t>
      </w:r>
      <w:proofErr w:type="spellEnd"/>
      <w:r w:rsidR="00C20320" w:rsidRPr="007C17E8">
        <w:rPr>
          <w:lang w:val="en-ZA"/>
        </w:rPr>
        <w:t xml:space="preserve">.  </w:t>
      </w:r>
    </w:p>
    <w:p w14:paraId="3384930C" w14:textId="7ABD9605" w:rsidR="00F20EF2" w:rsidRPr="007C17E8" w:rsidRDefault="007C17E8" w:rsidP="007C17E8">
      <w:pPr>
        <w:tabs>
          <w:tab w:val="left" w:pos="851"/>
          <w:tab w:val="right" w:pos="8280"/>
        </w:tabs>
        <w:spacing w:before="480" w:line="480" w:lineRule="auto"/>
        <w:ind w:left="1701" w:hanging="850"/>
        <w:rPr>
          <w:lang w:val="en-ZA"/>
        </w:rPr>
      </w:pPr>
      <w:r>
        <w:rPr>
          <w:lang w:val="en-ZA"/>
        </w:rPr>
        <w:t>20.4</w:t>
      </w:r>
      <w:r>
        <w:rPr>
          <w:lang w:val="en-ZA"/>
        </w:rPr>
        <w:tab/>
      </w:r>
      <w:r w:rsidR="00F20EF2" w:rsidRPr="007C17E8">
        <w:rPr>
          <w:lang w:val="en-ZA"/>
        </w:rPr>
        <w:t>Service in this fashion does not constitute personal service</w:t>
      </w:r>
      <w:r w:rsidR="00C20320" w:rsidRPr="007C17E8">
        <w:rPr>
          <w:lang w:val="en-ZA"/>
        </w:rPr>
        <w:t xml:space="preserve">.  </w:t>
      </w:r>
    </w:p>
    <w:p w14:paraId="1A0B6D56" w14:textId="761245E9" w:rsidR="00F20EF2" w:rsidRPr="007C17E8" w:rsidRDefault="007C17E8" w:rsidP="007C17E8">
      <w:pPr>
        <w:tabs>
          <w:tab w:val="left" w:pos="851"/>
          <w:tab w:val="right" w:pos="8280"/>
        </w:tabs>
        <w:spacing w:before="480" w:line="480" w:lineRule="auto"/>
        <w:ind w:left="851" w:hanging="851"/>
        <w:rPr>
          <w:lang w:val="en-ZA"/>
        </w:rPr>
      </w:pPr>
      <w:r w:rsidRPr="003D54E4">
        <w:rPr>
          <w:lang w:val="en-ZA"/>
        </w:rPr>
        <w:t>[21]</w:t>
      </w:r>
      <w:r w:rsidRPr="003D54E4">
        <w:rPr>
          <w:lang w:val="en-ZA"/>
        </w:rPr>
        <w:tab/>
      </w:r>
      <w:r w:rsidR="00F20EF2" w:rsidRPr="007C17E8">
        <w:rPr>
          <w:lang w:val="en-ZA"/>
        </w:rPr>
        <w:t>These returns of service clearly indicate that</w:t>
      </w:r>
      <w:r w:rsidR="00C20320" w:rsidRPr="007C17E8">
        <w:rPr>
          <w:lang w:val="en-ZA"/>
        </w:rPr>
        <w:t xml:space="preserve"> </w:t>
      </w:r>
      <w:r w:rsidR="003D54E4" w:rsidRPr="007C17E8">
        <w:rPr>
          <w:lang w:val="en-ZA"/>
        </w:rPr>
        <w:t xml:space="preserve">there was </w:t>
      </w:r>
      <w:r w:rsidR="00F20EF2" w:rsidRPr="007C17E8">
        <w:rPr>
          <w:lang w:val="en-ZA"/>
        </w:rPr>
        <w:t xml:space="preserve">no personal service </w:t>
      </w:r>
      <w:r w:rsidR="00EE75A3" w:rsidRPr="007C17E8">
        <w:rPr>
          <w:lang w:val="en-ZA"/>
        </w:rPr>
        <w:t>of</w:t>
      </w:r>
      <w:r w:rsidR="00FB47D6" w:rsidRPr="007C17E8">
        <w:rPr>
          <w:lang w:val="en-ZA"/>
        </w:rPr>
        <w:t xml:space="preserve"> either the 2004 Order o</w:t>
      </w:r>
      <w:r w:rsidR="00EE75A3" w:rsidRPr="007C17E8">
        <w:rPr>
          <w:lang w:val="en-ZA"/>
        </w:rPr>
        <w:t>r</w:t>
      </w:r>
      <w:r w:rsidR="00FB47D6" w:rsidRPr="007C17E8">
        <w:rPr>
          <w:lang w:val="en-ZA"/>
        </w:rPr>
        <w:t xml:space="preserve"> the 2018 Order</w:t>
      </w:r>
      <w:r w:rsidR="00EE75A3" w:rsidRPr="007C17E8">
        <w:rPr>
          <w:lang w:val="en-ZA"/>
        </w:rPr>
        <w:t xml:space="preserve"> </w:t>
      </w:r>
      <w:r w:rsidR="00F20EF2" w:rsidRPr="007C17E8">
        <w:rPr>
          <w:lang w:val="en-ZA"/>
        </w:rPr>
        <w:t>on the persons occupying</w:t>
      </w:r>
      <w:r w:rsidR="003D12FA" w:rsidRPr="007C17E8">
        <w:rPr>
          <w:lang w:val="en-ZA"/>
        </w:rPr>
        <w:t xml:space="preserve"> either </w:t>
      </w:r>
      <w:r w:rsidR="00F20EF2" w:rsidRPr="007C17E8">
        <w:rPr>
          <w:lang w:val="en-ZA"/>
        </w:rPr>
        <w:t>the position of MEC</w:t>
      </w:r>
      <w:r w:rsidR="005D2712" w:rsidRPr="007C17E8">
        <w:rPr>
          <w:lang w:val="en-ZA"/>
        </w:rPr>
        <w:t xml:space="preserve"> </w:t>
      </w:r>
      <w:r w:rsidR="00F20EF2" w:rsidRPr="007C17E8">
        <w:rPr>
          <w:lang w:val="en-ZA"/>
        </w:rPr>
        <w:t>Health,</w:t>
      </w:r>
      <w:r w:rsidR="003D12FA" w:rsidRPr="007C17E8">
        <w:rPr>
          <w:lang w:val="en-ZA"/>
        </w:rPr>
        <w:t xml:space="preserve"> or that of</w:t>
      </w:r>
      <w:r w:rsidR="00C20320" w:rsidRPr="007C17E8">
        <w:rPr>
          <w:lang w:val="en-ZA"/>
        </w:rPr>
        <w:t xml:space="preserve"> </w:t>
      </w:r>
      <w:r w:rsidR="00F20EF2" w:rsidRPr="007C17E8">
        <w:rPr>
          <w:lang w:val="en-ZA"/>
        </w:rPr>
        <w:t>HOD</w:t>
      </w:r>
      <w:r w:rsidR="00C20320" w:rsidRPr="007C17E8">
        <w:rPr>
          <w:lang w:val="en-ZA"/>
        </w:rPr>
        <w:t xml:space="preserve"> </w:t>
      </w:r>
      <w:r w:rsidR="00F20EF2" w:rsidRPr="007C17E8">
        <w:rPr>
          <w:lang w:val="en-ZA"/>
        </w:rPr>
        <w:t xml:space="preserve">Health, </w:t>
      </w:r>
      <w:r w:rsidR="00747CF6" w:rsidRPr="007C17E8">
        <w:rPr>
          <w:lang w:val="en-ZA"/>
        </w:rPr>
        <w:lastRenderedPageBreak/>
        <w:t>both</w:t>
      </w:r>
      <w:r w:rsidR="00F20EF2" w:rsidRPr="007C17E8">
        <w:rPr>
          <w:lang w:val="en-ZA"/>
        </w:rPr>
        <w:t xml:space="preserve"> in 2011 </w:t>
      </w:r>
      <w:r w:rsidR="003D7BFE" w:rsidRPr="007C17E8">
        <w:rPr>
          <w:lang w:val="en-ZA"/>
        </w:rPr>
        <w:t xml:space="preserve">and </w:t>
      </w:r>
      <w:r w:rsidR="00F20EF2" w:rsidRPr="007C17E8">
        <w:rPr>
          <w:lang w:val="en-ZA"/>
        </w:rPr>
        <w:t>in 2018</w:t>
      </w:r>
      <w:r w:rsidR="00C20320" w:rsidRPr="007C17E8">
        <w:rPr>
          <w:lang w:val="en-ZA"/>
        </w:rPr>
        <w:t xml:space="preserve">.  </w:t>
      </w:r>
      <w:r w:rsidR="00F20EF2" w:rsidRPr="007C17E8">
        <w:rPr>
          <w:lang w:val="en-ZA"/>
        </w:rPr>
        <w:t>The current application, which includes both the</w:t>
      </w:r>
      <w:r w:rsidR="003D54E4" w:rsidRPr="007C17E8">
        <w:rPr>
          <w:lang w:val="en-ZA"/>
        </w:rPr>
        <w:t>se</w:t>
      </w:r>
      <w:r w:rsidR="00C20320" w:rsidRPr="007C17E8">
        <w:rPr>
          <w:lang w:val="en-ZA"/>
        </w:rPr>
        <w:t xml:space="preserve"> </w:t>
      </w:r>
      <w:r w:rsidR="003D54E4" w:rsidRPr="007C17E8">
        <w:rPr>
          <w:lang w:val="en-ZA"/>
        </w:rPr>
        <w:t xml:space="preserve">court </w:t>
      </w:r>
      <w:r w:rsidR="00F20EF2" w:rsidRPr="007C17E8">
        <w:rPr>
          <w:lang w:val="en-ZA"/>
        </w:rPr>
        <w:t>orders, w</w:t>
      </w:r>
      <w:r w:rsidR="003D54E4" w:rsidRPr="007C17E8">
        <w:rPr>
          <w:lang w:val="en-ZA"/>
        </w:rPr>
        <w:t>as</w:t>
      </w:r>
      <w:r w:rsidR="00C20320" w:rsidRPr="007C17E8">
        <w:rPr>
          <w:lang w:val="en-ZA"/>
        </w:rPr>
        <w:t xml:space="preserve"> </w:t>
      </w:r>
      <w:r w:rsidR="00F20EF2" w:rsidRPr="007C17E8">
        <w:rPr>
          <w:lang w:val="en-ZA"/>
        </w:rPr>
        <w:t>served solely on the State Attorney as the legal representative of the MEC</w:t>
      </w:r>
      <w:r w:rsidR="003D7BFE" w:rsidRPr="007C17E8">
        <w:rPr>
          <w:lang w:val="en-ZA"/>
        </w:rPr>
        <w:t xml:space="preserve"> Health</w:t>
      </w:r>
      <w:r w:rsidR="00C20320" w:rsidRPr="007C17E8">
        <w:rPr>
          <w:lang w:val="en-ZA"/>
        </w:rPr>
        <w:t xml:space="preserve"> </w:t>
      </w:r>
      <w:r w:rsidR="00F20EF2" w:rsidRPr="007C17E8">
        <w:rPr>
          <w:lang w:val="en-ZA"/>
        </w:rPr>
        <w:t>and HOD</w:t>
      </w:r>
      <w:r w:rsidR="00C43067" w:rsidRPr="007C17E8">
        <w:rPr>
          <w:lang w:val="en-ZA"/>
        </w:rPr>
        <w:t xml:space="preserve"> </w:t>
      </w:r>
      <w:r w:rsidR="003D7BFE" w:rsidRPr="007C17E8">
        <w:rPr>
          <w:lang w:val="en-ZA"/>
        </w:rPr>
        <w:t>Health</w:t>
      </w:r>
      <w:r w:rsidR="00C20320" w:rsidRPr="007C17E8">
        <w:rPr>
          <w:lang w:val="en-ZA"/>
        </w:rPr>
        <w:t xml:space="preserve">.  </w:t>
      </w:r>
      <w:r w:rsidR="00F20EF2" w:rsidRPr="007C17E8">
        <w:rPr>
          <w:lang w:val="en-ZA"/>
        </w:rPr>
        <w:t xml:space="preserve">There are no returns of service in the papers </w:t>
      </w:r>
      <w:r w:rsidR="003D54E4" w:rsidRPr="007C17E8">
        <w:rPr>
          <w:lang w:val="en-ZA"/>
        </w:rPr>
        <w:t xml:space="preserve">evidencing </w:t>
      </w:r>
      <w:r w:rsidR="00F20EF2" w:rsidRPr="007C17E8">
        <w:rPr>
          <w:lang w:val="en-ZA"/>
        </w:rPr>
        <w:t>personal service on the current</w:t>
      </w:r>
      <w:r w:rsidR="00774918" w:rsidRPr="007C17E8">
        <w:rPr>
          <w:lang w:val="en-ZA"/>
        </w:rPr>
        <w:t xml:space="preserve"> </w:t>
      </w:r>
      <w:r w:rsidR="00AF7CA9" w:rsidRPr="007C17E8">
        <w:rPr>
          <w:lang w:val="en-ZA"/>
        </w:rPr>
        <w:t>incumbents</w:t>
      </w:r>
      <w:r w:rsidR="00774918" w:rsidRPr="007C17E8">
        <w:rPr>
          <w:lang w:val="en-ZA"/>
        </w:rPr>
        <w:t xml:space="preserve"> </w:t>
      </w:r>
      <w:r w:rsidR="00F20EF2" w:rsidRPr="007C17E8">
        <w:rPr>
          <w:lang w:val="en-ZA"/>
        </w:rPr>
        <w:t>Ms Meth or</w:t>
      </w:r>
      <w:r w:rsidR="00C20320" w:rsidRPr="007C17E8">
        <w:rPr>
          <w:lang w:val="en-ZA"/>
        </w:rPr>
        <w:t xml:space="preserve"> </w:t>
      </w:r>
      <w:r w:rsidR="00BA5DED" w:rsidRPr="007C17E8">
        <w:rPr>
          <w:lang w:val="en-ZA"/>
        </w:rPr>
        <w:t>Dr </w:t>
      </w:r>
      <w:r w:rsidR="00F20EF2" w:rsidRPr="007C17E8">
        <w:rPr>
          <w:lang w:val="en-ZA"/>
        </w:rPr>
        <w:t>Wagner</w:t>
      </w:r>
      <w:r w:rsidR="00C20320" w:rsidRPr="007C17E8">
        <w:rPr>
          <w:lang w:val="en-ZA"/>
        </w:rPr>
        <w:t xml:space="preserve">.  </w:t>
      </w:r>
    </w:p>
    <w:p w14:paraId="212259D5" w14:textId="7E33737B" w:rsidR="00804D0F" w:rsidRPr="007C17E8" w:rsidRDefault="007C17E8" w:rsidP="007C17E8">
      <w:pPr>
        <w:tabs>
          <w:tab w:val="left" w:pos="851"/>
          <w:tab w:val="right" w:pos="8280"/>
        </w:tabs>
        <w:spacing w:before="480" w:line="480" w:lineRule="auto"/>
        <w:ind w:left="851" w:hanging="851"/>
        <w:rPr>
          <w:lang w:val="en-ZA"/>
        </w:rPr>
      </w:pPr>
      <w:r>
        <w:rPr>
          <w:lang w:val="en-ZA"/>
        </w:rPr>
        <w:t>[22]</w:t>
      </w:r>
      <w:r>
        <w:rPr>
          <w:lang w:val="en-ZA"/>
        </w:rPr>
        <w:tab/>
      </w:r>
      <w:r w:rsidR="00804D0F" w:rsidRPr="007C17E8">
        <w:rPr>
          <w:lang w:val="en-ZA"/>
        </w:rPr>
        <w:t>There is no evidence on the papers that the current MEC, Ms Meth, has any knowledge of the</w:t>
      </w:r>
      <w:r w:rsidR="00C20320" w:rsidRPr="007C17E8">
        <w:rPr>
          <w:lang w:val="en-ZA"/>
        </w:rPr>
        <w:t xml:space="preserve"> </w:t>
      </w:r>
      <w:r w:rsidR="00C43067" w:rsidRPr="007C17E8">
        <w:rPr>
          <w:lang w:val="en-ZA"/>
        </w:rPr>
        <w:t>2004 O</w:t>
      </w:r>
      <w:r w:rsidR="00804D0F" w:rsidRPr="007C17E8">
        <w:rPr>
          <w:lang w:val="en-ZA"/>
        </w:rPr>
        <w:t>rder</w:t>
      </w:r>
      <w:r w:rsidR="00C43067" w:rsidRPr="007C17E8">
        <w:rPr>
          <w:lang w:val="en-ZA"/>
        </w:rPr>
        <w:t xml:space="preserve"> or the 2018 Order </w:t>
      </w:r>
      <w:r w:rsidR="00852B33" w:rsidRPr="007C17E8">
        <w:rPr>
          <w:lang w:val="en-ZA"/>
        </w:rPr>
        <w:t>o</w:t>
      </w:r>
      <w:r w:rsidR="00804D0F" w:rsidRPr="007C17E8">
        <w:rPr>
          <w:lang w:val="en-ZA"/>
        </w:rPr>
        <w:t>r these current proceedings</w:t>
      </w:r>
      <w:r w:rsidR="00C20320" w:rsidRPr="007C17E8">
        <w:rPr>
          <w:lang w:val="en-ZA"/>
        </w:rPr>
        <w:t xml:space="preserve"> </w:t>
      </w:r>
      <w:r w:rsidR="00804D0F" w:rsidRPr="007C17E8">
        <w:rPr>
          <w:lang w:val="en-ZA"/>
        </w:rPr>
        <w:t>Consequently, there is no scope to contend, as Peter does, that the MEC is in wilful disregard of these court orders.</w:t>
      </w:r>
    </w:p>
    <w:p w14:paraId="356075C5" w14:textId="48974908" w:rsidR="00BA5DED" w:rsidRPr="007C17E8" w:rsidRDefault="007C17E8" w:rsidP="007C17E8">
      <w:pPr>
        <w:tabs>
          <w:tab w:val="left" w:pos="851"/>
          <w:tab w:val="right" w:pos="8280"/>
        </w:tabs>
        <w:spacing w:before="480" w:line="480" w:lineRule="auto"/>
        <w:ind w:left="851" w:hanging="851"/>
        <w:rPr>
          <w:lang w:val="en-ZA"/>
        </w:rPr>
      </w:pPr>
      <w:r>
        <w:rPr>
          <w:lang w:val="en-ZA"/>
        </w:rPr>
        <w:t>[23]</w:t>
      </w:r>
      <w:r>
        <w:rPr>
          <w:lang w:val="en-ZA"/>
        </w:rPr>
        <w:tab/>
      </w:r>
      <w:r w:rsidR="00BA5DED" w:rsidRPr="007C17E8">
        <w:rPr>
          <w:lang w:val="en-ZA"/>
        </w:rPr>
        <w:t>The current HOD, Dr Wagner, gained knowledge of this court order in these proceedings</w:t>
      </w:r>
      <w:r w:rsidR="00C20320" w:rsidRPr="007C17E8">
        <w:rPr>
          <w:lang w:val="en-ZA"/>
        </w:rPr>
        <w:t xml:space="preserve">.  </w:t>
      </w:r>
      <w:r w:rsidR="007E3A65" w:rsidRPr="007C17E8">
        <w:rPr>
          <w:lang w:val="en-ZA"/>
        </w:rPr>
        <w:t>Dr Wagner</w:t>
      </w:r>
      <w:r w:rsidR="00BA5DED" w:rsidRPr="007C17E8">
        <w:rPr>
          <w:lang w:val="en-ZA"/>
        </w:rPr>
        <w:t xml:space="preserve"> is the deponent to the answering affidavit</w:t>
      </w:r>
      <w:r w:rsidR="00C20320" w:rsidRPr="007C17E8">
        <w:rPr>
          <w:lang w:val="en-ZA"/>
        </w:rPr>
        <w:t xml:space="preserve">.  </w:t>
      </w:r>
      <w:r w:rsidR="00BA5DED" w:rsidRPr="007C17E8">
        <w:rPr>
          <w:lang w:val="en-ZA"/>
        </w:rPr>
        <w:t>Her defence is that the court order has been complied with</w:t>
      </w:r>
      <w:r w:rsidR="007E3A65" w:rsidRPr="007C17E8">
        <w:rPr>
          <w:lang w:val="en-ZA"/>
        </w:rPr>
        <w:t xml:space="preserve">, as </w:t>
      </w:r>
      <w:r w:rsidR="00BA5DED" w:rsidRPr="007C17E8">
        <w:rPr>
          <w:lang w:val="en-ZA"/>
        </w:rPr>
        <w:t>the outstanding interest</w:t>
      </w:r>
      <w:r w:rsidR="007E3A65" w:rsidRPr="007C17E8">
        <w:rPr>
          <w:lang w:val="en-ZA"/>
        </w:rPr>
        <w:t>, calculated from date the pension ought to have been paid (that is 1 December 1998</w:t>
      </w:r>
      <w:r w:rsidR="00B14AD4" w:rsidRPr="007C17E8">
        <w:rPr>
          <w:lang w:val="en-ZA"/>
        </w:rPr>
        <w:t>)</w:t>
      </w:r>
      <w:r w:rsidR="007E3A65" w:rsidRPr="007C17E8">
        <w:rPr>
          <w:lang w:val="en-ZA"/>
        </w:rPr>
        <w:t xml:space="preserve"> until actual payment </w:t>
      </w:r>
      <w:r w:rsidR="00B14AD4" w:rsidRPr="007C17E8">
        <w:rPr>
          <w:lang w:val="en-ZA"/>
        </w:rPr>
        <w:t xml:space="preserve">(that is </w:t>
      </w:r>
      <w:r w:rsidR="007E3A65" w:rsidRPr="007C17E8">
        <w:rPr>
          <w:lang w:val="en-ZA"/>
        </w:rPr>
        <w:t>1 October 2005</w:t>
      </w:r>
      <w:r w:rsidR="00B14AD4" w:rsidRPr="007C17E8">
        <w:rPr>
          <w:lang w:val="en-ZA"/>
        </w:rPr>
        <w:t>) has been paid</w:t>
      </w:r>
      <w:r w:rsidR="007E3A65" w:rsidRPr="007C17E8">
        <w:rPr>
          <w:lang w:val="en-ZA"/>
        </w:rPr>
        <w:t>.</w:t>
      </w:r>
    </w:p>
    <w:p w14:paraId="08AE75DC" w14:textId="6E516DF6" w:rsidR="00514621" w:rsidRPr="007C17E8" w:rsidRDefault="007C17E8" w:rsidP="007C17E8">
      <w:pPr>
        <w:tabs>
          <w:tab w:val="left" w:pos="851"/>
          <w:tab w:val="right" w:pos="8280"/>
        </w:tabs>
        <w:spacing w:before="480" w:line="480" w:lineRule="auto"/>
        <w:ind w:left="851" w:hanging="851"/>
        <w:rPr>
          <w:lang w:val="en-ZA"/>
        </w:rPr>
      </w:pPr>
      <w:r>
        <w:rPr>
          <w:lang w:val="en-ZA"/>
        </w:rPr>
        <w:t>[24]</w:t>
      </w:r>
      <w:r>
        <w:rPr>
          <w:lang w:val="en-ZA"/>
        </w:rPr>
        <w:tab/>
      </w:r>
      <w:r w:rsidR="00B14AD4" w:rsidRPr="007C17E8">
        <w:rPr>
          <w:lang w:val="en-ZA"/>
        </w:rPr>
        <w:t>Peter has only shown the first leg of the test for contempt of court, namely, that an order was gran</w:t>
      </w:r>
      <w:r w:rsidR="00C20320" w:rsidRPr="007C17E8">
        <w:rPr>
          <w:lang w:val="en-ZA"/>
        </w:rPr>
        <w:t>ted against the MEC Health on 5 </w:t>
      </w:r>
      <w:r w:rsidR="00B14AD4" w:rsidRPr="007C17E8">
        <w:rPr>
          <w:lang w:val="en-ZA"/>
        </w:rPr>
        <w:t>February 2004 and that a further court order was granted against the MEC</w:t>
      </w:r>
      <w:r w:rsidR="00C20320" w:rsidRPr="007C17E8">
        <w:rPr>
          <w:lang w:val="en-ZA"/>
        </w:rPr>
        <w:t xml:space="preserve"> </w:t>
      </w:r>
      <w:r w:rsidR="00514621" w:rsidRPr="007C17E8">
        <w:rPr>
          <w:lang w:val="en-ZA"/>
        </w:rPr>
        <w:t xml:space="preserve">and HOD </w:t>
      </w:r>
      <w:r w:rsidR="00B14AD4" w:rsidRPr="007C17E8">
        <w:rPr>
          <w:lang w:val="en-ZA"/>
        </w:rPr>
        <w:t>Health</w:t>
      </w:r>
      <w:r w:rsidR="00C20320" w:rsidRPr="007C17E8">
        <w:rPr>
          <w:lang w:val="en-ZA"/>
        </w:rPr>
        <w:t xml:space="preserve"> </w:t>
      </w:r>
      <w:r w:rsidR="00514621" w:rsidRPr="007C17E8">
        <w:rPr>
          <w:lang w:val="en-ZA"/>
        </w:rPr>
        <w:t xml:space="preserve">as </w:t>
      </w:r>
      <w:r w:rsidR="00B14AD4" w:rsidRPr="007C17E8">
        <w:rPr>
          <w:lang w:val="en-ZA"/>
        </w:rPr>
        <w:t>well as the incumbents</w:t>
      </w:r>
      <w:r w:rsidR="00514621" w:rsidRPr="007C17E8">
        <w:rPr>
          <w:lang w:val="en-ZA"/>
        </w:rPr>
        <w:t>,</w:t>
      </w:r>
      <w:r w:rsidR="00B14AD4" w:rsidRPr="007C17E8">
        <w:rPr>
          <w:lang w:val="en-ZA"/>
        </w:rPr>
        <w:t xml:space="preserve"> Helen </w:t>
      </w:r>
      <w:proofErr w:type="spellStart"/>
      <w:r w:rsidR="00B14AD4" w:rsidRPr="007C17E8">
        <w:rPr>
          <w:lang w:val="en-ZA"/>
        </w:rPr>
        <w:t>Sauls</w:t>
      </w:r>
      <w:proofErr w:type="spellEnd"/>
      <w:r w:rsidR="00B14AD4" w:rsidRPr="007C17E8">
        <w:rPr>
          <w:lang w:val="en-ZA"/>
        </w:rPr>
        <w:t xml:space="preserve"> </w:t>
      </w:r>
      <w:proofErr w:type="gramStart"/>
      <w:r w:rsidR="00B14AD4" w:rsidRPr="007C17E8">
        <w:rPr>
          <w:lang w:val="en-ZA"/>
        </w:rPr>
        <w:t>August</w:t>
      </w:r>
      <w:proofErr w:type="gramEnd"/>
      <w:r w:rsidR="00B14AD4" w:rsidRPr="007C17E8">
        <w:rPr>
          <w:lang w:val="en-ZA"/>
        </w:rPr>
        <w:t xml:space="preserve"> and Dr </w:t>
      </w:r>
      <w:proofErr w:type="spellStart"/>
      <w:r w:rsidR="00B14AD4" w:rsidRPr="007C17E8">
        <w:rPr>
          <w:lang w:val="en-ZA"/>
        </w:rPr>
        <w:t>Thobile</w:t>
      </w:r>
      <w:proofErr w:type="spellEnd"/>
      <w:r w:rsidR="00B14AD4" w:rsidRPr="007C17E8">
        <w:rPr>
          <w:lang w:val="en-ZA"/>
        </w:rPr>
        <w:t xml:space="preserve"> </w:t>
      </w:r>
      <w:proofErr w:type="spellStart"/>
      <w:r w:rsidR="00B14AD4" w:rsidRPr="007C17E8">
        <w:rPr>
          <w:lang w:val="en-ZA"/>
        </w:rPr>
        <w:t>Mbengashe</w:t>
      </w:r>
      <w:proofErr w:type="spellEnd"/>
      <w:r w:rsidR="00B14AD4" w:rsidRPr="007C17E8">
        <w:rPr>
          <w:lang w:val="en-ZA"/>
        </w:rPr>
        <w:t>, on 4 December 2018</w:t>
      </w:r>
      <w:r w:rsidR="00C20320" w:rsidRPr="007C17E8">
        <w:rPr>
          <w:lang w:val="en-ZA"/>
        </w:rPr>
        <w:t xml:space="preserve">.  </w:t>
      </w:r>
    </w:p>
    <w:p w14:paraId="4C8CEC88" w14:textId="40C73BD2" w:rsidR="004F202D" w:rsidRPr="007C17E8" w:rsidRDefault="007C17E8" w:rsidP="007C17E8">
      <w:pPr>
        <w:tabs>
          <w:tab w:val="left" w:pos="851"/>
          <w:tab w:val="right" w:pos="8280"/>
        </w:tabs>
        <w:spacing w:before="480" w:line="480" w:lineRule="auto"/>
        <w:ind w:left="851" w:hanging="851"/>
        <w:rPr>
          <w:lang w:val="en-ZA"/>
        </w:rPr>
      </w:pPr>
      <w:r>
        <w:rPr>
          <w:lang w:val="en-ZA"/>
        </w:rPr>
        <w:t>[25]</w:t>
      </w:r>
      <w:r>
        <w:rPr>
          <w:lang w:val="en-ZA"/>
        </w:rPr>
        <w:tab/>
      </w:r>
      <w:r w:rsidR="00B14AD4" w:rsidRPr="007C17E8">
        <w:rPr>
          <w:lang w:val="en-ZA"/>
        </w:rPr>
        <w:t>Peter has failed to</w:t>
      </w:r>
      <w:r w:rsidR="00C20320" w:rsidRPr="007C17E8">
        <w:rPr>
          <w:lang w:val="en-ZA"/>
        </w:rPr>
        <w:t xml:space="preserve"> </w:t>
      </w:r>
      <w:r w:rsidR="00F31123" w:rsidRPr="007C17E8">
        <w:rPr>
          <w:lang w:val="en-ZA"/>
        </w:rPr>
        <w:t xml:space="preserve">meet the second leg of the contempt test </w:t>
      </w:r>
      <w:r w:rsidR="002F0BCB" w:rsidRPr="007C17E8">
        <w:rPr>
          <w:lang w:val="en-ZA"/>
        </w:rPr>
        <w:t xml:space="preserve">namely </w:t>
      </w:r>
      <w:r w:rsidR="00B14AD4" w:rsidRPr="007C17E8">
        <w:rPr>
          <w:lang w:val="en-ZA"/>
        </w:rPr>
        <w:t>that there was service</w:t>
      </w:r>
      <w:r w:rsidR="00514621" w:rsidRPr="007C17E8">
        <w:rPr>
          <w:lang w:val="en-ZA"/>
        </w:rPr>
        <w:t xml:space="preserve"> of these orders </w:t>
      </w:r>
      <w:r w:rsidR="00B14AD4" w:rsidRPr="007C17E8">
        <w:rPr>
          <w:lang w:val="en-ZA"/>
        </w:rPr>
        <w:t xml:space="preserve">on the current incumbents </w:t>
      </w:r>
      <w:r w:rsidR="00514621" w:rsidRPr="007C17E8">
        <w:rPr>
          <w:lang w:val="en-ZA"/>
        </w:rPr>
        <w:t xml:space="preserve">or that </w:t>
      </w:r>
      <w:r w:rsidR="00B14AD4" w:rsidRPr="007C17E8">
        <w:rPr>
          <w:lang w:val="en-ZA"/>
        </w:rPr>
        <w:lastRenderedPageBreak/>
        <w:t>the incumbents had knowledge of the court orders</w:t>
      </w:r>
      <w:r w:rsidR="00514621" w:rsidRPr="007C17E8">
        <w:rPr>
          <w:lang w:val="en-ZA"/>
        </w:rPr>
        <w:t xml:space="preserve"> prior to the institution of these proceedings</w:t>
      </w:r>
      <w:r w:rsidR="00C20320" w:rsidRPr="007C17E8">
        <w:rPr>
          <w:lang w:val="en-ZA"/>
        </w:rPr>
        <w:t xml:space="preserve">.  </w:t>
      </w:r>
    </w:p>
    <w:p w14:paraId="5B49F83C" w14:textId="4421EEA2" w:rsidR="004F202D" w:rsidRPr="007C17E8" w:rsidRDefault="007C17E8" w:rsidP="007C17E8">
      <w:pPr>
        <w:tabs>
          <w:tab w:val="left" w:pos="851"/>
          <w:tab w:val="right" w:pos="8280"/>
        </w:tabs>
        <w:spacing w:before="480" w:line="480" w:lineRule="auto"/>
        <w:ind w:left="851" w:hanging="851"/>
        <w:rPr>
          <w:lang w:val="en-ZA"/>
        </w:rPr>
      </w:pPr>
      <w:r>
        <w:rPr>
          <w:lang w:val="en-ZA"/>
        </w:rPr>
        <w:t>[26]</w:t>
      </w:r>
      <w:r>
        <w:rPr>
          <w:lang w:val="en-ZA"/>
        </w:rPr>
        <w:tab/>
      </w:r>
      <w:r w:rsidR="004F202D" w:rsidRPr="007C17E8">
        <w:rPr>
          <w:lang w:val="en-ZA"/>
        </w:rPr>
        <w:t xml:space="preserve">Whether there is </w:t>
      </w:r>
      <w:proofErr w:type="gramStart"/>
      <w:r w:rsidR="004F202D" w:rsidRPr="007C17E8">
        <w:rPr>
          <w:lang w:val="en-ZA"/>
        </w:rPr>
        <w:t>actually any</w:t>
      </w:r>
      <w:proofErr w:type="gramEnd"/>
      <w:r w:rsidR="004F202D" w:rsidRPr="007C17E8">
        <w:rPr>
          <w:lang w:val="en-ZA"/>
        </w:rPr>
        <w:t xml:space="preserve"> amount payable</w:t>
      </w:r>
      <w:r w:rsidR="00D92EB9" w:rsidRPr="007C17E8">
        <w:rPr>
          <w:lang w:val="en-ZA"/>
        </w:rPr>
        <w:t xml:space="preserve"> in terms of the court orders is dispositive</w:t>
      </w:r>
      <w:r w:rsidR="00512241" w:rsidRPr="007C17E8">
        <w:rPr>
          <w:lang w:val="en-ZA"/>
        </w:rPr>
        <w:t xml:space="preserve"> of any question of </w:t>
      </w:r>
      <w:r w:rsidR="000760FB" w:rsidRPr="007C17E8">
        <w:rPr>
          <w:lang w:val="en-ZA"/>
        </w:rPr>
        <w:t xml:space="preserve">non-compliance with the court orders </w:t>
      </w:r>
      <w:r w:rsidR="00512241" w:rsidRPr="007C17E8">
        <w:rPr>
          <w:lang w:val="en-ZA"/>
        </w:rPr>
        <w:t>by</w:t>
      </w:r>
      <w:r w:rsidR="000760FB" w:rsidRPr="007C17E8">
        <w:rPr>
          <w:lang w:val="en-ZA"/>
        </w:rPr>
        <w:t xml:space="preserve"> both </w:t>
      </w:r>
      <w:r w:rsidR="00512241" w:rsidRPr="007C17E8">
        <w:rPr>
          <w:lang w:val="en-ZA"/>
        </w:rPr>
        <w:t xml:space="preserve">the </w:t>
      </w:r>
      <w:r w:rsidR="004C428F" w:rsidRPr="007C17E8">
        <w:rPr>
          <w:lang w:val="en-ZA"/>
        </w:rPr>
        <w:t xml:space="preserve">incumbent MEC Health and the </w:t>
      </w:r>
      <w:r w:rsidR="00512241" w:rsidRPr="007C17E8">
        <w:rPr>
          <w:lang w:val="en-ZA"/>
        </w:rPr>
        <w:t>HOD</w:t>
      </w:r>
      <w:r w:rsidR="004054E8" w:rsidRPr="007C17E8">
        <w:rPr>
          <w:lang w:val="en-ZA"/>
        </w:rPr>
        <w:t xml:space="preserve"> </w:t>
      </w:r>
      <w:r w:rsidR="00512241" w:rsidRPr="007C17E8">
        <w:rPr>
          <w:lang w:val="en-ZA"/>
        </w:rPr>
        <w:t>Health</w:t>
      </w:r>
      <w:r w:rsidR="004054E8" w:rsidRPr="007C17E8">
        <w:rPr>
          <w:lang w:val="en-ZA"/>
        </w:rPr>
        <w:t>, irrespective of the manner of service of the court orders.</w:t>
      </w:r>
    </w:p>
    <w:p w14:paraId="01E9D965" w14:textId="4D432923" w:rsidR="000760FB" w:rsidRPr="007C17E8" w:rsidRDefault="007C17E8" w:rsidP="007C17E8">
      <w:pPr>
        <w:tabs>
          <w:tab w:val="left" w:pos="851"/>
          <w:tab w:val="right" w:pos="8280"/>
        </w:tabs>
        <w:spacing w:before="480" w:line="480" w:lineRule="auto"/>
        <w:ind w:left="851" w:hanging="851"/>
        <w:rPr>
          <w:lang w:val="en-ZA"/>
        </w:rPr>
      </w:pPr>
      <w:r>
        <w:rPr>
          <w:lang w:val="en-ZA"/>
        </w:rPr>
        <w:t>[27]</w:t>
      </w:r>
      <w:r>
        <w:rPr>
          <w:lang w:val="en-ZA"/>
        </w:rPr>
        <w:tab/>
      </w:r>
      <w:r w:rsidR="000760FB" w:rsidRPr="007C17E8">
        <w:rPr>
          <w:lang w:val="en-ZA"/>
        </w:rPr>
        <w:t xml:space="preserve">Paragraph 3 of the 2004 </w:t>
      </w:r>
      <w:r w:rsidR="00615058" w:rsidRPr="007C17E8">
        <w:rPr>
          <w:lang w:val="en-ZA"/>
        </w:rPr>
        <w:t>O</w:t>
      </w:r>
      <w:r w:rsidR="000760FB" w:rsidRPr="007C17E8">
        <w:rPr>
          <w:lang w:val="en-ZA"/>
        </w:rPr>
        <w:t>rder requires payment of interest on the pension monies capitalised annually</w:t>
      </w:r>
      <w:r w:rsidR="00C20320" w:rsidRPr="007C17E8">
        <w:rPr>
          <w:lang w:val="en-ZA"/>
        </w:rPr>
        <w:t xml:space="preserve">.  </w:t>
      </w:r>
      <w:r w:rsidR="000760FB" w:rsidRPr="007C17E8">
        <w:rPr>
          <w:i/>
          <w:lang w:val="en-ZA"/>
        </w:rPr>
        <w:t xml:space="preserve">Euro Blitz 21 v </w:t>
      </w:r>
      <w:proofErr w:type="spellStart"/>
      <w:r w:rsidR="000760FB" w:rsidRPr="007C17E8">
        <w:rPr>
          <w:i/>
          <w:lang w:val="en-ZA"/>
        </w:rPr>
        <w:t>Secena</w:t>
      </w:r>
      <w:proofErr w:type="spellEnd"/>
      <w:r w:rsidR="000760FB" w:rsidRPr="007C17E8">
        <w:rPr>
          <w:i/>
          <w:lang w:val="en-ZA"/>
        </w:rPr>
        <w:t xml:space="preserve"> Aircraft Investments CC</w:t>
      </w:r>
      <w:r w:rsidR="000760FB">
        <w:rPr>
          <w:rStyle w:val="FootnoteReference"/>
          <w:lang w:val="en-ZA"/>
        </w:rPr>
        <w:footnoteReference w:id="10"/>
      </w:r>
      <w:r w:rsidR="000760FB" w:rsidRPr="007C17E8">
        <w:rPr>
          <w:lang w:val="en-ZA"/>
        </w:rPr>
        <w:t xml:space="preserve"> recognised that the term “</w:t>
      </w:r>
      <w:r w:rsidR="000760FB" w:rsidRPr="007C17E8">
        <w:rPr>
          <w:i/>
          <w:lang w:val="en-ZA"/>
        </w:rPr>
        <w:t>the capitalisation of interest</w:t>
      </w:r>
      <w:r w:rsidR="000760FB" w:rsidRPr="007C17E8">
        <w:rPr>
          <w:lang w:val="en-ZA"/>
        </w:rPr>
        <w:t>” is interchangeable with the compounding of interest</w:t>
      </w:r>
      <w:r w:rsidR="00C20320" w:rsidRPr="007C17E8">
        <w:rPr>
          <w:lang w:val="en-ZA"/>
        </w:rPr>
        <w:t xml:space="preserve">.  </w:t>
      </w:r>
    </w:p>
    <w:p w14:paraId="619556EC" w14:textId="34FD78FE" w:rsidR="000760FB" w:rsidRPr="007C17E8" w:rsidRDefault="007C17E8" w:rsidP="007C17E8">
      <w:pPr>
        <w:tabs>
          <w:tab w:val="left" w:pos="851"/>
          <w:tab w:val="right" w:pos="8280"/>
        </w:tabs>
        <w:spacing w:before="480" w:line="480" w:lineRule="auto"/>
        <w:ind w:left="851" w:hanging="851"/>
        <w:rPr>
          <w:lang w:val="en-ZA"/>
        </w:rPr>
      </w:pPr>
      <w:r>
        <w:rPr>
          <w:lang w:val="en-ZA"/>
        </w:rPr>
        <w:t>[28]</w:t>
      </w:r>
      <w:r>
        <w:rPr>
          <w:lang w:val="en-ZA"/>
        </w:rPr>
        <w:tab/>
      </w:r>
      <w:r w:rsidR="000760FB" w:rsidRPr="007C17E8">
        <w:rPr>
          <w:lang w:val="en-ZA"/>
        </w:rPr>
        <w:t>Where interest is capitalised, the capitalised interest does not lose its character as interest</w:t>
      </w:r>
      <w:r w:rsidR="00C20320" w:rsidRPr="007C17E8">
        <w:rPr>
          <w:lang w:val="en-ZA"/>
        </w:rPr>
        <w:t xml:space="preserve">.  </w:t>
      </w:r>
      <w:r w:rsidR="00C03341" w:rsidRPr="007C17E8">
        <w:rPr>
          <w:lang w:val="en-ZA"/>
        </w:rPr>
        <w:t xml:space="preserve">It </w:t>
      </w:r>
      <w:r w:rsidR="000760FB" w:rsidRPr="007C17E8">
        <w:rPr>
          <w:lang w:val="en-ZA"/>
        </w:rPr>
        <w:t xml:space="preserve">does not become part of the capital amount for the purpose of the </w:t>
      </w:r>
      <w:r w:rsidR="000760FB" w:rsidRPr="007C17E8">
        <w:rPr>
          <w:i/>
          <w:lang w:val="en-ZA"/>
        </w:rPr>
        <w:t xml:space="preserve">in </w:t>
      </w:r>
      <w:proofErr w:type="spellStart"/>
      <w:r w:rsidR="000760FB" w:rsidRPr="007C17E8">
        <w:rPr>
          <w:i/>
          <w:lang w:val="en-ZA"/>
        </w:rPr>
        <w:t>duplum</w:t>
      </w:r>
      <w:proofErr w:type="spellEnd"/>
      <w:r w:rsidR="000760FB" w:rsidRPr="007C17E8">
        <w:rPr>
          <w:lang w:val="en-ZA"/>
        </w:rPr>
        <w:t xml:space="preserve"> rule.</w:t>
      </w:r>
      <w:r w:rsidR="000760FB">
        <w:rPr>
          <w:rStyle w:val="FootnoteReference"/>
          <w:lang w:val="en-ZA"/>
        </w:rPr>
        <w:footnoteReference w:id="11"/>
      </w:r>
      <w:r w:rsidR="00C20320" w:rsidRPr="007C17E8">
        <w:rPr>
          <w:lang w:val="en-ZA"/>
        </w:rPr>
        <w:t xml:space="preserve"> </w:t>
      </w:r>
      <w:r w:rsidR="000760FB" w:rsidRPr="007C17E8">
        <w:rPr>
          <w:lang w:val="en-ZA"/>
        </w:rPr>
        <w:t xml:space="preserve">The </w:t>
      </w:r>
      <w:r w:rsidR="000760FB" w:rsidRPr="007C17E8">
        <w:rPr>
          <w:i/>
          <w:lang w:val="en-ZA"/>
        </w:rPr>
        <w:t xml:space="preserve">in </w:t>
      </w:r>
      <w:proofErr w:type="spellStart"/>
      <w:r w:rsidR="000760FB" w:rsidRPr="007C17E8">
        <w:rPr>
          <w:i/>
          <w:lang w:val="en-ZA"/>
        </w:rPr>
        <w:t>duplum</w:t>
      </w:r>
      <w:proofErr w:type="spellEnd"/>
      <w:r w:rsidR="000760FB" w:rsidRPr="007C17E8">
        <w:rPr>
          <w:lang w:val="en-ZA"/>
        </w:rPr>
        <w:t xml:space="preserve"> rule prevents a creditor from claiming payment of interest </w:t>
      </w:r>
      <w:proofErr w:type="gramStart"/>
      <w:r w:rsidR="000760FB" w:rsidRPr="007C17E8">
        <w:rPr>
          <w:lang w:val="en-ZA"/>
        </w:rPr>
        <w:t>in excess of</w:t>
      </w:r>
      <w:proofErr w:type="gramEnd"/>
      <w:r w:rsidR="000760FB" w:rsidRPr="007C17E8">
        <w:rPr>
          <w:lang w:val="en-ZA"/>
        </w:rPr>
        <w:t xml:space="preserve"> the capital sum</w:t>
      </w:r>
      <w:r w:rsidR="00C20320" w:rsidRPr="007C17E8">
        <w:rPr>
          <w:lang w:val="en-ZA"/>
        </w:rPr>
        <w:t xml:space="preserve">.  </w:t>
      </w:r>
      <w:r w:rsidR="000760FB" w:rsidRPr="007C17E8">
        <w:rPr>
          <w:lang w:val="en-ZA"/>
        </w:rPr>
        <w:t>In this instance, the capital sum payable to Peter for her pension benefit was the sum of R18 872.81</w:t>
      </w:r>
      <w:r w:rsidR="00C20320" w:rsidRPr="007C17E8">
        <w:rPr>
          <w:lang w:val="en-ZA"/>
        </w:rPr>
        <w:t xml:space="preserve">.  </w:t>
      </w:r>
      <w:r w:rsidR="000760FB" w:rsidRPr="007C17E8">
        <w:rPr>
          <w:lang w:val="en-ZA"/>
        </w:rPr>
        <w:t xml:space="preserve">Consequently, in accordance with the </w:t>
      </w:r>
      <w:r w:rsidR="000760FB" w:rsidRPr="007C17E8">
        <w:rPr>
          <w:i/>
          <w:lang w:val="en-ZA"/>
        </w:rPr>
        <w:t>in </w:t>
      </w:r>
      <w:proofErr w:type="spellStart"/>
      <w:r w:rsidR="000760FB" w:rsidRPr="007C17E8">
        <w:rPr>
          <w:i/>
          <w:lang w:val="en-ZA"/>
        </w:rPr>
        <w:t>duplum</w:t>
      </w:r>
      <w:proofErr w:type="spellEnd"/>
      <w:r w:rsidR="000760FB" w:rsidRPr="007C17E8">
        <w:rPr>
          <w:lang w:val="en-ZA"/>
        </w:rPr>
        <w:t xml:space="preserve"> principle, the maximum amount of interest Peter could claim on this amount is the capital sum, namely, R18 872.81.</w:t>
      </w:r>
    </w:p>
    <w:p w14:paraId="64E6F8A0" w14:textId="4E081BD3" w:rsidR="00915B1B" w:rsidRPr="007C17E8" w:rsidRDefault="007C17E8" w:rsidP="007C17E8">
      <w:pPr>
        <w:tabs>
          <w:tab w:val="left" w:pos="851"/>
          <w:tab w:val="right" w:pos="8280"/>
        </w:tabs>
        <w:spacing w:before="480" w:line="480" w:lineRule="auto"/>
        <w:ind w:left="851" w:hanging="851"/>
        <w:rPr>
          <w:lang w:val="en-ZA"/>
        </w:rPr>
      </w:pPr>
      <w:r>
        <w:rPr>
          <w:lang w:val="en-ZA"/>
        </w:rPr>
        <w:lastRenderedPageBreak/>
        <w:t>[29]</w:t>
      </w:r>
      <w:r>
        <w:rPr>
          <w:lang w:val="en-ZA"/>
        </w:rPr>
        <w:tab/>
      </w:r>
      <w:r w:rsidR="00915B1B" w:rsidRPr="007C17E8">
        <w:rPr>
          <w:lang w:val="en-ZA"/>
        </w:rPr>
        <w:t xml:space="preserve">The payment made by the Department of Health on 12 March 2021, in the sum of R26 853.61 was R8 480.80 </w:t>
      </w:r>
      <w:proofErr w:type="gramStart"/>
      <w:r w:rsidR="00915B1B" w:rsidRPr="007C17E8">
        <w:rPr>
          <w:lang w:val="en-ZA"/>
        </w:rPr>
        <w:t>in excess of</w:t>
      </w:r>
      <w:proofErr w:type="gramEnd"/>
      <w:r w:rsidR="00915B1B" w:rsidRPr="007C17E8">
        <w:rPr>
          <w:lang w:val="en-ZA"/>
        </w:rPr>
        <w:t xml:space="preserve"> the interest that was properly due and payable</w:t>
      </w:r>
      <w:r w:rsidR="00DA311C" w:rsidRPr="007C17E8">
        <w:rPr>
          <w:lang w:val="en-ZA"/>
        </w:rPr>
        <w:t xml:space="preserve"> to Peter</w:t>
      </w:r>
      <w:r w:rsidR="00C20320" w:rsidRPr="007C17E8">
        <w:rPr>
          <w:lang w:val="en-ZA"/>
        </w:rPr>
        <w:t xml:space="preserve">.  </w:t>
      </w:r>
      <w:r w:rsidR="00915B1B" w:rsidRPr="007C17E8">
        <w:rPr>
          <w:lang w:val="en-ZA"/>
        </w:rPr>
        <w:t xml:space="preserve">The amount of R8 480.80 was paid to Peter </w:t>
      </w:r>
      <w:r w:rsidR="00915B1B" w:rsidRPr="007C17E8">
        <w:rPr>
          <w:i/>
          <w:lang w:val="en-ZA"/>
        </w:rPr>
        <w:t>sine causa</w:t>
      </w:r>
      <w:r w:rsidR="00C20320" w:rsidRPr="007C17E8">
        <w:rPr>
          <w:lang w:val="en-ZA"/>
        </w:rPr>
        <w:t xml:space="preserve">.  </w:t>
      </w:r>
      <w:r w:rsidR="004F5A48" w:rsidRPr="007C17E8">
        <w:rPr>
          <w:lang w:val="en-ZA"/>
        </w:rPr>
        <w:t xml:space="preserve">As </w:t>
      </w:r>
      <w:r w:rsidR="00767FA8" w:rsidRPr="007C17E8">
        <w:rPr>
          <w:lang w:val="en-ZA"/>
        </w:rPr>
        <w:t>the</w:t>
      </w:r>
      <w:r w:rsidR="00915B1B" w:rsidRPr="007C17E8">
        <w:rPr>
          <w:lang w:val="en-ZA"/>
        </w:rPr>
        <w:t xml:space="preserve"> MEC</w:t>
      </w:r>
      <w:r w:rsidR="00767FA8" w:rsidRPr="007C17E8">
        <w:rPr>
          <w:lang w:val="en-ZA"/>
        </w:rPr>
        <w:t>, Health has not</w:t>
      </w:r>
      <w:r w:rsidR="00915B1B" w:rsidRPr="007C17E8">
        <w:rPr>
          <w:lang w:val="en-ZA"/>
        </w:rPr>
        <w:t xml:space="preserve"> instituted a counter application for the repayment of this amount</w:t>
      </w:r>
      <w:r w:rsidR="004F5A48" w:rsidRPr="007C17E8">
        <w:rPr>
          <w:lang w:val="en-ZA"/>
        </w:rPr>
        <w:t>,</w:t>
      </w:r>
      <w:r w:rsidR="00C20320" w:rsidRPr="007C17E8">
        <w:rPr>
          <w:lang w:val="en-ZA"/>
        </w:rPr>
        <w:t xml:space="preserve"> </w:t>
      </w:r>
      <w:r w:rsidR="00915B1B" w:rsidRPr="007C17E8">
        <w:rPr>
          <w:lang w:val="en-ZA"/>
        </w:rPr>
        <w:t>I say no more</w:t>
      </w:r>
      <w:r w:rsidR="00C20320" w:rsidRPr="007C17E8">
        <w:rPr>
          <w:lang w:val="en-ZA"/>
        </w:rPr>
        <w:t xml:space="preserve"> </w:t>
      </w:r>
      <w:r w:rsidR="00915B1B" w:rsidRPr="007C17E8">
        <w:rPr>
          <w:lang w:val="en-ZA"/>
        </w:rPr>
        <w:t>regarding this overpayment.</w:t>
      </w:r>
    </w:p>
    <w:p w14:paraId="57DE4195" w14:textId="31DD8768" w:rsidR="00B14AD4" w:rsidRPr="007C17E8" w:rsidRDefault="007C17E8" w:rsidP="007C17E8">
      <w:pPr>
        <w:tabs>
          <w:tab w:val="left" w:pos="851"/>
          <w:tab w:val="right" w:pos="8280"/>
        </w:tabs>
        <w:spacing w:before="480" w:line="480" w:lineRule="auto"/>
        <w:ind w:left="851" w:hanging="851"/>
        <w:rPr>
          <w:lang w:val="en-ZA"/>
        </w:rPr>
      </w:pPr>
      <w:r>
        <w:rPr>
          <w:lang w:val="en-ZA"/>
        </w:rPr>
        <w:t>[30]</w:t>
      </w:r>
      <w:r>
        <w:rPr>
          <w:lang w:val="en-ZA"/>
        </w:rPr>
        <w:tab/>
      </w:r>
      <w:r w:rsidR="00514621" w:rsidRPr="007C17E8">
        <w:rPr>
          <w:lang w:val="en-ZA"/>
        </w:rPr>
        <w:t>T</w:t>
      </w:r>
      <w:r w:rsidR="00B14AD4" w:rsidRPr="007C17E8">
        <w:rPr>
          <w:lang w:val="en-ZA"/>
        </w:rPr>
        <w:t>he MEC</w:t>
      </w:r>
      <w:r w:rsidR="005A2EF7" w:rsidRPr="007C17E8">
        <w:rPr>
          <w:lang w:val="en-ZA"/>
        </w:rPr>
        <w:t xml:space="preserve"> Health </w:t>
      </w:r>
      <w:r w:rsidR="00B14AD4" w:rsidRPr="007C17E8">
        <w:rPr>
          <w:lang w:val="en-ZA"/>
        </w:rPr>
        <w:t>and HOD</w:t>
      </w:r>
      <w:r w:rsidR="005A2EF7" w:rsidRPr="007C17E8">
        <w:rPr>
          <w:lang w:val="en-ZA"/>
        </w:rPr>
        <w:t xml:space="preserve"> Health</w:t>
      </w:r>
      <w:r w:rsidR="00B14AD4" w:rsidRPr="007C17E8">
        <w:rPr>
          <w:lang w:val="en-ZA"/>
        </w:rPr>
        <w:t xml:space="preserve"> have established reasonable doubt </w:t>
      </w:r>
      <w:r w:rsidR="005A2EF7" w:rsidRPr="007C17E8">
        <w:rPr>
          <w:lang w:val="en-ZA"/>
        </w:rPr>
        <w:t>for</w:t>
      </w:r>
      <w:r w:rsidR="00514621" w:rsidRPr="007C17E8">
        <w:rPr>
          <w:lang w:val="en-ZA"/>
        </w:rPr>
        <w:t xml:space="preserve"> any failure to comply with the court orders </w:t>
      </w:r>
      <w:r w:rsidR="00B14AD4" w:rsidRPr="007C17E8">
        <w:rPr>
          <w:lang w:val="en-ZA"/>
        </w:rPr>
        <w:t xml:space="preserve">relating both to their wilfulness and </w:t>
      </w:r>
      <w:r w:rsidR="00B14AD4" w:rsidRPr="007C17E8">
        <w:rPr>
          <w:i/>
          <w:lang w:val="en-ZA"/>
        </w:rPr>
        <w:t>mala fides</w:t>
      </w:r>
      <w:r w:rsidR="00C20320" w:rsidRPr="007C17E8">
        <w:rPr>
          <w:lang w:val="en-ZA"/>
        </w:rPr>
        <w:t xml:space="preserve">.  </w:t>
      </w:r>
      <w:r w:rsidR="00B14AD4" w:rsidRPr="007C17E8">
        <w:rPr>
          <w:lang w:val="en-ZA"/>
        </w:rPr>
        <w:t xml:space="preserve">The court orders were </w:t>
      </w:r>
      <w:r w:rsidR="004358B7" w:rsidRPr="007C17E8">
        <w:rPr>
          <w:lang w:val="en-ZA"/>
        </w:rPr>
        <w:t xml:space="preserve">fully </w:t>
      </w:r>
      <w:r w:rsidR="00B14AD4" w:rsidRPr="007C17E8">
        <w:rPr>
          <w:lang w:val="en-ZA"/>
        </w:rPr>
        <w:t>complied with on 12 March 2021,</w:t>
      </w:r>
      <w:r w:rsidR="004F202D" w:rsidRPr="007C17E8">
        <w:rPr>
          <w:lang w:val="en-ZA"/>
        </w:rPr>
        <w:t xml:space="preserve"> when the interest</w:t>
      </w:r>
      <w:r w:rsidR="004358B7" w:rsidRPr="007C17E8">
        <w:rPr>
          <w:lang w:val="en-ZA"/>
        </w:rPr>
        <w:t xml:space="preserve"> on the pension </w:t>
      </w:r>
      <w:r w:rsidR="00003D06" w:rsidRPr="007C17E8">
        <w:rPr>
          <w:lang w:val="en-ZA"/>
        </w:rPr>
        <w:t>monies</w:t>
      </w:r>
      <w:r w:rsidR="004F202D" w:rsidRPr="007C17E8">
        <w:rPr>
          <w:lang w:val="en-ZA"/>
        </w:rPr>
        <w:t xml:space="preserve"> was paid</w:t>
      </w:r>
      <w:r w:rsidR="00C20320" w:rsidRPr="007C17E8">
        <w:rPr>
          <w:lang w:val="en-ZA"/>
        </w:rPr>
        <w:t xml:space="preserve">.  </w:t>
      </w:r>
      <w:r w:rsidR="004F202D" w:rsidRPr="007C17E8">
        <w:rPr>
          <w:lang w:val="en-ZA"/>
        </w:rPr>
        <w:t xml:space="preserve">This happened </w:t>
      </w:r>
      <w:r w:rsidR="00B14AD4" w:rsidRPr="007C17E8">
        <w:rPr>
          <w:lang w:val="en-ZA"/>
        </w:rPr>
        <w:t>prior to the institution of these proceedings.</w:t>
      </w:r>
    </w:p>
    <w:p w14:paraId="7C430E7D" w14:textId="5B705BD7" w:rsidR="004F5A48" w:rsidRPr="007C17E8" w:rsidRDefault="007C17E8" w:rsidP="007C17E8">
      <w:pPr>
        <w:tabs>
          <w:tab w:val="left" w:pos="851"/>
          <w:tab w:val="right" w:pos="8280"/>
        </w:tabs>
        <w:spacing w:before="480" w:line="480" w:lineRule="auto"/>
        <w:ind w:left="851" w:hanging="851"/>
        <w:rPr>
          <w:lang w:val="en-ZA"/>
        </w:rPr>
      </w:pPr>
      <w:r>
        <w:rPr>
          <w:lang w:val="en-ZA"/>
        </w:rPr>
        <w:t>[31]</w:t>
      </w:r>
      <w:r>
        <w:rPr>
          <w:lang w:val="en-ZA"/>
        </w:rPr>
        <w:tab/>
      </w:r>
      <w:r w:rsidR="004F5A48" w:rsidRPr="007C17E8">
        <w:rPr>
          <w:lang w:val="en-ZA"/>
        </w:rPr>
        <w:t>Peter has failed to show that the incumbents</w:t>
      </w:r>
      <w:r w:rsidR="00E6209F" w:rsidRPr="007C17E8">
        <w:rPr>
          <w:lang w:val="en-ZA"/>
        </w:rPr>
        <w:t xml:space="preserve"> are in contempt of court</w:t>
      </w:r>
      <w:r w:rsidR="00C20320" w:rsidRPr="007C17E8">
        <w:rPr>
          <w:lang w:val="en-ZA"/>
        </w:rPr>
        <w:t xml:space="preserve">.  </w:t>
      </w:r>
    </w:p>
    <w:p w14:paraId="0260096E" w14:textId="5DFA0E8E" w:rsidR="00AD51B2" w:rsidRPr="007C17E8" w:rsidRDefault="007C17E8" w:rsidP="007C17E8">
      <w:pPr>
        <w:tabs>
          <w:tab w:val="left" w:pos="851"/>
          <w:tab w:val="right" w:pos="8280"/>
        </w:tabs>
        <w:spacing w:before="480" w:line="480" w:lineRule="auto"/>
        <w:ind w:left="851" w:hanging="851"/>
        <w:rPr>
          <w:lang w:val="en-ZA"/>
        </w:rPr>
      </w:pPr>
      <w:r w:rsidRPr="00100D42">
        <w:rPr>
          <w:lang w:val="en-ZA"/>
        </w:rPr>
        <w:t>[32]</w:t>
      </w:r>
      <w:r w:rsidRPr="00100D42">
        <w:rPr>
          <w:lang w:val="en-ZA"/>
        </w:rPr>
        <w:tab/>
      </w:r>
      <w:r w:rsidR="00100D42" w:rsidRPr="007C17E8">
        <w:rPr>
          <w:lang w:val="en-ZA"/>
        </w:rPr>
        <w:t xml:space="preserve">In the result, </w:t>
      </w:r>
      <w:r w:rsidR="00AD51B2" w:rsidRPr="007C17E8">
        <w:rPr>
          <w:lang w:val="en-ZA"/>
        </w:rPr>
        <w:t>I make the following order:</w:t>
      </w:r>
      <w:r w:rsidR="00100D42" w:rsidRPr="007C17E8">
        <w:rPr>
          <w:lang w:val="en-ZA"/>
        </w:rPr>
        <w:t xml:space="preserve"> the application is dismissed with costs.</w:t>
      </w:r>
    </w:p>
    <w:p w14:paraId="39567F60" w14:textId="77777777" w:rsidR="00226E10" w:rsidRPr="00015944" w:rsidRDefault="00226E10" w:rsidP="00F45DA6">
      <w:pPr>
        <w:tabs>
          <w:tab w:val="left" w:pos="567"/>
          <w:tab w:val="right" w:pos="8280"/>
        </w:tabs>
        <w:spacing w:line="480" w:lineRule="auto"/>
        <w:ind w:left="567" w:hanging="567"/>
        <w:rPr>
          <w:lang w:val="en-ZA"/>
        </w:rPr>
      </w:pPr>
    </w:p>
    <w:p w14:paraId="46616B7B" w14:textId="77777777" w:rsidR="00615DE5" w:rsidRPr="00787209" w:rsidRDefault="00615DE5" w:rsidP="00615DE5">
      <w:pPr>
        <w:keepNext/>
        <w:tabs>
          <w:tab w:val="left" w:pos="567"/>
          <w:tab w:val="right" w:pos="8280"/>
        </w:tabs>
        <w:spacing w:line="480" w:lineRule="auto"/>
        <w:ind w:left="567" w:hanging="567"/>
        <w:rPr>
          <w:lang w:val="en-ZA"/>
        </w:rPr>
      </w:pPr>
    </w:p>
    <w:p w14:paraId="226523DA" w14:textId="77777777" w:rsidR="00615DE5" w:rsidRPr="00787209" w:rsidRDefault="00615DE5" w:rsidP="00615DE5">
      <w:pPr>
        <w:keepNext/>
      </w:pPr>
      <w:r w:rsidRPr="00787209">
        <w:t>___________________________</w:t>
      </w:r>
    </w:p>
    <w:p w14:paraId="1D1D37B1" w14:textId="77777777" w:rsidR="00615DE5" w:rsidRPr="00787209" w:rsidRDefault="00615DE5" w:rsidP="00615DE5">
      <w:pPr>
        <w:rPr>
          <w:b/>
        </w:rPr>
      </w:pPr>
      <w:r w:rsidRPr="00787209">
        <w:rPr>
          <w:b/>
        </w:rPr>
        <w:t>DREYER AJ</w:t>
      </w:r>
    </w:p>
    <w:p w14:paraId="04EE3E72" w14:textId="77777777" w:rsidR="00615DE5" w:rsidRPr="00787209" w:rsidRDefault="00615DE5" w:rsidP="00615DE5">
      <w:pPr>
        <w:rPr>
          <w:b/>
        </w:rPr>
      </w:pPr>
      <w:r w:rsidRPr="00787209">
        <w:rPr>
          <w:b/>
        </w:rPr>
        <w:t>ACTING JUDGE OF THE HIGH COURT</w:t>
      </w:r>
    </w:p>
    <w:p w14:paraId="42DE5748" w14:textId="77777777" w:rsidR="00615DE5" w:rsidRPr="00787209" w:rsidRDefault="00615DE5" w:rsidP="00615DE5"/>
    <w:p w14:paraId="66C74403" w14:textId="77777777" w:rsidR="00615DE5" w:rsidRPr="00787209" w:rsidRDefault="00615DE5" w:rsidP="00615DE5"/>
    <w:p w14:paraId="058925A6" w14:textId="77777777" w:rsidR="00615DE5" w:rsidRPr="00787209" w:rsidRDefault="00615DE5" w:rsidP="00615DE5">
      <w:pPr>
        <w:keepNext/>
        <w:tabs>
          <w:tab w:val="left" w:pos="4140"/>
        </w:tabs>
      </w:pPr>
      <w:r w:rsidRPr="00787209">
        <w:rPr>
          <w:b/>
        </w:rPr>
        <w:t>Representation for applicant</w:t>
      </w:r>
    </w:p>
    <w:p w14:paraId="7975FCC3" w14:textId="77777777" w:rsidR="00615DE5" w:rsidRPr="00787209" w:rsidRDefault="00615DE5" w:rsidP="00615DE5">
      <w:pPr>
        <w:keepNext/>
        <w:tabs>
          <w:tab w:val="left" w:pos="4140"/>
        </w:tabs>
      </w:pPr>
    </w:p>
    <w:p w14:paraId="3E6EAC2B" w14:textId="77777777" w:rsidR="00615DE5" w:rsidRPr="00787209" w:rsidRDefault="00615DE5" w:rsidP="00615DE5">
      <w:pPr>
        <w:keepNext/>
        <w:tabs>
          <w:tab w:val="left" w:pos="4111"/>
        </w:tabs>
        <w:ind w:left="4111" w:hanging="4111"/>
      </w:pPr>
      <w:r w:rsidRPr="00787209">
        <w:t>Counsel</w:t>
      </w:r>
      <w:r>
        <w:t>:</w:t>
      </w:r>
      <w:r w:rsidRPr="00787209">
        <w:tab/>
        <w:t xml:space="preserve">Adv </w:t>
      </w:r>
      <w:proofErr w:type="spellStart"/>
      <w:r w:rsidR="00EF39DB">
        <w:t>Sothenjwa</w:t>
      </w:r>
      <w:proofErr w:type="spellEnd"/>
    </w:p>
    <w:p w14:paraId="36CFB3AE" w14:textId="77777777" w:rsidR="00615DE5" w:rsidRPr="00787209" w:rsidRDefault="00615DE5" w:rsidP="00615DE5">
      <w:pPr>
        <w:keepNext/>
        <w:tabs>
          <w:tab w:val="left" w:pos="4111"/>
        </w:tabs>
        <w:ind w:left="4111" w:hanging="4111"/>
      </w:pPr>
    </w:p>
    <w:p w14:paraId="592CEDAE" w14:textId="77777777" w:rsidR="00615DE5" w:rsidRPr="00787209" w:rsidRDefault="00615DE5" w:rsidP="00615DE5">
      <w:pPr>
        <w:tabs>
          <w:tab w:val="left" w:pos="4111"/>
        </w:tabs>
        <w:ind w:left="4111" w:hanging="4111"/>
      </w:pPr>
      <w:r w:rsidRPr="00787209">
        <w:t>Instructed by:</w:t>
      </w:r>
      <w:r w:rsidRPr="00787209">
        <w:tab/>
      </w:r>
      <w:r w:rsidR="00EF39DB">
        <w:t>Hutton &amp; Cook</w:t>
      </w:r>
    </w:p>
    <w:p w14:paraId="2BA71364" w14:textId="77777777" w:rsidR="00615DE5" w:rsidRPr="00787209" w:rsidRDefault="00615DE5" w:rsidP="00615DE5">
      <w:pPr>
        <w:tabs>
          <w:tab w:val="left" w:pos="4111"/>
        </w:tabs>
        <w:ind w:left="4111" w:hanging="4111"/>
      </w:pPr>
    </w:p>
    <w:p w14:paraId="439F9B60" w14:textId="77777777" w:rsidR="00615DE5" w:rsidRPr="00787209" w:rsidRDefault="00615DE5" w:rsidP="00615DE5">
      <w:pPr>
        <w:tabs>
          <w:tab w:val="left" w:pos="4111"/>
        </w:tabs>
        <w:ind w:left="4111" w:hanging="4111"/>
      </w:pPr>
    </w:p>
    <w:p w14:paraId="5D18869E" w14:textId="77777777" w:rsidR="00615DE5" w:rsidRPr="00787209" w:rsidRDefault="00EF39DB" w:rsidP="00615DE5">
      <w:pPr>
        <w:keepNext/>
        <w:tabs>
          <w:tab w:val="left" w:pos="4111"/>
        </w:tabs>
        <w:ind w:left="4111" w:hanging="4111"/>
        <w:rPr>
          <w:b/>
        </w:rPr>
      </w:pPr>
      <w:r>
        <w:rPr>
          <w:b/>
        </w:rPr>
        <w:lastRenderedPageBreak/>
        <w:t>Representation for respondents</w:t>
      </w:r>
    </w:p>
    <w:p w14:paraId="10F145F3" w14:textId="77777777" w:rsidR="00615DE5" w:rsidRPr="00787209" w:rsidRDefault="00615DE5" w:rsidP="00615DE5">
      <w:pPr>
        <w:keepNext/>
        <w:tabs>
          <w:tab w:val="left" w:pos="4111"/>
        </w:tabs>
        <w:ind w:left="4111" w:hanging="4111"/>
      </w:pPr>
    </w:p>
    <w:p w14:paraId="131539FF" w14:textId="77777777" w:rsidR="00615DE5" w:rsidRPr="00787209" w:rsidRDefault="00615DE5" w:rsidP="00615DE5">
      <w:pPr>
        <w:keepNext/>
        <w:tabs>
          <w:tab w:val="left" w:pos="4111"/>
        </w:tabs>
        <w:ind w:left="4111" w:hanging="4111"/>
      </w:pPr>
      <w:r w:rsidRPr="00787209">
        <w:t>Counsel</w:t>
      </w:r>
      <w:r>
        <w:t>:</w:t>
      </w:r>
      <w:r w:rsidRPr="00787209">
        <w:tab/>
        <w:t>Adv</w:t>
      </w:r>
      <w:r w:rsidR="00EF39DB">
        <w:t xml:space="preserve"> </w:t>
      </w:r>
      <w:proofErr w:type="spellStart"/>
      <w:r w:rsidR="00EF39DB">
        <w:t>Phashera</w:t>
      </w:r>
      <w:proofErr w:type="spellEnd"/>
    </w:p>
    <w:p w14:paraId="305EA063" w14:textId="77777777" w:rsidR="00615DE5" w:rsidRPr="00787209" w:rsidRDefault="00615DE5" w:rsidP="00615DE5">
      <w:pPr>
        <w:keepNext/>
        <w:tabs>
          <w:tab w:val="left" w:pos="4111"/>
        </w:tabs>
        <w:ind w:left="4111" w:hanging="4111"/>
      </w:pPr>
    </w:p>
    <w:p w14:paraId="393BCB02" w14:textId="75C5E935" w:rsidR="00615DE5" w:rsidRPr="00B4207B" w:rsidRDefault="00615DE5" w:rsidP="00615DE5">
      <w:pPr>
        <w:tabs>
          <w:tab w:val="left" w:pos="4111"/>
        </w:tabs>
        <w:ind w:left="4111" w:hanging="4111"/>
        <w:rPr>
          <w:sz w:val="22"/>
          <w:szCs w:val="22"/>
        </w:rPr>
      </w:pPr>
      <w:r w:rsidRPr="00787209">
        <w:t>Instructed by</w:t>
      </w:r>
      <w:r>
        <w:t>:</w:t>
      </w:r>
      <w:r w:rsidRPr="00787209">
        <w:tab/>
      </w:r>
      <w:r w:rsidR="00EF39DB">
        <w:t>The State Attorney</w:t>
      </w:r>
      <w:r w:rsidR="00E90126">
        <w:t>, King William</w:t>
      </w:r>
      <w:r w:rsidR="003F2BE1">
        <w:t>’</w:t>
      </w:r>
      <w:r w:rsidR="00E90126">
        <w:t>s</w:t>
      </w:r>
      <w:r w:rsidR="003F2BE1">
        <w:t xml:space="preserve"> T</w:t>
      </w:r>
      <w:r w:rsidR="00E90126">
        <w:t>own</w:t>
      </w:r>
    </w:p>
    <w:p w14:paraId="45E7EBC9" w14:textId="77777777" w:rsidR="00615DE5" w:rsidRDefault="00615DE5" w:rsidP="00615DE5">
      <w:pPr>
        <w:tabs>
          <w:tab w:val="left" w:pos="4140"/>
        </w:tabs>
      </w:pPr>
    </w:p>
    <w:p w14:paraId="6D4D529C" w14:textId="77777777" w:rsidR="00100D42" w:rsidRPr="00787209" w:rsidRDefault="00100D42" w:rsidP="00615DE5">
      <w:pPr>
        <w:tabs>
          <w:tab w:val="left" w:pos="4140"/>
        </w:tabs>
      </w:pPr>
    </w:p>
    <w:p w14:paraId="4A672DA5" w14:textId="63614813" w:rsidR="00226E10" w:rsidRDefault="00100D42" w:rsidP="00100D42">
      <w:pPr>
        <w:tabs>
          <w:tab w:val="left" w:pos="4111"/>
        </w:tabs>
        <w:rPr>
          <w:lang w:val="en-ZA"/>
        </w:rPr>
      </w:pPr>
      <w:r>
        <w:rPr>
          <w:lang w:val="en-ZA"/>
        </w:rPr>
        <w:t>Date matter heard:</w:t>
      </w:r>
      <w:r>
        <w:rPr>
          <w:lang w:val="en-ZA"/>
        </w:rPr>
        <w:tab/>
        <w:t>1 September 2022</w:t>
      </w:r>
    </w:p>
    <w:p w14:paraId="2616F651" w14:textId="77777777" w:rsidR="00F3505E" w:rsidRDefault="00F3505E" w:rsidP="00100D42">
      <w:pPr>
        <w:tabs>
          <w:tab w:val="left" w:pos="4111"/>
        </w:tabs>
        <w:rPr>
          <w:lang w:val="en-ZA"/>
        </w:rPr>
      </w:pPr>
    </w:p>
    <w:p w14:paraId="734F0042" w14:textId="711DD71B" w:rsidR="00100D42" w:rsidRPr="00015944" w:rsidRDefault="00100D42" w:rsidP="00100D42">
      <w:pPr>
        <w:tabs>
          <w:tab w:val="left" w:pos="4111"/>
        </w:tabs>
        <w:rPr>
          <w:lang w:val="en-ZA"/>
        </w:rPr>
      </w:pPr>
      <w:r>
        <w:rPr>
          <w:lang w:val="en-ZA"/>
        </w:rPr>
        <w:t>Date matter handed down:</w:t>
      </w:r>
      <w:r w:rsidR="00B4207B">
        <w:rPr>
          <w:lang w:val="en-ZA"/>
        </w:rPr>
        <w:tab/>
        <w:t xml:space="preserve"> </w:t>
      </w:r>
      <w:r w:rsidR="00F3505E">
        <w:rPr>
          <w:lang w:val="en-ZA"/>
        </w:rPr>
        <w:t>27</w:t>
      </w:r>
      <w:r>
        <w:rPr>
          <w:lang w:val="en-ZA"/>
        </w:rPr>
        <w:t xml:space="preserve"> September 2022</w:t>
      </w:r>
    </w:p>
    <w:sectPr w:rsidR="00100D42" w:rsidRPr="00015944" w:rsidSect="0096642E">
      <w:headerReference w:type="default" r:id="rId8"/>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01D4" w14:textId="77777777" w:rsidR="000715C8" w:rsidRDefault="000715C8" w:rsidP="0096642E">
      <w:r>
        <w:separator/>
      </w:r>
    </w:p>
  </w:endnote>
  <w:endnote w:type="continuationSeparator" w:id="0">
    <w:p w14:paraId="1B897F2F" w14:textId="77777777" w:rsidR="000715C8" w:rsidRDefault="000715C8"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124C" w14:textId="77777777" w:rsidR="000715C8" w:rsidRDefault="000715C8" w:rsidP="0096642E">
      <w:r>
        <w:separator/>
      </w:r>
    </w:p>
  </w:footnote>
  <w:footnote w:type="continuationSeparator" w:id="0">
    <w:p w14:paraId="1A3B141C" w14:textId="77777777" w:rsidR="000715C8" w:rsidRDefault="000715C8" w:rsidP="0096642E">
      <w:r>
        <w:continuationSeparator/>
      </w:r>
    </w:p>
  </w:footnote>
  <w:footnote w:id="1">
    <w:p w14:paraId="6E10EDCA" w14:textId="34D8A9E5" w:rsidR="000420CC" w:rsidRPr="000420CC" w:rsidRDefault="000420CC">
      <w:pPr>
        <w:pStyle w:val="FootnoteText"/>
        <w:rPr>
          <w:i/>
          <w:iCs/>
          <w:lang w:val="en-ZA"/>
        </w:rPr>
      </w:pPr>
      <w:r>
        <w:rPr>
          <w:rStyle w:val="FootnoteReference"/>
        </w:rPr>
        <w:footnoteRef/>
      </w:r>
      <w:r w:rsidR="00C20320">
        <w:t xml:space="preserve"> </w:t>
      </w:r>
      <w:r w:rsidR="00EC4228">
        <w:rPr>
          <w:i/>
          <w:iCs/>
          <w:lang w:val="en-ZA"/>
        </w:rPr>
        <w:t xml:space="preserve"> </w:t>
      </w:r>
      <w:r w:rsidR="00C20320">
        <w:rPr>
          <w:i/>
          <w:iCs/>
          <w:lang w:val="en-ZA"/>
        </w:rPr>
        <w:tab/>
      </w:r>
      <w:r w:rsidR="00EC4228">
        <w:rPr>
          <w:i/>
          <w:iCs/>
          <w:lang w:val="en-ZA"/>
        </w:rPr>
        <w:t>Hawkin v Hawkin</w:t>
      </w:r>
      <w:r w:rsidR="00C20320">
        <w:rPr>
          <w:i/>
          <w:iCs/>
          <w:lang w:val="en-ZA"/>
        </w:rPr>
        <w:t xml:space="preserve"> </w:t>
      </w:r>
      <w:r w:rsidR="00EC4228">
        <w:rPr>
          <w:lang w:val="en-ZA"/>
        </w:rPr>
        <w:t xml:space="preserve">1932 WLD 190 @192; </w:t>
      </w:r>
      <w:r>
        <w:rPr>
          <w:i/>
          <w:iCs/>
          <w:lang w:val="en-ZA"/>
        </w:rPr>
        <w:t>Nyathi v MEC Department of Health, Gauteng</w:t>
      </w:r>
      <w:r w:rsidR="00C20320">
        <w:rPr>
          <w:i/>
          <w:iCs/>
          <w:lang w:val="en-ZA"/>
        </w:rPr>
        <w:t xml:space="preserve"> </w:t>
      </w:r>
      <w:r>
        <w:rPr>
          <w:lang w:val="en-ZA"/>
        </w:rPr>
        <w:t xml:space="preserve">2008 (5) SA </w:t>
      </w:r>
      <w:r w:rsidR="00EC4228">
        <w:rPr>
          <w:lang w:val="en-ZA"/>
        </w:rPr>
        <w:t>94</w:t>
      </w:r>
      <w:r>
        <w:rPr>
          <w:lang w:val="en-ZA"/>
        </w:rPr>
        <w:t xml:space="preserve"> </w:t>
      </w:r>
      <w:r w:rsidR="00C20320">
        <w:rPr>
          <w:lang w:val="en-ZA"/>
        </w:rPr>
        <w:t>(</w:t>
      </w:r>
      <w:r>
        <w:rPr>
          <w:lang w:val="en-ZA"/>
        </w:rPr>
        <w:t>CC) @ para [76]</w:t>
      </w:r>
      <w:r>
        <w:rPr>
          <w:i/>
          <w:iCs/>
          <w:lang w:val="en-ZA"/>
        </w:rPr>
        <w:t xml:space="preserve"> </w:t>
      </w:r>
    </w:p>
  </w:footnote>
  <w:footnote w:id="2">
    <w:p w14:paraId="7813055D" w14:textId="6B1445D5" w:rsidR="00EC4228" w:rsidRPr="00EC4228" w:rsidRDefault="00EC4228">
      <w:pPr>
        <w:pStyle w:val="FootnoteText"/>
        <w:rPr>
          <w:lang w:val="en-ZA"/>
        </w:rPr>
      </w:pPr>
      <w:r>
        <w:rPr>
          <w:rStyle w:val="FootnoteReference"/>
        </w:rPr>
        <w:footnoteRef/>
      </w:r>
      <w:r>
        <w:t xml:space="preserve"> </w:t>
      </w:r>
      <w:r>
        <w:rPr>
          <w:lang w:val="en-ZA"/>
        </w:rPr>
        <w:tab/>
      </w:r>
      <w:r>
        <w:rPr>
          <w:i/>
          <w:iCs/>
          <w:lang w:val="en-ZA"/>
        </w:rPr>
        <w:t>Swanepoel v Bovey</w:t>
      </w:r>
      <w:r w:rsidR="00C20320">
        <w:rPr>
          <w:i/>
          <w:iCs/>
          <w:lang w:val="en-ZA"/>
        </w:rPr>
        <w:t xml:space="preserve"> </w:t>
      </w:r>
      <w:r w:rsidRPr="00EC4228">
        <w:rPr>
          <w:lang w:val="en-ZA"/>
        </w:rPr>
        <w:t>1926 AD 457 @ 458</w:t>
      </w:r>
    </w:p>
  </w:footnote>
  <w:footnote w:id="3">
    <w:p w14:paraId="118D9869" w14:textId="6CF4D411" w:rsidR="00EC4228" w:rsidRPr="00EC4228" w:rsidRDefault="00EC4228">
      <w:pPr>
        <w:pStyle w:val="FootnoteText"/>
        <w:rPr>
          <w:lang w:val="en-ZA"/>
        </w:rPr>
      </w:pPr>
      <w:r>
        <w:rPr>
          <w:rStyle w:val="FootnoteReference"/>
        </w:rPr>
        <w:footnoteRef/>
      </w:r>
      <w:r>
        <w:t xml:space="preserve"> </w:t>
      </w:r>
      <w:r>
        <w:rPr>
          <w:lang w:val="en-ZA"/>
        </w:rPr>
        <w:tab/>
      </w:r>
      <w:r w:rsidRPr="00A30A8B">
        <w:rPr>
          <w:i/>
          <w:iCs/>
          <w:lang w:val="en-ZA"/>
        </w:rPr>
        <w:t>Phe</w:t>
      </w:r>
      <w:r w:rsidR="00A30A8B" w:rsidRPr="00A30A8B">
        <w:rPr>
          <w:i/>
          <w:iCs/>
          <w:lang w:val="en-ZA"/>
        </w:rPr>
        <w:t>ko (2) &amp; other v Ekurhuleni Metropolitan Municipality</w:t>
      </w:r>
      <w:r w:rsidR="00A30A8B">
        <w:rPr>
          <w:lang w:val="en-ZA"/>
        </w:rPr>
        <w:t xml:space="preserve"> 2015 (5) SA 600 </w:t>
      </w:r>
      <w:r w:rsidR="00C20320">
        <w:rPr>
          <w:lang w:val="en-ZA"/>
        </w:rPr>
        <w:t>(</w:t>
      </w:r>
      <w:r w:rsidR="00A30A8B">
        <w:rPr>
          <w:lang w:val="en-ZA"/>
        </w:rPr>
        <w:t>CC)</w:t>
      </w:r>
      <w:r w:rsidR="00C20320">
        <w:rPr>
          <w:lang w:val="en-ZA"/>
        </w:rPr>
        <w:t xml:space="preserve"> </w:t>
      </w:r>
      <w:r w:rsidR="00E20DAE">
        <w:rPr>
          <w:lang w:val="en-ZA"/>
        </w:rPr>
        <w:t>@ para [37]</w:t>
      </w:r>
    </w:p>
  </w:footnote>
  <w:footnote w:id="4">
    <w:p w14:paraId="0A816D80" w14:textId="77777777" w:rsidR="00F20EF2" w:rsidRPr="003F24EC" w:rsidRDefault="00F20EF2" w:rsidP="00D924FE">
      <w:pPr>
        <w:pStyle w:val="FootnoteText"/>
        <w:tabs>
          <w:tab w:val="left" w:pos="426"/>
        </w:tabs>
        <w:ind w:left="426" w:hanging="426"/>
        <w:rPr>
          <w:lang w:val="en-ZA"/>
        </w:rPr>
      </w:pPr>
      <w:r>
        <w:rPr>
          <w:rStyle w:val="FootnoteReference"/>
        </w:rPr>
        <w:footnoteRef/>
      </w:r>
      <w:r>
        <w:t xml:space="preserve"> </w:t>
      </w:r>
      <w:r>
        <w:rPr>
          <w:lang w:val="en-ZA"/>
        </w:rPr>
        <w:tab/>
        <w:t>2021 (5) SA 327 (CC)</w:t>
      </w:r>
    </w:p>
  </w:footnote>
  <w:footnote w:id="5">
    <w:p w14:paraId="22528F5C" w14:textId="10D9B273" w:rsidR="00F20EF2" w:rsidRPr="00D924FE" w:rsidRDefault="00F20EF2">
      <w:pPr>
        <w:pStyle w:val="FootnoteText"/>
        <w:rPr>
          <w:lang w:val="en-ZA"/>
        </w:rPr>
      </w:pPr>
      <w:r>
        <w:rPr>
          <w:rStyle w:val="FootnoteReference"/>
        </w:rPr>
        <w:footnoteRef/>
      </w:r>
      <w:r>
        <w:t xml:space="preserve"> </w:t>
      </w:r>
      <w:r>
        <w:rPr>
          <w:lang w:val="en-ZA"/>
        </w:rPr>
        <w:tab/>
        <w:t xml:space="preserve">2004 </w:t>
      </w:r>
      <w:r w:rsidR="001A066B">
        <w:rPr>
          <w:lang w:val="en-ZA"/>
        </w:rPr>
        <w:t>(3) All SA 623 (E)</w:t>
      </w:r>
      <w:r>
        <w:rPr>
          <w:lang w:val="en-ZA"/>
        </w:rPr>
        <w:t xml:space="preserve"> at para </w:t>
      </w:r>
      <w:r w:rsidR="001A066B">
        <w:rPr>
          <w:lang w:val="en-ZA"/>
        </w:rPr>
        <w:t>[</w:t>
      </w:r>
      <w:r>
        <w:rPr>
          <w:lang w:val="en-ZA"/>
        </w:rPr>
        <w:t>23</w:t>
      </w:r>
      <w:r w:rsidR="001A066B">
        <w:rPr>
          <w:lang w:val="en-ZA"/>
        </w:rPr>
        <w:t>]</w:t>
      </w:r>
    </w:p>
  </w:footnote>
  <w:footnote w:id="6">
    <w:p w14:paraId="54527751" w14:textId="27E4016B" w:rsidR="00F20EF2" w:rsidRPr="00D924FE" w:rsidRDefault="00F20EF2" w:rsidP="00D924FE">
      <w:pPr>
        <w:pStyle w:val="FootnoteText"/>
        <w:tabs>
          <w:tab w:val="left" w:pos="426"/>
        </w:tabs>
        <w:ind w:left="426" w:hanging="426"/>
        <w:rPr>
          <w:lang w:val="en-ZA"/>
        </w:rPr>
      </w:pPr>
      <w:r>
        <w:rPr>
          <w:rStyle w:val="FootnoteReference"/>
        </w:rPr>
        <w:footnoteRef/>
      </w:r>
      <w:r>
        <w:t xml:space="preserve"> </w:t>
      </w:r>
      <w:r>
        <w:rPr>
          <w:lang w:val="en-ZA"/>
        </w:rPr>
        <w:tab/>
      </w:r>
      <w:r>
        <w:rPr>
          <w:i/>
          <w:lang w:val="en-ZA"/>
        </w:rPr>
        <w:t>Secretary of the Judicial Commission of Enquiry into Allegations of State Capture</w:t>
      </w:r>
      <w:r>
        <w:rPr>
          <w:lang w:val="en-ZA"/>
        </w:rPr>
        <w:t xml:space="preserve"> at para </w:t>
      </w:r>
      <w:r w:rsidR="00C40315">
        <w:rPr>
          <w:lang w:val="en-ZA"/>
        </w:rPr>
        <w:t>[</w:t>
      </w:r>
      <w:r>
        <w:rPr>
          <w:lang w:val="en-ZA"/>
        </w:rPr>
        <w:t>27</w:t>
      </w:r>
      <w:r w:rsidR="00C40315">
        <w:rPr>
          <w:lang w:val="en-ZA"/>
        </w:rPr>
        <w:t>]</w:t>
      </w:r>
    </w:p>
  </w:footnote>
  <w:footnote w:id="7">
    <w:p w14:paraId="7AB82F6C" w14:textId="005A2891" w:rsidR="00F20EF2" w:rsidRPr="00F20EF2" w:rsidRDefault="00F20EF2">
      <w:pPr>
        <w:pStyle w:val="FootnoteText"/>
        <w:rPr>
          <w:lang w:val="en-ZA"/>
        </w:rPr>
      </w:pPr>
      <w:r>
        <w:rPr>
          <w:rStyle w:val="FootnoteReference"/>
        </w:rPr>
        <w:footnoteRef/>
      </w:r>
      <w:r>
        <w:t xml:space="preserve"> </w:t>
      </w:r>
      <w:r>
        <w:rPr>
          <w:lang w:val="en-ZA"/>
        </w:rPr>
        <w:tab/>
        <w:t xml:space="preserve">This is the test set out by the Supreme Court of Appeal in </w:t>
      </w:r>
      <w:r>
        <w:rPr>
          <w:i/>
          <w:lang w:val="en-ZA"/>
        </w:rPr>
        <w:t>Fakie NO v CCII Systems (Pty) Ltd</w:t>
      </w:r>
      <w:r>
        <w:rPr>
          <w:lang w:val="en-ZA"/>
        </w:rPr>
        <w:t xml:space="preserve"> 2006 (4) SA 326 (SCA), at para </w:t>
      </w:r>
      <w:r w:rsidR="00B14C7D">
        <w:rPr>
          <w:lang w:val="en-ZA"/>
        </w:rPr>
        <w:t>[</w:t>
      </w:r>
      <w:r>
        <w:rPr>
          <w:lang w:val="en-ZA"/>
        </w:rPr>
        <w:t>22</w:t>
      </w:r>
      <w:r w:rsidR="00B14C7D">
        <w:rPr>
          <w:lang w:val="en-ZA"/>
        </w:rPr>
        <w:t>]</w:t>
      </w:r>
      <w:r>
        <w:rPr>
          <w:lang w:val="en-ZA"/>
        </w:rPr>
        <w:t xml:space="preserve">, and approved by the Constitutional Court </w:t>
      </w:r>
      <w:r>
        <w:rPr>
          <w:lang w:val="en-ZA"/>
        </w:rPr>
        <w:t xml:space="preserve">in : </w:t>
      </w:r>
      <w:r w:rsidRPr="00736F81">
        <w:rPr>
          <w:i/>
        </w:rPr>
        <w:t>Pheko (No 2)</w:t>
      </w:r>
      <w:r w:rsidRPr="00736F81">
        <w:t xml:space="preserve"> </w:t>
      </w:r>
      <w:r w:rsidR="00400276" w:rsidRPr="00E20DAE">
        <w:rPr>
          <w:i/>
        </w:rPr>
        <w:t>supra</w:t>
      </w:r>
      <w:r w:rsidR="00400276">
        <w:t xml:space="preserve"> </w:t>
      </w:r>
    </w:p>
  </w:footnote>
  <w:footnote w:id="8">
    <w:p w14:paraId="070029A4" w14:textId="3BC16595" w:rsidR="00F20EF2" w:rsidRPr="00F20EF2" w:rsidRDefault="00F20EF2">
      <w:pPr>
        <w:pStyle w:val="FootnoteText"/>
        <w:rPr>
          <w:lang w:val="en-ZA"/>
        </w:rPr>
      </w:pPr>
      <w:r>
        <w:rPr>
          <w:rStyle w:val="FootnoteReference"/>
        </w:rPr>
        <w:footnoteRef/>
      </w:r>
      <w:r>
        <w:t xml:space="preserve"> </w:t>
      </w:r>
      <w:r>
        <w:rPr>
          <w:lang w:val="en-ZA"/>
        </w:rPr>
        <w:tab/>
      </w:r>
      <w:r>
        <w:rPr>
          <w:i/>
          <w:lang w:val="en-ZA"/>
        </w:rPr>
        <w:t>Southey v Southey</w:t>
      </w:r>
      <w:r>
        <w:rPr>
          <w:lang w:val="en-ZA"/>
        </w:rPr>
        <w:t xml:space="preserve"> 109 ECD 133 at 137, affirmed by </w:t>
      </w:r>
      <w:r>
        <w:rPr>
          <w:i/>
          <w:lang w:val="en-ZA"/>
        </w:rPr>
        <w:t>Consolidated Fish</w:t>
      </w:r>
      <w:r w:rsidR="00400276">
        <w:rPr>
          <w:i/>
          <w:lang w:val="en-ZA"/>
        </w:rPr>
        <w:t xml:space="preserve"> Distributors (Pty) Ltd</w:t>
      </w:r>
      <w:r w:rsidR="00C20320">
        <w:rPr>
          <w:i/>
          <w:lang w:val="en-ZA"/>
        </w:rPr>
        <w:t xml:space="preserve"> </w:t>
      </w:r>
      <w:r w:rsidR="00400276">
        <w:rPr>
          <w:iCs/>
          <w:lang w:val="en-ZA"/>
        </w:rPr>
        <w:t xml:space="preserve">1968 (2) SA 517 </w:t>
      </w:r>
      <w:r w:rsidR="00C20320">
        <w:rPr>
          <w:iCs/>
          <w:lang w:val="en-ZA"/>
        </w:rPr>
        <w:t>(</w:t>
      </w:r>
      <w:r w:rsidR="00400276">
        <w:rPr>
          <w:iCs/>
          <w:lang w:val="en-ZA"/>
        </w:rPr>
        <w:t>C) @</w:t>
      </w:r>
      <w:r w:rsidR="00C20320">
        <w:rPr>
          <w:iCs/>
          <w:lang w:val="en-ZA"/>
        </w:rPr>
        <w:t xml:space="preserve"> </w:t>
      </w:r>
      <w:r>
        <w:rPr>
          <w:lang w:val="en-ZA"/>
        </w:rPr>
        <w:t>at 522E-H</w:t>
      </w:r>
    </w:p>
  </w:footnote>
  <w:footnote w:id="9">
    <w:p w14:paraId="39E93A85" w14:textId="3FE92165" w:rsidR="00400276" w:rsidRPr="001476E2" w:rsidRDefault="00400276">
      <w:pPr>
        <w:pStyle w:val="FootnoteText"/>
        <w:rPr>
          <w:lang w:val="en-ZA"/>
        </w:rPr>
      </w:pPr>
      <w:r>
        <w:rPr>
          <w:rStyle w:val="FootnoteReference"/>
        </w:rPr>
        <w:footnoteRef/>
      </w:r>
      <w:r>
        <w:t xml:space="preserve"> </w:t>
      </w:r>
      <w:r>
        <w:rPr>
          <w:lang w:val="en-ZA"/>
        </w:rPr>
        <w:tab/>
      </w:r>
      <w:r>
        <w:rPr>
          <w:i/>
          <w:iCs/>
          <w:lang w:val="en-ZA"/>
        </w:rPr>
        <w:t>Federation of South</w:t>
      </w:r>
      <w:r w:rsidR="00C20320">
        <w:rPr>
          <w:i/>
          <w:iCs/>
          <w:lang w:val="en-ZA"/>
        </w:rPr>
        <w:t xml:space="preserve"> </w:t>
      </w:r>
      <w:r>
        <w:rPr>
          <w:i/>
          <w:iCs/>
          <w:lang w:val="en-ZA"/>
        </w:rPr>
        <w:t xml:space="preserve">African Schools (Gauteng) v MEC Education, </w:t>
      </w:r>
      <w:r w:rsidRPr="001476E2">
        <w:rPr>
          <w:lang w:val="en-ZA"/>
        </w:rPr>
        <w:t>Gauteng</w:t>
      </w:r>
      <w:r w:rsidR="001476E2" w:rsidRPr="001476E2">
        <w:rPr>
          <w:lang w:val="en-ZA"/>
        </w:rPr>
        <w:t xml:space="preserve"> 2002(1) SA 660</w:t>
      </w:r>
      <w:r w:rsidR="001B5798">
        <w:rPr>
          <w:lang w:val="en-ZA"/>
        </w:rPr>
        <w:t xml:space="preserve"> (</w:t>
      </w:r>
      <w:r w:rsidR="006417AA">
        <w:rPr>
          <w:lang w:val="en-ZA"/>
        </w:rPr>
        <w:t>T)</w:t>
      </w:r>
    </w:p>
  </w:footnote>
  <w:footnote w:id="10">
    <w:p w14:paraId="03459C8F" w14:textId="77777777" w:rsidR="000760FB" w:rsidRPr="00BA5DED" w:rsidRDefault="000760FB" w:rsidP="000760FB">
      <w:pPr>
        <w:pStyle w:val="FootnoteText"/>
        <w:rPr>
          <w:lang w:val="en-ZA"/>
        </w:rPr>
      </w:pPr>
      <w:r>
        <w:rPr>
          <w:rStyle w:val="FootnoteReference"/>
        </w:rPr>
        <w:footnoteRef/>
      </w:r>
      <w:r>
        <w:t xml:space="preserve"> </w:t>
      </w:r>
      <w:r>
        <w:rPr>
          <w:lang w:val="en-ZA"/>
        </w:rPr>
        <w:tab/>
        <w:t>[2015] ZASCA 21 (19 March 2005)</w:t>
      </w:r>
    </w:p>
  </w:footnote>
  <w:footnote w:id="11">
    <w:p w14:paraId="39349592" w14:textId="6188F495" w:rsidR="000760FB" w:rsidRPr="00BA5DED" w:rsidRDefault="000760FB" w:rsidP="000760FB">
      <w:pPr>
        <w:pStyle w:val="FootnoteText"/>
        <w:rPr>
          <w:lang w:val="en-ZA"/>
        </w:rPr>
      </w:pPr>
      <w:r>
        <w:rPr>
          <w:rStyle w:val="FootnoteReference"/>
        </w:rPr>
        <w:footnoteRef/>
      </w:r>
      <w:r>
        <w:t xml:space="preserve"> </w:t>
      </w:r>
      <w:r>
        <w:rPr>
          <w:lang w:val="en-ZA"/>
        </w:rPr>
        <w:tab/>
      </w:r>
      <w:r>
        <w:rPr>
          <w:i/>
          <w:lang w:val="en-ZA"/>
        </w:rPr>
        <w:t>Casey</w:t>
      </w:r>
      <w:r w:rsidR="00C20320">
        <w:rPr>
          <w:lang w:val="en-ZA"/>
        </w:rPr>
        <w:t xml:space="preserve"> </w:t>
      </w:r>
      <w:r>
        <w:rPr>
          <w:i/>
          <w:lang w:val="en-ZA"/>
        </w:rPr>
        <w:t xml:space="preserve">and Another </w:t>
      </w:r>
      <w:r>
        <w:rPr>
          <w:i/>
          <w:lang w:val="en-ZA"/>
        </w:rPr>
        <w:t>v First Rand Bank Ltd</w:t>
      </w:r>
      <w:r w:rsidR="00C20320">
        <w:rPr>
          <w:lang w:val="en-ZA"/>
        </w:rPr>
        <w:t xml:space="preserve"> </w:t>
      </w:r>
      <w:r w:rsidR="00597A43">
        <w:rPr>
          <w:lang w:val="en-ZA"/>
        </w:rPr>
        <w:t xml:space="preserve">2014 (2) SA 374 </w:t>
      </w:r>
      <w:r>
        <w:rPr>
          <w:lang w:val="en-ZA"/>
        </w:rPr>
        <w:t xml:space="preserve">(SCA) at para </w:t>
      </w:r>
      <w:r w:rsidR="00344AA6">
        <w:rPr>
          <w:lang w:val="en-ZA"/>
        </w:rPr>
        <w:t>[</w:t>
      </w:r>
      <w:r>
        <w:rPr>
          <w:lang w:val="en-ZA"/>
        </w:rPr>
        <w:t>7</w:t>
      </w:r>
      <w:r w:rsidR="00344AA6">
        <w:rPr>
          <w:lang w:val="en-ZA"/>
        </w:rPr>
        <w:t>]</w:t>
      </w:r>
      <w:r>
        <w:rPr>
          <w:lang w:val="en-ZA"/>
        </w:rPr>
        <w:t xml:space="preserve">; </w:t>
      </w:r>
      <w:r>
        <w:rPr>
          <w:i/>
          <w:lang w:val="en-ZA"/>
        </w:rPr>
        <w:t xml:space="preserve">Standard Bank of South Africa Ltd v </w:t>
      </w:r>
      <w:r>
        <w:rPr>
          <w:i/>
          <w:lang w:val="en-ZA"/>
        </w:rPr>
        <w:t>Oneanate Investments (Pty) Ltd (in liquidation)</w:t>
      </w:r>
      <w:r>
        <w:rPr>
          <w:lang w:val="en-ZA"/>
        </w:rPr>
        <w:t xml:space="preserve"> [1998] 1 All SA 413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374268"/>
      <w:docPartObj>
        <w:docPartGallery w:val="Page Numbers (Top of Page)"/>
        <w:docPartUnique/>
      </w:docPartObj>
    </w:sdtPr>
    <w:sdtEndPr>
      <w:rPr>
        <w:noProof/>
      </w:rPr>
    </w:sdtEndPr>
    <w:sdtContent>
      <w:p w14:paraId="71F4917C" w14:textId="775145D1" w:rsidR="00F20EF2" w:rsidRDefault="00F20EF2">
        <w:pPr>
          <w:pStyle w:val="Header"/>
          <w:jc w:val="right"/>
          <w:rPr>
            <w:noProof/>
          </w:rPr>
        </w:pPr>
        <w:r w:rsidRPr="0096642E">
          <w:fldChar w:fldCharType="begin"/>
        </w:r>
        <w:r w:rsidRPr="0096642E">
          <w:instrText xml:space="preserve"> PAGE   \* MERGEFORMAT </w:instrText>
        </w:r>
        <w:r w:rsidRPr="0096642E">
          <w:fldChar w:fldCharType="separate"/>
        </w:r>
        <w:r w:rsidR="004E4872">
          <w:rPr>
            <w:noProof/>
          </w:rPr>
          <w:t>2</w:t>
        </w:r>
        <w:r w:rsidRPr="0096642E">
          <w:rPr>
            <w:noProof/>
          </w:rPr>
          <w:fldChar w:fldCharType="end"/>
        </w:r>
      </w:p>
      <w:p w14:paraId="4E7E3523" w14:textId="77777777" w:rsidR="00F20EF2" w:rsidRDefault="00F20EF2">
        <w:pPr>
          <w:pStyle w:val="Header"/>
          <w:jc w:val="right"/>
          <w:rPr>
            <w:noProof/>
          </w:rPr>
        </w:pPr>
      </w:p>
      <w:p w14:paraId="5AC9598D" w14:textId="77777777" w:rsidR="00F20EF2" w:rsidRPr="0096642E" w:rsidRDefault="00000000">
        <w:pPr>
          <w:pStyle w:val="Header"/>
          <w:jc w:val="right"/>
        </w:pPr>
      </w:p>
    </w:sdtContent>
  </w:sdt>
  <w:p w14:paraId="797D6E41" w14:textId="77777777" w:rsidR="00F20EF2" w:rsidRDefault="00F2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FC79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823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D4FC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BC20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CE6D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822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F00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5E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5CC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38D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15:restartNumberingAfterBreak="0">
    <w:nsid w:val="45B91F08"/>
    <w:multiLevelType w:val="multilevel"/>
    <w:tmpl w:val="5A8ADFAA"/>
    <w:lvl w:ilvl="0">
      <w:start w:val="1"/>
      <w:numFmt w:val="decimal"/>
      <w:lvlText w:val="[%1]"/>
      <w:lvlJc w:val="left"/>
      <w:pPr>
        <w:tabs>
          <w:tab w:val="num" w:pos="851"/>
        </w:tabs>
        <w:ind w:left="851" w:hanging="851"/>
      </w:pPr>
      <w:rPr>
        <w:rFonts w:hint="default"/>
        <w:i w:val="0"/>
        <w:iCs w:val="0"/>
      </w:rPr>
    </w:lvl>
    <w:lvl w:ilvl="1">
      <w:start w:val="1"/>
      <w:numFmt w:val="decimal"/>
      <w:lvlText w:val="%1.%2"/>
      <w:lvlJc w:val="left"/>
      <w:pPr>
        <w:tabs>
          <w:tab w:val="num" w:pos="851"/>
        </w:tabs>
        <w:ind w:left="1701" w:hanging="850"/>
      </w:pPr>
      <w:rPr>
        <w:rFonts w:hint="default"/>
      </w:rPr>
    </w:lvl>
    <w:lvl w:ilvl="2">
      <w:start w:val="1"/>
      <w:numFmt w:val="decimal"/>
      <w:lvlText w:val="%1.%2.%3."/>
      <w:lvlJc w:val="left"/>
      <w:pPr>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68281770">
    <w:abstractNumId w:val="10"/>
  </w:num>
  <w:num w:numId="2" w16cid:durableId="895625858">
    <w:abstractNumId w:val="11"/>
  </w:num>
  <w:num w:numId="3" w16cid:durableId="1714574732">
    <w:abstractNumId w:val="9"/>
  </w:num>
  <w:num w:numId="4" w16cid:durableId="1752459475">
    <w:abstractNumId w:val="7"/>
  </w:num>
  <w:num w:numId="5" w16cid:durableId="661860891">
    <w:abstractNumId w:val="6"/>
  </w:num>
  <w:num w:numId="6" w16cid:durableId="632101163">
    <w:abstractNumId w:val="5"/>
  </w:num>
  <w:num w:numId="7" w16cid:durableId="1821194461">
    <w:abstractNumId w:val="4"/>
  </w:num>
  <w:num w:numId="8" w16cid:durableId="927544484">
    <w:abstractNumId w:val="8"/>
  </w:num>
  <w:num w:numId="9" w16cid:durableId="1107237643">
    <w:abstractNumId w:val="3"/>
  </w:num>
  <w:num w:numId="10" w16cid:durableId="1956135735">
    <w:abstractNumId w:val="2"/>
  </w:num>
  <w:num w:numId="11" w16cid:durableId="340620766">
    <w:abstractNumId w:val="1"/>
  </w:num>
  <w:num w:numId="12" w16cid:durableId="38090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NDc0MTU3MzYzNbNQ0lEKTi0uzszPAykwrgUAVgGJhCwAAAA="/>
  </w:docVars>
  <w:rsids>
    <w:rsidRoot w:val="002F4398"/>
    <w:rsid w:val="00003D06"/>
    <w:rsid w:val="000154BC"/>
    <w:rsid w:val="00015944"/>
    <w:rsid w:val="000420CC"/>
    <w:rsid w:val="000715C8"/>
    <w:rsid w:val="00072D81"/>
    <w:rsid w:val="000760FB"/>
    <w:rsid w:val="000A17E8"/>
    <w:rsid w:val="000B3D8D"/>
    <w:rsid w:val="000C6B8C"/>
    <w:rsid w:val="000E06B5"/>
    <w:rsid w:val="000E3717"/>
    <w:rsid w:val="00100A30"/>
    <w:rsid w:val="00100D42"/>
    <w:rsid w:val="001127A7"/>
    <w:rsid w:val="00115564"/>
    <w:rsid w:val="00120782"/>
    <w:rsid w:val="0012632C"/>
    <w:rsid w:val="00140732"/>
    <w:rsid w:val="001443A0"/>
    <w:rsid w:val="001476E2"/>
    <w:rsid w:val="00154508"/>
    <w:rsid w:val="00167D80"/>
    <w:rsid w:val="001731EC"/>
    <w:rsid w:val="00190BDB"/>
    <w:rsid w:val="001A066B"/>
    <w:rsid w:val="001A7DBC"/>
    <w:rsid w:val="001B3344"/>
    <w:rsid w:val="001B5798"/>
    <w:rsid w:val="001D415F"/>
    <w:rsid w:val="001E0509"/>
    <w:rsid w:val="001F27D6"/>
    <w:rsid w:val="001F5147"/>
    <w:rsid w:val="001F7BCC"/>
    <w:rsid w:val="0020542B"/>
    <w:rsid w:val="002100D2"/>
    <w:rsid w:val="00226E10"/>
    <w:rsid w:val="00264503"/>
    <w:rsid w:val="00274095"/>
    <w:rsid w:val="002B7BA9"/>
    <w:rsid w:val="002F0BCB"/>
    <w:rsid w:val="002F4398"/>
    <w:rsid w:val="003129FF"/>
    <w:rsid w:val="0033242E"/>
    <w:rsid w:val="00344AA6"/>
    <w:rsid w:val="003464F2"/>
    <w:rsid w:val="00396A16"/>
    <w:rsid w:val="003A33C1"/>
    <w:rsid w:val="003C53E7"/>
    <w:rsid w:val="003D12FA"/>
    <w:rsid w:val="003D2B52"/>
    <w:rsid w:val="003D54E4"/>
    <w:rsid w:val="003D7BFE"/>
    <w:rsid w:val="003E1F6B"/>
    <w:rsid w:val="003F24EC"/>
    <w:rsid w:val="003F2BE1"/>
    <w:rsid w:val="00400276"/>
    <w:rsid w:val="0040074B"/>
    <w:rsid w:val="0040157E"/>
    <w:rsid w:val="004054E8"/>
    <w:rsid w:val="00415263"/>
    <w:rsid w:val="004156BC"/>
    <w:rsid w:val="004358B7"/>
    <w:rsid w:val="00445BE2"/>
    <w:rsid w:val="004A05B5"/>
    <w:rsid w:val="004A2F13"/>
    <w:rsid w:val="004B1E38"/>
    <w:rsid w:val="004C428F"/>
    <w:rsid w:val="004D206C"/>
    <w:rsid w:val="004D2695"/>
    <w:rsid w:val="004E4872"/>
    <w:rsid w:val="004F202D"/>
    <w:rsid w:val="004F5A48"/>
    <w:rsid w:val="004F7D1E"/>
    <w:rsid w:val="00512241"/>
    <w:rsid w:val="00513ADC"/>
    <w:rsid w:val="00514621"/>
    <w:rsid w:val="00537C4D"/>
    <w:rsid w:val="005515C9"/>
    <w:rsid w:val="00551D81"/>
    <w:rsid w:val="00571A39"/>
    <w:rsid w:val="00591818"/>
    <w:rsid w:val="00597A43"/>
    <w:rsid w:val="005A2EF7"/>
    <w:rsid w:val="005B1D90"/>
    <w:rsid w:val="005D2712"/>
    <w:rsid w:val="005D4718"/>
    <w:rsid w:val="005E4B0B"/>
    <w:rsid w:val="005F3FD9"/>
    <w:rsid w:val="00615058"/>
    <w:rsid w:val="00615DE5"/>
    <w:rsid w:val="0062309A"/>
    <w:rsid w:val="006417AA"/>
    <w:rsid w:val="006B0E4E"/>
    <w:rsid w:val="006F79EB"/>
    <w:rsid w:val="00716C88"/>
    <w:rsid w:val="00727709"/>
    <w:rsid w:val="00744699"/>
    <w:rsid w:val="00747CF6"/>
    <w:rsid w:val="0075741F"/>
    <w:rsid w:val="007610F3"/>
    <w:rsid w:val="00767FA8"/>
    <w:rsid w:val="00774918"/>
    <w:rsid w:val="007A4347"/>
    <w:rsid w:val="007B0B23"/>
    <w:rsid w:val="007C17E8"/>
    <w:rsid w:val="007D1DB3"/>
    <w:rsid w:val="007D76AB"/>
    <w:rsid w:val="007E3A65"/>
    <w:rsid w:val="007E3C9D"/>
    <w:rsid w:val="007E4DBC"/>
    <w:rsid w:val="00802C34"/>
    <w:rsid w:val="00804D0F"/>
    <w:rsid w:val="00852B33"/>
    <w:rsid w:val="008C1D08"/>
    <w:rsid w:val="00915B1B"/>
    <w:rsid w:val="009230B1"/>
    <w:rsid w:val="00957EC8"/>
    <w:rsid w:val="0096642E"/>
    <w:rsid w:val="00996906"/>
    <w:rsid w:val="009B3C34"/>
    <w:rsid w:val="009B53AD"/>
    <w:rsid w:val="009D3D06"/>
    <w:rsid w:val="009E523F"/>
    <w:rsid w:val="00A30A8B"/>
    <w:rsid w:val="00A4098F"/>
    <w:rsid w:val="00A60D19"/>
    <w:rsid w:val="00A61F6D"/>
    <w:rsid w:val="00A74F99"/>
    <w:rsid w:val="00A90418"/>
    <w:rsid w:val="00A9476A"/>
    <w:rsid w:val="00AB2152"/>
    <w:rsid w:val="00AD08B4"/>
    <w:rsid w:val="00AD11C2"/>
    <w:rsid w:val="00AD306E"/>
    <w:rsid w:val="00AD51B2"/>
    <w:rsid w:val="00AE00ED"/>
    <w:rsid w:val="00AF7CA9"/>
    <w:rsid w:val="00B14AD4"/>
    <w:rsid w:val="00B14C7D"/>
    <w:rsid w:val="00B2679F"/>
    <w:rsid w:val="00B32035"/>
    <w:rsid w:val="00B3235B"/>
    <w:rsid w:val="00B4207B"/>
    <w:rsid w:val="00B551EA"/>
    <w:rsid w:val="00BA0084"/>
    <w:rsid w:val="00BA3D4B"/>
    <w:rsid w:val="00BA5DED"/>
    <w:rsid w:val="00C03341"/>
    <w:rsid w:val="00C20320"/>
    <w:rsid w:val="00C40315"/>
    <w:rsid w:val="00C43067"/>
    <w:rsid w:val="00C651BF"/>
    <w:rsid w:val="00C962A8"/>
    <w:rsid w:val="00CC7F57"/>
    <w:rsid w:val="00CE4C3F"/>
    <w:rsid w:val="00CF58A1"/>
    <w:rsid w:val="00CF6D6A"/>
    <w:rsid w:val="00D07F03"/>
    <w:rsid w:val="00D33093"/>
    <w:rsid w:val="00D34807"/>
    <w:rsid w:val="00D63098"/>
    <w:rsid w:val="00D67B23"/>
    <w:rsid w:val="00D8251E"/>
    <w:rsid w:val="00D924FE"/>
    <w:rsid w:val="00D92EB9"/>
    <w:rsid w:val="00DA311C"/>
    <w:rsid w:val="00DA564D"/>
    <w:rsid w:val="00DB4FFD"/>
    <w:rsid w:val="00DD0ABF"/>
    <w:rsid w:val="00E041F8"/>
    <w:rsid w:val="00E20DAE"/>
    <w:rsid w:val="00E61724"/>
    <w:rsid w:val="00E6209F"/>
    <w:rsid w:val="00E90126"/>
    <w:rsid w:val="00EA104B"/>
    <w:rsid w:val="00EC4228"/>
    <w:rsid w:val="00EE75A3"/>
    <w:rsid w:val="00EF39DB"/>
    <w:rsid w:val="00F06CFB"/>
    <w:rsid w:val="00F20EF2"/>
    <w:rsid w:val="00F27FCD"/>
    <w:rsid w:val="00F31123"/>
    <w:rsid w:val="00F3505E"/>
    <w:rsid w:val="00F45DA6"/>
    <w:rsid w:val="00F541CB"/>
    <w:rsid w:val="00F73A5B"/>
    <w:rsid w:val="00F83555"/>
    <w:rsid w:val="00FA3AD3"/>
    <w:rsid w:val="00FB47D6"/>
    <w:rsid w:val="00FB48EB"/>
    <w:rsid w:val="00FE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B175E"/>
  <w15:docId w15:val="{8454F829-E526-48DC-BE53-F00182E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D81"/>
    <w:pPr>
      <w:jc w:val="both"/>
    </w:pPr>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qFormat/>
    <w:rsid w:val="00D34807"/>
    <w:pPr>
      <w:tabs>
        <w:tab w:val="right" w:pos="8280"/>
      </w:tabs>
      <w:spacing w:before="360" w:line="360" w:lineRule="auto"/>
      <w:ind w:left="1276"/>
      <w:contextualSpacing w:val="0"/>
    </w:pPr>
    <w:rPr>
      <w:sz w:val="20"/>
      <w:szCs w:val="20"/>
      <w:lang w:val="en-ZA"/>
    </w:rPr>
  </w:style>
  <w:style w:type="paragraph" w:customStyle="1" w:styleId="Style2">
    <w:name w:val="Style2"/>
    <w:basedOn w:val="Style1"/>
    <w:link w:val="Style2Char"/>
    <w:qFormat/>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rPr>
      <w:rFonts w:ascii="Arial" w:hAnsi="Arial" w:cs="Arial"/>
      <w:sz w:val="24"/>
      <w:szCs w:val="24"/>
      <w:u w:val="single"/>
      <w:lang w:val="en-GB" w:eastAsia="en-GB"/>
    </w:rPr>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qFormat/>
    <w:rsid w:val="00015944"/>
    <w:pPr>
      <w:tabs>
        <w:tab w:val="left" w:pos="1418"/>
        <w:tab w:val="right" w:pos="8280"/>
      </w:tabs>
      <w:spacing w:before="480" w:line="480" w:lineRule="auto"/>
      <w:ind w:left="1418" w:hanging="567"/>
      <w:contextualSpacing w:val="0"/>
    </w:pPr>
    <w:rPr>
      <w:i/>
      <w:sz w:val="20"/>
      <w:szCs w:val="20"/>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semiHidden/>
    <w:unhideWhenUsed/>
    <w:rsid w:val="00D924FE"/>
    <w:pPr>
      <w:tabs>
        <w:tab w:val="left" w:pos="454"/>
      </w:tabs>
      <w:ind w:left="454" w:hanging="454"/>
    </w:pPr>
    <w:rPr>
      <w:sz w:val="20"/>
      <w:szCs w:val="20"/>
    </w:rPr>
  </w:style>
  <w:style w:type="character" w:customStyle="1" w:styleId="FootnoteTextChar">
    <w:name w:val="Footnote Text Char"/>
    <w:basedOn w:val="DefaultParagraphFont"/>
    <w:link w:val="FootnoteText"/>
    <w:semiHidden/>
    <w:rsid w:val="00D924FE"/>
    <w:rPr>
      <w:rFonts w:ascii="Arial" w:hAnsi="Arial" w:cs="Arial"/>
      <w:lang w:val="en-GB" w:eastAsia="en-GB"/>
    </w:rPr>
  </w:style>
  <w:style w:type="character" w:styleId="FootnoteReference">
    <w:name w:val="footnote reference"/>
    <w:basedOn w:val="DefaultParagraphFont"/>
    <w:semiHidden/>
    <w:unhideWhenUsed/>
    <w:rsid w:val="003F2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Mariana Anguelov</cp:lastModifiedBy>
  <cp:revision>3</cp:revision>
  <dcterms:created xsi:type="dcterms:W3CDTF">2022-10-03T14:48:00Z</dcterms:created>
  <dcterms:modified xsi:type="dcterms:W3CDTF">2022-10-16T16:33:00Z</dcterms:modified>
</cp:coreProperties>
</file>