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0F7" w:rsidRDefault="00D160F7" w:rsidP="00D160F7">
      <w:pPr>
        <w:jc w:val="center"/>
        <w:rPr>
          <w:rFonts w:ascii="Arial" w:hAnsi="Arial" w:cs="Arial"/>
          <w:b/>
          <w:sz w:val="24"/>
          <w:szCs w:val="24"/>
          <w:lang w:val="en-US"/>
        </w:rPr>
      </w:pPr>
      <w:r>
        <w:rPr>
          <w:rFonts w:ascii="Arial" w:hAnsi="Arial" w:cs="Arial"/>
          <w:b/>
          <w:noProof/>
          <w:sz w:val="24"/>
          <w:szCs w:val="24"/>
          <w:lang w:eastAsia="en-ZA"/>
        </w:rPr>
        <w:drawing>
          <wp:inline distT="0" distB="0" distL="0" distR="0" wp14:anchorId="5A69C517" wp14:editId="26BAF194">
            <wp:extent cx="1291569" cy="95707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2222" cy="994607"/>
                    </a:xfrm>
                    <a:prstGeom prst="rect">
                      <a:avLst/>
                    </a:prstGeom>
                    <a:noFill/>
                  </pic:spPr>
                </pic:pic>
              </a:graphicData>
            </a:graphic>
          </wp:inline>
        </w:drawing>
      </w:r>
    </w:p>
    <w:p w:rsidR="00D160F7" w:rsidRPr="004F7D4E" w:rsidRDefault="00D160F7" w:rsidP="00D160F7">
      <w:pPr>
        <w:jc w:val="center"/>
        <w:rPr>
          <w:rFonts w:ascii="Arial" w:hAnsi="Arial" w:cs="Arial"/>
          <w:b/>
          <w:sz w:val="24"/>
          <w:szCs w:val="24"/>
          <w:lang w:val="en-US"/>
        </w:rPr>
      </w:pPr>
      <w:r w:rsidRPr="004F7D4E">
        <w:rPr>
          <w:rFonts w:ascii="Arial" w:hAnsi="Arial" w:cs="Arial"/>
          <w:b/>
          <w:sz w:val="24"/>
          <w:szCs w:val="24"/>
          <w:lang w:val="en-US"/>
        </w:rPr>
        <w:t>IN THE HIGH COURT OF SOUTH AFRICA</w:t>
      </w:r>
    </w:p>
    <w:p w:rsidR="00D160F7" w:rsidRPr="004F7D4E" w:rsidRDefault="00D160F7" w:rsidP="00D160F7">
      <w:pPr>
        <w:jc w:val="center"/>
        <w:rPr>
          <w:rFonts w:ascii="Arial" w:hAnsi="Arial" w:cs="Arial"/>
          <w:b/>
          <w:sz w:val="24"/>
          <w:szCs w:val="24"/>
          <w:lang w:val="en-US"/>
        </w:rPr>
      </w:pPr>
      <w:r w:rsidRPr="004F7D4E">
        <w:rPr>
          <w:rFonts w:ascii="Arial" w:hAnsi="Arial" w:cs="Arial"/>
          <w:b/>
          <w:sz w:val="24"/>
          <w:szCs w:val="24"/>
          <w:lang w:val="en-US"/>
        </w:rPr>
        <w:t>[EASTE</w:t>
      </w:r>
      <w:r w:rsidR="0065529A">
        <w:rPr>
          <w:rFonts w:ascii="Arial" w:hAnsi="Arial" w:cs="Arial"/>
          <w:b/>
          <w:sz w:val="24"/>
          <w:szCs w:val="24"/>
          <w:lang w:val="en-US"/>
        </w:rPr>
        <w:t>R</w:t>
      </w:r>
      <w:r w:rsidRPr="004F7D4E">
        <w:rPr>
          <w:rFonts w:ascii="Arial" w:hAnsi="Arial" w:cs="Arial"/>
          <w:b/>
          <w:sz w:val="24"/>
          <w:szCs w:val="24"/>
          <w:lang w:val="en-US"/>
        </w:rPr>
        <w:t xml:space="preserve">N CAPE DIVISION: </w:t>
      </w:r>
      <w:r>
        <w:rPr>
          <w:rFonts w:ascii="Arial" w:hAnsi="Arial" w:cs="Arial"/>
          <w:b/>
          <w:sz w:val="24"/>
          <w:szCs w:val="24"/>
          <w:lang w:val="en-US"/>
        </w:rPr>
        <w:t>BHISHO</w:t>
      </w:r>
      <w:r w:rsidRPr="004F7D4E">
        <w:rPr>
          <w:rFonts w:ascii="Arial" w:hAnsi="Arial" w:cs="Arial"/>
          <w:b/>
          <w:sz w:val="24"/>
          <w:szCs w:val="24"/>
          <w:lang w:val="en-US"/>
        </w:rPr>
        <w:t>]</w:t>
      </w:r>
    </w:p>
    <w:p w:rsidR="00D160F7" w:rsidRPr="004F7D4E" w:rsidRDefault="00D160F7" w:rsidP="00D160F7">
      <w:pPr>
        <w:rPr>
          <w:rFonts w:ascii="Arial" w:hAnsi="Arial" w:cs="Arial"/>
          <w:b/>
          <w:sz w:val="24"/>
          <w:szCs w:val="24"/>
          <w:lang w:val="en-US"/>
        </w:rPr>
      </w:pP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t xml:space="preserve">CASE NO. </w:t>
      </w:r>
      <w:r>
        <w:rPr>
          <w:rFonts w:ascii="Arial" w:hAnsi="Arial" w:cs="Arial"/>
          <w:b/>
          <w:sz w:val="24"/>
          <w:szCs w:val="24"/>
          <w:lang w:val="en-US"/>
        </w:rPr>
        <w:t>845/2021</w:t>
      </w:r>
    </w:p>
    <w:p w:rsidR="00D160F7" w:rsidRPr="004F7D4E" w:rsidRDefault="00D160F7" w:rsidP="00D160F7">
      <w:pPr>
        <w:spacing w:line="240" w:lineRule="auto"/>
        <w:rPr>
          <w:rFonts w:ascii="Arial" w:hAnsi="Arial" w:cs="Arial"/>
          <w:sz w:val="24"/>
          <w:szCs w:val="24"/>
          <w:lang w:val="en-US"/>
        </w:rPr>
      </w:pPr>
      <w:r w:rsidRPr="004F7D4E">
        <w:rPr>
          <w:rFonts w:ascii="Arial" w:hAnsi="Arial" w:cs="Arial"/>
          <w:sz w:val="24"/>
          <w:szCs w:val="24"/>
          <w:lang w:val="en-US"/>
        </w:rPr>
        <w:t>In the matter between:</w:t>
      </w:r>
    </w:p>
    <w:p w:rsidR="00CD6E7C" w:rsidRDefault="00CD6E7C" w:rsidP="00D160F7">
      <w:pPr>
        <w:spacing w:line="240" w:lineRule="auto"/>
        <w:rPr>
          <w:rFonts w:ascii="Arial" w:hAnsi="Arial" w:cs="Arial"/>
          <w:b/>
          <w:sz w:val="24"/>
          <w:szCs w:val="24"/>
          <w:lang w:val="en-US"/>
        </w:rPr>
      </w:pPr>
    </w:p>
    <w:p w:rsidR="005F055F" w:rsidRDefault="005F055F" w:rsidP="005F055F">
      <w:pPr>
        <w:spacing w:line="240" w:lineRule="auto"/>
        <w:rPr>
          <w:rFonts w:ascii="Arial" w:hAnsi="Arial" w:cs="Arial"/>
          <w:b/>
          <w:sz w:val="24"/>
          <w:szCs w:val="24"/>
          <w:lang w:val="en-US"/>
        </w:rPr>
      </w:pPr>
      <w:r>
        <w:rPr>
          <w:rFonts w:ascii="Arial" w:hAnsi="Arial" w:cs="Arial"/>
          <w:b/>
          <w:sz w:val="24"/>
          <w:szCs w:val="24"/>
          <w:lang w:val="en-US"/>
        </w:rPr>
        <w:t>MEC FOR DEPARTMENT OF PUBLIC WORKS</w:t>
      </w:r>
    </w:p>
    <w:p w:rsidR="005F055F" w:rsidRDefault="005F055F" w:rsidP="005F055F">
      <w:pPr>
        <w:spacing w:line="240" w:lineRule="auto"/>
        <w:rPr>
          <w:rFonts w:ascii="Arial" w:hAnsi="Arial" w:cs="Arial"/>
          <w:b/>
          <w:sz w:val="24"/>
          <w:szCs w:val="24"/>
          <w:lang w:val="en-US"/>
        </w:rPr>
      </w:pPr>
      <w:r>
        <w:rPr>
          <w:rFonts w:ascii="Arial" w:hAnsi="Arial" w:cs="Arial"/>
          <w:b/>
          <w:sz w:val="24"/>
          <w:szCs w:val="24"/>
          <w:lang w:val="en-US"/>
        </w:rPr>
        <w:t>AND INFRASTRUCTURE, EASTERN CAPE PROVINCE</w:t>
      </w:r>
      <w:r>
        <w:rPr>
          <w:rFonts w:ascii="Arial" w:hAnsi="Arial" w:cs="Arial"/>
          <w:b/>
          <w:sz w:val="24"/>
          <w:szCs w:val="24"/>
          <w:lang w:val="en-US"/>
        </w:rPr>
        <w:tab/>
      </w:r>
      <w:r>
        <w:rPr>
          <w:rFonts w:ascii="Arial" w:hAnsi="Arial" w:cs="Arial"/>
          <w:b/>
          <w:sz w:val="24"/>
          <w:szCs w:val="24"/>
          <w:lang w:val="en-US"/>
        </w:rPr>
        <w:tab/>
        <w:t>Applicant</w:t>
      </w:r>
    </w:p>
    <w:p w:rsidR="005F055F" w:rsidRDefault="005F055F" w:rsidP="005F055F">
      <w:pPr>
        <w:spacing w:line="240" w:lineRule="auto"/>
        <w:rPr>
          <w:rFonts w:ascii="Arial" w:hAnsi="Arial" w:cs="Arial"/>
          <w:b/>
          <w:sz w:val="24"/>
          <w:szCs w:val="24"/>
          <w:lang w:val="en-US"/>
        </w:rPr>
      </w:pPr>
    </w:p>
    <w:p w:rsidR="005F055F" w:rsidRDefault="005F055F" w:rsidP="00D160F7">
      <w:pPr>
        <w:spacing w:line="240" w:lineRule="auto"/>
        <w:rPr>
          <w:rFonts w:ascii="Arial" w:hAnsi="Arial" w:cs="Arial"/>
          <w:b/>
          <w:sz w:val="24"/>
          <w:szCs w:val="24"/>
          <w:lang w:val="en-US"/>
        </w:rPr>
      </w:pPr>
      <w:r>
        <w:rPr>
          <w:rFonts w:ascii="Arial" w:hAnsi="Arial" w:cs="Arial"/>
          <w:b/>
          <w:sz w:val="24"/>
          <w:szCs w:val="24"/>
          <w:lang w:val="en-US"/>
        </w:rPr>
        <w:t xml:space="preserve">and </w:t>
      </w:r>
    </w:p>
    <w:p w:rsidR="005F055F" w:rsidRDefault="005F055F" w:rsidP="00D160F7">
      <w:pPr>
        <w:spacing w:line="240" w:lineRule="auto"/>
        <w:rPr>
          <w:rFonts w:ascii="Arial" w:hAnsi="Arial" w:cs="Arial"/>
          <w:b/>
          <w:sz w:val="24"/>
          <w:szCs w:val="24"/>
          <w:lang w:val="en-US"/>
        </w:rPr>
      </w:pPr>
    </w:p>
    <w:p w:rsidR="00D160F7" w:rsidRDefault="00666A38" w:rsidP="00D160F7">
      <w:pPr>
        <w:spacing w:line="240" w:lineRule="auto"/>
        <w:rPr>
          <w:rFonts w:ascii="Arial" w:hAnsi="Arial" w:cs="Arial"/>
          <w:b/>
          <w:sz w:val="24"/>
          <w:szCs w:val="24"/>
          <w:lang w:val="en-US"/>
        </w:rPr>
      </w:pPr>
      <w:r>
        <w:rPr>
          <w:rFonts w:ascii="Arial" w:hAnsi="Arial" w:cs="Arial"/>
          <w:b/>
          <w:sz w:val="24"/>
          <w:szCs w:val="24"/>
          <w:lang w:val="en-US"/>
        </w:rPr>
        <w:t xml:space="preserve">THAMI </w:t>
      </w:r>
      <w:bookmarkStart w:id="0" w:name="_GoBack"/>
      <w:bookmarkEnd w:id="0"/>
      <w:r w:rsidR="006F11A4">
        <w:rPr>
          <w:rFonts w:ascii="Arial" w:hAnsi="Arial" w:cs="Arial"/>
          <w:b/>
          <w:sz w:val="24"/>
          <w:szCs w:val="24"/>
          <w:lang w:val="en-US"/>
        </w:rPr>
        <w:t xml:space="preserve">LUGALO </w:t>
      </w:r>
      <w:r w:rsidR="006F11A4">
        <w:rPr>
          <w:rFonts w:ascii="Arial" w:hAnsi="Arial" w:cs="Arial"/>
          <w:b/>
          <w:sz w:val="24"/>
          <w:szCs w:val="24"/>
          <w:lang w:val="en-US"/>
        </w:rPr>
        <w:tab/>
      </w:r>
      <w:r w:rsidR="00D160F7">
        <w:rPr>
          <w:rFonts w:ascii="Arial" w:hAnsi="Arial" w:cs="Arial"/>
          <w:b/>
          <w:sz w:val="24"/>
          <w:szCs w:val="24"/>
          <w:lang w:val="en-US"/>
        </w:rPr>
        <w:tab/>
      </w:r>
      <w:r w:rsidR="00D160F7">
        <w:rPr>
          <w:rFonts w:ascii="Arial" w:hAnsi="Arial" w:cs="Arial"/>
          <w:b/>
          <w:sz w:val="24"/>
          <w:szCs w:val="24"/>
          <w:lang w:val="en-US"/>
        </w:rPr>
        <w:tab/>
      </w:r>
      <w:r w:rsidR="00D160F7">
        <w:rPr>
          <w:rFonts w:ascii="Arial" w:hAnsi="Arial" w:cs="Arial"/>
          <w:b/>
          <w:sz w:val="24"/>
          <w:szCs w:val="24"/>
          <w:lang w:val="en-US"/>
        </w:rPr>
        <w:tab/>
      </w:r>
      <w:r w:rsidR="00D160F7">
        <w:rPr>
          <w:rFonts w:ascii="Arial" w:hAnsi="Arial" w:cs="Arial"/>
          <w:b/>
          <w:sz w:val="24"/>
          <w:szCs w:val="24"/>
          <w:lang w:val="en-US"/>
        </w:rPr>
        <w:tab/>
      </w:r>
      <w:r w:rsidR="00D160F7">
        <w:rPr>
          <w:rFonts w:ascii="Arial" w:hAnsi="Arial" w:cs="Arial"/>
          <w:b/>
          <w:sz w:val="24"/>
          <w:szCs w:val="24"/>
          <w:lang w:val="en-US"/>
        </w:rPr>
        <w:tab/>
      </w:r>
      <w:r w:rsidR="00D160F7">
        <w:rPr>
          <w:rFonts w:ascii="Arial" w:hAnsi="Arial" w:cs="Arial"/>
          <w:b/>
          <w:sz w:val="24"/>
          <w:szCs w:val="24"/>
          <w:lang w:val="en-US"/>
        </w:rPr>
        <w:tab/>
      </w:r>
      <w:r w:rsidR="00D160F7">
        <w:rPr>
          <w:rFonts w:ascii="Arial" w:hAnsi="Arial" w:cs="Arial"/>
          <w:b/>
          <w:sz w:val="24"/>
          <w:szCs w:val="24"/>
          <w:lang w:val="en-US"/>
        </w:rPr>
        <w:tab/>
        <w:t>1</w:t>
      </w:r>
      <w:r w:rsidR="00D160F7" w:rsidRPr="00D160F7">
        <w:rPr>
          <w:rFonts w:ascii="Arial" w:hAnsi="Arial" w:cs="Arial"/>
          <w:b/>
          <w:sz w:val="24"/>
          <w:szCs w:val="24"/>
          <w:vertAlign w:val="superscript"/>
          <w:lang w:val="en-US"/>
        </w:rPr>
        <w:t>st</w:t>
      </w:r>
      <w:r w:rsidR="00D160F7">
        <w:rPr>
          <w:rFonts w:ascii="Arial" w:hAnsi="Arial" w:cs="Arial"/>
          <w:b/>
          <w:sz w:val="24"/>
          <w:szCs w:val="24"/>
          <w:lang w:val="en-US"/>
        </w:rPr>
        <w:t xml:space="preserve"> </w:t>
      </w:r>
      <w:r w:rsidR="005F055F">
        <w:rPr>
          <w:rFonts w:ascii="Arial" w:hAnsi="Arial" w:cs="Arial"/>
          <w:b/>
          <w:sz w:val="24"/>
          <w:szCs w:val="24"/>
          <w:lang w:val="en-US"/>
        </w:rPr>
        <w:t>Respondent</w:t>
      </w:r>
    </w:p>
    <w:p w:rsidR="00D160F7" w:rsidRDefault="00D160F7" w:rsidP="00D160F7">
      <w:pPr>
        <w:spacing w:line="240" w:lineRule="auto"/>
        <w:rPr>
          <w:rFonts w:ascii="Arial" w:hAnsi="Arial" w:cs="Arial"/>
          <w:b/>
          <w:sz w:val="24"/>
          <w:szCs w:val="24"/>
          <w:lang w:val="en-US"/>
        </w:rPr>
      </w:pPr>
    </w:p>
    <w:p w:rsidR="00D160F7" w:rsidRDefault="00666A38" w:rsidP="00D160F7">
      <w:pPr>
        <w:spacing w:line="240" w:lineRule="auto"/>
        <w:rPr>
          <w:rFonts w:ascii="Arial" w:hAnsi="Arial" w:cs="Arial"/>
          <w:b/>
          <w:sz w:val="24"/>
          <w:szCs w:val="24"/>
          <w:lang w:val="en-US"/>
        </w:rPr>
      </w:pPr>
      <w:r>
        <w:rPr>
          <w:rFonts w:ascii="Arial" w:hAnsi="Arial" w:cs="Arial"/>
          <w:b/>
          <w:sz w:val="24"/>
          <w:szCs w:val="24"/>
          <w:lang w:val="en-US"/>
        </w:rPr>
        <w:t>ZOLEKA NGUBO</w:t>
      </w:r>
      <w:r w:rsidR="00D160F7">
        <w:rPr>
          <w:rFonts w:ascii="Arial" w:hAnsi="Arial" w:cs="Arial"/>
          <w:b/>
          <w:sz w:val="24"/>
          <w:szCs w:val="24"/>
          <w:lang w:val="en-US"/>
        </w:rPr>
        <w:tab/>
      </w:r>
      <w:r w:rsidR="00D160F7">
        <w:rPr>
          <w:rFonts w:ascii="Arial" w:hAnsi="Arial" w:cs="Arial"/>
          <w:b/>
          <w:sz w:val="24"/>
          <w:szCs w:val="24"/>
          <w:lang w:val="en-US"/>
        </w:rPr>
        <w:tab/>
      </w:r>
      <w:r w:rsidR="00D160F7">
        <w:rPr>
          <w:rFonts w:ascii="Arial" w:hAnsi="Arial" w:cs="Arial"/>
          <w:b/>
          <w:sz w:val="24"/>
          <w:szCs w:val="24"/>
          <w:lang w:val="en-US"/>
        </w:rPr>
        <w:tab/>
      </w:r>
      <w:r w:rsidR="00D160F7">
        <w:rPr>
          <w:rFonts w:ascii="Arial" w:hAnsi="Arial" w:cs="Arial"/>
          <w:b/>
          <w:sz w:val="24"/>
          <w:szCs w:val="24"/>
          <w:lang w:val="en-US"/>
        </w:rPr>
        <w:tab/>
      </w:r>
      <w:r w:rsidR="00D160F7">
        <w:rPr>
          <w:rFonts w:ascii="Arial" w:hAnsi="Arial" w:cs="Arial"/>
          <w:b/>
          <w:sz w:val="24"/>
          <w:szCs w:val="24"/>
          <w:lang w:val="en-US"/>
        </w:rPr>
        <w:tab/>
      </w:r>
      <w:r w:rsidR="00D160F7">
        <w:rPr>
          <w:rFonts w:ascii="Arial" w:hAnsi="Arial" w:cs="Arial"/>
          <w:b/>
          <w:sz w:val="24"/>
          <w:szCs w:val="24"/>
          <w:lang w:val="en-US"/>
        </w:rPr>
        <w:tab/>
      </w:r>
      <w:r w:rsidR="00D160F7">
        <w:rPr>
          <w:rFonts w:ascii="Arial" w:hAnsi="Arial" w:cs="Arial"/>
          <w:b/>
          <w:sz w:val="24"/>
          <w:szCs w:val="24"/>
          <w:lang w:val="en-US"/>
        </w:rPr>
        <w:tab/>
      </w:r>
      <w:r w:rsidR="00D160F7">
        <w:rPr>
          <w:rFonts w:ascii="Arial" w:hAnsi="Arial" w:cs="Arial"/>
          <w:b/>
          <w:sz w:val="24"/>
          <w:szCs w:val="24"/>
          <w:lang w:val="en-US"/>
        </w:rPr>
        <w:tab/>
        <w:t>2</w:t>
      </w:r>
      <w:r w:rsidR="00D160F7" w:rsidRPr="00D160F7">
        <w:rPr>
          <w:rFonts w:ascii="Arial" w:hAnsi="Arial" w:cs="Arial"/>
          <w:b/>
          <w:sz w:val="24"/>
          <w:szCs w:val="24"/>
          <w:vertAlign w:val="superscript"/>
          <w:lang w:val="en-US"/>
        </w:rPr>
        <w:t>nd</w:t>
      </w:r>
      <w:r w:rsidR="00D160F7">
        <w:rPr>
          <w:rFonts w:ascii="Arial" w:hAnsi="Arial" w:cs="Arial"/>
          <w:b/>
          <w:sz w:val="24"/>
          <w:szCs w:val="24"/>
          <w:lang w:val="en-US"/>
        </w:rPr>
        <w:t xml:space="preserve"> </w:t>
      </w:r>
      <w:r w:rsidR="005F055F">
        <w:rPr>
          <w:rFonts w:ascii="Arial" w:hAnsi="Arial" w:cs="Arial"/>
          <w:b/>
          <w:sz w:val="24"/>
          <w:szCs w:val="24"/>
          <w:lang w:val="en-US"/>
        </w:rPr>
        <w:t>Respondent</w:t>
      </w:r>
    </w:p>
    <w:p w:rsidR="00D160F7" w:rsidRDefault="00D160F7" w:rsidP="00D160F7">
      <w:pPr>
        <w:spacing w:line="240" w:lineRule="auto"/>
        <w:rPr>
          <w:rFonts w:ascii="Arial" w:hAnsi="Arial" w:cs="Arial"/>
          <w:b/>
          <w:sz w:val="24"/>
          <w:szCs w:val="24"/>
          <w:lang w:val="en-US"/>
        </w:rPr>
      </w:pPr>
    </w:p>
    <w:p w:rsidR="00D160F7" w:rsidRDefault="00D160F7" w:rsidP="00D160F7">
      <w:pPr>
        <w:spacing w:line="240" w:lineRule="auto"/>
        <w:rPr>
          <w:rFonts w:ascii="Arial" w:hAnsi="Arial" w:cs="Arial"/>
          <w:b/>
          <w:sz w:val="24"/>
          <w:szCs w:val="24"/>
          <w:lang w:val="en-US"/>
        </w:rPr>
      </w:pPr>
      <w:r>
        <w:rPr>
          <w:rFonts w:ascii="Arial" w:hAnsi="Arial" w:cs="Arial"/>
          <w:b/>
          <w:sz w:val="24"/>
          <w:szCs w:val="24"/>
          <w:lang w:val="en-US"/>
        </w:rPr>
        <w:t>MAMNGWEVU</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3</w:t>
      </w:r>
      <w:r w:rsidRPr="00D160F7">
        <w:rPr>
          <w:rFonts w:ascii="Arial" w:hAnsi="Arial" w:cs="Arial"/>
          <w:b/>
          <w:sz w:val="24"/>
          <w:szCs w:val="24"/>
          <w:vertAlign w:val="superscript"/>
          <w:lang w:val="en-US"/>
        </w:rPr>
        <w:t>rd</w:t>
      </w:r>
      <w:r>
        <w:rPr>
          <w:rFonts w:ascii="Arial" w:hAnsi="Arial" w:cs="Arial"/>
          <w:b/>
          <w:sz w:val="24"/>
          <w:szCs w:val="24"/>
          <w:lang w:val="en-US"/>
        </w:rPr>
        <w:t xml:space="preserve"> </w:t>
      </w:r>
      <w:r w:rsidR="005F055F">
        <w:rPr>
          <w:rFonts w:ascii="Arial" w:hAnsi="Arial" w:cs="Arial"/>
          <w:b/>
          <w:sz w:val="24"/>
          <w:szCs w:val="24"/>
          <w:lang w:val="en-US"/>
        </w:rPr>
        <w:t>Respondent</w:t>
      </w:r>
    </w:p>
    <w:p w:rsidR="00D160F7" w:rsidRDefault="00D160F7" w:rsidP="00D160F7">
      <w:pPr>
        <w:spacing w:line="240" w:lineRule="auto"/>
        <w:rPr>
          <w:rFonts w:ascii="Arial" w:hAnsi="Arial" w:cs="Arial"/>
          <w:b/>
          <w:sz w:val="24"/>
          <w:szCs w:val="24"/>
          <w:lang w:val="en-US"/>
        </w:rPr>
      </w:pPr>
    </w:p>
    <w:p w:rsidR="00D160F7" w:rsidRDefault="00D160F7" w:rsidP="00D160F7">
      <w:pPr>
        <w:spacing w:line="240" w:lineRule="auto"/>
        <w:rPr>
          <w:rFonts w:ascii="Arial" w:hAnsi="Arial" w:cs="Arial"/>
          <w:b/>
          <w:sz w:val="24"/>
          <w:szCs w:val="24"/>
          <w:lang w:val="en-US"/>
        </w:rPr>
      </w:pPr>
      <w:r>
        <w:rPr>
          <w:rFonts w:ascii="Arial" w:hAnsi="Arial" w:cs="Arial"/>
          <w:b/>
          <w:sz w:val="24"/>
          <w:szCs w:val="24"/>
          <w:lang w:val="en-US"/>
        </w:rPr>
        <w:t>ALL UNKNOWN PERSONS, UNLAWFULLY AND/OR</w:t>
      </w:r>
    </w:p>
    <w:p w:rsidR="00D160F7" w:rsidRDefault="00D160F7" w:rsidP="00D160F7">
      <w:pPr>
        <w:spacing w:line="240" w:lineRule="auto"/>
        <w:rPr>
          <w:rFonts w:ascii="Arial" w:hAnsi="Arial" w:cs="Arial"/>
          <w:b/>
          <w:sz w:val="24"/>
          <w:szCs w:val="24"/>
          <w:lang w:val="en-US"/>
        </w:rPr>
      </w:pPr>
      <w:r>
        <w:rPr>
          <w:rFonts w:ascii="Arial" w:hAnsi="Arial" w:cs="Arial"/>
          <w:b/>
          <w:sz w:val="24"/>
          <w:szCs w:val="24"/>
          <w:lang w:val="en-US"/>
        </w:rPr>
        <w:t>ILLEGALLY, TRESPASSERD, INVADED AND OCCUPIED</w:t>
      </w:r>
    </w:p>
    <w:p w:rsidR="00D160F7" w:rsidRDefault="00D160F7" w:rsidP="00D160F7">
      <w:pPr>
        <w:spacing w:line="240" w:lineRule="auto"/>
        <w:rPr>
          <w:rFonts w:ascii="Arial" w:hAnsi="Arial" w:cs="Arial"/>
          <w:sz w:val="24"/>
          <w:szCs w:val="24"/>
          <w:lang w:val="en-US"/>
        </w:rPr>
      </w:pPr>
      <w:r>
        <w:rPr>
          <w:rFonts w:ascii="Arial" w:hAnsi="Arial" w:cs="Arial"/>
          <w:b/>
          <w:sz w:val="24"/>
          <w:szCs w:val="24"/>
          <w:lang w:val="en-US"/>
        </w:rPr>
        <w:t>ERF 9 HAMBURG</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4</w:t>
      </w:r>
      <w:r w:rsidRPr="00D160F7">
        <w:rPr>
          <w:rFonts w:ascii="Arial" w:hAnsi="Arial" w:cs="Arial"/>
          <w:b/>
          <w:sz w:val="24"/>
          <w:szCs w:val="24"/>
          <w:vertAlign w:val="superscript"/>
          <w:lang w:val="en-US"/>
        </w:rPr>
        <w:t>th</w:t>
      </w:r>
      <w:r>
        <w:rPr>
          <w:rFonts w:ascii="Arial" w:hAnsi="Arial" w:cs="Arial"/>
          <w:b/>
          <w:sz w:val="24"/>
          <w:szCs w:val="24"/>
          <w:lang w:val="en-US"/>
        </w:rPr>
        <w:t xml:space="preserve"> </w:t>
      </w:r>
      <w:r w:rsidR="005F055F">
        <w:rPr>
          <w:rFonts w:ascii="Arial" w:hAnsi="Arial" w:cs="Arial"/>
          <w:b/>
          <w:sz w:val="24"/>
          <w:szCs w:val="24"/>
          <w:lang w:val="en-US"/>
        </w:rPr>
        <w:t>Respondent</w:t>
      </w:r>
    </w:p>
    <w:p w:rsidR="00D160F7" w:rsidRPr="004F7D4E" w:rsidRDefault="00D160F7" w:rsidP="00D160F7">
      <w:pPr>
        <w:spacing w:line="240" w:lineRule="auto"/>
        <w:rPr>
          <w:rFonts w:ascii="Arial" w:hAnsi="Arial" w:cs="Arial"/>
          <w:b/>
          <w:sz w:val="24"/>
          <w:szCs w:val="24"/>
          <w:lang w:val="en-US"/>
        </w:rPr>
      </w:pPr>
      <w:r w:rsidRPr="004F7D4E">
        <w:rPr>
          <w:rFonts w:ascii="Arial" w:hAnsi="Arial" w:cs="Arial"/>
          <w:b/>
          <w:sz w:val="24"/>
          <w:szCs w:val="24"/>
          <w:lang w:val="en-US"/>
        </w:rPr>
        <w:t>___________________________________________________________________</w:t>
      </w:r>
    </w:p>
    <w:p w:rsidR="00D160F7" w:rsidRPr="004F7D4E" w:rsidRDefault="00D160F7" w:rsidP="00D160F7">
      <w:pPr>
        <w:spacing w:line="240" w:lineRule="auto"/>
        <w:jc w:val="center"/>
        <w:rPr>
          <w:rFonts w:ascii="Arial" w:hAnsi="Arial" w:cs="Arial"/>
          <w:b/>
          <w:sz w:val="24"/>
          <w:szCs w:val="24"/>
          <w:lang w:val="en-US"/>
        </w:rPr>
      </w:pPr>
      <w:r w:rsidRPr="004F7D4E">
        <w:rPr>
          <w:rFonts w:ascii="Arial" w:hAnsi="Arial" w:cs="Arial"/>
          <w:b/>
          <w:sz w:val="24"/>
          <w:szCs w:val="24"/>
          <w:lang w:val="en-US"/>
        </w:rPr>
        <w:t>JUDGMENT</w:t>
      </w:r>
    </w:p>
    <w:p w:rsidR="00D160F7" w:rsidRPr="004F7D4E" w:rsidRDefault="00D160F7" w:rsidP="00D160F7">
      <w:pPr>
        <w:spacing w:line="240" w:lineRule="auto"/>
        <w:rPr>
          <w:rFonts w:ascii="Arial" w:hAnsi="Arial" w:cs="Arial"/>
          <w:b/>
          <w:sz w:val="24"/>
          <w:szCs w:val="24"/>
          <w:lang w:val="en-US"/>
        </w:rPr>
      </w:pPr>
      <w:r w:rsidRPr="004F7D4E">
        <w:rPr>
          <w:rFonts w:ascii="Arial" w:hAnsi="Arial" w:cs="Arial"/>
          <w:b/>
          <w:sz w:val="24"/>
          <w:szCs w:val="24"/>
          <w:lang w:val="en-US"/>
        </w:rPr>
        <w:t>_________________________________________________________________</w:t>
      </w:r>
      <w:r>
        <w:rPr>
          <w:rFonts w:ascii="Arial" w:hAnsi="Arial" w:cs="Arial"/>
          <w:b/>
          <w:sz w:val="24"/>
          <w:szCs w:val="24"/>
          <w:lang w:val="en-US"/>
        </w:rPr>
        <w:t>__</w:t>
      </w:r>
    </w:p>
    <w:p w:rsidR="00D160F7" w:rsidRDefault="00D160F7" w:rsidP="00D160F7">
      <w:pPr>
        <w:spacing w:line="480" w:lineRule="auto"/>
        <w:rPr>
          <w:rFonts w:ascii="Arial" w:hAnsi="Arial" w:cs="Arial"/>
          <w:b/>
          <w:color w:val="000000" w:themeColor="text1"/>
          <w:sz w:val="24"/>
          <w:szCs w:val="24"/>
          <w:lang w:val="en-US"/>
        </w:rPr>
      </w:pPr>
      <w:r w:rsidRPr="004F7D4E">
        <w:rPr>
          <w:rFonts w:ascii="Arial" w:hAnsi="Arial" w:cs="Arial"/>
          <w:b/>
          <w:sz w:val="24"/>
          <w:szCs w:val="24"/>
          <w:lang w:val="en-US"/>
        </w:rPr>
        <w:t>JOLWANA J</w:t>
      </w:r>
      <w:r w:rsidRPr="00C778E3">
        <w:rPr>
          <w:rFonts w:ascii="Arial" w:hAnsi="Arial" w:cs="Arial"/>
          <w:b/>
          <w:color w:val="000000" w:themeColor="text1"/>
          <w:sz w:val="24"/>
          <w:szCs w:val="24"/>
          <w:lang w:val="en-US"/>
        </w:rPr>
        <w:t>:</w:t>
      </w:r>
    </w:p>
    <w:p w:rsidR="006E218B" w:rsidRDefault="00D160F7" w:rsidP="00C94FD2">
      <w:pPr>
        <w:spacing w:line="480" w:lineRule="auto"/>
        <w:jc w:val="both"/>
        <w:rPr>
          <w:rFonts w:ascii="Arial" w:hAnsi="Arial" w:cs="Arial"/>
          <w:sz w:val="24"/>
          <w:szCs w:val="24"/>
        </w:rPr>
      </w:pPr>
      <w:r>
        <w:rPr>
          <w:rFonts w:ascii="Arial" w:hAnsi="Arial" w:cs="Arial"/>
          <w:sz w:val="24"/>
          <w:szCs w:val="24"/>
        </w:rPr>
        <w:t xml:space="preserve">[1] </w:t>
      </w:r>
      <w:r w:rsidR="00222B12">
        <w:rPr>
          <w:rFonts w:ascii="Arial" w:hAnsi="Arial" w:cs="Arial"/>
          <w:sz w:val="24"/>
          <w:szCs w:val="24"/>
        </w:rPr>
        <w:t xml:space="preserve">An </w:t>
      </w:r>
      <w:r w:rsidR="00222B12" w:rsidRPr="00D0107A">
        <w:rPr>
          <w:rFonts w:ascii="Arial" w:hAnsi="Arial" w:cs="Arial"/>
          <w:i/>
          <w:sz w:val="24"/>
          <w:szCs w:val="24"/>
        </w:rPr>
        <w:t>ex-tempore</w:t>
      </w:r>
      <w:r w:rsidR="00222B12">
        <w:rPr>
          <w:rFonts w:ascii="Arial" w:hAnsi="Arial" w:cs="Arial"/>
          <w:sz w:val="24"/>
          <w:szCs w:val="24"/>
        </w:rPr>
        <w:t xml:space="preserve"> judgment was granted and an order was made against the respondents on 14</w:t>
      </w:r>
      <w:r w:rsidR="00666A38">
        <w:rPr>
          <w:rFonts w:ascii="Arial" w:hAnsi="Arial" w:cs="Arial"/>
          <w:sz w:val="24"/>
          <w:szCs w:val="24"/>
        </w:rPr>
        <w:t xml:space="preserve"> April </w:t>
      </w:r>
      <w:r w:rsidR="00222B12">
        <w:rPr>
          <w:rFonts w:ascii="Arial" w:hAnsi="Arial" w:cs="Arial"/>
          <w:sz w:val="24"/>
          <w:szCs w:val="24"/>
        </w:rPr>
        <w:t xml:space="preserve">2022.  </w:t>
      </w:r>
      <w:r w:rsidR="0052726F">
        <w:rPr>
          <w:rFonts w:ascii="Arial" w:hAnsi="Arial" w:cs="Arial"/>
          <w:sz w:val="24"/>
          <w:szCs w:val="24"/>
        </w:rPr>
        <w:t xml:space="preserve">The regurgitation of the reasons given therein would serve no purpose.  </w:t>
      </w:r>
      <w:r w:rsidR="00222B12">
        <w:rPr>
          <w:rFonts w:ascii="Arial" w:hAnsi="Arial" w:cs="Arial"/>
          <w:sz w:val="24"/>
          <w:szCs w:val="24"/>
        </w:rPr>
        <w:t>The</w:t>
      </w:r>
      <w:r w:rsidR="006D7626">
        <w:rPr>
          <w:rFonts w:ascii="Arial" w:hAnsi="Arial" w:cs="Arial"/>
          <w:sz w:val="24"/>
          <w:szCs w:val="24"/>
        </w:rPr>
        <w:t xml:space="preserve"> respondents</w:t>
      </w:r>
      <w:r w:rsidR="00222B12">
        <w:rPr>
          <w:rFonts w:ascii="Arial" w:hAnsi="Arial" w:cs="Arial"/>
          <w:sz w:val="24"/>
          <w:szCs w:val="24"/>
        </w:rPr>
        <w:t xml:space="preserve"> have since filed an application for leave to appeal.  </w:t>
      </w:r>
      <w:r w:rsidR="00222B12">
        <w:rPr>
          <w:rFonts w:ascii="Arial" w:hAnsi="Arial" w:cs="Arial"/>
          <w:sz w:val="24"/>
          <w:szCs w:val="24"/>
        </w:rPr>
        <w:lastRenderedPageBreak/>
        <w:t xml:space="preserve">I do not intend to traverse or reproduce the various grounds of appeal </w:t>
      </w:r>
      <w:r w:rsidR="00666A38">
        <w:rPr>
          <w:rFonts w:ascii="Arial" w:hAnsi="Arial" w:cs="Arial"/>
          <w:sz w:val="24"/>
          <w:szCs w:val="24"/>
        </w:rPr>
        <w:t>relied upon</w:t>
      </w:r>
      <w:r w:rsidR="00222B12">
        <w:rPr>
          <w:rFonts w:ascii="Arial" w:hAnsi="Arial" w:cs="Arial"/>
          <w:sz w:val="24"/>
          <w:szCs w:val="24"/>
        </w:rPr>
        <w:t xml:space="preserve"> as the basis for the intended appeal.  Considering them together </w:t>
      </w:r>
      <w:r w:rsidR="00666A38">
        <w:rPr>
          <w:rFonts w:ascii="Arial" w:hAnsi="Arial" w:cs="Arial"/>
          <w:sz w:val="24"/>
          <w:szCs w:val="24"/>
        </w:rPr>
        <w:t>and also</w:t>
      </w:r>
      <w:r w:rsidR="005F055F">
        <w:rPr>
          <w:rFonts w:ascii="Arial" w:hAnsi="Arial" w:cs="Arial"/>
          <w:sz w:val="24"/>
          <w:szCs w:val="24"/>
        </w:rPr>
        <w:t xml:space="preserve"> with</w:t>
      </w:r>
      <w:r w:rsidR="00222B12">
        <w:rPr>
          <w:rFonts w:ascii="Arial" w:hAnsi="Arial" w:cs="Arial"/>
          <w:sz w:val="24"/>
          <w:szCs w:val="24"/>
        </w:rPr>
        <w:t xml:space="preserve"> the heads of argument filed by counsel for the applicant, it becomes apparent that the central </w:t>
      </w:r>
      <w:r w:rsidR="00666A38">
        <w:rPr>
          <w:rFonts w:ascii="Arial" w:hAnsi="Arial" w:cs="Arial"/>
          <w:sz w:val="24"/>
          <w:szCs w:val="24"/>
        </w:rPr>
        <w:t>issue</w:t>
      </w:r>
      <w:r w:rsidR="00222B12">
        <w:rPr>
          <w:rFonts w:ascii="Arial" w:hAnsi="Arial" w:cs="Arial"/>
          <w:sz w:val="24"/>
          <w:szCs w:val="24"/>
        </w:rPr>
        <w:t xml:space="preserve"> throughout </w:t>
      </w:r>
      <w:r w:rsidR="0052726F">
        <w:rPr>
          <w:rFonts w:ascii="Arial" w:hAnsi="Arial" w:cs="Arial"/>
          <w:sz w:val="24"/>
          <w:szCs w:val="24"/>
        </w:rPr>
        <w:t>has its nub</w:t>
      </w:r>
      <w:r w:rsidR="00666A38">
        <w:rPr>
          <w:rFonts w:ascii="Arial" w:hAnsi="Arial" w:cs="Arial"/>
          <w:sz w:val="24"/>
          <w:szCs w:val="24"/>
        </w:rPr>
        <w:t xml:space="preserve"> on the</w:t>
      </w:r>
      <w:r w:rsidR="00222B12">
        <w:rPr>
          <w:rFonts w:ascii="Arial" w:hAnsi="Arial" w:cs="Arial"/>
          <w:sz w:val="24"/>
          <w:szCs w:val="24"/>
        </w:rPr>
        <w:t xml:space="preserve"> various contentions about the PIE Act.  There are </w:t>
      </w:r>
      <w:r w:rsidR="00D0107A">
        <w:rPr>
          <w:rFonts w:ascii="Arial" w:hAnsi="Arial" w:cs="Arial"/>
          <w:sz w:val="24"/>
          <w:szCs w:val="24"/>
        </w:rPr>
        <w:t xml:space="preserve">a few </w:t>
      </w:r>
      <w:r w:rsidR="00222B12">
        <w:rPr>
          <w:rFonts w:ascii="Arial" w:hAnsi="Arial" w:cs="Arial"/>
          <w:sz w:val="24"/>
          <w:szCs w:val="24"/>
        </w:rPr>
        <w:t xml:space="preserve">other grounds </w:t>
      </w:r>
      <w:r w:rsidR="00D0107A">
        <w:rPr>
          <w:rFonts w:ascii="Arial" w:hAnsi="Arial" w:cs="Arial"/>
          <w:sz w:val="24"/>
          <w:szCs w:val="24"/>
        </w:rPr>
        <w:t xml:space="preserve">that </w:t>
      </w:r>
      <w:r w:rsidR="006D7626">
        <w:rPr>
          <w:rFonts w:ascii="Arial" w:hAnsi="Arial" w:cs="Arial"/>
          <w:sz w:val="24"/>
          <w:szCs w:val="24"/>
        </w:rPr>
        <w:t xml:space="preserve">are </w:t>
      </w:r>
      <w:r w:rsidR="00222B12">
        <w:rPr>
          <w:rFonts w:ascii="Arial" w:hAnsi="Arial" w:cs="Arial"/>
          <w:sz w:val="24"/>
          <w:szCs w:val="24"/>
        </w:rPr>
        <w:t>unrelated to the PIE Act.  However, I hold the view that on their own they do not take the matter any f</w:t>
      </w:r>
      <w:r w:rsidR="00D0107A">
        <w:rPr>
          <w:rFonts w:ascii="Arial" w:hAnsi="Arial" w:cs="Arial"/>
          <w:sz w:val="24"/>
          <w:szCs w:val="24"/>
        </w:rPr>
        <w:t>a</w:t>
      </w:r>
      <w:r w:rsidR="00222B12">
        <w:rPr>
          <w:rFonts w:ascii="Arial" w:hAnsi="Arial" w:cs="Arial"/>
          <w:sz w:val="24"/>
          <w:szCs w:val="24"/>
        </w:rPr>
        <w:t>rther.  In fact they</w:t>
      </w:r>
      <w:r w:rsidR="006D7626">
        <w:rPr>
          <w:rFonts w:ascii="Arial" w:hAnsi="Arial" w:cs="Arial"/>
          <w:sz w:val="24"/>
          <w:szCs w:val="24"/>
        </w:rPr>
        <w:t>,</w:t>
      </w:r>
      <w:r w:rsidR="00222B12">
        <w:rPr>
          <w:rFonts w:ascii="Arial" w:hAnsi="Arial" w:cs="Arial"/>
          <w:sz w:val="24"/>
          <w:szCs w:val="24"/>
        </w:rPr>
        <w:t xml:space="preserve"> </w:t>
      </w:r>
      <w:r w:rsidR="00D0107A">
        <w:rPr>
          <w:rFonts w:ascii="Arial" w:hAnsi="Arial" w:cs="Arial"/>
          <w:sz w:val="24"/>
          <w:szCs w:val="24"/>
        </w:rPr>
        <w:t>alone</w:t>
      </w:r>
      <w:r w:rsidR="006D7626">
        <w:rPr>
          <w:rFonts w:ascii="Arial" w:hAnsi="Arial" w:cs="Arial"/>
          <w:sz w:val="24"/>
          <w:szCs w:val="24"/>
        </w:rPr>
        <w:t>,</w:t>
      </w:r>
      <w:r w:rsidR="00D0107A">
        <w:rPr>
          <w:rFonts w:ascii="Arial" w:hAnsi="Arial" w:cs="Arial"/>
          <w:sz w:val="24"/>
          <w:szCs w:val="24"/>
        </w:rPr>
        <w:t xml:space="preserve"> </w:t>
      </w:r>
      <w:r w:rsidR="00222B12">
        <w:rPr>
          <w:rFonts w:ascii="Arial" w:hAnsi="Arial" w:cs="Arial"/>
          <w:sz w:val="24"/>
          <w:szCs w:val="24"/>
        </w:rPr>
        <w:t xml:space="preserve">would not found a basis for the granting of the application for leave to appeal.  It is for that reason that I will not deal with </w:t>
      </w:r>
      <w:r w:rsidR="005F055F">
        <w:rPr>
          <w:rFonts w:ascii="Arial" w:hAnsi="Arial" w:cs="Arial"/>
          <w:sz w:val="24"/>
          <w:szCs w:val="24"/>
        </w:rPr>
        <w:t xml:space="preserve">some of </w:t>
      </w:r>
      <w:r w:rsidR="00222B12">
        <w:rPr>
          <w:rFonts w:ascii="Arial" w:hAnsi="Arial" w:cs="Arial"/>
          <w:sz w:val="24"/>
          <w:szCs w:val="24"/>
        </w:rPr>
        <w:t>them</w:t>
      </w:r>
      <w:r w:rsidR="00666A38">
        <w:rPr>
          <w:rFonts w:ascii="Arial" w:hAnsi="Arial" w:cs="Arial"/>
          <w:sz w:val="24"/>
          <w:szCs w:val="24"/>
        </w:rPr>
        <w:t xml:space="preserve">.  I refer to the parties as they are in the main judgment for </w:t>
      </w:r>
      <w:r w:rsidR="006D7626">
        <w:rPr>
          <w:rFonts w:ascii="Arial" w:hAnsi="Arial" w:cs="Arial"/>
          <w:sz w:val="24"/>
          <w:szCs w:val="24"/>
        </w:rPr>
        <w:t>the ease of reading</w:t>
      </w:r>
      <w:r w:rsidR="00222B12">
        <w:rPr>
          <w:rFonts w:ascii="Arial" w:hAnsi="Arial" w:cs="Arial"/>
          <w:sz w:val="24"/>
          <w:szCs w:val="24"/>
        </w:rPr>
        <w:t>.</w:t>
      </w:r>
    </w:p>
    <w:p w:rsidR="005F055F" w:rsidRDefault="00316BCE" w:rsidP="00C94FD2">
      <w:pPr>
        <w:spacing w:line="480" w:lineRule="auto"/>
        <w:jc w:val="both"/>
        <w:rPr>
          <w:rFonts w:ascii="Arial" w:hAnsi="Arial" w:cs="Arial"/>
          <w:sz w:val="24"/>
          <w:szCs w:val="24"/>
        </w:rPr>
      </w:pPr>
      <w:r>
        <w:rPr>
          <w:rFonts w:ascii="Arial" w:hAnsi="Arial" w:cs="Arial"/>
          <w:sz w:val="24"/>
          <w:szCs w:val="24"/>
        </w:rPr>
        <w:t>[2] One such ground is the issue rel</w:t>
      </w:r>
      <w:r w:rsidR="006D7626">
        <w:rPr>
          <w:rFonts w:ascii="Arial" w:hAnsi="Arial" w:cs="Arial"/>
          <w:sz w:val="24"/>
          <w:szCs w:val="24"/>
        </w:rPr>
        <w:t>ating to the citation of the so-</w:t>
      </w:r>
      <w:r>
        <w:rPr>
          <w:rFonts w:ascii="Arial" w:hAnsi="Arial" w:cs="Arial"/>
          <w:sz w:val="24"/>
          <w:szCs w:val="24"/>
        </w:rPr>
        <w:t xml:space="preserve">called </w:t>
      </w:r>
      <w:r w:rsidR="00666A38">
        <w:rPr>
          <w:rFonts w:ascii="Arial" w:hAnsi="Arial" w:cs="Arial"/>
          <w:sz w:val="24"/>
          <w:szCs w:val="24"/>
        </w:rPr>
        <w:t>fourth</w:t>
      </w:r>
      <w:r>
        <w:rPr>
          <w:rFonts w:ascii="Arial" w:hAnsi="Arial" w:cs="Arial"/>
          <w:sz w:val="24"/>
          <w:szCs w:val="24"/>
        </w:rPr>
        <w:t xml:space="preserve"> respondent and the orders made in the main judgment to the extent that reference is made to it.  In the application for leave to appeal</w:t>
      </w:r>
      <w:r w:rsidR="006D7626">
        <w:rPr>
          <w:rFonts w:ascii="Arial" w:hAnsi="Arial" w:cs="Arial"/>
          <w:sz w:val="24"/>
          <w:szCs w:val="24"/>
        </w:rPr>
        <w:t>,</w:t>
      </w:r>
      <w:r>
        <w:rPr>
          <w:rFonts w:ascii="Arial" w:hAnsi="Arial" w:cs="Arial"/>
          <w:sz w:val="24"/>
          <w:szCs w:val="24"/>
        </w:rPr>
        <w:t xml:space="preserve"> </w:t>
      </w:r>
      <w:r w:rsidR="006D7626">
        <w:rPr>
          <w:rFonts w:ascii="Arial" w:hAnsi="Arial" w:cs="Arial"/>
          <w:sz w:val="24"/>
          <w:szCs w:val="24"/>
        </w:rPr>
        <w:t>and in</w:t>
      </w:r>
      <w:r>
        <w:rPr>
          <w:rFonts w:ascii="Arial" w:hAnsi="Arial" w:cs="Arial"/>
          <w:sz w:val="24"/>
          <w:szCs w:val="24"/>
        </w:rPr>
        <w:t xml:space="preserve"> </w:t>
      </w:r>
      <w:r w:rsidR="0052726F">
        <w:rPr>
          <w:rFonts w:ascii="Arial" w:hAnsi="Arial" w:cs="Arial"/>
          <w:sz w:val="24"/>
          <w:szCs w:val="24"/>
        </w:rPr>
        <w:t xml:space="preserve">the </w:t>
      </w:r>
      <w:r>
        <w:rPr>
          <w:rFonts w:ascii="Arial" w:hAnsi="Arial" w:cs="Arial"/>
          <w:sz w:val="24"/>
          <w:szCs w:val="24"/>
        </w:rPr>
        <w:t>notice of acting filed by their attorneys</w:t>
      </w:r>
      <w:r w:rsidR="006D7626">
        <w:rPr>
          <w:rFonts w:ascii="Arial" w:hAnsi="Arial" w:cs="Arial"/>
          <w:sz w:val="24"/>
          <w:szCs w:val="24"/>
        </w:rPr>
        <w:t>,</w:t>
      </w:r>
      <w:r w:rsidR="00666A38">
        <w:rPr>
          <w:rFonts w:ascii="Arial" w:hAnsi="Arial" w:cs="Arial"/>
          <w:sz w:val="24"/>
          <w:szCs w:val="24"/>
        </w:rPr>
        <w:t xml:space="preserve"> the fourth respondent appears</w:t>
      </w:r>
      <w:r>
        <w:rPr>
          <w:rFonts w:ascii="Arial" w:hAnsi="Arial" w:cs="Arial"/>
          <w:sz w:val="24"/>
          <w:szCs w:val="24"/>
        </w:rPr>
        <w:t xml:space="preserve">.  This suggests that they also represent the fourth respondent.  However, and very importantly, nobody has </w:t>
      </w:r>
      <w:r w:rsidR="00666A38">
        <w:rPr>
          <w:rFonts w:ascii="Arial" w:hAnsi="Arial" w:cs="Arial"/>
          <w:sz w:val="24"/>
          <w:szCs w:val="24"/>
        </w:rPr>
        <w:t xml:space="preserve">been </w:t>
      </w:r>
      <w:r>
        <w:rPr>
          <w:rFonts w:ascii="Arial" w:hAnsi="Arial" w:cs="Arial"/>
          <w:sz w:val="24"/>
          <w:szCs w:val="24"/>
        </w:rPr>
        <w:t xml:space="preserve">identified as belonging to that category of respondents and </w:t>
      </w:r>
      <w:r w:rsidR="00666A38">
        <w:rPr>
          <w:rFonts w:ascii="Arial" w:hAnsi="Arial" w:cs="Arial"/>
          <w:sz w:val="24"/>
          <w:szCs w:val="24"/>
        </w:rPr>
        <w:t>on whose behalf it is submitted that h</w:t>
      </w:r>
      <w:r w:rsidR="006D7626">
        <w:rPr>
          <w:rFonts w:ascii="Arial" w:hAnsi="Arial" w:cs="Arial"/>
          <w:sz w:val="24"/>
          <w:szCs w:val="24"/>
        </w:rPr>
        <w:t>e</w:t>
      </w:r>
      <w:r w:rsidR="00666A38">
        <w:rPr>
          <w:rFonts w:ascii="Arial" w:hAnsi="Arial" w:cs="Arial"/>
          <w:sz w:val="24"/>
          <w:szCs w:val="24"/>
        </w:rPr>
        <w:t xml:space="preserve"> was not</w:t>
      </w:r>
      <w:r>
        <w:rPr>
          <w:rFonts w:ascii="Arial" w:hAnsi="Arial" w:cs="Arial"/>
          <w:sz w:val="24"/>
          <w:szCs w:val="24"/>
        </w:rPr>
        <w:t xml:space="preserve"> properly </w:t>
      </w:r>
      <w:r w:rsidR="00666A38">
        <w:rPr>
          <w:rFonts w:ascii="Arial" w:hAnsi="Arial" w:cs="Arial"/>
          <w:sz w:val="24"/>
          <w:szCs w:val="24"/>
        </w:rPr>
        <w:t xml:space="preserve">served </w:t>
      </w:r>
      <w:r>
        <w:rPr>
          <w:rFonts w:ascii="Arial" w:hAnsi="Arial" w:cs="Arial"/>
          <w:sz w:val="24"/>
          <w:szCs w:val="24"/>
        </w:rPr>
        <w:t xml:space="preserve">with the papers due to the fact that the citation itself was improper.  </w:t>
      </w:r>
    </w:p>
    <w:p w:rsidR="00316BCE" w:rsidRDefault="00316BCE" w:rsidP="00C94FD2">
      <w:pPr>
        <w:spacing w:line="480" w:lineRule="auto"/>
        <w:jc w:val="both"/>
        <w:rPr>
          <w:rFonts w:ascii="Arial" w:hAnsi="Arial" w:cs="Arial"/>
          <w:sz w:val="24"/>
          <w:szCs w:val="24"/>
        </w:rPr>
      </w:pPr>
      <w:r>
        <w:rPr>
          <w:rFonts w:ascii="Arial" w:hAnsi="Arial" w:cs="Arial"/>
          <w:sz w:val="24"/>
          <w:szCs w:val="24"/>
        </w:rPr>
        <w:t xml:space="preserve">[3] That such </w:t>
      </w:r>
      <w:r w:rsidR="00666A38">
        <w:rPr>
          <w:rFonts w:ascii="Arial" w:hAnsi="Arial" w:cs="Arial"/>
          <w:sz w:val="24"/>
          <w:szCs w:val="24"/>
        </w:rPr>
        <w:t>litigant</w:t>
      </w:r>
      <w:r>
        <w:rPr>
          <w:rFonts w:ascii="Arial" w:hAnsi="Arial" w:cs="Arial"/>
          <w:sz w:val="24"/>
          <w:szCs w:val="24"/>
        </w:rPr>
        <w:t xml:space="preserve"> in fact does not exist becomes clear first in the </w:t>
      </w:r>
      <w:r w:rsidR="00997AFB">
        <w:rPr>
          <w:rFonts w:ascii="Arial" w:hAnsi="Arial" w:cs="Arial"/>
          <w:sz w:val="24"/>
          <w:szCs w:val="24"/>
        </w:rPr>
        <w:t xml:space="preserve">return of service.  The first </w:t>
      </w:r>
      <w:r w:rsidR="00666A38">
        <w:rPr>
          <w:rFonts w:ascii="Arial" w:hAnsi="Arial" w:cs="Arial"/>
          <w:sz w:val="24"/>
          <w:szCs w:val="24"/>
        </w:rPr>
        <w:t>respondent</w:t>
      </w:r>
      <w:r w:rsidR="00997AFB">
        <w:rPr>
          <w:rFonts w:ascii="Arial" w:hAnsi="Arial" w:cs="Arial"/>
          <w:sz w:val="24"/>
          <w:szCs w:val="24"/>
        </w:rPr>
        <w:t xml:space="preserve"> accepted service </w:t>
      </w:r>
      <w:r w:rsidR="00666A38">
        <w:rPr>
          <w:rFonts w:ascii="Arial" w:hAnsi="Arial" w:cs="Arial"/>
          <w:sz w:val="24"/>
          <w:szCs w:val="24"/>
        </w:rPr>
        <w:t>of</w:t>
      </w:r>
      <w:r w:rsidR="00997AFB">
        <w:rPr>
          <w:rFonts w:ascii="Arial" w:hAnsi="Arial" w:cs="Arial"/>
          <w:sz w:val="24"/>
          <w:szCs w:val="24"/>
        </w:rPr>
        <w:t xml:space="preserve"> the papers on behalf of the fourth </w:t>
      </w:r>
      <w:r w:rsidR="00666A38">
        <w:rPr>
          <w:rFonts w:ascii="Arial" w:hAnsi="Arial" w:cs="Arial"/>
          <w:sz w:val="24"/>
          <w:szCs w:val="24"/>
        </w:rPr>
        <w:t>respondent</w:t>
      </w:r>
      <w:r w:rsidR="00997AFB">
        <w:rPr>
          <w:rFonts w:ascii="Arial" w:hAnsi="Arial" w:cs="Arial"/>
          <w:sz w:val="24"/>
          <w:szCs w:val="24"/>
        </w:rPr>
        <w:t xml:space="preserve">.  It goes further than that.  The first </w:t>
      </w:r>
      <w:r w:rsidR="00666A38">
        <w:rPr>
          <w:rFonts w:ascii="Arial" w:hAnsi="Arial" w:cs="Arial"/>
          <w:sz w:val="24"/>
          <w:szCs w:val="24"/>
        </w:rPr>
        <w:t>respondent</w:t>
      </w:r>
      <w:r w:rsidR="00997AFB">
        <w:rPr>
          <w:rFonts w:ascii="Arial" w:hAnsi="Arial" w:cs="Arial"/>
          <w:sz w:val="24"/>
          <w:szCs w:val="24"/>
        </w:rPr>
        <w:t xml:space="preserve"> identifie</w:t>
      </w:r>
      <w:r w:rsidR="00666A38">
        <w:rPr>
          <w:rFonts w:ascii="Arial" w:hAnsi="Arial" w:cs="Arial"/>
          <w:sz w:val="24"/>
          <w:szCs w:val="24"/>
        </w:rPr>
        <w:t>d</w:t>
      </w:r>
      <w:r w:rsidR="00997AFB">
        <w:rPr>
          <w:rFonts w:ascii="Arial" w:hAnsi="Arial" w:cs="Arial"/>
          <w:sz w:val="24"/>
          <w:szCs w:val="24"/>
        </w:rPr>
        <w:t xml:space="preserve"> himself in the opposing affidavit as “customary </w:t>
      </w:r>
      <w:r w:rsidR="00666A38">
        <w:rPr>
          <w:rFonts w:ascii="Arial" w:hAnsi="Arial" w:cs="Arial"/>
          <w:sz w:val="24"/>
          <w:szCs w:val="24"/>
        </w:rPr>
        <w:t>law</w:t>
      </w:r>
      <w:r w:rsidR="00997AFB">
        <w:rPr>
          <w:rFonts w:ascii="Arial" w:hAnsi="Arial" w:cs="Arial"/>
          <w:sz w:val="24"/>
          <w:szCs w:val="24"/>
        </w:rPr>
        <w:t xml:space="preserve"> owner of the land </w:t>
      </w:r>
      <w:r w:rsidR="005F055F">
        <w:rPr>
          <w:rFonts w:ascii="Arial" w:hAnsi="Arial" w:cs="Arial"/>
          <w:sz w:val="24"/>
          <w:szCs w:val="24"/>
        </w:rPr>
        <w:t xml:space="preserve">in </w:t>
      </w:r>
      <w:r w:rsidR="00997AFB">
        <w:rPr>
          <w:rFonts w:ascii="Arial" w:hAnsi="Arial" w:cs="Arial"/>
          <w:sz w:val="24"/>
          <w:szCs w:val="24"/>
        </w:rPr>
        <w:t xml:space="preserve">issue” amongst other things.  He then explains that the second </w:t>
      </w:r>
      <w:r w:rsidR="00666A38">
        <w:rPr>
          <w:rFonts w:ascii="Arial" w:hAnsi="Arial" w:cs="Arial"/>
          <w:sz w:val="24"/>
          <w:szCs w:val="24"/>
        </w:rPr>
        <w:t xml:space="preserve">respondent </w:t>
      </w:r>
      <w:r w:rsidR="00997AFB">
        <w:rPr>
          <w:rFonts w:ascii="Arial" w:hAnsi="Arial" w:cs="Arial"/>
          <w:sz w:val="24"/>
          <w:szCs w:val="24"/>
        </w:rPr>
        <w:t>is one and the same person as the third respondent.  What this b</w:t>
      </w:r>
      <w:r w:rsidR="00666A38">
        <w:rPr>
          <w:rFonts w:ascii="Arial" w:hAnsi="Arial" w:cs="Arial"/>
          <w:sz w:val="24"/>
          <w:szCs w:val="24"/>
        </w:rPr>
        <w:t>oil</w:t>
      </w:r>
      <w:r w:rsidR="00997AFB">
        <w:rPr>
          <w:rFonts w:ascii="Arial" w:hAnsi="Arial" w:cs="Arial"/>
          <w:sz w:val="24"/>
          <w:szCs w:val="24"/>
        </w:rPr>
        <w:t>s down to is that this matter is</w:t>
      </w:r>
      <w:r w:rsidR="00666A38">
        <w:rPr>
          <w:rFonts w:ascii="Arial" w:hAnsi="Arial" w:cs="Arial"/>
          <w:sz w:val="24"/>
          <w:szCs w:val="24"/>
        </w:rPr>
        <w:t>,</w:t>
      </w:r>
      <w:r w:rsidR="00997AFB">
        <w:rPr>
          <w:rFonts w:ascii="Arial" w:hAnsi="Arial" w:cs="Arial"/>
          <w:sz w:val="24"/>
          <w:szCs w:val="24"/>
        </w:rPr>
        <w:t xml:space="preserve"> as it was from the outset</w:t>
      </w:r>
      <w:r w:rsidR="00666A38">
        <w:rPr>
          <w:rFonts w:ascii="Arial" w:hAnsi="Arial" w:cs="Arial"/>
          <w:sz w:val="24"/>
          <w:szCs w:val="24"/>
        </w:rPr>
        <w:t>,</w:t>
      </w:r>
      <w:r w:rsidR="00997AFB">
        <w:rPr>
          <w:rFonts w:ascii="Arial" w:hAnsi="Arial" w:cs="Arial"/>
          <w:sz w:val="24"/>
          <w:szCs w:val="24"/>
        </w:rPr>
        <w:t xml:space="preserve"> essentially about the first and second </w:t>
      </w:r>
      <w:r w:rsidR="00666A38">
        <w:rPr>
          <w:rFonts w:ascii="Arial" w:hAnsi="Arial" w:cs="Arial"/>
          <w:sz w:val="24"/>
          <w:szCs w:val="24"/>
        </w:rPr>
        <w:t>respondents</w:t>
      </w:r>
      <w:r w:rsidR="0052726F">
        <w:rPr>
          <w:rFonts w:ascii="Arial" w:hAnsi="Arial" w:cs="Arial"/>
          <w:sz w:val="24"/>
          <w:szCs w:val="24"/>
        </w:rPr>
        <w:t>.</w:t>
      </w:r>
      <w:r w:rsidR="00997AFB">
        <w:rPr>
          <w:rFonts w:ascii="Arial" w:hAnsi="Arial" w:cs="Arial"/>
          <w:sz w:val="24"/>
          <w:szCs w:val="24"/>
        </w:rPr>
        <w:t xml:space="preserve"> Whoever the reference to the fourth respondent was intended</w:t>
      </w:r>
      <w:r w:rsidR="00666A38">
        <w:rPr>
          <w:rFonts w:ascii="Arial" w:hAnsi="Arial" w:cs="Arial"/>
          <w:sz w:val="24"/>
          <w:szCs w:val="24"/>
        </w:rPr>
        <w:t xml:space="preserve"> </w:t>
      </w:r>
      <w:r w:rsidR="006D7626">
        <w:rPr>
          <w:rFonts w:ascii="Arial" w:hAnsi="Arial" w:cs="Arial"/>
          <w:sz w:val="24"/>
          <w:szCs w:val="24"/>
        </w:rPr>
        <w:t xml:space="preserve">to be </w:t>
      </w:r>
      <w:r w:rsidR="00666A38">
        <w:rPr>
          <w:rFonts w:ascii="Arial" w:hAnsi="Arial" w:cs="Arial"/>
          <w:sz w:val="24"/>
          <w:szCs w:val="24"/>
        </w:rPr>
        <w:t>in the citation</w:t>
      </w:r>
      <w:r w:rsidR="00997AFB">
        <w:rPr>
          <w:rFonts w:ascii="Arial" w:hAnsi="Arial" w:cs="Arial"/>
          <w:sz w:val="24"/>
          <w:szCs w:val="24"/>
        </w:rPr>
        <w:t xml:space="preserve">, there </w:t>
      </w:r>
      <w:r w:rsidR="0052726F">
        <w:rPr>
          <w:rFonts w:ascii="Arial" w:hAnsi="Arial" w:cs="Arial"/>
          <w:sz w:val="24"/>
          <w:szCs w:val="24"/>
        </w:rPr>
        <w:t>wa</w:t>
      </w:r>
      <w:r w:rsidR="00997AFB">
        <w:rPr>
          <w:rFonts w:ascii="Arial" w:hAnsi="Arial" w:cs="Arial"/>
          <w:sz w:val="24"/>
          <w:szCs w:val="24"/>
        </w:rPr>
        <w:t xml:space="preserve">s no </w:t>
      </w:r>
      <w:r w:rsidR="0052726F">
        <w:rPr>
          <w:rFonts w:ascii="Arial" w:hAnsi="Arial" w:cs="Arial"/>
          <w:sz w:val="24"/>
          <w:szCs w:val="24"/>
        </w:rPr>
        <w:t xml:space="preserve">submission that </w:t>
      </w:r>
      <w:r w:rsidR="00997AFB">
        <w:rPr>
          <w:rFonts w:ascii="Arial" w:hAnsi="Arial" w:cs="Arial"/>
          <w:sz w:val="24"/>
          <w:szCs w:val="24"/>
        </w:rPr>
        <w:t>that person in fact exist</w:t>
      </w:r>
      <w:r w:rsidR="00666A38">
        <w:rPr>
          <w:rFonts w:ascii="Arial" w:hAnsi="Arial" w:cs="Arial"/>
          <w:sz w:val="24"/>
          <w:szCs w:val="24"/>
        </w:rPr>
        <w:t>s</w:t>
      </w:r>
      <w:r w:rsidR="00997AFB">
        <w:rPr>
          <w:rFonts w:ascii="Arial" w:hAnsi="Arial" w:cs="Arial"/>
          <w:sz w:val="24"/>
          <w:szCs w:val="24"/>
        </w:rPr>
        <w:t xml:space="preserve"> </w:t>
      </w:r>
      <w:r w:rsidR="00997AFB">
        <w:rPr>
          <w:rFonts w:ascii="Arial" w:hAnsi="Arial" w:cs="Arial"/>
          <w:sz w:val="24"/>
          <w:szCs w:val="24"/>
        </w:rPr>
        <w:lastRenderedPageBreak/>
        <w:t>in this case.  If raising this issue in the application for leave to appeal was merely intended to point out a patent error</w:t>
      </w:r>
      <w:r w:rsidR="009E0B1E">
        <w:rPr>
          <w:rFonts w:ascii="Arial" w:hAnsi="Arial" w:cs="Arial"/>
          <w:sz w:val="24"/>
          <w:szCs w:val="24"/>
        </w:rPr>
        <w:t>,</w:t>
      </w:r>
      <w:r w:rsidR="005F055F">
        <w:rPr>
          <w:rFonts w:ascii="Arial" w:hAnsi="Arial" w:cs="Arial"/>
          <w:sz w:val="24"/>
          <w:szCs w:val="24"/>
        </w:rPr>
        <w:t xml:space="preserve"> </w:t>
      </w:r>
      <w:r w:rsidR="00997AFB">
        <w:rPr>
          <w:rFonts w:ascii="Arial" w:hAnsi="Arial" w:cs="Arial"/>
          <w:sz w:val="24"/>
          <w:szCs w:val="24"/>
        </w:rPr>
        <w:t>that would be well and good.  However, if it was to bolster a case for the granting of the application for leave to appeal,</w:t>
      </w:r>
      <w:r w:rsidR="009E0B1E">
        <w:rPr>
          <w:rFonts w:ascii="Arial" w:hAnsi="Arial" w:cs="Arial"/>
          <w:sz w:val="24"/>
          <w:szCs w:val="24"/>
        </w:rPr>
        <w:t xml:space="preserve"> it is uns</w:t>
      </w:r>
      <w:r w:rsidR="006D7626">
        <w:rPr>
          <w:rFonts w:ascii="Arial" w:hAnsi="Arial" w:cs="Arial"/>
          <w:sz w:val="24"/>
          <w:szCs w:val="24"/>
        </w:rPr>
        <w:t>u</w:t>
      </w:r>
      <w:r w:rsidR="009E0B1E">
        <w:rPr>
          <w:rFonts w:ascii="Arial" w:hAnsi="Arial" w:cs="Arial"/>
          <w:sz w:val="24"/>
          <w:szCs w:val="24"/>
        </w:rPr>
        <w:t>sta</w:t>
      </w:r>
      <w:r w:rsidR="006D7626">
        <w:rPr>
          <w:rFonts w:ascii="Arial" w:hAnsi="Arial" w:cs="Arial"/>
          <w:sz w:val="24"/>
          <w:szCs w:val="24"/>
        </w:rPr>
        <w:t>i</w:t>
      </w:r>
      <w:r w:rsidR="009E0B1E">
        <w:rPr>
          <w:rFonts w:ascii="Arial" w:hAnsi="Arial" w:cs="Arial"/>
          <w:sz w:val="24"/>
          <w:szCs w:val="24"/>
        </w:rPr>
        <w:t>nable</w:t>
      </w:r>
      <w:r w:rsidR="00997AFB">
        <w:rPr>
          <w:rFonts w:ascii="Arial" w:hAnsi="Arial" w:cs="Arial"/>
          <w:sz w:val="24"/>
          <w:szCs w:val="24"/>
        </w:rPr>
        <w:t>.</w:t>
      </w:r>
    </w:p>
    <w:p w:rsidR="00222B12" w:rsidRDefault="00CD6E7C" w:rsidP="00C94FD2">
      <w:pPr>
        <w:spacing w:line="480" w:lineRule="auto"/>
        <w:jc w:val="both"/>
        <w:rPr>
          <w:rFonts w:ascii="Arial" w:hAnsi="Arial" w:cs="Arial"/>
          <w:sz w:val="24"/>
          <w:szCs w:val="24"/>
        </w:rPr>
      </w:pPr>
      <w:r>
        <w:rPr>
          <w:rFonts w:ascii="Arial" w:hAnsi="Arial" w:cs="Arial"/>
          <w:sz w:val="24"/>
          <w:szCs w:val="24"/>
        </w:rPr>
        <w:t>[</w:t>
      </w:r>
      <w:r w:rsidR="00997AFB">
        <w:rPr>
          <w:rFonts w:ascii="Arial" w:hAnsi="Arial" w:cs="Arial"/>
          <w:sz w:val="24"/>
          <w:szCs w:val="24"/>
        </w:rPr>
        <w:t>4</w:t>
      </w:r>
      <w:r>
        <w:rPr>
          <w:rFonts w:ascii="Arial" w:hAnsi="Arial" w:cs="Arial"/>
          <w:sz w:val="24"/>
          <w:szCs w:val="24"/>
        </w:rPr>
        <w:t xml:space="preserve">] </w:t>
      </w:r>
      <w:r w:rsidR="00D0107A">
        <w:rPr>
          <w:rFonts w:ascii="Arial" w:hAnsi="Arial" w:cs="Arial"/>
          <w:sz w:val="24"/>
          <w:szCs w:val="24"/>
        </w:rPr>
        <w:t xml:space="preserve">I turn now to deal with the issue of the PIE Act.  </w:t>
      </w:r>
      <w:r>
        <w:rPr>
          <w:rFonts w:ascii="Arial" w:hAnsi="Arial" w:cs="Arial"/>
          <w:sz w:val="24"/>
          <w:szCs w:val="24"/>
        </w:rPr>
        <w:t>T</w:t>
      </w:r>
      <w:r w:rsidR="00222B12">
        <w:rPr>
          <w:rFonts w:ascii="Arial" w:hAnsi="Arial" w:cs="Arial"/>
          <w:sz w:val="24"/>
          <w:szCs w:val="24"/>
        </w:rPr>
        <w:t xml:space="preserve">he main contention as it </w:t>
      </w:r>
      <w:r w:rsidR="00FF1AC5">
        <w:rPr>
          <w:rFonts w:ascii="Arial" w:hAnsi="Arial" w:cs="Arial"/>
          <w:sz w:val="24"/>
          <w:szCs w:val="24"/>
        </w:rPr>
        <w:t>relates to the PIE Act is that the court should have applied the PIE Act and dismissed the application on the basis that the PIE Act is applicable to this matter</w:t>
      </w:r>
      <w:r w:rsidR="00D0107A">
        <w:rPr>
          <w:rFonts w:ascii="Arial" w:hAnsi="Arial" w:cs="Arial"/>
          <w:sz w:val="24"/>
          <w:szCs w:val="24"/>
        </w:rPr>
        <w:t xml:space="preserve"> and </w:t>
      </w:r>
      <w:r w:rsidR="009E0B1E">
        <w:rPr>
          <w:rFonts w:ascii="Arial" w:hAnsi="Arial" w:cs="Arial"/>
          <w:sz w:val="24"/>
          <w:szCs w:val="24"/>
        </w:rPr>
        <w:t xml:space="preserve">that it </w:t>
      </w:r>
      <w:r w:rsidR="00D0107A">
        <w:rPr>
          <w:rFonts w:ascii="Arial" w:hAnsi="Arial" w:cs="Arial"/>
          <w:sz w:val="24"/>
          <w:szCs w:val="24"/>
        </w:rPr>
        <w:t>has not been complied with</w:t>
      </w:r>
      <w:r w:rsidR="00FF1AC5">
        <w:rPr>
          <w:rFonts w:ascii="Arial" w:hAnsi="Arial" w:cs="Arial"/>
          <w:sz w:val="24"/>
          <w:szCs w:val="24"/>
        </w:rPr>
        <w:t>.  I disagree</w:t>
      </w:r>
      <w:r w:rsidR="009E0B1E">
        <w:rPr>
          <w:rFonts w:ascii="Arial" w:hAnsi="Arial" w:cs="Arial"/>
          <w:sz w:val="24"/>
          <w:szCs w:val="24"/>
        </w:rPr>
        <w:t xml:space="preserve"> for the reasons that follow</w:t>
      </w:r>
      <w:r w:rsidR="00FF1AC5">
        <w:rPr>
          <w:rFonts w:ascii="Arial" w:hAnsi="Arial" w:cs="Arial"/>
          <w:sz w:val="24"/>
          <w:szCs w:val="24"/>
        </w:rPr>
        <w:t>.</w:t>
      </w:r>
    </w:p>
    <w:p w:rsidR="00FF1AC5" w:rsidRDefault="00FF1AC5" w:rsidP="00C94FD2">
      <w:pPr>
        <w:spacing w:line="480" w:lineRule="auto"/>
        <w:jc w:val="both"/>
        <w:rPr>
          <w:rFonts w:ascii="Arial" w:hAnsi="Arial" w:cs="Arial"/>
          <w:sz w:val="24"/>
          <w:szCs w:val="24"/>
        </w:rPr>
      </w:pPr>
      <w:r>
        <w:rPr>
          <w:rFonts w:ascii="Arial" w:hAnsi="Arial" w:cs="Arial"/>
          <w:sz w:val="24"/>
          <w:szCs w:val="24"/>
        </w:rPr>
        <w:t>[</w:t>
      </w:r>
      <w:r w:rsidR="00997AFB">
        <w:rPr>
          <w:rFonts w:ascii="Arial" w:hAnsi="Arial" w:cs="Arial"/>
          <w:sz w:val="24"/>
          <w:szCs w:val="24"/>
        </w:rPr>
        <w:t>5</w:t>
      </w:r>
      <w:r>
        <w:rPr>
          <w:rFonts w:ascii="Arial" w:hAnsi="Arial" w:cs="Arial"/>
          <w:sz w:val="24"/>
          <w:szCs w:val="24"/>
        </w:rPr>
        <w:t xml:space="preserve">] </w:t>
      </w:r>
      <w:r w:rsidR="009E0B1E">
        <w:rPr>
          <w:rFonts w:ascii="Arial" w:hAnsi="Arial" w:cs="Arial"/>
          <w:sz w:val="24"/>
          <w:szCs w:val="24"/>
        </w:rPr>
        <w:t>Perhaps</w:t>
      </w:r>
      <w:r>
        <w:rPr>
          <w:rFonts w:ascii="Arial" w:hAnsi="Arial" w:cs="Arial"/>
          <w:sz w:val="24"/>
          <w:szCs w:val="24"/>
        </w:rPr>
        <w:t xml:space="preserve"> the preamble to the PIE Act</w:t>
      </w:r>
      <w:r w:rsidR="00D0107A">
        <w:rPr>
          <w:rFonts w:ascii="Arial" w:hAnsi="Arial" w:cs="Arial"/>
          <w:sz w:val="24"/>
          <w:szCs w:val="24"/>
        </w:rPr>
        <w:t xml:space="preserve"> itself</w:t>
      </w:r>
      <w:r w:rsidR="009E0B1E">
        <w:rPr>
          <w:rFonts w:ascii="Arial" w:hAnsi="Arial" w:cs="Arial"/>
          <w:sz w:val="24"/>
          <w:szCs w:val="24"/>
        </w:rPr>
        <w:t xml:space="preserve"> is a good starting point</w:t>
      </w:r>
      <w:r>
        <w:rPr>
          <w:rFonts w:ascii="Arial" w:hAnsi="Arial" w:cs="Arial"/>
          <w:sz w:val="24"/>
          <w:szCs w:val="24"/>
        </w:rPr>
        <w:t>.  It reads:</w:t>
      </w:r>
    </w:p>
    <w:p w:rsidR="00FF1AC5" w:rsidRPr="00CD6E7C" w:rsidRDefault="00FF1AC5" w:rsidP="00CD6E7C">
      <w:pPr>
        <w:spacing w:line="360" w:lineRule="auto"/>
        <w:ind w:left="720"/>
        <w:jc w:val="both"/>
        <w:rPr>
          <w:rFonts w:ascii="Arial" w:hAnsi="Arial" w:cs="Arial"/>
        </w:rPr>
      </w:pPr>
      <w:r w:rsidRPr="00CD6E7C">
        <w:rPr>
          <w:rFonts w:ascii="Arial" w:hAnsi="Arial" w:cs="Arial"/>
        </w:rPr>
        <w:t>“</w:t>
      </w:r>
      <w:r w:rsidRPr="00CD6E7C">
        <w:rPr>
          <w:rFonts w:ascii="Arial" w:hAnsi="Arial" w:cs="Arial"/>
          <w:b/>
        </w:rPr>
        <w:t>WHEREAS</w:t>
      </w:r>
      <w:r w:rsidRPr="00CD6E7C">
        <w:rPr>
          <w:rFonts w:ascii="Arial" w:hAnsi="Arial" w:cs="Arial"/>
        </w:rPr>
        <w:t xml:space="preserve"> no one may be deprived of property except in terms of law of general application, and no law may permit arbitrary deprivation of property; </w:t>
      </w:r>
    </w:p>
    <w:p w:rsidR="00FF1AC5" w:rsidRPr="00CD6E7C" w:rsidRDefault="00FF1AC5" w:rsidP="00CD6E7C">
      <w:pPr>
        <w:spacing w:line="360" w:lineRule="auto"/>
        <w:ind w:left="720"/>
        <w:jc w:val="both"/>
        <w:rPr>
          <w:rFonts w:ascii="Arial" w:hAnsi="Arial" w:cs="Arial"/>
        </w:rPr>
      </w:pPr>
      <w:r w:rsidRPr="00CD6E7C">
        <w:rPr>
          <w:rFonts w:ascii="Arial" w:hAnsi="Arial" w:cs="Arial"/>
          <w:b/>
        </w:rPr>
        <w:t>AND WHEREAS</w:t>
      </w:r>
      <w:r w:rsidRPr="00CD6E7C">
        <w:rPr>
          <w:rFonts w:ascii="Arial" w:hAnsi="Arial" w:cs="Arial"/>
        </w:rPr>
        <w:t xml:space="preserve"> no one may be evicted from their home, or have their home demolished without an order of court made after considering all the relevant circumstances; </w:t>
      </w:r>
    </w:p>
    <w:p w:rsidR="00FF1AC5" w:rsidRPr="00CD6E7C" w:rsidRDefault="00FF1AC5" w:rsidP="00CD6E7C">
      <w:pPr>
        <w:spacing w:line="360" w:lineRule="auto"/>
        <w:ind w:left="720"/>
        <w:jc w:val="both"/>
        <w:rPr>
          <w:rFonts w:ascii="Arial" w:hAnsi="Arial" w:cs="Arial"/>
        </w:rPr>
      </w:pPr>
      <w:r w:rsidRPr="00CD6E7C">
        <w:rPr>
          <w:rFonts w:ascii="Arial" w:hAnsi="Arial" w:cs="Arial"/>
          <w:b/>
        </w:rPr>
        <w:t>AND WHEREAS</w:t>
      </w:r>
      <w:r w:rsidRPr="00CD6E7C">
        <w:rPr>
          <w:rFonts w:ascii="Arial" w:hAnsi="Arial" w:cs="Arial"/>
        </w:rPr>
        <w:t xml:space="preserve"> it is de</w:t>
      </w:r>
      <w:r w:rsidR="00D0107A">
        <w:rPr>
          <w:rFonts w:ascii="Arial" w:hAnsi="Arial" w:cs="Arial"/>
        </w:rPr>
        <w:t>s</w:t>
      </w:r>
      <w:r w:rsidRPr="00CD6E7C">
        <w:rPr>
          <w:rFonts w:ascii="Arial" w:hAnsi="Arial" w:cs="Arial"/>
        </w:rPr>
        <w:t>i</w:t>
      </w:r>
      <w:r w:rsidR="00D0107A">
        <w:rPr>
          <w:rFonts w:ascii="Arial" w:hAnsi="Arial" w:cs="Arial"/>
        </w:rPr>
        <w:t>r</w:t>
      </w:r>
      <w:r w:rsidRPr="00CD6E7C">
        <w:rPr>
          <w:rFonts w:ascii="Arial" w:hAnsi="Arial" w:cs="Arial"/>
        </w:rPr>
        <w:t xml:space="preserve">able that the law should regulate the eviction of unlawful occupiers from land in a fair manner, while recognising the right of land owners to apply to a court for an eviction order in appropriate circumstances; </w:t>
      </w:r>
    </w:p>
    <w:p w:rsidR="00FF1AC5" w:rsidRDefault="00FF1AC5" w:rsidP="00CD6E7C">
      <w:pPr>
        <w:spacing w:line="360" w:lineRule="auto"/>
        <w:ind w:left="720"/>
        <w:jc w:val="both"/>
        <w:rPr>
          <w:rFonts w:ascii="Arial" w:hAnsi="Arial" w:cs="Arial"/>
          <w:sz w:val="24"/>
          <w:szCs w:val="24"/>
        </w:rPr>
      </w:pPr>
      <w:r w:rsidRPr="00CD6E7C">
        <w:rPr>
          <w:rFonts w:ascii="Arial" w:hAnsi="Arial" w:cs="Arial"/>
          <w:b/>
        </w:rPr>
        <w:t>AND WHEREAS</w:t>
      </w:r>
      <w:r w:rsidRPr="00CD6E7C">
        <w:rPr>
          <w:rFonts w:ascii="Arial" w:hAnsi="Arial" w:cs="Arial"/>
        </w:rPr>
        <w:t xml:space="preserve"> special consideration should be given to the rights of the elderly, children, disabled persons and particularly ho</w:t>
      </w:r>
      <w:r w:rsidR="00C94FD2" w:rsidRPr="00CD6E7C">
        <w:rPr>
          <w:rFonts w:ascii="Arial" w:hAnsi="Arial" w:cs="Arial"/>
        </w:rPr>
        <w:t>us</w:t>
      </w:r>
      <w:r w:rsidRPr="00CD6E7C">
        <w:rPr>
          <w:rFonts w:ascii="Arial" w:hAnsi="Arial" w:cs="Arial"/>
        </w:rPr>
        <w:t>eholds headed by women, and that it should be re</w:t>
      </w:r>
      <w:r w:rsidR="00C94FD2" w:rsidRPr="00CD6E7C">
        <w:rPr>
          <w:rFonts w:ascii="Arial" w:hAnsi="Arial" w:cs="Arial"/>
        </w:rPr>
        <w:t>cognised that the needs of those groups should be considered.”</w:t>
      </w:r>
    </w:p>
    <w:p w:rsidR="00C94FD2" w:rsidRDefault="00C94FD2" w:rsidP="00C94FD2">
      <w:pPr>
        <w:spacing w:line="480" w:lineRule="auto"/>
        <w:jc w:val="both"/>
        <w:rPr>
          <w:rFonts w:ascii="Arial" w:hAnsi="Arial" w:cs="Arial"/>
          <w:sz w:val="24"/>
          <w:szCs w:val="24"/>
        </w:rPr>
      </w:pPr>
      <w:r>
        <w:rPr>
          <w:rFonts w:ascii="Arial" w:hAnsi="Arial" w:cs="Arial"/>
          <w:sz w:val="24"/>
          <w:szCs w:val="24"/>
        </w:rPr>
        <w:t>[</w:t>
      </w:r>
      <w:r w:rsidR="00997AFB">
        <w:rPr>
          <w:rFonts w:ascii="Arial" w:hAnsi="Arial" w:cs="Arial"/>
          <w:sz w:val="24"/>
          <w:szCs w:val="24"/>
        </w:rPr>
        <w:t>6</w:t>
      </w:r>
      <w:r>
        <w:rPr>
          <w:rFonts w:ascii="Arial" w:hAnsi="Arial" w:cs="Arial"/>
          <w:sz w:val="24"/>
          <w:szCs w:val="24"/>
        </w:rPr>
        <w:t>] It is apparent from the above even before one has regard to the actual provisions of section 4, that the Act itself is directed at regulating evictions at ho</w:t>
      </w:r>
      <w:r w:rsidR="00D0107A">
        <w:rPr>
          <w:rFonts w:ascii="Arial" w:hAnsi="Arial" w:cs="Arial"/>
          <w:sz w:val="24"/>
          <w:szCs w:val="24"/>
        </w:rPr>
        <w:t>m</w:t>
      </w:r>
      <w:r>
        <w:rPr>
          <w:rFonts w:ascii="Arial" w:hAnsi="Arial" w:cs="Arial"/>
          <w:sz w:val="24"/>
          <w:szCs w:val="24"/>
        </w:rPr>
        <w:t xml:space="preserve">es </w:t>
      </w:r>
      <w:r w:rsidR="00D0107A">
        <w:rPr>
          <w:rFonts w:ascii="Arial" w:hAnsi="Arial" w:cs="Arial"/>
          <w:sz w:val="24"/>
          <w:szCs w:val="24"/>
        </w:rPr>
        <w:t>or</w:t>
      </w:r>
      <w:r>
        <w:rPr>
          <w:rFonts w:ascii="Arial" w:hAnsi="Arial" w:cs="Arial"/>
          <w:sz w:val="24"/>
          <w:szCs w:val="24"/>
        </w:rPr>
        <w:t xml:space="preserve"> households.  It also provides for a case by case approach with emphasis on the vulnerable groups such as the elderly, children, </w:t>
      </w:r>
      <w:r w:rsidR="00D23F27">
        <w:rPr>
          <w:rFonts w:ascii="Arial" w:hAnsi="Arial" w:cs="Arial"/>
          <w:sz w:val="24"/>
          <w:szCs w:val="24"/>
        </w:rPr>
        <w:t>and disabled</w:t>
      </w:r>
      <w:r>
        <w:rPr>
          <w:rFonts w:ascii="Arial" w:hAnsi="Arial" w:cs="Arial"/>
          <w:sz w:val="24"/>
          <w:szCs w:val="24"/>
        </w:rPr>
        <w:t xml:space="preserve"> persons and in particular households headed by women.  These are the people that the courts are directed to ensure that they are not rendered homeless without proper procedures being </w:t>
      </w:r>
      <w:r w:rsidR="006D7626">
        <w:rPr>
          <w:rFonts w:ascii="Arial" w:hAnsi="Arial" w:cs="Arial"/>
          <w:sz w:val="24"/>
          <w:szCs w:val="24"/>
        </w:rPr>
        <w:lastRenderedPageBreak/>
        <w:t>ob</w:t>
      </w:r>
      <w:r w:rsidR="009E0B1E">
        <w:rPr>
          <w:rFonts w:ascii="Arial" w:hAnsi="Arial" w:cs="Arial"/>
          <w:sz w:val="24"/>
          <w:szCs w:val="24"/>
        </w:rPr>
        <w:t>serv</w:t>
      </w:r>
      <w:r>
        <w:rPr>
          <w:rFonts w:ascii="Arial" w:hAnsi="Arial" w:cs="Arial"/>
          <w:sz w:val="24"/>
          <w:szCs w:val="24"/>
        </w:rPr>
        <w:t>ed and an effort made to ensure that they do not end up in the streets</w:t>
      </w:r>
      <w:r w:rsidR="006D7626">
        <w:rPr>
          <w:rFonts w:ascii="Arial" w:hAnsi="Arial" w:cs="Arial"/>
          <w:sz w:val="24"/>
          <w:szCs w:val="24"/>
        </w:rPr>
        <w:t xml:space="preserve"> </w:t>
      </w:r>
      <w:r w:rsidR="005F055F">
        <w:rPr>
          <w:rFonts w:ascii="Arial" w:hAnsi="Arial" w:cs="Arial"/>
          <w:sz w:val="24"/>
          <w:szCs w:val="24"/>
        </w:rPr>
        <w:t>at the whim of the land owner or person in charge thereof</w:t>
      </w:r>
      <w:r>
        <w:rPr>
          <w:rFonts w:ascii="Arial" w:hAnsi="Arial" w:cs="Arial"/>
          <w:sz w:val="24"/>
          <w:szCs w:val="24"/>
        </w:rPr>
        <w:t>.</w:t>
      </w:r>
    </w:p>
    <w:p w:rsidR="00FF5906" w:rsidRDefault="00162742" w:rsidP="00C94FD2">
      <w:pPr>
        <w:spacing w:line="480" w:lineRule="auto"/>
        <w:jc w:val="both"/>
        <w:rPr>
          <w:rFonts w:ascii="Arial" w:hAnsi="Arial" w:cs="Arial"/>
          <w:sz w:val="24"/>
          <w:szCs w:val="24"/>
        </w:rPr>
      </w:pPr>
      <w:r>
        <w:rPr>
          <w:rFonts w:ascii="Arial" w:hAnsi="Arial" w:cs="Arial"/>
          <w:sz w:val="24"/>
          <w:szCs w:val="24"/>
        </w:rPr>
        <w:t>[</w:t>
      </w:r>
      <w:r w:rsidR="00997AFB">
        <w:rPr>
          <w:rFonts w:ascii="Arial" w:hAnsi="Arial" w:cs="Arial"/>
          <w:sz w:val="24"/>
          <w:szCs w:val="24"/>
        </w:rPr>
        <w:t>7</w:t>
      </w:r>
      <w:r>
        <w:rPr>
          <w:rFonts w:ascii="Arial" w:hAnsi="Arial" w:cs="Arial"/>
          <w:sz w:val="24"/>
          <w:szCs w:val="24"/>
        </w:rPr>
        <w:t>] On this understanding</w:t>
      </w:r>
      <w:r w:rsidR="0052726F">
        <w:rPr>
          <w:rFonts w:ascii="Arial" w:hAnsi="Arial" w:cs="Arial"/>
          <w:sz w:val="24"/>
          <w:szCs w:val="24"/>
        </w:rPr>
        <w:t>,</w:t>
      </w:r>
      <w:r>
        <w:rPr>
          <w:rFonts w:ascii="Arial" w:hAnsi="Arial" w:cs="Arial"/>
          <w:sz w:val="24"/>
          <w:szCs w:val="24"/>
        </w:rPr>
        <w:t xml:space="preserve"> the submission that the PIE Act </w:t>
      </w:r>
      <w:r w:rsidR="005F055F">
        <w:rPr>
          <w:rFonts w:ascii="Arial" w:hAnsi="Arial" w:cs="Arial"/>
          <w:sz w:val="24"/>
          <w:szCs w:val="24"/>
        </w:rPr>
        <w:t>especially</w:t>
      </w:r>
      <w:r>
        <w:rPr>
          <w:rFonts w:ascii="Arial" w:hAnsi="Arial" w:cs="Arial"/>
          <w:sz w:val="24"/>
          <w:szCs w:val="24"/>
        </w:rPr>
        <w:t xml:space="preserve"> the procedures provided for therein, is applicable to </w:t>
      </w:r>
      <w:r w:rsidR="00167376">
        <w:rPr>
          <w:rFonts w:ascii="Arial" w:hAnsi="Arial" w:cs="Arial"/>
          <w:sz w:val="24"/>
          <w:szCs w:val="24"/>
        </w:rPr>
        <w:t>structures that may become homes down the li</w:t>
      </w:r>
      <w:r w:rsidR="00D0107A">
        <w:rPr>
          <w:rFonts w:ascii="Arial" w:hAnsi="Arial" w:cs="Arial"/>
          <w:sz w:val="24"/>
          <w:szCs w:val="24"/>
        </w:rPr>
        <w:t>n</w:t>
      </w:r>
      <w:r w:rsidR="00167376">
        <w:rPr>
          <w:rFonts w:ascii="Arial" w:hAnsi="Arial" w:cs="Arial"/>
          <w:sz w:val="24"/>
          <w:szCs w:val="24"/>
        </w:rPr>
        <w:t xml:space="preserve">e is </w:t>
      </w:r>
      <w:r w:rsidR="009E0B1E">
        <w:rPr>
          <w:rFonts w:ascii="Arial" w:hAnsi="Arial" w:cs="Arial"/>
          <w:sz w:val="24"/>
          <w:szCs w:val="24"/>
        </w:rPr>
        <w:t>incomprehensible</w:t>
      </w:r>
      <w:r w:rsidR="00167376">
        <w:rPr>
          <w:rFonts w:ascii="Arial" w:hAnsi="Arial" w:cs="Arial"/>
          <w:sz w:val="24"/>
          <w:szCs w:val="24"/>
        </w:rPr>
        <w:t xml:space="preserve">.  </w:t>
      </w:r>
      <w:r w:rsidR="005F055F">
        <w:rPr>
          <w:rFonts w:ascii="Arial" w:hAnsi="Arial" w:cs="Arial"/>
          <w:sz w:val="24"/>
          <w:szCs w:val="24"/>
        </w:rPr>
        <w:t>Such understanding in fact</w:t>
      </w:r>
      <w:r w:rsidR="00167376">
        <w:rPr>
          <w:rFonts w:ascii="Arial" w:hAnsi="Arial" w:cs="Arial"/>
          <w:sz w:val="24"/>
          <w:szCs w:val="24"/>
        </w:rPr>
        <w:t xml:space="preserve"> goes against the very purpose of the </w:t>
      </w:r>
      <w:r w:rsidR="00D0107A">
        <w:rPr>
          <w:rFonts w:ascii="Arial" w:hAnsi="Arial" w:cs="Arial"/>
          <w:sz w:val="24"/>
          <w:szCs w:val="24"/>
        </w:rPr>
        <w:t xml:space="preserve">PIE </w:t>
      </w:r>
      <w:r w:rsidR="00167376">
        <w:rPr>
          <w:rFonts w:ascii="Arial" w:hAnsi="Arial" w:cs="Arial"/>
          <w:sz w:val="24"/>
          <w:szCs w:val="24"/>
        </w:rPr>
        <w:t xml:space="preserve">Act which </w:t>
      </w:r>
      <w:r w:rsidR="009E0B1E">
        <w:rPr>
          <w:rFonts w:ascii="Arial" w:hAnsi="Arial" w:cs="Arial"/>
          <w:sz w:val="24"/>
          <w:szCs w:val="24"/>
        </w:rPr>
        <w:t xml:space="preserve">is clearly </w:t>
      </w:r>
      <w:r w:rsidR="00167376">
        <w:rPr>
          <w:rFonts w:ascii="Arial" w:hAnsi="Arial" w:cs="Arial"/>
          <w:sz w:val="24"/>
          <w:szCs w:val="24"/>
        </w:rPr>
        <w:t>to ensure that no one is evicted from their ho</w:t>
      </w:r>
      <w:r w:rsidR="00D0107A">
        <w:rPr>
          <w:rFonts w:ascii="Arial" w:hAnsi="Arial" w:cs="Arial"/>
          <w:sz w:val="24"/>
          <w:szCs w:val="24"/>
        </w:rPr>
        <w:t>m</w:t>
      </w:r>
      <w:r w:rsidR="00167376">
        <w:rPr>
          <w:rFonts w:ascii="Arial" w:hAnsi="Arial" w:cs="Arial"/>
          <w:sz w:val="24"/>
          <w:szCs w:val="24"/>
        </w:rPr>
        <w:t>e without due process.  A structure that is still under construction</w:t>
      </w:r>
      <w:r w:rsidR="009E0B1E">
        <w:rPr>
          <w:rFonts w:ascii="Arial" w:hAnsi="Arial" w:cs="Arial"/>
          <w:sz w:val="24"/>
          <w:szCs w:val="24"/>
        </w:rPr>
        <w:t>,</w:t>
      </w:r>
      <w:r w:rsidR="00167376">
        <w:rPr>
          <w:rFonts w:ascii="Arial" w:hAnsi="Arial" w:cs="Arial"/>
          <w:sz w:val="24"/>
          <w:szCs w:val="24"/>
        </w:rPr>
        <w:t xml:space="preserve"> at whatever level it may be</w:t>
      </w:r>
      <w:r w:rsidR="009E0B1E">
        <w:rPr>
          <w:rFonts w:ascii="Arial" w:hAnsi="Arial" w:cs="Arial"/>
          <w:sz w:val="24"/>
          <w:szCs w:val="24"/>
        </w:rPr>
        <w:t>,</w:t>
      </w:r>
      <w:r w:rsidR="00167376">
        <w:rPr>
          <w:rFonts w:ascii="Arial" w:hAnsi="Arial" w:cs="Arial"/>
          <w:sz w:val="24"/>
          <w:szCs w:val="24"/>
        </w:rPr>
        <w:t xml:space="preserve"> cannot, by any stretch of imagination</w:t>
      </w:r>
      <w:r w:rsidR="00D0107A">
        <w:rPr>
          <w:rFonts w:ascii="Arial" w:hAnsi="Arial" w:cs="Arial"/>
          <w:sz w:val="24"/>
          <w:szCs w:val="24"/>
        </w:rPr>
        <w:t>,</w:t>
      </w:r>
      <w:r w:rsidR="00167376">
        <w:rPr>
          <w:rFonts w:ascii="Arial" w:hAnsi="Arial" w:cs="Arial"/>
          <w:sz w:val="24"/>
          <w:szCs w:val="24"/>
        </w:rPr>
        <w:t xml:space="preserve"> be </w:t>
      </w:r>
      <w:r w:rsidR="00D0107A">
        <w:rPr>
          <w:rFonts w:ascii="Arial" w:hAnsi="Arial" w:cs="Arial"/>
          <w:sz w:val="24"/>
          <w:szCs w:val="24"/>
        </w:rPr>
        <w:t>the</w:t>
      </w:r>
      <w:r w:rsidR="00167376">
        <w:rPr>
          <w:rFonts w:ascii="Arial" w:hAnsi="Arial" w:cs="Arial"/>
          <w:sz w:val="24"/>
          <w:szCs w:val="24"/>
        </w:rPr>
        <w:t xml:space="preserve"> home</w:t>
      </w:r>
      <w:r w:rsidR="00D0107A">
        <w:rPr>
          <w:rFonts w:ascii="Arial" w:hAnsi="Arial" w:cs="Arial"/>
          <w:sz w:val="24"/>
          <w:szCs w:val="24"/>
        </w:rPr>
        <w:t xml:space="preserve"> referred to</w:t>
      </w:r>
      <w:r w:rsidR="009E0B1E">
        <w:rPr>
          <w:rFonts w:ascii="Arial" w:hAnsi="Arial" w:cs="Arial"/>
          <w:sz w:val="24"/>
          <w:szCs w:val="24"/>
        </w:rPr>
        <w:t xml:space="preserve"> in the PIE Act</w:t>
      </w:r>
      <w:r w:rsidR="00167376">
        <w:rPr>
          <w:rFonts w:ascii="Arial" w:hAnsi="Arial" w:cs="Arial"/>
          <w:sz w:val="24"/>
          <w:szCs w:val="24"/>
        </w:rPr>
        <w:t>.  The PIE Act is couched in term</w:t>
      </w:r>
      <w:r w:rsidR="009E0B1E">
        <w:rPr>
          <w:rFonts w:ascii="Arial" w:hAnsi="Arial" w:cs="Arial"/>
          <w:sz w:val="24"/>
          <w:szCs w:val="24"/>
        </w:rPr>
        <w:t>s</w:t>
      </w:r>
      <w:r w:rsidR="00167376">
        <w:rPr>
          <w:rFonts w:ascii="Arial" w:hAnsi="Arial" w:cs="Arial"/>
          <w:sz w:val="24"/>
          <w:szCs w:val="24"/>
        </w:rPr>
        <w:t xml:space="preserve"> that</w:t>
      </w:r>
      <w:r w:rsidR="009E0B1E">
        <w:rPr>
          <w:rFonts w:ascii="Arial" w:hAnsi="Arial" w:cs="Arial"/>
          <w:sz w:val="24"/>
          <w:szCs w:val="24"/>
        </w:rPr>
        <w:t>,</w:t>
      </w:r>
      <w:r w:rsidR="00167376">
        <w:rPr>
          <w:rFonts w:ascii="Arial" w:hAnsi="Arial" w:cs="Arial"/>
          <w:sz w:val="24"/>
          <w:szCs w:val="24"/>
        </w:rPr>
        <w:t xml:space="preserve"> inter alia, create an opportunity </w:t>
      </w:r>
      <w:r w:rsidR="005F055F">
        <w:rPr>
          <w:rFonts w:ascii="Arial" w:hAnsi="Arial" w:cs="Arial"/>
          <w:sz w:val="24"/>
          <w:szCs w:val="24"/>
        </w:rPr>
        <w:t>for</w:t>
      </w:r>
      <w:r w:rsidR="00167376">
        <w:rPr>
          <w:rFonts w:ascii="Arial" w:hAnsi="Arial" w:cs="Arial"/>
          <w:sz w:val="24"/>
          <w:szCs w:val="24"/>
        </w:rPr>
        <w:t xml:space="preserve"> those who are </w:t>
      </w:r>
      <w:r w:rsidR="005F055F">
        <w:rPr>
          <w:rFonts w:ascii="Arial" w:hAnsi="Arial" w:cs="Arial"/>
          <w:sz w:val="24"/>
          <w:szCs w:val="24"/>
        </w:rPr>
        <w:t>being evicted</w:t>
      </w:r>
      <w:r w:rsidR="00167376">
        <w:rPr>
          <w:rFonts w:ascii="Arial" w:hAnsi="Arial" w:cs="Arial"/>
          <w:sz w:val="24"/>
          <w:szCs w:val="24"/>
        </w:rPr>
        <w:t xml:space="preserve">, to bring to the attention of the court, their individual and often peculiar circumstances.  Such circumstances </w:t>
      </w:r>
      <w:r w:rsidR="009E0B1E">
        <w:rPr>
          <w:rFonts w:ascii="Arial" w:hAnsi="Arial" w:cs="Arial"/>
          <w:sz w:val="24"/>
          <w:szCs w:val="24"/>
        </w:rPr>
        <w:t>must then be</w:t>
      </w:r>
      <w:r w:rsidR="00167376">
        <w:rPr>
          <w:rFonts w:ascii="Arial" w:hAnsi="Arial" w:cs="Arial"/>
          <w:sz w:val="24"/>
          <w:szCs w:val="24"/>
        </w:rPr>
        <w:t xml:space="preserve"> considered by the court which may</w:t>
      </w:r>
      <w:r w:rsidR="00D0107A">
        <w:rPr>
          <w:rFonts w:ascii="Arial" w:hAnsi="Arial" w:cs="Arial"/>
          <w:sz w:val="24"/>
          <w:szCs w:val="24"/>
        </w:rPr>
        <w:t xml:space="preserve"> then</w:t>
      </w:r>
      <w:r w:rsidR="00167376">
        <w:rPr>
          <w:rFonts w:ascii="Arial" w:hAnsi="Arial" w:cs="Arial"/>
          <w:sz w:val="24"/>
          <w:szCs w:val="24"/>
        </w:rPr>
        <w:t xml:space="preserve"> grant a just and equitable order having had regard to those circumstances.  </w:t>
      </w:r>
    </w:p>
    <w:p w:rsidR="00162742" w:rsidRDefault="00FF5906" w:rsidP="00C94FD2">
      <w:pPr>
        <w:spacing w:line="480" w:lineRule="auto"/>
        <w:jc w:val="both"/>
        <w:rPr>
          <w:rFonts w:ascii="Arial" w:hAnsi="Arial" w:cs="Arial"/>
          <w:sz w:val="24"/>
          <w:szCs w:val="24"/>
        </w:rPr>
      </w:pPr>
      <w:r>
        <w:rPr>
          <w:rFonts w:ascii="Arial" w:hAnsi="Arial" w:cs="Arial"/>
          <w:sz w:val="24"/>
          <w:szCs w:val="24"/>
        </w:rPr>
        <w:t>[</w:t>
      </w:r>
      <w:r w:rsidR="00997AFB">
        <w:rPr>
          <w:rFonts w:ascii="Arial" w:hAnsi="Arial" w:cs="Arial"/>
          <w:sz w:val="24"/>
          <w:szCs w:val="24"/>
        </w:rPr>
        <w:t>8</w:t>
      </w:r>
      <w:r>
        <w:rPr>
          <w:rFonts w:ascii="Arial" w:hAnsi="Arial" w:cs="Arial"/>
          <w:sz w:val="24"/>
          <w:szCs w:val="24"/>
        </w:rPr>
        <w:t xml:space="preserve">] </w:t>
      </w:r>
      <w:r w:rsidR="00167376">
        <w:rPr>
          <w:rFonts w:ascii="Arial" w:hAnsi="Arial" w:cs="Arial"/>
          <w:sz w:val="24"/>
          <w:szCs w:val="24"/>
        </w:rPr>
        <w:t xml:space="preserve">In </w:t>
      </w:r>
      <w:r w:rsidR="00167376" w:rsidRPr="00FF5906">
        <w:rPr>
          <w:rFonts w:ascii="Arial" w:hAnsi="Arial" w:cs="Arial"/>
          <w:i/>
          <w:sz w:val="24"/>
          <w:szCs w:val="24"/>
        </w:rPr>
        <w:t xml:space="preserve">Ndlovu </w:t>
      </w:r>
      <w:r w:rsidR="00D0107A">
        <w:rPr>
          <w:rFonts w:ascii="Arial" w:hAnsi="Arial" w:cs="Arial"/>
          <w:i/>
          <w:sz w:val="24"/>
          <w:szCs w:val="24"/>
        </w:rPr>
        <w:t xml:space="preserve">v </w:t>
      </w:r>
      <w:r w:rsidR="00167376" w:rsidRPr="00FF5906">
        <w:rPr>
          <w:rFonts w:ascii="Arial" w:hAnsi="Arial" w:cs="Arial"/>
          <w:i/>
          <w:sz w:val="24"/>
          <w:szCs w:val="24"/>
        </w:rPr>
        <w:t>Ngcobo, Bekker and Another v Jika</w:t>
      </w:r>
      <w:r w:rsidR="00167376">
        <w:rPr>
          <w:rFonts w:ascii="Arial" w:hAnsi="Arial" w:cs="Arial"/>
          <w:sz w:val="24"/>
          <w:szCs w:val="24"/>
        </w:rPr>
        <w:t xml:space="preserve"> [2002] 4 All SA 384 </w:t>
      </w:r>
      <w:r w:rsidR="005F055F">
        <w:rPr>
          <w:rFonts w:ascii="Arial" w:hAnsi="Arial" w:cs="Arial"/>
          <w:sz w:val="24"/>
          <w:szCs w:val="24"/>
        </w:rPr>
        <w:t>(</w:t>
      </w:r>
      <w:r w:rsidR="00167376">
        <w:rPr>
          <w:rFonts w:ascii="Arial" w:hAnsi="Arial" w:cs="Arial"/>
          <w:sz w:val="24"/>
          <w:szCs w:val="24"/>
        </w:rPr>
        <w:t>SCA</w:t>
      </w:r>
      <w:r w:rsidR="005F055F">
        <w:rPr>
          <w:rFonts w:ascii="Arial" w:hAnsi="Arial" w:cs="Arial"/>
          <w:sz w:val="24"/>
          <w:szCs w:val="24"/>
        </w:rPr>
        <w:t>)</w:t>
      </w:r>
      <w:r w:rsidR="00167376">
        <w:rPr>
          <w:rFonts w:ascii="Arial" w:hAnsi="Arial" w:cs="Arial"/>
          <w:sz w:val="24"/>
          <w:szCs w:val="24"/>
        </w:rPr>
        <w:t xml:space="preserve"> Harms JA </w:t>
      </w:r>
      <w:r w:rsidR="005F055F">
        <w:rPr>
          <w:rFonts w:ascii="Arial" w:hAnsi="Arial" w:cs="Arial"/>
          <w:sz w:val="24"/>
          <w:szCs w:val="24"/>
        </w:rPr>
        <w:t>articulated</w:t>
      </w:r>
      <w:r w:rsidR="00167376">
        <w:rPr>
          <w:rFonts w:ascii="Arial" w:hAnsi="Arial" w:cs="Arial"/>
          <w:sz w:val="24"/>
          <w:szCs w:val="24"/>
        </w:rPr>
        <w:t xml:space="preserve"> </w:t>
      </w:r>
      <w:r w:rsidR="00D0107A">
        <w:rPr>
          <w:rFonts w:ascii="Arial" w:hAnsi="Arial" w:cs="Arial"/>
          <w:sz w:val="24"/>
          <w:szCs w:val="24"/>
        </w:rPr>
        <w:t xml:space="preserve">some of </w:t>
      </w:r>
      <w:r w:rsidR="00167376">
        <w:rPr>
          <w:rFonts w:ascii="Arial" w:hAnsi="Arial" w:cs="Arial"/>
          <w:sz w:val="24"/>
          <w:szCs w:val="24"/>
        </w:rPr>
        <w:t>these principles as follows:</w:t>
      </w:r>
    </w:p>
    <w:p w:rsidR="00167376" w:rsidRPr="00CD6E7C" w:rsidRDefault="00FF5906" w:rsidP="00CD6E7C">
      <w:pPr>
        <w:spacing w:line="360" w:lineRule="auto"/>
        <w:ind w:left="852" w:hanging="426"/>
        <w:jc w:val="both"/>
        <w:rPr>
          <w:rFonts w:ascii="Arial" w:hAnsi="Arial" w:cs="Arial"/>
        </w:rPr>
      </w:pPr>
      <w:r w:rsidRPr="00CD6E7C">
        <w:rPr>
          <w:rFonts w:ascii="Arial" w:hAnsi="Arial" w:cs="Arial"/>
        </w:rPr>
        <w:t>“</w:t>
      </w:r>
      <w:r w:rsidR="00167376" w:rsidRPr="00CD6E7C">
        <w:rPr>
          <w:rFonts w:ascii="Arial" w:hAnsi="Arial" w:cs="Arial"/>
        </w:rPr>
        <w:t>[19] Another material consideration is that of the evidential on</w:t>
      </w:r>
      <w:r w:rsidR="0006455F">
        <w:rPr>
          <w:rFonts w:ascii="Arial" w:hAnsi="Arial" w:cs="Arial"/>
        </w:rPr>
        <w:t>u</w:t>
      </w:r>
      <w:r w:rsidR="00167376" w:rsidRPr="00CD6E7C">
        <w:rPr>
          <w:rFonts w:ascii="Arial" w:hAnsi="Arial" w:cs="Arial"/>
        </w:rPr>
        <w:t>s.  Provided the procedural requirements have been</w:t>
      </w:r>
      <w:r w:rsidR="005F055F">
        <w:rPr>
          <w:rFonts w:ascii="Arial" w:hAnsi="Arial" w:cs="Arial"/>
        </w:rPr>
        <w:t xml:space="preserve"> </w:t>
      </w:r>
      <w:r w:rsidR="0052726F">
        <w:rPr>
          <w:rFonts w:ascii="Arial" w:hAnsi="Arial" w:cs="Arial"/>
        </w:rPr>
        <w:t>me</w:t>
      </w:r>
      <w:r w:rsidR="005F055F">
        <w:rPr>
          <w:rFonts w:ascii="Arial" w:hAnsi="Arial" w:cs="Arial"/>
        </w:rPr>
        <w:t>t</w:t>
      </w:r>
      <w:r w:rsidR="00167376" w:rsidRPr="00CD6E7C">
        <w:rPr>
          <w:rFonts w:ascii="Arial" w:hAnsi="Arial" w:cs="Arial"/>
        </w:rPr>
        <w:t>, the owner is entitled to approach the court on the basis of ownership and the respondent’</w:t>
      </w:r>
      <w:r w:rsidRPr="00CD6E7C">
        <w:rPr>
          <w:rFonts w:ascii="Arial" w:hAnsi="Arial" w:cs="Arial"/>
        </w:rPr>
        <w:t>s unlawful oc</w:t>
      </w:r>
      <w:r w:rsidR="00167376" w:rsidRPr="00CD6E7C">
        <w:rPr>
          <w:rFonts w:ascii="Arial" w:hAnsi="Arial" w:cs="Arial"/>
        </w:rPr>
        <w:t xml:space="preserve">cupation.  Unless the </w:t>
      </w:r>
      <w:r w:rsidRPr="00CD6E7C">
        <w:rPr>
          <w:rFonts w:ascii="Arial" w:hAnsi="Arial" w:cs="Arial"/>
        </w:rPr>
        <w:t>occupier opposes and discloses circumstances relevant to the eviction order, the owner in principle, will be entitled to an order for eviction.  Relevant circumstances are nearly without fail facts within the exclusive knowledge of the occupier and it cannot be expected of an owner</w:t>
      </w:r>
      <w:r w:rsidR="005F055F">
        <w:rPr>
          <w:rFonts w:ascii="Arial" w:hAnsi="Arial" w:cs="Arial"/>
        </w:rPr>
        <w:t>,</w:t>
      </w:r>
      <w:r w:rsidRPr="00CD6E7C">
        <w:rPr>
          <w:rFonts w:ascii="Arial" w:hAnsi="Arial" w:cs="Arial"/>
        </w:rPr>
        <w:t xml:space="preserve"> to negative in advance facts not known to him and not in issue between the parties.  Whether the ultimate on</w:t>
      </w:r>
      <w:r w:rsidR="0006455F">
        <w:rPr>
          <w:rFonts w:ascii="Arial" w:hAnsi="Arial" w:cs="Arial"/>
        </w:rPr>
        <w:t>u</w:t>
      </w:r>
      <w:r w:rsidRPr="00CD6E7C">
        <w:rPr>
          <w:rFonts w:ascii="Arial" w:hAnsi="Arial" w:cs="Arial"/>
        </w:rPr>
        <w:t>s will be on the owner or the occupier we need not now decide.</w:t>
      </w:r>
    </w:p>
    <w:p w:rsidR="00524772" w:rsidRDefault="00FF5906" w:rsidP="00CD6E7C">
      <w:pPr>
        <w:spacing w:line="360" w:lineRule="auto"/>
        <w:ind w:left="852" w:hanging="426"/>
        <w:jc w:val="both"/>
        <w:rPr>
          <w:rFonts w:ascii="Arial" w:hAnsi="Arial" w:cs="Arial"/>
        </w:rPr>
      </w:pPr>
      <w:r w:rsidRPr="00CD6E7C">
        <w:rPr>
          <w:rFonts w:ascii="Arial" w:hAnsi="Arial" w:cs="Arial"/>
        </w:rPr>
        <w:t>[20] A further area of concern is the lease of commercial properties.  Does it fall within the p</w:t>
      </w:r>
      <w:r w:rsidR="0006455F">
        <w:rPr>
          <w:rFonts w:ascii="Arial" w:hAnsi="Arial" w:cs="Arial"/>
        </w:rPr>
        <w:t>ur</w:t>
      </w:r>
      <w:r w:rsidRPr="00CD6E7C">
        <w:rPr>
          <w:rFonts w:ascii="Arial" w:hAnsi="Arial" w:cs="Arial"/>
        </w:rPr>
        <w:t xml:space="preserve">view of PIE?  </w:t>
      </w:r>
      <w:r w:rsidRPr="005F055F">
        <w:rPr>
          <w:rFonts w:ascii="Arial" w:hAnsi="Arial" w:cs="Arial"/>
          <w:i/>
        </w:rPr>
        <w:t>Prima facie</w:t>
      </w:r>
      <w:r w:rsidRPr="00CD6E7C">
        <w:rPr>
          <w:rFonts w:ascii="Arial" w:hAnsi="Arial" w:cs="Arial"/>
        </w:rPr>
        <w:t xml:space="preserve"> the </w:t>
      </w:r>
      <w:r w:rsidR="0032674B" w:rsidRPr="00CD6E7C">
        <w:rPr>
          <w:rFonts w:ascii="Arial" w:hAnsi="Arial" w:cs="Arial"/>
        </w:rPr>
        <w:t xml:space="preserve">answer would be in the affirmative because of the definition of </w:t>
      </w:r>
      <w:r w:rsidR="0006455F">
        <w:rPr>
          <w:rFonts w:ascii="Arial" w:hAnsi="Arial" w:cs="Arial"/>
        </w:rPr>
        <w:t>‘</w:t>
      </w:r>
      <w:r w:rsidR="0032674B" w:rsidRPr="00CD6E7C">
        <w:rPr>
          <w:rFonts w:ascii="Arial" w:hAnsi="Arial" w:cs="Arial"/>
        </w:rPr>
        <w:t xml:space="preserve">building or structure’ which – </w:t>
      </w:r>
    </w:p>
    <w:p w:rsidR="0032674B" w:rsidRDefault="0032674B" w:rsidP="00524772">
      <w:pPr>
        <w:spacing w:line="360" w:lineRule="auto"/>
        <w:ind w:left="852" w:hanging="132"/>
        <w:jc w:val="both"/>
        <w:rPr>
          <w:rFonts w:ascii="Arial" w:hAnsi="Arial" w:cs="Arial"/>
          <w:sz w:val="24"/>
          <w:szCs w:val="24"/>
        </w:rPr>
      </w:pPr>
      <w:r w:rsidRPr="00CD6E7C">
        <w:rPr>
          <w:rFonts w:ascii="Arial" w:hAnsi="Arial" w:cs="Arial"/>
        </w:rPr>
        <w:t>‘include</w:t>
      </w:r>
      <w:r w:rsidR="0006455F">
        <w:rPr>
          <w:rFonts w:ascii="Arial" w:hAnsi="Arial" w:cs="Arial"/>
        </w:rPr>
        <w:t>s</w:t>
      </w:r>
      <w:r w:rsidRPr="00CD6E7C">
        <w:rPr>
          <w:rFonts w:ascii="Arial" w:hAnsi="Arial" w:cs="Arial"/>
        </w:rPr>
        <w:t xml:space="preserve"> any </w:t>
      </w:r>
      <w:r w:rsidR="0006455F">
        <w:rPr>
          <w:rFonts w:ascii="Arial" w:hAnsi="Arial" w:cs="Arial"/>
        </w:rPr>
        <w:t>h</w:t>
      </w:r>
      <w:r w:rsidRPr="00CD6E7C">
        <w:rPr>
          <w:rFonts w:ascii="Arial" w:hAnsi="Arial" w:cs="Arial"/>
        </w:rPr>
        <w:t>ut, shack, te</w:t>
      </w:r>
      <w:r w:rsidR="0006455F">
        <w:rPr>
          <w:rFonts w:ascii="Arial" w:hAnsi="Arial" w:cs="Arial"/>
        </w:rPr>
        <w:t>n</w:t>
      </w:r>
      <w:r w:rsidRPr="00CD6E7C">
        <w:rPr>
          <w:rFonts w:ascii="Arial" w:hAnsi="Arial" w:cs="Arial"/>
        </w:rPr>
        <w:t>t or similar structure or any other form of temporary or</w:t>
      </w:r>
      <w:r w:rsidR="0006455F">
        <w:rPr>
          <w:rFonts w:ascii="Arial" w:hAnsi="Arial" w:cs="Arial"/>
        </w:rPr>
        <w:t xml:space="preserve"> permanent dwelling or shelter.’</w:t>
      </w:r>
    </w:p>
    <w:p w:rsidR="0032674B" w:rsidRPr="00681E6E" w:rsidRDefault="0032674B" w:rsidP="005F055F">
      <w:pPr>
        <w:spacing w:line="360" w:lineRule="auto"/>
        <w:ind w:left="426"/>
        <w:jc w:val="both"/>
        <w:rPr>
          <w:rFonts w:ascii="Arial" w:hAnsi="Arial" w:cs="Arial"/>
        </w:rPr>
      </w:pPr>
      <w:r w:rsidRPr="00681E6E">
        <w:rPr>
          <w:rFonts w:ascii="Arial" w:hAnsi="Arial" w:cs="Arial"/>
        </w:rPr>
        <w:lastRenderedPageBreak/>
        <w:t xml:space="preserve">The word </w:t>
      </w:r>
      <w:r w:rsidR="0006455F" w:rsidRPr="00681E6E">
        <w:rPr>
          <w:rFonts w:ascii="Arial" w:hAnsi="Arial" w:cs="Arial"/>
        </w:rPr>
        <w:t>‘</w:t>
      </w:r>
      <w:r w:rsidRPr="00681E6E">
        <w:rPr>
          <w:rFonts w:ascii="Arial" w:hAnsi="Arial" w:cs="Arial"/>
        </w:rPr>
        <w:t>includes’ is as a general rule a term of extension.  It may, however, depending upon the circumstances</w:t>
      </w:r>
      <w:r w:rsidR="005F055F">
        <w:rPr>
          <w:rFonts w:ascii="Arial" w:hAnsi="Arial" w:cs="Arial"/>
        </w:rPr>
        <w:t>,</w:t>
      </w:r>
      <w:r w:rsidRPr="00681E6E">
        <w:rPr>
          <w:rFonts w:ascii="Arial" w:hAnsi="Arial" w:cs="Arial"/>
        </w:rPr>
        <w:t xml:space="preserve"> be one of exhaustive definition and synonymous with ‘comprise’</w:t>
      </w:r>
      <w:r w:rsidR="006D7626">
        <w:rPr>
          <w:rFonts w:ascii="Arial" w:hAnsi="Arial" w:cs="Arial"/>
        </w:rPr>
        <w:t xml:space="preserve">.  </w:t>
      </w:r>
      <w:r w:rsidR="0006455F" w:rsidRPr="00681E6E">
        <w:rPr>
          <w:rFonts w:ascii="Arial" w:hAnsi="Arial" w:cs="Arial"/>
          <w:i/>
        </w:rPr>
        <w:t>R</w:t>
      </w:r>
      <w:r w:rsidR="0006455F" w:rsidRPr="00681E6E">
        <w:rPr>
          <w:rFonts w:ascii="Arial" w:hAnsi="Arial" w:cs="Arial"/>
        </w:rPr>
        <w:t xml:space="preserve"> </w:t>
      </w:r>
      <w:r w:rsidRPr="00681E6E">
        <w:rPr>
          <w:rFonts w:ascii="Arial" w:hAnsi="Arial" w:cs="Arial"/>
        </w:rPr>
        <w:t>v Debele 1956 (4) SA 570 (A) 575.  In this instance</w:t>
      </w:r>
      <w:r w:rsidR="0006455F" w:rsidRPr="00681E6E">
        <w:rPr>
          <w:rFonts w:ascii="Arial" w:hAnsi="Arial" w:cs="Arial"/>
        </w:rPr>
        <w:t>,</w:t>
      </w:r>
      <w:r w:rsidRPr="00681E6E">
        <w:rPr>
          <w:rFonts w:ascii="Arial" w:hAnsi="Arial" w:cs="Arial"/>
        </w:rPr>
        <w:t xml:space="preserve"> having regard to the history of the </w:t>
      </w:r>
      <w:r w:rsidR="0006455F" w:rsidRPr="00681E6E">
        <w:rPr>
          <w:rFonts w:ascii="Arial" w:hAnsi="Arial" w:cs="Arial"/>
        </w:rPr>
        <w:t>enactment</w:t>
      </w:r>
      <w:r w:rsidRPr="00681E6E">
        <w:rPr>
          <w:rFonts w:ascii="Arial" w:hAnsi="Arial" w:cs="Arial"/>
        </w:rPr>
        <w:t xml:space="preserve"> with, as already pointed out</w:t>
      </w:r>
      <w:r w:rsidR="0006455F" w:rsidRPr="00681E6E">
        <w:rPr>
          <w:rFonts w:ascii="Arial" w:hAnsi="Arial" w:cs="Arial"/>
        </w:rPr>
        <w:t>,</w:t>
      </w:r>
      <w:r w:rsidRPr="00681E6E">
        <w:rPr>
          <w:rFonts w:ascii="Arial" w:hAnsi="Arial" w:cs="Arial"/>
        </w:rPr>
        <w:t xml:space="preserve"> its roots in s</w:t>
      </w:r>
      <w:r w:rsidR="0006455F" w:rsidRPr="00681E6E">
        <w:rPr>
          <w:rFonts w:ascii="Arial" w:hAnsi="Arial" w:cs="Arial"/>
        </w:rPr>
        <w:t xml:space="preserve"> </w:t>
      </w:r>
      <w:r w:rsidRPr="00681E6E">
        <w:rPr>
          <w:rFonts w:ascii="Arial" w:hAnsi="Arial" w:cs="Arial"/>
        </w:rPr>
        <w:t xml:space="preserve">26(3) of the Constitution which is concerned with rights to one’s home, the preamble to PIE which emphasises the </w:t>
      </w:r>
      <w:r w:rsidR="0006455F" w:rsidRPr="00681E6E">
        <w:rPr>
          <w:rFonts w:ascii="Arial" w:hAnsi="Arial" w:cs="Arial"/>
        </w:rPr>
        <w:t>r</w:t>
      </w:r>
      <w:r w:rsidRPr="00681E6E">
        <w:rPr>
          <w:rFonts w:ascii="Arial" w:hAnsi="Arial" w:cs="Arial"/>
        </w:rPr>
        <w:t>ight to one’s home and the interests of vulnerable persons</w:t>
      </w:r>
      <w:r w:rsidR="0006455F" w:rsidRPr="00681E6E">
        <w:rPr>
          <w:rFonts w:ascii="Arial" w:hAnsi="Arial" w:cs="Arial"/>
        </w:rPr>
        <w:t>,</w:t>
      </w:r>
      <w:r w:rsidRPr="00681E6E">
        <w:rPr>
          <w:rFonts w:ascii="Arial" w:hAnsi="Arial" w:cs="Arial"/>
        </w:rPr>
        <w:t xml:space="preserve"> the buildings listed and the fact that one is ultimately concerned with </w:t>
      </w:r>
      <w:r w:rsidR="0006455F" w:rsidRPr="00681E6E">
        <w:rPr>
          <w:rFonts w:ascii="Arial" w:hAnsi="Arial" w:cs="Arial"/>
        </w:rPr>
        <w:t>‘</w:t>
      </w:r>
      <w:r w:rsidRPr="00681E6E">
        <w:rPr>
          <w:rFonts w:ascii="Arial" w:hAnsi="Arial" w:cs="Arial"/>
        </w:rPr>
        <w:t xml:space="preserve">any </w:t>
      </w:r>
      <w:r w:rsidR="00B3244D" w:rsidRPr="00681E6E">
        <w:rPr>
          <w:rFonts w:ascii="Arial" w:hAnsi="Arial" w:cs="Arial"/>
        </w:rPr>
        <w:t xml:space="preserve">other form of temporary or permanent dwelling or shelter’, the ineluctable conclusion is that, subject to the </w:t>
      </w:r>
      <w:r w:rsidR="0006455F" w:rsidRPr="00681E6E">
        <w:rPr>
          <w:rFonts w:ascii="Arial" w:hAnsi="Arial" w:cs="Arial"/>
          <w:i/>
        </w:rPr>
        <w:t>eiu</w:t>
      </w:r>
      <w:r w:rsidR="00B3244D" w:rsidRPr="00681E6E">
        <w:rPr>
          <w:rFonts w:ascii="Arial" w:hAnsi="Arial" w:cs="Arial"/>
          <w:i/>
        </w:rPr>
        <w:t>sdem generis</w:t>
      </w:r>
      <w:r w:rsidR="00B3244D" w:rsidRPr="00681E6E">
        <w:rPr>
          <w:rFonts w:ascii="Arial" w:hAnsi="Arial" w:cs="Arial"/>
        </w:rPr>
        <w:t xml:space="preserve"> – rule, the term was used exhaustively.  It follows that </w:t>
      </w:r>
      <w:r w:rsidR="00B3244D" w:rsidRPr="00681E6E">
        <w:rPr>
          <w:rFonts w:ascii="Arial" w:hAnsi="Arial" w:cs="Arial"/>
          <w:u w:val="single"/>
        </w:rPr>
        <w:t>buildings or structures that do not perform the function of a form of dwelling or s</w:t>
      </w:r>
      <w:r w:rsidR="00CD6E7C" w:rsidRPr="00681E6E">
        <w:rPr>
          <w:rFonts w:ascii="Arial" w:hAnsi="Arial" w:cs="Arial"/>
          <w:u w:val="single"/>
        </w:rPr>
        <w:t>helt</w:t>
      </w:r>
      <w:r w:rsidR="00B3244D" w:rsidRPr="00681E6E">
        <w:rPr>
          <w:rFonts w:ascii="Arial" w:hAnsi="Arial" w:cs="Arial"/>
          <w:u w:val="single"/>
        </w:rPr>
        <w:t>er for humans do not fall under PIE</w:t>
      </w:r>
      <w:r w:rsidR="00CD6E7C" w:rsidRPr="00681E6E">
        <w:rPr>
          <w:rFonts w:ascii="Arial" w:hAnsi="Arial" w:cs="Arial"/>
        </w:rPr>
        <w:t xml:space="preserve"> and</w:t>
      </w:r>
      <w:r w:rsidR="00B3244D" w:rsidRPr="00681E6E">
        <w:rPr>
          <w:rFonts w:ascii="Arial" w:hAnsi="Arial" w:cs="Arial"/>
        </w:rPr>
        <w:t xml:space="preserve"> since juristic persons do not have dwellings</w:t>
      </w:r>
      <w:r w:rsidR="0006455F" w:rsidRPr="00681E6E">
        <w:rPr>
          <w:rFonts w:ascii="Arial" w:hAnsi="Arial" w:cs="Arial"/>
        </w:rPr>
        <w:t>,</w:t>
      </w:r>
      <w:r w:rsidR="00B3244D" w:rsidRPr="00681E6E">
        <w:rPr>
          <w:rFonts w:ascii="Arial" w:hAnsi="Arial" w:cs="Arial"/>
        </w:rPr>
        <w:t xml:space="preserve"> their unlawful possession is similarly not protected by PIE.” (My emphasis).</w:t>
      </w:r>
    </w:p>
    <w:p w:rsidR="00B3244D" w:rsidRDefault="00B3244D" w:rsidP="00C94FD2">
      <w:pPr>
        <w:spacing w:line="480" w:lineRule="auto"/>
        <w:jc w:val="both"/>
        <w:rPr>
          <w:rFonts w:ascii="Arial" w:hAnsi="Arial" w:cs="Arial"/>
          <w:sz w:val="24"/>
          <w:szCs w:val="24"/>
        </w:rPr>
      </w:pPr>
      <w:r>
        <w:rPr>
          <w:rFonts w:ascii="Arial" w:hAnsi="Arial" w:cs="Arial"/>
          <w:sz w:val="24"/>
          <w:szCs w:val="24"/>
        </w:rPr>
        <w:t>[</w:t>
      </w:r>
      <w:r w:rsidR="00681E6E">
        <w:rPr>
          <w:rFonts w:ascii="Arial" w:hAnsi="Arial" w:cs="Arial"/>
          <w:sz w:val="24"/>
          <w:szCs w:val="24"/>
        </w:rPr>
        <w:t>9</w:t>
      </w:r>
      <w:r>
        <w:rPr>
          <w:rFonts w:ascii="Arial" w:hAnsi="Arial" w:cs="Arial"/>
          <w:sz w:val="24"/>
          <w:szCs w:val="24"/>
        </w:rPr>
        <w:t xml:space="preserve">] There was no evidence of the </w:t>
      </w:r>
      <w:r w:rsidR="00524772">
        <w:rPr>
          <w:rFonts w:ascii="Arial" w:hAnsi="Arial" w:cs="Arial"/>
          <w:sz w:val="24"/>
          <w:szCs w:val="24"/>
        </w:rPr>
        <w:t>respondents</w:t>
      </w:r>
      <w:r>
        <w:rPr>
          <w:rFonts w:ascii="Arial" w:hAnsi="Arial" w:cs="Arial"/>
          <w:sz w:val="24"/>
          <w:szCs w:val="24"/>
        </w:rPr>
        <w:t xml:space="preserve"> living or staying on the property</w:t>
      </w:r>
      <w:r w:rsidR="005F055F">
        <w:rPr>
          <w:rFonts w:ascii="Arial" w:hAnsi="Arial" w:cs="Arial"/>
          <w:sz w:val="24"/>
          <w:szCs w:val="24"/>
        </w:rPr>
        <w:t xml:space="preserve"> o</w:t>
      </w:r>
      <w:r w:rsidR="0052726F">
        <w:rPr>
          <w:rFonts w:ascii="Arial" w:hAnsi="Arial" w:cs="Arial"/>
          <w:sz w:val="24"/>
          <w:szCs w:val="24"/>
        </w:rPr>
        <w:t>r</w:t>
      </w:r>
      <w:r w:rsidR="005F055F">
        <w:rPr>
          <w:rFonts w:ascii="Arial" w:hAnsi="Arial" w:cs="Arial"/>
          <w:sz w:val="24"/>
          <w:szCs w:val="24"/>
        </w:rPr>
        <w:t xml:space="preserve"> the property being their home or shelter</w:t>
      </w:r>
      <w:r>
        <w:rPr>
          <w:rFonts w:ascii="Arial" w:hAnsi="Arial" w:cs="Arial"/>
          <w:sz w:val="24"/>
          <w:szCs w:val="24"/>
        </w:rPr>
        <w:t>.  None whatsoever.  The structures that were still under construction were neither ho</w:t>
      </w:r>
      <w:r w:rsidR="007C4382">
        <w:rPr>
          <w:rFonts w:ascii="Arial" w:hAnsi="Arial" w:cs="Arial"/>
          <w:sz w:val="24"/>
          <w:szCs w:val="24"/>
        </w:rPr>
        <w:t>m</w:t>
      </w:r>
      <w:r>
        <w:rPr>
          <w:rFonts w:ascii="Arial" w:hAnsi="Arial" w:cs="Arial"/>
          <w:sz w:val="24"/>
          <w:szCs w:val="24"/>
        </w:rPr>
        <w:t xml:space="preserve">es nor dwellings that </w:t>
      </w:r>
      <w:r w:rsidR="006D7626">
        <w:rPr>
          <w:rFonts w:ascii="Arial" w:hAnsi="Arial" w:cs="Arial"/>
          <w:sz w:val="24"/>
          <w:szCs w:val="24"/>
        </w:rPr>
        <w:t xml:space="preserve">could </w:t>
      </w:r>
      <w:r>
        <w:rPr>
          <w:rFonts w:ascii="Arial" w:hAnsi="Arial" w:cs="Arial"/>
          <w:sz w:val="24"/>
          <w:szCs w:val="24"/>
        </w:rPr>
        <w:t>f</w:t>
      </w:r>
      <w:r w:rsidR="007C4382">
        <w:rPr>
          <w:rFonts w:ascii="Arial" w:hAnsi="Arial" w:cs="Arial"/>
          <w:sz w:val="24"/>
          <w:szCs w:val="24"/>
        </w:rPr>
        <w:t>a</w:t>
      </w:r>
      <w:r>
        <w:rPr>
          <w:rFonts w:ascii="Arial" w:hAnsi="Arial" w:cs="Arial"/>
          <w:sz w:val="24"/>
          <w:szCs w:val="24"/>
        </w:rPr>
        <w:t xml:space="preserve">ll under the ambit of the PIE </w:t>
      </w:r>
      <w:r w:rsidR="006D7626">
        <w:rPr>
          <w:rFonts w:ascii="Arial" w:hAnsi="Arial" w:cs="Arial"/>
          <w:sz w:val="24"/>
          <w:szCs w:val="24"/>
        </w:rPr>
        <w:t>A</w:t>
      </w:r>
      <w:r>
        <w:rPr>
          <w:rFonts w:ascii="Arial" w:hAnsi="Arial" w:cs="Arial"/>
          <w:sz w:val="24"/>
          <w:szCs w:val="24"/>
        </w:rPr>
        <w:t xml:space="preserve">ct.  In the absence of such evidence and the </w:t>
      </w:r>
      <w:r w:rsidR="00524772">
        <w:rPr>
          <w:rFonts w:ascii="Arial" w:hAnsi="Arial" w:cs="Arial"/>
          <w:sz w:val="24"/>
          <w:szCs w:val="24"/>
        </w:rPr>
        <w:t xml:space="preserve">respondents </w:t>
      </w:r>
      <w:r>
        <w:rPr>
          <w:rFonts w:ascii="Arial" w:hAnsi="Arial" w:cs="Arial"/>
          <w:sz w:val="24"/>
          <w:szCs w:val="24"/>
        </w:rPr>
        <w:t xml:space="preserve">having failed to provide such evidence, the considerations under the PIE Act </w:t>
      </w:r>
      <w:r w:rsidR="006D7626">
        <w:rPr>
          <w:rFonts w:ascii="Arial" w:hAnsi="Arial" w:cs="Arial"/>
          <w:sz w:val="24"/>
          <w:szCs w:val="24"/>
        </w:rPr>
        <w:t>can</w:t>
      </w:r>
      <w:r>
        <w:rPr>
          <w:rFonts w:ascii="Arial" w:hAnsi="Arial" w:cs="Arial"/>
          <w:sz w:val="24"/>
          <w:szCs w:val="24"/>
        </w:rPr>
        <w:t>not arise.  I must emphasize that the onus to provide pro</w:t>
      </w:r>
      <w:r w:rsidR="007C4382">
        <w:rPr>
          <w:rFonts w:ascii="Arial" w:hAnsi="Arial" w:cs="Arial"/>
          <w:sz w:val="24"/>
          <w:szCs w:val="24"/>
        </w:rPr>
        <w:t>of</w:t>
      </w:r>
      <w:r>
        <w:rPr>
          <w:rFonts w:ascii="Arial" w:hAnsi="Arial" w:cs="Arial"/>
          <w:sz w:val="24"/>
          <w:szCs w:val="24"/>
        </w:rPr>
        <w:t xml:space="preserve"> that there were ho</w:t>
      </w:r>
      <w:r w:rsidR="006D7626">
        <w:rPr>
          <w:rFonts w:ascii="Arial" w:hAnsi="Arial" w:cs="Arial"/>
          <w:sz w:val="24"/>
          <w:szCs w:val="24"/>
        </w:rPr>
        <w:t>m</w:t>
      </w:r>
      <w:r>
        <w:rPr>
          <w:rFonts w:ascii="Arial" w:hAnsi="Arial" w:cs="Arial"/>
          <w:sz w:val="24"/>
          <w:szCs w:val="24"/>
        </w:rPr>
        <w:t>es or dwellings on the property, not structures still under construction</w:t>
      </w:r>
      <w:r w:rsidR="00524772">
        <w:rPr>
          <w:rFonts w:ascii="Arial" w:hAnsi="Arial" w:cs="Arial"/>
          <w:sz w:val="24"/>
          <w:szCs w:val="24"/>
        </w:rPr>
        <w:t>,</w:t>
      </w:r>
      <w:r>
        <w:rPr>
          <w:rFonts w:ascii="Arial" w:hAnsi="Arial" w:cs="Arial"/>
          <w:sz w:val="24"/>
          <w:szCs w:val="24"/>
        </w:rPr>
        <w:t xml:space="preserve"> rested with the </w:t>
      </w:r>
      <w:r w:rsidR="005F055F">
        <w:rPr>
          <w:rFonts w:ascii="Arial" w:hAnsi="Arial" w:cs="Arial"/>
          <w:sz w:val="24"/>
          <w:szCs w:val="24"/>
        </w:rPr>
        <w:t>respondents</w:t>
      </w:r>
      <w:r>
        <w:rPr>
          <w:rFonts w:ascii="Arial" w:hAnsi="Arial" w:cs="Arial"/>
          <w:sz w:val="24"/>
          <w:szCs w:val="24"/>
        </w:rPr>
        <w:t xml:space="preserve"> themselves.  </w:t>
      </w:r>
      <w:r w:rsidR="005F055F">
        <w:rPr>
          <w:rFonts w:ascii="Arial" w:hAnsi="Arial" w:cs="Arial"/>
          <w:sz w:val="24"/>
          <w:szCs w:val="24"/>
        </w:rPr>
        <w:t>On the contrary, t</w:t>
      </w:r>
      <w:r>
        <w:rPr>
          <w:rFonts w:ascii="Arial" w:hAnsi="Arial" w:cs="Arial"/>
          <w:sz w:val="24"/>
          <w:szCs w:val="24"/>
        </w:rPr>
        <w:t xml:space="preserve">he </w:t>
      </w:r>
      <w:r w:rsidR="00524772">
        <w:rPr>
          <w:rFonts w:ascii="Arial" w:hAnsi="Arial" w:cs="Arial"/>
          <w:sz w:val="24"/>
          <w:szCs w:val="24"/>
        </w:rPr>
        <w:t>applicant</w:t>
      </w:r>
      <w:r>
        <w:rPr>
          <w:rFonts w:ascii="Arial" w:hAnsi="Arial" w:cs="Arial"/>
          <w:sz w:val="24"/>
          <w:szCs w:val="24"/>
        </w:rPr>
        <w:t xml:space="preserve"> provided evidence of the fact that the </w:t>
      </w:r>
      <w:r w:rsidR="006D7626">
        <w:rPr>
          <w:rFonts w:ascii="Arial" w:hAnsi="Arial" w:cs="Arial"/>
          <w:sz w:val="24"/>
          <w:szCs w:val="24"/>
        </w:rPr>
        <w:t>structures</w:t>
      </w:r>
      <w:r>
        <w:rPr>
          <w:rFonts w:ascii="Arial" w:hAnsi="Arial" w:cs="Arial"/>
          <w:sz w:val="24"/>
          <w:szCs w:val="24"/>
        </w:rPr>
        <w:t xml:space="preserve"> that</w:t>
      </w:r>
      <w:r w:rsidR="005F055F">
        <w:rPr>
          <w:rFonts w:ascii="Arial" w:hAnsi="Arial" w:cs="Arial"/>
          <w:sz w:val="24"/>
          <w:szCs w:val="24"/>
        </w:rPr>
        <w:t xml:space="preserve"> were there</w:t>
      </w:r>
      <w:r>
        <w:rPr>
          <w:rFonts w:ascii="Arial" w:hAnsi="Arial" w:cs="Arial"/>
          <w:sz w:val="24"/>
          <w:szCs w:val="24"/>
        </w:rPr>
        <w:t xml:space="preserve"> </w:t>
      </w:r>
      <w:r w:rsidR="0052726F">
        <w:rPr>
          <w:rFonts w:ascii="Arial" w:hAnsi="Arial" w:cs="Arial"/>
          <w:sz w:val="24"/>
          <w:szCs w:val="24"/>
        </w:rPr>
        <w:t xml:space="preserve">were </w:t>
      </w:r>
      <w:r w:rsidR="007621FB">
        <w:rPr>
          <w:rFonts w:ascii="Arial" w:hAnsi="Arial" w:cs="Arial"/>
          <w:sz w:val="24"/>
          <w:szCs w:val="24"/>
        </w:rPr>
        <w:t xml:space="preserve">still under construction </w:t>
      </w:r>
      <w:r w:rsidR="005F055F">
        <w:rPr>
          <w:rFonts w:ascii="Arial" w:hAnsi="Arial" w:cs="Arial"/>
          <w:sz w:val="24"/>
          <w:szCs w:val="24"/>
        </w:rPr>
        <w:t xml:space="preserve">and </w:t>
      </w:r>
      <w:r w:rsidR="007621FB">
        <w:rPr>
          <w:rFonts w:ascii="Arial" w:hAnsi="Arial" w:cs="Arial"/>
          <w:sz w:val="24"/>
          <w:szCs w:val="24"/>
        </w:rPr>
        <w:t xml:space="preserve">the </w:t>
      </w:r>
      <w:r w:rsidR="005F055F">
        <w:rPr>
          <w:rFonts w:ascii="Arial" w:hAnsi="Arial" w:cs="Arial"/>
          <w:sz w:val="24"/>
          <w:szCs w:val="24"/>
        </w:rPr>
        <w:t>respondents</w:t>
      </w:r>
      <w:r w:rsidR="007621FB">
        <w:rPr>
          <w:rFonts w:ascii="Arial" w:hAnsi="Arial" w:cs="Arial"/>
          <w:sz w:val="24"/>
          <w:szCs w:val="24"/>
        </w:rPr>
        <w:t xml:space="preserve"> did not reside on the property and </w:t>
      </w:r>
      <w:r w:rsidR="001C6502">
        <w:rPr>
          <w:rFonts w:ascii="Arial" w:hAnsi="Arial" w:cs="Arial"/>
          <w:sz w:val="24"/>
          <w:szCs w:val="24"/>
        </w:rPr>
        <w:t xml:space="preserve">most importantly </w:t>
      </w:r>
      <w:r w:rsidR="007621FB">
        <w:rPr>
          <w:rFonts w:ascii="Arial" w:hAnsi="Arial" w:cs="Arial"/>
          <w:sz w:val="24"/>
          <w:szCs w:val="24"/>
        </w:rPr>
        <w:t xml:space="preserve">there were no structures of any form </w:t>
      </w:r>
      <w:r w:rsidR="007C4382">
        <w:rPr>
          <w:rFonts w:ascii="Arial" w:hAnsi="Arial" w:cs="Arial"/>
          <w:sz w:val="24"/>
          <w:szCs w:val="24"/>
        </w:rPr>
        <w:t xml:space="preserve">which </w:t>
      </w:r>
      <w:r w:rsidR="00524772">
        <w:rPr>
          <w:rFonts w:ascii="Arial" w:hAnsi="Arial" w:cs="Arial"/>
          <w:sz w:val="24"/>
          <w:szCs w:val="24"/>
        </w:rPr>
        <w:t>could be their homes</w:t>
      </w:r>
      <w:r w:rsidR="007621FB">
        <w:rPr>
          <w:rFonts w:ascii="Arial" w:hAnsi="Arial" w:cs="Arial"/>
          <w:sz w:val="24"/>
          <w:szCs w:val="24"/>
        </w:rPr>
        <w:t>.</w:t>
      </w:r>
    </w:p>
    <w:p w:rsidR="007621FB" w:rsidRDefault="007621FB" w:rsidP="00C94FD2">
      <w:pPr>
        <w:spacing w:line="480" w:lineRule="auto"/>
        <w:jc w:val="both"/>
        <w:rPr>
          <w:rFonts w:ascii="Arial" w:hAnsi="Arial" w:cs="Arial"/>
          <w:sz w:val="24"/>
          <w:szCs w:val="24"/>
        </w:rPr>
      </w:pPr>
      <w:r>
        <w:rPr>
          <w:rFonts w:ascii="Arial" w:hAnsi="Arial" w:cs="Arial"/>
          <w:sz w:val="24"/>
          <w:szCs w:val="24"/>
        </w:rPr>
        <w:t>[</w:t>
      </w:r>
      <w:r w:rsidR="00997AFB">
        <w:rPr>
          <w:rFonts w:ascii="Arial" w:hAnsi="Arial" w:cs="Arial"/>
          <w:sz w:val="24"/>
          <w:szCs w:val="24"/>
        </w:rPr>
        <w:t>1</w:t>
      </w:r>
      <w:r w:rsidR="00681E6E">
        <w:rPr>
          <w:rFonts w:ascii="Arial" w:hAnsi="Arial" w:cs="Arial"/>
          <w:sz w:val="24"/>
          <w:szCs w:val="24"/>
        </w:rPr>
        <w:t>0</w:t>
      </w:r>
      <w:r>
        <w:rPr>
          <w:rFonts w:ascii="Arial" w:hAnsi="Arial" w:cs="Arial"/>
          <w:sz w:val="24"/>
          <w:szCs w:val="24"/>
        </w:rPr>
        <w:t xml:space="preserve">] For the reasons stated in the </w:t>
      </w:r>
      <w:r w:rsidRPr="007C4382">
        <w:rPr>
          <w:rFonts w:ascii="Arial" w:hAnsi="Arial" w:cs="Arial"/>
          <w:i/>
          <w:sz w:val="24"/>
          <w:szCs w:val="24"/>
        </w:rPr>
        <w:t>ex</w:t>
      </w:r>
      <w:r w:rsidR="007C4382" w:rsidRPr="007C4382">
        <w:rPr>
          <w:rFonts w:ascii="Arial" w:hAnsi="Arial" w:cs="Arial"/>
          <w:i/>
          <w:sz w:val="24"/>
          <w:szCs w:val="24"/>
        </w:rPr>
        <w:t>-</w:t>
      </w:r>
      <w:r w:rsidRPr="007C4382">
        <w:rPr>
          <w:rFonts w:ascii="Arial" w:hAnsi="Arial" w:cs="Arial"/>
          <w:i/>
          <w:sz w:val="24"/>
          <w:szCs w:val="24"/>
        </w:rPr>
        <w:t>tempore</w:t>
      </w:r>
      <w:r>
        <w:rPr>
          <w:rFonts w:ascii="Arial" w:hAnsi="Arial" w:cs="Arial"/>
          <w:sz w:val="24"/>
          <w:szCs w:val="24"/>
        </w:rPr>
        <w:t xml:space="preserve"> judgment and the legal position as </w:t>
      </w:r>
      <w:r w:rsidR="006D7626">
        <w:rPr>
          <w:rFonts w:ascii="Arial" w:hAnsi="Arial" w:cs="Arial"/>
          <w:sz w:val="24"/>
          <w:szCs w:val="24"/>
        </w:rPr>
        <w:t>further explained</w:t>
      </w:r>
      <w:r>
        <w:rPr>
          <w:rFonts w:ascii="Arial" w:hAnsi="Arial" w:cs="Arial"/>
          <w:sz w:val="24"/>
          <w:szCs w:val="24"/>
        </w:rPr>
        <w:t xml:space="preserve"> above I am not of the opinion that the appeal would have a reasonable prospect of success.  There is also no other compelling reason why the appeal should be heard.  Therefore the application for leave to appeal </w:t>
      </w:r>
      <w:r w:rsidR="006D7626">
        <w:rPr>
          <w:rFonts w:ascii="Arial" w:hAnsi="Arial" w:cs="Arial"/>
          <w:sz w:val="24"/>
          <w:szCs w:val="24"/>
        </w:rPr>
        <w:t>stands to be dismissed</w:t>
      </w:r>
      <w:r w:rsidR="00BF3C42">
        <w:rPr>
          <w:rFonts w:ascii="Arial" w:hAnsi="Arial" w:cs="Arial"/>
          <w:sz w:val="24"/>
          <w:szCs w:val="24"/>
        </w:rPr>
        <w:t>.</w:t>
      </w:r>
    </w:p>
    <w:p w:rsidR="00BF3C42" w:rsidRDefault="00BF3C42" w:rsidP="00C94FD2">
      <w:pPr>
        <w:spacing w:line="480" w:lineRule="auto"/>
        <w:jc w:val="both"/>
        <w:rPr>
          <w:rFonts w:ascii="Arial" w:hAnsi="Arial" w:cs="Arial"/>
          <w:sz w:val="24"/>
          <w:szCs w:val="24"/>
        </w:rPr>
      </w:pPr>
      <w:r>
        <w:rPr>
          <w:rFonts w:ascii="Arial" w:hAnsi="Arial" w:cs="Arial"/>
          <w:sz w:val="24"/>
          <w:szCs w:val="24"/>
        </w:rPr>
        <w:lastRenderedPageBreak/>
        <w:t>[1</w:t>
      </w:r>
      <w:r w:rsidR="00681E6E">
        <w:rPr>
          <w:rFonts w:ascii="Arial" w:hAnsi="Arial" w:cs="Arial"/>
          <w:sz w:val="24"/>
          <w:szCs w:val="24"/>
        </w:rPr>
        <w:t>1</w:t>
      </w:r>
      <w:r>
        <w:rPr>
          <w:rFonts w:ascii="Arial" w:hAnsi="Arial" w:cs="Arial"/>
          <w:sz w:val="24"/>
          <w:szCs w:val="24"/>
        </w:rPr>
        <w:t>] In the result, the following order shall issue:</w:t>
      </w:r>
    </w:p>
    <w:p w:rsidR="00BF3C42" w:rsidRDefault="00BF3C42" w:rsidP="00C94FD2">
      <w:pPr>
        <w:spacing w:line="480" w:lineRule="auto"/>
        <w:jc w:val="both"/>
        <w:rPr>
          <w:rFonts w:ascii="Arial" w:hAnsi="Arial" w:cs="Arial"/>
          <w:sz w:val="24"/>
          <w:szCs w:val="24"/>
        </w:rPr>
      </w:pPr>
      <w:r>
        <w:rPr>
          <w:rFonts w:ascii="Arial" w:hAnsi="Arial" w:cs="Arial"/>
          <w:sz w:val="24"/>
          <w:szCs w:val="24"/>
        </w:rPr>
        <w:t>1. The application for leave to appeal is dismissed with costs.</w:t>
      </w:r>
    </w:p>
    <w:p w:rsidR="00681E6E" w:rsidRDefault="00681E6E" w:rsidP="00C94FD2">
      <w:pPr>
        <w:spacing w:line="480" w:lineRule="auto"/>
        <w:jc w:val="both"/>
        <w:rPr>
          <w:rFonts w:ascii="Arial" w:hAnsi="Arial" w:cs="Arial"/>
          <w:b/>
          <w:sz w:val="24"/>
          <w:szCs w:val="24"/>
        </w:rPr>
      </w:pPr>
    </w:p>
    <w:p w:rsidR="00BF3C42" w:rsidRDefault="00BF3C42" w:rsidP="00C94FD2">
      <w:pPr>
        <w:spacing w:line="480" w:lineRule="auto"/>
        <w:jc w:val="both"/>
        <w:rPr>
          <w:rFonts w:ascii="Arial" w:hAnsi="Arial" w:cs="Arial"/>
          <w:b/>
          <w:sz w:val="24"/>
          <w:szCs w:val="24"/>
        </w:rPr>
      </w:pPr>
      <w:r>
        <w:rPr>
          <w:rFonts w:ascii="Arial" w:hAnsi="Arial" w:cs="Arial"/>
          <w:b/>
          <w:sz w:val="24"/>
          <w:szCs w:val="24"/>
        </w:rPr>
        <w:t>_________________________</w:t>
      </w:r>
    </w:p>
    <w:p w:rsidR="00BF3C42" w:rsidRDefault="00BF3C42" w:rsidP="00C94FD2">
      <w:pPr>
        <w:spacing w:line="480" w:lineRule="auto"/>
        <w:jc w:val="both"/>
        <w:rPr>
          <w:rFonts w:ascii="Arial" w:hAnsi="Arial" w:cs="Arial"/>
          <w:b/>
          <w:sz w:val="24"/>
          <w:szCs w:val="24"/>
        </w:rPr>
      </w:pPr>
      <w:r>
        <w:rPr>
          <w:rFonts w:ascii="Arial" w:hAnsi="Arial" w:cs="Arial"/>
          <w:b/>
          <w:sz w:val="24"/>
          <w:szCs w:val="24"/>
        </w:rPr>
        <w:t>M.S. JOLWANA</w:t>
      </w:r>
    </w:p>
    <w:p w:rsidR="00BF3C42" w:rsidRDefault="00BF3C42" w:rsidP="00C94FD2">
      <w:pPr>
        <w:spacing w:line="480" w:lineRule="auto"/>
        <w:jc w:val="both"/>
        <w:rPr>
          <w:rFonts w:ascii="Arial" w:hAnsi="Arial" w:cs="Arial"/>
          <w:b/>
          <w:sz w:val="24"/>
          <w:szCs w:val="24"/>
        </w:rPr>
      </w:pPr>
      <w:r>
        <w:rPr>
          <w:rFonts w:ascii="Arial" w:hAnsi="Arial" w:cs="Arial"/>
          <w:b/>
          <w:sz w:val="24"/>
          <w:szCs w:val="24"/>
        </w:rPr>
        <w:t>JUDGE OF THE HIGH COURT</w:t>
      </w:r>
    </w:p>
    <w:p w:rsidR="00524772" w:rsidRDefault="00524772" w:rsidP="00C94FD2">
      <w:pPr>
        <w:spacing w:line="480" w:lineRule="auto"/>
        <w:jc w:val="both"/>
        <w:rPr>
          <w:rFonts w:ascii="Arial" w:hAnsi="Arial" w:cs="Arial"/>
          <w:sz w:val="24"/>
          <w:szCs w:val="24"/>
        </w:rPr>
      </w:pPr>
      <w:r>
        <w:rPr>
          <w:rFonts w:ascii="Arial" w:hAnsi="Arial" w:cs="Arial"/>
          <w:sz w:val="24"/>
          <w:szCs w:val="24"/>
        </w:rPr>
        <w:t>Appearances</w:t>
      </w:r>
    </w:p>
    <w:p w:rsidR="00D35552" w:rsidRDefault="00D35552" w:rsidP="00C94FD2">
      <w:pPr>
        <w:spacing w:line="480" w:lineRule="auto"/>
        <w:jc w:val="both"/>
        <w:rPr>
          <w:rFonts w:ascii="Arial" w:hAnsi="Arial" w:cs="Arial"/>
          <w:sz w:val="24"/>
          <w:szCs w:val="24"/>
        </w:rPr>
      </w:pPr>
      <w:r>
        <w:rPr>
          <w:rFonts w:ascii="Arial" w:hAnsi="Arial" w:cs="Arial"/>
          <w:sz w:val="24"/>
          <w:szCs w:val="24"/>
        </w:rPr>
        <w:t xml:space="preserve">Counsel for the </w:t>
      </w:r>
      <w:r w:rsidR="00E95BE7">
        <w:rPr>
          <w:rFonts w:ascii="Arial" w:hAnsi="Arial" w:cs="Arial"/>
          <w:sz w:val="24"/>
          <w:szCs w:val="24"/>
        </w:rPr>
        <w:t>applicant</w:t>
      </w:r>
      <w:r>
        <w:rPr>
          <w:rFonts w:ascii="Arial" w:hAnsi="Arial" w:cs="Arial"/>
          <w:sz w:val="24"/>
          <w:szCs w:val="24"/>
        </w:rPr>
        <w:t>: L. Brauns</w:t>
      </w:r>
    </w:p>
    <w:p w:rsidR="00D35552" w:rsidRDefault="00D35552" w:rsidP="00C94FD2">
      <w:pPr>
        <w:spacing w:line="480" w:lineRule="auto"/>
        <w:jc w:val="both"/>
        <w:rPr>
          <w:rFonts w:ascii="Arial" w:hAnsi="Arial" w:cs="Arial"/>
          <w:sz w:val="24"/>
          <w:szCs w:val="24"/>
        </w:rPr>
      </w:pPr>
      <w:r>
        <w:rPr>
          <w:rFonts w:ascii="Arial" w:hAnsi="Arial" w:cs="Arial"/>
          <w:sz w:val="24"/>
          <w:szCs w:val="24"/>
        </w:rPr>
        <w:t>Instructed by: STATE ATTORNEY</w:t>
      </w:r>
    </w:p>
    <w:p w:rsidR="00D35552" w:rsidRDefault="00D35552" w:rsidP="00C94FD2">
      <w:pPr>
        <w:spacing w:line="480" w:lineRule="auto"/>
        <w:jc w:val="both"/>
        <w:rPr>
          <w:rFonts w:ascii="Arial" w:hAnsi="Arial" w:cs="Arial"/>
          <w:sz w:val="24"/>
          <w:szCs w:val="24"/>
        </w:rPr>
      </w:pPr>
      <w:r>
        <w:rPr>
          <w:rFonts w:ascii="Arial" w:hAnsi="Arial" w:cs="Arial"/>
          <w:sz w:val="24"/>
          <w:szCs w:val="24"/>
        </w:rPr>
        <w:t>EAST LONDON</w:t>
      </w:r>
    </w:p>
    <w:p w:rsidR="00D35552" w:rsidRDefault="00D35552" w:rsidP="00C94FD2">
      <w:pPr>
        <w:spacing w:line="480" w:lineRule="auto"/>
        <w:jc w:val="both"/>
        <w:rPr>
          <w:rFonts w:ascii="Arial" w:hAnsi="Arial" w:cs="Arial"/>
          <w:sz w:val="24"/>
          <w:szCs w:val="24"/>
        </w:rPr>
      </w:pPr>
      <w:r>
        <w:rPr>
          <w:rFonts w:ascii="Arial" w:hAnsi="Arial" w:cs="Arial"/>
          <w:sz w:val="24"/>
          <w:szCs w:val="24"/>
        </w:rPr>
        <w:t>c/o SHARED LEGAL SERVICES</w:t>
      </w:r>
    </w:p>
    <w:p w:rsidR="00D35552" w:rsidRDefault="00D35552" w:rsidP="00C94FD2">
      <w:pPr>
        <w:spacing w:line="480" w:lineRule="auto"/>
        <w:jc w:val="both"/>
        <w:rPr>
          <w:rFonts w:ascii="Arial" w:hAnsi="Arial" w:cs="Arial"/>
          <w:sz w:val="24"/>
          <w:szCs w:val="24"/>
        </w:rPr>
      </w:pPr>
      <w:r>
        <w:rPr>
          <w:rFonts w:ascii="Arial" w:hAnsi="Arial" w:cs="Arial"/>
          <w:sz w:val="24"/>
          <w:szCs w:val="24"/>
        </w:rPr>
        <w:t>KING WILLIAMS TOWN</w:t>
      </w:r>
    </w:p>
    <w:p w:rsidR="00E95BE7" w:rsidRDefault="00E95BE7" w:rsidP="00E95BE7">
      <w:pPr>
        <w:spacing w:line="480" w:lineRule="auto"/>
        <w:jc w:val="both"/>
        <w:rPr>
          <w:rFonts w:ascii="Arial" w:hAnsi="Arial" w:cs="Arial"/>
          <w:sz w:val="24"/>
          <w:szCs w:val="24"/>
        </w:rPr>
      </w:pPr>
      <w:r>
        <w:rPr>
          <w:rFonts w:ascii="Arial" w:hAnsi="Arial" w:cs="Arial"/>
          <w:sz w:val="24"/>
          <w:szCs w:val="24"/>
        </w:rPr>
        <w:t>Counsel for the respondent</w:t>
      </w:r>
      <w:r w:rsidR="00B86FE4">
        <w:rPr>
          <w:rFonts w:ascii="Arial" w:hAnsi="Arial" w:cs="Arial"/>
          <w:sz w:val="24"/>
          <w:szCs w:val="24"/>
        </w:rPr>
        <w:t>s</w:t>
      </w:r>
      <w:r>
        <w:rPr>
          <w:rFonts w:ascii="Arial" w:hAnsi="Arial" w:cs="Arial"/>
          <w:sz w:val="24"/>
          <w:szCs w:val="24"/>
        </w:rPr>
        <w:t>: Z. Madukuda</w:t>
      </w:r>
    </w:p>
    <w:p w:rsidR="00E95BE7" w:rsidRDefault="00E95BE7" w:rsidP="00E95BE7">
      <w:pPr>
        <w:spacing w:line="480" w:lineRule="auto"/>
        <w:jc w:val="both"/>
        <w:rPr>
          <w:rFonts w:ascii="Arial" w:hAnsi="Arial" w:cs="Arial"/>
          <w:sz w:val="24"/>
          <w:szCs w:val="24"/>
        </w:rPr>
      </w:pPr>
      <w:r>
        <w:rPr>
          <w:rFonts w:ascii="Arial" w:hAnsi="Arial" w:cs="Arial"/>
          <w:sz w:val="24"/>
          <w:szCs w:val="24"/>
        </w:rPr>
        <w:t xml:space="preserve">Instructed by: Tshingana &amp; Associates Attorneys </w:t>
      </w:r>
    </w:p>
    <w:p w:rsidR="00E95BE7" w:rsidRDefault="00E95BE7" w:rsidP="00E95BE7">
      <w:pPr>
        <w:spacing w:line="480" w:lineRule="auto"/>
        <w:jc w:val="both"/>
        <w:rPr>
          <w:rFonts w:ascii="Arial" w:hAnsi="Arial" w:cs="Arial"/>
          <w:sz w:val="24"/>
          <w:szCs w:val="24"/>
        </w:rPr>
      </w:pPr>
      <w:r>
        <w:rPr>
          <w:rFonts w:ascii="Arial" w:hAnsi="Arial" w:cs="Arial"/>
          <w:sz w:val="24"/>
          <w:szCs w:val="24"/>
        </w:rPr>
        <w:t>EAST LONDON</w:t>
      </w:r>
    </w:p>
    <w:p w:rsidR="00E95BE7" w:rsidRDefault="00E95BE7" w:rsidP="00E95BE7">
      <w:pPr>
        <w:spacing w:line="480" w:lineRule="auto"/>
        <w:jc w:val="both"/>
        <w:rPr>
          <w:rFonts w:ascii="Arial" w:hAnsi="Arial" w:cs="Arial"/>
          <w:sz w:val="24"/>
          <w:szCs w:val="24"/>
        </w:rPr>
      </w:pPr>
      <w:r>
        <w:rPr>
          <w:rFonts w:ascii="Arial" w:hAnsi="Arial" w:cs="Arial"/>
          <w:sz w:val="24"/>
          <w:szCs w:val="24"/>
        </w:rPr>
        <w:t>Date heard: 14 October 2022</w:t>
      </w:r>
    </w:p>
    <w:p w:rsidR="0032674B" w:rsidRPr="00D160F7" w:rsidRDefault="00E95BE7" w:rsidP="00C94FD2">
      <w:pPr>
        <w:spacing w:line="480" w:lineRule="auto"/>
        <w:jc w:val="both"/>
        <w:rPr>
          <w:rFonts w:ascii="Arial" w:hAnsi="Arial" w:cs="Arial"/>
          <w:sz w:val="24"/>
          <w:szCs w:val="24"/>
        </w:rPr>
      </w:pPr>
      <w:r>
        <w:rPr>
          <w:rFonts w:ascii="Arial" w:hAnsi="Arial" w:cs="Arial"/>
          <w:sz w:val="24"/>
          <w:szCs w:val="24"/>
        </w:rPr>
        <w:t>Date delivered: 14 October 2022</w:t>
      </w:r>
    </w:p>
    <w:sectPr w:rsidR="0032674B" w:rsidRPr="00D160F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580" w:rsidRDefault="00817580" w:rsidP="00CD6E7C">
      <w:pPr>
        <w:spacing w:after="0" w:line="240" w:lineRule="auto"/>
      </w:pPr>
      <w:r>
        <w:separator/>
      </w:r>
    </w:p>
  </w:endnote>
  <w:endnote w:type="continuationSeparator" w:id="0">
    <w:p w:rsidR="00817580" w:rsidRDefault="00817580" w:rsidP="00CD6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292994"/>
      <w:docPartObj>
        <w:docPartGallery w:val="Page Numbers (Bottom of Page)"/>
        <w:docPartUnique/>
      </w:docPartObj>
    </w:sdtPr>
    <w:sdtEndPr>
      <w:rPr>
        <w:noProof/>
      </w:rPr>
    </w:sdtEndPr>
    <w:sdtContent>
      <w:p w:rsidR="00CD6E7C" w:rsidRDefault="00CD6E7C">
        <w:pPr>
          <w:pStyle w:val="Footer"/>
          <w:jc w:val="right"/>
        </w:pPr>
        <w:r>
          <w:fldChar w:fldCharType="begin"/>
        </w:r>
        <w:r>
          <w:instrText xml:space="preserve"> PAGE   \* MERGEFORMAT </w:instrText>
        </w:r>
        <w:r>
          <w:fldChar w:fldCharType="separate"/>
        </w:r>
        <w:r w:rsidR="006F11A4">
          <w:rPr>
            <w:noProof/>
          </w:rPr>
          <w:t>4</w:t>
        </w:r>
        <w:r>
          <w:rPr>
            <w:noProof/>
          </w:rPr>
          <w:fldChar w:fldCharType="end"/>
        </w:r>
      </w:p>
    </w:sdtContent>
  </w:sdt>
  <w:p w:rsidR="00CD6E7C" w:rsidRDefault="00CD6E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580" w:rsidRDefault="00817580" w:rsidP="00CD6E7C">
      <w:pPr>
        <w:spacing w:after="0" w:line="240" w:lineRule="auto"/>
      </w:pPr>
      <w:r>
        <w:separator/>
      </w:r>
    </w:p>
  </w:footnote>
  <w:footnote w:type="continuationSeparator" w:id="0">
    <w:p w:rsidR="00817580" w:rsidRDefault="00817580" w:rsidP="00CD6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F7"/>
    <w:rsid w:val="00032D38"/>
    <w:rsid w:val="0006455F"/>
    <w:rsid w:val="00162742"/>
    <w:rsid w:val="00167376"/>
    <w:rsid w:val="001C6502"/>
    <w:rsid w:val="00222B12"/>
    <w:rsid w:val="00316BCE"/>
    <w:rsid w:val="0032674B"/>
    <w:rsid w:val="00524772"/>
    <w:rsid w:val="0052726F"/>
    <w:rsid w:val="005C178E"/>
    <w:rsid w:val="005F055F"/>
    <w:rsid w:val="00605350"/>
    <w:rsid w:val="0065529A"/>
    <w:rsid w:val="00666A38"/>
    <w:rsid w:val="00681E6E"/>
    <w:rsid w:val="006D7626"/>
    <w:rsid w:val="006E218B"/>
    <w:rsid w:val="006F11A4"/>
    <w:rsid w:val="007621FB"/>
    <w:rsid w:val="007C4382"/>
    <w:rsid w:val="007E4A31"/>
    <w:rsid w:val="00817580"/>
    <w:rsid w:val="00997AFB"/>
    <w:rsid w:val="009E0B1E"/>
    <w:rsid w:val="00B3244D"/>
    <w:rsid w:val="00B86FE4"/>
    <w:rsid w:val="00BF3C42"/>
    <w:rsid w:val="00C70FA0"/>
    <w:rsid w:val="00C94FD2"/>
    <w:rsid w:val="00CD6E7C"/>
    <w:rsid w:val="00D0107A"/>
    <w:rsid w:val="00D160F7"/>
    <w:rsid w:val="00D23F27"/>
    <w:rsid w:val="00D35552"/>
    <w:rsid w:val="00D86EB7"/>
    <w:rsid w:val="00E95BE7"/>
    <w:rsid w:val="00FF1AC5"/>
    <w:rsid w:val="00FF59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18D9D-EA44-42E6-91FB-25E5FAE5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E7C"/>
  </w:style>
  <w:style w:type="paragraph" w:styleId="Footer">
    <w:name w:val="footer"/>
    <w:basedOn w:val="Normal"/>
    <w:link w:val="FooterChar"/>
    <w:uiPriority w:val="99"/>
    <w:unhideWhenUsed/>
    <w:rsid w:val="00CD6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E7C"/>
  </w:style>
  <w:style w:type="paragraph" w:styleId="BalloonText">
    <w:name w:val="Balloon Text"/>
    <w:basedOn w:val="Normal"/>
    <w:link w:val="BalloonTextChar"/>
    <w:uiPriority w:val="99"/>
    <w:semiHidden/>
    <w:unhideWhenUsed/>
    <w:rsid w:val="00CD6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E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Busiswa Lutshete</dc:creator>
  <cp:keywords/>
  <dc:description/>
  <cp:lastModifiedBy>Nomakorinte Ntliziywana</cp:lastModifiedBy>
  <cp:revision>2</cp:revision>
  <cp:lastPrinted>2022-10-14T10:30:00Z</cp:lastPrinted>
  <dcterms:created xsi:type="dcterms:W3CDTF">2022-10-14T14:34:00Z</dcterms:created>
  <dcterms:modified xsi:type="dcterms:W3CDTF">2022-10-14T14:34:00Z</dcterms:modified>
</cp:coreProperties>
</file>