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3DFEF26D"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C06F65">
        <w:rPr>
          <w:b/>
          <w:bCs/>
          <w:lang w:val="en-GB"/>
        </w:rPr>
        <w:t>BHISHO</w:t>
      </w:r>
    </w:p>
    <w:p w14:paraId="260381A7" w14:textId="77777777" w:rsidR="00D450B5" w:rsidRPr="00044B50" w:rsidRDefault="00D450B5" w:rsidP="00772E4B">
      <w:pPr>
        <w:widowControl w:val="0"/>
        <w:jc w:val="both"/>
        <w:rPr>
          <w:spacing w:val="14"/>
          <w:kern w:val="2"/>
          <w:u w:val="single"/>
          <w:lang w:val="en-GB"/>
        </w:rPr>
      </w:pPr>
    </w:p>
    <w:p w14:paraId="101AD6EF" w14:textId="1DBB6087" w:rsidR="008A75F3" w:rsidRPr="006B71C9" w:rsidRDefault="00D450B5" w:rsidP="006B71C9">
      <w:pPr>
        <w:ind w:right="-52"/>
        <w:jc w:val="center"/>
        <w:rPr>
          <w:b/>
          <w:bCs/>
          <w:lang w:val="en-GB"/>
        </w:rPr>
      </w:pPr>
      <w:r w:rsidRPr="00044B50">
        <w:rPr>
          <w:lang w:val="en-GB"/>
        </w:rPr>
        <w:t xml:space="preserve">                                                                                           </w:t>
      </w:r>
      <w:r w:rsidRPr="00044B50">
        <w:rPr>
          <w:b/>
          <w:bCs/>
          <w:lang w:val="en-GB"/>
        </w:rPr>
        <w:t xml:space="preserve">NOT REPORTABLE     </w:t>
      </w:r>
      <w:r w:rsidR="006B71C9">
        <w:rPr>
          <w:b/>
          <w:bCs/>
          <w:lang w:val="en-GB"/>
        </w:rPr>
        <w:t xml:space="preserve"> </w:t>
      </w:r>
      <w:r w:rsidR="00E44987" w:rsidRPr="00044B50">
        <w:rPr>
          <w:lang w:val="en-GB"/>
        </w:rPr>
        <w:t xml:space="preserve">                                                  </w:t>
      </w:r>
    </w:p>
    <w:p w14:paraId="4934DB4B" w14:textId="7743FAD5" w:rsidR="00E44987" w:rsidRPr="006B71C9" w:rsidRDefault="00E44987" w:rsidP="008A75F3">
      <w:pPr>
        <w:ind w:left="5760" w:firstLine="720"/>
        <w:rPr>
          <w:b/>
          <w:lang w:val="en-GB"/>
        </w:rPr>
      </w:pPr>
      <w:r w:rsidRPr="006B71C9">
        <w:rPr>
          <w:b/>
          <w:lang w:val="en-GB"/>
        </w:rPr>
        <w:t xml:space="preserve">Case no: </w:t>
      </w:r>
      <w:r w:rsidR="006B71C9" w:rsidRPr="006B71C9">
        <w:rPr>
          <w:b/>
          <w:lang w:val="en-GB"/>
        </w:rPr>
        <w:t>452/2020</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5F965745" w:rsidR="00D450B5" w:rsidRPr="009E0257" w:rsidRDefault="009E0257" w:rsidP="009E0257">
      <w:pPr>
        <w:tabs>
          <w:tab w:val="left" w:pos="7797"/>
          <w:tab w:val="right" w:pos="8931"/>
        </w:tabs>
        <w:suppressAutoHyphens/>
        <w:ind w:right="-52"/>
        <w:jc w:val="both"/>
        <w:rPr>
          <w:b/>
          <w:lang w:val="en-GB"/>
        </w:rPr>
      </w:pPr>
      <w:r w:rsidRPr="009E0257">
        <w:rPr>
          <w:b/>
          <w:lang w:val="en-GB"/>
        </w:rPr>
        <w:t>MWELO NONKONYANA</w:t>
      </w:r>
      <w:r>
        <w:rPr>
          <w:b/>
          <w:lang w:val="en-GB"/>
        </w:rPr>
        <w:tab/>
      </w:r>
      <w:r w:rsidRPr="009E0257">
        <w:rPr>
          <w:b/>
          <w:lang w:val="en-GB"/>
        </w:rPr>
        <w:t xml:space="preserve"> Applicant</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50C28C12" w14:textId="77777777" w:rsidR="009E0257" w:rsidRDefault="009E0257" w:rsidP="009E0257">
      <w:pPr>
        <w:tabs>
          <w:tab w:val="left" w:pos="7230"/>
        </w:tabs>
        <w:jc w:val="both"/>
        <w:rPr>
          <w:b/>
          <w:lang w:val="en-GB"/>
        </w:rPr>
      </w:pPr>
      <w:r w:rsidRPr="009E0257">
        <w:rPr>
          <w:b/>
          <w:lang w:val="en-GB"/>
        </w:rPr>
        <w:t xml:space="preserve">THE ACTING CHAIRPERSON OF THE HOUSE </w:t>
      </w:r>
      <w:r>
        <w:rPr>
          <w:b/>
          <w:lang w:val="en-GB"/>
        </w:rPr>
        <w:tab/>
      </w:r>
      <w:r w:rsidRPr="009E0257">
        <w:rPr>
          <w:b/>
          <w:lang w:val="en-GB"/>
        </w:rPr>
        <w:t>1</w:t>
      </w:r>
      <w:r w:rsidRPr="009E0257">
        <w:rPr>
          <w:b/>
          <w:vertAlign w:val="superscript"/>
          <w:lang w:val="en-GB"/>
        </w:rPr>
        <w:t>st</w:t>
      </w:r>
      <w:r w:rsidRPr="009E0257">
        <w:rPr>
          <w:b/>
          <w:lang w:val="en-GB"/>
        </w:rPr>
        <w:t xml:space="preserve"> Respondent</w:t>
      </w:r>
    </w:p>
    <w:p w14:paraId="79E780C7" w14:textId="2FC46E19" w:rsidR="009E0257" w:rsidRDefault="009E0257" w:rsidP="009E0257">
      <w:pPr>
        <w:tabs>
          <w:tab w:val="left" w:pos="7088"/>
        </w:tabs>
        <w:jc w:val="both"/>
        <w:rPr>
          <w:b/>
          <w:lang w:val="en-GB"/>
        </w:rPr>
      </w:pPr>
      <w:r>
        <w:rPr>
          <w:b/>
          <w:lang w:val="en-GB"/>
        </w:rPr>
        <w:t>OF TRADITIONAL LEADERS: EASTERN CAPE PROVINCE</w:t>
      </w:r>
    </w:p>
    <w:p w14:paraId="1DC09358" w14:textId="1A3EF241" w:rsidR="009E0257" w:rsidRDefault="009E0257" w:rsidP="009E0257">
      <w:pPr>
        <w:tabs>
          <w:tab w:val="left" w:pos="7088"/>
        </w:tabs>
        <w:jc w:val="both"/>
        <w:rPr>
          <w:b/>
          <w:lang w:val="en-GB"/>
        </w:rPr>
      </w:pPr>
    </w:p>
    <w:p w14:paraId="7BE062E1" w14:textId="2A849DDA" w:rsidR="009E0257" w:rsidRDefault="009E0257" w:rsidP="009E0257">
      <w:pPr>
        <w:tabs>
          <w:tab w:val="left" w:pos="7088"/>
          <w:tab w:val="left" w:pos="8222"/>
        </w:tabs>
        <w:jc w:val="both"/>
        <w:rPr>
          <w:b/>
          <w:lang w:val="en-GB"/>
        </w:rPr>
      </w:pPr>
      <w:r>
        <w:rPr>
          <w:b/>
          <w:lang w:val="en-GB"/>
        </w:rPr>
        <w:t xml:space="preserve">THE MEC FOR CO-OPERATIVE GOVERNANCE </w:t>
      </w:r>
      <w:r>
        <w:rPr>
          <w:b/>
          <w:lang w:val="en-GB"/>
        </w:rPr>
        <w:tab/>
        <w:t>2</w:t>
      </w:r>
      <w:r w:rsidRPr="009E0257">
        <w:rPr>
          <w:b/>
          <w:vertAlign w:val="superscript"/>
          <w:lang w:val="en-GB"/>
        </w:rPr>
        <w:t>nd</w:t>
      </w:r>
      <w:r>
        <w:rPr>
          <w:b/>
          <w:lang w:val="en-GB"/>
        </w:rPr>
        <w:t xml:space="preserve"> Respondent</w:t>
      </w:r>
    </w:p>
    <w:p w14:paraId="4F0E2CE6" w14:textId="05FDE120" w:rsidR="00C246F2" w:rsidRPr="006B71C9" w:rsidRDefault="009E0257" w:rsidP="006B71C9">
      <w:pPr>
        <w:tabs>
          <w:tab w:val="left" w:pos="7088"/>
          <w:tab w:val="left" w:pos="8222"/>
        </w:tabs>
        <w:jc w:val="both"/>
        <w:rPr>
          <w:b/>
          <w:lang w:val="en-GB"/>
        </w:rPr>
      </w:pPr>
      <w:r>
        <w:rPr>
          <w:b/>
          <w:lang w:val="en-GB"/>
        </w:rPr>
        <w:t xml:space="preserve">AND TRADITIONAL </w:t>
      </w:r>
      <w:r w:rsidR="006B71C9">
        <w:rPr>
          <w:b/>
          <w:lang w:val="en-GB"/>
        </w:rPr>
        <w:t>AFFAIRS: EASTERN CAPE PROVINCE</w:t>
      </w:r>
      <w:r w:rsidR="00C246F2" w:rsidRPr="009E0257">
        <w:rPr>
          <w:b/>
          <w:lang w:val="en-GB"/>
        </w:rPr>
        <w:tab/>
      </w:r>
      <w:r w:rsidR="00C246F2" w:rsidRPr="009E0257">
        <w:rPr>
          <w:b/>
          <w:lang w:val="en-GB"/>
        </w:rPr>
        <w:tab/>
      </w:r>
      <w:r w:rsidR="00C246F2" w:rsidRPr="009E0257">
        <w:rPr>
          <w:b/>
          <w:lang w:val="en-GB"/>
        </w:rPr>
        <w:tab/>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252B9145" w:rsidR="00D450B5" w:rsidRPr="00044B50" w:rsidRDefault="00DD798E" w:rsidP="00772E4B">
      <w:pPr>
        <w:jc w:val="center"/>
        <w:rPr>
          <w:b/>
          <w:bCs/>
          <w:lang w:val="en-GB"/>
        </w:rPr>
      </w:pPr>
      <w:r w:rsidRPr="00DD798E">
        <w:rPr>
          <w:b/>
          <w:bCs/>
          <w:i/>
          <w:lang w:val="en-GB"/>
        </w:rPr>
        <w:t>EX-TEMPORE</w:t>
      </w:r>
      <w:r>
        <w:rPr>
          <w:b/>
          <w:bCs/>
          <w:lang w:val="en-GB"/>
        </w:rPr>
        <w:t xml:space="preserve"> </w:t>
      </w:r>
      <w:r w:rsidR="00D450B5"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proofErr w:type="spellStart"/>
      <w:r w:rsidRPr="00044B50">
        <w:rPr>
          <w:b/>
          <w:bCs/>
          <w:lang w:val="en-GB"/>
        </w:rPr>
        <w:t>Govindjee</w:t>
      </w:r>
      <w:proofErr w:type="spellEnd"/>
      <w:r w:rsidR="00D450B5" w:rsidRPr="00044B50">
        <w:rPr>
          <w:b/>
          <w:bCs/>
          <w:lang w:val="en-GB"/>
        </w:rPr>
        <w:t xml:space="preserve"> J</w:t>
      </w:r>
    </w:p>
    <w:p w14:paraId="34F7781B" w14:textId="2DA0A793" w:rsidR="00D468AF" w:rsidRPr="00044B50" w:rsidRDefault="00EB44AF" w:rsidP="00682CE5">
      <w:pPr>
        <w:autoSpaceDE w:val="0"/>
        <w:autoSpaceDN w:val="0"/>
        <w:adjustRightInd w:val="0"/>
        <w:jc w:val="both"/>
        <w:rPr>
          <w:lang w:val="en-GB"/>
        </w:rPr>
      </w:pPr>
      <w:r>
        <w:rPr>
          <w:lang w:val="en-GB"/>
        </w:rPr>
        <w:t xml:space="preserve"> </w:t>
      </w:r>
    </w:p>
    <w:p w14:paraId="351AC391" w14:textId="22B48620" w:rsidR="00902C55" w:rsidRPr="00EB44AF" w:rsidRDefault="00EB44AF" w:rsidP="00EB44AF">
      <w:pPr>
        <w:autoSpaceDE w:val="0"/>
        <w:autoSpaceDN w:val="0"/>
        <w:adjustRightInd w:val="0"/>
        <w:jc w:val="both"/>
        <w:rPr>
          <w:lang w:val="en-GB"/>
        </w:rPr>
      </w:pPr>
      <w:r>
        <w:rPr>
          <w:lang w:val="en-GB"/>
        </w:rPr>
        <w:t>[1]</w:t>
      </w:r>
      <w:r>
        <w:rPr>
          <w:lang w:val="en-GB"/>
        </w:rPr>
        <w:tab/>
      </w:r>
      <w:r w:rsidR="00CF16F9" w:rsidRPr="00EB44AF">
        <w:rPr>
          <w:lang w:val="en-GB"/>
        </w:rPr>
        <w:t>On 10 August 2020, the first and second respondents (‘the MEC’ and ‘the Acting Chairperson’), together with the Premier of the province</w:t>
      </w:r>
      <w:r w:rsidR="009431C9" w:rsidRPr="00EB44AF">
        <w:rPr>
          <w:lang w:val="en-GB"/>
        </w:rPr>
        <w:t>,</w:t>
      </w:r>
      <w:r w:rsidR="00CF16F9" w:rsidRPr="00EB44AF">
        <w:rPr>
          <w:lang w:val="en-GB"/>
        </w:rPr>
        <w:t xml:space="preserve"> were interdicted and restrained from presiding over proceedings to elect a new chairperson of the Eastern </w:t>
      </w:r>
      <w:r w:rsidR="00CF16F9" w:rsidRPr="00EB44AF">
        <w:rPr>
          <w:lang w:val="en-GB"/>
        </w:rPr>
        <w:lastRenderedPageBreak/>
        <w:t xml:space="preserve">Cape </w:t>
      </w:r>
      <w:r w:rsidR="00F8410F" w:rsidRPr="00EB44AF">
        <w:rPr>
          <w:lang w:val="en-GB"/>
        </w:rPr>
        <w:t xml:space="preserve">Provincial </w:t>
      </w:r>
      <w:r w:rsidR="00CF16F9" w:rsidRPr="00EB44AF">
        <w:rPr>
          <w:lang w:val="en-GB"/>
        </w:rPr>
        <w:t>House of Traditional Leaders</w:t>
      </w:r>
      <w:r w:rsidR="00405149" w:rsidRPr="00EB44AF">
        <w:rPr>
          <w:lang w:val="en-GB"/>
        </w:rPr>
        <w:t xml:space="preserve"> (‘the House’)</w:t>
      </w:r>
      <w:r w:rsidR="00464741" w:rsidRPr="00EB44AF">
        <w:rPr>
          <w:lang w:val="en-GB"/>
        </w:rPr>
        <w:t>, pending the finalisation of a separate application for review.</w:t>
      </w:r>
      <w:r w:rsidR="00405149">
        <w:rPr>
          <w:rStyle w:val="FootnoteReference"/>
          <w:lang w:val="en-GB"/>
        </w:rPr>
        <w:footnoteReference w:id="1"/>
      </w:r>
      <w:r w:rsidR="00744F4D" w:rsidRPr="00EB44AF">
        <w:rPr>
          <w:lang w:val="en-GB"/>
        </w:rPr>
        <w:t xml:space="preserve"> </w:t>
      </w:r>
    </w:p>
    <w:p w14:paraId="1F82D3E4" w14:textId="77777777" w:rsidR="00744F4D" w:rsidRDefault="00744F4D" w:rsidP="00744F4D">
      <w:pPr>
        <w:pStyle w:val="ListParagraph"/>
        <w:autoSpaceDE w:val="0"/>
        <w:autoSpaceDN w:val="0"/>
        <w:adjustRightInd w:val="0"/>
        <w:ind w:left="0"/>
        <w:jc w:val="both"/>
        <w:rPr>
          <w:lang w:val="en-GB"/>
        </w:rPr>
      </w:pPr>
    </w:p>
    <w:p w14:paraId="23B15D2A" w14:textId="10B3B5AD" w:rsidR="00744F4D" w:rsidRPr="00EB44AF" w:rsidRDefault="00EB44AF" w:rsidP="00EB44AF">
      <w:pPr>
        <w:autoSpaceDE w:val="0"/>
        <w:autoSpaceDN w:val="0"/>
        <w:adjustRightInd w:val="0"/>
        <w:jc w:val="both"/>
        <w:rPr>
          <w:lang w:val="en-GB"/>
        </w:rPr>
      </w:pPr>
      <w:r>
        <w:rPr>
          <w:lang w:val="en-GB"/>
        </w:rPr>
        <w:t>[2]</w:t>
      </w:r>
      <w:r>
        <w:rPr>
          <w:lang w:val="en-GB"/>
        </w:rPr>
        <w:tab/>
      </w:r>
      <w:r w:rsidR="00744F4D" w:rsidRPr="00EB44AF">
        <w:rPr>
          <w:lang w:val="en-GB"/>
        </w:rPr>
        <w:t xml:space="preserve">The MEC, acting as Premier at the time, </w:t>
      </w:r>
      <w:r w:rsidR="00324E36" w:rsidRPr="00EB44AF">
        <w:rPr>
          <w:lang w:val="en-GB"/>
        </w:rPr>
        <w:t xml:space="preserve">and the Acting Chairperson </w:t>
      </w:r>
      <w:r w:rsidR="006E7EF4" w:rsidRPr="00EB44AF">
        <w:rPr>
          <w:lang w:val="en-GB"/>
        </w:rPr>
        <w:t xml:space="preserve">complied with the order until 9 June 2022. </w:t>
      </w:r>
      <w:r w:rsidR="00D43871" w:rsidRPr="00EB44AF">
        <w:rPr>
          <w:lang w:val="en-GB"/>
        </w:rPr>
        <w:t>On that day they were</w:t>
      </w:r>
      <w:r w:rsidR="00744F4D" w:rsidRPr="00EB44AF">
        <w:rPr>
          <w:lang w:val="en-GB"/>
        </w:rPr>
        <w:t xml:space="preserve"> </w:t>
      </w:r>
      <w:r w:rsidR="00324E36" w:rsidRPr="00EB44AF">
        <w:rPr>
          <w:lang w:val="en-GB"/>
        </w:rPr>
        <w:t>party to</w:t>
      </w:r>
      <w:r w:rsidR="00744F4D" w:rsidRPr="00EB44AF">
        <w:rPr>
          <w:lang w:val="en-GB"/>
        </w:rPr>
        <w:t xml:space="preserve"> proceedings to reconstitute the House.</w:t>
      </w:r>
      <w:r w:rsidR="00FF3264" w:rsidRPr="00EB44AF">
        <w:rPr>
          <w:lang w:val="en-GB"/>
        </w:rPr>
        <w:t xml:space="preserve"> Those proceedings and their outcome form the basis of th</w:t>
      </w:r>
      <w:r w:rsidR="00186F1D" w:rsidRPr="00EB44AF">
        <w:rPr>
          <w:lang w:val="en-GB"/>
        </w:rPr>
        <w:t>is</w:t>
      </w:r>
      <w:r w:rsidR="00FF3264" w:rsidRPr="00EB44AF">
        <w:rPr>
          <w:lang w:val="en-GB"/>
        </w:rPr>
        <w:t xml:space="preserve"> contempt application</w:t>
      </w:r>
      <w:r w:rsidR="006F0DC1" w:rsidRPr="00EB44AF">
        <w:rPr>
          <w:lang w:val="en-GB"/>
        </w:rPr>
        <w:t>.</w:t>
      </w:r>
    </w:p>
    <w:p w14:paraId="1CA2A1D4" w14:textId="77777777" w:rsidR="006F0DC1" w:rsidRPr="006F0DC1" w:rsidRDefault="006F0DC1" w:rsidP="006F0DC1">
      <w:pPr>
        <w:pStyle w:val="ListParagraph"/>
        <w:rPr>
          <w:lang w:val="en-GB"/>
        </w:rPr>
      </w:pPr>
    </w:p>
    <w:p w14:paraId="35230C7B" w14:textId="1D568330" w:rsidR="006F0DC1" w:rsidRPr="00EB44AF" w:rsidRDefault="00EB44AF" w:rsidP="00EB44AF">
      <w:pPr>
        <w:autoSpaceDE w:val="0"/>
        <w:autoSpaceDN w:val="0"/>
        <w:adjustRightInd w:val="0"/>
        <w:jc w:val="both"/>
        <w:rPr>
          <w:lang w:val="en-GB"/>
        </w:rPr>
      </w:pPr>
      <w:r>
        <w:rPr>
          <w:lang w:val="en-GB"/>
        </w:rPr>
        <w:t>[3]</w:t>
      </w:r>
      <w:r>
        <w:rPr>
          <w:lang w:val="en-GB"/>
        </w:rPr>
        <w:tab/>
      </w:r>
      <w:r w:rsidR="006F0DC1" w:rsidRPr="00EB44AF">
        <w:rPr>
          <w:lang w:val="en-GB"/>
        </w:rPr>
        <w:t>The applicant seeks</w:t>
      </w:r>
      <w:r w:rsidR="001F671C" w:rsidRPr="00EB44AF">
        <w:rPr>
          <w:lang w:val="en-GB"/>
        </w:rPr>
        <w:t>, inter alia,</w:t>
      </w:r>
      <w:r w:rsidR="006F0DC1" w:rsidRPr="00EB44AF">
        <w:rPr>
          <w:lang w:val="en-GB"/>
        </w:rPr>
        <w:t xml:space="preserve"> the following relief:</w:t>
      </w:r>
    </w:p>
    <w:p w14:paraId="5A9C3164" w14:textId="6E7F38DC" w:rsidR="006F0DC1" w:rsidRPr="00EB44AF" w:rsidRDefault="00EB44AF" w:rsidP="00EB44AF">
      <w:pPr>
        <w:ind w:left="1080" w:hanging="360"/>
        <w:rPr>
          <w:lang w:val="en-GB"/>
        </w:rPr>
      </w:pPr>
      <w:r>
        <w:rPr>
          <w:lang w:val="en-GB"/>
        </w:rPr>
        <w:t>a)</w:t>
      </w:r>
      <w:r>
        <w:rPr>
          <w:lang w:val="en-GB"/>
        </w:rPr>
        <w:tab/>
      </w:r>
      <w:r w:rsidR="006F0DC1" w:rsidRPr="00EB44AF">
        <w:rPr>
          <w:lang w:val="en-GB"/>
        </w:rPr>
        <w:t xml:space="preserve">Declaring that the MEC and Acting Chairperson are in contempt of </w:t>
      </w:r>
      <w:r w:rsidR="00293FFD" w:rsidRPr="00EB44AF">
        <w:rPr>
          <w:lang w:val="en-GB"/>
        </w:rPr>
        <w:t xml:space="preserve">part of </w:t>
      </w:r>
      <w:r w:rsidR="006F0DC1" w:rsidRPr="00EB44AF">
        <w:rPr>
          <w:lang w:val="en-GB"/>
        </w:rPr>
        <w:t xml:space="preserve">the </w:t>
      </w:r>
      <w:r w:rsidR="00293FFD" w:rsidRPr="00EB44AF">
        <w:rPr>
          <w:lang w:val="en-GB"/>
        </w:rPr>
        <w:t xml:space="preserve">court order dated 10 August </w:t>
      </w:r>
      <w:proofErr w:type="gramStart"/>
      <w:r w:rsidR="00293FFD" w:rsidRPr="00EB44AF">
        <w:rPr>
          <w:lang w:val="en-GB"/>
        </w:rPr>
        <w:t>2020;</w:t>
      </w:r>
      <w:proofErr w:type="gramEnd"/>
    </w:p>
    <w:p w14:paraId="72865F75" w14:textId="58163B3C" w:rsidR="00293FFD" w:rsidRPr="00EB44AF" w:rsidRDefault="00EB44AF" w:rsidP="00EB44AF">
      <w:pPr>
        <w:ind w:left="1080" w:hanging="360"/>
        <w:rPr>
          <w:lang w:val="en-GB"/>
        </w:rPr>
      </w:pPr>
      <w:r>
        <w:rPr>
          <w:lang w:val="en-GB"/>
        </w:rPr>
        <w:t>b)</w:t>
      </w:r>
      <w:r>
        <w:rPr>
          <w:lang w:val="en-GB"/>
        </w:rPr>
        <w:tab/>
      </w:r>
      <w:r w:rsidR="00293FFD" w:rsidRPr="00EB44AF">
        <w:rPr>
          <w:lang w:val="en-GB"/>
        </w:rPr>
        <w:t xml:space="preserve">Declaring both the convention of the sitting of the House </w:t>
      </w:r>
      <w:r w:rsidR="00E46F62" w:rsidRPr="00EB44AF">
        <w:rPr>
          <w:lang w:val="en-GB"/>
        </w:rPr>
        <w:t xml:space="preserve">and presiding over the election </w:t>
      </w:r>
      <w:r w:rsidR="00293FFD" w:rsidRPr="00EB44AF">
        <w:rPr>
          <w:lang w:val="en-GB"/>
        </w:rPr>
        <w:t xml:space="preserve">on 9 June 2020 </w:t>
      </w:r>
      <w:r w:rsidR="00E46F62" w:rsidRPr="00EB44AF">
        <w:rPr>
          <w:lang w:val="en-GB"/>
        </w:rPr>
        <w:t xml:space="preserve">to be </w:t>
      </w:r>
      <w:proofErr w:type="gramStart"/>
      <w:r w:rsidR="00E46F62" w:rsidRPr="00EB44AF">
        <w:rPr>
          <w:lang w:val="en-GB"/>
        </w:rPr>
        <w:t>illegal;</w:t>
      </w:r>
      <w:proofErr w:type="gramEnd"/>
    </w:p>
    <w:p w14:paraId="60CADB24" w14:textId="070BC5D0" w:rsidR="00E46F62" w:rsidRPr="00EB44AF" w:rsidRDefault="00EB44AF" w:rsidP="00EB44AF">
      <w:pPr>
        <w:ind w:left="1080" w:hanging="360"/>
        <w:rPr>
          <w:lang w:val="en-GB"/>
        </w:rPr>
      </w:pPr>
      <w:r>
        <w:rPr>
          <w:lang w:val="en-GB"/>
        </w:rPr>
        <w:t>c)</w:t>
      </w:r>
      <w:r>
        <w:rPr>
          <w:lang w:val="en-GB"/>
        </w:rPr>
        <w:tab/>
      </w:r>
      <w:r w:rsidR="00E46F62" w:rsidRPr="00EB44AF">
        <w:rPr>
          <w:lang w:val="en-GB"/>
        </w:rPr>
        <w:t xml:space="preserve">Declaring the election of the third respondent </w:t>
      </w:r>
      <w:r w:rsidR="008B74E1" w:rsidRPr="00EB44AF">
        <w:rPr>
          <w:lang w:val="en-GB"/>
        </w:rPr>
        <w:t>to be illegal and null and void.</w:t>
      </w:r>
    </w:p>
    <w:p w14:paraId="12264870" w14:textId="77777777" w:rsidR="007C6F62" w:rsidRPr="006F0DC1" w:rsidRDefault="007C6F62" w:rsidP="007C6F62">
      <w:pPr>
        <w:pStyle w:val="ListParagraph"/>
        <w:ind w:left="1080"/>
        <w:rPr>
          <w:lang w:val="en-GB"/>
        </w:rPr>
      </w:pPr>
    </w:p>
    <w:p w14:paraId="3F0915F5" w14:textId="6FE61828" w:rsidR="006F0DC1" w:rsidRPr="00EB44AF" w:rsidRDefault="00EB44AF" w:rsidP="00EB44AF">
      <w:pPr>
        <w:autoSpaceDE w:val="0"/>
        <w:autoSpaceDN w:val="0"/>
        <w:adjustRightInd w:val="0"/>
        <w:jc w:val="both"/>
        <w:rPr>
          <w:lang w:val="en-GB"/>
        </w:rPr>
      </w:pPr>
      <w:r>
        <w:rPr>
          <w:lang w:val="en-GB"/>
        </w:rPr>
        <w:t>[4]</w:t>
      </w:r>
      <w:r>
        <w:rPr>
          <w:lang w:val="en-GB"/>
        </w:rPr>
        <w:tab/>
      </w:r>
      <w:r w:rsidR="003F5CA1" w:rsidRPr="00EB44AF">
        <w:rPr>
          <w:lang w:val="en-GB"/>
        </w:rPr>
        <w:t xml:space="preserve">In essence, the applicant takes the view that </w:t>
      </w:r>
      <w:r w:rsidR="007B2CFB" w:rsidRPr="00EB44AF">
        <w:rPr>
          <w:lang w:val="en-GB"/>
        </w:rPr>
        <w:t xml:space="preserve">the </w:t>
      </w:r>
      <w:r w:rsidR="00AC7AF1" w:rsidRPr="00EB44AF">
        <w:rPr>
          <w:lang w:val="en-GB"/>
        </w:rPr>
        <w:t xml:space="preserve">Court </w:t>
      </w:r>
      <w:r w:rsidR="007B2CFB" w:rsidRPr="00EB44AF">
        <w:rPr>
          <w:lang w:val="en-GB"/>
        </w:rPr>
        <w:t xml:space="preserve">Order dated 10 August 2020 </w:t>
      </w:r>
      <w:r w:rsidR="00AC7AF1" w:rsidRPr="00EB44AF">
        <w:rPr>
          <w:lang w:val="en-GB"/>
        </w:rPr>
        <w:t xml:space="preserve">(‘the Order’) </w:t>
      </w:r>
      <w:r w:rsidR="007B2CFB" w:rsidRPr="00EB44AF">
        <w:rPr>
          <w:lang w:val="en-GB"/>
        </w:rPr>
        <w:t>ma</w:t>
      </w:r>
      <w:r w:rsidR="00817BB6" w:rsidRPr="00EB44AF">
        <w:rPr>
          <w:lang w:val="en-GB"/>
        </w:rPr>
        <w:t>de it</w:t>
      </w:r>
      <w:r w:rsidR="003F5CA1" w:rsidRPr="00EB44AF">
        <w:rPr>
          <w:lang w:val="en-GB"/>
        </w:rPr>
        <w:t xml:space="preserve"> premature for the House to be convened to elect a chairperson prior to finalisation of the separate review application</w:t>
      </w:r>
      <w:r w:rsidR="00196AA0" w:rsidRPr="00EB44AF">
        <w:rPr>
          <w:lang w:val="en-GB"/>
        </w:rPr>
        <w:t>, and that the applicant’s term of office only expires du</w:t>
      </w:r>
      <w:r w:rsidR="00723AEE" w:rsidRPr="00EB44AF">
        <w:rPr>
          <w:lang w:val="en-GB"/>
        </w:rPr>
        <w:t>r</w:t>
      </w:r>
      <w:r w:rsidR="00196AA0" w:rsidRPr="00EB44AF">
        <w:rPr>
          <w:lang w:val="en-GB"/>
        </w:rPr>
        <w:t>ing September 2022.</w:t>
      </w:r>
      <w:r w:rsidR="00A52F9F" w:rsidRPr="00EB44AF">
        <w:rPr>
          <w:lang w:val="en-GB"/>
        </w:rPr>
        <w:t xml:space="preserve"> He avers that the MEC and Acting Chairperson’s conduct was contemptuous and warrants appropriate sanction.</w:t>
      </w:r>
    </w:p>
    <w:p w14:paraId="762B55CC" w14:textId="77777777" w:rsidR="003E6729" w:rsidRDefault="003E6729" w:rsidP="003E6729">
      <w:pPr>
        <w:pStyle w:val="ListParagraph"/>
        <w:autoSpaceDE w:val="0"/>
        <w:autoSpaceDN w:val="0"/>
        <w:adjustRightInd w:val="0"/>
        <w:ind w:left="0"/>
        <w:jc w:val="both"/>
        <w:rPr>
          <w:lang w:val="en-GB"/>
        </w:rPr>
      </w:pPr>
    </w:p>
    <w:p w14:paraId="60B52A8A" w14:textId="6AD6A6BC" w:rsidR="003E6729" w:rsidRPr="00EB44AF" w:rsidRDefault="00EB44AF" w:rsidP="00EB44AF">
      <w:pPr>
        <w:autoSpaceDE w:val="0"/>
        <w:autoSpaceDN w:val="0"/>
        <w:adjustRightInd w:val="0"/>
        <w:jc w:val="both"/>
        <w:rPr>
          <w:lang w:val="en-GB"/>
        </w:rPr>
      </w:pPr>
      <w:r>
        <w:rPr>
          <w:lang w:val="en-GB"/>
        </w:rPr>
        <w:t>[5]</w:t>
      </w:r>
      <w:r>
        <w:rPr>
          <w:lang w:val="en-GB"/>
        </w:rPr>
        <w:tab/>
      </w:r>
      <w:r w:rsidR="003E6729" w:rsidRPr="00EB44AF">
        <w:rPr>
          <w:lang w:val="en-GB"/>
        </w:rPr>
        <w:t>The MEC says that he was Acting Premier of the province at the time the House was reconstituted, having been appointed to that position.</w:t>
      </w:r>
      <w:r w:rsidR="00AC7AF1" w:rsidRPr="00EB44AF">
        <w:rPr>
          <w:lang w:val="en-GB"/>
        </w:rPr>
        <w:t xml:space="preserve"> He argues that the Order, properly </w:t>
      </w:r>
      <w:r w:rsidR="00723671" w:rsidRPr="00EB44AF">
        <w:rPr>
          <w:lang w:val="en-GB"/>
        </w:rPr>
        <w:t>interpreted</w:t>
      </w:r>
      <w:r w:rsidR="003A401F" w:rsidRPr="00EB44AF">
        <w:rPr>
          <w:lang w:val="en-GB"/>
        </w:rPr>
        <w:t xml:space="preserve"> in the context of the application before the Court</w:t>
      </w:r>
      <w:r w:rsidR="00723671" w:rsidRPr="00EB44AF">
        <w:rPr>
          <w:lang w:val="en-GB"/>
        </w:rPr>
        <w:t xml:space="preserve">, </w:t>
      </w:r>
      <w:r w:rsidR="00FA76AE" w:rsidRPr="00EB44AF">
        <w:rPr>
          <w:lang w:val="en-GB"/>
        </w:rPr>
        <w:t xml:space="preserve">did not prohibit the election of another chairperson for as long as the separate application </w:t>
      </w:r>
      <w:r w:rsidR="00CA0722" w:rsidRPr="00EB44AF">
        <w:rPr>
          <w:lang w:val="en-GB"/>
        </w:rPr>
        <w:t>was pending.</w:t>
      </w:r>
      <w:r w:rsidR="007437A0" w:rsidRPr="00EB44AF">
        <w:rPr>
          <w:lang w:val="en-GB"/>
        </w:rPr>
        <w:t xml:space="preserve"> Instead: ‘It is that for as long as the term of office of the members with whom the applicant had constituted the House remained extant, they would not elect another chairperson whilst the main application was still pending’.</w:t>
      </w:r>
      <w:r w:rsidR="0035583E" w:rsidRPr="00EB44AF">
        <w:rPr>
          <w:lang w:val="en-GB"/>
        </w:rPr>
        <w:t xml:space="preserve"> The term of the House </w:t>
      </w:r>
      <w:r w:rsidR="0035583E" w:rsidRPr="00EB44AF">
        <w:rPr>
          <w:lang w:val="en-GB"/>
        </w:rPr>
        <w:lastRenderedPageBreak/>
        <w:t>ended from 1 June 2022</w:t>
      </w:r>
      <w:r w:rsidR="00790725" w:rsidRPr="00EB44AF">
        <w:rPr>
          <w:lang w:val="en-GB"/>
        </w:rPr>
        <w:t>, so that the protections for which the interdict had been sought were not required</w:t>
      </w:r>
      <w:r w:rsidR="00EA77F2" w:rsidRPr="00EB44AF">
        <w:rPr>
          <w:lang w:val="en-GB"/>
        </w:rPr>
        <w:t>.</w:t>
      </w:r>
    </w:p>
    <w:p w14:paraId="4772CF0A" w14:textId="77777777" w:rsidR="00EA77F2" w:rsidRPr="00EA77F2" w:rsidRDefault="00EA77F2" w:rsidP="00EA77F2">
      <w:pPr>
        <w:pStyle w:val="ListParagraph"/>
        <w:rPr>
          <w:lang w:val="en-GB"/>
        </w:rPr>
      </w:pPr>
    </w:p>
    <w:p w14:paraId="6EAFAF38" w14:textId="2B9B4B48" w:rsidR="004E2F8E" w:rsidRPr="00EB44AF" w:rsidRDefault="00EB44AF" w:rsidP="00EB44AF">
      <w:pPr>
        <w:autoSpaceDE w:val="0"/>
        <w:autoSpaceDN w:val="0"/>
        <w:adjustRightInd w:val="0"/>
        <w:jc w:val="both"/>
        <w:rPr>
          <w:lang w:val="en-GB"/>
        </w:rPr>
      </w:pPr>
      <w:r w:rsidRPr="005055EB">
        <w:rPr>
          <w:lang w:val="en-GB"/>
        </w:rPr>
        <w:t>[6]</w:t>
      </w:r>
      <w:r w:rsidRPr="005055EB">
        <w:rPr>
          <w:lang w:val="en-GB"/>
        </w:rPr>
        <w:tab/>
      </w:r>
      <w:r w:rsidR="00EA77F2" w:rsidRPr="00EB44AF">
        <w:rPr>
          <w:lang w:val="en-GB"/>
        </w:rPr>
        <w:t xml:space="preserve">In addition, the MEC </w:t>
      </w:r>
      <w:r w:rsidR="00381DE7" w:rsidRPr="00EB44AF">
        <w:rPr>
          <w:lang w:val="en-GB"/>
        </w:rPr>
        <w:t>placed reliance on the repeal of</w:t>
      </w:r>
      <w:r w:rsidR="00EA77F2" w:rsidRPr="00EB44AF">
        <w:rPr>
          <w:lang w:val="en-GB"/>
        </w:rPr>
        <w:t xml:space="preserve"> that the Traditional Leadership and Governance Framework Act, 2003</w:t>
      </w:r>
      <w:r w:rsidR="00EA77F2">
        <w:rPr>
          <w:rStyle w:val="FootnoteReference"/>
          <w:lang w:val="en-GB"/>
        </w:rPr>
        <w:footnoteReference w:id="2"/>
      </w:r>
      <w:r w:rsidR="00EA77F2" w:rsidRPr="00EB44AF">
        <w:rPr>
          <w:lang w:val="en-GB"/>
        </w:rPr>
        <w:t xml:space="preserve"> (‘the Framework Act’) by the Traditional and Khoi-San Leadership Act, 2019</w:t>
      </w:r>
      <w:r w:rsidR="00EA77F2">
        <w:rPr>
          <w:rStyle w:val="FootnoteReference"/>
          <w:lang w:val="en-GB"/>
        </w:rPr>
        <w:footnoteReference w:id="3"/>
      </w:r>
      <w:r w:rsidR="00EA77F2" w:rsidRPr="00EB44AF">
        <w:rPr>
          <w:lang w:val="en-GB"/>
        </w:rPr>
        <w:t xml:space="preserve"> (‘the Act’</w:t>
      </w:r>
      <w:r w:rsidR="00BD57D7" w:rsidRPr="00EB44AF">
        <w:rPr>
          <w:lang w:val="en-GB"/>
        </w:rPr>
        <w:t>)</w:t>
      </w:r>
      <w:r w:rsidR="00DE1218" w:rsidRPr="00EB44AF">
        <w:rPr>
          <w:lang w:val="en-GB"/>
        </w:rPr>
        <w:t xml:space="preserve">. </w:t>
      </w:r>
      <w:r w:rsidR="004228E4" w:rsidRPr="00EB44AF">
        <w:rPr>
          <w:lang w:val="en-GB"/>
        </w:rPr>
        <w:t xml:space="preserve">The consequence, it was argued, was that traditional leaders who were members of a provincial house of traditional leaders established and constituted in terms of provincial legislation remained members of their provincial houses only until 31 May 2022, regardless of when they had been elected </w:t>
      </w:r>
      <w:proofErr w:type="gramStart"/>
      <w:r w:rsidR="004228E4" w:rsidRPr="00EB44AF">
        <w:rPr>
          <w:lang w:val="en-GB"/>
        </w:rPr>
        <w:t>into</w:t>
      </w:r>
      <w:proofErr w:type="gramEnd"/>
      <w:r w:rsidR="004228E4" w:rsidRPr="00EB44AF">
        <w:rPr>
          <w:lang w:val="en-GB"/>
        </w:rPr>
        <w:t xml:space="preserve"> their positions.</w:t>
      </w:r>
      <w:r w:rsidR="001E1177" w:rsidRPr="00EB44AF">
        <w:rPr>
          <w:lang w:val="en-GB"/>
        </w:rPr>
        <w:t xml:space="preserve"> That being the case, the applicant was not a member of the House on 1 June 2022</w:t>
      </w:r>
      <w:r w:rsidR="00427384" w:rsidRPr="00EB44AF">
        <w:rPr>
          <w:lang w:val="en-GB"/>
        </w:rPr>
        <w:t xml:space="preserve"> so that the interdict lost its force by operation of law</w:t>
      </w:r>
      <w:r w:rsidR="00FB2BC7" w:rsidRPr="00EB44AF">
        <w:rPr>
          <w:lang w:val="en-GB"/>
        </w:rPr>
        <w:t>, paving the way for the election on 9 June 2022.</w:t>
      </w:r>
    </w:p>
    <w:p w14:paraId="32099ABD" w14:textId="77777777" w:rsidR="00156E6D" w:rsidRDefault="00156E6D" w:rsidP="00156E6D">
      <w:pPr>
        <w:pStyle w:val="ListParagraph"/>
        <w:ind w:left="0"/>
        <w:rPr>
          <w:lang w:val="en-GB"/>
        </w:rPr>
      </w:pPr>
    </w:p>
    <w:p w14:paraId="358208B2" w14:textId="77777777" w:rsidR="00156E6D" w:rsidRDefault="00156E6D" w:rsidP="00156E6D">
      <w:pPr>
        <w:pStyle w:val="ListParagraph"/>
        <w:ind w:left="0"/>
        <w:rPr>
          <w:b/>
          <w:bCs/>
          <w:lang w:val="en-GB"/>
        </w:rPr>
      </w:pPr>
      <w:r>
        <w:rPr>
          <w:b/>
          <w:bCs/>
          <w:lang w:val="en-GB"/>
        </w:rPr>
        <w:t>The Traditional and Khoi-San Leadership Act, 2019</w:t>
      </w:r>
    </w:p>
    <w:p w14:paraId="58946BCE" w14:textId="77777777" w:rsidR="00156E6D" w:rsidRPr="00FF62B1" w:rsidRDefault="00156E6D" w:rsidP="00156E6D">
      <w:pPr>
        <w:pStyle w:val="ListParagraph"/>
        <w:ind w:left="0"/>
        <w:rPr>
          <w:b/>
          <w:bCs/>
          <w:lang w:val="en-GB"/>
        </w:rPr>
      </w:pPr>
    </w:p>
    <w:p w14:paraId="6D4CA918" w14:textId="1CDEF7B0" w:rsidR="00156E6D" w:rsidRPr="00EB44AF" w:rsidRDefault="00EB44AF" w:rsidP="00EB44AF">
      <w:pPr>
        <w:autoSpaceDE w:val="0"/>
        <w:autoSpaceDN w:val="0"/>
        <w:adjustRightInd w:val="0"/>
        <w:jc w:val="both"/>
        <w:rPr>
          <w:lang w:val="en-GB"/>
        </w:rPr>
      </w:pPr>
      <w:r>
        <w:rPr>
          <w:lang w:val="en-GB"/>
        </w:rPr>
        <w:t>[7]</w:t>
      </w:r>
      <w:r>
        <w:rPr>
          <w:lang w:val="en-GB"/>
        </w:rPr>
        <w:tab/>
      </w:r>
      <w:r w:rsidR="00156E6D" w:rsidRPr="00EB44AF">
        <w:rPr>
          <w:lang w:val="en-GB"/>
        </w:rPr>
        <w:t xml:space="preserve">The </w:t>
      </w:r>
      <w:r w:rsidR="00BD57D7" w:rsidRPr="00EB44AF">
        <w:rPr>
          <w:lang w:val="en-GB"/>
        </w:rPr>
        <w:t>Act</w:t>
      </w:r>
      <w:r w:rsidR="00156E6D" w:rsidRPr="00EB44AF">
        <w:rPr>
          <w:lang w:val="en-GB"/>
        </w:rPr>
        <w:t xml:space="preserve"> came into operation on 1 April 2021. It provides for the recognition of traditional and Khoi-San communities, leadership positions and for the withdrawal of such recognition, amongst various other matters. Recognition of traditional and Khoi-San leaders is dealt with in part two of the Act. </w:t>
      </w:r>
    </w:p>
    <w:p w14:paraId="581CC495" w14:textId="77777777" w:rsidR="009519EF" w:rsidRPr="009519EF" w:rsidRDefault="009519EF" w:rsidP="009519EF">
      <w:pPr>
        <w:pStyle w:val="ListParagraph"/>
        <w:autoSpaceDE w:val="0"/>
        <w:autoSpaceDN w:val="0"/>
        <w:adjustRightInd w:val="0"/>
        <w:ind w:left="0"/>
        <w:jc w:val="both"/>
        <w:rPr>
          <w:lang w:val="en-GB"/>
        </w:rPr>
      </w:pPr>
    </w:p>
    <w:p w14:paraId="30FFE4D2" w14:textId="7B899C0F" w:rsidR="00156E6D" w:rsidRPr="00EB44AF" w:rsidRDefault="00EB44AF" w:rsidP="00EB44AF">
      <w:pPr>
        <w:autoSpaceDE w:val="0"/>
        <w:autoSpaceDN w:val="0"/>
        <w:adjustRightInd w:val="0"/>
        <w:jc w:val="both"/>
        <w:rPr>
          <w:lang w:val="en-GB"/>
        </w:rPr>
      </w:pPr>
      <w:r>
        <w:rPr>
          <w:lang w:val="en-GB"/>
        </w:rPr>
        <w:t>[8]</w:t>
      </w:r>
      <w:r>
        <w:rPr>
          <w:lang w:val="en-GB"/>
        </w:rPr>
        <w:tab/>
      </w:r>
      <w:r w:rsidR="00156E6D" w:rsidRPr="00EB44AF">
        <w:rPr>
          <w:lang w:val="en-GB"/>
        </w:rPr>
        <w:t>In terms of transitional arrangements:</w:t>
      </w:r>
      <w:r w:rsidR="00156E6D">
        <w:rPr>
          <w:rStyle w:val="FootnoteReference"/>
          <w:lang w:val="en-GB"/>
        </w:rPr>
        <w:footnoteReference w:id="4"/>
      </w:r>
    </w:p>
    <w:p w14:paraId="63FA23BA" w14:textId="77777777" w:rsidR="00156E6D" w:rsidRDefault="00156E6D" w:rsidP="00156E6D">
      <w:pPr>
        <w:pStyle w:val="ListParagraph"/>
        <w:autoSpaceDE w:val="0"/>
        <w:autoSpaceDN w:val="0"/>
        <w:adjustRightInd w:val="0"/>
        <w:ind w:left="0"/>
        <w:jc w:val="both"/>
        <w:rPr>
          <w:sz w:val="22"/>
          <w:szCs w:val="22"/>
          <w:lang w:val="en-GB"/>
        </w:rPr>
      </w:pPr>
      <w:r>
        <w:rPr>
          <w:sz w:val="22"/>
          <w:szCs w:val="22"/>
          <w:lang w:val="en-GB"/>
        </w:rPr>
        <w:t xml:space="preserve">‘Any traditional leader – </w:t>
      </w:r>
    </w:p>
    <w:p w14:paraId="0E3995CD" w14:textId="1B345204" w:rsidR="00156E6D" w:rsidRPr="00EB44AF" w:rsidRDefault="00EB44AF" w:rsidP="00EB44AF">
      <w:pPr>
        <w:autoSpaceDE w:val="0"/>
        <w:autoSpaceDN w:val="0"/>
        <w:adjustRightInd w:val="0"/>
        <w:ind w:left="1440" w:hanging="720"/>
        <w:jc w:val="both"/>
        <w:rPr>
          <w:sz w:val="22"/>
          <w:szCs w:val="22"/>
          <w:lang w:val="en-GB"/>
        </w:rPr>
      </w:pPr>
      <w:r>
        <w:rPr>
          <w:sz w:val="22"/>
          <w:szCs w:val="22"/>
          <w:lang w:val="en-GB"/>
        </w:rPr>
        <w:t>(</w:t>
      </w:r>
      <w:proofErr w:type="spellStart"/>
      <w:r>
        <w:rPr>
          <w:sz w:val="22"/>
          <w:szCs w:val="22"/>
          <w:lang w:val="en-GB"/>
        </w:rPr>
        <w:t>i</w:t>
      </w:r>
      <w:proofErr w:type="spellEnd"/>
      <w:r>
        <w:rPr>
          <w:sz w:val="22"/>
          <w:szCs w:val="22"/>
          <w:lang w:val="en-GB"/>
        </w:rPr>
        <w:t>)</w:t>
      </w:r>
      <w:r>
        <w:rPr>
          <w:sz w:val="22"/>
          <w:szCs w:val="22"/>
          <w:lang w:val="en-GB"/>
        </w:rPr>
        <w:tab/>
      </w:r>
      <w:r w:rsidR="00156E6D" w:rsidRPr="00EB44AF">
        <w:rPr>
          <w:sz w:val="22"/>
          <w:szCs w:val="22"/>
          <w:lang w:val="en-GB"/>
        </w:rPr>
        <w:t>who was appointed or recognised as such in terms of applicable provincial legislation and was still recognised as a traditional leader immediately before 24 September 2004; or</w:t>
      </w:r>
    </w:p>
    <w:p w14:paraId="52349D48" w14:textId="59267599" w:rsidR="00156E6D" w:rsidRPr="00EB44AF" w:rsidRDefault="00EB44AF" w:rsidP="00EB44AF">
      <w:pPr>
        <w:autoSpaceDE w:val="0"/>
        <w:autoSpaceDN w:val="0"/>
        <w:adjustRightInd w:val="0"/>
        <w:ind w:left="1440" w:hanging="720"/>
        <w:jc w:val="both"/>
        <w:rPr>
          <w:sz w:val="22"/>
          <w:szCs w:val="22"/>
          <w:lang w:val="en-GB"/>
        </w:rPr>
      </w:pPr>
      <w:r>
        <w:rPr>
          <w:sz w:val="22"/>
          <w:szCs w:val="22"/>
          <w:lang w:val="en-GB"/>
        </w:rPr>
        <w:t>(ii)</w:t>
      </w:r>
      <w:r>
        <w:rPr>
          <w:sz w:val="22"/>
          <w:szCs w:val="22"/>
          <w:lang w:val="en-GB"/>
        </w:rPr>
        <w:tab/>
      </w:r>
      <w:r w:rsidR="00156E6D" w:rsidRPr="00EB44AF">
        <w:rPr>
          <w:sz w:val="22"/>
          <w:szCs w:val="22"/>
          <w:lang w:val="en-GB"/>
        </w:rPr>
        <w:t>who was recognised as such in terms of the Traditional Leadership and Governance Framework Act, 2003 (Act No. 41 of 2003) (hereinafter referred to as the Framework Act), prior to the repeal of that Act, or in terms of any applicable provincial legislation which is not inconsistent with the Framework Act, as the case may be,</w:t>
      </w:r>
    </w:p>
    <w:p w14:paraId="4782BBC2" w14:textId="28436901" w:rsidR="00156E6D" w:rsidRPr="009F2746" w:rsidRDefault="00156E6D" w:rsidP="00156E6D">
      <w:pPr>
        <w:autoSpaceDE w:val="0"/>
        <w:autoSpaceDN w:val="0"/>
        <w:adjustRightInd w:val="0"/>
        <w:jc w:val="both"/>
        <w:rPr>
          <w:sz w:val="22"/>
          <w:szCs w:val="22"/>
          <w:lang w:val="en-GB"/>
        </w:rPr>
      </w:pPr>
      <w:r>
        <w:rPr>
          <w:sz w:val="22"/>
          <w:szCs w:val="22"/>
          <w:lang w:val="en-GB"/>
        </w:rPr>
        <w:lastRenderedPageBreak/>
        <w:t>is deemed to have been recognised as such in terms of section 8 of this Act, subject to a recommendation of the CTLDC, where applicable.</w:t>
      </w:r>
      <w:r w:rsidR="009519EF">
        <w:rPr>
          <w:sz w:val="22"/>
          <w:szCs w:val="22"/>
          <w:lang w:val="en-GB"/>
        </w:rPr>
        <w:t>’</w:t>
      </w:r>
    </w:p>
    <w:p w14:paraId="11FC0BCA" w14:textId="77777777" w:rsidR="00156E6D" w:rsidRPr="00380397" w:rsidRDefault="00156E6D" w:rsidP="00156E6D">
      <w:pPr>
        <w:pStyle w:val="ListParagraph"/>
        <w:autoSpaceDE w:val="0"/>
        <w:autoSpaceDN w:val="0"/>
        <w:adjustRightInd w:val="0"/>
        <w:ind w:left="0"/>
        <w:jc w:val="both"/>
        <w:rPr>
          <w:sz w:val="22"/>
          <w:szCs w:val="22"/>
          <w:lang w:val="en-GB"/>
        </w:rPr>
      </w:pPr>
    </w:p>
    <w:p w14:paraId="0AD4C712" w14:textId="1D7C6316" w:rsidR="00120800" w:rsidRPr="00EB44AF" w:rsidRDefault="00EB44AF" w:rsidP="00EB44AF">
      <w:pPr>
        <w:autoSpaceDE w:val="0"/>
        <w:autoSpaceDN w:val="0"/>
        <w:adjustRightInd w:val="0"/>
        <w:jc w:val="both"/>
        <w:rPr>
          <w:lang w:val="en-GB"/>
        </w:rPr>
      </w:pPr>
      <w:r>
        <w:rPr>
          <w:lang w:val="en-GB"/>
        </w:rPr>
        <w:t>[9]</w:t>
      </w:r>
      <w:r>
        <w:rPr>
          <w:lang w:val="en-GB"/>
        </w:rPr>
        <w:tab/>
      </w:r>
      <w:r w:rsidR="00120800" w:rsidRPr="00EB44AF">
        <w:rPr>
          <w:lang w:val="en-GB"/>
        </w:rPr>
        <w:t>Section 63(13) of the Act provides:</w:t>
      </w:r>
    </w:p>
    <w:p w14:paraId="1B74C0B6" w14:textId="15B3A2FC" w:rsidR="00120800" w:rsidRPr="00120800" w:rsidRDefault="00120800" w:rsidP="00120800">
      <w:pPr>
        <w:pStyle w:val="ListParagraph"/>
        <w:autoSpaceDE w:val="0"/>
        <w:autoSpaceDN w:val="0"/>
        <w:adjustRightInd w:val="0"/>
        <w:ind w:left="0"/>
        <w:jc w:val="both"/>
        <w:rPr>
          <w:sz w:val="22"/>
          <w:szCs w:val="22"/>
          <w:lang w:val="en-GB"/>
        </w:rPr>
      </w:pPr>
      <w:r>
        <w:rPr>
          <w:sz w:val="22"/>
          <w:szCs w:val="22"/>
          <w:lang w:val="en-GB"/>
        </w:rPr>
        <w:t>‘Notwithstanding the provisions of section 49, the traditional leaders who, on the date of commencement of this Act</w:t>
      </w:r>
      <w:r w:rsidR="001F1544">
        <w:rPr>
          <w:sz w:val="22"/>
          <w:szCs w:val="22"/>
          <w:lang w:val="en-GB"/>
        </w:rPr>
        <w:t xml:space="preserve"> were members of a provincial house of traditional leaders established and constituted in terms of provincial legislation, remain members of the provincial house concerned, until 31 May 2022 and any subsequent reconstitution of such a house </w:t>
      </w:r>
      <w:r w:rsidR="003E259E">
        <w:rPr>
          <w:sz w:val="22"/>
          <w:szCs w:val="22"/>
          <w:lang w:val="en-GB"/>
        </w:rPr>
        <w:t>must comply with the provisions of section 49.’</w:t>
      </w:r>
    </w:p>
    <w:p w14:paraId="677174BE" w14:textId="77777777" w:rsidR="00120800" w:rsidRDefault="00120800" w:rsidP="00120800">
      <w:pPr>
        <w:pStyle w:val="ListParagraph"/>
        <w:autoSpaceDE w:val="0"/>
        <w:autoSpaceDN w:val="0"/>
        <w:adjustRightInd w:val="0"/>
        <w:ind w:left="0"/>
        <w:jc w:val="both"/>
        <w:rPr>
          <w:lang w:val="en-GB"/>
        </w:rPr>
      </w:pPr>
    </w:p>
    <w:p w14:paraId="5B98F3D0" w14:textId="081C0AF5" w:rsidR="00120800" w:rsidRPr="00EB44AF" w:rsidRDefault="00EB44AF" w:rsidP="00EB44AF">
      <w:pPr>
        <w:autoSpaceDE w:val="0"/>
        <w:autoSpaceDN w:val="0"/>
        <w:adjustRightInd w:val="0"/>
        <w:jc w:val="both"/>
        <w:rPr>
          <w:lang w:val="en-GB"/>
        </w:rPr>
      </w:pPr>
      <w:r>
        <w:rPr>
          <w:lang w:val="en-GB"/>
        </w:rPr>
        <w:t>[10]</w:t>
      </w:r>
      <w:r>
        <w:rPr>
          <w:lang w:val="en-GB"/>
        </w:rPr>
        <w:tab/>
      </w:r>
      <w:r w:rsidR="00120800" w:rsidRPr="00EB44AF">
        <w:rPr>
          <w:lang w:val="en-GB"/>
        </w:rPr>
        <w:t>‘Traditional leader’ is defined in the Act to include a person who has been recognised as a principal traditional leader or senior traditional leader</w:t>
      </w:r>
      <w:r w:rsidR="00A21026" w:rsidRPr="00EB44AF">
        <w:rPr>
          <w:lang w:val="en-GB"/>
        </w:rPr>
        <w:t xml:space="preserve"> and ‘provincial house’ means a provincial house of traditional and Khoi-San leaders as contemplated in s 49.</w:t>
      </w:r>
      <w:r w:rsidR="00A21026">
        <w:rPr>
          <w:rStyle w:val="FootnoteReference"/>
          <w:lang w:val="en-GB"/>
        </w:rPr>
        <w:footnoteReference w:id="5"/>
      </w:r>
      <w:r w:rsidR="007D50D7" w:rsidRPr="00EB44AF">
        <w:rPr>
          <w:lang w:val="en-GB"/>
        </w:rPr>
        <w:t xml:space="preserve"> Section 49 provides, in part, as follows:</w:t>
      </w:r>
    </w:p>
    <w:p w14:paraId="1C87E670" w14:textId="757EC29D" w:rsidR="007D50D7" w:rsidRDefault="007D50D7" w:rsidP="007D50D7">
      <w:pPr>
        <w:pStyle w:val="ListParagraph"/>
        <w:autoSpaceDE w:val="0"/>
        <w:autoSpaceDN w:val="0"/>
        <w:adjustRightInd w:val="0"/>
        <w:ind w:left="0"/>
        <w:jc w:val="both"/>
        <w:rPr>
          <w:sz w:val="22"/>
          <w:szCs w:val="22"/>
          <w:lang w:val="en-GB"/>
        </w:rPr>
      </w:pPr>
      <w:r>
        <w:rPr>
          <w:sz w:val="22"/>
          <w:szCs w:val="22"/>
          <w:lang w:val="en-GB"/>
        </w:rPr>
        <w:t>‘(1) Provincial houses may be established by provinces in terms of provincial legislation and subject to the provisions of this Act.</w:t>
      </w:r>
    </w:p>
    <w:p w14:paraId="1AFD05F6" w14:textId="4B7EF518" w:rsidR="007D50D7" w:rsidRDefault="007D50D7" w:rsidP="007D50D7">
      <w:pPr>
        <w:pStyle w:val="ListParagraph"/>
        <w:autoSpaceDE w:val="0"/>
        <w:autoSpaceDN w:val="0"/>
        <w:adjustRightInd w:val="0"/>
        <w:ind w:left="0"/>
        <w:jc w:val="both"/>
        <w:rPr>
          <w:sz w:val="22"/>
          <w:szCs w:val="22"/>
          <w:lang w:val="en-GB"/>
        </w:rPr>
      </w:pPr>
      <w:r>
        <w:rPr>
          <w:sz w:val="22"/>
          <w:szCs w:val="22"/>
          <w:lang w:val="en-GB"/>
        </w:rPr>
        <w:t>(2) The provincial legislation contemplated in subsection (1) must include provisions that provide for – …</w:t>
      </w:r>
    </w:p>
    <w:p w14:paraId="048014A3" w14:textId="1D84AFEF" w:rsidR="007D50D7" w:rsidRDefault="007D50D7" w:rsidP="007D50D7">
      <w:pPr>
        <w:pStyle w:val="ListParagraph"/>
        <w:autoSpaceDE w:val="0"/>
        <w:autoSpaceDN w:val="0"/>
        <w:adjustRightInd w:val="0"/>
        <w:ind w:left="0"/>
        <w:jc w:val="both"/>
        <w:rPr>
          <w:sz w:val="22"/>
          <w:szCs w:val="22"/>
          <w:lang w:val="en-GB"/>
        </w:rPr>
      </w:pPr>
      <w:r>
        <w:rPr>
          <w:sz w:val="22"/>
          <w:szCs w:val="22"/>
          <w:lang w:val="en-GB"/>
        </w:rPr>
        <w:t>(b) the term of provincial houses to be five years: Provided that, notwithstanding anything to the contrary contained in any law, but subject to section 63(13), the term of a provincial house that was established and constituted in terms of any applicable legislation prior to the commencement of this Act, will expire on 31 May 2022: Provided further that any term of office of provincial houses reconstituted or established after the commencement of this Act, shall expire every five years on 31 May, calculated from 31 May 2022</w:t>
      </w:r>
      <w:r w:rsidR="00665B69">
        <w:rPr>
          <w:sz w:val="22"/>
          <w:szCs w:val="22"/>
          <w:lang w:val="en-GB"/>
        </w:rPr>
        <w:t xml:space="preserve"> …’</w:t>
      </w:r>
    </w:p>
    <w:p w14:paraId="11415DA0" w14:textId="77777777" w:rsidR="007D50D7" w:rsidRPr="007D50D7" w:rsidRDefault="007D50D7" w:rsidP="007D50D7">
      <w:pPr>
        <w:pStyle w:val="ListParagraph"/>
        <w:autoSpaceDE w:val="0"/>
        <w:autoSpaceDN w:val="0"/>
        <w:adjustRightInd w:val="0"/>
        <w:ind w:left="0"/>
        <w:jc w:val="both"/>
        <w:rPr>
          <w:sz w:val="22"/>
          <w:szCs w:val="22"/>
          <w:lang w:val="en-GB"/>
        </w:rPr>
      </w:pPr>
    </w:p>
    <w:p w14:paraId="5A4C2571" w14:textId="20E7BEF7" w:rsidR="007D50D7" w:rsidRPr="00EB44AF" w:rsidRDefault="00EB44AF" w:rsidP="00EB44AF">
      <w:pPr>
        <w:autoSpaceDE w:val="0"/>
        <w:autoSpaceDN w:val="0"/>
        <w:adjustRightInd w:val="0"/>
        <w:jc w:val="both"/>
        <w:rPr>
          <w:lang w:val="en-GB"/>
        </w:rPr>
      </w:pPr>
      <w:r>
        <w:rPr>
          <w:lang w:val="en-GB"/>
        </w:rPr>
        <w:t>[11]</w:t>
      </w:r>
      <w:r>
        <w:rPr>
          <w:lang w:val="en-GB"/>
        </w:rPr>
        <w:tab/>
      </w:r>
      <w:r w:rsidR="00484FA8" w:rsidRPr="00EB44AF">
        <w:rPr>
          <w:lang w:val="en-GB"/>
        </w:rPr>
        <w:t>The applicant is a traditional leader who, at the date of commencement of the Act was a member of a provincial house of traditional leaders established in terms of s 66 of the Eastern Cape Traditional Leadership and Governance Act, 2017</w:t>
      </w:r>
      <w:r w:rsidR="006D6757" w:rsidRPr="00EB44AF">
        <w:rPr>
          <w:lang w:val="en-GB"/>
        </w:rPr>
        <w:t xml:space="preserve"> (‘the Eastern Cape Act’)</w:t>
      </w:r>
      <w:r w:rsidR="00484FA8" w:rsidRPr="00EB44AF">
        <w:rPr>
          <w:lang w:val="en-GB"/>
        </w:rPr>
        <w:t>.</w:t>
      </w:r>
      <w:r w:rsidR="00484FA8">
        <w:rPr>
          <w:rStyle w:val="FootnoteReference"/>
          <w:lang w:val="en-GB"/>
        </w:rPr>
        <w:footnoteReference w:id="6"/>
      </w:r>
      <w:r w:rsidR="000326D8" w:rsidRPr="00EB44AF">
        <w:rPr>
          <w:lang w:val="en-GB"/>
        </w:rPr>
        <w:t xml:space="preserve"> </w:t>
      </w:r>
      <w:r w:rsidR="00E820F6" w:rsidRPr="00EB44AF">
        <w:rPr>
          <w:lang w:val="en-GB"/>
        </w:rPr>
        <w:t>Both the Act and the Eastern Cape Act provide for the term of provincial houses to be five years.</w:t>
      </w:r>
      <w:r w:rsidR="00E820F6">
        <w:rPr>
          <w:rStyle w:val="FootnoteReference"/>
          <w:lang w:val="en-GB"/>
        </w:rPr>
        <w:footnoteReference w:id="7"/>
      </w:r>
      <w:r w:rsidR="00E820F6" w:rsidRPr="00EB44AF">
        <w:rPr>
          <w:lang w:val="en-GB"/>
        </w:rPr>
        <w:t xml:space="preserve"> While the applicant’s</w:t>
      </w:r>
      <w:r w:rsidR="000326D8" w:rsidRPr="00EB44AF">
        <w:rPr>
          <w:lang w:val="en-GB"/>
        </w:rPr>
        <w:t xml:space="preserve"> term of office </w:t>
      </w:r>
      <w:r w:rsidR="00BB152C" w:rsidRPr="00EB44AF">
        <w:rPr>
          <w:lang w:val="en-GB"/>
        </w:rPr>
        <w:t>was for a period of five years</w:t>
      </w:r>
      <w:r w:rsidR="00E820F6" w:rsidRPr="00EB44AF">
        <w:rPr>
          <w:lang w:val="en-GB"/>
        </w:rPr>
        <w:t>,</w:t>
      </w:r>
      <w:r w:rsidR="006D6757">
        <w:rPr>
          <w:rStyle w:val="FootnoteReference"/>
          <w:lang w:val="en-GB"/>
        </w:rPr>
        <w:footnoteReference w:id="8"/>
      </w:r>
      <w:r w:rsidR="00BB152C" w:rsidRPr="00EB44AF">
        <w:rPr>
          <w:lang w:val="en-GB"/>
        </w:rPr>
        <w:t xml:space="preserve"> it may be accepted that he was sworn in as a member on 26 September 2017</w:t>
      </w:r>
      <w:r w:rsidR="00D60CB0" w:rsidRPr="00EB44AF">
        <w:rPr>
          <w:lang w:val="en-GB"/>
        </w:rPr>
        <w:t>, so that the term was only due to expire on 25 September</w:t>
      </w:r>
      <w:r w:rsidR="00473D5D" w:rsidRPr="00EB44AF">
        <w:rPr>
          <w:lang w:val="en-GB"/>
        </w:rPr>
        <w:t xml:space="preserve"> 2022</w:t>
      </w:r>
      <w:r w:rsidR="001547DD" w:rsidRPr="00EB44AF">
        <w:rPr>
          <w:lang w:val="en-GB"/>
        </w:rPr>
        <w:t xml:space="preserve">, </w:t>
      </w:r>
      <w:r w:rsidR="008A00E8" w:rsidRPr="00EB44AF">
        <w:rPr>
          <w:lang w:val="en-GB"/>
        </w:rPr>
        <w:t>rather than</w:t>
      </w:r>
      <w:r w:rsidR="001547DD" w:rsidRPr="00EB44AF">
        <w:rPr>
          <w:lang w:val="en-GB"/>
        </w:rPr>
        <w:t xml:space="preserve"> at </w:t>
      </w:r>
      <w:r w:rsidR="001547DD" w:rsidRPr="00EB44AF">
        <w:rPr>
          <w:lang w:val="en-GB"/>
        </w:rPr>
        <w:lastRenderedPageBreak/>
        <w:t>the end of May 2022</w:t>
      </w:r>
      <w:r w:rsidR="00D60CB0" w:rsidRPr="00EB44AF">
        <w:rPr>
          <w:lang w:val="en-GB"/>
        </w:rPr>
        <w:t>.</w:t>
      </w:r>
      <w:r w:rsidR="009B07B4" w:rsidRPr="00EB44AF">
        <w:rPr>
          <w:lang w:val="en-GB"/>
        </w:rPr>
        <w:t xml:space="preserve"> As such, </w:t>
      </w:r>
      <w:r w:rsidR="00B068E3" w:rsidRPr="00EB44AF">
        <w:rPr>
          <w:lang w:val="en-GB"/>
        </w:rPr>
        <w:t xml:space="preserve">and as counsel indicated from the Bar, </w:t>
      </w:r>
      <w:r w:rsidR="009B07B4" w:rsidRPr="00EB44AF">
        <w:rPr>
          <w:lang w:val="en-GB"/>
        </w:rPr>
        <w:t xml:space="preserve">this is an instance of </w:t>
      </w:r>
      <w:r w:rsidR="00114642" w:rsidRPr="00EB44AF">
        <w:rPr>
          <w:lang w:val="en-GB"/>
        </w:rPr>
        <w:t>apparent</w:t>
      </w:r>
      <w:r w:rsidR="009B07B4" w:rsidRPr="00EB44AF">
        <w:rPr>
          <w:lang w:val="en-GB"/>
        </w:rPr>
        <w:t xml:space="preserve"> conflict between national and provincial legislation</w:t>
      </w:r>
      <w:r w:rsidR="00F9415C" w:rsidRPr="00EB44AF">
        <w:rPr>
          <w:lang w:val="en-GB"/>
        </w:rPr>
        <w:t>, not capable of resolution in terms of s 150 of the Constitution</w:t>
      </w:r>
      <w:r w:rsidR="009B07B4" w:rsidRPr="00EB44AF">
        <w:rPr>
          <w:lang w:val="en-GB"/>
        </w:rPr>
        <w:t>.</w:t>
      </w:r>
      <w:r w:rsidR="003C3A21">
        <w:rPr>
          <w:rStyle w:val="FootnoteReference"/>
          <w:lang w:val="en-GB"/>
        </w:rPr>
        <w:footnoteReference w:id="9"/>
      </w:r>
      <w:r w:rsidR="00C60522" w:rsidRPr="00EB44AF">
        <w:rPr>
          <w:lang w:val="en-GB"/>
        </w:rPr>
        <w:t xml:space="preserve"> </w:t>
      </w:r>
    </w:p>
    <w:p w14:paraId="168213D4" w14:textId="77777777" w:rsidR="001F1544" w:rsidRDefault="001F1544" w:rsidP="001F1544">
      <w:pPr>
        <w:pStyle w:val="ListParagraph"/>
        <w:autoSpaceDE w:val="0"/>
        <w:autoSpaceDN w:val="0"/>
        <w:adjustRightInd w:val="0"/>
        <w:ind w:left="0"/>
        <w:jc w:val="both"/>
        <w:rPr>
          <w:lang w:val="en-GB"/>
        </w:rPr>
      </w:pPr>
    </w:p>
    <w:p w14:paraId="0D5CFE88" w14:textId="6A278249" w:rsidR="00156E6D" w:rsidRPr="00EB44AF" w:rsidRDefault="00EB44AF" w:rsidP="00EB44AF">
      <w:pPr>
        <w:autoSpaceDE w:val="0"/>
        <w:autoSpaceDN w:val="0"/>
        <w:adjustRightInd w:val="0"/>
        <w:jc w:val="both"/>
        <w:rPr>
          <w:lang w:val="en-GB"/>
        </w:rPr>
      </w:pPr>
      <w:r>
        <w:rPr>
          <w:lang w:val="en-GB"/>
        </w:rPr>
        <w:t>[12]</w:t>
      </w:r>
      <w:r>
        <w:rPr>
          <w:lang w:val="en-GB"/>
        </w:rPr>
        <w:tab/>
      </w:r>
      <w:r w:rsidR="00156E6D" w:rsidRPr="00EB44AF">
        <w:rPr>
          <w:lang w:val="en-GB"/>
        </w:rPr>
        <w:t xml:space="preserve">Provincial legislatures have authority to pass legislation </w:t>
      </w:r>
      <w:proofErr w:type="gramStart"/>
      <w:r w:rsidR="00156E6D" w:rsidRPr="00EB44AF">
        <w:rPr>
          <w:lang w:val="en-GB"/>
        </w:rPr>
        <w:t>with regard to</w:t>
      </w:r>
      <w:proofErr w:type="gramEnd"/>
      <w:r w:rsidR="00156E6D" w:rsidRPr="00EB44AF">
        <w:rPr>
          <w:lang w:val="en-GB"/>
        </w:rPr>
        <w:t xml:space="preserve"> the functional areas listed in Schedule 4 and 5 to the Constitution.</w:t>
      </w:r>
      <w:r w:rsidR="00156E6D">
        <w:rPr>
          <w:rStyle w:val="FootnoteReference"/>
          <w:lang w:val="en-GB"/>
        </w:rPr>
        <w:footnoteReference w:id="10"/>
      </w:r>
      <w:r w:rsidR="00156E6D" w:rsidRPr="00EB44AF">
        <w:rPr>
          <w:lang w:val="en-GB"/>
        </w:rPr>
        <w:t xml:space="preserve"> When considering an apparent conflict between national and provincial legislation, every court must prefer any reasonable interpretation of the legislation that avoids a conflict, over any alternative interpretation that results in a conflict.</w:t>
      </w:r>
      <w:r w:rsidR="00EC22D0">
        <w:rPr>
          <w:rStyle w:val="FootnoteReference"/>
          <w:lang w:val="en-GB"/>
        </w:rPr>
        <w:footnoteReference w:id="11"/>
      </w:r>
      <w:r w:rsidR="00156E6D" w:rsidRPr="00EB44AF">
        <w:rPr>
          <w:lang w:val="en-GB"/>
        </w:rPr>
        <w:t xml:space="preserve"> </w:t>
      </w:r>
    </w:p>
    <w:p w14:paraId="439D5915" w14:textId="77777777" w:rsidR="00156E6D" w:rsidRDefault="00156E6D" w:rsidP="00156E6D">
      <w:pPr>
        <w:pStyle w:val="ListParagraph"/>
        <w:autoSpaceDE w:val="0"/>
        <w:autoSpaceDN w:val="0"/>
        <w:adjustRightInd w:val="0"/>
        <w:ind w:left="0"/>
        <w:jc w:val="both"/>
        <w:rPr>
          <w:lang w:val="en-GB"/>
        </w:rPr>
      </w:pPr>
    </w:p>
    <w:p w14:paraId="066F64E2" w14:textId="2D79A6EB" w:rsidR="00156E6D" w:rsidRPr="00EB44AF" w:rsidRDefault="00EB44AF" w:rsidP="00EB44AF">
      <w:pPr>
        <w:autoSpaceDE w:val="0"/>
        <w:autoSpaceDN w:val="0"/>
        <w:adjustRightInd w:val="0"/>
        <w:jc w:val="both"/>
        <w:rPr>
          <w:lang w:val="en-GB"/>
        </w:rPr>
      </w:pPr>
      <w:r>
        <w:rPr>
          <w:lang w:val="en-GB"/>
        </w:rPr>
        <w:t>[13]</w:t>
      </w:r>
      <w:r>
        <w:rPr>
          <w:lang w:val="en-GB"/>
        </w:rPr>
        <w:tab/>
      </w:r>
      <w:r w:rsidR="00156E6D" w:rsidRPr="00EB44AF">
        <w:rPr>
          <w:lang w:val="en-GB"/>
        </w:rPr>
        <w:t xml:space="preserve">Section 146 of the Constitution of the Republic of South Africa, 1996 (‘the Constitution’) applies to a conflict between national legislation and provincial legislation falling within a functional area listed in Schedule 4. National legislation that applies uniformly </w:t>
      </w:r>
      <w:proofErr w:type="gramStart"/>
      <w:r w:rsidR="00156E6D" w:rsidRPr="00EB44AF">
        <w:rPr>
          <w:lang w:val="en-GB"/>
        </w:rPr>
        <w:t>with regard to</w:t>
      </w:r>
      <w:proofErr w:type="gramEnd"/>
      <w:r w:rsidR="00156E6D" w:rsidRPr="00EB44AF">
        <w:rPr>
          <w:lang w:val="en-GB"/>
        </w:rPr>
        <w:t xml:space="preserve"> the country as a whole prevails over provincial legislation if any of the following conditions</w:t>
      </w:r>
      <w:r w:rsidR="00194C35" w:rsidRPr="00EB44AF">
        <w:rPr>
          <w:lang w:val="en-GB"/>
        </w:rPr>
        <w:t>, amongst others,</w:t>
      </w:r>
      <w:r w:rsidR="00156E6D" w:rsidRPr="00EB44AF">
        <w:rPr>
          <w:lang w:val="en-GB"/>
        </w:rPr>
        <w:t xml:space="preserve"> is met:</w:t>
      </w:r>
      <w:r w:rsidR="00156E6D">
        <w:rPr>
          <w:rStyle w:val="FootnoteReference"/>
          <w:lang w:val="en-GB"/>
        </w:rPr>
        <w:footnoteReference w:id="12"/>
      </w:r>
    </w:p>
    <w:p w14:paraId="7A7DD4F1" w14:textId="74D0F69E" w:rsidR="00156E6D" w:rsidRPr="00EB44AF" w:rsidRDefault="00EB44AF" w:rsidP="00EB44AF">
      <w:pPr>
        <w:autoSpaceDE w:val="0"/>
        <w:autoSpaceDN w:val="0"/>
        <w:adjustRightInd w:val="0"/>
        <w:ind w:left="720" w:hanging="360"/>
        <w:jc w:val="both"/>
        <w:rPr>
          <w:lang w:val="en-GB"/>
        </w:rPr>
      </w:pPr>
      <w:r>
        <w:rPr>
          <w:i/>
          <w:lang w:val="en-GB"/>
        </w:rPr>
        <w:t>(a)</w:t>
      </w:r>
      <w:r>
        <w:rPr>
          <w:i/>
          <w:lang w:val="en-GB"/>
        </w:rPr>
        <w:tab/>
      </w:r>
      <w:r w:rsidR="00156E6D" w:rsidRPr="00EB44AF">
        <w:rPr>
          <w:lang w:val="en-GB"/>
        </w:rPr>
        <w:t>The national legislation deals with a matter that cannot be regulated effectively by legislation enacted by the respective provinces individually.</w:t>
      </w:r>
    </w:p>
    <w:p w14:paraId="485F0D26" w14:textId="3F7BE64A" w:rsidR="00156E6D" w:rsidRPr="00EB44AF" w:rsidRDefault="00EB44AF" w:rsidP="00EB44AF">
      <w:pPr>
        <w:autoSpaceDE w:val="0"/>
        <w:autoSpaceDN w:val="0"/>
        <w:adjustRightInd w:val="0"/>
        <w:ind w:left="720" w:hanging="360"/>
        <w:jc w:val="both"/>
        <w:rPr>
          <w:lang w:val="en-GB"/>
        </w:rPr>
      </w:pPr>
      <w:r>
        <w:rPr>
          <w:i/>
          <w:lang w:val="en-GB"/>
        </w:rPr>
        <w:t>(b)</w:t>
      </w:r>
      <w:r>
        <w:rPr>
          <w:i/>
          <w:lang w:val="en-GB"/>
        </w:rPr>
        <w:tab/>
      </w:r>
      <w:r w:rsidR="00156E6D" w:rsidRPr="00EB44AF">
        <w:rPr>
          <w:lang w:val="en-GB"/>
        </w:rPr>
        <w:t xml:space="preserve">The national legislation deals with a matter that, to be dealt with effectively, requires uniformity across the nation, and the national legislation provides that uniformity by establishing – </w:t>
      </w:r>
    </w:p>
    <w:p w14:paraId="01883E5B" w14:textId="2F43BA9D" w:rsidR="00156E6D" w:rsidRPr="00EB44AF" w:rsidRDefault="00EB44AF" w:rsidP="00EB44AF">
      <w:pPr>
        <w:autoSpaceDE w:val="0"/>
        <w:autoSpaceDN w:val="0"/>
        <w:adjustRightInd w:val="0"/>
        <w:ind w:left="2160" w:hanging="720"/>
        <w:jc w:val="both"/>
        <w:rPr>
          <w:lang w:val="en-GB"/>
        </w:rPr>
      </w:pPr>
      <w:r>
        <w:rPr>
          <w:lang w:val="en-GB"/>
        </w:rPr>
        <w:t>(</w:t>
      </w:r>
      <w:proofErr w:type="spellStart"/>
      <w:r>
        <w:rPr>
          <w:lang w:val="en-GB"/>
        </w:rPr>
        <w:t>i</w:t>
      </w:r>
      <w:proofErr w:type="spellEnd"/>
      <w:r>
        <w:rPr>
          <w:lang w:val="en-GB"/>
        </w:rPr>
        <w:t>)</w:t>
      </w:r>
      <w:r>
        <w:rPr>
          <w:lang w:val="en-GB"/>
        </w:rPr>
        <w:tab/>
      </w:r>
      <w:r w:rsidR="00156E6D" w:rsidRPr="00EB44AF">
        <w:rPr>
          <w:lang w:val="en-GB"/>
        </w:rPr>
        <w:t xml:space="preserve">norms and </w:t>
      </w:r>
      <w:proofErr w:type="gramStart"/>
      <w:r w:rsidR="00156E6D" w:rsidRPr="00EB44AF">
        <w:rPr>
          <w:lang w:val="en-GB"/>
        </w:rPr>
        <w:t>standards;</w:t>
      </w:r>
      <w:proofErr w:type="gramEnd"/>
    </w:p>
    <w:p w14:paraId="62CCCA7A" w14:textId="5C4AC874" w:rsidR="00156E6D" w:rsidRPr="00EB44AF" w:rsidRDefault="00EB44AF" w:rsidP="00EB44AF">
      <w:pPr>
        <w:autoSpaceDE w:val="0"/>
        <w:autoSpaceDN w:val="0"/>
        <w:adjustRightInd w:val="0"/>
        <w:ind w:left="2160" w:hanging="720"/>
        <w:jc w:val="both"/>
        <w:rPr>
          <w:lang w:val="en-GB"/>
        </w:rPr>
      </w:pPr>
      <w:r>
        <w:rPr>
          <w:lang w:val="en-GB"/>
        </w:rPr>
        <w:t>(ii)</w:t>
      </w:r>
      <w:r>
        <w:rPr>
          <w:lang w:val="en-GB"/>
        </w:rPr>
        <w:tab/>
      </w:r>
      <w:r w:rsidR="00156E6D" w:rsidRPr="00EB44AF">
        <w:rPr>
          <w:lang w:val="en-GB"/>
        </w:rPr>
        <w:t xml:space="preserve">frameworks; or </w:t>
      </w:r>
    </w:p>
    <w:p w14:paraId="6580849C" w14:textId="454C1775" w:rsidR="00156E6D" w:rsidRPr="00EB44AF" w:rsidRDefault="00EB44AF" w:rsidP="00EB44AF">
      <w:pPr>
        <w:autoSpaceDE w:val="0"/>
        <w:autoSpaceDN w:val="0"/>
        <w:adjustRightInd w:val="0"/>
        <w:ind w:left="2160" w:hanging="720"/>
        <w:jc w:val="both"/>
        <w:rPr>
          <w:lang w:val="en-GB"/>
        </w:rPr>
      </w:pPr>
      <w:r>
        <w:rPr>
          <w:lang w:val="en-GB"/>
        </w:rPr>
        <w:t>(iii)</w:t>
      </w:r>
      <w:r>
        <w:rPr>
          <w:lang w:val="en-GB"/>
        </w:rPr>
        <w:tab/>
      </w:r>
      <w:r w:rsidR="00156E6D" w:rsidRPr="00EB44AF">
        <w:rPr>
          <w:lang w:val="en-GB"/>
        </w:rPr>
        <w:t>national policies.</w:t>
      </w:r>
    </w:p>
    <w:p w14:paraId="0E6C3542" w14:textId="77777777" w:rsidR="00156E6D" w:rsidRPr="006E51F8" w:rsidRDefault="00156E6D" w:rsidP="00156E6D">
      <w:pPr>
        <w:pStyle w:val="ListParagraph"/>
        <w:autoSpaceDE w:val="0"/>
        <w:autoSpaceDN w:val="0"/>
        <w:adjustRightInd w:val="0"/>
        <w:ind w:left="2160"/>
        <w:jc w:val="both"/>
        <w:rPr>
          <w:lang w:val="en-GB"/>
        </w:rPr>
      </w:pPr>
      <w:r>
        <w:rPr>
          <w:lang w:val="en-GB"/>
        </w:rPr>
        <w:tab/>
      </w:r>
    </w:p>
    <w:p w14:paraId="6843DD9F" w14:textId="03648ECF" w:rsidR="00156E6D" w:rsidRPr="00EB44AF" w:rsidRDefault="00EB44AF" w:rsidP="00EB44AF">
      <w:pPr>
        <w:autoSpaceDE w:val="0"/>
        <w:autoSpaceDN w:val="0"/>
        <w:adjustRightInd w:val="0"/>
        <w:jc w:val="both"/>
        <w:rPr>
          <w:lang w:val="en-GB"/>
        </w:rPr>
      </w:pPr>
      <w:r>
        <w:rPr>
          <w:lang w:val="en-GB"/>
        </w:rPr>
        <w:t>[14]</w:t>
      </w:r>
      <w:r>
        <w:rPr>
          <w:lang w:val="en-GB"/>
        </w:rPr>
        <w:tab/>
      </w:r>
      <w:r w:rsidR="00156E6D" w:rsidRPr="00EB44AF">
        <w:rPr>
          <w:lang w:val="en-GB"/>
        </w:rPr>
        <w:t xml:space="preserve">Subject to section 211 and 212 of the Constitution, traditional leadership, indigenous </w:t>
      </w:r>
      <w:proofErr w:type="gramStart"/>
      <w:r w:rsidR="00156E6D" w:rsidRPr="00EB44AF">
        <w:rPr>
          <w:lang w:val="en-GB"/>
        </w:rPr>
        <w:t>law</w:t>
      </w:r>
      <w:proofErr w:type="gramEnd"/>
      <w:r w:rsidR="00156E6D" w:rsidRPr="00EB44AF">
        <w:rPr>
          <w:lang w:val="en-GB"/>
        </w:rPr>
        <w:t xml:space="preserve"> and customary law all fall under schedule 4 of the Constitution of the Republic of South Africa, 1996. This means that national and provincial governments have concurrent legislative authority over traditional leaders. </w:t>
      </w:r>
    </w:p>
    <w:p w14:paraId="5114991D" w14:textId="77777777" w:rsidR="009A3A86" w:rsidRDefault="009A3A86" w:rsidP="009A3A86">
      <w:pPr>
        <w:pStyle w:val="ListParagraph"/>
        <w:autoSpaceDE w:val="0"/>
        <w:autoSpaceDN w:val="0"/>
        <w:adjustRightInd w:val="0"/>
        <w:ind w:left="0"/>
        <w:jc w:val="both"/>
        <w:rPr>
          <w:lang w:val="en-GB"/>
        </w:rPr>
      </w:pPr>
    </w:p>
    <w:p w14:paraId="6BD713AD" w14:textId="0FD80773" w:rsidR="00902C55" w:rsidRPr="00EB44AF" w:rsidRDefault="00EB44AF" w:rsidP="00EB44AF">
      <w:pPr>
        <w:autoSpaceDE w:val="0"/>
        <w:autoSpaceDN w:val="0"/>
        <w:adjustRightInd w:val="0"/>
        <w:jc w:val="both"/>
        <w:rPr>
          <w:lang w:val="en-GB"/>
        </w:rPr>
      </w:pPr>
      <w:r>
        <w:rPr>
          <w:lang w:val="en-GB"/>
        </w:rPr>
        <w:t>[15]</w:t>
      </w:r>
      <w:r>
        <w:rPr>
          <w:lang w:val="en-GB"/>
        </w:rPr>
        <w:tab/>
      </w:r>
      <w:r w:rsidR="009A3A86" w:rsidRPr="00EB44AF">
        <w:rPr>
          <w:lang w:val="en-GB"/>
        </w:rPr>
        <w:t>The Memorandum on the Objects of the Traditional and Khoi-San Leadership Bill, 2015 provides insight as to the timeframes associated with the constitution of provincial houses in the country</w:t>
      </w:r>
      <w:r w:rsidR="00C33AC9" w:rsidRPr="00EB44AF">
        <w:rPr>
          <w:lang w:val="en-GB"/>
        </w:rPr>
        <w:t>:</w:t>
      </w:r>
      <w:r w:rsidR="00EF5F6F">
        <w:rPr>
          <w:rStyle w:val="FootnoteReference"/>
          <w:lang w:val="en-GB"/>
        </w:rPr>
        <w:footnoteReference w:id="13"/>
      </w:r>
    </w:p>
    <w:p w14:paraId="47B4685E" w14:textId="770EDAD3" w:rsidR="00C33AC9" w:rsidRDefault="00C33AC9" w:rsidP="00C33AC9">
      <w:pPr>
        <w:jc w:val="both"/>
        <w:rPr>
          <w:sz w:val="22"/>
          <w:szCs w:val="22"/>
          <w:lang w:val="en-GB"/>
        </w:rPr>
      </w:pPr>
      <w:r>
        <w:rPr>
          <w:sz w:val="22"/>
          <w:szCs w:val="22"/>
          <w:lang w:val="en-GB"/>
        </w:rPr>
        <w:t xml:space="preserve">‘It should be noted that while the terms of the National House, provincial houses and local houses should be aligned, a precise alignment has been found to be impractical. For example, before the National House can be constituted, the provincial houses </w:t>
      </w:r>
      <w:proofErr w:type="gramStart"/>
      <w:r w:rsidRPr="00035E3B">
        <w:rPr>
          <w:i/>
          <w:iCs/>
          <w:sz w:val="22"/>
          <w:szCs w:val="22"/>
          <w:lang w:val="en-GB"/>
        </w:rPr>
        <w:t>have to</w:t>
      </w:r>
      <w:proofErr w:type="gramEnd"/>
      <w:r w:rsidRPr="00035E3B">
        <w:rPr>
          <w:i/>
          <w:iCs/>
          <w:sz w:val="22"/>
          <w:szCs w:val="22"/>
          <w:lang w:val="en-GB"/>
        </w:rPr>
        <w:t xml:space="preserve"> be constituted</w:t>
      </w:r>
      <w:r>
        <w:rPr>
          <w:sz w:val="22"/>
          <w:szCs w:val="22"/>
          <w:lang w:val="en-GB"/>
        </w:rPr>
        <w:t xml:space="preserve"> to enable them to elect the representatives to the National House. The Bill therefore determines that all the houses will have terms of five years however </w:t>
      </w:r>
      <w:r>
        <w:rPr>
          <w:i/>
          <w:iCs/>
          <w:sz w:val="22"/>
          <w:szCs w:val="22"/>
          <w:lang w:val="en-GB"/>
        </w:rPr>
        <w:t xml:space="preserve">such terms are to end on specific dates </w:t>
      </w:r>
      <w:r>
        <w:rPr>
          <w:sz w:val="22"/>
          <w:szCs w:val="22"/>
          <w:lang w:val="en-GB"/>
        </w:rPr>
        <w:t xml:space="preserve">… which dates are one month apart. </w:t>
      </w:r>
      <w:r>
        <w:rPr>
          <w:i/>
          <w:iCs/>
          <w:sz w:val="22"/>
          <w:szCs w:val="22"/>
          <w:lang w:val="en-GB"/>
        </w:rPr>
        <w:t>This will allow sufficient time for the provincial houses to be constituted before the National House and for local houses to be constituted before the provincial houses</w:t>
      </w:r>
      <w:r w:rsidR="007D2C2A">
        <w:rPr>
          <w:sz w:val="22"/>
          <w:szCs w:val="22"/>
          <w:lang w:val="en-GB"/>
        </w:rPr>
        <w:t>.’</w:t>
      </w:r>
      <w:r w:rsidR="00357276">
        <w:rPr>
          <w:sz w:val="22"/>
          <w:szCs w:val="22"/>
          <w:lang w:val="en-GB"/>
        </w:rPr>
        <w:t xml:space="preserve"> (Own emphasis.)</w:t>
      </w:r>
    </w:p>
    <w:p w14:paraId="46413C9A" w14:textId="77777777" w:rsidR="00396288" w:rsidRPr="00C33AC9" w:rsidRDefault="00396288" w:rsidP="00C33AC9">
      <w:pPr>
        <w:jc w:val="both"/>
        <w:rPr>
          <w:sz w:val="22"/>
          <w:szCs w:val="22"/>
          <w:lang w:val="en-GB"/>
        </w:rPr>
      </w:pPr>
    </w:p>
    <w:p w14:paraId="135F3D03" w14:textId="27DDE77E" w:rsidR="00C33AC9" w:rsidRPr="00EB44AF" w:rsidRDefault="00EB44AF" w:rsidP="00EB44AF">
      <w:pPr>
        <w:autoSpaceDE w:val="0"/>
        <w:autoSpaceDN w:val="0"/>
        <w:adjustRightInd w:val="0"/>
        <w:jc w:val="both"/>
        <w:rPr>
          <w:lang w:val="en-GB"/>
        </w:rPr>
      </w:pPr>
      <w:r w:rsidRPr="00705F57">
        <w:rPr>
          <w:lang w:val="en-GB"/>
        </w:rPr>
        <w:t>[16]</w:t>
      </w:r>
      <w:r w:rsidRPr="00705F57">
        <w:rPr>
          <w:lang w:val="en-GB"/>
        </w:rPr>
        <w:tab/>
      </w:r>
      <w:r w:rsidR="00396288" w:rsidRPr="00EB44AF">
        <w:rPr>
          <w:lang w:val="en-GB"/>
        </w:rPr>
        <w:t>The link between the constitution and terms of provincial houses and the election of representatives to the National House</w:t>
      </w:r>
      <w:r w:rsidR="00A304A0" w:rsidRPr="00EB44AF">
        <w:rPr>
          <w:lang w:val="en-GB"/>
        </w:rPr>
        <w:t>, as explained in this Memorandum,</w:t>
      </w:r>
      <w:r w:rsidR="00396288" w:rsidRPr="00EB44AF">
        <w:rPr>
          <w:lang w:val="en-GB"/>
        </w:rPr>
        <w:t xml:space="preserve"> demonstrates the rationale for </w:t>
      </w:r>
      <w:r w:rsidR="00AE23D5" w:rsidRPr="00EB44AF">
        <w:rPr>
          <w:lang w:val="en-GB"/>
        </w:rPr>
        <w:t xml:space="preserve">the </w:t>
      </w:r>
      <w:r w:rsidR="00396288" w:rsidRPr="00EB44AF">
        <w:rPr>
          <w:lang w:val="en-GB"/>
        </w:rPr>
        <w:t>standardisation of dates.</w:t>
      </w:r>
      <w:r w:rsidR="00E14390" w:rsidRPr="00EB44AF">
        <w:rPr>
          <w:lang w:val="en-GB"/>
        </w:rPr>
        <w:t xml:space="preserve"> T</w:t>
      </w:r>
      <w:r w:rsidR="00AE23D5" w:rsidRPr="00EB44AF">
        <w:rPr>
          <w:lang w:val="en-GB"/>
        </w:rPr>
        <w:t xml:space="preserve">he Act deals </w:t>
      </w:r>
      <w:r w:rsidR="006377E6" w:rsidRPr="00EB44AF">
        <w:rPr>
          <w:lang w:val="en-GB"/>
        </w:rPr>
        <w:t xml:space="preserve">in this instance </w:t>
      </w:r>
      <w:r w:rsidR="00AE23D5" w:rsidRPr="00EB44AF">
        <w:rPr>
          <w:lang w:val="en-GB"/>
        </w:rPr>
        <w:t>with a matter that</w:t>
      </w:r>
      <w:r w:rsidR="00F42BC7" w:rsidRPr="00EB44AF">
        <w:rPr>
          <w:lang w:val="en-GB"/>
        </w:rPr>
        <w:t>, to be dealt with effectively,</w:t>
      </w:r>
      <w:r w:rsidR="00AE23D5" w:rsidRPr="00EB44AF">
        <w:rPr>
          <w:lang w:val="en-GB"/>
        </w:rPr>
        <w:t xml:space="preserve"> requires uniformity across the country</w:t>
      </w:r>
      <w:r w:rsidR="006D73E7" w:rsidRPr="00EB44AF">
        <w:rPr>
          <w:lang w:val="en-GB"/>
        </w:rPr>
        <w:t xml:space="preserve">. It </w:t>
      </w:r>
      <w:r w:rsidR="00E14390" w:rsidRPr="00EB44AF">
        <w:rPr>
          <w:lang w:val="en-GB"/>
        </w:rPr>
        <w:t xml:space="preserve">provides that uniformity by establishing a standard in respect of provincial houses and determining that the term of those provincial houses established by any legislation prior to the date of commencement of the Act </w:t>
      </w:r>
      <w:r w:rsidR="00250E17" w:rsidRPr="00EB44AF">
        <w:rPr>
          <w:lang w:val="en-GB"/>
        </w:rPr>
        <w:t>expire</w:t>
      </w:r>
      <w:r w:rsidR="00E14390" w:rsidRPr="00EB44AF">
        <w:rPr>
          <w:lang w:val="en-GB"/>
        </w:rPr>
        <w:t xml:space="preserve"> on 31 May 2022.</w:t>
      </w:r>
      <w:r w:rsidR="00A06D89" w:rsidRPr="00EB44AF">
        <w:rPr>
          <w:lang w:val="en-GB"/>
        </w:rPr>
        <w:t xml:space="preserve"> </w:t>
      </w:r>
      <w:r w:rsidR="001D1DEC" w:rsidRPr="00EB44AF">
        <w:rPr>
          <w:lang w:val="en-GB"/>
        </w:rPr>
        <w:t>Similarly, traditional leaders in the position of the applicant remained members of the provincial house only until that date</w:t>
      </w:r>
      <w:r w:rsidR="00351B16" w:rsidRPr="00EB44AF">
        <w:rPr>
          <w:lang w:val="en-GB"/>
        </w:rPr>
        <w:t>, as confirmed by the transitional arrangements included in the Act.</w:t>
      </w:r>
      <w:r w:rsidR="00F42BC7" w:rsidRPr="00EB44AF">
        <w:rPr>
          <w:lang w:val="en-GB"/>
        </w:rPr>
        <w:t xml:space="preserve"> This satisfies the provisions of s 146(2)</w:t>
      </w:r>
      <w:r w:rsidR="00F42BC7" w:rsidRPr="00EB44AF">
        <w:rPr>
          <w:i/>
          <w:iCs/>
          <w:lang w:val="en-GB"/>
        </w:rPr>
        <w:t>(b)</w:t>
      </w:r>
      <w:r w:rsidR="00F42BC7" w:rsidRPr="00EB44AF">
        <w:rPr>
          <w:lang w:val="en-GB"/>
        </w:rPr>
        <w:t xml:space="preserve"> of the Constitution, </w:t>
      </w:r>
      <w:r w:rsidR="00D16338" w:rsidRPr="00EB44AF">
        <w:rPr>
          <w:lang w:val="en-GB"/>
        </w:rPr>
        <w:t xml:space="preserve">so that the national legislation </w:t>
      </w:r>
      <w:r w:rsidR="00A5786B" w:rsidRPr="00EB44AF">
        <w:rPr>
          <w:lang w:val="en-GB"/>
        </w:rPr>
        <w:t xml:space="preserve">must </w:t>
      </w:r>
      <w:r w:rsidR="00D16338" w:rsidRPr="00EB44AF">
        <w:rPr>
          <w:lang w:val="en-GB"/>
        </w:rPr>
        <w:t>prevail over the provincial legislation.</w:t>
      </w:r>
    </w:p>
    <w:p w14:paraId="4CD9AA23" w14:textId="77777777" w:rsidR="00E57C72" w:rsidRPr="00D625B8" w:rsidRDefault="00E57C72" w:rsidP="00F565D0">
      <w:pPr>
        <w:jc w:val="both"/>
        <w:rPr>
          <w:lang w:val="en-GB"/>
        </w:rPr>
      </w:pPr>
    </w:p>
    <w:p w14:paraId="48EF6EC8" w14:textId="3BC6D506" w:rsidR="00E57C72" w:rsidRPr="00EB44AF" w:rsidRDefault="00EB44AF" w:rsidP="00EB44AF">
      <w:pPr>
        <w:autoSpaceDE w:val="0"/>
        <w:autoSpaceDN w:val="0"/>
        <w:adjustRightInd w:val="0"/>
        <w:jc w:val="both"/>
        <w:rPr>
          <w:lang w:val="en-GB"/>
        </w:rPr>
      </w:pPr>
      <w:r w:rsidRPr="00044B50">
        <w:rPr>
          <w:lang w:val="en-GB"/>
        </w:rPr>
        <w:t>[17]</w:t>
      </w:r>
      <w:r w:rsidRPr="00044B50">
        <w:rPr>
          <w:lang w:val="en-GB"/>
        </w:rPr>
        <w:tab/>
      </w:r>
      <w:r w:rsidR="004B336F" w:rsidRPr="00EB44AF">
        <w:rPr>
          <w:lang w:val="en-GB"/>
        </w:rPr>
        <w:t>It must therefore be accepted that t</w:t>
      </w:r>
      <w:r w:rsidR="007F57CC" w:rsidRPr="00EB44AF">
        <w:rPr>
          <w:lang w:val="en-GB"/>
        </w:rPr>
        <w:t xml:space="preserve">he term of the </w:t>
      </w:r>
      <w:r w:rsidR="00F8410F" w:rsidRPr="00EB44AF">
        <w:rPr>
          <w:lang w:val="en-GB"/>
        </w:rPr>
        <w:t>House</w:t>
      </w:r>
      <w:r w:rsidR="007F57CC" w:rsidRPr="00EB44AF">
        <w:rPr>
          <w:lang w:val="en-GB"/>
        </w:rPr>
        <w:t xml:space="preserve"> expired on 31 May 2022.</w:t>
      </w:r>
      <w:r w:rsidR="003365B5" w:rsidRPr="00EB44AF">
        <w:rPr>
          <w:lang w:val="en-GB"/>
        </w:rPr>
        <w:t xml:space="preserve"> </w:t>
      </w:r>
      <w:r w:rsidR="004F6CDD" w:rsidRPr="00EB44AF">
        <w:rPr>
          <w:lang w:val="en-GB"/>
        </w:rPr>
        <w:t xml:space="preserve">In interpreting a judgment, a court’s intention is to be ascertained primarily from the language of the judgment or order, as construed according to the usual, well-known rules applicable to documents. As in the case of any document, the judgment or order, and the court’s reasons for giving it, must be read </w:t>
      </w:r>
      <w:proofErr w:type="gramStart"/>
      <w:r w:rsidR="004F6CDD" w:rsidRPr="00EB44AF">
        <w:rPr>
          <w:lang w:val="en-GB"/>
        </w:rPr>
        <w:t>as a whole to</w:t>
      </w:r>
      <w:proofErr w:type="gramEnd"/>
      <w:r w:rsidR="004F6CDD" w:rsidRPr="00EB44AF">
        <w:rPr>
          <w:lang w:val="en-GB"/>
        </w:rPr>
        <w:t xml:space="preserve"> ascertain its intention.</w:t>
      </w:r>
      <w:r w:rsidR="00AF5FC7">
        <w:rPr>
          <w:rStyle w:val="FootnoteReference"/>
          <w:lang w:val="en-GB"/>
        </w:rPr>
        <w:footnoteReference w:id="14"/>
      </w:r>
      <w:r w:rsidR="004F6CDD" w:rsidRPr="00EB44AF">
        <w:rPr>
          <w:lang w:val="en-GB"/>
        </w:rPr>
        <w:t xml:space="preserve"> </w:t>
      </w:r>
      <w:r w:rsidR="003365B5" w:rsidRPr="00EB44AF">
        <w:rPr>
          <w:lang w:val="en-GB"/>
        </w:rPr>
        <w:t xml:space="preserve">The Order </w:t>
      </w:r>
      <w:r w:rsidR="0041146E" w:rsidRPr="00EB44AF">
        <w:rPr>
          <w:lang w:val="en-GB"/>
        </w:rPr>
        <w:t xml:space="preserve">of 10 August 2020, </w:t>
      </w:r>
      <w:r w:rsidR="003365B5" w:rsidRPr="00EB44AF">
        <w:rPr>
          <w:lang w:val="en-GB"/>
        </w:rPr>
        <w:t xml:space="preserve">interdicting the election of </w:t>
      </w:r>
      <w:r w:rsidR="00F8410F" w:rsidRPr="00EB44AF">
        <w:rPr>
          <w:lang w:val="en-GB"/>
        </w:rPr>
        <w:t xml:space="preserve">a new chairperson </w:t>
      </w:r>
      <w:r w:rsidR="0041146E" w:rsidRPr="00EB44AF">
        <w:rPr>
          <w:lang w:val="en-GB"/>
        </w:rPr>
        <w:lastRenderedPageBreak/>
        <w:t xml:space="preserve">of the House, could only have been intended to </w:t>
      </w:r>
      <w:r w:rsidR="005C3ED5" w:rsidRPr="00EB44AF">
        <w:rPr>
          <w:lang w:val="en-GB"/>
        </w:rPr>
        <w:t xml:space="preserve">prevail so long as the term of office of the House had not expired. </w:t>
      </w:r>
      <w:r w:rsidR="00F22116" w:rsidRPr="00EB44AF">
        <w:rPr>
          <w:lang w:val="en-GB"/>
        </w:rPr>
        <w:t>Section 64(1)</w:t>
      </w:r>
      <w:r w:rsidR="00F22116" w:rsidRPr="00EB44AF">
        <w:rPr>
          <w:i/>
          <w:iCs/>
          <w:lang w:val="en-GB"/>
        </w:rPr>
        <w:t>(a)</w:t>
      </w:r>
      <w:r w:rsidR="00F22116" w:rsidRPr="00EB44AF">
        <w:rPr>
          <w:lang w:val="en-GB"/>
        </w:rPr>
        <w:t xml:space="preserve"> read with s 69 of the Eastern Cape Act</w:t>
      </w:r>
      <w:r w:rsidR="00BD6EC8" w:rsidRPr="00EB44AF">
        <w:rPr>
          <w:lang w:val="en-GB"/>
        </w:rPr>
        <w:t xml:space="preserve"> support </w:t>
      </w:r>
      <w:r w:rsidR="00F86FDF" w:rsidRPr="00EB44AF">
        <w:rPr>
          <w:lang w:val="en-GB"/>
        </w:rPr>
        <w:t xml:space="preserve">such an interpretation. </w:t>
      </w:r>
      <w:r w:rsidR="002A0246" w:rsidRPr="00EB44AF">
        <w:rPr>
          <w:lang w:val="en-GB"/>
        </w:rPr>
        <w:t>The Order could not have intended to afford the applicant protection beyond the expiry of the term of office of the House</w:t>
      </w:r>
      <w:r w:rsidR="00F20859" w:rsidRPr="00EB44AF">
        <w:rPr>
          <w:lang w:val="en-GB"/>
        </w:rPr>
        <w:t xml:space="preserve">, purely on the basis that the separate review proceedings had not yet been finalised. </w:t>
      </w:r>
    </w:p>
    <w:p w14:paraId="3225DD1D" w14:textId="6F3974AE" w:rsidR="008C480D" w:rsidRPr="00D30CEE" w:rsidRDefault="008C480D" w:rsidP="00D30CEE">
      <w:pPr>
        <w:autoSpaceDE w:val="0"/>
        <w:autoSpaceDN w:val="0"/>
        <w:adjustRightInd w:val="0"/>
        <w:jc w:val="both"/>
        <w:rPr>
          <w:lang w:val="en-GB"/>
        </w:rPr>
      </w:pPr>
    </w:p>
    <w:p w14:paraId="38E7DD69" w14:textId="6C692427" w:rsidR="008C480D" w:rsidRPr="00EB44AF" w:rsidRDefault="00EB44AF" w:rsidP="00EB44AF">
      <w:pPr>
        <w:autoSpaceDE w:val="0"/>
        <w:autoSpaceDN w:val="0"/>
        <w:adjustRightInd w:val="0"/>
        <w:ind w:left="142" w:hanging="142"/>
        <w:jc w:val="both"/>
        <w:rPr>
          <w:lang w:val="en-GB"/>
        </w:rPr>
      </w:pPr>
      <w:r>
        <w:rPr>
          <w:lang w:val="en-GB"/>
        </w:rPr>
        <w:t>[18]</w:t>
      </w:r>
      <w:r>
        <w:rPr>
          <w:lang w:val="en-GB"/>
        </w:rPr>
        <w:tab/>
      </w:r>
      <w:r w:rsidR="0066675F" w:rsidRPr="00EB44AF">
        <w:rPr>
          <w:lang w:val="en-GB"/>
        </w:rPr>
        <w:t xml:space="preserve">That being the case, it follows that the test for contempt cannot be met. </w:t>
      </w:r>
      <w:r w:rsidR="00050BE4" w:rsidRPr="00EB44AF">
        <w:rPr>
          <w:lang w:val="en-GB"/>
        </w:rPr>
        <w:t xml:space="preserve">In my view the Order, properly interpreted, has not been breached. </w:t>
      </w:r>
      <w:r w:rsidR="00AC3453" w:rsidRPr="00EB44AF">
        <w:rPr>
          <w:lang w:val="en-GB"/>
        </w:rPr>
        <w:t xml:space="preserve">Even if the opposite was true, deliberate disregard of an Order would be insufficient for purposes of a finding of contempt in this instance. </w:t>
      </w:r>
      <w:r w:rsidR="006016EA" w:rsidRPr="00EB44AF">
        <w:rPr>
          <w:lang w:val="en-GB"/>
        </w:rPr>
        <w:t>This is because our law accepts that a non-complier may genuinely, albeit mistakenly, believe him- or herself entitled to act in the way claimed to constitute the contempt</w:t>
      </w:r>
      <w:r w:rsidR="00FA20B2" w:rsidRPr="00EB44AF">
        <w:rPr>
          <w:lang w:val="en-GB"/>
        </w:rPr>
        <w:t>, and good faith avoids the infraction.</w:t>
      </w:r>
      <w:r w:rsidR="006016EA">
        <w:rPr>
          <w:rStyle w:val="FootnoteReference"/>
          <w:lang w:val="en-GB"/>
        </w:rPr>
        <w:footnoteReference w:id="15"/>
      </w:r>
      <w:r w:rsidR="006016EA" w:rsidRPr="00EB44AF">
        <w:rPr>
          <w:lang w:val="en-GB"/>
        </w:rPr>
        <w:t xml:space="preserve"> </w:t>
      </w:r>
      <w:r w:rsidR="00D16E1E" w:rsidRPr="00EB44AF">
        <w:rPr>
          <w:lang w:val="en-GB"/>
        </w:rPr>
        <w:t>Given the wording of the Act, including its transitional provisions, the MEC and Acting Chairperson’s conduct would be protected on this basis.</w:t>
      </w:r>
      <w:r w:rsidR="00EF7222" w:rsidRPr="00EB44AF">
        <w:rPr>
          <w:lang w:val="en-GB"/>
        </w:rPr>
        <w:t xml:space="preserve"> Put differently, </w:t>
      </w:r>
      <w:r w:rsidR="006079D6" w:rsidRPr="00EB44AF">
        <w:rPr>
          <w:lang w:val="en-GB"/>
        </w:rPr>
        <w:t xml:space="preserve">they have </w:t>
      </w:r>
      <w:r w:rsidR="009A7D93" w:rsidRPr="00EB44AF">
        <w:rPr>
          <w:lang w:val="en-GB"/>
        </w:rPr>
        <w:t>discharged the evidential burden of showing</w:t>
      </w:r>
      <w:r w:rsidR="006079D6" w:rsidRPr="00EB44AF">
        <w:rPr>
          <w:lang w:val="en-GB"/>
        </w:rPr>
        <w:t xml:space="preserve"> </w:t>
      </w:r>
      <w:r w:rsidR="00893333" w:rsidRPr="00EB44AF">
        <w:rPr>
          <w:lang w:val="en-GB"/>
        </w:rPr>
        <w:t>that</w:t>
      </w:r>
      <w:r w:rsidR="00D16333" w:rsidRPr="00EB44AF">
        <w:rPr>
          <w:lang w:val="en-GB"/>
        </w:rPr>
        <w:t xml:space="preserve"> </w:t>
      </w:r>
      <w:r w:rsidR="00EF7222" w:rsidRPr="00EB44AF">
        <w:rPr>
          <w:lang w:val="en-GB"/>
        </w:rPr>
        <w:t>their refusal to obey the terms of the Order</w:t>
      </w:r>
      <w:r w:rsidR="006079D6" w:rsidRPr="00EB44AF">
        <w:rPr>
          <w:lang w:val="en-GB"/>
        </w:rPr>
        <w:t xml:space="preserve"> </w:t>
      </w:r>
      <w:r w:rsidR="00B45F63" w:rsidRPr="00EB44AF">
        <w:rPr>
          <w:lang w:val="en-GB"/>
        </w:rPr>
        <w:t>was</w:t>
      </w:r>
      <w:r w:rsidR="00851CB8" w:rsidRPr="00EB44AF">
        <w:rPr>
          <w:lang w:val="en-GB"/>
        </w:rPr>
        <w:t xml:space="preserve"> </w:t>
      </w:r>
      <w:r w:rsidR="00EF7222" w:rsidRPr="00EB44AF">
        <w:rPr>
          <w:lang w:val="en-GB"/>
        </w:rPr>
        <w:t>not both wilful and mala fide</w:t>
      </w:r>
      <w:r w:rsidR="00D74A1B" w:rsidRPr="00EB44AF">
        <w:rPr>
          <w:lang w:val="en-GB"/>
        </w:rPr>
        <w:t>.</w:t>
      </w:r>
      <w:r w:rsidR="00E02935">
        <w:rPr>
          <w:rStyle w:val="FootnoteReference"/>
          <w:lang w:val="en-GB"/>
        </w:rPr>
        <w:footnoteReference w:id="16"/>
      </w:r>
      <w:r w:rsidR="000B2898" w:rsidRPr="00EB44AF">
        <w:rPr>
          <w:lang w:val="en-GB"/>
        </w:rPr>
        <w:t xml:space="preserve"> As the SCA held in </w:t>
      </w:r>
      <w:r w:rsidR="000B2898" w:rsidRPr="00EB44AF">
        <w:rPr>
          <w:i/>
          <w:iCs/>
          <w:lang w:val="en-GB"/>
        </w:rPr>
        <w:t>Fakie</w:t>
      </w:r>
      <w:r w:rsidR="001C41DC" w:rsidRPr="00EB44AF">
        <w:rPr>
          <w:i/>
          <w:iCs/>
          <w:lang w:val="en-GB"/>
        </w:rPr>
        <w:t xml:space="preserve"> NO</w:t>
      </w:r>
      <w:r w:rsidR="000B2898" w:rsidRPr="00EB44AF">
        <w:rPr>
          <w:lang w:val="en-GB"/>
        </w:rPr>
        <w:t>:</w:t>
      </w:r>
      <w:r w:rsidR="00B24887">
        <w:rPr>
          <w:rStyle w:val="FootnoteReference"/>
          <w:lang w:val="en-GB"/>
        </w:rPr>
        <w:footnoteReference w:id="17"/>
      </w:r>
    </w:p>
    <w:p w14:paraId="487E780E" w14:textId="3A1BC10F" w:rsidR="000B2898" w:rsidRDefault="000B2898" w:rsidP="00A74C8B">
      <w:pPr>
        <w:ind w:left="142"/>
        <w:jc w:val="both"/>
        <w:rPr>
          <w:sz w:val="22"/>
          <w:szCs w:val="22"/>
          <w:lang w:val="en-GB"/>
        </w:rPr>
      </w:pPr>
      <w:r>
        <w:rPr>
          <w:sz w:val="22"/>
          <w:szCs w:val="22"/>
          <w:lang w:val="en-GB"/>
        </w:rPr>
        <w:t xml:space="preserve">‘… the offence is committed not by mere disregard of a court order, but by the deliberate and intentional violation of the court’s dignity, </w:t>
      </w:r>
      <w:proofErr w:type="gramStart"/>
      <w:r>
        <w:rPr>
          <w:sz w:val="22"/>
          <w:szCs w:val="22"/>
          <w:lang w:val="en-GB"/>
        </w:rPr>
        <w:t>repute</w:t>
      </w:r>
      <w:proofErr w:type="gramEnd"/>
      <w:r>
        <w:rPr>
          <w:sz w:val="22"/>
          <w:szCs w:val="22"/>
          <w:lang w:val="en-GB"/>
        </w:rPr>
        <w:t xml:space="preserve"> or authority that this evinces. Honest belief that non-compliance is justified or proper is incompatible with that intent.’</w:t>
      </w:r>
    </w:p>
    <w:p w14:paraId="55CA3863" w14:textId="77777777" w:rsidR="00B24887" w:rsidRPr="000B2898" w:rsidRDefault="00B24887" w:rsidP="000B2898">
      <w:pPr>
        <w:ind w:left="142"/>
        <w:rPr>
          <w:sz w:val="22"/>
          <w:szCs w:val="22"/>
          <w:lang w:val="en-GB"/>
        </w:rPr>
      </w:pPr>
    </w:p>
    <w:p w14:paraId="62069A95" w14:textId="00DD267F" w:rsidR="00657E31" w:rsidRPr="00EB44AF" w:rsidRDefault="00EB44AF" w:rsidP="00EB44AF">
      <w:pPr>
        <w:autoSpaceDE w:val="0"/>
        <w:autoSpaceDN w:val="0"/>
        <w:adjustRightInd w:val="0"/>
        <w:ind w:left="142" w:hanging="142"/>
        <w:jc w:val="both"/>
        <w:rPr>
          <w:lang w:val="en-GB"/>
        </w:rPr>
      </w:pPr>
      <w:r>
        <w:rPr>
          <w:lang w:val="en-GB"/>
        </w:rPr>
        <w:t>[19]</w:t>
      </w:r>
      <w:r>
        <w:rPr>
          <w:lang w:val="en-GB"/>
        </w:rPr>
        <w:tab/>
      </w:r>
      <w:r w:rsidR="00B45F63" w:rsidRPr="00EB44AF">
        <w:rPr>
          <w:lang w:val="en-GB"/>
        </w:rPr>
        <w:t>The applicant has failed to satisfy me on a balance of probabilities that he is entitled to the declaratory relief claimed in paragraphs 2.1 and 2.2 of the notice of motion</w:t>
      </w:r>
      <w:r w:rsidR="009E33E7" w:rsidRPr="00EB44AF">
        <w:rPr>
          <w:lang w:val="en-GB"/>
        </w:rPr>
        <w:t xml:space="preserve">. </w:t>
      </w:r>
      <w:proofErr w:type="gramStart"/>
      <w:r w:rsidR="00445494" w:rsidRPr="00EB44AF">
        <w:rPr>
          <w:lang w:val="en-GB"/>
        </w:rPr>
        <w:t>In particular, it</w:t>
      </w:r>
      <w:proofErr w:type="gramEnd"/>
      <w:r w:rsidR="00445494" w:rsidRPr="00EB44AF">
        <w:rPr>
          <w:lang w:val="en-GB"/>
        </w:rPr>
        <w:t xml:space="preserve"> has not been proved that the non-compliance with the Order was wilful and mala fide. </w:t>
      </w:r>
      <w:r w:rsidR="00364836" w:rsidRPr="00EB44AF">
        <w:rPr>
          <w:lang w:val="en-GB"/>
        </w:rPr>
        <w:t xml:space="preserve">Given the legislative framework, as already explained, </w:t>
      </w:r>
      <w:r w:rsidR="00326AF3" w:rsidRPr="00EB44AF">
        <w:rPr>
          <w:lang w:val="en-GB"/>
        </w:rPr>
        <w:t>I am also not convinced that the sitting of the House on 9 June 2020 was illegal and of no consequence.</w:t>
      </w:r>
      <w:r w:rsidR="00D01D65" w:rsidRPr="00EB44AF">
        <w:rPr>
          <w:lang w:val="en-GB"/>
        </w:rPr>
        <w:t xml:space="preserve"> </w:t>
      </w:r>
      <w:r w:rsidR="00657E31" w:rsidRPr="00EB44AF">
        <w:rPr>
          <w:lang w:val="en-GB"/>
        </w:rPr>
        <w:t xml:space="preserve">The relief sought in the remainder of the notice of motion also fails in the circumstances.  </w:t>
      </w:r>
    </w:p>
    <w:p w14:paraId="44BF5403" w14:textId="3C356823" w:rsidR="00657E31" w:rsidRDefault="00657E31" w:rsidP="00657E31">
      <w:pPr>
        <w:autoSpaceDE w:val="0"/>
        <w:autoSpaceDN w:val="0"/>
        <w:adjustRightInd w:val="0"/>
        <w:jc w:val="both"/>
        <w:rPr>
          <w:lang w:val="en-GB"/>
        </w:rPr>
      </w:pPr>
    </w:p>
    <w:p w14:paraId="685BF3E8" w14:textId="7884317F" w:rsidR="006B71C9" w:rsidRDefault="006B71C9" w:rsidP="00657E31">
      <w:pPr>
        <w:autoSpaceDE w:val="0"/>
        <w:autoSpaceDN w:val="0"/>
        <w:adjustRightInd w:val="0"/>
        <w:jc w:val="both"/>
        <w:rPr>
          <w:lang w:val="en-GB"/>
        </w:rPr>
      </w:pPr>
    </w:p>
    <w:p w14:paraId="026BBBDE" w14:textId="7A12E852" w:rsidR="00B37269" w:rsidRDefault="00B37269" w:rsidP="00657E31">
      <w:pPr>
        <w:autoSpaceDE w:val="0"/>
        <w:autoSpaceDN w:val="0"/>
        <w:adjustRightInd w:val="0"/>
        <w:jc w:val="both"/>
        <w:rPr>
          <w:lang w:val="en-GB"/>
        </w:rPr>
      </w:pPr>
    </w:p>
    <w:p w14:paraId="4267863B" w14:textId="77777777" w:rsidR="00B37269" w:rsidRDefault="00B37269" w:rsidP="00657E31">
      <w:pPr>
        <w:autoSpaceDE w:val="0"/>
        <w:autoSpaceDN w:val="0"/>
        <w:adjustRightInd w:val="0"/>
        <w:jc w:val="both"/>
        <w:rPr>
          <w:lang w:val="en-GB"/>
        </w:rPr>
      </w:pPr>
    </w:p>
    <w:p w14:paraId="28E3A8EB" w14:textId="4A80AB33" w:rsidR="00657E31" w:rsidRDefault="00657E31" w:rsidP="00657E31">
      <w:pPr>
        <w:autoSpaceDE w:val="0"/>
        <w:autoSpaceDN w:val="0"/>
        <w:adjustRightInd w:val="0"/>
        <w:jc w:val="both"/>
        <w:rPr>
          <w:b/>
          <w:bCs/>
          <w:lang w:val="en-GB"/>
        </w:rPr>
      </w:pPr>
      <w:r>
        <w:rPr>
          <w:b/>
          <w:bCs/>
          <w:lang w:val="en-GB"/>
        </w:rPr>
        <w:lastRenderedPageBreak/>
        <w:t>Order</w:t>
      </w:r>
    </w:p>
    <w:p w14:paraId="4534914E" w14:textId="77777777" w:rsidR="00657E31" w:rsidRPr="00657E31" w:rsidRDefault="00657E31" w:rsidP="00657E31">
      <w:pPr>
        <w:autoSpaceDE w:val="0"/>
        <w:autoSpaceDN w:val="0"/>
        <w:adjustRightInd w:val="0"/>
        <w:jc w:val="both"/>
        <w:rPr>
          <w:b/>
          <w:bCs/>
          <w:lang w:val="en-GB"/>
        </w:rPr>
      </w:pPr>
    </w:p>
    <w:p w14:paraId="2C5363FE" w14:textId="1C7051BA" w:rsidR="00657E31" w:rsidRPr="00EB44AF" w:rsidRDefault="00EB44AF" w:rsidP="00EB44AF">
      <w:pPr>
        <w:autoSpaceDE w:val="0"/>
        <w:autoSpaceDN w:val="0"/>
        <w:adjustRightInd w:val="0"/>
        <w:ind w:left="142" w:hanging="142"/>
        <w:jc w:val="both"/>
        <w:rPr>
          <w:lang w:val="en-GB"/>
        </w:rPr>
      </w:pPr>
      <w:r>
        <w:rPr>
          <w:lang w:val="en-GB"/>
        </w:rPr>
        <w:t>[20]</w:t>
      </w:r>
      <w:r>
        <w:rPr>
          <w:lang w:val="en-GB"/>
        </w:rPr>
        <w:tab/>
      </w:r>
      <w:r w:rsidR="00657E31" w:rsidRPr="00EB44AF">
        <w:rPr>
          <w:lang w:val="en-GB"/>
        </w:rPr>
        <w:t>The following order will issue:</w:t>
      </w:r>
    </w:p>
    <w:p w14:paraId="16319B4D" w14:textId="436B8A85" w:rsidR="00657E31" w:rsidRDefault="00657E31" w:rsidP="00657E31">
      <w:pPr>
        <w:autoSpaceDE w:val="0"/>
        <w:autoSpaceDN w:val="0"/>
        <w:adjustRightInd w:val="0"/>
        <w:jc w:val="both"/>
        <w:rPr>
          <w:b/>
          <w:bCs/>
          <w:lang w:val="en-GB"/>
        </w:rPr>
      </w:pPr>
    </w:p>
    <w:p w14:paraId="0FADECC8" w14:textId="469E8B13" w:rsidR="00657E31" w:rsidRPr="00EB44AF" w:rsidRDefault="00EB44AF" w:rsidP="00EB44AF">
      <w:pPr>
        <w:autoSpaceDE w:val="0"/>
        <w:autoSpaceDN w:val="0"/>
        <w:adjustRightInd w:val="0"/>
        <w:ind w:left="720" w:hanging="360"/>
        <w:jc w:val="both"/>
        <w:rPr>
          <w:lang w:val="en-GB"/>
        </w:rPr>
      </w:pPr>
      <w:r w:rsidRPr="00657E31">
        <w:rPr>
          <w:lang w:val="en-GB"/>
        </w:rPr>
        <w:t>1.</w:t>
      </w:r>
      <w:r w:rsidRPr="00657E31">
        <w:rPr>
          <w:lang w:val="en-GB"/>
        </w:rPr>
        <w:tab/>
      </w:r>
      <w:r w:rsidR="00657E31" w:rsidRPr="00EB44AF">
        <w:rPr>
          <w:lang w:val="en-GB"/>
        </w:rPr>
        <w:t>The application is dismissed with costs.</w:t>
      </w: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44395C39" w14:textId="77777777" w:rsidR="00EB2585" w:rsidRPr="00A87D38" w:rsidRDefault="00EB2585" w:rsidP="00EB2585">
      <w:pPr>
        <w:widowControl w:val="0"/>
        <w:ind w:left="4320" w:right="656" w:firstLine="720"/>
        <w:jc w:val="right"/>
        <w:rPr>
          <w:spacing w:val="14"/>
          <w:kern w:val="2"/>
          <w:lang w:val="en-GB"/>
        </w:rPr>
      </w:pPr>
      <w:r w:rsidRPr="00B14010">
        <w:rPr>
          <w:b/>
          <w:spacing w:val="14"/>
          <w:kern w:val="2"/>
          <w:lang w:val="en-GB"/>
        </w:rPr>
        <w:t>Heard</w:t>
      </w:r>
      <w:r w:rsidRPr="00A87D38">
        <w:rPr>
          <w:spacing w:val="14"/>
          <w:kern w:val="2"/>
          <w:lang w:val="en-GB"/>
        </w:rPr>
        <w:t>:</w:t>
      </w:r>
      <w:r>
        <w:rPr>
          <w:spacing w:val="14"/>
          <w:kern w:val="2"/>
          <w:lang w:val="en-GB"/>
        </w:rPr>
        <w:t>27 October 2022</w:t>
      </w:r>
    </w:p>
    <w:p w14:paraId="6793DFE7" w14:textId="77777777" w:rsidR="00EB2585" w:rsidRPr="00A87D38" w:rsidRDefault="00EB2585" w:rsidP="00EB2585">
      <w:pPr>
        <w:widowControl w:val="0"/>
        <w:ind w:left="4320" w:right="656" w:firstLine="720"/>
        <w:jc w:val="right"/>
        <w:rPr>
          <w:spacing w:val="14"/>
          <w:kern w:val="2"/>
          <w:lang w:val="en-GB"/>
        </w:rPr>
      </w:pPr>
      <w:r w:rsidRPr="00B14010">
        <w:rPr>
          <w:b/>
          <w:spacing w:val="14"/>
          <w:kern w:val="2"/>
          <w:lang w:val="en-GB"/>
        </w:rPr>
        <w:t>Delivered</w:t>
      </w:r>
      <w:r w:rsidRPr="00A87D38">
        <w:rPr>
          <w:spacing w:val="14"/>
          <w:kern w:val="2"/>
          <w:lang w:val="en-GB"/>
        </w:rPr>
        <w:t>:</w:t>
      </w:r>
      <w:r>
        <w:rPr>
          <w:spacing w:val="14"/>
          <w:kern w:val="2"/>
          <w:lang w:val="en-GB"/>
        </w:rPr>
        <w:t>27 October 2022</w:t>
      </w:r>
    </w:p>
    <w:p w14:paraId="398380BF" w14:textId="77777777" w:rsidR="007A7BBE" w:rsidRPr="00044B50" w:rsidRDefault="007A7BBE" w:rsidP="004A5151">
      <w:pPr>
        <w:autoSpaceDE w:val="0"/>
        <w:autoSpaceDN w:val="0"/>
        <w:adjustRightInd w:val="0"/>
        <w:jc w:val="both"/>
        <w:rPr>
          <w:lang w:val="en-GB"/>
        </w:rPr>
      </w:pPr>
    </w:p>
    <w:p w14:paraId="0BAE84DD" w14:textId="79950F93" w:rsidR="007C247A" w:rsidRDefault="007C247A" w:rsidP="00772E4B">
      <w:pPr>
        <w:jc w:val="both"/>
        <w:rPr>
          <w:lang w:val="en-GB"/>
        </w:rPr>
      </w:pPr>
      <w:r w:rsidRPr="00044B50">
        <w:rPr>
          <w:lang w:val="en-GB"/>
        </w:rPr>
        <w:t>Appearances:</w:t>
      </w:r>
    </w:p>
    <w:p w14:paraId="66837056" w14:textId="5B798FD9" w:rsidR="00C33845" w:rsidRDefault="00C33845" w:rsidP="00772E4B">
      <w:pPr>
        <w:jc w:val="both"/>
        <w:rPr>
          <w:lang w:val="en-GB"/>
        </w:rPr>
      </w:pPr>
    </w:p>
    <w:p w14:paraId="1A96B021" w14:textId="6984E54D" w:rsidR="00C33845" w:rsidRDefault="00C33845" w:rsidP="00772E4B">
      <w:pPr>
        <w:jc w:val="both"/>
        <w:rPr>
          <w:lang w:val="en-GB"/>
        </w:rPr>
      </w:pPr>
      <w:r>
        <w:rPr>
          <w:lang w:val="en-GB"/>
        </w:rPr>
        <w:t xml:space="preserve">For the </w:t>
      </w:r>
      <w:r w:rsidR="006B71C9">
        <w:rPr>
          <w:lang w:val="en-GB"/>
        </w:rPr>
        <w:t>Applicant:</w:t>
      </w:r>
      <w:r w:rsidR="006B71C9">
        <w:rPr>
          <w:lang w:val="en-GB"/>
        </w:rPr>
        <w:tab/>
      </w:r>
      <w:r>
        <w:rPr>
          <w:lang w:val="en-GB"/>
        </w:rPr>
        <w:tab/>
      </w:r>
      <w:r>
        <w:rPr>
          <w:lang w:val="en-GB"/>
        </w:rPr>
        <w:tab/>
      </w:r>
      <w:r>
        <w:rPr>
          <w:lang w:val="en-GB"/>
        </w:rPr>
        <w:tab/>
      </w:r>
      <w:r w:rsidR="006B71C9">
        <w:rPr>
          <w:lang w:val="en-GB"/>
        </w:rPr>
        <w:t xml:space="preserve">Adv M </w:t>
      </w:r>
      <w:proofErr w:type="spellStart"/>
      <w:r w:rsidR="006B71C9">
        <w:rPr>
          <w:lang w:val="en-GB"/>
        </w:rPr>
        <w:t>Nonkonyana</w:t>
      </w:r>
      <w:proofErr w:type="spellEnd"/>
    </w:p>
    <w:p w14:paraId="2A5DB8C7" w14:textId="1FEB50B4" w:rsidR="00EB2E16" w:rsidRDefault="00EB2E16" w:rsidP="00772E4B">
      <w:pPr>
        <w:jc w:val="both"/>
        <w:rPr>
          <w:lang w:val="en-GB"/>
        </w:rPr>
      </w:pPr>
    </w:p>
    <w:p w14:paraId="2183D72B" w14:textId="470C9902" w:rsidR="00EB2E16" w:rsidRDefault="00EB2E16" w:rsidP="00772E4B">
      <w:pPr>
        <w:jc w:val="both"/>
        <w:rPr>
          <w:lang w:val="en-GB"/>
        </w:rPr>
      </w:pPr>
      <w:r>
        <w:rPr>
          <w:lang w:val="en-GB"/>
        </w:rPr>
        <w:t>Instructed by:</w:t>
      </w:r>
      <w:r>
        <w:rPr>
          <w:lang w:val="en-GB"/>
        </w:rPr>
        <w:tab/>
      </w:r>
      <w:r>
        <w:rPr>
          <w:lang w:val="en-GB"/>
        </w:rPr>
        <w:tab/>
      </w:r>
      <w:r>
        <w:rPr>
          <w:lang w:val="en-GB"/>
        </w:rPr>
        <w:tab/>
      </w:r>
      <w:r>
        <w:rPr>
          <w:lang w:val="en-GB"/>
        </w:rPr>
        <w:tab/>
      </w:r>
      <w:proofErr w:type="spellStart"/>
      <w:r>
        <w:rPr>
          <w:lang w:val="en-GB"/>
        </w:rPr>
        <w:t>Hexana</w:t>
      </w:r>
      <w:proofErr w:type="spellEnd"/>
      <w:r>
        <w:rPr>
          <w:lang w:val="en-GB"/>
        </w:rPr>
        <w:t xml:space="preserve"> Attorneys</w:t>
      </w:r>
    </w:p>
    <w:p w14:paraId="4956C42F" w14:textId="18DB2DCA" w:rsidR="00EB2E16" w:rsidRDefault="00EB2E16" w:rsidP="00772E4B">
      <w:pPr>
        <w:jc w:val="both"/>
        <w:rPr>
          <w:lang w:val="en-GB"/>
        </w:rPr>
      </w:pPr>
      <w:r>
        <w:rPr>
          <w:lang w:val="en-GB"/>
        </w:rPr>
        <w:tab/>
      </w:r>
      <w:r>
        <w:rPr>
          <w:lang w:val="en-GB"/>
        </w:rPr>
        <w:tab/>
      </w:r>
      <w:r>
        <w:rPr>
          <w:lang w:val="en-GB"/>
        </w:rPr>
        <w:tab/>
      </w:r>
      <w:r>
        <w:rPr>
          <w:lang w:val="en-GB"/>
        </w:rPr>
        <w:tab/>
      </w:r>
      <w:r>
        <w:rPr>
          <w:lang w:val="en-GB"/>
        </w:rPr>
        <w:tab/>
      </w:r>
      <w:r>
        <w:rPr>
          <w:lang w:val="en-GB"/>
        </w:rPr>
        <w:tab/>
      </w:r>
      <w:r w:rsidR="00CF5F6B">
        <w:rPr>
          <w:lang w:val="en-GB"/>
        </w:rPr>
        <w:t>King William’s Town</w:t>
      </w:r>
    </w:p>
    <w:p w14:paraId="2B786617" w14:textId="1675A20A" w:rsidR="00CF5F6B" w:rsidRDefault="00CF5F6B" w:rsidP="00772E4B">
      <w:pPr>
        <w:jc w:val="both"/>
        <w:rPr>
          <w:lang w:val="en-GB"/>
        </w:rPr>
      </w:pPr>
      <w:r>
        <w:rPr>
          <w:lang w:val="en-GB"/>
        </w:rPr>
        <w:tab/>
      </w:r>
      <w:r>
        <w:rPr>
          <w:lang w:val="en-GB"/>
        </w:rPr>
        <w:tab/>
      </w:r>
      <w:r>
        <w:rPr>
          <w:lang w:val="en-GB"/>
        </w:rPr>
        <w:tab/>
      </w:r>
      <w:r>
        <w:rPr>
          <w:lang w:val="en-GB"/>
        </w:rPr>
        <w:tab/>
      </w:r>
      <w:r>
        <w:rPr>
          <w:lang w:val="en-GB"/>
        </w:rPr>
        <w:tab/>
      </w:r>
      <w:r>
        <w:rPr>
          <w:lang w:val="en-GB"/>
        </w:rPr>
        <w:tab/>
        <w:t>Info@hexanaattorneys.co.za</w:t>
      </w:r>
    </w:p>
    <w:p w14:paraId="020EA7D5" w14:textId="77777777" w:rsidR="00C33845" w:rsidRDefault="00C33845" w:rsidP="00772E4B">
      <w:pPr>
        <w:jc w:val="both"/>
        <w:rPr>
          <w:lang w:val="en-GB"/>
        </w:rPr>
      </w:pPr>
    </w:p>
    <w:p w14:paraId="23A2D137" w14:textId="77777777" w:rsidR="00C33845" w:rsidRDefault="00C33845" w:rsidP="00772E4B">
      <w:pPr>
        <w:jc w:val="both"/>
        <w:rPr>
          <w:lang w:val="en-GB"/>
        </w:rPr>
      </w:pPr>
    </w:p>
    <w:p w14:paraId="631AD31F" w14:textId="2A65203C" w:rsidR="008677E3" w:rsidRDefault="00C33845" w:rsidP="00A66433">
      <w:pPr>
        <w:jc w:val="both"/>
        <w:rPr>
          <w:lang w:val="en-GB"/>
        </w:rPr>
      </w:pPr>
      <w:r>
        <w:rPr>
          <w:lang w:val="en-GB"/>
        </w:rPr>
        <w:t>For the</w:t>
      </w:r>
      <w:r w:rsidR="006B71C9">
        <w:rPr>
          <w:lang w:val="en-GB"/>
        </w:rPr>
        <w:t xml:space="preserve"> Respondents</w:t>
      </w:r>
      <w:r>
        <w:rPr>
          <w:lang w:val="en-GB"/>
        </w:rPr>
        <w:t>:</w:t>
      </w:r>
      <w:r>
        <w:rPr>
          <w:lang w:val="en-GB"/>
        </w:rPr>
        <w:tab/>
      </w:r>
      <w:r>
        <w:rPr>
          <w:lang w:val="en-GB"/>
        </w:rPr>
        <w:tab/>
      </w:r>
      <w:r>
        <w:rPr>
          <w:lang w:val="en-GB"/>
        </w:rPr>
        <w:tab/>
      </w:r>
      <w:r w:rsidR="006B71C9">
        <w:rPr>
          <w:lang w:val="en-GB"/>
        </w:rPr>
        <w:t xml:space="preserve">Adv AM </w:t>
      </w:r>
      <w:proofErr w:type="spellStart"/>
      <w:r w:rsidR="006B71C9">
        <w:rPr>
          <w:lang w:val="en-GB"/>
        </w:rPr>
        <w:t>Bodlani</w:t>
      </w:r>
      <w:proofErr w:type="spellEnd"/>
      <w:r w:rsidR="006B71C9">
        <w:rPr>
          <w:lang w:val="en-GB"/>
        </w:rPr>
        <w:t xml:space="preserve"> SC</w:t>
      </w:r>
      <w:r>
        <w:rPr>
          <w:lang w:val="en-GB"/>
        </w:rPr>
        <w:tab/>
      </w:r>
      <w:r>
        <w:rPr>
          <w:lang w:val="en-GB"/>
        </w:rPr>
        <w:tab/>
      </w:r>
      <w:r>
        <w:rPr>
          <w:lang w:val="en-GB"/>
        </w:rPr>
        <w:tab/>
      </w:r>
      <w:r>
        <w:rPr>
          <w:lang w:val="en-GB"/>
        </w:rPr>
        <w:tab/>
      </w:r>
      <w:r>
        <w:rPr>
          <w:lang w:val="en-GB"/>
        </w:rPr>
        <w:tab/>
      </w:r>
      <w:r w:rsidR="00EB2E16">
        <w:rPr>
          <w:lang w:val="en-GB"/>
        </w:rPr>
        <w:tab/>
      </w:r>
      <w:r w:rsidR="00EB2E16">
        <w:rPr>
          <w:lang w:val="en-GB"/>
        </w:rPr>
        <w:tab/>
      </w:r>
      <w:r w:rsidR="00EB2E16">
        <w:rPr>
          <w:lang w:val="en-GB"/>
        </w:rPr>
        <w:tab/>
      </w:r>
      <w:r w:rsidR="00EB2E16">
        <w:rPr>
          <w:lang w:val="en-GB"/>
        </w:rPr>
        <w:tab/>
      </w:r>
      <w:r w:rsidR="00EB2E16">
        <w:rPr>
          <w:lang w:val="en-GB"/>
        </w:rPr>
        <w:tab/>
        <w:t>Mthatha Bar of Advocates</w:t>
      </w:r>
    </w:p>
    <w:p w14:paraId="04925F96" w14:textId="772958B1" w:rsidR="00EB2E16" w:rsidRDefault="00EB2E16" w:rsidP="00A66433">
      <w:pPr>
        <w:jc w:val="both"/>
        <w:rPr>
          <w:lang w:val="en-GB"/>
        </w:rPr>
      </w:pPr>
    </w:p>
    <w:p w14:paraId="083C8254" w14:textId="3953E6D1" w:rsidR="00EB2E16" w:rsidRDefault="00EB2E16" w:rsidP="00A66433">
      <w:pPr>
        <w:jc w:val="both"/>
        <w:rPr>
          <w:lang w:val="en-GB"/>
        </w:rPr>
      </w:pPr>
      <w:r>
        <w:rPr>
          <w:lang w:val="en-GB"/>
        </w:rPr>
        <w:t>Instructed by:</w:t>
      </w:r>
      <w:r>
        <w:rPr>
          <w:lang w:val="en-GB"/>
        </w:rPr>
        <w:tab/>
      </w:r>
      <w:r>
        <w:rPr>
          <w:lang w:val="en-GB"/>
        </w:rPr>
        <w:tab/>
      </w:r>
      <w:r>
        <w:rPr>
          <w:lang w:val="en-GB"/>
        </w:rPr>
        <w:tab/>
      </w:r>
      <w:r>
        <w:rPr>
          <w:lang w:val="en-GB"/>
        </w:rPr>
        <w:tab/>
        <w:t xml:space="preserve">The State Attorney </w:t>
      </w:r>
    </w:p>
    <w:p w14:paraId="62CAC168" w14:textId="122527D9" w:rsidR="00EB2E16" w:rsidRDefault="00EB2E16" w:rsidP="00A66433">
      <w:pPr>
        <w:jc w:val="both"/>
        <w:rPr>
          <w:lang w:val="en-GB"/>
        </w:rPr>
      </w:pPr>
      <w:r>
        <w:rPr>
          <w:lang w:val="en-GB"/>
        </w:rPr>
        <w:tab/>
      </w:r>
      <w:r>
        <w:rPr>
          <w:lang w:val="en-GB"/>
        </w:rPr>
        <w:tab/>
      </w:r>
      <w:r>
        <w:rPr>
          <w:lang w:val="en-GB"/>
        </w:rPr>
        <w:tab/>
      </w:r>
      <w:r>
        <w:rPr>
          <w:lang w:val="en-GB"/>
        </w:rPr>
        <w:tab/>
      </w:r>
      <w:r>
        <w:rPr>
          <w:lang w:val="en-GB"/>
        </w:rPr>
        <w:tab/>
      </w:r>
      <w:r>
        <w:rPr>
          <w:lang w:val="en-GB"/>
        </w:rPr>
        <w:tab/>
        <w:t>East London</w:t>
      </w:r>
    </w:p>
    <w:p w14:paraId="36767571" w14:textId="20E3E25F" w:rsidR="00EB2E16" w:rsidRDefault="00EB2E16" w:rsidP="00A66433">
      <w:pPr>
        <w:jc w:val="both"/>
        <w:rPr>
          <w:lang w:val="en-GB"/>
        </w:rPr>
      </w:pPr>
      <w:r>
        <w:rPr>
          <w:lang w:val="en-GB"/>
        </w:rPr>
        <w:tab/>
      </w:r>
      <w:r>
        <w:rPr>
          <w:lang w:val="en-GB"/>
        </w:rPr>
        <w:tab/>
      </w:r>
      <w:r>
        <w:rPr>
          <w:lang w:val="en-GB"/>
        </w:rPr>
        <w:tab/>
      </w:r>
      <w:r>
        <w:rPr>
          <w:lang w:val="en-GB"/>
        </w:rPr>
        <w:tab/>
      </w:r>
      <w:r>
        <w:rPr>
          <w:lang w:val="en-GB"/>
        </w:rPr>
        <w:tab/>
      </w:r>
      <w:r>
        <w:rPr>
          <w:lang w:val="en-GB"/>
        </w:rPr>
        <w:tab/>
        <w:t>043 7065100</w:t>
      </w:r>
    </w:p>
    <w:p w14:paraId="61700F88" w14:textId="17502BE2" w:rsidR="00EB2E16" w:rsidRPr="00044B50" w:rsidRDefault="00EB2E16" w:rsidP="00A66433">
      <w:pPr>
        <w:jc w:val="both"/>
        <w:rPr>
          <w:lang w:val="en-GB"/>
        </w:rPr>
      </w:pPr>
      <w:r>
        <w:rPr>
          <w:lang w:val="en-GB"/>
        </w:rPr>
        <w:tab/>
      </w:r>
      <w:r>
        <w:rPr>
          <w:lang w:val="en-GB"/>
        </w:rPr>
        <w:tab/>
      </w:r>
      <w:r>
        <w:rPr>
          <w:lang w:val="en-GB"/>
        </w:rPr>
        <w:tab/>
      </w:r>
      <w:r>
        <w:rPr>
          <w:lang w:val="en-GB"/>
        </w:rPr>
        <w:tab/>
      </w:r>
      <w:r>
        <w:rPr>
          <w:lang w:val="en-GB"/>
        </w:rPr>
        <w:tab/>
      </w:r>
      <w:r>
        <w:rPr>
          <w:lang w:val="en-GB"/>
        </w:rPr>
        <w:tab/>
        <w:t>ckela@justice.gov.za</w:t>
      </w:r>
    </w:p>
    <w:sectPr w:rsidR="00EB2E16"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CA07" w14:textId="77777777" w:rsidR="00C97EC5" w:rsidRDefault="00C97EC5" w:rsidP="00005691">
      <w:r>
        <w:separator/>
      </w:r>
    </w:p>
  </w:endnote>
  <w:endnote w:type="continuationSeparator" w:id="0">
    <w:p w14:paraId="32935C8B" w14:textId="77777777" w:rsidR="00C97EC5" w:rsidRDefault="00C97EC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49E7" w14:textId="77777777" w:rsidR="00C97EC5" w:rsidRDefault="00C97EC5" w:rsidP="00005691">
      <w:r>
        <w:separator/>
      </w:r>
    </w:p>
  </w:footnote>
  <w:footnote w:type="continuationSeparator" w:id="0">
    <w:p w14:paraId="732D3B45" w14:textId="77777777" w:rsidR="00C97EC5" w:rsidRDefault="00C97EC5" w:rsidP="00005691">
      <w:r>
        <w:continuationSeparator/>
      </w:r>
    </w:p>
  </w:footnote>
  <w:footnote w:id="1">
    <w:p w14:paraId="119689BF" w14:textId="5E672C57" w:rsidR="00405149" w:rsidRPr="00405149" w:rsidRDefault="00405149" w:rsidP="00223E72">
      <w:pPr>
        <w:pStyle w:val="FootnoteText"/>
        <w:spacing w:line="240" w:lineRule="auto"/>
        <w:jc w:val="both"/>
        <w:rPr>
          <w:lang w:val="en-US"/>
        </w:rPr>
      </w:pPr>
      <w:r>
        <w:rPr>
          <w:rStyle w:val="FootnoteReference"/>
        </w:rPr>
        <w:footnoteRef/>
      </w:r>
      <w:r>
        <w:t xml:space="preserve"> </w:t>
      </w:r>
      <w:r>
        <w:rPr>
          <w:lang w:val="en-US"/>
        </w:rPr>
        <w:t xml:space="preserve">That application pertains to the allegedly unlawful removal of the applicant as chairperson of the House </w:t>
      </w:r>
      <w:r w:rsidR="000F0619">
        <w:rPr>
          <w:lang w:val="en-US"/>
        </w:rPr>
        <w:t>on 31 July 2020.</w:t>
      </w:r>
    </w:p>
  </w:footnote>
  <w:footnote w:id="2">
    <w:p w14:paraId="52F06267" w14:textId="1A3699E7" w:rsidR="00EA77F2" w:rsidRPr="00EA77F2" w:rsidRDefault="00EA77F2" w:rsidP="00223E72">
      <w:pPr>
        <w:pStyle w:val="FootnoteText"/>
        <w:spacing w:line="240" w:lineRule="auto"/>
        <w:jc w:val="both"/>
        <w:rPr>
          <w:lang w:val="en-US"/>
        </w:rPr>
      </w:pPr>
      <w:r>
        <w:rPr>
          <w:rStyle w:val="FootnoteReference"/>
        </w:rPr>
        <w:footnoteRef/>
      </w:r>
      <w:r>
        <w:t xml:space="preserve"> </w:t>
      </w:r>
      <w:r>
        <w:rPr>
          <w:lang w:val="en-US"/>
        </w:rPr>
        <w:t>Act 41 of 2003.</w:t>
      </w:r>
    </w:p>
  </w:footnote>
  <w:footnote w:id="3">
    <w:p w14:paraId="4226B852" w14:textId="77777777" w:rsidR="00EA77F2" w:rsidRPr="00FF62B1" w:rsidRDefault="00EA77F2" w:rsidP="00223E72">
      <w:pPr>
        <w:pStyle w:val="FootnoteText"/>
        <w:spacing w:line="240" w:lineRule="auto"/>
        <w:jc w:val="both"/>
        <w:rPr>
          <w:lang w:val="en-US"/>
        </w:rPr>
      </w:pPr>
      <w:r>
        <w:rPr>
          <w:rStyle w:val="FootnoteReference"/>
        </w:rPr>
        <w:footnoteRef/>
      </w:r>
      <w:r>
        <w:t xml:space="preserve"> </w:t>
      </w:r>
      <w:r>
        <w:rPr>
          <w:lang w:val="en-US"/>
        </w:rPr>
        <w:t>Act 3 of 2019.</w:t>
      </w:r>
    </w:p>
  </w:footnote>
  <w:footnote w:id="4">
    <w:p w14:paraId="66C88CAC" w14:textId="70534C04" w:rsidR="00156E6D" w:rsidRPr="00BF09FD" w:rsidRDefault="00156E6D" w:rsidP="00223E72">
      <w:pPr>
        <w:pStyle w:val="FootnoteText"/>
        <w:spacing w:line="240" w:lineRule="auto"/>
        <w:jc w:val="both"/>
        <w:rPr>
          <w:lang w:val="en-US"/>
        </w:rPr>
      </w:pPr>
      <w:r>
        <w:rPr>
          <w:rStyle w:val="FootnoteReference"/>
        </w:rPr>
        <w:footnoteRef/>
      </w:r>
      <w:r>
        <w:t xml:space="preserve"> </w:t>
      </w:r>
      <w:r>
        <w:rPr>
          <w:lang w:val="en-US"/>
        </w:rPr>
        <w:t>S 63(1)</w:t>
      </w:r>
      <w:r>
        <w:rPr>
          <w:i/>
          <w:iCs/>
          <w:lang w:val="en-US"/>
        </w:rPr>
        <w:t>(a)</w:t>
      </w:r>
      <w:r>
        <w:rPr>
          <w:lang w:val="en-US"/>
        </w:rPr>
        <w:t xml:space="preserve"> of the Act.</w:t>
      </w:r>
    </w:p>
  </w:footnote>
  <w:footnote w:id="5">
    <w:p w14:paraId="19D9F651" w14:textId="77777777" w:rsidR="00A21026" w:rsidRPr="00120800" w:rsidRDefault="00A21026" w:rsidP="00223E72">
      <w:pPr>
        <w:pStyle w:val="FootnoteText"/>
        <w:spacing w:line="240" w:lineRule="auto"/>
        <w:jc w:val="both"/>
        <w:rPr>
          <w:lang w:val="en-US"/>
        </w:rPr>
      </w:pPr>
      <w:r>
        <w:rPr>
          <w:rStyle w:val="FootnoteReference"/>
        </w:rPr>
        <w:footnoteRef/>
      </w:r>
      <w:r>
        <w:t xml:space="preserve"> </w:t>
      </w:r>
      <w:r>
        <w:rPr>
          <w:lang w:val="en-US"/>
        </w:rPr>
        <w:t>S 1 of the Act.</w:t>
      </w:r>
    </w:p>
  </w:footnote>
  <w:footnote w:id="6">
    <w:p w14:paraId="4A52132C" w14:textId="4EDBA7AB" w:rsidR="00484FA8" w:rsidRPr="00484FA8" w:rsidRDefault="00484FA8" w:rsidP="00223E72">
      <w:pPr>
        <w:pStyle w:val="FootnoteText"/>
        <w:spacing w:line="240" w:lineRule="auto"/>
        <w:jc w:val="both"/>
        <w:rPr>
          <w:lang w:val="en-US"/>
        </w:rPr>
      </w:pPr>
      <w:r>
        <w:rPr>
          <w:rStyle w:val="FootnoteReference"/>
        </w:rPr>
        <w:footnoteRef/>
      </w:r>
      <w:r>
        <w:t xml:space="preserve"> </w:t>
      </w:r>
      <w:r>
        <w:rPr>
          <w:lang w:val="en-US"/>
        </w:rPr>
        <w:t>Act 1 of 2017.</w:t>
      </w:r>
    </w:p>
  </w:footnote>
  <w:footnote w:id="7">
    <w:p w14:paraId="5165C45B" w14:textId="77777777" w:rsidR="00E820F6" w:rsidRPr="00C60522" w:rsidRDefault="00E820F6" w:rsidP="00223E72">
      <w:pPr>
        <w:pStyle w:val="FootnoteText"/>
        <w:spacing w:line="240" w:lineRule="auto"/>
        <w:jc w:val="both"/>
        <w:rPr>
          <w:lang w:val="en-US"/>
        </w:rPr>
      </w:pPr>
      <w:r>
        <w:rPr>
          <w:rStyle w:val="FootnoteReference"/>
        </w:rPr>
        <w:footnoteRef/>
      </w:r>
      <w:r>
        <w:t xml:space="preserve"> </w:t>
      </w:r>
      <w:r>
        <w:rPr>
          <w:lang w:val="en-US"/>
        </w:rPr>
        <w:t>S 49(2)</w:t>
      </w:r>
      <w:r>
        <w:rPr>
          <w:i/>
          <w:iCs/>
          <w:lang w:val="en-US"/>
        </w:rPr>
        <w:t xml:space="preserve">(b) </w:t>
      </w:r>
      <w:r>
        <w:rPr>
          <w:lang w:val="en-US"/>
        </w:rPr>
        <w:t>of the Act and ss 6(2)</w:t>
      </w:r>
      <w:r>
        <w:rPr>
          <w:i/>
          <w:iCs/>
          <w:lang w:val="en-US"/>
        </w:rPr>
        <w:t>(b)</w:t>
      </w:r>
      <w:r>
        <w:rPr>
          <w:lang w:val="en-US"/>
        </w:rPr>
        <w:t>(ii), 16(3), 48(3) and 68(5) of the Eastern Cape Act.</w:t>
      </w:r>
    </w:p>
  </w:footnote>
  <w:footnote w:id="8">
    <w:p w14:paraId="5C9AAD12" w14:textId="11F1A57A" w:rsidR="006D6757" w:rsidRPr="006D6757" w:rsidRDefault="006D6757" w:rsidP="00223E72">
      <w:pPr>
        <w:pStyle w:val="FootnoteText"/>
        <w:spacing w:line="240" w:lineRule="auto"/>
        <w:jc w:val="both"/>
        <w:rPr>
          <w:lang w:val="en-US"/>
        </w:rPr>
      </w:pPr>
      <w:r>
        <w:rPr>
          <w:rStyle w:val="FootnoteReference"/>
        </w:rPr>
        <w:footnoteRef/>
      </w:r>
      <w:r>
        <w:t xml:space="preserve"> </w:t>
      </w:r>
      <w:r>
        <w:rPr>
          <w:lang w:val="en-US"/>
        </w:rPr>
        <w:t xml:space="preserve">S 68(5) of the </w:t>
      </w:r>
      <w:r w:rsidR="00737BA6">
        <w:rPr>
          <w:lang w:val="en-US"/>
        </w:rPr>
        <w:t>Eastern Cape Act.</w:t>
      </w:r>
    </w:p>
  </w:footnote>
  <w:footnote w:id="9">
    <w:p w14:paraId="1E230223" w14:textId="2BD04624" w:rsidR="003C3A21" w:rsidRPr="003C3A21" w:rsidRDefault="003C3A21" w:rsidP="00223E72">
      <w:pPr>
        <w:pStyle w:val="FootnoteText"/>
        <w:spacing w:line="240" w:lineRule="auto"/>
        <w:jc w:val="both"/>
        <w:rPr>
          <w:lang w:val="en-US"/>
        </w:rPr>
      </w:pPr>
      <w:r>
        <w:rPr>
          <w:rStyle w:val="FootnoteReference"/>
        </w:rPr>
        <w:footnoteRef/>
      </w:r>
      <w:r>
        <w:t xml:space="preserve"> </w:t>
      </w:r>
      <w:r>
        <w:rPr>
          <w:lang w:val="en-US"/>
        </w:rPr>
        <w:t xml:space="preserve">Cf the judgment of Van Zyl DJP, on behalf of a full bench, in </w:t>
      </w:r>
      <w:r>
        <w:rPr>
          <w:i/>
          <w:iCs/>
          <w:lang w:val="en-US"/>
        </w:rPr>
        <w:t>The Premier of the Eastern Cape and Others v Hebe and Others</w:t>
      </w:r>
      <w:r>
        <w:rPr>
          <w:lang w:val="en-US"/>
        </w:rPr>
        <w:t xml:space="preserve"> [2017] ZAECBHC 14; [2018] 1 All SA 194 (ECB) para 3</w:t>
      </w:r>
      <w:r w:rsidR="008709CF">
        <w:rPr>
          <w:lang w:val="en-US"/>
        </w:rPr>
        <w:t>8.</w:t>
      </w:r>
      <w:r>
        <w:rPr>
          <w:lang w:val="en-US"/>
        </w:rPr>
        <w:t xml:space="preserve"> </w:t>
      </w:r>
    </w:p>
  </w:footnote>
  <w:footnote w:id="10">
    <w:p w14:paraId="0E9A02E4" w14:textId="77777777" w:rsidR="00156E6D" w:rsidRPr="00775FFF" w:rsidRDefault="00156E6D" w:rsidP="00223E72">
      <w:pPr>
        <w:pStyle w:val="FootnoteText"/>
        <w:spacing w:line="240" w:lineRule="auto"/>
        <w:jc w:val="both"/>
        <w:rPr>
          <w:lang w:val="en-US"/>
        </w:rPr>
      </w:pPr>
      <w:r>
        <w:rPr>
          <w:rStyle w:val="FootnoteReference"/>
        </w:rPr>
        <w:footnoteRef/>
      </w:r>
      <w:r>
        <w:t xml:space="preserve"> S 104 of the Constitution. </w:t>
      </w:r>
      <w:r>
        <w:rPr>
          <w:lang w:val="en-US"/>
        </w:rPr>
        <w:t xml:space="preserve">See </w:t>
      </w:r>
      <w:r>
        <w:rPr>
          <w:i/>
          <w:iCs/>
          <w:lang w:val="en-US"/>
        </w:rPr>
        <w:t>Premier: Limpopo Province v Speaker: Limpopo Provincial Legislature and Others</w:t>
      </w:r>
      <w:r>
        <w:rPr>
          <w:lang w:val="en-US"/>
        </w:rPr>
        <w:t xml:space="preserve"> [2011] ZACC 25; 2011 (11) BCLR 1181 (CC); 2011 (6) SA 396 (CC).</w:t>
      </w:r>
    </w:p>
  </w:footnote>
  <w:footnote w:id="11">
    <w:p w14:paraId="5FA52DC5" w14:textId="708ED34E" w:rsidR="00EC22D0" w:rsidRPr="00EC22D0" w:rsidRDefault="00EC22D0" w:rsidP="00223E72">
      <w:pPr>
        <w:pStyle w:val="FootnoteText"/>
        <w:spacing w:line="240" w:lineRule="auto"/>
        <w:jc w:val="both"/>
        <w:rPr>
          <w:lang w:val="en-US"/>
        </w:rPr>
      </w:pPr>
      <w:r>
        <w:rPr>
          <w:rStyle w:val="FootnoteReference"/>
        </w:rPr>
        <w:footnoteRef/>
      </w:r>
      <w:r>
        <w:t xml:space="preserve"> </w:t>
      </w:r>
      <w:r>
        <w:rPr>
          <w:lang w:val="en-US"/>
        </w:rPr>
        <w:t xml:space="preserve">On the appropriate test for interpreting legislation, see </w:t>
      </w:r>
      <w:r>
        <w:rPr>
          <w:i/>
          <w:iCs/>
          <w:lang w:val="en-US"/>
        </w:rPr>
        <w:t xml:space="preserve">Cool Ideas 1186 CC v Hubbard and Another </w:t>
      </w:r>
      <w:r>
        <w:rPr>
          <w:lang w:val="en-US"/>
        </w:rPr>
        <w:t>2014 (4) SA 474 (CC) para 28.</w:t>
      </w:r>
    </w:p>
  </w:footnote>
  <w:footnote w:id="12">
    <w:p w14:paraId="456DAE68" w14:textId="77777777" w:rsidR="00156E6D" w:rsidRPr="005B050D" w:rsidRDefault="00156E6D" w:rsidP="00223E72">
      <w:pPr>
        <w:pStyle w:val="FootnoteText"/>
        <w:spacing w:line="240" w:lineRule="auto"/>
        <w:jc w:val="both"/>
        <w:rPr>
          <w:lang w:val="en-US"/>
        </w:rPr>
      </w:pPr>
      <w:r>
        <w:rPr>
          <w:rStyle w:val="FootnoteReference"/>
        </w:rPr>
        <w:footnoteRef/>
      </w:r>
      <w:r>
        <w:t xml:space="preserve"> </w:t>
      </w:r>
      <w:r>
        <w:rPr>
          <w:lang w:val="en-US"/>
        </w:rPr>
        <w:t>S 146(2) of the Constitution.</w:t>
      </w:r>
    </w:p>
  </w:footnote>
  <w:footnote w:id="13">
    <w:p w14:paraId="3E4DE338" w14:textId="6675F474" w:rsidR="00EF5F6F" w:rsidRPr="00EF5F6F" w:rsidRDefault="00EF5F6F" w:rsidP="00223E72">
      <w:pPr>
        <w:pStyle w:val="FootnoteText"/>
        <w:spacing w:line="240" w:lineRule="auto"/>
        <w:jc w:val="both"/>
        <w:rPr>
          <w:lang w:val="en-US"/>
        </w:rPr>
      </w:pPr>
      <w:r>
        <w:rPr>
          <w:rStyle w:val="FootnoteReference"/>
        </w:rPr>
        <w:footnoteRef/>
      </w:r>
      <w:r>
        <w:t xml:space="preserve"> </w:t>
      </w:r>
      <w:r>
        <w:rPr>
          <w:lang w:val="en-US"/>
        </w:rPr>
        <w:t>Para 2.30</w:t>
      </w:r>
      <w:r w:rsidR="00026953">
        <w:rPr>
          <w:lang w:val="en-US"/>
        </w:rPr>
        <w:t>, dealing with clause 27 of the Traditional and Khoi-San Leadership Bill, 2015.</w:t>
      </w:r>
    </w:p>
  </w:footnote>
  <w:footnote w:id="14">
    <w:p w14:paraId="49E8BA78" w14:textId="217F1522" w:rsidR="00AF5FC7" w:rsidRPr="00AF5FC7" w:rsidRDefault="00AF5FC7" w:rsidP="00223E72">
      <w:pPr>
        <w:pStyle w:val="FootnoteText"/>
        <w:spacing w:line="240" w:lineRule="auto"/>
        <w:jc w:val="both"/>
        <w:rPr>
          <w:lang w:val="en-US"/>
        </w:rPr>
      </w:pPr>
      <w:r>
        <w:rPr>
          <w:rStyle w:val="FootnoteReference"/>
        </w:rPr>
        <w:footnoteRef/>
      </w:r>
      <w:r>
        <w:t xml:space="preserve"> </w:t>
      </w:r>
      <w:r>
        <w:rPr>
          <w:i/>
          <w:iCs/>
          <w:lang w:val="en-US"/>
        </w:rPr>
        <w:t>Van Rensburg and Another NNO v Naidoo and Others NNO; Naidoo and Others NNO v Van Rensburg NO and Others</w:t>
      </w:r>
      <w:r>
        <w:rPr>
          <w:lang w:val="en-US"/>
        </w:rPr>
        <w:t xml:space="preserve"> 2011 (4) SA 149 (SCA) para 42.</w:t>
      </w:r>
    </w:p>
  </w:footnote>
  <w:footnote w:id="15">
    <w:p w14:paraId="14D6F848" w14:textId="777A7729" w:rsidR="006016EA" w:rsidRPr="006016EA" w:rsidRDefault="006016EA" w:rsidP="00223E72">
      <w:pPr>
        <w:pStyle w:val="FootnoteText"/>
        <w:spacing w:line="240" w:lineRule="auto"/>
        <w:jc w:val="both"/>
        <w:rPr>
          <w:lang w:val="en-US"/>
        </w:rPr>
      </w:pPr>
      <w:r>
        <w:rPr>
          <w:rStyle w:val="FootnoteReference"/>
        </w:rPr>
        <w:footnoteRef/>
      </w:r>
      <w:r>
        <w:t xml:space="preserve"> </w:t>
      </w:r>
      <w:r>
        <w:rPr>
          <w:i/>
          <w:iCs/>
          <w:lang w:val="en-US"/>
        </w:rPr>
        <w:t xml:space="preserve">Fakie NO v CII Systems (Pty) Ltd </w:t>
      </w:r>
      <w:r>
        <w:rPr>
          <w:lang w:val="en-US"/>
        </w:rPr>
        <w:t>[2006] SCA 54 (RSA) para 9.</w:t>
      </w:r>
    </w:p>
  </w:footnote>
  <w:footnote w:id="16">
    <w:p w14:paraId="0187495F" w14:textId="4D09A630" w:rsidR="00E02935" w:rsidRPr="00E02935" w:rsidRDefault="00E02935" w:rsidP="00223E72">
      <w:pPr>
        <w:pStyle w:val="FootnoteText"/>
        <w:spacing w:line="240" w:lineRule="auto"/>
        <w:jc w:val="both"/>
        <w:rPr>
          <w:lang w:val="en-US"/>
        </w:rPr>
      </w:pPr>
      <w:r>
        <w:rPr>
          <w:rStyle w:val="FootnoteReference"/>
        </w:rPr>
        <w:footnoteRef/>
      </w:r>
      <w:r>
        <w:t xml:space="preserve"> </w:t>
      </w:r>
      <w:r>
        <w:rPr>
          <w:i/>
          <w:iCs/>
          <w:lang w:val="en-US"/>
        </w:rPr>
        <w:t xml:space="preserve">Fakie </w:t>
      </w:r>
      <w:r w:rsidR="00B24887">
        <w:rPr>
          <w:i/>
          <w:iCs/>
          <w:lang w:val="en-US"/>
        </w:rPr>
        <w:t xml:space="preserve">NO </w:t>
      </w:r>
      <w:r>
        <w:rPr>
          <w:lang w:val="en-US"/>
        </w:rPr>
        <w:t>ibid para 10.</w:t>
      </w:r>
      <w:r w:rsidR="00A74C8B">
        <w:rPr>
          <w:lang w:val="en-US"/>
        </w:rPr>
        <w:t xml:space="preserve"> </w:t>
      </w:r>
    </w:p>
  </w:footnote>
  <w:footnote w:id="17">
    <w:p w14:paraId="7E9763E9" w14:textId="5A7B0E47" w:rsidR="00B24887" w:rsidRPr="00B24887" w:rsidRDefault="00B24887" w:rsidP="00223E72">
      <w:pPr>
        <w:pStyle w:val="FootnoteText"/>
        <w:spacing w:line="240" w:lineRule="auto"/>
        <w:jc w:val="both"/>
        <w:rPr>
          <w:lang w:val="en-US"/>
        </w:rPr>
      </w:pPr>
      <w:r>
        <w:rPr>
          <w:rStyle w:val="FootnoteReference"/>
        </w:rPr>
        <w:footnoteRef/>
      </w:r>
      <w:r>
        <w:t xml:space="preserve"> </w:t>
      </w:r>
      <w:r>
        <w:rPr>
          <w:i/>
          <w:iCs/>
          <w:lang w:val="en-US"/>
        </w:rPr>
        <w:t>Fakie</w:t>
      </w:r>
      <w:r>
        <w:rPr>
          <w:lang w:val="en-US"/>
        </w:rPr>
        <w:t xml:space="preserve"> </w:t>
      </w:r>
      <w:r>
        <w:rPr>
          <w:i/>
          <w:iCs/>
          <w:lang w:val="en-US"/>
        </w:rPr>
        <w:t xml:space="preserve">NO </w:t>
      </w:r>
      <w:r>
        <w:rPr>
          <w:lang w:val="en-US"/>
        </w:rPr>
        <w:t>ibid para 1</w:t>
      </w:r>
      <w:r w:rsidR="006C46F2">
        <w:rPr>
          <w:lang w:val="en-US"/>
        </w:rPr>
        <w:t>0</w:t>
      </w:r>
      <w:r>
        <w:rPr>
          <w:lang w:val="en-US"/>
        </w:rPr>
        <w:t xml:space="preserve"> (footnotes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156E5823"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7095">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591249"/>
    <w:multiLevelType w:val="hybridMultilevel"/>
    <w:tmpl w:val="203284AC"/>
    <w:lvl w:ilvl="0" w:tplc="7846B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06AC7"/>
    <w:multiLevelType w:val="hybridMultilevel"/>
    <w:tmpl w:val="1402DA1C"/>
    <w:lvl w:ilvl="0" w:tplc="AADA0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5238"/>
    <w:multiLevelType w:val="hybridMultilevel"/>
    <w:tmpl w:val="9D72B312"/>
    <w:lvl w:ilvl="0" w:tplc="BE6E1A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A5DA8"/>
    <w:multiLevelType w:val="hybridMultilevel"/>
    <w:tmpl w:val="ED8CA75C"/>
    <w:lvl w:ilvl="0" w:tplc="B8726B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F02B35"/>
    <w:multiLevelType w:val="hybridMultilevel"/>
    <w:tmpl w:val="AA2CFF1E"/>
    <w:lvl w:ilvl="0" w:tplc="A96ACFD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A504E83"/>
    <w:multiLevelType w:val="hybridMultilevel"/>
    <w:tmpl w:val="6A303FC4"/>
    <w:lvl w:ilvl="0" w:tplc="E6E0C5D8">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635568">
    <w:abstractNumId w:val="4"/>
  </w:num>
  <w:num w:numId="2" w16cid:durableId="348407680">
    <w:abstractNumId w:val="0"/>
  </w:num>
  <w:num w:numId="3" w16cid:durableId="2087220031">
    <w:abstractNumId w:val="8"/>
  </w:num>
  <w:num w:numId="4" w16cid:durableId="341053669">
    <w:abstractNumId w:val="6"/>
  </w:num>
  <w:num w:numId="5" w16cid:durableId="874662160">
    <w:abstractNumId w:val="14"/>
  </w:num>
  <w:num w:numId="6" w16cid:durableId="1781991270">
    <w:abstractNumId w:val="10"/>
  </w:num>
  <w:num w:numId="7" w16cid:durableId="1509245986">
    <w:abstractNumId w:val="16"/>
  </w:num>
  <w:num w:numId="8" w16cid:durableId="2119447393">
    <w:abstractNumId w:val="1"/>
  </w:num>
  <w:num w:numId="9" w16cid:durableId="103891066">
    <w:abstractNumId w:val="9"/>
  </w:num>
  <w:num w:numId="10" w16cid:durableId="227309742">
    <w:abstractNumId w:val="11"/>
  </w:num>
  <w:num w:numId="11" w16cid:durableId="1836341310">
    <w:abstractNumId w:val="15"/>
  </w:num>
  <w:num w:numId="12" w16cid:durableId="1571572196">
    <w:abstractNumId w:val="5"/>
  </w:num>
  <w:num w:numId="13" w16cid:durableId="1111586215">
    <w:abstractNumId w:val="7"/>
  </w:num>
  <w:num w:numId="14" w16cid:durableId="627247438">
    <w:abstractNumId w:val="13"/>
  </w:num>
  <w:num w:numId="15" w16cid:durableId="1331561392">
    <w:abstractNumId w:val="12"/>
  </w:num>
  <w:num w:numId="16" w16cid:durableId="305819798">
    <w:abstractNumId w:val="2"/>
  </w:num>
  <w:num w:numId="17" w16cid:durableId="584531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0B8"/>
    <w:rsid w:val="00000935"/>
    <w:rsid w:val="0000217A"/>
    <w:rsid w:val="00004E1E"/>
    <w:rsid w:val="00005691"/>
    <w:rsid w:val="00005ABB"/>
    <w:rsid w:val="00005BC2"/>
    <w:rsid w:val="0000642E"/>
    <w:rsid w:val="00006EF3"/>
    <w:rsid w:val="00007087"/>
    <w:rsid w:val="00007904"/>
    <w:rsid w:val="000109B4"/>
    <w:rsid w:val="00012A2F"/>
    <w:rsid w:val="00014437"/>
    <w:rsid w:val="00014770"/>
    <w:rsid w:val="00016FDA"/>
    <w:rsid w:val="000220C3"/>
    <w:rsid w:val="00022804"/>
    <w:rsid w:val="00026953"/>
    <w:rsid w:val="00027DA3"/>
    <w:rsid w:val="00030A25"/>
    <w:rsid w:val="000323B0"/>
    <w:rsid w:val="000326D8"/>
    <w:rsid w:val="000341AF"/>
    <w:rsid w:val="00034B32"/>
    <w:rsid w:val="0003553E"/>
    <w:rsid w:val="00035E3B"/>
    <w:rsid w:val="0004040E"/>
    <w:rsid w:val="00040F79"/>
    <w:rsid w:val="000422CD"/>
    <w:rsid w:val="0004347D"/>
    <w:rsid w:val="0004373B"/>
    <w:rsid w:val="00044B50"/>
    <w:rsid w:val="000451D0"/>
    <w:rsid w:val="00047035"/>
    <w:rsid w:val="000478E8"/>
    <w:rsid w:val="0005061D"/>
    <w:rsid w:val="00050BE4"/>
    <w:rsid w:val="00051F6C"/>
    <w:rsid w:val="000536DD"/>
    <w:rsid w:val="00053D81"/>
    <w:rsid w:val="00054DEC"/>
    <w:rsid w:val="00056042"/>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897"/>
    <w:rsid w:val="00091F8C"/>
    <w:rsid w:val="0009497C"/>
    <w:rsid w:val="00096BC1"/>
    <w:rsid w:val="000976CA"/>
    <w:rsid w:val="000A59DC"/>
    <w:rsid w:val="000B0946"/>
    <w:rsid w:val="000B0DC8"/>
    <w:rsid w:val="000B26AE"/>
    <w:rsid w:val="000B26CF"/>
    <w:rsid w:val="000B2898"/>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667A"/>
    <w:rsid w:val="000E1C45"/>
    <w:rsid w:val="000E2444"/>
    <w:rsid w:val="000E3E15"/>
    <w:rsid w:val="000E4F0D"/>
    <w:rsid w:val="000E5100"/>
    <w:rsid w:val="000E7ECD"/>
    <w:rsid w:val="000F05E0"/>
    <w:rsid w:val="000F0619"/>
    <w:rsid w:val="000F1A95"/>
    <w:rsid w:val="000F6BFE"/>
    <w:rsid w:val="000F7DF4"/>
    <w:rsid w:val="0010068E"/>
    <w:rsid w:val="00100F9A"/>
    <w:rsid w:val="0010218C"/>
    <w:rsid w:val="00102D5B"/>
    <w:rsid w:val="001044DB"/>
    <w:rsid w:val="00105EB6"/>
    <w:rsid w:val="0010622C"/>
    <w:rsid w:val="001078B5"/>
    <w:rsid w:val="00107A5F"/>
    <w:rsid w:val="0011026A"/>
    <w:rsid w:val="00110EF0"/>
    <w:rsid w:val="001124A5"/>
    <w:rsid w:val="00114642"/>
    <w:rsid w:val="00116EB9"/>
    <w:rsid w:val="00120800"/>
    <w:rsid w:val="00120E93"/>
    <w:rsid w:val="001226DE"/>
    <w:rsid w:val="00123296"/>
    <w:rsid w:val="0012621C"/>
    <w:rsid w:val="00130228"/>
    <w:rsid w:val="00131984"/>
    <w:rsid w:val="00131A28"/>
    <w:rsid w:val="001337CC"/>
    <w:rsid w:val="00134C11"/>
    <w:rsid w:val="00135C81"/>
    <w:rsid w:val="00137E08"/>
    <w:rsid w:val="00141E05"/>
    <w:rsid w:val="00142F79"/>
    <w:rsid w:val="001435EB"/>
    <w:rsid w:val="00144974"/>
    <w:rsid w:val="00146BA3"/>
    <w:rsid w:val="001517E0"/>
    <w:rsid w:val="001547DD"/>
    <w:rsid w:val="00156E6D"/>
    <w:rsid w:val="00157785"/>
    <w:rsid w:val="00157898"/>
    <w:rsid w:val="00157C19"/>
    <w:rsid w:val="00160EBC"/>
    <w:rsid w:val="00160F58"/>
    <w:rsid w:val="00163A58"/>
    <w:rsid w:val="00164B7B"/>
    <w:rsid w:val="00172B5C"/>
    <w:rsid w:val="00173547"/>
    <w:rsid w:val="001744AC"/>
    <w:rsid w:val="00174B6D"/>
    <w:rsid w:val="0017614D"/>
    <w:rsid w:val="0018006A"/>
    <w:rsid w:val="00180F4E"/>
    <w:rsid w:val="00181923"/>
    <w:rsid w:val="00181E7E"/>
    <w:rsid w:val="00182175"/>
    <w:rsid w:val="00184625"/>
    <w:rsid w:val="00186769"/>
    <w:rsid w:val="00186F1D"/>
    <w:rsid w:val="001870AF"/>
    <w:rsid w:val="00191768"/>
    <w:rsid w:val="00192869"/>
    <w:rsid w:val="00193D70"/>
    <w:rsid w:val="001943D2"/>
    <w:rsid w:val="00194C35"/>
    <w:rsid w:val="001954F0"/>
    <w:rsid w:val="00195571"/>
    <w:rsid w:val="001955AB"/>
    <w:rsid w:val="00196742"/>
    <w:rsid w:val="00196AA0"/>
    <w:rsid w:val="001A4F33"/>
    <w:rsid w:val="001B0D01"/>
    <w:rsid w:val="001B2578"/>
    <w:rsid w:val="001B2FE4"/>
    <w:rsid w:val="001B505F"/>
    <w:rsid w:val="001B69E3"/>
    <w:rsid w:val="001C04BC"/>
    <w:rsid w:val="001C2DD7"/>
    <w:rsid w:val="001C41DC"/>
    <w:rsid w:val="001C48A5"/>
    <w:rsid w:val="001C7061"/>
    <w:rsid w:val="001D0962"/>
    <w:rsid w:val="001D1DEC"/>
    <w:rsid w:val="001D214B"/>
    <w:rsid w:val="001D4C5E"/>
    <w:rsid w:val="001D5A9D"/>
    <w:rsid w:val="001D5F83"/>
    <w:rsid w:val="001D61C8"/>
    <w:rsid w:val="001E0F36"/>
    <w:rsid w:val="001E1177"/>
    <w:rsid w:val="001E1834"/>
    <w:rsid w:val="001E1B07"/>
    <w:rsid w:val="001E24E0"/>
    <w:rsid w:val="001E4824"/>
    <w:rsid w:val="001E640A"/>
    <w:rsid w:val="001E6A6E"/>
    <w:rsid w:val="001E701F"/>
    <w:rsid w:val="001E7844"/>
    <w:rsid w:val="001E78D5"/>
    <w:rsid w:val="001E7C8F"/>
    <w:rsid w:val="001F1544"/>
    <w:rsid w:val="001F2276"/>
    <w:rsid w:val="001F335C"/>
    <w:rsid w:val="001F3A41"/>
    <w:rsid w:val="001F59AB"/>
    <w:rsid w:val="001F671C"/>
    <w:rsid w:val="00201DC6"/>
    <w:rsid w:val="00201F12"/>
    <w:rsid w:val="00206D6C"/>
    <w:rsid w:val="00207573"/>
    <w:rsid w:val="002115FE"/>
    <w:rsid w:val="0021430F"/>
    <w:rsid w:val="00215EBC"/>
    <w:rsid w:val="0021730A"/>
    <w:rsid w:val="00217399"/>
    <w:rsid w:val="002203EC"/>
    <w:rsid w:val="00222854"/>
    <w:rsid w:val="00223600"/>
    <w:rsid w:val="00223E72"/>
    <w:rsid w:val="00224363"/>
    <w:rsid w:val="0022594E"/>
    <w:rsid w:val="00226444"/>
    <w:rsid w:val="00226ADA"/>
    <w:rsid w:val="00227379"/>
    <w:rsid w:val="00231325"/>
    <w:rsid w:val="002327AF"/>
    <w:rsid w:val="002338E5"/>
    <w:rsid w:val="0023410F"/>
    <w:rsid w:val="0023677B"/>
    <w:rsid w:val="00236B9D"/>
    <w:rsid w:val="0023768E"/>
    <w:rsid w:val="002402F6"/>
    <w:rsid w:val="00245504"/>
    <w:rsid w:val="00245BEB"/>
    <w:rsid w:val="00247551"/>
    <w:rsid w:val="00250530"/>
    <w:rsid w:val="0025056A"/>
    <w:rsid w:val="00250E17"/>
    <w:rsid w:val="00252FC1"/>
    <w:rsid w:val="00253273"/>
    <w:rsid w:val="00256208"/>
    <w:rsid w:val="0025641A"/>
    <w:rsid w:val="00256FCC"/>
    <w:rsid w:val="00257A15"/>
    <w:rsid w:val="002606D8"/>
    <w:rsid w:val="00260A94"/>
    <w:rsid w:val="00260B67"/>
    <w:rsid w:val="002612A5"/>
    <w:rsid w:val="00261583"/>
    <w:rsid w:val="0026158F"/>
    <w:rsid w:val="00262D2A"/>
    <w:rsid w:val="002635B7"/>
    <w:rsid w:val="00263B8D"/>
    <w:rsid w:val="0026495C"/>
    <w:rsid w:val="00265010"/>
    <w:rsid w:val="00265180"/>
    <w:rsid w:val="00265AEB"/>
    <w:rsid w:val="0026634E"/>
    <w:rsid w:val="0026645C"/>
    <w:rsid w:val="002705E9"/>
    <w:rsid w:val="002726A3"/>
    <w:rsid w:val="00273903"/>
    <w:rsid w:val="00274C64"/>
    <w:rsid w:val="00275410"/>
    <w:rsid w:val="00276100"/>
    <w:rsid w:val="00277EB6"/>
    <w:rsid w:val="002852C4"/>
    <w:rsid w:val="00285664"/>
    <w:rsid w:val="00287A18"/>
    <w:rsid w:val="00287A26"/>
    <w:rsid w:val="00290DC6"/>
    <w:rsid w:val="00290E92"/>
    <w:rsid w:val="0029395B"/>
    <w:rsid w:val="00293FFD"/>
    <w:rsid w:val="00294129"/>
    <w:rsid w:val="00294313"/>
    <w:rsid w:val="002960D0"/>
    <w:rsid w:val="002A01B5"/>
    <w:rsid w:val="002A0246"/>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31B7"/>
    <w:rsid w:val="002B3FE3"/>
    <w:rsid w:val="002B54B7"/>
    <w:rsid w:val="002B6730"/>
    <w:rsid w:val="002B7874"/>
    <w:rsid w:val="002C1ECF"/>
    <w:rsid w:val="002C1ED3"/>
    <w:rsid w:val="002C3A0D"/>
    <w:rsid w:val="002C45D8"/>
    <w:rsid w:val="002C7128"/>
    <w:rsid w:val="002D4CBC"/>
    <w:rsid w:val="002D6D70"/>
    <w:rsid w:val="002D6EEA"/>
    <w:rsid w:val="002E0CCA"/>
    <w:rsid w:val="002E141A"/>
    <w:rsid w:val="002E1B95"/>
    <w:rsid w:val="002E3EC7"/>
    <w:rsid w:val="002E4808"/>
    <w:rsid w:val="002E483E"/>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6288"/>
    <w:rsid w:val="003140F9"/>
    <w:rsid w:val="003148EA"/>
    <w:rsid w:val="003150CA"/>
    <w:rsid w:val="00315CB8"/>
    <w:rsid w:val="00315D8D"/>
    <w:rsid w:val="003168ED"/>
    <w:rsid w:val="003172EB"/>
    <w:rsid w:val="00317AB4"/>
    <w:rsid w:val="00320AA8"/>
    <w:rsid w:val="00321E11"/>
    <w:rsid w:val="003228A7"/>
    <w:rsid w:val="00324CE8"/>
    <w:rsid w:val="00324E36"/>
    <w:rsid w:val="00325BD4"/>
    <w:rsid w:val="00326A33"/>
    <w:rsid w:val="00326AF3"/>
    <w:rsid w:val="0032785C"/>
    <w:rsid w:val="00327E36"/>
    <w:rsid w:val="00327E53"/>
    <w:rsid w:val="00330795"/>
    <w:rsid w:val="00330E85"/>
    <w:rsid w:val="0033219D"/>
    <w:rsid w:val="00334624"/>
    <w:rsid w:val="00335693"/>
    <w:rsid w:val="00335897"/>
    <w:rsid w:val="0033634C"/>
    <w:rsid w:val="003365B5"/>
    <w:rsid w:val="0033669D"/>
    <w:rsid w:val="003367DD"/>
    <w:rsid w:val="00343E5D"/>
    <w:rsid w:val="0034439B"/>
    <w:rsid w:val="003455A7"/>
    <w:rsid w:val="003469BB"/>
    <w:rsid w:val="00350743"/>
    <w:rsid w:val="00350A47"/>
    <w:rsid w:val="003513CA"/>
    <w:rsid w:val="00351B16"/>
    <w:rsid w:val="00351FAC"/>
    <w:rsid w:val="003529AF"/>
    <w:rsid w:val="00353652"/>
    <w:rsid w:val="0035583E"/>
    <w:rsid w:val="003564CA"/>
    <w:rsid w:val="00357276"/>
    <w:rsid w:val="0035756C"/>
    <w:rsid w:val="00357751"/>
    <w:rsid w:val="003601F1"/>
    <w:rsid w:val="00360BFC"/>
    <w:rsid w:val="00362A40"/>
    <w:rsid w:val="00363BF3"/>
    <w:rsid w:val="00364836"/>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1DE7"/>
    <w:rsid w:val="003869D5"/>
    <w:rsid w:val="003905B9"/>
    <w:rsid w:val="0039206E"/>
    <w:rsid w:val="00392A4B"/>
    <w:rsid w:val="00392AA2"/>
    <w:rsid w:val="00393BA3"/>
    <w:rsid w:val="0039527F"/>
    <w:rsid w:val="00395A71"/>
    <w:rsid w:val="00396288"/>
    <w:rsid w:val="0039682A"/>
    <w:rsid w:val="003A02F5"/>
    <w:rsid w:val="003A37F4"/>
    <w:rsid w:val="003A401F"/>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A21"/>
    <w:rsid w:val="003C3BC6"/>
    <w:rsid w:val="003C5934"/>
    <w:rsid w:val="003C7080"/>
    <w:rsid w:val="003D11D0"/>
    <w:rsid w:val="003D239A"/>
    <w:rsid w:val="003D2C74"/>
    <w:rsid w:val="003D5193"/>
    <w:rsid w:val="003D5245"/>
    <w:rsid w:val="003D5507"/>
    <w:rsid w:val="003D5A10"/>
    <w:rsid w:val="003D5E6D"/>
    <w:rsid w:val="003D7CB9"/>
    <w:rsid w:val="003E0F7C"/>
    <w:rsid w:val="003E259E"/>
    <w:rsid w:val="003E2B73"/>
    <w:rsid w:val="003E2F03"/>
    <w:rsid w:val="003E3BBF"/>
    <w:rsid w:val="003E424A"/>
    <w:rsid w:val="003E6729"/>
    <w:rsid w:val="003E75F3"/>
    <w:rsid w:val="003F0D9E"/>
    <w:rsid w:val="003F1974"/>
    <w:rsid w:val="003F2109"/>
    <w:rsid w:val="003F50FF"/>
    <w:rsid w:val="003F5900"/>
    <w:rsid w:val="003F5CA1"/>
    <w:rsid w:val="003F6355"/>
    <w:rsid w:val="00400266"/>
    <w:rsid w:val="00401A9A"/>
    <w:rsid w:val="00402EEA"/>
    <w:rsid w:val="00404201"/>
    <w:rsid w:val="00405149"/>
    <w:rsid w:val="00405CEF"/>
    <w:rsid w:val="00406337"/>
    <w:rsid w:val="00406A00"/>
    <w:rsid w:val="004074B3"/>
    <w:rsid w:val="004075EA"/>
    <w:rsid w:val="00410C82"/>
    <w:rsid w:val="0041108E"/>
    <w:rsid w:val="0041146E"/>
    <w:rsid w:val="00412DF2"/>
    <w:rsid w:val="0041377F"/>
    <w:rsid w:val="004138F5"/>
    <w:rsid w:val="00413D22"/>
    <w:rsid w:val="00414C90"/>
    <w:rsid w:val="004165B0"/>
    <w:rsid w:val="004165D6"/>
    <w:rsid w:val="0042163E"/>
    <w:rsid w:val="004228E4"/>
    <w:rsid w:val="00423163"/>
    <w:rsid w:val="004244A5"/>
    <w:rsid w:val="00427318"/>
    <w:rsid w:val="00427384"/>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5494"/>
    <w:rsid w:val="004474FB"/>
    <w:rsid w:val="004528CC"/>
    <w:rsid w:val="004529C3"/>
    <w:rsid w:val="0045608B"/>
    <w:rsid w:val="00464741"/>
    <w:rsid w:val="004652FD"/>
    <w:rsid w:val="004657F4"/>
    <w:rsid w:val="00466979"/>
    <w:rsid w:val="00466D17"/>
    <w:rsid w:val="00467E20"/>
    <w:rsid w:val="00472A4C"/>
    <w:rsid w:val="00472B05"/>
    <w:rsid w:val="00472E85"/>
    <w:rsid w:val="00473068"/>
    <w:rsid w:val="004735D5"/>
    <w:rsid w:val="00473D5D"/>
    <w:rsid w:val="0047556B"/>
    <w:rsid w:val="00475C2D"/>
    <w:rsid w:val="00477226"/>
    <w:rsid w:val="004813E8"/>
    <w:rsid w:val="004827F3"/>
    <w:rsid w:val="004829F2"/>
    <w:rsid w:val="00484FA8"/>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3161"/>
    <w:rsid w:val="004B336F"/>
    <w:rsid w:val="004B5BAF"/>
    <w:rsid w:val="004B5CB4"/>
    <w:rsid w:val="004B632A"/>
    <w:rsid w:val="004B7E82"/>
    <w:rsid w:val="004C06AD"/>
    <w:rsid w:val="004C0946"/>
    <w:rsid w:val="004C0C08"/>
    <w:rsid w:val="004C13CF"/>
    <w:rsid w:val="004C7EB2"/>
    <w:rsid w:val="004D0163"/>
    <w:rsid w:val="004D0AC5"/>
    <w:rsid w:val="004D19EB"/>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1E5A"/>
    <w:rsid w:val="004F326C"/>
    <w:rsid w:val="004F38A6"/>
    <w:rsid w:val="004F444A"/>
    <w:rsid w:val="004F5575"/>
    <w:rsid w:val="004F6CDD"/>
    <w:rsid w:val="004F79D9"/>
    <w:rsid w:val="005014BC"/>
    <w:rsid w:val="00501617"/>
    <w:rsid w:val="00502229"/>
    <w:rsid w:val="005030DE"/>
    <w:rsid w:val="005055EB"/>
    <w:rsid w:val="0050634D"/>
    <w:rsid w:val="005078B2"/>
    <w:rsid w:val="005079C1"/>
    <w:rsid w:val="00507BBF"/>
    <w:rsid w:val="00511260"/>
    <w:rsid w:val="00511565"/>
    <w:rsid w:val="0051172C"/>
    <w:rsid w:val="0051380C"/>
    <w:rsid w:val="00514878"/>
    <w:rsid w:val="0051706E"/>
    <w:rsid w:val="00520E7F"/>
    <w:rsid w:val="00523DBC"/>
    <w:rsid w:val="005244E9"/>
    <w:rsid w:val="00525DF3"/>
    <w:rsid w:val="00530509"/>
    <w:rsid w:val="00532080"/>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A0D"/>
    <w:rsid w:val="005754FC"/>
    <w:rsid w:val="00575F9C"/>
    <w:rsid w:val="00576979"/>
    <w:rsid w:val="00577D50"/>
    <w:rsid w:val="00580D85"/>
    <w:rsid w:val="005813AC"/>
    <w:rsid w:val="0058354A"/>
    <w:rsid w:val="00584BA7"/>
    <w:rsid w:val="00586CFB"/>
    <w:rsid w:val="00587D29"/>
    <w:rsid w:val="00591072"/>
    <w:rsid w:val="005934B8"/>
    <w:rsid w:val="00594C9D"/>
    <w:rsid w:val="00595C65"/>
    <w:rsid w:val="005964E5"/>
    <w:rsid w:val="005969E2"/>
    <w:rsid w:val="00597705"/>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3ED5"/>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560B"/>
    <w:rsid w:val="005E601A"/>
    <w:rsid w:val="005F03D5"/>
    <w:rsid w:val="005F04A5"/>
    <w:rsid w:val="005F158C"/>
    <w:rsid w:val="005F236B"/>
    <w:rsid w:val="005F6D85"/>
    <w:rsid w:val="005F77BC"/>
    <w:rsid w:val="00600269"/>
    <w:rsid w:val="0060138F"/>
    <w:rsid w:val="006016EA"/>
    <w:rsid w:val="0060391E"/>
    <w:rsid w:val="0060443D"/>
    <w:rsid w:val="0060486E"/>
    <w:rsid w:val="006062FB"/>
    <w:rsid w:val="00606867"/>
    <w:rsid w:val="00607419"/>
    <w:rsid w:val="006079D6"/>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03"/>
    <w:rsid w:val="00634B17"/>
    <w:rsid w:val="006377E6"/>
    <w:rsid w:val="00637A17"/>
    <w:rsid w:val="00641035"/>
    <w:rsid w:val="00641661"/>
    <w:rsid w:val="00644FB0"/>
    <w:rsid w:val="006476E6"/>
    <w:rsid w:val="00650EE2"/>
    <w:rsid w:val="00650FDC"/>
    <w:rsid w:val="006511A4"/>
    <w:rsid w:val="006513E2"/>
    <w:rsid w:val="00651916"/>
    <w:rsid w:val="00651DE7"/>
    <w:rsid w:val="006531C9"/>
    <w:rsid w:val="006535E1"/>
    <w:rsid w:val="00657E31"/>
    <w:rsid w:val="0066025E"/>
    <w:rsid w:val="00661D64"/>
    <w:rsid w:val="00662682"/>
    <w:rsid w:val="006639A0"/>
    <w:rsid w:val="00663D7F"/>
    <w:rsid w:val="00664CD0"/>
    <w:rsid w:val="00665B69"/>
    <w:rsid w:val="00665D94"/>
    <w:rsid w:val="0066675F"/>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B150C"/>
    <w:rsid w:val="006B1DCE"/>
    <w:rsid w:val="006B228D"/>
    <w:rsid w:val="006B42B2"/>
    <w:rsid w:val="006B6180"/>
    <w:rsid w:val="006B692B"/>
    <w:rsid w:val="006B71C9"/>
    <w:rsid w:val="006C177A"/>
    <w:rsid w:val="006C1B13"/>
    <w:rsid w:val="006C32C4"/>
    <w:rsid w:val="006C46F2"/>
    <w:rsid w:val="006D067F"/>
    <w:rsid w:val="006D07FB"/>
    <w:rsid w:val="006D45CC"/>
    <w:rsid w:val="006D5A67"/>
    <w:rsid w:val="006D6757"/>
    <w:rsid w:val="006D73E7"/>
    <w:rsid w:val="006D762E"/>
    <w:rsid w:val="006D7DFD"/>
    <w:rsid w:val="006E16D1"/>
    <w:rsid w:val="006E2B6D"/>
    <w:rsid w:val="006E3C88"/>
    <w:rsid w:val="006E4C1C"/>
    <w:rsid w:val="006E7EF4"/>
    <w:rsid w:val="006F09D8"/>
    <w:rsid w:val="006F0DC1"/>
    <w:rsid w:val="006F1624"/>
    <w:rsid w:val="006F3052"/>
    <w:rsid w:val="006F31BD"/>
    <w:rsid w:val="006F3259"/>
    <w:rsid w:val="006F3C00"/>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3671"/>
    <w:rsid w:val="00723AEE"/>
    <w:rsid w:val="00724B29"/>
    <w:rsid w:val="00727A78"/>
    <w:rsid w:val="00730A5A"/>
    <w:rsid w:val="00731207"/>
    <w:rsid w:val="00734430"/>
    <w:rsid w:val="00737BA6"/>
    <w:rsid w:val="0074053C"/>
    <w:rsid w:val="007437A0"/>
    <w:rsid w:val="00743D4D"/>
    <w:rsid w:val="00743EB1"/>
    <w:rsid w:val="0074485F"/>
    <w:rsid w:val="00744F4D"/>
    <w:rsid w:val="007451A8"/>
    <w:rsid w:val="0074527C"/>
    <w:rsid w:val="00745BF2"/>
    <w:rsid w:val="00745E2B"/>
    <w:rsid w:val="00746757"/>
    <w:rsid w:val="00751ADD"/>
    <w:rsid w:val="007520F6"/>
    <w:rsid w:val="007532C0"/>
    <w:rsid w:val="00756020"/>
    <w:rsid w:val="00756098"/>
    <w:rsid w:val="0075772E"/>
    <w:rsid w:val="00757F3C"/>
    <w:rsid w:val="007631E0"/>
    <w:rsid w:val="00763628"/>
    <w:rsid w:val="00763BF3"/>
    <w:rsid w:val="00764F87"/>
    <w:rsid w:val="00767A6B"/>
    <w:rsid w:val="00771094"/>
    <w:rsid w:val="00771421"/>
    <w:rsid w:val="00772E4B"/>
    <w:rsid w:val="007744D5"/>
    <w:rsid w:val="0077459E"/>
    <w:rsid w:val="00775448"/>
    <w:rsid w:val="0077676B"/>
    <w:rsid w:val="00782782"/>
    <w:rsid w:val="007841E0"/>
    <w:rsid w:val="007863FC"/>
    <w:rsid w:val="007866DC"/>
    <w:rsid w:val="00790725"/>
    <w:rsid w:val="00791465"/>
    <w:rsid w:val="0079276A"/>
    <w:rsid w:val="00794AA8"/>
    <w:rsid w:val="00796986"/>
    <w:rsid w:val="00796F39"/>
    <w:rsid w:val="00796F7A"/>
    <w:rsid w:val="00797A49"/>
    <w:rsid w:val="007A1488"/>
    <w:rsid w:val="007A1A81"/>
    <w:rsid w:val="007A2884"/>
    <w:rsid w:val="007A3705"/>
    <w:rsid w:val="007A39B0"/>
    <w:rsid w:val="007A7BBE"/>
    <w:rsid w:val="007B196E"/>
    <w:rsid w:val="007B1F09"/>
    <w:rsid w:val="007B2CFB"/>
    <w:rsid w:val="007B566C"/>
    <w:rsid w:val="007B686F"/>
    <w:rsid w:val="007B6CEF"/>
    <w:rsid w:val="007C17AD"/>
    <w:rsid w:val="007C247A"/>
    <w:rsid w:val="007C4731"/>
    <w:rsid w:val="007C546A"/>
    <w:rsid w:val="007C6F62"/>
    <w:rsid w:val="007D0644"/>
    <w:rsid w:val="007D0A2D"/>
    <w:rsid w:val="007D2C2A"/>
    <w:rsid w:val="007D3ACE"/>
    <w:rsid w:val="007D50D7"/>
    <w:rsid w:val="007D64EC"/>
    <w:rsid w:val="007E05A2"/>
    <w:rsid w:val="007E1089"/>
    <w:rsid w:val="007E1B26"/>
    <w:rsid w:val="007E1F8D"/>
    <w:rsid w:val="007E5E24"/>
    <w:rsid w:val="007F1E72"/>
    <w:rsid w:val="007F2C37"/>
    <w:rsid w:val="007F4798"/>
    <w:rsid w:val="007F57CC"/>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17BB6"/>
    <w:rsid w:val="00821D82"/>
    <w:rsid w:val="008230F2"/>
    <w:rsid w:val="00823442"/>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1CB8"/>
    <w:rsid w:val="008536CA"/>
    <w:rsid w:val="008547C2"/>
    <w:rsid w:val="00854A89"/>
    <w:rsid w:val="00855355"/>
    <w:rsid w:val="008557C2"/>
    <w:rsid w:val="00855F97"/>
    <w:rsid w:val="0086080D"/>
    <w:rsid w:val="008634DE"/>
    <w:rsid w:val="008647BD"/>
    <w:rsid w:val="008665C4"/>
    <w:rsid w:val="0086751C"/>
    <w:rsid w:val="008677E3"/>
    <w:rsid w:val="008709CF"/>
    <w:rsid w:val="00870B41"/>
    <w:rsid w:val="0087195C"/>
    <w:rsid w:val="00873C6E"/>
    <w:rsid w:val="00873EB9"/>
    <w:rsid w:val="00875D5A"/>
    <w:rsid w:val="00875F1E"/>
    <w:rsid w:val="00880351"/>
    <w:rsid w:val="0088086C"/>
    <w:rsid w:val="008825BB"/>
    <w:rsid w:val="00882735"/>
    <w:rsid w:val="0088275A"/>
    <w:rsid w:val="00882EFE"/>
    <w:rsid w:val="00885C05"/>
    <w:rsid w:val="00885F6F"/>
    <w:rsid w:val="00890F28"/>
    <w:rsid w:val="00892541"/>
    <w:rsid w:val="00893333"/>
    <w:rsid w:val="0089372D"/>
    <w:rsid w:val="00893E14"/>
    <w:rsid w:val="0089533C"/>
    <w:rsid w:val="00895554"/>
    <w:rsid w:val="008957A8"/>
    <w:rsid w:val="00895A54"/>
    <w:rsid w:val="00896B6A"/>
    <w:rsid w:val="008A00E8"/>
    <w:rsid w:val="008A0454"/>
    <w:rsid w:val="008A1381"/>
    <w:rsid w:val="008A16A7"/>
    <w:rsid w:val="008A1A60"/>
    <w:rsid w:val="008A34F7"/>
    <w:rsid w:val="008A3B56"/>
    <w:rsid w:val="008A4281"/>
    <w:rsid w:val="008A537D"/>
    <w:rsid w:val="008A7240"/>
    <w:rsid w:val="008A75F3"/>
    <w:rsid w:val="008A7BFC"/>
    <w:rsid w:val="008A7CF7"/>
    <w:rsid w:val="008A7FAD"/>
    <w:rsid w:val="008B100F"/>
    <w:rsid w:val="008B1DA6"/>
    <w:rsid w:val="008B3660"/>
    <w:rsid w:val="008B74E1"/>
    <w:rsid w:val="008C210D"/>
    <w:rsid w:val="008C3E59"/>
    <w:rsid w:val="008C480D"/>
    <w:rsid w:val="008C4C45"/>
    <w:rsid w:val="008C651B"/>
    <w:rsid w:val="008C7138"/>
    <w:rsid w:val="008D2564"/>
    <w:rsid w:val="008D3C26"/>
    <w:rsid w:val="008E1626"/>
    <w:rsid w:val="008E270C"/>
    <w:rsid w:val="008E51D4"/>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64E7"/>
    <w:rsid w:val="00927E7F"/>
    <w:rsid w:val="009300E6"/>
    <w:rsid w:val="00931856"/>
    <w:rsid w:val="00931957"/>
    <w:rsid w:val="00932259"/>
    <w:rsid w:val="00937B2D"/>
    <w:rsid w:val="00937F6E"/>
    <w:rsid w:val="00940225"/>
    <w:rsid w:val="009429D4"/>
    <w:rsid w:val="009431C9"/>
    <w:rsid w:val="00943D4D"/>
    <w:rsid w:val="00944464"/>
    <w:rsid w:val="00945BC4"/>
    <w:rsid w:val="009503FE"/>
    <w:rsid w:val="009519EF"/>
    <w:rsid w:val="0095291D"/>
    <w:rsid w:val="00954778"/>
    <w:rsid w:val="0095687B"/>
    <w:rsid w:val="00957730"/>
    <w:rsid w:val="00960CDB"/>
    <w:rsid w:val="00962E0E"/>
    <w:rsid w:val="00964882"/>
    <w:rsid w:val="009648F1"/>
    <w:rsid w:val="00964C44"/>
    <w:rsid w:val="00964DFA"/>
    <w:rsid w:val="0096634B"/>
    <w:rsid w:val="0097136D"/>
    <w:rsid w:val="009737E6"/>
    <w:rsid w:val="0097492C"/>
    <w:rsid w:val="00974E2D"/>
    <w:rsid w:val="00975DB5"/>
    <w:rsid w:val="00976DCD"/>
    <w:rsid w:val="00976F0D"/>
    <w:rsid w:val="0098066C"/>
    <w:rsid w:val="009807CA"/>
    <w:rsid w:val="009812F2"/>
    <w:rsid w:val="009814B0"/>
    <w:rsid w:val="00981871"/>
    <w:rsid w:val="00984181"/>
    <w:rsid w:val="0098571F"/>
    <w:rsid w:val="00987780"/>
    <w:rsid w:val="0099005D"/>
    <w:rsid w:val="00992B0D"/>
    <w:rsid w:val="009949C6"/>
    <w:rsid w:val="009969E0"/>
    <w:rsid w:val="00996B5C"/>
    <w:rsid w:val="009A0545"/>
    <w:rsid w:val="009A0B4E"/>
    <w:rsid w:val="009A1EC2"/>
    <w:rsid w:val="009A36AF"/>
    <w:rsid w:val="009A3A86"/>
    <w:rsid w:val="009A3E97"/>
    <w:rsid w:val="009A4D03"/>
    <w:rsid w:val="009A591E"/>
    <w:rsid w:val="009A77E7"/>
    <w:rsid w:val="009A7D93"/>
    <w:rsid w:val="009B07B4"/>
    <w:rsid w:val="009B1B5C"/>
    <w:rsid w:val="009B306D"/>
    <w:rsid w:val="009B5983"/>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0F7"/>
    <w:rsid w:val="009D4AB7"/>
    <w:rsid w:val="009D5302"/>
    <w:rsid w:val="009D62F3"/>
    <w:rsid w:val="009D754F"/>
    <w:rsid w:val="009E0257"/>
    <w:rsid w:val="009E1896"/>
    <w:rsid w:val="009E1980"/>
    <w:rsid w:val="009E1ACC"/>
    <w:rsid w:val="009E2833"/>
    <w:rsid w:val="009E2BB3"/>
    <w:rsid w:val="009E325E"/>
    <w:rsid w:val="009E33E7"/>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6D89"/>
    <w:rsid w:val="00A076B8"/>
    <w:rsid w:val="00A07E9C"/>
    <w:rsid w:val="00A11066"/>
    <w:rsid w:val="00A1196D"/>
    <w:rsid w:val="00A11A36"/>
    <w:rsid w:val="00A122F8"/>
    <w:rsid w:val="00A1243E"/>
    <w:rsid w:val="00A12914"/>
    <w:rsid w:val="00A12EEB"/>
    <w:rsid w:val="00A14173"/>
    <w:rsid w:val="00A167B8"/>
    <w:rsid w:val="00A17060"/>
    <w:rsid w:val="00A17ED7"/>
    <w:rsid w:val="00A20492"/>
    <w:rsid w:val="00A21026"/>
    <w:rsid w:val="00A2185E"/>
    <w:rsid w:val="00A21919"/>
    <w:rsid w:val="00A26381"/>
    <w:rsid w:val="00A304A0"/>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2F9F"/>
    <w:rsid w:val="00A5427C"/>
    <w:rsid w:val="00A5786B"/>
    <w:rsid w:val="00A603C3"/>
    <w:rsid w:val="00A61267"/>
    <w:rsid w:val="00A63829"/>
    <w:rsid w:val="00A64250"/>
    <w:rsid w:val="00A64FD8"/>
    <w:rsid w:val="00A6550F"/>
    <w:rsid w:val="00A66433"/>
    <w:rsid w:val="00A67095"/>
    <w:rsid w:val="00A67C97"/>
    <w:rsid w:val="00A711F9"/>
    <w:rsid w:val="00A71783"/>
    <w:rsid w:val="00A719FE"/>
    <w:rsid w:val="00A74937"/>
    <w:rsid w:val="00A74C8B"/>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42CD"/>
    <w:rsid w:val="00AB43EE"/>
    <w:rsid w:val="00AB4F07"/>
    <w:rsid w:val="00AB5121"/>
    <w:rsid w:val="00AB51EA"/>
    <w:rsid w:val="00AB6F0C"/>
    <w:rsid w:val="00AC1EC5"/>
    <w:rsid w:val="00AC3453"/>
    <w:rsid w:val="00AC4AC4"/>
    <w:rsid w:val="00AC7AF1"/>
    <w:rsid w:val="00AC7F40"/>
    <w:rsid w:val="00AC7FDF"/>
    <w:rsid w:val="00AD0544"/>
    <w:rsid w:val="00AD061A"/>
    <w:rsid w:val="00AD1C15"/>
    <w:rsid w:val="00AD35F0"/>
    <w:rsid w:val="00AE099A"/>
    <w:rsid w:val="00AE154F"/>
    <w:rsid w:val="00AE18E1"/>
    <w:rsid w:val="00AE1EE1"/>
    <w:rsid w:val="00AE207E"/>
    <w:rsid w:val="00AE23D5"/>
    <w:rsid w:val="00AE2782"/>
    <w:rsid w:val="00AE2C20"/>
    <w:rsid w:val="00AE3DAE"/>
    <w:rsid w:val="00AE412E"/>
    <w:rsid w:val="00AE5E46"/>
    <w:rsid w:val="00AF05EC"/>
    <w:rsid w:val="00AF252E"/>
    <w:rsid w:val="00AF2AE0"/>
    <w:rsid w:val="00AF399D"/>
    <w:rsid w:val="00AF3D6B"/>
    <w:rsid w:val="00AF4917"/>
    <w:rsid w:val="00AF4DC9"/>
    <w:rsid w:val="00AF5FC7"/>
    <w:rsid w:val="00AF6292"/>
    <w:rsid w:val="00AF680F"/>
    <w:rsid w:val="00AF6DF0"/>
    <w:rsid w:val="00B00514"/>
    <w:rsid w:val="00B00C04"/>
    <w:rsid w:val="00B01C2D"/>
    <w:rsid w:val="00B01FAF"/>
    <w:rsid w:val="00B03D54"/>
    <w:rsid w:val="00B04260"/>
    <w:rsid w:val="00B04A4E"/>
    <w:rsid w:val="00B0511A"/>
    <w:rsid w:val="00B05D39"/>
    <w:rsid w:val="00B0631F"/>
    <w:rsid w:val="00B068E3"/>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4887"/>
    <w:rsid w:val="00B26963"/>
    <w:rsid w:val="00B26AA4"/>
    <w:rsid w:val="00B30BDA"/>
    <w:rsid w:val="00B30C98"/>
    <w:rsid w:val="00B32AE8"/>
    <w:rsid w:val="00B3323A"/>
    <w:rsid w:val="00B34ECD"/>
    <w:rsid w:val="00B36696"/>
    <w:rsid w:val="00B37269"/>
    <w:rsid w:val="00B418D6"/>
    <w:rsid w:val="00B446F9"/>
    <w:rsid w:val="00B45F63"/>
    <w:rsid w:val="00B50382"/>
    <w:rsid w:val="00B512A3"/>
    <w:rsid w:val="00B51F04"/>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619E"/>
    <w:rsid w:val="00B77677"/>
    <w:rsid w:val="00B77BF3"/>
    <w:rsid w:val="00B83257"/>
    <w:rsid w:val="00B8381D"/>
    <w:rsid w:val="00B84964"/>
    <w:rsid w:val="00B849F3"/>
    <w:rsid w:val="00B85F87"/>
    <w:rsid w:val="00B9092D"/>
    <w:rsid w:val="00B91527"/>
    <w:rsid w:val="00B91CBB"/>
    <w:rsid w:val="00B92470"/>
    <w:rsid w:val="00B929D1"/>
    <w:rsid w:val="00B93AC6"/>
    <w:rsid w:val="00B95349"/>
    <w:rsid w:val="00B955C0"/>
    <w:rsid w:val="00B95B9C"/>
    <w:rsid w:val="00B961E2"/>
    <w:rsid w:val="00BA0067"/>
    <w:rsid w:val="00BA0F9A"/>
    <w:rsid w:val="00BA2179"/>
    <w:rsid w:val="00BA65AC"/>
    <w:rsid w:val="00BB152C"/>
    <w:rsid w:val="00BB2985"/>
    <w:rsid w:val="00BC0A20"/>
    <w:rsid w:val="00BC21A0"/>
    <w:rsid w:val="00BC4EF3"/>
    <w:rsid w:val="00BC77C0"/>
    <w:rsid w:val="00BD0B25"/>
    <w:rsid w:val="00BD234D"/>
    <w:rsid w:val="00BD2561"/>
    <w:rsid w:val="00BD57D7"/>
    <w:rsid w:val="00BD5DCD"/>
    <w:rsid w:val="00BD616D"/>
    <w:rsid w:val="00BD6C4D"/>
    <w:rsid w:val="00BD6EC8"/>
    <w:rsid w:val="00BE0997"/>
    <w:rsid w:val="00BE1907"/>
    <w:rsid w:val="00BE1A97"/>
    <w:rsid w:val="00BE3AF3"/>
    <w:rsid w:val="00BE485B"/>
    <w:rsid w:val="00BE5763"/>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06F65"/>
    <w:rsid w:val="00C11EE9"/>
    <w:rsid w:val="00C12B8C"/>
    <w:rsid w:val="00C155D9"/>
    <w:rsid w:val="00C2211D"/>
    <w:rsid w:val="00C2344F"/>
    <w:rsid w:val="00C246F2"/>
    <w:rsid w:val="00C26707"/>
    <w:rsid w:val="00C27719"/>
    <w:rsid w:val="00C31BCD"/>
    <w:rsid w:val="00C320EB"/>
    <w:rsid w:val="00C32F7B"/>
    <w:rsid w:val="00C33845"/>
    <w:rsid w:val="00C33AC4"/>
    <w:rsid w:val="00C33AC9"/>
    <w:rsid w:val="00C3513F"/>
    <w:rsid w:val="00C355AA"/>
    <w:rsid w:val="00C36223"/>
    <w:rsid w:val="00C40725"/>
    <w:rsid w:val="00C4207E"/>
    <w:rsid w:val="00C451A3"/>
    <w:rsid w:val="00C4577E"/>
    <w:rsid w:val="00C50C8F"/>
    <w:rsid w:val="00C50D41"/>
    <w:rsid w:val="00C51156"/>
    <w:rsid w:val="00C53F95"/>
    <w:rsid w:val="00C53FD7"/>
    <w:rsid w:val="00C55C61"/>
    <w:rsid w:val="00C57047"/>
    <w:rsid w:val="00C60522"/>
    <w:rsid w:val="00C64F44"/>
    <w:rsid w:val="00C650ED"/>
    <w:rsid w:val="00C65132"/>
    <w:rsid w:val="00C65F6A"/>
    <w:rsid w:val="00C67F3E"/>
    <w:rsid w:val="00C70CD5"/>
    <w:rsid w:val="00C7216F"/>
    <w:rsid w:val="00C730E4"/>
    <w:rsid w:val="00C73BB8"/>
    <w:rsid w:val="00C74CC5"/>
    <w:rsid w:val="00C76B48"/>
    <w:rsid w:val="00C76CC4"/>
    <w:rsid w:val="00C77815"/>
    <w:rsid w:val="00C823C5"/>
    <w:rsid w:val="00C82D42"/>
    <w:rsid w:val="00C8322A"/>
    <w:rsid w:val="00C83583"/>
    <w:rsid w:val="00C84B12"/>
    <w:rsid w:val="00C869BC"/>
    <w:rsid w:val="00C8737E"/>
    <w:rsid w:val="00C90444"/>
    <w:rsid w:val="00C9243B"/>
    <w:rsid w:val="00C953C0"/>
    <w:rsid w:val="00C96E5A"/>
    <w:rsid w:val="00C97ACC"/>
    <w:rsid w:val="00C97EC5"/>
    <w:rsid w:val="00CA0722"/>
    <w:rsid w:val="00CA181F"/>
    <w:rsid w:val="00CA22C7"/>
    <w:rsid w:val="00CA2A54"/>
    <w:rsid w:val="00CA3219"/>
    <w:rsid w:val="00CA5E8F"/>
    <w:rsid w:val="00CB01EB"/>
    <w:rsid w:val="00CB0DFA"/>
    <w:rsid w:val="00CB250C"/>
    <w:rsid w:val="00CB34D5"/>
    <w:rsid w:val="00CB6CB0"/>
    <w:rsid w:val="00CC134C"/>
    <w:rsid w:val="00CC36F9"/>
    <w:rsid w:val="00CC3E8F"/>
    <w:rsid w:val="00CD0BA2"/>
    <w:rsid w:val="00CD18DE"/>
    <w:rsid w:val="00CD643B"/>
    <w:rsid w:val="00CD7B7F"/>
    <w:rsid w:val="00CE0D42"/>
    <w:rsid w:val="00CE19D1"/>
    <w:rsid w:val="00CE23EF"/>
    <w:rsid w:val="00CE6197"/>
    <w:rsid w:val="00CE6490"/>
    <w:rsid w:val="00CE6BEE"/>
    <w:rsid w:val="00CE702E"/>
    <w:rsid w:val="00CE7723"/>
    <w:rsid w:val="00CF088A"/>
    <w:rsid w:val="00CF16F9"/>
    <w:rsid w:val="00CF1AEC"/>
    <w:rsid w:val="00CF38F2"/>
    <w:rsid w:val="00CF5CD7"/>
    <w:rsid w:val="00CF5F6B"/>
    <w:rsid w:val="00CF79DF"/>
    <w:rsid w:val="00D00702"/>
    <w:rsid w:val="00D01D65"/>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333"/>
    <w:rsid w:val="00D16338"/>
    <w:rsid w:val="00D16C5A"/>
    <w:rsid w:val="00D16DAA"/>
    <w:rsid w:val="00D16E1E"/>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7148"/>
    <w:rsid w:val="00D37A00"/>
    <w:rsid w:val="00D40860"/>
    <w:rsid w:val="00D4280D"/>
    <w:rsid w:val="00D42B76"/>
    <w:rsid w:val="00D43787"/>
    <w:rsid w:val="00D43871"/>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0CB0"/>
    <w:rsid w:val="00D616EC"/>
    <w:rsid w:val="00D625B8"/>
    <w:rsid w:val="00D648BA"/>
    <w:rsid w:val="00D66709"/>
    <w:rsid w:val="00D66A4D"/>
    <w:rsid w:val="00D67C02"/>
    <w:rsid w:val="00D724E1"/>
    <w:rsid w:val="00D74A1B"/>
    <w:rsid w:val="00D76A95"/>
    <w:rsid w:val="00D801E1"/>
    <w:rsid w:val="00D80E55"/>
    <w:rsid w:val="00D82515"/>
    <w:rsid w:val="00D82682"/>
    <w:rsid w:val="00D82E21"/>
    <w:rsid w:val="00D840E2"/>
    <w:rsid w:val="00D846FE"/>
    <w:rsid w:val="00D860CB"/>
    <w:rsid w:val="00D87C68"/>
    <w:rsid w:val="00D92783"/>
    <w:rsid w:val="00D92B70"/>
    <w:rsid w:val="00D92D3B"/>
    <w:rsid w:val="00D9456A"/>
    <w:rsid w:val="00D94B4E"/>
    <w:rsid w:val="00D94DBD"/>
    <w:rsid w:val="00DA00BB"/>
    <w:rsid w:val="00DA38F9"/>
    <w:rsid w:val="00DA776D"/>
    <w:rsid w:val="00DA7AAB"/>
    <w:rsid w:val="00DB0815"/>
    <w:rsid w:val="00DB1859"/>
    <w:rsid w:val="00DB6676"/>
    <w:rsid w:val="00DC2ABE"/>
    <w:rsid w:val="00DC59DE"/>
    <w:rsid w:val="00DC65C8"/>
    <w:rsid w:val="00DC7217"/>
    <w:rsid w:val="00DC79BB"/>
    <w:rsid w:val="00DD11EB"/>
    <w:rsid w:val="00DD1B8B"/>
    <w:rsid w:val="00DD1F32"/>
    <w:rsid w:val="00DD23D6"/>
    <w:rsid w:val="00DD4855"/>
    <w:rsid w:val="00DD75C4"/>
    <w:rsid w:val="00DD798E"/>
    <w:rsid w:val="00DE1218"/>
    <w:rsid w:val="00DE1FBA"/>
    <w:rsid w:val="00DE4550"/>
    <w:rsid w:val="00DE55DE"/>
    <w:rsid w:val="00DE5968"/>
    <w:rsid w:val="00DE6A2A"/>
    <w:rsid w:val="00DF1227"/>
    <w:rsid w:val="00DF131F"/>
    <w:rsid w:val="00DF2C98"/>
    <w:rsid w:val="00DF77FD"/>
    <w:rsid w:val="00DF7AB6"/>
    <w:rsid w:val="00DF7F35"/>
    <w:rsid w:val="00E00DCA"/>
    <w:rsid w:val="00E02935"/>
    <w:rsid w:val="00E033B7"/>
    <w:rsid w:val="00E038DB"/>
    <w:rsid w:val="00E04FFB"/>
    <w:rsid w:val="00E05EEE"/>
    <w:rsid w:val="00E065DD"/>
    <w:rsid w:val="00E075A8"/>
    <w:rsid w:val="00E07D5A"/>
    <w:rsid w:val="00E105EE"/>
    <w:rsid w:val="00E10D91"/>
    <w:rsid w:val="00E134FC"/>
    <w:rsid w:val="00E1436B"/>
    <w:rsid w:val="00E14390"/>
    <w:rsid w:val="00E14F22"/>
    <w:rsid w:val="00E151BD"/>
    <w:rsid w:val="00E170FA"/>
    <w:rsid w:val="00E2020E"/>
    <w:rsid w:val="00E20D15"/>
    <w:rsid w:val="00E25A13"/>
    <w:rsid w:val="00E26F75"/>
    <w:rsid w:val="00E3064C"/>
    <w:rsid w:val="00E307B0"/>
    <w:rsid w:val="00E33007"/>
    <w:rsid w:val="00E34483"/>
    <w:rsid w:val="00E3456D"/>
    <w:rsid w:val="00E3462B"/>
    <w:rsid w:val="00E35FBA"/>
    <w:rsid w:val="00E406B2"/>
    <w:rsid w:val="00E4190D"/>
    <w:rsid w:val="00E44987"/>
    <w:rsid w:val="00E44F34"/>
    <w:rsid w:val="00E45859"/>
    <w:rsid w:val="00E46F62"/>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20F6"/>
    <w:rsid w:val="00E8390A"/>
    <w:rsid w:val="00E83A3B"/>
    <w:rsid w:val="00E901D7"/>
    <w:rsid w:val="00E9172D"/>
    <w:rsid w:val="00E91BD8"/>
    <w:rsid w:val="00E922BE"/>
    <w:rsid w:val="00E9258D"/>
    <w:rsid w:val="00E9268E"/>
    <w:rsid w:val="00E92B00"/>
    <w:rsid w:val="00E9368B"/>
    <w:rsid w:val="00E94D9A"/>
    <w:rsid w:val="00E953FA"/>
    <w:rsid w:val="00E97D0F"/>
    <w:rsid w:val="00E97E28"/>
    <w:rsid w:val="00EA484D"/>
    <w:rsid w:val="00EA4A96"/>
    <w:rsid w:val="00EA77F2"/>
    <w:rsid w:val="00EB1A14"/>
    <w:rsid w:val="00EB1C95"/>
    <w:rsid w:val="00EB2585"/>
    <w:rsid w:val="00EB2E16"/>
    <w:rsid w:val="00EB3B0A"/>
    <w:rsid w:val="00EB3DAC"/>
    <w:rsid w:val="00EB4093"/>
    <w:rsid w:val="00EB44AF"/>
    <w:rsid w:val="00EB46F3"/>
    <w:rsid w:val="00EB4958"/>
    <w:rsid w:val="00EC1371"/>
    <w:rsid w:val="00EC22D0"/>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5F6F"/>
    <w:rsid w:val="00EF7222"/>
    <w:rsid w:val="00EF7A77"/>
    <w:rsid w:val="00EF7DE3"/>
    <w:rsid w:val="00F006C9"/>
    <w:rsid w:val="00F02CF2"/>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0859"/>
    <w:rsid w:val="00F220EF"/>
    <w:rsid w:val="00F22116"/>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2BC7"/>
    <w:rsid w:val="00F43DFC"/>
    <w:rsid w:val="00F45E5A"/>
    <w:rsid w:val="00F50172"/>
    <w:rsid w:val="00F54740"/>
    <w:rsid w:val="00F565D0"/>
    <w:rsid w:val="00F57A3E"/>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10F"/>
    <w:rsid w:val="00F84ED2"/>
    <w:rsid w:val="00F86FDF"/>
    <w:rsid w:val="00F90290"/>
    <w:rsid w:val="00F915B8"/>
    <w:rsid w:val="00F91B3B"/>
    <w:rsid w:val="00F9415C"/>
    <w:rsid w:val="00F94EC0"/>
    <w:rsid w:val="00F976C6"/>
    <w:rsid w:val="00FA0C52"/>
    <w:rsid w:val="00FA20B2"/>
    <w:rsid w:val="00FA215D"/>
    <w:rsid w:val="00FA2451"/>
    <w:rsid w:val="00FA3FB9"/>
    <w:rsid w:val="00FA457D"/>
    <w:rsid w:val="00FA6E33"/>
    <w:rsid w:val="00FA72B1"/>
    <w:rsid w:val="00FA76AE"/>
    <w:rsid w:val="00FB2BC7"/>
    <w:rsid w:val="00FC479C"/>
    <w:rsid w:val="00FC6E57"/>
    <w:rsid w:val="00FC7151"/>
    <w:rsid w:val="00FC7871"/>
    <w:rsid w:val="00FD0C02"/>
    <w:rsid w:val="00FD1FCF"/>
    <w:rsid w:val="00FD282F"/>
    <w:rsid w:val="00FD6EAA"/>
    <w:rsid w:val="00FE0ABB"/>
    <w:rsid w:val="00FE141F"/>
    <w:rsid w:val="00FE20F0"/>
    <w:rsid w:val="00FE7911"/>
    <w:rsid w:val="00FF1735"/>
    <w:rsid w:val="00FF31C9"/>
    <w:rsid w:val="00FF3264"/>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3C65-B4CC-47BC-858D-5F8C9AC8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2022-10-31T13:57:00Z</dcterms:created>
  <dcterms:modified xsi:type="dcterms:W3CDTF">2022-11-06T19:25:00Z</dcterms:modified>
</cp:coreProperties>
</file>