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5FDD129F" w:rsidR="00D450B5" w:rsidRPr="00044B50" w:rsidRDefault="00D450B5" w:rsidP="00772E4B">
      <w:pPr>
        <w:jc w:val="center"/>
        <w:rPr>
          <w:b/>
          <w:bCs/>
          <w:lang w:val="en-GB"/>
        </w:rPr>
      </w:pPr>
      <w:r w:rsidRPr="00044B50">
        <w:rPr>
          <w:b/>
          <w:bCs/>
          <w:lang w:val="en-GB"/>
        </w:rPr>
        <w:t>(EASTERN CAPE DIVISION,</w:t>
      </w:r>
      <w:r w:rsidR="00A3065E">
        <w:rPr>
          <w:b/>
          <w:bCs/>
          <w:lang w:val="en-GB"/>
        </w:rPr>
        <w:t xml:space="preserve"> BISHO</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101AD6EF" w14:textId="65CCD503" w:rsidR="008A75F3" w:rsidRPr="00530C19" w:rsidRDefault="00D450B5" w:rsidP="00530C19">
      <w:pPr>
        <w:ind w:right="-52"/>
        <w:jc w:val="center"/>
        <w:rPr>
          <w:b/>
          <w:bCs/>
          <w:lang w:val="en-GB"/>
        </w:rPr>
      </w:pPr>
      <w:r w:rsidRPr="00044B50">
        <w:rPr>
          <w:lang w:val="en-GB"/>
        </w:rPr>
        <w:t xml:space="preserve">                                                                                           </w:t>
      </w:r>
      <w:r w:rsidRPr="00044B50">
        <w:rPr>
          <w:b/>
          <w:bCs/>
          <w:lang w:val="en-GB"/>
        </w:rPr>
        <w:t xml:space="preserve">NOT REPORTABLE     </w:t>
      </w:r>
      <w:r w:rsidR="00530C19">
        <w:rPr>
          <w:b/>
          <w:bCs/>
          <w:lang w:val="en-GB"/>
        </w:rPr>
        <w:t xml:space="preserve">                              </w:t>
      </w:r>
      <w:r w:rsidR="00E44987" w:rsidRPr="00044B50">
        <w:rPr>
          <w:lang w:val="en-GB"/>
        </w:rPr>
        <w:t xml:space="preserve">                                                           </w:t>
      </w:r>
    </w:p>
    <w:p w14:paraId="4934DB4B" w14:textId="18358A56" w:rsidR="00E44987" w:rsidRPr="00044B50" w:rsidRDefault="00530C19" w:rsidP="00530C19">
      <w:pPr>
        <w:ind w:left="5760"/>
        <w:rPr>
          <w:lang w:val="en-GB"/>
        </w:rPr>
      </w:pPr>
      <w:r>
        <w:rPr>
          <w:lang w:val="en-GB"/>
        </w:rPr>
        <w:t xml:space="preserve">    </w:t>
      </w:r>
      <w:r w:rsidR="00E44987" w:rsidRPr="00044B50">
        <w:rPr>
          <w:lang w:val="en-GB"/>
        </w:rPr>
        <w:t xml:space="preserve">Case no: </w:t>
      </w:r>
      <w:r>
        <w:rPr>
          <w:bCs/>
        </w:rPr>
        <w:t xml:space="preserve">CA&amp; R 12/2019      </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6A1E5C46" w:rsidR="00D450B5" w:rsidRDefault="00D450B5" w:rsidP="00772E4B">
      <w:pPr>
        <w:widowControl w:val="0"/>
        <w:tabs>
          <w:tab w:val="right" w:pos="8198"/>
        </w:tabs>
        <w:jc w:val="both"/>
        <w:rPr>
          <w:spacing w:val="14"/>
          <w:kern w:val="2"/>
          <w:lang w:val="en-GB"/>
        </w:rPr>
      </w:pPr>
    </w:p>
    <w:p w14:paraId="29C6CFDC" w14:textId="54084A61" w:rsidR="00A3065E" w:rsidRPr="00A3065E" w:rsidRDefault="00A3065E" w:rsidP="00FB3D31">
      <w:pPr>
        <w:widowControl w:val="0"/>
        <w:tabs>
          <w:tab w:val="left" w:pos="7797"/>
          <w:tab w:val="right" w:pos="7938"/>
        </w:tabs>
        <w:jc w:val="both"/>
        <w:rPr>
          <w:b/>
          <w:spacing w:val="14"/>
          <w:kern w:val="2"/>
          <w:lang w:val="en-GB"/>
        </w:rPr>
      </w:pPr>
      <w:r w:rsidRPr="00A3065E">
        <w:rPr>
          <w:b/>
          <w:spacing w:val="14"/>
          <w:kern w:val="2"/>
          <w:lang w:val="en-GB"/>
        </w:rPr>
        <w:t xml:space="preserve">VUYOLWETHU MAYILE </w:t>
      </w:r>
      <w:r>
        <w:rPr>
          <w:b/>
          <w:spacing w:val="14"/>
          <w:kern w:val="2"/>
          <w:lang w:val="en-GB"/>
        </w:rPr>
        <w:tab/>
      </w:r>
      <w:r w:rsidRPr="00A3065E">
        <w:rPr>
          <w:b/>
          <w:spacing w:val="14"/>
          <w:kern w:val="2"/>
          <w:lang w:val="en-GB"/>
        </w:rPr>
        <w:t xml:space="preserve">Appellant </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02ABB52A" w:rsidR="00C246F2" w:rsidRPr="00FB3D31" w:rsidRDefault="00FB3D31" w:rsidP="00FB3D31">
      <w:pPr>
        <w:tabs>
          <w:tab w:val="left" w:pos="7655"/>
          <w:tab w:val="left" w:pos="7938"/>
        </w:tabs>
        <w:ind w:right="-194"/>
        <w:jc w:val="both"/>
        <w:rPr>
          <w:b/>
          <w:bCs/>
          <w:lang w:val="en-GB"/>
        </w:rPr>
      </w:pPr>
      <w:r w:rsidRPr="00FB3D31">
        <w:rPr>
          <w:b/>
          <w:lang w:val="en-GB"/>
        </w:rPr>
        <w:t xml:space="preserve">THE STATE </w:t>
      </w:r>
      <w:r>
        <w:rPr>
          <w:b/>
          <w:lang w:val="en-GB"/>
        </w:rPr>
        <w:tab/>
      </w:r>
      <w:r w:rsidRPr="00FB3D31">
        <w:rPr>
          <w:b/>
          <w:lang w:val="en-GB"/>
        </w:rPr>
        <w:t>Respondent</w:t>
      </w:r>
    </w:p>
    <w:p w14:paraId="6DE7D0B1" w14:textId="44A5FEEC" w:rsidR="00530C19" w:rsidRPr="00530C19" w:rsidRDefault="00530C19" w:rsidP="00530C19">
      <w:pPr>
        <w:ind w:right="-336"/>
        <w:jc w:val="both"/>
        <w:rPr>
          <w:lang w:val="en-GB"/>
        </w:rPr>
      </w:pPr>
      <w:r w:rsidRPr="00530C19">
        <w:rPr>
          <w:lang w:val="en-GB"/>
        </w:rPr>
        <w:t>___________________________________________________________________</w:t>
      </w:r>
      <w:r>
        <w:rPr>
          <w:lang w:val="en-GB"/>
        </w:rPr>
        <w:t>_</w:t>
      </w:r>
    </w:p>
    <w:p w14:paraId="713DFC33" w14:textId="77777777" w:rsidR="00530C19" w:rsidRPr="00530C19" w:rsidRDefault="00530C19" w:rsidP="00530C19">
      <w:pPr>
        <w:jc w:val="center"/>
        <w:rPr>
          <w:lang w:val="en-GB"/>
        </w:rPr>
      </w:pPr>
    </w:p>
    <w:p w14:paraId="720131ED" w14:textId="77777777" w:rsidR="00530C19" w:rsidRPr="00530C19" w:rsidRDefault="00530C19" w:rsidP="00530C19">
      <w:pPr>
        <w:jc w:val="center"/>
        <w:rPr>
          <w:b/>
          <w:bCs/>
          <w:lang w:val="en-GB"/>
        </w:rPr>
      </w:pPr>
      <w:r w:rsidRPr="00530C19">
        <w:rPr>
          <w:b/>
          <w:bCs/>
          <w:i/>
          <w:lang w:val="en-GB"/>
        </w:rPr>
        <w:t>EX-TEMPORE</w:t>
      </w:r>
      <w:r w:rsidRPr="00530C19">
        <w:rPr>
          <w:b/>
          <w:bCs/>
          <w:lang w:val="en-GB"/>
        </w:rPr>
        <w:t xml:space="preserve"> JUDGMENT </w:t>
      </w:r>
    </w:p>
    <w:p w14:paraId="6305EA63" w14:textId="66CAC68E" w:rsidR="00530C19" w:rsidRDefault="00530C19" w:rsidP="00530C19">
      <w:pPr>
        <w:ind w:right="-194"/>
        <w:jc w:val="both"/>
        <w:rPr>
          <w:lang w:val="en-GB"/>
        </w:rPr>
      </w:pPr>
      <w:r w:rsidRPr="00530C19">
        <w:rPr>
          <w:lang w:val="en-GB"/>
        </w:rPr>
        <w:t>___________________________________________________________________</w:t>
      </w:r>
      <w:r>
        <w:rPr>
          <w:lang w:val="en-GB"/>
        </w:rPr>
        <w:t>_</w:t>
      </w:r>
    </w:p>
    <w:p w14:paraId="7C4F1B04" w14:textId="3FCE28F4" w:rsidR="00D450B5" w:rsidRPr="00044B50" w:rsidRDefault="00E57C72" w:rsidP="00530C19">
      <w:pPr>
        <w:ind w:right="-194"/>
        <w:jc w:val="both"/>
        <w:rPr>
          <w:b/>
          <w:bCs/>
          <w:lang w:val="en-GB"/>
        </w:rPr>
      </w:pPr>
      <w:r w:rsidRPr="00044B50">
        <w:rPr>
          <w:b/>
          <w:bCs/>
          <w:lang w:val="en-GB"/>
        </w:rPr>
        <w:t>Govindjee</w:t>
      </w:r>
      <w:r w:rsidR="00D450B5" w:rsidRPr="00044B50">
        <w:rPr>
          <w:b/>
          <w:bCs/>
          <w:lang w:val="en-GB"/>
        </w:rPr>
        <w:t xml:space="preserve"> J</w:t>
      </w:r>
    </w:p>
    <w:p w14:paraId="5132AB61" w14:textId="77777777" w:rsidR="00D450B5" w:rsidRPr="00044B50" w:rsidRDefault="00D450B5" w:rsidP="00682CE5">
      <w:pPr>
        <w:jc w:val="both"/>
        <w:rPr>
          <w:lang w:val="en-GB"/>
        </w:rPr>
      </w:pPr>
    </w:p>
    <w:p w14:paraId="34F7781B" w14:textId="6185C82E" w:rsidR="00D468AF" w:rsidRDefault="002D5582" w:rsidP="00682CE5">
      <w:pPr>
        <w:autoSpaceDE w:val="0"/>
        <w:autoSpaceDN w:val="0"/>
        <w:adjustRightInd w:val="0"/>
        <w:jc w:val="both"/>
        <w:rPr>
          <w:b/>
          <w:bCs/>
          <w:lang w:val="en-GB"/>
        </w:rPr>
      </w:pPr>
      <w:r>
        <w:rPr>
          <w:b/>
          <w:bCs/>
          <w:lang w:val="en-GB"/>
        </w:rPr>
        <w:t>Background</w:t>
      </w:r>
    </w:p>
    <w:p w14:paraId="645D6679" w14:textId="77777777" w:rsidR="002D5582" w:rsidRPr="002D5582" w:rsidRDefault="002D5582" w:rsidP="00682CE5">
      <w:pPr>
        <w:autoSpaceDE w:val="0"/>
        <w:autoSpaceDN w:val="0"/>
        <w:adjustRightInd w:val="0"/>
        <w:jc w:val="both"/>
        <w:rPr>
          <w:b/>
          <w:bCs/>
          <w:lang w:val="en-GB"/>
        </w:rPr>
      </w:pPr>
    </w:p>
    <w:p w14:paraId="5F78A93F" w14:textId="26F2A925" w:rsidR="006371B2" w:rsidRPr="00FF4B03" w:rsidRDefault="00FF4B03" w:rsidP="00FF4B03">
      <w:pPr>
        <w:autoSpaceDE w:val="0"/>
        <w:autoSpaceDN w:val="0"/>
        <w:adjustRightInd w:val="0"/>
        <w:jc w:val="both"/>
        <w:rPr>
          <w:lang w:val="en-GB"/>
        </w:rPr>
      </w:pPr>
      <w:r w:rsidRPr="006130E9">
        <w:rPr>
          <w:lang w:val="en-GB"/>
        </w:rPr>
        <w:t>[1]</w:t>
      </w:r>
      <w:r w:rsidRPr="006130E9">
        <w:rPr>
          <w:lang w:val="en-GB"/>
        </w:rPr>
        <w:tab/>
      </w:r>
      <w:r w:rsidR="00E2226E" w:rsidRPr="00FF4B03">
        <w:rPr>
          <w:lang w:val="x-none"/>
        </w:rPr>
        <w:t xml:space="preserve">The </w:t>
      </w:r>
      <w:r w:rsidR="00005172" w:rsidRPr="00FF4B03">
        <w:rPr>
          <w:lang w:val="en-US"/>
        </w:rPr>
        <w:t>appellant</w:t>
      </w:r>
      <w:r w:rsidR="00E2226E" w:rsidRPr="00FF4B03">
        <w:rPr>
          <w:lang w:val="x-none"/>
        </w:rPr>
        <w:t xml:space="preserve"> was </w:t>
      </w:r>
      <w:r w:rsidR="009A2E23" w:rsidRPr="00FF4B03">
        <w:rPr>
          <w:lang w:val="en-US"/>
        </w:rPr>
        <w:t>found guilty of the following counts</w:t>
      </w:r>
      <w:r w:rsidR="006130E9" w:rsidRPr="00FF4B03">
        <w:rPr>
          <w:lang w:val="en-US"/>
        </w:rPr>
        <w:t>:</w:t>
      </w:r>
    </w:p>
    <w:p w14:paraId="053D2EAC" w14:textId="39AC61FC" w:rsidR="006130E9" w:rsidRPr="00444D6D" w:rsidRDefault="006130E9" w:rsidP="001B1492">
      <w:pPr>
        <w:autoSpaceDE w:val="0"/>
        <w:autoSpaceDN w:val="0"/>
        <w:adjustRightInd w:val="0"/>
        <w:jc w:val="both"/>
        <w:rPr>
          <w:lang w:val="en-GB"/>
        </w:rPr>
      </w:pPr>
      <w:r w:rsidRPr="00444D6D">
        <w:rPr>
          <w:lang w:val="en-US"/>
        </w:rPr>
        <w:t xml:space="preserve">Count 1: </w:t>
      </w:r>
      <w:r w:rsidR="00176F7E" w:rsidRPr="00444D6D">
        <w:rPr>
          <w:lang w:val="en-US"/>
        </w:rPr>
        <w:t>Robbery with aggravating circumstances</w:t>
      </w:r>
      <w:r w:rsidR="009A2E23" w:rsidRPr="00444D6D">
        <w:rPr>
          <w:lang w:val="en-US"/>
        </w:rPr>
        <w:t>;</w:t>
      </w:r>
    </w:p>
    <w:p w14:paraId="2537E4F4" w14:textId="2CE998BE" w:rsidR="009A2E23" w:rsidRPr="00444D6D" w:rsidRDefault="00C25C4C" w:rsidP="001B1492">
      <w:pPr>
        <w:autoSpaceDE w:val="0"/>
        <w:autoSpaceDN w:val="0"/>
        <w:adjustRightInd w:val="0"/>
        <w:jc w:val="both"/>
        <w:rPr>
          <w:lang w:val="en-GB"/>
        </w:rPr>
      </w:pPr>
      <w:r w:rsidRPr="00444D6D">
        <w:rPr>
          <w:lang w:val="en-US"/>
        </w:rPr>
        <w:t>Count 3: Possession of a prohibited firearm.</w:t>
      </w:r>
    </w:p>
    <w:p w14:paraId="1895816D" w14:textId="77777777" w:rsidR="00C25C4C" w:rsidRPr="006371B2" w:rsidRDefault="00C25C4C" w:rsidP="001B1492">
      <w:pPr>
        <w:pStyle w:val="ListParagraph"/>
        <w:autoSpaceDE w:val="0"/>
        <w:autoSpaceDN w:val="0"/>
        <w:adjustRightInd w:val="0"/>
        <w:ind w:left="0"/>
        <w:jc w:val="both"/>
        <w:rPr>
          <w:lang w:val="en-GB"/>
        </w:rPr>
      </w:pPr>
    </w:p>
    <w:p w14:paraId="5739EB62" w14:textId="21E2C220" w:rsidR="00E72D95" w:rsidRPr="00FF4B03" w:rsidRDefault="00FF4B03" w:rsidP="00FF4B03">
      <w:pPr>
        <w:autoSpaceDE w:val="0"/>
        <w:autoSpaceDN w:val="0"/>
        <w:adjustRightInd w:val="0"/>
        <w:jc w:val="both"/>
        <w:rPr>
          <w:lang w:val="en-GB"/>
        </w:rPr>
      </w:pPr>
      <w:r w:rsidRPr="00E72D95">
        <w:rPr>
          <w:lang w:val="en-GB"/>
        </w:rPr>
        <w:t>[2]</w:t>
      </w:r>
      <w:r w:rsidRPr="00E72D95">
        <w:rPr>
          <w:lang w:val="en-GB"/>
        </w:rPr>
        <w:tab/>
      </w:r>
      <w:r w:rsidR="00C25C4C" w:rsidRPr="00FF4B03">
        <w:rPr>
          <w:lang w:val="en-US"/>
        </w:rPr>
        <w:t xml:space="preserve">The convictions relate to </w:t>
      </w:r>
      <w:r w:rsidR="00FD160E" w:rsidRPr="00FF4B03">
        <w:rPr>
          <w:lang w:val="en-US"/>
        </w:rPr>
        <w:t>an incident that occurred on 2 February 2014, in which the owner of a store was robbed</w:t>
      </w:r>
      <w:r w:rsidR="00A71DA2" w:rsidRPr="00FF4B03">
        <w:rPr>
          <w:lang w:val="en-US"/>
        </w:rPr>
        <w:t xml:space="preserve"> by three </w:t>
      </w:r>
      <w:r w:rsidR="00805663" w:rsidRPr="00FF4B03">
        <w:rPr>
          <w:lang w:val="en-US"/>
        </w:rPr>
        <w:t xml:space="preserve">persons. </w:t>
      </w:r>
      <w:r w:rsidR="000F11B6" w:rsidRPr="00FF4B03">
        <w:rPr>
          <w:lang w:val="en-US"/>
        </w:rPr>
        <w:t xml:space="preserve">The </w:t>
      </w:r>
      <w:r w:rsidR="00462364" w:rsidRPr="00FF4B03">
        <w:rPr>
          <w:lang w:val="en-US"/>
        </w:rPr>
        <w:t>appellant</w:t>
      </w:r>
      <w:r w:rsidR="000F11B6" w:rsidRPr="00FF4B03">
        <w:rPr>
          <w:lang w:val="en-US"/>
        </w:rPr>
        <w:t xml:space="preserve"> was found to have </w:t>
      </w:r>
      <w:r w:rsidR="000F11B6" w:rsidRPr="00FF4B03">
        <w:rPr>
          <w:lang w:val="en-US"/>
        </w:rPr>
        <w:lastRenderedPageBreak/>
        <w:t xml:space="preserve">wielded a firearm and inflicted grievous bodily harm during the commission of the robbery, constituting aggravating circumstances. </w:t>
      </w:r>
      <w:r w:rsidR="00115D35" w:rsidRPr="00FF4B03">
        <w:rPr>
          <w:lang w:val="en-US"/>
        </w:rPr>
        <w:t>The serial number of the firearm in question had been removed without authorisation</w:t>
      </w:r>
      <w:r w:rsidR="00986113" w:rsidRPr="00FF4B03">
        <w:rPr>
          <w:lang w:val="en-US"/>
        </w:rPr>
        <w:t>, in contravention of the Firearms Control Act, 2000 (Act 60 of 2000), resulting in the conviction on count 3.</w:t>
      </w:r>
      <w:r w:rsidR="00E72D95" w:rsidRPr="00FF4B03">
        <w:rPr>
          <w:lang w:val="en-US"/>
        </w:rPr>
        <w:t xml:space="preserve"> </w:t>
      </w:r>
    </w:p>
    <w:p w14:paraId="1E3C2AEC" w14:textId="77777777" w:rsidR="00E72D95" w:rsidRPr="00E72D95" w:rsidRDefault="00E72D95" w:rsidP="001B1492">
      <w:pPr>
        <w:pStyle w:val="ListParagraph"/>
        <w:autoSpaceDE w:val="0"/>
        <w:autoSpaceDN w:val="0"/>
        <w:adjustRightInd w:val="0"/>
        <w:ind w:left="0"/>
        <w:jc w:val="both"/>
        <w:rPr>
          <w:lang w:val="en-GB"/>
        </w:rPr>
      </w:pPr>
    </w:p>
    <w:p w14:paraId="351AC391" w14:textId="60BAD6AB" w:rsidR="00902C55" w:rsidRPr="00FF4B03" w:rsidRDefault="00FF4B03" w:rsidP="00FF4B03">
      <w:pPr>
        <w:autoSpaceDE w:val="0"/>
        <w:autoSpaceDN w:val="0"/>
        <w:adjustRightInd w:val="0"/>
        <w:jc w:val="both"/>
        <w:rPr>
          <w:lang w:val="en-GB"/>
        </w:rPr>
      </w:pPr>
      <w:r>
        <w:rPr>
          <w:lang w:val="en-GB"/>
        </w:rPr>
        <w:t>[3]</w:t>
      </w:r>
      <w:r>
        <w:rPr>
          <w:lang w:val="en-GB"/>
        </w:rPr>
        <w:tab/>
      </w:r>
      <w:r w:rsidR="00300B59" w:rsidRPr="00FF4B03">
        <w:rPr>
          <w:lang w:val="en-US"/>
        </w:rPr>
        <w:t xml:space="preserve">The </w:t>
      </w:r>
      <w:r w:rsidR="00462364" w:rsidRPr="00FF4B03">
        <w:rPr>
          <w:lang w:val="en-US"/>
        </w:rPr>
        <w:t>appellant</w:t>
      </w:r>
      <w:r w:rsidR="00300B59" w:rsidRPr="00FF4B03">
        <w:rPr>
          <w:lang w:val="en-US"/>
        </w:rPr>
        <w:t xml:space="preserve"> </w:t>
      </w:r>
      <w:r w:rsidR="007652F3" w:rsidRPr="00FF4B03">
        <w:rPr>
          <w:lang w:val="x-none"/>
        </w:rPr>
        <w:t xml:space="preserve">was sentenced to 12 years imprisonment in respect of the </w:t>
      </w:r>
      <w:r w:rsidR="00300B59" w:rsidRPr="00FF4B03">
        <w:rPr>
          <w:lang w:val="en-US"/>
        </w:rPr>
        <w:t>robbery conviction</w:t>
      </w:r>
      <w:r w:rsidR="007652F3" w:rsidRPr="00FF4B03">
        <w:rPr>
          <w:lang w:val="x-none"/>
        </w:rPr>
        <w:t xml:space="preserve"> and </w:t>
      </w:r>
      <w:r w:rsidR="009D6F5B" w:rsidRPr="00FF4B03">
        <w:rPr>
          <w:lang w:val="en-US"/>
        </w:rPr>
        <w:t>to 15</w:t>
      </w:r>
      <w:r w:rsidR="007652F3" w:rsidRPr="00FF4B03">
        <w:rPr>
          <w:lang w:val="x-none"/>
        </w:rPr>
        <w:t xml:space="preserve"> years i</w:t>
      </w:r>
      <w:r w:rsidR="009D6F5B" w:rsidRPr="00FF4B03">
        <w:rPr>
          <w:lang w:val="en-US"/>
        </w:rPr>
        <w:t xml:space="preserve">mprisonment in respect </w:t>
      </w:r>
      <w:r w:rsidR="00640ADA" w:rsidRPr="00FF4B03">
        <w:rPr>
          <w:lang w:val="en-US"/>
        </w:rPr>
        <w:t xml:space="preserve">of the </w:t>
      </w:r>
      <w:r w:rsidR="00E60008" w:rsidRPr="00FF4B03">
        <w:rPr>
          <w:lang w:val="en-US"/>
        </w:rPr>
        <w:t>possession of the prohibited firearm</w:t>
      </w:r>
      <w:r w:rsidR="007A0DDB" w:rsidRPr="00FF4B03">
        <w:rPr>
          <w:lang w:val="en-US"/>
        </w:rPr>
        <w:t xml:space="preserve">, ten years </w:t>
      </w:r>
      <w:r w:rsidR="00E60008" w:rsidRPr="00FF4B03">
        <w:rPr>
          <w:lang w:val="en-US"/>
        </w:rPr>
        <w:t>of which was to</w:t>
      </w:r>
      <w:r w:rsidR="007A0DDB" w:rsidRPr="00FF4B03">
        <w:rPr>
          <w:lang w:val="en-US"/>
        </w:rPr>
        <w:t xml:space="preserve"> run concurrently with </w:t>
      </w:r>
      <w:r w:rsidR="00771CC8" w:rsidRPr="00FF4B03">
        <w:rPr>
          <w:lang w:val="en-US"/>
        </w:rPr>
        <w:t>the other sentence.</w:t>
      </w:r>
    </w:p>
    <w:p w14:paraId="6EAFAF38" w14:textId="77777777" w:rsidR="004E2F8E" w:rsidRPr="004E2F8E" w:rsidRDefault="004E2F8E" w:rsidP="001B1492">
      <w:pPr>
        <w:pStyle w:val="ListParagraph"/>
        <w:autoSpaceDE w:val="0"/>
        <w:autoSpaceDN w:val="0"/>
        <w:adjustRightInd w:val="0"/>
        <w:ind w:left="0"/>
        <w:jc w:val="both"/>
        <w:rPr>
          <w:lang w:val="en-GB"/>
        </w:rPr>
      </w:pPr>
    </w:p>
    <w:p w14:paraId="20FE85DE" w14:textId="2FA66F9A" w:rsidR="00005172" w:rsidRPr="00FF4B03" w:rsidRDefault="00FF4B03" w:rsidP="00FF4B03">
      <w:pPr>
        <w:autoSpaceDE w:val="0"/>
        <w:autoSpaceDN w:val="0"/>
        <w:adjustRightInd w:val="0"/>
        <w:jc w:val="both"/>
        <w:rPr>
          <w:lang w:val="en-GB"/>
        </w:rPr>
      </w:pPr>
      <w:r>
        <w:rPr>
          <w:lang w:val="en-GB"/>
        </w:rPr>
        <w:t>[4]</w:t>
      </w:r>
      <w:r>
        <w:rPr>
          <w:lang w:val="en-GB"/>
        </w:rPr>
        <w:tab/>
      </w:r>
      <w:r w:rsidR="006553C1" w:rsidRPr="00FF4B03">
        <w:rPr>
          <w:lang w:val="en-GB"/>
        </w:rPr>
        <w:t xml:space="preserve">The conviction was attacked on </w:t>
      </w:r>
      <w:r w:rsidR="00EF7C1E" w:rsidRPr="00FF4B03">
        <w:rPr>
          <w:lang w:val="en-GB"/>
        </w:rPr>
        <w:t xml:space="preserve">various grounds. It was argued, for example, that the state had failed to show that the evidence of the </w:t>
      </w:r>
      <w:r w:rsidR="00DB05AC" w:rsidRPr="00FF4B03">
        <w:rPr>
          <w:lang w:val="en-GB"/>
        </w:rPr>
        <w:t>appellant</w:t>
      </w:r>
      <w:r w:rsidR="00EF7C1E" w:rsidRPr="00FF4B03">
        <w:rPr>
          <w:lang w:val="en-GB"/>
        </w:rPr>
        <w:t xml:space="preserve"> was ‘completely false and misleading’. </w:t>
      </w:r>
      <w:r w:rsidR="00B44BE0" w:rsidRPr="00FF4B03">
        <w:rPr>
          <w:lang w:val="en-GB"/>
        </w:rPr>
        <w:t>The evidence of the main state witness, Constable White, was analysed without appreciating that he was a single witness</w:t>
      </w:r>
      <w:r w:rsidR="00852147" w:rsidRPr="00FF4B03">
        <w:rPr>
          <w:lang w:val="en-GB"/>
        </w:rPr>
        <w:t xml:space="preserve"> to the possession of the firearm. </w:t>
      </w:r>
      <w:r w:rsidR="008C25D8" w:rsidRPr="00FF4B03">
        <w:rPr>
          <w:lang w:val="en-GB"/>
        </w:rPr>
        <w:t>That evidence was in any event not satisfactory in all material respects</w:t>
      </w:r>
      <w:r w:rsidR="00FD25C2" w:rsidRPr="00FF4B03">
        <w:rPr>
          <w:lang w:val="en-GB"/>
        </w:rPr>
        <w:t xml:space="preserve"> and there were discrepancies in the recording of the firearm in the SAP 13 register. </w:t>
      </w:r>
      <w:r w:rsidR="008B0A01" w:rsidRPr="00FF4B03">
        <w:rPr>
          <w:lang w:val="en-GB"/>
        </w:rPr>
        <w:t xml:space="preserve">The court a quo had failed to appreciate that </w:t>
      </w:r>
      <w:r w:rsidR="00E54456" w:rsidRPr="00FF4B03">
        <w:rPr>
          <w:lang w:val="en-GB"/>
        </w:rPr>
        <w:t xml:space="preserve">Sergeant Zono had made a statement indicating that </w:t>
      </w:r>
      <w:r w:rsidR="001B1492" w:rsidRPr="00FF4B03">
        <w:rPr>
          <w:lang w:val="en-GB"/>
        </w:rPr>
        <w:t>t</w:t>
      </w:r>
      <w:r w:rsidR="00E54456" w:rsidRPr="00FF4B03">
        <w:rPr>
          <w:lang w:val="en-GB"/>
        </w:rPr>
        <w:t>he firearm had been found in the shop where the robbery took place</w:t>
      </w:r>
      <w:r w:rsidR="00FB5E35" w:rsidRPr="00FF4B03">
        <w:rPr>
          <w:lang w:val="en-GB"/>
        </w:rPr>
        <w:t xml:space="preserve">. The state ought to have been </w:t>
      </w:r>
      <w:r w:rsidR="005E5B89" w:rsidRPr="00FF4B03">
        <w:rPr>
          <w:lang w:val="en-GB"/>
        </w:rPr>
        <w:t>criticised for failing to send the firearm for fingerprint analysis</w:t>
      </w:r>
      <w:r w:rsidR="00D0449C" w:rsidRPr="00FF4B03">
        <w:rPr>
          <w:lang w:val="en-GB"/>
        </w:rPr>
        <w:t>. It had also omitted to conduct gunpowder tests or test the blood found on the money bag</w:t>
      </w:r>
      <w:r w:rsidR="009B4FF9" w:rsidRPr="00FF4B03">
        <w:rPr>
          <w:lang w:val="en-GB"/>
        </w:rPr>
        <w:t xml:space="preserve">. </w:t>
      </w:r>
      <w:r w:rsidR="00AA7853" w:rsidRPr="00FF4B03">
        <w:rPr>
          <w:lang w:val="en-GB"/>
        </w:rPr>
        <w:t>The magistrate had furthermore erred in permitting video footage of the robbery to be aired in court</w:t>
      </w:r>
      <w:r w:rsidR="00861E94" w:rsidRPr="00FF4B03">
        <w:rPr>
          <w:lang w:val="en-GB"/>
        </w:rPr>
        <w:t xml:space="preserve"> and had not questioned why the constable who had accompanied Constable White had not been called a</w:t>
      </w:r>
      <w:r w:rsidR="00A05BDA" w:rsidRPr="00FF4B03">
        <w:rPr>
          <w:lang w:val="en-GB"/>
        </w:rPr>
        <w:t xml:space="preserve">s a </w:t>
      </w:r>
      <w:r w:rsidR="00861E94" w:rsidRPr="00FF4B03">
        <w:rPr>
          <w:lang w:val="en-GB"/>
        </w:rPr>
        <w:t>witness.</w:t>
      </w:r>
      <w:r w:rsidR="00A05BDA" w:rsidRPr="00FF4B03">
        <w:rPr>
          <w:lang w:val="en-GB"/>
        </w:rPr>
        <w:t xml:space="preserve"> No </w:t>
      </w:r>
      <w:r w:rsidR="0057188A" w:rsidRPr="00FF4B03">
        <w:rPr>
          <w:lang w:val="en-GB"/>
        </w:rPr>
        <w:t xml:space="preserve">witness </w:t>
      </w:r>
      <w:r w:rsidR="00005172" w:rsidRPr="00FF4B03">
        <w:rPr>
          <w:lang w:val="en-GB"/>
        </w:rPr>
        <w:t>could identify the a</w:t>
      </w:r>
      <w:r w:rsidR="00333487" w:rsidRPr="00FF4B03">
        <w:rPr>
          <w:lang w:val="en-GB"/>
        </w:rPr>
        <w:t>ppellant</w:t>
      </w:r>
      <w:r w:rsidR="00101C81" w:rsidRPr="00FF4B03">
        <w:rPr>
          <w:lang w:val="en-GB"/>
        </w:rPr>
        <w:t xml:space="preserve"> as one of the armed robbers. </w:t>
      </w:r>
      <w:r w:rsidR="00C638DB" w:rsidRPr="00FF4B03">
        <w:rPr>
          <w:lang w:val="en-GB"/>
        </w:rPr>
        <w:t xml:space="preserve">The court a quo had failed to </w:t>
      </w:r>
      <w:r w:rsidR="00FE6913" w:rsidRPr="00FF4B03">
        <w:rPr>
          <w:lang w:val="en-GB"/>
        </w:rPr>
        <w:t>provide</w:t>
      </w:r>
      <w:r w:rsidR="00C638DB" w:rsidRPr="00FF4B03">
        <w:rPr>
          <w:lang w:val="en-GB"/>
        </w:rPr>
        <w:t xml:space="preserve"> reasons for the conviction. </w:t>
      </w:r>
      <w:r w:rsidR="00B2720D" w:rsidRPr="00FF4B03">
        <w:rPr>
          <w:lang w:val="en-GB"/>
        </w:rPr>
        <w:t>The sentence was criticised for inducing a sense of shock</w:t>
      </w:r>
      <w:r w:rsidR="00403BB3" w:rsidRPr="00FF4B03">
        <w:rPr>
          <w:lang w:val="en-GB"/>
        </w:rPr>
        <w:t xml:space="preserve"> and for being inappropriate.</w:t>
      </w:r>
    </w:p>
    <w:p w14:paraId="624B49D2" w14:textId="6E312105" w:rsidR="00D04F57" w:rsidRDefault="00D04F57" w:rsidP="001B1492">
      <w:pPr>
        <w:pStyle w:val="ListParagraph"/>
        <w:autoSpaceDE w:val="0"/>
        <w:autoSpaceDN w:val="0"/>
        <w:adjustRightInd w:val="0"/>
        <w:ind w:left="0"/>
        <w:jc w:val="both"/>
        <w:rPr>
          <w:lang w:val="en-GB"/>
        </w:rPr>
      </w:pPr>
    </w:p>
    <w:p w14:paraId="6DCCC0B0" w14:textId="16BC84C6" w:rsidR="002D5582" w:rsidRDefault="002D5582" w:rsidP="001B1492">
      <w:pPr>
        <w:pStyle w:val="ListParagraph"/>
        <w:autoSpaceDE w:val="0"/>
        <w:autoSpaceDN w:val="0"/>
        <w:adjustRightInd w:val="0"/>
        <w:ind w:left="0"/>
        <w:jc w:val="both"/>
        <w:rPr>
          <w:b/>
          <w:bCs/>
          <w:lang w:val="en-GB"/>
        </w:rPr>
      </w:pPr>
      <w:r>
        <w:rPr>
          <w:b/>
          <w:bCs/>
          <w:lang w:val="en-GB"/>
        </w:rPr>
        <w:t>Conviction</w:t>
      </w:r>
    </w:p>
    <w:p w14:paraId="593E5AF9" w14:textId="77777777" w:rsidR="002D5582" w:rsidRPr="002D5582" w:rsidRDefault="002D5582" w:rsidP="001B1492">
      <w:pPr>
        <w:pStyle w:val="ListParagraph"/>
        <w:autoSpaceDE w:val="0"/>
        <w:autoSpaceDN w:val="0"/>
        <w:adjustRightInd w:val="0"/>
        <w:ind w:left="0"/>
        <w:jc w:val="both"/>
        <w:rPr>
          <w:b/>
          <w:bCs/>
          <w:lang w:val="en-GB"/>
        </w:rPr>
      </w:pPr>
    </w:p>
    <w:p w14:paraId="642EEFD8" w14:textId="7EFDF3EB" w:rsidR="00660878" w:rsidRPr="00FF4B03" w:rsidRDefault="00FF4B03" w:rsidP="00FF4B03">
      <w:pPr>
        <w:autoSpaceDE w:val="0"/>
        <w:autoSpaceDN w:val="0"/>
        <w:adjustRightInd w:val="0"/>
        <w:jc w:val="both"/>
        <w:rPr>
          <w:lang w:val="en-GB"/>
        </w:rPr>
      </w:pPr>
      <w:r>
        <w:rPr>
          <w:lang w:val="en-GB"/>
        </w:rPr>
        <w:t>[5]</w:t>
      </w:r>
      <w:r>
        <w:rPr>
          <w:lang w:val="en-GB"/>
        </w:rPr>
        <w:tab/>
      </w:r>
      <w:r w:rsidR="00D04F57" w:rsidRPr="00FF4B03">
        <w:rPr>
          <w:lang w:val="en-GB"/>
        </w:rPr>
        <w:t>There is a presumption that the trial court’s evaluation of the evidence is correct. It will only be disregarded if it is clearly wrong.</w:t>
      </w:r>
      <w:r w:rsidR="007034FB">
        <w:rPr>
          <w:rStyle w:val="FootnoteReference"/>
          <w:lang w:val="en-GB"/>
        </w:rPr>
        <w:footnoteReference w:id="1"/>
      </w:r>
      <w:r w:rsidR="00D04F57" w:rsidRPr="00FF4B03">
        <w:rPr>
          <w:lang w:val="en-GB"/>
        </w:rPr>
        <w:t xml:space="preserve"> </w:t>
      </w:r>
      <w:r w:rsidR="004B4FA4" w:rsidRPr="00FF4B03">
        <w:rPr>
          <w:lang w:val="en-GB"/>
        </w:rPr>
        <w:t xml:space="preserve">The mere fact that a trial court has not commented on the demeanour of the witness can hardly ever place the appeal court in as good position as </w:t>
      </w:r>
      <w:r w:rsidR="006E2387" w:rsidRPr="00FF4B03">
        <w:rPr>
          <w:lang w:val="en-GB"/>
        </w:rPr>
        <w:t xml:space="preserve">that court. </w:t>
      </w:r>
      <w:r w:rsidR="00A65FEF" w:rsidRPr="00FF4B03">
        <w:rPr>
          <w:lang w:val="en-GB"/>
        </w:rPr>
        <w:t xml:space="preserve">It is </w:t>
      </w:r>
      <w:r w:rsidR="00D87224" w:rsidRPr="00FF4B03">
        <w:rPr>
          <w:lang w:val="en-GB"/>
        </w:rPr>
        <w:t xml:space="preserve">accepted that the trial court might well be in a </w:t>
      </w:r>
      <w:r w:rsidR="00D87224" w:rsidRPr="00FF4B03">
        <w:rPr>
          <w:lang w:val="en-GB"/>
        </w:rPr>
        <w:lastRenderedPageBreak/>
        <w:t xml:space="preserve">better position than an appellate court in drawing inferences, or in estimating what is probable or improbable in relation to the witnesses that have been observed during the trial. </w:t>
      </w:r>
    </w:p>
    <w:p w14:paraId="77B42F58" w14:textId="77777777" w:rsidR="00660878" w:rsidRPr="00660878" w:rsidRDefault="00660878" w:rsidP="001B1492">
      <w:pPr>
        <w:pStyle w:val="ListParagraph"/>
        <w:ind w:left="0"/>
        <w:rPr>
          <w:lang w:val="en-GB"/>
        </w:rPr>
      </w:pPr>
    </w:p>
    <w:p w14:paraId="44B8C6C6" w14:textId="5F733F20" w:rsidR="0027696F" w:rsidRPr="00FF4B03" w:rsidRDefault="00FF4B03" w:rsidP="00FF4B03">
      <w:pPr>
        <w:autoSpaceDE w:val="0"/>
        <w:autoSpaceDN w:val="0"/>
        <w:adjustRightInd w:val="0"/>
        <w:jc w:val="both"/>
        <w:rPr>
          <w:lang w:val="en-GB"/>
        </w:rPr>
      </w:pPr>
      <w:r>
        <w:rPr>
          <w:lang w:val="en-GB"/>
        </w:rPr>
        <w:t>[6]</w:t>
      </w:r>
      <w:r>
        <w:rPr>
          <w:lang w:val="en-GB"/>
        </w:rPr>
        <w:tab/>
      </w:r>
      <w:r w:rsidR="000017A4" w:rsidRPr="00FF4B03">
        <w:rPr>
          <w:lang w:val="en-GB"/>
        </w:rPr>
        <w:t>Nevertheless, where</w:t>
      </w:r>
      <w:r w:rsidR="00C03809" w:rsidRPr="00FF4B03">
        <w:rPr>
          <w:lang w:val="en-GB"/>
        </w:rPr>
        <w:t xml:space="preserve"> a court of appeal is satisfied that the trial court has made a wrong finding of fact it must rectify this.</w:t>
      </w:r>
      <w:r w:rsidR="003105EA" w:rsidRPr="00FF4B03">
        <w:rPr>
          <w:lang w:val="en-GB"/>
        </w:rPr>
        <w:t xml:space="preserve"> </w:t>
      </w:r>
      <w:r w:rsidR="000170AF" w:rsidRPr="00FF4B03">
        <w:rPr>
          <w:lang w:val="en-GB"/>
        </w:rPr>
        <w:t>This may result either from the reasons provided being unsatisfactory</w:t>
      </w:r>
      <w:r w:rsidR="00CF236B" w:rsidRPr="00FF4B03">
        <w:rPr>
          <w:lang w:val="en-GB"/>
        </w:rPr>
        <w:t xml:space="preserve"> on their face, or where the record shows them to be such</w:t>
      </w:r>
      <w:r w:rsidR="008C6948" w:rsidRPr="00FF4B03">
        <w:rPr>
          <w:lang w:val="en-GB"/>
        </w:rPr>
        <w:t xml:space="preserve"> or where other facts or probabilities have been overlooked. </w:t>
      </w:r>
      <w:r w:rsidR="0027696F" w:rsidRPr="00FF4B03">
        <w:rPr>
          <w:lang w:val="en-GB"/>
        </w:rPr>
        <w:t>In that case it is open to the appellate court to disregard the findings on fact</w:t>
      </w:r>
      <w:r w:rsidR="00C762AA" w:rsidRPr="00FF4B03">
        <w:rPr>
          <w:lang w:val="en-GB"/>
        </w:rPr>
        <w:t xml:space="preserve"> according to the nature of the misdirection and the circumstances of the particular case, and to come to its own conclusion on the matter.</w:t>
      </w:r>
    </w:p>
    <w:p w14:paraId="7FAE72B7" w14:textId="77777777" w:rsidR="0027696F" w:rsidRPr="0027696F" w:rsidRDefault="0027696F" w:rsidP="001B1492">
      <w:pPr>
        <w:pStyle w:val="ListParagraph"/>
        <w:ind w:left="0"/>
        <w:rPr>
          <w:lang w:val="en-GB"/>
        </w:rPr>
      </w:pPr>
    </w:p>
    <w:p w14:paraId="795B756D" w14:textId="1EF283A3" w:rsidR="000170AF" w:rsidRPr="00FF4B03" w:rsidRDefault="00FF4B03" w:rsidP="00FF4B03">
      <w:pPr>
        <w:autoSpaceDE w:val="0"/>
        <w:autoSpaceDN w:val="0"/>
        <w:adjustRightInd w:val="0"/>
        <w:jc w:val="both"/>
        <w:rPr>
          <w:lang w:val="en-GB"/>
        </w:rPr>
      </w:pPr>
      <w:r>
        <w:rPr>
          <w:lang w:val="en-GB"/>
        </w:rPr>
        <w:t>[7]</w:t>
      </w:r>
      <w:r>
        <w:rPr>
          <w:lang w:val="en-GB"/>
        </w:rPr>
        <w:tab/>
      </w:r>
      <w:r w:rsidR="003105EA" w:rsidRPr="00FF4B03">
        <w:rPr>
          <w:lang w:val="en-GB"/>
        </w:rPr>
        <w:t xml:space="preserve">On occasion an appellate court may be in as good a position as the court a quo to draw inferences, where they are either drawn from admitted facts or from the facts as </w:t>
      </w:r>
      <w:r w:rsidR="009731C8" w:rsidRPr="00FF4B03">
        <w:rPr>
          <w:lang w:val="en-GB"/>
        </w:rPr>
        <w:t xml:space="preserve">they have been </w:t>
      </w:r>
      <w:r w:rsidR="00E559F4" w:rsidRPr="00FF4B03">
        <w:rPr>
          <w:lang w:val="en-GB"/>
        </w:rPr>
        <w:t>found by the presiding magistrate.</w:t>
      </w:r>
      <w:r w:rsidR="0005647E" w:rsidRPr="00FF4B03">
        <w:rPr>
          <w:lang w:val="en-GB"/>
        </w:rPr>
        <w:t xml:space="preserve"> </w:t>
      </w:r>
    </w:p>
    <w:p w14:paraId="44B4D706" w14:textId="77777777" w:rsidR="000170AF" w:rsidRPr="000170AF" w:rsidRDefault="000170AF" w:rsidP="001B1492">
      <w:pPr>
        <w:pStyle w:val="ListParagraph"/>
        <w:ind w:left="0"/>
        <w:rPr>
          <w:lang w:val="en-GB"/>
        </w:rPr>
      </w:pPr>
    </w:p>
    <w:p w14:paraId="3D0C5CD8" w14:textId="79A153A8" w:rsidR="00D04F57" w:rsidRPr="00FF4B03" w:rsidRDefault="00FF4B03" w:rsidP="00FF4B03">
      <w:pPr>
        <w:autoSpaceDE w:val="0"/>
        <w:autoSpaceDN w:val="0"/>
        <w:adjustRightInd w:val="0"/>
        <w:jc w:val="both"/>
        <w:rPr>
          <w:lang w:val="en-GB"/>
        </w:rPr>
      </w:pPr>
      <w:r w:rsidRPr="00005172">
        <w:rPr>
          <w:lang w:val="en-GB"/>
        </w:rPr>
        <w:t>[8]</w:t>
      </w:r>
      <w:r w:rsidRPr="00005172">
        <w:rPr>
          <w:lang w:val="en-GB"/>
        </w:rPr>
        <w:tab/>
      </w:r>
      <w:r w:rsidR="0005647E" w:rsidRPr="00FF4B03">
        <w:rPr>
          <w:lang w:val="en-GB"/>
        </w:rPr>
        <w:t>Where there has been no misdirection on fact by the trial court, the presumption is that their conclusion is correct and the appellate court will only reverse it where it is convinced that it is wrong.</w:t>
      </w:r>
      <w:r w:rsidR="00D942DC" w:rsidRPr="00FF4B03">
        <w:rPr>
          <w:lang w:val="en-GB"/>
        </w:rPr>
        <w:t xml:space="preserve"> In such a case, if the appellate court is merely left in doubt as to the correctness of the conclusion, that conclusion will be upheld.</w:t>
      </w:r>
      <w:r w:rsidR="00414A97" w:rsidRPr="00FF4B03">
        <w:rPr>
          <w:lang w:val="en-GB"/>
        </w:rPr>
        <w:t xml:space="preserve"> An appellate court should not seek anxiously to discover reasons adverse to the conclusions of the trial court</w:t>
      </w:r>
      <w:r w:rsidR="00B75850" w:rsidRPr="00FF4B03">
        <w:rPr>
          <w:lang w:val="en-GB"/>
        </w:rPr>
        <w:t xml:space="preserve">. Judgments frequently omit </w:t>
      </w:r>
      <w:r w:rsidR="00F07C9C" w:rsidRPr="00FF4B03">
        <w:rPr>
          <w:lang w:val="en-GB"/>
        </w:rPr>
        <w:t>certain information, which does not necessarily imply that that material was erroneously ignored.</w:t>
      </w:r>
    </w:p>
    <w:p w14:paraId="4CD9AA23" w14:textId="77777777" w:rsidR="00E57C72" w:rsidRPr="00D625B8" w:rsidRDefault="00E57C72" w:rsidP="001B1492">
      <w:pPr>
        <w:jc w:val="both"/>
        <w:rPr>
          <w:lang w:val="en-GB"/>
        </w:rPr>
      </w:pPr>
    </w:p>
    <w:p w14:paraId="48EF6EC8" w14:textId="58CAA55D" w:rsidR="00E57C72" w:rsidRPr="00FF4B03" w:rsidRDefault="00FF4B03" w:rsidP="00FF4B03">
      <w:pPr>
        <w:autoSpaceDE w:val="0"/>
        <w:autoSpaceDN w:val="0"/>
        <w:adjustRightInd w:val="0"/>
        <w:jc w:val="both"/>
        <w:rPr>
          <w:lang w:val="en-GB"/>
        </w:rPr>
      </w:pPr>
      <w:r w:rsidRPr="00044B50">
        <w:rPr>
          <w:lang w:val="en-GB"/>
        </w:rPr>
        <w:t>[9]</w:t>
      </w:r>
      <w:r w:rsidRPr="00044B50">
        <w:rPr>
          <w:lang w:val="en-GB"/>
        </w:rPr>
        <w:tab/>
      </w:r>
      <w:r w:rsidR="00444D6D" w:rsidRPr="00FF4B03">
        <w:rPr>
          <w:lang w:val="en-GB"/>
        </w:rPr>
        <w:t xml:space="preserve">The magistrate’s judgment provides a summary of the evidence led, as well as the magistrate’s observations of the video evidence led. </w:t>
      </w:r>
      <w:r w:rsidR="00FF12F2" w:rsidRPr="00FF4B03">
        <w:rPr>
          <w:lang w:val="en-GB"/>
        </w:rPr>
        <w:t xml:space="preserve">The magistrate adds the conclusion that ‘… there is overwhelming [evidence] against the accused’ before the appellant is convicted. There is little explanation for the reasons for this conclusion, no appreciation </w:t>
      </w:r>
      <w:r w:rsidR="00D808CE" w:rsidRPr="00FF4B03">
        <w:rPr>
          <w:lang w:val="en-GB"/>
        </w:rPr>
        <w:t>that the convictions are based on circumstantial evidence, no real engagement with the appellant’s version or application of the correct approach to the contradictions between the appellant’s version and White’s version. No overt credibility assessment is offered, although it is apparent that the appellant’s version is ultimately rejected</w:t>
      </w:r>
      <w:r w:rsidR="0018044A" w:rsidRPr="00FF4B03">
        <w:rPr>
          <w:lang w:val="en-GB"/>
        </w:rPr>
        <w:t>.</w:t>
      </w:r>
      <w:r w:rsidR="00D43AF7" w:rsidRPr="00FF4B03">
        <w:rPr>
          <w:lang w:val="en-GB"/>
        </w:rPr>
        <w:t xml:space="preserve"> </w:t>
      </w:r>
    </w:p>
    <w:p w14:paraId="3225DD1D" w14:textId="6F3974AE" w:rsidR="008C480D" w:rsidRPr="00D30CEE" w:rsidRDefault="008C480D" w:rsidP="001B1492">
      <w:pPr>
        <w:autoSpaceDE w:val="0"/>
        <w:autoSpaceDN w:val="0"/>
        <w:adjustRightInd w:val="0"/>
        <w:jc w:val="both"/>
        <w:rPr>
          <w:lang w:val="en-GB"/>
        </w:rPr>
      </w:pPr>
    </w:p>
    <w:p w14:paraId="38E7DD69" w14:textId="7814BBA7" w:rsidR="008C480D" w:rsidRPr="00FF4B03" w:rsidRDefault="00FF4B03" w:rsidP="00FF4B03">
      <w:pPr>
        <w:autoSpaceDE w:val="0"/>
        <w:autoSpaceDN w:val="0"/>
        <w:adjustRightInd w:val="0"/>
        <w:jc w:val="both"/>
        <w:rPr>
          <w:lang w:val="en-GB"/>
        </w:rPr>
      </w:pPr>
      <w:r>
        <w:rPr>
          <w:lang w:val="en-GB"/>
        </w:rPr>
        <w:lastRenderedPageBreak/>
        <w:t>[10]</w:t>
      </w:r>
      <w:r>
        <w:rPr>
          <w:lang w:val="en-GB"/>
        </w:rPr>
        <w:tab/>
      </w:r>
      <w:r w:rsidR="00D43AF7" w:rsidRPr="00FF4B03">
        <w:rPr>
          <w:lang w:val="en-GB"/>
        </w:rPr>
        <w:t xml:space="preserve">The </w:t>
      </w:r>
      <w:r w:rsidR="001C249E" w:rsidRPr="00FF4B03">
        <w:rPr>
          <w:lang w:val="en-GB"/>
        </w:rPr>
        <w:t>C</w:t>
      </w:r>
      <w:r w:rsidR="00D43AF7" w:rsidRPr="00FF4B03">
        <w:rPr>
          <w:lang w:val="en-GB"/>
        </w:rPr>
        <w:t xml:space="preserve">ourt a quo’s approach conflicts with the proper manner in which the </w:t>
      </w:r>
      <w:r w:rsidR="00616795" w:rsidRPr="00FF4B03">
        <w:rPr>
          <w:lang w:val="en-GB"/>
        </w:rPr>
        <w:t>C</w:t>
      </w:r>
      <w:r w:rsidR="00D43AF7" w:rsidRPr="00FF4B03">
        <w:rPr>
          <w:lang w:val="en-GB"/>
        </w:rPr>
        <w:t xml:space="preserve">ourt must assess the evidence and provide a reasoned conclusion. As De Villiers JP held in </w:t>
      </w:r>
      <w:r w:rsidR="00D43AF7" w:rsidRPr="00FF4B03">
        <w:rPr>
          <w:i/>
          <w:iCs/>
          <w:lang w:val="en-GB"/>
        </w:rPr>
        <w:t>Schoonwinkel v Swart’s Trustee</w:t>
      </w:r>
      <w:r w:rsidR="005640B8" w:rsidRPr="00FF4B03">
        <w:rPr>
          <w:lang w:val="en-GB"/>
        </w:rPr>
        <w:t>:</w:t>
      </w:r>
      <w:r w:rsidR="00D43AF7" w:rsidRPr="005640B8">
        <w:rPr>
          <w:rStyle w:val="FootnoteReference"/>
          <w:lang w:val="en-GB"/>
        </w:rPr>
        <w:footnoteReference w:id="2"/>
      </w:r>
    </w:p>
    <w:p w14:paraId="70207BD0" w14:textId="72A77327" w:rsidR="005640B8" w:rsidRDefault="005640B8" w:rsidP="001B1492">
      <w:pPr>
        <w:jc w:val="both"/>
        <w:rPr>
          <w:sz w:val="22"/>
          <w:szCs w:val="22"/>
          <w:lang w:val="en-GB"/>
        </w:rPr>
      </w:pPr>
      <w:r>
        <w:rPr>
          <w:sz w:val="22"/>
          <w:szCs w:val="22"/>
          <w:lang w:val="en-GB"/>
        </w:rPr>
        <w:t>‘This Court, as a court of appeal, expects the court below not only to give its findings on the facts, but also its reasons for those findings. It is not sufficient for a magistrate to say, “</w:t>
      </w:r>
      <w:r w:rsidR="008C31F4">
        <w:rPr>
          <w:sz w:val="22"/>
          <w:szCs w:val="22"/>
          <w:lang w:val="en-GB"/>
        </w:rPr>
        <w:t xml:space="preserve">I believed </w:t>
      </w:r>
      <w:r w:rsidR="008C31F4">
        <w:rPr>
          <w:i/>
          <w:iCs/>
          <w:sz w:val="22"/>
          <w:szCs w:val="22"/>
          <w:lang w:val="en-GB"/>
        </w:rPr>
        <w:t xml:space="preserve">this </w:t>
      </w:r>
      <w:r w:rsidR="008C31F4">
        <w:rPr>
          <w:sz w:val="22"/>
          <w:szCs w:val="22"/>
          <w:lang w:val="en-GB"/>
        </w:rPr>
        <w:t>witness, and I did not believe</w:t>
      </w:r>
      <w:r w:rsidR="008C31F4">
        <w:rPr>
          <w:i/>
          <w:iCs/>
          <w:sz w:val="22"/>
          <w:szCs w:val="22"/>
          <w:lang w:val="en-GB"/>
        </w:rPr>
        <w:t xml:space="preserve"> that</w:t>
      </w:r>
      <w:r w:rsidR="008C31F4">
        <w:rPr>
          <w:sz w:val="22"/>
          <w:szCs w:val="22"/>
          <w:lang w:val="en-GB"/>
        </w:rPr>
        <w:t xml:space="preserve"> witness”. The Court of appeal expects the magistrate when he finds that he cannot believe a witness, to state his reasons why he does not believe him. If the reasons are because of inherent probabilities, or because of contradictions in the evidence of the witness, or because of his being contradicted by more trustworthy witnesses, the Court expects the magistrate to say so</w:t>
      </w:r>
      <w:r w:rsidR="00906688">
        <w:rPr>
          <w:sz w:val="22"/>
          <w:szCs w:val="22"/>
          <w:lang w:val="en-GB"/>
        </w:rPr>
        <w:t>…’</w:t>
      </w:r>
    </w:p>
    <w:p w14:paraId="1CF99DF3" w14:textId="77777777" w:rsidR="002B2D3F" w:rsidRPr="008C31F4" w:rsidRDefault="002B2D3F" w:rsidP="001B1492">
      <w:pPr>
        <w:jc w:val="both"/>
        <w:rPr>
          <w:sz w:val="22"/>
          <w:szCs w:val="22"/>
          <w:lang w:val="en-GB"/>
        </w:rPr>
      </w:pPr>
    </w:p>
    <w:p w14:paraId="089FA8EF" w14:textId="6CB076F9" w:rsidR="005640B8" w:rsidRPr="00FF4B03" w:rsidRDefault="00FF4B03" w:rsidP="00FF4B03">
      <w:pPr>
        <w:autoSpaceDE w:val="0"/>
        <w:autoSpaceDN w:val="0"/>
        <w:adjustRightInd w:val="0"/>
        <w:jc w:val="both"/>
        <w:rPr>
          <w:lang w:val="en-GB"/>
        </w:rPr>
      </w:pPr>
      <w:r>
        <w:rPr>
          <w:lang w:val="en-GB"/>
        </w:rPr>
        <w:t>[11]</w:t>
      </w:r>
      <w:r>
        <w:rPr>
          <w:lang w:val="en-GB"/>
        </w:rPr>
        <w:tab/>
      </w:r>
      <w:r w:rsidR="001C249E" w:rsidRPr="00FF4B03">
        <w:rPr>
          <w:lang w:val="en-GB"/>
        </w:rPr>
        <w:t xml:space="preserve">The </w:t>
      </w:r>
      <w:r w:rsidR="001768E7" w:rsidRPr="00FF4B03">
        <w:rPr>
          <w:lang w:val="en-GB"/>
        </w:rPr>
        <w:t>judgment ought to have reflected the merits and demerits of the State witnesses and the appellant’s testimony, in the context of the probabilities of the case before arriving at a conclusion whether the appellant’s guilt was established beyond reasonable doubt.</w:t>
      </w:r>
      <w:r w:rsidR="00731E6A" w:rsidRPr="00FF4B03">
        <w:rPr>
          <w:lang w:val="en-GB"/>
        </w:rPr>
        <w:t xml:space="preserve"> All of this should have been apparent from the reasons for judgment provided, including the reasons for the acceptance and the rejection of the respective witnesses’ testimony.</w:t>
      </w:r>
      <w:r w:rsidR="002C0DBC">
        <w:rPr>
          <w:rStyle w:val="FootnoteReference"/>
          <w:lang w:val="en-GB"/>
        </w:rPr>
        <w:footnoteReference w:id="3"/>
      </w:r>
      <w:r w:rsidR="001B1492" w:rsidRPr="00FF4B03">
        <w:rPr>
          <w:lang w:val="en-GB"/>
        </w:rPr>
        <w:t xml:space="preserve"> In the circumstances it is open for this Court to revisit the factual findings </w:t>
      </w:r>
      <w:r w:rsidR="00EA1A67" w:rsidRPr="00FF4B03">
        <w:rPr>
          <w:lang w:val="en-GB"/>
        </w:rPr>
        <w:t xml:space="preserve">and conclusion </w:t>
      </w:r>
      <w:r w:rsidR="001B1492" w:rsidRPr="00FF4B03">
        <w:rPr>
          <w:lang w:val="en-GB"/>
        </w:rPr>
        <w:t xml:space="preserve">of the court </w:t>
      </w:r>
      <w:r w:rsidR="001B1492" w:rsidRPr="00FF4B03">
        <w:rPr>
          <w:i/>
          <w:iCs/>
          <w:lang w:val="en-GB"/>
        </w:rPr>
        <w:t>a quo</w:t>
      </w:r>
      <w:r w:rsidR="005558C6" w:rsidRPr="00FF4B03">
        <w:rPr>
          <w:lang w:val="en-GB"/>
        </w:rPr>
        <w:t>, based on the available record of proceedings</w:t>
      </w:r>
      <w:r w:rsidR="001B1492" w:rsidRPr="00FF4B03">
        <w:rPr>
          <w:lang w:val="en-GB"/>
        </w:rPr>
        <w:t>.</w:t>
      </w:r>
    </w:p>
    <w:p w14:paraId="4605C9F8" w14:textId="77777777" w:rsidR="001B1492" w:rsidRDefault="001B1492" w:rsidP="001B1492">
      <w:pPr>
        <w:pStyle w:val="ListParagraph"/>
        <w:autoSpaceDE w:val="0"/>
        <w:autoSpaceDN w:val="0"/>
        <w:adjustRightInd w:val="0"/>
        <w:ind w:left="0"/>
        <w:jc w:val="both"/>
        <w:rPr>
          <w:lang w:val="en-GB"/>
        </w:rPr>
      </w:pPr>
    </w:p>
    <w:p w14:paraId="66CEFFE4" w14:textId="35783FFC" w:rsidR="001B1492" w:rsidRPr="00FF4B03" w:rsidRDefault="00FF4B03" w:rsidP="00FF4B03">
      <w:pPr>
        <w:autoSpaceDE w:val="0"/>
        <w:autoSpaceDN w:val="0"/>
        <w:adjustRightInd w:val="0"/>
        <w:jc w:val="both"/>
        <w:rPr>
          <w:lang w:val="en-GB"/>
        </w:rPr>
      </w:pPr>
      <w:r>
        <w:rPr>
          <w:lang w:val="en-GB"/>
        </w:rPr>
        <w:t>[12]</w:t>
      </w:r>
      <w:r>
        <w:rPr>
          <w:lang w:val="en-GB"/>
        </w:rPr>
        <w:tab/>
      </w:r>
      <w:r w:rsidR="004453C7" w:rsidRPr="00FF4B03">
        <w:rPr>
          <w:lang w:val="en-GB"/>
        </w:rPr>
        <w:t xml:space="preserve">White’s testimony is a convenient starting point. </w:t>
      </w:r>
      <w:r w:rsidR="001327FC" w:rsidRPr="00FF4B03">
        <w:rPr>
          <w:lang w:val="en-GB"/>
        </w:rPr>
        <w:t>He and Monde had been patrolling when they observed Mohammed</w:t>
      </w:r>
      <w:r w:rsidR="001051D7" w:rsidRPr="00FF4B03">
        <w:rPr>
          <w:lang w:val="en-GB"/>
        </w:rPr>
        <w:t>. He</w:t>
      </w:r>
      <w:r w:rsidR="001327FC" w:rsidRPr="00FF4B03">
        <w:rPr>
          <w:lang w:val="en-GB"/>
        </w:rPr>
        <w:t xml:space="preserve"> was known to White</w:t>
      </w:r>
      <w:r w:rsidR="001051D7" w:rsidRPr="00FF4B03">
        <w:rPr>
          <w:lang w:val="en-GB"/>
        </w:rPr>
        <w:t xml:space="preserve">, carrying a firearm and bleeding profusely. </w:t>
      </w:r>
      <w:r w:rsidR="002E071C" w:rsidRPr="00FF4B03">
        <w:rPr>
          <w:lang w:val="en-GB"/>
        </w:rPr>
        <w:t xml:space="preserve">He pointed in a direction and White observed ‘a certain young man who was carrying a money bag or sack. And on the other hand he was also carrying a firearm’. </w:t>
      </w:r>
      <w:r w:rsidR="007E2628" w:rsidRPr="00FF4B03">
        <w:rPr>
          <w:lang w:val="en-GB"/>
        </w:rPr>
        <w:t>This individual</w:t>
      </w:r>
      <w:r w:rsidR="00574312" w:rsidRPr="00FF4B03">
        <w:rPr>
          <w:lang w:val="en-GB"/>
        </w:rPr>
        <w:t>, who was walking away from the direction of the shop,</w:t>
      </w:r>
      <w:r w:rsidR="007E2628" w:rsidRPr="00FF4B03">
        <w:rPr>
          <w:lang w:val="en-GB"/>
        </w:rPr>
        <w:t xml:space="preserve"> was continuously observed until he stopped walking</w:t>
      </w:r>
      <w:r w:rsidR="0069314C" w:rsidRPr="00FF4B03">
        <w:rPr>
          <w:lang w:val="en-GB"/>
        </w:rPr>
        <w:t xml:space="preserve">, placed the firearm a distance away from him and put the money bag down, before </w:t>
      </w:r>
      <w:r w:rsidR="003859F1" w:rsidRPr="00FF4B03">
        <w:rPr>
          <w:lang w:val="en-GB"/>
        </w:rPr>
        <w:t>laying</w:t>
      </w:r>
      <w:r w:rsidR="0069314C" w:rsidRPr="00FF4B03">
        <w:rPr>
          <w:lang w:val="en-GB"/>
        </w:rPr>
        <w:t xml:space="preserve"> on his stomach.</w:t>
      </w:r>
      <w:r w:rsidR="00FD3CEF" w:rsidRPr="00FF4B03">
        <w:rPr>
          <w:lang w:val="en-GB"/>
        </w:rPr>
        <w:t xml:space="preserve"> He was searched, the firearm was taken, he was placed under arrest and taken to the police station. </w:t>
      </w:r>
      <w:r w:rsidR="00415A58" w:rsidRPr="00FF4B03">
        <w:rPr>
          <w:lang w:val="en-GB"/>
        </w:rPr>
        <w:t>White, who was 40 to 50 paces away from the man</w:t>
      </w:r>
      <w:r w:rsidR="00136D80" w:rsidRPr="00FF4B03">
        <w:rPr>
          <w:lang w:val="en-GB"/>
        </w:rPr>
        <w:t xml:space="preserve"> when he first observed him</w:t>
      </w:r>
      <w:r w:rsidR="00415A58" w:rsidRPr="00FF4B03">
        <w:rPr>
          <w:lang w:val="en-GB"/>
        </w:rPr>
        <w:t xml:space="preserve">, was able to describe the manner in which the firearm had been carried, and had noticed that the man had been limping. </w:t>
      </w:r>
      <w:r w:rsidR="003E4DB4" w:rsidRPr="00FF4B03">
        <w:rPr>
          <w:lang w:val="en-GB"/>
        </w:rPr>
        <w:t xml:space="preserve">White identified the man as the </w:t>
      </w:r>
      <w:r w:rsidR="003E4DB4" w:rsidRPr="00FF4B03">
        <w:rPr>
          <w:lang w:val="en-GB"/>
        </w:rPr>
        <w:lastRenderedPageBreak/>
        <w:t>appellant.</w:t>
      </w:r>
      <w:r w:rsidR="008D2223" w:rsidRPr="00FF4B03">
        <w:rPr>
          <w:lang w:val="en-GB"/>
        </w:rPr>
        <w:t xml:space="preserve"> He had observed him at close quarters at the time of his arrest, and asked him his name, which matched that of the appellant.</w:t>
      </w:r>
      <w:r w:rsidR="00C4666C" w:rsidRPr="00FF4B03">
        <w:rPr>
          <w:lang w:val="en-GB"/>
        </w:rPr>
        <w:t xml:space="preserve"> </w:t>
      </w:r>
    </w:p>
    <w:p w14:paraId="03F579BF" w14:textId="77777777" w:rsidR="00DD548F" w:rsidRDefault="00DD548F" w:rsidP="00DD548F">
      <w:pPr>
        <w:pStyle w:val="ListParagraph"/>
        <w:autoSpaceDE w:val="0"/>
        <w:autoSpaceDN w:val="0"/>
        <w:adjustRightInd w:val="0"/>
        <w:ind w:left="0"/>
        <w:jc w:val="both"/>
        <w:rPr>
          <w:lang w:val="en-GB"/>
        </w:rPr>
      </w:pPr>
    </w:p>
    <w:p w14:paraId="669531AE" w14:textId="4B925245" w:rsidR="00DD548F" w:rsidRPr="00FF4B03" w:rsidRDefault="00FF4B03" w:rsidP="00FF4B03">
      <w:pPr>
        <w:autoSpaceDE w:val="0"/>
        <w:autoSpaceDN w:val="0"/>
        <w:adjustRightInd w:val="0"/>
        <w:jc w:val="both"/>
        <w:rPr>
          <w:lang w:val="en-GB"/>
        </w:rPr>
      </w:pPr>
      <w:r>
        <w:rPr>
          <w:lang w:val="en-GB"/>
        </w:rPr>
        <w:t>[13]</w:t>
      </w:r>
      <w:r>
        <w:rPr>
          <w:lang w:val="en-GB"/>
        </w:rPr>
        <w:tab/>
      </w:r>
      <w:r w:rsidR="00DD548F" w:rsidRPr="00FF4B03">
        <w:rPr>
          <w:lang w:val="en-GB"/>
        </w:rPr>
        <w:t xml:space="preserve">At the police station, White </w:t>
      </w:r>
      <w:r w:rsidR="002A324C" w:rsidRPr="00FF4B03">
        <w:rPr>
          <w:lang w:val="en-GB"/>
        </w:rPr>
        <w:t xml:space="preserve">tried to read </w:t>
      </w:r>
      <w:r w:rsidR="00DD548F" w:rsidRPr="00FF4B03">
        <w:rPr>
          <w:lang w:val="en-GB"/>
        </w:rPr>
        <w:t xml:space="preserve">the serial number of the firearm </w:t>
      </w:r>
      <w:r w:rsidR="002A324C" w:rsidRPr="00FF4B03">
        <w:rPr>
          <w:lang w:val="en-GB"/>
        </w:rPr>
        <w:t xml:space="preserve">to Yozi and noticed that it </w:t>
      </w:r>
      <w:r w:rsidR="00DD548F" w:rsidRPr="00FF4B03">
        <w:rPr>
          <w:lang w:val="en-GB"/>
        </w:rPr>
        <w:t>had been erased.</w:t>
      </w:r>
      <w:r w:rsidR="003E0CCC" w:rsidRPr="00FF4B03">
        <w:rPr>
          <w:lang w:val="en-GB"/>
        </w:rPr>
        <w:t xml:space="preserve"> Mazomba, the standby detective, was present</w:t>
      </w:r>
      <w:r w:rsidR="00572DE2" w:rsidRPr="00FF4B03">
        <w:rPr>
          <w:lang w:val="en-GB"/>
        </w:rPr>
        <w:t xml:space="preserve">. </w:t>
      </w:r>
      <w:r w:rsidR="00982029" w:rsidRPr="00FF4B03">
        <w:rPr>
          <w:lang w:val="en-GB"/>
        </w:rPr>
        <w:t>When Mazomba and White took the appellant to the shop, the owners had identified the money bag as their property and indicated that the appellant had been one of the people that had robbed them.</w:t>
      </w:r>
      <w:r w:rsidR="00355F64" w:rsidRPr="00FF4B03">
        <w:rPr>
          <w:lang w:val="en-GB"/>
        </w:rPr>
        <w:t xml:space="preserve"> </w:t>
      </w:r>
    </w:p>
    <w:p w14:paraId="0412EEEC" w14:textId="77777777" w:rsidR="00355F64" w:rsidRPr="00355F64" w:rsidRDefault="00355F64" w:rsidP="00355F64">
      <w:pPr>
        <w:pStyle w:val="ListParagraph"/>
        <w:rPr>
          <w:lang w:val="en-GB"/>
        </w:rPr>
      </w:pPr>
    </w:p>
    <w:p w14:paraId="73E06F18" w14:textId="3BD8E6C4" w:rsidR="00355F64" w:rsidRPr="00FF4B03" w:rsidRDefault="00FF4B03" w:rsidP="00FF4B03">
      <w:pPr>
        <w:autoSpaceDE w:val="0"/>
        <w:autoSpaceDN w:val="0"/>
        <w:adjustRightInd w:val="0"/>
        <w:jc w:val="both"/>
        <w:rPr>
          <w:lang w:val="en-GB"/>
        </w:rPr>
      </w:pPr>
      <w:r>
        <w:rPr>
          <w:lang w:val="en-GB"/>
        </w:rPr>
        <w:t>[14]</w:t>
      </w:r>
      <w:r>
        <w:rPr>
          <w:lang w:val="en-GB"/>
        </w:rPr>
        <w:tab/>
      </w:r>
      <w:r w:rsidR="00156355" w:rsidRPr="00FF4B03">
        <w:rPr>
          <w:lang w:val="en-GB"/>
        </w:rPr>
        <w:t xml:space="preserve">The version put to White was that the accused would deny that he was arrested carrying money or a firearm. </w:t>
      </w:r>
      <w:r w:rsidR="00C16CF5" w:rsidRPr="00FF4B03">
        <w:rPr>
          <w:lang w:val="en-GB"/>
        </w:rPr>
        <w:t xml:space="preserve">Other than minor issues related to the written statements he had made, his evidence was left unchallenged. </w:t>
      </w:r>
    </w:p>
    <w:p w14:paraId="22485864" w14:textId="77777777" w:rsidR="003D3ABE" w:rsidRPr="003D3ABE" w:rsidRDefault="003D3ABE" w:rsidP="003D3ABE">
      <w:pPr>
        <w:pStyle w:val="ListParagraph"/>
        <w:rPr>
          <w:lang w:val="en-GB"/>
        </w:rPr>
      </w:pPr>
    </w:p>
    <w:p w14:paraId="4765AA70" w14:textId="6C169881" w:rsidR="003D3ABE" w:rsidRPr="00FF4B03" w:rsidRDefault="00FF4B03" w:rsidP="00FF4B03">
      <w:pPr>
        <w:autoSpaceDE w:val="0"/>
        <w:autoSpaceDN w:val="0"/>
        <w:adjustRightInd w:val="0"/>
        <w:jc w:val="both"/>
        <w:rPr>
          <w:lang w:val="en-GB"/>
        </w:rPr>
      </w:pPr>
      <w:r>
        <w:rPr>
          <w:lang w:val="en-GB"/>
        </w:rPr>
        <w:t>[15]</w:t>
      </w:r>
      <w:r>
        <w:rPr>
          <w:lang w:val="en-GB"/>
        </w:rPr>
        <w:tab/>
      </w:r>
      <w:r w:rsidR="003D3ABE" w:rsidRPr="00FF4B03">
        <w:rPr>
          <w:lang w:val="en-GB"/>
        </w:rPr>
        <w:t xml:space="preserve">Mazomba confirmed that Monde had since resigned. He had been called to the police station after the appellant’s arrest, shown the firearm and a white ABSA money bag. </w:t>
      </w:r>
      <w:r w:rsidR="001A2630" w:rsidRPr="00FF4B03">
        <w:rPr>
          <w:lang w:val="en-GB"/>
        </w:rPr>
        <w:t>He confirmed White’s testimony that they had proceeded to the shop with the accused, who had been identified by the owner as one of the robbers. The money bag had also been identified as the property of the shop owners.</w:t>
      </w:r>
      <w:r w:rsidR="002C7ED8" w:rsidRPr="00FF4B03">
        <w:rPr>
          <w:lang w:val="en-GB"/>
        </w:rPr>
        <w:t xml:space="preserve"> When Zono was taken to the shop sometime later, Mazomba viewed the video footage and identified the appellant as one of the men in the video.</w:t>
      </w:r>
      <w:r w:rsidR="002A14A9" w:rsidRPr="00FF4B03">
        <w:rPr>
          <w:lang w:val="en-GB"/>
        </w:rPr>
        <w:t xml:space="preserve"> Zono later took the various exhibits for analysis, including the firearm and money bag</w:t>
      </w:r>
      <w:r w:rsidR="008C097B" w:rsidRPr="00FF4B03">
        <w:rPr>
          <w:lang w:val="en-GB"/>
        </w:rPr>
        <w:t xml:space="preserve">. </w:t>
      </w:r>
      <w:r w:rsidR="00401610" w:rsidRPr="00FF4B03">
        <w:rPr>
          <w:lang w:val="en-GB"/>
        </w:rPr>
        <w:t xml:space="preserve">Ballistics results linked the firearm </w:t>
      </w:r>
      <w:r w:rsidR="00A53BCE" w:rsidRPr="00FF4B03">
        <w:rPr>
          <w:lang w:val="en-GB"/>
        </w:rPr>
        <w:t>to a projectile found on the scene.</w:t>
      </w:r>
    </w:p>
    <w:p w14:paraId="6DA294C0" w14:textId="77777777" w:rsidR="00F4367C" w:rsidRPr="00F4367C" w:rsidRDefault="00F4367C" w:rsidP="00F4367C">
      <w:pPr>
        <w:pStyle w:val="ListParagraph"/>
        <w:rPr>
          <w:lang w:val="en-GB"/>
        </w:rPr>
      </w:pPr>
    </w:p>
    <w:p w14:paraId="4760F4F7" w14:textId="394A015E" w:rsidR="00F4367C" w:rsidRPr="00FF4B03" w:rsidRDefault="00FF4B03" w:rsidP="00FF4B03">
      <w:pPr>
        <w:autoSpaceDE w:val="0"/>
        <w:autoSpaceDN w:val="0"/>
        <w:adjustRightInd w:val="0"/>
        <w:jc w:val="both"/>
        <w:rPr>
          <w:lang w:val="en-GB"/>
        </w:rPr>
      </w:pPr>
      <w:r>
        <w:rPr>
          <w:lang w:val="en-GB"/>
        </w:rPr>
        <w:t>[16]</w:t>
      </w:r>
      <w:r>
        <w:rPr>
          <w:lang w:val="en-GB"/>
        </w:rPr>
        <w:tab/>
      </w:r>
      <w:r w:rsidR="00F4367C" w:rsidRPr="00FF4B03">
        <w:rPr>
          <w:lang w:val="en-GB"/>
        </w:rPr>
        <w:t>Yosi testified that he had given Zono the items that had been brought by Monde and White</w:t>
      </w:r>
      <w:r w:rsidR="00D6099D" w:rsidRPr="00FF4B03">
        <w:rPr>
          <w:lang w:val="en-GB"/>
        </w:rPr>
        <w:t xml:space="preserve"> and which he had booked into the records</w:t>
      </w:r>
      <w:r w:rsidR="0040488C" w:rsidRPr="00FF4B03">
        <w:rPr>
          <w:lang w:val="en-GB"/>
        </w:rPr>
        <w:t xml:space="preserve"> under SAP 33/2014</w:t>
      </w:r>
      <w:r w:rsidR="00D6099D" w:rsidRPr="00FF4B03">
        <w:rPr>
          <w:lang w:val="en-GB"/>
        </w:rPr>
        <w:t xml:space="preserve">. </w:t>
      </w:r>
      <w:r w:rsidR="003F7648" w:rsidRPr="00FF4B03">
        <w:rPr>
          <w:lang w:val="en-GB"/>
        </w:rPr>
        <w:t>This included the firearm and money bag</w:t>
      </w:r>
      <w:r w:rsidR="0040488C" w:rsidRPr="00FF4B03">
        <w:rPr>
          <w:lang w:val="en-GB"/>
        </w:rPr>
        <w:t xml:space="preserve">. Zono had brought additional items when he </w:t>
      </w:r>
      <w:r w:rsidR="00C54206" w:rsidRPr="00FF4B03">
        <w:rPr>
          <w:lang w:val="en-GB"/>
        </w:rPr>
        <w:t>returned</w:t>
      </w:r>
      <w:r w:rsidR="0040488C" w:rsidRPr="00FF4B03">
        <w:rPr>
          <w:lang w:val="en-GB"/>
        </w:rPr>
        <w:t xml:space="preserve"> from the scene.</w:t>
      </w:r>
      <w:r w:rsidR="00D24A8E" w:rsidRPr="00FF4B03">
        <w:rPr>
          <w:lang w:val="en-GB"/>
        </w:rPr>
        <w:t xml:space="preserve"> Yosi confirmed that the serial number of the firearm was scratched and not visible.</w:t>
      </w:r>
    </w:p>
    <w:p w14:paraId="4AE262A4" w14:textId="77777777" w:rsidR="00A4093C" w:rsidRPr="00A4093C" w:rsidRDefault="00A4093C" w:rsidP="00A4093C">
      <w:pPr>
        <w:pStyle w:val="ListParagraph"/>
        <w:rPr>
          <w:lang w:val="en-GB"/>
        </w:rPr>
      </w:pPr>
    </w:p>
    <w:p w14:paraId="697F11FF" w14:textId="0424027F" w:rsidR="00A4093C" w:rsidRPr="00FF4B03" w:rsidRDefault="00FF4B03" w:rsidP="00FF4B03">
      <w:pPr>
        <w:autoSpaceDE w:val="0"/>
        <w:autoSpaceDN w:val="0"/>
        <w:adjustRightInd w:val="0"/>
        <w:jc w:val="both"/>
        <w:rPr>
          <w:lang w:val="en-GB"/>
        </w:rPr>
      </w:pPr>
      <w:r>
        <w:rPr>
          <w:lang w:val="en-GB"/>
        </w:rPr>
        <w:t>[17]</w:t>
      </w:r>
      <w:r>
        <w:rPr>
          <w:lang w:val="en-GB"/>
        </w:rPr>
        <w:tab/>
      </w:r>
      <w:r w:rsidR="00A4093C" w:rsidRPr="00FF4B03">
        <w:rPr>
          <w:lang w:val="en-GB"/>
        </w:rPr>
        <w:t xml:space="preserve">Madinda testified that he had been called to the scene and had downloaded the relevant video footage onto a flash drive. </w:t>
      </w:r>
      <w:r w:rsidR="005E1150" w:rsidRPr="00FF4B03">
        <w:rPr>
          <w:lang w:val="en-GB"/>
        </w:rPr>
        <w:t xml:space="preserve">Two DVD videos </w:t>
      </w:r>
      <w:r w:rsidR="003A2033" w:rsidRPr="00FF4B03">
        <w:rPr>
          <w:lang w:val="en-GB"/>
        </w:rPr>
        <w:t xml:space="preserve">and photographs </w:t>
      </w:r>
      <w:r w:rsidR="005E1150" w:rsidRPr="00FF4B03">
        <w:rPr>
          <w:lang w:val="en-GB"/>
        </w:rPr>
        <w:t xml:space="preserve">were then made from this download. </w:t>
      </w:r>
      <w:r w:rsidR="005F6DAB" w:rsidRPr="00FF4B03">
        <w:rPr>
          <w:lang w:val="en-GB"/>
        </w:rPr>
        <w:t xml:space="preserve">No tampering had occurred and the footage observed in the court </w:t>
      </w:r>
      <w:r w:rsidR="005F6DAB" w:rsidRPr="00FF4B03">
        <w:rPr>
          <w:i/>
          <w:iCs/>
          <w:lang w:val="en-GB"/>
        </w:rPr>
        <w:t>a quo</w:t>
      </w:r>
      <w:r w:rsidR="005F6DAB" w:rsidRPr="00FF4B03">
        <w:rPr>
          <w:lang w:val="en-GB"/>
        </w:rPr>
        <w:t xml:space="preserve"> emanated from </w:t>
      </w:r>
      <w:r w:rsidR="00672FD1" w:rsidRPr="00FF4B03">
        <w:rPr>
          <w:lang w:val="en-GB"/>
        </w:rPr>
        <w:t>one of the DVDs that had been</w:t>
      </w:r>
      <w:r w:rsidR="005F6DAB" w:rsidRPr="00FF4B03">
        <w:rPr>
          <w:lang w:val="en-GB"/>
        </w:rPr>
        <w:t xml:space="preserve"> download</w:t>
      </w:r>
      <w:r w:rsidR="00672FD1" w:rsidRPr="00FF4B03">
        <w:rPr>
          <w:lang w:val="en-GB"/>
        </w:rPr>
        <w:t>ed by Madinda</w:t>
      </w:r>
      <w:r w:rsidR="005F6DAB" w:rsidRPr="00FF4B03">
        <w:rPr>
          <w:lang w:val="en-GB"/>
        </w:rPr>
        <w:t>.</w:t>
      </w:r>
      <w:r w:rsidR="002B5FBC" w:rsidRPr="00FF4B03">
        <w:rPr>
          <w:lang w:val="en-GB"/>
        </w:rPr>
        <w:t xml:space="preserve"> Mazomba was recalled and confirmed that two DVD disks had been made </w:t>
      </w:r>
      <w:r w:rsidR="002B5FBC" w:rsidRPr="00FF4B03">
        <w:rPr>
          <w:lang w:val="en-GB"/>
        </w:rPr>
        <w:lastRenderedPageBreak/>
        <w:t xml:space="preserve">from the flash drive, one had been given to the prosecutor and the other kept </w:t>
      </w:r>
      <w:r w:rsidR="00E20768" w:rsidRPr="00FF4B03">
        <w:rPr>
          <w:lang w:val="en-GB"/>
        </w:rPr>
        <w:t>in a safe</w:t>
      </w:r>
      <w:r w:rsidR="002B5FBC" w:rsidRPr="00FF4B03">
        <w:rPr>
          <w:lang w:val="en-GB"/>
        </w:rPr>
        <w:t xml:space="preserve"> at the police station</w:t>
      </w:r>
      <w:r w:rsidR="000E239B" w:rsidRPr="00FF4B03">
        <w:rPr>
          <w:lang w:val="en-GB"/>
        </w:rPr>
        <w:t xml:space="preserve"> as an Investigating Officer’s ‘original copy’</w:t>
      </w:r>
      <w:r w:rsidR="00437B2C" w:rsidRPr="00FF4B03">
        <w:rPr>
          <w:lang w:val="en-GB"/>
        </w:rPr>
        <w:t xml:space="preserve">, containing the CAS number. </w:t>
      </w:r>
      <w:r w:rsidR="000E239B" w:rsidRPr="00FF4B03">
        <w:rPr>
          <w:lang w:val="en-GB"/>
        </w:rPr>
        <w:t>It was this DVD</w:t>
      </w:r>
      <w:r w:rsidR="004765B0" w:rsidRPr="00FF4B03">
        <w:rPr>
          <w:lang w:val="en-GB"/>
        </w:rPr>
        <w:t xml:space="preserve">, which had </w:t>
      </w:r>
      <w:r w:rsidR="00184995" w:rsidRPr="00FF4B03">
        <w:rPr>
          <w:lang w:val="en-GB"/>
        </w:rPr>
        <w:t xml:space="preserve">been kept in the safe and had </w:t>
      </w:r>
      <w:r w:rsidR="004765B0" w:rsidRPr="00FF4B03">
        <w:rPr>
          <w:lang w:val="en-GB"/>
        </w:rPr>
        <w:t xml:space="preserve">not been sent </w:t>
      </w:r>
      <w:r w:rsidR="00766CF5" w:rsidRPr="00FF4B03">
        <w:rPr>
          <w:lang w:val="en-GB"/>
        </w:rPr>
        <w:t>away</w:t>
      </w:r>
      <w:r w:rsidR="004765B0" w:rsidRPr="00FF4B03">
        <w:rPr>
          <w:lang w:val="en-GB"/>
        </w:rPr>
        <w:t xml:space="preserve"> for any form of analysis,</w:t>
      </w:r>
      <w:r w:rsidR="000E239B" w:rsidRPr="00FF4B03">
        <w:rPr>
          <w:lang w:val="en-GB"/>
        </w:rPr>
        <w:t xml:space="preserve"> </w:t>
      </w:r>
      <w:r w:rsidR="00184995" w:rsidRPr="00FF4B03">
        <w:rPr>
          <w:lang w:val="en-GB"/>
        </w:rPr>
        <w:t xml:space="preserve">or handled by other persons, </w:t>
      </w:r>
      <w:r w:rsidR="000E239B" w:rsidRPr="00FF4B03">
        <w:rPr>
          <w:lang w:val="en-GB"/>
        </w:rPr>
        <w:t xml:space="preserve">that had been viewed in the court </w:t>
      </w:r>
      <w:r w:rsidR="000E239B" w:rsidRPr="00FF4B03">
        <w:rPr>
          <w:i/>
          <w:iCs/>
          <w:lang w:val="en-GB"/>
        </w:rPr>
        <w:t>a quo</w:t>
      </w:r>
      <w:r w:rsidR="000E239B" w:rsidRPr="00FF4B03">
        <w:rPr>
          <w:lang w:val="en-GB"/>
        </w:rPr>
        <w:t>.</w:t>
      </w:r>
    </w:p>
    <w:p w14:paraId="11906327" w14:textId="77777777" w:rsidR="00172A2B" w:rsidRPr="00172A2B" w:rsidRDefault="00172A2B" w:rsidP="00172A2B">
      <w:pPr>
        <w:pStyle w:val="ListParagraph"/>
        <w:rPr>
          <w:lang w:val="en-GB"/>
        </w:rPr>
      </w:pPr>
    </w:p>
    <w:p w14:paraId="5C5A5C36" w14:textId="4A7AF9CD" w:rsidR="00172A2B" w:rsidRPr="00FF4B03" w:rsidRDefault="00FF4B03" w:rsidP="00FF4B03">
      <w:pPr>
        <w:autoSpaceDE w:val="0"/>
        <w:autoSpaceDN w:val="0"/>
        <w:adjustRightInd w:val="0"/>
        <w:jc w:val="both"/>
        <w:rPr>
          <w:lang w:val="en-GB"/>
        </w:rPr>
      </w:pPr>
      <w:r>
        <w:rPr>
          <w:lang w:val="en-GB"/>
        </w:rPr>
        <w:t>[18]</w:t>
      </w:r>
      <w:r>
        <w:rPr>
          <w:lang w:val="en-GB"/>
        </w:rPr>
        <w:tab/>
      </w:r>
      <w:r w:rsidR="00172A2B" w:rsidRPr="00FF4B03">
        <w:rPr>
          <w:lang w:val="en-GB"/>
        </w:rPr>
        <w:t xml:space="preserve">Zono testified that he had collected various exhibits at the scene. He had observed on the SAP 13 that the firearm </w:t>
      </w:r>
      <w:r w:rsidR="00B2131C" w:rsidRPr="00FF4B03">
        <w:rPr>
          <w:lang w:val="en-GB"/>
        </w:rPr>
        <w:t xml:space="preserve">without the serial number </w:t>
      </w:r>
      <w:r w:rsidR="00172A2B" w:rsidRPr="00FF4B03">
        <w:rPr>
          <w:lang w:val="en-GB"/>
        </w:rPr>
        <w:t>had already been booked in. He booked out the firearm, four empty cartridge cases, one bullet fragment and the money bag, which contained traces of blood</w:t>
      </w:r>
      <w:r w:rsidR="000D2EC3" w:rsidRPr="00FF4B03">
        <w:rPr>
          <w:lang w:val="en-GB"/>
        </w:rPr>
        <w:t>, for this to be sent for analysis</w:t>
      </w:r>
      <w:r w:rsidR="00BF0837" w:rsidRPr="00FF4B03">
        <w:rPr>
          <w:lang w:val="en-GB"/>
        </w:rPr>
        <w:t>, together with another firearm</w:t>
      </w:r>
      <w:r w:rsidR="007B3D8A" w:rsidRPr="00FF4B03">
        <w:rPr>
          <w:lang w:val="en-GB"/>
        </w:rPr>
        <w:t xml:space="preserve"> Mazomba had brought to him the following day.</w:t>
      </w:r>
      <w:r w:rsidR="00A36C20" w:rsidRPr="00FF4B03">
        <w:rPr>
          <w:lang w:val="en-GB"/>
        </w:rPr>
        <w:t xml:space="preserve"> He confirmed</w:t>
      </w:r>
      <w:r w:rsidR="003E0BB1" w:rsidRPr="00FF4B03">
        <w:rPr>
          <w:lang w:val="en-GB"/>
        </w:rPr>
        <w:t>, despite a</w:t>
      </w:r>
      <w:r w:rsidR="00A21B8A" w:rsidRPr="00FF4B03">
        <w:rPr>
          <w:lang w:val="en-GB"/>
        </w:rPr>
        <w:t>n initial</w:t>
      </w:r>
      <w:r w:rsidR="003E0BB1" w:rsidRPr="00FF4B03">
        <w:rPr>
          <w:lang w:val="en-GB"/>
        </w:rPr>
        <w:t xml:space="preserve"> written statement to the contrary, </w:t>
      </w:r>
      <w:r w:rsidR="00BF0837" w:rsidRPr="00FF4B03">
        <w:rPr>
          <w:lang w:val="en-GB"/>
        </w:rPr>
        <w:t>that he had not personally found any firearm on the scene.</w:t>
      </w:r>
      <w:r w:rsidR="00F87C7B" w:rsidRPr="00FF4B03">
        <w:rPr>
          <w:lang w:val="en-GB"/>
        </w:rPr>
        <w:t xml:space="preserve"> </w:t>
      </w:r>
      <w:r w:rsidR="00F3656B" w:rsidRPr="00FF4B03">
        <w:rPr>
          <w:lang w:val="en-GB"/>
        </w:rPr>
        <w:t xml:space="preserve">A second written statement, made a few days after the original statement, had clarified the point. </w:t>
      </w:r>
      <w:r w:rsidR="00F87C7B" w:rsidRPr="00FF4B03">
        <w:rPr>
          <w:lang w:val="en-GB"/>
        </w:rPr>
        <w:t>Had he found it on the scene he would have photographed it. The firearm had been at the police station and not yet on the SAP 13 upon his arrival.</w:t>
      </w:r>
    </w:p>
    <w:p w14:paraId="68B5CA08" w14:textId="77777777" w:rsidR="00F45E8A" w:rsidRPr="00F45E8A" w:rsidRDefault="00F45E8A" w:rsidP="00F45E8A">
      <w:pPr>
        <w:pStyle w:val="ListParagraph"/>
        <w:rPr>
          <w:lang w:val="en-GB"/>
        </w:rPr>
      </w:pPr>
    </w:p>
    <w:p w14:paraId="26D0992D" w14:textId="613830AE" w:rsidR="00DB41D8" w:rsidRPr="00FF4B03" w:rsidRDefault="00FF4B03" w:rsidP="00FF4B03">
      <w:pPr>
        <w:autoSpaceDE w:val="0"/>
        <w:autoSpaceDN w:val="0"/>
        <w:adjustRightInd w:val="0"/>
        <w:jc w:val="both"/>
        <w:rPr>
          <w:lang w:val="en-GB"/>
        </w:rPr>
      </w:pPr>
      <w:r>
        <w:rPr>
          <w:lang w:val="en-GB"/>
        </w:rPr>
        <w:t>[19]</w:t>
      </w:r>
      <w:r>
        <w:rPr>
          <w:lang w:val="en-GB"/>
        </w:rPr>
        <w:tab/>
      </w:r>
      <w:r w:rsidR="00F45E8A" w:rsidRPr="00FF4B03">
        <w:rPr>
          <w:lang w:val="en-GB"/>
        </w:rPr>
        <w:t xml:space="preserve">The appellant’s version was that he had been an innocent bystander who had been arrested without reason. </w:t>
      </w:r>
      <w:r w:rsidR="00234F9D" w:rsidRPr="00FF4B03">
        <w:rPr>
          <w:lang w:val="en-GB"/>
        </w:rPr>
        <w:t>A bakkie had been parked with its rear towards the shop</w:t>
      </w:r>
      <w:r w:rsidR="008B0F00" w:rsidRPr="00FF4B03">
        <w:rPr>
          <w:lang w:val="en-GB"/>
        </w:rPr>
        <w:t xml:space="preserve">, preventing his entry. </w:t>
      </w:r>
      <w:r w:rsidR="004378F5" w:rsidRPr="00FF4B03">
        <w:rPr>
          <w:lang w:val="en-GB"/>
        </w:rPr>
        <w:t>He heard gunshots from inside the shop and walked towards the garage. He then noticed that his leg was numb and that he was bleeding. He then heard a car behind him and saw that he had been pointed with a firearm</w:t>
      </w:r>
      <w:r w:rsidR="004C4BE0" w:rsidRPr="00FF4B03">
        <w:rPr>
          <w:lang w:val="en-GB"/>
        </w:rPr>
        <w:t xml:space="preserve"> by a person inside a moving bakkie. He waited, and could still hear gunshots at a distance. </w:t>
      </w:r>
      <w:r w:rsidR="004345EE" w:rsidRPr="00FF4B03">
        <w:rPr>
          <w:lang w:val="en-GB"/>
        </w:rPr>
        <w:t>He denied that he had been found in possession of a firearm</w:t>
      </w:r>
      <w:r w:rsidR="00646C51" w:rsidRPr="00FF4B03">
        <w:rPr>
          <w:lang w:val="en-GB"/>
        </w:rPr>
        <w:t xml:space="preserve"> or money bag</w:t>
      </w:r>
      <w:r w:rsidR="00681A71" w:rsidRPr="00FF4B03">
        <w:rPr>
          <w:lang w:val="en-GB"/>
        </w:rPr>
        <w:t>, or that he had been taken to the shop after his arrest, where the money bag had been identified.</w:t>
      </w:r>
      <w:r w:rsidR="00A31243" w:rsidRPr="00FF4B03">
        <w:rPr>
          <w:lang w:val="en-GB"/>
        </w:rPr>
        <w:t xml:space="preserve"> </w:t>
      </w:r>
      <w:r w:rsidR="00DB41D8" w:rsidRPr="00FF4B03">
        <w:rPr>
          <w:lang w:val="en-GB"/>
        </w:rPr>
        <w:t xml:space="preserve">The appellant could not explain why he had not run from the shop when he had heard the gunshots. </w:t>
      </w:r>
    </w:p>
    <w:p w14:paraId="05B95182" w14:textId="77777777" w:rsidR="00AA1268" w:rsidRPr="00AA1268" w:rsidRDefault="00AA1268" w:rsidP="00AA1268">
      <w:pPr>
        <w:pStyle w:val="ListParagraph"/>
        <w:rPr>
          <w:lang w:val="en-GB"/>
        </w:rPr>
      </w:pPr>
    </w:p>
    <w:p w14:paraId="10B4DE1A" w14:textId="3CB1B35B" w:rsidR="00AA1268" w:rsidRPr="00FF4B03" w:rsidRDefault="00FF4B03" w:rsidP="00FF4B03">
      <w:pPr>
        <w:autoSpaceDE w:val="0"/>
        <w:autoSpaceDN w:val="0"/>
        <w:adjustRightInd w:val="0"/>
        <w:jc w:val="both"/>
        <w:rPr>
          <w:lang w:val="en-GB"/>
        </w:rPr>
      </w:pPr>
      <w:r>
        <w:rPr>
          <w:lang w:val="en-GB"/>
        </w:rPr>
        <w:t>[20]</w:t>
      </w:r>
      <w:r>
        <w:rPr>
          <w:lang w:val="en-GB"/>
        </w:rPr>
        <w:tab/>
      </w:r>
      <w:r w:rsidR="00A701CE" w:rsidRPr="00FF4B03">
        <w:rPr>
          <w:lang w:val="en-GB"/>
        </w:rPr>
        <w:t>The presiding officer accepted</w:t>
      </w:r>
      <w:r w:rsidR="00FD489A" w:rsidRPr="00FF4B03">
        <w:rPr>
          <w:lang w:val="en-GB"/>
        </w:rPr>
        <w:t>, also based on statements from the shop owners accepted</w:t>
      </w:r>
      <w:r w:rsidR="00A701CE" w:rsidRPr="00FF4B03">
        <w:rPr>
          <w:lang w:val="en-GB"/>
        </w:rPr>
        <w:t xml:space="preserve"> </w:t>
      </w:r>
      <w:r w:rsidR="00FD489A" w:rsidRPr="00FF4B03">
        <w:rPr>
          <w:lang w:val="en-GB"/>
        </w:rPr>
        <w:t xml:space="preserve">into evidence, </w:t>
      </w:r>
      <w:r w:rsidR="00A701CE" w:rsidRPr="00FF4B03">
        <w:rPr>
          <w:lang w:val="en-GB"/>
        </w:rPr>
        <w:t>that a robbery had taken place at the shop, and that White had recovered the money bag and firearm from the appellant close to the scene of the robbery.</w:t>
      </w:r>
      <w:r w:rsidR="00F95E10" w:rsidRPr="00FF4B03">
        <w:rPr>
          <w:lang w:val="en-GB"/>
        </w:rPr>
        <w:t xml:space="preserve"> The firearm was proved to have been used in the shop, and the shop owner identified the bag</w:t>
      </w:r>
      <w:r w:rsidR="001F58EC" w:rsidRPr="00FF4B03">
        <w:rPr>
          <w:lang w:val="en-GB"/>
        </w:rPr>
        <w:t xml:space="preserve">. </w:t>
      </w:r>
      <w:r w:rsidR="0031106D" w:rsidRPr="00FF4B03">
        <w:rPr>
          <w:lang w:val="en-GB"/>
        </w:rPr>
        <w:t xml:space="preserve">The court </w:t>
      </w:r>
      <w:r w:rsidR="0031106D" w:rsidRPr="00FF4B03">
        <w:rPr>
          <w:i/>
          <w:iCs/>
          <w:lang w:val="en-GB"/>
        </w:rPr>
        <w:t>a quo</w:t>
      </w:r>
      <w:r w:rsidR="0031106D" w:rsidRPr="00FF4B03">
        <w:rPr>
          <w:lang w:val="en-GB"/>
        </w:rPr>
        <w:t xml:space="preserve"> placed little reliance on the video footage or the testimony of Mohammed in arriving at its findings. </w:t>
      </w:r>
    </w:p>
    <w:p w14:paraId="3F439631" w14:textId="77777777" w:rsidR="00310F13" w:rsidRPr="00310F13" w:rsidRDefault="00310F13" w:rsidP="00310F13">
      <w:pPr>
        <w:pStyle w:val="ListParagraph"/>
        <w:rPr>
          <w:lang w:val="en-GB"/>
        </w:rPr>
      </w:pPr>
    </w:p>
    <w:p w14:paraId="50C01447" w14:textId="7FE390FB" w:rsidR="00484FE1" w:rsidRPr="00FF4B03" w:rsidRDefault="00FF4B03" w:rsidP="00FF4B03">
      <w:pPr>
        <w:autoSpaceDE w:val="0"/>
        <w:autoSpaceDN w:val="0"/>
        <w:adjustRightInd w:val="0"/>
        <w:jc w:val="both"/>
        <w:rPr>
          <w:lang w:val="en-GB"/>
        </w:rPr>
      </w:pPr>
      <w:r>
        <w:rPr>
          <w:lang w:val="en-GB"/>
        </w:rPr>
        <w:t>[21]</w:t>
      </w:r>
      <w:r>
        <w:rPr>
          <w:lang w:val="en-GB"/>
        </w:rPr>
        <w:tab/>
      </w:r>
      <w:r w:rsidR="00310F13" w:rsidRPr="00FF4B03">
        <w:rPr>
          <w:lang w:val="en-GB"/>
        </w:rPr>
        <w:t xml:space="preserve">The court </w:t>
      </w:r>
      <w:r w:rsidR="00310F13" w:rsidRPr="00FF4B03">
        <w:rPr>
          <w:i/>
          <w:iCs/>
          <w:lang w:val="en-GB"/>
        </w:rPr>
        <w:t xml:space="preserve">a quo </w:t>
      </w:r>
      <w:r w:rsidR="00310F13" w:rsidRPr="00FF4B03">
        <w:rPr>
          <w:lang w:val="en-GB"/>
        </w:rPr>
        <w:t xml:space="preserve">unhelpfully concluded that there was ‘overwhelming evidence’ against the appellant. </w:t>
      </w:r>
      <w:r w:rsidR="000A3377" w:rsidRPr="00FF4B03">
        <w:rPr>
          <w:lang w:val="en-GB"/>
        </w:rPr>
        <w:t>In respect of the robbery, i</w:t>
      </w:r>
      <w:r w:rsidR="00310F13" w:rsidRPr="00FF4B03">
        <w:rPr>
          <w:lang w:val="en-GB"/>
        </w:rPr>
        <w:t xml:space="preserve">t ought instead to have considered that it was basing its conclusion on </w:t>
      </w:r>
      <w:r w:rsidR="000C0D1B" w:rsidRPr="00FF4B03">
        <w:rPr>
          <w:lang w:val="en-GB"/>
        </w:rPr>
        <w:t xml:space="preserve">circumstantial evidence, </w:t>
      </w:r>
      <w:r w:rsidR="00310F13" w:rsidRPr="00FF4B03">
        <w:rPr>
          <w:lang w:val="en-GB"/>
        </w:rPr>
        <w:t>drawing a justifiable inference of guilt from facts that had been objectively established, with due allowance made for reasons why the appellant may have dishonestly denied certain facts.</w:t>
      </w:r>
      <w:r w:rsidR="00BE4F3D" w:rsidRPr="00FF4B03">
        <w:rPr>
          <w:lang w:val="en-GB"/>
        </w:rPr>
        <w:t xml:space="preserve"> The objective facts are that a robbery took place, that the appellant was found near the scene, that </w:t>
      </w:r>
      <w:r w:rsidR="00B66DAD" w:rsidRPr="00FF4B03">
        <w:rPr>
          <w:lang w:val="en-GB"/>
        </w:rPr>
        <w:t>a firearm had been recovered and linked to shots fired inside the shop</w:t>
      </w:r>
      <w:r w:rsidR="00747A0D" w:rsidRPr="00FF4B03">
        <w:rPr>
          <w:lang w:val="en-GB"/>
        </w:rPr>
        <w:t xml:space="preserve">. </w:t>
      </w:r>
    </w:p>
    <w:p w14:paraId="73D6C1A1" w14:textId="77777777" w:rsidR="00484FE1" w:rsidRPr="00484FE1" w:rsidRDefault="00484FE1" w:rsidP="00484FE1">
      <w:pPr>
        <w:pStyle w:val="ListParagraph"/>
        <w:rPr>
          <w:lang w:val="en-GB"/>
        </w:rPr>
      </w:pPr>
    </w:p>
    <w:p w14:paraId="1D71DDBE" w14:textId="34931BE1" w:rsidR="00747A0D" w:rsidRPr="00FF4B03" w:rsidRDefault="00FF4B03" w:rsidP="00FF4B03">
      <w:pPr>
        <w:autoSpaceDE w:val="0"/>
        <w:autoSpaceDN w:val="0"/>
        <w:adjustRightInd w:val="0"/>
        <w:jc w:val="both"/>
        <w:rPr>
          <w:lang w:val="en-GB"/>
        </w:rPr>
      </w:pPr>
      <w:r w:rsidRPr="00747A0D">
        <w:rPr>
          <w:lang w:val="en-GB"/>
        </w:rPr>
        <w:t>[22]</w:t>
      </w:r>
      <w:r w:rsidRPr="00747A0D">
        <w:rPr>
          <w:lang w:val="en-GB"/>
        </w:rPr>
        <w:tab/>
      </w:r>
      <w:r w:rsidR="00747A0D" w:rsidRPr="00FF4B03">
        <w:rPr>
          <w:lang w:val="en-GB"/>
        </w:rPr>
        <w:t xml:space="preserve">The court </w:t>
      </w:r>
      <w:r w:rsidR="00747A0D" w:rsidRPr="00FF4B03">
        <w:rPr>
          <w:i/>
          <w:iCs/>
          <w:lang w:val="en-GB"/>
        </w:rPr>
        <w:t>a quo</w:t>
      </w:r>
      <w:r w:rsidR="00747A0D" w:rsidRPr="00FF4B03">
        <w:rPr>
          <w:lang w:val="en-GB"/>
        </w:rPr>
        <w:t xml:space="preserve"> was faced with two mutually destructive accounts as to whether the appellant was found by White in possession of the firearm and money bag. As the SCA confirmed in </w:t>
      </w:r>
      <w:r w:rsidR="00747A0D" w:rsidRPr="00FF4B03">
        <w:rPr>
          <w:i/>
          <w:iCs/>
          <w:lang w:val="en-GB"/>
        </w:rPr>
        <w:t>Kotze v S</w:t>
      </w:r>
      <w:r w:rsidR="00D068A9" w:rsidRPr="00FF4B03">
        <w:rPr>
          <w:lang w:val="en-GB"/>
        </w:rPr>
        <w:t>,</w:t>
      </w:r>
      <w:r w:rsidR="00747A0D" w:rsidRPr="00974828">
        <w:rPr>
          <w:rStyle w:val="FootnoteReference"/>
          <w:lang w:val="en-GB"/>
        </w:rPr>
        <w:footnoteReference w:id="4"/>
      </w:r>
      <w:r w:rsidR="00747A0D" w:rsidRPr="00FF4B03">
        <w:rPr>
          <w:i/>
          <w:iCs/>
          <w:lang w:val="en-GB"/>
        </w:rPr>
        <w:t xml:space="preserve"> </w:t>
      </w:r>
      <w:r w:rsidR="00747A0D" w:rsidRPr="00FF4B03">
        <w:rPr>
          <w:lang w:val="en-GB"/>
        </w:rPr>
        <w:t>where a trial court is faced with two mutually destructive accounts, logic dictates that both cannot be true. In order to determine the objective truth of the one version and the falsity of the other, it is important to consider not only the credibility of the witnesses, but also the reliability of such witness. Evidence that is reliable should be weighed against the evidence that is found to be false and, in the process, measured against the probabilities. In the final analysis the court must determine whether the State has mustered the required threshold proof beyond reasonable doubt.</w:t>
      </w:r>
    </w:p>
    <w:p w14:paraId="3454713B" w14:textId="77777777" w:rsidR="00747A0D" w:rsidRDefault="00747A0D" w:rsidP="00747A0D">
      <w:pPr>
        <w:pStyle w:val="ListParagraph"/>
        <w:autoSpaceDE w:val="0"/>
        <w:autoSpaceDN w:val="0"/>
        <w:adjustRightInd w:val="0"/>
        <w:ind w:left="0"/>
        <w:jc w:val="both"/>
        <w:rPr>
          <w:lang w:val="en-GB"/>
        </w:rPr>
      </w:pPr>
    </w:p>
    <w:p w14:paraId="42F67F48" w14:textId="7B765F7D" w:rsidR="00DB0D61" w:rsidRPr="00FF4B03" w:rsidRDefault="00FF4B03" w:rsidP="00FF4B03">
      <w:pPr>
        <w:autoSpaceDE w:val="0"/>
        <w:autoSpaceDN w:val="0"/>
        <w:adjustRightInd w:val="0"/>
        <w:jc w:val="both"/>
        <w:rPr>
          <w:lang w:val="en-GB"/>
        </w:rPr>
      </w:pPr>
      <w:r>
        <w:rPr>
          <w:lang w:val="en-GB"/>
        </w:rPr>
        <w:t>[23]</w:t>
      </w:r>
      <w:r>
        <w:rPr>
          <w:lang w:val="en-GB"/>
        </w:rPr>
        <w:tab/>
      </w:r>
      <w:r w:rsidR="00A85714" w:rsidRPr="00FF4B03">
        <w:rPr>
          <w:lang w:val="en-GB"/>
        </w:rPr>
        <w:t xml:space="preserve">Although the court </w:t>
      </w:r>
      <w:r w:rsidR="00A85714" w:rsidRPr="00FF4B03">
        <w:rPr>
          <w:i/>
          <w:iCs/>
          <w:lang w:val="en-GB"/>
        </w:rPr>
        <w:t>a quo</w:t>
      </w:r>
      <w:r w:rsidR="00A85714" w:rsidRPr="00FF4B03">
        <w:rPr>
          <w:lang w:val="en-GB"/>
        </w:rPr>
        <w:t xml:space="preserve"> failed to reflect its application of this process in the reasons for its decision, </w:t>
      </w:r>
      <w:r w:rsidR="00F03697" w:rsidRPr="00FF4B03">
        <w:rPr>
          <w:lang w:val="en-GB"/>
        </w:rPr>
        <w:t xml:space="preserve">it must be accepted that it </w:t>
      </w:r>
      <w:r w:rsidR="00330827" w:rsidRPr="00FF4B03">
        <w:rPr>
          <w:lang w:val="en-GB"/>
        </w:rPr>
        <w:t>arrived</w:t>
      </w:r>
      <w:r w:rsidR="00F03697" w:rsidRPr="00FF4B03">
        <w:rPr>
          <w:lang w:val="en-GB"/>
        </w:rPr>
        <w:t xml:space="preserve"> </w:t>
      </w:r>
      <w:r w:rsidR="00330827" w:rsidRPr="00FF4B03">
        <w:rPr>
          <w:lang w:val="en-GB"/>
        </w:rPr>
        <w:t>at</w:t>
      </w:r>
      <w:r w:rsidR="00F03697" w:rsidRPr="00FF4B03">
        <w:rPr>
          <w:lang w:val="en-GB"/>
        </w:rPr>
        <w:t xml:space="preserve"> the conclusion that the </w:t>
      </w:r>
      <w:r w:rsidR="00330827" w:rsidRPr="00FF4B03">
        <w:rPr>
          <w:lang w:val="en-GB"/>
        </w:rPr>
        <w:t>appellant’s version was false.</w:t>
      </w:r>
      <w:r w:rsidR="009A5301" w:rsidRPr="00FF4B03">
        <w:rPr>
          <w:lang w:val="en-GB"/>
        </w:rPr>
        <w:t xml:space="preserve"> It is trite that the trial court enjoys the substantial advantage of seeing and hearing the witnesses, and in being steeped in the atmosphere of the trial. The presiding magistrate had the opportunity to observe the demeanour of the witnesses and a court on appeal will always be reluctant to upset factual findings. It is well-known that the mere fact that a presiding officer has not commented on the demeanour of the witnesses can hardly ever place the appeal court in as good a position to resolve issues of fact. </w:t>
      </w:r>
      <w:r w:rsidR="00885072" w:rsidRPr="00FF4B03">
        <w:rPr>
          <w:lang w:val="en-GB"/>
        </w:rPr>
        <w:t>Even in drawing inferences, it must be accepted that it is the tri</w:t>
      </w:r>
      <w:r w:rsidR="00675B93" w:rsidRPr="00FF4B03">
        <w:rPr>
          <w:lang w:val="en-GB"/>
        </w:rPr>
        <w:t>a</w:t>
      </w:r>
      <w:r w:rsidR="00885072" w:rsidRPr="00FF4B03">
        <w:rPr>
          <w:lang w:val="en-GB"/>
        </w:rPr>
        <w:t>l court that is likely to be in a better position than the appellate court to estimate the probabilities in relation to the testimony of witnesses who have been observed during the trial.</w:t>
      </w:r>
      <w:r w:rsidR="002F234D" w:rsidRPr="00FF4B03">
        <w:rPr>
          <w:lang w:val="en-GB"/>
        </w:rPr>
        <w:t xml:space="preserve"> On occasion, however, the appellate court may be in </w:t>
      </w:r>
      <w:r w:rsidR="002F234D" w:rsidRPr="00FF4B03">
        <w:rPr>
          <w:lang w:val="en-GB"/>
        </w:rPr>
        <w:lastRenderedPageBreak/>
        <w:t>as good a position as the trial court to draw inferences, where they are either drawn from admitted facts or from the facts as found</w:t>
      </w:r>
      <w:r w:rsidR="00091CBD" w:rsidRPr="00FF4B03">
        <w:rPr>
          <w:lang w:val="en-GB"/>
        </w:rPr>
        <w:t>.</w:t>
      </w:r>
    </w:p>
    <w:p w14:paraId="057DD383" w14:textId="77777777" w:rsidR="00DB0D61" w:rsidRPr="00DB0D61" w:rsidRDefault="00DB0D61" w:rsidP="00DB0D61">
      <w:pPr>
        <w:pStyle w:val="ListParagraph"/>
        <w:rPr>
          <w:lang w:val="en-GB"/>
        </w:rPr>
      </w:pPr>
    </w:p>
    <w:p w14:paraId="4D550DF4" w14:textId="7935CB20" w:rsidR="00604442" w:rsidRPr="00FF4B03" w:rsidRDefault="00FF4B03" w:rsidP="00FF4B03">
      <w:pPr>
        <w:autoSpaceDE w:val="0"/>
        <w:autoSpaceDN w:val="0"/>
        <w:adjustRightInd w:val="0"/>
        <w:jc w:val="both"/>
        <w:rPr>
          <w:lang w:val="en-GB"/>
        </w:rPr>
      </w:pPr>
      <w:r>
        <w:rPr>
          <w:lang w:val="en-GB"/>
        </w:rPr>
        <w:t>[24]</w:t>
      </w:r>
      <w:r>
        <w:rPr>
          <w:lang w:val="en-GB"/>
        </w:rPr>
        <w:tab/>
      </w:r>
      <w:r w:rsidR="008225FA" w:rsidRPr="00FF4B03">
        <w:rPr>
          <w:lang w:val="en-GB"/>
        </w:rPr>
        <w:t xml:space="preserve">Although the trial court provided insufficient substantiation of the reasons for its decision, particularly in respect of the manner in which it resolved the mutually inconsistent version of White and the appellant, it cannot be said that the court </w:t>
      </w:r>
      <w:r w:rsidR="008225FA" w:rsidRPr="00FF4B03">
        <w:rPr>
          <w:i/>
          <w:iCs/>
          <w:lang w:val="en-GB"/>
        </w:rPr>
        <w:t xml:space="preserve">a quo </w:t>
      </w:r>
      <w:r w:rsidR="008225FA" w:rsidRPr="00FF4B03">
        <w:rPr>
          <w:lang w:val="en-GB"/>
        </w:rPr>
        <w:t xml:space="preserve">committed a misdirection of fact, or that it overlooked other facts or probabilities. </w:t>
      </w:r>
      <w:r w:rsidR="00F24CE7" w:rsidRPr="00FF4B03">
        <w:rPr>
          <w:lang w:val="en-GB"/>
        </w:rPr>
        <w:t xml:space="preserve">For example, there is no suggestion that reliance was placed on Zono’s testimony, or that the video footage accepted into evidence skewed the outcome. </w:t>
      </w:r>
      <w:r w:rsidR="008A56B2" w:rsidRPr="00FF4B03">
        <w:rPr>
          <w:lang w:val="en-GB"/>
        </w:rPr>
        <w:t xml:space="preserve">Mohammed’s testimony too, correctly carried little weight. </w:t>
      </w:r>
      <w:r w:rsidR="0074420B" w:rsidRPr="00FF4B03">
        <w:rPr>
          <w:lang w:val="en-GB"/>
        </w:rPr>
        <w:t>It must be accepted that no judgment can ever be all-embracing and</w:t>
      </w:r>
      <w:r w:rsidR="005A5F4F" w:rsidRPr="00FF4B03">
        <w:rPr>
          <w:lang w:val="en-GB"/>
        </w:rPr>
        <w:t xml:space="preserve"> that merely because various matters have not been mentioned implies that those factors had not been considered. </w:t>
      </w:r>
      <w:r w:rsidR="00281FE9" w:rsidRPr="00FF4B03">
        <w:rPr>
          <w:lang w:val="en-GB"/>
        </w:rPr>
        <w:t xml:space="preserve">Appeal courts have been cautioned not to seek anxiously to discover reasons adverse to the conclusions of the trial court. </w:t>
      </w:r>
    </w:p>
    <w:p w14:paraId="53053251" w14:textId="77777777" w:rsidR="00604442" w:rsidRPr="00604442" w:rsidRDefault="00604442" w:rsidP="00604442">
      <w:pPr>
        <w:pStyle w:val="ListParagraph"/>
        <w:rPr>
          <w:lang w:val="en-GB"/>
        </w:rPr>
      </w:pPr>
    </w:p>
    <w:p w14:paraId="55E7FC94" w14:textId="428951AC" w:rsidR="00822D7F" w:rsidRPr="00FF4B03" w:rsidRDefault="00FF4B03" w:rsidP="00FF4B03">
      <w:pPr>
        <w:autoSpaceDE w:val="0"/>
        <w:autoSpaceDN w:val="0"/>
        <w:adjustRightInd w:val="0"/>
        <w:jc w:val="both"/>
        <w:rPr>
          <w:lang w:val="en-GB"/>
        </w:rPr>
      </w:pPr>
      <w:r>
        <w:rPr>
          <w:lang w:val="en-GB"/>
        </w:rPr>
        <w:t>[25]</w:t>
      </w:r>
      <w:r>
        <w:rPr>
          <w:lang w:val="en-GB"/>
        </w:rPr>
        <w:tab/>
      </w:r>
      <w:r w:rsidR="00604442" w:rsidRPr="00FF4B03">
        <w:rPr>
          <w:lang w:val="en-GB"/>
        </w:rPr>
        <w:t>There appears to be no basis for disregarding the trial courts conclusions on fact</w:t>
      </w:r>
      <w:r w:rsidR="00B71CC4" w:rsidRPr="00FF4B03">
        <w:rPr>
          <w:lang w:val="en-GB"/>
        </w:rPr>
        <w:t>, even though those conclusions may have been articulated more fully.</w:t>
      </w:r>
      <w:r w:rsidR="00C24311" w:rsidRPr="00FF4B03">
        <w:rPr>
          <w:lang w:val="en-GB"/>
        </w:rPr>
        <w:t xml:space="preserve"> As a result, the presumption is that the conclusion of the court </w:t>
      </w:r>
      <w:r w:rsidR="00C24311" w:rsidRPr="00FF4B03">
        <w:rPr>
          <w:i/>
          <w:iCs/>
          <w:lang w:val="en-GB"/>
        </w:rPr>
        <w:t xml:space="preserve">a quo </w:t>
      </w:r>
      <w:r w:rsidR="00C24311" w:rsidRPr="00FF4B03">
        <w:rPr>
          <w:lang w:val="en-GB"/>
        </w:rPr>
        <w:t>is correct</w:t>
      </w:r>
      <w:r w:rsidR="005F0BA3" w:rsidRPr="00FF4B03">
        <w:rPr>
          <w:lang w:val="en-GB"/>
        </w:rPr>
        <w:t xml:space="preserve">, and an appellate court will only reverse it where convinced that the conclusion was wrong. </w:t>
      </w:r>
      <w:r w:rsidR="00A4516F" w:rsidRPr="00FF4B03">
        <w:rPr>
          <w:lang w:val="en-GB"/>
        </w:rPr>
        <w:t xml:space="preserve">This case does not warrant such a reversal. </w:t>
      </w:r>
      <w:r w:rsidR="003D6AAA" w:rsidRPr="00FF4B03">
        <w:rPr>
          <w:lang w:val="en-GB"/>
        </w:rPr>
        <w:t>White’s testimony</w:t>
      </w:r>
      <w:r w:rsidR="00256044" w:rsidRPr="00FF4B03">
        <w:rPr>
          <w:lang w:val="en-GB"/>
        </w:rPr>
        <w:t xml:space="preserve"> was compelling</w:t>
      </w:r>
      <w:r w:rsidR="000C6248" w:rsidRPr="00FF4B03">
        <w:rPr>
          <w:lang w:val="en-GB"/>
        </w:rPr>
        <w:t xml:space="preserve"> and his identification of the appellant </w:t>
      </w:r>
      <w:r w:rsidR="0067152C" w:rsidRPr="00FF4B03">
        <w:rPr>
          <w:lang w:val="en-GB"/>
        </w:rPr>
        <w:t xml:space="preserve">as the person arrested close to the scene </w:t>
      </w:r>
      <w:r w:rsidR="000C6248" w:rsidRPr="00FF4B03">
        <w:rPr>
          <w:lang w:val="en-GB"/>
        </w:rPr>
        <w:t>unchallenged</w:t>
      </w:r>
      <w:r w:rsidR="00256044" w:rsidRPr="00FF4B03">
        <w:rPr>
          <w:lang w:val="en-GB"/>
        </w:rPr>
        <w:t xml:space="preserve">. </w:t>
      </w:r>
      <w:r w:rsidR="00731175" w:rsidRPr="00FF4B03">
        <w:rPr>
          <w:lang w:val="en-GB"/>
        </w:rPr>
        <w:t>His version as to his handling of the firearm is corroborated to an extent by Mazomba and Yozi. Their testimony supports the finding that the</w:t>
      </w:r>
      <w:r w:rsidR="00FD489A" w:rsidRPr="00FF4B03">
        <w:rPr>
          <w:lang w:val="en-GB"/>
        </w:rPr>
        <w:t>re was one firearm recovered by White and his partner when they apprehended the appellant</w:t>
      </w:r>
      <w:r w:rsidR="00BC4010" w:rsidRPr="00FF4B03">
        <w:rPr>
          <w:lang w:val="en-GB"/>
        </w:rPr>
        <w:t xml:space="preserve">. This had been taken to the police station where it was discovered </w:t>
      </w:r>
      <w:r w:rsidR="00FD489A" w:rsidRPr="00FF4B03">
        <w:rPr>
          <w:lang w:val="en-GB"/>
        </w:rPr>
        <w:t>that that</w:t>
      </w:r>
      <w:r w:rsidR="00731175" w:rsidRPr="00FF4B03">
        <w:rPr>
          <w:lang w:val="en-GB"/>
        </w:rPr>
        <w:t xml:space="preserve"> firearm’s serial number had been scratched off. </w:t>
      </w:r>
      <w:r w:rsidR="0060709C" w:rsidRPr="00FF4B03">
        <w:rPr>
          <w:lang w:val="en-GB"/>
        </w:rPr>
        <w:t xml:space="preserve">That firearm was later linked to shots fired inside the shop at the time of the robbery. </w:t>
      </w:r>
      <w:r w:rsidR="004B1BF2" w:rsidRPr="00FF4B03">
        <w:rPr>
          <w:lang w:val="en-GB"/>
        </w:rPr>
        <w:t>While the conviction relating to the firearm was</w:t>
      </w:r>
      <w:r w:rsidR="00603281" w:rsidRPr="00FF4B03">
        <w:rPr>
          <w:lang w:val="en-GB"/>
        </w:rPr>
        <w:t xml:space="preserve"> based</w:t>
      </w:r>
      <w:r w:rsidR="004B1BF2" w:rsidRPr="00FF4B03">
        <w:rPr>
          <w:lang w:val="en-GB"/>
        </w:rPr>
        <w:t xml:space="preserve"> on the evidence of a single competent witness</w:t>
      </w:r>
      <w:r w:rsidR="00EA4897" w:rsidRPr="00FF4B03">
        <w:rPr>
          <w:lang w:val="en-GB"/>
        </w:rPr>
        <w:t>,</w:t>
      </w:r>
      <w:r w:rsidR="004B1BF2" w:rsidRPr="00FF4B03">
        <w:rPr>
          <w:lang w:val="en-GB"/>
        </w:rPr>
        <w:t xml:space="preserve"> I am satisfied from the record that White’s testimony, while containing </w:t>
      </w:r>
      <w:r w:rsidR="00AD3655" w:rsidRPr="00FF4B03">
        <w:rPr>
          <w:lang w:val="en-GB"/>
        </w:rPr>
        <w:t>minor</w:t>
      </w:r>
      <w:r w:rsidR="004B1BF2" w:rsidRPr="00FF4B03">
        <w:rPr>
          <w:lang w:val="en-GB"/>
        </w:rPr>
        <w:t xml:space="preserve"> deficiencies</w:t>
      </w:r>
      <w:r w:rsidR="00AD3655" w:rsidRPr="00FF4B03">
        <w:rPr>
          <w:lang w:val="en-GB"/>
        </w:rPr>
        <w:t xml:space="preserve"> of the kind that might be expected</w:t>
      </w:r>
      <w:r w:rsidR="004B1BF2" w:rsidRPr="00FF4B03">
        <w:rPr>
          <w:lang w:val="en-GB"/>
        </w:rPr>
        <w:t>, was trustworthy and truthful so that the conviction must stand</w:t>
      </w:r>
      <w:r w:rsidR="009A189E" w:rsidRPr="00FF4B03">
        <w:rPr>
          <w:lang w:val="en-GB"/>
        </w:rPr>
        <w:t xml:space="preserve">. </w:t>
      </w:r>
      <w:r w:rsidR="009444CA" w:rsidRPr="00FF4B03">
        <w:rPr>
          <w:lang w:val="en-GB"/>
        </w:rPr>
        <w:t xml:space="preserve">It would not be in the interests of justice for the presiding officer’s mere failure to articulate this to warrant overturning the conviction. </w:t>
      </w:r>
    </w:p>
    <w:p w14:paraId="3FD193C1" w14:textId="77777777" w:rsidR="00822D7F" w:rsidRPr="00822D7F" w:rsidRDefault="00822D7F" w:rsidP="00822D7F">
      <w:pPr>
        <w:pStyle w:val="ListParagraph"/>
        <w:rPr>
          <w:lang w:val="en-GB"/>
        </w:rPr>
      </w:pPr>
    </w:p>
    <w:p w14:paraId="1711EE6D" w14:textId="61BAC238" w:rsidR="00747A0D" w:rsidRPr="00FF4B03" w:rsidRDefault="00FF4B03" w:rsidP="00FF4B03">
      <w:pPr>
        <w:autoSpaceDE w:val="0"/>
        <w:autoSpaceDN w:val="0"/>
        <w:adjustRightInd w:val="0"/>
        <w:jc w:val="both"/>
        <w:rPr>
          <w:lang w:val="en-GB"/>
        </w:rPr>
      </w:pPr>
      <w:r>
        <w:rPr>
          <w:lang w:val="en-GB"/>
        </w:rPr>
        <w:lastRenderedPageBreak/>
        <w:t>[26]</w:t>
      </w:r>
      <w:r>
        <w:rPr>
          <w:lang w:val="en-GB"/>
        </w:rPr>
        <w:tab/>
      </w:r>
      <w:r w:rsidR="009A189E" w:rsidRPr="00FF4B03">
        <w:rPr>
          <w:lang w:val="en-GB"/>
        </w:rPr>
        <w:t>The totality of available evidence supports the inference that the appellant was guilty of robbery with aggravating circumstances, as charged.</w:t>
      </w:r>
      <w:r w:rsidR="007504BC" w:rsidRPr="00FF4B03">
        <w:rPr>
          <w:lang w:val="en-GB"/>
        </w:rPr>
        <w:t xml:space="preserve"> </w:t>
      </w:r>
      <w:r w:rsidR="005A2CDB" w:rsidRPr="00FF4B03">
        <w:rPr>
          <w:lang w:val="en-GB"/>
        </w:rPr>
        <w:t xml:space="preserve">That inference is consistent with all the proved facts and those facts are such that they exclude any other reasonable inference. </w:t>
      </w:r>
      <w:r w:rsidR="00623E81" w:rsidRPr="00FF4B03">
        <w:rPr>
          <w:lang w:val="en-GB"/>
        </w:rPr>
        <w:t xml:space="preserve">It must be accepted that the </w:t>
      </w:r>
      <w:r w:rsidR="00BE4765" w:rsidRPr="00FF4B03">
        <w:rPr>
          <w:lang w:val="en-GB"/>
        </w:rPr>
        <w:t xml:space="preserve">appellant had participated in the robbery and that he had wielded the firearm found in his possession while doing so. </w:t>
      </w:r>
      <w:r w:rsidR="00256044" w:rsidRPr="00FF4B03">
        <w:rPr>
          <w:lang w:val="en-GB"/>
        </w:rPr>
        <w:t>The appellant failed to put material aspects of his version, including the reversed bakkie and the distant gunshots to White.</w:t>
      </w:r>
      <w:r w:rsidR="0068524F" w:rsidRPr="00FF4B03">
        <w:rPr>
          <w:lang w:val="en-GB"/>
        </w:rPr>
        <w:t xml:space="preserve"> </w:t>
      </w:r>
      <w:r w:rsidR="00E619DD" w:rsidRPr="00FF4B03">
        <w:rPr>
          <w:lang w:val="en-GB"/>
        </w:rPr>
        <w:t>He failed to challenge any of the witnesses who testified that he had been taken back to the shop after his arrest</w:t>
      </w:r>
      <w:r w:rsidR="003F0ED5" w:rsidRPr="00FF4B03">
        <w:rPr>
          <w:lang w:val="en-GB"/>
        </w:rPr>
        <w:t xml:space="preserve">, where the money bag had been identified. </w:t>
      </w:r>
      <w:r w:rsidR="001D2CCE" w:rsidRPr="00FF4B03">
        <w:rPr>
          <w:lang w:val="en-GB"/>
        </w:rPr>
        <w:t xml:space="preserve">Analysing the </w:t>
      </w:r>
      <w:r w:rsidR="001A2550" w:rsidRPr="00FF4B03">
        <w:rPr>
          <w:lang w:val="en-GB"/>
        </w:rPr>
        <w:t xml:space="preserve">available </w:t>
      </w:r>
      <w:r w:rsidR="001D2CCE" w:rsidRPr="00FF4B03">
        <w:rPr>
          <w:lang w:val="en-GB"/>
        </w:rPr>
        <w:t>evidence, including</w:t>
      </w:r>
      <w:r w:rsidR="0068524F" w:rsidRPr="00FF4B03">
        <w:rPr>
          <w:lang w:val="en-GB"/>
        </w:rPr>
        <w:t xml:space="preserve"> </w:t>
      </w:r>
      <w:r w:rsidR="00B85211" w:rsidRPr="00FF4B03">
        <w:rPr>
          <w:lang w:val="en-GB"/>
        </w:rPr>
        <w:t>various</w:t>
      </w:r>
      <w:r w:rsidR="0068524F" w:rsidRPr="00FF4B03">
        <w:rPr>
          <w:lang w:val="en-GB"/>
        </w:rPr>
        <w:t xml:space="preserve"> apparent improbabilities in the appellant’s version of events</w:t>
      </w:r>
      <w:r w:rsidR="001D2CCE" w:rsidRPr="00FF4B03">
        <w:rPr>
          <w:lang w:val="en-GB"/>
        </w:rPr>
        <w:t xml:space="preserve">, results in the conclusion that </w:t>
      </w:r>
      <w:r w:rsidR="0068524F" w:rsidRPr="00FF4B03">
        <w:rPr>
          <w:lang w:val="en-GB"/>
        </w:rPr>
        <w:t>the appellant’s guilt was established beyond reasonable doubt, and his version was not reasonably possibly true.</w:t>
      </w:r>
      <w:r w:rsidR="008A3AC0" w:rsidRPr="00FF4B03">
        <w:rPr>
          <w:lang w:val="en-GB"/>
        </w:rPr>
        <w:t xml:space="preserve"> </w:t>
      </w:r>
      <w:r w:rsidR="004D0EAB" w:rsidRPr="00FF4B03">
        <w:rPr>
          <w:lang w:val="en-GB"/>
        </w:rPr>
        <w:t>Neither the</w:t>
      </w:r>
      <w:r w:rsidR="00EC3595" w:rsidRPr="00FF4B03">
        <w:rPr>
          <w:lang w:val="en-GB"/>
        </w:rPr>
        <w:t xml:space="preserve"> failure to conduct additional fingerprinting</w:t>
      </w:r>
      <w:r w:rsidR="00CA49B7" w:rsidRPr="00FF4B03">
        <w:rPr>
          <w:lang w:val="en-GB"/>
        </w:rPr>
        <w:t xml:space="preserve">-, blood- or gunpowder </w:t>
      </w:r>
      <w:r w:rsidR="00EC3595" w:rsidRPr="00FF4B03">
        <w:rPr>
          <w:lang w:val="en-GB"/>
        </w:rPr>
        <w:t>tests</w:t>
      </w:r>
      <w:r w:rsidR="004D0EAB" w:rsidRPr="00FF4B03">
        <w:rPr>
          <w:lang w:val="en-GB"/>
        </w:rPr>
        <w:t>, nor the decision not to draw an adverse inference from the failure to call Monde,</w:t>
      </w:r>
      <w:r w:rsidR="00EC3595" w:rsidRPr="00FF4B03">
        <w:rPr>
          <w:lang w:val="en-GB"/>
        </w:rPr>
        <w:t xml:space="preserve"> alter</w:t>
      </w:r>
      <w:r w:rsidR="004D0EAB" w:rsidRPr="00FF4B03">
        <w:rPr>
          <w:lang w:val="en-GB"/>
        </w:rPr>
        <w:t>s</w:t>
      </w:r>
      <w:r w:rsidR="00EC3595" w:rsidRPr="00FF4B03">
        <w:rPr>
          <w:lang w:val="en-GB"/>
        </w:rPr>
        <w:t xml:space="preserve"> that conclusion. </w:t>
      </w:r>
      <w:r w:rsidR="008A3AC0" w:rsidRPr="00FF4B03">
        <w:rPr>
          <w:lang w:val="en-GB"/>
        </w:rPr>
        <w:t xml:space="preserve">If anything, </w:t>
      </w:r>
      <w:r w:rsidR="00B304E5" w:rsidRPr="00FF4B03">
        <w:rPr>
          <w:lang w:val="en-GB"/>
        </w:rPr>
        <w:t>and as an aside</w:t>
      </w:r>
      <w:r w:rsidR="00732304" w:rsidRPr="00FF4B03">
        <w:rPr>
          <w:lang w:val="en-GB"/>
        </w:rPr>
        <w:t xml:space="preserve"> given the absence of a cross-appeal</w:t>
      </w:r>
      <w:r w:rsidR="00B304E5" w:rsidRPr="00FF4B03">
        <w:rPr>
          <w:lang w:val="en-GB"/>
        </w:rPr>
        <w:t xml:space="preserve">, </w:t>
      </w:r>
      <w:r w:rsidR="008A3AC0" w:rsidRPr="00FF4B03">
        <w:rPr>
          <w:lang w:val="en-GB"/>
        </w:rPr>
        <w:t xml:space="preserve">the appellant may consider himself fortunate not to have </w:t>
      </w:r>
      <w:r w:rsidR="00B60089" w:rsidRPr="00FF4B03">
        <w:rPr>
          <w:lang w:val="en-GB"/>
        </w:rPr>
        <w:t xml:space="preserve">been </w:t>
      </w:r>
      <w:r w:rsidR="00744D06" w:rsidRPr="00FF4B03">
        <w:rPr>
          <w:lang w:val="en-GB"/>
        </w:rPr>
        <w:t>convicted of the remaining count as well</w:t>
      </w:r>
      <w:r w:rsidR="00B304E5" w:rsidRPr="00FF4B03">
        <w:rPr>
          <w:lang w:val="en-GB"/>
        </w:rPr>
        <w:t>.</w:t>
      </w:r>
    </w:p>
    <w:p w14:paraId="0140900F" w14:textId="5BF943DE" w:rsidR="007504BC" w:rsidRDefault="007504BC" w:rsidP="007504BC">
      <w:pPr>
        <w:pStyle w:val="ListParagraph"/>
        <w:autoSpaceDE w:val="0"/>
        <w:autoSpaceDN w:val="0"/>
        <w:adjustRightInd w:val="0"/>
        <w:ind w:left="0"/>
        <w:jc w:val="both"/>
        <w:rPr>
          <w:lang w:val="en-GB"/>
        </w:rPr>
      </w:pPr>
    </w:p>
    <w:p w14:paraId="04AD9184" w14:textId="5D6F7BE2" w:rsidR="002D5582" w:rsidRDefault="002D5582" w:rsidP="007504BC">
      <w:pPr>
        <w:pStyle w:val="ListParagraph"/>
        <w:autoSpaceDE w:val="0"/>
        <w:autoSpaceDN w:val="0"/>
        <w:adjustRightInd w:val="0"/>
        <w:ind w:left="0"/>
        <w:jc w:val="both"/>
        <w:rPr>
          <w:b/>
          <w:bCs/>
          <w:lang w:val="en-GB"/>
        </w:rPr>
      </w:pPr>
      <w:r>
        <w:rPr>
          <w:b/>
          <w:bCs/>
          <w:lang w:val="en-GB"/>
        </w:rPr>
        <w:t>Sentence</w:t>
      </w:r>
    </w:p>
    <w:p w14:paraId="6045278A" w14:textId="77777777" w:rsidR="002D5582" w:rsidRPr="00D625B8" w:rsidRDefault="002D5582" w:rsidP="002D5582">
      <w:pPr>
        <w:jc w:val="both"/>
        <w:rPr>
          <w:lang w:val="en-GB"/>
        </w:rPr>
      </w:pPr>
    </w:p>
    <w:p w14:paraId="580AD2D1" w14:textId="6DAC1C53" w:rsidR="002D5582" w:rsidRPr="00FF4B03" w:rsidRDefault="00FF4B03" w:rsidP="00FF4B03">
      <w:pPr>
        <w:autoSpaceDE w:val="0"/>
        <w:autoSpaceDN w:val="0"/>
        <w:adjustRightInd w:val="0"/>
        <w:jc w:val="both"/>
        <w:rPr>
          <w:lang w:val="en-GB"/>
        </w:rPr>
      </w:pPr>
      <w:r>
        <w:rPr>
          <w:lang w:val="en-GB"/>
        </w:rPr>
        <w:t>[27]</w:t>
      </w:r>
      <w:r>
        <w:rPr>
          <w:lang w:val="en-GB"/>
        </w:rPr>
        <w:tab/>
      </w:r>
      <w:r w:rsidR="002D5582" w:rsidRPr="00FF4B03">
        <w:rPr>
          <w:lang w:val="en-GB"/>
        </w:rPr>
        <w:t xml:space="preserve">It is trite that the imposition of sentence is pre-eminently a matter for the discretion of the trial court. This means that the trial court is free to impose whatever sentence it deems appropriate provided that it exercises its discretion judicially and properly. Accordingly, the trial court must impose a sentence on the correct facts and must take the correct legal position into account. The test in a criminal appeal is whether the sentence is vitiated by irregularity or misdirection or is disturbingly inappropriate. As the Court held in </w:t>
      </w:r>
      <w:r w:rsidR="002D5582" w:rsidRPr="00FF4B03">
        <w:rPr>
          <w:i/>
          <w:iCs/>
          <w:lang w:val="en-GB"/>
        </w:rPr>
        <w:t>S v Pillay</w:t>
      </w:r>
      <w:r w:rsidR="002D5582" w:rsidRPr="00FF4B03">
        <w:rPr>
          <w:lang w:val="en-GB"/>
        </w:rPr>
        <w:t>:</w:t>
      </w:r>
      <w:r w:rsidR="002D5582">
        <w:rPr>
          <w:rStyle w:val="FootnoteReference"/>
          <w:lang w:val="en-GB"/>
        </w:rPr>
        <w:footnoteReference w:id="5"/>
      </w:r>
    </w:p>
    <w:p w14:paraId="3246752B" w14:textId="77777777" w:rsidR="002D5582" w:rsidRDefault="002D5582" w:rsidP="002D5582">
      <w:pPr>
        <w:jc w:val="both"/>
        <w:rPr>
          <w:sz w:val="22"/>
          <w:szCs w:val="22"/>
          <w:lang w:val="en-GB"/>
        </w:rPr>
      </w:pPr>
      <w:r>
        <w:rPr>
          <w:sz w:val="22"/>
          <w:szCs w:val="22"/>
          <w:lang w:val="en-GB"/>
        </w:rPr>
        <w:t xml:space="preserve">‘As the essential enquiry in an appeal against sentence, however, is not whether the sentence was right or wrong but whether the Court in imposing it exercised its discretion properly or judicially, a mere misdirection is not by itself sufficient to entitle the Appeal Court to interfere with the sentence: it must be of such a nature, degree or seriousness that it shows, directly or inferentially, that the court did not exercise its discretion at all or exercised it improperly or </w:t>
      </w:r>
      <w:r>
        <w:rPr>
          <w:sz w:val="22"/>
          <w:szCs w:val="22"/>
          <w:lang w:val="en-GB"/>
        </w:rPr>
        <w:lastRenderedPageBreak/>
        <w:t>unreasonably. Such a misdirection is usually and conveniently termed one that vitiates the court’s decision on sentence.’</w:t>
      </w:r>
    </w:p>
    <w:p w14:paraId="5409B2E9" w14:textId="77777777" w:rsidR="002D5582" w:rsidRPr="007D135F" w:rsidRDefault="002D5582" w:rsidP="002D5582">
      <w:pPr>
        <w:jc w:val="both"/>
        <w:rPr>
          <w:sz w:val="22"/>
          <w:szCs w:val="22"/>
          <w:lang w:val="en-GB"/>
        </w:rPr>
      </w:pPr>
    </w:p>
    <w:p w14:paraId="132168A4" w14:textId="42259261" w:rsidR="002D5582" w:rsidRPr="00FF4B03" w:rsidRDefault="00FF4B03" w:rsidP="00FF4B03">
      <w:pPr>
        <w:autoSpaceDE w:val="0"/>
        <w:autoSpaceDN w:val="0"/>
        <w:adjustRightInd w:val="0"/>
        <w:jc w:val="both"/>
        <w:rPr>
          <w:lang w:val="en-GB"/>
        </w:rPr>
      </w:pPr>
      <w:r>
        <w:rPr>
          <w:lang w:val="en-GB"/>
        </w:rPr>
        <w:t>[28]</w:t>
      </w:r>
      <w:r>
        <w:rPr>
          <w:lang w:val="en-GB"/>
        </w:rPr>
        <w:tab/>
      </w:r>
      <w:r w:rsidR="002D5582" w:rsidRPr="00FF4B03">
        <w:rPr>
          <w:lang w:val="en-GB"/>
        </w:rPr>
        <w:t>It remains open for a Court of appeal to interfere with a sentence that is excessive or disturbingly inappropriate. The manner in which the Court evaluates this possibility is to consider all the relevant circumstances as to the nature of the offence committed and the person of the accused, before determining what a proper sentence ought to be. If the difference between that sentence and the sentence actually imposed is so great that the inference can be made that the trial court acted unreasonably, and therefore improperly, the Court of appeal will alter the sentence.</w:t>
      </w:r>
      <w:r w:rsidR="002D5582">
        <w:rPr>
          <w:rStyle w:val="FootnoteReference"/>
          <w:lang w:val="en-GB"/>
        </w:rPr>
        <w:footnoteReference w:id="6"/>
      </w:r>
      <w:r w:rsidR="002D5582" w:rsidRPr="00FF4B03">
        <w:rPr>
          <w:lang w:val="en-GB"/>
        </w:rPr>
        <w:t xml:space="preserve"> If the cumulative effect of a sentence is too severe, that will also constitute a sentence that is disturbingly inappropriate.</w:t>
      </w:r>
      <w:r w:rsidR="002D5582">
        <w:rPr>
          <w:rStyle w:val="FootnoteReference"/>
          <w:lang w:val="en-GB"/>
        </w:rPr>
        <w:footnoteReference w:id="7"/>
      </w:r>
    </w:p>
    <w:p w14:paraId="6F05A30E" w14:textId="77777777" w:rsidR="002C2426" w:rsidRDefault="002C2426" w:rsidP="002C2426">
      <w:pPr>
        <w:pStyle w:val="ListParagraph"/>
        <w:autoSpaceDE w:val="0"/>
        <w:autoSpaceDN w:val="0"/>
        <w:adjustRightInd w:val="0"/>
        <w:ind w:left="0"/>
        <w:jc w:val="both"/>
        <w:rPr>
          <w:lang w:val="en-GB"/>
        </w:rPr>
      </w:pPr>
    </w:p>
    <w:p w14:paraId="1310B338" w14:textId="7F381FFA" w:rsidR="002C2426" w:rsidRPr="00FF4B03" w:rsidRDefault="00FF4B03" w:rsidP="00FF4B03">
      <w:pPr>
        <w:autoSpaceDE w:val="0"/>
        <w:autoSpaceDN w:val="0"/>
        <w:adjustRightInd w:val="0"/>
        <w:jc w:val="both"/>
        <w:rPr>
          <w:lang w:val="en-GB"/>
        </w:rPr>
      </w:pPr>
      <w:r>
        <w:rPr>
          <w:lang w:val="en-GB"/>
        </w:rPr>
        <w:t>[29]</w:t>
      </w:r>
      <w:r>
        <w:rPr>
          <w:lang w:val="en-GB"/>
        </w:rPr>
        <w:tab/>
      </w:r>
      <w:r w:rsidR="00692385" w:rsidRPr="00FF4B03">
        <w:rPr>
          <w:lang w:val="en-GB"/>
        </w:rPr>
        <w:t>The appellant was convicted of being in possession of a prohibited firearm. Section 4(1)</w:t>
      </w:r>
      <w:r w:rsidR="00692385" w:rsidRPr="00FF4B03">
        <w:rPr>
          <w:i/>
          <w:iCs/>
          <w:lang w:val="en-GB"/>
        </w:rPr>
        <w:t>(f)</w:t>
      </w:r>
      <w:r w:rsidR="00692385" w:rsidRPr="00FF4B03">
        <w:rPr>
          <w:lang w:val="en-GB"/>
        </w:rPr>
        <w:t>(iv) of the Firearms Control Act, 2000, prohibits the possession or licensing of any firearm where the serial number or any other identifying mark has been changed or removed without the permission of the Registrar of Firearms. This is an offence in terms of that Act with a maximum period of imprisonment of 25 years.</w:t>
      </w:r>
    </w:p>
    <w:p w14:paraId="5B973645" w14:textId="77777777" w:rsidR="004C672D" w:rsidRPr="004C672D" w:rsidRDefault="004C672D" w:rsidP="004C672D">
      <w:pPr>
        <w:pStyle w:val="ListParagraph"/>
        <w:rPr>
          <w:lang w:val="en-GB"/>
        </w:rPr>
      </w:pPr>
    </w:p>
    <w:p w14:paraId="237BB338" w14:textId="2FE43ED8" w:rsidR="004C672D" w:rsidRPr="00FF4B03" w:rsidRDefault="00FF4B03" w:rsidP="00FF4B03">
      <w:pPr>
        <w:autoSpaceDE w:val="0"/>
        <w:autoSpaceDN w:val="0"/>
        <w:adjustRightInd w:val="0"/>
        <w:jc w:val="both"/>
        <w:rPr>
          <w:lang w:val="en-GB"/>
        </w:rPr>
      </w:pPr>
      <w:r w:rsidRPr="005C7764">
        <w:rPr>
          <w:lang w:val="en-GB"/>
        </w:rPr>
        <w:t>[30]</w:t>
      </w:r>
      <w:r w:rsidRPr="005C7764">
        <w:rPr>
          <w:lang w:val="en-GB"/>
        </w:rPr>
        <w:tab/>
      </w:r>
      <w:r w:rsidR="004C672D" w:rsidRPr="00FF4B03">
        <w:rPr>
          <w:lang w:val="en-GB"/>
        </w:rPr>
        <w:t xml:space="preserve">The court </w:t>
      </w:r>
      <w:r w:rsidR="004C672D" w:rsidRPr="00FF4B03">
        <w:rPr>
          <w:i/>
          <w:iCs/>
          <w:lang w:val="en-GB"/>
        </w:rPr>
        <w:t>a quo</w:t>
      </w:r>
      <w:r w:rsidR="004C672D" w:rsidRPr="00FF4B03">
        <w:rPr>
          <w:lang w:val="en-GB"/>
        </w:rPr>
        <w:t xml:space="preserve"> correctly considered the act of possession of the prohibited firearm to be an independent offence, but ordered part of the fifteen</w:t>
      </w:r>
      <w:r w:rsidR="00000A1A" w:rsidRPr="00FF4B03">
        <w:rPr>
          <w:lang w:val="en-GB"/>
        </w:rPr>
        <w:t>-</w:t>
      </w:r>
      <w:r w:rsidR="004C672D" w:rsidRPr="00FF4B03">
        <w:rPr>
          <w:lang w:val="en-GB"/>
        </w:rPr>
        <w:t xml:space="preserve">year sentence imposed for that offence to run concurrently with the sentence for the crime of robbery with aggravating circumstances. </w:t>
      </w:r>
      <w:r w:rsidR="00000A1A" w:rsidRPr="00FF4B03">
        <w:rPr>
          <w:lang w:val="en-GB"/>
        </w:rPr>
        <w:t>That was the proper approach to adopt when considering the cumulative effect of the sentence. There is no basis for concluding that the presiding officer’s sentence is vitiated by irregularity or misdirection or that the sentence imposed is disturbingly inappropriate</w:t>
      </w:r>
      <w:r w:rsidR="00181BF9" w:rsidRPr="00FF4B03">
        <w:rPr>
          <w:lang w:val="en-GB"/>
        </w:rPr>
        <w:t xml:space="preserve"> when considering the nature of the offences, the appellant’s circumstances and the interests of society.</w:t>
      </w:r>
    </w:p>
    <w:p w14:paraId="06C575CF" w14:textId="77777777" w:rsidR="002D5582" w:rsidRPr="002D5582" w:rsidRDefault="002D5582" w:rsidP="007504BC">
      <w:pPr>
        <w:pStyle w:val="ListParagraph"/>
        <w:autoSpaceDE w:val="0"/>
        <w:autoSpaceDN w:val="0"/>
        <w:adjustRightInd w:val="0"/>
        <w:ind w:left="0"/>
        <w:jc w:val="both"/>
        <w:rPr>
          <w:b/>
          <w:bCs/>
          <w:lang w:val="en-GB"/>
        </w:rPr>
      </w:pPr>
    </w:p>
    <w:p w14:paraId="5FB19FAE" w14:textId="3AD2C25D" w:rsidR="007504BC" w:rsidRDefault="007504BC" w:rsidP="007504BC">
      <w:pPr>
        <w:pStyle w:val="ListParagraph"/>
        <w:autoSpaceDE w:val="0"/>
        <w:autoSpaceDN w:val="0"/>
        <w:adjustRightInd w:val="0"/>
        <w:ind w:left="0"/>
        <w:jc w:val="both"/>
        <w:rPr>
          <w:b/>
          <w:bCs/>
          <w:lang w:val="en-GB"/>
        </w:rPr>
      </w:pPr>
      <w:r>
        <w:rPr>
          <w:b/>
          <w:bCs/>
          <w:lang w:val="en-GB"/>
        </w:rPr>
        <w:t>Order</w:t>
      </w:r>
    </w:p>
    <w:p w14:paraId="42772B33" w14:textId="77777777" w:rsidR="007504BC" w:rsidRPr="007504BC" w:rsidRDefault="007504BC" w:rsidP="007504BC">
      <w:pPr>
        <w:pStyle w:val="ListParagraph"/>
        <w:autoSpaceDE w:val="0"/>
        <w:autoSpaceDN w:val="0"/>
        <w:adjustRightInd w:val="0"/>
        <w:ind w:left="0"/>
        <w:jc w:val="both"/>
        <w:rPr>
          <w:b/>
          <w:bCs/>
          <w:lang w:val="en-GB"/>
        </w:rPr>
      </w:pPr>
    </w:p>
    <w:p w14:paraId="2719DBF5" w14:textId="6189DFA6" w:rsidR="007504BC" w:rsidRPr="00FF4B03" w:rsidRDefault="00FF4B03" w:rsidP="00FF4B03">
      <w:pPr>
        <w:autoSpaceDE w:val="0"/>
        <w:autoSpaceDN w:val="0"/>
        <w:adjustRightInd w:val="0"/>
        <w:jc w:val="both"/>
        <w:rPr>
          <w:lang w:val="en-GB"/>
        </w:rPr>
      </w:pPr>
      <w:r w:rsidRPr="007504BC">
        <w:rPr>
          <w:lang w:val="en-GB"/>
        </w:rPr>
        <w:t>[31]</w:t>
      </w:r>
      <w:r w:rsidRPr="007504BC">
        <w:rPr>
          <w:lang w:val="en-GB"/>
        </w:rPr>
        <w:tab/>
      </w:r>
      <w:r w:rsidR="007504BC" w:rsidRPr="00FF4B03">
        <w:rPr>
          <w:lang w:val="en-GB"/>
        </w:rPr>
        <w:t>The appeal is dismissed.</w:t>
      </w: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530C19">
      <w:pPr>
        <w:jc w:val="right"/>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617AE2BF" w:rsidR="00D450B5" w:rsidRPr="00044B50" w:rsidRDefault="0040248F" w:rsidP="0040248F">
      <w:pPr>
        <w:tabs>
          <w:tab w:val="left" w:pos="5670"/>
        </w:tabs>
        <w:rPr>
          <w:b/>
          <w:bCs/>
          <w:lang w:val="en-GB"/>
        </w:rPr>
      </w:pPr>
      <w:r>
        <w:rPr>
          <w:b/>
          <w:bCs/>
          <w:lang w:val="en-GB"/>
        </w:rPr>
        <w:tab/>
      </w:r>
      <w:r w:rsidR="00D450B5" w:rsidRPr="00044B50">
        <w:rPr>
          <w:b/>
          <w:bCs/>
          <w:lang w:val="en-GB"/>
        </w:rPr>
        <w:t xml:space="preserve">A. GOVINDJEE                                                                                                                                                       </w:t>
      </w:r>
    </w:p>
    <w:p w14:paraId="14E92973" w14:textId="77777777" w:rsidR="00D450B5" w:rsidRPr="00044B50" w:rsidRDefault="00D450B5" w:rsidP="00530C19">
      <w:pPr>
        <w:jc w:val="right"/>
        <w:rPr>
          <w:b/>
          <w:bCs/>
          <w:lang w:val="en-GB"/>
        </w:rPr>
      </w:pPr>
      <w:r w:rsidRPr="00044B50">
        <w:rPr>
          <w:b/>
          <w:bCs/>
          <w:lang w:val="en-GB"/>
        </w:rPr>
        <w:t>JUDGE OF THE HIGH COURT</w:t>
      </w:r>
    </w:p>
    <w:p w14:paraId="56442A86" w14:textId="35883C55" w:rsidR="00AA32DA" w:rsidRDefault="00AA32DA" w:rsidP="00530C19">
      <w:pPr>
        <w:autoSpaceDE w:val="0"/>
        <w:autoSpaceDN w:val="0"/>
        <w:adjustRightInd w:val="0"/>
        <w:jc w:val="right"/>
        <w:rPr>
          <w:lang w:val="en-GB"/>
        </w:rPr>
      </w:pPr>
    </w:p>
    <w:p w14:paraId="467F6929" w14:textId="1AED784D" w:rsidR="00470FCC" w:rsidRDefault="00470FCC" w:rsidP="00530C19">
      <w:pPr>
        <w:autoSpaceDE w:val="0"/>
        <w:autoSpaceDN w:val="0"/>
        <w:adjustRightInd w:val="0"/>
        <w:jc w:val="right"/>
        <w:rPr>
          <w:lang w:val="en-GB"/>
        </w:rPr>
      </w:pPr>
    </w:p>
    <w:p w14:paraId="232CF0A6" w14:textId="77777777" w:rsidR="003653EB" w:rsidRDefault="003653EB" w:rsidP="00530C19">
      <w:pPr>
        <w:autoSpaceDE w:val="0"/>
        <w:autoSpaceDN w:val="0"/>
        <w:adjustRightInd w:val="0"/>
        <w:jc w:val="right"/>
        <w:rPr>
          <w:lang w:val="en-GB"/>
        </w:rPr>
      </w:pPr>
    </w:p>
    <w:p w14:paraId="5073764C" w14:textId="4A77A731" w:rsidR="008F3F33" w:rsidRDefault="00530C19" w:rsidP="00530C19">
      <w:pPr>
        <w:tabs>
          <w:tab w:val="left" w:pos="4820"/>
          <w:tab w:val="left" w:pos="5812"/>
        </w:tabs>
        <w:autoSpaceDE w:val="0"/>
        <w:autoSpaceDN w:val="0"/>
        <w:adjustRightInd w:val="0"/>
        <w:jc w:val="center"/>
        <w:rPr>
          <w:lang w:val="en-GB"/>
        </w:rPr>
      </w:pPr>
      <w:r>
        <w:rPr>
          <w:lang w:val="en-GB"/>
        </w:rPr>
        <w:tab/>
      </w:r>
      <w:r w:rsidR="008F3F33">
        <w:rPr>
          <w:lang w:val="en-GB"/>
        </w:rPr>
        <w:t>I agree, it is so ordered</w:t>
      </w:r>
    </w:p>
    <w:p w14:paraId="0412ACB9" w14:textId="5B78DC18" w:rsidR="008F3F33" w:rsidRDefault="008F3F33" w:rsidP="00530C19">
      <w:pPr>
        <w:autoSpaceDE w:val="0"/>
        <w:autoSpaceDN w:val="0"/>
        <w:adjustRightInd w:val="0"/>
        <w:jc w:val="right"/>
        <w:rPr>
          <w:lang w:val="en-GB"/>
        </w:rPr>
      </w:pPr>
    </w:p>
    <w:p w14:paraId="68FCD789" w14:textId="77777777" w:rsidR="008F3F33" w:rsidRPr="00044B50" w:rsidRDefault="008F3F33" w:rsidP="00530C19">
      <w:pPr>
        <w:autoSpaceDE w:val="0"/>
        <w:autoSpaceDN w:val="0"/>
        <w:adjustRightInd w:val="0"/>
        <w:jc w:val="right"/>
        <w:rPr>
          <w:lang w:val="en-GB"/>
        </w:rPr>
      </w:pPr>
    </w:p>
    <w:p w14:paraId="46E5896C" w14:textId="77777777" w:rsidR="008F3F33" w:rsidRPr="00044B50" w:rsidRDefault="008F3F33" w:rsidP="00530C19">
      <w:pPr>
        <w:jc w:val="right"/>
        <w:rPr>
          <w:lang w:val="en-GB"/>
        </w:rPr>
      </w:pPr>
      <w:r w:rsidRPr="00044B50">
        <w:rPr>
          <w:lang w:val="en-GB"/>
        </w:rPr>
        <w:t xml:space="preserve">_________________________ </w:t>
      </w:r>
    </w:p>
    <w:p w14:paraId="6ED5C83A" w14:textId="75580062" w:rsidR="008F3F33" w:rsidRPr="00044B50" w:rsidRDefault="0040248F" w:rsidP="0040248F">
      <w:pPr>
        <w:tabs>
          <w:tab w:val="left" w:pos="3686"/>
          <w:tab w:val="left" w:pos="5670"/>
        </w:tabs>
        <w:rPr>
          <w:b/>
          <w:bCs/>
          <w:lang w:val="en-GB"/>
        </w:rPr>
      </w:pPr>
      <w:r>
        <w:rPr>
          <w:b/>
          <w:bCs/>
          <w:lang w:val="en-GB"/>
        </w:rPr>
        <w:tab/>
      </w:r>
      <w:r>
        <w:rPr>
          <w:b/>
          <w:bCs/>
          <w:lang w:val="en-GB"/>
        </w:rPr>
        <w:tab/>
      </w:r>
      <w:r w:rsidR="008F3F33">
        <w:rPr>
          <w:b/>
          <w:bCs/>
          <w:lang w:val="en-GB"/>
        </w:rPr>
        <w:t>M. CHITHI</w:t>
      </w:r>
    </w:p>
    <w:p w14:paraId="1A6F4AAA" w14:textId="5420BBE7" w:rsidR="008F3F33" w:rsidRPr="00044B50" w:rsidRDefault="0040248F" w:rsidP="0040248F">
      <w:pPr>
        <w:tabs>
          <w:tab w:val="left" w:pos="5670"/>
        </w:tabs>
        <w:ind w:left="5670" w:hanging="630"/>
        <w:rPr>
          <w:b/>
          <w:bCs/>
          <w:lang w:val="en-GB"/>
        </w:rPr>
      </w:pPr>
      <w:r>
        <w:rPr>
          <w:b/>
          <w:bCs/>
          <w:lang w:val="en-GB"/>
        </w:rPr>
        <w:tab/>
      </w:r>
      <w:r w:rsidR="00547B9D">
        <w:rPr>
          <w:b/>
          <w:bCs/>
          <w:lang w:val="en-GB"/>
        </w:rPr>
        <w:t xml:space="preserve">ACTING </w:t>
      </w:r>
      <w:r w:rsidR="008F3F33" w:rsidRPr="00044B50">
        <w:rPr>
          <w:b/>
          <w:bCs/>
          <w:lang w:val="en-GB"/>
        </w:rPr>
        <w:t xml:space="preserve">JUDGE OF THE </w:t>
      </w:r>
      <w:r>
        <w:rPr>
          <w:b/>
          <w:bCs/>
          <w:lang w:val="en-GB"/>
        </w:rPr>
        <w:t xml:space="preserve">    </w:t>
      </w:r>
      <w:r w:rsidR="008F3F33" w:rsidRPr="00044B50">
        <w:rPr>
          <w:b/>
          <w:bCs/>
          <w:lang w:val="en-GB"/>
        </w:rPr>
        <w:t>HIGH COURT</w:t>
      </w:r>
    </w:p>
    <w:p w14:paraId="46A068F9" w14:textId="77777777" w:rsidR="008F3F33" w:rsidRPr="008F3F33" w:rsidRDefault="008F3F33" w:rsidP="004A5151">
      <w:pPr>
        <w:autoSpaceDE w:val="0"/>
        <w:autoSpaceDN w:val="0"/>
        <w:adjustRightInd w:val="0"/>
        <w:jc w:val="both"/>
        <w:rPr>
          <w:b/>
          <w:bCs/>
          <w:lang w:val="en-GB"/>
        </w:rPr>
      </w:pPr>
    </w:p>
    <w:p w14:paraId="4E913372" w14:textId="77777777" w:rsidR="008A75F3" w:rsidRDefault="008A75F3" w:rsidP="008A75F3">
      <w:pPr>
        <w:widowControl w:val="0"/>
        <w:jc w:val="center"/>
        <w:rPr>
          <w:spacing w:val="14"/>
          <w:kern w:val="2"/>
          <w:lang w:val="en-GB"/>
        </w:rPr>
      </w:pPr>
    </w:p>
    <w:p w14:paraId="04EEEF0A" w14:textId="73C4906A" w:rsidR="007A7BBE" w:rsidRPr="00A87D38" w:rsidRDefault="0040248F" w:rsidP="00F02305">
      <w:pPr>
        <w:widowControl w:val="0"/>
        <w:tabs>
          <w:tab w:val="left" w:pos="5529"/>
        </w:tabs>
        <w:ind w:left="6521" w:right="89" w:hanging="1481"/>
        <w:rPr>
          <w:spacing w:val="14"/>
          <w:kern w:val="2"/>
          <w:lang w:val="en-GB"/>
        </w:rPr>
      </w:pPr>
      <w:r>
        <w:rPr>
          <w:b/>
          <w:spacing w:val="14"/>
          <w:kern w:val="2"/>
          <w:lang w:val="en-GB"/>
        </w:rPr>
        <w:tab/>
        <w:t xml:space="preserve">  </w:t>
      </w:r>
      <w:r w:rsidR="00F02305">
        <w:rPr>
          <w:b/>
          <w:spacing w:val="14"/>
          <w:kern w:val="2"/>
          <w:lang w:val="en-GB"/>
        </w:rPr>
        <w:t xml:space="preserve"> </w:t>
      </w:r>
      <w:r w:rsidR="007A7BBE" w:rsidRPr="0040248F">
        <w:rPr>
          <w:b/>
          <w:spacing w:val="14"/>
          <w:kern w:val="2"/>
          <w:lang w:val="en-GB"/>
        </w:rPr>
        <w:t>Heard</w:t>
      </w:r>
      <w:r w:rsidR="007A7BBE" w:rsidRPr="00A87D38">
        <w:rPr>
          <w:spacing w:val="14"/>
          <w:kern w:val="2"/>
          <w:lang w:val="en-GB"/>
        </w:rPr>
        <w:t>:</w:t>
      </w:r>
      <w:r>
        <w:rPr>
          <w:spacing w:val="14"/>
          <w:kern w:val="2"/>
          <w:lang w:val="en-GB"/>
        </w:rPr>
        <w:t xml:space="preserve">02 </w:t>
      </w:r>
      <w:r w:rsidR="00F02305">
        <w:rPr>
          <w:spacing w:val="14"/>
          <w:kern w:val="2"/>
          <w:lang w:val="en-GB"/>
        </w:rPr>
        <w:t>November</w:t>
      </w:r>
      <w:r>
        <w:rPr>
          <w:spacing w:val="14"/>
          <w:kern w:val="2"/>
          <w:lang w:val="en-GB"/>
        </w:rPr>
        <w:t xml:space="preserve"> 2022</w:t>
      </w:r>
    </w:p>
    <w:p w14:paraId="5D550954" w14:textId="46C2AC18" w:rsidR="007A7BBE" w:rsidRPr="00A87D38" w:rsidRDefault="0040248F" w:rsidP="00F02305">
      <w:pPr>
        <w:widowControl w:val="0"/>
        <w:tabs>
          <w:tab w:val="left" w:pos="5245"/>
          <w:tab w:val="left" w:pos="5812"/>
        </w:tabs>
        <w:ind w:right="-52"/>
        <w:rPr>
          <w:spacing w:val="14"/>
          <w:kern w:val="2"/>
          <w:lang w:val="en-GB"/>
        </w:rPr>
      </w:pPr>
      <w:r>
        <w:rPr>
          <w:b/>
          <w:spacing w:val="14"/>
          <w:kern w:val="2"/>
          <w:lang w:val="en-GB"/>
        </w:rPr>
        <w:tab/>
      </w:r>
      <w:r w:rsidR="00F02305">
        <w:rPr>
          <w:b/>
          <w:spacing w:val="14"/>
          <w:kern w:val="2"/>
          <w:lang w:val="en-GB"/>
        </w:rPr>
        <w:t xml:space="preserve"> </w:t>
      </w:r>
      <w:r w:rsidR="007A7BBE" w:rsidRPr="0040248F">
        <w:rPr>
          <w:b/>
          <w:spacing w:val="14"/>
          <w:kern w:val="2"/>
          <w:lang w:val="en-GB"/>
        </w:rPr>
        <w:t>Delivered</w:t>
      </w:r>
      <w:r w:rsidR="007A7BBE" w:rsidRPr="00A87D38">
        <w:rPr>
          <w:spacing w:val="14"/>
          <w:kern w:val="2"/>
          <w:lang w:val="en-GB"/>
        </w:rPr>
        <w:t>:</w:t>
      </w:r>
      <w:r>
        <w:rPr>
          <w:spacing w:val="14"/>
          <w:kern w:val="2"/>
          <w:lang w:val="en-GB"/>
        </w:rPr>
        <w:t xml:space="preserve">02 </w:t>
      </w:r>
      <w:r w:rsidR="00F02305">
        <w:rPr>
          <w:spacing w:val="14"/>
          <w:kern w:val="2"/>
          <w:lang w:val="en-GB"/>
        </w:rPr>
        <w:t>November</w:t>
      </w:r>
      <w:r>
        <w:rPr>
          <w:spacing w:val="14"/>
          <w:kern w:val="2"/>
          <w:lang w:val="en-GB"/>
        </w:rPr>
        <w:t xml:space="preserve"> 2022</w:t>
      </w:r>
    </w:p>
    <w:p w14:paraId="398380BF" w14:textId="77777777" w:rsidR="007A7BBE" w:rsidRPr="00044B50" w:rsidRDefault="007A7BBE" w:rsidP="004A5151">
      <w:pPr>
        <w:autoSpaceDE w:val="0"/>
        <w:autoSpaceDN w:val="0"/>
        <w:adjustRightInd w:val="0"/>
        <w:jc w:val="both"/>
        <w:rPr>
          <w:lang w:val="en-GB"/>
        </w:rPr>
      </w:pPr>
    </w:p>
    <w:p w14:paraId="0BAE84DD" w14:textId="77777777" w:rsidR="007C247A" w:rsidRPr="00044B50" w:rsidRDefault="007C247A" w:rsidP="00772E4B">
      <w:pPr>
        <w:jc w:val="both"/>
        <w:rPr>
          <w:lang w:val="en-GB"/>
        </w:rPr>
      </w:pPr>
      <w:r w:rsidRPr="00044B50">
        <w:rPr>
          <w:lang w:val="en-GB"/>
        </w:rPr>
        <w:t>Appearances:</w:t>
      </w:r>
    </w:p>
    <w:p w14:paraId="5B6E46D1" w14:textId="77777777" w:rsidR="0038224B" w:rsidRPr="0038224B" w:rsidRDefault="0038224B" w:rsidP="0038224B">
      <w:pPr>
        <w:jc w:val="both"/>
        <w:rPr>
          <w:lang w:val="en-GB"/>
        </w:rPr>
      </w:pPr>
    </w:p>
    <w:p w14:paraId="309FA23C" w14:textId="276D0A90" w:rsidR="0038224B" w:rsidRPr="0038224B" w:rsidRDefault="0038224B" w:rsidP="0038224B">
      <w:pPr>
        <w:jc w:val="both"/>
        <w:rPr>
          <w:lang w:val="en-GB"/>
        </w:rPr>
      </w:pPr>
      <w:r w:rsidRPr="0038224B">
        <w:rPr>
          <w:lang w:val="en-GB"/>
        </w:rPr>
        <w:t xml:space="preserve">For the </w:t>
      </w:r>
      <w:r>
        <w:rPr>
          <w:lang w:val="en-GB"/>
        </w:rPr>
        <w:t>Appell</w:t>
      </w:r>
      <w:r w:rsidRPr="0038224B">
        <w:rPr>
          <w:lang w:val="en-GB"/>
        </w:rPr>
        <w:t>ant:</w:t>
      </w:r>
      <w:r w:rsidRPr="0038224B">
        <w:rPr>
          <w:lang w:val="en-GB"/>
        </w:rPr>
        <w:tab/>
      </w:r>
      <w:r w:rsidRPr="0038224B">
        <w:rPr>
          <w:lang w:val="en-GB"/>
        </w:rPr>
        <w:tab/>
      </w:r>
      <w:r w:rsidRPr="0038224B">
        <w:rPr>
          <w:lang w:val="en-GB"/>
        </w:rPr>
        <w:tab/>
      </w:r>
      <w:r w:rsidRPr="0038224B">
        <w:rPr>
          <w:lang w:val="en-GB"/>
        </w:rPr>
        <w:tab/>
      </w:r>
      <w:r w:rsidRPr="0038224B">
        <w:rPr>
          <w:lang w:val="en-GB"/>
        </w:rPr>
        <w:tab/>
      </w:r>
      <w:r w:rsidR="00F02305">
        <w:rPr>
          <w:lang w:val="en-GB"/>
        </w:rPr>
        <w:t>Mr AH Giqwa</w:t>
      </w:r>
    </w:p>
    <w:p w14:paraId="771F9742" w14:textId="1A24F35F" w:rsidR="0038224B" w:rsidRDefault="00F02305" w:rsidP="003822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Legal Aid South Africa</w:t>
      </w:r>
    </w:p>
    <w:p w14:paraId="169950FE" w14:textId="15271D45" w:rsidR="00F02305" w:rsidRDefault="00F02305" w:rsidP="003822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sidR="00C72F4A">
        <w:rPr>
          <w:lang w:val="en-GB"/>
        </w:rPr>
        <w:t>King William’s Town</w:t>
      </w:r>
    </w:p>
    <w:p w14:paraId="2EF19BAB" w14:textId="1318ED1D" w:rsidR="0038224B" w:rsidRPr="0038224B" w:rsidRDefault="00C72F4A" w:rsidP="003822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043 604 6600</w:t>
      </w:r>
    </w:p>
    <w:p w14:paraId="05EDBE53" w14:textId="77777777" w:rsidR="0038224B" w:rsidRPr="0038224B" w:rsidRDefault="0038224B" w:rsidP="0038224B">
      <w:pPr>
        <w:jc w:val="both"/>
        <w:rPr>
          <w:lang w:val="en-GB"/>
        </w:rPr>
      </w:pPr>
    </w:p>
    <w:p w14:paraId="0CAB2968" w14:textId="77777777" w:rsidR="0038224B" w:rsidRPr="0038224B" w:rsidRDefault="0038224B" w:rsidP="0038224B">
      <w:pPr>
        <w:jc w:val="both"/>
        <w:rPr>
          <w:lang w:val="en-GB"/>
        </w:rPr>
      </w:pPr>
    </w:p>
    <w:p w14:paraId="63E5523F" w14:textId="77777777" w:rsidR="00C72F4A" w:rsidRDefault="0038224B" w:rsidP="0038224B">
      <w:pPr>
        <w:jc w:val="both"/>
        <w:rPr>
          <w:lang w:val="en-GB"/>
        </w:rPr>
      </w:pPr>
      <w:r w:rsidRPr="0038224B">
        <w:rPr>
          <w:lang w:val="en-GB"/>
        </w:rPr>
        <w:t>For the Respondent:</w:t>
      </w:r>
      <w:r w:rsidRPr="0038224B">
        <w:rPr>
          <w:lang w:val="en-GB"/>
        </w:rPr>
        <w:tab/>
      </w:r>
      <w:r w:rsidRPr="0038224B">
        <w:rPr>
          <w:lang w:val="en-GB"/>
        </w:rPr>
        <w:tab/>
      </w:r>
      <w:r w:rsidRPr="0038224B">
        <w:rPr>
          <w:lang w:val="en-GB"/>
        </w:rPr>
        <w:tab/>
      </w:r>
      <w:r w:rsidRPr="0038224B">
        <w:rPr>
          <w:lang w:val="en-GB"/>
        </w:rPr>
        <w:tab/>
      </w:r>
      <w:r w:rsidR="00C72F4A">
        <w:rPr>
          <w:lang w:val="en-GB"/>
        </w:rPr>
        <w:t>Adv N Ntelwa</w:t>
      </w:r>
    </w:p>
    <w:p w14:paraId="72A33082" w14:textId="77777777" w:rsidR="00C72F4A" w:rsidRDefault="00C72F4A" w:rsidP="003822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National Prosecuting Authority</w:t>
      </w:r>
    </w:p>
    <w:p w14:paraId="10A9D9A1" w14:textId="5AA6AD8B" w:rsidR="00C72F4A" w:rsidRDefault="00C72F4A" w:rsidP="003822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sidR="00FE14DA">
        <w:rPr>
          <w:lang w:val="en-GB"/>
        </w:rPr>
        <w:t>Bisho</w:t>
      </w:r>
    </w:p>
    <w:p w14:paraId="60AD5F2B" w14:textId="14040068" w:rsidR="00FE14DA" w:rsidRPr="00FE14DA" w:rsidRDefault="00AA32DA" w:rsidP="00FE14DA">
      <w:pPr>
        <w:ind w:left="1440" w:firstLine="720"/>
        <w:rPr>
          <w:lang w:val="en-GB"/>
        </w:rPr>
      </w:pPr>
      <w:r w:rsidRPr="00044B50">
        <w:rPr>
          <w:lang w:val="en-GB"/>
        </w:rPr>
        <w:t xml:space="preserve">                       </w:t>
      </w:r>
      <w:r w:rsidR="00FE14DA">
        <w:rPr>
          <w:lang w:val="en-GB"/>
        </w:rPr>
        <w:tab/>
      </w:r>
      <w:r w:rsidR="00FE14DA">
        <w:rPr>
          <w:lang w:val="en-GB"/>
        </w:rPr>
        <w:tab/>
      </w:r>
      <w:r w:rsidR="00FE14DA" w:rsidRPr="00FE14DA">
        <w:rPr>
          <w:lang w:val="en-GB"/>
        </w:rPr>
        <w:t>040 608 6815</w:t>
      </w:r>
    </w:p>
    <w:p w14:paraId="2C48F6E2" w14:textId="7B699322" w:rsidR="00AA32DA" w:rsidRPr="00044B50" w:rsidRDefault="00AA32DA" w:rsidP="00772E4B">
      <w:pPr>
        <w:tabs>
          <w:tab w:val="left" w:pos="3119"/>
          <w:tab w:val="center" w:pos="3989"/>
        </w:tabs>
        <w:rPr>
          <w:lang w:val="en-GB"/>
        </w:rPr>
      </w:pP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B8A7" w14:textId="77777777" w:rsidR="0049184B" w:rsidRDefault="0049184B" w:rsidP="00005691">
      <w:r>
        <w:separator/>
      </w:r>
    </w:p>
  </w:endnote>
  <w:endnote w:type="continuationSeparator" w:id="0">
    <w:p w14:paraId="1D031DA9" w14:textId="77777777" w:rsidR="0049184B" w:rsidRDefault="0049184B"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FDF6" w14:textId="77777777" w:rsidR="0049184B" w:rsidRDefault="0049184B" w:rsidP="00005691">
      <w:r>
        <w:separator/>
      </w:r>
    </w:p>
  </w:footnote>
  <w:footnote w:type="continuationSeparator" w:id="0">
    <w:p w14:paraId="08A6BD84" w14:textId="77777777" w:rsidR="0049184B" w:rsidRDefault="0049184B" w:rsidP="00005691">
      <w:r>
        <w:continuationSeparator/>
      </w:r>
    </w:p>
  </w:footnote>
  <w:footnote w:id="1">
    <w:p w14:paraId="0EBA5280" w14:textId="3E1E2777" w:rsidR="007034FB" w:rsidRPr="007034FB" w:rsidRDefault="007034FB" w:rsidP="002A324C">
      <w:pPr>
        <w:pStyle w:val="FootnoteText"/>
        <w:spacing w:line="240" w:lineRule="auto"/>
        <w:jc w:val="both"/>
        <w:rPr>
          <w:lang w:val="en-US"/>
        </w:rPr>
      </w:pPr>
      <w:r>
        <w:rPr>
          <w:rStyle w:val="FootnoteReference"/>
        </w:rPr>
        <w:footnoteRef/>
      </w:r>
      <w:r>
        <w:t xml:space="preserve"> </w:t>
      </w:r>
      <w:r>
        <w:rPr>
          <w:i/>
          <w:iCs/>
          <w:lang w:val="en-US"/>
        </w:rPr>
        <w:t xml:space="preserve">S v Francis </w:t>
      </w:r>
      <w:r>
        <w:rPr>
          <w:lang w:val="en-US"/>
        </w:rPr>
        <w:t xml:space="preserve">[1991] </w:t>
      </w:r>
      <w:r w:rsidR="000340F6">
        <w:rPr>
          <w:lang w:val="en-US"/>
        </w:rPr>
        <w:t>2 All SA 9 (C); 1991 (1) SACR 198 (A).</w:t>
      </w:r>
    </w:p>
  </w:footnote>
  <w:footnote w:id="2">
    <w:p w14:paraId="2930C7A3" w14:textId="55E25DDD" w:rsidR="00D43AF7" w:rsidRPr="00D43AF7" w:rsidRDefault="00D43AF7" w:rsidP="002A324C">
      <w:pPr>
        <w:pStyle w:val="FootnoteText"/>
        <w:spacing w:line="240" w:lineRule="auto"/>
        <w:jc w:val="both"/>
        <w:rPr>
          <w:lang w:val="en-US"/>
        </w:rPr>
      </w:pPr>
      <w:r>
        <w:rPr>
          <w:rStyle w:val="FootnoteReference"/>
        </w:rPr>
        <w:footnoteRef/>
      </w:r>
      <w:r>
        <w:t xml:space="preserve"> </w:t>
      </w:r>
      <w:r w:rsidR="002C0DBC">
        <w:rPr>
          <w:i/>
          <w:iCs/>
        </w:rPr>
        <w:t xml:space="preserve">Schoonwinkel v Swart’s Trustee </w:t>
      </w:r>
      <w:r>
        <w:rPr>
          <w:lang w:val="en-US"/>
        </w:rPr>
        <w:t>1911 TPD 397 at 401.</w:t>
      </w:r>
    </w:p>
  </w:footnote>
  <w:footnote w:id="3">
    <w:p w14:paraId="202B3DC8" w14:textId="7BD5CC3A" w:rsidR="002C0DBC" w:rsidRPr="002C0DBC" w:rsidRDefault="002C0DBC" w:rsidP="002A324C">
      <w:pPr>
        <w:pStyle w:val="FootnoteText"/>
        <w:spacing w:line="240" w:lineRule="auto"/>
        <w:jc w:val="both"/>
        <w:rPr>
          <w:lang w:val="en-US"/>
        </w:rPr>
      </w:pPr>
      <w:r>
        <w:rPr>
          <w:rStyle w:val="FootnoteReference"/>
        </w:rPr>
        <w:footnoteRef/>
      </w:r>
      <w:r>
        <w:t xml:space="preserve"> </w:t>
      </w:r>
      <w:r>
        <w:rPr>
          <w:i/>
          <w:iCs/>
          <w:lang w:val="en-US"/>
        </w:rPr>
        <w:t>S v Singh</w:t>
      </w:r>
      <w:r>
        <w:rPr>
          <w:lang w:val="en-US"/>
        </w:rPr>
        <w:t xml:space="preserve"> 1975 (1) SA 227 (N) at 228.</w:t>
      </w:r>
    </w:p>
  </w:footnote>
  <w:footnote w:id="4">
    <w:p w14:paraId="2688A88C" w14:textId="77777777" w:rsidR="00747A0D" w:rsidRPr="00C21330" w:rsidRDefault="00747A0D" w:rsidP="002A324C">
      <w:pPr>
        <w:pStyle w:val="FootnoteText"/>
        <w:spacing w:line="240" w:lineRule="auto"/>
        <w:jc w:val="both"/>
        <w:rPr>
          <w:lang w:val="en-US"/>
        </w:rPr>
      </w:pPr>
      <w:r>
        <w:rPr>
          <w:rStyle w:val="FootnoteReference"/>
        </w:rPr>
        <w:footnoteRef/>
      </w:r>
      <w:r>
        <w:t xml:space="preserve"> </w:t>
      </w:r>
      <w:r>
        <w:rPr>
          <w:i/>
          <w:iCs/>
          <w:lang w:val="en-US"/>
        </w:rPr>
        <w:t xml:space="preserve">Kotze v S </w:t>
      </w:r>
      <w:r>
        <w:rPr>
          <w:lang w:val="en-US"/>
        </w:rPr>
        <w:t>[2017] ZASCA 27 para 17.</w:t>
      </w:r>
    </w:p>
  </w:footnote>
  <w:footnote w:id="5">
    <w:p w14:paraId="03B826CF" w14:textId="77777777" w:rsidR="002D5582" w:rsidRPr="007D135F" w:rsidRDefault="002D5582" w:rsidP="002A324C">
      <w:pPr>
        <w:pStyle w:val="FootnoteText"/>
        <w:spacing w:line="240" w:lineRule="auto"/>
        <w:jc w:val="both"/>
        <w:rPr>
          <w:lang w:val="en-US"/>
        </w:rPr>
      </w:pPr>
      <w:r>
        <w:rPr>
          <w:rStyle w:val="FootnoteReference"/>
        </w:rPr>
        <w:footnoteRef/>
      </w:r>
      <w:r>
        <w:t xml:space="preserve"> </w:t>
      </w:r>
      <w:r>
        <w:rPr>
          <w:i/>
          <w:iCs/>
          <w:lang w:val="en-US"/>
        </w:rPr>
        <w:t>S v Pillay</w:t>
      </w:r>
      <w:r>
        <w:rPr>
          <w:lang w:val="en-US"/>
        </w:rPr>
        <w:t xml:space="preserve"> [1977] 4 All SA 713 (A) at 717; 1977 (4) SA 531 (A) at 535F-G.</w:t>
      </w:r>
    </w:p>
  </w:footnote>
  <w:footnote w:id="6">
    <w:p w14:paraId="4AB594C3" w14:textId="77777777" w:rsidR="002D5582" w:rsidRPr="00D11629" w:rsidRDefault="002D5582" w:rsidP="002A324C">
      <w:pPr>
        <w:pStyle w:val="FootnoteText"/>
        <w:spacing w:line="240" w:lineRule="auto"/>
        <w:jc w:val="both"/>
        <w:rPr>
          <w:lang w:val="en-US"/>
        </w:rPr>
      </w:pPr>
      <w:r>
        <w:rPr>
          <w:rStyle w:val="FootnoteReference"/>
        </w:rPr>
        <w:footnoteRef/>
      </w:r>
      <w:r>
        <w:t xml:space="preserve"> </w:t>
      </w:r>
      <w:r>
        <w:rPr>
          <w:i/>
          <w:iCs/>
          <w:lang w:val="en-US"/>
        </w:rPr>
        <w:t>S v Salzwedel</w:t>
      </w:r>
      <w:r>
        <w:rPr>
          <w:lang w:val="en-US"/>
        </w:rPr>
        <w:t xml:space="preserve"> [2000] 1 All SA 229 (A) para 10.</w:t>
      </w:r>
    </w:p>
  </w:footnote>
  <w:footnote w:id="7">
    <w:p w14:paraId="3318D435" w14:textId="77777777" w:rsidR="002D5582" w:rsidRPr="005C1879" w:rsidRDefault="002D5582" w:rsidP="002A324C">
      <w:pPr>
        <w:pStyle w:val="FootnoteText"/>
        <w:spacing w:line="240" w:lineRule="auto"/>
        <w:jc w:val="both"/>
        <w:rPr>
          <w:lang w:val="en-US"/>
        </w:rPr>
      </w:pPr>
      <w:r>
        <w:rPr>
          <w:rStyle w:val="FootnoteReference"/>
        </w:rPr>
        <w:footnoteRef/>
      </w:r>
      <w:r>
        <w:t xml:space="preserve"> </w:t>
      </w:r>
      <w:r>
        <w:rPr>
          <w:i/>
          <w:iCs/>
          <w:lang w:val="en-US"/>
        </w:rPr>
        <w:t>S v Whitehead</w:t>
      </w:r>
      <w:r>
        <w:rPr>
          <w:lang w:val="en-US"/>
        </w:rPr>
        <w:t xml:space="preserve"> [1970] 4 All SA 340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44087ACA"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56D2">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900040">
    <w:abstractNumId w:val="2"/>
  </w:num>
  <w:num w:numId="2" w16cid:durableId="999889199">
    <w:abstractNumId w:val="0"/>
  </w:num>
  <w:num w:numId="3" w16cid:durableId="1847743967">
    <w:abstractNumId w:val="4"/>
  </w:num>
  <w:num w:numId="4" w16cid:durableId="1103963623">
    <w:abstractNumId w:val="3"/>
  </w:num>
  <w:num w:numId="5" w16cid:durableId="119347707">
    <w:abstractNumId w:val="8"/>
  </w:num>
  <w:num w:numId="6" w16cid:durableId="250050374">
    <w:abstractNumId w:val="6"/>
  </w:num>
  <w:num w:numId="7" w16cid:durableId="483858147">
    <w:abstractNumId w:val="10"/>
  </w:num>
  <w:num w:numId="8" w16cid:durableId="1306929205">
    <w:abstractNumId w:val="1"/>
  </w:num>
  <w:num w:numId="9" w16cid:durableId="511185143">
    <w:abstractNumId w:val="5"/>
  </w:num>
  <w:num w:numId="10" w16cid:durableId="1984846847">
    <w:abstractNumId w:val="7"/>
  </w:num>
  <w:num w:numId="11" w16cid:durableId="625626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0A1A"/>
    <w:rsid w:val="000017A4"/>
    <w:rsid w:val="0000217A"/>
    <w:rsid w:val="00004E1E"/>
    <w:rsid w:val="00005172"/>
    <w:rsid w:val="00005691"/>
    <w:rsid w:val="00005ABB"/>
    <w:rsid w:val="00005BC2"/>
    <w:rsid w:val="0000642E"/>
    <w:rsid w:val="00006EF3"/>
    <w:rsid w:val="00007087"/>
    <w:rsid w:val="00007904"/>
    <w:rsid w:val="000109B4"/>
    <w:rsid w:val="00012A2F"/>
    <w:rsid w:val="00014437"/>
    <w:rsid w:val="00014770"/>
    <w:rsid w:val="00016FDA"/>
    <w:rsid w:val="000170AF"/>
    <w:rsid w:val="000220C3"/>
    <w:rsid w:val="00022804"/>
    <w:rsid w:val="00027DA3"/>
    <w:rsid w:val="00030A25"/>
    <w:rsid w:val="000323B0"/>
    <w:rsid w:val="000340F6"/>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6042"/>
    <w:rsid w:val="0005647E"/>
    <w:rsid w:val="00056FBA"/>
    <w:rsid w:val="000574BF"/>
    <w:rsid w:val="00063188"/>
    <w:rsid w:val="00063C6E"/>
    <w:rsid w:val="00063D5A"/>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CBD"/>
    <w:rsid w:val="00091F8C"/>
    <w:rsid w:val="00093B04"/>
    <w:rsid w:val="0009497C"/>
    <w:rsid w:val="00096BC1"/>
    <w:rsid w:val="000976CA"/>
    <w:rsid w:val="000A3377"/>
    <w:rsid w:val="000A59DC"/>
    <w:rsid w:val="000B0946"/>
    <w:rsid w:val="000B0DC8"/>
    <w:rsid w:val="000B26AE"/>
    <w:rsid w:val="000B26CF"/>
    <w:rsid w:val="000B5790"/>
    <w:rsid w:val="000B5B56"/>
    <w:rsid w:val="000B5FBC"/>
    <w:rsid w:val="000B6309"/>
    <w:rsid w:val="000B643B"/>
    <w:rsid w:val="000B78EC"/>
    <w:rsid w:val="000C0D1B"/>
    <w:rsid w:val="000C2D21"/>
    <w:rsid w:val="000C3531"/>
    <w:rsid w:val="000C3620"/>
    <w:rsid w:val="000C39A5"/>
    <w:rsid w:val="000C450C"/>
    <w:rsid w:val="000C6248"/>
    <w:rsid w:val="000C7746"/>
    <w:rsid w:val="000C7A27"/>
    <w:rsid w:val="000D085B"/>
    <w:rsid w:val="000D0D78"/>
    <w:rsid w:val="000D22FB"/>
    <w:rsid w:val="000D2EC3"/>
    <w:rsid w:val="000D487F"/>
    <w:rsid w:val="000D4BFA"/>
    <w:rsid w:val="000D667A"/>
    <w:rsid w:val="000E1C45"/>
    <w:rsid w:val="000E239B"/>
    <w:rsid w:val="000E2444"/>
    <w:rsid w:val="000E3E15"/>
    <w:rsid w:val="000E4F0D"/>
    <w:rsid w:val="000E5100"/>
    <w:rsid w:val="000E7ECD"/>
    <w:rsid w:val="000F05E0"/>
    <w:rsid w:val="000F11B6"/>
    <w:rsid w:val="000F1A95"/>
    <w:rsid w:val="000F6BFE"/>
    <w:rsid w:val="000F7DF4"/>
    <w:rsid w:val="0010068E"/>
    <w:rsid w:val="00100F9A"/>
    <w:rsid w:val="00101C81"/>
    <w:rsid w:val="0010218C"/>
    <w:rsid w:val="00102D5B"/>
    <w:rsid w:val="001044DB"/>
    <w:rsid w:val="001051D7"/>
    <w:rsid w:val="00105EB6"/>
    <w:rsid w:val="0010622C"/>
    <w:rsid w:val="001078B5"/>
    <w:rsid w:val="00107A5F"/>
    <w:rsid w:val="0011026A"/>
    <w:rsid w:val="00110EF0"/>
    <w:rsid w:val="001124A5"/>
    <w:rsid w:val="00115D35"/>
    <w:rsid w:val="00116EB9"/>
    <w:rsid w:val="00120E93"/>
    <w:rsid w:val="001226DE"/>
    <w:rsid w:val="00123296"/>
    <w:rsid w:val="0012621C"/>
    <w:rsid w:val="00130228"/>
    <w:rsid w:val="00131984"/>
    <w:rsid w:val="00131A28"/>
    <w:rsid w:val="001327FC"/>
    <w:rsid w:val="001337CC"/>
    <w:rsid w:val="00134C11"/>
    <w:rsid w:val="00135C81"/>
    <w:rsid w:val="00136D80"/>
    <w:rsid w:val="00137E08"/>
    <w:rsid w:val="00142F79"/>
    <w:rsid w:val="001435EB"/>
    <w:rsid w:val="00144974"/>
    <w:rsid w:val="00146BA3"/>
    <w:rsid w:val="001517E0"/>
    <w:rsid w:val="00155A06"/>
    <w:rsid w:val="00156355"/>
    <w:rsid w:val="00157785"/>
    <w:rsid w:val="00157898"/>
    <w:rsid w:val="00157C19"/>
    <w:rsid w:val="00160EBC"/>
    <w:rsid w:val="00160F58"/>
    <w:rsid w:val="00163A58"/>
    <w:rsid w:val="00164B7B"/>
    <w:rsid w:val="00172A2B"/>
    <w:rsid w:val="00172B5C"/>
    <w:rsid w:val="00173547"/>
    <w:rsid w:val="00174B6D"/>
    <w:rsid w:val="0017614D"/>
    <w:rsid w:val="001768E7"/>
    <w:rsid w:val="00176F7E"/>
    <w:rsid w:val="0018006A"/>
    <w:rsid w:val="0018044A"/>
    <w:rsid w:val="00180F4E"/>
    <w:rsid w:val="00181923"/>
    <w:rsid w:val="00181BF9"/>
    <w:rsid w:val="00181E7E"/>
    <w:rsid w:val="00182175"/>
    <w:rsid w:val="00184625"/>
    <w:rsid w:val="00184995"/>
    <w:rsid w:val="00186769"/>
    <w:rsid w:val="001870AF"/>
    <w:rsid w:val="00191768"/>
    <w:rsid w:val="00192869"/>
    <w:rsid w:val="001943D2"/>
    <w:rsid w:val="001954F0"/>
    <w:rsid w:val="00195571"/>
    <w:rsid w:val="001955AB"/>
    <w:rsid w:val="00196742"/>
    <w:rsid w:val="001A2550"/>
    <w:rsid w:val="001A2630"/>
    <w:rsid w:val="001A4F33"/>
    <w:rsid w:val="001B0D01"/>
    <w:rsid w:val="001B1492"/>
    <w:rsid w:val="001B2578"/>
    <w:rsid w:val="001B2FE4"/>
    <w:rsid w:val="001B505F"/>
    <w:rsid w:val="001B69E3"/>
    <w:rsid w:val="001C04BC"/>
    <w:rsid w:val="001C249E"/>
    <w:rsid w:val="001C2DD7"/>
    <w:rsid w:val="001C48A5"/>
    <w:rsid w:val="001C7061"/>
    <w:rsid w:val="001D0962"/>
    <w:rsid w:val="001D214B"/>
    <w:rsid w:val="001D2CCE"/>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8EC"/>
    <w:rsid w:val="001F59AB"/>
    <w:rsid w:val="00201DC6"/>
    <w:rsid w:val="00201F12"/>
    <w:rsid w:val="00206D6C"/>
    <w:rsid w:val="00207573"/>
    <w:rsid w:val="00207F14"/>
    <w:rsid w:val="002115FE"/>
    <w:rsid w:val="0021430F"/>
    <w:rsid w:val="00215EBC"/>
    <w:rsid w:val="0021730A"/>
    <w:rsid w:val="00217399"/>
    <w:rsid w:val="002203EC"/>
    <w:rsid w:val="00222854"/>
    <w:rsid w:val="00224363"/>
    <w:rsid w:val="0022594E"/>
    <w:rsid w:val="00226444"/>
    <w:rsid w:val="00226ADA"/>
    <w:rsid w:val="00227379"/>
    <w:rsid w:val="00231325"/>
    <w:rsid w:val="002327AF"/>
    <w:rsid w:val="0023410F"/>
    <w:rsid w:val="00234F9D"/>
    <w:rsid w:val="0023677B"/>
    <w:rsid w:val="00236B9D"/>
    <w:rsid w:val="0023768E"/>
    <w:rsid w:val="002402F6"/>
    <w:rsid w:val="00244BE9"/>
    <w:rsid w:val="00245504"/>
    <w:rsid w:val="00245BEB"/>
    <w:rsid w:val="00247551"/>
    <w:rsid w:val="00250530"/>
    <w:rsid w:val="0025056A"/>
    <w:rsid w:val="00252FC1"/>
    <w:rsid w:val="00253273"/>
    <w:rsid w:val="00256044"/>
    <w:rsid w:val="00256208"/>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696F"/>
    <w:rsid w:val="00277EB6"/>
    <w:rsid w:val="00281FE9"/>
    <w:rsid w:val="002852C4"/>
    <w:rsid w:val="00285664"/>
    <w:rsid w:val="00287A18"/>
    <w:rsid w:val="00287A26"/>
    <w:rsid w:val="00290DC6"/>
    <w:rsid w:val="00290E92"/>
    <w:rsid w:val="0029395B"/>
    <w:rsid w:val="00294129"/>
    <w:rsid w:val="00294313"/>
    <w:rsid w:val="002960D0"/>
    <w:rsid w:val="002A01B5"/>
    <w:rsid w:val="002A080F"/>
    <w:rsid w:val="002A0EB5"/>
    <w:rsid w:val="002A14A9"/>
    <w:rsid w:val="002A157A"/>
    <w:rsid w:val="002A1950"/>
    <w:rsid w:val="002A1D97"/>
    <w:rsid w:val="002A1E2F"/>
    <w:rsid w:val="002A21AF"/>
    <w:rsid w:val="002A2AA4"/>
    <w:rsid w:val="002A324C"/>
    <w:rsid w:val="002A3836"/>
    <w:rsid w:val="002A3C5C"/>
    <w:rsid w:val="002A61D9"/>
    <w:rsid w:val="002A6332"/>
    <w:rsid w:val="002A6593"/>
    <w:rsid w:val="002A6B82"/>
    <w:rsid w:val="002A73A7"/>
    <w:rsid w:val="002B2D3F"/>
    <w:rsid w:val="002B31B7"/>
    <w:rsid w:val="002B3FE3"/>
    <w:rsid w:val="002B54B7"/>
    <w:rsid w:val="002B5FBC"/>
    <w:rsid w:val="002B6730"/>
    <w:rsid w:val="002B7874"/>
    <w:rsid w:val="002C0DBC"/>
    <w:rsid w:val="002C1ECF"/>
    <w:rsid w:val="002C1ED3"/>
    <w:rsid w:val="002C2426"/>
    <w:rsid w:val="002C3A0D"/>
    <w:rsid w:val="002C45D8"/>
    <w:rsid w:val="002C7128"/>
    <w:rsid w:val="002C7ED8"/>
    <w:rsid w:val="002D4CBC"/>
    <w:rsid w:val="002D5582"/>
    <w:rsid w:val="002D6D70"/>
    <w:rsid w:val="002E071C"/>
    <w:rsid w:val="002E0CCA"/>
    <w:rsid w:val="002E141A"/>
    <w:rsid w:val="002E1B95"/>
    <w:rsid w:val="002E29F6"/>
    <w:rsid w:val="002E3EC7"/>
    <w:rsid w:val="002E4808"/>
    <w:rsid w:val="002E483E"/>
    <w:rsid w:val="002E7045"/>
    <w:rsid w:val="002E7199"/>
    <w:rsid w:val="002F012F"/>
    <w:rsid w:val="002F0513"/>
    <w:rsid w:val="002F0990"/>
    <w:rsid w:val="002F0C58"/>
    <w:rsid w:val="002F13D1"/>
    <w:rsid w:val="002F234D"/>
    <w:rsid w:val="002F37F8"/>
    <w:rsid w:val="002F4EDB"/>
    <w:rsid w:val="002F60D3"/>
    <w:rsid w:val="002F7574"/>
    <w:rsid w:val="00300A59"/>
    <w:rsid w:val="00300B59"/>
    <w:rsid w:val="0030214A"/>
    <w:rsid w:val="00302E78"/>
    <w:rsid w:val="00306288"/>
    <w:rsid w:val="003105EA"/>
    <w:rsid w:val="00310F13"/>
    <w:rsid w:val="0031106D"/>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827"/>
    <w:rsid w:val="00330E85"/>
    <w:rsid w:val="0033219D"/>
    <w:rsid w:val="00333487"/>
    <w:rsid w:val="00334624"/>
    <w:rsid w:val="00335693"/>
    <w:rsid w:val="00335897"/>
    <w:rsid w:val="0033634C"/>
    <w:rsid w:val="0033669D"/>
    <w:rsid w:val="003367DD"/>
    <w:rsid w:val="00343E5D"/>
    <w:rsid w:val="0034439B"/>
    <w:rsid w:val="003455A7"/>
    <w:rsid w:val="003463FE"/>
    <w:rsid w:val="003469BB"/>
    <w:rsid w:val="00350743"/>
    <w:rsid w:val="00350A47"/>
    <w:rsid w:val="003513CA"/>
    <w:rsid w:val="00351FAC"/>
    <w:rsid w:val="003529AF"/>
    <w:rsid w:val="00353652"/>
    <w:rsid w:val="00355F64"/>
    <w:rsid w:val="003564CA"/>
    <w:rsid w:val="0035756C"/>
    <w:rsid w:val="00357751"/>
    <w:rsid w:val="003601F1"/>
    <w:rsid w:val="00360BFC"/>
    <w:rsid w:val="00362A40"/>
    <w:rsid w:val="00363BF3"/>
    <w:rsid w:val="003649E8"/>
    <w:rsid w:val="003653EB"/>
    <w:rsid w:val="00366631"/>
    <w:rsid w:val="003679D5"/>
    <w:rsid w:val="00367B79"/>
    <w:rsid w:val="003700BB"/>
    <w:rsid w:val="0037015D"/>
    <w:rsid w:val="0037217E"/>
    <w:rsid w:val="00373BB6"/>
    <w:rsid w:val="00374F02"/>
    <w:rsid w:val="00375614"/>
    <w:rsid w:val="00380E60"/>
    <w:rsid w:val="00381483"/>
    <w:rsid w:val="00381C36"/>
    <w:rsid w:val="00381D62"/>
    <w:rsid w:val="0038224B"/>
    <w:rsid w:val="003859F1"/>
    <w:rsid w:val="003869D5"/>
    <w:rsid w:val="003905B9"/>
    <w:rsid w:val="0039206E"/>
    <w:rsid w:val="00392A4B"/>
    <w:rsid w:val="00392AA2"/>
    <w:rsid w:val="00393BA3"/>
    <w:rsid w:val="0039527F"/>
    <w:rsid w:val="00395A71"/>
    <w:rsid w:val="0039682A"/>
    <w:rsid w:val="003A2033"/>
    <w:rsid w:val="003A2F81"/>
    <w:rsid w:val="003A37F4"/>
    <w:rsid w:val="003A4F1D"/>
    <w:rsid w:val="003A4F95"/>
    <w:rsid w:val="003A6F71"/>
    <w:rsid w:val="003A745C"/>
    <w:rsid w:val="003A7AA6"/>
    <w:rsid w:val="003B01D4"/>
    <w:rsid w:val="003B10EC"/>
    <w:rsid w:val="003B1570"/>
    <w:rsid w:val="003B21BF"/>
    <w:rsid w:val="003B3C31"/>
    <w:rsid w:val="003B43B8"/>
    <w:rsid w:val="003B5FEE"/>
    <w:rsid w:val="003B76D9"/>
    <w:rsid w:val="003C0CEB"/>
    <w:rsid w:val="003C351A"/>
    <w:rsid w:val="003C3BC6"/>
    <w:rsid w:val="003C5934"/>
    <w:rsid w:val="003C7080"/>
    <w:rsid w:val="003D11D0"/>
    <w:rsid w:val="003D239A"/>
    <w:rsid w:val="003D2C74"/>
    <w:rsid w:val="003D3ABE"/>
    <w:rsid w:val="003D5245"/>
    <w:rsid w:val="003D5507"/>
    <w:rsid w:val="003D5A10"/>
    <w:rsid w:val="003D5E6D"/>
    <w:rsid w:val="003D6AAA"/>
    <w:rsid w:val="003D7CB9"/>
    <w:rsid w:val="003E0BB1"/>
    <w:rsid w:val="003E0CCC"/>
    <w:rsid w:val="003E0F7C"/>
    <w:rsid w:val="003E2B73"/>
    <w:rsid w:val="003E2F03"/>
    <w:rsid w:val="003E3BBF"/>
    <w:rsid w:val="003E424A"/>
    <w:rsid w:val="003E4DB4"/>
    <w:rsid w:val="003E75F3"/>
    <w:rsid w:val="003F0D9E"/>
    <w:rsid w:val="003F0ED5"/>
    <w:rsid w:val="003F1974"/>
    <w:rsid w:val="003F2109"/>
    <w:rsid w:val="003F50FF"/>
    <w:rsid w:val="003F5900"/>
    <w:rsid w:val="003F6355"/>
    <w:rsid w:val="003F7648"/>
    <w:rsid w:val="00400266"/>
    <w:rsid w:val="00401610"/>
    <w:rsid w:val="00401A9A"/>
    <w:rsid w:val="0040248F"/>
    <w:rsid w:val="00402EEA"/>
    <w:rsid w:val="00403BB3"/>
    <w:rsid w:val="00404201"/>
    <w:rsid w:val="0040488C"/>
    <w:rsid w:val="00405CEF"/>
    <w:rsid w:val="00406337"/>
    <w:rsid w:val="00406A00"/>
    <w:rsid w:val="004074B3"/>
    <w:rsid w:val="004075EA"/>
    <w:rsid w:val="00410C82"/>
    <w:rsid w:val="0041108E"/>
    <w:rsid w:val="00412DF2"/>
    <w:rsid w:val="004138F5"/>
    <w:rsid w:val="00413D22"/>
    <w:rsid w:val="00414A97"/>
    <w:rsid w:val="00414C90"/>
    <w:rsid w:val="00415A58"/>
    <w:rsid w:val="004165B0"/>
    <w:rsid w:val="004165D6"/>
    <w:rsid w:val="0042163E"/>
    <w:rsid w:val="00423163"/>
    <w:rsid w:val="004244A5"/>
    <w:rsid w:val="00426879"/>
    <w:rsid w:val="00427318"/>
    <w:rsid w:val="004276CD"/>
    <w:rsid w:val="0042778E"/>
    <w:rsid w:val="00427843"/>
    <w:rsid w:val="004302B6"/>
    <w:rsid w:val="0043230A"/>
    <w:rsid w:val="004345EE"/>
    <w:rsid w:val="0043511C"/>
    <w:rsid w:val="00435538"/>
    <w:rsid w:val="004378F5"/>
    <w:rsid w:val="00437B2C"/>
    <w:rsid w:val="00437E88"/>
    <w:rsid w:val="00440672"/>
    <w:rsid w:val="00441E70"/>
    <w:rsid w:val="00443779"/>
    <w:rsid w:val="00443CCC"/>
    <w:rsid w:val="004441E4"/>
    <w:rsid w:val="004448E8"/>
    <w:rsid w:val="00444D6D"/>
    <w:rsid w:val="004453C7"/>
    <w:rsid w:val="004474FB"/>
    <w:rsid w:val="004528CC"/>
    <w:rsid w:val="004529C3"/>
    <w:rsid w:val="0045608B"/>
    <w:rsid w:val="00462364"/>
    <w:rsid w:val="004652FD"/>
    <w:rsid w:val="004657F4"/>
    <w:rsid w:val="00466979"/>
    <w:rsid w:val="00466D17"/>
    <w:rsid w:val="00467E20"/>
    <w:rsid w:val="00470FCC"/>
    <w:rsid w:val="00472A4C"/>
    <w:rsid w:val="00472B05"/>
    <w:rsid w:val="00472E85"/>
    <w:rsid w:val="00473068"/>
    <w:rsid w:val="004735D5"/>
    <w:rsid w:val="0047556B"/>
    <w:rsid w:val="00475C2D"/>
    <w:rsid w:val="004765B0"/>
    <w:rsid w:val="00477226"/>
    <w:rsid w:val="004813E8"/>
    <w:rsid w:val="004827F3"/>
    <w:rsid w:val="004829F2"/>
    <w:rsid w:val="00484FE1"/>
    <w:rsid w:val="00486114"/>
    <w:rsid w:val="004863E4"/>
    <w:rsid w:val="00487264"/>
    <w:rsid w:val="00490D2A"/>
    <w:rsid w:val="0049105D"/>
    <w:rsid w:val="0049184B"/>
    <w:rsid w:val="004918C4"/>
    <w:rsid w:val="004932A2"/>
    <w:rsid w:val="00496E8C"/>
    <w:rsid w:val="00496EAA"/>
    <w:rsid w:val="004A00B9"/>
    <w:rsid w:val="004A08D7"/>
    <w:rsid w:val="004A5151"/>
    <w:rsid w:val="004A5DB1"/>
    <w:rsid w:val="004A687F"/>
    <w:rsid w:val="004A7359"/>
    <w:rsid w:val="004B1BF2"/>
    <w:rsid w:val="004B3161"/>
    <w:rsid w:val="004B4FA4"/>
    <w:rsid w:val="004B5BAF"/>
    <w:rsid w:val="004B5CB4"/>
    <w:rsid w:val="004B632A"/>
    <w:rsid w:val="004B6DD9"/>
    <w:rsid w:val="004B6E5C"/>
    <w:rsid w:val="004B7E82"/>
    <w:rsid w:val="004C06AD"/>
    <w:rsid w:val="004C0946"/>
    <w:rsid w:val="004C0C08"/>
    <w:rsid w:val="004C13CF"/>
    <w:rsid w:val="004C4BE0"/>
    <w:rsid w:val="004C672D"/>
    <w:rsid w:val="004C7EB2"/>
    <w:rsid w:val="004D0163"/>
    <w:rsid w:val="004D0AC5"/>
    <w:rsid w:val="004D0EAB"/>
    <w:rsid w:val="004D19EB"/>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0C19"/>
    <w:rsid w:val="00532080"/>
    <w:rsid w:val="00545009"/>
    <w:rsid w:val="00545140"/>
    <w:rsid w:val="00545668"/>
    <w:rsid w:val="00547B9D"/>
    <w:rsid w:val="0055098F"/>
    <w:rsid w:val="005517B9"/>
    <w:rsid w:val="00553E7D"/>
    <w:rsid w:val="005542BD"/>
    <w:rsid w:val="005558C6"/>
    <w:rsid w:val="00556489"/>
    <w:rsid w:val="00556EDA"/>
    <w:rsid w:val="00556FC7"/>
    <w:rsid w:val="005573D6"/>
    <w:rsid w:val="0056029F"/>
    <w:rsid w:val="005640B8"/>
    <w:rsid w:val="0056509F"/>
    <w:rsid w:val="00565326"/>
    <w:rsid w:val="00570A0D"/>
    <w:rsid w:val="0057188A"/>
    <w:rsid w:val="00572DE2"/>
    <w:rsid w:val="00574312"/>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449"/>
    <w:rsid w:val="005A2C73"/>
    <w:rsid w:val="005A2CDB"/>
    <w:rsid w:val="005A3E4D"/>
    <w:rsid w:val="005A4FC0"/>
    <w:rsid w:val="005A5F4F"/>
    <w:rsid w:val="005A71F7"/>
    <w:rsid w:val="005B1333"/>
    <w:rsid w:val="005B1872"/>
    <w:rsid w:val="005B4942"/>
    <w:rsid w:val="005B649F"/>
    <w:rsid w:val="005B7922"/>
    <w:rsid w:val="005B7CEE"/>
    <w:rsid w:val="005C1439"/>
    <w:rsid w:val="005C15DC"/>
    <w:rsid w:val="005C1DEC"/>
    <w:rsid w:val="005C28AE"/>
    <w:rsid w:val="005C36E4"/>
    <w:rsid w:val="005C4FDA"/>
    <w:rsid w:val="005C5C47"/>
    <w:rsid w:val="005C67E5"/>
    <w:rsid w:val="005C6A41"/>
    <w:rsid w:val="005D0320"/>
    <w:rsid w:val="005D0B78"/>
    <w:rsid w:val="005D25D6"/>
    <w:rsid w:val="005D3407"/>
    <w:rsid w:val="005D3941"/>
    <w:rsid w:val="005D411A"/>
    <w:rsid w:val="005D47C3"/>
    <w:rsid w:val="005D5E9D"/>
    <w:rsid w:val="005D6BF3"/>
    <w:rsid w:val="005D6D77"/>
    <w:rsid w:val="005E1150"/>
    <w:rsid w:val="005E2F30"/>
    <w:rsid w:val="005E3541"/>
    <w:rsid w:val="005E560B"/>
    <w:rsid w:val="005E5B89"/>
    <w:rsid w:val="005E601A"/>
    <w:rsid w:val="005F03D5"/>
    <w:rsid w:val="005F04A5"/>
    <w:rsid w:val="005F0BA3"/>
    <w:rsid w:val="005F158C"/>
    <w:rsid w:val="005F236B"/>
    <w:rsid w:val="005F6D85"/>
    <w:rsid w:val="005F6DAB"/>
    <w:rsid w:val="005F77BC"/>
    <w:rsid w:val="00600269"/>
    <w:rsid w:val="0060138F"/>
    <w:rsid w:val="00603281"/>
    <w:rsid w:val="0060391E"/>
    <w:rsid w:val="0060443D"/>
    <w:rsid w:val="00604442"/>
    <w:rsid w:val="0060486E"/>
    <w:rsid w:val="006062FB"/>
    <w:rsid w:val="00606867"/>
    <w:rsid w:val="0060709C"/>
    <w:rsid w:val="00607419"/>
    <w:rsid w:val="006101AF"/>
    <w:rsid w:val="00612393"/>
    <w:rsid w:val="00612ACF"/>
    <w:rsid w:val="006130E9"/>
    <w:rsid w:val="00613E36"/>
    <w:rsid w:val="00614A7A"/>
    <w:rsid w:val="00616795"/>
    <w:rsid w:val="00616B35"/>
    <w:rsid w:val="00617A30"/>
    <w:rsid w:val="00617F99"/>
    <w:rsid w:val="006215E6"/>
    <w:rsid w:val="00621B4B"/>
    <w:rsid w:val="006232F1"/>
    <w:rsid w:val="00623DDE"/>
    <w:rsid w:val="00623E81"/>
    <w:rsid w:val="00624695"/>
    <w:rsid w:val="006249C3"/>
    <w:rsid w:val="00625D2D"/>
    <w:rsid w:val="006271A4"/>
    <w:rsid w:val="00630138"/>
    <w:rsid w:val="006313FC"/>
    <w:rsid w:val="006332F2"/>
    <w:rsid w:val="00634B17"/>
    <w:rsid w:val="006371B2"/>
    <w:rsid w:val="00637A17"/>
    <w:rsid w:val="00640ADA"/>
    <w:rsid w:val="00641035"/>
    <w:rsid w:val="00641661"/>
    <w:rsid w:val="00644FB0"/>
    <w:rsid w:val="00646C51"/>
    <w:rsid w:val="006476E6"/>
    <w:rsid w:val="00650EE2"/>
    <w:rsid w:val="006511A4"/>
    <w:rsid w:val="006513E2"/>
    <w:rsid w:val="00651916"/>
    <w:rsid w:val="00651DE7"/>
    <w:rsid w:val="006531C9"/>
    <w:rsid w:val="006535E1"/>
    <w:rsid w:val="006553C1"/>
    <w:rsid w:val="0066025E"/>
    <w:rsid w:val="00660878"/>
    <w:rsid w:val="00661D64"/>
    <w:rsid w:val="00662682"/>
    <w:rsid w:val="006639A0"/>
    <w:rsid w:val="00663D7F"/>
    <w:rsid w:val="00664CD0"/>
    <w:rsid w:val="00665D94"/>
    <w:rsid w:val="006668FE"/>
    <w:rsid w:val="00667591"/>
    <w:rsid w:val="00667F9F"/>
    <w:rsid w:val="006710E7"/>
    <w:rsid w:val="0067152C"/>
    <w:rsid w:val="00671A0B"/>
    <w:rsid w:val="0067210D"/>
    <w:rsid w:val="00672FD1"/>
    <w:rsid w:val="00675B93"/>
    <w:rsid w:val="00675C81"/>
    <w:rsid w:val="0068034D"/>
    <w:rsid w:val="00681152"/>
    <w:rsid w:val="00681A71"/>
    <w:rsid w:val="00682987"/>
    <w:rsid w:val="00682CE5"/>
    <w:rsid w:val="006841DC"/>
    <w:rsid w:val="0068468E"/>
    <w:rsid w:val="0068524F"/>
    <w:rsid w:val="00685DAD"/>
    <w:rsid w:val="0068615D"/>
    <w:rsid w:val="0068675A"/>
    <w:rsid w:val="0069106B"/>
    <w:rsid w:val="00691AF2"/>
    <w:rsid w:val="00691CB2"/>
    <w:rsid w:val="00692385"/>
    <w:rsid w:val="0069314C"/>
    <w:rsid w:val="00694527"/>
    <w:rsid w:val="0069550C"/>
    <w:rsid w:val="00697465"/>
    <w:rsid w:val="00697EB1"/>
    <w:rsid w:val="006A2310"/>
    <w:rsid w:val="006A2706"/>
    <w:rsid w:val="006A498B"/>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387"/>
    <w:rsid w:val="006E2B6D"/>
    <w:rsid w:val="006E3C88"/>
    <w:rsid w:val="006E4C1C"/>
    <w:rsid w:val="006F09D8"/>
    <w:rsid w:val="006F1624"/>
    <w:rsid w:val="006F28A0"/>
    <w:rsid w:val="006F3052"/>
    <w:rsid w:val="006F31BD"/>
    <w:rsid w:val="006F3259"/>
    <w:rsid w:val="006F3C00"/>
    <w:rsid w:val="006F78DB"/>
    <w:rsid w:val="00702C42"/>
    <w:rsid w:val="007034FB"/>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175"/>
    <w:rsid w:val="00731207"/>
    <w:rsid w:val="00731E6A"/>
    <w:rsid w:val="00732304"/>
    <w:rsid w:val="00734430"/>
    <w:rsid w:val="0074053C"/>
    <w:rsid w:val="00743D4D"/>
    <w:rsid w:val="00743EB1"/>
    <w:rsid w:val="0074420B"/>
    <w:rsid w:val="0074485F"/>
    <w:rsid w:val="00744D06"/>
    <w:rsid w:val="007451A8"/>
    <w:rsid w:val="0074527C"/>
    <w:rsid w:val="00745BF2"/>
    <w:rsid w:val="00745E2B"/>
    <w:rsid w:val="00746757"/>
    <w:rsid w:val="00747A0D"/>
    <w:rsid w:val="007504BC"/>
    <w:rsid w:val="00751ADD"/>
    <w:rsid w:val="007520F6"/>
    <w:rsid w:val="007532C0"/>
    <w:rsid w:val="00756020"/>
    <w:rsid w:val="00756098"/>
    <w:rsid w:val="00757F3C"/>
    <w:rsid w:val="007631E0"/>
    <w:rsid w:val="00763628"/>
    <w:rsid w:val="00763BF3"/>
    <w:rsid w:val="00764F87"/>
    <w:rsid w:val="007652F3"/>
    <w:rsid w:val="00766CF5"/>
    <w:rsid w:val="00767A6B"/>
    <w:rsid w:val="00771094"/>
    <w:rsid w:val="00771421"/>
    <w:rsid w:val="00771CC8"/>
    <w:rsid w:val="00772E4B"/>
    <w:rsid w:val="007744D5"/>
    <w:rsid w:val="0077459E"/>
    <w:rsid w:val="00775448"/>
    <w:rsid w:val="007764F3"/>
    <w:rsid w:val="0077676B"/>
    <w:rsid w:val="00782782"/>
    <w:rsid w:val="007841E0"/>
    <w:rsid w:val="007863FC"/>
    <w:rsid w:val="007866DC"/>
    <w:rsid w:val="00791465"/>
    <w:rsid w:val="0079276A"/>
    <w:rsid w:val="00794AA8"/>
    <w:rsid w:val="00796986"/>
    <w:rsid w:val="00796F39"/>
    <w:rsid w:val="00796F7A"/>
    <w:rsid w:val="00797A49"/>
    <w:rsid w:val="007A0DDB"/>
    <w:rsid w:val="007A1488"/>
    <w:rsid w:val="007A1A81"/>
    <w:rsid w:val="007A2884"/>
    <w:rsid w:val="007A3705"/>
    <w:rsid w:val="007A39B0"/>
    <w:rsid w:val="007A7BBE"/>
    <w:rsid w:val="007B196E"/>
    <w:rsid w:val="007B1F09"/>
    <w:rsid w:val="007B3D8A"/>
    <w:rsid w:val="007B566C"/>
    <w:rsid w:val="007B5C69"/>
    <w:rsid w:val="007B686F"/>
    <w:rsid w:val="007B6CEF"/>
    <w:rsid w:val="007C17AD"/>
    <w:rsid w:val="007C247A"/>
    <w:rsid w:val="007C4731"/>
    <w:rsid w:val="007C546A"/>
    <w:rsid w:val="007D0644"/>
    <w:rsid w:val="007D0A2D"/>
    <w:rsid w:val="007D2D54"/>
    <w:rsid w:val="007D3ACE"/>
    <w:rsid w:val="007D64EC"/>
    <w:rsid w:val="007E05A2"/>
    <w:rsid w:val="007E1089"/>
    <w:rsid w:val="007E1B26"/>
    <w:rsid w:val="007E1F8D"/>
    <w:rsid w:val="007E2628"/>
    <w:rsid w:val="007E5E24"/>
    <w:rsid w:val="007F1E72"/>
    <w:rsid w:val="007F2C37"/>
    <w:rsid w:val="007F4798"/>
    <w:rsid w:val="007F56D2"/>
    <w:rsid w:val="00800438"/>
    <w:rsid w:val="008019A5"/>
    <w:rsid w:val="008020C2"/>
    <w:rsid w:val="008020CD"/>
    <w:rsid w:val="00803543"/>
    <w:rsid w:val="00805663"/>
    <w:rsid w:val="00806AFC"/>
    <w:rsid w:val="00810336"/>
    <w:rsid w:val="0081156D"/>
    <w:rsid w:val="00811B30"/>
    <w:rsid w:val="00812D95"/>
    <w:rsid w:val="00813448"/>
    <w:rsid w:val="00814EDE"/>
    <w:rsid w:val="0081612B"/>
    <w:rsid w:val="00816ED1"/>
    <w:rsid w:val="00821D82"/>
    <w:rsid w:val="008225FA"/>
    <w:rsid w:val="00822D7F"/>
    <w:rsid w:val="008230F2"/>
    <w:rsid w:val="00823442"/>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2147"/>
    <w:rsid w:val="00853290"/>
    <w:rsid w:val="008536CA"/>
    <w:rsid w:val="008547C2"/>
    <w:rsid w:val="00854A89"/>
    <w:rsid w:val="00855355"/>
    <w:rsid w:val="008557C2"/>
    <w:rsid w:val="00855F97"/>
    <w:rsid w:val="00857D47"/>
    <w:rsid w:val="0086080D"/>
    <w:rsid w:val="00861E94"/>
    <w:rsid w:val="008634DE"/>
    <w:rsid w:val="008647BD"/>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072"/>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AC0"/>
    <w:rsid w:val="008A3B56"/>
    <w:rsid w:val="008A4281"/>
    <w:rsid w:val="008A537D"/>
    <w:rsid w:val="008A56B2"/>
    <w:rsid w:val="008A7240"/>
    <w:rsid w:val="008A75F3"/>
    <w:rsid w:val="008A7BFC"/>
    <w:rsid w:val="008A7CF7"/>
    <w:rsid w:val="008A7FAD"/>
    <w:rsid w:val="008B0A01"/>
    <w:rsid w:val="008B0F00"/>
    <w:rsid w:val="008B100F"/>
    <w:rsid w:val="008B1DA6"/>
    <w:rsid w:val="008B3660"/>
    <w:rsid w:val="008B7B4A"/>
    <w:rsid w:val="008C097B"/>
    <w:rsid w:val="008C210D"/>
    <w:rsid w:val="008C25D8"/>
    <w:rsid w:val="008C31F4"/>
    <w:rsid w:val="008C3E59"/>
    <w:rsid w:val="008C480D"/>
    <w:rsid w:val="008C4C45"/>
    <w:rsid w:val="008C651B"/>
    <w:rsid w:val="008C6948"/>
    <w:rsid w:val="008C7138"/>
    <w:rsid w:val="008D2223"/>
    <w:rsid w:val="008D2564"/>
    <w:rsid w:val="008D3C26"/>
    <w:rsid w:val="008E1626"/>
    <w:rsid w:val="008E270C"/>
    <w:rsid w:val="008E51D4"/>
    <w:rsid w:val="008E66F8"/>
    <w:rsid w:val="008E74EF"/>
    <w:rsid w:val="008E7904"/>
    <w:rsid w:val="008E7EFA"/>
    <w:rsid w:val="008F051D"/>
    <w:rsid w:val="008F0FC5"/>
    <w:rsid w:val="008F0FD2"/>
    <w:rsid w:val="008F17A3"/>
    <w:rsid w:val="008F3F33"/>
    <w:rsid w:val="008F4376"/>
    <w:rsid w:val="008F59AF"/>
    <w:rsid w:val="008F5B07"/>
    <w:rsid w:val="008F61FC"/>
    <w:rsid w:val="008F74A5"/>
    <w:rsid w:val="00901474"/>
    <w:rsid w:val="009014FD"/>
    <w:rsid w:val="00902AA7"/>
    <w:rsid w:val="00902C55"/>
    <w:rsid w:val="00903496"/>
    <w:rsid w:val="00903A37"/>
    <w:rsid w:val="009041F8"/>
    <w:rsid w:val="00904D53"/>
    <w:rsid w:val="00905C49"/>
    <w:rsid w:val="00906688"/>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4EE8"/>
    <w:rsid w:val="00937B2D"/>
    <w:rsid w:val="00937F6E"/>
    <w:rsid w:val="00940225"/>
    <w:rsid w:val="009429D4"/>
    <w:rsid w:val="00943D4D"/>
    <w:rsid w:val="00944464"/>
    <w:rsid w:val="009444CA"/>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31C8"/>
    <w:rsid w:val="009737E6"/>
    <w:rsid w:val="0097492C"/>
    <w:rsid w:val="00974E2D"/>
    <w:rsid w:val="00975DB5"/>
    <w:rsid w:val="00976DCD"/>
    <w:rsid w:val="00976F0D"/>
    <w:rsid w:val="0098066C"/>
    <w:rsid w:val="009812F2"/>
    <w:rsid w:val="009814B0"/>
    <w:rsid w:val="00981871"/>
    <w:rsid w:val="00982029"/>
    <w:rsid w:val="00984181"/>
    <w:rsid w:val="0098571F"/>
    <w:rsid w:val="00986113"/>
    <w:rsid w:val="00987780"/>
    <w:rsid w:val="0099005D"/>
    <w:rsid w:val="00992B0D"/>
    <w:rsid w:val="009949C6"/>
    <w:rsid w:val="009969E0"/>
    <w:rsid w:val="00996B5C"/>
    <w:rsid w:val="009972C1"/>
    <w:rsid w:val="009A0545"/>
    <w:rsid w:val="009A0B4E"/>
    <w:rsid w:val="009A189E"/>
    <w:rsid w:val="009A1EC2"/>
    <w:rsid w:val="009A2E23"/>
    <w:rsid w:val="009A36AF"/>
    <w:rsid w:val="009A3E97"/>
    <w:rsid w:val="009A5301"/>
    <w:rsid w:val="009A591E"/>
    <w:rsid w:val="009A77E7"/>
    <w:rsid w:val="009B1B5C"/>
    <w:rsid w:val="009B306D"/>
    <w:rsid w:val="009B4FF9"/>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4AB7"/>
    <w:rsid w:val="009D5302"/>
    <w:rsid w:val="009D62F3"/>
    <w:rsid w:val="009D6F5B"/>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5BDA"/>
    <w:rsid w:val="00A06BF5"/>
    <w:rsid w:val="00A076B8"/>
    <w:rsid w:val="00A07E9C"/>
    <w:rsid w:val="00A11066"/>
    <w:rsid w:val="00A1196D"/>
    <w:rsid w:val="00A11A36"/>
    <w:rsid w:val="00A122F8"/>
    <w:rsid w:val="00A1243E"/>
    <w:rsid w:val="00A12914"/>
    <w:rsid w:val="00A12EEB"/>
    <w:rsid w:val="00A14173"/>
    <w:rsid w:val="00A167B8"/>
    <w:rsid w:val="00A17060"/>
    <w:rsid w:val="00A17ED7"/>
    <w:rsid w:val="00A20492"/>
    <w:rsid w:val="00A2185E"/>
    <w:rsid w:val="00A21919"/>
    <w:rsid w:val="00A21B8A"/>
    <w:rsid w:val="00A26381"/>
    <w:rsid w:val="00A3065E"/>
    <w:rsid w:val="00A31243"/>
    <w:rsid w:val="00A31C08"/>
    <w:rsid w:val="00A32889"/>
    <w:rsid w:val="00A331C2"/>
    <w:rsid w:val="00A36A40"/>
    <w:rsid w:val="00A36C20"/>
    <w:rsid w:val="00A36D42"/>
    <w:rsid w:val="00A4093C"/>
    <w:rsid w:val="00A414A1"/>
    <w:rsid w:val="00A41BC0"/>
    <w:rsid w:val="00A42893"/>
    <w:rsid w:val="00A42906"/>
    <w:rsid w:val="00A43E5D"/>
    <w:rsid w:val="00A4516F"/>
    <w:rsid w:val="00A45490"/>
    <w:rsid w:val="00A4723D"/>
    <w:rsid w:val="00A47250"/>
    <w:rsid w:val="00A5180C"/>
    <w:rsid w:val="00A521EE"/>
    <w:rsid w:val="00A53BCE"/>
    <w:rsid w:val="00A5427C"/>
    <w:rsid w:val="00A603C3"/>
    <w:rsid w:val="00A61267"/>
    <w:rsid w:val="00A63829"/>
    <w:rsid w:val="00A64250"/>
    <w:rsid w:val="00A64FD8"/>
    <w:rsid w:val="00A6550F"/>
    <w:rsid w:val="00A65FEF"/>
    <w:rsid w:val="00A67C97"/>
    <w:rsid w:val="00A701CE"/>
    <w:rsid w:val="00A711F9"/>
    <w:rsid w:val="00A71783"/>
    <w:rsid w:val="00A719FE"/>
    <w:rsid w:val="00A71DA2"/>
    <w:rsid w:val="00A74937"/>
    <w:rsid w:val="00A75B8E"/>
    <w:rsid w:val="00A80111"/>
    <w:rsid w:val="00A81DF8"/>
    <w:rsid w:val="00A82B55"/>
    <w:rsid w:val="00A83F39"/>
    <w:rsid w:val="00A84210"/>
    <w:rsid w:val="00A85465"/>
    <w:rsid w:val="00A85714"/>
    <w:rsid w:val="00A866AE"/>
    <w:rsid w:val="00A878A5"/>
    <w:rsid w:val="00A87D38"/>
    <w:rsid w:val="00A90F24"/>
    <w:rsid w:val="00A92225"/>
    <w:rsid w:val="00A9381F"/>
    <w:rsid w:val="00A958D5"/>
    <w:rsid w:val="00A95B9A"/>
    <w:rsid w:val="00A95CB4"/>
    <w:rsid w:val="00A976E6"/>
    <w:rsid w:val="00AA00D8"/>
    <w:rsid w:val="00AA10D6"/>
    <w:rsid w:val="00AA1268"/>
    <w:rsid w:val="00AA32DA"/>
    <w:rsid w:val="00AA45A4"/>
    <w:rsid w:val="00AA4712"/>
    <w:rsid w:val="00AA4FAB"/>
    <w:rsid w:val="00AA65F4"/>
    <w:rsid w:val="00AA7853"/>
    <w:rsid w:val="00AA7A71"/>
    <w:rsid w:val="00AB01B3"/>
    <w:rsid w:val="00AB03D6"/>
    <w:rsid w:val="00AB1B2B"/>
    <w:rsid w:val="00AB43EE"/>
    <w:rsid w:val="00AB4F07"/>
    <w:rsid w:val="00AB5121"/>
    <w:rsid w:val="00AB51EA"/>
    <w:rsid w:val="00AB6F0C"/>
    <w:rsid w:val="00AC1EC5"/>
    <w:rsid w:val="00AC4AC4"/>
    <w:rsid w:val="00AC7F40"/>
    <w:rsid w:val="00AC7FDF"/>
    <w:rsid w:val="00AD0544"/>
    <w:rsid w:val="00AD061A"/>
    <w:rsid w:val="00AD1C15"/>
    <w:rsid w:val="00AD35F0"/>
    <w:rsid w:val="00AD3655"/>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432"/>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31C"/>
    <w:rsid w:val="00B21512"/>
    <w:rsid w:val="00B21FA2"/>
    <w:rsid w:val="00B235FF"/>
    <w:rsid w:val="00B24486"/>
    <w:rsid w:val="00B24846"/>
    <w:rsid w:val="00B26963"/>
    <w:rsid w:val="00B26AA4"/>
    <w:rsid w:val="00B2720D"/>
    <w:rsid w:val="00B304E5"/>
    <w:rsid w:val="00B30BDA"/>
    <w:rsid w:val="00B30C98"/>
    <w:rsid w:val="00B32AE8"/>
    <w:rsid w:val="00B3323A"/>
    <w:rsid w:val="00B34ECD"/>
    <w:rsid w:val="00B36696"/>
    <w:rsid w:val="00B418D6"/>
    <w:rsid w:val="00B446F9"/>
    <w:rsid w:val="00B44BE0"/>
    <w:rsid w:val="00B50382"/>
    <w:rsid w:val="00B512A3"/>
    <w:rsid w:val="00B51F04"/>
    <w:rsid w:val="00B53331"/>
    <w:rsid w:val="00B559B2"/>
    <w:rsid w:val="00B565D4"/>
    <w:rsid w:val="00B56BAF"/>
    <w:rsid w:val="00B56D2F"/>
    <w:rsid w:val="00B56DA8"/>
    <w:rsid w:val="00B57BF8"/>
    <w:rsid w:val="00B60089"/>
    <w:rsid w:val="00B60E51"/>
    <w:rsid w:val="00B63F7F"/>
    <w:rsid w:val="00B6537F"/>
    <w:rsid w:val="00B65433"/>
    <w:rsid w:val="00B65D0C"/>
    <w:rsid w:val="00B65DEE"/>
    <w:rsid w:val="00B660D5"/>
    <w:rsid w:val="00B66DAD"/>
    <w:rsid w:val="00B673D7"/>
    <w:rsid w:val="00B71571"/>
    <w:rsid w:val="00B715B1"/>
    <w:rsid w:val="00B71CC4"/>
    <w:rsid w:val="00B75850"/>
    <w:rsid w:val="00B7619E"/>
    <w:rsid w:val="00B77677"/>
    <w:rsid w:val="00B77BF3"/>
    <w:rsid w:val="00B83257"/>
    <w:rsid w:val="00B8381D"/>
    <w:rsid w:val="00B84964"/>
    <w:rsid w:val="00B849F3"/>
    <w:rsid w:val="00B85211"/>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2985"/>
    <w:rsid w:val="00BC0A20"/>
    <w:rsid w:val="00BC21A0"/>
    <w:rsid w:val="00BC4010"/>
    <w:rsid w:val="00BC4EF3"/>
    <w:rsid w:val="00BC77C0"/>
    <w:rsid w:val="00BD0B25"/>
    <w:rsid w:val="00BD234D"/>
    <w:rsid w:val="00BD2561"/>
    <w:rsid w:val="00BD5DCD"/>
    <w:rsid w:val="00BD616D"/>
    <w:rsid w:val="00BD6C4D"/>
    <w:rsid w:val="00BE0997"/>
    <w:rsid w:val="00BE1907"/>
    <w:rsid w:val="00BE1A97"/>
    <w:rsid w:val="00BE3AF3"/>
    <w:rsid w:val="00BE4765"/>
    <w:rsid w:val="00BE485B"/>
    <w:rsid w:val="00BE4F3D"/>
    <w:rsid w:val="00BE6A74"/>
    <w:rsid w:val="00BE7D08"/>
    <w:rsid w:val="00BF0837"/>
    <w:rsid w:val="00BF0840"/>
    <w:rsid w:val="00BF0DFF"/>
    <w:rsid w:val="00BF22B8"/>
    <w:rsid w:val="00BF2603"/>
    <w:rsid w:val="00BF51CE"/>
    <w:rsid w:val="00BF6541"/>
    <w:rsid w:val="00C01A0D"/>
    <w:rsid w:val="00C028D9"/>
    <w:rsid w:val="00C036E4"/>
    <w:rsid w:val="00C03809"/>
    <w:rsid w:val="00C038B8"/>
    <w:rsid w:val="00C03B35"/>
    <w:rsid w:val="00C06574"/>
    <w:rsid w:val="00C06F31"/>
    <w:rsid w:val="00C11EE9"/>
    <w:rsid w:val="00C12B8C"/>
    <w:rsid w:val="00C14C55"/>
    <w:rsid w:val="00C155D9"/>
    <w:rsid w:val="00C16CF5"/>
    <w:rsid w:val="00C2211D"/>
    <w:rsid w:val="00C2344F"/>
    <w:rsid w:val="00C24311"/>
    <w:rsid w:val="00C246F2"/>
    <w:rsid w:val="00C25C4C"/>
    <w:rsid w:val="00C26707"/>
    <w:rsid w:val="00C27719"/>
    <w:rsid w:val="00C31BCD"/>
    <w:rsid w:val="00C320EB"/>
    <w:rsid w:val="00C32F7B"/>
    <w:rsid w:val="00C3513F"/>
    <w:rsid w:val="00C355AA"/>
    <w:rsid w:val="00C36223"/>
    <w:rsid w:val="00C40725"/>
    <w:rsid w:val="00C4207E"/>
    <w:rsid w:val="00C451A3"/>
    <w:rsid w:val="00C4577E"/>
    <w:rsid w:val="00C4666C"/>
    <w:rsid w:val="00C50C8F"/>
    <w:rsid w:val="00C51156"/>
    <w:rsid w:val="00C53FD7"/>
    <w:rsid w:val="00C54206"/>
    <w:rsid w:val="00C55C61"/>
    <w:rsid w:val="00C57047"/>
    <w:rsid w:val="00C638DB"/>
    <w:rsid w:val="00C64F44"/>
    <w:rsid w:val="00C650ED"/>
    <w:rsid w:val="00C65132"/>
    <w:rsid w:val="00C65F6A"/>
    <w:rsid w:val="00C67F3E"/>
    <w:rsid w:val="00C70CD5"/>
    <w:rsid w:val="00C7216F"/>
    <w:rsid w:val="00C72F4A"/>
    <w:rsid w:val="00C730E4"/>
    <w:rsid w:val="00C73BB8"/>
    <w:rsid w:val="00C74CC5"/>
    <w:rsid w:val="00C762AA"/>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A181F"/>
    <w:rsid w:val="00CA22C7"/>
    <w:rsid w:val="00CA2A54"/>
    <w:rsid w:val="00CA3219"/>
    <w:rsid w:val="00CA49B7"/>
    <w:rsid w:val="00CB01EB"/>
    <w:rsid w:val="00CB0DFA"/>
    <w:rsid w:val="00CB250C"/>
    <w:rsid w:val="00CB34D5"/>
    <w:rsid w:val="00CB6CB0"/>
    <w:rsid w:val="00CC134C"/>
    <w:rsid w:val="00CC36F9"/>
    <w:rsid w:val="00CC3E8F"/>
    <w:rsid w:val="00CD0BA2"/>
    <w:rsid w:val="00CD18DE"/>
    <w:rsid w:val="00CD643B"/>
    <w:rsid w:val="00CD7B7F"/>
    <w:rsid w:val="00CD7CBE"/>
    <w:rsid w:val="00CE0D42"/>
    <w:rsid w:val="00CE19D1"/>
    <w:rsid w:val="00CE23EF"/>
    <w:rsid w:val="00CE6197"/>
    <w:rsid w:val="00CE6490"/>
    <w:rsid w:val="00CE6BEE"/>
    <w:rsid w:val="00CE702E"/>
    <w:rsid w:val="00CE7723"/>
    <w:rsid w:val="00CF088A"/>
    <w:rsid w:val="00CF1AEC"/>
    <w:rsid w:val="00CF236B"/>
    <w:rsid w:val="00CF38F2"/>
    <w:rsid w:val="00CF5CD7"/>
    <w:rsid w:val="00CF79DF"/>
    <w:rsid w:val="00D00702"/>
    <w:rsid w:val="00D01E61"/>
    <w:rsid w:val="00D02296"/>
    <w:rsid w:val="00D02B99"/>
    <w:rsid w:val="00D0306C"/>
    <w:rsid w:val="00D034FA"/>
    <w:rsid w:val="00D0449C"/>
    <w:rsid w:val="00D04F57"/>
    <w:rsid w:val="00D06027"/>
    <w:rsid w:val="00D06570"/>
    <w:rsid w:val="00D068A9"/>
    <w:rsid w:val="00D0751A"/>
    <w:rsid w:val="00D078F8"/>
    <w:rsid w:val="00D07D25"/>
    <w:rsid w:val="00D110F0"/>
    <w:rsid w:val="00D116BA"/>
    <w:rsid w:val="00D12852"/>
    <w:rsid w:val="00D13010"/>
    <w:rsid w:val="00D133F0"/>
    <w:rsid w:val="00D143ED"/>
    <w:rsid w:val="00D16C5A"/>
    <w:rsid w:val="00D16DAA"/>
    <w:rsid w:val="00D17E12"/>
    <w:rsid w:val="00D21B84"/>
    <w:rsid w:val="00D22983"/>
    <w:rsid w:val="00D24A8E"/>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3AF7"/>
    <w:rsid w:val="00D447D8"/>
    <w:rsid w:val="00D447FF"/>
    <w:rsid w:val="00D450B5"/>
    <w:rsid w:val="00D45623"/>
    <w:rsid w:val="00D45942"/>
    <w:rsid w:val="00D45968"/>
    <w:rsid w:val="00D468AF"/>
    <w:rsid w:val="00D470FA"/>
    <w:rsid w:val="00D47F57"/>
    <w:rsid w:val="00D50983"/>
    <w:rsid w:val="00D526B7"/>
    <w:rsid w:val="00D53B35"/>
    <w:rsid w:val="00D5648F"/>
    <w:rsid w:val="00D56E3B"/>
    <w:rsid w:val="00D57CC2"/>
    <w:rsid w:val="00D6099D"/>
    <w:rsid w:val="00D616EC"/>
    <w:rsid w:val="00D625B8"/>
    <w:rsid w:val="00D648BA"/>
    <w:rsid w:val="00D66709"/>
    <w:rsid w:val="00D66A4D"/>
    <w:rsid w:val="00D724E1"/>
    <w:rsid w:val="00D76A95"/>
    <w:rsid w:val="00D801E1"/>
    <w:rsid w:val="00D808CE"/>
    <w:rsid w:val="00D82515"/>
    <w:rsid w:val="00D82682"/>
    <w:rsid w:val="00D82E21"/>
    <w:rsid w:val="00D840E2"/>
    <w:rsid w:val="00D846FE"/>
    <w:rsid w:val="00D860CB"/>
    <w:rsid w:val="00D87224"/>
    <w:rsid w:val="00D87C68"/>
    <w:rsid w:val="00D92783"/>
    <w:rsid w:val="00D92B70"/>
    <w:rsid w:val="00D92D3B"/>
    <w:rsid w:val="00D942DC"/>
    <w:rsid w:val="00D9456A"/>
    <w:rsid w:val="00D94B4E"/>
    <w:rsid w:val="00D94DBD"/>
    <w:rsid w:val="00DA00BB"/>
    <w:rsid w:val="00DA38F9"/>
    <w:rsid w:val="00DA776D"/>
    <w:rsid w:val="00DA7AAB"/>
    <w:rsid w:val="00DB05AC"/>
    <w:rsid w:val="00DB0815"/>
    <w:rsid w:val="00DB0D61"/>
    <w:rsid w:val="00DB1859"/>
    <w:rsid w:val="00DB41D8"/>
    <w:rsid w:val="00DB6676"/>
    <w:rsid w:val="00DC2ABE"/>
    <w:rsid w:val="00DC59DE"/>
    <w:rsid w:val="00DC7217"/>
    <w:rsid w:val="00DC79BB"/>
    <w:rsid w:val="00DD11EB"/>
    <w:rsid w:val="00DD1B8B"/>
    <w:rsid w:val="00DD1F32"/>
    <w:rsid w:val="00DD23D6"/>
    <w:rsid w:val="00DD4855"/>
    <w:rsid w:val="00DD548F"/>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768"/>
    <w:rsid w:val="00E20D15"/>
    <w:rsid w:val="00E2226E"/>
    <w:rsid w:val="00E25A13"/>
    <w:rsid w:val="00E26F75"/>
    <w:rsid w:val="00E3064C"/>
    <w:rsid w:val="00E33007"/>
    <w:rsid w:val="00E34483"/>
    <w:rsid w:val="00E3456D"/>
    <w:rsid w:val="00E406B2"/>
    <w:rsid w:val="00E4190D"/>
    <w:rsid w:val="00E44987"/>
    <w:rsid w:val="00E44F34"/>
    <w:rsid w:val="00E45859"/>
    <w:rsid w:val="00E47666"/>
    <w:rsid w:val="00E47C2B"/>
    <w:rsid w:val="00E504E9"/>
    <w:rsid w:val="00E507A9"/>
    <w:rsid w:val="00E5253D"/>
    <w:rsid w:val="00E53860"/>
    <w:rsid w:val="00E54456"/>
    <w:rsid w:val="00E554E7"/>
    <w:rsid w:val="00E559F4"/>
    <w:rsid w:val="00E5688C"/>
    <w:rsid w:val="00E57C72"/>
    <w:rsid w:val="00E60008"/>
    <w:rsid w:val="00E60AEE"/>
    <w:rsid w:val="00E619DD"/>
    <w:rsid w:val="00E6547E"/>
    <w:rsid w:val="00E656E7"/>
    <w:rsid w:val="00E65E36"/>
    <w:rsid w:val="00E669A1"/>
    <w:rsid w:val="00E67625"/>
    <w:rsid w:val="00E700D9"/>
    <w:rsid w:val="00E72D95"/>
    <w:rsid w:val="00E75FF6"/>
    <w:rsid w:val="00E77A6F"/>
    <w:rsid w:val="00E8390A"/>
    <w:rsid w:val="00E83A3B"/>
    <w:rsid w:val="00E901D7"/>
    <w:rsid w:val="00E9172D"/>
    <w:rsid w:val="00E91BD8"/>
    <w:rsid w:val="00E922BE"/>
    <w:rsid w:val="00E9258D"/>
    <w:rsid w:val="00E9268E"/>
    <w:rsid w:val="00E92B00"/>
    <w:rsid w:val="00E9368B"/>
    <w:rsid w:val="00E94D9A"/>
    <w:rsid w:val="00E953FA"/>
    <w:rsid w:val="00E97D0F"/>
    <w:rsid w:val="00E97E28"/>
    <w:rsid w:val="00EA1A67"/>
    <w:rsid w:val="00EA484D"/>
    <w:rsid w:val="00EA4897"/>
    <w:rsid w:val="00EA4A96"/>
    <w:rsid w:val="00EB1A14"/>
    <w:rsid w:val="00EB3B0A"/>
    <w:rsid w:val="00EB3DAC"/>
    <w:rsid w:val="00EB4093"/>
    <w:rsid w:val="00EB46F3"/>
    <w:rsid w:val="00EB4958"/>
    <w:rsid w:val="00EC1371"/>
    <w:rsid w:val="00EC2445"/>
    <w:rsid w:val="00EC33B2"/>
    <w:rsid w:val="00EC3595"/>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C1E"/>
    <w:rsid w:val="00EF7DE3"/>
    <w:rsid w:val="00F006C9"/>
    <w:rsid w:val="00F02305"/>
    <w:rsid w:val="00F02F54"/>
    <w:rsid w:val="00F03638"/>
    <w:rsid w:val="00F03697"/>
    <w:rsid w:val="00F039ED"/>
    <w:rsid w:val="00F03F16"/>
    <w:rsid w:val="00F0620D"/>
    <w:rsid w:val="00F07C9C"/>
    <w:rsid w:val="00F07ECC"/>
    <w:rsid w:val="00F10116"/>
    <w:rsid w:val="00F11B23"/>
    <w:rsid w:val="00F1344F"/>
    <w:rsid w:val="00F13850"/>
    <w:rsid w:val="00F13A34"/>
    <w:rsid w:val="00F146CB"/>
    <w:rsid w:val="00F14B1E"/>
    <w:rsid w:val="00F15D92"/>
    <w:rsid w:val="00F220EF"/>
    <w:rsid w:val="00F2298C"/>
    <w:rsid w:val="00F24CE7"/>
    <w:rsid w:val="00F24CF2"/>
    <w:rsid w:val="00F25235"/>
    <w:rsid w:val="00F254F6"/>
    <w:rsid w:val="00F3022D"/>
    <w:rsid w:val="00F30708"/>
    <w:rsid w:val="00F31B3B"/>
    <w:rsid w:val="00F31E35"/>
    <w:rsid w:val="00F3228A"/>
    <w:rsid w:val="00F3395E"/>
    <w:rsid w:val="00F33A72"/>
    <w:rsid w:val="00F3415D"/>
    <w:rsid w:val="00F363F1"/>
    <w:rsid w:val="00F3656B"/>
    <w:rsid w:val="00F37256"/>
    <w:rsid w:val="00F4367C"/>
    <w:rsid w:val="00F43DFC"/>
    <w:rsid w:val="00F44B61"/>
    <w:rsid w:val="00F45E5A"/>
    <w:rsid w:val="00F45E8A"/>
    <w:rsid w:val="00F5474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87C7B"/>
    <w:rsid w:val="00F90290"/>
    <w:rsid w:val="00F915B8"/>
    <w:rsid w:val="00F91B3B"/>
    <w:rsid w:val="00F94EC0"/>
    <w:rsid w:val="00F95E10"/>
    <w:rsid w:val="00F976C6"/>
    <w:rsid w:val="00FA0C52"/>
    <w:rsid w:val="00FA215D"/>
    <w:rsid w:val="00FA2451"/>
    <w:rsid w:val="00FA3FB9"/>
    <w:rsid w:val="00FA457D"/>
    <w:rsid w:val="00FA6E33"/>
    <w:rsid w:val="00FA72B1"/>
    <w:rsid w:val="00FB3D31"/>
    <w:rsid w:val="00FB5E35"/>
    <w:rsid w:val="00FC479C"/>
    <w:rsid w:val="00FC6E57"/>
    <w:rsid w:val="00FC7151"/>
    <w:rsid w:val="00FD0C02"/>
    <w:rsid w:val="00FD160E"/>
    <w:rsid w:val="00FD1FCF"/>
    <w:rsid w:val="00FD25C2"/>
    <w:rsid w:val="00FD282F"/>
    <w:rsid w:val="00FD3CEF"/>
    <w:rsid w:val="00FD489A"/>
    <w:rsid w:val="00FD6EAA"/>
    <w:rsid w:val="00FD7DBE"/>
    <w:rsid w:val="00FE0ABB"/>
    <w:rsid w:val="00FE141F"/>
    <w:rsid w:val="00FE14DA"/>
    <w:rsid w:val="00FE20F0"/>
    <w:rsid w:val="00FE6913"/>
    <w:rsid w:val="00FE7911"/>
    <w:rsid w:val="00FF12F2"/>
    <w:rsid w:val="00FF1735"/>
    <w:rsid w:val="00FF31C9"/>
    <w:rsid w:val="00FF3D51"/>
    <w:rsid w:val="00FF4B03"/>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7204-1679-4D52-84C9-C38BE520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2022-11-10T13:56:00Z</dcterms:created>
  <dcterms:modified xsi:type="dcterms:W3CDTF">2022-11-13T12:02:00Z</dcterms:modified>
</cp:coreProperties>
</file>