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BAD35" w14:textId="77777777" w:rsidR="00F01B40" w:rsidRPr="00F01B40" w:rsidRDefault="00F01B40" w:rsidP="00F01B40">
      <w:pPr>
        <w:spacing w:line="360" w:lineRule="auto"/>
        <w:jc w:val="center"/>
        <w:rPr>
          <w:b/>
          <w:u w:val="none"/>
          <w:lang w:val="en-US"/>
        </w:rPr>
      </w:pPr>
      <w:bookmarkStart w:id="0" w:name="_GoBack"/>
      <w:bookmarkEnd w:id="0"/>
      <w:r w:rsidRPr="00F01B40">
        <w:rPr>
          <w:noProof/>
          <w:u w:val="none"/>
          <w:lang w:eastAsia="en-ZA"/>
        </w:rPr>
        <w:drawing>
          <wp:inline distT="0" distB="0" distL="0" distR="0" wp14:anchorId="2AD37BC7" wp14:editId="0E404B40">
            <wp:extent cx="1395730" cy="1337945"/>
            <wp:effectExtent l="0" t="0" r="0" b="0"/>
            <wp:docPr id="1" name="Picture 1" descr="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5730" cy="1337945"/>
                    </a:xfrm>
                    <a:prstGeom prst="rect">
                      <a:avLst/>
                    </a:prstGeom>
                    <a:noFill/>
                    <a:ln>
                      <a:noFill/>
                    </a:ln>
                  </pic:spPr>
                </pic:pic>
              </a:graphicData>
            </a:graphic>
          </wp:inline>
        </w:drawing>
      </w:r>
    </w:p>
    <w:p w14:paraId="7400BF10" w14:textId="77777777" w:rsidR="00F01B40" w:rsidRPr="00F01B40" w:rsidRDefault="00F01B40" w:rsidP="00F01B40">
      <w:pPr>
        <w:spacing w:line="360" w:lineRule="auto"/>
        <w:jc w:val="center"/>
        <w:rPr>
          <w:b/>
          <w:u w:val="none"/>
          <w:lang w:val="en-US"/>
        </w:rPr>
      </w:pPr>
      <w:r w:rsidRPr="00F01B40">
        <w:rPr>
          <w:b/>
          <w:u w:val="none"/>
          <w:lang w:val="en-US"/>
        </w:rPr>
        <w:t>IN THE HIGH COURT OF SOUTH AFRICA</w:t>
      </w:r>
    </w:p>
    <w:p w14:paraId="5BAECFE8" w14:textId="534404C8" w:rsidR="00F01B40" w:rsidRPr="00F01B40" w:rsidRDefault="00F01B40" w:rsidP="00F01B40">
      <w:pPr>
        <w:spacing w:line="360" w:lineRule="auto"/>
        <w:jc w:val="center"/>
        <w:rPr>
          <w:b/>
          <w:u w:val="none"/>
          <w:lang w:val="en-US"/>
        </w:rPr>
      </w:pPr>
      <w:r w:rsidRPr="00F01B40">
        <w:rPr>
          <w:b/>
          <w:u w:val="none"/>
          <w:lang w:val="en-US"/>
        </w:rPr>
        <w:t xml:space="preserve">(EASTERN CAPE DIVISION – </w:t>
      </w:r>
      <w:r>
        <w:rPr>
          <w:b/>
          <w:u w:val="none"/>
          <w:lang w:val="en-US"/>
        </w:rPr>
        <w:t>BHISHO</w:t>
      </w:r>
      <w:r w:rsidRPr="00F01B40">
        <w:rPr>
          <w:b/>
          <w:u w:val="none"/>
          <w:lang w:val="en-US"/>
        </w:rPr>
        <w:t>)</w:t>
      </w:r>
    </w:p>
    <w:p w14:paraId="5C6AE44D" w14:textId="77777777" w:rsidR="00F01B40" w:rsidRPr="00F01B40" w:rsidRDefault="00F01B40" w:rsidP="00F01B40">
      <w:pPr>
        <w:spacing w:line="360" w:lineRule="auto"/>
        <w:jc w:val="center"/>
        <w:rPr>
          <w:b/>
          <w:u w:val="none"/>
          <w:lang w:val="en-US"/>
        </w:rPr>
      </w:pPr>
    </w:p>
    <w:p w14:paraId="0BC542D4" w14:textId="54946D36" w:rsidR="00F01B40" w:rsidRPr="00F01B40" w:rsidRDefault="00F01B40" w:rsidP="00F01B40">
      <w:pPr>
        <w:spacing w:line="360" w:lineRule="auto"/>
        <w:jc w:val="right"/>
        <w:rPr>
          <w:b/>
          <w:u w:val="none"/>
          <w:lang w:val="en-US"/>
        </w:rPr>
      </w:pPr>
      <w:r w:rsidRPr="00F01B40">
        <w:rPr>
          <w:b/>
          <w:u w:val="none"/>
          <w:lang w:val="en-US"/>
        </w:rPr>
        <w:tab/>
      </w:r>
      <w:r w:rsidRPr="00F01B40">
        <w:rPr>
          <w:b/>
          <w:u w:val="none"/>
          <w:lang w:val="en-US"/>
        </w:rPr>
        <w:tab/>
      </w:r>
      <w:r w:rsidRPr="00F01B40">
        <w:rPr>
          <w:b/>
          <w:u w:val="none"/>
          <w:lang w:val="en-US"/>
        </w:rPr>
        <w:tab/>
      </w:r>
      <w:r w:rsidRPr="00F01B40">
        <w:rPr>
          <w:b/>
          <w:u w:val="none"/>
          <w:lang w:val="en-US"/>
        </w:rPr>
        <w:tab/>
      </w:r>
      <w:r w:rsidRPr="00F01B40">
        <w:rPr>
          <w:b/>
          <w:u w:val="none"/>
          <w:lang w:val="en-US"/>
        </w:rPr>
        <w:tab/>
      </w:r>
      <w:r w:rsidRPr="00F01B40">
        <w:rPr>
          <w:b/>
          <w:u w:val="none"/>
          <w:lang w:val="en-US"/>
        </w:rPr>
        <w:tab/>
      </w:r>
      <w:r w:rsidRPr="00F01B40">
        <w:rPr>
          <w:b/>
          <w:u w:val="none"/>
          <w:lang w:val="en-US"/>
        </w:rPr>
        <w:tab/>
        <w:t xml:space="preserve">          CASE NO.: </w:t>
      </w:r>
      <w:r>
        <w:rPr>
          <w:b/>
          <w:u w:val="none"/>
          <w:lang w:val="en-US"/>
        </w:rPr>
        <w:t>420</w:t>
      </w:r>
      <w:r w:rsidRPr="00F01B40">
        <w:rPr>
          <w:b/>
          <w:u w:val="none"/>
          <w:lang w:val="en-US"/>
        </w:rPr>
        <w:t>/20</w:t>
      </w:r>
      <w:r>
        <w:rPr>
          <w:b/>
          <w:u w:val="none"/>
          <w:lang w:val="en-US"/>
        </w:rPr>
        <w:t>19</w:t>
      </w:r>
    </w:p>
    <w:p w14:paraId="29A1853A" w14:textId="1F48B3C7" w:rsidR="00F01B40" w:rsidRPr="00F01B40" w:rsidRDefault="00F01B40" w:rsidP="00F01B40">
      <w:pPr>
        <w:spacing w:line="360" w:lineRule="auto"/>
        <w:jc w:val="right"/>
        <w:rPr>
          <w:b/>
          <w:u w:val="none"/>
          <w:lang w:val="en-US"/>
        </w:rPr>
      </w:pPr>
      <w:r w:rsidRPr="00F01B40">
        <w:rPr>
          <w:b/>
          <w:u w:val="none"/>
          <w:lang w:val="en-US"/>
        </w:rPr>
        <w:t xml:space="preserve">                                                                   Matter heard on: 2</w:t>
      </w:r>
      <w:r>
        <w:rPr>
          <w:b/>
          <w:u w:val="none"/>
          <w:lang w:val="en-US"/>
        </w:rPr>
        <w:t>6</w:t>
      </w:r>
      <w:r w:rsidRPr="00F01B40">
        <w:rPr>
          <w:b/>
          <w:u w:val="none"/>
          <w:vertAlign w:val="superscript"/>
          <w:lang w:val="en-US"/>
        </w:rPr>
        <w:t>th</w:t>
      </w:r>
      <w:r>
        <w:rPr>
          <w:b/>
          <w:u w:val="none"/>
          <w:lang w:val="en-US"/>
        </w:rPr>
        <w:t>, 27</w:t>
      </w:r>
      <w:r w:rsidRPr="00F01B40">
        <w:rPr>
          <w:b/>
          <w:u w:val="none"/>
          <w:vertAlign w:val="superscript"/>
          <w:lang w:val="en-US"/>
        </w:rPr>
        <w:t>th</w:t>
      </w:r>
      <w:r>
        <w:rPr>
          <w:b/>
          <w:u w:val="none"/>
          <w:lang w:val="en-US"/>
        </w:rPr>
        <w:t xml:space="preserve"> </w:t>
      </w:r>
      <w:r w:rsidRPr="00F01B40">
        <w:rPr>
          <w:b/>
          <w:u w:val="none"/>
          <w:lang w:val="en-US"/>
        </w:rPr>
        <w:t>October 2022</w:t>
      </w:r>
    </w:p>
    <w:p w14:paraId="3480BD1D" w14:textId="0511A172" w:rsidR="00F01B40" w:rsidRPr="00F01B40" w:rsidRDefault="00F01B40" w:rsidP="00F01B40">
      <w:pPr>
        <w:spacing w:line="360" w:lineRule="auto"/>
        <w:jc w:val="right"/>
        <w:rPr>
          <w:b/>
          <w:u w:val="none"/>
          <w:lang w:val="en-US"/>
        </w:rPr>
      </w:pPr>
      <w:r w:rsidRPr="00F01B40">
        <w:rPr>
          <w:b/>
          <w:u w:val="none"/>
          <w:lang w:val="en-US"/>
        </w:rPr>
        <w:t xml:space="preserve">                                                         Judgement delivered on: </w:t>
      </w:r>
      <w:r w:rsidR="00016871">
        <w:rPr>
          <w:b/>
          <w:u w:val="none"/>
          <w:lang w:val="en-US"/>
        </w:rPr>
        <w:t>8</w:t>
      </w:r>
      <w:r w:rsidR="00016871" w:rsidRPr="00016871">
        <w:rPr>
          <w:b/>
          <w:u w:val="none"/>
          <w:vertAlign w:val="superscript"/>
          <w:lang w:val="en-US"/>
        </w:rPr>
        <w:t>th</w:t>
      </w:r>
      <w:r w:rsidR="00016871">
        <w:rPr>
          <w:b/>
          <w:u w:val="none"/>
          <w:lang w:val="en-US"/>
        </w:rPr>
        <w:t xml:space="preserve"> </w:t>
      </w:r>
      <w:r w:rsidRPr="00F01B40">
        <w:rPr>
          <w:b/>
          <w:u w:val="none"/>
          <w:lang w:val="en-US"/>
        </w:rPr>
        <w:t>November 2022</w:t>
      </w:r>
    </w:p>
    <w:p w14:paraId="49E3E078" w14:textId="77777777" w:rsidR="00F01B40" w:rsidRPr="00F01B40" w:rsidRDefault="00F01B40" w:rsidP="00F01B40">
      <w:pPr>
        <w:spacing w:line="360" w:lineRule="auto"/>
        <w:jc w:val="both"/>
        <w:rPr>
          <w:bCs/>
          <w:u w:val="none"/>
          <w:lang w:val="en-US"/>
        </w:rPr>
      </w:pPr>
    </w:p>
    <w:p w14:paraId="46273AC1" w14:textId="77777777" w:rsidR="00F01B40" w:rsidRPr="00F01B40" w:rsidRDefault="00F01B40" w:rsidP="00F01B40">
      <w:pPr>
        <w:spacing w:line="480" w:lineRule="auto"/>
        <w:jc w:val="both"/>
        <w:rPr>
          <w:bCs/>
          <w:u w:val="none"/>
          <w:lang w:val="en-US"/>
        </w:rPr>
      </w:pPr>
      <w:r w:rsidRPr="00F01B40">
        <w:rPr>
          <w:bCs/>
          <w:u w:val="none"/>
          <w:lang w:val="en-US"/>
        </w:rPr>
        <w:t>In the matter between: -</w:t>
      </w:r>
    </w:p>
    <w:p w14:paraId="50D25298" w14:textId="7B21F7A5" w:rsidR="00F01B40" w:rsidRDefault="00F01B40" w:rsidP="00F01B40">
      <w:pPr>
        <w:spacing w:line="480" w:lineRule="auto"/>
        <w:jc w:val="both"/>
        <w:rPr>
          <w:b/>
          <w:u w:val="none"/>
          <w:lang w:val="en-US"/>
        </w:rPr>
      </w:pPr>
      <w:r>
        <w:rPr>
          <w:b/>
          <w:u w:val="none"/>
          <w:lang w:val="en-US"/>
        </w:rPr>
        <w:t>NKEMELENG GLADYS MBAKU</w:t>
      </w:r>
      <w:r>
        <w:rPr>
          <w:b/>
          <w:u w:val="none"/>
          <w:lang w:val="en-US"/>
        </w:rPr>
        <w:tab/>
      </w:r>
      <w:r>
        <w:rPr>
          <w:b/>
          <w:u w:val="none"/>
          <w:lang w:val="en-US"/>
        </w:rPr>
        <w:tab/>
      </w:r>
      <w:r>
        <w:rPr>
          <w:b/>
          <w:u w:val="none"/>
          <w:lang w:val="en-US"/>
        </w:rPr>
        <w:tab/>
      </w:r>
      <w:r>
        <w:rPr>
          <w:b/>
          <w:u w:val="none"/>
          <w:lang w:val="en-US"/>
        </w:rPr>
        <w:tab/>
      </w:r>
      <w:r>
        <w:rPr>
          <w:b/>
          <w:u w:val="none"/>
          <w:lang w:val="en-US"/>
        </w:rPr>
        <w:tab/>
      </w:r>
      <w:r>
        <w:rPr>
          <w:b/>
          <w:u w:val="none"/>
          <w:lang w:val="en-US"/>
        </w:rPr>
        <w:tab/>
        <w:t>Plaintiff</w:t>
      </w:r>
    </w:p>
    <w:p w14:paraId="61267824" w14:textId="6856D477" w:rsidR="00F01B40" w:rsidRPr="00F01B40" w:rsidRDefault="00F01B40" w:rsidP="00F01B40">
      <w:pPr>
        <w:spacing w:line="480" w:lineRule="auto"/>
        <w:jc w:val="both"/>
        <w:rPr>
          <w:b/>
          <w:u w:val="none"/>
          <w:lang w:val="en-US"/>
        </w:rPr>
      </w:pPr>
      <w:r>
        <w:rPr>
          <w:b/>
          <w:u w:val="none"/>
          <w:lang w:val="en-US"/>
        </w:rPr>
        <w:t>(Born MAKAMOLE)</w:t>
      </w:r>
    </w:p>
    <w:p w14:paraId="2FB75F12" w14:textId="77777777" w:rsidR="00F01B40" w:rsidRPr="00F01B40" w:rsidRDefault="00F01B40" w:rsidP="00F01B40">
      <w:pPr>
        <w:spacing w:line="480" w:lineRule="auto"/>
        <w:jc w:val="both"/>
        <w:rPr>
          <w:bCs/>
          <w:u w:val="none"/>
          <w:lang w:val="en-US"/>
        </w:rPr>
      </w:pPr>
      <w:r w:rsidRPr="00F01B40">
        <w:rPr>
          <w:bCs/>
          <w:u w:val="none"/>
          <w:lang w:val="en-US"/>
        </w:rPr>
        <w:t>and</w:t>
      </w:r>
    </w:p>
    <w:p w14:paraId="28C704D1" w14:textId="3C933B92" w:rsidR="00F01B40" w:rsidRDefault="00F01B40" w:rsidP="00F01B40">
      <w:pPr>
        <w:spacing w:line="480" w:lineRule="auto"/>
        <w:jc w:val="both"/>
        <w:rPr>
          <w:b/>
          <w:u w:val="none"/>
          <w:lang w:val="en-US"/>
        </w:rPr>
      </w:pPr>
      <w:r>
        <w:rPr>
          <w:b/>
          <w:u w:val="none"/>
          <w:lang w:val="en-US"/>
        </w:rPr>
        <w:t>THE MEMBER OF THE EXECUTIVE COUNCIL,</w:t>
      </w:r>
      <w:r w:rsidRPr="00F01B40">
        <w:rPr>
          <w:b/>
          <w:u w:val="none"/>
          <w:lang w:val="en-US"/>
        </w:rPr>
        <w:tab/>
      </w:r>
      <w:r w:rsidRPr="00F01B40">
        <w:rPr>
          <w:b/>
          <w:u w:val="none"/>
          <w:lang w:val="en-US"/>
        </w:rPr>
        <w:tab/>
      </w:r>
      <w:r>
        <w:rPr>
          <w:b/>
          <w:u w:val="none"/>
          <w:lang w:val="en-US"/>
        </w:rPr>
        <w:tab/>
        <w:t>Defendant</w:t>
      </w:r>
    </w:p>
    <w:p w14:paraId="77611BB7" w14:textId="1C1236E8" w:rsidR="00F01B40" w:rsidRPr="00F01B40" w:rsidRDefault="00F01B40" w:rsidP="00F01B40">
      <w:pPr>
        <w:spacing w:line="480" w:lineRule="auto"/>
        <w:jc w:val="both"/>
        <w:rPr>
          <w:b/>
          <w:u w:val="none"/>
          <w:lang w:val="en-US"/>
        </w:rPr>
      </w:pPr>
      <w:r>
        <w:rPr>
          <w:b/>
          <w:u w:val="none"/>
          <w:lang w:val="en-US"/>
        </w:rPr>
        <w:t>DEPARTMENT OF HEALTH, EASTERN CAPE</w:t>
      </w:r>
    </w:p>
    <w:tbl>
      <w:tblPr>
        <w:tblpPr w:leftFromText="180" w:rightFromText="180" w:vertAnchor="text" w:horzAnchor="margin" w:tblpXSpec="righ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8"/>
      </w:tblGrid>
      <w:tr w:rsidR="00F01B40" w:rsidRPr="00F01B40" w14:paraId="052D716A" w14:textId="77777777" w:rsidTr="004E0902">
        <w:trPr>
          <w:trHeight w:val="2117"/>
        </w:trPr>
        <w:tc>
          <w:tcPr>
            <w:tcW w:w="4948" w:type="dxa"/>
          </w:tcPr>
          <w:p w14:paraId="76108024" w14:textId="77777777" w:rsidR="00F01B40" w:rsidRPr="00F01B40" w:rsidRDefault="00F01B40" w:rsidP="00F01B40">
            <w:pPr>
              <w:numPr>
                <w:ilvl w:val="0"/>
                <w:numId w:val="7"/>
              </w:numPr>
              <w:spacing w:after="160" w:line="360" w:lineRule="auto"/>
              <w:ind w:left="447" w:hanging="425"/>
              <w:contextualSpacing/>
              <w:jc w:val="both"/>
              <w:rPr>
                <w:b/>
                <w:sz w:val="18"/>
                <w:szCs w:val="18"/>
                <w:u w:val="none"/>
                <w:lang w:val="en-US"/>
              </w:rPr>
            </w:pPr>
            <w:r w:rsidRPr="00F01B40">
              <w:rPr>
                <w:b/>
                <w:sz w:val="18"/>
                <w:szCs w:val="18"/>
                <w:u w:val="none"/>
                <w:lang w:val="en-US"/>
              </w:rPr>
              <w:t>REPORTABLE: NO</w:t>
            </w:r>
          </w:p>
          <w:p w14:paraId="7210EA73" w14:textId="087686F6" w:rsidR="00F01B40" w:rsidRPr="00F01B40" w:rsidRDefault="009A6D4D" w:rsidP="00F01B40">
            <w:pPr>
              <w:numPr>
                <w:ilvl w:val="0"/>
                <w:numId w:val="7"/>
              </w:numPr>
              <w:spacing w:after="160" w:line="360" w:lineRule="auto"/>
              <w:ind w:left="447" w:hanging="425"/>
              <w:contextualSpacing/>
              <w:jc w:val="both"/>
              <w:rPr>
                <w:b/>
                <w:sz w:val="18"/>
                <w:szCs w:val="18"/>
                <w:u w:val="none"/>
                <w:lang w:val="en-US"/>
              </w:rPr>
            </w:pPr>
            <w:r>
              <w:rPr>
                <w:b/>
                <w:sz w:val="18"/>
                <w:szCs w:val="18"/>
                <w:u w:val="none"/>
                <w:lang w:val="en-US"/>
              </w:rPr>
              <w:t>OF INTEREST TO OTHER JUDGES: NO</w:t>
            </w:r>
          </w:p>
          <w:p w14:paraId="0DFF23E8" w14:textId="77777777" w:rsidR="00F01B40" w:rsidRPr="00F01B40" w:rsidRDefault="00F01B40" w:rsidP="00F01B40">
            <w:pPr>
              <w:numPr>
                <w:ilvl w:val="0"/>
                <w:numId w:val="7"/>
              </w:numPr>
              <w:spacing w:after="160" w:line="360" w:lineRule="auto"/>
              <w:ind w:left="447" w:hanging="425"/>
              <w:contextualSpacing/>
              <w:jc w:val="both"/>
              <w:rPr>
                <w:b/>
                <w:sz w:val="18"/>
                <w:szCs w:val="18"/>
                <w:u w:val="none"/>
                <w:lang w:val="en-US"/>
              </w:rPr>
            </w:pPr>
            <w:r w:rsidRPr="00F01B40">
              <w:rPr>
                <w:b/>
                <w:sz w:val="18"/>
                <w:szCs w:val="18"/>
                <w:u w:val="none"/>
                <w:lang w:val="en-US"/>
              </w:rPr>
              <w:t>REVISED.</w:t>
            </w:r>
          </w:p>
          <w:p w14:paraId="101144F0" w14:textId="77777777" w:rsidR="00F01B40" w:rsidRPr="00F01B40" w:rsidRDefault="00F01B40" w:rsidP="004E0902">
            <w:pPr>
              <w:spacing w:line="360" w:lineRule="auto"/>
              <w:ind w:left="447"/>
              <w:contextualSpacing/>
              <w:jc w:val="both"/>
              <w:rPr>
                <w:b/>
                <w:sz w:val="18"/>
                <w:szCs w:val="18"/>
                <w:u w:val="none"/>
                <w:lang w:val="en-US"/>
              </w:rPr>
            </w:pPr>
          </w:p>
          <w:p w14:paraId="018E73DF" w14:textId="77777777" w:rsidR="00F01B40" w:rsidRPr="00F01B40" w:rsidRDefault="00F01B40" w:rsidP="004E0902">
            <w:pPr>
              <w:spacing w:line="360" w:lineRule="auto"/>
              <w:jc w:val="both"/>
              <w:rPr>
                <w:b/>
                <w:sz w:val="18"/>
                <w:szCs w:val="18"/>
                <w:u w:val="none"/>
                <w:lang w:val="en-US"/>
              </w:rPr>
            </w:pPr>
            <w:r w:rsidRPr="00F01B40">
              <w:rPr>
                <w:b/>
                <w:sz w:val="18"/>
                <w:szCs w:val="18"/>
                <w:u w:val="none"/>
                <w:lang w:val="en-US"/>
              </w:rPr>
              <w:t>…………………………               ………………………..</w:t>
            </w:r>
          </w:p>
          <w:p w14:paraId="50FFECD4" w14:textId="77777777" w:rsidR="00F01B40" w:rsidRPr="00F01B40" w:rsidRDefault="00F01B40" w:rsidP="004E0902">
            <w:pPr>
              <w:spacing w:line="360" w:lineRule="auto"/>
              <w:jc w:val="both"/>
              <w:rPr>
                <w:b/>
                <w:sz w:val="18"/>
                <w:szCs w:val="18"/>
                <w:u w:val="none"/>
                <w:lang w:val="en-US"/>
              </w:rPr>
            </w:pPr>
            <w:r w:rsidRPr="00F01B40">
              <w:rPr>
                <w:b/>
                <w:sz w:val="18"/>
                <w:szCs w:val="18"/>
                <w:u w:val="none"/>
                <w:lang w:val="en-US"/>
              </w:rPr>
              <w:t>Signature                                       Date</w:t>
            </w:r>
          </w:p>
        </w:tc>
      </w:tr>
    </w:tbl>
    <w:p w14:paraId="3B6499C5" w14:textId="77777777" w:rsidR="00F01B40" w:rsidRPr="00F01B40" w:rsidRDefault="00F01B40" w:rsidP="00F01B40">
      <w:pPr>
        <w:spacing w:line="360" w:lineRule="auto"/>
        <w:jc w:val="both"/>
        <w:rPr>
          <w:b/>
          <w:u w:val="none"/>
          <w:lang w:val="en-US"/>
        </w:rPr>
      </w:pPr>
    </w:p>
    <w:p w14:paraId="1D6BDF21" w14:textId="77777777" w:rsidR="00F01B40" w:rsidRPr="00F01B40" w:rsidRDefault="00F01B40" w:rsidP="00F01B40">
      <w:pPr>
        <w:pBdr>
          <w:bottom w:val="single" w:sz="12" w:space="1" w:color="auto"/>
        </w:pBdr>
        <w:spacing w:line="360" w:lineRule="auto"/>
        <w:jc w:val="both"/>
        <w:rPr>
          <w:b/>
          <w:u w:val="none"/>
          <w:lang w:val="en-US"/>
        </w:rPr>
      </w:pPr>
    </w:p>
    <w:p w14:paraId="4E5BB02E" w14:textId="77777777" w:rsidR="00F01B40" w:rsidRPr="00F01B40" w:rsidRDefault="00F01B40" w:rsidP="00F01B40">
      <w:pPr>
        <w:pBdr>
          <w:bottom w:val="single" w:sz="12" w:space="1" w:color="auto"/>
        </w:pBdr>
        <w:spacing w:line="360" w:lineRule="auto"/>
        <w:jc w:val="both"/>
        <w:rPr>
          <w:b/>
          <w:u w:val="none"/>
          <w:lang w:val="en-US"/>
        </w:rPr>
      </w:pPr>
    </w:p>
    <w:p w14:paraId="2E82C195" w14:textId="77777777" w:rsidR="00F01B40" w:rsidRPr="00F01B40" w:rsidRDefault="00F01B40" w:rsidP="00F01B40">
      <w:pPr>
        <w:pBdr>
          <w:bottom w:val="single" w:sz="12" w:space="1" w:color="auto"/>
        </w:pBdr>
        <w:spacing w:line="360" w:lineRule="auto"/>
        <w:jc w:val="both"/>
        <w:rPr>
          <w:b/>
          <w:u w:val="none"/>
          <w:lang w:val="en-US"/>
        </w:rPr>
      </w:pPr>
    </w:p>
    <w:p w14:paraId="6949480B" w14:textId="0EA1559D" w:rsidR="00F01B40" w:rsidRPr="00F01B40" w:rsidRDefault="00F01B40" w:rsidP="00F01B40">
      <w:pPr>
        <w:pBdr>
          <w:bottom w:val="single" w:sz="12" w:space="1" w:color="auto"/>
        </w:pBdr>
        <w:spacing w:line="360" w:lineRule="auto"/>
        <w:jc w:val="both"/>
        <w:rPr>
          <w:b/>
          <w:u w:val="none"/>
          <w:lang w:val="en-US"/>
        </w:rPr>
      </w:pPr>
      <w:r w:rsidRPr="00F01B40">
        <w:rPr>
          <w:b/>
          <w:u w:val="none"/>
          <w:lang w:val="en-US"/>
        </w:rPr>
        <w:tab/>
      </w:r>
      <w:r w:rsidRPr="00F01B40">
        <w:rPr>
          <w:b/>
          <w:u w:val="none"/>
          <w:lang w:val="en-US"/>
        </w:rPr>
        <w:tab/>
      </w:r>
      <w:r w:rsidRPr="00F01B40">
        <w:rPr>
          <w:b/>
          <w:u w:val="none"/>
          <w:lang w:val="en-US"/>
        </w:rPr>
        <w:tab/>
      </w:r>
      <w:r w:rsidRPr="00F01B40">
        <w:rPr>
          <w:b/>
          <w:u w:val="none"/>
          <w:lang w:val="en-US"/>
        </w:rPr>
        <w:tab/>
      </w:r>
      <w:r>
        <w:rPr>
          <w:b/>
          <w:u w:val="none"/>
          <w:lang w:val="en-US"/>
        </w:rPr>
        <w:tab/>
      </w:r>
      <w:r>
        <w:rPr>
          <w:b/>
          <w:u w:val="none"/>
          <w:lang w:val="en-US"/>
        </w:rPr>
        <w:tab/>
      </w:r>
    </w:p>
    <w:p w14:paraId="3B5DC2CF" w14:textId="77777777" w:rsidR="00F01B40" w:rsidRPr="00F01B40" w:rsidRDefault="00F01B40" w:rsidP="00F01B40">
      <w:pPr>
        <w:jc w:val="both"/>
        <w:rPr>
          <w:b/>
          <w:u w:val="none"/>
          <w:lang w:val="en-US"/>
        </w:rPr>
      </w:pPr>
    </w:p>
    <w:p w14:paraId="17075FDC" w14:textId="77777777" w:rsidR="00F01B40" w:rsidRPr="00F01B40" w:rsidRDefault="00F01B40" w:rsidP="00F01B40">
      <w:pPr>
        <w:pBdr>
          <w:bottom w:val="single" w:sz="12" w:space="1" w:color="auto"/>
        </w:pBdr>
        <w:spacing w:line="360" w:lineRule="auto"/>
        <w:jc w:val="center"/>
        <w:rPr>
          <w:b/>
          <w:u w:val="none"/>
          <w:lang w:val="en-US"/>
        </w:rPr>
      </w:pPr>
      <w:r w:rsidRPr="00F01B40">
        <w:rPr>
          <w:b/>
          <w:u w:val="none"/>
          <w:lang w:val="en-US"/>
        </w:rPr>
        <w:t>JUDGMENT</w:t>
      </w:r>
    </w:p>
    <w:p w14:paraId="10F53A8A" w14:textId="77777777" w:rsidR="00F01B40" w:rsidRPr="00F01B40" w:rsidRDefault="00F01B40" w:rsidP="00F01B40">
      <w:pPr>
        <w:spacing w:line="360" w:lineRule="auto"/>
        <w:jc w:val="both"/>
        <w:rPr>
          <w:b/>
          <w:u w:val="none"/>
        </w:rPr>
      </w:pPr>
      <w:r w:rsidRPr="00F01B40">
        <w:rPr>
          <w:b/>
          <w:u w:val="none"/>
        </w:rPr>
        <w:t>SMITH J:</w:t>
      </w:r>
    </w:p>
    <w:p w14:paraId="3F46E8E0" w14:textId="77777777" w:rsidR="00F01B40" w:rsidRDefault="00F01B40" w:rsidP="00590263">
      <w:pPr>
        <w:pStyle w:val="NoSpacing"/>
        <w:spacing w:line="360" w:lineRule="auto"/>
        <w:jc w:val="both"/>
        <w:rPr>
          <w:u w:val="none"/>
        </w:rPr>
      </w:pPr>
    </w:p>
    <w:p w14:paraId="67B7DF72" w14:textId="45B66639" w:rsidR="00AB3960" w:rsidRDefault="00ED22C1" w:rsidP="00590263">
      <w:pPr>
        <w:pStyle w:val="NoSpacing"/>
        <w:spacing w:line="360" w:lineRule="auto"/>
        <w:jc w:val="both"/>
        <w:rPr>
          <w:u w:val="none"/>
        </w:rPr>
      </w:pPr>
      <w:r>
        <w:rPr>
          <w:u w:val="none"/>
        </w:rPr>
        <w:t xml:space="preserve">[1]    </w:t>
      </w:r>
      <w:r w:rsidR="00AB3960" w:rsidRPr="0041086D">
        <w:rPr>
          <w:u w:val="none"/>
        </w:rPr>
        <w:t>In the early hours of the morning on 24 May 2013, the highly pregnant plaintiff was admitted</w:t>
      </w:r>
      <w:r w:rsidR="00FC2B35">
        <w:rPr>
          <w:u w:val="none"/>
        </w:rPr>
        <w:t xml:space="preserve"> to the Maluti Health Centre</w:t>
      </w:r>
      <w:r w:rsidR="004E0CB0">
        <w:rPr>
          <w:u w:val="none"/>
        </w:rPr>
        <w:t xml:space="preserve"> (the Clinic)</w:t>
      </w:r>
      <w:r w:rsidR="00AB3960" w:rsidRPr="0041086D">
        <w:rPr>
          <w:u w:val="none"/>
        </w:rPr>
        <w:t>, Matatiele</w:t>
      </w:r>
      <w:r w:rsidR="0083443D">
        <w:rPr>
          <w:u w:val="none"/>
        </w:rPr>
        <w:t>. About seven</w:t>
      </w:r>
      <w:r w:rsidR="00AB3960" w:rsidRPr="0041086D">
        <w:rPr>
          <w:u w:val="none"/>
        </w:rPr>
        <w:t xml:space="preserve"> hours later she gave birth to</w:t>
      </w:r>
      <w:r w:rsidR="007B68BA">
        <w:rPr>
          <w:u w:val="none"/>
        </w:rPr>
        <w:t xml:space="preserve"> a boy by</w:t>
      </w:r>
      <w:r w:rsidR="007C2EB1">
        <w:rPr>
          <w:u w:val="none"/>
        </w:rPr>
        <w:t xml:space="preserve"> va</w:t>
      </w:r>
      <w:r w:rsidR="00AB3960" w:rsidRPr="0041086D">
        <w:rPr>
          <w:u w:val="none"/>
        </w:rPr>
        <w:t>ginal delivery. Sadly</w:t>
      </w:r>
      <w:r w:rsidR="00982E54">
        <w:rPr>
          <w:u w:val="none"/>
        </w:rPr>
        <w:t>, it</w:t>
      </w:r>
      <w:r w:rsidR="00AB3960" w:rsidRPr="0041086D">
        <w:rPr>
          <w:u w:val="none"/>
        </w:rPr>
        <w:t xml:space="preserve"> was immediately appar</w:t>
      </w:r>
      <w:r w:rsidR="007C2EB1">
        <w:rPr>
          <w:u w:val="none"/>
        </w:rPr>
        <w:t xml:space="preserve">ent </w:t>
      </w:r>
      <w:r w:rsidR="007C2EB1">
        <w:rPr>
          <w:u w:val="none"/>
        </w:rPr>
        <w:lastRenderedPageBreak/>
        <w:t xml:space="preserve">that there was something </w:t>
      </w:r>
      <w:r w:rsidR="00AB3960" w:rsidRPr="0041086D">
        <w:rPr>
          <w:u w:val="none"/>
        </w:rPr>
        <w:t>seriously</w:t>
      </w:r>
      <w:r w:rsidR="007C2EB1">
        <w:rPr>
          <w:u w:val="none"/>
        </w:rPr>
        <w:t xml:space="preserve"> wrong with the child. He</w:t>
      </w:r>
      <w:r w:rsidR="00AB3960" w:rsidRPr="0041086D">
        <w:rPr>
          <w:u w:val="none"/>
        </w:rPr>
        <w:t xml:space="preserve"> wa</w:t>
      </w:r>
      <w:r w:rsidR="007C2EB1">
        <w:rPr>
          <w:u w:val="none"/>
        </w:rPr>
        <w:t>s barely alive, with</w:t>
      </w:r>
      <w:r w:rsidR="00AB3960" w:rsidRPr="0041086D">
        <w:rPr>
          <w:u w:val="none"/>
        </w:rPr>
        <w:t xml:space="preserve"> low Apgar sc</w:t>
      </w:r>
      <w:r w:rsidR="007C2EB1">
        <w:rPr>
          <w:u w:val="none"/>
        </w:rPr>
        <w:t>ores, required resuscitation,</w:t>
      </w:r>
      <w:r w:rsidR="00AB3960" w:rsidRPr="0041086D">
        <w:rPr>
          <w:u w:val="none"/>
        </w:rPr>
        <w:t xml:space="preserve"> was limp and did not cry. He was later diagnosed with hypoxic </w:t>
      </w:r>
      <w:r w:rsidR="009A6D4D">
        <w:rPr>
          <w:u w:val="none"/>
        </w:rPr>
        <w:t>isch</w:t>
      </w:r>
      <w:r w:rsidR="007E1E05">
        <w:rPr>
          <w:u w:val="none"/>
        </w:rPr>
        <w:t>e</w:t>
      </w:r>
      <w:r w:rsidR="007E1E05" w:rsidRPr="0041086D">
        <w:rPr>
          <w:u w:val="none"/>
        </w:rPr>
        <w:t>mic</w:t>
      </w:r>
      <w:r w:rsidR="00AB3960" w:rsidRPr="0041086D">
        <w:rPr>
          <w:u w:val="none"/>
        </w:rPr>
        <w:t xml:space="preserve"> encephalopathy.</w:t>
      </w:r>
      <w:r w:rsidR="007C2EB1">
        <w:rPr>
          <w:u w:val="none"/>
        </w:rPr>
        <w:t xml:space="preserve"> The boy</w:t>
      </w:r>
      <w:r w:rsidR="000C28B4">
        <w:rPr>
          <w:u w:val="none"/>
        </w:rPr>
        <w:t xml:space="preserve">, </w:t>
      </w:r>
      <w:r w:rsidR="00C36C53">
        <w:rPr>
          <w:u w:val="none"/>
        </w:rPr>
        <w:t xml:space="preserve">Mtheteleli, </w:t>
      </w:r>
      <w:r w:rsidR="007C2EB1">
        <w:rPr>
          <w:u w:val="none"/>
        </w:rPr>
        <w:t xml:space="preserve">is now nine years old </w:t>
      </w:r>
      <w:r w:rsidR="00786FB5">
        <w:rPr>
          <w:u w:val="none"/>
        </w:rPr>
        <w:t xml:space="preserve">and </w:t>
      </w:r>
      <w:r w:rsidR="007C2EB1">
        <w:rPr>
          <w:u w:val="none"/>
        </w:rPr>
        <w:t>suffers from dystonic cerebral palsy, has poor cognitive function</w:t>
      </w:r>
      <w:r w:rsidR="00634A29">
        <w:rPr>
          <w:u w:val="none"/>
        </w:rPr>
        <w:t>,</w:t>
      </w:r>
      <w:r w:rsidR="007C2EB1">
        <w:rPr>
          <w:u w:val="none"/>
        </w:rPr>
        <w:t xml:space="preserve"> with epilepsy and microcephaly.</w:t>
      </w:r>
    </w:p>
    <w:p w14:paraId="14040C42" w14:textId="77777777" w:rsidR="00E32111" w:rsidRDefault="00E32111" w:rsidP="00590263">
      <w:pPr>
        <w:pStyle w:val="NoSpacing"/>
        <w:spacing w:line="360" w:lineRule="auto"/>
        <w:jc w:val="both"/>
        <w:rPr>
          <w:u w:val="none"/>
        </w:rPr>
      </w:pPr>
    </w:p>
    <w:p w14:paraId="7A56EC68" w14:textId="77777777" w:rsidR="00E32111" w:rsidRPr="0041086D" w:rsidRDefault="00ED22C1" w:rsidP="00590263">
      <w:pPr>
        <w:pStyle w:val="NoSpacing"/>
        <w:spacing w:line="360" w:lineRule="auto"/>
        <w:jc w:val="both"/>
        <w:rPr>
          <w:u w:val="none"/>
        </w:rPr>
      </w:pPr>
      <w:r>
        <w:rPr>
          <w:u w:val="none"/>
        </w:rPr>
        <w:t xml:space="preserve">[2]    </w:t>
      </w:r>
      <w:r w:rsidR="00E32111">
        <w:rPr>
          <w:u w:val="none"/>
        </w:rPr>
        <w:t>The plaintiff instituted action against the defendant for damages</w:t>
      </w:r>
      <w:r w:rsidR="00CA0B34">
        <w:rPr>
          <w:u w:val="none"/>
        </w:rPr>
        <w:t xml:space="preserve"> allegedly suffered by her in her </w:t>
      </w:r>
      <w:r w:rsidR="00E32111">
        <w:rPr>
          <w:u w:val="none"/>
        </w:rPr>
        <w:t>personal</w:t>
      </w:r>
      <w:r w:rsidR="00CA0B34">
        <w:rPr>
          <w:u w:val="none"/>
        </w:rPr>
        <w:t xml:space="preserve"> and representative capacity as</w:t>
      </w:r>
      <w:r w:rsidR="00E32111">
        <w:rPr>
          <w:u w:val="none"/>
        </w:rPr>
        <w:t xml:space="preserve"> </w:t>
      </w:r>
      <w:r w:rsidR="00025177">
        <w:rPr>
          <w:u w:val="none"/>
        </w:rPr>
        <w:t xml:space="preserve">the child’s </w:t>
      </w:r>
      <w:r w:rsidR="00FE66AA">
        <w:rPr>
          <w:u w:val="none"/>
        </w:rPr>
        <w:t xml:space="preserve">natural </w:t>
      </w:r>
      <w:r w:rsidR="00025177">
        <w:rPr>
          <w:u w:val="none"/>
        </w:rPr>
        <w:t>guardian</w:t>
      </w:r>
      <w:r w:rsidR="00E32111">
        <w:rPr>
          <w:u w:val="none"/>
        </w:rPr>
        <w:t>.</w:t>
      </w:r>
    </w:p>
    <w:p w14:paraId="73B846F7" w14:textId="77777777" w:rsidR="00AB3960" w:rsidRPr="0041086D" w:rsidRDefault="00AB3960" w:rsidP="00590263">
      <w:pPr>
        <w:spacing w:line="360" w:lineRule="auto"/>
        <w:jc w:val="both"/>
        <w:rPr>
          <w:u w:val="none"/>
        </w:rPr>
      </w:pPr>
    </w:p>
    <w:p w14:paraId="7F87753A" w14:textId="041A312A" w:rsidR="00AB3960" w:rsidRDefault="00ED22C1" w:rsidP="00590263">
      <w:pPr>
        <w:spacing w:line="360" w:lineRule="auto"/>
        <w:jc w:val="both"/>
        <w:rPr>
          <w:u w:val="none"/>
        </w:rPr>
      </w:pPr>
      <w:r>
        <w:rPr>
          <w:u w:val="none"/>
        </w:rPr>
        <w:t xml:space="preserve">[3]     </w:t>
      </w:r>
      <w:r w:rsidR="00FC2B35">
        <w:rPr>
          <w:u w:val="none"/>
        </w:rPr>
        <w:t xml:space="preserve">The plaintiff alleged </w:t>
      </w:r>
      <w:r w:rsidR="002C7753">
        <w:rPr>
          <w:u w:val="none"/>
        </w:rPr>
        <w:t xml:space="preserve">in her particulars of claim </w:t>
      </w:r>
      <w:r w:rsidR="00FC2B35">
        <w:rPr>
          <w:u w:val="none"/>
        </w:rPr>
        <w:t>that the defendant was negligent in that he</w:t>
      </w:r>
      <w:r w:rsidR="000D4490">
        <w:rPr>
          <w:u w:val="none"/>
        </w:rPr>
        <w:t xml:space="preserve">, </w:t>
      </w:r>
      <w:r w:rsidR="000D4490" w:rsidRPr="007E7F64">
        <w:rPr>
          <w:i/>
          <w:u w:val="none"/>
        </w:rPr>
        <w:t>inter alia</w:t>
      </w:r>
      <w:r w:rsidR="000D4490">
        <w:rPr>
          <w:u w:val="none"/>
        </w:rPr>
        <w:t>,</w:t>
      </w:r>
      <w:r w:rsidR="00FC2B35">
        <w:rPr>
          <w:u w:val="none"/>
        </w:rPr>
        <w:t xml:space="preserve"> failed to</w:t>
      </w:r>
      <w:r w:rsidR="000D4490">
        <w:rPr>
          <w:u w:val="none"/>
        </w:rPr>
        <w:t>:</w:t>
      </w:r>
      <w:r w:rsidR="00FC2B35">
        <w:rPr>
          <w:u w:val="none"/>
        </w:rPr>
        <w:t xml:space="preserve"> employ a suitably qualified medical practitioner</w:t>
      </w:r>
      <w:r w:rsidR="000D4490">
        <w:rPr>
          <w:u w:val="none"/>
        </w:rPr>
        <w:t xml:space="preserve"> and experienced</w:t>
      </w:r>
      <w:r w:rsidR="00FC2B35">
        <w:rPr>
          <w:u w:val="none"/>
        </w:rPr>
        <w:t xml:space="preserve"> nursing staff </w:t>
      </w:r>
      <w:r w:rsidR="00A414A6">
        <w:rPr>
          <w:u w:val="none"/>
        </w:rPr>
        <w:t xml:space="preserve">to </w:t>
      </w:r>
      <w:r w:rsidR="00FC2B35">
        <w:rPr>
          <w:u w:val="none"/>
        </w:rPr>
        <w:t>be present at the Clinic to assess, monitor and manage her labo</w:t>
      </w:r>
      <w:r w:rsidR="00C8638E">
        <w:rPr>
          <w:u w:val="none"/>
        </w:rPr>
        <w:t>u</w:t>
      </w:r>
      <w:r w:rsidR="000D4490">
        <w:rPr>
          <w:u w:val="none"/>
        </w:rPr>
        <w:t>r</w:t>
      </w:r>
      <w:r w:rsidR="001C42A7">
        <w:rPr>
          <w:u w:val="none"/>
        </w:rPr>
        <w:t xml:space="preserve"> properly</w:t>
      </w:r>
      <w:r w:rsidR="000D4490">
        <w:rPr>
          <w:u w:val="none"/>
        </w:rPr>
        <w:t>; ensure that the Clinic</w:t>
      </w:r>
      <w:r w:rsidR="00050553">
        <w:rPr>
          <w:u w:val="none"/>
        </w:rPr>
        <w:t xml:space="preserve"> was properly</w:t>
      </w:r>
      <w:r w:rsidR="000D4490">
        <w:rPr>
          <w:u w:val="none"/>
        </w:rPr>
        <w:t xml:space="preserve"> equipped to enable the timeous and proper performance of a caesarean section if and when requ</w:t>
      </w:r>
      <w:r w:rsidR="00A414A6">
        <w:rPr>
          <w:u w:val="none"/>
        </w:rPr>
        <w:t>ired</w:t>
      </w:r>
      <w:r w:rsidR="001C42A7">
        <w:rPr>
          <w:u w:val="none"/>
        </w:rPr>
        <w:t xml:space="preserve"> </w:t>
      </w:r>
      <w:r w:rsidR="008C2541">
        <w:rPr>
          <w:u w:val="none"/>
        </w:rPr>
        <w:t>and</w:t>
      </w:r>
      <w:r w:rsidR="00A414A6">
        <w:rPr>
          <w:u w:val="none"/>
        </w:rPr>
        <w:t>;</w:t>
      </w:r>
      <w:r w:rsidR="008C2541">
        <w:rPr>
          <w:u w:val="none"/>
        </w:rPr>
        <w:t xml:space="preserve"> </w:t>
      </w:r>
      <w:r w:rsidR="001C42A7">
        <w:rPr>
          <w:u w:val="none"/>
        </w:rPr>
        <w:t xml:space="preserve">ensure that patients </w:t>
      </w:r>
      <w:r w:rsidR="000D4490">
        <w:rPr>
          <w:u w:val="none"/>
        </w:rPr>
        <w:t>admitted to the Clinic</w:t>
      </w:r>
      <w:r w:rsidR="0004182B">
        <w:rPr>
          <w:u w:val="none"/>
        </w:rPr>
        <w:t xml:space="preserve"> could be transported </w:t>
      </w:r>
      <w:r w:rsidR="00FE6E61">
        <w:rPr>
          <w:u w:val="none"/>
        </w:rPr>
        <w:t>timeously</w:t>
      </w:r>
      <w:r w:rsidR="000D4490">
        <w:rPr>
          <w:u w:val="none"/>
        </w:rPr>
        <w:t xml:space="preserve"> to another hospital or suitable medical facility</w:t>
      </w:r>
      <w:r w:rsidR="003A5EB9">
        <w:rPr>
          <w:u w:val="none"/>
        </w:rPr>
        <w:t>,</w:t>
      </w:r>
      <w:r w:rsidR="000D4490">
        <w:rPr>
          <w:u w:val="none"/>
        </w:rPr>
        <w:t xml:space="preserve"> should such transfer be required.</w:t>
      </w:r>
    </w:p>
    <w:p w14:paraId="0AA929E2" w14:textId="77777777" w:rsidR="00611D87" w:rsidRDefault="00611D87" w:rsidP="00590263">
      <w:pPr>
        <w:spacing w:line="360" w:lineRule="auto"/>
        <w:jc w:val="both"/>
        <w:rPr>
          <w:u w:val="none"/>
        </w:rPr>
      </w:pPr>
    </w:p>
    <w:p w14:paraId="16B887AA" w14:textId="77777777" w:rsidR="001157D4" w:rsidRDefault="00D15608" w:rsidP="00590263">
      <w:pPr>
        <w:spacing w:line="360" w:lineRule="auto"/>
        <w:jc w:val="both"/>
        <w:rPr>
          <w:u w:val="none"/>
        </w:rPr>
      </w:pPr>
      <w:r>
        <w:rPr>
          <w:u w:val="none"/>
        </w:rPr>
        <w:t xml:space="preserve">[4]     </w:t>
      </w:r>
      <w:r w:rsidR="00611D87">
        <w:rPr>
          <w:u w:val="none"/>
        </w:rPr>
        <w:t>She averred f</w:t>
      </w:r>
      <w:r w:rsidR="00D87964">
        <w:rPr>
          <w:u w:val="none"/>
        </w:rPr>
        <w:t>urthermore that the defendant i</w:t>
      </w:r>
      <w:r w:rsidR="00611D87">
        <w:rPr>
          <w:u w:val="none"/>
        </w:rPr>
        <w:t>s vicar</w:t>
      </w:r>
      <w:r w:rsidR="00DA476E">
        <w:rPr>
          <w:u w:val="none"/>
        </w:rPr>
        <w:t>iously liable for his employees</w:t>
      </w:r>
      <w:r w:rsidR="00611D87">
        <w:rPr>
          <w:u w:val="none"/>
        </w:rPr>
        <w:t xml:space="preserve"> who were negligent, </w:t>
      </w:r>
      <w:r w:rsidR="00611D87" w:rsidRPr="007E7F64">
        <w:rPr>
          <w:i/>
          <w:u w:val="none"/>
        </w:rPr>
        <w:t>inter alia</w:t>
      </w:r>
      <w:r w:rsidR="00611D87">
        <w:rPr>
          <w:u w:val="none"/>
        </w:rPr>
        <w:t>,</w:t>
      </w:r>
      <w:r w:rsidR="007E7F64">
        <w:rPr>
          <w:u w:val="none"/>
        </w:rPr>
        <w:t xml:space="preserve"> in that they </w:t>
      </w:r>
      <w:r w:rsidR="00D87964">
        <w:rPr>
          <w:u w:val="none"/>
        </w:rPr>
        <w:t>failed</w:t>
      </w:r>
      <w:r w:rsidR="007E7F64">
        <w:rPr>
          <w:u w:val="none"/>
        </w:rPr>
        <w:t xml:space="preserve">: </w:t>
      </w:r>
      <w:r w:rsidR="00611D87">
        <w:rPr>
          <w:u w:val="none"/>
        </w:rPr>
        <w:t xml:space="preserve">properly </w:t>
      </w:r>
      <w:r w:rsidR="00D87964">
        <w:rPr>
          <w:u w:val="none"/>
        </w:rPr>
        <w:t xml:space="preserve">to </w:t>
      </w:r>
      <w:r w:rsidR="00611D87">
        <w:rPr>
          <w:u w:val="none"/>
        </w:rPr>
        <w:t>assess and ex</w:t>
      </w:r>
      <w:r w:rsidR="004971E1">
        <w:rPr>
          <w:u w:val="none"/>
        </w:rPr>
        <w:t xml:space="preserve">amine her upon her admission; </w:t>
      </w:r>
      <w:r w:rsidR="00611D87">
        <w:rPr>
          <w:u w:val="none"/>
        </w:rPr>
        <w:t>to monitor her labo</w:t>
      </w:r>
      <w:r w:rsidR="00D87964">
        <w:rPr>
          <w:u w:val="none"/>
        </w:rPr>
        <w:t>u</w:t>
      </w:r>
      <w:r w:rsidR="00611D87">
        <w:rPr>
          <w:u w:val="none"/>
        </w:rPr>
        <w:t xml:space="preserve">r and </w:t>
      </w:r>
      <w:r w:rsidR="00D87964">
        <w:rPr>
          <w:u w:val="none"/>
        </w:rPr>
        <w:t>the foetal</w:t>
      </w:r>
      <w:r w:rsidR="00611D87">
        <w:rPr>
          <w:u w:val="none"/>
        </w:rPr>
        <w:t xml:space="preserve"> well-being appropriately and with sufficient regularity; to appreciate that she had developed complications during the labo</w:t>
      </w:r>
      <w:r w:rsidR="00D87964">
        <w:rPr>
          <w:u w:val="none"/>
        </w:rPr>
        <w:t>u</w:t>
      </w:r>
      <w:r w:rsidR="00611D87">
        <w:rPr>
          <w:u w:val="none"/>
        </w:rPr>
        <w:t>r and that it was</w:t>
      </w:r>
      <w:r w:rsidR="00D87964">
        <w:rPr>
          <w:u w:val="none"/>
        </w:rPr>
        <w:t xml:space="preserve"> not progressing appropriately a</w:t>
      </w:r>
      <w:r w:rsidR="00611D87">
        <w:rPr>
          <w:u w:val="none"/>
        </w:rPr>
        <w:t xml:space="preserve">s was required in the circumstances; to request </w:t>
      </w:r>
      <w:r w:rsidR="00D87964">
        <w:rPr>
          <w:u w:val="none"/>
        </w:rPr>
        <w:t xml:space="preserve">examination by a qualified </w:t>
      </w:r>
      <w:r w:rsidR="00611D87">
        <w:rPr>
          <w:u w:val="none"/>
        </w:rPr>
        <w:t xml:space="preserve">medical </w:t>
      </w:r>
      <w:r w:rsidR="00D87964">
        <w:rPr>
          <w:u w:val="none"/>
        </w:rPr>
        <w:t>practitioner when she had complained</w:t>
      </w:r>
      <w:r w:rsidR="00611D87">
        <w:rPr>
          <w:u w:val="none"/>
        </w:rPr>
        <w:t xml:space="preserve"> about severe abdominal pain; to monitor the </w:t>
      </w:r>
      <w:r w:rsidR="00D87964">
        <w:rPr>
          <w:u w:val="none"/>
        </w:rPr>
        <w:t>foetal</w:t>
      </w:r>
      <w:r w:rsidR="00611D87">
        <w:rPr>
          <w:u w:val="none"/>
        </w:rPr>
        <w:t xml:space="preserve"> heart rate appropriately and with sufficient frequency</w:t>
      </w:r>
      <w:r w:rsidR="00D87964">
        <w:rPr>
          <w:u w:val="none"/>
        </w:rPr>
        <w:t>;</w:t>
      </w:r>
      <w:r w:rsidR="00611D87">
        <w:rPr>
          <w:u w:val="none"/>
        </w:rPr>
        <w:t xml:space="preserve"> </w:t>
      </w:r>
      <w:r w:rsidR="00D87964">
        <w:rPr>
          <w:u w:val="none"/>
        </w:rPr>
        <w:t>to request that a</w:t>
      </w:r>
      <w:r w:rsidR="00611D87">
        <w:rPr>
          <w:u w:val="none"/>
        </w:rPr>
        <w:t xml:space="preserve"> </w:t>
      </w:r>
      <w:r w:rsidR="00D87964">
        <w:rPr>
          <w:u w:val="none"/>
        </w:rPr>
        <w:t xml:space="preserve">caesarean section be performed on her; and to arrange timeously to </w:t>
      </w:r>
      <w:r w:rsidR="00611D87">
        <w:rPr>
          <w:u w:val="none"/>
        </w:rPr>
        <w:t xml:space="preserve">transfer </w:t>
      </w:r>
      <w:r w:rsidR="00D87964">
        <w:rPr>
          <w:u w:val="none"/>
        </w:rPr>
        <w:t xml:space="preserve">her </w:t>
      </w:r>
      <w:r w:rsidR="00611D87">
        <w:rPr>
          <w:u w:val="none"/>
        </w:rPr>
        <w:t>to an appropriate f</w:t>
      </w:r>
      <w:r w:rsidR="00D87964">
        <w:rPr>
          <w:u w:val="none"/>
        </w:rPr>
        <w:t>acility for the performance of a</w:t>
      </w:r>
      <w:r w:rsidR="00611D87">
        <w:rPr>
          <w:u w:val="none"/>
        </w:rPr>
        <w:t xml:space="preserve"> </w:t>
      </w:r>
      <w:r w:rsidR="00D87964">
        <w:rPr>
          <w:u w:val="none"/>
        </w:rPr>
        <w:t>caesarean</w:t>
      </w:r>
      <w:r w:rsidR="00611D87">
        <w:rPr>
          <w:u w:val="none"/>
        </w:rPr>
        <w:t xml:space="preserve"> section</w:t>
      </w:r>
      <w:r w:rsidR="00D87964">
        <w:rPr>
          <w:u w:val="none"/>
        </w:rPr>
        <w:t>.</w:t>
      </w:r>
      <w:r w:rsidR="003D0CC9">
        <w:rPr>
          <w:u w:val="none"/>
        </w:rPr>
        <w:t xml:space="preserve"> </w:t>
      </w:r>
      <w:r w:rsidR="001157D4">
        <w:rPr>
          <w:u w:val="none"/>
        </w:rPr>
        <w:t>The defendant denied those averments and put the plaintiff to the proof thereof.</w:t>
      </w:r>
    </w:p>
    <w:p w14:paraId="40393FF4" w14:textId="77777777" w:rsidR="008A4AD8" w:rsidRDefault="008A4AD8" w:rsidP="00590263">
      <w:pPr>
        <w:spacing w:line="360" w:lineRule="auto"/>
        <w:jc w:val="both"/>
        <w:rPr>
          <w:u w:val="none"/>
        </w:rPr>
      </w:pPr>
    </w:p>
    <w:p w14:paraId="6F573A25" w14:textId="77777777" w:rsidR="00555B48" w:rsidRDefault="00D15608" w:rsidP="00590263">
      <w:pPr>
        <w:spacing w:line="360" w:lineRule="auto"/>
        <w:jc w:val="both"/>
        <w:rPr>
          <w:u w:val="none"/>
        </w:rPr>
      </w:pPr>
      <w:r>
        <w:rPr>
          <w:u w:val="none"/>
        </w:rPr>
        <w:t xml:space="preserve">[5]   </w:t>
      </w:r>
      <w:r w:rsidR="001157D4">
        <w:rPr>
          <w:u w:val="none"/>
        </w:rPr>
        <w:t xml:space="preserve">Since the </w:t>
      </w:r>
      <w:r w:rsidR="005A0502">
        <w:rPr>
          <w:u w:val="none"/>
        </w:rPr>
        <w:t>medical records were introduced</w:t>
      </w:r>
      <w:r w:rsidR="001157D4">
        <w:rPr>
          <w:u w:val="none"/>
        </w:rPr>
        <w:t xml:space="preserve"> into evidence by agreement</w:t>
      </w:r>
      <w:r w:rsidR="005A0502">
        <w:rPr>
          <w:u w:val="none"/>
        </w:rPr>
        <w:t xml:space="preserve"> and their contents admitted</w:t>
      </w:r>
      <w:r w:rsidR="001157D4">
        <w:rPr>
          <w:u w:val="none"/>
        </w:rPr>
        <w:t xml:space="preserve">, it was unnecessary for the plaintiff to testify. The plaintiff therefore only </w:t>
      </w:r>
      <w:r w:rsidR="008A4AD8">
        <w:rPr>
          <w:u w:val="none"/>
        </w:rPr>
        <w:t>called three expert</w:t>
      </w:r>
      <w:r w:rsidR="001157D4">
        <w:rPr>
          <w:u w:val="none"/>
        </w:rPr>
        <w:t xml:space="preserve"> </w:t>
      </w:r>
      <w:r w:rsidR="0050369B">
        <w:rPr>
          <w:u w:val="none"/>
        </w:rPr>
        <w:t>witnesses</w:t>
      </w:r>
      <w:r w:rsidR="003A45D9">
        <w:rPr>
          <w:u w:val="none"/>
        </w:rPr>
        <w:t>,</w:t>
      </w:r>
      <w:r w:rsidR="0050369B">
        <w:rPr>
          <w:u w:val="none"/>
        </w:rPr>
        <w:t xml:space="preserve"> namely Dr</w:t>
      </w:r>
      <w:r w:rsidR="001157D4">
        <w:rPr>
          <w:u w:val="none"/>
        </w:rPr>
        <w:t xml:space="preserve"> </w:t>
      </w:r>
      <w:r w:rsidR="003D30E4">
        <w:rPr>
          <w:u w:val="none"/>
        </w:rPr>
        <w:t xml:space="preserve">Linda </w:t>
      </w:r>
      <w:r w:rsidR="001157D4">
        <w:rPr>
          <w:u w:val="none"/>
        </w:rPr>
        <w:t>Murray</w:t>
      </w:r>
      <w:r w:rsidR="00555B48">
        <w:rPr>
          <w:u w:val="none"/>
        </w:rPr>
        <w:t>,</w:t>
      </w:r>
      <w:r w:rsidR="001157D4">
        <w:rPr>
          <w:u w:val="none"/>
        </w:rPr>
        <w:t xml:space="preserve"> an obstetrician and </w:t>
      </w:r>
      <w:r w:rsidR="00BA18B0">
        <w:rPr>
          <w:u w:val="none"/>
        </w:rPr>
        <w:t>gynaecologist</w:t>
      </w:r>
      <w:r w:rsidR="008055A3">
        <w:rPr>
          <w:u w:val="none"/>
        </w:rPr>
        <w:t xml:space="preserve">; Prof Savas </w:t>
      </w:r>
      <w:r w:rsidR="001157D4">
        <w:rPr>
          <w:u w:val="none"/>
        </w:rPr>
        <w:t xml:space="preserve">Andronikou, a </w:t>
      </w:r>
      <w:r w:rsidR="00BA18B0">
        <w:rPr>
          <w:u w:val="none"/>
        </w:rPr>
        <w:t>paediatric</w:t>
      </w:r>
      <w:r w:rsidR="0050369B">
        <w:rPr>
          <w:u w:val="none"/>
        </w:rPr>
        <w:t xml:space="preserve"> radiologist</w:t>
      </w:r>
      <w:r w:rsidR="003A45D9">
        <w:rPr>
          <w:u w:val="none"/>
        </w:rPr>
        <w:t>;</w:t>
      </w:r>
      <w:r w:rsidR="0050369B">
        <w:rPr>
          <w:u w:val="none"/>
        </w:rPr>
        <w:t xml:space="preserve"> and Dr </w:t>
      </w:r>
      <w:r w:rsidR="008055A3">
        <w:rPr>
          <w:u w:val="none"/>
        </w:rPr>
        <w:t xml:space="preserve">Yatish </w:t>
      </w:r>
      <w:r w:rsidR="001157D4">
        <w:rPr>
          <w:u w:val="none"/>
        </w:rPr>
        <w:t xml:space="preserve">Kara, a </w:t>
      </w:r>
      <w:r w:rsidR="00BA18B0">
        <w:rPr>
          <w:u w:val="none"/>
        </w:rPr>
        <w:t>paediatrician</w:t>
      </w:r>
      <w:r w:rsidR="001157D4">
        <w:rPr>
          <w:u w:val="none"/>
        </w:rPr>
        <w:t xml:space="preserve">. </w:t>
      </w:r>
      <w:r w:rsidR="00535E07">
        <w:rPr>
          <w:u w:val="none"/>
        </w:rPr>
        <w:t xml:space="preserve">Mr </w:t>
      </w:r>
      <w:r w:rsidR="00535E07" w:rsidRPr="006151E8">
        <w:rPr>
          <w:i/>
          <w:u w:val="none"/>
        </w:rPr>
        <w:t>Pitt</w:t>
      </w:r>
      <w:r w:rsidR="00535E07">
        <w:rPr>
          <w:u w:val="none"/>
        </w:rPr>
        <w:t xml:space="preserve">, who appeared for the defendant, indicated that since the </w:t>
      </w:r>
      <w:r w:rsidR="00535E07">
        <w:rPr>
          <w:u w:val="none"/>
        </w:rPr>
        <w:lastRenderedPageBreak/>
        <w:t>opinions of the plaintiff’s experts were not in dispute, he would not cross-examine any of them. Their testimonies thus remain unchallenged. The defendant closed his case without calling any witnesses.</w:t>
      </w:r>
    </w:p>
    <w:p w14:paraId="005E9ABA" w14:textId="77777777" w:rsidR="006151E8" w:rsidRDefault="006151E8" w:rsidP="00590263">
      <w:pPr>
        <w:spacing w:line="360" w:lineRule="auto"/>
        <w:jc w:val="both"/>
        <w:rPr>
          <w:u w:val="none"/>
        </w:rPr>
      </w:pPr>
    </w:p>
    <w:p w14:paraId="486279A8" w14:textId="7E04E448" w:rsidR="007806AB" w:rsidRDefault="00D15608" w:rsidP="00590263">
      <w:pPr>
        <w:spacing w:line="360" w:lineRule="auto"/>
        <w:jc w:val="both"/>
        <w:rPr>
          <w:u w:val="none"/>
        </w:rPr>
      </w:pPr>
      <w:r>
        <w:rPr>
          <w:u w:val="none"/>
        </w:rPr>
        <w:t xml:space="preserve">[6]    </w:t>
      </w:r>
      <w:r w:rsidR="0050369B">
        <w:rPr>
          <w:u w:val="none"/>
        </w:rPr>
        <w:t>Dr</w:t>
      </w:r>
      <w:r w:rsidR="00E92BE1">
        <w:rPr>
          <w:u w:val="none"/>
        </w:rPr>
        <w:t xml:space="preserve"> Murray testified that the plaintiff’s antenatal period was uneventful</w:t>
      </w:r>
      <w:r w:rsidR="00AE52C2">
        <w:rPr>
          <w:u w:val="none"/>
        </w:rPr>
        <w:t>,</w:t>
      </w:r>
      <w:r w:rsidR="00E92BE1">
        <w:rPr>
          <w:u w:val="none"/>
        </w:rPr>
        <w:t xml:space="preserve"> save for the fact that she had develop</w:t>
      </w:r>
      <w:r w:rsidR="00D359FF">
        <w:rPr>
          <w:u w:val="none"/>
        </w:rPr>
        <w:t>ed high blood pressure during</w:t>
      </w:r>
      <w:r w:rsidR="00E92BE1">
        <w:rPr>
          <w:u w:val="none"/>
        </w:rPr>
        <w:t xml:space="preserve"> late pregnancy. She </w:t>
      </w:r>
      <w:r w:rsidR="00B42A7C">
        <w:rPr>
          <w:u w:val="none"/>
        </w:rPr>
        <w:t>attended clinic on various occassions</w:t>
      </w:r>
      <w:r w:rsidR="00E92BE1">
        <w:rPr>
          <w:u w:val="none"/>
        </w:rPr>
        <w:t xml:space="preserve"> and no concern in respect of her or the foetus was </w:t>
      </w:r>
      <w:r w:rsidR="00356FF7">
        <w:rPr>
          <w:u w:val="none"/>
        </w:rPr>
        <w:t>noted. She was admitted to the C</w:t>
      </w:r>
      <w:r w:rsidR="00E92BE1">
        <w:rPr>
          <w:u w:val="none"/>
        </w:rPr>
        <w:t>linic</w:t>
      </w:r>
      <w:r w:rsidR="00D359FF">
        <w:rPr>
          <w:u w:val="none"/>
        </w:rPr>
        <w:t>,</w:t>
      </w:r>
      <w:r w:rsidR="00E92BE1">
        <w:rPr>
          <w:u w:val="none"/>
        </w:rPr>
        <w:t xml:space="preserve"> in labour</w:t>
      </w:r>
      <w:r w:rsidR="00D359FF">
        <w:rPr>
          <w:u w:val="none"/>
        </w:rPr>
        <w:t>,</w:t>
      </w:r>
      <w:r w:rsidR="00E92BE1">
        <w:rPr>
          <w:u w:val="none"/>
        </w:rPr>
        <w:t xml:space="preserve"> on 24 May 2013. On admission</w:t>
      </w:r>
      <w:r w:rsidR="00D359FF">
        <w:rPr>
          <w:u w:val="none"/>
        </w:rPr>
        <w:t>,</w:t>
      </w:r>
      <w:r w:rsidR="00E92BE1">
        <w:rPr>
          <w:u w:val="none"/>
        </w:rPr>
        <w:t xml:space="preserve"> it was discovered that she had high blood pressure.</w:t>
      </w:r>
      <w:r w:rsidR="0050369B">
        <w:rPr>
          <w:u w:val="none"/>
        </w:rPr>
        <w:t xml:space="preserve"> Dr</w:t>
      </w:r>
      <w:r w:rsidR="00E92BE1">
        <w:rPr>
          <w:u w:val="none"/>
        </w:rPr>
        <w:t xml:space="preserve"> Murray was of the view that she ought to have been immediately referred to hospital in compliance with the Maternity Guidelines. </w:t>
      </w:r>
    </w:p>
    <w:p w14:paraId="04E202B2" w14:textId="77777777" w:rsidR="007806AB" w:rsidRDefault="007806AB" w:rsidP="00590263">
      <w:pPr>
        <w:spacing w:line="360" w:lineRule="auto"/>
        <w:jc w:val="both"/>
        <w:rPr>
          <w:u w:val="none"/>
        </w:rPr>
      </w:pPr>
    </w:p>
    <w:p w14:paraId="6D8E0E4C" w14:textId="77777777" w:rsidR="00E92BE1" w:rsidRDefault="00D15608" w:rsidP="00590263">
      <w:pPr>
        <w:spacing w:line="360" w:lineRule="auto"/>
        <w:jc w:val="both"/>
        <w:rPr>
          <w:u w:val="none"/>
        </w:rPr>
      </w:pPr>
      <w:r>
        <w:rPr>
          <w:u w:val="none"/>
        </w:rPr>
        <w:t xml:space="preserve">[7]    </w:t>
      </w:r>
      <w:r w:rsidR="00E92BE1">
        <w:rPr>
          <w:u w:val="none"/>
        </w:rPr>
        <w:t xml:space="preserve">She was examined at 02h00 and found to be 6 cm dilated. She was therefore in the active phase of the first stage of labour. Her blood pressure remained high. She was thereafter examined at 04h00 and </w:t>
      </w:r>
      <w:r w:rsidR="0058578A">
        <w:rPr>
          <w:u w:val="none"/>
        </w:rPr>
        <w:t xml:space="preserve">again </w:t>
      </w:r>
      <w:r w:rsidR="00E92BE1">
        <w:rPr>
          <w:u w:val="none"/>
        </w:rPr>
        <w:t>at 06h00</w:t>
      </w:r>
      <w:r w:rsidR="007806AB">
        <w:rPr>
          <w:u w:val="none"/>
        </w:rPr>
        <w:t>,</w:t>
      </w:r>
      <w:r w:rsidR="00E92BE1">
        <w:rPr>
          <w:u w:val="none"/>
        </w:rPr>
        <w:t xml:space="preserve"> throughout which time she remained at 6 cm dilated</w:t>
      </w:r>
      <w:r w:rsidR="0058578A">
        <w:rPr>
          <w:u w:val="none"/>
        </w:rPr>
        <w:t>,</w:t>
      </w:r>
      <w:r w:rsidR="00E92BE1">
        <w:rPr>
          <w:u w:val="none"/>
        </w:rPr>
        <w:t xml:space="preserve"> and her b</w:t>
      </w:r>
      <w:r w:rsidR="0058578A">
        <w:rPr>
          <w:u w:val="none"/>
        </w:rPr>
        <w:t>lood pressure remained high. Dr</w:t>
      </w:r>
      <w:r w:rsidR="00E92BE1">
        <w:rPr>
          <w:u w:val="none"/>
        </w:rPr>
        <w:t xml:space="preserve"> Murray </w:t>
      </w:r>
      <w:r w:rsidR="0058578A">
        <w:rPr>
          <w:u w:val="none"/>
        </w:rPr>
        <w:t>said</w:t>
      </w:r>
      <w:r w:rsidR="00E92BE1">
        <w:rPr>
          <w:u w:val="none"/>
        </w:rPr>
        <w:t xml:space="preserve"> that the foetal monitoring between 02h00 and 06h00 was therefore contrary to the Maternity Guidelines and consequently substandard.</w:t>
      </w:r>
    </w:p>
    <w:p w14:paraId="7DC77D2E" w14:textId="77777777" w:rsidR="007806AB" w:rsidRDefault="007806AB" w:rsidP="00590263">
      <w:pPr>
        <w:spacing w:line="360" w:lineRule="auto"/>
        <w:jc w:val="both"/>
        <w:rPr>
          <w:u w:val="none"/>
        </w:rPr>
      </w:pPr>
    </w:p>
    <w:p w14:paraId="691A4C6A" w14:textId="55242CBE" w:rsidR="00F971F2" w:rsidRDefault="00D15608" w:rsidP="00590263">
      <w:pPr>
        <w:spacing w:line="360" w:lineRule="auto"/>
        <w:jc w:val="both"/>
        <w:rPr>
          <w:u w:val="none"/>
        </w:rPr>
      </w:pPr>
      <w:r>
        <w:rPr>
          <w:u w:val="none"/>
        </w:rPr>
        <w:t xml:space="preserve">[8]    </w:t>
      </w:r>
      <w:r w:rsidR="00695582">
        <w:rPr>
          <w:u w:val="none"/>
        </w:rPr>
        <w:t>At 06</w:t>
      </w:r>
      <w:r w:rsidR="00481A59">
        <w:rPr>
          <w:u w:val="none"/>
        </w:rPr>
        <w:t>h</w:t>
      </w:r>
      <w:r w:rsidR="00695582">
        <w:rPr>
          <w:u w:val="none"/>
        </w:rPr>
        <w:t>00 she had crossed</w:t>
      </w:r>
      <w:r w:rsidR="00937D6A">
        <w:rPr>
          <w:u w:val="none"/>
        </w:rPr>
        <w:t xml:space="preserve"> the action line on </w:t>
      </w:r>
      <w:r w:rsidR="00695582">
        <w:rPr>
          <w:u w:val="none"/>
        </w:rPr>
        <w:t xml:space="preserve">the partogram </w:t>
      </w:r>
      <w:r w:rsidR="00BD74E4">
        <w:rPr>
          <w:u w:val="none"/>
        </w:rPr>
        <w:t xml:space="preserve">– meaning </w:t>
      </w:r>
      <w:r w:rsidR="00A456E4">
        <w:rPr>
          <w:u w:val="none"/>
        </w:rPr>
        <w:t>that labour</w:t>
      </w:r>
      <w:r w:rsidR="00BD74E4">
        <w:rPr>
          <w:u w:val="none"/>
        </w:rPr>
        <w:t xml:space="preserve"> </w:t>
      </w:r>
      <w:r w:rsidR="00A456E4">
        <w:rPr>
          <w:u w:val="none"/>
        </w:rPr>
        <w:t>was progressing</w:t>
      </w:r>
      <w:r w:rsidR="00BD74E4">
        <w:rPr>
          <w:u w:val="none"/>
        </w:rPr>
        <w:t xml:space="preserve"> too slow - </w:t>
      </w:r>
      <w:r w:rsidR="00695582">
        <w:rPr>
          <w:u w:val="none"/>
        </w:rPr>
        <w:t>and</w:t>
      </w:r>
      <w:r w:rsidR="00937D6A">
        <w:rPr>
          <w:u w:val="none"/>
        </w:rPr>
        <w:t xml:space="preserve"> </w:t>
      </w:r>
      <w:r w:rsidR="00695582">
        <w:rPr>
          <w:u w:val="none"/>
        </w:rPr>
        <w:t xml:space="preserve">her dilatation </w:t>
      </w:r>
      <w:r w:rsidR="00937D6A">
        <w:rPr>
          <w:u w:val="none"/>
        </w:rPr>
        <w:t>remained at 6 cm</w:t>
      </w:r>
      <w:r w:rsidR="00C8287A">
        <w:rPr>
          <w:u w:val="none"/>
        </w:rPr>
        <w:t>. This should have caused alarm bells to ring since</w:t>
      </w:r>
      <w:r w:rsidR="00937D6A">
        <w:rPr>
          <w:u w:val="none"/>
        </w:rPr>
        <w:t xml:space="preserve"> it is accepted that labo</w:t>
      </w:r>
      <w:r w:rsidR="00695582">
        <w:rPr>
          <w:u w:val="none"/>
        </w:rPr>
        <w:t>ur ought to progress at 1 cm pe</w:t>
      </w:r>
      <w:r w:rsidR="00937D6A">
        <w:rPr>
          <w:u w:val="none"/>
        </w:rPr>
        <w:t>r</w:t>
      </w:r>
      <w:r w:rsidR="00695582">
        <w:rPr>
          <w:u w:val="none"/>
        </w:rPr>
        <w:t xml:space="preserve"> hour</w:t>
      </w:r>
      <w:r w:rsidR="00C8287A">
        <w:rPr>
          <w:u w:val="none"/>
        </w:rPr>
        <w:t>. The</w:t>
      </w:r>
      <w:r w:rsidR="00937D6A">
        <w:rPr>
          <w:u w:val="none"/>
        </w:rPr>
        <w:t xml:space="preserve"> plaintiff s</w:t>
      </w:r>
      <w:r w:rsidR="009C180B">
        <w:rPr>
          <w:u w:val="none"/>
        </w:rPr>
        <w:t xml:space="preserve">hould </w:t>
      </w:r>
      <w:r w:rsidR="00A32C02">
        <w:rPr>
          <w:u w:val="none"/>
        </w:rPr>
        <w:t>therefore</w:t>
      </w:r>
      <w:r w:rsidR="00C8287A">
        <w:rPr>
          <w:u w:val="none"/>
        </w:rPr>
        <w:t xml:space="preserve"> </w:t>
      </w:r>
      <w:r w:rsidR="009C180B">
        <w:rPr>
          <w:u w:val="none"/>
        </w:rPr>
        <w:t>have delivered by 07</w:t>
      </w:r>
      <w:r w:rsidR="00481A59">
        <w:rPr>
          <w:u w:val="none"/>
        </w:rPr>
        <w:t>h</w:t>
      </w:r>
      <w:r w:rsidR="009C180B">
        <w:rPr>
          <w:u w:val="none"/>
        </w:rPr>
        <w:t>00</w:t>
      </w:r>
      <w:r w:rsidR="00937D6A">
        <w:rPr>
          <w:u w:val="none"/>
        </w:rPr>
        <w:t>. Desp</w:t>
      </w:r>
      <w:r w:rsidR="00B72B41">
        <w:rPr>
          <w:u w:val="none"/>
        </w:rPr>
        <w:t xml:space="preserve">ite this the staff did </w:t>
      </w:r>
      <w:r w:rsidR="00937D6A">
        <w:rPr>
          <w:u w:val="none"/>
        </w:rPr>
        <w:t>not take any action in respect of the labo</w:t>
      </w:r>
      <w:r w:rsidR="001B2C3C">
        <w:rPr>
          <w:u w:val="none"/>
        </w:rPr>
        <w:t>ur as required by the Maternal G</w:t>
      </w:r>
      <w:r w:rsidR="00937D6A">
        <w:rPr>
          <w:u w:val="none"/>
        </w:rPr>
        <w:t>uidelines. Any labo</w:t>
      </w:r>
      <w:r w:rsidR="00982F51">
        <w:rPr>
          <w:u w:val="none"/>
        </w:rPr>
        <w:t>u</w:t>
      </w:r>
      <w:r w:rsidR="00937D6A">
        <w:rPr>
          <w:u w:val="none"/>
        </w:rPr>
        <w:t xml:space="preserve">r that exceeds the action </w:t>
      </w:r>
      <w:r w:rsidR="001B7D71">
        <w:rPr>
          <w:u w:val="none"/>
        </w:rPr>
        <w:t>line requires continuous cardiotocography</w:t>
      </w:r>
      <w:r w:rsidR="00937D6A">
        <w:rPr>
          <w:u w:val="none"/>
        </w:rPr>
        <w:t xml:space="preserve"> monitoring</w:t>
      </w:r>
      <w:r w:rsidR="00982F51">
        <w:rPr>
          <w:u w:val="none"/>
        </w:rPr>
        <w:t>,</w:t>
      </w:r>
      <w:r w:rsidR="00937D6A">
        <w:rPr>
          <w:u w:val="none"/>
        </w:rPr>
        <w:t xml:space="preserve"> which also was not done in her case. </w:t>
      </w:r>
    </w:p>
    <w:p w14:paraId="30F25E58" w14:textId="77777777" w:rsidR="00F971F2" w:rsidRDefault="00F971F2" w:rsidP="00590263">
      <w:pPr>
        <w:spacing w:line="360" w:lineRule="auto"/>
        <w:jc w:val="both"/>
        <w:rPr>
          <w:u w:val="none"/>
        </w:rPr>
      </w:pPr>
    </w:p>
    <w:p w14:paraId="5D1A15A8" w14:textId="77777777" w:rsidR="00937D6A" w:rsidRDefault="00D15608" w:rsidP="00590263">
      <w:pPr>
        <w:spacing w:line="360" w:lineRule="auto"/>
        <w:jc w:val="both"/>
        <w:rPr>
          <w:u w:val="none"/>
        </w:rPr>
      </w:pPr>
      <w:r>
        <w:rPr>
          <w:u w:val="none"/>
        </w:rPr>
        <w:t xml:space="preserve">[9]     </w:t>
      </w:r>
      <w:r w:rsidR="000C722D">
        <w:rPr>
          <w:u w:val="none"/>
        </w:rPr>
        <w:t>Dr Murray furthermore said</w:t>
      </w:r>
      <w:r w:rsidR="00937D6A">
        <w:rPr>
          <w:u w:val="none"/>
        </w:rPr>
        <w:t xml:space="preserve"> that in view of the </w:t>
      </w:r>
      <w:r w:rsidR="00982F51">
        <w:rPr>
          <w:u w:val="none"/>
        </w:rPr>
        <w:t>fact that the plaintiff had crossed the action line, she ought</w:t>
      </w:r>
      <w:r w:rsidR="00937D6A">
        <w:rPr>
          <w:u w:val="none"/>
        </w:rPr>
        <w:t xml:space="preserve"> to</w:t>
      </w:r>
      <w:r w:rsidR="00982F51">
        <w:rPr>
          <w:u w:val="none"/>
        </w:rPr>
        <w:t xml:space="preserve"> have been referred to </w:t>
      </w:r>
      <w:r w:rsidR="00937D6A">
        <w:rPr>
          <w:u w:val="none"/>
        </w:rPr>
        <w:t>a hospital. This was never done. Furthermore</w:t>
      </w:r>
      <w:r w:rsidR="000C722D">
        <w:rPr>
          <w:u w:val="none"/>
        </w:rPr>
        <w:t>,</w:t>
      </w:r>
      <w:r w:rsidR="00937D6A">
        <w:rPr>
          <w:u w:val="none"/>
        </w:rPr>
        <w:t xml:space="preserve"> no monitoring was done between </w:t>
      </w:r>
      <w:r w:rsidR="00982F51">
        <w:rPr>
          <w:u w:val="none"/>
        </w:rPr>
        <w:t>06h00 and 09h25 when</w:t>
      </w:r>
      <w:r w:rsidR="00937D6A">
        <w:rPr>
          <w:u w:val="none"/>
        </w:rPr>
        <w:t xml:space="preserve"> the plaintiff eventually gave birth. This happen</w:t>
      </w:r>
      <w:r w:rsidR="00C04C33">
        <w:rPr>
          <w:u w:val="none"/>
        </w:rPr>
        <w:t xml:space="preserve">ed despite the fact that </w:t>
      </w:r>
      <w:r w:rsidR="00E264BF">
        <w:rPr>
          <w:u w:val="none"/>
        </w:rPr>
        <w:t xml:space="preserve">at </w:t>
      </w:r>
      <w:r w:rsidR="00C04C33">
        <w:rPr>
          <w:u w:val="none"/>
        </w:rPr>
        <w:t>07h45 the staff had decided to transfer her to a hospital</w:t>
      </w:r>
      <w:r w:rsidR="00937D6A">
        <w:rPr>
          <w:u w:val="none"/>
        </w:rPr>
        <w:t>. For some reason this never happened.</w:t>
      </w:r>
    </w:p>
    <w:p w14:paraId="4CBDB701" w14:textId="77777777" w:rsidR="00E264BF" w:rsidRDefault="00E264BF" w:rsidP="00590263">
      <w:pPr>
        <w:spacing w:line="360" w:lineRule="auto"/>
        <w:jc w:val="both"/>
        <w:rPr>
          <w:u w:val="none"/>
        </w:rPr>
      </w:pPr>
    </w:p>
    <w:p w14:paraId="25228D90" w14:textId="28C61C2D" w:rsidR="00475F75" w:rsidRDefault="00D15608" w:rsidP="00590263">
      <w:pPr>
        <w:spacing w:line="360" w:lineRule="auto"/>
        <w:jc w:val="both"/>
        <w:rPr>
          <w:u w:val="none"/>
        </w:rPr>
      </w:pPr>
      <w:r>
        <w:rPr>
          <w:u w:val="none"/>
        </w:rPr>
        <w:lastRenderedPageBreak/>
        <w:t xml:space="preserve">[10]    </w:t>
      </w:r>
      <w:r w:rsidR="00937D6A">
        <w:rPr>
          <w:u w:val="none"/>
        </w:rPr>
        <w:t>At birth the baby was near</w:t>
      </w:r>
      <w:r w:rsidR="00E700CE">
        <w:rPr>
          <w:u w:val="none"/>
        </w:rPr>
        <w:t xml:space="preserve">ly dead, had </w:t>
      </w:r>
      <w:r w:rsidR="00AF3CCE">
        <w:rPr>
          <w:u w:val="none"/>
        </w:rPr>
        <w:t xml:space="preserve">a </w:t>
      </w:r>
      <w:r w:rsidR="00E700CE">
        <w:rPr>
          <w:u w:val="none"/>
        </w:rPr>
        <w:t xml:space="preserve">low </w:t>
      </w:r>
      <w:r w:rsidR="00937D6A">
        <w:rPr>
          <w:u w:val="none"/>
        </w:rPr>
        <w:t xml:space="preserve">Apgar </w:t>
      </w:r>
      <w:r w:rsidR="00AF3CCE">
        <w:rPr>
          <w:u w:val="none"/>
        </w:rPr>
        <w:t>score</w:t>
      </w:r>
      <w:r w:rsidR="00E700CE">
        <w:rPr>
          <w:u w:val="none"/>
        </w:rPr>
        <w:t>, needed resuscitation,</w:t>
      </w:r>
      <w:r w:rsidR="00937D6A">
        <w:rPr>
          <w:u w:val="none"/>
        </w:rPr>
        <w:t xml:space="preserve"> had aspirated meconium, was limp and did not cry. The medical records furthermore indicate that despite the fact that </w:t>
      </w:r>
      <w:r w:rsidR="00E700CE">
        <w:rPr>
          <w:u w:val="none"/>
        </w:rPr>
        <w:t>foetal</w:t>
      </w:r>
      <w:r w:rsidR="00937D6A">
        <w:rPr>
          <w:u w:val="none"/>
        </w:rPr>
        <w:t xml:space="preserve"> distress was present, the defendant</w:t>
      </w:r>
      <w:r w:rsidR="00E700CE">
        <w:rPr>
          <w:u w:val="none"/>
        </w:rPr>
        <w:t>’s</w:t>
      </w:r>
      <w:r w:rsidR="00937D6A">
        <w:rPr>
          <w:u w:val="none"/>
        </w:rPr>
        <w:t xml:space="preserve"> staff did not t</w:t>
      </w:r>
      <w:r w:rsidR="00910715">
        <w:rPr>
          <w:u w:val="none"/>
        </w:rPr>
        <w:t>ake any cognizance thereof and in all likelihood had missed it</w:t>
      </w:r>
      <w:r w:rsidR="00937D6A">
        <w:rPr>
          <w:u w:val="none"/>
        </w:rPr>
        <w:t xml:space="preserve"> due to substandard monitoring. She furthermore testified that a combination of </w:t>
      </w:r>
      <w:r w:rsidR="00910715">
        <w:rPr>
          <w:u w:val="none"/>
        </w:rPr>
        <w:t>foetal</w:t>
      </w:r>
      <w:r w:rsidR="00937D6A">
        <w:rPr>
          <w:u w:val="none"/>
        </w:rPr>
        <w:t xml:space="preserve"> </w:t>
      </w:r>
      <w:r w:rsidR="001545FA">
        <w:rPr>
          <w:u w:val="none"/>
        </w:rPr>
        <w:t>di</w:t>
      </w:r>
      <w:r w:rsidR="00937D6A">
        <w:rPr>
          <w:u w:val="none"/>
        </w:rPr>
        <w:t>stress, the condition of the baby at birth, low Apgar scores and the fact that meconium was present, indica</w:t>
      </w:r>
      <w:r w:rsidR="00194CA1">
        <w:rPr>
          <w:u w:val="none"/>
        </w:rPr>
        <w:t>te</w:t>
      </w:r>
      <w:r w:rsidR="00937D6A">
        <w:rPr>
          <w:u w:val="none"/>
        </w:rPr>
        <w:t xml:space="preserve"> a high probability that the injury was due to hypoxia during labo</w:t>
      </w:r>
      <w:r w:rsidR="00910715">
        <w:rPr>
          <w:u w:val="none"/>
        </w:rPr>
        <w:t>u</w:t>
      </w:r>
      <w:r w:rsidR="00937D6A">
        <w:rPr>
          <w:u w:val="none"/>
        </w:rPr>
        <w:t xml:space="preserve">r. The records furthermore indicate that the </w:t>
      </w:r>
      <w:r w:rsidR="0001679D">
        <w:rPr>
          <w:u w:val="none"/>
        </w:rPr>
        <w:t>child</w:t>
      </w:r>
      <w:r w:rsidR="00937D6A">
        <w:rPr>
          <w:u w:val="none"/>
        </w:rPr>
        <w:t xml:space="preserve"> was diagnosed with hy</w:t>
      </w:r>
      <w:r w:rsidR="00910715">
        <w:rPr>
          <w:u w:val="none"/>
        </w:rPr>
        <w:t xml:space="preserve">poxic ischemic </w:t>
      </w:r>
      <w:r w:rsidR="00301B8D">
        <w:rPr>
          <w:u w:val="none"/>
        </w:rPr>
        <w:t>encephalopathy</w:t>
      </w:r>
      <w:r w:rsidR="00937D6A">
        <w:rPr>
          <w:u w:val="none"/>
        </w:rPr>
        <w:t xml:space="preserve"> after birth. She</w:t>
      </w:r>
      <w:r w:rsidR="00194CA1">
        <w:rPr>
          <w:u w:val="none"/>
        </w:rPr>
        <w:t xml:space="preserve"> furthermore expressed the opinion </w:t>
      </w:r>
      <w:r w:rsidR="00937D6A">
        <w:rPr>
          <w:u w:val="none"/>
        </w:rPr>
        <w:t>that on a conspectus of the evidence it appears highly unlikely that the in</w:t>
      </w:r>
      <w:r w:rsidR="00296645">
        <w:rPr>
          <w:u w:val="none"/>
        </w:rPr>
        <w:t>jury was caused either ante -</w:t>
      </w:r>
      <w:r w:rsidR="00937D6A">
        <w:rPr>
          <w:u w:val="none"/>
        </w:rPr>
        <w:t xml:space="preserve"> or post</w:t>
      </w:r>
      <w:r w:rsidR="00F519B0">
        <w:rPr>
          <w:u w:val="none"/>
        </w:rPr>
        <w:t>-</w:t>
      </w:r>
      <w:r w:rsidR="00937D6A">
        <w:rPr>
          <w:u w:val="none"/>
        </w:rPr>
        <w:t>partum. In addition</w:t>
      </w:r>
      <w:r w:rsidR="00296645">
        <w:rPr>
          <w:u w:val="none"/>
        </w:rPr>
        <w:t>,</w:t>
      </w:r>
      <w:r w:rsidR="00937D6A">
        <w:rPr>
          <w:u w:val="none"/>
        </w:rPr>
        <w:t xml:space="preserve"> she was of the view that no </w:t>
      </w:r>
      <w:r w:rsidR="00296645">
        <w:rPr>
          <w:u w:val="none"/>
        </w:rPr>
        <w:t>s</w:t>
      </w:r>
      <w:r w:rsidR="00937D6A">
        <w:rPr>
          <w:u w:val="none"/>
        </w:rPr>
        <w:t xml:space="preserve">entinel event had occurred. </w:t>
      </w:r>
    </w:p>
    <w:p w14:paraId="399D8BE1" w14:textId="77777777" w:rsidR="00475F75" w:rsidRDefault="00475F75" w:rsidP="00590263">
      <w:pPr>
        <w:spacing w:line="360" w:lineRule="auto"/>
        <w:jc w:val="both"/>
        <w:rPr>
          <w:u w:val="none"/>
        </w:rPr>
      </w:pPr>
    </w:p>
    <w:p w14:paraId="6C0C03E9" w14:textId="77777777" w:rsidR="00937D6A" w:rsidRDefault="00D15608" w:rsidP="00590263">
      <w:pPr>
        <w:spacing w:line="360" w:lineRule="auto"/>
        <w:jc w:val="both"/>
        <w:rPr>
          <w:u w:val="none"/>
        </w:rPr>
      </w:pPr>
      <w:r>
        <w:rPr>
          <w:u w:val="none"/>
        </w:rPr>
        <w:t xml:space="preserve">[11]    </w:t>
      </w:r>
      <w:r w:rsidR="00937D6A">
        <w:rPr>
          <w:u w:val="none"/>
        </w:rPr>
        <w:t xml:space="preserve">She furthermore testified that the condition of the </w:t>
      </w:r>
      <w:r w:rsidR="00996F01">
        <w:rPr>
          <w:u w:val="none"/>
        </w:rPr>
        <w:t>foetus</w:t>
      </w:r>
      <w:r w:rsidR="00937D6A">
        <w:rPr>
          <w:u w:val="none"/>
        </w:rPr>
        <w:t xml:space="preserve"> was ini</w:t>
      </w:r>
      <w:r w:rsidR="00475F75">
        <w:rPr>
          <w:u w:val="none"/>
        </w:rPr>
        <w:t>tially fine and worsened</w:t>
      </w:r>
      <w:r w:rsidR="00937D6A">
        <w:rPr>
          <w:u w:val="none"/>
        </w:rPr>
        <w:t xml:space="preserve"> during the course of labo</w:t>
      </w:r>
      <w:r w:rsidR="00996F01">
        <w:rPr>
          <w:u w:val="none"/>
        </w:rPr>
        <w:t>u</w:t>
      </w:r>
      <w:r w:rsidR="00937D6A">
        <w:rPr>
          <w:u w:val="none"/>
        </w:rPr>
        <w:t>r as a result of the failure by the staff to monitor and manage the labo</w:t>
      </w:r>
      <w:r w:rsidR="00996F01">
        <w:rPr>
          <w:u w:val="none"/>
        </w:rPr>
        <w:t>u</w:t>
      </w:r>
      <w:r w:rsidR="00937D6A">
        <w:rPr>
          <w:u w:val="none"/>
        </w:rPr>
        <w:t>r appropriately in accordance with the prescribed guidelines. S</w:t>
      </w:r>
      <w:r w:rsidR="000A22A8">
        <w:rPr>
          <w:u w:val="none"/>
        </w:rPr>
        <w:t>he sai</w:t>
      </w:r>
      <w:r w:rsidR="00996F01">
        <w:rPr>
          <w:u w:val="none"/>
        </w:rPr>
        <w:t>d in conclusion that had</w:t>
      </w:r>
      <w:r w:rsidR="00937D6A">
        <w:rPr>
          <w:u w:val="none"/>
        </w:rPr>
        <w:t xml:space="preserve"> monitoring been done in accordance with the legal requirements and guidelines</w:t>
      </w:r>
      <w:r w:rsidR="00996F01">
        <w:rPr>
          <w:u w:val="none"/>
        </w:rPr>
        <w:t xml:space="preserve">, </w:t>
      </w:r>
      <w:r w:rsidR="00937D6A">
        <w:rPr>
          <w:u w:val="none"/>
        </w:rPr>
        <w:t xml:space="preserve">the staff would have picked up the </w:t>
      </w:r>
      <w:r w:rsidR="00996F01">
        <w:rPr>
          <w:u w:val="none"/>
        </w:rPr>
        <w:t>foetal</w:t>
      </w:r>
      <w:r w:rsidR="00937D6A">
        <w:rPr>
          <w:u w:val="none"/>
        </w:rPr>
        <w:t xml:space="preserve"> distress and </w:t>
      </w:r>
      <w:r w:rsidR="00DD53AB">
        <w:rPr>
          <w:u w:val="none"/>
        </w:rPr>
        <w:t>c</w:t>
      </w:r>
      <w:r w:rsidR="00996F01">
        <w:rPr>
          <w:u w:val="none"/>
        </w:rPr>
        <w:t xml:space="preserve">ould </w:t>
      </w:r>
      <w:r w:rsidR="00937D6A">
        <w:rPr>
          <w:u w:val="none"/>
        </w:rPr>
        <w:t xml:space="preserve">have taken the appropriate steps which, in all probability, would have prevented brain damage to the </w:t>
      </w:r>
      <w:r w:rsidR="00996F01">
        <w:rPr>
          <w:u w:val="none"/>
        </w:rPr>
        <w:t>foetus</w:t>
      </w:r>
      <w:r w:rsidR="00937D6A">
        <w:rPr>
          <w:u w:val="none"/>
        </w:rPr>
        <w:t>. S</w:t>
      </w:r>
      <w:r w:rsidR="00996F01">
        <w:rPr>
          <w:u w:val="none"/>
        </w:rPr>
        <w:t xml:space="preserve">he also confirmed a joint minute </w:t>
      </w:r>
      <w:r w:rsidR="00937D6A">
        <w:rPr>
          <w:u w:val="none"/>
        </w:rPr>
        <w:t>which had been concluded with</w:t>
      </w:r>
      <w:r w:rsidR="00695582">
        <w:rPr>
          <w:u w:val="none"/>
        </w:rPr>
        <w:t xml:space="preserve"> Dr. </w:t>
      </w:r>
      <w:r w:rsidR="00885EF5">
        <w:rPr>
          <w:u w:val="none"/>
        </w:rPr>
        <w:t>J</w:t>
      </w:r>
      <w:r w:rsidR="00FE0A2B">
        <w:rPr>
          <w:u w:val="none"/>
        </w:rPr>
        <w:t xml:space="preserve">anovski, </w:t>
      </w:r>
      <w:r w:rsidR="00695582">
        <w:rPr>
          <w:u w:val="none"/>
        </w:rPr>
        <w:t>the defendant</w:t>
      </w:r>
      <w:r w:rsidR="00FE0A2B">
        <w:rPr>
          <w:u w:val="none"/>
        </w:rPr>
        <w:t>’s</w:t>
      </w:r>
      <w:r w:rsidR="00695582">
        <w:rPr>
          <w:u w:val="none"/>
        </w:rPr>
        <w:t xml:space="preserve"> expert</w:t>
      </w:r>
      <w:r w:rsidR="00BE6A5C">
        <w:rPr>
          <w:u w:val="none"/>
        </w:rPr>
        <w:t>,</w:t>
      </w:r>
      <w:r w:rsidR="00695582">
        <w:rPr>
          <w:u w:val="none"/>
        </w:rPr>
        <w:t xml:space="preserve"> </w:t>
      </w:r>
      <w:r w:rsidR="00FE0A2B">
        <w:rPr>
          <w:u w:val="none"/>
        </w:rPr>
        <w:t>who was in agreement with her</w:t>
      </w:r>
      <w:r w:rsidR="00695582">
        <w:rPr>
          <w:u w:val="none"/>
        </w:rPr>
        <w:t xml:space="preserve"> conclusions and</w:t>
      </w:r>
      <w:r w:rsidR="00FE0A2B">
        <w:rPr>
          <w:u w:val="none"/>
        </w:rPr>
        <w:t xml:space="preserve"> opinion</w:t>
      </w:r>
      <w:r w:rsidR="00972035">
        <w:rPr>
          <w:u w:val="none"/>
        </w:rPr>
        <w:t>s</w:t>
      </w:r>
      <w:r w:rsidR="00695582">
        <w:rPr>
          <w:u w:val="none"/>
        </w:rPr>
        <w:t>.</w:t>
      </w:r>
    </w:p>
    <w:p w14:paraId="23FF054C" w14:textId="77777777" w:rsidR="00662C54" w:rsidRDefault="00662C54" w:rsidP="00590263">
      <w:pPr>
        <w:spacing w:line="360" w:lineRule="auto"/>
        <w:jc w:val="both"/>
        <w:rPr>
          <w:u w:val="none"/>
        </w:rPr>
      </w:pPr>
    </w:p>
    <w:p w14:paraId="097AEDA2" w14:textId="77777777" w:rsidR="00662C54" w:rsidRDefault="00D15608" w:rsidP="00590263">
      <w:pPr>
        <w:spacing w:line="360" w:lineRule="auto"/>
        <w:jc w:val="both"/>
        <w:rPr>
          <w:u w:val="none"/>
        </w:rPr>
      </w:pPr>
      <w:r>
        <w:rPr>
          <w:u w:val="none"/>
        </w:rPr>
        <w:t xml:space="preserve">[12]     </w:t>
      </w:r>
      <w:r w:rsidR="00301B8D">
        <w:rPr>
          <w:u w:val="none"/>
        </w:rPr>
        <w:t>Prof</w:t>
      </w:r>
      <w:r w:rsidR="00A068A2">
        <w:rPr>
          <w:u w:val="none"/>
        </w:rPr>
        <w:t xml:space="preserve"> Andronikou</w:t>
      </w:r>
      <w:r w:rsidR="00FA6CD5">
        <w:rPr>
          <w:u w:val="none"/>
        </w:rPr>
        <w:t xml:space="preserve"> testified that the injury was a combination of a </w:t>
      </w:r>
      <w:r w:rsidR="00982683">
        <w:rPr>
          <w:u w:val="none"/>
        </w:rPr>
        <w:t>partial-</w:t>
      </w:r>
      <w:r w:rsidR="00FA6CD5">
        <w:rPr>
          <w:u w:val="none"/>
        </w:rPr>
        <w:t>prolonged and a</w:t>
      </w:r>
      <w:r w:rsidR="00982683">
        <w:rPr>
          <w:u w:val="none"/>
        </w:rPr>
        <w:t>cute-profound injury. The acute-</w:t>
      </w:r>
      <w:r w:rsidR="00FA6CD5">
        <w:rPr>
          <w:u w:val="none"/>
        </w:rPr>
        <w:t xml:space="preserve">profound injury would have occurred after the </w:t>
      </w:r>
      <w:r w:rsidR="00A068A2">
        <w:rPr>
          <w:u w:val="none"/>
        </w:rPr>
        <w:t>prolonged portion of the injury</w:t>
      </w:r>
      <w:r w:rsidR="00C343B5">
        <w:rPr>
          <w:u w:val="none"/>
        </w:rPr>
        <w:t>. T</w:t>
      </w:r>
      <w:r w:rsidR="00FA6CD5">
        <w:rPr>
          <w:u w:val="none"/>
        </w:rPr>
        <w:t xml:space="preserve">he </w:t>
      </w:r>
      <w:r w:rsidR="00A068A2">
        <w:rPr>
          <w:u w:val="none"/>
        </w:rPr>
        <w:t xml:space="preserve">MRI </w:t>
      </w:r>
      <w:r w:rsidR="009C38FF">
        <w:rPr>
          <w:u w:val="none"/>
        </w:rPr>
        <w:t>scan indicated a</w:t>
      </w:r>
      <w:r w:rsidR="00FA6CD5">
        <w:rPr>
          <w:u w:val="none"/>
        </w:rPr>
        <w:t>n injury to a term baby</w:t>
      </w:r>
      <w:r w:rsidR="00A068A2">
        <w:rPr>
          <w:u w:val="none"/>
        </w:rPr>
        <w:t>,</w:t>
      </w:r>
      <w:r w:rsidR="00FA6CD5">
        <w:rPr>
          <w:u w:val="none"/>
        </w:rPr>
        <w:t xml:space="preserve"> which excludes the possibility that the </w:t>
      </w:r>
      <w:r w:rsidR="00A068A2">
        <w:rPr>
          <w:u w:val="none"/>
        </w:rPr>
        <w:t>foetus</w:t>
      </w:r>
      <w:r w:rsidR="002926F3">
        <w:rPr>
          <w:u w:val="none"/>
        </w:rPr>
        <w:t xml:space="preserve"> was injured early in pregnancy</w:t>
      </w:r>
      <w:r w:rsidR="00A068A2">
        <w:rPr>
          <w:u w:val="none"/>
        </w:rPr>
        <w:t xml:space="preserve"> or after birth. In his opinion there is a high probability that</w:t>
      </w:r>
      <w:r w:rsidR="00FA6CD5">
        <w:rPr>
          <w:u w:val="none"/>
        </w:rPr>
        <w:t xml:space="preserve"> the injury occurred during the course of labo</w:t>
      </w:r>
      <w:r w:rsidR="00A068A2">
        <w:rPr>
          <w:u w:val="none"/>
        </w:rPr>
        <w:t>u</w:t>
      </w:r>
      <w:r w:rsidR="00FA6CD5">
        <w:rPr>
          <w:u w:val="none"/>
        </w:rPr>
        <w:t>r</w:t>
      </w:r>
      <w:r w:rsidR="00A068A2">
        <w:rPr>
          <w:u w:val="none"/>
        </w:rPr>
        <w:t>,</w:t>
      </w:r>
      <w:r w:rsidR="00FA6CD5">
        <w:rPr>
          <w:u w:val="none"/>
        </w:rPr>
        <w:t xml:space="preserve"> namely intra</w:t>
      </w:r>
      <w:r w:rsidR="00A068A2">
        <w:rPr>
          <w:u w:val="none"/>
        </w:rPr>
        <w:t>-</w:t>
      </w:r>
      <w:r w:rsidR="00FA6CD5">
        <w:rPr>
          <w:u w:val="none"/>
        </w:rPr>
        <w:t xml:space="preserve">partum. He also confirmed that the </w:t>
      </w:r>
      <w:r w:rsidR="00B464CD">
        <w:rPr>
          <w:u w:val="none"/>
        </w:rPr>
        <w:t xml:space="preserve">child’s </w:t>
      </w:r>
      <w:r w:rsidR="00FA6CD5">
        <w:rPr>
          <w:u w:val="none"/>
        </w:rPr>
        <w:t xml:space="preserve">clinical picture and </w:t>
      </w:r>
      <w:r w:rsidR="00A068A2">
        <w:rPr>
          <w:u w:val="none"/>
        </w:rPr>
        <w:t xml:space="preserve">the </w:t>
      </w:r>
      <w:r w:rsidR="00FA6CD5">
        <w:rPr>
          <w:u w:val="none"/>
        </w:rPr>
        <w:t xml:space="preserve">injury pattern was consistent with the child’s present condition. </w:t>
      </w:r>
      <w:r w:rsidR="00A068A2">
        <w:rPr>
          <w:u w:val="none"/>
        </w:rPr>
        <w:t>He t</w:t>
      </w:r>
      <w:r w:rsidR="00FA6CD5">
        <w:rPr>
          <w:u w:val="none"/>
        </w:rPr>
        <w:t>estified</w:t>
      </w:r>
      <w:r w:rsidR="00A068A2">
        <w:rPr>
          <w:u w:val="none"/>
        </w:rPr>
        <w:t>,</w:t>
      </w:r>
      <w:r w:rsidR="00FA6CD5">
        <w:rPr>
          <w:u w:val="none"/>
        </w:rPr>
        <w:t xml:space="preserve"> in addition</w:t>
      </w:r>
      <w:r w:rsidR="00A068A2">
        <w:rPr>
          <w:u w:val="none"/>
        </w:rPr>
        <w:t>,</w:t>
      </w:r>
      <w:r w:rsidR="00FA6CD5">
        <w:rPr>
          <w:u w:val="none"/>
        </w:rPr>
        <w:t xml:space="preserve"> that </w:t>
      </w:r>
      <w:r w:rsidR="00A068A2">
        <w:rPr>
          <w:u w:val="none"/>
        </w:rPr>
        <w:t>hypoglycaemia</w:t>
      </w:r>
      <w:r w:rsidR="00FA6CD5">
        <w:rPr>
          <w:u w:val="none"/>
        </w:rPr>
        <w:t xml:space="preserve"> was noted</w:t>
      </w:r>
      <w:r w:rsidR="00A068A2">
        <w:rPr>
          <w:u w:val="none"/>
        </w:rPr>
        <w:t>,</w:t>
      </w:r>
      <w:r w:rsidR="00FA6CD5">
        <w:rPr>
          <w:u w:val="none"/>
        </w:rPr>
        <w:t xml:space="preserve"> which should be regarded a</w:t>
      </w:r>
      <w:r w:rsidR="00B213FC">
        <w:rPr>
          <w:u w:val="none"/>
        </w:rPr>
        <w:t>s an additional feature and</w:t>
      </w:r>
      <w:r w:rsidR="00FA6CD5">
        <w:rPr>
          <w:u w:val="none"/>
        </w:rPr>
        <w:t xml:space="preserve"> not as the original cause of the injury. In his opinion the probability that the injury could have been </w:t>
      </w:r>
      <w:r w:rsidR="00676A43">
        <w:rPr>
          <w:u w:val="none"/>
        </w:rPr>
        <w:t>caused by other factors was extremely</w:t>
      </w:r>
      <w:r w:rsidR="00FA6CD5">
        <w:rPr>
          <w:u w:val="none"/>
        </w:rPr>
        <w:t xml:space="preserve"> low.</w:t>
      </w:r>
    </w:p>
    <w:p w14:paraId="4BFB1C18" w14:textId="77777777" w:rsidR="005D09F8" w:rsidRDefault="005D09F8" w:rsidP="00590263">
      <w:pPr>
        <w:spacing w:line="360" w:lineRule="auto"/>
        <w:jc w:val="both"/>
        <w:rPr>
          <w:u w:val="none"/>
        </w:rPr>
      </w:pPr>
    </w:p>
    <w:p w14:paraId="7B71A00E" w14:textId="77777777" w:rsidR="006930CA" w:rsidRDefault="00D15608" w:rsidP="00590263">
      <w:pPr>
        <w:spacing w:line="360" w:lineRule="auto"/>
        <w:jc w:val="both"/>
        <w:rPr>
          <w:u w:val="none"/>
        </w:rPr>
      </w:pPr>
      <w:r>
        <w:rPr>
          <w:u w:val="none"/>
        </w:rPr>
        <w:lastRenderedPageBreak/>
        <w:t xml:space="preserve">[13]    </w:t>
      </w:r>
      <w:r w:rsidR="00301B8D">
        <w:rPr>
          <w:u w:val="none"/>
        </w:rPr>
        <w:t>Dr</w:t>
      </w:r>
      <w:r w:rsidR="00FA6CD5">
        <w:rPr>
          <w:u w:val="none"/>
        </w:rPr>
        <w:t xml:space="preserve"> Kara confirmed that the child is suffering from dystonic cerebral palsy</w:t>
      </w:r>
      <w:r w:rsidR="00D13B32">
        <w:rPr>
          <w:u w:val="none"/>
        </w:rPr>
        <w:t>, has</w:t>
      </w:r>
      <w:r w:rsidR="00FA6CD5">
        <w:rPr>
          <w:u w:val="none"/>
        </w:rPr>
        <w:t xml:space="preserve"> poor cognitive function</w:t>
      </w:r>
      <w:r w:rsidR="00D13B32">
        <w:rPr>
          <w:u w:val="none"/>
        </w:rPr>
        <w:t>,</w:t>
      </w:r>
      <w:r w:rsidR="00FA6CD5">
        <w:rPr>
          <w:u w:val="none"/>
        </w:rPr>
        <w:t xml:space="preserve"> with epilepsy and microcephaly. He was also of the opinion tha</w:t>
      </w:r>
      <w:r w:rsidR="00E76740">
        <w:rPr>
          <w:u w:val="none"/>
        </w:rPr>
        <w:t>t the MRI scan clearly indicates</w:t>
      </w:r>
      <w:r w:rsidR="00FA6CD5">
        <w:rPr>
          <w:u w:val="none"/>
        </w:rPr>
        <w:t xml:space="preserve"> that the child’s condition was caused by a</w:t>
      </w:r>
      <w:r w:rsidR="00D13B32">
        <w:rPr>
          <w:u w:val="none"/>
        </w:rPr>
        <w:t xml:space="preserve"> hypoxic ischemic injury. I</w:t>
      </w:r>
      <w:r w:rsidR="00FA6CD5">
        <w:rPr>
          <w:u w:val="none"/>
        </w:rPr>
        <w:t>nsof</w:t>
      </w:r>
      <w:r w:rsidR="00D13B32">
        <w:rPr>
          <w:u w:val="none"/>
        </w:rPr>
        <w:t xml:space="preserve">ar as the timing of the injury is concerned, he </w:t>
      </w:r>
      <w:r w:rsidR="00FA6CD5">
        <w:rPr>
          <w:u w:val="none"/>
        </w:rPr>
        <w:t>indicated that there was nothing in the records to indicate the presence of</w:t>
      </w:r>
      <w:r w:rsidR="00D13B32">
        <w:rPr>
          <w:u w:val="none"/>
        </w:rPr>
        <w:t xml:space="preserve"> any antenatal risk factor or</w:t>
      </w:r>
      <w:r w:rsidR="00FA6CD5">
        <w:rPr>
          <w:u w:val="none"/>
        </w:rPr>
        <w:t xml:space="preserve"> to suggest</w:t>
      </w:r>
      <w:r w:rsidR="00746DC6">
        <w:rPr>
          <w:u w:val="none"/>
        </w:rPr>
        <w:t xml:space="preserve"> that the injury occurred </w:t>
      </w:r>
      <w:r w:rsidR="00784C53">
        <w:rPr>
          <w:u w:val="none"/>
        </w:rPr>
        <w:t>after birth</w:t>
      </w:r>
      <w:r w:rsidR="00C155EB">
        <w:rPr>
          <w:u w:val="none"/>
        </w:rPr>
        <w:t>. He said</w:t>
      </w:r>
      <w:r w:rsidR="00FA6CD5">
        <w:rPr>
          <w:u w:val="none"/>
        </w:rPr>
        <w:t xml:space="preserve"> that in hi</w:t>
      </w:r>
      <w:r w:rsidR="00D13B32">
        <w:rPr>
          <w:u w:val="none"/>
        </w:rPr>
        <w:t>s opinion there is almost</w:t>
      </w:r>
      <w:r w:rsidR="00FA6CD5">
        <w:rPr>
          <w:u w:val="none"/>
        </w:rPr>
        <w:t xml:space="preserve"> zero probability tha</w:t>
      </w:r>
      <w:r w:rsidR="00C155EB">
        <w:rPr>
          <w:u w:val="none"/>
        </w:rPr>
        <w:t>t the injury occurred after birth</w:t>
      </w:r>
      <w:r w:rsidR="00FA6CD5">
        <w:rPr>
          <w:u w:val="none"/>
        </w:rPr>
        <w:t xml:space="preserve">. </w:t>
      </w:r>
      <w:r w:rsidR="00A068A2">
        <w:rPr>
          <w:u w:val="none"/>
        </w:rPr>
        <w:t xml:space="preserve">In his opinion, based on the fact that there was </w:t>
      </w:r>
      <w:r w:rsidR="00D13B32">
        <w:rPr>
          <w:u w:val="none"/>
        </w:rPr>
        <w:t>foetal</w:t>
      </w:r>
      <w:r w:rsidR="00A068A2">
        <w:rPr>
          <w:u w:val="none"/>
        </w:rPr>
        <w:t xml:space="preserve"> distress, poor progress in labo</w:t>
      </w:r>
      <w:r w:rsidR="00D13B32">
        <w:rPr>
          <w:u w:val="none"/>
        </w:rPr>
        <w:t>ur, meconium liquor, low Apgar score</w:t>
      </w:r>
      <w:r w:rsidR="00A068A2">
        <w:rPr>
          <w:u w:val="none"/>
        </w:rPr>
        <w:t xml:space="preserve"> at birth and need for resuscitation</w:t>
      </w:r>
      <w:r w:rsidR="00D13B32">
        <w:rPr>
          <w:u w:val="none"/>
        </w:rPr>
        <w:t xml:space="preserve">, </w:t>
      </w:r>
      <w:r w:rsidR="00A068A2">
        <w:rPr>
          <w:u w:val="none"/>
        </w:rPr>
        <w:t>ev</w:t>
      </w:r>
      <w:r w:rsidR="00D13B32">
        <w:rPr>
          <w:u w:val="none"/>
        </w:rPr>
        <w:t>idence of moderate encephalopathy for</w:t>
      </w:r>
      <w:r w:rsidR="00A068A2">
        <w:rPr>
          <w:u w:val="none"/>
        </w:rPr>
        <w:t xml:space="preserve"> several days after birth</w:t>
      </w:r>
      <w:r w:rsidR="00D13B32">
        <w:rPr>
          <w:u w:val="none"/>
        </w:rPr>
        <w:t>,</w:t>
      </w:r>
      <w:r w:rsidR="00A068A2">
        <w:rPr>
          <w:u w:val="none"/>
        </w:rPr>
        <w:t xml:space="preserve"> and the findings of the MRI scan</w:t>
      </w:r>
      <w:r w:rsidR="00D13B32">
        <w:rPr>
          <w:u w:val="none"/>
        </w:rPr>
        <w:t xml:space="preserve">, </w:t>
      </w:r>
      <w:r w:rsidR="00A068A2">
        <w:rPr>
          <w:u w:val="none"/>
        </w:rPr>
        <w:t>there is a high probability that the hypoxic injury which resulted in cerebral palsy occurred during labo</w:t>
      </w:r>
      <w:r w:rsidR="00D13B32">
        <w:rPr>
          <w:u w:val="none"/>
        </w:rPr>
        <w:t>u</w:t>
      </w:r>
      <w:r w:rsidR="00A068A2">
        <w:rPr>
          <w:u w:val="none"/>
        </w:rPr>
        <w:t>r.</w:t>
      </w:r>
    </w:p>
    <w:p w14:paraId="51162309" w14:textId="77777777" w:rsidR="00AB3960" w:rsidRDefault="00AB3960" w:rsidP="00590263">
      <w:pPr>
        <w:spacing w:line="360" w:lineRule="auto"/>
        <w:jc w:val="both"/>
        <w:rPr>
          <w:u w:val="none"/>
        </w:rPr>
      </w:pPr>
    </w:p>
    <w:p w14:paraId="594AE41D" w14:textId="77777777" w:rsidR="006A1989" w:rsidRPr="006A1989" w:rsidRDefault="00885C09" w:rsidP="00590263">
      <w:pPr>
        <w:spacing w:line="360" w:lineRule="auto"/>
        <w:jc w:val="both"/>
        <w:rPr>
          <w:u w:val="none"/>
        </w:rPr>
      </w:pPr>
      <w:r>
        <w:rPr>
          <w:u w:val="none"/>
        </w:rPr>
        <w:t>[1</w:t>
      </w:r>
      <w:r w:rsidR="00C71C53">
        <w:rPr>
          <w:u w:val="none"/>
        </w:rPr>
        <w:t>4</w:t>
      </w:r>
      <w:r w:rsidR="00D15608">
        <w:rPr>
          <w:u w:val="none"/>
        </w:rPr>
        <w:t xml:space="preserve">]   </w:t>
      </w:r>
      <w:r w:rsidR="003D0317" w:rsidRPr="00A91DB1">
        <w:rPr>
          <w:u w:val="none"/>
        </w:rPr>
        <w:t>The test for negligence is whether a reasonable person in the position of the defendant would foresee the reasonable possibility of his or her conduct injuring the person of another or his or her property and causing him or her patrimonial loss; would take reasonable steps to guard against such occurrence; and that the defendant has failed to take such steps. (</w:t>
      </w:r>
      <w:r w:rsidR="003D0317" w:rsidRPr="00A91DB1">
        <w:rPr>
          <w:i/>
          <w:u w:val="none"/>
        </w:rPr>
        <w:t xml:space="preserve">Kruger v Coetzee </w:t>
      </w:r>
      <w:r w:rsidR="003D0317" w:rsidRPr="00A91DB1">
        <w:rPr>
          <w:u w:val="none"/>
        </w:rPr>
        <w:t>1966(2) SA 428 (A) at 430E-F)</w:t>
      </w:r>
      <w:r w:rsidR="006A1989" w:rsidRPr="006A1989">
        <w:rPr>
          <w:u w:val="none"/>
        </w:rPr>
        <w:t xml:space="preserve"> [33]    I am mindful though of the dangers inherent in applying the abovementioned test in an inflexible and rigid manner. In </w:t>
      </w:r>
      <w:r w:rsidR="006A1989" w:rsidRPr="006A1989">
        <w:rPr>
          <w:i/>
          <w:u w:val="none"/>
        </w:rPr>
        <w:t>Sea Harvest Corporation (Pty) Ltd v Duncan Dock Cold Storage (Pty) Ltd and Another</w:t>
      </w:r>
      <w:r w:rsidR="00402121">
        <w:rPr>
          <w:i/>
          <w:u w:val="none"/>
          <w:vertAlign w:val="superscript"/>
        </w:rPr>
        <w:t xml:space="preserve">  </w:t>
      </w:r>
      <w:r w:rsidR="00402121" w:rsidRPr="00402121">
        <w:rPr>
          <w:rFonts w:cstheme="minorHAnsi"/>
          <w:u w:val="none"/>
        </w:rPr>
        <w:t>200</w:t>
      </w:r>
      <w:r w:rsidR="00402121">
        <w:rPr>
          <w:rFonts w:cstheme="minorHAnsi"/>
          <w:u w:val="none"/>
        </w:rPr>
        <w:t>0 (1) SA 827 (SCA), at para. 22,</w:t>
      </w:r>
      <w:r w:rsidR="006A1989" w:rsidRPr="006A1989">
        <w:rPr>
          <w:u w:val="none"/>
        </w:rPr>
        <w:t xml:space="preserve"> Scott JA cautioned against such ‘rigid adherence to what is in reality no more than a formula for determining negligence must inevitably open the way to injustice in unusual cases’. </w:t>
      </w:r>
    </w:p>
    <w:p w14:paraId="291E1031" w14:textId="77777777" w:rsidR="003D0317" w:rsidRPr="00A91DB1" w:rsidRDefault="003D0317" w:rsidP="00590263">
      <w:pPr>
        <w:spacing w:line="360" w:lineRule="auto"/>
        <w:jc w:val="both"/>
        <w:rPr>
          <w:u w:val="none"/>
        </w:rPr>
      </w:pPr>
    </w:p>
    <w:p w14:paraId="015FF19C" w14:textId="77777777" w:rsidR="003D0317" w:rsidRPr="00A91DB1" w:rsidRDefault="0064591C" w:rsidP="00590263">
      <w:pPr>
        <w:tabs>
          <w:tab w:val="left" w:pos="851"/>
          <w:tab w:val="right" w:pos="9026"/>
        </w:tabs>
        <w:spacing w:line="360" w:lineRule="auto"/>
        <w:jc w:val="both"/>
        <w:rPr>
          <w:u w:val="none"/>
        </w:rPr>
      </w:pPr>
      <w:r>
        <w:rPr>
          <w:u w:val="none"/>
        </w:rPr>
        <w:t>[15</w:t>
      </w:r>
      <w:r w:rsidR="00942F05">
        <w:rPr>
          <w:u w:val="none"/>
        </w:rPr>
        <w:t xml:space="preserve">]   </w:t>
      </w:r>
      <w:r w:rsidR="003D0317" w:rsidRPr="00A91DB1">
        <w:rPr>
          <w:u w:val="none"/>
        </w:rPr>
        <w:t>Thus the plaintiff is required to prove, on a balance of probabilities, that the defendant’s employees failed to exercise reasonable skill and care, in other words, that their conduct fell below the standard of a reasonably competent practitioner in their field and that the aforesaid negligence caused the child’s injury. A medical practitioner is bound to employ reasonable skill and care, and is liable for the consequences if he or she does not. (</w:t>
      </w:r>
      <w:r w:rsidR="003D0317" w:rsidRPr="00A91DB1">
        <w:rPr>
          <w:i/>
          <w:u w:val="none"/>
        </w:rPr>
        <w:t xml:space="preserve">Goliath v Members of the Executive Council for Health, Eastern Cape </w:t>
      </w:r>
      <w:r w:rsidR="003D0317" w:rsidRPr="00A91DB1">
        <w:rPr>
          <w:u w:val="none"/>
        </w:rPr>
        <w:t xml:space="preserve">2015 (2) SA 97 (SCA)) </w:t>
      </w:r>
    </w:p>
    <w:p w14:paraId="58C49DED" w14:textId="77777777" w:rsidR="003D0317" w:rsidRPr="00A91DB1" w:rsidRDefault="003D0317" w:rsidP="00590263">
      <w:pPr>
        <w:pStyle w:val="ListParagraph"/>
        <w:spacing w:line="360" w:lineRule="auto"/>
        <w:jc w:val="both"/>
        <w:rPr>
          <w:u w:val="none"/>
        </w:rPr>
      </w:pPr>
    </w:p>
    <w:p w14:paraId="09EB660B" w14:textId="77777777" w:rsidR="003D0317" w:rsidRPr="00A91DB1" w:rsidRDefault="0064591C" w:rsidP="00590263">
      <w:pPr>
        <w:tabs>
          <w:tab w:val="left" w:pos="851"/>
          <w:tab w:val="right" w:pos="9026"/>
        </w:tabs>
        <w:spacing w:line="360" w:lineRule="auto"/>
        <w:jc w:val="both"/>
        <w:rPr>
          <w:u w:val="none"/>
        </w:rPr>
      </w:pPr>
      <w:r>
        <w:rPr>
          <w:u w:val="none"/>
        </w:rPr>
        <w:t>[16</w:t>
      </w:r>
      <w:r w:rsidR="00942F05">
        <w:rPr>
          <w:u w:val="none"/>
        </w:rPr>
        <w:t xml:space="preserve">]    </w:t>
      </w:r>
      <w:r w:rsidR="003D0317" w:rsidRPr="00A91DB1">
        <w:rPr>
          <w:u w:val="none"/>
        </w:rPr>
        <w:t xml:space="preserve">The plaintiff is not required to prove that the inference she contends for is the only reasonable inference. It is sufficient for her to convince the court that the inference </w:t>
      </w:r>
      <w:r w:rsidR="003D0317" w:rsidRPr="00A91DB1">
        <w:rPr>
          <w:u w:val="none"/>
        </w:rPr>
        <w:lastRenderedPageBreak/>
        <w:t>advanced “is the most readily apparent and acceptable inference from a number of possible inferences”. (</w:t>
      </w:r>
      <w:r w:rsidR="003D0317" w:rsidRPr="00A91DB1">
        <w:rPr>
          <w:i/>
          <w:u w:val="none"/>
        </w:rPr>
        <w:t>Goliath</w:t>
      </w:r>
      <w:r w:rsidR="003D0317" w:rsidRPr="00A91DB1">
        <w:rPr>
          <w:u w:val="none"/>
        </w:rPr>
        <w:t xml:space="preserve"> (supra), at para. 19)</w:t>
      </w:r>
    </w:p>
    <w:p w14:paraId="26B663E1" w14:textId="77777777" w:rsidR="003D0317" w:rsidRPr="00A91DB1" w:rsidRDefault="003D0317" w:rsidP="00590263">
      <w:pPr>
        <w:pStyle w:val="ListParagraph"/>
        <w:spacing w:line="360" w:lineRule="auto"/>
        <w:jc w:val="both"/>
        <w:rPr>
          <w:u w:val="none"/>
        </w:rPr>
      </w:pPr>
    </w:p>
    <w:p w14:paraId="3E2264D6" w14:textId="77777777" w:rsidR="003D0317" w:rsidRPr="00A91DB1" w:rsidRDefault="00885C09" w:rsidP="00590263">
      <w:pPr>
        <w:tabs>
          <w:tab w:val="left" w:pos="851"/>
          <w:tab w:val="right" w:pos="9026"/>
        </w:tabs>
        <w:spacing w:line="360" w:lineRule="auto"/>
        <w:jc w:val="both"/>
        <w:rPr>
          <w:u w:val="none"/>
        </w:rPr>
      </w:pPr>
      <w:r>
        <w:rPr>
          <w:u w:val="none"/>
        </w:rPr>
        <w:t>[1</w:t>
      </w:r>
      <w:r w:rsidR="0064591C">
        <w:rPr>
          <w:u w:val="none"/>
        </w:rPr>
        <w:t>7</w:t>
      </w:r>
      <w:r w:rsidR="00942F05">
        <w:rPr>
          <w:u w:val="none"/>
        </w:rPr>
        <w:t xml:space="preserve">]   </w:t>
      </w:r>
      <w:r w:rsidR="003D0317" w:rsidRPr="00A91DB1">
        <w:rPr>
          <w:u w:val="none"/>
        </w:rPr>
        <w:t>The court should select a conclusion that it deems to be the more natural appraisable conclusion from amongst several conceivable ones, even though that conclusion may not be the only reasonable one. The inferences drawn from the facts must be based on proved facts and not matters of speculation. (</w:t>
      </w:r>
      <w:r w:rsidR="003D0317" w:rsidRPr="00A91DB1">
        <w:rPr>
          <w:i/>
          <w:u w:val="none"/>
        </w:rPr>
        <w:t>AA Onderlinge Assuransie Beperk v De Beer</w:t>
      </w:r>
      <w:r w:rsidR="003D0317" w:rsidRPr="00A91DB1">
        <w:rPr>
          <w:u w:val="none"/>
        </w:rPr>
        <w:t xml:space="preserve"> 1982 (2) SA 603 (A))</w:t>
      </w:r>
    </w:p>
    <w:p w14:paraId="48834520" w14:textId="77777777" w:rsidR="003D0317" w:rsidRPr="004962E9" w:rsidRDefault="003D0317" w:rsidP="00590263">
      <w:pPr>
        <w:spacing w:line="360" w:lineRule="auto"/>
        <w:jc w:val="both"/>
        <w:rPr>
          <w:u w:val="none"/>
        </w:rPr>
      </w:pPr>
    </w:p>
    <w:p w14:paraId="6EFFBF3A" w14:textId="77777777" w:rsidR="003D0317" w:rsidRDefault="0064591C" w:rsidP="00590263">
      <w:pPr>
        <w:tabs>
          <w:tab w:val="left" w:pos="851"/>
          <w:tab w:val="right" w:pos="9026"/>
        </w:tabs>
        <w:spacing w:line="360" w:lineRule="auto"/>
        <w:jc w:val="both"/>
        <w:rPr>
          <w:u w:val="none"/>
        </w:rPr>
      </w:pPr>
      <w:r>
        <w:rPr>
          <w:u w:val="none"/>
        </w:rPr>
        <w:t>[18</w:t>
      </w:r>
      <w:r w:rsidR="00942F05">
        <w:rPr>
          <w:u w:val="none"/>
        </w:rPr>
        <w:t xml:space="preserve">]    </w:t>
      </w:r>
      <w:r w:rsidR="003D0317" w:rsidRPr="00A91DB1">
        <w:rPr>
          <w:u w:val="none"/>
        </w:rPr>
        <w:t xml:space="preserve">Where a plaintiff is not in a position to produce evidence on a particular aspect, less evidence will suffice to establish a prima facie case where the matter is peculiarly within the knowledge of the defendant. In such a situation there is an evidentiary burden upon the defendant to show what steps were taken to comply with the standards required.  </w:t>
      </w:r>
    </w:p>
    <w:p w14:paraId="645815C5" w14:textId="77777777" w:rsidR="002F7811" w:rsidRPr="00A91DB1" w:rsidRDefault="002F7811" w:rsidP="00590263">
      <w:pPr>
        <w:tabs>
          <w:tab w:val="left" w:pos="851"/>
          <w:tab w:val="right" w:pos="9026"/>
        </w:tabs>
        <w:spacing w:line="360" w:lineRule="auto"/>
        <w:jc w:val="both"/>
        <w:rPr>
          <w:u w:val="none"/>
        </w:rPr>
      </w:pPr>
    </w:p>
    <w:p w14:paraId="22481098" w14:textId="77777777" w:rsidR="002F7811" w:rsidRPr="00402121" w:rsidRDefault="0064591C" w:rsidP="00590263">
      <w:pPr>
        <w:tabs>
          <w:tab w:val="left" w:pos="851"/>
          <w:tab w:val="right" w:pos="9026"/>
        </w:tabs>
        <w:spacing w:line="360" w:lineRule="auto"/>
        <w:jc w:val="both"/>
        <w:rPr>
          <w:u w:val="none"/>
        </w:rPr>
      </w:pPr>
      <w:r>
        <w:rPr>
          <w:u w:val="none"/>
        </w:rPr>
        <w:t>[19</w:t>
      </w:r>
      <w:r w:rsidR="00942F05">
        <w:rPr>
          <w:u w:val="none"/>
        </w:rPr>
        <w:t xml:space="preserve">]    </w:t>
      </w:r>
      <w:r w:rsidR="002F7811" w:rsidRPr="00402121">
        <w:rPr>
          <w:u w:val="none"/>
        </w:rPr>
        <w:t xml:space="preserve">The criterion for determining factual causation, namely the well-known “but-for test” was formulated as follows by Corbett CJ in </w:t>
      </w:r>
      <w:r w:rsidR="002F7811" w:rsidRPr="00402121">
        <w:rPr>
          <w:i/>
          <w:iCs/>
          <w:u w:val="none"/>
        </w:rPr>
        <w:t>International Shipping Co (Pty) Ltd v Bentley</w:t>
      </w:r>
      <w:r w:rsidR="002F7811" w:rsidRPr="00402121">
        <w:rPr>
          <w:color w:val="000000"/>
          <w:u w:val="none"/>
        </w:rPr>
        <w:t xml:space="preserve"> 1990(1) SA 680 (A)  </w:t>
      </w:r>
      <w:r w:rsidR="002F7811" w:rsidRPr="00402121">
        <w:rPr>
          <w:u w:val="none"/>
        </w:rPr>
        <w:t xml:space="preserve">([1989] ZASCA 138) at 700E – H. </w:t>
      </w:r>
    </w:p>
    <w:p w14:paraId="41B14B85" w14:textId="77777777" w:rsidR="002F7811" w:rsidRPr="00AB0CD9" w:rsidRDefault="002F7811" w:rsidP="00590263">
      <w:pPr>
        <w:pStyle w:val="ListParagraph"/>
        <w:tabs>
          <w:tab w:val="left" w:pos="851"/>
          <w:tab w:val="right" w:pos="9026"/>
        </w:tabs>
        <w:spacing w:line="360" w:lineRule="auto"/>
        <w:ind w:left="360"/>
        <w:jc w:val="both"/>
        <w:rPr>
          <w:u w:val="none"/>
        </w:rPr>
      </w:pPr>
    </w:p>
    <w:p w14:paraId="49AAFEEA" w14:textId="23FA5D33" w:rsidR="002F7811" w:rsidRPr="00AB0CD9" w:rsidRDefault="002F7811" w:rsidP="00590263">
      <w:pPr>
        <w:pStyle w:val="ListParagraph"/>
        <w:tabs>
          <w:tab w:val="left" w:pos="851"/>
          <w:tab w:val="right" w:pos="9026"/>
        </w:tabs>
        <w:spacing w:line="360" w:lineRule="auto"/>
        <w:ind w:left="1361" w:right="1361"/>
        <w:jc w:val="both"/>
        <w:rPr>
          <w:sz w:val="22"/>
          <w:szCs w:val="22"/>
          <w:u w:val="none"/>
        </w:rPr>
      </w:pPr>
      <w:r w:rsidRPr="00AB0CD9">
        <w:rPr>
          <w:sz w:val="22"/>
          <w:szCs w:val="22"/>
          <w:u w:val="none"/>
        </w:rPr>
        <w:t>“What it essentially lays down is the enquiry — in the case of an omission — as to whether, but for the defendant's wrongful and negligent failure to take reasonable steps, the plaintiff's loss would not have ensued. In this regard this court has said on more than one occasion that the application of the 'but-for test</w:t>
      </w:r>
      <w:r w:rsidR="00F01B40" w:rsidRPr="00AB0CD9">
        <w:rPr>
          <w:sz w:val="22"/>
          <w:szCs w:val="22"/>
          <w:u w:val="none"/>
        </w:rPr>
        <w:t>’ is</w:t>
      </w:r>
      <w:r w:rsidRPr="00AB0CD9">
        <w:rPr>
          <w:sz w:val="22"/>
          <w:szCs w:val="22"/>
          <w:u w:val="none"/>
        </w:rPr>
        <w:t xml:space="preserve"> not based on mathematics, pure science or philosophy. It is a matter of common sense, based on the practical way in which the minds of ordinary people work, against the background of everyday-life experiences. In applying this common-sense, practical test, a plaintiff therefore has to establish that it is more likely than not that, but for the defendant's wrongful and negligent conduct, his or her harm would not have ensued.  The plaintiff is not required to establish this causal link with certainty.”</w:t>
      </w:r>
    </w:p>
    <w:p w14:paraId="4002296E" w14:textId="77777777" w:rsidR="002F7811" w:rsidRPr="00AB0CD9" w:rsidRDefault="002F7811" w:rsidP="00590263">
      <w:pPr>
        <w:pStyle w:val="ListParagraph"/>
        <w:tabs>
          <w:tab w:val="left" w:pos="851"/>
          <w:tab w:val="right" w:pos="9026"/>
        </w:tabs>
        <w:spacing w:line="360" w:lineRule="auto"/>
        <w:ind w:left="360"/>
        <w:jc w:val="both"/>
        <w:rPr>
          <w:u w:val="none"/>
        </w:rPr>
      </w:pPr>
    </w:p>
    <w:p w14:paraId="2DFC334F" w14:textId="77777777" w:rsidR="002F7811" w:rsidRPr="00942F05" w:rsidRDefault="0064591C" w:rsidP="00942F05">
      <w:pPr>
        <w:tabs>
          <w:tab w:val="left" w:pos="851"/>
          <w:tab w:val="right" w:pos="9026"/>
        </w:tabs>
        <w:spacing w:line="360" w:lineRule="auto"/>
        <w:jc w:val="both"/>
        <w:rPr>
          <w:u w:val="none"/>
        </w:rPr>
      </w:pPr>
      <w:r>
        <w:rPr>
          <w:u w:val="none"/>
        </w:rPr>
        <w:t>[20</w:t>
      </w:r>
      <w:r w:rsidR="00942F05">
        <w:rPr>
          <w:u w:val="none"/>
        </w:rPr>
        <w:t xml:space="preserve">]    </w:t>
      </w:r>
      <w:r w:rsidR="002F7811" w:rsidRPr="00942F05">
        <w:rPr>
          <w:u w:val="none"/>
        </w:rPr>
        <w:t xml:space="preserve">Thus a plaintiff is not required to establish a causal link with certainty, but only that the wrongful conduct was probably a cause of the loss. This calls for sensible </w:t>
      </w:r>
      <w:r w:rsidR="002F7811" w:rsidRPr="00942F05">
        <w:rPr>
          <w:u w:val="none"/>
        </w:rPr>
        <w:lastRenderedPageBreak/>
        <w:t>retrospective analysis of what would have probably occurred, based upon the evidence and what can be expected to occur in the ordinary course of human affairs, rather than an exercise in metaphysics. The correct approach is not to search for scientific certainty, but to assess where the balance of probabilities lie on a conspectus of all the evidence adduced in the case (</w:t>
      </w:r>
      <w:r w:rsidR="002F7811" w:rsidRPr="00942F05">
        <w:rPr>
          <w:i/>
          <w:u w:val="none"/>
        </w:rPr>
        <w:t>Minister of Safety and Security v Van Duivenboden</w:t>
      </w:r>
      <w:r w:rsidR="002F7811" w:rsidRPr="00942F05">
        <w:rPr>
          <w:u w:val="none"/>
        </w:rPr>
        <w:t xml:space="preserve"> 2002 (6) SA 341 SCA at 25); </w:t>
      </w:r>
      <w:r w:rsidR="002F7811" w:rsidRPr="00942F05">
        <w:rPr>
          <w:i/>
          <w:u w:val="none"/>
        </w:rPr>
        <w:t>Minister of Finance and others v Gore N.O.</w:t>
      </w:r>
      <w:r w:rsidR="002F7811" w:rsidRPr="00942F05">
        <w:rPr>
          <w:u w:val="none"/>
        </w:rPr>
        <w:t xml:space="preserve"> 2007 (1) SA 111 (SCA); (</w:t>
      </w:r>
      <w:r w:rsidR="002F7811" w:rsidRPr="00942F05">
        <w:rPr>
          <w:i/>
          <w:u w:val="none"/>
        </w:rPr>
        <w:t>Michael and another v Linksfield Park Clinic (Pty) Ltd and another</w:t>
      </w:r>
      <w:r w:rsidR="002F7811" w:rsidRPr="00942F05">
        <w:rPr>
          <w:u w:val="none"/>
        </w:rPr>
        <w:t xml:space="preserve"> 2001 (3) SA 1188 (SCA), at 1201).</w:t>
      </w:r>
    </w:p>
    <w:p w14:paraId="3F492914" w14:textId="77777777" w:rsidR="00233C91" w:rsidRPr="006151E8" w:rsidRDefault="00233C91" w:rsidP="006151E8">
      <w:pPr>
        <w:tabs>
          <w:tab w:val="left" w:pos="851"/>
          <w:tab w:val="right" w:pos="9026"/>
        </w:tabs>
        <w:spacing w:line="360" w:lineRule="auto"/>
        <w:ind w:right="1361"/>
        <w:jc w:val="both"/>
        <w:rPr>
          <w:sz w:val="22"/>
          <w:szCs w:val="22"/>
          <w:u w:val="none"/>
        </w:rPr>
      </w:pPr>
    </w:p>
    <w:p w14:paraId="74B9B3C3" w14:textId="7E31B022" w:rsidR="00233C91" w:rsidRPr="00906F6B" w:rsidRDefault="00942F05" w:rsidP="00590263">
      <w:pPr>
        <w:tabs>
          <w:tab w:val="left" w:pos="851"/>
          <w:tab w:val="right" w:pos="9026"/>
        </w:tabs>
        <w:spacing w:line="360" w:lineRule="auto"/>
        <w:jc w:val="both"/>
        <w:rPr>
          <w:u w:val="none"/>
        </w:rPr>
      </w:pPr>
      <w:r>
        <w:rPr>
          <w:u w:val="none"/>
        </w:rPr>
        <w:t>[</w:t>
      </w:r>
      <w:r w:rsidR="0064591C">
        <w:rPr>
          <w:u w:val="none"/>
        </w:rPr>
        <w:t>21</w:t>
      </w:r>
      <w:r>
        <w:rPr>
          <w:u w:val="none"/>
        </w:rPr>
        <w:t xml:space="preserve">]   </w:t>
      </w:r>
      <w:r w:rsidR="002F7811" w:rsidRPr="00233C91">
        <w:rPr>
          <w:u w:val="none"/>
        </w:rPr>
        <w:t xml:space="preserve">In </w:t>
      </w:r>
      <w:r w:rsidR="002F7811" w:rsidRPr="00233C91">
        <w:rPr>
          <w:i/>
          <w:u w:val="none"/>
        </w:rPr>
        <w:t>Oppeldt v Department of Health</w:t>
      </w:r>
      <w:r w:rsidR="002F7811" w:rsidRPr="00233C91">
        <w:rPr>
          <w:u w:val="none"/>
        </w:rPr>
        <w:t xml:space="preserve"> 2016 (1) SA 325 CC, at paras. 34 to 50, the Constitutional Court held that the </w:t>
      </w:r>
      <w:r w:rsidR="00DF5D0F">
        <w:rPr>
          <w:u w:val="none"/>
        </w:rPr>
        <w:t>‘but-</w:t>
      </w:r>
      <w:r w:rsidR="002F7811" w:rsidRPr="00233C91">
        <w:rPr>
          <w:u w:val="none"/>
        </w:rPr>
        <w:t>for</w:t>
      </w:r>
      <w:r w:rsidR="00DF5D0F">
        <w:rPr>
          <w:u w:val="none"/>
        </w:rPr>
        <w:t>’</w:t>
      </w:r>
      <w:r w:rsidR="002F7811" w:rsidRPr="00233C91">
        <w:rPr>
          <w:u w:val="none"/>
        </w:rPr>
        <w:t xml:space="preserve"> test requires flexibility and a common sense approach when the issue of causation has to be decided on the ground of an alleged negligent omission, as opposed to a negligent</w:t>
      </w:r>
      <w:r w:rsidR="00233C91" w:rsidRPr="00233C91">
        <w:rPr>
          <w:u w:val="none"/>
        </w:rPr>
        <w:t xml:space="preserve"> commission.</w:t>
      </w:r>
    </w:p>
    <w:p w14:paraId="13323555" w14:textId="77777777" w:rsidR="00942F05" w:rsidRDefault="00942F05" w:rsidP="00590263">
      <w:pPr>
        <w:spacing w:line="360" w:lineRule="auto"/>
        <w:jc w:val="both"/>
        <w:rPr>
          <w:u w:val="none"/>
        </w:rPr>
      </w:pPr>
    </w:p>
    <w:p w14:paraId="0834AA2A" w14:textId="7A6091BE" w:rsidR="00104716" w:rsidRDefault="0064591C" w:rsidP="00590263">
      <w:pPr>
        <w:spacing w:line="360" w:lineRule="auto"/>
        <w:jc w:val="both"/>
        <w:rPr>
          <w:u w:val="none"/>
        </w:rPr>
      </w:pPr>
      <w:r>
        <w:rPr>
          <w:u w:val="none"/>
        </w:rPr>
        <w:t>[22</w:t>
      </w:r>
      <w:r w:rsidR="00942F05">
        <w:rPr>
          <w:u w:val="none"/>
        </w:rPr>
        <w:t xml:space="preserve">]   </w:t>
      </w:r>
      <w:r w:rsidR="004B6B8F">
        <w:rPr>
          <w:u w:val="none"/>
        </w:rPr>
        <w:t>Applying the abovementioned legal principles to the facts of this case</w:t>
      </w:r>
      <w:r w:rsidR="00255E94">
        <w:rPr>
          <w:u w:val="none"/>
        </w:rPr>
        <w:t>,</w:t>
      </w:r>
      <w:r w:rsidR="004B6B8F">
        <w:rPr>
          <w:u w:val="none"/>
        </w:rPr>
        <w:t xml:space="preserve"> there can be little doubt that the plaintiff has </w:t>
      </w:r>
      <w:r w:rsidR="00255E94">
        <w:rPr>
          <w:u w:val="none"/>
        </w:rPr>
        <w:t>established</w:t>
      </w:r>
      <w:r w:rsidR="004B6B8F">
        <w:rPr>
          <w:u w:val="none"/>
        </w:rPr>
        <w:t xml:space="preserve">, on a balance of probabilities, that the child’s injury was caused by the negligent conduct of </w:t>
      </w:r>
      <w:r w:rsidR="00255E94">
        <w:rPr>
          <w:u w:val="none"/>
        </w:rPr>
        <w:t xml:space="preserve">the medical staff at the Clinic. </w:t>
      </w:r>
      <w:r w:rsidR="00064D2D" w:rsidRPr="00104716">
        <w:rPr>
          <w:u w:val="none"/>
        </w:rPr>
        <w:t>The uncontes</w:t>
      </w:r>
      <w:r w:rsidR="006151E8">
        <w:rPr>
          <w:u w:val="none"/>
        </w:rPr>
        <w:t>ted evidence clearly established</w:t>
      </w:r>
      <w:r w:rsidR="00064D2D" w:rsidRPr="00104716">
        <w:rPr>
          <w:u w:val="none"/>
        </w:rPr>
        <w:t xml:space="preserve"> that the defendant’s employees were negligent.</w:t>
      </w:r>
      <w:r w:rsidR="00064D2D">
        <w:rPr>
          <w:u w:val="none"/>
        </w:rPr>
        <w:t xml:space="preserve"> It was established, soon af</w:t>
      </w:r>
      <w:r w:rsidR="008D7E59">
        <w:rPr>
          <w:u w:val="none"/>
        </w:rPr>
        <w:t>ter the plaintiff’s admission to the C</w:t>
      </w:r>
      <w:r w:rsidR="00064D2D">
        <w:rPr>
          <w:u w:val="none"/>
        </w:rPr>
        <w:t>linic, that her blood pr</w:t>
      </w:r>
      <w:r w:rsidR="00104716">
        <w:rPr>
          <w:u w:val="none"/>
        </w:rPr>
        <w:t>essure was dangerously high. Dr</w:t>
      </w:r>
      <w:r w:rsidR="00064D2D">
        <w:rPr>
          <w:u w:val="none"/>
        </w:rPr>
        <w:t xml:space="preserve"> Murray was of the view that this should immediately have alerted the nursing staff to the fact that it was going to be at high risk labo</w:t>
      </w:r>
      <w:r w:rsidR="00104716">
        <w:rPr>
          <w:u w:val="none"/>
        </w:rPr>
        <w:t>u</w:t>
      </w:r>
      <w:r w:rsidR="00961F7C">
        <w:rPr>
          <w:u w:val="none"/>
        </w:rPr>
        <w:t>r</w:t>
      </w:r>
      <w:r w:rsidR="00283729">
        <w:rPr>
          <w:u w:val="none"/>
        </w:rPr>
        <w:t>. Despite this diagnosis</w:t>
      </w:r>
      <w:r w:rsidR="00064D2D">
        <w:rPr>
          <w:u w:val="none"/>
        </w:rPr>
        <w:t xml:space="preserve">, they neglected to monitor the plaintiff’s condition and </w:t>
      </w:r>
      <w:r w:rsidR="00104716">
        <w:rPr>
          <w:u w:val="none"/>
        </w:rPr>
        <w:t>foetal</w:t>
      </w:r>
      <w:r w:rsidR="00064D2D">
        <w:rPr>
          <w:u w:val="none"/>
        </w:rPr>
        <w:t xml:space="preserve"> wel</w:t>
      </w:r>
      <w:r w:rsidR="00104716">
        <w:rPr>
          <w:u w:val="none"/>
        </w:rPr>
        <w:t>l-being in accordance with the Maternity G</w:t>
      </w:r>
      <w:r w:rsidR="00064D2D">
        <w:rPr>
          <w:u w:val="none"/>
        </w:rPr>
        <w:t>uidelines. Even when it had become cl</w:t>
      </w:r>
      <w:r w:rsidR="00104716">
        <w:rPr>
          <w:u w:val="none"/>
        </w:rPr>
        <w:t>ear that the plaintiff had crossed</w:t>
      </w:r>
      <w:r w:rsidR="00064D2D">
        <w:rPr>
          <w:u w:val="none"/>
        </w:rPr>
        <w:t xml:space="preserve"> the action line and that labo</w:t>
      </w:r>
      <w:r w:rsidR="00104716">
        <w:rPr>
          <w:u w:val="none"/>
        </w:rPr>
        <w:t>u</w:t>
      </w:r>
      <w:r w:rsidR="00064D2D">
        <w:rPr>
          <w:u w:val="none"/>
        </w:rPr>
        <w:t xml:space="preserve">r was progressing dangerously slow, the staff did not take any steps to ensure </w:t>
      </w:r>
      <w:r w:rsidR="00104716">
        <w:rPr>
          <w:u w:val="none"/>
        </w:rPr>
        <w:t>foetal well-being. I</w:t>
      </w:r>
      <w:r w:rsidR="00064D2D">
        <w:rPr>
          <w:u w:val="none"/>
        </w:rPr>
        <w:t>t had obviously be</w:t>
      </w:r>
      <w:r w:rsidR="00104716">
        <w:rPr>
          <w:u w:val="none"/>
        </w:rPr>
        <w:t>come clear to them that there was</w:t>
      </w:r>
      <w:r w:rsidR="00064D2D">
        <w:rPr>
          <w:u w:val="none"/>
        </w:rPr>
        <w:t xml:space="preserve"> a need for her to be hospitalized, </w:t>
      </w:r>
      <w:r w:rsidR="00104716">
        <w:rPr>
          <w:u w:val="none"/>
        </w:rPr>
        <w:t xml:space="preserve">but </w:t>
      </w:r>
      <w:r w:rsidR="00064D2D">
        <w:rPr>
          <w:u w:val="none"/>
        </w:rPr>
        <w:t xml:space="preserve">for some reason this did not happen. </w:t>
      </w:r>
    </w:p>
    <w:p w14:paraId="6770CE25" w14:textId="77777777" w:rsidR="00104716" w:rsidRDefault="00104716" w:rsidP="00590263">
      <w:pPr>
        <w:spacing w:line="360" w:lineRule="auto"/>
        <w:jc w:val="both"/>
        <w:rPr>
          <w:u w:val="none"/>
        </w:rPr>
      </w:pPr>
    </w:p>
    <w:p w14:paraId="6DA146D1" w14:textId="74F2B906" w:rsidR="00E61751" w:rsidRDefault="00942F05" w:rsidP="00590263">
      <w:pPr>
        <w:spacing w:line="360" w:lineRule="auto"/>
        <w:jc w:val="both"/>
        <w:rPr>
          <w:u w:val="none"/>
        </w:rPr>
      </w:pPr>
      <w:r>
        <w:rPr>
          <w:u w:val="none"/>
        </w:rPr>
        <w:t>[2</w:t>
      </w:r>
      <w:r w:rsidR="00F01B40">
        <w:rPr>
          <w:u w:val="none"/>
        </w:rPr>
        <w:t>3</w:t>
      </w:r>
      <w:r>
        <w:rPr>
          <w:u w:val="none"/>
        </w:rPr>
        <w:t xml:space="preserve">]   </w:t>
      </w:r>
      <w:r w:rsidR="00064D2D">
        <w:rPr>
          <w:u w:val="none"/>
        </w:rPr>
        <w:t xml:space="preserve">There was also a period of at least three hours when the </w:t>
      </w:r>
      <w:r w:rsidR="00104716">
        <w:rPr>
          <w:u w:val="none"/>
        </w:rPr>
        <w:t>foetal</w:t>
      </w:r>
      <w:r w:rsidR="00064D2D">
        <w:rPr>
          <w:u w:val="none"/>
        </w:rPr>
        <w:t xml:space="preserve"> heart rate was not monitored</w:t>
      </w:r>
      <w:r w:rsidR="00104716">
        <w:rPr>
          <w:u w:val="none"/>
        </w:rPr>
        <w:t xml:space="preserve"> at all. Dr</w:t>
      </w:r>
      <w:r w:rsidR="00064D2D">
        <w:rPr>
          <w:u w:val="none"/>
        </w:rPr>
        <w:t xml:space="preserve"> Murray was of the opinion that it was clear that there was </w:t>
      </w:r>
      <w:r w:rsidR="00104716">
        <w:rPr>
          <w:u w:val="none"/>
        </w:rPr>
        <w:t xml:space="preserve">foetal </w:t>
      </w:r>
      <w:r w:rsidR="00064D2D">
        <w:rPr>
          <w:u w:val="none"/>
        </w:rPr>
        <w:t>distress and that it w</w:t>
      </w:r>
      <w:r w:rsidR="00104716">
        <w:rPr>
          <w:u w:val="none"/>
        </w:rPr>
        <w:t xml:space="preserve">ould have been picked up had </w:t>
      </w:r>
      <w:r w:rsidR="00064D2D">
        <w:rPr>
          <w:u w:val="none"/>
        </w:rPr>
        <w:t xml:space="preserve">the nursing staff monitored the </w:t>
      </w:r>
      <w:r w:rsidR="00104716">
        <w:rPr>
          <w:u w:val="none"/>
        </w:rPr>
        <w:t>foetal</w:t>
      </w:r>
      <w:r w:rsidR="00064D2D">
        <w:rPr>
          <w:u w:val="none"/>
        </w:rPr>
        <w:t xml:space="preserve"> hea</w:t>
      </w:r>
      <w:r w:rsidR="00104716">
        <w:rPr>
          <w:u w:val="none"/>
        </w:rPr>
        <w:t>rt rate in accordance with the Maternity G</w:t>
      </w:r>
      <w:r w:rsidR="00064D2D">
        <w:rPr>
          <w:u w:val="none"/>
        </w:rPr>
        <w:t xml:space="preserve">uidelines. She was also of the view that had the </w:t>
      </w:r>
      <w:r w:rsidR="00104716">
        <w:rPr>
          <w:u w:val="none"/>
        </w:rPr>
        <w:t>foetal distress been picked up timeously</w:t>
      </w:r>
      <w:r w:rsidR="00064D2D">
        <w:rPr>
          <w:u w:val="none"/>
        </w:rPr>
        <w:t>, steps could have been taken to prevent injury to the child.</w:t>
      </w:r>
    </w:p>
    <w:p w14:paraId="6B43F391" w14:textId="0C4906C8" w:rsidR="00064D2D" w:rsidRDefault="00942F05" w:rsidP="00590263">
      <w:pPr>
        <w:spacing w:line="360" w:lineRule="auto"/>
        <w:jc w:val="both"/>
        <w:rPr>
          <w:u w:val="none"/>
        </w:rPr>
      </w:pPr>
      <w:r>
        <w:rPr>
          <w:u w:val="none"/>
        </w:rPr>
        <w:lastRenderedPageBreak/>
        <w:t>[2</w:t>
      </w:r>
      <w:r w:rsidR="00F01B40">
        <w:rPr>
          <w:u w:val="none"/>
        </w:rPr>
        <w:t>4</w:t>
      </w:r>
      <w:r>
        <w:rPr>
          <w:u w:val="none"/>
        </w:rPr>
        <w:t xml:space="preserve">]   </w:t>
      </w:r>
      <w:r w:rsidR="00064D2D">
        <w:rPr>
          <w:u w:val="none"/>
        </w:rPr>
        <w:t xml:space="preserve">The experts were also in agreement that the hypoxic ischemic </w:t>
      </w:r>
      <w:r w:rsidR="00335BA9">
        <w:rPr>
          <w:u w:val="none"/>
        </w:rPr>
        <w:t>injury had occurred intrapartum</w:t>
      </w:r>
      <w:r w:rsidR="00064D2D">
        <w:rPr>
          <w:u w:val="none"/>
        </w:rPr>
        <w:t>. They have provided compelling reasons why they have excluded the possibility of</w:t>
      </w:r>
      <w:r w:rsidR="00EE19AD">
        <w:rPr>
          <w:u w:val="none"/>
        </w:rPr>
        <w:t xml:space="preserve"> antenatal or postnatal injury</w:t>
      </w:r>
      <w:r w:rsidR="00064D2D">
        <w:rPr>
          <w:u w:val="none"/>
        </w:rPr>
        <w:t>. They were also all in agreement that the brain injury occurred as a result of the substandard treatment administered by the defendant’s employees.</w:t>
      </w:r>
    </w:p>
    <w:p w14:paraId="28E3E33C" w14:textId="77777777" w:rsidR="00EE19AD" w:rsidRDefault="00EE19AD" w:rsidP="00590263">
      <w:pPr>
        <w:spacing w:line="360" w:lineRule="auto"/>
        <w:jc w:val="both"/>
        <w:rPr>
          <w:u w:val="none"/>
        </w:rPr>
      </w:pPr>
    </w:p>
    <w:p w14:paraId="49913B74" w14:textId="168766E9" w:rsidR="00064D2D" w:rsidRDefault="00942F05" w:rsidP="00590263">
      <w:pPr>
        <w:spacing w:line="360" w:lineRule="auto"/>
        <w:jc w:val="both"/>
        <w:rPr>
          <w:u w:val="none"/>
        </w:rPr>
      </w:pPr>
      <w:r>
        <w:rPr>
          <w:u w:val="none"/>
        </w:rPr>
        <w:t>[2</w:t>
      </w:r>
      <w:r w:rsidR="00F01B40">
        <w:rPr>
          <w:u w:val="none"/>
        </w:rPr>
        <w:t>5</w:t>
      </w:r>
      <w:r>
        <w:rPr>
          <w:u w:val="none"/>
        </w:rPr>
        <w:t>]</w:t>
      </w:r>
      <w:r w:rsidR="00F01B40">
        <w:rPr>
          <w:u w:val="none"/>
        </w:rPr>
        <w:tab/>
      </w:r>
      <w:r w:rsidR="00064D2D">
        <w:rPr>
          <w:u w:val="none"/>
        </w:rPr>
        <w:t>I am accordingly of the view that the evidence established that the child’s brain injury and consequent cerebral palsy was caused by the negligent management of plaintiff’s labo</w:t>
      </w:r>
      <w:r w:rsidR="00EE19AD">
        <w:rPr>
          <w:u w:val="none"/>
        </w:rPr>
        <w:t>u</w:t>
      </w:r>
      <w:r w:rsidR="00064D2D">
        <w:rPr>
          <w:u w:val="none"/>
        </w:rPr>
        <w:t>r by the defendant</w:t>
      </w:r>
      <w:r w:rsidR="00EE19AD">
        <w:rPr>
          <w:u w:val="none"/>
        </w:rPr>
        <w:t>’s</w:t>
      </w:r>
      <w:r w:rsidR="00064D2D">
        <w:rPr>
          <w:u w:val="none"/>
        </w:rPr>
        <w:t xml:space="preserve"> staff. I am furthermore of the view that the evidence also established that if they had acted app</w:t>
      </w:r>
      <w:r w:rsidR="00EE19AD">
        <w:rPr>
          <w:u w:val="none"/>
        </w:rPr>
        <w:t xml:space="preserve">ropriately and in terms of the Maternity </w:t>
      </w:r>
      <w:r w:rsidR="00064D2D">
        <w:rPr>
          <w:u w:val="none"/>
        </w:rPr>
        <w:t>guidelines, the brain injury to the minor child could have been avoided.</w:t>
      </w:r>
    </w:p>
    <w:p w14:paraId="63A2B5FE" w14:textId="77777777" w:rsidR="00064D2D" w:rsidRDefault="00064D2D" w:rsidP="00590263">
      <w:pPr>
        <w:spacing w:line="360" w:lineRule="auto"/>
        <w:jc w:val="both"/>
        <w:rPr>
          <w:u w:val="none"/>
        </w:rPr>
      </w:pPr>
    </w:p>
    <w:p w14:paraId="742CBDD7" w14:textId="5176E481" w:rsidR="009469DB" w:rsidRDefault="00942F05" w:rsidP="00590263">
      <w:pPr>
        <w:spacing w:line="360" w:lineRule="auto"/>
        <w:jc w:val="both"/>
        <w:rPr>
          <w:u w:val="none"/>
        </w:rPr>
      </w:pPr>
      <w:r>
        <w:rPr>
          <w:u w:val="none"/>
        </w:rPr>
        <w:t>[2</w:t>
      </w:r>
      <w:r w:rsidR="00F01B40">
        <w:rPr>
          <w:u w:val="none"/>
        </w:rPr>
        <w:t>6</w:t>
      </w:r>
      <w:r>
        <w:rPr>
          <w:u w:val="none"/>
        </w:rPr>
        <w:t xml:space="preserve">]    </w:t>
      </w:r>
      <w:r w:rsidR="009469DB">
        <w:rPr>
          <w:u w:val="none"/>
        </w:rPr>
        <w:t>In the result the following order issues:</w:t>
      </w:r>
    </w:p>
    <w:p w14:paraId="737BE8DF" w14:textId="77777777" w:rsidR="009469DB" w:rsidRDefault="009469DB" w:rsidP="00590263">
      <w:pPr>
        <w:spacing w:line="360" w:lineRule="auto"/>
        <w:jc w:val="both"/>
        <w:rPr>
          <w:u w:val="none"/>
        </w:rPr>
      </w:pPr>
    </w:p>
    <w:p w14:paraId="73A1B84E" w14:textId="77777777" w:rsidR="00942F05" w:rsidRDefault="009469DB" w:rsidP="00942F05">
      <w:pPr>
        <w:pStyle w:val="ListParagraph"/>
        <w:numPr>
          <w:ilvl w:val="0"/>
          <w:numId w:val="6"/>
        </w:numPr>
        <w:spacing w:line="360" w:lineRule="auto"/>
        <w:jc w:val="both"/>
        <w:rPr>
          <w:u w:val="none"/>
        </w:rPr>
      </w:pPr>
      <w:r w:rsidRPr="00942F05">
        <w:rPr>
          <w:u w:val="none"/>
        </w:rPr>
        <w:t>The defendant is liable for such damages as the plaintiff may</w:t>
      </w:r>
      <w:r w:rsidR="00FD4669" w:rsidRPr="00942F05">
        <w:rPr>
          <w:u w:val="none"/>
        </w:rPr>
        <w:t xml:space="preserve"> prove both </w:t>
      </w:r>
      <w:r w:rsidR="00110FE0" w:rsidRPr="00942F05">
        <w:rPr>
          <w:u w:val="none"/>
        </w:rPr>
        <w:t xml:space="preserve">in </w:t>
      </w:r>
      <w:r w:rsidR="00FD4669" w:rsidRPr="00942F05">
        <w:rPr>
          <w:u w:val="none"/>
        </w:rPr>
        <w:t>her</w:t>
      </w:r>
      <w:r w:rsidRPr="00942F05">
        <w:rPr>
          <w:u w:val="none"/>
        </w:rPr>
        <w:t xml:space="preserve"> personal</w:t>
      </w:r>
      <w:r w:rsidR="00FD4669" w:rsidRPr="00942F05">
        <w:rPr>
          <w:u w:val="none"/>
        </w:rPr>
        <w:t xml:space="preserve"> and her representative capacity on behalf of her minor child, Mtheteleli</w:t>
      </w:r>
      <w:r w:rsidRPr="00942F05">
        <w:rPr>
          <w:u w:val="none"/>
        </w:rPr>
        <w:t xml:space="preserve">, </w:t>
      </w:r>
      <w:r w:rsidR="00FD4669" w:rsidRPr="00942F05">
        <w:rPr>
          <w:u w:val="none"/>
        </w:rPr>
        <w:t xml:space="preserve">in </w:t>
      </w:r>
      <w:r w:rsidRPr="00942F05">
        <w:rPr>
          <w:u w:val="none"/>
        </w:rPr>
        <w:t>respect of the negligent t</w:t>
      </w:r>
      <w:r w:rsidR="000C06C4">
        <w:rPr>
          <w:u w:val="none"/>
        </w:rPr>
        <w:t>reatment she received during her</w:t>
      </w:r>
      <w:r w:rsidRPr="00942F05">
        <w:rPr>
          <w:u w:val="none"/>
        </w:rPr>
        <w:t xml:space="preserve"> pregnancy, labo</w:t>
      </w:r>
      <w:r w:rsidR="00FD4669" w:rsidRPr="00942F05">
        <w:rPr>
          <w:u w:val="none"/>
        </w:rPr>
        <w:t>u</w:t>
      </w:r>
      <w:r w:rsidRPr="00942F05">
        <w:rPr>
          <w:u w:val="none"/>
        </w:rPr>
        <w:t>r and t</w:t>
      </w:r>
      <w:r w:rsidR="00906F6B" w:rsidRPr="00942F05">
        <w:rPr>
          <w:u w:val="none"/>
        </w:rPr>
        <w:t>he delivery of Mthete</w:t>
      </w:r>
      <w:r w:rsidR="00FD4669" w:rsidRPr="00942F05">
        <w:rPr>
          <w:u w:val="none"/>
        </w:rPr>
        <w:t>leli</w:t>
      </w:r>
      <w:r w:rsidR="006A3CC7" w:rsidRPr="00942F05">
        <w:rPr>
          <w:u w:val="none"/>
        </w:rPr>
        <w:t xml:space="preserve"> on 24 May 2013.</w:t>
      </w:r>
    </w:p>
    <w:p w14:paraId="1E288DEF" w14:textId="77777777" w:rsidR="00942F05" w:rsidRDefault="00942F05" w:rsidP="00942F05">
      <w:pPr>
        <w:pStyle w:val="ListParagraph"/>
        <w:spacing w:line="360" w:lineRule="auto"/>
        <w:jc w:val="both"/>
        <w:rPr>
          <w:u w:val="none"/>
        </w:rPr>
      </w:pPr>
    </w:p>
    <w:p w14:paraId="14D9DE92" w14:textId="77777777" w:rsidR="009469DB" w:rsidRPr="00942F05" w:rsidRDefault="00FD4669" w:rsidP="00942F05">
      <w:pPr>
        <w:pStyle w:val="ListParagraph"/>
        <w:numPr>
          <w:ilvl w:val="0"/>
          <w:numId w:val="6"/>
        </w:numPr>
        <w:spacing w:line="360" w:lineRule="auto"/>
        <w:jc w:val="both"/>
        <w:rPr>
          <w:u w:val="none"/>
        </w:rPr>
      </w:pPr>
      <w:r w:rsidRPr="00942F05">
        <w:rPr>
          <w:u w:val="none"/>
        </w:rPr>
        <w:t>T</w:t>
      </w:r>
      <w:r w:rsidR="009469DB" w:rsidRPr="00942F05">
        <w:rPr>
          <w:u w:val="none"/>
        </w:rPr>
        <w:t>he defendant is liable for the costs of trial on the is</w:t>
      </w:r>
      <w:r w:rsidR="00246676" w:rsidRPr="00942F05">
        <w:rPr>
          <w:u w:val="none"/>
        </w:rPr>
        <w:t>sue of liability</w:t>
      </w:r>
      <w:r w:rsidR="00C87428">
        <w:rPr>
          <w:u w:val="none"/>
        </w:rPr>
        <w:t>,</w:t>
      </w:r>
      <w:r w:rsidR="00246676" w:rsidRPr="00942F05">
        <w:rPr>
          <w:u w:val="none"/>
        </w:rPr>
        <w:t xml:space="preserve"> including all r</w:t>
      </w:r>
      <w:r w:rsidR="009469DB" w:rsidRPr="00942F05">
        <w:rPr>
          <w:u w:val="none"/>
        </w:rPr>
        <w:t>eserve</w:t>
      </w:r>
      <w:r w:rsidR="00246676" w:rsidRPr="00942F05">
        <w:rPr>
          <w:u w:val="none"/>
        </w:rPr>
        <w:t>d</w:t>
      </w:r>
      <w:r w:rsidR="009469DB" w:rsidRPr="00942F05">
        <w:rPr>
          <w:u w:val="none"/>
        </w:rPr>
        <w:t xml:space="preserve"> costs, if any, together with interest thereon at the prevailing legal rate from 14 days after date of taxation or agreement to date of final payment thereof</w:t>
      </w:r>
      <w:r w:rsidR="00246676" w:rsidRPr="00942F05">
        <w:rPr>
          <w:u w:val="none"/>
        </w:rPr>
        <w:t>,</w:t>
      </w:r>
      <w:r w:rsidR="009469DB" w:rsidRPr="00942F05">
        <w:rPr>
          <w:u w:val="none"/>
        </w:rPr>
        <w:t xml:space="preserve"> which cost</w:t>
      </w:r>
      <w:r w:rsidR="00246676" w:rsidRPr="00942F05">
        <w:rPr>
          <w:u w:val="none"/>
        </w:rPr>
        <w:t>s</w:t>
      </w:r>
      <w:r w:rsidR="009469DB" w:rsidRPr="00942F05">
        <w:rPr>
          <w:u w:val="none"/>
        </w:rPr>
        <w:t xml:space="preserve"> will furthermore include;</w:t>
      </w:r>
    </w:p>
    <w:p w14:paraId="053C4B3A" w14:textId="77777777" w:rsidR="006A3CC7" w:rsidRPr="006A3CC7" w:rsidRDefault="006A3CC7" w:rsidP="00590263">
      <w:pPr>
        <w:spacing w:line="360" w:lineRule="auto"/>
        <w:jc w:val="both"/>
        <w:rPr>
          <w:u w:val="none"/>
        </w:rPr>
      </w:pPr>
    </w:p>
    <w:p w14:paraId="751EAEC8" w14:textId="77777777" w:rsidR="00957D0F" w:rsidRPr="00942F05" w:rsidRDefault="00942F05" w:rsidP="00942F05">
      <w:pPr>
        <w:pStyle w:val="ListParagraph"/>
        <w:numPr>
          <w:ilvl w:val="1"/>
          <w:numId w:val="5"/>
        </w:numPr>
        <w:spacing w:line="360" w:lineRule="auto"/>
        <w:jc w:val="both"/>
        <w:rPr>
          <w:u w:val="none"/>
        </w:rPr>
      </w:pPr>
      <w:r>
        <w:rPr>
          <w:u w:val="none"/>
        </w:rPr>
        <w:t xml:space="preserve"> </w:t>
      </w:r>
      <w:r w:rsidR="009469DB" w:rsidRPr="00942F05">
        <w:rPr>
          <w:u w:val="none"/>
        </w:rPr>
        <w:t>the cost</w:t>
      </w:r>
      <w:r w:rsidR="00246676" w:rsidRPr="00942F05">
        <w:rPr>
          <w:u w:val="none"/>
        </w:rPr>
        <w:t>s</w:t>
      </w:r>
      <w:r w:rsidR="009469DB" w:rsidRPr="00942F05">
        <w:rPr>
          <w:u w:val="none"/>
        </w:rPr>
        <w:t xml:space="preserve"> of t</w:t>
      </w:r>
      <w:r w:rsidR="006A3CC7" w:rsidRPr="00942F05">
        <w:rPr>
          <w:u w:val="none"/>
        </w:rPr>
        <w:t>w</w:t>
      </w:r>
      <w:r w:rsidR="009469DB" w:rsidRPr="00942F05">
        <w:rPr>
          <w:u w:val="none"/>
        </w:rPr>
        <w:t>o counsel</w:t>
      </w:r>
      <w:r w:rsidR="006A3CC7" w:rsidRPr="00942F05">
        <w:rPr>
          <w:u w:val="none"/>
        </w:rPr>
        <w:t>;</w:t>
      </w:r>
    </w:p>
    <w:p w14:paraId="35243022" w14:textId="77777777" w:rsidR="00957D0F" w:rsidRPr="00957D0F" w:rsidRDefault="00957D0F" w:rsidP="00590263">
      <w:pPr>
        <w:pStyle w:val="ListParagraph"/>
        <w:spacing w:line="360" w:lineRule="auto"/>
        <w:ind w:left="1650"/>
        <w:jc w:val="both"/>
        <w:rPr>
          <w:u w:val="none"/>
        </w:rPr>
      </w:pPr>
    </w:p>
    <w:p w14:paraId="48575D65" w14:textId="4240B1F5" w:rsidR="00246676" w:rsidRPr="00E57FA7" w:rsidRDefault="009469DB" w:rsidP="00E57FA7">
      <w:pPr>
        <w:pStyle w:val="ListParagraph"/>
        <w:numPr>
          <w:ilvl w:val="2"/>
          <w:numId w:val="6"/>
        </w:numPr>
        <w:spacing w:line="360" w:lineRule="auto"/>
        <w:jc w:val="both"/>
        <w:rPr>
          <w:u w:val="none"/>
        </w:rPr>
      </w:pPr>
      <w:r w:rsidRPr="00E57FA7">
        <w:rPr>
          <w:u w:val="none"/>
        </w:rPr>
        <w:t>the cost</w:t>
      </w:r>
      <w:r w:rsidR="006A3CC7" w:rsidRPr="00E57FA7">
        <w:rPr>
          <w:u w:val="none"/>
        </w:rPr>
        <w:t>s</w:t>
      </w:r>
      <w:r w:rsidRPr="00E57FA7">
        <w:rPr>
          <w:u w:val="none"/>
        </w:rPr>
        <w:t xml:space="preserve"> of preparing for consultations and trial</w:t>
      </w:r>
      <w:r w:rsidR="006A3CC7" w:rsidRPr="00E57FA7">
        <w:rPr>
          <w:u w:val="none"/>
        </w:rPr>
        <w:t>,</w:t>
      </w:r>
      <w:r w:rsidRPr="00E57FA7">
        <w:rPr>
          <w:u w:val="none"/>
        </w:rPr>
        <w:t xml:space="preserve"> including the costs of consultations with the various expert witnesses and the plaintiff</w:t>
      </w:r>
      <w:r w:rsidR="00957D0F" w:rsidRPr="00E57FA7">
        <w:rPr>
          <w:u w:val="none"/>
        </w:rPr>
        <w:t>;</w:t>
      </w:r>
    </w:p>
    <w:p w14:paraId="5AA6CBC0" w14:textId="77777777" w:rsidR="00957D0F" w:rsidRPr="00957D0F" w:rsidRDefault="00957D0F" w:rsidP="00590263">
      <w:pPr>
        <w:spacing w:line="360" w:lineRule="auto"/>
        <w:jc w:val="both"/>
        <w:rPr>
          <w:u w:val="none"/>
        </w:rPr>
      </w:pPr>
    </w:p>
    <w:p w14:paraId="4BE35958" w14:textId="38726DFB" w:rsidR="00246676" w:rsidRPr="00E57FA7" w:rsidRDefault="009469DB" w:rsidP="00E57FA7">
      <w:pPr>
        <w:pStyle w:val="ListParagraph"/>
        <w:numPr>
          <w:ilvl w:val="2"/>
          <w:numId w:val="6"/>
        </w:numPr>
        <w:spacing w:line="360" w:lineRule="auto"/>
        <w:jc w:val="both"/>
        <w:rPr>
          <w:u w:val="none"/>
        </w:rPr>
      </w:pPr>
      <w:r w:rsidRPr="00E57FA7">
        <w:rPr>
          <w:u w:val="none"/>
        </w:rPr>
        <w:t>the tra</w:t>
      </w:r>
      <w:r w:rsidR="00957D0F" w:rsidRPr="00E57FA7">
        <w:rPr>
          <w:u w:val="none"/>
        </w:rPr>
        <w:t>veling and accommodation costs</w:t>
      </w:r>
      <w:r w:rsidRPr="00E57FA7">
        <w:rPr>
          <w:u w:val="none"/>
        </w:rPr>
        <w:t xml:space="preserve"> of plaintiff’s legal representatives attending consultations and court</w:t>
      </w:r>
      <w:r w:rsidR="00957D0F" w:rsidRPr="00E57FA7">
        <w:rPr>
          <w:u w:val="none"/>
        </w:rPr>
        <w:t>;</w:t>
      </w:r>
    </w:p>
    <w:p w14:paraId="6BE76194" w14:textId="77777777" w:rsidR="00957D0F" w:rsidRPr="00957D0F" w:rsidRDefault="00957D0F" w:rsidP="00590263">
      <w:pPr>
        <w:spacing w:line="360" w:lineRule="auto"/>
        <w:jc w:val="both"/>
        <w:rPr>
          <w:u w:val="none"/>
        </w:rPr>
      </w:pPr>
    </w:p>
    <w:p w14:paraId="26975816" w14:textId="37D5D0EF" w:rsidR="00957D0F" w:rsidRPr="00E57FA7" w:rsidRDefault="00104716" w:rsidP="00E57FA7">
      <w:pPr>
        <w:pStyle w:val="ListParagraph"/>
        <w:numPr>
          <w:ilvl w:val="2"/>
          <w:numId w:val="6"/>
        </w:numPr>
        <w:spacing w:line="360" w:lineRule="auto"/>
        <w:jc w:val="both"/>
        <w:rPr>
          <w:u w:val="none"/>
        </w:rPr>
      </w:pPr>
      <w:r w:rsidRPr="00E57FA7">
        <w:rPr>
          <w:u w:val="none"/>
        </w:rPr>
        <w:lastRenderedPageBreak/>
        <w:t>the cost</w:t>
      </w:r>
      <w:r w:rsidR="00957D0F" w:rsidRPr="00E57FA7">
        <w:rPr>
          <w:u w:val="none"/>
        </w:rPr>
        <w:t>s of trial from 22</w:t>
      </w:r>
      <w:r w:rsidRPr="00E57FA7">
        <w:rPr>
          <w:u w:val="none"/>
        </w:rPr>
        <w:t xml:space="preserve"> to October 2022 up to and including 27 October 2022</w:t>
      </w:r>
      <w:r w:rsidR="00957D0F" w:rsidRPr="00E57FA7">
        <w:rPr>
          <w:u w:val="none"/>
        </w:rPr>
        <w:t>, including counsel’s day</w:t>
      </w:r>
      <w:r w:rsidRPr="00E57FA7">
        <w:rPr>
          <w:u w:val="none"/>
        </w:rPr>
        <w:t xml:space="preserve"> fees;</w:t>
      </w:r>
    </w:p>
    <w:p w14:paraId="171B1E6F" w14:textId="77777777" w:rsidR="00246676" w:rsidRPr="00957D0F" w:rsidRDefault="00104716" w:rsidP="00590263">
      <w:pPr>
        <w:spacing w:line="360" w:lineRule="auto"/>
        <w:jc w:val="both"/>
        <w:rPr>
          <w:u w:val="none"/>
        </w:rPr>
      </w:pPr>
      <w:r w:rsidRPr="00957D0F">
        <w:rPr>
          <w:u w:val="none"/>
        </w:rPr>
        <w:t xml:space="preserve"> </w:t>
      </w:r>
    </w:p>
    <w:p w14:paraId="066B4505" w14:textId="40E7F268" w:rsidR="00246676" w:rsidRPr="00E57FA7" w:rsidRDefault="00104716" w:rsidP="00E57FA7">
      <w:pPr>
        <w:pStyle w:val="ListParagraph"/>
        <w:numPr>
          <w:ilvl w:val="2"/>
          <w:numId w:val="6"/>
        </w:numPr>
        <w:spacing w:line="360" w:lineRule="auto"/>
        <w:jc w:val="both"/>
        <w:rPr>
          <w:u w:val="none"/>
        </w:rPr>
      </w:pPr>
      <w:r w:rsidRPr="00E57FA7">
        <w:rPr>
          <w:u w:val="none"/>
        </w:rPr>
        <w:t>the cost</w:t>
      </w:r>
      <w:r w:rsidR="00957D0F" w:rsidRPr="00E57FA7">
        <w:rPr>
          <w:u w:val="none"/>
        </w:rPr>
        <w:t>s</w:t>
      </w:r>
      <w:r w:rsidRPr="00E57FA7">
        <w:rPr>
          <w:u w:val="none"/>
        </w:rPr>
        <w:t xml:space="preserve"> of </w:t>
      </w:r>
      <w:r w:rsidR="00957D0F" w:rsidRPr="00E57FA7">
        <w:rPr>
          <w:u w:val="none"/>
        </w:rPr>
        <w:t>prepa</w:t>
      </w:r>
      <w:r w:rsidRPr="00E57FA7">
        <w:rPr>
          <w:u w:val="none"/>
        </w:rPr>
        <w:t>ring the heads of argument</w:t>
      </w:r>
      <w:r w:rsidR="00957D0F" w:rsidRPr="00E57FA7">
        <w:rPr>
          <w:u w:val="none"/>
        </w:rPr>
        <w:t>; and</w:t>
      </w:r>
    </w:p>
    <w:p w14:paraId="5C43893C" w14:textId="77777777" w:rsidR="00957D0F" w:rsidRPr="00957D0F" w:rsidRDefault="00957D0F" w:rsidP="00590263">
      <w:pPr>
        <w:spacing w:line="360" w:lineRule="auto"/>
        <w:jc w:val="both"/>
        <w:rPr>
          <w:u w:val="none"/>
        </w:rPr>
      </w:pPr>
    </w:p>
    <w:p w14:paraId="25F4BA62" w14:textId="4F51607F" w:rsidR="00104716" w:rsidRPr="00E57FA7" w:rsidRDefault="00957D0F" w:rsidP="00E57FA7">
      <w:pPr>
        <w:pStyle w:val="ListParagraph"/>
        <w:numPr>
          <w:ilvl w:val="2"/>
          <w:numId w:val="6"/>
        </w:numPr>
        <w:spacing w:line="360" w:lineRule="auto"/>
        <w:jc w:val="both"/>
        <w:rPr>
          <w:u w:val="none"/>
        </w:rPr>
      </w:pPr>
      <w:r w:rsidRPr="00E57FA7">
        <w:rPr>
          <w:u w:val="none"/>
        </w:rPr>
        <w:t xml:space="preserve">the </w:t>
      </w:r>
      <w:r w:rsidR="00104716" w:rsidRPr="00E57FA7">
        <w:rPr>
          <w:u w:val="none"/>
        </w:rPr>
        <w:t>reservation and appearance fees, if any, together with</w:t>
      </w:r>
      <w:r w:rsidRPr="00E57FA7">
        <w:rPr>
          <w:u w:val="none"/>
        </w:rPr>
        <w:t xml:space="preserve"> the qualifying fees, if any, and</w:t>
      </w:r>
      <w:r w:rsidR="00104716" w:rsidRPr="00E57FA7">
        <w:rPr>
          <w:u w:val="none"/>
        </w:rPr>
        <w:t xml:space="preserve"> the traveling cost</w:t>
      </w:r>
      <w:r w:rsidRPr="00E57FA7">
        <w:rPr>
          <w:u w:val="none"/>
        </w:rPr>
        <w:t>s</w:t>
      </w:r>
      <w:r w:rsidR="00104716" w:rsidRPr="00E57FA7">
        <w:rPr>
          <w:u w:val="none"/>
        </w:rPr>
        <w:t>, if any, of plaintiff’s expert witnesses whose reports were filed in terms of rule 36</w:t>
      </w:r>
      <w:r w:rsidRPr="00E57FA7">
        <w:rPr>
          <w:u w:val="none"/>
        </w:rPr>
        <w:t>(9)</w:t>
      </w:r>
      <w:r w:rsidR="00104716" w:rsidRPr="00E57FA7">
        <w:rPr>
          <w:u w:val="none"/>
        </w:rPr>
        <w:t xml:space="preserve"> and the cost</w:t>
      </w:r>
      <w:r w:rsidRPr="00E57FA7">
        <w:rPr>
          <w:u w:val="none"/>
        </w:rPr>
        <w:t>s</w:t>
      </w:r>
      <w:r w:rsidR="00104716" w:rsidRPr="00E57FA7">
        <w:rPr>
          <w:u w:val="none"/>
        </w:rPr>
        <w:t xml:space="preserve"> of preparing their reports and supplementary reports, if any, together with the costs of preparing the joint minutes including the costs of attending consultations and </w:t>
      </w:r>
      <w:r w:rsidR="00510AFC" w:rsidRPr="00E57FA7">
        <w:rPr>
          <w:u w:val="none"/>
        </w:rPr>
        <w:t>trial.</w:t>
      </w:r>
    </w:p>
    <w:p w14:paraId="389F178C" w14:textId="77777777" w:rsidR="00104716" w:rsidRPr="009469DB" w:rsidRDefault="00104716" w:rsidP="00590263">
      <w:pPr>
        <w:pStyle w:val="ListParagraph"/>
        <w:spacing w:line="360" w:lineRule="auto"/>
        <w:jc w:val="both"/>
        <w:rPr>
          <w:u w:val="none"/>
        </w:rPr>
      </w:pPr>
    </w:p>
    <w:p w14:paraId="4A571672" w14:textId="4EC6C111" w:rsidR="00064D2D" w:rsidRDefault="00064D2D" w:rsidP="00BE52DD">
      <w:pPr>
        <w:spacing w:line="360" w:lineRule="auto"/>
        <w:jc w:val="both"/>
        <w:rPr>
          <w:u w:val="none"/>
        </w:rPr>
      </w:pPr>
    </w:p>
    <w:p w14:paraId="39E98CE8" w14:textId="4FCF710E" w:rsidR="00E57FA7" w:rsidRDefault="00E57FA7" w:rsidP="00BE52DD">
      <w:pPr>
        <w:spacing w:line="360" w:lineRule="auto"/>
        <w:jc w:val="both"/>
        <w:rPr>
          <w:u w:val="none"/>
        </w:rPr>
      </w:pPr>
    </w:p>
    <w:p w14:paraId="45BD4572" w14:textId="77777777" w:rsidR="00E57FA7" w:rsidRDefault="00E57FA7" w:rsidP="00E57FA7">
      <w:pPr>
        <w:spacing w:line="360" w:lineRule="auto"/>
        <w:jc w:val="both"/>
      </w:pPr>
    </w:p>
    <w:p w14:paraId="091DEDAD" w14:textId="77777777" w:rsidR="00E57FA7" w:rsidRPr="00E57FA7" w:rsidRDefault="00E57FA7" w:rsidP="00E57FA7">
      <w:pPr>
        <w:spacing w:line="360" w:lineRule="auto"/>
        <w:jc w:val="both"/>
        <w:rPr>
          <w:b/>
          <w:u w:val="none"/>
        </w:rPr>
      </w:pPr>
      <w:r w:rsidRPr="00E57FA7">
        <w:rPr>
          <w:b/>
          <w:u w:val="none"/>
        </w:rPr>
        <w:t>________________________</w:t>
      </w:r>
    </w:p>
    <w:p w14:paraId="5C33AF5B" w14:textId="77777777" w:rsidR="00E57FA7" w:rsidRPr="00E57FA7" w:rsidRDefault="00E57FA7" w:rsidP="00E57FA7">
      <w:pPr>
        <w:spacing w:line="360" w:lineRule="auto"/>
        <w:jc w:val="both"/>
        <w:rPr>
          <w:b/>
          <w:u w:val="none"/>
        </w:rPr>
      </w:pPr>
      <w:r w:rsidRPr="00E57FA7">
        <w:rPr>
          <w:b/>
          <w:u w:val="none"/>
        </w:rPr>
        <w:t>JE SMITH</w:t>
      </w:r>
    </w:p>
    <w:p w14:paraId="45DB2806" w14:textId="77777777" w:rsidR="00E57FA7" w:rsidRPr="00E57FA7" w:rsidRDefault="00E57FA7" w:rsidP="00E57FA7">
      <w:pPr>
        <w:spacing w:line="360" w:lineRule="auto"/>
        <w:jc w:val="both"/>
        <w:rPr>
          <w:b/>
          <w:u w:val="none"/>
        </w:rPr>
      </w:pPr>
      <w:r w:rsidRPr="00E57FA7">
        <w:rPr>
          <w:b/>
          <w:u w:val="none"/>
        </w:rPr>
        <w:t>JUDGE OF THE HIGH COURT</w:t>
      </w:r>
    </w:p>
    <w:p w14:paraId="6430F895" w14:textId="06736CF6" w:rsidR="00E57FA7" w:rsidRDefault="00E57FA7" w:rsidP="00BE52DD">
      <w:pPr>
        <w:spacing w:line="360" w:lineRule="auto"/>
        <w:jc w:val="both"/>
        <w:rPr>
          <w:u w:val="none"/>
        </w:rPr>
      </w:pPr>
    </w:p>
    <w:p w14:paraId="10703F1F" w14:textId="362F7EF3" w:rsidR="00E57FA7" w:rsidRDefault="00E57FA7" w:rsidP="00E57FA7">
      <w:pPr>
        <w:rPr>
          <w:b/>
          <w:u w:val="none"/>
        </w:rPr>
      </w:pPr>
      <w:r w:rsidRPr="00E57FA7">
        <w:rPr>
          <w:b/>
          <w:u w:val="none"/>
        </w:rPr>
        <w:t>Appearances:</w:t>
      </w:r>
    </w:p>
    <w:p w14:paraId="572613EE" w14:textId="77777777" w:rsidR="00E57FA7" w:rsidRPr="00E57FA7" w:rsidRDefault="00E57FA7" w:rsidP="00E57FA7">
      <w:pPr>
        <w:rPr>
          <w:b/>
          <w:u w:val="none"/>
        </w:rPr>
      </w:pPr>
    </w:p>
    <w:p w14:paraId="3D324B66" w14:textId="55076EC0" w:rsidR="00E57FA7" w:rsidRPr="00E57FA7" w:rsidRDefault="00E57FA7" w:rsidP="00E57FA7">
      <w:pPr>
        <w:spacing w:line="360" w:lineRule="auto"/>
        <w:jc w:val="both"/>
        <w:rPr>
          <w:u w:val="none"/>
        </w:rPr>
      </w:pPr>
      <w:r>
        <w:rPr>
          <w:u w:val="none"/>
        </w:rPr>
        <w:t>Counsel for</w:t>
      </w:r>
      <w:r w:rsidRPr="00E57FA7">
        <w:rPr>
          <w:u w:val="none"/>
        </w:rPr>
        <w:t xml:space="preserve"> the </w:t>
      </w:r>
      <w:r>
        <w:rPr>
          <w:u w:val="none"/>
        </w:rPr>
        <w:t>Plaintiff</w:t>
      </w:r>
      <w:r w:rsidRPr="00E57FA7">
        <w:rPr>
          <w:u w:val="none"/>
        </w:rPr>
        <w:t xml:space="preserve">           </w:t>
      </w:r>
      <w:r w:rsidRPr="00E57FA7">
        <w:rPr>
          <w:u w:val="none"/>
        </w:rPr>
        <w:tab/>
      </w:r>
      <w:r w:rsidRPr="00E57FA7">
        <w:rPr>
          <w:u w:val="none"/>
        </w:rPr>
        <w:tab/>
        <w:t xml:space="preserve">:  </w:t>
      </w:r>
      <w:r w:rsidRPr="00E57FA7">
        <w:rPr>
          <w:u w:val="none"/>
        </w:rPr>
        <w:tab/>
      </w:r>
      <w:r>
        <w:rPr>
          <w:u w:val="none"/>
        </w:rPr>
        <w:t>Adv. Schoeman SC with Adv. Ayerst</w:t>
      </w:r>
    </w:p>
    <w:p w14:paraId="4D83584D" w14:textId="39327FC0" w:rsidR="00E57FA7" w:rsidRPr="00E57FA7" w:rsidRDefault="00E57FA7" w:rsidP="00E57FA7">
      <w:pPr>
        <w:spacing w:line="360" w:lineRule="auto"/>
        <w:jc w:val="both"/>
        <w:rPr>
          <w:u w:val="none"/>
        </w:rPr>
      </w:pPr>
      <w:r w:rsidRPr="00E57FA7">
        <w:rPr>
          <w:u w:val="none"/>
        </w:rPr>
        <w:tab/>
      </w:r>
      <w:r w:rsidRPr="00E57FA7">
        <w:rPr>
          <w:u w:val="none"/>
        </w:rPr>
        <w:tab/>
      </w:r>
      <w:r w:rsidRPr="00E57FA7">
        <w:rPr>
          <w:u w:val="none"/>
        </w:rPr>
        <w:tab/>
      </w:r>
      <w:r w:rsidRPr="00E57FA7">
        <w:rPr>
          <w:u w:val="none"/>
        </w:rPr>
        <w:tab/>
      </w:r>
      <w:r w:rsidRPr="00E57FA7">
        <w:rPr>
          <w:u w:val="none"/>
        </w:rPr>
        <w:tab/>
      </w:r>
      <w:r w:rsidRPr="00E57FA7">
        <w:rPr>
          <w:u w:val="none"/>
        </w:rPr>
        <w:tab/>
        <w:t>:</w:t>
      </w:r>
      <w:r w:rsidRPr="00E57FA7">
        <w:rPr>
          <w:u w:val="none"/>
        </w:rPr>
        <w:tab/>
      </w:r>
      <w:r>
        <w:rPr>
          <w:u w:val="none"/>
        </w:rPr>
        <w:t>Mpambaniso Attorneys</w:t>
      </w:r>
    </w:p>
    <w:p w14:paraId="21A65B00" w14:textId="77777777" w:rsidR="00E57FA7" w:rsidRDefault="00E57FA7" w:rsidP="00E57FA7">
      <w:pPr>
        <w:spacing w:line="360" w:lineRule="auto"/>
        <w:jc w:val="both"/>
        <w:rPr>
          <w:u w:val="none"/>
        </w:rPr>
      </w:pPr>
      <w:r w:rsidRPr="00E57FA7">
        <w:rPr>
          <w:u w:val="none"/>
        </w:rPr>
        <w:tab/>
      </w:r>
      <w:r w:rsidRPr="00E57FA7">
        <w:rPr>
          <w:u w:val="none"/>
        </w:rPr>
        <w:tab/>
      </w:r>
      <w:r w:rsidRPr="00E57FA7">
        <w:rPr>
          <w:u w:val="none"/>
        </w:rPr>
        <w:tab/>
      </w:r>
      <w:r w:rsidRPr="00E57FA7">
        <w:rPr>
          <w:u w:val="none"/>
        </w:rPr>
        <w:tab/>
      </w:r>
      <w:r w:rsidRPr="00E57FA7">
        <w:rPr>
          <w:u w:val="none"/>
        </w:rPr>
        <w:tab/>
      </w:r>
      <w:r w:rsidRPr="00E57FA7">
        <w:rPr>
          <w:u w:val="none"/>
        </w:rPr>
        <w:tab/>
      </w:r>
      <w:r w:rsidRPr="00E57FA7">
        <w:rPr>
          <w:u w:val="none"/>
        </w:rPr>
        <w:tab/>
      </w:r>
      <w:r>
        <w:rPr>
          <w:u w:val="none"/>
        </w:rPr>
        <w:t>c/o Gordon McCune Attorneys</w:t>
      </w:r>
    </w:p>
    <w:p w14:paraId="6F27C580" w14:textId="77777777" w:rsidR="00E57FA7" w:rsidRDefault="00E57FA7" w:rsidP="00E57FA7">
      <w:pPr>
        <w:spacing w:line="360" w:lineRule="auto"/>
        <w:ind w:left="4320" w:firstLine="720"/>
        <w:jc w:val="both"/>
        <w:rPr>
          <w:u w:val="none"/>
        </w:rPr>
      </w:pPr>
      <w:r w:rsidRPr="00E57FA7">
        <w:rPr>
          <w:u w:val="none"/>
        </w:rPr>
        <w:t>1</w:t>
      </w:r>
      <w:r>
        <w:rPr>
          <w:u w:val="none"/>
        </w:rPr>
        <w:t>40 Alexandra Road</w:t>
      </w:r>
    </w:p>
    <w:p w14:paraId="42DF706B" w14:textId="553680F0" w:rsidR="00E57FA7" w:rsidRPr="00E57FA7" w:rsidRDefault="00E57FA7" w:rsidP="00E57FA7">
      <w:pPr>
        <w:spacing w:line="360" w:lineRule="auto"/>
        <w:ind w:left="4320" w:firstLine="720"/>
        <w:jc w:val="both"/>
        <w:rPr>
          <w:u w:val="none"/>
        </w:rPr>
      </w:pPr>
      <w:r>
        <w:rPr>
          <w:u w:val="none"/>
        </w:rPr>
        <w:t>KING WILLIAM’S TOWN</w:t>
      </w:r>
    </w:p>
    <w:p w14:paraId="1BAEAE6D" w14:textId="26FD66D5" w:rsidR="00E57FA7" w:rsidRDefault="00E57FA7" w:rsidP="00E57FA7">
      <w:pPr>
        <w:spacing w:line="360" w:lineRule="auto"/>
        <w:jc w:val="both"/>
        <w:rPr>
          <w:u w:val="none"/>
        </w:rPr>
      </w:pPr>
    </w:p>
    <w:p w14:paraId="17664DFD" w14:textId="7BA6A503" w:rsidR="00E57FA7" w:rsidRPr="00E57FA7" w:rsidRDefault="00E57FA7" w:rsidP="00E57FA7">
      <w:pPr>
        <w:spacing w:line="360" w:lineRule="auto"/>
        <w:jc w:val="both"/>
        <w:rPr>
          <w:u w:val="none"/>
        </w:rPr>
      </w:pPr>
      <w:r w:rsidRPr="00E57FA7">
        <w:rPr>
          <w:u w:val="none"/>
        </w:rPr>
        <w:t xml:space="preserve">Counsel for the </w:t>
      </w:r>
      <w:r>
        <w:rPr>
          <w:u w:val="none"/>
        </w:rPr>
        <w:t>Defendant</w:t>
      </w:r>
      <w:r>
        <w:rPr>
          <w:u w:val="none"/>
        </w:rPr>
        <w:tab/>
      </w:r>
      <w:r w:rsidRPr="00E57FA7">
        <w:rPr>
          <w:u w:val="none"/>
        </w:rPr>
        <w:tab/>
      </w:r>
      <w:r w:rsidRPr="00E57FA7">
        <w:rPr>
          <w:u w:val="none"/>
        </w:rPr>
        <w:tab/>
        <w:t xml:space="preserve">: </w:t>
      </w:r>
      <w:r w:rsidRPr="00E57FA7">
        <w:rPr>
          <w:u w:val="none"/>
        </w:rPr>
        <w:tab/>
        <w:t xml:space="preserve">Adv. </w:t>
      </w:r>
      <w:r>
        <w:rPr>
          <w:u w:val="none"/>
        </w:rPr>
        <w:t>Pitt</w:t>
      </w:r>
      <w:r w:rsidRPr="00E57FA7">
        <w:rPr>
          <w:u w:val="none"/>
        </w:rPr>
        <w:t xml:space="preserve"> </w:t>
      </w:r>
    </w:p>
    <w:p w14:paraId="4ACA93D7" w14:textId="5E27E39E" w:rsidR="00E57FA7" w:rsidRDefault="00E57FA7" w:rsidP="00E57FA7">
      <w:pPr>
        <w:spacing w:line="360" w:lineRule="auto"/>
        <w:ind w:left="3600" w:firstLine="720"/>
        <w:jc w:val="both"/>
        <w:rPr>
          <w:u w:val="none"/>
        </w:rPr>
      </w:pPr>
      <w:r w:rsidRPr="00E57FA7">
        <w:rPr>
          <w:u w:val="none"/>
        </w:rPr>
        <w:t>:</w:t>
      </w:r>
      <w:r w:rsidRPr="00E57FA7">
        <w:rPr>
          <w:u w:val="none"/>
        </w:rPr>
        <w:tab/>
      </w:r>
      <w:r>
        <w:rPr>
          <w:u w:val="none"/>
        </w:rPr>
        <w:t>The State Attorney</w:t>
      </w:r>
    </w:p>
    <w:p w14:paraId="3B5417D3" w14:textId="747133E7" w:rsidR="00E57FA7" w:rsidRDefault="00E57FA7" w:rsidP="00E57FA7">
      <w:pPr>
        <w:spacing w:line="360" w:lineRule="auto"/>
        <w:ind w:left="3600" w:firstLine="720"/>
        <w:jc w:val="both"/>
        <w:rPr>
          <w:u w:val="none"/>
        </w:rPr>
      </w:pPr>
      <w:r>
        <w:rPr>
          <w:u w:val="none"/>
        </w:rPr>
        <w:tab/>
        <w:t>c/o Office of the Premier</w:t>
      </w:r>
    </w:p>
    <w:p w14:paraId="35E122F3" w14:textId="610080F2" w:rsidR="00E57FA7" w:rsidRDefault="00E57FA7" w:rsidP="00E57FA7">
      <w:pPr>
        <w:spacing w:line="360" w:lineRule="auto"/>
        <w:ind w:left="3600" w:firstLine="720"/>
        <w:jc w:val="both"/>
        <w:rPr>
          <w:u w:val="none"/>
        </w:rPr>
      </w:pPr>
      <w:r>
        <w:rPr>
          <w:u w:val="none"/>
        </w:rPr>
        <w:tab/>
        <w:t>32 Alexandra Road</w:t>
      </w:r>
    </w:p>
    <w:p w14:paraId="6B5F9BBA" w14:textId="5D2C49DC" w:rsidR="00E57FA7" w:rsidRDefault="00E57FA7" w:rsidP="00E57FA7">
      <w:pPr>
        <w:spacing w:line="360" w:lineRule="auto"/>
        <w:ind w:left="3600" w:firstLine="720"/>
        <w:jc w:val="both"/>
        <w:rPr>
          <w:u w:val="none"/>
        </w:rPr>
      </w:pPr>
      <w:r>
        <w:rPr>
          <w:u w:val="none"/>
        </w:rPr>
        <w:tab/>
        <w:t>KING WILLIAM’S TOWN</w:t>
      </w:r>
    </w:p>
    <w:p w14:paraId="58966A08" w14:textId="60C60BFC" w:rsidR="00E57FA7" w:rsidRPr="00E57FA7" w:rsidRDefault="00E57FA7" w:rsidP="00E57FA7">
      <w:pPr>
        <w:spacing w:line="360" w:lineRule="auto"/>
        <w:ind w:left="3600" w:firstLine="720"/>
        <w:jc w:val="both"/>
        <w:rPr>
          <w:u w:val="none"/>
        </w:rPr>
      </w:pPr>
      <w:r>
        <w:rPr>
          <w:u w:val="none"/>
        </w:rPr>
        <w:tab/>
        <w:t>(Ref. 517/16-P17 (Mr. Isaacs)</w:t>
      </w:r>
    </w:p>
    <w:sectPr w:rsidR="00E57FA7" w:rsidRPr="00E57FA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94225" w14:textId="77777777" w:rsidR="00E30DC8" w:rsidRDefault="00E30DC8" w:rsidP="006A1989">
      <w:r>
        <w:separator/>
      </w:r>
    </w:p>
  </w:endnote>
  <w:endnote w:type="continuationSeparator" w:id="0">
    <w:p w14:paraId="378AE4F7" w14:textId="77777777" w:rsidR="00E30DC8" w:rsidRDefault="00E30DC8" w:rsidP="006A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568773"/>
      <w:docPartObj>
        <w:docPartGallery w:val="Page Numbers (Bottom of Page)"/>
        <w:docPartUnique/>
      </w:docPartObj>
    </w:sdtPr>
    <w:sdtEndPr>
      <w:rPr>
        <w:noProof/>
      </w:rPr>
    </w:sdtEndPr>
    <w:sdtContent>
      <w:p w14:paraId="79898910" w14:textId="54A9B4CB" w:rsidR="00294A99" w:rsidRDefault="00294A99">
        <w:pPr>
          <w:pStyle w:val="Footer"/>
          <w:jc w:val="center"/>
        </w:pPr>
        <w:r>
          <w:fldChar w:fldCharType="begin"/>
        </w:r>
        <w:r>
          <w:instrText xml:space="preserve"> PAGE   \* MERGEFORMAT </w:instrText>
        </w:r>
        <w:r>
          <w:fldChar w:fldCharType="separate"/>
        </w:r>
        <w:r w:rsidR="006D6E2E">
          <w:rPr>
            <w:noProof/>
          </w:rPr>
          <w:t>4</w:t>
        </w:r>
        <w:r>
          <w:rPr>
            <w:noProof/>
          </w:rPr>
          <w:fldChar w:fldCharType="end"/>
        </w:r>
      </w:p>
    </w:sdtContent>
  </w:sdt>
  <w:p w14:paraId="2C5C2014" w14:textId="77777777" w:rsidR="00294A99" w:rsidRDefault="00294A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044B2" w14:textId="77777777" w:rsidR="00E30DC8" w:rsidRDefault="00E30DC8" w:rsidP="006A1989">
      <w:r>
        <w:separator/>
      </w:r>
    </w:p>
  </w:footnote>
  <w:footnote w:type="continuationSeparator" w:id="0">
    <w:p w14:paraId="68457F1D" w14:textId="77777777" w:rsidR="00E30DC8" w:rsidRDefault="00E30DC8" w:rsidP="006A19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1FDC7" w14:textId="77777777" w:rsidR="00294A99" w:rsidRDefault="00294A99">
    <w:pPr>
      <w:pStyle w:val="Header"/>
      <w:jc w:val="center"/>
    </w:pPr>
  </w:p>
  <w:p w14:paraId="4471597D" w14:textId="77777777" w:rsidR="00294A99" w:rsidRDefault="00294A9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56F34"/>
    <w:multiLevelType w:val="hybridMultilevel"/>
    <w:tmpl w:val="942612B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24F162E"/>
    <w:multiLevelType w:val="multilevel"/>
    <w:tmpl w:val="C82A6C3E"/>
    <w:lvl w:ilvl="0">
      <w:start w:val="1"/>
      <w:numFmt w:val="decimal"/>
      <w:lvlText w:val="%1."/>
      <w:lvlJc w:val="left"/>
      <w:pPr>
        <w:ind w:left="720" w:hanging="360"/>
      </w:pPr>
      <w:rPr>
        <w:rFonts w:hint="default"/>
      </w:rPr>
    </w:lvl>
    <w:lvl w:ilvl="1">
      <w:start w:val="1"/>
      <w:numFmt w:val="decimal"/>
      <w:isLgl/>
      <w:lvlText w:val="%1.%2"/>
      <w:lvlJc w:val="left"/>
      <w:pPr>
        <w:ind w:left="2161" w:hanging="460"/>
      </w:pPr>
      <w:rPr>
        <w:rFonts w:hint="default"/>
      </w:rPr>
    </w:lvl>
    <w:lvl w:ilvl="2">
      <w:start w:val="1"/>
      <w:numFmt w:val="decimal"/>
      <w:isLgl/>
      <w:lvlText w:val="%1.%2.%3"/>
      <w:lvlJc w:val="left"/>
      <w:pPr>
        <w:ind w:left="2740" w:hanging="720"/>
      </w:pPr>
      <w:rPr>
        <w:rFonts w:hint="default"/>
      </w:rPr>
    </w:lvl>
    <w:lvl w:ilvl="3">
      <w:start w:val="1"/>
      <w:numFmt w:val="decimal"/>
      <w:isLgl/>
      <w:lvlText w:val="%1.%2.%3.%4"/>
      <w:lvlJc w:val="left"/>
      <w:pPr>
        <w:ind w:left="3930" w:hanging="1080"/>
      </w:pPr>
      <w:rPr>
        <w:rFonts w:hint="default"/>
      </w:rPr>
    </w:lvl>
    <w:lvl w:ilvl="4">
      <w:start w:val="1"/>
      <w:numFmt w:val="decimal"/>
      <w:isLgl/>
      <w:lvlText w:val="%1.%2.%3.%4.%5"/>
      <w:lvlJc w:val="left"/>
      <w:pPr>
        <w:ind w:left="4760" w:hanging="1080"/>
      </w:pPr>
      <w:rPr>
        <w:rFonts w:hint="default"/>
      </w:rPr>
    </w:lvl>
    <w:lvl w:ilvl="5">
      <w:start w:val="1"/>
      <w:numFmt w:val="decimal"/>
      <w:isLgl/>
      <w:lvlText w:val="%1.%2.%3.%4.%5.%6"/>
      <w:lvlJc w:val="left"/>
      <w:pPr>
        <w:ind w:left="5950" w:hanging="1440"/>
      </w:pPr>
      <w:rPr>
        <w:rFonts w:hint="default"/>
      </w:rPr>
    </w:lvl>
    <w:lvl w:ilvl="6">
      <w:start w:val="1"/>
      <w:numFmt w:val="decimal"/>
      <w:isLgl/>
      <w:lvlText w:val="%1.%2.%3.%4.%5.%6.%7"/>
      <w:lvlJc w:val="left"/>
      <w:pPr>
        <w:ind w:left="6780" w:hanging="1440"/>
      </w:pPr>
      <w:rPr>
        <w:rFonts w:hint="default"/>
      </w:rPr>
    </w:lvl>
    <w:lvl w:ilvl="7">
      <w:start w:val="1"/>
      <w:numFmt w:val="decimal"/>
      <w:isLgl/>
      <w:lvlText w:val="%1.%2.%3.%4.%5.%6.%7.%8"/>
      <w:lvlJc w:val="left"/>
      <w:pPr>
        <w:ind w:left="7970" w:hanging="1800"/>
      </w:pPr>
      <w:rPr>
        <w:rFonts w:hint="default"/>
      </w:rPr>
    </w:lvl>
    <w:lvl w:ilvl="8">
      <w:start w:val="1"/>
      <w:numFmt w:val="decimal"/>
      <w:isLgl/>
      <w:lvlText w:val="%1.%2.%3.%4.%5.%6.%7.%8.%9"/>
      <w:lvlJc w:val="left"/>
      <w:pPr>
        <w:ind w:left="8800" w:hanging="1800"/>
      </w:pPr>
      <w:rPr>
        <w:rFonts w:hint="default"/>
      </w:rPr>
    </w:lvl>
  </w:abstractNum>
  <w:abstractNum w:abstractNumId="2" w15:restartNumberingAfterBreak="0">
    <w:nsid w:val="47C0650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A7F2545"/>
    <w:multiLevelType w:val="multilevel"/>
    <w:tmpl w:val="90C0BC9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4C465102"/>
    <w:multiLevelType w:val="hybridMultilevel"/>
    <w:tmpl w:val="614C37FE"/>
    <w:lvl w:ilvl="0" w:tplc="6AC21E10">
      <w:start w:val="1"/>
      <w:numFmt w:val="decimal"/>
      <w:lvlText w:val="[%1]"/>
      <w:lvlJc w:val="left"/>
      <w:pPr>
        <w:ind w:left="36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E8050F6"/>
    <w:multiLevelType w:val="multilevel"/>
    <w:tmpl w:val="4D08C0A8"/>
    <w:lvl w:ilvl="0">
      <w:start w:val="2"/>
      <w:numFmt w:val="decimal"/>
      <w:lvlText w:val="%1"/>
      <w:lvlJc w:val="left"/>
      <w:pPr>
        <w:ind w:left="360" w:hanging="360"/>
      </w:pPr>
      <w:rPr>
        <w:rFonts w:hint="default"/>
      </w:rPr>
    </w:lvl>
    <w:lvl w:ilvl="1">
      <w:start w:val="1"/>
      <w:numFmt w:val="decimal"/>
      <w:lvlText w:val="%1.%2"/>
      <w:lvlJc w:val="left"/>
      <w:pPr>
        <w:ind w:left="1550" w:hanging="360"/>
      </w:pPr>
      <w:rPr>
        <w:rFonts w:hint="default"/>
      </w:rPr>
    </w:lvl>
    <w:lvl w:ilvl="2">
      <w:start w:val="1"/>
      <w:numFmt w:val="decimal"/>
      <w:lvlText w:val="%1.%2.%3"/>
      <w:lvlJc w:val="left"/>
      <w:pPr>
        <w:ind w:left="3100" w:hanging="720"/>
      </w:pPr>
      <w:rPr>
        <w:rFonts w:hint="default"/>
      </w:rPr>
    </w:lvl>
    <w:lvl w:ilvl="3">
      <w:start w:val="1"/>
      <w:numFmt w:val="decimal"/>
      <w:lvlText w:val="%1.%2.%3.%4"/>
      <w:lvlJc w:val="left"/>
      <w:pPr>
        <w:ind w:left="4650" w:hanging="1080"/>
      </w:pPr>
      <w:rPr>
        <w:rFonts w:hint="default"/>
      </w:rPr>
    </w:lvl>
    <w:lvl w:ilvl="4">
      <w:start w:val="1"/>
      <w:numFmt w:val="decimal"/>
      <w:lvlText w:val="%1.%2.%3.%4.%5"/>
      <w:lvlJc w:val="left"/>
      <w:pPr>
        <w:ind w:left="5840" w:hanging="1080"/>
      </w:pPr>
      <w:rPr>
        <w:rFonts w:hint="default"/>
      </w:rPr>
    </w:lvl>
    <w:lvl w:ilvl="5">
      <w:start w:val="1"/>
      <w:numFmt w:val="decimal"/>
      <w:lvlText w:val="%1.%2.%3.%4.%5.%6"/>
      <w:lvlJc w:val="left"/>
      <w:pPr>
        <w:ind w:left="7390" w:hanging="1440"/>
      </w:pPr>
      <w:rPr>
        <w:rFonts w:hint="default"/>
      </w:rPr>
    </w:lvl>
    <w:lvl w:ilvl="6">
      <w:start w:val="1"/>
      <w:numFmt w:val="decimal"/>
      <w:lvlText w:val="%1.%2.%3.%4.%5.%6.%7"/>
      <w:lvlJc w:val="left"/>
      <w:pPr>
        <w:ind w:left="8580" w:hanging="1440"/>
      </w:pPr>
      <w:rPr>
        <w:rFonts w:hint="default"/>
      </w:rPr>
    </w:lvl>
    <w:lvl w:ilvl="7">
      <w:start w:val="1"/>
      <w:numFmt w:val="decimal"/>
      <w:lvlText w:val="%1.%2.%3.%4.%5.%6.%7.%8"/>
      <w:lvlJc w:val="left"/>
      <w:pPr>
        <w:ind w:left="10130" w:hanging="1800"/>
      </w:pPr>
      <w:rPr>
        <w:rFonts w:hint="default"/>
      </w:rPr>
    </w:lvl>
    <w:lvl w:ilvl="8">
      <w:start w:val="1"/>
      <w:numFmt w:val="decimal"/>
      <w:lvlText w:val="%1.%2.%3.%4.%5.%6.%7.%8.%9"/>
      <w:lvlJc w:val="left"/>
      <w:pPr>
        <w:ind w:left="11320" w:hanging="1800"/>
      </w:pPr>
      <w:rPr>
        <w:rFonts w:hint="default"/>
      </w:rPr>
    </w:lvl>
  </w:abstractNum>
  <w:abstractNum w:abstractNumId="6" w15:restartNumberingAfterBreak="0">
    <w:nsid w:val="4EA54DD0"/>
    <w:multiLevelType w:val="hybridMultilevel"/>
    <w:tmpl w:val="676614AC"/>
    <w:lvl w:ilvl="0" w:tplc="7F1234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17"/>
    <w:rsid w:val="0001147D"/>
    <w:rsid w:val="0001679D"/>
    <w:rsid w:val="00016871"/>
    <w:rsid w:val="00025177"/>
    <w:rsid w:val="0003139E"/>
    <w:rsid w:val="0004182B"/>
    <w:rsid w:val="00050553"/>
    <w:rsid w:val="00064D2D"/>
    <w:rsid w:val="0006791D"/>
    <w:rsid w:val="00072CA6"/>
    <w:rsid w:val="000A22A8"/>
    <w:rsid w:val="000C06C4"/>
    <w:rsid w:val="000C28B4"/>
    <w:rsid w:val="000C722D"/>
    <w:rsid w:val="000D4490"/>
    <w:rsid w:val="00104716"/>
    <w:rsid w:val="00110FE0"/>
    <w:rsid w:val="001157D4"/>
    <w:rsid w:val="001545FA"/>
    <w:rsid w:val="001633A7"/>
    <w:rsid w:val="00171C8A"/>
    <w:rsid w:val="00186CEB"/>
    <w:rsid w:val="0019412A"/>
    <w:rsid w:val="00194CA1"/>
    <w:rsid w:val="001B0036"/>
    <w:rsid w:val="001B2C3C"/>
    <w:rsid w:val="001B7D71"/>
    <w:rsid w:val="001C42A7"/>
    <w:rsid w:val="001C52F6"/>
    <w:rsid w:val="001D1DBB"/>
    <w:rsid w:val="001F12A4"/>
    <w:rsid w:val="00232F2B"/>
    <w:rsid w:val="00233C91"/>
    <w:rsid w:val="00246676"/>
    <w:rsid w:val="0025065B"/>
    <w:rsid w:val="00255E94"/>
    <w:rsid w:val="00265FA0"/>
    <w:rsid w:val="00283729"/>
    <w:rsid w:val="002926F3"/>
    <w:rsid w:val="00294A99"/>
    <w:rsid w:val="00296645"/>
    <w:rsid w:val="002C7753"/>
    <w:rsid w:val="002F7811"/>
    <w:rsid w:val="00301B8D"/>
    <w:rsid w:val="00330070"/>
    <w:rsid w:val="00335BA9"/>
    <w:rsid w:val="00347035"/>
    <w:rsid w:val="00356FF7"/>
    <w:rsid w:val="00362052"/>
    <w:rsid w:val="00376E71"/>
    <w:rsid w:val="0038165C"/>
    <w:rsid w:val="003A42FC"/>
    <w:rsid w:val="003A45D9"/>
    <w:rsid w:val="003A5EB9"/>
    <w:rsid w:val="003A7D37"/>
    <w:rsid w:val="003D0317"/>
    <w:rsid w:val="003D0CC9"/>
    <w:rsid w:val="003D1800"/>
    <w:rsid w:val="003D30E4"/>
    <w:rsid w:val="003D3152"/>
    <w:rsid w:val="003F6DA3"/>
    <w:rsid w:val="00402121"/>
    <w:rsid w:val="0041086D"/>
    <w:rsid w:val="00475F75"/>
    <w:rsid w:val="00481A59"/>
    <w:rsid w:val="004962E9"/>
    <w:rsid w:val="004971E1"/>
    <w:rsid w:val="004A4841"/>
    <w:rsid w:val="004B6B8F"/>
    <w:rsid w:val="004C588C"/>
    <w:rsid w:val="004C594A"/>
    <w:rsid w:val="004E0CB0"/>
    <w:rsid w:val="004E58AB"/>
    <w:rsid w:val="0050369B"/>
    <w:rsid w:val="00510AFC"/>
    <w:rsid w:val="00535E07"/>
    <w:rsid w:val="00550DD4"/>
    <w:rsid w:val="00555B48"/>
    <w:rsid w:val="00562FD8"/>
    <w:rsid w:val="0058578A"/>
    <w:rsid w:val="00590263"/>
    <w:rsid w:val="005A0502"/>
    <w:rsid w:val="005A2A87"/>
    <w:rsid w:val="005A6ADF"/>
    <w:rsid w:val="005D09F8"/>
    <w:rsid w:val="005F2B7F"/>
    <w:rsid w:val="005F429D"/>
    <w:rsid w:val="005F7CC0"/>
    <w:rsid w:val="00611D87"/>
    <w:rsid w:val="006151E8"/>
    <w:rsid w:val="00623FFC"/>
    <w:rsid w:val="00634A29"/>
    <w:rsid w:val="00640802"/>
    <w:rsid w:val="0064591C"/>
    <w:rsid w:val="00662C54"/>
    <w:rsid w:val="0066314D"/>
    <w:rsid w:val="00664A4A"/>
    <w:rsid w:val="00676A43"/>
    <w:rsid w:val="006930CA"/>
    <w:rsid w:val="00695582"/>
    <w:rsid w:val="006A1989"/>
    <w:rsid w:val="006A3CC7"/>
    <w:rsid w:val="006C7059"/>
    <w:rsid w:val="006D6E2E"/>
    <w:rsid w:val="00704B2F"/>
    <w:rsid w:val="007418D7"/>
    <w:rsid w:val="007448AD"/>
    <w:rsid w:val="00746DC6"/>
    <w:rsid w:val="007806AB"/>
    <w:rsid w:val="00783B0B"/>
    <w:rsid w:val="00783EA2"/>
    <w:rsid w:val="00784C53"/>
    <w:rsid w:val="00786FB5"/>
    <w:rsid w:val="007B68BA"/>
    <w:rsid w:val="007C2EB1"/>
    <w:rsid w:val="007E1E05"/>
    <w:rsid w:val="007E7F64"/>
    <w:rsid w:val="00801EF8"/>
    <w:rsid w:val="008055A3"/>
    <w:rsid w:val="008169AE"/>
    <w:rsid w:val="0083443D"/>
    <w:rsid w:val="00843537"/>
    <w:rsid w:val="0086554F"/>
    <w:rsid w:val="00885C09"/>
    <w:rsid w:val="00885EF5"/>
    <w:rsid w:val="008A4AD8"/>
    <w:rsid w:val="008B68A3"/>
    <w:rsid w:val="008C2541"/>
    <w:rsid w:val="008D7E59"/>
    <w:rsid w:val="008F06AE"/>
    <w:rsid w:val="00906F6B"/>
    <w:rsid w:val="00910715"/>
    <w:rsid w:val="00926933"/>
    <w:rsid w:val="00937D6A"/>
    <w:rsid w:val="0094125A"/>
    <w:rsid w:val="00942F05"/>
    <w:rsid w:val="009469DB"/>
    <w:rsid w:val="00952088"/>
    <w:rsid w:val="00957D0F"/>
    <w:rsid w:val="00961F7C"/>
    <w:rsid w:val="00972035"/>
    <w:rsid w:val="00982683"/>
    <w:rsid w:val="00982E54"/>
    <w:rsid w:val="00982F51"/>
    <w:rsid w:val="009845E9"/>
    <w:rsid w:val="00994FA1"/>
    <w:rsid w:val="00996F01"/>
    <w:rsid w:val="009A6D4D"/>
    <w:rsid w:val="009B4427"/>
    <w:rsid w:val="009B6856"/>
    <w:rsid w:val="009C180B"/>
    <w:rsid w:val="009C38FF"/>
    <w:rsid w:val="009E2D03"/>
    <w:rsid w:val="009E3A09"/>
    <w:rsid w:val="00A068A2"/>
    <w:rsid w:val="00A2736A"/>
    <w:rsid w:val="00A32C02"/>
    <w:rsid w:val="00A414A6"/>
    <w:rsid w:val="00A43059"/>
    <w:rsid w:val="00A456E4"/>
    <w:rsid w:val="00A547CD"/>
    <w:rsid w:val="00A63E29"/>
    <w:rsid w:val="00AA3537"/>
    <w:rsid w:val="00AB3960"/>
    <w:rsid w:val="00AE52C2"/>
    <w:rsid w:val="00AF3CCE"/>
    <w:rsid w:val="00AF582B"/>
    <w:rsid w:val="00B107DD"/>
    <w:rsid w:val="00B213FC"/>
    <w:rsid w:val="00B42A7C"/>
    <w:rsid w:val="00B464CD"/>
    <w:rsid w:val="00B5436C"/>
    <w:rsid w:val="00B66726"/>
    <w:rsid w:val="00B72B41"/>
    <w:rsid w:val="00BA18B0"/>
    <w:rsid w:val="00BA62AE"/>
    <w:rsid w:val="00BD74E4"/>
    <w:rsid w:val="00BE52DD"/>
    <w:rsid w:val="00BE6A5C"/>
    <w:rsid w:val="00BF1069"/>
    <w:rsid w:val="00BF41C7"/>
    <w:rsid w:val="00C04C33"/>
    <w:rsid w:val="00C155EB"/>
    <w:rsid w:val="00C343B5"/>
    <w:rsid w:val="00C360CB"/>
    <w:rsid w:val="00C36C53"/>
    <w:rsid w:val="00C42CB3"/>
    <w:rsid w:val="00C56E1C"/>
    <w:rsid w:val="00C71C53"/>
    <w:rsid w:val="00C8287A"/>
    <w:rsid w:val="00C8638E"/>
    <w:rsid w:val="00C87428"/>
    <w:rsid w:val="00CA0B34"/>
    <w:rsid w:val="00CD33A8"/>
    <w:rsid w:val="00CF0658"/>
    <w:rsid w:val="00CF0D17"/>
    <w:rsid w:val="00CF3A52"/>
    <w:rsid w:val="00CF6A29"/>
    <w:rsid w:val="00D13B32"/>
    <w:rsid w:val="00D15608"/>
    <w:rsid w:val="00D359FF"/>
    <w:rsid w:val="00D45BFD"/>
    <w:rsid w:val="00D61329"/>
    <w:rsid w:val="00D811CF"/>
    <w:rsid w:val="00D87964"/>
    <w:rsid w:val="00DA476E"/>
    <w:rsid w:val="00DB4D2F"/>
    <w:rsid w:val="00DC3E97"/>
    <w:rsid w:val="00DC76D3"/>
    <w:rsid w:val="00DD53AB"/>
    <w:rsid w:val="00DF5D0F"/>
    <w:rsid w:val="00E171A3"/>
    <w:rsid w:val="00E264BF"/>
    <w:rsid w:val="00E30DC8"/>
    <w:rsid w:val="00E32111"/>
    <w:rsid w:val="00E42F27"/>
    <w:rsid w:val="00E43D00"/>
    <w:rsid w:val="00E46E16"/>
    <w:rsid w:val="00E507AC"/>
    <w:rsid w:val="00E57FA7"/>
    <w:rsid w:val="00E61751"/>
    <w:rsid w:val="00E700CE"/>
    <w:rsid w:val="00E76740"/>
    <w:rsid w:val="00E92BE1"/>
    <w:rsid w:val="00EB38D4"/>
    <w:rsid w:val="00ED22C1"/>
    <w:rsid w:val="00EE19AD"/>
    <w:rsid w:val="00EF4EF5"/>
    <w:rsid w:val="00F0029D"/>
    <w:rsid w:val="00F01B40"/>
    <w:rsid w:val="00F519B0"/>
    <w:rsid w:val="00F6051C"/>
    <w:rsid w:val="00F63007"/>
    <w:rsid w:val="00F722D1"/>
    <w:rsid w:val="00F92964"/>
    <w:rsid w:val="00F971F2"/>
    <w:rsid w:val="00FA6CD5"/>
    <w:rsid w:val="00FC2B35"/>
    <w:rsid w:val="00FD4669"/>
    <w:rsid w:val="00FE0A2B"/>
    <w:rsid w:val="00FE66AA"/>
    <w:rsid w:val="00FE6E6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3855E"/>
  <w15:chartTrackingRefBased/>
  <w15:docId w15:val="{0BE37DDC-B548-4229-86AF-635B6E0F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317"/>
    <w:pPr>
      <w:spacing w:after="0" w:line="240" w:lineRule="auto"/>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317"/>
    <w:pPr>
      <w:ind w:left="720"/>
      <w:contextualSpacing/>
    </w:pPr>
  </w:style>
  <w:style w:type="character" w:customStyle="1" w:styleId="mc">
    <w:name w:val="mc"/>
    <w:rsid w:val="002F7811"/>
  </w:style>
  <w:style w:type="paragraph" w:styleId="FootnoteText">
    <w:name w:val="footnote text"/>
    <w:basedOn w:val="Normal"/>
    <w:link w:val="FootnoteTextChar"/>
    <w:uiPriority w:val="99"/>
    <w:semiHidden/>
    <w:unhideWhenUsed/>
    <w:rsid w:val="006A1989"/>
    <w:rPr>
      <w:rFonts w:asciiTheme="minorHAnsi" w:hAnsiTheme="minorHAnsi" w:cstheme="minorBidi"/>
      <w:sz w:val="20"/>
      <w:szCs w:val="20"/>
      <w:u w:val="none"/>
    </w:rPr>
  </w:style>
  <w:style w:type="character" w:customStyle="1" w:styleId="FootnoteTextChar">
    <w:name w:val="Footnote Text Char"/>
    <w:basedOn w:val="DefaultParagraphFont"/>
    <w:link w:val="FootnoteText"/>
    <w:uiPriority w:val="99"/>
    <w:semiHidden/>
    <w:rsid w:val="006A1989"/>
    <w:rPr>
      <w:sz w:val="20"/>
      <w:szCs w:val="20"/>
    </w:rPr>
  </w:style>
  <w:style w:type="character" w:styleId="FootnoteReference">
    <w:name w:val="footnote reference"/>
    <w:basedOn w:val="DefaultParagraphFont"/>
    <w:uiPriority w:val="99"/>
    <w:semiHidden/>
    <w:unhideWhenUsed/>
    <w:rsid w:val="006A1989"/>
    <w:rPr>
      <w:vertAlign w:val="superscript"/>
    </w:rPr>
  </w:style>
  <w:style w:type="paragraph" w:styleId="NoSpacing">
    <w:name w:val="No Spacing"/>
    <w:uiPriority w:val="1"/>
    <w:qFormat/>
    <w:rsid w:val="0041086D"/>
    <w:pPr>
      <w:spacing w:after="0" w:line="240" w:lineRule="auto"/>
    </w:pPr>
    <w:rPr>
      <w:rFonts w:ascii="Arial" w:hAnsi="Arial" w:cs="Arial"/>
      <w:sz w:val="24"/>
      <w:szCs w:val="24"/>
      <w:u w:val="single"/>
    </w:rPr>
  </w:style>
  <w:style w:type="paragraph" w:styleId="Header">
    <w:name w:val="header"/>
    <w:basedOn w:val="Normal"/>
    <w:link w:val="HeaderChar"/>
    <w:uiPriority w:val="99"/>
    <w:unhideWhenUsed/>
    <w:rsid w:val="00294A99"/>
    <w:pPr>
      <w:tabs>
        <w:tab w:val="center" w:pos="4513"/>
        <w:tab w:val="right" w:pos="9026"/>
      </w:tabs>
    </w:pPr>
  </w:style>
  <w:style w:type="character" w:customStyle="1" w:styleId="HeaderChar">
    <w:name w:val="Header Char"/>
    <w:basedOn w:val="DefaultParagraphFont"/>
    <w:link w:val="Header"/>
    <w:uiPriority w:val="99"/>
    <w:rsid w:val="00294A99"/>
    <w:rPr>
      <w:rFonts w:ascii="Arial" w:hAnsi="Arial" w:cs="Arial"/>
      <w:sz w:val="24"/>
      <w:szCs w:val="24"/>
      <w:u w:val="single"/>
    </w:rPr>
  </w:style>
  <w:style w:type="paragraph" w:styleId="Footer">
    <w:name w:val="footer"/>
    <w:basedOn w:val="Normal"/>
    <w:link w:val="FooterChar"/>
    <w:uiPriority w:val="99"/>
    <w:unhideWhenUsed/>
    <w:rsid w:val="00294A99"/>
    <w:pPr>
      <w:tabs>
        <w:tab w:val="center" w:pos="4513"/>
        <w:tab w:val="right" w:pos="9026"/>
      </w:tabs>
    </w:pPr>
  </w:style>
  <w:style w:type="character" w:customStyle="1" w:styleId="FooterChar">
    <w:name w:val="Footer Char"/>
    <w:basedOn w:val="DefaultParagraphFont"/>
    <w:link w:val="Footer"/>
    <w:uiPriority w:val="99"/>
    <w:rsid w:val="00294A99"/>
    <w:rPr>
      <w:rFonts w:ascii="Arial" w:hAnsi="Arial" w:cs="Arial"/>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2656</Words>
  <Characters>15141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Judge-John Smith</dc:creator>
  <cp:keywords/>
  <dc:description/>
  <cp:lastModifiedBy>Nomakorinte Ntliziywana</cp:lastModifiedBy>
  <cp:revision>2</cp:revision>
  <cp:lastPrinted>2022-11-04T06:42:00Z</cp:lastPrinted>
  <dcterms:created xsi:type="dcterms:W3CDTF">2022-12-05T15:36:00Z</dcterms:created>
  <dcterms:modified xsi:type="dcterms:W3CDTF">2022-12-05T15:36:00Z</dcterms:modified>
</cp:coreProperties>
</file>