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5A45D" w14:textId="7CBF4FD6" w:rsidR="00EC3AAB" w:rsidRDefault="00EC3AAB" w:rsidP="00A27C37">
      <w:pPr>
        <w:spacing w:line="360" w:lineRule="auto"/>
        <w:jc w:val="center"/>
        <w:rPr>
          <w:rFonts w:ascii="Times New Roman" w:hAnsi="Times New Roman" w:cs="Times New Roman"/>
          <w:b/>
          <w:sz w:val="28"/>
          <w:szCs w:val="28"/>
        </w:rPr>
      </w:pPr>
    </w:p>
    <w:p w14:paraId="5266AC98" w14:textId="47F813C4" w:rsidR="00EC3AAB" w:rsidRDefault="00EC3AAB" w:rsidP="00A27C37">
      <w:pPr>
        <w:spacing w:line="360" w:lineRule="auto"/>
        <w:jc w:val="center"/>
        <w:rPr>
          <w:rFonts w:ascii="Times New Roman" w:hAnsi="Times New Roman" w:cs="Times New Roman"/>
          <w:b/>
          <w:sz w:val="28"/>
          <w:szCs w:val="28"/>
        </w:rPr>
      </w:pPr>
      <w:r w:rsidRPr="000531EC">
        <w:rPr>
          <w:b/>
          <w:bCs/>
          <w:noProof/>
          <w:sz w:val="24"/>
          <w:szCs w:val="24"/>
        </w:rPr>
        <w:drawing>
          <wp:inline distT="0" distB="0" distL="0" distR="0" wp14:anchorId="131B2A29" wp14:editId="47B35A6E">
            <wp:extent cx="5731510" cy="27310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1510" cy="273104"/>
                    </a:xfrm>
                    <a:prstGeom prst="rect">
                      <a:avLst/>
                    </a:prstGeom>
                  </pic:spPr>
                </pic:pic>
              </a:graphicData>
            </a:graphic>
          </wp:inline>
        </w:drawing>
      </w:r>
    </w:p>
    <w:p w14:paraId="108DA52D" w14:textId="6CABEA3A" w:rsidR="00A27C37" w:rsidRDefault="00A27C37" w:rsidP="00A27C37">
      <w:pPr>
        <w:spacing w:line="360" w:lineRule="auto"/>
        <w:jc w:val="center"/>
        <w:rPr>
          <w:rFonts w:ascii="Times New Roman" w:hAnsi="Times New Roman" w:cs="Times New Roman"/>
          <w:b/>
          <w:sz w:val="28"/>
          <w:szCs w:val="28"/>
        </w:rPr>
      </w:pPr>
      <w:r w:rsidRPr="00F34416">
        <w:rPr>
          <w:noProof/>
          <w:lang w:eastAsia="en-ZA"/>
        </w:rPr>
        <w:drawing>
          <wp:inline distT="0" distB="0" distL="0" distR="0" wp14:anchorId="4051C4C5" wp14:editId="1BF681A6">
            <wp:extent cx="131127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1275" cy="1274445"/>
                    </a:xfrm>
                    <a:prstGeom prst="rect">
                      <a:avLst/>
                    </a:prstGeom>
                    <a:noFill/>
                  </pic:spPr>
                </pic:pic>
              </a:graphicData>
            </a:graphic>
          </wp:inline>
        </w:drawing>
      </w:r>
    </w:p>
    <w:p w14:paraId="25065A5C" w14:textId="77777777" w:rsidR="00FC2EA9" w:rsidRDefault="0015463E" w:rsidP="00A27C3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IN THE HIGH COURT OF SOUTH AFRICA</w:t>
      </w:r>
    </w:p>
    <w:p w14:paraId="7FC538EF" w14:textId="77777777" w:rsidR="00B975B2" w:rsidRDefault="0015463E" w:rsidP="00B975B2">
      <w:pPr>
        <w:spacing w:line="360" w:lineRule="auto"/>
        <w:jc w:val="center"/>
        <w:rPr>
          <w:rFonts w:ascii="Times New Roman" w:hAnsi="Times New Roman" w:cs="Times New Roman"/>
          <w:b/>
          <w:sz w:val="28"/>
          <w:szCs w:val="28"/>
        </w:rPr>
      </w:pPr>
      <w:r>
        <w:rPr>
          <w:rFonts w:ascii="Times New Roman" w:hAnsi="Times New Roman" w:cs="Times New Roman"/>
          <w:b/>
          <w:sz w:val="28"/>
          <w:szCs w:val="28"/>
        </w:rPr>
        <w:t>EASTERN CAPE LOCAL DIVISION, BHISHO</w:t>
      </w:r>
    </w:p>
    <w:p w14:paraId="4C262DE5" w14:textId="77777777" w:rsidR="00A27C37" w:rsidRDefault="00A27C37" w:rsidP="00A27C37">
      <w:pPr>
        <w:spacing w:line="360" w:lineRule="auto"/>
        <w:jc w:val="right"/>
        <w:rPr>
          <w:rFonts w:ascii="Times New Roman" w:hAnsi="Times New Roman" w:cs="Times New Roman"/>
          <w:b/>
          <w:sz w:val="28"/>
          <w:szCs w:val="28"/>
        </w:rPr>
      </w:pPr>
      <w:r w:rsidRPr="00A27C37">
        <w:rPr>
          <w:rFonts w:ascii="Times New Roman" w:hAnsi="Times New Roman" w:cs="Times New Roman"/>
          <w:b/>
          <w:sz w:val="28"/>
          <w:szCs w:val="28"/>
          <w:bdr w:val="thinThickSmallGap" w:sz="24" w:space="0" w:color="auto" w:frame="1"/>
        </w:rPr>
        <w:t>REPORTABLE</w:t>
      </w:r>
      <w:r w:rsidR="0015463E">
        <w:rPr>
          <w:rFonts w:ascii="Times New Roman" w:hAnsi="Times New Roman" w:cs="Times New Roman"/>
          <w:b/>
          <w:sz w:val="28"/>
          <w:szCs w:val="28"/>
        </w:rPr>
        <w:tab/>
      </w:r>
    </w:p>
    <w:p w14:paraId="6FBB9ACE" w14:textId="77777777" w:rsidR="00A27C37" w:rsidRPr="00A27C37" w:rsidRDefault="00CC6C34" w:rsidP="00A27C37">
      <w:pPr>
        <w:spacing w:line="360" w:lineRule="auto"/>
        <w:jc w:val="right"/>
        <w:rPr>
          <w:rFonts w:ascii="Times New Roman" w:hAnsi="Times New Roman" w:cs="Times New Roman"/>
          <w:b/>
          <w:sz w:val="28"/>
          <w:szCs w:val="28"/>
        </w:rPr>
      </w:pPr>
      <w:r>
        <w:rPr>
          <w:rFonts w:ascii="Times New Roman" w:hAnsi="Times New Roman" w:cs="Times New Roman"/>
          <w:b/>
          <w:sz w:val="28"/>
          <w:szCs w:val="28"/>
        </w:rPr>
        <w:t>Appeal C</w:t>
      </w:r>
      <w:r w:rsidR="0015463E">
        <w:rPr>
          <w:rFonts w:ascii="Times New Roman" w:hAnsi="Times New Roman" w:cs="Times New Roman"/>
          <w:b/>
          <w:sz w:val="28"/>
          <w:szCs w:val="28"/>
        </w:rPr>
        <w:t xml:space="preserve">ase </w:t>
      </w:r>
      <w:r>
        <w:rPr>
          <w:rFonts w:ascii="Times New Roman" w:hAnsi="Times New Roman" w:cs="Times New Roman"/>
          <w:b/>
          <w:sz w:val="28"/>
          <w:szCs w:val="28"/>
        </w:rPr>
        <w:t>N</w:t>
      </w:r>
      <w:r w:rsidR="0015463E">
        <w:rPr>
          <w:rFonts w:ascii="Times New Roman" w:hAnsi="Times New Roman" w:cs="Times New Roman"/>
          <w:b/>
          <w:sz w:val="28"/>
          <w:szCs w:val="28"/>
        </w:rPr>
        <w:t>o</w:t>
      </w:r>
      <w:r>
        <w:rPr>
          <w:rFonts w:ascii="Times New Roman" w:hAnsi="Times New Roman" w:cs="Times New Roman"/>
          <w:b/>
          <w:sz w:val="28"/>
          <w:szCs w:val="28"/>
        </w:rPr>
        <w:t>:</w:t>
      </w:r>
      <w:r w:rsidR="0015463E">
        <w:rPr>
          <w:rFonts w:ascii="Times New Roman" w:hAnsi="Times New Roman" w:cs="Times New Roman"/>
          <w:b/>
          <w:sz w:val="28"/>
          <w:szCs w:val="28"/>
        </w:rPr>
        <w:t xml:space="preserve"> CA&amp;R 26/21</w:t>
      </w:r>
    </w:p>
    <w:p w14:paraId="0B2ED144" w14:textId="77777777" w:rsidR="0015463E" w:rsidRDefault="0015463E" w:rsidP="0015463E">
      <w:pPr>
        <w:spacing w:line="360" w:lineRule="auto"/>
        <w:jc w:val="both"/>
        <w:rPr>
          <w:rFonts w:ascii="Times New Roman" w:hAnsi="Times New Roman" w:cs="Times New Roman"/>
          <w:sz w:val="28"/>
          <w:szCs w:val="28"/>
        </w:rPr>
      </w:pPr>
      <w:r>
        <w:rPr>
          <w:rFonts w:ascii="Times New Roman" w:hAnsi="Times New Roman" w:cs="Times New Roman"/>
          <w:sz w:val="28"/>
          <w:szCs w:val="28"/>
        </w:rPr>
        <w:t>In the matter between:</w:t>
      </w:r>
    </w:p>
    <w:p w14:paraId="1E1EDE12" w14:textId="77777777" w:rsidR="00A27C37" w:rsidRDefault="00A27C37" w:rsidP="0015463E">
      <w:pPr>
        <w:spacing w:line="360" w:lineRule="auto"/>
        <w:jc w:val="both"/>
        <w:rPr>
          <w:rFonts w:ascii="Times New Roman" w:hAnsi="Times New Roman" w:cs="Times New Roman"/>
          <w:b/>
          <w:sz w:val="28"/>
          <w:szCs w:val="28"/>
        </w:rPr>
      </w:pPr>
    </w:p>
    <w:p w14:paraId="213A0D24" w14:textId="563FBAEF" w:rsidR="0015463E" w:rsidRDefault="007B0A1B" w:rsidP="0015463E">
      <w:pPr>
        <w:spacing w:line="360" w:lineRule="auto"/>
        <w:jc w:val="both"/>
        <w:rPr>
          <w:rFonts w:ascii="Times New Roman" w:hAnsi="Times New Roman" w:cs="Times New Roman"/>
          <w:b/>
          <w:sz w:val="28"/>
          <w:szCs w:val="28"/>
        </w:rPr>
      </w:pPr>
      <w:r>
        <w:rPr>
          <w:rFonts w:ascii="Times New Roman" w:hAnsi="Times New Roman" w:cs="Times New Roman"/>
          <w:b/>
          <w:sz w:val="28"/>
          <w:szCs w:val="28"/>
        </w:rPr>
        <w:t>S</w:t>
      </w:r>
      <w:r w:rsidR="0015463E">
        <w:rPr>
          <w:rFonts w:ascii="Times New Roman" w:hAnsi="Times New Roman" w:cs="Times New Roman"/>
          <w:b/>
          <w:sz w:val="28"/>
          <w:szCs w:val="28"/>
        </w:rPr>
        <w:t xml:space="preserve"> J</w:t>
      </w:r>
      <w:r w:rsidR="0015463E">
        <w:rPr>
          <w:rFonts w:ascii="Times New Roman" w:hAnsi="Times New Roman" w:cs="Times New Roman"/>
          <w:b/>
          <w:sz w:val="28"/>
          <w:szCs w:val="28"/>
        </w:rPr>
        <w:tab/>
      </w:r>
      <w:r w:rsidR="0015463E">
        <w:rPr>
          <w:rFonts w:ascii="Times New Roman" w:hAnsi="Times New Roman" w:cs="Times New Roman"/>
          <w:b/>
          <w:sz w:val="28"/>
          <w:szCs w:val="28"/>
        </w:rPr>
        <w:tab/>
      </w:r>
      <w:r w:rsidR="00CC6C34">
        <w:rPr>
          <w:rFonts w:ascii="Times New Roman" w:hAnsi="Times New Roman" w:cs="Times New Roman"/>
          <w:b/>
          <w:sz w:val="28"/>
          <w:szCs w:val="28"/>
        </w:rPr>
        <w:tab/>
      </w:r>
      <w:r w:rsidR="00CC6C34">
        <w:rPr>
          <w:rFonts w:ascii="Times New Roman" w:hAnsi="Times New Roman" w:cs="Times New Roman"/>
          <w:b/>
          <w:sz w:val="28"/>
          <w:szCs w:val="28"/>
        </w:rPr>
        <w:tab/>
      </w:r>
      <w:r w:rsidR="00CC6C34">
        <w:rPr>
          <w:rFonts w:ascii="Times New Roman" w:hAnsi="Times New Roman" w:cs="Times New Roman"/>
          <w:b/>
          <w:sz w:val="28"/>
          <w:szCs w:val="28"/>
        </w:rPr>
        <w:tab/>
      </w:r>
      <w:r w:rsidR="00CC6C34">
        <w:rPr>
          <w:rFonts w:ascii="Times New Roman" w:hAnsi="Times New Roman" w:cs="Times New Roman"/>
          <w:b/>
          <w:sz w:val="28"/>
          <w:szCs w:val="28"/>
        </w:rPr>
        <w:tab/>
      </w:r>
      <w:r w:rsidR="00EC3AAB">
        <w:rPr>
          <w:rFonts w:ascii="Times New Roman" w:hAnsi="Times New Roman" w:cs="Times New Roman"/>
          <w:b/>
          <w:sz w:val="28"/>
          <w:szCs w:val="28"/>
        </w:rPr>
        <w:t xml:space="preserve">                                        </w:t>
      </w:r>
      <w:r w:rsidR="0015463E">
        <w:rPr>
          <w:rFonts w:ascii="Times New Roman" w:hAnsi="Times New Roman" w:cs="Times New Roman"/>
          <w:b/>
          <w:sz w:val="28"/>
          <w:szCs w:val="28"/>
        </w:rPr>
        <w:t>Appellant</w:t>
      </w:r>
    </w:p>
    <w:p w14:paraId="4B16E52F" w14:textId="77777777" w:rsidR="0015463E" w:rsidRDefault="0015463E" w:rsidP="0015463E">
      <w:pPr>
        <w:spacing w:line="360" w:lineRule="auto"/>
        <w:jc w:val="both"/>
        <w:rPr>
          <w:rFonts w:ascii="Times New Roman" w:hAnsi="Times New Roman" w:cs="Times New Roman"/>
          <w:sz w:val="28"/>
          <w:szCs w:val="28"/>
        </w:rPr>
      </w:pPr>
      <w:r>
        <w:rPr>
          <w:rFonts w:ascii="Times New Roman" w:hAnsi="Times New Roman" w:cs="Times New Roman"/>
          <w:sz w:val="28"/>
          <w:szCs w:val="28"/>
        </w:rPr>
        <w:t>and</w:t>
      </w:r>
    </w:p>
    <w:p w14:paraId="48632460" w14:textId="77777777" w:rsidR="0015463E" w:rsidRDefault="0015463E" w:rsidP="0015463E">
      <w:pPr>
        <w:spacing w:line="360" w:lineRule="auto"/>
        <w:jc w:val="both"/>
        <w:rPr>
          <w:rFonts w:ascii="Times New Roman" w:hAnsi="Times New Roman" w:cs="Times New Roman"/>
          <w:b/>
          <w:sz w:val="28"/>
          <w:szCs w:val="28"/>
        </w:rPr>
      </w:pPr>
      <w:r>
        <w:rPr>
          <w:rFonts w:ascii="Times New Roman" w:hAnsi="Times New Roman" w:cs="Times New Roman"/>
          <w:b/>
          <w:sz w:val="28"/>
          <w:szCs w:val="28"/>
        </w:rPr>
        <w:t>THE STATE</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CC6C34">
        <w:rPr>
          <w:rFonts w:ascii="Times New Roman" w:hAnsi="Times New Roman" w:cs="Times New Roman"/>
          <w:b/>
          <w:sz w:val="28"/>
          <w:szCs w:val="28"/>
        </w:rPr>
        <w:tab/>
      </w:r>
      <w:r w:rsidR="00CC6C34">
        <w:rPr>
          <w:rFonts w:ascii="Times New Roman" w:hAnsi="Times New Roman" w:cs="Times New Roman"/>
          <w:b/>
          <w:sz w:val="28"/>
          <w:szCs w:val="28"/>
        </w:rPr>
        <w:tab/>
      </w:r>
      <w:r w:rsidR="00CC6C34">
        <w:rPr>
          <w:rFonts w:ascii="Times New Roman" w:hAnsi="Times New Roman" w:cs="Times New Roman"/>
          <w:b/>
          <w:sz w:val="28"/>
          <w:szCs w:val="28"/>
        </w:rPr>
        <w:tab/>
      </w:r>
      <w:r w:rsidR="00CC6C34">
        <w:rPr>
          <w:rFonts w:ascii="Times New Roman" w:hAnsi="Times New Roman" w:cs="Times New Roman"/>
          <w:b/>
          <w:sz w:val="28"/>
          <w:szCs w:val="28"/>
        </w:rPr>
        <w:tab/>
      </w:r>
      <w:r>
        <w:rPr>
          <w:rFonts w:ascii="Times New Roman" w:hAnsi="Times New Roman" w:cs="Times New Roman"/>
          <w:b/>
          <w:sz w:val="28"/>
          <w:szCs w:val="28"/>
        </w:rPr>
        <w:t>Respondent</w:t>
      </w:r>
    </w:p>
    <w:p w14:paraId="1E774AB9" w14:textId="77777777" w:rsidR="00CC6C34" w:rsidRDefault="00CC6C34" w:rsidP="0015463E">
      <w:pPr>
        <w:spacing w:line="360" w:lineRule="auto"/>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w:t>
      </w:r>
    </w:p>
    <w:p w14:paraId="617A587F" w14:textId="77777777" w:rsidR="0015463E" w:rsidRDefault="0015463E" w:rsidP="0015463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APPEAL JUDGMENT</w:t>
      </w:r>
    </w:p>
    <w:p w14:paraId="2DA1F04E" w14:textId="77777777" w:rsidR="00CC6C34" w:rsidRDefault="00CC6C34" w:rsidP="0015463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w:t>
      </w:r>
    </w:p>
    <w:p w14:paraId="388CB6F4" w14:textId="77777777" w:rsidR="0015463E" w:rsidRDefault="0015463E" w:rsidP="0015463E">
      <w:pPr>
        <w:spacing w:line="360" w:lineRule="auto"/>
        <w:jc w:val="both"/>
        <w:rPr>
          <w:rFonts w:ascii="Times New Roman" w:hAnsi="Times New Roman" w:cs="Times New Roman"/>
          <w:b/>
          <w:sz w:val="28"/>
          <w:szCs w:val="28"/>
        </w:rPr>
      </w:pPr>
      <w:r>
        <w:rPr>
          <w:rFonts w:ascii="Times New Roman" w:hAnsi="Times New Roman" w:cs="Times New Roman"/>
          <w:b/>
          <w:sz w:val="28"/>
          <w:szCs w:val="28"/>
        </w:rPr>
        <w:t>STRETCH J.:</w:t>
      </w:r>
    </w:p>
    <w:p w14:paraId="09538796" w14:textId="77777777" w:rsidR="00CC6C34" w:rsidRDefault="00CC6C34" w:rsidP="0015463E">
      <w:pPr>
        <w:spacing w:line="360" w:lineRule="auto"/>
        <w:jc w:val="both"/>
        <w:rPr>
          <w:rFonts w:ascii="Times New Roman" w:hAnsi="Times New Roman" w:cs="Times New Roman"/>
          <w:b/>
          <w:sz w:val="28"/>
          <w:szCs w:val="28"/>
        </w:rPr>
      </w:pPr>
    </w:p>
    <w:p w14:paraId="648529E8" w14:textId="292580FE" w:rsidR="00CC6C34" w:rsidRPr="00224014" w:rsidRDefault="00224014" w:rsidP="00224014">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1B10B7" w:rsidRPr="00224014">
        <w:rPr>
          <w:rFonts w:ascii="Times New Roman" w:hAnsi="Times New Roman" w:cs="Times New Roman"/>
          <w:sz w:val="28"/>
          <w:szCs w:val="28"/>
        </w:rPr>
        <w:t>On 18 October 2018</w:t>
      </w:r>
      <w:r w:rsidR="0015463E" w:rsidRPr="00224014">
        <w:rPr>
          <w:rFonts w:ascii="Times New Roman" w:hAnsi="Times New Roman" w:cs="Times New Roman"/>
          <w:sz w:val="28"/>
          <w:szCs w:val="28"/>
        </w:rPr>
        <w:t xml:space="preserve"> </w:t>
      </w:r>
      <w:r w:rsidR="005359A5" w:rsidRPr="00224014">
        <w:rPr>
          <w:rFonts w:ascii="Times New Roman" w:hAnsi="Times New Roman" w:cs="Times New Roman"/>
          <w:sz w:val="28"/>
          <w:szCs w:val="28"/>
        </w:rPr>
        <w:t xml:space="preserve">the </w:t>
      </w:r>
      <w:r w:rsidR="0015463E" w:rsidRPr="00224014">
        <w:rPr>
          <w:rFonts w:ascii="Times New Roman" w:hAnsi="Times New Roman" w:cs="Times New Roman"/>
          <w:sz w:val="28"/>
          <w:szCs w:val="28"/>
        </w:rPr>
        <w:t xml:space="preserve">appellant was convicted in the </w:t>
      </w:r>
      <w:proofErr w:type="spellStart"/>
      <w:r w:rsidR="0015463E" w:rsidRPr="00224014">
        <w:rPr>
          <w:rFonts w:ascii="Times New Roman" w:hAnsi="Times New Roman" w:cs="Times New Roman"/>
          <w:sz w:val="28"/>
          <w:szCs w:val="28"/>
        </w:rPr>
        <w:t>Zwelitsha</w:t>
      </w:r>
      <w:proofErr w:type="spellEnd"/>
      <w:r w:rsidR="0015463E" w:rsidRPr="00224014">
        <w:rPr>
          <w:rFonts w:ascii="Times New Roman" w:hAnsi="Times New Roman" w:cs="Times New Roman"/>
          <w:sz w:val="28"/>
          <w:szCs w:val="28"/>
        </w:rPr>
        <w:t xml:space="preserve"> regional court on five counts of rape committed</w:t>
      </w:r>
      <w:r w:rsidR="008179D4" w:rsidRPr="00224014">
        <w:rPr>
          <w:rFonts w:ascii="Times New Roman" w:hAnsi="Times New Roman" w:cs="Times New Roman"/>
          <w:sz w:val="28"/>
          <w:szCs w:val="28"/>
        </w:rPr>
        <w:t xml:space="preserve"> on diverse occasions</w:t>
      </w:r>
      <w:r w:rsidR="0015463E" w:rsidRPr="00224014">
        <w:rPr>
          <w:rFonts w:ascii="Times New Roman" w:hAnsi="Times New Roman" w:cs="Times New Roman"/>
          <w:sz w:val="28"/>
          <w:szCs w:val="28"/>
        </w:rPr>
        <w:t xml:space="preserve"> during the period </w:t>
      </w:r>
      <w:r w:rsidR="0015463E" w:rsidRPr="00224014">
        <w:rPr>
          <w:rFonts w:ascii="Times New Roman" w:hAnsi="Times New Roman" w:cs="Times New Roman"/>
          <w:sz w:val="28"/>
          <w:szCs w:val="28"/>
        </w:rPr>
        <w:lastRenderedPageBreak/>
        <w:t xml:space="preserve">2013 to 2016. He was sentenced to life imprisonment on each of the first four counts, and to </w:t>
      </w:r>
      <w:r w:rsidR="001B10B7" w:rsidRPr="00224014">
        <w:rPr>
          <w:rFonts w:ascii="Times New Roman" w:hAnsi="Times New Roman" w:cs="Times New Roman"/>
          <w:sz w:val="28"/>
          <w:szCs w:val="28"/>
        </w:rPr>
        <w:t xml:space="preserve">15 years’ imprisonment on the last count. The complainant is </w:t>
      </w:r>
      <w:r w:rsidR="005359A5" w:rsidRPr="00224014">
        <w:rPr>
          <w:rFonts w:ascii="Times New Roman" w:hAnsi="Times New Roman" w:cs="Times New Roman"/>
          <w:sz w:val="28"/>
          <w:szCs w:val="28"/>
        </w:rPr>
        <w:t>his natural daughter, who was 18</w:t>
      </w:r>
      <w:r w:rsidR="001A7878" w:rsidRPr="00224014">
        <w:rPr>
          <w:rFonts w:ascii="Times New Roman" w:hAnsi="Times New Roman" w:cs="Times New Roman"/>
          <w:sz w:val="28"/>
          <w:szCs w:val="28"/>
        </w:rPr>
        <w:t xml:space="preserve"> years old in 2013, and 23 when the appellant was convicted.</w:t>
      </w:r>
      <w:r w:rsidR="001B10B7" w:rsidRPr="00224014">
        <w:rPr>
          <w:rFonts w:ascii="Times New Roman" w:hAnsi="Times New Roman" w:cs="Times New Roman"/>
          <w:sz w:val="28"/>
          <w:szCs w:val="28"/>
        </w:rPr>
        <w:t xml:space="preserve"> The appeal is in respect of the convic</w:t>
      </w:r>
      <w:r w:rsidR="00CC6C34" w:rsidRPr="00224014">
        <w:rPr>
          <w:rFonts w:ascii="Times New Roman" w:hAnsi="Times New Roman" w:cs="Times New Roman"/>
          <w:sz w:val="28"/>
          <w:szCs w:val="28"/>
        </w:rPr>
        <w:t>tions and the sentences imposed.</w:t>
      </w:r>
    </w:p>
    <w:p w14:paraId="63A58DC2" w14:textId="77777777" w:rsidR="000D77AE" w:rsidRDefault="000D77AE" w:rsidP="000D77AE">
      <w:pPr>
        <w:pStyle w:val="ListParagraph"/>
        <w:spacing w:line="360" w:lineRule="auto"/>
        <w:ind w:left="0"/>
        <w:jc w:val="both"/>
        <w:rPr>
          <w:rFonts w:ascii="Times New Roman" w:hAnsi="Times New Roman" w:cs="Times New Roman"/>
          <w:sz w:val="28"/>
          <w:szCs w:val="28"/>
        </w:rPr>
      </w:pPr>
    </w:p>
    <w:p w14:paraId="613C3B91" w14:textId="70D0751B" w:rsidR="00CC6C34" w:rsidRPr="00224014" w:rsidRDefault="00224014" w:rsidP="00224014">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1B10B7" w:rsidRPr="00224014">
        <w:rPr>
          <w:rFonts w:ascii="Times New Roman" w:hAnsi="Times New Roman" w:cs="Times New Roman"/>
          <w:sz w:val="28"/>
          <w:szCs w:val="28"/>
        </w:rPr>
        <w:t>The grounds of appeal against the convictions are that: (a)  The court below erred in finding that the prosecution had proved, beyond a reasonable doubt, that the appellant had raped the complainant on diverse occasions; (b) The complainant, being a single witness, was not honest and reliable and contradicted herself;</w:t>
      </w:r>
      <w:r w:rsidR="00CE75BF" w:rsidRPr="00224014">
        <w:rPr>
          <w:rFonts w:ascii="Times New Roman" w:hAnsi="Times New Roman" w:cs="Times New Roman"/>
          <w:sz w:val="28"/>
          <w:szCs w:val="28"/>
        </w:rPr>
        <w:t xml:space="preserve"> (c) The </w:t>
      </w:r>
      <w:r w:rsidR="008179D4" w:rsidRPr="00224014">
        <w:rPr>
          <w:rFonts w:ascii="Times New Roman" w:hAnsi="Times New Roman" w:cs="Times New Roman"/>
          <w:sz w:val="28"/>
          <w:szCs w:val="28"/>
        </w:rPr>
        <w:t>court erred in finding that the complainant’s evidence was corroborated by her sister, Lisa; (d) The c</w:t>
      </w:r>
      <w:r w:rsidR="001B10B7" w:rsidRPr="00224014">
        <w:rPr>
          <w:rFonts w:ascii="Times New Roman" w:hAnsi="Times New Roman" w:cs="Times New Roman"/>
          <w:sz w:val="28"/>
          <w:szCs w:val="28"/>
        </w:rPr>
        <w:t xml:space="preserve">ourt erred in not drawing </w:t>
      </w:r>
      <w:r w:rsidR="007B0A1B" w:rsidRPr="00224014">
        <w:rPr>
          <w:rFonts w:ascii="Times New Roman" w:hAnsi="Times New Roman" w:cs="Times New Roman"/>
          <w:sz w:val="28"/>
          <w:szCs w:val="28"/>
        </w:rPr>
        <w:t>an adverse inference from the complainant’s and Lisa’s</w:t>
      </w:r>
      <w:r w:rsidR="001B10B7" w:rsidRPr="00224014">
        <w:rPr>
          <w:rFonts w:ascii="Times New Roman" w:hAnsi="Times New Roman" w:cs="Times New Roman"/>
          <w:sz w:val="28"/>
          <w:szCs w:val="28"/>
        </w:rPr>
        <w:t xml:space="preserve"> delay in reporting the rapes.</w:t>
      </w:r>
    </w:p>
    <w:p w14:paraId="5EC61FB0" w14:textId="77777777" w:rsidR="00CC6C34" w:rsidRPr="00CC6C34" w:rsidRDefault="00CC6C34" w:rsidP="00A27C37">
      <w:pPr>
        <w:pStyle w:val="ListParagraph"/>
        <w:spacing w:line="360" w:lineRule="auto"/>
        <w:rPr>
          <w:rFonts w:ascii="Times New Roman" w:hAnsi="Times New Roman" w:cs="Times New Roman"/>
          <w:sz w:val="28"/>
          <w:szCs w:val="28"/>
        </w:rPr>
      </w:pPr>
    </w:p>
    <w:p w14:paraId="71BA7FFF" w14:textId="7AB9F0F6" w:rsidR="00CC6C34" w:rsidRPr="00224014" w:rsidRDefault="00224014" w:rsidP="00224014">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EA5655" w:rsidRPr="00224014">
        <w:rPr>
          <w:rFonts w:ascii="Times New Roman" w:hAnsi="Times New Roman" w:cs="Times New Roman"/>
          <w:sz w:val="28"/>
          <w:szCs w:val="28"/>
        </w:rPr>
        <w:t>The complainant testified that she and her siblings were living with the appellant during the period 2013 to 2016. Sometime during 2013</w:t>
      </w:r>
      <w:r w:rsidR="00315141" w:rsidRPr="00224014">
        <w:rPr>
          <w:rFonts w:ascii="Times New Roman" w:hAnsi="Times New Roman" w:cs="Times New Roman"/>
          <w:sz w:val="28"/>
          <w:szCs w:val="28"/>
        </w:rPr>
        <w:t>, w</w:t>
      </w:r>
      <w:r w:rsidR="007B0A1B" w:rsidRPr="00224014">
        <w:rPr>
          <w:rFonts w:ascii="Times New Roman" w:hAnsi="Times New Roman" w:cs="Times New Roman"/>
          <w:sz w:val="28"/>
          <w:szCs w:val="28"/>
        </w:rPr>
        <w:t>hile her step</w:t>
      </w:r>
      <w:r w:rsidR="007E0D13" w:rsidRPr="00224014">
        <w:rPr>
          <w:rFonts w:ascii="Times New Roman" w:hAnsi="Times New Roman" w:cs="Times New Roman"/>
          <w:sz w:val="28"/>
          <w:szCs w:val="28"/>
        </w:rPr>
        <w:t>mother was working nightshift</w:t>
      </w:r>
      <w:r w:rsidR="00315141" w:rsidRPr="00224014">
        <w:rPr>
          <w:rFonts w:ascii="Times New Roman" w:hAnsi="Times New Roman" w:cs="Times New Roman"/>
          <w:sz w:val="28"/>
          <w:szCs w:val="28"/>
        </w:rPr>
        <w:t>,</w:t>
      </w:r>
      <w:r w:rsidR="00EA5655" w:rsidRPr="00224014">
        <w:rPr>
          <w:rFonts w:ascii="Times New Roman" w:hAnsi="Times New Roman" w:cs="Times New Roman"/>
          <w:sz w:val="28"/>
          <w:szCs w:val="28"/>
        </w:rPr>
        <w:t xml:space="preserve"> </w:t>
      </w:r>
      <w:r w:rsidR="00F913C0" w:rsidRPr="00224014">
        <w:rPr>
          <w:rFonts w:ascii="Times New Roman" w:hAnsi="Times New Roman" w:cs="Times New Roman"/>
          <w:sz w:val="28"/>
          <w:szCs w:val="28"/>
        </w:rPr>
        <w:t xml:space="preserve">she was </w:t>
      </w:r>
      <w:r w:rsidR="001A7878" w:rsidRPr="00224014">
        <w:rPr>
          <w:rFonts w:ascii="Times New Roman" w:hAnsi="Times New Roman" w:cs="Times New Roman"/>
          <w:sz w:val="28"/>
          <w:szCs w:val="28"/>
        </w:rPr>
        <w:t>a</w:t>
      </w:r>
      <w:r w:rsidR="000B511D" w:rsidRPr="00224014">
        <w:rPr>
          <w:rFonts w:ascii="Times New Roman" w:hAnsi="Times New Roman" w:cs="Times New Roman"/>
          <w:sz w:val="28"/>
          <w:szCs w:val="28"/>
        </w:rPr>
        <w:t xml:space="preserve">woken from her sleep. The appellant was busy undressing her. He </w:t>
      </w:r>
      <w:r w:rsidR="00315141" w:rsidRPr="00224014">
        <w:rPr>
          <w:rFonts w:ascii="Times New Roman" w:hAnsi="Times New Roman" w:cs="Times New Roman"/>
          <w:sz w:val="28"/>
          <w:szCs w:val="28"/>
        </w:rPr>
        <w:t>raped her vaginally with his penis. She cried but he placed his hand over her mouth, threatening to assault her if she continued. She did not tell anyone as she was afraid of the appellant. He did this on more than five occasions during 2013.</w:t>
      </w:r>
    </w:p>
    <w:p w14:paraId="1ACD4A68" w14:textId="77777777" w:rsidR="00CC6C34" w:rsidRPr="00CC6C34" w:rsidRDefault="00CC6C34" w:rsidP="00A27C37">
      <w:pPr>
        <w:pStyle w:val="ListParagraph"/>
        <w:spacing w:line="360" w:lineRule="auto"/>
        <w:rPr>
          <w:rFonts w:ascii="Times New Roman" w:hAnsi="Times New Roman" w:cs="Times New Roman"/>
          <w:sz w:val="28"/>
          <w:szCs w:val="28"/>
        </w:rPr>
      </w:pPr>
    </w:p>
    <w:p w14:paraId="50AC397E" w14:textId="00EAF2F9" w:rsidR="00CC6C34" w:rsidRPr="00224014" w:rsidRDefault="00224014" w:rsidP="00224014">
      <w:pPr>
        <w:spacing w:line="360" w:lineRule="auto"/>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F913C0" w:rsidRPr="00224014">
        <w:rPr>
          <w:rFonts w:ascii="Times New Roman" w:hAnsi="Times New Roman" w:cs="Times New Roman"/>
          <w:sz w:val="28"/>
          <w:szCs w:val="28"/>
        </w:rPr>
        <w:t>She testified that d</w:t>
      </w:r>
      <w:r w:rsidR="00315141" w:rsidRPr="00224014">
        <w:rPr>
          <w:rFonts w:ascii="Times New Roman" w:hAnsi="Times New Roman" w:cs="Times New Roman"/>
          <w:sz w:val="28"/>
          <w:szCs w:val="28"/>
        </w:rPr>
        <w:t>uring the middle of 2014,</w:t>
      </w:r>
      <w:r w:rsidR="007E0D13" w:rsidRPr="00224014">
        <w:rPr>
          <w:rFonts w:ascii="Times New Roman" w:hAnsi="Times New Roman" w:cs="Times New Roman"/>
          <w:sz w:val="28"/>
          <w:szCs w:val="28"/>
        </w:rPr>
        <w:t xml:space="preserve"> after the appellant and her stepmother had separated, the appellant</w:t>
      </w:r>
      <w:r w:rsidR="00315141" w:rsidRPr="00224014">
        <w:rPr>
          <w:rFonts w:ascii="Times New Roman" w:hAnsi="Times New Roman" w:cs="Times New Roman"/>
          <w:sz w:val="28"/>
          <w:szCs w:val="28"/>
        </w:rPr>
        <w:t xml:space="preserve"> called her to his bedroom to watch television and</w:t>
      </w:r>
      <w:r w:rsidR="008179D4" w:rsidRPr="00224014">
        <w:rPr>
          <w:rFonts w:ascii="Times New Roman" w:hAnsi="Times New Roman" w:cs="Times New Roman"/>
          <w:sz w:val="28"/>
          <w:szCs w:val="28"/>
        </w:rPr>
        <w:t xml:space="preserve"> again raped her vaginally with hi</w:t>
      </w:r>
      <w:r w:rsidR="007E0D13" w:rsidRPr="00224014">
        <w:rPr>
          <w:rFonts w:ascii="Times New Roman" w:hAnsi="Times New Roman" w:cs="Times New Roman"/>
          <w:sz w:val="28"/>
          <w:szCs w:val="28"/>
        </w:rPr>
        <w:t xml:space="preserve">s </w:t>
      </w:r>
      <w:r w:rsidR="00F913C0" w:rsidRPr="00224014">
        <w:rPr>
          <w:rFonts w:ascii="Times New Roman" w:hAnsi="Times New Roman" w:cs="Times New Roman"/>
          <w:sz w:val="28"/>
          <w:szCs w:val="28"/>
        </w:rPr>
        <w:t>penis. She said that at</w:t>
      </w:r>
      <w:r w:rsidR="000B511D" w:rsidRPr="00224014">
        <w:rPr>
          <w:rFonts w:ascii="Times New Roman" w:hAnsi="Times New Roman" w:cs="Times New Roman"/>
          <w:sz w:val="28"/>
          <w:szCs w:val="28"/>
        </w:rPr>
        <w:t xml:space="preserve"> some stage her paternal</w:t>
      </w:r>
      <w:r w:rsidR="007E0D13" w:rsidRPr="00224014">
        <w:rPr>
          <w:rFonts w:ascii="Times New Roman" w:hAnsi="Times New Roman" w:cs="Times New Roman"/>
          <w:sz w:val="28"/>
          <w:szCs w:val="28"/>
        </w:rPr>
        <w:t xml:space="preserve"> aunt, </w:t>
      </w:r>
      <w:proofErr w:type="spellStart"/>
      <w:r w:rsidR="007E0D13" w:rsidRPr="00224014">
        <w:rPr>
          <w:rFonts w:ascii="Times New Roman" w:hAnsi="Times New Roman" w:cs="Times New Roman"/>
          <w:sz w:val="28"/>
          <w:szCs w:val="28"/>
        </w:rPr>
        <w:t>Thembisa</w:t>
      </w:r>
      <w:proofErr w:type="spellEnd"/>
      <w:r w:rsidR="007E0D13" w:rsidRPr="00224014">
        <w:rPr>
          <w:rFonts w:ascii="Times New Roman" w:hAnsi="Times New Roman" w:cs="Times New Roman"/>
          <w:sz w:val="28"/>
          <w:szCs w:val="28"/>
        </w:rPr>
        <w:t xml:space="preserve">, enquired </w:t>
      </w:r>
      <w:r w:rsidR="00315141" w:rsidRPr="00224014">
        <w:rPr>
          <w:rFonts w:ascii="Times New Roman" w:hAnsi="Times New Roman" w:cs="Times New Roman"/>
          <w:sz w:val="28"/>
          <w:szCs w:val="28"/>
        </w:rPr>
        <w:t xml:space="preserve">from the appellant whether he was having sexual intercourse with the complainant. He denied the allegation. He promised the complainant that if she corroborated his version, he would not rape her again. </w:t>
      </w:r>
      <w:r w:rsidR="00315141" w:rsidRPr="00224014">
        <w:rPr>
          <w:rFonts w:ascii="Times New Roman" w:hAnsi="Times New Roman" w:cs="Times New Roman"/>
          <w:sz w:val="28"/>
          <w:szCs w:val="28"/>
        </w:rPr>
        <w:lastRenderedPageBreak/>
        <w:t>She complied.</w:t>
      </w:r>
      <w:r w:rsidR="009773AD" w:rsidRPr="00224014">
        <w:rPr>
          <w:rFonts w:ascii="Times New Roman" w:hAnsi="Times New Roman" w:cs="Times New Roman"/>
          <w:sz w:val="28"/>
          <w:szCs w:val="28"/>
        </w:rPr>
        <w:t xml:space="preserve"> She forgave him and trusted his undertaking.</w:t>
      </w:r>
      <w:r w:rsidR="00315141" w:rsidRPr="00224014">
        <w:rPr>
          <w:rFonts w:ascii="Times New Roman" w:hAnsi="Times New Roman" w:cs="Times New Roman"/>
          <w:sz w:val="28"/>
          <w:szCs w:val="28"/>
        </w:rPr>
        <w:t xml:space="preserve"> Thereafter the appellant refrained from raping her for some time</w:t>
      </w:r>
      <w:r w:rsidR="00237CDF" w:rsidRPr="00224014">
        <w:rPr>
          <w:rFonts w:ascii="Times New Roman" w:hAnsi="Times New Roman" w:cs="Times New Roman"/>
          <w:sz w:val="28"/>
          <w:szCs w:val="28"/>
        </w:rPr>
        <w:t>, until 2015, when he began to abuse her once more.</w:t>
      </w:r>
    </w:p>
    <w:p w14:paraId="7A267C13" w14:textId="77777777" w:rsidR="00CC6C34" w:rsidRPr="00CC6C34" w:rsidRDefault="00CC6C34" w:rsidP="00CC6C34">
      <w:pPr>
        <w:pStyle w:val="ListParagraph"/>
        <w:rPr>
          <w:rFonts w:ascii="Times New Roman" w:hAnsi="Times New Roman" w:cs="Times New Roman"/>
          <w:sz w:val="28"/>
          <w:szCs w:val="28"/>
        </w:rPr>
      </w:pPr>
    </w:p>
    <w:p w14:paraId="3172D4EC" w14:textId="02E28AA4" w:rsidR="00CC6C34" w:rsidRPr="00224014" w:rsidRDefault="00224014" w:rsidP="00224014">
      <w:pPr>
        <w:spacing w:line="360" w:lineRule="auto"/>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237CDF" w:rsidRPr="00224014">
        <w:rPr>
          <w:rFonts w:ascii="Times New Roman" w:hAnsi="Times New Roman" w:cs="Times New Roman"/>
          <w:sz w:val="28"/>
          <w:szCs w:val="28"/>
        </w:rPr>
        <w:t>She testified that</w:t>
      </w:r>
      <w:r w:rsidR="008179D4" w:rsidRPr="00224014">
        <w:rPr>
          <w:rFonts w:ascii="Times New Roman" w:hAnsi="Times New Roman" w:cs="Times New Roman"/>
          <w:sz w:val="28"/>
          <w:szCs w:val="28"/>
        </w:rPr>
        <w:t xml:space="preserve"> during 2015 he raped her over</w:t>
      </w:r>
      <w:r w:rsidR="00237CDF" w:rsidRPr="00224014">
        <w:rPr>
          <w:rFonts w:ascii="Times New Roman" w:hAnsi="Times New Roman" w:cs="Times New Roman"/>
          <w:sz w:val="28"/>
          <w:szCs w:val="28"/>
        </w:rPr>
        <w:t xml:space="preserve"> weekends and did so more than ten times. Towards the end of the year he stopped and apologised, saying that he did not know what possessed him to do these things.</w:t>
      </w:r>
    </w:p>
    <w:p w14:paraId="1D5F2A7E" w14:textId="77777777" w:rsidR="000D77AE" w:rsidRDefault="000D77AE" w:rsidP="000D77AE">
      <w:pPr>
        <w:pStyle w:val="ListParagraph"/>
        <w:spacing w:line="360" w:lineRule="auto"/>
        <w:ind w:left="0"/>
        <w:jc w:val="both"/>
        <w:rPr>
          <w:rFonts w:ascii="Times New Roman" w:hAnsi="Times New Roman" w:cs="Times New Roman"/>
          <w:sz w:val="28"/>
          <w:szCs w:val="28"/>
        </w:rPr>
      </w:pPr>
    </w:p>
    <w:p w14:paraId="66EDE58F" w14:textId="1FCDBA06" w:rsidR="00CC6C34" w:rsidRPr="00224014" w:rsidRDefault="00224014" w:rsidP="00224014">
      <w:pPr>
        <w:spacing w:line="360" w:lineRule="auto"/>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00E01DDE" w:rsidRPr="00224014">
        <w:rPr>
          <w:rFonts w:ascii="Times New Roman" w:hAnsi="Times New Roman" w:cs="Times New Roman"/>
          <w:sz w:val="28"/>
          <w:szCs w:val="28"/>
        </w:rPr>
        <w:t>During 2016 her half-sister</w:t>
      </w:r>
      <w:r w:rsidR="00237CDF" w:rsidRPr="00224014">
        <w:rPr>
          <w:rFonts w:ascii="Times New Roman" w:hAnsi="Times New Roman" w:cs="Times New Roman"/>
          <w:sz w:val="28"/>
          <w:szCs w:val="28"/>
        </w:rPr>
        <w:t xml:space="preserve"> Lisa came to visit. The appellant invite</w:t>
      </w:r>
      <w:r w:rsidR="007B0A1B" w:rsidRPr="00224014">
        <w:rPr>
          <w:rFonts w:ascii="Times New Roman" w:hAnsi="Times New Roman" w:cs="Times New Roman"/>
          <w:sz w:val="28"/>
          <w:szCs w:val="28"/>
        </w:rPr>
        <w:t>d Lisa and the complainant</w:t>
      </w:r>
      <w:r w:rsidR="00237CDF" w:rsidRPr="00224014">
        <w:rPr>
          <w:rFonts w:ascii="Times New Roman" w:hAnsi="Times New Roman" w:cs="Times New Roman"/>
          <w:sz w:val="28"/>
          <w:szCs w:val="28"/>
        </w:rPr>
        <w:t xml:space="preserve"> to sleep with him in his room. He</w:t>
      </w:r>
      <w:r w:rsidR="007E0D13" w:rsidRPr="00224014">
        <w:rPr>
          <w:rFonts w:ascii="Times New Roman" w:hAnsi="Times New Roman" w:cs="Times New Roman"/>
          <w:sz w:val="28"/>
          <w:szCs w:val="28"/>
        </w:rPr>
        <w:t xml:space="preserve"> waited until they were asleep</w:t>
      </w:r>
      <w:r w:rsidR="00237CDF" w:rsidRPr="00224014">
        <w:rPr>
          <w:rFonts w:ascii="Times New Roman" w:hAnsi="Times New Roman" w:cs="Times New Roman"/>
          <w:sz w:val="28"/>
          <w:szCs w:val="28"/>
        </w:rPr>
        <w:t>, whereafter he proceeded to rape the complai</w:t>
      </w:r>
      <w:r w:rsidR="000414CA" w:rsidRPr="00224014">
        <w:rPr>
          <w:rFonts w:ascii="Times New Roman" w:hAnsi="Times New Roman" w:cs="Times New Roman"/>
          <w:sz w:val="28"/>
          <w:szCs w:val="28"/>
        </w:rPr>
        <w:t>nant vaginall</w:t>
      </w:r>
      <w:r w:rsidR="00C02BEB" w:rsidRPr="00224014">
        <w:rPr>
          <w:rFonts w:ascii="Times New Roman" w:hAnsi="Times New Roman" w:cs="Times New Roman"/>
          <w:sz w:val="28"/>
          <w:szCs w:val="28"/>
        </w:rPr>
        <w:t xml:space="preserve">y with his penis. She </w:t>
      </w:r>
      <w:r w:rsidR="000414CA" w:rsidRPr="00224014">
        <w:rPr>
          <w:rFonts w:ascii="Times New Roman" w:hAnsi="Times New Roman" w:cs="Times New Roman"/>
          <w:sz w:val="28"/>
          <w:szCs w:val="28"/>
        </w:rPr>
        <w:t>said that he</w:t>
      </w:r>
      <w:r w:rsidR="00237CDF" w:rsidRPr="00224014">
        <w:rPr>
          <w:rFonts w:ascii="Times New Roman" w:hAnsi="Times New Roman" w:cs="Times New Roman"/>
          <w:sz w:val="28"/>
          <w:szCs w:val="28"/>
        </w:rPr>
        <w:t xml:space="preserve"> repeated this act mo</w:t>
      </w:r>
      <w:r w:rsidR="000414CA" w:rsidRPr="00224014">
        <w:rPr>
          <w:rFonts w:ascii="Times New Roman" w:hAnsi="Times New Roman" w:cs="Times New Roman"/>
          <w:sz w:val="28"/>
          <w:szCs w:val="28"/>
        </w:rPr>
        <w:t>re than f</w:t>
      </w:r>
      <w:r w:rsidR="00C02BEB" w:rsidRPr="00224014">
        <w:rPr>
          <w:rFonts w:ascii="Times New Roman" w:hAnsi="Times New Roman" w:cs="Times New Roman"/>
          <w:sz w:val="28"/>
          <w:szCs w:val="28"/>
        </w:rPr>
        <w:t>ive times during 2016</w:t>
      </w:r>
      <w:r w:rsidR="00CC6C34" w:rsidRPr="00224014">
        <w:rPr>
          <w:rFonts w:ascii="Times New Roman" w:hAnsi="Times New Roman" w:cs="Times New Roman"/>
          <w:sz w:val="28"/>
          <w:szCs w:val="28"/>
        </w:rPr>
        <w:t>.</w:t>
      </w:r>
    </w:p>
    <w:p w14:paraId="4F8C8B38" w14:textId="77777777" w:rsidR="00CC6C34" w:rsidRPr="00CC6C34" w:rsidRDefault="00CC6C34" w:rsidP="00A27C37">
      <w:pPr>
        <w:pStyle w:val="ListParagraph"/>
        <w:spacing w:line="360" w:lineRule="auto"/>
        <w:rPr>
          <w:rFonts w:ascii="Times New Roman" w:hAnsi="Times New Roman" w:cs="Times New Roman"/>
          <w:sz w:val="28"/>
          <w:szCs w:val="28"/>
        </w:rPr>
      </w:pPr>
    </w:p>
    <w:p w14:paraId="5DC5CF3D" w14:textId="5F52DA20" w:rsidR="00CC6C34" w:rsidRPr="00224014" w:rsidRDefault="00224014" w:rsidP="00224014">
      <w:pPr>
        <w:spacing w:line="360" w:lineRule="auto"/>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001A7878" w:rsidRPr="00224014">
        <w:rPr>
          <w:rFonts w:ascii="Times New Roman" w:hAnsi="Times New Roman" w:cs="Times New Roman"/>
          <w:sz w:val="28"/>
          <w:szCs w:val="28"/>
        </w:rPr>
        <w:t>She went on to say</w:t>
      </w:r>
      <w:r w:rsidR="000B511D" w:rsidRPr="00224014">
        <w:rPr>
          <w:rFonts w:ascii="Times New Roman" w:hAnsi="Times New Roman" w:cs="Times New Roman"/>
          <w:sz w:val="28"/>
          <w:szCs w:val="28"/>
        </w:rPr>
        <w:t xml:space="preserve"> that during</w:t>
      </w:r>
      <w:r w:rsidR="00F913C0" w:rsidRPr="00224014">
        <w:rPr>
          <w:rFonts w:ascii="Times New Roman" w:hAnsi="Times New Roman" w:cs="Times New Roman"/>
          <w:sz w:val="28"/>
          <w:szCs w:val="28"/>
        </w:rPr>
        <w:t xml:space="preserve"> </w:t>
      </w:r>
      <w:r w:rsidR="00237CDF" w:rsidRPr="00224014">
        <w:rPr>
          <w:rFonts w:ascii="Times New Roman" w:hAnsi="Times New Roman" w:cs="Times New Roman"/>
          <w:sz w:val="28"/>
          <w:szCs w:val="28"/>
        </w:rPr>
        <w:t>July 2016 she and the appellant</w:t>
      </w:r>
      <w:r w:rsidR="00FF3B16" w:rsidRPr="00224014">
        <w:rPr>
          <w:rFonts w:ascii="Times New Roman" w:hAnsi="Times New Roman" w:cs="Times New Roman"/>
          <w:sz w:val="28"/>
          <w:szCs w:val="28"/>
        </w:rPr>
        <w:t xml:space="preserve"> had</w:t>
      </w:r>
      <w:r w:rsidR="00237CDF" w:rsidRPr="00224014">
        <w:rPr>
          <w:rFonts w:ascii="Times New Roman" w:hAnsi="Times New Roman" w:cs="Times New Roman"/>
          <w:sz w:val="28"/>
          <w:szCs w:val="28"/>
        </w:rPr>
        <w:t xml:space="preserve"> quarrelled</w:t>
      </w:r>
      <w:r w:rsidR="00AE49EC" w:rsidRPr="00224014">
        <w:rPr>
          <w:rFonts w:ascii="Times New Roman" w:hAnsi="Times New Roman" w:cs="Times New Roman"/>
          <w:sz w:val="28"/>
          <w:szCs w:val="28"/>
        </w:rPr>
        <w:t xml:space="preserve">, but he did not sexually assault her during that month. </w:t>
      </w:r>
      <w:r w:rsidR="00F913C0" w:rsidRPr="00224014">
        <w:rPr>
          <w:rFonts w:ascii="Times New Roman" w:hAnsi="Times New Roman" w:cs="Times New Roman"/>
          <w:sz w:val="28"/>
          <w:szCs w:val="28"/>
        </w:rPr>
        <w:t>After the quarrel s</w:t>
      </w:r>
      <w:r w:rsidR="00AE49EC" w:rsidRPr="00224014">
        <w:rPr>
          <w:rFonts w:ascii="Times New Roman" w:hAnsi="Times New Roman" w:cs="Times New Roman"/>
          <w:sz w:val="28"/>
          <w:szCs w:val="28"/>
        </w:rPr>
        <w:t xml:space="preserve">he sent a message to </w:t>
      </w:r>
      <w:proofErr w:type="spellStart"/>
      <w:r w:rsidR="008179D4" w:rsidRPr="00224014">
        <w:rPr>
          <w:rFonts w:ascii="Times New Roman" w:hAnsi="Times New Roman" w:cs="Times New Roman"/>
          <w:sz w:val="28"/>
          <w:szCs w:val="28"/>
        </w:rPr>
        <w:t>Thembisa</w:t>
      </w:r>
      <w:proofErr w:type="spellEnd"/>
      <w:r w:rsidR="00AE49EC" w:rsidRPr="00224014">
        <w:rPr>
          <w:rFonts w:ascii="Times New Roman" w:hAnsi="Times New Roman" w:cs="Times New Roman"/>
          <w:sz w:val="28"/>
          <w:szCs w:val="28"/>
        </w:rPr>
        <w:t xml:space="preserve"> confirming that the appellant had been raping her.</w:t>
      </w:r>
      <w:r w:rsidR="007E0D13" w:rsidRPr="00224014">
        <w:rPr>
          <w:rFonts w:ascii="Times New Roman" w:hAnsi="Times New Roman" w:cs="Times New Roman"/>
          <w:sz w:val="28"/>
          <w:szCs w:val="28"/>
        </w:rPr>
        <w:t xml:space="preserve"> </w:t>
      </w:r>
      <w:r w:rsidR="00CC6C34" w:rsidRPr="00224014">
        <w:rPr>
          <w:rFonts w:ascii="Times New Roman" w:hAnsi="Times New Roman" w:cs="Times New Roman"/>
          <w:sz w:val="28"/>
          <w:szCs w:val="28"/>
        </w:rPr>
        <w:t xml:space="preserve"> </w:t>
      </w:r>
      <w:proofErr w:type="spellStart"/>
      <w:r w:rsidR="008179D4" w:rsidRPr="00224014">
        <w:rPr>
          <w:rFonts w:ascii="Times New Roman" w:hAnsi="Times New Roman" w:cs="Times New Roman"/>
          <w:sz w:val="28"/>
          <w:szCs w:val="28"/>
        </w:rPr>
        <w:t>Thembisa</w:t>
      </w:r>
      <w:proofErr w:type="spellEnd"/>
      <w:r w:rsidR="00237CDF" w:rsidRPr="00224014">
        <w:rPr>
          <w:rFonts w:ascii="Times New Roman" w:hAnsi="Times New Roman" w:cs="Times New Roman"/>
          <w:sz w:val="28"/>
          <w:szCs w:val="28"/>
        </w:rPr>
        <w:t xml:space="preserve"> promised to fetch her but failed to do so, so she</w:t>
      </w:r>
      <w:r w:rsidR="00E01DDE" w:rsidRPr="00224014">
        <w:rPr>
          <w:rFonts w:ascii="Times New Roman" w:hAnsi="Times New Roman" w:cs="Times New Roman"/>
          <w:sz w:val="28"/>
          <w:szCs w:val="28"/>
        </w:rPr>
        <w:t xml:space="preserve"> reported the rapes to </w:t>
      </w:r>
      <w:r w:rsidR="00237CDF" w:rsidRPr="00224014">
        <w:rPr>
          <w:rFonts w:ascii="Times New Roman" w:hAnsi="Times New Roman" w:cs="Times New Roman"/>
          <w:sz w:val="28"/>
          <w:szCs w:val="28"/>
        </w:rPr>
        <w:t>her</w:t>
      </w:r>
      <w:r w:rsidR="007E0D13" w:rsidRPr="00224014">
        <w:rPr>
          <w:rFonts w:ascii="Times New Roman" w:hAnsi="Times New Roman" w:cs="Times New Roman"/>
          <w:sz w:val="28"/>
          <w:szCs w:val="28"/>
        </w:rPr>
        <w:t xml:space="preserve"> maternal</w:t>
      </w:r>
      <w:r w:rsidR="00237CDF" w:rsidRPr="00224014">
        <w:rPr>
          <w:rFonts w:ascii="Times New Roman" w:hAnsi="Times New Roman" w:cs="Times New Roman"/>
          <w:sz w:val="28"/>
          <w:szCs w:val="28"/>
        </w:rPr>
        <w:t xml:space="preserve"> aunt</w:t>
      </w:r>
      <w:r w:rsidR="007E0D13" w:rsidRPr="00224014">
        <w:rPr>
          <w:rFonts w:ascii="Times New Roman" w:hAnsi="Times New Roman" w:cs="Times New Roman"/>
          <w:sz w:val="28"/>
          <w:szCs w:val="28"/>
        </w:rPr>
        <w:t>,</w:t>
      </w:r>
      <w:r w:rsidR="00237CDF" w:rsidRPr="00224014">
        <w:rPr>
          <w:rFonts w:ascii="Times New Roman" w:hAnsi="Times New Roman" w:cs="Times New Roman"/>
          <w:sz w:val="28"/>
          <w:szCs w:val="28"/>
        </w:rPr>
        <w:t xml:space="preserve"> Agnes </w:t>
      </w:r>
      <w:proofErr w:type="spellStart"/>
      <w:r w:rsidR="00237CDF" w:rsidRPr="00224014">
        <w:rPr>
          <w:rFonts w:ascii="Times New Roman" w:hAnsi="Times New Roman" w:cs="Times New Roman"/>
          <w:sz w:val="28"/>
          <w:szCs w:val="28"/>
        </w:rPr>
        <w:t>Mb</w:t>
      </w:r>
      <w:r w:rsidR="00E01DDE" w:rsidRPr="00224014">
        <w:rPr>
          <w:rFonts w:ascii="Times New Roman" w:hAnsi="Times New Roman" w:cs="Times New Roman"/>
          <w:sz w:val="28"/>
          <w:szCs w:val="28"/>
        </w:rPr>
        <w:t>embe</w:t>
      </w:r>
      <w:proofErr w:type="spellEnd"/>
      <w:r w:rsidR="00E01DDE" w:rsidRPr="00224014">
        <w:rPr>
          <w:rFonts w:ascii="Times New Roman" w:hAnsi="Times New Roman" w:cs="Times New Roman"/>
          <w:sz w:val="28"/>
          <w:szCs w:val="28"/>
        </w:rPr>
        <w:t>.</w:t>
      </w:r>
      <w:r w:rsidR="003E3747">
        <w:rPr>
          <w:rStyle w:val="FootnoteReference"/>
          <w:rFonts w:ascii="Times New Roman" w:hAnsi="Times New Roman" w:cs="Times New Roman"/>
          <w:sz w:val="28"/>
          <w:szCs w:val="28"/>
        </w:rPr>
        <w:footnoteReference w:id="1"/>
      </w:r>
      <w:r w:rsidR="00E01DDE" w:rsidRPr="00224014">
        <w:rPr>
          <w:rFonts w:ascii="Times New Roman" w:hAnsi="Times New Roman" w:cs="Times New Roman"/>
          <w:sz w:val="28"/>
          <w:szCs w:val="28"/>
        </w:rPr>
        <w:t xml:space="preserve"> Agnes arranged for the police to interview the complainant, and for her to be medically examined.</w:t>
      </w:r>
    </w:p>
    <w:p w14:paraId="08AC4695" w14:textId="77777777" w:rsidR="00CC6C34" w:rsidRPr="00CC6C34" w:rsidRDefault="00CC6C34" w:rsidP="00A27C37">
      <w:pPr>
        <w:pStyle w:val="ListParagraph"/>
        <w:spacing w:line="360" w:lineRule="auto"/>
        <w:rPr>
          <w:rFonts w:ascii="Times New Roman" w:hAnsi="Times New Roman" w:cs="Times New Roman"/>
          <w:sz w:val="28"/>
          <w:szCs w:val="28"/>
        </w:rPr>
      </w:pPr>
    </w:p>
    <w:p w14:paraId="541C796D" w14:textId="176F52F0" w:rsidR="00CC6C34" w:rsidRPr="00224014" w:rsidRDefault="00224014" w:rsidP="00224014">
      <w:pPr>
        <w:spacing w:line="360" w:lineRule="auto"/>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r w:rsidR="007B0A1B" w:rsidRPr="00224014">
        <w:rPr>
          <w:rFonts w:ascii="Times New Roman" w:hAnsi="Times New Roman" w:cs="Times New Roman"/>
          <w:sz w:val="28"/>
          <w:szCs w:val="28"/>
        </w:rPr>
        <w:t>During cross-examination the complainant</w:t>
      </w:r>
      <w:r w:rsidR="003E3747" w:rsidRPr="00224014">
        <w:rPr>
          <w:rFonts w:ascii="Times New Roman" w:hAnsi="Times New Roman" w:cs="Times New Roman"/>
          <w:sz w:val="28"/>
          <w:szCs w:val="28"/>
        </w:rPr>
        <w:t xml:space="preserve"> confirmed that she deposed to two affidavits in 2016. She said that she read the statements herself and that she w</w:t>
      </w:r>
      <w:r w:rsidR="00F913C0" w:rsidRPr="00224014">
        <w:rPr>
          <w:rFonts w:ascii="Times New Roman" w:hAnsi="Times New Roman" w:cs="Times New Roman"/>
          <w:sz w:val="28"/>
          <w:szCs w:val="28"/>
        </w:rPr>
        <w:t>as satisfied with their contents.</w:t>
      </w:r>
      <w:r w:rsidR="003E3747" w:rsidRPr="00224014">
        <w:rPr>
          <w:rFonts w:ascii="Times New Roman" w:hAnsi="Times New Roman" w:cs="Times New Roman"/>
          <w:sz w:val="28"/>
          <w:szCs w:val="28"/>
        </w:rPr>
        <w:t xml:space="preserve"> When it was put to her that she had stated in her affidavits that the appellant also raped her on Saturday, 23 July 2016, she said that she was mistaken when she omitted this in her evidence in chief.</w:t>
      </w:r>
    </w:p>
    <w:p w14:paraId="636B2662" w14:textId="77777777" w:rsidR="00CC6C34" w:rsidRPr="00CC6C34" w:rsidRDefault="00CC6C34" w:rsidP="00A27C37">
      <w:pPr>
        <w:pStyle w:val="ListParagraph"/>
        <w:spacing w:line="360" w:lineRule="auto"/>
        <w:rPr>
          <w:rFonts w:ascii="Times New Roman" w:hAnsi="Times New Roman" w:cs="Times New Roman"/>
          <w:sz w:val="28"/>
          <w:szCs w:val="28"/>
        </w:rPr>
      </w:pPr>
    </w:p>
    <w:p w14:paraId="20AC6B00" w14:textId="7AF74CEF" w:rsidR="00731821" w:rsidRPr="00224014" w:rsidRDefault="00224014" w:rsidP="00224014">
      <w:pPr>
        <w:spacing w:line="360" w:lineRule="auto"/>
        <w:jc w:val="both"/>
        <w:rPr>
          <w:rFonts w:ascii="Times New Roman" w:hAnsi="Times New Roman" w:cs="Times New Roman"/>
          <w:sz w:val="28"/>
          <w:szCs w:val="28"/>
        </w:rPr>
      </w:pPr>
      <w:r w:rsidRPr="00CC6C34">
        <w:rPr>
          <w:rFonts w:ascii="Times New Roman" w:hAnsi="Times New Roman" w:cs="Times New Roman"/>
          <w:sz w:val="28"/>
          <w:szCs w:val="28"/>
        </w:rPr>
        <w:t>[9]</w:t>
      </w:r>
      <w:r w:rsidRPr="00CC6C34">
        <w:rPr>
          <w:rFonts w:ascii="Times New Roman" w:hAnsi="Times New Roman" w:cs="Times New Roman"/>
          <w:sz w:val="28"/>
          <w:szCs w:val="28"/>
        </w:rPr>
        <w:tab/>
      </w:r>
      <w:r w:rsidR="00731821" w:rsidRPr="00224014">
        <w:rPr>
          <w:rFonts w:ascii="Times New Roman" w:hAnsi="Times New Roman" w:cs="Times New Roman"/>
          <w:sz w:val="28"/>
          <w:szCs w:val="28"/>
        </w:rPr>
        <w:t xml:space="preserve">The medico-legal examination report reflects that Dr </w:t>
      </w:r>
      <w:proofErr w:type="spellStart"/>
      <w:r w:rsidR="00731821" w:rsidRPr="00224014">
        <w:rPr>
          <w:rFonts w:ascii="Times New Roman" w:hAnsi="Times New Roman" w:cs="Times New Roman"/>
          <w:sz w:val="28"/>
          <w:szCs w:val="28"/>
        </w:rPr>
        <w:t>Madikane</w:t>
      </w:r>
      <w:proofErr w:type="spellEnd"/>
      <w:r w:rsidR="00731821" w:rsidRPr="00224014">
        <w:rPr>
          <w:rFonts w:ascii="Times New Roman" w:hAnsi="Times New Roman" w:cs="Times New Roman"/>
          <w:sz w:val="28"/>
          <w:szCs w:val="28"/>
        </w:rPr>
        <w:t xml:space="preserve"> examined the complainant at Grey Hospital in King Williams Town at 21h30 on 25 July 2016</w:t>
      </w:r>
      <w:r w:rsidR="001C1479" w:rsidRPr="00224014">
        <w:rPr>
          <w:rFonts w:ascii="Times New Roman" w:hAnsi="Times New Roman" w:cs="Times New Roman"/>
          <w:sz w:val="28"/>
          <w:szCs w:val="28"/>
        </w:rPr>
        <w:t>. The report reflects the following:</w:t>
      </w:r>
    </w:p>
    <w:p w14:paraId="119199F9" w14:textId="77777777" w:rsidR="003E3747" w:rsidRDefault="003E3747" w:rsidP="003E3747">
      <w:pPr>
        <w:pStyle w:val="ListParagraph"/>
        <w:spacing w:line="360" w:lineRule="auto"/>
        <w:jc w:val="both"/>
        <w:rPr>
          <w:rFonts w:ascii="Times New Roman" w:hAnsi="Times New Roman" w:cs="Times New Roman"/>
          <w:sz w:val="28"/>
          <w:szCs w:val="28"/>
        </w:rPr>
      </w:pPr>
    </w:p>
    <w:p w14:paraId="19CC9710" w14:textId="77777777" w:rsidR="001C1479" w:rsidRDefault="001C1479" w:rsidP="001C147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‘Allegedly sexually assaulted. No visible bruises. The assailant allegedly used a condom whilst sexually assaulting the victim …</w:t>
      </w:r>
      <w:r w:rsidR="00C26643">
        <w:rPr>
          <w:rFonts w:ascii="Times New Roman" w:hAnsi="Times New Roman" w:cs="Times New Roman"/>
          <w:sz w:val="24"/>
          <w:szCs w:val="24"/>
        </w:rPr>
        <w:t xml:space="preserve"> </w:t>
      </w:r>
      <w:r>
        <w:rPr>
          <w:rFonts w:ascii="Times New Roman" w:hAnsi="Times New Roman" w:cs="Times New Roman"/>
          <w:sz w:val="24"/>
          <w:szCs w:val="24"/>
        </w:rPr>
        <w:t xml:space="preserve"> History of sexual assault. Condom used during the incident. Victim has washed and changed clothing since the incident.’</w:t>
      </w:r>
    </w:p>
    <w:p w14:paraId="58CBFDBA" w14:textId="77777777" w:rsidR="00C26643" w:rsidRDefault="00C26643" w:rsidP="001C1479">
      <w:pPr>
        <w:pStyle w:val="ListParagraph"/>
        <w:spacing w:line="360" w:lineRule="auto"/>
        <w:jc w:val="both"/>
        <w:rPr>
          <w:rFonts w:ascii="Times New Roman" w:hAnsi="Times New Roman" w:cs="Times New Roman"/>
          <w:sz w:val="24"/>
          <w:szCs w:val="24"/>
        </w:rPr>
      </w:pPr>
    </w:p>
    <w:p w14:paraId="24D1BC43" w14:textId="77777777" w:rsidR="001C1479" w:rsidRDefault="001C1479" w:rsidP="001C1479">
      <w:pPr>
        <w:pStyle w:val="ListParagraph"/>
        <w:spacing w:line="360" w:lineRule="auto"/>
        <w:jc w:val="both"/>
        <w:rPr>
          <w:rFonts w:ascii="Times New Roman" w:hAnsi="Times New Roman" w:cs="Times New Roman"/>
          <w:sz w:val="28"/>
          <w:szCs w:val="28"/>
        </w:rPr>
      </w:pPr>
      <w:r w:rsidRPr="001C1479">
        <w:rPr>
          <w:rFonts w:ascii="Times New Roman" w:hAnsi="Times New Roman" w:cs="Times New Roman"/>
          <w:sz w:val="28"/>
          <w:szCs w:val="28"/>
        </w:rPr>
        <w:t>It appears further from the report that the complainant was sexually active and that her hymen was perforated.</w:t>
      </w:r>
    </w:p>
    <w:p w14:paraId="1D301B34" w14:textId="77777777" w:rsidR="000D77AE" w:rsidRDefault="000D77AE" w:rsidP="000D77AE">
      <w:pPr>
        <w:pStyle w:val="ListParagraph"/>
        <w:spacing w:line="360" w:lineRule="auto"/>
        <w:ind w:left="0"/>
        <w:jc w:val="both"/>
        <w:rPr>
          <w:rFonts w:ascii="Times New Roman" w:hAnsi="Times New Roman" w:cs="Times New Roman"/>
          <w:sz w:val="28"/>
          <w:szCs w:val="28"/>
        </w:rPr>
      </w:pPr>
    </w:p>
    <w:p w14:paraId="59904A98" w14:textId="454AE6CB" w:rsidR="00CC6C34" w:rsidRPr="00224014" w:rsidRDefault="00224014" w:rsidP="00224014">
      <w:pPr>
        <w:spacing w:line="360" w:lineRule="auto"/>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r>
      <w:r w:rsidR="00E01DDE" w:rsidRPr="00224014">
        <w:rPr>
          <w:rFonts w:ascii="Times New Roman" w:hAnsi="Times New Roman" w:cs="Times New Roman"/>
          <w:sz w:val="28"/>
          <w:szCs w:val="28"/>
        </w:rPr>
        <w:t>The complainant’s half-sister Lisa testified that when she visited the home where the complainant and the appellant were living, he indeed invited them to sleep in the bed with him. She said that she would pretend to be sleeping, but was able to see the appellant raping the complainant, and that she could hear the complainant asking him to stop. She also heard the appellant threatening to assault the complainant.</w:t>
      </w:r>
    </w:p>
    <w:p w14:paraId="0F8A859C" w14:textId="77777777" w:rsidR="00CC6C34" w:rsidRDefault="00CC6C34" w:rsidP="00A27C37">
      <w:pPr>
        <w:pStyle w:val="ListParagraph"/>
        <w:spacing w:line="360" w:lineRule="auto"/>
        <w:ind w:left="0"/>
        <w:jc w:val="both"/>
        <w:rPr>
          <w:rFonts w:ascii="Times New Roman" w:hAnsi="Times New Roman" w:cs="Times New Roman"/>
          <w:sz w:val="28"/>
          <w:szCs w:val="28"/>
        </w:rPr>
      </w:pPr>
    </w:p>
    <w:p w14:paraId="503463B9" w14:textId="2E9C9086" w:rsidR="000E0710" w:rsidRPr="00224014" w:rsidRDefault="00224014" w:rsidP="00224014">
      <w:pPr>
        <w:spacing w:line="360" w:lineRule="auto"/>
        <w:jc w:val="both"/>
        <w:rPr>
          <w:rFonts w:ascii="Times New Roman" w:hAnsi="Times New Roman" w:cs="Times New Roman"/>
          <w:sz w:val="28"/>
          <w:szCs w:val="28"/>
        </w:rPr>
      </w:pPr>
      <w:r w:rsidRPr="00CC6C34">
        <w:rPr>
          <w:rFonts w:ascii="Times New Roman" w:hAnsi="Times New Roman" w:cs="Times New Roman"/>
          <w:sz w:val="28"/>
          <w:szCs w:val="28"/>
        </w:rPr>
        <w:t>[11]</w:t>
      </w:r>
      <w:r w:rsidRPr="00CC6C34">
        <w:rPr>
          <w:rFonts w:ascii="Times New Roman" w:hAnsi="Times New Roman" w:cs="Times New Roman"/>
          <w:sz w:val="28"/>
          <w:szCs w:val="28"/>
        </w:rPr>
        <w:tab/>
      </w:r>
      <w:r w:rsidR="000E0710" w:rsidRPr="00224014">
        <w:rPr>
          <w:rFonts w:ascii="Times New Roman" w:hAnsi="Times New Roman" w:cs="Times New Roman"/>
          <w:sz w:val="28"/>
          <w:szCs w:val="28"/>
        </w:rPr>
        <w:t>Agnes</w:t>
      </w:r>
      <w:r w:rsidR="00731821" w:rsidRPr="00224014">
        <w:rPr>
          <w:rFonts w:ascii="Times New Roman" w:hAnsi="Times New Roman" w:cs="Times New Roman"/>
          <w:sz w:val="28"/>
          <w:szCs w:val="28"/>
        </w:rPr>
        <w:t>, the compla</w:t>
      </w:r>
      <w:r w:rsidR="00FF3B16" w:rsidRPr="00224014">
        <w:rPr>
          <w:rFonts w:ascii="Times New Roman" w:hAnsi="Times New Roman" w:cs="Times New Roman"/>
          <w:sz w:val="28"/>
          <w:szCs w:val="28"/>
        </w:rPr>
        <w:t>inant’s maternal aunt, testified</w:t>
      </w:r>
      <w:r w:rsidR="00731821" w:rsidRPr="00224014">
        <w:rPr>
          <w:rFonts w:ascii="Times New Roman" w:hAnsi="Times New Roman" w:cs="Times New Roman"/>
          <w:sz w:val="28"/>
          <w:szCs w:val="28"/>
        </w:rPr>
        <w:t xml:space="preserve"> that on a Sunday in July 2016 she received a cell phone</w:t>
      </w:r>
      <w:r w:rsidR="00FF3B16" w:rsidRPr="00224014">
        <w:rPr>
          <w:rFonts w:ascii="Times New Roman" w:hAnsi="Times New Roman" w:cs="Times New Roman"/>
          <w:sz w:val="28"/>
          <w:szCs w:val="28"/>
        </w:rPr>
        <w:t xml:space="preserve"> text</w:t>
      </w:r>
      <w:r w:rsidR="00731821" w:rsidRPr="00224014">
        <w:rPr>
          <w:rFonts w:ascii="Times New Roman" w:hAnsi="Times New Roman" w:cs="Times New Roman"/>
          <w:sz w:val="28"/>
          <w:szCs w:val="28"/>
        </w:rPr>
        <w:t xml:space="preserve"> message </w:t>
      </w:r>
      <w:r w:rsidR="00FF3B16" w:rsidRPr="00224014">
        <w:rPr>
          <w:rFonts w:ascii="Times New Roman" w:hAnsi="Times New Roman" w:cs="Times New Roman"/>
          <w:sz w:val="28"/>
          <w:szCs w:val="28"/>
        </w:rPr>
        <w:t>from the complainant which read</w:t>
      </w:r>
      <w:r w:rsidR="00731821" w:rsidRPr="00224014">
        <w:rPr>
          <w:rFonts w:ascii="Times New Roman" w:hAnsi="Times New Roman" w:cs="Times New Roman"/>
          <w:sz w:val="28"/>
          <w:szCs w:val="28"/>
        </w:rPr>
        <w:t xml:space="preserve"> as follows:</w:t>
      </w:r>
    </w:p>
    <w:p w14:paraId="04E296F0" w14:textId="77777777" w:rsidR="00FF3B16" w:rsidRPr="00FF3B16" w:rsidRDefault="00FF3B16" w:rsidP="00FF3B16">
      <w:pPr>
        <w:pStyle w:val="ListParagraph"/>
        <w:rPr>
          <w:rFonts w:ascii="Times New Roman" w:hAnsi="Times New Roman" w:cs="Times New Roman"/>
          <w:sz w:val="28"/>
          <w:szCs w:val="28"/>
        </w:rPr>
      </w:pPr>
    </w:p>
    <w:p w14:paraId="03C529CB" w14:textId="77777777" w:rsidR="00731821" w:rsidRDefault="00731821" w:rsidP="00731821">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‘Mama come and rescue me. Father is sleeping with me forcefully, and tomorrow he is taking me by force to Grahamstown. Come urgently.’</w:t>
      </w:r>
    </w:p>
    <w:p w14:paraId="3DE0F17D" w14:textId="77777777" w:rsidR="000E0710" w:rsidRPr="000E0710" w:rsidRDefault="000E0710" w:rsidP="000E0710">
      <w:pPr>
        <w:spacing w:line="360" w:lineRule="auto"/>
        <w:jc w:val="both"/>
        <w:rPr>
          <w:rFonts w:ascii="Times New Roman" w:hAnsi="Times New Roman" w:cs="Times New Roman"/>
          <w:sz w:val="24"/>
          <w:szCs w:val="24"/>
        </w:rPr>
      </w:pPr>
    </w:p>
    <w:p w14:paraId="799D30B5" w14:textId="50267CB7" w:rsidR="00CC6C34" w:rsidRPr="00224014" w:rsidRDefault="00224014" w:rsidP="00224014">
      <w:pPr>
        <w:spacing w:line="360" w:lineRule="auto"/>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r>
      <w:r w:rsidR="00F913C0" w:rsidRPr="00224014">
        <w:rPr>
          <w:rFonts w:ascii="Times New Roman" w:hAnsi="Times New Roman" w:cs="Times New Roman"/>
          <w:sz w:val="28"/>
          <w:szCs w:val="28"/>
        </w:rPr>
        <w:t>Agnes</w:t>
      </w:r>
      <w:r w:rsidR="00731821" w:rsidRPr="00224014">
        <w:rPr>
          <w:rFonts w:ascii="Times New Roman" w:hAnsi="Times New Roman" w:cs="Times New Roman"/>
          <w:sz w:val="28"/>
          <w:szCs w:val="28"/>
        </w:rPr>
        <w:t xml:space="preserve"> testified that she </w:t>
      </w:r>
      <w:r w:rsidR="000E0710" w:rsidRPr="00224014">
        <w:rPr>
          <w:rFonts w:ascii="Times New Roman" w:hAnsi="Times New Roman" w:cs="Times New Roman"/>
          <w:sz w:val="28"/>
          <w:szCs w:val="28"/>
        </w:rPr>
        <w:t>saved the message and showed it to the police.</w:t>
      </w:r>
      <w:r w:rsidR="00F913C0" w:rsidRPr="00224014">
        <w:rPr>
          <w:rFonts w:ascii="Times New Roman" w:hAnsi="Times New Roman" w:cs="Times New Roman"/>
          <w:sz w:val="28"/>
          <w:szCs w:val="28"/>
        </w:rPr>
        <w:t xml:space="preserve"> </w:t>
      </w:r>
      <w:r w:rsidR="00731821" w:rsidRPr="00224014">
        <w:rPr>
          <w:rFonts w:ascii="Times New Roman" w:hAnsi="Times New Roman" w:cs="Times New Roman"/>
          <w:sz w:val="28"/>
          <w:szCs w:val="28"/>
        </w:rPr>
        <w:t xml:space="preserve">She also sent a message to the complainant encouraging her to accompany the </w:t>
      </w:r>
      <w:r w:rsidR="00731821" w:rsidRPr="00224014">
        <w:rPr>
          <w:rFonts w:ascii="Times New Roman" w:hAnsi="Times New Roman" w:cs="Times New Roman"/>
          <w:sz w:val="28"/>
          <w:szCs w:val="28"/>
        </w:rPr>
        <w:lastRenderedPageBreak/>
        <w:t>appellant to Grahamstown, as she was arranging for someone</w:t>
      </w:r>
      <w:r w:rsidR="00C26643" w:rsidRPr="00224014">
        <w:rPr>
          <w:rFonts w:ascii="Times New Roman" w:hAnsi="Times New Roman" w:cs="Times New Roman"/>
          <w:sz w:val="28"/>
          <w:szCs w:val="28"/>
        </w:rPr>
        <w:t xml:space="preserve"> there</w:t>
      </w:r>
      <w:r w:rsidR="00731821" w:rsidRPr="00224014">
        <w:rPr>
          <w:rFonts w:ascii="Times New Roman" w:hAnsi="Times New Roman" w:cs="Times New Roman"/>
          <w:sz w:val="28"/>
          <w:szCs w:val="28"/>
        </w:rPr>
        <w:t xml:space="preserve"> to attend to</w:t>
      </w:r>
      <w:r w:rsidR="00C26643" w:rsidRPr="00224014">
        <w:rPr>
          <w:rFonts w:ascii="Times New Roman" w:hAnsi="Times New Roman" w:cs="Times New Roman"/>
          <w:sz w:val="28"/>
          <w:szCs w:val="28"/>
        </w:rPr>
        <w:t xml:space="preserve"> the complainant.</w:t>
      </w:r>
      <w:r w:rsidR="004F6F7B" w:rsidRPr="00224014">
        <w:rPr>
          <w:rFonts w:ascii="Times New Roman" w:hAnsi="Times New Roman" w:cs="Times New Roman"/>
          <w:sz w:val="28"/>
          <w:szCs w:val="28"/>
        </w:rPr>
        <w:t xml:space="preserve"> </w:t>
      </w:r>
      <w:r w:rsidR="00CC6C34" w:rsidRPr="00224014">
        <w:rPr>
          <w:rFonts w:ascii="Times New Roman" w:hAnsi="Times New Roman" w:cs="Times New Roman"/>
          <w:sz w:val="28"/>
          <w:szCs w:val="28"/>
        </w:rPr>
        <w:t xml:space="preserve"> </w:t>
      </w:r>
      <w:r w:rsidR="004F6F7B" w:rsidRPr="00224014">
        <w:rPr>
          <w:rFonts w:ascii="Times New Roman" w:hAnsi="Times New Roman" w:cs="Times New Roman"/>
          <w:sz w:val="28"/>
          <w:szCs w:val="28"/>
        </w:rPr>
        <w:t>It was only after the complainant had been medically examined that she told Agnes that the appellant had been raping her since 2013. She also told Agnes that Lisa had confirmed that she had seen the appellant raping the complainant.</w:t>
      </w:r>
    </w:p>
    <w:p w14:paraId="1E6289F7" w14:textId="77777777" w:rsidR="00CC6C34" w:rsidRDefault="00CC6C34" w:rsidP="00CC6C34">
      <w:pPr>
        <w:pStyle w:val="ListParagraph"/>
        <w:spacing w:line="360" w:lineRule="auto"/>
        <w:ind w:left="0"/>
        <w:jc w:val="both"/>
        <w:rPr>
          <w:rFonts w:ascii="Times New Roman" w:hAnsi="Times New Roman" w:cs="Times New Roman"/>
          <w:sz w:val="28"/>
          <w:szCs w:val="28"/>
        </w:rPr>
      </w:pPr>
    </w:p>
    <w:p w14:paraId="45538619" w14:textId="5E818681" w:rsidR="00CC6C34" w:rsidRPr="00224014" w:rsidRDefault="00224014" w:rsidP="00224014">
      <w:pPr>
        <w:spacing w:line="360" w:lineRule="auto"/>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r>
      <w:r w:rsidR="001C1479" w:rsidRPr="00224014">
        <w:rPr>
          <w:rFonts w:ascii="Times New Roman" w:hAnsi="Times New Roman" w:cs="Times New Roman"/>
          <w:sz w:val="28"/>
          <w:szCs w:val="28"/>
        </w:rPr>
        <w:t>The appellant testified in his defence. He denied ever having raped the complainant. He denied that he had</w:t>
      </w:r>
      <w:r w:rsidR="00FF3B16" w:rsidRPr="00224014">
        <w:rPr>
          <w:rFonts w:ascii="Times New Roman" w:hAnsi="Times New Roman" w:cs="Times New Roman"/>
          <w:sz w:val="28"/>
          <w:szCs w:val="28"/>
        </w:rPr>
        <w:t xml:space="preserve"> had</w:t>
      </w:r>
      <w:r w:rsidR="001C1479" w:rsidRPr="00224014">
        <w:rPr>
          <w:rFonts w:ascii="Times New Roman" w:hAnsi="Times New Roman" w:cs="Times New Roman"/>
          <w:sz w:val="28"/>
          <w:szCs w:val="28"/>
        </w:rPr>
        <w:t xml:space="preserve"> the opportunity to do so during the period in question, particularly du</w:t>
      </w:r>
      <w:r w:rsidR="00CC6C34" w:rsidRPr="00224014">
        <w:rPr>
          <w:rFonts w:ascii="Times New Roman" w:hAnsi="Times New Roman" w:cs="Times New Roman"/>
          <w:sz w:val="28"/>
          <w:szCs w:val="28"/>
        </w:rPr>
        <w:t>ring 2015 and 2016, because his</w:t>
      </w:r>
      <w:r w:rsidR="00361B68" w:rsidRPr="00224014">
        <w:rPr>
          <w:rFonts w:ascii="Times New Roman" w:hAnsi="Times New Roman" w:cs="Times New Roman"/>
          <w:sz w:val="28"/>
          <w:szCs w:val="28"/>
        </w:rPr>
        <w:t xml:space="preserve"> </w:t>
      </w:r>
      <w:r w:rsidR="001C1479" w:rsidRPr="00224014">
        <w:rPr>
          <w:rFonts w:ascii="Times New Roman" w:hAnsi="Times New Roman" w:cs="Times New Roman"/>
          <w:sz w:val="28"/>
          <w:szCs w:val="28"/>
        </w:rPr>
        <w:t>girlfriends were always around. He was of the view that the entire story had been concocted by</w:t>
      </w:r>
      <w:r w:rsidR="000E0710" w:rsidRPr="00224014">
        <w:rPr>
          <w:rFonts w:ascii="Times New Roman" w:hAnsi="Times New Roman" w:cs="Times New Roman"/>
          <w:sz w:val="28"/>
          <w:szCs w:val="28"/>
        </w:rPr>
        <w:t xml:space="preserve"> Agnes and</w:t>
      </w:r>
      <w:r w:rsidR="00F84745" w:rsidRPr="00224014">
        <w:rPr>
          <w:rFonts w:ascii="Times New Roman" w:hAnsi="Times New Roman" w:cs="Times New Roman"/>
          <w:sz w:val="28"/>
          <w:szCs w:val="28"/>
        </w:rPr>
        <w:t xml:space="preserve"> his</w:t>
      </w:r>
      <w:r w:rsidR="000E0710" w:rsidRPr="00224014">
        <w:rPr>
          <w:rFonts w:ascii="Times New Roman" w:hAnsi="Times New Roman" w:cs="Times New Roman"/>
          <w:sz w:val="28"/>
          <w:szCs w:val="28"/>
        </w:rPr>
        <w:t xml:space="preserve"> estranged spouse,</w:t>
      </w:r>
      <w:r w:rsidR="001C1479" w:rsidRPr="00224014">
        <w:rPr>
          <w:rFonts w:ascii="Times New Roman" w:hAnsi="Times New Roman" w:cs="Times New Roman"/>
          <w:sz w:val="28"/>
          <w:szCs w:val="28"/>
        </w:rPr>
        <w:t xml:space="preserve"> and that they had coached the complainant and Lisa to falsely implicate him.</w:t>
      </w:r>
    </w:p>
    <w:p w14:paraId="304C3DDB" w14:textId="77777777" w:rsidR="00CC6C34" w:rsidRPr="00CC6C34" w:rsidRDefault="00CC6C34" w:rsidP="00A27C37">
      <w:pPr>
        <w:pStyle w:val="ListParagraph"/>
        <w:spacing w:line="360" w:lineRule="auto"/>
        <w:rPr>
          <w:rFonts w:ascii="Times New Roman" w:hAnsi="Times New Roman" w:cs="Times New Roman"/>
          <w:sz w:val="28"/>
          <w:szCs w:val="28"/>
        </w:rPr>
      </w:pPr>
    </w:p>
    <w:p w14:paraId="77EDCD0D" w14:textId="77F42127" w:rsidR="00EC6358" w:rsidRPr="00224014" w:rsidRDefault="00224014" w:rsidP="00224014">
      <w:pPr>
        <w:spacing w:line="360" w:lineRule="auto"/>
        <w:jc w:val="both"/>
        <w:rPr>
          <w:rFonts w:ascii="Times New Roman" w:hAnsi="Times New Roman" w:cs="Times New Roman"/>
          <w:sz w:val="28"/>
          <w:szCs w:val="28"/>
        </w:rPr>
      </w:pPr>
      <w:r w:rsidRPr="00CC6C34">
        <w:rPr>
          <w:rFonts w:ascii="Times New Roman" w:hAnsi="Times New Roman" w:cs="Times New Roman"/>
          <w:sz w:val="28"/>
          <w:szCs w:val="28"/>
        </w:rPr>
        <w:t>[14]</w:t>
      </w:r>
      <w:r w:rsidRPr="00CC6C34">
        <w:rPr>
          <w:rFonts w:ascii="Times New Roman" w:hAnsi="Times New Roman" w:cs="Times New Roman"/>
          <w:sz w:val="28"/>
          <w:szCs w:val="28"/>
        </w:rPr>
        <w:tab/>
      </w:r>
      <w:r w:rsidR="009E0577" w:rsidRPr="00224014">
        <w:rPr>
          <w:rFonts w:ascii="Times New Roman" w:hAnsi="Times New Roman" w:cs="Times New Roman"/>
          <w:sz w:val="28"/>
          <w:szCs w:val="28"/>
        </w:rPr>
        <w:t>An analysis of the evidence</w:t>
      </w:r>
      <w:r w:rsidR="00EC6358" w:rsidRPr="00224014">
        <w:rPr>
          <w:rFonts w:ascii="Times New Roman" w:hAnsi="Times New Roman" w:cs="Times New Roman"/>
          <w:sz w:val="28"/>
          <w:szCs w:val="28"/>
        </w:rPr>
        <w:t>, is captured in less than two pages of the trial court’s 15-page judgment</w:t>
      </w:r>
      <w:r w:rsidR="00427783" w:rsidRPr="00224014">
        <w:rPr>
          <w:rFonts w:ascii="Times New Roman" w:hAnsi="Times New Roman" w:cs="Times New Roman"/>
          <w:sz w:val="28"/>
          <w:szCs w:val="28"/>
        </w:rPr>
        <w:t>.</w:t>
      </w:r>
      <w:r w:rsidR="009E0577" w:rsidRPr="00224014">
        <w:rPr>
          <w:rFonts w:ascii="Times New Roman" w:hAnsi="Times New Roman" w:cs="Times New Roman"/>
          <w:sz w:val="28"/>
          <w:szCs w:val="28"/>
        </w:rPr>
        <w:t xml:space="preserve"> There is no reference to the applicable law.</w:t>
      </w:r>
      <w:r w:rsidR="00F913C0" w:rsidRPr="00224014">
        <w:rPr>
          <w:rFonts w:ascii="Times New Roman" w:hAnsi="Times New Roman" w:cs="Times New Roman"/>
          <w:sz w:val="28"/>
          <w:szCs w:val="28"/>
        </w:rPr>
        <w:t xml:space="preserve"> The</w:t>
      </w:r>
      <w:r w:rsidR="00427783" w:rsidRPr="00224014">
        <w:rPr>
          <w:rFonts w:ascii="Times New Roman" w:hAnsi="Times New Roman" w:cs="Times New Roman"/>
          <w:sz w:val="28"/>
          <w:szCs w:val="28"/>
        </w:rPr>
        <w:t xml:space="preserve"> essential portion of the judgment reads as follows</w:t>
      </w:r>
      <w:r w:rsidR="00FF3B16" w:rsidRPr="00224014">
        <w:rPr>
          <w:rFonts w:ascii="Times New Roman" w:hAnsi="Times New Roman" w:cs="Times New Roman"/>
          <w:sz w:val="28"/>
          <w:szCs w:val="28"/>
        </w:rPr>
        <w:t>:</w:t>
      </w:r>
      <w:r w:rsidR="00427783">
        <w:rPr>
          <w:rStyle w:val="FootnoteReference"/>
          <w:rFonts w:ascii="Times New Roman" w:hAnsi="Times New Roman" w:cs="Times New Roman"/>
          <w:sz w:val="28"/>
          <w:szCs w:val="28"/>
        </w:rPr>
        <w:footnoteReference w:id="2"/>
      </w:r>
    </w:p>
    <w:p w14:paraId="78E06B66" w14:textId="77777777" w:rsidR="00433CF4" w:rsidRDefault="00433CF4" w:rsidP="00433CF4">
      <w:pPr>
        <w:pStyle w:val="ListParagraph"/>
        <w:spacing w:line="360" w:lineRule="auto"/>
        <w:jc w:val="both"/>
        <w:rPr>
          <w:rFonts w:ascii="Times New Roman" w:hAnsi="Times New Roman" w:cs="Times New Roman"/>
          <w:sz w:val="28"/>
          <w:szCs w:val="28"/>
        </w:rPr>
      </w:pPr>
    </w:p>
    <w:p w14:paraId="548515AD" w14:textId="77777777" w:rsidR="00427783" w:rsidRDefault="00427783" w:rsidP="00427783">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big question is, did this happen or did it not happen? I have taken this summary so that I can put the picture as I find it before me, and the accused says “look, just cut the picture in front of you. These people have been coached by Agnes and </w:t>
      </w:r>
      <w:proofErr w:type="spellStart"/>
      <w:r>
        <w:rPr>
          <w:rFonts w:ascii="Times New Roman" w:hAnsi="Times New Roman" w:cs="Times New Roman"/>
          <w:sz w:val="24"/>
          <w:szCs w:val="24"/>
        </w:rPr>
        <w:t>Nomvuyisi</w:t>
      </w:r>
      <w:proofErr w:type="spellEnd"/>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to mak</w:t>
      </w:r>
      <w:r w:rsidR="00FF3B16">
        <w:rPr>
          <w:rFonts w:ascii="Times New Roman" w:hAnsi="Times New Roman" w:cs="Times New Roman"/>
          <w:sz w:val="24"/>
          <w:szCs w:val="24"/>
        </w:rPr>
        <w:t>e these allegations against me.”</w:t>
      </w:r>
    </w:p>
    <w:p w14:paraId="109D5DCD" w14:textId="77777777" w:rsidR="009E0577" w:rsidRDefault="009E0577" w:rsidP="00427783">
      <w:pPr>
        <w:pStyle w:val="ListParagraph"/>
        <w:spacing w:line="360" w:lineRule="auto"/>
        <w:jc w:val="both"/>
        <w:rPr>
          <w:rFonts w:ascii="Times New Roman" w:hAnsi="Times New Roman" w:cs="Times New Roman"/>
          <w:sz w:val="24"/>
          <w:szCs w:val="24"/>
        </w:rPr>
      </w:pPr>
    </w:p>
    <w:p w14:paraId="00242DAF" w14:textId="77777777" w:rsidR="00427783" w:rsidRDefault="00427783" w:rsidP="00427783">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And there is no further basis as to what was promised to them and how they were coached by two people. And Agnes is not staying with them but either in </w:t>
      </w:r>
      <w:proofErr w:type="spellStart"/>
      <w:r>
        <w:rPr>
          <w:rFonts w:ascii="Times New Roman" w:hAnsi="Times New Roman" w:cs="Times New Roman"/>
          <w:sz w:val="24"/>
          <w:szCs w:val="24"/>
        </w:rPr>
        <w:t>Illitha</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Ndevana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Nomvuyisi</w:t>
      </w:r>
      <w:proofErr w:type="spellEnd"/>
      <w:r>
        <w:rPr>
          <w:rFonts w:ascii="Times New Roman" w:hAnsi="Times New Roman" w:cs="Times New Roman"/>
          <w:sz w:val="24"/>
          <w:szCs w:val="24"/>
        </w:rPr>
        <w:t xml:space="preserve"> has since left the house.</w:t>
      </w:r>
    </w:p>
    <w:p w14:paraId="06F94C7F" w14:textId="77777777" w:rsidR="009E0577" w:rsidRDefault="009E0577" w:rsidP="00427783">
      <w:pPr>
        <w:pStyle w:val="ListParagraph"/>
        <w:spacing w:line="360" w:lineRule="auto"/>
        <w:jc w:val="both"/>
        <w:rPr>
          <w:rFonts w:ascii="Times New Roman" w:hAnsi="Times New Roman" w:cs="Times New Roman"/>
          <w:sz w:val="24"/>
          <w:szCs w:val="24"/>
        </w:rPr>
      </w:pPr>
    </w:p>
    <w:p w14:paraId="24F86747" w14:textId="77777777" w:rsidR="00427783" w:rsidRDefault="00427783" w:rsidP="00427783">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This runs back from 2013 to 2017, 2016, and is accounted for on each occasion it happens. And there are discrepancies here and there, but these discrepancies did not distort the picture before the Court. One such discrepancy for instance, is the evidence of the complainant who says in court </w:t>
      </w:r>
      <w:r w:rsidR="00433CF4">
        <w:rPr>
          <w:rFonts w:ascii="Times New Roman" w:hAnsi="Times New Roman" w:cs="Times New Roman"/>
          <w:sz w:val="24"/>
          <w:szCs w:val="24"/>
        </w:rPr>
        <w:t>she was not raped in July 2016 (on the 23 July 2016, that is on the day of the quarrel). But when she reports this to the police, she says later after the quarrel she was called from the room. She refused. Called by the accused of course, who ended up raping her that night. And when she reports to Agnes on the 27</w:t>
      </w:r>
      <w:r w:rsidR="00433CF4" w:rsidRPr="00433CF4">
        <w:rPr>
          <w:rFonts w:ascii="Times New Roman" w:hAnsi="Times New Roman" w:cs="Times New Roman"/>
          <w:sz w:val="24"/>
          <w:szCs w:val="24"/>
          <w:vertAlign w:val="superscript"/>
        </w:rPr>
        <w:t>th</w:t>
      </w:r>
      <w:r w:rsidR="00433CF4">
        <w:rPr>
          <w:rFonts w:ascii="Times New Roman" w:hAnsi="Times New Roman" w:cs="Times New Roman"/>
          <w:sz w:val="24"/>
          <w:szCs w:val="24"/>
        </w:rPr>
        <w:t xml:space="preserve"> she goes on and includes the incident of that weekend.</w:t>
      </w:r>
    </w:p>
    <w:p w14:paraId="689EC70D" w14:textId="77777777" w:rsidR="009E0577" w:rsidRDefault="009E0577" w:rsidP="00427783">
      <w:pPr>
        <w:pStyle w:val="ListParagraph"/>
        <w:spacing w:line="360" w:lineRule="auto"/>
        <w:jc w:val="both"/>
        <w:rPr>
          <w:rFonts w:ascii="Times New Roman" w:hAnsi="Times New Roman" w:cs="Times New Roman"/>
          <w:sz w:val="24"/>
          <w:szCs w:val="24"/>
        </w:rPr>
      </w:pPr>
    </w:p>
    <w:p w14:paraId="2E473E7D" w14:textId="77777777" w:rsidR="00433CF4" w:rsidRDefault="00433CF4" w:rsidP="00427783">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I can find no reason to agree with the defence that she is not telling the truth, but she is being put to this by other people. I am satisfied with her demeanour here in court. I am satisfied with her memory and how she remembered the incidents. I accept that she did not have a diary. She was not referring to any diary. She was not diarising these incidents, and that her memory as she shared it with us did not mislead the Court.</w:t>
      </w:r>
    </w:p>
    <w:p w14:paraId="7E350DD5" w14:textId="77777777" w:rsidR="009E0577" w:rsidRDefault="009E0577" w:rsidP="00427783">
      <w:pPr>
        <w:pStyle w:val="ListParagraph"/>
        <w:spacing w:line="360" w:lineRule="auto"/>
        <w:jc w:val="both"/>
        <w:rPr>
          <w:rFonts w:ascii="Times New Roman" w:hAnsi="Times New Roman" w:cs="Times New Roman"/>
          <w:sz w:val="24"/>
          <w:szCs w:val="24"/>
        </w:rPr>
      </w:pPr>
    </w:p>
    <w:p w14:paraId="5460AF12" w14:textId="77777777" w:rsidR="00433CF4" w:rsidRDefault="00433CF4" w:rsidP="00427783">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confirm that she is to some extent, and for those instances where Lisa was there, corroborated by her. I find that her statement to the police, except for a few </w:t>
      </w:r>
      <w:r>
        <w:rPr>
          <w:rFonts w:ascii="Times New Roman" w:hAnsi="Times New Roman" w:cs="Times New Roman"/>
          <w:i/>
          <w:sz w:val="24"/>
          <w:szCs w:val="24"/>
        </w:rPr>
        <w:t xml:space="preserve">material </w:t>
      </w:r>
      <w:r>
        <w:rPr>
          <w:rFonts w:ascii="Times New Roman" w:hAnsi="Times New Roman" w:cs="Times New Roman"/>
          <w:sz w:val="24"/>
          <w:szCs w:val="24"/>
        </w:rPr>
        <w:t>(emphasis added) things that were pointed out by the defence, are consistent with her evidence given in this court. And her first report to Agnes is consistent with what she had given to this Court. Further, her communication, SMS communication to Agnes are also consistent with what she had given in court.</w:t>
      </w:r>
    </w:p>
    <w:p w14:paraId="1C2927C6" w14:textId="77777777" w:rsidR="009E0577" w:rsidRDefault="009E0577" w:rsidP="00427783">
      <w:pPr>
        <w:pStyle w:val="ListParagraph"/>
        <w:spacing w:line="360" w:lineRule="auto"/>
        <w:jc w:val="both"/>
        <w:rPr>
          <w:rFonts w:ascii="Times New Roman" w:hAnsi="Times New Roman" w:cs="Times New Roman"/>
          <w:sz w:val="24"/>
          <w:szCs w:val="24"/>
        </w:rPr>
      </w:pPr>
    </w:p>
    <w:p w14:paraId="71E78F6C" w14:textId="77777777" w:rsidR="00433CF4" w:rsidRDefault="00433CF4" w:rsidP="00427783">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[I find] that the evidence given by Agnes as to how she interacted with people resulting in her rescue from Grahamstown, is material, realistic, and shows that this was indeed happening. I can find nothing fanciful or funny with that – as argued by the defence.</w:t>
      </w:r>
    </w:p>
    <w:p w14:paraId="5B7620C9" w14:textId="77777777" w:rsidR="009E0577" w:rsidRDefault="009E0577" w:rsidP="00427783">
      <w:pPr>
        <w:pStyle w:val="ListParagraph"/>
        <w:spacing w:line="360" w:lineRule="auto"/>
        <w:jc w:val="both"/>
        <w:rPr>
          <w:rFonts w:ascii="Times New Roman" w:hAnsi="Times New Roman" w:cs="Times New Roman"/>
          <w:sz w:val="24"/>
          <w:szCs w:val="24"/>
        </w:rPr>
      </w:pPr>
    </w:p>
    <w:p w14:paraId="5DD4B747" w14:textId="77777777" w:rsidR="00433CF4" w:rsidRDefault="00433CF4" w:rsidP="00427783">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All said, [this] Court rejects</w:t>
      </w:r>
      <w:r w:rsidR="00031764">
        <w:rPr>
          <w:rFonts w:ascii="Times New Roman" w:hAnsi="Times New Roman" w:cs="Times New Roman"/>
          <w:sz w:val="24"/>
          <w:szCs w:val="24"/>
        </w:rPr>
        <w:t xml:space="preserve"> the evidence of the accused inso</w:t>
      </w:r>
      <w:r>
        <w:rPr>
          <w:rFonts w:ascii="Times New Roman" w:hAnsi="Times New Roman" w:cs="Times New Roman"/>
          <w:sz w:val="24"/>
          <w:szCs w:val="24"/>
        </w:rPr>
        <w:t>far as he denies this. In the circumstances the Court finds that the State has proved its case against the accused.’</w:t>
      </w:r>
    </w:p>
    <w:p w14:paraId="44880D16" w14:textId="77777777" w:rsidR="009E0577" w:rsidRDefault="009E0577" w:rsidP="00427783">
      <w:pPr>
        <w:pStyle w:val="ListParagraph"/>
        <w:spacing w:line="360" w:lineRule="auto"/>
        <w:jc w:val="both"/>
        <w:rPr>
          <w:rFonts w:ascii="Times New Roman" w:hAnsi="Times New Roman" w:cs="Times New Roman"/>
          <w:sz w:val="24"/>
          <w:szCs w:val="24"/>
        </w:rPr>
      </w:pPr>
    </w:p>
    <w:p w14:paraId="326AED38" w14:textId="77777777" w:rsidR="00031764" w:rsidRPr="00CC6C34" w:rsidRDefault="009E0577" w:rsidP="00CC6C34">
      <w:pPr>
        <w:spacing w:line="360" w:lineRule="auto"/>
        <w:jc w:val="both"/>
        <w:rPr>
          <w:rFonts w:ascii="Times New Roman" w:hAnsi="Times New Roman" w:cs="Times New Roman"/>
          <w:sz w:val="28"/>
          <w:szCs w:val="28"/>
          <w:u w:val="single"/>
        </w:rPr>
      </w:pPr>
      <w:r w:rsidRPr="00CC6C34">
        <w:rPr>
          <w:rFonts w:ascii="Times New Roman" w:hAnsi="Times New Roman" w:cs="Times New Roman"/>
          <w:sz w:val="28"/>
          <w:szCs w:val="28"/>
          <w:u w:val="single"/>
        </w:rPr>
        <w:t xml:space="preserve">Motive to falsely implicate </w:t>
      </w:r>
    </w:p>
    <w:p w14:paraId="4B1B4A38" w14:textId="77777777" w:rsidR="009E0577" w:rsidRDefault="009E0577" w:rsidP="00427783">
      <w:pPr>
        <w:pStyle w:val="ListParagraph"/>
        <w:spacing w:line="360" w:lineRule="auto"/>
        <w:jc w:val="both"/>
        <w:rPr>
          <w:rFonts w:ascii="Times New Roman" w:hAnsi="Times New Roman" w:cs="Times New Roman"/>
          <w:sz w:val="28"/>
          <w:szCs w:val="28"/>
          <w:u w:val="single"/>
        </w:rPr>
      </w:pPr>
    </w:p>
    <w:p w14:paraId="70FB2E1E" w14:textId="4A16D79A" w:rsidR="00031764" w:rsidRPr="00224014" w:rsidRDefault="00224014" w:rsidP="00224014">
      <w:pPr>
        <w:spacing w:line="360" w:lineRule="auto"/>
        <w:jc w:val="both"/>
        <w:rPr>
          <w:rFonts w:ascii="Times New Roman" w:hAnsi="Times New Roman" w:cs="Times New Roman"/>
          <w:sz w:val="28"/>
          <w:szCs w:val="28"/>
          <w:u w:val="single"/>
        </w:rPr>
      </w:pPr>
      <w:r w:rsidRPr="00D350A1">
        <w:rPr>
          <w:rFonts w:ascii="Times New Roman" w:hAnsi="Times New Roman" w:cs="Times New Roman"/>
          <w:sz w:val="28"/>
          <w:szCs w:val="28"/>
        </w:rPr>
        <w:lastRenderedPageBreak/>
        <w:t>[15]</w:t>
      </w:r>
      <w:r w:rsidRPr="00D350A1">
        <w:rPr>
          <w:rFonts w:ascii="Times New Roman" w:hAnsi="Times New Roman" w:cs="Times New Roman"/>
          <w:sz w:val="28"/>
          <w:szCs w:val="28"/>
        </w:rPr>
        <w:tab/>
      </w:r>
      <w:r w:rsidR="00031764" w:rsidRPr="00224014">
        <w:rPr>
          <w:rFonts w:ascii="Times New Roman" w:hAnsi="Times New Roman" w:cs="Times New Roman"/>
          <w:sz w:val="28"/>
          <w:szCs w:val="28"/>
        </w:rPr>
        <w:t>Immediately after having summarised the evidence, the trial court criticis</w:t>
      </w:r>
      <w:r w:rsidR="00D350A1" w:rsidRPr="00224014">
        <w:rPr>
          <w:rFonts w:ascii="Times New Roman" w:hAnsi="Times New Roman" w:cs="Times New Roman"/>
          <w:sz w:val="28"/>
          <w:szCs w:val="28"/>
        </w:rPr>
        <w:t>ed the appellant</w:t>
      </w:r>
      <w:r w:rsidR="00D028AC" w:rsidRPr="00224014">
        <w:rPr>
          <w:rFonts w:ascii="Times New Roman" w:hAnsi="Times New Roman" w:cs="Times New Roman"/>
          <w:sz w:val="28"/>
          <w:szCs w:val="28"/>
        </w:rPr>
        <w:t xml:space="preserve"> for</w:t>
      </w:r>
      <w:r w:rsidR="00D350A1" w:rsidRPr="00224014">
        <w:rPr>
          <w:rFonts w:ascii="Times New Roman" w:hAnsi="Times New Roman" w:cs="Times New Roman"/>
          <w:sz w:val="28"/>
          <w:szCs w:val="28"/>
        </w:rPr>
        <w:t xml:space="preserve"> firstly, not having been</w:t>
      </w:r>
      <w:r w:rsidR="000270C9" w:rsidRPr="00224014">
        <w:rPr>
          <w:rFonts w:ascii="Times New Roman" w:hAnsi="Times New Roman" w:cs="Times New Roman"/>
          <w:sz w:val="28"/>
          <w:szCs w:val="28"/>
        </w:rPr>
        <w:t xml:space="preserve"> able to produce a motive on the part of Agnes and </w:t>
      </w:r>
      <w:proofErr w:type="spellStart"/>
      <w:r w:rsidR="000270C9" w:rsidRPr="00224014">
        <w:rPr>
          <w:rFonts w:ascii="Times New Roman" w:hAnsi="Times New Roman" w:cs="Times New Roman"/>
          <w:sz w:val="28"/>
          <w:szCs w:val="28"/>
        </w:rPr>
        <w:t>Nomvuyisi</w:t>
      </w:r>
      <w:proofErr w:type="spellEnd"/>
      <w:r w:rsidR="000270C9" w:rsidRPr="00224014">
        <w:rPr>
          <w:rFonts w:ascii="Times New Roman" w:hAnsi="Times New Roman" w:cs="Times New Roman"/>
          <w:sz w:val="28"/>
          <w:szCs w:val="28"/>
        </w:rPr>
        <w:t xml:space="preserve"> for coaching the appellant and</w:t>
      </w:r>
      <w:r w:rsidR="00D350A1" w:rsidRPr="00224014">
        <w:rPr>
          <w:rFonts w:ascii="Times New Roman" w:hAnsi="Times New Roman" w:cs="Times New Roman"/>
          <w:sz w:val="28"/>
          <w:szCs w:val="28"/>
        </w:rPr>
        <w:t xml:space="preserve"> Lisa</w:t>
      </w:r>
      <w:r w:rsidR="00FF3B16" w:rsidRPr="00224014">
        <w:rPr>
          <w:rFonts w:ascii="Times New Roman" w:hAnsi="Times New Roman" w:cs="Times New Roman"/>
          <w:sz w:val="28"/>
          <w:szCs w:val="28"/>
        </w:rPr>
        <w:t xml:space="preserve"> to falsely implicate him; secondly, </w:t>
      </w:r>
      <w:r w:rsidR="00D350A1" w:rsidRPr="00224014">
        <w:rPr>
          <w:rFonts w:ascii="Times New Roman" w:hAnsi="Times New Roman" w:cs="Times New Roman"/>
          <w:sz w:val="28"/>
          <w:szCs w:val="28"/>
        </w:rPr>
        <w:t>for not having been</w:t>
      </w:r>
      <w:r w:rsidR="000270C9" w:rsidRPr="00224014">
        <w:rPr>
          <w:rFonts w:ascii="Times New Roman" w:hAnsi="Times New Roman" w:cs="Times New Roman"/>
          <w:sz w:val="28"/>
          <w:szCs w:val="28"/>
        </w:rPr>
        <w:t xml:space="preserve"> able say what the nature of the promises were th</w:t>
      </w:r>
      <w:r w:rsidR="00FF3B16" w:rsidRPr="00224014">
        <w:rPr>
          <w:rFonts w:ascii="Times New Roman" w:hAnsi="Times New Roman" w:cs="Times New Roman"/>
          <w:sz w:val="28"/>
          <w:szCs w:val="28"/>
        </w:rPr>
        <w:t>at were made to these children; and thirdly,</w:t>
      </w:r>
      <w:r w:rsidR="00D350A1" w:rsidRPr="00224014">
        <w:rPr>
          <w:rFonts w:ascii="Times New Roman" w:hAnsi="Times New Roman" w:cs="Times New Roman"/>
          <w:sz w:val="28"/>
          <w:szCs w:val="28"/>
        </w:rPr>
        <w:t xml:space="preserve"> for not having been</w:t>
      </w:r>
      <w:r w:rsidR="000270C9" w:rsidRPr="00224014">
        <w:rPr>
          <w:rFonts w:ascii="Times New Roman" w:hAnsi="Times New Roman" w:cs="Times New Roman"/>
          <w:sz w:val="28"/>
          <w:szCs w:val="28"/>
        </w:rPr>
        <w:t xml:space="preserve"> in a position to describe how, when and where they were coached. </w:t>
      </w:r>
      <w:r w:rsidR="00F84745" w:rsidRPr="00224014">
        <w:rPr>
          <w:rFonts w:ascii="Times New Roman" w:hAnsi="Times New Roman" w:cs="Times New Roman"/>
          <w:sz w:val="28"/>
          <w:szCs w:val="28"/>
        </w:rPr>
        <w:t xml:space="preserve"> In my view</w:t>
      </w:r>
      <w:r w:rsidR="000270C9" w:rsidRPr="00224014">
        <w:rPr>
          <w:rFonts w:ascii="Times New Roman" w:hAnsi="Times New Roman" w:cs="Times New Roman"/>
          <w:sz w:val="28"/>
          <w:szCs w:val="28"/>
        </w:rPr>
        <w:t xml:space="preserve"> this type of criticism amounts to a serious</w:t>
      </w:r>
      <w:r w:rsidR="00F84745" w:rsidRPr="00224014">
        <w:rPr>
          <w:rFonts w:ascii="Times New Roman" w:hAnsi="Times New Roman" w:cs="Times New Roman"/>
          <w:sz w:val="28"/>
          <w:szCs w:val="28"/>
        </w:rPr>
        <w:t xml:space="preserve"> misdirection and a compromise of the appellant’s fair trial rights to be presumed innocent, to remain silent, and not to testify during th</w:t>
      </w:r>
      <w:r w:rsidR="00D350A1" w:rsidRPr="00224014">
        <w:rPr>
          <w:rFonts w:ascii="Times New Roman" w:hAnsi="Times New Roman" w:cs="Times New Roman"/>
          <w:sz w:val="28"/>
          <w:szCs w:val="28"/>
        </w:rPr>
        <w:t>e proceedings, as envisaged in s</w:t>
      </w:r>
      <w:r w:rsidR="00F84745" w:rsidRPr="00224014">
        <w:rPr>
          <w:rFonts w:ascii="Times New Roman" w:hAnsi="Times New Roman" w:cs="Times New Roman"/>
          <w:sz w:val="28"/>
          <w:szCs w:val="28"/>
        </w:rPr>
        <w:t xml:space="preserve"> 35(3)(h) of the Constitution.</w:t>
      </w:r>
      <w:r w:rsidR="00D028AC" w:rsidRPr="00224014">
        <w:rPr>
          <w:rFonts w:ascii="Times New Roman" w:hAnsi="Times New Roman" w:cs="Times New Roman"/>
          <w:sz w:val="28"/>
          <w:szCs w:val="28"/>
        </w:rPr>
        <w:t xml:space="preserve"> This approach</w:t>
      </w:r>
      <w:r w:rsidR="002F1C8C" w:rsidRPr="00224014">
        <w:rPr>
          <w:rFonts w:ascii="Times New Roman" w:hAnsi="Times New Roman" w:cs="Times New Roman"/>
          <w:sz w:val="28"/>
          <w:szCs w:val="28"/>
        </w:rPr>
        <w:t xml:space="preserve"> was particularly criticised in </w:t>
      </w:r>
      <w:r w:rsidR="002F1C8C" w:rsidRPr="00224014">
        <w:rPr>
          <w:rFonts w:ascii="Times New Roman" w:hAnsi="Times New Roman" w:cs="Times New Roman"/>
          <w:i/>
          <w:sz w:val="28"/>
          <w:szCs w:val="28"/>
        </w:rPr>
        <w:t>Van der Watt v S,</w:t>
      </w:r>
      <w:r w:rsidR="002F1C8C">
        <w:rPr>
          <w:rStyle w:val="FootnoteReference"/>
          <w:rFonts w:ascii="Times New Roman" w:hAnsi="Times New Roman" w:cs="Times New Roman"/>
          <w:i/>
          <w:sz w:val="28"/>
          <w:szCs w:val="28"/>
        </w:rPr>
        <w:footnoteReference w:id="4"/>
      </w:r>
      <w:r w:rsidR="00D350A1" w:rsidRPr="00224014">
        <w:rPr>
          <w:rFonts w:ascii="Times New Roman" w:hAnsi="Times New Roman" w:cs="Times New Roman"/>
          <w:i/>
          <w:sz w:val="28"/>
          <w:szCs w:val="28"/>
        </w:rPr>
        <w:t xml:space="preserve"> </w:t>
      </w:r>
      <w:r w:rsidR="00AA1F55" w:rsidRPr="00224014">
        <w:rPr>
          <w:rFonts w:ascii="Times New Roman" w:hAnsi="Times New Roman" w:cs="Times New Roman"/>
          <w:sz w:val="28"/>
          <w:szCs w:val="28"/>
        </w:rPr>
        <w:t>where the appeal court rejected the fact that it had been held against the appellant that he had, when asked what possible motive the complainant may have had for falsely implicating him, proffered a reason that turned out to have been unfounded. If an accused is asked to speculate, and not to testify on a matter of fact, he</w:t>
      </w:r>
      <w:r w:rsidR="002F1C8C" w:rsidRPr="00224014">
        <w:rPr>
          <w:rFonts w:ascii="Times New Roman" w:hAnsi="Times New Roman" w:cs="Times New Roman"/>
          <w:sz w:val="28"/>
          <w:szCs w:val="28"/>
        </w:rPr>
        <w:t xml:space="preserve"> cannot be blamed if it turns out</w:t>
      </w:r>
      <w:r w:rsidR="00AA1F55" w:rsidRPr="00224014">
        <w:rPr>
          <w:rFonts w:ascii="Times New Roman" w:hAnsi="Times New Roman" w:cs="Times New Roman"/>
          <w:sz w:val="28"/>
          <w:szCs w:val="28"/>
        </w:rPr>
        <w:t xml:space="preserve"> tha</w:t>
      </w:r>
      <w:r w:rsidR="00D350A1" w:rsidRPr="00224014">
        <w:rPr>
          <w:rFonts w:ascii="Times New Roman" w:hAnsi="Times New Roman" w:cs="Times New Roman"/>
          <w:sz w:val="28"/>
          <w:szCs w:val="28"/>
        </w:rPr>
        <w:t>t his speculation is found to have been</w:t>
      </w:r>
      <w:r w:rsidR="00AA1F55" w:rsidRPr="00224014">
        <w:rPr>
          <w:rFonts w:ascii="Times New Roman" w:hAnsi="Times New Roman" w:cs="Times New Roman"/>
          <w:sz w:val="28"/>
          <w:szCs w:val="28"/>
        </w:rPr>
        <w:t xml:space="preserve"> wanting.</w:t>
      </w:r>
      <w:r w:rsidR="00AA1F55">
        <w:rPr>
          <w:rStyle w:val="FootnoteReference"/>
          <w:rFonts w:ascii="Times New Roman" w:hAnsi="Times New Roman" w:cs="Times New Roman"/>
          <w:sz w:val="28"/>
          <w:szCs w:val="28"/>
        </w:rPr>
        <w:footnoteReference w:id="5"/>
      </w:r>
    </w:p>
    <w:p w14:paraId="6F2524B0" w14:textId="77777777" w:rsidR="00D350A1" w:rsidRPr="00D350A1" w:rsidRDefault="00D350A1" w:rsidP="00D350A1">
      <w:pPr>
        <w:pStyle w:val="ListParagraph"/>
        <w:spacing w:line="360" w:lineRule="auto"/>
        <w:ind w:left="0"/>
        <w:jc w:val="both"/>
        <w:rPr>
          <w:rFonts w:ascii="Times New Roman" w:hAnsi="Times New Roman" w:cs="Times New Roman"/>
          <w:sz w:val="28"/>
          <w:szCs w:val="28"/>
          <w:u w:val="single"/>
        </w:rPr>
      </w:pPr>
    </w:p>
    <w:p w14:paraId="7EFD7470" w14:textId="5C757048" w:rsidR="009E0577" w:rsidRPr="00224014" w:rsidRDefault="00224014" w:rsidP="00224014">
      <w:pPr>
        <w:spacing w:line="360" w:lineRule="auto"/>
        <w:jc w:val="both"/>
        <w:rPr>
          <w:rFonts w:ascii="Times New Roman" w:hAnsi="Times New Roman" w:cs="Times New Roman"/>
          <w:sz w:val="28"/>
          <w:szCs w:val="28"/>
          <w:u w:val="single"/>
        </w:rPr>
      </w:pPr>
      <w:r w:rsidRPr="000E0710">
        <w:rPr>
          <w:rFonts w:ascii="Times New Roman" w:hAnsi="Times New Roman" w:cs="Times New Roman"/>
          <w:sz w:val="28"/>
          <w:szCs w:val="28"/>
        </w:rPr>
        <w:t>[16]</w:t>
      </w:r>
      <w:r w:rsidRPr="000E0710">
        <w:rPr>
          <w:rFonts w:ascii="Times New Roman" w:hAnsi="Times New Roman" w:cs="Times New Roman"/>
          <w:sz w:val="28"/>
          <w:szCs w:val="28"/>
        </w:rPr>
        <w:tab/>
      </w:r>
      <w:r w:rsidR="00FB757F" w:rsidRPr="00224014">
        <w:rPr>
          <w:rFonts w:ascii="Times New Roman" w:hAnsi="Times New Roman" w:cs="Times New Roman"/>
          <w:sz w:val="28"/>
          <w:szCs w:val="28"/>
        </w:rPr>
        <w:t>During his evidence in chief, the appellant</w:t>
      </w:r>
      <w:r w:rsidR="00106625" w:rsidRPr="00224014">
        <w:rPr>
          <w:rFonts w:ascii="Times New Roman" w:hAnsi="Times New Roman" w:cs="Times New Roman"/>
          <w:sz w:val="28"/>
          <w:szCs w:val="28"/>
        </w:rPr>
        <w:t xml:space="preserve"> recorded that the complainant’s</w:t>
      </w:r>
      <w:r w:rsidR="00FB757F" w:rsidRPr="00224014">
        <w:rPr>
          <w:rFonts w:ascii="Times New Roman" w:hAnsi="Times New Roman" w:cs="Times New Roman"/>
          <w:sz w:val="28"/>
          <w:szCs w:val="28"/>
        </w:rPr>
        <w:t xml:space="preserve"> mother died when the complainant was three mon</w:t>
      </w:r>
      <w:r w:rsidR="009E0577" w:rsidRPr="00224014">
        <w:rPr>
          <w:rFonts w:ascii="Times New Roman" w:hAnsi="Times New Roman" w:cs="Times New Roman"/>
          <w:sz w:val="28"/>
          <w:szCs w:val="28"/>
        </w:rPr>
        <w:t>ths old. An arr</w:t>
      </w:r>
      <w:r w:rsidR="000E0710" w:rsidRPr="00224014">
        <w:rPr>
          <w:rFonts w:ascii="Times New Roman" w:hAnsi="Times New Roman" w:cs="Times New Roman"/>
          <w:sz w:val="28"/>
          <w:szCs w:val="28"/>
        </w:rPr>
        <w:t>angement had been made</w:t>
      </w:r>
      <w:r w:rsidR="00FB757F" w:rsidRPr="00224014">
        <w:rPr>
          <w:rFonts w:ascii="Times New Roman" w:hAnsi="Times New Roman" w:cs="Times New Roman"/>
          <w:sz w:val="28"/>
          <w:szCs w:val="28"/>
        </w:rPr>
        <w:t xml:space="preserve"> that the complainant would stay with Agnes until she was three years old. When she turned three or four, the appellant (who had by then remarried), tried to honour the arrangement, but Agnes refused to forfeit primary care of the complainant. The police intervened, and he finally managed to take the com</w:t>
      </w:r>
      <w:r w:rsidR="00283B70" w:rsidRPr="00224014">
        <w:rPr>
          <w:rFonts w:ascii="Times New Roman" w:hAnsi="Times New Roman" w:cs="Times New Roman"/>
          <w:sz w:val="28"/>
          <w:szCs w:val="28"/>
        </w:rPr>
        <w:t>plainant into his care. He testified</w:t>
      </w:r>
      <w:r w:rsidR="00FB757F" w:rsidRPr="00224014">
        <w:rPr>
          <w:rFonts w:ascii="Times New Roman" w:hAnsi="Times New Roman" w:cs="Times New Roman"/>
          <w:sz w:val="28"/>
          <w:szCs w:val="28"/>
        </w:rPr>
        <w:t xml:space="preserve"> tha</w:t>
      </w:r>
      <w:r w:rsidR="00D350A1" w:rsidRPr="00224014">
        <w:rPr>
          <w:rFonts w:ascii="Times New Roman" w:hAnsi="Times New Roman" w:cs="Times New Roman"/>
          <w:sz w:val="28"/>
          <w:szCs w:val="28"/>
        </w:rPr>
        <w:t>t since this incident, there had</w:t>
      </w:r>
      <w:r w:rsidR="00FB757F" w:rsidRPr="00224014">
        <w:rPr>
          <w:rFonts w:ascii="Times New Roman" w:hAnsi="Times New Roman" w:cs="Times New Roman"/>
          <w:sz w:val="28"/>
          <w:szCs w:val="28"/>
        </w:rPr>
        <w:t xml:space="preserve"> been bad blood between him and Agnes.</w:t>
      </w:r>
      <w:r w:rsidR="00106625" w:rsidRPr="00224014">
        <w:rPr>
          <w:rFonts w:ascii="Times New Roman" w:hAnsi="Times New Roman" w:cs="Times New Roman"/>
          <w:sz w:val="28"/>
          <w:szCs w:val="28"/>
        </w:rPr>
        <w:t xml:space="preserve"> He added the following:</w:t>
      </w:r>
    </w:p>
    <w:p w14:paraId="5C68DA4E" w14:textId="77777777" w:rsidR="000E0710" w:rsidRPr="000E0710" w:rsidRDefault="000E0710" w:rsidP="000E0710">
      <w:pPr>
        <w:pStyle w:val="ListParagraph"/>
        <w:rPr>
          <w:rFonts w:ascii="Times New Roman" w:hAnsi="Times New Roman" w:cs="Times New Roman"/>
          <w:sz w:val="28"/>
          <w:szCs w:val="28"/>
          <w:u w:val="single"/>
        </w:rPr>
      </w:pPr>
    </w:p>
    <w:p w14:paraId="3D8BD8A6" w14:textId="77777777" w:rsidR="00106625" w:rsidRDefault="00106625" w:rsidP="00106625">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‘These allegations that are made against [me] are allegations that are not for the first time. By putting my name into disrepute from the maternal aunt, or Agnes, they </w:t>
      </w:r>
      <w:r>
        <w:rPr>
          <w:rFonts w:ascii="Times New Roman" w:hAnsi="Times New Roman" w:cs="Times New Roman"/>
          <w:sz w:val="24"/>
          <w:szCs w:val="24"/>
        </w:rPr>
        <w:lastRenderedPageBreak/>
        <w:t>emanate from the fact that I was requesting for my child to bring up the child myself</w:t>
      </w:r>
      <w:r w:rsidR="00A06435">
        <w:rPr>
          <w:rFonts w:ascii="Times New Roman" w:hAnsi="Times New Roman" w:cs="Times New Roman"/>
          <w:sz w:val="24"/>
          <w:szCs w:val="24"/>
        </w:rPr>
        <w:t>, as I was doing that to my elder child. So I also wanted to maintain her.’</w:t>
      </w:r>
    </w:p>
    <w:p w14:paraId="39032AE0" w14:textId="77777777" w:rsidR="009E0577" w:rsidRDefault="009E0577" w:rsidP="00106625">
      <w:pPr>
        <w:pStyle w:val="ListParagraph"/>
        <w:spacing w:line="360" w:lineRule="auto"/>
        <w:jc w:val="both"/>
        <w:rPr>
          <w:rFonts w:ascii="Times New Roman" w:hAnsi="Times New Roman" w:cs="Times New Roman"/>
          <w:sz w:val="24"/>
          <w:szCs w:val="24"/>
        </w:rPr>
      </w:pPr>
    </w:p>
    <w:p w14:paraId="4990B3A8" w14:textId="7A4DCD59" w:rsidR="00A06435" w:rsidRPr="00224014" w:rsidRDefault="00224014" w:rsidP="00224014">
      <w:pPr>
        <w:spacing w:line="360" w:lineRule="auto"/>
        <w:jc w:val="both"/>
        <w:rPr>
          <w:rFonts w:ascii="Times New Roman" w:hAnsi="Times New Roman" w:cs="Times New Roman"/>
          <w:sz w:val="28"/>
          <w:szCs w:val="28"/>
          <w:u w:val="single"/>
        </w:rPr>
      </w:pPr>
      <w:r w:rsidRPr="00042105">
        <w:rPr>
          <w:rFonts w:ascii="Times New Roman" w:hAnsi="Times New Roman" w:cs="Times New Roman"/>
          <w:sz w:val="28"/>
          <w:szCs w:val="28"/>
        </w:rPr>
        <w:t>[17]</w:t>
      </w:r>
      <w:r w:rsidRPr="00042105">
        <w:rPr>
          <w:rFonts w:ascii="Times New Roman" w:hAnsi="Times New Roman" w:cs="Times New Roman"/>
          <w:sz w:val="28"/>
          <w:szCs w:val="28"/>
        </w:rPr>
        <w:tab/>
      </w:r>
      <w:r w:rsidR="005E045D" w:rsidRPr="00224014">
        <w:rPr>
          <w:rFonts w:ascii="Times New Roman" w:hAnsi="Times New Roman" w:cs="Times New Roman"/>
          <w:sz w:val="28"/>
          <w:szCs w:val="28"/>
        </w:rPr>
        <w:t>During cross-examination</w:t>
      </w:r>
      <w:r w:rsidR="00283B70" w:rsidRPr="00224014">
        <w:rPr>
          <w:rFonts w:ascii="Times New Roman" w:hAnsi="Times New Roman" w:cs="Times New Roman"/>
          <w:sz w:val="28"/>
          <w:szCs w:val="28"/>
        </w:rPr>
        <w:t>,</w:t>
      </w:r>
      <w:r w:rsidR="005E045D" w:rsidRPr="00224014">
        <w:rPr>
          <w:rFonts w:ascii="Times New Roman" w:hAnsi="Times New Roman" w:cs="Times New Roman"/>
          <w:sz w:val="28"/>
          <w:szCs w:val="28"/>
        </w:rPr>
        <w:t xml:space="preserve"> the appellant testified that these false allegations surfaced</w:t>
      </w:r>
      <w:r w:rsidR="009E0577" w:rsidRPr="00224014">
        <w:rPr>
          <w:rFonts w:ascii="Times New Roman" w:hAnsi="Times New Roman" w:cs="Times New Roman"/>
          <w:sz w:val="28"/>
          <w:szCs w:val="28"/>
        </w:rPr>
        <w:t xml:space="preserve"> again</w:t>
      </w:r>
      <w:r w:rsidR="005E045D" w:rsidRPr="00224014">
        <w:rPr>
          <w:rFonts w:ascii="Times New Roman" w:hAnsi="Times New Roman" w:cs="Times New Roman"/>
          <w:sz w:val="28"/>
          <w:szCs w:val="28"/>
        </w:rPr>
        <w:t xml:space="preserve"> after he and the complainant had quarrelled in 2016, when he </w:t>
      </w:r>
      <w:r w:rsidR="00D350A1" w:rsidRPr="00224014">
        <w:rPr>
          <w:rFonts w:ascii="Times New Roman" w:hAnsi="Times New Roman" w:cs="Times New Roman"/>
          <w:sz w:val="28"/>
          <w:szCs w:val="28"/>
        </w:rPr>
        <w:t xml:space="preserve">had </w:t>
      </w:r>
      <w:r w:rsidR="005E045D" w:rsidRPr="00224014">
        <w:rPr>
          <w:rFonts w:ascii="Times New Roman" w:hAnsi="Times New Roman" w:cs="Times New Roman"/>
          <w:sz w:val="28"/>
          <w:szCs w:val="28"/>
        </w:rPr>
        <w:t>reprimanded her for having</w:t>
      </w:r>
      <w:r w:rsidR="00D350A1" w:rsidRPr="00224014">
        <w:rPr>
          <w:rFonts w:ascii="Times New Roman" w:hAnsi="Times New Roman" w:cs="Times New Roman"/>
          <w:sz w:val="28"/>
          <w:szCs w:val="28"/>
        </w:rPr>
        <w:t xml:space="preserve"> had</w:t>
      </w:r>
      <w:r w:rsidR="005E045D" w:rsidRPr="00224014">
        <w:rPr>
          <w:rFonts w:ascii="Times New Roman" w:hAnsi="Times New Roman" w:cs="Times New Roman"/>
          <w:sz w:val="28"/>
          <w:szCs w:val="28"/>
        </w:rPr>
        <w:t xml:space="preserve"> multip</w:t>
      </w:r>
      <w:r w:rsidR="00D350A1" w:rsidRPr="00224014">
        <w:rPr>
          <w:rFonts w:ascii="Times New Roman" w:hAnsi="Times New Roman" w:cs="Times New Roman"/>
          <w:sz w:val="28"/>
          <w:szCs w:val="28"/>
        </w:rPr>
        <w:t>le boyfriends and for not having taken</w:t>
      </w:r>
      <w:r w:rsidR="005E045D" w:rsidRPr="00224014">
        <w:rPr>
          <w:rFonts w:ascii="Times New Roman" w:hAnsi="Times New Roman" w:cs="Times New Roman"/>
          <w:sz w:val="28"/>
          <w:szCs w:val="28"/>
        </w:rPr>
        <w:t xml:space="preserve"> her epileptic medication properly. When he was asked why the complainant and Lisa would</w:t>
      </w:r>
      <w:r w:rsidR="00D350A1" w:rsidRPr="00224014">
        <w:rPr>
          <w:rFonts w:ascii="Times New Roman" w:hAnsi="Times New Roman" w:cs="Times New Roman"/>
          <w:sz w:val="28"/>
          <w:szCs w:val="28"/>
        </w:rPr>
        <w:t xml:space="preserve"> have</w:t>
      </w:r>
      <w:r w:rsidR="005E045D" w:rsidRPr="00224014">
        <w:rPr>
          <w:rFonts w:ascii="Times New Roman" w:hAnsi="Times New Roman" w:cs="Times New Roman"/>
          <w:sz w:val="28"/>
          <w:szCs w:val="28"/>
        </w:rPr>
        <w:t xml:space="preserve"> falsely implicate him he replied:</w:t>
      </w:r>
    </w:p>
    <w:p w14:paraId="4F491D88" w14:textId="77777777" w:rsidR="00042105" w:rsidRPr="005E045D" w:rsidRDefault="00042105" w:rsidP="00042105">
      <w:pPr>
        <w:pStyle w:val="ListParagraph"/>
        <w:spacing w:line="360" w:lineRule="auto"/>
        <w:jc w:val="both"/>
        <w:rPr>
          <w:rFonts w:ascii="Times New Roman" w:hAnsi="Times New Roman" w:cs="Times New Roman"/>
          <w:sz w:val="28"/>
          <w:szCs w:val="28"/>
          <w:u w:val="single"/>
        </w:rPr>
      </w:pPr>
    </w:p>
    <w:p w14:paraId="42FEBAA8" w14:textId="77777777" w:rsidR="005E045D" w:rsidRDefault="005E045D" w:rsidP="005E045D">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am still of the mind that they got influenced </w:t>
      </w:r>
      <w:r w:rsidR="00E63AD5">
        <w:rPr>
          <w:rFonts w:ascii="Times New Roman" w:hAnsi="Times New Roman" w:cs="Times New Roman"/>
          <w:sz w:val="24"/>
          <w:szCs w:val="24"/>
        </w:rPr>
        <w:t>from Agnes [</w:t>
      </w:r>
      <w:proofErr w:type="spellStart"/>
      <w:r w:rsidR="00E63AD5">
        <w:rPr>
          <w:rFonts w:ascii="Times New Roman" w:hAnsi="Times New Roman" w:cs="Times New Roman"/>
          <w:sz w:val="24"/>
          <w:szCs w:val="24"/>
        </w:rPr>
        <w:t>Ntende</w:t>
      </w:r>
      <w:proofErr w:type="spellEnd"/>
      <w:r w:rsidR="00E63AD5">
        <w:rPr>
          <w:rFonts w:ascii="Times New Roman" w:hAnsi="Times New Roman" w:cs="Times New Roman"/>
          <w:sz w:val="24"/>
          <w:szCs w:val="24"/>
        </w:rPr>
        <w:t>] and my wife … it is manipulation coming from Agnes and my wife. I am still saying so … I am coming far with the two families. It is not the first time these things happened as I had indicated yesterday … I am adamant what I say … They will gain because they are humiliating and bringing my name into disrepute and they have destroyed my … (inaudible).’</w:t>
      </w:r>
    </w:p>
    <w:p w14:paraId="414B871D" w14:textId="77777777" w:rsidR="00042105" w:rsidRDefault="00042105" w:rsidP="00A27C37">
      <w:pPr>
        <w:pStyle w:val="ListParagraph"/>
        <w:spacing w:line="360" w:lineRule="auto"/>
        <w:jc w:val="both"/>
        <w:rPr>
          <w:rFonts w:ascii="Times New Roman" w:hAnsi="Times New Roman" w:cs="Times New Roman"/>
          <w:sz w:val="24"/>
          <w:szCs w:val="24"/>
        </w:rPr>
      </w:pPr>
    </w:p>
    <w:p w14:paraId="098B3356" w14:textId="6C5D4C0F" w:rsidR="00B25564" w:rsidRPr="00224014" w:rsidRDefault="00224014" w:rsidP="00224014">
      <w:pPr>
        <w:spacing w:line="360" w:lineRule="auto"/>
        <w:jc w:val="both"/>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szCs w:val="28"/>
        </w:rPr>
        <w:tab/>
      </w:r>
      <w:r w:rsidR="00B25564" w:rsidRPr="00224014">
        <w:rPr>
          <w:rFonts w:ascii="Times New Roman" w:hAnsi="Times New Roman" w:cs="Times New Roman"/>
          <w:sz w:val="28"/>
          <w:szCs w:val="28"/>
        </w:rPr>
        <w:t xml:space="preserve">The appellant was invited to think of a reason why the complainant would </w:t>
      </w:r>
      <w:r w:rsidR="00420907" w:rsidRPr="00224014">
        <w:rPr>
          <w:rFonts w:ascii="Times New Roman" w:hAnsi="Times New Roman" w:cs="Times New Roman"/>
          <w:sz w:val="28"/>
          <w:szCs w:val="28"/>
        </w:rPr>
        <w:t xml:space="preserve">have </w:t>
      </w:r>
      <w:r w:rsidR="00B25564" w:rsidRPr="00224014">
        <w:rPr>
          <w:rFonts w:ascii="Times New Roman" w:hAnsi="Times New Roman" w:cs="Times New Roman"/>
          <w:sz w:val="28"/>
          <w:szCs w:val="28"/>
        </w:rPr>
        <w:t>implicate</w:t>
      </w:r>
      <w:r w:rsidR="00420907" w:rsidRPr="00224014">
        <w:rPr>
          <w:rFonts w:ascii="Times New Roman" w:hAnsi="Times New Roman" w:cs="Times New Roman"/>
          <w:sz w:val="28"/>
          <w:szCs w:val="28"/>
        </w:rPr>
        <w:t>d</w:t>
      </w:r>
      <w:r w:rsidR="00B25564" w:rsidRPr="00224014">
        <w:rPr>
          <w:rFonts w:ascii="Times New Roman" w:hAnsi="Times New Roman" w:cs="Times New Roman"/>
          <w:sz w:val="28"/>
          <w:szCs w:val="28"/>
        </w:rPr>
        <w:t xml:space="preserve"> him falsely. He did </w:t>
      </w:r>
      <w:r w:rsidR="00420907" w:rsidRPr="00224014">
        <w:rPr>
          <w:rFonts w:ascii="Times New Roman" w:hAnsi="Times New Roman" w:cs="Times New Roman"/>
          <w:sz w:val="28"/>
          <w:szCs w:val="28"/>
        </w:rPr>
        <w:t>so. In having done so, he could not have been faulted for not having been</w:t>
      </w:r>
      <w:r w:rsidR="00B25564" w:rsidRPr="00224014">
        <w:rPr>
          <w:rFonts w:ascii="Times New Roman" w:hAnsi="Times New Roman" w:cs="Times New Roman"/>
          <w:sz w:val="28"/>
          <w:szCs w:val="28"/>
        </w:rPr>
        <w:t xml:space="preserve"> able to sa</w:t>
      </w:r>
      <w:r w:rsidR="001A54C3" w:rsidRPr="00224014">
        <w:rPr>
          <w:rFonts w:ascii="Times New Roman" w:hAnsi="Times New Roman" w:cs="Times New Roman"/>
          <w:sz w:val="28"/>
          <w:szCs w:val="28"/>
        </w:rPr>
        <w:t>y how witnesses who were hostile to him had been</w:t>
      </w:r>
      <w:r w:rsidR="00420907" w:rsidRPr="00224014">
        <w:rPr>
          <w:rFonts w:ascii="Times New Roman" w:hAnsi="Times New Roman" w:cs="Times New Roman"/>
          <w:sz w:val="28"/>
          <w:szCs w:val="28"/>
        </w:rPr>
        <w:t xml:space="preserve"> coached and what they had been</w:t>
      </w:r>
      <w:r w:rsidR="00B25564" w:rsidRPr="00224014">
        <w:rPr>
          <w:rFonts w:ascii="Times New Roman" w:hAnsi="Times New Roman" w:cs="Times New Roman"/>
          <w:sz w:val="28"/>
          <w:szCs w:val="28"/>
        </w:rPr>
        <w:t xml:space="preserve"> promised in return for their false testimony. There is no onus</w:t>
      </w:r>
      <w:r w:rsidR="0069425E" w:rsidRPr="00224014">
        <w:rPr>
          <w:rFonts w:ascii="Times New Roman" w:hAnsi="Times New Roman" w:cs="Times New Roman"/>
          <w:sz w:val="28"/>
          <w:szCs w:val="28"/>
        </w:rPr>
        <w:t xml:space="preserve"> or evidentiary burden</w:t>
      </w:r>
      <w:r w:rsidR="00B25564" w:rsidRPr="00224014">
        <w:rPr>
          <w:rFonts w:ascii="Times New Roman" w:hAnsi="Times New Roman" w:cs="Times New Roman"/>
          <w:sz w:val="28"/>
          <w:szCs w:val="28"/>
        </w:rPr>
        <w:t xml:space="preserve"> on an accuse</w:t>
      </w:r>
      <w:r w:rsidR="00042105" w:rsidRPr="00224014">
        <w:rPr>
          <w:rFonts w:ascii="Times New Roman" w:hAnsi="Times New Roman" w:cs="Times New Roman"/>
          <w:sz w:val="28"/>
          <w:szCs w:val="28"/>
        </w:rPr>
        <w:t>d person to prove his innocence, or to explain in detail why he s</w:t>
      </w:r>
      <w:r w:rsidR="00420907" w:rsidRPr="00224014">
        <w:rPr>
          <w:rFonts w:ascii="Times New Roman" w:hAnsi="Times New Roman" w:cs="Times New Roman"/>
          <w:sz w:val="28"/>
          <w:szCs w:val="28"/>
        </w:rPr>
        <w:t xml:space="preserve">uspects that he is being implicated falsely. </w:t>
      </w:r>
    </w:p>
    <w:p w14:paraId="3C3D2EE1" w14:textId="77777777" w:rsidR="00D516DD" w:rsidRDefault="00D516DD" w:rsidP="00D516DD">
      <w:pPr>
        <w:pStyle w:val="ListParagraph"/>
        <w:spacing w:line="360" w:lineRule="auto"/>
        <w:jc w:val="both"/>
        <w:rPr>
          <w:rFonts w:ascii="Times New Roman" w:hAnsi="Times New Roman" w:cs="Times New Roman"/>
          <w:sz w:val="28"/>
          <w:szCs w:val="28"/>
        </w:rPr>
      </w:pPr>
    </w:p>
    <w:p w14:paraId="123C2FE7" w14:textId="77777777" w:rsidR="00884B71" w:rsidRPr="00CC6C34" w:rsidRDefault="00884B71" w:rsidP="00CC6C34">
      <w:pPr>
        <w:spacing w:line="360" w:lineRule="auto"/>
        <w:jc w:val="both"/>
        <w:rPr>
          <w:rFonts w:ascii="Times New Roman" w:hAnsi="Times New Roman" w:cs="Times New Roman"/>
          <w:sz w:val="28"/>
          <w:szCs w:val="28"/>
          <w:u w:val="single"/>
        </w:rPr>
      </w:pPr>
      <w:r w:rsidRPr="00CC6C34">
        <w:rPr>
          <w:rFonts w:ascii="Times New Roman" w:hAnsi="Times New Roman" w:cs="Times New Roman"/>
          <w:sz w:val="28"/>
          <w:szCs w:val="28"/>
          <w:u w:val="single"/>
        </w:rPr>
        <w:t xml:space="preserve">The evidence of Lisa </w:t>
      </w:r>
      <w:proofErr w:type="spellStart"/>
      <w:r w:rsidRPr="00CC6C34">
        <w:rPr>
          <w:rFonts w:ascii="Times New Roman" w:hAnsi="Times New Roman" w:cs="Times New Roman"/>
          <w:sz w:val="28"/>
          <w:szCs w:val="28"/>
          <w:u w:val="single"/>
        </w:rPr>
        <w:t>Jelman</w:t>
      </w:r>
      <w:proofErr w:type="spellEnd"/>
    </w:p>
    <w:p w14:paraId="2A06734E" w14:textId="77777777" w:rsidR="00D516DD" w:rsidRDefault="00D516DD" w:rsidP="00884B71">
      <w:pPr>
        <w:pStyle w:val="ListParagraph"/>
        <w:spacing w:line="360" w:lineRule="auto"/>
        <w:jc w:val="both"/>
        <w:rPr>
          <w:rFonts w:ascii="Times New Roman" w:hAnsi="Times New Roman" w:cs="Times New Roman"/>
          <w:sz w:val="28"/>
          <w:szCs w:val="28"/>
          <w:u w:val="single"/>
        </w:rPr>
      </w:pPr>
    </w:p>
    <w:p w14:paraId="54824EA0" w14:textId="183F7FA6" w:rsidR="00884B71" w:rsidRPr="00224014" w:rsidRDefault="00224014" w:rsidP="00224014">
      <w:pPr>
        <w:spacing w:line="360" w:lineRule="auto"/>
        <w:jc w:val="both"/>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rPr>
        <w:tab/>
      </w:r>
      <w:r w:rsidR="00283B70" w:rsidRPr="00224014">
        <w:rPr>
          <w:rFonts w:ascii="Times New Roman" w:hAnsi="Times New Roman" w:cs="Times New Roman"/>
          <w:sz w:val="28"/>
          <w:szCs w:val="28"/>
        </w:rPr>
        <w:t>As I have said, Lisa is the complainant’s younger half-sister.</w:t>
      </w:r>
      <w:r w:rsidR="00884B71" w:rsidRPr="00224014">
        <w:rPr>
          <w:rFonts w:ascii="Times New Roman" w:hAnsi="Times New Roman" w:cs="Times New Roman"/>
          <w:sz w:val="28"/>
          <w:szCs w:val="28"/>
        </w:rPr>
        <w:t xml:space="preserve"> She testified to having been an eye-witness to at least one of the incidences of rape. She was </w:t>
      </w:r>
      <w:r w:rsidR="00884B71" w:rsidRPr="00224014">
        <w:rPr>
          <w:rFonts w:ascii="Times New Roman" w:hAnsi="Times New Roman" w:cs="Times New Roman"/>
          <w:sz w:val="28"/>
          <w:szCs w:val="28"/>
        </w:rPr>
        <w:lastRenderedPageBreak/>
        <w:t>15 years old when she testified. After she had informed the trial court of her age and that she was in grade nine, the transcript of the proceedings reads as follows:</w:t>
      </w:r>
    </w:p>
    <w:p w14:paraId="260F416B" w14:textId="77777777" w:rsidR="00884B71" w:rsidRDefault="00884B71" w:rsidP="00884B71">
      <w:pPr>
        <w:pStyle w:val="ListParagraph"/>
        <w:spacing w:line="360" w:lineRule="auto"/>
        <w:jc w:val="both"/>
        <w:rPr>
          <w:rFonts w:ascii="Times New Roman" w:hAnsi="Times New Roman" w:cs="Times New Roman"/>
          <w:sz w:val="28"/>
          <w:szCs w:val="28"/>
        </w:rPr>
      </w:pPr>
    </w:p>
    <w:p w14:paraId="324D71ED" w14:textId="77777777" w:rsidR="00884B71" w:rsidRDefault="00884B71" w:rsidP="009134C8">
      <w:pPr>
        <w:pStyle w:val="ListParagraph"/>
        <w:spacing w:line="360" w:lineRule="auto"/>
        <w:ind w:left="2160" w:hanging="1440"/>
        <w:jc w:val="both"/>
        <w:rPr>
          <w:rFonts w:ascii="Times New Roman" w:hAnsi="Times New Roman" w:cs="Times New Roman"/>
          <w:sz w:val="24"/>
          <w:szCs w:val="24"/>
        </w:rPr>
      </w:pPr>
      <w:r>
        <w:rPr>
          <w:rFonts w:ascii="Times New Roman" w:hAnsi="Times New Roman" w:cs="Times New Roman"/>
          <w:sz w:val="24"/>
          <w:szCs w:val="24"/>
        </w:rPr>
        <w:t xml:space="preserve">‘Court: </w:t>
      </w:r>
      <w:r>
        <w:rPr>
          <w:rFonts w:ascii="Times New Roman" w:hAnsi="Times New Roman" w:cs="Times New Roman"/>
          <w:sz w:val="24"/>
          <w:szCs w:val="24"/>
        </w:rPr>
        <w:tab/>
        <w:t>I want to encourage and warn you to stick to speaking the truth today. Do you understand?</w:t>
      </w:r>
    </w:p>
    <w:p w14:paraId="60185295" w14:textId="77777777" w:rsidR="00884B71" w:rsidRDefault="00884B71" w:rsidP="00884B71">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Miss </w:t>
      </w:r>
      <w:proofErr w:type="spellStart"/>
      <w:r>
        <w:rPr>
          <w:rFonts w:ascii="Times New Roman" w:hAnsi="Times New Roman" w:cs="Times New Roman"/>
          <w:sz w:val="24"/>
          <w:szCs w:val="24"/>
        </w:rPr>
        <w:t>Jelman</w:t>
      </w:r>
      <w:proofErr w:type="spellEnd"/>
      <w:r>
        <w:rPr>
          <w:rFonts w:ascii="Times New Roman" w:hAnsi="Times New Roman" w:cs="Times New Roman"/>
          <w:sz w:val="24"/>
          <w:szCs w:val="24"/>
        </w:rPr>
        <w:t>:</w:t>
      </w:r>
      <w:r>
        <w:rPr>
          <w:rFonts w:ascii="Times New Roman" w:hAnsi="Times New Roman" w:cs="Times New Roman"/>
          <w:sz w:val="24"/>
          <w:szCs w:val="24"/>
        </w:rPr>
        <w:tab/>
        <w:t>Yes.</w:t>
      </w:r>
    </w:p>
    <w:p w14:paraId="202514E4" w14:textId="77777777" w:rsidR="00884B71" w:rsidRDefault="00884B71" w:rsidP="009134C8">
      <w:pPr>
        <w:pStyle w:val="ListParagraph"/>
        <w:spacing w:line="360" w:lineRule="auto"/>
        <w:ind w:left="2160" w:hanging="1440"/>
        <w:jc w:val="both"/>
        <w:rPr>
          <w:rFonts w:ascii="Times New Roman" w:hAnsi="Times New Roman" w:cs="Times New Roman"/>
          <w:sz w:val="24"/>
          <w:szCs w:val="24"/>
        </w:rPr>
      </w:pPr>
      <w:r>
        <w:rPr>
          <w:rFonts w:ascii="Times New Roman" w:hAnsi="Times New Roman" w:cs="Times New Roman"/>
          <w:sz w:val="24"/>
          <w:szCs w:val="24"/>
        </w:rPr>
        <w:t>Court:</w:t>
      </w:r>
      <w:r>
        <w:rPr>
          <w:rFonts w:ascii="Times New Roman" w:hAnsi="Times New Roman" w:cs="Times New Roman"/>
          <w:sz w:val="24"/>
          <w:szCs w:val="24"/>
        </w:rPr>
        <w:tab/>
        <w:t>Whatever you say, it must be something you have personal knowledge of, not something [that] anybody else told you.</w:t>
      </w:r>
    </w:p>
    <w:p w14:paraId="499F44D8" w14:textId="77777777" w:rsidR="00884B71" w:rsidRDefault="00884B71" w:rsidP="00884B71">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Miss </w:t>
      </w:r>
      <w:proofErr w:type="spellStart"/>
      <w:r>
        <w:rPr>
          <w:rFonts w:ascii="Times New Roman" w:hAnsi="Times New Roman" w:cs="Times New Roman"/>
          <w:sz w:val="24"/>
          <w:szCs w:val="24"/>
        </w:rPr>
        <w:t>Jelman</w:t>
      </w:r>
      <w:proofErr w:type="spellEnd"/>
      <w:r>
        <w:rPr>
          <w:rFonts w:ascii="Times New Roman" w:hAnsi="Times New Roman" w:cs="Times New Roman"/>
          <w:sz w:val="24"/>
          <w:szCs w:val="24"/>
        </w:rPr>
        <w:t>:</w:t>
      </w:r>
      <w:r>
        <w:rPr>
          <w:rFonts w:ascii="Times New Roman" w:hAnsi="Times New Roman" w:cs="Times New Roman"/>
          <w:sz w:val="24"/>
          <w:szCs w:val="24"/>
        </w:rPr>
        <w:tab/>
        <w:t>Yes.</w:t>
      </w:r>
    </w:p>
    <w:p w14:paraId="7E210063" w14:textId="77777777" w:rsidR="00884B71" w:rsidRDefault="00884B71" w:rsidP="00884B71">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Court:</w:t>
      </w:r>
      <w:r>
        <w:rPr>
          <w:rFonts w:ascii="Times New Roman" w:hAnsi="Times New Roman" w:cs="Times New Roman"/>
          <w:sz w:val="24"/>
          <w:szCs w:val="24"/>
        </w:rPr>
        <w:tab/>
      </w:r>
      <w:r>
        <w:rPr>
          <w:rFonts w:ascii="Times New Roman" w:hAnsi="Times New Roman" w:cs="Times New Roman"/>
          <w:sz w:val="24"/>
          <w:szCs w:val="24"/>
        </w:rPr>
        <w:tab/>
        <w:t>Alright, the witness is admonished to speak the truth.’</w:t>
      </w:r>
    </w:p>
    <w:p w14:paraId="5318C1B6" w14:textId="77777777" w:rsidR="00D516DD" w:rsidRPr="009134C8" w:rsidRDefault="00D516DD" w:rsidP="009134C8">
      <w:pPr>
        <w:spacing w:line="360" w:lineRule="auto"/>
        <w:jc w:val="both"/>
        <w:rPr>
          <w:rFonts w:ascii="Times New Roman" w:hAnsi="Times New Roman" w:cs="Times New Roman"/>
          <w:sz w:val="24"/>
          <w:szCs w:val="24"/>
        </w:rPr>
      </w:pPr>
    </w:p>
    <w:p w14:paraId="77CC44BF" w14:textId="45C94ED7" w:rsidR="00884B71" w:rsidRPr="00224014" w:rsidRDefault="00224014" w:rsidP="00224014">
      <w:pPr>
        <w:spacing w:line="360" w:lineRule="auto"/>
        <w:ind w:left="720" w:hanging="720"/>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rPr>
        <w:tab/>
      </w:r>
      <w:r w:rsidR="00420907" w:rsidRPr="00224014">
        <w:rPr>
          <w:rFonts w:ascii="Times New Roman" w:hAnsi="Times New Roman" w:cs="Times New Roman"/>
          <w:sz w:val="28"/>
          <w:szCs w:val="28"/>
        </w:rPr>
        <w:t>The relevant sections</w:t>
      </w:r>
      <w:r w:rsidR="00884B71" w:rsidRPr="00224014">
        <w:rPr>
          <w:rFonts w:ascii="Times New Roman" w:hAnsi="Times New Roman" w:cs="Times New Roman"/>
          <w:sz w:val="28"/>
          <w:szCs w:val="28"/>
        </w:rPr>
        <w:t xml:space="preserve"> of the Criminal Pro</w:t>
      </w:r>
      <w:r w:rsidR="00283B70" w:rsidRPr="00224014">
        <w:rPr>
          <w:rFonts w:ascii="Times New Roman" w:hAnsi="Times New Roman" w:cs="Times New Roman"/>
          <w:sz w:val="28"/>
          <w:szCs w:val="28"/>
        </w:rPr>
        <w:t xml:space="preserve">cedure Act 51 of 1977 </w:t>
      </w:r>
      <w:r w:rsidR="00420907" w:rsidRPr="00224014">
        <w:rPr>
          <w:rFonts w:ascii="Times New Roman" w:hAnsi="Times New Roman" w:cs="Times New Roman"/>
          <w:sz w:val="28"/>
          <w:szCs w:val="28"/>
        </w:rPr>
        <w:t>read</w:t>
      </w:r>
      <w:r w:rsidR="00884B71" w:rsidRPr="00224014">
        <w:rPr>
          <w:rFonts w:ascii="Times New Roman" w:hAnsi="Times New Roman" w:cs="Times New Roman"/>
          <w:sz w:val="28"/>
          <w:szCs w:val="28"/>
        </w:rPr>
        <w:t xml:space="preserve"> as follows:</w:t>
      </w:r>
    </w:p>
    <w:p w14:paraId="72764739" w14:textId="77777777" w:rsidR="00A27C37" w:rsidRDefault="00A27C37" w:rsidP="00884B71">
      <w:pPr>
        <w:pStyle w:val="ListParagraph"/>
        <w:spacing w:line="360" w:lineRule="auto"/>
        <w:rPr>
          <w:rFonts w:ascii="Times New Roman" w:hAnsi="Times New Roman" w:cs="Times New Roman"/>
          <w:sz w:val="24"/>
          <w:szCs w:val="24"/>
        </w:rPr>
      </w:pPr>
    </w:p>
    <w:p w14:paraId="3E974F04" w14:textId="77777777" w:rsidR="00884B71" w:rsidRDefault="00775D8B" w:rsidP="00884B71">
      <w:pPr>
        <w:pStyle w:val="ListParagraph"/>
        <w:spacing w:line="360" w:lineRule="auto"/>
        <w:rPr>
          <w:rFonts w:ascii="Times New Roman" w:hAnsi="Times New Roman" w:cs="Times New Roman"/>
          <w:b/>
          <w:sz w:val="24"/>
          <w:szCs w:val="24"/>
        </w:rPr>
      </w:pPr>
      <w:r>
        <w:rPr>
          <w:rFonts w:ascii="Times New Roman" w:hAnsi="Times New Roman" w:cs="Times New Roman"/>
          <w:sz w:val="24"/>
          <w:szCs w:val="24"/>
        </w:rPr>
        <w:t>‘</w:t>
      </w:r>
      <w:r w:rsidR="00884B71">
        <w:rPr>
          <w:rFonts w:ascii="Times New Roman" w:hAnsi="Times New Roman" w:cs="Times New Roman"/>
          <w:b/>
          <w:sz w:val="24"/>
          <w:szCs w:val="24"/>
        </w:rPr>
        <w:t>162</w:t>
      </w:r>
      <w:r w:rsidR="00884B71">
        <w:rPr>
          <w:rFonts w:ascii="Times New Roman" w:hAnsi="Times New Roman" w:cs="Times New Roman"/>
          <w:b/>
          <w:sz w:val="24"/>
          <w:szCs w:val="24"/>
        </w:rPr>
        <w:tab/>
        <w:t>Witness to be examined under oath</w:t>
      </w:r>
    </w:p>
    <w:p w14:paraId="4DBF294A" w14:textId="77777777" w:rsidR="00D516DD" w:rsidRDefault="00D516DD" w:rsidP="00884B71">
      <w:pPr>
        <w:pStyle w:val="ListParagraph"/>
        <w:spacing w:line="360" w:lineRule="auto"/>
        <w:rPr>
          <w:rFonts w:ascii="Times New Roman" w:hAnsi="Times New Roman" w:cs="Times New Roman"/>
          <w:b/>
          <w:sz w:val="24"/>
          <w:szCs w:val="24"/>
        </w:rPr>
      </w:pPr>
    </w:p>
    <w:p w14:paraId="399FD7BF" w14:textId="1BCC85D6" w:rsidR="00884B71" w:rsidRPr="00224014" w:rsidRDefault="00224014" w:rsidP="00224014">
      <w:pPr>
        <w:spacing w:line="360" w:lineRule="auto"/>
        <w:ind w:left="1800" w:hanging="36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775D8B" w:rsidRPr="00224014">
        <w:rPr>
          <w:rFonts w:ascii="Times New Roman" w:hAnsi="Times New Roman" w:cs="Times New Roman"/>
          <w:sz w:val="24"/>
          <w:szCs w:val="24"/>
        </w:rPr>
        <w:t>Subject to the provisions of sections 163 and 164, no person shall be examined as a witness in criminal proceedings unless he is under oath …</w:t>
      </w:r>
    </w:p>
    <w:p w14:paraId="44248863" w14:textId="77777777" w:rsidR="00D516DD" w:rsidRDefault="00D516DD" w:rsidP="00D516DD">
      <w:pPr>
        <w:pStyle w:val="ListParagraph"/>
        <w:spacing w:line="360" w:lineRule="auto"/>
        <w:ind w:left="1800"/>
        <w:rPr>
          <w:rFonts w:ascii="Times New Roman" w:hAnsi="Times New Roman" w:cs="Times New Roman"/>
          <w:sz w:val="24"/>
          <w:szCs w:val="24"/>
        </w:rPr>
      </w:pPr>
    </w:p>
    <w:p w14:paraId="48911B2D" w14:textId="77777777" w:rsidR="00775D8B" w:rsidRDefault="00775D8B" w:rsidP="00884B71">
      <w:pPr>
        <w:pStyle w:val="ListParagraph"/>
        <w:spacing w:line="360" w:lineRule="auto"/>
        <w:rPr>
          <w:rFonts w:ascii="Times New Roman" w:hAnsi="Times New Roman" w:cs="Times New Roman"/>
          <w:b/>
          <w:sz w:val="24"/>
          <w:szCs w:val="24"/>
        </w:rPr>
      </w:pPr>
      <w:r>
        <w:rPr>
          <w:rFonts w:ascii="Times New Roman" w:hAnsi="Times New Roman" w:cs="Times New Roman"/>
          <w:b/>
          <w:sz w:val="24"/>
          <w:szCs w:val="24"/>
        </w:rPr>
        <w:t>164</w:t>
      </w:r>
      <w:r>
        <w:rPr>
          <w:rFonts w:ascii="Times New Roman" w:hAnsi="Times New Roman" w:cs="Times New Roman"/>
          <w:b/>
          <w:sz w:val="24"/>
          <w:szCs w:val="24"/>
        </w:rPr>
        <w:tab/>
        <w:t>When unsworn or unaffirmed evidence admissible</w:t>
      </w:r>
    </w:p>
    <w:p w14:paraId="01CC65B1" w14:textId="77777777" w:rsidR="00D516DD" w:rsidRDefault="00D516DD" w:rsidP="00884B71">
      <w:pPr>
        <w:pStyle w:val="ListParagraph"/>
        <w:spacing w:line="360" w:lineRule="auto"/>
        <w:rPr>
          <w:rFonts w:ascii="Times New Roman" w:hAnsi="Times New Roman" w:cs="Times New Roman"/>
          <w:b/>
          <w:sz w:val="24"/>
          <w:szCs w:val="24"/>
        </w:rPr>
      </w:pPr>
    </w:p>
    <w:p w14:paraId="1965F0B3" w14:textId="0C012E91" w:rsidR="00775D8B" w:rsidRPr="00224014" w:rsidRDefault="00224014" w:rsidP="00224014">
      <w:pPr>
        <w:spacing w:line="360" w:lineRule="auto"/>
        <w:ind w:left="1800" w:hanging="36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775D8B" w:rsidRPr="00224014">
        <w:rPr>
          <w:rFonts w:ascii="Times New Roman" w:hAnsi="Times New Roman" w:cs="Times New Roman"/>
          <w:sz w:val="24"/>
          <w:szCs w:val="24"/>
        </w:rPr>
        <w:t>Any person, who is found not to understand the nature and import of the oath or affirmation, may be admitted to give evidence in criminal proceedings without taking the oath or making the affirmation: Provided that such person shall, in lieu of the oath or affirmation, be admonished by the presiding judge or judicial officer to speak the truth. …’</w:t>
      </w:r>
    </w:p>
    <w:p w14:paraId="76CFBBBF" w14:textId="77777777" w:rsidR="00283B70" w:rsidRDefault="00283B70" w:rsidP="00A27C37">
      <w:pPr>
        <w:pStyle w:val="ListParagraph"/>
        <w:spacing w:line="360" w:lineRule="auto"/>
        <w:ind w:left="1800"/>
        <w:jc w:val="both"/>
        <w:rPr>
          <w:rFonts w:ascii="Times New Roman" w:hAnsi="Times New Roman" w:cs="Times New Roman"/>
          <w:sz w:val="24"/>
          <w:szCs w:val="24"/>
        </w:rPr>
      </w:pPr>
    </w:p>
    <w:p w14:paraId="1A62927D" w14:textId="0ED22417" w:rsidR="00BC0651" w:rsidRPr="00224014" w:rsidRDefault="00224014" w:rsidP="00224014">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[21]</w:t>
      </w:r>
      <w:r>
        <w:rPr>
          <w:rFonts w:ascii="Times New Roman" w:hAnsi="Times New Roman" w:cs="Times New Roman"/>
          <w:sz w:val="28"/>
          <w:szCs w:val="28"/>
        </w:rPr>
        <w:tab/>
      </w:r>
      <w:r w:rsidR="00D516DD" w:rsidRPr="00224014">
        <w:rPr>
          <w:rFonts w:ascii="Times New Roman" w:hAnsi="Times New Roman" w:cs="Times New Roman"/>
          <w:sz w:val="28"/>
          <w:szCs w:val="28"/>
        </w:rPr>
        <w:t xml:space="preserve">In </w:t>
      </w:r>
      <w:r w:rsidR="00D516DD" w:rsidRPr="00224014">
        <w:rPr>
          <w:rFonts w:ascii="Times New Roman" w:hAnsi="Times New Roman" w:cs="Times New Roman"/>
          <w:i/>
          <w:sz w:val="28"/>
          <w:szCs w:val="28"/>
        </w:rPr>
        <w:t xml:space="preserve">S v </w:t>
      </w:r>
      <w:proofErr w:type="spellStart"/>
      <w:r w:rsidR="00D516DD" w:rsidRPr="00224014">
        <w:rPr>
          <w:rFonts w:ascii="Times New Roman" w:hAnsi="Times New Roman" w:cs="Times New Roman"/>
          <w:i/>
          <w:sz w:val="28"/>
          <w:szCs w:val="28"/>
        </w:rPr>
        <w:t>V</w:t>
      </w:r>
      <w:proofErr w:type="spellEnd"/>
      <w:r w:rsidR="00BC0651">
        <w:rPr>
          <w:rStyle w:val="FootnoteReference"/>
          <w:rFonts w:ascii="Times New Roman" w:hAnsi="Times New Roman" w:cs="Times New Roman"/>
          <w:i/>
          <w:sz w:val="28"/>
          <w:szCs w:val="28"/>
        </w:rPr>
        <w:footnoteReference w:id="6"/>
      </w:r>
      <w:r w:rsidR="00D516DD" w:rsidRPr="00224014">
        <w:rPr>
          <w:rFonts w:ascii="Times New Roman" w:hAnsi="Times New Roman" w:cs="Times New Roman"/>
          <w:i/>
          <w:sz w:val="28"/>
          <w:szCs w:val="28"/>
        </w:rPr>
        <w:t xml:space="preserve"> </w:t>
      </w:r>
      <w:r w:rsidR="00D516DD" w:rsidRPr="00224014">
        <w:rPr>
          <w:rFonts w:ascii="Times New Roman" w:hAnsi="Times New Roman" w:cs="Times New Roman"/>
          <w:sz w:val="28"/>
          <w:szCs w:val="28"/>
        </w:rPr>
        <w:t>it was held that the court must inquire</w:t>
      </w:r>
      <w:r w:rsidR="00283B70" w:rsidRPr="00224014">
        <w:rPr>
          <w:rFonts w:ascii="Times New Roman" w:hAnsi="Times New Roman" w:cs="Times New Roman"/>
          <w:sz w:val="28"/>
          <w:szCs w:val="28"/>
        </w:rPr>
        <w:t xml:space="preserve"> </w:t>
      </w:r>
      <w:r w:rsidR="00D516DD" w:rsidRPr="00224014">
        <w:rPr>
          <w:rFonts w:ascii="Times New Roman" w:hAnsi="Times New Roman" w:cs="Times New Roman"/>
          <w:sz w:val="28"/>
          <w:szCs w:val="28"/>
        </w:rPr>
        <w:t>and satisfy itself whether a child understands the oath and understands wh</w:t>
      </w:r>
      <w:r w:rsidR="00420907" w:rsidRPr="00224014">
        <w:rPr>
          <w:rFonts w:ascii="Times New Roman" w:hAnsi="Times New Roman" w:cs="Times New Roman"/>
          <w:sz w:val="28"/>
          <w:szCs w:val="28"/>
        </w:rPr>
        <w:t>at it means to speak the truth.</w:t>
      </w:r>
      <w:r w:rsidR="00BC0651">
        <w:rPr>
          <w:rStyle w:val="FootnoteReference"/>
          <w:rFonts w:ascii="Times New Roman" w:hAnsi="Times New Roman" w:cs="Times New Roman"/>
          <w:sz w:val="28"/>
          <w:szCs w:val="28"/>
        </w:rPr>
        <w:footnoteReference w:id="7"/>
      </w:r>
      <w:r w:rsidR="00BC0651" w:rsidRPr="00224014">
        <w:rPr>
          <w:rFonts w:ascii="Times New Roman" w:hAnsi="Times New Roman" w:cs="Times New Roman"/>
          <w:sz w:val="28"/>
          <w:szCs w:val="28"/>
        </w:rPr>
        <w:t xml:space="preserve"> If a child does not understand what it means to speak the truth, then it would be pointless to admonish the child under s</w:t>
      </w:r>
      <w:r w:rsidR="00420907" w:rsidRPr="00224014">
        <w:rPr>
          <w:rFonts w:ascii="Times New Roman" w:hAnsi="Times New Roman" w:cs="Times New Roman"/>
          <w:sz w:val="28"/>
          <w:szCs w:val="28"/>
        </w:rPr>
        <w:t xml:space="preserve"> </w:t>
      </w:r>
      <w:r w:rsidR="00BC0651" w:rsidRPr="00224014">
        <w:rPr>
          <w:rFonts w:ascii="Times New Roman" w:hAnsi="Times New Roman" w:cs="Times New Roman"/>
          <w:sz w:val="28"/>
          <w:szCs w:val="28"/>
        </w:rPr>
        <w:t>164. A witness who does not understand the difference between the truth and falsehood is not competent to testify, and any evidence which that witness may have been permitted to give is inadmissible against an accused p</w:t>
      </w:r>
      <w:r w:rsidR="00420907" w:rsidRPr="00224014">
        <w:rPr>
          <w:rFonts w:ascii="Times New Roman" w:hAnsi="Times New Roman" w:cs="Times New Roman"/>
          <w:sz w:val="28"/>
          <w:szCs w:val="28"/>
        </w:rPr>
        <w:t>erson.  It is that simple.</w:t>
      </w:r>
    </w:p>
    <w:p w14:paraId="529A81E0" w14:textId="77777777" w:rsidR="001A54C3" w:rsidRDefault="001A54C3" w:rsidP="001A54C3">
      <w:pPr>
        <w:pStyle w:val="ListParagraph"/>
        <w:spacing w:line="360" w:lineRule="auto"/>
        <w:jc w:val="both"/>
        <w:rPr>
          <w:rFonts w:ascii="Times New Roman" w:hAnsi="Times New Roman" w:cs="Times New Roman"/>
          <w:sz w:val="28"/>
          <w:szCs w:val="28"/>
        </w:rPr>
      </w:pPr>
    </w:p>
    <w:p w14:paraId="0C755E9F" w14:textId="653DC468" w:rsidR="00BC0651" w:rsidRPr="00224014" w:rsidRDefault="00224014" w:rsidP="00224014">
      <w:pPr>
        <w:spacing w:line="360" w:lineRule="auto"/>
        <w:jc w:val="both"/>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r>
      <w:r w:rsidR="00BC0651" w:rsidRPr="00224014">
        <w:rPr>
          <w:rFonts w:ascii="Times New Roman" w:hAnsi="Times New Roman" w:cs="Times New Roman"/>
          <w:sz w:val="28"/>
          <w:szCs w:val="28"/>
        </w:rPr>
        <w:t>It is of vital importance for a trial court to hold an inquiry in this regard and to clearly identify what it is investigating – whether it is the ability to distinguish between the truth and lies (which goes to whether the witness is competent to testify), or whethe</w:t>
      </w:r>
      <w:r w:rsidR="001A54C3" w:rsidRPr="00224014">
        <w:rPr>
          <w:rFonts w:ascii="Times New Roman" w:hAnsi="Times New Roman" w:cs="Times New Roman"/>
          <w:sz w:val="28"/>
          <w:szCs w:val="28"/>
        </w:rPr>
        <w:t>r it</w:t>
      </w:r>
      <w:r w:rsidR="00420907" w:rsidRPr="00224014">
        <w:rPr>
          <w:rFonts w:ascii="Times New Roman" w:hAnsi="Times New Roman" w:cs="Times New Roman"/>
          <w:sz w:val="28"/>
          <w:szCs w:val="28"/>
        </w:rPr>
        <w:t xml:space="preserve"> is to establish the witnesses’</w:t>
      </w:r>
      <w:r w:rsidR="00BC0651" w:rsidRPr="00224014">
        <w:rPr>
          <w:rFonts w:ascii="Times New Roman" w:hAnsi="Times New Roman" w:cs="Times New Roman"/>
          <w:sz w:val="28"/>
          <w:szCs w:val="28"/>
        </w:rPr>
        <w:t xml:space="preserve"> ability</w:t>
      </w:r>
      <w:r w:rsidR="001A54C3" w:rsidRPr="00224014">
        <w:rPr>
          <w:rFonts w:ascii="Times New Roman" w:hAnsi="Times New Roman" w:cs="Times New Roman"/>
          <w:sz w:val="28"/>
          <w:szCs w:val="28"/>
        </w:rPr>
        <w:t xml:space="preserve"> (in this case a child)</w:t>
      </w:r>
      <w:r w:rsidR="00BC0651" w:rsidRPr="00224014">
        <w:rPr>
          <w:rFonts w:ascii="Times New Roman" w:hAnsi="Times New Roman" w:cs="Times New Roman"/>
          <w:sz w:val="28"/>
          <w:szCs w:val="28"/>
        </w:rPr>
        <w:t xml:space="preserve"> to understand the nature and the import of the oath or affirmation (which goes to whet</w:t>
      </w:r>
      <w:r w:rsidR="001A54C3" w:rsidRPr="00224014">
        <w:rPr>
          <w:rFonts w:ascii="Times New Roman" w:hAnsi="Times New Roman" w:cs="Times New Roman"/>
          <w:sz w:val="28"/>
          <w:szCs w:val="28"/>
        </w:rPr>
        <w:t>her the witness</w:t>
      </w:r>
      <w:r w:rsidR="00BC0651" w:rsidRPr="00224014">
        <w:rPr>
          <w:rFonts w:ascii="Times New Roman" w:hAnsi="Times New Roman" w:cs="Times New Roman"/>
          <w:sz w:val="28"/>
          <w:szCs w:val="28"/>
        </w:rPr>
        <w:t xml:space="preserve"> should, instead of taking the oath, be admonished to speak the truth in terms of s</w:t>
      </w:r>
      <w:r w:rsidR="00C431BB" w:rsidRPr="00224014">
        <w:rPr>
          <w:rFonts w:ascii="Times New Roman" w:hAnsi="Times New Roman" w:cs="Times New Roman"/>
          <w:sz w:val="28"/>
          <w:szCs w:val="28"/>
        </w:rPr>
        <w:t xml:space="preserve"> </w:t>
      </w:r>
      <w:r w:rsidR="00BC0651" w:rsidRPr="00224014">
        <w:rPr>
          <w:rFonts w:ascii="Times New Roman" w:hAnsi="Times New Roman" w:cs="Times New Roman"/>
          <w:sz w:val="28"/>
          <w:szCs w:val="28"/>
        </w:rPr>
        <w:t>164(1)</w:t>
      </w:r>
      <w:r w:rsidR="00283B70" w:rsidRPr="00224014">
        <w:rPr>
          <w:rFonts w:ascii="Times New Roman" w:hAnsi="Times New Roman" w:cs="Times New Roman"/>
          <w:sz w:val="28"/>
          <w:szCs w:val="28"/>
        </w:rPr>
        <w:t>)</w:t>
      </w:r>
      <w:r w:rsidR="00BC0651" w:rsidRPr="00224014">
        <w:rPr>
          <w:rFonts w:ascii="Times New Roman" w:hAnsi="Times New Roman" w:cs="Times New Roman"/>
          <w:sz w:val="28"/>
          <w:szCs w:val="28"/>
        </w:rPr>
        <w:t>.</w:t>
      </w:r>
      <w:r w:rsidR="001A54C3" w:rsidRPr="00224014">
        <w:rPr>
          <w:rFonts w:ascii="Times New Roman" w:hAnsi="Times New Roman" w:cs="Times New Roman"/>
          <w:sz w:val="28"/>
          <w:szCs w:val="28"/>
        </w:rPr>
        <w:t xml:space="preserve"> Simply stated, a witness, irrespective of age,</w:t>
      </w:r>
      <w:r w:rsidR="00282334" w:rsidRPr="00224014">
        <w:rPr>
          <w:rFonts w:ascii="Times New Roman" w:hAnsi="Times New Roman" w:cs="Times New Roman"/>
          <w:sz w:val="28"/>
          <w:szCs w:val="28"/>
        </w:rPr>
        <w:t xml:space="preserve"> must be sworn if the court </w:t>
      </w:r>
      <w:r w:rsidR="001A54C3" w:rsidRPr="00224014">
        <w:rPr>
          <w:rFonts w:ascii="Times New Roman" w:hAnsi="Times New Roman" w:cs="Times New Roman"/>
          <w:sz w:val="28"/>
          <w:szCs w:val="28"/>
        </w:rPr>
        <w:t>is of the opinion that the witness</w:t>
      </w:r>
      <w:r w:rsidR="00282334" w:rsidRPr="00224014">
        <w:rPr>
          <w:rFonts w:ascii="Times New Roman" w:hAnsi="Times New Roman" w:cs="Times New Roman"/>
          <w:sz w:val="28"/>
          <w:szCs w:val="28"/>
        </w:rPr>
        <w:t xml:space="preserve"> understands the nature and the religious sanction of the oath. It is </w:t>
      </w:r>
      <w:r w:rsidR="001A54C3" w:rsidRPr="00224014">
        <w:rPr>
          <w:rFonts w:ascii="Times New Roman" w:hAnsi="Times New Roman" w:cs="Times New Roman"/>
          <w:sz w:val="28"/>
          <w:szCs w:val="28"/>
        </w:rPr>
        <w:t>only when a witness</w:t>
      </w:r>
      <w:r w:rsidR="00282334" w:rsidRPr="00224014">
        <w:rPr>
          <w:rFonts w:ascii="Times New Roman" w:hAnsi="Times New Roman" w:cs="Times New Roman"/>
          <w:sz w:val="28"/>
          <w:szCs w:val="28"/>
        </w:rPr>
        <w:t xml:space="preserve"> does not understand what it means to take an oath,</w:t>
      </w:r>
      <w:r w:rsidR="001A54C3" w:rsidRPr="00224014">
        <w:rPr>
          <w:rFonts w:ascii="Times New Roman" w:hAnsi="Times New Roman" w:cs="Times New Roman"/>
          <w:sz w:val="28"/>
          <w:szCs w:val="28"/>
        </w:rPr>
        <w:t xml:space="preserve"> but it is clear that the witness </w:t>
      </w:r>
      <w:r w:rsidR="00282334" w:rsidRPr="00224014">
        <w:rPr>
          <w:rFonts w:ascii="Times New Roman" w:hAnsi="Times New Roman" w:cs="Times New Roman"/>
          <w:sz w:val="28"/>
          <w:szCs w:val="28"/>
        </w:rPr>
        <w:t xml:space="preserve">understands the difference between right and wrong, and the difference between speaking the truth </w:t>
      </w:r>
      <w:r w:rsidR="001A54C3" w:rsidRPr="00224014">
        <w:rPr>
          <w:rFonts w:ascii="Times New Roman" w:hAnsi="Times New Roman" w:cs="Times New Roman"/>
          <w:sz w:val="28"/>
          <w:szCs w:val="28"/>
        </w:rPr>
        <w:t>and telling lies, that the witness</w:t>
      </w:r>
      <w:r w:rsidR="00282334" w:rsidRPr="00224014">
        <w:rPr>
          <w:rFonts w:ascii="Times New Roman" w:hAnsi="Times New Roman" w:cs="Times New Roman"/>
          <w:sz w:val="28"/>
          <w:szCs w:val="28"/>
        </w:rPr>
        <w:t xml:space="preserve"> falling into the latter category should be admonished instead of the oath being administered to him/her.</w:t>
      </w:r>
      <w:r w:rsidR="00282334">
        <w:rPr>
          <w:rStyle w:val="FootnoteReference"/>
          <w:rFonts w:ascii="Times New Roman" w:hAnsi="Times New Roman" w:cs="Times New Roman"/>
          <w:sz w:val="28"/>
          <w:szCs w:val="28"/>
        </w:rPr>
        <w:footnoteReference w:id="8"/>
      </w:r>
    </w:p>
    <w:p w14:paraId="0DBBB0FD" w14:textId="77777777" w:rsidR="001A54C3" w:rsidRPr="001A54C3" w:rsidRDefault="001A54C3" w:rsidP="00A27C37">
      <w:pPr>
        <w:pStyle w:val="ListParagraph"/>
        <w:spacing w:line="360" w:lineRule="auto"/>
        <w:rPr>
          <w:rFonts w:ascii="Times New Roman" w:hAnsi="Times New Roman" w:cs="Times New Roman"/>
          <w:sz w:val="28"/>
          <w:szCs w:val="28"/>
        </w:rPr>
      </w:pPr>
    </w:p>
    <w:p w14:paraId="7481885D" w14:textId="745A1BBF" w:rsidR="00774DD4" w:rsidRPr="00224014" w:rsidRDefault="00224014" w:rsidP="00224014">
      <w:pPr>
        <w:spacing w:line="360" w:lineRule="auto"/>
        <w:jc w:val="both"/>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rPr>
        <w:tab/>
      </w:r>
      <w:r w:rsidR="00BC0651" w:rsidRPr="00224014">
        <w:rPr>
          <w:rFonts w:ascii="Times New Roman" w:hAnsi="Times New Roman" w:cs="Times New Roman"/>
          <w:sz w:val="28"/>
          <w:szCs w:val="28"/>
        </w:rPr>
        <w:t xml:space="preserve">In </w:t>
      </w:r>
      <w:r w:rsidR="00BC0651" w:rsidRPr="00224014">
        <w:rPr>
          <w:rFonts w:ascii="Times New Roman" w:hAnsi="Times New Roman" w:cs="Times New Roman"/>
          <w:i/>
          <w:sz w:val="28"/>
          <w:szCs w:val="28"/>
        </w:rPr>
        <w:t xml:space="preserve">S v </w:t>
      </w:r>
      <w:proofErr w:type="spellStart"/>
      <w:r w:rsidR="00BC0651" w:rsidRPr="00224014">
        <w:rPr>
          <w:rFonts w:ascii="Times New Roman" w:hAnsi="Times New Roman" w:cs="Times New Roman"/>
          <w:i/>
          <w:sz w:val="28"/>
          <w:szCs w:val="28"/>
        </w:rPr>
        <w:t>Matshivha</w:t>
      </w:r>
      <w:proofErr w:type="spellEnd"/>
      <w:r w:rsidR="00C431BB" w:rsidRPr="00224014">
        <w:rPr>
          <w:rFonts w:ascii="Times New Roman" w:hAnsi="Times New Roman" w:cs="Times New Roman"/>
          <w:i/>
          <w:sz w:val="28"/>
          <w:szCs w:val="28"/>
        </w:rPr>
        <w:t>,</w:t>
      </w:r>
      <w:r w:rsidR="00BC0651">
        <w:rPr>
          <w:rStyle w:val="FootnoteReference"/>
          <w:rFonts w:ascii="Times New Roman" w:hAnsi="Times New Roman" w:cs="Times New Roman"/>
          <w:i/>
          <w:sz w:val="28"/>
          <w:szCs w:val="28"/>
        </w:rPr>
        <w:footnoteReference w:id="9"/>
      </w:r>
      <w:r w:rsidR="00282334" w:rsidRPr="00224014">
        <w:rPr>
          <w:rFonts w:ascii="Times New Roman" w:hAnsi="Times New Roman" w:cs="Times New Roman"/>
          <w:i/>
          <w:sz w:val="28"/>
          <w:szCs w:val="28"/>
        </w:rPr>
        <w:t xml:space="preserve"> </w:t>
      </w:r>
      <w:r w:rsidR="00657C44" w:rsidRPr="00224014">
        <w:rPr>
          <w:rFonts w:ascii="Times New Roman" w:hAnsi="Times New Roman" w:cs="Times New Roman"/>
          <w:sz w:val="28"/>
          <w:szCs w:val="28"/>
        </w:rPr>
        <w:t xml:space="preserve">Zondi AJA examined the type of questions which the trial court had put to the child witnesses and concluded that it was not clear, from </w:t>
      </w:r>
      <w:r w:rsidR="00657C44" w:rsidRPr="00224014">
        <w:rPr>
          <w:rFonts w:ascii="Times New Roman" w:hAnsi="Times New Roman" w:cs="Times New Roman"/>
          <w:sz w:val="28"/>
          <w:szCs w:val="28"/>
        </w:rPr>
        <w:lastRenderedPageBreak/>
        <w:t>these questions</w:t>
      </w:r>
      <w:r w:rsidR="001A54C3" w:rsidRPr="00224014">
        <w:rPr>
          <w:rFonts w:ascii="Times New Roman" w:hAnsi="Times New Roman" w:cs="Times New Roman"/>
          <w:sz w:val="28"/>
          <w:szCs w:val="28"/>
        </w:rPr>
        <w:t>,</w:t>
      </w:r>
      <w:r w:rsidR="00657C44" w:rsidRPr="00224014">
        <w:rPr>
          <w:rFonts w:ascii="Times New Roman" w:hAnsi="Times New Roman" w:cs="Times New Roman"/>
          <w:sz w:val="28"/>
          <w:szCs w:val="28"/>
        </w:rPr>
        <w:t xml:space="preserve"> whether the purpose was to establish competence or ability to understand the oath. Zondi AJA accordingly found that the trial court had failed to comply with its duties under ss 162 and 164. In the premises,</w:t>
      </w:r>
      <w:r w:rsidR="001A54C3" w:rsidRPr="00224014">
        <w:rPr>
          <w:rFonts w:ascii="Times New Roman" w:hAnsi="Times New Roman" w:cs="Times New Roman"/>
          <w:sz w:val="28"/>
          <w:szCs w:val="28"/>
        </w:rPr>
        <w:t xml:space="preserve"> and</w:t>
      </w:r>
      <w:r w:rsidR="00657C44" w:rsidRPr="00224014">
        <w:rPr>
          <w:rFonts w:ascii="Times New Roman" w:hAnsi="Times New Roman" w:cs="Times New Roman"/>
          <w:sz w:val="28"/>
          <w:szCs w:val="28"/>
        </w:rPr>
        <w:t xml:space="preserve"> since the thrust of the Constitutional Court’s judgment in </w:t>
      </w:r>
      <w:r w:rsidR="00657C44" w:rsidRPr="00224014">
        <w:rPr>
          <w:rFonts w:ascii="Times New Roman" w:hAnsi="Times New Roman" w:cs="Times New Roman"/>
          <w:i/>
          <w:sz w:val="28"/>
          <w:szCs w:val="28"/>
        </w:rPr>
        <w:t>Director of Public Prosecutions, Transvaal v Minister of Justice &amp; Constitutional Development &amp; others</w:t>
      </w:r>
      <w:r w:rsidR="00283B70" w:rsidRPr="00224014">
        <w:rPr>
          <w:rFonts w:ascii="Times New Roman" w:hAnsi="Times New Roman" w:cs="Times New Roman"/>
          <w:i/>
          <w:sz w:val="28"/>
          <w:szCs w:val="28"/>
        </w:rPr>
        <w:t>,</w:t>
      </w:r>
      <w:r w:rsidR="00657C44">
        <w:rPr>
          <w:rStyle w:val="FootnoteReference"/>
          <w:rFonts w:ascii="Times New Roman" w:hAnsi="Times New Roman" w:cs="Times New Roman"/>
          <w:i/>
          <w:sz w:val="28"/>
          <w:szCs w:val="28"/>
        </w:rPr>
        <w:footnoteReference w:id="10"/>
      </w:r>
      <w:r w:rsidR="00774DD4" w:rsidRPr="00224014">
        <w:rPr>
          <w:rFonts w:ascii="Times New Roman" w:hAnsi="Times New Roman" w:cs="Times New Roman"/>
          <w:i/>
          <w:sz w:val="28"/>
          <w:szCs w:val="28"/>
        </w:rPr>
        <w:t xml:space="preserve"> </w:t>
      </w:r>
      <w:r w:rsidR="00C25A1F" w:rsidRPr="00224014">
        <w:rPr>
          <w:rFonts w:ascii="Times New Roman" w:hAnsi="Times New Roman" w:cs="Times New Roman"/>
          <w:sz w:val="28"/>
          <w:szCs w:val="28"/>
        </w:rPr>
        <w:t>was that reliability</w:t>
      </w:r>
      <w:r w:rsidR="001A54C3" w:rsidRPr="00224014">
        <w:rPr>
          <w:rFonts w:ascii="Times New Roman" w:hAnsi="Times New Roman" w:cs="Times New Roman"/>
          <w:sz w:val="28"/>
          <w:szCs w:val="28"/>
        </w:rPr>
        <w:t xml:space="preserve"> was the crucial question, the court was constrained </w:t>
      </w:r>
      <w:r w:rsidR="00774DD4" w:rsidRPr="00224014">
        <w:rPr>
          <w:rFonts w:ascii="Times New Roman" w:hAnsi="Times New Roman" w:cs="Times New Roman"/>
          <w:sz w:val="28"/>
          <w:szCs w:val="28"/>
        </w:rPr>
        <w:t xml:space="preserve">to conclude that no reliance could be placed on the evidence of the children who testified. </w:t>
      </w:r>
      <w:r w:rsidR="00C25A1F" w:rsidRPr="00224014">
        <w:rPr>
          <w:rFonts w:ascii="Times New Roman" w:hAnsi="Times New Roman" w:cs="Times New Roman"/>
          <w:sz w:val="28"/>
          <w:szCs w:val="28"/>
        </w:rPr>
        <w:t>Zondi AJA explained the step-by-step procedure as follows:</w:t>
      </w:r>
    </w:p>
    <w:p w14:paraId="2859494E" w14:textId="77777777" w:rsidR="001A54C3" w:rsidRDefault="001A54C3" w:rsidP="001A54C3">
      <w:pPr>
        <w:pStyle w:val="ListParagraph"/>
        <w:spacing w:line="360" w:lineRule="auto"/>
        <w:jc w:val="both"/>
        <w:rPr>
          <w:rFonts w:ascii="Times New Roman" w:hAnsi="Times New Roman" w:cs="Times New Roman"/>
          <w:sz w:val="28"/>
          <w:szCs w:val="28"/>
        </w:rPr>
      </w:pPr>
    </w:p>
    <w:p w14:paraId="045DF002" w14:textId="77777777" w:rsidR="00C25A1F" w:rsidRDefault="00C25A1F" w:rsidP="00C25A1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‘Section 164(1) is resorted to when a court is dealing with the admission of evidence of a witness who, from ignorance arising from youth, defective education or other cause, is found not to understand the nature and import of the oath or the affirmation. Such a witness must, instead of being sworn in or affirmed, be admonished by the judicial officer to speak the truth. It is clear from the reading of s 164(1) that for it to be triggered there </w:t>
      </w:r>
      <w:r>
        <w:rPr>
          <w:rFonts w:ascii="Times New Roman" w:hAnsi="Times New Roman" w:cs="Times New Roman"/>
          <w:i/>
          <w:sz w:val="24"/>
          <w:szCs w:val="24"/>
        </w:rPr>
        <w:t xml:space="preserve">must </w:t>
      </w:r>
      <w:r>
        <w:rPr>
          <w:rFonts w:ascii="Times New Roman" w:hAnsi="Times New Roman" w:cs="Times New Roman"/>
          <w:sz w:val="24"/>
          <w:szCs w:val="24"/>
        </w:rPr>
        <w:t xml:space="preserve">(emphasis added) be a finding that the witness does not understand the nature and import of the oath. The finding </w:t>
      </w:r>
      <w:r>
        <w:rPr>
          <w:rFonts w:ascii="Times New Roman" w:hAnsi="Times New Roman" w:cs="Times New Roman"/>
          <w:i/>
          <w:sz w:val="24"/>
          <w:szCs w:val="24"/>
        </w:rPr>
        <w:t xml:space="preserve">must </w:t>
      </w:r>
      <w:r>
        <w:rPr>
          <w:rFonts w:ascii="Times New Roman" w:hAnsi="Times New Roman" w:cs="Times New Roman"/>
          <w:sz w:val="24"/>
          <w:szCs w:val="24"/>
        </w:rPr>
        <w:t>(emphasis added) be preceded by some form of enquiry by the judicial officer, to establish whether the witness understands the nature and import of the oath. If the judicial officer should find after such an enquiry that the witness does not possess the required capacity to understand the nature and import of the oath, he or she should establish whether the witness can distinguish between truth and lies, and if the enquiry yields a positive outcome, admonish the witness to speak the truth.’</w:t>
      </w:r>
      <w:r>
        <w:rPr>
          <w:rStyle w:val="FootnoteReference"/>
          <w:rFonts w:ascii="Times New Roman" w:hAnsi="Times New Roman" w:cs="Times New Roman"/>
          <w:sz w:val="24"/>
          <w:szCs w:val="24"/>
        </w:rPr>
        <w:footnoteReference w:id="11"/>
      </w:r>
    </w:p>
    <w:p w14:paraId="22CD38D2" w14:textId="77777777" w:rsidR="00A27C37" w:rsidRDefault="00A27C37" w:rsidP="00A27C37">
      <w:pPr>
        <w:pStyle w:val="ListParagraph"/>
        <w:spacing w:line="360" w:lineRule="auto"/>
        <w:jc w:val="both"/>
        <w:rPr>
          <w:rFonts w:ascii="Times New Roman" w:hAnsi="Times New Roman" w:cs="Times New Roman"/>
          <w:sz w:val="24"/>
          <w:szCs w:val="24"/>
        </w:rPr>
      </w:pPr>
    </w:p>
    <w:p w14:paraId="36099DB1" w14:textId="29321B11" w:rsidR="00031707" w:rsidRPr="00224014" w:rsidRDefault="00224014" w:rsidP="00224014">
      <w:pPr>
        <w:spacing w:line="360" w:lineRule="auto"/>
        <w:jc w:val="both"/>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rPr>
        <w:tab/>
      </w:r>
      <w:r w:rsidR="00A906E7" w:rsidRPr="00224014">
        <w:rPr>
          <w:rFonts w:ascii="Times New Roman" w:hAnsi="Times New Roman" w:cs="Times New Roman"/>
          <w:sz w:val="28"/>
          <w:szCs w:val="28"/>
        </w:rPr>
        <w:t>The wording of s 164(1) is peremptory.</w:t>
      </w:r>
      <w:r w:rsidR="00A906E7">
        <w:rPr>
          <w:rStyle w:val="FootnoteReference"/>
          <w:rFonts w:ascii="Times New Roman" w:hAnsi="Times New Roman" w:cs="Times New Roman"/>
          <w:sz w:val="28"/>
          <w:szCs w:val="28"/>
        </w:rPr>
        <w:footnoteReference w:id="12"/>
      </w:r>
      <w:r w:rsidR="006A294B" w:rsidRPr="00224014">
        <w:rPr>
          <w:rFonts w:ascii="Times New Roman" w:hAnsi="Times New Roman" w:cs="Times New Roman"/>
          <w:sz w:val="28"/>
          <w:szCs w:val="28"/>
        </w:rPr>
        <w:t xml:space="preserve"> As I</w:t>
      </w:r>
      <w:r w:rsidR="00031707" w:rsidRPr="00224014">
        <w:rPr>
          <w:rFonts w:ascii="Times New Roman" w:hAnsi="Times New Roman" w:cs="Times New Roman"/>
          <w:sz w:val="28"/>
          <w:szCs w:val="28"/>
        </w:rPr>
        <w:t xml:space="preserve"> have said, the Constitutional Court made it plain in </w:t>
      </w:r>
      <w:r w:rsidR="00031707" w:rsidRPr="00224014">
        <w:rPr>
          <w:rFonts w:ascii="Times New Roman" w:hAnsi="Times New Roman" w:cs="Times New Roman"/>
          <w:i/>
          <w:sz w:val="28"/>
          <w:szCs w:val="28"/>
        </w:rPr>
        <w:t xml:space="preserve">DPP, Transvaal </w:t>
      </w:r>
      <w:r w:rsidR="00031707" w:rsidRPr="00224014">
        <w:rPr>
          <w:rFonts w:ascii="Times New Roman" w:hAnsi="Times New Roman" w:cs="Times New Roman"/>
          <w:sz w:val="28"/>
          <w:szCs w:val="28"/>
        </w:rPr>
        <w:t>(above), that:</w:t>
      </w:r>
    </w:p>
    <w:p w14:paraId="29F35B21" w14:textId="77777777" w:rsidR="006A294B" w:rsidRDefault="006A294B" w:rsidP="006A294B">
      <w:pPr>
        <w:pStyle w:val="ListParagraph"/>
        <w:spacing w:line="360" w:lineRule="auto"/>
        <w:jc w:val="both"/>
        <w:rPr>
          <w:rFonts w:ascii="Times New Roman" w:hAnsi="Times New Roman" w:cs="Times New Roman"/>
          <w:sz w:val="28"/>
          <w:szCs w:val="28"/>
        </w:rPr>
      </w:pPr>
    </w:p>
    <w:p w14:paraId="77FBD3EE" w14:textId="77777777" w:rsidR="00031707" w:rsidRDefault="00031707" w:rsidP="00A906E7">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reason for evidence to be given under oath or affirmation or for a person to be admonished to speak the truth is to ensure that the evidence given is reliable. </w:t>
      </w:r>
      <w:r>
        <w:rPr>
          <w:rFonts w:ascii="Times New Roman" w:hAnsi="Times New Roman" w:cs="Times New Roman"/>
          <w:sz w:val="24"/>
          <w:szCs w:val="24"/>
        </w:rPr>
        <w:lastRenderedPageBreak/>
        <w:t xml:space="preserve">Knowledge that a child knows and understands what it means to tell the truth gives the assurance that the evidence can be relied upon. It is in fact a </w:t>
      </w:r>
      <w:r>
        <w:rPr>
          <w:rFonts w:ascii="Times New Roman" w:hAnsi="Times New Roman" w:cs="Times New Roman"/>
          <w:i/>
          <w:sz w:val="24"/>
          <w:szCs w:val="24"/>
        </w:rPr>
        <w:t xml:space="preserve">precondition </w:t>
      </w:r>
      <w:r>
        <w:rPr>
          <w:rFonts w:ascii="Times New Roman" w:hAnsi="Times New Roman" w:cs="Times New Roman"/>
          <w:sz w:val="24"/>
          <w:szCs w:val="24"/>
        </w:rPr>
        <w:t>(my emphasis) for admonishing a child to tell the truth that the child can comprehend what it means to tell the truth. The evidence of a child who does not know what it means to tell the truth is not reliable. It would undermine the accused’s right to a fair trial were such evidence to be admitted. To my mind, it does not amount to a violation of s 28(2) to exclude the evidence of such a child. The risk of a conviction based on unreliable evidence is too great to permit a child who does not know what it means to speak the truth to testify. This would indeed have serious consequences for the administration of justice.</w:t>
      </w:r>
      <w:r w:rsidR="00A906E7">
        <w:rPr>
          <w:rFonts w:ascii="Times New Roman" w:hAnsi="Times New Roman" w:cs="Times New Roman"/>
          <w:sz w:val="24"/>
          <w:szCs w:val="24"/>
        </w:rPr>
        <w:t>’</w:t>
      </w:r>
      <w:r w:rsidR="00A906E7">
        <w:rPr>
          <w:rStyle w:val="FootnoteReference"/>
          <w:rFonts w:ascii="Times New Roman" w:hAnsi="Times New Roman" w:cs="Times New Roman"/>
          <w:sz w:val="24"/>
          <w:szCs w:val="24"/>
        </w:rPr>
        <w:footnoteReference w:id="13"/>
      </w:r>
    </w:p>
    <w:p w14:paraId="12FE5497" w14:textId="77777777" w:rsidR="006A294B" w:rsidRPr="006A294B" w:rsidRDefault="006A294B" w:rsidP="006A294B">
      <w:pPr>
        <w:spacing w:line="360" w:lineRule="auto"/>
        <w:jc w:val="both"/>
        <w:rPr>
          <w:rFonts w:ascii="Times New Roman" w:hAnsi="Times New Roman" w:cs="Times New Roman"/>
          <w:sz w:val="24"/>
          <w:szCs w:val="24"/>
        </w:rPr>
      </w:pPr>
    </w:p>
    <w:p w14:paraId="41FFD389" w14:textId="501B86A4" w:rsidR="00884B71" w:rsidRPr="00224014" w:rsidRDefault="00224014" w:rsidP="00224014">
      <w:pPr>
        <w:spacing w:line="360" w:lineRule="auto"/>
        <w:jc w:val="both"/>
        <w:rPr>
          <w:rFonts w:ascii="Times New Roman" w:hAnsi="Times New Roman" w:cs="Times New Roman"/>
          <w:sz w:val="28"/>
          <w:szCs w:val="28"/>
        </w:rPr>
      </w:pPr>
      <w:r>
        <w:rPr>
          <w:rFonts w:ascii="Times New Roman" w:hAnsi="Times New Roman" w:cs="Times New Roman"/>
          <w:sz w:val="28"/>
          <w:szCs w:val="28"/>
        </w:rPr>
        <w:t>[25]</w:t>
      </w:r>
      <w:r>
        <w:rPr>
          <w:rFonts w:ascii="Times New Roman" w:hAnsi="Times New Roman" w:cs="Times New Roman"/>
          <w:sz w:val="28"/>
          <w:szCs w:val="28"/>
        </w:rPr>
        <w:tab/>
      </w:r>
      <w:r w:rsidR="009134C8" w:rsidRPr="00224014">
        <w:rPr>
          <w:rFonts w:ascii="Times New Roman" w:hAnsi="Times New Roman" w:cs="Times New Roman"/>
          <w:sz w:val="28"/>
          <w:szCs w:val="28"/>
        </w:rPr>
        <w:t xml:space="preserve">I </w:t>
      </w:r>
      <w:r w:rsidR="00A906E7" w:rsidRPr="00224014">
        <w:rPr>
          <w:rFonts w:ascii="Times New Roman" w:hAnsi="Times New Roman" w:cs="Times New Roman"/>
          <w:sz w:val="28"/>
          <w:szCs w:val="28"/>
        </w:rPr>
        <w:t>venture to add that by the same token, particularly when one is dealing with an older child such as Lisa, thorough questioning should also be aimed at determining whether the oath should be administered. If the court is persuaded that the oath should be adminis</w:t>
      </w:r>
      <w:r w:rsidR="006A294B" w:rsidRPr="00224014">
        <w:rPr>
          <w:rFonts w:ascii="Times New Roman" w:hAnsi="Times New Roman" w:cs="Times New Roman"/>
          <w:sz w:val="28"/>
          <w:szCs w:val="28"/>
        </w:rPr>
        <w:t>tered, it must do so, and not merely</w:t>
      </w:r>
      <w:r w:rsidR="00A906E7" w:rsidRPr="00224014">
        <w:rPr>
          <w:rFonts w:ascii="Times New Roman" w:hAnsi="Times New Roman" w:cs="Times New Roman"/>
          <w:sz w:val="28"/>
          <w:szCs w:val="28"/>
        </w:rPr>
        <w:t xml:space="preserve"> admonish the child witness.</w:t>
      </w:r>
      <w:r w:rsidR="0019690D" w:rsidRPr="00224014">
        <w:rPr>
          <w:rFonts w:ascii="Times New Roman" w:hAnsi="Times New Roman" w:cs="Times New Roman"/>
          <w:sz w:val="28"/>
          <w:szCs w:val="28"/>
        </w:rPr>
        <w:t xml:space="preserve"> These views were endorsed in </w:t>
      </w:r>
      <w:r w:rsidR="0019690D" w:rsidRPr="00224014">
        <w:rPr>
          <w:rFonts w:ascii="Times New Roman" w:hAnsi="Times New Roman" w:cs="Times New Roman"/>
          <w:i/>
          <w:sz w:val="28"/>
          <w:szCs w:val="28"/>
        </w:rPr>
        <w:t>S</w:t>
      </w:r>
      <w:r w:rsidR="0019690D" w:rsidRPr="00224014">
        <w:rPr>
          <w:rFonts w:ascii="Times New Roman" w:hAnsi="Times New Roman" w:cs="Times New Roman"/>
          <w:sz w:val="28"/>
          <w:szCs w:val="28"/>
        </w:rPr>
        <w:t xml:space="preserve"> v SM</w:t>
      </w:r>
      <w:r w:rsidR="0019690D">
        <w:rPr>
          <w:rStyle w:val="FootnoteReference"/>
          <w:rFonts w:ascii="Times New Roman" w:hAnsi="Times New Roman" w:cs="Times New Roman"/>
          <w:sz w:val="28"/>
          <w:szCs w:val="28"/>
        </w:rPr>
        <w:footnoteReference w:id="14"/>
      </w:r>
      <w:r w:rsidR="0019690D" w:rsidRPr="00224014">
        <w:rPr>
          <w:rFonts w:ascii="Times New Roman" w:hAnsi="Times New Roman" w:cs="Times New Roman"/>
          <w:sz w:val="28"/>
          <w:szCs w:val="28"/>
        </w:rPr>
        <w:t xml:space="preserve"> where </w:t>
      </w:r>
      <w:proofErr w:type="spellStart"/>
      <w:r w:rsidR="0019690D" w:rsidRPr="00224014">
        <w:rPr>
          <w:rFonts w:ascii="Times New Roman" w:hAnsi="Times New Roman" w:cs="Times New Roman"/>
          <w:sz w:val="28"/>
          <w:szCs w:val="28"/>
        </w:rPr>
        <w:t>Dambuza</w:t>
      </w:r>
      <w:proofErr w:type="spellEnd"/>
      <w:r w:rsidR="0019690D" w:rsidRPr="00224014">
        <w:rPr>
          <w:rFonts w:ascii="Times New Roman" w:hAnsi="Times New Roman" w:cs="Times New Roman"/>
          <w:sz w:val="28"/>
          <w:szCs w:val="28"/>
        </w:rPr>
        <w:t xml:space="preserve"> JA (at [19]) said the following:</w:t>
      </w:r>
    </w:p>
    <w:p w14:paraId="0E630ED5" w14:textId="77777777" w:rsidR="006A294B" w:rsidRDefault="006A294B" w:rsidP="006A294B">
      <w:pPr>
        <w:pStyle w:val="ListParagraph"/>
        <w:spacing w:line="360" w:lineRule="auto"/>
        <w:jc w:val="both"/>
        <w:rPr>
          <w:rFonts w:ascii="Times New Roman" w:hAnsi="Times New Roman" w:cs="Times New Roman"/>
          <w:sz w:val="28"/>
          <w:szCs w:val="28"/>
        </w:rPr>
      </w:pPr>
    </w:p>
    <w:p w14:paraId="093CAF9D" w14:textId="77777777" w:rsidR="0019690D" w:rsidRDefault="0019690D" w:rsidP="0019690D">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‘An inquiry into whether a potential witness can distinguish between truth and falsity goes to whether the witness is competent in the first place. On the other hand, a question directed to a witness on whether he or she understands the nature and import of the oath and affirmation goes to whether the witness should be caused to take the oath or affirmation, or should be admonished to speak the truth in terms of s 164(1).’</w:t>
      </w:r>
    </w:p>
    <w:p w14:paraId="7829D048" w14:textId="77777777" w:rsidR="00A27C37" w:rsidRDefault="00A27C37" w:rsidP="0019690D">
      <w:pPr>
        <w:pStyle w:val="ListParagraph"/>
        <w:spacing w:line="360" w:lineRule="auto"/>
        <w:jc w:val="both"/>
        <w:rPr>
          <w:rFonts w:ascii="Times New Roman" w:hAnsi="Times New Roman" w:cs="Times New Roman"/>
          <w:sz w:val="24"/>
          <w:szCs w:val="24"/>
        </w:rPr>
      </w:pPr>
    </w:p>
    <w:p w14:paraId="77284779" w14:textId="50768A72" w:rsidR="000612D6" w:rsidRPr="00224014" w:rsidRDefault="00224014" w:rsidP="00224014">
      <w:pPr>
        <w:spacing w:line="360" w:lineRule="auto"/>
        <w:jc w:val="both"/>
        <w:rPr>
          <w:rFonts w:ascii="Times New Roman" w:hAnsi="Times New Roman" w:cs="Times New Roman"/>
          <w:sz w:val="28"/>
          <w:szCs w:val="28"/>
        </w:rPr>
      </w:pPr>
      <w:r>
        <w:rPr>
          <w:rFonts w:ascii="Times New Roman" w:hAnsi="Times New Roman" w:cs="Times New Roman"/>
          <w:sz w:val="28"/>
          <w:szCs w:val="28"/>
        </w:rPr>
        <w:t>[26]</w:t>
      </w:r>
      <w:r>
        <w:rPr>
          <w:rFonts w:ascii="Times New Roman" w:hAnsi="Times New Roman" w:cs="Times New Roman"/>
          <w:sz w:val="28"/>
          <w:szCs w:val="28"/>
        </w:rPr>
        <w:tab/>
      </w:r>
      <w:r w:rsidR="0019690D" w:rsidRPr="00224014">
        <w:rPr>
          <w:rFonts w:ascii="Times New Roman" w:hAnsi="Times New Roman" w:cs="Times New Roman"/>
          <w:sz w:val="28"/>
          <w:szCs w:val="28"/>
        </w:rPr>
        <w:t xml:space="preserve">In </w:t>
      </w:r>
      <w:proofErr w:type="spellStart"/>
      <w:r w:rsidR="0019690D" w:rsidRPr="00224014">
        <w:rPr>
          <w:rFonts w:ascii="Times New Roman" w:hAnsi="Times New Roman" w:cs="Times New Roman"/>
          <w:i/>
          <w:sz w:val="28"/>
          <w:szCs w:val="28"/>
        </w:rPr>
        <w:t>Haarhoff</w:t>
      </w:r>
      <w:proofErr w:type="spellEnd"/>
      <w:r w:rsidR="0019690D" w:rsidRPr="00224014">
        <w:rPr>
          <w:rFonts w:ascii="Times New Roman" w:hAnsi="Times New Roman" w:cs="Times New Roman"/>
          <w:i/>
          <w:sz w:val="28"/>
          <w:szCs w:val="28"/>
        </w:rPr>
        <w:t xml:space="preserve"> &amp; another v Director of Public Prosecutions, Eastern Cape</w:t>
      </w:r>
      <w:r w:rsidR="00543E79" w:rsidRPr="00224014">
        <w:rPr>
          <w:rFonts w:ascii="Times New Roman" w:hAnsi="Times New Roman" w:cs="Times New Roman"/>
          <w:i/>
          <w:sz w:val="28"/>
          <w:szCs w:val="28"/>
        </w:rPr>
        <w:t>,</w:t>
      </w:r>
      <w:r w:rsidR="0019690D">
        <w:rPr>
          <w:rStyle w:val="FootnoteReference"/>
          <w:rFonts w:ascii="Times New Roman" w:hAnsi="Times New Roman" w:cs="Times New Roman"/>
          <w:i/>
          <w:sz w:val="28"/>
          <w:szCs w:val="28"/>
        </w:rPr>
        <w:footnoteReference w:id="15"/>
      </w:r>
      <w:r w:rsidR="00543E79" w:rsidRPr="00224014">
        <w:rPr>
          <w:rFonts w:ascii="Times New Roman" w:hAnsi="Times New Roman" w:cs="Times New Roman"/>
          <w:sz w:val="28"/>
          <w:szCs w:val="28"/>
        </w:rPr>
        <w:t xml:space="preserve"> the court pointed out that competence was a question to be determined by the trial court at the outset, and that the inquiries under s</w:t>
      </w:r>
      <w:r w:rsidR="00C54F56" w:rsidRPr="00224014">
        <w:rPr>
          <w:rFonts w:ascii="Times New Roman" w:hAnsi="Times New Roman" w:cs="Times New Roman"/>
          <w:sz w:val="28"/>
          <w:szCs w:val="28"/>
        </w:rPr>
        <w:t>s</w:t>
      </w:r>
      <w:r w:rsidR="00543E79" w:rsidRPr="00224014">
        <w:rPr>
          <w:rFonts w:ascii="Times New Roman" w:hAnsi="Times New Roman" w:cs="Times New Roman"/>
          <w:sz w:val="28"/>
          <w:szCs w:val="28"/>
        </w:rPr>
        <w:t xml:space="preserve"> 162 and 164 should be engaged only once the witness is found competent to testify. Courts </w:t>
      </w:r>
      <w:r w:rsidR="006A294B" w:rsidRPr="00224014">
        <w:rPr>
          <w:rFonts w:ascii="Times New Roman" w:hAnsi="Times New Roman" w:cs="Times New Roman"/>
          <w:sz w:val="28"/>
          <w:szCs w:val="28"/>
        </w:rPr>
        <w:t>tend to either lack an a</w:t>
      </w:r>
      <w:r w:rsidR="00C54F56" w:rsidRPr="00224014">
        <w:rPr>
          <w:rFonts w:ascii="Times New Roman" w:hAnsi="Times New Roman" w:cs="Times New Roman"/>
          <w:sz w:val="28"/>
          <w:szCs w:val="28"/>
        </w:rPr>
        <w:t>ppreciation of the two-pronged i</w:t>
      </w:r>
      <w:r w:rsidR="006A294B" w:rsidRPr="00224014">
        <w:rPr>
          <w:rFonts w:ascii="Times New Roman" w:hAnsi="Times New Roman" w:cs="Times New Roman"/>
          <w:sz w:val="28"/>
          <w:szCs w:val="28"/>
        </w:rPr>
        <w:t>nquiry into competence on the one hand</w:t>
      </w:r>
      <w:r w:rsidR="00E04A8D" w:rsidRPr="00224014">
        <w:rPr>
          <w:rFonts w:ascii="Times New Roman" w:hAnsi="Times New Roman" w:cs="Times New Roman"/>
          <w:sz w:val="28"/>
          <w:szCs w:val="28"/>
        </w:rPr>
        <w:t>,</w:t>
      </w:r>
      <w:r w:rsidR="006A294B" w:rsidRPr="00224014">
        <w:rPr>
          <w:rFonts w:ascii="Times New Roman" w:hAnsi="Times New Roman" w:cs="Times New Roman"/>
          <w:sz w:val="28"/>
          <w:szCs w:val="28"/>
        </w:rPr>
        <w:t xml:space="preserve"> and </w:t>
      </w:r>
      <w:r w:rsidR="006A294B" w:rsidRPr="00224014">
        <w:rPr>
          <w:rFonts w:ascii="Times New Roman" w:hAnsi="Times New Roman" w:cs="Times New Roman"/>
          <w:sz w:val="28"/>
          <w:szCs w:val="28"/>
        </w:rPr>
        <w:lastRenderedPageBreak/>
        <w:t>the ability to take the oath/affirmation on the other, or they</w:t>
      </w:r>
      <w:r w:rsidR="00C90E42" w:rsidRPr="00224014">
        <w:rPr>
          <w:rFonts w:ascii="Times New Roman" w:hAnsi="Times New Roman" w:cs="Times New Roman"/>
          <w:sz w:val="28"/>
          <w:szCs w:val="28"/>
        </w:rPr>
        <w:t xml:space="preserve"> are inclined to conflate the inquiries in a way that makes it difficult to evaluate whether both</w:t>
      </w:r>
      <w:r w:rsidR="000612D6" w:rsidRPr="00224014">
        <w:rPr>
          <w:rFonts w:ascii="Times New Roman" w:hAnsi="Times New Roman" w:cs="Times New Roman"/>
          <w:sz w:val="28"/>
          <w:szCs w:val="28"/>
        </w:rPr>
        <w:t xml:space="preserve"> have been addressed adequately.</w:t>
      </w:r>
    </w:p>
    <w:p w14:paraId="5F4AEDC2" w14:textId="77777777" w:rsidR="000612D6" w:rsidRDefault="000612D6" w:rsidP="000612D6">
      <w:pPr>
        <w:pStyle w:val="ListParagraph"/>
        <w:spacing w:line="360" w:lineRule="auto"/>
        <w:ind w:left="0"/>
        <w:jc w:val="both"/>
        <w:rPr>
          <w:rFonts w:ascii="Times New Roman" w:hAnsi="Times New Roman" w:cs="Times New Roman"/>
          <w:sz w:val="28"/>
          <w:szCs w:val="28"/>
        </w:rPr>
      </w:pPr>
    </w:p>
    <w:p w14:paraId="58900E9B" w14:textId="55FF2914" w:rsidR="000612D6" w:rsidRPr="00224014" w:rsidRDefault="00224014" w:rsidP="00224014">
      <w:pPr>
        <w:spacing w:line="360" w:lineRule="auto"/>
        <w:jc w:val="both"/>
        <w:rPr>
          <w:rFonts w:ascii="Times New Roman" w:hAnsi="Times New Roman" w:cs="Times New Roman"/>
          <w:sz w:val="28"/>
          <w:szCs w:val="28"/>
        </w:rPr>
      </w:pPr>
      <w:r>
        <w:rPr>
          <w:rFonts w:ascii="Times New Roman" w:hAnsi="Times New Roman" w:cs="Times New Roman"/>
          <w:sz w:val="28"/>
          <w:szCs w:val="28"/>
        </w:rPr>
        <w:t>[27]</w:t>
      </w:r>
      <w:r>
        <w:rPr>
          <w:rFonts w:ascii="Times New Roman" w:hAnsi="Times New Roman" w:cs="Times New Roman"/>
          <w:sz w:val="28"/>
          <w:szCs w:val="28"/>
        </w:rPr>
        <w:tab/>
      </w:r>
      <w:r w:rsidR="003C0D7D" w:rsidRPr="00224014">
        <w:rPr>
          <w:rFonts w:ascii="Times New Roman" w:hAnsi="Times New Roman" w:cs="Times New Roman"/>
          <w:sz w:val="28"/>
          <w:szCs w:val="28"/>
        </w:rPr>
        <w:t>In the matter before us, the trial court embarked on neither of th</w:t>
      </w:r>
      <w:r w:rsidR="006A294B" w:rsidRPr="00224014">
        <w:rPr>
          <w:rFonts w:ascii="Times New Roman" w:hAnsi="Times New Roman" w:cs="Times New Roman"/>
          <w:sz w:val="28"/>
          <w:szCs w:val="28"/>
        </w:rPr>
        <w:t>ese inquiries. It did not</w:t>
      </w:r>
      <w:r w:rsidR="003C0D7D" w:rsidRPr="00224014">
        <w:rPr>
          <w:rFonts w:ascii="Times New Roman" w:hAnsi="Times New Roman" w:cs="Times New Roman"/>
          <w:sz w:val="28"/>
          <w:szCs w:val="28"/>
        </w:rPr>
        <w:t xml:space="preserve"> inquire whether Lisa understood the difference between truth an</w:t>
      </w:r>
      <w:r w:rsidR="00C54F56" w:rsidRPr="00224014">
        <w:rPr>
          <w:rFonts w:ascii="Times New Roman" w:hAnsi="Times New Roman" w:cs="Times New Roman"/>
          <w:sz w:val="28"/>
          <w:szCs w:val="28"/>
        </w:rPr>
        <w:t>d falsehood. Nor did it inquire</w:t>
      </w:r>
      <w:r w:rsidR="003C0D7D" w:rsidRPr="00224014">
        <w:rPr>
          <w:rFonts w:ascii="Times New Roman" w:hAnsi="Times New Roman" w:cs="Times New Roman"/>
          <w:sz w:val="28"/>
          <w:szCs w:val="28"/>
        </w:rPr>
        <w:t xml:space="preserve"> whether she understood what it meant to take the oath before admonis</w:t>
      </w:r>
      <w:r w:rsidR="00C54F56" w:rsidRPr="00224014">
        <w:rPr>
          <w:rFonts w:ascii="Times New Roman" w:hAnsi="Times New Roman" w:cs="Times New Roman"/>
          <w:sz w:val="28"/>
          <w:szCs w:val="28"/>
        </w:rPr>
        <w:t>hing her. In principle</w:t>
      </w:r>
      <w:r w:rsidR="0013224A" w:rsidRPr="00224014">
        <w:rPr>
          <w:rFonts w:ascii="Times New Roman" w:hAnsi="Times New Roman" w:cs="Times New Roman"/>
          <w:sz w:val="28"/>
          <w:szCs w:val="28"/>
        </w:rPr>
        <w:t xml:space="preserve"> I have no particular reservations </w:t>
      </w:r>
      <w:r w:rsidR="003C0D7D" w:rsidRPr="00224014">
        <w:rPr>
          <w:rFonts w:ascii="Times New Roman" w:hAnsi="Times New Roman" w:cs="Times New Roman"/>
          <w:sz w:val="28"/>
          <w:szCs w:val="28"/>
        </w:rPr>
        <w:t xml:space="preserve">about what the magistrate said to </w:t>
      </w:r>
      <w:r w:rsidR="00E04A8D" w:rsidRPr="00224014">
        <w:rPr>
          <w:rFonts w:ascii="Times New Roman" w:hAnsi="Times New Roman" w:cs="Times New Roman"/>
          <w:sz w:val="28"/>
          <w:szCs w:val="28"/>
        </w:rPr>
        <w:t>her as captured in paragraph [19</w:t>
      </w:r>
      <w:r w:rsidR="003C0D7D" w:rsidRPr="00224014">
        <w:rPr>
          <w:rFonts w:ascii="Times New Roman" w:hAnsi="Times New Roman" w:cs="Times New Roman"/>
          <w:sz w:val="28"/>
          <w:szCs w:val="28"/>
        </w:rPr>
        <w:t xml:space="preserve">] of this judgment. I say so because, as was stated by </w:t>
      </w:r>
      <w:proofErr w:type="spellStart"/>
      <w:r w:rsidR="003C0D7D" w:rsidRPr="00224014">
        <w:rPr>
          <w:rFonts w:ascii="Times New Roman" w:hAnsi="Times New Roman" w:cs="Times New Roman"/>
          <w:sz w:val="28"/>
          <w:szCs w:val="28"/>
        </w:rPr>
        <w:t>Malusi</w:t>
      </w:r>
      <w:proofErr w:type="spellEnd"/>
      <w:r w:rsidR="003C0D7D" w:rsidRPr="00224014">
        <w:rPr>
          <w:rFonts w:ascii="Times New Roman" w:hAnsi="Times New Roman" w:cs="Times New Roman"/>
          <w:sz w:val="28"/>
          <w:szCs w:val="28"/>
        </w:rPr>
        <w:t xml:space="preserve"> J in </w:t>
      </w:r>
      <w:r w:rsidR="003C0D7D" w:rsidRPr="00224014">
        <w:rPr>
          <w:rFonts w:ascii="Times New Roman" w:hAnsi="Times New Roman" w:cs="Times New Roman"/>
          <w:i/>
          <w:sz w:val="28"/>
          <w:szCs w:val="28"/>
        </w:rPr>
        <w:t>S v Mali</w:t>
      </w:r>
      <w:r w:rsidR="00E04A8D" w:rsidRPr="00224014">
        <w:rPr>
          <w:rFonts w:ascii="Times New Roman" w:hAnsi="Times New Roman" w:cs="Times New Roman"/>
          <w:i/>
          <w:sz w:val="28"/>
          <w:szCs w:val="28"/>
        </w:rPr>
        <w:t>,</w:t>
      </w:r>
      <w:r w:rsidR="003C0D7D">
        <w:rPr>
          <w:rStyle w:val="FootnoteReference"/>
          <w:rFonts w:ascii="Times New Roman" w:hAnsi="Times New Roman" w:cs="Times New Roman"/>
          <w:i/>
          <w:sz w:val="28"/>
          <w:szCs w:val="28"/>
        </w:rPr>
        <w:footnoteReference w:id="16"/>
      </w:r>
      <w:r w:rsidR="00E91F97" w:rsidRPr="00224014">
        <w:rPr>
          <w:rFonts w:ascii="Times New Roman" w:hAnsi="Times New Roman" w:cs="Times New Roman"/>
          <w:i/>
          <w:sz w:val="28"/>
          <w:szCs w:val="28"/>
        </w:rPr>
        <w:t xml:space="preserve"> </w:t>
      </w:r>
      <w:r w:rsidR="00E91F97" w:rsidRPr="00224014">
        <w:rPr>
          <w:rFonts w:ascii="Times New Roman" w:hAnsi="Times New Roman" w:cs="Times New Roman"/>
          <w:sz w:val="28"/>
          <w:szCs w:val="28"/>
        </w:rPr>
        <w:t>‘admonish’ by virtue of the dictionary definition of the word, means to ‘reprimand firmly; urgently urge or warn’. It seems that this was</w:t>
      </w:r>
      <w:r w:rsidR="0013224A" w:rsidRPr="00224014">
        <w:rPr>
          <w:rFonts w:ascii="Times New Roman" w:hAnsi="Times New Roman" w:cs="Times New Roman"/>
          <w:sz w:val="28"/>
          <w:szCs w:val="28"/>
        </w:rPr>
        <w:t xml:space="preserve"> done in the matter before us. The</w:t>
      </w:r>
      <w:r w:rsidR="001150D9" w:rsidRPr="00224014">
        <w:rPr>
          <w:rFonts w:ascii="Times New Roman" w:hAnsi="Times New Roman" w:cs="Times New Roman"/>
          <w:sz w:val="28"/>
          <w:szCs w:val="28"/>
        </w:rPr>
        <w:t xml:space="preserve"> fatal</w:t>
      </w:r>
      <w:r w:rsidR="0013224A" w:rsidRPr="00224014">
        <w:rPr>
          <w:rFonts w:ascii="Times New Roman" w:hAnsi="Times New Roman" w:cs="Times New Roman"/>
          <w:sz w:val="28"/>
          <w:szCs w:val="28"/>
        </w:rPr>
        <w:t xml:space="preserve"> issue is that it was not</w:t>
      </w:r>
      <w:r w:rsidR="00E91F97" w:rsidRPr="00224014">
        <w:rPr>
          <w:rFonts w:ascii="Times New Roman" w:hAnsi="Times New Roman" w:cs="Times New Roman"/>
          <w:sz w:val="28"/>
          <w:szCs w:val="28"/>
        </w:rPr>
        <w:t xml:space="preserve"> preceded by the two-pronged inquiry which I have referred to. Simply put, this court does not know whether Lisa, on the one hand, was able to take the oath in terms of the peremptory provision contained in s</w:t>
      </w:r>
      <w:r w:rsidR="00E04A8D" w:rsidRPr="00224014">
        <w:rPr>
          <w:rFonts w:ascii="Times New Roman" w:hAnsi="Times New Roman" w:cs="Times New Roman"/>
          <w:sz w:val="28"/>
          <w:szCs w:val="28"/>
        </w:rPr>
        <w:t>ection</w:t>
      </w:r>
      <w:r w:rsidR="00E91F97" w:rsidRPr="00224014">
        <w:rPr>
          <w:rFonts w:ascii="Times New Roman" w:hAnsi="Times New Roman" w:cs="Times New Roman"/>
          <w:sz w:val="28"/>
          <w:szCs w:val="28"/>
        </w:rPr>
        <w:t xml:space="preserve"> 162(1), or whether, on the other hand, she did not understand the difference between the truth and lies, which, if it were the case, would have rendered a</w:t>
      </w:r>
      <w:r w:rsidR="00C54F56" w:rsidRPr="00224014">
        <w:rPr>
          <w:rFonts w:ascii="Times New Roman" w:hAnsi="Times New Roman" w:cs="Times New Roman"/>
          <w:sz w:val="28"/>
          <w:szCs w:val="28"/>
        </w:rPr>
        <w:t>ny warning to speak the truth, a nullity.</w:t>
      </w:r>
    </w:p>
    <w:p w14:paraId="298D3610" w14:textId="77777777" w:rsidR="000612D6" w:rsidRPr="000612D6" w:rsidRDefault="000612D6" w:rsidP="000612D6">
      <w:pPr>
        <w:pStyle w:val="ListParagraph"/>
        <w:rPr>
          <w:rFonts w:ascii="Times New Roman" w:hAnsi="Times New Roman" w:cs="Times New Roman"/>
          <w:sz w:val="28"/>
          <w:szCs w:val="28"/>
        </w:rPr>
      </w:pPr>
    </w:p>
    <w:p w14:paraId="295FD0EA" w14:textId="0FE92E1B" w:rsidR="000612D6" w:rsidRPr="00224014" w:rsidRDefault="00224014" w:rsidP="00224014">
      <w:pPr>
        <w:spacing w:line="360" w:lineRule="auto"/>
        <w:jc w:val="both"/>
        <w:rPr>
          <w:rFonts w:ascii="Times New Roman" w:hAnsi="Times New Roman" w:cs="Times New Roman"/>
          <w:sz w:val="28"/>
          <w:szCs w:val="28"/>
        </w:rPr>
      </w:pPr>
      <w:r>
        <w:rPr>
          <w:rFonts w:ascii="Times New Roman" w:hAnsi="Times New Roman" w:cs="Times New Roman"/>
          <w:sz w:val="28"/>
          <w:szCs w:val="28"/>
        </w:rPr>
        <w:t>[28]</w:t>
      </w:r>
      <w:r>
        <w:rPr>
          <w:rFonts w:ascii="Times New Roman" w:hAnsi="Times New Roman" w:cs="Times New Roman"/>
          <w:sz w:val="28"/>
          <w:szCs w:val="28"/>
        </w:rPr>
        <w:tab/>
      </w:r>
      <w:r w:rsidR="005F02D7" w:rsidRPr="00224014">
        <w:rPr>
          <w:rFonts w:ascii="Times New Roman" w:hAnsi="Times New Roman" w:cs="Times New Roman"/>
          <w:sz w:val="28"/>
          <w:szCs w:val="28"/>
        </w:rPr>
        <w:t>Th</w:t>
      </w:r>
      <w:r w:rsidR="001150D9" w:rsidRPr="00224014">
        <w:rPr>
          <w:rFonts w:ascii="Times New Roman" w:hAnsi="Times New Roman" w:cs="Times New Roman"/>
          <w:sz w:val="28"/>
          <w:szCs w:val="28"/>
        </w:rPr>
        <w:t>is does not mean that this type of essential</w:t>
      </w:r>
      <w:r w:rsidR="005F02D7" w:rsidRPr="00224014">
        <w:rPr>
          <w:rFonts w:ascii="Times New Roman" w:hAnsi="Times New Roman" w:cs="Times New Roman"/>
          <w:sz w:val="28"/>
          <w:szCs w:val="28"/>
        </w:rPr>
        <w:t xml:space="preserve"> inquiry needs to be conducted in an overly technical manner. As explained by the authors </w:t>
      </w:r>
      <w:proofErr w:type="spellStart"/>
      <w:r w:rsidR="005F02D7" w:rsidRPr="00224014">
        <w:rPr>
          <w:rFonts w:ascii="Times New Roman" w:hAnsi="Times New Roman" w:cs="Times New Roman"/>
          <w:sz w:val="28"/>
          <w:szCs w:val="28"/>
        </w:rPr>
        <w:t>Banoobhai</w:t>
      </w:r>
      <w:proofErr w:type="spellEnd"/>
      <w:r w:rsidR="005F02D7" w:rsidRPr="00224014">
        <w:rPr>
          <w:rFonts w:ascii="Times New Roman" w:hAnsi="Times New Roman" w:cs="Times New Roman"/>
          <w:sz w:val="28"/>
          <w:szCs w:val="28"/>
        </w:rPr>
        <w:t xml:space="preserve"> &amp; </w:t>
      </w:r>
      <w:proofErr w:type="spellStart"/>
      <w:r w:rsidR="005F02D7" w:rsidRPr="00224014">
        <w:rPr>
          <w:rFonts w:ascii="Times New Roman" w:hAnsi="Times New Roman" w:cs="Times New Roman"/>
          <w:sz w:val="28"/>
          <w:szCs w:val="28"/>
        </w:rPr>
        <w:t>Whitear</w:t>
      </w:r>
      <w:proofErr w:type="spellEnd"/>
      <w:r w:rsidR="005F02D7" w:rsidRPr="00224014">
        <w:rPr>
          <w:rFonts w:ascii="Times New Roman" w:hAnsi="Times New Roman" w:cs="Times New Roman"/>
          <w:sz w:val="28"/>
          <w:szCs w:val="28"/>
        </w:rPr>
        <w:t xml:space="preserve">-Nel 2013 </w:t>
      </w:r>
      <w:r w:rsidR="005F02D7" w:rsidRPr="00224014">
        <w:rPr>
          <w:rFonts w:ascii="Times New Roman" w:hAnsi="Times New Roman" w:cs="Times New Roman"/>
          <w:i/>
          <w:sz w:val="28"/>
          <w:szCs w:val="28"/>
        </w:rPr>
        <w:t xml:space="preserve">Obiter </w:t>
      </w:r>
      <w:r w:rsidR="005F02D7" w:rsidRPr="00224014">
        <w:rPr>
          <w:rFonts w:ascii="Times New Roman" w:hAnsi="Times New Roman" w:cs="Times New Roman"/>
          <w:sz w:val="28"/>
          <w:szCs w:val="28"/>
        </w:rPr>
        <w:t>359 at 364,</w:t>
      </w:r>
      <w:r w:rsidR="0013224A" w:rsidRPr="00224014">
        <w:rPr>
          <w:rFonts w:ascii="Times New Roman" w:hAnsi="Times New Roman" w:cs="Times New Roman"/>
          <w:sz w:val="28"/>
          <w:szCs w:val="28"/>
        </w:rPr>
        <w:t xml:space="preserve"> the trial court should</w:t>
      </w:r>
      <w:r w:rsidR="00744389" w:rsidRPr="00224014">
        <w:rPr>
          <w:rFonts w:ascii="Times New Roman" w:hAnsi="Times New Roman" w:cs="Times New Roman"/>
          <w:sz w:val="28"/>
          <w:szCs w:val="28"/>
        </w:rPr>
        <w:t xml:space="preserve"> explore what it is to tell a lie. It should explore whether </w:t>
      </w:r>
      <w:r w:rsidR="001150D9" w:rsidRPr="00224014">
        <w:rPr>
          <w:rFonts w:ascii="Times New Roman" w:hAnsi="Times New Roman" w:cs="Times New Roman"/>
          <w:sz w:val="28"/>
          <w:szCs w:val="28"/>
        </w:rPr>
        <w:t xml:space="preserve">the </w:t>
      </w:r>
      <w:r w:rsidR="00744389" w:rsidRPr="00224014">
        <w:rPr>
          <w:rFonts w:ascii="Times New Roman" w:hAnsi="Times New Roman" w:cs="Times New Roman"/>
          <w:sz w:val="28"/>
          <w:szCs w:val="28"/>
        </w:rPr>
        <w:t>witness understands what it means to deliberately deceive another by ‘providing inaccurate, incomplete or otherwise misleading information.’</w:t>
      </w:r>
      <w:r w:rsidR="0013224A" w:rsidRPr="00224014">
        <w:rPr>
          <w:rFonts w:ascii="Times New Roman" w:hAnsi="Times New Roman" w:cs="Times New Roman"/>
          <w:sz w:val="28"/>
          <w:szCs w:val="28"/>
        </w:rPr>
        <w:t xml:space="preserve"> </w:t>
      </w:r>
      <w:r w:rsidR="005F02D7" w:rsidRPr="00224014">
        <w:rPr>
          <w:rFonts w:ascii="Times New Roman" w:hAnsi="Times New Roman" w:cs="Times New Roman"/>
          <w:sz w:val="28"/>
          <w:szCs w:val="28"/>
        </w:rPr>
        <w:t xml:space="preserve"> </w:t>
      </w:r>
      <w:r w:rsidR="00744389" w:rsidRPr="00224014">
        <w:rPr>
          <w:rFonts w:ascii="Times New Roman" w:hAnsi="Times New Roman" w:cs="Times New Roman"/>
          <w:sz w:val="28"/>
          <w:szCs w:val="28"/>
        </w:rPr>
        <w:t>The authors point to international literature which suggests the</w:t>
      </w:r>
      <w:r w:rsidR="0013224A" w:rsidRPr="00224014">
        <w:rPr>
          <w:rFonts w:ascii="Times New Roman" w:hAnsi="Times New Roman" w:cs="Times New Roman"/>
          <w:sz w:val="28"/>
          <w:szCs w:val="28"/>
        </w:rPr>
        <w:t xml:space="preserve"> use of simple identification questions that reduce the use of language in assessin</w:t>
      </w:r>
      <w:r w:rsidR="00744389" w:rsidRPr="00224014">
        <w:rPr>
          <w:rFonts w:ascii="Times New Roman" w:hAnsi="Times New Roman" w:cs="Times New Roman"/>
          <w:sz w:val="28"/>
          <w:szCs w:val="28"/>
        </w:rPr>
        <w:t xml:space="preserve">g the understanding </w:t>
      </w:r>
      <w:r w:rsidR="0013224A" w:rsidRPr="00224014">
        <w:rPr>
          <w:rFonts w:ascii="Times New Roman" w:hAnsi="Times New Roman" w:cs="Times New Roman"/>
          <w:sz w:val="28"/>
          <w:szCs w:val="28"/>
        </w:rPr>
        <w:t>of the concept of</w:t>
      </w:r>
      <w:r w:rsidR="00744389" w:rsidRPr="00224014">
        <w:rPr>
          <w:rFonts w:ascii="Times New Roman" w:hAnsi="Times New Roman" w:cs="Times New Roman"/>
          <w:sz w:val="28"/>
          <w:szCs w:val="28"/>
        </w:rPr>
        <w:t xml:space="preserve"> truthfulness</w:t>
      </w:r>
      <w:r w:rsidR="001150D9" w:rsidRPr="00224014">
        <w:rPr>
          <w:rFonts w:ascii="Times New Roman" w:hAnsi="Times New Roman" w:cs="Times New Roman"/>
          <w:sz w:val="28"/>
          <w:szCs w:val="28"/>
        </w:rPr>
        <w:t>,</w:t>
      </w:r>
      <w:r w:rsidR="00744389" w:rsidRPr="00224014">
        <w:rPr>
          <w:rFonts w:ascii="Times New Roman" w:hAnsi="Times New Roman" w:cs="Times New Roman"/>
          <w:sz w:val="28"/>
          <w:szCs w:val="28"/>
        </w:rPr>
        <w:t xml:space="preserve"> as having been found to be most </w:t>
      </w:r>
      <w:r w:rsidR="00744389" w:rsidRPr="00224014">
        <w:rPr>
          <w:rFonts w:ascii="Times New Roman" w:hAnsi="Times New Roman" w:cs="Times New Roman"/>
          <w:sz w:val="28"/>
          <w:szCs w:val="28"/>
        </w:rPr>
        <w:lastRenderedPageBreak/>
        <w:t xml:space="preserve">effective. </w:t>
      </w:r>
      <w:r w:rsidR="0013224A" w:rsidRPr="00224014">
        <w:rPr>
          <w:rFonts w:ascii="Times New Roman" w:hAnsi="Times New Roman" w:cs="Times New Roman"/>
          <w:sz w:val="28"/>
          <w:szCs w:val="28"/>
        </w:rPr>
        <w:t xml:space="preserve"> By way of example, a simple </w:t>
      </w:r>
      <w:r w:rsidR="001150D9" w:rsidRPr="00224014">
        <w:rPr>
          <w:rFonts w:ascii="Times New Roman" w:hAnsi="Times New Roman" w:cs="Times New Roman"/>
          <w:sz w:val="28"/>
          <w:szCs w:val="28"/>
        </w:rPr>
        <w:t>scenario may be put to the witness</w:t>
      </w:r>
      <w:r w:rsidR="0013224A" w:rsidRPr="00224014">
        <w:rPr>
          <w:rFonts w:ascii="Times New Roman" w:hAnsi="Times New Roman" w:cs="Times New Roman"/>
          <w:sz w:val="28"/>
          <w:szCs w:val="28"/>
        </w:rPr>
        <w:t>, who is then asked to identify who is lying and who is telling the truth. The authors further point out that the fact that no standard test is used in South African courts leads to inconsistencies and exacerbates the danger that haphazard questions with no tested reliability and validity are used.</w:t>
      </w:r>
      <w:r w:rsidR="00744389" w:rsidRPr="00224014">
        <w:rPr>
          <w:rFonts w:ascii="Times New Roman" w:hAnsi="Times New Roman" w:cs="Times New Roman"/>
          <w:sz w:val="28"/>
          <w:szCs w:val="28"/>
        </w:rPr>
        <w:t xml:space="preserve"> </w:t>
      </w:r>
      <w:r w:rsidR="00F332AA" w:rsidRPr="00224014">
        <w:rPr>
          <w:rFonts w:ascii="Times New Roman" w:hAnsi="Times New Roman" w:cs="Times New Roman"/>
          <w:sz w:val="28"/>
          <w:szCs w:val="28"/>
        </w:rPr>
        <w:t xml:space="preserve">I </w:t>
      </w:r>
      <w:r w:rsidR="001150D9" w:rsidRPr="00224014">
        <w:rPr>
          <w:rFonts w:ascii="Times New Roman" w:hAnsi="Times New Roman" w:cs="Times New Roman"/>
          <w:sz w:val="28"/>
          <w:szCs w:val="28"/>
        </w:rPr>
        <w:t>am inclined to agree with this criticism.</w:t>
      </w:r>
      <w:r w:rsidR="00F332AA" w:rsidRPr="00224014">
        <w:rPr>
          <w:rFonts w:ascii="Times New Roman" w:hAnsi="Times New Roman" w:cs="Times New Roman"/>
          <w:sz w:val="28"/>
          <w:szCs w:val="28"/>
        </w:rPr>
        <w:t xml:space="preserve"> It is imperative for the court to establish at the outset, whether </w:t>
      </w:r>
      <w:r w:rsidR="001150D9" w:rsidRPr="00224014">
        <w:rPr>
          <w:rFonts w:ascii="Times New Roman" w:hAnsi="Times New Roman" w:cs="Times New Roman"/>
          <w:sz w:val="28"/>
          <w:szCs w:val="28"/>
        </w:rPr>
        <w:t>all prospective witnesses (irrespective of age, maturity or mental</w:t>
      </w:r>
      <w:r w:rsidR="00C54F56" w:rsidRPr="00224014">
        <w:rPr>
          <w:rFonts w:ascii="Times New Roman" w:hAnsi="Times New Roman" w:cs="Times New Roman"/>
          <w:sz w:val="28"/>
          <w:szCs w:val="28"/>
        </w:rPr>
        <w:t xml:space="preserve"> wellbeing) present with a prop</w:t>
      </w:r>
      <w:r w:rsidR="001150D9" w:rsidRPr="00224014">
        <w:rPr>
          <w:rFonts w:ascii="Times New Roman" w:hAnsi="Times New Roman" w:cs="Times New Roman"/>
          <w:sz w:val="28"/>
          <w:szCs w:val="28"/>
        </w:rPr>
        <w:t xml:space="preserve">er understanding of the </w:t>
      </w:r>
      <w:r w:rsidR="00F332AA" w:rsidRPr="00224014">
        <w:rPr>
          <w:rFonts w:ascii="Times New Roman" w:hAnsi="Times New Roman" w:cs="Times New Roman"/>
          <w:i/>
          <w:sz w:val="28"/>
          <w:szCs w:val="28"/>
        </w:rPr>
        <w:t xml:space="preserve">consequences </w:t>
      </w:r>
      <w:r w:rsidR="00F332AA" w:rsidRPr="00224014">
        <w:rPr>
          <w:rFonts w:ascii="Times New Roman" w:hAnsi="Times New Roman" w:cs="Times New Roman"/>
          <w:sz w:val="28"/>
          <w:szCs w:val="28"/>
        </w:rPr>
        <w:t>of testifying truthfully or not. If this</w:t>
      </w:r>
      <w:r w:rsidR="001150D9" w:rsidRPr="00224014">
        <w:rPr>
          <w:rFonts w:ascii="Times New Roman" w:hAnsi="Times New Roman" w:cs="Times New Roman"/>
          <w:sz w:val="28"/>
          <w:szCs w:val="28"/>
        </w:rPr>
        <w:t xml:space="preserve"> does not happen, the witness </w:t>
      </w:r>
      <w:r w:rsidR="00F332AA" w:rsidRPr="00224014">
        <w:rPr>
          <w:rFonts w:ascii="Times New Roman" w:hAnsi="Times New Roman" w:cs="Times New Roman"/>
          <w:sz w:val="28"/>
          <w:szCs w:val="28"/>
        </w:rPr>
        <w:t>h</w:t>
      </w:r>
      <w:r w:rsidR="000612D6" w:rsidRPr="00224014">
        <w:rPr>
          <w:rFonts w:ascii="Times New Roman" w:hAnsi="Times New Roman" w:cs="Times New Roman"/>
          <w:sz w:val="28"/>
          <w:szCs w:val="28"/>
        </w:rPr>
        <w:t>as not been properly admonished.</w:t>
      </w:r>
    </w:p>
    <w:p w14:paraId="5BDE7753" w14:textId="77777777" w:rsidR="000612D6" w:rsidRDefault="000612D6" w:rsidP="000612D6">
      <w:pPr>
        <w:pStyle w:val="ListParagraph"/>
        <w:spacing w:line="360" w:lineRule="auto"/>
        <w:ind w:left="0"/>
        <w:jc w:val="both"/>
        <w:rPr>
          <w:rFonts w:ascii="Times New Roman" w:hAnsi="Times New Roman" w:cs="Times New Roman"/>
          <w:sz w:val="28"/>
          <w:szCs w:val="28"/>
        </w:rPr>
      </w:pPr>
    </w:p>
    <w:p w14:paraId="00948E96" w14:textId="62E682FF" w:rsidR="001150D9" w:rsidRPr="00224014" w:rsidRDefault="00224014" w:rsidP="00224014">
      <w:pPr>
        <w:spacing w:line="360" w:lineRule="auto"/>
        <w:jc w:val="both"/>
        <w:rPr>
          <w:rFonts w:ascii="Times New Roman" w:hAnsi="Times New Roman" w:cs="Times New Roman"/>
          <w:sz w:val="28"/>
          <w:szCs w:val="28"/>
        </w:rPr>
      </w:pPr>
      <w:r w:rsidRPr="000612D6">
        <w:rPr>
          <w:rFonts w:ascii="Times New Roman" w:hAnsi="Times New Roman" w:cs="Times New Roman"/>
          <w:sz w:val="28"/>
          <w:szCs w:val="28"/>
        </w:rPr>
        <w:t>[29]</w:t>
      </w:r>
      <w:r w:rsidRPr="000612D6">
        <w:rPr>
          <w:rFonts w:ascii="Times New Roman" w:hAnsi="Times New Roman" w:cs="Times New Roman"/>
          <w:sz w:val="28"/>
          <w:szCs w:val="28"/>
        </w:rPr>
        <w:tab/>
      </w:r>
      <w:r w:rsidR="00B72DAA" w:rsidRPr="00224014">
        <w:rPr>
          <w:rFonts w:ascii="Times New Roman" w:hAnsi="Times New Roman" w:cs="Times New Roman"/>
          <w:sz w:val="28"/>
          <w:szCs w:val="28"/>
        </w:rPr>
        <w:t>The fact</w:t>
      </w:r>
      <w:r w:rsidR="00E04A8D" w:rsidRPr="00224014">
        <w:rPr>
          <w:rFonts w:ascii="Times New Roman" w:hAnsi="Times New Roman" w:cs="Times New Roman"/>
          <w:sz w:val="28"/>
          <w:szCs w:val="28"/>
        </w:rPr>
        <w:t xml:space="preserve"> that Lisa testified that she was</w:t>
      </w:r>
      <w:r w:rsidR="00B72DAA" w:rsidRPr="00224014">
        <w:rPr>
          <w:rFonts w:ascii="Times New Roman" w:hAnsi="Times New Roman" w:cs="Times New Roman"/>
          <w:sz w:val="28"/>
          <w:szCs w:val="28"/>
        </w:rPr>
        <w:t xml:space="preserve"> 15 years old</w:t>
      </w:r>
      <w:r w:rsidR="00E21DF4" w:rsidRPr="00224014">
        <w:rPr>
          <w:rFonts w:ascii="Times New Roman" w:hAnsi="Times New Roman" w:cs="Times New Roman"/>
          <w:sz w:val="28"/>
          <w:szCs w:val="28"/>
        </w:rPr>
        <w:t>, which would</w:t>
      </w:r>
      <w:r w:rsidR="00C54F56" w:rsidRPr="00224014">
        <w:rPr>
          <w:rFonts w:ascii="Times New Roman" w:hAnsi="Times New Roman" w:cs="Times New Roman"/>
          <w:sz w:val="28"/>
          <w:szCs w:val="28"/>
        </w:rPr>
        <w:t xml:space="preserve"> have</w:t>
      </w:r>
      <w:r w:rsidR="00E21DF4" w:rsidRPr="00224014">
        <w:rPr>
          <w:rFonts w:ascii="Times New Roman" w:hAnsi="Times New Roman" w:cs="Times New Roman"/>
          <w:sz w:val="28"/>
          <w:szCs w:val="28"/>
        </w:rPr>
        <w:t xml:space="preserve"> place</w:t>
      </w:r>
      <w:r w:rsidR="00E04A8D" w:rsidRPr="00224014">
        <w:rPr>
          <w:rFonts w:ascii="Times New Roman" w:hAnsi="Times New Roman" w:cs="Times New Roman"/>
          <w:sz w:val="28"/>
          <w:szCs w:val="28"/>
        </w:rPr>
        <w:t>d</w:t>
      </w:r>
      <w:r w:rsidR="00E21DF4" w:rsidRPr="00224014">
        <w:rPr>
          <w:rFonts w:ascii="Times New Roman" w:hAnsi="Times New Roman" w:cs="Times New Roman"/>
          <w:sz w:val="28"/>
          <w:szCs w:val="28"/>
        </w:rPr>
        <w:t xml:space="preserve"> her in the category</w:t>
      </w:r>
      <w:r w:rsidR="001150D9" w:rsidRPr="00224014">
        <w:rPr>
          <w:rFonts w:ascii="Times New Roman" w:hAnsi="Times New Roman" w:cs="Times New Roman"/>
          <w:sz w:val="28"/>
          <w:szCs w:val="28"/>
        </w:rPr>
        <w:t xml:space="preserve"> of an older child</w:t>
      </w:r>
      <w:r w:rsidR="00E21DF4" w:rsidRPr="00224014">
        <w:rPr>
          <w:rFonts w:ascii="Times New Roman" w:hAnsi="Times New Roman" w:cs="Times New Roman"/>
          <w:sz w:val="28"/>
          <w:szCs w:val="28"/>
        </w:rPr>
        <w:t>, is not in itself a test of her level of intelligence and knowledge.</w:t>
      </w:r>
      <w:r w:rsidR="001150D9" w:rsidRPr="00224014">
        <w:rPr>
          <w:rFonts w:ascii="Times New Roman" w:hAnsi="Times New Roman" w:cs="Times New Roman"/>
          <w:sz w:val="28"/>
          <w:szCs w:val="28"/>
        </w:rPr>
        <w:t xml:space="preserve"> The fact that no inquiry was held at all</w:t>
      </w:r>
      <w:r w:rsidR="00B72DAA" w:rsidRPr="00224014">
        <w:rPr>
          <w:rFonts w:ascii="Times New Roman" w:hAnsi="Times New Roman" w:cs="Times New Roman"/>
          <w:sz w:val="28"/>
          <w:szCs w:val="28"/>
        </w:rPr>
        <w:t>, is, to my mind, a fata</w:t>
      </w:r>
      <w:r w:rsidR="001150D9" w:rsidRPr="00224014">
        <w:rPr>
          <w:rFonts w:ascii="Times New Roman" w:hAnsi="Times New Roman" w:cs="Times New Roman"/>
          <w:sz w:val="28"/>
          <w:szCs w:val="28"/>
        </w:rPr>
        <w:t>l misdirection which renders Lisa’s</w:t>
      </w:r>
      <w:r w:rsidR="00B72DAA" w:rsidRPr="00224014">
        <w:rPr>
          <w:rFonts w:ascii="Times New Roman" w:hAnsi="Times New Roman" w:cs="Times New Roman"/>
          <w:sz w:val="28"/>
          <w:szCs w:val="28"/>
        </w:rPr>
        <w:t xml:space="preserve"> evidence inadmissible</w:t>
      </w:r>
      <w:r w:rsidR="00E04A8D" w:rsidRPr="00224014">
        <w:rPr>
          <w:rFonts w:ascii="Times New Roman" w:hAnsi="Times New Roman" w:cs="Times New Roman"/>
          <w:sz w:val="28"/>
          <w:szCs w:val="28"/>
        </w:rPr>
        <w:t>.</w:t>
      </w:r>
      <w:r w:rsidR="00B72DAA">
        <w:rPr>
          <w:rStyle w:val="FootnoteReference"/>
          <w:rFonts w:ascii="Times New Roman" w:hAnsi="Times New Roman" w:cs="Times New Roman"/>
          <w:sz w:val="28"/>
          <w:szCs w:val="28"/>
        </w:rPr>
        <w:footnoteReference w:id="17"/>
      </w:r>
    </w:p>
    <w:p w14:paraId="5E2EC564" w14:textId="77777777" w:rsidR="001150D9" w:rsidRDefault="001150D9" w:rsidP="001150D9">
      <w:pPr>
        <w:pStyle w:val="ListParagraph"/>
        <w:rPr>
          <w:rFonts w:ascii="Times New Roman" w:hAnsi="Times New Roman" w:cs="Times New Roman"/>
          <w:sz w:val="28"/>
          <w:szCs w:val="28"/>
        </w:rPr>
      </w:pPr>
    </w:p>
    <w:p w14:paraId="4357704F" w14:textId="77777777" w:rsidR="00A27C37" w:rsidRDefault="00A27C37" w:rsidP="001150D9">
      <w:pPr>
        <w:pStyle w:val="ListParagraph"/>
        <w:rPr>
          <w:rFonts w:ascii="Times New Roman" w:hAnsi="Times New Roman" w:cs="Times New Roman"/>
          <w:sz w:val="28"/>
          <w:szCs w:val="28"/>
        </w:rPr>
      </w:pPr>
    </w:p>
    <w:p w14:paraId="0C7C69FC" w14:textId="77777777" w:rsidR="000D77AE" w:rsidRPr="001150D9" w:rsidRDefault="000D77AE" w:rsidP="001150D9">
      <w:pPr>
        <w:pStyle w:val="ListParagraph"/>
        <w:rPr>
          <w:rFonts w:ascii="Times New Roman" w:hAnsi="Times New Roman" w:cs="Times New Roman"/>
          <w:sz w:val="28"/>
          <w:szCs w:val="28"/>
        </w:rPr>
      </w:pPr>
    </w:p>
    <w:p w14:paraId="1BFA8F83" w14:textId="77777777" w:rsidR="00DF047E" w:rsidRPr="000612D6" w:rsidRDefault="00DF047E" w:rsidP="000612D6">
      <w:pPr>
        <w:spacing w:line="360" w:lineRule="auto"/>
        <w:jc w:val="both"/>
        <w:rPr>
          <w:rFonts w:ascii="Times New Roman" w:hAnsi="Times New Roman" w:cs="Times New Roman"/>
          <w:sz w:val="28"/>
          <w:szCs w:val="28"/>
          <w:u w:val="single"/>
        </w:rPr>
      </w:pPr>
      <w:r w:rsidRPr="000612D6">
        <w:rPr>
          <w:rFonts w:ascii="Times New Roman" w:hAnsi="Times New Roman" w:cs="Times New Roman"/>
          <w:sz w:val="28"/>
          <w:szCs w:val="28"/>
          <w:u w:val="single"/>
        </w:rPr>
        <w:t>The complainant as a single witness</w:t>
      </w:r>
    </w:p>
    <w:p w14:paraId="76605972" w14:textId="77777777" w:rsidR="00C70A3F" w:rsidRDefault="00C70A3F" w:rsidP="001150D9">
      <w:pPr>
        <w:pStyle w:val="ListParagraph"/>
        <w:spacing w:line="360" w:lineRule="auto"/>
        <w:jc w:val="both"/>
        <w:rPr>
          <w:rFonts w:ascii="Times New Roman" w:hAnsi="Times New Roman" w:cs="Times New Roman"/>
          <w:sz w:val="28"/>
          <w:szCs w:val="28"/>
          <w:u w:val="single"/>
        </w:rPr>
      </w:pPr>
    </w:p>
    <w:p w14:paraId="695467D8" w14:textId="03D0A4BF" w:rsidR="000612D6" w:rsidRPr="00224014" w:rsidRDefault="00224014" w:rsidP="00224014">
      <w:pPr>
        <w:spacing w:line="360" w:lineRule="auto"/>
        <w:jc w:val="both"/>
        <w:rPr>
          <w:rFonts w:ascii="Times New Roman" w:hAnsi="Times New Roman" w:cs="Times New Roman"/>
          <w:sz w:val="28"/>
          <w:szCs w:val="28"/>
        </w:rPr>
      </w:pPr>
      <w:r>
        <w:rPr>
          <w:rFonts w:ascii="Times New Roman" w:hAnsi="Times New Roman" w:cs="Times New Roman"/>
          <w:sz w:val="28"/>
          <w:szCs w:val="28"/>
        </w:rPr>
        <w:t>[30]</w:t>
      </w:r>
      <w:r>
        <w:rPr>
          <w:rFonts w:ascii="Times New Roman" w:hAnsi="Times New Roman" w:cs="Times New Roman"/>
          <w:sz w:val="28"/>
          <w:szCs w:val="28"/>
        </w:rPr>
        <w:tab/>
      </w:r>
      <w:r w:rsidR="007C6C12" w:rsidRPr="00224014">
        <w:rPr>
          <w:rFonts w:ascii="Times New Roman" w:hAnsi="Times New Roman" w:cs="Times New Roman"/>
          <w:sz w:val="28"/>
          <w:szCs w:val="28"/>
        </w:rPr>
        <w:t xml:space="preserve">Section 208 of the Criminal Procedure Act provides that an accused may be convicted of any offence on the single evidence of any competent witness. As Schreiner JA held in </w:t>
      </w:r>
      <w:r w:rsidR="007C6C12" w:rsidRPr="00224014">
        <w:rPr>
          <w:rFonts w:ascii="Times New Roman" w:hAnsi="Times New Roman" w:cs="Times New Roman"/>
          <w:i/>
          <w:sz w:val="28"/>
          <w:szCs w:val="28"/>
        </w:rPr>
        <w:t xml:space="preserve">R v </w:t>
      </w:r>
      <w:proofErr w:type="spellStart"/>
      <w:r w:rsidR="007C6C12" w:rsidRPr="00224014">
        <w:rPr>
          <w:rFonts w:ascii="Times New Roman" w:hAnsi="Times New Roman" w:cs="Times New Roman"/>
          <w:i/>
          <w:sz w:val="28"/>
          <w:szCs w:val="28"/>
        </w:rPr>
        <w:t>Nhlapo</w:t>
      </w:r>
      <w:proofErr w:type="spellEnd"/>
      <w:r w:rsidR="007C6C12" w:rsidRPr="00224014">
        <w:rPr>
          <w:rFonts w:ascii="Times New Roman" w:hAnsi="Times New Roman" w:cs="Times New Roman"/>
          <w:i/>
          <w:sz w:val="28"/>
          <w:szCs w:val="28"/>
        </w:rPr>
        <w:t>,</w:t>
      </w:r>
      <w:r w:rsidR="007C6C12">
        <w:rPr>
          <w:rStyle w:val="FootnoteReference"/>
          <w:rFonts w:ascii="Times New Roman" w:hAnsi="Times New Roman" w:cs="Times New Roman"/>
          <w:i/>
          <w:sz w:val="28"/>
          <w:szCs w:val="28"/>
        </w:rPr>
        <w:footnoteReference w:id="18"/>
      </w:r>
      <w:r w:rsidR="007C6C12" w:rsidRPr="00224014">
        <w:rPr>
          <w:rFonts w:ascii="Times New Roman" w:hAnsi="Times New Roman" w:cs="Times New Roman"/>
          <w:i/>
          <w:sz w:val="28"/>
          <w:szCs w:val="28"/>
        </w:rPr>
        <w:t xml:space="preserve"> </w:t>
      </w:r>
      <w:r w:rsidR="007C6C12" w:rsidRPr="00224014">
        <w:rPr>
          <w:rFonts w:ascii="Times New Roman" w:hAnsi="Times New Roman" w:cs="Times New Roman"/>
          <w:sz w:val="28"/>
          <w:szCs w:val="28"/>
        </w:rPr>
        <w:t>this does not mean that an appeal must succeed if any criticism, however slender, of the evidence is well-founded.</w:t>
      </w:r>
      <w:r w:rsidR="00362F61">
        <w:rPr>
          <w:rStyle w:val="FootnoteReference"/>
          <w:rFonts w:ascii="Times New Roman" w:hAnsi="Times New Roman" w:cs="Times New Roman"/>
          <w:sz w:val="28"/>
          <w:szCs w:val="28"/>
        </w:rPr>
        <w:footnoteReference w:id="19"/>
      </w:r>
      <w:r w:rsidR="007C6C12" w:rsidRPr="00224014">
        <w:rPr>
          <w:rFonts w:ascii="Times New Roman" w:hAnsi="Times New Roman" w:cs="Times New Roman"/>
          <w:sz w:val="28"/>
          <w:szCs w:val="28"/>
        </w:rPr>
        <w:t xml:space="preserve"> At the end </w:t>
      </w:r>
      <w:r w:rsidR="007C6C12" w:rsidRPr="00224014">
        <w:rPr>
          <w:rFonts w:ascii="Times New Roman" w:hAnsi="Times New Roman" w:cs="Times New Roman"/>
          <w:sz w:val="28"/>
          <w:szCs w:val="28"/>
        </w:rPr>
        <w:lastRenderedPageBreak/>
        <w:t>of the day the court must satisfy itself that the evidence is truthfu</w:t>
      </w:r>
      <w:r w:rsidR="00362F61" w:rsidRPr="00224014">
        <w:rPr>
          <w:rFonts w:ascii="Times New Roman" w:hAnsi="Times New Roman" w:cs="Times New Roman"/>
          <w:sz w:val="28"/>
          <w:szCs w:val="28"/>
        </w:rPr>
        <w:t>l and accurate. To put it differently, the court must be satisfied that the evidence as a whole is sufficiently honest and reliable to pass muster as proof beyond a reasonable doubt.</w:t>
      </w:r>
    </w:p>
    <w:p w14:paraId="6620A601" w14:textId="77777777" w:rsidR="000612D6" w:rsidRDefault="000612D6" w:rsidP="000612D6">
      <w:pPr>
        <w:pStyle w:val="ListParagraph"/>
        <w:spacing w:line="360" w:lineRule="auto"/>
        <w:ind w:left="0"/>
        <w:jc w:val="both"/>
        <w:rPr>
          <w:rFonts w:ascii="Times New Roman" w:hAnsi="Times New Roman" w:cs="Times New Roman"/>
          <w:sz w:val="28"/>
          <w:szCs w:val="28"/>
        </w:rPr>
      </w:pPr>
    </w:p>
    <w:p w14:paraId="0D8D5AB8" w14:textId="5C1A0D57" w:rsidR="00A12BAF" w:rsidRPr="00224014" w:rsidRDefault="00224014" w:rsidP="00224014">
      <w:pPr>
        <w:spacing w:line="360" w:lineRule="auto"/>
        <w:jc w:val="both"/>
        <w:rPr>
          <w:rFonts w:ascii="Times New Roman" w:hAnsi="Times New Roman" w:cs="Times New Roman"/>
          <w:sz w:val="28"/>
          <w:szCs w:val="28"/>
        </w:rPr>
      </w:pPr>
      <w:r w:rsidRPr="000612D6">
        <w:rPr>
          <w:rFonts w:ascii="Times New Roman" w:hAnsi="Times New Roman" w:cs="Times New Roman"/>
          <w:sz w:val="28"/>
          <w:szCs w:val="28"/>
        </w:rPr>
        <w:t>[31]</w:t>
      </w:r>
      <w:r w:rsidRPr="000612D6">
        <w:rPr>
          <w:rFonts w:ascii="Times New Roman" w:hAnsi="Times New Roman" w:cs="Times New Roman"/>
          <w:sz w:val="28"/>
          <w:szCs w:val="28"/>
        </w:rPr>
        <w:tab/>
      </w:r>
      <w:r w:rsidR="00DF047E" w:rsidRPr="00224014">
        <w:rPr>
          <w:rFonts w:ascii="Times New Roman" w:hAnsi="Times New Roman" w:cs="Times New Roman"/>
          <w:sz w:val="28"/>
          <w:szCs w:val="28"/>
        </w:rPr>
        <w:t>Acceptance of Lisa’s evidence as inadmissible, renders the complainant a single witness on whether she was raped at all, and if so, by whom.</w:t>
      </w:r>
      <w:r w:rsidR="00A12BAF" w:rsidRPr="00224014">
        <w:rPr>
          <w:rFonts w:ascii="Times New Roman" w:hAnsi="Times New Roman" w:cs="Times New Roman"/>
          <w:sz w:val="28"/>
          <w:szCs w:val="28"/>
        </w:rPr>
        <w:t xml:space="preserve"> As the magistrate said in his judgment:</w:t>
      </w:r>
    </w:p>
    <w:p w14:paraId="02DDFCF8" w14:textId="77777777" w:rsidR="00362F61" w:rsidRPr="00362F61" w:rsidRDefault="00362F61" w:rsidP="00362F61">
      <w:pPr>
        <w:pStyle w:val="ListParagraph"/>
        <w:rPr>
          <w:rFonts w:ascii="Times New Roman" w:hAnsi="Times New Roman" w:cs="Times New Roman"/>
          <w:sz w:val="28"/>
          <w:szCs w:val="28"/>
        </w:rPr>
      </w:pPr>
    </w:p>
    <w:p w14:paraId="193E6B72" w14:textId="77777777" w:rsidR="00A12BAF" w:rsidRDefault="00A12BAF" w:rsidP="00A12BA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‘The big question is, did t</w:t>
      </w:r>
      <w:r w:rsidR="00A52E69">
        <w:rPr>
          <w:rFonts w:ascii="Times New Roman" w:hAnsi="Times New Roman" w:cs="Times New Roman"/>
          <w:sz w:val="24"/>
          <w:szCs w:val="24"/>
        </w:rPr>
        <w:t>his happen or did it not happen?</w:t>
      </w:r>
      <w:r>
        <w:rPr>
          <w:rFonts w:ascii="Times New Roman" w:hAnsi="Times New Roman" w:cs="Times New Roman"/>
          <w:sz w:val="24"/>
          <w:szCs w:val="24"/>
        </w:rPr>
        <w:t>’</w:t>
      </w:r>
    </w:p>
    <w:p w14:paraId="0AACB47C" w14:textId="77777777" w:rsidR="00362F61" w:rsidRDefault="00362F61" w:rsidP="00A12BAF">
      <w:pPr>
        <w:pStyle w:val="ListParagraph"/>
        <w:spacing w:line="360" w:lineRule="auto"/>
        <w:jc w:val="both"/>
        <w:rPr>
          <w:rFonts w:ascii="Times New Roman" w:hAnsi="Times New Roman" w:cs="Times New Roman"/>
          <w:sz w:val="24"/>
          <w:szCs w:val="24"/>
        </w:rPr>
      </w:pPr>
    </w:p>
    <w:p w14:paraId="1E94A8C7" w14:textId="0B1A9B79" w:rsidR="00771258" w:rsidRPr="00224014" w:rsidRDefault="00224014" w:rsidP="00224014">
      <w:pPr>
        <w:spacing w:line="360" w:lineRule="auto"/>
        <w:jc w:val="both"/>
        <w:rPr>
          <w:rFonts w:ascii="Times New Roman" w:hAnsi="Times New Roman" w:cs="Times New Roman"/>
          <w:sz w:val="28"/>
          <w:szCs w:val="28"/>
        </w:rPr>
      </w:pPr>
      <w:r>
        <w:rPr>
          <w:rFonts w:ascii="Times New Roman" w:hAnsi="Times New Roman" w:cs="Times New Roman"/>
          <w:sz w:val="28"/>
          <w:szCs w:val="28"/>
        </w:rPr>
        <w:t>[32]</w:t>
      </w:r>
      <w:r>
        <w:rPr>
          <w:rFonts w:ascii="Times New Roman" w:hAnsi="Times New Roman" w:cs="Times New Roman"/>
          <w:sz w:val="28"/>
          <w:szCs w:val="28"/>
        </w:rPr>
        <w:tab/>
      </w:r>
      <w:r w:rsidR="00A12BAF" w:rsidRPr="00224014">
        <w:rPr>
          <w:rFonts w:ascii="Times New Roman" w:hAnsi="Times New Roman" w:cs="Times New Roman"/>
          <w:sz w:val="28"/>
          <w:szCs w:val="28"/>
        </w:rPr>
        <w:t>In exploring this issue, the magistrate found as a fact that the complainant had accounted for each and every time she was raped between 2013 and 2016. This is not correct. The accounting produced by the complai</w:t>
      </w:r>
      <w:r w:rsidR="002E3CDD" w:rsidRPr="00224014">
        <w:rPr>
          <w:rFonts w:ascii="Times New Roman" w:hAnsi="Times New Roman" w:cs="Times New Roman"/>
          <w:sz w:val="28"/>
          <w:szCs w:val="28"/>
        </w:rPr>
        <w:t>n</w:t>
      </w:r>
      <w:r w:rsidR="00A12BAF" w:rsidRPr="00224014">
        <w:rPr>
          <w:rFonts w:ascii="Times New Roman" w:hAnsi="Times New Roman" w:cs="Times New Roman"/>
          <w:sz w:val="28"/>
          <w:szCs w:val="28"/>
        </w:rPr>
        <w:t xml:space="preserve">ant </w:t>
      </w:r>
      <w:r w:rsidR="00362F61" w:rsidRPr="00224014">
        <w:rPr>
          <w:rFonts w:ascii="Times New Roman" w:hAnsi="Times New Roman" w:cs="Times New Roman"/>
          <w:sz w:val="28"/>
          <w:szCs w:val="28"/>
        </w:rPr>
        <w:t xml:space="preserve">was sparse, erratic, inconsistent and contradictory. </w:t>
      </w:r>
      <w:r w:rsidR="002E3CDD" w:rsidRPr="00224014">
        <w:rPr>
          <w:rFonts w:ascii="Times New Roman" w:hAnsi="Times New Roman" w:cs="Times New Roman"/>
          <w:sz w:val="28"/>
          <w:szCs w:val="28"/>
        </w:rPr>
        <w:t xml:space="preserve"> This the trial court appeared to have recognised when it referred to the ‘discrepancies’ in her own narration of events, particularly in that she had specifically mentioned in both her police statements (but denied this in court), that the appellant had last raped her on Saturday, 23 July 2016, almost immediately after a heated argument and immediately before she reported the argument and this particular rape</w:t>
      </w:r>
      <w:r w:rsidR="00771258" w:rsidRPr="00224014">
        <w:rPr>
          <w:rFonts w:ascii="Times New Roman" w:hAnsi="Times New Roman" w:cs="Times New Roman"/>
          <w:sz w:val="28"/>
          <w:szCs w:val="28"/>
        </w:rPr>
        <w:t>,</w:t>
      </w:r>
      <w:r w:rsidR="002E3CDD" w:rsidRPr="00224014">
        <w:rPr>
          <w:rFonts w:ascii="Times New Roman" w:hAnsi="Times New Roman" w:cs="Times New Roman"/>
          <w:sz w:val="28"/>
          <w:szCs w:val="28"/>
        </w:rPr>
        <w:t xml:space="preserve"> fir</w:t>
      </w:r>
      <w:r w:rsidR="00016112" w:rsidRPr="00224014">
        <w:rPr>
          <w:rFonts w:ascii="Times New Roman" w:hAnsi="Times New Roman" w:cs="Times New Roman"/>
          <w:sz w:val="28"/>
          <w:szCs w:val="28"/>
        </w:rPr>
        <w:t>st to her paternal aunt (</w:t>
      </w:r>
      <w:proofErr w:type="spellStart"/>
      <w:r w:rsidR="00016112" w:rsidRPr="00224014">
        <w:rPr>
          <w:rFonts w:ascii="Times New Roman" w:hAnsi="Times New Roman" w:cs="Times New Roman"/>
          <w:sz w:val="28"/>
          <w:szCs w:val="28"/>
        </w:rPr>
        <w:t>Thembisa</w:t>
      </w:r>
      <w:proofErr w:type="spellEnd"/>
      <w:r w:rsidR="002E3CDD" w:rsidRPr="00224014">
        <w:rPr>
          <w:rFonts w:ascii="Times New Roman" w:hAnsi="Times New Roman" w:cs="Times New Roman"/>
          <w:sz w:val="28"/>
          <w:szCs w:val="28"/>
        </w:rPr>
        <w:t>), and later to her maternal aunt (Agnes), which resulted in the appellant’s arrest.</w:t>
      </w:r>
      <w:r w:rsidR="00771258" w:rsidRPr="00224014">
        <w:rPr>
          <w:rFonts w:ascii="Times New Roman" w:hAnsi="Times New Roman" w:cs="Times New Roman"/>
          <w:sz w:val="28"/>
          <w:szCs w:val="28"/>
        </w:rPr>
        <w:t xml:space="preserve"> It was only when </w:t>
      </w:r>
      <w:r w:rsidR="00362F61" w:rsidRPr="00224014">
        <w:rPr>
          <w:rFonts w:ascii="Times New Roman" w:hAnsi="Times New Roman" w:cs="Times New Roman"/>
          <w:sz w:val="28"/>
          <w:szCs w:val="28"/>
        </w:rPr>
        <w:t xml:space="preserve">she was confronted in the court </w:t>
      </w:r>
      <w:r w:rsidR="00362F61" w:rsidRPr="00224014">
        <w:rPr>
          <w:rFonts w:ascii="Times New Roman" w:hAnsi="Times New Roman" w:cs="Times New Roman"/>
          <w:i/>
          <w:sz w:val="28"/>
          <w:szCs w:val="28"/>
        </w:rPr>
        <w:t>a quo</w:t>
      </w:r>
      <w:r w:rsidR="00771258" w:rsidRPr="00224014">
        <w:rPr>
          <w:rFonts w:ascii="Times New Roman" w:hAnsi="Times New Roman" w:cs="Times New Roman"/>
          <w:sz w:val="28"/>
          <w:szCs w:val="28"/>
        </w:rPr>
        <w:t xml:space="preserve"> with the detail as to the time and the place of this final rape, that she elected to include it in her narration of events.</w:t>
      </w:r>
    </w:p>
    <w:p w14:paraId="481BA8D1" w14:textId="77777777" w:rsidR="00362F61" w:rsidRDefault="00362F61" w:rsidP="00362F61">
      <w:pPr>
        <w:pStyle w:val="ListParagraph"/>
        <w:spacing w:line="360" w:lineRule="auto"/>
        <w:jc w:val="both"/>
        <w:rPr>
          <w:rFonts w:ascii="Times New Roman" w:hAnsi="Times New Roman" w:cs="Times New Roman"/>
          <w:sz w:val="28"/>
          <w:szCs w:val="28"/>
        </w:rPr>
      </w:pPr>
    </w:p>
    <w:p w14:paraId="6828418D" w14:textId="57643436" w:rsidR="000612D6" w:rsidRPr="00224014" w:rsidRDefault="00224014" w:rsidP="00224014">
      <w:pPr>
        <w:spacing w:line="360" w:lineRule="auto"/>
        <w:jc w:val="both"/>
        <w:rPr>
          <w:rFonts w:ascii="Times New Roman" w:hAnsi="Times New Roman" w:cs="Times New Roman"/>
          <w:sz w:val="28"/>
          <w:szCs w:val="28"/>
        </w:rPr>
      </w:pPr>
      <w:r>
        <w:rPr>
          <w:rFonts w:ascii="Times New Roman" w:hAnsi="Times New Roman" w:cs="Times New Roman"/>
          <w:sz w:val="28"/>
          <w:szCs w:val="28"/>
        </w:rPr>
        <w:t>[33]</w:t>
      </w:r>
      <w:r>
        <w:rPr>
          <w:rFonts w:ascii="Times New Roman" w:hAnsi="Times New Roman" w:cs="Times New Roman"/>
          <w:sz w:val="28"/>
          <w:szCs w:val="28"/>
        </w:rPr>
        <w:tab/>
      </w:r>
      <w:r w:rsidR="00771258" w:rsidRPr="00224014">
        <w:rPr>
          <w:rFonts w:ascii="Times New Roman" w:hAnsi="Times New Roman" w:cs="Times New Roman"/>
          <w:sz w:val="28"/>
          <w:szCs w:val="28"/>
        </w:rPr>
        <w:t xml:space="preserve">The trial court found that discrepancies such as this one ‘did not distort the picture before the court’. </w:t>
      </w:r>
      <w:r w:rsidR="000612D6" w:rsidRPr="00224014">
        <w:rPr>
          <w:rFonts w:ascii="Times New Roman" w:hAnsi="Times New Roman" w:cs="Times New Roman"/>
          <w:sz w:val="28"/>
          <w:szCs w:val="28"/>
        </w:rPr>
        <w:t xml:space="preserve"> </w:t>
      </w:r>
      <w:r w:rsidR="00771258" w:rsidRPr="00224014">
        <w:rPr>
          <w:rFonts w:ascii="Times New Roman" w:hAnsi="Times New Roman" w:cs="Times New Roman"/>
          <w:sz w:val="28"/>
          <w:szCs w:val="28"/>
        </w:rPr>
        <w:t>In my view, if it did not, it should have. It was after all,</w:t>
      </w:r>
      <w:r w:rsidR="008445D0" w:rsidRPr="00224014">
        <w:rPr>
          <w:rFonts w:ascii="Times New Roman" w:hAnsi="Times New Roman" w:cs="Times New Roman"/>
          <w:sz w:val="28"/>
          <w:szCs w:val="28"/>
        </w:rPr>
        <w:t xml:space="preserve"> on the complainant’s version,</w:t>
      </w:r>
      <w:r w:rsidR="00771258" w:rsidRPr="00224014">
        <w:rPr>
          <w:rFonts w:ascii="Times New Roman" w:hAnsi="Times New Roman" w:cs="Times New Roman"/>
          <w:sz w:val="28"/>
          <w:szCs w:val="28"/>
        </w:rPr>
        <w:t xml:space="preserve"> at least half of the straw that broke the </w:t>
      </w:r>
      <w:r w:rsidR="00C70A3F" w:rsidRPr="00224014">
        <w:rPr>
          <w:rFonts w:ascii="Times New Roman" w:hAnsi="Times New Roman" w:cs="Times New Roman"/>
          <w:sz w:val="28"/>
          <w:szCs w:val="28"/>
        </w:rPr>
        <w:t xml:space="preserve">proverbial </w:t>
      </w:r>
      <w:r w:rsidR="00771258" w:rsidRPr="00224014">
        <w:rPr>
          <w:rFonts w:ascii="Times New Roman" w:hAnsi="Times New Roman" w:cs="Times New Roman"/>
          <w:sz w:val="28"/>
          <w:szCs w:val="28"/>
        </w:rPr>
        <w:lastRenderedPageBreak/>
        <w:t>camel</w:t>
      </w:r>
      <w:r w:rsidR="00C70A3F" w:rsidRPr="00224014">
        <w:rPr>
          <w:rFonts w:ascii="Times New Roman" w:hAnsi="Times New Roman" w:cs="Times New Roman"/>
          <w:sz w:val="28"/>
          <w:szCs w:val="28"/>
        </w:rPr>
        <w:t>’</w:t>
      </w:r>
      <w:r w:rsidR="00771258" w:rsidRPr="00224014">
        <w:rPr>
          <w:rFonts w:ascii="Times New Roman" w:hAnsi="Times New Roman" w:cs="Times New Roman"/>
          <w:sz w:val="28"/>
          <w:szCs w:val="28"/>
        </w:rPr>
        <w:t>s back – the other half being that the appellant was about to take her to Grahamstown against her will.</w:t>
      </w:r>
    </w:p>
    <w:p w14:paraId="6B67A014" w14:textId="77777777" w:rsidR="000612D6" w:rsidRPr="000612D6" w:rsidRDefault="000612D6" w:rsidP="000612D6">
      <w:pPr>
        <w:pStyle w:val="ListParagraph"/>
        <w:rPr>
          <w:rFonts w:ascii="Times New Roman" w:hAnsi="Times New Roman" w:cs="Times New Roman"/>
          <w:sz w:val="28"/>
          <w:szCs w:val="28"/>
        </w:rPr>
      </w:pPr>
    </w:p>
    <w:p w14:paraId="017501A7" w14:textId="51F27030" w:rsidR="003C0D7D" w:rsidRPr="00224014" w:rsidRDefault="00224014" w:rsidP="00224014">
      <w:pPr>
        <w:spacing w:line="360" w:lineRule="auto"/>
        <w:jc w:val="both"/>
        <w:rPr>
          <w:rFonts w:ascii="Times New Roman" w:hAnsi="Times New Roman" w:cs="Times New Roman"/>
          <w:sz w:val="28"/>
          <w:szCs w:val="28"/>
        </w:rPr>
      </w:pPr>
      <w:r w:rsidRPr="000612D6">
        <w:rPr>
          <w:rFonts w:ascii="Times New Roman" w:hAnsi="Times New Roman" w:cs="Times New Roman"/>
          <w:sz w:val="28"/>
          <w:szCs w:val="28"/>
        </w:rPr>
        <w:t>[34]</w:t>
      </w:r>
      <w:r w:rsidRPr="000612D6">
        <w:rPr>
          <w:rFonts w:ascii="Times New Roman" w:hAnsi="Times New Roman" w:cs="Times New Roman"/>
          <w:sz w:val="28"/>
          <w:szCs w:val="28"/>
        </w:rPr>
        <w:tab/>
      </w:r>
      <w:r w:rsidR="00771258" w:rsidRPr="00224014">
        <w:rPr>
          <w:rFonts w:ascii="Times New Roman" w:hAnsi="Times New Roman" w:cs="Times New Roman"/>
          <w:sz w:val="28"/>
          <w:szCs w:val="28"/>
        </w:rPr>
        <w:t>Indeed, the trial court, having concluded that her statements to the police were consistent with the evidence in court</w:t>
      </w:r>
      <w:r w:rsidR="00C70A3F" w:rsidRPr="00224014">
        <w:rPr>
          <w:rFonts w:ascii="Times New Roman" w:hAnsi="Times New Roman" w:cs="Times New Roman"/>
          <w:sz w:val="28"/>
          <w:szCs w:val="28"/>
        </w:rPr>
        <w:t xml:space="preserve"> (which they were</w:t>
      </w:r>
      <w:r w:rsidR="00362F61" w:rsidRPr="00224014">
        <w:rPr>
          <w:rFonts w:ascii="Times New Roman" w:hAnsi="Times New Roman" w:cs="Times New Roman"/>
          <w:sz w:val="28"/>
          <w:szCs w:val="28"/>
        </w:rPr>
        <w:t xml:space="preserve"> not by any stretch of the imagination)</w:t>
      </w:r>
      <w:r w:rsidR="00771258" w:rsidRPr="00224014">
        <w:rPr>
          <w:rFonts w:ascii="Times New Roman" w:hAnsi="Times New Roman" w:cs="Times New Roman"/>
          <w:sz w:val="28"/>
          <w:szCs w:val="28"/>
        </w:rPr>
        <w:t xml:space="preserve">, nevertheless added in its judgment that the defence had pointed out ‘a few material’ inconsistencies between that reflected in her statements and what she </w:t>
      </w:r>
      <w:r w:rsidR="00016112" w:rsidRPr="00224014">
        <w:rPr>
          <w:rFonts w:ascii="Times New Roman" w:hAnsi="Times New Roman" w:cs="Times New Roman"/>
          <w:sz w:val="28"/>
          <w:szCs w:val="28"/>
        </w:rPr>
        <w:t xml:space="preserve">had </w:t>
      </w:r>
      <w:r w:rsidR="00771258" w:rsidRPr="00224014">
        <w:rPr>
          <w:rFonts w:ascii="Times New Roman" w:hAnsi="Times New Roman" w:cs="Times New Roman"/>
          <w:sz w:val="28"/>
          <w:szCs w:val="28"/>
        </w:rPr>
        <w:t>said in court.</w:t>
      </w:r>
      <w:r w:rsidR="0013224A" w:rsidRPr="00224014">
        <w:rPr>
          <w:rFonts w:ascii="Times New Roman" w:hAnsi="Times New Roman" w:cs="Times New Roman"/>
          <w:sz w:val="28"/>
          <w:szCs w:val="28"/>
        </w:rPr>
        <w:t xml:space="preserve"> </w:t>
      </w:r>
      <w:r w:rsidR="00681464" w:rsidRPr="00224014">
        <w:rPr>
          <w:rFonts w:ascii="Times New Roman" w:hAnsi="Times New Roman" w:cs="Times New Roman"/>
          <w:sz w:val="28"/>
          <w:szCs w:val="28"/>
        </w:rPr>
        <w:t>To my mind, once inconsistencies in the evidence of a single witness are described as ‘material’, they should be adequately addressed. This did not happen at all in the trial court. The failure to address material inconsistencies</w:t>
      </w:r>
      <w:r w:rsidR="008445D0" w:rsidRPr="00224014">
        <w:rPr>
          <w:rFonts w:ascii="Times New Roman" w:hAnsi="Times New Roman" w:cs="Times New Roman"/>
          <w:sz w:val="28"/>
          <w:szCs w:val="28"/>
        </w:rPr>
        <w:t xml:space="preserve"> contained</w:t>
      </w:r>
      <w:r w:rsidR="00681464" w:rsidRPr="00224014">
        <w:rPr>
          <w:rFonts w:ascii="Times New Roman" w:hAnsi="Times New Roman" w:cs="Times New Roman"/>
          <w:sz w:val="28"/>
          <w:szCs w:val="28"/>
        </w:rPr>
        <w:t xml:space="preserve"> within the</w:t>
      </w:r>
      <w:r w:rsidR="008445D0" w:rsidRPr="00224014">
        <w:rPr>
          <w:rFonts w:ascii="Times New Roman" w:hAnsi="Times New Roman" w:cs="Times New Roman"/>
          <w:sz w:val="28"/>
          <w:szCs w:val="28"/>
        </w:rPr>
        <w:t xml:space="preserve"> body of</w:t>
      </w:r>
      <w:r w:rsidR="00681464" w:rsidRPr="00224014">
        <w:rPr>
          <w:rFonts w:ascii="Times New Roman" w:hAnsi="Times New Roman" w:cs="Times New Roman"/>
          <w:sz w:val="28"/>
          <w:szCs w:val="28"/>
        </w:rPr>
        <w:t xml:space="preserve"> </w:t>
      </w:r>
      <w:r w:rsidR="00016112" w:rsidRPr="00224014">
        <w:rPr>
          <w:rFonts w:ascii="Times New Roman" w:hAnsi="Times New Roman" w:cs="Times New Roman"/>
          <w:sz w:val="28"/>
          <w:szCs w:val="28"/>
        </w:rPr>
        <w:t xml:space="preserve">the </w:t>
      </w:r>
      <w:r w:rsidR="00681464" w:rsidRPr="00224014">
        <w:rPr>
          <w:rFonts w:ascii="Times New Roman" w:hAnsi="Times New Roman" w:cs="Times New Roman"/>
          <w:sz w:val="28"/>
          <w:szCs w:val="28"/>
        </w:rPr>
        <w:t>evidence of a witness (particularly a single one), to my mind is a material misdirection.</w:t>
      </w:r>
      <w:r w:rsidR="00362F61" w:rsidRPr="00224014">
        <w:rPr>
          <w:rFonts w:ascii="Times New Roman" w:hAnsi="Times New Roman" w:cs="Times New Roman"/>
          <w:sz w:val="28"/>
          <w:szCs w:val="28"/>
        </w:rPr>
        <w:t xml:space="preserve"> Had this exercise b</w:t>
      </w:r>
      <w:r w:rsidR="00016112" w:rsidRPr="00224014">
        <w:rPr>
          <w:rFonts w:ascii="Times New Roman" w:hAnsi="Times New Roman" w:cs="Times New Roman"/>
          <w:sz w:val="28"/>
          <w:szCs w:val="28"/>
        </w:rPr>
        <w:t>een performed properly</w:t>
      </w:r>
      <w:r w:rsidR="00362F61" w:rsidRPr="00224014">
        <w:rPr>
          <w:rFonts w:ascii="Times New Roman" w:hAnsi="Times New Roman" w:cs="Times New Roman"/>
          <w:sz w:val="28"/>
          <w:szCs w:val="28"/>
        </w:rPr>
        <w:t xml:space="preserve"> with respect to the complainant’s evidence, the trial court, in my view, would have been constrained to find that her evidence was not honest and reliable. This is not the end of the matter.</w:t>
      </w:r>
    </w:p>
    <w:p w14:paraId="00CD03D1" w14:textId="77777777" w:rsidR="00362F61" w:rsidRDefault="00362F61" w:rsidP="00362F61">
      <w:pPr>
        <w:pStyle w:val="ListParagraph"/>
        <w:spacing w:line="360" w:lineRule="auto"/>
        <w:jc w:val="both"/>
        <w:rPr>
          <w:rFonts w:ascii="Times New Roman" w:hAnsi="Times New Roman" w:cs="Times New Roman"/>
          <w:sz w:val="28"/>
          <w:szCs w:val="28"/>
        </w:rPr>
      </w:pPr>
    </w:p>
    <w:p w14:paraId="5418197B" w14:textId="77777777" w:rsidR="00681464" w:rsidRPr="000612D6" w:rsidRDefault="00681464" w:rsidP="000612D6">
      <w:pPr>
        <w:spacing w:line="360" w:lineRule="auto"/>
        <w:jc w:val="both"/>
        <w:rPr>
          <w:rFonts w:ascii="Times New Roman" w:hAnsi="Times New Roman" w:cs="Times New Roman"/>
          <w:sz w:val="28"/>
          <w:szCs w:val="28"/>
          <w:u w:val="single"/>
        </w:rPr>
      </w:pPr>
      <w:r w:rsidRPr="000612D6">
        <w:rPr>
          <w:rFonts w:ascii="Times New Roman" w:hAnsi="Times New Roman" w:cs="Times New Roman"/>
          <w:sz w:val="28"/>
          <w:szCs w:val="28"/>
          <w:u w:val="single"/>
        </w:rPr>
        <w:t>The</w:t>
      </w:r>
      <w:r w:rsidR="002F1C8C" w:rsidRPr="000612D6">
        <w:rPr>
          <w:rFonts w:ascii="Times New Roman" w:hAnsi="Times New Roman" w:cs="Times New Roman"/>
          <w:sz w:val="28"/>
          <w:szCs w:val="28"/>
          <w:u w:val="single"/>
        </w:rPr>
        <w:t xml:space="preserve"> delayed</w:t>
      </w:r>
      <w:r w:rsidRPr="000612D6">
        <w:rPr>
          <w:rFonts w:ascii="Times New Roman" w:hAnsi="Times New Roman" w:cs="Times New Roman"/>
          <w:sz w:val="28"/>
          <w:szCs w:val="28"/>
          <w:u w:val="single"/>
        </w:rPr>
        <w:t xml:space="preserve"> first report</w:t>
      </w:r>
    </w:p>
    <w:p w14:paraId="3B965DA2" w14:textId="77777777" w:rsidR="00362F61" w:rsidRDefault="00362F61" w:rsidP="00681464">
      <w:pPr>
        <w:pStyle w:val="ListParagraph"/>
        <w:spacing w:line="360" w:lineRule="auto"/>
        <w:jc w:val="both"/>
        <w:rPr>
          <w:rFonts w:ascii="Times New Roman" w:hAnsi="Times New Roman" w:cs="Times New Roman"/>
          <w:sz w:val="28"/>
          <w:szCs w:val="28"/>
          <w:u w:val="single"/>
        </w:rPr>
      </w:pPr>
    </w:p>
    <w:p w14:paraId="1292E832" w14:textId="593C56E9" w:rsidR="000612D6" w:rsidRPr="00224014" w:rsidRDefault="00224014" w:rsidP="00224014">
      <w:pPr>
        <w:spacing w:line="360" w:lineRule="auto"/>
        <w:jc w:val="both"/>
        <w:rPr>
          <w:rFonts w:ascii="Times New Roman" w:hAnsi="Times New Roman" w:cs="Times New Roman"/>
          <w:sz w:val="28"/>
          <w:szCs w:val="28"/>
          <w:u w:val="single"/>
        </w:rPr>
      </w:pPr>
      <w:r w:rsidRPr="000612D6">
        <w:rPr>
          <w:rFonts w:ascii="Times New Roman" w:hAnsi="Times New Roman" w:cs="Times New Roman"/>
          <w:sz w:val="28"/>
          <w:szCs w:val="28"/>
        </w:rPr>
        <w:t>[35]</w:t>
      </w:r>
      <w:r w:rsidRPr="000612D6">
        <w:rPr>
          <w:rFonts w:ascii="Times New Roman" w:hAnsi="Times New Roman" w:cs="Times New Roman"/>
          <w:sz w:val="28"/>
          <w:szCs w:val="28"/>
        </w:rPr>
        <w:tab/>
      </w:r>
      <w:r w:rsidR="0080568C" w:rsidRPr="00224014">
        <w:rPr>
          <w:rFonts w:ascii="Times New Roman" w:hAnsi="Times New Roman" w:cs="Times New Roman"/>
          <w:sz w:val="28"/>
          <w:szCs w:val="28"/>
        </w:rPr>
        <w:t xml:space="preserve">On the complainant’s version, she did not report this repeated </w:t>
      </w:r>
      <w:r w:rsidR="008445D0" w:rsidRPr="00224014">
        <w:rPr>
          <w:rFonts w:ascii="Times New Roman" w:hAnsi="Times New Roman" w:cs="Times New Roman"/>
          <w:sz w:val="28"/>
          <w:szCs w:val="28"/>
        </w:rPr>
        <w:t>sexual abuse by her</w:t>
      </w:r>
      <w:r w:rsidR="0080568C" w:rsidRPr="00224014">
        <w:rPr>
          <w:rFonts w:ascii="Times New Roman" w:hAnsi="Times New Roman" w:cs="Times New Roman"/>
          <w:sz w:val="28"/>
          <w:szCs w:val="28"/>
        </w:rPr>
        <w:t xml:space="preserve"> father, for a period of some three years</w:t>
      </w:r>
      <w:r w:rsidR="00362F61" w:rsidRPr="00224014">
        <w:rPr>
          <w:rFonts w:ascii="Times New Roman" w:hAnsi="Times New Roman" w:cs="Times New Roman"/>
          <w:sz w:val="28"/>
          <w:szCs w:val="28"/>
        </w:rPr>
        <w:t>,</w:t>
      </w:r>
      <w:r w:rsidR="0080568C" w:rsidRPr="00224014">
        <w:rPr>
          <w:rFonts w:ascii="Times New Roman" w:hAnsi="Times New Roman" w:cs="Times New Roman"/>
          <w:sz w:val="28"/>
          <w:szCs w:val="28"/>
        </w:rPr>
        <w:t xml:space="preserve"> for two </w:t>
      </w:r>
      <w:r w:rsidR="00362F61" w:rsidRPr="00224014">
        <w:rPr>
          <w:rFonts w:ascii="Times New Roman" w:hAnsi="Times New Roman" w:cs="Times New Roman"/>
          <w:sz w:val="28"/>
          <w:szCs w:val="28"/>
        </w:rPr>
        <w:t>primary</w:t>
      </w:r>
      <w:r w:rsidR="0080568C" w:rsidRPr="00224014">
        <w:rPr>
          <w:rFonts w:ascii="Times New Roman" w:hAnsi="Times New Roman" w:cs="Times New Roman"/>
          <w:sz w:val="28"/>
          <w:szCs w:val="28"/>
        </w:rPr>
        <w:t xml:space="preserve"> reasons. Firstly, because she was afraid of him, an</w:t>
      </w:r>
      <w:r w:rsidR="00016112" w:rsidRPr="00224014">
        <w:rPr>
          <w:rFonts w:ascii="Times New Roman" w:hAnsi="Times New Roman" w:cs="Times New Roman"/>
          <w:sz w:val="28"/>
          <w:szCs w:val="28"/>
        </w:rPr>
        <w:t>d secondly, because he had undertaken</w:t>
      </w:r>
      <w:r w:rsidR="0080568C" w:rsidRPr="00224014">
        <w:rPr>
          <w:rFonts w:ascii="Times New Roman" w:hAnsi="Times New Roman" w:cs="Times New Roman"/>
          <w:sz w:val="28"/>
          <w:szCs w:val="28"/>
        </w:rPr>
        <w:t>, from time to time, to stop, and she</w:t>
      </w:r>
      <w:r w:rsidR="00016112" w:rsidRPr="00224014">
        <w:rPr>
          <w:rFonts w:ascii="Times New Roman" w:hAnsi="Times New Roman" w:cs="Times New Roman"/>
          <w:sz w:val="28"/>
          <w:szCs w:val="28"/>
        </w:rPr>
        <w:t xml:space="preserve"> had</w:t>
      </w:r>
      <w:r w:rsidR="0080568C" w:rsidRPr="00224014">
        <w:rPr>
          <w:rFonts w:ascii="Times New Roman" w:hAnsi="Times New Roman" w:cs="Times New Roman"/>
          <w:sz w:val="28"/>
          <w:szCs w:val="28"/>
        </w:rPr>
        <w:t xml:space="preserve"> believed him.</w:t>
      </w:r>
      <w:r w:rsidR="006A1DC9" w:rsidRPr="00224014">
        <w:rPr>
          <w:rFonts w:ascii="Times New Roman" w:hAnsi="Times New Roman" w:cs="Times New Roman"/>
          <w:sz w:val="28"/>
          <w:szCs w:val="28"/>
        </w:rPr>
        <w:t xml:space="preserve"> Yet</w:t>
      </w:r>
      <w:r w:rsidR="00DE2D92" w:rsidRPr="00224014">
        <w:rPr>
          <w:rFonts w:ascii="Times New Roman" w:hAnsi="Times New Roman" w:cs="Times New Roman"/>
          <w:sz w:val="28"/>
          <w:szCs w:val="28"/>
        </w:rPr>
        <w:t>, according to Agnes, either on Sunday, 24 July</w:t>
      </w:r>
      <w:r w:rsidR="00016112" w:rsidRPr="00224014">
        <w:rPr>
          <w:rFonts w:ascii="Times New Roman" w:hAnsi="Times New Roman" w:cs="Times New Roman"/>
          <w:sz w:val="28"/>
          <w:szCs w:val="28"/>
        </w:rPr>
        <w:t>,</w:t>
      </w:r>
      <w:r w:rsidR="00DE2D92" w:rsidRPr="00224014">
        <w:rPr>
          <w:rFonts w:ascii="Times New Roman" w:hAnsi="Times New Roman" w:cs="Times New Roman"/>
          <w:sz w:val="28"/>
          <w:szCs w:val="28"/>
        </w:rPr>
        <w:t xml:space="preserve"> or</w:t>
      </w:r>
      <w:r w:rsidR="006A1DC9" w:rsidRPr="00224014">
        <w:rPr>
          <w:rFonts w:ascii="Times New Roman" w:hAnsi="Times New Roman" w:cs="Times New Roman"/>
          <w:sz w:val="28"/>
          <w:szCs w:val="28"/>
        </w:rPr>
        <w:t xml:space="preserve"> on</w:t>
      </w:r>
      <w:r w:rsidR="00040E79" w:rsidRPr="00224014">
        <w:rPr>
          <w:rFonts w:ascii="Times New Roman" w:hAnsi="Times New Roman" w:cs="Times New Roman"/>
          <w:sz w:val="28"/>
          <w:szCs w:val="28"/>
        </w:rPr>
        <w:t xml:space="preserve"> Tuesday,</w:t>
      </w:r>
      <w:r w:rsidR="006A1DC9" w:rsidRPr="00224014">
        <w:rPr>
          <w:rFonts w:ascii="Times New Roman" w:hAnsi="Times New Roman" w:cs="Times New Roman"/>
          <w:sz w:val="28"/>
          <w:szCs w:val="28"/>
        </w:rPr>
        <w:t xml:space="preserve"> 26 July 2016, the </w:t>
      </w:r>
      <w:r w:rsidR="00D11DE6" w:rsidRPr="00224014">
        <w:rPr>
          <w:rFonts w:ascii="Times New Roman" w:hAnsi="Times New Roman" w:cs="Times New Roman"/>
          <w:sz w:val="28"/>
          <w:szCs w:val="28"/>
        </w:rPr>
        <w:t>complainant sent a message to her from the complainant’s own cellular phone</w:t>
      </w:r>
      <w:r w:rsidR="006A1DC9" w:rsidRPr="00224014">
        <w:rPr>
          <w:rFonts w:ascii="Times New Roman" w:hAnsi="Times New Roman" w:cs="Times New Roman"/>
          <w:sz w:val="28"/>
          <w:szCs w:val="28"/>
        </w:rPr>
        <w:t>, complaining, quite out o</w:t>
      </w:r>
      <w:r w:rsidR="00040E79" w:rsidRPr="00224014">
        <w:rPr>
          <w:rFonts w:ascii="Times New Roman" w:hAnsi="Times New Roman" w:cs="Times New Roman"/>
          <w:sz w:val="28"/>
          <w:szCs w:val="28"/>
        </w:rPr>
        <w:t>f the blue, that the appellant</w:t>
      </w:r>
      <w:r w:rsidR="003D7175" w:rsidRPr="00224014">
        <w:rPr>
          <w:rFonts w:ascii="Times New Roman" w:hAnsi="Times New Roman" w:cs="Times New Roman"/>
          <w:sz w:val="28"/>
          <w:szCs w:val="28"/>
        </w:rPr>
        <w:t xml:space="preserve"> was forcing her to accompany him to Grahamstown, and that coincidentally, he</w:t>
      </w:r>
      <w:r w:rsidR="00040E79" w:rsidRPr="00224014">
        <w:rPr>
          <w:rFonts w:ascii="Times New Roman" w:hAnsi="Times New Roman" w:cs="Times New Roman"/>
          <w:sz w:val="28"/>
          <w:szCs w:val="28"/>
        </w:rPr>
        <w:t xml:space="preserve"> had </w:t>
      </w:r>
      <w:r w:rsidR="003D7175" w:rsidRPr="00224014">
        <w:rPr>
          <w:rFonts w:ascii="Times New Roman" w:hAnsi="Times New Roman" w:cs="Times New Roman"/>
          <w:sz w:val="28"/>
          <w:szCs w:val="28"/>
        </w:rPr>
        <w:t xml:space="preserve">also </w:t>
      </w:r>
      <w:r w:rsidR="00040E79" w:rsidRPr="00224014">
        <w:rPr>
          <w:rFonts w:ascii="Times New Roman" w:hAnsi="Times New Roman" w:cs="Times New Roman"/>
          <w:sz w:val="28"/>
          <w:szCs w:val="28"/>
        </w:rPr>
        <w:t xml:space="preserve">raped her </w:t>
      </w:r>
      <w:r w:rsidR="00DE2D92" w:rsidRPr="00224014">
        <w:rPr>
          <w:rFonts w:ascii="Times New Roman" w:hAnsi="Times New Roman" w:cs="Times New Roman"/>
          <w:sz w:val="28"/>
          <w:szCs w:val="28"/>
        </w:rPr>
        <w:t xml:space="preserve">on the Friday and the Saturday, </w:t>
      </w:r>
      <w:proofErr w:type="spellStart"/>
      <w:r w:rsidR="00DE2D92" w:rsidRPr="00224014">
        <w:rPr>
          <w:rFonts w:ascii="Times New Roman" w:hAnsi="Times New Roman" w:cs="Times New Roman"/>
          <w:sz w:val="28"/>
          <w:szCs w:val="28"/>
        </w:rPr>
        <w:t>ie</w:t>
      </w:r>
      <w:proofErr w:type="spellEnd"/>
      <w:r w:rsidR="00DE2D92" w:rsidRPr="00224014">
        <w:rPr>
          <w:rFonts w:ascii="Times New Roman" w:hAnsi="Times New Roman" w:cs="Times New Roman"/>
          <w:sz w:val="28"/>
          <w:szCs w:val="28"/>
        </w:rPr>
        <w:t xml:space="preserve"> on 22 and 23 July</w:t>
      </w:r>
      <w:r w:rsidR="003D7175" w:rsidRPr="00224014">
        <w:rPr>
          <w:rFonts w:ascii="Times New Roman" w:hAnsi="Times New Roman" w:cs="Times New Roman"/>
          <w:sz w:val="28"/>
          <w:szCs w:val="28"/>
        </w:rPr>
        <w:t>.</w:t>
      </w:r>
      <w:r w:rsidR="006A1DC9" w:rsidRPr="00224014">
        <w:rPr>
          <w:rFonts w:ascii="Times New Roman" w:hAnsi="Times New Roman" w:cs="Times New Roman"/>
          <w:sz w:val="28"/>
          <w:szCs w:val="28"/>
        </w:rPr>
        <w:t xml:space="preserve"> According to Agnes, when she showed the mess</w:t>
      </w:r>
      <w:r w:rsidR="004B48A9" w:rsidRPr="00224014">
        <w:rPr>
          <w:rFonts w:ascii="Times New Roman" w:hAnsi="Times New Roman" w:cs="Times New Roman"/>
          <w:sz w:val="28"/>
          <w:szCs w:val="28"/>
        </w:rPr>
        <w:t xml:space="preserve">age to the police, </w:t>
      </w:r>
      <w:r w:rsidR="004B48A9" w:rsidRPr="00224014">
        <w:rPr>
          <w:rFonts w:ascii="Times New Roman" w:hAnsi="Times New Roman" w:cs="Times New Roman"/>
          <w:sz w:val="28"/>
          <w:szCs w:val="28"/>
        </w:rPr>
        <w:lastRenderedPageBreak/>
        <w:t>they seemed surprised that the complainant had not mentioned this to her step-mothe</w:t>
      </w:r>
      <w:r w:rsidR="008445D0" w:rsidRPr="00224014">
        <w:rPr>
          <w:rFonts w:ascii="Times New Roman" w:hAnsi="Times New Roman" w:cs="Times New Roman"/>
          <w:sz w:val="28"/>
          <w:szCs w:val="28"/>
        </w:rPr>
        <w:t>r (</w:t>
      </w:r>
      <w:proofErr w:type="spellStart"/>
      <w:r w:rsidR="008445D0" w:rsidRPr="00224014">
        <w:rPr>
          <w:rFonts w:ascii="Times New Roman" w:hAnsi="Times New Roman" w:cs="Times New Roman"/>
          <w:sz w:val="28"/>
          <w:szCs w:val="28"/>
        </w:rPr>
        <w:t>Nomvuyisi</w:t>
      </w:r>
      <w:proofErr w:type="spellEnd"/>
      <w:r w:rsidR="008445D0" w:rsidRPr="00224014">
        <w:rPr>
          <w:rFonts w:ascii="Times New Roman" w:hAnsi="Times New Roman" w:cs="Times New Roman"/>
          <w:sz w:val="28"/>
          <w:szCs w:val="28"/>
        </w:rPr>
        <w:t>) who happened to have been</w:t>
      </w:r>
      <w:r w:rsidR="004B48A9" w:rsidRPr="00224014">
        <w:rPr>
          <w:rFonts w:ascii="Times New Roman" w:hAnsi="Times New Roman" w:cs="Times New Roman"/>
          <w:sz w:val="28"/>
          <w:szCs w:val="28"/>
        </w:rPr>
        <w:t xml:space="preserve"> working at the same police station, and with whom the complainant had had a good relationship.</w:t>
      </w:r>
    </w:p>
    <w:p w14:paraId="28E27F90" w14:textId="77777777" w:rsidR="000612D6" w:rsidRPr="000612D6" w:rsidRDefault="000612D6" w:rsidP="000612D6">
      <w:pPr>
        <w:pStyle w:val="ListParagraph"/>
        <w:spacing w:line="360" w:lineRule="auto"/>
        <w:ind w:left="0"/>
        <w:jc w:val="both"/>
        <w:rPr>
          <w:rFonts w:ascii="Times New Roman" w:hAnsi="Times New Roman" w:cs="Times New Roman"/>
          <w:sz w:val="28"/>
          <w:szCs w:val="28"/>
          <w:u w:val="single"/>
        </w:rPr>
      </w:pPr>
    </w:p>
    <w:p w14:paraId="14447009" w14:textId="400B6A2B" w:rsidR="000612D6" w:rsidRPr="00224014" w:rsidRDefault="00224014" w:rsidP="00224014">
      <w:pPr>
        <w:spacing w:line="360" w:lineRule="auto"/>
        <w:jc w:val="both"/>
        <w:rPr>
          <w:rFonts w:ascii="Times New Roman" w:hAnsi="Times New Roman" w:cs="Times New Roman"/>
          <w:sz w:val="28"/>
          <w:szCs w:val="28"/>
          <w:u w:val="single"/>
        </w:rPr>
      </w:pPr>
      <w:r w:rsidRPr="000612D6">
        <w:rPr>
          <w:rFonts w:ascii="Times New Roman" w:hAnsi="Times New Roman" w:cs="Times New Roman"/>
          <w:sz w:val="28"/>
          <w:szCs w:val="28"/>
        </w:rPr>
        <w:t>[36]</w:t>
      </w:r>
      <w:r w:rsidRPr="000612D6">
        <w:rPr>
          <w:rFonts w:ascii="Times New Roman" w:hAnsi="Times New Roman" w:cs="Times New Roman"/>
          <w:sz w:val="28"/>
          <w:szCs w:val="28"/>
        </w:rPr>
        <w:tab/>
      </w:r>
      <w:r w:rsidR="008445D0" w:rsidRPr="00224014">
        <w:rPr>
          <w:rFonts w:ascii="Times New Roman" w:hAnsi="Times New Roman" w:cs="Times New Roman"/>
          <w:sz w:val="28"/>
          <w:szCs w:val="28"/>
        </w:rPr>
        <w:t>Agnes testified that</w:t>
      </w:r>
      <w:r w:rsidR="004B48A9" w:rsidRPr="00224014">
        <w:rPr>
          <w:rFonts w:ascii="Times New Roman" w:hAnsi="Times New Roman" w:cs="Times New Roman"/>
          <w:sz w:val="28"/>
          <w:szCs w:val="28"/>
        </w:rPr>
        <w:t xml:space="preserve"> the complainant</w:t>
      </w:r>
      <w:r w:rsidR="00016112" w:rsidRPr="00224014">
        <w:rPr>
          <w:rFonts w:ascii="Times New Roman" w:hAnsi="Times New Roman" w:cs="Times New Roman"/>
          <w:sz w:val="28"/>
          <w:szCs w:val="28"/>
        </w:rPr>
        <w:t xml:space="preserve"> had</w:t>
      </w:r>
      <w:r w:rsidR="004B48A9" w:rsidRPr="00224014">
        <w:rPr>
          <w:rFonts w:ascii="Times New Roman" w:hAnsi="Times New Roman" w:cs="Times New Roman"/>
          <w:sz w:val="28"/>
          <w:szCs w:val="28"/>
        </w:rPr>
        <w:t xml:space="preserve"> remained with her after she had been medically examined, and it was only a couple of nights later that she mentioned for the first time that the appellant had started</w:t>
      </w:r>
      <w:r w:rsidR="00040E79" w:rsidRPr="00224014">
        <w:rPr>
          <w:rFonts w:ascii="Times New Roman" w:hAnsi="Times New Roman" w:cs="Times New Roman"/>
          <w:sz w:val="28"/>
          <w:szCs w:val="28"/>
        </w:rPr>
        <w:t xml:space="preserve"> raping her as far</w:t>
      </w:r>
      <w:r w:rsidR="00016112" w:rsidRPr="00224014">
        <w:rPr>
          <w:rFonts w:ascii="Times New Roman" w:hAnsi="Times New Roman" w:cs="Times New Roman"/>
          <w:sz w:val="28"/>
          <w:szCs w:val="28"/>
        </w:rPr>
        <w:t xml:space="preserve"> back as 2013, and that Lisa had been aware of this</w:t>
      </w:r>
      <w:r w:rsidR="00040E79" w:rsidRPr="00224014">
        <w:rPr>
          <w:rFonts w:ascii="Times New Roman" w:hAnsi="Times New Roman" w:cs="Times New Roman"/>
          <w:sz w:val="28"/>
          <w:szCs w:val="28"/>
        </w:rPr>
        <w:t>.</w:t>
      </w:r>
      <w:r w:rsidR="008445D0" w:rsidRPr="00224014">
        <w:rPr>
          <w:rFonts w:ascii="Times New Roman" w:hAnsi="Times New Roman" w:cs="Times New Roman"/>
          <w:sz w:val="28"/>
          <w:szCs w:val="28"/>
        </w:rPr>
        <w:t xml:space="preserve"> Agnes added that</w:t>
      </w:r>
      <w:r w:rsidR="00DE2D92" w:rsidRPr="00224014">
        <w:rPr>
          <w:rFonts w:ascii="Times New Roman" w:hAnsi="Times New Roman" w:cs="Times New Roman"/>
          <w:sz w:val="28"/>
          <w:szCs w:val="28"/>
        </w:rPr>
        <w:t xml:space="preserve"> the complainant also showed her injuries</w:t>
      </w:r>
      <w:r w:rsidR="003D7175" w:rsidRPr="00224014">
        <w:rPr>
          <w:rFonts w:ascii="Times New Roman" w:hAnsi="Times New Roman" w:cs="Times New Roman"/>
          <w:sz w:val="28"/>
          <w:szCs w:val="28"/>
        </w:rPr>
        <w:t xml:space="preserve"> (not mentioned by the complainant at all in her evidence)</w:t>
      </w:r>
      <w:r w:rsidR="00DE2D92" w:rsidRPr="00224014">
        <w:rPr>
          <w:rFonts w:ascii="Times New Roman" w:hAnsi="Times New Roman" w:cs="Times New Roman"/>
          <w:sz w:val="28"/>
          <w:szCs w:val="28"/>
        </w:rPr>
        <w:t xml:space="preserve"> which she</w:t>
      </w:r>
      <w:r w:rsidR="003D7175" w:rsidRPr="00224014">
        <w:rPr>
          <w:rFonts w:ascii="Times New Roman" w:hAnsi="Times New Roman" w:cs="Times New Roman"/>
          <w:sz w:val="28"/>
          <w:szCs w:val="28"/>
        </w:rPr>
        <w:t xml:space="preserve"> had</w:t>
      </w:r>
      <w:r w:rsidR="00DE2D92" w:rsidRPr="00224014">
        <w:rPr>
          <w:rFonts w:ascii="Times New Roman" w:hAnsi="Times New Roman" w:cs="Times New Roman"/>
          <w:sz w:val="28"/>
          <w:szCs w:val="28"/>
        </w:rPr>
        <w:t xml:space="preserve"> apparentl</w:t>
      </w:r>
      <w:r w:rsidR="003D7175" w:rsidRPr="00224014">
        <w:rPr>
          <w:rFonts w:ascii="Times New Roman" w:hAnsi="Times New Roman" w:cs="Times New Roman"/>
          <w:sz w:val="28"/>
          <w:szCs w:val="28"/>
        </w:rPr>
        <w:t>y sustained when the appellant</w:t>
      </w:r>
      <w:r w:rsidR="008445D0" w:rsidRPr="00224014">
        <w:rPr>
          <w:rFonts w:ascii="Times New Roman" w:hAnsi="Times New Roman" w:cs="Times New Roman"/>
          <w:sz w:val="28"/>
          <w:szCs w:val="28"/>
        </w:rPr>
        <w:t xml:space="preserve"> had</w:t>
      </w:r>
      <w:r w:rsidR="003D7175" w:rsidRPr="00224014">
        <w:rPr>
          <w:rFonts w:ascii="Times New Roman" w:hAnsi="Times New Roman" w:cs="Times New Roman"/>
          <w:sz w:val="28"/>
          <w:szCs w:val="28"/>
        </w:rPr>
        <w:t xml:space="preserve"> assaulted her with a sjambok </w:t>
      </w:r>
      <w:r w:rsidR="00476AD1" w:rsidRPr="00224014">
        <w:rPr>
          <w:rFonts w:ascii="Times New Roman" w:hAnsi="Times New Roman" w:cs="Times New Roman"/>
          <w:sz w:val="28"/>
          <w:szCs w:val="28"/>
        </w:rPr>
        <w:t>that same weekend in July 2016.</w:t>
      </w:r>
    </w:p>
    <w:p w14:paraId="208AD001" w14:textId="77777777" w:rsidR="000612D6" w:rsidRPr="000612D6" w:rsidRDefault="000612D6" w:rsidP="000612D6">
      <w:pPr>
        <w:pStyle w:val="ListParagraph"/>
        <w:rPr>
          <w:rFonts w:ascii="Times New Roman" w:hAnsi="Times New Roman" w:cs="Times New Roman"/>
          <w:sz w:val="28"/>
          <w:szCs w:val="28"/>
        </w:rPr>
      </w:pPr>
    </w:p>
    <w:p w14:paraId="085A7BD3" w14:textId="6865B836" w:rsidR="000612D6" w:rsidRPr="00224014" w:rsidRDefault="00224014" w:rsidP="00224014">
      <w:pPr>
        <w:spacing w:line="360" w:lineRule="auto"/>
        <w:jc w:val="both"/>
        <w:rPr>
          <w:rFonts w:ascii="Times New Roman" w:hAnsi="Times New Roman" w:cs="Times New Roman"/>
          <w:sz w:val="28"/>
          <w:szCs w:val="28"/>
          <w:u w:val="single"/>
        </w:rPr>
      </w:pPr>
      <w:r w:rsidRPr="000612D6">
        <w:rPr>
          <w:rFonts w:ascii="Times New Roman" w:hAnsi="Times New Roman" w:cs="Times New Roman"/>
          <w:sz w:val="28"/>
          <w:szCs w:val="28"/>
        </w:rPr>
        <w:t>[37]</w:t>
      </w:r>
      <w:r w:rsidRPr="000612D6">
        <w:rPr>
          <w:rFonts w:ascii="Times New Roman" w:hAnsi="Times New Roman" w:cs="Times New Roman"/>
          <w:sz w:val="28"/>
          <w:szCs w:val="28"/>
        </w:rPr>
        <w:tab/>
      </w:r>
      <w:r w:rsidR="00476AD1" w:rsidRPr="00224014">
        <w:rPr>
          <w:rFonts w:ascii="Times New Roman" w:hAnsi="Times New Roman" w:cs="Times New Roman"/>
          <w:sz w:val="28"/>
          <w:szCs w:val="28"/>
        </w:rPr>
        <w:t>Accord</w:t>
      </w:r>
      <w:r w:rsidR="003D7175" w:rsidRPr="00224014">
        <w:rPr>
          <w:rFonts w:ascii="Times New Roman" w:hAnsi="Times New Roman" w:cs="Times New Roman"/>
          <w:sz w:val="28"/>
          <w:szCs w:val="28"/>
        </w:rPr>
        <w:t>ing to the complainant there had been</w:t>
      </w:r>
      <w:r w:rsidR="00476AD1" w:rsidRPr="00224014">
        <w:rPr>
          <w:rFonts w:ascii="Times New Roman" w:hAnsi="Times New Roman" w:cs="Times New Roman"/>
          <w:sz w:val="28"/>
          <w:szCs w:val="28"/>
        </w:rPr>
        <w:t xml:space="preserve"> a quarrel about a broken window</w:t>
      </w:r>
      <w:r w:rsidR="00D11DE6" w:rsidRPr="00224014">
        <w:rPr>
          <w:rFonts w:ascii="Times New Roman" w:hAnsi="Times New Roman" w:cs="Times New Roman"/>
          <w:sz w:val="28"/>
          <w:szCs w:val="28"/>
        </w:rPr>
        <w:t xml:space="preserve"> and about money</w:t>
      </w:r>
      <w:r w:rsidR="00476AD1" w:rsidRPr="00224014">
        <w:rPr>
          <w:rFonts w:ascii="Times New Roman" w:hAnsi="Times New Roman" w:cs="Times New Roman"/>
          <w:sz w:val="28"/>
          <w:szCs w:val="28"/>
        </w:rPr>
        <w:t xml:space="preserve"> between her and the appellant</w:t>
      </w:r>
      <w:r w:rsidR="00D11DE6" w:rsidRPr="00224014">
        <w:rPr>
          <w:rFonts w:ascii="Times New Roman" w:hAnsi="Times New Roman" w:cs="Times New Roman"/>
          <w:sz w:val="28"/>
          <w:szCs w:val="28"/>
        </w:rPr>
        <w:t xml:space="preserve"> on Saturday, 23 July, whereafter the appellant </w:t>
      </w:r>
      <w:r w:rsidR="00016112" w:rsidRPr="00224014">
        <w:rPr>
          <w:rFonts w:ascii="Times New Roman" w:hAnsi="Times New Roman" w:cs="Times New Roman"/>
          <w:sz w:val="28"/>
          <w:szCs w:val="28"/>
        </w:rPr>
        <w:t xml:space="preserve">had </w:t>
      </w:r>
      <w:r w:rsidR="00D11DE6" w:rsidRPr="00224014">
        <w:rPr>
          <w:rFonts w:ascii="Times New Roman" w:hAnsi="Times New Roman" w:cs="Times New Roman"/>
          <w:sz w:val="28"/>
          <w:szCs w:val="28"/>
        </w:rPr>
        <w:t xml:space="preserve">confiscated her cellular phone and </w:t>
      </w:r>
      <w:r w:rsidR="00016112" w:rsidRPr="00224014">
        <w:rPr>
          <w:rFonts w:ascii="Times New Roman" w:hAnsi="Times New Roman" w:cs="Times New Roman"/>
          <w:sz w:val="28"/>
          <w:szCs w:val="28"/>
        </w:rPr>
        <w:t xml:space="preserve">had </w:t>
      </w:r>
      <w:r w:rsidR="00D11DE6" w:rsidRPr="00224014">
        <w:rPr>
          <w:rFonts w:ascii="Times New Roman" w:hAnsi="Times New Roman" w:cs="Times New Roman"/>
          <w:sz w:val="28"/>
          <w:szCs w:val="28"/>
        </w:rPr>
        <w:t xml:space="preserve">raped her that same day. </w:t>
      </w:r>
      <w:r w:rsidR="003D7175" w:rsidRPr="00224014">
        <w:rPr>
          <w:rFonts w:ascii="Times New Roman" w:hAnsi="Times New Roman" w:cs="Times New Roman"/>
          <w:sz w:val="28"/>
          <w:szCs w:val="28"/>
        </w:rPr>
        <w:t>As a result,</w:t>
      </w:r>
      <w:r w:rsidR="00476AD1" w:rsidRPr="00224014">
        <w:rPr>
          <w:rFonts w:ascii="Times New Roman" w:hAnsi="Times New Roman" w:cs="Times New Roman"/>
          <w:sz w:val="28"/>
          <w:szCs w:val="28"/>
        </w:rPr>
        <w:t xml:space="preserve"> she </w:t>
      </w:r>
      <w:r w:rsidR="00016112" w:rsidRPr="00224014">
        <w:rPr>
          <w:rFonts w:ascii="Times New Roman" w:hAnsi="Times New Roman" w:cs="Times New Roman"/>
          <w:sz w:val="28"/>
          <w:szCs w:val="28"/>
        </w:rPr>
        <w:t xml:space="preserve">had </w:t>
      </w:r>
      <w:r w:rsidR="00476AD1" w:rsidRPr="00224014">
        <w:rPr>
          <w:rFonts w:ascii="Times New Roman" w:hAnsi="Times New Roman" w:cs="Times New Roman"/>
          <w:sz w:val="28"/>
          <w:szCs w:val="28"/>
        </w:rPr>
        <w:t xml:space="preserve">sent a cell phone message to </w:t>
      </w:r>
      <w:proofErr w:type="spellStart"/>
      <w:r w:rsidR="00476AD1" w:rsidRPr="00224014">
        <w:rPr>
          <w:rFonts w:ascii="Times New Roman" w:hAnsi="Times New Roman" w:cs="Times New Roman"/>
          <w:sz w:val="28"/>
          <w:szCs w:val="28"/>
        </w:rPr>
        <w:t>Thembisa</w:t>
      </w:r>
      <w:proofErr w:type="spellEnd"/>
      <w:r w:rsidR="003D7175" w:rsidRPr="00224014">
        <w:rPr>
          <w:rFonts w:ascii="Times New Roman" w:hAnsi="Times New Roman" w:cs="Times New Roman"/>
          <w:sz w:val="28"/>
          <w:szCs w:val="28"/>
        </w:rPr>
        <w:t xml:space="preserve"> on the appellant’s phone</w:t>
      </w:r>
      <w:r w:rsidR="00476AD1" w:rsidRPr="00224014">
        <w:rPr>
          <w:rFonts w:ascii="Times New Roman" w:hAnsi="Times New Roman" w:cs="Times New Roman"/>
          <w:sz w:val="28"/>
          <w:szCs w:val="28"/>
        </w:rPr>
        <w:t xml:space="preserve">, wherein she </w:t>
      </w:r>
      <w:r w:rsidR="00016112" w:rsidRPr="00224014">
        <w:rPr>
          <w:rFonts w:ascii="Times New Roman" w:hAnsi="Times New Roman" w:cs="Times New Roman"/>
          <w:sz w:val="28"/>
          <w:szCs w:val="28"/>
        </w:rPr>
        <w:t xml:space="preserve">had </w:t>
      </w:r>
      <w:r w:rsidR="00476AD1" w:rsidRPr="00224014">
        <w:rPr>
          <w:rFonts w:ascii="Times New Roman" w:hAnsi="Times New Roman" w:cs="Times New Roman"/>
          <w:sz w:val="28"/>
          <w:szCs w:val="28"/>
        </w:rPr>
        <w:t>reported that the appellant had been ‘sleeping’</w:t>
      </w:r>
      <w:r w:rsidR="003D7175" w:rsidRPr="00224014">
        <w:rPr>
          <w:rFonts w:ascii="Times New Roman" w:hAnsi="Times New Roman" w:cs="Times New Roman"/>
          <w:sz w:val="28"/>
          <w:szCs w:val="28"/>
        </w:rPr>
        <w:t xml:space="preserve"> with her. According to the complainant’s evidence </w:t>
      </w:r>
      <w:proofErr w:type="spellStart"/>
      <w:r w:rsidR="003D7175" w:rsidRPr="00224014">
        <w:rPr>
          <w:rFonts w:ascii="Times New Roman" w:hAnsi="Times New Roman" w:cs="Times New Roman"/>
          <w:sz w:val="28"/>
          <w:szCs w:val="28"/>
        </w:rPr>
        <w:t>Thembisa</w:t>
      </w:r>
      <w:proofErr w:type="spellEnd"/>
      <w:r w:rsidR="003D7175" w:rsidRPr="00224014">
        <w:rPr>
          <w:rFonts w:ascii="Times New Roman" w:hAnsi="Times New Roman" w:cs="Times New Roman"/>
          <w:sz w:val="28"/>
          <w:szCs w:val="28"/>
        </w:rPr>
        <w:t xml:space="preserve"> had</w:t>
      </w:r>
      <w:r w:rsidR="00476AD1" w:rsidRPr="00224014">
        <w:rPr>
          <w:rFonts w:ascii="Times New Roman" w:hAnsi="Times New Roman" w:cs="Times New Roman"/>
          <w:sz w:val="28"/>
          <w:szCs w:val="28"/>
        </w:rPr>
        <w:t xml:space="preserve"> responded</w:t>
      </w:r>
      <w:r w:rsidR="00016112" w:rsidRPr="00224014">
        <w:rPr>
          <w:rFonts w:ascii="Times New Roman" w:hAnsi="Times New Roman" w:cs="Times New Roman"/>
          <w:sz w:val="28"/>
          <w:szCs w:val="28"/>
        </w:rPr>
        <w:t>,</w:t>
      </w:r>
      <w:r w:rsidR="00476AD1" w:rsidRPr="00224014">
        <w:rPr>
          <w:rFonts w:ascii="Times New Roman" w:hAnsi="Times New Roman" w:cs="Times New Roman"/>
          <w:sz w:val="28"/>
          <w:szCs w:val="28"/>
        </w:rPr>
        <w:t xml:space="preserve"> saying that she would fetch the complainant. When she did not, the complainant </w:t>
      </w:r>
      <w:r w:rsidR="00AA401F" w:rsidRPr="00224014">
        <w:rPr>
          <w:rFonts w:ascii="Times New Roman" w:hAnsi="Times New Roman" w:cs="Times New Roman"/>
          <w:sz w:val="28"/>
          <w:szCs w:val="28"/>
        </w:rPr>
        <w:t xml:space="preserve">had </w:t>
      </w:r>
      <w:r w:rsidR="00476AD1" w:rsidRPr="00224014">
        <w:rPr>
          <w:rFonts w:ascii="Times New Roman" w:hAnsi="Times New Roman" w:cs="Times New Roman"/>
          <w:sz w:val="28"/>
          <w:szCs w:val="28"/>
        </w:rPr>
        <w:t>sent the same message to Agnes, who ultimately arrived with the police. The complainant was adamant in her evidence that t</w:t>
      </w:r>
      <w:r w:rsidR="00AA401F" w:rsidRPr="00224014">
        <w:rPr>
          <w:rFonts w:ascii="Times New Roman" w:hAnsi="Times New Roman" w:cs="Times New Roman"/>
          <w:sz w:val="28"/>
          <w:szCs w:val="28"/>
        </w:rPr>
        <w:t>he appellant had</w:t>
      </w:r>
      <w:r w:rsidR="003D7175" w:rsidRPr="00224014">
        <w:rPr>
          <w:rFonts w:ascii="Times New Roman" w:hAnsi="Times New Roman" w:cs="Times New Roman"/>
          <w:sz w:val="28"/>
          <w:szCs w:val="28"/>
        </w:rPr>
        <w:t xml:space="preserve"> not rape</w:t>
      </w:r>
      <w:r w:rsidR="00AA401F" w:rsidRPr="00224014">
        <w:rPr>
          <w:rFonts w:ascii="Times New Roman" w:hAnsi="Times New Roman" w:cs="Times New Roman"/>
          <w:sz w:val="28"/>
          <w:szCs w:val="28"/>
        </w:rPr>
        <w:t>d</w:t>
      </w:r>
      <w:r w:rsidR="003D7175" w:rsidRPr="00224014">
        <w:rPr>
          <w:rFonts w:ascii="Times New Roman" w:hAnsi="Times New Roman" w:cs="Times New Roman"/>
          <w:sz w:val="28"/>
          <w:szCs w:val="28"/>
        </w:rPr>
        <w:t xml:space="preserve"> her during</w:t>
      </w:r>
      <w:r w:rsidR="00476AD1" w:rsidRPr="00224014">
        <w:rPr>
          <w:rFonts w:ascii="Times New Roman" w:hAnsi="Times New Roman" w:cs="Times New Roman"/>
          <w:sz w:val="28"/>
          <w:szCs w:val="28"/>
        </w:rPr>
        <w:t xml:space="preserve"> July 2016. She also did not mention that he </w:t>
      </w:r>
      <w:r w:rsidR="00AA401F" w:rsidRPr="00224014">
        <w:rPr>
          <w:rFonts w:ascii="Times New Roman" w:hAnsi="Times New Roman" w:cs="Times New Roman"/>
          <w:sz w:val="28"/>
          <w:szCs w:val="28"/>
        </w:rPr>
        <w:t xml:space="preserve">had </w:t>
      </w:r>
      <w:r w:rsidR="00476AD1" w:rsidRPr="00224014">
        <w:rPr>
          <w:rFonts w:ascii="Times New Roman" w:hAnsi="Times New Roman" w:cs="Times New Roman"/>
          <w:sz w:val="28"/>
          <w:szCs w:val="28"/>
        </w:rPr>
        <w:t>assaulted her with a sjambok, as testified to by Agnes. During</w:t>
      </w:r>
      <w:r w:rsidR="00AA401F" w:rsidRPr="00224014">
        <w:rPr>
          <w:rFonts w:ascii="Times New Roman" w:hAnsi="Times New Roman" w:cs="Times New Roman"/>
          <w:sz w:val="28"/>
          <w:szCs w:val="28"/>
        </w:rPr>
        <w:t xml:space="preserve"> cross-</w:t>
      </w:r>
      <w:r w:rsidR="003D7175" w:rsidRPr="00224014">
        <w:rPr>
          <w:rFonts w:ascii="Times New Roman" w:hAnsi="Times New Roman" w:cs="Times New Roman"/>
          <w:sz w:val="28"/>
          <w:szCs w:val="28"/>
        </w:rPr>
        <w:t>examination she alleged</w:t>
      </w:r>
      <w:r w:rsidR="00476AD1" w:rsidRPr="00224014">
        <w:rPr>
          <w:rFonts w:ascii="Times New Roman" w:hAnsi="Times New Roman" w:cs="Times New Roman"/>
          <w:sz w:val="28"/>
          <w:szCs w:val="28"/>
        </w:rPr>
        <w:t xml:space="preserve"> that the appellant </w:t>
      </w:r>
      <w:r w:rsidR="00AA401F" w:rsidRPr="00224014">
        <w:rPr>
          <w:rFonts w:ascii="Times New Roman" w:hAnsi="Times New Roman" w:cs="Times New Roman"/>
          <w:sz w:val="28"/>
          <w:szCs w:val="28"/>
        </w:rPr>
        <w:t xml:space="preserve">had </w:t>
      </w:r>
      <w:r w:rsidR="00476AD1" w:rsidRPr="00224014">
        <w:rPr>
          <w:rFonts w:ascii="Times New Roman" w:hAnsi="Times New Roman" w:cs="Times New Roman"/>
          <w:sz w:val="28"/>
          <w:szCs w:val="28"/>
        </w:rPr>
        <w:t>raped her once on Saturday, 23 July 2016</w:t>
      </w:r>
      <w:r w:rsidR="00D11DE6" w:rsidRPr="00224014">
        <w:rPr>
          <w:rFonts w:ascii="Times New Roman" w:hAnsi="Times New Roman" w:cs="Times New Roman"/>
          <w:sz w:val="28"/>
          <w:szCs w:val="28"/>
        </w:rPr>
        <w:t>, but n</w:t>
      </w:r>
      <w:r w:rsidR="003D7175" w:rsidRPr="00224014">
        <w:rPr>
          <w:rFonts w:ascii="Times New Roman" w:hAnsi="Times New Roman" w:cs="Times New Roman"/>
          <w:sz w:val="28"/>
          <w:szCs w:val="28"/>
        </w:rPr>
        <w:t>ot on Sunday 24 July 2016, and also not on the Friday and the Satu</w:t>
      </w:r>
      <w:r w:rsidR="008445D0" w:rsidRPr="00224014">
        <w:rPr>
          <w:rFonts w:ascii="Times New Roman" w:hAnsi="Times New Roman" w:cs="Times New Roman"/>
          <w:sz w:val="28"/>
          <w:szCs w:val="28"/>
        </w:rPr>
        <w:t>r</w:t>
      </w:r>
      <w:r w:rsidR="00AA401F" w:rsidRPr="00224014">
        <w:rPr>
          <w:rFonts w:ascii="Times New Roman" w:hAnsi="Times New Roman" w:cs="Times New Roman"/>
          <w:sz w:val="28"/>
          <w:szCs w:val="28"/>
        </w:rPr>
        <w:t>day, which was what had been</w:t>
      </w:r>
      <w:r w:rsidR="003D7175" w:rsidRPr="00224014">
        <w:rPr>
          <w:rFonts w:ascii="Times New Roman" w:hAnsi="Times New Roman" w:cs="Times New Roman"/>
          <w:sz w:val="28"/>
          <w:szCs w:val="28"/>
        </w:rPr>
        <w:t xml:space="preserve"> reflected in the complainan</w:t>
      </w:r>
      <w:r w:rsidR="000612D6" w:rsidRPr="00224014">
        <w:rPr>
          <w:rFonts w:ascii="Times New Roman" w:hAnsi="Times New Roman" w:cs="Times New Roman"/>
          <w:sz w:val="28"/>
          <w:szCs w:val="28"/>
        </w:rPr>
        <w:t>t’s cell phone message to Agnes.</w:t>
      </w:r>
    </w:p>
    <w:p w14:paraId="124D0FBE" w14:textId="77777777" w:rsidR="000612D6" w:rsidRPr="000612D6" w:rsidRDefault="000612D6" w:rsidP="005A6AA1">
      <w:pPr>
        <w:pStyle w:val="ListParagraph"/>
        <w:spacing w:line="360" w:lineRule="auto"/>
        <w:rPr>
          <w:rFonts w:ascii="Times New Roman" w:hAnsi="Times New Roman" w:cs="Times New Roman"/>
          <w:sz w:val="28"/>
          <w:szCs w:val="28"/>
        </w:rPr>
      </w:pPr>
    </w:p>
    <w:p w14:paraId="3161A771" w14:textId="27512CC9" w:rsidR="00BA5E38" w:rsidRPr="00224014" w:rsidRDefault="00224014" w:rsidP="00224014">
      <w:pPr>
        <w:spacing w:line="360" w:lineRule="auto"/>
        <w:jc w:val="both"/>
        <w:rPr>
          <w:rFonts w:ascii="Times New Roman" w:hAnsi="Times New Roman" w:cs="Times New Roman"/>
          <w:sz w:val="28"/>
          <w:szCs w:val="28"/>
          <w:u w:val="single"/>
        </w:rPr>
      </w:pPr>
      <w:r w:rsidRPr="000612D6">
        <w:rPr>
          <w:rFonts w:ascii="Times New Roman" w:hAnsi="Times New Roman" w:cs="Times New Roman"/>
          <w:sz w:val="28"/>
          <w:szCs w:val="28"/>
        </w:rPr>
        <w:lastRenderedPageBreak/>
        <w:t>[38]</w:t>
      </w:r>
      <w:r w:rsidRPr="000612D6">
        <w:rPr>
          <w:rFonts w:ascii="Times New Roman" w:hAnsi="Times New Roman" w:cs="Times New Roman"/>
          <w:sz w:val="28"/>
          <w:szCs w:val="28"/>
        </w:rPr>
        <w:tab/>
      </w:r>
      <w:r w:rsidR="00BA5E38" w:rsidRPr="00224014">
        <w:rPr>
          <w:rFonts w:ascii="Times New Roman" w:hAnsi="Times New Roman" w:cs="Times New Roman"/>
          <w:sz w:val="28"/>
          <w:szCs w:val="28"/>
        </w:rPr>
        <w:t>Before 1998</w:t>
      </w:r>
      <w:r w:rsidR="00AA401F" w:rsidRPr="00224014">
        <w:rPr>
          <w:rFonts w:ascii="Times New Roman" w:hAnsi="Times New Roman" w:cs="Times New Roman"/>
          <w:sz w:val="28"/>
          <w:szCs w:val="28"/>
        </w:rPr>
        <w:t>,</w:t>
      </w:r>
      <w:r w:rsidR="00BA5E38" w:rsidRPr="00224014">
        <w:rPr>
          <w:rFonts w:ascii="Times New Roman" w:hAnsi="Times New Roman" w:cs="Times New Roman"/>
          <w:sz w:val="28"/>
          <w:szCs w:val="28"/>
        </w:rPr>
        <w:t xml:space="preserve"> our law took the view that the cautionary rule which applied to accomplices, should be applied in much the same way to the evidence of a complainant in a sexual matter.</w:t>
      </w:r>
      <w:r w:rsidR="00BA5E38">
        <w:rPr>
          <w:rStyle w:val="FootnoteReference"/>
          <w:rFonts w:ascii="Times New Roman" w:hAnsi="Times New Roman" w:cs="Times New Roman"/>
          <w:sz w:val="28"/>
          <w:szCs w:val="28"/>
        </w:rPr>
        <w:footnoteReference w:id="20"/>
      </w:r>
      <w:r w:rsidR="00BA5E38" w:rsidRPr="00224014">
        <w:rPr>
          <w:rFonts w:ascii="Times New Roman" w:hAnsi="Times New Roman" w:cs="Times New Roman"/>
          <w:sz w:val="28"/>
          <w:szCs w:val="28"/>
        </w:rPr>
        <w:t xml:space="preserve"> It was accepted however that such witnesses, unlike accomplices, were not criminals, and as such, different considerations ought to be applied to their evidence. In an attempt to distinguish the rape complainant from an accomplice, without throwing caution to the wind, the courts divided the inherent risks in the testimony of the former into three basic categories:</w:t>
      </w:r>
    </w:p>
    <w:p w14:paraId="0A617578" w14:textId="77777777" w:rsidR="00BA5E38" w:rsidRPr="00BA5E38" w:rsidRDefault="00BA5E38" w:rsidP="00BA5E38">
      <w:pPr>
        <w:pStyle w:val="ListParagraph"/>
        <w:rPr>
          <w:rFonts w:ascii="Times New Roman" w:hAnsi="Times New Roman" w:cs="Times New Roman"/>
          <w:sz w:val="28"/>
          <w:szCs w:val="28"/>
          <w:u w:val="single"/>
        </w:rPr>
      </w:pPr>
    </w:p>
    <w:p w14:paraId="57E420C8" w14:textId="23DE977A" w:rsidR="00BA5E38" w:rsidRPr="00224014" w:rsidRDefault="00224014" w:rsidP="00224014">
      <w:pPr>
        <w:spacing w:line="360" w:lineRule="auto"/>
        <w:ind w:left="1080" w:hanging="360"/>
        <w:jc w:val="both"/>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r>
      <w:r w:rsidR="00BA5E38" w:rsidRPr="00224014">
        <w:rPr>
          <w:rFonts w:ascii="Times New Roman" w:hAnsi="Times New Roman" w:cs="Times New Roman"/>
          <w:sz w:val="28"/>
          <w:szCs w:val="28"/>
        </w:rPr>
        <w:t>The presence of various motives that may induce a complainant to substitu</w:t>
      </w:r>
      <w:r w:rsidR="008445D0" w:rsidRPr="00224014">
        <w:rPr>
          <w:rFonts w:ascii="Times New Roman" w:hAnsi="Times New Roman" w:cs="Times New Roman"/>
          <w:sz w:val="28"/>
          <w:szCs w:val="28"/>
        </w:rPr>
        <w:t>te the real culprit with the accused.</w:t>
      </w:r>
      <w:r w:rsidR="00965FBB">
        <w:rPr>
          <w:rStyle w:val="FootnoteReference"/>
          <w:rFonts w:ascii="Times New Roman" w:hAnsi="Times New Roman" w:cs="Times New Roman"/>
          <w:sz w:val="28"/>
          <w:szCs w:val="28"/>
        </w:rPr>
        <w:footnoteReference w:id="21"/>
      </w:r>
      <w:r w:rsidR="00965FBB" w:rsidRPr="00224014">
        <w:rPr>
          <w:rFonts w:ascii="Times New Roman" w:hAnsi="Times New Roman" w:cs="Times New Roman"/>
          <w:sz w:val="28"/>
          <w:szCs w:val="28"/>
        </w:rPr>
        <w:t xml:space="preserve"> According to Milne AJ in </w:t>
      </w:r>
      <w:r w:rsidR="00965FBB" w:rsidRPr="00224014">
        <w:rPr>
          <w:rFonts w:ascii="Times New Roman" w:hAnsi="Times New Roman" w:cs="Times New Roman"/>
          <w:i/>
          <w:sz w:val="28"/>
          <w:szCs w:val="28"/>
        </w:rPr>
        <w:t>R v M</w:t>
      </w:r>
      <w:r w:rsidR="00AA401F" w:rsidRPr="00224014">
        <w:rPr>
          <w:rFonts w:ascii="Times New Roman" w:hAnsi="Times New Roman" w:cs="Times New Roman"/>
          <w:i/>
          <w:sz w:val="28"/>
          <w:szCs w:val="28"/>
        </w:rPr>
        <w:t>,</w:t>
      </w:r>
      <w:r w:rsidR="00965FBB">
        <w:rPr>
          <w:rStyle w:val="FootnoteReference"/>
          <w:rFonts w:ascii="Times New Roman" w:hAnsi="Times New Roman" w:cs="Times New Roman"/>
          <w:i/>
          <w:sz w:val="28"/>
          <w:szCs w:val="28"/>
        </w:rPr>
        <w:footnoteReference w:id="22"/>
      </w:r>
      <w:r w:rsidR="00965FBB" w:rsidRPr="00224014">
        <w:rPr>
          <w:rFonts w:ascii="Times New Roman" w:hAnsi="Times New Roman" w:cs="Times New Roman"/>
          <w:i/>
          <w:sz w:val="28"/>
          <w:szCs w:val="28"/>
        </w:rPr>
        <w:t xml:space="preserve"> </w:t>
      </w:r>
      <w:r w:rsidR="00965FBB" w:rsidRPr="00224014">
        <w:rPr>
          <w:rFonts w:ascii="Times New Roman" w:hAnsi="Times New Roman" w:cs="Times New Roman"/>
          <w:sz w:val="28"/>
          <w:szCs w:val="28"/>
        </w:rPr>
        <w:t>charges of immorality were ‘easy for woman to formulate but difficult for man to refute’ and ‘[a]s a mode of obtaining vengeance for any affront to a woman’s pride and dignity, the bringing of a charge of this kind is probably without equal.’</w:t>
      </w:r>
    </w:p>
    <w:p w14:paraId="65CA8E97" w14:textId="77777777" w:rsidR="008445D0" w:rsidRDefault="008445D0" w:rsidP="008445D0">
      <w:pPr>
        <w:pStyle w:val="ListParagraph"/>
        <w:spacing w:line="360" w:lineRule="auto"/>
        <w:ind w:left="1080"/>
        <w:jc w:val="both"/>
        <w:rPr>
          <w:rFonts w:ascii="Times New Roman" w:hAnsi="Times New Roman" w:cs="Times New Roman"/>
          <w:sz w:val="28"/>
          <w:szCs w:val="28"/>
        </w:rPr>
      </w:pPr>
    </w:p>
    <w:p w14:paraId="26CD3350" w14:textId="41FC9C10" w:rsidR="00965FBB" w:rsidRPr="00224014" w:rsidRDefault="00224014" w:rsidP="00224014">
      <w:pPr>
        <w:spacing w:line="360" w:lineRule="auto"/>
        <w:ind w:left="1080" w:hanging="360"/>
        <w:jc w:val="both"/>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r>
      <w:r w:rsidR="00965FBB" w:rsidRPr="00224014">
        <w:rPr>
          <w:rFonts w:ascii="Times New Roman" w:hAnsi="Times New Roman" w:cs="Times New Roman"/>
          <w:sz w:val="28"/>
          <w:szCs w:val="28"/>
        </w:rPr>
        <w:t>The danger that a frightened woman, especially if inclined to hysteria, might imagine that certain things had happened to her, which had not happened at all.</w:t>
      </w:r>
      <w:r w:rsidR="00965FBB">
        <w:rPr>
          <w:rStyle w:val="FootnoteReference"/>
          <w:rFonts w:ascii="Times New Roman" w:hAnsi="Times New Roman" w:cs="Times New Roman"/>
          <w:sz w:val="28"/>
          <w:szCs w:val="28"/>
        </w:rPr>
        <w:footnoteReference w:id="23"/>
      </w:r>
    </w:p>
    <w:p w14:paraId="29365297" w14:textId="77777777" w:rsidR="004823F1" w:rsidRDefault="004823F1" w:rsidP="004823F1">
      <w:pPr>
        <w:pStyle w:val="ListParagraph"/>
        <w:spacing w:line="360" w:lineRule="auto"/>
        <w:jc w:val="both"/>
        <w:rPr>
          <w:rFonts w:ascii="Times New Roman" w:hAnsi="Times New Roman" w:cs="Times New Roman"/>
          <w:sz w:val="28"/>
          <w:szCs w:val="28"/>
        </w:rPr>
      </w:pPr>
    </w:p>
    <w:p w14:paraId="240B2C1F" w14:textId="14ED4724" w:rsidR="00965FBB" w:rsidRPr="00224014" w:rsidRDefault="00224014" w:rsidP="00224014">
      <w:pPr>
        <w:spacing w:line="360" w:lineRule="auto"/>
        <w:ind w:left="1080" w:hanging="360"/>
        <w:jc w:val="both"/>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cs="Times New Roman"/>
          <w:sz w:val="28"/>
          <w:szCs w:val="28"/>
        </w:rPr>
        <w:tab/>
      </w:r>
      <w:r w:rsidR="00965FBB" w:rsidRPr="00224014">
        <w:rPr>
          <w:rFonts w:ascii="Times New Roman" w:hAnsi="Times New Roman" w:cs="Times New Roman"/>
          <w:sz w:val="28"/>
          <w:szCs w:val="28"/>
        </w:rPr>
        <w:t>The decep</w:t>
      </w:r>
      <w:r w:rsidR="004823F1" w:rsidRPr="00224014">
        <w:rPr>
          <w:rFonts w:ascii="Times New Roman" w:hAnsi="Times New Roman" w:cs="Times New Roman"/>
          <w:sz w:val="28"/>
          <w:szCs w:val="28"/>
        </w:rPr>
        <w:t>tive facility such a witness, who had actually participated in the sexual act with a person other than the accused (not unlike the accomplice)</w:t>
      </w:r>
      <w:r w:rsidR="00965FBB" w:rsidRPr="00224014">
        <w:rPr>
          <w:rFonts w:ascii="Times New Roman" w:hAnsi="Times New Roman" w:cs="Times New Roman"/>
          <w:sz w:val="28"/>
          <w:szCs w:val="28"/>
        </w:rPr>
        <w:t xml:space="preserve"> had for convincing testimony</w:t>
      </w:r>
      <w:r w:rsidR="004823F1" w:rsidRPr="00224014">
        <w:rPr>
          <w:rFonts w:ascii="Times New Roman" w:hAnsi="Times New Roman" w:cs="Times New Roman"/>
          <w:sz w:val="28"/>
          <w:szCs w:val="28"/>
        </w:rPr>
        <w:t>, by merely substituting the actual participant with the accused.</w:t>
      </w:r>
      <w:r w:rsidR="004823F1">
        <w:rPr>
          <w:rStyle w:val="FootnoteReference"/>
          <w:rFonts w:ascii="Times New Roman" w:hAnsi="Times New Roman" w:cs="Times New Roman"/>
          <w:sz w:val="28"/>
          <w:szCs w:val="28"/>
        </w:rPr>
        <w:footnoteReference w:id="24"/>
      </w:r>
    </w:p>
    <w:p w14:paraId="5BA85CC1" w14:textId="77777777" w:rsidR="004823F1" w:rsidRPr="004823F1" w:rsidRDefault="004823F1" w:rsidP="005A6AA1">
      <w:pPr>
        <w:pStyle w:val="ListParagraph"/>
        <w:spacing w:line="360" w:lineRule="auto"/>
        <w:rPr>
          <w:rFonts w:ascii="Times New Roman" w:hAnsi="Times New Roman" w:cs="Times New Roman"/>
          <w:sz w:val="28"/>
          <w:szCs w:val="28"/>
        </w:rPr>
      </w:pPr>
    </w:p>
    <w:p w14:paraId="64FB3A7E" w14:textId="4AD8C8D1" w:rsidR="004823F1" w:rsidRPr="00224014" w:rsidRDefault="00224014" w:rsidP="00224014">
      <w:pPr>
        <w:spacing w:line="360" w:lineRule="auto"/>
        <w:jc w:val="both"/>
        <w:rPr>
          <w:rFonts w:ascii="Times New Roman" w:hAnsi="Times New Roman" w:cs="Times New Roman"/>
          <w:sz w:val="28"/>
          <w:szCs w:val="28"/>
        </w:rPr>
      </w:pPr>
      <w:r>
        <w:rPr>
          <w:rFonts w:ascii="Times New Roman" w:hAnsi="Times New Roman" w:cs="Times New Roman"/>
          <w:sz w:val="28"/>
          <w:szCs w:val="28"/>
        </w:rPr>
        <w:t>[39]</w:t>
      </w:r>
      <w:r>
        <w:rPr>
          <w:rFonts w:ascii="Times New Roman" w:hAnsi="Times New Roman" w:cs="Times New Roman"/>
          <w:sz w:val="28"/>
          <w:szCs w:val="28"/>
        </w:rPr>
        <w:tab/>
      </w:r>
      <w:r w:rsidR="004823F1" w:rsidRPr="00224014">
        <w:rPr>
          <w:rFonts w:ascii="Times New Roman" w:hAnsi="Times New Roman" w:cs="Times New Roman"/>
          <w:sz w:val="28"/>
          <w:szCs w:val="28"/>
        </w:rPr>
        <w:t xml:space="preserve">Courts were accordingly encouraged to seek some safeguard, such as corroboration, which would reduce the risk of a wrong conviction. This position however, changed with the dawn of the constitutional era. </w:t>
      </w:r>
      <w:r w:rsidR="00583FA6" w:rsidRPr="00224014">
        <w:rPr>
          <w:rFonts w:ascii="Times New Roman" w:hAnsi="Times New Roman" w:cs="Times New Roman"/>
          <w:sz w:val="28"/>
          <w:szCs w:val="28"/>
        </w:rPr>
        <w:t>The majority view was that this cautionary rule had no basis for its existence other than to discriminate against women, who were</w:t>
      </w:r>
      <w:r w:rsidR="00C70A3F" w:rsidRPr="00224014">
        <w:rPr>
          <w:rFonts w:ascii="Times New Roman" w:hAnsi="Times New Roman" w:cs="Times New Roman"/>
          <w:sz w:val="28"/>
          <w:szCs w:val="28"/>
        </w:rPr>
        <w:t xml:space="preserve"> in the majority as far a</w:t>
      </w:r>
      <w:r w:rsidR="008445D0" w:rsidRPr="00224014">
        <w:rPr>
          <w:rFonts w:ascii="Times New Roman" w:hAnsi="Times New Roman" w:cs="Times New Roman"/>
          <w:sz w:val="28"/>
          <w:szCs w:val="28"/>
        </w:rPr>
        <w:t>s complaints</w:t>
      </w:r>
      <w:r w:rsidR="00C70A3F" w:rsidRPr="00224014">
        <w:rPr>
          <w:rFonts w:ascii="Times New Roman" w:hAnsi="Times New Roman" w:cs="Times New Roman"/>
          <w:sz w:val="28"/>
          <w:szCs w:val="28"/>
        </w:rPr>
        <w:t xml:space="preserve"> in respect of sexual assaults were concerned. </w:t>
      </w:r>
      <w:r w:rsidR="00045589" w:rsidRPr="00224014">
        <w:rPr>
          <w:rFonts w:ascii="Times New Roman" w:hAnsi="Times New Roman" w:cs="Times New Roman"/>
          <w:sz w:val="28"/>
          <w:szCs w:val="28"/>
        </w:rPr>
        <w:t xml:space="preserve"> After some deliberation</w:t>
      </w:r>
      <w:r w:rsidR="008445D0" w:rsidRPr="00224014">
        <w:rPr>
          <w:rFonts w:ascii="Times New Roman" w:hAnsi="Times New Roman" w:cs="Times New Roman"/>
          <w:sz w:val="28"/>
          <w:szCs w:val="28"/>
        </w:rPr>
        <w:t>,</w:t>
      </w:r>
      <w:r w:rsidR="00045589" w:rsidRPr="00224014">
        <w:rPr>
          <w:rFonts w:ascii="Times New Roman" w:hAnsi="Times New Roman" w:cs="Times New Roman"/>
          <w:sz w:val="28"/>
          <w:szCs w:val="28"/>
        </w:rPr>
        <w:t xml:space="preserve"> the rule was eventually abolished by the SCA in </w:t>
      </w:r>
      <w:r w:rsidR="00045589" w:rsidRPr="00224014">
        <w:rPr>
          <w:rFonts w:ascii="Times New Roman" w:hAnsi="Times New Roman" w:cs="Times New Roman"/>
          <w:i/>
          <w:sz w:val="28"/>
          <w:szCs w:val="28"/>
        </w:rPr>
        <w:t>S v Jackson.</w:t>
      </w:r>
      <w:r w:rsidR="00045589">
        <w:rPr>
          <w:rStyle w:val="FootnoteReference"/>
          <w:rFonts w:ascii="Times New Roman" w:hAnsi="Times New Roman" w:cs="Times New Roman"/>
          <w:i/>
          <w:sz w:val="28"/>
          <w:szCs w:val="28"/>
        </w:rPr>
        <w:footnoteReference w:id="25"/>
      </w:r>
      <w:r w:rsidR="00045589" w:rsidRPr="00224014">
        <w:rPr>
          <w:rFonts w:ascii="Times New Roman" w:hAnsi="Times New Roman" w:cs="Times New Roman"/>
          <w:i/>
          <w:sz w:val="28"/>
          <w:szCs w:val="28"/>
        </w:rPr>
        <w:t xml:space="preserve"> </w:t>
      </w:r>
      <w:r w:rsidR="008259F9" w:rsidRPr="00224014">
        <w:rPr>
          <w:rFonts w:ascii="Times New Roman" w:hAnsi="Times New Roman" w:cs="Times New Roman"/>
          <w:i/>
          <w:sz w:val="28"/>
          <w:szCs w:val="28"/>
        </w:rPr>
        <w:t xml:space="preserve"> </w:t>
      </w:r>
      <w:r w:rsidR="00045589" w:rsidRPr="00224014">
        <w:rPr>
          <w:rFonts w:ascii="Times New Roman" w:hAnsi="Times New Roman" w:cs="Times New Roman"/>
          <w:sz w:val="28"/>
          <w:szCs w:val="28"/>
        </w:rPr>
        <w:t>It was held that the rule, which had already been</w:t>
      </w:r>
      <w:r w:rsidR="00C70A3F" w:rsidRPr="00224014">
        <w:rPr>
          <w:rFonts w:ascii="Times New Roman" w:hAnsi="Times New Roman" w:cs="Times New Roman"/>
          <w:sz w:val="28"/>
          <w:szCs w:val="28"/>
        </w:rPr>
        <w:t xml:space="preserve"> abolished</w:t>
      </w:r>
      <w:r w:rsidR="00045589" w:rsidRPr="00224014">
        <w:rPr>
          <w:rFonts w:ascii="Times New Roman" w:hAnsi="Times New Roman" w:cs="Times New Roman"/>
          <w:sz w:val="28"/>
          <w:szCs w:val="28"/>
        </w:rPr>
        <w:t xml:space="preserve"> in comparable modern systems such as Namibia, Canada, Australia and New Zealand, was based on an irrational and out-dated perception which </w:t>
      </w:r>
      <w:r w:rsidR="00C70A3F" w:rsidRPr="00224014">
        <w:rPr>
          <w:rFonts w:ascii="Times New Roman" w:hAnsi="Times New Roman" w:cs="Times New Roman"/>
          <w:sz w:val="28"/>
          <w:szCs w:val="28"/>
        </w:rPr>
        <w:t>unjustly stereotyped</w:t>
      </w:r>
      <w:r w:rsidR="00045589" w:rsidRPr="00224014">
        <w:rPr>
          <w:rFonts w:ascii="Times New Roman" w:hAnsi="Times New Roman" w:cs="Times New Roman"/>
          <w:sz w:val="28"/>
          <w:szCs w:val="28"/>
        </w:rPr>
        <w:t xml:space="preserve"> complainants in sexual cases (mainly women) as particularly unreliable, with the result that, although evidence in a particular case might call for a cautionary approach, there was no warrant f</w:t>
      </w:r>
      <w:r w:rsidR="00C70A3F" w:rsidRPr="00224014">
        <w:rPr>
          <w:rFonts w:ascii="Times New Roman" w:hAnsi="Times New Roman" w:cs="Times New Roman"/>
          <w:sz w:val="28"/>
          <w:szCs w:val="28"/>
        </w:rPr>
        <w:t xml:space="preserve">or the application of a blanket-type </w:t>
      </w:r>
      <w:r w:rsidR="00045589" w:rsidRPr="00224014">
        <w:rPr>
          <w:rFonts w:ascii="Times New Roman" w:hAnsi="Times New Roman" w:cs="Times New Roman"/>
          <w:sz w:val="28"/>
          <w:szCs w:val="28"/>
        </w:rPr>
        <w:t>cautionary rule.</w:t>
      </w:r>
      <w:r w:rsidR="00045589">
        <w:rPr>
          <w:rStyle w:val="FootnoteReference"/>
          <w:rFonts w:ascii="Times New Roman" w:hAnsi="Times New Roman" w:cs="Times New Roman"/>
          <w:sz w:val="28"/>
          <w:szCs w:val="28"/>
        </w:rPr>
        <w:footnoteReference w:id="26"/>
      </w:r>
      <w:r w:rsidR="002F1C8C" w:rsidRPr="00224014">
        <w:rPr>
          <w:rFonts w:ascii="Times New Roman" w:hAnsi="Times New Roman" w:cs="Times New Roman"/>
          <w:sz w:val="28"/>
          <w:szCs w:val="28"/>
        </w:rPr>
        <w:t xml:space="preserve"> </w:t>
      </w:r>
      <w:r w:rsidR="008259F9" w:rsidRPr="00224014">
        <w:rPr>
          <w:rFonts w:ascii="Times New Roman" w:hAnsi="Times New Roman" w:cs="Times New Roman"/>
          <w:sz w:val="28"/>
          <w:szCs w:val="28"/>
        </w:rPr>
        <w:t xml:space="preserve"> </w:t>
      </w:r>
      <w:r w:rsidR="002F1C8C" w:rsidRPr="00224014">
        <w:rPr>
          <w:rFonts w:ascii="Times New Roman" w:hAnsi="Times New Roman" w:cs="Times New Roman"/>
          <w:sz w:val="28"/>
          <w:szCs w:val="28"/>
        </w:rPr>
        <w:t xml:space="preserve">The matter has now, in any event, been taken further by the legislature. Section 60 of the Criminal Law (Sexual Offences and Related Matters) Amendment Act 32 of 2007 (the Sexual </w:t>
      </w:r>
      <w:r w:rsidR="008445D0" w:rsidRPr="00224014">
        <w:rPr>
          <w:rFonts w:ascii="Times New Roman" w:hAnsi="Times New Roman" w:cs="Times New Roman"/>
          <w:sz w:val="28"/>
          <w:szCs w:val="28"/>
        </w:rPr>
        <w:t>Offences Act)</w:t>
      </w:r>
      <w:r w:rsidR="00AA401F" w:rsidRPr="00224014">
        <w:rPr>
          <w:rFonts w:ascii="Times New Roman" w:hAnsi="Times New Roman" w:cs="Times New Roman"/>
          <w:sz w:val="28"/>
          <w:szCs w:val="28"/>
        </w:rPr>
        <w:t>,</w:t>
      </w:r>
      <w:r w:rsidR="008445D0" w:rsidRPr="00224014">
        <w:rPr>
          <w:rFonts w:ascii="Times New Roman" w:hAnsi="Times New Roman" w:cs="Times New Roman"/>
          <w:sz w:val="28"/>
          <w:szCs w:val="28"/>
        </w:rPr>
        <w:t xml:space="preserve"> provides that not</w:t>
      </w:r>
      <w:r w:rsidR="002F1C8C" w:rsidRPr="00224014">
        <w:rPr>
          <w:rFonts w:ascii="Times New Roman" w:hAnsi="Times New Roman" w:cs="Times New Roman"/>
          <w:sz w:val="28"/>
          <w:szCs w:val="28"/>
        </w:rPr>
        <w:t xml:space="preserve">withstanding any other law, a court may not treat the evidence </w:t>
      </w:r>
      <w:r w:rsidR="006114FA" w:rsidRPr="00224014">
        <w:rPr>
          <w:rFonts w:ascii="Times New Roman" w:hAnsi="Times New Roman" w:cs="Times New Roman"/>
          <w:sz w:val="28"/>
          <w:szCs w:val="28"/>
        </w:rPr>
        <w:t>of a complainant in sexual offence matters with caution on account of the nature of the offence. It is clear that courts should continue exercising their discretion, but that the treatment of evidence with caution when the only reason to do so is because it involves a sexual offence, will no longer be tolerated. So too, the failure by the complainant to raise the proverbial hue and cry at the first reasonable opportunity. Of relevance to the matter before us, are two further sections of the Sexual Offences Act which require particular scrutiny as having codified departures from the pre-constitutional era. They are ss 58 and 59, which read as follows:</w:t>
      </w:r>
    </w:p>
    <w:p w14:paraId="14FFE093" w14:textId="77777777" w:rsidR="00D56D03" w:rsidRDefault="00D56D03" w:rsidP="00D56D03">
      <w:pPr>
        <w:pStyle w:val="ListParagraph"/>
        <w:spacing w:line="360" w:lineRule="auto"/>
        <w:jc w:val="both"/>
        <w:rPr>
          <w:rFonts w:ascii="Times New Roman" w:hAnsi="Times New Roman" w:cs="Times New Roman"/>
          <w:sz w:val="28"/>
          <w:szCs w:val="28"/>
        </w:rPr>
      </w:pPr>
    </w:p>
    <w:p w14:paraId="375710FD" w14:textId="77777777" w:rsidR="006114FA" w:rsidRDefault="00E943FC" w:rsidP="006114FA">
      <w:pPr>
        <w:pStyle w:val="ListParagraph"/>
        <w:spacing w:line="360" w:lineRule="auto"/>
        <w:jc w:val="both"/>
        <w:rPr>
          <w:rFonts w:ascii="Times New Roman" w:hAnsi="Times New Roman" w:cs="Times New Roman"/>
          <w:b/>
          <w:sz w:val="24"/>
          <w:szCs w:val="24"/>
        </w:rPr>
      </w:pPr>
      <w:r>
        <w:rPr>
          <w:rFonts w:ascii="Times New Roman" w:hAnsi="Times New Roman" w:cs="Times New Roman"/>
          <w:sz w:val="24"/>
          <w:szCs w:val="24"/>
        </w:rPr>
        <w:t>‘</w:t>
      </w:r>
      <w:r w:rsidR="006114FA">
        <w:rPr>
          <w:rFonts w:ascii="Times New Roman" w:hAnsi="Times New Roman" w:cs="Times New Roman"/>
          <w:b/>
          <w:sz w:val="24"/>
          <w:szCs w:val="24"/>
        </w:rPr>
        <w:t>58 Evidence of previous consistent statements</w:t>
      </w:r>
    </w:p>
    <w:p w14:paraId="22338C7C" w14:textId="77777777" w:rsidR="00D56D03" w:rsidRDefault="00D56D03" w:rsidP="006114FA">
      <w:pPr>
        <w:pStyle w:val="ListParagraph"/>
        <w:spacing w:line="360" w:lineRule="auto"/>
        <w:jc w:val="both"/>
        <w:rPr>
          <w:rFonts w:ascii="Times New Roman" w:hAnsi="Times New Roman" w:cs="Times New Roman"/>
          <w:b/>
          <w:sz w:val="24"/>
          <w:szCs w:val="24"/>
        </w:rPr>
      </w:pPr>
    </w:p>
    <w:p w14:paraId="2EA12AF8" w14:textId="77777777" w:rsidR="006114FA" w:rsidRDefault="006114FA" w:rsidP="006114FA">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Evidence relating to previous consistent statements by a complainant shall be admissible in criminal proceedings involving the alleged commission of a sexual offence: Provided that the court may not draw any inference </w:t>
      </w:r>
      <w:r>
        <w:rPr>
          <w:rFonts w:ascii="Times New Roman" w:hAnsi="Times New Roman" w:cs="Times New Roman"/>
          <w:i/>
          <w:sz w:val="24"/>
          <w:szCs w:val="24"/>
        </w:rPr>
        <w:t xml:space="preserve">only </w:t>
      </w:r>
      <w:r w:rsidR="00E943FC">
        <w:rPr>
          <w:rFonts w:ascii="Times New Roman" w:hAnsi="Times New Roman" w:cs="Times New Roman"/>
          <w:sz w:val="24"/>
          <w:szCs w:val="24"/>
        </w:rPr>
        <w:t>(italics added) from the absence of such previous consistent statement.</w:t>
      </w:r>
    </w:p>
    <w:p w14:paraId="77FA2F3A" w14:textId="77777777" w:rsidR="00E943FC" w:rsidRDefault="00E943FC" w:rsidP="006114FA">
      <w:pPr>
        <w:pStyle w:val="ListParagraph"/>
        <w:spacing w:line="360" w:lineRule="auto"/>
        <w:jc w:val="both"/>
        <w:rPr>
          <w:rFonts w:ascii="Times New Roman" w:hAnsi="Times New Roman" w:cs="Times New Roman"/>
          <w:sz w:val="24"/>
          <w:szCs w:val="24"/>
        </w:rPr>
      </w:pPr>
    </w:p>
    <w:p w14:paraId="53F2BAAE" w14:textId="77777777" w:rsidR="00E943FC" w:rsidRDefault="00E943FC" w:rsidP="006114FA">
      <w:pPr>
        <w:pStyle w:val="ListParagraph"/>
        <w:spacing w:line="360" w:lineRule="auto"/>
        <w:jc w:val="both"/>
        <w:rPr>
          <w:rFonts w:ascii="Times New Roman" w:hAnsi="Times New Roman" w:cs="Times New Roman"/>
          <w:b/>
          <w:sz w:val="24"/>
          <w:szCs w:val="24"/>
        </w:rPr>
      </w:pPr>
      <w:r>
        <w:rPr>
          <w:rFonts w:ascii="Times New Roman" w:hAnsi="Times New Roman" w:cs="Times New Roman"/>
          <w:b/>
          <w:sz w:val="24"/>
          <w:szCs w:val="24"/>
        </w:rPr>
        <w:t>59 Evidence of delay in reporting</w:t>
      </w:r>
    </w:p>
    <w:p w14:paraId="21F093BB" w14:textId="77777777" w:rsidR="00E943FC" w:rsidRDefault="00E943FC" w:rsidP="006114FA">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criminal proceedings involving the alleged commission of a sexual offence, the court may not draw an inference </w:t>
      </w:r>
      <w:r>
        <w:rPr>
          <w:rFonts w:ascii="Times New Roman" w:hAnsi="Times New Roman" w:cs="Times New Roman"/>
          <w:i/>
          <w:sz w:val="24"/>
          <w:szCs w:val="24"/>
        </w:rPr>
        <w:t xml:space="preserve">only </w:t>
      </w:r>
      <w:r>
        <w:rPr>
          <w:rFonts w:ascii="Times New Roman" w:hAnsi="Times New Roman" w:cs="Times New Roman"/>
          <w:sz w:val="24"/>
          <w:szCs w:val="24"/>
        </w:rPr>
        <w:t>(italics added) from the length of any delay between the alleged commission of such offence and the reporting thereof.’</w:t>
      </w:r>
    </w:p>
    <w:p w14:paraId="256043B4" w14:textId="77777777" w:rsidR="00D56D03" w:rsidRDefault="00D56D03" w:rsidP="005A6AA1">
      <w:pPr>
        <w:pStyle w:val="ListParagraph"/>
        <w:spacing w:line="360" w:lineRule="auto"/>
        <w:jc w:val="both"/>
        <w:rPr>
          <w:rFonts w:ascii="Times New Roman" w:hAnsi="Times New Roman" w:cs="Times New Roman"/>
          <w:sz w:val="24"/>
          <w:szCs w:val="24"/>
        </w:rPr>
      </w:pPr>
    </w:p>
    <w:p w14:paraId="791210E7" w14:textId="5E86B701" w:rsidR="00975EEF" w:rsidRPr="00224014" w:rsidRDefault="00224014" w:rsidP="00224014">
      <w:pPr>
        <w:spacing w:line="360" w:lineRule="auto"/>
        <w:jc w:val="both"/>
        <w:rPr>
          <w:rFonts w:ascii="Times New Roman" w:hAnsi="Times New Roman" w:cs="Times New Roman"/>
          <w:sz w:val="28"/>
          <w:szCs w:val="28"/>
        </w:rPr>
      </w:pPr>
      <w:r>
        <w:rPr>
          <w:rFonts w:ascii="Times New Roman" w:hAnsi="Times New Roman" w:cs="Times New Roman"/>
          <w:sz w:val="28"/>
          <w:szCs w:val="28"/>
        </w:rPr>
        <w:t>[40]</w:t>
      </w:r>
      <w:r>
        <w:rPr>
          <w:rFonts w:ascii="Times New Roman" w:hAnsi="Times New Roman" w:cs="Times New Roman"/>
          <w:sz w:val="28"/>
          <w:szCs w:val="28"/>
        </w:rPr>
        <w:tab/>
      </w:r>
      <w:r w:rsidR="00E943FC" w:rsidRPr="00224014">
        <w:rPr>
          <w:rFonts w:ascii="Times New Roman" w:hAnsi="Times New Roman" w:cs="Times New Roman"/>
          <w:sz w:val="28"/>
          <w:szCs w:val="28"/>
        </w:rPr>
        <w:t>The failure of a complainant to raise an alarm at the first reasonable opportunity continued, between 1998 and 2007, to be a factor that could militate against the acceptance of the evidence.</w:t>
      </w:r>
      <w:r w:rsidR="00E943FC">
        <w:rPr>
          <w:rStyle w:val="FootnoteReference"/>
          <w:rFonts w:ascii="Times New Roman" w:hAnsi="Times New Roman" w:cs="Times New Roman"/>
          <w:sz w:val="28"/>
          <w:szCs w:val="28"/>
        </w:rPr>
        <w:footnoteReference w:id="27"/>
      </w:r>
      <w:r w:rsidR="00E943FC" w:rsidRPr="00224014">
        <w:rPr>
          <w:rFonts w:ascii="Times New Roman" w:hAnsi="Times New Roman" w:cs="Times New Roman"/>
          <w:sz w:val="28"/>
          <w:szCs w:val="28"/>
        </w:rPr>
        <w:t xml:space="preserve"> But a delay was not necessarily fatal to the prosecution’s case. In </w:t>
      </w:r>
      <w:r w:rsidR="00E943FC" w:rsidRPr="00224014">
        <w:rPr>
          <w:rFonts w:ascii="Times New Roman" w:hAnsi="Times New Roman" w:cs="Times New Roman"/>
          <w:i/>
          <w:sz w:val="28"/>
          <w:szCs w:val="28"/>
        </w:rPr>
        <w:t>S v Cornick &amp; another</w:t>
      </w:r>
      <w:r w:rsidR="00095B34" w:rsidRPr="00224014">
        <w:rPr>
          <w:rFonts w:ascii="Times New Roman" w:hAnsi="Times New Roman" w:cs="Times New Roman"/>
          <w:i/>
          <w:sz w:val="28"/>
          <w:szCs w:val="28"/>
        </w:rPr>
        <w:t>,</w:t>
      </w:r>
      <w:r w:rsidR="00E943FC">
        <w:rPr>
          <w:rStyle w:val="FootnoteReference"/>
          <w:rFonts w:ascii="Times New Roman" w:hAnsi="Times New Roman" w:cs="Times New Roman"/>
          <w:i/>
          <w:sz w:val="28"/>
          <w:szCs w:val="28"/>
        </w:rPr>
        <w:footnoteReference w:id="28"/>
      </w:r>
      <w:r w:rsidR="00E943FC" w:rsidRPr="00224014">
        <w:rPr>
          <w:rFonts w:ascii="Times New Roman" w:hAnsi="Times New Roman" w:cs="Times New Roman"/>
          <w:i/>
          <w:sz w:val="28"/>
          <w:szCs w:val="28"/>
        </w:rPr>
        <w:t xml:space="preserve"> </w:t>
      </w:r>
      <w:r w:rsidR="00D56D03" w:rsidRPr="00224014">
        <w:rPr>
          <w:rFonts w:ascii="Times New Roman" w:hAnsi="Times New Roman" w:cs="Times New Roman"/>
          <w:sz w:val="28"/>
          <w:szCs w:val="28"/>
        </w:rPr>
        <w:t>the SC</w:t>
      </w:r>
      <w:r w:rsidR="00E943FC" w:rsidRPr="00224014">
        <w:rPr>
          <w:rFonts w:ascii="Times New Roman" w:hAnsi="Times New Roman" w:cs="Times New Roman"/>
          <w:sz w:val="28"/>
          <w:szCs w:val="28"/>
        </w:rPr>
        <w:t>A upheld convictions</w:t>
      </w:r>
      <w:r w:rsidR="004960E2" w:rsidRPr="00224014">
        <w:rPr>
          <w:rFonts w:ascii="Times New Roman" w:hAnsi="Times New Roman" w:cs="Times New Roman"/>
          <w:sz w:val="28"/>
          <w:szCs w:val="28"/>
        </w:rPr>
        <w:t xml:space="preserve"> where the complainant</w:t>
      </w:r>
      <w:r w:rsidR="00D56D03" w:rsidRPr="00224014">
        <w:rPr>
          <w:rFonts w:ascii="Times New Roman" w:hAnsi="Times New Roman" w:cs="Times New Roman"/>
          <w:sz w:val="28"/>
          <w:szCs w:val="28"/>
        </w:rPr>
        <w:t xml:space="preserve"> had</w:t>
      </w:r>
      <w:r w:rsidR="004960E2" w:rsidRPr="00224014">
        <w:rPr>
          <w:rFonts w:ascii="Times New Roman" w:hAnsi="Times New Roman" w:cs="Times New Roman"/>
          <w:sz w:val="28"/>
          <w:szCs w:val="28"/>
        </w:rPr>
        <w:t xml:space="preserve"> laid charges 19 years after the event. Not only had the delay been fully explained, but the complainant was also found to have been a credible witness. The welcomed position presently</w:t>
      </w:r>
      <w:r w:rsidR="00D56D03" w:rsidRPr="00224014">
        <w:rPr>
          <w:rFonts w:ascii="Times New Roman" w:hAnsi="Times New Roman" w:cs="Times New Roman"/>
          <w:sz w:val="28"/>
          <w:szCs w:val="28"/>
        </w:rPr>
        <w:t>,</w:t>
      </w:r>
      <w:r w:rsidR="004960E2" w:rsidRPr="00224014">
        <w:rPr>
          <w:rFonts w:ascii="Times New Roman" w:hAnsi="Times New Roman" w:cs="Times New Roman"/>
          <w:sz w:val="28"/>
          <w:szCs w:val="28"/>
        </w:rPr>
        <w:t xml:space="preserve"> is that the failure of a complainant to report a rape as soon as possible cannot be the benchmark for determining whether or not the complainant has been raped. Studies have shown, and common sense dictates</w:t>
      </w:r>
      <w:r w:rsidR="00D56D03" w:rsidRPr="00224014">
        <w:rPr>
          <w:rFonts w:ascii="Times New Roman" w:hAnsi="Times New Roman" w:cs="Times New Roman"/>
          <w:sz w:val="28"/>
          <w:szCs w:val="28"/>
        </w:rPr>
        <w:t>,</w:t>
      </w:r>
      <w:r w:rsidR="004960E2" w:rsidRPr="00224014">
        <w:rPr>
          <w:rFonts w:ascii="Times New Roman" w:hAnsi="Times New Roman" w:cs="Times New Roman"/>
          <w:sz w:val="28"/>
          <w:szCs w:val="28"/>
        </w:rPr>
        <w:t xml:space="preserve"> that people differ in their responses to traumatic events, and are inclined to display individualised emotional responses to these, particularly when the experience is an embarrassing and shameful one which involves an assault on the bodily integrity of the victim. </w:t>
      </w:r>
      <w:r w:rsidR="00975EEF" w:rsidRPr="00224014">
        <w:rPr>
          <w:rFonts w:ascii="Times New Roman" w:hAnsi="Times New Roman" w:cs="Times New Roman"/>
          <w:sz w:val="28"/>
          <w:szCs w:val="28"/>
        </w:rPr>
        <w:t xml:space="preserve">A report of this nature would ordinarily involve descriptions of private and intimate parts of the body. </w:t>
      </w:r>
      <w:r w:rsidR="00975EEF" w:rsidRPr="00224014">
        <w:rPr>
          <w:rFonts w:ascii="Times New Roman" w:hAnsi="Times New Roman" w:cs="Times New Roman"/>
          <w:sz w:val="28"/>
          <w:szCs w:val="28"/>
        </w:rPr>
        <w:lastRenderedPageBreak/>
        <w:t xml:space="preserve">Some people are encouraged to be quite at ease doing this. For others, it is simply taboo. Also, as described by the SCA in </w:t>
      </w:r>
      <w:r w:rsidR="00975EEF" w:rsidRPr="00224014">
        <w:rPr>
          <w:rFonts w:ascii="Times New Roman" w:hAnsi="Times New Roman" w:cs="Times New Roman"/>
          <w:i/>
          <w:sz w:val="28"/>
          <w:szCs w:val="28"/>
        </w:rPr>
        <w:t>Monageng v S</w:t>
      </w:r>
      <w:r w:rsidR="00095B34" w:rsidRPr="00224014">
        <w:rPr>
          <w:rFonts w:ascii="Times New Roman" w:hAnsi="Times New Roman" w:cs="Times New Roman"/>
          <w:i/>
          <w:sz w:val="28"/>
          <w:szCs w:val="28"/>
        </w:rPr>
        <w:t>:</w:t>
      </w:r>
      <w:r w:rsidR="00975EEF">
        <w:rPr>
          <w:rStyle w:val="FootnoteReference"/>
          <w:rFonts w:ascii="Times New Roman" w:hAnsi="Times New Roman" w:cs="Times New Roman"/>
          <w:i/>
          <w:sz w:val="28"/>
          <w:szCs w:val="28"/>
        </w:rPr>
        <w:footnoteReference w:id="29"/>
      </w:r>
    </w:p>
    <w:p w14:paraId="451F56D1" w14:textId="77777777" w:rsidR="005A6AA1" w:rsidRDefault="005A6AA1" w:rsidP="00975EEF">
      <w:pPr>
        <w:pStyle w:val="ListParagraph"/>
        <w:spacing w:line="360" w:lineRule="auto"/>
        <w:jc w:val="both"/>
        <w:rPr>
          <w:rFonts w:ascii="Times New Roman" w:hAnsi="Times New Roman" w:cs="Times New Roman"/>
          <w:sz w:val="24"/>
          <w:szCs w:val="24"/>
        </w:rPr>
      </w:pPr>
    </w:p>
    <w:p w14:paraId="5E527527" w14:textId="77777777" w:rsidR="00975EEF" w:rsidRDefault="00975EEF" w:rsidP="00975EE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‘Some of the immediate effects are frozen fright or cognitive dissociation, shock, numbness and disbelief. It is therefore not unusual for a victim to present a façade of normality.’</w:t>
      </w:r>
    </w:p>
    <w:p w14:paraId="1C654238" w14:textId="77777777" w:rsidR="00D56D03" w:rsidRDefault="00D56D03" w:rsidP="00975EEF">
      <w:pPr>
        <w:pStyle w:val="ListParagraph"/>
        <w:spacing w:line="360" w:lineRule="auto"/>
        <w:jc w:val="both"/>
        <w:rPr>
          <w:rFonts w:ascii="Times New Roman" w:hAnsi="Times New Roman" w:cs="Times New Roman"/>
          <w:sz w:val="24"/>
          <w:szCs w:val="24"/>
        </w:rPr>
      </w:pPr>
    </w:p>
    <w:p w14:paraId="73AA2B24" w14:textId="77777777" w:rsidR="00975EEF" w:rsidRDefault="00975EEF" w:rsidP="00975EEF">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In particular, children often – especially if they are abused by family members – wait long</w:t>
      </w:r>
      <w:r w:rsidR="00095B34">
        <w:rPr>
          <w:rFonts w:ascii="Times New Roman" w:hAnsi="Times New Roman" w:cs="Times New Roman"/>
          <w:sz w:val="28"/>
          <w:szCs w:val="28"/>
        </w:rPr>
        <w:t xml:space="preserve"> …</w:t>
      </w:r>
    </w:p>
    <w:p w14:paraId="62460B3F" w14:textId="77777777" w:rsidR="00D56D03" w:rsidRDefault="00D56D03" w:rsidP="00975EEF">
      <w:pPr>
        <w:pStyle w:val="ListParagraph"/>
        <w:spacing w:line="360" w:lineRule="auto"/>
        <w:jc w:val="both"/>
        <w:rPr>
          <w:rFonts w:ascii="Times New Roman" w:hAnsi="Times New Roman" w:cs="Times New Roman"/>
          <w:sz w:val="28"/>
          <w:szCs w:val="28"/>
        </w:rPr>
      </w:pPr>
    </w:p>
    <w:p w14:paraId="342A63CD" w14:textId="77777777" w:rsidR="00FE274D" w:rsidRDefault="00975EEF" w:rsidP="00975EE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FE274D">
        <w:rPr>
          <w:rFonts w:ascii="Times New Roman" w:hAnsi="Times New Roman" w:cs="Times New Roman"/>
          <w:sz w:val="24"/>
          <w:szCs w:val="24"/>
        </w:rPr>
        <w:t xml:space="preserve">… </w:t>
      </w:r>
      <w:r>
        <w:rPr>
          <w:rFonts w:ascii="Times New Roman" w:hAnsi="Times New Roman" w:cs="Times New Roman"/>
          <w:sz w:val="24"/>
          <w:szCs w:val="24"/>
        </w:rPr>
        <w:t>for fear of retribution, feelings of complicity, embarrassment, guilt, shame</w:t>
      </w:r>
      <w:r w:rsidR="00FE274D">
        <w:rPr>
          <w:rFonts w:ascii="Times New Roman" w:hAnsi="Times New Roman" w:cs="Times New Roman"/>
          <w:sz w:val="24"/>
          <w:szCs w:val="24"/>
        </w:rPr>
        <w:t>, and other social and familial consequences of disclosure.’</w:t>
      </w:r>
    </w:p>
    <w:p w14:paraId="5943893C" w14:textId="77777777" w:rsidR="00D56D03" w:rsidRDefault="00D56D03" w:rsidP="005A6AA1">
      <w:pPr>
        <w:pStyle w:val="ListParagraph"/>
        <w:spacing w:line="480" w:lineRule="auto"/>
        <w:jc w:val="both"/>
        <w:rPr>
          <w:rFonts w:ascii="Times New Roman" w:hAnsi="Times New Roman" w:cs="Times New Roman"/>
          <w:sz w:val="24"/>
          <w:szCs w:val="24"/>
        </w:rPr>
      </w:pPr>
    </w:p>
    <w:p w14:paraId="0EF4B3DE" w14:textId="1EB33F98" w:rsidR="0015591E" w:rsidRPr="00224014" w:rsidRDefault="00224014" w:rsidP="00224014">
      <w:pPr>
        <w:spacing w:line="360" w:lineRule="auto"/>
        <w:jc w:val="both"/>
        <w:rPr>
          <w:rFonts w:ascii="Times New Roman" w:hAnsi="Times New Roman" w:cs="Times New Roman"/>
          <w:sz w:val="28"/>
          <w:szCs w:val="28"/>
        </w:rPr>
      </w:pPr>
      <w:r>
        <w:rPr>
          <w:rFonts w:ascii="Times New Roman" w:hAnsi="Times New Roman" w:cs="Times New Roman"/>
          <w:sz w:val="28"/>
          <w:szCs w:val="28"/>
        </w:rPr>
        <w:t>[41]</w:t>
      </w:r>
      <w:r>
        <w:rPr>
          <w:rFonts w:ascii="Times New Roman" w:hAnsi="Times New Roman" w:cs="Times New Roman"/>
          <w:sz w:val="28"/>
          <w:szCs w:val="28"/>
        </w:rPr>
        <w:tab/>
      </w:r>
      <w:r w:rsidR="00FE274D" w:rsidRPr="00224014">
        <w:rPr>
          <w:rFonts w:ascii="Times New Roman" w:hAnsi="Times New Roman" w:cs="Times New Roman"/>
          <w:sz w:val="28"/>
          <w:szCs w:val="28"/>
        </w:rPr>
        <w:t xml:space="preserve">It seems on the face of it, that ss 58 and 59 place significant limits on the inferential processes that may legitimately be conducted by the courts. Differently put, courts are no longer at liberty to draw adverse inferences from either </w:t>
      </w:r>
      <w:r w:rsidR="00FE274D" w:rsidRPr="00224014">
        <w:rPr>
          <w:rFonts w:ascii="Times New Roman" w:hAnsi="Times New Roman" w:cs="Times New Roman"/>
          <w:i/>
          <w:sz w:val="28"/>
          <w:szCs w:val="28"/>
        </w:rPr>
        <w:t xml:space="preserve">only </w:t>
      </w:r>
      <w:r w:rsidR="00FE274D" w:rsidRPr="00224014">
        <w:rPr>
          <w:rFonts w:ascii="Times New Roman" w:hAnsi="Times New Roman" w:cs="Times New Roman"/>
          <w:sz w:val="28"/>
          <w:szCs w:val="28"/>
        </w:rPr>
        <w:t xml:space="preserve">the failure of the complainant to make a consistent statement, or </w:t>
      </w:r>
      <w:r w:rsidR="00FE274D" w:rsidRPr="00224014">
        <w:rPr>
          <w:rFonts w:ascii="Times New Roman" w:hAnsi="Times New Roman" w:cs="Times New Roman"/>
          <w:i/>
          <w:sz w:val="28"/>
          <w:szCs w:val="28"/>
        </w:rPr>
        <w:t xml:space="preserve">only </w:t>
      </w:r>
      <w:r w:rsidR="00FE274D" w:rsidRPr="00224014">
        <w:rPr>
          <w:rFonts w:ascii="Times New Roman" w:hAnsi="Times New Roman" w:cs="Times New Roman"/>
          <w:sz w:val="28"/>
          <w:szCs w:val="28"/>
        </w:rPr>
        <w:t>the length of the delay between the alleged commission of the offence and the making of such a statement, commonly referred to as ‘the first report’.</w:t>
      </w:r>
      <w:r w:rsidR="00A75404" w:rsidRPr="00224014">
        <w:rPr>
          <w:rFonts w:ascii="Times New Roman" w:hAnsi="Times New Roman" w:cs="Times New Roman"/>
          <w:sz w:val="28"/>
          <w:szCs w:val="28"/>
        </w:rPr>
        <w:t xml:space="preserve"> The deliberate inclusion of the word ‘only’ in both </w:t>
      </w:r>
      <w:r w:rsidR="00A27887" w:rsidRPr="00224014">
        <w:rPr>
          <w:rFonts w:ascii="Times New Roman" w:hAnsi="Times New Roman" w:cs="Times New Roman"/>
          <w:sz w:val="28"/>
          <w:szCs w:val="28"/>
        </w:rPr>
        <w:t>these sections, to my mind, presupposes that if there are any other grounds for the</w:t>
      </w:r>
      <w:r w:rsidR="0015591E" w:rsidRPr="00224014">
        <w:rPr>
          <w:rFonts w:ascii="Times New Roman" w:hAnsi="Times New Roman" w:cs="Times New Roman"/>
          <w:sz w:val="28"/>
          <w:szCs w:val="28"/>
        </w:rPr>
        <w:t xml:space="preserve"> drawing of an adverse inference or adverse inferences, failure to report, or the making of inconsistent reports, or a delay in reporting</w:t>
      </w:r>
      <w:r w:rsidR="00D56D03" w:rsidRPr="00224014">
        <w:rPr>
          <w:rFonts w:ascii="Times New Roman" w:hAnsi="Times New Roman" w:cs="Times New Roman"/>
          <w:sz w:val="28"/>
          <w:szCs w:val="28"/>
        </w:rPr>
        <w:t>,</w:t>
      </w:r>
      <w:r w:rsidR="0015591E" w:rsidRPr="00224014">
        <w:rPr>
          <w:rFonts w:ascii="Times New Roman" w:hAnsi="Times New Roman" w:cs="Times New Roman"/>
          <w:sz w:val="28"/>
          <w:szCs w:val="28"/>
        </w:rPr>
        <w:t xml:space="preserve"> may, in a given set of circumstances, be considered as a further ground or grounds to justify the drawing of adverse inferences. In other words, an additional trigger (established by an inferential process best left to the trial </w:t>
      </w:r>
      <w:r w:rsidR="004C3586" w:rsidRPr="00224014">
        <w:rPr>
          <w:rFonts w:ascii="Times New Roman" w:hAnsi="Times New Roman" w:cs="Times New Roman"/>
          <w:sz w:val="28"/>
          <w:szCs w:val="28"/>
        </w:rPr>
        <w:t xml:space="preserve">court) may well be required to establish a basis for exploring issues such as lack of previous consistent statements or an inordinate delay in making them -  whether it is a feature of the complainant’s testimony, </w:t>
      </w:r>
      <w:r w:rsidR="00D56D03" w:rsidRPr="00224014">
        <w:rPr>
          <w:rFonts w:ascii="Times New Roman" w:hAnsi="Times New Roman" w:cs="Times New Roman"/>
          <w:sz w:val="28"/>
          <w:szCs w:val="28"/>
        </w:rPr>
        <w:t xml:space="preserve">or </w:t>
      </w:r>
      <w:r w:rsidR="004C3586" w:rsidRPr="00224014">
        <w:rPr>
          <w:rFonts w:ascii="Times New Roman" w:hAnsi="Times New Roman" w:cs="Times New Roman"/>
          <w:sz w:val="28"/>
          <w:szCs w:val="28"/>
        </w:rPr>
        <w:t xml:space="preserve">the circumstances in which the </w:t>
      </w:r>
      <w:r w:rsidR="004C3586" w:rsidRPr="00224014">
        <w:rPr>
          <w:rFonts w:ascii="Times New Roman" w:hAnsi="Times New Roman" w:cs="Times New Roman"/>
          <w:sz w:val="28"/>
          <w:szCs w:val="28"/>
        </w:rPr>
        <w:lastRenderedPageBreak/>
        <w:t>act took place or was ultimately disclosed,</w:t>
      </w:r>
      <w:r w:rsidR="00D56D03" w:rsidRPr="00224014">
        <w:rPr>
          <w:rFonts w:ascii="Times New Roman" w:hAnsi="Times New Roman" w:cs="Times New Roman"/>
          <w:sz w:val="28"/>
          <w:szCs w:val="28"/>
        </w:rPr>
        <w:t xml:space="preserve"> or</w:t>
      </w:r>
      <w:r w:rsidR="004C3586" w:rsidRPr="00224014">
        <w:rPr>
          <w:rFonts w:ascii="Times New Roman" w:hAnsi="Times New Roman" w:cs="Times New Roman"/>
          <w:sz w:val="28"/>
          <w:szCs w:val="28"/>
        </w:rPr>
        <w:t xml:space="preserve"> the nature of the relationship between the complainant and the accused, or discrepancies within the evidence of the complainant</w:t>
      </w:r>
      <w:r w:rsidR="00D56D03" w:rsidRPr="00224014">
        <w:rPr>
          <w:rFonts w:ascii="Times New Roman" w:hAnsi="Times New Roman" w:cs="Times New Roman"/>
          <w:sz w:val="28"/>
          <w:szCs w:val="28"/>
        </w:rPr>
        <w:t>,</w:t>
      </w:r>
      <w:r w:rsidR="004C3586" w:rsidRPr="00224014">
        <w:rPr>
          <w:rFonts w:ascii="Times New Roman" w:hAnsi="Times New Roman" w:cs="Times New Roman"/>
          <w:sz w:val="28"/>
          <w:szCs w:val="28"/>
        </w:rPr>
        <w:t xml:space="preserve"> or</w:t>
      </w:r>
      <w:r w:rsidR="00D56D03" w:rsidRPr="00224014">
        <w:rPr>
          <w:rFonts w:ascii="Times New Roman" w:hAnsi="Times New Roman" w:cs="Times New Roman"/>
          <w:sz w:val="28"/>
          <w:szCs w:val="28"/>
        </w:rPr>
        <w:t xml:space="preserve"> differences</w:t>
      </w:r>
      <w:r w:rsidR="004C3586" w:rsidRPr="00224014">
        <w:rPr>
          <w:rFonts w:ascii="Times New Roman" w:hAnsi="Times New Roman" w:cs="Times New Roman"/>
          <w:sz w:val="28"/>
          <w:szCs w:val="28"/>
        </w:rPr>
        <w:t xml:space="preserve"> between the complainant’s version and that of other witnesses.</w:t>
      </w:r>
      <w:r w:rsidR="004C3586">
        <w:rPr>
          <w:rStyle w:val="FootnoteReference"/>
          <w:rFonts w:ascii="Times New Roman" w:hAnsi="Times New Roman" w:cs="Times New Roman"/>
          <w:sz w:val="28"/>
          <w:szCs w:val="28"/>
        </w:rPr>
        <w:footnoteReference w:id="30"/>
      </w:r>
    </w:p>
    <w:p w14:paraId="5CA502CB" w14:textId="77777777" w:rsidR="00D56D03" w:rsidRPr="00D56D03" w:rsidRDefault="00D56D03" w:rsidP="00D56D03">
      <w:pPr>
        <w:pStyle w:val="ListParagraph"/>
        <w:spacing w:line="360" w:lineRule="auto"/>
        <w:jc w:val="both"/>
        <w:rPr>
          <w:rFonts w:ascii="Times New Roman" w:hAnsi="Times New Roman" w:cs="Times New Roman"/>
          <w:sz w:val="28"/>
          <w:szCs w:val="28"/>
        </w:rPr>
      </w:pPr>
    </w:p>
    <w:p w14:paraId="416919F6" w14:textId="6B3CFC0E" w:rsidR="004C3586" w:rsidRPr="00224014" w:rsidRDefault="00224014" w:rsidP="00224014">
      <w:pPr>
        <w:spacing w:line="360" w:lineRule="auto"/>
        <w:jc w:val="both"/>
        <w:rPr>
          <w:rFonts w:ascii="Times New Roman" w:hAnsi="Times New Roman" w:cs="Times New Roman"/>
          <w:sz w:val="28"/>
          <w:szCs w:val="28"/>
        </w:rPr>
      </w:pPr>
      <w:r w:rsidRPr="00D56D03">
        <w:rPr>
          <w:rFonts w:ascii="Times New Roman" w:hAnsi="Times New Roman" w:cs="Times New Roman"/>
          <w:sz w:val="28"/>
          <w:szCs w:val="28"/>
        </w:rPr>
        <w:t>[42]</w:t>
      </w:r>
      <w:r w:rsidRPr="00D56D03">
        <w:rPr>
          <w:rFonts w:ascii="Times New Roman" w:hAnsi="Times New Roman" w:cs="Times New Roman"/>
          <w:sz w:val="28"/>
          <w:szCs w:val="28"/>
        </w:rPr>
        <w:tab/>
      </w:r>
      <w:r w:rsidR="004C3586" w:rsidRPr="00224014">
        <w:rPr>
          <w:rFonts w:ascii="Times New Roman" w:hAnsi="Times New Roman" w:cs="Times New Roman"/>
          <w:sz w:val="28"/>
          <w:szCs w:val="28"/>
        </w:rPr>
        <w:t>As I have already pointed out, there are a number of these triggers in the matter before us. That being the case, it was incumbent on the trial court, at the very least to explore and evaluate</w:t>
      </w:r>
      <w:r w:rsidR="00702C03" w:rsidRPr="00224014">
        <w:rPr>
          <w:rFonts w:ascii="Times New Roman" w:hAnsi="Times New Roman" w:cs="Times New Roman"/>
          <w:sz w:val="28"/>
          <w:szCs w:val="28"/>
        </w:rPr>
        <w:t xml:space="preserve"> the reasons why the complainant allegedly reported the rapes when she did, why th</w:t>
      </w:r>
      <w:r w:rsidR="00384CFF" w:rsidRPr="00224014">
        <w:rPr>
          <w:rFonts w:ascii="Times New Roman" w:hAnsi="Times New Roman" w:cs="Times New Roman"/>
          <w:sz w:val="28"/>
          <w:szCs w:val="28"/>
        </w:rPr>
        <w:t>ere were</w:t>
      </w:r>
      <w:r w:rsidR="00702C03" w:rsidRPr="00224014">
        <w:rPr>
          <w:rFonts w:ascii="Times New Roman" w:hAnsi="Times New Roman" w:cs="Times New Roman"/>
          <w:sz w:val="28"/>
          <w:szCs w:val="28"/>
        </w:rPr>
        <w:t xml:space="preserve"> inconsistencies in her own version about what she reported, why the first person she allegedly made this delayed report to (being her paternal aunt)</w:t>
      </w:r>
      <w:r w:rsidR="00D56D03" w:rsidRPr="00224014">
        <w:rPr>
          <w:rFonts w:ascii="Times New Roman" w:hAnsi="Times New Roman" w:cs="Times New Roman"/>
          <w:sz w:val="28"/>
          <w:szCs w:val="28"/>
        </w:rPr>
        <w:t>,</w:t>
      </w:r>
      <w:r w:rsidR="00702C03" w:rsidRPr="00224014">
        <w:rPr>
          <w:rFonts w:ascii="Times New Roman" w:hAnsi="Times New Roman" w:cs="Times New Roman"/>
          <w:sz w:val="28"/>
          <w:szCs w:val="28"/>
        </w:rPr>
        <w:t xml:space="preserve"> was not called as a witness, and why her maternal aunt’s version of what was said to her does not gel with any of the versions proffered by the complainant. The fact that the court </w:t>
      </w:r>
      <w:r w:rsidR="00702C03" w:rsidRPr="00224014">
        <w:rPr>
          <w:rFonts w:ascii="Times New Roman" w:hAnsi="Times New Roman" w:cs="Times New Roman"/>
          <w:i/>
          <w:sz w:val="28"/>
          <w:szCs w:val="28"/>
        </w:rPr>
        <w:t>a quo</w:t>
      </w:r>
      <w:r w:rsidR="00702C03" w:rsidRPr="00224014">
        <w:rPr>
          <w:rFonts w:ascii="Times New Roman" w:hAnsi="Times New Roman" w:cs="Times New Roman"/>
          <w:sz w:val="28"/>
          <w:szCs w:val="28"/>
        </w:rPr>
        <w:t xml:space="preserve"> in these particular circumstances,</w:t>
      </w:r>
      <w:r w:rsidR="0038495A" w:rsidRPr="00224014">
        <w:rPr>
          <w:rFonts w:ascii="Times New Roman" w:hAnsi="Times New Roman" w:cs="Times New Roman"/>
          <w:sz w:val="28"/>
          <w:szCs w:val="28"/>
        </w:rPr>
        <w:t xml:space="preserve"> found that the complainant was nevertheless a ‘consistent witness’, is not particularly helpf</w:t>
      </w:r>
      <w:r w:rsidR="00384CFF" w:rsidRPr="00224014">
        <w:rPr>
          <w:rFonts w:ascii="Times New Roman" w:hAnsi="Times New Roman" w:cs="Times New Roman"/>
          <w:sz w:val="28"/>
          <w:szCs w:val="28"/>
        </w:rPr>
        <w:t>ul. Consistency, does not necessarily stem from</w:t>
      </w:r>
      <w:r w:rsidR="0038495A" w:rsidRPr="00224014">
        <w:rPr>
          <w:rFonts w:ascii="Times New Roman" w:hAnsi="Times New Roman" w:cs="Times New Roman"/>
          <w:sz w:val="28"/>
          <w:szCs w:val="28"/>
        </w:rPr>
        <w:t xml:space="preserve"> honestly and reliability. In any event, the finding that she was consistent, is simply not borne out by the evidence. On the contrary,</w:t>
      </w:r>
      <w:r w:rsidR="00895668" w:rsidRPr="00224014">
        <w:rPr>
          <w:rFonts w:ascii="Times New Roman" w:hAnsi="Times New Roman" w:cs="Times New Roman"/>
          <w:sz w:val="28"/>
          <w:szCs w:val="28"/>
        </w:rPr>
        <w:t xml:space="preserve"> as I have been at pains to demonstrate, there are a host of inconsistencies and improbabilities in the complainant’s account only, which ought to have led the trial court to have misgivings concerning her credibility and her reliability. In addition, the court ought to have taken into account the inordinate delay in reporting these allegedly repeated rapes</w:t>
      </w:r>
      <w:r w:rsidR="00D56D03" w:rsidRPr="00224014">
        <w:rPr>
          <w:rFonts w:ascii="Times New Roman" w:hAnsi="Times New Roman" w:cs="Times New Roman"/>
          <w:sz w:val="28"/>
          <w:szCs w:val="28"/>
        </w:rPr>
        <w:t xml:space="preserve">, followed by only reporting </w:t>
      </w:r>
      <w:r w:rsidR="00895668" w:rsidRPr="00224014">
        <w:rPr>
          <w:rFonts w:ascii="Times New Roman" w:hAnsi="Times New Roman" w:cs="Times New Roman"/>
          <w:sz w:val="28"/>
          <w:szCs w:val="28"/>
        </w:rPr>
        <w:t>one or two recent rapes</w:t>
      </w:r>
      <w:r w:rsidR="00D56D03" w:rsidRPr="00224014">
        <w:rPr>
          <w:rFonts w:ascii="Times New Roman" w:hAnsi="Times New Roman" w:cs="Times New Roman"/>
          <w:sz w:val="28"/>
          <w:szCs w:val="28"/>
        </w:rPr>
        <w:t xml:space="preserve">, and then only in the peculiar </w:t>
      </w:r>
      <w:r w:rsidR="00895668" w:rsidRPr="00224014">
        <w:rPr>
          <w:rFonts w:ascii="Times New Roman" w:hAnsi="Times New Roman" w:cs="Times New Roman"/>
          <w:sz w:val="28"/>
          <w:szCs w:val="28"/>
        </w:rPr>
        <w:t>context of her unwillingness to accompany the appellant to Grahamstown.</w:t>
      </w:r>
      <w:r w:rsidR="00895668">
        <w:rPr>
          <w:rStyle w:val="FootnoteReference"/>
          <w:rFonts w:ascii="Times New Roman" w:hAnsi="Times New Roman" w:cs="Times New Roman"/>
          <w:sz w:val="28"/>
          <w:szCs w:val="28"/>
        </w:rPr>
        <w:footnoteReference w:id="31"/>
      </w:r>
      <w:r w:rsidR="00C605A8" w:rsidRPr="00224014">
        <w:rPr>
          <w:rFonts w:ascii="Times New Roman" w:hAnsi="Times New Roman" w:cs="Times New Roman"/>
          <w:sz w:val="28"/>
          <w:szCs w:val="28"/>
        </w:rPr>
        <w:t xml:space="preserve"> As stated by Jones J in </w:t>
      </w:r>
      <w:r w:rsidR="00C605A8" w:rsidRPr="00224014">
        <w:rPr>
          <w:rFonts w:ascii="Times New Roman" w:hAnsi="Times New Roman" w:cs="Times New Roman"/>
          <w:i/>
          <w:sz w:val="28"/>
          <w:szCs w:val="28"/>
        </w:rPr>
        <w:t xml:space="preserve">S v </w:t>
      </w:r>
      <w:proofErr w:type="spellStart"/>
      <w:r w:rsidR="00C605A8" w:rsidRPr="00224014">
        <w:rPr>
          <w:rFonts w:ascii="Times New Roman" w:hAnsi="Times New Roman" w:cs="Times New Roman"/>
          <w:i/>
          <w:sz w:val="28"/>
          <w:szCs w:val="28"/>
        </w:rPr>
        <w:t>Dyira</w:t>
      </w:r>
      <w:proofErr w:type="spellEnd"/>
      <w:r w:rsidR="00D56D03" w:rsidRPr="00224014">
        <w:rPr>
          <w:rFonts w:ascii="Times New Roman" w:hAnsi="Times New Roman" w:cs="Times New Roman"/>
          <w:i/>
          <w:sz w:val="28"/>
          <w:szCs w:val="28"/>
        </w:rPr>
        <w:t>:</w:t>
      </w:r>
      <w:r w:rsidR="00C605A8">
        <w:rPr>
          <w:rStyle w:val="FootnoteReference"/>
          <w:rFonts w:ascii="Times New Roman" w:hAnsi="Times New Roman" w:cs="Times New Roman"/>
          <w:i/>
          <w:sz w:val="28"/>
          <w:szCs w:val="28"/>
        </w:rPr>
        <w:footnoteReference w:id="32"/>
      </w:r>
    </w:p>
    <w:p w14:paraId="7815C1A3" w14:textId="77777777" w:rsidR="00D56D03" w:rsidRDefault="00D56D03" w:rsidP="00D56D03">
      <w:pPr>
        <w:pStyle w:val="ListParagraph"/>
        <w:spacing w:line="360" w:lineRule="auto"/>
        <w:jc w:val="both"/>
        <w:rPr>
          <w:rFonts w:ascii="Times New Roman" w:hAnsi="Times New Roman" w:cs="Times New Roman"/>
          <w:sz w:val="28"/>
          <w:szCs w:val="28"/>
        </w:rPr>
      </w:pPr>
    </w:p>
    <w:p w14:paraId="75B29128" w14:textId="77777777" w:rsidR="00C605A8" w:rsidRDefault="00C605A8" w:rsidP="00C605A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‘Is it proper or possible, with any measure of certainty, simply to explain away some 17 weeks of adamant refusal to give an account of what happened because of fear of reprisal, only to have that fear disappear for no apparent reason?’</w:t>
      </w:r>
    </w:p>
    <w:p w14:paraId="5E77B0FA" w14:textId="77777777" w:rsidR="00C605A8" w:rsidRPr="007969FF" w:rsidRDefault="00C605A8" w:rsidP="007969FF">
      <w:pPr>
        <w:spacing w:line="360" w:lineRule="auto"/>
        <w:jc w:val="both"/>
        <w:rPr>
          <w:rFonts w:ascii="Times New Roman" w:hAnsi="Times New Roman" w:cs="Times New Roman"/>
          <w:sz w:val="28"/>
          <w:szCs w:val="28"/>
          <w:u w:val="single"/>
        </w:rPr>
      </w:pPr>
      <w:r w:rsidRPr="007969FF">
        <w:rPr>
          <w:rFonts w:ascii="Times New Roman" w:hAnsi="Times New Roman" w:cs="Times New Roman"/>
          <w:sz w:val="28"/>
          <w:szCs w:val="28"/>
          <w:u w:val="single"/>
        </w:rPr>
        <w:t>The appellant’s version</w:t>
      </w:r>
    </w:p>
    <w:p w14:paraId="30CD53FE" w14:textId="77777777" w:rsidR="007969FF" w:rsidRPr="007969FF" w:rsidRDefault="007969FF" w:rsidP="007969FF">
      <w:pPr>
        <w:pStyle w:val="ListParagraph"/>
        <w:spacing w:line="360" w:lineRule="auto"/>
        <w:jc w:val="both"/>
        <w:rPr>
          <w:rFonts w:ascii="Times New Roman" w:hAnsi="Times New Roman" w:cs="Times New Roman"/>
          <w:sz w:val="28"/>
          <w:szCs w:val="28"/>
          <w:u w:val="single"/>
        </w:rPr>
      </w:pPr>
    </w:p>
    <w:p w14:paraId="501C03B3" w14:textId="41079AD7" w:rsidR="002C6B23" w:rsidRPr="00224014" w:rsidRDefault="00224014" w:rsidP="00224014">
      <w:pPr>
        <w:spacing w:line="360" w:lineRule="auto"/>
        <w:jc w:val="both"/>
        <w:rPr>
          <w:rFonts w:ascii="Times New Roman" w:hAnsi="Times New Roman" w:cs="Times New Roman"/>
          <w:sz w:val="28"/>
          <w:szCs w:val="28"/>
          <w:u w:val="single"/>
        </w:rPr>
      </w:pPr>
      <w:r w:rsidRPr="002C6B23">
        <w:rPr>
          <w:rFonts w:ascii="Times New Roman" w:hAnsi="Times New Roman" w:cs="Times New Roman"/>
          <w:sz w:val="28"/>
          <w:szCs w:val="28"/>
        </w:rPr>
        <w:t>[43]</w:t>
      </w:r>
      <w:r w:rsidRPr="002C6B23">
        <w:rPr>
          <w:rFonts w:ascii="Times New Roman" w:hAnsi="Times New Roman" w:cs="Times New Roman"/>
          <w:sz w:val="28"/>
          <w:szCs w:val="28"/>
        </w:rPr>
        <w:tab/>
      </w:r>
      <w:r w:rsidR="00BC67A3" w:rsidRPr="00224014">
        <w:rPr>
          <w:rFonts w:ascii="Times New Roman" w:hAnsi="Times New Roman" w:cs="Times New Roman"/>
          <w:sz w:val="28"/>
          <w:szCs w:val="28"/>
        </w:rPr>
        <w:t>The magistrate made no mention of the appellant’s version of what had transpired directly before the complainant decided to report him. According to the appellant, there had indeed been an argument between him and the complainant, but not</w:t>
      </w:r>
      <w:r w:rsidR="00AB7CF0" w:rsidRPr="00224014">
        <w:rPr>
          <w:rFonts w:ascii="Times New Roman" w:hAnsi="Times New Roman" w:cs="Times New Roman"/>
          <w:sz w:val="28"/>
          <w:szCs w:val="28"/>
        </w:rPr>
        <w:t xml:space="preserve"> exactly</w:t>
      </w:r>
      <w:r w:rsidR="00BC67A3" w:rsidRPr="00224014">
        <w:rPr>
          <w:rFonts w:ascii="Times New Roman" w:hAnsi="Times New Roman" w:cs="Times New Roman"/>
          <w:sz w:val="28"/>
          <w:szCs w:val="28"/>
        </w:rPr>
        <w:t xml:space="preserve"> along the lines suggested by the complainant. The appellant’</w:t>
      </w:r>
      <w:r w:rsidR="00AB7CF0" w:rsidRPr="00224014">
        <w:rPr>
          <w:rFonts w:ascii="Times New Roman" w:hAnsi="Times New Roman" w:cs="Times New Roman"/>
          <w:sz w:val="28"/>
          <w:szCs w:val="28"/>
        </w:rPr>
        <w:t>s explanation for the quarrel</w:t>
      </w:r>
      <w:r w:rsidR="00BC67A3" w:rsidRPr="00224014">
        <w:rPr>
          <w:rFonts w:ascii="Times New Roman" w:hAnsi="Times New Roman" w:cs="Times New Roman"/>
          <w:sz w:val="28"/>
          <w:szCs w:val="28"/>
        </w:rPr>
        <w:t xml:space="preserve"> (which seems to have</w:t>
      </w:r>
      <w:r w:rsidR="00B975B2" w:rsidRPr="00224014">
        <w:rPr>
          <w:rFonts w:ascii="Times New Roman" w:hAnsi="Times New Roman" w:cs="Times New Roman"/>
          <w:sz w:val="28"/>
          <w:szCs w:val="28"/>
        </w:rPr>
        <w:t xml:space="preserve"> had</w:t>
      </w:r>
      <w:r w:rsidR="00BC67A3" w:rsidRPr="00224014">
        <w:rPr>
          <w:rFonts w:ascii="Times New Roman" w:hAnsi="Times New Roman" w:cs="Times New Roman"/>
          <w:sz w:val="28"/>
          <w:szCs w:val="28"/>
        </w:rPr>
        <w:t xml:space="preserve"> a ring of trut</w:t>
      </w:r>
      <w:r w:rsidR="00AB7CF0" w:rsidRPr="00224014">
        <w:rPr>
          <w:rFonts w:ascii="Times New Roman" w:hAnsi="Times New Roman" w:cs="Times New Roman"/>
          <w:sz w:val="28"/>
          <w:szCs w:val="28"/>
        </w:rPr>
        <w:t>h about it)</w:t>
      </w:r>
      <w:r w:rsidR="00B975B2" w:rsidRPr="00224014">
        <w:rPr>
          <w:rFonts w:ascii="Times New Roman" w:hAnsi="Times New Roman" w:cs="Times New Roman"/>
          <w:sz w:val="28"/>
          <w:szCs w:val="28"/>
        </w:rPr>
        <w:t>,</w:t>
      </w:r>
      <w:r w:rsidR="00AB7CF0" w:rsidRPr="00224014">
        <w:rPr>
          <w:rFonts w:ascii="Times New Roman" w:hAnsi="Times New Roman" w:cs="Times New Roman"/>
          <w:sz w:val="28"/>
          <w:szCs w:val="28"/>
        </w:rPr>
        <w:t xml:space="preserve"> was that at the time he enquired about the broken window (on the Saturday morning), he also noticed that</w:t>
      </w:r>
      <w:r w:rsidR="00384CFF" w:rsidRPr="00224014">
        <w:rPr>
          <w:rFonts w:ascii="Times New Roman" w:hAnsi="Times New Roman" w:cs="Times New Roman"/>
          <w:sz w:val="28"/>
          <w:szCs w:val="28"/>
        </w:rPr>
        <w:t xml:space="preserve"> all the complainant’s bags had been</w:t>
      </w:r>
      <w:r w:rsidR="00AB7CF0" w:rsidRPr="00224014">
        <w:rPr>
          <w:rFonts w:ascii="Times New Roman" w:hAnsi="Times New Roman" w:cs="Times New Roman"/>
          <w:sz w:val="28"/>
          <w:szCs w:val="28"/>
        </w:rPr>
        <w:t xml:space="preserve"> packed. Quite coincidentally, while they were quarrelling about this, Agnes phoned and </w:t>
      </w:r>
      <w:r w:rsidR="00B975B2" w:rsidRPr="00224014">
        <w:rPr>
          <w:rFonts w:ascii="Times New Roman" w:hAnsi="Times New Roman" w:cs="Times New Roman"/>
          <w:sz w:val="28"/>
          <w:szCs w:val="28"/>
        </w:rPr>
        <w:t xml:space="preserve">said: </w:t>
      </w:r>
      <w:r w:rsidR="00AB7CF0" w:rsidRPr="00224014">
        <w:rPr>
          <w:rFonts w:ascii="Times New Roman" w:hAnsi="Times New Roman" w:cs="Times New Roman"/>
          <w:sz w:val="28"/>
          <w:szCs w:val="28"/>
        </w:rPr>
        <w:t>‘</w:t>
      </w:r>
      <w:proofErr w:type="spellStart"/>
      <w:r w:rsidR="00AB7CF0" w:rsidRPr="00224014">
        <w:rPr>
          <w:rFonts w:ascii="Times New Roman" w:hAnsi="Times New Roman" w:cs="Times New Roman"/>
          <w:sz w:val="28"/>
          <w:szCs w:val="28"/>
        </w:rPr>
        <w:t>Sonwabo</w:t>
      </w:r>
      <w:proofErr w:type="spellEnd"/>
      <w:r w:rsidR="00AB7CF0" w:rsidRPr="00224014">
        <w:rPr>
          <w:rFonts w:ascii="Times New Roman" w:hAnsi="Times New Roman" w:cs="Times New Roman"/>
          <w:sz w:val="28"/>
          <w:szCs w:val="28"/>
        </w:rPr>
        <w:t>, I request you to give me the child’. Thereafter he noticed that the complainant was behaving strangely.</w:t>
      </w:r>
      <w:r w:rsidR="001C4465" w:rsidRPr="00224014">
        <w:rPr>
          <w:rFonts w:ascii="Times New Roman" w:hAnsi="Times New Roman" w:cs="Times New Roman"/>
          <w:sz w:val="28"/>
          <w:szCs w:val="28"/>
        </w:rPr>
        <w:t xml:space="preserve"> She had not been taking her epil</w:t>
      </w:r>
      <w:r w:rsidR="00384CFF" w:rsidRPr="00224014">
        <w:rPr>
          <w:rFonts w:ascii="Times New Roman" w:hAnsi="Times New Roman" w:cs="Times New Roman"/>
          <w:sz w:val="28"/>
          <w:szCs w:val="28"/>
        </w:rPr>
        <w:t>epsy medication properly and had been</w:t>
      </w:r>
      <w:r w:rsidR="001C4465" w:rsidRPr="00224014">
        <w:rPr>
          <w:rFonts w:ascii="Times New Roman" w:hAnsi="Times New Roman" w:cs="Times New Roman"/>
          <w:sz w:val="28"/>
          <w:szCs w:val="28"/>
        </w:rPr>
        <w:t xml:space="preserve"> refusing to accompany him to Grahamstown for proper medical treatment. According to the appellant’s explanation, the compla</w:t>
      </w:r>
      <w:r w:rsidR="002C6B23" w:rsidRPr="00224014">
        <w:rPr>
          <w:rFonts w:ascii="Times New Roman" w:hAnsi="Times New Roman" w:cs="Times New Roman"/>
          <w:sz w:val="28"/>
          <w:szCs w:val="28"/>
        </w:rPr>
        <w:t>inant had also taken umbrage</w:t>
      </w:r>
      <w:r w:rsidR="00BD0529" w:rsidRPr="00224014">
        <w:rPr>
          <w:rFonts w:ascii="Times New Roman" w:hAnsi="Times New Roman" w:cs="Times New Roman"/>
          <w:sz w:val="28"/>
          <w:szCs w:val="28"/>
        </w:rPr>
        <w:t xml:space="preserve"> at</w:t>
      </w:r>
      <w:r w:rsidR="001C4465" w:rsidRPr="00224014">
        <w:rPr>
          <w:rFonts w:ascii="Times New Roman" w:hAnsi="Times New Roman" w:cs="Times New Roman"/>
          <w:sz w:val="28"/>
          <w:szCs w:val="28"/>
        </w:rPr>
        <w:t xml:space="preserve"> the appellant having reprimanded her ‘for having many boyfriends’.</w:t>
      </w:r>
    </w:p>
    <w:p w14:paraId="5DC6CE5B" w14:textId="77777777" w:rsidR="002C6B23" w:rsidRPr="002C6B23" w:rsidRDefault="002C6B23" w:rsidP="002C6B23">
      <w:pPr>
        <w:pStyle w:val="ListParagraph"/>
        <w:spacing w:line="360" w:lineRule="auto"/>
        <w:ind w:left="0"/>
        <w:jc w:val="both"/>
        <w:rPr>
          <w:rFonts w:ascii="Times New Roman" w:hAnsi="Times New Roman" w:cs="Times New Roman"/>
          <w:sz w:val="28"/>
          <w:szCs w:val="28"/>
          <w:u w:val="single"/>
        </w:rPr>
      </w:pPr>
    </w:p>
    <w:p w14:paraId="2EE75B37" w14:textId="431A0192" w:rsidR="00BD0529" w:rsidRPr="00224014" w:rsidRDefault="00224014" w:rsidP="00224014">
      <w:pPr>
        <w:spacing w:line="360" w:lineRule="auto"/>
        <w:jc w:val="both"/>
        <w:rPr>
          <w:rFonts w:ascii="Times New Roman" w:hAnsi="Times New Roman" w:cs="Times New Roman"/>
          <w:sz w:val="28"/>
          <w:szCs w:val="28"/>
          <w:u w:val="single"/>
        </w:rPr>
      </w:pPr>
      <w:r w:rsidRPr="00B975B2">
        <w:rPr>
          <w:rFonts w:ascii="Times New Roman" w:hAnsi="Times New Roman" w:cs="Times New Roman"/>
          <w:sz w:val="28"/>
          <w:szCs w:val="28"/>
        </w:rPr>
        <w:t>[44]</w:t>
      </w:r>
      <w:r w:rsidRPr="00B975B2">
        <w:rPr>
          <w:rFonts w:ascii="Times New Roman" w:hAnsi="Times New Roman" w:cs="Times New Roman"/>
          <w:sz w:val="28"/>
          <w:szCs w:val="28"/>
        </w:rPr>
        <w:tab/>
      </w:r>
      <w:r w:rsidR="000C2144" w:rsidRPr="00224014">
        <w:rPr>
          <w:rFonts w:ascii="Times New Roman" w:hAnsi="Times New Roman" w:cs="Times New Roman"/>
          <w:sz w:val="28"/>
          <w:szCs w:val="28"/>
        </w:rPr>
        <w:t xml:space="preserve"> In response to questions from the court, the appellant said that in lieu of the call from Agnes, and having seen the packed bags, he su</w:t>
      </w:r>
      <w:r w:rsidR="00B975B2" w:rsidRPr="00224014">
        <w:rPr>
          <w:rFonts w:ascii="Times New Roman" w:hAnsi="Times New Roman" w:cs="Times New Roman"/>
          <w:sz w:val="28"/>
          <w:szCs w:val="28"/>
        </w:rPr>
        <w:t>spected that the complainant had been</w:t>
      </w:r>
      <w:r w:rsidR="000C2144" w:rsidRPr="00224014">
        <w:rPr>
          <w:rFonts w:ascii="Times New Roman" w:hAnsi="Times New Roman" w:cs="Times New Roman"/>
          <w:sz w:val="28"/>
          <w:szCs w:val="28"/>
        </w:rPr>
        <w:t xml:space="preserve"> planning to go to Agnes. He also found her explanation – that </w:t>
      </w:r>
      <w:r w:rsidR="00BD0529" w:rsidRPr="00224014">
        <w:rPr>
          <w:rFonts w:ascii="Times New Roman" w:hAnsi="Times New Roman" w:cs="Times New Roman"/>
          <w:sz w:val="28"/>
          <w:szCs w:val="28"/>
        </w:rPr>
        <w:t>the packed bags only contained dirty laundry</w:t>
      </w:r>
      <w:r w:rsidR="000C2144" w:rsidRPr="00224014">
        <w:rPr>
          <w:rFonts w:ascii="Times New Roman" w:hAnsi="Times New Roman" w:cs="Times New Roman"/>
          <w:sz w:val="28"/>
          <w:szCs w:val="28"/>
        </w:rPr>
        <w:t xml:space="preserve"> – implausible.</w:t>
      </w:r>
    </w:p>
    <w:p w14:paraId="7CA324DE" w14:textId="77777777" w:rsidR="000C2144" w:rsidRPr="000C2144" w:rsidRDefault="000C2144" w:rsidP="00BD0529">
      <w:pPr>
        <w:pStyle w:val="ListParagraph"/>
        <w:spacing w:line="36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 </w:t>
      </w:r>
    </w:p>
    <w:p w14:paraId="19CA5B53" w14:textId="136FFD55" w:rsidR="001A7878" w:rsidRPr="00224014" w:rsidRDefault="00224014" w:rsidP="00224014">
      <w:pPr>
        <w:spacing w:line="360" w:lineRule="auto"/>
        <w:jc w:val="both"/>
        <w:rPr>
          <w:rFonts w:ascii="Times New Roman" w:hAnsi="Times New Roman" w:cs="Times New Roman"/>
          <w:sz w:val="28"/>
          <w:szCs w:val="28"/>
          <w:u w:val="single"/>
        </w:rPr>
      </w:pPr>
      <w:r w:rsidRPr="001A7878">
        <w:rPr>
          <w:rFonts w:ascii="Times New Roman" w:hAnsi="Times New Roman" w:cs="Times New Roman"/>
          <w:sz w:val="28"/>
          <w:szCs w:val="28"/>
        </w:rPr>
        <w:t>[45]</w:t>
      </w:r>
      <w:r w:rsidRPr="001A7878">
        <w:rPr>
          <w:rFonts w:ascii="Times New Roman" w:hAnsi="Times New Roman" w:cs="Times New Roman"/>
          <w:sz w:val="28"/>
          <w:szCs w:val="28"/>
        </w:rPr>
        <w:tab/>
      </w:r>
      <w:r w:rsidR="000C2144" w:rsidRPr="00224014">
        <w:rPr>
          <w:rFonts w:ascii="Times New Roman" w:hAnsi="Times New Roman" w:cs="Times New Roman"/>
          <w:sz w:val="28"/>
          <w:szCs w:val="28"/>
        </w:rPr>
        <w:t>To my m</w:t>
      </w:r>
      <w:r w:rsidR="002C6B23" w:rsidRPr="00224014">
        <w:rPr>
          <w:rFonts w:ascii="Times New Roman" w:hAnsi="Times New Roman" w:cs="Times New Roman"/>
          <w:sz w:val="28"/>
          <w:szCs w:val="28"/>
        </w:rPr>
        <w:t>ind, the court’s failure to have given</w:t>
      </w:r>
      <w:r w:rsidR="000C2144" w:rsidRPr="00224014">
        <w:rPr>
          <w:rFonts w:ascii="Times New Roman" w:hAnsi="Times New Roman" w:cs="Times New Roman"/>
          <w:sz w:val="28"/>
          <w:szCs w:val="28"/>
        </w:rPr>
        <w:t xml:space="preserve"> any consideration at all to the appellant’s version, and whether it was reasonably, possibly true in the </w:t>
      </w:r>
      <w:r w:rsidR="000C2144" w:rsidRPr="00224014">
        <w:rPr>
          <w:rFonts w:ascii="Times New Roman" w:hAnsi="Times New Roman" w:cs="Times New Roman"/>
          <w:sz w:val="28"/>
          <w:szCs w:val="28"/>
        </w:rPr>
        <w:lastRenderedPageBreak/>
        <w:t xml:space="preserve">circumstances, amounts to a further misdirection. </w:t>
      </w:r>
      <w:r w:rsidR="007969FF" w:rsidRPr="00224014">
        <w:rPr>
          <w:rFonts w:ascii="Times New Roman" w:hAnsi="Times New Roman" w:cs="Times New Roman"/>
          <w:sz w:val="28"/>
          <w:szCs w:val="28"/>
        </w:rPr>
        <w:t xml:space="preserve"> </w:t>
      </w:r>
      <w:r w:rsidR="000C2144" w:rsidRPr="00224014">
        <w:rPr>
          <w:rFonts w:ascii="Times New Roman" w:hAnsi="Times New Roman" w:cs="Times New Roman"/>
          <w:sz w:val="28"/>
          <w:szCs w:val="28"/>
        </w:rPr>
        <w:t>In all these</w:t>
      </w:r>
      <w:r w:rsidR="002C6B23" w:rsidRPr="00224014">
        <w:rPr>
          <w:rFonts w:ascii="Times New Roman" w:hAnsi="Times New Roman" w:cs="Times New Roman"/>
          <w:sz w:val="28"/>
          <w:szCs w:val="28"/>
        </w:rPr>
        <w:t xml:space="preserve"> circumstances, I am satisfied</w:t>
      </w:r>
      <w:r w:rsidR="000C2144" w:rsidRPr="00224014">
        <w:rPr>
          <w:rFonts w:ascii="Times New Roman" w:hAnsi="Times New Roman" w:cs="Times New Roman"/>
          <w:sz w:val="28"/>
          <w:szCs w:val="28"/>
        </w:rPr>
        <w:t xml:space="preserve"> that the trial court erred in concluding that the prosecution had proved its case beyond a reasonable doubt. </w:t>
      </w:r>
      <w:r w:rsidR="007969FF" w:rsidRPr="00224014">
        <w:rPr>
          <w:rFonts w:ascii="Times New Roman" w:hAnsi="Times New Roman" w:cs="Times New Roman"/>
          <w:sz w:val="28"/>
          <w:szCs w:val="28"/>
        </w:rPr>
        <w:t xml:space="preserve"> </w:t>
      </w:r>
      <w:r w:rsidR="001A7878" w:rsidRPr="00224014">
        <w:rPr>
          <w:rFonts w:ascii="Times New Roman" w:hAnsi="Times New Roman" w:cs="Times New Roman"/>
          <w:sz w:val="28"/>
          <w:szCs w:val="28"/>
        </w:rPr>
        <w:t>The appellant is accordingly entitled to an acquittal on all the charges preferred against him.</w:t>
      </w:r>
    </w:p>
    <w:p w14:paraId="031E509A" w14:textId="77777777" w:rsidR="001A7878" w:rsidRDefault="001A7878" w:rsidP="001A7878">
      <w:pPr>
        <w:pStyle w:val="ListParagraph"/>
        <w:spacing w:line="360" w:lineRule="auto"/>
        <w:jc w:val="both"/>
        <w:rPr>
          <w:rFonts w:ascii="Times New Roman" w:hAnsi="Times New Roman" w:cs="Times New Roman"/>
          <w:sz w:val="28"/>
          <w:szCs w:val="28"/>
        </w:rPr>
      </w:pPr>
    </w:p>
    <w:p w14:paraId="3D06E86E" w14:textId="77777777" w:rsidR="001A7878" w:rsidRDefault="001A7878" w:rsidP="001A7878">
      <w:pPr>
        <w:pStyle w:val="ListParagraph"/>
        <w:spacing w:line="360" w:lineRule="auto"/>
        <w:jc w:val="both"/>
        <w:rPr>
          <w:rFonts w:ascii="Times New Roman" w:hAnsi="Times New Roman" w:cs="Times New Roman"/>
          <w:b/>
          <w:sz w:val="28"/>
          <w:szCs w:val="28"/>
        </w:rPr>
      </w:pPr>
      <w:r w:rsidRPr="007969FF">
        <w:rPr>
          <w:rFonts w:ascii="Times New Roman" w:hAnsi="Times New Roman" w:cs="Times New Roman"/>
          <w:b/>
          <w:sz w:val="28"/>
          <w:szCs w:val="28"/>
        </w:rPr>
        <w:t>ORDER:</w:t>
      </w:r>
    </w:p>
    <w:p w14:paraId="4D0F9E8D" w14:textId="77777777" w:rsidR="007969FF" w:rsidRPr="007969FF" w:rsidRDefault="007969FF" w:rsidP="001A7878">
      <w:pPr>
        <w:pStyle w:val="ListParagraph"/>
        <w:spacing w:line="360" w:lineRule="auto"/>
        <w:jc w:val="both"/>
        <w:rPr>
          <w:rFonts w:ascii="Times New Roman" w:hAnsi="Times New Roman" w:cs="Times New Roman"/>
          <w:b/>
          <w:sz w:val="28"/>
          <w:szCs w:val="28"/>
        </w:rPr>
      </w:pPr>
    </w:p>
    <w:p w14:paraId="6B4268DA" w14:textId="067DF1EE" w:rsidR="001A7878" w:rsidRPr="00224014" w:rsidRDefault="00224014" w:rsidP="00224014">
      <w:pPr>
        <w:spacing w:line="360" w:lineRule="auto"/>
        <w:ind w:left="1276" w:hanging="567"/>
        <w:jc w:val="both"/>
        <w:rPr>
          <w:rFonts w:ascii="Times New Roman" w:hAnsi="Times New Roman" w:cs="Times New Roman"/>
          <w:sz w:val="28"/>
          <w:szCs w:val="28"/>
          <w:u w:val="single"/>
        </w:rPr>
      </w:pPr>
      <w:r w:rsidRPr="001A7878">
        <w:rPr>
          <w:rFonts w:ascii="Times New Roman" w:hAnsi="Times New Roman" w:cs="Times New Roman"/>
          <w:sz w:val="28"/>
          <w:szCs w:val="28"/>
        </w:rPr>
        <w:t>(a)</w:t>
      </w:r>
      <w:r w:rsidRPr="001A7878">
        <w:rPr>
          <w:rFonts w:ascii="Times New Roman" w:hAnsi="Times New Roman" w:cs="Times New Roman"/>
          <w:sz w:val="28"/>
          <w:szCs w:val="28"/>
        </w:rPr>
        <w:tab/>
      </w:r>
      <w:r w:rsidR="001A7878" w:rsidRPr="00224014">
        <w:rPr>
          <w:rFonts w:ascii="Times New Roman" w:hAnsi="Times New Roman" w:cs="Times New Roman"/>
          <w:sz w:val="28"/>
          <w:szCs w:val="28"/>
        </w:rPr>
        <w:t>The appeal against the convictions and the sentences imposed is upheld.</w:t>
      </w:r>
    </w:p>
    <w:p w14:paraId="6DBD6708" w14:textId="70695159" w:rsidR="001A7878" w:rsidRPr="00224014" w:rsidRDefault="00224014" w:rsidP="00224014">
      <w:pPr>
        <w:spacing w:line="360" w:lineRule="auto"/>
        <w:ind w:left="1276" w:hanging="567"/>
        <w:jc w:val="both"/>
        <w:rPr>
          <w:rFonts w:ascii="Times New Roman" w:hAnsi="Times New Roman" w:cs="Times New Roman"/>
          <w:sz w:val="28"/>
          <w:szCs w:val="28"/>
          <w:u w:val="single"/>
        </w:rPr>
      </w:pPr>
      <w:r w:rsidRPr="001A7878">
        <w:rPr>
          <w:rFonts w:ascii="Times New Roman" w:hAnsi="Times New Roman" w:cs="Times New Roman"/>
          <w:sz w:val="28"/>
          <w:szCs w:val="28"/>
        </w:rPr>
        <w:t>(b)</w:t>
      </w:r>
      <w:r w:rsidRPr="001A7878">
        <w:rPr>
          <w:rFonts w:ascii="Times New Roman" w:hAnsi="Times New Roman" w:cs="Times New Roman"/>
          <w:sz w:val="28"/>
          <w:szCs w:val="28"/>
        </w:rPr>
        <w:tab/>
      </w:r>
      <w:r w:rsidR="001A7878" w:rsidRPr="00224014">
        <w:rPr>
          <w:rFonts w:ascii="Times New Roman" w:hAnsi="Times New Roman" w:cs="Times New Roman"/>
          <w:sz w:val="28"/>
          <w:szCs w:val="28"/>
        </w:rPr>
        <w:t>The convictions and the sentences imposed are set aside.</w:t>
      </w:r>
    </w:p>
    <w:p w14:paraId="16269738" w14:textId="1860E45D" w:rsidR="001A7878" w:rsidRPr="00224014" w:rsidRDefault="00224014" w:rsidP="00224014">
      <w:pPr>
        <w:spacing w:line="360" w:lineRule="auto"/>
        <w:ind w:left="1276" w:hanging="567"/>
        <w:jc w:val="both"/>
        <w:rPr>
          <w:rFonts w:ascii="Times New Roman" w:hAnsi="Times New Roman" w:cs="Times New Roman"/>
          <w:sz w:val="28"/>
          <w:szCs w:val="28"/>
          <w:u w:val="single"/>
        </w:rPr>
      </w:pPr>
      <w:r w:rsidRPr="001A7878">
        <w:rPr>
          <w:rFonts w:ascii="Times New Roman" w:hAnsi="Times New Roman" w:cs="Times New Roman"/>
          <w:sz w:val="28"/>
          <w:szCs w:val="28"/>
        </w:rPr>
        <w:t>(c)</w:t>
      </w:r>
      <w:r w:rsidRPr="001A7878">
        <w:rPr>
          <w:rFonts w:ascii="Times New Roman" w:hAnsi="Times New Roman" w:cs="Times New Roman"/>
          <w:sz w:val="28"/>
          <w:szCs w:val="28"/>
        </w:rPr>
        <w:tab/>
      </w:r>
      <w:r w:rsidR="001A7878" w:rsidRPr="00224014">
        <w:rPr>
          <w:rFonts w:ascii="Times New Roman" w:hAnsi="Times New Roman" w:cs="Times New Roman"/>
          <w:sz w:val="28"/>
          <w:szCs w:val="28"/>
        </w:rPr>
        <w:t>The appellant is found not guilty and he is discharged.</w:t>
      </w:r>
    </w:p>
    <w:p w14:paraId="6183F5D1" w14:textId="26C0061A" w:rsidR="001A7878" w:rsidRPr="00224014" w:rsidRDefault="00224014" w:rsidP="00224014">
      <w:pPr>
        <w:spacing w:line="360" w:lineRule="auto"/>
        <w:ind w:left="1276" w:hanging="567"/>
        <w:jc w:val="both"/>
        <w:rPr>
          <w:rFonts w:ascii="Times New Roman" w:hAnsi="Times New Roman" w:cs="Times New Roman"/>
          <w:sz w:val="28"/>
          <w:szCs w:val="28"/>
          <w:u w:val="single"/>
        </w:rPr>
      </w:pPr>
      <w:r w:rsidRPr="00606A29">
        <w:rPr>
          <w:rFonts w:ascii="Times New Roman" w:hAnsi="Times New Roman" w:cs="Times New Roman"/>
          <w:sz w:val="28"/>
          <w:szCs w:val="28"/>
        </w:rPr>
        <w:t>(d)</w:t>
      </w:r>
      <w:r w:rsidRPr="00606A29">
        <w:rPr>
          <w:rFonts w:ascii="Times New Roman" w:hAnsi="Times New Roman" w:cs="Times New Roman"/>
          <w:sz w:val="28"/>
          <w:szCs w:val="28"/>
        </w:rPr>
        <w:tab/>
      </w:r>
      <w:r w:rsidR="001A7878" w:rsidRPr="00224014">
        <w:rPr>
          <w:rFonts w:ascii="Times New Roman" w:hAnsi="Times New Roman" w:cs="Times New Roman"/>
          <w:sz w:val="28"/>
          <w:szCs w:val="28"/>
        </w:rPr>
        <w:t xml:space="preserve">The </w:t>
      </w:r>
      <w:proofErr w:type="spellStart"/>
      <w:r w:rsidR="001A7878" w:rsidRPr="00224014">
        <w:rPr>
          <w:rFonts w:ascii="Times New Roman" w:hAnsi="Times New Roman" w:cs="Times New Roman"/>
          <w:sz w:val="28"/>
          <w:szCs w:val="28"/>
        </w:rPr>
        <w:t>Bhisho</w:t>
      </w:r>
      <w:proofErr w:type="spellEnd"/>
      <w:r w:rsidR="001A7878" w:rsidRPr="00224014">
        <w:rPr>
          <w:rFonts w:ascii="Times New Roman" w:hAnsi="Times New Roman" w:cs="Times New Roman"/>
          <w:sz w:val="28"/>
          <w:szCs w:val="28"/>
        </w:rPr>
        <w:t xml:space="preserve"> registrar is directed to facilitate the appellant’s immediate release from prison.</w:t>
      </w:r>
    </w:p>
    <w:p w14:paraId="1E7A2ECA" w14:textId="77777777" w:rsidR="00CE75BF" w:rsidRDefault="00CE75BF" w:rsidP="007969FF">
      <w:pPr>
        <w:spacing w:line="360" w:lineRule="auto"/>
        <w:jc w:val="both"/>
        <w:rPr>
          <w:rFonts w:ascii="Times New Roman" w:hAnsi="Times New Roman" w:cs="Times New Roman"/>
          <w:sz w:val="28"/>
          <w:szCs w:val="28"/>
        </w:rPr>
      </w:pPr>
    </w:p>
    <w:p w14:paraId="5061C962" w14:textId="77777777" w:rsidR="007969FF" w:rsidRPr="007969FF" w:rsidRDefault="007969FF" w:rsidP="00A1122B">
      <w:pPr>
        <w:spacing w:line="240" w:lineRule="auto"/>
        <w:jc w:val="both"/>
        <w:rPr>
          <w:rFonts w:ascii="Times New Roman" w:hAnsi="Times New Roman" w:cs="Times New Roman"/>
          <w:b/>
          <w:sz w:val="28"/>
          <w:szCs w:val="28"/>
        </w:rPr>
      </w:pPr>
      <w:r w:rsidRPr="007969FF">
        <w:rPr>
          <w:rFonts w:ascii="Times New Roman" w:hAnsi="Times New Roman" w:cs="Times New Roman"/>
          <w:b/>
          <w:sz w:val="28"/>
          <w:szCs w:val="28"/>
        </w:rPr>
        <w:t>________________</w:t>
      </w:r>
      <w:r>
        <w:rPr>
          <w:rFonts w:ascii="Times New Roman" w:hAnsi="Times New Roman" w:cs="Times New Roman"/>
          <w:b/>
          <w:sz w:val="28"/>
          <w:szCs w:val="28"/>
        </w:rPr>
        <w:t>__</w:t>
      </w:r>
      <w:r w:rsidRPr="007969FF">
        <w:rPr>
          <w:rFonts w:ascii="Times New Roman" w:hAnsi="Times New Roman" w:cs="Times New Roman"/>
          <w:b/>
          <w:sz w:val="28"/>
          <w:szCs w:val="28"/>
        </w:rPr>
        <w:t>__________</w:t>
      </w:r>
    </w:p>
    <w:p w14:paraId="527791D0" w14:textId="77777777" w:rsidR="00606A29" w:rsidRPr="007969FF" w:rsidRDefault="00606A29" w:rsidP="00A1122B">
      <w:pPr>
        <w:pStyle w:val="ListParagraph"/>
        <w:spacing w:line="240" w:lineRule="auto"/>
        <w:ind w:left="0"/>
        <w:jc w:val="both"/>
        <w:rPr>
          <w:rFonts w:ascii="Times New Roman" w:hAnsi="Times New Roman" w:cs="Times New Roman"/>
          <w:b/>
          <w:sz w:val="28"/>
          <w:szCs w:val="28"/>
        </w:rPr>
      </w:pPr>
      <w:r w:rsidRPr="007969FF">
        <w:rPr>
          <w:rFonts w:ascii="Times New Roman" w:hAnsi="Times New Roman" w:cs="Times New Roman"/>
          <w:b/>
          <w:sz w:val="28"/>
          <w:szCs w:val="28"/>
        </w:rPr>
        <w:t>I.T. STRETCH</w:t>
      </w:r>
    </w:p>
    <w:p w14:paraId="5021B0E7" w14:textId="77777777" w:rsidR="00606A29" w:rsidRPr="007969FF" w:rsidRDefault="00606A29" w:rsidP="00A1122B">
      <w:pPr>
        <w:pStyle w:val="ListParagraph"/>
        <w:spacing w:line="240" w:lineRule="auto"/>
        <w:ind w:left="0"/>
        <w:jc w:val="both"/>
        <w:rPr>
          <w:rFonts w:ascii="Times New Roman" w:hAnsi="Times New Roman" w:cs="Times New Roman"/>
          <w:b/>
          <w:sz w:val="28"/>
          <w:szCs w:val="28"/>
        </w:rPr>
      </w:pPr>
      <w:r w:rsidRPr="007969FF">
        <w:rPr>
          <w:rFonts w:ascii="Times New Roman" w:hAnsi="Times New Roman" w:cs="Times New Roman"/>
          <w:b/>
          <w:sz w:val="28"/>
          <w:szCs w:val="28"/>
        </w:rPr>
        <w:t>JUDGE OF THE HIGH COURT</w:t>
      </w:r>
    </w:p>
    <w:p w14:paraId="378C6DAD" w14:textId="77777777" w:rsidR="007969FF" w:rsidRDefault="007969FF" w:rsidP="007969FF">
      <w:pPr>
        <w:pStyle w:val="ListParagraph"/>
        <w:spacing w:line="360" w:lineRule="auto"/>
        <w:ind w:left="0"/>
        <w:jc w:val="both"/>
        <w:rPr>
          <w:rFonts w:ascii="Times New Roman" w:hAnsi="Times New Roman" w:cs="Times New Roman"/>
          <w:sz w:val="28"/>
          <w:szCs w:val="28"/>
        </w:rPr>
      </w:pPr>
    </w:p>
    <w:p w14:paraId="215864EF" w14:textId="77777777" w:rsidR="00F7364C" w:rsidRDefault="00F7364C" w:rsidP="007969FF">
      <w:pPr>
        <w:pStyle w:val="ListParagraph"/>
        <w:spacing w:line="360" w:lineRule="auto"/>
        <w:ind w:left="0"/>
        <w:jc w:val="both"/>
        <w:rPr>
          <w:rFonts w:ascii="Times New Roman" w:hAnsi="Times New Roman" w:cs="Times New Roman"/>
          <w:sz w:val="28"/>
          <w:szCs w:val="28"/>
        </w:rPr>
      </w:pPr>
    </w:p>
    <w:p w14:paraId="5724EB8E" w14:textId="77777777" w:rsidR="00606A29" w:rsidRDefault="00606A29" w:rsidP="007969FF">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I agree:</w:t>
      </w:r>
    </w:p>
    <w:p w14:paraId="3E6D9268" w14:textId="77777777" w:rsidR="00606A29" w:rsidRDefault="00606A29" w:rsidP="007969FF">
      <w:pPr>
        <w:pStyle w:val="ListParagraph"/>
        <w:spacing w:line="360" w:lineRule="auto"/>
        <w:ind w:left="0"/>
        <w:jc w:val="both"/>
        <w:rPr>
          <w:rFonts w:ascii="Times New Roman" w:hAnsi="Times New Roman" w:cs="Times New Roman"/>
          <w:sz w:val="28"/>
          <w:szCs w:val="28"/>
        </w:rPr>
      </w:pPr>
    </w:p>
    <w:p w14:paraId="0C96883C" w14:textId="77777777" w:rsidR="00F7364C" w:rsidRDefault="00F7364C" w:rsidP="007969FF">
      <w:pPr>
        <w:pStyle w:val="ListParagraph"/>
        <w:spacing w:line="240" w:lineRule="auto"/>
        <w:ind w:left="0"/>
        <w:jc w:val="both"/>
        <w:rPr>
          <w:rFonts w:ascii="Times New Roman" w:hAnsi="Times New Roman" w:cs="Times New Roman"/>
          <w:b/>
          <w:sz w:val="28"/>
          <w:szCs w:val="28"/>
        </w:rPr>
      </w:pPr>
    </w:p>
    <w:p w14:paraId="05F52138" w14:textId="77777777" w:rsidR="007969FF" w:rsidRPr="007969FF" w:rsidRDefault="007969FF" w:rsidP="007969FF">
      <w:pPr>
        <w:pStyle w:val="ListParagraph"/>
        <w:spacing w:line="240" w:lineRule="auto"/>
        <w:ind w:left="0"/>
        <w:jc w:val="both"/>
        <w:rPr>
          <w:rFonts w:ascii="Times New Roman" w:hAnsi="Times New Roman" w:cs="Times New Roman"/>
          <w:b/>
          <w:sz w:val="28"/>
          <w:szCs w:val="28"/>
        </w:rPr>
      </w:pPr>
      <w:r w:rsidRPr="007969FF">
        <w:rPr>
          <w:rFonts w:ascii="Times New Roman" w:hAnsi="Times New Roman" w:cs="Times New Roman"/>
          <w:b/>
          <w:sz w:val="28"/>
          <w:szCs w:val="28"/>
        </w:rPr>
        <w:t>______________</w:t>
      </w:r>
      <w:r>
        <w:rPr>
          <w:rFonts w:ascii="Times New Roman" w:hAnsi="Times New Roman" w:cs="Times New Roman"/>
          <w:b/>
          <w:sz w:val="28"/>
          <w:szCs w:val="28"/>
        </w:rPr>
        <w:t>__</w:t>
      </w:r>
      <w:r w:rsidRPr="007969FF">
        <w:rPr>
          <w:rFonts w:ascii="Times New Roman" w:hAnsi="Times New Roman" w:cs="Times New Roman"/>
          <w:b/>
          <w:sz w:val="28"/>
          <w:szCs w:val="28"/>
        </w:rPr>
        <w:t>____________</w:t>
      </w:r>
    </w:p>
    <w:p w14:paraId="28081665" w14:textId="77777777" w:rsidR="00606A29" w:rsidRPr="007969FF" w:rsidRDefault="00606A29" w:rsidP="007969FF">
      <w:pPr>
        <w:pStyle w:val="ListParagraph"/>
        <w:spacing w:line="240" w:lineRule="auto"/>
        <w:ind w:left="0"/>
        <w:jc w:val="both"/>
        <w:rPr>
          <w:rFonts w:ascii="Times New Roman" w:hAnsi="Times New Roman" w:cs="Times New Roman"/>
          <w:b/>
          <w:sz w:val="28"/>
          <w:szCs w:val="28"/>
        </w:rPr>
      </w:pPr>
      <w:r w:rsidRPr="007969FF">
        <w:rPr>
          <w:rFonts w:ascii="Times New Roman" w:hAnsi="Times New Roman" w:cs="Times New Roman"/>
          <w:b/>
          <w:sz w:val="28"/>
          <w:szCs w:val="28"/>
        </w:rPr>
        <w:t>L. RUSI</w:t>
      </w:r>
    </w:p>
    <w:p w14:paraId="594FEB3E" w14:textId="77777777" w:rsidR="00606A29" w:rsidRPr="007969FF" w:rsidRDefault="00606A29" w:rsidP="007969FF">
      <w:pPr>
        <w:pStyle w:val="ListParagraph"/>
        <w:spacing w:line="240" w:lineRule="auto"/>
        <w:ind w:left="0"/>
        <w:jc w:val="both"/>
        <w:rPr>
          <w:rFonts w:ascii="Times New Roman" w:hAnsi="Times New Roman" w:cs="Times New Roman"/>
          <w:b/>
          <w:sz w:val="28"/>
          <w:szCs w:val="28"/>
        </w:rPr>
      </w:pPr>
      <w:r w:rsidRPr="007969FF">
        <w:rPr>
          <w:rFonts w:ascii="Times New Roman" w:hAnsi="Times New Roman" w:cs="Times New Roman"/>
          <w:b/>
          <w:sz w:val="28"/>
          <w:szCs w:val="28"/>
        </w:rPr>
        <w:t>JUDGE OF THE HIGH COURT</w:t>
      </w:r>
    </w:p>
    <w:p w14:paraId="6A009F75" w14:textId="77777777" w:rsidR="00606A29" w:rsidRDefault="00606A29" w:rsidP="007969FF">
      <w:pPr>
        <w:pStyle w:val="ListParagraph"/>
        <w:spacing w:line="360" w:lineRule="auto"/>
        <w:ind w:left="0"/>
        <w:jc w:val="both"/>
        <w:rPr>
          <w:rFonts w:ascii="Times New Roman" w:hAnsi="Times New Roman" w:cs="Times New Roman"/>
          <w:sz w:val="28"/>
          <w:szCs w:val="28"/>
        </w:rPr>
      </w:pPr>
    </w:p>
    <w:p w14:paraId="34F247F6" w14:textId="77777777" w:rsidR="00606A29" w:rsidRDefault="007969FF" w:rsidP="007969FF">
      <w:pPr>
        <w:pStyle w:val="ListParagraph"/>
        <w:spacing w:line="360" w:lineRule="auto"/>
        <w:ind w:left="0"/>
        <w:jc w:val="both"/>
        <w:rPr>
          <w:rFonts w:ascii="Times New Roman" w:hAnsi="Times New Roman" w:cs="Times New Roman"/>
          <w:i/>
          <w:sz w:val="24"/>
          <w:szCs w:val="24"/>
        </w:rPr>
      </w:pPr>
      <w:r>
        <w:rPr>
          <w:rFonts w:ascii="Times New Roman" w:hAnsi="Times New Roman" w:cs="Times New Roman"/>
          <w:i/>
          <w:sz w:val="24"/>
          <w:szCs w:val="24"/>
        </w:rPr>
        <w:t>For the appellant:</w:t>
      </w:r>
      <w:r>
        <w:rPr>
          <w:rFonts w:ascii="Times New Roman" w:hAnsi="Times New Roman" w:cs="Times New Roman"/>
          <w:i/>
          <w:sz w:val="24"/>
          <w:szCs w:val="24"/>
        </w:rPr>
        <w:tab/>
      </w:r>
      <w:r w:rsidR="00606A29">
        <w:rPr>
          <w:rFonts w:ascii="Times New Roman" w:hAnsi="Times New Roman" w:cs="Times New Roman"/>
          <w:i/>
          <w:sz w:val="24"/>
          <w:szCs w:val="24"/>
        </w:rPr>
        <w:t>H.J. Erasmus</w:t>
      </w:r>
    </w:p>
    <w:p w14:paraId="4DBF76E4" w14:textId="77777777" w:rsidR="00606A29" w:rsidRDefault="007969FF" w:rsidP="007969FF">
      <w:pPr>
        <w:pStyle w:val="ListParagraph"/>
        <w:spacing w:line="360" w:lineRule="auto"/>
        <w:ind w:left="0"/>
        <w:jc w:val="both"/>
        <w:rPr>
          <w:rFonts w:ascii="Times New Roman" w:hAnsi="Times New Roman" w:cs="Times New Roman"/>
          <w:i/>
          <w:sz w:val="24"/>
          <w:szCs w:val="24"/>
        </w:rPr>
      </w:pPr>
      <w:r>
        <w:rPr>
          <w:rFonts w:ascii="Times New Roman" w:hAnsi="Times New Roman" w:cs="Times New Roman"/>
          <w:i/>
          <w:sz w:val="24"/>
          <w:szCs w:val="24"/>
        </w:rPr>
        <w:t>Instructed by:</w:t>
      </w:r>
      <w:r>
        <w:rPr>
          <w:rFonts w:ascii="Times New Roman" w:hAnsi="Times New Roman" w:cs="Times New Roman"/>
          <w:i/>
          <w:sz w:val="24"/>
          <w:szCs w:val="24"/>
        </w:rPr>
        <w:tab/>
      </w:r>
      <w:r>
        <w:rPr>
          <w:rFonts w:ascii="Times New Roman" w:hAnsi="Times New Roman" w:cs="Times New Roman"/>
          <w:i/>
          <w:sz w:val="24"/>
          <w:szCs w:val="24"/>
        </w:rPr>
        <w:tab/>
      </w:r>
      <w:r w:rsidR="00606A29">
        <w:rPr>
          <w:rFonts w:ascii="Times New Roman" w:hAnsi="Times New Roman" w:cs="Times New Roman"/>
          <w:i/>
          <w:sz w:val="24"/>
          <w:szCs w:val="24"/>
        </w:rPr>
        <w:t>Legal Aid South Africa</w:t>
      </w:r>
    </w:p>
    <w:p w14:paraId="4540F074" w14:textId="77777777" w:rsidR="00CE75BF" w:rsidRDefault="00CE75BF" w:rsidP="007969FF">
      <w:pPr>
        <w:pStyle w:val="ListParagraph"/>
        <w:spacing w:line="360" w:lineRule="auto"/>
        <w:ind w:left="0"/>
        <w:jc w:val="both"/>
        <w:rPr>
          <w:rFonts w:ascii="Times New Roman" w:hAnsi="Times New Roman" w:cs="Times New Roman"/>
          <w:i/>
          <w:sz w:val="24"/>
          <w:szCs w:val="24"/>
        </w:rPr>
      </w:pPr>
    </w:p>
    <w:p w14:paraId="675573FF" w14:textId="77777777" w:rsidR="00606A29" w:rsidRDefault="00606A29" w:rsidP="007969FF">
      <w:pPr>
        <w:pStyle w:val="ListParagraph"/>
        <w:spacing w:line="360" w:lineRule="auto"/>
        <w:ind w:left="0"/>
        <w:jc w:val="both"/>
        <w:rPr>
          <w:rFonts w:ascii="Times New Roman" w:hAnsi="Times New Roman" w:cs="Times New Roman"/>
          <w:i/>
          <w:sz w:val="24"/>
          <w:szCs w:val="24"/>
        </w:rPr>
      </w:pPr>
      <w:r>
        <w:rPr>
          <w:rFonts w:ascii="Times New Roman" w:hAnsi="Times New Roman" w:cs="Times New Roman"/>
          <w:i/>
          <w:sz w:val="24"/>
          <w:szCs w:val="24"/>
        </w:rPr>
        <w:lastRenderedPageBreak/>
        <w:t>For the respondent:</w:t>
      </w:r>
      <w:r>
        <w:rPr>
          <w:rFonts w:ascii="Times New Roman" w:hAnsi="Times New Roman" w:cs="Times New Roman"/>
          <w:i/>
          <w:sz w:val="24"/>
          <w:szCs w:val="24"/>
        </w:rPr>
        <w:tab/>
        <w:t xml:space="preserve">C. </w:t>
      </w:r>
      <w:proofErr w:type="spellStart"/>
      <w:r>
        <w:rPr>
          <w:rFonts w:ascii="Times New Roman" w:hAnsi="Times New Roman" w:cs="Times New Roman"/>
          <w:i/>
          <w:sz w:val="24"/>
          <w:szCs w:val="24"/>
        </w:rPr>
        <w:t>Giyose</w:t>
      </w:r>
      <w:proofErr w:type="spellEnd"/>
    </w:p>
    <w:p w14:paraId="544FE004" w14:textId="77777777" w:rsidR="00606A29" w:rsidRDefault="00606A29" w:rsidP="007969FF">
      <w:pPr>
        <w:pStyle w:val="ListParagraph"/>
        <w:spacing w:line="360" w:lineRule="auto"/>
        <w:ind w:left="0"/>
        <w:jc w:val="both"/>
        <w:rPr>
          <w:rFonts w:ascii="Times New Roman" w:hAnsi="Times New Roman" w:cs="Times New Roman"/>
          <w:i/>
          <w:sz w:val="24"/>
          <w:szCs w:val="24"/>
        </w:rPr>
      </w:pPr>
      <w:r>
        <w:rPr>
          <w:rFonts w:ascii="Times New Roman" w:hAnsi="Times New Roman" w:cs="Times New Roman"/>
          <w:i/>
          <w:sz w:val="24"/>
          <w:szCs w:val="24"/>
        </w:rPr>
        <w:t>Instructed by:</w:t>
      </w:r>
      <w:r>
        <w:rPr>
          <w:rFonts w:ascii="Times New Roman" w:hAnsi="Times New Roman" w:cs="Times New Roman"/>
          <w:i/>
          <w:sz w:val="24"/>
          <w:szCs w:val="24"/>
        </w:rPr>
        <w:tab/>
      </w:r>
      <w:r>
        <w:rPr>
          <w:rFonts w:ascii="Times New Roman" w:hAnsi="Times New Roman" w:cs="Times New Roman"/>
          <w:i/>
          <w:sz w:val="24"/>
          <w:szCs w:val="24"/>
        </w:rPr>
        <w:tab/>
        <w:t>The Director of Public Prosecutions</w:t>
      </w:r>
    </w:p>
    <w:p w14:paraId="1751E640" w14:textId="77777777" w:rsidR="00CE75BF" w:rsidRDefault="00CE75BF" w:rsidP="007969FF">
      <w:pPr>
        <w:pStyle w:val="ListParagraph"/>
        <w:spacing w:line="360" w:lineRule="auto"/>
        <w:ind w:left="0"/>
        <w:jc w:val="both"/>
        <w:rPr>
          <w:rFonts w:ascii="Times New Roman" w:hAnsi="Times New Roman" w:cs="Times New Roman"/>
          <w:i/>
          <w:sz w:val="24"/>
          <w:szCs w:val="24"/>
        </w:rPr>
      </w:pPr>
    </w:p>
    <w:p w14:paraId="3BFAF533" w14:textId="77777777" w:rsidR="00606A29" w:rsidRDefault="00606A29" w:rsidP="007969FF">
      <w:pPr>
        <w:pStyle w:val="ListParagraph"/>
        <w:spacing w:line="360" w:lineRule="auto"/>
        <w:ind w:left="0"/>
        <w:jc w:val="both"/>
        <w:rPr>
          <w:rFonts w:ascii="Times New Roman" w:hAnsi="Times New Roman" w:cs="Times New Roman"/>
          <w:i/>
          <w:sz w:val="24"/>
          <w:szCs w:val="24"/>
        </w:rPr>
      </w:pPr>
      <w:r>
        <w:rPr>
          <w:rFonts w:ascii="Times New Roman" w:hAnsi="Times New Roman" w:cs="Times New Roman"/>
          <w:i/>
          <w:sz w:val="24"/>
          <w:szCs w:val="24"/>
        </w:rPr>
        <w:t>Date heard:</w:t>
      </w:r>
      <w:r>
        <w:rPr>
          <w:rFonts w:ascii="Times New Roman" w:hAnsi="Times New Roman" w:cs="Times New Roman"/>
          <w:i/>
          <w:sz w:val="24"/>
          <w:szCs w:val="24"/>
        </w:rPr>
        <w:tab/>
      </w:r>
      <w:r>
        <w:rPr>
          <w:rFonts w:ascii="Times New Roman" w:hAnsi="Times New Roman" w:cs="Times New Roman"/>
          <w:i/>
          <w:sz w:val="24"/>
          <w:szCs w:val="24"/>
        </w:rPr>
        <w:tab/>
      </w:r>
      <w:r w:rsidR="007969FF">
        <w:rPr>
          <w:rFonts w:ascii="Times New Roman" w:hAnsi="Times New Roman" w:cs="Times New Roman"/>
          <w:i/>
          <w:sz w:val="24"/>
          <w:szCs w:val="24"/>
        </w:rPr>
        <w:tab/>
      </w:r>
      <w:r>
        <w:rPr>
          <w:rFonts w:ascii="Times New Roman" w:hAnsi="Times New Roman" w:cs="Times New Roman"/>
          <w:i/>
          <w:sz w:val="24"/>
          <w:szCs w:val="24"/>
        </w:rPr>
        <w:t>14 September 2022</w:t>
      </w:r>
    </w:p>
    <w:p w14:paraId="259D781A" w14:textId="77777777" w:rsidR="00CE75BF" w:rsidRDefault="00606A29" w:rsidP="007969FF">
      <w:pPr>
        <w:pStyle w:val="ListParagraph"/>
        <w:spacing w:line="360" w:lineRule="auto"/>
        <w:ind w:left="0"/>
        <w:jc w:val="both"/>
        <w:rPr>
          <w:rFonts w:ascii="Times New Roman" w:hAnsi="Times New Roman" w:cs="Times New Roman"/>
          <w:i/>
          <w:sz w:val="24"/>
          <w:szCs w:val="24"/>
        </w:rPr>
      </w:pPr>
      <w:r>
        <w:rPr>
          <w:rFonts w:ascii="Times New Roman" w:hAnsi="Times New Roman" w:cs="Times New Roman"/>
          <w:i/>
          <w:sz w:val="24"/>
          <w:szCs w:val="24"/>
        </w:rPr>
        <w:t>Date of further heads:</w:t>
      </w:r>
      <w:r w:rsidR="002C6B23">
        <w:rPr>
          <w:rFonts w:ascii="Times New Roman" w:hAnsi="Times New Roman" w:cs="Times New Roman"/>
          <w:i/>
          <w:sz w:val="24"/>
          <w:szCs w:val="24"/>
        </w:rPr>
        <w:t xml:space="preserve"> </w:t>
      </w:r>
      <w:r>
        <w:rPr>
          <w:rFonts w:ascii="Times New Roman" w:hAnsi="Times New Roman" w:cs="Times New Roman"/>
          <w:i/>
          <w:sz w:val="24"/>
          <w:szCs w:val="24"/>
        </w:rPr>
        <w:tab/>
        <w:t>16 November 2022</w:t>
      </w:r>
    </w:p>
    <w:p w14:paraId="2515375E" w14:textId="77777777" w:rsidR="00606A29" w:rsidRDefault="002C6B23" w:rsidP="007969FF">
      <w:pPr>
        <w:pStyle w:val="ListParagraph"/>
        <w:spacing w:line="360" w:lineRule="auto"/>
        <w:ind w:left="0"/>
        <w:jc w:val="both"/>
        <w:rPr>
          <w:rFonts w:ascii="Times New Roman" w:hAnsi="Times New Roman" w:cs="Times New Roman"/>
          <w:i/>
          <w:sz w:val="24"/>
          <w:szCs w:val="24"/>
        </w:rPr>
      </w:pPr>
      <w:r>
        <w:rPr>
          <w:rFonts w:ascii="Times New Roman" w:hAnsi="Times New Roman" w:cs="Times New Roman"/>
          <w:i/>
          <w:sz w:val="24"/>
          <w:szCs w:val="24"/>
        </w:rPr>
        <w:t>Date of judgment</w:t>
      </w:r>
      <w:r w:rsidR="00606A29">
        <w:rPr>
          <w:rFonts w:ascii="Times New Roman" w:hAnsi="Times New Roman" w:cs="Times New Roman"/>
          <w:i/>
          <w:sz w:val="24"/>
          <w:szCs w:val="24"/>
        </w:rPr>
        <w:t>:</w:t>
      </w:r>
      <w:r w:rsidR="00606A29">
        <w:rPr>
          <w:rFonts w:ascii="Times New Roman" w:hAnsi="Times New Roman" w:cs="Times New Roman"/>
          <w:i/>
          <w:sz w:val="24"/>
          <w:szCs w:val="24"/>
        </w:rPr>
        <w:tab/>
      </w:r>
      <w:r w:rsidR="00606A29">
        <w:rPr>
          <w:rFonts w:ascii="Times New Roman" w:hAnsi="Times New Roman" w:cs="Times New Roman"/>
          <w:i/>
          <w:sz w:val="24"/>
          <w:szCs w:val="24"/>
        </w:rPr>
        <w:tab/>
        <w:t>06 December 2022</w:t>
      </w:r>
    </w:p>
    <w:p w14:paraId="39F9D449" w14:textId="77777777" w:rsidR="0015463E" w:rsidRPr="0015463E" w:rsidRDefault="0015463E" w:rsidP="007969FF">
      <w:pPr>
        <w:pStyle w:val="ListParagraph"/>
        <w:spacing w:line="360" w:lineRule="auto"/>
        <w:ind w:left="0"/>
        <w:jc w:val="both"/>
        <w:rPr>
          <w:rFonts w:ascii="Times New Roman" w:hAnsi="Times New Roman" w:cs="Times New Roman"/>
          <w:b/>
          <w:sz w:val="28"/>
          <w:szCs w:val="28"/>
        </w:rPr>
      </w:pPr>
    </w:p>
    <w:sectPr w:rsidR="0015463E" w:rsidRPr="0015463E" w:rsidSect="00D350A1">
      <w:headerReference w:type="default" r:id="rId10"/>
      <w:headerReference w:type="first" r:id="rId11"/>
      <w:pgSz w:w="11906" w:h="16838"/>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4507E" w14:textId="77777777" w:rsidR="0013080E" w:rsidRDefault="0013080E" w:rsidP="003E3747">
      <w:pPr>
        <w:spacing w:after="0" w:line="240" w:lineRule="auto"/>
      </w:pPr>
      <w:r>
        <w:separator/>
      </w:r>
    </w:p>
  </w:endnote>
  <w:endnote w:type="continuationSeparator" w:id="0">
    <w:p w14:paraId="5C170C45" w14:textId="77777777" w:rsidR="0013080E" w:rsidRDefault="0013080E" w:rsidP="003E3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19D18" w14:textId="77777777" w:rsidR="0013080E" w:rsidRDefault="0013080E" w:rsidP="003E3747">
      <w:pPr>
        <w:spacing w:after="0" w:line="240" w:lineRule="auto"/>
      </w:pPr>
      <w:r>
        <w:separator/>
      </w:r>
    </w:p>
  </w:footnote>
  <w:footnote w:type="continuationSeparator" w:id="0">
    <w:p w14:paraId="743CF6E5" w14:textId="77777777" w:rsidR="0013080E" w:rsidRDefault="0013080E" w:rsidP="003E3747">
      <w:pPr>
        <w:spacing w:after="0" w:line="240" w:lineRule="auto"/>
      </w:pPr>
      <w:r>
        <w:continuationSeparator/>
      </w:r>
    </w:p>
  </w:footnote>
  <w:footnote w:id="1">
    <w:p w14:paraId="6E0A7A38" w14:textId="77777777" w:rsidR="0069425E" w:rsidRDefault="0069425E">
      <w:pPr>
        <w:pStyle w:val="FootnoteText"/>
      </w:pPr>
      <w:r>
        <w:rPr>
          <w:rStyle w:val="FootnoteReference"/>
        </w:rPr>
        <w:footnoteRef/>
      </w:r>
      <w:r>
        <w:t xml:space="preserve"> The transcript reads ‘Agnes Ntende’ but it seems from the magistrate’s long-hand notes and a reconstruction of this portion of the record, that the surname is Mbembe.</w:t>
      </w:r>
    </w:p>
  </w:footnote>
  <w:footnote w:id="2">
    <w:p w14:paraId="22FFAC48" w14:textId="77777777" w:rsidR="0069425E" w:rsidRDefault="0069425E" w:rsidP="00CC6C34">
      <w:pPr>
        <w:pStyle w:val="FootnoteText"/>
        <w:jc w:val="both"/>
      </w:pPr>
      <w:r>
        <w:rPr>
          <w:rStyle w:val="FootnoteReference"/>
        </w:rPr>
        <w:footnoteRef/>
      </w:r>
      <w:r>
        <w:t xml:space="preserve"> I have taken the liberty of correcting obvious spelling and grammatical errors in the transcript of the judgment</w:t>
      </w:r>
      <w:r w:rsidR="009E0577">
        <w:t>,</w:t>
      </w:r>
      <w:r>
        <w:t xml:space="preserve"> particularly in that it is not presented under cover of a transcriber’s certificate.</w:t>
      </w:r>
    </w:p>
  </w:footnote>
  <w:footnote w:id="3">
    <w:p w14:paraId="45811C66" w14:textId="77777777" w:rsidR="0069425E" w:rsidRDefault="0069425E">
      <w:pPr>
        <w:pStyle w:val="FootnoteText"/>
      </w:pPr>
      <w:r>
        <w:rPr>
          <w:rStyle w:val="FootnoteReference"/>
        </w:rPr>
        <w:footnoteRef/>
      </w:r>
      <w:r>
        <w:t xml:space="preserve"> The complainant’s maternal aunt and the appellant’s estranged spouse.</w:t>
      </w:r>
    </w:p>
  </w:footnote>
  <w:footnote w:id="4">
    <w:p w14:paraId="052B5185" w14:textId="77777777" w:rsidR="002F1C8C" w:rsidRDefault="002F1C8C">
      <w:pPr>
        <w:pStyle w:val="FootnoteText"/>
      </w:pPr>
      <w:r>
        <w:rPr>
          <w:rStyle w:val="FootnoteReference"/>
        </w:rPr>
        <w:footnoteRef/>
      </w:r>
      <w:r>
        <w:t xml:space="preserve"> [2010] 3 All SA 483 (SCA)</w:t>
      </w:r>
    </w:p>
  </w:footnote>
  <w:footnote w:id="5">
    <w:p w14:paraId="69E31456" w14:textId="77777777" w:rsidR="00AA1F55" w:rsidRDefault="00AA1F55">
      <w:pPr>
        <w:pStyle w:val="FootnoteText"/>
      </w:pPr>
      <w:r>
        <w:rPr>
          <w:rStyle w:val="FootnoteReference"/>
        </w:rPr>
        <w:footnoteRef/>
      </w:r>
      <w:r>
        <w:t xml:space="preserve"> At [16]</w:t>
      </w:r>
    </w:p>
  </w:footnote>
  <w:footnote w:id="6">
    <w:p w14:paraId="479009D9" w14:textId="77777777" w:rsidR="00BC0651" w:rsidRDefault="00BC0651">
      <w:pPr>
        <w:pStyle w:val="FootnoteText"/>
      </w:pPr>
      <w:r>
        <w:rPr>
          <w:rStyle w:val="FootnoteReference"/>
        </w:rPr>
        <w:footnoteRef/>
      </w:r>
      <w:r>
        <w:t xml:space="preserve"> 1998 (2) SACR 651 (C)</w:t>
      </w:r>
    </w:p>
  </w:footnote>
  <w:footnote w:id="7">
    <w:p w14:paraId="7BD6A52B" w14:textId="77777777" w:rsidR="00BC0651" w:rsidRPr="00BC0651" w:rsidRDefault="00BC0651">
      <w:pPr>
        <w:pStyle w:val="FootnoteText"/>
      </w:pPr>
      <w:r>
        <w:rPr>
          <w:rStyle w:val="FootnoteReference"/>
        </w:rPr>
        <w:footnoteRef/>
      </w:r>
      <w:r>
        <w:t xml:space="preserve"> See too </w:t>
      </w:r>
      <w:r>
        <w:rPr>
          <w:i/>
        </w:rPr>
        <w:t xml:space="preserve">S v Nedzamba </w:t>
      </w:r>
      <w:r>
        <w:t>2013 (2) SACR 333 (SCA)</w:t>
      </w:r>
    </w:p>
  </w:footnote>
  <w:footnote w:id="8">
    <w:p w14:paraId="748B4C91" w14:textId="77777777" w:rsidR="00282334" w:rsidRPr="00282334" w:rsidRDefault="00282334">
      <w:pPr>
        <w:pStyle w:val="FootnoteText"/>
      </w:pPr>
      <w:r>
        <w:rPr>
          <w:rStyle w:val="FootnoteReference"/>
        </w:rPr>
        <w:footnoteRef/>
      </w:r>
      <w:r>
        <w:t xml:space="preserve"> See </w:t>
      </w:r>
      <w:r>
        <w:rPr>
          <w:i/>
        </w:rPr>
        <w:t xml:space="preserve">Principles of Evidence: </w:t>
      </w:r>
      <w:r>
        <w:t>P. Sch</w:t>
      </w:r>
      <w:r w:rsidR="00C54F56">
        <w:t>w</w:t>
      </w:r>
      <w:r>
        <w:t>ikkard and S.Van der Merwe</w:t>
      </w:r>
      <w:r w:rsidR="00657C44">
        <w:t xml:space="preserve"> 4</w:t>
      </w:r>
      <w:r w:rsidR="00657C44" w:rsidRPr="00657C44">
        <w:rPr>
          <w:vertAlign w:val="superscript"/>
        </w:rPr>
        <w:t>th</w:t>
      </w:r>
      <w:r w:rsidR="00657C44">
        <w:t xml:space="preserve"> ed, Juta 2015</w:t>
      </w:r>
    </w:p>
  </w:footnote>
  <w:footnote w:id="9">
    <w:p w14:paraId="1F0550E3" w14:textId="77777777" w:rsidR="00BC0651" w:rsidRDefault="00BC0651">
      <w:pPr>
        <w:pStyle w:val="FootnoteText"/>
      </w:pPr>
      <w:r>
        <w:rPr>
          <w:rStyle w:val="FootnoteReference"/>
        </w:rPr>
        <w:footnoteRef/>
      </w:r>
      <w:r>
        <w:t xml:space="preserve"> </w:t>
      </w:r>
      <w:r w:rsidR="00282334">
        <w:t>2014 (1) SACR 29 (SCA)</w:t>
      </w:r>
    </w:p>
  </w:footnote>
  <w:footnote w:id="10">
    <w:p w14:paraId="29FCD1D5" w14:textId="77777777" w:rsidR="00657C44" w:rsidRDefault="00657C44">
      <w:pPr>
        <w:pStyle w:val="FootnoteText"/>
      </w:pPr>
      <w:r>
        <w:rPr>
          <w:rStyle w:val="FootnoteReference"/>
        </w:rPr>
        <w:footnoteRef/>
      </w:r>
      <w:r>
        <w:t xml:space="preserve"> 2009 (2) SACR 130 (CC)</w:t>
      </w:r>
    </w:p>
  </w:footnote>
  <w:footnote w:id="11">
    <w:p w14:paraId="630AA926" w14:textId="77777777" w:rsidR="00C25A1F" w:rsidRPr="00031707" w:rsidRDefault="00C25A1F">
      <w:pPr>
        <w:pStyle w:val="FootnoteText"/>
      </w:pPr>
      <w:r>
        <w:rPr>
          <w:rStyle w:val="FootnoteReference"/>
        </w:rPr>
        <w:footnoteRef/>
      </w:r>
      <w:r>
        <w:t xml:space="preserve"> </w:t>
      </w:r>
      <w:r w:rsidR="00031707">
        <w:rPr>
          <w:i/>
        </w:rPr>
        <w:t xml:space="preserve">Matshivha </w:t>
      </w:r>
      <w:r w:rsidR="00031707">
        <w:t>(above) para [11]</w:t>
      </w:r>
    </w:p>
  </w:footnote>
  <w:footnote w:id="12">
    <w:p w14:paraId="2B080FAA" w14:textId="77777777" w:rsidR="00A906E7" w:rsidRPr="00A906E7" w:rsidRDefault="00A906E7">
      <w:pPr>
        <w:pStyle w:val="FootnoteText"/>
      </w:pPr>
      <w:r>
        <w:rPr>
          <w:rStyle w:val="FootnoteReference"/>
        </w:rPr>
        <w:footnoteRef/>
      </w:r>
      <w:r>
        <w:t xml:space="preserve"> See </w:t>
      </w:r>
      <w:r>
        <w:rPr>
          <w:i/>
        </w:rPr>
        <w:t xml:space="preserve">S v Ndaba </w:t>
      </w:r>
      <w:r>
        <w:t xml:space="preserve">(unreported KZP case no </w:t>
      </w:r>
      <w:r w:rsidR="00E04A8D">
        <w:t>AR528/2017, 18 May 2018)</w:t>
      </w:r>
    </w:p>
  </w:footnote>
  <w:footnote w:id="13">
    <w:p w14:paraId="6F4DC612" w14:textId="77777777" w:rsidR="00A906E7" w:rsidRDefault="00A906E7">
      <w:pPr>
        <w:pStyle w:val="FootnoteText"/>
      </w:pPr>
      <w:r>
        <w:rPr>
          <w:rStyle w:val="FootnoteReference"/>
        </w:rPr>
        <w:footnoteRef/>
      </w:r>
      <w:r>
        <w:t xml:space="preserve"> At para [12]</w:t>
      </w:r>
    </w:p>
  </w:footnote>
  <w:footnote w:id="14">
    <w:p w14:paraId="15B48E29" w14:textId="77777777" w:rsidR="0019690D" w:rsidRDefault="0019690D">
      <w:pPr>
        <w:pStyle w:val="FootnoteText"/>
      </w:pPr>
      <w:r>
        <w:rPr>
          <w:rStyle w:val="FootnoteReference"/>
        </w:rPr>
        <w:footnoteRef/>
      </w:r>
      <w:r>
        <w:t xml:space="preserve"> </w:t>
      </w:r>
      <w:r w:rsidR="00543E79">
        <w:t>2018 (2) SACR 573 (SCA)</w:t>
      </w:r>
    </w:p>
  </w:footnote>
  <w:footnote w:id="15">
    <w:p w14:paraId="4ABE8AD8" w14:textId="77777777" w:rsidR="0019690D" w:rsidRDefault="0019690D">
      <w:pPr>
        <w:pStyle w:val="FootnoteText"/>
      </w:pPr>
      <w:r>
        <w:rPr>
          <w:rStyle w:val="FootnoteReference"/>
        </w:rPr>
        <w:footnoteRef/>
      </w:r>
      <w:r>
        <w:t xml:space="preserve"> 2019 (1) SACR 371 (SCA)</w:t>
      </w:r>
      <w:r w:rsidR="00543E79">
        <w:t xml:space="preserve"> at [17]</w:t>
      </w:r>
    </w:p>
  </w:footnote>
  <w:footnote w:id="16">
    <w:p w14:paraId="0AE1530B" w14:textId="77777777" w:rsidR="003C0D7D" w:rsidRDefault="003C0D7D">
      <w:pPr>
        <w:pStyle w:val="FootnoteText"/>
      </w:pPr>
      <w:r>
        <w:rPr>
          <w:rStyle w:val="FootnoteReference"/>
        </w:rPr>
        <w:footnoteRef/>
      </w:r>
      <w:r>
        <w:t xml:space="preserve"> 2017 (2) SACR 378 (ECG) at [16]</w:t>
      </w:r>
    </w:p>
  </w:footnote>
  <w:footnote w:id="17">
    <w:p w14:paraId="013B86EB" w14:textId="77777777" w:rsidR="00B72DAA" w:rsidRPr="00B72DAA" w:rsidRDefault="00B72DAA" w:rsidP="000612D6">
      <w:pPr>
        <w:pStyle w:val="FootnoteText"/>
        <w:jc w:val="both"/>
      </w:pPr>
      <w:r>
        <w:rPr>
          <w:rStyle w:val="FootnoteReference"/>
        </w:rPr>
        <w:footnoteRef/>
      </w:r>
      <w:r>
        <w:t xml:space="preserve"> See </w:t>
      </w:r>
      <w:r>
        <w:rPr>
          <w:i/>
        </w:rPr>
        <w:t xml:space="preserve">S v Tshimbudzi </w:t>
      </w:r>
      <w:r w:rsidR="001150D9">
        <w:t>2013 (1) SACR 528 (SCA),</w:t>
      </w:r>
      <w:r>
        <w:t xml:space="preserve"> a case described by Bosielo JA as a ‘regrettable comedy of errors’, where no inquiry at all was held by the trial court to satisfy itself that the child witness understood and appreciated the distinction between the truth and a lie.</w:t>
      </w:r>
      <w:r w:rsidR="001150D9">
        <w:t xml:space="preserve"> The failure of the magistrate to embark on this inquiry was not addre</w:t>
      </w:r>
      <w:r w:rsidR="00C54F56">
        <w:t>ssed when the appeal was argued before us.</w:t>
      </w:r>
      <w:r w:rsidR="001150D9">
        <w:t xml:space="preserve"> During the course of preparing this judgment, we afforded counsel the opportunity to do so by way of written argument. Both counsel for the appellant and the respondent submitted (in the light of the relevant legislation and</w:t>
      </w:r>
      <w:r w:rsidR="00E04A8D">
        <w:t xml:space="preserve"> the</w:t>
      </w:r>
      <w:r w:rsidR="001150D9">
        <w:t xml:space="preserve"> authorities), that Lisa’s evidence is inadmissible.</w:t>
      </w:r>
    </w:p>
  </w:footnote>
  <w:footnote w:id="18">
    <w:p w14:paraId="63B3A881" w14:textId="77777777" w:rsidR="007C6C12" w:rsidRDefault="007C6C12">
      <w:pPr>
        <w:pStyle w:val="FootnoteText"/>
      </w:pPr>
      <w:r>
        <w:rPr>
          <w:rStyle w:val="FootnoteReference"/>
        </w:rPr>
        <w:footnoteRef/>
      </w:r>
      <w:r>
        <w:t xml:space="preserve"> </w:t>
      </w:r>
      <w:r w:rsidR="00362F61">
        <w:t>1953 (1) PH H11 (A)</w:t>
      </w:r>
    </w:p>
  </w:footnote>
  <w:footnote w:id="19">
    <w:p w14:paraId="7E545379" w14:textId="77777777" w:rsidR="00362F61" w:rsidRDefault="00362F61">
      <w:pPr>
        <w:pStyle w:val="FootnoteText"/>
      </w:pPr>
      <w:r>
        <w:rPr>
          <w:rStyle w:val="FootnoteReference"/>
        </w:rPr>
        <w:footnoteRef/>
      </w:r>
      <w:r>
        <w:t xml:space="preserve"> At 17</w:t>
      </w:r>
    </w:p>
  </w:footnote>
  <w:footnote w:id="20">
    <w:p w14:paraId="041342DF" w14:textId="77777777" w:rsidR="00BA5E38" w:rsidRPr="00BA5E38" w:rsidRDefault="00BA5E38">
      <w:pPr>
        <w:pStyle w:val="FootnoteText"/>
      </w:pPr>
      <w:r>
        <w:rPr>
          <w:rStyle w:val="FootnoteReference"/>
        </w:rPr>
        <w:footnoteRef/>
      </w:r>
      <w:r>
        <w:t xml:space="preserve"> </w:t>
      </w:r>
      <w:r>
        <w:rPr>
          <w:i/>
        </w:rPr>
        <w:t xml:space="preserve">R v W </w:t>
      </w:r>
      <w:r w:rsidR="00965FBB">
        <w:t xml:space="preserve">1949 (3) SA 772 (A) </w:t>
      </w:r>
      <w:r>
        <w:t>780</w:t>
      </w:r>
    </w:p>
  </w:footnote>
  <w:footnote w:id="21">
    <w:p w14:paraId="71F90680" w14:textId="77777777" w:rsidR="00965FBB" w:rsidRPr="00965FBB" w:rsidRDefault="00965FBB">
      <w:pPr>
        <w:pStyle w:val="FootnoteText"/>
      </w:pPr>
      <w:r>
        <w:rPr>
          <w:rStyle w:val="FootnoteReference"/>
        </w:rPr>
        <w:footnoteRef/>
      </w:r>
      <w:r>
        <w:t xml:space="preserve"> See </w:t>
      </w:r>
      <w:r>
        <w:rPr>
          <w:i/>
        </w:rPr>
        <w:t xml:space="preserve">S v Snyman </w:t>
      </w:r>
      <w:r>
        <w:t>1968 (2) SA 582 (A)  585C</w:t>
      </w:r>
    </w:p>
  </w:footnote>
  <w:footnote w:id="22">
    <w:p w14:paraId="797B641E" w14:textId="77777777" w:rsidR="00965FBB" w:rsidRDefault="00965FBB">
      <w:pPr>
        <w:pStyle w:val="FootnoteText"/>
      </w:pPr>
      <w:r>
        <w:rPr>
          <w:rStyle w:val="FootnoteReference"/>
        </w:rPr>
        <w:footnoteRef/>
      </w:r>
      <w:r>
        <w:t xml:space="preserve"> 1947 (4) SA 489 (N) 493 and 494</w:t>
      </w:r>
    </w:p>
  </w:footnote>
  <w:footnote w:id="23">
    <w:p w14:paraId="0DBCCA6A" w14:textId="77777777" w:rsidR="00965FBB" w:rsidRPr="00965FBB" w:rsidRDefault="00965FBB">
      <w:pPr>
        <w:pStyle w:val="FootnoteText"/>
      </w:pPr>
      <w:r>
        <w:rPr>
          <w:rStyle w:val="FootnoteReference"/>
        </w:rPr>
        <w:footnoteRef/>
      </w:r>
      <w:r>
        <w:t xml:space="preserve"> </w:t>
      </w:r>
      <w:r>
        <w:rPr>
          <w:i/>
        </w:rPr>
        <w:t xml:space="preserve">R v Rautenbach </w:t>
      </w:r>
      <w:r>
        <w:t>1949 (1) SA 135 (A) 143</w:t>
      </w:r>
    </w:p>
  </w:footnote>
  <w:footnote w:id="24">
    <w:p w14:paraId="1EADED32" w14:textId="77777777" w:rsidR="004823F1" w:rsidRPr="004823F1" w:rsidRDefault="004823F1">
      <w:pPr>
        <w:pStyle w:val="FootnoteText"/>
      </w:pPr>
      <w:r>
        <w:rPr>
          <w:rStyle w:val="FootnoteReference"/>
        </w:rPr>
        <w:footnoteRef/>
      </w:r>
      <w:r>
        <w:t xml:space="preserve"> </w:t>
      </w:r>
      <w:r>
        <w:rPr>
          <w:i/>
        </w:rPr>
        <w:t xml:space="preserve">Snyman </w:t>
      </w:r>
      <w:r>
        <w:t>above 585D</w:t>
      </w:r>
    </w:p>
  </w:footnote>
  <w:footnote w:id="25">
    <w:p w14:paraId="117162D8" w14:textId="77777777" w:rsidR="00045589" w:rsidRDefault="00045589">
      <w:pPr>
        <w:pStyle w:val="FootnoteText"/>
      </w:pPr>
      <w:r>
        <w:rPr>
          <w:rStyle w:val="FootnoteReference"/>
        </w:rPr>
        <w:footnoteRef/>
      </w:r>
      <w:r>
        <w:t xml:space="preserve"> 1998 (1) SACR 470 (A)</w:t>
      </w:r>
    </w:p>
  </w:footnote>
  <w:footnote w:id="26">
    <w:p w14:paraId="45E9BD7A" w14:textId="77777777" w:rsidR="00045589" w:rsidRPr="00D028AC" w:rsidRDefault="00045589">
      <w:pPr>
        <w:pStyle w:val="FootnoteText"/>
      </w:pPr>
      <w:r>
        <w:rPr>
          <w:rStyle w:val="FootnoteReference"/>
        </w:rPr>
        <w:footnoteRef/>
      </w:r>
      <w:r>
        <w:t xml:space="preserve"> At 476</w:t>
      </w:r>
      <w:r>
        <w:rPr>
          <w:i/>
        </w:rPr>
        <w:t>f</w:t>
      </w:r>
      <w:r>
        <w:t xml:space="preserve">. See also P.J. Schwikkard in Smythe &amp; Pithey (eds) </w:t>
      </w:r>
      <w:r w:rsidR="00D028AC">
        <w:rPr>
          <w:i/>
        </w:rPr>
        <w:t xml:space="preserve">Sexual Offences Commentary: Act 32 of 2007 </w:t>
      </w:r>
      <w:r w:rsidR="00D028AC">
        <w:t>(2011) at 23-8</w:t>
      </w:r>
    </w:p>
  </w:footnote>
  <w:footnote w:id="27">
    <w:p w14:paraId="3316D653" w14:textId="77777777" w:rsidR="00E943FC" w:rsidRPr="00E943FC" w:rsidRDefault="00E943FC">
      <w:pPr>
        <w:pStyle w:val="FootnoteText"/>
      </w:pPr>
      <w:r>
        <w:rPr>
          <w:rStyle w:val="FootnoteReference"/>
        </w:rPr>
        <w:footnoteRef/>
      </w:r>
      <w:r>
        <w:t xml:space="preserve"> See </w:t>
      </w:r>
      <w:r>
        <w:rPr>
          <w:i/>
        </w:rPr>
        <w:t xml:space="preserve">S v GS </w:t>
      </w:r>
      <w:r>
        <w:t>2010 (2) SACR 467 (SCA) at [23]</w:t>
      </w:r>
    </w:p>
  </w:footnote>
  <w:footnote w:id="28">
    <w:p w14:paraId="0E29024D" w14:textId="77777777" w:rsidR="00E943FC" w:rsidRDefault="00E943FC">
      <w:pPr>
        <w:pStyle w:val="FootnoteText"/>
      </w:pPr>
      <w:r>
        <w:rPr>
          <w:rStyle w:val="FootnoteReference"/>
        </w:rPr>
        <w:footnoteRef/>
      </w:r>
      <w:r>
        <w:t xml:space="preserve"> 2007 (2) SACR 115 (SCA)</w:t>
      </w:r>
    </w:p>
  </w:footnote>
  <w:footnote w:id="29">
    <w:p w14:paraId="5649F6C6" w14:textId="77777777" w:rsidR="00975EEF" w:rsidRDefault="00975EEF">
      <w:pPr>
        <w:pStyle w:val="FootnoteText"/>
      </w:pPr>
      <w:r>
        <w:rPr>
          <w:rStyle w:val="FootnoteReference"/>
        </w:rPr>
        <w:footnoteRef/>
      </w:r>
      <w:r>
        <w:t xml:space="preserve"> [2009] 1 All SA 237 (SCA) at [23]</w:t>
      </w:r>
    </w:p>
  </w:footnote>
  <w:footnote w:id="30">
    <w:p w14:paraId="6E8CE99C" w14:textId="77777777" w:rsidR="004C3586" w:rsidRDefault="004C3586">
      <w:pPr>
        <w:pStyle w:val="FootnoteText"/>
      </w:pPr>
      <w:r>
        <w:rPr>
          <w:rStyle w:val="FootnoteReference"/>
        </w:rPr>
        <w:footnoteRef/>
      </w:r>
      <w:r>
        <w:t xml:space="preserve"> See Schwikkard above at 23-9</w:t>
      </w:r>
    </w:p>
  </w:footnote>
  <w:footnote w:id="31">
    <w:p w14:paraId="2EEB0427" w14:textId="77777777" w:rsidR="00895668" w:rsidRPr="00895668" w:rsidRDefault="00895668">
      <w:pPr>
        <w:pStyle w:val="FootnoteText"/>
      </w:pPr>
      <w:r>
        <w:rPr>
          <w:rStyle w:val="FootnoteReference"/>
        </w:rPr>
        <w:footnoteRef/>
      </w:r>
      <w:r>
        <w:t xml:space="preserve"> See for example, the similar facts in </w:t>
      </w:r>
      <w:r>
        <w:rPr>
          <w:i/>
        </w:rPr>
        <w:t xml:space="preserve">S v GS </w:t>
      </w:r>
      <w:r>
        <w:t>2010 (2) SACR 467 (SCA)</w:t>
      </w:r>
    </w:p>
  </w:footnote>
  <w:footnote w:id="32">
    <w:p w14:paraId="090B1706" w14:textId="77777777" w:rsidR="00C605A8" w:rsidRDefault="00C605A8">
      <w:pPr>
        <w:pStyle w:val="FootnoteText"/>
      </w:pPr>
      <w:r>
        <w:rPr>
          <w:rStyle w:val="FootnoteReference"/>
        </w:rPr>
        <w:footnoteRef/>
      </w:r>
      <w:r>
        <w:t xml:space="preserve"> 2010 (1) SACR 78 (ECG)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364851"/>
      <w:docPartObj>
        <w:docPartGallery w:val="Page Numbers (Top of Page)"/>
        <w:docPartUnique/>
      </w:docPartObj>
    </w:sdtPr>
    <w:sdtEndPr>
      <w:rPr>
        <w:noProof/>
      </w:rPr>
    </w:sdtEndPr>
    <w:sdtContent>
      <w:p w14:paraId="1605C1CA" w14:textId="77777777" w:rsidR="00D350A1" w:rsidRDefault="00D350A1">
        <w:pPr>
          <w:pStyle w:val="Header"/>
          <w:jc w:val="right"/>
        </w:pPr>
        <w:r>
          <w:fldChar w:fldCharType="begin"/>
        </w:r>
        <w:r>
          <w:instrText xml:space="preserve"> PAGE   \* MERGEFORMAT </w:instrText>
        </w:r>
        <w:r>
          <w:fldChar w:fldCharType="separate"/>
        </w:r>
        <w:r w:rsidR="001F0464">
          <w:rPr>
            <w:noProof/>
          </w:rPr>
          <w:t>4</w:t>
        </w:r>
        <w:r>
          <w:rPr>
            <w:noProof/>
          </w:rPr>
          <w:fldChar w:fldCharType="end"/>
        </w:r>
      </w:p>
    </w:sdtContent>
  </w:sdt>
  <w:p w14:paraId="75E81209" w14:textId="77777777" w:rsidR="00FA516E" w:rsidRDefault="00FA51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E0A42" w14:textId="77777777" w:rsidR="00D350A1" w:rsidRDefault="00D350A1">
    <w:pPr>
      <w:pStyle w:val="Header"/>
      <w:jc w:val="right"/>
    </w:pPr>
  </w:p>
  <w:p w14:paraId="20EC6E6E" w14:textId="77777777" w:rsidR="00D350A1" w:rsidRDefault="00D350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57D8C"/>
    <w:multiLevelType w:val="hybridMultilevel"/>
    <w:tmpl w:val="04B62B38"/>
    <w:lvl w:ilvl="0" w:tplc="F022E0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1A54424"/>
    <w:multiLevelType w:val="hybridMultilevel"/>
    <w:tmpl w:val="D0969118"/>
    <w:lvl w:ilvl="0" w:tplc="494669A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41675E64"/>
    <w:multiLevelType w:val="hybridMultilevel"/>
    <w:tmpl w:val="CFACA0E8"/>
    <w:lvl w:ilvl="0" w:tplc="C7D23F1E">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41C732FF"/>
    <w:multiLevelType w:val="hybridMultilevel"/>
    <w:tmpl w:val="83F00A5E"/>
    <w:lvl w:ilvl="0" w:tplc="71D0D824">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15:restartNumberingAfterBreak="0">
    <w:nsid w:val="52F950CE"/>
    <w:multiLevelType w:val="hybridMultilevel"/>
    <w:tmpl w:val="6FF21CCC"/>
    <w:lvl w:ilvl="0" w:tplc="55340224">
      <w:start w:val="1"/>
      <w:numFmt w:val="lowerLetter"/>
      <w:lvlText w:val="(%1)"/>
      <w:lvlJc w:val="left"/>
      <w:pPr>
        <w:ind w:left="1080" w:hanging="360"/>
      </w:pPr>
      <w:rPr>
        <w:rFonts w:hint="default"/>
        <w:u w:val="none"/>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16cid:durableId="1376737300">
    <w:abstractNumId w:val="0"/>
  </w:num>
  <w:num w:numId="2" w16cid:durableId="3870733">
    <w:abstractNumId w:val="2"/>
  </w:num>
  <w:num w:numId="3" w16cid:durableId="159931235">
    <w:abstractNumId w:val="3"/>
  </w:num>
  <w:num w:numId="4" w16cid:durableId="519856224">
    <w:abstractNumId w:val="1"/>
  </w:num>
  <w:num w:numId="5" w16cid:durableId="16877542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63E"/>
    <w:rsid w:val="00016112"/>
    <w:rsid w:val="000270C9"/>
    <w:rsid w:val="00031707"/>
    <w:rsid w:val="00031764"/>
    <w:rsid w:val="00040E79"/>
    <w:rsid w:val="000414CA"/>
    <w:rsid w:val="00042105"/>
    <w:rsid w:val="00045589"/>
    <w:rsid w:val="000612D6"/>
    <w:rsid w:val="00095B34"/>
    <w:rsid w:val="000A00A1"/>
    <w:rsid w:val="000B511D"/>
    <w:rsid w:val="000C2144"/>
    <w:rsid w:val="000D77AE"/>
    <w:rsid w:val="000E0710"/>
    <w:rsid w:val="00106625"/>
    <w:rsid w:val="001150D9"/>
    <w:rsid w:val="0013080E"/>
    <w:rsid w:val="0013224A"/>
    <w:rsid w:val="0015463E"/>
    <w:rsid w:val="0015591E"/>
    <w:rsid w:val="00185FAB"/>
    <w:rsid w:val="0019690D"/>
    <w:rsid w:val="001A54C3"/>
    <w:rsid w:val="001A7878"/>
    <w:rsid w:val="001B10B7"/>
    <w:rsid w:val="001C1479"/>
    <w:rsid w:val="001C4465"/>
    <w:rsid w:val="001F0464"/>
    <w:rsid w:val="00224014"/>
    <w:rsid w:val="00237CDF"/>
    <w:rsid w:val="00250281"/>
    <w:rsid w:val="00252A81"/>
    <w:rsid w:val="00282334"/>
    <w:rsid w:val="00283B70"/>
    <w:rsid w:val="002C6B23"/>
    <w:rsid w:val="002E3CDD"/>
    <w:rsid w:val="002F1C8C"/>
    <w:rsid w:val="00315141"/>
    <w:rsid w:val="00361B68"/>
    <w:rsid w:val="00362F61"/>
    <w:rsid w:val="0038495A"/>
    <w:rsid w:val="00384CFF"/>
    <w:rsid w:val="003A3238"/>
    <w:rsid w:val="003B3083"/>
    <w:rsid w:val="003C0D7D"/>
    <w:rsid w:val="003C106F"/>
    <w:rsid w:val="003D7175"/>
    <w:rsid w:val="003E3747"/>
    <w:rsid w:val="00414B1B"/>
    <w:rsid w:val="00420907"/>
    <w:rsid w:val="00427783"/>
    <w:rsid w:val="00433CF4"/>
    <w:rsid w:val="00476AD1"/>
    <w:rsid w:val="004823F1"/>
    <w:rsid w:val="004960E2"/>
    <w:rsid w:val="004B48A9"/>
    <w:rsid w:val="004C3586"/>
    <w:rsid w:val="004F6F7B"/>
    <w:rsid w:val="005359A5"/>
    <w:rsid w:val="00543E79"/>
    <w:rsid w:val="00562ABE"/>
    <w:rsid w:val="00583FA6"/>
    <w:rsid w:val="005A6AA1"/>
    <w:rsid w:val="005E045D"/>
    <w:rsid w:val="005E174F"/>
    <w:rsid w:val="005F02D7"/>
    <w:rsid w:val="00606A29"/>
    <w:rsid w:val="006114FA"/>
    <w:rsid w:val="006247E5"/>
    <w:rsid w:val="0063462F"/>
    <w:rsid w:val="00643A44"/>
    <w:rsid w:val="00657C44"/>
    <w:rsid w:val="00681464"/>
    <w:rsid w:val="0069425E"/>
    <w:rsid w:val="006A1DC9"/>
    <w:rsid w:val="006A294B"/>
    <w:rsid w:val="006B4856"/>
    <w:rsid w:val="00702C03"/>
    <w:rsid w:val="00731821"/>
    <w:rsid w:val="00744389"/>
    <w:rsid w:val="00771258"/>
    <w:rsid w:val="00774DD4"/>
    <w:rsid w:val="00775D8B"/>
    <w:rsid w:val="007969FF"/>
    <w:rsid w:val="007B0A1B"/>
    <w:rsid w:val="007C6C12"/>
    <w:rsid w:val="007E0D13"/>
    <w:rsid w:val="007F1267"/>
    <w:rsid w:val="0080568C"/>
    <w:rsid w:val="008179D4"/>
    <w:rsid w:val="008259F9"/>
    <w:rsid w:val="008445D0"/>
    <w:rsid w:val="00884B71"/>
    <w:rsid w:val="00895668"/>
    <w:rsid w:val="008C1368"/>
    <w:rsid w:val="009134C8"/>
    <w:rsid w:val="00947CFC"/>
    <w:rsid w:val="00965FBB"/>
    <w:rsid w:val="00975EEF"/>
    <w:rsid w:val="009773AD"/>
    <w:rsid w:val="009E0577"/>
    <w:rsid w:val="009F46B8"/>
    <w:rsid w:val="00A06435"/>
    <w:rsid w:val="00A073F1"/>
    <w:rsid w:val="00A1122B"/>
    <w:rsid w:val="00A12BAF"/>
    <w:rsid w:val="00A27887"/>
    <w:rsid w:val="00A27C37"/>
    <w:rsid w:val="00A52E69"/>
    <w:rsid w:val="00A67E09"/>
    <w:rsid w:val="00A75404"/>
    <w:rsid w:val="00A906E7"/>
    <w:rsid w:val="00AA1F55"/>
    <w:rsid w:val="00AA401F"/>
    <w:rsid w:val="00AB7CF0"/>
    <w:rsid w:val="00AE49EC"/>
    <w:rsid w:val="00AF1FF3"/>
    <w:rsid w:val="00B25564"/>
    <w:rsid w:val="00B72DAA"/>
    <w:rsid w:val="00B76007"/>
    <w:rsid w:val="00B864A9"/>
    <w:rsid w:val="00B975B2"/>
    <w:rsid w:val="00BA5E38"/>
    <w:rsid w:val="00BB5F98"/>
    <w:rsid w:val="00BC0651"/>
    <w:rsid w:val="00BC67A3"/>
    <w:rsid w:val="00BD0529"/>
    <w:rsid w:val="00BF6931"/>
    <w:rsid w:val="00C016DF"/>
    <w:rsid w:val="00C02BEB"/>
    <w:rsid w:val="00C243BA"/>
    <w:rsid w:val="00C25A1F"/>
    <w:rsid w:val="00C26643"/>
    <w:rsid w:val="00C431BB"/>
    <w:rsid w:val="00C54F56"/>
    <w:rsid w:val="00C605A8"/>
    <w:rsid w:val="00C70A3F"/>
    <w:rsid w:val="00C90E42"/>
    <w:rsid w:val="00CC6C34"/>
    <w:rsid w:val="00CE75BF"/>
    <w:rsid w:val="00D028AC"/>
    <w:rsid w:val="00D11DE6"/>
    <w:rsid w:val="00D32A7B"/>
    <w:rsid w:val="00D350A1"/>
    <w:rsid w:val="00D37227"/>
    <w:rsid w:val="00D41234"/>
    <w:rsid w:val="00D516DD"/>
    <w:rsid w:val="00D56D03"/>
    <w:rsid w:val="00DE2D92"/>
    <w:rsid w:val="00DF047E"/>
    <w:rsid w:val="00E01DDE"/>
    <w:rsid w:val="00E04A8D"/>
    <w:rsid w:val="00E05824"/>
    <w:rsid w:val="00E21DF4"/>
    <w:rsid w:val="00E570A6"/>
    <w:rsid w:val="00E63AD5"/>
    <w:rsid w:val="00E91F97"/>
    <w:rsid w:val="00E943FC"/>
    <w:rsid w:val="00EA5655"/>
    <w:rsid w:val="00EC3AAB"/>
    <w:rsid w:val="00EC6358"/>
    <w:rsid w:val="00F332AA"/>
    <w:rsid w:val="00F46AE7"/>
    <w:rsid w:val="00F7364C"/>
    <w:rsid w:val="00F84745"/>
    <w:rsid w:val="00F913C0"/>
    <w:rsid w:val="00FA516E"/>
    <w:rsid w:val="00FB757F"/>
    <w:rsid w:val="00FC2EA9"/>
    <w:rsid w:val="00FD55B1"/>
    <w:rsid w:val="00FE274D"/>
    <w:rsid w:val="00FF3B1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1DE117"/>
  <w15:chartTrackingRefBased/>
  <w15:docId w15:val="{B1CE767F-3DD4-428B-9B54-6E3DC40BC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63E"/>
    <w:pPr>
      <w:ind w:left="720"/>
      <w:contextualSpacing/>
    </w:pPr>
  </w:style>
  <w:style w:type="paragraph" w:styleId="FootnoteText">
    <w:name w:val="footnote text"/>
    <w:basedOn w:val="Normal"/>
    <w:link w:val="FootnoteTextChar"/>
    <w:uiPriority w:val="99"/>
    <w:semiHidden/>
    <w:unhideWhenUsed/>
    <w:rsid w:val="003E37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3747"/>
    <w:rPr>
      <w:sz w:val="20"/>
      <w:szCs w:val="20"/>
    </w:rPr>
  </w:style>
  <w:style w:type="character" w:styleId="FootnoteReference">
    <w:name w:val="footnote reference"/>
    <w:basedOn w:val="DefaultParagraphFont"/>
    <w:uiPriority w:val="99"/>
    <w:semiHidden/>
    <w:unhideWhenUsed/>
    <w:rsid w:val="003E3747"/>
    <w:rPr>
      <w:vertAlign w:val="superscript"/>
    </w:rPr>
  </w:style>
  <w:style w:type="paragraph" w:styleId="Header">
    <w:name w:val="header"/>
    <w:basedOn w:val="Normal"/>
    <w:link w:val="HeaderChar"/>
    <w:uiPriority w:val="99"/>
    <w:unhideWhenUsed/>
    <w:rsid w:val="00FA51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16E"/>
  </w:style>
  <w:style w:type="paragraph" w:styleId="Footer">
    <w:name w:val="footer"/>
    <w:basedOn w:val="Normal"/>
    <w:link w:val="FooterChar"/>
    <w:uiPriority w:val="99"/>
    <w:unhideWhenUsed/>
    <w:rsid w:val="00FA51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68F7A-59F7-4996-99C4-CA4BEA268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5883</Words>
  <Characters>33537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Judge-Igna Stretch</dc:creator>
  <cp:keywords/>
  <dc:description/>
  <cp:lastModifiedBy>Mariana Anguelov</cp:lastModifiedBy>
  <cp:revision>4</cp:revision>
  <dcterms:created xsi:type="dcterms:W3CDTF">2022-12-18T18:25:00Z</dcterms:created>
  <dcterms:modified xsi:type="dcterms:W3CDTF">2022-12-18T18:27:00Z</dcterms:modified>
</cp:coreProperties>
</file>