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0EF7E" w14:textId="77777777" w:rsidR="00AC2344" w:rsidRDefault="00AC2344" w:rsidP="0029515D">
      <w:pPr>
        <w:pStyle w:val="Subtitle"/>
        <w:spacing w:after="0" w:line="240" w:lineRule="auto"/>
        <w:ind w:left="720" w:hanging="720"/>
        <w:jc w:val="center"/>
      </w:pPr>
      <w:r>
        <w:rPr>
          <w:noProof/>
          <w:lang w:val="en-US"/>
        </w:rPr>
        <w:drawing>
          <wp:anchor distT="0" distB="0" distL="114300" distR="114300" simplePos="0" relativeHeight="251658240" behindDoc="0" locked="0" layoutInCell="1" allowOverlap="1" wp14:anchorId="57A50685" wp14:editId="70F7F7CD">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174062DB" w14:textId="77777777" w:rsidR="004D75A6" w:rsidRDefault="004D75A6" w:rsidP="0029515D">
      <w:pPr>
        <w:pStyle w:val="Subtitle"/>
        <w:spacing w:after="0" w:line="240" w:lineRule="auto"/>
        <w:ind w:left="720" w:hanging="720"/>
        <w:jc w:val="center"/>
      </w:pPr>
    </w:p>
    <w:p w14:paraId="1C1D3A3C" w14:textId="77777777" w:rsidR="00AC2344" w:rsidRDefault="00AC2344" w:rsidP="0029515D">
      <w:pPr>
        <w:pStyle w:val="Header"/>
        <w:widowControl w:val="0"/>
        <w:tabs>
          <w:tab w:val="clear" w:pos="4320"/>
          <w:tab w:val="clear" w:pos="8640"/>
        </w:tabs>
        <w:spacing w:line="360" w:lineRule="auto"/>
        <w:ind w:left="720" w:hanging="720"/>
        <w:jc w:val="center"/>
        <w:rPr>
          <w:rFonts w:cs="Arial"/>
          <w:b/>
          <w:szCs w:val="24"/>
        </w:rPr>
      </w:pPr>
    </w:p>
    <w:p w14:paraId="284FDEFF" w14:textId="77777777" w:rsidR="00AC2344" w:rsidRDefault="00AC2344" w:rsidP="0029515D">
      <w:pPr>
        <w:pStyle w:val="Header"/>
        <w:widowControl w:val="0"/>
        <w:tabs>
          <w:tab w:val="clear" w:pos="4320"/>
          <w:tab w:val="clear" w:pos="8640"/>
        </w:tabs>
        <w:spacing w:line="360" w:lineRule="auto"/>
        <w:ind w:left="720" w:hanging="720"/>
        <w:jc w:val="center"/>
        <w:rPr>
          <w:rFonts w:cs="Arial"/>
          <w:b/>
          <w:szCs w:val="24"/>
        </w:rPr>
      </w:pPr>
    </w:p>
    <w:p w14:paraId="1B2AB641" w14:textId="77777777" w:rsidR="004D75A6" w:rsidRPr="004D75A6" w:rsidRDefault="004D75A6" w:rsidP="0029515D">
      <w:pPr>
        <w:pStyle w:val="Header"/>
        <w:widowControl w:val="0"/>
        <w:tabs>
          <w:tab w:val="clear" w:pos="4320"/>
          <w:tab w:val="clear" w:pos="8640"/>
        </w:tabs>
        <w:spacing w:line="360" w:lineRule="auto"/>
        <w:ind w:left="720" w:hanging="720"/>
        <w:jc w:val="center"/>
        <w:rPr>
          <w:rFonts w:cs="Arial"/>
          <w:b/>
          <w:szCs w:val="24"/>
        </w:rPr>
      </w:pPr>
      <w:r w:rsidRPr="004D75A6">
        <w:rPr>
          <w:rFonts w:cs="Arial"/>
          <w:b/>
          <w:szCs w:val="24"/>
        </w:rPr>
        <w:t>IN THE HIGH COURT OF SOUTH AFRICA</w:t>
      </w:r>
    </w:p>
    <w:p w14:paraId="509E9861" w14:textId="5AFFA3A5" w:rsidR="004D75A6" w:rsidRPr="004D75A6" w:rsidRDefault="001730CF" w:rsidP="0029515D">
      <w:pPr>
        <w:widowControl w:val="0"/>
        <w:tabs>
          <w:tab w:val="right" w:pos="9213"/>
        </w:tabs>
        <w:spacing w:after="0" w:line="360" w:lineRule="auto"/>
        <w:ind w:left="720" w:hanging="720"/>
        <w:jc w:val="center"/>
        <w:rPr>
          <w:rFonts w:ascii="Arial" w:hAnsi="Arial" w:cs="Arial"/>
          <w:b/>
          <w:sz w:val="24"/>
          <w:szCs w:val="24"/>
        </w:rPr>
      </w:pPr>
      <w:r>
        <w:rPr>
          <w:rFonts w:ascii="Arial" w:hAnsi="Arial" w:cs="Arial"/>
          <w:b/>
          <w:sz w:val="24"/>
          <w:szCs w:val="24"/>
        </w:rPr>
        <w:t>(</w:t>
      </w:r>
      <w:r w:rsidR="004D75A6" w:rsidRPr="004D75A6">
        <w:rPr>
          <w:rFonts w:ascii="Arial" w:hAnsi="Arial" w:cs="Arial"/>
          <w:b/>
          <w:sz w:val="24"/>
          <w:szCs w:val="24"/>
        </w:rPr>
        <w:t xml:space="preserve">EASTERN CAPE </w:t>
      </w:r>
      <w:r>
        <w:rPr>
          <w:rFonts w:ascii="Arial" w:hAnsi="Arial" w:cs="Arial"/>
          <w:b/>
          <w:sz w:val="24"/>
          <w:szCs w:val="24"/>
        </w:rPr>
        <w:t xml:space="preserve">LOCAL </w:t>
      </w:r>
      <w:r w:rsidR="004D75A6" w:rsidRPr="004D75A6">
        <w:rPr>
          <w:rFonts w:ascii="Arial" w:hAnsi="Arial" w:cs="Arial"/>
          <w:b/>
          <w:sz w:val="24"/>
          <w:szCs w:val="24"/>
        </w:rPr>
        <w:t>DIVISIO</w:t>
      </w:r>
      <w:r>
        <w:rPr>
          <w:rFonts w:ascii="Arial" w:hAnsi="Arial" w:cs="Arial"/>
          <w:b/>
          <w:sz w:val="24"/>
          <w:szCs w:val="24"/>
        </w:rPr>
        <w:t>N, BHISHO)</w:t>
      </w:r>
    </w:p>
    <w:p w14:paraId="6F48A6FD" w14:textId="77777777" w:rsidR="007A1247" w:rsidRDefault="007A1247" w:rsidP="0029515D">
      <w:pPr>
        <w:widowControl w:val="0"/>
        <w:tabs>
          <w:tab w:val="right" w:pos="9213"/>
        </w:tabs>
        <w:spacing w:after="0" w:line="240" w:lineRule="auto"/>
        <w:ind w:left="720" w:hanging="720"/>
        <w:rPr>
          <w:rFonts w:ascii="Arial" w:hAnsi="Arial" w:cs="Arial"/>
          <w:b/>
          <w:sz w:val="24"/>
          <w:szCs w:val="24"/>
        </w:rPr>
      </w:pPr>
    </w:p>
    <w:p w14:paraId="513B2B60" w14:textId="575CC71D" w:rsidR="0029515D" w:rsidRDefault="00333CA5" w:rsidP="0029515D">
      <w:pPr>
        <w:widowControl w:val="0"/>
        <w:tabs>
          <w:tab w:val="right" w:pos="9213"/>
        </w:tabs>
        <w:spacing w:after="0" w:line="240" w:lineRule="auto"/>
        <w:ind w:left="720" w:hanging="720"/>
        <w:rPr>
          <w:rFonts w:ascii="Arial" w:hAnsi="Arial" w:cs="Arial"/>
          <w:b/>
          <w:sz w:val="24"/>
          <w:szCs w:val="24"/>
        </w:rPr>
      </w:pPr>
      <w:r>
        <w:rPr>
          <w:rFonts w:ascii="Arial" w:hAnsi="Arial" w:cs="Arial"/>
          <w:b/>
          <w:sz w:val="24"/>
          <w:szCs w:val="24"/>
        </w:rPr>
        <w:tab/>
      </w:r>
      <w:r w:rsidR="0029515D">
        <w:rPr>
          <w:rFonts w:ascii="Arial" w:hAnsi="Arial" w:cs="Arial"/>
          <w:b/>
          <w:sz w:val="24"/>
          <w:szCs w:val="24"/>
        </w:rPr>
        <w:tab/>
      </w:r>
      <w:r>
        <w:rPr>
          <w:rFonts w:ascii="Arial" w:hAnsi="Arial" w:cs="Arial"/>
          <w:b/>
          <w:sz w:val="24"/>
          <w:szCs w:val="24"/>
        </w:rPr>
        <w:t>CASE NO:</w:t>
      </w:r>
      <w:r w:rsidR="003A0D81">
        <w:rPr>
          <w:rFonts w:ascii="Arial" w:hAnsi="Arial" w:cs="Arial"/>
          <w:b/>
          <w:sz w:val="24"/>
          <w:szCs w:val="24"/>
        </w:rPr>
        <w:t xml:space="preserve"> </w:t>
      </w:r>
      <w:r w:rsidR="001730CF">
        <w:rPr>
          <w:rFonts w:ascii="Arial" w:hAnsi="Arial" w:cs="Arial"/>
          <w:b/>
          <w:sz w:val="24"/>
          <w:szCs w:val="24"/>
        </w:rPr>
        <w:t>84/2022</w:t>
      </w:r>
    </w:p>
    <w:p w14:paraId="65FBD844" w14:textId="77777777" w:rsidR="0029515D" w:rsidRDefault="0029515D" w:rsidP="0029515D">
      <w:pPr>
        <w:widowControl w:val="0"/>
        <w:tabs>
          <w:tab w:val="right" w:pos="9213"/>
        </w:tabs>
        <w:spacing w:after="0" w:line="240" w:lineRule="auto"/>
        <w:ind w:left="720" w:hanging="720"/>
        <w:rPr>
          <w:rFonts w:ascii="Arial" w:hAnsi="Arial" w:cs="Arial"/>
          <w:b/>
          <w:sz w:val="24"/>
          <w:szCs w:val="24"/>
        </w:rPr>
      </w:pPr>
    </w:p>
    <w:p w14:paraId="09AC2397" w14:textId="26E56BEC" w:rsidR="00AC2344" w:rsidRDefault="007A1247" w:rsidP="001730CF">
      <w:pPr>
        <w:widowControl w:val="0"/>
        <w:tabs>
          <w:tab w:val="right" w:pos="9213"/>
        </w:tabs>
        <w:spacing w:after="0" w:line="240" w:lineRule="auto"/>
        <w:ind w:left="720" w:hanging="720"/>
        <w:rPr>
          <w:rFonts w:ascii="Arial" w:hAnsi="Arial" w:cs="Arial"/>
          <w:sz w:val="24"/>
          <w:szCs w:val="24"/>
        </w:rPr>
      </w:pPr>
      <w:r w:rsidRPr="007A1247">
        <w:rPr>
          <w:rFonts w:ascii="Arial" w:hAnsi="Arial" w:cs="Arial"/>
          <w:sz w:val="24"/>
          <w:szCs w:val="24"/>
        </w:rPr>
        <w:t>In the matter between</w:t>
      </w:r>
    </w:p>
    <w:p w14:paraId="62A05AB2" w14:textId="77777777" w:rsidR="001730CF" w:rsidRDefault="001730CF" w:rsidP="001730CF">
      <w:pPr>
        <w:widowControl w:val="0"/>
        <w:tabs>
          <w:tab w:val="right" w:pos="9213"/>
        </w:tabs>
        <w:spacing w:after="0" w:line="240" w:lineRule="auto"/>
        <w:ind w:left="720" w:hanging="720"/>
        <w:rPr>
          <w:rFonts w:ascii="Arial" w:hAnsi="Arial" w:cs="Arial"/>
          <w:sz w:val="24"/>
          <w:szCs w:val="24"/>
        </w:rPr>
      </w:pPr>
    </w:p>
    <w:p w14:paraId="3E7A2F0B" w14:textId="77777777" w:rsidR="002D1332" w:rsidRDefault="001730CF" w:rsidP="001730CF">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MINISTER OF PUBLIC WORKS</w:t>
      </w:r>
      <w:r w:rsidR="002D1332">
        <w:rPr>
          <w:rFonts w:ascii="Arial" w:hAnsi="Arial" w:cs="Arial"/>
          <w:b/>
          <w:bCs/>
          <w:sz w:val="24"/>
          <w:szCs w:val="24"/>
        </w:rPr>
        <w:t xml:space="preserve"> AND </w:t>
      </w:r>
    </w:p>
    <w:p w14:paraId="4EB2BECB" w14:textId="7CC5A3E3" w:rsidR="001730CF" w:rsidRDefault="002D1332" w:rsidP="001730CF">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INFRASTRUCTURE</w:t>
      </w:r>
      <w:r w:rsidR="0016596D">
        <w:rPr>
          <w:rFonts w:ascii="Arial" w:hAnsi="Arial" w:cs="Arial"/>
          <w:b/>
          <w:bCs/>
          <w:sz w:val="24"/>
          <w:szCs w:val="24"/>
        </w:rPr>
        <w:t xml:space="preserve"> AND TWO OTHERS</w:t>
      </w:r>
      <w:r>
        <w:rPr>
          <w:rFonts w:ascii="Arial" w:hAnsi="Arial" w:cs="Arial"/>
          <w:b/>
          <w:bCs/>
          <w:sz w:val="24"/>
          <w:szCs w:val="24"/>
        </w:rPr>
        <w:tab/>
        <w:t>Applicant</w:t>
      </w:r>
      <w:r w:rsidR="0016596D">
        <w:rPr>
          <w:rFonts w:ascii="Arial" w:hAnsi="Arial" w:cs="Arial"/>
          <w:b/>
          <w:bCs/>
          <w:sz w:val="24"/>
          <w:szCs w:val="24"/>
        </w:rPr>
        <w:t>s</w:t>
      </w:r>
    </w:p>
    <w:p w14:paraId="277313BE" w14:textId="77777777" w:rsidR="002D1332" w:rsidRDefault="002D1332" w:rsidP="001730CF">
      <w:pPr>
        <w:widowControl w:val="0"/>
        <w:tabs>
          <w:tab w:val="right" w:pos="9213"/>
        </w:tabs>
        <w:spacing w:after="0" w:line="240" w:lineRule="auto"/>
        <w:ind w:left="720" w:hanging="720"/>
        <w:rPr>
          <w:rFonts w:ascii="Arial" w:hAnsi="Arial" w:cs="Arial"/>
          <w:b/>
          <w:bCs/>
          <w:sz w:val="24"/>
          <w:szCs w:val="24"/>
        </w:rPr>
      </w:pPr>
    </w:p>
    <w:p w14:paraId="33062FC4" w14:textId="6CCB51CC" w:rsidR="002D1332" w:rsidRDefault="002D1332" w:rsidP="001730CF">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VS</w:t>
      </w:r>
    </w:p>
    <w:p w14:paraId="67225091" w14:textId="77777777" w:rsidR="002D1332" w:rsidRDefault="002D1332" w:rsidP="001730CF">
      <w:pPr>
        <w:widowControl w:val="0"/>
        <w:tabs>
          <w:tab w:val="right" w:pos="9213"/>
        </w:tabs>
        <w:spacing w:after="0" w:line="240" w:lineRule="auto"/>
        <w:ind w:left="720" w:hanging="720"/>
        <w:rPr>
          <w:rFonts w:ascii="Arial" w:hAnsi="Arial" w:cs="Arial"/>
          <w:b/>
          <w:bCs/>
          <w:sz w:val="24"/>
          <w:szCs w:val="24"/>
        </w:rPr>
      </w:pPr>
    </w:p>
    <w:p w14:paraId="74D94AE0" w14:textId="77777777" w:rsidR="0016596D" w:rsidRDefault="002D1332" w:rsidP="001730CF">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N</w:t>
      </w:r>
      <w:r w:rsidR="00FC1C89">
        <w:rPr>
          <w:rFonts w:ascii="Arial" w:hAnsi="Arial" w:cs="Arial"/>
          <w:b/>
          <w:bCs/>
          <w:sz w:val="24"/>
          <w:szCs w:val="24"/>
        </w:rPr>
        <w:t>M</w:t>
      </w:r>
      <w:r>
        <w:rPr>
          <w:rFonts w:ascii="Arial" w:hAnsi="Arial" w:cs="Arial"/>
          <w:b/>
          <w:bCs/>
          <w:sz w:val="24"/>
          <w:szCs w:val="24"/>
        </w:rPr>
        <w:t>PS CONSTRUCTION CC</w:t>
      </w:r>
      <w:r w:rsidR="0016596D">
        <w:rPr>
          <w:rFonts w:ascii="Arial" w:hAnsi="Arial" w:cs="Arial"/>
          <w:b/>
          <w:bCs/>
          <w:sz w:val="24"/>
          <w:szCs w:val="24"/>
        </w:rPr>
        <w:t xml:space="preserve"> AND THIRTY</w:t>
      </w:r>
    </w:p>
    <w:p w14:paraId="1D8889FD" w14:textId="1C549BA6" w:rsidR="002D1332" w:rsidRDefault="0016596D" w:rsidP="001730CF">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THREE OTHERS</w:t>
      </w:r>
      <w:r w:rsidR="002D1332">
        <w:rPr>
          <w:rFonts w:ascii="Arial" w:hAnsi="Arial" w:cs="Arial"/>
          <w:b/>
          <w:bCs/>
          <w:sz w:val="24"/>
          <w:szCs w:val="24"/>
        </w:rPr>
        <w:tab/>
        <w:t>Respondent</w:t>
      </w:r>
      <w:r>
        <w:rPr>
          <w:rFonts w:ascii="Arial" w:hAnsi="Arial" w:cs="Arial"/>
          <w:b/>
          <w:bCs/>
          <w:sz w:val="24"/>
          <w:szCs w:val="24"/>
        </w:rPr>
        <w:t>s</w:t>
      </w:r>
    </w:p>
    <w:p w14:paraId="122EB8E0" w14:textId="4F6EB086" w:rsidR="002D1332" w:rsidRPr="001730CF" w:rsidRDefault="002D1332" w:rsidP="001730CF">
      <w:pPr>
        <w:widowControl w:val="0"/>
        <w:tabs>
          <w:tab w:val="right" w:pos="9213"/>
        </w:tabs>
        <w:spacing w:after="0" w:line="240" w:lineRule="auto"/>
        <w:ind w:left="720" w:hanging="720"/>
        <w:rPr>
          <w:rFonts w:ascii="Arial" w:hAnsi="Arial" w:cs="Arial"/>
          <w:b/>
          <w:bCs/>
          <w:sz w:val="24"/>
          <w:szCs w:val="24"/>
        </w:rPr>
      </w:pPr>
    </w:p>
    <w:p w14:paraId="3CD41258" w14:textId="77777777" w:rsidR="00846A6C" w:rsidRPr="00AC2344" w:rsidRDefault="00846A6C" w:rsidP="0029515D">
      <w:pPr>
        <w:spacing w:after="0" w:line="240" w:lineRule="auto"/>
        <w:ind w:left="720" w:hanging="720"/>
        <w:rPr>
          <w:rFonts w:ascii="Arial" w:hAnsi="Arial" w:cs="Arial"/>
          <w:b/>
          <w:sz w:val="24"/>
          <w:szCs w:val="24"/>
        </w:rPr>
      </w:pPr>
      <w:r w:rsidRPr="00AC2344">
        <w:rPr>
          <w:rFonts w:ascii="Arial" w:hAnsi="Arial" w:cs="Arial"/>
          <w:b/>
          <w:sz w:val="24"/>
          <w:szCs w:val="24"/>
        </w:rPr>
        <w:t>___________________________________________________________________</w:t>
      </w:r>
    </w:p>
    <w:p w14:paraId="2ED09109" w14:textId="77777777" w:rsidR="00AC2344" w:rsidRDefault="00AC2344" w:rsidP="0029515D">
      <w:pPr>
        <w:pBdr>
          <w:bottom w:val="single" w:sz="12" w:space="1" w:color="auto"/>
        </w:pBdr>
        <w:spacing w:after="0" w:line="240" w:lineRule="auto"/>
        <w:ind w:left="720" w:hanging="720"/>
        <w:jc w:val="center"/>
        <w:rPr>
          <w:rFonts w:ascii="Arial" w:hAnsi="Arial" w:cs="Arial"/>
          <w:b/>
          <w:bCs/>
          <w:sz w:val="24"/>
          <w:szCs w:val="24"/>
        </w:rPr>
      </w:pPr>
    </w:p>
    <w:p w14:paraId="1258E2A9" w14:textId="67E7EBCA" w:rsidR="00846A6C" w:rsidRDefault="00846A6C" w:rsidP="0029515D">
      <w:pPr>
        <w:pBdr>
          <w:bottom w:val="single" w:sz="12" w:space="1" w:color="auto"/>
        </w:pBdr>
        <w:spacing w:after="0" w:line="240" w:lineRule="auto"/>
        <w:ind w:left="720" w:hanging="720"/>
        <w:jc w:val="center"/>
        <w:rPr>
          <w:rFonts w:ascii="Arial" w:hAnsi="Arial" w:cs="Arial"/>
          <w:b/>
          <w:bCs/>
          <w:sz w:val="24"/>
          <w:szCs w:val="24"/>
        </w:rPr>
      </w:pPr>
      <w:r w:rsidRPr="00667CFC">
        <w:rPr>
          <w:rFonts w:ascii="Arial" w:hAnsi="Arial" w:cs="Arial"/>
          <w:b/>
          <w:bCs/>
          <w:sz w:val="24"/>
          <w:szCs w:val="24"/>
        </w:rPr>
        <w:t>JUDGMENT</w:t>
      </w:r>
      <w:r w:rsidR="00EC39E1">
        <w:rPr>
          <w:rFonts w:ascii="Arial" w:hAnsi="Arial" w:cs="Arial"/>
          <w:b/>
          <w:bCs/>
          <w:sz w:val="24"/>
          <w:szCs w:val="24"/>
        </w:rPr>
        <w:t>: APPLICAT</w:t>
      </w:r>
      <w:r w:rsidR="00DF07BE">
        <w:rPr>
          <w:rFonts w:ascii="Arial" w:hAnsi="Arial" w:cs="Arial"/>
          <w:b/>
          <w:bCs/>
          <w:sz w:val="24"/>
          <w:szCs w:val="24"/>
        </w:rPr>
        <w:t>I</w:t>
      </w:r>
      <w:r w:rsidR="00EC39E1">
        <w:rPr>
          <w:rFonts w:ascii="Arial" w:hAnsi="Arial" w:cs="Arial"/>
          <w:b/>
          <w:bCs/>
          <w:sz w:val="24"/>
          <w:szCs w:val="24"/>
        </w:rPr>
        <w:t>ON TO SET ASIDE</w:t>
      </w:r>
    </w:p>
    <w:p w14:paraId="76FC1F72" w14:textId="77777777" w:rsidR="00AC2344" w:rsidRPr="00667CFC" w:rsidRDefault="00AC2344" w:rsidP="0029515D">
      <w:pPr>
        <w:pBdr>
          <w:bottom w:val="single" w:sz="12" w:space="1" w:color="auto"/>
        </w:pBdr>
        <w:spacing w:after="0" w:line="240" w:lineRule="auto"/>
        <w:ind w:left="720" w:hanging="720"/>
        <w:jc w:val="center"/>
        <w:rPr>
          <w:rFonts w:ascii="Arial" w:hAnsi="Arial" w:cs="Arial"/>
          <w:b/>
          <w:bCs/>
          <w:sz w:val="24"/>
          <w:szCs w:val="24"/>
        </w:rPr>
      </w:pPr>
    </w:p>
    <w:p w14:paraId="414F3F24" w14:textId="185A262E" w:rsidR="00FD558A" w:rsidRDefault="00EC39E1" w:rsidP="0029515D">
      <w:pPr>
        <w:spacing w:after="0" w:line="240" w:lineRule="auto"/>
        <w:ind w:left="720" w:hanging="720"/>
        <w:rPr>
          <w:rFonts w:ascii="Arial" w:hAnsi="Arial" w:cs="Arial"/>
          <w:sz w:val="24"/>
          <w:szCs w:val="24"/>
        </w:rPr>
      </w:pPr>
      <w:r>
        <w:rPr>
          <w:rFonts w:ascii="Arial" w:hAnsi="Arial" w:cs="Arial"/>
          <w:b/>
          <w:bCs/>
          <w:sz w:val="24"/>
          <w:szCs w:val="24"/>
          <w:u w:val="single"/>
        </w:rPr>
        <w:t>LOWE J</w:t>
      </w:r>
      <w:r>
        <w:rPr>
          <w:rFonts w:ascii="Arial" w:hAnsi="Arial" w:cs="Arial"/>
          <w:sz w:val="24"/>
          <w:szCs w:val="24"/>
        </w:rPr>
        <w:t>:</w:t>
      </w:r>
    </w:p>
    <w:p w14:paraId="64E21FB4" w14:textId="77777777" w:rsidR="00EC39E1" w:rsidRDefault="00EC39E1" w:rsidP="0029515D">
      <w:pPr>
        <w:spacing w:after="0" w:line="240" w:lineRule="auto"/>
        <w:ind w:left="720" w:hanging="720"/>
        <w:rPr>
          <w:rFonts w:ascii="Arial" w:hAnsi="Arial" w:cs="Arial"/>
          <w:sz w:val="24"/>
          <w:szCs w:val="24"/>
        </w:rPr>
      </w:pPr>
    </w:p>
    <w:p w14:paraId="2EC767FF" w14:textId="55F5A599" w:rsidR="00EC39E1" w:rsidRPr="00992D22" w:rsidRDefault="00EC39E1" w:rsidP="001F4BB8">
      <w:pPr>
        <w:spacing w:after="0" w:line="480" w:lineRule="auto"/>
        <w:ind w:left="720" w:hanging="720"/>
        <w:rPr>
          <w:rFonts w:ascii="Arial" w:hAnsi="Arial" w:cs="Arial"/>
          <w:b/>
          <w:bCs/>
          <w:sz w:val="24"/>
          <w:szCs w:val="24"/>
          <w:u w:val="single"/>
        </w:rPr>
      </w:pPr>
      <w:r w:rsidRPr="00992D22">
        <w:rPr>
          <w:rFonts w:ascii="Arial" w:hAnsi="Arial" w:cs="Arial"/>
          <w:b/>
          <w:bCs/>
          <w:sz w:val="24"/>
          <w:szCs w:val="24"/>
          <w:u w:val="single"/>
        </w:rPr>
        <w:t>INTRODUCTION</w:t>
      </w:r>
    </w:p>
    <w:p w14:paraId="0856C42D" w14:textId="77777777" w:rsidR="00DF07BE" w:rsidRDefault="00DF07BE" w:rsidP="001F4BB8">
      <w:pPr>
        <w:spacing w:after="0" w:line="480" w:lineRule="auto"/>
        <w:ind w:left="720" w:hanging="720"/>
        <w:rPr>
          <w:rFonts w:ascii="Arial" w:hAnsi="Arial" w:cs="Arial"/>
          <w:sz w:val="24"/>
          <w:szCs w:val="24"/>
        </w:rPr>
      </w:pPr>
    </w:p>
    <w:p w14:paraId="2CAAEC3F" w14:textId="42512137" w:rsidR="00DF07BE"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F07BE" w:rsidRPr="00C34F13">
        <w:rPr>
          <w:rFonts w:ascii="Arial" w:hAnsi="Arial" w:cs="Arial"/>
          <w:sz w:val="24"/>
          <w:szCs w:val="24"/>
        </w:rPr>
        <w:t xml:space="preserve">It is unnecessary to deal in any </w:t>
      </w:r>
      <w:r w:rsidR="00834A6C" w:rsidRPr="00C34F13">
        <w:rPr>
          <w:rFonts w:ascii="Arial" w:hAnsi="Arial" w:cs="Arial"/>
          <w:sz w:val="24"/>
          <w:szCs w:val="24"/>
        </w:rPr>
        <w:t>detail</w:t>
      </w:r>
      <w:r w:rsidR="00DF07BE" w:rsidRPr="00C34F13">
        <w:rPr>
          <w:rFonts w:ascii="Arial" w:hAnsi="Arial" w:cs="Arial"/>
          <w:sz w:val="24"/>
          <w:szCs w:val="24"/>
        </w:rPr>
        <w:t xml:space="preserve"> with the origin of the principal dispute between the parties </w:t>
      </w:r>
      <w:r w:rsidR="00A35F9F" w:rsidRPr="00C34F13">
        <w:rPr>
          <w:rFonts w:ascii="Arial" w:hAnsi="Arial" w:cs="Arial"/>
          <w:sz w:val="24"/>
          <w:szCs w:val="24"/>
        </w:rPr>
        <w:t>i</w:t>
      </w:r>
      <w:r w:rsidR="00C4141E" w:rsidRPr="00C34F13">
        <w:rPr>
          <w:rFonts w:ascii="Arial" w:hAnsi="Arial" w:cs="Arial"/>
          <w:sz w:val="24"/>
          <w:szCs w:val="24"/>
        </w:rPr>
        <w:t>n th</w:t>
      </w:r>
      <w:r w:rsidR="00834A6C" w:rsidRPr="00C34F13">
        <w:rPr>
          <w:rFonts w:ascii="Arial" w:hAnsi="Arial" w:cs="Arial"/>
          <w:sz w:val="24"/>
          <w:szCs w:val="24"/>
        </w:rPr>
        <w:t>i</w:t>
      </w:r>
      <w:r w:rsidR="00C4141E" w:rsidRPr="00C34F13">
        <w:rPr>
          <w:rFonts w:ascii="Arial" w:hAnsi="Arial" w:cs="Arial"/>
          <w:sz w:val="24"/>
          <w:szCs w:val="24"/>
        </w:rPr>
        <w:t xml:space="preserve">s matter which is being litigated by way of an application to which this is interlocutory.  </w:t>
      </w:r>
    </w:p>
    <w:p w14:paraId="3CB19813" w14:textId="41030C59" w:rsidR="00C4141E" w:rsidRDefault="00C4141E" w:rsidP="001F4BB8">
      <w:pPr>
        <w:pStyle w:val="ListParagraph"/>
        <w:spacing w:after="0" w:line="480" w:lineRule="auto"/>
        <w:jc w:val="both"/>
        <w:rPr>
          <w:rFonts w:ascii="Arial" w:hAnsi="Arial" w:cs="Arial"/>
          <w:sz w:val="24"/>
          <w:szCs w:val="24"/>
        </w:rPr>
      </w:pPr>
    </w:p>
    <w:p w14:paraId="4C159F5F" w14:textId="4C1EBE55" w:rsidR="00752E78"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4141E" w:rsidRPr="00C34F13">
        <w:rPr>
          <w:rFonts w:ascii="Arial" w:hAnsi="Arial" w:cs="Arial"/>
          <w:sz w:val="24"/>
          <w:szCs w:val="24"/>
        </w:rPr>
        <w:t>Put shortly t</w:t>
      </w:r>
      <w:bookmarkStart w:id="0" w:name="_GoBack"/>
      <w:bookmarkEnd w:id="0"/>
      <w:r w:rsidR="00C4141E" w:rsidRPr="00C34F13">
        <w:rPr>
          <w:rFonts w:ascii="Arial" w:hAnsi="Arial" w:cs="Arial"/>
          <w:sz w:val="24"/>
          <w:szCs w:val="24"/>
        </w:rPr>
        <w:t xml:space="preserve">he founding papers in the main application seek orders </w:t>
      </w:r>
      <w:r w:rsidR="00834A6C" w:rsidRPr="00C34F13">
        <w:rPr>
          <w:rFonts w:ascii="Arial" w:hAnsi="Arial" w:cs="Arial"/>
          <w:sz w:val="24"/>
          <w:szCs w:val="24"/>
        </w:rPr>
        <w:t xml:space="preserve">directing the respondents </w:t>
      </w:r>
      <w:r w:rsidR="00A35F9F" w:rsidRPr="00C34F13">
        <w:rPr>
          <w:rFonts w:ascii="Arial" w:hAnsi="Arial" w:cs="Arial"/>
          <w:sz w:val="24"/>
          <w:szCs w:val="24"/>
        </w:rPr>
        <w:t xml:space="preserve">(applicants herein) </w:t>
      </w:r>
      <w:r w:rsidR="00834A6C" w:rsidRPr="00C34F13">
        <w:rPr>
          <w:rFonts w:ascii="Arial" w:hAnsi="Arial" w:cs="Arial"/>
          <w:sz w:val="24"/>
          <w:szCs w:val="24"/>
        </w:rPr>
        <w:t>to</w:t>
      </w:r>
      <w:r w:rsidR="00A57EE4" w:rsidRPr="00C34F13">
        <w:rPr>
          <w:rFonts w:ascii="Arial" w:hAnsi="Arial" w:cs="Arial"/>
          <w:sz w:val="24"/>
          <w:szCs w:val="24"/>
        </w:rPr>
        <w:t xml:space="preserve"> implement phase three of the Eastern Cape School Building </w:t>
      </w:r>
      <w:r w:rsidR="002D4430" w:rsidRPr="00C34F13">
        <w:rPr>
          <w:rFonts w:ascii="Arial" w:hAnsi="Arial" w:cs="Arial"/>
          <w:sz w:val="24"/>
          <w:szCs w:val="24"/>
        </w:rPr>
        <w:t>Expanded</w:t>
      </w:r>
      <w:r w:rsidR="00A57EE4" w:rsidRPr="00C34F13">
        <w:rPr>
          <w:rFonts w:ascii="Arial" w:hAnsi="Arial" w:cs="Arial"/>
          <w:sz w:val="24"/>
          <w:szCs w:val="24"/>
        </w:rPr>
        <w:t xml:space="preserve"> Public </w:t>
      </w:r>
      <w:r w:rsidR="002D4430" w:rsidRPr="00C34F13">
        <w:rPr>
          <w:rFonts w:ascii="Arial" w:hAnsi="Arial" w:cs="Arial"/>
          <w:sz w:val="24"/>
          <w:szCs w:val="24"/>
        </w:rPr>
        <w:t>W</w:t>
      </w:r>
      <w:r w:rsidR="00A57EE4" w:rsidRPr="00C34F13">
        <w:rPr>
          <w:rFonts w:ascii="Arial" w:hAnsi="Arial" w:cs="Arial"/>
          <w:sz w:val="24"/>
          <w:szCs w:val="24"/>
        </w:rPr>
        <w:t xml:space="preserve">orks </w:t>
      </w:r>
      <w:r w:rsidR="002D4430" w:rsidRPr="00C34F13">
        <w:rPr>
          <w:rFonts w:ascii="Arial" w:hAnsi="Arial" w:cs="Arial"/>
          <w:sz w:val="24"/>
          <w:szCs w:val="24"/>
        </w:rPr>
        <w:t>P</w:t>
      </w:r>
      <w:r w:rsidR="00A57EE4" w:rsidRPr="00C34F13">
        <w:rPr>
          <w:rFonts w:ascii="Arial" w:hAnsi="Arial" w:cs="Arial"/>
          <w:sz w:val="24"/>
          <w:szCs w:val="24"/>
        </w:rPr>
        <w:t>rogramme</w:t>
      </w:r>
      <w:r w:rsidR="006757C7" w:rsidRPr="00C34F13">
        <w:rPr>
          <w:rFonts w:ascii="Arial" w:hAnsi="Arial" w:cs="Arial"/>
          <w:sz w:val="24"/>
          <w:szCs w:val="24"/>
        </w:rPr>
        <w:t xml:space="preserve"> </w:t>
      </w:r>
      <w:r w:rsidR="0077697B" w:rsidRPr="00C34F13">
        <w:rPr>
          <w:rFonts w:ascii="Arial" w:hAnsi="Arial" w:cs="Arial"/>
          <w:sz w:val="24"/>
          <w:szCs w:val="24"/>
        </w:rPr>
        <w:t>(</w:t>
      </w:r>
      <w:r w:rsidR="006757C7" w:rsidRPr="00C34F13">
        <w:rPr>
          <w:rFonts w:ascii="Arial" w:hAnsi="Arial" w:cs="Arial"/>
          <w:sz w:val="24"/>
          <w:szCs w:val="24"/>
        </w:rPr>
        <w:t xml:space="preserve">allegedly initiated in favour of the </w:t>
      </w:r>
      <w:r w:rsidR="009854F2" w:rsidRPr="00C34F13">
        <w:rPr>
          <w:rFonts w:ascii="Arial" w:hAnsi="Arial" w:cs="Arial"/>
          <w:sz w:val="24"/>
          <w:szCs w:val="24"/>
        </w:rPr>
        <w:t>applicants</w:t>
      </w:r>
      <w:r w:rsidR="0077697B" w:rsidRPr="00C34F13">
        <w:rPr>
          <w:rFonts w:ascii="Arial" w:hAnsi="Arial" w:cs="Arial"/>
          <w:sz w:val="24"/>
          <w:szCs w:val="24"/>
        </w:rPr>
        <w:t>)</w:t>
      </w:r>
      <w:r w:rsidR="006757C7" w:rsidRPr="00C34F13">
        <w:rPr>
          <w:rFonts w:ascii="Arial" w:hAnsi="Arial" w:cs="Arial"/>
          <w:sz w:val="24"/>
          <w:szCs w:val="24"/>
        </w:rPr>
        <w:t xml:space="preserve"> to commence within thirty days of the order </w:t>
      </w:r>
      <w:r w:rsidR="00752E78" w:rsidRPr="00C34F13">
        <w:rPr>
          <w:rFonts w:ascii="Arial" w:hAnsi="Arial" w:cs="Arial"/>
          <w:sz w:val="24"/>
          <w:szCs w:val="24"/>
        </w:rPr>
        <w:t>with monthly progress reports submitted to the court.</w:t>
      </w:r>
      <w:r w:rsidR="00EB7AA9" w:rsidRPr="00C34F13">
        <w:rPr>
          <w:rFonts w:ascii="Arial" w:hAnsi="Arial" w:cs="Arial"/>
          <w:sz w:val="24"/>
          <w:szCs w:val="24"/>
        </w:rPr>
        <w:t xml:space="preserve">  I will for convenience then refer to the parties as they are in the interlocutory application.</w:t>
      </w:r>
      <w:r w:rsidR="00752E78" w:rsidRPr="00C34F13">
        <w:rPr>
          <w:rFonts w:ascii="Arial" w:hAnsi="Arial" w:cs="Arial"/>
          <w:sz w:val="24"/>
          <w:szCs w:val="24"/>
        </w:rPr>
        <w:t xml:space="preserve">  </w:t>
      </w:r>
    </w:p>
    <w:p w14:paraId="748FE436" w14:textId="77777777" w:rsidR="00752E78" w:rsidRPr="00752E78" w:rsidRDefault="00752E78" w:rsidP="001F4BB8">
      <w:pPr>
        <w:pStyle w:val="ListParagraph"/>
        <w:spacing w:line="480" w:lineRule="auto"/>
        <w:rPr>
          <w:rFonts w:ascii="Arial" w:hAnsi="Arial" w:cs="Arial"/>
          <w:sz w:val="24"/>
          <w:szCs w:val="24"/>
        </w:rPr>
      </w:pPr>
    </w:p>
    <w:p w14:paraId="5C893FF9" w14:textId="2F2664FF" w:rsidR="00E26120"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52E78" w:rsidRPr="00C34F13">
        <w:rPr>
          <w:rFonts w:ascii="Arial" w:hAnsi="Arial" w:cs="Arial"/>
          <w:sz w:val="24"/>
          <w:szCs w:val="24"/>
        </w:rPr>
        <w:t>During June 202</w:t>
      </w:r>
      <w:r w:rsidR="00291760" w:rsidRPr="00C34F13">
        <w:rPr>
          <w:rFonts w:ascii="Arial" w:hAnsi="Arial" w:cs="Arial"/>
          <w:sz w:val="24"/>
          <w:szCs w:val="24"/>
        </w:rPr>
        <w:t>2</w:t>
      </w:r>
      <w:r w:rsidR="00752E78" w:rsidRPr="00C34F13">
        <w:rPr>
          <w:rFonts w:ascii="Arial" w:hAnsi="Arial" w:cs="Arial"/>
          <w:sz w:val="24"/>
          <w:szCs w:val="24"/>
        </w:rPr>
        <w:t xml:space="preserve"> second and third </w:t>
      </w:r>
      <w:r w:rsidR="009854F2" w:rsidRPr="00C34F13">
        <w:rPr>
          <w:rFonts w:ascii="Arial" w:hAnsi="Arial" w:cs="Arial"/>
          <w:sz w:val="24"/>
          <w:szCs w:val="24"/>
        </w:rPr>
        <w:t>respondents</w:t>
      </w:r>
      <w:r w:rsidR="00752E78" w:rsidRPr="00C34F13">
        <w:rPr>
          <w:rFonts w:ascii="Arial" w:hAnsi="Arial" w:cs="Arial"/>
          <w:sz w:val="24"/>
          <w:szCs w:val="24"/>
        </w:rPr>
        <w:t xml:space="preserve"> (</w:t>
      </w:r>
      <w:r w:rsidR="009854F2" w:rsidRPr="00C34F13">
        <w:rPr>
          <w:rFonts w:ascii="Arial" w:hAnsi="Arial" w:cs="Arial"/>
          <w:sz w:val="24"/>
          <w:szCs w:val="24"/>
        </w:rPr>
        <w:t>applicants</w:t>
      </w:r>
      <w:r w:rsidR="00752E78" w:rsidRPr="00C34F13">
        <w:rPr>
          <w:rFonts w:ascii="Arial" w:hAnsi="Arial" w:cs="Arial"/>
          <w:sz w:val="24"/>
          <w:szCs w:val="24"/>
        </w:rPr>
        <w:t xml:space="preserve"> herein)</w:t>
      </w:r>
      <w:r w:rsidR="00291760" w:rsidRPr="00C34F13">
        <w:rPr>
          <w:rFonts w:ascii="Arial" w:hAnsi="Arial" w:cs="Arial"/>
          <w:sz w:val="24"/>
          <w:szCs w:val="24"/>
        </w:rPr>
        <w:t xml:space="preserve"> </w:t>
      </w:r>
      <w:r w:rsidR="00E26120" w:rsidRPr="00C34F13">
        <w:rPr>
          <w:rFonts w:ascii="Arial" w:hAnsi="Arial" w:cs="Arial"/>
          <w:sz w:val="24"/>
          <w:szCs w:val="24"/>
        </w:rPr>
        <w:t>delivered and filed answering papers.</w:t>
      </w:r>
    </w:p>
    <w:p w14:paraId="18682DE5" w14:textId="77777777" w:rsidR="00E26120" w:rsidRPr="00E26120" w:rsidRDefault="00E26120" w:rsidP="001F4BB8">
      <w:pPr>
        <w:pStyle w:val="ListParagraph"/>
        <w:spacing w:line="480" w:lineRule="auto"/>
        <w:rPr>
          <w:rFonts w:ascii="Arial" w:hAnsi="Arial" w:cs="Arial"/>
          <w:sz w:val="24"/>
          <w:szCs w:val="24"/>
        </w:rPr>
      </w:pPr>
    </w:p>
    <w:p w14:paraId="29831E99" w14:textId="1BB42926" w:rsidR="00C4141E"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26120" w:rsidRPr="00C34F13">
        <w:rPr>
          <w:rFonts w:ascii="Arial" w:hAnsi="Arial" w:cs="Arial"/>
          <w:sz w:val="24"/>
          <w:szCs w:val="24"/>
        </w:rPr>
        <w:t>On 30 June 2022 the applicants in the main application (</w:t>
      </w:r>
      <w:r w:rsidR="00AB44BF" w:rsidRPr="00C34F13">
        <w:rPr>
          <w:rFonts w:ascii="Arial" w:hAnsi="Arial" w:cs="Arial"/>
          <w:sz w:val="24"/>
          <w:szCs w:val="24"/>
        </w:rPr>
        <w:t>respondents</w:t>
      </w:r>
      <w:r w:rsidR="00E26120" w:rsidRPr="00C34F13">
        <w:rPr>
          <w:rFonts w:ascii="Arial" w:hAnsi="Arial" w:cs="Arial"/>
          <w:sz w:val="24"/>
          <w:szCs w:val="24"/>
        </w:rPr>
        <w:t xml:space="preserve"> herein) delivered a </w:t>
      </w:r>
      <w:r w:rsidR="00AB44BF" w:rsidRPr="00C34F13">
        <w:rPr>
          <w:rFonts w:ascii="Arial" w:hAnsi="Arial" w:cs="Arial"/>
          <w:sz w:val="24"/>
          <w:szCs w:val="24"/>
        </w:rPr>
        <w:t xml:space="preserve">notice </w:t>
      </w:r>
      <w:r w:rsidR="00E26120" w:rsidRPr="00C34F13">
        <w:rPr>
          <w:rFonts w:ascii="Arial" w:hAnsi="Arial" w:cs="Arial"/>
          <w:sz w:val="24"/>
          <w:szCs w:val="24"/>
        </w:rPr>
        <w:t xml:space="preserve">to </w:t>
      </w:r>
      <w:r w:rsidR="00AB44BF" w:rsidRPr="00C34F13">
        <w:rPr>
          <w:rFonts w:ascii="Arial" w:hAnsi="Arial" w:cs="Arial"/>
          <w:sz w:val="24"/>
          <w:szCs w:val="24"/>
        </w:rPr>
        <w:t>pro</w:t>
      </w:r>
      <w:r w:rsidR="00E26120" w:rsidRPr="00C34F13">
        <w:rPr>
          <w:rFonts w:ascii="Arial" w:hAnsi="Arial" w:cs="Arial"/>
          <w:sz w:val="24"/>
          <w:szCs w:val="24"/>
        </w:rPr>
        <w:t>duce documents referred to in the answering affidavit</w:t>
      </w:r>
      <w:r w:rsidR="000A1D72" w:rsidRPr="00C34F13">
        <w:rPr>
          <w:rFonts w:ascii="Arial" w:hAnsi="Arial" w:cs="Arial"/>
          <w:sz w:val="24"/>
          <w:szCs w:val="24"/>
        </w:rPr>
        <w:t>,</w:t>
      </w:r>
      <w:r w:rsidR="003B0149" w:rsidRPr="00C34F13">
        <w:rPr>
          <w:rFonts w:ascii="Arial" w:hAnsi="Arial" w:cs="Arial"/>
          <w:sz w:val="24"/>
          <w:szCs w:val="24"/>
        </w:rPr>
        <w:t xml:space="preserve"> this being a composite notice in terms of Rule 35(12) and 35(14) of the Uniform Rules</w:t>
      </w:r>
      <w:r w:rsidR="00F61CE4" w:rsidRPr="00C34F13">
        <w:rPr>
          <w:rFonts w:ascii="Arial" w:hAnsi="Arial" w:cs="Arial"/>
          <w:sz w:val="24"/>
          <w:szCs w:val="24"/>
        </w:rPr>
        <w:t>, identifying specific documents refer</w:t>
      </w:r>
      <w:r w:rsidR="0083230C" w:rsidRPr="00C34F13">
        <w:rPr>
          <w:rFonts w:ascii="Arial" w:hAnsi="Arial" w:cs="Arial"/>
          <w:sz w:val="24"/>
          <w:szCs w:val="24"/>
        </w:rPr>
        <w:t>r</w:t>
      </w:r>
      <w:r w:rsidR="00F61CE4" w:rsidRPr="00C34F13">
        <w:rPr>
          <w:rFonts w:ascii="Arial" w:hAnsi="Arial" w:cs="Arial"/>
          <w:sz w:val="24"/>
          <w:szCs w:val="24"/>
        </w:rPr>
        <w:t>ed to in the answering affidavit to be produced within five days for their inspection</w:t>
      </w:r>
      <w:r w:rsidR="00140FC8" w:rsidRPr="00C34F13">
        <w:rPr>
          <w:rFonts w:ascii="Arial" w:hAnsi="Arial" w:cs="Arial"/>
          <w:sz w:val="24"/>
          <w:szCs w:val="24"/>
        </w:rPr>
        <w:t xml:space="preserve">.  </w:t>
      </w:r>
    </w:p>
    <w:p w14:paraId="4BB564B1" w14:textId="77777777" w:rsidR="00140FC8" w:rsidRPr="00140FC8" w:rsidRDefault="00140FC8" w:rsidP="001F4BB8">
      <w:pPr>
        <w:pStyle w:val="ListParagraph"/>
        <w:spacing w:line="480" w:lineRule="auto"/>
        <w:rPr>
          <w:rFonts w:ascii="Arial" w:hAnsi="Arial" w:cs="Arial"/>
          <w:sz w:val="24"/>
          <w:szCs w:val="24"/>
        </w:rPr>
      </w:pPr>
    </w:p>
    <w:p w14:paraId="0236BB6D" w14:textId="331BE17B" w:rsidR="00901C54"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E5A2A" w:rsidRPr="00C34F13">
        <w:rPr>
          <w:rFonts w:ascii="Arial" w:hAnsi="Arial" w:cs="Arial"/>
          <w:sz w:val="24"/>
          <w:szCs w:val="24"/>
        </w:rPr>
        <w:t xml:space="preserve">In due course, </w:t>
      </w:r>
      <w:r w:rsidR="00FE0AE5" w:rsidRPr="00C34F13">
        <w:rPr>
          <w:rFonts w:ascii="Arial" w:hAnsi="Arial" w:cs="Arial"/>
          <w:sz w:val="24"/>
          <w:szCs w:val="24"/>
        </w:rPr>
        <w:t xml:space="preserve">applicants </w:t>
      </w:r>
      <w:r w:rsidR="00BA46A2" w:rsidRPr="00C34F13">
        <w:rPr>
          <w:rFonts w:ascii="Arial" w:hAnsi="Arial" w:cs="Arial"/>
          <w:sz w:val="24"/>
          <w:szCs w:val="24"/>
        </w:rPr>
        <w:t>b</w:t>
      </w:r>
      <w:r w:rsidR="000A1D72" w:rsidRPr="00C34F13">
        <w:rPr>
          <w:rFonts w:ascii="Arial" w:hAnsi="Arial" w:cs="Arial"/>
          <w:sz w:val="24"/>
          <w:szCs w:val="24"/>
        </w:rPr>
        <w:t>r</w:t>
      </w:r>
      <w:r w:rsidR="00BA46A2" w:rsidRPr="00C34F13">
        <w:rPr>
          <w:rFonts w:ascii="Arial" w:hAnsi="Arial" w:cs="Arial"/>
          <w:sz w:val="24"/>
          <w:szCs w:val="24"/>
        </w:rPr>
        <w:t xml:space="preserve">ought </w:t>
      </w:r>
      <w:r w:rsidR="00EA5CB6" w:rsidRPr="00C34F13">
        <w:rPr>
          <w:rFonts w:ascii="Arial" w:hAnsi="Arial" w:cs="Arial"/>
          <w:sz w:val="24"/>
          <w:szCs w:val="24"/>
        </w:rPr>
        <w:t>this interlocutory application to set aside the composite Rule 35(12) and 35(14) notice</w:t>
      </w:r>
      <w:r w:rsidR="00972C05" w:rsidRPr="00C34F13">
        <w:rPr>
          <w:rFonts w:ascii="Arial" w:hAnsi="Arial" w:cs="Arial"/>
          <w:sz w:val="24"/>
          <w:szCs w:val="24"/>
        </w:rPr>
        <w:t xml:space="preserve"> dated 27 June 2022 directing the respondents </w:t>
      </w:r>
      <w:r w:rsidR="00901C54" w:rsidRPr="00C34F13">
        <w:rPr>
          <w:rFonts w:ascii="Arial" w:hAnsi="Arial" w:cs="Arial"/>
          <w:sz w:val="24"/>
          <w:szCs w:val="24"/>
        </w:rPr>
        <w:t xml:space="preserve">to pay the costs thereof.  </w:t>
      </w:r>
    </w:p>
    <w:p w14:paraId="08C0EBDD" w14:textId="77777777" w:rsidR="00901C54" w:rsidRPr="00901C54" w:rsidRDefault="00901C54" w:rsidP="001F4BB8">
      <w:pPr>
        <w:pStyle w:val="ListParagraph"/>
        <w:spacing w:line="480" w:lineRule="auto"/>
        <w:rPr>
          <w:rFonts w:ascii="Arial" w:hAnsi="Arial" w:cs="Arial"/>
          <w:sz w:val="24"/>
          <w:szCs w:val="24"/>
        </w:rPr>
      </w:pPr>
    </w:p>
    <w:p w14:paraId="77AD2A4C" w14:textId="4EFF1146" w:rsidR="001B194D"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DC36A3" w:rsidRPr="00C34F13">
        <w:rPr>
          <w:rFonts w:ascii="Arial" w:hAnsi="Arial" w:cs="Arial"/>
          <w:sz w:val="24"/>
          <w:szCs w:val="24"/>
        </w:rPr>
        <w:t xml:space="preserve">The crux of the argument relevant to such setting aside turns upon the proper </w:t>
      </w:r>
      <w:r w:rsidR="0016757F" w:rsidRPr="00C34F13">
        <w:rPr>
          <w:rFonts w:ascii="Arial" w:hAnsi="Arial" w:cs="Arial"/>
          <w:sz w:val="24"/>
          <w:szCs w:val="24"/>
        </w:rPr>
        <w:t xml:space="preserve">meaning </w:t>
      </w:r>
      <w:r w:rsidR="00A32636" w:rsidRPr="00C34F13">
        <w:rPr>
          <w:rFonts w:ascii="Arial" w:hAnsi="Arial" w:cs="Arial"/>
          <w:sz w:val="24"/>
          <w:szCs w:val="24"/>
        </w:rPr>
        <w:t>to be giv</w:t>
      </w:r>
      <w:r w:rsidR="000A1D72" w:rsidRPr="00C34F13">
        <w:rPr>
          <w:rFonts w:ascii="Arial" w:hAnsi="Arial" w:cs="Arial"/>
          <w:sz w:val="24"/>
          <w:szCs w:val="24"/>
        </w:rPr>
        <w:t>e</w:t>
      </w:r>
      <w:r w:rsidR="00A32636" w:rsidRPr="00C34F13">
        <w:rPr>
          <w:rFonts w:ascii="Arial" w:hAnsi="Arial" w:cs="Arial"/>
          <w:sz w:val="24"/>
          <w:szCs w:val="24"/>
        </w:rPr>
        <w:t>n to Rule 35(12), Rule 35(13)</w:t>
      </w:r>
      <w:r w:rsidR="001B304A" w:rsidRPr="00C34F13">
        <w:rPr>
          <w:rFonts w:ascii="Arial" w:hAnsi="Arial" w:cs="Arial"/>
          <w:sz w:val="24"/>
          <w:szCs w:val="24"/>
        </w:rPr>
        <w:t>, and Rule 35(14), properly</w:t>
      </w:r>
      <w:r w:rsidR="002560F9" w:rsidRPr="00C34F13">
        <w:rPr>
          <w:rFonts w:ascii="Arial" w:hAnsi="Arial" w:cs="Arial"/>
          <w:sz w:val="24"/>
          <w:szCs w:val="24"/>
        </w:rPr>
        <w:t xml:space="preserve"> interpreted </w:t>
      </w:r>
      <w:r w:rsidR="001B194D" w:rsidRPr="00C34F13">
        <w:rPr>
          <w:rFonts w:ascii="Arial" w:hAnsi="Arial" w:cs="Arial"/>
          <w:sz w:val="24"/>
          <w:szCs w:val="24"/>
        </w:rPr>
        <w:t xml:space="preserve">in the usual manner.  </w:t>
      </w:r>
    </w:p>
    <w:p w14:paraId="493C8F8F" w14:textId="77777777" w:rsidR="001B194D" w:rsidRPr="001B194D" w:rsidRDefault="001B194D" w:rsidP="001F4BB8">
      <w:pPr>
        <w:pStyle w:val="ListParagraph"/>
        <w:spacing w:line="480" w:lineRule="auto"/>
        <w:rPr>
          <w:rFonts w:ascii="Arial" w:hAnsi="Arial" w:cs="Arial"/>
          <w:sz w:val="24"/>
          <w:szCs w:val="24"/>
        </w:rPr>
      </w:pPr>
    </w:p>
    <w:p w14:paraId="617830AF" w14:textId="473C08E9" w:rsidR="001B194D"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1B194D" w:rsidRPr="00C34F13">
        <w:rPr>
          <w:rFonts w:ascii="Arial" w:hAnsi="Arial" w:cs="Arial"/>
          <w:sz w:val="24"/>
          <w:szCs w:val="24"/>
        </w:rPr>
        <w:t>In short, applicants contend that:</w:t>
      </w:r>
    </w:p>
    <w:p w14:paraId="5AF08895" w14:textId="77777777" w:rsidR="001B194D" w:rsidRPr="001B194D" w:rsidRDefault="001B194D" w:rsidP="001F4BB8">
      <w:pPr>
        <w:pStyle w:val="ListParagraph"/>
        <w:spacing w:line="480" w:lineRule="auto"/>
        <w:rPr>
          <w:rFonts w:ascii="Arial" w:hAnsi="Arial" w:cs="Arial"/>
          <w:sz w:val="24"/>
          <w:szCs w:val="24"/>
        </w:rPr>
      </w:pPr>
    </w:p>
    <w:p w14:paraId="135C13E7" w14:textId="0B3C3D3F" w:rsidR="001B194D" w:rsidRPr="00C34F13" w:rsidRDefault="00C34F13" w:rsidP="00C34F13">
      <w:pPr>
        <w:spacing w:after="0" w:line="480" w:lineRule="auto"/>
        <w:ind w:left="144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1B194D" w:rsidRPr="00C34F13">
        <w:rPr>
          <w:rFonts w:ascii="Arial" w:hAnsi="Arial" w:cs="Arial"/>
          <w:sz w:val="24"/>
          <w:szCs w:val="24"/>
        </w:rPr>
        <w:t xml:space="preserve">the </w:t>
      </w:r>
      <w:r w:rsidR="00040CCA" w:rsidRPr="00C34F13">
        <w:rPr>
          <w:rFonts w:ascii="Arial" w:hAnsi="Arial" w:cs="Arial"/>
          <w:sz w:val="24"/>
          <w:szCs w:val="24"/>
        </w:rPr>
        <w:t xml:space="preserve">notice, and the </w:t>
      </w:r>
      <w:r w:rsidR="0077697B" w:rsidRPr="00C34F13">
        <w:rPr>
          <w:rFonts w:ascii="Arial" w:hAnsi="Arial" w:cs="Arial"/>
          <w:sz w:val="24"/>
          <w:szCs w:val="24"/>
        </w:rPr>
        <w:t>S</w:t>
      </w:r>
      <w:r w:rsidR="002E071C" w:rsidRPr="00C34F13">
        <w:rPr>
          <w:rFonts w:ascii="Arial" w:hAnsi="Arial" w:cs="Arial"/>
          <w:sz w:val="24"/>
          <w:szCs w:val="24"/>
        </w:rPr>
        <w:t>ub-Rules</w:t>
      </w:r>
      <w:r w:rsidR="00040CCA" w:rsidRPr="00C34F13">
        <w:rPr>
          <w:rFonts w:ascii="Arial" w:hAnsi="Arial" w:cs="Arial"/>
          <w:sz w:val="24"/>
          <w:szCs w:val="24"/>
        </w:rPr>
        <w:t xml:space="preserve"> of Rule 35 referred to do not permit of the</w:t>
      </w:r>
      <w:r w:rsidR="004F77A5" w:rsidRPr="00C34F13">
        <w:rPr>
          <w:rFonts w:ascii="Arial" w:hAnsi="Arial" w:cs="Arial"/>
          <w:sz w:val="24"/>
          <w:szCs w:val="24"/>
        </w:rPr>
        <w:t xml:space="preserve"> application </w:t>
      </w:r>
      <w:r w:rsidR="00CE75DE" w:rsidRPr="00C34F13">
        <w:rPr>
          <w:rFonts w:ascii="Arial" w:hAnsi="Arial" w:cs="Arial"/>
          <w:sz w:val="24"/>
          <w:szCs w:val="24"/>
        </w:rPr>
        <w:t>of any part of Rule 35</w:t>
      </w:r>
      <w:r w:rsidR="00BC282A" w:rsidRPr="00C34F13">
        <w:rPr>
          <w:rFonts w:ascii="Arial" w:hAnsi="Arial" w:cs="Arial"/>
          <w:sz w:val="24"/>
          <w:szCs w:val="24"/>
        </w:rPr>
        <w:t>,</w:t>
      </w:r>
      <w:r w:rsidR="00040CCA" w:rsidRPr="00C34F13">
        <w:rPr>
          <w:rFonts w:ascii="Arial" w:hAnsi="Arial" w:cs="Arial"/>
          <w:sz w:val="24"/>
          <w:szCs w:val="24"/>
        </w:rPr>
        <w:t xml:space="preserve"> save with the prior </w:t>
      </w:r>
      <w:r w:rsidR="001E271B" w:rsidRPr="00C34F13">
        <w:rPr>
          <w:rFonts w:ascii="Arial" w:hAnsi="Arial" w:cs="Arial"/>
          <w:sz w:val="24"/>
          <w:szCs w:val="24"/>
        </w:rPr>
        <w:t>direction</w:t>
      </w:r>
      <w:r w:rsidR="00040CCA" w:rsidRPr="00C34F13">
        <w:rPr>
          <w:rFonts w:ascii="Arial" w:hAnsi="Arial" w:cs="Arial"/>
          <w:sz w:val="24"/>
          <w:szCs w:val="24"/>
        </w:rPr>
        <w:t xml:space="preserve"> of the Court as set out in Rule 35(13)</w:t>
      </w:r>
      <w:r w:rsidR="004F4DCA" w:rsidRPr="00C34F13">
        <w:rPr>
          <w:rFonts w:ascii="Arial" w:hAnsi="Arial" w:cs="Arial"/>
          <w:sz w:val="24"/>
          <w:szCs w:val="24"/>
        </w:rPr>
        <w:t>;</w:t>
      </w:r>
    </w:p>
    <w:p w14:paraId="5530A9F2" w14:textId="04D47E11" w:rsidR="004F4DCA" w:rsidRPr="00C34F13" w:rsidRDefault="00C34F13" w:rsidP="00C34F13">
      <w:pPr>
        <w:spacing w:after="0" w:line="480" w:lineRule="auto"/>
        <w:ind w:left="1440" w:hanging="720"/>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r>
      <w:r w:rsidR="004F4DCA" w:rsidRPr="00C34F13">
        <w:rPr>
          <w:rFonts w:ascii="Arial" w:hAnsi="Arial" w:cs="Arial"/>
          <w:sz w:val="24"/>
          <w:szCs w:val="24"/>
        </w:rPr>
        <w:t xml:space="preserve">in summary the entire Rule 35 </w:t>
      </w:r>
      <w:r w:rsidR="0077697B" w:rsidRPr="00C34F13">
        <w:rPr>
          <w:rFonts w:ascii="Arial" w:hAnsi="Arial" w:cs="Arial"/>
          <w:sz w:val="24"/>
          <w:szCs w:val="24"/>
        </w:rPr>
        <w:t xml:space="preserve">(including Rule 35(27) </w:t>
      </w:r>
      <w:r w:rsidR="004F4DCA" w:rsidRPr="00C34F13">
        <w:rPr>
          <w:rFonts w:ascii="Arial" w:hAnsi="Arial" w:cs="Arial"/>
          <w:sz w:val="24"/>
          <w:szCs w:val="24"/>
        </w:rPr>
        <w:t xml:space="preserve">applies to applications only insofar as the Court may direct; </w:t>
      </w:r>
    </w:p>
    <w:p w14:paraId="7545BF15" w14:textId="7B8B137C" w:rsidR="001E271B" w:rsidRPr="00C34F13" w:rsidRDefault="00C34F13" w:rsidP="00C34F13">
      <w:pPr>
        <w:spacing w:after="0" w:line="480" w:lineRule="auto"/>
        <w:ind w:left="144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1E271B" w:rsidRPr="00C34F13">
        <w:rPr>
          <w:rFonts w:ascii="Arial" w:hAnsi="Arial" w:cs="Arial"/>
          <w:sz w:val="24"/>
          <w:szCs w:val="24"/>
        </w:rPr>
        <w:t>That, as is common cause, the court has not so directed.</w:t>
      </w:r>
    </w:p>
    <w:p w14:paraId="44C8289F" w14:textId="77777777" w:rsidR="001B194D" w:rsidRPr="001B194D" w:rsidRDefault="001B194D" w:rsidP="001F4BB8">
      <w:pPr>
        <w:pStyle w:val="ListParagraph"/>
        <w:spacing w:line="480" w:lineRule="auto"/>
        <w:rPr>
          <w:rFonts w:ascii="Arial" w:hAnsi="Arial" w:cs="Arial"/>
          <w:sz w:val="24"/>
          <w:szCs w:val="24"/>
        </w:rPr>
      </w:pPr>
    </w:p>
    <w:p w14:paraId="3653E643" w14:textId="091940D1" w:rsidR="00140FC8"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EA5CB6" w:rsidRPr="00C34F13">
        <w:rPr>
          <w:rFonts w:ascii="Arial" w:hAnsi="Arial" w:cs="Arial"/>
          <w:sz w:val="24"/>
          <w:szCs w:val="24"/>
        </w:rPr>
        <w:t xml:space="preserve"> </w:t>
      </w:r>
      <w:r w:rsidR="001E271B" w:rsidRPr="00C34F13">
        <w:rPr>
          <w:rFonts w:ascii="Arial" w:hAnsi="Arial" w:cs="Arial"/>
          <w:sz w:val="24"/>
          <w:szCs w:val="24"/>
        </w:rPr>
        <w:t>Respondents contend the contrary</w:t>
      </w:r>
      <w:r w:rsidR="00ED41FC" w:rsidRPr="00C34F13">
        <w:rPr>
          <w:rFonts w:ascii="Arial" w:hAnsi="Arial" w:cs="Arial"/>
          <w:sz w:val="24"/>
          <w:szCs w:val="24"/>
        </w:rPr>
        <w:t xml:space="preserve"> insofar as Rule 35(12) is concerned </w:t>
      </w:r>
      <w:r w:rsidR="0077697B" w:rsidRPr="00C34F13">
        <w:rPr>
          <w:rFonts w:ascii="Arial" w:hAnsi="Arial" w:cs="Arial"/>
          <w:sz w:val="24"/>
          <w:szCs w:val="24"/>
        </w:rPr>
        <w:t>arguing</w:t>
      </w:r>
      <w:r w:rsidR="00ED41FC" w:rsidRPr="00C34F13">
        <w:rPr>
          <w:rFonts w:ascii="Arial" w:hAnsi="Arial" w:cs="Arial"/>
          <w:sz w:val="24"/>
          <w:szCs w:val="24"/>
        </w:rPr>
        <w:t xml:space="preserve"> that this is a </w:t>
      </w:r>
      <w:r w:rsidR="002E071C" w:rsidRPr="00C34F13">
        <w:rPr>
          <w:rFonts w:ascii="Arial" w:hAnsi="Arial" w:cs="Arial"/>
          <w:sz w:val="24"/>
          <w:szCs w:val="24"/>
        </w:rPr>
        <w:t>self-standing</w:t>
      </w:r>
      <w:r w:rsidR="00ED41FC" w:rsidRPr="00C34F13">
        <w:rPr>
          <w:rFonts w:ascii="Arial" w:hAnsi="Arial" w:cs="Arial"/>
          <w:sz w:val="24"/>
          <w:szCs w:val="24"/>
        </w:rPr>
        <w:t xml:space="preserve"> Rule and does not require</w:t>
      </w:r>
      <w:r w:rsidR="00D22DC8" w:rsidRPr="00C34F13">
        <w:rPr>
          <w:rFonts w:ascii="Arial" w:hAnsi="Arial" w:cs="Arial"/>
          <w:sz w:val="24"/>
          <w:szCs w:val="24"/>
        </w:rPr>
        <w:t>,</w:t>
      </w:r>
      <w:r w:rsidR="00ED41FC" w:rsidRPr="00C34F13">
        <w:rPr>
          <w:rFonts w:ascii="Arial" w:hAnsi="Arial" w:cs="Arial"/>
          <w:sz w:val="24"/>
          <w:szCs w:val="24"/>
        </w:rPr>
        <w:t xml:space="preserve"> as a trigger event</w:t>
      </w:r>
      <w:r w:rsidR="00D22DC8" w:rsidRPr="00C34F13">
        <w:rPr>
          <w:rFonts w:ascii="Arial" w:hAnsi="Arial" w:cs="Arial"/>
          <w:sz w:val="24"/>
          <w:szCs w:val="24"/>
        </w:rPr>
        <w:t>,</w:t>
      </w:r>
      <w:r w:rsidR="00ED41FC" w:rsidRPr="00C34F13">
        <w:rPr>
          <w:rFonts w:ascii="Arial" w:hAnsi="Arial" w:cs="Arial"/>
          <w:sz w:val="24"/>
          <w:szCs w:val="24"/>
        </w:rPr>
        <w:t xml:space="preserve"> the court’s directive in terms of Rule 35(13)</w:t>
      </w:r>
      <w:r w:rsidR="00B250D0" w:rsidRPr="00C34F13">
        <w:rPr>
          <w:rFonts w:ascii="Arial" w:hAnsi="Arial" w:cs="Arial"/>
          <w:sz w:val="24"/>
          <w:szCs w:val="24"/>
        </w:rPr>
        <w:t xml:space="preserve">.  It must be said, however, that </w:t>
      </w:r>
      <w:r w:rsidR="00872A42" w:rsidRPr="00C34F13">
        <w:rPr>
          <w:rFonts w:ascii="Arial" w:hAnsi="Arial" w:cs="Arial"/>
          <w:sz w:val="24"/>
          <w:szCs w:val="24"/>
        </w:rPr>
        <w:t>respondents</w:t>
      </w:r>
      <w:r w:rsidR="00B250D0" w:rsidRPr="00C34F13">
        <w:rPr>
          <w:rFonts w:ascii="Arial" w:hAnsi="Arial" w:cs="Arial"/>
          <w:sz w:val="24"/>
          <w:szCs w:val="24"/>
        </w:rPr>
        <w:t xml:space="preserve"> conceded that Rule 35(14) applies only to action proceedings having regard to the wording of the Rule </w:t>
      </w:r>
      <w:r w:rsidR="002E071C" w:rsidRPr="00C34F13">
        <w:rPr>
          <w:rFonts w:ascii="Arial" w:hAnsi="Arial" w:cs="Arial"/>
          <w:sz w:val="24"/>
          <w:szCs w:val="24"/>
        </w:rPr>
        <w:t>contend</w:t>
      </w:r>
      <w:r w:rsidR="00C343A3" w:rsidRPr="00C34F13">
        <w:rPr>
          <w:rFonts w:ascii="Arial" w:hAnsi="Arial" w:cs="Arial"/>
          <w:sz w:val="24"/>
          <w:szCs w:val="24"/>
        </w:rPr>
        <w:t>ing</w:t>
      </w:r>
      <w:r w:rsidR="002E071C" w:rsidRPr="00C34F13">
        <w:rPr>
          <w:rFonts w:ascii="Arial" w:hAnsi="Arial" w:cs="Arial"/>
          <w:sz w:val="24"/>
          <w:szCs w:val="24"/>
        </w:rPr>
        <w:t xml:space="preserve"> however, </w:t>
      </w:r>
      <w:r w:rsidR="00F263BB" w:rsidRPr="00C34F13">
        <w:rPr>
          <w:rFonts w:ascii="Arial" w:hAnsi="Arial" w:cs="Arial"/>
          <w:sz w:val="24"/>
          <w:szCs w:val="24"/>
        </w:rPr>
        <w:t xml:space="preserve">that if Rule 35(12) was appropriately used, the additional reference to Rule 35(14) is by the way.  </w:t>
      </w:r>
    </w:p>
    <w:p w14:paraId="55DDB9AB" w14:textId="77777777" w:rsidR="00AA045C" w:rsidRDefault="00AA045C" w:rsidP="001F4BB8">
      <w:pPr>
        <w:pStyle w:val="ListParagraph"/>
        <w:spacing w:after="0" w:line="480" w:lineRule="auto"/>
        <w:jc w:val="both"/>
        <w:rPr>
          <w:rFonts w:ascii="Arial" w:hAnsi="Arial" w:cs="Arial"/>
          <w:sz w:val="24"/>
          <w:szCs w:val="24"/>
        </w:rPr>
      </w:pPr>
    </w:p>
    <w:p w14:paraId="56B3B855" w14:textId="5913A93F" w:rsidR="00F263BB" w:rsidRDefault="00F263BB" w:rsidP="001F4BB8">
      <w:pPr>
        <w:pStyle w:val="ListParagraph"/>
        <w:spacing w:after="0" w:line="480" w:lineRule="auto"/>
        <w:ind w:left="0"/>
        <w:jc w:val="both"/>
        <w:rPr>
          <w:rFonts w:ascii="Arial" w:hAnsi="Arial" w:cs="Arial"/>
          <w:b/>
          <w:bCs/>
          <w:sz w:val="24"/>
          <w:szCs w:val="24"/>
          <w:u w:val="single"/>
        </w:rPr>
      </w:pPr>
      <w:r w:rsidRPr="00AA045C">
        <w:rPr>
          <w:rFonts w:ascii="Arial" w:hAnsi="Arial" w:cs="Arial"/>
          <w:b/>
          <w:bCs/>
          <w:sz w:val="24"/>
          <w:szCs w:val="24"/>
          <w:u w:val="single"/>
        </w:rPr>
        <w:t>RULE 35</w:t>
      </w:r>
    </w:p>
    <w:p w14:paraId="16BABA20" w14:textId="1F06BA23" w:rsidR="000A1D81" w:rsidRPr="00C34F13" w:rsidRDefault="00C34F13" w:rsidP="00C34F13">
      <w:pPr>
        <w:spacing w:after="0" w:line="240" w:lineRule="auto"/>
        <w:ind w:left="720" w:hanging="720"/>
        <w:jc w:val="both"/>
        <w:rPr>
          <w:rFonts w:ascii="Arial" w:eastAsia="Times New Roman" w:hAnsi="Arial" w:cs="Arial"/>
          <w:color w:val="000000"/>
          <w:sz w:val="24"/>
          <w:szCs w:val="24"/>
        </w:rPr>
      </w:pPr>
      <w:r w:rsidRPr="005943C9">
        <w:rPr>
          <w:rFonts w:ascii="Arial" w:eastAsia="Times New Roman" w:hAnsi="Arial" w:cs="Arial"/>
          <w:color w:val="000000"/>
          <w:sz w:val="24"/>
          <w:szCs w:val="24"/>
        </w:rPr>
        <w:t>9.</w:t>
      </w:r>
      <w:r w:rsidRPr="005943C9">
        <w:rPr>
          <w:rFonts w:ascii="Arial" w:eastAsia="Times New Roman" w:hAnsi="Arial" w:cs="Arial"/>
          <w:color w:val="000000"/>
          <w:sz w:val="24"/>
          <w:szCs w:val="24"/>
        </w:rPr>
        <w:tab/>
      </w:r>
      <w:r w:rsidR="009D3F15" w:rsidRPr="00C34F13">
        <w:rPr>
          <w:rFonts w:ascii="Arial" w:eastAsia="Times New Roman" w:hAnsi="Arial" w:cs="Arial"/>
          <w:color w:val="000000"/>
          <w:sz w:val="24"/>
          <w:szCs w:val="24"/>
        </w:rPr>
        <w:t xml:space="preserve">Rule </w:t>
      </w:r>
      <w:r w:rsidR="000A1D81" w:rsidRPr="00C34F13">
        <w:rPr>
          <w:rFonts w:ascii="Arial" w:eastAsia="Times New Roman" w:hAnsi="Arial" w:cs="Arial"/>
          <w:color w:val="000000"/>
          <w:sz w:val="24"/>
          <w:szCs w:val="24"/>
        </w:rPr>
        <w:t>35 </w:t>
      </w:r>
      <w:r w:rsidR="009D3F15" w:rsidRPr="00C34F13">
        <w:rPr>
          <w:rFonts w:ascii="Arial" w:eastAsia="Times New Roman" w:hAnsi="Arial" w:cs="Arial"/>
          <w:color w:val="000000"/>
          <w:sz w:val="24"/>
          <w:szCs w:val="24"/>
        </w:rPr>
        <w:t xml:space="preserve">as to </w:t>
      </w:r>
      <w:r w:rsidR="000A1D81" w:rsidRPr="00C34F13">
        <w:rPr>
          <w:rFonts w:ascii="Arial" w:eastAsia="Times New Roman" w:hAnsi="Arial" w:cs="Arial"/>
          <w:color w:val="000000"/>
          <w:sz w:val="24"/>
          <w:szCs w:val="24"/>
        </w:rPr>
        <w:t>Discovery, Inspection and Production of Documents</w:t>
      </w:r>
      <w:r w:rsidR="009D3F15" w:rsidRPr="00C34F13">
        <w:rPr>
          <w:rFonts w:ascii="Arial" w:eastAsia="Times New Roman" w:hAnsi="Arial" w:cs="Arial"/>
          <w:color w:val="000000"/>
          <w:sz w:val="24"/>
          <w:szCs w:val="24"/>
        </w:rPr>
        <w:t xml:space="preserve"> provides as follows:</w:t>
      </w:r>
    </w:p>
    <w:p w14:paraId="14831D3E" w14:textId="77777777" w:rsidR="000A1D81" w:rsidRPr="005943C9" w:rsidRDefault="000A1D81" w:rsidP="00E10784">
      <w:pPr>
        <w:pStyle w:val="ListParagraph"/>
        <w:spacing w:after="0" w:line="480" w:lineRule="auto"/>
        <w:jc w:val="both"/>
        <w:rPr>
          <w:rFonts w:ascii="Arial" w:eastAsia="Times New Roman" w:hAnsi="Arial" w:cs="Arial"/>
          <w:color w:val="000000"/>
          <w:sz w:val="24"/>
          <w:szCs w:val="24"/>
        </w:rPr>
      </w:pPr>
    </w:p>
    <w:p w14:paraId="05058F2C" w14:textId="4F0CC7E6" w:rsidR="000A1D81" w:rsidRPr="0011126A" w:rsidRDefault="0011126A" w:rsidP="0077697B">
      <w:pPr>
        <w:spacing w:after="0" w:line="240" w:lineRule="auto"/>
        <w:ind w:left="1440" w:hanging="720"/>
        <w:jc w:val="both"/>
        <w:rPr>
          <w:rFonts w:ascii="Arial" w:eastAsia="Times New Roman" w:hAnsi="Arial" w:cs="Arial"/>
          <w:color w:val="000000"/>
        </w:rPr>
      </w:pPr>
      <w:bookmarkStart w:id="1" w:name="0-0-0-49693"/>
      <w:bookmarkStart w:id="2" w:name="0-0-0-49695"/>
      <w:bookmarkEnd w:id="1"/>
      <w:bookmarkEnd w:id="2"/>
      <w:r>
        <w:rPr>
          <w:rFonts w:ascii="Arial" w:eastAsia="Times New Roman" w:hAnsi="Arial" w:cs="Arial"/>
          <w:color w:val="000000"/>
        </w:rPr>
        <w:t>“</w:t>
      </w:r>
      <w:r w:rsidR="00C261ED" w:rsidRPr="0011126A">
        <w:rPr>
          <w:rFonts w:ascii="Arial" w:eastAsia="Times New Roman" w:hAnsi="Arial" w:cs="Arial"/>
          <w:color w:val="000000"/>
        </w:rPr>
        <w:t>35(1)</w:t>
      </w:r>
      <w:r w:rsidR="00C261ED" w:rsidRPr="0011126A">
        <w:rPr>
          <w:rFonts w:ascii="Arial" w:eastAsia="Times New Roman" w:hAnsi="Arial" w:cs="Arial"/>
          <w:color w:val="000000"/>
        </w:rPr>
        <w:tab/>
      </w:r>
      <w:r w:rsidR="000A1D81" w:rsidRPr="0011126A">
        <w:rPr>
          <w:rFonts w:ascii="Arial" w:eastAsia="Times New Roman" w:hAnsi="Arial" w:cs="Arial"/>
          <w:color w:val="000000"/>
        </w:rPr>
        <w:t>Any party to any action may require any other party thereto, by notice in writing, to make discovery on oath within 20 days of all documents and tape recordings relating to any matter in question in such action (whether such matter is one arising between the party requiring discovery and the party required to make discovery or not) which are or have at any time been in the possession or control of such other party. Such notice shall not, save with the leave of a judge, be given before the close of pleadings.</w:t>
      </w:r>
    </w:p>
    <w:p w14:paraId="74FE51B7" w14:textId="77777777" w:rsidR="005943C9" w:rsidRPr="0011126A" w:rsidRDefault="005943C9" w:rsidP="0077697B">
      <w:pPr>
        <w:pStyle w:val="ListParagraph"/>
        <w:spacing w:after="0" w:line="240" w:lineRule="auto"/>
        <w:ind w:left="1440"/>
        <w:jc w:val="both"/>
        <w:rPr>
          <w:rFonts w:ascii="Arial" w:eastAsia="Times New Roman" w:hAnsi="Arial" w:cs="Arial"/>
          <w:color w:val="000000"/>
        </w:rPr>
      </w:pPr>
    </w:p>
    <w:p w14:paraId="41522E93"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3" w:name="0-0-0-49697"/>
      <w:bookmarkEnd w:id="3"/>
      <w:r w:rsidRPr="0011126A">
        <w:rPr>
          <w:rFonts w:ascii="Arial" w:eastAsia="Times New Roman" w:hAnsi="Arial" w:cs="Arial"/>
          <w:color w:val="000000"/>
        </w:rPr>
        <w:t xml:space="preserve">(2) </w:t>
      </w:r>
      <w:r w:rsidRPr="0011126A">
        <w:rPr>
          <w:rFonts w:ascii="Arial" w:eastAsia="Times New Roman" w:hAnsi="Arial" w:cs="Arial"/>
          <w:color w:val="000000"/>
        </w:rPr>
        <w:tab/>
        <w:t>The party required to make discovery shall within 20 days or within the time stated in any order of a judge make discovery of such documents on affidavit in accordance with Form 11 of the First Schedule, specifying separately—</w:t>
      </w:r>
    </w:p>
    <w:p w14:paraId="08D1A1F6" w14:textId="77777777" w:rsidR="000A1D81" w:rsidRPr="0011126A" w:rsidRDefault="000A1D81" w:rsidP="0077697B">
      <w:pPr>
        <w:pStyle w:val="ListParagraph"/>
        <w:spacing w:after="0" w:line="240" w:lineRule="auto"/>
        <w:jc w:val="both"/>
        <w:rPr>
          <w:rFonts w:ascii="Arial" w:eastAsia="Times New Roman" w:hAnsi="Arial" w:cs="Arial"/>
          <w:i/>
          <w:iCs/>
          <w:color w:val="000000"/>
        </w:rPr>
      </w:pPr>
      <w:bookmarkStart w:id="4" w:name="0-0-0-49699"/>
      <w:bookmarkEnd w:id="4"/>
    </w:p>
    <w:p w14:paraId="6D3F04B3" w14:textId="77373F14" w:rsidR="000A1D81" w:rsidRPr="0011126A" w:rsidRDefault="000A1D81" w:rsidP="0077697B">
      <w:pPr>
        <w:pStyle w:val="ListParagraph"/>
        <w:spacing w:after="0" w:line="240" w:lineRule="auto"/>
        <w:ind w:left="2160"/>
        <w:jc w:val="both"/>
        <w:rPr>
          <w:rFonts w:ascii="Arial" w:eastAsia="Times New Roman" w:hAnsi="Arial" w:cs="Arial"/>
          <w:color w:val="000000"/>
        </w:rPr>
      </w:pPr>
      <w:r w:rsidRPr="0011126A">
        <w:rPr>
          <w:rFonts w:ascii="Arial" w:eastAsia="Times New Roman" w:hAnsi="Arial" w:cs="Arial"/>
          <w:i/>
          <w:iCs/>
          <w:color w:val="000000"/>
        </w:rPr>
        <w:t>(a)</w:t>
      </w:r>
      <w:r w:rsidRPr="0011126A">
        <w:rPr>
          <w:rFonts w:ascii="Arial" w:eastAsia="Times New Roman" w:hAnsi="Arial" w:cs="Arial"/>
          <w:color w:val="000000"/>
        </w:rPr>
        <w:t> such documents and tape recordings in the possession of a party or such party’s agent other than the documents and tape recordings mentioned in paragraph </w:t>
      </w:r>
      <w:r w:rsidRPr="0011126A">
        <w:rPr>
          <w:rFonts w:ascii="Arial" w:eastAsia="Times New Roman" w:hAnsi="Arial" w:cs="Arial"/>
          <w:i/>
          <w:iCs/>
          <w:color w:val="000000"/>
        </w:rPr>
        <w:t>(b)</w:t>
      </w:r>
      <w:r w:rsidRPr="0011126A">
        <w:rPr>
          <w:rFonts w:ascii="Arial" w:eastAsia="Times New Roman" w:hAnsi="Arial" w:cs="Arial"/>
          <w:color w:val="000000"/>
        </w:rPr>
        <w:t>;</w:t>
      </w:r>
    </w:p>
    <w:p w14:paraId="25A438EC" w14:textId="77777777"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5" w:name="0-0-0-49701"/>
      <w:bookmarkEnd w:id="5"/>
      <w:r w:rsidRPr="0011126A">
        <w:rPr>
          <w:rFonts w:ascii="Arial" w:eastAsia="Times New Roman" w:hAnsi="Arial" w:cs="Arial"/>
          <w:i/>
          <w:iCs/>
          <w:color w:val="000000"/>
        </w:rPr>
        <w:t>(b)</w:t>
      </w:r>
      <w:r w:rsidRPr="0011126A">
        <w:rPr>
          <w:rFonts w:ascii="Arial" w:eastAsia="Times New Roman" w:hAnsi="Arial" w:cs="Arial"/>
          <w:color w:val="000000"/>
        </w:rPr>
        <w:t>  such documents and tape recordings in respect of which such party has a valid objection to produce;</w:t>
      </w:r>
    </w:p>
    <w:p w14:paraId="28286CCF" w14:textId="77777777"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6" w:name="0-0-0-49703"/>
      <w:bookmarkEnd w:id="6"/>
      <w:r w:rsidRPr="0011126A">
        <w:rPr>
          <w:rFonts w:ascii="Arial" w:eastAsia="Times New Roman" w:hAnsi="Arial" w:cs="Arial"/>
          <w:i/>
          <w:iCs/>
          <w:color w:val="000000"/>
        </w:rPr>
        <w:t>(c)</w:t>
      </w:r>
      <w:r w:rsidRPr="0011126A">
        <w:rPr>
          <w:rFonts w:ascii="Arial" w:eastAsia="Times New Roman" w:hAnsi="Arial" w:cs="Arial"/>
          <w:color w:val="000000"/>
        </w:rPr>
        <w:t>  such documents and tape recordings which a party or such party’s agent had, but no longer has possession of at the date of the affidavit.</w:t>
      </w:r>
    </w:p>
    <w:p w14:paraId="31E30815"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6DB9E106" w14:textId="77777777" w:rsidR="000A1D81" w:rsidRPr="0011126A" w:rsidRDefault="000A1D81" w:rsidP="0077697B">
      <w:pPr>
        <w:pStyle w:val="ListParagraph"/>
        <w:spacing w:after="0" w:line="240" w:lineRule="auto"/>
        <w:jc w:val="both"/>
        <w:rPr>
          <w:rFonts w:ascii="Arial" w:eastAsia="Times New Roman" w:hAnsi="Arial" w:cs="Arial"/>
          <w:color w:val="000000"/>
        </w:rPr>
      </w:pPr>
      <w:r w:rsidRPr="0011126A">
        <w:rPr>
          <w:rFonts w:ascii="Arial" w:eastAsia="Times New Roman" w:hAnsi="Arial" w:cs="Arial"/>
          <w:color w:val="000000"/>
        </w:rPr>
        <w:lastRenderedPageBreak/>
        <w:t>A document shall be deemed to be sufficiently specified if it is described as being one of a bundle of documents of a specified nature, which have been initialled and consecutively numbered by the deponent. Statements of witnesses taken for purposes of the proceedings, communications between attorney and client and between attorney and advocate, pleadings, affidavits and notices in the action shall be omitted from the schedules.</w:t>
      </w:r>
    </w:p>
    <w:p w14:paraId="0EFA8364"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3B8F4F7F" w14:textId="5E7ECD8A" w:rsidR="000A1D81" w:rsidRPr="00C34F13" w:rsidRDefault="00C34F13" w:rsidP="00C34F13">
      <w:pPr>
        <w:spacing w:after="0" w:line="240" w:lineRule="auto"/>
        <w:ind w:left="1440" w:hanging="720"/>
        <w:jc w:val="both"/>
        <w:rPr>
          <w:rFonts w:ascii="Arial" w:eastAsia="Times New Roman" w:hAnsi="Arial" w:cs="Arial"/>
          <w:color w:val="000000"/>
        </w:rPr>
      </w:pPr>
      <w:bookmarkStart w:id="7" w:name="0-0-0-25685"/>
      <w:bookmarkEnd w:id="7"/>
      <w:r w:rsidRPr="0011126A">
        <w:rPr>
          <w:rFonts w:ascii="Arial" w:eastAsia="Times New Roman" w:hAnsi="Arial" w:cs="Arial"/>
          <w:color w:val="000000"/>
        </w:rPr>
        <w:t>(3)</w:t>
      </w:r>
      <w:r w:rsidRPr="0011126A">
        <w:rPr>
          <w:rFonts w:ascii="Arial" w:eastAsia="Times New Roman" w:hAnsi="Arial" w:cs="Arial"/>
          <w:color w:val="000000"/>
        </w:rPr>
        <w:tab/>
      </w:r>
      <w:r w:rsidR="000A1D81" w:rsidRPr="00C34F13">
        <w:rPr>
          <w:rFonts w:ascii="Arial" w:eastAsia="Times New Roman" w:hAnsi="Arial" w:cs="Arial"/>
          <w:color w:val="000000"/>
        </w:rPr>
        <w:t>If any party believes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such party to make the same available for inspection in accordance with subrule (6), or to state on oath within 10 days that such documents or tape recordings are not in such party’s possession, in which event the party making the disclosure shall state their whereabouts, if known.</w:t>
      </w:r>
    </w:p>
    <w:p w14:paraId="03E98F83"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323335EF"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8" w:name="0-0-0-49705"/>
      <w:bookmarkEnd w:id="8"/>
      <w:r w:rsidRPr="0011126A">
        <w:rPr>
          <w:rFonts w:ascii="Arial" w:eastAsia="Times New Roman" w:hAnsi="Arial" w:cs="Arial"/>
          <w:color w:val="000000"/>
        </w:rPr>
        <w:t>(4)</w:t>
      </w:r>
      <w:r w:rsidRPr="0011126A">
        <w:rPr>
          <w:rFonts w:ascii="Arial" w:eastAsia="Times New Roman" w:hAnsi="Arial" w:cs="Arial"/>
          <w:color w:val="000000"/>
        </w:rPr>
        <w:tab/>
        <w:t>A document or tape recording not disclosed as aforesaid may not, save with the leave of the court granted on such terms as it may deem appropriate, be used for any purpose at the trial by the party who was obliged but failed to disclose it, provided that any other party may use such document or tape recording.</w:t>
      </w:r>
    </w:p>
    <w:p w14:paraId="71A8E524"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776B95AE" w14:textId="0455A3AD" w:rsidR="000A1D81" w:rsidRPr="0011126A" w:rsidRDefault="000A1D81" w:rsidP="0077697B">
      <w:pPr>
        <w:pStyle w:val="ListParagraph"/>
        <w:tabs>
          <w:tab w:val="left" w:pos="720"/>
        </w:tabs>
        <w:spacing w:after="0" w:line="240" w:lineRule="auto"/>
        <w:ind w:left="2160" w:hanging="1440"/>
        <w:jc w:val="both"/>
        <w:rPr>
          <w:rFonts w:ascii="Arial" w:eastAsia="Times New Roman" w:hAnsi="Arial" w:cs="Arial"/>
          <w:color w:val="000000"/>
        </w:rPr>
      </w:pPr>
      <w:bookmarkStart w:id="9" w:name="0-0-0-49707"/>
      <w:bookmarkEnd w:id="9"/>
      <w:r w:rsidRPr="0011126A">
        <w:rPr>
          <w:rFonts w:ascii="Arial" w:eastAsia="Times New Roman" w:hAnsi="Arial" w:cs="Arial"/>
          <w:color w:val="000000"/>
        </w:rPr>
        <w:t>(5)</w:t>
      </w:r>
      <w:bookmarkStart w:id="10" w:name="0-0-0-49709"/>
      <w:bookmarkEnd w:id="10"/>
      <w:r w:rsidRPr="0011126A">
        <w:rPr>
          <w:rFonts w:ascii="Arial" w:eastAsia="Times New Roman" w:hAnsi="Arial" w:cs="Arial"/>
          <w:color w:val="000000"/>
        </w:rPr>
        <w:tab/>
      </w:r>
      <w:r w:rsidRPr="0011126A">
        <w:rPr>
          <w:rFonts w:ascii="Arial" w:eastAsia="Times New Roman" w:hAnsi="Arial" w:cs="Arial"/>
          <w:i/>
          <w:iCs/>
          <w:color w:val="000000"/>
        </w:rPr>
        <w:t>(a)</w:t>
      </w:r>
      <w:r w:rsidR="005943C9" w:rsidRPr="0011126A">
        <w:rPr>
          <w:rFonts w:ascii="Arial" w:eastAsia="Times New Roman" w:hAnsi="Arial" w:cs="Arial"/>
          <w:i/>
          <w:iCs/>
          <w:color w:val="000000"/>
        </w:rPr>
        <w:tab/>
      </w:r>
      <w:r w:rsidRPr="0011126A">
        <w:rPr>
          <w:rFonts w:ascii="Arial" w:eastAsia="Times New Roman" w:hAnsi="Arial" w:cs="Arial"/>
          <w:color w:val="000000"/>
        </w:rPr>
        <w:t xml:space="preserve">Where the Fund, as defined in the Road Accident Fund Act, </w:t>
      </w:r>
      <w:r w:rsidRPr="0011126A">
        <w:rPr>
          <w:rFonts w:ascii="Arial" w:eastAsia="Times New Roman" w:hAnsi="Arial" w:cs="Arial"/>
        </w:rPr>
        <w:t>1996 (</w:t>
      </w:r>
      <w:hyperlink r:id="rId9" w:tgtFrame="main" w:history="1">
        <w:r w:rsidRPr="0011126A">
          <w:rPr>
            <w:rFonts w:ascii="Arial" w:eastAsia="Times New Roman" w:hAnsi="Arial" w:cs="Arial"/>
          </w:rPr>
          <w:t>Act No. 56 of 1996</w:t>
        </w:r>
      </w:hyperlink>
      <w:r w:rsidRPr="0011126A">
        <w:rPr>
          <w:rFonts w:ascii="Arial" w:eastAsia="Times New Roman" w:hAnsi="Arial" w:cs="Arial"/>
        </w:rPr>
        <w:t xml:space="preserve">), </w:t>
      </w:r>
      <w:r w:rsidRPr="0011126A">
        <w:rPr>
          <w:rFonts w:ascii="Arial" w:eastAsia="Times New Roman" w:hAnsi="Arial" w:cs="Arial"/>
          <w:color w:val="000000"/>
        </w:rPr>
        <w:t>as amended, is a party to any action by virtue of the provisions of the said Act, any party to the action may obtain discovery in the manner provided in paragraph </w:t>
      </w:r>
      <w:r w:rsidRPr="0011126A">
        <w:rPr>
          <w:rFonts w:ascii="Arial" w:eastAsia="Times New Roman" w:hAnsi="Arial" w:cs="Arial"/>
          <w:i/>
          <w:iCs/>
          <w:color w:val="000000"/>
        </w:rPr>
        <w:t>(d)</w:t>
      </w:r>
      <w:r w:rsidRPr="0011126A">
        <w:rPr>
          <w:rFonts w:ascii="Arial" w:eastAsia="Times New Roman" w:hAnsi="Arial" w:cs="Arial"/>
          <w:color w:val="000000"/>
        </w:rPr>
        <w:t> of this subrule against the driver or owner or short term insurer of the vehicle or employer of the driver of the vehicle, referred to in the said Act.</w:t>
      </w:r>
    </w:p>
    <w:p w14:paraId="755A1AEF" w14:textId="77777777"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11" w:name="0-0-0-49711"/>
      <w:bookmarkEnd w:id="11"/>
      <w:r w:rsidRPr="0011126A">
        <w:rPr>
          <w:rFonts w:ascii="Arial" w:eastAsia="Times New Roman" w:hAnsi="Arial" w:cs="Arial"/>
          <w:i/>
          <w:iCs/>
          <w:color w:val="000000"/>
        </w:rPr>
        <w:t>(b)</w:t>
      </w:r>
      <w:r w:rsidRPr="0011126A">
        <w:rPr>
          <w:rFonts w:ascii="Arial" w:eastAsia="Times New Roman" w:hAnsi="Arial" w:cs="Arial"/>
          <w:color w:val="000000"/>
        </w:rPr>
        <w:t> The provisions of paragraph (a) shall apply mutatis mutandis to the driver or owner or short term insurer of the vehicle or employer of the driver of a vehicle referred to in section 21 of the said Act.</w:t>
      </w:r>
    </w:p>
    <w:p w14:paraId="1CC8443A" w14:textId="77777777"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12" w:name="0-0-0-49713"/>
      <w:bookmarkStart w:id="13" w:name="0-0-0-49715"/>
      <w:bookmarkEnd w:id="12"/>
      <w:bookmarkEnd w:id="13"/>
      <w:r w:rsidRPr="0011126A">
        <w:rPr>
          <w:rFonts w:ascii="Arial" w:eastAsia="Times New Roman" w:hAnsi="Arial" w:cs="Arial"/>
          <w:i/>
          <w:iCs/>
          <w:color w:val="000000"/>
        </w:rPr>
        <w:t>(c)</w:t>
      </w:r>
      <w:r w:rsidRPr="0011126A">
        <w:rPr>
          <w:rFonts w:ascii="Arial" w:eastAsia="Times New Roman" w:hAnsi="Arial" w:cs="Arial"/>
          <w:color w:val="000000"/>
        </w:rPr>
        <w:t> Where the plaintiff sues as a cessionary, the defendant shall </w:t>
      </w:r>
      <w:r w:rsidRPr="0011126A">
        <w:rPr>
          <w:rFonts w:ascii="Arial" w:eastAsia="Times New Roman" w:hAnsi="Arial" w:cs="Arial"/>
          <w:i/>
          <w:iCs/>
          <w:color w:val="000000"/>
        </w:rPr>
        <w:t>mutatis mutandis</w:t>
      </w:r>
      <w:r w:rsidRPr="0011126A">
        <w:rPr>
          <w:rFonts w:ascii="Arial" w:eastAsia="Times New Roman" w:hAnsi="Arial" w:cs="Arial"/>
          <w:color w:val="000000"/>
        </w:rPr>
        <w:t> have the same rights under this rule against the cedent.</w:t>
      </w:r>
    </w:p>
    <w:p w14:paraId="49EE3338" w14:textId="77777777"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14" w:name="0-0-0-49717"/>
      <w:bookmarkEnd w:id="14"/>
      <w:r w:rsidRPr="0011126A">
        <w:rPr>
          <w:rFonts w:ascii="Arial" w:eastAsia="Times New Roman" w:hAnsi="Arial" w:cs="Arial"/>
          <w:i/>
          <w:iCs/>
          <w:color w:val="000000"/>
        </w:rPr>
        <w:t>(d)</w:t>
      </w:r>
      <w:r w:rsidRPr="0011126A">
        <w:rPr>
          <w:rFonts w:ascii="Arial" w:eastAsia="Times New Roman" w:hAnsi="Arial" w:cs="Arial"/>
          <w:color w:val="000000"/>
        </w:rPr>
        <w:t> The party requiring discovery in terms of paragraph </w:t>
      </w:r>
      <w:r w:rsidRPr="0011126A">
        <w:rPr>
          <w:rFonts w:ascii="Arial" w:eastAsia="Times New Roman" w:hAnsi="Arial" w:cs="Arial"/>
          <w:i/>
          <w:iCs/>
          <w:color w:val="000000"/>
        </w:rPr>
        <w:t>(a)</w:t>
      </w:r>
      <w:r w:rsidRPr="0011126A">
        <w:rPr>
          <w:rFonts w:ascii="Arial" w:eastAsia="Times New Roman" w:hAnsi="Arial" w:cs="Arial"/>
          <w:color w:val="000000"/>
        </w:rPr>
        <w:t>, </w:t>
      </w:r>
      <w:r w:rsidRPr="0011126A">
        <w:rPr>
          <w:rFonts w:ascii="Arial" w:eastAsia="Times New Roman" w:hAnsi="Arial" w:cs="Arial"/>
          <w:i/>
          <w:iCs/>
          <w:color w:val="000000"/>
        </w:rPr>
        <w:t>(b)</w:t>
      </w:r>
      <w:r w:rsidRPr="0011126A">
        <w:rPr>
          <w:rFonts w:ascii="Arial" w:eastAsia="Times New Roman" w:hAnsi="Arial" w:cs="Arial"/>
          <w:color w:val="000000"/>
        </w:rPr>
        <w:t> or </w:t>
      </w:r>
      <w:r w:rsidRPr="0011126A">
        <w:rPr>
          <w:rFonts w:ascii="Arial" w:eastAsia="Times New Roman" w:hAnsi="Arial" w:cs="Arial"/>
          <w:i/>
          <w:iCs/>
          <w:color w:val="000000"/>
        </w:rPr>
        <w:t>(c)</w:t>
      </w:r>
      <w:r w:rsidRPr="0011126A">
        <w:rPr>
          <w:rFonts w:ascii="Arial" w:eastAsia="Times New Roman" w:hAnsi="Arial" w:cs="Arial"/>
          <w:color w:val="000000"/>
        </w:rPr>
        <w:t> shall do so by notice in accordance with Form 12 of the First Schedule.</w:t>
      </w:r>
    </w:p>
    <w:p w14:paraId="522FD67E"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10446FE0" w14:textId="3F0ED6FC"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r w:rsidRPr="0011126A">
        <w:rPr>
          <w:rFonts w:ascii="Arial" w:eastAsia="Times New Roman" w:hAnsi="Arial" w:cs="Arial"/>
          <w:i/>
          <w:iCs/>
          <w:color w:val="000000"/>
        </w:rPr>
        <w:t>(6)</w:t>
      </w:r>
      <w:r w:rsidR="005943C9" w:rsidRPr="0011126A">
        <w:rPr>
          <w:rFonts w:ascii="Arial" w:eastAsia="Times New Roman" w:hAnsi="Arial" w:cs="Arial"/>
          <w:i/>
          <w:iCs/>
          <w:color w:val="000000"/>
        </w:rPr>
        <w:tab/>
      </w:r>
      <w:r w:rsidRPr="0011126A">
        <w:rPr>
          <w:rFonts w:ascii="Arial" w:eastAsia="Times New Roman" w:hAnsi="Arial" w:cs="Arial"/>
          <w:color w:val="000000"/>
        </w:rPr>
        <w:t>Any party may at any time by notice in accordance with Form 13 of the First Schedule require any party who has made discovery to make available for inspection any documents or tape recordings disclosed in terms of subrules (2) and (3). Such notice shall require the party to whom notice is given to deliver within five days, to the party requesting discovery, a notice in accordance with Form 14 of the First Schedule, stating a time within five days from the delivery of such latter notice when documents or tape recordings may be inspected at the office of such party’s attorney or, if such party is not represented by an attorney, at some convenient place mentioned in the notice, or in the case of bankers’ books or other books of account or books in constant use for the purposes of any trade, business or undertaking, at their usual place of custody. The party receiving such last-named notice shall be entitled at the time therein stated, and for a period of five days thereafter, during normal business hours and on any one or more of such days, to inspect such documents or tape recordings and to take copies or transcriptions thereof. A party’s failure to produce any such document or tape recording for inspection shall preclude such party from using it at the trial, save where the court on good cause shown allows otherwise.</w:t>
      </w:r>
    </w:p>
    <w:p w14:paraId="2C849E85"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76C22C5B"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15" w:name="0-0-0-25687"/>
      <w:bookmarkEnd w:id="15"/>
      <w:r w:rsidRPr="0011126A">
        <w:rPr>
          <w:rFonts w:ascii="Arial" w:eastAsia="Times New Roman" w:hAnsi="Arial" w:cs="Arial"/>
          <w:color w:val="000000"/>
        </w:rPr>
        <w:t>(7)</w:t>
      </w:r>
      <w:r w:rsidRPr="0011126A">
        <w:rPr>
          <w:rFonts w:ascii="Arial" w:eastAsia="Times New Roman" w:hAnsi="Arial" w:cs="Arial"/>
          <w:color w:val="000000"/>
        </w:rPr>
        <w:tab/>
        <w:t>If any party fails to give discovery as aforesaid or, having been served with a notice under subrule (6), omits to give notice of a time for inspection as aforesaid or fails to give inspection as required by that subrule, the party desiring discovery or inspection may apply to a court, which may order compliance with this rule and, failing such compliance, may dismiss the claim or strike out the defence.</w:t>
      </w:r>
    </w:p>
    <w:p w14:paraId="122C894F"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519C650E"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16" w:name="0-0-0-49719"/>
      <w:bookmarkEnd w:id="16"/>
      <w:r w:rsidRPr="0011126A">
        <w:rPr>
          <w:rFonts w:ascii="Arial" w:eastAsia="Times New Roman" w:hAnsi="Arial" w:cs="Arial"/>
          <w:color w:val="000000"/>
        </w:rPr>
        <w:t xml:space="preserve">(8) </w:t>
      </w:r>
      <w:r w:rsidRPr="0011126A">
        <w:rPr>
          <w:rFonts w:ascii="Arial" w:eastAsia="Times New Roman" w:hAnsi="Arial" w:cs="Arial"/>
          <w:color w:val="000000"/>
        </w:rPr>
        <w:tab/>
        <w:t>Any party to an action may after the close of pleadings give notice to any other party to specify in writing particulars of dates and parties of or to any document or tape recording intended to be used at the trial of the action on behalf of the party to whom notice is given. The party receiving such notice shall not less than 15 days before the date of trial deliver a notice—</w:t>
      </w:r>
    </w:p>
    <w:p w14:paraId="77DD9D41" w14:textId="1F59E32F"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17" w:name="0-0-0-49721"/>
      <w:bookmarkEnd w:id="17"/>
      <w:r w:rsidRPr="0011126A">
        <w:rPr>
          <w:rFonts w:ascii="Arial" w:eastAsia="Times New Roman" w:hAnsi="Arial" w:cs="Arial"/>
          <w:i/>
          <w:iCs/>
          <w:color w:val="000000"/>
        </w:rPr>
        <w:t>(a)</w:t>
      </w:r>
      <w:r w:rsidRPr="0011126A">
        <w:rPr>
          <w:rFonts w:ascii="Arial" w:eastAsia="Times New Roman" w:hAnsi="Arial" w:cs="Arial"/>
          <w:color w:val="000000"/>
        </w:rPr>
        <w:t>   specifying the dates of and parties to and the general nature of any such document or tape recording which is in such party’s possession; or</w:t>
      </w:r>
    </w:p>
    <w:p w14:paraId="0BE6B848" w14:textId="7815EAD1" w:rsidR="000A1D81" w:rsidRPr="0011126A" w:rsidRDefault="000A1D81" w:rsidP="0077697B">
      <w:pPr>
        <w:pStyle w:val="ListParagraph"/>
        <w:spacing w:after="0" w:line="240" w:lineRule="auto"/>
        <w:ind w:left="2160"/>
        <w:jc w:val="both"/>
        <w:rPr>
          <w:rFonts w:ascii="Arial" w:eastAsia="Times New Roman" w:hAnsi="Arial" w:cs="Arial"/>
          <w:color w:val="000000"/>
        </w:rPr>
      </w:pPr>
      <w:bookmarkStart w:id="18" w:name="0-0-0-49723"/>
      <w:bookmarkEnd w:id="18"/>
      <w:r w:rsidRPr="0011126A">
        <w:rPr>
          <w:rFonts w:ascii="Arial" w:eastAsia="Times New Roman" w:hAnsi="Arial" w:cs="Arial"/>
          <w:i/>
          <w:iCs/>
          <w:color w:val="000000"/>
        </w:rPr>
        <w:t>(b)</w:t>
      </w:r>
      <w:r w:rsidRPr="0011126A">
        <w:rPr>
          <w:rFonts w:ascii="Arial" w:eastAsia="Times New Roman" w:hAnsi="Arial" w:cs="Arial"/>
          <w:color w:val="000000"/>
        </w:rPr>
        <w:t>   specifying such particulars as the party may have to identify any such document or tape recording not in such party’s possession, at the same time furnishing the name and address of the person in whose possession such document or tape recording is.</w:t>
      </w:r>
    </w:p>
    <w:p w14:paraId="2D386AC3"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75B7083C" w14:textId="68622C54"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19" w:name="0-0-0-49725"/>
      <w:bookmarkEnd w:id="19"/>
      <w:r w:rsidRPr="0011126A">
        <w:rPr>
          <w:rFonts w:ascii="Arial" w:eastAsia="Times New Roman" w:hAnsi="Arial" w:cs="Arial"/>
          <w:color w:val="000000"/>
        </w:rPr>
        <w:t xml:space="preserve">(9) </w:t>
      </w:r>
      <w:r w:rsidRPr="0011126A">
        <w:rPr>
          <w:rFonts w:ascii="Arial" w:eastAsia="Times New Roman" w:hAnsi="Arial" w:cs="Arial"/>
          <w:color w:val="000000"/>
        </w:rPr>
        <w:tab/>
        <w:t>Any party proposing to prove documents or tape recordings at a trial may give notice to any other party requiring him within ten days after the receipt of such notice to admit that those documents or tape recordings were properly executed and are what they purported to be. If the party receiving the said notice does not within the said period so admit, then as against such party the party giving the notice shall be entitled to produce the documents or tape recordings specified at the trial without proof other than proof (if it is disputed) that the documents or tape recordings are the documents or tape recordings referred to in the notice and that the notice was duly given. If the party receiving the notice states that the</w:t>
      </w:r>
      <w:r w:rsidR="005943C9" w:rsidRPr="0011126A">
        <w:rPr>
          <w:rFonts w:ascii="Arial" w:eastAsia="Times New Roman" w:hAnsi="Arial" w:cs="Arial"/>
          <w:color w:val="000000"/>
        </w:rPr>
        <w:t xml:space="preserve"> </w:t>
      </w:r>
      <w:bookmarkStart w:id="20" w:name="0-0-0-49727"/>
      <w:bookmarkEnd w:id="20"/>
      <w:r w:rsidRPr="0011126A">
        <w:rPr>
          <w:rFonts w:ascii="Arial" w:eastAsia="Times New Roman" w:hAnsi="Arial" w:cs="Arial"/>
          <w:color w:val="000000"/>
        </w:rPr>
        <w:t>documents or tape recordings are not admitted as aforesaid, they shall be proved by the party giving the notice before being entitled to use them at the trial, but the party not admitting them may be ordered to pay the costs of their proof.</w:t>
      </w:r>
    </w:p>
    <w:p w14:paraId="09C3D0F3"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3833A42A"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21" w:name="0-0-0-49729"/>
      <w:bookmarkEnd w:id="21"/>
      <w:r w:rsidRPr="0011126A">
        <w:rPr>
          <w:rFonts w:ascii="Arial" w:eastAsia="Times New Roman" w:hAnsi="Arial" w:cs="Arial"/>
          <w:color w:val="000000"/>
        </w:rPr>
        <w:t xml:space="preserve">(10) </w:t>
      </w:r>
      <w:r w:rsidRPr="0011126A">
        <w:rPr>
          <w:rFonts w:ascii="Arial" w:eastAsia="Times New Roman" w:hAnsi="Arial" w:cs="Arial"/>
          <w:color w:val="000000"/>
        </w:rPr>
        <w:tab/>
        <w:t>Any party may give to any other party who has made discovery of a document or tape recording notice to produce at the hearing the original of such document or tape recording, not being a privileged document or tape recording, in such party’s possession. Such notice shall be given not less than five days before the hearing but may, if the court so allows, be given during the course of the hearing. If any such notice is so given, the party giving the same may require the party to whom notice is given to produce the said document or tape recording in court and shall be entitled, without calling any witness, to hand in the said document, which shall be receivable in evidence to the same extent as if it had been produced in evidence by the party to whom notice is given.</w:t>
      </w:r>
    </w:p>
    <w:p w14:paraId="302DA757"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62798467"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22" w:name="0-0-0-49731"/>
      <w:bookmarkEnd w:id="22"/>
      <w:r w:rsidRPr="0011126A">
        <w:rPr>
          <w:rFonts w:ascii="Arial" w:eastAsia="Times New Roman" w:hAnsi="Arial" w:cs="Arial"/>
          <w:color w:val="000000"/>
        </w:rPr>
        <w:t>(11)</w:t>
      </w:r>
      <w:r w:rsidRPr="0011126A">
        <w:rPr>
          <w:rFonts w:ascii="Arial" w:eastAsia="Times New Roman" w:hAnsi="Arial" w:cs="Arial"/>
          <w:color w:val="000000"/>
        </w:rPr>
        <w:tab/>
        <w:t>The court may, during the course of any proceeding, order the production by any party thereto under oath of such documents or tape recordings in such party’s power or control relating to any matter in question in such proceeding as the court may deem appropriate, and the court may deal with such documents or tape recordings, when produced, as it deems appropriate.</w:t>
      </w:r>
    </w:p>
    <w:p w14:paraId="6AD94E6A"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2DA22109"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23" w:name="0-0-0-25689"/>
      <w:bookmarkEnd w:id="23"/>
      <w:r w:rsidRPr="0011126A">
        <w:rPr>
          <w:rFonts w:ascii="Arial" w:eastAsia="Times New Roman" w:hAnsi="Arial" w:cs="Arial"/>
          <w:color w:val="000000"/>
        </w:rPr>
        <w:t>(12)</w:t>
      </w:r>
      <w:r w:rsidRPr="0011126A">
        <w:rPr>
          <w:rFonts w:ascii="Arial" w:eastAsia="Times New Roman" w:hAnsi="Arial" w:cs="Arial"/>
          <w:color w:val="000000"/>
        </w:rPr>
        <w:tab/>
        <w:t>(</w:t>
      </w:r>
      <w:r w:rsidRPr="0011126A">
        <w:rPr>
          <w:rFonts w:ascii="Arial" w:eastAsia="Times New Roman" w:hAnsi="Arial" w:cs="Arial"/>
          <w:i/>
          <w:iCs/>
          <w:color w:val="000000"/>
        </w:rPr>
        <w:t>a)</w:t>
      </w:r>
      <w:r w:rsidRPr="0011126A">
        <w:rPr>
          <w:rFonts w:ascii="Arial" w:eastAsia="Times New Roman" w:hAnsi="Arial" w:cs="Arial"/>
          <w:color w:val="000000"/>
        </w:rPr>
        <w:t xml:space="preserve"> Any party to any proceeding may at any time before the hearing thereof deliver a notice in accordance with Form 15 in the First Schedule to any other </w:t>
      </w:r>
      <w:r w:rsidRPr="0011126A">
        <w:rPr>
          <w:rFonts w:ascii="Arial" w:eastAsia="Times New Roman" w:hAnsi="Arial" w:cs="Arial"/>
          <w:color w:val="000000"/>
        </w:rPr>
        <w:lastRenderedPageBreak/>
        <w:t>party in whose pleadings or affidavits reference is made to any document or tape recording to —</w:t>
      </w:r>
    </w:p>
    <w:p w14:paraId="3FDA18BB" w14:textId="194B7067" w:rsidR="000A1D81" w:rsidRPr="0011126A" w:rsidRDefault="000A1D81" w:rsidP="0077697B">
      <w:pPr>
        <w:pStyle w:val="ListParagraph"/>
        <w:spacing w:after="0" w:line="240" w:lineRule="auto"/>
        <w:ind w:left="1440"/>
        <w:jc w:val="both"/>
        <w:rPr>
          <w:rFonts w:ascii="Arial" w:eastAsia="Times New Roman" w:hAnsi="Arial" w:cs="Arial"/>
          <w:color w:val="000000"/>
        </w:rPr>
      </w:pPr>
      <w:r w:rsidRPr="0011126A">
        <w:rPr>
          <w:rFonts w:ascii="Arial" w:eastAsia="Times New Roman" w:hAnsi="Arial" w:cs="Arial"/>
          <w:color w:val="000000"/>
        </w:rPr>
        <w:t>(i)  produce such document or tape recording for inspection and to permit the party requesting production to make a copy or transcription thereof; or</w:t>
      </w:r>
    </w:p>
    <w:p w14:paraId="2CF39C32" w14:textId="7E23E9BE" w:rsidR="000A1D81" w:rsidRPr="0011126A" w:rsidRDefault="000A1D81" w:rsidP="0077697B">
      <w:pPr>
        <w:pStyle w:val="ListParagraph"/>
        <w:spacing w:after="0" w:line="240" w:lineRule="auto"/>
        <w:ind w:left="1440"/>
        <w:jc w:val="both"/>
        <w:rPr>
          <w:rFonts w:ascii="Arial" w:eastAsia="Times New Roman" w:hAnsi="Arial" w:cs="Arial"/>
          <w:color w:val="000000"/>
        </w:rPr>
      </w:pPr>
      <w:r w:rsidRPr="0011126A">
        <w:rPr>
          <w:rFonts w:ascii="Arial" w:eastAsia="Times New Roman" w:hAnsi="Arial" w:cs="Arial"/>
          <w:color w:val="000000"/>
        </w:rPr>
        <w:t>(ii)  state in writing within 10 days whether the party receiving the notice objects to the production of the document or tape recording and the grounds therefor; or</w:t>
      </w:r>
    </w:p>
    <w:p w14:paraId="18BBF0F9" w14:textId="42CB256B" w:rsidR="000A1D81" w:rsidRPr="0011126A" w:rsidRDefault="000A1D81" w:rsidP="0077697B">
      <w:pPr>
        <w:pStyle w:val="ListParagraph"/>
        <w:spacing w:after="0" w:line="240" w:lineRule="auto"/>
        <w:ind w:left="2160"/>
        <w:jc w:val="both"/>
        <w:rPr>
          <w:rFonts w:ascii="Arial" w:eastAsia="Times New Roman" w:hAnsi="Arial" w:cs="Arial"/>
          <w:color w:val="000000"/>
        </w:rPr>
      </w:pPr>
      <w:r w:rsidRPr="0011126A">
        <w:rPr>
          <w:rFonts w:ascii="Arial" w:eastAsia="Times New Roman" w:hAnsi="Arial" w:cs="Arial"/>
          <w:color w:val="000000"/>
        </w:rPr>
        <w:t>(iii)  state on oath, within 10 days, that such document or tape recording is not in such party’s possession and in such event to state its whereabouts, if known.</w:t>
      </w:r>
    </w:p>
    <w:p w14:paraId="7D184CE1" w14:textId="77777777" w:rsidR="000A1D81" w:rsidRPr="0011126A" w:rsidRDefault="000A1D81" w:rsidP="0077697B">
      <w:pPr>
        <w:pStyle w:val="ListParagraph"/>
        <w:spacing w:after="0" w:line="240" w:lineRule="auto"/>
        <w:ind w:left="1440"/>
        <w:jc w:val="both"/>
        <w:rPr>
          <w:rFonts w:ascii="Arial" w:eastAsia="Times New Roman" w:hAnsi="Arial" w:cs="Arial"/>
          <w:color w:val="000000"/>
        </w:rPr>
      </w:pPr>
      <w:bookmarkStart w:id="24" w:name="0-0-0-49739"/>
      <w:bookmarkEnd w:id="24"/>
      <w:r w:rsidRPr="0011126A">
        <w:rPr>
          <w:rFonts w:ascii="Arial" w:eastAsia="Times New Roman" w:hAnsi="Arial" w:cs="Arial"/>
          <w:i/>
          <w:iCs/>
          <w:color w:val="000000"/>
        </w:rPr>
        <w:t>(b)</w:t>
      </w:r>
      <w:r w:rsidRPr="0011126A">
        <w:rPr>
          <w:rFonts w:ascii="Arial" w:eastAsia="Times New Roman" w:hAnsi="Arial" w:cs="Arial"/>
          <w:color w:val="000000"/>
        </w:rPr>
        <w:t> Any party failing to comply with the notice referred to in paragraph </w:t>
      </w:r>
      <w:r w:rsidRPr="0011126A">
        <w:rPr>
          <w:rFonts w:ascii="Arial" w:eastAsia="Times New Roman" w:hAnsi="Arial" w:cs="Arial"/>
          <w:i/>
          <w:iCs/>
          <w:color w:val="000000"/>
        </w:rPr>
        <w:t>(a)</w:t>
      </w:r>
      <w:r w:rsidRPr="0011126A">
        <w:rPr>
          <w:rFonts w:ascii="Arial" w:eastAsia="Times New Roman" w:hAnsi="Arial" w:cs="Arial"/>
          <w:color w:val="000000"/>
        </w:rPr>
        <w:t> shall not, save with the leave of the court, use such document or tape recording in such proceeding provided that any other party may use such document or tape recording.</w:t>
      </w:r>
    </w:p>
    <w:p w14:paraId="284A5E6F"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48158431"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25" w:name="0-0-0-22687"/>
      <w:bookmarkEnd w:id="25"/>
      <w:r w:rsidRPr="0011126A">
        <w:rPr>
          <w:rFonts w:ascii="Arial" w:eastAsia="Times New Roman" w:hAnsi="Arial" w:cs="Arial"/>
          <w:color w:val="000000"/>
        </w:rPr>
        <w:t>(13)</w:t>
      </w:r>
      <w:r w:rsidRPr="0011126A">
        <w:rPr>
          <w:rFonts w:ascii="Arial" w:eastAsia="Times New Roman" w:hAnsi="Arial" w:cs="Arial"/>
          <w:color w:val="000000"/>
        </w:rPr>
        <w:tab/>
        <w:t>The provisions of this rule relating to discovery shall </w:t>
      </w:r>
      <w:r w:rsidRPr="0011126A">
        <w:rPr>
          <w:rFonts w:ascii="Arial" w:eastAsia="Times New Roman" w:hAnsi="Arial" w:cs="Arial"/>
          <w:i/>
          <w:iCs/>
          <w:color w:val="000000"/>
        </w:rPr>
        <w:t>mutatis mutandis</w:t>
      </w:r>
      <w:r w:rsidRPr="0011126A">
        <w:rPr>
          <w:rFonts w:ascii="Arial" w:eastAsia="Times New Roman" w:hAnsi="Arial" w:cs="Arial"/>
          <w:color w:val="000000"/>
        </w:rPr>
        <w:t> apply, in so far as the court may direct, to applications.</w:t>
      </w:r>
    </w:p>
    <w:p w14:paraId="7C7D2AA8"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68DA6D95" w14:textId="77777777" w:rsidR="000A1D81" w:rsidRPr="0011126A" w:rsidRDefault="000A1D81" w:rsidP="0077697B">
      <w:pPr>
        <w:pStyle w:val="ListParagraph"/>
        <w:spacing w:after="0" w:line="240" w:lineRule="auto"/>
        <w:ind w:left="1440" w:hanging="720"/>
        <w:jc w:val="both"/>
        <w:rPr>
          <w:rFonts w:ascii="Arial" w:eastAsia="Times New Roman" w:hAnsi="Arial" w:cs="Arial"/>
          <w:color w:val="000000"/>
        </w:rPr>
      </w:pPr>
      <w:bookmarkStart w:id="26" w:name="0-0-0-49741"/>
      <w:bookmarkEnd w:id="26"/>
      <w:r w:rsidRPr="0011126A">
        <w:rPr>
          <w:rFonts w:ascii="Arial" w:eastAsia="Times New Roman" w:hAnsi="Arial" w:cs="Arial"/>
          <w:color w:val="000000"/>
        </w:rPr>
        <w:t xml:space="preserve">(14) </w:t>
      </w:r>
      <w:r w:rsidRPr="0011126A">
        <w:rPr>
          <w:rFonts w:ascii="Arial" w:eastAsia="Times New Roman" w:hAnsi="Arial" w:cs="Arial"/>
          <w:color w:val="000000"/>
        </w:rPr>
        <w:tab/>
        <w:t>After appearance to defend has been entered, any party to any action may, for purposes of pleading, require any other party to —</w:t>
      </w:r>
    </w:p>
    <w:p w14:paraId="1EAAE564" w14:textId="06675C68" w:rsidR="000A1D81" w:rsidRPr="0011126A" w:rsidRDefault="000A1D81" w:rsidP="0077697B">
      <w:pPr>
        <w:pStyle w:val="ListParagraph"/>
        <w:spacing w:after="0" w:line="240" w:lineRule="auto"/>
        <w:ind w:left="1440"/>
        <w:jc w:val="both"/>
        <w:rPr>
          <w:rFonts w:ascii="Arial" w:eastAsia="Times New Roman" w:hAnsi="Arial" w:cs="Arial"/>
          <w:color w:val="000000"/>
        </w:rPr>
      </w:pPr>
      <w:bookmarkStart w:id="27" w:name="0-0-0-49743"/>
      <w:bookmarkEnd w:id="27"/>
      <w:r w:rsidRPr="0011126A">
        <w:rPr>
          <w:rFonts w:ascii="Arial" w:eastAsia="Times New Roman" w:hAnsi="Arial" w:cs="Arial"/>
          <w:i/>
          <w:iCs/>
          <w:color w:val="000000"/>
        </w:rPr>
        <w:t>(a)</w:t>
      </w:r>
      <w:r w:rsidRPr="0011126A">
        <w:rPr>
          <w:rFonts w:ascii="Arial" w:eastAsia="Times New Roman" w:hAnsi="Arial" w:cs="Arial"/>
          <w:color w:val="000000"/>
        </w:rPr>
        <w:t>   make available for inspection within five days a clearly specified document or tape recording in such party’s possession which is relevant to a reasonably anticipated issue in the action and to allow a copy or transcription to be made thereof; or</w:t>
      </w:r>
    </w:p>
    <w:p w14:paraId="1D2EF543" w14:textId="4650AFCA" w:rsidR="000A1D81" w:rsidRPr="0011126A" w:rsidRDefault="000A1D81" w:rsidP="0077697B">
      <w:pPr>
        <w:pStyle w:val="ListParagraph"/>
        <w:spacing w:after="0" w:line="240" w:lineRule="auto"/>
        <w:ind w:left="1440"/>
        <w:jc w:val="both"/>
        <w:rPr>
          <w:rFonts w:ascii="Arial" w:eastAsia="Times New Roman" w:hAnsi="Arial" w:cs="Arial"/>
          <w:color w:val="000000"/>
        </w:rPr>
      </w:pPr>
      <w:bookmarkStart w:id="28" w:name="0-0-0-49745"/>
      <w:bookmarkEnd w:id="28"/>
      <w:r w:rsidRPr="0011126A">
        <w:rPr>
          <w:rFonts w:ascii="Arial" w:eastAsia="Times New Roman" w:hAnsi="Arial" w:cs="Arial"/>
          <w:i/>
          <w:iCs/>
          <w:color w:val="000000"/>
        </w:rPr>
        <w:t>(b)</w:t>
      </w:r>
      <w:r w:rsidRPr="0011126A">
        <w:rPr>
          <w:rFonts w:ascii="Arial" w:eastAsia="Times New Roman" w:hAnsi="Arial" w:cs="Arial"/>
          <w:color w:val="000000"/>
        </w:rPr>
        <w:t>   state in writing within 10 days whether the party receiving the notice objects to the production of the document or tape recording and the grounds therefor; or</w:t>
      </w:r>
    </w:p>
    <w:p w14:paraId="2D83CD34" w14:textId="2074A017" w:rsidR="000A1D81" w:rsidRPr="0011126A" w:rsidRDefault="000A1D81" w:rsidP="0077697B">
      <w:pPr>
        <w:pStyle w:val="ListParagraph"/>
        <w:spacing w:after="0" w:line="240" w:lineRule="auto"/>
        <w:ind w:left="1440"/>
        <w:jc w:val="both"/>
        <w:rPr>
          <w:rFonts w:ascii="Arial" w:eastAsia="Times New Roman" w:hAnsi="Arial" w:cs="Arial"/>
          <w:color w:val="000000"/>
        </w:rPr>
      </w:pPr>
      <w:bookmarkStart w:id="29" w:name="0-0-0-49747"/>
      <w:bookmarkEnd w:id="29"/>
      <w:r w:rsidRPr="0011126A">
        <w:rPr>
          <w:rFonts w:ascii="Arial" w:eastAsia="Times New Roman" w:hAnsi="Arial" w:cs="Arial"/>
          <w:i/>
          <w:iCs/>
          <w:color w:val="000000"/>
        </w:rPr>
        <w:t>(c)</w:t>
      </w:r>
      <w:r w:rsidRPr="0011126A">
        <w:rPr>
          <w:rFonts w:ascii="Arial" w:eastAsia="Times New Roman" w:hAnsi="Arial" w:cs="Arial"/>
          <w:color w:val="000000"/>
        </w:rPr>
        <w:t>   state on oath, within 10 days, that such document or tape recording is not in such party’s possession and in such event to state its whereabouts, if known.</w:t>
      </w:r>
    </w:p>
    <w:p w14:paraId="346410C5" w14:textId="77777777" w:rsidR="000A1D81" w:rsidRPr="0011126A" w:rsidRDefault="000A1D81" w:rsidP="0077697B">
      <w:pPr>
        <w:pStyle w:val="ListParagraph"/>
        <w:spacing w:after="0" w:line="240" w:lineRule="auto"/>
        <w:jc w:val="both"/>
        <w:rPr>
          <w:rFonts w:ascii="Arial" w:eastAsia="Times New Roman" w:hAnsi="Arial" w:cs="Arial"/>
          <w:color w:val="000000"/>
        </w:rPr>
      </w:pPr>
    </w:p>
    <w:p w14:paraId="7DE416FA" w14:textId="77777777" w:rsidR="000A1D81" w:rsidRPr="0011126A" w:rsidRDefault="000A1D81" w:rsidP="0077697B">
      <w:pPr>
        <w:pStyle w:val="ListParagraph"/>
        <w:spacing w:after="0" w:line="240" w:lineRule="auto"/>
        <w:jc w:val="both"/>
        <w:rPr>
          <w:rFonts w:ascii="Arial" w:eastAsia="Times New Roman" w:hAnsi="Arial" w:cs="Arial"/>
          <w:color w:val="000000"/>
        </w:rPr>
      </w:pPr>
      <w:bookmarkStart w:id="30" w:name="0-0-0-49749"/>
      <w:bookmarkStart w:id="31" w:name="0-0-0-49751"/>
      <w:bookmarkEnd w:id="30"/>
      <w:bookmarkEnd w:id="31"/>
      <w:r w:rsidRPr="0011126A">
        <w:rPr>
          <w:rFonts w:ascii="Arial" w:eastAsia="Times New Roman" w:hAnsi="Arial" w:cs="Arial"/>
          <w:color w:val="000000"/>
        </w:rPr>
        <w:t xml:space="preserve">(15) </w:t>
      </w:r>
      <w:r w:rsidRPr="0011126A">
        <w:rPr>
          <w:rFonts w:ascii="Arial" w:eastAsia="Times New Roman" w:hAnsi="Arial" w:cs="Arial"/>
          <w:color w:val="000000"/>
        </w:rPr>
        <w:tab/>
        <w:t>For purposes of rules 35 and 38 —</w:t>
      </w:r>
    </w:p>
    <w:p w14:paraId="3252649D" w14:textId="2FF31730" w:rsidR="000A1D81" w:rsidRPr="0011126A" w:rsidRDefault="000A1D81" w:rsidP="0077697B">
      <w:pPr>
        <w:pStyle w:val="ListParagraph"/>
        <w:spacing w:after="0" w:line="240" w:lineRule="auto"/>
        <w:ind w:left="1440"/>
        <w:jc w:val="both"/>
        <w:rPr>
          <w:rFonts w:ascii="Arial" w:eastAsia="Times New Roman" w:hAnsi="Arial" w:cs="Arial"/>
          <w:color w:val="000000"/>
        </w:rPr>
      </w:pPr>
      <w:bookmarkStart w:id="32" w:name="0-0-0-49753"/>
      <w:bookmarkEnd w:id="32"/>
      <w:r w:rsidRPr="0011126A">
        <w:rPr>
          <w:rFonts w:ascii="Arial" w:eastAsia="Times New Roman" w:hAnsi="Arial" w:cs="Arial"/>
          <w:i/>
          <w:iCs/>
          <w:color w:val="000000"/>
        </w:rPr>
        <w:t>(a)</w:t>
      </w:r>
      <w:r w:rsidRPr="0011126A">
        <w:rPr>
          <w:rFonts w:ascii="Arial" w:eastAsia="Times New Roman" w:hAnsi="Arial" w:cs="Arial"/>
          <w:color w:val="000000"/>
        </w:rPr>
        <w:t xml:space="preserve">   a document includes any written, printed or electronic matter, and data and data messages as defined in the Electronic Communications and Transactions Act, </w:t>
      </w:r>
      <w:r w:rsidRPr="0011126A">
        <w:rPr>
          <w:rFonts w:ascii="Arial" w:eastAsia="Times New Roman" w:hAnsi="Arial" w:cs="Arial"/>
        </w:rPr>
        <w:t>2002 (</w:t>
      </w:r>
      <w:hyperlink r:id="rId10" w:tgtFrame="main" w:history="1">
        <w:r w:rsidRPr="0011126A">
          <w:rPr>
            <w:rFonts w:ascii="Arial" w:eastAsia="Times New Roman" w:hAnsi="Arial" w:cs="Arial"/>
          </w:rPr>
          <w:t>Act No. 25 of 2002</w:t>
        </w:r>
      </w:hyperlink>
      <w:r w:rsidRPr="0011126A">
        <w:rPr>
          <w:rFonts w:ascii="Arial" w:eastAsia="Times New Roman" w:hAnsi="Arial" w:cs="Arial"/>
        </w:rPr>
        <w:t xml:space="preserve">); </w:t>
      </w:r>
      <w:r w:rsidRPr="0011126A">
        <w:rPr>
          <w:rFonts w:ascii="Arial" w:eastAsia="Times New Roman" w:hAnsi="Arial" w:cs="Arial"/>
          <w:color w:val="000000"/>
        </w:rPr>
        <w:t>and</w:t>
      </w:r>
    </w:p>
    <w:p w14:paraId="1DEAB52D" w14:textId="4962821F" w:rsidR="000A1D81" w:rsidRPr="0011126A" w:rsidRDefault="000A1D81" w:rsidP="0077697B">
      <w:pPr>
        <w:pStyle w:val="ListParagraph"/>
        <w:spacing w:after="0" w:line="240" w:lineRule="auto"/>
        <w:ind w:left="1440"/>
        <w:jc w:val="both"/>
        <w:rPr>
          <w:rFonts w:ascii="Arial" w:eastAsia="Times New Roman" w:hAnsi="Arial" w:cs="Arial"/>
          <w:color w:val="000000"/>
        </w:rPr>
      </w:pPr>
      <w:bookmarkStart w:id="33" w:name="0-0-0-49755"/>
      <w:bookmarkEnd w:id="33"/>
      <w:r w:rsidRPr="0011126A">
        <w:rPr>
          <w:rFonts w:ascii="Arial" w:eastAsia="Times New Roman" w:hAnsi="Arial" w:cs="Arial"/>
          <w:i/>
          <w:iCs/>
          <w:color w:val="000000"/>
        </w:rPr>
        <w:t>(b)</w:t>
      </w:r>
      <w:r w:rsidRPr="0011126A">
        <w:rPr>
          <w:rFonts w:ascii="Arial" w:eastAsia="Times New Roman" w:hAnsi="Arial" w:cs="Arial"/>
          <w:color w:val="000000"/>
        </w:rPr>
        <w:t>   a tape recording includes a sound track, film, magnetic tape, record or other material on which visual images, sound or other information can be recorded or any other form of recording.</w:t>
      </w:r>
    </w:p>
    <w:p w14:paraId="375B295C" w14:textId="5064914E" w:rsidR="00F263BB" w:rsidRPr="005943C9" w:rsidRDefault="00F263BB" w:rsidP="000A1D81">
      <w:pPr>
        <w:pStyle w:val="ListParagraph"/>
        <w:spacing w:after="0" w:line="480" w:lineRule="auto"/>
        <w:jc w:val="both"/>
        <w:rPr>
          <w:rFonts w:ascii="Arial" w:hAnsi="Arial" w:cs="Arial"/>
          <w:sz w:val="24"/>
          <w:szCs w:val="24"/>
        </w:rPr>
      </w:pPr>
    </w:p>
    <w:p w14:paraId="7ABDB3CB" w14:textId="388927A4" w:rsidR="0046147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6147B" w:rsidRPr="00C34F13">
        <w:rPr>
          <w:rFonts w:ascii="Arial" w:hAnsi="Arial" w:cs="Arial"/>
          <w:sz w:val="24"/>
          <w:szCs w:val="24"/>
        </w:rPr>
        <w:t>It is also relevant to set out the relevant definitions in Rule 1 as follows:</w:t>
      </w:r>
    </w:p>
    <w:p w14:paraId="785734C6" w14:textId="10AFD107" w:rsidR="0046147B" w:rsidRDefault="0046147B" w:rsidP="001F4BB8">
      <w:pPr>
        <w:pStyle w:val="ListParagraph"/>
        <w:spacing w:after="0" w:line="480" w:lineRule="auto"/>
        <w:jc w:val="both"/>
        <w:rPr>
          <w:rFonts w:ascii="Arial" w:hAnsi="Arial" w:cs="Arial"/>
          <w:sz w:val="24"/>
          <w:szCs w:val="24"/>
        </w:rPr>
      </w:pPr>
    </w:p>
    <w:p w14:paraId="52880319" w14:textId="7A726556" w:rsidR="0046147B" w:rsidRPr="001F4BB8" w:rsidRDefault="0031599C" w:rsidP="001F4BB8">
      <w:pPr>
        <w:pStyle w:val="ListParagraph"/>
        <w:spacing w:after="0" w:line="360" w:lineRule="auto"/>
        <w:ind w:left="1080"/>
        <w:jc w:val="both"/>
        <w:rPr>
          <w:rFonts w:ascii="Arial" w:hAnsi="Arial" w:cs="Arial"/>
        </w:rPr>
      </w:pPr>
      <w:r w:rsidRPr="001F4BB8">
        <w:rPr>
          <w:rFonts w:ascii="Arial" w:hAnsi="Arial" w:cs="Arial"/>
        </w:rPr>
        <w:t>“</w:t>
      </w:r>
      <w:r w:rsidR="0077697B">
        <w:rPr>
          <w:rFonts w:ascii="Arial" w:hAnsi="Arial" w:cs="Arial"/>
        </w:rPr>
        <w:t>10.1</w:t>
      </w:r>
      <w:r w:rsidR="0077697B">
        <w:rPr>
          <w:rFonts w:ascii="Arial" w:hAnsi="Arial" w:cs="Arial"/>
        </w:rPr>
        <w:tab/>
      </w:r>
      <w:r w:rsidR="0046147B" w:rsidRPr="001F4BB8">
        <w:rPr>
          <w:rFonts w:ascii="Arial" w:hAnsi="Arial" w:cs="Arial"/>
        </w:rPr>
        <w:t xml:space="preserve">Proceedings” is not defined.  </w:t>
      </w:r>
    </w:p>
    <w:p w14:paraId="4BCB19F1" w14:textId="28132CBE" w:rsidR="0046147B" w:rsidRPr="001F4BB8" w:rsidRDefault="0077697B" w:rsidP="0077697B">
      <w:pPr>
        <w:pStyle w:val="ListParagraph"/>
        <w:spacing w:after="0" w:line="360" w:lineRule="auto"/>
        <w:ind w:left="2160" w:hanging="1080"/>
        <w:jc w:val="both"/>
        <w:rPr>
          <w:rFonts w:ascii="Arial" w:hAnsi="Arial" w:cs="Arial"/>
        </w:rPr>
      </w:pPr>
      <w:r>
        <w:rPr>
          <w:rFonts w:ascii="Arial" w:hAnsi="Arial" w:cs="Arial"/>
        </w:rPr>
        <w:t>10.2</w:t>
      </w:r>
      <w:r>
        <w:rPr>
          <w:rFonts w:ascii="Arial" w:hAnsi="Arial" w:cs="Arial"/>
        </w:rPr>
        <w:tab/>
      </w:r>
      <w:r w:rsidR="0031599C" w:rsidRPr="001F4BB8">
        <w:rPr>
          <w:rFonts w:ascii="Arial" w:hAnsi="Arial" w:cs="Arial"/>
        </w:rPr>
        <w:t>The word “action” is defined to mean “…a proceeding commenced by summons”.</w:t>
      </w:r>
    </w:p>
    <w:p w14:paraId="434B73DC" w14:textId="36A9C51A" w:rsidR="0031599C" w:rsidRPr="001F4BB8" w:rsidRDefault="0077697B" w:rsidP="0077697B">
      <w:pPr>
        <w:pStyle w:val="ListParagraph"/>
        <w:spacing w:after="0" w:line="360" w:lineRule="auto"/>
        <w:ind w:left="2160" w:hanging="1080"/>
        <w:jc w:val="both"/>
        <w:rPr>
          <w:rFonts w:ascii="Arial" w:hAnsi="Arial" w:cs="Arial"/>
        </w:rPr>
      </w:pPr>
      <w:r>
        <w:rPr>
          <w:rFonts w:ascii="Arial" w:hAnsi="Arial" w:cs="Arial"/>
        </w:rPr>
        <w:t>10.3</w:t>
      </w:r>
      <w:r>
        <w:rPr>
          <w:rFonts w:ascii="Arial" w:hAnsi="Arial" w:cs="Arial"/>
        </w:rPr>
        <w:tab/>
      </w:r>
      <w:r w:rsidR="00FE2AF9" w:rsidRPr="001F4BB8">
        <w:rPr>
          <w:rFonts w:ascii="Arial" w:hAnsi="Arial" w:cs="Arial"/>
        </w:rPr>
        <w:t>The word “application” is defined to mean “… a proceeding commenced by notice of motion or other forms of applications provided for by Rule 6.</w:t>
      </w:r>
      <w:r>
        <w:rPr>
          <w:rFonts w:ascii="Arial" w:hAnsi="Arial" w:cs="Arial"/>
        </w:rPr>
        <w:t>”</w:t>
      </w:r>
    </w:p>
    <w:p w14:paraId="762ED555" w14:textId="77777777" w:rsidR="00FE2AF9" w:rsidRDefault="00FE2AF9" w:rsidP="001F4BB8">
      <w:pPr>
        <w:pStyle w:val="ListParagraph"/>
        <w:spacing w:after="0" w:line="480" w:lineRule="auto"/>
        <w:ind w:left="1080"/>
        <w:jc w:val="both"/>
        <w:rPr>
          <w:rFonts w:ascii="Arial" w:hAnsi="Arial" w:cs="Arial"/>
          <w:sz w:val="24"/>
          <w:szCs w:val="24"/>
        </w:rPr>
      </w:pPr>
    </w:p>
    <w:p w14:paraId="6E4F2F2D" w14:textId="752C1588" w:rsidR="0046147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FE2AF9" w:rsidRPr="00C34F13">
        <w:rPr>
          <w:rFonts w:ascii="Arial" w:hAnsi="Arial" w:cs="Arial"/>
          <w:sz w:val="24"/>
          <w:szCs w:val="24"/>
        </w:rPr>
        <w:t xml:space="preserve">Turning firstly to Rule 35 itself, it should be noted that the original Rule 30(5) was later repealed and substituted with the current Rule 30A dealing with </w:t>
      </w:r>
      <w:r w:rsidR="002D5993" w:rsidRPr="00C34F13">
        <w:rPr>
          <w:rFonts w:ascii="Arial" w:hAnsi="Arial" w:cs="Arial"/>
          <w:sz w:val="24"/>
          <w:szCs w:val="24"/>
        </w:rPr>
        <w:t>the procedure to be adopted where a party fails to comply with the Rules or with a request made or notice giv</w:t>
      </w:r>
      <w:r w:rsidR="000A1D72" w:rsidRPr="00C34F13">
        <w:rPr>
          <w:rFonts w:ascii="Arial" w:hAnsi="Arial" w:cs="Arial"/>
          <w:sz w:val="24"/>
          <w:szCs w:val="24"/>
        </w:rPr>
        <w:t>e</w:t>
      </w:r>
      <w:r w:rsidR="002D5993" w:rsidRPr="00C34F13">
        <w:rPr>
          <w:rFonts w:ascii="Arial" w:hAnsi="Arial" w:cs="Arial"/>
          <w:sz w:val="24"/>
          <w:szCs w:val="24"/>
        </w:rPr>
        <w:t xml:space="preserve">n pursuant thereto.  </w:t>
      </w:r>
    </w:p>
    <w:p w14:paraId="5B251BA7" w14:textId="6C832204" w:rsidR="00866867" w:rsidRDefault="00866867" w:rsidP="001F4BB8">
      <w:pPr>
        <w:pStyle w:val="ListParagraph"/>
        <w:spacing w:after="0" w:line="480" w:lineRule="auto"/>
        <w:jc w:val="both"/>
        <w:rPr>
          <w:rFonts w:ascii="Arial" w:hAnsi="Arial" w:cs="Arial"/>
          <w:sz w:val="24"/>
          <w:szCs w:val="24"/>
        </w:rPr>
      </w:pPr>
    </w:p>
    <w:p w14:paraId="77A78A3A" w14:textId="7A0A33D3" w:rsidR="00AB1D0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66867" w:rsidRPr="00C34F13">
        <w:rPr>
          <w:rFonts w:ascii="Arial" w:hAnsi="Arial" w:cs="Arial"/>
          <w:sz w:val="24"/>
          <w:szCs w:val="24"/>
        </w:rPr>
        <w:t xml:space="preserve">It has been emphasized </w:t>
      </w:r>
      <w:r w:rsidR="00F548D5" w:rsidRPr="00C34F13">
        <w:rPr>
          <w:rFonts w:ascii="Arial" w:hAnsi="Arial" w:cs="Arial"/>
          <w:sz w:val="24"/>
          <w:szCs w:val="24"/>
        </w:rPr>
        <w:t xml:space="preserve">in </w:t>
      </w:r>
      <w:r w:rsidR="00A313C4" w:rsidRPr="00C34F13">
        <w:rPr>
          <w:rFonts w:ascii="Arial" w:hAnsi="Arial" w:cs="Arial"/>
          <w:b/>
          <w:bCs/>
          <w:sz w:val="24"/>
          <w:szCs w:val="24"/>
        </w:rPr>
        <w:t>Caxton and CTP Publishers and Printers Ltd and Novus Holdings Ltd</w:t>
      </w:r>
      <w:r w:rsidR="00A313C4">
        <w:rPr>
          <w:rStyle w:val="FootnoteReference"/>
          <w:rFonts w:ascii="Arial" w:hAnsi="Arial" w:cs="Arial"/>
          <w:b/>
          <w:bCs/>
          <w:sz w:val="24"/>
          <w:szCs w:val="24"/>
        </w:rPr>
        <w:footnoteReference w:id="1"/>
      </w:r>
      <w:r w:rsidR="00E8757A" w:rsidRPr="00C34F13">
        <w:rPr>
          <w:rFonts w:ascii="Arial" w:hAnsi="Arial" w:cs="Arial"/>
          <w:b/>
          <w:bCs/>
          <w:sz w:val="24"/>
          <w:szCs w:val="24"/>
        </w:rPr>
        <w:t xml:space="preserve"> </w:t>
      </w:r>
      <w:r w:rsidR="00866867" w:rsidRPr="00C34F13">
        <w:rPr>
          <w:rFonts w:ascii="Arial" w:hAnsi="Arial" w:cs="Arial"/>
          <w:sz w:val="24"/>
          <w:szCs w:val="24"/>
        </w:rPr>
        <w:t>that the underlying purpose for production of documents for inspection and copying or transcribing</w:t>
      </w:r>
      <w:r w:rsidR="0077697B" w:rsidRPr="00C34F13">
        <w:rPr>
          <w:rFonts w:ascii="Arial" w:hAnsi="Arial" w:cs="Arial"/>
          <w:sz w:val="24"/>
          <w:szCs w:val="24"/>
        </w:rPr>
        <w:t>,</w:t>
      </w:r>
      <w:r w:rsidR="00866867" w:rsidRPr="00C34F13">
        <w:rPr>
          <w:rFonts w:ascii="Arial" w:hAnsi="Arial" w:cs="Arial"/>
          <w:sz w:val="24"/>
          <w:szCs w:val="24"/>
        </w:rPr>
        <w:t xml:space="preserve"> as part of the broader discovery mechanism</w:t>
      </w:r>
      <w:r w:rsidR="0077697B" w:rsidRPr="00C34F13">
        <w:rPr>
          <w:rFonts w:ascii="Arial" w:hAnsi="Arial" w:cs="Arial"/>
          <w:sz w:val="24"/>
          <w:szCs w:val="24"/>
        </w:rPr>
        <w:t>,</w:t>
      </w:r>
      <w:r w:rsidR="004123D0" w:rsidRPr="00C34F13">
        <w:rPr>
          <w:rFonts w:ascii="Arial" w:hAnsi="Arial" w:cs="Arial"/>
          <w:sz w:val="24"/>
          <w:szCs w:val="24"/>
        </w:rPr>
        <w:t xml:space="preserve"> is to assist the parties and the court in discovering the truth and to promote a just and expeditious determination of the case.</w:t>
      </w:r>
      <w:r w:rsidR="00E8757A">
        <w:rPr>
          <w:rStyle w:val="FootnoteReference"/>
          <w:rFonts w:ascii="Arial" w:hAnsi="Arial" w:cs="Arial"/>
          <w:sz w:val="24"/>
          <w:szCs w:val="24"/>
        </w:rPr>
        <w:footnoteReference w:id="2"/>
      </w:r>
      <w:r w:rsidR="004123D0" w:rsidRPr="00C34F13">
        <w:rPr>
          <w:rFonts w:ascii="Arial" w:hAnsi="Arial" w:cs="Arial"/>
          <w:sz w:val="24"/>
          <w:szCs w:val="24"/>
        </w:rPr>
        <w:t xml:space="preserve">  </w:t>
      </w:r>
    </w:p>
    <w:p w14:paraId="716EC077" w14:textId="77777777" w:rsidR="00AB1D0B" w:rsidRPr="00AB1D0B" w:rsidRDefault="00AB1D0B" w:rsidP="001F4BB8">
      <w:pPr>
        <w:pStyle w:val="ListParagraph"/>
        <w:spacing w:line="480" w:lineRule="auto"/>
        <w:rPr>
          <w:rFonts w:ascii="Arial" w:hAnsi="Arial" w:cs="Arial"/>
          <w:sz w:val="24"/>
          <w:szCs w:val="24"/>
        </w:rPr>
      </w:pPr>
    </w:p>
    <w:p w14:paraId="07B0C1FD" w14:textId="4F399A8D" w:rsidR="00AB1D0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40CB3" w:rsidRPr="00C34F13">
        <w:rPr>
          <w:rFonts w:ascii="Arial" w:hAnsi="Arial" w:cs="Arial"/>
          <w:sz w:val="24"/>
          <w:szCs w:val="24"/>
        </w:rPr>
        <w:t xml:space="preserve">As was pointed out in </w:t>
      </w:r>
      <w:r w:rsidR="00940CB3" w:rsidRPr="00C34F13">
        <w:rPr>
          <w:rFonts w:ascii="Arial" w:hAnsi="Arial" w:cs="Arial"/>
          <w:b/>
          <w:bCs/>
          <w:sz w:val="24"/>
          <w:szCs w:val="24"/>
        </w:rPr>
        <w:t>Gorfinkel v Gross</w:t>
      </w:r>
      <w:r w:rsidR="00165099" w:rsidRPr="00C34F13">
        <w:rPr>
          <w:rFonts w:ascii="Arial" w:hAnsi="Arial" w:cs="Arial"/>
          <w:b/>
          <w:bCs/>
          <w:sz w:val="24"/>
          <w:szCs w:val="24"/>
        </w:rPr>
        <w:t>, Hendler and Frank</w:t>
      </w:r>
      <w:r w:rsidR="00AB1D0B">
        <w:rPr>
          <w:rStyle w:val="FootnoteReference"/>
          <w:rFonts w:ascii="Arial" w:hAnsi="Arial" w:cs="Arial"/>
          <w:sz w:val="24"/>
          <w:szCs w:val="24"/>
        </w:rPr>
        <w:footnoteReference w:id="3"/>
      </w:r>
      <w:r w:rsidR="00AC3917" w:rsidRPr="00C34F13">
        <w:rPr>
          <w:rFonts w:ascii="Arial" w:hAnsi="Arial" w:cs="Arial"/>
          <w:sz w:val="24"/>
          <w:szCs w:val="24"/>
        </w:rPr>
        <w:t xml:space="preserve"> </w:t>
      </w:r>
      <w:r w:rsidR="002E5F62" w:rsidRPr="00C34F13">
        <w:rPr>
          <w:rFonts w:ascii="Arial" w:hAnsi="Arial" w:cs="Arial"/>
          <w:sz w:val="24"/>
          <w:szCs w:val="24"/>
        </w:rPr>
        <w:t xml:space="preserve">there </w:t>
      </w:r>
      <w:r w:rsidR="007E66C1" w:rsidRPr="00C34F13">
        <w:rPr>
          <w:rFonts w:ascii="Arial" w:hAnsi="Arial" w:cs="Arial"/>
          <w:sz w:val="24"/>
          <w:szCs w:val="24"/>
        </w:rPr>
        <w:t>are</w:t>
      </w:r>
      <w:r w:rsidR="002E5F62" w:rsidRPr="00C34F13">
        <w:rPr>
          <w:rFonts w:ascii="Arial" w:hAnsi="Arial" w:cs="Arial"/>
          <w:sz w:val="24"/>
          <w:szCs w:val="24"/>
        </w:rPr>
        <w:t xml:space="preserve"> undoubtedly differences between the wording of Rule 35(12) and the other sub</w:t>
      </w:r>
      <w:r w:rsidR="009A7B80" w:rsidRPr="00C34F13">
        <w:rPr>
          <w:rFonts w:ascii="Arial" w:hAnsi="Arial" w:cs="Arial"/>
          <w:sz w:val="24"/>
          <w:szCs w:val="24"/>
        </w:rPr>
        <w:t>-</w:t>
      </w:r>
      <w:r w:rsidR="002E5F62" w:rsidRPr="00C34F13">
        <w:rPr>
          <w:rFonts w:ascii="Arial" w:hAnsi="Arial" w:cs="Arial"/>
          <w:sz w:val="24"/>
          <w:szCs w:val="24"/>
        </w:rPr>
        <w:t>rules relating to discovery, for example sub-rule</w:t>
      </w:r>
      <w:r w:rsidR="009A7B80" w:rsidRPr="00C34F13">
        <w:rPr>
          <w:rFonts w:ascii="Arial" w:hAnsi="Arial" w:cs="Arial"/>
          <w:sz w:val="24"/>
          <w:szCs w:val="24"/>
        </w:rPr>
        <w:t xml:space="preserve"> (1), </w:t>
      </w:r>
      <w:r w:rsidR="007D1E4E" w:rsidRPr="00C34F13">
        <w:rPr>
          <w:rFonts w:ascii="Arial" w:hAnsi="Arial" w:cs="Arial"/>
          <w:sz w:val="24"/>
          <w:szCs w:val="24"/>
        </w:rPr>
        <w:t xml:space="preserve">(3) and (11) of Rule 35.  </w:t>
      </w:r>
      <w:r w:rsidR="003E50E3" w:rsidRPr="00C34F13">
        <w:rPr>
          <w:rFonts w:ascii="Arial" w:hAnsi="Arial" w:cs="Arial"/>
          <w:sz w:val="24"/>
          <w:szCs w:val="24"/>
        </w:rPr>
        <w:t>It is</w:t>
      </w:r>
      <w:r w:rsidR="007D1E4E" w:rsidRPr="00C34F13">
        <w:rPr>
          <w:rFonts w:ascii="Arial" w:hAnsi="Arial" w:cs="Arial"/>
          <w:sz w:val="24"/>
          <w:szCs w:val="24"/>
        </w:rPr>
        <w:t>, so it was pointed out, clear that Rule 35</w:t>
      </w:r>
      <w:r w:rsidR="00C27961" w:rsidRPr="00C34F13">
        <w:rPr>
          <w:rFonts w:ascii="Arial" w:hAnsi="Arial" w:cs="Arial"/>
          <w:sz w:val="24"/>
          <w:szCs w:val="24"/>
        </w:rPr>
        <w:t xml:space="preserve"> in the sub-rules referred to, specifically refer to </w:t>
      </w:r>
      <w:r w:rsidR="003E50E3" w:rsidRPr="00C34F13">
        <w:rPr>
          <w:rFonts w:ascii="Arial" w:hAnsi="Arial" w:cs="Arial"/>
          <w:sz w:val="24"/>
          <w:szCs w:val="24"/>
        </w:rPr>
        <w:t>“</w:t>
      </w:r>
      <w:r w:rsidR="00C27961" w:rsidRPr="00C34F13">
        <w:rPr>
          <w:rFonts w:ascii="Arial" w:hAnsi="Arial" w:cs="Arial"/>
          <w:i/>
          <w:iCs/>
          <w:sz w:val="24"/>
          <w:szCs w:val="24"/>
        </w:rPr>
        <w:t>relevance</w:t>
      </w:r>
      <w:r w:rsidR="007D6347" w:rsidRPr="00C34F13">
        <w:rPr>
          <w:rFonts w:ascii="Arial" w:hAnsi="Arial" w:cs="Arial"/>
          <w:sz w:val="24"/>
          <w:szCs w:val="24"/>
        </w:rPr>
        <w:t>”</w:t>
      </w:r>
      <w:r w:rsidR="00C27961" w:rsidRPr="00C34F13">
        <w:rPr>
          <w:rFonts w:ascii="Arial" w:hAnsi="Arial" w:cs="Arial"/>
          <w:sz w:val="24"/>
          <w:szCs w:val="24"/>
        </w:rPr>
        <w:t xml:space="preserve"> </w:t>
      </w:r>
      <w:r w:rsidR="007D6347" w:rsidRPr="00C34F13">
        <w:rPr>
          <w:rFonts w:ascii="Arial" w:hAnsi="Arial" w:cs="Arial"/>
          <w:sz w:val="24"/>
          <w:szCs w:val="24"/>
        </w:rPr>
        <w:t>but</w:t>
      </w:r>
      <w:r w:rsidR="00C27961" w:rsidRPr="00C34F13">
        <w:rPr>
          <w:rFonts w:ascii="Arial" w:hAnsi="Arial" w:cs="Arial"/>
          <w:sz w:val="24"/>
          <w:szCs w:val="24"/>
        </w:rPr>
        <w:t xml:space="preserve"> sub-rule (12) </w:t>
      </w:r>
      <w:r w:rsidR="00600023" w:rsidRPr="00C34F13">
        <w:rPr>
          <w:rFonts w:ascii="Arial" w:hAnsi="Arial" w:cs="Arial"/>
          <w:sz w:val="24"/>
          <w:szCs w:val="24"/>
        </w:rPr>
        <w:t>contains</w:t>
      </w:r>
      <w:r w:rsidR="00C27961" w:rsidRPr="00C34F13">
        <w:rPr>
          <w:rFonts w:ascii="Arial" w:hAnsi="Arial" w:cs="Arial"/>
          <w:sz w:val="24"/>
          <w:szCs w:val="24"/>
        </w:rPr>
        <w:t xml:space="preserve"> no such limitation and is prima facie cast in terms wider </w:t>
      </w:r>
      <w:r w:rsidR="00607F10" w:rsidRPr="00C34F13">
        <w:rPr>
          <w:rFonts w:ascii="Arial" w:hAnsi="Arial" w:cs="Arial"/>
          <w:sz w:val="24"/>
          <w:szCs w:val="24"/>
        </w:rPr>
        <w:t xml:space="preserve">than sub-rule </w:t>
      </w:r>
      <w:r w:rsidR="005C489D" w:rsidRPr="00C34F13">
        <w:rPr>
          <w:rFonts w:ascii="Arial" w:hAnsi="Arial" w:cs="Arial"/>
          <w:sz w:val="24"/>
          <w:szCs w:val="24"/>
        </w:rPr>
        <w:t>35</w:t>
      </w:r>
      <w:r w:rsidR="00607F10" w:rsidRPr="00C34F13">
        <w:rPr>
          <w:rFonts w:ascii="Arial" w:hAnsi="Arial" w:cs="Arial"/>
          <w:sz w:val="24"/>
          <w:szCs w:val="24"/>
        </w:rPr>
        <w:t>(1), (3) and (11).</w:t>
      </w:r>
    </w:p>
    <w:p w14:paraId="5EDB8155" w14:textId="77777777" w:rsidR="00607F10" w:rsidRPr="00607F10" w:rsidRDefault="00607F10" w:rsidP="001F4BB8">
      <w:pPr>
        <w:pStyle w:val="ListParagraph"/>
        <w:spacing w:line="480" w:lineRule="auto"/>
        <w:rPr>
          <w:rFonts w:ascii="Arial" w:hAnsi="Arial" w:cs="Arial"/>
          <w:sz w:val="24"/>
          <w:szCs w:val="24"/>
        </w:rPr>
      </w:pPr>
    </w:p>
    <w:p w14:paraId="018A72E3" w14:textId="2541F969" w:rsidR="00840122"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07F10" w:rsidRPr="00C34F13">
        <w:rPr>
          <w:rFonts w:ascii="Arial" w:hAnsi="Arial" w:cs="Arial"/>
          <w:sz w:val="24"/>
          <w:szCs w:val="24"/>
        </w:rPr>
        <w:t xml:space="preserve">In </w:t>
      </w:r>
      <w:r w:rsidR="00607F10" w:rsidRPr="00C34F13">
        <w:rPr>
          <w:rFonts w:ascii="Arial" w:hAnsi="Arial" w:cs="Arial"/>
          <w:b/>
          <w:bCs/>
          <w:sz w:val="24"/>
          <w:szCs w:val="24"/>
        </w:rPr>
        <w:t>Caxton</w:t>
      </w:r>
      <w:r w:rsidR="00607F10" w:rsidRPr="00C34F13">
        <w:rPr>
          <w:rFonts w:ascii="Arial" w:hAnsi="Arial" w:cs="Arial"/>
          <w:sz w:val="24"/>
          <w:szCs w:val="24"/>
        </w:rPr>
        <w:t xml:space="preserve"> (</w:t>
      </w:r>
      <w:r w:rsidR="00607F10" w:rsidRPr="00C34F13">
        <w:rPr>
          <w:rFonts w:ascii="Arial" w:hAnsi="Arial" w:cs="Arial"/>
          <w:i/>
          <w:iCs/>
          <w:sz w:val="24"/>
          <w:szCs w:val="24"/>
        </w:rPr>
        <w:t>supra</w:t>
      </w:r>
      <w:r w:rsidR="00607F10" w:rsidRPr="00C34F13">
        <w:rPr>
          <w:rFonts w:ascii="Arial" w:hAnsi="Arial" w:cs="Arial"/>
          <w:sz w:val="24"/>
          <w:szCs w:val="24"/>
        </w:rPr>
        <w:t xml:space="preserve">), </w:t>
      </w:r>
      <w:r w:rsidR="0077697B" w:rsidRPr="00C34F13">
        <w:rPr>
          <w:rFonts w:ascii="Arial" w:hAnsi="Arial" w:cs="Arial"/>
          <w:b/>
          <w:bCs/>
          <w:sz w:val="24"/>
          <w:szCs w:val="24"/>
        </w:rPr>
        <w:t xml:space="preserve">Gorfinkel </w:t>
      </w:r>
      <w:r w:rsidR="0077697B" w:rsidRPr="00C34F13">
        <w:rPr>
          <w:rFonts w:ascii="Arial" w:hAnsi="Arial" w:cs="Arial"/>
          <w:sz w:val="24"/>
          <w:szCs w:val="24"/>
        </w:rPr>
        <w:t>(</w:t>
      </w:r>
      <w:r w:rsidR="0077697B" w:rsidRPr="00C34F13">
        <w:rPr>
          <w:rFonts w:ascii="Arial" w:hAnsi="Arial" w:cs="Arial"/>
          <w:i/>
          <w:iCs/>
          <w:sz w:val="24"/>
          <w:szCs w:val="24"/>
        </w:rPr>
        <w:t>supra</w:t>
      </w:r>
      <w:r w:rsidR="0077697B" w:rsidRPr="00C34F13">
        <w:rPr>
          <w:rFonts w:ascii="Arial" w:hAnsi="Arial" w:cs="Arial"/>
          <w:sz w:val="24"/>
          <w:szCs w:val="24"/>
        </w:rPr>
        <w:t xml:space="preserve">) </w:t>
      </w:r>
      <w:r w:rsidR="00607F10" w:rsidRPr="00C34F13">
        <w:rPr>
          <w:rFonts w:ascii="Arial" w:hAnsi="Arial" w:cs="Arial"/>
          <w:sz w:val="24"/>
          <w:szCs w:val="24"/>
        </w:rPr>
        <w:t>was referred to with approval</w:t>
      </w:r>
      <w:r w:rsidR="00834A93">
        <w:rPr>
          <w:rStyle w:val="FootnoteReference"/>
          <w:rFonts w:ascii="Arial" w:hAnsi="Arial" w:cs="Arial"/>
          <w:sz w:val="24"/>
          <w:szCs w:val="24"/>
        </w:rPr>
        <w:footnoteReference w:id="4"/>
      </w:r>
      <w:r w:rsidR="001E7146" w:rsidRPr="00C34F13">
        <w:rPr>
          <w:rFonts w:ascii="Arial" w:hAnsi="Arial" w:cs="Arial"/>
          <w:sz w:val="24"/>
          <w:szCs w:val="24"/>
        </w:rPr>
        <w:t>.  The Court said that in order for the production of a document to be compellable under Rule 35(12) it was necessary that reference to such document must be made in the adversar</w:t>
      </w:r>
      <w:r w:rsidR="005C489D" w:rsidRPr="00C34F13">
        <w:rPr>
          <w:rFonts w:ascii="Arial" w:hAnsi="Arial" w:cs="Arial"/>
          <w:sz w:val="24"/>
          <w:szCs w:val="24"/>
        </w:rPr>
        <w:t>ies,</w:t>
      </w:r>
      <w:r w:rsidR="00840122" w:rsidRPr="00C34F13">
        <w:rPr>
          <w:rFonts w:ascii="Arial" w:hAnsi="Arial" w:cs="Arial"/>
          <w:sz w:val="24"/>
          <w:szCs w:val="24"/>
        </w:rPr>
        <w:t xml:space="preserve"> pleadings or affidavits.  </w:t>
      </w:r>
    </w:p>
    <w:p w14:paraId="376627DC" w14:textId="77777777" w:rsidR="00840122" w:rsidRPr="00840122" w:rsidRDefault="00840122" w:rsidP="001F4BB8">
      <w:pPr>
        <w:pStyle w:val="ListParagraph"/>
        <w:spacing w:line="480" w:lineRule="auto"/>
        <w:rPr>
          <w:rFonts w:ascii="Arial" w:hAnsi="Arial" w:cs="Arial"/>
          <w:sz w:val="24"/>
          <w:szCs w:val="24"/>
        </w:rPr>
      </w:pPr>
    </w:p>
    <w:p w14:paraId="4CA486FD" w14:textId="6B99C994" w:rsidR="00607F10"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40122" w:rsidRPr="00C34F13">
        <w:rPr>
          <w:rFonts w:ascii="Arial" w:hAnsi="Arial" w:cs="Arial"/>
          <w:sz w:val="24"/>
          <w:szCs w:val="24"/>
        </w:rPr>
        <w:t xml:space="preserve">In </w:t>
      </w:r>
      <w:r w:rsidR="00840122" w:rsidRPr="00C34F13">
        <w:rPr>
          <w:rFonts w:ascii="Arial" w:hAnsi="Arial" w:cs="Arial"/>
          <w:b/>
          <w:bCs/>
          <w:sz w:val="24"/>
          <w:szCs w:val="24"/>
        </w:rPr>
        <w:t>Magnum Aviation Operations v Chairman National Transport Commission and Another</w:t>
      </w:r>
      <w:r w:rsidR="00840122">
        <w:rPr>
          <w:rStyle w:val="FootnoteReference"/>
          <w:rFonts w:ascii="Arial" w:hAnsi="Arial" w:cs="Arial"/>
          <w:sz w:val="24"/>
          <w:szCs w:val="24"/>
        </w:rPr>
        <w:footnoteReference w:id="5"/>
      </w:r>
      <w:r w:rsidR="001E7146" w:rsidRPr="00C34F13">
        <w:rPr>
          <w:rFonts w:ascii="Arial" w:hAnsi="Arial" w:cs="Arial"/>
          <w:sz w:val="24"/>
          <w:szCs w:val="24"/>
        </w:rPr>
        <w:t xml:space="preserve"> </w:t>
      </w:r>
      <w:r w:rsidR="006A3387" w:rsidRPr="00C34F13">
        <w:rPr>
          <w:rFonts w:ascii="Arial" w:hAnsi="Arial" w:cs="Arial"/>
          <w:sz w:val="24"/>
          <w:szCs w:val="24"/>
        </w:rPr>
        <w:t>the court, in ordering the applicant to produce documents</w:t>
      </w:r>
      <w:r w:rsidR="005C489D" w:rsidRPr="00C34F13">
        <w:rPr>
          <w:rFonts w:ascii="Arial" w:hAnsi="Arial" w:cs="Arial"/>
          <w:sz w:val="24"/>
          <w:szCs w:val="24"/>
        </w:rPr>
        <w:t>,</w:t>
      </w:r>
      <w:r w:rsidR="006A3387" w:rsidRPr="00C34F13">
        <w:rPr>
          <w:rFonts w:ascii="Arial" w:hAnsi="Arial" w:cs="Arial"/>
          <w:sz w:val="24"/>
          <w:szCs w:val="24"/>
        </w:rPr>
        <w:t xml:space="preserve"> to which reference had been made in the founding affidavit</w:t>
      </w:r>
      <w:r w:rsidR="00405BF5" w:rsidRPr="00C34F13">
        <w:rPr>
          <w:rFonts w:ascii="Arial" w:hAnsi="Arial" w:cs="Arial"/>
          <w:sz w:val="24"/>
          <w:szCs w:val="24"/>
        </w:rPr>
        <w:t xml:space="preserve">s, pointed out that the ordinary grammatical meaning of the words in Rule 35(12) was clear and that is that once reference is made to a document </w:t>
      </w:r>
      <w:r w:rsidR="00B312E4" w:rsidRPr="00C34F13">
        <w:rPr>
          <w:rFonts w:ascii="Arial" w:hAnsi="Arial" w:cs="Arial"/>
          <w:sz w:val="24"/>
          <w:szCs w:val="24"/>
        </w:rPr>
        <w:t>they must be produce</w:t>
      </w:r>
      <w:r w:rsidR="0077697B" w:rsidRPr="00C34F13">
        <w:rPr>
          <w:rFonts w:ascii="Arial" w:hAnsi="Arial" w:cs="Arial"/>
          <w:sz w:val="24"/>
          <w:szCs w:val="24"/>
        </w:rPr>
        <w:t>d</w:t>
      </w:r>
      <w:r w:rsidR="00B312E4" w:rsidRPr="00C34F13">
        <w:rPr>
          <w:rFonts w:ascii="Arial" w:hAnsi="Arial" w:cs="Arial"/>
          <w:sz w:val="24"/>
          <w:szCs w:val="24"/>
        </w:rPr>
        <w:t xml:space="preserve">.  </w:t>
      </w:r>
    </w:p>
    <w:p w14:paraId="45EFD9DE" w14:textId="77777777" w:rsidR="00B312E4" w:rsidRPr="00B312E4" w:rsidRDefault="00B312E4" w:rsidP="001F4BB8">
      <w:pPr>
        <w:pStyle w:val="ListParagraph"/>
        <w:spacing w:line="480" w:lineRule="auto"/>
        <w:rPr>
          <w:rFonts w:ascii="Arial" w:hAnsi="Arial" w:cs="Arial"/>
          <w:sz w:val="24"/>
          <w:szCs w:val="24"/>
        </w:rPr>
      </w:pPr>
    </w:p>
    <w:p w14:paraId="4236A8A0" w14:textId="3990123B" w:rsidR="00B312E4"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312E4" w:rsidRPr="00C34F13">
        <w:rPr>
          <w:rFonts w:ascii="Arial" w:hAnsi="Arial" w:cs="Arial"/>
          <w:sz w:val="24"/>
          <w:szCs w:val="24"/>
        </w:rPr>
        <w:t xml:space="preserve">Herein lies an important </w:t>
      </w:r>
      <w:r w:rsidR="00C2054E" w:rsidRPr="00C34F13">
        <w:rPr>
          <w:rFonts w:ascii="Arial" w:hAnsi="Arial" w:cs="Arial"/>
          <w:sz w:val="24"/>
          <w:szCs w:val="24"/>
        </w:rPr>
        <w:t>issue arising from the provisions of Rule 35 generally.  Section 35(1) refers to an action</w:t>
      </w:r>
      <w:r w:rsidR="000A1D72" w:rsidRPr="00C34F13">
        <w:rPr>
          <w:rFonts w:ascii="Arial" w:hAnsi="Arial" w:cs="Arial"/>
          <w:sz w:val="24"/>
          <w:szCs w:val="24"/>
        </w:rPr>
        <w:t>,</w:t>
      </w:r>
      <w:r w:rsidR="00C2054E" w:rsidRPr="00C34F13">
        <w:rPr>
          <w:rFonts w:ascii="Arial" w:hAnsi="Arial" w:cs="Arial"/>
          <w:sz w:val="24"/>
          <w:szCs w:val="24"/>
        </w:rPr>
        <w:t xml:space="preserve"> </w:t>
      </w:r>
      <w:r w:rsidR="00564F10" w:rsidRPr="00C34F13">
        <w:rPr>
          <w:rFonts w:ascii="Arial" w:hAnsi="Arial" w:cs="Arial"/>
          <w:sz w:val="24"/>
          <w:szCs w:val="24"/>
        </w:rPr>
        <w:t>the further subsections</w:t>
      </w:r>
      <w:r w:rsidR="00AF352E" w:rsidRPr="00C34F13">
        <w:rPr>
          <w:rFonts w:ascii="Arial" w:hAnsi="Arial" w:cs="Arial"/>
          <w:sz w:val="24"/>
          <w:szCs w:val="24"/>
        </w:rPr>
        <w:t xml:space="preserve"> up to </w:t>
      </w:r>
      <w:r w:rsidR="00D27190" w:rsidRPr="00C34F13">
        <w:rPr>
          <w:rFonts w:ascii="Arial" w:hAnsi="Arial" w:cs="Arial"/>
          <w:sz w:val="24"/>
          <w:szCs w:val="24"/>
        </w:rPr>
        <w:t xml:space="preserve">(7) flowing therefrom.  Rule 35(8) similarly applies to an action </w:t>
      </w:r>
      <w:r w:rsidR="00232381" w:rsidRPr="00C34F13">
        <w:rPr>
          <w:rFonts w:ascii="Arial" w:hAnsi="Arial" w:cs="Arial"/>
          <w:sz w:val="24"/>
          <w:szCs w:val="24"/>
        </w:rPr>
        <w:t xml:space="preserve">and </w:t>
      </w:r>
      <w:r w:rsidR="003E1CD1" w:rsidRPr="00C34F13">
        <w:rPr>
          <w:rFonts w:ascii="Arial" w:hAnsi="Arial" w:cs="Arial"/>
          <w:sz w:val="24"/>
          <w:szCs w:val="24"/>
        </w:rPr>
        <w:t>35</w:t>
      </w:r>
      <w:r w:rsidR="00232381" w:rsidRPr="00C34F13">
        <w:rPr>
          <w:rFonts w:ascii="Arial" w:hAnsi="Arial" w:cs="Arial"/>
          <w:sz w:val="24"/>
          <w:szCs w:val="24"/>
        </w:rPr>
        <w:t>(9) to a “</w:t>
      </w:r>
      <w:r w:rsidR="00232381" w:rsidRPr="00C34F13">
        <w:rPr>
          <w:rFonts w:ascii="Arial" w:hAnsi="Arial" w:cs="Arial"/>
          <w:i/>
          <w:iCs/>
          <w:sz w:val="24"/>
          <w:szCs w:val="24"/>
        </w:rPr>
        <w:t>trial</w:t>
      </w:r>
      <w:r w:rsidR="00232381" w:rsidRPr="00C34F13">
        <w:rPr>
          <w:rFonts w:ascii="Arial" w:hAnsi="Arial" w:cs="Arial"/>
          <w:sz w:val="24"/>
          <w:szCs w:val="24"/>
        </w:rPr>
        <w:t>”.  Rule 35(11) refers to “</w:t>
      </w:r>
      <w:r w:rsidR="00232381" w:rsidRPr="00C34F13">
        <w:rPr>
          <w:rFonts w:ascii="Arial" w:hAnsi="Arial" w:cs="Arial"/>
          <w:i/>
          <w:iCs/>
          <w:sz w:val="24"/>
          <w:szCs w:val="24"/>
        </w:rPr>
        <w:t>any proceeding</w:t>
      </w:r>
      <w:r w:rsidR="00232381" w:rsidRPr="00C34F13">
        <w:rPr>
          <w:rFonts w:ascii="Arial" w:hAnsi="Arial" w:cs="Arial"/>
          <w:sz w:val="24"/>
          <w:szCs w:val="24"/>
        </w:rPr>
        <w:t xml:space="preserve">” </w:t>
      </w:r>
      <w:r w:rsidR="00FC2C05" w:rsidRPr="00C34F13">
        <w:rPr>
          <w:rFonts w:ascii="Arial" w:hAnsi="Arial" w:cs="Arial"/>
          <w:sz w:val="24"/>
          <w:szCs w:val="24"/>
        </w:rPr>
        <w:t>not specifying an action or application.  Similarly Rule 35(</w:t>
      </w:r>
      <w:r w:rsidR="0026263F" w:rsidRPr="00C34F13">
        <w:rPr>
          <w:rFonts w:ascii="Arial" w:hAnsi="Arial" w:cs="Arial"/>
          <w:sz w:val="24"/>
          <w:szCs w:val="24"/>
        </w:rPr>
        <w:t>14) clearly applies to an action</w:t>
      </w:r>
      <w:r w:rsidR="000A1D72" w:rsidRPr="00C34F13">
        <w:rPr>
          <w:rFonts w:ascii="Arial" w:hAnsi="Arial" w:cs="Arial"/>
          <w:sz w:val="24"/>
          <w:szCs w:val="24"/>
        </w:rPr>
        <w:t>,</w:t>
      </w:r>
      <w:r w:rsidR="0026263F" w:rsidRPr="00C34F13">
        <w:rPr>
          <w:rFonts w:ascii="Arial" w:hAnsi="Arial" w:cs="Arial"/>
          <w:sz w:val="24"/>
          <w:szCs w:val="24"/>
        </w:rPr>
        <w:t xml:space="preserve"> that word being used and refers to “</w:t>
      </w:r>
      <w:r w:rsidR="0026263F" w:rsidRPr="00C34F13">
        <w:rPr>
          <w:rFonts w:ascii="Arial" w:hAnsi="Arial" w:cs="Arial"/>
          <w:i/>
          <w:iCs/>
          <w:sz w:val="24"/>
          <w:szCs w:val="24"/>
        </w:rPr>
        <w:t>for the purposes of pleading</w:t>
      </w:r>
      <w:r w:rsidR="0026263F" w:rsidRPr="00C34F13">
        <w:rPr>
          <w:rFonts w:ascii="Arial" w:hAnsi="Arial" w:cs="Arial"/>
          <w:sz w:val="24"/>
          <w:szCs w:val="24"/>
        </w:rPr>
        <w:t>”.</w:t>
      </w:r>
      <w:r w:rsidR="0077697B" w:rsidRPr="00C34F13">
        <w:rPr>
          <w:rFonts w:ascii="Arial" w:hAnsi="Arial" w:cs="Arial"/>
          <w:sz w:val="24"/>
          <w:szCs w:val="24"/>
        </w:rPr>
        <w:t xml:space="preserve">  Rule 35(13) refers to the provisions of the Rule “</w:t>
      </w:r>
      <w:r w:rsidR="0077697B" w:rsidRPr="00C34F13">
        <w:rPr>
          <w:rFonts w:ascii="Arial" w:hAnsi="Arial" w:cs="Arial"/>
          <w:i/>
          <w:iCs/>
          <w:sz w:val="24"/>
          <w:szCs w:val="24"/>
        </w:rPr>
        <w:t xml:space="preserve">relating to discovery”.  </w:t>
      </w:r>
      <w:r w:rsidR="0077697B" w:rsidRPr="00C34F13">
        <w:rPr>
          <w:rFonts w:ascii="Arial" w:hAnsi="Arial" w:cs="Arial"/>
          <w:sz w:val="24"/>
          <w:szCs w:val="24"/>
        </w:rPr>
        <w:t>This seemingly pointing to Rule 35(1).</w:t>
      </w:r>
      <w:r w:rsidR="00272602" w:rsidRPr="00C34F13">
        <w:rPr>
          <w:rFonts w:ascii="Arial" w:hAnsi="Arial" w:cs="Arial"/>
          <w:sz w:val="24"/>
          <w:szCs w:val="24"/>
        </w:rPr>
        <w:t xml:space="preserve">  </w:t>
      </w:r>
    </w:p>
    <w:p w14:paraId="4236CFA6" w14:textId="77777777" w:rsidR="004D0313" w:rsidRPr="004D0313" w:rsidRDefault="004D0313" w:rsidP="004D0313">
      <w:pPr>
        <w:pStyle w:val="ListParagraph"/>
        <w:rPr>
          <w:rFonts w:ascii="Arial" w:hAnsi="Arial" w:cs="Arial"/>
          <w:sz w:val="24"/>
          <w:szCs w:val="24"/>
        </w:rPr>
      </w:pPr>
    </w:p>
    <w:p w14:paraId="134EAC4B" w14:textId="78EA7D6E" w:rsidR="0052630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D0313" w:rsidRPr="00C34F13">
        <w:rPr>
          <w:rFonts w:ascii="Arial" w:hAnsi="Arial" w:cs="Arial"/>
          <w:sz w:val="24"/>
          <w:szCs w:val="24"/>
        </w:rPr>
        <w:t>Rule 35(12)(a) in referring to “</w:t>
      </w:r>
      <w:r w:rsidR="004D0313" w:rsidRPr="00C34F13">
        <w:rPr>
          <w:rFonts w:ascii="Arial" w:hAnsi="Arial" w:cs="Arial"/>
          <w:i/>
          <w:iCs/>
          <w:sz w:val="24"/>
          <w:szCs w:val="24"/>
        </w:rPr>
        <w:t>any proceedings</w:t>
      </w:r>
      <w:r w:rsidR="004D0313" w:rsidRPr="00C34F13">
        <w:rPr>
          <w:rFonts w:ascii="Arial" w:hAnsi="Arial" w:cs="Arial"/>
          <w:sz w:val="24"/>
          <w:szCs w:val="24"/>
        </w:rPr>
        <w:t xml:space="preserve">” makes it clear </w:t>
      </w:r>
      <w:r w:rsidR="00374357" w:rsidRPr="00C34F13">
        <w:rPr>
          <w:rFonts w:ascii="Arial" w:hAnsi="Arial" w:cs="Arial"/>
          <w:sz w:val="24"/>
          <w:szCs w:val="24"/>
        </w:rPr>
        <w:t>in the remaining words to the introduction of the subsection that this relates to “</w:t>
      </w:r>
      <w:r w:rsidR="00374357" w:rsidRPr="00C34F13">
        <w:rPr>
          <w:rFonts w:ascii="Arial" w:hAnsi="Arial" w:cs="Arial"/>
          <w:i/>
          <w:iCs/>
          <w:sz w:val="24"/>
          <w:szCs w:val="24"/>
        </w:rPr>
        <w:t>pleadings or affidavits</w:t>
      </w:r>
      <w:r w:rsidR="00374357" w:rsidRPr="00C34F13">
        <w:rPr>
          <w:rFonts w:ascii="Arial" w:hAnsi="Arial" w:cs="Arial"/>
          <w:sz w:val="24"/>
          <w:szCs w:val="24"/>
        </w:rPr>
        <w:t xml:space="preserve">” in which reference is made to any document or tape recording obliging </w:t>
      </w:r>
      <w:r w:rsidR="00822A55" w:rsidRPr="00C34F13">
        <w:rPr>
          <w:rFonts w:ascii="Arial" w:hAnsi="Arial" w:cs="Arial"/>
          <w:sz w:val="24"/>
          <w:szCs w:val="24"/>
        </w:rPr>
        <w:t xml:space="preserve">the person receiving the notice to produce same </w:t>
      </w:r>
      <w:r w:rsidR="00CB2553" w:rsidRPr="00C34F13">
        <w:rPr>
          <w:rFonts w:ascii="Arial" w:hAnsi="Arial" w:cs="Arial"/>
          <w:sz w:val="24"/>
          <w:szCs w:val="24"/>
        </w:rPr>
        <w:t xml:space="preserve">or </w:t>
      </w:r>
      <w:r w:rsidR="00106D2D" w:rsidRPr="00C34F13">
        <w:rPr>
          <w:rFonts w:ascii="Arial" w:hAnsi="Arial" w:cs="Arial"/>
          <w:sz w:val="24"/>
          <w:szCs w:val="24"/>
        </w:rPr>
        <w:t xml:space="preserve">proceed </w:t>
      </w:r>
      <w:r w:rsidR="0052630B" w:rsidRPr="00C34F13">
        <w:rPr>
          <w:rFonts w:ascii="Arial" w:hAnsi="Arial" w:cs="Arial"/>
          <w:sz w:val="24"/>
          <w:szCs w:val="24"/>
        </w:rPr>
        <w:t xml:space="preserve">in terms of one </w:t>
      </w:r>
      <w:r w:rsidR="001971F7" w:rsidRPr="00C34F13">
        <w:rPr>
          <w:rFonts w:ascii="Arial" w:hAnsi="Arial" w:cs="Arial"/>
          <w:sz w:val="24"/>
          <w:szCs w:val="24"/>
        </w:rPr>
        <w:t xml:space="preserve">or other </w:t>
      </w:r>
      <w:r w:rsidR="0052630B" w:rsidRPr="00C34F13">
        <w:rPr>
          <w:rFonts w:ascii="Arial" w:hAnsi="Arial" w:cs="Arial"/>
          <w:sz w:val="24"/>
          <w:szCs w:val="24"/>
        </w:rPr>
        <w:t xml:space="preserve">of the </w:t>
      </w:r>
      <w:r w:rsidR="001971F7" w:rsidRPr="00C34F13">
        <w:rPr>
          <w:rFonts w:ascii="Arial" w:hAnsi="Arial" w:cs="Arial"/>
          <w:sz w:val="24"/>
          <w:szCs w:val="24"/>
        </w:rPr>
        <w:t xml:space="preserve">remaining options </w:t>
      </w:r>
      <w:r w:rsidR="0052630B" w:rsidRPr="00C34F13">
        <w:rPr>
          <w:rFonts w:ascii="Arial" w:hAnsi="Arial" w:cs="Arial"/>
          <w:sz w:val="24"/>
          <w:szCs w:val="24"/>
        </w:rPr>
        <w:t xml:space="preserve">in this regard.  </w:t>
      </w:r>
    </w:p>
    <w:p w14:paraId="4C346707" w14:textId="77777777" w:rsidR="0052630B" w:rsidRPr="0052630B" w:rsidRDefault="0052630B" w:rsidP="0052630B">
      <w:pPr>
        <w:pStyle w:val="ListParagraph"/>
        <w:rPr>
          <w:rFonts w:ascii="Arial" w:hAnsi="Arial" w:cs="Arial"/>
          <w:sz w:val="24"/>
          <w:szCs w:val="24"/>
        </w:rPr>
      </w:pPr>
    </w:p>
    <w:p w14:paraId="5B074D8C" w14:textId="7668215A" w:rsidR="004D0313"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52630B" w:rsidRPr="00C34F13">
        <w:rPr>
          <w:rFonts w:ascii="Arial" w:hAnsi="Arial" w:cs="Arial"/>
          <w:sz w:val="24"/>
          <w:szCs w:val="24"/>
        </w:rPr>
        <w:t>While Rule 35(12)(</w:t>
      </w:r>
      <w:r w:rsidR="001971F7" w:rsidRPr="00C34F13">
        <w:rPr>
          <w:rFonts w:ascii="Arial" w:hAnsi="Arial" w:cs="Arial"/>
          <w:sz w:val="24"/>
          <w:szCs w:val="24"/>
        </w:rPr>
        <w:t>b</w:t>
      </w:r>
      <w:r w:rsidR="0052630B" w:rsidRPr="00C34F13">
        <w:rPr>
          <w:rFonts w:ascii="Arial" w:hAnsi="Arial" w:cs="Arial"/>
          <w:sz w:val="24"/>
          <w:szCs w:val="24"/>
        </w:rPr>
        <w:t>)</w:t>
      </w:r>
      <w:r w:rsidR="00A35D70" w:rsidRPr="00C34F13">
        <w:rPr>
          <w:rFonts w:ascii="Arial" w:hAnsi="Arial" w:cs="Arial"/>
          <w:sz w:val="24"/>
          <w:szCs w:val="24"/>
        </w:rPr>
        <w:t xml:space="preserve"> </w:t>
      </w:r>
      <w:r w:rsidR="001971F7" w:rsidRPr="00C34F13">
        <w:rPr>
          <w:rFonts w:ascii="Arial" w:hAnsi="Arial" w:cs="Arial"/>
          <w:sz w:val="24"/>
          <w:szCs w:val="24"/>
        </w:rPr>
        <w:t>preventing the u</w:t>
      </w:r>
      <w:r w:rsidR="00A35D70" w:rsidRPr="00C34F13">
        <w:rPr>
          <w:rFonts w:ascii="Arial" w:hAnsi="Arial" w:cs="Arial"/>
          <w:sz w:val="24"/>
          <w:szCs w:val="24"/>
        </w:rPr>
        <w:t xml:space="preserve">se of a document </w:t>
      </w:r>
      <w:r w:rsidR="009434AF" w:rsidRPr="00C34F13">
        <w:rPr>
          <w:rFonts w:ascii="Arial" w:hAnsi="Arial" w:cs="Arial"/>
          <w:sz w:val="24"/>
          <w:szCs w:val="24"/>
        </w:rPr>
        <w:t>not supplied accordingly (</w:t>
      </w:r>
      <w:r w:rsidR="003835E8" w:rsidRPr="00C34F13">
        <w:rPr>
          <w:rFonts w:ascii="Arial" w:hAnsi="Arial" w:cs="Arial"/>
          <w:sz w:val="24"/>
          <w:szCs w:val="24"/>
        </w:rPr>
        <w:t>failing</w:t>
      </w:r>
      <w:r w:rsidR="009434AF" w:rsidRPr="00C34F13">
        <w:rPr>
          <w:rFonts w:ascii="Arial" w:hAnsi="Arial" w:cs="Arial"/>
          <w:sz w:val="24"/>
          <w:szCs w:val="24"/>
        </w:rPr>
        <w:t xml:space="preserve"> to comply with the notice) can </w:t>
      </w:r>
      <w:r w:rsidR="00270442" w:rsidRPr="00C34F13">
        <w:rPr>
          <w:rFonts w:ascii="Arial" w:hAnsi="Arial" w:cs="Arial"/>
          <w:sz w:val="24"/>
          <w:szCs w:val="24"/>
        </w:rPr>
        <w:t xml:space="preserve">also </w:t>
      </w:r>
      <w:r w:rsidR="009434AF" w:rsidRPr="00C34F13">
        <w:rPr>
          <w:rFonts w:ascii="Arial" w:hAnsi="Arial" w:cs="Arial"/>
          <w:sz w:val="24"/>
          <w:szCs w:val="24"/>
        </w:rPr>
        <w:t xml:space="preserve">be dealt with by an application to enforce compliance with the Rule in terms of Rule </w:t>
      </w:r>
      <w:r w:rsidR="00270442" w:rsidRPr="00C34F13">
        <w:rPr>
          <w:rFonts w:ascii="Arial" w:hAnsi="Arial" w:cs="Arial"/>
          <w:sz w:val="24"/>
          <w:szCs w:val="24"/>
        </w:rPr>
        <w:t>30</w:t>
      </w:r>
      <w:r w:rsidR="005D46AB" w:rsidRPr="00C34F13">
        <w:rPr>
          <w:rFonts w:ascii="Arial" w:hAnsi="Arial" w:cs="Arial"/>
          <w:sz w:val="24"/>
          <w:szCs w:val="24"/>
        </w:rPr>
        <w:t>A.</w:t>
      </w:r>
    </w:p>
    <w:p w14:paraId="6EA48B7A" w14:textId="77777777" w:rsidR="005D46AB" w:rsidRPr="005D46AB" w:rsidRDefault="005D46AB" w:rsidP="005D46AB">
      <w:pPr>
        <w:pStyle w:val="ListParagraph"/>
        <w:rPr>
          <w:rFonts w:ascii="Arial" w:hAnsi="Arial" w:cs="Arial"/>
          <w:sz w:val="24"/>
          <w:szCs w:val="24"/>
        </w:rPr>
      </w:pPr>
    </w:p>
    <w:p w14:paraId="51D83636" w14:textId="18888AC6" w:rsidR="005D46A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D46AB" w:rsidRPr="00C34F13">
        <w:rPr>
          <w:rFonts w:ascii="Arial" w:hAnsi="Arial" w:cs="Arial"/>
          <w:sz w:val="24"/>
          <w:szCs w:val="24"/>
        </w:rPr>
        <w:t xml:space="preserve">It follows from the above, and analysis </w:t>
      </w:r>
      <w:r w:rsidR="00A3493F" w:rsidRPr="00C34F13">
        <w:rPr>
          <w:rFonts w:ascii="Arial" w:hAnsi="Arial" w:cs="Arial"/>
          <w:sz w:val="24"/>
          <w:szCs w:val="24"/>
        </w:rPr>
        <w:t xml:space="preserve">of </w:t>
      </w:r>
      <w:r w:rsidR="005D5E28" w:rsidRPr="00C34F13">
        <w:rPr>
          <w:rFonts w:ascii="Arial" w:hAnsi="Arial" w:cs="Arial"/>
          <w:sz w:val="24"/>
          <w:szCs w:val="24"/>
        </w:rPr>
        <w:t xml:space="preserve">the </w:t>
      </w:r>
      <w:r w:rsidR="00A3493F" w:rsidRPr="00C34F13">
        <w:rPr>
          <w:rFonts w:ascii="Arial" w:hAnsi="Arial" w:cs="Arial"/>
          <w:sz w:val="24"/>
          <w:szCs w:val="24"/>
        </w:rPr>
        <w:t>Rule, that the earlier parts of Rule 35 appl</w:t>
      </w:r>
      <w:r w:rsidR="0077697B" w:rsidRPr="00C34F13">
        <w:rPr>
          <w:rFonts w:ascii="Arial" w:hAnsi="Arial" w:cs="Arial"/>
          <w:sz w:val="24"/>
          <w:szCs w:val="24"/>
        </w:rPr>
        <w:t>y</w:t>
      </w:r>
      <w:r w:rsidR="00A3493F" w:rsidRPr="00C34F13">
        <w:rPr>
          <w:rFonts w:ascii="Arial" w:hAnsi="Arial" w:cs="Arial"/>
          <w:sz w:val="24"/>
          <w:szCs w:val="24"/>
        </w:rPr>
        <w:t xml:space="preserve"> to discovery proceedings, the notice to be given only after </w:t>
      </w:r>
      <w:r w:rsidR="00205C03" w:rsidRPr="00C34F13">
        <w:rPr>
          <w:rFonts w:ascii="Arial" w:hAnsi="Arial" w:cs="Arial"/>
          <w:sz w:val="24"/>
          <w:szCs w:val="24"/>
        </w:rPr>
        <w:t>“</w:t>
      </w:r>
      <w:r w:rsidR="00205C03" w:rsidRPr="00C34F13">
        <w:rPr>
          <w:rFonts w:ascii="Arial" w:hAnsi="Arial" w:cs="Arial"/>
          <w:i/>
          <w:iCs/>
          <w:sz w:val="24"/>
          <w:szCs w:val="24"/>
        </w:rPr>
        <w:t>the close of pleadings</w:t>
      </w:r>
      <w:r w:rsidR="00205C03" w:rsidRPr="00C34F13">
        <w:rPr>
          <w:rFonts w:ascii="Arial" w:hAnsi="Arial" w:cs="Arial"/>
          <w:sz w:val="24"/>
          <w:szCs w:val="24"/>
        </w:rPr>
        <w:t>”</w:t>
      </w:r>
      <w:r w:rsidR="000A1D72" w:rsidRPr="00C34F13">
        <w:rPr>
          <w:rFonts w:ascii="Arial" w:hAnsi="Arial" w:cs="Arial"/>
          <w:sz w:val="24"/>
          <w:szCs w:val="24"/>
        </w:rPr>
        <w:t>,</w:t>
      </w:r>
      <w:r w:rsidR="00205C03" w:rsidRPr="00C34F13">
        <w:rPr>
          <w:rFonts w:ascii="Arial" w:hAnsi="Arial" w:cs="Arial"/>
          <w:sz w:val="24"/>
          <w:szCs w:val="24"/>
        </w:rPr>
        <w:t xml:space="preserve"> save </w:t>
      </w:r>
      <w:r w:rsidR="005D5E28" w:rsidRPr="00C34F13">
        <w:rPr>
          <w:rFonts w:ascii="Arial" w:hAnsi="Arial" w:cs="Arial"/>
          <w:sz w:val="24"/>
          <w:szCs w:val="24"/>
        </w:rPr>
        <w:t>with</w:t>
      </w:r>
      <w:r w:rsidR="00205C03" w:rsidRPr="00C34F13">
        <w:rPr>
          <w:rFonts w:ascii="Arial" w:hAnsi="Arial" w:cs="Arial"/>
          <w:sz w:val="24"/>
          <w:szCs w:val="24"/>
        </w:rPr>
        <w:t xml:space="preserve"> the leave of a Judge.  </w:t>
      </w:r>
      <w:r w:rsidR="00C91DAD" w:rsidRPr="00C34F13">
        <w:rPr>
          <w:rFonts w:ascii="Arial" w:hAnsi="Arial" w:cs="Arial"/>
          <w:sz w:val="24"/>
          <w:szCs w:val="24"/>
        </w:rPr>
        <w:t xml:space="preserve">It is </w:t>
      </w:r>
      <w:r w:rsidR="007C5A97" w:rsidRPr="00C34F13">
        <w:rPr>
          <w:rFonts w:ascii="Arial" w:hAnsi="Arial" w:cs="Arial"/>
          <w:sz w:val="24"/>
          <w:szCs w:val="24"/>
        </w:rPr>
        <w:t>trite</w:t>
      </w:r>
      <w:r w:rsidR="0077697B" w:rsidRPr="00C34F13">
        <w:rPr>
          <w:rFonts w:ascii="Arial" w:hAnsi="Arial" w:cs="Arial"/>
          <w:sz w:val="24"/>
          <w:szCs w:val="24"/>
        </w:rPr>
        <w:t>,</w:t>
      </w:r>
      <w:r w:rsidR="007C5A97" w:rsidRPr="00C34F13">
        <w:rPr>
          <w:rFonts w:ascii="Arial" w:hAnsi="Arial" w:cs="Arial"/>
          <w:sz w:val="24"/>
          <w:szCs w:val="24"/>
        </w:rPr>
        <w:t xml:space="preserve"> and</w:t>
      </w:r>
      <w:r w:rsidR="00C91DAD" w:rsidRPr="00C34F13">
        <w:rPr>
          <w:rFonts w:ascii="Arial" w:hAnsi="Arial" w:cs="Arial"/>
          <w:sz w:val="24"/>
          <w:szCs w:val="24"/>
        </w:rPr>
        <w:t xml:space="preserve"> was common cause between the parties</w:t>
      </w:r>
      <w:r w:rsidR="0077697B" w:rsidRPr="00C34F13">
        <w:rPr>
          <w:rFonts w:ascii="Arial" w:hAnsi="Arial" w:cs="Arial"/>
          <w:sz w:val="24"/>
          <w:szCs w:val="24"/>
        </w:rPr>
        <w:t>,</w:t>
      </w:r>
      <w:r w:rsidR="00C91DAD" w:rsidRPr="00C34F13">
        <w:rPr>
          <w:rFonts w:ascii="Arial" w:hAnsi="Arial" w:cs="Arial"/>
          <w:sz w:val="24"/>
          <w:szCs w:val="24"/>
        </w:rPr>
        <w:t xml:space="preserve"> that </w:t>
      </w:r>
      <w:r w:rsidR="00345137" w:rsidRPr="00C34F13">
        <w:rPr>
          <w:rFonts w:ascii="Arial" w:hAnsi="Arial" w:cs="Arial"/>
          <w:sz w:val="24"/>
          <w:szCs w:val="24"/>
        </w:rPr>
        <w:t xml:space="preserve">the discovery process </w:t>
      </w:r>
      <w:r w:rsidR="00071E30" w:rsidRPr="00C34F13">
        <w:rPr>
          <w:rFonts w:ascii="Arial" w:hAnsi="Arial" w:cs="Arial"/>
          <w:sz w:val="24"/>
          <w:szCs w:val="24"/>
        </w:rPr>
        <w:t>consequent</w:t>
      </w:r>
      <w:r w:rsidR="00CB4C40" w:rsidRPr="00C34F13">
        <w:rPr>
          <w:rFonts w:ascii="Arial" w:hAnsi="Arial" w:cs="Arial"/>
          <w:sz w:val="24"/>
          <w:szCs w:val="24"/>
        </w:rPr>
        <w:t xml:space="preserve"> upon Rule 35(1) </w:t>
      </w:r>
      <w:r w:rsidR="006A3AC4" w:rsidRPr="00C34F13">
        <w:rPr>
          <w:rFonts w:ascii="Arial" w:hAnsi="Arial" w:cs="Arial"/>
          <w:sz w:val="24"/>
          <w:szCs w:val="24"/>
        </w:rPr>
        <w:t>is only applicable in terms of Rule 35</w:t>
      </w:r>
      <w:r w:rsidR="00FF42CA" w:rsidRPr="00C34F13">
        <w:rPr>
          <w:rFonts w:ascii="Arial" w:hAnsi="Arial" w:cs="Arial"/>
          <w:sz w:val="24"/>
          <w:szCs w:val="24"/>
        </w:rPr>
        <w:t>(13) “</w:t>
      </w:r>
      <w:r w:rsidR="00FF42CA" w:rsidRPr="00C34F13">
        <w:rPr>
          <w:rFonts w:ascii="Arial" w:hAnsi="Arial" w:cs="Arial"/>
          <w:i/>
          <w:iCs/>
          <w:sz w:val="24"/>
          <w:szCs w:val="24"/>
        </w:rPr>
        <w:t xml:space="preserve">insofar as the court may direct, to </w:t>
      </w:r>
      <w:r w:rsidR="00071E30" w:rsidRPr="00C34F13">
        <w:rPr>
          <w:rFonts w:ascii="Arial" w:hAnsi="Arial" w:cs="Arial"/>
          <w:i/>
          <w:iCs/>
          <w:sz w:val="24"/>
          <w:szCs w:val="24"/>
        </w:rPr>
        <w:t>applications.</w:t>
      </w:r>
      <w:r w:rsidR="00071E30" w:rsidRPr="00C34F13">
        <w:rPr>
          <w:rFonts w:ascii="Arial" w:hAnsi="Arial" w:cs="Arial"/>
          <w:sz w:val="24"/>
          <w:szCs w:val="24"/>
        </w:rPr>
        <w:t>”</w:t>
      </w:r>
      <w:r w:rsidR="00F93AF6" w:rsidRPr="00C34F13">
        <w:rPr>
          <w:rFonts w:ascii="Arial" w:hAnsi="Arial" w:cs="Arial"/>
          <w:sz w:val="24"/>
          <w:szCs w:val="24"/>
        </w:rPr>
        <w:t xml:space="preserve">  </w:t>
      </w:r>
    </w:p>
    <w:p w14:paraId="79CCDBC9" w14:textId="77777777" w:rsidR="00F93AF6" w:rsidRPr="00F93AF6" w:rsidRDefault="00F93AF6" w:rsidP="00F93AF6">
      <w:pPr>
        <w:pStyle w:val="ListParagraph"/>
        <w:rPr>
          <w:rFonts w:ascii="Arial" w:hAnsi="Arial" w:cs="Arial"/>
          <w:sz w:val="24"/>
          <w:szCs w:val="24"/>
        </w:rPr>
      </w:pPr>
    </w:p>
    <w:p w14:paraId="2E4A773B" w14:textId="05DAC143" w:rsidR="00F93AF6"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C10D5" w:rsidRPr="00C34F13">
        <w:rPr>
          <w:rFonts w:ascii="Arial" w:hAnsi="Arial" w:cs="Arial"/>
          <w:sz w:val="24"/>
          <w:szCs w:val="24"/>
        </w:rPr>
        <w:t xml:space="preserve">The contention by applicants was simply that this covers and similarly applies to Rule 35(12).  </w:t>
      </w:r>
    </w:p>
    <w:p w14:paraId="09B4C929" w14:textId="77777777" w:rsidR="003C10D5" w:rsidRPr="003C10D5" w:rsidRDefault="003C10D5" w:rsidP="003C10D5">
      <w:pPr>
        <w:pStyle w:val="ListParagraph"/>
        <w:rPr>
          <w:rFonts w:ascii="Arial" w:hAnsi="Arial" w:cs="Arial"/>
          <w:sz w:val="24"/>
          <w:szCs w:val="24"/>
        </w:rPr>
      </w:pPr>
    </w:p>
    <w:p w14:paraId="115A3BDA" w14:textId="3F47B820" w:rsidR="00932EA0"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A16C2" w:rsidRPr="00C34F13">
        <w:rPr>
          <w:rFonts w:ascii="Arial" w:hAnsi="Arial" w:cs="Arial"/>
          <w:sz w:val="24"/>
          <w:szCs w:val="24"/>
        </w:rPr>
        <w:t>That Rule 35(12) stands out as quite different from the remaining parts of Rule 35 lies in the words thereof</w:t>
      </w:r>
      <w:r w:rsidR="00A0743A" w:rsidRPr="00C34F13">
        <w:rPr>
          <w:rFonts w:ascii="Arial" w:hAnsi="Arial" w:cs="Arial"/>
          <w:sz w:val="24"/>
          <w:szCs w:val="24"/>
        </w:rPr>
        <w:t xml:space="preserve">.  This </w:t>
      </w:r>
      <w:r w:rsidR="000A1D72" w:rsidRPr="00C34F13">
        <w:rPr>
          <w:rFonts w:ascii="Arial" w:hAnsi="Arial" w:cs="Arial"/>
          <w:sz w:val="24"/>
          <w:szCs w:val="24"/>
        </w:rPr>
        <w:t>is</w:t>
      </w:r>
      <w:r w:rsidR="005D5E28" w:rsidRPr="00C34F13">
        <w:rPr>
          <w:rFonts w:ascii="Arial" w:hAnsi="Arial" w:cs="Arial"/>
          <w:sz w:val="24"/>
          <w:szCs w:val="24"/>
        </w:rPr>
        <w:t xml:space="preserve"> </w:t>
      </w:r>
      <w:r w:rsidR="00A0743A" w:rsidRPr="00C34F13">
        <w:rPr>
          <w:rFonts w:ascii="Arial" w:hAnsi="Arial" w:cs="Arial"/>
          <w:sz w:val="24"/>
          <w:szCs w:val="24"/>
        </w:rPr>
        <w:t>applicable to any time before the “</w:t>
      </w:r>
      <w:r w:rsidR="00A0743A" w:rsidRPr="00C34F13">
        <w:rPr>
          <w:rFonts w:ascii="Arial" w:hAnsi="Arial" w:cs="Arial"/>
          <w:i/>
          <w:iCs/>
          <w:sz w:val="24"/>
          <w:szCs w:val="24"/>
        </w:rPr>
        <w:t xml:space="preserve">hearing </w:t>
      </w:r>
      <w:r w:rsidR="00932EA0" w:rsidRPr="00C34F13">
        <w:rPr>
          <w:rFonts w:ascii="Arial" w:hAnsi="Arial" w:cs="Arial"/>
          <w:i/>
          <w:iCs/>
          <w:sz w:val="24"/>
          <w:szCs w:val="24"/>
        </w:rPr>
        <w:t>thereof</w:t>
      </w:r>
      <w:r w:rsidR="00A0743A" w:rsidRPr="00C34F13">
        <w:rPr>
          <w:rFonts w:ascii="Arial" w:hAnsi="Arial" w:cs="Arial"/>
          <w:sz w:val="24"/>
          <w:szCs w:val="24"/>
        </w:rPr>
        <w:t>” relating to “</w:t>
      </w:r>
      <w:r w:rsidR="0077697B" w:rsidRPr="00C34F13">
        <w:rPr>
          <w:rFonts w:ascii="Arial" w:hAnsi="Arial" w:cs="Arial"/>
          <w:i/>
          <w:iCs/>
          <w:sz w:val="24"/>
          <w:szCs w:val="24"/>
        </w:rPr>
        <w:t xml:space="preserve">any </w:t>
      </w:r>
      <w:r w:rsidR="00A0743A" w:rsidRPr="00C34F13">
        <w:rPr>
          <w:rFonts w:ascii="Arial" w:hAnsi="Arial" w:cs="Arial"/>
          <w:i/>
          <w:iCs/>
          <w:sz w:val="24"/>
          <w:szCs w:val="24"/>
        </w:rPr>
        <w:t>proceeding</w:t>
      </w:r>
      <w:r w:rsidR="00A0743A" w:rsidRPr="00C34F13">
        <w:rPr>
          <w:rFonts w:ascii="Arial" w:hAnsi="Arial" w:cs="Arial"/>
          <w:sz w:val="24"/>
          <w:szCs w:val="24"/>
        </w:rPr>
        <w:t xml:space="preserve">” and </w:t>
      </w:r>
      <w:r w:rsidR="00B7238B" w:rsidRPr="00C34F13">
        <w:rPr>
          <w:rFonts w:ascii="Arial" w:hAnsi="Arial" w:cs="Arial"/>
          <w:sz w:val="24"/>
          <w:szCs w:val="24"/>
        </w:rPr>
        <w:t xml:space="preserve">comes into operation at any time </w:t>
      </w:r>
      <w:r w:rsidR="00654C70" w:rsidRPr="00C34F13">
        <w:rPr>
          <w:rFonts w:ascii="Arial" w:hAnsi="Arial" w:cs="Arial"/>
          <w:sz w:val="24"/>
          <w:szCs w:val="24"/>
        </w:rPr>
        <w:t>that</w:t>
      </w:r>
      <w:r w:rsidR="00B7238B" w:rsidRPr="00C34F13">
        <w:rPr>
          <w:rFonts w:ascii="Arial" w:hAnsi="Arial" w:cs="Arial"/>
          <w:sz w:val="24"/>
          <w:szCs w:val="24"/>
        </w:rPr>
        <w:t xml:space="preserve"> </w:t>
      </w:r>
      <w:r w:rsidR="00654C70" w:rsidRPr="00C34F13">
        <w:rPr>
          <w:rFonts w:ascii="Arial" w:hAnsi="Arial" w:cs="Arial"/>
          <w:sz w:val="24"/>
          <w:szCs w:val="24"/>
        </w:rPr>
        <w:t xml:space="preserve">a </w:t>
      </w:r>
      <w:r w:rsidR="00B7238B" w:rsidRPr="00C34F13">
        <w:rPr>
          <w:rFonts w:ascii="Arial" w:hAnsi="Arial" w:cs="Arial"/>
          <w:sz w:val="24"/>
          <w:szCs w:val="24"/>
        </w:rPr>
        <w:t xml:space="preserve">pleading or affidavit is filed referring to </w:t>
      </w:r>
      <w:r w:rsidR="00654C70" w:rsidRPr="00C34F13">
        <w:rPr>
          <w:rFonts w:ascii="Arial" w:hAnsi="Arial" w:cs="Arial"/>
          <w:sz w:val="24"/>
          <w:szCs w:val="24"/>
        </w:rPr>
        <w:t xml:space="preserve">a </w:t>
      </w:r>
      <w:r w:rsidR="00B7238B" w:rsidRPr="00C34F13">
        <w:rPr>
          <w:rFonts w:ascii="Arial" w:hAnsi="Arial" w:cs="Arial"/>
          <w:sz w:val="24"/>
          <w:szCs w:val="24"/>
        </w:rPr>
        <w:t>document or tape recording</w:t>
      </w:r>
      <w:r w:rsidR="00932EA0" w:rsidRPr="00C34F13">
        <w:rPr>
          <w:rFonts w:ascii="Arial" w:hAnsi="Arial" w:cs="Arial"/>
          <w:sz w:val="24"/>
          <w:szCs w:val="24"/>
        </w:rPr>
        <w:t xml:space="preserve">.  </w:t>
      </w:r>
    </w:p>
    <w:p w14:paraId="4DB6C3A1" w14:textId="77777777" w:rsidR="00932EA0" w:rsidRPr="00932EA0" w:rsidRDefault="00932EA0" w:rsidP="00932EA0">
      <w:pPr>
        <w:pStyle w:val="ListParagraph"/>
        <w:rPr>
          <w:rFonts w:ascii="Arial" w:hAnsi="Arial" w:cs="Arial"/>
          <w:sz w:val="24"/>
          <w:szCs w:val="24"/>
        </w:rPr>
      </w:pPr>
    </w:p>
    <w:p w14:paraId="3B9ADA04" w14:textId="34548CAF" w:rsidR="005E6054"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32EA0" w:rsidRPr="00C34F13">
        <w:rPr>
          <w:rFonts w:ascii="Arial" w:hAnsi="Arial" w:cs="Arial"/>
          <w:sz w:val="24"/>
          <w:szCs w:val="24"/>
        </w:rPr>
        <w:t xml:space="preserve">This clearly </w:t>
      </w:r>
      <w:r w:rsidR="00654C70" w:rsidRPr="00C34F13">
        <w:rPr>
          <w:rFonts w:ascii="Arial" w:hAnsi="Arial" w:cs="Arial"/>
          <w:sz w:val="24"/>
          <w:szCs w:val="24"/>
        </w:rPr>
        <w:t xml:space="preserve">is such as to come before </w:t>
      </w:r>
      <w:r w:rsidR="00932EA0" w:rsidRPr="00C34F13">
        <w:rPr>
          <w:rFonts w:ascii="Arial" w:hAnsi="Arial" w:cs="Arial"/>
          <w:sz w:val="24"/>
          <w:szCs w:val="24"/>
        </w:rPr>
        <w:t>the possibility of any discovery proceedings referred to in Rule 35(1)</w:t>
      </w:r>
      <w:r w:rsidR="000947E9" w:rsidRPr="00C34F13">
        <w:rPr>
          <w:rFonts w:ascii="Arial" w:hAnsi="Arial" w:cs="Arial"/>
          <w:sz w:val="24"/>
          <w:szCs w:val="24"/>
        </w:rPr>
        <w:t>, being brought into operation in the normal course</w:t>
      </w:r>
      <w:r w:rsidR="00932EA0" w:rsidRPr="00C34F13">
        <w:rPr>
          <w:rFonts w:ascii="Arial" w:hAnsi="Arial" w:cs="Arial"/>
          <w:sz w:val="24"/>
          <w:szCs w:val="24"/>
        </w:rPr>
        <w:t xml:space="preserve">.  </w:t>
      </w:r>
    </w:p>
    <w:p w14:paraId="3EAA9C27" w14:textId="77777777" w:rsidR="005E6054" w:rsidRPr="005E6054" w:rsidRDefault="005E6054" w:rsidP="005E6054">
      <w:pPr>
        <w:pStyle w:val="ListParagraph"/>
        <w:rPr>
          <w:rFonts w:ascii="Arial" w:hAnsi="Arial" w:cs="Arial"/>
          <w:sz w:val="24"/>
          <w:szCs w:val="24"/>
        </w:rPr>
      </w:pPr>
    </w:p>
    <w:p w14:paraId="4CA0E8A8" w14:textId="0DF8D433" w:rsidR="00110C17" w:rsidRPr="00C34F13" w:rsidRDefault="00C34F13" w:rsidP="00C34F13">
      <w:pPr>
        <w:spacing w:after="0" w:line="480" w:lineRule="auto"/>
        <w:ind w:left="720" w:hanging="720"/>
        <w:jc w:val="both"/>
        <w:rPr>
          <w:rFonts w:ascii="Arial" w:hAnsi="Arial" w:cs="Arial"/>
          <w:i/>
          <w:iCs/>
          <w:sz w:val="24"/>
          <w:szCs w:val="24"/>
        </w:rPr>
      </w:pPr>
      <w:r w:rsidRPr="006E6450">
        <w:rPr>
          <w:rFonts w:ascii="Arial" w:hAnsi="Arial" w:cs="Arial"/>
          <w:i/>
          <w:iCs/>
          <w:sz w:val="24"/>
          <w:szCs w:val="24"/>
        </w:rPr>
        <w:t>23.</w:t>
      </w:r>
      <w:r w:rsidRPr="006E6450">
        <w:rPr>
          <w:rFonts w:ascii="Arial" w:hAnsi="Arial" w:cs="Arial"/>
          <w:i/>
          <w:iCs/>
          <w:sz w:val="24"/>
          <w:szCs w:val="24"/>
        </w:rPr>
        <w:tab/>
      </w:r>
      <w:r w:rsidR="005E6054" w:rsidRPr="00C34F13">
        <w:rPr>
          <w:rFonts w:ascii="Arial" w:hAnsi="Arial" w:cs="Arial"/>
          <w:sz w:val="24"/>
          <w:szCs w:val="24"/>
        </w:rPr>
        <w:t xml:space="preserve">Indeed, in </w:t>
      </w:r>
      <w:r w:rsidR="005E6054" w:rsidRPr="00C34F13">
        <w:rPr>
          <w:rFonts w:ascii="Arial" w:hAnsi="Arial" w:cs="Arial"/>
          <w:b/>
          <w:bCs/>
          <w:sz w:val="24"/>
          <w:szCs w:val="24"/>
        </w:rPr>
        <w:t>Gorfinkel</w:t>
      </w:r>
      <w:r w:rsidR="005E6054" w:rsidRPr="00C34F13">
        <w:rPr>
          <w:rFonts w:ascii="Arial" w:hAnsi="Arial" w:cs="Arial"/>
          <w:sz w:val="24"/>
          <w:szCs w:val="24"/>
        </w:rPr>
        <w:t xml:space="preserve"> (</w:t>
      </w:r>
      <w:r w:rsidR="005E6054" w:rsidRPr="00C34F13">
        <w:rPr>
          <w:rFonts w:ascii="Arial" w:hAnsi="Arial" w:cs="Arial"/>
          <w:i/>
          <w:iCs/>
          <w:sz w:val="24"/>
          <w:szCs w:val="24"/>
        </w:rPr>
        <w:t>supra)</w:t>
      </w:r>
      <w:r w:rsidR="005E6054">
        <w:rPr>
          <w:rStyle w:val="FootnoteReference"/>
          <w:rFonts w:ascii="Arial" w:hAnsi="Arial" w:cs="Arial"/>
          <w:i/>
          <w:iCs/>
          <w:sz w:val="24"/>
          <w:szCs w:val="24"/>
        </w:rPr>
        <w:footnoteReference w:id="6"/>
      </w:r>
      <w:r w:rsidR="006E6450" w:rsidRPr="00C34F13">
        <w:rPr>
          <w:rFonts w:ascii="Arial" w:hAnsi="Arial" w:cs="Arial"/>
          <w:i/>
          <w:iCs/>
          <w:sz w:val="24"/>
          <w:szCs w:val="24"/>
        </w:rPr>
        <w:t xml:space="preserve"> </w:t>
      </w:r>
      <w:r w:rsidR="006E6450" w:rsidRPr="00C34F13">
        <w:rPr>
          <w:rFonts w:ascii="Arial" w:hAnsi="Arial" w:cs="Arial"/>
          <w:sz w:val="24"/>
          <w:szCs w:val="24"/>
        </w:rPr>
        <w:t>the following was stated:</w:t>
      </w:r>
    </w:p>
    <w:p w14:paraId="09C5F3EE" w14:textId="77777777" w:rsidR="006E6450" w:rsidRPr="006E6450" w:rsidRDefault="006E6450" w:rsidP="006E6450">
      <w:pPr>
        <w:pStyle w:val="ListParagraph"/>
        <w:rPr>
          <w:rFonts w:ascii="Arial" w:hAnsi="Arial" w:cs="Arial"/>
          <w:i/>
          <w:iCs/>
          <w:sz w:val="24"/>
          <w:szCs w:val="24"/>
        </w:rPr>
      </w:pPr>
    </w:p>
    <w:p w14:paraId="36D71DE0" w14:textId="460466A9" w:rsidR="00BC71BD" w:rsidRPr="00BC71BD" w:rsidRDefault="00582FD5" w:rsidP="00582FD5">
      <w:pPr>
        <w:spacing w:line="360" w:lineRule="auto"/>
        <w:ind w:left="1440"/>
        <w:jc w:val="both"/>
        <w:rPr>
          <w:rFonts w:ascii="Arial" w:hAnsi="Arial" w:cs="Arial"/>
        </w:rPr>
      </w:pPr>
      <w:r>
        <w:rPr>
          <w:rFonts w:ascii="Arial" w:hAnsi="Arial" w:cs="Arial"/>
        </w:rPr>
        <w:lastRenderedPageBreak/>
        <w:t>“</w:t>
      </w:r>
      <w:r w:rsidR="00BC71BD" w:rsidRPr="00BC71BD">
        <w:rPr>
          <w:rFonts w:ascii="Arial" w:hAnsi="Arial" w:cs="Arial"/>
        </w:rPr>
        <w:t>As Rule 35(12) can be applied at any time, ie before the close of pleadings or before affidavits in a motion have been finalized, it is not difficult to conceive of instances where the test for determining relevance for the purposes of Rule 35(1) cannot be applied to documents which a party is called upon to produce under Rule 35(12), as for example where the issues have not yet become crystallized.  Having regard to the wide terms in which Rule 35(12) is framed, the manifest difference in wording between this subrule and the other subrules, ie subrules (1), (3) and (11) and the fact that a notice under Rule 35(12) may be served at any time, ie not necessarily only after the close of pleadings or the filing of affidavits by both sides, the Rule should to my mind be interpreted as follows: prima facie there is an obligation on a party who refers to a document in a pleading or affidavit to produce it for inspection if called upon to do so in terms of Rule 35(12).</w:t>
      </w:r>
      <w:r>
        <w:rPr>
          <w:rFonts w:ascii="Arial" w:hAnsi="Arial" w:cs="Arial"/>
        </w:rPr>
        <w:t>”</w:t>
      </w:r>
    </w:p>
    <w:p w14:paraId="58762537" w14:textId="77777777" w:rsidR="00B846D8" w:rsidRDefault="00B846D8" w:rsidP="00B846D8">
      <w:pPr>
        <w:spacing w:after="0" w:line="480" w:lineRule="auto"/>
        <w:jc w:val="both"/>
        <w:rPr>
          <w:rFonts w:ascii="Arial" w:hAnsi="Arial" w:cs="Arial"/>
          <w:sz w:val="24"/>
          <w:szCs w:val="24"/>
        </w:rPr>
      </w:pPr>
    </w:p>
    <w:p w14:paraId="2D498683" w14:textId="246A592B" w:rsidR="00B846D8"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B6E23" w:rsidRPr="00C34F13">
        <w:rPr>
          <w:rFonts w:ascii="Arial" w:hAnsi="Arial" w:cs="Arial"/>
          <w:sz w:val="24"/>
          <w:szCs w:val="24"/>
        </w:rPr>
        <w:t xml:space="preserve">The proper approach to interpretation of the Rules is no different from that in </w:t>
      </w:r>
      <w:r w:rsidR="00FC4343" w:rsidRPr="00C34F13">
        <w:rPr>
          <w:rFonts w:ascii="Arial" w:hAnsi="Arial" w:cs="Arial"/>
          <w:sz w:val="24"/>
          <w:szCs w:val="24"/>
        </w:rPr>
        <w:t xml:space="preserve">any other interpretative exercise.  </w:t>
      </w:r>
    </w:p>
    <w:p w14:paraId="1464C5B8" w14:textId="77777777" w:rsidR="00B846D8" w:rsidRDefault="00B846D8" w:rsidP="00B846D8">
      <w:pPr>
        <w:pStyle w:val="ListParagraph"/>
        <w:spacing w:after="0" w:line="480" w:lineRule="auto"/>
        <w:jc w:val="both"/>
        <w:rPr>
          <w:rFonts w:ascii="Arial" w:hAnsi="Arial" w:cs="Arial"/>
          <w:sz w:val="24"/>
          <w:szCs w:val="24"/>
        </w:rPr>
      </w:pPr>
    </w:p>
    <w:p w14:paraId="31EFD7E0" w14:textId="0DFCDD28" w:rsidR="00A510DF" w:rsidRPr="00C34F13" w:rsidRDefault="00C34F13" w:rsidP="00C34F13">
      <w:pPr>
        <w:spacing w:after="0" w:line="480" w:lineRule="auto"/>
        <w:ind w:left="720" w:hanging="720"/>
        <w:jc w:val="both"/>
        <w:rPr>
          <w:rFonts w:ascii="Arial" w:hAnsi="Arial" w:cs="Arial"/>
          <w:sz w:val="24"/>
          <w:szCs w:val="24"/>
        </w:rPr>
      </w:pPr>
      <w:r w:rsidRPr="00B846D8">
        <w:rPr>
          <w:rFonts w:ascii="Arial" w:hAnsi="Arial" w:cs="Arial"/>
          <w:sz w:val="24"/>
          <w:szCs w:val="24"/>
        </w:rPr>
        <w:t>25.</w:t>
      </w:r>
      <w:r w:rsidRPr="00B846D8">
        <w:rPr>
          <w:rFonts w:ascii="Arial" w:hAnsi="Arial" w:cs="Arial"/>
          <w:sz w:val="24"/>
          <w:szCs w:val="24"/>
        </w:rPr>
        <w:tab/>
      </w:r>
      <w:r w:rsidR="00A510DF" w:rsidRPr="00C34F13">
        <w:rPr>
          <w:rFonts w:ascii="Arial" w:hAnsi="Arial" w:cs="Arial"/>
          <w:sz w:val="24"/>
          <w:szCs w:val="24"/>
        </w:rPr>
        <w:t>It must be emphasised, and always remembered, that in the current day, interpretation of a document, including a statute, requires careful regard to context</w:t>
      </w:r>
      <w:r w:rsidR="00135AD0" w:rsidRPr="00C34F13">
        <w:rPr>
          <w:rFonts w:ascii="Arial" w:hAnsi="Arial" w:cs="Arial"/>
          <w:sz w:val="24"/>
          <w:szCs w:val="24"/>
        </w:rPr>
        <w:t xml:space="preserve"> (and the Rules)</w:t>
      </w:r>
      <w:r w:rsidR="00A510DF" w:rsidRPr="00C34F13">
        <w:rPr>
          <w:rFonts w:ascii="Arial" w:hAnsi="Arial" w:cs="Arial"/>
          <w:sz w:val="24"/>
          <w:szCs w:val="24"/>
        </w:rPr>
        <w:t>.  When a court determines the nature of the party’s rights and obligations in a contract it is involved in an exercise of contractual interpretation.  There is now a settled approach to the interpretation of contracts, documents and indeed statutes.</w:t>
      </w:r>
      <w:r w:rsidR="00A510DF">
        <w:rPr>
          <w:rStyle w:val="FootnoteReference"/>
          <w:rFonts w:ascii="Arial" w:hAnsi="Arial" w:cs="Arial"/>
          <w:sz w:val="24"/>
          <w:szCs w:val="24"/>
        </w:rPr>
        <w:footnoteReference w:id="7"/>
      </w:r>
      <w:r w:rsidR="00A510DF" w:rsidRPr="00C34F13">
        <w:rPr>
          <w:rFonts w:ascii="Arial" w:hAnsi="Arial" w:cs="Arial"/>
          <w:sz w:val="24"/>
          <w:szCs w:val="24"/>
        </w:rPr>
        <w:t xml:space="preserve">  In that matter the following was said:</w:t>
      </w:r>
    </w:p>
    <w:p w14:paraId="593973DB" w14:textId="77777777" w:rsidR="00A510DF" w:rsidRDefault="00A510DF" w:rsidP="00A510DF">
      <w:pPr>
        <w:pStyle w:val="ListParagraph"/>
        <w:spacing w:after="0" w:line="360" w:lineRule="auto"/>
        <w:jc w:val="both"/>
        <w:rPr>
          <w:rFonts w:ascii="Arial" w:hAnsi="Arial" w:cs="Arial"/>
          <w:sz w:val="24"/>
          <w:szCs w:val="24"/>
        </w:rPr>
      </w:pPr>
    </w:p>
    <w:p w14:paraId="0C1E7D57" w14:textId="77777777" w:rsidR="00A510DF" w:rsidRPr="00FA07D1" w:rsidRDefault="00A510DF" w:rsidP="00A510DF">
      <w:pPr>
        <w:pStyle w:val="ListParagraph"/>
        <w:spacing w:after="0" w:line="360" w:lineRule="auto"/>
        <w:ind w:left="1440"/>
        <w:jc w:val="both"/>
        <w:rPr>
          <w:rFonts w:ascii="Arial" w:hAnsi="Arial" w:cs="Arial"/>
        </w:rPr>
      </w:pPr>
      <w:r w:rsidRPr="00FA07D1">
        <w:rPr>
          <w:rFonts w:ascii="Arial" w:hAnsi="Arial" w:cs="Arial"/>
        </w:rPr>
        <w:t>“</w:t>
      </w:r>
      <w:r w:rsidRPr="00FA07D1">
        <w:rPr>
          <w:rFonts w:ascii="Arial" w:hAnsi="Arial" w:cs="Arial"/>
          <w:color w:val="242121"/>
          <w:shd w:val="clear" w:color="auto" w:fill="FFFFFF"/>
        </w:rPr>
        <w:t xml:space="preserve">[18] Over the last century there have been significant developments in the law relating to the interpretation of documents, both in this country and in others that follow similar rules to our own.  It is unnecessary to add unduly to the burden of annotations by trawling through the case law on the construction of </w:t>
      </w:r>
      <w:r w:rsidRPr="00FA07D1">
        <w:rPr>
          <w:rFonts w:ascii="Arial" w:hAnsi="Arial" w:cs="Arial"/>
          <w:color w:val="242121"/>
          <w:shd w:val="clear" w:color="auto" w:fill="FFFFFF"/>
        </w:rPr>
        <w:lastRenderedPageBreak/>
        <w:t>documents in order to trace those developments. The relevant authorities are collected and summarised in </w:t>
      </w:r>
      <w:r w:rsidRPr="00FA07D1">
        <w:rPr>
          <w:rFonts w:ascii="Arial" w:hAnsi="Arial" w:cs="Arial"/>
          <w:i/>
          <w:iCs/>
          <w:color w:val="242121"/>
          <w:shd w:val="clear" w:color="auto" w:fill="FFFFFF"/>
        </w:rPr>
        <w:t>Bastian Financial Services (Pty) Ltd v General Hendrik Schoeman Primary School.</w:t>
      </w:r>
      <w:r w:rsidRPr="00FA07D1">
        <w:rPr>
          <w:rFonts w:ascii="Arial" w:hAnsi="Arial" w:cs="Arial"/>
          <w:b/>
          <w:bCs/>
          <w:color w:val="242121"/>
          <w:shd w:val="clear" w:color="auto" w:fill="FFFFFF"/>
          <w:vertAlign w:val="superscript"/>
        </w:rPr>
        <w:t xml:space="preserve"> </w:t>
      </w:r>
      <w:r w:rsidRPr="00FA07D1">
        <w:rPr>
          <w:rFonts w:ascii="Arial" w:hAnsi="Arial" w:cs="Arial"/>
          <w:color w:val="242121"/>
          <w:shd w:val="clear" w:color="auto" w:fill="FFFFFF"/>
        </w:rPr>
        <w:t xml:space="preserve">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34" w:name="sdfootnote15anc"/>
      <w:r w:rsidRPr="00FA07D1">
        <w:rPr>
          <w:rFonts w:ascii="Arial" w:hAnsi="Arial" w:cs="Arial"/>
          <w:color w:val="242121"/>
          <w:shd w:val="clear" w:color="auto" w:fill="FFFFFF"/>
        </w:rPr>
        <w:fldChar w:fldCharType="begin"/>
      </w:r>
      <w:r w:rsidRPr="00FA07D1">
        <w:rPr>
          <w:rFonts w:ascii="Arial" w:hAnsi="Arial" w:cs="Arial"/>
          <w:color w:val="242121"/>
          <w:shd w:val="clear" w:color="auto" w:fill="FFFFFF"/>
        </w:rPr>
        <w:instrText xml:space="preserve"> HYPERLINK "http://www.saflii.org/za/cases/ZASCA/2012/13.html" \l "sdfootnote15sym" </w:instrText>
      </w:r>
      <w:r w:rsidRPr="00FA07D1">
        <w:rPr>
          <w:rFonts w:ascii="Arial" w:hAnsi="Arial" w:cs="Arial"/>
          <w:color w:val="242121"/>
          <w:shd w:val="clear" w:color="auto" w:fill="FFFFFF"/>
        </w:rPr>
        <w:fldChar w:fldCharType="separate"/>
      </w:r>
      <w:r w:rsidRPr="00FA07D1">
        <w:rPr>
          <w:rStyle w:val="Hyperlink"/>
          <w:rFonts w:ascii="Arial" w:hAnsi="Arial" w:cs="Arial"/>
          <w:b/>
          <w:bCs/>
          <w:color w:val="0B4B0B"/>
          <w:shd w:val="clear" w:color="auto" w:fill="FFFFFF"/>
          <w:vertAlign w:val="superscript"/>
        </w:rPr>
        <w:t>15</w:t>
      </w:r>
      <w:r w:rsidRPr="00FA07D1">
        <w:rPr>
          <w:rFonts w:ascii="Arial" w:hAnsi="Arial" w:cs="Arial"/>
          <w:color w:val="242121"/>
          <w:shd w:val="clear" w:color="auto" w:fill="FFFFFF"/>
        </w:rPr>
        <w:fldChar w:fldCharType="end"/>
      </w:r>
      <w:bookmarkEnd w:id="34"/>
      <w:r w:rsidRPr="00FA07D1">
        <w:rPr>
          <w:rFonts w:ascii="Arial" w:hAnsi="Arial" w:cs="Arial"/>
          <w:color w:val="242121"/>
          <w:shd w:val="clear" w:color="auto" w:fill="FFFFFF"/>
        </w:rPr>
        <w:t>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bookmarkStart w:id="35" w:name="sdfootnote16anc"/>
      <w:r w:rsidRPr="00FA07D1">
        <w:rPr>
          <w:rFonts w:ascii="Arial" w:hAnsi="Arial" w:cs="Arial"/>
          <w:color w:val="242121"/>
          <w:shd w:val="clear" w:color="auto" w:fill="FFFFFF"/>
        </w:rPr>
        <w:fldChar w:fldCharType="begin"/>
      </w:r>
      <w:r w:rsidRPr="00FA07D1">
        <w:rPr>
          <w:rFonts w:ascii="Arial" w:hAnsi="Arial" w:cs="Arial"/>
          <w:color w:val="242121"/>
          <w:shd w:val="clear" w:color="auto" w:fill="FFFFFF"/>
        </w:rPr>
        <w:instrText xml:space="preserve"> HYPERLINK "http://www.saflii.org/za/cases/ZASCA/2012/13.html" \l "sdfootnote16sym" </w:instrText>
      </w:r>
      <w:r w:rsidRPr="00FA07D1">
        <w:rPr>
          <w:rFonts w:ascii="Arial" w:hAnsi="Arial" w:cs="Arial"/>
          <w:color w:val="242121"/>
          <w:shd w:val="clear" w:color="auto" w:fill="FFFFFF"/>
        </w:rPr>
        <w:fldChar w:fldCharType="separate"/>
      </w:r>
      <w:r w:rsidRPr="00FA07D1">
        <w:rPr>
          <w:rStyle w:val="Hyperlink"/>
          <w:rFonts w:ascii="Arial" w:hAnsi="Arial" w:cs="Arial"/>
          <w:b/>
          <w:bCs/>
          <w:color w:val="0B4B0B"/>
          <w:shd w:val="clear" w:color="auto" w:fill="FFFFFF"/>
          <w:vertAlign w:val="superscript"/>
        </w:rPr>
        <w:t>16</w:t>
      </w:r>
      <w:r w:rsidRPr="00FA07D1">
        <w:rPr>
          <w:rFonts w:ascii="Arial" w:hAnsi="Arial" w:cs="Arial"/>
          <w:color w:val="242121"/>
          <w:shd w:val="clear" w:color="auto" w:fill="FFFFFF"/>
        </w:rPr>
        <w:fldChar w:fldCharType="end"/>
      </w:r>
      <w:bookmarkEnd w:id="35"/>
      <w:r w:rsidRPr="00FA07D1">
        <w:rPr>
          <w:rFonts w:ascii="Arial" w:hAnsi="Arial" w:cs="Arial"/>
          <w:color w:val="242121"/>
          <w:shd w:val="clear" w:color="auto" w:fill="FFFFFF"/>
        </w:rPr>
        <w:t> read in context and having regard to the purpose of the provision and the background to the preparation and production of the document.”</w:t>
      </w:r>
      <w:r w:rsidRPr="00FA07D1">
        <w:rPr>
          <w:rFonts w:ascii="Arial" w:hAnsi="Arial" w:cs="Arial"/>
        </w:rPr>
        <w:t xml:space="preserve"> </w:t>
      </w:r>
    </w:p>
    <w:p w14:paraId="08BB31D9" w14:textId="77777777" w:rsidR="00A510DF" w:rsidRDefault="00A510DF" w:rsidP="00A510DF">
      <w:pPr>
        <w:pStyle w:val="ListParagraph"/>
        <w:spacing w:after="0" w:line="480" w:lineRule="auto"/>
        <w:ind w:hanging="720"/>
        <w:rPr>
          <w:rFonts w:ascii="Arial" w:hAnsi="Arial" w:cs="Arial"/>
          <w:sz w:val="24"/>
          <w:szCs w:val="24"/>
          <w:u w:val="single"/>
        </w:rPr>
      </w:pPr>
    </w:p>
    <w:p w14:paraId="10741100" w14:textId="7BCB40EB" w:rsidR="00A510DF" w:rsidRPr="00C34F13" w:rsidRDefault="00C34F13" w:rsidP="00C34F13">
      <w:pPr>
        <w:spacing w:after="0" w:line="480" w:lineRule="auto"/>
        <w:ind w:left="720" w:hanging="720"/>
        <w:jc w:val="both"/>
        <w:rPr>
          <w:rFonts w:ascii="Arial" w:hAnsi="Arial" w:cs="Arial"/>
          <w:sz w:val="24"/>
          <w:szCs w:val="24"/>
          <w:u w:val="single"/>
        </w:rPr>
      </w:pPr>
      <w:r>
        <w:rPr>
          <w:rFonts w:ascii="Arial" w:hAnsi="Arial" w:cs="Arial"/>
          <w:sz w:val="24"/>
          <w:szCs w:val="24"/>
        </w:rPr>
        <w:t>26.</w:t>
      </w:r>
      <w:r>
        <w:rPr>
          <w:rFonts w:ascii="Arial" w:hAnsi="Arial" w:cs="Arial"/>
          <w:sz w:val="24"/>
          <w:szCs w:val="24"/>
        </w:rPr>
        <w:tab/>
      </w:r>
      <w:r w:rsidR="00A510DF" w:rsidRPr="00C34F13">
        <w:rPr>
          <w:rFonts w:ascii="Arial" w:hAnsi="Arial" w:cs="Arial"/>
          <w:sz w:val="24"/>
          <w:szCs w:val="24"/>
        </w:rPr>
        <w:t xml:space="preserve">As was emphasised this approach to interpretation requires that from the outset one considers the context and language together, with neither predominating over the other.  </w:t>
      </w:r>
    </w:p>
    <w:p w14:paraId="4FBCE532" w14:textId="77777777" w:rsidR="00A510DF" w:rsidRDefault="00A510DF" w:rsidP="00A510DF">
      <w:pPr>
        <w:pStyle w:val="ListParagraph"/>
        <w:spacing w:after="0" w:line="480" w:lineRule="auto"/>
        <w:jc w:val="both"/>
        <w:rPr>
          <w:rFonts w:ascii="Arial" w:hAnsi="Arial" w:cs="Arial"/>
          <w:b/>
          <w:sz w:val="24"/>
          <w:szCs w:val="24"/>
          <w:u w:val="single"/>
        </w:rPr>
      </w:pPr>
    </w:p>
    <w:p w14:paraId="1CB191D9" w14:textId="5192D6C4" w:rsidR="00A510DF" w:rsidRPr="00C34F13" w:rsidRDefault="00C34F13" w:rsidP="00C34F13">
      <w:pPr>
        <w:spacing w:after="0" w:line="480" w:lineRule="auto"/>
        <w:ind w:left="720" w:hanging="720"/>
        <w:jc w:val="both"/>
        <w:rPr>
          <w:rFonts w:ascii="Arial" w:hAnsi="Arial" w:cs="Arial"/>
          <w:sz w:val="24"/>
          <w:szCs w:val="24"/>
          <w:u w:val="single"/>
        </w:rPr>
      </w:pPr>
      <w:r>
        <w:rPr>
          <w:rFonts w:ascii="Arial" w:hAnsi="Arial" w:cs="Arial"/>
          <w:sz w:val="24"/>
          <w:szCs w:val="24"/>
        </w:rPr>
        <w:t>27.</w:t>
      </w:r>
      <w:r>
        <w:rPr>
          <w:rFonts w:ascii="Arial" w:hAnsi="Arial" w:cs="Arial"/>
          <w:sz w:val="24"/>
          <w:szCs w:val="24"/>
        </w:rPr>
        <w:tab/>
      </w:r>
      <w:r w:rsidR="00A510DF" w:rsidRPr="00C34F13">
        <w:rPr>
          <w:rFonts w:ascii="Arial" w:hAnsi="Arial" w:cs="Arial"/>
          <w:sz w:val="24"/>
          <w:szCs w:val="24"/>
        </w:rPr>
        <w:t xml:space="preserve">In </w:t>
      </w:r>
      <w:r w:rsidR="00A510DF" w:rsidRPr="00C34F13">
        <w:rPr>
          <w:rFonts w:ascii="Arial" w:hAnsi="Arial" w:cs="Arial"/>
          <w:b/>
          <w:sz w:val="24"/>
          <w:szCs w:val="24"/>
        </w:rPr>
        <w:t>Chisuse v Director - General Director of Home Affairs</w:t>
      </w:r>
      <w:r w:rsidR="00A510DF">
        <w:rPr>
          <w:rStyle w:val="FootnoteReference"/>
          <w:rFonts w:ascii="Arial" w:hAnsi="Arial" w:cs="Arial"/>
          <w:sz w:val="24"/>
          <w:szCs w:val="24"/>
        </w:rPr>
        <w:footnoteReference w:id="8"/>
      </w:r>
      <w:r w:rsidR="00A510DF" w:rsidRPr="00C34F13">
        <w:rPr>
          <w:rFonts w:ascii="Arial" w:hAnsi="Arial" w:cs="Arial"/>
          <w:sz w:val="24"/>
          <w:szCs w:val="24"/>
        </w:rPr>
        <w:t xml:space="preserve"> (at paragraph 52) the Constitutional Court speaking in the context of statutory interpretation held </w:t>
      </w:r>
      <w:r w:rsidR="00A510DF" w:rsidRPr="00C34F13">
        <w:rPr>
          <w:rFonts w:ascii="Arial" w:hAnsi="Arial" w:cs="Arial"/>
          <w:sz w:val="24"/>
          <w:szCs w:val="24"/>
        </w:rPr>
        <w:lastRenderedPageBreak/>
        <w:t>that this “</w:t>
      </w:r>
      <w:r w:rsidR="00A510DF" w:rsidRPr="00C34F13">
        <w:rPr>
          <w:rFonts w:ascii="Arial" w:hAnsi="Arial" w:cs="Arial"/>
          <w:i/>
          <w:sz w:val="24"/>
          <w:szCs w:val="24"/>
        </w:rPr>
        <w:t>now settled</w:t>
      </w:r>
      <w:r w:rsidR="00A510DF" w:rsidRPr="00C34F13">
        <w:rPr>
          <w:rFonts w:ascii="Arial" w:hAnsi="Arial" w:cs="Arial"/>
          <w:sz w:val="24"/>
          <w:szCs w:val="24"/>
        </w:rPr>
        <w:t>” approach to interpretation, is a “</w:t>
      </w:r>
      <w:r w:rsidR="00A510DF" w:rsidRPr="00C34F13">
        <w:rPr>
          <w:rFonts w:ascii="Arial" w:hAnsi="Arial" w:cs="Arial"/>
          <w:i/>
          <w:sz w:val="24"/>
          <w:szCs w:val="24"/>
        </w:rPr>
        <w:t>unitary</w:t>
      </w:r>
      <w:r w:rsidR="00A510DF" w:rsidRPr="00C34F13">
        <w:rPr>
          <w:rFonts w:ascii="Arial" w:hAnsi="Arial" w:cs="Arial"/>
          <w:sz w:val="24"/>
          <w:szCs w:val="24"/>
        </w:rPr>
        <w:t xml:space="preserve">” exercise.  This means said the court in </w:t>
      </w:r>
      <w:r w:rsidR="00A510DF" w:rsidRPr="00C34F13">
        <w:rPr>
          <w:rFonts w:ascii="Arial" w:hAnsi="Arial" w:cs="Arial"/>
          <w:b/>
          <w:sz w:val="24"/>
          <w:szCs w:val="24"/>
        </w:rPr>
        <w:t>University of Johannesburg v Auckland Park Theological Seminary and another</w:t>
      </w:r>
      <w:r w:rsidR="00A510DF">
        <w:rPr>
          <w:rStyle w:val="FootnoteReference"/>
          <w:rFonts w:ascii="Arial" w:hAnsi="Arial" w:cs="Arial"/>
          <w:sz w:val="24"/>
          <w:szCs w:val="24"/>
        </w:rPr>
        <w:footnoteReference w:id="9"/>
      </w:r>
      <w:r w:rsidR="000A1D72" w:rsidRPr="00C34F13">
        <w:rPr>
          <w:rFonts w:ascii="Arial" w:hAnsi="Arial" w:cs="Arial"/>
          <w:b/>
          <w:sz w:val="24"/>
          <w:szCs w:val="24"/>
        </w:rPr>
        <w:t>,</w:t>
      </w:r>
      <w:r w:rsidR="00A510DF" w:rsidRPr="00C34F13">
        <w:rPr>
          <w:rFonts w:ascii="Arial" w:hAnsi="Arial" w:cs="Arial"/>
          <w:sz w:val="24"/>
          <w:szCs w:val="24"/>
        </w:rPr>
        <w:t xml:space="preserve"> that interpretation is to be approached holistically: simultaneously considering the text, context and purpose.  To make it clear, it has been explicitly pointed out in cases subsequent to </w:t>
      </w:r>
      <w:r w:rsidR="00A510DF" w:rsidRPr="00C34F13">
        <w:rPr>
          <w:rFonts w:ascii="Arial" w:hAnsi="Arial" w:cs="Arial"/>
          <w:b/>
          <w:bCs/>
          <w:sz w:val="24"/>
          <w:szCs w:val="24"/>
        </w:rPr>
        <w:t>Endumeni</w:t>
      </w:r>
      <w:r w:rsidR="00A510DF" w:rsidRPr="00C34F13">
        <w:rPr>
          <w:rFonts w:ascii="Arial" w:hAnsi="Arial" w:cs="Arial"/>
          <w:sz w:val="24"/>
          <w:szCs w:val="24"/>
        </w:rPr>
        <w:t xml:space="preserve"> that context and purpose must be taken into account as a matter of course whether or not the words used in the contract (or statute) are ambiguous.</w:t>
      </w:r>
      <w:r w:rsidR="00A510DF">
        <w:rPr>
          <w:rStyle w:val="FootnoteReference"/>
          <w:rFonts w:ascii="Arial" w:hAnsi="Arial" w:cs="Arial"/>
          <w:sz w:val="24"/>
          <w:szCs w:val="24"/>
        </w:rPr>
        <w:footnoteReference w:id="10"/>
      </w:r>
    </w:p>
    <w:p w14:paraId="6334EDC6" w14:textId="77777777" w:rsidR="00A510DF" w:rsidRDefault="00A510DF" w:rsidP="00A510DF">
      <w:pPr>
        <w:pStyle w:val="ListParagraph"/>
        <w:spacing w:after="0"/>
        <w:rPr>
          <w:rFonts w:ascii="Arial" w:hAnsi="Arial" w:cs="Arial"/>
          <w:sz w:val="24"/>
          <w:szCs w:val="24"/>
          <w:u w:val="single"/>
        </w:rPr>
      </w:pPr>
    </w:p>
    <w:p w14:paraId="0092AAC3" w14:textId="47D11573" w:rsidR="00A510DF" w:rsidRPr="00C34F13" w:rsidRDefault="00C34F13" w:rsidP="00C34F13">
      <w:pPr>
        <w:spacing w:after="0" w:line="480" w:lineRule="auto"/>
        <w:ind w:left="720" w:hanging="720"/>
        <w:jc w:val="both"/>
        <w:rPr>
          <w:rFonts w:ascii="Arial" w:hAnsi="Arial" w:cs="Arial"/>
          <w:sz w:val="24"/>
          <w:szCs w:val="24"/>
          <w:u w:val="single"/>
        </w:rPr>
      </w:pPr>
      <w:r>
        <w:rPr>
          <w:rFonts w:ascii="Arial" w:hAnsi="Arial" w:cs="Arial"/>
          <w:sz w:val="24"/>
          <w:szCs w:val="24"/>
        </w:rPr>
        <w:t>28.</w:t>
      </w:r>
      <w:r>
        <w:rPr>
          <w:rFonts w:ascii="Arial" w:hAnsi="Arial" w:cs="Arial"/>
          <w:sz w:val="24"/>
          <w:szCs w:val="24"/>
        </w:rPr>
        <w:tab/>
      </w:r>
      <w:r w:rsidR="00A510DF" w:rsidRPr="00C34F13">
        <w:rPr>
          <w:rFonts w:ascii="Arial" w:hAnsi="Arial" w:cs="Arial"/>
          <w:sz w:val="24"/>
          <w:szCs w:val="24"/>
        </w:rPr>
        <w:t xml:space="preserve">In </w:t>
      </w:r>
      <w:r w:rsidR="00A510DF" w:rsidRPr="00C34F13">
        <w:rPr>
          <w:rFonts w:ascii="Arial" w:hAnsi="Arial" w:cs="Arial"/>
          <w:b/>
          <w:sz w:val="24"/>
          <w:szCs w:val="24"/>
        </w:rPr>
        <w:t>Cool Ideas 1186 CC v Hubbard</w:t>
      </w:r>
      <w:r w:rsidR="00A510DF">
        <w:rPr>
          <w:rStyle w:val="FootnoteReference"/>
          <w:rFonts w:ascii="Arial" w:hAnsi="Arial" w:cs="Arial"/>
          <w:sz w:val="24"/>
          <w:szCs w:val="24"/>
        </w:rPr>
        <w:footnoteReference w:id="11"/>
      </w:r>
      <w:r w:rsidR="00A510DF" w:rsidRPr="00C34F13">
        <w:rPr>
          <w:rFonts w:ascii="Arial" w:hAnsi="Arial" w:cs="Arial"/>
          <w:sz w:val="24"/>
          <w:szCs w:val="24"/>
        </w:rPr>
        <w:t xml:space="preserve"> the court in dealing with the interpretation of statutes said the following:</w:t>
      </w:r>
    </w:p>
    <w:p w14:paraId="15ADA88D" w14:textId="77777777" w:rsidR="00A510DF" w:rsidRDefault="00A510DF" w:rsidP="00A510DF">
      <w:pPr>
        <w:pStyle w:val="ListParagraph"/>
        <w:spacing w:after="0"/>
        <w:jc w:val="both"/>
        <w:rPr>
          <w:rFonts w:ascii="Arial" w:hAnsi="Arial" w:cs="Arial"/>
          <w:sz w:val="24"/>
          <w:szCs w:val="24"/>
          <w:u w:val="single"/>
        </w:rPr>
      </w:pPr>
    </w:p>
    <w:p w14:paraId="4227D50F" w14:textId="77777777" w:rsidR="00A510DF" w:rsidRDefault="00A510DF" w:rsidP="00A510DF">
      <w:pPr>
        <w:pStyle w:val="NormalWeb"/>
        <w:shd w:val="clear" w:color="auto" w:fill="FFFFFF"/>
        <w:spacing w:before="0" w:beforeAutospacing="0" w:after="0" w:afterAutospacing="0" w:line="360" w:lineRule="auto"/>
        <w:ind w:left="1440"/>
        <w:contextualSpacing/>
        <w:jc w:val="both"/>
        <w:rPr>
          <w:rFonts w:ascii="Arial" w:hAnsi="Arial" w:cs="Arial"/>
          <w:color w:val="242121"/>
          <w:sz w:val="22"/>
          <w:szCs w:val="22"/>
        </w:rPr>
      </w:pPr>
      <w:r>
        <w:rPr>
          <w:rFonts w:ascii="Arial" w:hAnsi="Arial" w:cs="Arial"/>
          <w:sz w:val="22"/>
          <w:szCs w:val="22"/>
        </w:rPr>
        <w:t>“</w:t>
      </w:r>
      <w:r>
        <w:rPr>
          <w:rFonts w:ascii="Arial" w:hAnsi="Arial" w:cs="Arial"/>
          <w:color w:val="242121"/>
          <w:sz w:val="22"/>
          <w:szCs w:val="22"/>
          <w:lang w:val="en-ZA"/>
        </w:rPr>
        <w:t>[28] A fundamental tenet of statutory interpretation is that the words in a statute must be given their ordinary grammatical meaning, unless to do so would result in an absurdity.</w:t>
      </w:r>
      <w:r>
        <w:rPr>
          <w:rFonts w:ascii="Arial" w:hAnsi="Arial" w:cs="Arial"/>
          <w:color w:val="242121"/>
          <w:sz w:val="22"/>
          <w:szCs w:val="22"/>
        </w:rPr>
        <w:t>  </w:t>
      </w:r>
      <w:r>
        <w:rPr>
          <w:rFonts w:ascii="Arial" w:hAnsi="Arial" w:cs="Arial"/>
          <w:color w:val="242121"/>
          <w:sz w:val="22"/>
          <w:szCs w:val="22"/>
          <w:lang w:val="en-ZA"/>
        </w:rPr>
        <w:t>There are three important interrelated riders to this general principle, namely:</w:t>
      </w:r>
    </w:p>
    <w:p w14:paraId="0D256965" w14:textId="77777777" w:rsidR="00A510DF" w:rsidRDefault="00A510DF" w:rsidP="00A510DF">
      <w:pPr>
        <w:pStyle w:val="NormalWeb"/>
        <w:shd w:val="clear" w:color="auto" w:fill="FFFFFF"/>
        <w:tabs>
          <w:tab w:val="left" w:pos="1530"/>
        </w:tabs>
        <w:spacing w:before="0" w:beforeAutospacing="0" w:after="0" w:afterAutospacing="0" w:line="360" w:lineRule="auto"/>
        <w:ind w:left="2160"/>
        <w:contextualSpacing/>
        <w:jc w:val="both"/>
        <w:rPr>
          <w:rFonts w:ascii="Arial" w:hAnsi="Arial" w:cs="Arial"/>
          <w:color w:val="242121"/>
          <w:sz w:val="22"/>
          <w:szCs w:val="22"/>
        </w:rPr>
      </w:pPr>
      <w:r>
        <w:rPr>
          <w:rFonts w:ascii="Arial" w:hAnsi="Arial" w:cs="Arial"/>
          <w:color w:val="242121"/>
          <w:sz w:val="22"/>
          <w:szCs w:val="22"/>
          <w:lang w:val="en-ZA"/>
        </w:rPr>
        <w:t>(a) that statutory provisions should always be interpreted purposively;</w:t>
      </w:r>
    </w:p>
    <w:p w14:paraId="6F4907AD" w14:textId="77777777" w:rsidR="00A510DF" w:rsidRDefault="00A510DF" w:rsidP="00A510DF">
      <w:pPr>
        <w:pStyle w:val="NormalWeb"/>
        <w:shd w:val="clear" w:color="auto" w:fill="FFFFFF"/>
        <w:spacing w:before="0" w:beforeAutospacing="0" w:after="0" w:afterAutospacing="0" w:line="360" w:lineRule="auto"/>
        <w:ind w:left="2160"/>
        <w:contextualSpacing/>
        <w:jc w:val="both"/>
        <w:rPr>
          <w:rFonts w:ascii="Arial" w:hAnsi="Arial" w:cs="Arial"/>
          <w:color w:val="242121"/>
          <w:sz w:val="22"/>
          <w:szCs w:val="22"/>
        </w:rPr>
      </w:pPr>
      <w:r>
        <w:rPr>
          <w:rFonts w:ascii="Arial" w:hAnsi="Arial" w:cs="Arial"/>
          <w:color w:val="242121"/>
          <w:sz w:val="22"/>
          <w:szCs w:val="22"/>
          <w:lang w:val="en-ZA"/>
        </w:rPr>
        <w:t>(b) the relevant statutory provision must be properly contextualised;</w:t>
      </w:r>
      <w:r>
        <w:rPr>
          <w:rFonts w:ascii="Arial" w:hAnsi="Arial" w:cs="Arial"/>
          <w:bCs/>
          <w:color w:val="242121"/>
          <w:sz w:val="22"/>
          <w:szCs w:val="22"/>
          <w:lang w:val="en-ZA"/>
        </w:rPr>
        <w:t xml:space="preserve"> </w:t>
      </w:r>
      <w:r>
        <w:rPr>
          <w:rFonts w:ascii="Arial" w:hAnsi="Arial" w:cs="Arial"/>
          <w:color w:val="242121"/>
          <w:sz w:val="22"/>
          <w:szCs w:val="22"/>
          <w:lang w:val="en-ZA"/>
        </w:rPr>
        <w:t>and</w:t>
      </w:r>
    </w:p>
    <w:p w14:paraId="5FB87CB2" w14:textId="77777777" w:rsidR="00A510DF" w:rsidRDefault="00A510DF" w:rsidP="00A510DF">
      <w:pPr>
        <w:pStyle w:val="NormalWeb"/>
        <w:shd w:val="clear" w:color="auto" w:fill="FFFFFF"/>
        <w:spacing w:before="0" w:beforeAutospacing="0" w:after="0" w:afterAutospacing="0" w:line="360" w:lineRule="auto"/>
        <w:ind w:left="2160"/>
        <w:contextualSpacing/>
        <w:jc w:val="both"/>
        <w:rPr>
          <w:rFonts w:ascii="Arial" w:hAnsi="Arial" w:cs="Arial"/>
          <w:bCs/>
          <w:color w:val="242121"/>
          <w:sz w:val="22"/>
          <w:szCs w:val="22"/>
          <w:lang w:val="en-ZA"/>
        </w:rPr>
      </w:pPr>
      <w:r>
        <w:rPr>
          <w:rFonts w:ascii="Arial" w:hAnsi="Arial" w:cs="Arial"/>
          <w:color w:val="242121"/>
          <w:sz w:val="22"/>
          <w:szCs w:val="22"/>
          <w:lang w:val="en-ZA"/>
        </w:rPr>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Pr>
          <w:rFonts w:ascii="Arial" w:hAnsi="Arial" w:cs="Arial"/>
          <w:bCs/>
          <w:color w:val="242121"/>
          <w:sz w:val="22"/>
          <w:szCs w:val="22"/>
          <w:lang w:val="en-ZA"/>
        </w:rPr>
        <w:t>”</w:t>
      </w:r>
    </w:p>
    <w:p w14:paraId="7FD57EC9" w14:textId="77777777" w:rsidR="00B846D8" w:rsidRDefault="00B846D8" w:rsidP="00A510DF">
      <w:pPr>
        <w:pStyle w:val="NormalWeb"/>
        <w:shd w:val="clear" w:color="auto" w:fill="FFFFFF"/>
        <w:spacing w:before="0" w:beforeAutospacing="0" w:after="0" w:afterAutospacing="0" w:line="360" w:lineRule="auto"/>
        <w:ind w:left="2160"/>
        <w:contextualSpacing/>
        <w:jc w:val="both"/>
        <w:rPr>
          <w:rFonts w:ascii="Arial" w:hAnsi="Arial" w:cs="Arial"/>
          <w:bCs/>
          <w:color w:val="242121"/>
          <w:sz w:val="22"/>
          <w:szCs w:val="22"/>
          <w:lang w:val="en-ZA"/>
        </w:rPr>
      </w:pPr>
    </w:p>
    <w:p w14:paraId="5D741494" w14:textId="297CA817" w:rsidR="00C055C5"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53213" w:rsidRPr="00C34F13">
        <w:rPr>
          <w:rFonts w:ascii="Arial" w:hAnsi="Arial" w:cs="Arial"/>
          <w:b/>
          <w:bCs/>
          <w:sz w:val="24"/>
          <w:szCs w:val="24"/>
        </w:rPr>
        <w:t>Independent Newspapers (Pty) Ltd v Minister for Intelligence Services</w:t>
      </w:r>
      <w:r w:rsidR="00E05822" w:rsidRPr="00C34F13">
        <w:rPr>
          <w:rFonts w:ascii="Arial" w:hAnsi="Arial" w:cs="Arial"/>
          <w:b/>
          <w:bCs/>
          <w:sz w:val="24"/>
          <w:szCs w:val="24"/>
        </w:rPr>
        <w:t>: I</w:t>
      </w:r>
      <w:r w:rsidR="004818C2" w:rsidRPr="00C34F13">
        <w:rPr>
          <w:rFonts w:ascii="Arial" w:hAnsi="Arial" w:cs="Arial"/>
          <w:b/>
          <w:bCs/>
          <w:sz w:val="24"/>
          <w:szCs w:val="24"/>
        </w:rPr>
        <w:t xml:space="preserve">n re: Masetlha v </w:t>
      </w:r>
      <w:r w:rsidR="000A1D72" w:rsidRPr="00C34F13">
        <w:rPr>
          <w:rFonts w:ascii="Arial" w:hAnsi="Arial" w:cs="Arial"/>
          <w:b/>
          <w:bCs/>
          <w:sz w:val="24"/>
          <w:szCs w:val="24"/>
        </w:rPr>
        <w:t>P</w:t>
      </w:r>
      <w:r w:rsidR="004818C2" w:rsidRPr="00C34F13">
        <w:rPr>
          <w:rFonts w:ascii="Arial" w:hAnsi="Arial" w:cs="Arial"/>
          <w:b/>
          <w:bCs/>
          <w:sz w:val="24"/>
          <w:szCs w:val="24"/>
        </w:rPr>
        <w:t>resident of the Republic of South Africa and Another</w:t>
      </w:r>
      <w:r w:rsidR="002417CB">
        <w:rPr>
          <w:rStyle w:val="FootnoteReference"/>
          <w:rFonts w:ascii="Arial" w:hAnsi="Arial" w:cs="Arial"/>
          <w:sz w:val="24"/>
          <w:szCs w:val="24"/>
        </w:rPr>
        <w:footnoteReference w:id="12"/>
      </w:r>
      <w:r w:rsidR="002417CB" w:rsidRPr="00C34F13">
        <w:rPr>
          <w:rFonts w:ascii="Arial" w:hAnsi="Arial" w:cs="Arial"/>
          <w:sz w:val="24"/>
          <w:szCs w:val="24"/>
        </w:rPr>
        <w:t xml:space="preserve"> the Constitutional Court underscored the importance of disclosure in court proceedings pointing out that ordin</w:t>
      </w:r>
      <w:r w:rsidR="00C47163" w:rsidRPr="00C34F13">
        <w:rPr>
          <w:rFonts w:ascii="Arial" w:hAnsi="Arial" w:cs="Arial"/>
          <w:sz w:val="24"/>
          <w:szCs w:val="24"/>
        </w:rPr>
        <w:t xml:space="preserve">arily courts would look favourably on a claim </w:t>
      </w:r>
      <w:r w:rsidR="00C47163" w:rsidRPr="00C34F13">
        <w:rPr>
          <w:rFonts w:ascii="Arial" w:hAnsi="Arial" w:cs="Arial"/>
          <w:sz w:val="24"/>
          <w:szCs w:val="24"/>
        </w:rPr>
        <w:lastRenderedPageBreak/>
        <w:t>of a litigant</w:t>
      </w:r>
      <w:r w:rsidR="00135AD0" w:rsidRPr="00C34F13">
        <w:rPr>
          <w:rFonts w:ascii="Arial" w:hAnsi="Arial" w:cs="Arial"/>
          <w:sz w:val="24"/>
          <w:szCs w:val="24"/>
        </w:rPr>
        <w:t xml:space="preserve"> t</w:t>
      </w:r>
      <w:r w:rsidR="00C47163" w:rsidRPr="00C34F13">
        <w:rPr>
          <w:rFonts w:ascii="Arial" w:hAnsi="Arial" w:cs="Arial"/>
          <w:sz w:val="24"/>
          <w:szCs w:val="24"/>
        </w:rPr>
        <w:t>o gain access to documents or other information reasonabl</w:t>
      </w:r>
      <w:r w:rsidR="000A1D72" w:rsidRPr="00C34F13">
        <w:rPr>
          <w:rFonts w:ascii="Arial" w:hAnsi="Arial" w:cs="Arial"/>
          <w:sz w:val="24"/>
          <w:szCs w:val="24"/>
        </w:rPr>
        <w:t>y</w:t>
      </w:r>
      <w:r w:rsidR="00C47163" w:rsidRPr="00C34F13">
        <w:rPr>
          <w:rFonts w:ascii="Arial" w:hAnsi="Arial" w:cs="Arial"/>
          <w:sz w:val="24"/>
          <w:szCs w:val="24"/>
        </w:rPr>
        <w:t xml:space="preserve"> required </w:t>
      </w:r>
      <w:r w:rsidR="00F70466" w:rsidRPr="00C34F13">
        <w:rPr>
          <w:rFonts w:ascii="Arial" w:hAnsi="Arial" w:cs="Arial"/>
          <w:sz w:val="24"/>
          <w:szCs w:val="24"/>
        </w:rPr>
        <w:t xml:space="preserve">to assert or protect a threatened right or advance cause of action.  This is so, it was said, because Courts take seriously </w:t>
      </w:r>
      <w:r w:rsidR="00BB3C02" w:rsidRPr="00C34F13">
        <w:rPr>
          <w:rFonts w:ascii="Arial" w:hAnsi="Arial" w:cs="Arial"/>
          <w:sz w:val="24"/>
          <w:szCs w:val="24"/>
        </w:rPr>
        <w:t>the valid interests of a litigant to be placed in a position to present his, her or its case fully during course of litigation</w:t>
      </w:r>
      <w:r w:rsidR="009E061D" w:rsidRPr="00C34F13">
        <w:rPr>
          <w:rFonts w:ascii="Arial" w:hAnsi="Arial" w:cs="Arial"/>
          <w:sz w:val="24"/>
          <w:szCs w:val="24"/>
        </w:rPr>
        <w:t xml:space="preserve"> but also weighing the interest</w:t>
      </w:r>
      <w:r w:rsidR="000A1D72" w:rsidRPr="00C34F13">
        <w:rPr>
          <w:rFonts w:ascii="Arial" w:hAnsi="Arial" w:cs="Arial"/>
          <w:sz w:val="24"/>
          <w:szCs w:val="24"/>
        </w:rPr>
        <w:t>s</w:t>
      </w:r>
      <w:r w:rsidR="009E061D" w:rsidRPr="00C34F13">
        <w:rPr>
          <w:rFonts w:ascii="Arial" w:hAnsi="Arial" w:cs="Arial"/>
          <w:sz w:val="24"/>
          <w:szCs w:val="24"/>
        </w:rPr>
        <w:t xml:space="preserve"> of justice.  This indicates the kind of background to which such an interpretive </w:t>
      </w:r>
      <w:r w:rsidR="00C055C5" w:rsidRPr="00C34F13">
        <w:rPr>
          <w:rFonts w:ascii="Arial" w:hAnsi="Arial" w:cs="Arial"/>
          <w:sz w:val="24"/>
          <w:szCs w:val="24"/>
        </w:rPr>
        <w:t xml:space="preserve">exercise in this matter should be approached.  </w:t>
      </w:r>
    </w:p>
    <w:p w14:paraId="58F585F6" w14:textId="4CEDAD67" w:rsidR="00C055C5" w:rsidRPr="00C055C5" w:rsidRDefault="00C055C5" w:rsidP="00C055C5">
      <w:pPr>
        <w:pStyle w:val="ListParagraph"/>
        <w:spacing w:after="0" w:line="480" w:lineRule="auto"/>
        <w:jc w:val="both"/>
        <w:rPr>
          <w:rFonts w:ascii="Arial" w:hAnsi="Arial" w:cs="Arial"/>
          <w:sz w:val="24"/>
          <w:szCs w:val="24"/>
        </w:rPr>
      </w:pPr>
    </w:p>
    <w:p w14:paraId="3AA38C6B" w14:textId="09D4A761" w:rsidR="00EC39E1"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055C5" w:rsidRPr="00C34F13">
        <w:rPr>
          <w:rFonts w:ascii="Arial" w:hAnsi="Arial" w:cs="Arial"/>
          <w:sz w:val="24"/>
          <w:szCs w:val="24"/>
        </w:rPr>
        <w:t xml:space="preserve">In </w:t>
      </w:r>
      <w:r w:rsidR="00C055C5" w:rsidRPr="00C34F13">
        <w:rPr>
          <w:rFonts w:ascii="Arial" w:hAnsi="Arial" w:cs="Arial"/>
          <w:b/>
          <w:bCs/>
          <w:sz w:val="24"/>
          <w:szCs w:val="24"/>
        </w:rPr>
        <w:t>Caxton</w:t>
      </w:r>
      <w:r w:rsidR="00C055C5" w:rsidRPr="00C34F13">
        <w:rPr>
          <w:rFonts w:ascii="Arial" w:hAnsi="Arial" w:cs="Arial"/>
          <w:sz w:val="24"/>
          <w:szCs w:val="24"/>
        </w:rPr>
        <w:t xml:space="preserve"> (</w:t>
      </w:r>
      <w:r w:rsidR="00C055C5" w:rsidRPr="00C34F13">
        <w:rPr>
          <w:rFonts w:ascii="Arial" w:hAnsi="Arial" w:cs="Arial"/>
          <w:i/>
          <w:iCs/>
          <w:sz w:val="24"/>
          <w:szCs w:val="24"/>
        </w:rPr>
        <w:t>supra</w:t>
      </w:r>
      <w:r w:rsidR="00C055C5" w:rsidRPr="00C34F13">
        <w:rPr>
          <w:rFonts w:ascii="Arial" w:hAnsi="Arial" w:cs="Arial"/>
          <w:sz w:val="24"/>
          <w:szCs w:val="24"/>
        </w:rPr>
        <w:t>)</w:t>
      </w:r>
      <w:r w:rsidR="00C055C5">
        <w:rPr>
          <w:rStyle w:val="FootnoteReference"/>
          <w:rFonts w:ascii="Arial" w:hAnsi="Arial" w:cs="Arial"/>
          <w:sz w:val="24"/>
          <w:szCs w:val="24"/>
        </w:rPr>
        <w:footnoteReference w:id="13"/>
      </w:r>
      <w:r w:rsidR="00C055C5" w:rsidRPr="00C34F13">
        <w:rPr>
          <w:rFonts w:ascii="Arial" w:hAnsi="Arial" w:cs="Arial"/>
          <w:sz w:val="24"/>
          <w:szCs w:val="24"/>
        </w:rPr>
        <w:t xml:space="preserve"> the court pointed out that the </w:t>
      </w:r>
      <w:r w:rsidR="008F5B36" w:rsidRPr="00C34F13">
        <w:rPr>
          <w:rFonts w:ascii="Arial" w:hAnsi="Arial" w:cs="Arial"/>
          <w:sz w:val="24"/>
          <w:szCs w:val="24"/>
        </w:rPr>
        <w:t xml:space="preserve">juridical framework within which the court considering an application </w:t>
      </w:r>
      <w:r w:rsidR="00EC1B4B" w:rsidRPr="00C34F13">
        <w:rPr>
          <w:rFonts w:ascii="Arial" w:hAnsi="Arial" w:cs="Arial"/>
          <w:sz w:val="24"/>
          <w:szCs w:val="24"/>
        </w:rPr>
        <w:t>to compel production documents or tape recordings</w:t>
      </w:r>
      <w:r w:rsidR="004B1FE3" w:rsidRPr="00C34F13">
        <w:rPr>
          <w:rFonts w:ascii="Arial" w:hAnsi="Arial" w:cs="Arial"/>
          <w:sz w:val="24"/>
          <w:szCs w:val="24"/>
        </w:rPr>
        <w:t xml:space="preserve"> </w:t>
      </w:r>
      <w:r w:rsidR="00853479" w:rsidRPr="00C34F13">
        <w:rPr>
          <w:rFonts w:ascii="Arial" w:hAnsi="Arial" w:cs="Arial"/>
          <w:sz w:val="24"/>
          <w:szCs w:val="24"/>
        </w:rPr>
        <w:t xml:space="preserve">sought pursuant to Rule 35(12) was captured in </w:t>
      </w:r>
      <w:r w:rsidR="00853479" w:rsidRPr="00C34F13">
        <w:rPr>
          <w:rFonts w:ascii="Arial" w:hAnsi="Arial" w:cs="Arial"/>
          <w:b/>
          <w:bCs/>
          <w:sz w:val="24"/>
          <w:szCs w:val="24"/>
        </w:rPr>
        <w:t xml:space="preserve">Democratic Aliance </w:t>
      </w:r>
      <w:r w:rsidR="00183855" w:rsidRPr="00C34F13">
        <w:rPr>
          <w:rFonts w:ascii="Arial" w:hAnsi="Arial" w:cs="Arial"/>
          <w:b/>
          <w:bCs/>
          <w:sz w:val="24"/>
          <w:szCs w:val="24"/>
        </w:rPr>
        <w:t>v Mkwebane</w:t>
      </w:r>
      <w:r w:rsidR="008E5882" w:rsidRPr="00C34F13">
        <w:rPr>
          <w:rFonts w:ascii="Arial" w:hAnsi="Arial" w:cs="Arial"/>
          <w:b/>
          <w:bCs/>
          <w:sz w:val="24"/>
          <w:szCs w:val="24"/>
        </w:rPr>
        <w:t xml:space="preserve"> and Another</w:t>
      </w:r>
      <w:r w:rsidR="008E5882">
        <w:rPr>
          <w:rStyle w:val="FootnoteReference"/>
          <w:rFonts w:ascii="Arial" w:hAnsi="Arial" w:cs="Arial"/>
          <w:sz w:val="24"/>
          <w:szCs w:val="24"/>
        </w:rPr>
        <w:footnoteReference w:id="14"/>
      </w:r>
      <w:r w:rsidR="00E8007A" w:rsidRPr="00C34F13">
        <w:rPr>
          <w:rFonts w:ascii="Arial" w:hAnsi="Arial" w:cs="Arial"/>
          <w:sz w:val="24"/>
          <w:szCs w:val="24"/>
        </w:rPr>
        <w:t xml:space="preserve">, the court pointing out that it </w:t>
      </w:r>
      <w:r w:rsidR="00943E57" w:rsidRPr="00C34F13">
        <w:rPr>
          <w:rFonts w:ascii="Arial" w:hAnsi="Arial" w:cs="Arial"/>
          <w:sz w:val="24"/>
          <w:szCs w:val="24"/>
        </w:rPr>
        <w:t>appeared to be clear the documents in respect of which there is a direct or indirect reference</w:t>
      </w:r>
      <w:r w:rsidR="0090660D" w:rsidRPr="00C34F13">
        <w:rPr>
          <w:rFonts w:ascii="Arial" w:hAnsi="Arial" w:cs="Arial"/>
          <w:sz w:val="24"/>
          <w:szCs w:val="24"/>
        </w:rPr>
        <w:t xml:space="preserve"> in an affidavit or its annexures that</w:t>
      </w:r>
      <w:r w:rsidR="00D97CFA" w:rsidRPr="00C34F13">
        <w:rPr>
          <w:rFonts w:ascii="Arial" w:hAnsi="Arial" w:cs="Arial"/>
          <w:sz w:val="24"/>
          <w:szCs w:val="24"/>
        </w:rPr>
        <w:t xml:space="preserve"> are relevant, </w:t>
      </w:r>
      <w:r w:rsidR="00236E4A" w:rsidRPr="00C34F13">
        <w:rPr>
          <w:rFonts w:ascii="Arial" w:hAnsi="Arial" w:cs="Arial"/>
          <w:sz w:val="24"/>
          <w:szCs w:val="24"/>
        </w:rPr>
        <w:t>and which are not privileged, and are in possession of that party, must be produced.</w:t>
      </w:r>
      <w:r w:rsidR="00B029BD" w:rsidRPr="00C34F13">
        <w:rPr>
          <w:rFonts w:ascii="Arial" w:hAnsi="Arial" w:cs="Arial"/>
          <w:sz w:val="24"/>
          <w:szCs w:val="24"/>
        </w:rPr>
        <w:t xml:space="preserve">  </w:t>
      </w:r>
    </w:p>
    <w:p w14:paraId="0FE68D61" w14:textId="77777777" w:rsidR="00EF25FF" w:rsidRPr="00EF25FF" w:rsidRDefault="00EF25FF" w:rsidP="00EF25FF">
      <w:pPr>
        <w:pStyle w:val="ListParagraph"/>
        <w:rPr>
          <w:rFonts w:ascii="Arial" w:hAnsi="Arial" w:cs="Arial"/>
          <w:sz w:val="24"/>
          <w:szCs w:val="24"/>
        </w:rPr>
      </w:pPr>
    </w:p>
    <w:p w14:paraId="1D1D6F73" w14:textId="77777777" w:rsidR="00236E4A" w:rsidRPr="00236E4A" w:rsidRDefault="00236E4A" w:rsidP="00236E4A">
      <w:pPr>
        <w:pStyle w:val="ListParagraph"/>
        <w:rPr>
          <w:rFonts w:ascii="Arial" w:hAnsi="Arial" w:cs="Arial"/>
          <w:sz w:val="24"/>
          <w:szCs w:val="24"/>
        </w:rPr>
      </w:pPr>
    </w:p>
    <w:p w14:paraId="4DF3CD72" w14:textId="35ADD4A2" w:rsidR="00236E4A"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32237" w:rsidRPr="00C34F13">
        <w:rPr>
          <w:rFonts w:ascii="Arial" w:hAnsi="Arial" w:cs="Arial"/>
          <w:sz w:val="24"/>
          <w:szCs w:val="24"/>
        </w:rPr>
        <w:t xml:space="preserve">As was pointed out in </w:t>
      </w:r>
      <w:r w:rsidR="00F32237" w:rsidRPr="00C34F13">
        <w:rPr>
          <w:rFonts w:ascii="Arial" w:hAnsi="Arial" w:cs="Arial"/>
          <w:b/>
          <w:bCs/>
          <w:sz w:val="24"/>
          <w:szCs w:val="24"/>
        </w:rPr>
        <w:t>Caxton</w:t>
      </w:r>
      <w:r w:rsidR="00F32237" w:rsidRPr="00C34F13">
        <w:rPr>
          <w:rFonts w:ascii="Arial" w:hAnsi="Arial" w:cs="Arial"/>
          <w:sz w:val="24"/>
          <w:szCs w:val="24"/>
        </w:rPr>
        <w:t xml:space="preserve"> (</w:t>
      </w:r>
      <w:r w:rsidR="00F32237" w:rsidRPr="00C34F13">
        <w:rPr>
          <w:rFonts w:ascii="Arial" w:hAnsi="Arial" w:cs="Arial"/>
          <w:i/>
          <w:iCs/>
          <w:sz w:val="24"/>
          <w:szCs w:val="24"/>
        </w:rPr>
        <w:t>supra</w:t>
      </w:r>
      <w:r w:rsidR="00F32237" w:rsidRPr="00C34F13">
        <w:rPr>
          <w:rFonts w:ascii="Arial" w:hAnsi="Arial" w:cs="Arial"/>
          <w:sz w:val="24"/>
          <w:szCs w:val="24"/>
        </w:rPr>
        <w:t>)</w:t>
      </w:r>
      <w:r w:rsidR="00F32237">
        <w:rPr>
          <w:rStyle w:val="FootnoteReference"/>
          <w:rFonts w:ascii="Arial" w:hAnsi="Arial" w:cs="Arial"/>
          <w:sz w:val="24"/>
          <w:szCs w:val="24"/>
        </w:rPr>
        <w:footnoteReference w:id="15"/>
      </w:r>
      <w:r w:rsidR="00F32237" w:rsidRPr="00C34F13">
        <w:rPr>
          <w:rFonts w:ascii="Arial" w:hAnsi="Arial" w:cs="Arial"/>
          <w:sz w:val="24"/>
          <w:szCs w:val="24"/>
        </w:rPr>
        <w:t xml:space="preserve"> </w:t>
      </w:r>
      <w:r w:rsidR="00476395" w:rsidRPr="00C34F13">
        <w:rPr>
          <w:rFonts w:ascii="Arial" w:hAnsi="Arial" w:cs="Arial"/>
          <w:sz w:val="24"/>
          <w:szCs w:val="24"/>
        </w:rPr>
        <w:t xml:space="preserve">there are two features that strike one about the provisions of Rule 35(12).  </w:t>
      </w:r>
      <w:r w:rsidR="00EB326F" w:rsidRPr="00C34F13">
        <w:rPr>
          <w:rFonts w:ascii="Arial" w:hAnsi="Arial" w:cs="Arial"/>
          <w:sz w:val="24"/>
          <w:szCs w:val="24"/>
        </w:rPr>
        <w:t xml:space="preserve">Firstly, to </w:t>
      </w:r>
      <w:r w:rsidR="00357A3D" w:rsidRPr="00C34F13">
        <w:rPr>
          <w:rFonts w:ascii="Arial" w:hAnsi="Arial" w:cs="Arial"/>
          <w:sz w:val="24"/>
          <w:szCs w:val="24"/>
        </w:rPr>
        <w:t>invoke</w:t>
      </w:r>
      <w:r w:rsidR="00EB326F" w:rsidRPr="00C34F13">
        <w:rPr>
          <w:rFonts w:ascii="Arial" w:hAnsi="Arial" w:cs="Arial"/>
          <w:sz w:val="24"/>
          <w:szCs w:val="24"/>
        </w:rPr>
        <w:t xml:space="preserve"> these the pleadings or </w:t>
      </w:r>
      <w:r w:rsidR="00357A3D" w:rsidRPr="00C34F13">
        <w:rPr>
          <w:rFonts w:ascii="Arial" w:hAnsi="Arial" w:cs="Arial"/>
          <w:sz w:val="24"/>
          <w:szCs w:val="24"/>
        </w:rPr>
        <w:t>affidavits</w:t>
      </w:r>
      <w:r w:rsidR="00EB326F" w:rsidRPr="00C34F13">
        <w:rPr>
          <w:rFonts w:ascii="Arial" w:hAnsi="Arial" w:cs="Arial"/>
          <w:sz w:val="24"/>
          <w:szCs w:val="24"/>
        </w:rPr>
        <w:t xml:space="preserve"> must make reference to the document or recording, it being that reference which triggers the right of the adversary to require that document or tape recording to be produced for inspection, copying or transcription</w:t>
      </w:r>
      <w:r w:rsidR="000A1D72" w:rsidRPr="00C34F13">
        <w:rPr>
          <w:rFonts w:ascii="Arial" w:hAnsi="Arial" w:cs="Arial"/>
          <w:sz w:val="24"/>
          <w:szCs w:val="24"/>
        </w:rPr>
        <w:t>,</w:t>
      </w:r>
      <w:r w:rsidR="008579B9" w:rsidRPr="00C34F13">
        <w:rPr>
          <w:rFonts w:ascii="Arial" w:hAnsi="Arial" w:cs="Arial"/>
          <w:sz w:val="24"/>
          <w:szCs w:val="24"/>
        </w:rPr>
        <w:t xml:space="preserve"> that entitlement being triggered immediately.  Of </w:t>
      </w:r>
      <w:r w:rsidR="00357A3D" w:rsidRPr="00C34F13">
        <w:rPr>
          <w:rFonts w:ascii="Arial" w:hAnsi="Arial" w:cs="Arial"/>
          <w:sz w:val="24"/>
          <w:szCs w:val="24"/>
        </w:rPr>
        <w:t>course</w:t>
      </w:r>
      <w:r w:rsidR="00C730E7" w:rsidRPr="00C34F13">
        <w:rPr>
          <w:rFonts w:ascii="Arial" w:hAnsi="Arial" w:cs="Arial"/>
          <w:sz w:val="24"/>
          <w:szCs w:val="24"/>
        </w:rPr>
        <w:t>,</w:t>
      </w:r>
      <w:r w:rsidR="00357A3D" w:rsidRPr="00C34F13">
        <w:rPr>
          <w:rFonts w:ascii="Arial" w:hAnsi="Arial" w:cs="Arial"/>
          <w:sz w:val="24"/>
          <w:szCs w:val="24"/>
        </w:rPr>
        <w:t xml:space="preserve"> that</w:t>
      </w:r>
      <w:r w:rsidR="008579B9" w:rsidRPr="00C34F13">
        <w:rPr>
          <w:rFonts w:ascii="Arial" w:hAnsi="Arial" w:cs="Arial"/>
          <w:sz w:val="24"/>
          <w:szCs w:val="24"/>
        </w:rPr>
        <w:t xml:space="preserve"> document or tape recording must have been referred to in the pleadings or affidavits and the </w:t>
      </w:r>
      <w:r w:rsidR="008579B9" w:rsidRPr="00C34F13">
        <w:rPr>
          <w:rFonts w:ascii="Arial" w:hAnsi="Arial" w:cs="Arial"/>
          <w:sz w:val="24"/>
          <w:szCs w:val="24"/>
        </w:rPr>
        <w:lastRenderedPageBreak/>
        <w:t xml:space="preserve">rational for a party’s entitlement to </w:t>
      </w:r>
      <w:r w:rsidR="001F579F" w:rsidRPr="00C34F13">
        <w:rPr>
          <w:rFonts w:ascii="Arial" w:hAnsi="Arial" w:cs="Arial"/>
          <w:sz w:val="24"/>
          <w:szCs w:val="24"/>
        </w:rPr>
        <w:t xml:space="preserve">see same (referenced in the </w:t>
      </w:r>
      <w:r w:rsidR="00223BF4" w:rsidRPr="00C34F13">
        <w:rPr>
          <w:rFonts w:ascii="Arial" w:hAnsi="Arial" w:cs="Arial"/>
          <w:sz w:val="24"/>
          <w:szCs w:val="24"/>
        </w:rPr>
        <w:t xml:space="preserve">other </w:t>
      </w:r>
      <w:r w:rsidR="001F579F" w:rsidRPr="00C34F13">
        <w:rPr>
          <w:rFonts w:ascii="Arial" w:hAnsi="Arial" w:cs="Arial"/>
          <w:sz w:val="24"/>
          <w:szCs w:val="24"/>
        </w:rPr>
        <w:t xml:space="preserve">party’s </w:t>
      </w:r>
      <w:r w:rsidR="00357A3D" w:rsidRPr="00C34F13">
        <w:rPr>
          <w:rFonts w:ascii="Arial" w:hAnsi="Arial" w:cs="Arial"/>
          <w:sz w:val="24"/>
          <w:szCs w:val="24"/>
        </w:rPr>
        <w:t>pleadings</w:t>
      </w:r>
      <w:r w:rsidR="001F579F" w:rsidRPr="00C34F13">
        <w:rPr>
          <w:rFonts w:ascii="Arial" w:hAnsi="Arial" w:cs="Arial"/>
          <w:sz w:val="24"/>
          <w:szCs w:val="24"/>
        </w:rPr>
        <w:t xml:space="preserve"> or </w:t>
      </w:r>
      <w:r w:rsidR="00357A3D" w:rsidRPr="00C34F13">
        <w:rPr>
          <w:rFonts w:ascii="Arial" w:hAnsi="Arial" w:cs="Arial"/>
          <w:sz w:val="24"/>
          <w:szCs w:val="24"/>
        </w:rPr>
        <w:t>affidavits</w:t>
      </w:r>
      <w:r w:rsidR="001F579F" w:rsidRPr="00C34F13">
        <w:rPr>
          <w:rFonts w:ascii="Arial" w:hAnsi="Arial" w:cs="Arial"/>
          <w:sz w:val="24"/>
          <w:szCs w:val="24"/>
        </w:rPr>
        <w:t>) is that the party cannot ordinarily be required to answer before they are given the opportunity to inspect</w:t>
      </w:r>
      <w:r w:rsidR="00357A3D" w:rsidRPr="00C34F13">
        <w:rPr>
          <w:rFonts w:ascii="Arial" w:hAnsi="Arial" w:cs="Arial"/>
          <w:sz w:val="24"/>
          <w:szCs w:val="24"/>
        </w:rPr>
        <w:t xml:space="preserve"> and copy or transcribe such document.</w:t>
      </w:r>
      <w:r w:rsidR="00AD73AE">
        <w:rPr>
          <w:rStyle w:val="FootnoteReference"/>
          <w:rFonts w:ascii="Arial" w:hAnsi="Arial" w:cs="Arial"/>
          <w:sz w:val="24"/>
          <w:szCs w:val="24"/>
        </w:rPr>
        <w:footnoteReference w:id="16"/>
      </w:r>
    </w:p>
    <w:p w14:paraId="6A4F89E3" w14:textId="41EE444C" w:rsidR="00A34851"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9348E" w:rsidRPr="00C34F13">
        <w:rPr>
          <w:rFonts w:ascii="Arial" w:hAnsi="Arial" w:cs="Arial"/>
          <w:sz w:val="24"/>
          <w:szCs w:val="24"/>
        </w:rPr>
        <w:t xml:space="preserve">Further, </w:t>
      </w:r>
      <w:r w:rsidR="008E67B7" w:rsidRPr="00C34F13">
        <w:rPr>
          <w:rFonts w:ascii="Arial" w:hAnsi="Arial" w:cs="Arial"/>
          <w:sz w:val="24"/>
          <w:szCs w:val="24"/>
        </w:rPr>
        <w:t xml:space="preserve">as was pointed out in </w:t>
      </w:r>
      <w:r w:rsidR="008E67B7" w:rsidRPr="00C34F13">
        <w:rPr>
          <w:rFonts w:ascii="Arial" w:hAnsi="Arial" w:cs="Arial"/>
          <w:b/>
          <w:bCs/>
          <w:sz w:val="24"/>
          <w:szCs w:val="24"/>
        </w:rPr>
        <w:t xml:space="preserve">Moulded Components </w:t>
      </w:r>
      <w:r w:rsidR="00437534" w:rsidRPr="00C34F13">
        <w:rPr>
          <w:rFonts w:ascii="Arial" w:hAnsi="Arial" w:cs="Arial"/>
          <w:b/>
          <w:bCs/>
          <w:sz w:val="24"/>
          <w:szCs w:val="24"/>
        </w:rPr>
        <w:t>and Rotomoulding South Africa (Pty) Ltd</w:t>
      </w:r>
      <w:r w:rsidR="00445DAE" w:rsidRPr="00C34F13">
        <w:rPr>
          <w:rFonts w:ascii="Arial" w:hAnsi="Arial" w:cs="Arial"/>
          <w:b/>
          <w:bCs/>
          <w:sz w:val="24"/>
          <w:szCs w:val="24"/>
        </w:rPr>
        <w:t xml:space="preserve"> v Coucourakis and Another</w:t>
      </w:r>
      <w:r w:rsidR="00445DAE">
        <w:rPr>
          <w:rStyle w:val="FootnoteReference"/>
          <w:rFonts w:ascii="Arial" w:hAnsi="Arial" w:cs="Arial"/>
          <w:sz w:val="24"/>
          <w:szCs w:val="24"/>
        </w:rPr>
        <w:footnoteReference w:id="17"/>
      </w:r>
      <w:r w:rsidR="004D1105" w:rsidRPr="00C34F13">
        <w:rPr>
          <w:rFonts w:ascii="Arial" w:hAnsi="Arial" w:cs="Arial"/>
          <w:sz w:val="24"/>
          <w:szCs w:val="24"/>
        </w:rPr>
        <w:t xml:space="preserve"> </w:t>
      </w:r>
      <w:r w:rsidR="006456A2" w:rsidRPr="00C34F13">
        <w:rPr>
          <w:rFonts w:ascii="Arial" w:hAnsi="Arial" w:cs="Arial"/>
          <w:sz w:val="24"/>
          <w:szCs w:val="24"/>
        </w:rPr>
        <w:t>t</w:t>
      </w:r>
      <w:r w:rsidR="004D1105" w:rsidRPr="00C34F13">
        <w:rPr>
          <w:rFonts w:ascii="Arial" w:hAnsi="Arial" w:cs="Arial"/>
          <w:sz w:val="24"/>
          <w:szCs w:val="24"/>
        </w:rPr>
        <w:t xml:space="preserve">he sanction provided for in Rule 35(12) is quite different in nature and effect </w:t>
      </w:r>
      <w:r w:rsidR="006456A2" w:rsidRPr="00C34F13">
        <w:rPr>
          <w:rFonts w:ascii="Arial" w:hAnsi="Arial" w:cs="Arial"/>
          <w:sz w:val="24"/>
          <w:szCs w:val="24"/>
        </w:rPr>
        <w:t>from the kind of sanction envisaged in Rule 30(5)</w:t>
      </w:r>
      <w:r w:rsidR="0077697B" w:rsidRPr="00C34F13">
        <w:rPr>
          <w:rFonts w:ascii="Arial" w:hAnsi="Arial" w:cs="Arial"/>
          <w:sz w:val="24"/>
          <w:szCs w:val="24"/>
        </w:rPr>
        <w:t xml:space="preserve"> now 30A</w:t>
      </w:r>
      <w:r w:rsidR="006456A2" w:rsidRPr="00C34F13">
        <w:rPr>
          <w:rFonts w:ascii="Arial" w:hAnsi="Arial" w:cs="Arial"/>
          <w:sz w:val="24"/>
          <w:szCs w:val="24"/>
        </w:rPr>
        <w:t>.  It is a negative sanction</w:t>
      </w:r>
      <w:r w:rsidR="00A34851" w:rsidRPr="00C34F13">
        <w:rPr>
          <w:rFonts w:ascii="Arial" w:hAnsi="Arial" w:cs="Arial"/>
          <w:sz w:val="24"/>
          <w:szCs w:val="24"/>
        </w:rPr>
        <w:t>, Rule 30</w:t>
      </w:r>
      <w:r w:rsidR="0077697B" w:rsidRPr="00C34F13">
        <w:rPr>
          <w:rFonts w:ascii="Arial" w:hAnsi="Arial" w:cs="Arial"/>
          <w:sz w:val="24"/>
          <w:szCs w:val="24"/>
        </w:rPr>
        <w:t>A</w:t>
      </w:r>
      <w:r w:rsidR="00A34851" w:rsidRPr="00C34F13">
        <w:rPr>
          <w:rFonts w:ascii="Arial" w:hAnsi="Arial" w:cs="Arial"/>
          <w:sz w:val="24"/>
          <w:szCs w:val="24"/>
        </w:rPr>
        <w:t xml:space="preserve"> operating differently, being that if the document is not produced the claim or defence may be struck out.</w:t>
      </w:r>
      <w:r w:rsidR="00135AD0">
        <w:rPr>
          <w:rStyle w:val="FootnoteReference"/>
          <w:rFonts w:ascii="Arial" w:hAnsi="Arial" w:cs="Arial"/>
          <w:sz w:val="24"/>
          <w:szCs w:val="24"/>
        </w:rPr>
        <w:footnoteReference w:id="18"/>
      </w:r>
      <w:r w:rsidR="00A34851" w:rsidRPr="00C34F13">
        <w:rPr>
          <w:rFonts w:ascii="Arial" w:hAnsi="Arial" w:cs="Arial"/>
          <w:sz w:val="24"/>
          <w:szCs w:val="24"/>
        </w:rPr>
        <w:t xml:space="preserve">  </w:t>
      </w:r>
    </w:p>
    <w:p w14:paraId="0869C52D" w14:textId="77777777" w:rsidR="00A34851" w:rsidRPr="00A34851" w:rsidRDefault="00A34851" w:rsidP="00A34851">
      <w:pPr>
        <w:pStyle w:val="ListParagraph"/>
        <w:rPr>
          <w:rFonts w:ascii="Arial" w:hAnsi="Arial" w:cs="Arial"/>
          <w:sz w:val="24"/>
          <w:szCs w:val="24"/>
        </w:rPr>
      </w:pPr>
    </w:p>
    <w:p w14:paraId="702A9BD1" w14:textId="5C2D2FE1" w:rsidR="00727878"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A34851" w:rsidRPr="00C34F13">
        <w:rPr>
          <w:rFonts w:ascii="Arial" w:hAnsi="Arial" w:cs="Arial"/>
          <w:sz w:val="24"/>
          <w:szCs w:val="24"/>
        </w:rPr>
        <w:t xml:space="preserve">In short, </w:t>
      </w:r>
      <w:r w:rsidR="00FC4386" w:rsidRPr="00C34F13">
        <w:rPr>
          <w:rFonts w:ascii="Arial" w:hAnsi="Arial" w:cs="Arial"/>
          <w:sz w:val="24"/>
          <w:szCs w:val="24"/>
        </w:rPr>
        <w:t>unlike the other parts of Rule 35, relating to discovery, generally, Rule 35(12) “</w:t>
      </w:r>
      <w:r w:rsidR="00FC4386" w:rsidRPr="00C34F13">
        <w:rPr>
          <w:rFonts w:ascii="Arial" w:hAnsi="Arial" w:cs="Arial"/>
          <w:i/>
          <w:iCs/>
          <w:sz w:val="24"/>
          <w:szCs w:val="24"/>
        </w:rPr>
        <w:t>is designed to cate</w:t>
      </w:r>
      <w:r w:rsidR="00767F4C" w:rsidRPr="00C34F13">
        <w:rPr>
          <w:rFonts w:ascii="Arial" w:hAnsi="Arial" w:cs="Arial"/>
          <w:i/>
          <w:iCs/>
          <w:sz w:val="24"/>
          <w:szCs w:val="24"/>
        </w:rPr>
        <w:t>r</w:t>
      </w:r>
      <w:r w:rsidR="00FC4386" w:rsidRPr="00C34F13">
        <w:rPr>
          <w:rFonts w:ascii="Arial" w:hAnsi="Arial" w:cs="Arial"/>
          <w:i/>
          <w:iCs/>
          <w:sz w:val="24"/>
          <w:szCs w:val="24"/>
        </w:rPr>
        <w:t xml:space="preserve"> for a different set of circumstances</w:t>
      </w:r>
      <w:r w:rsidR="00767F4C" w:rsidRPr="00C34F13">
        <w:rPr>
          <w:rFonts w:ascii="Arial" w:hAnsi="Arial" w:cs="Arial"/>
          <w:sz w:val="24"/>
          <w:szCs w:val="24"/>
        </w:rPr>
        <w:t>.”  Its provisions are generally deployed to require the production of documents or tape recordings before the close of pleadings or the filing of affidavits</w:t>
      </w:r>
      <w:r w:rsidR="00E71DDF" w:rsidRPr="00C34F13">
        <w:rPr>
          <w:rFonts w:ascii="Arial" w:hAnsi="Arial" w:cs="Arial"/>
          <w:sz w:val="24"/>
          <w:szCs w:val="24"/>
        </w:rPr>
        <w:t>.</w:t>
      </w:r>
      <w:r w:rsidR="00E71DDF">
        <w:rPr>
          <w:rStyle w:val="FootnoteReference"/>
          <w:rFonts w:ascii="Arial" w:hAnsi="Arial" w:cs="Arial"/>
          <w:sz w:val="24"/>
          <w:szCs w:val="24"/>
        </w:rPr>
        <w:footnoteReference w:id="19"/>
      </w:r>
      <w:r w:rsidR="00767F4C" w:rsidRPr="00C34F13">
        <w:rPr>
          <w:rFonts w:ascii="Arial" w:hAnsi="Arial" w:cs="Arial"/>
          <w:sz w:val="24"/>
          <w:szCs w:val="24"/>
        </w:rPr>
        <w:t xml:space="preserve">  </w:t>
      </w:r>
    </w:p>
    <w:p w14:paraId="2DA8A15B" w14:textId="77777777" w:rsidR="00727878" w:rsidRPr="00727878" w:rsidRDefault="00727878" w:rsidP="00727878">
      <w:pPr>
        <w:pStyle w:val="ListParagraph"/>
        <w:rPr>
          <w:rFonts w:ascii="Arial" w:hAnsi="Arial" w:cs="Arial"/>
          <w:i/>
          <w:iCs/>
          <w:sz w:val="24"/>
          <w:szCs w:val="24"/>
        </w:rPr>
      </w:pPr>
    </w:p>
    <w:p w14:paraId="1D93F34D" w14:textId="0F3D01C5" w:rsidR="00BD184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27878" w:rsidRPr="00C34F13">
        <w:rPr>
          <w:rFonts w:ascii="Arial" w:hAnsi="Arial" w:cs="Arial"/>
          <w:sz w:val="24"/>
          <w:szCs w:val="24"/>
        </w:rPr>
        <w:t xml:space="preserve">This was further emphasised in </w:t>
      </w:r>
      <w:r w:rsidR="00727878" w:rsidRPr="00C34F13">
        <w:rPr>
          <w:rFonts w:ascii="Arial" w:hAnsi="Arial" w:cs="Arial"/>
          <w:b/>
          <w:bCs/>
          <w:sz w:val="24"/>
          <w:szCs w:val="24"/>
        </w:rPr>
        <w:t>Unilever</w:t>
      </w:r>
      <w:r w:rsidR="00B10BE5" w:rsidRPr="00C34F13">
        <w:rPr>
          <w:rFonts w:ascii="Arial" w:hAnsi="Arial" w:cs="Arial"/>
          <w:b/>
          <w:bCs/>
          <w:sz w:val="24"/>
          <w:szCs w:val="24"/>
        </w:rPr>
        <w:t xml:space="preserve"> plc and Another v Polagric (Pty) Ltd</w:t>
      </w:r>
      <w:r w:rsidR="00B10BE5">
        <w:rPr>
          <w:rStyle w:val="FootnoteReference"/>
          <w:rFonts w:ascii="Arial" w:hAnsi="Arial" w:cs="Arial"/>
          <w:sz w:val="24"/>
          <w:szCs w:val="24"/>
        </w:rPr>
        <w:footnoteReference w:id="20"/>
      </w:r>
      <w:r w:rsidR="00E06253" w:rsidRPr="00C34F13">
        <w:rPr>
          <w:rFonts w:ascii="Arial" w:hAnsi="Arial" w:cs="Arial"/>
          <w:sz w:val="24"/>
          <w:szCs w:val="24"/>
        </w:rPr>
        <w:t xml:space="preserve"> in which the objective of Rule 35(</w:t>
      </w:r>
      <w:r w:rsidR="00BD184B" w:rsidRPr="00C34F13">
        <w:rPr>
          <w:rFonts w:ascii="Arial" w:hAnsi="Arial" w:cs="Arial"/>
          <w:sz w:val="24"/>
          <w:szCs w:val="24"/>
        </w:rPr>
        <w:t>12) was explained as follows:</w:t>
      </w:r>
    </w:p>
    <w:p w14:paraId="4FE99CF3" w14:textId="77777777" w:rsidR="00BD184B" w:rsidRPr="00BD184B" w:rsidRDefault="00BD184B" w:rsidP="00BD184B">
      <w:pPr>
        <w:pStyle w:val="ListParagraph"/>
        <w:rPr>
          <w:rFonts w:ascii="Arial" w:hAnsi="Arial" w:cs="Arial"/>
          <w:sz w:val="24"/>
          <w:szCs w:val="24"/>
        </w:rPr>
      </w:pPr>
    </w:p>
    <w:p w14:paraId="6C86F737" w14:textId="38F340DF" w:rsidR="00BD184B" w:rsidRPr="00432309" w:rsidRDefault="00BD184B" w:rsidP="00432309">
      <w:pPr>
        <w:pStyle w:val="ListParagraph"/>
        <w:spacing w:after="0" w:line="360" w:lineRule="auto"/>
        <w:ind w:left="1440"/>
        <w:jc w:val="both"/>
        <w:rPr>
          <w:rFonts w:ascii="Arial" w:hAnsi="Arial" w:cs="Arial"/>
        </w:rPr>
      </w:pPr>
      <w:r w:rsidRPr="00432309">
        <w:rPr>
          <w:rFonts w:ascii="Arial" w:hAnsi="Arial" w:cs="Arial"/>
        </w:rPr>
        <w:t>“</w:t>
      </w:r>
      <w:r w:rsidR="004A27DD" w:rsidRPr="00432309">
        <w:rPr>
          <w:rFonts w:ascii="Arial" w:hAnsi="Arial" w:cs="Arial"/>
        </w:rPr>
        <w:t>[</w:t>
      </w:r>
      <w:r w:rsidR="00D4523F" w:rsidRPr="00432309">
        <w:rPr>
          <w:rFonts w:ascii="Arial" w:hAnsi="Arial" w:cs="Arial"/>
        </w:rPr>
        <w:t>A]</w:t>
      </w:r>
      <w:r w:rsidR="0051333D" w:rsidRPr="00432309">
        <w:rPr>
          <w:rFonts w:ascii="Arial" w:hAnsi="Arial" w:cs="Arial"/>
        </w:rPr>
        <w:t xml:space="preserve"> defendant or respondent does not have to wait until the pleadings have been closed or </w:t>
      </w:r>
      <w:r w:rsidR="0077697B">
        <w:rPr>
          <w:rFonts w:ascii="Arial" w:hAnsi="Arial" w:cs="Arial"/>
        </w:rPr>
        <w:t>o</w:t>
      </w:r>
      <w:r w:rsidR="0051333D" w:rsidRPr="00432309">
        <w:rPr>
          <w:rFonts w:ascii="Arial" w:hAnsi="Arial" w:cs="Arial"/>
        </w:rPr>
        <w:t>pposing affidavits</w:t>
      </w:r>
      <w:r w:rsidR="00153C42" w:rsidRPr="00432309">
        <w:rPr>
          <w:rFonts w:ascii="Arial" w:hAnsi="Arial" w:cs="Arial"/>
        </w:rPr>
        <w:t xml:space="preserve"> </w:t>
      </w:r>
      <w:r w:rsidR="00A61A56" w:rsidRPr="00432309">
        <w:rPr>
          <w:rFonts w:ascii="Arial" w:hAnsi="Arial" w:cs="Arial"/>
        </w:rPr>
        <w:t xml:space="preserve">have </w:t>
      </w:r>
      <w:r w:rsidR="00153C42" w:rsidRPr="00432309">
        <w:rPr>
          <w:rFonts w:ascii="Arial" w:hAnsi="Arial" w:cs="Arial"/>
        </w:rPr>
        <w:t>be</w:t>
      </w:r>
      <w:r w:rsidR="00A61A56" w:rsidRPr="00432309">
        <w:rPr>
          <w:rFonts w:ascii="Arial" w:hAnsi="Arial" w:cs="Arial"/>
        </w:rPr>
        <w:t>e</w:t>
      </w:r>
      <w:r w:rsidR="00153C42" w:rsidRPr="00432309">
        <w:rPr>
          <w:rFonts w:ascii="Arial" w:hAnsi="Arial" w:cs="Arial"/>
        </w:rPr>
        <w:t>n delivered before exercising his right</w:t>
      </w:r>
      <w:r w:rsidR="00A61A56" w:rsidRPr="00432309">
        <w:rPr>
          <w:rFonts w:ascii="Arial" w:hAnsi="Arial" w:cs="Arial"/>
        </w:rPr>
        <w:t xml:space="preserve"> under Rule 35(12)</w:t>
      </w:r>
      <w:r w:rsidR="008374CB" w:rsidRPr="00432309">
        <w:rPr>
          <w:rFonts w:ascii="Arial" w:hAnsi="Arial" w:cs="Arial"/>
        </w:rPr>
        <w:t xml:space="preserve">:  he may do so at any time before the hearing of the matter.  It follows that he may do so before </w:t>
      </w:r>
      <w:r w:rsidR="0077697B">
        <w:rPr>
          <w:rFonts w:ascii="Arial" w:hAnsi="Arial" w:cs="Arial"/>
        </w:rPr>
        <w:t>discovery</w:t>
      </w:r>
      <w:r w:rsidR="008374CB" w:rsidRPr="00432309">
        <w:rPr>
          <w:rFonts w:ascii="Arial" w:hAnsi="Arial" w:cs="Arial"/>
        </w:rPr>
        <w:t xml:space="preserve"> what his defence is, </w:t>
      </w:r>
      <w:r w:rsidR="00432309" w:rsidRPr="00432309">
        <w:rPr>
          <w:rFonts w:ascii="Arial" w:hAnsi="Arial" w:cs="Arial"/>
        </w:rPr>
        <w:t>or even before he knows what his defence, if any, is going to be.  H</w:t>
      </w:r>
      <w:r w:rsidR="0077697B">
        <w:rPr>
          <w:rFonts w:ascii="Arial" w:hAnsi="Arial" w:cs="Arial"/>
        </w:rPr>
        <w:t>e is</w:t>
      </w:r>
      <w:r w:rsidR="00432309" w:rsidRPr="00432309">
        <w:rPr>
          <w:rFonts w:ascii="Arial" w:hAnsi="Arial" w:cs="Arial"/>
        </w:rPr>
        <w:t xml:space="preserve"> entitled to </w:t>
      </w:r>
      <w:r w:rsidR="00432309" w:rsidRPr="00432309">
        <w:rPr>
          <w:rFonts w:ascii="Arial" w:hAnsi="Arial" w:cs="Arial"/>
        </w:rPr>
        <w:lastRenderedPageBreak/>
        <w:t>have the documents produced “for the specific purpose of considering his position”.”</w:t>
      </w:r>
    </w:p>
    <w:p w14:paraId="10C6FB6F" w14:textId="77777777" w:rsidR="00BD184B" w:rsidRPr="00BD184B" w:rsidRDefault="00BD184B" w:rsidP="00BD184B">
      <w:pPr>
        <w:pStyle w:val="ListParagraph"/>
        <w:rPr>
          <w:rFonts w:ascii="Arial" w:hAnsi="Arial" w:cs="Arial"/>
          <w:sz w:val="24"/>
          <w:szCs w:val="24"/>
        </w:rPr>
      </w:pPr>
    </w:p>
    <w:p w14:paraId="4F4CA0A3" w14:textId="54236936" w:rsidR="00BD184B" w:rsidRPr="00C34F13" w:rsidRDefault="00C34F13" w:rsidP="00C34F13">
      <w:pPr>
        <w:spacing w:after="0" w:line="480" w:lineRule="auto"/>
        <w:ind w:left="720" w:hanging="720"/>
        <w:jc w:val="both"/>
        <w:rPr>
          <w:rFonts w:ascii="Arial" w:hAnsi="Arial" w:cs="Arial"/>
          <w:sz w:val="24"/>
          <w:szCs w:val="24"/>
        </w:rPr>
      </w:pPr>
      <w:r w:rsidRPr="00BD184B">
        <w:rPr>
          <w:rFonts w:ascii="Arial" w:hAnsi="Arial" w:cs="Arial"/>
          <w:sz w:val="24"/>
          <w:szCs w:val="24"/>
        </w:rPr>
        <w:t>35.</w:t>
      </w:r>
      <w:r w:rsidRPr="00BD184B">
        <w:rPr>
          <w:rFonts w:ascii="Arial" w:hAnsi="Arial" w:cs="Arial"/>
          <w:sz w:val="24"/>
          <w:szCs w:val="24"/>
        </w:rPr>
        <w:tab/>
      </w:r>
      <w:r w:rsidR="00325304" w:rsidRPr="00C34F13">
        <w:rPr>
          <w:rFonts w:ascii="Arial" w:hAnsi="Arial" w:cs="Arial"/>
          <w:sz w:val="24"/>
          <w:szCs w:val="24"/>
        </w:rPr>
        <w:t xml:space="preserve">It bears repetition that as pointed out in </w:t>
      </w:r>
      <w:r w:rsidR="00325304" w:rsidRPr="00C34F13">
        <w:rPr>
          <w:rFonts w:ascii="Arial" w:hAnsi="Arial" w:cs="Arial"/>
          <w:b/>
          <w:bCs/>
          <w:sz w:val="24"/>
          <w:szCs w:val="24"/>
        </w:rPr>
        <w:t>Caxton</w:t>
      </w:r>
      <w:r w:rsidR="00325304">
        <w:rPr>
          <w:rStyle w:val="FootnoteReference"/>
          <w:rFonts w:ascii="Arial" w:hAnsi="Arial" w:cs="Arial"/>
          <w:sz w:val="24"/>
          <w:szCs w:val="24"/>
        </w:rPr>
        <w:footnoteReference w:id="21"/>
      </w:r>
      <w:r w:rsidR="00325304" w:rsidRPr="00C34F13">
        <w:rPr>
          <w:rFonts w:ascii="Arial" w:hAnsi="Arial" w:cs="Arial"/>
          <w:sz w:val="24"/>
          <w:szCs w:val="24"/>
        </w:rPr>
        <w:t xml:space="preserve"> the ambit of Rule 35(12)</w:t>
      </w:r>
      <w:r w:rsidR="00E7653B" w:rsidRPr="00C34F13">
        <w:rPr>
          <w:rFonts w:ascii="Arial" w:hAnsi="Arial" w:cs="Arial"/>
          <w:sz w:val="24"/>
          <w:szCs w:val="24"/>
        </w:rPr>
        <w:t xml:space="preserve"> is very wide and admits of no serious doubt</w:t>
      </w:r>
      <w:r w:rsidR="00135AD0" w:rsidRPr="00C34F13">
        <w:rPr>
          <w:rFonts w:ascii="Arial" w:hAnsi="Arial" w:cs="Arial"/>
          <w:sz w:val="24"/>
          <w:szCs w:val="24"/>
        </w:rPr>
        <w:t xml:space="preserve"> that </w:t>
      </w:r>
      <w:r w:rsidR="0077697B" w:rsidRPr="00C34F13">
        <w:rPr>
          <w:rFonts w:ascii="Arial" w:hAnsi="Arial" w:cs="Arial"/>
          <w:sz w:val="24"/>
          <w:szCs w:val="24"/>
        </w:rPr>
        <w:t>this</w:t>
      </w:r>
      <w:r w:rsidR="00135AD0" w:rsidRPr="00C34F13">
        <w:rPr>
          <w:rFonts w:ascii="Arial" w:hAnsi="Arial" w:cs="Arial"/>
          <w:sz w:val="24"/>
          <w:szCs w:val="24"/>
        </w:rPr>
        <w:t xml:space="preserve"> </w:t>
      </w:r>
      <w:r w:rsidR="00E7653B" w:rsidRPr="00C34F13">
        <w:rPr>
          <w:rFonts w:ascii="Arial" w:hAnsi="Arial" w:cs="Arial"/>
          <w:sz w:val="24"/>
          <w:szCs w:val="24"/>
        </w:rPr>
        <w:t xml:space="preserve">has extensive reach as pointed out in </w:t>
      </w:r>
      <w:r w:rsidR="00E7653B" w:rsidRPr="00C34F13">
        <w:rPr>
          <w:rFonts w:ascii="Arial" w:hAnsi="Arial" w:cs="Arial"/>
          <w:b/>
          <w:bCs/>
          <w:sz w:val="24"/>
          <w:szCs w:val="24"/>
        </w:rPr>
        <w:t>Gorfinkel</w:t>
      </w:r>
      <w:r w:rsidR="003C39B6" w:rsidRPr="00C34F13">
        <w:rPr>
          <w:rFonts w:ascii="Arial" w:hAnsi="Arial" w:cs="Arial"/>
          <w:sz w:val="24"/>
          <w:szCs w:val="24"/>
        </w:rPr>
        <w:t xml:space="preserve"> (</w:t>
      </w:r>
      <w:r w:rsidR="003C39B6" w:rsidRPr="00C34F13">
        <w:rPr>
          <w:rFonts w:ascii="Arial" w:hAnsi="Arial" w:cs="Arial"/>
          <w:i/>
          <w:iCs/>
          <w:sz w:val="24"/>
          <w:szCs w:val="24"/>
        </w:rPr>
        <w:t>supra</w:t>
      </w:r>
      <w:r w:rsidR="003C39B6" w:rsidRPr="00C34F13">
        <w:rPr>
          <w:rFonts w:ascii="Arial" w:hAnsi="Arial" w:cs="Arial"/>
          <w:sz w:val="24"/>
          <w:szCs w:val="24"/>
        </w:rPr>
        <w:t>)</w:t>
      </w:r>
      <w:r w:rsidR="003C39B6">
        <w:rPr>
          <w:rStyle w:val="FootnoteReference"/>
          <w:rFonts w:ascii="Arial" w:hAnsi="Arial" w:cs="Arial"/>
          <w:sz w:val="24"/>
          <w:szCs w:val="24"/>
        </w:rPr>
        <w:footnoteReference w:id="22"/>
      </w:r>
      <w:r w:rsidR="003C39B6" w:rsidRPr="00C34F13">
        <w:rPr>
          <w:rFonts w:ascii="Arial" w:hAnsi="Arial" w:cs="Arial"/>
          <w:sz w:val="24"/>
          <w:szCs w:val="24"/>
        </w:rPr>
        <w:t>.</w:t>
      </w:r>
    </w:p>
    <w:p w14:paraId="2E4FC380" w14:textId="77777777" w:rsidR="00BD184B" w:rsidRPr="00BD184B" w:rsidRDefault="00BD184B" w:rsidP="00BD184B">
      <w:pPr>
        <w:pStyle w:val="ListParagraph"/>
        <w:rPr>
          <w:rFonts w:ascii="Arial" w:hAnsi="Arial" w:cs="Arial"/>
          <w:sz w:val="24"/>
          <w:szCs w:val="24"/>
        </w:rPr>
      </w:pPr>
    </w:p>
    <w:p w14:paraId="46B981F2" w14:textId="017C9CBE" w:rsidR="00BD184B"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C39B6" w:rsidRPr="00C34F13">
        <w:rPr>
          <w:rFonts w:ascii="Arial" w:hAnsi="Arial" w:cs="Arial"/>
          <w:sz w:val="24"/>
          <w:szCs w:val="24"/>
        </w:rPr>
        <w:t>In my view</w:t>
      </w:r>
      <w:r w:rsidR="00BE2FC1" w:rsidRPr="00C34F13">
        <w:rPr>
          <w:rFonts w:ascii="Arial" w:hAnsi="Arial" w:cs="Arial"/>
          <w:sz w:val="24"/>
          <w:szCs w:val="24"/>
        </w:rPr>
        <w:t xml:space="preserve"> the provisions of Rule 35(13) </w:t>
      </w:r>
      <w:r w:rsidR="00135AD0" w:rsidRPr="00C34F13">
        <w:rPr>
          <w:rFonts w:ascii="Arial" w:hAnsi="Arial" w:cs="Arial"/>
          <w:sz w:val="24"/>
          <w:szCs w:val="24"/>
        </w:rPr>
        <w:t>are</w:t>
      </w:r>
      <w:r w:rsidR="00BE2FC1" w:rsidRPr="00C34F13">
        <w:rPr>
          <w:rFonts w:ascii="Arial" w:hAnsi="Arial" w:cs="Arial"/>
          <w:sz w:val="24"/>
          <w:szCs w:val="24"/>
        </w:rPr>
        <w:t xml:space="preserve"> clear and </w:t>
      </w:r>
      <w:r w:rsidR="0077697B" w:rsidRPr="00C34F13">
        <w:rPr>
          <w:rFonts w:ascii="Arial" w:hAnsi="Arial" w:cs="Arial"/>
          <w:sz w:val="24"/>
          <w:szCs w:val="24"/>
        </w:rPr>
        <w:t>unambiguous</w:t>
      </w:r>
      <w:r w:rsidR="00BE2FC1" w:rsidRPr="00C34F13">
        <w:rPr>
          <w:rFonts w:ascii="Arial" w:hAnsi="Arial" w:cs="Arial"/>
          <w:sz w:val="24"/>
          <w:szCs w:val="24"/>
        </w:rPr>
        <w:t xml:space="preserve"> relevant to the provisions of discovery in Rule 35 being subject to the Court’s direction in application proceedings first being had.  </w:t>
      </w:r>
      <w:r w:rsidR="00AF710A" w:rsidRPr="00C34F13">
        <w:rPr>
          <w:rFonts w:ascii="Arial" w:hAnsi="Arial" w:cs="Arial"/>
          <w:sz w:val="24"/>
          <w:szCs w:val="24"/>
        </w:rPr>
        <w:t>That is an essential prerequisite for a notice in terms of Rule 35(1) in applications and in an application to compel</w:t>
      </w:r>
      <w:r w:rsidR="00A12D9F" w:rsidRPr="00C34F13">
        <w:rPr>
          <w:rFonts w:ascii="Arial" w:hAnsi="Arial" w:cs="Arial"/>
          <w:sz w:val="24"/>
          <w:szCs w:val="24"/>
        </w:rPr>
        <w:t xml:space="preserve"> compliance with the notice in terms thereof.  </w:t>
      </w:r>
    </w:p>
    <w:p w14:paraId="6956ECFB" w14:textId="77777777" w:rsidR="00A12D9F" w:rsidRPr="00A12D9F" w:rsidRDefault="00A12D9F" w:rsidP="00A12D9F">
      <w:pPr>
        <w:pStyle w:val="ListParagraph"/>
        <w:rPr>
          <w:rFonts w:ascii="Arial" w:hAnsi="Arial" w:cs="Arial"/>
          <w:sz w:val="24"/>
          <w:szCs w:val="24"/>
        </w:rPr>
      </w:pPr>
    </w:p>
    <w:p w14:paraId="2AC5F3AE" w14:textId="63DC4ADA" w:rsidR="006A630A"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12D9F" w:rsidRPr="00C34F13">
        <w:rPr>
          <w:rFonts w:ascii="Arial" w:hAnsi="Arial" w:cs="Arial"/>
          <w:sz w:val="24"/>
          <w:szCs w:val="24"/>
        </w:rPr>
        <w:t>An analysis of Rule 35 and its interpretation</w:t>
      </w:r>
      <w:r w:rsidR="00D7183B" w:rsidRPr="00C34F13">
        <w:rPr>
          <w:rFonts w:ascii="Arial" w:hAnsi="Arial" w:cs="Arial"/>
          <w:sz w:val="24"/>
          <w:szCs w:val="24"/>
        </w:rPr>
        <w:t xml:space="preserve"> in the manner already fully referred to above, admits of no doubt whatsoever, in my view, </w:t>
      </w:r>
      <w:r w:rsidR="002F4F31" w:rsidRPr="00C34F13">
        <w:rPr>
          <w:rFonts w:ascii="Arial" w:hAnsi="Arial" w:cs="Arial"/>
          <w:sz w:val="24"/>
          <w:szCs w:val="24"/>
        </w:rPr>
        <w:t>that Rule 35(12) is a self-standing</w:t>
      </w:r>
      <w:r w:rsidR="000F5D52" w:rsidRPr="00C34F13">
        <w:rPr>
          <w:rFonts w:ascii="Arial" w:hAnsi="Arial" w:cs="Arial"/>
          <w:sz w:val="24"/>
          <w:szCs w:val="24"/>
        </w:rPr>
        <w:t xml:space="preserve"> subrule in Rule 35</w:t>
      </w:r>
      <w:r w:rsidR="00135AD0" w:rsidRPr="00C34F13">
        <w:rPr>
          <w:rFonts w:ascii="Arial" w:hAnsi="Arial" w:cs="Arial"/>
          <w:sz w:val="24"/>
          <w:szCs w:val="24"/>
        </w:rPr>
        <w:t>,</w:t>
      </w:r>
      <w:r w:rsidR="00007B3F" w:rsidRPr="00C34F13">
        <w:rPr>
          <w:rFonts w:ascii="Arial" w:hAnsi="Arial" w:cs="Arial"/>
          <w:sz w:val="24"/>
          <w:szCs w:val="24"/>
        </w:rPr>
        <w:t xml:space="preserve"> unconnected with and not requiring the trigger mechanism of a court order</w:t>
      </w:r>
      <w:r w:rsidR="000A1D72" w:rsidRPr="00C34F13">
        <w:rPr>
          <w:rFonts w:ascii="Arial" w:hAnsi="Arial" w:cs="Arial"/>
          <w:sz w:val="24"/>
          <w:szCs w:val="24"/>
        </w:rPr>
        <w:t>,</w:t>
      </w:r>
      <w:r w:rsidR="006A630A" w:rsidRPr="00C34F13">
        <w:rPr>
          <w:rFonts w:ascii="Arial" w:hAnsi="Arial" w:cs="Arial"/>
          <w:sz w:val="24"/>
          <w:szCs w:val="24"/>
        </w:rPr>
        <w:t xml:space="preserve"> making discovery relevant to applications first being had.  </w:t>
      </w:r>
    </w:p>
    <w:p w14:paraId="07221A34" w14:textId="77777777" w:rsidR="006A630A" w:rsidRPr="006A630A" w:rsidRDefault="006A630A" w:rsidP="006A630A">
      <w:pPr>
        <w:pStyle w:val="ListParagraph"/>
        <w:rPr>
          <w:rFonts w:ascii="Arial" w:hAnsi="Arial" w:cs="Arial"/>
          <w:sz w:val="24"/>
          <w:szCs w:val="24"/>
        </w:rPr>
      </w:pPr>
    </w:p>
    <w:p w14:paraId="43D8CB29" w14:textId="5F47A555" w:rsidR="00FA1C82"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A630A" w:rsidRPr="00C34F13">
        <w:rPr>
          <w:rFonts w:ascii="Arial" w:hAnsi="Arial" w:cs="Arial"/>
          <w:sz w:val="24"/>
          <w:szCs w:val="24"/>
        </w:rPr>
        <w:t>It has an entirely different purpose and in referring to “</w:t>
      </w:r>
      <w:r w:rsidR="006A630A" w:rsidRPr="00C34F13">
        <w:rPr>
          <w:rFonts w:ascii="Arial" w:hAnsi="Arial" w:cs="Arial"/>
          <w:i/>
          <w:iCs/>
          <w:sz w:val="24"/>
          <w:szCs w:val="24"/>
        </w:rPr>
        <w:t>proceedings</w:t>
      </w:r>
      <w:r w:rsidR="006A630A" w:rsidRPr="00C34F13">
        <w:rPr>
          <w:rFonts w:ascii="Arial" w:hAnsi="Arial" w:cs="Arial"/>
          <w:sz w:val="24"/>
          <w:szCs w:val="24"/>
        </w:rPr>
        <w:t xml:space="preserve">” </w:t>
      </w:r>
      <w:r w:rsidR="00FA1C82" w:rsidRPr="00C34F13">
        <w:rPr>
          <w:rFonts w:ascii="Arial" w:hAnsi="Arial" w:cs="Arial"/>
          <w:sz w:val="24"/>
          <w:szCs w:val="24"/>
        </w:rPr>
        <w:t>and “</w:t>
      </w:r>
      <w:r w:rsidR="00FA1C82" w:rsidRPr="00C34F13">
        <w:rPr>
          <w:rFonts w:ascii="Arial" w:hAnsi="Arial" w:cs="Arial"/>
          <w:i/>
          <w:iCs/>
          <w:sz w:val="24"/>
          <w:szCs w:val="24"/>
        </w:rPr>
        <w:t>pleadings</w:t>
      </w:r>
      <w:r w:rsidR="00FA1C82" w:rsidRPr="00C34F13">
        <w:rPr>
          <w:rFonts w:ascii="Arial" w:hAnsi="Arial" w:cs="Arial"/>
          <w:sz w:val="24"/>
          <w:szCs w:val="24"/>
        </w:rPr>
        <w:t xml:space="preserve"> </w:t>
      </w:r>
      <w:r w:rsidR="00FA1C82" w:rsidRPr="00C34F13">
        <w:rPr>
          <w:rFonts w:ascii="Arial" w:hAnsi="Arial" w:cs="Arial"/>
          <w:i/>
          <w:iCs/>
          <w:sz w:val="24"/>
          <w:szCs w:val="24"/>
        </w:rPr>
        <w:t xml:space="preserve">and </w:t>
      </w:r>
      <w:r w:rsidR="00D32007" w:rsidRPr="00C34F13">
        <w:rPr>
          <w:rFonts w:ascii="Arial" w:hAnsi="Arial" w:cs="Arial"/>
          <w:i/>
          <w:iCs/>
          <w:sz w:val="24"/>
          <w:szCs w:val="24"/>
        </w:rPr>
        <w:t>affidavits</w:t>
      </w:r>
      <w:r w:rsidR="00FA1C82" w:rsidRPr="00C34F13">
        <w:rPr>
          <w:rFonts w:ascii="Arial" w:hAnsi="Arial" w:cs="Arial"/>
          <w:sz w:val="24"/>
          <w:szCs w:val="24"/>
        </w:rPr>
        <w:t xml:space="preserve">” is entirely clear and self-standing.  </w:t>
      </w:r>
    </w:p>
    <w:p w14:paraId="6EF6B843" w14:textId="77777777" w:rsidR="00FA1C82" w:rsidRPr="00FA1C82" w:rsidRDefault="00FA1C82" w:rsidP="00FA1C82">
      <w:pPr>
        <w:pStyle w:val="ListParagraph"/>
        <w:rPr>
          <w:rFonts w:ascii="Arial" w:hAnsi="Arial" w:cs="Arial"/>
          <w:sz w:val="24"/>
          <w:szCs w:val="24"/>
        </w:rPr>
      </w:pPr>
    </w:p>
    <w:p w14:paraId="637A63E3" w14:textId="18DAEFF7" w:rsidR="00A12D9F"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FA1C82" w:rsidRPr="00C34F13">
        <w:rPr>
          <w:rFonts w:ascii="Arial" w:hAnsi="Arial" w:cs="Arial"/>
          <w:sz w:val="24"/>
          <w:szCs w:val="24"/>
        </w:rPr>
        <w:t xml:space="preserve">The consequence is, that any party in </w:t>
      </w:r>
      <w:r w:rsidR="00D32007" w:rsidRPr="00C34F13">
        <w:rPr>
          <w:rFonts w:ascii="Arial" w:hAnsi="Arial" w:cs="Arial"/>
          <w:sz w:val="24"/>
          <w:szCs w:val="24"/>
        </w:rPr>
        <w:t xml:space="preserve">an application proceeding may invoke the provisions of Rule 35(12) </w:t>
      </w:r>
      <w:r w:rsidR="002B0592" w:rsidRPr="00C34F13">
        <w:rPr>
          <w:rFonts w:ascii="Arial" w:hAnsi="Arial" w:cs="Arial"/>
          <w:sz w:val="24"/>
          <w:szCs w:val="24"/>
        </w:rPr>
        <w:t xml:space="preserve">at any stage of the </w:t>
      </w:r>
      <w:r w:rsidR="00BE4898" w:rsidRPr="00C34F13">
        <w:rPr>
          <w:rFonts w:ascii="Arial" w:hAnsi="Arial" w:cs="Arial"/>
          <w:sz w:val="24"/>
          <w:szCs w:val="24"/>
        </w:rPr>
        <w:t>proceedings</w:t>
      </w:r>
      <w:r w:rsidR="002B0592" w:rsidRPr="00C34F13">
        <w:rPr>
          <w:rFonts w:ascii="Arial" w:hAnsi="Arial" w:cs="Arial"/>
          <w:sz w:val="24"/>
          <w:szCs w:val="24"/>
        </w:rPr>
        <w:t xml:space="preserve">, </w:t>
      </w:r>
      <w:r w:rsidR="0077697B" w:rsidRPr="00C34F13">
        <w:rPr>
          <w:rFonts w:ascii="Arial" w:hAnsi="Arial" w:cs="Arial"/>
          <w:sz w:val="24"/>
          <w:szCs w:val="24"/>
        </w:rPr>
        <w:t>and</w:t>
      </w:r>
      <w:r w:rsidR="002B0592" w:rsidRPr="00C34F13">
        <w:rPr>
          <w:rFonts w:ascii="Arial" w:hAnsi="Arial" w:cs="Arial"/>
          <w:sz w:val="24"/>
          <w:szCs w:val="24"/>
        </w:rPr>
        <w:t xml:space="preserve"> particularly immediately after the filing of affidavit in which </w:t>
      </w:r>
      <w:r w:rsidR="00BE4898" w:rsidRPr="00C34F13">
        <w:rPr>
          <w:rFonts w:ascii="Arial" w:hAnsi="Arial" w:cs="Arial"/>
          <w:sz w:val="24"/>
          <w:szCs w:val="24"/>
        </w:rPr>
        <w:t>reference</w:t>
      </w:r>
      <w:r w:rsidR="002B0592" w:rsidRPr="00C34F13">
        <w:rPr>
          <w:rFonts w:ascii="Arial" w:hAnsi="Arial" w:cs="Arial"/>
          <w:sz w:val="24"/>
          <w:szCs w:val="24"/>
        </w:rPr>
        <w:t xml:space="preserve"> is made to a document </w:t>
      </w:r>
      <w:r w:rsidR="002B0592" w:rsidRPr="00C34F13">
        <w:rPr>
          <w:rFonts w:ascii="Arial" w:hAnsi="Arial" w:cs="Arial"/>
          <w:sz w:val="24"/>
          <w:szCs w:val="24"/>
        </w:rPr>
        <w:lastRenderedPageBreak/>
        <w:t xml:space="preserve">or </w:t>
      </w:r>
      <w:r w:rsidR="00861961" w:rsidRPr="00C34F13">
        <w:rPr>
          <w:rFonts w:ascii="Arial" w:hAnsi="Arial" w:cs="Arial"/>
          <w:sz w:val="24"/>
          <w:szCs w:val="24"/>
        </w:rPr>
        <w:t xml:space="preserve">tape recording, </w:t>
      </w:r>
      <w:r w:rsidR="00135AD0" w:rsidRPr="00C34F13">
        <w:rPr>
          <w:rFonts w:ascii="Arial" w:hAnsi="Arial" w:cs="Arial"/>
          <w:sz w:val="24"/>
          <w:szCs w:val="24"/>
        </w:rPr>
        <w:t xml:space="preserve">with </w:t>
      </w:r>
      <w:r w:rsidR="00861961" w:rsidRPr="00C34F13">
        <w:rPr>
          <w:rFonts w:ascii="Arial" w:hAnsi="Arial" w:cs="Arial"/>
          <w:sz w:val="24"/>
          <w:szCs w:val="24"/>
        </w:rPr>
        <w:t>the entitlement to seek production of same and to compel its production in terms of Rule 30(A)</w:t>
      </w:r>
      <w:r w:rsidR="00BE4898" w:rsidRPr="00C34F13">
        <w:rPr>
          <w:rFonts w:ascii="Arial" w:hAnsi="Arial" w:cs="Arial"/>
          <w:sz w:val="24"/>
          <w:szCs w:val="24"/>
        </w:rPr>
        <w:t xml:space="preserve"> if necessary, within the terms of </w:t>
      </w:r>
      <w:r w:rsidR="00CD4E4F" w:rsidRPr="00C34F13">
        <w:rPr>
          <w:rFonts w:ascii="Arial" w:hAnsi="Arial" w:cs="Arial"/>
          <w:sz w:val="24"/>
          <w:szCs w:val="24"/>
        </w:rPr>
        <w:t>the Rules.</w:t>
      </w:r>
      <w:r w:rsidR="000D69A1" w:rsidRPr="00C34F13">
        <w:rPr>
          <w:rFonts w:ascii="Arial" w:hAnsi="Arial" w:cs="Arial"/>
          <w:sz w:val="24"/>
          <w:szCs w:val="24"/>
        </w:rPr>
        <w:t xml:space="preserve">  The purpose being to enable it to assess its position and consider its defence and how that should be set out in answer or reply.  </w:t>
      </w:r>
    </w:p>
    <w:p w14:paraId="475A2271" w14:textId="77777777" w:rsidR="000D69A1" w:rsidRPr="000D69A1" w:rsidRDefault="000D69A1" w:rsidP="000D69A1">
      <w:pPr>
        <w:pStyle w:val="ListParagraph"/>
        <w:rPr>
          <w:rFonts w:ascii="Arial" w:hAnsi="Arial" w:cs="Arial"/>
          <w:sz w:val="24"/>
          <w:szCs w:val="24"/>
        </w:rPr>
      </w:pPr>
    </w:p>
    <w:p w14:paraId="773086F7" w14:textId="770B1E24" w:rsidR="008D4886" w:rsidRPr="00C34F13" w:rsidRDefault="00C34F13" w:rsidP="00C34F13">
      <w:pPr>
        <w:spacing w:after="0" w:line="480" w:lineRule="auto"/>
        <w:ind w:left="720" w:hanging="720"/>
        <w:jc w:val="both"/>
        <w:rPr>
          <w:rFonts w:ascii="Arial" w:hAnsi="Arial" w:cs="Arial"/>
          <w:sz w:val="24"/>
          <w:szCs w:val="24"/>
        </w:rPr>
      </w:pPr>
      <w:r w:rsidRPr="008D4886">
        <w:rPr>
          <w:rFonts w:ascii="Arial" w:hAnsi="Arial" w:cs="Arial"/>
          <w:sz w:val="24"/>
          <w:szCs w:val="24"/>
        </w:rPr>
        <w:t>40.</w:t>
      </w:r>
      <w:r w:rsidRPr="008D4886">
        <w:rPr>
          <w:rFonts w:ascii="Arial" w:hAnsi="Arial" w:cs="Arial"/>
          <w:sz w:val="24"/>
          <w:szCs w:val="24"/>
        </w:rPr>
        <w:tab/>
      </w:r>
      <w:r w:rsidR="002A7686" w:rsidRPr="00C34F13">
        <w:rPr>
          <w:rFonts w:ascii="Arial" w:hAnsi="Arial" w:cs="Arial"/>
          <w:sz w:val="24"/>
          <w:szCs w:val="24"/>
        </w:rPr>
        <w:t xml:space="preserve">Counsel </w:t>
      </w:r>
      <w:r w:rsidR="0077697B" w:rsidRPr="00C34F13">
        <w:rPr>
          <w:rFonts w:ascii="Arial" w:hAnsi="Arial" w:cs="Arial"/>
          <w:sz w:val="24"/>
          <w:szCs w:val="24"/>
        </w:rPr>
        <w:t xml:space="preserve">for respondent </w:t>
      </w:r>
      <w:r w:rsidR="002A7686" w:rsidRPr="00C34F13">
        <w:rPr>
          <w:rFonts w:ascii="Arial" w:hAnsi="Arial" w:cs="Arial"/>
          <w:sz w:val="24"/>
          <w:szCs w:val="24"/>
        </w:rPr>
        <w:t xml:space="preserve">referred to a number of authorities which </w:t>
      </w:r>
      <w:r w:rsidR="0077697B" w:rsidRPr="00C34F13">
        <w:rPr>
          <w:rFonts w:ascii="Arial" w:hAnsi="Arial" w:cs="Arial"/>
          <w:sz w:val="24"/>
          <w:szCs w:val="24"/>
        </w:rPr>
        <w:t xml:space="preserve">he </w:t>
      </w:r>
      <w:r w:rsidR="002A7686" w:rsidRPr="00C34F13">
        <w:rPr>
          <w:rFonts w:ascii="Arial" w:hAnsi="Arial" w:cs="Arial"/>
          <w:sz w:val="24"/>
          <w:szCs w:val="24"/>
        </w:rPr>
        <w:t xml:space="preserve">contended </w:t>
      </w:r>
      <w:r w:rsidR="008D4886" w:rsidRPr="00C34F13">
        <w:rPr>
          <w:rFonts w:ascii="Arial" w:hAnsi="Arial" w:cs="Arial"/>
          <w:sz w:val="24"/>
          <w:szCs w:val="24"/>
        </w:rPr>
        <w:t xml:space="preserve">are </w:t>
      </w:r>
      <w:r w:rsidR="002A7686" w:rsidRPr="00C34F13">
        <w:rPr>
          <w:rFonts w:ascii="Arial" w:hAnsi="Arial" w:cs="Arial"/>
          <w:sz w:val="24"/>
          <w:szCs w:val="24"/>
        </w:rPr>
        <w:t xml:space="preserve">to the contrary, </w:t>
      </w:r>
      <w:r w:rsidR="008D4886" w:rsidRPr="00C34F13">
        <w:rPr>
          <w:rFonts w:ascii="Arial" w:hAnsi="Arial" w:cs="Arial"/>
          <w:sz w:val="24"/>
          <w:szCs w:val="24"/>
        </w:rPr>
        <w:t>I do not agree at all.  In essence the authorities deal mainly with Rule 35(13) in the context of Rule 35(1).  Counsel for both sides</w:t>
      </w:r>
      <w:r w:rsidR="006F4B3A" w:rsidRPr="00C34F13">
        <w:rPr>
          <w:rFonts w:ascii="Arial" w:hAnsi="Arial" w:cs="Arial"/>
          <w:sz w:val="24"/>
          <w:szCs w:val="24"/>
        </w:rPr>
        <w:t xml:space="preserve"> could</w:t>
      </w:r>
      <w:r w:rsidR="008D4886" w:rsidRPr="00C34F13">
        <w:rPr>
          <w:rFonts w:ascii="Arial" w:hAnsi="Arial" w:cs="Arial"/>
          <w:sz w:val="24"/>
          <w:szCs w:val="24"/>
        </w:rPr>
        <w:t xml:space="preserve"> refer me to only one matter dealing directly with Rule 35(12) being </w:t>
      </w:r>
      <w:r w:rsidR="008D4886" w:rsidRPr="00C34F13">
        <w:rPr>
          <w:rFonts w:ascii="Arial" w:hAnsi="Arial" w:cs="Arial"/>
          <w:b/>
          <w:bCs/>
          <w:sz w:val="24"/>
          <w:szCs w:val="24"/>
        </w:rPr>
        <w:t>Fourie and two others v Bosch and two others</w:t>
      </w:r>
      <w:r w:rsidR="008D4886">
        <w:rPr>
          <w:rStyle w:val="FootnoteReference"/>
          <w:rFonts w:ascii="Arial" w:hAnsi="Arial" w:cs="Arial"/>
          <w:b/>
          <w:bCs/>
          <w:sz w:val="24"/>
          <w:szCs w:val="24"/>
        </w:rPr>
        <w:footnoteReference w:id="23"/>
      </w:r>
      <w:r w:rsidR="008D4886" w:rsidRPr="00C34F13">
        <w:rPr>
          <w:rFonts w:ascii="Arial" w:hAnsi="Arial" w:cs="Arial"/>
          <w:b/>
          <w:bCs/>
          <w:sz w:val="24"/>
          <w:szCs w:val="24"/>
        </w:rPr>
        <w:t>.</w:t>
      </w:r>
    </w:p>
    <w:p w14:paraId="1BB69B75" w14:textId="77777777" w:rsidR="008D4886" w:rsidRPr="008D4886" w:rsidRDefault="008D4886" w:rsidP="008D4886">
      <w:pPr>
        <w:pStyle w:val="ListParagraph"/>
        <w:rPr>
          <w:rFonts w:ascii="Arial" w:hAnsi="Arial" w:cs="Arial"/>
          <w:sz w:val="24"/>
          <w:szCs w:val="24"/>
        </w:rPr>
      </w:pPr>
    </w:p>
    <w:p w14:paraId="7F1AC5FE" w14:textId="4E0AA125" w:rsidR="008D4886"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D4886" w:rsidRPr="00C34F13">
        <w:rPr>
          <w:rFonts w:ascii="Arial" w:hAnsi="Arial" w:cs="Arial"/>
          <w:sz w:val="24"/>
          <w:szCs w:val="24"/>
        </w:rPr>
        <w:t xml:space="preserve">In this matter the court dealt with a Rule 30A application to compel production of documents referred to in a Rule 35(12) </w:t>
      </w:r>
      <w:r w:rsidR="006F4B3A" w:rsidRPr="00C34F13">
        <w:rPr>
          <w:rFonts w:ascii="Arial" w:hAnsi="Arial" w:cs="Arial"/>
          <w:sz w:val="24"/>
          <w:szCs w:val="24"/>
        </w:rPr>
        <w:t>notice</w:t>
      </w:r>
      <w:r w:rsidR="008D4886" w:rsidRPr="00C34F13">
        <w:rPr>
          <w:rFonts w:ascii="Arial" w:hAnsi="Arial" w:cs="Arial"/>
          <w:sz w:val="24"/>
          <w:szCs w:val="24"/>
        </w:rPr>
        <w:t xml:space="preserve"> on the absence of an order in</w:t>
      </w:r>
      <w:r w:rsidR="006F4B3A" w:rsidRPr="00C34F13">
        <w:rPr>
          <w:rFonts w:ascii="Arial" w:hAnsi="Arial" w:cs="Arial"/>
          <w:sz w:val="24"/>
          <w:szCs w:val="24"/>
        </w:rPr>
        <w:t xml:space="preserve"> terms</w:t>
      </w:r>
      <w:r w:rsidR="008D4886" w:rsidRPr="00C34F13">
        <w:rPr>
          <w:rFonts w:ascii="Arial" w:hAnsi="Arial" w:cs="Arial"/>
          <w:sz w:val="24"/>
          <w:szCs w:val="24"/>
        </w:rPr>
        <w:t xml:space="preserve"> of Rule 35(13).  The court found shortly that this was not competent referring to</w:t>
      </w:r>
      <w:r w:rsidR="00AE32EA" w:rsidRPr="00C34F13">
        <w:rPr>
          <w:rFonts w:ascii="Arial" w:hAnsi="Arial" w:cs="Arial"/>
          <w:sz w:val="24"/>
          <w:szCs w:val="24"/>
        </w:rPr>
        <w:t xml:space="preserve"> </w:t>
      </w:r>
      <w:r w:rsidR="00AE32EA" w:rsidRPr="00C34F13">
        <w:rPr>
          <w:rFonts w:ascii="Arial" w:hAnsi="Arial" w:cs="Arial"/>
          <w:b/>
          <w:bCs/>
          <w:sz w:val="24"/>
          <w:szCs w:val="24"/>
        </w:rPr>
        <w:t xml:space="preserve">Loretz </w:t>
      </w:r>
      <w:r w:rsidR="008D4886" w:rsidRPr="00C34F13">
        <w:rPr>
          <w:rFonts w:ascii="Arial" w:hAnsi="Arial" w:cs="Arial"/>
          <w:b/>
          <w:bCs/>
          <w:sz w:val="24"/>
          <w:szCs w:val="24"/>
        </w:rPr>
        <w:t>v McKenzie</w:t>
      </w:r>
      <w:r w:rsidR="008D4886">
        <w:rPr>
          <w:rStyle w:val="FootnoteReference"/>
          <w:rFonts w:ascii="Arial" w:hAnsi="Arial" w:cs="Arial"/>
          <w:sz w:val="24"/>
          <w:szCs w:val="24"/>
        </w:rPr>
        <w:footnoteReference w:id="24"/>
      </w:r>
      <w:r w:rsidR="008D4886" w:rsidRPr="00C34F13">
        <w:rPr>
          <w:rFonts w:ascii="Arial" w:hAnsi="Arial" w:cs="Arial"/>
          <w:sz w:val="24"/>
          <w:szCs w:val="24"/>
        </w:rPr>
        <w:t>.</w:t>
      </w:r>
      <w:r w:rsidR="00AE32EA" w:rsidRPr="00C34F13">
        <w:rPr>
          <w:rFonts w:ascii="Arial" w:hAnsi="Arial" w:cs="Arial"/>
          <w:sz w:val="24"/>
          <w:szCs w:val="24"/>
        </w:rPr>
        <w:t xml:space="preserve">  </w:t>
      </w:r>
      <w:r w:rsidR="008D4886" w:rsidRPr="00C34F13">
        <w:rPr>
          <w:rFonts w:ascii="Arial" w:hAnsi="Arial" w:cs="Arial"/>
          <w:sz w:val="24"/>
          <w:szCs w:val="24"/>
        </w:rPr>
        <w:t xml:space="preserve">In my view this case was not authority for the proposition considered and decided.  </w:t>
      </w:r>
    </w:p>
    <w:p w14:paraId="412AA346" w14:textId="77777777" w:rsidR="008D4886" w:rsidRPr="008D4886" w:rsidRDefault="008D4886" w:rsidP="008D4886">
      <w:pPr>
        <w:pStyle w:val="ListParagraph"/>
        <w:rPr>
          <w:rFonts w:ascii="Arial" w:hAnsi="Arial" w:cs="Arial"/>
          <w:sz w:val="24"/>
          <w:szCs w:val="24"/>
        </w:rPr>
      </w:pPr>
    </w:p>
    <w:p w14:paraId="1F955132" w14:textId="60547B93" w:rsidR="008D4886"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8D4886" w:rsidRPr="00C34F13">
        <w:rPr>
          <w:rFonts w:ascii="Arial" w:hAnsi="Arial" w:cs="Arial"/>
          <w:sz w:val="24"/>
          <w:szCs w:val="24"/>
        </w:rPr>
        <w:t xml:space="preserve">Further my view is that the matter appears not to consider all that interpretational relevant arguments and in context I cannot agree therewith.  </w:t>
      </w:r>
    </w:p>
    <w:p w14:paraId="3E589FEA" w14:textId="77777777" w:rsidR="008D4886" w:rsidRPr="008D4886" w:rsidRDefault="008D4886" w:rsidP="008D4886">
      <w:pPr>
        <w:pStyle w:val="ListParagraph"/>
        <w:rPr>
          <w:rFonts w:ascii="Arial" w:hAnsi="Arial" w:cs="Arial"/>
          <w:sz w:val="24"/>
          <w:szCs w:val="24"/>
        </w:rPr>
      </w:pPr>
    </w:p>
    <w:p w14:paraId="784698A0" w14:textId="345C8687" w:rsidR="000D69A1"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D4886" w:rsidRPr="00C34F13">
        <w:rPr>
          <w:rFonts w:ascii="Arial" w:hAnsi="Arial" w:cs="Arial"/>
          <w:sz w:val="24"/>
          <w:szCs w:val="24"/>
        </w:rPr>
        <w:t>I also agree that in context the Rule 35(14) issue</w:t>
      </w:r>
      <w:r w:rsidR="000A1D72" w:rsidRPr="00C34F13">
        <w:rPr>
          <w:rFonts w:ascii="Arial" w:hAnsi="Arial" w:cs="Arial"/>
          <w:sz w:val="24"/>
          <w:szCs w:val="24"/>
        </w:rPr>
        <w:t>,</w:t>
      </w:r>
      <w:r w:rsidR="008D4886" w:rsidRPr="00C34F13">
        <w:rPr>
          <w:rFonts w:ascii="Arial" w:hAnsi="Arial" w:cs="Arial"/>
          <w:sz w:val="24"/>
          <w:szCs w:val="24"/>
        </w:rPr>
        <w:t xml:space="preserve"> though clearly not applicable to</w:t>
      </w:r>
      <w:r w:rsidR="00625EC6" w:rsidRPr="00C34F13">
        <w:rPr>
          <w:rFonts w:ascii="Arial" w:hAnsi="Arial" w:cs="Arial"/>
          <w:sz w:val="24"/>
          <w:szCs w:val="24"/>
        </w:rPr>
        <w:t xml:space="preserve"> </w:t>
      </w:r>
      <w:r w:rsidR="008D4886" w:rsidRPr="00C34F13">
        <w:rPr>
          <w:rFonts w:ascii="Arial" w:hAnsi="Arial" w:cs="Arial"/>
          <w:sz w:val="24"/>
          <w:szCs w:val="24"/>
        </w:rPr>
        <w:t>th</w:t>
      </w:r>
      <w:r w:rsidR="00625EC6" w:rsidRPr="00C34F13">
        <w:rPr>
          <w:rFonts w:ascii="Arial" w:hAnsi="Arial" w:cs="Arial"/>
          <w:sz w:val="24"/>
          <w:szCs w:val="24"/>
        </w:rPr>
        <w:t>e</w:t>
      </w:r>
      <w:r w:rsidR="008D4886" w:rsidRPr="00C34F13">
        <w:rPr>
          <w:rFonts w:ascii="Arial" w:hAnsi="Arial" w:cs="Arial"/>
          <w:sz w:val="24"/>
          <w:szCs w:val="24"/>
        </w:rPr>
        <w:t xml:space="preserve"> notice</w:t>
      </w:r>
      <w:r w:rsidR="000A1D72" w:rsidRPr="00C34F13">
        <w:rPr>
          <w:rFonts w:ascii="Arial" w:hAnsi="Arial" w:cs="Arial"/>
          <w:sz w:val="24"/>
          <w:szCs w:val="24"/>
        </w:rPr>
        <w:t>,</w:t>
      </w:r>
      <w:r w:rsidR="008D4886" w:rsidRPr="00C34F13">
        <w:rPr>
          <w:rFonts w:ascii="Arial" w:hAnsi="Arial" w:cs="Arial"/>
          <w:sz w:val="24"/>
          <w:szCs w:val="24"/>
        </w:rPr>
        <w:t xml:space="preserve"> not such as to dist</w:t>
      </w:r>
      <w:r w:rsidR="00625EC6" w:rsidRPr="00C34F13">
        <w:rPr>
          <w:rFonts w:ascii="Arial" w:hAnsi="Arial" w:cs="Arial"/>
          <w:sz w:val="24"/>
          <w:szCs w:val="24"/>
        </w:rPr>
        <w:t xml:space="preserve">urb </w:t>
      </w:r>
      <w:r w:rsidR="00AE32EA" w:rsidRPr="00C34F13">
        <w:rPr>
          <w:rFonts w:ascii="Arial" w:hAnsi="Arial" w:cs="Arial"/>
          <w:sz w:val="24"/>
          <w:szCs w:val="24"/>
        </w:rPr>
        <w:t xml:space="preserve">substantial </w:t>
      </w:r>
      <w:r w:rsidR="008D4886" w:rsidRPr="00C34F13">
        <w:rPr>
          <w:rFonts w:ascii="Arial" w:hAnsi="Arial" w:cs="Arial"/>
          <w:sz w:val="24"/>
          <w:szCs w:val="24"/>
        </w:rPr>
        <w:t xml:space="preserve">success. </w:t>
      </w:r>
    </w:p>
    <w:p w14:paraId="07834A41" w14:textId="77777777" w:rsidR="004E76DA" w:rsidRPr="004E76DA" w:rsidRDefault="004E76DA" w:rsidP="004E76DA">
      <w:pPr>
        <w:pStyle w:val="ListParagraph"/>
        <w:rPr>
          <w:rFonts w:ascii="Arial" w:hAnsi="Arial" w:cs="Arial"/>
          <w:sz w:val="24"/>
          <w:szCs w:val="24"/>
        </w:rPr>
      </w:pPr>
    </w:p>
    <w:p w14:paraId="06EE857A" w14:textId="2AA0546A" w:rsidR="004E76DA" w:rsidRPr="00C34F13" w:rsidRDefault="00C34F13" w:rsidP="00C34F13">
      <w:pPr>
        <w:spacing w:after="0" w:line="48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4E76DA" w:rsidRPr="00C34F13">
        <w:rPr>
          <w:rFonts w:ascii="Arial" w:hAnsi="Arial" w:cs="Arial"/>
          <w:sz w:val="24"/>
          <w:szCs w:val="24"/>
        </w:rPr>
        <w:t>In the result, the application to set aside must fail</w:t>
      </w:r>
      <w:r w:rsidR="00004542" w:rsidRPr="00C34F13">
        <w:rPr>
          <w:rFonts w:ascii="Arial" w:hAnsi="Arial" w:cs="Arial"/>
          <w:sz w:val="24"/>
          <w:szCs w:val="24"/>
        </w:rPr>
        <w:t xml:space="preserve"> with costs.  </w:t>
      </w:r>
    </w:p>
    <w:p w14:paraId="3853E058" w14:textId="77777777" w:rsidR="00E853D2" w:rsidRPr="00E853D2" w:rsidRDefault="00E853D2" w:rsidP="00E853D2">
      <w:pPr>
        <w:pStyle w:val="ListParagraph"/>
        <w:rPr>
          <w:rFonts w:ascii="Arial" w:hAnsi="Arial" w:cs="Arial"/>
          <w:sz w:val="24"/>
          <w:szCs w:val="24"/>
        </w:rPr>
      </w:pPr>
    </w:p>
    <w:p w14:paraId="2D812EC7" w14:textId="7B39F11B" w:rsidR="00004542" w:rsidRDefault="00004542" w:rsidP="00E853D2">
      <w:pPr>
        <w:pStyle w:val="ListParagraph"/>
        <w:ind w:left="0"/>
        <w:rPr>
          <w:rFonts w:ascii="Arial" w:hAnsi="Arial" w:cs="Arial"/>
          <w:b/>
          <w:bCs/>
          <w:sz w:val="24"/>
          <w:szCs w:val="24"/>
          <w:u w:val="single"/>
        </w:rPr>
      </w:pPr>
      <w:r w:rsidRPr="00E853D2">
        <w:rPr>
          <w:rFonts w:ascii="Arial" w:hAnsi="Arial" w:cs="Arial"/>
          <w:b/>
          <w:bCs/>
          <w:sz w:val="24"/>
          <w:szCs w:val="24"/>
          <w:u w:val="single"/>
        </w:rPr>
        <w:lastRenderedPageBreak/>
        <w:t>ORDER</w:t>
      </w:r>
    </w:p>
    <w:p w14:paraId="4E3FA7A8" w14:textId="77777777" w:rsidR="00B76BF3" w:rsidRDefault="00B76BF3" w:rsidP="00E853D2">
      <w:pPr>
        <w:pStyle w:val="ListParagraph"/>
        <w:ind w:left="0"/>
        <w:rPr>
          <w:rFonts w:ascii="Arial" w:hAnsi="Arial" w:cs="Arial"/>
          <w:b/>
          <w:bCs/>
          <w:sz w:val="24"/>
          <w:szCs w:val="24"/>
          <w:u w:val="single"/>
        </w:rPr>
      </w:pPr>
    </w:p>
    <w:p w14:paraId="4B638ABA" w14:textId="77777777" w:rsidR="00E853D2" w:rsidRPr="00E853D2" w:rsidRDefault="00E853D2" w:rsidP="00E853D2">
      <w:pPr>
        <w:pStyle w:val="ListParagraph"/>
        <w:ind w:left="0"/>
        <w:rPr>
          <w:rFonts w:ascii="Arial" w:hAnsi="Arial" w:cs="Arial"/>
          <w:b/>
          <w:bCs/>
          <w:sz w:val="24"/>
          <w:szCs w:val="24"/>
          <w:u w:val="single"/>
        </w:rPr>
      </w:pPr>
    </w:p>
    <w:p w14:paraId="5F21C4A1" w14:textId="1A4AACB2" w:rsidR="00004542" w:rsidRPr="00C34F13" w:rsidRDefault="00C34F13" w:rsidP="00C34F13">
      <w:pPr>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004542" w:rsidRPr="00C34F13">
        <w:rPr>
          <w:rFonts w:ascii="Arial" w:hAnsi="Arial" w:cs="Arial"/>
          <w:sz w:val="24"/>
          <w:szCs w:val="24"/>
        </w:rPr>
        <w:t>The following order is made:</w:t>
      </w:r>
    </w:p>
    <w:p w14:paraId="0D188FB4" w14:textId="77777777" w:rsidR="00B76BF3" w:rsidRDefault="00B76BF3" w:rsidP="00B76BF3">
      <w:pPr>
        <w:pStyle w:val="ListParagraph"/>
        <w:spacing w:after="0" w:line="480" w:lineRule="auto"/>
        <w:ind w:left="0"/>
        <w:jc w:val="both"/>
        <w:rPr>
          <w:rFonts w:ascii="Arial" w:hAnsi="Arial" w:cs="Arial"/>
          <w:sz w:val="24"/>
          <w:szCs w:val="24"/>
        </w:rPr>
      </w:pPr>
    </w:p>
    <w:p w14:paraId="575F5606" w14:textId="272DE327" w:rsidR="00004542" w:rsidRPr="00C34F13" w:rsidRDefault="00C34F13" w:rsidP="00C34F13">
      <w:pPr>
        <w:spacing w:after="0" w:line="480" w:lineRule="auto"/>
        <w:ind w:left="144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04542" w:rsidRPr="00C34F13">
        <w:rPr>
          <w:rFonts w:ascii="Arial" w:hAnsi="Arial" w:cs="Arial"/>
          <w:sz w:val="24"/>
          <w:szCs w:val="24"/>
        </w:rPr>
        <w:t>The application to set aside is dismissed.</w:t>
      </w:r>
    </w:p>
    <w:p w14:paraId="0B722B4D" w14:textId="0D70A8DF" w:rsidR="00B76BF3" w:rsidRPr="00C34F13" w:rsidRDefault="00C34F13" w:rsidP="00C34F13">
      <w:pPr>
        <w:spacing w:after="0" w:line="480" w:lineRule="auto"/>
        <w:ind w:left="216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04144" w:rsidRPr="00C34F13">
        <w:rPr>
          <w:rFonts w:ascii="Arial" w:hAnsi="Arial" w:cs="Arial"/>
          <w:sz w:val="24"/>
          <w:szCs w:val="24"/>
        </w:rPr>
        <w:t xml:space="preserve">Applicants in the application to set aside are jointly and </w:t>
      </w:r>
      <w:r w:rsidR="00E853D2" w:rsidRPr="00C34F13">
        <w:rPr>
          <w:rFonts w:ascii="Arial" w:hAnsi="Arial" w:cs="Arial"/>
          <w:sz w:val="24"/>
          <w:szCs w:val="24"/>
        </w:rPr>
        <w:t>severally</w:t>
      </w:r>
      <w:r w:rsidR="000A1D72" w:rsidRPr="00C34F13">
        <w:rPr>
          <w:rFonts w:ascii="Arial" w:hAnsi="Arial" w:cs="Arial"/>
          <w:sz w:val="24"/>
          <w:szCs w:val="24"/>
        </w:rPr>
        <w:t>,</w:t>
      </w:r>
      <w:r w:rsidR="00504144" w:rsidRPr="00C34F13">
        <w:rPr>
          <w:rFonts w:ascii="Arial" w:hAnsi="Arial" w:cs="Arial"/>
          <w:sz w:val="24"/>
          <w:szCs w:val="24"/>
        </w:rPr>
        <w:t xml:space="preserve"> the one paying the other to be absolved to pay first</w:t>
      </w:r>
      <w:r w:rsidR="00771264" w:rsidRPr="00C34F13">
        <w:rPr>
          <w:rFonts w:ascii="Arial" w:hAnsi="Arial" w:cs="Arial"/>
          <w:sz w:val="24"/>
          <w:szCs w:val="24"/>
        </w:rPr>
        <w:t xml:space="preserve"> to thirty fourth respondents</w:t>
      </w:r>
      <w:r w:rsidR="000A1D72" w:rsidRPr="00C34F13">
        <w:rPr>
          <w:rFonts w:ascii="Arial" w:hAnsi="Arial" w:cs="Arial"/>
          <w:sz w:val="24"/>
          <w:szCs w:val="24"/>
        </w:rPr>
        <w:t>’</w:t>
      </w:r>
      <w:r w:rsidR="00771264" w:rsidRPr="00C34F13">
        <w:rPr>
          <w:rFonts w:ascii="Arial" w:hAnsi="Arial" w:cs="Arial"/>
          <w:sz w:val="24"/>
          <w:szCs w:val="24"/>
        </w:rPr>
        <w:t xml:space="preserve"> costs</w:t>
      </w:r>
      <w:r w:rsidR="00135AD0" w:rsidRPr="00C34F13">
        <w:rPr>
          <w:rFonts w:ascii="Arial" w:hAnsi="Arial" w:cs="Arial"/>
          <w:sz w:val="24"/>
          <w:szCs w:val="24"/>
        </w:rPr>
        <w:t xml:space="preserve"> of the interlocutory application</w:t>
      </w:r>
      <w:r w:rsidR="00771264" w:rsidRPr="00C34F13">
        <w:rPr>
          <w:rFonts w:ascii="Arial" w:hAnsi="Arial" w:cs="Arial"/>
          <w:sz w:val="24"/>
          <w:szCs w:val="24"/>
        </w:rPr>
        <w:t>.</w:t>
      </w:r>
      <w:r w:rsidR="00504144" w:rsidRPr="00C34F13">
        <w:rPr>
          <w:rFonts w:ascii="Arial" w:hAnsi="Arial" w:cs="Arial"/>
          <w:sz w:val="24"/>
          <w:szCs w:val="24"/>
        </w:rPr>
        <w:t xml:space="preserve">  </w:t>
      </w:r>
      <w:r w:rsidR="00FC4386" w:rsidRPr="00C34F13">
        <w:rPr>
          <w:rFonts w:ascii="Arial" w:hAnsi="Arial" w:cs="Arial"/>
          <w:i/>
          <w:iCs/>
          <w:sz w:val="24"/>
          <w:szCs w:val="24"/>
        </w:rPr>
        <w:t xml:space="preserve"> </w:t>
      </w:r>
      <w:r w:rsidR="006456A2" w:rsidRPr="00C34F13">
        <w:rPr>
          <w:rFonts w:ascii="Arial" w:hAnsi="Arial" w:cs="Arial"/>
          <w:sz w:val="24"/>
          <w:szCs w:val="24"/>
        </w:rPr>
        <w:t xml:space="preserve">  </w:t>
      </w:r>
    </w:p>
    <w:p w14:paraId="269377FB" w14:textId="77777777" w:rsidR="00B76BF3" w:rsidRDefault="00B76BF3" w:rsidP="00B76BF3">
      <w:pPr>
        <w:pStyle w:val="ListParagraph"/>
        <w:spacing w:after="0" w:line="480" w:lineRule="auto"/>
        <w:ind w:left="0"/>
        <w:jc w:val="both"/>
        <w:rPr>
          <w:rFonts w:ascii="Arial" w:hAnsi="Arial" w:cs="Arial"/>
          <w:sz w:val="24"/>
          <w:szCs w:val="24"/>
        </w:rPr>
      </w:pPr>
    </w:p>
    <w:p w14:paraId="684C48E8" w14:textId="77777777" w:rsidR="00B76BF3" w:rsidRDefault="00B76BF3" w:rsidP="00B76BF3">
      <w:pPr>
        <w:pStyle w:val="ListParagraph"/>
        <w:spacing w:after="0" w:line="480" w:lineRule="auto"/>
        <w:ind w:left="0"/>
        <w:jc w:val="both"/>
        <w:rPr>
          <w:rFonts w:ascii="Arial" w:hAnsi="Arial" w:cs="Arial"/>
          <w:sz w:val="24"/>
          <w:szCs w:val="24"/>
        </w:rPr>
      </w:pPr>
    </w:p>
    <w:p w14:paraId="74A519D9" w14:textId="77777777" w:rsidR="00B76BF3" w:rsidRDefault="00B76BF3" w:rsidP="00B76BF3">
      <w:pPr>
        <w:pStyle w:val="ListParagraph"/>
        <w:spacing w:after="0" w:line="240" w:lineRule="auto"/>
        <w:ind w:left="0"/>
        <w:jc w:val="both"/>
        <w:rPr>
          <w:rFonts w:ascii="Arial" w:hAnsi="Arial" w:cs="Arial"/>
          <w:sz w:val="24"/>
          <w:szCs w:val="24"/>
        </w:rPr>
      </w:pPr>
      <w:r>
        <w:rPr>
          <w:rFonts w:ascii="Arial" w:hAnsi="Arial" w:cs="Arial"/>
          <w:sz w:val="24"/>
          <w:szCs w:val="24"/>
        </w:rPr>
        <w:t xml:space="preserve">__________________ </w:t>
      </w:r>
    </w:p>
    <w:p w14:paraId="23A73014" w14:textId="77777777" w:rsidR="00B76BF3" w:rsidRDefault="00B76BF3" w:rsidP="00B76BF3">
      <w:pPr>
        <w:pStyle w:val="ListParagraph"/>
        <w:spacing w:after="0" w:line="240" w:lineRule="auto"/>
        <w:ind w:left="0"/>
        <w:jc w:val="both"/>
        <w:rPr>
          <w:rFonts w:ascii="Arial" w:hAnsi="Arial" w:cs="Arial"/>
          <w:b/>
          <w:bCs/>
          <w:sz w:val="24"/>
          <w:szCs w:val="24"/>
        </w:rPr>
      </w:pPr>
      <w:r>
        <w:rPr>
          <w:rFonts w:ascii="Arial" w:hAnsi="Arial" w:cs="Arial"/>
          <w:b/>
          <w:bCs/>
          <w:sz w:val="24"/>
          <w:szCs w:val="24"/>
        </w:rPr>
        <w:t>M.J. LOWE</w:t>
      </w:r>
    </w:p>
    <w:p w14:paraId="48B75E0E" w14:textId="77777777" w:rsidR="00B76BF3" w:rsidRDefault="00B76BF3" w:rsidP="00B76BF3">
      <w:pPr>
        <w:pStyle w:val="ListParagraph"/>
        <w:spacing w:after="0" w:line="240" w:lineRule="auto"/>
        <w:ind w:left="0"/>
        <w:jc w:val="both"/>
        <w:rPr>
          <w:rFonts w:ascii="Arial" w:hAnsi="Arial" w:cs="Arial"/>
          <w:b/>
          <w:bCs/>
          <w:sz w:val="24"/>
          <w:szCs w:val="24"/>
        </w:rPr>
      </w:pPr>
      <w:r>
        <w:rPr>
          <w:rFonts w:ascii="Arial" w:hAnsi="Arial" w:cs="Arial"/>
          <w:b/>
          <w:bCs/>
          <w:sz w:val="24"/>
          <w:szCs w:val="24"/>
        </w:rPr>
        <w:t>JUDGE OF THE HIGH COURT</w:t>
      </w:r>
    </w:p>
    <w:p w14:paraId="44787049" w14:textId="77777777" w:rsidR="00B76BF3" w:rsidRDefault="00B76BF3" w:rsidP="00B76BF3">
      <w:pPr>
        <w:pStyle w:val="ListParagraph"/>
        <w:spacing w:after="0" w:line="240" w:lineRule="auto"/>
        <w:ind w:left="0"/>
        <w:jc w:val="both"/>
        <w:rPr>
          <w:rFonts w:ascii="Arial" w:hAnsi="Arial" w:cs="Arial"/>
          <w:b/>
          <w:bCs/>
          <w:sz w:val="24"/>
          <w:szCs w:val="24"/>
        </w:rPr>
      </w:pPr>
    </w:p>
    <w:p w14:paraId="35154E76" w14:textId="77777777" w:rsidR="00B76BF3" w:rsidRDefault="00B76BF3" w:rsidP="00B76BF3">
      <w:pPr>
        <w:pStyle w:val="ListParagraph"/>
        <w:spacing w:after="0" w:line="240" w:lineRule="auto"/>
        <w:ind w:left="0"/>
        <w:jc w:val="both"/>
        <w:rPr>
          <w:rFonts w:ascii="Arial" w:hAnsi="Arial" w:cs="Arial"/>
          <w:b/>
          <w:bCs/>
          <w:sz w:val="24"/>
          <w:szCs w:val="24"/>
        </w:rPr>
      </w:pPr>
    </w:p>
    <w:p w14:paraId="024037E8" w14:textId="69A6A45A" w:rsidR="00E05822" w:rsidRDefault="00B76BF3" w:rsidP="00E05822">
      <w:pPr>
        <w:pStyle w:val="ListParagraph"/>
        <w:spacing w:after="0" w:line="240" w:lineRule="auto"/>
        <w:ind w:left="5103" w:hanging="5103"/>
        <w:jc w:val="both"/>
        <w:rPr>
          <w:rFonts w:ascii="Arial" w:hAnsi="Arial" w:cs="Arial"/>
          <w:sz w:val="24"/>
          <w:szCs w:val="24"/>
        </w:rPr>
      </w:pPr>
      <w:r>
        <w:rPr>
          <w:rFonts w:ascii="Arial" w:hAnsi="Arial" w:cs="Arial"/>
          <w:sz w:val="24"/>
          <w:szCs w:val="24"/>
        </w:rPr>
        <w:t>Appearing on behalf of the Applicants:</w:t>
      </w:r>
      <w:r w:rsidR="00E05822">
        <w:rPr>
          <w:rFonts w:ascii="Arial" w:hAnsi="Arial" w:cs="Arial"/>
          <w:sz w:val="24"/>
          <w:szCs w:val="24"/>
        </w:rPr>
        <w:tab/>
      </w:r>
      <w:r w:rsidR="00693B45">
        <w:rPr>
          <w:rFonts w:ascii="Arial" w:hAnsi="Arial" w:cs="Arial"/>
          <w:sz w:val="24"/>
          <w:szCs w:val="24"/>
        </w:rPr>
        <w:t xml:space="preserve">Adv. Poswa, </w:t>
      </w:r>
      <w:r w:rsidR="00E05822">
        <w:rPr>
          <w:rFonts w:ascii="Arial" w:hAnsi="Arial" w:cs="Arial"/>
          <w:sz w:val="24"/>
          <w:szCs w:val="24"/>
        </w:rPr>
        <w:t xml:space="preserve">instructed by </w:t>
      </w:r>
      <w:r w:rsidR="00693B45">
        <w:rPr>
          <w:rFonts w:ascii="Arial" w:hAnsi="Arial" w:cs="Arial"/>
          <w:sz w:val="24"/>
          <w:szCs w:val="24"/>
        </w:rPr>
        <w:t>State Attorney, East London</w:t>
      </w:r>
    </w:p>
    <w:p w14:paraId="1E5D2C95" w14:textId="79DF2FF8" w:rsidR="00B76BF3" w:rsidRDefault="00E05822" w:rsidP="00E05822">
      <w:pPr>
        <w:pStyle w:val="ListParagraph"/>
        <w:spacing w:after="0" w:line="240" w:lineRule="auto"/>
        <w:ind w:left="5103" w:hanging="5103"/>
        <w:jc w:val="both"/>
        <w:rPr>
          <w:rFonts w:ascii="Arial" w:hAnsi="Arial" w:cs="Arial"/>
          <w:sz w:val="24"/>
          <w:szCs w:val="24"/>
        </w:rPr>
      </w:pPr>
      <w:r>
        <w:rPr>
          <w:rFonts w:ascii="Arial" w:hAnsi="Arial" w:cs="Arial"/>
          <w:sz w:val="24"/>
          <w:szCs w:val="24"/>
        </w:rPr>
        <w:tab/>
      </w:r>
    </w:p>
    <w:p w14:paraId="214E432B" w14:textId="77777777" w:rsidR="00B76BF3" w:rsidRDefault="00B76BF3" w:rsidP="00B76BF3">
      <w:pPr>
        <w:pStyle w:val="ListParagraph"/>
        <w:spacing w:after="0" w:line="240" w:lineRule="auto"/>
        <w:ind w:left="0"/>
        <w:jc w:val="both"/>
        <w:rPr>
          <w:rFonts w:ascii="Arial" w:hAnsi="Arial" w:cs="Arial"/>
          <w:sz w:val="24"/>
          <w:szCs w:val="24"/>
        </w:rPr>
      </w:pPr>
    </w:p>
    <w:p w14:paraId="6743310C" w14:textId="72D0F734" w:rsidR="00B76BF3" w:rsidRDefault="00B76BF3" w:rsidP="00B76BF3">
      <w:pPr>
        <w:pStyle w:val="ListParagraph"/>
        <w:spacing w:after="0" w:line="240" w:lineRule="auto"/>
        <w:ind w:left="5040" w:hanging="5040"/>
        <w:jc w:val="both"/>
        <w:rPr>
          <w:rFonts w:ascii="Arial" w:hAnsi="Arial" w:cs="Arial"/>
          <w:sz w:val="24"/>
          <w:szCs w:val="24"/>
        </w:rPr>
      </w:pPr>
      <w:r>
        <w:rPr>
          <w:rFonts w:ascii="Arial" w:hAnsi="Arial" w:cs="Arial"/>
          <w:sz w:val="24"/>
          <w:szCs w:val="24"/>
        </w:rPr>
        <w:t>Appearing on behalf of the Respondents:</w:t>
      </w:r>
      <w:r w:rsidR="00E05822">
        <w:rPr>
          <w:rFonts w:ascii="Arial" w:hAnsi="Arial" w:cs="Arial"/>
          <w:sz w:val="24"/>
          <w:szCs w:val="24"/>
        </w:rPr>
        <w:tab/>
      </w:r>
      <w:r w:rsidR="00693B45">
        <w:rPr>
          <w:rFonts w:ascii="Arial" w:hAnsi="Arial" w:cs="Arial"/>
          <w:sz w:val="24"/>
          <w:szCs w:val="24"/>
        </w:rPr>
        <w:t xml:space="preserve">Adv. Mapoma S.C., </w:t>
      </w:r>
      <w:r w:rsidR="00E05822">
        <w:rPr>
          <w:rFonts w:ascii="Arial" w:hAnsi="Arial" w:cs="Arial"/>
          <w:sz w:val="24"/>
          <w:szCs w:val="24"/>
        </w:rPr>
        <w:t xml:space="preserve">instructed by </w:t>
      </w:r>
      <w:r w:rsidR="00693B45">
        <w:rPr>
          <w:rFonts w:ascii="Arial" w:hAnsi="Arial" w:cs="Arial"/>
          <w:sz w:val="24"/>
          <w:szCs w:val="24"/>
        </w:rPr>
        <w:t xml:space="preserve">Tyopo Attorneys. </w:t>
      </w:r>
    </w:p>
    <w:p w14:paraId="5AD9731C" w14:textId="77777777" w:rsidR="00B76BF3" w:rsidRDefault="00B76BF3" w:rsidP="00B76BF3">
      <w:pPr>
        <w:pStyle w:val="ListParagraph"/>
        <w:spacing w:after="0" w:line="240" w:lineRule="auto"/>
        <w:ind w:left="0"/>
        <w:jc w:val="both"/>
        <w:rPr>
          <w:rFonts w:ascii="Arial" w:hAnsi="Arial" w:cs="Arial"/>
          <w:sz w:val="24"/>
          <w:szCs w:val="24"/>
        </w:rPr>
      </w:pPr>
    </w:p>
    <w:p w14:paraId="1A3755AF" w14:textId="70979353" w:rsidR="00B76BF3" w:rsidRDefault="00B76BF3" w:rsidP="00E05822">
      <w:pPr>
        <w:pStyle w:val="ListParagraph"/>
        <w:spacing w:after="0" w:line="240" w:lineRule="auto"/>
        <w:ind w:left="5040" w:hanging="5040"/>
        <w:jc w:val="both"/>
        <w:rPr>
          <w:rFonts w:ascii="Arial" w:hAnsi="Arial" w:cs="Arial"/>
          <w:sz w:val="24"/>
          <w:szCs w:val="24"/>
        </w:rPr>
      </w:pPr>
      <w:r>
        <w:rPr>
          <w:rFonts w:ascii="Arial" w:hAnsi="Arial" w:cs="Arial"/>
          <w:sz w:val="24"/>
          <w:szCs w:val="24"/>
        </w:rPr>
        <w:t>Date heard:</w:t>
      </w:r>
      <w:r w:rsidR="00E05822">
        <w:rPr>
          <w:rFonts w:ascii="Arial" w:hAnsi="Arial" w:cs="Arial"/>
          <w:sz w:val="24"/>
          <w:szCs w:val="24"/>
        </w:rPr>
        <w:tab/>
      </w:r>
      <w:r w:rsidR="001A65A7">
        <w:rPr>
          <w:rFonts w:ascii="Arial" w:hAnsi="Arial" w:cs="Arial"/>
          <w:sz w:val="24"/>
          <w:szCs w:val="24"/>
        </w:rPr>
        <w:t>18</w:t>
      </w:r>
      <w:r w:rsidR="00E05822">
        <w:rPr>
          <w:rFonts w:ascii="Arial" w:hAnsi="Arial" w:cs="Arial"/>
          <w:sz w:val="24"/>
          <w:szCs w:val="24"/>
        </w:rPr>
        <w:t xml:space="preserve"> May 2023.</w:t>
      </w:r>
      <w:r w:rsidR="00E05822">
        <w:rPr>
          <w:rFonts w:ascii="Arial" w:hAnsi="Arial" w:cs="Arial"/>
          <w:sz w:val="24"/>
          <w:szCs w:val="24"/>
        </w:rPr>
        <w:tab/>
      </w:r>
    </w:p>
    <w:p w14:paraId="1D3F901B" w14:textId="77777777" w:rsidR="00B76BF3" w:rsidRDefault="00B76BF3" w:rsidP="00B76BF3">
      <w:pPr>
        <w:pStyle w:val="ListParagraph"/>
        <w:spacing w:after="0" w:line="240" w:lineRule="auto"/>
        <w:ind w:left="0"/>
        <w:jc w:val="both"/>
        <w:rPr>
          <w:rFonts w:ascii="Arial" w:hAnsi="Arial" w:cs="Arial"/>
          <w:sz w:val="24"/>
          <w:szCs w:val="24"/>
        </w:rPr>
      </w:pPr>
    </w:p>
    <w:p w14:paraId="574B6A79" w14:textId="017CBC3C" w:rsidR="0029348E" w:rsidRPr="00E8007A" w:rsidRDefault="00B76BF3" w:rsidP="00B76BF3">
      <w:pPr>
        <w:pStyle w:val="ListParagraph"/>
        <w:spacing w:after="0" w:line="240" w:lineRule="auto"/>
        <w:ind w:left="5040" w:hanging="5040"/>
        <w:jc w:val="both"/>
        <w:rPr>
          <w:rFonts w:ascii="Arial" w:hAnsi="Arial" w:cs="Arial"/>
          <w:sz w:val="24"/>
          <w:szCs w:val="24"/>
        </w:rPr>
      </w:pPr>
      <w:r>
        <w:rPr>
          <w:rFonts w:ascii="Arial" w:hAnsi="Arial" w:cs="Arial"/>
          <w:sz w:val="24"/>
          <w:szCs w:val="24"/>
        </w:rPr>
        <w:t>Date delivered:</w:t>
      </w:r>
      <w:r w:rsidR="004D1105">
        <w:rPr>
          <w:rFonts w:ascii="Arial" w:hAnsi="Arial" w:cs="Arial"/>
          <w:sz w:val="24"/>
          <w:szCs w:val="24"/>
        </w:rPr>
        <w:t xml:space="preserve"> </w:t>
      </w:r>
      <w:r w:rsidR="00E05822">
        <w:rPr>
          <w:rFonts w:ascii="Arial" w:hAnsi="Arial" w:cs="Arial"/>
          <w:sz w:val="24"/>
          <w:szCs w:val="24"/>
        </w:rPr>
        <w:tab/>
        <w:t>30 May 2023.</w:t>
      </w:r>
      <w:r w:rsidR="00E05822">
        <w:rPr>
          <w:rFonts w:ascii="Arial" w:hAnsi="Arial" w:cs="Arial"/>
          <w:sz w:val="24"/>
          <w:szCs w:val="24"/>
        </w:rPr>
        <w:tab/>
      </w:r>
      <w:r w:rsidR="00E05822">
        <w:rPr>
          <w:rFonts w:ascii="Arial" w:hAnsi="Arial" w:cs="Arial"/>
          <w:sz w:val="24"/>
          <w:szCs w:val="24"/>
        </w:rPr>
        <w:tab/>
      </w:r>
    </w:p>
    <w:p w14:paraId="7A1CA79D" w14:textId="77777777" w:rsidR="00EC39E1" w:rsidRPr="00EC39E1" w:rsidRDefault="00EC39E1" w:rsidP="001F4BB8">
      <w:pPr>
        <w:spacing w:after="0" w:line="480" w:lineRule="auto"/>
        <w:ind w:left="720" w:hanging="720"/>
        <w:rPr>
          <w:rFonts w:ascii="Arial" w:hAnsi="Arial" w:cs="Arial"/>
          <w:sz w:val="24"/>
          <w:szCs w:val="24"/>
        </w:rPr>
      </w:pPr>
    </w:p>
    <w:sectPr w:rsidR="00EC39E1" w:rsidRPr="00EC39E1" w:rsidSect="00FD558A">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884AF" w14:textId="77777777" w:rsidR="00804646" w:rsidRDefault="00804646" w:rsidP="00B356DF">
      <w:pPr>
        <w:spacing w:after="0" w:line="240" w:lineRule="auto"/>
      </w:pPr>
      <w:r>
        <w:separator/>
      </w:r>
    </w:p>
  </w:endnote>
  <w:endnote w:type="continuationSeparator" w:id="0">
    <w:p w14:paraId="5213DDC2" w14:textId="77777777" w:rsidR="00804646" w:rsidRDefault="00804646"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5651" w14:textId="77777777" w:rsidR="00804646" w:rsidRDefault="00804646" w:rsidP="00B356DF">
      <w:pPr>
        <w:spacing w:after="0" w:line="240" w:lineRule="auto"/>
      </w:pPr>
      <w:r>
        <w:separator/>
      </w:r>
    </w:p>
  </w:footnote>
  <w:footnote w:type="continuationSeparator" w:id="0">
    <w:p w14:paraId="5146AF82" w14:textId="77777777" w:rsidR="00804646" w:rsidRDefault="00804646" w:rsidP="00B356DF">
      <w:pPr>
        <w:spacing w:after="0" w:line="240" w:lineRule="auto"/>
      </w:pPr>
      <w:r>
        <w:continuationSeparator/>
      </w:r>
    </w:p>
  </w:footnote>
  <w:footnote w:id="1">
    <w:p w14:paraId="19AE6616" w14:textId="74036BBA" w:rsidR="00A313C4" w:rsidRPr="00A313C4" w:rsidRDefault="00A313C4">
      <w:pPr>
        <w:pStyle w:val="FootnoteText"/>
        <w:rPr>
          <w:lang w:val="en-US"/>
        </w:rPr>
      </w:pPr>
      <w:r>
        <w:rPr>
          <w:rStyle w:val="FootnoteReference"/>
        </w:rPr>
        <w:footnoteRef/>
      </w:r>
      <w:r>
        <w:t xml:space="preserve"> </w:t>
      </w:r>
      <w:r w:rsidR="00337B6F">
        <w:t>[2022] 2 All SA 299 (SCA) (9 March 2022)</w:t>
      </w:r>
      <w:r w:rsidR="0077697B">
        <w:t xml:space="preserve"> I was not referred to this case during argument.</w:t>
      </w:r>
    </w:p>
  </w:footnote>
  <w:footnote w:id="2">
    <w:p w14:paraId="74CAF8DB" w14:textId="7BEEF03F" w:rsidR="00E8757A" w:rsidRPr="00650A11" w:rsidRDefault="00E8757A">
      <w:pPr>
        <w:pStyle w:val="FootnoteText"/>
        <w:rPr>
          <w:lang w:val="en-US"/>
        </w:rPr>
      </w:pPr>
      <w:r>
        <w:rPr>
          <w:rStyle w:val="FootnoteReference"/>
        </w:rPr>
        <w:footnoteRef/>
      </w:r>
      <w:r>
        <w:t xml:space="preserve"> </w:t>
      </w:r>
      <w:r w:rsidR="00B34AAD">
        <w:rPr>
          <w:b/>
          <w:bCs/>
          <w:lang w:val="en-US"/>
        </w:rPr>
        <w:t>Santam Ltd and Others v Segal</w:t>
      </w:r>
      <w:r w:rsidR="00B34AAD">
        <w:rPr>
          <w:lang w:val="en-US"/>
        </w:rPr>
        <w:t xml:space="preserve"> 2010 (2) SA 160 (N) at 162E – F; </w:t>
      </w:r>
      <w:r w:rsidR="00B34AAD">
        <w:rPr>
          <w:b/>
          <w:bCs/>
          <w:lang w:val="en-US"/>
        </w:rPr>
        <w:t>MV Alina II, Trans</w:t>
      </w:r>
      <w:r w:rsidR="00650A11">
        <w:rPr>
          <w:b/>
          <w:bCs/>
          <w:lang w:val="en-US"/>
        </w:rPr>
        <w:t>net Ltd v MV Alina II</w:t>
      </w:r>
      <w:r w:rsidR="00650A11">
        <w:rPr>
          <w:lang w:val="en-US"/>
        </w:rPr>
        <w:t xml:space="preserve"> 2013 (6) SA 556 (WWC) at 563 F – G.</w:t>
      </w:r>
    </w:p>
  </w:footnote>
  <w:footnote w:id="3">
    <w:p w14:paraId="05A9E9CE" w14:textId="3F40F8CE" w:rsidR="00AB1D0B" w:rsidRPr="00165099" w:rsidRDefault="00AB1D0B" w:rsidP="00AB1D0B">
      <w:pPr>
        <w:pStyle w:val="FootnoteText"/>
        <w:rPr>
          <w:lang w:val="en-US"/>
        </w:rPr>
      </w:pPr>
      <w:r>
        <w:rPr>
          <w:rStyle w:val="FootnoteReference"/>
        </w:rPr>
        <w:footnoteRef/>
      </w:r>
      <w:r>
        <w:t xml:space="preserve"> </w:t>
      </w:r>
      <w:r>
        <w:rPr>
          <w:lang w:val="en-US"/>
        </w:rPr>
        <w:t xml:space="preserve">1987 (3) SA 766 (C) at 773G </w:t>
      </w:r>
      <w:r w:rsidR="00AC3917">
        <w:rPr>
          <w:lang w:val="en-US"/>
        </w:rPr>
        <w:t>–</w:t>
      </w:r>
      <w:r>
        <w:rPr>
          <w:lang w:val="en-US"/>
        </w:rPr>
        <w:t xml:space="preserve"> J</w:t>
      </w:r>
      <w:r w:rsidR="00AC3917">
        <w:rPr>
          <w:lang w:val="en-US"/>
        </w:rPr>
        <w:t>.</w:t>
      </w:r>
    </w:p>
  </w:footnote>
  <w:footnote w:id="4">
    <w:p w14:paraId="153A46FB" w14:textId="1E557B49" w:rsidR="00834A93" w:rsidRPr="00834A93" w:rsidRDefault="00834A93">
      <w:pPr>
        <w:pStyle w:val="FootnoteText"/>
        <w:rPr>
          <w:lang w:val="en-US"/>
        </w:rPr>
      </w:pPr>
      <w:r>
        <w:rPr>
          <w:rStyle w:val="FootnoteReference"/>
        </w:rPr>
        <w:footnoteRef/>
      </w:r>
      <w:r>
        <w:t xml:space="preserve"> </w:t>
      </w:r>
      <w:r>
        <w:rPr>
          <w:lang w:val="en-US"/>
        </w:rPr>
        <w:t>[27]</w:t>
      </w:r>
      <w:r w:rsidR="001E7146">
        <w:rPr>
          <w:lang w:val="en-US"/>
        </w:rPr>
        <w:t>.</w:t>
      </w:r>
    </w:p>
  </w:footnote>
  <w:footnote w:id="5">
    <w:p w14:paraId="793BF542" w14:textId="6347103F" w:rsidR="00840122" w:rsidRPr="00840122" w:rsidRDefault="00840122">
      <w:pPr>
        <w:pStyle w:val="FootnoteText"/>
        <w:rPr>
          <w:lang w:val="en-US"/>
        </w:rPr>
      </w:pPr>
      <w:r>
        <w:rPr>
          <w:rStyle w:val="FootnoteReference"/>
        </w:rPr>
        <w:footnoteRef/>
      </w:r>
      <w:r>
        <w:t xml:space="preserve"> </w:t>
      </w:r>
      <w:r>
        <w:rPr>
          <w:lang w:val="en-US"/>
        </w:rPr>
        <w:t>198</w:t>
      </w:r>
      <w:r w:rsidR="006A3387">
        <w:rPr>
          <w:lang w:val="en-US"/>
        </w:rPr>
        <w:t>4 (2) SA 398 (W)</w:t>
      </w:r>
      <w:r w:rsidR="00600023">
        <w:rPr>
          <w:lang w:val="en-US"/>
        </w:rPr>
        <w:t>.</w:t>
      </w:r>
    </w:p>
  </w:footnote>
  <w:footnote w:id="6">
    <w:p w14:paraId="22DF07DD" w14:textId="3A2AFC53" w:rsidR="005E6054" w:rsidRPr="005E6054" w:rsidRDefault="005E6054">
      <w:pPr>
        <w:pStyle w:val="FootnoteText"/>
        <w:rPr>
          <w:lang w:val="en-US"/>
        </w:rPr>
      </w:pPr>
      <w:r>
        <w:rPr>
          <w:rStyle w:val="FootnoteReference"/>
        </w:rPr>
        <w:footnoteRef/>
      </w:r>
      <w:r>
        <w:t xml:space="preserve"> </w:t>
      </w:r>
      <w:r w:rsidR="006E6450">
        <w:rPr>
          <w:lang w:val="en-US"/>
        </w:rPr>
        <w:t>At 774E – H.</w:t>
      </w:r>
    </w:p>
  </w:footnote>
  <w:footnote w:id="7">
    <w:p w14:paraId="43949474" w14:textId="77777777" w:rsidR="00A510DF" w:rsidRDefault="00A510DF" w:rsidP="00A510DF">
      <w:pPr>
        <w:pStyle w:val="FootnoteText"/>
        <w:rPr>
          <w:lang w:val="en-US"/>
        </w:rPr>
      </w:pPr>
      <w:r>
        <w:rPr>
          <w:rStyle w:val="FootnoteReference"/>
        </w:rPr>
        <w:footnoteRef/>
      </w:r>
      <w:r>
        <w:t xml:space="preserve"> </w:t>
      </w:r>
      <w:r>
        <w:rPr>
          <w:b/>
          <w:lang w:val="en-US"/>
        </w:rPr>
        <w:t>Natal Joint Municipal Pension Fund v Endumeni Municipality</w:t>
      </w:r>
      <w:r>
        <w:rPr>
          <w:lang w:val="en-US"/>
        </w:rPr>
        <w:t xml:space="preserve"> 2012 (4) SA 593 (SCA).</w:t>
      </w:r>
    </w:p>
  </w:footnote>
  <w:footnote w:id="8">
    <w:p w14:paraId="360FED2C" w14:textId="77777777" w:rsidR="00A510DF" w:rsidRDefault="00A510DF" w:rsidP="00A510DF">
      <w:pPr>
        <w:pStyle w:val="FootnoteText"/>
        <w:rPr>
          <w:lang w:val="en-US"/>
        </w:rPr>
      </w:pPr>
      <w:r>
        <w:rPr>
          <w:rStyle w:val="FootnoteReference"/>
        </w:rPr>
        <w:footnoteRef/>
      </w:r>
      <w:r>
        <w:t xml:space="preserve"> </w:t>
      </w:r>
      <w:r>
        <w:rPr>
          <w:lang w:val="en-US"/>
        </w:rPr>
        <w:t>2020 (6) SA 14 (CC).</w:t>
      </w:r>
    </w:p>
  </w:footnote>
  <w:footnote w:id="9">
    <w:p w14:paraId="1C0A9252" w14:textId="77777777" w:rsidR="00A510DF" w:rsidRDefault="00A510DF" w:rsidP="00A510DF">
      <w:pPr>
        <w:pStyle w:val="FootnoteText"/>
        <w:rPr>
          <w:lang w:val="en-US"/>
        </w:rPr>
      </w:pPr>
      <w:r>
        <w:rPr>
          <w:rStyle w:val="FootnoteReference"/>
        </w:rPr>
        <w:footnoteRef/>
      </w:r>
      <w:r>
        <w:t xml:space="preserve"> </w:t>
      </w:r>
      <w:r>
        <w:rPr>
          <w:lang w:val="en-US"/>
        </w:rPr>
        <w:t>2021 ZACC 13 at [65].</w:t>
      </w:r>
    </w:p>
  </w:footnote>
  <w:footnote w:id="10">
    <w:p w14:paraId="5C9C0564" w14:textId="77777777" w:rsidR="00A510DF" w:rsidRDefault="00A510DF" w:rsidP="00A510DF">
      <w:pPr>
        <w:pStyle w:val="FootnoteText"/>
        <w:rPr>
          <w:lang w:val="en-US"/>
        </w:rPr>
      </w:pPr>
      <w:r>
        <w:rPr>
          <w:rStyle w:val="FootnoteReference"/>
        </w:rPr>
        <w:footnoteRef/>
      </w:r>
      <w:r>
        <w:t xml:space="preserve"> </w:t>
      </w:r>
      <w:r>
        <w:rPr>
          <w:b/>
          <w:lang w:val="en-US"/>
        </w:rPr>
        <w:t>Novartis SA (Pty) Ltd v Maphil Trading (Pty) Ltd</w:t>
      </w:r>
      <w:r>
        <w:rPr>
          <w:lang w:val="en-US"/>
        </w:rPr>
        <w:t xml:space="preserve"> 2016 (1) SA 518 (SCA).</w:t>
      </w:r>
    </w:p>
  </w:footnote>
  <w:footnote w:id="11">
    <w:p w14:paraId="6887B09B" w14:textId="77777777" w:rsidR="00A510DF" w:rsidRDefault="00A510DF" w:rsidP="00A510DF">
      <w:pPr>
        <w:pStyle w:val="FootnoteText"/>
        <w:rPr>
          <w:lang w:val="en-US"/>
        </w:rPr>
      </w:pPr>
      <w:r>
        <w:rPr>
          <w:rStyle w:val="FootnoteReference"/>
        </w:rPr>
        <w:footnoteRef/>
      </w:r>
      <w:r>
        <w:t xml:space="preserve"> </w:t>
      </w:r>
      <w:r>
        <w:rPr>
          <w:lang w:val="en-US"/>
        </w:rPr>
        <w:t xml:space="preserve">2014 (4) SA 474 (CC). </w:t>
      </w:r>
    </w:p>
  </w:footnote>
  <w:footnote w:id="12">
    <w:p w14:paraId="3ED94A59" w14:textId="09A6F012" w:rsidR="002417CB" w:rsidRPr="002417CB" w:rsidRDefault="002417CB">
      <w:pPr>
        <w:pStyle w:val="FootnoteText"/>
        <w:rPr>
          <w:lang w:val="en-US"/>
        </w:rPr>
      </w:pPr>
      <w:r>
        <w:rPr>
          <w:rStyle w:val="FootnoteReference"/>
        </w:rPr>
        <w:footnoteRef/>
      </w:r>
      <w:r>
        <w:t xml:space="preserve"> </w:t>
      </w:r>
      <w:r>
        <w:rPr>
          <w:lang w:val="en-US"/>
        </w:rPr>
        <w:t>2008 (5) SA 31 (CC) at para [25].</w:t>
      </w:r>
    </w:p>
  </w:footnote>
  <w:footnote w:id="13">
    <w:p w14:paraId="0AD54366" w14:textId="1DB39A96" w:rsidR="00C055C5" w:rsidRPr="00C055C5" w:rsidRDefault="00C055C5">
      <w:pPr>
        <w:pStyle w:val="FootnoteText"/>
        <w:rPr>
          <w:lang w:val="en-US"/>
        </w:rPr>
      </w:pPr>
      <w:r>
        <w:rPr>
          <w:rStyle w:val="FootnoteReference"/>
        </w:rPr>
        <w:footnoteRef/>
      </w:r>
      <w:r>
        <w:t xml:space="preserve"> </w:t>
      </w:r>
      <w:r>
        <w:rPr>
          <w:lang w:val="en-US"/>
        </w:rPr>
        <w:t>[32]</w:t>
      </w:r>
      <w:r w:rsidR="007E2308">
        <w:rPr>
          <w:lang w:val="en-US"/>
        </w:rPr>
        <w:t>.</w:t>
      </w:r>
    </w:p>
  </w:footnote>
  <w:footnote w:id="14">
    <w:p w14:paraId="34AB1D8B" w14:textId="383D0C72" w:rsidR="008E5882" w:rsidRPr="008E5882" w:rsidRDefault="008E5882">
      <w:pPr>
        <w:pStyle w:val="FootnoteText"/>
        <w:rPr>
          <w:lang w:val="en-US"/>
        </w:rPr>
      </w:pPr>
      <w:r>
        <w:rPr>
          <w:rStyle w:val="FootnoteReference"/>
        </w:rPr>
        <w:footnoteRef/>
      </w:r>
      <w:r>
        <w:t xml:space="preserve"> </w:t>
      </w:r>
      <w:r w:rsidR="00E8007A">
        <w:rPr>
          <w:lang w:val="en-US"/>
        </w:rPr>
        <w:t>2021 (3) SA 403 (SCA) at [41].</w:t>
      </w:r>
    </w:p>
  </w:footnote>
  <w:footnote w:id="15">
    <w:p w14:paraId="5F8ED7C9" w14:textId="793B6721" w:rsidR="00F32237" w:rsidRPr="00F32237" w:rsidRDefault="00F32237">
      <w:pPr>
        <w:pStyle w:val="FootnoteText"/>
        <w:rPr>
          <w:lang w:val="en-US"/>
        </w:rPr>
      </w:pPr>
      <w:r>
        <w:rPr>
          <w:rStyle w:val="FootnoteReference"/>
        </w:rPr>
        <w:footnoteRef/>
      </w:r>
      <w:r>
        <w:t xml:space="preserve"> </w:t>
      </w:r>
      <w:r>
        <w:rPr>
          <w:lang w:val="en-US"/>
        </w:rPr>
        <w:t>[15]</w:t>
      </w:r>
      <w:r w:rsidR="00476395">
        <w:rPr>
          <w:lang w:val="en-US"/>
        </w:rPr>
        <w:t>, [16] and [17].</w:t>
      </w:r>
    </w:p>
  </w:footnote>
  <w:footnote w:id="16">
    <w:p w14:paraId="0F57DF73" w14:textId="47E360D4" w:rsidR="00AD73AE" w:rsidRPr="00AD73AE" w:rsidRDefault="00AD73AE">
      <w:pPr>
        <w:pStyle w:val="FootnoteText"/>
        <w:rPr>
          <w:lang w:val="en-US"/>
        </w:rPr>
      </w:pPr>
      <w:r>
        <w:rPr>
          <w:rStyle w:val="FootnoteReference"/>
        </w:rPr>
        <w:footnoteRef/>
      </w:r>
      <w:r>
        <w:t xml:space="preserve"> </w:t>
      </w:r>
      <w:r>
        <w:rPr>
          <w:lang w:val="en-US"/>
        </w:rPr>
        <w:t>Protea Assurance Company Ltd and Another v Waver</w:t>
      </w:r>
      <w:r w:rsidR="0029348E">
        <w:rPr>
          <w:lang w:val="en-US"/>
        </w:rPr>
        <w:t>ley Agency CC and Others 1994 (3) SA 247 (C) at 249B.</w:t>
      </w:r>
    </w:p>
  </w:footnote>
  <w:footnote w:id="17">
    <w:p w14:paraId="6358F418" w14:textId="2E999607" w:rsidR="00445DAE" w:rsidRPr="00445DAE" w:rsidRDefault="00445DAE">
      <w:pPr>
        <w:pStyle w:val="FootnoteText"/>
        <w:rPr>
          <w:lang w:val="en-US"/>
        </w:rPr>
      </w:pPr>
      <w:r>
        <w:rPr>
          <w:rStyle w:val="FootnoteReference"/>
        </w:rPr>
        <w:footnoteRef/>
      </w:r>
      <w:r>
        <w:t xml:space="preserve"> </w:t>
      </w:r>
      <w:r>
        <w:rPr>
          <w:lang w:val="en-US"/>
        </w:rPr>
        <w:t>1979 (2)  SA 457 (W) at 459F – 460A</w:t>
      </w:r>
      <w:r w:rsidR="004D1105">
        <w:rPr>
          <w:lang w:val="en-US"/>
        </w:rPr>
        <w:t>.</w:t>
      </w:r>
    </w:p>
  </w:footnote>
  <w:footnote w:id="18">
    <w:p w14:paraId="3A689C5D" w14:textId="0647801E" w:rsidR="00135AD0" w:rsidRPr="00135AD0" w:rsidRDefault="00135AD0">
      <w:pPr>
        <w:pStyle w:val="FootnoteText"/>
        <w:rPr>
          <w:lang w:val="en-US"/>
        </w:rPr>
      </w:pPr>
      <w:r>
        <w:rPr>
          <w:rStyle w:val="FootnoteReference"/>
        </w:rPr>
        <w:footnoteRef/>
      </w:r>
      <w:r>
        <w:t xml:space="preserve"> </w:t>
      </w:r>
      <w:r>
        <w:rPr>
          <w:lang w:val="en-US"/>
        </w:rPr>
        <w:t>Of course as pointed out Rule 30(5) has been replaced by Rule 30(A).</w:t>
      </w:r>
    </w:p>
  </w:footnote>
  <w:footnote w:id="19">
    <w:p w14:paraId="0BC7A8FC" w14:textId="35EB1229" w:rsidR="00E71DDF" w:rsidRPr="00E71DDF" w:rsidRDefault="00E71DDF">
      <w:pPr>
        <w:pStyle w:val="FootnoteText"/>
        <w:rPr>
          <w:lang w:val="en-US"/>
        </w:rPr>
      </w:pPr>
      <w:r>
        <w:rPr>
          <w:rStyle w:val="FootnoteReference"/>
        </w:rPr>
        <w:footnoteRef/>
      </w:r>
      <w:r>
        <w:t xml:space="preserve"> </w:t>
      </w:r>
      <w:r w:rsidRPr="005B74DA">
        <w:rPr>
          <w:b/>
          <w:bCs/>
          <w:lang w:val="en-US"/>
        </w:rPr>
        <w:t>Caxton</w:t>
      </w:r>
      <w:r>
        <w:rPr>
          <w:lang w:val="en-US"/>
        </w:rPr>
        <w:t xml:space="preserve"> </w:t>
      </w:r>
      <w:r w:rsidR="005B74DA">
        <w:rPr>
          <w:lang w:val="en-US"/>
        </w:rPr>
        <w:t>(</w:t>
      </w:r>
      <w:r w:rsidR="005B74DA">
        <w:rPr>
          <w:i/>
          <w:iCs/>
          <w:lang w:val="en-US"/>
        </w:rPr>
        <w:t>supra</w:t>
      </w:r>
      <w:r w:rsidR="005B74DA">
        <w:rPr>
          <w:lang w:val="en-US"/>
        </w:rPr>
        <w:t xml:space="preserve">) </w:t>
      </w:r>
      <w:r>
        <w:rPr>
          <w:lang w:val="en-US"/>
        </w:rPr>
        <w:t>(26)</w:t>
      </w:r>
      <w:r w:rsidR="005B74DA">
        <w:rPr>
          <w:lang w:val="en-US"/>
        </w:rPr>
        <w:t>.</w:t>
      </w:r>
    </w:p>
  </w:footnote>
  <w:footnote w:id="20">
    <w:p w14:paraId="646B623E" w14:textId="7C5CF790" w:rsidR="00B10BE5" w:rsidRPr="00B10BE5" w:rsidRDefault="00B10BE5">
      <w:pPr>
        <w:pStyle w:val="FootnoteText"/>
        <w:rPr>
          <w:lang w:val="en-US"/>
        </w:rPr>
      </w:pPr>
      <w:r>
        <w:rPr>
          <w:rStyle w:val="FootnoteReference"/>
        </w:rPr>
        <w:footnoteRef/>
      </w:r>
      <w:r>
        <w:t xml:space="preserve"> </w:t>
      </w:r>
      <w:r>
        <w:rPr>
          <w:lang w:val="en-US"/>
        </w:rPr>
        <w:t>2001 (2) SA 329 (C)</w:t>
      </w:r>
      <w:r w:rsidR="00E06253">
        <w:rPr>
          <w:lang w:val="en-US"/>
        </w:rPr>
        <w:t xml:space="preserve"> at 336 G – J.</w:t>
      </w:r>
    </w:p>
  </w:footnote>
  <w:footnote w:id="21">
    <w:p w14:paraId="0FF6C2C1" w14:textId="4FC65682" w:rsidR="00325304" w:rsidRPr="00325304" w:rsidRDefault="00325304">
      <w:pPr>
        <w:pStyle w:val="FootnoteText"/>
        <w:rPr>
          <w:lang w:val="en-US"/>
        </w:rPr>
      </w:pPr>
      <w:r>
        <w:rPr>
          <w:rStyle w:val="FootnoteReference"/>
        </w:rPr>
        <w:footnoteRef/>
      </w:r>
      <w:r>
        <w:t xml:space="preserve"> </w:t>
      </w:r>
      <w:r>
        <w:rPr>
          <w:lang w:val="en-US"/>
        </w:rPr>
        <w:t>Para [27].</w:t>
      </w:r>
    </w:p>
  </w:footnote>
  <w:footnote w:id="22">
    <w:p w14:paraId="6D21958B" w14:textId="31841F14" w:rsidR="003C39B6" w:rsidRPr="003C39B6" w:rsidRDefault="003C39B6">
      <w:pPr>
        <w:pStyle w:val="FootnoteText"/>
        <w:rPr>
          <w:lang w:val="en-US"/>
        </w:rPr>
      </w:pPr>
      <w:r>
        <w:rPr>
          <w:rStyle w:val="FootnoteReference"/>
        </w:rPr>
        <w:footnoteRef/>
      </w:r>
      <w:r>
        <w:t xml:space="preserve"> </w:t>
      </w:r>
      <w:r>
        <w:rPr>
          <w:lang w:val="en-US"/>
        </w:rPr>
        <w:t>…773 G – J.</w:t>
      </w:r>
    </w:p>
  </w:footnote>
  <w:footnote w:id="23">
    <w:p w14:paraId="18BD1E6F" w14:textId="66A6132A" w:rsidR="008D4886" w:rsidRPr="008D4886" w:rsidRDefault="008D4886">
      <w:pPr>
        <w:pStyle w:val="FootnoteText"/>
        <w:rPr>
          <w:lang w:val="en-US"/>
        </w:rPr>
      </w:pPr>
      <w:r>
        <w:rPr>
          <w:rStyle w:val="FootnoteReference"/>
        </w:rPr>
        <w:footnoteRef/>
      </w:r>
      <w:r>
        <w:t xml:space="preserve"> 56027/2020: 17 August 2021, Gauteng High Court per Mabuse J.</w:t>
      </w:r>
    </w:p>
  </w:footnote>
  <w:footnote w:id="24">
    <w:p w14:paraId="03C9F7CD" w14:textId="787CF78E" w:rsidR="008D4886" w:rsidRPr="008D4886" w:rsidRDefault="008D4886">
      <w:pPr>
        <w:pStyle w:val="FootnoteText"/>
        <w:rPr>
          <w:lang w:val="en-US"/>
        </w:rPr>
      </w:pPr>
      <w:r>
        <w:rPr>
          <w:rStyle w:val="FootnoteReference"/>
        </w:rPr>
        <w:footnoteRef/>
      </w:r>
      <w:r>
        <w:t xml:space="preserve"> </w:t>
      </w:r>
      <w:r>
        <w:rPr>
          <w:lang w:val="en-US"/>
        </w:rPr>
        <w:t>1999(2) SA 72 TPA at 74F –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870633"/>
      <w:docPartObj>
        <w:docPartGallery w:val="Page Numbers (Top of Page)"/>
        <w:docPartUnique/>
      </w:docPartObj>
    </w:sdtPr>
    <w:sdtEndPr>
      <w:rPr>
        <w:noProof/>
      </w:rPr>
    </w:sdtEndPr>
    <w:sdtContent>
      <w:p w14:paraId="538C24D2" w14:textId="77777777" w:rsidR="00FD558A" w:rsidRDefault="00FD558A">
        <w:pPr>
          <w:pStyle w:val="Header"/>
          <w:jc w:val="right"/>
        </w:pPr>
        <w:r>
          <w:fldChar w:fldCharType="begin"/>
        </w:r>
        <w:r>
          <w:instrText xml:space="preserve"> PAGE   \* MERGEFORMAT </w:instrText>
        </w:r>
        <w:r>
          <w:fldChar w:fldCharType="separate"/>
        </w:r>
        <w:r w:rsidR="00C34F13">
          <w:rPr>
            <w:noProof/>
          </w:rPr>
          <w:t>2</w:t>
        </w:r>
        <w:r>
          <w:rPr>
            <w:noProof/>
          </w:rPr>
          <w:fldChar w:fldCharType="end"/>
        </w:r>
      </w:p>
    </w:sdtContent>
  </w:sdt>
  <w:p w14:paraId="426D6887" w14:textId="77777777" w:rsidR="00B356DF" w:rsidRDefault="00B35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5649" w14:textId="77777777" w:rsidR="00FD558A" w:rsidRDefault="00FD558A">
    <w:pPr>
      <w:pStyle w:val="Header"/>
      <w:jc w:val="right"/>
    </w:pPr>
  </w:p>
  <w:p w14:paraId="3CD708CF" w14:textId="77777777" w:rsidR="00FD558A" w:rsidRDefault="00FD5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7569"/>
    <w:multiLevelType w:val="hybridMultilevel"/>
    <w:tmpl w:val="2B2A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025DA3"/>
    <w:multiLevelType w:val="hybridMultilevel"/>
    <w:tmpl w:val="50646170"/>
    <w:lvl w:ilvl="0" w:tplc="A11AE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9F0D08"/>
    <w:multiLevelType w:val="hybridMultilevel"/>
    <w:tmpl w:val="55D43F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9937DA8"/>
    <w:multiLevelType w:val="multilevel"/>
    <w:tmpl w:val="96DA9A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3E1E425F"/>
    <w:multiLevelType w:val="hybridMultilevel"/>
    <w:tmpl w:val="519EB200"/>
    <w:lvl w:ilvl="0" w:tplc="BC82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8A543A"/>
    <w:multiLevelType w:val="hybridMultilevel"/>
    <w:tmpl w:val="2FE6E758"/>
    <w:lvl w:ilvl="0" w:tplc="A624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E55803"/>
    <w:multiLevelType w:val="hybridMultilevel"/>
    <w:tmpl w:val="1DDC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B528D"/>
    <w:multiLevelType w:val="hybridMultilevel"/>
    <w:tmpl w:val="A694ED3E"/>
    <w:lvl w:ilvl="0" w:tplc="0D5CF0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C"/>
    <w:rsid w:val="00004542"/>
    <w:rsid w:val="00007822"/>
    <w:rsid w:val="00007B3F"/>
    <w:rsid w:val="000105BE"/>
    <w:rsid w:val="00012D24"/>
    <w:rsid w:val="00014421"/>
    <w:rsid w:val="000154F8"/>
    <w:rsid w:val="00015DE2"/>
    <w:rsid w:val="0001760B"/>
    <w:rsid w:val="00017F86"/>
    <w:rsid w:val="000207FA"/>
    <w:rsid w:val="000232C6"/>
    <w:rsid w:val="00023695"/>
    <w:rsid w:val="000244EC"/>
    <w:rsid w:val="00024FC6"/>
    <w:rsid w:val="00026F76"/>
    <w:rsid w:val="00027360"/>
    <w:rsid w:val="00031BA2"/>
    <w:rsid w:val="00032871"/>
    <w:rsid w:val="0004018B"/>
    <w:rsid w:val="00040340"/>
    <w:rsid w:val="00040CCA"/>
    <w:rsid w:val="00041EA6"/>
    <w:rsid w:val="00042763"/>
    <w:rsid w:val="00042A22"/>
    <w:rsid w:val="00046DFB"/>
    <w:rsid w:val="00047ABF"/>
    <w:rsid w:val="00050688"/>
    <w:rsid w:val="000577BE"/>
    <w:rsid w:val="00057E9A"/>
    <w:rsid w:val="00061BFD"/>
    <w:rsid w:val="00063F3F"/>
    <w:rsid w:val="00064F75"/>
    <w:rsid w:val="000662E0"/>
    <w:rsid w:val="00066FA5"/>
    <w:rsid w:val="000674E8"/>
    <w:rsid w:val="00070270"/>
    <w:rsid w:val="00071E30"/>
    <w:rsid w:val="000750DE"/>
    <w:rsid w:val="0008034B"/>
    <w:rsid w:val="00081C5F"/>
    <w:rsid w:val="00082A6F"/>
    <w:rsid w:val="00083AC3"/>
    <w:rsid w:val="00084C47"/>
    <w:rsid w:val="00085334"/>
    <w:rsid w:val="00085EBF"/>
    <w:rsid w:val="0008710A"/>
    <w:rsid w:val="00087251"/>
    <w:rsid w:val="00087B91"/>
    <w:rsid w:val="000935AD"/>
    <w:rsid w:val="000947E9"/>
    <w:rsid w:val="00094CCA"/>
    <w:rsid w:val="0009501A"/>
    <w:rsid w:val="000953FD"/>
    <w:rsid w:val="00095E59"/>
    <w:rsid w:val="000970F2"/>
    <w:rsid w:val="000972F2"/>
    <w:rsid w:val="00097B59"/>
    <w:rsid w:val="000A146E"/>
    <w:rsid w:val="000A1D72"/>
    <w:rsid w:val="000A1D81"/>
    <w:rsid w:val="000A1E26"/>
    <w:rsid w:val="000A36F4"/>
    <w:rsid w:val="000A6461"/>
    <w:rsid w:val="000B109B"/>
    <w:rsid w:val="000B1CBA"/>
    <w:rsid w:val="000B3302"/>
    <w:rsid w:val="000C1CF9"/>
    <w:rsid w:val="000C25C0"/>
    <w:rsid w:val="000C3432"/>
    <w:rsid w:val="000C4FAD"/>
    <w:rsid w:val="000D34CD"/>
    <w:rsid w:val="000D53ED"/>
    <w:rsid w:val="000D69A1"/>
    <w:rsid w:val="000D6D12"/>
    <w:rsid w:val="000E16C4"/>
    <w:rsid w:val="000E17FD"/>
    <w:rsid w:val="000E254E"/>
    <w:rsid w:val="000E46C3"/>
    <w:rsid w:val="000E70A9"/>
    <w:rsid w:val="000F1069"/>
    <w:rsid w:val="000F11E5"/>
    <w:rsid w:val="000F1B76"/>
    <w:rsid w:val="000F1DAB"/>
    <w:rsid w:val="000F4B8F"/>
    <w:rsid w:val="000F5D52"/>
    <w:rsid w:val="000F794D"/>
    <w:rsid w:val="0010121A"/>
    <w:rsid w:val="00106D2D"/>
    <w:rsid w:val="0010721E"/>
    <w:rsid w:val="00107640"/>
    <w:rsid w:val="00107668"/>
    <w:rsid w:val="001076DC"/>
    <w:rsid w:val="00110C17"/>
    <w:rsid w:val="0011126A"/>
    <w:rsid w:val="00111505"/>
    <w:rsid w:val="00111D21"/>
    <w:rsid w:val="001123E8"/>
    <w:rsid w:val="0011539A"/>
    <w:rsid w:val="0012023E"/>
    <w:rsid w:val="001206DA"/>
    <w:rsid w:val="00124A38"/>
    <w:rsid w:val="00124FC2"/>
    <w:rsid w:val="00125656"/>
    <w:rsid w:val="001308A8"/>
    <w:rsid w:val="001349D7"/>
    <w:rsid w:val="00134A40"/>
    <w:rsid w:val="00134B2E"/>
    <w:rsid w:val="00135AD0"/>
    <w:rsid w:val="00135F6D"/>
    <w:rsid w:val="001368D2"/>
    <w:rsid w:val="00136C5D"/>
    <w:rsid w:val="00137F28"/>
    <w:rsid w:val="00140293"/>
    <w:rsid w:val="00140FC8"/>
    <w:rsid w:val="00141C52"/>
    <w:rsid w:val="0014239E"/>
    <w:rsid w:val="00143188"/>
    <w:rsid w:val="00145690"/>
    <w:rsid w:val="00147081"/>
    <w:rsid w:val="00147B25"/>
    <w:rsid w:val="00150C40"/>
    <w:rsid w:val="00151ED1"/>
    <w:rsid w:val="001525AC"/>
    <w:rsid w:val="00153C42"/>
    <w:rsid w:val="00154FC3"/>
    <w:rsid w:val="00155D15"/>
    <w:rsid w:val="0016257A"/>
    <w:rsid w:val="00162C0F"/>
    <w:rsid w:val="00163C91"/>
    <w:rsid w:val="00164D20"/>
    <w:rsid w:val="00165099"/>
    <w:rsid w:val="0016596D"/>
    <w:rsid w:val="00166B6B"/>
    <w:rsid w:val="0016757F"/>
    <w:rsid w:val="00167B33"/>
    <w:rsid w:val="00171451"/>
    <w:rsid w:val="00172EE3"/>
    <w:rsid w:val="001730CF"/>
    <w:rsid w:val="00174458"/>
    <w:rsid w:val="00174682"/>
    <w:rsid w:val="001828E9"/>
    <w:rsid w:val="00183855"/>
    <w:rsid w:val="00184AC0"/>
    <w:rsid w:val="00185DC4"/>
    <w:rsid w:val="0018729A"/>
    <w:rsid w:val="00187839"/>
    <w:rsid w:val="00190F3C"/>
    <w:rsid w:val="001920F2"/>
    <w:rsid w:val="0019317A"/>
    <w:rsid w:val="00193C35"/>
    <w:rsid w:val="0019620E"/>
    <w:rsid w:val="001971F7"/>
    <w:rsid w:val="001A0B22"/>
    <w:rsid w:val="001A350D"/>
    <w:rsid w:val="001A3523"/>
    <w:rsid w:val="001A52E2"/>
    <w:rsid w:val="001A65A7"/>
    <w:rsid w:val="001B0686"/>
    <w:rsid w:val="001B194D"/>
    <w:rsid w:val="001B20B2"/>
    <w:rsid w:val="001B304A"/>
    <w:rsid w:val="001B4A7C"/>
    <w:rsid w:val="001B4DE4"/>
    <w:rsid w:val="001C4A4F"/>
    <w:rsid w:val="001C62C3"/>
    <w:rsid w:val="001C643F"/>
    <w:rsid w:val="001C684A"/>
    <w:rsid w:val="001C7371"/>
    <w:rsid w:val="001D2014"/>
    <w:rsid w:val="001D4E58"/>
    <w:rsid w:val="001D5644"/>
    <w:rsid w:val="001D620A"/>
    <w:rsid w:val="001E21FB"/>
    <w:rsid w:val="001E232E"/>
    <w:rsid w:val="001E271B"/>
    <w:rsid w:val="001E3E77"/>
    <w:rsid w:val="001E51CC"/>
    <w:rsid w:val="001E5E04"/>
    <w:rsid w:val="001E7146"/>
    <w:rsid w:val="001F3563"/>
    <w:rsid w:val="001F4BB8"/>
    <w:rsid w:val="001F50EA"/>
    <w:rsid w:val="001F579F"/>
    <w:rsid w:val="002011AF"/>
    <w:rsid w:val="0020245D"/>
    <w:rsid w:val="002044CC"/>
    <w:rsid w:val="002056DA"/>
    <w:rsid w:val="00205938"/>
    <w:rsid w:val="00205B14"/>
    <w:rsid w:val="00205C03"/>
    <w:rsid w:val="00205C16"/>
    <w:rsid w:val="00205CF0"/>
    <w:rsid w:val="00206809"/>
    <w:rsid w:val="00207265"/>
    <w:rsid w:val="00207939"/>
    <w:rsid w:val="002101CE"/>
    <w:rsid w:val="00213740"/>
    <w:rsid w:val="002139B0"/>
    <w:rsid w:val="00221035"/>
    <w:rsid w:val="00223BF4"/>
    <w:rsid w:val="00223EFD"/>
    <w:rsid w:val="002257E4"/>
    <w:rsid w:val="00225CB3"/>
    <w:rsid w:val="00226FF4"/>
    <w:rsid w:val="00232381"/>
    <w:rsid w:val="00232543"/>
    <w:rsid w:val="00232C7A"/>
    <w:rsid w:val="00233B39"/>
    <w:rsid w:val="00234677"/>
    <w:rsid w:val="00234976"/>
    <w:rsid w:val="002349E4"/>
    <w:rsid w:val="0023672D"/>
    <w:rsid w:val="00236E4A"/>
    <w:rsid w:val="002400FD"/>
    <w:rsid w:val="002402F4"/>
    <w:rsid w:val="0024063B"/>
    <w:rsid w:val="002417CB"/>
    <w:rsid w:val="002433C9"/>
    <w:rsid w:val="0024411C"/>
    <w:rsid w:val="00244AA8"/>
    <w:rsid w:val="00244CBE"/>
    <w:rsid w:val="00245193"/>
    <w:rsid w:val="002465B8"/>
    <w:rsid w:val="00247E06"/>
    <w:rsid w:val="002539F9"/>
    <w:rsid w:val="00253DAA"/>
    <w:rsid w:val="002560F9"/>
    <w:rsid w:val="002571A6"/>
    <w:rsid w:val="00260928"/>
    <w:rsid w:val="00261942"/>
    <w:rsid w:val="0026263F"/>
    <w:rsid w:val="00263C87"/>
    <w:rsid w:val="002650B2"/>
    <w:rsid w:val="00265C0E"/>
    <w:rsid w:val="002662A3"/>
    <w:rsid w:val="00270148"/>
    <w:rsid w:val="00270442"/>
    <w:rsid w:val="00272602"/>
    <w:rsid w:val="002735BC"/>
    <w:rsid w:val="00273D7F"/>
    <w:rsid w:val="00274107"/>
    <w:rsid w:val="00274A10"/>
    <w:rsid w:val="00276923"/>
    <w:rsid w:val="00277443"/>
    <w:rsid w:val="00277BB6"/>
    <w:rsid w:val="00277BFA"/>
    <w:rsid w:val="00280513"/>
    <w:rsid w:val="00281DF9"/>
    <w:rsid w:val="00283EBB"/>
    <w:rsid w:val="0028430D"/>
    <w:rsid w:val="00285A5E"/>
    <w:rsid w:val="0029069B"/>
    <w:rsid w:val="00291760"/>
    <w:rsid w:val="00291D43"/>
    <w:rsid w:val="00292735"/>
    <w:rsid w:val="0029348E"/>
    <w:rsid w:val="002935DC"/>
    <w:rsid w:val="00293AD1"/>
    <w:rsid w:val="0029515D"/>
    <w:rsid w:val="002A2CC0"/>
    <w:rsid w:val="002A39BA"/>
    <w:rsid w:val="002A3EBB"/>
    <w:rsid w:val="002A51D3"/>
    <w:rsid w:val="002A53ED"/>
    <w:rsid w:val="002A5682"/>
    <w:rsid w:val="002A7686"/>
    <w:rsid w:val="002A7D46"/>
    <w:rsid w:val="002B0592"/>
    <w:rsid w:val="002B06FA"/>
    <w:rsid w:val="002B1B07"/>
    <w:rsid w:val="002B62ED"/>
    <w:rsid w:val="002B686D"/>
    <w:rsid w:val="002C29B1"/>
    <w:rsid w:val="002C4391"/>
    <w:rsid w:val="002C4DCE"/>
    <w:rsid w:val="002C56AC"/>
    <w:rsid w:val="002C6535"/>
    <w:rsid w:val="002C7295"/>
    <w:rsid w:val="002D1332"/>
    <w:rsid w:val="002D19F3"/>
    <w:rsid w:val="002D22CF"/>
    <w:rsid w:val="002D2CA4"/>
    <w:rsid w:val="002D3ACD"/>
    <w:rsid w:val="002D4430"/>
    <w:rsid w:val="002D5993"/>
    <w:rsid w:val="002D69A2"/>
    <w:rsid w:val="002D760B"/>
    <w:rsid w:val="002E071C"/>
    <w:rsid w:val="002E13B6"/>
    <w:rsid w:val="002E192D"/>
    <w:rsid w:val="002E1A2B"/>
    <w:rsid w:val="002E29E0"/>
    <w:rsid w:val="002E5F62"/>
    <w:rsid w:val="002E755A"/>
    <w:rsid w:val="002F0DA3"/>
    <w:rsid w:val="002F3779"/>
    <w:rsid w:val="002F3D42"/>
    <w:rsid w:val="002F4488"/>
    <w:rsid w:val="002F4558"/>
    <w:rsid w:val="002F4F31"/>
    <w:rsid w:val="002F575B"/>
    <w:rsid w:val="00301F65"/>
    <w:rsid w:val="003022CC"/>
    <w:rsid w:val="00302F48"/>
    <w:rsid w:val="00307437"/>
    <w:rsid w:val="00314CA2"/>
    <w:rsid w:val="0031599C"/>
    <w:rsid w:val="00316CAE"/>
    <w:rsid w:val="00317A59"/>
    <w:rsid w:val="00321694"/>
    <w:rsid w:val="00321CD9"/>
    <w:rsid w:val="00322BD5"/>
    <w:rsid w:val="00323E4C"/>
    <w:rsid w:val="00323F10"/>
    <w:rsid w:val="00325304"/>
    <w:rsid w:val="003275EE"/>
    <w:rsid w:val="0033062B"/>
    <w:rsid w:val="00331136"/>
    <w:rsid w:val="00331B89"/>
    <w:rsid w:val="00331C01"/>
    <w:rsid w:val="0033279C"/>
    <w:rsid w:val="00333A13"/>
    <w:rsid w:val="00333CA5"/>
    <w:rsid w:val="00334262"/>
    <w:rsid w:val="00334AFA"/>
    <w:rsid w:val="00337B6F"/>
    <w:rsid w:val="00340742"/>
    <w:rsid w:val="003416F7"/>
    <w:rsid w:val="00343181"/>
    <w:rsid w:val="00344A01"/>
    <w:rsid w:val="00345137"/>
    <w:rsid w:val="003454A7"/>
    <w:rsid w:val="00353213"/>
    <w:rsid w:val="00353E81"/>
    <w:rsid w:val="003550F1"/>
    <w:rsid w:val="0035555A"/>
    <w:rsid w:val="00356054"/>
    <w:rsid w:val="003569E0"/>
    <w:rsid w:val="00357136"/>
    <w:rsid w:val="00357A3D"/>
    <w:rsid w:val="00357EBE"/>
    <w:rsid w:val="00365551"/>
    <w:rsid w:val="00371148"/>
    <w:rsid w:val="003739EB"/>
    <w:rsid w:val="00374357"/>
    <w:rsid w:val="0037669B"/>
    <w:rsid w:val="003817E2"/>
    <w:rsid w:val="003829CA"/>
    <w:rsid w:val="00382ED1"/>
    <w:rsid w:val="003835E8"/>
    <w:rsid w:val="00383C76"/>
    <w:rsid w:val="003843E5"/>
    <w:rsid w:val="003849A2"/>
    <w:rsid w:val="00384E0B"/>
    <w:rsid w:val="00385357"/>
    <w:rsid w:val="00385D4F"/>
    <w:rsid w:val="00387CA9"/>
    <w:rsid w:val="00390C55"/>
    <w:rsid w:val="00393AEB"/>
    <w:rsid w:val="003A0D81"/>
    <w:rsid w:val="003A5EE5"/>
    <w:rsid w:val="003A746E"/>
    <w:rsid w:val="003B0149"/>
    <w:rsid w:val="003B13E0"/>
    <w:rsid w:val="003B31F5"/>
    <w:rsid w:val="003B38AF"/>
    <w:rsid w:val="003B4BCC"/>
    <w:rsid w:val="003B4DCC"/>
    <w:rsid w:val="003B537D"/>
    <w:rsid w:val="003B5CBF"/>
    <w:rsid w:val="003B5CE3"/>
    <w:rsid w:val="003B6A92"/>
    <w:rsid w:val="003B7434"/>
    <w:rsid w:val="003B794C"/>
    <w:rsid w:val="003C02BF"/>
    <w:rsid w:val="003C10D5"/>
    <w:rsid w:val="003C39B6"/>
    <w:rsid w:val="003D0697"/>
    <w:rsid w:val="003D2F56"/>
    <w:rsid w:val="003D3C5D"/>
    <w:rsid w:val="003D3EB6"/>
    <w:rsid w:val="003D4EC8"/>
    <w:rsid w:val="003D7363"/>
    <w:rsid w:val="003D7CFA"/>
    <w:rsid w:val="003E0282"/>
    <w:rsid w:val="003E1AB9"/>
    <w:rsid w:val="003E1CD1"/>
    <w:rsid w:val="003E26E0"/>
    <w:rsid w:val="003E3971"/>
    <w:rsid w:val="003E4C2F"/>
    <w:rsid w:val="003E4FCE"/>
    <w:rsid w:val="003E50E3"/>
    <w:rsid w:val="003E5202"/>
    <w:rsid w:val="003E5C2A"/>
    <w:rsid w:val="003F145D"/>
    <w:rsid w:val="003F2552"/>
    <w:rsid w:val="003F422E"/>
    <w:rsid w:val="003F4B9E"/>
    <w:rsid w:val="003F5E4C"/>
    <w:rsid w:val="003F7878"/>
    <w:rsid w:val="00400829"/>
    <w:rsid w:val="00400DBD"/>
    <w:rsid w:val="004012A7"/>
    <w:rsid w:val="00402D0E"/>
    <w:rsid w:val="00402E6F"/>
    <w:rsid w:val="00402FA4"/>
    <w:rsid w:val="00403843"/>
    <w:rsid w:val="00405BF5"/>
    <w:rsid w:val="00405FBF"/>
    <w:rsid w:val="00407A38"/>
    <w:rsid w:val="0041233A"/>
    <w:rsid w:val="004123D0"/>
    <w:rsid w:val="00414E0F"/>
    <w:rsid w:val="0041569C"/>
    <w:rsid w:val="00416184"/>
    <w:rsid w:val="0041748C"/>
    <w:rsid w:val="004174A1"/>
    <w:rsid w:val="00417684"/>
    <w:rsid w:val="004209B9"/>
    <w:rsid w:val="00421AB4"/>
    <w:rsid w:val="00422D47"/>
    <w:rsid w:val="0042620B"/>
    <w:rsid w:val="0043074C"/>
    <w:rsid w:val="00430DA8"/>
    <w:rsid w:val="00431E9E"/>
    <w:rsid w:val="00432309"/>
    <w:rsid w:val="00432E70"/>
    <w:rsid w:val="00433814"/>
    <w:rsid w:val="0043712A"/>
    <w:rsid w:val="0043715A"/>
    <w:rsid w:val="00437318"/>
    <w:rsid w:val="00437534"/>
    <w:rsid w:val="00440680"/>
    <w:rsid w:val="00440AD8"/>
    <w:rsid w:val="00440E87"/>
    <w:rsid w:val="00443E46"/>
    <w:rsid w:val="0044548C"/>
    <w:rsid w:val="00445BD3"/>
    <w:rsid w:val="00445DAE"/>
    <w:rsid w:val="00446645"/>
    <w:rsid w:val="00446E43"/>
    <w:rsid w:val="00447ACD"/>
    <w:rsid w:val="00447EA5"/>
    <w:rsid w:val="00450E8F"/>
    <w:rsid w:val="00452BA6"/>
    <w:rsid w:val="004531AD"/>
    <w:rsid w:val="004563AE"/>
    <w:rsid w:val="00457557"/>
    <w:rsid w:val="004605B4"/>
    <w:rsid w:val="00460A64"/>
    <w:rsid w:val="0046147B"/>
    <w:rsid w:val="00461940"/>
    <w:rsid w:val="00462A51"/>
    <w:rsid w:val="004645FD"/>
    <w:rsid w:val="00464FF8"/>
    <w:rsid w:val="00465238"/>
    <w:rsid w:val="0046555F"/>
    <w:rsid w:val="00465D70"/>
    <w:rsid w:val="00470327"/>
    <w:rsid w:val="004708B8"/>
    <w:rsid w:val="004756B1"/>
    <w:rsid w:val="00476395"/>
    <w:rsid w:val="00477AD5"/>
    <w:rsid w:val="004800B6"/>
    <w:rsid w:val="004818C2"/>
    <w:rsid w:val="0048277C"/>
    <w:rsid w:val="00483B57"/>
    <w:rsid w:val="0048474B"/>
    <w:rsid w:val="004847F3"/>
    <w:rsid w:val="0049080E"/>
    <w:rsid w:val="00490C27"/>
    <w:rsid w:val="00493B42"/>
    <w:rsid w:val="00493CE7"/>
    <w:rsid w:val="0049713A"/>
    <w:rsid w:val="00497AEB"/>
    <w:rsid w:val="004A07E6"/>
    <w:rsid w:val="004A27DD"/>
    <w:rsid w:val="004A2B1B"/>
    <w:rsid w:val="004A2F95"/>
    <w:rsid w:val="004A32AB"/>
    <w:rsid w:val="004A46FA"/>
    <w:rsid w:val="004A7F3C"/>
    <w:rsid w:val="004B0673"/>
    <w:rsid w:val="004B098D"/>
    <w:rsid w:val="004B1FE3"/>
    <w:rsid w:val="004B41F8"/>
    <w:rsid w:val="004B42A2"/>
    <w:rsid w:val="004C1785"/>
    <w:rsid w:val="004C1C54"/>
    <w:rsid w:val="004C235F"/>
    <w:rsid w:val="004C3585"/>
    <w:rsid w:val="004C5040"/>
    <w:rsid w:val="004C7861"/>
    <w:rsid w:val="004D0313"/>
    <w:rsid w:val="004D0CE2"/>
    <w:rsid w:val="004D1105"/>
    <w:rsid w:val="004D704C"/>
    <w:rsid w:val="004D75A6"/>
    <w:rsid w:val="004E4125"/>
    <w:rsid w:val="004E4C5E"/>
    <w:rsid w:val="004E527F"/>
    <w:rsid w:val="004E60AB"/>
    <w:rsid w:val="004E76DA"/>
    <w:rsid w:val="004E7E92"/>
    <w:rsid w:val="004E7E9E"/>
    <w:rsid w:val="004F215F"/>
    <w:rsid w:val="004F4DCA"/>
    <w:rsid w:val="004F77A5"/>
    <w:rsid w:val="00500266"/>
    <w:rsid w:val="00500582"/>
    <w:rsid w:val="00502987"/>
    <w:rsid w:val="00502A8B"/>
    <w:rsid w:val="00504144"/>
    <w:rsid w:val="005065C4"/>
    <w:rsid w:val="00506A00"/>
    <w:rsid w:val="00506F62"/>
    <w:rsid w:val="00507577"/>
    <w:rsid w:val="00507D8A"/>
    <w:rsid w:val="00510D52"/>
    <w:rsid w:val="0051311B"/>
    <w:rsid w:val="0051333D"/>
    <w:rsid w:val="0051395E"/>
    <w:rsid w:val="00516730"/>
    <w:rsid w:val="005216C0"/>
    <w:rsid w:val="00521A01"/>
    <w:rsid w:val="00521E5B"/>
    <w:rsid w:val="005234A2"/>
    <w:rsid w:val="0052367C"/>
    <w:rsid w:val="0052630B"/>
    <w:rsid w:val="00530889"/>
    <w:rsid w:val="0053215B"/>
    <w:rsid w:val="00532F88"/>
    <w:rsid w:val="00534853"/>
    <w:rsid w:val="005354C4"/>
    <w:rsid w:val="005415F3"/>
    <w:rsid w:val="005434C6"/>
    <w:rsid w:val="00543EF1"/>
    <w:rsid w:val="00544EA7"/>
    <w:rsid w:val="00545413"/>
    <w:rsid w:val="0054564F"/>
    <w:rsid w:val="00545EF1"/>
    <w:rsid w:val="00546F06"/>
    <w:rsid w:val="00550DF0"/>
    <w:rsid w:val="00552ADB"/>
    <w:rsid w:val="00553EB8"/>
    <w:rsid w:val="00555CEC"/>
    <w:rsid w:val="00557D22"/>
    <w:rsid w:val="00560837"/>
    <w:rsid w:val="005619B0"/>
    <w:rsid w:val="00563840"/>
    <w:rsid w:val="00564F10"/>
    <w:rsid w:val="0056695A"/>
    <w:rsid w:val="00573BD6"/>
    <w:rsid w:val="00576B50"/>
    <w:rsid w:val="00580E09"/>
    <w:rsid w:val="00582557"/>
    <w:rsid w:val="00582FD5"/>
    <w:rsid w:val="00584576"/>
    <w:rsid w:val="005857E3"/>
    <w:rsid w:val="0058727B"/>
    <w:rsid w:val="00587594"/>
    <w:rsid w:val="00593E4D"/>
    <w:rsid w:val="005940F8"/>
    <w:rsid w:val="005943C9"/>
    <w:rsid w:val="00594720"/>
    <w:rsid w:val="00594AB1"/>
    <w:rsid w:val="00597351"/>
    <w:rsid w:val="005A1E4E"/>
    <w:rsid w:val="005A517F"/>
    <w:rsid w:val="005A630C"/>
    <w:rsid w:val="005B069C"/>
    <w:rsid w:val="005B0800"/>
    <w:rsid w:val="005B11A1"/>
    <w:rsid w:val="005B1D7D"/>
    <w:rsid w:val="005B2047"/>
    <w:rsid w:val="005B4EC2"/>
    <w:rsid w:val="005B74DA"/>
    <w:rsid w:val="005B7676"/>
    <w:rsid w:val="005C04B6"/>
    <w:rsid w:val="005C399C"/>
    <w:rsid w:val="005C489D"/>
    <w:rsid w:val="005C4946"/>
    <w:rsid w:val="005C524A"/>
    <w:rsid w:val="005C6502"/>
    <w:rsid w:val="005C703B"/>
    <w:rsid w:val="005C789D"/>
    <w:rsid w:val="005D46AB"/>
    <w:rsid w:val="005D5E28"/>
    <w:rsid w:val="005D6D2C"/>
    <w:rsid w:val="005D7B5A"/>
    <w:rsid w:val="005E035B"/>
    <w:rsid w:val="005E0688"/>
    <w:rsid w:val="005E2421"/>
    <w:rsid w:val="005E3EF9"/>
    <w:rsid w:val="005E595E"/>
    <w:rsid w:val="005E5D9B"/>
    <w:rsid w:val="005E6054"/>
    <w:rsid w:val="005F24A2"/>
    <w:rsid w:val="005F2646"/>
    <w:rsid w:val="005F3CDD"/>
    <w:rsid w:val="005F3DF6"/>
    <w:rsid w:val="005F4F32"/>
    <w:rsid w:val="005F6615"/>
    <w:rsid w:val="005F6B81"/>
    <w:rsid w:val="00600023"/>
    <w:rsid w:val="00601562"/>
    <w:rsid w:val="006016A3"/>
    <w:rsid w:val="00601B4C"/>
    <w:rsid w:val="006021D4"/>
    <w:rsid w:val="0060426E"/>
    <w:rsid w:val="00604A26"/>
    <w:rsid w:val="0060530F"/>
    <w:rsid w:val="00605862"/>
    <w:rsid w:val="00607D75"/>
    <w:rsid w:val="00607DE5"/>
    <w:rsid w:val="00607F10"/>
    <w:rsid w:val="006104FB"/>
    <w:rsid w:val="00610CCB"/>
    <w:rsid w:val="00611212"/>
    <w:rsid w:val="00612DFA"/>
    <w:rsid w:val="00613893"/>
    <w:rsid w:val="00613F98"/>
    <w:rsid w:val="00614267"/>
    <w:rsid w:val="00615732"/>
    <w:rsid w:val="00615B7B"/>
    <w:rsid w:val="00615E02"/>
    <w:rsid w:val="00616266"/>
    <w:rsid w:val="0061779D"/>
    <w:rsid w:val="006223C9"/>
    <w:rsid w:val="0062340A"/>
    <w:rsid w:val="00623F36"/>
    <w:rsid w:val="006253A5"/>
    <w:rsid w:val="00625EC6"/>
    <w:rsid w:val="00630B70"/>
    <w:rsid w:val="0063408B"/>
    <w:rsid w:val="0063458A"/>
    <w:rsid w:val="00636C25"/>
    <w:rsid w:val="00637822"/>
    <w:rsid w:val="006403A0"/>
    <w:rsid w:val="00640C79"/>
    <w:rsid w:val="00641AD2"/>
    <w:rsid w:val="00642C89"/>
    <w:rsid w:val="00642E38"/>
    <w:rsid w:val="00643C79"/>
    <w:rsid w:val="006456A2"/>
    <w:rsid w:val="00650492"/>
    <w:rsid w:val="006506DA"/>
    <w:rsid w:val="00650A11"/>
    <w:rsid w:val="00652DFF"/>
    <w:rsid w:val="006548CA"/>
    <w:rsid w:val="00654C70"/>
    <w:rsid w:val="00654E5C"/>
    <w:rsid w:val="006555D3"/>
    <w:rsid w:val="00656ED8"/>
    <w:rsid w:val="00657272"/>
    <w:rsid w:val="0065774A"/>
    <w:rsid w:val="00661DD5"/>
    <w:rsid w:val="00667CFC"/>
    <w:rsid w:val="006701D4"/>
    <w:rsid w:val="006714E9"/>
    <w:rsid w:val="00671EEB"/>
    <w:rsid w:val="006734AE"/>
    <w:rsid w:val="0067351B"/>
    <w:rsid w:val="00674300"/>
    <w:rsid w:val="00674596"/>
    <w:rsid w:val="0067510C"/>
    <w:rsid w:val="006757C7"/>
    <w:rsid w:val="00676E90"/>
    <w:rsid w:val="00677950"/>
    <w:rsid w:val="006807C0"/>
    <w:rsid w:val="006819B9"/>
    <w:rsid w:val="00681D07"/>
    <w:rsid w:val="00681D9D"/>
    <w:rsid w:val="00684B4D"/>
    <w:rsid w:val="00686411"/>
    <w:rsid w:val="006870F3"/>
    <w:rsid w:val="006871CD"/>
    <w:rsid w:val="00690DF6"/>
    <w:rsid w:val="00692980"/>
    <w:rsid w:val="00692BFF"/>
    <w:rsid w:val="00692D3B"/>
    <w:rsid w:val="00693B45"/>
    <w:rsid w:val="00694714"/>
    <w:rsid w:val="00696EA8"/>
    <w:rsid w:val="006A0709"/>
    <w:rsid w:val="006A0918"/>
    <w:rsid w:val="006A3387"/>
    <w:rsid w:val="006A3AC4"/>
    <w:rsid w:val="006A56E5"/>
    <w:rsid w:val="006A6126"/>
    <w:rsid w:val="006A630A"/>
    <w:rsid w:val="006A7BE5"/>
    <w:rsid w:val="006B0536"/>
    <w:rsid w:val="006B0588"/>
    <w:rsid w:val="006B1D6E"/>
    <w:rsid w:val="006B2AF0"/>
    <w:rsid w:val="006B5240"/>
    <w:rsid w:val="006B524C"/>
    <w:rsid w:val="006B59AD"/>
    <w:rsid w:val="006B5D64"/>
    <w:rsid w:val="006B6DF4"/>
    <w:rsid w:val="006B7C41"/>
    <w:rsid w:val="006B7C73"/>
    <w:rsid w:val="006C075C"/>
    <w:rsid w:val="006C3724"/>
    <w:rsid w:val="006C3B65"/>
    <w:rsid w:val="006C79DC"/>
    <w:rsid w:val="006D1FD4"/>
    <w:rsid w:val="006E12CA"/>
    <w:rsid w:val="006E15F0"/>
    <w:rsid w:val="006E177C"/>
    <w:rsid w:val="006E27E7"/>
    <w:rsid w:val="006E5ADC"/>
    <w:rsid w:val="006E6450"/>
    <w:rsid w:val="006F201E"/>
    <w:rsid w:val="006F2177"/>
    <w:rsid w:val="006F21F2"/>
    <w:rsid w:val="006F2D92"/>
    <w:rsid w:val="006F4B3A"/>
    <w:rsid w:val="006F5D48"/>
    <w:rsid w:val="006F6D2F"/>
    <w:rsid w:val="00700DA8"/>
    <w:rsid w:val="00701AFC"/>
    <w:rsid w:val="00705DCC"/>
    <w:rsid w:val="00706A02"/>
    <w:rsid w:val="0070729A"/>
    <w:rsid w:val="00707DD9"/>
    <w:rsid w:val="0071073D"/>
    <w:rsid w:val="00711028"/>
    <w:rsid w:val="00711261"/>
    <w:rsid w:val="00711BDD"/>
    <w:rsid w:val="00712BE1"/>
    <w:rsid w:val="00716307"/>
    <w:rsid w:val="00722976"/>
    <w:rsid w:val="00724236"/>
    <w:rsid w:val="00727878"/>
    <w:rsid w:val="00730266"/>
    <w:rsid w:val="007306BB"/>
    <w:rsid w:val="00731CFE"/>
    <w:rsid w:val="00732A7E"/>
    <w:rsid w:val="00736946"/>
    <w:rsid w:val="00740044"/>
    <w:rsid w:val="00740F24"/>
    <w:rsid w:val="00742D19"/>
    <w:rsid w:val="00745C3B"/>
    <w:rsid w:val="007477EA"/>
    <w:rsid w:val="00752E78"/>
    <w:rsid w:val="00753611"/>
    <w:rsid w:val="00754F67"/>
    <w:rsid w:val="007554C4"/>
    <w:rsid w:val="00755A0F"/>
    <w:rsid w:val="00756AFC"/>
    <w:rsid w:val="00760941"/>
    <w:rsid w:val="00763F37"/>
    <w:rsid w:val="00764AE0"/>
    <w:rsid w:val="0076656C"/>
    <w:rsid w:val="00767F4C"/>
    <w:rsid w:val="0077088E"/>
    <w:rsid w:val="00770CDF"/>
    <w:rsid w:val="00770D18"/>
    <w:rsid w:val="00771264"/>
    <w:rsid w:val="00771D0B"/>
    <w:rsid w:val="007757D7"/>
    <w:rsid w:val="0077697B"/>
    <w:rsid w:val="00777CEF"/>
    <w:rsid w:val="00782A4E"/>
    <w:rsid w:val="00782E8C"/>
    <w:rsid w:val="00786A73"/>
    <w:rsid w:val="00787180"/>
    <w:rsid w:val="00790578"/>
    <w:rsid w:val="007911EF"/>
    <w:rsid w:val="007914E9"/>
    <w:rsid w:val="0079169F"/>
    <w:rsid w:val="007939DF"/>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A7B"/>
    <w:rsid w:val="007C4620"/>
    <w:rsid w:val="007C5A53"/>
    <w:rsid w:val="007C5A97"/>
    <w:rsid w:val="007C5BD8"/>
    <w:rsid w:val="007C5F0D"/>
    <w:rsid w:val="007C728B"/>
    <w:rsid w:val="007C77CA"/>
    <w:rsid w:val="007C7C8B"/>
    <w:rsid w:val="007D199C"/>
    <w:rsid w:val="007D1C2D"/>
    <w:rsid w:val="007D1E4E"/>
    <w:rsid w:val="007D2D81"/>
    <w:rsid w:val="007D3E6F"/>
    <w:rsid w:val="007D5409"/>
    <w:rsid w:val="007D54E3"/>
    <w:rsid w:val="007D6347"/>
    <w:rsid w:val="007D67C6"/>
    <w:rsid w:val="007D70C9"/>
    <w:rsid w:val="007E0990"/>
    <w:rsid w:val="007E1AF0"/>
    <w:rsid w:val="007E2308"/>
    <w:rsid w:val="007E55C9"/>
    <w:rsid w:val="007E66C1"/>
    <w:rsid w:val="007E6DA2"/>
    <w:rsid w:val="007F0A7B"/>
    <w:rsid w:val="007F0C03"/>
    <w:rsid w:val="007F29A9"/>
    <w:rsid w:val="007F5030"/>
    <w:rsid w:val="00801104"/>
    <w:rsid w:val="00802AD3"/>
    <w:rsid w:val="00804646"/>
    <w:rsid w:val="008048C4"/>
    <w:rsid w:val="00805372"/>
    <w:rsid w:val="0080668C"/>
    <w:rsid w:val="00811203"/>
    <w:rsid w:val="00813552"/>
    <w:rsid w:val="00813FD3"/>
    <w:rsid w:val="00815301"/>
    <w:rsid w:val="00816D32"/>
    <w:rsid w:val="00822467"/>
    <w:rsid w:val="00822A55"/>
    <w:rsid w:val="00824AD4"/>
    <w:rsid w:val="00825187"/>
    <w:rsid w:val="00830FFC"/>
    <w:rsid w:val="008311D9"/>
    <w:rsid w:val="0083230C"/>
    <w:rsid w:val="00832B96"/>
    <w:rsid w:val="008331EA"/>
    <w:rsid w:val="008338A3"/>
    <w:rsid w:val="00834036"/>
    <w:rsid w:val="00834A6C"/>
    <w:rsid w:val="00834A93"/>
    <w:rsid w:val="00835159"/>
    <w:rsid w:val="00835F1E"/>
    <w:rsid w:val="008374CB"/>
    <w:rsid w:val="00837772"/>
    <w:rsid w:val="008377C6"/>
    <w:rsid w:val="008378FC"/>
    <w:rsid w:val="00840122"/>
    <w:rsid w:val="008416C0"/>
    <w:rsid w:val="00841913"/>
    <w:rsid w:val="00841914"/>
    <w:rsid w:val="00842743"/>
    <w:rsid w:val="00843A72"/>
    <w:rsid w:val="0084482D"/>
    <w:rsid w:val="00844B37"/>
    <w:rsid w:val="0084609E"/>
    <w:rsid w:val="00846692"/>
    <w:rsid w:val="00846A6C"/>
    <w:rsid w:val="00847E9B"/>
    <w:rsid w:val="00852E76"/>
    <w:rsid w:val="00853479"/>
    <w:rsid w:val="00853A40"/>
    <w:rsid w:val="008579B9"/>
    <w:rsid w:val="00857BEA"/>
    <w:rsid w:val="00860EB8"/>
    <w:rsid w:val="00861088"/>
    <w:rsid w:val="00861961"/>
    <w:rsid w:val="008624E8"/>
    <w:rsid w:val="00866867"/>
    <w:rsid w:val="00871EE7"/>
    <w:rsid w:val="00872148"/>
    <w:rsid w:val="00872A42"/>
    <w:rsid w:val="00875384"/>
    <w:rsid w:val="008758A7"/>
    <w:rsid w:val="00881192"/>
    <w:rsid w:val="008836E3"/>
    <w:rsid w:val="0088416E"/>
    <w:rsid w:val="00886CF1"/>
    <w:rsid w:val="00887835"/>
    <w:rsid w:val="008879A5"/>
    <w:rsid w:val="00890156"/>
    <w:rsid w:val="0089180E"/>
    <w:rsid w:val="0089291A"/>
    <w:rsid w:val="0089390D"/>
    <w:rsid w:val="00896D17"/>
    <w:rsid w:val="008A0539"/>
    <w:rsid w:val="008A09EC"/>
    <w:rsid w:val="008A1084"/>
    <w:rsid w:val="008A2939"/>
    <w:rsid w:val="008A38C1"/>
    <w:rsid w:val="008A4BD9"/>
    <w:rsid w:val="008A6825"/>
    <w:rsid w:val="008A687D"/>
    <w:rsid w:val="008B00D9"/>
    <w:rsid w:val="008B0F17"/>
    <w:rsid w:val="008B1DA4"/>
    <w:rsid w:val="008B23C8"/>
    <w:rsid w:val="008C26EC"/>
    <w:rsid w:val="008C39BE"/>
    <w:rsid w:val="008C42C2"/>
    <w:rsid w:val="008C562B"/>
    <w:rsid w:val="008C70A7"/>
    <w:rsid w:val="008C7A83"/>
    <w:rsid w:val="008D3CED"/>
    <w:rsid w:val="008D4886"/>
    <w:rsid w:val="008D53F9"/>
    <w:rsid w:val="008D6563"/>
    <w:rsid w:val="008D6E7E"/>
    <w:rsid w:val="008D7C79"/>
    <w:rsid w:val="008D7EF1"/>
    <w:rsid w:val="008E25B5"/>
    <w:rsid w:val="008E49A1"/>
    <w:rsid w:val="008E51CC"/>
    <w:rsid w:val="008E5882"/>
    <w:rsid w:val="008E5D5D"/>
    <w:rsid w:val="008E67B7"/>
    <w:rsid w:val="008E70F1"/>
    <w:rsid w:val="008F2B6D"/>
    <w:rsid w:val="008F3516"/>
    <w:rsid w:val="008F4905"/>
    <w:rsid w:val="008F5396"/>
    <w:rsid w:val="008F5B36"/>
    <w:rsid w:val="008F6BE2"/>
    <w:rsid w:val="008F6E77"/>
    <w:rsid w:val="008F7002"/>
    <w:rsid w:val="0090192D"/>
    <w:rsid w:val="00901C54"/>
    <w:rsid w:val="00901DF3"/>
    <w:rsid w:val="00901E33"/>
    <w:rsid w:val="00905D7F"/>
    <w:rsid w:val="00905F2B"/>
    <w:rsid w:val="0090660D"/>
    <w:rsid w:val="00910FAB"/>
    <w:rsid w:val="00912539"/>
    <w:rsid w:val="00912750"/>
    <w:rsid w:val="00923888"/>
    <w:rsid w:val="00924ADD"/>
    <w:rsid w:val="009259BB"/>
    <w:rsid w:val="00925D76"/>
    <w:rsid w:val="009276C4"/>
    <w:rsid w:val="00927F6E"/>
    <w:rsid w:val="009314A8"/>
    <w:rsid w:val="009317F6"/>
    <w:rsid w:val="00932C6A"/>
    <w:rsid w:val="00932EA0"/>
    <w:rsid w:val="00933381"/>
    <w:rsid w:val="00940CB3"/>
    <w:rsid w:val="0094136F"/>
    <w:rsid w:val="009416B2"/>
    <w:rsid w:val="00943109"/>
    <w:rsid w:val="009434AF"/>
    <w:rsid w:val="00943E57"/>
    <w:rsid w:val="00943F67"/>
    <w:rsid w:val="00944C3B"/>
    <w:rsid w:val="009464B3"/>
    <w:rsid w:val="009475C7"/>
    <w:rsid w:val="00951AAB"/>
    <w:rsid w:val="0095391C"/>
    <w:rsid w:val="00955792"/>
    <w:rsid w:val="009565DD"/>
    <w:rsid w:val="00956860"/>
    <w:rsid w:val="009573DA"/>
    <w:rsid w:val="00957C0C"/>
    <w:rsid w:val="0096003D"/>
    <w:rsid w:val="0096086E"/>
    <w:rsid w:val="009612DF"/>
    <w:rsid w:val="0096236F"/>
    <w:rsid w:val="009678CE"/>
    <w:rsid w:val="00970182"/>
    <w:rsid w:val="00971DCB"/>
    <w:rsid w:val="00972C05"/>
    <w:rsid w:val="00975726"/>
    <w:rsid w:val="00980548"/>
    <w:rsid w:val="00980DB4"/>
    <w:rsid w:val="0098183D"/>
    <w:rsid w:val="009843EB"/>
    <w:rsid w:val="00984567"/>
    <w:rsid w:val="009854F2"/>
    <w:rsid w:val="00985E53"/>
    <w:rsid w:val="009874A8"/>
    <w:rsid w:val="00992D22"/>
    <w:rsid w:val="00992DC0"/>
    <w:rsid w:val="009935D0"/>
    <w:rsid w:val="00994139"/>
    <w:rsid w:val="00995441"/>
    <w:rsid w:val="00996465"/>
    <w:rsid w:val="00997323"/>
    <w:rsid w:val="0099734A"/>
    <w:rsid w:val="009A015F"/>
    <w:rsid w:val="009A1E3A"/>
    <w:rsid w:val="009A3FA6"/>
    <w:rsid w:val="009A6A11"/>
    <w:rsid w:val="009A6A60"/>
    <w:rsid w:val="009A6E15"/>
    <w:rsid w:val="009A7B80"/>
    <w:rsid w:val="009B1580"/>
    <w:rsid w:val="009B2576"/>
    <w:rsid w:val="009B32B9"/>
    <w:rsid w:val="009B45B9"/>
    <w:rsid w:val="009B5971"/>
    <w:rsid w:val="009B77B8"/>
    <w:rsid w:val="009C1923"/>
    <w:rsid w:val="009C453A"/>
    <w:rsid w:val="009C6B6E"/>
    <w:rsid w:val="009D0302"/>
    <w:rsid w:val="009D0E20"/>
    <w:rsid w:val="009D2F2F"/>
    <w:rsid w:val="009D3B16"/>
    <w:rsid w:val="009D3F15"/>
    <w:rsid w:val="009D4091"/>
    <w:rsid w:val="009D431B"/>
    <w:rsid w:val="009E061D"/>
    <w:rsid w:val="009E117C"/>
    <w:rsid w:val="009E1274"/>
    <w:rsid w:val="009E26DC"/>
    <w:rsid w:val="009E2C2A"/>
    <w:rsid w:val="009E6DCA"/>
    <w:rsid w:val="009E6FCA"/>
    <w:rsid w:val="009E701E"/>
    <w:rsid w:val="009E70E9"/>
    <w:rsid w:val="009E71E4"/>
    <w:rsid w:val="009F243F"/>
    <w:rsid w:val="009F2BAF"/>
    <w:rsid w:val="009F2E18"/>
    <w:rsid w:val="009F4360"/>
    <w:rsid w:val="00A01723"/>
    <w:rsid w:val="00A0239D"/>
    <w:rsid w:val="00A025A0"/>
    <w:rsid w:val="00A02931"/>
    <w:rsid w:val="00A0528F"/>
    <w:rsid w:val="00A05DE7"/>
    <w:rsid w:val="00A064A0"/>
    <w:rsid w:val="00A0695A"/>
    <w:rsid w:val="00A0743A"/>
    <w:rsid w:val="00A10714"/>
    <w:rsid w:val="00A116A1"/>
    <w:rsid w:val="00A12D91"/>
    <w:rsid w:val="00A12D9F"/>
    <w:rsid w:val="00A13343"/>
    <w:rsid w:val="00A136B5"/>
    <w:rsid w:val="00A13BA3"/>
    <w:rsid w:val="00A140F7"/>
    <w:rsid w:val="00A14539"/>
    <w:rsid w:val="00A16DC9"/>
    <w:rsid w:val="00A16FD1"/>
    <w:rsid w:val="00A17AC5"/>
    <w:rsid w:val="00A23A11"/>
    <w:rsid w:val="00A30DD3"/>
    <w:rsid w:val="00A313C4"/>
    <w:rsid w:val="00A3178A"/>
    <w:rsid w:val="00A32636"/>
    <w:rsid w:val="00A33B41"/>
    <w:rsid w:val="00A34851"/>
    <w:rsid w:val="00A3493F"/>
    <w:rsid w:val="00A35587"/>
    <w:rsid w:val="00A35D70"/>
    <w:rsid w:val="00A35F9F"/>
    <w:rsid w:val="00A36001"/>
    <w:rsid w:val="00A36BDC"/>
    <w:rsid w:val="00A37B96"/>
    <w:rsid w:val="00A37E00"/>
    <w:rsid w:val="00A42B27"/>
    <w:rsid w:val="00A45757"/>
    <w:rsid w:val="00A46FE3"/>
    <w:rsid w:val="00A50475"/>
    <w:rsid w:val="00A50C80"/>
    <w:rsid w:val="00A510DF"/>
    <w:rsid w:val="00A5519D"/>
    <w:rsid w:val="00A55DA4"/>
    <w:rsid w:val="00A56B40"/>
    <w:rsid w:val="00A57EE4"/>
    <w:rsid w:val="00A60DFB"/>
    <w:rsid w:val="00A6170C"/>
    <w:rsid w:val="00A61A56"/>
    <w:rsid w:val="00A63F63"/>
    <w:rsid w:val="00A642F9"/>
    <w:rsid w:val="00A6633C"/>
    <w:rsid w:val="00A6735E"/>
    <w:rsid w:val="00A7076B"/>
    <w:rsid w:val="00A70BF0"/>
    <w:rsid w:val="00A72D36"/>
    <w:rsid w:val="00A739D1"/>
    <w:rsid w:val="00A74039"/>
    <w:rsid w:val="00A7454B"/>
    <w:rsid w:val="00A74F88"/>
    <w:rsid w:val="00A802C6"/>
    <w:rsid w:val="00A805F7"/>
    <w:rsid w:val="00A80CA0"/>
    <w:rsid w:val="00A83E4E"/>
    <w:rsid w:val="00A8404C"/>
    <w:rsid w:val="00A8528B"/>
    <w:rsid w:val="00A86418"/>
    <w:rsid w:val="00A87F87"/>
    <w:rsid w:val="00A927F3"/>
    <w:rsid w:val="00A96FEE"/>
    <w:rsid w:val="00AA038E"/>
    <w:rsid w:val="00AA045C"/>
    <w:rsid w:val="00AA195D"/>
    <w:rsid w:val="00AA196E"/>
    <w:rsid w:val="00AA35B2"/>
    <w:rsid w:val="00AA35DB"/>
    <w:rsid w:val="00AA5BE0"/>
    <w:rsid w:val="00AB0CBB"/>
    <w:rsid w:val="00AB1AE6"/>
    <w:rsid w:val="00AB1D0B"/>
    <w:rsid w:val="00AB2083"/>
    <w:rsid w:val="00AB44BF"/>
    <w:rsid w:val="00AB4FFE"/>
    <w:rsid w:val="00AB65CC"/>
    <w:rsid w:val="00AB7799"/>
    <w:rsid w:val="00AC071C"/>
    <w:rsid w:val="00AC1B67"/>
    <w:rsid w:val="00AC2044"/>
    <w:rsid w:val="00AC2344"/>
    <w:rsid w:val="00AC3917"/>
    <w:rsid w:val="00AC39C9"/>
    <w:rsid w:val="00AC5D3C"/>
    <w:rsid w:val="00AC648A"/>
    <w:rsid w:val="00AC68B1"/>
    <w:rsid w:val="00AC691E"/>
    <w:rsid w:val="00AC7E37"/>
    <w:rsid w:val="00AD0DBC"/>
    <w:rsid w:val="00AD120A"/>
    <w:rsid w:val="00AD1787"/>
    <w:rsid w:val="00AD2041"/>
    <w:rsid w:val="00AD3779"/>
    <w:rsid w:val="00AD3E93"/>
    <w:rsid w:val="00AD55C1"/>
    <w:rsid w:val="00AD73AE"/>
    <w:rsid w:val="00AD75F4"/>
    <w:rsid w:val="00AE2D3E"/>
    <w:rsid w:val="00AE32EA"/>
    <w:rsid w:val="00AE3E15"/>
    <w:rsid w:val="00AE65A0"/>
    <w:rsid w:val="00AE6BE5"/>
    <w:rsid w:val="00AE7921"/>
    <w:rsid w:val="00AF351E"/>
    <w:rsid w:val="00AF352E"/>
    <w:rsid w:val="00AF3B1A"/>
    <w:rsid w:val="00AF710A"/>
    <w:rsid w:val="00AF760E"/>
    <w:rsid w:val="00B006C6"/>
    <w:rsid w:val="00B01B83"/>
    <w:rsid w:val="00B029BD"/>
    <w:rsid w:val="00B038D6"/>
    <w:rsid w:val="00B03DDA"/>
    <w:rsid w:val="00B04085"/>
    <w:rsid w:val="00B06879"/>
    <w:rsid w:val="00B10229"/>
    <w:rsid w:val="00B10462"/>
    <w:rsid w:val="00B10BE5"/>
    <w:rsid w:val="00B14E3D"/>
    <w:rsid w:val="00B155DC"/>
    <w:rsid w:val="00B16E3B"/>
    <w:rsid w:val="00B16E7E"/>
    <w:rsid w:val="00B250D0"/>
    <w:rsid w:val="00B25B25"/>
    <w:rsid w:val="00B26468"/>
    <w:rsid w:val="00B2743D"/>
    <w:rsid w:val="00B27E06"/>
    <w:rsid w:val="00B30772"/>
    <w:rsid w:val="00B312E4"/>
    <w:rsid w:val="00B34AAD"/>
    <w:rsid w:val="00B356DF"/>
    <w:rsid w:val="00B36253"/>
    <w:rsid w:val="00B36B37"/>
    <w:rsid w:val="00B413EA"/>
    <w:rsid w:val="00B42170"/>
    <w:rsid w:val="00B443FB"/>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C99"/>
    <w:rsid w:val="00B70493"/>
    <w:rsid w:val="00B7238B"/>
    <w:rsid w:val="00B739FE"/>
    <w:rsid w:val="00B751E5"/>
    <w:rsid w:val="00B758FA"/>
    <w:rsid w:val="00B75EE7"/>
    <w:rsid w:val="00B75FDB"/>
    <w:rsid w:val="00B76BF3"/>
    <w:rsid w:val="00B77063"/>
    <w:rsid w:val="00B77EC4"/>
    <w:rsid w:val="00B81473"/>
    <w:rsid w:val="00B82342"/>
    <w:rsid w:val="00B83209"/>
    <w:rsid w:val="00B840B2"/>
    <w:rsid w:val="00B846D8"/>
    <w:rsid w:val="00B85233"/>
    <w:rsid w:val="00B85C20"/>
    <w:rsid w:val="00B8686B"/>
    <w:rsid w:val="00B94233"/>
    <w:rsid w:val="00B945D8"/>
    <w:rsid w:val="00B950A2"/>
    <w:rsid w:val="00B955B0"/>
    <w:rsid w:val="00B96A08"/>
    <w:rsid w:val="00B9736D"/>
    <w:rsid w:val="00BA0D86"/>
    <w:rsid w:val="00BA16C2"/>
    <w:rsid w:val="00BA1B8E"/>
    <w:rsid w:val="00BA46A2"/>
    <w:rsid w:val="00BA547E"/>
    <w:rsid w:val="00BA56C8"/>
    <w:rsid w:val="00BA632B"/>
    <w:rsid w:val="00BA66AC"/>
    <w:rsid w:val="00BB2FB0"/>
    <w:rsid w:val="00BB3C02"/>
    <w:rsid w:val="00BB3D2C"/>
    <w:rsid w:val="00BB4B11"/>
    <w:rsid w:val="00BB76F9"/>
    <w:rsid w:val="00BC07B0"/>
    <w:rsid w:val="00BC1211"/>
    <w:rsid w:val="00BC1F0A"/>
    <w:rsid w:val="00BC2541"/>
    <w:rsid w:val="00BC282A"/>
    <w:rsid w:val="00BC29CF"/>
    <w:rsid w:val="00BC2E50"/>
    <w:rsid w:val="00BC44B5"/>
    <w:rsid w:val="00BC6497"/>
    <w:rsid w:val="00BC71BD"/>
    <w:rsid w:val="00BC77C2"/>
    <w:rsid w:val="00BD03E9"/>
    <w:rsid w:val="00BD184B"/>
    <w:rsid w:val="00BD53F3"/>
    <w:rsid w:val="00BD6703"/>
    <w:rsid w:val="00BD67BF"/>
    <w:rsid w:val="00BE0326"/>
    <w:rsid w:val="00BE23F0"/>
    <w:rsid w:val="00BE2FC1"/>
    <w:rsid w:val="00BE38A5"/>
    <w:rsid w:val="00BE4896"/>
    <w:rsid w:val="00BE4898"/>
    <w:rsid w:val="00BE5A2A"/>
    <w:rsid w:val="00BE6AD6"/>
    <w:rsid w:val="00BE7F3F"/>
    <w:rsid w:val="00BF04B2"/>
    <w:rsid w:val="00BF2382"/>
    <w:rsid w:val="00BF2FA5"/>
    <w:rsid w:val="00BF434F"/>
    <w:rsid w:val="00BF7A2B"/>
    <w:rsid w:val="00C01316"/>
    <w:rsid w:val="00C01691"/>
    <w:rsid w:val="00C035B0"/>
    <w:rsid w:val="00C0400C"/>
    <w:rsid w:val="00C055C5"/>
    <w:rsid w:val="00C05838"/>
    <w:rsid w:val="00C0657A"/>
    <w:rsid w:val="00C0681A"/>
    <w:rsid w:val="00C06CCC"/>
    <w:rsid w:val="00C1281F"/>
    <w:rsid w:val="00C13B68"/>
    <w:rsid w:val="00C153FD"/>
    <w:rsid w:val="00C15DF8"/>
    <w:rsid w:val="00C2054E"/>
    <w:rsid w:val="00C24754"/>
    <w:rsid w:val="00C248AE"/>
    <w:rsid w:val="00C261ED"/>
    <w:rsid w:val="00C26C72"/>
    <w:rsid w:val="00C27961"/>
    <w:rsid w:val="00C3048B"/>
    <w:rsid w:val="00C32059"/>
    <w:rsid w:val="00C343A3"/>
    <w:rsid w:val="00C34F13"/>
    <w:rsid w:val="00C4141E"/>
    <w:rsid w:val="00C41C9B"/>
    <w:rsid w:val="00C42174"/>
    <w:rsid w:val="00C42D38"/>
    <w:rsid w:val="00C45BC3"/>
    <w:rsid w:val="00C47163"/>
    <w:rsid w:val="00C47D7B"/>
    <w:rsid w:val="00C5035E"/>
    <w:rsid w:val="00C5201B"/>
    <w:rsid w:val="00C52B23"/>
    <w:rsid w:val="00C53837"/>
    <w:rsid w:val="00C575BC"/>
    <w:rsid w:val="00C576F7"/>
    <w:rsid w:val="00C66863"/>
    <w:rsid w:val="00C730E7"/>
    <w:rsid w:val="00C7352B"/>
    <w:rsid w:val="00C743C7"/>
    <w:rsid w:val="00C758D7"/>
    <w:rsid w:val="00C77A52"/>
    <w:rsid w:val="00C81B27"/>
    <w:rsid w:val="00C81E3A"/>
    <w:rsid w:val="00C825F4"/>
    <w:rsid w:val="00C82D9B"/>
    <w:rsid w:val="00C83872"/>
    <w:rsid w:val="00C83BF7"/>
    <w:rsid w:val="00C85251"/>
    <w:rsid w:val="00C8630F"/>
    <w:rsid w:val="00C87EB7"/>
    <w:rsid w:val="00C91DAD"/>
    <w:rsid w:val="00C9246A"/>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553"/>
    <w:rsid w:val="00CB2A24"/>
    <w:rsid w:val="00CB39A5"/>
    <w:rsid w:val="00CB3C98"/>
    <w:rsid w:val="00CB4C40"/>
    <w:rsid w:val="00CB579F"/>
    <w:rsid w:val="00CC0853"/>
    <w:rsid w:val="00CC166A"/>
    <w:rsid w:val="00CC1E84"/>
    <w:rsid w:val="00CC2D15"/>
    <w:rsid w:val="00CC4DDE"/>
    <w:rsid w:val="00CC7E8D"/>
    <w:rsid w:val="00CD0CEC"/>
    <w:rsid w:val="00CD3EA4"/>
    <w:rsid w:val="00CD4E4F"/>
    <w:rsid w:val="00CD5C6E"/>
    <w:rsid w:val="00CD72D2"/>
    <w:rsid w:val="00CE049A"/>
    <w:rsid w:val="00CE24D7"/>
    <w:rsid w:val="00CE3AED"/>
    <w:rsid w:val="00CE7473"/>
    <w:rsid w:val="00CE75DE"/>
    <w:rsid w:val="00CF0522"/>
    <w:rsid w:val="00CF162C"/>
    <w:rsid w:val="00CF52DB"/>
    <w:rsid w:val="00CF5FDD"/>
    <w:rsid w:val="00CF62E8"/>
    <w:rsid w:val="00CF7CE9"/>
    <w:rsid w:val="00D02B34"/>
    <w:rsid w:val="00D03E82"/>
    <w:rsid w:val="00D07674"/>
    <w:rsid w:val="00D10199"/>
    <w:rsid w:val="00D11021"/>
    <w:rsid w:val="00D110FF"/>
    <w:rsid w:val="00D124CA"/>
    <w:rsid w:val="00D14450"/>
    <w:rsid w:val="00D14BA5"/>
    <w:rsid w:val="00D1581E"/>
    <w:rsid w:val="00D15D58"/>
    <w:rsid w:val="00D17530"/>
    <w:rsid w:val="00D20057"/>
    <w:rsid w:val="00D208DB"/>
    <w:rsid w:val="00D21366"/>
    <w:rsid w:val="00D22B00"/>
    <w:rsid w:val="00D22DC8"/>
    <w:rsid w:val="00D232CC"/>
    <w:rsid w:val="00D262A5"/>
    <w:rsid w:val="00D27190"/>
    <w:rsid w:val="00D274ED"/>
    <w:rsid w:val="00D300E4"/>
    <w:rsid w:val="00D3174D"/>
    <w:rsid w:val="00D31D63"/>
    <w:rsid w:val="00D32007"/>
    <w:rsid w:val="00D33AF0"/>
    <w:rsid w:val="00D351BB"/>
    <w:rsid w:val="00D3623E"/>
    <w:rsid w:val="00D37A6B"/>
    <w:rsid w:val="00D37D3E"/>
    <w:rsid w:val="00D40782"/>
    <w:rsid w:val="00D41456"/>
    <w:rsid w:val="00D41946"/>
    <w:rsid w:val="00D43209"/>
    <w:rsid w:val="00D44D43"/>
    <w:rsid w:val="00D451C8"/>
    <w:rsid w:val="00D4523F"/>
    <w:rsid w:val="00D45669"/>
    <w:rsid w:val="00D47C70"/>
    <w:rsid w:val="00D51D75"/>
    <w:rsid w:val="00D53115"/>
    <w:rsid w:val="00D54587"/>
    <w:rsid w:val="00D559E2"/>
    <w:rsid w:val="00D61B4D"/>
    <w:rsid w:val="00D624B5"/>
    <w:rsid w:val="00D663AE"/>
    <w:rsid w:val="00D6687A"/>
    <w:rsid w:val="00D674F1"/>
    <w:rsid w:val="00D70963"/>
    <w:rsid w:val="00D7183B"/>
    <w:rsid w:val="00D7243A"/>
    <w:rsid w:val="00D73BB1"/>
    <w:rsid w:val="00D742DF"/>
    <w:rsid w:val="00D747F8"/>
    <w:rsid w:val="00D74862"/>
    <w:rsid w:val="00D75ECD"/>
    <w:rsid w:val="00D775F1"/>
    <w:rsid w:val="00D81174"/>
    <w:rsid w:val="00D81C3C"/>
    <w:rsid w:val="00D832ED"/>
    <w:rsid w:val="00D83EC4"/>
    <w:rsid w:val="00D83F0B"/>
    <w:rsid w:val="00D84081"/>
    <w:rsid w:val="00D848B5"/>
    <w:rsid w:val="00D868DE"/>
    <w:rsid w:val="00D91F87"/>
    <w:rsid w:val="00D925D4"/>
    <w:rsid w:val="00D92AB7"/>
    <w:rsid w:val="00D934AF"/>
    <w:rsid w:val="00D93554"/>
    <w:rsid w:val="00D97CFA"/>
    <w:rsid w:val="00DA2A01"/>
    <w:rsid w:val="00DA338D"/>
    <w:rsid w:val="00DA49A3"/>
    <w:rsid w:val="00DA5578"/>
    <w:rsid w:val="00DB1A87"/>
    <w:rsid w:val="00DB1F86"/>
    <w:rsid w:val="00DB20C9"/>
    <w:rsid w:val="00DB2C37"/>
    <w:rsid w:val="00DB3405"/>
    <w:rsid w:val="00DB5A25"/>
    <w:rsid w:val="00DB6F26"/>
    <w:rsid w:val="00DC0194"/>
    <w:rsid w:val="00DC1CF0"/>
    <w:rsid w:val="00DC36A3"/>
    <w:rsid w:val="00DC719B"/>
    <w:rsid w:val="00DC731F"/>
    <w:rsid w:val="00DD0BC2"/>
    <w:rsid w:val="00DD22B5"/>
    <w:rsid w:val="00DD2336"/>
    <w:rsid w:val="00DD33AA"/>
    <w:rsid w:val="00DD4A6F"/>
    <w:rsid w:val="00DD73FF"/>
    <w:rsid w:val="00DD7460"/>
    <w:rsid w:val="00DE3A3D"/>
    <w:rsid w:val="00DE42B9"/>
    <w:rsid w:val="00DE4D9D"/>
    <w:rsid w:val="00DE5A41"/>
    <w:rsid w:val="00DE76FC"/>
    <w:rsid w:val="00DF07BE"/>
    <w:rsid w:val="00DF1E0B"/>
    <w:rsid w:val="00DF728E"/>
    <w:rsid w:val="00E00471"/>
    <w:rsid w:val="00E013ED"/>
    <w:rsid w:val="00E01935"/>
    <w:rsid w:val="00E0310E"/>
    <w:rsid w:val="00E0374C"/>
    <w:rsid w:val="00E0533D"/>
    <w:rsid w:val="00E05822"/>
    <w:rsid w:val="00E06253"/>
    <w:rsid w:val="00E063E0"/>
    <w:rsid w:val="00E06CB7"/>
    <w:rsid w:val="00E10682"/>
    <w:rsid w:val="00E106F7"/>
    <w:rsid w:val="00E10784"/>
    <w:rsid w:val="00E1309F"/>
    <w:rsid w:val="00E149A0"/>
    <w:rsid w:val="00E14E17"/>
    <w:rsid w:val="00E15C61"/>
    <w:rsid w:val="00E16ABE"/>
    <w:rsid w:val="00E17A35"/>
    <w:rsid w:val="00E23A76"/>
    <w:rsid w:val="00E26120"/>
    <w:rsid w:val="00E274EB"/>
    <w:rsid w:val="00E27C3A"/>
    <w:rsid w:val="00E41CE8"/>
    <w:rsid w:val="00E4434F"/>
    <w:rsid w:val="00E44456"/>
    <w:rsid w:val="00E449E8"/>
    <w:rsid w:val="00E47AD1"/>
    <w:rsid w:val="00E50589"/>
    <w:rsid w:val="00E522DB"/>
    <w:rsid w:val="00E53FDD"/>
    <w:rsid w:val="00E55E73"/>
    <w:rsid w:val="00E57B28"/>
    <w:rsid w:val="00E60C6E"/>
    <w:rsid w:val="00E65180"/>
    <w:rsid w:val="00E65FF4"/>
    <w:rsid w:val="00E66C60"/>
    <w:rsid w:val="00E7010B"/>
    <w:rsid w:val="00E71DDF"/>
    <w:rsid w:val="00E72BA4"/>
    <w:rsid w:val="00E749F3"/>
    <w:rsid w:val="00E75784"/>
    <w:rsid w:val="00E7653B"/>
    <w:rsid w:val="00E8007A"/>
    <w:rsid w:val="00E82718"/>
    <w:rsid w:val="00E83E53"/>
    <w:rsid w:val="00E853D2"/>
    <w:rsid w:val="00E86DB4"/>
    <w:rsid w:val="00E8726C"/>
    <w:rsid w:val="00E8757A"/>
    <w:rsid w:val="00E9021C"/>
    <w:rsid w:val="00E91D15"/>
    <w:rsid w:val="00E93C0A"/>
    <w:rsid w:val="00E95B21"/>
    <w:rsid w:val="00E974C0"/>
    <w:rsid w:val="00E97EDA"/>
    <w:rsid w:val="00EA0425"/>
    <w:rsid w:val="00EA093B"/>
    <w:rsid w:val="00EA1D5A"/>
    <w:rsid w:val="00EA26D9"/>
    <w:rsid w:val="00EA3106"/>
    <w:rsid w:val="00EA49C0"/>
    <w:rsid w:val="00EA5491"/>
    <w:rsid w:val="00EA5CB6"/>
    <w:rsid w:val="00EA6BC8"/>
    <w:rsid w:val="00EA748E"/>
    <w:rsid w:val="00EA7B76"/>
    <w:rsid w:val="00EA7B82"/>
    <w:rsid w:val="00EB1A48"/>
    <w:rsid w:val="00EB326F"/>
    <w:rsid w:val="00EB5BB8"/>
    <w:rsid w:val="00EB7AA9"/>
    <w:rsid w:val="00EC07E6"/>
    <w:rsid w:val="00EC1B4B"/>
    <w:rsid w:val="00EC2C09"/>
    <w:rsid w:val="00EC2F97"/>
    <w:rsid w:val="00EC30C6"/>
    <w:rsid w:val="00EC39E1"/>
    <w:rsid w:val="00EC6AD2"/>
    <w:rsid w:val="00EC7891"/>
    <w:rsid w:val="00EC7B32"/>
    <w:rsid w:val="00ED0D8E"/>
    <w:rsid w:val="00ED3747"/>
    <w:rsid w:val="00ED41FC"/>
    <w:rsid w:val="00ED6942"/>
    <w:rsid w:val="00EE00ED"/>
    <w:rsid w:val="00EE4FCA"/>
    <w:rsid w:val="00EE7C89"/>
    <w:rsid w:val="00EF25FF"/>
    <w:rsid w:val="00EF3A27"/>
    <w:rsid w:val="00EF4DDA"/>
    <w:rsid w:val="00EF4E60"/>
    <w:rsid w:val="00F00A5A"/>
    <w:rsid w:val="00F015B2"/>
    <w:rsid w:val="00F05BC6"/>
    <w:rsid w:val="00F0624D"/>
    <w:rsid w:val="00F064C9"/>
    <w:rsid w:val="00F11A30"/>
    <w:rsid w:val="00F15115"/>
    <w:rsid w:val="00F1533F"/>
    <w:rsid w:val="00F160D5"/>
    <w:rsid w:val="00F202A6"/>
    <w:rsid w:val="00F221D2"/>
    <w:rsid w:val="00F23AD9"/>
    <w:rsid w:val="00F25157"/>
    <w:rsid w:val="00F263BB"/>
    <w:rsid w:val="00F306E9"/>
    <w:rsid w:val="00F311FC"/>
    <w:rsid w:val="00F32237"/>
    <w:rsid w:val="00F33480"/>
    <w:rsid w:val="00F34133"/>
    <w:rsid w:val="00F35065"/>
    <w:rsid w:val="00F35568"/>
    <w:rsid w:val="00F3787F"/>
    <w:rsid w:val="00F40684"/>
    <w:rsid w:val="00F4131C"/>
    <w:rsid w:val="00F47E2C"/>
    <w:rsid w:val="00F50FE6"/>
    <w:rsid w:val="00F51720"/>
    <w:rsid w:val="00F52306"/>
    <w:rsid w:val="00F548D5"/>
    <w:rsid w:val="00F548E5"/>
    <w:rsid w:val="00F5532C"/>
    <w:rsid w:val="00F553F4"/>
    <w:rsid w:val="00F56893"/>
    <w:rsid w:val="00F57988"/>
    <w:rsid w:val="00F57D38"/>
    <w:rsid w:val="00F60AED"/>
    <w:rsid w:val="00F61CE4"/>
    <w:rsid w:val="00F630CE"/>
    <w:rsid w:val="00F636A9"/>
    <w:rsid w:val="00F70466"/>
    <w:rsid w:val="00F70553"/>
    <w:rsid w:val="00F72AFC"/>
    <w:rsid w:val="00F73C99"/>
    <w:rsid w:val="00F74790"/>
    <w:rsid w:val="00F759FC"/>
    <w:rsid w:val="00F75F55"/>
    <w:rsid w:val="00F76441"/>
    <w:rsid w:val="00F8102E"/>
    <w:rsid w:val="00F854D2"/>
    <w:rsid w:val="00F860BC"/>
    <w:rsid w:val="00F878FF"/>
    <w:rsid w:val="00F909D8"/>
    <w:rsid w:val="00F9171D"/>
    <w:rsid w:val="00F920B3"/>
    <w:rsid w:val="00F93AF6"/>
    <w:rsid w:val="00F95DA2"/>
    <w:rsid w:val="00F97DE4"/>
    <w:rsid w:val="00FA07D1"/>
    <w:rsid w:val="00FA0FB9"/>
    <w:rsid w:val="00FA1C82"/>
    <w:rsid w:val="00FA4EF9"/>
    <w:rsid w:val="00FA50C0"/>
    <w:rsid w:val="00FA5BFD"/>
    <w:rsid w:val="00FA679A"/>
    <w:rsid w:val="00FA7C6E"/>
    <w:rsid w:val="00FB02A3"/>
    <w:rsid w:val="00FB42AF"/>
    <w:rsid w:val="00FB4AD8"/>
    <w:rsid w:val="00FB4C8E"/>
    <w:rsid w:val="00FB6B8C"/>
    <w:rsid w:val="00FB6E23"/>
    <w:rsid w:val="00FB7B83"/>
    <w:rsid w:val="00FC04F1"/>
    <w:rsid w:val="00FC0DAC"/>
    <w:rsid w:val="00FC1BDC"/>
    <w:rsid w:val="00FC1C89"/>
    <w:rsid w:val="00FC1E5F"/>
    <w:rsid w:val="00FC2ABE"/>
    <w:rsid w:val="00FC2C05"/>
    <w:rsid w:val="00FC4343"/>
    <w:rsid w:val="00FC4386"/>
    <w:rsid w:val="00FC5A37"/>
    <w:rsid w:val="00FD3680"/>
    <w:rsid w:val="00FD4863"/>
    <w:rsid w:val="00FD492A"/>
    <w:rsid w:val="00FD4DDE"/>
    <w:rsid w:val="00FD558A"/>
    <w:rsid w:val="00FD5753"/>
    <w:rsid w:val="00FE0AE5"/>
    <w:rsid w:val="00FE2AF9"/>
    <w:rsid w:val="00FE2BCA"/>
    <w:rsid w:val="00FE2D40"/>
    <w:rsid w:val="00FE5D7D"/>
    <w:rsid w:val="00FE5EE4"/>
    <w:rsid w:val="00FE648C"/>
    <w:rsid w:val="00FE6FE1"/>
    <w:rsid w:val="00FE72C1"/>
    <w:rsid w:val="00FE7FC6"/>
    <w:rsid w:val="00FF128A"/>
    <w:rsid w:val="00FF28BB"/>
    <w:rsid w:val="00FF3012"/>
    <w:rsid w:val="00FF3163"/>
    <w:rsid w:val="00FF42CA"/>
    <w:rsid w:val="00FF4691"/>
    <w:rsid w:val="00FF4F80"/>
    <w:rsid w:val="00FF51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7CA7"/>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ar"/>
    <w:basedOn w:val="Normal"/>
    <w:link w:val="FootnoteTextChar"/>
    <w:uiPriority w:val="99"/>
    <w:semiHidden/>
    <w:unhideWhenUsed/>
    <w:qFormat/>
    <w:rsid w:val="00E974C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semiHidden/>
    <w:rsid w:val="00E974C0"/>
    <w:rPr>
      <w:sz w:val="20"/>
      <w:szCs w:val="20"/>
      <w:lang w:val="en-GB"/>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Style 12,Heading 6 Char1"/>
    <w:basedOn w:val="DefaultParagraphFont"/>
    <w:uiPriority w:val="99"/>
    <w:semiHidden/>
    <w:unhideWhenUsed/>
    <w:qFormat/>
    <w:rsid w:val="00E974C0"/>
    <w:rPr>
      <w:vertAlign w:val="superscript"/>
    </w:rPr>
  </w:style>
  <w:style w:type="character" w:styleId="Hyperlink">
    <w:name w:val="Hyperlink"/>
    <w:basedOn w:val="DefaultParagraphFont"/>
    <w:uiPriority w:val="99"/>
    <w:semiHidden/>
    <w:unhideWhenUsed/>
    <w:rsid w:val="00A510DF"/>
    <w:rPr>
      <w:color w:val="0000FF"/>
      <w:u w:val="single"/>
    </w:rPr>
  </w:style>
  <w:style w:type="paragraph" w:styleId="NormalWeb">
    <w:name w:val="Normal (Web)"/>
    <w:basedOn w:val="Normal"/>
    <w:uiPriority w:val="99"/>
    <w:semiHidden/>
    <w:unhideWhenUsed/>
    <w:rsid w:val="00A510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1757">
      <w:bodyDiv w:val="1"/>
      <w:marLeft w:val="0"/>
      <w:marRight w:val="0"/>
      <w:marTop w:val="0"/>
      <w:marBottom w:val="0"/>
      <w:divBdr>
        <w:top w:val="none" w:sz="0" w:space="0" w:color="auto"/>
        <w:left w:val="none" w:sz="0" w:space="0" w:color="auto"/>
        <w:bottom w:val="none" w:sz="0" w:space="0" w:color="auto"/>
        <w:right w:val="none" w:sz="0" w:space="0" w:color="auto"/>
      </w:divBdr>
    </w:div>
    <w:div w:id="10501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25y2002%27%5d&amp;xhitlist_md=target-id=0-0-0-41059"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56y1996%27%5d&amp;xhitlist_md=target-id=0-0-0-565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9E3E-FBC3-4F41-970A-4009DDCB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Mokone</cp:lastModifiedBy>
  <cp:revision>3</cp:revision>
  <cp:lastPrinted>2023-05-29T10:29:00Z</cp:lastPrinted>
  <dcterms:created xsi:type="dcterms:W3CDTF">2023-06-02T06:59:00Z</dcterms:created>
  <dcterms:modified xsi:type="dcterms:W3CDTF">2023-06-02T06:59:00Z</dcterms:modified>
</cp:coreProperties>
</file>