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78DDE" w14:textId="77777777" w:rsidR="00D169AD" w:rsidRPr="00232D3B" w:rsidRDefault="00D169AD" w:rsidP="00282F3F">
      <w:pPr>
        <w:spacing w:after="0" w:line="360" w:lineRule="auto"/>
        <w:jc w:val="center"/>
        <w:rPr>
          <w:rFonts w:ascii="Times New Roman" w:hAnsi="Times New Roman" w:cs="Times New Roman"/>
          <w:b/>
          <w:sz w:val="24"/>
          <w:szCs w:val="24"/>
        </w:rPr>
      </w:pPr>
      <w:bookmarkStart w:id="0" w:name="_GoBack"/>
      <w:bookmarkEnd w:id="0"/>
      <w:r w:rsidRPr="00232D3B">
        <w:rPr>
          <w:rFonts w:ascii="Times New Roman" w:hAnsi="Times New Roman" w:cs="Times New Roman"/>
          <w:noProof/>
          <w:sz w:val="24"/>
          <w:szCs w:val="24"/>
          <w:lang w:val="en-US"/>
        </w:rPr>
        <w:drawing>
          <wp:inline distT="0" distB="0" distL="0" distR="0" wp14:anchorId="76BA1563" wp14:editId="5BD36987">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03CA3613" w14:textId="77777777" w:rsidR="00D169AD" w:rsidRPr="00232D3B" w:rsidRDefault="00D169AD" w:rsidP="00282F3F">
      <w:pPr>
        <w:spacing w:after="0" w:line="360" w:lineRule="auto"/>
        <w:jc w:val="center"/>
        <w:rPr>
          <w:rFonts w:ascii="Arial" w:hAnsi="Arial" w:cs="Arial"/>
          <w:b/>
          <w:sz w:val="24"/>
          <w:szCs w:val="24"/>
        </w:rPr>
      </w:pPr>
      <w:r w:rsidRPr="00232D3B">
        <w:rPr>
          <w:rFonts w:ascii="Arial" w:hAnsi="Arial" w:cs="Arial"/>
          <w:b/>
          <w:sz w:val="24"/>
          <w:szCs w:val="24"/>
        </w:rPr>
        <w:t>IN THE HIGH COURT OF SOUTH AFRICA</w:t>
      </w:r>
    </w:p>
    <w:p w14:paraId="7F8921C2" w14:textId="77777777" w:rsidR="00D169AD" w:rsidRPr="00232D3B" w:rsidRDefault="00D169AD" w:rsidP="00282F3F">
      <w:pPr>
        <w:spacing w:after="0" w:line="360" w:lineRule="auto"/>
        <w:jc w:val="center"/>
        <w:rPr>
          <w:rFonts w:ascii="Arial" w:hAnsi="Arial" w:cs="Arial"/>
          <w:b/>
          <w:sz w:val="24"/>
          <w:szCs w:val="24"/>
        </w:rPr>
      </w:pPr>
      <w:r w:rsidRPr="00232D3B">
        <w:rPr>
          <w:rFonts w:ascii="Arial" w:hAnsi="Arial" w:cs="Arial"/>
          <w:b/>
          <w:sz w:val="24"/>
          <w:szCs w:val="24"/>
        </w:rPr>
        <w:t>(EASTERN CAPE DIVISION, BHISHO)</w:t>
      </w:r>
    </w:p>
    <w:p w14:paraId="4AE10BC8" w14:textId="77777777" w:rsidR="00282F3F" w:rsidRPr="00232D3B" w:rsidRDefault="00282F3F" w:rsidP="00282F3F">
      <w:pPr>
        <w:spacing w:after="0" w:line="360" w:lineRule="auto"/>
        <w:jc w:val="center"/>
        <w:rPr>
          <w:rFonts w:ascii="Arial" w:hAnsi="Arial" w:cs="Arial"/>
          <w:b/>
          <w:sz w:val="24"/>
          <w:szCs w:val="24"/>
        </w:rPr>
      </w:pPr>
    </w:p>
    <w:p w14:paraId="368DDEAF" w14:textId="77777777" w:rsidR="00D169AD" w:rsidRPr="00232D3B" w:rsidRDefault="00612092" w:rsidP="0055599A">
      <w:pPr>
        <w:tabs>
          <w:tab w:val="left" w:pos="810"/>
        </w:tabs>
        <w:spacing w:after="0" w:line="360" w:lineRule="auto"/>
        <w:jc w:val="right"/>
        <w:rPr>
          <w:rFonts w:ascii="Arial" w:hAnsi="Arial" w:cs="Arial"/>
          <w:sz w:val="24"/>
          <w:szCs w:val="24"/>
        </w:rPr>
      </w:pPr>
      <w:r w:rsidRPr="00232D3B">
        <w:rPr>
          <w:rFonts w:ascii="Arial" w:hAnsi="Arial" w:cs="Arial"/>
          <w:sz w:val="24"/>
          <w:szCs w:val="24"/>
        </w:rPr>
        <w:t xml:space="preserve">Case </w:t>
      </w:r>
      <w:r w:rsidR="00A5338C" w:rsidRPr="00232D3B">
        <w:rPr>
          <w:rFonts w:ascii="Arial" w:hAnsi="Arial" w:cs="Arial"/>
          <w:sz w:val="24"/>
          <w:szCs w:val="24"/>
        </w:rPr>
        <w:t>N</w:t>
      </w:r>
      <w:r w:rsidRPr="00232D3B">
        <w:rPr>
          <w:rFonts w:ascii="Arial" w:hAnsi="Arial" w:cs="Arial"/>
          <w:sz w:val="24"/>
          <w:szCs w:val="24"/>
        </w:rPr>
        <w:t>o</w:t>
      </w:r>
      <w:r w:rsidR="00D169AD" w:rsidRPr="00232D3B">
        <w:rPr>
          <w:rFonts w:ascii="Arial" w:hAnsi="Arial" w:cs="Arial"/>
          <w:sz w:val="24"/>
          <w:szCs w:val="24"/>
        </w:rPr>
        <w:t>: 367/2017</w:t>
      </w:r>
    </w:p>
    <w:p w14:paraId="7BA4B00B" w14:textId="77777777" w:rsidR="00D169AD" w:rsidRPr="00232D3B" w:rsidRDefault="00D169AD" w:rsidP="0055599A">
      <w:pPr>
        <w:spacing w:after="0" w:line="360" w:lineRule="auto"/>
        <w:jc w:val="both"/>
        <w:rPr>
          <w:rFonts w:ascii="Arial" w:hAnsi="Arial" w:cs="Arial"/>
          <w:b/>
          <w:sz w:val="24"/>
          <w:szCs w:val="24"/>
        </w:rPr>
      </w:pPr>
    </w:p>
    <w:p w14:paraId="78029958" w14:textId="77777777" w:rsidR="00D169AD" w:rsidRPr="00232D3B" w:rsidRDefault="00D169AD" w:rsidP="00282F3F">
      <w:pPr>
        <w:spacing w:after="0" w:line="360" w:lineRule="auto"/>
        <w:jc w:val="both"/>
        <w:rPr>
          <w:rFonts w:ascii="Arial" w:hAnsi="Arial" w:cs="Arial"/>
          <w:sz w:val="24"/>
          <w:szCs w:val="24"/>
        </w:rPr>
      </w:pPr>
      <w:r w:rsidRPr="00232D3B">
        <w:rPr>
          <w:rFonts w:ascii="Arial" w:hAnsi="Arial" w:cs="Arial"/>
          <w:sz w:val="24"/>
          <w:szCs w:val="24"/>
        </w:rPr>
        <w:t>In the matter between:</w:t>
      </w:r>
    </w:p>
    <w:p w14:paraId="16C1AED8" w14:textId="77777777" w:rsidR="00D169AD" w:rsidRPr="00232D3B" w:rsidRDefault="00D169AD" w:rsidP="00282F3F">
      <w:pPr>
        <w:spacing w:after="0" w:line="360" w:lineRule="auto"/>
        <w:jc w:val="both"/>
        <w:rPr>
          <w:rFonts w:ascii="Arial" w:hAnsi="Arial" w:cs="Arial"/>
          <w:sz w:val="24"/>
          <w:szCs w:val="24"/>
        </w:rPr>
      </w:pPr>
    </w:p>
    <w:p w14:paraId="1F5D6146" w14:textId="77777777" w:rsidR="00D169AD" w:rsidRPr="00232D3B" w:rsidRDefault="00D169AD" w:rsidP="0055599A">
      <w:pPr>
        <w:tabs>
          <w:tab w:val="left" w:pos="810"/>
        </w:tabs>
        <w:spacing w:after="0" w:line="360" w:lineRule="auto"/>
        <w:jc w:val="both"/>
        <w:rPr>
          <w:rFonts w:ascii="Arial" w:hAnsi="Arial" w:cs="Arial"/>
          <w:b/>
          <w:sz w:val="24"/>
          <w:szCs w:val="24"/>
        </w:rPr>
      </w:pPr>
      <w:r w:rsidRPr="00232D3B">
        <w:rPr>
          <w:rFonts w:ascii="Arial" w:hAnsi="Arial" w:cs="Arial"/>
          <w:b/>
          <w:sz w:val="24"/>
          <w:szCs w:val="24"/>
        </w:rPr>
        <w:t>MEMBER OF THE EXECUTIVE COUNCIL FOR HEALTH,</w:t>
      </w:r>
    </w:p>
    <w:p w14:paraId="5C6974DF" w14:textId="77777777" w:rsidR="00D169AD" w:rsidRPr="00232D3B" w:rsidRDefault="00641E48" w:rsidP="0055599A">
      <w:pPr>
        <w:tabs>
          <w:tab w:val="left" w:pos="810"/>
        </w:tabs>
        <w:spacing w:after="0" w:line="360" w:lineRule="auto"/>
        <w:jc w:val="both"/>
        <w:rPr>
          <w:rFonts w:ascii="Arial" w:hAnsi="Arial" w:cs="Arial"/>
          <w:sz w:val="24"/>
          <w:szCs w:val="24"/>
        </w:rPr>
      </w:pPr>
      <w:r w:rsidRPr="00232D3B">
        <w:rPr>
          <w:rFonts w:ascii="Arial" w:hAnsi="Arial" w:cs="Arial"/>
          <w:b/>
          <w:sz w:val="24"/>
          <w:szCs w:val="24"/>
        </w:rPr>
        <w:t>EASTERN CAPE PROVINCE</w:t>
      </w:r>
      <w:r w:rsidRPr="00232D3B">
        <w:rPr>
          <w:rFonts w:ascii="Arial" w:hAnsi="Arial" w:cs="Arial"/>
          <w:b/>
          <w:sz w:val="24"/>
          <w:szCs w:val="24"/>
        </w:rPr>
        <w:tab/>
      </w:r>
      <w:r w:rsidRPr="00232D3B">
        <w:rPr>
          <w:rFonts w:ascii="Arial" w:hAnsi="Arial" w:cs="Arial"/>
          <w:b/>
          <w:sz w:val="24"/>
          <w:szCs w:val="24"/>
        </w:rPr>
        <w:tab/>
      </w:r>
      <w:r w:rsidRPr="00232D3B">
        <w:rPr>
          <w:rFonts w:ascii="Arial" w:hAnsi="Arial" w:cs="Arial"/>
          <w:b/>
          <w:sz w:val="24"/>
          <w:szCs w:val="24"/>
        </w:rPr>
        <w:tab/>
      </w:r>
      <w:r w:rsidRPr="00232D3B">
        <w:rPr>
          <w:rFonts w:ascii="Arial" w:hAnsi="Arial" w:cs="Arial"/>
          <w:b/>
          <w:sz w:val="24"/>
          <w:szCs w:val="24"/>
        </w:rPr>
        <w:tab/>
      </w:r>
      <w:r w:rsidRPr="00232D3B">
        <w:rPr>
          <w:rFonts w:ascii="Arial" w:hAnsi="Arial" w:cs="Arial"/>
          <w:b/>
          <w:sz w:val="24"/>
          <w:szCs w:val="24"/>
        </w:rPr>
        <w:tab/>
      </w:r>
      <w:r w:rsidRPr="00232D3B">
        <w:rPr>
          <w:rFonts w:ascii="Arial" w:hAnsi="Arial" w:cs="Arial"/>
          <w:b/>
          <w:sz w:val="24"/>
          <w:szCs w:val="24"/>
        </w:rPr>
        <w:tab/>
        <w:t xml:space="preserve">         Appellant</w:t>
      </w:r>
    </w:p>
    <w:p w14:paraId="54B582ED" w14:textId="77777777" w:rsidR="00D169AD" w:rsidRPr="00232D3B" w:rsidRDefault="00D169AD" w:rsidP="0055599A">
      <w:pPr>
        <w:tabs>
          <w:tab w:val="left" w:pos="810"/>
        </w:tabs>
        <w:spacing w:after="0" w:line="360" w:lineRule="auto"/>
        <w:jc w:val="both"/>
        <w:rPr>
          <w:rFonts w:ascii="Arial" w:hAnsi="Arial" w:cs="Arial"/>
          <w:b/>
          <w:sz w:val="24"/>
          <w:szCs w:val="24"/>
        </w:rPr>
      </w:pPr>
    </w:p>
    <w:p w14:paraId="526C97DC" w14:textId="77777777" w:rsidR="00D169AD" w:rsidRPr="00232D3B" w:rsidRDefault="00282F3F" w:rsidP="00282F3F">
      <w:pPr>
        <w:tabs>
          <w:tab w:val="left" w:pos="810"/>
        </w:tabs>
        <w:spacing w:after="0" w:line="360" w:lineRule="auto"/>
        <w:jc w:val="both"/>
        <w:rPr>
          <w:rFonts w:ascii="Arial" w:hAnsi="Arial" w:cs="Arial"/>
          <w:sz w:val="24"/>
          <w:szCs w:val="24"/>
        </w:rPr>
      </w:pPr>
      <w:r w:rsidRPr="00232D3B">
        <w:rPr>
          <w:rFonts w:ascii="Arial" w:hAnsi="Arial" w:cs="Arial"/>
          <w:sz w:val="24"/>
          <w:szCs w:val="24"/>
        </w:rPr>
        <w:t>a</w:t>
      </w:r>
      <w:r w:rsidR="00D169AD" w:rsidRPr="00232D3B">
        <w:rPr>
          <w:rFonts w:ascii="Arial" w:hAnsi="Arial" w:cs="Arial"/>
          <w:sz w:val="24"/>
          <w:szCs w:val="24"/>
        </w:rPr>
        <w:t>nd</w:t>
      </w:r>
    </w:p>
    <w:p w14:paraId="2B0AC3FE" w14:textId="77777777" w:rsidR="00282F3F" w:rsidRPr="00232D3B" w:rsidRDefault="00282F3F" w:rsidP="0055599A">
      <w:pPr>
        <w:tabs>
          <w:tab w:val="left" w:pos="810"/>
        </w:tabs>
        <w:spacing w:after="0" w:line="360" w:lineRule="auto"/>
        <w:jc w:val="both"/>
        <w:rPr>
          <w:rFonts w:ascii="Arial" w:hAnsi="Arial" w:cs="Arial"/>
          <w:sz w:val="24"/>
          <w:szCs w:val="24"/>
        </w:rPr>
      </w:pPr>
    </w:p>
    <w:p w14:paraId="570D9E6B" w14:textId="77777777" w:rsidR="00D169AD" w:rsidRPr="00232D3B" w:rsidRDefault="00D169AD" w:rsidP="0055599A">
      <w:pPr>
        <w:tabs>
          <w:tab w:val="left" w:pos="810"/>
          <w:tab w:val="left" w:pos="6405"/>
        </w:tabs>
        <w:spacing w:after="0" w:line="360" w:lineRule="auto"/>
        <w:jc w:val="both"/>
        <w:rPr>
          <w:rFonts w:ascii="Arial" w:hAnsi="Arial" w:cs="Arial"/>
          <w:sz w:val="24"/>
          <w:szCs w:val="24"/>
        </w:rPr>
      </w:pPr>
      <w:r w:rsidRPr="00232D3B">
        <w:rPr>
          <w:rFonts w:ascii="Arial" w:hAnsi="Arial" w:cs="Arial"/>
          <w:b/>
          <w:sz w:val="24"/>
          <w:szCs w:val="24"/>
        </w:rPr>
        <w:t>AKTAR MOUSOMI</w:t>
      </w:r>
      <w:r w:rsidR="00612092" w:rsidRPr="00232D3B">
        <w:rPr>
          <w:rFonts w:ascii="Arial" w:hAnsi="Arial" w:cs="Arial"/>
          <w:b/>
          <w:sz w:val="24"/>
          <w:szCs w:val="24"/>
        </w:rPr>
        <w:tab/>
      </w:r>
      <w:r w:rsidR="00612092" w:rsidRPr="00232D3B">
        <w:rPr>
          <w:rFonts w:ascii="Arial" w:hAnsi="Arial" w:cs="Arial"/>
          <w:b/>
          <w:sz w:val="24"/>
          <w:szCs w:val="24"/>
        </w:rPr>
        <w:tab/>
      </w:r>
      <w:r w:rsidR="00C53CBA" w:rsidRPr="00232D3B">
        <w:rPr>
          <w:rFonts w:ascii="Arial" w:hAnsi="Arial" w:cs="Arial"/>
          <w:b/>
          <w:sz w:val="24"/>
          <w:szCs w:val="24"/>
        </w:rPr>
        <w:tab/>
      </w:r>
      <w:r w:rsidR="00641E48" w:rsidRPr="00232D3B">
        <w:rPr>
          <w:rFonts w:ascii="Arial" w:hAnsi="Arial" w:cs="Arial"/>
          <w:b/>
          <w:sz w:val="24"/>
          <w:szCs w:val="24"/>
        </w:rPr>
        <w:t xml:space="preserve">      Respondent</w:t>
      </w:r>
    </w:p>
    <w:p w14:paraId="40836316" w14:textId="77777777" w:rsidR="00D169AD" w:rsidRPr="00232D3B" w:rsidRDefault="00D169AD" w:rsidP="00282F3F">
      <w:pPr>
        <w:pBdr>
          <w:bottom w:val="single" w:sz="12" w:space="1" w:color="auto"/>
        </w:pBdr>
        <w:spacing w:after="0" w:line="360" w:lineRule="auto"/>
        <w:jc w:val="both"/>
        <w:rPr>
          <w:rFonts w:ascii="Arial" w:hAnsi="Arial" w:cs="Arial"/>
          <w:b/>
          <w:sz w:val="24"/>
          <w:szCs w:val="24"/>
        </w:rPr>
      </w:pPr>
    </w:p>
    <w:p w14:paraId="0B7D1245" w14:textId="77777777" w:rsidR="00D169AD" w:rsidRPr="00232D3B" w:rsidRDefault="00D169AD" w:rsidP="0055599A">
      <w:pPr>
        <w:spacing w:after="0" w:line="360" w:lineRule="auto"/>
        <w:jc w:val="both"/>
        <w:rPr>
          <w:rFonts w:ascii="Arial" w:hAnsi="Arial" w:cs="Arial"/>
          <w:b/>
          <w:sz w:val="24"/>
          <w:szCs w:val="24"/>
        </w:rPr>
      </w:pPr>
    </w:p>
    <w:p w14:paraId="58329B49" w14:textId="77777777" w:rsidR="00D169AD" w:rsidRPr="00232D3B" w:rsidRDefault="00D169AD" w:rsidP="00282F3F">
      <w:pPr>
        <w:spacing w:after="0" w:line="360" w:lineRule="auto"/>
        <w:jc w:val="center"/>
        <w:rPr>
          <w:rFonts w:ascii="Arial" w:hAnsi="Arial" w:cs="Arial"/>
          <w:b/>
          <w:sz w:val="24"/>
          <w:szCs w:val="24"/>
        </w:rPr>
      </w:pPr>
      <w:r w:rsidRPr="00232D3B">
        <w:rPr>
          <w:rFonts w:ascii="Arial" w:hAnsi="Arial" w:cs="Arial"/>
          <w:b/>
          <w:sz w:val="24"/>
          <w:szCs w:val="24"/>
        </w:rPr>
        <w:t>APPEAL JUDGMENT</w:t>
      </w:r>
    </w:p>
    <w:p w14:paraId="287C1E88" w14:textId="77777777" w:rsidR="00D169AD" w:rsidRPr="00232D3B" w:rsidRDefault="00D169AD" w:rsidP="00282F3F">
      <w:pPr>
        <w:pBdr>
          <w:bottom w:val="single" w:sz="12" w:space="1" w:color="auto"/>
        </w:pBdr>
        <w:spacing w:after="0" w:line="360" w:lineRule="auto"/>
        <w:jc w:val="both"/>
        <w:rPr>
          <w:rFonts w:ascii="Arial" w:hAnsi="Arial" w:cs="Arial"/>
          <w:b/>
          <w:sz w:val="24"/>
          <w:szCs w:val="24"/>
        </w:rPr>
      </w:pPr>
    </w:p>
    <w:p w14:paraId="3CAC072C" w14:textId="77777777" w:rsidR="00D169AD" w:rsidRPr="00232D3B" w:rsidRDefault="00D169AD" w:rsidP="00282F3F">
      <w:pPr>
        <w:spacing w:after="0" w:line="360" w:lineRule="auto"/>
        <w:jc w:val="both"/>
        <w:rPr>
          <w:rFonts w:ascii="Arial" w:hAnsi="Arial" w:cs="Arial"/>
          <w:b/>
          <w:sz w:val="24"/>
          <w:szCs w:val="24"/>
        </w:rPr>
      </w:pPr>
    </w:p>
    <w:p w14:paraId="2E9BEC91" w14:textId="7DDF3524" w:rsidR="00D169AD" w:rsidRPr="00232D3B" w:rsidRDefault="00D169AD" w:rsidP="00282F3F">
      <w:pPr>
        <w:spacing w:after="0" w:line="360" w:lineRule="auto"/>
        <w:jc w:val="both"/>
        <w:rPr>
          <w:rFonts w:ascii="Arial" w:hAnsi="Arial" w:cs="Arial"/>
          <w:b/>
          <w:sz w:val="24"/>
          <w:szCs w:val="24"/>
        </w:rPr>
      </w:pPr>
      <w:r w:rsidRPr="00232D3B">
        <w:rPr>
          <w:rFonts w:ascii="Arial" w:hAnsi="Arial" w:cs="Arial"/>
          <w:b/>
          <w:sz w:val="24"/>
          <w:szCs w:val="24"/>
        </w:rPr>
        <w:t>DAWOOD J</w:t>
      </w:r>
    </w:p>
    <w:p w14:paraId="2ECF3864" w14:textId="77777777" w:rsidR="007200FD" w:rsidRPr="00232D3B" w:rsidRDefault="007200FD" w:rsidP="00282F3F">
      <w:pPr>
        <w:spacing w:after="0" w:line="360" w:lineRule="auto"/>
        <w:jc w:val="both"/>
        <w:rPr>
          <w:rFonts w:ascii="Arial" w:hAnsi="Arial" w:cs="Arial"/>
          <w:b/>
          <w:sz w:val="24"/>
          <w:szCs w:val="24"/>
        </w:rPr>
      </w:pPr>
    </w:p>
    <w:p w14:paraId="5EB31344" w14:textId="77777777" w:rsidR="007200FD" w:rsidRPr="00232D3B" w:rsidRDefault="007200FD" w:rsidP="0055599A">
      <w:pPr>
        <w:spacing w:after="120" w:line="360" w:lineRule="auto"/>
        <w:jc w:val="both"/>
        <w:rPr>
          <w:rFonts w:ascii="Arial" w:hAnsi="Arial" w:cs="Arial"/>
          <w:b/>
          <w:sz w:val="24"/>
          <w:szCs w:val="24"/>
        </w:rPr>
      </w:pPr>
      <w:r w:rsidRPr="00232D3B">
        <w:rPr>
          <w:rFonts w:ascii="Arial" w:hAnsi="Arial" w:cs="Arial"/>
          <w:b/>
          <w:sz w:val="24"/>
          <w:szCs w:val="24"/>
        </w:rPr>
        <w:t>Introduction</w:t>
      </w:r>
    </w:p>
    <w:p w14:paraId="16F707B9" w14:textId="77777777" w:rsidR="00D169AD" w:rsidRPr="00232D3B" w:rsidRDefault="00D06B03" w:rsidP="0055599A">
      <w:pPr>
        <w:shd w:val="clear" w:color="auto" w:fill="FFFFFF"/>
        <w:spacing w:after="120" w:line="360" w:lineRule="auto"/>
        <w:jc w:val="both"/>
        <w:rPr>
          <w:rFonts w:ascii="Arial" w:eastAsia="Times New Roman" w:hAnsi="Arial" w:cs="Arial"/>
          <w:sz w:val="24"/>
          <w:szCs w:val="24"/>
          <w:lang w:eastAsia="en-ZA"/>
        </w:rPr>
      </w:pPr>
      <w:r w:rsidRPr="00232D3B">
        <w:rPr>
          <w:rFonts w:ascii="Arial" w:eastAsia="Times New Roman" w:hAnsi="Arial" w:cs="Arial"/>
          <w:sz w:val="24"/>
          <w:szCs w:val="24"/>
          <w:lang w:eastAsia="en-ZA"/>
        </w:rPr>
        <w:t>[1]</w:t>
      </w:r>
      <w:r w:rsidRPr="00232D3B">
        <w:rPr>
          <w:rFonts w:ascii="Arial" w:eastAsia="Times New Roman" w:hAnsi="Arial" w:cs="Arial"/>
          <w:sz w:val="24"/>
          <w:szCs w:val="24"/>
          <w:lang w:eastAsia="en-ZA"/>
        </w:rPr>
        <w:tab/>
      </w:r>
      <w:r w:rsidR="0048758D" w:rsidRPr="00AD647B">
        <w:rPr>
          <w:rFonts w:ascii="Arial" w:eastAsia="Times New Roman" w:hAnsi="Arial" w:cs="Arial"/>
          <w:sz w:val="24"/>
          <w:szCs w:val="24"/>
          <w:lang w:eastAsia="en-ZA"/>
        </w:rPr>
        <w:t xml:space="preserve">This appeal arises from an interlocutory order granted by the court </w:t>
      </w:r>
      <w:r w:rsidR="0048758D" w:rsidRPr="00AD647B">
        <w:rPr>
          <w:rFonts w:ascii="Arial" w:eastAsia="Times New Roman" w:hAnsi="Arial" w:cs="Arial"/>
          <w:i/>
          <w:sz w:val="24"/>
          <w:szCs w:val="24"/>
          <w:lang w:eastAsia="en-ZA"/>
        </w:rPr>
        <w:t>a quo</w:t>
      </w:r>
      <w:r w:rsidR="0048758D" w:rsidRPr="00AD647B">
        <w:rPr>
          <w:rFonts w:ascii="Arial" w:eastAsia="Times New Roman" w:hAnsi="Arial" w:cs="Arial"/>
          <w:sz w:val="24"/>
          <w:szCs w:val="24"/>
          <w:lang w:eastAsia="en-ZA"/>
        </w:rPr>
        <w:t xml:space="preserve"> incidental to an a</w:t>
      </w:r>
      <w:r w:rsidR="00641E48" w:rsidRPr="00AD647B">
        <w:rPr>
          <w:rFonts w:ascii="Arial" w:eastAsia="Times New Roman" w:hAnsi="Arial" w:cs="Arial"/>
          <w:sz w:val="24"/>
          <w:szCs w:val="24"/>
          <w:lang w:eastAsia="en-ZA"/>
        </w:rPr>
        <w:t>ction in which the respondent (as plaintiff</w:t>
      </w:r>
      <w:r w:rsidR="0048758D" w:rsidRPr="00AD647B">
        <w:rPr>
          <w:rFonts w:ascii="Arial" w:eastAsia="Times New Roman" w:hAnsi="Arial" w:cs="Arial"/>
          <w:sz w:val="24"/>
          <w:szCs w:val="24"/>
          <w:lang w:eastAsia="en-ZA"/>
        </w:rPr>
        <w:t>) instituted an action for recovery of damages against the appellant (sued on a vicarious liability basis).</w:t>
      </w:r>
      <w:r w:rsidR="0048758D" w:rsidRPr="00AD647B">
        <w:rPr>
          <w:rStyle w:val="FootnoteReference"/>
          <w:rFonts w:ascii="Arial" w:eastAsia="Times New Roman" w:hAnsi="Arial" w:cs="Arial"/>
          <w:sz w:val="24"/>
          <w:szCs w:val="24"/>
          <w:lang w:eastAsia="en-ZA"/>
        </w:rPr>
        <w:footnoteReference w:id="1"/>
      </w:r>
    </w:p>
    <w:p w14:paraId="1F824756" w14:textId="77777777" w:rsidR="0048758D" w:rsidRPr="00232D3B" w:rsidRDefault="0048758D" w:rsidP="0055599A">
      <w:pPr>
        <w:shd w:val="clear" w:color="auto" w:fill="FFFFFF"/>
        <w:spacing w:after="120" w:line="360" w:lineRule="auto"/>
        <w:jc w:val="both"/>
        <w:rPr>
          <w:rFonts w:ascii="Arial" w:eastAsia="Times New Roman" w:hAnsi="Arial" w:cs="Arial"/>
          <w:b/>
          <w:sz w:val="24"/>
          <w:szCs w:val="24"/>
          <w:lang w:eastAsia="en-ZA"/>
        </w:rPr>
      </w:pPr>
    </w:p>
    <w:p w14:paraId="63F77366" w14:textId="77777777" w:rsidR="00756D08" w:rsidRPr="00232D3B" w:rsidRDefault="00756D08" w:rsidP="0055599A">
      <w:pPr>
        <w:shd w:val="clear" w:color="auto" w:fill="FFFFFF"/>
        <w:spacing w:after="120" w:line="360" w:lineRule="auto"/>
        <w:jc w:val="both"/>
        <w:rPr>
          <w:rFonts w:ascii="Arial" w:eastAsia="Times New Roman" w:hAnsi="Arial" w:cs="Arial"/>
          <w:b/>
          <w:sz w:val="24"/>
          <w:szCs w:val="24"/>
          <w:lang w:eastAsia="en-ZA"/>
        </w:rPr>
      </w:pPr>
      <w:r w:rsidRPr="00232D3B">
        <w:rPr>
          <w:rFonts w:ascii="Arial" w:eastAsia="Times New Roman" w:hAnsi="Arial" w:cs="Arial"/>
          <w:b/>
          <w:sz w:val="24"/>
          <w:szCs w:val="24"/>
          <w:lang w:eastAsia="en-ZA"/>
        </w:rPr>
        <w:lastRenderedPageBreak/>
        <w:t>Factual background</w:t>
      </w:r>
    </w:p>
    <w:p w14:paraId="271302FF" w14:textId="77777777" w:rsidR="007200FD" w:rsidRPr="00232D3B" w:rsidRDefault="002057A6" w:rsidP="002057A6">
      <w:pPr>
        <w:spacing w:after="0" w:line="360" w:lineRule="auto"/>
        <w:jc w:val="both"/>
        <w:rPr>
          <w:rFonts w:ascii="Arial" w:hAnsi="Arial" w:cs="Arial"/>
          <w:sz w:val="24"/>
          <w:szCs w:val="24"/>
        </w:rPr>
      </w:pPr>
      <w:r w:rsidRPr="00232D3B">
        <w:rPr>
          <w:rFonts w:ascii="Arial" w:eastAsia="Times New Roman" w:hAnsi="Arial" w:cs="Arial"/>
          <w:sz w:val="24"/>
          <w:szCs w:val="24"/>
          <w:lang w:eastAsia="en-ZA"/>
        </w:rPr>
        <w:t>[2]</w:t>
      </w:r>
      <w:r w:rsidRPr="00232D3B">
        <w:rPr>
          <w:rFonts w:ascii="Arial" w:eastAsia="Times New Roman" w:hAnsi="Arial" w:cs="Arial"/>
          <w:sz w:val="24"/>
          <w:szCs w:val="24"/>
          <w:lang w:eastAsia="en-ZA"/>
        </w:rPr>
        <w:tab/>
      </w:r>
      <w:r w:rsidR="0048758D" w:rsidRPr="00AD647B">
        <w:rPr>
          <w:rFonts w:ascii="Arial" w:eastAsia="Times New Roman" w:hAnsi="Arial" w:cs="Arial"/>
          <w:sz w:val="24"/>
          <w:szCs w:val="24"/>
          <w:lang w:eastAsia="en-ZA"/>
        </w:rPr>
        <w:t>After pleadings had been closed in the main action, the defendant filed a discovery affidavit</w:t>
      </w:r>
      <w:r w:rsidR="0048758D" w:rsidRPr="00AD647B">
        <w:rPr>
          <w:rFonts w:ascii="Arial" w:hAnsi="Arial" w:cs="Arial"/>
          <w:sz w:val="24"/>
          <w:szCs w:val="24"/>
        </w:rPr>
        <w:t>,</w:t>
      </w:r>
      <w:r w:rsidR="006803A7" w:rsidRPr="00232D3B">
        <w:rPr>
          <w:rFonts w:ascii="Arial" w:hAnsi="Arial" w:cs="Arial"/>
          <w:sz w:val="24"/>
          <w:szCs w:val="24"/>
        </w:rPr>
        <w:t xml:space="preserve"> </w:t>
      </w:r>
      <w:r w:rsidR="00CC16EF" w:rsidRPr="00232D3B">
        <w:rPr>
          <w:rFonts w:ascii="Arial" w:hAnsi="Arial" w:cs="Arial"/>
          <w:i/>
          <w:sz w:val="24"/>
          <w:szCs w:val="24"/>
        </w:rPr>
        <w:t>inter alia</w:t>
      </w:r>
      <w:r w:rsidR="0048758D" w:rsidRPr="00AD647B">
        <w:rPr>
          <w:rFonts w:ascii="Arial" w:hAnsi="Arial" w:cs="Arial"/>
          <w:sz w:val="24"/>
          <w:szCs w:val="24"/>
        </w:rPr>
        <w:t>,</w:t>
      </w:r>
      <w:r w:rsidR="00CC16EF" w:rsidRPr="00232D3B">
        <w:rPr>
          <w:rFonts w:ascii="Arial" w:hAnsi="Arial" w:cs="Arial"/>
          <w:sz w:val="24"/>
          <w:szCs w:val="24"/>
        </w:rPr>
        <w:t xml:space="preserve"> </w:t>
      </w:r>
      <w:r w:rsidR="0048758D" w:rsidRPr="00232D3B">
        <w:rPr>
          <w:rFonts w:ascii="Arial" w:hAnsi="Arial" w:cs="Arial"/>
          <w:sz w:val="24"/>
          <w:szCs w:val="24"/>
        </w:rPr>
        <w:t>object</w:t>
      </w:r>
      <w:r w:rsidR="0048758D" w:rsidRPr="00AD647B">
        <w:rPr>
          <w:rFonts w:ascii="Arial" w:hAnsi="Arial" w:cs="Arial"/>
          <w:sz w:val="24"/>
          <w:szCs w:val="24"/>
        </w:rPr>
        <w:t>ing</w:t>
      </w:r>
      <w:r w:rsidR="007200FD" w:rsidRPr="00232D3B">
        <w:rPr>
          <w:rFonts w:ascii="Arial" w:hAnsi="Arial" w:cs="Arial"/>
          <w:sz w:val="24"/>
          <w:szCs w:val="24"/>
        </w:rPr>
        <w:t xml:space="preserve"> to </w:t>
      </w:r>
      <w:r w:rsidR="00AC492F" w:rsidRPr="00AD647B">
        <w:rPr>
          <w:rFonts w:ascii="Arial" w:hAnsi="Arial" w:cs="Arial"/>
          <w:sz w:val="24"/>
          <w:szCs w:val="24"/>
        </w:rPr>
        <w:t xml:space="preserve">the </w:t>
      </w:r>
      <w:r w:rsidR="00AC492F" w:rsidRPr="00232D3B">
        <w:rPr>
          <w:rFonts w:ascii="Arial" w:hAnsi="Arial" w:cs="Arial"/>
          <w:sz w:val="24"/>
          <w:szCs w:val="24"/>
        </w:rPr>
        <w:t>produc</w:t>
      </w:r>
      <w:r w:rsidR="00AC492F" w:rsidRPr="00AD647B">
        <w:rPr>
          <w:rFonts w:ascii="Arial" w:hAnsi="Arial" w:cs="Arial"/>
          <w:sz w:val="24"/>
          <w:szCs w:val="24"/>
        </w:rPr>
        <w:t>tion of the</w:t>
      </w:r>
      <w:r w:rsidR="007200FD" w:rsidRPr="00232D3B">
        <w:rPr>
          <w:rFonts w:ascii="Arial" w:hAnsi="Arial" w:cs="Arial"/>
          <w:sz w:val="24"/>
          <w:szCs w:val="24"/>
        </w:rPr>
        <w:t xml:space="preserve"> documents set out in the second part of the schedule </w:t>
      </w:r>
      <w:r w:rsidR="00AC492F" w:rsidRPr="00AD647B">
        <w:rPr>
          <w:rFonts w:ascii="Arial" w:hAnsi="Arial" w:cs="Arial"/>
          <w:sz w:val="24"/>
          <w:szCs w:val="24"/>
        </w:rPr>
        <w:t xml:space="preserve">to the affidavit </w:t>
      </w:r>
      <w:r w:rsidR="007200FD" w:rsidRPr="00232D3B">
        <w:rPr>
          <w:rFonts w:ascii="Arial" w:hAnsi="Arial" w:cs="Arial"/>
          <w:sz w:val="24"/>
          <w:szCs w:val="24"/>
        </w:rPr>
        <w:t xml:space="preserve">claiming that </w:t>
      </w:r>
      <w:r w:rsidR="00AC492F" w:rsidRPr="00AD647B">
        <w:rPr>
          <w:rFonts w:ascii="Arial" w:hAnsi="Arial" w:cs="Arial"/>
          <w:sz w:val="24"/>
          <w:szCs w:val="24"/>
        </w:rPr>
        <w:t>the documents were</w:t>
      </w:r>
      <w:r w:rsidR="007200FD" w:rsidRPr="00AD647B">
        <w:rPr>
          <w:rFonts w:ascii="Arial" w:hAnsi="Arial" w:cs="Arial"/>
          <w:sz w:val="24"/>
          <w:szCs w:val="24"/>
        </w:rPr>
        <w:t xml:space="preserve"> privileged from production because of their nature as they are do</w:t>
      </w:r>
      <w:r w:rsidR="007200FD" w:rsidRPr="00232D3B">
        <w:rPr>
          <w:rFonts w:ascii="Arial" w:hAnsi="Arial" w:cs="Arial"/>
          <w:sz w:val="24"/>
          <w:szCs w:val="24"/>
        </w:rPr>
        <w:t xml:space="preserve">cuments which came into existence and were made or obtained by </w:t>
      </w:r>
      <w:r w:rsidR="00AC492F" w:rsidRPr="00AD647B">
        <w:rPr>
          <w:rFonts w:ascii="Arial" w:hAnsi="Arial" w:cs="Arial"/>
          <w:sz w:val="24"/>
          <w:szCs w:val="24"/>
        </w:rPr>
        <w:t>the deponent to the affidavit</w:t>
      </w:r>
      <w:r w:rsidR="00AC492F" w:rsidRPr="00AD647B">
        <w:rPr>
          <w:rStyle w:val="FootnoteReference"/>
          <w:rFonts w:ascii="Arial" w:hAnsi="Arial" w:cs="Arial"/>
          <w:sz w:val="24"/>
          <w:szCs w:val="24"/>
        </w:rPr>
        <w:footnoteReference w:id="2"/>
      </w:r>
      <w:r w:rsidR="007200FD" w:rsidRPr="00232D3B">
        <w:rPr>
          <w:rFonts w:ascii="Arial" w:hAnsi="Arial" w:cs="Arial"/>
          <w:sz w:val="24"/>
          <w:szCs w:val="24"/>
        </w:rPr>
        <w:t xml:space="preserve"> </w:t>
      </w:r>
      <w:r w:rsidR="00A7171F" w:rsidRPr="00AD647B">
        <w:rPr>
          <w:rFonts w:ascii="Arial" w:hAnsi="Arial" w:cs="Arial"/>
          <w:sz w:val="24"/>
          <w:szCs w:val="24"/>
        </w:rPr>
        <w:t>upon the launch of</w:t>
      </w:r>
      <w:r w:rsidR="007200FD" w:rsidRPr="00232D3B">
        <w:rPr>
          <w:rFonts w:ascii="Arial" w:hAnsi="Arial" w:cs="Arial"/>
          <w:sz w:val="24"/>
          <w:szCs w:val="24"/>
        </w:rPr>
        <w:t xml:space="preserve"> this litigation wholly or mainly for the purpose of obtaining and furnishing to his attorneys such evidence and information to enable them to conduct the action and advise him.</w:t>
      </w:r>
    </w:p>
    <w:p w14:paraId="435BD40C" w14:textId="77777777" w:rsidR="002057A6" w:rsidRPr="00232D3B" w:rsidRDefault="002057A6" w:rsidP="0055599A">
      <w:pPr>
        <w:spacing w:after="0" w:line="360" w:lineRule="auto"/>
        <w:jc w:val="both"/>
        <w:rPr>
          <w:rFonts w:ascii="Arial" w:hAnsi="Arial" w:cs="Arial"/>
          <w:sz w:val="24"/>
          <w:szCs w:val="24"/>
        </w:rPr>
      </w:pPr>
    </w:p>
    <w:p w14:paraId="34E2A900" w14:textId="77777777" w:rsidR="007200FD" w:rsidRPr="00232D3B" w:rsidRDefault="00907403" w:rsidP="00907403">
      <w:pPr>
        <w:spacing w:after="0" w:line="360" w:lineRule="auto"/>
        <w:jc w:val="both"/>
        <w:rPr>
          <w:rFonts w:ascii="Arial" w:hAnsi="Arial" w:cs="Arial"/>
          <w:sz w:val="24"/>
          <w:szCs w:val="24"/>
        </w:rPr>
      </w:pPr>
      <w:r w:rsidRPr="00232D3B">
        <w:rPr>
          <w:rFonts w:ascii="Arial" w:hAnsi="Arial" w:cs="Arial"/>
          <w:sz w:val="24"/>
          <w:szCs w:val="24"/>
        </w:rPr>
        <w:t>[3]</w:t>
      </w:r>
      <w:r w:rsidRPr="00232D3B">
        <w:rPr>
          <w:rFonts w:ascii="Arial" w:hAnsi="Arial" w:cs="Arial"/>
          <w:sz w:val="24"/>
          <w:szCs w:val="24"/>
        </w:rPr>
        <w:tab/>
      </w:r>
      <w:r w:rsidR="00AC492F" w:rsidRPr="00AD647B">
        <w:rPr>
          <w:rFonts w:ascii="Arial" w:hAnsi="Arial" w:cs="Arial"/>
          <w:sz w:val="24"/>
          <w:szCs w:val="24"/>
        </w:rPr>
        <w:t>Mr Bastile</w:t>
      </w:r>
      <w:r w:rsidR="00756D08" w:rsidRPr="00AD647B">
        <w:rPr>
          <w:rFonts w:ascii="Arial" w:hAnsi="Arial" w:cs="Arial"/>
          <w:sz w:val="24"/>
          <w:szCs w:val="24"/>
        </w:rPr>
        <w:t xml:space="preserve"> </w:t>
      </w:r>
      <w:r w:rsidR="00756D08" w:rsidRPr="00232D3B">
        <w:rPr>
          <w:rFonts w:ascii="Arial" w:hAnsi="Arial" w:cs="Arial"/>
          <w:sz w:val="24"/>
          <w:szCs w:val="24"/>
        </w:rPr>
        <w:t>did not specifically mention</w:t>
      </w:r>
      <w:r w:rsidR="007200FD" w:rsidRPr="00232D3B">
        <w:rPr>
          <w:rFonts w:ascii="Arial" w:hAnsi="Arial" w:cs="Arial"/>
          <w:sz w:val="24"/>
          <w:szCs w:val="24"/>
        </w:rPr>
        <w:t xml:space="preserve"> the report of Dr Boon in the second schedule but merely made a broad sweeping statement of statements of witnesses and reports brought into existence prior to</w:t>
      </w:r>
      <w:r w:rsidR="00756D08" w:rsidRPr="00232D3B">
        <w:rPr>
          <w:rFonts w:ascii="Arial" w:hAnsi="Arial" w:cs="Arial"/>
          <w:sz w:val="24"/>
          <w:szCs w:val="24"/>
        </w:rPr>
        <w:t>,</w:t>
      </w:r>
      <w:r w:rsidR="007200FD" w:rsidRPr="00232D3B">
        <w:rPr>
          <w:rFonts w:ascii="Arial" w:hAnsi="Arial" w:cs="Arial"/>
          <w:sz w:val="24"/>
          <w:szCs w:val="24"/>
        </w:rPr>
        <w:t xml:space="preserve"> in contemplation of and during the continuance of </w:t>
      </w:r>
      <w:r w:rsidR="00AC492F" w:rsidRPr="00AD647B">
        <w:rPr>
          <w:rFonts w:ascii="Arial" w:hAnsi="Arial" w:cs="Arial"/>
          <w:sz w:val="24"/>
          <w:szCs w:val="24"/>
        </w:rPr>
        <w:t>the main action</w:t>
      </w:r>
      <w:r w:rsidR="007200FD" w:rsidRPr="00232D3B">
        <w:rPr>
          <w:rFonts w:ascii="Arial" w:hAnsi="Arial" w:cs="Arial"/>
          <w:sz w:val="24"/>
          <w:szCs w:val="24"/>
        </w:rPr>
        <w:t>.</w:t>
      </w:r>
    </w:p>
    <w:p w14:paraId="767A3A44" w14:textId="77777777" w:rsidR="00C24626" w:rsidRPr="00232D3B" w:rsidRDefault="00C24626" w:rsidP="0055599A">
      <w:pPr>
        <w:spacing w:after="0" w:line="360" w:lineRule="auto"/>
        <w:jc w:val="both"/>
        <w:rPr>
          <w:rFonts w:ascii="Arial" w:hAnsi="Arial" w:cs="Arial"/>
          <w:sz w:val="24"/>
          <w:szCs w:val="24"/>
        </w:rPr>
      </w:pPr>
    </w:p>
    <w:p w14:paraId="4A1A37AA" w14:textId="77777777" w:rsidR="007200FD" w:rsidRPr="00232D3B" w:rsidRDefault="00C24626" w:rsidP="00C24626">
      <w:pPr>
        <w:spacing w:after="0" w:line="360" w:lineRule="auto"/>
        <w:jc w:val="both"/>
        <w:rPr>
          <w:rFonts w:ascii="Arial" w:hAnsi="Arial" w:cs="Arial"/>
          <w:sz w:val="24"/>
          <w:szCs w:val="24"/>
        </w:rPr>
      </w:pPr>
      <w:r w:rsidRPr="00232D3B">
        <w:rPr>
          <w:rFonts w:ascii="Arial" w:hAnsi="Arial" w:cs="Arial"/>
          <w:sz w:val="24"/>
          <w:szCs w:val="24"/>
        </w:rPr>
        <w:t>[4]</w:t>
      </w:r>
      <w:r w:rsidRPr="00232D3B">
        <w:rPr>
          <w:rFonts w:ascii="Arial" w:hAnsi="Arial" w:cs="Arial"/>
          <w:sz w:val="24"/>
          <w:szCs w:val="24"/>
        </w:rPr>
        <w:tab/>
      </w:r>
      <w:r w:rsidR="007200FD" w:rsidRPr="00232D3B">
        <w:rPr>
          <w:rFonts w:ascii="Arial" w:hAnsi="Arial" w:cs="Arial"/>
          <w:sz w:val="24"/>
          <w:szCs w:val="24"/>
        </w:rPr>
        <w:t xml:space="preserve">The plaintiff thereafter specifically requested </w:t>
      </w:r>
      <w:r w:rsidR="007200FD" w:rsidRPr="00232D3B">
        <w:rPr>
          <w:rFonts w:ascii="Arial" w:hAnsi="Arial" w:cs="Arial"/>
          <w:i/>
          <w:sz w:val="24"/>
          <w:szCs w:val="24"/>
        </w:rPr>
        <w:t>inter alia</w:t>
      </w:r>
      <w:r w:rsidR="007200FD" w:rsidRPr="00232D3B">
        <w:rPr>
          <w:rFonts w:ascii="Arial" w:hAnsi="Arial" w:cs="Arial"/>
          <w:sz w:val="24"/>
          <w:szCs w:val="24"/>
        </w:rPr>
        <w:t xml:space="preserve"> the r</w:t>
      </w:r>
      <w:r w:rsidR="00CC16EF" w:rsidRPr="00232D3B">
        <w:rPr>
          <w:rFonts w:ascii="Arial" w:hAnsi="Arial" w:cs="Arial"/>
          <w:sz w:val="24"/>
          <w:szCs w:val="24"/>
        </w:rPr>
        <w:t>eport in terms of her</w:t>
      </w:r>
      <w:r w:rsidR="007200FD" w:rsidRPr="00232D3B">
        <w:rPr>
          <w:rFonts w:ascii="Arial" w:hAnsi="Arial" w:cs="Arial"/>
          <w:sz w:val="24"/>
          <w:szCs w:val="24"/>
        </w:rPr>
        <w:t xml:space="preserve"> </w:t>
      </w:r>
      <w:r w:rsidR="0080453F" w:rsidRPr="00232D3B">
        <w:rPr>
          <w:rFonts w:ascii="Arial" w:hAnsi="Arial" w:cs="Arial"/>
          <w:sz w:val="24"/>
          <w:szCs w:val="24"/>
        </w:rPr>
        <w:t>r</w:t>
      </w:r>
      <w:r w:rsidR="007200FD" w:rsidRPr="00232D3B">
        <w:rPr>
          <w:rFonts w:ascii="Arial" w:hAnsi="Arial" w:cs="Arial"/>
          <w:sz w:val="24"/>
          <w:szCs w:val="24"/>
        </w:rPr>
        <w:t>ule 35(3) notice.</w:t>
      </w:r>
    </w:p>
    <w:p w14:paraId="6AD6636D" w14:textId="77777777" w:rsidR="00A16A1B" w:rsidRPr="00232D3B" w:rsidRDefault="00A16A1B" w:rsidP="0055599A">
      <w:pPr>
        <w:spacing w:after="0" w:line="360" w:lineRule="auto"/>
        <w:jc w:val="both"/>
        <w:rPr>
          <w:rFonts w:ascii="Arial" w:hAnsi="Arial" w:cs="Arial"/>
          <w:sz w:val="24"/>
          <w:szCs w:val="24"/>
        </w:rPr>
      </w:pPr>
    </w:p>
    <w:p w14:paraId="3DB1314D" w14:textId="77777777" w:rsidR="007200FD" w:rsidRPr="00232D3B" w:rsidRDefault="00A16A1B" w:rsidP="00A16A1B">
      <w:pPr>
        <w:spacing w:after="0" w:line="360" w:lineRule="auto"/>
        <w:jc w:val="both"/>
        <w:rPr>
          <w:rFonts w:ascii="Arial" w:hAnsi="Arial" w:cs="Arial"/>
          <w:sz w:val="24"/>
          <w:szCs w:val="24"/>
        </w:rPr>
      </w:pPr>
      <w:r w:rsidRPr="00232D3B">
        <w:rPr>
          <w:rFonts w:ascii="Arial" w:hAnsi="Arial" w:cs="Arial"/>
          <w:sz w:val="24"/>
          <w:szCs w:val="24"/>
        </w:rPr>
        <w:t>[5]</w:t>
      </w:r>
      <w:r w:rsidRPr="00232D3B">
        <w:rPr>
          <w:rFonts w:ascii="Arial" w:hAnsi="Arial" w:cs="Arial"/>
          <w:sz w:val="24"/>
          <w:szCs w:val="24"/>
        </w:rPr>
        <w:tab/>
      </w:r>
      <w:r w:rsidR="00AC492F" w:rsidRPr="00232D3B">
        <w:rPr>
          <w:rFonts w:ascii="Arial" w:hAnsi="Arial" w:cs="Arial"/>
          <w:sz w:val="24"/>
          <w:szCs w:val="24"/>
        </w:rPr>
        <w:t>I</w:t>
      </w:r>
      <w:r w:rsidR="00C148B7" w:rsidRPr="00232D3B">
        <w:rPr>
          <w:rFonts w:ascii="Arial" w:hAnsi="Arial" w:cs="Arial"/>
          <w:sz w:val="24"/>
          <w:szCs w:val="24"/>
        </w:rPr>
        <w:t xml:space="preserve">n his </w:t>
      </w:r>
      <w:r w:rsidR="0080453F" w:rsidRPr="00232D3B">
        <w:rPr>
          <w:rFonts w:ascii="Arial" w:hAnsi="Arial" w:cs="Arial"/>
          <w:sz w:val="24"/>
          <w:szCs w:val="24"/>
        </w:rPr>
        <w:t>rule 35(3) and (6) r</w:t>
      </w:r>
      <w:r w:rsidR="007200FD" w:rsidRPr="00232D3B">
        <w:rPr>
          <w:rFonts w:ascii="Arial" w:hAnsi="Arial" w:cs="Arial"/>
          <w:sz w:val="24"/>
          <w:szCs w:val="24"/>
        </w:rPr>
        <w:t>ep</w:t>
      </w:r>
      <w:r w:rsidR="00C148B7" w:rsidRPr="00232D3B">
        <w:rPr>
          <w:rFonts w:ascii="Arial" w:hAnsi="Arial" w:cs="Arial"/>
          <w:sz w:val="24"/>
          <w:szCs w:val="24"/>
        </w:rPr>
        <w:t>ly</w:t>
      </w:r>
      <w:r w:rsidR="00C53CBA" w:rsidRPr="00232D3B">
        <w:rPr>
          <w:rFonts w:ascii="Arial" w:hAnsi="Arial" w:cs="Arial"/>
          <w:sz w:val="24"/>
          <w:szCs w:val="24"/>
        </w:rPr>
        <w:t>ing</w:t>
      </w:r>
      <w:r w:rsidR="00C148B7" w:rsidRPr="00232D3B">
        <w:rPr>
          <w:rFonts w:ascii="Arial" w:hAnsi="Arial" w:cs="Arial"/>
          <w:sz w:val="24"/>
          <w:szCs w:val="24"/>
        </w:rPr>
        <w:t xml:space="preserve"> affidavit</w:t>
      </w:r>
      <w:r w:rsidRPr="00232D3B">
        <w:rPr>
          <w:rFonts w:ascii="Arial" w:hAnsi="Arial" w:cs="Arial"/>
          <w:sz w:val="24"/>
          <w:szCs w:val="24"/>
        </w:rPr>
        <w:t>,</w:t>
      </w:r>
      <w:r w:rsidR="00C148B7" w:rsidRPr="00232D3B">
        <w:rPr>
          <w:rFonts w:ascii="Arial" w:hAnsi="Arial" w:cs="Arial"/>
          <w:sz w:val="24"/>
          <w:szCs w:val="24"/>
        </w:rPr>
        <w:t xml:space="preserve"> </w:t>
      </w:r>
      <w:r w:rsidR="00AC492F" w:rsidRPr="00AD647B">
        <w:rPr>
          <w:rFonts w:ascii="Arial" w:hAnsi="Arial" w:cs="Arial"/>
          <w:sz w:val="24"/>
          <w:szCs w:val="24"/>
        </w:rPr>
        <w:t xml:space="preserve">Mr Bastile </w:t>
      </w:r>
      <w:r w:rsidR="00C148B7" w:rsidRPr="00232D3B">
        <w:rPr>
          <w:rFonts w:ascii="Arial" w:hAnsi="Arial" w:cs="Arial"/>
          <w:sz w:val="24"/>
          <w:szCs w:val="24"/>
        </w:rPr>
        <w:t>stated</w:t>
      </w:r>
      <w:r w:rsidR="007200FD" w:rsidRPr="00232D3B">
        <w:rPr>
          <w:rFonts w:ascii="Arial" w:hAnsi="Arial" w:cs="Arial"/>
          <w:sz w:val="24"/>
          <w:szCs w:val="24"/>
        </w:rPr>
        <w:t xml:space="preserve"> that the report is a confidential internal privileged opi</w:t>
      </w:r>
      <w:r w:rsidR="002062B8" w:rsidRPr="00232D3B">
        <w:rPr>
          <w:rFonts w:ascii="Arial" w:hAnsi="Arial" w:cs="Arial"/>
          <w:sz w:val="24"/>
          <w:szCs w:val="24"/>
        </w:rPr>
        <w:t>nion which forms part of Part II</w:t>
      </w:r>
      <w:r w:rsidR="007200FD" w:rsidRPr="00232D3B">
        <w:rPr>
          <w:rFonts w:ascii="Arial" w:hAnsi="Arial" w:cs="Arial"/>
          <w:sz w:val="24"/>
          <w:szCs w:val="24"/>
        </w:rPr>
        <w:t xml:space="preserve"> of </w:t>
      </w:r>
      <w:r w:rsidR="00CC16EF" w:rsidRPr="00232D3B">
        <w:rPr>
          <w:rFonts w:ascii="Arial" w:hAnsi="Arial" w:cs="Arial"/>
          <w:sz w:val="24"/>
          <w:szCs w:val="24"/>
        </w:rPr>
        <w:t xml:space="preserve">the </w:t>
      </w:r>
      <w:r w:rsidR="007200FD" w:rsidRPr="00232D3B">
        <w:rPr>
          <w:rFonts w:ascii="Arial" w:hAnsi="Arial" w:cs="Arial"/>
          <w:sz w:val="24"/>
          <w:szCs w:val="24"/>
        </w:rPr>
        <w:t>second schedule in the previous discovery affidavit</w:t>
      </w:r>
      <w:r w:rsidR="004B73A2" w:rsidRPr="00232D3B">
        <w:rPr>
          <w:rFonts w:ascii="Arial" w:hAnsi="Arial" w:cs="Arial"/>
          <w:sz w:val="24"/>
          <w:szCs w:val="24"/>
        </w:rPr>
        <w:t>.</w:t>
      </w:r>
    </w:p>
    <w:p w14:paraId="51BD359B" w14:textId="77777777" w:rsidR="004B73A2" w:rsidRPr="00232D3B" w:rsidRDefault="004B73A2" w:rsidP="0055599A">
      <w:pPr>
        <w:spacing w:after="0" w:line="360" w:lineRule="auto"/>
        <w:jc w:val="both"/>
        <w:rPr>
          <w:rFonts w:ascii="Arial" w:hAnsi="Arial" w:cs="Arial"/>
          <w:sz w:val="24"/>
          <w:szCs w:val="24"/>
        </w:rPr>
      </w:pPr>
    </w:p>
    <w:p w14:paraId="62BE64F5" w14:textId="77777777" w:rsidR="002B377D" w:rsidRPr="00232D3B" w:rsidRDefault="004B73A2" w:rsidP="004B73A2">
      <w:pPr>
        <w:spacing w:after="0" w:line="360" w:lineRule="auto"/>
        <w:jc w:val="both"/>
        <w:rPr>
          <w:rFonts w:ascii="Arial" w:hAnsi="Arial" w:cs="Arial"/>
          <w:sz w:val="24"/>
          <w:szCs w:val="24"/>
        </w:rPr>
      </w:pPr>
      <w:r w:rsidRPr="00232D3B">
        <w:rPr>
          <w:rFonts w:ascii="Arial" w:hAnsi="Arial" w:cs="Arial"/>
          <w:sz w:val="24"/>
          <w:szCs w:val="24"/>
        </w:rPr>
        <w:t>[6]</w:t>
      </w:r>
      <w:r w:rsidRPr="00232D3B">
        <w:rPr>
          <w:rFonts w:ascii="Arial" w:hAnsi="Arial" w:cs="Arial"/>
          <w:sz w:val="24"/>
          <w:szCs w:val="24"/>
        </w:rPr>
        <w:tab/>
      </w:r>
      <w:r w:rsidR="0080453F" w:rsidRPr="00232D3B">
        <w:rPr>
          <w:rFonts w:ascii="Arial" w:hAnsi="Arial" w:cs="Arial"/>
          <w:sz w:val="24"/>
          <w:szCs w:val="24"/>
        </w:rPr>
        <w:t xml:space="preserve">The </w:t>
      </w:r>
      <w:r w:rsidR="006B123B" w:rsidRPr="00AD647B">
        <w:rPr>
          <w:rFonts w:ascii="Arial" w:hAnsi="Arial" w:cs="Arial"/>
          <w:sz w:val="24"/>
          <w:szCs w:val="24"/>
        </w:rPr>
        <w:t>plaintiff</w:t>
      </w:r>
      <w:r w:rsidR="007200FD" w:rsidRPr="00232D3B">
        <w:rPr>
          <w:rFonts w:ascii="Arial" w:hAnsi="Arial" w:cs="Arial"/>
          <w:sz w:val="24"/>
          <w:szCs w:val="24"/>
        </w:rPr>
        <w:t xml:space="preserve"> then </w:t>
      </w:r>
      <w:r w:rsidR="006B123B" w:rsidRPr="00AD647B">
        <w:rPr>
          <w:rFonts w:ascii="Arial" w:hAnsi="Arial" w:cs="Arial"/>
          <w:sz w:val="24"/>
          <w:szCs w:val="24"/>
        </w:rPr>
        <w:t>brought</w:t>
      </w:r>
      <w:r w:rsidR="007200FD" w:rsidRPr="00AD647B">
        <w:rPr>
          <w:rFonts w:ascii="Arial" w:hAnsi="Arial" w:cs="Arial"/>
          <w:sz w:val="24"/>
          <w:szCs w:val="24"/>
        </w:rPr>
        <w:t xml:space="preserve"> </w:t>
      </w:r>
      <w:r w:rsidR="007200FD" w:rsidRPr="00232D3B">
        <w:rPr>
          <w:rFonts w:ascii="Arial" w:hAnsi="Arial" w:cs="Arial"/>
          <w:sz w:val="24"/>
          <w:szCs w:val="24"/>
        </w:rPr>
        <w:t xml:space="preserve">an application </w:t>
      </w:r>
      <w:r w:rsidR="006B123B" w:rsidRPr="00AD647B">
        <w:rPr>
          <w:rFonts w:ascii="Arial" w:hAnsi="Arial" w:cs="Arial"/>
          <w:sz w:val="24"/>
          <w:szCs w:val="24"/>
        </w:rPr>
        <w:t xml:space="preserve">before the </w:t>
      </w:r>
      <w:r w:rsidR="007200FD" w:rsidRPr="00232D3B">
        <w:rPr>
          <w:rFonts w:ascii="Arial" w:hAnsi="Arial" w:cs="Arial"/>
          <w:sz w:val="24"/>
          <w:szCs w:val="24"/>
        </w:rPr>
        <w:t xml:space="preserve">court </w:t>
      </w:r>
      <w:r w:rsidR="006B123B" w:rsidRPr="00AD647B">
        <w:rPr>
          <w:rFonts w:ascii="Arial" w:hAnsi="Arial" w:cs="Arial"/>
          <w:sz w:val="24"/>
          <w:szCs w:val="24"/>
        </w:rPr>
        <w:t xml:space="preserve">a </w:t>
      </w:r>
      <w:r w:rsidR="006B123B" w:rsidRPr="00AD647B">
        <w:rPr>
          <w:rFonts w:ascii="Arial" w:hAnsi="Arial" w:cs="Arial"/>
          <w:i/>
          <w:sz w:val="24"/>
          <w:szCs w:val="24"/>
        </w:rPr>
        <w:t>quo</w:t>
      </w:r>
      <w:r w:rsidR="006B123B" w:rsidRPr="00AD647B">
        <w:rPr>
          <w:rFonts w:ascii="Arial" w:hAnsi="Arial" w:cs="Arial"/>
          <w:sz w:val="24"/>
          <w:szCs w:val="24"/>
        </w:rPr>
        <w:t xml:space="preserve"> seeking </w:t>
      </w:r>
      <w:r w:rsidR="007200FD" w:rsidRPr="00232D3B">
        <w:rPr>
          <w:rFonts w:ascii="Arial" w:hAnsi="Arial" w:cs="Arial"/>
          <w:sz w:val="24"/>
          <w:szCs w:val="24"/>
        </w:rPr>
        <w:t>t</w:t>
      </w:r>
      <w:r w:rsidR="00CC16EF" w:rsidRPr="00232D3B">
        <w:rPr>
          <w:rFonts w:ascii="Arial" w:hAnsi="Arial" w:cs="Arial"/>
          <w:sz w:val="24"/>
          <w:szCs w:val="24"/>
        </w:rPr>
        <w:t>he discovery of Dr Boon</w:t>
      </w:r>
      <w:r w:rsidRPr="00232D3B">
        <w:rPr>
          <w:rFonts w:ascii="Arial" w:hAnsi="Arial" w:cs="Arial"/>
          <w:sz w:val="24"/>
          <w:szCs w:val="24"/>
        </w:rPr>
        <w:t>’</w:t>
      </w:r>
      <w:r w:rsidR="00CC16EF" w:rsidRPr="00232D3B">
        <w:rPr>
          <w:rFonts w:ascii="Arial" w:hAnsi="Arial" w:cs="Arial"/>
          <w:sz w:val="24"/>
          <w:szCs w:val="24"/>
        </w:rPr>
        <w:t>s report in terms of rule 35(3).</w:t>
      </w:r>
    </w:p>
    <w:p w14:paraId="3D33E930" w14:textId="77777777" w:rsidR="004B73A2" w:rsidRPr="00232D3B" w:rsidRDefault="004B73A2" w:rsidP="0055599A">
      <w:pPr>
        <w:spacing w:after="0" w:line="360" w:lineRule="auto"/>
        <w:jc w:val="both"/>
        <w:rPr>
          <w:rFonts w:ascii="Arial" w:hAnsi="Arial" w:cs="Arial"/>
          <w:sz w:val="24"/>
          <w:szCs w:val="24"/>
        </w:rPr>
      </w:pPr>
    </w:p>
    <w:p w14:paraId="0B85BCA5" w14:textId="77777777" w:rsidR="007200FD" w:rsidRPr="00232D3B" w:rsidRDefault="004B73A2" w:rsidP="0055599A">
      <w:pPr>
        <w:spacing w:after="120" w:line="360" w:lineRule="auto"/>
        <w:jc w:val="both"/>
        <w:rPr>
          <w:rFonts w:ascii="Arial" w:hAnsi="Arial" w:cs="Arial"/>
          <w:sz w:val="24"/>
          <w:szCs w:val="24"/>
        </w:rPr>
      </w:pPr>
      <w:r w:rsidRPr="00232D3B">
        <w:rPr>
          <w:rFonts w:ascii="Arial" w:hAnsi="Arial" w:cs="Arial"/>
          <w:sz w:val="24"/>
          <w:szCs w:val="24"/>
        </w:rPr>
        <w:t>[7]</w:t>
      </w:r>
      <w:r w:rsidRPr="00232D3B">
        <w:rPr>
          <w:rFonts w:ascii="Arial" w:hAnsi="Arial" w:cs="Arial"/>
          <w:sz w:val="24"/>
          <w:szCs w:val="24"/>
        </w:rPr>
        <w:tab/>
      </w:r>
      <w:r w:rsidR="006B123B" w:rsidRPr="00AD647B">
        <w:rPr>
          <w:rFonts w:ascii="Arial" w:hAnsi="Arial" w:cs="Arial"/>
          <w:sz w:val="24"/>
          <w:szCs w:val="24"/>
        </w:rPr>
        <w:t xml:space="preserve">In the affidavit filed in support of the application, </w:t>
      </w:r>
      <w:r w:rsidR="006B123B" w:rsidRPr="00232D3B">
        <w:rPr>
          <w:rFonts w:ascii="Arial" w:hAnsi="Arial" w:cs="Arial"/>
          <w:sz w:val="24"/>
          <w:szCs w:val="24"/>
        </w:rPr>
        <w:t>t</w:t>
      </w:r>
      <w:r w:rsidR="007200FD" w:rsidRPr="00232D3B">
        <w:rPr>
          <w:rFonts w:ascii="Arial" w:hAnsi="Arial" w:cs="Arial"/>
          <w:sz w:val="24"/>
          <w:szCs w:val="24"/>
        </w:rPr>
        <w:t>he plaintiff</w:t>
      </w:r>
      <w:r w:rsidR="005A5A79" w:rsidRPr="00232D3B">
        <w:rPr>
          <w:rFonts w:ascii="Arial" w:hAnsi="Arial" w:cs="Arial"/>
          <w:sz w:val="24"/>
          <w:szCs w:val="24"/>
        </w:rPr>
        <w:t>’</w:t>
      </w:r>
      <w:r w:rsidR="0080453F" w:rsidRPr="00232D3B">
        <w:rPr>
          <w:rFonts w:ascii="Arial" w:hAnsi="Arial" w:cs="Arial"/>
          <w:sz w:val="24"/>
          <w:szCs w:val="24"/>
        </w:rPr>
        <w:t>s</w:t>
      </w:r>
      <w:r w:rsidR="007200FD" w:rsidRPr="00232D3B">
        <w:rPr>
          <w:rFonts w:ascii="Arial" w:hAnsi="Arial" w:cs="Arial"/>
          <w:sz w:val="24"/>
          <w:szCs w:val="24"/>
        </w:rPr>
        <w:t xml:space="preserve"> attorney</w:t>
      </w:r>
      <w:r w:rsidR="006B123B" w:rsidRPr="00AD647B">
        <w:rPr>
          <w:rFonts w:ascii="Arial" w:hAnsi="Arial" w:cs="Arial"/>
          <w:sz w:val="24"/>
          <w:szCs w:val="24"/>
        </w:rPr>
        <w:t>,</w:t>
      </w:r>
      <w:r w:rsidR="007200FD" w:rsidRPr="00AD647B">
        <w:rPr>
          <w:rFonts w:ascii="Arial" w:hAnsi="Arial" w:cs="Arial"/>
          <w:sz w:val="24"/>
          <w:szCs w:val="24"/>
        </w:rPr>
        <w:t xml:space="preserve"> </w:t>
      </w:r>
      <w:r w:rsidR="007200FD" w:rsidRPr="00232D3B">
        <w:rPr>
          <w:rFonts w:ascii="Arial" w:hAnsi="Arial" w:cs="Arial"/>
          <w:i/>
          <w:sz w:val="24"/>
          <w:szCs w:val="24"/>
        </w:rPr>
        <w:t>inter alia</w:t>
      </w:r>
      <w:r w:rsidR="006B123B" w:rsidRPr="00AD647B">
        <w:rPr>
          <w:rFonts w:ascii="Arial" w:hAnsi="Arial" w:cs="Arial"/>
          <w:sz w:val="24"/>
          <w:szCs w:val="24"/>
        </w:rPr>
        <w:t>,</w:t>
      </w:r>
      <w:r w:rsidR="007200FD" w:rsidRPr="00232D3B">
        <w:rPr>
          <w:rFonts w:ascii="Arial" w:hAnsi="Arial" w:cs="Arial"/>
          <w:sz w:val="24"/>
          <w:szCs w:val="24"/>
        </w:rPr>
        <w:t xml:space="preserve"> stated:</w:t>
      </w:r>
    </w:p>
    <w:p w14:paraId="24A2B021" w14:textId="77777777" w:rsidR="007200FD" w:rsidRPr="00232D3B" w:rsidRDefault="00BF1B34" w:rsidP="0050406D">
      <w:pPr>
        <w:pStyle w:val="NoSpacing"/>
        <w:rPr>
          <w:rFonts w:ascii="Arial" w:hAnsi="Arial" w:cs="Arial"/>
        </w:rPr>
      </w:pPr>
      <w:r w:rsidRPr="00232D3B">
        <w:rPr>
          <w:rFonts w:ascii="Arial" w:hAnsi="Arial" w:cs="Arial"/>
        </w:rPr>
        <w:t>‘</w:t>
      </w:r>
      <w:r w:rsidR="007200FD" w:rsidRPr="00232D3B">
        <w:rPr>
          <w:rFonts w:ascii="Arial" w:hAnsi="Arial" w:cs="Arial"/>
        </w:rPr>
        <w:t>Prof Jeena the respondent</w:t>
      </w:r>
      <w:r w:rsidR="001D5A2C" w:rsidRPr="00232D3B">
        <w:rPr>
          <w:rFonts w:ascii="Arial" w:hAnsi="Arial" w:cs="Arial"/>
        </w:rPr>
        <w:t>`s</w:t>
      </w:r>
      <w:r w:rsidR="007200FD" w:rsidRPr="00232D3B">
        <w:rPr>
          <w:rFonts w:ascii="Arial" w:hAnsi="Arial" w:cs="Arial"/>
        </w:rPr>
        <w:t xml:space="preserve"> expert witness, specifically refers to Dr G Boon</w:t>
      </w:r>
      <w:r w:rsidR="006B123B" w:rsidRPr="00AD647B">
        <w:rPr>
          <w:rFonts w:ascii="Arial" w:hAnsi="Arial" w:cs="Arial"/>
        </w:rPr>
        <w:t>’</w:t>
      </w:r>
      <w:r w:rsidR="007200FD" w:rsidRPr="00232D3B">
        <w:rPr>
          <w:rFonts w:ascii="Arial" w:hAnsi="Arial" w:cs="Arial"/>
        </w:rPr>
        <w:t xml:space="preserve">s report in her </w:t>
      </w:r>
      <w:r w:rsidR="00936328" w:rsidRPr="00232D3B">
        <w:rPr>
          <w:rFonts w:ascii="Arial" w:hAnsi="Arial" w:cs="Arial"/>
        </w:rPr>
        <w:t xml:space="preserve">(sic) </w:t>
      </w:r>
      <w:r w:rsidR="007659F0" w:rsidRPr="00232D3B">
        <w:rPr>
          <w:rFonts w:ascii="Arial" w:hAnsi="Arial" w:cs="Arial"/>
        </w:rPr>
        <w:t>own expert report</w:t>
      </w:r>
      <w:r w:rsidR="0050406D" w:rsidRPr="00232D3B">
        <w:rPr>
          <w:rFonts w:ascii="Arial" w:hAnsi="Arial" w:cs="Arial"/>
        </w:rPr>
        <w:t>. . .</w:t>
      </w:r>
    </w:p>
    <w:p w14:paraId="104B9F95" w14:textId="77777777" w:rsidR="0050406D" w:rsidRPr="00232D3B" w:rsidRDefault="0050406D" w:rsidP="0050406D">
      <w:pPr>
        <w:pStyle w:val="NoSpacing"/>
        <w:rPr>
          <w:rFonts w:ascii="Arial" w:hAnsi="Arial" w:cs="Arial"/>
        </w:rPr>
      </w:pPr>
    </w:p>
    <w:p w14:paraId="4035D672" w14:textId="77777777" w:rsidR="007200FD" w:rsidRPr="00232D3B" w:rsidRDefault="007200FD" w:rsidP="00AD647B">
      <w:pPr>
        <w:pStyle w:val="NoSpacing"/>
        <w:spacing w:after="120"/>
        <w:jc w:val="both"/>
        <w:rPr>
          <w:rFonts w:ascii="Arial" w:hAnsi="Arial" w:cs="Arial"/>
        </w:rPr>
      </w:pPr>
      <w:r w:rsidRPr="00232D3B">
        <w:rPr>
          <w:rFonts w:ascii="Arial" w:hAnsi="Arial" w:cs="Arial"/>
        </w:rPr>
        <w:t xml:space="preserve">With </w:t>
      </w:r>
      <w:r w:rsidR="001D5A2C" w:rsidRPr="00232D3B">
        <w:rPr>
          <w:rFonts w:ascii="Arial" w:hAnsi="Arial" w:cs="Arial"/>
        </w:rPr>
        <w:t>respect, the</w:t>
      </w:r>
      <w:r w:rsidRPr="00232D3B">
        <w:rPr>
          <w:rFonts w:ascii="Arial" w:hAnsi="Arial" w:cs="Arial"/>
        </w:rPr>
        <w:t xml:space="preserve"> </w:t>
      </w:r>
      <w:r w:rsidR="001D5A2C" w:rsidRPr="00232D3B">
        <w:rPr>
          <w:rFonts w:ascii="Arial" w:hAnsi="Arial" w:cs="Arial"/>
        </w:rPr>
        <w:t>respondent’s</w:t>
      </w:r>
      <w:r w:rsidRPr="00232D3B">
        <w:rPr>
          <w:rFonts w:ascii="Arial" w:hAnsi="Arial" w:cs="Arial"/>
        </w:rPr>
        <w:t xml:space="preserve"> contention to the effect that Dr G Boons report is confidential internal privileged opinion is baseless</w:t>
      </w:r>
      <w:r w:rsidR="006B123B" w:rsidRPr="00232D3B">
        <w:rPr>
          <w:rFonts w:ascii="Arial" w:hAnsi="Arial" w:cs="Arial"/>
        </w:rPr>
        <w:t xml:space="preserve">. . . </w:t>
      </w:r>
    </w:p>
    <w:p w14:paraId="6C70998B" w14:textId="4EE72F4B" w:rsidR="007200FD" w:rsidRPr="00232D3B" w:rsidRDefault="007200FD" w:rsidP="0050406D">
      <w:pPr>
        <w:pStyle w:val="NoSpacing"/>
        <w:jc w:val="both"/>
        <w:rPr>
          <w:rFonts w:ascii="Arial" w:hAnsi="Arial" w:cs="Arial"/>
          <w:sz w:val="24"/>
          <w:szCs w:val="24"/>
        </w:rPr>
      </w:pPr>
      <w:r w:rsidRPr="00232D3B">
        <w:rPr>
          <w:rFonts w:ascii="Arial" w:hAnsi="Arial" w:cs="Arial"/>
        </w:rPr>
        <w:lastRenderedPageBreak/>
        <w:t>A trial date has been allocated in this matter. Applicant is prejudiced in her on going preparations for trial by virtue of the Respondent</w:t>
      </w:r>
      <w:r w:rsidR="006B123B" w:rsidRPr="00AD647B">
        <w:rPr>
          <w:rFonts w:ascii="Arial" w:hAnsi="Arial" w:cs="Arial"/>
        </w:rPr>
        <w:t>’</w:t>
      </w:r>
      <w:r w:rsidRPr="00232D3B">
        <w:rPr>
          <w:rFonts w:ascii="Arial" w:hAnsi="Arial" w:cs="Arial"/>
        </w:rPr>
        <w:t>s failure to timeously produce Dr G Boon</w:t>
      </w:r>
      <w:r w:rsidR="003D3747" w:rsidRPr="00232D3B">
        <w:rPr>
          <w:rFonts w:ascii="Arial" w:hAnsi="Arial" w:cs="Arial"/>
        </w:rPr>
        <w:t>’</w:t>
      </w:r>
      <w:r w:rsidRPr="00232D3B">
        <w:rPr>
          <w:rFonts w:ascii="Arial" w:hAnsi="Arial" w:cs="Arial"/>
        </w:rPr>
        <w:t>s report as requested in the Rule 35(3) Notice.</w:t>
      </w:r>
      <w:r w:rsidR="0057265B" w:rsidRPr="00232D3B">
        <w:rPr>
          <w:rFonts w:ascii="Arial" w:hAnsi="Arial" w:cs="Arial"/>
        </w:rPr>
        <w:t>’</w:t>
      </w:r>
    </w:p>
    <w:p w14:paraId="36BF6A4C" w14:textId="77777777" w:rsidR="00BF1B34" w:rsidRPr="00232D3B" w:rsidRDefault="00BF1B34" w:rsidP="0055599A">
      <w:pPr>
        <w:spacing w:after="0" w:line="360" w:lineRule="auto"/>
        <w:jc w:val="both"/>
        <w:rPr>
          <w:rFonts w:ascii="Arial" w:hAnsi="Arial" w:cs="Arial"/>
          <w:sz w:val="24"/>
          <w:szCs w:val="24"/>
        </w:rPr>
      </w:pPr>
    </w:p>
    <w:p w14:paraId="685DC8BD" w14:textId="77777777" w:rsidR="007200FD" w:rsidRPr="00232D3B" w:rsidRDefault="0057265B" w:rsidP="0057265B">
      <w:pPr>
        <w:spacing w:after="0" w:line="360" w:lineRule="auto"/>
        <w:jc w:val="both"/>
        <w:rPr>
          <w:rFonts w:ascii="Arial" w:hAnsi="Arial" w:cs="Arial"/>
          <w:sz w:val="24"/>
          <w:szCs w:val="24"/>
        </w:rPr>
      </w:pPr>
      <w:r w:rsidRPr="00232D3B">
        <w:rPr>
          <w:rFonts w:ascii="Arial" w:hAnsi="Arial" w:cs="Arial"/>
          <w:sz w:val="24"/>
          <w:szCs w:val="24"/>
        </w:rPr>
        <w:t>[8]</w:t>
      </w:r>
      <w:r w:rsidRPr="00232D3B">
        <w:rPr>
          <w:rFonts w:ascii="Arial" w:hAnsi="Arial" w:cs="Arial"/>
          <w:sz w:val="24"/>
          <w:szCs w:val="24"/>
        </w:rPr>
        <w:tab/>
      </w:r>
      <w:r w:rsidR="006B123B" w:rsidRPr="00AD647B">
        <w:rPr>
          <w:rFonts w:ascii="Arial" w:hAnsi="Arial" w:cs="Arial"/>
          <w:sz w:val="24"/>
          <w:szCs w:val="24"/>
        </w:rPr>
        <w:t>No indication was given in the affidavit as to the report’s relevance and precisely</w:t>
      </w:r>
      <w:r w:rsidR="007200FD" w:rsidRPr="00AD647B">
        <w:rPr>
          <w:rFonts w:ascii="Arial" w:hAnsi="Arial" w:cs="Arial"/>
          <w:sz w:val="24"/>
          <w:szCs w:val="24"/>
        </w:rPr>
        <w:t xml:space="preserve"> </w:t>
      </w:r>
      <w:r w:rsidR="007200FD" w:rsidRPr="00232D3B">
        <w:rPr>
          <w:rFonts w:ascii="Arial" w:hAnsi="Arial" w:cs="Arial"/>
          <w:sz w:val="24"/>
          <w:szCs w:val="24"/>
        </w:rPr>
        <w:t xml:space="preserve">why or how </w:t>
      </w:r>
      <w:r w:rsidR="006B123B" w:rsidRPr="00AD647B">
        <w:rPr>
          <w:rFonts w:ascii="Arial" w:hAnsi="Arial" w:cs="Arial"/>
          <w:sz w:val="24"/>
          <w:szCs w:val="24"/>
        </w:rPr>
        <w:t>the plaintiff would</w:t>
      </w:r>
      <w:r w:rsidR="007200FD" w:rsidRPr="00232D3B">
        <w:rPr>
          <w:rFonts w:ascii="Arial" w:hAnsi="Arial" w:cs="Arial"/>
          <w:sz w:val="24"/>
          <w:szCs w:val="24"/>
        </w:rPr>
        <w:t xml:space="preserve"> be prejudiced in the preparation </w:t>
      </w:r>
      <w:r w:rsidR="006B123B" w:rsidRPr="00AD647B">
        <w:rPr>
          <w:rFonts w:ascii="Arial" w:hAnsi="Arial" w:cs="Arial"/>
          <w:sz w:val="24"/>
          <w:szCs w:val="24"/>
        </w:rPr>
        <w:t>for</w:t>
      </w:r>
      <w:r w:rsidR="007200FD" w:rsidRPr="00232D3B">
        <w:rPr>
          <w:rFonts w:ascii="Arial" w:hAnsi="Arial" w:cs="Arial"/>
          <w:sz w:val="24"/>
          <w:szCs w:val="24"/>
        </w:rPr>
        <w:t xml:space="preserve"> her trial</w:t>
      </w:r>
      <w:r w:rsidR="006B123B" w:rsidRPr="00232D3B">
        <w:rPr>
          <w:rFonts w:ascii="Arial" w:hAnsi="Arial" w:cs="Arial"/>
          <w:sz w:val="24"/>
          <w:szCs w:val="24"/>
        </w:rPr>
        <w:t>.</w:t>
      </w:r>
      <w:r w:rsidR="007200FD" w:rsidRPr="00232D3B">
        <w:rPr>
          <w:rFonts w:ascii="Arial" w:hAnsi="Arial" w:cs="Arial"/>
          <w:sz w:val="24"/>
          <w:szCs w:val="24"/>
        </w:rPr>
        <w:t xml:space="preserve"> </w:t>
      </w:r>
    </w:p>
    <w:p w14:paraId="70EAE069" w14:textId="77777777" w:rsidR="003D0950" w:rsidRPr="00232D3B" w:rsidRDefault="003D0950" w:rsidP="0055599A">
      <w:pPr>
        <w:spacing w:after="0" w:line="360" w:lineRule="auto"/>
        <w:jc w:val="both"/>
        <w:rPr>
          <w:rFonts w:ascii="Arial" w:hAnsi="Arial" w:cs="Arial"/>
          <w:sz w:val="24"/>
          <w:szCs w:val="24"/>
        </w:rPr>
      </w:pPr>
    </w:p>
    <w:p w14:paraId="7DB00F9B" w14:textId="77777777" w:rsidR="007200FD" w:rsidRPr="00232D3B" w:rsidRDefault="003D0950" w:rsidP="0055599A">
      <w:pPr>
        <w:spacing w:after="120" w:line="360" w:lineRule="auto"/>
        <w:jc w:val="both"/>
        <w:rPr>
          <w:rFonts w:ascii="Arial" w:hAnsi="Arial" w:cs="Arial"/>
          <w:sz w:val="24"/>
          <w:szCs w:val="24"/>
        </w:rPr>
      </w:pPr>
      <w:r w:rsidRPr="00232D3B">
        <w:rPr>
          <w:rFonts w:ascii="Arial" w:hAnsi="Arial" w:cs="Arial"/>
          <w:sz w:val="24"/>
          <w:szCs w:val="24"/>
        </w:rPr>
        <w:t>[9]</w:t>
      </w:r>
      <w:r w:rsidRPr="00232D3B">
        <w:rPr>
          <w:rFonts w:ascii="Arial" w:hAnsi="Arial" w:cs="Arial"/>
          <w:sz w:val="24"/>
          <w:szCs w:val="24"/>
        </w:rPr>
        <w:tab/>
      </w:r>
      <w:r w:rsidR="007200FD" w:rsidRPr="00232D3B">
        <w:rPr>
          <w:rFonts w:ascii="Arial" w:hAnsi="Arial" w:cs="Arial"/>
          <w:sz w:val="24"/>
          <w:szCs w:val="24"/>
        </w:rPr>
        <w:t xml:space="preserve">The application was opposed </w:t>
      </w:r>
      <w:r w:rsidR="006B123B" w:rsidRPr="00232D3B">
        <w:rPr>
          <w:rFonts w:ascii="Arial" w:hAnsi="Arial" w:cs="Arial"/>
          <w:sz w:val="24"/>
          <w:szCs w:val="24"/>
        </w:rPr>
        <w:t>by the defendant</w:t>
      </w:r>
      <w:r w:rsidR="00C90560" w:rsidRPr="00232D3B">
        <w:rPr>
          <w:rFonts w:ascii="Arial" w:hAnsi="Arial" w:cs="Arial"/>
          <w:sz w:val="24"/>
          <w:szCs w:val="24"/>
        </w:rPr>
        <w:t xml:space="preserve">, </w:t>
      </w:r>
      <w:r w:rsidR="007200FD" w:rsidRPr="00232D3B">
        <w:rPr>
          <w:rFonts w:ascii="Arial" w:hAnsi="Arial" w:cs="Arial"/>
          <w:sz w:val="24"/>
          <w:szCs w:val="24"/>
        </w:rPr>
        <w:t xml:space="preserve">and </w:t>
      </w:r>
      <w:r w:rsidR="007200FD" w:rsidRPr="00AD647B">
        <w:rPr>
          <w:rFonts w:ascii="Arial" w:hAnsi="Arial" w:cs="Arial"/>
          <w:sz w:val="24"/>
          <w:szCs w:val="24"/>
        </w:rPr>
        <w:t xml:space="preserve">in </w:t>
      </w:r>
      <w:r w:rsidR="006B123B" w:rsidRPr="00AD647B">
        <w:rPr>
          <w:rFonts w:ascii="Arial" w:hAnsi="Arial" w:cs="Arial"/>
          <w:sz w:val="24"/>
          <w:szCs w:val="24"/>
        </w:rPr>
        <w:t>an affidavit deposed to by Ms</w:t>
      </w:r>
      <w:r w:rsidR="007200FD" w:rsidRPr="00232D3B">
        <w:rPr>
          <w:rFonts w:ascii="Arial" w:hAnsi="Arial" w:cs="Arial"/>
          <w:sz w:val="24"/>
          <w:szCs w:val="24"/>
        </w:rPr>
        <w:t xml:space="preserve"> Fundiswa Ncula</w:t>
      </w:r>
      <w:r w:rsidR="006B123B" w:rsidRPr="00232D3B">
        <w:rPr>
          <w:rStyle w:val="FootnoteReference"/>
          <w:rFonts w:ascii="Arial" w:hAnsi="Arial" w:cs="Arial"/>
          <w:sz w:val="24"/>
          <w:szCs w:val="24"/>
        </w:rPr>
        <w:footnoteReference w:id="3"/>
      </w:r>
      <w:r w:rsidR="006B123B" w:rsidRPr="00232D3B">
        <w:rPr>
          <w:rFonts w:ascii="Arial" w:hAnsi="Arial" w:cs="Arial"/>
          <w:sz w:val="24"/>
          <w:szCs w:val="24"/>
        </w:rPr>
        <w:t>,</w:t>
      </w:r>
      <w:r w:rsidR="006508E9" w:rsidRPr="00232D3B">
        <w:rPr>
          <w:rFonts w:ascii="Arial" w:hAnsi="Arial" w:cs="Arial"/>
          <w:sz w:val="24"/>
          <w:szCs w:val="24"/>
        </w:rPr>
        <w:t xml:space="preserve"> </w:t>
      </w:r>
      <w:r w:rsidR="007200FD" w:rsidRPr="00232D3B">
        <w:rPr>
          <w:rFonts w:ascii="Arial" w:hAnsi="Arial" w:cs="Arial"/>
          <w:i/>
          <w:sz w:val="24"/>
          <w:szCs w:val="24"/>
        </w:rPr>
        <w:t>inter alia</w:t>
      </w:r>
      <w:r w:rsidR="006B123B" w:rsidRPr="00232D3B">
        <w:rPr>
          <w:rFonts w:ascii="Arial" w:hAnsi="Arial" w:cs="Arial"/>
          <w:sz w:val="24"/>
          <w:szCs w:val="24"/>
        </w:rPr>
        <w:t>,</w:t>
      </w:r>
      <w:r w:rsidR="007200FD" w:rsidRPr="00232D3B">
        <w:rPr>
          <w:rFonts w:ascii="Arial" w:hAnsi="Arial" w:cs="Arial"/>
          <w:sz w:val="24"/>
          <w:szCs w:val="24"/>
        </w:rPr>
        <w:t xml:space="preserve"> </w:t>
      </w:r>
      <w:r w:rsidR="00704098" w:rsidRPr="00AD647B">
        <w:rPr>
          <w:rFonts w:ascii="Arial" w:hAnsi="Arial" w:cs="Arial"/>
          <w:sz w:val="24"/>
          <w:szCs w:val="24"/>
        </w:rPr>
        <w:t xml:space="preserve">the following was </w:t>
      </w:r>
      <w:r w:rsidR="007200FD" w:rsidRPr="00232D3B">
        <w:rPr>
          <w:rFonts w:ascii="Arial" w:hAnsi="Arial" w:cs="Arial"/>
          <w:sz w:val="24"/>
          <w:szCs w:val="24"/>
        </w:rPr>
        <w:t>stated:</w:t>
      </w:r>
    </w:p>
    <w:p w14:paraId="32B01249" w14:textId="160E1F99" w:rsidR="007200FD" w:rsidRPr="00232D3B" w:rsidRDefault="008C67CB" w:rsidP="00704098">
      <w:pPr>
        <w:pStyle w:val="NoSpacing"/>
        <w:ind w:left="720" w:hanging="720"/>
        <w:jc w:val="both"/>
        <w:rPr>
          <w:rFonts w:ascii="Arial" w:hAnsi="Arial" w:cs="Arial"/>
        </w:rPr>
      </w:pPr>
      <w:r w:rsidRPr="00232D3B">
        <w:rPr>
          <w:rFonts w:ascii="Arial" w:hAnsi="Arial" w:cs="Arial"/>
        </w:rPr>
        <w:t>‘</w:t>
      </w:r>
      <w:r w:rsidR="0050406D" w:rsidRPr="00232D3B">
        <w:rPr>
          <w:rFonts w:ascii="Arial" w:hAnsi="Arial" w:cs="Arial"/>
        </w:rPr>
        <w:t>5.</w:t>
      </w:r>
      <w:r w:rsidR="00704098" w:rsidRPr="00232D3B">
        <w:rPr>
          <w:rFonts w:ascii="Arial" w:hAnsi="Arial" w:cs="Arial"/>
        </w:rPr>
        <w:tab/>
      </w:r>
      <w:r w:rsidR="007200FD" w:rsidRPr="00232D3B">
        <w:rPr>
          <w:rFonts w:ascii="Arial" w:hAnsi="Arial" w:cs="Arial"/>
        </w:rPr>
        <w:t xml:space="preserve">This application is opposed on the ground that the report sought by the </w:t>
      </w:r>
      <w:r w:rsidR="00903767" w:rsidRPr="00232D3B">
        <w:rPr>
          <w:rFonts w:ascii="Arial" w:hAnsi="Arial" w:cs="Arial"/>
        </w:rPr>
        <w:t>applicant is an incomplete fact-</w:t>
      </w:r>
      <w:r w:rsidR="007200FD" w:rsidRPr="00232D3B">
        <w:rPr>
          <w:rFonts w:ascii="Arial" w:hAnsi="Arial" w:cs="Arial"/>
        </w:rPr>
        <w:t>finding document and a document meant for circulation within the Departmen</w:t>
      </w:r>
      <w:r w:rsidR="00704098" w:rsidRPr="00232D3B">
        <w:rPr>
          <w:rFonts w:ascii="Arial" w:hAnsi="Arial" w:cs="Arial"/>
        </w:rPr>
        <w:t xml:space="preserve">t of Health in the Eastern Cape . . . </w:t>
      </w:r>
      <w:r w:rsidR="007200FD" w:rsidRPr="00232D3B">
        <w:rPr>
          <w:rFonts w:ascii="Arial" w:hAnsi="Arial" w:cs="Arial"/>
        </w:rPr>
        <w:t>The report was meant for the attention of t</w:t>
      </w:r>
      <w:r w:rsidR="00D032A9" w:rsidRPr="00232D3B">
        <w:rPr>
          <w:rFonts w:ascii="Arial" w:hAnsi="Arial" w:cs="Arial"/>
        </w:rPr>
        <w:t>he employees of the D</w:t>
      </w:r>
      <w:r w:rsidR="00C90560" w:rsidRPr="00232D3B">
        <w:rPr>
          <w:rFonts w:ascii="Arial" w:hAnsi="Arial" w:cs="Arial"/>
        </w:rPr>
        <w:t>epartment</w:t>
      </w:r>
      <w:r w:rsidR="00D032A9" w:rsidRPr="00232D3B">
        <w:rPr>
          <w:rFonts w:ascii="Arial" w:hAnsi="Arial" w:cs="Arial"/>
        </w:rPr>
        <w:t xml:space="preserve"> of H</w:t>
      </w:r>
      <w:r w:rsidR="007200FD" w:rsidRPr="00232D3B">
        <w:rPr>
          <w:rFonts w:ascii="Arial" w:hAnsi="Arial" w:cs="Arial"/>
        </w:rPr>
        <w:t>ealth, Eastern Cape. Dr Boon is a general paediatrician employed by the Department of Health Eastern Cape.</w:t>
      </w:r>
      <w:r w:rsidR="00704098" w:rsidRPr="00232D3B">
        <w:rPr>
          <w:rFonts w:ascii="Arial" w:hAnsi="Arial" w:cs="Arial"/>
        </w:rPr>
        <w:t xml:space="preserve"> . . </w:t>
      </w:r>
    </w:p>
    <w:p w14:paraId="27BA58A2" w14:textId="77777777" w:rsidR="00704098" w:rsidRPr="00232D3B" w:rsidRDefault="00704098" w:rsidP="00704098">
      <w:pPr>
        <w:pStyle w:val="NoSpacing"/>
        <w:ind w:left="720" w:hanging="720"/>
        <w:jc w:val="both"/>
        <w:rPr>
          <w:rFonts w:ascii="Arial" w:hAnsi="Arial" w:cs="Arial"/>
          <w:sz w:val="10"/>
          <w:szCs w:val="10"/>
        </w:rPr>
      </w:pPr>
    </w:p>
    <w:p w14:paraId="32E6F7B9" w14:textId="77777777" w:rsidR="00704098" w:rsidRPr="00232D3B" w:rsidRDefault="0050406D" w:rsidP="00704098">
      <w:pPr>
        <w:pStyle w:val="NoSpacing"/>
        <w:jc w:val="both"/>
        <w:rPr>
          <w:rFonts w:ascii="Arial" w:hAnsi="Arial" w:cs="Arial"/>
        </w:rPr>
      </w:pPr>
      <w:r w:rsidRPr="00232D3B">
        <w:rPr>
          <w:rFonts w:ascii="Arial" w:hAnsi="Arial" w:cs="Arial"/>
        </w:rPr>
        <w:t>6.</w:t>
      </w:r>
      <w:r w:rsidR="00C57B27" w:rsidRPr="00232D3B">
        <w:rPr>
          <w:rFonts w:ascii="Arial" w:hAnsi="Arial" w:cs="Arial"/>
        </w:rPr>
        <w:tab/>
      </w:r>
      <w:r w:rsidR="00704098" w:rsidRPr="00232D3B">
        <w:rPr>
          <w:rFonts w:ascii="Arial" w:hAnsi="Arial" w:cs="Arial"/>
        </w:rPr>
        <w:t>[</w:t>
      </w:r>
      <w:r w:rsidR="007200FD" w:rsidRPr="00232D3B">
        <w:rPr>
          <w:rFonts w:ascii="Arial" w:hAnsi="Arial" w:cs="Arial"/>
        </w:rPr>
        <w:t>Dr Boon</w:t>
      </w:r>
      <w:r w:rsidR="00B411E9" w:rsidRPr="00232D3B">
        <w:rPr>
          <w:rFonts w:ascii="Arial" w:hAnsi="Arial" w:cs="Arial"/>
        </w:rPr>
        <w:t>’</w:t>
      </w:r>
      <w:r w:rsidR="007200FD" w:rsidRPr="00232D3B">
        <w:rPr>
          <w:rFonts w:ascii="Arial" w:hAnsi="Arial" w:cs="Arial"/>
        </w:rPr>
        <w:t>s</w:t>
      </w:r>
      <w:r w:rsidR="00704098" w:rsidRPr="00232D3B">
        <w:rPr>
          <w:rFonts w:ascii="Arial" w:hAnsi="Arial" w:cs="Arial"/>
        </w:rPr>
        <w:t>]</w:t>
      </w:r>
      <w:r w:rsidR="007200FD" w:rsidRPr="00232D3B">
        <w:rPr>
          <w:rFonts w:ascii="Arial" w:hAnsi="Arial" w:cs="Arial"/>
        </w:rPr>
        <w:t xml:space="preserve"> report</w:t>
      </w:r>
      <w:r w:rsidR="00704098" w:rsidRPr="00232D3B">
        <w:rPr>
          <w:rFonts w:ascii="Arial" w:hAnsi="Arial" w:cs="Arial"/>
        </w:rPr>
        <w:t xml:space="preserve"> has the following markings and/o</w:t>
      </w:r>
      <w:r w:rsidR="007200FD" w:rsidRPr="00232D3B">
        <w:rPr>
          <w:rFonts w:ascii="Arial" w:hAnsi="Arial" w:cs="Arial"/>
        </w:rPr>
        <w:t xml:space="preserve">r important </w:t>
      </w:r>
      <w:r w:rsidR="00704098" w:rsidRPr="00232D3B">
        <w:rPr>
          <w:rFonts w:ascii="Arial" w:hAnsi="Arial" w:cs="Arial"/>
        </w:rPr>
        <w:t xml:space="preserve">features: </w:t>
      </w:r>
      <w:r w:rsidR="007A0402" w:rsidRPr="00232D3B">
        <w:rPr>
          <w:rFonts w:ascii="Arial" w:hAnsi="Arial" w:cs="Arial"/>
        </w:rPr>
        <w:t xml:space="preserve"> </w:t>
      </w:r>
    </w:p>
    <w:p w14:paraId="61BA48E0" w14:textId="77777777" w:rsidR="00704098" w:rsidRPr="00232D3B" w:rsidRDefault="00704098" w:rsidP="00704098">
      <w:pPr>
        <w:pStyle w:val="NoSpacing"/>
        <w:ind w:left="1440" w:hanging="720"/>
        <w:jc w:val="both"/>
        <w:rPr>
          <w:rFonts w:ascii="Arial" w:hAnsi="Arial" w:cs="Arial"/>
        </w:rPr>
      </w:pPr>
      <w:r w:rsidRPr="00232D3B">
        <w:rPr>
          <w:rFonts w:ascii="Arial" w:hAnsi="Arial" w:cs="Arial"/>
        </w:rPr>
        <w:t>6.1</w:t>
      </w:r>
      <w:r w:rsidRPr="00232D3B">
        <w:rPr>
          <w:rFonts w:ascii="Arial" w:hAnsi="Arial" w:cs="Arial"/>
        </w:rPr>
        <w:tab/>
      </w:r>
      <w:r w:rsidR="007A0402" w:rsidRPr="00232D3B">
        <w:rPr>
          <w:rFonts w:ascii="Arial" w:hAnsi="Arial" w:cs="Arial"/>
        </w:rPr>
        <w:t>It</w:t>
      </w:r>
      <w:r w:rsidR="007200FD" w:rsidRPr="00232D3B">
        <w:rPr>
          <w:rFonts w:ascii="Arial" w:hAnsi="Arial" w:cs="Arial"/>
        </w:rPr>
        <w:t xml:space="preserve"> is addressed to and for the attention of Dr Go</w:t>
      </w:r>
      <w:r w:rsidR="00113622" w:rsidRPr="00232D3B">
        <w:rPr>
          <w:rFonts w:ascii="Arial" w:hAnsi="Arial" w:cs="Arial"/>
        </w:rPr>
        <w:t>uws who is an employee</w:t>
      </w:r>
      <w:r w:rsidR="007200FD" w:rsidRPr="00232D3B">
        <w:rPr>
          <w:rFonts w:ascii="Arial" w:hAnsi="Arial" w:cs="Arial"/>
        </w:rPr>
        <w:t xml:space="preserve"> of the Department. </w:t>
      </w:r>
    </w:p>
    <w:p w14:paraId="428A9CF4" w14:textId="77777777" w:rsidR="00704098" w:rsidRPr="00232D3B" w:rsidRDefault="00704098" w:rsidP="00704098">
      <w:pPr>
        <w:pStyle w:val="NoSpacing"/>
        <w:ind w:firstLine="720"/>
        <w:jc w:val="both"/>
        <w:rPr>
          <w:rFonts w:ascii="Arial" w:hAnsi="Arial" w:cs="Arial"/>
        </w:rPr>
      </w:pPr>
      <w:r w:rsidRPr="00232D3B">
        <w:rPr>
          <w:rFonts w:ascii="Arial" w:hAnsi="Arial" w:cs="Arial"/>
        </w:rPr>
        <w:t>6.2</w:t>
      </w:r>
      <w:r w:rsidRPr="00232D3B">
        <w:rPr>
          <w:rFonts w:ascii="Arial" w:hAnsi="Arial" w:cs="Arial"/>
        </w:rPr>
        <w:tab/>
      </w:r>
      <w:r w:rsidR="007200FD" w:rsidRPr="00232D3B">
        <w:rPr>
          <w:rFonts w:ascii="Arial" w:hAnsi="Arial" w:cs="Arial"/>
        </w:rPr>
        <w:t xml:space="preserve">It is marked without prejudice. </w:t>
      </w:r>
    </w:p>
    <w:p w14:paraId="5AB425D7" w14:textId="77777777" w:rsidR="007200FD" w:rsidRPr="00232D3B" w:rsidRDefault="00704098" w:rsidP="00704098">
      <w:pPr>
        <w:pStyle w:val="NoSpacing"/>
        <w:ind w:left="1440" w:hanging="720"/>
        <w:jc w:val="both"/>
        <w:rPr>
          <w:rFonts w:ascii="Arial" w:hAnsi="Arial" w:cs="Arial"/>
        </w:rPr>
      </w:pPr>
      <w:r w:rsidRPr="00232D3B">
        <w:rPr>
          <w:rFonts w:ascii="Arial" w:hAnsi="Arial" w:cs="Arial"/>
        </w:rPr>
        <w:t>6.3</w:t>
      </w:r>
      <w:r w:rsidRPr="00232D3B">
        <w:rPr>
          <w:rFonts w:ascii="Arial" w:hAnsi="Arial" w:cs="Arial"/>
        </w:rPr>
        <w:tab/>
      </w:r>
      <w:r w:rsidR="007200FD" w:rsidRPr="00232D3B">
        <w:rPr>
          <w:rFonts w:ascii="Arial" w:hAnsi="Arial" w:cs="Arial"/>
        </w:rPr>
        <w:t>And it is also marked not for court purposes.</w:t>
      </w:r>
      <w:r w:rsidR="00204268" w:rsidRPr="00232D3B">
        <w:rPr>
          <w:rFonts w:ascii="Arial" w:hAnsi="Arial" w:cs="Arial"/>
        </w:rPr>
        <w:t xml:space="preserve"> </w:t>
      </w:r>
      <w:r w:rsidR="007200FD" w:rsidRPr="00232D3B">
        <w:rPr>
          <w:rFonts w:ascii="Arial" w:hAnsi="Arial" w:cs="Arial"/>
        </w:rPr>
        <w:t>I</w:t>
      </w:r>
      <w:r w:rsidRPr="00232D3B">
        <w:rPr>
          <w:rFonts w:ascii="Arial" w:hAnsi="Arial" w:cs="Arial"/>
        </w:rPr>
        <w:t>t was subsequently sent to the State A</w:t>
      </w:r>
      <w:r w:rsidR="007200FD" w:rsidRPr="00232D3B">
        <w:rPr>
          <w:rFonts w:ascii="Arial" w:hAnsi="Arial" w:cs="Arial"/>
        </w:rPr>
        <w:t>ttorney</w:t>
      </w:r>
      <w:r w:rsidRPr="00232D3B">
        <w:rPr>
          <w:rFonts w:ascii="Arial" w:hAnsi="Arial" w:cs="Arial"/>
        </w:rPr>
        <w:t xml:space="preserve"> for advice on issues raised in the report</w:t>
      </w:r>
      <w:r w:rsidR="007200FD" w:rsidRPr="00232D3B">
        <w:rPr>
          <w:rFonts w:ascii="Arial" w:hAnsi="Arial" w:cs="Arial"/>
        </w:rPr>
        <w:t>.</w:t>
      </w:r>
      <w:r w:rsidR="00C57B27" w:rsidRPr="00232D3B">
        <w:rPr>
          <w:rFonts w:ascii="Arial" w:hAnsi="Arial" w:cs="Arial"/>
        </w:rPr>
        <w:t>’</w:t>
      </w:r>
    </w:p>
    <w:p w14:paraId="4C1C83D8" w14:textId="77777777" w:rsidR="00196582" w:rsidRPr="00232D3B" w:rsidRDefault="00196582" w:rsidP="0055599A">
      <w:pPr>
        <w:spacing w:after="0" w:line="360" w:lineRule="auto"/>
        <w:ind w:left="720" w:hanging="720"/>
        <w:jc w:val="both"/>
        <w:rPr>
          <w:rFonts w:ascii="Arial" w:hAnsi="Arial" w:cs="Arial"/>
          <w:iCs/>
        </w:rPr>
      </w:pPr>
    </w:p>
    <w:p w14:paraId="7CFACE08" w14:textId="77777777" w:rsidR="007200FD" w:rsidRPr="00232D3B" w:rsidRDefault="00F02114" w:rsidP="00A72681">
      <w:pPr>
        <w:spacing w:after="0" w:line="360" w:lineRule="auto"/>
        <w:jc w:val="both"/>
        <w:rPr>
          <w:rFonts w:ascii="Arial" w:hAnsi="Arial" w:cs="Arial"/>
          <w:iCs/>
          <w:sz w:val="24"/>
          <w:szCs w:val="24"/>
        </w:rPr>
      </w:pPr>
      <w:r w:rsidRPr="00232D3B">
        <w:rPr>
          <w:rFonts w:ascii="Arial" w:hAnsi="Arial" w:cs="Arial"/>
          <w:iCs/>
          <w:sz w:val="24"/>
          <w:szCs w:val="24"/>
        </w:rPr>
        <w:t>[10]</w:t>
      </w:r>
      <w:r w:rsidRPr="00232D3B">
        <w:rPr>
          <w:rFonts w:ascii="Arial" w:hAnsi="Arial" w:cs="Arial"/>
          <w:iCs/>
          <w:sz w:val="24"/>
          <w:szCs w:val="24"/>
        </w:rPr>
        <w:tab/>
      </w:r>
      <w:r w:rsidR="00AE3DA5" w:rsidRPr="00AD647B">
        <w:rPr>
          <w:rFonts w:ascii="Arial" w:hAnsi="Arial" w:cs="Arial"/>
          <w:iCs/>
          <w:sz w:val="24"/>
          <w:szCs w:val="24"/>
        </w:rPr>
        <w:t xml:space="preserve">Ms Ncula went </w:t>
      </w:r>
      <w:r w:rsidR="007200FD" w:rsidRPr="00232D3B">
        <w:rPr>
          <w:rFonts w:ascii="Arial" w:hAnsi="Arial" w:cs="Arial"/>
          <w:iCs/>
          <w:sz w:val="24"/>
          <w:szCs w:val="24"/>
        </w:rPr>
        <w:t>on to say that Dr Boon</w:t>
      </w:r>
      <w:r w:rsidRPr="00232D3B">
        <w:rPr>
          <w:rFonts w:ascii="Arial" w:hAnsi="Arial" w:cs="Arial"/>
          <w:iCs/>
          <w:sz w:val="24"/>
          <w:szCs w:val="24"/>
        </w:rPr>
        <w:t>’</w:t>
      </w:r>
      <w:r w:rsidR="007200FD" w:rsidRPr="00232D3B">
        <w:rPr>
          <w:rFonts w:ascii="Arial" w:hAnsi="Arial" w:cs="Arial"/>
          <w:iCs/>
          <w:sz w:val="24"/>
          <w:szCs w:val="24"/>
        </w:rPr>
        <w:t>s report is a privileged document.</w:t>
      </w:r>
    </w:p>
    <w:p w14:paraId="3CBEFD92" w14:textId="77777777" w:rsidR="00F02114" w:rsidRPr="00232D3B" w:rsidRDefault="00F02114" w:rsidP="0055599A">
      <w:pPr>
        <w:spacing w:after="0" w:line="360" w:lineRule="auto"/>
        <w:jc w:val="both"/>
        <w:rPr>
          <w:rFonts w:ascii="Arial" w:hAnsi="Arial" w:cs="Arial"/>
          <w:iCs/>
          <w:sz w:val="24"/>
          <w:szCs w:val="24"/>
        </w:rPr>
      </w:pPr>
    </w:p>
    <w:p w14:paraId="06129CD7" w14:textId="77777777" w:rsidR="00F50C91" w:rsidRPr="00232D3B" w:rsidRDefault="00F02114" w:rsidP="00F02114">
      <w:pPr>
        <w:spacing w:after="0" w:line="360" w:lineRule="auto"/>
        <w:jc w:val="both"/>
        <w:rPr>
          <w:rFonts w:ascii="Arial" w:hAnsi="Arial" w:cs="Arial"/>
          <w:iCs/>
          <w:sz w:val="24"/>
          <w:szCs w:val="24"/>
        </w:rPr>
      </w:pPr>
      <w:r w:rsidRPr="00232D3B">
        <w:rPr>
          <w:rFonts w:ascii="Arial" w:hAnsi="Arial" w:cs="Arial"/>
          <w:iCs/>
          <w:sz w:val="24"/>
          <w:szCs w:val="24"/>
        </w:rPr>
        <w:t>[11]</w:t>
      </w:r>
      <w:r w:rsidRPr="00232D3B">
        <w:rPr>
          <w:rFonts w:ascii="Arial" w:hAnsi="Arial" w:cs="Arial"/>
          <w:iCs/>
          <w:sz w:val="24"/>
          <w:szCs w:val="24"/>
        </w:rPr>
        <w:tab/>
      </w:r>
      <w:r w:rsidR="00AE3DA5" w:rsidRPr="00AD647B">
        <w:rPr>
          <w:rFonts w:ascii="Arial" w:hAnsi="Arial" w:cs="Arial"/>
          <w:iCs/>
          <w:sz w:val="24"/>
          <w:szCs w:val="24"/>
        </w:rPr>
        <w:t xml:space="preserve">Ms </w:t>
      </w:r>
      <w:r w:rsidR="008F0081" w:rsidRPr="00232D3B">
        <w:rPr>
          <w:rFonts w:ascii="Arial" w:hAnsi="Arial" w:cs="Arial"/>
          <w:iCs/>
          <w:sz w:val="24"/>
          <w:szCs w:val="24"/>
        </w:rPr>
        <w:t>Ncula</w:t>
      </w:r>
      <w:r w:rsidR="00AE3DA5" w:rsidRPr="00232D3B">
        <w:rPr>
          <w:rFonts w:ascii="Arial" w:hAnsi="Arial" w:cs="Arial"/>
          <w:iCs/>
          <w:sz w:val="24"/>
          <w:szCs w:val="24"/>
        </w:rPr>
        <w:t xml:space="preserve"> refer</w:t>
      </w:r>
      <w:r w:rsidR="00AE3DA5" w:rsidRPr="00AD647B">
        <w:rPr>
          <w:rFonts w:ascii="Arial" w:hAnsi="Arial" w:cs="Arial"/>
          <w:iCs/>
          <w:sz w:val="24"/>
          <w:szCs w:val="24"/>
        </w:rPr>
        <w:t>red</w:t>
      </w:r>
      <w:r w:rsidR="007200FD" w:rsidRPr="00232D3B">
        <w:rPr>
          <w:rFonts w:ascii="Arial" w:hAnsi="Arial" w:cs="Arial"/>
          <w:iCs/>
          <w:sz w:val="24"/>
          <w:szCs w:val="24"/>
        </w:rPr>
        <w:t xml:space="preserve"> to the affidavit of Prof Jeena where he says he did not utilize the report of Dr Boon.</w:t>
      </w:r>
      <w:r w:rsidR="00F2141C" w:rsidRPr="00232D3B">
        <w:rPr>
          <w:rFonts w:ascii="Arial" w:hAnsi="Arial" w:cs="Arial"/>
          <w:iCs/>
          <w:sz w:val="24"/>
          <w:szCs w:val="24"/>
        </w:rPr>
        <w:t xml:space="preserve"> </w:t>
      </w:r>
      <w:r w:rsidR="007200FD" w:rsidRPr="00232D3B">
        <w:rPr>
          <w:rFonts w:ascii="Arial" w:hAnsi="Arial" w:cs="Arial"/>
          <w:iCs/>
          <w:sz w:val="24"/>
          <w:szCs w:val="24"/>
        </w:rPr>
        <w:t xml:space="preserve">She stated that Prof Jeena </w:t>
      </w:r>
      <w:r w:rsidR="008F3D6B" w:rsidRPr="00232D3B">
        <w:rPr>
          <w:rFonts w:ascii="Arial" w:hAnsi="Arial" w:cs="Arial"/>
          <w:iCs/>
          <w:sz w:val="24"/>
          <w:szCs w:val="24"/>
        </w:rPr>
        <w:t>did not waive the right of the d</w:t>
      </w:r>
      <w:r w:rsidR="007200FD" w:rsidRPr="00232D3B">
        <w:rPr>
          <w:rFonts w:ascii="Arial" w:hAnsi="Arial" w:cs="Arial"/>
          <w:iCs/>
          <w:sz w:val="24"/>
          <w:szCs w:val="24"/>
        </w:rPr>
        <w:t>ef</w:t>
      </w:r>
      <w:r w:rsidR="008F3D6B" w:rsidRPr="00232D3B">
        <w:rPr>
          <w:rFonts w:ascii="Arial" w:hAnsi="Arial" w:cs="Arial"/>
          <w:iCs/>
          <w:sz w:val="24"/>
          <w:szCs w:val="24"/>
        </w:rPr>
        <w:t>endant</w:t>
      </w:r>
      <w:r w:rsidR="007200FD" w:rsidRPr="00232D3B">
        <w:rPr>
          <w:rFonts w:ascii="Arial" w:hAnsi="Arial" w:cs="Arial"/>
          <w:iCs/>
          <w:sz w:val="24"/>
          <w:szCs w:val="24"/>
        </w:rPr>
        <w:t xml:space="preserve"> over the document or privi</w:t>
      </w:r>
      <w:r w:rsidR="000640B8" w:rsidRPr="00232D3B">
        <w:rPr>
          <w:rFonts w:ascii="Arial" w:hAnsi="Arial" w:cs="Arial"/>
          <w:iCs/>
          <w:sz w:val="24"/>
          <w:szCs w:val="24"/>
        </w:rPr>
        <w:t>leged rights and protection the d</w:t>
      </w:r>
      <w:r w:rsidR="007200FD" w:rsidRPr="00232D3B">
        <w:rPr>
          <w:rFonts w:ascii="Arial" w:hAnsi="Arial" w:cs="Arial"/>
          <w:iCs/>
          <w:sz w:val="24"/>
          <w:szCs w:val="24"/>
        </w:rPr>
        <w:t>ef</w:t>
      </w:r>
      <w:r w:rsidR="000640B8" w:rsidRPr="00232D3B">
        <w:rPr>
          <w:rFonts w:ascii="Arial" w:hAnsi="Arial" w:cs="Arial"/>
          <w:iCs/>
          <w:sz w:val="24"/>
          <w:szCs w:val="24"/>
        </w:rPr>
        <w:t>endant</w:t>
      </w:r>
      <w:r w:rsidR="007200FD" w:rsidRPr="00232D3B">
        <w:rPr>
          <w:rFonts w:ascii="Arial" w:hAnsi="Arial" w:cs="Arial"/>
          <w:iCs/>
          <w:sz w:val="24"/>
          <w:szCs w:val="24"/>
        </w:rPr>
        <w:t xml:space="preserve"> enjoys over the document.</w:t>
      </w:r>
    </w:p>
    <w:p w14:paraId="13178C92" w14:textId="77777777" w:rsidR="00B45C7E" w:rsidRPr="00232D3B" w:rsidRDefault="00B45C7E" w:rsidP="0055599A">
      <w:pPr>
        <w:spacing w:after="0" w:line="360" w:lineRule="auto"/>
        <w:jc w:val="both"/>
        <w:rPr>
          <w:rFonts w:ascii="Arial" w:hAnsi="Arial" w:cs="Arial"/>
          <w:iCs/>
          <w:sz w:val="24"/>
          <w:szCs w:val="24"/>
        </w:rPr>
      </w:pPr>
    </w:p>
    <w:p w14:paraId="097873D1" w14:textId="77777777" w:rsidR="007200FD" w:rsidRPr="00232D3B" w:rsidRDefault="00B45C7E" w:rsidP="0055599A">
      <w:pPr>
        <w:spacing w:after="120" w:line="360" w:lineRule="auto"/>
        <w:jc w:val="both"/>
        <w:rPr>
          <w:rFonts w:ascii="Arial" w:hAnsi="Arial" w:cs="Arial"/>
          <w:sz w:val="24"/>
          <w:szCs w:val="24"/>
        </w:rPr>
      </w:pPr>
      <w:r w:rsidRPr="00232D3B">
        <w:rPr>
          <w:rFonts w:ascii="Arial" w:hAnsi="Arial" w:cs="Arial"/>
          <w:sz w:val="24"/>
          <w:szCs w:val="24"/>
        </w:rPr>
        <w:t>[12]</w:t>
      </w:r>
      <w:r w:rsidRPr="00232D3B">
        <w:rPr>
          <w:rFonts w:ascii="Arial" w:hAnsi="Arial" w:cs="Arial"/>
          <w:sz w:val="24"/>
          <w:szCs w:val="24"/>
        </w:rPr>
        <w:tab/>
      </w:r>
      <w:r w:rsidR="00AE3DA5" w:rsidRPr="00AD647B">
        <w:rPr>
          <w:rFonts w:ascii="Arial" w:hAnsi="Arial" w:cs="Arial"/>
          <w:sz w:val="24"/>
          <w:szCs w:val="24"/>
        </w:rPr>
        <w:t xml:space="preserve">In his affidavit, </w:t>
      </w:r>
      <w:r w:rsidR="007200FD" w:rsidRPr="00232D3B">
        <w:rPr>
          <w:rFonts w:ascii="Arial" w:hAnsi="Arial" w:cs="Arial"/>
          <w:sz w:val="24"/>
          <w:szCs w:val="24"/>
        </w:rPr>
        <w:t>Prof Jeena stated:</w:t>
      </w:r>
    </w:p>
    <w:p w14:paraId="6CFFC3EF" w14:textId="77777777" w:rsidR="007200FD" w:rsidRPr="00232D3B" w:rsidRDefault="009449A3" w:rsidP="0050406D">
      <w:pPr>
        <w:pStyle w:val="NoSpacing"/>
        <w:jc w:val="both"/>
        <w:rPr>
          <w:rFonts w:ascii="Arial" w:hAnsi="Arial" w:cs="Arial"/>
        </w:rPr>
      </w:pPr>
      <w:r w:rsidRPr="00232D3B">
        <w:rPr>
          <w:rFonts w:ascii="Arial" w:hAnsi="Arial" w:cs="Arial"/>
        </w:rPr>
        <w:t>‘</w:t>
      </w:r>
      <w:r w:rsidR="00F649C5" w:rsidRPr="00232D3B">
        <w:rPr>
          <w:rFonts w:ascii="Arial" w:hAnsi="Arial" w:cs="Arial"/>
        </w:rPr>
        <w:t>I</w:t>
      </w:r>
      <w:r w:rsidR="007200FD" w:rsidRPr="00232D3B">
        <w:rPr>
          <w:rFonts w:ascii="Arial" w:hAnsi="Arial" w:cs="Arial"/>
        </w:rPr>
        <w:t xml:space="preserve"> emphasize that I did not utilize the report sought by the applicant for purposes of formulating my opinion or compiling my report. It is indeed a document I had received though not utilized in the formulation of my report.</w:t>
      </w:r>
      <w:r w:rsidR="001121E1" w:rsidRPr="00232D3B">
        <w:rPr>
          <w:rFonts w:ascii="Arial" w:hAnsi="Arial" w:cs="Arial"/>
        </w:rPr>
        <w:t>’</w:t>
      </w:r>
    </w:p>
    <w:p w14:paraId="2B0C8BB5" w14:textId="77777777" w:rsidR="001121E1" w:rsidRPr="00232D3B" w:rsidRDefault="001121E1" w:rsidP="001121E1">
      <w:pPr>
        <w:spacing w:after="0" w:line="360" w:lineRule="auto"/>
        <w:jc w:val="both"/>
        <w:rPr>
          <w:rFonts w:ascii="Arial" w:hAnsi="Arial" w:cs="Arial"/>
        </w:rPr>
      </w:pPr>
    </w:p>
    <w:p w14:paraId="1B58572D" w14:textId="77777777" w:rsidR="007200FD" w:rsidRPr="00232D3B" w:rsidRDefault="00964A0D" w:rsidP="00964A0D">
      <w:pPr>
        <w:spacing w:after="0" w:line="360" w:lineRule="auto"/>
        <w:jc w:val="both"/>
        <w:rPr>
          <w:rFonts w:ascii="Arial" w:hAnsi="Arial" w:cs="Arial"/>
          <w:sz w:val="24"/>
          <w:szCs w:val="24"/>
        </w:rPr>
      </w:pPr>
      <w:r w:rsidRPr="00232D3B">
        <w:rPr>
          <w:rFonts w:ascii="Arial" w:hAnsi="Arial" w:cs="Arial"/>
          <w:sz w:val="24"/>
          <w:szCs w:val="24"/>
        </w:rPr>
        <w:t>[13]</w:t>
      </w:r>
      <w:r w:rsidRPr="00232D3B">
        <w:rPr>
          <w:rFonts w:ascii="Arial" w:hAnsi="Arial" w:cs="Arial"/>
          <w:sz w:val="24"/>
          <w:szCs w:val="24"/>
        </w:rPr>
        <w:tab/>
      </w:r>
      <w:r w:rsidR="007A0402" w:rsidRPr="00232D3B">
        <w:rPr>
          <w:rFonts w:ascii="Arial" w:hAnsi="Arial" w:cs="Arial"/>
          <w:sz w:val="24"/>
          <w:szCs w:val="24"/>
        </w:rPr>
        <w:t>Indeed,</w:t>
      </w:r>
      <w:r w:rsidR="007200FD" w:rsidRPr="00232D3B">
        <w:rPr>
          <w:rFonts w:ascii="Arial" w:hAnsi="Arial" w:cs="Arial"/>
          <w:sz w:val="24"/>
          <w:szCs w:val="24"/>
        </w:rPr>
        <w:t xml:space="preserve"> save for the fact</w:t>
      </w:r>
      <w:r w:rsidR="00903767" w:rsidRPr="00232D3B">
        <w:rPr>
          <w:rFonts w:ascii="Arial" w:hAnsi="Arial" w:cs="Arial"/>
          <w:sz w:val="24"/>
          <w:szCs w:val="24"/>
        </w:rPr>
        <w:t xml:space="preserve"> that that</w:t>
      </w:r>
      <w:r w:rsidR="007200FD" w:rsidRPr="00232D3B">
        <w:rPr>
          <w:rFonts w:ascii="Arial" w:hAnsi="Arial" w:cs="Arial"/>
          <w:sz w:val="24"/>
          <w:szCs w:val="24"/>
        </w:rPr>
        <w:t xml:space="preserve"> report was furnished to him</w:t>
      </w:r>
      <w:r w:rsidR="00AE3DA5" w:rsidRPr="00AD647B">
        <w:rPr>
          <w:rFonts w:ascii="Arial" w:hAnsi="Arial" w:cs="Arial"/>
          <w:sz w:val="24"/>
          <w:szCs w:val="24"/>
        </w:rPr>
        <w:t>,</w:t>
      </w:r>
      <w:r w:rsidR="007200FD" w:rsidRPr="00232D3B">
        <w:rPr>
          <w:rFonts w:ascii="Arial" w:hAnsi="Arial" w:cs="Arial"/>
          <w:sz w:val="24"/>
          <w:szCs w:val="24"/>
        </w:rPr>
        <w:t xml:space="preserve"> he </w:t>
      </w:r>
      <w:r w:rsidR="00AE3DA5" w:rsidRPr="00AD647B">
        <w:rPr>
          <w:rFonts w:ascii="Arial" w:hAnsi="Arial" w:cs="Arial"/>
          <w:sz w:val="24"/>
          <w:szCs w:val="24"/>
        </w:rPr>
        <w:t>made</w:t>
      </w:r>
      <w:r w:rsidR="007200FD" w:rsidRPr="00232D3B">
        <w:rPr>
          <w:rFonts w:ascii="Arial" w:hAnsi="Arial" w:cs="Arial"/>
          <w:sz w:val="24"/>
          <w:szCs w:val="24"/>
        </w:rPr>
        <w:t xml:space="preserve"> no mention of Dr Boon</w:t>
      </w:r>
      <w:r w:rsidR="002A3337" w:rsidRPr="00232D3B">
        <w:rPr>
          <w:rFonts w:ascii="Arial" w:hAnsi="Arial" w:cs="Arial"/>
          <w:sz w:val="24"/>
          <w:szCs w:val="24"/>
        </w:rPr>
        <w:t>’</w:t>
      </w:r>
      <w:r w:rsidR="007200FD" w:rsidRPr="00232D3B">
        <w:rPr>
          <w:rFonts w:ascii="Arial" w:hAnsi="Arial" w:cs="Arial"/>
          <w:sz w:val="24"/>
          <w:szCs w:val="24"/>
        </w:rPr>
        <w:t xml:space="preserve">s report </w:t>
      </w:r>
      <w:r w:rsidR="00AE3DA5" w:rsidRPr="00232D3B">
        <w:rPr>
          <w:rFonts w:ascii="Arial" w:hAnsi="Arial" w:cs="Arial"/>
          <w:sz w:val="24"/>
          <w:szCs w:val="24"/>
        </w:rPr>
        <w:t>in his opinion</w:t>
      </w:r>
      <w:r w:rsidR="002062B8" w:rsidRPr="00AD647B">
        <w:rPr>
          <w:rFonts w:ascii="Arial" w:hAnsi="Arial" w:cs="Arial"/>
          <w:sz w:val="24"/>
          <w:szCs w:val="24"/>
        </w:rPr>
        <w:t>,</w:t>
      </w:r>
      <w:r w:rsidR="00AE3DA5" w:rsidRPr="00232D3B">
        <w:rPr>
          <w:rFonts w:ascii="Arial" w:hAnsi="Arial" w:cs="Arial"/>
          <w:sz w:val="24"/>
          <w:szCs w:val="24"/>
        </w:rPr>
        <w:t xml:space="preserve"> whereas he </w:t>
      </w:r>
      <w:r w:rsidR="00AE3DA5" w:rsidRPr="00AD647B">
        <w:rPr>
          <w:rFonts w:ascii="Arial" w:hAnsi="Arial" w:cs="Arial"/>
          <w:sz w:val="24"/>
          <w:szCs w:val="24"/>
        </w:rPr>
        <w:t>referred</w:t>
      </w:r>
      <w:r w:rsidR="007200FD" w:rsidRPr="00232D3B">
        <w:rPr>
          <w:rFonts w:ascii="Arial" w:hAnsi="Arial" w:cs="Arial"/>
          <w:sz w:val="24"/>
          <w:szCs w:val="24"/>
        </w:rPr>
        <w:t xml:space="preserve"> to Dr Pohl</w:t>
      </w:r>
      <w:r w:rsidR="00EC02F7" w:rsidRPr="00232D3B">
        <w:rPr>
          <w:rFonts w:ascii="Arial" w:hAnsi="Arial" w:cs="Arial"/>
          <w:sz w:val="24"/>
          <w:szCs w:val="24"/>
        </w:rPr>
        <w:t>`</w:t>
      </w:r>
      <w:r w:rsidR="007200FD" w:rsidRPr="00232D3B">
        <w:rPr>
          <w:rFonts w:ascii="Arial" w:hAnsi="Arial" w:cs="Arial"/>
          <w:sz w:val="24"/>
          <w:szCs w:val="24"/>
        </w:rPr>
        <w:t>s affidavit in his report.</w:t>
      </w:r>
    </w:p>
    <w:p w14:paraId="27152A92" w14:textId="77777777" w:rsidR="00964A0D" w:rsidRPr="00232D3B" w:rsidRDefault="00964A0D" w:rsidP="00964A0D">
      <w:pPr>
        <w:spacing w:after="0" w:line="360" w:lineRule="auto"/>
        <w:jc w:val="both"/>
        <w:rPr>
          <w:rFonts w:ascii="Arial" w:hAnsi="Arial" w:cs="Arial"/>
          <w:sz w:val="24"/>
          <w:szCs w:val="24"/>
        </w:rPr>
      </w:pPr>
    </w:p>
    <w:p w14:paraId="720EF8FB" w14:textId="77777777" w:rsidR="00F649C5" w:rsidRPr="00232D3B" w:rsidRDefault="00964A0D" w:rsidP="00964A0D">
      <w:pPr>
        <w:spacing w:after="0" w:line="360" w:lineRule="auto"/>
        <w:jc w:val="both"/>
        <w:rPr>
          <w:rFonts w:ascii="Arial" w:hAnsi="Arial" w:cs="Arial"/>
          <w:sz w:val="24"/>
          <w:szCs w:val="24"/>
        </w:rPr>
      </w:pPr>
      <w:r w:rsidRPr="00232D3B">
        <w:rPr>
          <w:rFonts w:ascii="Arial" w:hAnsi="Arial" w:cs="Arial"/>
          <w:sz w:val="24"/>
          <w:szCs w:val="24"/>
        </w:rPr>
        <w:lastRenderedPageBreak/>
        <w:t>[14]</w:t>
      </w:r>
      <w:r w:rsidRPr="00232D3B">
        <w:rPr>
          <w:rFonts w:ascii="Arial" w:hAnsi="Arial" w:cs="Arial"/>
          <w:sz w:val="24"/>
          <w:szCs w:val="24"/>
        </w:rPr>
        <w:tab/>
      </w:r>
      <w:r w:rsidR="002D068B" w:rsidRPr="00232D3B">
        <w:rPr>
          <w:rFonts w:ascii="Arial" w:hAnsi="Arial" w:cs="Arial"/>
          <w:sz w:val="24"/>
          <w:szCs w:val="24"/>
        </w:rPr>
        <w:t>The averments</w:t>
      </w:r>
      <w:r w:rsidR="007200FD" w:rsidRPr="00232D3B">
        <w:rPr>
          <w:rFonts w:ascii="Arial" w:hAnsi="Arial" w:cs="Arial"/>
          <w:sz w:val="24"/>
          <w:szCs w:val="24"/>
        </w:rPr>
        <w:t xml:space="preserve"> </w:t>
      </w:r>
      <w:r w:rsidR="00AE3DA5" w:rsidRPr="00AD647B">
        <w:rPr>
          <w:rFonts w:ascii="Arial" w:hAnsi="Arial" w:cs="Arial"/>
          <w:sz w:val="24"/>
          <w:szCs w:val="24"/>
        </w:rPr>
        <w:t xml:space="preserve">made </w:t>
      </w:r>
      <w:r w:rsidR="00434781" w:rsidRPr="00232D3B">
        <w:rPr>
          <w:rFonts w:ascii="Arial" w:hAnsi="Arial" w:cs="Arial"/>
          <w:sz w:val="24"/>
          <w:szCs w:val="24"/>
        </w:rPr>
        <w:t xml:space="preserve">in </w:t>
      </w:r>
      <w:r w:rsidR="00AE3DA5" w:rsidRPr="00AD647B">
        <w:rPr>
          <w:rFonts w:ascii="Arial" w:hAnsi="Arial" w:cs="Arial"/>
          <w:sz w:val="24"/>
          <w:szCs w:val="24"/>
        </w:rPr>
        <w:t xml:space="preserve">Ms </w:t>
      </w:r>
      <w:r w:rsidR="007200FD" w:rsidRPr="00232D3B">
        <w:rPr>
          <w:rFonts w:ascii="Arial" w:hAnsi="Arial" w:cs="Arial"/>
          <w:sz w:val="24"/>
          <w:szCs w:val="24"/>
        </w:rPr>
        <w:t>Ncula</w:t>
      </w:r>
      <w:r w:rsidR="002A3337" w:rsidRPr="00232D3B">
        <w:rPr>
          <w:rFonts w:ascii="Arial" w:hAnsi="Arial" w:cs="Arial"/>
          <w:sz w:val="24"/>
          <w:szCs w:val="24"/>
        </w:rPr>
        <w:t>’</w:t>
      </w:r>
      <w:r w:rsidR="00F649C5" w:rsidRPr="00232D3B">
        <w:rPr>
          <w:rFonts w:ascii="Arial" w:hAnsi="Arial" w:cs="Arial"/>
          <w:sz w:val="24"/>
          <w:szCs w:val="24"/>
        </w:rPr>
        <w:t>s affidavit do appear to be contradicting Bastile</w:t>
      </w:r>
      <w:r w:rsidR="002A3337" w:rsidRPr="00232D3B">
        <w:rPr>
          <w:rFonts w:ascii="Arial" w:hAnsi="Arial" w:cs="Arial"/>
          <w:sz w:val="24"/>
          <w:szCs w:val="24"/>
        </w:rPr>
        <w:t>’</w:t>
      </w:r>
      <w:r w:rsidR="00F649C5" w:rsidRPr="00232D3B">
        <w:rPr>
          <w:rFonts w:ascii="Arial" w:hAnsi="Arial" w:cs="Arial"/>
          <w:sz w:val="24"/>
          <w:szCs w:val="24"/>
        </w:rPr>
        <w:t>s affidavit</w:t>
      </w:r>
      <w:r w:rsidR="00AE3DA5" w:rsidRPr="00AD647B">
        <w:rPr>
          <w:rFonts w:ascii="Arial" w:hAnsi="Arial" w:cs="Arial"/>
          <w:sz w:val="24"/>
          <w:szCs w:val="24"/>
        </w:rPr>
        <w:t>,</w:t>
      </w:r>
      <w:r w:rsidR="00F649C5" w:rsidRPr="00232D3B">
        <w:rPr>
          <w:rFonts w:ascii="Arial" w:hAnsi="Arial" w:cs="Arial"/>
          <w:sz w:val="24"/>
          <w:szCs w:val="24"/>
        </w:rPr>
        <w:t xml:space="preserve"> </w:t>
      </w:r>
      <w:r w:rsidR="007200FD" w:rsidRPr="00232D3B">
        <w:rPr>
          <w:rFonts w:ascii="Arial" w:hAnsi="Arial" w:cs="Arial"/>
          <w:sz w:val="24"/>
          <w:szCs w:val="24"/>
        </w:rPr>
        <w:t>if one only has regard to paragraph 5 of her affidavit.</w:t>
      </w:r>
    </w:p>
    <w:p w14:paraId="43729C23" w14:textId="77777777" w:rsidR="00964A0D" w:rsidRPr="00232D3B" w:rsidRDefault="00964A0D" w:rsidP="00964A0D">
      <w:pPr>
        <w:spacing w:after="0" w:line="360" w:lineRule="auto"/>
        <w:jc w:val="both"/>
        <w:rPr>
          <w:rFonts w:ascii="Arial" w:hAnsi="Arial" w:cs="Arial"/>
          <w:sz w:val="24"/>
          <w:szCs w:val="24"/>
        </w:rPr>
      </w:pPr>
    </w:p>
    <w:p w14:paraId="1EDCB45F" w14:textId="77777777" w:rsidR="007200FD" w:rsidRPr="00232D3B" w:rsidRDefault="008F556A" w:rsidP="00964A0D">
      <w:pPr>
        <w:spacing w:after="0" w:line="360" w:lineRule="auto"/>
        <w:jc w:val="both"/>
        <w:rPr>
          <w:rFonts w:ascii="Arial" w:hAnsi="Arial" w:cs="Arial"/>
          <w:sz w:val="24"/>
          <w:szCs w:val="24"/>
        </w:rPr>
      </w:pPr>
      <w:r w:rsidRPr="00232D3B">
        <w:rPr>
          <w:rFonts w:ascii="Arial" w:hAnsi="Arial" w:cs="Arial"/>
          <w:sz w:val="24"/>
          <w:szCs w:val="24"/>
        </w:rPr>
        <w:t>[15]</w:t>
      </w:r>
      <w:r w:rsidRPr="00232D3B">
        <w:rPr>
          <w:rFonts w:ascii="Arial" w:hAnsi="Arial" w:cs="Arial"/>
          <w:sz w:val="24"/>
          <w:szCs w:val="24"/>
        </w:rPr>
        <w:tab/>
      </w:r>
      <w:r w:rsidR="007200FD" w:rsidRPr="00232D3B">
        <w:rPr>
          <w:rFonts w:ascii="Arial" w:hAnsi="Arial" w:cs="Arial"/>
          <w:sz w:val="24"/>
          <w:szCs w:val="24"/>
        </w:rPr>
        <w:t>She</w:t>
      </w:r>
      <w:r w:rsidR="00AE3DA5" w:rsidRPr="00AD647B">
        <w:rPr>
          <w:rFonts w:ascii="Arial" w:hAnsi="Arial" w:cs="Arial"/>
          <w:sz w:val="24"/>
          <w:szCs w:val="24"/>
        </w:rPr>
        <w:t>,</w:t>
      </w:r>
      <w:r w:rsidR="007200FD" w:rsidRPr="00232D3B">
        <w:rPr>
          <w:rFonts w:ascii="Arial" w:hAnsi="Arial" w:cs="Arial"/>
          <w:sz w:val="24"/>
          <w:szCs w:val="24"/>
        </w:rPr>
        <w:t xml:space="preserve"> however</w:t>
      </w:r>
      <w:r w:rsidR="00AE3DA5" w:rsidRPr="00AD647B">
        <w:rPr>
          <w:rFonts w:ascii="Arial" w:hAnsi="Arial" w:cs="Arial"/>
          <w:sz w:val="24"/>
          <w:szCs w:val="24"/>
        </w:rPr>
        <w:t>,</w:t>
      </w:r>
      <w:r w:rsidR="00AE3DA5" w:rsidRPr="00232D3B">
        <w:rPr>
          <w:rFonts w:ascii="Arial" w:hAnsi="Arial" w:cs="Arial"/>
          <w:sz w:val="24"/>
          <w:szCs w:val="24"/>
        </w:rPr>
        <w:t xml:space="preserve"> </w:t>
      </w:r>
      <w:r w:rsidR="00AE3DA5" w:rsidRPr="00AD647B">
        <w:rPr>
          <w:rFonts w:ascii="Arial" w:hAnsi="Arial" w:cs="Arial"/>
          <w:sz w:val="24"/>
          <w:szCs w:val="24"/>
        </w:rPr>
        <w:t>referred</w:t>
      </w:r>
      <w:r w:rsidR="007200FD" w:rsidRPr="00232D3B">
        <w:rPr>
          <w:rFonts w:ascii="Arial" w:hAnsi="Arial" w:cs="Arial"/>
          <w:sz w:val="24"/>
          <w:szCs w:val="24"/>
        </w:rPr>
        <w:t xml:space="preserve"> to </w:t>
      </w:r>
      <w:r w:rsidR="002062B8" w:rsidRPr="00AD647B">
        <w:rPr>
          <w:rFonts w:ascii="Arial" w:hAnsi="Arial" w:cs="Arial"/>
          <w:sz w:val="24"/>
          <w:szCs w:val="24"/>
        </w:rPr>
        <w:t xml:space="preserve">Mr </w:t>
      </w:r>
      <w:r w:rsidR="007200FD" w:rsidRPr="00232D3B">
        <w:rPr>
          <w:rFonts w:ascii="Arial" w:hAnsi="Arial" w:cs="Arial"/>
          <w:sz w:val="24"/>
          <w:szCs w:val="24"/>
        </w:rPr>
        <w:t>Bastile</w:t>
      </w:r>
      <w:r w:rsidR="00101EFE" w:rsidRPr="00232D3B">
        <w:rPr>
          <w:rFonts w:ascii="Arial" w:hAnsi="Arial" w:cs="Arial"/>
          <w:sz w:val="24"/>
          <w:szCs w:val="24"/>
        </w:rPr>
        <w:t>’</w:t>
      </w:r>
      <w:r w:rsidR="007200FD" w:rsidRPr="00232D3B">
        <w:rPr>
          <w:rFonts w:ascii="Arial" w:hAnsi="Arial" w:cs="Arial"/>
          <w:sz w:val="24"/>
          <w:szCs w:val="24"/>
        </w:rPr>
        <w:t xml:space="preserve">s affidavit and further in her affidavit when specifically dealing with the issue of privilege </w:t>
      </w:r>
      <w:r w:rsidR="007200FD" w:rsidRPr="00AD647B">
        <w:rPr>
          <w:rFonts w:ascii="Arial" w:hAnsi="Arial" w:cs="Arial"/>
          <w:sz w:val="24"/>
          <w:szCs w:val="24"/>
        </w:rPr>
        <w:t>state</w:t>
      </w:r>
      <w:r w:rsidR="00AE3DA5" w:rsidRPr="00AD647B">
        <w:rPr>
          <w:rFonts w:ascii="Arial" w:hAnsi="Arial" w:cs="Arial"/>
          <w:sz w:val="24"/>
          <w:szCs w:val="24"/>
        </w:rPr>
        <w:t>d</w:t>
      </w:r>
      <w:r w:rsidR="007200FD" w:rsidRPr="00232D3B">
        <w:rPr>
          <w:rFonts w:ascii="Arial" w:hAnsi="Arial" w:cs="Arial"/>
          <w:sz w:val="24"/>
          <w:szCs w:val="24"/>
        </w:rPr>
        <w:t xml:space="preserve"> that it is a privileged document</w:t>
      </w:r>
      <w:r w:rsidR="00F649C5" w:rsidRPr="00232D3B">
        <w:rPr>
          <w:rFonts w:ascii="Arial" w:hAnsi="Arial" w:cs="Arial"/>
          <w:sz w:val="24"/>
          <w:szCs w:val="24"/>
        </w:rPr>
        <w:t>,</w:t>
      </w:r>
      <w:r w:rsidR="007200FD" w:rsidRPr="00232D3B">
        <w:rPr>
          <w:rFonts w:ascii="Arial" w:hAnsi="Arial" w:cs="Arial"/>
          <w:sz w:val="24"/>
          <w:szCs w:val="24"/>
        </w:rPr>
        <w:t xml:space="preserve"> so the fact that it is incomplete or comple</w:t>
      </w:r>
      <w:r w:rsidR="00AE3DA5" w:rsidRPr="00232D3B">
        <w:rPr>
          <w:rFonts w:ascii="Arial" w:hAnsi="Arial" w:cs="Arial"/>
          <w:sz w:val="24"/>
          <w:szCs w:val="24"/>
        </w:rPr>
        <w:t xml:space="preserve">te she nonetheless </w:t>
      </w:r>
      <w:r w:rsidR="007200FD" w:rsidRPr="00232D3B">
        <w:rPr>
          <w:rFonts w:ascii="Arial" w:hAnsi="Arial" w:cs="Arial"/>
          <w:sz w:val="24"/>
          <w:szCs w:val="24"/>
        </w:rPr>
        <w:t>confirms that it is privileged.</w:t>
      </w:r>
    </w:p>
    <w:p w14:paraId="14006932" w14:textId="77777777" w:rsidR="008F556A" w:rsidRPr="00232D3B" w:rsidRDefault="008F556A" w:rsidP="00964A0D">
      <w:pPr>
        <w:spacing w:after="0" w:line="360" w:lineRule="auto"/>
        <w:jc w:val="both"/>
        <w:rPr>
          <w:rFonts w:ascii="Arial" w:hAnsi="Arial" w:cs="Arial"/>
          <w:sz w:val="24"/>
          <w:szCs w:val="24"/>
        </w:rPr>
      </w:pPr>
    </w:p>
    <w:p w14:paraId="6ED05DFB" w14:textId="77777777" w:rsidR="007200FD" w:rsidRPr="00232D3B" w:rsidRDefault="008F556A" w:rsidP="008F556A">
      <w:pPr>
        <w:spacing w:after="0" w:line="360" w:lineRule="auto"/>
        <w:jc w:val="both"/>
        <w:rPr>
          <w:rFonts w:ascii="Arial" w:hAnsi="Arial" w:cs="Arial"/>
          <w:sz w:val="24"/>
          <w:szCs w:val="24"/>
        </w:rPr>
      </w:pPr>
      <w:r w:rsidRPr="00232D3B">
        <w:rPr>
          <w:rFonts w:ascii="Arial" w:hAnsi="Arial" w:cs="Arial"/>
          <w:sz w:val="24"/>
          <w:szCs w:val="24"/>
        </w:rPr>
        <w:t>[16]</w:t>
      </w:r>
      <w:r w:rsidRPr="00232D3B">
        <w:rPr>
          <w:rFonts w:ascii="Arial" w:hAnsi="Arial" w:cs="Arial"/>
          <w:sz w:val="24"/>
          <w:szCs w:val="24"/>
        </w:rPr>
        <w:tab/>
      </w:r>
      <w:r w:rsidR="007200FD" w:rsidRPr="00232D3B">
        <w:rPr>
          <w:rFonts w:ascii="Arial" w:hAnsi="Arial" w:cs="Arial"/>
          <w:sz w:val="24"/>
          <w:szCs w:val="24"/>
        </w:rPr>
        <w:t xml:space="preserve">The fact that she was elaborating on the report and its purpose </w:t>
      </w:r>
      <w:r w:rsidR="000565E4" w:rsidRPr="00232D3B">
        <w:rPr>
          <w:rFonts w:ascii="Arial" w:hAnsi="Arial" w:cs="Arial"/>
          <w:sz w:val="24"/>
          <w:szCs w:val="24"/>
        </w:rPr>
        <w:t xml:space="preserve">and who it was addressed to </w:t>
      </w:r>
      <w:r w:rsidR="007200FD" w:rsidRPr="00232D3B">
        <w:rPr>
          <w:rFonts w:ascii="Arial" w:hAnsi="Arial" w:cs="Arial"/>
          <w:sz w:val="24"/>
          <w:szCs w:val="24"/>
        </w:rPr>
        <w:t>does not detract from the fact that she</w:t>
      </w:r>
      <w:r w:rsidR="00AE3DA5" w:rsidRPr="00AD647B">
        <w:rPr>
          <w:rFonts w:ascii="Arial" w:hAnsi="Arial" w:cs="Arial"/>
          <w:sz w:val="24"/>
          <w:szCs w:val="24"/>
        </w:rPr>
        <w:t>, too,</w:t>
      </w:r>
      <w:r w:rsidR="007200FD" w:rsidRPr="00AD647B">
        <w:rPr>
          <w:rFonts w:ascii="Arial" w:hAnsi="Arial" w:cs="Arial"/>
          <w:sz w:val="24"/>
          <w:szCs w:val="24"/>
        </w:rPr>
        <w:t xml:space="preserve"> </w:t>
      </w:r>
      <w:r w:rsidR="007200FD" w:rsidRPr="00232D3B">
        <w:rPr>
          <w:rFonts w:ascii="Arial" w:hAnsi="Arial" w:cs="Arial"/>
          <w:sz w:val="24"/>
          <w:szCs w:val="24"/>
        </w:rPr>
        <w:t>claims that it is a privileged document</w:t>
      </w:r>
      <w:r w:rsidR="00ED20E4" w:rsidRPr="00232D3B">
        <w:rPr>
          <w:rFonts w:ascii="Arial" w:hAnsi="Arial" w:cs="Arial"/>
          <w:sz w:val="24"/>
          <w:szCs w:val="24"/>
        </w:rPr>
        <w:t>.</w:t>
      </w:r>
    </w:p>
    <w:p w14:paraId="4AB25693" w14:textId="77777777" w:rsidR="008F556A" w:rsidRPr="00232D3B" w:rsidRDefault="008F556A" w:rsidP="008F556A">
      <w:pPr>
        <w:spacing w:after="0" w:line="360" w:lineRule="auto"/>
        <w:jc w:val="both"/>
        <w:rPr>
          <w:rFonts w:ascii="Arial" w:hAnsi="Arial" w:cs="Arial"/>
          <w:sz w:val="24"/>
          <w:szCs w:val="24"/>
        </w:rPr>
      </w:pPr>
    </w:p>
    <w:p w14:paraId="36B030ED" w14:textId="77777777" w:rsidR="00621EFE" w:rsidRPr="00232D3B" w:rsidRDefault="008F556A" w:rsidP="008F556A">
      <w:pPr>
        <w:spacing w:after="0" w:line="360" w:lineRule="auto"/>
        <w:jc w:val="both"/>
        <w:rPr>
          <w:rFonts w:ascii="Arial" w:hAnsi="Arial" w:cs="Arial"/>
          <w:sz w:val="24"/>
          <w:szCs w:val="24"/>
        </w:rPr>
      </w:pPr>
      <w:r w:rsidRPr="00232D3B">
        <w:rPr>
          <w:rFonts w:ascii="Arial" w:hAnsi="Arial" w:cs="Arial"/>
          <w:sz w:val="24"/>
          <w:szCs w:val="24"/>
        </w:rPr>
        <w:t>[17]</w:t>
      </w:r>
      <w:r w:rsidRPr="00232D3B">
        <w:rPr>
          <w:rFonts w:ascii="Arial" w:hAnsi="Arial" w:cs="Arial"/>
          <w:sz w:val="24"/>
          <w:szCs w:val="24"/>
        </w:rPr>
        <w:tab/>
      </w:r>
      <w:r w:rsidR="007200FD" w:rsidRPr="00232D3B">
        <w:rPr>
          <w:rFonts w:ascii="Arial" w:hAnsi="Arial" w:cs="Arial"/>
          <w:sz w:val="24"/>
          <w:szCs w:val="24"/>
        </w:rPr>
        <w:t>The plaintiff</w:t>
      </w:r>
      <w:r w:rsidR="0023030B" w:rsidRPr="00232D3B">
        <w:rPr>
          <w:rFonts w:ascii="Arial" w:hAnsi="Arial" w:cs="Arial"/>
          <w:sz w:val="24"/>
          <w:szCs w:val="24"/>
        </w:rPr>
        <w:t>’</w:t>
      </w:r>
      <w:r w:rsidR="007200FD" w:rsidRPr="00232D3B">
        <w:rPr>
          <w:rFonts w:ascii="Arial" w:hAnsi="Arial" w:cs="Arial"/>
          <w:sz w:val="24"/>
          <w:szCs w:val="24"/>
        </w:rPr>
        <w:t>s criticism of the defendant</w:t>
      </w:r>
      <w:r w:rsidR="003F1EF0" w:rsidRPr="00232D3B">
        <w:rPr>
          <w:rFonts w:ascii="Arial" w:hAnsi="Arial" w:cs="Arial"/>
          <w:sz w:val="24"/>
          <w:szCs w:val="24"/>
        </w:rPr>
        <w:t>’</w:t>
      </w:r>
      <w:r w:rsidR="007200FD" w:rsidRPr="00232D3B">
        <w:rPr>
          <w:rFonts w:ascii="Arial" w:hAnsi="Arial" w:cs="Arial"/>
          <w:sz w:val="24"/>
          <w:szCs w:val="24"/>
        </w:rPr>
        <w:t>s failure to discover Dr Boon</w:t>
      </w:r>
      <w:r w:rsidR="00122C75" w:rsidRPr="00232D3B">
        <w:rPr>
          <w:rFonts w:ascii="Arial" w:hAnsi="Arial" w:cs="Arial"/>
          <w:sz w:val="24"/>
          <w:szCs w:val="24"/>
        </w:rPr>
        <w:t>’</w:t>
      </w:r>
      <w:r w:rsidR="007200FD" w:rsidRPr="00232D3B">
        <w:rPr>
          <w:rFonts w:ascii="Arial" w:hAnsi="Arial" w:cs="Arial"/>
          <w:sz w:val="24"/>
          <w:szCs w:val="24"/>
        </w:rPr>
        <w:t xml:space="preserve">s report adequately in Part </w:t>
      </w:r>
      <w:r w:rsidR="00AE3DA5" w:rsidRPr="00232D3B">
        <w:rPr>
          <w:rFonts w:ascii="Arial" w:hAnsi="Arial" w:cs="Arial"/>
          <w:sz w:val="24"/>
          <w:szCs w:val="24"/>
        </w:rPr>
        <w:t>II</w:t>
      </w:r>
      <w:r w:rsidR="007200FD" w:rsidRPr="00232D3B">
        <w:rPr>
          <w:rFonts w:ascii="Arial" w:hAnsi="Arial" w:cs="Arial"/>
          <w:sz w:val="24"/>
          <w:szCs w:val="24"/>
        </w:rPr>
        <w:t xml:space="preserve"> of the discovery affidavit has merit since no specific mention is made of his report</w:t>
      </w:r>
      <w:r w:rsidR="00621EFE" w:rsidRPr="00232D3B">
        <w:rPr>
          <w:rFonts w:ascii="Arial" w:hAnsi="Arial" w:cs="Arial"/>
          <w:sz w:val="24"/>
          <w:szCs w:val="24"/>
        </w:rPr>
        <w:t xml:space="preserve"> </w:t>
      </w:r>
      <w:r w:rsidR="004E72C5" w:rsidRPr="00232D3B">
        <w:rPr>
          <w:rFonts w:ascii="Arial" w:hAnsi="Arial" w:cs="Arial"/>
          <w:sz w:val="24"/>
          <w:szCs w:val="24"/>
        </w:rPr>
        <w:t>t</w:t>
      </w:r>
      <w:r w:rsidR="00621EFE" w:rsidRPr="00232D3B">
        <w:rPr>
          <w:rFonts w:ascii="Arial" w:hAnsi="Arial" w:cs="Arial"/>
          <w:sz w:val="24"/>
          <w:szCs w:val="24"/>
        </w:rPr>
        <w:t>herein</w:t>
      </w:r>
      <w:r w:rsidR="007200FD" w:rsidRPr="00232D3B">
        <w:rPr>
          <w:rFonts w:ascii="Arial" w:hAnsi="Arial" w:cs="Arial"/>
          <w:sz w:val="24"/>
          <w:szCs w:val="24"/>
        </w:rPr>
        <w:t>.</w:t>
      </w:r>
    </w:p>
    <w:p w14:paraId="2051C0AD" w14:textId="77777777" w:rsidR="008F556A" w:rsidRPr="00232D3B" w:rsidRDefault="008F556A" w:rsidP="008F556A">
      <w:pPr>
        <w:spacing w:after="0" w:line="360" w:lineRule="auto"/>
        <w:jc w:val="both"/>
        <w:rPr>
          <w:rFonts w:ascii="Arial" w:hAnsi="Arial" w:cs="Arial"/>
          <w:sz w:val="24"/>
          <w:szCs w:val="24"/>
        </w:rPr>
      </w:pPr>
    </w:p>
    <w:p w14:paraId="7B5978BF" w14:textId="77777777" w:rsidR="00FA54F0" w:rsidRPr="00232D3B" w:rsidRDefault="008F556A" w:rsidP="008F556A">
      <w:pPr>
        <w:spacing w:after="0" w:line="360" w:lineRule="auto"/>
        <w:jc w:val="both"/>
        <w:rPr>
          <w:rFonts w:ascii="Arial" w:hAnsi="Arial" w:cs="Arial"/>
          <w:sz w:val="24"/>
          <w:szCs w:val="24"/>
        </w:rPr>
      </w:pPr>
      <w:r w:rsidRPr="00232D3B">
        <w:rPr>
          <w:rFonts w:ascii="Arial" w:hAnsi="Arial" w:cs="Arial"/>
          <w:sz w:val="24"/>
          <w:szCs w:val="24"/>
        </w:rPr>
        <w:t>[18]</w:t>
      </w:r>
      <w:r w:rsidRPr="00232D3B">
        <w:rPr>
          <w:rFonts w:ascii="Arial" w:hAnsi="Arial" w:cs="Arial"/>
          <w:sz w:val="24"/>
          <w:szCs w:val="24"/>
        </w:rPr>
        <w:tab/>
      </w:r>
      <w:r w:rsidR="007200FD" w:rsidRPr="00232D3B">
        <w:rPr>
          <w:rFonts w:ascii="Arial" w:hAnsi="Arial" w:cs="Arial"/>
          <w:sz w:val="24"/>
          <w:szCs w:val="24"/>
        </w:rPr>
        <w:t>However, when his report was specifically sought</w:t>
      </w:r>
      <w:r w:rsidR="00AB7CE8" w:rsidRPr="00232D3B">
        <w:rPr>
          <w:rFonts w:ascii="Arial" w:hAnsi="Arial" w:cs="Arial"/>
          <w:sz w:val="24"/>
          <w:szCs w:val="24"/>
        </w:rPr>
        <w:t>,</w:t>
      </w:r>
      <w:r w:rsidR="007200FD" w:rsidRPr="00232D3B">
        <w:rPr>
          <w:rFonts w:ascii="Arial" w:hAnsi="Arial" w:cs="Arial"/>
          <w:sz w:val="24"/>
          <w:szCs w:val="24"/>
        </w:rPr>
        <w:t xml:space="preserve"> the plaintiff was made aware that it was one of the statements referred to as being privileged.</w:t>
      </w:r>
    </w:p>
    <w:p w14:paraId="327A37AA" w14:textId="77777777" w:rsidR="008F556A" w:rsidRPr="00232D3B" w:rsidRDefault="008F556A" w:rsidP="0055599A">
      <w:pPr>
        <w:spacing w:after="0" w:line="360" w:lineRule="auto"/>
        <w:jc w:val="both"/>
        <w:rPr>
          <w:rFonts w:ascii="Arial" w:hAnsi="Arial" w:cs="Arial"/>
          <w:sz w:val="24"/>
          <w:szCs w:val="24"/>
        </w:rPr>
      </w:pPr>
    </w:p>
    <w:p w14:paraId="15B64D67" w14:textId="77777777" w:rsidR="00475F72" w:rsidRPr="00232D3B" w:rsidRDefault="008F556A" w:rsidP="008F556A">
      <w:pPr>
        <w:spacing w:after="0" w:line="360" w:lineRule="auto"/>
        <w:jc w:val="both"/>
        <w:rPr>
          <w:rFonts w:ascii="Arial" w:hAnsi="Arial" w:cs="Arial"/>
          <w:sz w:val="24"/>
          <w:szCs w:val="24"/>
        </w:rPr>
      </w:pPr>
      <w:r w:rsidRPr="00232D3B">
        <w:rPr>
          <w:rFonts w:ascii="Arial" w:hAnsi="Arial" w:cs="Arial"/>
          <w:sz w:val="24"/>
          <w:szCs w:val="24"/>
        </w:rPr>
        <w:t>[19]</w:t>
      </w:r>
      <w:r w:rsidRPr="00232D3B">
        <w:rPr>
          <w:rFonts w:ascii="Arial" w:hAnsi="Arial" w:cs="Arial"/>
          <w:sz w:val="24"/>
          <w:szCs w:val="24"/>
        </w:rPr>
        <w:tab/>
      </w:r>
      <w:r w:rsidR="00621EFE" w:rsidRPr="00232D3B">
        <w:rPr>
          <w:rFonts w:ascii="Arial" w:hAnsi="Arial" w:cs="Arial"/>
          <w:sz w:val="24"/>
          <w:szCs w:val="24"/>
        </w:rPr>
        <w:t xml:space="preserve">The court </w:t>
      </w:r>
      <w:r w:rsidR="00621EFE" w:rsidRPr="00232D3B">
        <w:rPr>
          <w:rFonts w:ascii="Arial" w:hAnsi="Arial" w:cs="Arial"/>
          <w:i/>
          <w:sz w:val="24"/>
          <w:szCs w:val="24"/>
        </w:rPr>
        <w:t>a quo</w:t>
      </w:r>
      <w:r w:rsidR="00621EFE" w:rsidRPr="00232D3B">
        <w:rPr>
          <w:rFonts w:ascii="Arial" w:hAnsi="Arial" w:cs="Arial"/>
          <w:sz w:val="24"/>
          <w:szCs w:val="24"/>
        </w:rPr>
        <w:t xml:space="preserve"> found</w:t>
      </w:r>
      <w:r w:rsidR="002062B8" w:rsidRPr="00AD647B">
        <w:rPr>
          <w:rFonts w:ascii="Arial" w:hAnsi="Arial" w:cs="Arial"/>
          <w:sz w:val="24"/>
          <w:szCs w:val="24"/>
        </w:rPr>
        <w:t>,</w:t>
      </w:r>
      <w:r w:rsidR="00621EFE" w:rsidRPr="00AD647B">
        <w:rPr>
          <w:rFonts w:ascii="Arial" w:hAnsi="Arial" w:cs="Arial"/>
          <w:sz w:val="24"/>
          <w:szCs w:val="24"/>
        </w:rPr>
        <w:t xml:space="preserve"> </w:t>
      </w:r>
      <w:r w:rsidR="00621EFE" w:rsidRPr="00AD647B">
        <w:rPr>
          <w:rFonts w:ascii="Arial" w:hAnsi="Arial" w:cs="Arial"/>
          <w:i/>
          <w:sz w:val="24"/>
          <w:szCs w:val="24"/>
        </w:rPr>
        <w:t>inter alia</w:t>
      </w:r>
      <w:r w:rsidR="002062B8" w:rsidRPr="00AD647B">
        <w:rPr>
          <w:rFonts w:ascii="Arial" w:hAnsi="Arial" w:cs="Arial"/>
          <w:sz w:val="24"/>
          <w:szCs w:val="24"/>
        </w:rPr>
        <w:t>,</w:t>
      </w:r>
      <w:r w:rsidR="00621EFE" w:rsidRPr="00AD647B">
        <w:rPr>
          <w:rFonts w:ascii="Arial" w:hAnsi="Arial" w:cs="Arial"/>
          <w:sz w:val="24"/>
          <w:szCs w:val="24"/>
        </w:rPr>
        <w:t xml:space="preserve"> </w:t>
      </w:r>
      <w:r w:rsidR="00621EFE" w:rsidRPr="00232D3B">
        <w:rPr>
          <w:rFonts w:ascii="Arial" w:hAnsi="Arial" w:cs="Arial"/>
          <w:sz w:val="24"/>
          <w:szCs w:val="24"/>
        </w:rPr>
        <w:t xml:space="preserve">that the expert reports given </w:t>
      </w:r>
      <w:r w:rsidR="00D92735" w:rsidRPr="00232D3B">
        <w:rPr>
          <w:rFonts w:ascii="Arial" w:hAnsi="Arial" w:cs="Arial"/>
          <w:sz w:val="24"/>
          <w:szCs w:val="24"/>
        </w:rPr>
        <w:t xml:space="preserve">in the context of </w:t>
      </w:r>
      <w:r w:rsidR="00FA54F0" w:rsidRPr="00232D3B">
        <w:rPr>
          <w:rFonts w:ascii="Arial" w:hAnsi="Arial" w:cs="Arial"/>
          <w:sz w:val="24"/>
          <w:szCs w:val="24"/>
        </w:rPr>
        <w:t xml:space="preserve">the </w:t>
      </w:r>
      <w:r w:rsidR="00D92735" w:rsidRPr="00232D3B">
        <w:rPr>
          <w:rFonts w:ascii="Arial" w:hAnsi="Arial" w:cs="Arial"/>
          <w:sz w:val="24"/>
          <w:szCs w:val="24"/>
        </w:rPr>
        <w:t xml:space="preserve">litigation process and made available to outsiders </w:t>
      </w:r>
      <w:r w:rsidR="00AE3DA5" w:rsidRPr="00232D3B">
        <w:rPr>
          <w:rFonts w:ascii="Arial" w:hAnsi="Arial" w:cs="Arial"/>
          <w:sz w:val="24"/>
          <w:szCs w:val="24"/>
        </w:rPr>
        <w:t>(</w:t>
      </w:r>
      <w:r w:rsidR="00D92735" w:rsidRPr="00232D3B">
        <w:rPr>
          <w:rFonts w:ascii="Arial" w:hAnsi="Arial" w:cs="Arial"/>
          <w:sz w:val="24"/>
          <w:szCs w:val="24"/>
        </w:rPr>
        <w:t>in this case Prof Jeena</w:t>
      </w:r>
      <w:r w:rsidR="00AE3DA5" w:rsidRPr="00232D3B">
        <w:rPr>
          <w:rFonts w:ascii="Arial" w:hAnsi="Arial" w:cs="Arial"/>
          <w:sz w:val="24"/>
          <w:szCs w:val="24"/>
        </w:rPr>
        <w:t>)</w:t>
      </w:r>
      <w:r w:rsidR="00D92735" w:rsidRPr="00232D3B">
        <w:rPr>
          <w:rFonts w:ascii="Arial" w:hAnsi="Arial" w:cs="Arial"/>
          <w:sz w:val="24"/>
          <w:szCs w:val="24"/>
        </w:rPr>
        <w:t xml:space="preserve">, </w:t>
      </w:r>
      <w:r w:rsidR="001D0CE9" w:rsidRPr="00232D3B">
        <w:rPr>
          <w:rFonts w:ascii="Arial" w:hAnsi="Arial" w:cs="Arial"/>
          <w:sz w:val="24"/>
          <w:szCs w:val="24"/>
        </w:rPr>
        <w:t>must</w:t>
      </w:r>
      <w:r w:rsidR="00D92735" w:rsidRPr="00232D3B">
        <w:rPr>
          <w:rFonts w:ascii="Arial" w:hAnsi="Arial" w:cs="Arial"/>
          <w:sz w:val="24"/>
          <w:szCs w:val="24"/>
        </w:rPr>
        <w:t xml:space="preserve"> lose any privilege that may be claimed.</w:t>
      </w:r>
      <w:r w:rsidR="00FA086D" w:rsidRPr="00232D3B">
        <w:rPr>
          <w:rStyle w:val="FootnoteReference"/>
          <w:rFonts w:ascii="Arial" w:hAnsi="Arial" w:cs="Arial"/>
          <w:sz w:val="24"/>
          <w:szCs w:val="24"/>
        </w:rPr>
        <w:footnoteReference w:id="4"/>
      </w:r>
    </w:p>
    <w:p w14:paraId="36BF99C1" w14:textId="77777777" w:rsidR="008F556A" w:rsidRPr="00232D3B" w:rsidRDefault="008F556A" w:rsidP="0055599A">
      <w:pPr>
        <w:spacing w:after="0" w:line="360" w:lineRule="auto"/>
        <w:jc w:val="both"/>
        <w:rPr>
          <w:rFonts w:ascii="Arial" w:hAnsi="Arial" w:cs="Arial"/>
          <w:sz w:val="24"/>
          <w:szCs w:val="24"/>
        </w:rPr>
      </w:pPr>
    </w:p>
    <w:p w14:paraId="6F7A4957" w14:textId="77777777" w:rsidR="009C6653" w:rsidRPr="00AD647B" w:rsidRDefault="008F556A" w:rsidP="00662BB0">
      <w:pPr>
        <w:spacing w:after="0" w:line="360" w:lineRule="auto"/>
        <w:jc w:val="both"/>
        <w:rPr>
          <w:rFonts w:ascii="Arial" w:hAnsi="Arial" w:cs="Arial"/>
          <w:sz w:val="24"/>
          <w:szCs w:val="24"/>
        </w:rPr>
      </w:pPr>
      <w:r w:rsidRPr="00232D3B">
        <w:rPr>
          <w:rFonts w:ascii="Arial" w:hAnsi="Arial" w:cs="Arial"/>
          <w:sz w:val="24"/>
          <w:szCs w:val="24"/>
        </w:rPr>
        <w:t>[20]</w:t>
      </w:r>
      <w:r w:rsidRPr="00232D3B">
        <w:rPr>
          <w:rFonts w:ascii="Arial" w:hAnsi="Arial" w:cs="Arial"/>
          <w:sz w:val="24"/>
          <w:szCs w:val="24"/>
        </w:rPr>
        <w:tab/>
      </w:r>
      <w:r w:rsidR="009C6653" w:rsidRPr="00232D3B">
        <w:rPr>
          <w:rFonts w:ascii="Arial" w:hAnsi="Arial" w:cs="Arial"/>
          <w:sz w:val="24"/>
          <w:szCs w:val="24"/>
        </w:rPr>
        <w:t xml:space="preserve">The court </w:t>
      </w:r>
      <w:r w:rsidR="009C6653" w:rsidRPr="00232D3B">
        <w:rPr>
          <w:rFonts w:ascii="Arial" w:hAnsi="Arial" w:cs="Arial"/>
          <w:i/>
          <w:sz w:val="24"/>
          <w:szCs w:val="24"/>
        </w:rPr>
        <w:t>a quo</w:t>
      </w:r>
      <w:r w:rsidR="009C6653" w:rsidRPr="00232D3B">
        <w:rPr>
          <w:rFonts w:ascii="Arial" w:hAnsi="Arial" w:cs="Arial"/>
          <w:sz w:val="24"/>
          <w:szCs w:val="24"/>
        </w:rPr>
        <w:t xml:space="preserve"> went on to find that</w:t>
      </w:r>
      <w:r w:rsidR="002062B8" w:rsidRPr="00232D3B">
        <w:rPr>
          <w:rFonts w:ascii="Arial" w:hAnsi="Arial" w:cs="Arial"/>
          <w:sz w:val="24"/>
          <w:szCs w:val="24"/>
        </w:rPr>
        <w:t xml:space="preserve"> the</w:t>
      </w:r>
      <w:r w:rsidR="009C6653" w:rsidRPr="00232D3B">
        <w:rPr>
          <w:rFonts w:ascii="Arial" w:hAnsi="Arial" w:cs="Arial"/>
          <w:sz w:val="24"/>
          <w:szCs w:val="24"/>
        </w:rPr>
        <w:t xml:space="preserve"> mere </w:t>
      </w:r>
      <w:r w:rsidR="009C6653" w:rsidRPr="00232D3B">
        <w:rPr>
          <w:rFonts w:ascii="Arial" w:hAnsi="Arial" w:cs="Arial"/>
          <w:i/>
          <w:sz w:val="24"/>
          <w:szCs w:val="24"/>
        </w:rPr>
        <w:t>ipse dixit</w:t>
      </w:r>
      <w:r w:rsidR="009C6653" w:rsidRPr="00232D3B">
        <w:rPr>
          <w:rFonts w:ascii="Arial" w:hAnsi="Arial" w:cs="Arial"/>
          <w:sz w:val="24"/>
          <w:szCs w:val="24"/>
        </w:rPr>
        <w:t xml:space="preserve"> of the party holding the document is not binding on the court</w:t>
      </w:r>
      <w:r w:rsidR="00FA086D" w:rsidRPr="00232D3B">
        <w:rPr>
          <w:rFonts w:ascii="Arial" w:hAnsi="Arial" w:cs="Arial"/>
          <w:sz w:val="24"/>
          <w:szCs w:val="24"/>
        </w:rPr>
        <w:t xml:space="preserve">. </w:t>
      </w:r>
      <w:r w:rsidR="00AE3DA5" w:rsidRPr="00AD647B">
        <w:rPr>
          <w:rFonts w:ascii="Arial" w:hAnsi="Arial" w:cs="Arial"/>
          <w:sz w:val="24"/>
          <w:szCs w:val="24"/>
        </w:rPr>
        <w:t>This is</w:t>
      </w:r>
      <w:r w:rsidR="00FA086D" w:rsidRPr="00AD647B">
        <w:rPr>
          <w:rFonts w:ascii="Arial" w:hAnsi="Arial" w:cs="Arial"/>
          <w:sz w:val="24"/>
          <w:szCs w:val="24"/>
        </w:rPr>
        <w:t xml:space="preserve"> </w:t>
      </w:r>
      <w:r w:rsidR="00FA086D" w:rsidRPr="00232D3B">
        <w:rPr>
          <w:rFonts w:ascii="Arial" w:hAnsi="Arial" w:cs="Arial"/>
          <w:sz w:val="24"/>
          <w:szCs w:val="24"/>
        </w:rPr>
        <w:t>worse where a litigant simply classif</w:t>
      </w:r>
      <w:r w:rsidR="004574E1" w:rsidRPr="00232D3B">
        <w:rPr>
          <w:rFonts w:ascii="Arial" w:hAnsi="Arial" w:cs="Arial"/>
          <w:sz w:val="24"/>
          <w:szCs w:val="24"/>
        </w:rPr>
        <w:t>ies</w:t>
      </w:r>
      <w:r w:rsidR="00FA086D" w:rsidRPr="00232D3B">
        <w:rPr>
          <w:rFonts w:ascii="Arial" w:hAnsi="Arial" w:cs="Arial"/>
          <w:sz w:val="24"/>
          <w:szCs w:val="24"/>
        </w:rPr>
        <w:t xml:space="preserve"> the document as privileged without laying any basis for such classification. The </w:t>
      </w:r>
      <w:r w:rsidR="00FA086D" w:rsidRPr="00232D3B">
        <w:rPr>
          <w:rFonts w:ascii="Arial" w:hAnsi="Arial" w:cs="Arial"/>
          <w:i/>
          <w:sz w:val="24"/>
          <w:szCs w:val="24"/>
        </w:rPr>
        <w:t>onus</w:t>
      </w:r>
      <w:r w:rsidR="00FA086D" w:rsidRPr="00232D3B">
        <w:rPr>
          <w:rFonts w:ascii="Arial" w:hAnsi="Arial" w:cs="Arial"/>
          <w:sz w:val="24"/>
          <w:szCs w:val="24"/>
        </w:rPr>
        <w:t xml:space="preserve"> rests on </w:t>
      </w:r>
      <w:r w:rsidR="00AE3DA5" w:rsidRPr="00AD647B">
        <w:rPr>
          <w:rFonts w:ascii="Arial" w:hAnsi="Arial" w:cs="Arial"/>
          <w:sz w:val="24"/>
          <w:szCs w:val="24"/>
        </w:rPr>
        <w:t>that party to</w:t>
      </w:r>
      <w:r w:rsidR="00FA086D" w:rsidRPr="00AD647B">
        <w:rPr>
          <w:rFonts w:ascii="Arial" w:hAnsi="Arial" w:cs="Arial"/>
          <w:sz w:val="24"/>
          <w:szCs w:val="24"/>
        </w:rPr>
        <w:t xml:space="preserve"> </w:t>
      </w:r>
      <w:r w:rsidR="00FA086D" w:rsidRPr="00232D3B">
        <w:rPr>
          <w:rFonts w:ascii="Arial" w:hAnsi="Arial" w:cs="Arial"/>
          <w:sz w:val="24"/>
          <w:szCs w:val="24"/>
        </w:rPr>
        <w:t>show why it is necessary for the information to remain secret. The respondent failed to do so</w:t>
      </w:r>
      <w:r w:rsidR="00C3001C" w:rsidRPr="00232D3B">
        <w:rPr>
          <w:rFonts w:ascii="Arial" w:hAnsi="Arial" w:cs="Arial"/>
          <w:sz w:val="24"/>
          <w:szCs w:val="24"/>
        </w:rPr>
        <w:t>.</w:t>
      </w:r>
      <w:r w:rsidR="00FA086D" w:rsidRPr="00232D3B">
        <w:rPr>
          <w:rStyle w:val="FootnoteReference"/>
          <w:rFonts w:ascii="Arial" w:hAnsi="Arial" w:cs="Arial"/>
          <w:sz w:val="24"/>
          <w:szCs w:val="24"/>
        </w:rPr>
        <w:footnoteReference w:id="5"/>
      </w:r>
      <w:r w:rsidR="00C44E80" w:rsidRPr="00232D3B">
        <w:rPr>
          <w:rFonts w:ascii="Arial" w:hAnsi="Arial" w:cs="Arial"/>
          <w:sz w:val="24"/>
          <w:szCs w:val="24"/>
        </w:rPr>
        <w:t xml:space="preserve"> The learned judge went on to find that there was no claim by the respondent that is in the public interest that the report be hidden. In any event</w:t>
      </w:r>
      <w:r w:rsidR="000B08BA" w:rsidRPr="00232D3B">
        <w:rPr>
          <w:rFonts w:ascii="Arial" w:hAnsi="Arial" w:cs="Arial"/>
          <w:sz w:val="24"/>
          <w:szCs w:val="24"/>
        </w:rPr>
        <w:t>,</w:t>
      </w:r>
      <w:r w:rsidR="00C44E80" w:rsidRPr="00232D3B">
        <w:rPr>
          <w:rFonts w:ascii="Arial" w:hAnsi="Arial" w:cs="Arial"/>
          <w:sz w:val="24"/>
          <w:szCs w:val="24"/>
        </w:rPr>
        <w:t xml:space="preserve"> the court would be entitled to scrutinise such evidence in order to determine the strength of the public interest affected and the extent to which the interests of justice </w:t>
      </w:r>
      <w:r w:rsidR="00C44E80" w:rsidRPr="00232D3B">
        <w:rPr>
          <w:rFonts w:ascii="Arial" w:hAnsi="Arial" w:cs="Arial"/>
          <w:sz w:val="24"/>
          <w:szCs w:val="24"/>
        </w:rPr>
        <w:lastRenderedPageBreak/>
        <w:t xml:space="preserve">might be harmed by its non-disclosure. </w:t>
      </w:r>
      <w:r w:rsidR="00BC62AE" w:rsidRPr="00232D3B">
        <w:rPr>
          <w:rFonts w:ascii="Arial" w:hAnsi="Arial" w:cs="Arial"/>
          <w:sz w:val="24"/>
          <w:szCs w:val="24"/>
        </w:rPr>
        <w:t>‘</w:t>
      </w:r>
      <w:r w:rsidR="000861AC" w:rsidRPr="00232D3B">
        <w:rPr>
          <w:rFonts w:ascii="Arial" w:hAnsi="Arial" w:cs="Arial"/>
          <w:sz w:val="24"/>
          <w:szCs w:val="24"/>
        </w:rPr>
        <w:t xml:space="preserve">In the circumstances </w:t>
      </w:r>
      <w:r w:rsidR="00AE3DA5" w:rsidRPr="00AD647B">
        <w:rPr>
          <w:rFonts w:ascii="Arial" w:hAnsi="Arial" w:cs="Arial"/>
          <w:sz w:val="24"/>
          <w:szCs w:val="24"/>
        </w:rPr>
        <w:t xml:space="preserve">the court </w:t>
      </w:r>
      <w:r w:rsidR="00AE3DA5" w:rsidRPr="00AD647B">
        <w:rPr>
          <w:rFonts w:ascii="Arial" w:hAnsi="Arial" w:cs="Arial"/>
          <w:i/>
          <w:sz w:val="24"/>
          <w:szCs w:val="24"/>
        </w:rPr>
        <w:t>a quo</w:t>
      </w:r>
      <w:r w:rsidR="000861AC" w:rsidRPr="00232D3B">
        <w:rPr>
          <w:rFonts w:ascii="Arial" w:hAnsi="Arial" w:cs="Arial"/>
          <w:i/>
          <w:sz w:val="24"/>
          <w:szCs w:val="24"/>
        </w:rPr>
        <w:t xml:space="preserve"> </w:t>
      </w:r>
      <w:r w:rsidR="000861AC" w:rsidRPr="00232D3B">
        <w:rPr>
          <w:rFonts w:ascii="Arial" w:hAnsi="Arial" w:cs="Arial"/>
          <w:sz w:val="24"/>
          <w:szCs w:val="24"/>
        </w:rPr>
        <w:t xml:space="preserve">could </w:t>
      </w:r>
      <w:r w:rsidR="00AE3DA5" w:rsidRPr="00AD647B">
        <w:rPr>
          <w:rFonts w:ascii="Arial" w:hAnsi="Arial" w:cs="Arial"/>
          <w:sz w:val="24"/>
          <w:szCs w:val="24"/>
        </w:rPr>
        <w:t xml:space="preserve">accordingly </w:t>
      </w:r>
      <w:r w:rsidR="000861AC" w:rsidRPr="00232D3B">
        <w:rPr>
          <w:rFonts w:ascii="Arial" w:hAnsi="Arial" w:cs="Arial"/>
          <w:sz w:val="24"/>
          <w:szCs w:val="24"/>
        </w:rPr>
        <w:t>find no valid reasons for the refusal to discover the report of Dr Boon</w:t>
      </w:r>
      <w:r w:rsidR="00AE3DA5" w:rsidRPr="00232D3B">
        <w:rPr>
          <w:rFonts w:ascii="Arial" w:hAnsi="Arial" w:cs="Arial"/>
          <w:sz w:val="24"/>
          <w:szCs w:val="24"/>
        </w:rPr>
        <w:t>.</w:t>
      </w:r>
      <w:r w:rsidR="009633BE" w:rsidRPr="00AD647B">
        <w:rPr>
          <w:rFonts w:ascii="Arial" w:hAnsi="Arial" w:cs="Arial"/>
          <w:sz w:val="24"/>
          <w:szCs w:val="24"/>
        </w:rPr>
        <w:t xml:space="preserve"> </w:t>
      </w:r>
    </w:p>
    <w:p w14:paraId="1774E639" w14:textId="77777777" w:rsidR="00B02420" w:rsidRPr="00232D3B" w:rsidRDefault="00B02420" w:rsidP="0055599A">
      <w:pPr>
        <w:spacing w:after="0" w:line="360" w:lineRule="auto"/>
        <w:jc w:val="both"/>
        <w:rPr>
          <w:rFonts w:ascii="Arial" w:hAnsi="Arial" w:cs="Arial"/>
          <w:sz w:val="24"/>
          <w:szCs w:val="24"/>
        </w:rPr>
      </w:pPr>
    </w:p>
    <w:p w14:paraId="7AB0E295" w14:textId="77777777" w:rsidR="006803A7" w:rsidRPr="00232D3B" w:rsidRDefault="00B64A4A" w:rsidP="0055599A">
      <w:pPr>
        <w:shd w:val="clear" w:color="auto" w:fill="FFFFFF"/>
        <w:spacing w:after="120" w:line="360" w:lineRule="auto"/>
        <w:jc w:val="both"/>
        <w:rPr>
          <w:rFonts w:ascii="Arial" w:eastAsia="Times New Roman" w:hAnsi="Arial" w:cs="Arial"/>
          <w:sz w:val="24"/>
          <w:szCs w:val="24"/>
          <w:lang w:eastAsia="en-ZA"/>
        </w:rPr>
      </w:pPr>
      <w:r w:rsidRPr="00232D3B">
        <w:rPr>
          <w:rFonts w:ascii="Arial" w:eastAsia="Times New Roman" w:hAnsi="Arial" w:cs="Arial"/>
          <w:sz w:val="24"/>
          <w:szCs w:val="24"/>
          <w:lang w:eastAsia="en-ZA"/>
        </w:rPr>
        <w:t>[</w:t>
      </w:r>
      <w:r w:rsidR="00194F6B" w:rsidRPr="00232D3B">
        <w:rPr>
          <w:rFonts w:ascii="Arial" w:eastAsia="Times New Roman" w:hAnsi="Arial" w:cs="Arial"/>
          <w:sz w:val="24"/>
          <w:szCs w:val="24"/>
          <w:lang w:eastAsia="en-ZA"/>
        </w:rPr>
        <w:t>21</w:t>
      </w:r>
      <w:r w:rsidRPr="00232D3B">
        <w:rPr>
          <w:rFonts w:ascii="Arial" w:eastAsia="Times New Roman" w:hAnsi="Arial" w:cs="Arial"/>
          <w:sz w:val="24"/>
          <w:szCs w:val="24"/>
          <w:lang w:eastAsia="en-ZA"/>
        </w:rPr>
        <w:t>]</w:t>
      </w:r>
      <w:r w:rsidRPr="00232D3B">
        <w:rPr>
          <w:rFonts w:ascii="Arial" w:eastAsia="Times New Roman" w:hAnsi="Arial" w:cs="Arial"/>
          <w:sz w:val="24"/>
          <w:szCs w:val="24"/>
          <w:lang w:eastAsia="en-ZA"/>
        </w:rPr>
        <w:tab/>
      </w:r>
      <w:r w:rsidR="00AE3DA5" w:rsidRPr="00232D3B">
        <w:rPr>
          <w:rFonts w:ascii="Arial" w:eastAsia="Times New Roman" w:hAnsi="Arial" w:cs="Arial"/>
          <w:sz w:val="24"/>
          <w:szCs w:val="24"/>
          <w:lang w:eastAsia="en-ZA"/>
        </w:rPr>
        <w:t>I</w:t>
      </w:r>
      <w:r w:rsidR="009C6653" w:rsidRPr="00232D3B">
        <w:rPr>
          <w:rFonts w:ascii="Arial" w:eastAsia="Times New Roman" w:hAnsi="Arial" w:cs="Arial"/>
          <w:sz w:val="24"/>
          <w:szCs w:val="24"/>
          <w:lang w:eastAsia="en-ZA"/>
        </w:rPr>
        <w:t>n</w:t>
      </w:r>
      <w:r w:rsidR="006803A7" w:rsidRPr="00232D3B">
        <w:rPr>
          <w:rFonts w:ascii="Arial" w:eastAsia="Times New Roman" w:hAnsi="Arial" w:cs="Arial"/>
          <w:sz w:val="24"/>
          <w:szCs w:val="24"/>
          <w:lang w:eastAsia="en-ZA"/>
        </w:rPr>
        <w:t xml:space="preserve"> his notice of appeal</w:t>
      </w:r>
      <w:r w:rsidR="00AE3DA5" w:rsidRPr="00232D3B">
        <w:rPr>
          <w:rFonts w:ascii="Arial" w:eastAsia="Times New Roman" w:hAnsi="Arial" w:cs="Arial"/>
          <w:sz w:val="24"/>
          <w:szCs w:val="24"/>
          <w:lang w:eastAsia="en-ZA"/>
        </w:rPr>
        <w:t>,</w:t>
      </w:r>
      <w:r w:rsidR="00AE3DA5" w:rsidRPr="00AD647B">
        <w:rPr>
          <w:rFonts w:ascii="Arial" w:eastAsia="Times New Roman" w:hAnsi="Arial" w:cs="Arial"/>
          <w:sz w:val="24"/>
          <w:szCs w:val="24"/>
          <w:lang w:eastAsia="en-ZA"/>
        </w:rPr>
        <w:t xml:space="preserve"> the appellant</w:t>
      </w:r>
      <w:r w:rsidR="006803A7" w:rsidRPr="00232D3B">
        <w:rPr>
          <w:rFonts w:ascii="Arial" w:eastAsia="Times New Roman" w:hAnsi="Arial" w:cs="Arial"/>
          <w:sz w:val="24"/>
          <w:szCs w:val="24"/>
          <w:lang w:eastAsia="en-ZA"/>
        </w:rPr>
        <w:t xml:space="preserve"> cited the following grounds </w:t>
      </w:r>
      <w:r w:rsidR="00AE3DA5" w:rsidRPr="00232D3B">
        <w:rPr>
          <w:rFonts w:ascii="Arial" w:eastAsia="Times New Roman" w:hAnsi="Arial" w:cs="Arial"/>
          <w:sz w:val="24"/>
          <w:szCs w:val="24"/>
          <w:lang w:eastAsia="en-ZA"/>
        </w:rPr>
        <w:t>of fact</w:t>
      </w:r>
      <w:r w:rsidR="006803A7" w:rsidRPr="00232D3B">
        <w:rPr>
          <w:rFonts w:ascii="Arial" w:eastAsia="Times New Roman" w:hAnsi="Arial" w:cs="Arial"/>
          <w:sz w:val="24"/>
          <w:szCs w:val="24"/>
          <w:lang w:eastAsia="en-ZA"/>
        </w:rPr>
        <w:t xml:space="preserve"> on which it based the appeal</w:t>
      </w:r>
      <w:r w:rsidR="009C6653" w:rsidRPr="00232D3B">
        <w:rPr>
          <w:rFonts w:ascii="Arial" w:eastAsia="Times New Roman" w:hAnsi="Arial" w:cs="Arial"/>
          <w:sz w:val="24"/>
          <w:szCs w:val="24"/>
          <w:lang w:eastAsia="en-ZA"/>
        </w:rPr>
        <w:t xml:space="preserve"> against the judgment of the court </w:t>
      </w:r>
      <w:r w:rsidR="009C6653" w:rsidRPr="00232D3B">
        <w:rPr>
          <w:rFonts w:ascii="Arial" w:eastAsia="Times New Roman" w:hAnsi="Arial" w:cs="Arial"/>
          <w:i/>
          <w:sz w:val="24"/>
          <w:szCs w:val="24"/>
          <w:lang w:eastAsia="en-ZA"/>
        </w:rPr>
        <w:t>a quo</w:t>
      </w:r>
      <w:r w:rsidR="006803A7" w:rsidRPr="00232D3B">
        <w:rPr>
          <w:rFonts w:ascii="Arial" w:eastAsia="Times New Roman" w:hAnsi="Arial" w:cs="Arial"/>
          <w:sz w:val="24"/>
          <w:szCs w:val="24"/>
          <w:lang w:eastAsia="en-ZA"/>
        </w:rPr>
        <w:t>:</w:t>
      </w:r>
    </w:p>
    <w:p w14:paraId="6EF17213" w14:textId="77777777" w:rsidR="006803A7" w:rsidRPr="00232D3B" w:rsidRDefault="00FE6197" w:rsidP="00393CB7">
      <w:pPr>
        <w:pStyle w:val="NoSpacing"/>
        <w:ind w:left="720" w:hanging="720"/>
        <w:jc w:val="both"/>
        <w:rPr>
          <w:rFonts w:ascii="Arial" w:hAnsi="Arial" w:cs="Arial"/>
          <w:lang w:eastAsia="en-ZA"/>
        </w:rPr>
      </w:pPr>
      <w:r w:rsidRPr="00232D3B">
        <w:rPr>
          <w:rFonts w:ascii="Arial" w:hAnsi="Arial" w:cs="Arial"/>
          <w:lang w:eastAsia="en-ZA"/>
        </w:rPr>
        <w:t>‘</w:t>
      </w:r>
      <w:r w:rsidR="00AE3DA5" w:rsidRPr="00232D3B">
        <w:rPr>
          <w:rFonts w:ascii="Arial" w:hAnsi="Arial" w:cs="Arial"/>
          <w:lang w:eastAsia="en-ZA"/>
        </w:rPr>
        <w:t>(1</w:t>
      </w:r>
      <w:r w:rsidR="006803A7" w:rsidRPr="00232D3B">
        <w:rPr>
          <w:rFonts w:ascii="Arial" w:hAnsi="Arial" w:cs="Arial"/>
          <w:lang w:eastAsia="en-ZA"/>
        </w:rPr>
        <w:t>)</w:t>
      </w:r>
      <w:r w:rsidR="006803A7" w:rsidRPr="00232D3B">
        <w:rPr>
          <w:rFonts w:ascii="Arial" w:hAnsi="Arial" w:cs="Arial"/>
          <w:lang w:eastAsia="en-ZA"/>
        </w:rPr>
        <w:tab/>
        <w:t>The Court erred in granting the respondent</w:t>
      </w:r>
      <w:r w:rsidR="001355AE" w:rsidRPr="00232D3B">
        <w:rPr>
          <w:rFonts w:ascii="Arial" w:hAnsi="Arial" w:cs="Arial"/>
          <w:lang w:eastAsia="en-ZA"/>
        </w:rPr>
        <w:t>’</w:t>
      </w:r>
      <w:r w:rsidR="006803A7" w:rsidRPr="00232D3B">
        <w:rPr>
          <w:rFonts w:ascii="Arial" w:hAnsi="Arial" w:cs="Arial"/>
          <w:lang w:eastAsia="en-ZA"/>
        </w:rPr>
        <w:t>s application on the 18 March 2021. The discovery affidavit in terms o</w:t>
      </w:r>
      <w:r w:rsidR="00F009C8" w:rsidRPr="00232D3B">
        <w:rPr>
          <w:rFonts w:ascii="Arial" w:hAnsi="Arial" w:cs="Arial"/>
          <w:lang w:eastAsia="en-ZA"/>
        </w:rPr>
        <w:t>f rule 35(3)</w:t>
      </w:r>
      <w:r w:rsidR="00BF79B2" w:rsidRPr="00232D3B">
        <w:rPr>
          <w:rFonts w:ascii="Arial" w:hAnsi="Arial" w:cs="Arial"/>
          <w:lang w:eastAsia="en-ZA"/>
        </w:rPr>
        <w:t xml:space="preserve"> and (6) filed by Mr</w:t>
      </w:r>
      <w:r w:rsidR="006803A7" w:rsidRPr="00232D3B">
        <w:rPr>
          <w:rFonts w:ascii="Arial" w:hAnsi="Arial" w:cs="Arial"/>
          <w:lang w:eastAsia="en-ZA"/>
        </w:rPr>
        <w:t xml:space="preserve"> Bastile is to the effect that Dr Boon</w:t>
      </w:r>
      <w:r w:rsidR="000236EE" w:rsidRPr="00232D3B">
        <w:rPr>
          <w:rFonts w:ascii="Arial" w:hAnsi="Arial" w:cs="Arial"/>
          <w:lang w:eastAsia="en-ZA"/>
        </w:rPr>
        <w:t>’</w:t>
      </w:r>
      <w:r w:rsidR="006803A7" w:rsidRPr="00232D3B">
        <w:rPr>
          <w:rFonts w:ascii="Arial" w:hAnsi="Arial" w:cs="Arial"/>
          <w:lang w:eastAsia="en-ZA"/>
        </w:rPr>
        <w:t>s report is confidential internal privileged report which forms part of second schedule in the discovery affidavit.</w:t>
      </w:r>
    </w:p>
    <w:p w14:paraId="3FB23E29" w14:textId="77777777" w:rsidR="009C6653" w:rsidRPr="00232D3B" w:rsidRDefault="00AE3DA5" w:rsidP="00393CB7">
      <w:pPr>
        <w:pStyle w:val="NoSpacing"/>
        <w:jc w:val="both"/>
        <w:rPr>
          <w:rFonts w:ascii="Arial" w:hAnsi="Arial" w:cs="Arial"/>
          <w:lang w:eastAsia="en-ZA"/>
        </w:rPr>
      </w:pPr>
      <w:r w:rsidRPr="00232D3B">
        <w:rPr>
          <w:rFonts w:ascii="Arial" w:hAnsi="Arial" w:cs="Arial"/>
          <w:lang w:eastAsia="en-ZA"/>
        </w:rPr>
        <w:t>(2</w:t>
      </w:r>
      <w:r w:rsidR="006803A7" w:rsidRPr="00232D3B">
        <w:rPr>
          <w:rFonts w:ascii="Arial" w:hAnsi="Arial" w:cs="Arial"/>
          <w:lang w:eastAsia="en-ZA"/>
        </w:rPr>
        <w:t>)</w:t>
      </w:r>
      <w:r w:rsidR="006803A7" w:rsidRPr="00232D3B">
        <w:rPr>
          <w:rFonts w:ascii="Arial" w:hAnsi="Arial" w:cs="Arial"/>
          <w:lang w:eastAsia="en-ZA"/>
        </w:rPr>
        <w:tab/>
        <w:t>The report of Dr Boon has the following markings on it:</w:t>
      </w:r>
    </w:p>
    <w:p w14:paraId="34077D18" w14:textId="77777777" w:rsidR="006803A7" w:rsidRPr="00232D3B" w:rsidRDefault="00AE3DA5" w:rsidP="00393CB7">
      <w:pPr>
        <w:pStyle w:val="NoSpacing"/>
        <w:ind w:left="1440" w:hanging="720"/>
        <w:jc w:val="both"/>
        <w:rPr>
          <w:lang w:eastAsia="en-ZA"/>
        </w:rPr>
      </w:pPr>
      <w:r w:rsidRPr="00232D3B">
        <w:rPr>
          <w:rFonts w:ascii="Arial" w:hAnsi="Arial" w:cs="Arial"/>
          <w:lang w:eastAsia="en-ZA"/>
        </w:rPr>
        <w:t>2.1</w:t>
      </w:r>
      <w:r w:rsidRPr="00232D3B">
        <w:rPr>
          <w:rFonts w:ascii="Arial" w:hAnsi="Arial" w:cs="Arial"/>
          <w:lang w:eastAsia="en-ZA"/>
        </w:rPr>
        <w:tab/>
      </w:r>
      <w:r w:rsidR="00B377D0" w:rsidRPr="00232D3B">
        <w:rPr>
          <w:rFonts w:ascii="Arial" w:hAnsi="Arial" w:cs="Arial"/>
          <w:lang w:eastAsia="en-ZA"/>
        </w:rPr>
        <w:t>that i</w:t>
      </w:r>
      <w:r w:rsidR="006803A7" w:rsidRPr="00232D3B">
        <w:rPr>
          <w:rFonts w:ascii="Arial" w:hAnsi="Arial" w:cs="Arial"/>
          <w:lang w:eastAsia="en-ZA"/>
        </w:rPr>
        <w:t>t is addressed to and for the attention of Dr Gouws who is also the employee of the Department. I</w:t>
      </w:r>
      <w:r w:rsidR="00E81BAC" w:rsidRPr="00232D3B">
        <w:rPr>
          <w:rFonts w:ascii="Arial" w:hAnsi="Arial" w:cs="Arial"/>
          <w:lang w:eastAsia="en-ZA"/>
        </w:rPr>
        <w:t xml:space="preserve">t is marked without prejudiced </w:t>
      </w:r>
      <w:r w:rsidR="006803A7" w:rsidRPr="00232D3B">
        <w:rPr>
          <w:rFonts w:ascii="Arial" w:hAnsi="Arial" w:cs="Arial"/>
          <w:lang w:eastAsia="en-ZA"/>
        </w:rPr>
        <w:t>and is marked not for court purpose. It was subsequently sent to the State Attorney for advice on issues raised in the report. Therefore, for all intents and purposes, it is a</w:t>
      </w:r>
      <w:r w:rsidR="006803A7" w:rsidRPr="00232D3B">
        <w:rPr>
          <w:lang w:eastAsia="en-ZA"/>
        </w:rPr>
        <w:t xml:space="preserve"> privileged document which is not discoverable.</w:t>
      </w:r>
    </w:p>
    <w:p w14:paraId="1E56BF2A" w14:textId="77777777" w:rsidR="006803A7" w:rsidRPr="00232D3B" w:rsidRDefault="006803A7" w:rsidP="00393CB7">
      <w:pPr>
        <w:pStyle w:val="NoSpacing"/>
        <w:ind w:left="720" w:hanging="720"/>
        <w:jc w:val="both"/>
        <w:rPr>
          <w:rFonts w:ascii="Arial" w:hAnsi="Arial" w:cs="Arial"/>
          <w:lang w:eastAsia="en-ZA"/>
        </w:rPr>
      </w:pPr>
      <w:r w:rsidRPr="00232D3B">
        <w:rPr>
          <w:rFonts w:ascii="Arial" w:hAnsi="Arial" w:cs="Arial"/>
          <w:lang w:eastAsia="en-ZA"/>
        </w:rPr>
        <w:t>(</w:t>
      </w:r>
      <w:r w:rsidR="00AE3DA5" w:rsidRPr="00232D3B">
        <w:rPr>
          <w:rFonts w:ascii="Arial" w:hAnsi="Arial" w:cs="Arial"/>
          <w:lang w:eastAsia="en-ZA"/>
        </w:rPr>
        <w:t>3</w:t>
      </w:r>
      <w:r w:rsidRPr="00232D3B">
        <w:rPr>
          <w:rFonts w:ascii="Arial" w:hAnsi="Arial" w:cs="Arial"/>
          <w:lang w:eastAsia="en-ZA"/>
        </w:rPr>
        <w:t>)</w:t>
      </w:r>
      <w:r w:rsidRPr="00232D3B">
        <w:rPr>
          <w:rFonts w:ascii="Arial" w:hAnsi="Arial" w:cs="Arial"/>
          <w:lang w:eastAsia="en-ZA"/>
        </w:rPr>
        <w:tab/>
        <w:t xml:space="preserve">The report contains </w:t>
      </w:r>
      <w:r w:rsidR="00B377D0" w:rsidRPr="00232D3B">
        <w:rPr>
          <w:rFonts w:ascii="Arial" w:hAnsi="Arial" w:cs="Arial"/>
          <w:lang w:eastAsia="en-ZA"/>
        </w:rPr>
        <w:t>discussions</w:t>
      </w:r>
      <w:r w:rsidRPr="00232D3B">
        <w:rPr>
          <w:rFonts w:ascii="Arial" w:hAnsi="Arial" w:cs="Arial"/>
          <w:lang w:eastAsia="en-ZA"/>
        </w:rPr>
        <w:t xml:space="preserve"> between some employees of the Department and Dr. Boon. At no stage was it intended for court purposes. It is addressed to another employee of the Department – Dr. Gouws. The court erred in issuing an order that such a document is discoverable.</w:t>
      </w:r>
    </w:p>
    <w:p w14:paraId="00F05FA4" w14:textId="77777777" w:rsidR="006803A7" w:rsidRPr="00232D3B" w:rsidRDefault="00AE3DA5" w:rsidP="00393CB7">
      <w:pPr>
        <w:pStyle w:val="NoSpacing"/>
        <w:ind w:left="720" w:hanging="720"/>
        <w:jc w:val="both"/>
        <w:rPr>
          <w:rFonts w:ascii="Arial" w:hAnsi="Arial" w:cs="Arial"/>
          <w:lang w:eastAsia="en-ZA"/>
        </w:rPr>
      </w:pPr>
      <w:r w:rsidRPr="00232D3B">
        <w:rPr>
          <w:rFonts w:ascii="Arial" w:hAnsi="Arial" w:cs="Arial"/>
          <w:lang w:eastAsia="en-ZA"/>
        </w:rPr>
        <w:t>(4</w:t>
      </w:r>
      <w:r w:rsidR="006803A7" w:rsidRPr="00232D3B">
        <w:rPr>
          <w:rFonts w:ascii="Arial" w:hAnsi="Arial" w:cs="Arial"/>
          <w:lang w:eastAsia="en-ZA"/>
        </w:rPr>
        <w:t>)</w:t>
      </w:r>
      <w:r w:rsidR="006803A7" w:rsidRPr="00232D3B">
        <w:rPr>
          <w:rFonts w:ascii="Arial" w:hAnsi="Arial" w:cs="Arial"/>
          <w:lang w:eastAsia="en-ZA"/>
        </w:rPr>
        <w:tab/>
        <w:t>The statements and enquiries contained in the report by Dr. Boon were made at the instance of the applicant (defendant) on receipt of the summons in this matter. The report demanded by the respondent (plaintiff) is a witness statement and therefore not discoverable.</w:t>
      </w:r>
    </w:p>
    <w:p w14:paraId="2091BE98" w14:textId="77777777" w:rsidR="006803A7" w:rsidRPr="00232D3B" w:rsidRDefault="00AE3DA5" w:rsidP="00393CB7">
      <w:pPr>
        <w:pStyle w:val="NoSpacing"/>
        <w:ind w:left="720" w:hanging="720"/>
        <w:jc w:val="both"/>
        <w:rPr>
          <w:rFonts w:ascii="Arial" w:hAnsi="Arial" w:cs="Arial"/>
          <w:lang w:eastAsia="en-ZA"/>
        </w:rPr>
      </w:pPr>
      <w:r w:rsidRPr="00232D3B">
        <w:rPr>
          <w:rFonts w:ascii="Arial" w:hAnsi="Arial" w:cs="Arial"/>
          <w:lang w:eastAsia="en-ZA"/>
        </w:rPr>
        <w:t>(5</w:t>
      </w:r>
      <w:r w:rsidR="006803A7" w:rsidRPr="00232D3B">
        <w:rPr>
          <w:rFonts w:ascii="Arial" w:hAnsi="Arial" w:cs="Arial"/>
          <w:lang w:eastAsia="en-ZA"/>
        </w:rPr>
        <w:t>)</w:t>
      </w:r>
      <w:r w:rsidR="006803A7" w:rsidRPr="00232D3B">
        <w:rPr>
          <w:rFonts w:ascii="Arial" w:hAnsi="Arial" w:cs="Arial"/>
          <w:lang w:eastAsia="en-ZA"/>
        </w:rPr>
        <w:tab/>
        <w:t>The contention by the respondent that the report of Dr. Boon was given to an outside expert (Prof. Jeena) must not stand. Prof. Jeena did not waive the privilege status of the document in any way. The document therefore remained privileged. He had no authority to waive such status on behalf of the applicant.</w:t>
      </w:r>
    </w:p>
    <w:p w14:paraId="1249808D" w14:textId="77777777" w:rsidR="006803A7" w:rsidRPr="00232D3B" w:rsidRDefault="00AE3DA5" w:rsidP="00393CB7">
      <w:pPr>
        <w:pStyle w:val="NoSpacing"/>
        <w:ind w:left="720" w:hanging="720"/>
        <w:jc w:val="both"/>
        <w:rPr>
          <w:rFonts w:ascii="Arial" w:hAnsi="Arial" w:cs="Arial"/>
          <w:lang w:eastAsia="en-ZA"/>
        </w:rPr>
      </w:pPr>
      <w:r w:rsidRPr="00232D3B">
        <w:rPr>
          <w:rFonts w:ascii="Arial" w:hAnsi="Arial" w:cs="Arial"/>
          <w:lang w:eastAsia="en-ZA"/>
        </w:rPr>
        <w:t>(6</w:t>
      </w:r>
      <w:r w:rsidR="006803A7" w:rsidRPr="00232D3B">
        <w:rPr>
          <w:rFonts w:ascii="Arial" w:hAnsi="Arial" w:cs="Arial"/>
          <w:lang w:eastAsia="en-ZA"/>
        </w:rPr>
        <w:t>)</w:t>
      </w:r>
      <w:r w:rsidR="006803A7" w:rsidRPr="00232D3B">
        <w:rPr>
          <w:rFonts w:ascii="Arial" w:hAnsi="Arial" w:cs="Arial"/>
          <w:lang w:eastAsia="en-ZA"/>
        </w:rPr>
        <w:tab/>
        <w:t>The order dated 18 March 2021 has the potential to prejudice and compromise the confidential internal communication between client (defendant) and State Attorney (the attorney). In any event, the applicant did not waive the privilege status of its document.</w:t>
      </w:r>
    </w:p>
    <w:p w14:paraId="28D54A19" w14:textId="77777777" w:rsidR="006803A7" w:rsidRPr="00232D3B" w:rsidRDefault="00AE3DA5" w:rsidP="00393CB7">
      <w:pPr>
        <w:pStyle w:val="NoSpacing"/>
        <w:ind w:left="720" w:hanging="720"/>
        <w:jc w:val="both"/>
        <w:rPr>
          <w:rFonts w:ascii="Arial" w:hAnsi="Arial" w:cs="Arial"/>
          <w:lang w:eastAsia="en-ZA"/>
        </w:rPr>
      </w:pPr>
      <w:r w:rsidRPr="00232D3B">
        <w:rPr>
          <w:rFonts w:ascii="Arial" w:hAnsi="Arial" w:cs="Arial"/>
          <w:lang w:eastAsia="en-ZA"/>
        </w:rPr>
        <w:t>(7</w:t>
      </w:r>
      <w:r w:rsidR="006803A7" w:rsidRPr="00232D3B">
        <w:rPr>
          <w:rFonts w:ascii="Arial" w:hAnsi="Arial" w:cs="Arial"/>
          <w:lang w:eastAsia="en-ZA"/>
        </w:rPr>
        <w:t>)</w:t>
      </w:r>
      <w:r w:rsidR="006803A7" w:rsidRPr="00232D3B">
        <w:rPr>
          <w:rFonts w:ascii="Arial" w:hAnsi="Arial" w:cs="Arial"/>
          <w:lang w:eastAsia="en-ZA"/>
        </w:rPr>
        <w:tab/>
        <w:t>The issue the respondent relies on is that Prof</w:t>
      </w:r>
      <w:r w:rsidR="00567E92" w:rsidRPr="00232D3B">
        <w:rPr>
          <w:rFonts w:ascii="Arial" w:hAnsi="Arial" w:cs="Arial"/>
          <w:lang w:eastAsia="en-ZA"/>
        </w:rPr>
        <w:t>. Jeena referred</w:t>
      </w:r>
      <w:r w:rsidR="006803A7" w:rsidRPr="00232D3B">
        <w:rPr>
          <w:rFonts w:ascii="Arial" w:hAnsi="Arial" w:cs="Arial"/>
          <w:lang w:eastAsia="en-ZA"/>
        </w:rPr>
        <w:t xml:space="preserve"> to Dr. Boon`s report. The respondent does not mention what information has Prof. Jeena taken from </w:t>
      </w:r>
      <w:r w:rsidR="000911D1" w:rsidRPr="00232D3B">
        <w:rPr>
          <w:rFonts w:ascii="Arial" w:hAnsi="Arial" w:cs="Arial"/>
          <w:lang w:eastAsia="en-ZA"/>
        </w:rPr>
        <w:t>o</w:t>
      </w:r>
      <w:r w:rsidR="006803A7" w:rsidRPr="00232D3B">
        <w:rPr>
          <w:rFonts w:ascii="Arial" w:hAnsi="Arial" w:cs="Arial"/>
          <w:lang w:eastAsia="en-ZA"/>
        </w:rPr>
        <w:t>r relied on Dr Boon`s Report, particularly in circumstances where it is marked not for court and without prejudice. Critically, in circumstances where Prof. Jeena in his letter dated 8 January states:</w:t>
      </w:r>
    </w:p>
    <w:p w14:paraId="19886B00" w14:textId="77777777" w:rsidR="000B1FB8" w:rsidRPr="00232D3B" w:rsidRDefault="006803A7" w:rsidP="00393CB7">
      <w:pPr>
        <w:pStyle w:val="NoSpacing"/>
        <w:ind w:left="1440"/>
        <w:jc w:val="both"/>
        <w:rPr>
          <w:rFonts w:ascii="Arial" w:hAnsi="Arial" w:cs="Arial"/>
          <w:sz w:val="20"/>
          <w:szCs w:val="20"/>
          <w:lang w:eastAsia="en-ZA"/>
        </w:rPr>
      </w:pPr>
      <w:r w:rsidRPr="00232D3B">
        <w:rPr>
          <w:rFonts w:ascii="Arial" w:hAnsi="Arial" w:cs="Arial"/>
          <w:sz w:val="20"/>
          <w:szCs w:val="20"/>
          <w:lang w:eastAsia="en-ZA"/>
        </w:rPr>
        <w:t>“Even though, I was privy to Prof. Boon report that I received on the 19 September 2019 I di</w:t>
      </w:r>
      <w:r w:rsidR="000911D1" w:rsidRPr="00232D3B">
        <w:rPr>
          <w:rFonts w:ascii="Arial" w:hAnsi="Arial" w:cs="Arial"/>
          <w:sz w:val="20"/>
          <w:szCs w:val="20"/>
          <w:lang w:eastAsia="en-ZA"/>
        </w:rPr>
        <w:t>d</w:t>
      </w:r>
      <w:r w:rsidRPr="00232D3B">
        <w:rPr>
          <w:rFonts w:ascii="Arial" w:hAnsi="Arial" w:cs="Arial"/>
          <w:sz w:val="20"/>
          <w:szCs w:val="20"/>
          <w:lang w:eastAsia="en-ZA"/>
        </w:rPr>
        <w:t xml:space="preserve"> not use it in compiling my report dated 4 October 2019”.</w:t>
      </w:r>
    </w:p>
    <w:p w14:paraId="217DACE4" w14:textId="77777777" w:rsidR="006803A7" w:rsidRPr="00232D3B" w:rsidRDefault="00AE3DA5" w:rsidP="00AD647B">
      <w:pPr>
        <w:pStyle w:val="NoSpacing"/>
        <w:ind w:left="720" w:hanging="720"/>
        <w:jc w:val="both"/>
        <w:rPr>
          <w:rFonts w:ascii="Arial" w:hAnsi="Arial" w:cs="Arial"/>
          <w:lang w:eastAsia="en-ZA"/>
        </w:rPr>
      </w:pPr>
      <w:r w:rsidRPr="00232D3B">
        <w:rPr>
          <w:rFonts w:ascii="Arial" w:hAnsi="Arial" w:cs="Arial"/>
          <w:lang w:eastAsia="en-ZA"/>
        </w:rPr>
        <w:t>(8</w:t>
      </w:r>
      <w:r w:rsidR="006803A7" w:rsidRPr="00232D3B">
        <w:rPr>
          <w:rFonts w:ascii="Arial" w:hAnsi="Arial" w:cs="Arial"/>
          <w:lang w:eastAsia="en-ZA"/>
        </w:rPr>
        <w:t>)</w:t>
      </w:r>
      <w:r w:rsidR="006803A7" w:rsidRPr="00232D3B">
        <w:rPr>
          <w:rFonts w:ascii="Arial" w:hAnsi="Arial" w:cs="Arial"/>
          <w:lang w:eastAsia="en-ZA"/>
        </w:rPr>
        <w:tab/>
        <w:t>The characterization of Dr. Boon</w:t>
      </w:r>
      <w:r w:rsidR="00F66152" w:rsidRPr="00232D3B">
        <w:rPr>
          <w:rFonts w:ascii="Arial" w:hAnsi="Arial" w:cs="Arial"/>
          <w:lang w:eastAsia="en-ZA"/>
        </w:rPr>
        <w:t>’</w:t>
      </w:r>
      <w:r w:rsidR="006803A7" w:rsidRPr="00232D3B">
        <w:rPr>
          <w:rFonts w:ascii="Arial" w:hAnsi="Arial" w:cs="Arial"/>
          <w:lang w:eastAsia="en-ZA"/>
        </w:rPr>
        <w:t xml:space="preserve">s report as </w:t>
      </w:r>
      <w:r w:rsidR="009A4ED0" w:rsidRPr="00232D3B">
        <w:rPr>
          <w:rFonts w:ascii="Arial" w:hAnsi="Arial" w:cs="Arial"/>
          <w:lang w:eastAsia="en-ZA"/>
        </w:rPr>
        <w:t xml:space="preserve">a </w:t>
      </w:r>
      <w:r w:rsidR="006803A7" w:rsidRPr="00232D3B">
        <w:rPr>
          <w:rFonts w:ascii="Arial" w:hAnsi="Arial" w:cs="Arial"/>
          <w:lang w:eastAsia="en-ZA"/>
        </w:rPr>
        <w:t>privilege</w:t>
      </w:r>
      <w:r w:rsidR="009A4ED0" w:rsidRPr="00232D3B">
        <w:rPr>
          <w:rFonts w:ascii="Arial" w:hAnsi="Arial" w:cs="Arial"/>
          <w:lang w:eastAsia="en-ZA"/>
        </w:rPr>
        <w:t>d</w:t>
      </w:r>
      <w:r w:rsidR="006803A7" w:rsidRPr="00232D3B">
        <w:rPr>
          <w:rFonts w:ascii="Arial" w:hAnsi="Arial" w:cs="Arial"/>
          <w:lang w:eastAsia="en-ZA"/>
        </w:rPr>
        <w:t xml:space="preserve"> document in the discovery affidavit should have created a departure point as to whether the respondent is entitled to a document characterized as such and if so under what circumstances. It is the discovery affidavit that characterized it as such not papers filed in support of rule 35(3) application.</w:t>
      </w:r>
    </w:p>
    <w:p w14:paraId="6D5E6667" w14:textId="77777777" w:rsidR="006803A7" w:rsidRPr="00232D3B" w:rsidRDefault="00AE3DA5" w:rsidP="00AD647B">
      <w:pPr>
        <w:pStyle w:val="NoSpacing"/>
        <w:ind w:left="720" w:hanging="720"/>
        <w:jc w:val="both"/>
        <w:rPr>
          <w:rFonts w:ascii="Arial" w:hAnsi="Arial" w:cs="Arial"/>
          <w:lang w:eastAsia="en-ZA"/>
        </w:rPr>
      </w:pPr>
      <w:r w:rsidRPr="00232D3B">
        <w:rPr>
          <w:rFonts w:ascii="Arial" w:hAnsi="Arial" w:cs="Arial"/>
          <w:lang w:eastAsia="en-ZA"/>
        </w:rPr>
        <w:t>(9</w:t>
      </w:r>
      <w:r w:rsidR="006803A7" w:rsidRPr="00232D3B">
        <w:rPr>
          <w:rFonts w:ascii="Arial" w:hAnsi="Arial" w:cs="Arial"/>
          <w:lang w:eastAsia="en-ZA"/>
        </w:rPr>
        <w:t>)</w:t>
      </w:r>
      <w:r w:rsidR="006803A7" w:rsidRPr="00232D3B">
        <w:rPr>
          <w:rFonts w:ascii="Arial" w:hAnsi="Arial" w:cs="Arial"/>
          <w:lang w:eastAsia="en-ZA"/>
        </w:rPr>
        <w:tab/>
        <w:t>Appellant at no stage did it issue rule 36 notices for examination of the respondent and as such owed no rule 36 expert report in terms of rule 36 (9)(a) and (b).</w:t>
      </w:r>
    </w:p>
    <w:p w14:paraId="598B6F1F" w14:textId="77777777" w:rsidR="006803A7" w:rsidRPr="00232D3B" w:rsidRDefault="00AE3DA5" w:rsidP="00AD647B">
      <w:pPr>
        <w:pStyle w:val="NoSpacing"/>
        <w:ind w:left="720" w:hanging="720"/>
        <w:jc w:val="both"/>
        <w:rPr>
          <w:rFonts w:ascii="Arial" w:hAnsi="Arial" w:cs="Arial"/>
          <w:lang w:eastAsia="en-ZA"/>
        </w:rPr>
      </w:pPr>
      <w:r w:rsidRPr="00232D3B">
        <w:rPr>
          <w:rFonts w:ascii="Arial" w:hAnsi="Arial" w:cs="Arial"/>
          <w:lang w:eastAsia="en-ZA"/>
        </w:rPr>
        <w:t>(10</w:t>
      </w:r>
      <w:r w:rsidR="006803A7" w:rsidRPr="00232D3B">
        <w:rPr>
          <w:rFonts w:ascii="Arial" w:hAnsi="Arial" w:cs="Arial"/>
          <w:lang w:eastAsia="en-ZA"/>
        </w:rPr>
        <w:t>)</w:t>
      </w:r>
      <w:r w:rsidR="006803A7" w:rsidRPr="00232D3B">
        <w:rPr>
          <w:rFonts w:ascii="Arial" w:hAnsi="Arial" w:cs="Arial"/>
          <w:lang w:eastAsia="en-ZA"/>
        </w:rPr>
        <w:tab/>
        <w:t>A pertinent legal principle in this matter is waiver of rights and a principle the respondent did not address at all due to its failure to adopt the departure point in paragraph 8 above.</w:t>
      </w:r>
    </w:p>
    <w:p w14:paraId="5532D77F" w14:textId="77777777" w:rsidR="006803A7" w:rsidRPr="00232D3B" w:rsidRDefault="00AE3DA5" w:rsidP="00393CB7">
      <w:pPr>
        <w:ind w:left="720" w:hanging="720"/>
        <w:jc w:val="both"/>
        <w:rPr>
          <w:rFonts w:ascii="Arial" w:hAnsi="Arial" w:cs="Arial"/>
          <w:lang w:eastAsia="en-ZA"/>
        </w:rPr>
      </w:pPr>
      <w:r w:rsidRPr="00232D3B">
        <w:rPr>
          <w:rFonts w:ascii="Arial" w:hAnsi="Arial" w:cs="Arial"/>
          <w:lang w:eastAsia="en-ZA"/>
        </w:rPr>
        <w:t>(11</w:t>
      </w:r>
      <w:r w:rsidR="000911D1" w:rsidRPr="00232D3B">
        <w:rPr>
          <w:rFonts w:ascii="Arial" w:hAnsi="Arial" w:cs="Arial"/>
          <w:lang w:eastAsia="en-ZA"/>
        </w:rPr>
        <w:t>)</w:t>
      </w:r>
      <w:r w:rsidR="000911D1" w:rsidRPr="00232D3B">
        <w:rPr>
          <w:rFonts w:ascii="Arial" w:hAnsi="Arial" w:cs="Arial"/>
          <w:lang w:eastAsia="en-ZA"/>
        </w:rPr>
        <w:tab/>
        <w:t>The c</w:t>
      </w:r>
      <w:r w:rsidR="006803A7" w:rsidRPr="00232D3B">
        <w:rPr>
          <w:rFonts w:ascii="Arial" w:hAnsi="Arial" w:cs="Arial"/>
          <w:lang w:eastAsia="en-ZA"/>
        </w:rPr>
        <w:t>ourt is respectfully urged to uphold the appeal sought herein with costs of two counsel where engaged.</w:t>
      </w:r>
      <w:r w:rsidR="0098405C" w:rsidRPr="00232D3B">
        <w:rPr>
          <w:rFonts w:ascii="Arial" w:hAnsi="Arial" w:cs="Arial"/>
          <w:lang w:eastAsia="en-ZA"/>
        </w:rPr>
        <w:t>’</w:t>
      </w:r>
    </w:p>
    <w:p w14:paraId="1A81F7CF" w14:textId="77777777" w:rsidR="002062B8" w:rsidRPr="00232D3B" w:rsidRDefault="002062B8" w:rsidP="0050406D">
      <w:pPr>
        <w:ind w:left="720" w:hanging="720"/>
        <w:jc w:val="both"/>
        <w:rPr>
          <w:rFonts w:ascii="Arial" w:hAnsi="Arial" w:cs="Arial"/>
          <w:lang w:eastAsia="en-ZA"/>
        </w:rPr>
      </w:pPr>
    </w:p>
    <w:p w14:paraId="3ED6DE7E" w14:textId="77777777" w:rsidR="00653D9E" w:rsidRPr="00232D3B" w:rsidRDefault="00653D9E" w:rsidP="00282F3F">
      <w:pPr>
        <w:spacing w:after="0" w:line="360" w:lineRule="auto"/>
        <w:ind w:left="720"/>
        <w:jc w:val="both"/>
        <w:rPr>
          <w:rFonts w:ascii="Arial" w:hAnsi="Arial" w:cs="Arial"/>
          <w:sz w:val="24"/>
          <w:szCs w:val="24"/>
        </w:rPr>
      </w:pPr>
    </w:p>
    <w:p w14:paraId="54226056" w14:textId="6BB83CE3" w:rsidR="007A0402" w:rsidRPr="00232D3B" w:rsidRDefault="007A0402" w:rsidP="0055599A">
      <w:pPr>
        <w:shd w:val="clear" w:color="auto" w:fill="FFFFFF"/>
        <w:spacing w:after="120" w:line="360" w:lineRule="auto"/>
        <w:jc w:val="both"/>
        <w:rPr>
          <w:rFonts w:ascii="Arial" w:eastAsia="Times New Roman" w:hAnsi="Arial" w:cs="Arial"/>
          <w:b/>
          <w:sz w:val="24"/>
          <w:szCs w:val="24"/>
          <w:lang w:eastAsia="en-ZA"/>
        </w:rPr>
      </w:pPr>
      <w:r w:rsidRPr="00232D3B">
        <w:rPr>
          <w:rFonts w:ascii="Arial" w:eastAsia="Times New Roman" w:hAnsi="Arial" w:cs="Arial"/>
          <w:b/>
          <w:sz w:val="24"/>
          <w:szCs w:val="24"/>
          <w:lang w:eastAsia="en-ZA"/>
        </w:rPr>
        <w:t xml:space="preserve">Issues to be </w:t>
      </w:r>
      <w:r w:rsidR="007E51A7" w:rsidRPr="00232D3B">
        <w:rPr>
          <w:rFonts w:ascii="Arial" w:eastAsia="Times New Roman" w:hAnsi="Arial" w:cs="Arial"/>
          <w:b/>
          <w:sz w:val="24"/>
          <w:szCs w:val="24"/>
          <w:lang w:eastAsia="en-ZA"/>
        </w:rPr>
        <w:t>determined</w:t>
      </w:r>
    </w:p>
    <w:p w14:paraId="45D6B7E8" w14:textId="77777777" w:rsidR="007A0402" w:rsidRPr="00232D3B" w:rsidRDefault="00191816" w:rsidP="00191816">
      <w:pPr>
        <w:shd w:val="clear" w:color="auto" w:fill="FFFFFF"/>
        <w:spacing w:after="0" w:line="360" w:lineRule="auto"/>
        <w:jc w:val="both"/>
        <w:rPr>
          <w:rFonts w:ascii="Arial" w:eastAsia="Times New Roman" w:hAnsi="Arial" w:cs="Arial"/>
          <w:sz w:val="24"/>
          <w:szCs w:val="24"/>
          <w:lang w:eastAsia="en-ZA"/>
        </w:rPr>
      </w:pPr>
      <w:r w:rsidRPr="00232D3B">
        <w:rPr>
          <w:rFonts w:ascii="Arial" w:eastAsia="Times New Roman" w:hAnsi="Arial" w:cs="Arial"/>
          <w:sz w:val="24"/>
          <w:szCs w:val="24"/>
          <w:lang w:eastAsia="en-ZA"/>
        </w:rPr>
        <w:t>[</w:t>
      </w:r>
      <w:r w:rsidR="00194F6B" w:rsidRPr="00232D3B">
        <w:rPr>
          <w:rFonts w:ascii="Arial" w:eastAsia="Times New Roman" w:hAnsi="Arial" w:cs="Arial"/>
          <w:sz w:val="24"/>
          <w:szCs w:val="24"/>
          <w:lang w:eastAsia="en-ZA"/>
        </w:rPr>
        <w:t>22</w:t>
      </w:r>
      <w:r w:rsidRPr="00232D3B">
        <w:rPr>
          <w:rFonts w:ascii="Arial" w:eastAsia="Times New Roman" w:hAnsi="Arial" w:cs="Arial"/>
          <w:sz w:val="24"/>
          <w:szCs w:val="24"/>
          <w:lang w:eastAsia="en-ZA"/>
        </w:rPr>
        <w:t>]</w:t>
      </w:r>
      <w:r w:rsidRPr="00232D3B">
        <w:rPr>
          <w:rFonts w:ascii="Arial" w:eastAsia="Times New Roman" w:hAnsi="Arial" w:cs="Arial"/>
          <w:sz w:val="24"/>
          <w:szCs w:val="24"/>
          <w:lang w:eastAsia="en-ZA"/>
        </w:rPr>
        <w:tab/>
      </w:r>
      <w:r w:rsidR="00602FEC" w:rsidRPr="00AD647B">
        <w:rPr>
          <w:rFonts w:ascii="Arial" w:eastAsia="Times New Roman" w:hAnsi="Arial" w:cs="Arial"/>
          <w:sz w:val="24"/>
          <w:szCs w:val="24"/>
          <w:lang w:eastAsia="en-ZA"/>
        </w:rPr>
        <w:t xml:space="preserve">At the hearing of the appeal, </w:t>
      </w:r>
      <w:r w:rsidR="00602FEC" w:rsidRPr="00232D3B">
        <w:rPr>
          <w:rFonts w:ascii="Arial" w:eastAsia="Times New Roman" w:hAnsi="Arial" w:cs="Arial"/>
          <w:sz w:val="24"/>
          <w:szCs w:val="24"/>
          <w:lang w:eastAsia="en-ZA"/>
        </w:rPr>
        <w:t>t</w:t>
      </w:r>
      <w:r w:rsidR="007A0402" w:rsidRPr="00232D3B">
        <w:rPr>
          <w:rFonts w:ascii="Arial" w:eastAsia="Times New Roman" w:hAnsi="Arial" w:cs="Arial"/>
          <w:sz w:val="24"/>
          <w:szCs w:val="24"/>
          <w:lang w:eastAsia="en-ZA"/>
        </w:rPr>
        <w:t>he respondent persisted with its contention that the interlocutory order was not appealable and accordingly submitted that it is an issue</w:t>
      </w:r>
      <w:r w:rsidR="00F529A3" w:rsidRPr="00232D3B">
        <w:rPr>
          <w:rFonts w:ascii="Arial" w:eastAsia="Times New Roman" w:hAnsi="Arial" w:cs="Arial"/>
          <w:sz w:val="24"/>
          <w:szCs w:val="24"/>
          <w:lang w:eastAsia="en-ZA"/>
        </w:rPr>
        <w:t xml:space="preserve"> to be dete</w:t>
      </w:r>
      <w:r w:rsidR="00DB71E2" w:rsidRPr="00232D3B">
        <w:rPr>
          <w:rFonts w:ascii="Arial" w:eastAsia="Times New Roman" w:hAnsi="Arial" w:cs="Arial"/>
          <w:sz w:val="24"/>
          <w:szCs w:val="24"/>
          <w:lang w:eastAsia="en-ZA"/>
        </w:rPr>
        <w:t>rmined. It will be dealt with briefly for the sake of completeness.</w:t>
      </w:r>
    </w:p>
    <w:p w14:paraId="595A1200" w14:textId="77777777" w:rsidR="00C81987" w:rsidRPr="00232D3B" w:rsidRDefault="00C81987" w:rsidP="0055599A">
      <w:pPr>
        <w:shd w:val="clear" w:color="auto" w:fill="FFFFFF"/>
        <w:spacing w:after="0" w:line="360" w:lineRule="auto"/>
        <w:jc w:val="both"/>
        <w:rPr>
          <w:rFonts w:ascii="Arial" w:eastAsia="Times New Roman" w:hAnsi="Arial" w:cs="Arial"/>
          <w:sz w:val="24"/>
          <w:szCs w:val="24"/>
          <w:lang w:eastAsia="en-ZA"/>
        </w:rPr>
      </w:pPr>
    </w:p>
    <w:p w14:paraId="6F717838" w14:textId="77777777" w:rsidR="00F50C91" w:rsidRPr="00232D3B" w:rsidRDefault="00C81987" w:rsidP="0055599A">
      <w:pPr>
        <w:shd w:val="clear" w:color="auto" w:fill="FFFFFF"/>
        <w:spacing w:after="0" w:line="360" w:lineRule="auto"/>
        <w:jc w:val="both"/>
        <w:rPr>
          <w:rFonts w:ascii="Arial" w:eastAsia="Times New Roman" w:hAnsi="Arial" w:cs="Arial"/>
          <w:sz w:val="24"/>
          <w:szCs w:val="24"/>
          <w:lang w:eastAsia="en-ZA"/>
        </w:rPr>
      </w:pPr>
      <w:r w:rsidRPr="00232D3B">
        <w:rPr>
          <w:rFonts w:ascii="Arial" w:eastAsia="Times New Roman" w:hAnsi="Arial" w:cs="Arial"/>
          <w:sz w:val="24"/>
          <w:szCs w:val="24"/>
          <w:lang w:eastAsia="en-ZA"/>
        </w:rPr>
        <w:t>[</w:t>
      </w:r>
      <w:r w:rsidR="00194F6B" w:rsidRPr="00232D3B">
        <w:rPr>
          <w:rFonts w:ascii="Arial" w:eastAsia="Times New Roman" w:hAnsi="Arial" w:cs="Arial"/>
          <w:sz w:val="24"/>
          <w:szCs w:val="24"/>
          <w:lang w:eastAsia="en-ZA"/>
        </w:rPr>
        <w:t>23</w:t>
      </w:r>
      <w:r w:rsidRPr="00232D3B">
        <w:rPr>
          <w:rFonts w:ascii="Arial" w:eastAsia="Times New Roman" w:hAnsi="Arial" w:cs="Arial"/>
          <w:sz w:val="24"/>
          <w:szCs w:val="24"/>
          <w:lang w:eastAsia="en-ZA"/>
        </w:rPr>
        <w:t>]</w:t>
      </w:r>
      <w:r w:rsidRPr="00232D3B">
        <w:rPr>
          <w:rFonts w:ascii="Arial" w:eastAsia="Times New Roman" w:hAnsi="Arial" w:cs="Arial"/>
          <w:sz w:val="24"/>
          <w:szCs w:val="24"/>
          <w:lang w:eastAsia="en-ZA"/>
        </w:rPr>
        <w:tab/>
      </w:r>
      <w:r w:rsidR="007A0402" w:rsidRPr="00232D3B">
        <w:rPr>
          <w:rFonts w:ascii="Arial" w:eastAsia="Times New Roman" w:hAnsi="Arial" w:cs="Arial"/>
          <w:sz w:val="24"/>
          <w:szCs w:val="24"/>
          <w:lang w:eastAsia="en-ZA"/>
        </w:rPr>
        <w:t xml:space="preserve">The main issue to be </w:t>
      </w:r>
      <w:r w:rsidR="00F46BE0" w:rsidRPr="00232D3B">
        <w:rPr>
          <w:rFonts w:ascii="Arial" w:eastAsia="Times New Roman" w:hAnsi="Arial" w:cs="Arial"/>
          <w:sz w:val="24"/>
          <w:szCs w:val="24"/>
          <w:lang w:eastAsia="en-ZA"/>
        </w:rPr>
        <w:t xml:space="preserve">determined </w:t>
      </w:r>
      <w:r w:rsidR="000911D1" w:rsidRPr="00232D3B">
        <w:rPr>
          <w:rFonts w:ascii="Arial" w:eastAsia="Times New Roman" w:hAnsi="Arial" w:cs="Arial"/>
          <w:sz w:val="24"/>
          <w:szCs w:val="24"/>
          <w:lang w:eastAsia="en-ZA"/>
        </w:rPr>
        <w:t>is whether the</w:t>
      </w:r>
      <w:r w:rsidR="000911D1" w:rsidRPr="00AD647B">
        <w:rPr>
          <w:rFonts w:ascii="Arial" w:eastAsia="Times New Roman" w:hAnsi="Arial" w:cs="Arial"/>
          <w:sz w:val="24"/>
          <w:szCs w:val="24"/>
          <w:lang w:eastAsia="en-ZA"/>
        </w:rPr>
        <w:t xml:space="preserve"> </w:t>
      </w:r>
      <w:r w:rsidR="00F46BE0" w:rsidRPr="00AD647B">
        <w:rPr>
          <w:rFonts w:ascii="Arial" w:eastAsia="Times New Roman" w:hAnsi="Arial" w:cs="Arial"/>
          <w:sz w:val="24"/>
          <w:szCs w:val="24"/>
          <w:lang w:eastAsia="en-ZA"/>
        </w:rPr>
        <w:t xml:space="preserve">respondent </w:t>
      </w:r>
      <w:r w:rsidR="00F46BE0" w:rsidRPr="00232D3B">
        <w:rPr>
          <w:rFonts w:ascii="Arial" w:eastAsia="Times New Roman" w:hAnsi="Arial" w:cs="Arial"/>
          <w:sz w:val="24"/>
          <w:szCs w:val="24"/>
          <w:lang w:eastAsia="en-ZA"/>
        </w:rPr>
        <w:t>is</w:t>
      </w:r>
      <w:r w:rsidR="00F46BE0" w:rsidRPr="00AD647B">
        <w:rPr>
          <w:rFonts w:ascii="Arial" w:eastAsia="Times New Roman" w:hAnsi="Arial" w:cs="Arial"/>
          <w:sz w:val="24"/>
          <w:szCs w:val="24"/>
          <w:lang w:eastAsia="en-ZA"/>
        </w:rPr>
        <w:t xml:space="preserve"> </w:t>
      </w:r>
      <w:r w:rsidR="00F46BE0" w:rsidRPr="00232D3B">
        <w:rPr>
          <w:rFonts w:ascii="Arial" w:eastAsia="Times New Roman" w:hAnsi="Arial" w:cs="Arial"/>
          <w:sz w:val="24"/>
          <w:szCs w:val="24"/>
          <w:lang w:eastAsia="en-ZA"/>
        </w:rPr>
        <w:t xml:space="preserve">entitled to the report of Dr Boon in circumstances where the </w:t>
      </w:r>
      <w:r w:rsidR="0008616F" w:rsidRPr="00AD647B">
        <w:rPr>
          <w:rFonts w:ascii="Arial" w:eastAsia="Times New Roman" w:hAnsi="Arial" w:cs="Arial"/>
          <w:sz w:val="24"/>
          <w:szCs w:val="24"/>
          <w:lang w:eastAsia="en-ZA"/>
        </w:rPr>
        <w:t xml:space="preserve">appellant </w:t>
      </w:r>
      <w:r w:rsidR="0008616F" w:rsidRPr="00232D3B">
        <w:rPr>
          <w:rFonts w:ascii="Arial" w:eastAsia="Times New Roman" w:hAnsi="Arial" w:cs="Arial"/>
          <w:sz w:val="24"/>
          <w:szCs w:val="24"/>
          <w:lang w:eastAsia="en-ZA"/>
        </w:rPr>
        <w:t xml:space="preserve">claims that it is a privileged </w:t>
      </w:r>
      <w:r w:rsidR="00602FEC" w:rsidRPr="00232D3B">
        <w:rPr>
          <w:rFonts w:ascii="Arial" w:eastAsia="Times New Roman" w:hAnsi="Arial" w:cs="Arial"/>
          <w:sz w:val="24"/>
          <w:szCs w:val="24"/>
          <w:lang w:eastAsia="en-ZA"/>
        </w:rPr>
        <w:t xml:space="preserve">document </w:t>
      </w:r>
      <w:r w:rsidR="00602FEC" w:rsidRPr="00AD647B">
        <w:rPr>
          <w:rFonts w:ascii="Arial" w:eastAsia="Times New Roman" w:hAnsi="Arial" w:cs="Arial"/>
          <w:sz w:val="24"/>
          <w:szCs w:val="24"/>
          <w:lang w:eastAsia="en-ZA"/>
        </w:rPr>
        <w:t xml:space="preserve">or </w:t>
      </w:r>
      <w:r w:rsidR="00885DE2" w:rsidRPr="00232D3B">
        <w:rPr>
          <w:rFonts w:ascii="Arial" w:eastAsia="Times New Roman" w:hAnsi="Arial" w:cs="Arial"/>
          <w:sz w:val="24"/>
          <w:szCs w:val="24"/>
          <w:lang w:eastAsia="en-ZA"/>
        </w:rPr>
        <w:t>witness statement.</w:t>
      </w:r>
    </w:p>
    <w:p w14:paraId="6F1DDD99" w14:textId="77777777" w:rsidR="00F46BE0" w:rsidRPr="00232D3B" w:rsidRDefault="00F46BE0" w:rsidP="00282F3F">
      <w:pPr>
        <w:shd w:val="clear" w:color="auto" w:fill="FFFFFF"/>
        <w:spacing w:after="0" w:line="360" w:lineRule="auto"/>
        <w:jc w:val="both"/>
        <w:rPr>
          <w:rFonts w:ascii="Arial" w:eastAsia="Times New Roman" w:hAnsi="Arial" w:cs="Arial"/>
          <w:sz w:val="24"/>
          <w:szCs w:val="24"/>
          <w:lang w:eastAsia="en-ZA"/>
        </w:rPr>
      </w:pPr>
    </w:p>
    <w:p w14:paraId="78B41DC4" w14:textId="77777777" w:rsidR="0063661D" w:rsidRPr="000F0060" w:rsidRDefault="0063661D" w:rsidP="0055599A">
      <w:pPr>
        <w:shd w:val="clear" w:color="auto" w:fill="FFFFFF"/>
        <w:spacing w:after="120" w:line="360" w:lineRule="auto"/>
        <w:ind w:left="720" w:hanging="720"/>
        <w:jc w:val="both"/>
        <w:rPr>
          <w:rFonts w:ascii="Arial" w:eastAsia="Times New Roman" w:hAnsi="Arial" w:cs="Arial"/>
          <w:iCs/>
          <w:sz w:val="24"/>
          <w:szCs w:val="24"/>
          <w:lang w:eastAsia="en-ZA"/>
        </w:rPr>
      </w:pPr>
      <w:r w:rsidRPr="000F0060">
        <w:rPr>
          <w:rFonts w:ascii="Arial" w:eastAsia="Times New Roman" w:hAnsi="Arial" w:cs="Arial"/>
          <w:b/>
          <w:iCs/>
          <w:sz w:val="24"/>
          <w:szCs w:val="24"/>
          <w:lang w:eastAsia="en-ZA"/>
        </w:rPr>
        <w:t xml:space="preserve">Appealability of an interlocutory </w:t>
      </w:r>
      <w:r w:rsidR="00602FEC" w:rsidRPr="000F0060">
        <w:rPr>
          <w:rFonts w:ascii="Arial" w:eastAsia="Times New Roman" w:hAnsi="Arial" w:cs="Arial"/>
          <w:b/>
          <w:iCs/>
          <w:sz w:val="24"/>
          <w:szCs w:val="24"/>
          <w:lang w:eastAsia="en-ZA"/>
        </w:rPr>
        <w:t>order</w:t>
      </w:r>
    </w:p>
    <w:p w14:paraId="30E6DA3F" w14:textId="77777777" w:rsidR="00B9432B" w:rsidRPr="00232D3B" w:rsidRDefault="00E91C26" w:rsidP="00E91C26">
      <w:pPr>
        <w:shd w:val="clear" w:color="auto" w:fill="FFFFFF"/>
        <w:spacing w:after="0" w:line="360" w:lineRule="auto"/>
        <w:jc w:val="both"/>
        <w:rPr>
          <w:rFonts w:ascii="Arial" w:eastAsia="Times New Roman" w:hAnsi="Arial" w:cs="Arial"/>
          <w:sz w:val="24"/>
          <w:szCs w:val="24"/>
          <w:lang w:eastAsia="en-ZA"/>
        </w:rPr>
      </w:pPr>
      <w:r w:rsidRPr="00232D3B">
        <w:rPr>
          <w:rFonts w:ascii="Arial" w:eastAsia="Times New Roman" w:hAnsi="Arial" w:cs="Arial"/>
          <w:sz w:val="24"/>
          <w:szCs w:val="24"/>
          <w:lang w:eastAsia="en-ZA"/>
        </w:rPr>
        <w:t>[</w:t>
      </w:r>
      <w:r w:rsidR="00194F6B" w:rsidRPr="00232D3B">
        <w:rPr>
          <w:rFonts w:ascii="Arial" w:eastAsia="Times New Roman" w:hAnsi="Arial" w:cs="Arial"/>
          <w:sz w:val="24"/>
          <w:szCs w:val="24"/>
          <w:lang w:eastAsia="en-ZA"/>
        </w:rPr>
        <w:t>24</w:t>
      </w:r>
      <w:r w:rsidRPr="00232D3B">
        <w:rPr>
          <w:rFonts w:ascii="Arial" w:eastAsia="Times New Roman" w:hAnsi="Arial" w:cs="Arial"/>
          <w:sz w:val="24"/>
          <w:szCs w:val="24"/>
          <w:lang w:eastAsia="en-ZA"/>
        </w:rPr>
        <w:t>]</w:t>
      </w:r>
      <w:r w:rsidRPr="00232D3B">
        <w:rPr>
          <w:rFonts w:ascii="Arial" w:eastAsia="Times New Roman" w:hAnsi="Arial" w:cs="Arial"/>
          <w:sz w:val="24"/>
          <w:szCs w:val="24"/>
          <w:lang w:eastAsia="en-ZA"/>
        </w:rPr>
        <w:tab/>
      </w:r>
      <w:r w:rsidR="00D63910" w:rsidRPr="00232D3B">
        <w:rPr>
          <w:rFonts w:ascii="Arial" w:eastAsia="Times New Roman" w:hAnsi="Arial" w:cs="Arial"/>
          <w:sz w:val="24"/>
          <w:szCs w:val="24"/>
          <w:lang w:eastAsia="en-ZA"/>
        </w:rPr>
        <w:t xml:space="preserve">Mr </w:t>
      </w:r>
      <w:r w:rsidR="00D63910" w:rsidRPr="000F0060">
        <w:rPr>
          <w:rFonts w:ascii="Arial" w:eastAsia="Times New Roman" w:hAnsi="Arial" w:cs="Arial"/>
          <w:i/>
          <w:sz w:val="24"/>
          <w:szCs w:val="24"/>
          <w:lang w:eastAsia="en-ZA"/>
        </w:rPr>
        <w:t>Kunju</w:t>
      </w:r>
      <w:r w:rsidR="00602FEC" w:rsidRPr="00232D3B">
        <w:rPr>
          <w:rFonts w:ascii="Arial" w:eastAsia="Times New Roman" w:hAnsi="Arial" w:cs="Arial"/>
          <w:sz w:val="24"/>
          <w:szCs w:val="24"/>
          <w:lang w:eastAsia="en-ZA"/>
        </w:rPr>
        <w:t xml:space="preserve">, </w:t>
      </w:r>
      <w:r w:rsidR="002062B8" w:rsidRPr="00AD647B">
        <w:rPr>
          <w:rFonts w:ascii="Arial" w:eastAsia="Times New Roman" w:hAnsi="Arial" w:cs="Arial"/>
          <w:sz w:val="24"/>
          <w:szCs w:val="24"/>
          <w:lang w:eastAsia="en-ZA"/>
        </w:rPr>
        <w:t>c</w:t>
      </w:r>
      <w:r w:rsidR="00602FEC" w:rsidRPr="00AD647B">
        <w:rPr>
          <w:rFonts w:ascii="Arial" w:eastAsia="Times New Roman" w:hAnsi="Arial" w:cs="Arial"/>
          <w:sz w:val="24"/>
          <w:szCs w:val="24"/>
          <w:lang w:eastAsia="en-ZA"/>
        </w:rPr>
        <w:t>ounsel for the appellant, submitted</w:t>
      </w:r>
      <w:r w:rsidR="00D63910" w:rsidRPr="00AD647B">
        <w:rPr>
          <w:rFonts w:ascii="Arial" w:eastAsia="Times New Roman" w:hAnsi="Arial" w:cs="Arial"/>
          <w:sz w:val="24"/>
          <w:szCs w:val="24"/>
          <w:lang w:eastAsia="en-ZA"/>
        </w:rPr>
        <w:t xml:space="preserve"> </w:t>
      </w:r>
      <w:r w:rsidR="00B9432B" w:rsidRPr="00232D3B">
        <w:rPr>
          <w:rFonts w:ascii="Arial" w:eastAsia="Times New Roman" w:hAnsi="Arial" w:cs="Arial"/>
          <w:sz w:val="24"/>
          <w:szCs w:val="24"/>
          <w:lang w:eastAsia="en-ZA"/>
        </w:rPr>
        <w:t>that</w:t>
      </w:r>
      <w:r w:rsidR="00602FEC" w:rsidRPr="00232D3B">
        <w:rPr>
          <w:rFonts w:ascii="Arial" w:eastAsia="Times New Roman" w:hAnsi="Arial" w:cs="Arial"/>
          <w:sz w:val="24"/>
          <w:szCs w:val="24"/>
          <w:lang w:eastAsia="en-ZA"/>
        </w:rPr>
        <w:t>,</w:t>
      </w:r>
      <w:r w:rsidR="00B9432B" w:rsidRPr="00232D3B">
        <w:rPr>
          <w:rFonts w:ascii="Arial" w:eastAsia="Times New Roman" w:hAnsi="Arial" w:cs="Arial"/>
          <w:sz w:val="24"/>
          <w:szCs w:val="24"/>
          <w:lang w:eastAsia="en-ZA"/>
        </w:rPr>
        <w:t xml:space="preserve"> even though an interlocutory order may not be appealable</w:t>
      </w:r>
      <w:r w:rsidR="0089321F" w:rsidRPr="00232D3B">
        <w:rPr>
          <w:rFonts w:ascii="Arial" w:eastAsia="Times New Roman" w:hAnsi="Arial" w:cs="Arial"/>
          <w:sz w:val="24"/>
          <w:szCs w:val="24"/>
          <w:lang w:eastAsia="en-ZA"/>
        </w:rPr>
        <w:t xml:space="preserve"> under</w:t>
      </w:r>
      <w:r w:rsidR="00B21D11" w:rsidRPr="00232D3B">
        <w:rPr>
          <w:rFonts w:ascii="Arial" w:eastAsia="Times New Roman" w:hAnsi="Arial" w:cs="Arial"/>
          <w:sz w:val="24"/>
          <w:szCs w:val="24"/>
          <w:lang w:eastAsia="en-ZA"/>
        </w:rPr>
        <w:t xml:space="preserve"> the</w:t>
      </w:r>
      <w:r w:rsidR="0089321F" w:rsidRPr="00232D3B">
        <w:rPr>
          <w:rFonts w:ascii="Arial" w:eastAsia="Times New Roman" w:hAnsi="Arial" w:cs="Arial"/>
          <w:sz w:val="24"/>
          <w:szCs w:val="24"/>
          <w:lang w:eastAsia="en-ZA"/>
        </w:rPr>
        <w:t xml:space="preserve"> traditional test, it may be </w:t>
      </w:r>
      <w:r w:rsidR="00B9432B" w:rsidRPr="00232D3B">
        <w:rPr>
          <w:rFonts w:ascii="Arial" w:eastAsia="Times New Roman" w:hAnsi="Arial" w:cs="Arial"/>
          <w:sz w:val="24"/>
          <w:szCs w:val="24"/>
          <w:lang w:eastAsia="en-ZA"/>
        </w:rPr>
        <w:t>appealable in terms of section 17(1) of the Superior Courts Act</w:t>
      </w:r>
      <w:r w:rsidR="00AE0D43" w:rsidRPr="00232D3B">
        <w:rPr>
          <w:rFonts w:ascii="Arial" w:eastAsia="Times New Roman" w:hAnsi="Arial" w:cs="Arial"/>
          <w:sz w:val="24"/>
          <w:szCs w:val="24"/>
          <w:lang w:eastAsia="en-ZA"/>
        </w:rPr>
        <w:t xml:space="preserve"> 10</w:t>
      </w:r>
      <w:r w:rsidR="00B21D11" w:rsidRPr="00232D3B">
        <w:rPr>
          <w:rFonts w:ascii="Arial" w:eastAsia="Times New Roman" w:hAnsi="Arial" w:cs="Arial"/>
          <w:sz w:val="24"/>
          <w:szCs w:val="24"/>
          <w:lang w:eastAsia="en-ZA"/>
        </w:rPr>
        <w:t xml:space="preserve"> </w:t>
      </w:r>
      <w:r w:rsidR="00AE0D43" w:rsidRPr="00232D3B">
        <w:rPr>
          <w:rFonts w:ascii="Arial" w:eastAsia="Times New Roman" w:hAnsi="Arial" w:cs="Arial"/>
          <w:sz w:val="24"/>
          <w:szCs w:val="24"/>
          <w:lang w:eastAsia="en-ZA"/>
        </w:rPr>
        <w:t>of 2013</w:t>
      </w:r>
      <w:r w:rsidR="00B9432B" w:rsidRPr="00232D3B">
        <w:rPr>
          <w:rFonts w:ascii="Arial" w:eastAsia="Times New Roman" w:hAnsi="Arial" w:cs="Arial"/>
          <w:sz w:val="24"/>
          <w:szCs w:val="24"/>
          <w:lang w:eastAsia="en-ZA"/>
        </w:rPr>
        <w:t>.</w:t>
      </w:r>
    </w:p>
    <w:p w14:paraId="234F680C" w14:textId="77777777" w:rsidR="00F02608" w:rsidRPr="00232D3B" w:rsidRDefault="00F02608" w:rsidP="0055599A">
      <w:pPr>
        <w:shd w:val="clear" w:color="auto" w:fill="FFFFFF"/>
        <w:spacing w:after="0" w:line="360" w:lineRule="auto"/>
        <w:jc w:val="both"/>
        <w:rPr>
          <w:rFonts w:ascii="Arial" w:eastAsia="Times New Roman" w:hAnsi="Arial" w:cs="Arial"/>
          <w:sz w:val="24"/>
          <w:szCs w:val="24"/>
          <w:lang w:eastAsia="en-ZA"/>
        </w:rPr>
      </w:pPr>
    </w:p>
    <w:p w14:paraId="385760F0" w14:textId="77777777" w:rsidR="00B9432B" w:rsidRPr="00232D3B" w:rsidRDefault="00F02608" w:rsidP="0055599A">
      <w:pPr>
        <w:shd w:val="clear" w:color="auto" w:fill="FFFFFF"/>
        <w:spacing w:after="120" w:line="360" w:lineRule="auto"/>
        <w:jc w:val="both"/>
        <w:rPr>
          <w:rFonts w:ascii="Arial" w:eastAsia="Times New Roman" w:hAnsi="Arial" w:cs="Arial"/>
          <w:sz w:val="24"/>
          <w:szCs w:val="24"/>
          <w:lang w:eastAsia="en-ZA"/>
        </w:rPr>
      </w:pPr>
      <w:r w:rsidRPr="00232D3B">
        <w:rPr>
          <w:rFonts w:ascii="Arial" w:eastAsia="Times New Roman" w:hAnsi="Arial" w:cs="Arial"/>
          <w:sz w:val="24"/>
          <w:szCs w:val="24"/>
          <w:lang w:eastAsia="en-ZA"/>
        </w:rPr>
        <w:t>[</w:t>
      </w:r>
      <w:r w:rsidR="00194F6B" w:rsidRPr="00232D3B">
        <w:rPr>
          <w:rFonts w:ascii="Arial" w:eastAsia="Times New Roman" w:hAnsi="Arial" w:cs="Arial"/>
          <w:sz w:val="24"/>
          <w:szCs w:val="24"/>
          <w:lang w:eastAsia="en-ZA"/>
        </w:rPr>
        <w:t>25</w:t>
      </w:r>
      <w:r w:rsidRPr="00232D3B">
        <w:rPr>
          <w:rFonts w:ascii="Arial" w:eastAsia="Times New Roman" w:hAnsi="Arial" w:cs="Arial"/>
          <w:sz w:val="24"/>
          <w:szCs w:val="24"/>
          <w:lang w:eastAsia="en-ZA"/>
        </w:rPr>
        <w:t>]</w:t>
      </w:r>
      <w:r w:rsidRPr="00232D3B">
        <w:rPr>
          <w:rFonts w:ascii="Arial" w:eastAsia="Times New Roman" w:hAnsi="Arial" w:cs="Arial"/>
          <w:sz w:val="24"/>
          <w:szCs w:val="24"/>
          <w:lang w:eastAsia="en-ZA"/>
        </w:rPr>
        <w:tab/>
      </w:r>
      <w:r w:rsidR="00B9432B" w:rsidRPr="00232D3B">
        <w:rPr>
          <w:rFonts w:ascii="Arial" w:eastAsia="Times New Roman" w:hAnsi="Arial" w:cs="Arial"/>
          <w:sz w:val="24"/>
          <w:szCs w:val="24"/>
          <w:lang w:eastAsia="en-ZA"/>
        </w:rPr>
        <w:t xml:space="preserve">In </w:t>
      </w:r>
      <w:r w:rsidR="00B9432B" w:rsidRPr="00232D3B">
        <w:rPr>
          <w:rFonts w:ascii="Arial" w:eastAsia="Times New Roman" w:hAnsi="Arial" w:cs="Arial"/>
          <w:i/>
          <w:sz w:val="24"/>
          <w:szCs w:val="24"/>
          <w:lang w:eastAsia="en-ZA"/>
        </w:rPr>
        <w:t xml:space="preserve">RTS Industries and Others v </w:t>
      </w:r>
      <w:r w:rsidR="00655195" w:rsidRPr="00232D3B">
        <w:rPr>
          <w:rFonts w:ascii="Arial" w:eastAsia="Times New Roman" w:hAnsi="Arial" w:cs="Arial"/>
          <w:i/>
          <w:sz w:val="24"/>
          <w:szCs w:val="24"/>
          <w:lang w:eastAsia="en-ZA"/>
        </w:rPr>
        <w:t>Technical</w:t>
      </w:r>
      <w:r w:rsidR="00B9432B" w:rsidRPr="00232D3B">
        <w:rPr>
          <w:rFonts w:ascii="Arial" w:eastAsia="Times New Roman" w:hAnsi="Arial" w:cs="Arial"/>
          <w:i/>
          <w:sz w:val="24"/>
          <w:szCs w:val="24"/>
          <w:lang w:eastAsia="en-ZA"/>
        </w:rPr>
        <w:t xml:space="preserve"> Systems (Pty) Ltd and Another</w:t>
      </w:r>
      <w:r w:rsidR="002C42B9" w:rsidRPr="00232D3B">
        <w:rPr>
          <w:rFonts w:ascii="Arial" w:eastAsia="Times New Roman" w:hAnsi="Arial" w:cs="Arial"/>
          <w:iCs/>
          <w:sz w:val="24"/>
          <w:szCs w:val="24"/>
          <w:lang w:eastAsia="en-ZA"/>
        </w:rPr>
        <w:t>,</w:t>
      </w:r>
      <w:r w:rsidR="00B9432B" w:rsidRPr="00232D3B">
        <w:rPr>
          <w:rStyle w:val="FootnoteReference"/>
          <w:rFonts w:ascii="Arial" w:eastAsia="Times New Roman" w:hAnsi="Arial" w:cs="Arial"/>
          <w:sz w:val="24"/>
          <w:szCs w:val="24"/>
          <w:lang w:eastAsia="en-ZA"/>
        </w:rPr>
        <w:footnoteReference w:id="6"/>
      </w:r>
      <w:r w:rsidR="00655195" w:rsidRPr="00232D3B">
        <w:rPr>
          <w:rFonts w:ascii="Arial" w:eastAsia="Times New Roman" w:hAnsi="Arial" w:cs="Arial"/>
          <w:sz w:val="24"/>
          <w:szCs w:val="24"/>
          <w:lang w:eastAsia="en-ZA"/>
        </w:rPr>
        <w:t xml:space="preserve"> the c</w:t>
      </w:r>
      <w:r w:rsidR="00074BA8" w:rsidRPr="00232D3B">
        <w:rPr>
          <w:rFonts w:ascii="Arial" w:eastAsia="Times New Roman" w:hAnsi="Arial" w:cs="Arial"/>
          <w:sz w:val="24"/>
          <w:szCs w:val="24"/>
          <w:lang w:eastAsia="en-ZA"/>
        </w:rPr>
        <w:t>ourt</w:t>
      </w:r>
      <w:r w:rsidR="0078180C" w:rsidRPr="00232D3B">
        <w:rPr>
          <w:rFonts w:ascii="Arial" w:eastAsia="Times New Roman" w:hAnsi="Arial" w:cs="Arial"/>
          <w:sz w:val="24"/>
          <w:szCs w:val="24"/>
          <w:lang w:eastAsia="en-ZA"/>
        </w:rPr>
        <w:t xml:space="preserve"> held</w:t>
      </w:r>
      <w:r w:rsidR="00B9432B" w:rsidRPr="00232D3B">
        <w:rPr>
          <w:rFonts w:ascii="Arial" w:eastAsia="Times New Roman" w:hAnsi="Arial" w:cs="Arial"/>
          <w:sz w:val="24"/>
          <w:szCs w:val="24"/>
          <w:lang w:eastAsia="en-ZA"/>
        </w:rPr>
        <w:t>:</w:t>
      </w:r>
    </w:p>
    <w:p w14:paraId="17338346" w14:textId="77777777" w:rsidR="00712CAE" w:rsidRPr="00232D3B" w:rsidRDefault="00A61F79" w:rsidP="0050406D">
      <w:pPr>
        <w:pStyle w:val="NoSpacing"/>
        <w:jc w:val="both"/>
        <w:rPr>
          <w:rFonts w:ascii="Arial" w:hAnsi="Arial" w:cs="Arial"/>
        </w:rPr>
      </w:pPr>
      <w:r w:rsidRPr="00232D3B">
        <w:rPr>
          <w:rFonts w:ascii="Arial" w:hAnsi="Arial" w:cs="Arial"/>
        </w:rPr>
        <w:t>‘</w:t>
      </w:r>
      <w:r w:rsidR="00B9432B" w:rsidRPr="00232D3B">
        <w:rPr>
          <w:rFonts w:ascii="Arial" w:hAnsi="Arial" w:cs="Arial"/>
        </w:rPr>
        <w:t>Whether or not an inte</w:t>
      </w:r>
      <w:r w:rsidR="00060661" w:rsidRPr="00232D3B">
        <w:rPr>
          <w:rFonts w:ascii="Arial" w:hAnsi="Arial" w:cs="Arial"/>
        </w:rPr>
        <w:t xml:space="preserve">rim order is appealable is fact </w:t>
      </w:r>
      <w:r w:rsidR="00B9432B" w:rsidRPr="00232D3B">
        <w:rPr>
          <w:rFonts w:ascii="Arial" w:hAnsi="Arial" w:cs="Arial"/>
        </w:rPr>
        <w:t>specific. This was affirmed in</w:t>
      </w:r>
      <w:r w:rsidRPr="00232D3B">
        <w:rPr>
          <w:rFonts w:ascii="Arial" w:hAnsi="Arial" w:cs="Arial"/>
        </w:rPr>
        <w:t xml:space="preserve"> </w:t>
      </w:r>
      <w:r w:rsidR="00B9432B" w:rsidRPr="00232D3B">
        <w:rPr>
          <w:rFonts w:ascii="Arial" w:hAnsi="Arial" w:cs="Arial"/>
          <w:i/>
        </w:rPr>
        <w:t>South African Informal Traders Forum v City of Johannesburg</w:t>
      </w:r>
      <w:r w:rsidR="00B9432B" w:rsidRPr="00232D3B">
        <w:rPr>
          <w:rFonts w:ascii="Arial" w:hAnsi="Arial" w:cs="Arial"/>
          <w:iCs/>
        </w:rPr>
        <w:t>,</w:t>
      </w:r>
      <w:r w:rsidR="00946B76" w:rsidRPr="00232D3B">
        <w:rPr>
          <w:rStyle w:val="FootnoteReference"/>
          <w:rFonts w:ascii="Arial" w:hAnsi="Arial" w:cs="Arial"/>
          <w:iCs/>
        </w:rPr>
        <w:footnoteReference w:id="7"/>
      </w:r>
      <w:r w:rsidR="00B9432B" w:rsidRPr="00232D3B">
        <w:rPr>
          <w:rFonts w:ascii="Arial" w:hAnsi="Arial" w:cs="Arial"/>
        </w:rPr>
        <w:t xml:space="preserve"> where the Constitutional Court held that when determining whether it is in the best interests of justice to appeal an interim order, the court must have regard to and weigh carefully all relevant circumstances. The factors that are relevant or decisive in a particular instan</w:t>
      </w:r>
      <w:r w:rsidR="00712CAE" w:rsidRPr="00232D3B">
        <w:rPr>
          <w:rFonts w:ascii="Arial" w:hAnsi="Arial" w:cs="Arial"/>
        </w:rPr>
        <w:t>ce, will vary from case to case</w:t>
      </w:r>
      <w:r w:rsidR="008F53DC" w:rsidRPr="00232D3B">
        <w:rPr>
          <w:rFonts w:ascii="Arial" w:hAnsi="Arial" w:cs="Arial"/>
        </w:rPr>
        <w:t>.’</w:t>
      </w:r>
    </w:p>
    <w:p w14:paraId="5FB6E305" w14:textId="77777777" w:rsidR="008F53DC" w:rsidRPr="00232D3B" w:rsidRDefault="008F53DC" w:rsidP="0055599A">
      <w:pPr>
        <w:pStyle w:val="NormalWeb"/>
        <w:shd w:val="clear" w:color="auto" w:fill="FFFFFF"/>
        <w:spacing w:before="0" w:beforeAutospacing="0" w:after="0" w:afterAutospacing="0" w:line="360" w:lineRule="auto"/>
        <w:ind w:right="116"/>
        <w:jc w:val="both"/>
        <w:rPr>
          <w:rFonts w:ascii="Arial" w:hAnsi="Arial" w:cs="Arial"/>
        </w:rPr>
      </w:pPr>
    </w:p>
    <w:p w14:paraId="06302BC9" w14:textId="77777777" w:rsidR="002016FE" w:rsidRPr="00232D3B" w:rsidRDefault="008F53DC" w:rsidP="0055599A">
      <w:pPr>
        <w:pStyle w:val="NormalWeb"/>
        <w:shd w:val="clear" w:color="auto" w:fill="FFFFFF"/>
        <w:spacing w:before="0" w:beforeAutospacing="0" w:after="120" w:afterAutospacing="0" w:line="360" w:lineRule="auto"/>
        <w:jc w:val="both"/>
        <w:rPr>
          <w:rFonts w:ascii="Arial" w:hAnsi="Arial" w:cs="Arial"/>
        </w:rPr>
      </w:pPr>
      <w:r w:rsidRPr="00232D3B">
        <w:rPr>
          <w:rFonts w:ascii="Arial" w:hAnsi="Arial" w:cs="Arial"/>
        </w:rPr>
        <w:t>[</w:t>
      </w:r>
      <w:r w:rsidR="00194F6B" w:rsidRPr="00232D3B">
        <w:rPr>
          <w:rFonts w:ascii="Arial" w:hAnsi="Arial" w:cs="Arial"/>
        </w:rPr>
        <w:t>26</w:t>
      </w:r>
      <w:r w:rsidRPr="00232D3B">
        <w:rPr>
          <w:rFonts w:ascii="Arial" w:hAnsi="Arial" w:cs="Arial"/>
        </w:rPr>
        <w:t>]</w:t>
      </w:r>
      <w:r w:rsidRPr="00232D3B">
        <w:rPr>
          <w:rFonts w:ascii="Arial" w:hAnsi="Arial" w:cs="Arial"/>
        </w:rPr>
        <w:tab/>
      </w:r>
      <w:r w:rsidR="00712CAE" w:rsidRPr="00232D3B">
        <w:rPr>
          <w:rFonts w:ascii="Arial" w:hAnsi="Arial" w:cs="Arial"/>
        </w:rPr>
        <w:t>The Constitutional Court in</w:t>
      </w:r>
      <w:r w:rsidR="003701A2" w:rsidRPr="00232D3B">
        <w:rPr>
          <w:rFonts w:ascii="Arial" w:hAnsi="Arial" w:cs="Arial"/>
          <w:i/>
        </w:rPr>
        <w:t xml:space="preserve"> </w:t>
      </w:r>
      <w:r w:rsidR="00712CAE" w:rsidRPr="00232D3B">
        <w:rPr>
          <w:rFonts w:ascii="Arial" w:hAnsi="Arial" w:cs="Arial"/>
          <w:i/>
        </w:rPr>
        <w:t xml:space="preserve">United Democratic </w:t>
      </w:r>
      <w:r w:rsidR="003652EC" w:rsidRPr="00232D3B">
        <w:rPr>
          <w:rFonts w:ascii="Arial" w:hAnsi="Arial" w:cs="Arial"/>
          <w:i/>
        </w:rPr>
        <w:t>Movement and</w:t>
      </w:r>
      <w:r w:rsidR="00712CAE" w:rsidRPr="00232D3B">
        <w:rPr>
          <w:rFonts w:ascii="Arial" w:hAnsi="Arial" w:cs="Arial"/>
          <w:i/>
        </w:rPr>
        <w:t xml:space="preserve"> Another v Lebashe </w:t>
      </w:r>
      <w:r w:rsidR="007672FC" w:rsidRPr="00232D3B">
        <w:rPr>
          <w:rFonts w:ascii="Arial" w:hAnsi="Arial" w:cs="Arial"/>
          <w:i/>
        </w:rPr>
        <w:t>Investment</w:t>
      </w:r>
      <w:r w:rsidR="00712CAE" w:rsidRPr="00232D3B">
        <w:rPr>
          <w:rFonts w:ascii="Arial" w:hAnsi="Arial" w:cs="Arial"/>
          <w:i/>
        </w:rPr>
        <w:t xml:space="preserve"> Group (Pty) Ltd and Others</w:t>
      </w:r>
      <w:r w:rsidR="00602FEC" w:rsidRPr="00AD647B">
        <w:rPr>
          <w:rFonts w:ascii="Arial" w:hAnsi="Arial" w:cs="Arial"/>
        </w:rPr>
        <w:t>,</w:t>
      </w:r>
      <w:r w:rsidR="00712CAE" w:rsidRPr="00232D3B">
        <w:rPr>
          <w:rStyle w:val="FootnoteReference"/>
          <w:rFonts w:ascii="Arial" w:hAnsi="Arial" w:cs="Arial"/>
        </w:rPr>
        <w:footnoteReference w:id="8"/>
      </w:r>
      <w:r w:rsidR="00773977" w:rsidRPr="00232D3B">
        <w:rPr>
          <w:rFonts w:ascii="Arial" w:hAnsi="Arial" w:cs="Arial"/>
        </w:rPr>
        <w:t xml:space="preserve"> held</w:t>
      </w:r>
      <w:r w:rsidRPr="00232D3B">
        <w:rPr>
          <w:rFonts w:ascii="Arial" w:hAnsi="Arial" w:cs="Arial"/>
        </w:rPr>
        <w:t>,</w:t>
      </w:r>
      <w:r w:rsidR="00773977" w:rsidRPr="00232D3B">
        <w:rPr>
          <w:rFonts w:ascii="Arial" w:hAnsi="Arial" w:cs="Arial"/>
        </w:rPr>
        <w:t xml:space="preserve"> </w:t>
      </w:r>
      <w:r w:rsidR="00773977" w:rsidRPr="00232D3B">
        <w:rPr>
          <w:rFonts w:ascii="Arial" w:hAnsi="Arial" w:cs="Arial"/>
          <w:i/>
          <w:iCs/>
        </w:rPr>
        <w:t>inter alia</w:t>
      </w:r>
      <w:r w:rsidRPr="00232D3B">
        <w:rPr>
          <w:rFonts w:ascii="Arial" w:hAnsi="Arial" w:cs="Arial"/>
        </w:rPr>
        <w:t>,</w:t>
      </w:r>
      <w:r w:rsidR="00773977" w:rsidRPr="00232D3B">
        <w:rPr>
          <w:rFonts w:ascii="Arial" w:hAnsi="Arial" w:cs="Arial"/>
        </w:rPr>
        <w:t xml:space="preserve"> as follows</w:t>
      </w:r>
      <w:r w:rsidR="00712CAE" w:rsidRPr="00232D3B">
        <w:rPr>
          <w:rFonts w:ascii="Arial" w:hAnsi="Arial" w:cs="Arial"/>
        </w:rPr>
        <w:t>:</w:t>
      </w:r>
    </w:p>
    <w:p w14:paraId="52C76533" w14:textId="77777777" w:rsidR="00D7402B" w:rsidRPr="00232D3B" w:rsidRDefault="007A0B4A" w:rsidP="0050406D">
      <w:pPr>
        <w:pStyle w:val="NoSpacing"/>
        <w:jc w:val="both"/>
        <w:rPr>
          <w:rFonts w:ascii="Arial" w:hAnsi="Arial" w:cs="Arial"/>
        </w:rPr>
      </w:pPr>
      <w:r w:rsidRPr="00232D3B">
        <w:rPr>
          <w:rFonts w:ascii="Arial" w:hAnsi="Arial" w:cs="Arial"/>
        </w:rPr>
        <w:t>‘</w:t>
      </w:r>
      <w:r w:rsidR="00D7402B" w:rsidRPr="00232D3B">
        <w:rPr>
          <w:rFonts w:ascii="Arial" w:hAnsi="Arial" w:cs="Arial"/>
        </w:rPr>
        <w:t>Whether this court should grant leave turns on what the interests of justice require. Whether it is in the interests of justice to hear and determine the matter involves a careful balancing and weighing</w:t>
      </w:r>
      <w:r w:rsidR="00841211" w:rsidRPr="00232D3B">
        <w:rPr>
          <w:rFonts w:ascii="Arial" w:hAnsi="Arial" w:cs="Arial"/>
        </w:rPr>
        <w:t xml:space="preserve"> </w:t>
      </w:r>
      <w:r w:rsidR="00D7402B" w:rsidRPr="00232D3B">
        <w:rPr>
          <w:rFonts w:ascii="Arial" w:hAnsi="Arial" w:cs="Arial"/>
        </w:rPr>
        <w:t>up of all relevant factors.</w:t>
      </w:r>
      <w:r w:rsidR="00841211" w:rsidRPr="00232D3B">
        <w:rPr>
          <w:rFonts w:ascii="Arial" w:hAnsi="Arial" w:cs="Arial"/>
        </w:rPr>
        <w:t xml:space="preserve"> </w:t>
      </w:r>
      <w:r w:rsidR="00D7402B" w:rsidRPr="00232D3B">
        <w:rPr>
          <w:rFonts w:ascii="Arial" w:hAnsi="Arial" w:cs="Arial"/>
        </w:rPr>
        <w:t>However, there is no concrete and succinct definition of the phrase “interests of justice” and what it really entails.</w:t>
      </w:r>
      <w:r w:rsidR="00934BCD" w:rsidRPr="00232D3B">
        <w:rPr>
          <w:rStyle w:val="FootnoteReference"/>
          <w:rFonts w:ascii="Arial" w:hAnsi="Arial" w:cs="Arial"/>
        </w:rPr>
        <w:footnoteReference w:id="9"/>
      </w:r>
    </w:p>
    <w:p w14:paraId="0CB616E6" w14:textId="77777777" w:rsidR="0050406D" w:rsidRPr="00232D3B" w:rsidRDefault="0050406D" w:rsidP="0050406D">
      <w:pPr>
        <w:pStyle w:val="NoSpacing"/>
        <w:jc w:val="both"/>
        <w:rPr>
          <w:rFonts w:ascii="Arial" w:hAnsi="Arial" w:cs="Arial"/>
        </w:rPr>
      </w:pPr>
    </w:p>
    <w:p w14:paraId="409928E2" w14:textId="77777777" w:rsidR="00D7402B" w:rsidRPr="00232D3B" w:rsidRDefault="00D7402B" w:rsidP="0050406D">
      <w:pPr>
        <w:pStyle w:val="NoSpacing"/>
        <w:jc w:val="both"/>
        <w:rPr>
          <w:rFonts w:ascii="Arial" w:hAnsi="Arial" w:cs="Arial"/>
        </w:rPr>
      </w:pPr>
      <w:r w:rsidRPr="00232D3B">
        <w:rPr>
          <w:rFonts w:ascii="Arial" w:hAnsi="Arial" w:cs="Arial"/>
        </w:rPr>
        <w:t>What is in the interests of justice will depend on a careful evaluation of all the relevant factors in a particular case.</w:t>
      </w:r>
      <w:r w:rsidR="00841211" w:rsidRPr="00232D3B">
        <w:rPr>
          <w:rFonts w:ascii="Arial" w:hAnsi="Arial" w:cs="Arial"/>
        </w:rPr>
        <w:t xml:space="preserve"> </w:t>
      </w:r>
      <w:r w:rsidRPr="00232D3B">
        <w:rPr>
          <w:rFonts w:ascii="Arial" w:hAnsi="Arial" w:cs="Arial"/>
        </w:rPr>
        <w:t>Herein there are two different hurdles as to whether this court should grant leave: (</w:t>
      </w:r>
      <w:r w:rsidRPr="00232D3B">
        <w:rPr>
          <w:rFonts w:ascii="Arial" w:hAnsi="Arial" w:cs="Arial"/>
          <w:i/>
        </w:rPr>
        <w:t>a</w:t>
      </w:r>
      <w:r w:rsidRPr="00232D3B">
        <w:rPr>
          <w:rFonts w:ascii="Arial" w:hAnsi="Arial" w:cs="Arial"/>
        </w:rPr>
        <w:t>) whether the Supreme</w:t>
      </w:r>
      <w:r w:rsidR="00841211" w:rsidRPr="00232D3B">
        <w:rPr>
          <w:rFonts w:ascii="Arial" w:hAnsi="Arial" w:cs="Arial"/>
        </w:rPr>
        <w:t xml:space="preserve"> </w:t>
      </w:r>
      <w:r w:rsidRPr="00232D3B">
        <w:rPr>
          <w:rFonts w:ascii="Arial" w:hAnsi="Arial" w:cs="Arial"/>
        </w:rPr>
        <w:t>Court of Appeal’s order is appealable; and (</w:t>
      </w:r>
      <w:r w:rsidRPr="00232D3B">
        <w:rPr>
          <w:rFonts w:ascii="Arial" w:hAnsi="Arial" w:cs="Arial"/>
          <w:i/>
        </w:rPr>
        <w:t>b</w:t>
      </w:r>
      <w:r w:rsidRPr="00232D3B">
        <w:rPr>
          <w:rFonts w:ascii="Arial" w:hAnsi="Arial" w:cs="Arial"/>
        </w:rPr>
        <w:t xml:space="preserve">) whether, if the </w:t>
      </w:r>
      <w:r w:rsidRPr="00232D3B">
        <w:rPr>
          <w:rFonts w:ascii="Arial" w:hAnsi="Arial" w:cs="Arial"/>
        </w:rPr>
        <w:lastRenderedPageBreak/>
        <w:t>order is appealable, this court should entertain the merits of the appeal despite the fact that the Supreme Court of Appeal did not determine the merits of the appeal.</w:t>
      </w:r>
      <w:r w:rsidR="00934BCD" w:rsidRPr="00232D3B">
        <w:rPr>
          <w:rStyle w:val="FootnoteReference"/>
          <w:rFonts w:ascii="Arial" w:hAnsi="Arial" w:cs="Arial"/>
        </w:rPr>
        <w:footnoteReference w:id="10"/>
      </w:r>
    </w:p>
    <w:p w14:paraId="09CBD861" w14:textId="77777777" w:rsidR="0050406D" w:rsidRPr="00232D3B" w:rsidRDefault="0050406D" w:rsidP="0050406D">
      <w:pPr>
        <w:pStyle w:val="NoSpacing"/>
        <w:jc w:val="both"/>
        <w:rPr>
          <w:rFonts w:ascii="Arial" w:hAnsi="Arial" w:cs="Arial"/>
        </w:rPr>
      </w:pPr>
    </w:p>
    <w:p w14:paraId="6C38A859" w14:textId="77777777" w:rsidR="00D7402B" w:rsidRPr="00232D3B" w:rsidRDefault="00712CAE" w:rsidP="0050406D">
      <w:pPr>
        <w:pStyle w:val="NoSpacing"/>
        <w:jc w:val="both"/>
        <w:rPr>
          <w:rFonts w:ascii="Arial" w:hAnsi="Arial" w:cs="Arial"/>
          <w:iCs/>
          <w:shd w:val="clear" w:color="auto" w:fill="FFFFFF"/>
        </w:rPr>
      </w:pPr>
      <w:r w:rsidRPr="00232D3B">
        <w:rPr>
          <w:rFonts w:ascii="Arial" w:hAnsi="Arial" w:cs="Arial"/>
          <w:shd w:val="clear" w:color="auto" w:fill="FFFFFF"/>
        </w:rPr>
        <w:t>Whether an interim order has final effect or disposes of a substantial portion of the relief sought in a pending review is merely one consideration. Under the common law principle as laid down in</w:t>
      </w:r>
      <w:r w:rsidR="00112BBF" w:rsidRPr="00232D3B">
        <w:rPr>
          <w:rFonts w:ascii="Arial" w:hAnsi="Arial" w:cs="Arial"/>
          <w:shd w:val="clear" w:color="auto" w:fill="FFFFFF"/>
        </w:rPr>
        <w:t xml:space="preserve"> </w:t>
      </w:r>
      <w:r w:rsidRPr="00232D3B">
        <w:rPr>
          <w:rFonts w:ascii="Arial" w:hAnsi="Arial" w:cs="Arial"/>
          <w:i/>
          <w:iCs/>
          <w:shd w:val="clear" w:color="auto" w:fill="FFFFFF"/>
        </w:rPr>
        <w:t>Zweni</w:t>
      </w:r>
      <w:r w:rsidRPr="00232D3B">
        <w:rPr>
          <w:rFonts w:ascii="Arial" w:hAnsi="Arial" w:cs="Arial"/>
          <w:shd w:val="clear" w:color="auto" w:fill="FFFFFF"/>
        </w:rPr>
        <w:t>, if none of the requirements set out therein were met, it was the end of the matter. But now the test of appealability is the interests of justice, and no longer the common law test as set out in</w:t>
      </w:r>
      <w:r w:rsidR="00112BBF" w:rsidRPr="00232D3B">
        <w:rPr>
          <w:rFonts w:ascii="Arial" w:hAnsi="Arial" w:cs="Arial"/>
          <w:shd w:val="clear" w:color="auto" w:fill="FFFFFF"/>
        </w:rPr>
        <w:t xml:space="preserve"> </w:t>
      </w:r>
      <w:r w:rsidRPr="00232D3B">
        <w:rPr>
          <w:rFonts w:ascii="Arial" w:hAnsi="Arial" w:cs="Arial"/>
          <w:i/>
          <w:iCs/>
          <w:shd w:val="clear" w:color="auto" w:fill="FFFFFF"/>
        </w:rPr>
        <w:t>Zweni</w:t>
      </w:r>
      <w:r w:rsidR="00D042CE" w:rsidRPr="00232D3B">
        <w:rPr>
          <w:rFonts w:ascii="Arial" w:hAnsi="Arial" w:cs="Arial"/>
          <w:iCs/>
          <w:shd w:val="clear" w:color="auto" w:fill="FFFFFF"/>
        </w:rPr>
        <w:t>.</w:t>
      </w:r>
      <w:r w:rsidR="00934BCD" w:rsidRPr="00232D3B">
        <w:rPr>
          <w:rStyle w:val="FootnoteReference"/>
          <w:rFonts w:ascii="Arial" w:hAnsi="Arial" w:cs="Arial"/>
          <w:iCs/>
          <w:shd w:val="clear" w:color="auto" w:fill="FFFFFF"/>
        </w:rPr>
        <w:footnoteReference w:id="11"/>
      </w:r>
    </w:p>
    <w:p w14:paraId="7FEC4BAB" w14:textId="77777777" w:rsidR="0050406D" w:rsidRPr="00232D3B" w:rsidRDefault="0050406D" w:rsidP="0050406D">
      <w:pPr>
        <w:pStyle w:val="NoSpacing"/>
        <w:jc w:val="both"/>
        <w:rPr>
          <w:rFonts w:ascii="Arial" w:hAnsi="Arial" w:cs="Arial"/>
          <w:shd w:val="clear" w:color="auto" w:fill="FFFFFF"/>
        </w:rPr>
      </w:pPr>
    </w:p>
    <w:p w14:paraId="271FE997" w14:textId="77777777" w:rsidR="005E3FD4" w:rsidRPr="00232D3B" w:rsidRDefault="00DE2FD7" w:rsidP="0050406D">
      <w:pPr>
        <w:pStyle w:val="NoSpacing"/>
        <w:jc w:val="both"/>
        <w:rPr>
          <w:rFonts w:ascii="Arial" w:hAnsi="Arial" w:cs="Arial"/>
          <w:sz w:val="24"/>
          <w:szCs w:val="24"/>
          <w:shd w:val="clear" w:color="auto" w:fill="FFFFFF"/>
        </w:rPr>
      </w:pPr>
      <w:r w:rsidRPr="00232D3B">
        <w:rPr>
          <w:rFonts w:ascii="Arial" w:hAnsi="Arial" w:cs="Arial"/>
          <w:shd w:val="clear" w:color="auto" w:fill="FFFFFF"/>
        </w:rPr>
        <w:t>The majority of the Supreme Court of Appeal erred in holding that the interests of justice did not render the impugned interim interdict a “decision” within the meaning of</w:t>
      </w:r>
      <w:r w:rsidR="00A77ADF" w:rsidRPr="00232D3B">
        <w:rPr>
          <w:rFonts w:ascii="Arial" w:hAnsi="Arial" w:cs="Arial"/>
          <w:shd w:val="clear" w:color="auto" w:fill="FFFFFF"/>
        </w:rPr>
        <w:t xml:space="preserve"> </w:t>
      </w:r>
      <w:hyperlink r:id="rId9" w:anchor="s16" w:history="1">
        <w:r w:rsidRPr="00232D3B">
          <w:rPr>
            <w:rStyle w:val="Hyperlink"/>
            <w:rFonts w:ascii="Arial" w:hAnsi="Arial" w:cs="Arial"/>
            <w:bCs/>
            <w:color w:val="auto"/>
            <w:u w:val="none"/>
            <w:shd w:val="clear" w:color="auto" w:fill="FFFFFF"/>
          </w:rPr>
          <w:t>section</w:t>
        </w:r>
        <w:r w:rsidR="00A77ADF" w:rsidRPr="00232D3B">
          <w:rPr>
            <w:rStyle w:val="Hyperlink"/>
            <w:rFonts w:ascii="Arial" w:hAnsi="Arial" w:cs="Arial"/>
            <w:bCs/>
            <w:color w:val="auto"/>
            <w:u w:val="none"/>
            <w:shd w:val="clear" w:color="auto" w:fill="FFFFFF"/>
          </w:rPr>
          <w:t xml:space="preserve"> </w:t>
        </w:r>
        <w:r w:rsidRPr="00232D3B">
          <w:rPr>
            <w:rStyle w:val="Hyperlink"/>
            <w:rFonts w:ascii="Arial" w:hAnsi="Arial" w:cs="Arial"/>
            <w:bCs/>
            <w:color w:val="auto"/>
            <w:u w:val="none"/>
            <w:shd w:val="clear" w:color="auto" w:fill="FFFFFF"/>
          </w:rPr>
          <w:t>16(1)(</w:t>
        </w:r>
        <w:r w:rsidRPr="00232D3B">
          <w:rPr>
            <w:rStyle w:val="Hyperlink"/>
            <w:rFonts w:ascii="Arial" w:hAnsi="Arial" w:cs="Arial"/>
            <w:bCs/>
            <w:i/>
            <w:color w:val="auto"/>
            <w:u w:val="none"/>
            <w:shd w:val="clear" w:color="auto" w:fill="FFFFFF"/>
          </w:rPr>
          <w:t>a</w:t>
        </w:r>
        <w:r w:rsidRPr="00232D3B">
          <w:rPr>
            <w:rStyle w:val="Hyperlink"/>
            <w:rFonts w:ascii="Arial" w:hAnsi="Arial" w:cs="Arial"/>
            <w:bCs/>
            <w:color w:val="auto"/>
            <w:u w:val="none"/>
            <w:shd w:val="clear" w:color="auto" w:fill="FFFFFF"/>
          </w:rPr>
          <w:t>)</w:t>
        </w:r>
      </w:hyperlink>
      <w:r w:rsidR="00A77ADF" w:rsidRPr="00232D3B">
        <w:rPr>
          <w:rFonts w:ascii="Arial" w:hAnsi="Arial" w:cs="Arial"/>
          <w:shd w:val="clear" w:color="auto" w:fill="FFFFFF"/>
        </w:rPr>
        <w:t xml:space="preserve"> </w:t>
      </w:r>
      <w:r w:rsidRPr="00232D3B">
        <w:rPr>
          <w:rFonts w:ascii="Arial" w:hAnsi="Arial" w:cs="Arial"/>
          <w:shd w:val="clear" w:color="auto" w:fill="FFFFFF"/>
        </w:rPr>
        <w:t>of the</w:t>
      </w:r>
      <w:r w:rsidR="00A77ADF" w:rsidRPr="00232D3B">
        <w:rPr>
          <w:rFonts w:ascii="Arial" w:hAnsi="Arial" w:cs="Arial"/>
          <w:shd w:val="clear" w:color="auto" w:fill="FFFFFF"/>
        </w:rPr>
        <w:t xml:space="preserve"> </w:t>
      </w:r>
      <w:hyperlink r:id="rId10" w:history="1">
        <w:r w:rsidRPr="00232D3B">
          <w:rPr>
            <w:rStyle w:val="Hyperlink"/>
            <w:rFonts w:ascii="Arial" w:hAnsi="Arial" w:cs="Arial"/>
            <w:bCs/>
            <w:color w:val="auto"/>
            <w:u w:val="none"/>
            <w:shd w:val="clear" w:color="auto" w:fill="FFFFFF"/>
          </w:rPr>
          <w:t>Superior Courts Act. An</w:t>
        </w:r>
      </w:hyperlink>
      <w:r w:rsidR="00A77ADF" w:rsidRPr="00232D3B">
        <w:rPr>
          <w:rFonts w:ascii="Arial" w:hAnsi="Arial" w:cs="Arial"/>
          <w:shd w:val="clear" w:color="auto" w:fill="FFFFFF"/>
        </w:rPr>
        <w:t xml:space="preserve"> </w:t>
      </w:r>
      <w:r w:rsidRPr="00232D3B">
        <w:rPr>
          <w:rFonts w:ascii="Arial" w:hAnsi="Arial" w:cs="Arial"/>
          <w:shd w:val="clear" w:color="auto" w:fill="FFFFFF"/>
        </w:rPr>
        <w:t>interdict restricting free</w:t>
      </w:r>
      <w:r w:rsidR="00A77ADF" w:rsidRPr="00232D3B">
        <w:rPr>
          <w:rFonts w:ascii="Arial" w:hAnsi="Arial" w:cs="Arial"/>
          <w:shd w:val="clear" w:color="auto" w:fill="FFFFFF"/>
        </w:rPr>
        <w:t xml:space="preserve"> </w:t>
      </w:r>
      <w:r w:rsidRPr="00232D3B">
        <w:rPr>
          <w:rFonts w:ascii="Arial" w:hAnsi="Arial" w:cs="Arial"/>
          <w:shd w:val="clear" w:color="auto" w:fill="FFFFFF"/>
        </w:rPr>
        <w:t>speech constitutes a grave intrusion on a constitutional right. Since there was a likelihood that the life of the impugned interim interdict, granted pending the outcome of the defamation trial, might be extended even longer than it had already existed, it was sufficiently invasive and far-reaching that it was in the interests of justice for the grant of the impugned interim order to be treated as a “decision”. The Supreme Court of Appeal in</w:t>
      </w:r>
      <w:r w:rsidR="00A77ADF" w:rsidRPr="00232D3B">
        <w:rPr>
          <w:rFonts w:ascii="Arial" w:hAnsi="Arial" w:cs="Arial"/>
          <w:shd w:val="clear" w:color="auto" w:fill="FFFFFF"/>
        </w:rPr>
        <w:t xml:space="preserve"> </w:t>
      </w:r>
      <w:r w:rsidRPr="00232D3B">
        <w:rPr>
          <w:rFonts w:ascii="Arial" w:hAnsi="Arial" w:cs="Arial"/>
          <w:iCs/>
          <w:shd w:val="clear" w:color="auto" w:fill="FFFFFF"/>
        </w:rPr>
        <w:t xml:space="preserve">Health Professions Council of South </w:t>
      </w:r>
      <w:r w:rsidR="008B15B6" w:rsidRPr="00232D3B">
        <w:rPr>
          <w:rFonts w:ascii="Arial" w:hAnsi="Arial" w:cs="Arial"/>
          <w:iCs/>
          <w:shd w:val="clear" w:color="auto" w:fill="FFFFFF"/>
        </w:rPr>
        <w:t>Africa</w:t>
      </w:r>
      <w:r w:rsidR="008B15B6" w:rsidRPr="00232D3B">
        <w:rPr>
          <w:rFonts w:ascii="Arial" w:hAnsi="Arial" w:cs="Arial"/>
          <w:b/>
          <w:bCs/>
          <w:shd w:val="clear" w:color="auto" w:fill="FFFFFF"/>
          <w:vertAlign w:val="superscript"/>
        </w:rPr>
        <w:t xml:space="preserve"> </w:t>
      </w:r>
      <w:r w:rsidR="008B15B6" w:rsidRPr="00232D3B">
        <w:rPr>
          <w:rFonts w:ascii="Arial" w:hAnsi="Arial" w:cs="Arial"/>
          <w:shd w:val="clear" w:color="auto" w:fill="FFFFFF"/>
        </w:rPr>
        <w:t>held</w:t>
      </w:r>
      <w:r w:rsidRPr="00232D3B">
        <w:rPr>
          <w:rFonts w:ascii="Arial" w:hAnsi="Arial" w:cs="Arial"/>
          <w:shd w:val="clear" w:color="auto" w:fill="FFFFFF"/>
        </w:rPr>
        <w:t xml:space="preserve"> that, where a litigant may suffer prejudice or even injustice if an order or judgment is left to stand, leave to appeal against orders or judgments made during the course of the proceedings should be granted. In determining whether the impugned interim interdict was appealable, the Supreme</w:t>
      </w:r>
      <w:r w:rsidR="00A77ADF" w:rsidRPr="00232D3B">
        <w:rPr>
          <w:rFonts w:ascii="Arial" w:hAnsi="Arial" w:cs="Arial"/>
          <w:shd w:val="clear" w:color="auto" w:fill="FFFFFF"/>
        </w:rPr>
        <w:t xml:space="preserve"> </w:t>
      </w:r>
      <w:r w:rsidRPr="00232D3B">
        <w:rPr>
          <w:rFonts w:ascii="Arial" w:hAnsi="Arial" w:cs="Arial"/>
          <w:shd w:val="clear" w:color="auto" w:fill="FFFFFF"/>
        </w:rPr>
        <w:t>Court of Appeal was not exercising a discretionary power; it was making a val</w:t>
      </w:r>
      <w:r w:rsidR="005336DC" w:rsidRPr="00232D3B">
        <w:rPr>
          <w:rFonts w:ascii="Arial" w:hAnsi="Arial" w:cs="Arial"/>
          <w:shd w:val="clear" w:color="auto" w:fill="FFFFFF"/>
        </w:rPr>
        <w:t>ue judgment. Accordingly, this c</w:t>
      </w:r>
      <w:r w:rsidRPr="00232D3B">
        <w:rPr>
          <w:rFonts w:ascii="Arial" w:hAnsi="Arial" w:cs="Arial"/>
          <w:shd w:val="clear" w:color="auto" w:fill="FFFFFF"/>
        </w:rPr>
        <w:t>ourt is entitled to make its own assessment and conclude that the impugned interim interdict was a “decision” and thus within the Supreme Court of Appeal’s jurisdiction.</w:t>
      </w:r>
      <w:r w:rsidR="00DC6E30" w:rsidRPr="00232D3B">
        <w:rPr>
          <w:rFonts w:ascii="Arial" w:hAnsi="Arial" w:cs="Arial"/>
          <w:shd w:val="clear" w:color="auto" w:fill="FFFFFF"/>
        </w:rPr>
        <w:t>’</w:t>
      </w:r>
      <w:r w:rsidR="00934BCD" w:rsidRPr="00232D3B">
        <w:rPr>
          <w:rStyle w:val="FootnoteReference"/>
          <w:rFonts w:ascii="Arial" w:hAnsi="Arial" w:cs="Arial"/>
          <w:shd w:val="clear" w:color="auto" w:fill="FFFFFF"/>
        </w:rPr>
        <w:footnoteReference w:id="12"/>
      </w:r>
      <w:r w:rsidR="00F76877" w:rsidRPr="00232D3B">
        <w:rPr>
          <w:rFonts w:ascii="Arial" w:hAnsi="Arial" w:cs="Arial"/>
          <w:shd w:val="clear" w:color="auto" w:fill="FFFFFF"/>
        </w:rPr>
        <w:t xml:space="preserve"> (Footnotes omitted.)</w:t>
      </w:r>
    </w:p>
    <w:p w14:paraId="5756D710" w14:textId="77777777" w:rsidR="00000DEB" w:rsidRPr="00232D3B" w:rsidRDefault="00000DEB" w:rsidP="00282F3F">
      <w:pPr>
        <w:shd w:val="clear" w:color="auto" w:fill="FFFFFF"/>
        <w:spacing w:after="0" w:line="360" w:lineRule="auto"/>
        <w:ind w:left="1440"/>
        <w:jc w:val="both"/>
        <w:rPr>
          <w:rFonts w:ascii="Arial" w:hAnsi="Arial" w:cs="Arial"/>
          <w:i/>
          <w:sz w:val="24"/>
          <w:szCs w:val="24"/>
          <w:shd w:val="clear" w:color="auto" w:fill="FFFFFF"/>
        </w:rPr>
      </w:pPr>
    </w:p>
    <w:p w14:paraId="39855C00" w14:textId="77777777" w:rsidR="00DE2FD7" w:rsidRPr="00232D3B" w:rsidRDefault="00570BF9" w:rsidP="0055599A">
      <w:pPr>
        <w:shd w:val="clear" w:color="auto" w:fill="FFFFFF"/>
        <w:spacing w:after="120" w:line="360" w:lineRule="auto"/>
        <w:jc w:val="both"/>
        <w:rPr>
          <w:rFonts w:ascii="Arial" w:hAnsi="Arial" w:cs="Arial"/>
          <w:sz w:val="24"/>
          <w:szCs w:val="24"/>
          <w:shd w:val="clear" w:color="auto" w:fill="FFFFFF"/>
        </w:rPr>
      </w:pPr>
      <w:r w:rsidRPr="00232D3B">
        <w:rPr>
          <w:rFonts w:ascii="Arial" w:hAnsi="Arial" w:cs="Arial"/>
          <w:sz w:val="24"/>
          <w:szCs w:val="24"/>
          <w:shd w:val="clear" w:color="auto" w:fill="FFFFFF"/>
        </w:rPr>
        <w:t>[</w:t>
      </w:r>
      <w:r w:rsidR="00194F6B" w:rsidRPr="00232D3B">
        <w:rPr>
          <w:rFonts w:ascii="Arial" w:hAnsi="Arial" w:cs="Arial"/>
          <w:sz w:val="24"/>
          <w:szCs w:val="24"/>
          <w:shd w:val="clear" w:color="auto" w:fill="FFFFFF"/>
        </w:rPr>
        <w:t>27</w:t>
      </w:r>
      <w:r w:rsidRPr="00232D3B">
        <w:rPr>
          <w:rFonts w:ascii="Arial" w:hAnsi="Arial" w:cs="Arial"/>
          <w:sz w:val="24"/>
          <w:szCs w:val="24"/>
          <w:shd w:val="clear" w:color="auto" w:fill="FFFFFF"/>
        </w:rPr>
        <w:t>]</w:t>
      </w:r>
      <w:r w:rsidRPr="00232D3B">
        <w:rPr>
          <w:rFonts w:ascii="Arial" w:hAnsi="Arial" w:cs="Arial"/>
          <w:sz w:val="24"/>
          <w:szCs w:val="24"/>
          <w:shd w:val="clear" w:color="auto" w:fill="FFFFFF"/>
        </w:rPr>
        <w:tab/>
      </w:r>
      <w:r w:rsidR="001D42D9" w:rsidRPr="00232D3B">
        <w:rPr>
          <w:rFonts w:ascii="Arial" w:hAnsi="Arial" w:cs="Arial"/>
          <w:sz w:val="24"/>
          <w:szCs w:val="24"/>
          <w:shd w:val="clear" w:color="auto" w:fill="FFFFFF"/>
        </w:rPr>
        <w:t xml:space="preserve">In </w:t>
      </w:r>
      <w:r w:rsidR="002C12F3" w:rsidRPr="00232D3B">
        <w:rPr>
          <w:rFonts w:ascii="Arial" w:hAnsi="Arial" w:cs="Arial"/>
          <w:i/>
          <w:sz w:val="24"/>
          <w:szCs w:val="24"/>
          <w:shd w:val="clear" w:color="auto" w:fill="FFFFFF"/>
        </w:rPr>
        <w:t>Neotel (Pty) Ltd v Telkom SA Soc</w:t>
      </w:r>
      <w:r w:rsidR="001D42D9" w:rsidRPr="00232D3B">
        <w:rPr>
          <w:rFonts w:ascii="Arial" w:hAnsi="Arial" w:cs="Arial"/>
          <w:i/>
          <w:sz w:val="24"/>
          <w:szCs w:val="24"/>
          <w:shd w:val="clear" w:color="auto" w:fill="FFFFFF"/>
        </w:rPr>
        <w:t xml:space="preserve"> Ltd and Others</w:t>
      </w:r>
      <w:r w:rsidR="00C56125" w:rsidRPr="00232D3B">
        <w:rPr>
          <w:rFonts w:ascii="Arial" w:hAnsi="Arial" w:cs="Arial"/>
          <w:iCs/>
          <w:sz w:val="24"/>
          <w:szCs w:val="24"/>
          <w:shd w:val="clear" w:color="auto" w:fill="FFFFFF"/>
        </w:rPr>
        <w:t>,</w:t>
      </w:r>
      <w:r w:rsidR="001D42D9" w:rsidRPr="00232D3B">
        <w:rPr>
          <w:rStyle w:val="FootnoteReference"/>
          <w:rFonts w:ascii="Arial" w:hAnsi="Arial" w:cs="Arial"/>
          <w:sz w:val="24"/>
          <w:szCs w:val="24"/>
          <w:shd w:val="clear" w:color="auto" w:fill="FFFFFF"/>
        </w:rPr>
        <w:footnoteReference w:id="13"/>
      </w:r>
      <w:r w:rsidR="002C12F3" w:rsidRPr="00232D3B">
        <w:rPr>
          <w:rFonts w:ascii="Arial" w:hAnsi="Arial" w:cs="Arial"/>
          <w:sz w:val="24"/>
          <w:szCs w:val="24"/>
          <w:shd w:val="clear" w:color="auto" w:fill="FFFFFF"/>
        </w:rPr>
        <w:t xml:space="preserve"> the c</w:t>
      </w:r>
      <w:r w:rsidR="001F73A0" w:rsidRPr="00232D3B">
        <w:rPr>
          <w:rFonts w:ascii="Arial" w:hAnsi="Arial" w:cs="Arial"/>
          <w:sz w:val="24"/>
          <w:szCs w:val="24"/>
          <w:shd w:val="clear" w:color="auto" w:fill="FFFFFF"/>
        </w:rPr>
        <w:t>ourt held</w:t>
      </w:r>
      <w:r w:rsidR="00987DE0" w:rsidRPr="00232D3B">
        <w:rPr>
          <w:rFonts w:ascii="Arial" w:hAnsi="Arial" w:cs="Arial"/>
          <w:sz w:val="24"/>
          <w:szCs w:val="24"/>
          <w:shd w:val="clear" w:color="auto" w:fill="FFFFFF"/>
        </w:rPr>
        <w:t>:</w:t>
      </w:r>
    </w:p>
    <w:p w14:paraId="1A027708" w14:textId="77777777" w:rsidR="00C74CD9" w:rsidRPr="00232D3B" w:rsidRDefault="00B120A1" w:rsidP="0050406D">
      <w:pPr>
        <w:pStyle w:val="NoSpacing"/>
        <w:jc w:val="both"/>
        <w:rPr>
          <w:rFonts w:ascii="Arial" w:hAnsi="Arial" w:cs="Arial"/>
          <w:shd w:val="clear" w:color="auto" w:fill="FFFFFF"/>
        </w:rPr>
      </w:pPr>
      <w:r w:rsidRPr="00232D3B">
        <w:rPr>
          <w:rFonts w:ascii="Arial" w:hAnsi="Arial" w:cs="Arial"/>
          <w:shd w:val="clear" w:color="auto" w:fill="FFFFFF"/>
        </w:rPr>
        <w:t>‘</w:t>
      </w:r>
      <w:r w:rsidR="00987DE0" w:rsidRPr="00232D3B">
        <w:rPr>
          <w:rFonts w:ascii="Arial" w:hAnsi="Arial" w:cs="Arial"/>
          <w:shd w:val="clear" w:color="auto" w:fill="FFFFFF"/>
        </w:rPr>
        <w:t>This court held that the belief that the execution order was not appealable was erroneous and that it was clear from cases such as</w:t>
      </w:r>
      <w:r w:rsidRPr="00232D3B">
        <w:rPr>
          <w:rFonts w:ascii="Arial" w:hAnsi="Arial" w:cs="Arial"/>
          <w:shd w:val="clear" w:color="auto" w:fill="FFFFFF"/>
        </w:rPr>
        <w:t xml:space="preserve"> </w:t>
      </w:r>
      <w:r w:rsidR="00987DE0" w:rsidRPr="00232D3B">
        <w:rPr>
          <w:rFonts w:ascii="Arial" w:hAnsi="Arial" w:cs="Arial"/>
          <w:i/>
          <w:iCs/>
          <w:shd w:val="clear" w:color="auto" w:fill="FFFFFF"/>
        </w:rPr>
        <w:t>S v</w:t>
      </w:r>
      <w:r w:rsidR="00987DE0" w:rsidRPr="00232D3B">
        <w:rPr>
          <w:rFonts w:ascii="Arial" w:hAnsi="Arial" w:cs="Arial"/>
          <w:iCs/>
          <w:shd w:val="clear" w:color="auto" w:fill="FFFFFF"/>
        </w:rPr>
        <w:t xml:space="preserve"> </w:t>
      </w:r>
      <w:r w:rsidR="00987DE0" w:rsidRPr="00232D3B">
        <w:rPr>
          <w:rFonts w:ascii="Arial" w:hAnsi="Arial" w:cs="Arial"/>
          <w:i/>
          <w:iCs/>
          <w:shd w:val="clear" w:color="auto" w:fill="FFFFFF"/>
        </w:rPr>
        <w:t>Western Areas Ltd &amp; others</w:t>
      </w:r>
      <w:r w:rsidR="00987DE0" w:rsidRPr="00232D3B">
        <w:rPr>
          <w:rFonts w:ascii="Arial" w:hAnsi="Arial" w:cs="Arial"/>
          <w:b/>
          <w:bCs/>
          <w:i/>
          <w:iCs/>
          <w:shd w:val="clear" w:color="auto" w:fill="FFFFFF"/>
          <w:vertAlign w:val="superscript"/>
        </w:rPr>
        <w:t xml:space="preserve"> </w:t>
      </w:r>
      <w:r w:rsidR="00987DE0" w:rsidRPr="00232D3B">
        <w:rPr>
          <w:rFonts w:ascii="Arial" w:hAnsi="Arial" w:cs="Arial"/>
          <w:i/>
          <w:iCs/>
          <w:shd w:val="clear" w:color="auto" w:fill="FFFFFF"/>
        </w:rPr>
        <w:t>and Khumalo &amp; others v Holomisa</w:t>
      </w:r>
      <w:r w:rsidR="00987DE0" w:rsidRPr="00232D3B">
        <w:rPr>
          <w:rFonts w:ascii="Arial" w:hAnsi="Arial" w:cs="Arial"/>
          <w:b/>
          <w:bCs/>
          <w:iCs/>
          <w:shd w:val="clear" w:color="auto" w:fill="FFFFFF"/>
          <w:vertAlign w:val="superscript"/>
        </w:rPr>
        <w:t xml:space="preserve"> </w:t>
      </w:r>
      <w:r w:rsidR="00987DE0" w:rsidRPr="00232D3B">
        <w:rPr>
          <w:rFonts w:ascii="Arial" w:hAnsi="Arial" w:cs="Arial"/>
          <w:shd w:val="clear" w:color="auto" w:fill="FFFFFF"/>
        </w:rPr>
        <w:t>that</w:t>
      </w:r>
      <w:r w:rsidRPr="00232D3B">
        <w:rPr>
          <w:rFonts w:ascii="Arial" w:hAnsi="Arial" w:cs="Arial"/>
          <w:shd w:val="clear" w:color="auto" w:fill="FFFFFF"/>
        </w:rPr>
        <w:t xml:space="preserve"> </w:t>
      </w:r>
      <w:r w:rsidR="00987DE0" w:rsidRPr="00232D3B">
        <w:rPr>
          <w:rFonts w:ascii="Arial" w:hAnsi="Arial" w:cs="Arial"/>
          <w:shd w:val="clear" w:color="auto" w:fill="FFFFFF"/>
        </w:rPr>
        <w:t>what was of paramount importance in deciding whether a judgment was appealabl</w:t>
      </w:r>
      <w:r w:rsidR="00C74CD9" w:rsidRPr="00232D3B">
        <w:rPr>
          <w:rFonts w:ascii="Arial" w:hAnsi="Arial" w:cs="Arial"/>
          <w:shd w:val="clear" w:color="auto" w:fill="FFFFFF"/>
        </w:rPr>
        <w:t>e, was the interests of justice.</w:t>
      </w:r>
      <w:r w:rsidRPr="00232D3B">
        <w:rPr>
          <w:rFonts w:ascii="Arial" w:hAnsi="Arial" w:cs="Arial"/>
          <w:shd w:val="clear" w:color="auto" w:fill="FFFFFF"/>
        </w:rPr>
        <w:t>’</w:t>
      </w:r>
    </w:p>
    <w:p w14:paraId="6B9D1C82" w14:textId="77777777" w:rsidR="00C74CD9" w:rsidRPr="00232D3B" w:rsidRDefault="00C74CD9" w:rsidP="0055599A">
      <w:pPr>
        <w:shd w:val="clear" w:color="auto" w:fill="FFFFFF"/>
        <w:spacing w:after="0" w:line="360" w:lineRule="auto"/>
        <w:jc w:val="both"/>
        <w:rPr>
          <w:rFonts w:ascii="Arial" w:hAnsi="Arial" w:cs="Arial"/>
          <w:sz w:val="24"/>
          <w:szCs w:val="24"/>
          <w:shd w:val="clear" w:color="auto" w:fill="FFFFFF"/>
        </w:rPr>
      </w:pPr>
    </w:p>
    <w:p w14:paraId="055BA6AF" w14:textId="77777777" w:rsidR="00000DEB" w:rsidRPr="00232D3B" w:rsidRDefault="00A47EBF" w:rsidP="00A47EBF">
      <w:pPr>
        <w:spacing w:after="0" w:line="360" w:lineRule="auto"/>
        <w:jc w:val="both"/>
        <w:rPr>
          <w:rFonts w:ascii="Arial" w:hAnsi="Arial" w:cs="Arial"/>
          <w:sz w:val="24"/>
          <w:szCs w:val="24"/>
          <w:shd w:val="clear" w:color="auto" w:fill="FFFFFF"/>
        </w:rPr>
      </w:pPr>
      <w:r w:rsidRPr="00232D3B">
        <w:rPr>
          <w:rFonts w:ascii="Arial" w:hAnsi="Arial" w:cs="Arial"/>
          <w:sz w:val="24"/>
          <w:szCs w:val="24"/>
          <w:shd w:val="clear" w:color="auto" w:fill="FFFFFF"/>
        </w:rPr>
        <w:t>[2</w:t>
      </w:r>
      <w:r w:rsidR="00194F6B" w:rsidRPr="00232D3B">
        <w:rPr>
          <w:rFonts w:ascii="Arial" w:hAnsi="Arial" w:cs="Arial"/>
          <w:sz w:val="24"/>
          <w:szCs w:val="24"/>
          <w:shd w:val="clear" w:color="auto" w:fill="FFFFFF"/>
        </w:rPr>
        <w:t>8</w:t>
      </w:r>
      <w:r w:rsidRPr="00232D3B">
        <w:rPr>
          <w:rFonts w:ascii="Arial" w:hAnsi="Arial" w:cs="Arial"/>
          <w:sz w:val="24"/>
          <w:szCs w:val="24"/>
          <w:shd w:val="clear" w:color="auto" w:fill="FFFFFF"/>
        </w:rPr>
        <w:t>]</w:t>
      </w:r>
      <w:r w:rsidRPr="00232D3B">
        <w:rPr>
          <w:rFonts w:ascii="Arial" w:hAnsi="Arial" w:cs="Arial"/>
          <w:sz w:val="24"/>
          <w:szCs w:val="24"/>
          <w:shd w:val="clear" w:color="auto" w:fill="FFFFFF"/>
        </w:rPr>
        <w:tab/>
      </w:r>
      <w:r w:rsidR="001C7FB4" w:rsidRPr="00232D3B">
        <w:rPr>
          <w:rFonts w:ascii="Arial" w:hAnsi="Arial" w:cs="Arial"/>
          <w:sz w:val="24"/>
          <w:szCs w:val="24"/>
          <w:shd w:val="clear" w:color="auto" w:fill="FFFFFF"/>
        </w:rPr>
        <w:t>In</w:t>
      </w:r>
      <w:r w:rsidRPr="00232D3B">
        <w:rPr>
          <w:rFonts w:ascii="Arial" w:hAnsi="Arial" w:cs="Arial"/>
          <w:b/>
          <w:iCs/>
          <w:sz w:val="24"/>
          <w:szCs w:val="24"/>
          <w:shd w:val="clear" w:color="auto" w:fill="FFFFFF"/>
        </w:rPr>
        <w:t xml:space="preserve"> </w:t>
      </w:r>
      <w:r w:rsidR="00C74CD9" w:rsidRPr="00232D3B">
        <w:rPr>
          <w:rFonts w:ascii="Arial" w:eastAsia="Times New Roman" w:hAnsi="Arial" w:cs="Arial"/>
          <w:i/>
          <w:sz w:val="24"/>
          <w:szCs w:val="24"/>
          <w:lang w:eastAsia="en-ZA"/>
        </w:rPr>
        <w:t>Nova Property Group Holdings v Cobbett</w:t>
      </w:r>
      <w:r w:rsidR="00222B44" w:rsidRPr="00232D3B">
        <w:rPr>
          <w:rFonts w:ascii="Arial" w:eastAsia="Times New Roman" w:hAnsi="Arial" w:cs="Arial"/>
          <w:iCs/>
          <w:sz w:val="24"/>
          <w:szCs w:val="24"/>
          <w:lang w:eastAsia="en-ZA"/>
        </w:rPr>
        <w:t>,</w:t>
      </w:r>
      <w:r w:rsidR="0049511F" w:rsidRPr="00232D3B">
        <w:rPr>
          <w:rStyle w:val="FootnoteReference"/>
          <w:rFonts w:ascii="Arial" w:eastAsia="Times New Roman" w:hAnsi="Arial" w:cs="Arial"/>
          <w:iCs/>
          <w:sz w:val="24"/>
          <w:szCs w:val="24"/>
          <w:lang w:eastAsia="en-ZA"/>
        </w:rPr>
        <w:footnoteReference w:id="14"/>
      </w:r>
      <w:r w:rsidR="00353CBF" w:rsidRPr="00232D3B">
        <w:rPr>
          <w:rFonts w:ascii="Arial" w:eastAsia="Times New Roman" w:hAnsi="Arial" w:cs="Arial"/>
          <w:i/>
          <w:sz w:val="24"/>
          <w:szCs w:val="24"/>
          <w:lang w:eastAsia="en-ZA"/>
        </w:rPr>
        <w:t xml:space="preserve"> </w:t>
      </w:r>
      <w:r w:rsidR="00987DE0" w:rsidRPr="00232D3B">
        <w:rPr>
          <w:rFonts w:ascii="Arial" w:hAnsi="Arial" w:cs="Arial"/>
          <w:sz w:val="24"/>
          <w:szCs w:val="24"/>
          <w:shd w:val="clear" w:color="auto" w:fill="FFFFFF"/>
        </w:rPr>
        <w:t>the appealability of an order to compe</w:t>
      </w:r>
      <w:r w:rsidR="005E69BD" w:rsidRPr="00232D3B">
        <w:rPr>
          <w:rFonts w:ascii="Arial" w:hAnsi="Arial" w:cs="Arial"/>
          <w:sz w:val="24"/>
          <w:szCs w:val="24"/>
          <w:shd w:val="clear" w:color="auto" w:fill="FFFFFF"/>
        </w:rPr>
        <w:t>l discovery was considered. The</w:t>
      </w:r>
      <w:r w:rsidR="00987DE0" w:rsidRPr="00232D3B">
        <w:rPr>
          <w:rFonts w:ascii="Arial" w:hAnsi="Arial" w:cs="Arial"/>
          <w:sz w:val="24"/>
          <w:szCs w:val="24"/>
          <w:shd w:val="clear" w:color="auto" w:fill="FFFFFF"/>
        </w:rPr>
        <w:t xml:space="preserve"> court held that even though such an order was not appealable under the traditional test laid down in</w:t>
      </w:r>
      <w:r w:rsidR="00222B44" w:rsidRPr="00232D3B">
        <w:rPr>
          <w:rFonts w:ascii="Arial" w:hAnsi="Arial" w:cs="Arial"/>
          <w:sz w:val="24"/>
          <w:szCs w:val="24"/>
          <w:shd w:val="clear" w:color="auto" w:fill="FFFFFF"/>
        </w:rPr>
        <w:t xml:space="preserve"> </w:t>
      </w:r>
      <w:r w:rsidR="00987DE0" w:rsidRPr="00232D3B">
        <w:rPr>
          <w:rFonts w:ascii="Arial" w:hAnsi="Arial" w:cs="Arial"/>
          <w:i/>
          <w:iCs/>
          <w:sz w:val="24"/>
          <w:szCs w:val="24"/>
          <w:shd w:val="clear" w:color="auto" w:fill="FFFFFF"/>
        </w:rPr>
        <w:t xml:space="preserve">Zweni v Minister of Law and </w:t>
      </w:r>
      <w:r w:rsidR="00000DEB" w:rsidRPr="00232D3B">
        <w:rPr>
          <w:rFonts w:ascii="Arial" w:hAnsi="Arial" w:cs="Arial"/>
          <w:i/>
          <w:iCs/>
          <w:sz w:val="24"/>
          <w:szCs w:val="24"/>
          <w:shd w:val="clear" w:color="auto" w:fill="FFFFFF"/>
        </w:rPr>
        <w:t>Order</w:t>
      </w:r>
      <w:r w:rsidR="00FF0D66" w:rsidRPr="00232D3B">
        <w:rPr>
          <w:rFonts w:ascii="Arial" w:hAnsi="Arial" w:cs="Arial"/>
          <w:i/>
          <w:iCs/>
          <w:sz w:val="24"/>
          <w:szCs w:val="24"/>
          <w:shd w:val="clear" w:color="auto" w:fill="FFFFFF"/>
        </w:rPr>
        <w:t xml:space="preserve"> of the Republic of South Africa</w:t>
      </w:r>
      <w:r w:rsidR="0088395E" w:rsidRPr="00232D3B">
        <w:rPr>
          <w:rStyle w:val="FootnoteReference"/>
          <w:rFonts w:ascii="Arial" w:hAnsi="Arial" w:cs="Arial"/>
          <w:sz w:val="24"/>
          <w:szCs w:val="24"/>
          <w:shd w:val="clear" w:color="auto" w:fill="FFFFFF"/>
        </w:rPr>
        <w:footnoteReference w:id="15"/>
      </w:r>
      <w:r w:rsidR="00000DEB" w:rsidRPr="00232D3B">
        <w:rPr>
          <w:rFonts w:ascii="Arial" w:hAnsi="Arial" w:cs="Arial"/>
          <w:bCs/>
          <w:sz w:val="24"/>
          <w:szCs w:val="24"/>
          <w:shd w:val="clear" w:color="auto" w:fill="FFFFFF"/>
          <w:vertAlign w:val="superscript"/>
        </w:rPr>
        <w:t xml:space="preserve"> </w:t>
      </w:r>
      <w:r w:rsidR="00000DEB" w:rsidRPr="00232D3B">
        <w:rPr>
          <w:rFonts w:ascii="Arial" w:hAnsi="Arial" w:cs="Arial"/>
          <w:iCs/>
          <w:sz w:val="24"/>
          <w:szCs w:val="24"/>
          <w:shd w:val="clear" w:color="auto" w:fill="FFFFFF"/>
        </w:rPr>
        <w:t>that</w:t>
      </w:r>
      <w:r w:rsidR="00987DE0" w:rsidRPr="00232D3B">
        <w:rPr>
          <w:rFonts w:ascii="Arial" w:hAnsi="Arial" w:cs="Arial"/>
          <w:sz w:val="24"/>
          <w:szCs w:val="24"/>
          <w:shd w:val="clear" w:color="auto" w:fill="FFFFFF"/>
        </w:rPr>
        <w:t xml:space="preserve"> test, as held in</w:t>
      </w:r>
      <w:r w:rsidR="00222B44" w:rsidRPr="00232D3B">
        <w:rPr>
          <w:rFonts w:ascii="Arial" w:hAnsi="Arial" w:cs="Arial"/>
          <w:sz w:val="24"/>
          <w:szCs w:val="24"/>
          <w:shd w:val="clear" w:color="auto" w:fill="FFFFFF"/>
        </w:rPr>
        <w:t xml:space="preserve"> </w:t>
      </w:r>
      <w:r w:rsidR="00987DE0" w:rsidRPr="00232D3B">
        <w:rPr>
          <w:rFonts w:ascii="Arial" w:hAnsi="Arial" w:cs="Arial"/>
          <w:i/>
          <w:iCs/>
          <w:sz w:val="24"/>
          <w:szCs w:val="24"/>
          <w:shd w:val="clear" w:color="auto" w:fill="FFFFFF"/>
        </w:rPr>
        <w:t>Moch v Nedtravel (Pty) Ltd</w:t>
      </w:r>
      <w:r w:rsidR="00987DE0" w:rsidRPr="00232D3B">
        <w:rPr>
          <w:rFonts w:ascii="Arial" w:hAnsi="Arial" w:cs="Arial"/>
          <w:iCs/>
          <w:sz w:val="24"/>
          <w:szCs w:val="24"/>
          <w:shd w:val="clear" w:color="auto" w:fill="FFFFFF"/>
        </w:rPr>
        <w:t xml:space="preserve"> </w:t>
      </w:r>
      <w:r w:rsidR="00987DE0" w:rsidRPr="00232D3B">
        <w:rPr>
          <w:rFonts w:ascii="Arial" w:hAnsi="Arial" w:cs="Arial"/>
          <w:i/>
          <w:iCs/>
          <w:sz w:val="24"/>
          <w:szCs w:val="24"/>
          <w:shd w:val="clear" w:color="auto" w:fill="FFFFFF"/>
        </w:rPr>
        <w:t>t/a American Express Travel</w:t>
      </w:r>
      <w:r w:rsidR="00987DE0" w:rsidRPr="00232D3B">
        <w:rPr>
          <w:rFonts w:ascii="Arial" w:hAnsi="Arial" w:cs="Arial"/>
          <w:iCs/>
          <w:sz w:val="24"/>
          <w:szCs w:val="24"/>
          <w:shd w:val="clear" w:color="auto" w:fill="FFFFFF"/>
        </w:rPr>
        <w:t xml:space="preserve"> </w:t>
      </w:r>
      <w:r w:rsidR="00987DE0" w:rsidRPr="00232D3B">
        <w:rPr>
          <w:rFonts w:ascii="Arial" w:hAnsi="Arial" w:cs="Arial"/>
          <w:i/>
          <w:iCs/>
          <w:sz w:val="24"/>
          <w:szCs w:val="24"/>
          <w:shd w:val="clear" w:color="auto" w:fill="FFFFFF"/>
        </w:rPr>
        <w:t>Service</w:t>
      </w:r>
      <w:r w:rsidR="003D7F5A" w:rsidRPr="00232D3B">
        <w:rPr>
          <w:rStyle w:val="FootnoteReference"/>
          <w:rFonts w:ascii="Arial" w:hAnsi="Arial" w:cs="Arial"/>
          <w:sz w:val="24"/>
          <w:szCs w:val="24"/>
          <w:shd w:val="clear" w:color="auto" w:fill="FFFFFF"/>
        </w:rPr>
        <w:footnoteReference w:id="16"/>
      </w:r>
      <w:r w:rsidR="00987DE0" w:rsidRPr="00232D3B">
        <w:rPr>
          <w:rFonts w:ascii="Arial" w:hAnsi="Arial" w:cs="Arial"/>
          <w:bCs/>
          <w:iCs/>
          <w:sz w:val="24"/>
          <w:szCs w:val="24"/>
          <w:shd w:val="clear" w:color="auto" w:fill="FFFFFF"/>
          <w:vertAlign w:val="superscript"/>
        </w:rPr>
        <w:t xml:space="preserve"> </w:t>
      </w:r>
      <w:r w:rsidR="00987DE0" w:rsidRPr="00232D3B">
        <w:rPr>
          <w:rFonts w:ascii="Arial" w:hAnsi="Arial" w:cs="Arial"/>
          <w:sz w:val="24"/>
          <w:szCs w:val="24"/>
          <w:shd w:val="clear" w:color="auto" w:fill="FFFFFF"/>
        </w:rPr>
        <w:t>was not exhaustive. Referring to</w:t>
      </w:r>
      <w:r w:rsidR="00F71C64" w:rsidRPr="00232D3B">
        <w:rPr>
          <w:rFonts w:ascii="Arial" w:hAnsi="Arial" w:cs="Arial"/>
          <w:sz w:val="24"/>
          <w:szCs w:val="24"/>
          <w:shd w:val="clear" w:color="auto" w:fill="FFFFFF"/>
        </w:rPr>
        <w:t xml:space="preserve"> </w:t>
      </w:r>
      <w:r w:rsidR="00987DE0" w:rsidRPr="00232D3B">
        <w:rPr>
          <w:rFonts w:ascii="Arial" w:hAnsi="Arial" w:cs="Arial"/>
          <w:i/>
          <w:iCs/>
          <w:sz w:val="24"/>
          <w:szCs w:val="24"/>
          <w:shd w:val="clear" w:color="auto" w:fill="FFFFFF"/>
        </w:rPr>
        <w:t>Philani-Ma-Afrika</w:t>
      </w:r>
      <w:r w:rsidR="00987DE0" w:rsidRPr="00232D3B">
        <w:rPr>
          <w:rFonts w:ascii="Arial" w:hAnsi="Arial" w:cs="Arial"/>
          <w:iCs/>
          <w:sz w:val="24"/>
          <w:szCs w:val="24"/>
          <w:shd w:val="clear" w:color="auto" w:fill="FFFFFF"/>
        </w:rPr>
        <w:t>,</w:t>
      </w:r>
      <w:r w:rsidR="00713779" w:rsidRPr="00232D3B">
        <w:rPr>
          <w:rStyle w:val="FootnoteReference"/>
          <w:rFonts w:ascii="Arial" w:hAnsi="Arial" w:cs="Arial"/>
          <w:iCs/>
          <w:sz w:val="24"/>
          <w:szCs w:val="24"/>
          <w:shd w:val="clear" w:color="auto" w:fill="FFFFFF"/>
        </w:rPr>
        <w:footnoteReference w:id="17"/>
      </w:r>
      <w:r w:rsidR="00E67894" w:rsidRPr="00232D3B">
        <w:rPr>
          <w:rFonts w:ascii="Arial" w:hAnsi="Arial" w:cs="Arial"/>
          <w:sz w:val="24"/>
          <w:szCs w:val="24"/>
          <w:shd w:val="clear" w:color="auto" w:fill="FFFFFF"/>
        </w:rPr>
        <w:t xml:space="preserve"> </w:t>
      </w:r>
      <w:r w:rsidR="005E69BD" w:rsidRPr="00232D3B">
        <w:rPr>
          <w:rFonts w:ascii="Arial" w:hAnsi="Arial" w:cs="Arial"/>
          <w:sz w:val="24"/>
          <w:szCs w:val="24"/>
          <w:shd w:val="clear" w:color="auto" w:fill="FFFFFF"/>
        </w:rPr>
        <w:t>the</w:t>
      </w:r>
      <w:r w:rsidR="00987DE0" w:rsidRPr="00232D3B">
        <w:rPr>
          <w:rFonts w:ascii="Arial" w:hAnsi="Arial" w:cs="Arial"/>
          <w:sz w:val="24"/>
          <w:szCs w:val="24"/>
          <w:shd w:val="clear" w:color="auto" w:fill="FFFFFF"/>
        </w:rPr>
        <w:t xml:space="preserve"> court concluded that even though the interlocutory order was not </w:t>
      </w:r>
      <w:r w:rsidR="00987DE0" w:rsidRPr="00232D3B">
        <w:rPr>
          <w:rFonts w:ascii="Arial" w:hAnsi="Arial" w:cs="Arial"/>
          <w:sz w:val="24"/>
          <w:szCs w:val="24"/>
          <w:shd w:val="clear" w:color="auto" w:fill="FFFFFF"/>
        </w:rPr>
        <w:lastRenderedPageBreak/>
        <w:t>appealable under the traditional test laid down in</w:t>
      </w:r>
      <w:r w:rsidR="003E027B" w:rsidRPr="00232D3B">
        <w:rPr>
          <w:rFonts w:ascii="Arial" w:hAnsi="Arial" w:cs="Arial"/>
          <w:sz w:val="24"/>
          <w:szCs w:val="24"/>
          <w:shd w:val="clear" w:color="auto" w:fill="FFFFFF"/>
        </w:rPr>
        <w:t xml:space="preserve"> </w:t>
      </w:r>
      <w:r w:rsidR="00987DE0" w:rsidRPr="00232D3B">
        <w:rPr>
          <w:rFonts w:ascii="Arial" w:hAnsi="Arial" w:cs="Arial"/>
          <w:i/>
          <w:iCs/>
          <w:sz w:val="24"/>
          <w:szCs w:val="24"/>
          <w:shd w:val="clear" w:color="auto" w:fill="FFFFFF"/>
        </w:rPr>
        <w:t>Zweni</w:t>
      </w:r>
      <w:r w:rsidR="00987DE0" w:rsidRPr="00232D3B">
        <w:rPr>
          <w:rFonts w:ascii="Arial" w:hAnsi="Arial" w:cs="Arial"/>
          <w:iCs/>
          <w:sz w:val="24"/>
          <w:szCs w:val="24"/>
          <w:shd w:val="clear" w:color="auto" w:fill="FFFFFF"/>
        </w:rPr>
        <w:t>,</w:t>
      </w:r>
      <w:r w:rsidR="003E027B" w:rsidRPr="00232D3B">
        <w:rPr>
          <w:rFonts w:ascii="Arial" w:hAnsi="Arial" w:cs="Arial"/>
          <w:sz w:val="24"/>
          <w:szCs w:val="24"/>
          <w:shd w:val="clear" w:color="auto" w:fill="FFFFFF"/>
        </w:rPr>
        <w:t xml:space="preserve"> </w:t>
      </w:r>
      <w:r w:rsidR="00987DE0" w:rsidRPr="00232D3B">
        <w:rPr>
          <w:rFonts w:ascii="Arial" w:hAnsi="Arial" w:cs="Arial"/>
          <w:sz w:val="24"/>
          <w:szCs w:val="24"/>
          <w:shd w:val="clear" w:color="auto" w:fill="FFFFFF"/>
        </w:rPr>
        <w:t>it was appealable in terms of s 17(1) of the Superior Courts Act</w:t>
      </w:r>
      <w:r w:rsidR="005E69BD" w:rsidRPr="00232D3B">
        <w:rPr>
          <w:rFonts w:ascii="Arial" w:hAnsi="Arial" w:cs="Arial"/>
          <w:sz w:val="24"/>
          <w:szCs w:val="24"/>
          <w:shd w:val="clear" w:color="auto" w:fill="FFFFFF"/>
        </w:rPr>
        <w:t>.</w:t>
      </w:r>
      <w:r w:rsidR="004C0784" w:rsidRPr="00232D3B">
        <w:rPr>
          <w:rStyle w:val="FootnoteReference"/>
          <w:rFonts w:ascii="Arial" w:hAnsi="Arial" w:cs="Arial"/>
          <w:sz w:val="24"/>
          <w:szCs w:val="24"/>
          <w:shd w:val="clear" w:color="auto" w:fill="FFFFFF"/>
        </w:rPr>
        <w:footnoteReference w:id="18"/>
      </w:r>
    </w:p>
    <w:p w14:paraId="35D2F8BE" w14:textId="77777777" w:rsidR="003E027B" w:rsidRPr="00AD647B" w:rsidRDefault="003E027B" w:rsidP="0055599A">
      <w:pPr>
        <w:spacing w:after="0" w:line="360" w:lineRule="auto"/>
        <w:jc w:val="both"/>
        <w:rPr>
          <w:rFonts w:ascii="Arial" w:eastAsia="Times New Roman" w:hAnsi="Arial" w:cs="Arial"/>
          <w:i/>
          <w:sz w:val="24"/>
          <w:szCs w:val="24"/>
          <w:lang w:eastAsia="en-ZA"/>
        </w:rPr>
      </w:pPr>
    </w:p>
    <w:p w14:paraId="799D66B3" w14:textId="77777777" w:rsidR="003607FC" w:rsidRPr="00232D3B" w:rsidRDefault="009A226F" w:rsidP="009A226F">
      <w:pPr>
        <w:shd w:val="clear" w:color="auto" w:fill="FFFFFF"/>
        <w:spacing w:after="0" w:line="360" w:lineRule="auto"/>
        <w:jc w:val="both"/>
        <w:rPr>
          <w:rFonts w:ascii="Arial" w:eastAsia="Times New Roman" w:hAnsi="Arial" w:cs="Arial"/>
          <w:sz w:val="24"/>
          <w:szCs w:val="24"/>
          <w:lang w:eastAsia="en-ZA"/>
        </w:rPr>
      </w:pPr>
      <w:r w:rsidRPr="00232D3B">
        <w:rPr>
          <w:rFonts w:ascii="Arial" w:eastAsia="Times New Roman" w:hAnsi="Arial" w:cs="Arial"/>
          <w:sz w:val="24"/>
          <w:szCs w:val="24"/>
          <w:lang w:eastAsia="en-ZA"/>
        </w:rPr>
        <w:t>[</w:t>
      </w:r>
      <w:r w:rsidR="00095382" w:rsidRPr="00232D3B">
        <w:rPr>
          <w:rFonts w:ascii="Arial" w:eastAsia="Times New Roman" w:hAnsi="Arial" w:cs="Arial"/>
          <w:sz w:val="24"/>
          <w:szCs w:val="24"/>
          <w:lang w:eastAsia="en-ZA"/>
        </w:rPr>
        <w:t>29</w:t>
      </w:r>
      <w:r w:rsidRPr="00232D3B">
        <w:rPr>
          <w:rFonts w:ascii="Arial" w:eastAsia="Times New Roman" w:hAnsi="Arial" w:cs="Arial"/>
          <w:sz w:val="24"/>
          <w:szCs w:val="24"/>
          <w:lang w:eastAsia="en-ZA"/>
        </w:rPr>
        <w:t>]</w:t>
      </w:r>
      <w:r w:rsidRPr="00232D3B">
        <w:rPr>
          <w:rFonts w:ascii="Arial" w:eastAsia="Times New Roman" w:hAnsi="Arial" w:cs="Arial"/>
          <w:sz w:val="24"/>
          <w:szCs w:val="24"/>
          <w:lang w:eastAsia="en-ZA"/>
        </w:rPr>
        <w:tab/>
      </w:r>
      <w:r w:rsidR="003607FC" w:rsidRPr="00232D3B">
        <w:rPr>
          <w:rFonts w:ascii="Arial" w:eastAsia="Times New Roman" w:hAnsi="Arial" w:cs="Arial"/>
          <w:sz w:val="24"/>
          <w:szCs w:val="24"/>
          <w:lang w:eastAsia="en-ZA"/>
        </w:rPr>
        <w:t xml:space="preserve">The Supreme Court of Appeal at the time of granting leave </w:t>
      </w:r>
      <w:r w:rsidR="002062B8" w:rsidRPr="00AD647B">
        <w:rPr>
          <w:rFonts w:ascii="Arial" w:eastAsia="Times New Roman" w:hAnsi="Arial" w:cs="Arial"/>
          <w:sz w:val="24"/>
          <w:szCs w:val="24"/>
          <w:lang w:eastAsia="en-ZA"/>
        </w:rPr>
        <w:t>must have been</w:t>
      </w:r>
      <w:r w:rsidR="003607FC" w:rsidRPr="00232D3B">
        <w:rPr>
          <w:rFonts w:ascii="Arial" w:eastAsia="Times New Roman" w:hAnsi="Arial" w:cs="Arial"/>
          <w:sz w:val="24"/>
          <w:szCs w:val="24"/>
          <w:lang w:eastAsia="en-ZA"/>
        </w:rPr>
        <w:t xml:space="preserve"> alive to the argument</w:t>
      </w:r>
      <w:r w:rsidR="00C766F8" w:rsidRPr="00232D3B">
        <w:rPr>
          <w:rFonts w:ascii="Arial" w:eastAsia="Times New Roman" w:hAnsi="Arial" w:cs="Arial"/>
          <w:sz w:val="24"/>
          <w:szCs w:val="24"/>
          <w:lang w:eastAsia="en-ZA"/>
        </w:rPr>
        <w:t>s</w:t>
      </w:r>
      <w:r w:rsidR="003607FC" w:rsidRPr="00232D3B">
        <w:rPr>
          <w:rFonts w:ascii="Arial" w:eastAsia="Times New Roman" w:hAnsi="Arial" w:cs="Arial"/>
          <w:sz w:val="24"/>
          <w:szCs w:val="24"/>
          <w:lang w:eastAsia="en-ZA"/>
        </w:rPr>
        <w:t xml:space="preserve"> pertaining to the appealability of interlocutory </w:t>
      </w:r>
      <w:r w:rsidR="002062B8" w:rsidRPr="00AD647B">
        <w:rPr>
          <w:rFonts w:ascii="Arial" w:eastAsia="Times New Roman" w:hAnsi="Arial" w:cs="Arial"/>
          <w:sz w:val="24"/>
          <w:szCs w:val="24"/>
          <w:lang w:eastAsia="en-ZA"/>
        </w:rPr>
        <w:t xml:space="preserve">orders </w:t>
      </w:r>
      <w:r w:rsidR="003607FC" w:rsidRPr="00232D3B">
        <w:rPr>
          <w:rFonts w:ascii="Arial" w:eastAsia="Times New Roman" w:hAnsi="Arial" w:cs="Arial"/>
          <w:sz w:val="24"/>
          <w:szCs w:val="24"/>
          <w:lang w:eastAsia="en-ZA"/>
        </w:rPr>
        <w:t xml:space="preserve">as this was argued in the court a </w:t>
      </w:r>
      <w:r w:rsidR="003607FC" w:rsidRPr="00232D3B">
        <w:rPr>
          <w:rFonts w:ascii="Arial" w:eastAsia="Times New Roman" w:hAnsi="Arial" w:cs="Arial"/>
          <w:i/>
          <w:sz w:val="24"/>
          <w:szCs w:val="24"/>
          <w:lang w:eastAsia="en-ZA"/>
        </w:rPr>
        <w:t>quo</w:t>
      </w:r>
      <w:r w:rsidR="003607FC" w:rsidRPr="00232D3B">
        <w:rPr>
          <w:rFonts w:ascii="Arial" w:eastAsia="Times New Roman" w:hAnsi="Arial" w:cs="Arial"/>
          <w:sz w:val="24"/>
          <w:szCs w:val="24"/>
          <w:lang w:eastAsia="en-ZA"/>
        </w:rPr>
        <w:t xml:space="preserve"> and was one of the reasons for </w:t>
      </w:r>
      <w:r w:rsidR="00887E62" w:rsidRPr="00232D3B">
        <w:rPr>
          <w:rFonts w:ascii="Arial" w:eastAsia="Times New Roman" w:hAnsi="Arial" w:cs="Arial"/>
          <w:sz w:val="24"/>
          <w:szCs w:val="24"/>
          <w:lang w:eastAsia="en-ZA"/>
        </w:rPr>
        <w:t xml:space="preserve">the </w:t>
      </w:r>
      <w:r w:rsidR="003607FC" w:rsidRPr="00232D3B">
        <w:rPr>
          <w:rFonts w:ascii="Arial" w:eastAsia="Times New Roman" w:hAnsi="Arial" w:cs="Arial"/>
          <w:sz w:val="24"/>
          <w:szCs w:val="24"/>
          <w:lang w:eastAsia="en-ZA"/>
        </w:rPr>
        <w:t xml:space="preserve">court a </w:t>
      </w:r>
      <w:r w:rsidR="003607FC" w:rsidRPr="00232D3B">
        <w:rPr>
          <w:rFonts w:ascii="Arial" w:eastAsia="Times New Roman" w:hAnsi="Arial" w:cs="Arial"/>
          <w:i/>
          <w:sz w:val="24"/>
          <w:szCs w:val="24"/>
          <w:lang w:eastAsia="en-ZA"/>
        </w:rPr>
        <w:t>quo</w:t>
      </w:r>
      <w:r w:rsidR="003607FC" w:rsidRPr="00232D3B">
        <w:rPr>
          <w:rFonts w:ascii="Arial" w:eastAsia="Times New Roman" w:hAnsi="Arial" w:cs="Arial"/>
          <w:sz w:val="24"/>
          <w:szCs w:val="24"/>
          <w:lang w:eastAsia="en-ZA"/>
        </w:rPr>
        <w:t xml:space="preserve"> refusing leave to appeal </w:t>
      </w:r>
      <w:r w:rsidR="002062B8" w:rsidRPr="00AD647B">
        <w:rPr>
          <w:rFonts w:ascii="Arial" w:eastAsia="Times New Roman" w:hAnsi="Arial" w:cs="Arial"/>
          <w:sz w:val="24"/>
          <w:szCs w:val="24"/>
          <w:lang w:eastAsia="en-ZA"/>
        </w:rPr>
        <w:t>and</w:t>
      </w:r>
      <w:r w:rsidR="002062B8" w:rsidRPr="00232D3B">
        <w:rPr>
          <w:rFonts w:ascii="Arial" w:eastAsia="Times New Roman" w:hAnsi="Arial" w:cs="Arial"/>
          <w:sz w:val="24"/>
          <w:szCs w:val="24"/>
          <w:lang w:eastAsia="en-ZA"/>
        </w:rPr>
        <w:t xml:space="preserve"> </w:t>
      </w:r>
      <w:r w:rsidR="003607FC" w:rsidRPr="00232D3B">
        <w:rPr>
          <w:rFonts w:ascii="Arial" w:eastAsia="Times New Roman" w:hAnsi="Arial" w:cs="Arial"/>
          <w:sz w:val="24"/>
          <w:szCs w:val="24"/>
          <w:lang w:eastAsia="en-ZA"/>
        </w:rPr>
        <w:t xml:space="preserve">necessitating the </w:t>
      </w:r>
      <w:r w:rsidR="00887E62" w:rsidRPr="00232D3B">
        <w:rPr>
          <w:rFonts w:ascii="Arial" w:eastAsia="Times New Roman" w:hAnsi="Arial" w:cs="Arial"/>
          <w:sz w:val="24"/>
          <w:szCs w:val="24"/>
          <w:lang w:eastAsia="en-ZA"/>
        </w:rPr>
        <w:t>defendant/appellant</w:t>
      </w:r>
      <w:r w:rsidR="008D0F2D" w:rsidRPr="00232D3B">
        <w:rPr>
          <w:rFonts w:ascii="Arial" w:eastAsia="Times New Roman" w:hAnsi="Arial" w:cs="Arial"/>
          <w:sz w:val="24"/>
          <w:szCs w:val="24"/>
          <w:lang w:eastAsia="en-ZA"/>
        </w:rPr>
        <w:t>’</w:t>
      </w:r>
      <w:r w:rsidR="00887E62" w:rsidRPr="00232D3B">
        <w:rPr>
          <w:rFonts w:ascii="Arial" w:eastAsia="Times New Roman" w:hAnsi="Arial" w:cs="Arial"/>
          <w:sz w:val="24"/>
          <w:szCs w:val="24"/>
          <w:lang w:eastAsia="en-ZA"/>
        </w:rPr>
        <w:t xml:space="preserve">s </w:t>
      </w:r>
      <w:r w:rsidR="003607FC" w:rsidRPr="00232D3B">
        <w:rPr>
          <w:rFonts w:ascii="Arial" w:eastAsia="Times New Roman" w:hAnsi="Arial" w:cs="Arial"/>
          <w:sz w:val="24"/>
          <w:szCs w:val="24"/>
          <w:lang w:eastAsia="en-ZA"/>
        </w:rPr>
        <w:t>approach to the Supreme</w:t>
      </w:r>
      <w:r w:rsidR="008D0F2D" w:rsidRPr="00232D3B">
        <w:rPr>
          <w:rFonts w:ascii="Arial" w:eastAsia="Times New Roman" w:hAnsi="Arial" w:cs="Arial"/>
          <w:sz w:val="24"/>
          <w:szCs w:val="24"/>
          <w:lang w:eastAsia="en-ZA"/>
        </w:rPr>
        <w:t> </w:t>
      </w:r>
      <w:r w:rsidR="003607FC" w:rsidRPr="00232D3B">
        <w:rPr>
          <w:rFonts w:ascii="Arial" w:eastAsia="Times New Roman" w:hAnsi="Arial" w:cs="Arial"/>
          <w:sz w:val="24"/>
          <w:szCs w:val="24"/>
          <w:lang w:eastAsia="en-ZA"/>
        </w:rPr>
        <w:t>Court of Appeal</w:t>
      </w:r>
      <w:r w:rsidR="00887E62" w:rsidRPr="00232D3B">
        <w:rPr>
          <w:rFonts w:ascii="Arial" w:eastAsia="Times New Roman" w:hAnsi="Arial" w:cs="Arial"/>
          <w:sz w:val="24"/>
          <w:szCs w:val="24"/>
          <w:lang w:eastAsia="en-ZA"/>
        </w:rPr>
        <w:t xml:space="preserve"> to seek leave.</w:t>
      </w:r>
    </w:p>
    <w:p w14:paraId="2679E919" w14:textId="77777777" w:rsidR="005603BE" w:rsidRPr="00232D3B" w:rsidRDefault="005603BE" w:rsidP="0055599A">
      <w:pPr>
        <w:shd w:val="clear" w:color="auto" w:fill="FFFFFF"/>
        <w:spacing w:after="0" w:line="360" w:lineRule="auto"/>
        <w:jc w:val="both"/>
        <w:rPr>
          <w:rFonts w:ascii="Arial" w:eastAsia="Times New Roman" w:hAnsi="Arial" w:cs="Arial"/>
          <w:sz w:val="24"/>
          <w:szCs w:val="24"/>
          <w:lang w:eastAsia="en-ZA"/>
        </w:rPr>
      </w:pPr>
    </w:p>
    <w:p w14:paraId="2DF03887" w14:textId="77777777" w:rsidR="002E448D" w:rsidRPr="00232D3B" w:rsidRDefault="005603BE" w:rsidP="005603BE">
      <w:pPr>
        <w:shd w:val="clear" w:color="auto" w:fill="FFFFFF"/>
        <w:spacing w:after="0" w:line="360" w:lineRule="auto"/>
        <w:jc w:val="both"/>
        <w:rPr>
          <w:rFonts w:ascii="Arial" w:eastAsia="Times New Roman" w:hAnsi="Arial" w:cs="Arial"/>
          <w:sz w:val="24"/>
          <w:szCs w:val="24"/>
          <w:lang w:eastAsia="en-ZA"/>
        </w:rPr>
      </w:pPr>
      <w:r w:rsidRPr="00232D3B">
        <w:rPr>
          <w:rFonts w:ascii="Arial" w:eastAsia="Times New Roman" w:hAnsi="Arial" w:cs="Arial"/>
          <w:sz w:val="24"/>
          <w:szCs w:val="24"/>
          <w:lang w:eastAsia="en-ZA"/>
        </w:rPr>
        <w:t>[</w:t>
      </w:r>
      <w:r w:rsidR="00095382" w:rsidRPr="00232D3B">
        <w:rPr>
          <w:rFonts w:ascii="Arial" w:eastAsia="Times New Roman" w:hAnsi="Arial" w:cs="Arial"/>
          <w:sz w:val="24"/>
          <w:szCs w:val="24"/>
          <w:lang w:eastAsia="en-ZA"/>
        </w:rPr>
        <w:t>30</w:t>
      </w:r>
      <w:r w:rsidRPr="00232D3B">
        <w:rPr>
          <w:rFonts w:ascii="Arial" w:eastAsia="Times New Roman" w:hAnsi="Arial" w:cs="Arial"/>
          <w:sz w:val="24"/>
          <w:szCs w:val="24"/>
          <w:lang w:eastAsia="en-ZA"/>
        </w:rPr>
        <w:t>]</w:t>
      </w:r>
      <w:r w:rsidRPr="00232D3B">
        <w:rPr>
          <w:rFonts w:ascii="Arial" w:eastAsia="Times New Roman" w:hAnsi="Arial" w:cs="Arial"/>
          <w:sz w:val="24"/>
          <w:szCs w:val="24"/>
          <w:lang w:eastAsia="en-ZA"/>
        </w:rPr>
        <w:tab/>
      </w:r>
      <w:r w:rsidR="002E448D" w:rsidRPr="00AD647B">
        <w:rPr>
          <w:rFonts w:ascii="Arial" w:eastAsia="Times New Roman" w:hAnsi="Arial" w:cs="Arial"/>
          <w:sz w:val="24"/>
          <w:szCs w:val="24"/>
          <w:lang w:eastAsia="en-ZA"/>
        </w:rPr>
        <w:t>The</w:t>
      </w:r>
      <w:r w:rsidR="004C0784" w:rsidRPr="00AD647B">
        <w:rPr>
          <w:rFonts w:ascii="Arial" w:eastAsia="Times New Roman" w:hAnsi="Arial" w:cs="Arial"/>
          <w:sz w:val="24"/>
          <w:szCs w:val="24"/>
          <w:lang w:eastAsia="en-ZA"/>
        </w:rPr>
        <w:t xml:space="preserve"> fact that the</w:t>
      </w:r>
      <w:r w:rsidR="002E448D" w:rsidRPr="00AD647B">
        <w:rPr>
          <w:rFonts w:ascii="Arial" w:eastAsia="Times New Roman" w:hAnsi="Arial" w:cs="Arial"/>
          <w:sz w:val="24"/>
          <w:szCs w:val="24"/>
          <w:lang w:eastAsia="en-ZA"/>
        </w:rPr>
        <w:t xml:space="preserve"> </w:t>
      </w:r>
      <w:r w:rsidR="002E448D" w:rsidRPr="00232D3B">
        <w:rPr>
          <w:rFonts w:ascii="Arial" w:eastAsia="Times New Roman" w:hAnsi="Arial" w:cs="Arial"/>
          <w:sz w:val="24"/>
          <w:szCs w:val="24"/>
          <w:lang w:eastAsia="en-ZA"/>
        </w:rPr>
        <w:t xml:space="preserve">Supreme Court of </w:t>
      </w:r>
      <w:r w:rsidR="003E249E" w:rsidRPr="00232D3B">
        <w:rPr>
          <w:rFonts w:ascii="Arial" w:eastAsia="Times New Roman" w:hAnsi="Arial" w:cs="Arial"/>
          <w:sz w:val="24"/>
          <w:szCs w:val="24"/>
          <w:lang w:eastAsia="en-ZA"/>
        </w:rPr>
        <w:t xml:space="preserve">Appeal </w:t>
      </w:r>
      <w:r w:rsidR="003E249E" w:rsidRPr="00AD647B">
        <w:rPr>
          <w:rFonts w:ascii="Arial" w:eastAsia="Times New Roman" w:hAnsi="Arial" w:cs="Arial"/>
          <w:sz w:val="24"/>
          <w:szCs w:val="24"/>
          <w:lang w:eastAsia="en-ZA"/>
        </w:rPr>
        <w:t>grant</w:t>
      </w:r>
      <w:r w:rsidR="004C0784" w:rsidRPr="00AD647B">
        <w:rPr>
          <w:rFonts w:ascii="Arial" w:eastAsia="Times New Roman" w:hAnsi="Arial" w:cs="Arial"/>
          <w:sz w:val="24"/>
          <w:szCs w:val="24"/>
          <w:lang w:eastAsia="en-ZA"/>
        </w:rPr>
        <w:t>ed</w:t>
      </w:r>
      <w:r w:rsidR="003E249E" w:rsidRPr="00232D3B">
        <w:rPr>
          <w:rFonts w:ascii="Arial" w:eastAsia="Times New Roman" w:hAnsi="Arial" w:cs="Arial"/>
          <w:sz w:val="24"/>
          <w:szCs w:val="24"/>
          <w:lang w:eastAsia="en-ZA"/>
        </w:rPr>
        <w:t xml:space="preserve"> leave</w:t>
      </w:r>
      <w:r w:rsidR="004C0784" w:rsidRPr="00232D3B">
        <w:rPr>
          <w:rFonts w:ascii="Arial" w:eastAsia="Times New Roman" w:hAnsi="Arial" w:cs="Arial"/>
          <w:sz w:val="24"/>
          <w:szCs w:val="24"/>
          <w:lang w:eastAsia="en-ZA"/>
        </w:rPr>
        <w:t xml:space="preserve"> </w:t>
      </w:r>
      <w:r w:rsidR="004C0784" w:rsidRPr="00AD647B">
        <w:rPr>
          <w:rFonts w:ascii="Arial" w:eastAsia="Times New Roman" w:hAnsi="Arial" w:cs="Arial"/>
          <w:sz w:val="24"/>
          <w:szCs w:val="24"/>
          <w:lang w:eastAsia="en-ZA"/>
        </w:rPr>
        <w:t>to appeal is not without significance; in my view, it</w:t>
      </w:r>
      <w:r w:rsidR="003E249E" w:rsidRPr="00232D3B">
        <w:rPr>
          <w:rFonts w:ascii="Arial" w:eastAsia="Times New Roman" w:hAnsi="Arial" w:cs="Arial"/>
          <w:sz w:val="24"/>
          <w:szCs w:val="24"/>
          <w:lang w:eastAsia="en-ZA"/>
        </w:rPr>
        <w:t xml:space="preserve"> was an intimation that they co</w:t>
      </w:r>
      <w:r w:rsidR="000C54E5" w:rsidRPr="00232D3B">
        <w:rPr>
          <w:rFonts w:ascii="Arial" w:eastAsia="Times New Roman" w:hAnsi="Arial" w:cs="Arial"/>
          <w:sz w:val="24"/>
          <w:szCs w:val="24"/>
          <w:lang w:eastAsia="en-ZA"/>
        </w:rPr>
        <w:t>nsidered this matter appealable and were satisfied that indeed the appellant had made out a case that it was in the interest of justice for the appellant to be granted leave to appeal the interlocutory application.</w:t>
      </w:r>
    </w:p>
    <w:p w14:paraId="73B561B7" w14:textId="77777777" w:rsidR="00141CF4" w:rsidRPr="00232D3B" w:rsidRDefault="00141CF4" w:rsidP="0055599A">
      <w:pPr>
        <w:shd w:val="clear" w:color="auto" w:fill="FFFFFF"/>
        <w:spacing w:after="0" w:line="360" w:lineRule="auto"/>
        <w:jc w:val="both"/>
        <w:rPr>
          <w:rFonts w:ascii="Arial" w:eastAsia="Times New Roman" w:hAnsi="Arial" w:cs="Arial"/>
          <w:sz w:val="24"/>
          <w:szCs w:val="24"/>
          <w:lang w:eastAsia="en-ZA"/>
        </w:rPr>
      </w:pPr>
    </w:p>
    <w:p w14:paraId="10729F0C" w14:textId="77777777" w:rsidR="00F50C91" w:rsidRPr="00232D3B" w:rsidRDefault="00141CF4" w:rsidP="0055599A">
      <w:pPr>
        <w:shd w:val="clear" w:color="auto" w:fill="FFFFFF"/>
        <w:spacing w:after="0" w:line="360" w:lineRule="auto"/>
        <w:jc w:val="both"/>
        <w:rPr>
          <w:rFonts w:ascii="Arial" w:eastAsia="Times New Roman" w:hAnsi="Arial" w:cs="Arial"/>
          <w:sz w:val="24"/>
          <w:szCs w:val="24"/>
          <w:lang w:eastAsia="en-ZA"/>
        </w:rPr>
      </w:pPr>
      <w:r w:rsidRPr="00232D3B">
        <w:rPr>
          <w:rFonts w:ascii="Arial" w:eastAsia="Times New Roman" w:hAnsi="Arial" w:cs="Arial"/>
          <w:sz w:val="24"/>
          <w:szCs w:val="24"/>
          <w:lang w:eastAsia="en-ZA"/>
        </w:rPr>
        <w:t>[</w:t>
      </w:r>
      <w:r w:rsidR="00095382" w:rsidRPr="00232D3B">
        <w:rPr>
          <w:rFonts w:ascii="Arial" w:eastAsia="Times New Roman" w:hAnsi="Arial" w:cs="Arial"/>
          <w:sz w:val="24"/>
          <w:szCs w:val="24"/>
          <w:lang w:eastAsia="en-ZA"/>
        </w:rPr>
        <w:t>31</w:t>
      </w:r>
      <w:r w:rsidRPr="00232D3B">
        <w:rPr>
          <w:rFonts w:ascii="Arial" w:eastAsia="Times New Roman" w:hAnsi="Arial" w:cs="Arial"/>
          <w:sz w:val="24"/>
          <w:szCs w:val="24"/>
          <w:lang w:eastAsia="en-ZA"/>
        </w:rPr>
        <w:t>]</w:t>
      </w:r>
      <w:r w:rsidRPr="00232D3B">
        <w:rPr>
          <w:rFonts w:ascii="Arial" w:eastAsia="Times New Roman" w:hAnsi="Arial" w:cs="Arial"/>
          <w:sz w:val="24"/>
          <w:szCs w:val="24"/>
          <w:lang w:eastAsia="en-ZA"/>
        </w:rPr>
        <w:tab/>
      </w:r>
      <w:r w:rsidR="00C5725D" w:rsidRPr="00232D3B">
        <w:rPr>
          <w:rFonts w:ascii="Arial" w:eastAsia="Times New Roman" w:hAnsi="Arial" w:cs="Arial"/>
          <w:sz w:val="24"/>
          <w:szCs w:val="24"/>
          <w:lang w:eastAsia="en-ZA"/>
        </w:rPr>
        <w:t xml:space="preserve">The appeal is accordingly properly before this </w:t>
      </w:r>
      <w:r w:rsidR="00886E7D" w:rsidRPr="00232D3B">
        <w:rPr>
          <w:rFonts w:ascii="Arial" w:eastAsia="Times New Roman" w:hAnsi="Arial" w:cs="Arial"/>
          <w:sz w:val="24"/>
          <w:szCs w:val="24"/>
          <w:lang w:eastAsia="en-ZA"/>
        </w:rPr>
        <w:t>Court</w:t>
      </w:r>
      <w:r w:rsidR="00602FEC" w:rsidRPr="00AD647B">
        <w:rPr>
          <w:rFonts w:ascii="Arial" w:eastAsia="Times New Roman" w:hAnsi="Arial" w:cs="Arial"/>
          <w:sz w:val="24"/>
          <w:szCs w:val="24"/>
          <w:lang w:eastAsia="en-ZA"/>
        </w:rPr>
        <w:t>,</w:t>
      </w:r>
      <w:r w:rsidR="00886E7D" w:rsidRPr="00232D3B">
        <w:rPr>
          <w:rFonts w:ascii="Arial" w:eastAsia="Times New Roman" w:hAnsi="Arial" w:cs="Arial"/>
          <w:sz w:val="24"/>
          <w:szCs w:val="24"/>
          <w:lang w:eastAsia="en-ZA"/>
        </w:rPr>
        <w:t xml:space="preserve"> </w:t>
      </w:r>
      <w:r w:rsidR="00C5725D" w:rsidRPr="00232D3B">
        <w:rPr>
          <w:rFonts w:ascii="Arial" w:eastAsia="Times New Roman" w:hAnsi="Arial" w:cs="Arial"/>
          <w:sz w:val="24"/>
          <w:szCs w:val="24"/>
          <w:lang w:eastAsia="en-ZA"/>
        </w:rPr>
        <w:t xml:space="preserve">despite the respondent persisting with this point in argument and </w:t>
      </w:r>
      <w:r w:rsidR="00D5594D" w:rsidRPr="00232D3B">
        <w:rPr>
          <w:rFonts w:ascii="Arial" w:eastAsia="Times New Roman" w:hAnsi="Arial" w:cs="Arial"/>
          <w:sz w:val="24"/>
          <w:szCs w:val="24"/>
          <w:lang w:eastAsia="en-ZA"/>
        </w:rPr>
        <w:t>in its heads of argument.</w:t>
      </w:r>
    </w:p>
    <w:p w14:paraId="184C42B0" w14:textId="77777777" w:rsidR="00454B6B" w:rsidRPr="00232D3B" w:rsidRDefault="00454B6B" w:rsidP="00282F3F">
      <w:pPr>
        <w:shd w:val="clear" w:color="auto" w:fill="FFFFFF"/>
        <w:spacing w:after="0" w:line="360" w:lineRule="auto"/>
        <w:ind w:left="1440" w:hanging="720"/>
        <w:jc w:val="both"/>
        <w:rPr>
          <w:rFonts w:ascii="Arial" w:eastAsia="Times New Roman" w:hAnsi="Arial" w:cs="Arial"/>
          <w:sz w:val="24"/>
          <w:szCs w:val="24"/>
          <w:lang w:eastAsia="en-ZA"/>
        </w:rPr>
      </w:pPr>
    </w:p>
    <w:p w14:paraId="40A71DAC" w14:textId="77777777" w:rsidR="00064A90" w:rsidRPr="000F0060" w:rsidRDefault="00064A90" w:rsidP="000F44BA">
      <w:pPr>
        <w:shd w:val="clear" w:color="auto" w:fill="FFFFFF"/>
        <w:spacing w:after="120" w:line="360" w:lineRule="auto"/>
        <w:jc w:val="both"/>
        <w:rPr>
          <w:rFonts w:ascii="Arial" w:eastAsia="Times New Roman" w:hAnsi="Arial" w:cs="Arial"/>
          <w:b/>
          <w:iCs/>
          <w:sz w:val="24"/>
          <w:szCs w:val="24"/>
          <w:lang w:eastAsia="en-ZA"/>
        </w:rPr>
      </w:pPr>
      <w:r w:rsidRPr="000F0060">
        <w:rPr>
          <w:rFonts w:ascii="Arial" w:eastAsia="Times New Roman" w:hAnsi="Arial" w:cs="Arial"/>
          <w:b/>
          <w:iCs/>
          <w:sz w:val="24"/>
          <w:szCs w:val="24"/>
          <w:lang w:eastAsia="en-ZA"/>
        </w:rPr>
        <w:t>Entitlement to Dr Boon</w:t>
      </w:r>
      <w:r w:rsidR="00707E21" w:rsidRPr="000F0060">
        <w:rPr>
          <w:rFonts w:ascii="Arial" w:eastAsia="Times New Roman" w:hAnsi="Arial" w:cs="Arial"/>
          <w:b/>
          <w:iCs/>
          <w:sz w:val="24"/>
          <w:szCs w:val="24"/>
          <w:lang w:eastAsia="en-ZA"/>
        </w:rPr>
        <w:t>’</w:t>
      </w:r>
      <w:r w:rsidRPr="000F0060">
        <w:rPr>
          <w:rFonts w:ascii="Arial" w:eastAsia="Times New Roman" w:hAnsi="Arial" w:cs="Arial"/>
          <w:b/>
          <w:iCs/>
          <w:sz w:val="24"/>
          <w:szCs w:val="24"/>
          <w:lang w:eastAsia="en-ZA"/>
        </w:rPr>
        <w:t xml:space="preserve">s </w:t>
      </w:r>
      <w:r w:rsidR="00707E21" w:rsidRPr="000F0060">
        <w:rPr>
          <w:rFonts w:ascii="Arial" w:eastAsia="Times New Roman" w:hAnsi="Arial" w:cs="Arial"/>
          <w:b/>
          <w:iCs/>
          <w:sz w:val="24"/>
          <w:szCs w:val="24"/>
          <w:lang w:eastAsia="en-ZA"/>
        </w:rPr>
        <w:t>‘</w:t>
      </w:r>
      <w:r w:rsidRPr="000F0060">
        <w:rPr>
          <w:rFonts w:ascii="Arial" w:eastAsia="Times New Roman" w:hAnsi="Arial" w:cs="Arial"/>
          <w:b/>
          <w:iCs/>
          <w:sz w:val="24"/>
          <w:szCs w:val="24"/>
          <w:lang w:eastAsia="en-ZA"/>
        </w:rPr>
        <w:t>report</w:t>
      </w:r>
      <w:r w:rsidR="00707E21" w:rsidRPr="000F0060">
        <w:rPr>
          <w:rFonts w:ascii="Arial" w:eastAsia="Times New Roman" w:hAnsi="Arial" w:cs="Arial"/>
          <w:b/>
          <w:iCs/>
          <w:sz w:val="24"/>
          <w:szCs w:val="24"/>
          <w:lang w:eastAsia="en-ZA"/>
        </w:rPr>
        <w:t>’</w:t>
      </w:r>
    </w:p>
    <w:p w14:paraId="662A311D" w14:textId="1604C7E7" w:rsidR="00A841AA" w:rsidRPr="00232D3B" w:rsidRDefault="00707E21" w:rsidP="0055599A">
      <w:pPr>
        <w:shd w:val="clear" w:color="auto" w:fill="FFFFFF"/>
        <w:spacing w:after="120" w:line="360" w:lineRule="auto"/>
        <w:jc w:val="both"/>
        <w:rPr>
          <w:rFonts w:ascii="Arial" w:eastAsia="Times New Roman" w:hAnsi="Arial" w:cs="Arial"/>
          <w:sz w:val="24"/>
          <w:szCs w:val="24"/>
          <w:lang w:eastAsia="en-ZA"/>
        </w:rPr>
      </w:pPr>
      <w:r w:rsidRPr="00232D3B">
        <w:rPr>
          <w:rFonts w:ascii="Arial" w:eastAsia="Times New Roman" w:hAnsi="Arial" w:cs="Arial"/>
          <w:sz w:val="24"/>
          <w:szCs w:val="24"/>
          <w:lang w:eastAsia="en-ZA"/>
        </w:rPr>
        <w:t>[</w:t>
      </w:r>
      <w:r w:rsidR="00095382" w:rsidRPr="00232D3B">
        <w:rPr>
          <w:rFonts w:ascii="Arial" w:eastAsia="Times New Roman" w:hAnsi="Arial" w:cs="Arial"/>
          <w:sz w:val="24"/>
          <w:szCs w:val="24"/>
          <w:lang w:eastAsia="en-ZA"/>
        </w:rPr>
        <w:t>32</w:t>
      </w:r>
      <w:r w:rsidRPr="00232D3B">
        <w:rPr>
          <w:rFonts w:ascii="Arial" w:eastAsia="Times New Roman" w:hAnsi="Arial" w:cs="Arial"/>
          <w:sz w:val="24"/>
          <w:szCs w:val="24"/>
          <w:lang w:eastAsia="en-ZA"/>
        </w:rPr>
        <w:t>]</w:t>
      </w:r>
      <w:r w:rsidRPr="00232D3B">
        <w:rPr>
          <w:rFonts w:ascii="Arial" w:eastAsia="Times New Roman" w:hAnsi="Arial" w:cs="Arial"/>
          <w:sz w:val="24"/>
          <w:szCs w:val="24"/>
          <w:lang w:eastAsia="en-ZA"/>
        </w:rPr>
        <w:tab/>
      </w:r>
      <w:r w:rsidR="002464DE" w:rsidRPr="00AD647B">
        <w:rPr>
          <w:rFonts w:ascii="Arial" w:eastAsia="Times New Roman" w:hAnsi="Arial" w:cs="Arial"/>
          <w:sz w:val="24"/>
          <w:szCs w:val="24"/>
          <w:lang w:eastAsia="en-ZA"/>
        </w:rPr>
        <w:t>R</w:t>
      </w:r>
      <w:r w:rsidR="008F2136" w:rsidRPr="00AD647B">
        <w:rPr>
          <w:rFonts w:ascii="Arial" w:eastAsia="Times New Roman" w:hAnsi="Arial" w:cs="Arial"/>
          <w:sz w:val="24"/>
          <w:szCs w:val="24"/>
          <w:lang w:eastAsia="en-ZA"/>
        </w:rPr>
        <w:t>u</w:t>
      </w:r>
      <w:r w:rsidR="00454B6B" w:rsidRPr="00AD647B">
        <w:rPr>
          <w:rFonts w:ascii="Arial" w:eastAsia="Times New Roman" w:hAnsi="Arial" w:cs="Arial"/>
          <w:sz w:val="24"/>
          <w:szCs w:val="24"/>
          <w:lang w:eastAsia="en-ZA"/>
        </w:rPr>
        <w:t>le 35(3)</w:t>
      </w:r>
      <w:r w:rsidR="000F392A" w:rsidRPr="00AD647B">
        <w:rPr>
          <w:rFonts w:ascii="Arial" w:eastAsia="Times New Roman" w:hAnsi="Arial" w:cs="Arial"/>
          <w:sz w:val="24"/>
          <w:szCs w:val="24"/>
          <w:lang w:eastAsia="en-ZA"/>
        </w:rPr>
        <w:t>, which is at the heart of this appeal, reads:</w:t>
      </w:r>
    </w:p>
    <w:p w14:paraId="7BAB195F" w14:textId="77777777" w:rsidR="00A276E3" w:rsidRPr="00232D3B" w:rsidRDefault="00A841AA" w:rsidP="0055599A">
      <w:pPr>
        <w:shd w:val="clear" w:color="auto" w:fill="FFFFFF"/>
        <w:spacing w:after="0" w:line="360" w:lineRule="auto"/>
        <w:jc w:val="both"/>
        <w:rPr>
          <w:rFonts w:ascii="Arial" w:hAnsi="Arial" w:cs="Arial"/>
          <w:iCs/>
        </w:rPr>
      </w:pPr>
      <w:r w:rsidRPr="00232D3B">
        <w:rPr>
          <w:rFonts w:ascii="Arial" w:hAnsi="Arial" w:cs="Arial"/>
          <w:iCs/>
        </w:rPr>
        <w:t>‘If any party believe</w:t>
      </w:r>
      <w:r w:rsidR="00454B6B" w:rsidRPr="00232D3B">
        <w:rPr>
          <w:rFonts w:ascii="Arial" w:hAnsi="Arial" w:cs="Arial"/>
          <w:iCs/>
        </w:rPr>
        <w:t>s</w:t>
      </w:r>
      <w:r w:rsidRPr="00232D3B">
        <w:rPr>
          <w:rFonts w:ascii="Arial" w:hAnsi="Arial" w:cs="Arial"/>
          <w:iCs/>
        </w:rPr>
        <w:t xml:space="preserve"> that there are, in addition to documents or tape recordings disclosed as aforesaid, other documents (including copies thereof) or tape recordings which may be relevant to any matter in question in the possession of any party thereto, the former may give notice to the latter requiring such party to make the same available for inspection in accordance with subrule (6), or to state on oath within 10 days that such documents or tape </w:t>
      </w:r>
      <w:r w:rsidRPr="00232D3B">
        <w:rPr>
          <w:rFonts w:ascii="Arial" w:hAnsi="Arial" w:cs="Arial"/>
          <w:iCs/>
        </w:rPr>
        <w:lastRenderedPageBreak/>
        <w:t>recordings are not in such party’s possession, in which event the party making the disclosure shall state their whereabouts, if known</w:t>
      </w:r>
      <w:r w:rsidR="00B64DF2" w:rsidRPr="00232D3B">
        <w:rPr>
          <w:rFonts w:ascii="Arial" w:hAnsi="Arial" w:cs="Arial"/>
          <w:iCs/>
        </w:rPr>
        <w:t>.</w:t>
      </w:r>
      <w:r w:rsidRPr="00232D3B">
        <w:rPr>
          <w:rFonts w:ascii="Arial" w:hAnsi="Arial" w:cs="Arial"/>
          <w:iCs/>
        </w:rPr>
        <w:t>’</w:t>
      </w:r>
      <w:r w:rsidRPr="00232D3B">
        <w:rPr>
          <w:rStyle w:val="FootnoteReference"/>
          <w:rFonts w:ascii="Arial" w:hAnsi="Arial" w:cs="Arial"/>
          <w:iCs/>
        </w:rPr>
        <w:footnoteReference w:id="19"/>
      </w:r>
    </w:p>
    <w:p w14:paraId="0FB27763" w14:textId="77777777" w:rsidR="00454B6B" w:rsidRPr="00232D3B" w:rsidRDefault="00454B6B" w:rsidP="00282F3F">
      <w:pPr>
        <w:shd w:val="clear" w:color="auto" w:fill="FFFFFF"/>
        <w:spacing w:after="0" w:line="360" w:lineRule="auto"/>
        <w:ind w:left="1620" w:right="116"/>
        <w:jc w:val="both"/>
        <w:rPr>
          <w:rFonts w:ascii="Arial" w:hAnsi="Arial" w:cs="Arial"/>
          <w:i/>
          <w:sz w:val="24"/>
          <w:szCs w:val="24"/>
        </w:rPr>
      </w:pPr>
    </w:p>
    <w:p w14:paraId="4C9ACEC8" w14:textId="5075B113" w:rsidR="00A276E3" w:rsidRPr="000F0060" w:rsidRDefault="00A276E3" w:rsidP="0055599A">
      <w:pPr>
        <w:shd w:val="clear" w:color="auto" w:fill="FFFFFF"/>
        <w:spacing w:after="120" w:line="360" w:lineRule="auto"/>
        <w:jc w:val="both"/>
        <w:rPr>
          <w:rFonts w:ascii="Arial" w:hAnsi="Arial" w:cs="Arial"/>
          <w:b/>
          <w:iCs/>
          <w:sz w:val="24"/>
          <w:szCs w:val="24"/>
        </w:rPr>
      </w:pPr>
      <w:r w:rsidRPr="000F0060">
        <w:rPr>
          <w:rFonts w:ascii="Arial" w:hAnsi="Arial" w:cs="Arial"/>
          <w:b/>
          <w:iCs/>
          <w:sz w:val="24"/>
          <w:szCs w:val="24"/>
        </w:rPr>
        <w:t xml:space="preserve">Requirements of </w:t>
      </w:r>
      <w:r w:rsidR="000F392A" w:rsidRPr="000F0060">
        <w:rPr>
          <w:rFonts w:ascii="Arial" w:hAnsi="Arial" w:cs="Arial"/>
          <w:b/>
          <w:iCs/>
          <w:sz w:val="24"/>
          <w:szCs w:val="24"/>
        </w:rPr>
        <w:t>the</w:t>
      </w:r>
      <w:r w:rsidR="00097BF3" w:rsidRPr="000F0060">
        <w:rPr>
          <w:rFonts w:ascii="Arial" w:hAnsi="Arial" w:cs="Arial"/>
          <w:b/>
          <w:iCs/>
          <w:sz w:val="24"/>
          <w:szCs w:val="24"/>
        </w:rPr>
        <w:t xml:space="preserve"> </w:t>
      </w:r>
      <w:r w:rsidRPr="000F0060">
        <w:rPr>
          <w:rFonts w:ascii="Arial" w:hAnsi="Arial" w:cs="Arial"/>
          <w:b/>
          <w:iCs/>
          <w:sz w:val="24"/>
          <w:szCs w:val="24"/>
        </w:rPr>
        <w:t>rule</w:t>
      </w:r>
    </w:p>
    <w:p w14:paraId="69FBA2E0" w14:textId="77777777" w:rsidR="00A276E3" w:rsidRPr="00232D3B" w:rsidRDefault="00A51803" w:rsidP="0055599A">
      <w:pPr>
        <w:shd w:val="clear" w:color="auto" w:fill="FFFFFF"/>
        <w:spacing w:after="120" w:line="360" w:lineRule="auto"/>
        <w:jc w:val="both"/>
        <w:rPr>
          <w:rFonts w:ascii="Arial" w:hAnsi="Arial" w:cs="Arial"/>
          <w:sz w:val="24"/>
          <w:szCs w:val="24"/>
        </w:rPr>
      </w:pPr>
      <w:r w:rsidRPr="00232D3B">
        <w:rPr>
          <w:rFonts w:ascii="Arial" w:hAnsi="Arial" w:cs="Arial"/>
          <w:iCs/>
          <w:sz w:val="24"/>
          <w:szCs w:val="24"/>
        </w:rPr>
        <w:t>[</w:t>
      </w:r>
      <w:r w:rsidR="00095382" w:rsidRPr="00232D3B">
        <w:rPr>
          <w:rFonts w:ascii="Arial" w:hAnsi="Arial" w:cs="Arial"/>
          <w:iCs/>
          <w:sz w:val="24"/>
          <w:szCs w:val="24"/>
        </w:rPr>
        <w:t>33</w:t>
      </w:r>
      <w:r w:rsidRPr="00232D3B">
        <w:rPr>
          <w:rFonts w:ascii="Arial" w:hAnsi="Arial" w:cs="Arial"/>
          <w:iCs/>
          <w:sz w:val="24"/>
          <w:szCs w:val="24"/>
        </w:rPr>
        <w:t>]</w:t>
      </w:r>
      <w:r w:rsidRPr="00232D3B">
        <w:rPr>
          <w:rFonts w:ascii="Arial" w:hAnsi="Arial" w:cs="Arial"/>
          <w:iCs/>
          <w:sz w:val="24"/>
          <w:szCs w:val="24"/>
        </w:rPr>
        <w:tab/>
      </w:r>
      <w:r w:rsidR="00A276E3" w:rsidRPr="00232D3B">
        <w:rPr>
          <w:rFonts w:ascii="Arial" w:hAnsi="Arial" w:cs="Arial"/>
          <w:sz w:val="24"/>
          <w:szCs w:val="24"/>
        </w:rPr>
        <w:t>Herbstein and Van Winsen</w:t>
      </w:r>
      <w:r w:rsidR="005A7E5B" w:rsidRPr="00232D3B">
        <w:rPr>
          <w:rStyle w:val="FootnoteReference"/>
          <w:rFonts w:ascii="Arial" w:hAnsi="Arial" w:cs="Arial"/>
          <w:sz w:val="24"/>
          <w:szCs w:val="24"/>
        </w:rPr>
        <w:footnoteReference w:id="20"/>
      </w:r>
      <w:r w:rsidR="00A276E3" w:rsidRPr="00232D3B">
        <w:rPr>
          <w:rFonts w:ascii="Arial" w:hAnsi="Arial" w:cs="Arial"/>
          <w:sz w:val="24"/>
          <w:szCs w:val="24"/>
        </w:rPr>
        <w:t xml:space="preserve"> state as follows—</w:t>
      </w:r>
    </w:p>
    <w:p w14:paraId="3AF195CA" w14:textId="77777777" w:rsidR="00A276E3" w:rsidRPr="00232D3B" w:rsidRDefault="007D11E3" w:rsidP="0050406D">
      <w:pPr>
        <w:pStyle w:val="NoSpacing"/>
        <w:jc w:val="both"/>
        <w:rPr>
          <w:rFonts w:ascii="Arial" w:hAnsi="Arial" w:cs="Arial"/>
        </w:rPr>
      </w:pPr>
      <w:r w:rsidRPr="00232D3B">
        <w:rPr>
          <w:rFonts w:ascii="Arial" w:hAnsi="Arial" w:cs="Arial"/>
        </w:rPr>
        <w:t>‘</w:t>
      </w:r>
      <w:r w:rsidR="00A276E3" w:rsidRPr="00232D3B">
        <w:rPr>
          <w:rFonts w:ascii="Arial" w:hAnsi="Arial" w:cs="Arial"/>
        </w:rPr>
        <w:t>Even if such a direction has been made, before a party can rely on rule 35(3) she or he must invoke the provisions of rule 35(1) and receive a discovery affidavit in accordance with rule</w:t>
      </w:r>
      <w:r w:rsidR="00245EA5" w:rsidRPr="00232D3B">
        <w:rPr>
          <w:rFonts w:ascii="Arial" w:hAnsi="Arial" w:cs="Arial"/>
        </w:rPr>
        <w:t> </w:t>
      </w:r>
      <w:r w:rsidR="00A276E3" w:rsidRPr="00232D3B">
        <w:rPr>
          <w:rFonts w:ascii="Arial" w:hAnsi="Arial" w:cs="Arial"/>
        </w:rPr>
        <w:t>35(2).</w:t>
      </w:r>
    </w:p>
    <w:p w14:paraId="610C3F05" w14:textId="77777777" w:rsidR="0050406D" w:rsidRPr="00232D3B" w:rsidRDefault="0050406D" w:rsidP="0050406D">
      <w:pPr>
        <w:pStyle w:val="NoSpacing"/>
        <w:jc w:val="both"/>
        <w:rPr>
          <w:rFonts w:ascii="Arial" w:hAnsi="Arial" w:cs="Arial"/>
        </w:rPr>
      </w:pPr>
    </w:p>
    <w:p w14:paraId="2DDA9E73" w14:textId="77777777" w:rsidR="00A276E3" w:rsidRPr="00232D3B" w:rsidRDefault="00A276E3" w:rsidP="0050406D">
      <w:pPr>
        <w:pStyle w:val="NoSpacing"/>
        <w:jc w:val="both"/>
        <w:rPr>
          <w:rFonts w:ascii="Arial" w:hAnsi="Arial" w:cs="Arial"/>
          <w:iCs/>
        </w:rPr>
      </w:pPr>
      <w:r w:rsidRPr="00232D3B">
        <w:rPr>
          <w:rFonts w:ascii="Arial" w:hAnsi="Arial" w:cs="Arial"/>
        </w:rPr>
        <w:t xml:space="preserve">In </w:t>
      </w:r>
      <w:r w:rsidRPr="00232D3B">
        <w:rPr>
          <w:rFonts w:ascii="Arial" w:hAnsi="Arial" w:cs="Arial"/>
          <w:i/>
        </w:rPr>
        <w:t>Swissborough Diamond Mines v Government of the RSA</w:t>
      </w:r>
      <w:r w:rsidRPr="00232D3B">
        <w:rPr>
          <w:rFonts w:ascii="Arial" w:hAnsi="Arial" w:cs="Arial"/>
        </w:rPr>
        <w:t xml:space="preserve"> Joffe J reviewed the authorities relating to rule 35(1), (2) and (3) and requirement of relevance. He quoted with approval the principle stated by Brett LJ in </w:t>
      </w:r>
      <w:r w:rsidRPr="00232D3B">
        <w:rPr>
          <w:rFonts w:ascii="Arial" w:hAnsi="Arial" w:cs="Arial"/>
          <w:i/>
        </w:rPr>
        <w:t>Compagnie Financiere et Commerciale du Pacifique v Peruvian Guano Co</w:t>
      </w:r>
      <w:r w:rsidR="008D1071" w:rsidRPr="00232D3B">
        <w:rPr>
          <w:rFonts w:ascii="Arial" w:hAnsi="Arial" w:cs="Arial"/>
          <w:iCs/>
        </w:rPr>
        <w:t>.</w:t>
      </w:r>
    </w:p>
    <w:p w14:paraId="36FD7061" w14:textId="77777777" w:rsidR="0050406D" w:rsidRPr="00232D3B" w:rsidRDefault="0050406D" w:rsidP="0050406D">
      <w:pPr>
        <w:pStyle w:val="NoSpacing"/>
        <w:jc w:val="both"/>
        <w:rPr>
          <w:rFonts w:ascii="Arial" w:hAnsi="Arial" w:cs="Arial"/>
          <w:iCs/>
        </w:rPr>
      </w:pPr>
    </w:p>
    <w:p w14:paraId="33CD0178" w14:textId="77777777" w:rsidR="00A276E3" w:rsidRPr="00232D3B" w:rsidRDefault="008D1071" w:rsidP="0050406D">
      <w:pPr>
        <w:pStyle w:val="NoSpacing"/>
        <w:ind w:left="720"/>
        <w:jc w:val="both"/>
        <w:rPr>
          <w:rFonts w:ascii="Arial" w:hAnsi="Arial" w:cs="Arial"/>
          <w:sz w:val="20"/>
          <w:szCs w:val="20"/>
        </w:rPr>
      </w:pPr>
      <w:r w:rsidRPr="00232D3B">
        <w:rPr>
          <w:rFonts w:ascii="Arial" w:hAnsi="Arial" w:cs="Arial"/>
          <w:sz w:val="20"/>
          <w:szCs w:val="20"/>
        </w:rPr>
        <w:t>“</w:t>
      </w:r>
      <w:r w:rsidR="00A276E3" w:rsidRPr="00232D3B">
        <w:rPr>
          <w:rFonts w:ascii="Arial" w:hAnsi="Arial" w:cs="Arial"/>
          <w:sz w:val="20"/>
          <w:szCs w:val="20"/>
        </w:rPr>
        <w:t>It seems to me that every document relates to the matter in question in the action which, it is reasonable to suppose, contains information which may — not which must — either directly or indirectly enable the party requiring the affidavit either to advance his own case or to damage the case of his adversary. I have put in the words ‘either directly or indirectly’ because, as it seems to me, a document can properly be said to contain information which may enable the party requiring the affidavit either to advance his own case or to damage the case of his adversary, if it is a document which may fairly lead him to a train of enquiry which may have e</w:t>
      </w:r>
      <w:r w:rsidR="00B44886" w:rsidRPr="00232D3B">
        <w:rPr>
          <w:rFonts w:ascii="Arial" w:hAnsi="Arial" w:cs="Arial"/>
          <w:sz w:val="20"/>
          <w:szCs w:val="20"/>
        </w:rPr>
        <w:t>ither of these two consequences.</w:t>
      </w:r>
      <w:r w:rsidR="002F225B" w:rsidRPr="00232D3B">
        <w:rPr>
          <w:rFonts w:ascii="Arial" w:hAnsi="Arial" w:cs="Arial"/>
          <w:sz w:val="20"/>
          <w:szCs w:val="20"/>
        </w:rPr>
        <w:t>”</w:t>
      </w:r>
    </w:p>
    <w:p w14:paraId="5ABE3654" w14:textId="77777777" w:rsidR="0050406D" w:rsidRPr="00232D3B" w:rsidRDefault="0050406D" w:rsidP="0050406D">
      <w:pPr>
        <w:pStyle w:val="NoSpacing"/>
        <w:ind w:left="720"/>
        <w:jc w:val="both"/>
        <w:rPr>
          <w:rFonts w:ascii="Arial" w:hAnsi="Arial" w:cs="Arial"/>
          <w:sz w:val="20"/>
          <w:szCs w:val="20"/>
        </w:rPr>
      </w:pPr>
    </w:p>
    <w:p w14:paraId="4E371745" w14:textId="77777777" w:rsidR="00E412C2" w:rsidRPr="00232D3B" w:rsidRDefault="00A276E3" w:rsidP="0050406D">
      <w:pPr>
        <w:pStyle w:val="NoSpacing"/>
        <w:jc w:val="both"/>
        <w:rPr>
          <w:rFonts w:ascii="Arial" w:hAnsi="Arial" w:cs="Arial"/>
        </w:rPr>
      </w:pPr>
      <w:r w:rsidRPr="00232D3B">
        <w:rPr>
          <w:rFonts w:ascii="Arial" w:hAnsi="Arial" w:cs="Arial"/>
        </w:rPr>
        <w:t xml:space="preserve">Joffe J then stated that the broad meaning ascribed to relevance is circumscribed by the requirements in both subrules (1) and (3) of rule 35 that the document or (tape) recording must be one </w:t>
      </w:r>
      <w:r w:rsidR="00234F1A" w:rsidRPr="00232D3B">
        <w:rPr>
          <w:rFonts w:ascii="Arial" w:hAnsi="Arial" w:cs="Arial"/>
        </w:rPr>
        <w:t>“</w:t>
      </w:r>
      <w:r w:rsidRPr="00232D3B">
        <w:rPr>
          <w:rFonts w:ascii="Arial" w:hAnsi="Arial" w:cs="Arial"/>
        </w:rPr>
        <w:t>relating to</w:t>
      </w:r>
      <w:r w:rsidR="00234F1A" w:rsidRPr="00232D3B">
        <w:rPr>
          <w:rFonts w:ascii="Arial" w:hAnsi="Arial" w:cs="Arial"/>
        </w:rPr>
        <w:t>”</w:t>
      </w:r>
      <w:r w:rsidRPr="00232D3B">
        <w:rPr>
          <w:rFonts w:ascii="Arial" w:hAnsi="Arial" w:cs="Arial"/>
        </w:rPr>
        <w:t xml:space="preserve"> (35) (1) or which </w:t>
      </w:r>
      <w:r w:rsidR="00234F1A" w:rsidRPr="00232D3B">
        <w:rPr>
          <w:rFonts w:ascii="Arial" w:hAnsi="Arial" w:cs="Arial"/>
        </w:rPr>
        <w:t>“</w:t>
      </w:r>
      <w:r w:rsidRPr="00232D3B">
        <w:rPr>
          <w:rFonts w:ascii="Arial" w:hAnsi="Arial" w:cs="Arial"/>
        </w:rPr>
        <w:t>may be relevant to</w:t>
      </w:r>
      <w:r w:rsidR="00234F1A" w:rsidRPr="00232D3B">
        <w:rPr>
          <w:rFonts w:ascii="Arial" w:hAnsi="Arial" w:cs="Arial"/>
        </w:rPr>
        <w:t>"</w:t>
      </w:r>
      <w:r w:rsidRPr="00232D3B">
        <w:rPr>
          <w:rFonts w:ascii="Arial" w:hAnsi="Arial" w:cs="Arial"/>
        </w:rPr>
        <w:t xml:space="preserve"> (35) (3) any matter in question’, which in turn is determined from the pleadings. He also stated that in determining the issues raised by the pleadings regard would not be had to requests for further particulars for purposes of trial and further particulars furnished in response thereto as requests for particulars for trial are made </w:t>
      </w:r>
      <w:r w:rsidR="004D3CEA" w:rsidRPr="00232D3B">
        <w:rPr>
          <w:rFonts w:ascii="Arial" w:hAnsi="Arial" w:cs="Arial"/>
        </w:rPr>
        <w:t>“</w:t>
      </w:r>
      <w:r w:rsidRPr="00232D3B">
        <w:rPr>
          <w:rFonts w:ascii="Arial" w:hAnsi="Arial" w:cs="Arial"/>
        </w:rPr>
        <w:t xml:space="preserve">after the close </w:t>
      </w:r>
      <w:r w:rsidR="00AE64E0" w:rsidRPr="00232D3B">
        <w:rPr>
          <w:rFonts w:ascii="Arial" w:hAnsi="Arial" w:cs="Arial"/>
        </w:rPr>
        <w:t xml:space="preserve">of </w:t>
      </w:r>
      <w:r w:rsidRPr="00232D3B">
        <w:rPr>
          <w:rFonts w:ascii="Arial" w:hAnsi="Arial" w:cs="Arial"/>
        </w:rPr>
        <w:t>pleadings</w:t>
      </w:r>
      <w:r w:rsidR="004D3CEA" w:rsidRPr="00232D3B">
        <w:rPr>
          <w:rFonts w:ascii="Arial" w:hAnsi="Arial" w:cs="Arial"/>
        </w:rPr>
        <w:t>”</w:t>
      </w:r>
      <w:r w:rsidRPr="00232D3B">
        <w:rPr>
          <w:rFonts w:ascii="Arial" w:hAnsi="Arial" w:cs="Arial"/>
        </w:rPr>
        <w:t xml:space="preserve"> and the request for particulars would therefore relate to the pleaded issues and would not raise further or new issues between the parties.</w:t>
      </w:r>
    </w:p>
    <w:p w14:paraId="32849B58" w14:textId="77777777" w:rsidR="0050406D" w:rsidRPr="00232D3B" w:rsidRDefault="0050406D" w:rsidP="0050406D">
      <w:pPr>
        <w:pStyle w:val="NoSpacing"/>
        <w:jc w:val="both"/>
        <w:rPr>
          <w:rFonts w:ascii="Arial" w:hAnsi="Arial" w:cs="Arial"/>
        </w:rPr>
      </w:pPr>
    </w:p>
    <w:p w14:paraId="24483A50" w14:textId="77777777" w:rsidR="00A276E3" w:rsidRPr="00232D3B" w:rsidRDefault="00A276E3" w:rsidP="0050406D">
      <w:pPr>
        <w:pStyle w:val="NoSpacing"/>
        <w:jc w:val="both"/>
        <w:rPr>
          <w:rFonts w:ascii="Arial" w:hAnsi="Arial" w:cs="Arial"/>
        </w:rPr>
      </w:pPr>
      <w:r w:rsidRPr="00232D3B">
        <w:rPr>
          <w:rFonts w:ascii="Arial" w:hAnsi="Arial" w:cs="Arial"/>
        </w:rPr>
        <w:t>Where the documentation sought to be discovered was not relevant to any of the issues raised in the affidavits in an application, the application for discovery was refused</w:t>
      </w:r>
      <w:r w:rsidR="00E412C2" w:rsidRPr="00232D3B">
        <w:rPr>
          <w:rFonts w:ascii="Arial" w:hAnsi="Arial" w:cs="Arial"/>
        </w:rPr>
        <w:t>.’</w:t>
      </w:r>
      <w:r w:rsidRPr="00232D3B">
        <w:rPr>
          <w:rStyle w:val="FootnoteReference"/>
          <w:rFonts w:ascii="Arial" w:hAnsi="Arial" w:cs="Arial"/>
        </w:rPr>
        <w:footnoteReference w:id="21"/>
      </w:r>
      <w:r w:rsidR="005B1438" w:rsidRPr="00232D3B">
        <w:rPr>
          <w:rFonts w:ascii="Arial" w:hAnsi="Arial" w:cs="Arial"/>
        </w:rPr>
        <w:t xml:space="preserve"> (Footnotes omitted.)</w:t>
      </w:r>
    </w:p>
    <w:p w14:paraId="37B1C0E7" w14:textId="77777777" w:rsidR="00A276E3" w:rsidRPr="00232D3B" w:rsidRDefault="00A276E3" w:rsidP="00282F3F">
      <w:pPr>
        <w:shd w:val="clear" w:color="auto" w:fill="FFFFFF"/>
        <w:spacing w:after="0" w:line="360" w:lineRule="auto"/>
        <w:jc w:val="both"/>
        <w:rPr>
          <w:rFonts w:ascii="Arial" w:hAnsi="Arial" w:cs="Arial"/>
          <w:sz w:val="24"/>
          <w:szCs w:val="24"/>
        </w:rPr>
      </w:pPr>
    </w:p>
    <w:p w14:paraId="39422D1F" w14:textId="77777777" w:rsidR="00A276E3" w:rsidRPr="00232D3B" w:rsidRDefault="00E57B11" w:rsidP="0055599A">
      <w:pPr>
        <w:shd w:val="clear" w:color="auto" w:fill="FFFFFF"/>
        <w:spacing w:after="120" w:line="360" w:lineRule="auto"/>
        <w:jc w:val="both"/>
        <w:rPr>
          <w:rFonts w:ascii="Arial" w:hAnsi="Arial" w:cs="Arial"/>
          <w:sz w:val="24"/>
          <w:szCs w:val="24"/>
        </w:rPr>
      </w:pPr>
      <w:r w:rsidRPr="00232D3B">
        <w:rPr>
          <w:rFonts w:ascii="Arial" w:hAnsi="Arial" w:cs="Arial"/>
          <w:sz w:val="24"/>
          <w:szCs w:val="24"/>
        </w:rPr>
        <w:lastRenderedPageBreak/>
        <w:t>[</w:t>
      </w:r>
      <w:r w:rsidR="00095382" w:rsidRPr="00232D3B">
        <w:rPr>
          <w:rFonts w:ascii="Arial" w:hAnsi="Arial" w:cs="Arial"/>
          <w:sz w:val="24"/>
          <w:szCs w:val="24"/>
        </w:rPr>
        <w:t>34</w:t>
      </w:r>
      <w:r w:rsidRPr="00232D3B">
        <w:rPr>
          <w:rFonts w:ascii="Arial" w:hAnsi="Arial" w:cs="Arial"/>
          <w:sz w:val="24"/>
          <w:szCs w:val="24"/>
        </w:rPr>
        <w:t>]</w:t>
      </w:r>
      <w:r w:rsidRPr="00232D3B">
        <w:rPr>
          <w:rFonts w:ascii="Arial" w:hAnsi="Arial" w:cs="Arial"/>
          <w:sz w:val="24"/>
          <w:szCs w:val="24"/>
        </w:rPr>
        <w:tab/>
      </w:r>
      <w:r w:rsidR="00A276E3" w:rsidRPr="00232D3B">
        <w:rPr>
          <w:rFonts w:ascii="Arial" w:hAnsi="Arial" w:cs="Arial"/>
          <w:sz w:val="24"/>
          <w:szCs w:val="24"/>
        </w:rPr>
        <w:t xml:space="preserve">In </w:t>
      </w:r>
      <w:r w:rsidR="00A276E3" w:rsidRPr="00232D3B">
        <w:rPr>
          <w:rFonts w:ascii="Arial" w:hAnsi="Arial" w:cs="Arial"/>
          <w:i/>
          <w:sz w:val="24"/>
          <w:szCs w:val="24"/>
        </w:rPr>
        <w:t>Swissborough Diamond Mines (Pty) Ltd and Others v Government of the Republic of South Africa and Others</w:t>
      </w:r>
      <w:r w:rsidR="00A276E3" w:rsidRPr="00232D3B">
        <w:rPr>
          <w:rStyle w:val="FootnoteReference"/>
          <w:rFonts w:ascii="Arial" w:hAnsi="Arial" w:cs="Arial"/>
          <w:iCs/>
          <w:sz w:val="24"/>
          <w:szCs w:val="24"/>
        </w:rPr>
        <w:footnoteReference w:id="22"/>
      </w:r>
      <w:r w:rsidR="00A276E3" w:rsidRPr="00232D3B">
        <w:rPr>
          <w:rFonts w:ascii="Arial" w:hAnsi="Arial" w:cs="Arial"/>
          <w:sz w:val="24"/>
          <w:szCs w:val="24"/>
        </w:rPr>
        <w:t xml:space="preserve"> the court said the following—</w:t>
      </w:r>
    </w:p>
    <w:p w14:paraId="6A1E4A04" w14:textId="62E812FF" w:rsidR="00A276E3" w:rsidRPr="00232D3B" w:rsidRDefault="00A276E3" w:rsidP="0050406D">
      <w:pPr>
        <w:pStyle w:val="NoSpacing"/>
        <w:jc w:val="both"/>
        <w:rPr>
          <w:rFonts w:ascii="Arial" w:hAnsi="Arial" w:cs="Arial"/>
        </w:rPr>
      </w:pPr>
      <w:r w:rsidRPr="00232D3B">
        <w:rPr>
          <w:rFonts w:ascii="Arial" w:hAnsi="Arial" w:cs="Arial"/>
        </w:rPr>
        <w:t xml:space="preserve">‘As indicated above, Rule 35(3) provides the procedure for a party dissatisfied with the discovery of another party. It requires the former party to give notice to the latter party to make the documents or tape recordings available for inspection in accordance with Rule 35(6). Rule 35(6) requires the notice to be, as near as may be, in accordance with Form 13 of the First Schedule. Form 13 requires the production for inspection of </w:t>
      </w:r>
      <w:r w:rsidR="006F580D">
        <w:rPr>
          <w:rFonts w:ascii="Arial" w:hAnsi="Arial" w:cs="Arial"/>
        </w:rPr>
        <w:t>“</w:t>
      </w:r>
      <w:r w:rsidRPr="00232D3B">
        <w:rPr>
          <w:rFonts w:ascii="Arial" w:hAnsi="Arial" w:cs="Arial"/>
        </w:rPr>
        <w:t>the following documents referred to in your affidavit</w:t>
      </w:r>
      <w:r w:rsidR="006F580D">
        <w:rPr>
          <w:rFonts w:ascii="Arial" w:hAnsi="Arial" w:cs="Arial"/>
        </w:rPr>
        <w:t>”</w:t>
      </w:r>
      <w:r w:rsidRPr="00232D3B">
        <w:rPr>
          <w:rFonts w:ascii="Arial" w:hAnsi="Arial" w:cs="Arial"/>
        </w:rPr>
        <w:t>. It is obviously designed for inspection of discovered documents. It must be adopted to deal with the situation envisaged in Rule 35(3). In particular, the degree of specificity of the documents that the party dissatisfied with the discovery must comply with in the notice must be determined. The importance of this requirement cannot be understated. A party can clearly be severely prejudiced by a notice which does not exhibit the necessary degree of specifi</w:t>
      </w:r>
      <w:r w:rsidR="009602E5" w:rsidRPr="00232D3B">
        <w:rPr>
          <w:rFonts w:ascii="Arial" w:hAnsi="Arial" w:cs="Arial"/>
        </w:rPr>
        <w:t>city. Failure to comply with that requirement</w:t>
      </w:r>
      <w:r w:rsidRPr="00232D3B">
        <w:rPr>
          <w:rFonts w:ascii="Arial" w:hAnsi="Arial" w:cs="Arial"/>
        </w:rPr>
        <w:t xml:space="preserve"> can result in an order compelling compliance, and failure to comply therewith can result in the claim dismissed or defence being struck out in terms of Rule 36(7)</w:t>
      </w:r>
      <w:r w:rsidR="006954B8" w:rsidRPr="00232D3B">
        <w:rPr>
          <w:rFonts w:ascii="Arial" w:hAnsi="Arial" w:cs="Arial"/>
        </w:rPr>
        <w:t>.</w:t>
      </w:r>
      <w:r w:rsidRPr="00232D3B">
        <w:rPr>
          <w:rFonts w:ascii="Arial" w:hAnsi="Arial" w:cs="Arial"/>
        </w:rPr>
        <w:t>’</w:t>
      </w:r>
    </w:p>
    <w:p w14:paraId="270A6208" w14:textId="77777777" w:rsidR="006954B8" w:rsidRPr="00232D3B" w:rsidRDefault="006954B8" w:rsidP="0055599A">
      <w:pPr>
        <w:shd w:val="clear" w:color="auto" w:fill="FFFFFF"/>
        <w:spacing w:after="0" w:line="360" w:lineRule="auto"/>
        <w:jc w:val="both"/>
        <w:rPr>
          <w:rFonts w:ascii="Arial" w:hAnsi="Arial" w:cs="Arial"/>
        </w:rPr>
      </w:pPr>
    </w:p>
    <w:p w14:paraId="545F99EE" w14:textId="77777777" w:rsidR="00A276E3" w:rsidRPr="00232D3B" w:rsidRDefault="00B17D15" w:rsidP="0055599A">
      <w:pPr>
        <w:shd w:val="clear" w:color="auto" w:fill="FFFFFF"/>
        <w:spacing w:after="120" w:line="360" w:lineRule="auto"/>
        <w:jc w:val="both"/>
        <w:rPr>
          <w:rFonts w:ascii="Arial" w:hAnsi="Arial" w:cs="Arial"/>
          <w:sz w:val="24"/>
          <w:szCs w:val="24"/>
        </w:rPr>
      </w:pPr>
      <w:r w:rsidRPr="00232D3B">
        <w:rPr>
          <w:rFonts w:ascii="Arial" w:eastAsia="Times New Roman" w:hAnsi="Arial" w:cs="Arial"/>
          <w:sz w:val="24"/>
          <w:szCs w:val="24"/>
          <w:lang w:eastAsia="en-ZA"/>
        </w:rPr>
        <w:t>[3</w:t>
      </w:r>
      <w:r w:rsidR="00095382" w:rsidRPr="00232D3B">
        <w:rPr>
          <w:rFonts w:ascii="Arial" w:eastAsia="Times New Roman" w:hAnsi="Arial" w:cs="Arial"/>
          <w:sz w:val="24"/>
          <w:szCs w:val="24"/>
          <w:lang w:eastAsia="en-ZA"/>
        </w:rPr>
        <w:t>5</w:t>
      </w:r>
      <w:r w:rsidRPr="00232D3B">
        <w:rPr>
          <w:rFonts w:ascii="Arial" w:eastAsia="Times New Roman" w:hAnsi="Arial" w:cs="Arial"/>
          <w:sz w:val="24"/>
          <w:szCs w:val="24"/>
          <w:lang w:eastAsia="en-ZA"/>
        </w:rPr>
        <w:t>]</w:t>
      </w:r>
      <w:r w:rsidRPr="00232D3B">
        <w:rPr>
          <w:rFonts w:ascii="Arial" w:eastAsia="Times New Roman" w:hAnsi="Arial" w:cs="Arial"/>
          <w:sz w:val="24"/>
          <w:szCs w:val="24"/>
          <w:lang w:eastAsia="en-ZA"/>
        </w:rPr>
        <w:tab/>
      </w:r>
      <w:r w:rsidR="00A276E3" w:rsidRPr="00232D3B">
        <w:rPr>
          <w:rFonts w:ascii="Arial" w:hAnsi="Arial" w:cs="Arial"/>
          <w:sz w:val="24"/>
          <w:szCs w:val="24"/>
        </w:rPr>
        <w:t xml:space="preserve">In </w:t>
      </w:r>
      <w:r w:rsidR="00A276E3" w:rsidRPr="00232D3B">
        <w:rPr>
          <w:rFonts w:ascii="Arial" w:hAnsi="Arial" w:cs="Arial"/>
          <w:i/>
          <w:sz w:val="24"/>
          <w:szCs w:val="24"/>
        </w:rPr>
        <w:t>The MV Urgup: Owners of the MV Urgup</w:t>
      </w:r>
      <w:r w:rsidR="00A276E3" w:rsidRPr="00232D3B">
        <w:rPr>
          <w:rStyle w:val="FootnoteReference"/>
          <w:rFonts w:ascii="Arial" w:hAnsi="Arial" w:cs="Arial"/>
          <w:sz w:val="24"/>
          <w:szCs w:val="24"/>
        </w:rPr>
        <w:footnoteReference w:id="23"/>
      </w:r>
      <w:r w:rsidR="00A276E3" w:rsidRPr="00232D3B">
        <w:rPr>
          <w:rFonts w:ascii="Arial" w:hAnsi="Arial" w:cs="Arial"/>
          <w:sz w:val="24"/>
          <w:szCs w:val="24"/>
        </w:rPr>
        <w:t xml:space="preserve"> the court had this to say—</w:t>
      </w:r>
    </w:p>
    <w:p w14:paraId="2D81C089" w14:textId="7ECDD1FF" w:rsidR="00A276E3" w:rsidRPr="00232D3B" w:rsidRDefault="00A276E3" w:rsidP="0050406D">
      <w:pPr>
        <w:pStyle w:val="NoSpacing"/>
        <w:jc w:val="both"/>
        <w:rPr>
          <w:rFonts w:ascii="Arial" w:hAnsi="Arial" w:cs="Arial"/>
        </w:rPr>
      </w:pPr>
      <w:r w:rsidRPr="00232D3B">
        <w:rPr>
          <w:rFonts w:ascii="Arial" w:hAnsi="Arial" w:cs="Arial"/>
        </w:rPr>
        <w:t>‘As to the alternative relief claimed by the respondents which, as I have said, would in effect be an order in terms of Uniform Rules 35(3) or (14) compelling the applicant to make available for inspection and copying the documents listed in annexure A to the notice of motion, this may be dealt with These subrules are both intended to cater for the situation where a party knows or, at the very least, believes that there are documents (or tape recordings) in his opponent’s possession or under his control which may be relevant to the issues and which he is able to specify with some degree of precision. In the case of Rule 35(3) the intention is to supplement discovery which has already take</w:t>
      </w:r>
      <w:r w:rsidR="00696444" w:rsidRPr="00232D3B">
        <w:rPr>
          <w:rFonts w:ascii="Arial" w:hAnsi="Arial" w:cs="Arial"/>
        </w:rPr>
        <w:t xml:space="preserve">n </w:t>
      </w:r>
      <w:r w:rsidRPr="00232D3B">
        <w:rPr>
          <w:rFonts w:ascii="Arial" w:hAnsi="Arial" w:cs="Arial"/>
        </w:rPr>
        <w:t>but which is alleged to be inadequate</w:t>
      </w:r>
      <w:r w:rsidR="00103B56">
        <w:rPr>
          <w:rFonts w:ascii="Arial" w:hAnsi="Arial" w:cs="Arial"/>
        </w:rPr>
        <w:t>.</w:t>
      </w:r>
      <w:r w:rsidRPr="00232D3B">
        <w:rPr>
          <w:rFonts w:ascii="Arial" w:hAnsi="Arial" w:cs="Arial"/>
        </w:rPr>
        <w:t>’</w:t>
      </w:r>
    </w:p>
    <w:p w14:paraId="65C422CE" w14:textId="77777777" w:rsidR="00477298" w:rsidRPr="00232D3B" w:rsidRDefault="00477298" w:rsidP="00282F3F">
      <w:pPr>
        <w:shd w:val="clear" w:color="auto" w:fill="FFFFFF"/>
        <w:spacing w:after="0" w:line="360" w:lineRule="auto"/>
        <w:jc w:val="both"/>
        <w:rPr>
          <w:rFonts w:ascii="Arial" w:hAnsi="Arial" w:cs="Arial"/>
          <w:sz w:val="24"/>
          <w:szCs w:val="24"/>
        </w:rPr>
      </w:pPr>
    </w:p>
    <w:p w14:paraId="30782D47" w14:textId="77777777" w:rsidR="00A276E3" w:rsidRPr="00232D3B" w:rsidRDefault="001F6257" w:rsidP="0055599A">
      <w:pPr>
        <w:shd w:val="clear" w:color="auto" w:fill="FFFFFF"/>
        <w:spacing w:after="120" w:line="360" w:lineRule="auto"/>
        <w:jc w:val="both"/>
        <w:rPr>
          <w:rFonts w:ascii="Arial" w:hAnsi="Arial" w:cs="Arial"/>
          <w:sz w:val="24"/>
          <w:szCs w:val="24"/>
        </w:rPr>
      </w:pPr>
      <w:r w:rsidRPr="00232D3B">
        <w:rPr>
          <w:rFonts w:ascii="Arial" w:hAnsi="Arial" w:cs="Arial"/>
          <w:sz w:val="24"/>
          <w:szCs w:val="24"/>
        </w:rPr>
        <w:t>[3</w:t>
      </w:r>
      <w:r w:rsidR="00095382" w:rsidRPr="00232D3B">
        <w:rPr>
          <w:rFonts w:ascii="Arial" w:hAnsi="Arial" w:cs="Arial"/>
          <w:sz w:val="24"/>
          <w:szCs w:val="24"/>
        </w:rPr>
        <w:t>6</w:t>
      </w:r>
      <w:r w:rsidRPr="00232D3B">
        <w:rPr>
          <w:rFonts w:ascii="Arial" w:hAnsi="Arial" w:cs="Arial"/>
          <w:sz w:val="24"/>
          <w:szCs w:val="24"/>
        </w:rPr>
        <w:t>]</w:t>
      </w:r>
      <w:r w:rsidRPr="00232D3B">
        <w:rPr>
          <w:rFonts w:ascii="Arial" w:hAnsi="Arial" w:cs="Arial"/>
          <w:sz w:val="24"/>
          <w:szCs w:val="24"/>
        </w:rPr>
        <w:tab/>
      </w:r>
      <w:r w:rsidR="00A276E3" w:rsidRPr="00232D3B">
        <w:rPr>
          <w:rFonts w:ascii="Arial" w:hAnsi="Arial" w:cs="Arial"/>
          <w:sz w:val="24"/>
          <w:szCs w:val="24"/>
        </w:rPr>
        <w:t xml:space="preserve">Nel AJ pointed out in </w:t>
      </w:r>
      <w:r w:rsidR="00A276E3" w:rsidRPr="00232D3B">
        <w:rPr>
          <w:rFonts w:ascii="Arial" w:hAnsi="Arial" w:cs="Arial"/>
          <w:i/>
          <w:sz w:val="24"/>
          <w:szCs w:val="24"/>
        </w:rPr>
        <w:t>Mofokeng v Standard Bank of South Africa</w:t>
      </w:r>
      <w:r w:rsidR="00A276E3" w:rsidRPr="00232D3B">
        <w:rPr>
          <w:rStyle w:val="FootnoteReference"/>
          <w:rFonts w:ascii="Arial" w:hAnsi="Arial" w:cs="Arial"/>
          <w:sz w:val="24"/>
          <w:szCs w:val="24"/>
        </w:rPr>
        <w:footnoteReference w:id="24"/>
      </w:r>
      <w:r w:rsidR="00A276E3" w:rsidRPr="00232D3B">
        <w:rPr>
          <w:rFonts w:ascii="Arial" w:hAnsi="Arial" w:cs="Arial"/>
          <w:sz w:val="24"/>
          <w:szCs w:val="24"/>
        </w:rPr>
        <w:t xml:space="preserve"> that―</w:t>
      </w:r>
    </w:p>
    <w:p w14:paraId="459CC6E4" w14:textId="77777777" w:rsidR="00454B6B" w:rsidRPr="00232D3B" w:rsidRDefault="00A276E3" w:rsidP="0050406D">
      <w:pPr>
        <w:pStyle w:val="NoSpacing"/>
        <w:rPr>
          <w:rFonts w:ascii="Arial" w:hAnsi="Arial" w:cs="Arial"/>
        </w:rPr>
      </w:pPr>
      <w:r w:rsidRPr="00232D3B">
        <w:rPr>
          <w:rFonts w:ascii="Arial" w:hAnsi="Arial" w:cs="Arial"/>
        </w:rPr>
        <w:t>‘In Herbstein &amp; Van Winsen, Civil Practice of the High Courts and the Supreme Court Appeal of South Africa it is stated as follows:</w:t>
      </w:r>
    </w:p>
    <w:p w14:paraId="2A86F8F6" w14:textId="77777777" w:rsidR="0050406D" w:rsidRPr="00232D3B" w:rsidRDefault="0050406D" w:rsidP="0050406D">
      <w:pPr>
        <w:pStyle w:val="NoSpacing"/>
        <w:rPr>
          <w:rFonts w:ascii="Arial" w:hAnsi="Arial" w:cs="Arial"/>
          <w:sz w:val="24"/>
          <w:szCs w:val="24"/>
        </w:rPr>
      </w:pPr>
    </w:p>
    <w:p w14:paraId="1709D0EF" w14:textId="77777777" w:rsidR="00A276E3" w:rsidRPr="00232D3B" w:rsidRDefault="00A276E3" w:rsidP="0050406D">
      <w:pPr>
        <w:pStyle w:val="NoSpacing"/>
        <w:ind w:left="720"/>
        <w:jc w:val="both"/>
        <w:rPr>
          <w:rFonts w:ascii="Arial" w:hAnsi="Arial" w:cs="Arial"/>
          <w:sz w:val="20"/>
          <w:szCs w:val="20"/>
        </w:rPr>
      </w:pPr>
      <w:r w:rsidRPr="00232D3B">
        <w:rPr>
          <w:rFonts w:ascii="Arial" w:hAnsi="Arial" w:cs="Arial"/>
          <w:sz w:val="20"/>
          <w:szCs w:val="20"/>
        </w:rPr>
        <w:t>“It has been held that the court will generally regard the discovery affidavit as conclusive against the party seeking relief, as to both the possession of documents or (tape) recordings and the relevance of their contents. The party who seeks further discovery has the onus of establishing facts which raise a strong possibility that there are further relevant documents or (tape) recordings.”</w:t>
      </w:r>
      <w:r w:rsidR="00DE4D2C" w:rsidRPr="00232D3B">
        <w:rPr>
          <w:rFonts w:ascii="Arial" w:hAnsi="Arial" w:cs="Arial"/>
          <w:sz w:val="20"/>
          <w:szCs w:val="20"/>
        </w:rPr>
        <w:t>’</w:t>
      </w:r>
    </w:p>
    <w:p w14:paraId="6EA112F3" w14:textId="77777777" w:rsidR="0050406D" w:rsidRPr="00232D3B" w:rsidRDefault="0050406D" w:rsidP="0050406D">
      <w:pPr>
        <w:pStyle w:val="NoSpacing"/>
        <w:ind w:left="720"/>
        <w:jc w:val="both"/>
        <w:rPr>
          <w:rFonts w:ascii="Arial" w:hAnsi="Arial" w:cs="Arial"/>
          <w:sz w:val="20"/>
          <w:szCs w:val="20"/>
        </w:rPr>
      </w:pPr>
    </w:p>
    <w:p w14:paraId="3460E1F9" w14:textId="77777777" w:rsidR="00A276E3" w:rsidRPr="00232D3B" w:rsidRDefault="00A276E3" w:rsidP="0050406D">
      <w:pPr>
        <w:pStyle w:val="NoSpacing"/>
        <w:jc w:val="both"/>
        <w:rPr>
          <w:rFonts w:ascii="Arial" w:hAnsi="Arial" w:cs="Arial"/>
        </w:rPr>
      </w:pPr>
      <w:r w:rsidRPr="00232D3B">
        <w:rPr>
          <w:rFonts w:ascii="Arial" w:hAnsi="Arial" w:cs="Arial"/>
        </w:rPr>
        <w:t>A party seeking an order that documentation</w:t>
      </w:r>
      <w:r w:rsidR="00B43AD8" w:rsidRPr="00232D3B">
        <w:rPr>
          <w:rFonts w:ascii="Arial" w:hAnsi="Arial" w:cs="Arial"/>
        </w:rPr>
        <w:t xml:space="preserve"> or recordings sought in terms of</w:t>
      </w:r>
      <w:r w:rsidRPr="00232D3B">
        <w:rPr>
          <w:rFonts w:ascii="Arial" w:hAnsi="Arial" w:cs="Arial"/>
        </w:rPr>
        <w:t xml:space="preserve"> Rule 35(3) Notice must be provided, must show that there are reasonable grounds for believing that the documentation or recordings are in the opposing party’s possession or under its control.</w:t>
      </w:r>
    </w:p>
    <w:p w14:paraId="03C9E44E" w14:textId="77777777" w:rsidR="0050406D" w:rsidRPr="00232D3B" w:rsidRDefault="0050406D" w:rsidP="0050406D">
      <w:pPr>
        <w:pStyle w:val="NoSpacing"/>
        <w:jc w:val="both"/>
        <w:rPr>
          <w:rFonts w:ascii="Arial" w:hAnsi="Arial" w:cs="Arial"/>
        </w:rPr>
      </w:pPr>
    </w:p>
    <w:p w14:paraId="73482574" w14:textId="77777777" w:rsidR="00A276E3" w:rsidRPr="00232D3B" w:rsidRDefault="00A276E3" w:rsidP="0050406D">
      <w:pPr>
        <w:pStyle w:val="NoSpacing"/>
        <w:jc w:val="both"/>
        <w:rPr>
          <w:rFonts w:ascii="Arial" w:hAnsi="Arial" w:cs="Arial"/>
        </w:rPr>
      </w:pPr>
      <w:r w:rsidRPr="00232D3B">
        <w:rPr>
          <w:rFonts w:ascii="Arial" w:hAnsi="Arial" w:cs="Arial"/>
        </w:rPr>
        <w:t>In Herbstein &amp; Van Winsen it is recorded that the requirement of “reasonable grounds” or “grounds for suspicion” has been held to mean that the Court must be satisfied to a degree of conviction approaching practical certainty.</w:t>
      </w:r>
    </w:p>
    <w:p w14:paraId="31D1B7EC" w14:textId="77777777" w:rsidR="00A276E3" w:rsidRPr="00232D3B" w:rsidRDefault="00A276E3" w:rsidP="0050406D">
      <w:pPr>
        <w:pStyle w:val="NoSpacing"/>
        <w:jc w:val="both"/>
        <w:rPr>
          <w:rFonts w:ascii="Arial" w:hAnsi="Arial" w:cs="Arial"/>
        </w:rPr>
      </w:pPr>
      <w:r w:rsidRPr="00232D3B">
        <w:rPr>
          <w:rFonts w:ascii="Arial" w:hAnsi="Arial" w:cs="Arial"/>
        </w:rPr>
        <w:lastRenderedPageBreak/>
        <w:t>In the circumstances, a Court must be satisfied that despite what is set out in the affidavit of the other party, reasonable grounds exist for the Court to order the production of the documentation, or the recordings sought.</w:t>
      </w:r>
      <w:r w:rsidR="00C84848" w:rsidRPr="00232D3B">
        <w:rPr>
          <w:rFonts w:ascii="Arial" w:hAnsi="Arial" w:cs="Arial"/>
        </w:rPr>
        <w:t>’</w:t>
      </w:r>
    </w:p>
    <w:p w14:paraId="5589980C" w14:textId="77777777" w:rsidR="00A276E3" w:rsidRPr="00232D3B" w:rsidRDefault="00A276E3" w:rsidP="00282F3F">
      <w:pPr>
        <w:shd w:val="clear" w:color="auto" w:fill="FFFFFF"/>
        <w:spacing w:after="0" w:line="360" w:lineRule="auto"/>
        <w:ind w:left="720" w:hanging="720"/>
        <w:jc w:val="both"/>
        <w:rPr>
          <w:rFonts w:ascii="Arial" w:eastAsia="Times New Roman" w:hAnsi="Arial" w:cs="Arial"/>
          <w:sz w:val="24"/>
          <w:szCs w:val="24"/>
          <w:lang w:eastAsia="en-ZA"/>
        </w:rPr>
      </w:pPr>
    </w:p>
    <w:p w14:paraId="1A9AF0DC" w14:textId="1019BB15" w:rsidR="00A6254D" w:rsidRPr="00232D3B" w:rsidRDefault="005B7A86" w:rsidP="0055599A">
      <w:pPr>
        <w:shd w:val="clear" w:color="auto" w:fill="FFFFFF"/>
        <w:spacing w:after="120" w:line="360" w:lineRule="auto"/>
        <w:jc w:val="both"/>
        <w:rPr>
          <w:rFonts w:ascii="Arial" w:hAnsi="Arial" w:cs="Arial"/>
          <w:sz w:val="24"/>
          <w:szCs w:val="24"/>
        </w:rPr>
      </w:pPr>
      <w:r w:rsidRPr="00232D3B">
        <w:rPr>
          <w:rFonts w:ascii="Arial" w:eastAsia="Times New Roman" w:hAnsi="Arial" w:cs="Arial"/>
          <w:sz w:val="24"/>
          <w:szCs w:val="24"/>
          <w:lang w:eastAsia="en-ZA"/>
        </w:rPr>
        <w:t>[</w:t>
      </w:r>
      <w:r w:rsidR="00095382" w:rsidRPr="00232D3B">
        <w:rPr>
          <w:rFonts w:ascii="Arial" w:eastAsia="Times New Roman" w:hAnsi="Arial" w:cs="Arial"/>
          <w:sz w:val="24"/>
          <w:szCs w:val="24"/>
          <w:lang w:eastAsia="en-ZA"/>
        </w:rPr>
        <w:t>37</w:t>
      </w:r>
      <w:r w:rsidRPr="00232D3B">
        <w:rPr>
          <w:rFonts w:ascii="Arial" w:eastAsia="Times New Roman" w:hAnsi="Arial" w:cs="Arial"/>
          <w:sz w:val="24"/>
          <w:szCs w:val="24"/>
          <w:lang w:eastAsia="en-ZA"/>
        </w:rPr>
        <w:t>]</w:t>
      </w:r>
      <w:r w:rsidRPr="00232D3B">
        <w:rPr>
          <w:rFonts w:ascii="Arial" w:eastAsia="Times New Roman" w:hAnsi="Arial" w:cs="Arial"/>
          <w:sz w:val="24"/>
          <w:szCs w:val="24"/>
          <w:lang w:eastAsia="en-ZA"/>
        </w:rPr>
        <w:tab/>
      </w:r>
      <w:r w:rsidR="00482E81" w:rsidRPr="00232D3B">
        <w:rPr>
          <w:rFonts w:ascii="Arial" w:hAnsi="Arial" w:cs="Arial"/>
          <w:sz w:val="24"/>
          <w:szCs w:val="24"/>
        </w:rPr>
        <w:t xml:space="preserve">Ponnan JA referred to a series of cases dealing with </w:t>
      </w:r>
      <w:r w:rsidR="00477298" w:rsidRPr="00AD647B">
        <w:rPr>
          <w:rFonts w:ascii="Arial" w:hAnsi="Arial" w:cs="Arial"/>
          <w:sz w:val="24"/>
          <w:szCs w:val="24"/>
        </w:rPr>
        <w:t xml:space="preserve">the incidence of </w:t>
      </w:r>
      <w:r w:rsidR="00477298" w:rsidRPr="00232D3B">
        <w:rPr>
          <w:rFonts w:ascii="Arial" w:hAnsi="Arial" w:cs="Arial"/>
          <w:sz w:val="24"/>
          <w:szCs w:val="24"/>
        </w:rPr>
        <w:t xml:space="preserve">the </w:t>
      </w:r>
      <w:r w:rsidR="00482E81" w:rsidRPr="00232D3B">
        <w:rPr>
          <w:rFonts w:ascii="Arial" w:hAnsi="Arial" w:cs="Arial"/>
          <w:iCs/>
          <w:sz w:val="24"/>
          <w:szCs w:val="24"/>
        </w:rPr>
        <w:t>onus</w:t>
      </w:r>
      <w:r w:rsidR="00482E81" w:rsidRPr="00232D3B">
        <w:rPr>
          <w:rFonts w:ascii="Arial" w:hAnsi="Arial" w:cs="Arial"/>
          <w:i/>
          <w:sz w:val="24"/>
          <w:szCs w:val="24"/>
        </w:rPr>
        <w:t xml:space="preserve"> </w:t>
      </w:r>
      <w:r w:rsidR="00482E81" w:rsidRPr="00232D3B">
        <w:rPr>
          <w:rFonts w:ascii="Arial" w:hAnsi="Arial" w:cs="Arial"/>
          <w:sz w:val="24"/>
          <w:szCs w:val="24"/>
        </w:rPr>
        <w:t xml:space="preserve">in </w:t>
      </w:r>
      <w:r w:rsidR="00A276E3" w:rsidRPr="00232D3B">
        <w:rPr>
          <w:rFonts w:ascii="Arial" w:hAnsi="Arial" w:cs="Arial"/>
          <w:i/>
          <w:sz w:val="24"/>
          <w:szCs w:val="24"/>
        </w:rPr>
        <w:t>Centre for Child law v Hoerskool Fochville and Another</w:t>
      </w:r>
      <w:r w:rsidR="00A276E3" w:rsidRPr="00232D3B">
        <w:rPr>
          <w:rStyle w:val="FootnoteReference"/>
          <w:rFonts w:ascii="Arial" w:hAnsi="Arial" w:cs="Arial"/>
          <w:sz w:val="24"/>
          <w:szCs w:val="24"/>
        </w:rPr>
        <w:footnoteReference w:id="25"/>
      </w:r>
      <w:r w:rsidR="00650028">
        <w:rPr>
          <w:rFonts w:ascii="Arial" w:hAnsi="Arial" w:cs="Arial"/>
          <w:i/>
          <w:sz w:val="24"/>
          <w:szCs w:val="24"/>
        </w:rPr>
        <w:t xml:space="preserve"> </w:t>
      </w:r>
      <w:r w:rsidR="00650028" w:rsidRPr="00650028">
        <w:rPr>
          <w:rFonts w:ascii="Arial" w:hAnsi="Arial" w:cs="Arial"/>
          <w:sz w:val="24"/>
          <w:szCs w:val="24"/>
        </w:rPr>
        <w:t>in the following terms:</w:t>
      </w:r>
    </w:p>
    <w:p w14:paraId="1902A8B2" w14:textId="77777777" w:rsidR="00A276E3" w:rsidRPr="00232D3B" w:rsidRDefault="00A276E3" w:rsidP="004C0784">
      <w:pPr>
        <w:pStyle w:val="NoSpacing"/>
        <w:jc w:val="both"/>
        <w:rPr>
          <w:rFonts w:ascii="Arial" w:hAnsi="Arial" w:cs="Arial"/>
        </w:rPr>
      </w:pPr>
      <w:r w:rsidRPr="00232D3B">
        <w:rPr>
          <w:rFonts w:ascii="Arial" w:hAnsi="Arial" w:cs="Arial"/>
        </w:rPr>
        <w:t>‘University City Studios held (at 748A) that</w:t>
      </w:r>
      <w:r w:rsidR="00A229F7" w:rsidRPr="00232D3B">
        <w:rPr>
          <w:rFonts w:ascii="Arial" w:hAnsi="Arial" w:cs="Arial"/>
        </w:rPr>
        <w:t>:</w:t>
      </w:r>
    </w:p>
    <w:p w14:paraId="160E6D17" w14:textId="77777777" w:rsidR="004C0784" w:rsidRPr="00232D3B" w:rsidRDefault="004C0784" w:rsidP="004C0784">
      <w:pPr>
        <w:pStyle w:val="NoSpacing"/>
        <w:ind w:left="720"/>
        <w:jc w:val="both"/>
        <w:rPr>
          <w:rFonts w:ascii="Arial" w:hAnsi="Arial" w:cs="Arial"/>
        </w:rPr>
      </w:pPr>
    </w:p>
    <w:p w14:paraId="427BB637" w14:textId="77777777" w:rsidR="00A6254D" w:rsidRPr="00232D3B" w:rsidRDefault="0013076D" w:rsidP="004C0784">
      <w:pPr>
        <w:pStyle w:val="NoSpacing"/>
        <w:ind w:left="720"/>
        <w:jc w:val="both"/>
        <w:rPr>
          <w:rFonts w:ascii="Arial" w:hAnsi="Arial" w:cs="Arial"/>
          <w:sz w:val="20"/>
          <w:szCs w:val="20"/>
        </w:rPr>
      </w:pPr>
      <w:r w:rsidRPr="00232D3B">
        <w:rPr>
          <w:rFonts w:ascii="Arial" w:hAnsi="Arial" w:cs="Arial"/>
          <w:sz w:val="20"/>
          <w:szCs w:val="20"/>
        </w:rPr>
        <w:t>“</w:t>
      </w:r>
      <w:r w:rsidR="00A276E3" w:rsidRPr="00232D3B">
        <w:rPr>
          <w:rFonts w:ascii="Arial" w:hAnsi="Arial" w:cs="Arial"/>
          <w:sz w:val="20"/>
          <w:szCs w:val="20"/>
        </w:rPr>
        <w:t xml:space="preserve">[this] being an application, I would say that the onus is to be discharged on the usual basis, </w:t>
      </w:r>
      <w:r w:rsidR="00AA45AD" w:rsidRPr="00232D3B">
        <w:rPr>
          <w:rFonts w:ascii="Arial" w:hAnsi="Arial" w:cs="Arial"/>
          <w:sz w:val="20"/>
          <w:szCs w:val="20"/>
        </w:rPr>
        <w:t>i.e.,</w:t>
      </w:r>
      <w:r w:rsidR="00A276E3" w:rsidRPr="00232D3B">
        <w:rPr>
          <w:rFonts w:ascii="Arial" w:hAnsi="Arial" w:cs="Arial"/>
          <w:sz w:val="20"/>
          <w:szCs w:val="20"/>
        </w:rPr>
        <w:t xml:space="preserve"> that the applicant bears the overall onus of satisfying the Court that the respondent is obliged to produce the document</w:t>
      </w:r>
      <w:r w:rsidR="00FB69AC" w:rsidRPr="00232D3B">
        <w:rPr>
          <w:rFonts w:ascii="Arial" w:hAnsi="Arial" w:cs="Arial"/>
          <w:sz w:val="20"/>
          <w:szCs w:val="20"/>
        </w:rPr>
        <w:t xml:space="preserve"> </w:t>
      </w:r>
      <w:r w:rsidR="00477298" w:rsidRPr="00232D3B">
        <w:rPr>
          <w:rFonts w:ascii="Arial" w:hAnsi="Arial" w:cs="Arial"/>
          <w:sz w:val="20"/>
          <w:szCs w:val="20"/>
        </w:rPr>
        <w:t>. . .</w:t>
      </w:r>
      <w:r w:rsidR="00A276E3" w:rsidRPr="00232D3B">
        <w:rPr>
          <w:rFonts w:ascii="Arial" w:hAnsi="Arial" w:cs="Arial"/>
          <w:sz w:val="20"/>
          <w:szCs w:val="20"/>
        </w:rPr>
        <w:t xml:space="preserve"> Where the respondent files an opposing affidavit </w:t>
      </w:r>
      <w:r w:rsidR="00477298" w:rsidRPr="00232D3B">
        <w:rPr>
          <w:rFonts w:ascii="Arial" w:hAnsi="Arial" w:cs="Arial"/>
          <w:sz w:val="20"/>
          <w:szCs w:val="20"/>
        </w:rPr>
        <w:t>. . .</w:t>
      </w:r>
      <w:r w:rsidR="00A276E3" w:rsidRPr="00232D3B">
        <w:rPr>
          <w:rFonts w:ascii="Arial" w:hAnsi="Arial" w:cs="Arial"/>
          <w:sz w:val="20"/>
          <w:szCs w:val="20"/>
        </w:rPr>
        <w:t xml:space="preserve"> and either denies relevance or avers that he is on ground of privilege not obliged to produce a document </w:t>
      </w:r>
      <w:r w:rsidR="00477298" w:rsidRPr="00232D3B">
        <w:rPr>
          <w:rFonts w:ascii="Arial" w:hAnsi="Arial" w:cs="Arial"/>
          <w:sz w:val="20"/>
          <w:szCs w:val="20"/>
        </w:rPr>
        <w:t>. . .</w:t>
      </w:r>
      <w:r w:rsidR="00A276E3" w:rsidRPr="00232D3B">
        <w:rPr>
          <w:rFonts w:ascii="Arial" w:hAnsi="Arial" w:cs="Arial"/>
          <w:sz w:val="20"/>
          <w:szCs w:val="20"/>
        </w:rPr>
        <w:t xml:space="preserve"> the applicant would, </w:t>
      </w:r>
      <w:r w:rsidR="00AA45AD" w:rsidRPr="00232D3B">
        <w:rPr>
          <w:rFonts w:ascii="Arial" w:hAnsi="Arial" w:cs="Arial"/>
          <w:sz w:val="20"/>
          <w:szCs w:val="20"/>
        </w:rPr>
        <w:t>to</w:t>
      </w:r>
      <w:r w:rsidR="00A276E3" w:rsidRPr="00232D3B">
        <w:rPr>
          <w:rFonts w:ascii="Arial" w:hAnsi="Arial" w:cs="Arial"/>
          <w:sz w:val="20"/>
          <w:szCs w:val="20"/>
        </w:rPr>
        <w:t xml:space="preserve"> succeed, have to satisfy the Court on</w:t>
      </w:r>
      <w:r w:rsidR="00C56E62" w:rsidRPr="00232D3B">
        <w:rPr>
          <w:rFonts w:ascii="Arial" w:hAnsi="Arial" w:cs="Arial"/>
          <w:sz w:val="20"/>
          <w:szCs w:val="20"/>
        </w:rPr>
        <w:t xml:space="preserve"> </w:t>
      </w:r>
      <w:r w:rsidR="00A276E3" w:rsidRPr="00232D3B">
        <w:rPr>
          <w:rFonts w:ascii="Arial" w:hAnsi="Arial" w:cs="Arial"/>
          <w:sz w:val="20"/>
          <w:szCs w:val="20"/>
        </w:rPr>
        <w:t>a balance of probabilities that the document is indeed relevant or not privileged.</w:t>
      </w:r>
      <w:r w:rsidR="00631813" w:rsidRPr="00232D3B">
        <w:rPr>
          <w:rFonts w:ascii="Arial" w:hAnsi="Arial" w:cs="Arial"/>
          <w:sz w:val="20"/>
          <w:szCs w:val="20"/>
        </w:rPr>
        <w:t>”</w:t>
      </w:r>
    </w:p>
    <w:p w14:paraId="1F0A31ED" w14:textId="77777777" w:rsidR="004C0784" w:rsidRPr="00232D3B" w:rsidRDefault="004C0784" w:rsidP="004C0784">
      <w:pPr>
        <w:pStyle w:val="NoSpacing"/>
        <w:rPr>
          <w:rFonts w:ascii="Arial" w:hAnsi="Arial" w:cs="Arial"/>
        </w:rPr>
      </w:pPr>
    </w:p>
    <w:p w14:paraId="652A11AF" w14:textId="77777777" w:rsidR="00A276E3" w:rsidRPr="00232D3B" w:rsidRDefault="00A276E3" w:rsidP="004C0784">
      <w:pPr>
        <w:pStyle w:val="NoSpacing"/>
        <w:rPr>
          <w:rFonts w:ascii="Arial" w:hAnsi="Arial" w:cs="Arial"/>
        </w:rPr>
      </w:pPr>
      <w:r w:rsidRPr="00232D3B">
        <w:rPr>
          <w:rFonts w:ascii="Arial" w:hAnsi="Arial" w:cs="Arial"/>
        </w:rPr>
        <w:t xml:space="preserve">In </w:t>
      </w:r>
      <w:r w:rsidRPr="00232D3B">
        <w:rPr>
          <w:rFonts w:ascii="Arial" w:hAnsi="Arial" w:cs="Arial"/>
          <w:i/>
        </w:rPr>
        <w:t>Gorfinkel v Gross, Hendler &amp; Frank</w:t>
      </w:r>
      <w:r w:rsidR="00B86A1F" w:rsidRPr="00232D3B">
        <w:rPr>
          <w:rFonts w:ascii="Arial" w:hAnsi="Arial" w:cs="Arial"/>
          <w:i/>
        </w:rPr>
        <w:t xml:space="preserve"> </w:t>
      </w:r>
      <w:r w:rsidR="00B86A1F" w:rsidRPr="00232D3B">
        <w:rPr>
          <w:rFonts w:ascii="Arial" w:hAnsi="Arial" w:cs="Arial"/>
        </w:rPr>
        <w:t>1987 (3) SA 766 (C</w:t>
      </w:r>
      <w:r w:rsidR="00B86A1F" w:rsidRPr="00232D3B">
        <w:rPr>
          <w:rFonts w:ascii="Arial" w:hAnsi="Arial" w:cs="Arial"/>
          <w:i/>
        </w:rPr>
        <w:t>)</w:t>
      </w:r>
      <w:r w:rsidR="00332159" w:rsidRPr="00232D3B">
        <w:rPr>
          <w:rFonts w:ascii="Arial" w:hAnsi="Arial" w:cs="Arial"/>
          <w:i/>
          <w:iCs/>
        </w:rPr>
        <w:t>,</w:t>
      </w:r>
      <w:r w:rsidRPr="00232D3B">
        <w:rPr>
          <w:rFonts w:ascii="Arial" w:hAnsi="Arial" w:cs="Arial"/>
        </w:rPr>
        <w:t xml:space="preserve"> Friedman J disagreed with this</w:t>
      </w:r>
      <w:r w:rsidRPr="00232D3B">
        <w:rPr>
          <w:rFonts w:ascii="Arial" w:hAnsi="Arial" w:cs="Arial"/>
          <w:i/>
        </w:rPr>
        <w:t xml:space="preserve"> dictum</w:t>
      </w:r>
      <w:r w:rsidRPr="00232D3B">
        <w:rPr>
          <w:rFonts w:ascii="Arial" w:hAnsi="Arial" w:cs="Arial"/>
        </w:rPr>
        <w:t>. He took the view that the rule should be interpreted as follows:</w:t>
      </w:r>
    </w:p>
    <w:p w14:paraId="19F55672" w14:textId="77777777" w:rsidR="004C0784" w:rsidRPr="00232D3B" w:rsidRDefault="004C0784" w:rsidP="004C0784">
      <w:pPr>
        <w:pStyle w:val="NoSpacing"/>
        <w:rPr>
          <w:rFonts w:ascii="Arial" w:hAnsi="Arial" w:cs="Arial"/>
        </w:rPr>
      </w:pPr>
    </w:p>
    <w:p w14:paraId="74020E28" w14:textId="77777777" w:rsidR="00A841AA" w:rsidRPr="00232D3B" w:rsidRDefault="00783230" w:rsidP="004C0784">
      <w:pPr>
        <w:pStyle w:val="NoSpacing"/>
        <w:ind w:left="720"/>
        <w:jc w:val="both"/>
        <w:rPr>
          <w:rFonts w:ascii="Arial" w:hAnsi="Arial" w:cs="Arial"/>
          <w:sz w:val="20"/>
          <w:szCs w:val="20"/>
        </w:rPr>
      </w:pPr>
      <w:r w:rsidRPr="00232D3B">
        <w:rPr>
          <w:rFonts w:ascii="Arial" w:hAnsi="Arial" w:cs="Arial"/>
          <w:iCs/>
          <w:sz w:val="20"/>
          <w:szCs w:val="20"/>
        </w:rPr>
        <w:t>“</w:t>
      </w:r>
      <w:r w:rsidR="001815AE" w:rsidRPr="00232D3B">
        <w:rPr>
          <w:rFonts w:ascii="Arial" w:hAnsi="Arial" w:cs="Arial"/>
          <w:i/>
          <w:sz w:val="20"/>
          <w:szCs w:val="20"/>
        </w:rPr>
        <w:t>[</w:t>
      </w:r>
      <w:r w:rsidR="00A276E3" w:rsidRPr="00232D3B">
        <w:rPr>
          <w:rFonts w:ascii="Arial" w:hAnsi="Arial" w:cs="Arial"/>
          <w:i/>
          <w:sz w:val="20"/>
          <w:szCs w:val="20"/>
        </w:rPr>
        <w:t>P</w:t>
      </w:r>
      <w:r w:rsidR="001815AE" w:rsidRPr="00232D3B">
        <w:rPr>
          <w:rFonts w:ascii="Arial" w:hAnsi="Arial" w:cs="Arial"/>
          <w:i/>
          <w:sz w:val="20"/>
          <w:szCs w:val="20"/>
        </w:rPr>
        <w:t>]</w:t>
      </w:r>
      <w:r w:rsidR="00A276E3" w:rsidRPr="00232D3B">
        <w:rPr>
          <w:rFonts w:ascii="Arial" w:hAnsi="Arial" w:cs="Arial"/>
          <w:i/>
          <w:sz w:val="20"/>
          <w:szCs w:val="20"/>
        </w:rPr>
        <w:t>rima facie</w:t>
      </w:r>
      <w:r w:rsidR="00A276E3" w:rsidRPr="00232D3B">
        <w:rPr>
          <w:rFonts w:ascii="Arial" w:hAnsi="Arial" w:cs="Arial"/>
          <w:sz w:val="20"/>
          <w:szCs w:val="20"/>
        </w:rPr>
        <w:t xml:space="preserve"> there is an obligation on a party who refers to a document </w:t>
      </w:r>
      <w:r w:rsidR="00477298" w:rsidRPr="00232D3B">
        <w:rPr>
          <w:rFonts w:ascii="Arial" w:hAnsi="Arial" w:cs="Arial"/>
          <w:sz w:val="20"/>
          <w:szCs w:val="20"/>
        </w:rPr>
        <w:t>. . .</w:t>
      </w:r>
      <w:r w:rsidR="00A276E3" w:rsidRPr="00232D3B">
        <w:rPr>
          <w:rFonts w:ascii="Arial" w:hAnsi="Arial" w:cs="Arial"/>
          <w:sz w:val="20"/>
          <w:szCs w:val="20"/>
        </w:rPr>
        <w:t xml:space="preserve"> to produce it. That obligation is, however, subject to certain limitations, for example, if the document is not in </w:t>
      </w:r>
      <w:r w:rsidR="00B86A1F" w:rsidRPr="00232D3B">
        <w:rPr>
          <w:rFonts w:ascii="Arial" w:hAnsi="Arial" w:cs="Arial"/>
          <w:sz w:val="20"/>
          <w:szCs w:val="20"/>
        </w:rPr>
        <w:t xml:space="preserve">his </w:t>
      </w:r>
      <w:r w:rsidR="00A276E3" w:rsidRPr="00232D3B">
        <w:rPr>
          <w:rFonts w:ascii="Arial" w:hAnsi="Arial" w:cs="Arial"/>
          <w:sz w:val="20"/>
          <w:szCs w:val="20"/>
        </w:rPr>
        <w:t xml:space="preserve">possession and he cannot produce it, the Court will not compel him to do so </w:t>
      </w:r>
      <w:r w:rsidR="00477298" w:rsidRPr="00232D3B">
        <w:rPr>
          <w:rFonts w:ascii="Arial" w:hAnsi="Arial" w:cs="Arial"/>
          <w:sz w:val="20"/>
          <w:szCs w:val="20"/>
        </w:rPr>
        <w:t>. . .</w:t>
      </w:r>
      <w:r w:rsidR="00A276E3" w:rsidRPr="00232D3B">
        <w:rPr>
          <w:rFonts w:ascii="Arial" w:hAnsi="Arial" w:cs="Arial"/>
          <w:sz w:val="20"/>
          <w:szCs w:val="20"/>
        </w:rPr>
        <w:t xml:space="preserve"> Similarly, a privileged document will not be subject to production. A document which is irrelevant will also not be subject to production. As it would not necessarily be within the knowledge of the person serving the notice whether the document falls within the limitations I have mentioned, the onus would be on the recipient of the notice to set up facts relieving him of the obligation to produce the document.</w:t>
      </w:r>
      <w:r w:rsidR="00AE3325" w:rsidRPr="00232D3B">
        <w:rPr>
          <w:rFonts w:ascii="Arial" w:hAnsi="Arial" w:cs="Arial"/>
          <w:sz w:val="20"/>
          <w:szCs w:val="20"/>
        </w:rPr>
        <w:t>”</w:t>
      </w:r>
    </w:p>
    <w:p w14:paraId="0DE5FDF5" w14:textId="77777777" w:rsidR="004C0784" w:rsidRPr="00232D3B" w:rsidRDefault="004C0784" w:rsidP="004C0784">
      <w:pPr>
        <w:pStyle w:val="NoSpacing"/>
        <w:ind w:left="720"/>
        <w:jc w:val="both"/>
        <w:rPr>
          <w:rFonts w:ascii="Arial" w:hAnsi="Arial" w:cs="Arial"/>
          <w:sz w:val="20"/>
          <w:szCs w:val="20"/>
        </w:rPr>
      </w:pPr>
    </w:p>
    <w:p w14:paraId="4B4C695C" w14:textId="38FE0CC3" w:rsidR="00783230" w:rsidRPr="00232D3B" w:rsidRDefault="00783230" w:rsidP="004C0784">
      <w:pPr>
        <w:pStyle w:val="NoSpacing"/>
        <w:jc w:val="both"/>
        <w:rPr>
          <w:rFonts w:ascii="Arial" w:hAnsi="Arial" w:cs="Arial"/>
          <w:sz w:val="24"/>
          <w:szCs w:val="24"/>
        </w:rPr>
      </w:pPr>
      <w:r w:rsidRPr="00232D3B">
        <w:rPr>
          <w:rFonts w:ascii="Arial" w:hAnsi="Arial" w:cs="Arial"/>
          <w:shd w:val="clear" w:color="auto" w:fill="FFFFFF"/>
        </w:rPr>
        <w:t>Friedman J’s approach found favour with Thring J in </w:t>
      </w:r>
      <w:r w:rsidRPr="00232D3B">
        <w:rPr>
          <w:rFonts w:ascii="Arial" w:hAnsi="Arial" w:cs="Arial"/>
          <w:i/>
          <w:iCs/>
          <w:shd w:val="clear" w:color="auto" w:fill="FFFFFF"/>
        </w:rPr>
        <w:t>Unilever plc v Polagric (Pty) Ltd</w:t>
      </w:r>
      <w:r w:rsidR="00503322">
        <w:rPr>
          <w:rFonts w:ascii="Arial" w:hAnsi="Arial" w:cs="Arial"/>
          <w:i/>
          <w:iCs/>
          <w:shd w:val="clear" w:color="auto" w:fill="FFFFFF"/>
        </w:rPr>
        <w:t xml:space="preserve"> </w:t>
      </w:r>
      <w:hyperlink r:id="rId11" w:tooltip="View LawCiteRecord" w:history="1">
        <w:r w:rsidRPr="00232D3B">
          <w:rPr>
            <w:rFonts w:ascii="Arial" w:hAnsi="Arial" w:cs="Arial"/>
            <w:bCs/>
            <w:shd w:val="clear" w:color="auto" w:fill="FFFFFF"/>
          </w:rPr>
          <w:t>2001 (2) SA 329</w:t>
        </w:r>
      </w:hyperlink>
      <w:r w:rsidR="004F04B1" w:rsidRPr="00232D3B">
        <w:rPr>
          <w:rFonts w:ascii="Arial" w:hAnsi="Arial" w:cs="Arial"/>
          <w:shd w:val="clear" w:color="auto" w:fill="FFFFFF"/>
        </w:rPr>
        <w:t xml:space="preserve"> </w:t>
      </w:r>
      <w:r w:rsidRPr="00232D3B">
        <w:rPr>
          <w:rFonts w:ascii="Arial" w:hAnsi="Arial" w:cs="Arial"/>
          <w:shd w:val="clear" w:color="auto" w:fill="FFFFFF"/>
        </w:rPr>
        <w:t>(C).</w:t>
      </w:r>
      <w:r w:rsidR="00D24B2B" w:rsidRPr="00232D3B">
        <w:rPr>
          <w:rFonts w:ascii="Arial" w:hAnsi="Arial" w:cs="Arial"/>
          <w:shd w:val="clear" w:color="auto" w:fill="FFFFFF"/>
        </w:rPr>
        <w:t xml:space="preserve"> [</w:t>
      </w:r>
      <w:r w:rsidR="00A313D4" w:rsidRPr="00232D3B">
        <w:rPr>
          <w:rFonts w:ascii="Arial" w:hAnsi="Arial" w:cs="Arial"/>
          <w:shd w:val="clear" w:color="auto" w:fill="FFFFFF"/>
        </w:rPr>
        <w:t>Ponnan JA then held as follows:</w:t>
      </w:r>
      <w:r w:rsidR="00871070" w:rsidRPr="00232D3B">
        <w:rPr>
          <w:rFonts w:ascii="Arial" w:hAnsi="Arial" w:cs="Arial"/>
          <w:shd w:val="clear" w:color="auto" w:fill="FFFFFF"/>
        </w:rPr>
        <w:t xml:space="preserve">] </w:t>
      </w:r>
      <w:r w:rsidRPr="00232D3B">
        <w:rPr>
          <w:rFonts w:ascii="Arial" w:hAnsi="Arial" w:cs="Arial"/>
          <w:shd w:val="clear" w:color="auto" w:fill="FFFFFF"/>
        </w:rPr>
        <w:t xml:space="preserve">For my part, I entertain serious reservations as to whether an application such as this should be approached </w:t>
      </w:r>
      <w:r w:rsidR="00A91C6A" w:rsidRPr="00232D3B">
        <w:rPr>
          <w:rFonts w:ascii="Arial" w:hAnsi="Arial" w:cs="Arial"/>
          <w:shd w:val="clear" w:color="auto" w:fill="FFFFFF"/>
        </w:rPr>
        <w:t>based on</w:t>
      </w:r>
      <w:r w:rsidRPr="00232D3B">
        <w:rPr>
          <w:rFonts w:ascii="Arial" w:hAnsi="Arial" w:cs="Arial"/>
          <w:shd w:val="clear" w:color="auto" w:fill="FFFFFF"/>
        </w:rPr>
        <w:t xml:space="preserve"> an</w:t>
      </w:r>
      <w:r w:rsidR="004F04B1" w:rsidRPr="00232D3B">
        <w:rPr>
          <w:rFonts w:ascii="Arial" w:hAnsi="Arial" w:cs="Arial"/>
          <w:shd w:val="clear" w:color="auto" w:fill="FFFFFF"/>
        </w:rPr>
        <w:t xml:space="preserve"> </w:t>
      </w:r>
      <w:r w:rsidRPr="00232D3B">
        <w:rPr>
          <w:rFonts w:ascii="Arial" w:hAnsi="Arial" w:cs="Arial"/>
          <w:i/>
          <w:iCs/>
          <w:shd w:val="clear" w:color="auto" w:fill="FFFFFF"/>
        </w:rPr>
        <w:t>onus</w:t>
      </w:r>
      <w:r w:rsidRPr="00232D3B">
        <w:rPr>
          <w:rFonts w:ascii="Arial" w:hAnsi="Arial" w:cs="Arial"/>
          <w:shd w:val="clear" w:color="auto" w:fill="FFFFFF"/>
        </w:rPr>
        <w:t xml:space="preserve">. Approaching the matter </w:t>
      </w:r>
      <w:r w:rsidR="00A91C6A" w:rsidRPr="00232D3B">
        <w:rPr>
          <w:rFonts w:ascii="Arial" w:hAnsi="Arial" w:cs="Arial"/>
          <w:shd w:val="clear" w:color="auto" w:fill="FFFFFF"/>
        </w:rPr>
        <w:t>based on</w:t>
      </w:r>
      <w:r w:rsidRPr="00232D3B">
        <w:rPr>
          <w:rFonts w:ascii="Arial" w:hAnsi="Arial" w:cs="Arial"/>
          <w:shd w:val="clear" w:color="auto" w:fill="FFFFFF"/>
        </w:rPr>
        <w:t xml:space="preserve"> an</w:t>
      </w:r>
      <w:r w:rsidR="004F04B1" w:rsidRPr="00232D3B">
        <w:rPr>
          <w:rFonts w:ascii="Arial" w:hAnsi="Arial" w:cs="Arial"/>
          <w:shd w:val="clear" w:color="auto" w:fill="FFFFFF"/>
        </w:rPr>
        <w:t xml:space="preserve"> </w:t>
      </w:r>
      <w:r w:rsidRPr="00232D3B">
        <w:rPr>
          <w:rFonts w:ascii="Arial" w:hAnsi="Arial" w:cs="Arial"/>
          <w:i/>
          <w:iCs/>
          <w:shd w:val="clear" w:color="auto" w:fill="FFFFFF"/>
        </w:rPr>
        <w:t>onus</w:t>
      </w:r>
      <w:r w:rsidR="004F04B1" w:rsidRPr="00232D3B">
        <w:rPr>
          <w:rFonts w:ascii="Arial" w:hAnsi="Arial" w:cs="Arial"/>
          <w:shd w:val="clear" w:color="auto" w:fill="FFFFFF"/>
        </w:rPr>
        <w:t xml:space="preserve"> </w:t>
      </w:r>
      <w:r w:rsidRPr="00232D3B">
        <w:rPr>
          <w:rFonts w:ascii="Arial" w:hAnsi="Arial" w:cs="Arial"/>
          <w:shd w:val="clear" w:color="auto" w:fill="FFFFFF"/>
        </w:rPr>
        <w:t>may well be to misconceive the nature of the enquiry. I thus deem it unnecessary to attempt to resolve the disharmony on the point. That notwithstanding, it is important to point out that the term</w:t>
      </w:r>
      <w:r w:rsidR="005C2A61" w:rsidRPr="00232D3B">
        <w:rPr>
          <w:rFonts w:ascii="Arial" w:hAnsi="Arial" w:cs="Arial"/>
          <w:shd w:val="clear" w:color="auto" w:fill="FFFFFF"/>
        </w:rPr>
        <w:t xml:space="preserve"> </w:t>
      </w:r>
      <w:r w:rsidRPr="00232D3B">
        <w:rPr>
          <w:rFonts w:ascii="Arial" w:hAnsi="Arial" w:cs="Arial"/>
          <w:bCs/>
          <w:i/>
          <w:iCs/>
          <w:shd w:val="clear" w:color="auto" w:fill="FFFFFF"/>
        </w:rPr>
        <w:t>onus</w:t>
      </w:r>
      <w:r w:rsidR="005C2A61" w:rsidRPr="00232D3B">
        <w:rPr>
          <w:rFonts w:ascii="Arial" w:hAnsi="Arial" w:cs="Arial"/>
          <w:bCs/>
          <w:i/>
          <w:iCs/>
          <w:shd w:val="clear" w:color="auto" w:fill="FFFFFF"/>
        </w:rPr>
        <w:t xml:space="preserve"> </w:t>
      </w:r>
      <w:r w:rsidRPr="00232D3B">
        <w:rPr>
          <w:rFonts w:ascii="Arial" w:hAnsi="Arial" w:cs="Arial"/>
          <w:bCs/>
          <w:i/>
          <w:iCs/>
          <w:shd w:val="clear" w:color="auto" w:fill="FFFFFF"/>
        </w:rPr>
        <w:t>is not to be confused with the burden to adduce evidence (for example that a document is privileged o</w:t>
      </w:r>
      <w:bookmarkStart w:id="1" w:name="_ftnref7"/>
      <w:r w:rsidR="00091D77" w:rsidRPr="00232D3B">
        <w:rPr>
          <w:rFonts w:ascii="Arial" w:hAnsi="Arial" w:cs="Arial"/>
          <w:bCs/>
          <w:i/>
          <w:iCs/>
          <w:shd w:val="clear" w:color="auto" w:fill="FFFFFF"/>
        </w:rPr>
        <w:t>r irrelevant or does not exist)</w:t>
      </w:r>
      <w:r w:rsidR="00091D77" w:rsidRPr="00232D3B">
        <w:rPr>
          <w:rFonts w:ascii="Arial" w:hAnsi="Arial" w:cs="Arial"/>
          <w:shd w:val="clear" w:color="auto" w:fill="FFFFFF"/>
        </w:rPr>
        <w:t>.</w:t>
      </w:r>
      <w:bookmarkEnd w:id="1"/>
      <w:r w:rsidR="00091D77" w:rsidRPr="00232D3B">
        <w:rPr>
          <w:rFonts w:ascii="Arial" w:hAnsi="Arial" w:cs="Arial"/>
          <w:bCs/>
          <w:shd w:val="clear" w:color="auto" w:fill="FFFFFF"/>
        </w:rPr>
        <w:t xml:space="preserve"> In</w:t>
      </w:r>
      <w:r w:rsidR="00091D77" w:rsidRPr="00232D3B">
        <w:rPr>
          <w:rFonts w:ascii="Arial" w:hAnsi="Arial" w:cs="Arial"/>
          <w:b/>
          <w:bCs/>
          <w:shd w:val="clear" w:color="auto" w:fill="FFFFFF"/>
        </w:rPr>
        <w:t xml:space="preserve"> </w:t>
      </w:r>
      <w:r w:rsidRPr="00232D3B">
        <w:rPr>
          <w:rFonts w:ascii="Arial" w:hAnsi="Arial" w:cs="Arial"/>
          <w:shd w:val="clear" w:color="auto" w:fill="FFFFFF"/>
        </w:rPr>
        <w:t xml:space="preserve">my view, the court has a general discretion in terms of which it is required to try to strike a balance between the conflicting interests of the parties to the case. Implicit in that is that it should not fetter its own discretion in any manner and particularly not by adopting a predisposition either in favour of or against granting production. And, in the exercise of that discretion, it is obvious, I think, that </w:t>
      </w:r>
      <w:r w:rsidRPr="00232D3B">
        <w:rPr>
          <w:rFonts w:ascii="Arial" w:hAnsi="Arial" w:cs="Arial"/>
          <w:bCs/>
          <w:i/>
          <w:iCs/>
          <w:shd w:val="clear" w:color="auto" w:fill="FFFFFF"/>
        </w:rPr>
        <w:t>a court will not make an order against a party to produce a document that cannot be produced or is privileged or irrelevant</w:t>
      </w:r>
      <w:r w:rsidRPr="00232D3B">
        <w:rPr>
          <w:rFonts w:ascii="Arial" w:hAnsi="Arial" w:cs="Arial"/>
          <w:shd w:val="clear" w:color="auto" w:fill="FFFFFF"/>
        </w:rPr>
        <w:t>.</w:t>
      </w:r>
      <w:r w:rsidR="000140FC" w:rsidRPr="00232D3B">
        <w:rPr>
          <w:rFonts w:ascii="Arial" w:hAnsi="Arial" w:cs="Arial"/>
          <w:shd w:val="clear" w:color="auto" w:fill="FFFFFF"/>
        </w:rPr>
        <w:t>’</w:t>
      </w:r>
      <w:r w:rsidR="00BF062D" w:rsidRPr="00232D3B">
        <w:rPr>
          <w:rFonts w:ascii="Arial" w:hAnsi="Arial" w:cs="Arial"/>
        </w:rPr>
        <w:t xml:space="preserve"> </w:t>
      </w:r>
      <w:r w:rsidR="00E07672" w:rsidRPr="00232D3B">
        <w:rPr>
          <w:rFonts w:ascii="Arial" w:hAnsi="Arial" w:cs="Arial"/>
        </w:rPr>
        <w:t>(</w:t>
      </w:r>
      <w:r w:rsidR="000140FC" w:rsidRPr="00232D3B">
        <w:rPr>
          <w:rFonts w:ascii="Arial" w:hAnsi="Arial" w:cs="Arial"/>
        </w:rPr>
        <w:t>O</w:t>
      </w:r>
      <w:r w:rsidR="00E07672" w:rsidRPr="00232D3B">
        <w:rPr>
          <w:rFonts w:ascii="Arial" w:hAnsi="Arial" w:cs="Arial"/>
        </w:rPr>
        <w:t>wn emphasis</w:t>
      </w:r>
      <w:r w:rsidR="000140FC" w:rsidRPr="00232D3B">
        <w:rPr>
          <w:rFonts w:ascii="Arial" w:hAnsi="Arial" w:cs="Arial"/>
        </w:rPr>
        <w:t>.</w:t>
      </w:r>
      <w:r w:rsidR="00E07672" w:rsidRPr="00232D3B">
        <w:rPr>
          <w:rFonts w:ascii="Arial" w:hAnsi="Arial" w:cs="Arial"/>
        </w:rPr>
        <w:t>)</w:t>
      </w:r>
    </w:p>
    <w:p w14:paraId="4D72C197" w14:textId="77777777" w:rsidR="005650DB" w:rsidRPr="00232D3B" w:rsidRDefault="005650DB" w:rsidP="0055599A">
      <w:pPr>
        <w:shd w:val="clear" w:color="auto" w:fill="FFFFFF"/>
        <w:spacing w:after="0" w:line="360" w:lineRule="auto"/>
        <w:ind w:left="1440" w:right="204"/>
        <w:jc w:val="both"/>
        <w:rPr>
          <w:rFonts w:ascii="Arial" w:eastAsia="Times New Roman" w:hAnsi="Arial" w:cs="Arial"/>
          <w:sz w:val="24"/>
          <w:szCs w:val="24"/>
          <w:lang w:eastAsia="en-ZA"/>
        </w:rPr>
      </w:pPr>
    </w:p>
    <w:p w14:paraId="4679AF86" w14:textId="77777777" w:rsidR="00CB5287" w:rsidRPr="00232D3B" w:rsidRDefault="001949B4" w:rsidP="0055599A">
      <w:pPr>
        <w:shd w:val="clear" w:color="auto" w:fill="FFFFFF"/>
        <w:spacing w:after="120" w:line="360" w:lineRule="auto"/>
        <w:jc w:val="both"/>
        <w:rPr>
          <w:rFonts w:ascii="Arial" w:hAnsi="Arial" w:cs="Arial"/>
          <w:sz w:val="24"/>
          <w:szCs w:val="24"/>
        </w:rPr>
      </w:pPr>
      <w:r w:rsidRPr="00232D3B">
        <w:rPr>
          <w:rFonts w:ascii="Arial" w:hAnsi="Arial" w:cs="Arial"/>
          <w:sz w:val="24"/>
          <w:szCs w:val="24"/>
        </w:rPr>
        <w:t>[</w:t>
      </w:r>
      <w:r w:rsidR="00095382" w:rsidRPr="00232D3B">
        <w:rPr>
          <w:rFonts w:ascii="Arial" w:hAnsi="Arial" w:cs="Arial"/>
          <w:sz w:val="24"/>
          <w:szCs w:val="24"/>
        </w:rPr>
        <w:t>38</w:t>
      </w:r>
      <w:r w:rsidRPr="00232D3B">
        <w:rPr>
          <w:rFonts w:ascii="Arial" w:hAnsi="Arial" w:cs="Arial"/>
          <w:sz w:val="24"/>
          <w:szCs w:val="24"/>
        </w:rPr>
        <w:t>]</w:t>
      </w:r>
      <w:r w:rsidRPr="00232D3B">
        <w:rPr>
          <w:rFonts w:ascii="Arial" w:hAnsi="Arial" w:cs="Arial"/>
          <w:sz w:val="24"/>
          <w:szCs w:val="24"/>
        </w:rPr>
        <w:tab/>
      </w:r>
      <w:r w:rsidR="00B93A34" w:rsidRPr="00232D3B">
        <w:rPr>
          <w:rFonts w:ascii="Arial" w:hAnsi="Arial" w:cs="Arial"/>
          <w:sz w:val="24"/>
          <w:szCs w:val="24"/>
        </w:rPr>
        <w:t xml:space="preserve">The case of </w:t>
      </w:r>
      <w:r w:rsidR="008F76DB" w:rsidRPr="00232D3B">
        <w:rPr>
          <w:rFonts w:ascii="Arial" w:hAnsi="Arial" w:cs="Arial"/>
          <w:i/>
          <w:sz w:val="24"/>
          <w:szCs w:val="24"/>
        </w:rPr>
        <w:t>TNM v Member of the Executive Council For Health: KwaZulu-Natal</w:t>
      </w:r>
      <w:r w:rsidR="008F76DB" w:rsidRPr="00232D3B">
        <w:rPr>
          <w:rStyle w:val="FootnoteReference"/>
          <w:rFonts w:ascii="Arial" w:hAnsi="Arial" w:cs="Arial"/>
          <w:iCs/>
          <w:sz w:val="24"/>
          <w:szCs w:val="24"/>
        </w:rPr>
        <w:footnoteReference w:id="26"/>
      </w:r>
      <w:r w:rsidR="008F76DB" w:rsidRPr="00232D3B">
        <w:rPr>
          <w:rFonts w:ascii="Arial" w:hAnsi="Arial" w:cs="Arial"/>
          <w:i/>
          <w:sz w:val="24"/>
          <w:szCs w:val="24"/>
        </w:rPr>
        <w:t xml:space="preserve"> </w:t>
      </w:r>
      <w:r w:rsidR="00B93A34" w:rsidRPr="00232D3B">
        <w:rPr>
          <w:rFonts w:ascii="Arial" w:hAnsi="Arial" w:cs="Arial"/>
          <w:sz w:val="24"/>
          <w:szCs w:val="24"/>
        </w:rPr>
        <w:t xml:space="preserve">is relevant to the present </w:t>
      </w:r>
      <w:r w:rsidR="00A75602" w:rsidRPr="00232D3B">
        <w:rPr>
          <w:rFonts w:ascii="Arial" w:hAnsi="Arial" w:cs="Arial"/>
          <w:sz w:val="24"/>
          <w:szCs w:val="24"/>
        </w:rPr>
        <w:t>proceedings</w:t>
      </w:r>
      <w:r w:rsidR="00B93A34" w:rsidRPr="00232D3B">
        <w:rPr>
          <w:rFonts w:ascii="Arial" w:hAnsi="Arial" w:cs="Arial"/>
          <w:sz w:val="24"/>
          <w:szCs w:val="24"/>
        </w:rPr>
        <w:t xml:space="preserve"> since the facts appear to be similar. The judgment accordingly will be set out in some detail. The Court held </w:t>
      </w:r>
      <w:r w:rsidR="00B93A34" w:rsidRPr="00232D3B">
        <w:rPr>
          <w:rFonts w:ascii="Arial" w:hAnsi="Arial" w:cs="Arial"/>
          <w:i/>
          <w:sz w:val="24"/>
          <w:szCs w:val="24"/>
        </w:rPr>
        <w:t>inter alia</w:t>
      </w:r>
      <w:r w:rsidR="00B93A34" w:rsidRPr="00232D3B">
        <w:rPr>
          <w:rFonts w:ascii="Arial" w:hAnsi="Arial" w:cs="Arial"/>
          <w:sz w:val="24"/>
          <w:szCs w:val="24"/>
        </w:rPr>
        <w:t xml:space="preserve"> as follows:</w:t>
      </w:r>
    </w:p>
    <w:p w14:paraId="13909ADE" w14:textId="77777777" w:rsidR="00CB5287" w:rsidRPr="00232D3B" w:rsidRDefault="00A75602" w:rsidP="00062DF2">
      <w:pPr>
        <w:pStyle w:val="NoSpacing"/>
        <w:jc w:val="both"/>
        <w:rPr>
          <w:rFonts w:ascii="Arial" w:hAnsi="Arial" w:cs="Arial"/>
        </w:rPr>
      </w:pPr>
      <w:r w:rsidRPr="00232D3B">
        <w:rPr>
          <w:rFonts w:ascii="Arial" w:hAnsi="Arial" w:cs="Arial"/>
        </w:rPr>
        <w:t>‘</w:t>
      </w:r>
      <w:r w:rsidR="00CB5287" w:rsidRPr="00232D3B">
        <w:rPr>
          <w:rFonts w:ascii="Arial" w:hAnsi="Arial" w:cs="Arial"/>
        </w:rPr>
        <w:t xml:space="preserve">It is common cause that one Dr Batchelder, a specialist obstetrician, was requested to advise the respondent on the claim against her. He produced a report on the matter (the desired report). This </w:t>
      </w:r>
      <w:r w:rsidR="00CB5287" w:rsidRPr="00232D3B">
        <w:rPr>
          <w:rFonts w:ascii="Arial" w:hAnsi="Arial" w:cs="Arial"/>
          <w:bCs/>
          <w:i/>
          <w:iCs/>
        </w:rPr>
        <w:t xml:space="preserve">report was one of many documents furnished by the respondent to one Dr Hall, </w:t>
      </w:r>
      <w:r w:rsidR="00CB5287" w:rsidRPr="00232D3B">
        <w:rPr>
          <w:rFonts w:ascii="Arial" w:hAnsi="Arial" w:cs="Arial"/>
          <w:bCs/>
          <w:i/>
          <w:iCs/>
        </w:rPr>
        <w:lastRenderedPageBreak/>
        <w:t>a paediatric specialist</w:t>
      </w:r>
      <w:r w:rsidR="00CB5287" w:rsidRPr="00232D3B">
        <w:rPr>
          <w:rFonts w:ascii="Arial" w:hAnsi="Arial" w:cs="Arial"/>
        </w:rPr>
        <w:t xml:space="preserve">, for the purposes of obtaining her </w:t>
      </w:r>
      <w:r w:rsidR="00CB5287" w:rsidRPr="00232D3B">
        <w:rPr>
          <w:rFonts w:ascii="Arial" w:hAnsi="Arial" w:cs="Arial"/>
          <w:bCs/>
          <w:i/>
          <w:iCs/>
        </w:rPr>
        <w:t>advice on the claim</w:t>
      </w:r>
      <w:r w:rsidR="00CB5287" w:rsidRPr="00232D3B">
        <w:rPr>
          <w:rFonts w:ascii="Arial" w:hAnsi="Arial" w:cs="Arial"/>
        </w:rPr>
        <w:t>. Dr Hall likewise provided the respondent with a report. Neither of these persons examined the applicant or the minor child.</w:t>
      </w:r>
    </w:p>
    <w:p w14:paraId="2D91E28F" w14:textId="77777777" w:rsidR="004C0784" w:rsidRPr="00232D3B" w:rsidRDefault="004C0784" w:rsidP="00062DF2">
      <w:pPr>
        <w:pStyle w:val="NoSpacing"/>
        <w:jc w:val="both"/>
        <w:rPr>
          <w:rFonts w:ascii="Arial" w:hAnsi="Arial" w:cs="Arial"/>
        </w:rPr>
      </w:pPr>
    </w:p>
    <w:p w14:paraId="50AD4C5C" w14:textId="77777777" w:rsidR="00CB5287" w:rsidRPr="00232D3B" w:rsidRDefault="00CB5287" w:rsidP="00062DF2">
      <w:pPr>
        <w:pStyle w:val="NoSpacing"/>
        <w:jc w:val="both"/>
        <w:rPr>
          <w:rFonts w:ascii="Arial" w:hAnsi="Arial" w:cs="Arial"/>
        </w:rPr>
      </w:pPr>
      <w:r w:rsidRPr="00232D3B">
        <w:rPr>
          <w:rFonts w:ascii="Arial" w:hAnsi="Arial" w:cs="Arial"/>
        </w:rPr>
        <w:t xml:space="preserve">Dr Hall’s report was served on the applicant. It </w:t>
      </w:r>
      <w:r w:rsidR="00A91C6A" w:rsidRPr="00232D3B">
        <w:rPr>
          <w:rFonts w:ascii="Arial" w:hAnsi="Arial" w:cs="Arial"/>
        </w:rPr>
        <w:t>referred</w:t>
      </w:r>
      <w:r w:rsidRPr="00232D3B">
        <w:rPr>
          <w:rFonts w:ascii="Arial" w:hAnsi="Arial" w:cs="Arial"/>
          <w:bCs/>
          <w:i/>
          <w:iCs/>
        </w:rPr>
        <w:t xml:space="preserve"> to the fact that Dr Hall had been furnished with the desired report. This was its only reference</w:t>
      </w:r>
      <w:r w:rsidRPr="00232D3B">
        <w:rPr>
          <w:rFonts w:ascii="Arial" w:hAnsi="Arial" w:cs="Arial"/>
        </w:rPr>
        <w:t>. The applicant requested a copy of the desired report which was refused. The refusal gave rise to the present application, said to have been brought under Uniform rule 35(3) of the Uniform Rules of Court, in which the applicant seeks the following orders:</w:t>
      </w:r>
    </w:p>
    <w:p w14:paraId="2357390B" w14:textId="77777777" w:rsidR="004C0784" w:rsidRPr="00232D3B" w:rsidRDefault="004C0784" w:rsidP="00062DF2">
      <w:pPr>
        <w:pStyle w:val="NoSpacing"/>
        <w:jc w:val="both"/>
        <w:rPr>
          <w:rFonts w:ascii="Arial" w:hAnsi="Arial" w:cs="Arial"/>
        </w:rPr>
      </w:pPr>
    </w:p>
    <w:p w14:paraId="643429BE" w14:textId="77777777" w:rsidR="00CB5287" w:rsidRPr="00232D3B" w:rsidRDefault="00C534E4" w:rsidP="00062DF2">
      <w:pPr>
        <w:pStyle w:val="NoSpacing"/>
        <w:ind w:left="1440" w:hanging="720"/>
        <w:jc w:val="both"/>
        <w:rPr>
          <w:rFonts w:ascii="Arial" w:hAnsi="Arial" w:cs="Arial"/>
          <w:sz w:val="20"/>
          <w:szCs w:val="20"/>
        </w:rPr>
      </w:pPr>
      <w:r w:rsidRPr="00232D3B">
        <w:rPr>
          <w:rFonts w:ascii="Arial" w:hAnsi="Arial" w:cs="Arial"/>
          <w:sz w:val="20"/>
          <w:szCs w:val="20"/>
        </w:rPr>
        <w:t>“</w:t>
      </w:r>
      <w:r w:rsidR="00CB5287" w:rsidRPr="00232D3B">
        <w:rPr>
          <w:rFonts w:ascii="Arial" w:hAnsi="Arial" w:cs="Arial"/>
          <w:sz w:val="20"/>
          <w:szCs w:val="20"/>
        </w:rPr>
        <w:t>1.</w:t>
      </w:r>
      <w:r w:rsidR="00CB5287" w:rsidRPr="00232D3B">
        <w:rPr>
          <w:rFonts w:ascii="Arial" w:hAnsi="Arial" w:cs="Arial"/>
          <w:sz w:val="20"/>
          <w:szCs w:val="20"/>
        </w:rPr>
        <w:tab/>
        <w:t>The Respondent is directed to serve a copy of Dr Batchelder’s report in the above matter within 15 days of this order.</w:t>
      </w:r>
    </w:p>
    <w:p w14:paraId="40325A8E" w14:textId="77777777" w:rsidR="00CB5287" w:rsidRPr="00232D3B" w:rsidRDefault="00CB5287" w:rsidP="00062DF2">
      <w:pPr>
        <w:pStyle w:val="NoSpacing"/>
        <w:ind w:left="720"/>
        <w:jc w:val="both"/>
        <w:rPr>
          <w:rFonts w:ascii="Arial" w:hAnsi="Arial" w:cs="Arial"/>
          <w:sz w:val="20"/>
          <w:szCs w:val="20"/>
        </w:rPr>
      </w:pPr>
      <w:r w:rsidRPr="00232D3B">
        <w:rPr>
          <w:rFonts w:ascii="Arial" w:hAnsi="Arial" w:cs="Arial"/>
          <w:sz w:val="20"/>
          <w:szCs w:val="20"/>
        </w:rPr>
        <w:t>2.</w:t>
      </w:r>
      <w:r w:rsidRPr="00232D3B">
        <w:rPr>
          <w:rFonts w:ascii="Arial" w:hAnsi="Arial" w:cs="Arial"/>
          <w:sz w:val="20"/>
          <w:szCs w:val="20"/>
        </w:rPr>
        <w:tab/>
        <w:t>The Respondent is to pay costs of this application on an attorney and client scale.</w:t>
      </w:r>
      <w:r w:rsidR="002B1AA9" w:rsidRPr="00232D3B">
        <w:rPr>
          <w:rFonts w:ascii="Arial" w:hAnsi="Arial" w:cs="Arial"/>
          <w:sz w:val="20"/>
          <w:szCs w:val="20"/>
        </w:rPr>
        <w:t>”</w:t>
      </w:r>
    </w:p>
    <w:p w14:paraId="66C8CF14" w14:textId="77777777" w:rsidR="004C0784" w:rsidRPr="00232D3B" w:rsidRDefault="004C0784" w:rsidP="00062DF2">
      <w:pPr>
        <w:pStyle w:val="NoSpacing"/>
        <w:ind w:left="720"/>
        <w:jc w:val="both"/>
        <w:rPr>
          <w:rFonts w:ascii="Arial" w:hAnsi="Arial" w:cs="Arial"/>
          <w:sz w:val="20"/>
          <w:szCs w:val="20"/>
        </w:rPr>
      </w:pPr>
    </w:p>
    <w:p w14:paraId="40BD15C5" w14:textId="77777777" w:rsidR="00CB5287" w:rsidRPr="00232D3B" w:rsidRDefault="00CB5287" w:rsidP="00062DF2">
      <w:pPr>
        <w:pStyle w:val="NoSpacing"/>
        <w:jc w:val="both"/>
        <w:rPr>
          <w:rFonts w:ascii="Arial" w:hAnsi="Arial" w:cs="Arial"/>
        </w:rPr>
      </w:pPr>
      <w:r w:rsidRPr="00232D3B">
        <w:rPr>
          <w:rFonts w:ascii="Arial" w:hAnsi="Arial" w:cs="Arial"/>
        </w:rPr>
        <w:t xml:space="preserve">The respondent raises, in essence, two grounds of opposition. The first is a point </w:t>
      </w:r>
      <w:r w:rsidRPr="00232D3B">
        <w:rPr>
          <w:rFonts w:ascii="Arial" w:hAnsi="Arial" w:cs="Arial"/>
          <w:i/>
          <w:iCs/>
        </w:rPr>
        <w:t>in limine</w:t>
      </w:r>
      <w:r w:rsidRPr="00232D3B">
        <w:rPr>
          <w:rFonts w:ascii="Arial" w:hAnsi="Arial" w:cs="Arial"/>
        </w:rPr>
        <w:t xml:space="preserve">. That, since the respondent has not filed her discovery affidavit under Uniform rule 35(1), the application is premature. </w:t>
      </w:r>
      <w:r w:rsidR="00997DFE" w:rsidRPr="00232D3B">
        <w:rPr>
          <w:rFonts w:ascii="Arial" w:hAnsi="Arial" w:cs="Arial"/>
        </w:rPr>
        <w:t>As such</w:t>
      </w:r>
      <w:r w:rsidRPr="00232D3B">
        <w:rPr>
          <w:rFonts w:ascii="Arial" w:hAnsi="Arial" w:cs="Arial"/>
        </w:rPr>
        <w:t xml:space="preserve">, Uniform rule 35(3) cannot be invoked. The </w:t>
      </w:r>
      <w:r w:rsidRPr="00232D3B">
        <w:rPr>
          <w:rFonts w:ascii="Arial" w:hAnsi="Arial" w:cs="Arial"/>
          <w:bCs/>
          <w:i/>
          <w:iCs/>
        </w:rPr>
        <w:t>second is that privilege attaches to the desired report and that this privilege has not been waived</w:t>
      </w:r>
      <w:r w:rsidRPr="00232D3B">
        <w:rPr>
          <w:rFonts w:ascii="Arial" w:hAnsi="Arial" w:cs="Arial"/>
        </w:rPr>
        <w:t>. I shall deal with each in turn.</w:t>
      </w:r>
    </w:p>
    <w:p w14:paraId="30F908CC" w14:textId="77777777" w:rsidR="0078207A" w:rsidRPr="00232D3B" w:rsidRDefault="0078207A" w:rsidP="00062DF2">
      <w:pPr>
        <w:pStyle w:val="NoSpacing"/>
        <w:jc w:val="both"/>
        <w:rPr>
          <w:rFonts w:ascii="Arial" w:hAnsi="Arial" w:cs="Arial"/>
        </w:rPr>
      </w:pPr>
      <w:r w:rsidRPr="00232D3B">
        <w:rPr>
          <w:rFonts w:ascii="Arial" w:hAnsi="Arial" w:cs="Arial"/>
        </w:rPr>
        <w:t>. . .</w:t>
      </w:r>
    </w:p>
    <w:p w14:paraId="5CD358F8" w14:textId="7988E53A" w:rsidR="00CB5287" w:rsidRPr="00232D3B" w:rsidRDefault="00CB5287" w:rsidP="00062DF2">
      <w:pPr>
        <w:pStyle w:val="NoSpacing"/>
        <w:jc w:val="both"/>
        <w:rPr>
          <w:rFonts w:ascii="Arial" w:hAnsi="Arial" w:cs="Arial"/>
        </w:rPr>
      </w:pPr>
      <w:r w:rsidRPr="00232D3B">
        <w:rPr>
          <w:rFonts w:ascii="Arial" w:hAnsi="Arial" w:cs="Arial"/>
        </w:rPr>
        <w:t xml:space="preserve">The words </w:t>
      </w:r>
      <w:r w:rsidR="00713C17">
        <w:rPr>
          <w:rFonts w:ascii="Arial" w:hAnsi="Arial" w:cs="Arial"/>
        </w:rPr>
        <w:t>“</w:t>
      </w:r>
      <w:r w:rsidRPr="00232D3B">
        <w:rPr>
          <w:rFonts w:ascii="Arial" w:hAnsi="Arial" w:cs="Arial"/>
        </w:rPr>
        <w:t>disclosed as aforesaid</w:t>
      </w:r>
      <w:r w:rsidR="00713C17">
        <w:rPr>
          <w:rFonts w:ascii="Arial" w:hAnsi="Arial" w:cs="Arial"/>
        </w:rPr>
        <w:t>”</w:t>
      </w:r>
      <w:r w:rsidRPr="00232D3B">
        <w:rPr>
          <w:rFonts w:ascii="Arial" w:hAnsi="Arial" w:cs="Arial"/>
        </w:rPr>
        <w:t xml:space="preserve"> probably imply prior discovery under Uniform rule 35(1). However, it is clear that, if she did discover, the respondent would not include it since it amounts to a witness statement. These are expressly excluded in Uniform rule 35(2)</w:t>
      </w:r>
      <w:r w:rsidRPr="00232D3B">
        <w:rPr>
          <w:rFonts w:ascii="Arial" w:hAnsi="Arial" w:cs="Arial"/>
          <w:i/>
          <w:iCs/>
        </w:rPr>
        <w:t>(b)</w:t>
      </w:r>
      <w:r w:rsidRPr="00232D3B">
        <w:rPr>
          <w:rFonts w:ascii="Arial" w:hAnsi="Arial" w:cs="Arial"/>
        </w:rPr>
        <w:t>:</w:t>
      </w:r>
    </w:p>
    <w:p w14:paraId="3308FA49" w14:textId="77777777" w:rsidR="004C0784" w:rsidRPr="00232D3B" w:rsidRDefault="004C0784" w:rsidP="00062DF2">
      <w:pPr>
        <w:pStyle w:val="NoSpacing"/>
        <w:jc w:val="both"/>
        <w:rPr>
          <w:rFonts w:ascii="Arial" w:hAnsi="Arial" w:cs="Arial"/>
          <w:sz w:val="20"/>
          <w:szCs w:val="20"/>
        </w:rPr>
      </w:pPr>
    </w:p>
    <w:p w14:paraId="7A769457" w14:textId="77777777" w:rsidR="00CB5287" w:rsidRPr="00232D3B" w:rsidRDefault="0086119F" w:rsidP="00062DF2">
      <w:pPr>
        <w:pStyle w:val="NoSpacing"/>
        <w:ind w:left="720"/>
        <w:jc w:val="both"/>
        <w:rPr>
          <w:rFonts w:ascii="Arial" w:hAnsi="Arial" w:cs="Arial"/>
        </w:rPr>
      </w:pPr>
      <w:r w:rsidRPr="00232D3B">
        <w:rPr>
          <w:rFonts w:ascii="Arial" w:hAnsi="Arial" w:cs="Arial"/>
        </w:rPr>
        <w:t>“</w:t>
      </w:r>
      <w:r w:rsidR="00CB5287" w:rsidRPr="00232D3B">
        <w:rPr>
          <w:rFonts w:ascii="Arial" w:hAnsi="Arial" w:cs="Arial"/>
        </w:rPr>
        <w:t>Statements of witnesses taken for purposes of the proceedings, communications between attorney and client and between attorney and advocate, pleadings, affidavits and notices in the action shall be omitted from the schedules.</w:t>
      </w:r>
      <w:r w:rsidR="004A740F" w:rsidRPr="00232D3B">
        <w:rPr>
          <w:rFonts w:ascii="Arial" w:hAnsi="Arial" w:cs="Arial"/>
        </w:rPr>
        <w:t>”</w:t>
      </w:r>
    </w:p>
    <w:p w14:paraId="3225B4EF" w14:textId="77777777" w:rsidR="00D708AE" w:rsidRPr="00232D3B" w:rsidRDefault="00D708AE" w:rsidP="00AD647B">
      <w:pPr>
        <w:pStyle w:val="NoSpacing"/>
        <w:jc w:val="both"/>
        <w:rPr>
          <w:rFonts w:ascii="Arial" w:hAnsi="Arial" w:cs="Arial"/>
        </w:rPr>
      </w:pPr>
      <w:r w:rsidRPr="00232D3B">
        <w:rPr>
          <w:rFonts w:ascii="Arial" w:hAnsi="Arial" w:cs="Arial"/>
        </w:rPr>
        <w:t>. . .</w:t>
      </w:r>
    </w:p>
    <w:p w14:paraId="6B9AFAE1" w14:textId="006444DB" w:rsidR="00CB5287" w:rsidRDefault="00CB5287" w:rsidP="00062DF2">
      <w:pPr>
        <w:pStyle w:val="NoSpacing"/>
        <w:jc w:val="both"/>
        <w:rPr>
          <w:rFonts w:ascii="Arial" w:hAnsi="Arial" w:cs="Arial"/>
        </w:rPr>
      </w:pPr>
      <w:r w:rsidRPr="00232D3B">
        <w:rPr>
          <w:rFonts w:ascii="Arial" w:hAnsi="Arial" w:cs="Arial"/>
        </w:rPr>
        <w:t xml:space="preserve">The substantive defence is that the report is privileged. The factual basis for this was laid in the answering affidavit, to which the applicant did not deliver a reply. Various averments have been made. These include that it is a witness statement and that it was obtained for the purposes of litigation. More specifically, it is averred that the respondent </w:t>
      </w:r>
      <w:r w:rsidR="00FE5B22">
        <w:rPr>
          <w:rFonts w:ascii="Arial" w:hAnsi="Arial" w:cs="Arial"/>
        </w:rPr>
        <w:t>“</w:t>
      </w:r>
      <w:r w:rsidRPr="00232D3B">
        <w:rPr>
          <w:rFonts w:ascii="Arial" w:hAnsi="Arial" w:cs="Arial"/>
        </w:rPr>
        <w:t>sought and obtained the advice of Dr Batchelder in making his assessment of the [applicant’s] claim.</w:t>
      </w:r>
      <w:r w:rsidR="00FE5B22">
        <w:rPr>
          <w:rFonts w:ascii="Arial" w:hAnsi="Arial" w:cs="Arial"/>
        </w:rPr>
        <w:t>”</w:t>
      </w:r>
      <w:r w:rsidRPr="00232D3B">
        <w:rPr>
          <w:rFonts w:ascii="Arial" w:hAnsi="Arial" w:cs="Arial"/>
        </w:rPr>
        <w:t xml:space="preserve"> It is also averred that the respondent does not intend utilising Dr Batchelder as an expert witness and, accordingly, is not even obliged to give notice in terms of Uniform rule 36(9)</w:t>
      </w:r>
      <w:r w:rsidRPr="00232D3B">
        <w:rPr>
          <w:rFonts w:ascii="Arial" w:hAnsi="Arial" w:cs="Arial"/>
          <w:i/>
          <w:iCs/>
        </w:rPr>
        <w:t>(a)</w:t>
      </w:r>
      <w:r w:rsidRPr="00232D3B">
        <w:rPr>
          <w:rFonts w:ascii="Arial" w:hAnsi="Arial" w:cs="Arial"/>
        </w:rPr>
        <w:t xml:space="preserve"> or a summary in terms of Uniform rule 36(9)</w:t>
      </w:r>
      <w:r w:rsidRPr="00232D3B">
        <w:rPr>
          <w:rFonts w:ascii="Arial" w:hAnsi="Arial" w:cs="Arial"/>
          <w:i/>
          <w:iCs/>
        </w:rPr>
        <w:t>(b)</w:t>
      </w:r>
      <w:r w:rsidRPr="00232D3B">
        <w:rPr>
          <w:rFonts w:ascii="Arial" w:hAnsi="Arial" w:cs="Arial"/>
        </w:rPr>
        <w:t>. In fact, it is said that, despite the report of Dr Hall having been made available to the applicant, the respondent does not intend to call her as a witness.</w:t>
      </w:r>
    </w:p>
    <w:p w14:paraId="6D981424" w14:textId="77777777" w:rsidR="004A62AD" w:rsidRPr="00232D3B" w:rsidRDefault="004A62AD" w:rsidP="00AD647B">
      <w:pPr>
        <w:pStyle w:val="NoSpacing"/>
        <w:jc w:val="both"/>
        <w:rPr>
          <w:rFonts w:ascii="Arial" w:hAnsi="Arial" w:cs="Arial"/>
        </w:rPr>
      </w:pPr>
    </w:p>
    <w:p w14:paraId="33978393" w14:textId="4E2BB578" w:rsidR="00CB5287" w:rsidRDefault="00CB5287" w:rsidP="00062DF2">
      <w:pPr>
        <w:pStyle w:val="NoSpacing"/>
        <w:jc w:val="both"/>
        <w:rPr>
          <w:rFonts w:ascii="Arial" w:hAnsi="Arial" w:cs="Arial"/>
        </w:rPr>
      </w:pPr>
      <w:r w:rsidRPr="00232D3B">
        <w:rPr>
          <w:rFonts w:ascii="Arial" w:hAnsi="Arial" w:cs="Arial"/>
        </w:rPr>
        <w:t xml:space="preserve">Early authority establishes that </w:t>
      </w:r>
      <w:r w:rsidRPr="00232D3B">
        <w:rPr>
          <w:rFonts w:ascii="Arial" w:hAnsi="Arial" w:cs="Arial"/>
          <w:bCs/>
          <w:i/>
          <w:iCs/>
        </w:rPr>
        <w:t xml:space="preserve">litigation privilege attaches to a document given </w:t>
      </w:r>
      <w:r w:rsidR="00270CF3" w:rsidRPr="00232D3B">
        <w:rPr>
          <w:rFonts w:ascii="Arial" w:hAnsi="Arial" w:cs="Arial"/>
          <w:bCs/>
          <w:i/>
          <w:iCs/>
        </w:rPr>
        <w:t>“</w:t>
      </w:r>
      <w:r w:rsidRPr="00232D3B">
        <w:rPr>
          <w:rFonts w:ascii="Arial" w:hAnsi="Arial" w:cs="Arial"/>
          <w:bCs/>
          <w:i/>
          <w:iCs/>
        </w:rPr>
        <w:t>in contemplation of litigation</w:t>
      </w:r>
      <w:r w:rsidR="00C877DA">
        <w:rPr>
          <w:rFonts w:ascii="Arial" w:hAnsi="Arial" w:cs="Arial"/>
          <w:bCs/>
          <w:i/>
          <w:iCs/>
        </w:rPr>
        <w:t>”</w:t>
      </w:r>
      <w:r w:rsidRPr="00232D3B">
        <w:rPr>
          <w:rFonts w:ascii="Arial" w:hAnsi="Arial" w:cs="Arial"/>
          <w:bCs/>
          <w:i/>
          <w:iCs/>
        </w:rPr>
        <w:t xml:space="preserve"> and </w:t>
      </w:r>
      <w:r w:rsidR="00C877DA">
        <w:rPr>
          <w:rFonts w:ascii="Arial" w:hAnsi="Arial" w:cs="Arial"/>
          <w:bCs/>
          <w:i/>
          <w:iCs/>
        </w:rPr>
        <w:t>“</w:t>
      </w:r>
      <w:r w:rsidRPr="00232D3B">
        <w:rPr>
          <w:rFonts w:ascii="Arial" w:hAnsi="Arial" w:cs="Arial"/>
          <w:bCs/>
          <w:i/>
          <w:iCs/>
        </w:rPr>
        <w:t>for the purpose of submission to the party’s legal adviser</w:t>
      </w:r>
      <w:r w:rsidR="00270CF3" w:rsidRPr="00232D3B">
        <w:rPr>
          <w:rFonts w:ascii="Arial" w:hAnsi="Arial" w:cs="Arial"/>
          <w:bCs/>
          <w:i/>
          <w:iCs/>
        </w:rPr>
        <w:t>”</w:t>
      </w:r>
      <w:r w:rsidRPr="00232D3B">
        <w:rPr>
          <w:rFonts w:ascii="Arial" w:hAnsi="Arial" w:cs="Arial"/>
        </w:rPr>
        <w:t>.</w:t>
      </w:r>
      <w:r w:rsidRPr="00232D3B">
        <w:rPr>
          <w:rStyle w:val="FootnoteReference"/>
          <w:rFonts w:ascii="Arial" w:hAnsi="Arial" w:cs="Arial"/>
        </w:rPr>
        <w:footnoteReference w:id="27"/>
      </w:r>
      <w:r w:rsidRPr="00232D3B">
        <w:rPr>
          <w:rFonts w:ascii="Arial" w:hAnsi="Arial" w:cs="Arial"/>
        </w:rPr>
        <w:t xml:space="preserve"> The factual averments of the respondent place the desired report into this category. In argument, the </w:t>
      </w:r>
      <w:r w:rsidRPr="00232D3B">
        <w:rPr>
          <w:rFonts w:ascii="Arial" w:hAnsi="Arial" w:cs="Arial"/>
          <w:bCs/>
          <w:i/>
          <w:iCs/>
        </w:rPr>
        <w:t>applicant conceded that this was the case</w:t>
      </w:r>
      <w:r w:rsidRPr="00232D3B">
        <w:rPr>
          <w:rFonts w:ascii="Arial" w:hAnsi="Arial" w:cs="Arial"/>
        </w:rPr>
        <w:t>.</w:t>
      </w:r>
    </w:p>
    <w:p w14:paraId="3CC7FAED" w14:textId="77777777" w:rsidR="00D037A9" w:rsidRPr="00232D3B" w:rsidRDefault="00D037A9" w:rsidP="00AD647B">
      <w:pPr>
        <w:pStyle w:val="NoSpacing"/>
        <w:jc w:val="both"/>
        <w:rPr>
          <w:rFonts w:ascii="Arial" w:hAnsi="Arial" w:cs="Arial"/>
        </w:rPr>
      </w:pPr>
    </w:p>
    <w:p w14:paraId="3B1A5F22" w14:textId="7DDD8977" w:rsidR="00CB5287" w:rsidRPr="00232D3B" w:rsidRDefault="00CB5287" w:rsidP="00AD647B">
      <w:pPr>
        <w:pStyle w:val="NoSpacing"/>
        <w:jc w:val="both"/>
        <w:rPr>
          <w:rFonts w:ascii="Arial" w:hAnsi="Arial" w:cs="Arial"/>
        </w:rPr>
      </w:pPr>
      <w:r w:rsidRPr="00232D3B">
        <w:rPr>
          <w:rFonts w:ascii="Arial" w:hAnsi="Arial" w:cs="Arial"/>
        </w:rPr>
        <w:t xml:space="preserve">But the applicant submits that, </w:t>
      </w:r>
      <w:r w:rsidRPr="00232D3B">
        <w:rPr>
          <w:rFonts w:ascii="Arial" w:hAnsi="Arial" w:cs="Arial"/>
          <w:bCs/>
          <w:i/>
          <w:iCs/>
        </w:rPr>
        <w:t>because the desired report was furnished to a third party</w:t>
      </w:r>
      <w:r w:rsidRPr="00232D3B">
        <w:rPr>
          <w:rFonts w:ascii="Arial" w:hAnsi="Arial" w:cs="Arial"/>
        </w:rPr>
        <w:t>, Dr</w:t>
      </w:r>
      <w:r w:rsidR="00D037A9">
        <w:rPr>
          <w:rFonts w:ascii="Arial" w:hAnsi="Arial" w:cs="Arial"/>
        </w:rPr>
        <w:t> </w:t>
      </w:r>
      <w:r w:rsidRPr="00232D3B">
        <w:rPr>
          <w:rFonts w:ascii="Arial" w:hAnsi="Arial" w:cs="Arial"/>
        </w:rPr>
        <w:t xml:space="preserve">Hall, and </w:t>
      </w:r>
      <w:r w:rsidRPr="00232D3B">
        <w:rPr>
          <w:rFonts w:ascii="Arial" w:hAnsi="Arial" w:cs="Arial"/>
          <w:bCs/>
          <w:i/>
          <w:iCs/>
        </w:rPr>
        <w:t>is referred to in the report of Dr Hall, the privilege attaching to it was waived</w:t>
      </w:r>
      <w:r w:rsidRPr="00232D3B">
        <w:rPr>
          <w:rFonts w:ascii="Arial" w:hAnsi="Arial" w:cs="Arial"/>
        </w:rPr>
        <w:t xml:space="preserve">. A waiver may be express or implied. </w:t>
      </w:r>
      <w:r w:rsidRPr="00232D3B">
        <w:rPr>
          <w:rFonts w:ascii="Arial" w:hAnsi="Arial" w:cs="Arial"/>
          <w:bCs/>
          <w:i/>
          <w:iCs/>
        </w:rPr>
        <w:t>No case is made out for any express waiver</w:t>
      </w:r>
      <w:r w:rsidRPr="00232D3B">
        <w:rPr>
          <w:rFonts w:ascii="Arial" w:hAnsi="Arial" w:cs="Arial"/>
        </w:rPr>
        <w:t xml:space="preserve">. In </w:t>
      </w:r>
      <w:bookmarkStart w:id="2" w:name="_Hlk53588339"/>
      <w:r w:rsidRPr="00232D3B">
        <w:rPr>
          <w:rFonts w:ascii="Arial" w:hAnsi="Arial" w:cs="Arial"/>
          <w:i/>
          <w:iCs/>
        </w:rPr>
        <w:t>S v Tandwa &amp; Others</w:t>
      </w:r>
      <w:bookmarkEnd w:id="2"/>
      <w:r w:rsidRPr="00232D3B">
        <w:rPr>
          <w:rFonts w:ascii="Arial" w:hAnsi="Arial" w:cs="Arial"/>
        </w:rPr>
        <w:t>,</w:t>
      </w:r>
      <w:r w:rsidRPr="00232D3B">
        <w:rPr>
          <w:rStyle w:val="FootnoteReference"/>
          <w:rFonts w:ascii="Arial" w:hAnsi="Arial" w:cs="Arial"/>
        </w:rPr>
        <w:footnoteReference w:id="28"/>
      </w:r>
      <w:r w:rsidRPr="00232D3B">
        <w:rPr>
          <w:rFonts w:ascii="Arial" w:hAnsi="Arial" w:cs="Arial"/>
          <w:i/>
          <w:iCs/>
        </w:rPr>
        <w:t xml:space="preserve"> </w:t>
      </w:r>
      <w:r w:rsidRPr="00232D3B">
        <w:rPr>
          <w:rFonts w:ascii="Arial" w:hAnsi="Arial" w:cs="Arial"/>
        </w:rPr>
        <w:t>the court distinguished between what it called an implied waiver and an imputed waiver:</w:t>
      </w:r>
    </w:p>
    <w:p w14:paraId="595D017E" w14:textId="77777777" w:rsidR="004C0784" w:rsidRPr="00232D3B" w:rsidRDefault="004C0784" w:rsidP="00AD647B">
      <w:pPr>
        <w:pStyle w:val="NoSpacing"/>
        <w:jc w:val="both"/>
        <w:rPr>
          <w:rFonts w:ascii="Arial" w:hAnsi="Arial" w:cs="Arial"/>
        </w:rPr>
      </w:pPr>
    </w:p>
    <w:p w14:paraId="600F1CCF" w14:textId="77777777" w:rsidR="004C0784" w:rsidRPr="00232D3B" w:rsidRDefault="00280221" w:rsidP="00062DF2">
      <w:pPr>
        <w:pStyle w:val="NoSpacing"/>
        <w:ind w:left="720"/>
        <w:jc w:val="both"/>
        <w:rPr>
          <w:rFonts w:ascii="Arial" w:hAnsi="Arial" w:cs="Arial"/>
          <w:sz w:val="20"/>
          <w:szCs w:val="20"/>
        </w:rPr>
      </w:pPr>
      <w:r w:rsidRPr="00232D3B">
        <w:rPr>
          <w:rFonts w:ascii="Arial" w:hAnsi="Arial" w:cs="Arial"/>
          <w:sz w:val="20"/>
          <w:szCs w:val="20"/>
        </w:rPr>
        <w:t>“</w:t>
      </w:r>
      <w:r w:rsidR="00CB5287" w:rsidRPr="00232D3B">
        <w:rPr>
          <w:rFonts w:ascii="Arial" w:hAnsi="Arial" w:cs="Arial"/>
          <w:sz w:val="20"/>
          <w:szCs w:val="20"/>
        </w:rPr>
        <w:t xml:space="preserve">Implied waiver occurs . . . when the holder of the privilege with the full knowledge of it so behaves that it can objectively be concluded that the privilege was intentionally abandoned. </w:t>
      </w:r>
      <w:r w:rsidR="00CB5287" w:rsidRPr="00232D3B">
        <w:rPr>
          <w:rFonts w:ascii="Arial" w:hAnsi="Arial" w:cs="Arial"/>
          <w:sz w:val="20"/>
          <w:szCs w:val="20"/>
        </w:rPr>
        <w:lastRenderedPageBreak/>
        <w:t xml:space="preserve">Imputed waiver occurs where – regardless of the holder’s intention – fairness requires that the court conclude that the privilege was abandoned. Implied waiver entails an objective inference that the privilege was </w:t>
      </w:r>
      <w:r w:rsidR="00972663" w:rsidRPr="00232D3B">
        <w:rPr>
          <w:rFonts w:ascii="Arial" w:hAnsi="Arial" w:cs="Arial"/>
          <w:sz w:val="20"/>
          <w:szCs w:val="20"/>
        </w:rPr>
        <w:t>abandoned</w:t>
      </w:r>
      <w:r w:rsidR="00CB5287" w:rsidRPr="00232D3B">
        <w:rPr>
          <w:rFonts w:ascii="Arial" w:hAnsi="Arial" w:cs="Arial"/>
          <w:sz w:val="20"/>
          <w:szCs w:val="20"/>
        </w:rPr>
        <w:t>; imputed waiver proceeds from fairness, regardless of actual abandonment.</w:t>
      </w:r>
      <w:r w:rsidRPr="00232D3B">
        <w:rPr>
          <w:rFonts w:ascii="Arial" w:hAnsi="Arial" w:cs="Arial"/>
          <w:sz w:val="20"/>
          <w:szCs w:val="20"/>
        </w:rPr>
        <w:t>”</w:t>
      </w:r>
    </w:p>
    <w:p w14:paraId="3ED10977" w14:textId="77777777" w:rsidR="004C0784" w:rsidRPr="00232D3B" w:rsidRDefault="004C0784" w:rsidP="00062DF2">
      <w:pPr>
        <w:pStyle w:val="NoSpacing"/>
        <w:ind w:left="720"/>
        <w:jc w:val="both"/>
        <w:rPr>
          <w:rFonts w:ascii="Arial" w:hAnsi="Arial" w:cs="Arial"/>
          <w:sz w:val="20"/>
          <w:szCs w:val="20"/>
        </w:rPr>
      </w:pPr>
    </w:p>
    <w:p w14:paraId="7464F305" w14:textId="77777777" w:rsidR="00CB5287" w:rsidRPr="00232D3B" w:rsidRDefault="00CB5287" w:rsidP="00AD647B">
      <w:pPr>
        <w:pStyle w:val="NoSpacing"/>
        <w:jc w:val="both"/>
        <w:rPr>
          <w:rFonts w:ascii="Arial" w:hAnsi="Arial" w:cs="Arial"/>
        </w:rPr>
      </w:pPr>
      <w:r w:rsidRPr="00232D3B">
        <w:rPr>
          <w:rFonts w:ascii="Arial" w:hAnsi="Arial" w:cs="Arial"/>
        </w:rPr>
        <w:t xml:space="preserve">This distinction has now been criticised in </w:t>
      </w:r>
      <w:r w:rsidRPr="00AD647B">
        <w:rPr>
          <w:rFonts w:ascii="Arial" w:hAnsi="Arial" w:cs="Arial"/>
          <w:i/>
          <w:iCs/>
        </w:rPr>
        <w:t>Contango Trading SA &amp; Others v Central Energy Fund Soc Ltd &amp; Others</w:t>
      </w:r>
      <w:r w:rsidRPr="00232D3B">
        <w:rPr>
          <w:rStyle w:val="FootnoteReference"/>
          <w:rFonts w:ascii="Arial" w:hAnsi="Arial" w:cs="Arial"/>
        </w:rPr>
        <w:footnoteReference w:id="29"/>
      </w:r>
      <w:r w:rsidRPr="00232D3B">
        <w:rPr>
          <w:rFonts w:ascii="Arial" w:hAnsi="Arial" w:cs="Arial"/>
        </w:rPr>
        <w:t xml:space="preserve"> as follows:</w:t>
      </w:r>
    </w:p>
    <w:p w14:paraId="2CDDAE8A" w14:textId="77777777" w:rsidR="004C0784" w:rsidRPr="00232D3B" w:rsidRDefault="004C0784" w:rsidP="00062DF2">
      <w:pPr>
        <w:pStyle w:val="NoSpacing"/>
        <w:ind w:left="720"/>
        <w:jc w:val="both"/>
        <w:rPr>
          <w:rFonts w:ascii="Arial" w:hAnsi="Arial" w:cs="Arial"/>
        </w:rPr>
      </w:pPr>
    </w:p>
    <w:p w14:paraId="4F7DAD1D" w14:textId="77777777" w:rsidR="00CB5287" w:rsidRPr="00232D3B" w:rsidRDefault="00D346CB" w:rsidP="00062DF2">
      <w:pPr>
        <w:pStyle w:val="NoSpacing"/>
        <w:ind w:left="720"/>
        <w:jc w:val="both"/>
        <w:rPr>
          <w:rFonts w:ascii="Arial" w:hAnsi="Arial" w:cs="Arial"/>
          <w:sz w:val="20"/>
          <w:szCs w:val="20"/>
        </w:rPr>
      </w:pPr>
      <w:r w:rsidRPr="00232D3B">
        <w:rPr>
          <w:rFonts w:ascii="Arial" w:hAnsi="Arial" w:cs="Arial"/>
          <w:sz w:val="20"/>
          <w:szCs w:val="20"/>
        </w:rPr>
        <w:t>“</w:t>
      </w:r>
      <w:r w:rsidR="00CB5287" w:rsidRPr="00232D3B">
        <w:rPr>
          <w:rFonts w:ascii="Arial" w:hAnsi="Arial" w:cs="Arial"/>
          <w:sz w:val="20"/>
          <w:szCs w:val="20"/>
        </w:rPr>
        <w:t>Drawing the threads of both local and foreign authorities together, four things emerge that must be considered cumulatively. The first is that there is no difference between implied waiver and a waiver imputed by law. They are different expressions referring to the same thing. The second is that such a waiver may be inferred from the objective conduct of the party claiming the privilege in disclosing part of the content or the gist of the material. The third is whether the disclosure impacts upon the fairness of the legal process and whether the issues between the parties can be fairly determined without reference to the material. Finally, the fourth is that there is no general overarching principle that privilege can be overridden on grounds of fairness alone. The rule is “once privileged, always privileged” and it is a fundamental condition on which</w:t>
      </w:r>
      <w:r w:rsidR="00CB5287" w:rsidRPr="00232D3B">
        <w:rPr>
          <w:sz w:val="20"/>
          <w:szCs w:val="20"/>
        </w:rPr>
        <w:t xml:space="preserve"> </w:t>
      </w:r>
      <w:r w:rsidR="00CB5287" w:rsidRPr="00232D3B">
        <w:rPr>
          <w:rFonts w:ascii="Arial" w:hAnsi="Arial" w:cs="Arial"/>
          <w:sz w:val="20"/>
          <w:szCs w:val="20"/>
        </w:rPr>
        <w:t>the administration of justice rests. Only waiver can disturb it.</w:t>
      </w:r>
      <w:r w:rsidRPr="00232D3B">
        <w:rPr>
          <w:rFonts w:ascii="Arial" w:hAnsi="Arial" w:cs="Arial"/>
          <w:sz w:val="20"/>
          <w:szCs w:val="20"/>
        </w:rPr>
        <w:t>”</w:t>
      </w:r>
    </w:p>
    <w:p w14:paraId="2367083B" w14:textId="77777777" w:rsidR="004C0784" w:rsidRPr="00232D3B" w:rsidRDefault="004C0784" w:rsidP="00062DF2">
      <w:pPr>
        <w:pStyle w:val="NoSpacing"/>
        <w:ind w:left="720"/>
        <w:jc w:val="both"/>
        <w:rPr>
          <w:sz w:val="20"/>
          <w:szCs w:val="20"/>
        </w:rPr>
      </w:pPr>
    </w:p>
    <w:p w14:paraId="42B378FB" w14:textId="77777777" w:rsidR="00CB5287" w:rsidRPr="00232D3B" w:rsidRDefault="00CB5287" w:rsidP="00062DF2">
      <w:pPr>
        <w:pStyle w:val="NoSpacing"/>
        <w:jc w:val="both"/>
        <w:rPr>
          <w:rFonts w:ascii="Arial" w:hAnsi="Arial" w:cs="Arial"/>
        </w:rPr>
      </w:pPr>
      <w:r w:rsidRPr="00232D3B">
        <w:rPr>
          <w:rFonts w:ascii="Arial" w:hAnsi="Arial" w:cs="Arial"/>
        </w:rPr>
        <w:t xml:space="preserve">In </w:t>
      </w:r>
      <w:r w:rsidRPr="00232D3B">
        <w:rPr>
          <w:rFonts w:ascii="Arial" w:hAnsi="Arial" w:cs="Arial"/>
          <w:i/>
          <w:iCs/>
        </w:rPr>
        <w:t>Contango</w:t>
      </w:r>
      <w:r w:rsidRPr="00232D3B">
        <w:rPr>
          <w:rFonts w:ascii="Arial" w:hAnsi="Arial" w:cs="Arial"/>
        </w:rPr>
        <w:t>, an affidavit put up in the litigation by the Central Energy Fund had referred to two opinions provided to it by Senior Counsel. The reference was limited to the following statement:</w:t>
      </w:r>
    </w:p>
    <w:p w14:paraId="7A34FBD6" w14:textId="77777777" w:rsidR="004C0784" w:rsidRPr="00232D3B" w:rsidRDefault="004C0784" w:rsidP="00062DF2">
      <w:pPr>
        <w:pStyle w:val="NoSpacing"/>
        <w:jc w:val="both"/>
        <w:rPr>
          <w:rFonts w:ascii="Arial" w:hAnsi="Arial" w:cs="Arial"/>
        </w:rPr>
      </w:pPr>
    </w:p>
    <w:p w14:paraId="5DAE4BF5" w14:textId="77777777" w:rsidR="00CB5287" w:rsidRPr="00232D3B" w:rsidRDefault="008A715F" w:rsidP="00AD647B">
      <w:pPr>
        <w:pStyle w:val="NoSpacing"/>
        <w:ind w:left="720"/>
        <w:jc w:val="both"/>
        <w:rPr>
          <w:rFonts w:ascii="Arial" w:hAnsi="Arial" w:cs="Arial"/>
          <w:sz w:val="20"/>
          <w:szCs w:val="20"/>
        </w:rPr>
      </w:pPr>
      <w:r w:rsidRPr="00232D3B">
        <w:rPr>
          <w:rFonts w:ascii="Arial" w:hAnsi="Arial" w:cs="Arial"/>
          <w:sz w:val="20"/>
          <w:szCs w:val="20"/>
        </w:rPr>
        <w:t>“</w:t>
      </w:r>
      <w:r w:rsidR="00CB5287" w:rsidRPr="00232D3B">
        <w:rPr>
          <w:rFonts w:ascii="Arial" w:hAnsi="Arial" w:cs="Arial"/>
          <w:sz w:val="20"/>
          <w:szCs w:val="20"/>
        </w:rPr>
        <w:t>Although the advice received from senior counsel is le</w:t>
      </w:r>
      <w:r w:rsidR="00EF35C9" w:rsidRPr="00232D3B">
        <w:rPr>
          <w:rFonts w:ascii="Arial" w:hAnsi="Arial" w:cs="Arial"/>
          <w:sz w:val="20"/>
          <w:szCs w:val="20"/>
        </w:rPr>
        <w:t>gally privileged and</w:t>
      </w:r>
      <w:r w:rsidR="00CB5287" w:rsidRPr="00232D3B">
        <w:rPr>
          <w:rFonts w:ascii="Arial" w:hAnsi="Arial" w:cs="Arial"/>
          <w:sz w:val="20"/>
          <w:szCs w:val="20"/>
        </w:rPr>
        <w:t xml:space="preserve"> is not, I submit, capable of discovery, given where we are now, suffice it to say that the senior advocates agreed with the outcome of the CEF legal review.</w:t>
      </w:r>
      <w:r w:rsidRPr="00232D3B">
        <w:rPr>
          <w:rFonts w:ascii="Arial" w:hAnsi="Arial" w:cs="Arial"/>
          <w:sz w:val="20"/>
          <w:szCs w:val="20"/>
        </w:rPr>
        <w:t>”</w:t>
      </w:r>
      <w:r w:rsidR="00CB5287" w:rsidRPr="00232D3B">
        <w:rPr>
          <w:rStyle w:val="FootnoteReference"/>
          <w:rFonts w:ascii="Arial" w:hAnsi="Arial" w:cs="Arial"/>
          <w:sz w:val="20"/>
          <w:szCs w:val="20"/>
        </w:rPr>
        <w:footnoteReference w:id="30"/>
      </w:r>
    </w:p>
    <w:p w14:paraId="0A9AC28E" w14:textId="77777777" w:rsidR="004C0784" w:rsidRPr="00232D3B" w:rsidRDefault="004C0784" w:rsidP="00AD647B">
      <w:pPr>
        <w:pStyle w:val="NoSpacing"/>
        <w:ind w:left="720"/>
        <w:jc w:val="both"/>
        <w:rPr>
          <w:rFonts w:ascii="Arial" w:hAnsi="Arial" w:cs="Arial"/>
          <w:sz w:val="20"/>
          <w:szCs w:val="20"/>
        </w:rPr>
      </w:pPr>
    </w:p>
    <w:p w14:paraId="6E2671EA" w14:textId="77777777" w:rsidR="00CB5287" w:rsidRPr="00232D3B" w:rsidRDefault="00CB5287" w:rsidP="00062DF2">
      <w:pPr>
        <w:pStyle w:val="NoSpacing"/>
        <w:jc w:val="both"/>
        <w:rPr>
          <w:rFonts w:ascii="Arial" w:hAnsi="Arial" w:cs="Arial"/>
        </w:rPr>
      </w:pPr>
      <w:r w:rsidRPr="00232D3B">
        <w:rPr>
          <w:rFonts w:ascii="Arial" w:hAnsi="Arial" w:cs="Arial"/>
        </w:rPr>
        <w:t>The court held that the privilege, which admittedly at least initially attended on the obtaining of those opinions, had not been waived. The test for an implied waiver was said to be:</w:t>
      </w:r>
    </w:p>
    <w:p w14:paraId="53ED14E9" w14:textId="77777777" w:rsidR="004C0784" w:rsidRPr="00232D3B" w:rsidRDefault="004C0784" w:rsidP="00062DF2">
      <w:pPr>
        <w:pStyle w:val="NoSpacing"/>
        <w:jc w:val="both"/>
        <w:rPr>
          <w:rFonts w:ascii="Arial" w:hAnsi="Arial" w:cs="Arial"/>
        </w:rPr>
      </w:pPr>
    </w:p>
    <w:p w14:paraId="49480363" w14:textId="77777777" w:rsidR="00CB5287" w:rsidRPr="00232D3B" w:rsidRDefault="00045920" w:rsidP="00062DF2">
      <w:pPr>
        <w:pStyle w:val="NoSpacing"/>
        <w:ind w:left="720"/>
        <w:jc w:val="both"/>
        <w:rPr>
          <w:rFonts w:ascii="Arial" w:hAnsi="Arial" w:cs="Arial"/>
          <w:sz w:val="20"/>
          <w:szCs w:val="20"/>
        </w:rPr>
      </w:pPr>
      <w:r w:rsidRPr="00232D3B">
        <w:rPr>
          <w:rFonts w:ascii="Arial" w:hAnsi="Arial" w:cs="Arial"/>
          <w:sz w:val="20"/>
          <w:szCs w:val="20"/>
        </w:rPr>
        <w:t>“</w:t>
      </w:r>
      <w:r w:rsidR="00CB5287" w:rsidRPr="00232D3B">
        <w:rPr>
          <w:rFonts w:ascii="Arial" w:hAnsi="Arial" w:cs="Arial"/>
          <w:sz w:val="20"/>
          <w:szCs w:val="20"/>
        </w:rPr>
        <w:t>Implied waiver, as all the cases on the subject show, arises where the conduct of the person concerned is objectively inconsistent with the intention to maintain confidentiality and, if permitted, will unfairly fetter the opponent's ability to respond to the case or defence advanced in reliance on the privileged material.</w:t>
      </w:r>
      <w:r w:rsidRPr="00232D3B">
        <w:rPr>
          <w:rFonts w:ascii="Arial" w:hAnsi="Arial" w:cs="Arial"/>
          <w:sz w:val="20"/>
          <w:szCs w:val="20"/>
        </w:rPr>
        <w:t>”</w:t>
      </w:r>
      <w:r w:rsidR="00CB5287" w:rsidRPr="00232D3B">
        <w:rPr>
          <w:rStyle w:val="FootnoteReference"/>
          <w:rFonts w:ascii="Arial" w:hAnsi="Arial" w:cs="Arial"/>
          <w:sz w:val="20"/>
          <w:szCs w:val="20"/>
        </w:rPr>
        <w:footnoteReference w:id="31"/>
      </w:r>
    </w:p>
    <w:p w14:paraId="0376A1AC" w14:textId="77777777" w:rsidR="004C0784" w:rsidRPr="00232D3B" w:rsidRDefault="004C0784" w:rsidP="00062DF2">
      <w:pPr>
        <w:pStyle w:val="NoSpacing"/>
        <w:ind w:left="720"/>
        <w:jc w:val="both"/>
        <w:rPr>
          <w:rFonts w:ascii="Arial" w:hAnsi="Arial" w:cs="Arial"/>
          <w:sz w:val="20"/>
          <w:szCs w:val="20"/>
        </w:rPr>
      </w:pPr>
    </w:p>
    <w:p w14:paraId="7924F83B" w14:textId="77777777" w:rsidR="00CB5287" w:rsidRPr="00232D3B" w:rsidRDefault="00CB5287" w:rsidP="00062DF2">
      <w:pPr>
        <w:pStyle w:val="NoSpacing"/>
        <w:jc w:val="both"/>
        <w:rPr>
          <w:rFonts w:ascii="Arial" w:hAnsi="Arial" w:cs="Arial"/>
        </w:rPr>
      </w:pPr>
      <w:r w:rsidRPr="00232D3B">
        <w:rPr>
          <w:rFonts w:ascii="Arial" w:hAnsi="Arial" w:cs="Arial"/>
        </w:rPr>
        <w:t xml:space="preserve">It went on to hold that, in the circumstances of that matter, even where specific reference had been made to the nature of the advice given in the opinions, no waiver had been shown. It held that, </w:t>
      </w:r>
      <w:r w:rsidR="00095ECC" w:rsidRPr="00232D3B">
        <w:rPr>
          <w:rFonts w:ascii="Arial" w:hAnsi="Arial" w:cs="Arial"/>
        </w:rPr>
        <w:t>“</w:t>
      </w:r>
      <w:r w:rsidRPr="00232D3B">
        <w:rPr>
          <w:rFonts w:ascii="Arial" w:hAnsi="Arial" w:cs="Arial"/>
        </w:rPr>
        <w:t>[n]o reliance was placed on the content of the opinions in support of the case that had been set out in some detail. . .</w:t>
      </w:r>
      <w:r w:rsidR="00095ECC" w:rsidRPr="00232D3B">
        <w:rPr>
          <w:rFonts w:ascii="Arial" w:hAnsi="Arial" w:cs="Arial"/>
        </w:rPr>
        <w:t>”</w:t>
      </w:r>
      <w:r w:rsidRPr="00232D3B">
        <w:rPr>
          <w:rFonts w:ascii="Arial" w:hAnsi="Arial" w:cs="Arial"/>
        </w:rPr>
        <w:t>.</w:t>
      </w:r>
      <w:r w:rsidRPr="00232D3B">
        <w:rPr>
          <w:rStyle w:val="FootnoteReference"/>
          <w:rFonts w:ascii="Arial" w:hAnsi="Arial" w:cs="Arial"/>
        </w:rPr>
        <w:footnoteReference w:id="32"/>
      </w:r>
      <w:r w:rsidRPr="00232D3B">
        <w:rPr>
          <w:rFonts w:ascii="Arial" w:hAnsi="Arial" w:cs="Arial"/>
        </w:rPr>
        <w:t xml:space="preserve"> and further that </w:t>
      </w:r>
      <w:r w:rsidR="00452FED" w:rsidRPr="00232D3B">
        <w:rPr>
          <w:rFonts w:ascii="Arial" w:hAnsi="Arial" w:cs="Arial"/>
        </w:rPr>
        <w:t>“</w:t>
      </w:r>
      <w:r w:rsidRPr="00232D3B">
        <w:rPr>
          <w:rFonts w:ascii="Arial" w:hAnsi="Arial" w:cs="Arial"/>
        </w:rPr>
        <w:t>[t]hey did not incorporate the contents of the opinions into their case in a way that compelled the appellants to provide a response to those contents without having had sight of them</w:t>
      </w:r>
      <w:r w:rsidR="00452FED" w:rsidRPr="00232D3B">
        <w:rPr>
          <w:rFonts w:ascii="Arial" w:hAnsi="Arial" w:cs="Arial"/>
        </w:rPr>
        <w:t>”</w:t>
      </w:r>
      <w:r w:rsidRPr="00232D3B">
        <w:rPr>
          <w:rFonts w:ascii="Arial" w:hAnsi="Arial" w:cs="Arial"/>
        </w:rPr>
        <w:t xml:space="preserve">. It </w:t>
      </w:r>
      <w:r w:rsidR="00E67916" w:rsidRPr="00232D3B">
        <w:rPr>
          <w:rFonts w:ascii="Arial" w:hAnsi="Arial" w:cs="Arial"/>
        </w:rPr>
        <w:t>was held</w:t>
      </w:r>
      <w:r w:rsidRPr="00232D3B">
        <w:rPr>
          <w:rFonts w:ascii="Arial" w:hAnsi="Arial" w:cs="Arial"/>
        </w:rPr>
        <w:t xml:space="preserve"> that the application for their disclosure under Uniform rule 35(12) had been correctly dismissed.</w:t>
      </w:r>
    </w:p>
    <w:p w14:paraId="20651A3E" w14:textId="77777777" w:rsidR="004C0784" w:rsidRPr="00232D3B" w:rsidRDefault="004C0784" w:rsidP="00062DF2">
      <w:pPr>
        <w:pStyle w:val="NoSpacing"/>
        <w:jc w:val="both"/>
        <w:rPr>
          <w:rFonts w:ascii="Arial" w:hAnsi="Arial" w:cs="Arial"/>
        </w:rPr>
      </w:pPr>
    </w:p>
    <w:p w14:paraId="61AC71B9" w14:textId="77777777" w:rsidR="00CB5287" w:rsidRPr="00232D3B" w:rsidRDefault="00CB5287" w:rsidP="00062DF2">
      <w:pPr>
        <w:pStyle w:val="NoSpacing"/>
        <w:jc w:val="both"/>
        <w:rPr>
          <w:rFonts w:ascii="Arial" w:hAnsi="Arial" w:cs="Arial"/>
        </w:rPr>
      </w:pPr>
      <w:r w:rsidRPr="00232D3B">
        <w:rPr>
          <w:rFonts w:ascii="Arial" w:hAnsi="Arial" w:cs="Arial"/>
        </w:rPr>
        <w:t xml:space="preserve">The crisp question determining an implied waiver, thus, </w:t>
      </w:r>
      <w:r w:rsidRPr="00232D3B">
        <w:rPr>
          <w:rFonts w:ascii="Arial" w:hAnsi="Arial" w:cs="Arial"/>
          <w:bCs/>
          <w:i/>
          <w:iCs/>
        </w:rPr>
        <w:t xml:space="preserve">is whether the furnishing of the report to Dr Hall and her mention of it in her report </w:t>
      </w:r>
      <w:r w:rsidR="00452FED" w:rsidRPr="00232D3B">
        <w:rPr>
          <w:rFonts w:ascii="Arial" w:hAnsi="Arial" w:cs="Arial"/>
          <w:bCs/>
          <w:i/>
          <w:iCs/>
        </w:rPr>
        <w:t>“</w:t>
      </w:r>
      <w:r w:rsidRPr="00232D3B">
        <w:rPr>
          <w:rFonts w:ascii="Arial" w:hAnsi="Arial" w:cs="Arial"/>
          <w:bCs/>
          <w:i/>
          <w:iCs/>
        </w:rPr>
        <w:t>is objectively inconsistent with the intention to maintain confidentiality</w:t>
      </w:r>
      <w:r w:rsidRPr="00232D3B">
        <w:rPr>
          <w:rFonts w:ascii="Arial" w:hAnsi="Arial" w:cs="Arial"/>
        </w:rPr>
        <w:t xml:space="preserve"> and, </w:t>
      </w:r>
      <w:r w:rsidRPr="00232D3B">
        <w:rPr>
          <w:rFonts w:ascii="Arial" w:hAnsi="Arial" w:cs="Arial"/>
          <w:bCs/>
          <w:i/>
          <w:iCs/>
        </w:rPr>
        <w:t>if permitted</w:t>
      </w:r>
      <w:r w:rsidRPr="00232D3B">
        <w:rPr>
          <w:rFonts w:ascii="Arial" w:hAnsi="Arial" w:cs="Arial"/>
        </w:rPr>
        <w:t xml:space="preserve">, will </w:t>
      </w:r>
      <w:r w:rsidRPr="00232D3B">
        <w:rPr>
          <w:rFonts w:ascii="Arial" w:hAnsi="Arial" w:cs="Arial"/>
          <w:bCs/>
          <w:i/>
          <w:iCs/>
        </w:rPr>
        <w:t>unfairly fetter the opponent's ability to respond to the case or defence advanced in reliance on the privileged material</w:t>
      </w:r>
      <w:r w:rsidRPr="00232D3B">
        <w:rPr>
          <w:rFonts w:ascii="Arial" w:hAnsi="Arial" w:cs="Arial"/>
        </w:rPr>
        <w:t>.</w:t>
      </w:r>
      <w:r w:rsidR="00452FED" w:rsidRPr="00232D3B">
        <w:rPr>
          <w:rFonts w:ascii="Arial" w:hAnsi="Arial" w:cs="Arial"/>
        </w:rPr>
        <w:t>”</w:t>
      </w:r>
      <w:r w:rsidRPr="00232D3B">
        <w:rPr>
          <w:rStyle w:val="FootnoteReference"/>
          <w:rFonts w:ascii="Arial" w:hAnsi="Arial" w:cs="Arial"/>
        </w:rPr>
        <w:footnoteReference w:id="33"/>
      </w:r>
      <w:r w:rsidRPr="00232D3B">
        <w:rPr>
          <w:rFonts w:ascii="Arial" w:hAnsi="Arial" w:cs="Arial"/>
        </w:rPr>
        <w:t xml:space="preserve"> The reference of Dr Hall to her having received the report </w:t>
      </w:r>
      <w:r w:rsidRPr="00232D3B">
        <w:rPr>
          <w:rFonts w:ascii="Arial" w:hAnsi="Arial" w:cs="Arial"/>
          <w:bCs/>
          <w:i/>
          <w:iCs/>
        </w:rPr>
        <w:t>makes no disclosure at all of its contents or even conclusion</w:t>
      </w:r>
      <w:r w:rsidRPr="00232D3B">
        <w:rPr>
          <w:rFonts w:ascii="Arial" w:hAnsi="Arial" w:cs="Arial"/>
        </w:rPr>
        <w:t xml:space="preserve">. The reference is </w:t>
      </w:r>
      <w:r w:rsidRPr="00232D3B">
        <w:rPr>
          <w:rFonts w:ascii="Arial" w:hAnsi="Arial" w:cs="Arial"/>
          <w:bCs/>
          <w:i/>
          <w:iCs/>
        </w:rPr>
        <w:t>substantially less than that in Contango to the opinions</w:t>
      </w:r>
      <w:r w:rsidRPr="00232D3B">
        <w:rPr>
          <w:rFonts w:ascii="Arial" w:hAnsi="Arial" w:cs="Arial"/>
        </w:rPr>
        <w:t xml:space="preserve">. In the latter case, it was said that the opinions supported the review. In the present matter all that is said </w:t>
      </w:r>
      <w:r w:rsidRPr="00232D3B">
        <w:rPr>
          <w:rFonts w:ascii="Arial" w:hAnsi="Arial" w:cs="Arial"/>
          <w:bCs/>
          <w:i/>
          <w:iCs/>
        </w:rPr>
        <w:t>is that the desired report was provided to her</w:t>
      </w:r>
      <w:r w:rsidRPr="00232D3B">
        <w:rPr>
          <w:rFonts w:ascii="Arial" w:hAnsi="Arial" w:cs="Arial"/>
        </w:rPr>
        <w:t xml:space="preserve">. </w:t>
      </w:r>
      <w:r w:rsidRPr="00232D3B">
        <w:rPr>
          <w:rFonts w:ascii="Arial" w:hAnsi="Arial" w:cs="Arial"/>
          <w:bCs/>
          <w:i/>
          <w:iCs/>
        </w:rPr>
        <w:t xml:space="preserve">There is no reference at all to the content </w:t>
      </w:r>
      <w:r w:rsidRPr="00232D3B">
        <w:rPr>
          <w:rFonts w:ascii="Arial" w:hAnsi="Arial" w:cs="Arial"/>
          <w:bCs/>
          <w:i/>
          <w:iCs/>
        </w:rPr>
        <w:lastRenderedPageBreak/>
        <w:t>or findings of the desired report. It cannot be said that, even if Dr Hall is called as a witness, the respondent is in any way relying on the desired report</w:t>
      </w:r>
      <w:r w:rsidRPr="00232D3B">
        <w:rPr>
          <w:rFonts w:ascii="Arial" w:hAnsi="Arial" w:cs="Arial"/>
        </w:rPr>
        <w:t xml:space="preserve">. The applicant will not be </w:t>
      </w:r>
      <w:r w:rsidRPr="00232D3B">
        <w:rPr>
          <w:rFonts w:ascii="Arial" w:hAnsi="Arial" w:cs="Arial"/>
          <w:bCs/>
          <w:i/>
          <w:iCs/>
        </w:rPr>
        <w:t>required to respond to the desired report without sight of it</w:t>
      </w:r>
      <w:r w:rsidRPr="00232D3B">
        <w:rPr>
          <w:rFonts w:ascii="Arial" w:hAnsi="Arial" w:cs="Arial"/>
        </w:rPr>
        <w:t xml:space="preserve">. The failure to produce </w:t>
      </w:r>
      <w:r w:rsidRPr="00232D3B">
        <w:rPr>
          <w:rFonts w:ascii="Arial" w:hAnsi="Arial" w:cs="Arial"/>
          <w:bCs/>
          <w:i/>
          <w:iCs/>
        </w:rPr>
        <w:t>it cannot in any way prejudice the applicant in addressing the respondent’s defence to the action</w:t>
      </w:r>
      <w:r w:rsidRPr="00232D3B">
        <w:rPr>
          <w:rFonts w:ascii="Arial" w:hAnsi="Arial" w:cs="Arial"/>
        </w:rPr>
        <w:t>.</w:t>
      </w:r>
    </w:p>
    <w:p w14:paraId="4D3C005C" w14:textId="77777777" w:rsidR="004C0784" w:rsidRPr="00232D3B" w:rsidRDefault="004C0784" w:rsidP="00062DF2">
      <w:pPr>
        <w:pStyle w:val="NoSpacing"/>
        <w:jc w:val="both"/>
        <w:rPr>
          <w:rFonts w:ascii="Arial" w:hAnsi="Arial" w:cs="Arial"/>
        </w:rPr>
      </w:pPr>
    </w:p>
    <w:p w14:paraId="11E6A044" w14:textId="77777777" w:rsidR="00CB5287" w:rsidRPr="00232D3B" w:rsidRDefault="00CB5287" w:rsidP="00062DF2">
      <w:pPr>
        <w:pStyle w:val="NoSpacing"/>
        <w:jc w:val="both"/>
        <w:rPr>
          <w:rFonts w:ascii="Arial" w:hAnsi="Arial" w:cs="Arial"/>
        </w:rPr>
      </w:pPr>
      <w:r w:rsidRPr="00232D3B">
        <w:rPr>
          <w:rFonts w:ascii="Arial" w:hAnsi="Arial" w:cs="Arial"/>
        </w:rPr>
        <w:t>In these circumstances, it is my view that the applicant has not made out a case that the respondent has waived the privilege. This means that the application cannot succeed.</w:t>
      </w:r>
      <w:r w:rsidR="007B2000" w:rsidRPr="00232D3B">
        <w:rPr>
          <w:rFonts w:ascii="Arial" w:hAnsi="Arial" w:cs="Arial"/>
        </w:rPr>
        <w:t>’</w:t>
      </w:r>
      <w:r w:rsidRPr="00232D3B">
        <w:rPr>
          <w:rFonts w:ascii="Arial" w:hAnsi="Arial" w:cs="Arial"/>
        </w:rPr>
        <w:t xml:space="preserve"> </w:t>
      </w:r>
      <w:r w:rsidR="00452FED" w:rsidRPr="00232D3B">
        <w:rPr>
          <w:rFonts w:ascii="Arial" w:hAnsi="Arial" w:cs="Arial"/>
        </w:rPr>
        <w:t>(Own emphasis</w:t>
      </w:r>
      <w:r w:rsidR="007B2000" w:rsidRPr="00232D3B">
        <w:rPr>
          <w:rFonts w:ascii="Arial" w:hAnsi="Arial" w:cs="Arial"/>
        </w:rPr>
        <w:t>.</w:t>
      </w:r>
      <w:r w:rsidR="00452FED" w:rsidRPr="00232D3B">
        <w:rPr>
          <w:rFonts w:ascii="Arial" w:hAnsi="Arial" w:cs="Arial"/>
        </w:rPr>
        <w:t>)</w:t>
      </w:r>
    </w:p>
    <w:p w14:paraId="579F182F" w14:textId="77777777" w:rsidR="00E90861" w:rsidRPr="00232D3B" w:rsidRDefault="00E90861" w:rsidP="00282F3F">
      <w:pPr>
        <w:shd w:val="clear" w:color="auto" w:fill="FFFFFF"/>
        <w:spacing w:after="0" w:line="360" w:lineRule="auto"/>
        <w:ind w:left="1440"/>
        <w:jc w:val="both"/>
        <w:rPr>
          <w:rFonts w:ascii="Arial" w:hAnsi="Arial" w:cs="Arial"/>
          <w:sz w:val="24"/>
          <w:szCs w:val="24"/>
        </w:rPr>
      </w:pPr>
    </w:p>
    <w:p w14:paraId="0D6FA7DB" w14:textId="77777777" w:rsidR="00E90861" w:rsidRPr="00232D3B" w:rsidRDefault="008E2AE9" w:rsidP="0055599A">
      <w:pPr>
        <w:tabs>
          <w:tab w:val="left" w:pos="810"/>
        </w:tabs>
        <w:spacing w:after="120" w:line="360" w:lineRule="auto"/>
        <w:jc w:val="both"/>
        <w:rPr>
          <w:rFonts w:ascii="Arial" w:hAnsi="Arial" w:cs="Arial"/>
          <w:sz w:val="24"/>
          <w:szCs w:val="24"/>
        </w:rPr>
      </w:pPr>
      <w:r w:rsidRPr="00232D3B">
        <w:rPr>
          <w:rFonts w:ascii="Arial" w:hAnsi="Arial" w:cs="Arial"/>
          <w:sz w:val="24"/>
          <w:szCs w:val="24"/>
        </w:rPr>
        <w:t>[</w:t>
      </w:r>
      <w:r w:rsidR="00095382" w:rsidRPr="00232D3B">
        <w:rPr>
          <w:rFonts w:ascii="Arial" w:hAnsi="Arial" w:cs="Arial"/>
          <w:sz w:val="24"/>
          <w:szCs w:val="24"/>
        </w:rPr>
        <w:t>39</w:t>
      </w:r>
      <w:r w:rsidRPr="00232D3B">
        <w:rPr>
          <w:rFonts w:ascii="Arial" w:hAnsi="Arial" w:cs="Arial"/>
          <w:sz w:val="24"/>
          <w:szCs w:val="24"/>
        </w:rPr>
        <w:t>]</w:t>
      </w:r>
      <w:r w:rsidRPr="00232D3B">
        <w:rPr>
          <w:rFonts w:ascii="Arial" w:hAnsi="Arial" w:cs="Arial"/>
          <w:sz w:val="24"/>
          <w:szCs w:val="24"/>
        </w:rPr>
        <w:tab/>
      </w:r>
      <w:r w:rsidR="00E90861" w:rsidRPr="00232D3B">
        <w:rPr>
          <w:rFonts w:ascii="Arial" w:hAnsi="Arial" w:cs="Arial"/>
          <w:sz w:val="24"/>
          <w:szCs w:val="24"/>
        </w:rPr>
        <w:t xml:space="preserve">In </w:t>
      </w:r>
      <w:r w:rsidR="00E90861" w:rsidRPr="00232D3B">
        <w:rPr>
          <w:rFonts w:ascii="Arial" w:hAnsi="Arial" w:cs="Arial"/>
          <w:i/>
          <w:sz w:val="24"/>
          <w:szCs w:val="24"/>
        </w:rPr>
        <w:t>Contango Tradi</w:t>
      </w:r>
      <w:r w:rsidR="00406E53" w:rsidRPr="00232D3B">
        <w:rPr>
          <w:rFonts w:ascii="Arial" w:hAnsi="Arial" w:cs="Arial"/>
          <w:i/>
          <w:sz w:val="24"/>
          <w:szCs w:val="24"/>
        </w:rPr>
        <w:t>ng SA and Others v Central Energy Fund Soc</w:t>
      </w:r>
      <w:r w:rsidR="00E90861" w:rsidRPr="00232D3B">
        <w:rPr>
          <w:rFonts w:ascii="Arial" w:hAnsi="Arial" w:cs="Arial"/>
          <w:i/>
          <w:sz w:val="24"/>
          <w:szCs w:val="24"/>
        </w:rPr>
        <w:t xml:space="preserve"> Limited</w:t>
      </w:r>
      <w:r w:rsidR="00712716" w:rsidRPr="00232D3B">
        <w:rPr>
          <w:rFonts w:ascii="Arial" w:hAnsi="Arial" w:cs="Arial"/>
          <w:iCs/>
          <w:sz w:val="24"/>
          <w:szCs w:val="24"/>
        </w:rPr>
        <w:t>,</w:t>
      </w:r>
      <w:r w:rsidR="00406E53" w:rsidRPr="00232D3B">
        <w:rPr>
          <w:rStyle w:val="FootnoteReference"/>
          <w:rFonts w:ascii="Arial" w:hAnsi="Arial" w:cs="Arial"/>
          <w:iCs/>
          <w:sz w:val="24"/>
          <w:szCs w:val="24"/>
        </w:rPr>
        <w:footnoteReference w:id="34"/>
      </w:r>
      <w:r w:rsidR="00E90861" w:rsidRPr="00232D3B">
        <w:rPr>
          <w:rFonts w:ascii="Arial" w:hAnsi="Arial" w:cs="Arial"/>
          <w:i/>
          <w:sz w:val="24"/>
          <w:szCs w:val="24"/>
        </w:rPr>
        <w:t xml:space="preserve"> </w:t>
      </w:r>
      <w:r w:rsidR="00E90861" w:rsidRPr="00232D3B">
        <w:rPr>
          <w:rFonts w:ascii="Arial" w:hAnsi="Arial" w:cs="Arial"/>
          <w:sz w:val="24"/>
          <w:szCs w:val="24"/>
        </w:rPr>
        <w:t>the Supr</w:t>
      </w:r>
      <w:r w:rsidR="00545763" w:rsidRPr="00232D3B">
        <w:rPr>
          <w:rFonts w:ascii="Arial" w:hAnsi="Arial" w:cs="Arial"/>
          <w:sz w:val="24"/>
          <w:szCs w:val="24"/>
        </w:rPr>
        <w:t>eme Court of Appeal held</w:t>
      </w:r>
      <w:r w:rsidR="00406E53" w:rsidRPr="00232D3B">
        <w:rPr>
          <w:rFonts w:ascii="Arial" w:hAnsi="Arial" w:cs="Arial"/>
          <w:sz w:val="24"/>
          <w:szCs w:val="24"/>
        </w:rPr>
        <w:t>:</w:t>
      </w:r>
    </w:p>
    <w:p w14:paraId="520DE6A3" w14:textId="77777777" w:rsidR="00E90861" w:rsidRPr="00232D3B" w:rsidRDefault="00712716" w:rsidP="004C0784">
      <w:pPr>
        <w:pStyle w:val="NoSpacing"/>
        <w:jc w:val="both"/>
        <w:rPr>
          <w:rFonts w:ascii="Arial" w:hAnsi="Arial" w:cs="Arial"/>
        </w:rPr>
      </w:pPr>
      <w:r w:rsidRPr="00232D3B">
        <w:rPr>
          <w:rFonts w:ascii="Arial" w:hAnsi="Arial" w:cs="Arial"/>
        </w:rPr>
        <w:t>‘</w:t>
      </w:r>
      <w:r w:rsidR="00FF2E39" w:rsidRPr="00232D3B">
        <w:rPr>
          <w:rFonts w:ascii="Arial" w:hAnsi="Arial" w:cs="Arial"/>
        </w:rPr>
        <w:t>The rule is “o</w:t>
      </w:r>
      <w:r w:rsidR="00E90861" w:rsidRPr="00232D3B">
        <w:rPr>
          <w:rFonts w:ascii="Arial" w:hAnsi="Arial" w:cs="Arial"/>
        </w:rPr>
        <w:t>nce privileged</w:t>
      </w:r>
      <w:r w:rsidR="00FF2E39" w:rsidRPr="00232D3B">
        <w:rPr>
          <w:rFonts w:ascii="Arial" w:hAnsi="Arial" w:cs="Arial"/>
        </w:rPr>
        <w:t>,</w:t>
      </w:r>
      <w:r w:rsidR="00E90861" w:rsidRPr="00232D3B">
        <w:rPr>
          <w:rFonts w:ascii="Arial" w:hAnsi="Arial" w:cs="Arial"/>
        </w:rPr>
        <w:t xml:space="preserve"> always privileged” and it is a fundamental condition on which the administration of justice rests. Only waiver can disturb it</w:t>
      </w:r>
      <w:r w:rsidR="00CC2A86" w:rsidRPr="00232D3B">
        <w:rPr>
          <w:rFonts w:ascii="Arial" w:hAnsi="Arial" w:cs="Arial"/>
        </w:rPr>
        <w:t>.’</w:t>
      </w:r>
    </w:p>
    <w:p w14:paraId="7A55D9C5" w14:textId="77777777" w:rsidR="00FF2E39" w:rsidRPr="00232D3B" w:rsidRDefault="00FF2E39" w:rsidP="004C0784">
      <w:pPr>
        <w:pStyle w:val="NoSpacing"/>
        <w:jc w:val="both"/>
        <w:rPr>
          <w:rFonts w:ascii="Arial" w:hAnsi="Arial" w:cs="Arial"/>
          <w:sz w:val="24"/>
          <w:szCs w:val="24"/>
        </w:rPr>
      </w:pPr>
    </w:p>
    <w:p w14:paraId="4A90639C" w14:textId="7B3304C2" w:rsidR="00E90861" w:rsidRPr="00232D3B" w:rsidRDefault="007A4D41" w:rsidP="0055599A">
      <w:pPr>
        <w:spacing w:after="120" w:line="360" w:lineRule="auto"/>
        <w:jc w:val="both"/>
        <w:rPr>
          <w:rFonts w:ascii="Arial" w:hAnsi="Arial" w:cs="Arial"/>
          <w:sz w:val="24"/>
          <w:szCs w:val="24"/>
        </w:rPr>
      </w:pPr>
      <w:r w:rsidRPr="00232D3B">
        <w:rPr>
          <w:rFonts w:ascii="Arial" w:hAnsi="Arial" w:cs="Arial"/>
          <w:sz w:val="24"/>
          <w:szCs w:val="24"/>
        </w:rPr>
        <w:t>[</w:t>
      </w:r>
      <w:r w:rsidR="00095382" w:rsidRPr="00232D3B">
        <w:rPr>
          <w:rFonts w:ascii="Arial" w:hAnsi="Arial" w:cs="Arial"/>
          <w:sz w:val="24"/>
          <w:szCs w:val="24"/>
        </w:rPr>
        <w:t>40</w:t>
      </w:r>
      <w:r w:rsidRPr="00232D3B">
        <w:rPr>
          <w:rFonts w:ascii="Arial" w:hAnsi="Arial" w:cs="Arial"/>
          <w:sz w:val="24"/>
          <w:szCs w:val="24"/>
        </w:rPr>
        <w:t>]</w:t>
      </w:r>
      <w:r w:rsidRPr="00232D3B">
        <w:rPr>
          <w:rFonts w:ascii="Arial" w:hAnsi="Arial" w:cs="Arial"/>
          <w:sz w:val="24"/>
          <w:szCs w:val="24"/>
        </w:rPr>
        <w:tab/>
      </w:r>
      <w:r w:rsidR="0026214B" w:rsidRPr="00232D3B">
        <w:rPr>
          <w:rFonts w:ascii="Arial" w:hAnsi="Arial" w:cs="Arial"/>
          <w:sz w:val="24"/>
          <w:szCs w:val="24"/>
        </w:rPr>
        <w:t>Also at</w:t>
      </w:r>
      <w:r w:rsidR="00E90861" w:rsidRPr="00232D3B">
        <w:rPr>
          <w:rFonts w:ascii="Arial" w:hAnsi="Arial" w:cs="Arial"/>
          <w:sz w:val="24"/>
          <w:szCs w:val="24"/>
        </w:rPr>
        <w:t xml:space="preserve"> paragraph 29 the Supreme Court</w:t>
      </w:r>
      <w:r w:rsidR="00C3132B">
        <w:rPr>
          <w:rFonts w:ascii="Arial" w:hAnsi="Arial" w:cs="Arial"/>
          <w:sz w:val="24"/>
          <w:szCs w:val="24"/>
        </w:rPr>
        <w:t xml:space="preserve"> of Appeal</w:t>
      </w:r>
      <w:r w:rsidR="00E90861" w:rsidRPr="00232D3B">
        <w:rPr>
          <w:rFonts w:ascii="Arial" w:hAnsi="Arial" w:cs="Arial"/>
          <w:sz w:val="24"/>
          <w:szCs w:val="24"/>
        </w:rPr>
        <w:t xml:space="preserve"> in </w:t>
      </w:r>
      <w:r w:rsidR="00E90861" w:rsidRPr="00232D3B">
        <w:rPr>
          <w:rFonts w:ascii="Arial" w:hAnsi="Arial" w:cs="Arial"/>
          <w:i/>
          <w:sz w:val="24"/>
          <w:szCs w:val="24"/>
        </w:rPr>
        <w:t>Contango</w:t>
      </w:r>
      <w:r w:rsidR="00E90861" w:rsidRPr="00232D3B">
        <w:rPr>
          <w:rFonts w:ascii="Arial" w:hAnsi="Arial" w:cs="Arial"/>
          <w:sz w:val="24"/>
          <w:szCs w:val="24"/>
        </w:rPr>
        <w:t xml:space="preserve"> stated:</w:t>
      </w:r>
    </w:p>
    <w:p w14:paraId="204A3A0E" w14:textId="77777777" w:rsidR="00E90861" w:rsidRPr="00232D3B" w:rsidRDefault="00CB7EEA" w:rsidP="004C0784">
      <w:pPr>
        <w:pStyle w:val="NoSpacing"/>
        <w:jc w:val="both"/>
        <w:rPr>
          <w:rFonts w:ascii="Arial" w:hAnsi="Arial" w:cs="Arial"/>
          <w:iCs/>
        </w:rPr>
      </w:pPr>
      <w:r w:rsidRPr="00232D3B">
        <w:rPr>
          <w:rFonts w:ascii="Arial" w:hAnsi="Arial" w:cs="Arial"/>
        </w:rPr>
        <w:t>‘</w:t>
      </w:r>
      <w:r w:rsidR="00FF2E39" w:rsidRPr="00232D3B">
        <w:rPr>
          <w:rFonts w:ascii="Arial" w:hAnsi="Arial" w:cs="Arial"/>
          <w:iCs/>
        </w:rPr>
        <w:t xml:space="preserve">In </w:t>
      </w:r>
      <w:r w:rsidR="00FF2E39" w:rsidRPr="00232D3B">
        <w:rPr>
          <w:rFonts w:ascii="Arial" w:hAnsi="Arial" w:cs="Arial"/>
          <w:i/>
        </w:rPr>
        <w:t>ArcelorM</w:t>
      </w:r>
      <w:r w:rsidR="00E90861" w:rsidRPr="00232D3B">
        <w:rPr>
          <w:rFonts w:ascii="Arial" w:hAnsi="Arial" w:cs="Arial"/>
          <w:i/>
        </w:rPr>
        <w:t xml:space="preserve">ittal </w:t>
      </w:r>
      <w:r w:rsidR="00E90861" w:rsidRPr="00232D3B">
        <w:rPr>
          <w:rFonts w:ascii="Arial" w:hAnsi="Arial" w:cs="Arial"/>
        </w:rPr>
        <w:t>we explained that litigation</w:t>
      </w:r>
      <w:r w:rsidR="00FF2E39" w:rsidRPr="00232D3B">
        <w:rPr>
          <w:rFonts w:ascii="Arial" w:hAnsi="Arial" w:cs="Arial"/>
        </w:rPr>
        <w:t xml:space="preserve"> privilege has two requirements:</w:t>
      </w:r>
      <w:r w:rsidR="00E90861" w:rsidRPr="00232D3B">
        <w:rPr>
          <w:rFonts w:ascii="Arial" w:hAnsi="Arial" w:cs="Arial"/>
        </w:rPr>
        <w:t xml:space="preserve"> The first is that the document must have been obtained or brought into existence for the </w:t>
      </w:r>
      <w:r w:rsidR="00E90861" w:rsidRPr="00232D3B">
        <w:rPr>
          <w:rFonts w:ascii="Arial" w:hAnsi="Arial" w:cs="Arial"/>
          <w:iCs/>
        </w:rPr>
        <w:t>purpose of a litigant’s submission to a</w:t>
      </w:r>
      <w:r w:rsidR="00FF2E39" w:rsidRPr="00232D3B">
        <w:rPr>
          <w:rFonts w:ascii="Arial" w:hAnsi="Arial" w:cs="Arial"/>
          <w:iCs/>
        </w:rPr>
        <w:t xml:space="preserve"> legal advisor for legal advice;</w:t>
      </w:r>
      <w:r w:rsidR="00E90861" w:rsidRPr="00232D3B">
        <w:rPr>
          <w:rFonts w:ascii="Arial" w:hAnsi="Arial" w:cs="Arial"/>
          <w:i/>
        </w:rPr>
        <w:t xml:space="preserve"> </w:t>
      </w:r>
      <w:r w:rsidR="00A91C6A" w:rsidRPr="00232D3B">
        <w:rPr>
          <w:rFonts w:ascii="Arial" w:hAnsi="Arial" w:cs="Arial"/>
        </w:rPr>
        <w:t>and</w:t>
      </w:r>
      <w:r w:rsidR="00E90861" w:rsidRPr="00232D3B">
        <w:rPr>
          <w:rFonts w:ascii="Arial" w:hAnsi="Arial" w:cs="Arial"/>
          <w:i/>
        </w:rPr>
        <w:t xml:space="preserve"> </w:t>
      </w:r>
      <w:r w:rsidR="00E90861" w:rsidRPr="00232D3B">
        <w:rPr>
          <w:rFonts w:ascii="Arial" w:hAnsi="Arial" w:cs="Arial"/>
          <w:iCs/>
        </w:rPr>
        <w:t>second, that litigation was pending or contemplated as likely at the time</w:t>
      </w:r>
      <w:r w:rsidRPr="00232D3B">
        <w:rPr>
          <w:rFonts w:ascii="Arial" w:hAnsi="Arial" w:cs="Arial"/>
          <w:iCs/>
        </w:rPr>
        <w:t>.’</w:t>
      </w:r>
      <w:r w:rsidR="00FF2E39" w:rsidRPr="00232D3B">
        <w:rPr>
          <w:rStyle w:val="FootnoteReference"/>
          <w:rFonts w:ascii="Arial" w:hAnsi="Arial" w:cs="Arial"/>
        </w:rPr>
        <w:footnoteReference w:id="35"/>
      </w:r>
    </w:p>
    <w:p w14:paraId="11BB4B45" w14:textId="77777777" w:rsidR="00CB7EEA" w:rsidRPr="00232D3B" w:rsidRDefault="00CB7EEA" w:rsidP="0055599A">
      <w:pPr>
        <w:pStyle w:val="ListParagraph"/>
        <w:spacing w:after="0" w:line="360" w:lineRule="auto"/>
        <w:ind w:left="0"/>
        <w:jc w:val="both"/>
        <w:rPr>
          <w:rFonts w:ascii="Arial" w:hAnsi="Arial" w:cs="Arial"/>
          <w:iCs/>
        </w:rPr>
      </w:pPr>
    </w:p>
    <w:p w14:paraId="59434246" w14:textId="77777777" w:rsidR="00E90861" w:rsidRPr="00232D3B" w:rsidRDefault="00F11156" w:rsidP="0055599A">
      <w:pPr>
        <w:spacing w:after="120" w:line="360" w:lineRule="auto"/>
        <w:jc w:val="both"/>
        <w:rPr>
          <w:rFonts w:ascii="Arial" w:hAnsi="Arial" w:cs="Arial"/>
          <w:sz w:val="24"/>
          <w:szCs w:val="24"/>
        </w:rPr>
      </w:pPr>
      <w:r w:rsidRPr="00232D3B">
        <w:rPr>
          <w:rFonts w:ascii="Arial" w:hAnsi="Arial" w:cs="Arial"/>
          <w:sz w:val="24"/>
          <w:szCs w:val="24"/>
        </w:rPr>
        <w:t>[</w:t>
      </w:r>
      <w:r w:rsidR="00095382" w:rsidRPr="00232D3B">
        <w:rPr>
          <w:rFonts w:ascii="Arial" w:hAnsi="Arial" w:cs="Arial"/>
          <w:sz w:val="24"/>
          <w:szCs w:val="24"/>
        </w:rPr>
        <w:t>41</w:t>
      </w:r>
      <w:r w:rsidRPr="00232D3B">
        <w:rPr>
          <w:rFonts w:ascii="Arial" w:hAnsi="Arial" w:cs="Arial"/>
          <w:sz w:val="24"/>
          <w:szCs w:val="24"/>
        </w:rPr>
        <w:t>]</w:t>
      </w:r>
      <w:r w:rsidRPr="00232D3B">
        <w:rPr>
          <w:rFonts w:ascii="Arial" w:hAnsi="Arial" w:cs="Arial"/>
          <w:sz w:val="24"/>
          <w:szCs w:val="24"/>
        </w:rPr>
        <w:tab/>
      </w:r>
      <w:r w:rsidR="00E90861" w:rsidRPr="00232D3B">
        <w:rPr>
          <w:rFonts w:ascii="Arial" w:hAnsi="Arial" w:cs="Arial"/>
          <w:sz w:val="24"/>
          <w:szCs w:val="24"/>
        </w:rPr>
        <w:t xml:space="preserve">In the </w:t>
      </w:r>
      <w:r w:rsidR="00E90861" w:rsidRPr="00232D3B">
        <w:rPr>
          <w:rFonts w:ascii="Arial" w:hAnsi="Arial" w:cs="Arial"/>
          <w:i/>
          <w:sz w:val="24"/>
          <w:szCs w:val="24"/>
        </w:rPr>
        <w:t>MEC for Health</w:t>
      </w:r>
      <w:r w:rsidR="00FA3925" w:rsidRPr="00232D3B">
        <w:rPr>
          <w:rFonts w:ascii="Arial" w:hAnsi="Arial" w:cs="Arial"/>
          <w:i/>
          <w:sz w:val="24"/>
          <w:szCs w:val="24"/>
        </w:rPr>
        <w:t>,</w:t>
      </w:r>
      <w:r w:rsidR="00E90861" w:rsidRPr="00232D3B">
        <w:rPr>
          <w:rFonts w:ascii="Arial" w:hAnsi="Arial" w:cs="Arial"/>
          <w:i/>
          <w:sz w:val="24"/>
          <w:szCs w:val="24"/>
        </w:rPr>
        <w:t xml:space="preserve"> North West Province v Dumisani</w:t>
      </w:r>
      <w:r w:rsidRPr="00232D3B">
        <w:rPr>
          <w:rFonts w:ascii="Arial" w:hAnsi="Arial" w:cs="Arial"/>
          <w:iCs/>
          <w:sz w:val="24"/>
          <w:szCs w:val="24"/>
        </w:rPr>
        <w:t>,</w:t>
      </w:r>
      <w:r w:rsidR="00E90861" w:rsidRPr="00232D3B">
        <w:rPr>
          <w:rStyle w:val="FootnoteReference"/>
          <w:rFonts w:ascii="Arial" w:hAnsi="Arial" w:cs="Arial"/>
          <w:sz w:val="24"/>
          <w:szCs w:val="24"/>
        </w:rPr>
        <w:footnoteReference w:id="36"/>
      </w:r>
      <w:r w:rsidR="00E90861" w:rsidRPr="00232D3B">
        <w:rPr>
          <w:rFonts w:ascii="Arial" w:hAnsi="Arial" w:cs="Arial"/>
          <w:b/>
          <w:sz w:val="24"/>
          <w:szCs w:val="24"/>
        </w:rPr>
        <w:t xml:space="preserve"> </w:t>
      </w:r>
      <w:r w:rsidR="00FA3925" w:rsidRPr="00232D3B">
        <w:rPr>
          <w:rFonts w:ascii="Arial" w:hAnsi="Arial" w:cs="Arial"/>
          <w:sz w:val="24"/>
          <w:szCs w:val="24"/>
        </w:rPr>
        <w:t>the c</w:t>
      </w:r>
      <w:r w:rsidR="00E90861" w:rsidRPr="00232D3B">
        <w:rPr>
          <w:rFonts w:ascii="Arial" w:hAnsi="Arial" w:cs="Arial"/>
          <w:sz w:val="24"/>
          <w:szCs w:val="24"/>
        </w:rPr>
        <w:t>ourt agreed that expert reports are privileged:</w:t>
      </w:r>
    </w:p>
    <w:p w14:paraId="65FBCA9D" w14:textId="77777777" w:rsidR="00E90861" w:rsidRPr="00232D3B" w:rsidRDefault="00982D96" w:rsidP="004C0784">
      <w:pPr>
        <w:pStyle w:val="NoSpacing"/>
        <w:jc w:val="both"/>
        <w:rPr>
          <w:rFonts w:ascii="Arial" w:hAnsi="Arial" w:cs="Arial"/>
        </w:rPr>
      </w:pPr>
      <w:r w:rsidRPr="00232D3B">
        <w:rPr>
          <w:rFonts w:ascii="Arial" w:hAnsi="Arial" w:cs="Arial"/>
        </w:rPr>
        <w:t>‘</w:t>
      </w:r>
      <w:r w:rsidR="00E90861" w:rsidRPr="00232D3B">
        <w:rPr>
          <w:rFonts w:ascii="Arial" w:hAnsi="Arial" w:cs="Arial"/>
        </w:rPr>
        <w:t>So too, are reports produced by experts at the request of attorneys for the specific purpose of litigation, c</w:t>
      </w:r>
      <w:r w:rsidR="0051385C" w:rsidRPr="00232D3B">
        <w:rPr>
          <w:rFonts w:ascii="Arial" w:hAnsi="Arial" w:cs="Arial"/>
        </w:rPr>
        <w:t>overed by litigation privilege.</w:t>
      </w:r>
      <w:r w:rsidR="00E90861" w:rsidRPr="00232D3B">
        <w:rPr>
          <w:rFonts w:ascii="Arial" w:hAnsi="Arial" w:cs="Arial"/>
        </w:rPr>
        <w:t xml:space="preserve"> </w:t>
      </w:r>
    </w:p>
    <w:p w14:paraId="0798DFA7" w14:textId="77777777" w:rsidR="004C0784" w:rsidRPr="00232D3B" w:rsidRDefault="004C0784" w:rsidP="004C0784">
      <w:pPr>
        <w:pStyle w:val="NoSpacing"/>
        <w:jc w:val="both"/>
        <w:rPr>
          <w:rFonts w:ascii="Arial" w:hAnsi="Arial" w:cs="Arial"/>
        </w:rPr>
      </w:pPr>
    </w:p>
    <w:p w14:paraId="0EC8AB64" w14:textId="77777777" w:rsidR="0051385C" w:rsidRPr="00232D3B" w:rsidRDefault="00AB2591" w:rsidP="004C0784">
      <w:pPr>
        <w:pStyle w:val="NoSpacing"/>
        <w:jc w:val="both"/>
        <w:rPr>
          <w:rFonts w:ascii="Arial" w:hAnsi="Arial" w:cs="Arial"/>
        </w:rPr>
      </w:pPr>
      <w:r w:rsidRPr="00232D3B">
        <w:rPr>
          <w:rFonts w:ascii="Arial" w:hAnsi="Arial" w:cs="Arial"/>
        </w:rPr>
        <w:t>. . .</w:t>
      </w:r>
    </w:p>
    <w:p w14:paraId="4363C4C3" w14:textId="77777777" w:rsidR="00E90861" w:rsidRPr="00232D3B" w:rsidRDefault="00E90861" w:rsidP="004C0784">
      <w:pPr>
        <w:pStyle w:val="NoSpacing"/>
        <w:jc w:val="both"/>
        <w:rPr>
          <w:rFonts w:ascii="Arial" w:hAnsi="Arial" w:cs="Arial"/>
        </w:rPr>
      </w:pPr>
      <w:r w:rsidRPr="00232D3B">
        <w:rPr>
          <w:rFonts w:ascii="Arial" w:hAnsi="Arial" w:cs="Arial"/>
        </w:rPr>
        <w:t xml:space="preserve">However, documents provided to the expert on which the expert relied for purpose of arriving at the conclusions contained in his/her report are treated differently. </w:t>
      </w:r>
      <w:r w:rsidR="00D20BE3" w:rsidRPr="00232D3B">
        <w:rPr>
          <w:rFonts w:ascii="Arial" w:hAnsi="Arial" w:cs="Arial"/>
        </w:rPr>
        <w:t>However,</w:t>
      </w:r>
      <w:r w:rsidRPr="00232D3B">
        <w:rPr>
          <w:rFonts w:ascii="Arial" w:hAnsi="Arial" w:cs="Arial"/>
        </w:rPr>
        <w:t xml:space="preserve"> privileged those documents might have been, that privilege is lost once the expert’s report is provided to the other side in terms of Rule 36 (8). This is however different from where the report of the expert does not contain information based on a document supplied by the attorney. Such report of the expert is privilege</w:t>
      </w:r>
      <w:r w:rsidR="004A2F21" w:rsidRPr="00232D3B">
        <w:rPr>
          <w:rFonts w:ascii="Arial" w:hAnsi="Arial" w:cs="Arial"/>
        </w:rPr>
        <w:t>d</w:t>
      </w:r>
      <w:r w:rsidRPr="00232D3B">
        <w:rPr>
          <w:rFonts w:ascii="Arial" w:hAnsi="Arial" w:cs="Arial"/>
        </w:rPr>
        <w:t xml:space="preserve"> unless the privilege is waived. There is no indication that same is applicable in this matter</w:t>
      </w:r>
      <w:r w:rsidR="00EA3A5F" w:rsidRPr="00232D3B">
        <w:rPr>
          <w:rFonts w:ascii="Arial" w:hAnsi="Arial" w:cs="Arial"/>
        </w:rPr>
        <w:t>.’ (Own emphasis.)</w:t>
      </w:r>
    </w:p>
    <w:p w14:paraId="658057D6" w14:textId="77777777" w:rsidR="0051385C" w:rsidRPr="00232D3B" w:rsidRDefault="0051385C" w:rsidP="0055599A">
      <w:pPr>
        <w:spacing w:after="0" w:line="360" w:lineRule="auto"/>
        <w:ind w:left="1620" w:right="26"/>
        <w:jc w:val="both"/>
        <w:rPr>
          <w:rFonts w:ascii="Arial" w:hAnsi="Arial" w:cs="Arial"/>
          <w:sz w:val="24"/>
          <w:szCs w:val="24"/>
        </w:rPr>
      </w:pPr>
    </w:p>
    <w:p w14:paraId="07B69545" w14:textId="77777777" w:rsidR="005909F9" w:rsidRPr="00232D3B" w:rsidRDefault="00C75B24" w:rsidP="00C75B24">
      <w:pPr>
        <w:spacing w:after="0" w:line="360" w:lineRule="auto"/>
        <w:jc w:val="both"/>
        <w:rPr>
          <w:rFonts w:ascii="Arial" w:hAnsi="Arial" w:cs="Arial"/>
          <w:sz w:val="24"/>
          <w:szCs w:val="24"/>
        </w:rPr>
      </w:pPr>
      <w:r w:rsidRPr="00232D3B">
        <w:rPr>
          <w:rFonts w:ascii="Arial" w:hAnsi="Arial" w:cs="Arial"/>
          <w:sz w:val="24"/>
          <w:szCs w:val="24"/>
        </w:rPr>
        <w:t>[</w:t>
      </w:r>
      <w:r w:rsidR="00095382" w:rsidRPr="00232D3B">
        <w:rPr>
          <w:rFonts w:ascii="Arial" w:hAnsi="Arial" w:cs="Arial"/>
          <w:sz w:val="24"/>
          <w:szCs w:val="24"/>
        </w:rPr>
        <w:t>42</w:t>
      </w:r>
      <w:r w:rsidRPr="00232D3B">
        <w:rPr>
          <w:rFonts w:ascii="Arial" w:hAnsi="Arial" w:cs="Arial"/>
          <w:sz w:val="24"/>
          <w:szCs w:val="24"/>
        </w:rPr>
        <w:t>]</w:t>
      </w:r>
      <w:r w:rsidRPr="00232D3B">
        <w:rPr>
          <w:rFonts w:ascii="Arial" w:hAnsi="Arial" w:cs="Arial"/>
          <w:sz w:val="24"/>
          <w:szCs w:val="24"/>
        </w:rPr>
        <w:tab/>
      </w:r>
      <w:r w:rsidR="00E90861" w:rsidRPr="00232D3B">
        <w:rPr>
          <w:rFonts w:ascii="Arial" w:hAnsi="Arial" w:cs="Arial"/>
          <w:sz w:val="24"/>
          <w:szCs w:val="24"/>
        </w:rPr>
        <w:t>A litigant is not obliged, either before or during a trial, to disclose any document which was brought into existence for purposes of litigation.</w:t>
      </w:r>
    </w:p>
    <w:p w14:paraId="02893A75" w14:textId="77777777" w:rsidR="00C75B24" w:rsidRPr="00232D3B" w:rsidRDefault="00C75B24" w:rsidP="0055599A">
      <w:pPr>
        <w:spacing w:after="0" w:line="360" w:lineRule="auto"/>
        <w:jc w:val="both"/>
        <w:rPr>
          <w:rFonts w:ascii="Arial" w:hAnsi="Arial" w:cs="Arial"/>
          <w:sz w:val="24"/>
          <w:szCs w:val="24"/>
        </w:rPr>
      </w:pPr>
    </w:p>
    <w:p w14:paraId="65944B6E" w14:textId="77777777" w:rsidR="00E90861" w:rsidRPr="00232D3B" w:rsidRDefault="00C75B24" w:rsidP="00C75B24">
      <w:pPr>
        <w:spacing w:after="0" w:line="360" w:lineRule="auto"/>
        <w:jc w:val="both"/>
        <w:rPr>
          <w:rFonts w:ascii="Arial" w:hAnsi="Arial" w:cs="Arial"/>
          <w:sz w:val="24"/>
          <w:szCs w:val="24"/>
        </w:rPr>
      </w:pPr>
      <w:r w:rsidRPr="00232D3B">
        <w:rPr>
          <w:rFonts w:ascii="Arial" w:hAnsi="Arial" w:cs="Arial"/>
          <w:sz w:val="24"/>
          <w:szCs w:val="24"/>
        </w:rPr>
        <w:lastRenderedPageBreak/>
        <w:t>[</w:t>
      </w:r>
      <w:r w:rsidR="00095382" w:rsidRPr="00232D3B">
        <w:rPr>
          <w:rFonts w:ascii="Arial" w:hAnsi="Arial" w:cs="Arial"/>
          <w:sz w:val="24"/>
          <w:szCs w:val="24"/>
        </w:rPr>
        <w:t>43</w:t>
      </w:r>
      <w:r w:rsidRPr="00232D3B">
        <w:rPr>
          <w:rFonts w:ascii="Arial" w:hAnsi="Arial" w:cs="Arial"/>
          <w:sz w:val="24"/>
          <w:szCs w:val="24"/>
        </w:rPr>
        <w:t>]</w:t>
      </w:r>
      <w:r w:rsidRPr="00232D3B">
        <w:rPr>
          <w:rFonts w:ascii="Arial" w:hAnsi="Arial" w:cs="Arial"/>
          <w:sz w:val="24"/>
          <w:szCs w:val="24"/>
        </w:rPr>
        <w:tab/>
      </w:r>
      <w:r w:rsidR="00E90861" w:rsidRPr="00232D3B">
        <w:rPr>
          <w:rFonts w:ascii="Arial" w:hAnsi="Arial" w:cs="Arial"/>
          <w:sz w:val="24"/>
          <w:szCs w:val="24"/>
        </w:rPr>
        <w:t xml:space="preserve">The most important class of documents falling into this category are the statements of the litigant’s </w:t>
      </w:r>
      <w:r w:rsidR="0051385C" w:rsidRPr="00232D3B">
        <w:rPr>
          <w:rFonts w:ascii="Arial" w:hAnsi="Arial" w:cs="Arial"/>
          <w:sz w:val="24"/>
          <w:szCs w:val="24"/>
        </w:rPr>
        <w:t>witness</w:t>
      </w:r>
      <w:r w:rsidR="00047B93" w:rsidRPr="00232D3B">
        <w:rPr>
          <w:rFonts w:ascii="Arial" w:hAnsi="Arial" w:cs="Arial"/>
          <w:sz w:val="24"/>
          <w:szCs w:val="24"/>
        </w:rPr>
        <w:t>.</w:t>
      </w:r>
      <w:r w:rsidR="00477298" w:rsidRPr="00232D3B">
        <w:rPr>
          <w:rStyle w:val="FootnoteReference"/>
          <w:rFonts w:ascii="Arial" w:hAnsi="Arial" w:cs="Arial"/>
          <w:sz w:val="24"/>
          <w:szCs w:val="24"/>
        </w:rPr>
        <w:footnoteReference w:id="37"/>
      </w:r>
      <w:r w:rsidR="00E90861" w:rsidRPr="00232D3B">
        <w:rPr>
          <w:rFonts w:ascii="Arial" w:hAnsi="Arial" w:cs="Arial"/>
          <w:sz w:val="24"/>
          <w:szCs w:val="24"/>
        </w:rPr>
        <w:t xml:space="preserve"> In this regard</w:t>
      </w:r>
      <w:r w:rsidR="004F4EC2" w:rsidRPr="00232D3B">
        <w:rPr>
          <w:rFonts w:ascii="Arial" w:hAnsi="Arial" w:cs="Arial"/>
          <w:sz w:val="24"/>
          <w:szCs w:val="24"/>
        </w:rPr>
        <w:t>,</w:t>
      </w:r>
      <w:r w:rsidR="00E90861" w:rsidRPr="00232D3B">
        <w:rPr>
          <w:rFonts w:ascii="Arial" w:hAnsi="Arial" w:cs="Arial"/>
          <w:sz w:val="24"/>
          <w:szCs w:val="24"/>
        </w:rPr>
        <w:t xml:space="preserve"> recourse to </w:t>
      </w:r>
      <w:r w:rsidR="0051385C" w:rsidRPr="00232D3B">
        <w:rPr>
          <w:rFonts w:ascii="Arial" w:hAnsi="Arial" w:cs="Arial"/>
          <w:sz w:val="24"/>
          <w:szCs w:val="24"/>
        </w:rPr>
        <w:t>the discovery affidavit of the d</w:t>
      </w:r>
      <w:r w:rsidR="00E90861" w:rsidRPr="00232D3B">
        <w:rPr>
          <w:rFonts w:ascii="Arial" w:hAnsi="Arial" w:cs="Arial"/>
          <w:sz w:val="24"/>
          <w:szCs w:val="24"/>
        </w:rPr>
        <w:t>efendant shows that witness statements are not discoverable.</w:t>
      </w:r>
    </w:p>
    <w:p w14:paraId="04C31CAC" w14:textId="77777777" w:rsidR="004F4EC2" w:rsidRPr="00232D3B" w:rsidRDefault="004F4EC2" w:rsidP="0055599A">
      <w:pPr>
        <w:spacing w:after="0" w:line="360" w:lineRule="auto"/>
        <w:jc w:val="both"/>
        <w:rPr>
          <w:rFonts w:ascii="Arial" w:hAnsi="Arial" w:cs="Arial"/>
          <w:sz w:val="24"/>
          <w:szCs w:val="24"/>
        </w:rPr>
      </w:pPr>
    </w:p>
    <w:p w14:paraId="4C2FAAE8" w14:textId="77777777" w:rsidR="00E90861" w:rsidRPr="00232D3B" w:rsidRDefault="004F4EC2" w:rsidP="004F4EC2">
      <w:pPr>
        <w:spacing w:after="0" w:line="360" w:lineRule="auto"/>
        <w:jc w:val="both"/>
        <w:rPr>
          <w:rFonts w:ascii="Arial" w:hAnsi="Arial" w:cs="Arial"/>
          <w:sz w:val="24"/>
          <w:szCs w:val="24"/>
        </w:rPr>
      </w:pPr>
      <w:r w:rsidRPr="00232D3B">
        <w:rPr>
          <w:rFonts w:ascii="Arial" w:hAnsi="Arial" w:cs="Arial"/>
          <w:sz w:val="24"/>
          <w:szCs w:val="24"/>
        </w:rPr>
        <w:t>[</w:t>
      </w:r>
      <w:r w:rsidR="00095382" w:rsidRPr="00232D3B">
        <w:rPr>
          <w:rFonts w:ascii="Arial" w:hAnsi="Arial" w:cs="Arial"/>
          <w:sz w:val="24"/>
          <w:szCs w:val="24"/>
        </w:rPr>
        <w:t>44</w:t>
      </w:r>
      <w:r w:rsidRPr="00232D3B">
        <w:rPr>
          <w:rFonts w:ascii="Arial" w:hAnsi="Arial" w:cs="Arial"/>
          <w:sz w:val="24"/>
          <w:szCs w:val="24"/>
        </w:rPr>
        <w:t>]</w:t>
      </w:r>
      <w:r w:rsidRPr="00232D3B">
        <w:rPr>
          <w:rFonts w:ascii="Arial" w:hAnsi="Arial" w:cs="Arial"/>
          <w:sz w:val="24"/>
          <w:szCs w:val="24"/>
        </w:rPr>
        <w:tab/>
      </w:r>
      <w:r w:rsidR="00E90861" w:rsidRPr="00232D3B">
        <w:rPr>
          <w:rFonts w:ascii="Arial" w:hAnsi="Arial" w:cs="Arial"/>
          <w:sz w:val="24"/>
          <w:szCs w:val="24"/>
        </w:rPr>
        <w:t>A com</w:t>
      </w:r>
      <w:r w:rsidR="0051385C" w:rsidRPr="00232D3B">
        <w:rPr>
          <w:rFonts w:ascii="Arial" w:hAnsi="Arial" w:cs="Arial"/>
          <w:sz w:val="24"/>
          <w:szCs w:val="24"/>
        </w:rPr>
        <w:t xml:space="preserve">mentary under </w:t>
      </w:r>
      <w:r w:rsidR="0090169A" w:rsidRPr="00232D3B">
        <w:rPr>
          <w:rFonts w:ascii="Arial" w:hAnsi="Arial" w:cs="Arial"/>
          <w:sz w:val="24"/>
          <w:szCs w:val="24"/>
        </w:rPr>
        <w:t xml:space="preserve">Uniform </w:t>
      </w:r>
      <w:r w:rsidR="0051385C" w:rsidRPr="00232D3B">
        <w:rPr>
          <w:rFonts w:ascii="Arial" w:hAnsi="Arial" w:cs="Arial"/>
          <w:sz w:val="24"/>
          <w:szCs w:val="24"/>
        </w:rPr>
        <w:t>rule 35(3) at D1</w:t>
      </w:r>
      <w:r w:rsidR="00B548E9" w:rsidRPr="00232D3B">
        <w:rPr>
          <w:rFonts w:ascii="Arial" w:hAnsi="Arial" w:cs="Arial"/>
          <w:sz w:val="24"/>
          <w:szCs w:val="24"/>
        </w:rPr>
        <w:t>-</w:t>
      </w:r>
      <w:r w:rsidR="00E90861" w:rsidRPr="00232D3B">
        <w:rPr>
          <w:rFonts w:ascii="Arial" w:hAnsi="Arial" w:cs="Arial"/>
          <w:sz w:val="24"/>
          <w:szCs w:val="24"/>
        </w:rPr>
        <w:t>472 in Erasmus</w:t>
      </w:r>
      <w:r w:rsidR="0090169A" w:rsidRPr="00232D3B">
        <w:rPr>
          <w:rFonts w:ascii="Arial" w:hAnsi="Arial" w:cs="Arial"/>
          <w:sz w:val="24"/>
          <w:szCs w:val="24"/>
        </w:rPr>
        <w:t xml:space="preserve"> </w:t>
      </w:r>
      <w:r w:rsidR="0090169A" w:rsidRPr="00232D3B">
        <w:rPr>
          <w:rFonts w:ascii="Arial" w:hAnsi="Arial" w:cs="Arial"/>
          <w:i/>
          <w:iCs/>
          <w:sz w:val="24"/>
          <w:szCs w:val="24"/>
        </w:rPr>
        <w:t>Superior Court</w:t>
      </w:r>
      <w:r w:rsidR="00047B93" w:rsidRPr="00AD647B">
        <w:rPr>
          <w:rStyle w:val="FootnoteReference"/>
          <w:rFonts w:ascii="Arial" w:hAnsi="Arial" w:cs="Arial"/>
          <w:sz w:val="24"/>
          <w:szCs w:val="24"/>
        </w:rPr>
        <w:footnoteReference w:id="38"/>
      </w:r>
      <w:r w:rsidR="0090169A" w:rsidRPr="00AD647B">
        <w:rPr>
          <w:rFonts w:ascii="Arial" w:hAnsi="Arial" w:cs="Arial"/>
          <w:sz w:val="24"/>
          <w:szCs w:val="24"/>
        </w:rPr>
        <w:t xml:space="preserve"> </w:t>
      </w:r>
      <w:r w:rsidR="0051385C" w:rsidRPr="00232D3B">
        <w:rPr>
          <w:rFonts w:ascii="Arial" w:hAnsi="Arial" w:cs="Arial"/>
          <w:sz w:val="24"/>
          <w:szCs w:val="24"/>
        </w:rPr>
        <w:t>it is said that the c</w:t>
      </w:r>
      <w:r w:rsidR="00E90861" w:rsidRPr="00232D3B">
        <w:rPr>
          <w:rFonts w:ascii="Arial" w:hAnsi="Arial" w:cs="Arial"/>
          <w:sz w:val="24"/>
          <w:szCs w:val="24"/>
        </w:rPr>
        <w:t>ourts are reluctant to go behind a discovery affidavit which is regarded as conclusive save where it can be shown either (i) from the discovery affidavit itself</w:t>
      </w:r>
      <w:r w:rsidR="00F00E14" w:rsidRPr="00232D3B">
        <w:rPr>
          <w:rFonts w:ascii="Arial" w:hAnsi="Arial" w:cs="Arial"/>
          <w:sz w:val="24"/>
          <w:szCs w:val="24"/>
        </w:rPr>
        <w:t>;</w:t>
      </w:r>
      <w:r w:rsidR="00E90861" w:rsidRPr="00232D3B">
        <w:rPr>
          <w:rFonts w:ascii="Arial" w:hAnsi="Arial" w:cs="Arial"/>
          <w:sz w:val="24"/>
          <w:szCs w:val="24"/>
        </w:rPr>
        <w:t xml:space="preserve"> (ii) from the documents referred to in the discovery affidavit</w:t>
      </w:r>
      <w:r w:rsidR="00F00E14" w:rsidRPr="00232D3B">
        <w:rPr>
          <w:rFonts w:ascii="Arial" w:hAnsi="Arial" w:cs="Arial"/>
          <w:sz w:val="24"/>
          <w:szCs w:val="24"/>
        </w:rPr>
        <w:t>;</w:t>
      </w:r>
      <w:r w:rsidR="00E90861" w:rsidRPr="00232D3B">
        <w:rPr>
          <w:rFonts w:ascii="Arial" w:hAnsi="Arial" w:cs="Arial"/>
          <w:sz w:val="24"/>
          <w:szCs w:val="24"/>
        </w:rPr>
        <w:t xml:space="preserve"> (iii) from </w:t>
      </w:r>
      <w:r w:rsidR="009F3271" w:rsidRPr="00232D3B">
        <w:rPr>
          <w:rFonts w:ascii="Arial" w:hAnsi="Arial" w:cs="Arial"/>
          <w:sz w:val="24"/>
          <w:szCs w:val="24"/>
        </w:rPr>
        <w:t>the pleadings in the action</w:t>
      </w:r>
      <w:r w:rsidR="00F00E14" w:rsidRPr="00232D3B">
        <w:rPr>
          <w:rFonts w:ascii="Arial" w:hAnsi="Arial" w:cs="Arial"/>
          <w:sz w:val="24"/>
          <w:szCs w:val="24"/>
        </w:rPr>
        <w:t>;</w:t>
      </w:r>
      <w:r w:rsidR="009F3271" w:rsidRPr="00232D3B">
        <w:rPr>
          <w:rFonts w:ascii="Arial" w:hAnsi="Arial" w:cs="Arial"/>
          <w:sz w:val="24"/>
          <w:szCs w:val="24"/>
        </w:rPr>
        <w:t xml:space="preserve"> (</w:t>
      </w:r>
      <w:r w:rsidR="00F00E14" w:rsidRPr="00232D3B">
        <w:rPr>
          <w:rFonts w:ascii="Arial" w:hAnsi="Arial" w:cs="Arial"/>
          <w:sz w:val="24"/>
          <w:szCs w:val="24"/>
        </w:rPr>
        <w:t>iv</w:t>
      </w:r>
      <w:r w:rsidR="00E90861" w:rsidRPr="00232D3B">
        <w:rPr>
          <w:rFonts w:ascii="Arial" w:hAnsi="Arial" w:cs="Arial"/>
          <w:sz w:val="24"/>
          <w:szCs w:val="24"/>
        </w:rPr>
        <w:t>) from any admission made by the party making the discovery affidavit</w:t>
      </w:r>
      <w:r w:rsidR="00D96B93" w:rsidRPr="00232D3B">
        <w:rPr>
          <w:rFonts w:ascii="Arial" w:hAnsi="Arial" w:cs="Arial"/>
          <w:sz w:val="24"/>
          <w:szCs w:val="24"/>
        </w:rPr>
        <w:t>;</w:t>
      </w:r>
      <w:r w:rsidR="00E90861" w:rsidRPr="00232D3B">
        <w:rPr>
          <w:rFonts w:ascii="Arial" w:hAnsi="Arial" w:cs="Arial"/>
          <w:sz w:val="24"/>
          <w:szCs w:val="24"/>
        </w:rPr>
        <w:t xml:space="preserve"> or (v) the nature of the</w:t>
      </w:r>
      <w:r w:rsidR="0051385C" w:rsidRPr="00232D3B">
        <w:rPr>
          <w:rFonts w:ascii="Arial" w:hAnsi="Arial" w:cs="Arial"/>
          <w:sz w:val="24"/>
          <w:szCs w:val="24"/>
        </w:rPr>
        <w:t xml:space="preserve"> case or the documents in issue</w:t>
      </w:r>
      <w:r w:rsidR="00D96B93" w:rsidRPr="00232D3B">
        <w:rPr>
          <w:rFonts w:ascii="Arial" w:hAnsi="Arial" w:cs="Arial"/>
          <w:sz w:val="24"/>
          <w:szCs w:val="24"/>
        </w:rPr>
        <w:t xml:space="preserve"> – </w:t>
      </w:r>
      <w:r w:rsidR="00E90861" w:rsidRPr="00232D3B">
        <w:rPr>
          <w:rFonts w:ascii="Arial" w:hAnsi="Arial" w:cs="Arial"/>
          <w:sz w:val="24"/>
          <w:szCs w:val="24"/>
        </w:rPr>
        <w:t>that there are reasonable grounds supposing that the party has or has had other relevant documents in his possession or power or has misconceived the principle upon which the affidavit should be made.</w:t>
      </w:r>
    </w:p>
    <w:p w14:paraId="6375C5CE" w14:textId="77777777" w:rsidR="00D96B93" w:rsidRPr="00232D3B" w:rsidRDefault="00D96B93" w:rsidP="0055599A">
      <w:pPr>
        <w:spacing w:after="0" w:line="360" w:lineRule="auto"/>
        <w:jc w:val="both"/>
        <w:rPr>
          <w:rFonts w:ascii="Arial" w:hAnsi="Arial" w:cs="Arial"/>
          <w:sz w:val="24"/>
          <w:szCs w:val="24"/>
        </w:rPr>
      </w:pPr>
    </w:p>
    <w:p w14:paraId="383256CA" w14:textId="77777777" w:rsidR="00E90861" w:rsidRPr="00232D3B" w:rsidRDefault="00D96B93" w:rsidP="0055599A">
      <w:pPr>
        <w:tabs>
          <w:tab w:val="left" w:pos="720"/>
        </w:tabs>
        <w:spacing w:after="120" w:line="360" w:lineRule="auto"/>
        <w:ind w:right="-62"/>
        <w:jc w:val="both"/>
        <w:rPr>
          <w:rFonts w:ascii="Arial" w:hAnsi="Arial" w:cs="Arial"/>
          <w:sz w:val="24"/>
          <w:szCs w:val="24"/>
        </w:rPr>
      </w:pPr>
      <w:r w:rsidRPr="00232D3B">
        <w:rPr>
          <w:rFonts w:ascii="Arial" w:hAnsi="Arial" w:cs="Arial"/>
          <w:sz w:val="24"/>
          <w:szCs w:val="24"/>
        </w:rPr>
        <w:t>[4</w:t>
      </w:r>
      <w:r w:rsidR="00095382" w:rsidRPr="00232D3B">
        <w:rPr>
          <w:rFonts w:ascii="Arial" w:hAnsi="Arial" w:cs="Arial"/>
          <w:sz w:val="24"/>
          <w:szCs w:val="24"/>
        </w:rPr>
        <w:t>5</w:t>
      </w:r>
      <w:r w:rsidRPr="00232D3B">
        <w:rPr>
          <w:rFonts w:ascii="Arial" w:hAnsi="Arial" w:cs="Arial"/>
          <w:sz w:val="24"/>
          <w:szCs w:val="24"/>
        </w:rPr>
        <w:t>]</w:t>
      </w:r>
      <w:r w:rsidRPr="00232D3B">
        <w:rPr>
          <w:rFonts w:ascii="Arial" w:hAnsi="Arial" w:cs="Arial"/>
          <w:sz w:val="24"/>
          <w:szCs w:val="24"/>
        </w:rPr>
        <w:tab/>
      </w:r>
      <w:r w:rsidR="00E90861" w:rsidRPr="00232D3B">
        <w:rPr>
          <w:rFonts w:ascii="Arial" w:hAnsi="Arial" w:cs="Arial"/>
          <w:sz w:val="24"/>
          <w:szCs w:val="24"/>
        </w:rPr>
        <w:t xml:space="preserve">In </w:t>
      </w:r>
      <w:r w:rsidR="00E90861" w:rsidRPr="00232D3B">
        <w:rPr>
          <w:rFonts w:ascii="Arial" w:hAnsi="Arial" w:cs="Arial"/>
          <w:i/>
          <w:sz w:val="24"/>
          <w:szCs w:val="24"/>
        </w:rPr>
        <w:t xml:space="preserve">Thint (Pty) </w:t>
      </w:r>
      <w:r w:rsidR="0047315E" w:rsidRPr="00232D3B">
        <w:rPr>
          <w:rFonts w:ascii="Arial" w:hAnsi="Arial" w:cs="Arial"/>
          <w:i/>
          <w:sz w:val="24"/>
          <w:szCs w:val="24"/>
        </w:rPr>
        <w:t>Ltd v National Director of Public Prosecutions and Others</w:t>
      </w:r>
      <w:r w:rsidR="00D9243D" w:rsidRPr="00232D3B">
        <w:rPr>
          <w:rFonts w:ascii="Arial" w:hAnsi="Arial" w:cs="Arial"/>
          <w:iCs/>
          <w:sz w:val="24"/>
          <w:szCs w:val="24"/>
        </w:rPr>
        <w:t>,</w:t>
      </w:r>
      <w:r w:rsidR="0047315E" w:rsidRPr="00232D3B">
        <w:rPr>
          <w:rStyle w:val="FootnoteReference"/>
          <w:rFonts w:ascii="Arial" w:hAnsi="Arial" w:cs="Arial"/>
          <w:sz w:val="24"/>
          <w:szCs w:val="24"/>
        </w:rPr>
        <w:footnoteReference w:id="39"/>
      </w:r>
      <w:r w:rsidR="0047315E" w:rsidRPr="00232D3B">
        <w:rPr>
          <w:rFonts w:ascii="Arial" w:hAnsi="Arial" w:cs="Arial"/>
          <w:b/>
          <w:sz w:val="24"/>
          <w:szCs w:val="24"/>
        </w:rPr>
        <w:t xml:space="preserve"> </w:t>
      </w:r>
      <w:r w:rsidR="00E90861" w:rsidRPr="00232D3B">
        <w:rPr>
          <w:rFonts w:ascii="Arial" w:hAnsi="Arial" w:cs="Arial"/>
          <w:sz w:val="24"/>
          <w:szCs w:val="24"/>
        </w:rPr>
        <w:t>the Constitutional</w:t>
      </w:r>
      <w:r w:rsidR="00E90861" w:rsidRPr="00232D3B">
        <w:rPr>
          <w:rFonts w:ascii="Arial" w:hAnsi="Arial" w:cs="Arial"/>
          <w:b/>
          <w:sz w:val="24"/>
          <w:szCs w:val="24"/>
        </w:rPr>
        <w:t xml:space="preserve"> </w:t>
      </w:r>
      <w:r w:rsidR="0047315E" w:rsidRPr="00232D3B">
        <w:rPr>
          <w:rFonts w:ascii="Arial" w:hAnsi="Arial" w:cs="Arial"/>
          <w:sz w:val="24"/>
          <w:szCs w:val="24"/>
        </w:rPr>
        <w:t>Court</w:t>
      </w:r>
      <w:r w:rsidR="009F3271" w:rsidRPr="00232D3B">
        <w:rPr>
          <w:rFonts w:ascii="Arial" w:hAnsi="Arial" w:cs="Arial"/>
          <w:sz w:val="24"/>
          <w:szCs w:val="24"/>
        </w:rPr>
        <w:t xml:space="preserve"> held</w:t>
      </w:r>
      <w:r w:rsidR="00E90861" w:rsidRPr="00232D3B">
        <w:rPr>
          <w:rFonts w:ascii="Arial" w:hAnsi="Arial" w:cs="Arial"/>
          <w:sz w:val="24"/>
          <w:szCs w:val="24"/>
        </w:rPr>
        <w:t>:</w:t>
      </w:r>
    </w:p>
    <w:p w14:paraId="50EA8192" w14:textId="77777777" w:rsidR="001328A3" w:rsidRPr="00232D3B" w:rsidRDefault="00E90861" w:rsidP="004C0784">
      <w:pPr>
        <w:pStyle w:val="NoSpacing"/>
        <w:jc w:val="both"/>
        <w:rPr>
          <w:rFonts w:ascii="Arial" w:hAnsi="Arial" w:cs="Arial"/>
        </w:rPr>
      </w:pPr>
      <w:r w:rsidRPr="00232D3B">
        <w:rPr>
          <w:rFonts w:ascii="Arial" w:hAnsi="Arial" w:cs="Arial"/>
        </w:rPr>
        <w:t xml:space="preserve">‘The right to legal professional privilege is a general rule of our common law which states that communications between a legal advisor and his or her client are protected from disclosure, provided that certain requirements are met. The </w:t>
      </w:r>
      <w:r w:rsidRPr="00232D3B">
        <w:rPr>
          <w:rFonts w:ascii="Arial" w:hAnsi="Arial" w:cs="Arial"/>
          <w:iCs/>
        </w:rPr>
        <w:t>rationale of this right has changed over time</w:t>
      </w:r>
      <w:r w:rsidRPr="00232D3B">
        <w:rPr>
          <w:rFonts w:ascii="Arial" w:hAnsi="Arial" w:cs="Arial"/>
        </w:rPr>
        <w:t xml:space="preserve">. It is now generally accepted that these communications should be protected </w:t>
      </w:r>
      <w:r w:rsidR="00972663" w:rsidRPr="00232D3B">
        <w:rPr>
          <w:rFonts w:ascii="Arial" w:hAnsi="Arial" w:cs="Arial"/>
        </w:rPr>
        <w:t>to</w:t>
      </w:r>
      <w:r w:rsidRPr="00232D3B">
        <w:rPr>
          <w:rFonts w:ascii="Arial" w:hAnsi="Arial" w:cs="Arial"/>
        </w:rPr>
        <w:t xml:space="preserve"> facilitate the proper functioning of an adversarial system of justice, because it encourages full and frank disclosure between advisors and clients. This, in turn, promotes fairness in litigation. In the context of criminal proceedings, moreover, the right to have privileged communications with a lawyer protected is necessary to uphold the right to a fair trial in terms of section 35 of the Constitution, and for that reason it is to be taken very seriously indeed.</w:t>
      </w:r>
      <w:r w:rsidR="00ED0A6F" w:rsidRPr="00232D3B">
        <w:rPr>
          <w:rFonts w:ascii="Arial" w:hAnsi="Arial" w:cs="Arial"/>
        </w:rPr>
        <w:t>’</w:t>
      </w:r>
    </w:p>
    <w:p w14:paraId="4F79A776" w14:textId="77777777" w:rsidR="007D26D8" w:rsidRPr="00232D3B" w:rsidRDefault="007D26D8" w:rsidP="0055599A">
      <w:pPr>
        <w:pStyle w:val="JUGMENTNUMBERED"/>
        <w:numPr>
          <w:ilvl w:val="0"/>
          <w:numId w:val="0"/>
        </w:numPr>
        <w:spacing w:line="360" w:lineRule="auto"/>
        <w:rPr>
          <w:rFonts w:ascii="Arial" w:hAnsi="Arial" w:cs="Arial"/>
          <w:sz w:val="22"/>
          <w:szCs w:val="22"/>
        </w:rPr>
      </w:pPr>
    </w:p>
    <w:p w14:paraId="091A4984" w14:textId="77777777" w:rsidR="003D268A" w:rsidRPr="00232D3B" w:rsidRDefault="00ED0A6F" w:rsidP="0055599A">
      <w:pPr>
        <w:pStyle w:val="ListParagraph"/>
        <w:spacing w:after="0" w:line="360" w:lineRule="auto"/>
        <w:ind w:left="0"/>
        <w:jc w:val="both"/>
        <w:rPr>
          <w:rFonts w:ascii="Arial" w:hAnsi="Arial" w:cs="Arial"/>
          <w:sz w:val="24"/>
          <w:szCs w:val="24"/>
        </w:rPr>
      </w:pPr>
      <w:r w:rsidRPr="00232D3B">
        <w:rPr>
          <w:rFonts w:ascii="Arial" w:hAnsi="Arial" w:cs="Arial"/>
          <w:sz w:val="24"/>
          <w:szCs w:val="24"/>
        </w:rPr>
        <w:t>[4</w:t>
      </w:r>
      <w:r w:rsidR="00095382" w:rsidRPr="00232D3B">
        <w:rPr>
          <w:rFonts w:ascii="Arial" w:hAnsi="Arial" w:cs="Arial"/>
          <w:sz w:val="24"/>
          <w:szCs w:val="24"/>
        </w:rPr>
        <w:t>6</w:t>
      </w:r>
      <w:r w:rsidRPr="00232D3B">
        <w:rPr>
          <w:rFonts w:ascii="Arial" w:hAnsi="Arial" w:cs="Arial"/>
          <w:sz w:val="24"/>
          <w:szCs w:val="24"/>
        </w:rPr>
        <w:t>]</w:t>
      </w:r>
      <w:r w:rsidRPr="00232D3B">
        <w:rPr>
          <w:rFonts w:ascii="Arial" w:hAnsi="Arial" w:cs="Arial"/>
          <w:sz w:val="24"/>
          <w:szCs w:val="24"/>
        </w:rPr>
        <w:tab/>
      </w:r>
      <w:r w:rsidR="00BA77CB" w:rsidRPr="00232D3B">
        <w:rPr>
          <w:rFonts w:ascii="Arial" w:hAnsi="Arial" w:cs="Arial"/>
          <w:sz w:val="24"/>
          <w:szCs w:val="24"/>
        </w:rPr>
        <w:t xml:space="preserve">If from the pleadings </w:t>
      </w:r>
      <w:r w:rsidR="007D26D8" w:rsidRPr="00232D3B">
        <w:rPr>
          <w:rFonts w:ascii="Arial" w:hAnsi="Arial" w:cs="Arial"/>
          <w:sz w:val="24"/>
          <w:szCs w:val="24"/>
        </w:rPr>
        <w:t>and the nature of the case the c</w:t>
      </w:r>
      <w:r w:rsidR="00BA77CB" w:rsidRPr="00232D3B">
        <w:rPr>
          <w:rFonts w:ascii="Arial" w:hAnsi="Arial" w:cs="Arial"/>
          <w:sz w:val="24"/>
          <w:szCs w:val="24"/>
        </w:rPr>
        <w:t>ourt regards it as probable that the party making discovery has other relevant and disclosable documents in his possession, it may order production thereof</w:t>
      </w:r>
      <w:r w:rsidR="00AC5AAB" w:rsidRPr="00232D3B">
        <w:rPr>
          <w:rFonts w:ascii="Arial" w:hAnsi="Arial" w:cs="Arial"/>
          <w:sz w:val="24"/>
          <w:szCs w:val="24"/>
        </w:rPr>
        <w:t>.</w:t>
      </w:r>
      <w:r w:rsidR="00BA77CB" w:rsidRPr="00232D3B">
        <w:rPr>
          <w:rStyle w:val="FootnoteReference"/>
          <w:rFonts w:ascii="Arial" w:hAnsi="Arial" w:cs="Arial"/>
          <w:sz w:val="24"/>
          <w:szCs w:val="24"/>
        </w:rPr>
        <w:footnoteReference w:id="40"/>
      </w:r>
    </w:p>
    <w:p w14:paraId="4AA9252B" w14:textId="77777777" w:rsidR="003D268A" w:rsidRPr="00232D3B" w:rsidRDefault="003D268A" w:rsidP="0055599A">
      <w:pPr>
        <w:pStyle w:val="ListParagraph"/>
        <w:spacing w:after="0" w:line="360" w:lineRule="auto"/>
        <w:ind w:left="1440"/>
        <w:jc w:val="both"/>
        <w:rPr>
          <w:rFonts w:ascii="Arial" w:hAnsi="Arial" w:cs="Arial"/>
          <w:sz w:val="24"/>
          <w:szCs w:val="24"/>
        </w:rPr>
      </w:pPr>
    </w:p>
    <w:p w14:paraId="5603D124" w14:textId="6C187B6A" w:rsidR="00D34B74" w:rsidRPr="00232D3B" w:rsidRDefault="000F0060" w:rsidP="0055599A">
      <w:pPr>
        <w:spacing w:after="120" w:line="360" w:lineRule="auto"/>
        <w:jc w:val="both"/>
        <w:rPr>
          <w:rFonts w:ascii="Arial" w:hAnsi="Arial" w:cs="Arial"/>
          <w:sz w:val="24"/>
          <w:szCs w:val="24"/>
        </w:rPr>
      </w:pPr>
      <w:r>
        <w:rPr>
          <w:rFonts w:ascii="Arial" w:hAnsi="Arial" w:cs="Arial"/>
          <w:b/>
          <w:sz w:val="24"/>
          <w:szCs w:val="24"/>
        </w:rPr>
        <w:t>Conclusion</w:t>
      </w:r>
    </w:p>
    <w:p w14:paraId="6B7B28D8" w14:textId="32E33402" w:rsidR="00460054" w:rsidRPr="00232D3B" w:rsidRDefault="009E70F0" w:rsidP="0055599A">
      <w:pPr>
        <w:spacing w:after="120" w:line="360" w:lineRule="auto"/>
        <w:jc w:val="both"/>
        <w:rPr>
          <w:rFonts w:ascii="Arial" w:hAnsi="Arial" w:cs="Arial"/>
          <w:sz w:val="24"/>
          <w:szCs w:val="24"/>
        </w:rPr>
      </w:pPr>
      <w:r w:rsidRPr="00232D3B">
        <w:rPr>
          <w:rFonts w:ascii="Arial" w:eastAsia="Times New Roman" w:hAnsi="Arial" w:cs="Arial"/>
          <w:sz w:val="24"/>
          <w:szCs w:val="24"/>
          <w:lang w:eastAsia="en-ZA"/>
        </w:rPr>
        <w:t>[</w:t>
      </w:r>
      <w:r w:rsidR="00095382" w:rsidRPr="00232D3B">
        <w:rPr>
          <w:rFonts w:ascii="Arial" w:eastAsia="Times New Roman" w:hAnsi="Arial" w:cs="Arial"/>
          <w:sz w:val="24"/>
          <w:szCs w:val="24"/>
          <w:lang w:eastAsia="en-ZA"/>
        </w:rPr>
        <w:t>47</w:t>
      </w:r>
      <w:r w:rsidRPr="00232D3B">
        <w:rPr>
          <w:rFonts w:ascii="Arial" w:eastAsia="Times New Roman" w:hAnsi="Arial" w:cs="Arial"/>
          <w:sz w:val="24"/>
          <w:szCs w:val="24"/>
          <w:lang w:eastAsia="en-ZA"/>
        </w:rPr>
        <w:t>]</w:t>
      </w:r>
      <w:r w:rsidRPr="00232D3B">
        <w:rPr>
          <w:rFonts w:ascii="Arial" w:eastAsia="Times New Roman" w:hAnsi="Arial" w:cs="Arial"/>
          <w:sz w:val="24"/>
          <w:szCs w:val="24"/>
          <w:lang w:eastAsia="en-ZA"/>
        </w:rPr>
        <w:tab/>
      </w:r>
      <w:r w:rsidR="00047B93" w:rsidRPr="00AD647B">
        <w:rPr>
          <w:rFonts w:ascii="Arial" w:eastAsia="Times New Roman" w:hAnsi="Arial" w:cs="Arial"/>
          <w:i/>
          <w:sz w:val="24"/>
          <w:szCs w:val="24"/>
          <w:lang w:eastAsia="en-ZA"/>
        </w:rPr>
        <w:t>Apropos</w:t>
      </w:r>
      <w:r w:rsidR="00047B93" w:rsidRPr="00232D3B">
        <w:rPr>
          <w:rFonts w:ascii="Arial" w:eastAsia="Times New Roman" w:hAnsi="Arial" w:cs="Arial"/>
          <w:sz w:val="24"/>
          <w:szCs w:val="24"/>
          <w:lang w:eastAsia="en-ZA"/>
        </w:rPr>
        <w:t xml:space="preserve"> t</w:t>
      </w:r>
      <w:r w:rsidR="00D34B74" w:rsidRPr="00232D3B">
        <w:rPr>
          <w:rFonts w:ascii="Arial" w:eastAsia="Times New Roman" w:hAnsi="Arial" w:cs="Arial"/>
          <w:sz w:val="24"/>
          <w:szCs w:val="24"/>
          <w:lang w:eastAsia="en-ZA"/>
        </w:rPr>
        <w:t xml:space="preserve">he </w:t>
      </w:r>
      <w:r w:rsidR="00CE4FF1" w:rsidRPr="00232D3B">
        <w:rPr>
          <w:rFonts w:ascii="Arial" w:eastAsia="Times New Roman" w:hAnsi="Arial" w:cs="Arial"/>
          <w:sz w:val="24"/>
          <w:szCs w:val="24"/>
          <w:lang w:eastAsia="en-ZA"/>
        </w:rPr>
        <w:t>document by Dr Boon</w:t>
      </w:r>
      <w:r w:rsidR="00047B93" w:rsidRPr="00AD647B">
        <w:rPr>
          <w:rFonts w:ascii="Arial" w:eastAsia="Times New Roman" w:hAnsi="Arial" w:cs="Arial"/>
          <w:sz w:val="24"/>
          <w:szCs w:val="24"/>
          <w:lang w:eastAsia="en-ZA"/>
        </w:rPr>
        <w:t xml:space="preserve">, </w:t>
      </w:r>
      <w:r w:rsidR="000F0060">
        <w:rPr>
          <w:rFonts w:ascii="Arial" w:eastAsia="Times New Roman" w:hAnsi="Arial" w:cs="Arial"/>
          <w:sz w:val="24"/>
          <w:szCs w:val="24"/>
          <w:lang w:eastAsia="en-ZA"/>
        </w:rPr>
        <w:t xml:space="preserve">here is my conclusion: </w:t>
      </w:r>
    </w:p>
    <w:p w14:paraId="6EDACD58" w14:textId="77777777" w:rsidR="000F2A34" w:rsidRPr="00232D3B" w:rsidRDefault="00D34B74" w:rsidP="00282F3F">
      <w:pPr>
        <w:shd w:val="clear" w:color="auto" w:fill="FFFFFF"/>
        <w:spacing w:after="0" w:line="360" w:lineRule="auto"/>
        <w:jc w:val="both"/>
        <w:rPr>
          <w:rFonts w:ascii="Arial" w:eastAsia="Times New Roman" w:hAnsi="Arial" w:cs="Arial"/>
          <w:sz w:val="24"/>
          <w:szCs w:val="24"/>
          <w:lang w:eastAsia="en-ZA"/>
        </w:rPr>
      </w:pPr>
      <w:r w:rsidRPr="00232D3B">
        <w:rPr>
          <w:rFonts w:ascii="Arial" w:eastAsia="Times New Roman" w:hAnsi="Arial" w:cs="Arial"/>
          <w:sz w:val="24"/>
          <w:szCs w:val="24"/>
          <w:lang w:eastAsia="en-ZA"/>
        </w:rPr>
        <w:lastRenderedPageBreak/>
        <w:t>(a)</w:t>
      </w:r>
      <w:r w:rsidRPr="00232D3B">
        <w:rPr>
          <w:rFonts w:ascii="Arial" w:eastAsia="Times New Roman" w:hAnsi="Arial" w:cs="Arial"/>
          <w:sz w:val="24"/>
          <w:szCs w:val="24"/>
          <w:lang w:eastAsia="en-ZA"/>
        </w:rPr>
        <w:tab/>
      </w:r>
      <w:r w:rsidR="00641E48" w:rsidRPr="00232D3B">
        <w:rPr>
          <w:rFonts w:ascii="Arial" w:eastAsia="Times New Roman" w:hAnsi="Arial" w:cs="Arial"/>
          <w:sz w:val="24"/>
          <w:szCs w:val="24"/>
          <w:lang w:eastAsia="en-ZA"/>
        </w:rPr>
        <w:t>I</w:t>
      </w:r>
      <w:r w:rsidR="00047B93" w:rsidRPr="00232D3B">
        <w:rPr>
          <w:rFonts w:ascii="Arial" w:eastAsia="Times New Roman" w:hAnsi="Arial" w:cs="Arial"/>
          <w:sz w:val="24"/>
          <w:szCs w:val="24"/>
          <w:lang w:eastAsia="en-ZA"/>
        </w:rPr>
        <w:t>t is</w:t>
      </w:r>
      <w:r w:rsidR="000F2A34" w:rsidRPr="00232D3B">
        <w:rPr>
          <w:rFonts w:ascii="Arial" w:eastAsia="Times New Roman" w:hAnsi="Arial" w:cs="Arial"/>
          <w:sz w:val="24"/>
          <w:szCs w:val="24"/>
          <w:lang w:eastAsia="en-ZA"/>
        </w:rPr>
        <w:t xml:space="preserve"> a document compiled </w:t>
      </w:r>
      <w:r w:rsidR="00A7312B" w:rsidRPr="00232D3B">
        <w:rPr>
          <w:rFonts w:ascii="Arial" w:eastAsia="Times New Roman" w:hAnsi="Arial" w:cs="Arial"/>
          <w:sz w:val="24"/>
          <w:szCs w:val="24"/>
          <w:lang w:eastAsia="en-ZA"/>
        </w:rPr>
        <w:t>by an employee of the appellant.</w:t>
      </w:r>
    </w:p>
    <w:p w14:paraId="5B0491F1" w14:textId="77777777" w:rsidR="000F2A34" w:rsidRPr="00232D3B" w:rsidRDefault="00D34B74" w:rsidP="0055599A">
      <w:pPr>
        <w:shd w:val="clear" w:color="auto" w:fill="FFFFFF"/>
        <w:spacing w:after="0" w:line="360" w:lineRule="auto"/>
        <w:ind w:left="720" w:hanging="720"/>
        <w:jc w:val="both"/>
        <w:rPr>
          <w:rFonts w:ascii="Arial" w:eastAsia="Times New Roman" w:hAnsi="Arial" w:cs="Arial"/>
          <w:sz w:val="24"/>
          <w:szCs w:val="24"/>
          <w:lang w:eastAsia="en-ZA"/>
        </w:rPr>
      </w:pPr>
      <w:r w:rsidRPr="00232D3B">
        <w:rPr>
          <w:rFonts w:ascii="Arial" w:eastAsia="Times New Roman" w:hAnsi="Arial" w:cs="Arial"/>
          <w:sz w:val="24"/>
          <w:szCs w:val="24"/>
          <w:lang w:eastAsia="en-ZA"/>
        </w:rPr>
        <w:t>(b)</w:t>
      </w:r>
      <w:r w:rsidRPr="00232D3B">
        <w:rPr>
          <w:rFonts w:ascii="Arial" w:eastAsia="Times New Roman" w:hAnsi="Arial" w:cs="Arial"/>
          <w:sz w:val="24"/>
          <w:szCs w:val="24"/>
          <w:lang w:eastAsia="en-ZA"/>
        </w:rPr>
        <w:tab/>
        <w:t>I</w:t>
      </w:r>
      <w:r w:rsidR="000F2A34" w:rsidRPr="00232D3B">
        <w:rPr>
          <w:rFonts w:ascii="Arial" w:eastAsia="Times New Roman" w:hAnsi="Arial" w:cs="Arial"/>
          <w:sz w:val="24"/>
          <w:szCs w:val="24"/>
          <w:lang w:eastAsia="en-ZA"/>
        </w:rPr>
        <w:t xml:space="preserve">t was compiled after action had been instituted against </w:t>
      </w:r>
      <w:r w:rsidR="00A7312B" w:rsidRPr="00232D3B">
        <w:rPr>
          <w:rFonts w:ascii="Arial" w:eastAsia="Times New Roman" w:hAnsi="Arial" w:cs="Arial"/>
          <w:sz w:val="24"/>
          <w:szCs w:val="24"/>
          <w:lang w:eastAsia="en-ZA"/>
        </w:rPr>
        <w:t>the appellant by the respondent.</w:t>
      </w:r>
    </w:p>
    <w:p w14:paraId="595FB6D2" w14:textId="77777777" w:rsidR="000B1E35" w:rsidRPr="00232D3B" w:rsidRDefault="000F2A34" w:rsidP="0055599A">
      <w:pPr>
        <w:shd w:val="clear" w:color="auto" w:fill="FFFFFF"/>
        <w:spacing w:after="0" w:line="360" w:lineRule="auto"/>
        <w:ind w:left="720" w:hanging="720"/>
        <w:jc w:val="both"/>
        <w:rPr>
          <w:rFonts w:ascii="Arial" w:eastAsia="Times New Roman" w:hAnsi="Arial" w:cs="Arial"/>
          <w:sz w:val="24"/>
          <w:szCs w:val="24"/>
          <w:lang w:eastAsia="en-ZA"/>
        </w:rPr>
      </w:pPr>
      <w:r w:rsidRPr="00232D3B">
        <w:rPr>
          <w:rFonts w:ascii="Arial" w:eastAsia="Times New Roman" w:hAnsi="Arial" w:cs="Arial"/>
          <w:sz w:val="24"/>
          <w:szCs w:val="24"/>
          <w:lang w:eastAsia="en-ZA"/>
        </w:rPr>
        <w:t>(</w:t>
      </w:r>
      <w:r w:rsidR="00D34B74" w:rsidRPr="00232D3B">
        <w:rPr>
          <w:rFonts w:ascii="Arial" w:eastAsia="Times New Roman" w:hAnsi="Arial" w:cs="Arial"/>
          <w:sz w:val="24"/>
          <w:szCs w:val="24"/>
          <w:lang w:eastAsia="en-ZA"/>
        </w:rPr>
        <w:t>c)</w:t>
      </w:r>
      <w:r w:rsidR="00D34B74" w:rsidRPr="00232D3B">
        <w:rPr>
          <w:rFonts w:ascii="Arial" w:eastAsia="Times New Roman" w:hAnsi="Arial" w:cs="Arial"/>
          <w:sz w:val="24"/>
          <w:szCs w:val="24"/>
          <w:lang w:eastAsia="en-ZA"/>
        </w:rPr>
        <w:tab/>
      </w:r>
      <w:r w:rsidR="00047B93" w:rsidRPr="00AD647B">
        <w:rPr>
          <w:rFonts w:ascii="Arial" w:eastAsia="Times New Roman" w:hAnsi="Arial" w:cs="Arial"/>
          <w:sz w:val="24"/>
          <w:szCs w:val="24"/>
          <w:lang w:eastAsia="en-ZA"/>
        </w:rPr>
        <w:t xml:space="preserve">Mr </w:t>
      </w:r>
      <w:r w:rsidRPr="00232D3B">
        <w:rPr>
          <w:rFonts w:ascii="Arial" w:eastAsia="Times New Roman" w:hAnsi="Arial" w:cs="Arial"/>
          <w:sz w:val="24"/>
          <w:szCs w:val="24"/>
          <w:lang w:eastAsia="en-ZA"/>
        </w:rPr>
        <w:t>Bastile alleges that it is confident</w:t>
      </w:r>
      <w:r w:rsidR="00047B93" w:rsidRPr="00232D3B">
        <w:rPr>
          <w:rFonts w:ascii="Arial" w:eastAsia="Times New Roman" w:hAnsi="Arial" w:cs="Arial"/>
          <w:sz w:val="24"/>
          <w:szCs w:val="24"/>
          <w:lang w:eastAsia="en-ZA"/>
        </w:rPr>
        <w:t xml:space="preserve">ial internal privileged opinion </w:t>
      </w:r>
      <w:r w:rsidR="00047B93" w:rsidRPr="00AD647B">
        <w:rPr>
          <w:rFonts w:ascii="Arial" w:eastAsia="Times New Roman" w:hAnsi="Arial" w:cs="Arial"/>
          <w:sz w:val="24"/>
          <w:szCs w:val="24"/>
          <w:lang w:eastAsia="en-ZA"/>
        </w:rPr>
        <w:t>and</w:t>
      </w:r>
      <w:r w:rsidR="00D34B74" w:rsidRPr="00232D3B">
        <w:rPr>
          <w:rFonts w:ascii="Arial" w:eastAsia="Times New Roman" w:hAnsi="Arial" w:cs="Arial"/>
          <w:sz w:val="24"/>
          <w:szCs w:val="24"/>
          <w:lang w:eastAsia="en-ZA"/>
        </w:rPr>
        <w:t xml:space="preserve"> </w:t>
      </w:r>
      <w:r w:rsidR="00047B93" w:rsidRPr="00AD647B">
        <w:rPr>
          <w:rFonts w:ascii="Arial" w:eastAsia="Times New Roman" w:hAnsi="Arial" w:cs="Arial"/>
          <w:sz w:val="24"/>
          <w:szCs w:val="24"/>
          <w:lang w:eastAsia="en-ZA"/>
        </w:rPr>
        <w:t>Ms</w:t>
      </w:r>
      <w:r w:rsidR="00D34B74" w:rsidRPr="00AD647B">
        <w:rPr>
          <w:rFonts w:ascii="Arial" w:eastAsia="Times New Roman" w:hAnsi="Arial" w:cs="Arial"/>
          <w:sz w:val="24"/>
          <w:szCs w:val="24"/>
          <w:lang w:eastAsia="en-ZA"/>
        </w:rPr>
        <w:t xml:space="preserve"> </w:t>
      </w:r>
      <w:r w:rsidR="00D34B74" w:rsidRPr="00232D3B">
        <w:rPr>
          <w:rFonts w:ascii="Arial" w:eastAsia="Times New Roman" w:hAnsi="Arial" w:cs="Arial"/>
          <w:sz w:val="24"/>
          <w:szCs w:val="24"/>
          <w:lang w:eastAsia="en-ZA"/>
        </w:rPr>
        <w:t>Ncula also confirms this in addition to statin</w:t>
      </w:r>
      <w:r w:rsidR="00A7312B" w:rsidRPr="00232D3B">
        <w:rPr>
          <w:rFonts w:ascii="Arial" w:eastAsia="Times New Roman" w:hAnsi="Arial" w:cs="Arial"/>
          <w:sz w:val="24"/>
          <w:szCs w:val="24"/>
          <w:lang w:eastAsia="en-ZA"/>
        </w:rPr>
        <w:t>g that it is an incomplete fact-</w:t>
      </w:r>
      <w:r w:rsidR="00D34B74" w:rsidRPr="00232D3B">
        <w:rPr>
          <w:rFonts w:ascii="Arial" w:eastAsia="Times New Roman" w:hAnsi="Arial" w:cs="Arial"/>
          <w:sz w:val="24"/>
          <w:szCs w:val="24"/>
          <w:lang w:eastAsia="en-ZA"/>
        </w:rPr>
        <w:t xml:space="preserve">finding </w:t>
      </w:r>
      <w:r w:rsidR="00A7312B" w:rsidRPr="00232D3B">
        <w:rPr>
          <w:rFonts w:ascii="Arial" w:eastAsia="Times New Roman" w:hAnsi="Arial" w:cs="Arial"/>
          <w:sz w:val="24"/>
          <w:szCs w:val="24"/>
          <w:lang w:eastAsia="en-ZA"/>
        </w:rPr>
        <w:t>document and a witness statement.</w:t>
      </w:r>
    </w:p>
    <w:p w14:paraId="47F58230" w14:textId="77777777" w:rsidR="007B1F62" w:rsidRPr="00232D3B" w:rsidRDefault="00D34B74" w:rsidP="0055599A">
      <w:pPr>
        <w:spacing w:after="0" w:line="360" w:lineRule="auto"/>
        <w:ind w:left="720" w:hanging="720"/>
        <w:jc w:val="both"/>
        <w:rPr>
          <w:rFonts w:ascii="Arial" w:hAnsi="Arial" w:cs="Arial"/>
          <w:sz w:val="24"/>
          <w:szCs w:val="24"/>
        </w:rPr>
      </w:pPr>
      <w:r w:rsidRPr="00232D3B">
        <w:rPr>
          <w:rFonts w:ascii="Arial" w:hAnsi="Arial" w:cs="Arial"/>
          <w:sz w:val="24"/>
          <w:szCs w:val="24"/>
        </w:rPr>
        <w:t>(d)</w:t>
      </w:r>
      <w:r w:rsidRPr="00232D3B">
        <w:rPr>
          <w:rFonts w:ascii="Arial" w:hAnsi="Arial" w:cs="Arial"/>
          <w:sz w:val="24"/>
          <w:szCs w:val="24"/>
        </w:rPr>
        <w:tab/>
        <w:t>Dr</w:t>
      </w:r>
      <w:r w:rsidR="007B1F62" w:rsidRPr="00232D3B">
        <w:rPr>
          <w:rFonts w:ascii="Arial" w:hAnsi="Arial" w:cs="Arial"/>
          <w:sz w:val="24"/>
          <w:szCs w:val="24"/>
        </w:rPr>
        <w:t xml:space="preserve"> Boon did not treat the plaintiff or the minor child and is not employed </w:t>
      </w:r>
      <w:r w:rsidRPr="00232D3B">
        <w:rPr>
          <w:rFonts w:ascii="Arial" w:hAnsi="Arial" w:cs="Arial"/>
          <w:sz w:val="24"/>
          <w:szCs w:val="24"/>
        </w:rPr>
        <w:t>at this</w:t>
      </w:r>
      <w:r w:rsidR="00A7312B" w:rsidRPr="00232D3B">
        <w:rPr>
          <w:rFonts w:ascii="Arial" w:hAnsi="Arial" w:cs="Arial"/>
          <w:sz w:val="24"/>
          <w:szCs w:val="24"/>
        </w:rPr>
        <w:t xml:space="preserve"> hospital.</w:t>
      </w:r>
    </w:p>
    <w:p w14:paraId="3090347E" w14:textId="77777777" w:rsidR="00D34B74" w:rsidRPr="00232D3B" w:rsidRDefault="00D34B74" w:rsidP="0055599A">
      <w:pPr>
        <w:spacing w:after="0" w:line="360" w:lineRule="auto"/>
        <w:ind w:left="720" w:hanging="720"/>
        <w:jc w:val="both"/>
        <w:rPr>
          <w:rFonts w:ascii="Arial" w:hAnsi="Arial" w:cs="Arial"/>
          <w:sz w:val="24"/>
          <w:szCs w:val="24"/>
        </w:rPr>
      </w:pPr>
      <w:r w:rsidRPr="00232D3B">
        <w:rPr>
          <w:rFonts w:ascii="Arial" w:hAnsi="Arial" w:cs="Arial"/>
          <w:sz w:val="24"/>
          <w:szCs w:val="24"/>
        </w:rPr>
        <w:t>(e)</w:t>
      </w:r>
      <w:r w:rsidRPr="00232D3B">
        <w:rPr>
          <w:rFonts w:ascii="Arial" w:hAnsi="Arial" w:cs="Arial"/>
          <w:sz w:val="24"/>
          <w:szCs w:val="24"/>
        </w:rPr>
        <w:tab/>
      </w:r>
      <w:r w:rsidR="00EA0FEE" w:rsidRPr="00AD647B">
        <w:rPr>
          <w:rFonts w:ascii="Arial" w:hAnsi="Arial" w:cs="Arial"/>
          <w:sz w:val="24"/>
          <w:szCs w:val="24"/>
        </w:rPr>
        <w:t>T</w:t>
      </w:r>
      <w:r w:rsidR="007B1F62" w:rsidRPr="00AD647B">
        <w:rPr>
          <w:rFonts w:ascii="Arial" w:hAnsi="Arial" w:cs="Arial"/>
          <w:sz w:val="24"/>
          <w:szCs w:val="24"/>
        </w:rPr>
        <w:t>he</w:t>
      </w:r>
      <w:r w:rsidR="007B1F62" w:rsidRPr="00232D3B">
        <w:rPr>
          <w:rFonts w:ascii="Arial" w:hAnsi="Arial" w:cs="Arial"/>
          <w:sz w:val="24"/>
          <w:szCs w:val="24"/>
        </w:rPr>
        <w:t xml:space="preserve"> document</w:t>
      </w:r>
      <w:r w:rsidR="00EA0FEE" w:rsidRPr="00AD647B">
        <w:rPr>
          <w:rFonts w:ascii="Arial" w:hAnsi="Arial" w:cs="Arial"/>
          <w:sz w:val="24"/>
          <w:szCs w:val="24"/>
        </w:rPr>
        <w:t>,</w:t>
      </w:r>
      <w:r w:rsidR="007B1F62" w:rsidRPr="00232D3B">
        <w:rPr>
          <w:rFonts w:ascii="Arial" w:hAnsi="Arial" w:cs="Arial"/>
          <w:sz w:val="24"/>
          <w:szCs w:val="24"/>
        </w:rPr>
        <w:t xml:space="preserve"> </w:t>
      </w:r>
      <w:r w:rsidRPr="00232D3B">
        <w:rPr>
          <w:rFonts w:ascii="Arial" w:hAnsi="Arial" w:cs="Arial"/>
          <w:sz w:val="24"/>
          <w:szCs w:val="24"/>
        </w:rPr>
        <w:t>despite being furnished to Prof</w:t>
      </w:r>
      <w:r w:rsidR="007B1F62" w:rsidRPr="00232D3B">
        <w:rPr>
          <w:rFonts w:ascii="Arial" w:hAnsi="Arial" w:cs="Arial"/>
          <w:sz w:val="24"/>
          <w:szCs w:val="24"/>
        </w:rPr>
        <w:t xml:space="preserve"> Jeena</w:t>
      </w:r>
      <w:r w:rsidR="00EA0FEE" w:rsidRPr="00AD647B">
        <w:rPr>
          <w:rFonts w:ascii="Arial" w:hAnsi="Arial" w:cs="Arial"/>
          <w:sz w:val="24"/>
          <w:szCs w:val="24"/>
        </w:rPr>
        <w:t>,</w:t>
      </w:r>
      <w:r w:rsidR="007B1F62" w:rsidRPr="00232D3B">
        <w:rPr>
          <w:rFonts w:ascii="Arial" w:hAnsi="Arial" w:cs="Arial"/>
          <w:sz w:val="24"/>
          <w:szCs w:val="24"/>
        </w:rPr>
        <w:t xml:space="preserve"> was not utilised by </w:t>
      </w:r>
      <w:r w:rsidR="00C11F13" w:rsidRPr="00232D3B">
        <w:rPr>
          <w:rFonts w:ascii="Arial" w:hAnsi="Arial" w:cs="Arial"/>
          <w:sz w:val="24"/>
          <w:szCs w:val="24"/>
        </w:rPr>
        <w:t>him.</w:t>
      </w:r>
    </w:p>
    <w:p w14:paraId="273AA370" w14:textId="36EFA85F" w:rsidR="006D712A" w:rsidRPr="00232D3B" w:rsidRDefault="00D34B74" w:rsidP="0055599A">
      <w:pPr>
        <w:spacing w:after="0" w:line="360" w:lineRule="auto"/>
        <w:ind w:left="720" w:hanging="720"/>
        <w:jc w:val="both"/>
        <w:rPr>
          <w:rFonts w:ascii="Arial" w:hAnsi="Arial" w:cs="Arial"/>
          <w:sz w:val="24"/>
          <w:szCs w:val="24"/>
        </w:rPr>
      </w:pPr>
      <w:r w:rsidRPr="00232D3B">
        <w:rPr>
          <w:rFonts w:ascii="Arial" w:hAnsi="Arial" w:cs="Arial"/>
          <w:sz w:val="24"/>
          <w:szCs w:val="24"/>
        </w:rPr>
        <w:t>(f)</w:t>
      </w:r>
      <w:r w:rsidRPr="00232D3B">
        <w:rPr>
          <w:rFonts w:ascii="Arial" w:hAnsi="Arial" w:cs="Arial"/>
          <w:sz w:val="24"/>
          <w:szCs w:val="24"/>
        </w:rPr>
        <w:tab/>
      </w:r>
      <w:r w:rsidR="007B1F62" w:rsidRPr="00232D3B">
        <w:rPr>
          <w:rFonts w:ascii="Arial" w:hAnsi="Arial" w:cs="Arial"/>
          <w:sz w:val="24"/>
          <w:szCs w:val="24"/>
        </w:rPr>
        <w:t xml:space="preserve">It was clear that the opinion was requested from </w:t>
      </w:r>
      <w:r w:rsidR="00EA0FEE" w:rsidRPr="00AD647B">
        <w:rPr>
          <w:rFonts w:ascii="Arial" w:hAnsi="Arial" w:cs="Arial"/>
          <w:sz w:val="24"/>
          <w:szCs w:val="24"/>
        </w:rPr>
        <w:t xml:space="preserve">Prof Jeena </w:t>
      </w:r>
      <w:r w:rsidR="007B1F62" w:rsidRPr="00232D3B">
        <w:rPr>
          <w:rFonts w:ascii="Arial" w:hAnsi="Arial" w:cs="Arial"/>
          <w:sz w:val="24"/>
          <w:szCs w:val="24"/>
        </w:rPr>
        <w:t xml:space="preserve">by the state attorney and one of the documents he received was an </w:t>
      </w:r>
      <w:r w:rsidRPr="00232D3B">
        <w:rPr>
          <w:rFonts w:ascii="Arial" w:hAnsi="Arial" w:cs="Arial"/>
          <w:sz w:val="24"/>
          <w:szCs w:val="24"/>
        </w:rPr>
        <w:t>expert opinion by Dr</w:t>
      </w:r>
      <w:r w:rsidR="00CE2785">
        <w:rPr>
          <w:rFonts w:ascii="Arial" w:hAnsi="Arial" w:cs="Arial"/>
          <w:sz w:val="24"/>
          <w:szCs w:val="24"/>
        </w:rPr>
        <w:t> </w:t>
      </w:r>
      <w:r w:rsidRPr="00232D3B">
        <w:rPr>
          <w:rFonts w:ascii="Arial" w:hAnsi="Arial" w:cs="Arial"/>
          <w:sz w:val="24"/>
          <w:szCs w:val="24"/>
        </w:rPr>
        <w:t>Boon. Prof</w:t>
      </w:r>
      <w:r w:rsidR="007B1F62" w:rsidRPr="00232D3B">
        <w:rPr>
          <w:rFonts w:ascii="Arial" w:hAnsi="Arial" w:cs="Arial"/>
          <w:sz w:val="24"/>
          <w:szCs w:val="24"/>
        </w:rPr>
        <w:t xml:space="preserve"> Jeena however in his confirmatory affidavit</w:t>
      </w:r>
      <w:r w:rsidR="007B1F62" w:rsidRPr="00232D3B">
        <w:rPr>
          <w:rStyle w:val="FootnoteReference"/>
          <w:rFonts w:ascii="Arial" w:hAnsi="Arial" w:cs="Arial"/>
          <w:sz w:val="24"/>
          <w:szCs w:val="24"/>
        </w:rPr>
        <w:footnoteReference w:id="41"/>
      </w:r>
      <w:r w:rsidR="004B4A66" w:rsidRPr="00232D3B">
        <w:rPr>
          <w:rFonts w:ascii="Arial" w:hAnsi="Arial" w:cs="Arial"/>
          <w:sz w:val="24"/>
          <w:szCs w:val="24"/>
        </w:rPr>
        <w:t xml:space="preserve"> states:</w:t>
      </w:r>
    </w:p>
    <w:p w14:paraId="09DCE092" w14:textId="77777777" w:rsidR="006D712A" w:rsidRPr="00232D3B" w:rsidRDefault="00686B89" w:rsidP="0055599A">
      <w:pPr>
        <w:spacing w:after="0" w:line="360" w:lineRule="auto"/>
        <w:ind w:left="720"/>
        <w:jc w:val="both"/>
        <w:rPr>
          <w:rFonts w:ascii="Arial" w:hAnsi="Arial" w:cs="Arial"/>
          <w:iCs/>
        </w:rPr>
      </w:pPr>
      <w:r w:rsidRPr="00232D3B">
        <w:rPr>
          <w:rFonts w:ascii="Arial" w:hAnsi="Arial" w:cs="Arial"/>
          <w:iCs/>
        </w:rPr>
        <w:t>‘</w:t>
      </w:r>
      <w:r w:rsidR="006D712A" w:rsidRPr="00232D3B">
        <w:rPr>
          <w:rFonts w:ascii="Arial" w:hAnsi="Arial" w:cs="Arial"/>
          <w:iCs/>
        </w:rPr>
        <w:t xml:space="preserve">I emphasize that I did not utilize the report sought by the applicant for purposes of formulating my opinion or compiling my report. It is indeed a </w:t>
      </w:r>
      <w:r w:rsidR="00EA0FEE" w:rsidRPr="00232D3B">
        <w:rPr>
          <w:rFonts w:ascii="Arial" w:hAnsi="Arial" w:cs="Arial"/>
          <w:iCs/>
        </w:rPr>
        <w:t>document I</w:t>
      </w:r>
      <w:r w:rsidR="00E41F2B" w:rsidRPr="00232D3B">
        <w:rPr>
          <w:rFonts w:ascii="Arial" w:hAnsi="Arial" w:cs="Arial"/>
          <w:iCs/>
        </w:rPr>
        <w:t xml:space="preserve"> </w:t>
      </w:r>
      <w:r w:rsidR="006D712A" w:rsidRPr="00232D3B">
        <w:rPr>
          <w:rFonts w:ascii="Arial" w:hAnsi="Arial" w:cs="Arial"/>
          <w:iCs/>
        </w:rPr>
        <w:t>had received though not utilised it in my report.</w:t>
      </w:r>
      <w:r w:rsidRPr="00232D3B">
        <w:rPr>
          <w:rFonts w:ascii="Arial" w:hAnsi="Arial" w:cs="Arial"/>
          <w:iCs/>
        </w:rPr>
        <w:t>’</w:t>
      </w:r>
    </w:p>
    <w:p w14:paraId="799FFC01" w14:textId="77777777" w:rsidR="00224029" w:rsidRPr="00232D3B" w:rsidRDefault="00171815" w:rsidP="0055599A">
      <w:pPr>
        <w:spacing w:after="0" w:line="360" w:lineRule="auto"/>
        <w:ind w:left="720" w:hanging="720"/>
        <w:jc w:val="both"/>
        <w:rPr>
          <w:rFonts w:ascii="Arial" w:hAnsi="Arial" w:cs="Arial"/>
          <w:sz w:val="24"/>
          <w:szCs w:val="24"/>
        </w:rPr>
      </w:pPr>
      <w:r w:rsidRPr="00232D3B">
        <w:rPr>
          <w:rFonts w:ascii="Arial" w:hAnsi="Arial" w:cs="Arial"/>
          <w:sz w:val="24"/>
          <w:szCs w:val="24"/>
        </w:rPr>
        <w:t>(</w:t>
      </w:r>
      <w:r w:rsidR="00224029" w:rsidRPr="00232D3B">
        <w:rPr>
          <w:rFonts w:ascii="Arial" w:hAnsi="Arial" w:cs="Arial"/>
          <w:sz w:val="24"/>
          <w:szCs w:val="24"/>
        </w:rPr>
        <w:t>g</w:t>
      </w:r>
      <w:r w:rsidRPr="00232D3B">
        <w:rPr>
          <w:rFonts w:ascii="Arial" w:hAnsi="Arial" w:cs="Arial"/>
          <w:sz w:val="24"/>
          <w:szCs w:val="24"/>
        </w:rPr>
        <w:t>)</w:t>
      </w:r>
      <w:r w:rsidRPr="00232D3B">
        <w:rPr>
          <w:rFonts w:ascii="Arial" w:hAnsi="Arial" w:cs="Arial"/>
          <w:sz w:val="24"/>
          <w:szCs w:val="24"/>
        </w:rPr>
        <w:tab/>
      </w:r>
      <w:r w:rsidR="006D712A" w:rsidRPr="00232D3B">
        <w:rPr>
          <w:rFonts w:ascii="Arial" w:hAnsi="Arial" w:cs="Arial"/>
          <w:sz w:val="24"/>
          <w:szCs w:val="24"/>
        </w:rPr>
        <w:t>The furnishing of the report alone does not vitiate or nullify the privilege</w:t>
      </w:r>
      <w:r w:rsidR="006A0AE1" w:rsidRPr="00232D3B">
        <w:rPr>
          <w:rFonts w:ascii="Arial" w:hAnsi="Arial" w:cs="Arial"/>
          <w:sz w:val="24"/>
          <w:szCs w:val="24"/>
        </w:rPr>
        <w:t>,</w:t>
      </w:r>
      <w:r w:rsidR="006D712A" w:rsidRPr="00232D3B">
        <w:rPr>
          <w:rFonts w:ascii="Arial" w:hAnsi="Arial" w:cs="Arial"/>
          <w:sz w:val="24"/>
          <w:szCs w:val="24"/>
        </w:rPr>
        <w:t xml:space="preserve"> nor </w:t>
      </w:r>
      <w:r w:rsidR="00EA0FEE" w:rsidRPr="00AD647B">
        <w:rPr>
          <w:rFonts w:ascii="Arial" w:hAnsi="Arial" w:cs="Arial"/>
          <w:sz w:val="24"/>
          <w:szCs w:val="24"/>
        </w:rPr>
        <w:t>could</w:t>
      </w:r>
      <w:r w:rsidR="006D712A" w:rsidRPr="00232D3B">
        <w:rPr>
          <w:rFonts w:ascii="Arial" w:hAnsi="Arial" w:cs="Arial"/>
          <w:sz w:val="24"/>
          <w:szCs w:val="24"/>
        </w:rPr>
        <w:t xml:space="preserve"> it be said to </w:t>
      </w:r>
      <w:r w:rsidR="00EA0FEE" w:rsidRPr="00AD647B">
        <w:rPr>
          <w:rFonts w:ascii="Arial" w:hAnsi="Arial" w:cs="Arial"/>
          <w:sz w:val="24"/>
          <w:szCs w:val="24"/>
        </w:rPr>
        <w:t xml:space="preserve">have been </w:t>
      </w:r>
      <w:r w:rsidR="006D712A" w:rsidRPr="00232D3B">
        <w:rPr>
          <w:rFonts w:ascii="Arial" w:hAnsi="Arial" w:cs="Arial"/>
          <w:sz w:val="24"/>
          <w:szCs w:val="24"/>
        </w:rPr>
        <w:t>waived</w:t>
      </w:r>
      <w:r w:rsidR="006A0AE1" w:rsidRPr="00232D3B">
        <w:rPr>
          <w:rFonts w:ascii="Arial" w:hAnsi="Arial" w:cs="Arial"/>
          <w:sz w:val="24"/>
          <w:szCs w:val="24"/>
        </w:rPr>
        <w:t>.</w:t>
      </w:r>
    </w:p>
    <w:p w14:paraId="0993B0B2" w14:textId="77777777" w:rsidR="003960FD" w:rsidRPr="00232D3B" w:rsidRDefault="00224029" w:rsidP="0055599A">
      <w:pPr>
        <w:spacing w:after="0" w:line="360" w:lineRule="auto"/>
        <w:ind w:left="720" w:hanging="720"/>
        <w:jc w:val="both"/>
        <w:rPr>
          <w:rFonts w:ascii="Arial" w:hAnsi="Arial" w:cs="Arial"/>
          <w:sz w:val="24"/>
          <w:szCs w:val="24"/>
        </w:rPr>
      </w:pPr>
      <w:r w:rsidRPr="00232D3B">
        <w:rPr>
          <w:rFonts w:ascii="Arial" w:hAnsi="Arial" w:cs="Arial"/>
          <w:sz w:val="24"/>
          <w:szCs w:val="24"/>
        </w:rPr>
        <w:t>(h)</w:t>
      </w:r>
      <w:r w:rsidRPr="00232D3B">
        <w:rPr>
          <w:rFonts w:ascii="Arial" w:hAnsi="Arial" w:cs="Arial"/>
          <w:sz w:val="24"/>
          <w:szCs w:val="24"/>
        </w:rPr>
        <w:tab/>
      </w:r>
      <w:r w:rsidR="006D712A" w:rsidRPr="00232D3B">
        <w:rPr>
          <w:rFonts w:ascii="Arial" w:hAnsi="Arial" w:cs="Arial"/>
          <w:sz w:val="24"/>
          <w:szCs w:val="24"/>
        </w:rPr>
        <w:t>It is unclear wh</w:t>
      </w:r>
      <w:r w:rsidRPr="00232D3B">
        <w:rPr>
          <w:rFonts w:ascii="Arial" w:hAnsi="Arial" w:cs="Arial"/>
          <w:sz w:val="24"/>
          <w:szCs w:val="24"/>
        </w:rPr>
        <w:t xml:space="preserve">o furnished this report to Prof Jeena although </w:t>
      </w:r>
      <w:r w:rsidR="006D712A" w:rsidRPr="00232D3B">
        <w:rPr>
          <w:rFonts w:ascii="Arial" w:hAnsi="Arial" w:cs="Arial"/>
          <w:sz w:val="24"/>
          <w:szCs w:val="24"/>
        </w:rPr>
        <w:t>the request for the opinion emanated from the Sta</w:t>
      </w:r>
      <w:r w:rsidRPr="00232D3B">
        <w:rPr>
          <w:rFonts w:ascii="Arial" w:hAnsi="Arial" w:cs="Arial"/>
          <w:sz w:val="24"/>
          <w:szCs w:val="24"/>
        </w:rPr>
        <w:t>te Attorney</w:t>
      </w:r>
      <w:r w:rsidR="006A0AE1" w:rsidRPr="00232D3B">
        <w:rPr>
          <w:rFonts w:ascii="Arial" w:hAnsi="Arial" w:cs="Arial"/>
          <w:sz w:val="24"/>
          <w:szCs w:val="24"/>
        </w:rPr>
        <w:t>.</w:t>
      </w:r>
    </w:p>
    <w:p w14:paraId="01EE59BC" w14:textId="77777777" w:rsidR="00171815" w:rsidRPr="00232D3B" w:rsidRDefault="00171815" w:rsidP="0055599A">
      <w:pPr>
        <w:spacing w:after="0" w:line="360" w:lineRule="auto"/>
        <w:ind w:left="720" w:hanging="720"/>
        <w:jc w:val="both"/>
        <w:rPr>
          <w:rFonts w:ascii="Arial" w:hAnsi="Arial" w:cs="Arial"/>
          <w:sz w:val="24"/>
          <w:szCs w:val="24"/>
        </w:rPr>
      </w:pPr>
      <w:r w:rsidRPr="00232D3B">
        <w:rPr>
          <w:rFonts w:ascii="Arial" w:hAnsi="Arial" w:cs="Arial"/>
          <w:sz w:val="24"/>
          <w:szCs w:val="24"/>
        </w:rPr>
        <w:t>(</w:t>
      </w:r>
      <w:r w:rsidR="00224029" w:rsidRPr="00232D3B">
        <w:rPr>
          <w:rFonts w:ascii="Arial" w:hAnsi="Arial" w:cs="Arial"/>
          <w:sz w:val="24"/>
          <w:szCs w:val="24"/>
        </w:rPr>
        <w:t>i</w:t>
      </w:r>
      <w:r w:rsidRPr="00232D3B">
        <w:rPr>
          <w:rFonts w:ascii="Arial" w:hAnsi="Arial" w:cs="Arial"/>
          <w:sz w:val="24"/>
          <w:szCs w:val="24"/>
        </w:rPr>
        <w:t>)</w:t>
      </w:r>
      <w:r w:rsidRPr="00232D3B">
        <w:rPr>
          <w:rFonts w:ascii="Arial" w:hAnsi="Arial" w:cs="Arial"/>
          <w:sz w:val="24"/>
          <w:szCs w:val="24"/>
        </w:rPr>
        <w:tab/>
        <w:t xml:space="preserve">Prof Jeena in any event did not </w:t>
      </w:r>
      <w:r w:rsidR="0095773E" w:rsidRPr="00232D3B">
        <w:rPr>
          <w:rFonts w:ascii="Arial" w:hAnsi="Arial" w:cs="Arial"/>
          <w:sz w:val="24"/>
          <w:szCs w:val="24"/>
        </w:rPr>
        <w:t>utilize</w:t>
      </w:r>
      <w:r w:rsidR="00224029" w:rsidRPr="00232D3B">
        <w:rPr>
          <w:rFonts w:ascii="Arial" w:hAnsi="Arial" w:cs="Arial"/>
          <w:sz w:val="24"/>
          <w:szCs w:val="24"/>
        </w:rPr>
        <w:t xml:space="preserve"> the document and has stated this in unequivocal terms and accordingly there has been no waiver of privilege by the document </w:t>
      </w:r>
      <w:r w:rsidR="00911BB0" w:rsidRPr="00232D3B">
        <w:rPr>
          <w:rFonts w:ascii="Arial" w:hAnsi="Arial" w:cs="Arial"/>
          <w:sz w:val="24"/>
          <w:szCs w:val="24"/>
        </w:rPr>
        <w:t>being made available to him. The test for waiver goes beyond furnishing it to a third party. The authorities are clear that it would be deemed waived if it was utilised by the third party, which it was not in this case</w:t>
      </w:r>
      <w:r w:rsidR="006A0AE1" w:rsidRPr="00232D3B">
        <w:rPr>
          <w:rFonts w:ascii="Arial" w:hAnsi="Arial" w:cs="Arial"/>
          <w:sz w:val="24"/>
          <w:szCs w:val="24"/>
        </w:rPr>
        <w:t>.</w:t>
      </w:r>
    </w:p>
    <w:p w14:paraId="2FF53633" w14:textId="77777777" w:rsidR="00171815" w:rsidRPr="00232D3B" w:rsidRDefault="00171815" w:rsidP="0055599A">
      <w:pPr>
        <w:spacing w:after="0" w:line="360" w:lineRule="auto"/>
        <w:jc w:val="both"/>
        <w:rPr>
          <w:rFonts w:ascii="Arial" w:hAnsi="Arial" w:cs="Arial"/>
          <w:sz w:val="24"/>
          <w:szCs w:val="24"/>
        </w:rPr>
      </w:pPr>
      <w:r w:rsidRPr="00232D3B">
        <w:rPr>
          <w:rFonts w:ascii="Arial" w:hAnsi="Arial" w:cs="Arial"/>
          <w:sz w:val="24"/>
          <w:szCs w:val="24"/>
        </w:rPr>
        <w:t>(</w:t>
      </w:r>
      <w:r w:rsidR="00F426CB" w:rsidRPr="00232D3B">
        <w:rPr>
          <w:rFonts w:ascii="Arial" w:hAnsi="Arial" w:cs="Arial"/>
          <w:sz w:val="24"/>
          <w:szCs w:val="24"/>
        </w:rPr>
        <w:t>j</w:t>
      </w:r>
      <w:r w:rsidRPr="00232D3B">
        <w:rPr>
          <w:rFonts w:ascii="Arial" w:hAnsi="Arial" w:cs="Arial"/>
          <w:sz w:val="24"/>
          <w:szCs w:val="24"/>
        </w:rPr>
        <w:t>)</w:t>
      </w:r>
      <w:r w:rsidRPr="00232D3B">
        <w:rPr>
          <w:rFonts w:ascii="Arial" w:hAnsi="Arial" w:cs="Arial"/>
          <w:sz w:val="24"/>
          <w:szCs w:val="24"/>
        </w:rPr>
        <w:tab/>
        <w:t>The document did not lose its privilege</w:t>
      </w:r>
      <w:r w:rsidR="006A0AE1" w:rsidRPr="00232D3B">
        <w:rPr>
          <w:rFonts w:ascii="Arial" w:hAnsi="Arial" w:cs="Arial"/>
          <w:sz w:val="24"/>
          <w:szCs w:val="24"/>
        </w:rPr>
        <w:t>.</w:t>
      </w:r>
    </w:p>
    <w:p w14:paraId="6D2CFF25" w14:textId="77777777" w:rsidR="00171815" w:rsidRPr="00232D3B" w:rsidRDefault="00171815" w:rsidP="0055599A">
      <w:pPr>
        <w:spacing w:after="0" w:line="360" w:lineRule="auto"/>
        <w:jc w:val="both"/>
        <w:rPr>
          <w:rFonts w:ascii="Arial" w:hAnsi="Arial" w:cs="Arial"/>
          <w:sz w:val="24"/>
          <w:szCs w:val="24"/>
        </w:rPr>
      </w:pPr>
      <w:r w:rsidRPr="00232D3B">
        <w:rPr>
          <w:rFonts w:ascii="Arial" w:hAnsi="Arial" w:cs="Arial"/>
          <w:sz w:val="24"/>
          <w:szCs w:val="24"/>
        </w:rPr>
        <w:t>(</w:t>
      </w:r>
      <w:r w:rsidR="00F426CB" w:rsidRPr="00232D3B">
        <w:rPr>
          <w:rFonts w:ascii="Arial" w:hAnsi="Arial" w:cs="Arial"/>
          <w:sz w:val="24"/>
          <w:szCs w:val="24"/>
        </w:rPr>
        <w:t>k</w:t>
      </w:r>
      <w:r w:rsidRPr="00232D3B">
        <w:rPr>
          <w:rFonts w:ascii="Arial" w:hAnsi="Arial" w:cs="Arial"/>
          <w:sz w:val="24"/>
          <w:szCs w:val="24"/>
        </w:rPr>
        <w:t>)</w:t>
      </w:r>
      <w:r w:rsidRPr="00232D3B">
        <w:rPr>
          <w:rFonts w:ascii="Arial" w:hAnsi="Arial" w:cs="Arial"/>
          <w:sz w:val="24"/>
          <w:szCs w:val="24"/>
        </w:rPr>
        <w:tab/>
        <w:t xml:space="preserve">The </w:t>
      </w:r>
      <w:r w:rsidR="00EA0FEE" w:rsidRPr="00AD647B">
        <w:rPr>
          <w:rFonts w:ascii="Arial" w:hAnsi="Arial" w:cs="Arial"/>
          <w:sz w:val="24"/>
          <w:szCs w:val="24"/>
        </w:rPr>
        <w:t>respondent</w:t>
      </w:r>
      <w:r w:rsidRPr="00232D3B">
        <w:rPr>
          <w:rFonts w:ascii="Arial" w:hAnsi="Arial" w:cs="Arial"/>
          <w:sz w:val="24"/>
          <w:szCs w:val="24"/>
        </w:rPr>
        <w:t xml:space="preserve"> is accordingly not entitled to its disclosure</w:t>
      </w:r>
      <w:r w:rsidR="006A0AE1" w:rsidRPr="00232D3B">
        <w:rPr>
          <w:rFonts w:ascii="Arial" w:hAnsi="Arial" w:cs="Arial"/>
          <w:sz w:val="24"/>
          <w:szCs w:val="24"/>
        </w:rPr>
        <w:t>.</w:t>
      </w:r>
    </w:p>
    <w:p w14:paraId="72451D42" w14:textId="77777777" w:rsidR="00171815" w:rsidRPr="00232D3B" w:rsidRDefault="00171815" w:rsidP="0055599A">
      <w:pPr>
        <w:spacing w:after="0" w:line="360" w:lineRule="auto"/>
        <w:ind w:left="720" w:hanging="720"/>
        <w:jc w:val="both"/>
        <w:rPr>
          <w:rFonts w:ascii="Arial" w:hAnsi="Arial" w:cs="Arial"/>
          <w:sz w:val="24"/>
          <w:szCs w:val="24"/>
        </w:rPr>
      </w:pPr>
      <w:r w:rsidRPr="00232D3B">
        <w:rPr>
          <w:rFonts w:ascii="Arial" w:hAnsi="Arial" w:cs="Arial"/>
          <w:sz w:val="24"/>
          <w:szCs w:val="24"/>
        </w:rPr>
        <w:t>(</w:t>
      </w:r>
      <w:r w:rsidR="00F426CB" w:rsidRPr="00232D3B">
        <w:rPr>
          <w:rFonts w:ascii="Arial" w:hAnsi="Arial" w:cs="Arial"/>
          <w:sz w:val="24"/>
          <w:szCs w:val="24"/>
        </w:rPr>
        <w:t>l</w:t>
      </w:r>
      <w:r w:rsidRPr="00232D3B">
        <w:rPr>
          <w:rFonts w:ascii="Arial" w:hAnsi="Arial" w:cs="Arial"/>
          <w:sz w:val="24"/>
          <w:szCs w:val="24"/>
        </w:rPr>
        <w:t>)</w:t>
      </w:r>
      <w:r w:rsidRPr="00232D3B">
        <w:rPr>
          <w:rFonts w:ascii="Arial" w:hAnsi="Arial" w:cs="Arial"/>
          <w:sz w:val="24"/>
          <w:szCs w:val="24"/>
        </w:rPr>
        <w:tab/>
        <w:t xml:space="preserve">The court </w:t>
      </w:r>
      <w:r w:rsidRPr="00232D3B">
        <w:rPr>
          <w:rFonts w:ascii="Arial" w:hAnsi="Arial" w:cs="Arial"/>
          <w:i/>
          <w:sz w:val="24"/>
          <w:szCs w:val="24"/>
        </w:rPr>
        <w:t>a quo</w:t>
      </w:r>
      <w:r w:rsidRPr="00232D3B">
        <w:rPr>
          <w:rFonts w:ascii="Arial" w:hAnsi="Arial" w:cs="Arial"/>
          <w:sz w:val="24"/>
          <w:szCs w:val="24"/>
        </w:rPr>
        <w:t xml:space="preserve"> </w:t>
      </w:r>
      <w:r w:rsidR="00D32047" w:rsidRPr="00232D3B">
        <w:rPr>
          <w:rFonts w:ascii="Arial" w:hAnsi="Arial" w:cs="Arial"/>
          <w:sz w:val="24"/>
          <w:szCs w:val="24"/>
        </w:rPr>
        <w:t xml:space="preserve">accordingly with respect </w:t>
      </w:r>
      <w:r w:rsidRPr="00232D3B">
        <w:rPr>
          <w:rFonts w:ascii="Arial" w:hAnsi="Arial" w:cs="Arial"/>
          <w:sz w:val="24"/>
          <w:szCs w:val="24"/>
        </w:rPr>
        <w:t xml:space="preserve">ought to have dismissed </w:t>
      </w:r>
      <w:r w:rsidR="00D32047" w:rsidRPr="00232D3B">
        <w:rPr>
          <w:rFonts w:ascii="Arial" w:hAnsi="Arial" w:cs="Arial"/>
          <w:sz w:val="24"/>
          <w:szCs w:val="24"/>
        </w:rPr>
        <w:t>the application on the basis that it was a privileged document</w:t>
      </w:r>
      <w:r w:rsidR="006A0AE1" w:rsidRPr="00232D3B">
        <w:rPr>
          <w:rFonts w:ascii="Arial" w:hAnsi="Arial" w:cs="Arial"/>
          <w:sz w:val="24"/>
          <w:szCs w:val="24"/>
        </w:rPr>
        <w:t>.</w:t>
      </w:r>
    </w:p>
    <w:p w14:paraId="60805FB1" w14:textId="77777777" w:rsidR="00B43AD8" w:rsidRPr="00232D3B" w:rsidRDefault="00171815" w:rsidP="0055599A">
      <w:pPr>
        <w:shd w:val="clear" w:color="auto" w:fill="FFFFFF"/>
        <w:spacing w:after="0" w:line="360" w:lineRule="auto"/>
        <w:ind w:left="720" w:hanging="720"/>
        <w:jc w:val="both"/>
        <w:rPr>
          <w:rFonts w:ascii="Arial" w:eastAsia="Times New Roman" w:hAnsi="Arial" w:cs="Arial"/>
          <w:sz w:val="24"/>
          <w:szCs w:val="24"/>
          <w:lang w:eastAsia="en-ZA"/>
        </w:rPr>
      </w:pPr>
      <w:r w:rsidRPr="00232D3B">
        <w:rPr>
          <w:rFonts w:ascii="Arial" w:eastAsia="Times New Roman" w:hAnsi="Arial" w:cs="Arial"/>
          <w:sz w:val="24"/>
          <w:szCs w:val="24"/>
          <w:lang w:eastAsia="en-ZA"/>
        </w:rPr>
        <w:t>(</w:t>
      </w:r>
      <w:r w:rsidR="00D32047" w:rsidRPr="00232D3B">
        <w:rPr>
          <w:rFonts w:ascii="Arial" w:eastAsia="Times New Roman" w:hAnsi="Arial" w:cs="Arial"/>
          <w:sz w:val="24"/>
          <w:szCs w:val="24"/>
          <w:lang w:eastAsia="en-ZA"/>
        </w:rPr>
        <w:t>m</w:t>
      </w:r>
      <w:r w:rsidRPr="00232D3B">
        <w:rPr>
          <w:rFonts w:ascii="Arial" w:eastAsia="Times New Roman" w:hAnsi="Arial" w:cs="Arial"/>
          <w:sz w:val="24"/>
          <w:szCs w:val="24"/>
          <w:lang w:eastAsia="en-ZA"/>
        </w:rPr>
        <w:t>)</w:t>
      </w:r>
      <w:r w:rsidRPr="00232D3B">
        <w:rPr>
          <w:rFonts w:ascii="Arial" w:eastAsia="Times New Roman" w:hAnsi="Arial" w:cs="Arial"/>
          <w:sz w:val="24"/>
          <w:szCs w:val="24"/>
          <w:lang w:eastAsia="en-ZA"/>
        </w:rPr>
        <w:tab/>
      </w:r>
      <w:r w:rsidR="00B43AD8" w:rsidRPr="00232D3B">
        <w:rPr>
          <w:rFonts w:ascii="Arial" w:eastAsia="Times New Roman" w:hAnsi="Arial" w:cs="Arial"/>
          <w:sz w:val="24"/>
          <w:szCs w:val="24"/>
          <w:lang w:eastAsia="en-ZA"/>
        </w:rPr>
        <w:t>This Court is not privy to the contents of the document</w:t>
      </w:r>
      <w:r w:rsidR="006A0AE1" w:rsidRPr="00232D3B">
        <w:rPr>
          <w:rFonts w:ascii="Arial" w:eastAsia="Times New Roman" w:hAnsi="Arial" w:cs="Arial"/>
          <w:sz w:val="24"/>
          <w:szCs w:val="24"/>
          <w:lang w:eastAsia="en-ZA"/>
        </w:rPr>
        <w:t>,</w:t>
      </w:r>
      <w:r w:rsidR="00B43AD8" w:rsidRPr="00232D3B">
        <w:rPr>
          <w:rFonts w:ascii="Arial" w:eastAsia="Times New Roman" w:hAnsi="Arial" w:cs="Arial"/>
          <w:sz w:val="24"/>
          <w:szCs w:val="24"/>
          <w:lang w:eastAsia="en-ZA"/>
        </w:rPr>
        <w:t xml:space="preserve"> and neither wa</w:t>
      </w:r>
      <w:r w:rsidR="006A0AE1" w:rsidRPr="00232D3B">
        <w:rPr>
          <w:rFonts w:ascii="Arial" w:eastAsia="Times New Roman" w:hAnsi="Arial" w:cs="Arial"/>
          <w:sz w:val="24"/>
          <w:szCs w:val="24"/>
          <w:lang w:eastAsia="en-ZA"/>
        </w:rPr>
        <w:t>s the plaintiff/respondent</w:t>
      </w:r>
      <w:r w:rsidR="00B43AD8" w:rsidRPr="00232D3B">
        <w:rPr>
          <w:rFonts w:ascii="Arial" w:eastAsia="Times New Roman" w:hAnsi="Arial" w:cs="Arial"/>
          <w:sz w:val="24"/>
          <w:szCs w:val="24"/>
          <w:lang w:eastAsia="en-ZA"/>
        </w:rPr>
        <w:t xml:space="preserve"> to expect the plaintiff in those circumstances to set out the basis upon which it considers the document relevant in the circumstances would </w:t>
      </w:r>
      <w:r w:rsidR="00B43AD8" w:rsidRPr="00232D3B">
        <w:rPr>
          <w:rFonts w:ascii="Arial" w:eastAsia="Times New Roman" w:hAnsi="Arial" w:cs="Arial"/>
          <w:sz w:val="24"/>
          <w:szCs w:val="24"/>
          <w:lang w:eastAsia="en-ZA"/>
        </w:rPr>
        <w:lastRenderedPageBreak/>
        <w:t>result in an inju</w:t>
      </w:r>
      <w:r w:rsidR="009D466F" w:rsidRPr="00232D3B">
        <w:rPr>
          <w:rFonts w:ascii="Arial" w:eastAsia="Times New Roman" w:hAnsi="Arial" w:cs="Arial"/>
          <w:sz w:val="24"/>
          <w:szCs w:val="24"/>
          <w:lang w:eastAsia="en-ZA"/>
        </w:rPr>
        <w:t>stice. However,</w:t>
      </w:r>
      <w:r w:rsidR="00B43AD8" w:rsidRPr="00232D3B">
        <w:rPr>
          <w:rFonts w:ascii="Arial" w:eastAsia="Times New Roman" w:hAnsi="Arial" w:cs="Arial"/>
          <w:sz w:val="24"/>
          <w:szCs w:val="24"/>
          <w:lang w:eastAsia="en-ZA"/>
        </w:rPr>
        <w:t xml:space="preserve"> this document was obtained after litigation and that Dr Boon was not the treating physician</w:t>
      </w:r>
      <w:r w:rsidR="00422A73" w:rsidRPr="00232D3B">
        <w:rPr>
          <w:rFonts w:ascii="Arial" w:eastAsia="Times New Roman" w:hAnsi="Arial" w:cs="Arial"/>
          <w:sz w:val="24"/>
          <w:szCs w:val="24"/>
          <w:lang w:eastAsia="en-ZA"/>
        </w:rPr>
        <w:t>.</w:t>
      </w:r>
    </w:p>
    <w:p w14:paraId="37E3E6BD" w14:textId="77777777" w:rsidR="00B43AD8" w:rsidRPr="00232D3B" w:rsidRDefault="00D32047" w:rsidP="0055599A">
      <w:pPr>
        <w:shd w:val="clear" w:color="auto" w:fill="FFFFFF"/>
        <w:spacing w:after="0" w:line="360" w:lineRule="auto"/>
        <w:ind w:left="720" w:hanging="720"/>
        <w:jc w:val="both"/>
        <w:rPr>
          <w:rFonts w:ascii="Arial" w:eastAsia="Times New Roman" w:hAnsi="Arial" w:cs="Arial"/>
          <w:sz w:val="24"/>
          <w:szCs w:val="24"/>
          <w:lang w:eastAsia="en-ZA"/>
        </w:rPr>
      </w:pPr>
      <w:r w:rsidRPr="00232D3B">
        <w:rPr>
          <w:rFonts w:ascii="Arial" w:eastAsia="Times New Roman" w:hAnsi="Arial" w:cs="Arial"/>
          <w:sz w:val="24"/>
          <w:szCs w:val="24"/>
          <w:lang w:eastAsia="en-ZA"/>
        </w:rPr>
        <w:t>(n</w:t>
      </w:r>
      <w:r w:rsidR="00B43AD8" w:rsidRPr="00232D3B">
        <w:rPr>
          <w:rFonts w:ascii="Arial" w:eastAsia="Times New Roman" w:hAnsi="Arial" w:cs="Arial"/>
          <w:sz w:val="24"/>
          <w:szCs w:val="24"/>
          <w:lang w:eastAsia="en-ZA"/>
        </w:rPr>
        <w:t>)</w:t>
      </w:r>
      <w:r w:rsidR="00B43AD8" w:rsidRPr="00232D3B">
        <w:rPr>
          <w:rFonts w:ascii="Arial" w:eastAsia="Times New Roman" w:hAnsi="Arial" w:cs="Arial"/>
          <w:sz w:val="24"/>
          <w:szCs w:val="24"/>
          <w:lang w:eastAsia="en-ZA"/>
        </w:rPr>
        <w:tab/>
        <w:t>Even if one were to accept that the document was relevant, one would still need to consider the issue of whether the document was privileged or not</w:t>
      </w:r>
      <w:r w:rsidR="003C2C59" w:rsidRPr="00232D3B">
        <w:rPr>
          <w:rFonts w:ascii="Arial" w:eastAsia="Times New Roman" w:hAnsi="Arial" w:cs="Arial"/>
          <w:sz w:val="24"/>
          <w:szCs w:val="24"/>
          <w:lang w:eastAsia="en-ZA"/>
        </w:rPr>
        <w:t>.</w:t>
      </w:r>
    </w:p>
    <w:p w14:paraId="3D17A78B" w14:textId="77777777" w:rsidR="00B43AD8" w:rsidRPr="00232D3B" w:rsidRDefault="00D32047" w:rsidP="0055599A">
      <w:pPr>
        <w:shd w:val="clear" w:color="auto" w:fill="FFFFFF"/>
        <w:spacing w:after="0" w:line="360" w:lineRule="auto"/>
        <w:ind w:left="720" w:hanging="720"/>
        <w:jc w:val="both"/>
        <w:rPr>
          <w:rFonts w:ascii="Arial" w:eastAsia="Times New Roman" w:hAnsi="Arial" w:cs="Arial"/>
          <w:sz w:val="24"/>
          <w:szCs w:val="24"/>
          <w:lang w:eastAsia="en-ZA"/>
        </w:rPr>
      </w:pPr>
      <w:r w:rsidRPr="00232D3B">
        <w:rPr>
          <w:rFonts w:ascii="Arial" w:eastAsia="Times New Roman" w:hAnsi="Arial" w:cs="Arial"/>
          <w:sz w:val="24"/>
          <w:szCs w:val="24"/>
          <w:lang w:eastAsia="en-ZA"/>
        </w:rPr>
        <w:t>(o</w:t>
      </w:r>
      <w:r w:rsidR="00B43AD8" w:rsidRPr="00232D3B">
        <w:rPr>
          <w:rFonts w:ascii="Arial" w:eastAsia="Times New Roman" w:hAnsi="Arial" w:cs="Arial"/>
          <w:sz w:val="24"/>
          <w:szCs w:val="24"/>
          <w:lang w:eastAsia="en-ZA"/>
        </w:rPr>
        <w:t>)</w:t>
      </w:r>
      <w:r w:rsidR="00B43AD8" w:rsidRPr="00232D3B">
        <w:rPr>
          <w:rFonts w:ascii="Arial" w:eastAsia="Times New Roman" w:hAnsi="Arial" w:cs="Arial"/>
          <w:sz w:val="24"/>
          <w:szCs w:val="24"/>
          <w:lang w:eastAsia="en-ZA"/>
        </w:rPr>
        <w:tab/>
        <w:t xml:space="preserve">The plaintiff/respondent disputed that the document was privileged predominantly on the basis that it was made available </w:t>
      </w:r>
      <w:r w:rsidRPr="00232D3B">
        <w:rPr>
          <w:rFonts w:ascii="Arial" w:eastAsia="Times New Roman" w:hAnsi="Arial" w:cs="Arial"/>
          <w:sz w:val="24"/>
          <w:szCs w:val="24"/>
          <w:lang w:eastAsia="en-ZA"/>
        </w:rPr>
        <w:t>to Prof</w:t>
      </w:r>
      <w:r w:rsidR="00B43AD8" w:rsidRPr="00232D3B">
        <w:rPr>
          <w:rFonts w:ascii="Arial" w:eastAsia="Times New Roman" w:hAnsi="Arial" w:cs="Arial"/>
          <w:sz w:val="24"/>
          <w:szCs w:val="24"/>
          <w:lang w:eastAsia="en-ZA"/>
        </w:rPr>
        <w:t xml:space="preserve"> Jeena who is not an employee of the hospital and thus it lost whatever privilege it may have </w:t>
      </w:r>
      <w:r w:rsidR="007B3BE0" w:rsidRPr="00232D3B">
        <w:rPr>
          <w:rFonts w:ascii="Arial" w:eastAsia="Times New Roman" w:hAnsi="Arial" w:cs="Arial"/>
          <w:sz w:val="24"/>
          <w:szCs w:val="24"/>
          <w:lang w:eastAsia="en-ZA"/>
        </w:rPr>
        <w:t>had.</w:t>
      </w:r>
    </w:p>
    <w:p w14:paraId="4F8352E4" w14:textId="77777777" w:rsidR="00B43AD8" w:rsidRPr="00232D3B" w:rsidRDefault="00D32047" w:rsidP="0055599A">
      <w:pPr>
        <w:shd w:val="clear" w:color="auto" w:fill="FFFFFF"/>
        <w:spacing w:after="0" w:line="360" w:lineRule="auto"/>
        <w:ind w:left="720" w:hanging="720"/>
        <w:jc w:val="both"/>
        <w:rPr>
          <w:rFonts w:ascii="Arial" w:eastAsia="Times New Roman" w:hAnsi="Arial" w:cs="Arial"/>
          <w:sz w:val="24"/>
          <w:szCs w:val="24"/>
          <w:lang w:eastAsia="en-ZA"/>
        </w:rPr>
      </w:pPr>
      <w:r w:rsidRPr="00232D3B">
        <w:rPr>
          <w:rFonts w:ascii="Arial" w:eastAsia="Times New Roman" w:hAnsi="Arial" w:cs="Arial"/>
          <w:sz w:val="24"/>
          <w:szCs w:val="24"/>
          <w:lang w:eastAsia="en-ZA"/>
        </w:rPr>
        <w:t>(p</w:t>
      </w:r>
      <w:r w:rsidR="00B43AD8" w:rsidRPr="00232D3B">
        <w:rPr>
          <w:rFonts w:ascii="Arial" w:eastAsia="Times New Roman" w:hAnsi="Arial" w:cs="Arial"/>
          <w:sz w:val="24"/>
          <w:szCs w:val="24"/>
          <w:lang w:eastAsia="en-ZA"/>
        </w:rPr>
        <w:t>)</w:t>
      </w:r>
      <w:r w:rsidR="00B43AD8" w:rsidRPr="00232D3B">
        <w:rPr>
          <w:rFonts w:ascii="Arial" w:eastAsia="Times New Roman" w:hAnsi="Arial" w:cs="Arial"/>
          <w:sz w:val="24"/>
          <w:szCs w:val="24"/>
          <w:lang w:eastAsia="en-ZA"/>
        </w:rPr>
        <w:tab/>
        <w:t xml:space="preserve">The authorities are clear that the </w:t>
      </w:r>
      <w:r w:rsidRPr="00232D3B">
        <w:rPr>
          <w:rFonts w:ascii="Arial" w:eastAsia="Times New Roman" w:hAnsi="Arial" w:cs="Arial"/>
          <w:sz w:val="24"/>
          <w:szCs w:val="24"/>
          <w:lang w:eastAsia="en-ZA"/>
        </w:rPr>
        <w:t>privilege is that of the client and the facts of this case do not demonstrate that this privilege was waived</w:t>
      </w:r>
      <w:r w:rsidR="001F24E1" w:rsidRPr="00232D3B">
        <w:rPr>
          <w:rFonts w:ascii="Arial" w:eastAsia="Times New Roman" w:hAnsi="Arial" w:cs="Arial"/>
          <w:sz w:val="24"/>
          <w:szCs w:val="24"/>
          <w:lang w:eastAsia="en-ZA"/>
        </w:rPr>
        <w:t>.</w:t>
      </w:r>
    </w:p>
    <w:p w14:paraId="7C0FD508" w14:textId="77777777" w:rsidR="00D32047" w:rsidRPr="00232D3B" w:rsidRDefault="00D32047" w:rsidP="0055599A">
      <w:pPr>
        <w:shd w:val="clear" w:color="auto" w:fill="FFFFFF"/>
        <w:spacing w:after="0" w:line="360" w:lineRule="auto"/>
        <w:jc w:val="both"/>
        <w:rPr>
          <w:rFonts w:ascii="Arial" w:eastAsia="Times New Roman" w:hAnsi="Arial" w:cs="Arial"/>
          <w:sz w:val="24"/>
          <w:szCs w:val="24"/>
          <w:lang w:eastAsia="en-ZA"/>
        </w:rPr>
      </w:pPr>
      <w:r w:rsidRPr="00232D3B">
        <w:rPr>
          <w:rFonts w:ascii="Arial" w:eastAsia="Times New Roman" w:hAnsi="Arial" w:cs="Arial"/>
          <w:sz w:val="24"/>
          <w:szCs w:val="24"/>
          <w:lang w:eastAsia="en-ZA"/>
        </w:rPr>
        <w:t>(q)</w:t>
      </w:r>
      <w:r w:rsidRPr="00232D3B">
        <w:rPr>
          <w:rFonts w:ascii="Arial" w:eastAsia="Times New Roman" w:hAnsi="Arial" w:cs="Arial"/>
          <w:sz w:val="24"/>
          <w:szCs w:val="24"/>
          <w:lang w:eastAsia="en-ZA"/>
        </w:rPr>
        <w:tab/>
        <w:t>The plaintiff/respondent accordingly is not entitled to the report of Dr Boon</w:t>
      </w:r>
      <w:r w:rsidR="001F24E1" w:rsidRPr="00232D3B">
        <w:rPr>
          <w:rFonts w:ascii="Arial" w:eastAsia="Times New Roman" w:hAnsi="Arial" w:cs="Arial"/>
          <w:sz w:val="24"/>
          <w:szCs w:val="24"/>
          <w:lang w:eastAsia="en-ZA"/>
        </w:rPr>
        <w:t>.</w:t>
      </w:r>
    </w:p>
    <w:p w14:paraId="066C9CCE" w14:textId="77777777" w:rsidR="00BD3CF7" w:rsidRPr="00232D3B" w:rsidRDefault="00BD3CF7" w:rsidP="00282F3F">
      <w:pPr>
        <w:spacing w:after="0" w:line="360" w:lineRule="auto"/>
        <w:jc w:val="both"/>
        <w:rPr>
          <w:rFonts w:ascii="Arial" w:hAnsi="Arial" w:cs="Arial"/>
          <w:sz w:val="24"/>
          <w:szCs w:val="24"/>
        </w:rPr>
      </w:pPr>
    </w:p>
    <w:p w14:paraId="0FC838EC" w14:textId="42498486" w:rsidR="00EA0FEE" w:rsidRDefault="00F2141C" w:rsidP="00AD647B">
      <w:pPr>
        <w:spacing w:after="0" w:line="360" w:lineRule="auto"/>
        <w:jc w:val="both"/>
        <w:rPr>
          <w:rFonts w:ascii="Arial" w:hAnsi="Arial" w:cs="Arial"/>
          <w:sz w:val="24"/>
          <w:szCs w:val="24"/>
        </w:rPr>
      </w:pPr>
      <w:r w:rsidRPr="00AD647B">
        <w:rPr>
          <w:rFonts w:ascii="Arial" w:hAnsi="Arial" w:cs="Arial"/>
          <w:sz w:val="24"/>
          <w:szCs w:val="24"/>
        </w:rPr>
        <w:t>[</w:t>
      </w:r>
      <w:r w:rsidR="00095382" w:rsidRPr="00AD647B">
        <w:rPr>
          <w:rFonts w:ascii="Arial" w:hAnsi="Arial" w:cs="Arial"/>
          <w:sz w:val="24"/>
          <w:szCs w:val="24"/>
        </w:rPr>
        <w:t>48</w:t>
      </w:r>
      <w:r w:rsidR="00BD3CF7" w:rsidRPr="00AD647B">
        <w:rPr>
          <w:rFonts w:ascii="Arial" w:hAnsi="Arial" w:cs="Arial"/>
          <w:sz w:val="24"/>
          <w:szCs w:val="24"/>
        </w:rPr>
        <w:t>]</w:t>
      </w:r>
      <w:r w:rsidR="00BD3CF7" w:rsidRPr="00AD647B">
        <w:rPr>
          <w:rFonts w:ascii="Arial" w:hAnsi="Arial" w:cs="Arial"/>
          <w:sz w:val="24"/>
          <w:szCs w:val="24"/>
        </w:rPr>
        <w:tab/>
      </w:r>
      <w:r w:rsidR="00EA0FEE" w:rsidRPr="00AD647B">
        <w:rPr>
          <w:rFonts w:ascii="Arial" w:hAnsi="Arial" w:cs="Arial"/>
          <w:sz w:val="24"/>
          <w:szCs w:val="24"/>
        </w:rPr>
        <w:t xml:space="preserve">There is no reason why costs should not follow the result both in respect of the application before the court </w:t>
      </w:r>
      <w:r w:rsidR="00EA0FEE" w:rsidRPr="00AD647B">
        <w:rPr>
          <w:rFonts w:ascii="Arial" w:hAnsi="Arial" w:cs="Arial"/>
          <w:i/>
          <w:sz w:val="24"/>
          <w:szCs w:val="24"/>
        </w:rPr>
        <w:t>a quo</w:t>
      </w:r>
      <w:r w:rsidR="00EA0FEE" w:rsidRPr="00AD647B">
        <w:rPr>
          <w:rFonts w:ascii="Arial" w:hAnsi="Arial" w:cs="Arial"/>
          <w:sz w:val="24"/>
          <w:szCs w:val="24"/>
        </w:rPr>
        <w:t xml:space="preserve"> and this </w:t>
      </w:r>
      <w:r w:rsidR="00D17903">
        <w:rPr>
          <w:rFonts w:ascii="Arial" w:hAnsi="Arial" w:cs="Arial"/>
          <w:sz w:val="24"/>
          <w:szCs w:val="24"/>
        </w:rPr>
        <w:t>C</w:t>
      </w:r>
      <w:r w:rsidR="00D17903" w:rsidRPr="00AD647B">
        <w:rPr>
          <w:rFonts w:ascii="Arial" w:hAnsi="Arial" w:cs="Arial"/>
          <w:sz w:val="24"/>
          <w:szCs w:val="24"/>
        </w:rPr>
        <w:t>ourt</w:t>
      </w:r>
      <w:r w:rsidR="00EA0FEE" w:rsidRPr="00AD647B">
        <w:rPr>
          <w:rFonts w:ascii="Arial" w:hAnsi="Arial" w:cs="Arial"/>
          <w:sz w:val="24"/>
          <w:szCs w:val="24"/>
        </w:rPr>
        <w:t>. This case turns on facts in the context of rule 35(3). It does not constitute the testing of one’s constitutional right</w:t>
      </w:r>
      <w:r w:rsidR="00AA34E2">
        <w:rPr>
          <w:rFonts w:ascii="Arial" w:hAnsi="Arial" w:cs="Arial"/>
          <w:sz w:val="24"/>
          <w:szCs w:val="24"/>
        </w:rPr>
        <w:t>s</w:t>
      </w:r>
      <w:r w:rsidR="00EA0FEE" w:rsidRPr="00AD647B">
        <w:rPr>
          <w:rFonts w:ascii="Arial" w:hAnsi="Arial" w:cs="Arial"/>
          <w:sz w:val="24"/>
          <w:szCs w:val="24"/>
        </w:rPr>
        <w:t xml:space="preserve"> in the </w:t>
      </w:r>
      <w:r w:rsidR="00EA0FEE" w:rsidRPr="00AD647B">
        <w:rPr>
          <w:rFonts w:ascii="Arial" w:hAnsi="Arial" w:cs="Arial"/>
          <w:i/>
          <w:sz w:val="24"/>
          <w:szCs w:val="24"/>
        </w:rPr>
        <w:t>Biowatch</w:t>
      </w:r>
      <w:r w:rsidR="00EA0FEE" w:rsidRPr="00AD647B">
        <w:rPr>
          <w:rFonts w:ascii="Arial" w:hAnsi="Arial" w:cs="Arial"/>
          <w:sz w:val="24"/>
          <w:szCs w:val="24"/>
        </w:rPr>
        <w:t xml:space="preserve"> context.</w:t>
      </w:r>
      <w:r w:rsidR="00EA0FEE" w:rsidRPr="00AD647B">
        <w:rPr>
          <w:rStyle w:val="FootnoteReference"/>
          <w:rFonts w:ascii="Arial" w:hAnsi="Arial" w:cs="Arial"/>
          <w:sz w:val="24"/>
          <w:szCs w:val="24"/>
        </w:rPr>
        <w:footnoteReference w:id="42"/>
      </w:r>
      <w:r w:rsidR="0037496F" w:rsidRPr="00AD647B">
        <w:rPr>
          <w:rFonts w:ascii="Arial" w:hAnsi="Arial" w:cs="Arial"/>
          <w:sz w:val="24"/>
          <w:szCs w:val="24"/>
        </w:rPr>
        <w:t xml:space="preserve"> The</w:t>
      </w:r>
      <w:r w:rsidR="00A66CC5" w:rsidRPr="00AD647B">
        <w:rPr>
          <w:rFonts w:ascii="Arial" w:hAnsi="Arial" w:cs="Arial"/>
          <w:sz w:val="24"/>
          <w:szCs w:val="24"/>
        </w:rPr>
        <w:t xml:space="preserve"> case, however,</w:t>
      </w:r>
      <w:r w:rsidR="00641E48" w:rsidRPr="00AD647B">
        <w:rPr>
          <w:rFonts w:ascii="Arial" w:hAnsi="Arial" w:cs="Arial"/>
          <w:sz w:val="24"/>
          <w:szCs w:val="24"/>
        </w:rPr>
        <w:t xml:space="preserve"> does </w:t>
      </w:r>
      <w:r w:rsidR="00EA0FEE" w:rsidRPr="00AD647B">
        <w:rPr>
          <w:rFonts w:ascii="Arial" w:hAnsi="Arial" w:cs="Arial"/>
          <w:sz w:val="24"/>
          <w:szCs w:val="24"/>
        </w:rPr>
        <w:t>not</w:t>
      </w:r>
      <w:r w:rsidR="00A66CC5" w:rsidRPr="00AD647B">
        <w:rPr>
          <w:rFonts w:ascii="Arial" w:hAnsi="Arial" w:cs="Arial"/>
          <w:sz w:val="24"/>
          <w:szCs w:val="24"/>
        </w:rPr>
        <w:t xml:space="preserve"> </w:t>
      </w:r>
      <w:r w:rsidR="0037496F" w:rsidRPr="00AD647B">
        <w:rPr>
          <w:rFonts w:ascii="Arial" w:hAnsi="Arial" w:cs="Arial"/>
          <w:sz w:val="24"/>
          <w:szCs w:val="24"/>
        </w:rPr>
        <w:t>warrant the involvement of two c</w:t>
      </w:r>
      <w:r w:rsidR="00EA0FEE" w:rsidRPr="00AD647B">
        <w:rPr>
          <w:rFonts w:ascii="Arial" w:hAnsi="Arial" w:cs="Arial"/>
          <w:sz w:val="24"/>
          <w:szCs w:val="24"/>
        </w:rPr>
        <w:t>ounsel</w:t>
      </w:r>
      <w:r w:rsidR="00641E48" w:rsidRPr="00AD647B">
        <w:rPr>
          <w:rFonts w:ascii="Arial" w:hAnsi="Arial" w:cs="Arial"/>
          <w:sz w:val="24"/>
          <w:szCs w:val="24"/>
        </w:rPr>
        <w:t>. The record is not voluminous and the issues are not complex.</w:t>
      </w:r>
    </w:p>
    <w:p w14:paraId="196DD7F5" w14:textId="4F01D062" w:rsidR="000F0060" w:rsidRDefault="000F0060" w:rsidP="00AD647B">
      <w:pPr>
        <w:spacing w:after="0" w:line="360" w:lineRule="auto"/>
        <w:jc w:val="both"/>
        <w:rPr>
          <w:rFonts w:ascii="Arial" w:hAnsi="Arial" w:cs="Arial"/>
          <w:sz w:val="24"/>
          <w:szCs w:val="24"/>
        </w:rPr>
      </w:pPr>
    </w:p>
    <w:p w14:paraId="7EE0A7F4" w14:textId="7D09A22A" w:rsidR="00037CBD" w:rsidRPr="000F0060" w:rsidRDefault="000F0060" w:rsidP="00AD647B">
      <w:pPr>
        <w:spacing w:after="0" w:line="360" w:lineRule="auto"/>
        <w:jc w:val="both"/>
        <w:rPr>
          <w:rFonts w:ascii="Arial" w:hAnsi="Arial" w:cs="Arial"/>
          <w:b/>
          <w:sz w:val="24"/>
          <w:szCs w:val="24"/>
        </w:rPr>
      </w:pPr>
      <w:r w:rsidRPr="000F0060">
        <w:rPr>
          <w:rFonts w:ascii="Arial" w:hAnsi="Arial" w:cs="Arial"/>
          <w:b/>
          <w:sz w:val="24"/>
          <w:szCs w:val="24"/>
        </w:rPr>
        <w:t>Order</w:t>
      </w:r>
      <w:r w:rsidR="00650028">
        <w:rPr>
          <w:rFonts w:ascii="Arial" w:hAnsi="Arial" w:cs="Arial"/>
          <w:b/>
          <w:sz w:val="24"/>
          <w:szCs w:val="24"/>
        </w:rPr>
        <w:t xml:space="preserve"> </w:t>
      </w:r>
    </w:p>
    <w:p w14:paraId="19F0C190" w14:textId="77777777" w:rsidR="002650BA" w:rsidRPr="00232D3B" w:rsidRDefault="00095382" w:rsidP="0055599A">
      <w:pPr>
        <w:spacing w:after="120" w:line="360" w:lineRule="auto"/>
        <w:jc w:val="both"/>
        <w:rPr>
          <w:rFonts w:ascii="Arial" w:hAnsi="Arial" w:cs="Arial"/>
          <w:sz w:val="24"/>
          <w:szCs w:val="24"/>
        </w:rPr>
      </w:pPr>
      <w:r w:rsidRPr="00AD647B">
        <w:rPr>
          <w:rFonts w:ascii="Arial" w:hAnsi="Arial" w:cs="Arial"/>
          <w:sz w:val="24"/>
          <w:szCs w:val="24"/>
        </w:rPr>
        <w:t>[49</w:t>
      </w:r>
      <w:r w:rsidR="00641E48" w:rsidRPr="00AD647B">
        <w:rPr>
          <w:rFonts w:ascii="Arial" w:hAnsi="Arial" w:cs="Arial"/>
          <w:sz w:val="24"/>
          <w:szCs w:val="24"/>
        </w:rPr>
        <w:t>]</w:t>
      </w:r>
      <w:r w:rsidR="00641E48" w:rsidRPr="00AD647B">
        <w:rPr>
          <w:rFonts w:ascii="Arial" w:hAnsi="Arial" w:cs="Arial"/>
          <w:sz w:val="24"/>
          <w:szCs w:val="24"/>
        </w:rPr>
        <w:tab/>
      </w:r>
      <w:r w:rsidR="00DC672C" w:rsidRPr="00232D3B">
        <w:rPr>
          <w:rFonts w:ascii="Arial" w:hAnsi="Arial" w:cs="Arial"/>
          <w:sz w:val="24"/>
          <w:szCs w:val="24"/>
        </w:rPr>
        <w:t>In the circumstances</w:t>
      </w:r>
      <w:r w:rsidR="00641E48" w:rsidRPr="00AD647B">
        <w:rPr>
          <w:rFonts w:ascii="Arial" w:hAnsi="Arial" w:cs="Arial"/>
          <w:sz w:val="24"/>
          <w:szCs w:val="24"/>
        </w:rPr>
        <w:t>,</w:t>
      </w:r>
      <w:r w:rsidR="00DC672C" w:rsidRPr="00232D3B">
        <w:rPr>
          <w:rFonts w:ascii="Arial" w:hAnsi="Arial" w:cs="Arial"/>
          <w:sz w:val="24"/>
          <w:szCs w:val="24"/>
        </w:rPr>
        <w:t xml:space="preserve"> the following order is </w:t>
      </w:r>
      <w:r w:rsidR="00BD3CF7" w:rsidRPr="00232D3B">
        <w:rPr>
          <w:rFonts w:ascii="Arial" w:hAnsi="Arial" w:cs="Arial"/>
          <w:sz w:val="24"/>
          <w:szCs w:val="24"/>
        </w:rPr>
        <w:t>made</w:t>
      </w:r>
      <w:r w:rsidR="004B4A66" w:rsidRPr="00232D3B">
        <w:rPr>
          <w:rFonts w:ascii="Arial" w:hAnsi="Arial" w:cs="Arial"/>
          <w:sz w:val="24"/>
          <w:szCs w:val="24"/>
        </w:rPr>
        <w:t>:</w:t>
      </w:r>
    </w:p>
    <w:p w14:paraId="443E6490" w14:textId="17E31B1A" w:rsidR="00DC672C" w:rsidRPr="00650028" w:rsidRDefault="002650BA" w:rsidP="00282F3F">
      <w:pPr>
        <w:spacing w:after="0" w:line="360" w:lineRule="auto"/>
        <w:ind w:left="1440" w:hanging="720"/>
        <w:jc w:val="both"/>
        <w:rPr>
          <w:rFonts w:ascii="Arial" w:hAnsi="Arial" w:cs="Arial"/>
          <w:b/>
          <w:iCs/>
          <w:sz w:val="24"/>
          <w:szCs w:val="24"/>
        </w:rPr>
      </w:pPr>
      <w:r w:rsidRPr="00650028">
        <w:rPr>
          <w:rFonts w:ascii="Arial" w:hAnsi="Arial" w:cs="Arial"/>
          <w:b/>
          <w:iCs/>
          <w:sz w:val="24"/>
          <w:szCs w:val="24"/>
        </w:rPr>
        <w:t>1.</w:t>
      </w:r>
      <w:r w:rsidRPr="00650028">
        <w:rPr>
          <w:rFonts w:ascii="Arial" w:hAnsi="Arial" w:cs="Arial"/>
          <w:b/>
          <w:iCs/>
          <w:sz w:val="24"/>
          <w:szCs w:val="24"/>
        </w:rPr>
        <w:tab/>
      </w:r>
      <w:r w:rsidR="00DC672C" w:rsidRPr="00650028">
        <w:rPr>
          <w:rFonts w:ascii="Arial" w:hAnsi="Arial" w:cs="Arial"/>
          <w:b/>
          <w:iCs/>
          <w:sz w:val="24"/>
          <w:szCs w:val="24"/>
        </w:rPr>
        <w:t>The appeal is upheld with costs</w:t>
      </w:r>
      <w:r w:rsidR="00641E48" w:rsidRPr="00650028">
        <w:rPr>
          <w:rFonts w:ascii="Arial" w:hAnsi="Arial" w:cs="Arial"/>
          <w:b/>
          <w:iCs/>
          <w:sz w:val="24"/>
          <w:szCs w:val="24"/>
        </w:rPr>
        <w:t>.</w:t>
      </w:r>
    </w:p>
    <w:p w14:paraId="28A4CB72" w14:textId="77777777" w:rsidR="00DC672C" w:rsidRPr="00650028" w:rsidRDefault="002650BA" w:rsidP="00282F3F">
      <w:pPr>
        <w:spacing w:after="0" w:line="360" w:lineRule="auto"/>
        <w:ind w:left="1440" w:hanging="720"/>
        <w:jc w:val="both"/>
        <w:rPr>
          <w:rFonts w:ascii="Arial" w:hAnsi="Arial" w:cs="Arial"/>
          <w:b/>
          <w:iCs/>
          <w:sz w:val="24"/>
          <w:szCs w:val="24"/>
        </w:rPr>
      </w:pPr>
      <w:r w:rsidRPr="00650028">
        <w:rPr>
          <w:rFonts w:ascii="Arial" w:hAnsi="Arial" w:cs="Arial"/>
          <w:b/>
          <w:iCs/>
          <w:sz w:val="24"/>
          <w:szCs w:val="24"/>
        </w:rPr>
        <w:t>2.</w:t>
      </w:r>
      <w:r w:rsidRPr="00650028">
        <w:rPr>
          <w:rFonts w:ascii="Arial" w:hAnsi="Arial" w:cs="Arial"/>
          <w:b/>
          <w:iCs/>
          <w:sz w:val="24"/>
          <w:szCs w:val="24"/>
        </w:rPr>
        <w:tab/>
      </w:r>
      <w:r w:rsidR="00DC672C" w:rsidRPr="00650028">
        <w:rPr>
          <w:rFonts w:ascii="Arial" w:hAnsi="Arial" w:cs="Arial"/>
          <w:b/>
          <w:iCs/>
          <w:sz w:val="24"/>
          <w:szCs w:val="24"/>
        </w:rPr>
        <w:t xml:space="preserve">The order of the court a quo is set aside and </w:t>
      </w:r>
      <w:r w:rsidR="00641E48" w:rsidRPr="00650028">
        <w:rPr>
          <w:rFonts w:ascii="Arial" w:hAnsi="Arial" w:cs="Arial"/>
          <w:b/>
          <w:iCs/>
          <w:sz w:val="24"/>
          <w:szCs w:val="24"/>
        </w:rPr>
        <w:t>substituted</w:t>
      </w:r>
      <w:r w:rsidR="00DC672C" w:rsidRPr="00650028">
        <w:rPr>
          <w:rFonts w:ascii="Arial" w:hAnsi="Arial" w:cs="Arial"/>
          <w:b/>
          <w:iCs/>
          <w:sz w:val="24"/>
          <w:szCs w:val="24"/>
        </w:rPr>
        <w:t xml:space="preserve"> with the following order</w:t>
      </w:r>
      <w:r w:rsidR="00D51A57" w:rsidRPr="00650028">
        <w:rPr>
          <w:rFonts w:ascii="Arial" w:hAnsi="Arial" w:cs="Arial"/>
          <w:b/>
          <w:iCs/>
          <w:sz w:val="24"/>
          <w:szCs w:val="24"/>
        </w:rPr>
        <w:t>:</w:t>
      </w:r>
    </w:p>
    <w:p w14:paraId="551D93CD" w14:textId="77777777" w:rsidR="00095382" w:rsidRPr="00232D3B" w:rsidRDefault="00095382" w:rsidP="00282F3F">
      <w:pPr>
        <w:spacing w:after="0" w:line="360" w:lineRule="auto"/>
        <w:ind w:left="1440" w:hanging="720"/>
        <w:jc w:val="both"/>
        <w:rPr>
          <w:rFonts w:ascii="Arial" w:hAnsi="Arial" w:cs="Arial"/>
          <w:i/>
          <w:sz w:val="10"/>
          <w:szCs w:val="10"/>
        </w:rPr>
      </w:pPr>
    </w:p>
    <w:p w14:paraId="6ABC12EF" w14:textId="77777777" w:rsidR="00D51A57" w:rsidRPr="00A819BC" w:rsidRDefault="00641E48" w:rsidP="00282F3F">
      <w:pPr>
        <w:spacing w:after="0" w:line="360" w:lineRule="auto"/>
        <w:ind w:left="2160" w:hanging="720"/>
        <w:jc w:val="both"/>
        <w:rPr>
          <w:rFonts w:ascii="Arial" w:hAnsi="Arial" w:cs="Arial"/>
          <w:b/>
        </w:rPr>
      </w:pPr>
      <w:r w:rsidRPr="00A819BC">
        <w:rPr>
          <w:rFonts w:ascii="Arial" w:hAnsi="Arial" w:cs="Arial"/>
          <w:b/>
        </w:rPr>
        <w:t>‘</w:t>
      </w:r>
      <w:r w:rsidR="00DC672C" w:rsidRPr="00A819BC">
        <w:rPr>
          <w:rFonts w:ascii="Arial" w:hAnsi="Arial" w:cs="Arial"/>
          <w:b/>
        </w:rPr>
        <w:t>The application in terms of rule 35(</w:t>
      </w:r>
      <w:r w:rsidR="00346194" w:rsidRPr="00A819BC">
        <w:rPr>
          <w:rFonts w:ascii="Arial" w:hAnsi="Arial" w:cs="Arial"/>
          <w:b/>
        </w:rPr>
        <w:t>3) is</w:t>
      </w:r>
      <w:r w:rsidR="00DC672C" w:rsidRPr="00A819BC">
        <w:rPr>
          <w:rFonts w:ascii="Arial" w:hAnsi="Arial" w:cs="Arial"/>
          <w:b/>
        </w:rPr>
        <w:t xml:space="preserve"> dismissed</w:t>
      </w:r>
      <w:r w:rsidRPr="00A819BC">
        <w:rPr>
          <w:rFonts w:ascii="Arial" w:hAnsi="Arial" w:cs="Arial"/>
          <w:b/>
        </w:rPr>
        <w:t>, with costs</w:t>
      </w:r>
      <w:r w:rsidR="00D51A57" w:rsidRPr="00A819BC">
        <w:rPr>
          <w:rFonts w:ascii="Arial" w:hAnsi="Arial" w:cs="Arial"/>
          <w:b/>
        </w:rPr>
        <w:t>.</w:t>
      </w:r>
      <w:r w:rsidRPr="00A819BC">
        <w:rPr>
          <w:rFonts w:ascii="Arial" w:hAnsi="Arial" w:cs="Arial"/>
          <w:b/>
        </w:rPr>
        <w:t>’</w:t>
      </w:r>
    </w:p>
    <w:p w14:paraId="4C2F5781" w14:textId="77777777" w:rsidR="00641E48" w:rsidRPr="00232D3B" w:rsidRDefault="00641E48" w:rsidP="00282F3F">
      <w:pPr>
        <w:spacing w:after="0" w:line="360" w:lineRule="auto"/>
        <w:ind w:left="2160" w:hanging="720"/>
        <w:jc w:val="both"/>
        <w:rPr>
          <w:rFonts w:ascii="Arial" w:hAnsi="Arial" w:cs="Arial"/>
          <w:b/>
          <w:sz w:val="24"/>
          <w:szCs w:val="24"/>
        </w:rPr>
      </w:pPr>
    </w:p>
    <w:p w14:paraId="4F3CD34B" w14:textId="77777777" w:rsidR="00641E48" w:rsidRPr="00232D3B" w:rsidRDefault="00641E48" w:rsidP="00282F3F">
      <w:pPr>
        <w:spacing w:after="0" w:line="360" w:lineRule="auto"/>
        <w:ind w:left="2160" w:hanging="720"/>
        <w:jc w:val="both"/>
        <w:rPr>
          <w:rFonts w:ascii="Arial" w:hAnsi="Arial" w:cs="Arial"/>
          <w:b/>
          <w:i/>
          <w:sz w:val="24"/>
          <w:szCs w:val="24"/>
        </w:rPr>
      </w:pPr>
    </w:p>
    <w:p w14:paraId="6B82BF82" w14:textId="77777777" w:rsidR="00641E48" w:rsidRPr="00232D3B" w:rsidRDefault="00641E48" w:rsidP="00282F3F">
      <w:pPr>
        <w:spacing w:after="0" w:line="360" w:lineRule="auto"/>
        <w:ind w:left="2160" w:hanging="720"/>
        <w:jc w:val="both"/>
        <w:rPr>
          <w:rFonts w:ascii="Arial" w:hAnsi="Arial" w:cs="Arial"/>
          <w:b/>
          <w:i/>
          <w:sz w:val="24"/>
          <w:szCs w:val="24"/>
        </w:rPr>
      </w:pPr>
    </w:p>
    <w:p w14:paraId="11F9C136" w14:textId="77777777" w:rsidR="00641E48" w:rsidRPr="00232D3B" w:rsidRDefault="00641E48" w:rsidP="00282F3F">
      <w:pPr>
        <w:spacing w:after="0" w:line="360" w:lineRule="auto"/>
        <w:ind w:left="2160" w:hanging="720"/>
        <w:jc w:val="both"/>
        <w:rPr>
          <w:rFonts w:ascii="Arial" w:hAnsi="Arial" w:cs="Arial"/>
          <w:b/>
          <w:i/>
          <w:sz w:val="24"/>
          <w:szCs w:val="24"/>
        </w:rPr>
      </w:pPr>
    </w:p>
    <w:p w14:paraId="3575E625" w14:textId="77777777" w:rsidR="00A67008" w:rsidRPr="00232D3B" w:rsidRDefault="00D51A57" w:rsidP="00282F3F">
      <w:pPr>
        <w:spacing w:after="0" w:line="360" w:lineRule="auto"/>
        <w:jc w:val="both"/>
        <w:rPr>
          <w:rStyle w:val="Hyperlink"/>
          <w:rFonts w:ascii="Arial" w:hAnsi="Arial" w:cs="Arial"/>
          <w:i/>
          <w:iCs/>
          <w:color w:val="auto"/>
          <w:sz w:val="24"/>
          <w:szCs w:val="24"/>
        </w:rPr>
      </w:pPr>
      <w:r w:rsidRPr="00232D3B">
        <w:rPr>
          <w:rStyle w:val="Hyperlink"/>
          <w:rFonts w:ascii="Arial" w:hAnsi="Arial" w:cs="Arial"/>
          <w:i/>
          <w:iCs/>
          <w:color w:val="auto"/>
          <w:sz w:val="24"/>
          <w:szCs w:val="24"/>
        </w:rPr>
        <w:t>__________________________</w:t>
      </w:r>
    </w:p>
    <w:p w14:paraId="070AF5C2" w14:textId="77777777" w:rsidR="00A67008" w:rsidRPr="00232D3B" w:rsidRDefault="00641E48" w:rsidP="00282F3F">
      <w:pPr>
        <w:spacing w:after="0" w:line="360" w:lineRule="auto"/>
        <w:jc w:val="both"/>
        <w:rPr>
          <w:rFonts w:ascii="Arial" w:hAnsi="Arial" w:cs="Arial"/>
          <w:b/>
          <w:bCs/>
          <w:sz w:val="24"/>
          <w:szCs w:val="24"/>
        </w:rPr>
      </w:pPr>
      <w:r w:rsidRPr="00232D3B">
        <w:rPr>
          <w:rFonts w:ascii="Arial" w:hAnsi="Arial" w:cs="Arial"/>
          <w:b/>
          <w:bCs/>
          <w:sz w:val="24"/>
          <w:szCs w:val="24"/>
        </w:rPr>
        <w:t xml:space="preserve">F B </w:t>
      </w:r>
      <w:r w:rsidR="00A67008" w:rsidRPr="00232D3B">
        <w:rPr>
          <w:rFonts w:ascii="Arial" w:hAnsi="Arial" w:cs="Arial"/>
          <w:b/>
          <w:bCs/>
          <w:sz w:val="24"/>
          <w:szCs w:val="24"/>
        </w:rPr>
        <w:t>A DAWOOD</w:t>
      </w:r>
    </w:p>
    <w:p w14:paraId="4A82BE8F" w14:textId="77777777" w:rsidR="00A67008" w:rsidRPr="00232D3B" w:rsidRDefault="00A67008" w:rsidP="0055599A">
      <w:pPr>
        <w:spacing w:after="0" w:line="360" w:lineRule="auto"/>
        <w:jc w:val="both"/>
        <w:rPr>
          <w:rFonts w:ascii="Arial" w:hAnsi="Arial" w:cs="Arial"/>
          <w:b/>
          <w:bCs/>
          <w:sz w:val="24"/>
          <w:szCs w:val="24"/>
        </w:rPr>
      </w:pPr>
      <w:r w:rsidRPr="00232D3B">
        <w:rPr>
          <w:rFonts w:ascii="Arial" w:hAnsi="Arial" w:cs="Arial"/>
          <w:b/>
          <w:bCs/>
          <w:sz w:val="24"/>
          <w:szCs w:val="24"/>
        </w:rPr>
        <w:t>JUDGE OF THE HIGH COURT</w:t>
      </w:r>
    </w:p>
    <w:p w14:paraId="14D55ECD" w14:textId="77777777" w:rsidR="003C2C59" w:rsidRPr="00232D3B" w:rsidRDefault="003C2C59" w:rsidP="0055599A">
      <w:pPr>
        <w:spacing w:after="0" w:line="360" w:lineRule="auto"/>
        <w:jc w:val="both"/>
        <w:rPr>
          <w:rFonts w:ascii="Arial" w:hAnsi="Arial" w:cs="Arial"/>
          <w:b/>
          <w:bCs/>
          <w:sz w:val="24"/>
          <w:szCs w:val="24"/>
        </w:rPr>
      </w:pPr>
    </w:p>
    <w:p w14:paraId="58A292B2" w14:textId="77777777" w:rsidR="00A67008" w:rsidRPr="00232D3B" w:rsidRDefault="00A67008" w:rsidP="0055599A">
      <w:pPr>
        <w:spacing w:after="0" w:line="360" w:lineRule="auto"/>
        <w:jc w:val="both"/>
        <w:rPr>
          <w:rFonts w:ascii="Arial" w:hAnsi="Arial" w:cs="Arial"/>
          <w:b/>
          <w:bCs/>
          <w:sz w:val="24"/>
          <w:szCs w:val="24"/>
        </w:rPr>
      </w:pPr>
    </w:p>
    <w:p w14:paraId="6FE2A7A7" w14:textId="77777777" w:rsidR="00A67008" w:rsidRPr="00232D3B" w:rsidRDefault="00A67008" w:rsidP="0055599A">
      <w:pPr>
        <w:spacing w:after="0" w:line="360" w:lineRule="auto"/>
        <w:jc w:val="both"/>
        <w:rPr>
          <w:rFonts w:ascii="Arial" w:hAnsi="Arial" w:cs="Arial"/>
          <w:sz w:val="24"/>
          <w:szCs w:val="24"/>
        </w:rPr>
      </w:pPr>
      <w:r w:rsidRPr="00232D3B">
        <w:rPr>
          <w:rFonts w:ascii="Arial" w:hAnsi="Arial" w:cs="Arial"/>
          <w:sz w:val="24"/>
          <w:szCs w:val="24"/>
        </w:rPr>
        <w:t>I agree.</w:t>
      </w:r>
    </w:p>
    <w:p w14:paraId="6546AE92" w14:textId="77777777" w:rsidR="00A67008" w:rsidRPr="00232D3B" w:rsidRDefault="00A67008" w:rsidP="0055599A">
      <w:pPr>
        <w:spacing w:after="0" w:line="360" w:lineRule="auto"/>
        <w:jc w:val="both"/>
        <w:rPr>
          <w:rFonts w:ascii="Arial" w:hAnsi="Arial" w:cs="Arial"/>
          <w:sz w:val="24"/>
          <w:szCs w:val="24"/>
        </w:rPr>
      </w:pPr>
    </w:p>
    <w:p w14:paraId="63A40F72" w14:textId="77777777" w:rsidR="00095382" w:rsidRPr="00232D3B" w:rsidRDefault="00095382" w:rsidP="0055599A">
      <w:pPr>
        <w:spacing w:after="0" w:line="360" w:lineRule="auto"/>
        <w:jc w:val="both"/>
        <w:rPr>
          <w:rFonts w:ascii="Arial" w:hAnsi="Arial" w:cs="Arial"/>
          <w:sz w:val="24"/>
          <w:szCs w:val="24"/>
        </w:rPr>
      </w:pPr>
    </w:p>
    <w:p w14:paraId="777A8DEC" w14:textId="77777777" w:rsidR="00A67008" w:rsidRPr="00232D3B" w:rsidRDefault="00A67008" w:rsidP="00282F3F">
      <w:pPr>
        <w:spacing w:after="0" w:line="360" w:lineRule="auto"/>
        <w:jc w:val="both"/>
        <w:rPr>
          <w:rStyle w:val="Hyperlink"/>
          <w:rFonts w:ascii="Arial" w:hAnsi="Arial" w:cs="Arial"/>
          <w:i/>
          <w:iCs/>
          <w:color w:val="auto"/>
          <w:sz w:val="24"/>
          <w:szCs w:val="24"/>
        </w:rPr>
      </w:pPr>
      <w:r w:rsidRPr="00232D3B">
        <w:rPr>
          <w:rStyle w:val="Hyperlink"/>
          <w:rFonts w:ascii="Arial" w:hAnsi="Arial" w:cs="Arial"/>
          <w:i/>
          <w:iCs/>
          <w:color w:val="auto"/>
          <w:sz w:val="24"/>
          <w:szCs w:val="24"/>
        </w:rPr>
        <w:t>_________________________</w:t>
      </w:r>
    </w:p>
    <w:p w14:paraId="33A38AB9" w14:textId="77777777" w:rsidR="00A67008" w:rsidRPr="00232D3B" w:rsidRDefault="00641E48" w:rsidP="00282F3F">
      <w:pPr>
        <w:spacing w:after="0" w:line="360" w:lineRule="auto"/>
        <w:jc w:val="both"/>
        <w:rPr>
          <w:rFonts w:ascii="Arial" w:hAnsi="Arial" w:cs="Arial"/>
          <w:b/>
          <w:bCs/>
          <w:sz w:val="24"/>
          <w:szCs w:val="24"/>
        </w:rPr>
      </w:pPr>
      <w:r w:rsidRPr="00232D3B">
        <w:rPr>
          <w:rFonts w:ascii="Arial" w:hAnsi="Arial" w:cs="Arial"/>
          <w:b/>
          <w:bCs/>
          <w:sz w:val="24"/>
          <w:szCs w:val="24"/>
        </w:rPr>
        <w:t>S M</w:t>
      </w:r>
      <w:r w:rsidR="00A67008" w:rsidRPr="00232D3B">
        <w:rPr>
          <w:rFonts w:ascii="Arial" w:hAnsi="Arial" w:cs="Arial"/>
          <w:b/>
          <w:bCs/>
          <w:sz w:val="24"/>
          <w:szCs w:val="24"/>
        </w:rPr>
        <w:t xml:space="preserve"> MBENENGE</w:t>
      </w:r>
    </w:p>
    <w:p w14:paraId="240DBBF1" w14:textId="77777777" w:rsidR="00A67008" w:rsidRPr="00232D3B" w:rsidRDefault="00A67008" w:rsidP="0055599A">
      <w:pPr>
        <w:spacing w:after="0" w:line="360" w:lineRule="auto"/>
        <w:jc w:val="both"/>
        <w:rPr>
          <w:rFonts w:ascii="Arial" w:hAnsi="Arial" w:cs="Arial"/>
          <w:b/>
          <w:bCs/>
          <w:sz w:val="24"/>
          <w:szCs w:val="24"/>
        </w:rPr>
      </w:pPr>
      <w:r w:rsidRPr="00232D3B">
        <w:rPr>
          <w:rFonts w:ascii="Arial" w:hAnsi="Arial" w:cs="Arial"/>
          <w:b/>
          <w:bCs/>
          <w:sz w:val="24"/>
          <w:szCs w:val="24"/>
        </w:rPr>
        <w:t>JUDGE PRESIDENT OF THE HIGH COURT</w:t>
      </w:r>
    </w:p>
    <w:p w14:paraId="3DEFD322" w14:textId="77777777" w:rsidR="00A67008" w:rsidRPr="00232D3B" w:rsidRDefault="00A67008" w:rsidP="00282F3F">
      <w:pPr>
        <w:spacing w:after="0" w:line="360" w:lineRule="auto"/>
        <w:jc w:val="both"/>
        <w:rPr>
          <w:rFonts w:ascii="Arial" w:hAnsi="Arial" w:cs="Arial"/>
          <w:b/>
          <w:bCs/>
          <w:sz w:val="24"/>
          <w:szCs w:val="24"/>
        </w:rPr>
      </w:pPr>
    </w:p>
    <w:p w14:paraId="34839D3D" w14:textId="77777777" w:rsidR="00A87097" w:rsidRPr="00232D3B" w:rsidRDefault="00A87097" w:rsidP="0055599A">
      <w:pPr>
        <w:spacing w:after="0" w:line="360" w:lineRule="auto"/>
        <w:jc w:val="both"/>
        <w:rPr>
          <w:rFonts w:ascii="Arial" w:hAnsi="Arial" w:cs="Arial"/>
          <w:b/>
          <w:bCs/>
          <w:sz w:val="24"/>
          <w:szCs w:val="24"/>
        </w:rPr>
      </w:pPr>
    </w:p>
    <w:p w14:paraId="3833F77D" w14:textId="77777777" w:rsidR="00A67008" w:rsidRPr="00232D3B" w:rsidRDefault="00A67008" w:rsidP="0055599A">
      <w:pPr>
        <w:spacing w:after="0" w:line="360" w:lineRule="auto"/>
        <w:jc w:val="both"/>
        <w:rPr>
          <w:rFonts w:ascii="Arial" w:hAnsi="Arial" w:cs="Arial"/>
          <w:sz w:val="24"/>
          <w:szCs w:val="24"/>
        </w:rPr>
      </w:pPr>
      <w:r w:rsidRPr="00232D3B">
        <w:rPr>
          <w:rFonts w:ascii="Arial" w:hAnsi="Arial" w:cs="Arial"/>
          <w:sz w:val="24"/>
          <w:szCs w:val="24"/>
        </w:rPr>
        <w:t>I agree.</w:t>
      </w:r>
    </w:p>
    <w:p w14:paraId="3CAA5771" w14:textId="77777777" w:rsidR="00095382" w:rsidRPr="00232D3B" w:rsidRDefault="00095382" w:rsidP="0055599A">
      <w:pPr>
        <w:spacing w:after="0" w:line="360" w:lineRule="auto"/>
        <w:jc w:val="both"/>
        <w:rPr>
          <w:rFonts w:ascii="Arial" w:hAnsi="Arial" w:cs="Arial"/>
          <w:sz w:val="24"/>
          <w:szCs w:val="24"/>
        </w:rPr>
      </w:pPr>
    </w:p>
    <w:p w14:paraId="6DE96C81" w14:textId="77777777" w:rsidR="00A67008" w:rsidRPr="00232D3B" w:rsidRDefault="00A67008" w:rsidP="0055599A">
      <w:pPr>
        <w:spacing w:after="0" w:line="360" w:lineRule="auto"/>
        <w:jc w:val="both"/>
        <w:rPr>
          <w:rFonts w:ascii="Arial" w:hAnsi="Arial" w:cs="Arial"/>
          <w:sz w:val="24"/>
          <w:szCs w:val="24"/>
        </w:rPr>
      </w:pPr>
      <w:r w:rsidRPr="00232D3B">
        <w:rPr>
          <w:rFonts w:ascii="Arial" w:hAnsi="Arial" w:cs="Arial"/>
          <w:sz w:val="24"/>
          <w:szCs w:val="24"/>
        </w:rPr>
        <w:tab/>
      </w:r>
    </w:p>
    <w:p w14:paraId="2EF484A1" w14:textId="77777777" w:rsidR="00A67008" w:rsidRPr="00232D3B" w:rsidRDefault="00A67008" w:rsidP="00282F3F">
      <w:pPr>
        <w:spacing w:after="0" w:line="360" w:lineRule="auto"/>
        <w:jc w:val="both"/>
        <w:rPr>
          <w:rStyle w:val="Hyperlink"/>
          <w:rFonts w:ascii="Arial" w:hAnsi="Arial" w:cs="Arial"/>
          <w:i/>
          <w:iCs/>
          <w:color w:val="auto"/>
          <w:sz w:val="24"/>
          <w:szCs w:val="24"/>
        </w:rPr>
      </w:pPr>
      <w:r w:rsidRPr="00232D3B">
        <w:rPr>
          <w:rStyle w:val="Hyperlink"/>
          <w:rFonts w:ascii="Arial" w:hAnsi="Arial" w:cs="Arial"/>
          <w:i/>
          <w:iCs/>
          <w:color w:val="auto"/>
          <w:sz w:val="24"/>
          <w:szCs w:val="24"/>
        </w:rPr>
        <w:t>_________________________</w:t>
      </w:r>
    </w:p>
    <w:p w14:paraId="7590E063" w14:textId="77777777" w:rsidR="00A67008" w:rsidRPr="00232D3B" w:rsidRDefault="00641E48" w:rsidP="00282F3F">
      <w:pPr>
        <w:spacing w:after="0" w:line="360" w:lineRule="auto"/>
        <w:jc w:val="both"/>
        <w:rPr>
          <w:rFonts w:ascii="Arial" w:hAnsi="Arial" w:cs="Arial"/>
          <w:b/>
          <w:bCs/>
          <w:sz w:val="24"/>
          <w:szCs w:val="24"/>
        </w:rPr>
      </w:pPr>
      <w:r w:rsidRPr="00232D3B">
        <w:rPr>
          <w:rFonts w:ascii="Arial" w:hAnsi="Arial" w:cs="Arial"/>
          <w:b/>
          <w:bCs/>
          <w:sz w:val="24"/>
          <w:szCs w:val="24"/>
        </w:rPr>
        <w:t xml:space="preserve">M </w:t>
      </w:r>
      <w:r w:rsidR="00A67008" w:rsidRPr="00232D3B">
        <w:rPr>
          <w:rFonts w:ascii="Arial" w:hAnsi="Arial" w:cs="Arial"/>
          <w:b/>
          <w:bCs/>
          <w:sz w:val="24"/>
          <w:szCs w:val="24"/>
        </w:rPr>
        <w:t>MAKAULA</w:t>
      </w:r>
    </w:p>
    <w:p w14:paraId="51FD363E" w14:textId="77777777" w:rsidR="00A66CC5" w:rsidRPr="00232D3B" w:rsidRDefault="00A66CC5" w:rsidP="00A66CC5">
      <w:pPr>
        <w:spacing w:after="0" w:line="360" w:lineRule="auto"/>
        <w:jc w:val="both"/>
        <w:rPr>
          <w:rFonts w:ascii="Arial" w:hAnsi="Arial" w:cs="Arial"/>
          <w:b/>
          <w:bCs/>
          <w:sz w:val="24"/>
          <w:szCs w:val="24"/>
        </w:rPr>
      </w:pPr>
      <w:r w:rsidRPr="00232D3B">
        <w:rPr>
          <w:rFonts w:ascii="Arial" w:hAnsi="Arial" w:cs="Arial"/>
          <w:b/>
          <w:bCs/>
          <w:sz w:val="24"/>
          <w:szCs w:val="24"/>
        </w:rPr>
        <w:t>JUDGE OF THE HIGH COUR</w:t>
      </w:r>
    </w:p>
    <w:p w14:paraId="7A16C129" w14:textId="2B653EB7" w:rsidR="00037CBD" w:rsidRDefault="00037CBD">
      <w:pPr>
        <w:rPr>
          <w:rFonts w:ascii="Arial" w:hAnsi="Arial" w:cs="Arial"/>
          <w:b/>
          <w:bCs/>
          <w:sz w:val="24"/>
          <w:szCs w:val="24"/>
        </w:rPr>
      </w:pPr>
      <w:r>
        <w:rPr>
          <w:rFonts w:ascii="Arial" w:hAnsi="Arial" w:cs="Arial"/>
          <w:b/>
          <w:bCs/>
          <w:sz w:val="24"/>
          <w:szCs w:val="24"/>
        </w:rPr>
        <w:br w:type="page"/>
      </w:r>
    </w:p>
    <w:p w14:paraId="55FD3D86" w14:textId="77777777" w:rsidR="00A67008" w:rsidRPr="00232D3B" w:rsidRDefault="00A67008" w:rsidP="00A66CC5">
      <w:pPr>
        <w:spacing w:after="0" w:line="360" w:lineRule="auto"/>
        <w:jc w:val="both"/>
        <w:rPr>
          <w:rFonts w:ascii="Arial" w:hAnsi="Arial" w:cs="Arial"/>
          <w:b/>
          <w:bCs/>
          <w:sz w:val="24"/>
          <w:szCs w:val="24"/>
        </w:rPr>
      </w:pPr>
      <w:r w:rsidRPr="00232D3B">
        <w:rPr>
          <w:rFonts w:ascii="Arial" w:hAnsi="Arial" w:cs="Arial"/>
          <w:sz w:val="24"/>
          <w:szCs w:val="24"/>
        </w:rPr>
        <w:lastRenderedPageBreak/>
        <w:t>Appearances</w:t>
      </w:r>
    </w:p>
    <w:p w14:paraId="6F2E32CA" w14:textId="77777777" w:rsidR="00A87097" w:rsidRPr="00232D3B" w:rsidRDefault="00A87097" w:rsidP="0055599A">
      <w:pPr>
        <w:spacing w:after="0" w:line="360" w:lineRule="auto"/>
        <w:jc w:val="both"/>
        <w:rPr>
          <w:rFonts w:ascii="Arial" w:hAnsi="Arial" w:cs="Arial"/>
          <w:sz w:val="24"/>
          <w:szCs w:val="24"/>
        </w:rPr>
      </w:pPr>
    </w:p>
    <w:p w14:paraId="5A5F6BEA" w14:textId="7B8E7D4C" w:rsidR="00A67008" w:rsidRPr="00232D3B" w:rsidRDefault="0037496F" w:rsidP="0055599A">
      <w:pPr>
        <w:spacing w:after="0" w:line="360" w:lineRule="auto"/>
        <w:jc w:val="both"/>
        <w:rPr>
          <w:rFonts w:ascii="Arial" w:hAnsi="Arial" w:cs="Arial"/>
          <w:bCs/>
          <w:i/>
          <w:iCs/>
          <w:sz w:val="24"/>
          <w:szCs w:val="24"/>
        </w:rPr>
      </w:pPr>
      <w:r w:rsidRPr="00232D3B">
        <w:rPr>
          <w:rFonts w:ascii="Arial" w:hAnsi="Arial" w:cs="Arial"/>
          <w:bCs/>
          <w:sz w:val="24"/>
          <w:szCs w:val="24"/>
        </w:rPr>
        <w:t>Counsel f</w:t>
      </w:r>
      <w:r w:rsidR="00A67008" w:rsidRPr="00232D3B">
        <w:rPr>
          <w:rFonts w:ascii="Arial" w:hAnsi="Arial" w:cs="Arial"/>
          <w:bCs/>
          <w:sz w:val="24"/>
          <w:szCs w:val="24"/>
        </w:rPr>
        <w:t>or the appellant:</w:t>
      </w:r>
      <w:r w:rsidR="00A67008" w:rsidRPr="00232D3B">
        <w:rPr>
          <w:rFonts w:ascii="Arial" w:hAnsi="Arial" w:cs="Arial"/>
          <w:bCs/>
          <w:sz w:val="24"/>
          <w:szCs w:val="24"/>
        </w:rPr>
        <w:tab/>
      </w:r>
      <w:r w:rsidR="00A67008" w:rsidRPr="00232D3B">
        <w:rPr>
          <w:rFonts w:ascii="Arial" w:hAnsi="Arial" w:cs="Arial"/>
          <w:bCs/>
          <w:sz w:val="24"/>
          <w:szCs w:val="24"/>
        </w:rPr>
        <w:tab/>
      </w:r>
      <w:r w:rsidR="00641E48" w:rsidRPr="00232D3B">
        <w:rPr>
          <w:rFonts w:ascii="Arial" w:hAnsi="Arial" w:cs="Arial"/>
          <w:bCs/>
          <w:i/>
          <w:sz w:val="24"/>
          <w:szCs w:val="24"/>
        </w:rPr>
        <w:t xml:space="preserve">V </w:t>
      </w:r>
      <w:r w:rsidR="00A67008" w:rsidRPr="00232D3B">
        <w:rPr>
          <w:rFonts w:ascii="Arial" w:hAnsi="Arial" w:cs="Arial"/>
          <w:bCs/>
          <w:i/>
          <w:iCs/>
          <w:sz w:val="24"/>
          <w:szCs w:val="24"/>
        </w:rPr>
        <w:t>Kunju SC</w:t>
      </w:r>
      <w:r w:rsidR="00A67008" w:rsidRPr="00232D3B">
        <w:rPr>
          <w:rFonts w:ascii="Arial" w:hAnsi="Arial" w:cs="Arial"/>
          <w:bCs/>
          <w:sz w:val="24"/>
          <w:szCs w:val="24"/>
        </w:rPr>
        <w:t xml:space="preserve"> </w:t>
      </w:r>
      <w:r w:rsidR="00641E48" w:rsidRPr="00232D3B">
        <w:rPr>
          <w:rFonts w:ascii="Arial" w:hAnsi="Arial" w:cs="Arial"/>
          <w:bCs/>
          <w:sz w:val="24"/>
          <w:szCs w:val="24"/>
        </w:rPr>
        <w:t>(</w:t>
      </w:r>
      <w:r w:rsidR="00A67008" w:rsidRPr="00232D3B">
        <w:rPr>
          <w:rFonts w:ascii="Arial" w:hAnsi="Arial" w:cs="Arial"/>
          <w:bCs/>
          <w:sz w:val="24"/>
          <w:szCs w:val="24"/>
        </w:rPr>
        <w:t xml:space="preserve">with </w:t>
      </w:r>
      <w:r w:rsidR="00641E48" w:rsidRPr="00232D3B">
        <w:rPr>
          <w:rFonts w:ascii="Arial" w:hAnsi="Arial" w:cs="Arial"/>
          <w:bCs/>
          <w:sz w:val="24"/>
          <w:szCs w:val="24"/>
        </w:rPr>
        <w:t xml:space="preserve">him, </w:t>
      </w:r>
      <w:r w:rsidR="00641E48" w:rsidRPr="00232D3B">
        <w:rPr>
          <w:rFonts w:ascii="Arial" w:hAnsi="Arial" w:cs="Arial"/>
          <w:bCs/>
          <w:i/>
          <w:sz w:val="24"/>
          <w:szCs w:val="24"/>
        </w:rPr>
        <w:t>N D</w:t>
      </w:r>
      <w:r w:rsidR="00641E48" w:rsidRPr="00232D3B">
        <w:rPr>
          <w:rFonts w:ascii="Arial" w:hAnsi="Arial" w:cs="Arial"/>
          <w:bCs/>
          <w:sz w:val="24"/>
          <w:szCs w:val="24"/>
        </w:rPr>
        <w:t xml:space="preserve"> </w:t>
      </w:r>
      <w:r w:rsidR="00A67008" w:rsidRPr="00232D3B">
        <w:rPr>
          <w:rFonts w:ascii="Arial" w:hAnsi="Arial" w:cs="Arial"/>
          <w:bCs/>
          <w:i/>
          <w:iCs/>
          <w:sz w:val="24"/>
          <w:szCs w:val="24"/>
        </w:rPr>
        <w:t>Ngadlela</w:t>
      </w:r>
      <w:r w:rsidR="00641E48" w:rsidRPr="00AD647B">
        <w:rPr>
          <w:rFonts w:ascii="Arial" w:hAnsi="Arial" w:cs="Arial"/>
          <w:bCs/>
          <w:sz w:val="24"/>
          <w:szCs w:val="24"/>
        </w:rPr>
        <w:t>)</w:t>
      </w:r>
    </w:p>
    <w:p w14:paraId="19BBC5A7" w14:textId="77777777" w:rsidR="0050406D" w:rsidRPr="00232D3B" w:rsidRDefault="0050406D" w:rsidP="0055599A">
      <w:pPr>
        <w:spacing w:after="0" w:line="360" w:lineRule="auto"/>
        <w:jc w:val="both"/>
        <w:rPr>
          <w:rFonts w:ascii="Arial" w:hAnsi="Arial" w:cs="Arial"/>
          <w:bCs/>
          <w:sz w:val="24"/>
          <w:szCs w:val="24"/>
        </w:rPr>
      </w:pPr>
    </w:p>
    <w:p w14:paraId="539A62BF" w14:textId="77777777" w:rsidR="0050406D" w:rsidRPr="00232D3B" w:rsidRDefault="00A67008" w:rsidP="0055599A">
      <w:pPr>
        <w:spacing w:after="0" w:line="360" w:lineRule="auto"/>
        <w:jc w:val="both"/>
        <w:rPr>
          <w:rFonts w:ascii="Arial" w:hAnsi="Arial" w:cs="Arial"/>
          <w:bCs/>
          <w:sz w:val="24"/>
          <w:szCs w:val="24"/>
        </w:rPr>
      </w:pPr>
      <w:r w:rsidRPr="00232D3B">
        <w:rPr>
          <w:rFonts w:ascii="Arial" w:hAnsi="Arial" w:cs="Arial"/>
          <w:bCs/>
          <w:sz w:val="24"/>
          <w:szCs w:val="24"/>
        </w:rPr>
        <w:t>Instructed by:</w:t>
      </w:r>
      <w:r w:rsidRPr="00232D3B">
        <w:rPr>
          <w:rFonts w:ascii="Arial" w:hAnsi="Arial" w:cs="Arial"/>
          <w:bCs/>
          <w:sz w:val="24"/>
          <w:szCs w:val="24"/>
        </w:rPr>
        <w:tab/>
      </w:r>
      <w:r w:rsidRPr="00232D3B">
        <w:rPr>
          <w:rFonts w:ascii="Arial" w:hAnsi="Arial" w:cs="Arial"/>
          <w:bCs/>
          <w:sz w:val="24"/>
          <w:szCs w:val="24"/>
        </w:rPr>
        <w:tab/>
      </w:r>
      <w:r w:rsidR="00641E48" w:rsidRPr="00232D3B">
        <w:rPr>
          <w:rFonts w:ascii="Arial" w:hAnsi="Arial" w:cs="Arial"/>
          <w:bCs/>
          <w:sz w:val="24"/>
          <w:szCs w:val="24"/>
        </w:rPr>
        <w:tab/>
      </w:r>
      <w:r w:rsidR="00985B15" w:rsidRPr="00232D3B">
        <w:rPr>
          <w:rFonts w:ascii="Arial" w:hAnsi="Arial" w:cs="Arial"/>
          <w:bCs/>
          <w:sz w:val="24"/>
          <w:szCs w:val="24"/>
        </w:rPr>
        <w:t xml:space="preserve">The State Attorney, </w:t>
      </w:r>
      <w:r w:rsidR="0050406D" w:rsidRPr="00232D3B">
        <w:rPr>
          <w:rFonts w:ascii="Arial" w:hAnsi="Arial" w:cs="Arial"/>
          <w:bCs/>
          <w:sz w:val="24"/>
          <w:szCs w:val="24"/>
        </w:rPr>
        <w:t>East London</w:t>
      </w:r>
    </w:p>
    <w:p w14:paraId="64CB1360" w14:textId="77777777" w:rsidR="00A67008" w:rsidRPr="00AD647B" w:rsidRDefault="0050406D" w:rsidP="0050406D">
      <w:pPr>
        <w:spacing w:after="0" w:line="360" w:lineRule="auto"/>
        <w:ind w:left="2880" w:firstLine="720"/>
        <w:jc w:val="both"/>
        <w:rPr>
          <w:rFonts w:ascii="Arial" w:hAnsi="Arial" w:cs="Arial"/>
          <w:bCs/>
          <w:sz w:val="24"/>
          <w:szCs w:val="24"/>
        </w:rPr>
      </w:pPr>
      <w:r w:rsidRPr="00AD647B">
        <w:rPr>
          <w:rFonts w:ascii="Arial" w:hAnsi="Arial" w:cs="Arial"/>
          <w:bCs/>
          <w:sz w:val="24"/>
          <w:szCs w:val="24"/>
        </w:rPr>
        <w:t>C/o Shared Legal Services</w:t>
      </w:r>
    </w:p>
    <w:p w14:paraId="5DB3297B" w14:textId="77777777" w:rsidR="0050406D" w:rsidRPr="00AD647B" w:rsidRDefault="0050406D" w:rsidP="0050406D">
      <w:pPr>
        <w:spacing w:after="0" w:line="360" w:lineRule="auto"/>
        <w:ind w:left="2880" w:firstLine="720"/>
        <w:jc w:val="both"/>
        <w:rPr>
          <w:rFonts w:ascii="Arial" w:hAnsi="Arial" w:cs="Arial"/>
          <w:bCs/>
          <w:sz w:val="24"/>
          <w:szCs w:val="24"/>
        </w:rPr>
      </w:pPr>
      <w:r w:rsidRPr="00AD647B">
        <w:rPr>
          <w:rFonts w:ascii="Arial" w:hAnsi="Arial" w:cs="Arial"/>
          <w:bCs/>
          <w:sz w:val="24"/>
          <w:szCs w:val="24"/>
        </w:rPr>
        <w:t>Office of the Premier</w:t>
      </w:r>
    </w:p>
    <w:p w14:paraId="3D4B4B32" w14:textId="77777777" w:rsidR="0050406D" w:rsidRPr="00232D3B" w:rsidRDefault="0050406D" w:rsidP="0050406D">
      <w:pPr>
        <w:spacing w:after="0" w:line="360" w:lineRule="auto"/>
        <w:ind w:left="2880" w:firstLine="720"/>
        <w:jc w:val="both"/>
        <w:rPr>
          <w:rFonts w:ascii="Arial" w:hAnsi="Arial" w:cs="Arial"/>
          <w:bCs/>
          <w:sz w:val="24"/>
          <w:szCs w:val="24"/>
        </w:rPr>
      </w:pPr>
      <w:r w:rsidRPr="00232D3B">
        <w:rPr>
          <w:rFonts w:ascii="Arial" w:hAnsi="Arial" w:cs="Arial"/>
          <w:bCs/>
          <w:sz w:val="24"/>
          <w:szCs w:val="24"/>
        </w:rPr>
        <w:t>King Williams Town</w:t>
      </w:r>
    </w:p>
    <w:p w14:paraId="0C908C24" w14:textId="77777777" w:rsidR="0050406D" w:rsidRPr="00232D3B" w:rsidRDefault="0050406D" w:rsidP="0050406D">
      <w:pPr>
        <w:spacing w:after="0" w:line="360" w:lineRule="auto"/>
        <w:ind w:left="2880" w:firstLine="720"/>
        <w:jc w:val="both"/>
        <w:rPr>
          <w:rFonts w:ascii="Arial" w:hAnsi="Arial" w:cs="Arial"/>
          <w:bCs/>
          <w:sz w:val="24"/>
          <w:szCs w:val="24"/>
        </w:rPr>
      </w:pPr>
    </w:p>
    <w:p w14:paraId="205D05CA" w14:textId="77777777" w:rsidR="00A67008" w:rsidRPr="00232D3B" w:rsidRDefault="0037496F" w:rsidP="0055599A">
      <w:pPr>
        <w:spacing w:after="0" w:line="360" w:lineRule="auto"/>
        <w:jc w:val="both"/>
        <w:rPr>
          <w:rFonts w:ascii="Arial" w:hAnsi="Arial" w:cs="Arial"/>
          <w:bCs/>
          <w:i/>
          <w:sz w:val="24"/>
          <w:szCs w:val="24"/>
        </w:rPr>
      </w:pPr>
      <w:r w:rsidRPr="00232D3B">
        <w:rPr>
          <w:rFonts w:ascii="Arial" w:hAnsi="Arial" w:cs="Arial"/>
          <w:bCs/>
          <w:sz w:val="24"/>
          <w:szCs w:val="24"/>
        </w:rPr>
        <w:t>Counsel for the respondent:</w:t>
      </w:r>
      <w:r w:rsidRPr="00232D3B">
        <w:rPr>
          <w:rFonts w:ascii="Arial" w:hAnsi="Arial" w:cs="Arial"/>
          <w:bCs/>
          <w:sz w:val="24"/>
          <w:szCs w:val="24"/>
        </w:rPr>
        <w:tab/>
      </w:r>
      <w:r w:rsidR="00641E48" w:rsidRPr="00232D3B">
        <w:rPr>
          <w:rFonts w:ascii="Arial" w:hAnsi="Arial" w:cs="Arial"/>
          <w:bCs/>
          <w:i/>
          <w:sz w:val="24"/>
          <w:szCs w:val="24"/>
        </w:rPr>
        <w:t>N K Siyo</w:t>
      </w:r>
    </w:p>
    <w:p w14:paraId="2BB3DF84" w14:textId="77777777" w:rsidR="0050406D" w:rsidRPr="00232D3B" w:rsidRDefault="0050406D" w:rsidP="0055599A">
      <w:pPr>
        <w:spacing w:after="0" w:line="360" w:lineRule="auto"/>
        <w:jc w:val="both"/>
        <w:rPr>
          <w:rFonts w:ascii="Arial" w:hAnsi="Arial" w:cs="Arial"/>
          <w:bCs/>
          <w:sz w:val="24"/>
          <w:szCs w:val="24"/>
        </w:rPr>
      </w:pPr>
    </w:p>
    <w:p w14:paraId="2E928938" w14:textId="77777777" w:rsidR="0050406D" w:rsidRPr="00232D3B" w:rsidRDefault="00A67008" w:rsidP="0055599A">
      <w:pPr>
        <w:spacing w:after="0" w:line="360" w:lineRule="auto"/>
        <w:jc w:val="both"/>
        <w:rPr>
          <w:rFonts w:ascii="Arial" w:hAnsi="Arial" w:cs="Arial"/>
          <w:bCs/>
          <w:sz w:val="24"/>
          <w:szCs w:val="24"/>
        </w:rPr>
      </w:pPr>
      <w:r w:rsidRPr="00232D3B">
        <w:rPr>
          <w:rFonts w:ascii="Arial" w:hAnsi="Arial" w:cs="Arial"/>
          <w:bCs/>
          <w:sz w:val="24"/>
          <w:szCs w:val="24"/>
        </w:rPr>
        <w:t>In</w:t>
      </w:r>
      <w:r w:rsidR="00985B15" w:rsidRPr="00232D3B">
        <w:rPr>
          <w:rFonts w:ascii="Arial" w:hAnsi="Arial" w:cs="Arial"/>
          <w:bCs/>
          <w:sz w:val="24"/>
          <w:szCs w:val="24"/>
        </w:rPr>
        <w:t>structed by:</w:t>
      </w:r>
      <w:r w:rsidR="00985B15" w:rsidRPr="00232D3B">
        <w:rPr>
          <w:rFonts w:ascii="Arial" w:hAnsi="Arial" w:cs="Arial"/>
          <w:bCs/>
          <w:sz w:val="24"/>
          <w:szCs w:val="24"/>
        </w:rPr>
        <w:tab/>
      </w:r>
      <w:r w:rsidR="00985B15" w:rsidRPr="00232D3B">
        <w:rPr>
          <w:rFonts w:ascii="Arial" w:hAnsi="Arial" w:cs="Arial"/>
          <w:bCs/>
          <w:sz w:val="24"/>
          <w:szCs w:val="24"/>
        </w:rPr>
        <w:tab/>
      </w:r>
      <w:r w:rsidR="00641E48" w:rsidRPr="00232D3B">
        <w:rPr>
          <w:rFonts w:ascii="Arial" w:hAnsi="Arial" w:cs="Arial"/>
          <w:bCs/>
          <w:sz w:val="24"/>
          <w:szCs w:val="24"/>
        </w:rPr>
        <w:tab/>
      </w:r>
      <w:r w:rsidR="00985B15" w:rsidRPr="00232D3B">
        <w:rPr>
          <w:rFonts w:ascii="Arial" w:hAnsi="Arial" w:cs="Arial"/>
          <w:bCs/>
          <w:sz w:val="24"/>
          <w:szCs w:val="24"/>
        </w:rPr>
        <w:t xml:space="preserve">Matiwane Attorneys </w:t>
      </w:r>
    </w:p>
    <w:p w14:paraId="46A70103" w14:textId="77777777" w:rsidR="0050406D" w:rsidRPr="00AD647B" w:rsidRDefault="0050406D" w:rsidP="0055599A">
      <w:pPr>
        <w:spacing w:after="0" w:line="360" w:lineRule="auto"/>
        <w:jc w:val="both"/>
        <w:rPr>
          <w:rFonts w:ascii="Arial" w:hAnsi="Arial" w:cs="Arial"/>
          <w:bCs/>
          <w:sz w:val="24"/>
          <w:szCs w:val="24"/>
        </w:rPr>
      </w:pPr>
      <w:r w:rsidRPr="00AD647B">
        <w:rPr>
          <w:rFonts w:ascii="Arial" w:hAnsi="Arial" w:cs="Arial"/>
          <w:bCs/>
          <w:sz w:val="24"/>
          <w:szCs w:val="24"/>
        </w:rPr>
        <w:tab/>
      </w:r>
      <w:r w:rsidRPr="00AD647B">
        <w:rPr>
          <w:rFonts w:ascii="Arial" w:hAnsi="Arial" w:cs="Arial"/>
          <w:bCs/>
          <w:sz w:val="24"/>
          <w:szCs w:val="24"/>
        </w:rPr>
        <w:tab/>
      </w:r>
      <w:r w:rsidRPr="00AD647B">
        <w:rPr>
          <w:rFonts w:ascii="Arial" w:hAnsi="Arial" w:cs="Arial"/>
          <w:bCs/>
          <w:sz w:val="24"/>
          <w:szCs w:val="24"/>
        </w:rPr>
        <w:tab/>
      </w:r>
      <w:r w:rsidRPr="00AD647B">
        <w:rPr>
          <w:rFonts w:ascii="Arial" w:hAnsi="Arial" w:cs="Arial"/>
          <w:bCs/>
          <w:sz w:val="24"/>
          <w:szCs w:val="24"/>
        </w:rPr>
        <w:tab/>
      </w:r>
      <w:r w:rsidRPr="00AD647B">
        <w:rPr>
          <w:rFonts w:ascii="Arial" w:hAnsi="Arial" w:cs="Arial"/>
          <w:bCs/>
          <w:sz w:val="24"/>
          <w:szCs w:val="24"/>
        </w:rPr>
        <w:tab/>
        <w:t>Queenstown</w:t>
      </w:r>
    </w:p>
    <w:p w14:paraId="0FDE9780" w14:textId="77777777" w:rsidR="00A67008" w:rsidRPr="00232D3B" w:rsidRDefault="0050406D" w:rsidP="0050406D">
      <w:pPr>
        <w:spacing w:after="0" w:line="360" w:lineRule="auto"/>
        <w:ind w:left="2880" w:firstLine="720"/>
        <w:jc w:val="both"/>
        <w:rPr>
          <w:rFonts w:ascii="Arial" w:hAnsi="Arial" w:cs="Arial"/>
          <w:bCs/>
          <w:sz w:val="24"/>
          <w:szCs w:val="24"/>
        </w:rPr>
      </w:pPr>
      <w:r w:rsidRPr="00232D3B">
        <w:rPr>
          <w:rFonts w:ascii="Arial" w:hAnsi="Arial" w:cs="Arial"/>
          <w:bCs/>
          <w:sz w:val="24"/>
          <w:szCs w:val="24"/>
        </w:rPr>
        <w:t>C</w:t>
      </w:r>
      <w:r w:rsidR="00985B15" w:rsidRPr="00232D3B">
        <w:rPr>
          <w:rFonts w:ascii="Arial" w:hAnsi="Arial" w:cs="Arial"/>
          <w:bCs/>
          <w:sz w:val="24"/>
          <w:szCs w:val="24"/>
        </w:rPr>
        <w:t>/o Gordon McCune Attorneys</w:t>
      </w:r>
    </w:p>
    <w:p w14:paraId="6966C0F2" w14:textId="77777777" w:rsidR="00A67008" w:rsidRPr="00232D3B" w:rsidRDefault="00BD3CF7" w:rsidP="0055599A">
      <w:pPr>
        <w:spacing w:after="0" w:line="360" w:lineRule="auto"/>
        <w:jc w:val="both"/>
        <w:rPr>
          <w:rFonts w:ascii="Arial" w:hAnsi="Arial" w:cs="Arial"/>
          <w:bCs/>
          <w:sz w:val="24"/>
          <w:szCs w:val="24"/>
        </w:rPr>
      </w:pPr>
      <w:r w:rsidRPr="00232D3B">
        <w:rPr>
          <w:rFonts w:ascii="Arial" w:hAnsi="Arial" w:cs="Arial"/>
          <w:bCs/>
          <w:sz w:val="24"/>
          <w:szCs w:val="24"/>
        </w:rPr>
        <w:tab/>
      </w:r>
      <w:r w:rsidRPr="00232D3B">
        <w:rPr>
          <w:rFonts w:ascii="Arial" w:hAnsi="Arial" w:cs="Arial"/>
          <w:bCs/>
          <w:sz w:val="24"/>
          <w:szCs w:val="24"/>
        </w:rPr>
        <w:tab/>
      </w:r>
      <w:r w:rsidRPr="00232D3B">
        <w:rPr>
          <w:rFonts w:ascii="Arial" w:hAnsi="Arial" w:cs="Arial"/>
          <w:bCs/>
          <w:sz w:val="24"/>
          <w:szCs w:val="24"/>
        </w:rPr>
        <w:tab/>
      </w:r>
      <w:r w:rsidRPr="00232D3B">
        <w:rPr>
          <w:rFonts w:ascii="Arial" w:hAnsi="Arial" w:cs="Arial"/>
          <w:bCs/>
          <w:sz w:val="24"/>
          <w:szCs w:val="24"/>
        </w:rPr>
        <w:tab/>
      </w:r>
      <w:r w:rsidR="0050406D" w:rsidRPr="00232D3B">
        <w:rPr>
          <w:rFonts w:ascii="Arial" w:hAnsi="Arial" w:cs="Arial"/>
          <w:bCs/>
          <w:sz w:val="24"/>
          <w:szCs w:val="24"/>
        </w:rPr>
        <w:tab/>
      </w:r>
      <w:r w:rsidRPr="00232D3B">
        <w:rPr>
          <w:rFonts w:ascii="Arial" w:hAnsi="Arial" w:cs="Arial"/>
          <w:bCs/>
          <w:sz w:val="24"/>
          <w:szCs w:val="24"/>
        </w:rPr>
        <w:t>King Williams Town</w:t>
      </w:r>
    </w:p>
    <w:p w14:paraId="2604EDA4" w14:textId="77777777" w:rsidR="0050406D" w:rsidRPr="00232D3B" w:rsidRDefault="0050406D" w:rsidP="0055599A">
      <w:pPr>
        <w:spacing w:after="0" w:line="360" w:lineRule="auto"/>
        <w:jc w:val="both"/>
        <w:rPr>
          <w:rFonts w:ascii="Arial" w:hAnsi="Arial" w:cs="Arial"/>
          <w:bCs/>
          <w:sz w:val="24"/>
          <w:szCs w:val="24"/>
        </w:rPr>
      </w:pPr>
    </w:p>
    <w:p w14:paraId="261D6B5F" w14:textId="77777777" w:rsidR="00985B15" w:rsidRPr="00232D3B" w:rsidRDefault="00985B15" w:rsidP="00282F3F">
      <w:pPr>
        <w:spacing w:after="0" w:line="360" w:lineRule="auto"/>
        <w:jc w:val="both"/>
        <w:rPr>
          <w:rFonts w:ascii="Arial" w:hAnsi="Arial" w:cs="Arial"/>
          <w:bCs/>
          <w:sz w:val="24"/>
          <w:szCs w:val="24"/>
        </w:rPr>
      </w:pPr>
      <w:r w:rsidRPr="00232D3B">
        <w:rPr>
          <w:rFonts w:ascii="Arial" w:hAnsi="Arial" w:cs="Arial"/>
          <w:bCs/>
          <w:sz w:val="24"/>
          <w:szCs w:val="24"/>
        </w:rPr>
        <w:t>Heard:</w:t>
      </w:r>
      <w:r w:rsidRPr="00232D3B">
        <w:rPr>
          <w:rFonts w:ascii="Arial" w:hAnsi="Arial" w:cs="Arial"/>
          <w:bCs/>
          <w:sz w:val="24"/>
          <w:szCs w:val="24"/>
        </w:rPr>
        <w:tab/>
      </w:r>
      <w:r w:rsidRPr="00232D3B">
        <w:rPr>
          <w:rFonts w:ascii="Arial" w:hAnsi="Arial" w:cs="Arial"/>
          <w:bCs/>
          <w:sz w:val="24"/>
          <w:szCs w:val="24"/>
        </w:rPr>
        <w:tab/>
      </w:r>
      <w:r w:rsidRPr="00232D3B">
        <w:rPr>
          <w:rFonts w:ascii="Arial" w:hAnsi="Arial" w:cs="Arial"/>
          <w:bCs/>
          <w:sz w:val="24"/>
          <w:szCs w:val="24"/>
        </w:rPr>
        <w:tab/>
      </w:r>
      <w:r w:rsidR="00641E48" w:rsidRPr="00232D3B">
        <w:rPr>
          <w:rFonts w:ascii="Arial" w:hAnsi="Arial" w:cs="Arial"/>
          <w:bCs/>
          <w:sz w:val="24"/>
          <w:szCs w:val="24"/>
        </w:rPr>
        <w:tab/>
      </w:r>
      <w:r w:rsidRPr="00232D3B">
        <w:rPr>
          <w:rFonts w:ascii="Arial" w:hAnsi="Arial" w:cs="Arial"/>
          <w:bCs/>
          <w:sz w:val="24"/>
          <w:szCs w:val="24"/>
        </w:rPr>
        <w:t xml:space="preserve">20 March </w:t>
      </w:r>
      <w:r w:rsidR="00A67008" w:rsidRPr="00232D3B">
        <w:rPr>
          <w:rFonts w:ascii="Arial" w:hAnsi="Arial" w:cs="Arial"/>
          <w:bCs/>
          <w:sz w:val="24"/>
          <w:szCs w:val="24"/>
        </w:rPr>
        <w:t>2023</w:t>
      </w:r>
    </w:p>
    <w:p w14:paraId="51ACD73B" w14:textId="77777777" w:rsidR="0050406D" w:rsidRPr="00232D3B" w:rsidRDefault="0050406D" w:rsidP="00282F3F">
      <w:pPr>
        <w:spacing w:after="0" w:line="360" w:lineRule="auto"/>
        <w:jc w:val="both"/>
        <w:rPr>
          <w:rFonts w:ascii="Arial" w:hAnsi="Arial" w:cs="Arial"/>
          <w:bCs/>
          <w:sz w:val="24"/>
          <w:szCs w:val="24"/>
        </w:rPr>
      </w:pPr>
    </w:p>
    <w:p w14:paraId="6EC9C35B" w14:textId="77777777" w:rsidR="00A67008" w:rsidRPr="00232D3B" w:rsidRDefault="00985B15" w:rsidP="00282F3F">
      <w:pPr>
        <w:spacing w:after="0" w:line="360" w:lineRule="auto"/>
        <w:jc w:val="both"/>
        <w:rPr>
          <w:rFonts w:ascii="Arial" w:hAnsi="Arial" w:cs="Arial"/>
          <w:sz w:val="24"/>
          <w:szCs w:val="24"/>
        </w:rPr>
      </w:pPr>
      <w:r w:rsidRPr="00232D3B">
        <w:rPr>
          <w:rFonts w:ascii="Arial" w:hAnsi="Arial" w:cs="Arial"/>
          <w:bCs/>
          <w:sz w:val="24"/>
          <w:szCs w:val="24"/>
        </w:rPr>
        <w:t>Delivered:</w:t>
      </w:r>
      <w:r w:rsidRPr="00232D3B">
        <w:rPr>
          <w:rFonts w:ascii="Arial" w:hAnsi="Arial" w:cs="Arial"/>
          <w:bCs/>
          <w:sz w:val="24"/>
          <w:szCs w:val="24"/>
        </w:rPr>
        <w:tab/>
      </w:r>
      <w:r w:rsidRPr="00232D3B">
        <w:rPr>
          <w:rFonts w:ascii="Arial" w:hAnsi="Arial" w:cs="Arial"/>
          <w:bCs/>
          <w:sz w:val="24"/>
          <w:szCs w:val="24"/>
        </w:rPr>
        <w:tab/>
      </w:r>
      <w:r w:rsidRPr="00232D3B">
        <w:rPr>
          <w:rFonts w:ascii="Arial" w:hAnsi="Arial" w:cs="Arial"/>
          <w:bCs/>
          <w:sz w:val="24"/>
          <w:szCs w:val="24"/>
        </w:rPr>
        <w:tab/>
      </w:r>
      <w:r w:rsidR="0050406D" w:rsidRPr="00232D3B">
        <w:rPr>
          <w:rFonts w:ascii="Arial" w:hAnsi="Arial" w:cs="Arial"/>
          <w:bCs/>
          <w:sz w:val="24"/>
          <w:szCs w:val="24"/>
        </w:rPr>
        <w:tab/>
      </w:r>
      <w:r w:rsidR="00641E48" w:rsidRPr="00232D3B">
        <w:rPr>
          <w:rFonts w:ascii="Arial" w:hAnsi="Arial" w:cs="Arial"/>
          <w:bCs/>
          <w:sz w:val="24"/>
          <w:szCs w:val="24"/>
        </w:rPr>
        <w:t xml:space="preserve">15 June </w:t>
      </w:r>
      <w:r w:rsidR="00A67008" w:rsidRPr="00232D3B">
        <w:rPr>
          <w:rFonts w:ascii="Arial" w:hAnsi="Arial" w:cs="Arial"/>
          <w:bCs/>
          <w:sz w:val="24"/>
          <w:szCs w:val="24"/>
        </w:rPr>
        <w:t>2023</w:t>
      </w:r>
    </w:p>
    <w:p w14:paraId="4D585A7E" w14:textId="77777777" w:rsidR="00A67008" w:rsidRPr="00232D3B" w:rsidRDefault="00A67008" w:rsidP="0055599A">
      <w:pPr>
        <w:spacing w:after="0" w:line="360" w:lineRule="auto"/>
        <w:jc w:val="both"/>
        <w:rPr>
          <w:rFonts w:ascii="Arial" w:hAnsi="Arial" w:cs="Arial"/>
          <w:sz w:val="24"/>
          <w:szCs w:val="24"/>
        </w:rPr>
      </w:pPr>
    </w:p>
    <w:p w14:paraId="519464EC" w14:textId="77777777" w:rsidR="000B1E35" w:rsidRPr="00232D3B" w:rsidRDefault="000B1E35" w:rsidP="0055599A">
      <w:pPr>
        <w:spacing w:after="0" w:line="360" w:lineRule="auto"/>
        <w:jc w:val="both"/>
        <w:rPr>
          <w:rFonts w:ascii="Arial" w:hAnsi="Arial" w:cs="Arial"/>
          <w:b/>
          <w:sz w:val="24"/>
          <w:szCs w:val="24"/>
        </w:rPr>
      </w:pPr>
    </w:p>
    <w:p w14:paraId="44F080B5" w14:textId="77777777" w:rsidR="00DC672C" w:rsidRPr="00232D3B" w:rsidRDefault="00DC672C" w:rsidP="00A66CC5">
      <w:pPr>
        <w:ind w:firstLine="720"/>
        <w:rPr>
          <w:rFonts w:ascii="Times New Roman" w:hAnsi="Times New Roman" w:cs="Times New Roman"/>
          <w:sz w:val="24"/>
          <w:szCs w:val="24"/>
        </w:rPr>
      </w:pPr>
    </w:p>
    <w:sectPr w:rsidR="00DC672C" w:rsidRPr="00232D3B" w:rsidSect="00EC062B">
      <w:headerReference w:type="default" r:id="rId12"/>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DE972" w14:textId="77777777" w:rsidR="00152629" w:rsidRDefault="00152629" w:rsidP="00B9432B">
      <w:pPr>
        <w:spacing w:after="0" w:line="240" w:lineRule="auto"/>
      </w:pPr>
      <w:r>
        <w:separator/>
      </w:r>
    </w:p>
  </w:endnote>
  <w:endnote w:type="continuationSeparator" w:id="0">
    <w:p w14:paraId="0D12460C" w14:textId="77777777" w:rsidR="00152629" w:rsidRDefault="00152629" w:rsidP="00B9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9868F" w14:textId="77777777" w:rsidR="00152629" w:rsidRDefault="00152629" w:rsidP="00B9432B">
      <w:pPr>
        <w:spacing w:after="0" w:line="240" w:lineRule="auto"/>
      </w:pPr>
      <w:r>
        <w:separator/>
      </w:r>
    </w:p>
  </w:footnote>
  <w:footnote w:type="continuationSeparator" w:id="0">
    <w:p w14:paraId="5FCCF4B5" w14:textId="77777777" w:rsidR="00152629" w:rsidRDefault="00152629" w:rsidP="00B9432B">
      <w:pPr>
        <w:spacing w:after="0" w:line="240" w:lineRule="auto"/>
      </w:pPr>
      <w:r>
        <w:continuationSeparator/>
      </w:r>
    </w:p>
  </w:footnote>
  <w:footnote w:id="1">
    <w:p w14:paraId="159B29A1" w14:textId="66F47BBF" w:rsidR="00477298" w:rsidRPr="00AD647B" w:rsidRDefault="00477298" w:rsidP="00E7580C">
      <w:pPr>
        <w:pStyle w:val="FootnoteText"/>
        <w:jc w:val="both"/>
        <w:rPr>
          <w:rFonts w:ascii="Arial" w:hAnsi="Arial" w:cs="Arial"/>
        </w:rPr>
      </w:pPr>
      <w:r w:rsidRPr="00E7580C">
        <w:rPr>
          <w:rStyle w:val="FootnoteReference"/>
          <w:rFonts w:ascii="Arial" w:hAnsi="Arial" w:cs="Arial"/>
        </w:rPr>
        <w:footnoteRef/>
      </w:r>
      <w:r w:rsidRPr="00E7580C">
        <w:rPr>
          <w:rFonts w:ascii="Arial" w:hAnsi="Arial" w:cs="Arial"/>
        </w:rPr>
        <w:t xml:space="preserve"> </w:t>
      </w:r>
      <w:r w:rsidRPr="00AD647B">
        <w:rPr>
          <w:rFonts w:ascii="Arial" w:hAnsi="Arial" w:cs="Arial"/>
        </w:rPr>
        <w:t xml:space="preserve">The main action. In the court </w:t>
      </w:r>
      <w:r w:rsidRPr="00AD647B">
        <w:rPr>
          <w:rFonts w:ascii="Arial" w:hAnsi="Arial" w:cs="Arial"/>
          <w:i/>
        </w:rPr>
        <w:t>a quo</w:t>
      </w:r>
      <w:r w:rsidRPr="00AD647B">
        <w:rPr>
          <w:rFonts w:ascii="Arial" w:hAnsi="Arial" w:cs="Arial"/>
        </w:rPr>
        <w:t>’s interlocutory proceedings, the respondent was the applicant and the appellant the respondent. The</w:t>
      </w:r>
      <w:r w:rsidR="002062B8" w:rsidRPr="00AD647B">
        <w:rPr>
          <w:rFonts w:ascii="Arial" w:hAnsi="Arial" w:cs="Arial"/>
        </w:rPr>
        <w:t xml:space="preserve"> appellations </w:t>
      </w:r>
      <w:r w:rsidR="00A66CC5" w:rsidRPr="00AD647B">
        <w:rPr>
          <w:rFonts w:ascii="Arial" w:hAnsi="Arial" w:cs="Arial"/>
        </w:rPr>
        <w:t>‘</w:t>
      </w:r>
      <w:r w:rsidR="002062B8" w:rsidRPr="00AD647B">
        <w:rPr>
          <w:rFonts w:ascii="Arial" w:hAnsi="Arial" w:cs="Arial"/>
        </w:rPr>
        <w:t>plaintiff</w:t>
      </w:r>
      <w:r w:rsidR="00A66CC5" w:rsidRPr="00AD647B">
        <w:rPr>
          <w:rFonts w:ascii="Arial" w:hAnsi="Arial" w:cs="Arial"/>
        </w:rPr>
        <w:t>’</w:t>
      </w:r>
      <w:r w:rsidR="002062B8" w:rsidRPr="00AD647B">
        <w:rPr>
          <w:rFonts w:ascii="Arial" w:hAnsi="Arial" w:cs="Arial"/>
        </w:rPr>
        <w:t xml:space="preserve"> and </w:t>
      </w:r>
      <w:r w:rsidR="00A66CC5" w:rsidRPr="00AD647B">
        <w:rPr>
          <w:rFonts w:ascii="Arial" w:hAnsi="Arial" w:cs="Arial"/>
        </w:rPr>
        <w:t>‘</w:t>
      </w:r>
      <w:r w:rsidR="002062B8" w:rsidRPr="00AD647B">
        <w:rPr>
          <w:rFonts w:ascii="Arial" w:hAnsi="Arial" w:cs="Arial"/>
        </w:rPr>
        <w:t>defendant</w:t>
      </w:r>
      <w:r w:rsidR="00A66CC5" w:rsidRPr="00AD647B">
        <w:rPr>
          <w:rFonts w:ascii="Arial" w:hAnsi="Arial" w:cs="Arial"/>
        </w:rPr>
        <w:t>’</w:t>
      </w:r>
      <w:r w:rsidRPr="00AD647B">
        <w:rPr>
          <w:rFonts w:ascii="Arial" w:hAnsi="Arial" w:cs="Arial"/>
        </w:rPr>
        <w:t xml:space="preserve"> wil</w:t>
      </w:r>
      <w:r w:rsidR="00A66CC5" w:rsidRPr="00AD647B">
        <w:rPr>
          <w:rFonts w:ascii="Arial" w:hAnsi="Arial" w:cs="Arial"/>
        </w:rPr>
        <w:t>l be used interchangeably</w:t>
      </w:r>
      <w:r w:rsidR="002062B8" w:rsidRPr="00AD647B">
        <w:rPr>
          <w:rFonts w:ascii="Arial" w:hAnsi="Arial" w:cs="Arial"/>
        </w:rPr>
        <w:t xml:space="preserve"> with </w:t>
      </w:r>
      <w:r w:rsidR="00A66CC5" w:rsidRPr="00AD647B">
        <w:rPr>
          <w:rFonts w:ascii="Arial" w:hAnsi="Arial" w:cs="Arial"/>
        </w:rPr>
        <w:t>‘</w:t>
      </w:r>
      <w:r w:rsidRPr="00AD647B">
        <w:rPr>
          <w:rFonts w:ascii="Arial" w:hAnsi="Arial" w:cs="Arial"/>
        </w:rPr>
        <w:t>responde</w:t>
      </w:r>
      <w:r w:rsidR="00641E48" w:rsidRPr="00AD647B">
        <w:rPr>
          <w:rFonts w:ascii="Arial" w:hAnsi="Arial" w:cs="Arial"/>
        </w:rPr>
        <w:t>n</w:t>
      </w:r>
      <w:r w:rsidR="002062B8" w:rsidRPr="00AD647B">
        <w:rPr>
          <w:rFonts w:ascii="Arial" w:hAnsi="Arial" w:cs="Arial"/>
        </w:rPr>
        <w:t>t</w:t>
      </w:r>
      <w:r w:rsidR="00A66CC5" w:rsidRPr="00AD647B">
        <w:rPr>
          <w:rFonts w:ascii="Arial" w:hAnsi="Arial" w:cs="Arial"/>
        </w:rPr>
        <w:t>’</w:t>
      </w:r>
      <w:r w:rsidR="002062B8" w:rsidRPr="00AD647B">
        <w:rPr>
          <w:rFonts w:ascii="Arial" w:hAnsi="Arial" w:cs="Arial"/>
        </w:rPr>
        <w:t xml:space="preserve"> and </w:t>
      </w:r>
      <w:r w:rsidR="00A66CC5" w:rsidRPr="00AD647B">
        <w:rPr>
          <w:rFonts w:ascii="Arial" w:hAnsi="Arial" w:cs="Arial"/>
        </w:rPr>
        <w:t>‘</w:t>
      </w:r>
      <w:r w:rsidR="002062B8" w:rsidRPr="00AD647B">
        <w:rPr>
          <w:rFonts w:ascii="Arial" w:hAnsi="Arial" w:cs="Arial"/>
        </w:rPr>
        <w:t>applicant</w:t>
      </w:r>
      <w:r w:rsidR="00A66CC5" w:rsidRPr="00AD647B">
        <w:rPr>
          <w:rFonts w:ascii="Arial" w:hAnsi="Arial" w:cs="Arial"/>
        </w:rPr>
        <w:t>’</w:t>
      </w:r>
      <w:r w:rsidRPr="00AD647B">
        <w:rPr>
          <w:rFonts w:ascii="Arial" w:hAnsi="Arial" w:cs="Arial"/>
        </w:rPr>
        <w:t>, respectivel</w:t>
      </w:r>
      <w:r w:rsidR="002062B8" w:rsidRPr="00AD647B">
        <w:rPr>
          <w:rFonts w:ascii="Arial" w:hAnsi="Arial" w:cs="Arial"/>
        </w:rPr>
        <w:t xml:space="preserve">y and, where appropriate, with </w:t>
      </w:r>
      <w:r w:rsidR="00A66CC5" w:rsidRPr="00AD647B">
        <w:rPr>
          <w:rFonts w:ascii="Arial" w:hAnsi="Arial" w:cs="Arial"/>
        </w:rPr>
        <w:t>‘</w:t>
      </w:r>
      <w:r w:rsidR="002062B8" w:rsidRPr="00AD647B">
        <w:rPr>
          <w:rFonts w:ascii="Arial" w:hAnsi="Arial" w:cs="Arial"/>
        </w:rPr>
        <w:t>appellant</w:t>
      </w:r>
      <w:r w:rsidR="00A66CC5" w:rsidRPr="00AD647B">
        <w:rPr>
          <w:rFonts w:ascii="Arial" w:hAnsi="Arial" w:cs="Arial"/>
        </w:rPr>
        <w:t>’</w:t>
      </w:r>
      <w:r w:rsidRPr="00AD647B">
        <w:rPr>
          <w:rFonts w:ascii="Arial" w:hAnsi="Arial" w:cs="Arial"/>
        </w:rPr>
        <w:t xml:space="preserve"> and </w:t>
      </w:r>
      <w:r w:rsidR="00A66CC5" w:rsidRPr="00AD647B">
        <w:rPr>
          <w:rFonts w:ascii="Arial" w:hAnsi="Arial" w:cs="Arial"/>
        </w:rPr>
        <w:t>‘</w:t>
      </w:r>
      <w:r w:rsidRPr="00AD647B">
        <w:rPr>
          <w:rFonts w:ascii="Arial" w:hAnsi="Arial" w:cs="Arial"/>
        </w:rPr>
        <w:t>respondent</w:t>
      </w:r>
      <w:r w:rsidR="00A66CC5" w:rsidRPr="00AD647B">
        <w:rPr>
          <w:rFonts w:ascii="Arial" w:hAnsi="Arial" w:cs="Arial"/>
        </w:rPr>
        <w:t>’</w:t>
      </w:r>
      <w:r w:rsidR="002062B8" w:rsidRPr="00AD647B">
        <w:rPr>
          <w:rFonts w:ascii="Arial" w:hAnsi="Arial" w:cs="Arial"/>
        </w:rPr>
        <w:t>.</w:t>
      </w:r>
    </w:p>
  </w:footnote>
  <w:footnote w:id="2">
    <w:p w14:paraId="7C98CB51" w14:textId="77777777" w:rsidR="00477298" w:rsidRPr="00AD647B" w:rsidRDefault="00477298" w:rsidP="00AD647B">
      <w:pPr>
        <w:pStyle w:val="FootnoteText"/>
        <w:jc w:val="both"/>
        <w:rPr>
          <w:rFonts w:ascii="Arial" w:hAnsi="Arial" w:cs="Arial"/>
        </w:rPr>
      </w:pPr>
      <w:r w:rsidRPr="00AD647B">
        <w:rPr>
          <w:rStyle w:val="FootnoteReference"/>
          <w:rFonts w:ascii="Arial" w:hAnsi="Arial" w:cs="Arial"/>
        </w:rPr>
        <w:footnoteRef/>
      </w:r>
      <w:r w:rsidRPr="00AD647B">
        <w:rPr>
          <w:rFonts w:ascii="Arial" w:hAnsi="Arial" w:cs="Arial"/>
        </w:rPr>
        <w:t xml:space="preserve"> Mr Zekhaya Bastile.</w:t>
      </w:r>
    </w:p>
  </w:footnote>
  <w:footnote w:id="3">
    <w:p w14:paraId="0CBCEDB9" w14:textId="77777777" w:rsidR="00477298" w:rsidRPr="00AD647B" w:rsidRDefault="00477298" w:rsidP="00AD647B">
      <w:pPr>
        <w:pStyle w:val="FootnoteText"/>
        <w:jc w:val="both"/>
        <w:rPr>
          <w:rFonts w:ascii="Arial" w:hAnsi="Arial" w:cs="Arial"/>
        </w:rPr>
      </w:pPr>
      <w:r w:rsidRPr="00AD647B">
        <w:rPr>
          <w:rStyle w:val="FootnoteReference"/>
          <w:rFonts w:ascii="Arial" w:hAnsi="Arial" w:cs="Arial"/>
        </w:rPr>
        <w:footnoteRef/>
      </w:r>
      <w:r w:rsidRPr="00AD647B">
        <w:rPr>
          <w:rFonts w:ascii="Arial" w:hAnsi="Arial" w:cs="Arial"/>
        </w:rPr>
        <w:t xml:space="preserve"> Ms Ncula.</w:t>
      </w:r>
    </w:p>
  </w:footnote>
  <w:footnote w:id="4">
    <w:p w14:paraId="46F87918" w14:textId="77777777" w:rsidR="00477298" w:rsidRPr="00E7580C" w:rsidRDefault="00477298" w:rsidP="00E7580C">
      <w:pPr>
        <w:pStyle w:val="FootnoteText"/>
        <w:jc w:val="both"/>
        <w:rPr>
          <w:rFonts w:ascii="Arial" w:hAnsi="Arial" w:cs="Arial"/>
          <w:lang w:val="en-GB"/>
        </w:rPr>
      </w:pPr>
      <w:r w:rsidRPr="00E7580C">
        <w:rPr>
          <w:rStyle w:val="FootnoteReference"/>
          <w:rFonts w:ascii="Arial" w:hAnsi="Arial" w:cs="Arial"/>
        </w:rPr>
        <w:footnoteRef/>
      </w:r>
      <w:r w:rsidRPr="00E7580C">
        <w:rPr>
          <w:rFonts w:ascii="Arial" w:hAnsi="Arial" w:cs="Arial"/>
        </w:rPr>
        <w:t xml:space="preserve"> </w:t>
      </w:r>
      <w:r w:rsidRPr="00E7580C">
        <w:rPr>
          <w:rFonts w:ascii="Arial" w:hAnsi="Arial" w:cs="Arial"/>
          <w:lang w:val="en-GB"/>
        </w:rPr>
        <w:t xml:space="preserve">Para 14 of the </w:t>
      </w:r>
      <w:r w:rsidRPr="00AD647B">
        <w:rPr>
          <w:rFonts w:ascii="Arial" w:hAnsi="Arial" w:cs="Arial"/>
          <w:lang w:val="en-GB"/>
        </w:rPr>
        <w:t xml:space="preserve">court </w:t>
      </w:r>
      <w:r w:rsidRPr="00AD647B">
        <w:rPr>
          <w:rFonts w:ascii="Arial" w:hAnsi="Arial" w:cs="Arial"/>
          <w:i/>
          <w:lang w:val="en-GB"/>
        </w:rPr>
        <w:t>a quo’</w:t>
      </w:r>
      <w:r w:rsidRPr="00AD647B">
        <w:rPr>
          <w:rFonts w:ascii="Arial" w:hAnsi="Arial" w:cs="Arial"/>
          <w:lang w:val="en-GB"/>
        </w:rPr>
        <w:t xml:space="preserve">s reasons </w:t>
      </w:r>
      <w:r w:rsidRPr="00E7580C">
        <w:rPr>
          <w:rFonts w:ascii="Arial" w:hAnsi="Arial" w:cs="Arial"/>
          <w:lang w:val="en-GB"/>
        </w:rPr>
        <w:t>for judgment.</w:t>
      </w:r>
    </w:p>
  </w:footnote>
  <w:footnote w:id="5">
    <w:p w14:paraId="454A71F9" w14:textId="77777777" w:rsidR="00477298" w:rsidRPr="00E7580C" w:rsidRDefault="00477298" w:rsidP="00E7580C">
      <w:pPr>
        <w:pStyle w:val="FootnoteText"/>
        <w:jc w:val="both"/>
        <w:rPr>
          <w:rFonts w:ascii="Arial" w:hAnsi="Arial" w:cs="Arial"/>
          <w:lang w:val="en-GB"/>
        </w:rPr>
      </w:pPr>
      <w:r w:rsidRPr="00E7580C">
        <w:rPr>
          <w:rStyle w:val="FootnoteReference"/>
          <w:rFonts w:ascii="Arial" w:hAnsi="Arial" w:cs="Arial"/>
        </w:rPr>
        <w:footnoteRef/>
      </w:r>
      <w:r w:rsidRPr="00E7580C">
        <w:rPr>
          <w:rFonts w:ascii="Arial" w:hAnsi="Arial" w:cs="Arial"/>
        </w:rPr>
        <w:t xml:space="preserve"> </w:t>
      </w:r>
      <w:r w:rsidRPr="00E7580C">
        <w:rPr>
          <w:rFonts w:ascii="Arial" w:hAnsi="Arial" w:cs="Arial"/>
          <w:lang w:val="en-GB"/>
        </w:rPr>
        <w:t>Para 15 of the reasons for judgment.</w:t>
      </w:r>
    </w:p>
  </w:footnote>
  <w:footnote w:id="6">
    <w:p w14:paraId="540338A5" w14:textId="77777777" w:rsidR="00477298" w:rsidRPr="00E7580C" w:rsidRDefault="00477298" w:rsidP="00E7580C">
      <w:pPr>
        <w:pStyle w:val="FootnoteText"/>
        <w:jc w:val="both"/>
        <w:rPr>
          <w:rFonts w:ascii="Arial" w:hAnsi="Arial" w:cs="Arial"/>
          <w:lang w:val="en-GB"/>
        </w:rPr>
      </w:pPr>
      <w:r w:rsidRPr="00E7580C">
        <w:rPr>
          <w:rStyle w:val="FootnoteReference"/>
          <w:rFonts w:ascii="Arial" w:hAnsi="Arial" w:cs="Arial"/>
        </w:rPr>
        <w:footnoteRef/>
      </w:r>
      <w:r w:rsidRPr="00E7580C">
        <w:rPr>
          <w:rFonts w:ascii="Arial" w:hAnsi="Arial" w:cs="Arial"/>
        </w:rPr>
        <w:t xml:space="preserve"> [2022] ZASCA 64 </w:t>
      </w:r>
      <w:r w:rsidRPr="00E7580C">
        <w:rPr>
          <w:rFonts w:ascii="Arial" w:hAnsi="Arial" w:cs="Arial"/>
          <w:lang w:val="en-GB"/>
        </w:rPr>
        <w:t>para 24.</w:t>
      </w:r>
    </w:p>
  </w:footnote>
  <w:footnote w:id="7">
    <w:p w14:paraId="1AA0EDF5" w14:textId="77777777" w:rsidR="00477298" w:rsidRPr="00E7580C" w:rsidRDefault="00477298" w:rsidP="00E7580C">
      <w:pPr>
        <w:pStyle w:val="FootnoteText"/>
        <w:jc w:val="both"/>
        <w:rPr>
          <w:rFonts w:ascii="Arial" w:hAnsi="Arial" w:cs="Arial"/>
          <w:lang w:val="en-US"/>
        </w:rPr>
      </w:pPr>
      <w:r w:rsidRPr="00E7580C">
        <w:rPr>
          <w:rStyle w:val="FootnoteReference"/>
          <w:rFonts w:ascii="Arial" w:hAnsi="Arial" w:cs="Arial"/>
        </w:rPr>
        <w:footnoteRef/>
      </w:r>
      <w:r w:rsidRPr="00E7580C">
        <w:rPr>
          <w:rFonts w:ascii="Arial" w:hAnsi="Arial" w:cs="Arial"/>
        </w:rPr>
        <w:t xml:space="preserve"> [2014] ZACC 8; 2014 (6) BCLR 726 (CC); 2014 (4) SA 371 (CC) para 20.</w:t>
      </w:r>
    </w:p>
  </w:footnote>
  <w:footnote w:id="8">
    <w:p w14:paraId="2AD58594" w14:textId="77777777" w:rsidR="00477298" w:rsidRPr="00E7580C" w:rsidRDefault="00477298" w:rsidP="00E7580C">
      <w:pPr>
        <w:pStyle w:val="FootnoteText"/>
        <w:jc w:val="both"/>
        <w:rPr>
          <w:rFonts w:ascii="Arial" w:hAnsi="Arial" w:cs="Arial"/>
          <w:lang w:val="en-GB"/>
        </w:rPr>
      </w:pPr>
      <w:r w:rsidRPr="00E7580C">
        <w:rPr>
          <w:rStyle w:val="FootnoteReference"/>
          <w:rFonts w:ascii="Arial" w:hAnsi="Arial" w:cs="Arial"/>
        </w:rPr>
        <w:footnoteRef/>
      </w:r>
      <w:r w:rsidRPr="00E7580C">
        <w:rPr>
          <w:rFonts w:ascii="Arial" w:hAnsi="Arial" w:cs="Arial"/>
          <w:lang w:val="en-GB"/>
        </w:rPr>
        <w:t xml:space="preserve"> </w:t>
      </w:r>
      <w:r w:rsidRPr="00E7580C">
        <w:rPr>
          <w:rFonts w:ascii="Arial" w:hAnsi="Arial" w:cs="Arial"/>
        </w:rPr>
        <w:t>[2022] ZACC 34; 2023 (1) SA 353 (CC); 2022 (12) BCLR 1521 (CC)</w:t>
      </w:r>
      <w:r w:rsidRPr="00E7580C">
        <w:rPr>
          <w:rFonts w:ascii="Arial" w:hAnsi="Arial" w:cs="Arial"/>
          <w:lang w:val="en-GB"/>
        </w:rPr>
        <w:t>.</w:t>
      </w:r>
    </w:p>
  </w:footnote>
  <w:footnote w:id="9">
    <w:p w14:paraId="5C7253BC" w14:textId="77777777" w:rsidR="00477298" w:rsidRPr="00E7580C" w:rsidRDefault="00477298" w:rsidP="00E7580C">
      <w:pPr>
        <w:pStyle w:val="FootnoteText"/>
        <w:jc w:val="both"/>
        <w:rPr>
          <w:rFonts w:ascii="Arial" w:hAnsi="Arial" w:cs="Arial"/>
          <w:lang w:val="en-US"/>
        </w:rPr>
      </w:pPr>
      <w:r w:rsidRPr="00E7580C">
        <w:rPr>
          <w:rStyle w:val="FootnoteReference"/>
          <w:rFonts w:ascii="Arial" w:hAnsi="Arial" w:cs="Arial"/>
        </w:rPr>
        <w:footnoteRef/>
      </w:r>
      <w:r w:rsidRPr="00E7580C">
        <w:rPr>
          <w:rFonts w:ascii="Arial" w:hAnsi="Arial" w:cs="Arial"/>
        </w:rPr>
        <w:t xml:space="preserve"> Ibid para 34.</w:t>
      </w:r>
    </w:p>
  </w:footnote>
  <w:footnote w:id="10">
    <w:p w14:paraId="29032C63" w14:textId="77777777" w:rsidR="00477298" w:rsidRPr="00E7580C" w:rsidRDefault="00477298" w:rsidP="00E7580C">
      <w:pPr>
        <w:pStyle w:val="FootnoteText"/>
        <w:jc w:val="both"/>
        <w:rPr>
          <w:rFonts w:ascii="Arial" w:hAnsi="Arial" w:cs="Arial"/>
          <w:lang w:val="en-US"/>
        </w:rPr>
      </w:pPr>
      <w:r w:rsidRPr="00E7580C">
        <w:rPr>
          <w:rStyle w:val="FootnoteReference"/>
          <w:rFonts w:ascii="Arial" w:hAnsi="Arial" w:cs="Arial"/>
        </w:rPr>
        <w:footnoteRef/>
      </w:r>
      <w:r w:rsidRPr="00E7580C">
        <w:rPr>
          <w:rFonts w:ascii="Arial" w:hAnsi="Arial" w:cs="Arial"/>
        </w:rPr>
        <w:t xml:space="preserve"> Ibid para 35.</w:t>
      </w:r>
    </w:p>
  </w:footnote>
  <w:footnote w:id="11">
    <w:p w14:paraId="79CAAAAD" w14:textId="77777777" w:rsidR="00477298" w:rsidRPr="00E7580C" w:rsidRDefault="00477298" w:rsidP="00E7580C">
      <w:pPr>
        <w:pStyle w:val="FootnoteText"/>
        <w:jc w:val="both"/>
        <w:rPr>
          <w:rFonts w:ascii="Arial" w:hAnsi="Arial" w:cs="Arial"/>
          <w:lang w:val="en-US"/>
        </w:rPr>
      </w:pPr>
      <w:r w:rsidRPr="00E7580C">
        <w:rPr>
          <w:rStyle w:val="FootnoteReference"/>
          <w:rFonts w:ascii="Arial" w:hAnsi="Arial" w:cs="Arial"/>
        </w:rPr>
        <w:footnoteRef/>
      </w:r>
      <w:r w:rsidRPr="00E7580C">
        <w:rPr>
          <w:rFonts w:ascii="Arial" w:hAnsi="Arial" w:cs="Arial"/>
        </w:rPr>
        <w:t xml:space="preserve"> Ibid para 43.</w:t>
      </w:r>
    </w:p>
  </w:footnote>
  <w:footnote w:id="12">
    <w:p w14:paraId="6F02B172" w14:textId="77777777" w:rsidR="00477298" w:rsidRPr="00E7580C" w:rsidRDefault="00477298" w:rsidP="00E7580C">
      <w:pPr>
        <w:pStyle w:val="FootnoteText"/>
        <w:jc w:val="both"/>
        <w:rPr>
          <w:rFonts w:ascii="Arial" w:hAnsi="Arial" w:cs="Arial"/>
          <w:lang w:val="en-US"/>
        </w:rPr>
      </w:pPr>
      <w:r w:rsidRPr="00E7580C">
        <w:rPr>
          <w:rStyle w:val="FootnoteReference"/>
          <w:rFonts w:ascii="Arial" w:hAnsi="Arial" w:cs="Arial"/>
        </w:rPr>
        <w:footnoteRef/>
      </w:r>
      <w:r w:rsidRPr="00E7580C">
        <w:rPr>
          <w:rFonts w:ascii="Arial" w:hAnsi="Arial" w:cs="Arial"/>
        </w:rPr>
        <w:t xml:space="preserve"> Ibid para 46.</w:t>
      </w:r>
    </w:p>
  </w:footnote>
  <w:footnote w:id="13">
    <w:p w14:paraId="555E5354" w14:textId="77777777" w:rsidR="00477298" w:rsidRPr="00E7580C" w:rsidRDefault="00477298" w:rsidP="00E7580C">
      <w:pPr>
        <w:pStyle w:val="FootnoteText"/>
        <w:jc w:val="both"/>
        <w:rPr>
          <w:rFonts w:ascii="Arial" w:hAnsi="Arial" w:cs="Arial"/>
          <w:lang w:val="en-GB"/>
        </w:rPr>
      </w:pPr>
      <w:r w:rsidRPr="00E7580C">
        <w:rPr>
          <w:rStyle w:val="FootnoteReference"/>
          <w:rFonts w:ascii="Arial" w:hAnsi="Arial" w:cs="Arial"/>
        </w:rPr>
        <w:footnoteRef/>
      </w:r>
      <w:r w:rsidRPr="00E7580C">
        <w:rPr>
          <w:rFonts w:ascii="Arial" w:hAnsi="Arial" w:cs="Arial"/>
        </w:rPr>
        <w:t xml:space="preserve"> [2017] ZASCA 47 </w:t>
      </w:r>
      <w:r w:rsidRPr="00E7580C">
        <w:rPr>
          <w:rFonts w:ascii="Arial" w:hAnsi="Arial" w:cs="Arial"/>
          <w:lang w:val="en-GB"/>
        </w:rPr>
        <w:t>para 20.</w:t>
      </w:r>
    </w:p>
  </w:footnote>
  <w:footnote w:id="14">
    <w:p w14:paraId="1EAFB388" w14:textId="77777777" w:rsidR="00477298" w:rsidRPr="00E7580C" w:rsidRDefault="00477298" w:rsidP="00E7580C">
      <w:pPr>
        <w:pStyle w:val="FootnoteText"/>
        <w:jc w:val="both"/>
        <w:rPr>
          <w:rFonts w:ascii="Arial" w:hAnsi="Arial" w:cs="Arial"/>
          <w:lang w:val="en-GB"/>
        </w:rPr>
      </w:pPr>
      <w:r w:rsidRPr="00E7580C">
        <w:rPr>
          <w:rStyle w:val="FootnoteReference"/>
          <w:rFonts w:ascii="Arial" w:hAnsi="Arial" w:cs="Arial"/>
        </w:rPr>
        <w:footnoteRef/>
      </w:r>
      <w:r w:rsidRPr="00E7580C">
        <w:rPr>
          <w:rFonts w:ascii="Arial" w:hAnsi="Arial" w:cs="Arial"/>
        </w:rPr>
        <w:t xml:space="preserve"> [2016] ZASCA 63; 2016 (4) SA 317 (SCA); [2016] All SA 32 (SCA) 317 (SCA).</w:t>
      </w:r>
    </w:p>
  </w:footnote>
  <w:footnote w:id="15">
    <w:p w14:paraId="55871F1A" w14:textId="77777777" w:rsidR="00477298" w:rsidRPr="00E7580C" w:rsidRDefault="00477298" w:rsidP="00E7580C">
      <w:pPr>
        <w:pStyle w:val="FootnoteText"/>
        <w:jc w:val="both"/>
        <w:rPr>
          <w:rFonts w:ascii="Arial" w:hAnsi="Arial" w:cs="Arial"/>
          <w:lang w:val="en-US"/>
        </w:rPr>
      </w:pPr>
      <w:r w:rsidRPr="00E7580C">
        <w:rPr>
          <w:rStyle w:val="FootnoteReference"/>
          <w:rFonts w:ascii="Arial" w:hAnsi="Arial" w:cs="Arial"/>
        </w:rPr>
        <w:footnoteRef/>
      </w:r>
      <w:r w:rsidRPr="00E7580C">
        <w:rPr>
          <w:rFonts w:ascii="Arial" w:hAnsi="Arial" w:cs="Arial"/>
        </w:rPr>
        <w:t xml:space="preserve"> [1992] ZASCA 197; [1993] 1 All SA 365 (A).</w:t>
      </w:r>
    </w:p>
  </w:footnote>
  <w:footnote w:id="16">
    <w:p w14:paraId="3BC11937" w14:textId="77777777" w:rsidR="00477298" w:rsidRPr="00E7580C" w:rsidRDefault="00477298" w:rsidP="00E7580C">
      <w:pPr>
        <w:pStyle w:val="FootnoteText"/>
        <w:jc w:val="both"/>
        <w:rPr>
          <w:rFonts w:ascii="Arial" w:hAnsi="Arial" w:cs="Arial"/>
          <w:lang w:val="en-US"/>
        </w:rPr>
      </w:pPr>
      <w:r w:rsidRPr="00E7580C">
        <w:rPr>
          <w:rStyle w:val="FootnoteReference"/>
          <w:rFonts w:ascii="Arial" w:hAnsi="Arial" w:cs="Arial"/>
        </w:rPr>
        <w:footnoteRef/>
      </w:r>
      <w:r w:rsidRPr="00E7580C">
        <w:rPr>
          <w:rFonts w:ascii="Arial" w:hAnsi="Arial" w:cs="Arial"/>
        </w:rPr>
        <w:t xml:space="preserve"> [1996] ZASCA 2; 1996 (3) SA 1 (SCA).</w:t>
      </w:r>
    </w:p>
  </w:footnote>
  <w:footnote w:id="17">
    <w:p w14:paraId="79F1149D" w14:textId="4C3C3B1B" w:rsidR="00477298" w:rsidRPr="00E7580C" w:rsidRDefault="00477298" w:rsidP="00E7580C">
      <w:pPr>
        <w:pStyle w:val="FootnoteText"/>
        <w:jc w:val="both"/>
        <w:rPr>
          <w:rFonts w:ascii="Arial" w:hAnsi="Arial" w:cs="Arial"/>
          <w:lang w:val="en-US"/>
        </w:rPr>
      </w:pPr>
      <w:r w:rsidRPr="00E7580C">
        <w:rPr>
          <w:rStyle w:val="FootnoteReference"/>
          <w:rFonts w:ascii="Arial" w:hAnsi="Arial" w:cs="Arial"/>
        </w:rPr>
        <w:footnoteRef/>
      </w:r>
      <w:r w:rsidRPr="00E7580C">
        <w:rPr>
          <w:rFonts w:ascii="Arial" w:hAnsi="Arial" w:cs="Arial"/>
        </w:rPr>
        <w:t xml:space="preserve"> </w:t>
      </w:r>
      <w:r w:rsidRPr="00E7580C">
        <w:rPr>
          <w:rFonts w:ascii="Arial" w:hAnsi="Arial" w:cs="Arial"/>
          <w:i/>
          <w:iCs/>
        </w:rPr>
        <w:t>Philani-Ma-Afrika and Others v Mailula and Others</w:t>
      </w:r>
      <w:r w:rsidRPr="00E7580C">
        <w:rPr>
          <w:rFonts w:ascii="Arial" w:hAnsi="Arial" w:cs="Arial"/>
        </w:rPr>
        <w:t xml:space="preserve"> [2009] ZASCA 115; 2010 (2) SA 573 (SCA); [2010] 1 All SA 459 (SCA).</w:t>
      </w:r>
    </w:p>
  </w:footnote>
  <w:footnote w:id="18">
    <w:p w14:paraId="30B0CFBC" w14:textId="4D5930DC" w:rsidR="00095382" w:rsidRPr="00AD647B" w:rsidRDefault="004C0784" w:rsidP="00AD647B">
      <w:pPr>
        <w:pStyle w:val="FootnoteText"/>
        <w:jc w:val="both"/>
        <w:rPr>
          <w:rFonts w:ascii="Arial" w:hAnsi="Arial" w:cs="Arial"/>
        </w:rPr>
      </w:pPr>
      <w:r w:rsidRPr="00AD647B">
        <w:rPr>
          <w:rStyle w:val="FootnoteReference"/>
          <w:rFonts w:ascii="Arial" w:hAnsi="Arial" w:cs="Arial"/>
        </w:rPr>
        <w:footnoteRef/>
      </w:r>
      <w:r w:rsidRPr="00AD647B">
        <w:rPr>
          <w:rFonts w:ascii="Arial" w:hAnsi="Arial" w:cs="Arial"/>
        </w:rPr>
        <w:t xml:space="preserve"> </w:t>
      </w:r>
      <w:r w:rsidR="00095382" w:rsidRPr="00AD647B">
        <w:rPr>
          <w:rFonts w:ascii="Arial" w:hAnsi="Arial" w:cs="Arial"/>
        </w:rPr>
        <w:t xml:space="preserve">Also see </w:t>
      </w:r>
      <w:r w:rsidRPr="00AD647B">
        <w:rPr>
          <w:rFonts w:ascii="Arial" w:hAnsi="Arial" w:cs="Arial"/>
          <w:i/>
        </w:rPr>
        <w:t>Minister of Police and Another v Gqada</w:t>
      </w:r>
      <w:r w:rsidRPr="00AD647B">
        <w:rPr>
          <w:rFonts w:ascii="Arial" w:hAnsi="Arial" w:cs="Arial"/>
        </w:rPr>
        <w:t xml:space="preserve"> [2023] ZAECMKHC 69</w:t>
      </w:r>
      <w:r w:rsidR="006D7D89">
        <w:rPr>
          <w:rFonts w:ascii="Arial" w:hAnsi="Arial" w:cs="Arial"/>
        </w:rPr>
        <w:t xml:space="preserve"> paras 15-16</w:t>
      </w:r>
      <w:r w:rsidRPr="00AD647B">
        <w:rPr>
          <w:rFonts w:ascii="Arial" w:hAnsi="Arial" w:cs="Arial"/>
        </w:rPr>
        <w:t xml:space="preserve">, </w:t>
      </w:r>
      <w:r w:rsidR="00095382" w:rsidRPr="00AD647B">
        <w:rPr>
          <w:rFonts w:ascii="Arial" w:hAnsi="Arial" w:cs="Arial"/>
        </w:rPr>
        <w:t>where the court held:</w:t>
      </w:r>
    </w:p>
    <w:p w14:paraId="42B6DA14" w14:textId="44F41CB4" w:rsidR="00095382" w:rsidRPr="00AD647B" w:rsidRDefault="00095382" w:rsidP="00AD647B">
      <w:pPr>
        <w:pStyle w:val="NoSpacing"/>
        <w:spacing w:after="120"/>
        <w:jc w:val="both"/>
        <w:rPr>
          <w:rFonts w:ascii="Arial" w:hAnsi="Arial" w:cs="Arial"/>
          <w:sz w:val="20"/>
          <w:szCs w:val="20"/>
        </w:rPr>
      </w:pPr>
      <w:r w:rsidRPr="00AD647B">
        <w:rPr>
          <w:rFonts w:ascii="Arial" w:hAnsi="Arial" w:cs="Arial"/>
          <w:sz w:val="20"/>
          <w:szCs w:val="20"/>
        </w:rPr>
        <w:t xml:space="preserve">‘The test in </w:t>
      </w:r>
      <w:r w:rsidRPr="00AD647B">
        <w:rPr>
          <w:rFonts w:ascii="Arial" w:hAnsi="Arial" w:cs="Arial"/>
          <w:i/>
          <w:sz w:val="20"/>
          <w:szCs w:val="20"/>
        </w:rPr>
        <w:t>Zweni</w:t>
      </w:r>
      <w:r w:rsidRPr="00AD647B">
        <w:rPr>
          <w:rFonts w:ascii="Arial" w:hAnsi="Arial" w:cs="Arial"/>
          <w:sz w:val="20"/>
          <w:szCs w:val="20"/>
        </w:rPr>
        <w:t xml:space="preserve"> is easier stated than applied, hence in </w:t>
      </w:r>
      <w:r w:rsidRPr="00AD647B">
        <w:rPr>
          <w:rFonts w:ascii="Arial" w:hAnsi="Arial" w:cs="Arial"/>
          <w:i/>
          <w:sz w:val="20"/>
          <w:szCs w:val="20"/>
        </w:rPr>
        <w:t>Cronshaw and Another v Coin Security Group (Pty) Ltd</w:t>
      </w:r>
      <w:r w:rsidRPr="00AD647B">
        <w:rPr>
          <w:rFonts w:ascii="Arial" w:hAnsi="Arial" w:cs="Arial"/>
          <w:sz w:val="20"/>
          <w:szCs w:val="20"/>
        </w:rPr>
        <w:t xml:space="preserve"> the question regarding when a decision is ‘interlocutory’, and thus not appealable, or ‘final’, and thus appealable is ‘a question that has vexed the minds of eminent lawyers for many centuries, and the answer has not always been the same. The question is intrinsically difficult, and a decision one way or the other may produce some unsatisfactory results’.</w:t>
      </w:r>
    </w:p>
    <w:p w14:paraId="518E90D7" w14:textId="7F371E35" w:rsidR="004C0784" w:rsidRPr="00E7580C" w:rsidRDefault="00095382" w:rsidP="00AD647B">
      <w:pPr>
        <w:pStyle w:val="NoSpacing"/>
        <w:jc w:val="both"/>
        <w:rPr>
          <w:rFonts w:ascii="Arial" w:hAnsi="Arial" w:cs="Arial"/>
        </w:rPr>
      </w:pPr>
      <w:r w:rsidRPr="00AD647B">
        <w:rPr>
          <w:rFonts w:ascii="Arial" w:hAnsi="Arial" w:cs="Arial"/>
          <w:sz w:val="20"/>
          <w:szCs w:val="20"/>
        </w:rPr>
        <w:t>The common law test for appealability has since been denuded of its somewhat inflexible nature. Unlike before, appealability no longer depends largely on whether the order appealed against has final effect or is dispositive of a substantial portion of the relief claimed in the main application. All of this is now subsumed under the constitutional ‘interest of justice’ threshold.</w:t>
      </w:r>
      <w:r w:rsidR="006D7D89">
        <w:rPr>
          <w:rFonts w:ascii="Arial" w:hAnsi="Arial" w:cs="Arial"/>
          <w:sz w:val="20"/>
          <w:szCs w:val="20"/>
        </w:rPr>
        <w:t>’</w:t>
      </w:r>
    </w:p>
  </w:footnote>
  <w:footnote w:id="19">
    <w:p w14:paraId="65576E3B" w14:textId="77777777" w:rsidR="00477298" w:rsidRPr="00E7580C" w:rsidRDefault="00477298" w:rsidP="00E7580C">
      <w:pPr>
        <w:pStyle w:val="FootnoteText"/>
        <w:jc w:val="both"/>
        <w:rPr>
          <w:rFonts w:ascii="Arial" w:hAnsi="Arial" w:cs="Arial"/>
        </w:rPr>
      </w:pPr>
      <w:r w:rsidRPr="00E7580C">
        <w:rPr>
          <w:rStyle w:val="FootnoteReference"/>
          <w:rFonts w:ascii="Arial" w:hAnsi="Arial" w:cs="Arial"/>
        </w:rPr>
        <w:footnoteRef/>
      </w:r>
      <w:r w:rsidRPr="00E7580C">
        <w:rPr>
          <w:rFonts w:ascii="Arial" w:hAnsi="Arial" w:cs="Arial"/>
        </w:rPr>
        <w:t xml:space="preserve"> See </w:t>
      </w:r>
      <w:r w:rsidRPr="00E7580C">
        <w:rPr>
          <w:rFonts w:ascii="Arial" w:hAnsi="Arial" w:cs="Arial"/>
          <w:i/>
        </w:rPr>
        <w:t>The MV Urgup: Owners of The MV Urgup v Western Bulk Carriers (Australia) (Pty) Ltd and Others</w:t>
      </w:r>
      <w:r w:rsidRPr="00E7580C">
        <w:rPr>
          <w:rFonts w:ascii="Arial" w:hAnsi="Arial" w:cs="Arial"/>
        </w:rPr>
        <w:t xml:space="preserve"> 1999 (3) SA 500 (C) at 515―</w:t>
      </w:r>
    </w:p>
    <w:p w14:paraId="662CBD60" w14:textId="77777777" w:rsidR="00477298" w:rsidRPr="00E7580C" w:rsidRDefault="00477298" w:rsidP="00E7580C">
      <w:pPr>
        <w:pStyle w:val="FootnoteText"/>
        <w:jc w:val="both"/>
        <w:rPr>
          <w:rFonts w:ascii="Arial" w:hAnsi="Arial" w:cs="Arial"/>
          <w:lang w:val="en-GB"/>
        </w:rPr>
      </w:pPr>
      <w:r w:rsidRPr="00E7580C">
        <w:rPr>
          <w:rFonts w:ascii="Arial" w:hAnsi="Arial" w:cs="Arial"/>
        </w:rPr>
        <w:t>‘These subrules are both intended to cater for the situation where a party knows or, at the very least, believes that there are documents (or tape recordings) in his opponent's possession or under his control which may be relevant to the issues and which he is able to specify with some degree of precision. In the case of Rule 35(3) the intention is to supplement discovery which has already taken place, but which is alleged to be inadequate. Rules 35(3) and (14) do not afford a litigant a licence to fish in the hope of catching something useful.’</w:t>
      </w:r>
    </w:p>
  </w:footnote>
  <w:footnote w:id="20">
    <w:p w14:paraId="5D69F3F3" w14:textId="77777777" w:rsidR="00477298" w:rsidRPr="00E7580C" w:rsidRDefault="00477298" w:rsidP="00E7580C">
      <w:pPr>
        <w:pStyle w:val="FootnoteText"/>
        <w:jc w:val="both"/>
        <w:rPr>
          <w:rFonts w:ascii="Arial" w:hAnsi="Arial" w:cs="Arial"/>
          <w:lang w:val="en-US"/>
        </w:rPr>
      </w:pPr>
      <w:r w:rsidRPr="00E7580C">
        <w:rPr>
          <w:rStyle w:val="FootnoteReference"/>
          <w:rFonts w:ascii="Arial" w:hAnsi="Arial" w:cs="Arial"/>
        </w:rPr>
        <w:footnoteRef/>
      </w:r>
      <w:r w:rsidRPr="00E7580C">
        <w:rPr>
          <w:rFonts w:ascii="Arial" w:hAnsi="Arial" w:cs="Arial"/>
        </w:rPr>
        <w:t xml:space="preserve"> Herbstein and Van Winsen </w:t>
      </w:r>
      <w:r w:rsidRPr="00E7580C">
        <w:rPr>
          <w:rFonts w:ascii="Arial" w:hAnsi="Arial" w:cs="Arial"/>
          <w:i/>
          <w:iCs/>
        </w:rPr>
        <w:t xml:space="preserve">Civil Practice of the High Courts and the Supreme Court of Appeal of South Africa </w:t>
      </w:r>
      <w:r w:rsidRPr="00E7580C">
        <w:rPr>
          <w:rFonts w:ascii="Arial" w:hAnsi="Arial" w:cs="Arial"/>
        </w:rPr>
        <w:t>5 ed (2009).</w:t>
      </w:r>
    </w:p>
  </w:footnote>
  <w:footnote w:id="21">
    <w:p w14:paraId="44C09695" w14:textId="77777777" w:rsidR="00477298" w:rsidRPr="00E7580C" w:rsidRDefault="00477298" w:rsidP="00E7580C">
      <w:pPr>
        <w:pStyle w:val="FootnoteText"/>
        <w:jc w:val="both"/>
        <w:rPr>
          <w:rFonts w:ascii="Arial" w:hAnsi="Arial" w:cs="Arial"/>
          <w:lang w:val="en-GB"/>
        </w:rPr>
      </w:pPr>
      <w:r w:rsidRPr="00E7580C">
        <w:rPr>
          <w:rStyle w:val="FootnoteReference"/>
          <w:rFonts w:ascii="Arial" w:hAnsi="Arial" w:cs="Arial"/>
        </w:rPr>
        <w:footnoteRef/>
      </w:r>
      <w:r w:rsidRPr="00E7580C">
        <w:rPr>
          <w:rFonts w:ascii="Arial" w:hAnsi="Arial" w:cs="Arial"/>
        </w:rPr>
        <w:t xml:space="preserve"> Ibid at 814-815.</w:t>
      </w:r>
    </w:p>
  </w:footnote>
  <w:footnote w:id="22">
    <w:p w14:paraId="2B5D9BC9" w14:textId="77777777" w:rsidR="00477298" w:rsidRPr="00E7580C" w:rsidRDefault="00477298" w:rsidP="00E7580C">
      <w:pPr>
        <w:pStyle w:val="FootnoteText"/>
        <w:jc w:val="both"/>
        <w:rPr>
          <w:rFonts w:ascii="Arial" w:hAnsi="Arial" w:cs="Arial"/>
          <w:lang w:val="en-GB"/>
        </w:rPr>
      </w:pPr>
      <w:r w:rsidRPr="00E7580C">
        <w:rPr>
          <w:rStyle w:val="FootnoteReference"/>
          <w:rFonts w:ascii="Arial" w:hAnsi="Arial" w:cs="Arial"/>
        </w:rPr>
        <w:footnoteRef/>
      </w:r>
      <w:r w:rsidRPr="00E7580C">
        <w:rPr>
          <w:rFonts w:ascii="Arial" w:hAnsi="Arial" w:cs="Arial"/>
        </w:rPr>
        <w:t xml:space="preserve"> 1999 (2) SA 279 (T) at 321; </w:t>
      </w:r>
      <w:r w:rsidRPr="00E7580C">
        <w:rPr>
          <w:rFonts w:ascii="Arial" w:hAnsi="Arial" w:cs="Arial"/>
          <w:i/>
        </w:rPr>
        <w:t>Rellams (Pty) Ltd v James Brown &amp; Hamer Ltd</w:t>
      </w:r>
      <w:r w:rsidRPr="00E7580C">
        <w:rPr>
          <w:rFonts w:ascii="Arial" w:hAnsi="Arial" w:cs="Arial"/>
        </w:rPr>
        <w:t xml:space="preserve"> 1983 (1) SA 556 (N).</w:t>
      </w:r>
    </w:p>
  </w:footnote>
  <w:footnote w:id="23">
    <w:p w14:paraId="412E36B3" w14:textId="008ECC4C" w:rsidR="00477298" w:rsidRPr="00E7580C" w:rsidRDefault="00477298" w:rsidP="00AD647B">
      <w:pPr>
        <w:pStyle w:val="FootnoteText"/>
        <w:jc w:val="both"/>
        <w:rPr>
          <w:rFonts w:ascii="Arial" w:hAnsi="Arial" w:cs="Arial"/>
          <w:lang w:val="en-GB"/>
        </w:rPr>
      </w:pPr>
      <w:r w:rsidRPr="00E7580C">
        <w:rPr>
          <w:rStyle w:val="FootnoteReference"/>
          <w:rFonts w:ascii="Arial" w:hAnsi="Arial" w:cs="Arial"/>
        </w:rPr>
        <w:footnoteRef/>
      </w:r>
      <w:r w:rsidRPr="00E7580C">
        <w:rPr>
          <w:rFonts w:ascii="Arial" w:hAnsi="Arial" w:cs="Arial"/>
        </w:rPr>
        <w:t xml:space="preserve"> </w:t>
      </w:r>
      <w:r w:rsidRPr="00E7580C">
        <w:rPr>
          <w:rFonts w:ascii="Arial" w:hAnsi="Arial" w:cs="Arial"/>
          <w:i/>
        </w:rPr>
        <w:t>The MV Urgup: Owners of the MV Urgup</w:t>
      </w:r>
      <w:r w:rsidRPr="00E7580C">
        <w:rPr>
          <w:rFonts w:ascii="Arial" w:hAnsi="Arial" w:cs="Arial"/>
        </w:rPr>
        <w:t xml:space="preserve"> above n 1</w:t>
      </w:r>
      <w:r w:rsidR="00A71448">
        <w:rPr>
          <w:rFonts w:ascii="Arial" w:hAnsi="Arial" w:cs="Arial"/>
        </w:rPr>
        <w:t>9</w:t>
      </w:r>
      <w:r w:rsidRPr="00E7580C">
        <w:rPr>
          <w:rFonts w:ascii="Arial" w:hAnsi="Arial" w:cs="Arial"/>
        </w:rPr>
        <w:t xml:space="preserve"> at 515; </w:t>
      </w:r>
      <w:r w:rsidRPr="00E7580C">
        <w:rPr>
          <w:rFonts w:ascii="Arial" w:hAnsi="Arial" w:cs="Arial"/>
          <w:i/>
        </w:rPr>
        <w:t>Continental Ore Construction v</w:t>
      </w:r>
      <w:r w:rsidRPr="00E7580C">
        <w:rPr>
          <w:rFonts w:ascii="Arial" w:hAnsi="Arial" w:cs="Arial"/>
        </w:rPr>
        <w:t xml:space="preserve"> </w:t>
      </w:r>
      <w:r w:rsidRPr="00E7580C">
        <w:rPr>
          <w:rFonts w:ascii="Arial" w:hAnsi="Arial" w:cs="Arial"/>
          <w:i/>
        </w:rPr>
        <w:t>Highveld Steel &amp; Vanadium Corporation Ltd</w:t>
      </w:r>
      <w:r w:rsidRPr="00E7580C">
        <w:rPr>
          <w:rFonts w:ascii="Arial" w:hAnsi="Arial" w:cs="Arial"/>
        </w:rPr>
        <w:t xml:space="preserve"> 1971 (4) SA 589 (W).</w:t>
      </w:r>
    </w:p>
  </w:footnote>
  <w:footnote w:id="24">
    <w:p w14:paraId="24F55236" w14:textId="77777777" w:rsidR="00477298" w:rsidRPr="00E7580C" w:rsidRDefault="00477298" w:rsidP="00E7580C">
      <w:pPr>
        <w:pStyle w:val="FootnoteText"/>
        <w:jc w:val="both"/>
        <w:rPr>
          <w:rFonts w:ascii="Arial" w:hAnsi="Arial" w:cs="Arial"/>
          <w:lang w:val="en-GB"/>
        </w:rPr>
      </w:pPr>
      <w:r w:rsidRPr="00E7580C">
        <w:rPr>
          <w:rStyle w:val="FootnoteReference"/>
          <w:rFonts w:ascii="Arial" w:hAnsi="Arial" w:cs="Arial"/>
        </w:rPr>
        <w:footnoteRef/>
      </w:r>
      <w:r w:rsidRPr="00E7580C">
        <w:rPr>
          <w:rFonts w:ascii="Arial" w:hAnsi="Arial" w:cs="Arial"/>
        </w:rPr>
        <w:t xml:space="preserve"> [2022] ZAGPJHC 49 paras 29-32.</w:t>
      </w:r>
    </w:p>
  </w:footnote>
  <w:footnote w:id="25">
    <w:p w14:paraId="725FABA5" w14:textId="77777777" w:rsidR="00477298" w:rsidRPr="00E7580C" w:rsidRDefault="00477298" w:rsidP="00E7580C">
      <w:pPr>
        <w:pStyle w:val="FootnoteText"/>
        <w:jc w:val="both"/>
        <w:rPr>
          <w:rFonts w:ascii="Arial" w:hAnsi="Arial" w:cs="Arial"/>
          <w:lang w:val="en-GB"/>
        </w:rPr>
      </w:pPr>
      <w:r w:rsidRPr="00E7580C">
        <w:rPr>
          <w:rStyle w:val="FootnoteReference"/>
          <w:rFonts w:ascii="Arial" w:hAnsi="Arial" w:cs="Arial"/>
        </w:rPr>
        <w:footnoteRef/>
      </w:r>
      <w:r w:rsidRPr="00E7580C">
        <w:rPr>
          <w:rFonts w:ascii="Arial" w:hAnsi="Arial" w:cs="Arial"/>
        </w:rPr>
        <w:t xml:space="preserve"> [2015] ZASCA 155; 2016 (2) SA 121 (SCA) [2015]; 4 All SA 571 (SCA) para 18.</w:t>
      </w:r>
    </w:p>
  </w:footnote>
  <w:footnote w:id="26">
    <w:p w14:paraId="5B48C476" w14:textId="77777777" w:rsidR="00477298" w:rsidRPr="00E7580C" w:rsidRDefault="00477298" w:rsidP="00E7580C">
      <w:pPr>
        <w:pStyle w:val="FootnoteText"/>
        <w:jc w:val="both"/>
        <w:rPr>
          <w:rFonts w:ascii="Arial" w:hAnsi="Arial" w:cs="Arial"/>
          <w:lang w:val="en-GB"/>
        </w:rPr>
      </w:pPr>
      <w:r w:rsidRPr="00E7580C">
        <w:rPr>
          <w:rStyle w:val="FootnoteReference"/>
          <w:rFonts w:ascii="Arial" w:hAnsi="Arial" w:cs="Arial"/>
        </w:rPr>
        <w:footnoteRef/>
      </w:r>
      <w:r w:rsidRPr="00E7580C">
        <w:rPr>
          <w:rFonts w:ascii="Arial" w:hAnsi="Arial" w:cs="Arial"/>
        </w:rPr>
        <w:t xml:space="preserve"> [2020] ZAKZPHC 56 paras 2-12. Also see</w:t>
      </w:r>
      <w:r w:rsidRPr="00E7580C">
        <w:rPr>
          <w:rFonts w:ascii="Arial" w:hAnsi="Arial" w:cs="Arial"/>
          <w:i/>
        </w:rPr>
        <w:t xml:space="preserve"> Peacock v SA Eagle Insurance Co Ltd</w:t>
      </w:r>
      <w:r w:rsidRPr="00E7580C">
        <w:rPr>
          <w:rFonts w:ascii="Arial" w:hAnsi="Arial" w:cs="Arial"/>
        </w:rPr>
        <w:t xml:space="preserve"> 19991 (1) SA 589 (C).</w:t>
      </w:r>
    </w:p>
  </w:footnote>
  <w:footnote w:id="27">
    <w:p w14:paraId="11A5D5E3" w14:textId="77777777" w:rsidR="00477298" w:rsidRPr="00E7580C" w:rsidRDefault="00477298" w:rsidP="00E7580C">
      <w:pPr>
        <w:pStyle w:val="FootnoteText"/>
        <w:jc w:val="both"/>
        <w:rPr>
          <w:rFonts w:ascii="Arial" w:hAnsi="Arial" w:cs="Arial"/>
        </w:rPr>
      </w:pPr>
      <w:r w:rsidRPr="00E7580C">
        <w:rPr>
          <w:rStyle w:val="FootnoteReference"/>
          <w:rFonts w:ascii="Arial" w:hAnsi="Arial" w:cs="Arial"/>
        </w:rPr>
        <w:footnoteRef/>
      </w:r>
      <w:r w:rsidRPr="00E7580C">
        <w:rPr>
          <w:rFonts w:ascii="Arial" w:hAnsi="Arial" w:cs="Arial"/>
        </w:rPr>
        <w:t xml:space="preserve"> </w:t>
      </w:r>
      <w:r w:rsidRPr="00E7580C">
        <w:rPr>
          <w:rFonts w:ascii="Arial" w:hAnsi="Arial" w:cs="Arial"/>
          <w:i/>
          <w:iCs/>
        </w:rPr>
        <w:t>General Accident, Fire &amp; Life Assurance Corporation Ltd v Goldberg</w:t>
      </w:r>
      <w:r w:rsidRPr="00E7580C">
        <w:rPr>
          <w:rFonts w:ascii="Arial" w:hAnsi="Arial" w:cs="Arial"/>
        </w:rPr>
        <w:t xml:space="preserve"> 1912 TPD 494 at 504. See also </w:t>
      </w:r>
      <w:r w:rsidRPr="00E7580C">
        <w:rPr>
          <w:rFonts w:ascii="Arial" w:hAnsi="Arial" w:cs="Arial"/>
          <w:i/>
          <w:iCs/>
        </w:rPr>
        <w:t>Competition Commission of South Africa v Arecelormittal South Africa Limited &amp; Others</w:t>
      </w:r>
      <w:r w:rsidRPr="00E7580C">
        <w:rPr>
          <w:rFonts w:ascii="Arial" w:hAnsi="Arial" w:cs="Arial"/>
        </w:rPr>
        <w:t xml:space="preserve"> 2013 (5) SA 538 (SCA) para 21.</w:t>
      </w:r>
    </w:p>
  </w:footnote>
  <w:footnote w:id="28">
    <w:p w14:paraId="220B11F9" w14:textId="77777777" w:rsidR="00477298" w:rsidRPr="00E7580C" w:rsidRDefault="00477298" w:rsidP="00E7580C">
      <w:pPr>
        <w:pStyle w:val="FootnoteText"/>
        <w:jc w:val="both"/>
        <w:rPr>
          <w:rFonts w:ascii="Arial" w:hAnsi="Arial" w:cs="Arial"/>
        </w:rPr>
      </w:pPr>
      <w:r w:rsidRPr="00E7580C">
        <w:rPr>
          <w:rStyle w:val="FootnoteReference"/>
          <w:rFonts w:ascii="Arial" w:hAnsi="Arial" w:cs="Arial"/>
        </w:rPr>
        <w:footnoteRef/>
      </w:r>
      <w:r w:rsidRPr="00E7580C">
        <w:rPr>
          <w:rFonts w:ascii="Arial" w:hAnsi="Arial" w:cs="Arial"/>
        </w:rPr>
        <w:t xml:space="preserve"> </w:t>
      </w:r>
      <w:r w:rsidRPr="00E7580C">
        <w:rPr>
          <w:rFonts w:ascii="Arial" w:hAnsi="Arial" w:cs="Arial"/>
          <w:i/>
          <w:iCs/>
        </w:rPr>
        <w:t>S v Tandwa &amp; Others</w:t>
      </w:r>
      <w:r w:rsidRPr="00E7580C">
        <w:rPr>
          <w:rFonts w:ascii="Arial" w:hAnsi="Arial" w:cs="Arial"/>
        </w:rPr>
        <w:t xml:space="preserve"> 2008 (1) SACR 613 (SCA) para 18.</w:t>
      </w:r>
    </w:p>
  </w:footnote>
  <w:footnote w:id="29">
    <w:p w14:paraId="1DBD5341" w14:textId="77777777" w:rsidR="00477298" w:rsidRPr="00E7580C" w:rsidRDefault="00477298" w:rsidP="00E7580C">
      <w:pPr>
        <w:pStyle w:val="FootnoteText"/>
        <w:jc w:val="both"/>
        <w:rPr>
          <w:rFonts w:ascii="Arial" w:hAnsi="Arial" w:cs="Arial"/>
        </w:rPr>
      </w:pPr>
      <w:r w:rsidRPr="00E7580C">
        <w:rPr>
          <w:rStyle w:val="FootnoteReference"/>
          <w:rFonts w:ascii="Arial" w:hAnsi="Arial" w:cs="Arial"/>
        </w:rPr>
        <w:footnoteRef/>
      </w:r>
      <w:r w:rsidRPr="00E7580C">
        <w:rPr>
          <w:rFonts w:ascii="Arial" w:hAnsi="Arial" w:cs="Arial"/>
        </w:rPr>
        <w:t xml:space="preserve"> </w:t>
      </w:r>
      <w:r w:rsidRPr="00E7580C">
        <w:rPr>
          <w:rFonts w:ascii="Arial" w:hAnsi="Arial" w:cs="Arial"/>
          <w:i/>
          <w:iCs/>
        </w:rPr>
        <w:t>Contango Trading SA and Others v Central Energy Fund Soc Ltd and Others</w:t>
      </w:r>
      <w:r w:rsidRPr="00E7580C">
        <w:rPr>
          <w:rFonts w:ascii="Arial" w:hAnsi="Arial" w:cs="Arial"/>
        </w:rPr>
        <w:t xml:space="preserve"> 2020 (3) SA 58 (SCA) para 48.</w:t>
      </w:r>
    </w:p>
  </w:footnote>
  <w:footnote w:id="30">
    <w:p w14:paraId="032F9745" w14:textId="77777777" w:rsidR="00477298" w:rsidRPr="00E7580C" w:rsidRDefault="00477298" w:rsidP="00E7580C">
      <w:pPr>
        <w:pStyle w:val="FootnoteText"/>
        <w:jc w:val="both"/>
        <w:rPr>
          <w:rFonts w:ascii="Arial" w:hAnsi="Arial" w:cs="Arial"/>
        </w:rPr>
      </w:pPr>
      <w:r w:rsidRPr="00E7580C">
        <w:rPr>
          <w:rStyle w:val="FootnoteReference"/>
          <w:rFonts w:ascii="Arial" w:hAnsi="Arial" w:cs="Arial"/>
        </w:rPr>
        <w:footnoteRef/>
      </w:r>
      <w:r w:rsidRPr="00E7580C">
        <w:rPr>
          <w:rFonts w:ascii="Arial" w:hAnsi="Arial" w:cs="Arial"/>
        </w:rPr>
        <w:t xml:space="preserve"> Ibid para 39.</w:t>
      </w:r>
    </w:p>
  </w:footnote>
  <w:footnote w:id="31">
    <w:p w14:paraId="53CADD73" w14:textId="77777777" w:rsidR="00477298" w:rsidRPr="00E7580C" w:rsidRDefault="00477298" w:rsidP="00E7580C">
      <w:pPr>
        <w:pStyle w:val="FootnoteText"/>
        <w:jc w:val="both"/>
        <w:rPr>
          <w:rFonts w:ascii="Arial" w:hAnsi="Arial" w:cs="Arial"/>
        </w:rPr>
      </w:pPr>
      <w:r w:rsidRPr="00E7580C">
        <w:rPr>
          <w:rStyle w:val="FootnoteReference"/>
          <w:rFonts w:ascii="Arial" w:hAnsi="Arial" w:cs="Arial"/>
        </w:rPr>
        <w:footnoteRef/>
      </w:r>
      <w:r w:rsidRPr="00E7580C">
        <w:rPr>
          <w:rFonts w:ascii="Arial" w:hAnsi="Arial" w:cs="Arial"/>
        </w:rPr>
        <w:t xml:space="preserve"> Ibid p</w:t>
      </w:r>
      <w:r w:rsidRPr="00E7580C">
        <w:rPr>
          <w:rFonts w:ascii="Arial" w:hAnsi="Arial" w:cs="Arial"/>
          <w:lang w:val="en-US"/>
        </w:rPr>
        <w:t>ara 51.</w:t>
      </w:r>
    </w:p>
  </w:footnote>
  <w:footnote w:id="32">
    <w:p w14:paraId="289E6524" w14:textId="77777777" w:rsidR="00477298" w:rsidRPr="00E7580C" w:rsidRDefault="00477298" w:rsidP="00E7580C">
      <w:pPr>
        <w:pStyle w:val="FootnoteText"/>
        <w:jc w:val="both"/>
        <w:rPr>
          <w:rFonts w:ascii="Arial" w:hAnsi="Arial" w:cs="Arial"/>
        </w:rPr>
      </w:pPr>
      <w:r w:rsidRPr="00E7580C">
        <w:rPr>
          <w:rStyle w:val="FootnoteReference"/>
          <w:rFonts w:ascii="Arial" w:hAnsi="Arial" w:cs="Arial"/>
        </w:rPr>
        <w:footnoteRef/>
      </w:r>
      <w:r w:rsidRPr="00E7580C">
        <w:rPr>
          <w:rFonts w:ascii="Arial" w:hAnsi="Arial" w:cs="Arial"/>
        </w:rPr>
        <w:t xml:space="preserve"> Ibid </w:t>
      </w:r>
      <w:r w:rsidRPr="00E7580C">
        <w:rPr>
          <w:rFonts w:ascii="Arial" w:hAnsi="Arial" w:cs="Arial"/>
          <w:lang w:val="en-US"/>
        </w:rPr>
        <w:t>para 54.</w:t>
      </w:r>
    </w:p>
  </w:footnote>
  <w:footnote w:id="33">
    <w:p w14:paraId="5F9AD0D2" w14:textId="77777777" w:rsidR="00477298" w:rsidRPr="00E7580C" w:rsidRDefault="00477298" w:rsidP="00E7580C">
      <w:pPr>
        <w:pStyle w:val="FootnoteText"/>
        <w:jc w:val="both"/>
        <w:rPr>
          <w:rFonts w:ascii="Arial" w:hAnsi="Arial" w:cs="Arial"/>
        </w:rPr>
      </w:pPr>
      <w:r w:rsidRPr="00E7580C">
        <w:rPr>
          <w:rStyle w:val="FootnoteReference"/>
          <w:rFonts w:ascii="Arial" w:hAnsi="Arial" w:cs="Arial"/>
        </w:rPr>
        <w:footnoteRef/>
      </w:r>
      <w:r w:rsidRPr="00E7580C">
        <w:rPr>
          <w:rFonts w:ascii="Arial" w:hAnsi="Arial" w:cs="Arial"/>
        </w:rPr>
        <w:t xml:space="preserve"> </w:t>
      </w:r>
      <w:r w:rsidRPr="00E7580C">
        <w:rPr>
          <w:rFonts w:ascii="Arial" w:hAnsi="Arial" w:cs="Arial"/>
          <w:lang w:val="en-US"/>
        </w:rPr>
        <w:t>Ibid para 10.</w:t>
      </w:r>
    </w:p>
  </w:footnote>
  <w:footnote w:id="34">
    <w:p w14:paraId="5149F1B6" w14:textId="01402899" w:rsidR="00477298" w:rsidRPr="00E7580C" w:rsidRDefault="00477298" w:rsidP="00E7580C">
      <w:pPr>
        <w:pStyle w:val="FootnoteText"/>
        <w:jc w:val="both"/>
        <w:rPr>
          <w:rFonts w:ascii="Arial" w:hAnsi="Arial" w:cs="Arial"/>
          <w:lang w:val="en-US"/>
        </w:rPr>
      </w:pPr>
      <w:r w:rsidRPr="00E7580C">
        <w:rPr>
          <w:rStyle w:val="FootnoteReference"/>
          <w:rFonts w:ascii="Arial" w:hAnsi="Arial" w:cs="Arial"/>
        </w:rPr>
        <w:footnoteRef/>
      </w:r>
      <w:r w:rsidRPr="00E7580C">
        <w:rPr>
          <w:rFonts w:ascii="Arial" w:hAnsi="Arial" w:cs="Arial"/>
        </w:rPr>
        <w:t xml:space="preserve"> Above n 2</w:t>
      </w:r>
      <w:r w:rsidR="008F57F2">
        <w:rPr>
          <w:rFonts w:ascii="Arial" w:hAnsi="Arial" w:cs="Arial"/>
        </w:rPr>
        <w:t>9</w:t>
      </w:r>
      <w:r w:rsidRPr="00E7580C">
        <w:rPr>
          <w:rFonts w:ascii="Arial" w:hAnsi="Arial" w:cs="Arial"/>
        </w:rPr>
        <w:t xml:space="preserve"> para 48.</w:t>
      </w:r>
    </w:p>
  </w:footnote>
  <w:footnote w:id="35">
    <w:p w14:paraId="1CCAC2C3" w14:textId="77777777" w:rsidR="00477298" w:rsidRPr="00E7580C" w:rsidRDefault="00477298" w:rsidP="00E7580C">
      <w:pPr>
        <w:pStyle w:val="FootnoteText"/>
        <w:jc w:val="both"/>
        <w:rPr>
          <w:rFonts w:ascii="Arial" w:hAnsi="Arial" w:cs="Arial"/>
          <w:lang w:val="en-US"/>
        </w:rPr>
      </w:pPr>
      <w:r w:rsidRPr="00E7580C">
        <w:rPr>
          <w:rStyle w:val="FootnoteReference"/>
          <w:rFonts w:ascii="Arial" w:hAnsi="Arial" w:cs="Arial"/>
        </w:rPr>
        <w:footnoteRef/>
      </w:r>
      <w:r w:rsidRPr="00E7580C">
        <w:rPr>
          <w:rFonts w:ascii="Arial" w:hAnsi="Arial" w:cs="Arial"/>
        </w:rPr>
        <w:t xml:space="preserve"> </w:t>
      </w:r>
      <w:r w:rsidRPr="00E7580C">
        <w:rPr>
          <w:rFonts w:ascii="Arial" w:hAnsi="Arial" w:cs="Arial"/>
          <w:lang w:val="en-US"/>
        </w:rPr>
        <w:t>Ibid para 29.</w:t>
      </w:r>
    </w:p>
  </w:footnote>
  <w:footnote w:id="36">
    <w:p w14:paraId="299E7F0B" w14:textId="77777777" w:rsidR="00477298" w:rsidRPr="00E7580C" w:rsidRDefault="00477298" w:rsidP="00E7580C">
      <w:pPr>
        <w:pStyle w:val="FootnoteText"/>
        <w:jc w:val="both"/>
        <w:rPr>
          <w:rFonts w:ascii="Arial" w:hAnsi="Arial" w:cs="Arial"/>
          <w:lang w:val="en-GB"/>
        </w:rPr>
      </w:pPr>
      <w:r w:rsidRPr="00E7580C">
        <w:rPr>
          <w:rStyle w:val="FootnoteReference"/>
          <w:rFonts w:ascii="Arial" w:hAnsi="Arial" w:cs="Arial"/>
        </w:rPr>
        <w:footnoteRef/>
      </w:r>
      <w:r w:rsidRPr="00E7580C">
        <w:rPr>
          <w:rFonts w:ascii="Arial" w:hAnsi="Arial" w:cs="Arial"/>
        </w:rPr>
        <w:t xml:space="preserve"> </w:t>
      </w:r>
      <w:r w:rsidRPr="00E7580C">
        <w:rPr>
          <w:rFonts w:ascii="Arial" w:hAnsi="Arial" w:cs="Arial"/>
          <w:i/>
          <w:iCs/>
          <w:lang w:val="en-GB"/>
        </w:rPr>
        <w:t>MEC for Health, North West Province v Dumisani, MR oo BM; In Re: Dumisani, obo BM v MEC for Health, North West Province</w:t>
      </w:r>
      <w:r w:rsidRPr="00E7580C">
        <w:rPr>
          <w:rFonts w:ascii="Arial" w:hAnsi="Arial" w:cs="Arial"/>
          <w:lang w:val="en-GB"/>
        </w:rPr>
        <w:t xml:space="preserve"> [2019] ZANWHC 28 paras 12-14.</w:t>
      </w:r>
    </w:p>
  </w:footnote>
  <w:footnote w:id="37">
    <w:p w14:paraId="407C986C" w14:textId="1422271F" w:rsidR="00477298" w:rsidRPr="00E7580C" w:rsidRDefault="00477298" w:rsidP="00AD647B">
      <w:pPr>
        <w:pStyle w:val="FootnoteText"/>
        <w:jc w:val="both"/>
        <w:rPr>
          <w:rFonts w:ascii="Arial" w:hAnsi="Arial" w:cs="Arial"/>
        </w:rPr>
      </w:pPr>
      <w:r w:rsidRPr="00E7580C">
        <w:rPr>
          <w:rStyle w:val="FootnoteReference"/>
          <w:rFonts w:ascii="Arial" w:hAnsi="Arial" w:cs="Arial"/>
        </w:rPr>
        <w:footnoteRef/>
      </w:r>
      <w:r w:rsidRPr="00E7580C">
        <w:rPr>
          <w:rFonts w:ascii="Arial" w:hAnsi="Arial" w:cs="Arial"/>
        </w:rPr>
        <w:t xml:space="preserve"> Zeffert Evidence 732-746 and D1-468 to 469 Erasmus </w:t>
      </w:r>
      <w:r w:rsidRPr="00E7580C">
        <w:rPr>
          <w:rFonts w:ascii="Arial" w:hAnsi="Arial" w:cs="Arial"/>
          <w:i/>
          <w:iCs/>
        </w:rPr>
        <w:t>Superior Court Practice</w:t>
      </w:r>
      <w:r w:rsidRPr="00E7580C">
        <w:rPr>
          <w:rFonts w:ascii="Arial" w:hAnsi="Arial" w:cs="Arial"/>
        </w:rPr>
        <w:t xml:space="preserve"> service 5 (2017</w:t>
      </w:r>
      <w:r w:rsidR="00FF6666">
        <w:rPr>
          <w:rFonts w:ascii="Arial" w:hAnsi="Arial" w:cs="Arial"/>
        </w:rPr>
        <w:t>)</w:t>
      </w:r>
      <w:r w:rsidRPr="00E7580C">
        <w:rPr>
          <w:rFonts w:ascii="Arial" w:hAnsi="Arial" w:cs="Arial"/>
        </w:rPr>
        <w:t>.</w:t>
      </w:r>
    </w:p>
  </w:footnote>
  <w:footnote w:id="38">
    <w:p w14:paraId="06F02F65" w14:textId="77777777" w:rsidR="00047B93" w:rsidRPr="00AD647B" w:rsidRDefault="00047B93" w:rsidP="00AD647B">
      <w:pPr>
        <w:pStyle w:val="FootnoteText"/>
        <w:jc w:val="both"/>
        <w:rPr>
          <w:rFonts w:ascii="Arial" w:hAnsi="Arial" w:cs="Arial"/>
        </w:rPr>
      </w:pPr>
      <w:r w:rsidRPr="00AD647B">
        <w:rPr>
          <w:rStyle w:val="FootnoteReference"/>
          <w:rFonts w:ascii="Arial" w:hAnsi="Arial" w:cs="Arial"/>
        </w:rPr>
        <w:footnoteRef/>
      </w:r>
      <w:r w:rsidRPr="00AD647B">
        <w:rPr>
          <w:rFonts w:ascii="Arial" w:hAnsi="Arial" w:cs="Arial"/>
        </w:rPr>
        <w:t xml:space="preserve"> </w:t>
      </w:r>
      <w:r w:rsidRPr="00AD647B">
        <w:rPr>
          <w:rFonts w:ascii="Arial" w:hAnsi="Arial" w:cs="Arial"/>
          <w:i/>
          <w:iCs/>
        </w:rPr>
        <w:t>Practice</w:t>
      </w:r>
      <w:r w:rsidRPr="00AD647B">
        <w:rPr>
          <w:rFonts w:ascii="Arial" w:hAnsi="Arial" w:cs="Arial"/>
        </w:rPr>
        <w:t xml:space="preserve"> service 7 (2018).</w:t>
      </w:r>
    </w:p>
  </w:footnote>
  <w:footnote w:id="39">
    <w:p w14:paraId="4756E618" w14:textId="77777777" w:rsidR="00477298" w:rsidRPr="00E7580C" w:rsidRDefault="00477298" w:rsidP="00E7580C">
      <w:pPr>
        <w:pStyle w:val="FootnoteText"/>
        <w:jc w:val="both"/>
        <w:rPr>
          <w:rFonts w:ascii="Arial" w:hAnsi="Arial" w:cs="Arial"/>
          <w:lang w:val="en-US"/>
        </w:rPr>
      </w:pPr>
      <w:r w:rsidRPr="00E7580C">
        <w:rPr>
          <w:rStyle w:val="FootnoteReference"/>
          <w:rFonts w:ascii="Arial" w:hAnsi="Arial" w:cs="Arial"/>
        </w:rPr>
        <w:footnoteRef/>
      </w:r>
      <w:r w:rsidRPr="00E7580C">
        <w:rPr>
          <w:rFonts w:ascii="Arial" w:hAnsi="Arial" w:cs="Arial"/>
        </w:rPr>
        <w:t xml:space="preserve"> </w:t>
      </w:r>
      <w:r w:rsidRPr="00E7580C">
        <w:rPr>
          <w:rFonts w:ascii="Arial" w:hAnsi="Arial" w:cs="Arial"/>
          <w:i/>
          <w:iCs/>
        </w:rPr>
        <w:t>Thint (Pty) Ltd v National Director of Public Prosecutions and Others, Zuma and Another v National Director of Public Prosecutions and Others</w:t>
      </w:r>
      <w:r w:rsidRPr="00E7580C">
        <w:rPr>
          <w:rFonts w:ascii="Arial" w:hAnsi="Arial" w:cs="Arial"/>
        </w:rPr>
        <w:t xml:space="preserve"> [2008] ZACC 13; 2009 (1) SA 1 (CC); 2008 (12) BCLR 1197 (CC) </w:t>
      </w:r>
      <w:r w:rsidRPr="00E7580C">
        <w:rPr>
          <w:rFonts w:ascii="Arial" w:hAnsi="Arial" w:cs="Arial"/>
          <w:lang w:val="en-US"/>
        </w:rPr>
        <w:t>para 183.</w:t>
      </w:r>
    </w:p>
  </w:footnote>
  <w:footnote w:id="40">
    <w:p w14:paraId="6BC60D98" w14:textId="156236C6" w:rsidR="00477298" w:rsidRPr="00E7580C" w:rsidRDefault="00477298" w:rsidP="00E7580C">
      <w:pPr>
        <w:spacing w:after="0" w:line="240" w:lineRule="auto"/>
        <w:jc w:val="both"/>
        <w:rPr>
          <w:rFonts w:ascii="Arial" w:hAnsi="Arial" w:cs="Arial"/>
          <w:sz w:val="20"/>
          <w:szCs w:val="20"/>
        </w:rPr>
      </w:pPr>
      <w:r w:rsidRPr="00E7580C">
        <w:rPr>
          <w:rStyle w:val="FootnoteReference"/>
          <w:rFonts w:ascii="Arial" w:hAnsi="Arial" w:cs="Arial"/>
          <w:sz w:val="20"/>
          <w:szCs w:val="20"/>
        </w:rPr>
        <w:footnoteRef/>
      </w:r>
      <w:r w:rsidRPr="00E7580C">
        <w:rPr>
          <w:rFonts w:ascii="Arial" w:hAnsi="Arial" w:cs="Arial"/>
          <w:sz w:val="20"/>
          <w:szCs w:val="20"/>
        </w:rPr>
        <w:t xml:space="preserve"> </w:t>
      </w:r>
      <w:r w:rsidRPr="00E7580C">
        <w:rPr>
          <w:rFonts w:ascii="Arial" w:hAnsi="Arial" w:cs="Arial"/>
          <w:i/>
          <w:sz w:val="20"/>
          <w:szCs w:val="20"/>
        </w:rPr>
        <w:t xml:space="preserve">Rellams </w:t>
      </w:r>
      <w:r w:rsidRPr="00E7580C">
        <w:rPr>
          <w:rFonts w:ascii="Arial" w:hAnsi="Arial" w:cs="Arial"/>
          <w:sz w:val="20"/>
          <w:szCs w:val="20"/>
        </w:rPr>
        <w:t xml:space="preserve">above n </w:t>
      </w:r>
      <w:r w:rsidR="0055461F">
        <w:rPr>
          <w:rFonts w:ascii="Arial" w:hAnsi="Arial" w:cs="Arial"/>
          <w:sz w:val="20"/>
          <w:szCs w:val="20"/>
        </w:rPr>
        <w:t>22</w:t>
      </w:r>
      <w:r w:rsidRPr="00E7580C">
        <w:rPr>
          <w:rFonts w:ascii="Arial" w:hAnsi="Arial" w:cs="Arial"/>
          <w:sz w:val="20"/>
          <w:szCs w:val="20"/>
        </w:rPr>
        <w:t xml:space="preserve"> and </w:t>
      </w:r>
      <w:r w:rsidRPr="00E7580C">
        <w:rPr>
          <w:rFonts w:ascii="Arial" w:hAnsi="Arial" w:cs="Arial"/>
          <w:i/>
          <w:sz w:val="20"/>
          <w:szCs w:val="20"/>
        </w:rPr>
        <w:t xml:space="preserve">Webster v Webster </w:t>
      </w:r>
      <w:r w:rsidRPr="00E7580C">
        <w:rPr>
          <w:rFonts w:ascii="Arial" w:hAnsi="Arial" w:cs="Arial"/>
          <w:sz w:val="20"/>
          <w:szCs w:val="20"/>
        </w:rPr>
        <w:t>1992 (3) SA 729 (ECD) at 734A-B.</w:t>
      </w:r>
    </w:p>
  </w:footnote>
  <w:footnote w:id="41">
    <w:p w14:paraId="2804691F" w14:textId="77777777" w:rsidR="00477298" w:rsidRPr="00E7580C" w:rsidRDefault="00477298" w:rsidP="00E7580C">
      <w:pPr>
        <w:pStyle w:val="FootnoteText"/>
        <w:jc w:val="both"/>
        <w:rPr>
          <w:rFonts w:ascii="Arial" w:hAnsi="Arial" w:cs="Arial"/>
          <w:lang w:val="en-GB"/>
        </w:rPr>
      </w:pPr>
      <w:r w:rsidRPr="00E7580C">
        <w:rPr>
          <w:rStyle w:val="FootnoteReference"/>
          <w:rFonts w:ascii="Arial" w:hAnsi="Arial" w:cs="Arial"/>
        </w:rPr>
        <w:footnoteRef/>
      </w:r>
      <w:r w:rsidRPr="00E7580C">
        <w:rPr>
          <w:rFonts w:ascii="Arial" w:hAnsi="Arial" w:cs="Arial"/>
        </w:rPr>
        <w:t xml:space="preserve"> </w:t>
      </w:r>
      <w:r w:rsidRPr="00E7580C">
        <w:rPr>
          <w:rFonts w:ascii="Arial" w:hAnsi="Arial" w:cs="Arial"/>
          <w:lang w:val="en-GB"/>
        </w:rPr>
        <w:t>That appears at page 72 of volume 1 at paragraph 4.</w:t>
      </w:r>
    </w:p>
  </w:footnote>
  <w:footnote w:id="42">
    <w:p w14:paraId="4C418920" w14:textId="73DC1C07" w:rsidR="00EA0FEE" w:rsidRPr="00AD647B" w:rsidRDefault="00EA0FEE" w:rsidP="00E7580C">
      <w:pPr>
        <w:pStyle w:val="FootnoteText"/>
        <w:jc w:val="both"/>
        <w:rPr>
          <w:rFonts w:ascii="Arial" w:hAnsi="Arial" w:cs="Arial"/>
        </w:rPr>
      </w:pPr>
      <w:r w:rsidRPr="00AD647B">
        <w:rPr>
          <w:rStyle w:val="FootnoteReference"/>
          <w:rFonts w:ascii="Arial" w:hAnsi="Arial" w:cs="Arial"/>
        </w:rPr>
        <w:footnoteRef/>
      </w:r>
      <w:r w:rsidRPr="00AD647B">
        <w:rPr>
          <w:rFonts w:ascii="Arial" w:hAnsi="Arial" w:cs="Arial"/>
        </w:rPr>
        <w:t xml:space="preserve"> </w:t>
      </w:r>
      <w:r w:rsidRPr="00AD647B">
        <w:rPr>
          <w:rFonts w:ascii="Arial" w:hAnsi="Arial" w:cs="Arial"/>
          <w:i/>
        </w:rPr>
        <w:t>Banda v Minister of Police</w:t>
      </w:r>
      <w:r w:rsidRPr="00AD647B">
        <w:rPr>
          <w:rFonts w:ascii="Arial" w:hAnsi="Arial" w:cs="Arial"/>
        </w:rPr>
        <w:t xml:space="preserve"> [2021] ZAECGHC 55 paras 65 and 66 and the authorities cited therein wit</w:t>
      </w:r>
      <w:r w:rsidR="00AA34E2">
        <w:rPr>
          <w:rFonts w:ascii="Arial" w:hAnsi="Arial" w:cs="Arial"/>
        </w:rPr>
        <w:t>h</w:t>
      </w:r>
      <w:r w:rsidRPr="00AD647B">
        <w:rPr>
          <w:rFonts w:ascii="Arial" w:hAnsi="Arial" w:cs="Arial"/>
        </w:rPr>
        <w:t xml:space="preserve"> approval.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337122"/>
      <w:docPartObj>
        <w:docPartGallery w:val="Page Numbers (Top of Page)"/>
        <w:docPartUnique/>
      </w:docPartObj>
    </w:sdtPr>
    <w:sdtEndPr>
      <w:rPr>
        <w:rFonts w:ascii="Arial" w:hAnsi="Arial" w:cs="Arial"/>
        <w:noProof/>
      </w:rPr>
    </w:sdtEndPr>
    <w:sdtContent>
      <w:p w14:paraId="784BBC9D" w14:textId="36C0FCBF" w:rsidR="00477298" w:rsidRPr="00AD647B" w:rsidRDefault="00477298">
        <w:pPr>
          <w:pStyle w:val="Header"/>
          <w:jc w:val="right"/>
          <w:rPr>
            <w:rFonts w:ascii="Arial" w:hAnsi="Arial" w:cs="Arial"/>
          </w:rPr>
        </w:pPr>
        <w:r w:rsidRPr="00AD647B">
          <w:rPr>
            <w:rFonts w:ascii="Arial" w:hAnsi="Arial" w:cs="Arial"/>
          </w:rPr>
          <w:fldChar w:fldCharType="begin"/>
        </w:r>
        <w:r w:rsidRPr="00AD647B">
          <w:rPr>
            <w:rFonts w:ascii="Arial" w:hAnsi="Arial" w:cs="Arial"/>
          </w:rPr>
          <w:instrText xml:space="preserve"> PAGE   \* MERGEFORMAT </w:instrText>
        </w:r>
        <w:r w:rsidRPr="00AD647B">
          <w:rPr>
            <w:rFonts w:ascii="Arial" w:hAnsi="Arial" w:cs="Arial"/>
          </w:rPr>
          <w:fldChar w:fldCharType="separate"/>
        </w:r>
        <w:r w:rsidR="00077A7C">
          <w:rPr>
            <w:rFonts w:ascii="Arial" w:hAnsi="Arial" w:cs="Arial"/>
            <w:noProof/>
          </w:rPr>
          <w:t>2</w:t>
        </w:r>
        <w:r w:rsidRPr="00AD647B">
          <w:rPr>
            <w:rFonts w:ascii="Arial" w:hAnsi="Arial" w:cs="Arial"/>
            <w:noProof/>
          </w:rPr>
          <w:fldChar w:fldCharType="end"/>
        </w:r>
      </w:p>
    </w:sdtContent>
  </w:sdt>
  <w:p w14:paraId="0C8FD1BE" w14:textId="77777777" w:rsidR="00477298" w:rsidRDefault="00477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35CB6"/>
    <w:multiLevelType w:val="multilevel"/>
    <w:tmpl w:val="EBFCB008"/>
    <w:lvl w:ilvl="0">
      <w:start w:val="1"/>
      <w:numFmt w:val="decimal"/>
      <w:lvlText w:val="[%1]"/>
      <w:lvlJc w:val="left"/>
      <w:pPr>
        <w:ind w:left="3448"/>
      </w:pPr>
      <w:rPr>
        <w:rFonts w:ascii="Times New Roman" w:eastAsia="Times New Roman" w:hAnsi="Times New Roman" w:cs="Times New Roman"/>
        <w:sz w:val="28"/>
        <w:szCs w:val="28"/>
      </w:rPr>
    </w:lvl>
    <w:lvl w:ilvl="1">
      <w:start w:val="1"/>
      <w:numFmt w:val="decimal"/>
      <w:lvlText w:val="%2."/>
      <w:lvlJc w:val="left"/>
      <w:pPr>
        <w:ind w:left="4320" w:hanging="360"/>
      </w:pPr>
      <w:rPr>
        <w:rFonts w:cs="Times New Roman"/>
      </w:rPr>
    </w:lvl>
    <w:lvl w:ilvl="2">
      <w:start w:val="1"/>
      <w:numFmt w:val="lowerRoman"/>
      <w:lvlText w:val="%3."/>
      <w:lvlJc w:val="right"/>
      <w:pPr>
        <w:ind w:left="5040" w:hanging="180"/>
      </w:pPr>
      <w:rPr>
        <w:rFonts w:cs="Times New Roman"/>
      </w:rPr>
    </w:lvl>
    <w:lvl w:ilvl="3">
      <w:start w:val="1"/>
      <w:numFmt w:val="decimal"/>
      <w:lvlText w:val="(%4)"/>
      <w:lvlJc w:val="left"/>
      <w:pPr>
        <w:ind w:left="5940" w:hanging="540"/>
      </w:pPr>
      <w:rPr>
        <w:rFonts w:cs="Times New Roman"/>
      </w:rPr>
    </w:lvl>
    <w:lvl w:ilvl="4">
      <w:start w:val="1"/>
      <w:numFmt w:val="lowerLetter"/>
      <w:lvlText w:val="%5."/>
      <w:lvlJc w:val="left"/>
      <w:pPr>
        <w:ind w:left="6480" w:hanging="360"/>
      </w:pPr>
      <w:rPr>
        <w:rFonts w:cs="Times New Roman"/>
      </w:rPr>
    </w:lvl>
    <w:lvl w:ilvl="5">
      <w:start w:val="1"/>
      <w:numFmt w:val="lowerLetter"/>
      <w:lvlText w:val="(%6)"/>
      <w:lvlJc w:val="left"/>
      <w:pPr>
        <w:ind w:left="7380" w:hanging="360"/>
      </w:pPr>
      <w:rPr>
        <w:rFonts w:cs="Times New Roman"/>
      </w:rPr>
    </w:lvl>
    <w:lvl w:ilvl="6">
      <w:start w:val="1"/>
      <w:numFmt w:val="lowerLetter"/>
      <w:lvlText w:val="%7)"/>
      <w:lvlJc w:val="left"/>
      <w:pPr>
        <w:ind w:left="7920" w:hanging="360"/>
      </w:pPr>
      <w:rPr>
        <w:rFonts w:cs="Times New Roman"/>
      </w:rPr>
    </w:lvl>
    <w:lvl w:ilvl="7">
      <w:start w:val="1"/>
      <w:numFmt w:val="lowerLetter"/>
      <w:lvlText w:val="%8."/>
      <w:lvlJc w:val="left"/>
      <w:pPr>
        <w:ind w:left="8640" w:hanging="360"/>
      </w:pPr>
      <w:rPr>
        <w:rFonts w:cs="Times New Roman"/>
      </w:rPr>
    </w:lvl>
    <w:lvl w:ilvl="8">
      <w:start w:val="1"/>
      <w:numFmt w:val="lowerRoman"/>
      <w:lvlText w:val="%9."/>
      <w:lvlJc w:val="right"/>
      <w:pPr>
        <w:ind w:left="9360" w:hanging="180"/>
      </w:pPr>
      <w:rPr>
        <w:rFonts w:cs="Times New Roman"/>
      </w:rPr>
    </w:lvl>
  </w:abstractNum>
  <w:abstractNum w:abstractNumId="1">
    <w:nsid w:val="461D13BD"/>
    <w:multiLevelType w:val="multilevel"/>
    <w:tmpl w:val="92D0E282"/>
    <w:lvl w:ilvl="0">
      <w:start w:val="1"/>
      <w:numFmt w:val="decimal"/>
      <w:pStyle w:val="JUGMENTNUMBERED"/>
      <w:lvlText w:val="[%1]"/>
      <w:lvlJc w:val="left"/>
      <w:pPr>
        <w:tabs>
          <w:tab w:val="num" w:pos="68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ACD7193"/>
    <w:multiLevelType w:val="hybridMultilevel"/>
    <w:tmpl w:val="2D2A3416"/>
    <w:lvl w:ilvl="0" w:tplc="D58AB85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3101B4"/>
    <w:multiLevelType w:val="hybridMultilevel"/>
    <w:tmpl w:val="68FE3FE2"/>
    <w:lvl w:ilvl="0" w:tplc="6638E436">
      <w:start w:val="2"/>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nsid w:val="7C3C6941"/>
    <w:multiLevelType w:val="multilevel"/>
    <w:tmpl w:val="F1B0A1A2"/>
    <w:lvl w:ilvl="0">
      <w:start w:val="1"/>
      <w:numFmt w:val="decimal"/>
      <w:lvlText w:val="%1."/>
      <w:lvlJc w:val="left"/>
      <w:pPr>
        <w:ind w:left="420" w:hanging="360"/>
      </w:pPr>
      <w:rPr>
        <w:rFonts w:hint="default"/>
        <w:b w:val="0"/>
        <w:i w:val="0"/>
        <w:sz w:val="24"/>
        <w:szCs w:val="24"/>
      </w:rPr>
    </w:lvl>
    <w:lvl w:ilvl="1">
      <w:start w:val="1"/>
      <w:numFmt w:val="decimal"/>
      <w:isLgl/>
      <w:lvlText w:val="%1.%2"/>
      <w:lvlJc w:val="left"/>
      <w:pPr>
        <w:ind w:left="1125" w:hanging="405"/>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140" w:hanging="1800"/>
      </w:pPr>
      <w:rPr>
        <w:rFonts w:hint="default"/>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AD"/>
    <w:rsid w:val="00000DEB"/>
    <w:rsid w:val="00012702"/>
    <w:rsid w:val="000140FC"/>
    <w:rsid w:val="00015F17"/>
    <w:rsid w:val="000236EE"/>
    <w:rsid w:val="00025DAC"/>
    <w:rsid w:val="0002736D"/>
    <w:rsid w:val="00033C51"/>
    <w:rsid w:val="00034A5A"/>
    <w:rsid w:val="00037125"/>
    <w:rsid w:val="00037CBD"/>
    <w:rsid w:val="00042C96"/>
    <w:rsid w:val="00045920"/>
    <w:rsid w:val="00046621"/>
    <w:rsid w:val="00047B93"/>
    <w:rsid w:val="000565E4"/>
    <w:rsid w:val="000603A5"/>
    <w:rsid w:val="00060661"/>
    <w:rsid w:val="00062DF2"/>
    <w:rsid w:val="000639F7"/>
    <w:rsid w:val="000640B8"/>
    <w:rsid w:val="00064A90"/>
    <w:rsid w:val="00064B97"/>
    <w:rsid w:val="00070475"/>
    <w:rsid w:val="00074BA8"/>
    <w:rsid w:val="00077A7C"/>
    <w:rsid w:val="0008470E"/>
    <w:rsid w:val="0008488D"/>
    <w:rsid w:val="0008616F"/>
    <w:rsid w:val="000861AC"/>
    <w:rsid w:val="000911D1"/>
    <w:rsid w:val="00091D77"/>
    <w:rsid w:val="00095382"/>
    <w:rsid w:val="00095ECC"/>
    <w:rsid w:val="00097BF3"/>
    <w:rsid w:val="000A005A"/>
    <w:rsid w:val="000A02CC"/>
    <w:rsid w:val="000A6DF3"/>
    <w:rsid w:val="000A7F20"/>
    <w:rsid w:val="000B08BA"/>
    <w:rsid w:val="000B1E35"/>
    <w:rsid w:val="000B1FB8"/>
    <w:rsid w:val="000B5649"/>
    <w:rsid w:val="000B7728"/>
    <w:rsid w:val="000B7870"/>
    <w:rsid w:val="000C0742"/>
    <w:rsid w:val="000C508C"/>
    <w:rsid w:val="000C54E5"/>
    <w:rsid w:val="000E009E"/>
    <w:rsid w:val="000E63A2"/>
    <w:rsid w:val="000E6B78"/>
    <w:rsid w:val="000E7499"/>
    <w:rsid w:val="000F0060"/>
    <w:rsid w:val="000F2A34"/>
    <w:rsid w:val="000F392A"/>
    <w:rsid w:val="000F44BA"/>
    <w:rsid w:val="00101EFE"/>
    <w:rsid w:val="00103468"/>
    <w:rsid w:val="00103B56"/>
    <w:rsid w:val="00103BAA"/>
    <w:rsid w:val="00104E9B"/>
    <w:rsid w:val="0010774C"/>
    <w:rsid w:val="001121E1"/>
    <w:rsid w:val="00112BBF"/>
    <w:rsid w:val="00113622"/>
    <w:rsid w:val="00113C87"/>
    <w:rsid w:val="00122C75"/>
    <w:rsid w:val="00124C79"/>
    <w:rsid w:val="00126C40"/>
    <w:rsid w:val="0013076D"/>
    <w:rsid w:val="00131CB1"/>
    <w:rsid w:val="00131D49"/>
    <w:rsid w:val="001328A3"/>
    <w:rsid w:val="001355AE"/>
    <w:rsid w:val="00141CF4"/>
    <w:rsid w:val="00146EAA"/>
    <w:rsid w:val="0014777F"/>
    <w:rsid w:val="00151645"/>
    <w:rsid w:val="00152629"/>
    <w:rsid w:val="0015322E"/>
    <w:rsid w:val="00160B5F"/>
    <w:rsid w:val="001616D8"/>
    <w:rsid w:val="00164E50"/>
    <w:rsid w:val="00171815"/>
    <w:rsid w:val="0017352B"/>
    <w:rsid w:val="001815AE"/>
    <w:rsid w:val="00183949"/>
    <w:rsid w:val="0019175D"/>
    <w:rsid w:val="00191816"/>
    <w:rsid w:val="00191A84"/>
    <w:rsid w:val="001949B4"/>
    <w:rsid w:val="00194F6B"/>
    <w:rsid w:val="00196582"/>
    <w:rsid w:val="001C2BCC"/>
    <w:rsid w:val="001C36A1"/>
    <w:rsid w:val="001C4DF3"/>
    <w:rsid w:val="001C5A14"/>
    <w:rsid w:val="001C7FB4"/>
    <w:rsid w:val="001D0CE9"/>
    <w:rsid w:val="001D42D9"/>
    <w:rsid w:val="001D4563"/>
    <w:rsid w:val="001D575B"/>
    <w:rsid w:val="001D5A2C"/>
    <w:rsid w:val="001E7323"/>
    <w:rsid w:val="001F24E1"/>
    <w:rsid w:val="001F4DCC"/>
    <w:rsid w:val="001F58CE"/>
    <w:rsid w:val="001F6257"/>
    <w:rsid w:val="001F645D"/>
    <w:rsid w:val="001F73A0"/>
    <w:rsid w:val="00200C50"/>
    <w:rsid w:val="002016FE"/>
    <w:rsid w:val="00204268"/>
    <w:rsid w:val="002057A6"/>
    <w:rsid w:val="002062B8"/>
    <w:rsid w:val="0021768D"/>
    <w:rsid w:val="00222B44"/>
    <w:rsid w:val="00223FD7"/>
    <w:rsid w:val="00224029"/>
    <w:rsid w:val="0023030B"/>
    <w:rsid w:val="00232D3B"/>
    <w:rsid w:val="00234F1A"/>
    <w:rsid w:val="00244E9D"/>
    <w:rsid w:val="00245EA5"/>
    <w:rsid w:val="002464DE"/>
    <w:rsid w:val="0025388B"/>
    <w:rsid w:val="0026214B"/>
    <w:rsid w:val="00263E5D"/>
    <w:rsid w:val="002650BA"/>
    <w:rsid w:val="00266222"/>
    <w:rsid w:val="002671DA"/>
    <w:rsid w:val="00270CF3"/>
    <w:rsid w:val="00273F82"/>
    <w:rsid w:val="00275250"/>
    <w:rsid w:val="002800BB"/>
    <w:rsid w:val="00280221"/>
    <w:rsid w:val="00282F3F"/>
    <w:rsid w:val="00283422"/>
    <w:rsid w:val="0028601A"/>
    <w:rsid w:val="00291B9A"/>
    <w:rsid w:val="00295E94"/>
    <w:rsid w:val="002A3337"/>
    <w:rsid w:val="002A6E50"/>
    <w:rsid w:val="002B05B4"/>
    <w:rsid w:val="002B1AA9"/>
    <w:rsid w:val="002B377D"/>
    <w:rsid w:val="002B4C99"/>
    <w:rsid w:val="002B6358"/>
    <w:rsid w:val="002B6CAF"/>
    <w:rsid w:val="002B78D0"/>
    <w:rsid w:val="002C12F3"/>
    <w:rsid w:val="002C42B9"/>
    <w:rsid w:val="002C5220"/>
    <w:rsid w:val="002C5931"/>
    <w:rsid w:val="002D068B"/>
    <w:rsid w:val="002D149A"/>
    <w:rsid w:val="002E448D"/>
    <w:rsid w:val="002E7D40"/>
    <w:rsid w:val="002F225B"/>
    <w:rsid w:val="002F3095"/>
    <w:rsid w:val="002F4E53"/>
    <w:rsid w:val="002F77E1"/>
    <w:rsid w:val="00304710"/>
    <w:rsid w:val="00305A72"/>
    <w:rsid w:val="00313181"/>
    <w:rsid w:val="00332159"/>
    <w:rsid w:val="00346194"/>
    <w:rsid w:val="0035019E"/>
    <w:rsid w:val="00352145"/>
    <w:rsid w:val="003534DD"/>
    <w:rsid w:val="00353CBF"/>
    <w:rsid w:val="00356E39"/>
    <w:rsid w:val="003607FC"/>
    <w:rsid w:val="00363474"/>
    <w:rsid w:val="003652EC"/>
    <w:rsid w:val="003701A2"/>
    <w:rsid w:val="0037036E"/>
    <w:rsid w:val="0037496F"/>
    <w:rsid w:val="003770E7"/>
    <w:rsid w:val="003804B0"/>
    <w:rsid w:val="0038257F"/>
    <w:rsid w:val="003838EB"/>
    <w:rsid w:val="00387AD8"/>
    <w:rsid w:val="003916B9"/>
    <w:rsid w:val="00392E73"/>
    <w:rsid w:val="00393738"/>
    <w:rsid w:val="00393CB7"/>
    <w:rsid w:val="003960FD"/>
    <w:rsid w:val="003A0120"/>
    <w:rsid w:val="003A4A7B"/>
    <w:rsid w:val="003A7C0E"/>
    <w:rsid w:val="003B4C30"/>
    <w:rsid w:val="003C0616"/>
    <w:rsid w:val="003C2288"/>
    <w:rsid w:val="003C2C59"/>
    <w:rsid w:val="003D07E2"/>
    <w:rsid w:val="003D0950"/>
    <w:rsid w:val="003D268A"/>
    <w:rsid w:val="003D3747"/>
    <w:rsid w:val="003D3DC6"/>
    <w:rsid w:val="003D5D09"/>
    <w:rsid w:val="003D7F5A"/>
    <w:rsid w:val="003E027B"/>
    <w:rsid w:val="003E199A"/>
    <w:rsid w:val="003E249E"/>
    <w:rsid w:val="003E2885"/>
    <w:rsid w:val="003F0288"/>
    <w:rsid w:val="003F047C"/>
    <w:rsid w:val="003F1EF0"/>
    <w:rsid w:val="003F50D3"/>
    <w:rsid w:val="004017E2"/>
    <w:rsid w:val="004034E0"/>
    <w:rsid w:val="00406E53"/>
    <w:rsid w:val="00407196"/>
    <w:rsid w:val="00421CD3"/>
    <w:rsid w:val="00422A73"/>
    <w:rsid w:val="00427110"/>
    <w:rsid w:val="00430C78"/>
    <w:rsid w:val="0043360E"/>
    <w:rsid w:val="004343C3"/>
    <w:rsid w:val="00434781"/>
    <w:rsid w:val="004402C9"/>
    <w:rsid w:val="00441DEE"/>
    <w:rsid w:val="00443B04"/>
    <w:rsid w:val="00444B49"/>
    <w:rsid w:val="004463F2"/>
    <w:rsid w:val="004473AB"/>
    <w:rsid w:val="00452CBF"/>
    <w:rsid w:val="00452FED"/>
    <w:rsid w:val="00454B6B"/>
    <w:rsid w:val="004574E1"/>
    <w:rsid w:val="00460054"/>
    <w:rsid w:val="004634C9"/>
    <w:rsid w:val="004666C4"/>
    <w:rsid w:val="0047315E"/>
    <w:rsid w:val="00475F72"/>
    <w:rsid w:val="00477116"/>
    <w:rsid w:val="00477298"/>
    <w:rsid w:val="00480EA0"/>
    <w:rsid w:val="00482E81"/>
    <w:rsid w:val="0048689B"/>
    <w:rsid w:val="0048758D"/>
    <w:rsid w:val="00491CA3"/>
    <w:rsid w:val="00492C13"/>
    <w:rsid w:val="00494A36"/>
    <w:rsid w:val="0049511F"/>
    <w:rsid w:val="004A0E84"/>
    <w:rsid w:val="004A2F21"/>
    <w:rsid w:val="004A58ED"/>
    <w:rsid w:val="004A62AD"/>
    <w:rsid w:val="004A740F"/>
    <w:rsid w:val="004B0D26"/>
    <w:rsid w:val="004B31FD"/>
    <w:rsid w:val="004B4A66"/>
    <w:rsid w:val="004B73A2"/>
    <w:rsid w:val="004B7BAF"/>
    <w:rsid w:val="004C0784"/>
    <w:rsid w:val="004C502C"/>
    <w:rsid w:val="004C6D4F"/>
    <w:rsid w:val="004C6F15"/>
    <w:rsid w:val="004D1E89"/>
    <w:rsid w:val="004D3CEA"/>
    <w:rsid w:val="004D51FA"/>
    <w:rsid w:val="004E3ADC"/>
    <w:rsid w:val="004E72C5"/>
    <w:rsid w:val="004F04B1"/>
    <w:rsid w:val="004F3549"/>
    <w:rsid w:val="004F463A"/>
    <w:rsid w:val="004F4EC2"/>
    <w:rsid w:val="004F5FF6"/>
    <w:rsid w:val="004F731E"/>
    <w:rsid w:val="00503322"/>
    <w:rsid w:val="0050333C"/>
    <w:rsid w:val="0050406D"/>
    <w:rsid w:val="00512DC8"/>
    <w:rsid w:val="0051385C"/>
    <w:rsid w:val="00515274"/>
    <w:rsid w:val="00520787"/>
    <w:rsid w:val="00521EEE"/>
    <w:rsid w:val="005271A6"/>
    <w:rsid w:val="005336DC"/>
    <w:rsid w:val="00545763"/>
    <w:rsid w:val="0055461F"/>
    <w:rsid w:val="0055599A"/>
    <w:rsid w:val="00556244"/>
    <w:rsid w:val="00556295"/>
    <w:rsid w:val="005603BE"/>
    <w:rsid w:val="0056338F"/>
    <w:rsid w:val="005650DB"/>
    <w:rsid w:val="005663D6"/>
    <w:rsid w:val="00567E92"/>
    <w:rsid w:val="00570BF9"/>
    <w:rsid w:val="0057265B"/>
    <w:rsid w:val="0057413D"/>
    <w:rsid w:val="0057661A"/>
    <w:rsid w:val="00577F75"/>
    <w:rsid w:val="00580356"/>
    <w:rsid w:val="00582BE7"/>
    <w:rsid w:val="005869BB"/>
    <w:rsid w:val="00587BA2"/>
    <w:rsid w:val="005909F9"/>
    <w:rsid w:val="005A1F45"/>
    <w:rsid w:val="005A5A79"/>
    <w:rsid w:val="005A7E5B"/>
    <w:rsid w:val="005B126A"/>
    <w:rsid w:val="005B1438"/>
    <w:rsid w:val="005B7A86"/>
    <w:rsid w:val="005C1E64"/>
    <w:rsid w:val="005C2A61"/>
    <w:rsid w:val="005E3FD4"/>
    <w:rsid w:val="005E69BD"/>
    <w:rsid w:val="005F2A4F"/>
    <w:rsid w:val="005F4487"/>
    <w:rsid w:val="005F478C"/>
    <w:rsid w:val="006025DA"/>
    <w:rsid w:val="00602C25"/>
    <w:rsid w:val="00602FEC"/>
    <w:rsid w:val="00611CA2"/>
    <w:rsid w:val="00612092"/>
    <w:rsid w:val="00615197"/>
    <w:rsid w:val="00617365"/>
    <w:rsid w:val="00621EFE"/>
    <w:rsid w:val="00626940"/>
    <w:rsid w:val="00627ABB"/>
    <w:rsid w:val="00627DF0"/>
    <w:rsid w:val="00630DC1"/>
    <w:rsid w:val="00631813"/>
    <w:rsid w:val="006331CF"/>
    <w:rsid w:val="006343EE"/>
    <w:rsid w:val="0063661D"/>
    <w:rsid w:val="00636E77"/>
    <w:rsid w:val="00641E48"/>
    <w:rsid w:val="00642EB7"/>
    <w:rsid w:val="00650028"/>
    <w:rsid w:val="006508E9"/>
    <w:rsid w:val="006530E0"/>
    <w:rsid w:val="00653D9E"/>
    <w:rsid w:val="00655195"/>
    <w:rsid w:val="0066175F"/>
    <w:rsid w:val="00662BB0"/>
    <w:rsid w:val="00674255"/>
    <w:rsid w:val="00675FB8"/>
    <w:rsid w:val="006803A7"/>
    <w:rsid w:val="006855E6"/>
    <w:rsid w:val="00686B89"/>
    <w:rsid w:val="00687E58"/>
    <w:rsid w:val="0069466F"/>
    <w:rsid w:val="006954B8"/>
    <w:rsid w:val="00696444"/>
    <w:rsid w:val="00696A9A"/>
    <w:rsid w:val="006A0AE1"/>
    <w:rsid w:val="006B123B"/>
    <w:rsid w:val="006B14D7"/>
    <w:rsid w:val="006B343C"/>
    <w:rsid w:val="006C313A"/>
    <w:rsid w:val="006C7653"/>
    <w:rsid w:val="006D15DD"/>
    <w:rsid w:val="006D1E81"/>
    <w:rsid w:val="006D712A"/>
    <w:rsid w:val="006D7D89"/>
    <w:rsid w:val="006E0A01"/>
    <w:rsid w:val="006F580D"/>
    <w:rsid w:val="007001CA"/>
    <w:rsid w:val="00703566"/>
    <w:rsid w:val="00704098"/>
    <w:rsid w:val="00704541"/>
    <w:rsid w:val="00707E21"/>
    <w:rsid w:val="007114DA"/>
    <w:rsid w:val="00712716"/>
    <w:rsid w:val="00712CAE"/>
    <w:rsid w:val="00713779"/>
    <w:rsid w:val="00713C17"/>
    <w:rsid w:val="007200FD"/>
    <w:rsid w:val="00721EAD"/>
    <w:rsid w:val="007229B9"/>
    <w:rsid w:val="007258DF"/>
    <w:rsid w:val="00725C2F"/>
    <w:rsid w:val="00725CAA"/>
    <w:rsid w:val="00734FB2"/>
    <w:rsid w:val="00737E6D"/>
    <w:rsid w:val="00752D77"/>
    <w:rsid w:val="007547FB"/>
    <w:rsid w:val="00755232"/>
    <w:rsid w:val="00756D08"/>
    <w:rsid w:val="0076004B"/>
    <w:rsid w:val="007659F0"/>
    <w:rsid w:val="00765F18"/>
    <w:rsid w:val="00766532"/>
    <w:rsid w:val="007672FC"/>
    <w:rsid w:val="00773977"/>
    <w:rsid w:val="007814B1"/>
    <w:rsid w:val="0078180C"/>
    <w:rsid w:val="00781A70"/>
    <w:rsid w:val="0078207A"/>
    <w:rsid w:val="00783230"/>
    <w:rsid w:val="007924BC"/>
    <w:rsid w:val="007A0402"/>
    <w:rsid w:val="007A0B4A"/>
    <w:rsid w:val="007A1EE9"/>
    <w:rsid w:val="007A4D41"/>
    <w:rsid w:val="007B18B1"/>
    <w:rsid w:val="007B1F62"/>
    <w:rsid w:val="007B2000"/>
    <w:rsid w:val="007B3BE0"/>
    <w:rsid w:val="007B4339"/>
    <w:rsid w:val="007B604E"/>
    <w:rsid w:val="007C53D4"/>
    <w:rsid w:val="007D11E3"/>
    <w:rsid w:val="007D1F9A"/>
    <w:rsid w:val="007D26D8"/>
    <w:rsid w:val="007D2913"/>
    <w:rsid w:val="007D7571"/>
    <w:rsid w:val="007D78DF"/>
    <w:rsid w:val="007E0CD9"/>
    <w:rsid w:val="007E0DB4"/>
    <w:rsid w:val="007E3899"/>
    <w:rsid w:val="007E51A7"/>
    <w:rsid w:val="007E62B8"/>
    <w:rsid w:val="007F5E60"/>
    <w:rsid w:val="0080453F"/>
    <w:rsid w:val="00807755"/>
    <w:rsid w:val="00811164"/>
    <w:rsid w:val="00812922"/>
    <w:rsid w:val="008146BC"/>
    <w:rsid w:val="00837241"/>
    <w:rsid w:val="00841211"/>
    <w:rsid w:val="00843587"/>
    <w:rsid w:val="00852B40"/>
    <w:rsid w:val="0086119F"/>
    <w:rsid w:val="008615DD"/>
    <w:rsid w:val="00861CE9"/>
    <w:rsid w:val="00870511"/>
    <w:rsid w:val="00871070"/>
    <w:rsid w:val="00880267"/>
    <w:rsid w:val="008830FC"/>
    <w:rsid w:val="0088395E"/>
    <w:rsid w:val="00883C0D"/>
    <w:rsid w:val="00885DE2"/>
    <w:rsid w:val="00886E7D"/>
    <w:rsid w:val="00887E62"/>
    <w:rsid w:val="0089321F"/>
    <w:rsid w:val="008A715F"/>
    <w:rsid w:val="008B15B6"/>
    <w:rsid w:val="008B68E5"/>
    <w:rsid w:val="008C1914"/>
    <w:rsid w:val="008C67CB"/>
    <w:rsid w:val="008D0F2D"/>
    <w:rsid w:val="008D1071"/>
    <w:rsid w:val="008E0DA9"/>
    <w:rsid w:val="008E2AE9"/>
    <w:rsid w:val="008F0081"/>
    <w:rsid w:val="008F1C1B"/>
    <w:rsid w:val="008F2136"/>
    <w:rsid w:val="008F3D6B"/>
    <w:rsid w:val="008F53DC"/>
    <w:rsid w:val="008F556A"/>
    <w:rsid w:val="008F57F2"/>
    <w:rsid w:val="008F76DB"/>
    <w:rsid w:val="0090169A"/>
    <w:rsid w:val="009030E4"/>
    <w:rsid w:val="00903767"/>
    <w:rsid w:val="00907403"/>
    <w:rsid w:val="00910F28"/>
    <w:rsid w:val="00911BB0"/>
    <w:rsid w:val="009143BA"/>
    <w:rsid w:val="00924E70"/>
    <w:rsid w:val="00931ECA"/>
    <w:rsid w:val="0093207F"/>
    <w:rsid w:val="009322AC"/>
    <w:rsid w:val="00934BCD"/>
    <w:rsid w:val="00935AB8"/>
    <w:rsid w:val="00936328"/>
    <w:rsid w:val="0094352D"/>
    <w:rsid w:val="009449A3"/>
    <w:rsid w:val="0094567C"/>
    <w:rsid w:val="00946B76"/>
    <w:rsid w:val="00950223"/>
    <w:rsid w:val="0095773E"/>
    <w:rsid w:val="009602E5"/>
    <w:rsid w:val="009622DE"/>
    <w:rsid w:val="009633BE"/>
    <w:rsid w:val="00964A0D"/>
    <w:rsid w:val="009721F1"/>
    <w:rsid w:val="00972663"/>
    <w:rsid w:val="00982D96"/>
    <w:rsid w:val="009835D9"/>
    <w:rsid w:val="0098405C"/>
    <w:rsid w:val="009844E4"/>
    <w:rsid w:val="00985B15"/>
    <w:rsid w:val="00987DE0"/>
    <w:rsid w:val="00991729"/>
    <w:rsid w:val="00997DFE"/>
    <w:rsid w:val="009A226F"/>
    <w:rsid w:val="009A4ED0"/>
    <w:rsid w:val="009B108D"/>
    <w:rsid w:val="009B2592"/>
    <w:rsid w:val="009C3B6E"/>
    <w:rsid w:val="009C4265"/>
    <w:rsid w:val="009C5DE3"/>
    <w:rsid w:val="009C6653"/>
    <w:rsid w:val="009D466F"/>
    <w:rsid w:val="009E4562"/>
    <w:rsid w:val="009E6B0B"/>
    <w:rsid w:val="009E70F0"/>
    <w:rsid w:val="009F0F1A"/>
    <w:rsid w:val="009F2D6D"/>
    <w:rsid w:val="009F3271"/>
    <w:rsid w:val="009F3F9F"/>
    <w:rsid w:val="009F702D"/>
    <w:rsid w:val="009F787D"/>
    <w:rsid w:val="00A00BF7"/>
    <w:rsid w:val="00A03950"/>
    <w:rsid w:val="00A11C3A"/>
    <w:rsid w:val="00A16A1B"/>
    <w:rsid w:val="00A229F7"/>
    <w:rsid w:val="00A244FB"/>
    <w:rsid w:val="00A24A85"/>
    <w:rsid w:val="00A24B59"/>
    <w:rsid w:val="00A276E3"/>
    <w:rsid w:val="00A30FDC"/>
    <w:rsid w:val="00A313D4"/>
    <w:rsid w:val="00A40A5F"/>
    <w:rsid w:val="00A45640"/>
    <w:rsid w:val="00A47EBF"/>
    <w:rsid w:val="00A51803"/>
    <w:rsid w:val="00A5338C"/>
    <w:rsid w:val="00A6061A"/>
    <w:rsid w:val="00A61F79"/>
    <w:rsid w:val="00A6254D"/>
    <w:rsid w:val="00A66CC5"/>
    <w:rsid w:val="00A67008"/>
    <w:rsid w:val="00A70F15"/>
    <w:rsid w:val="00A71448"/>
    <w:rsid w:val="00A7171F"/>
    <w:rsid w:val="00A72681"/>
    <w:rsid w:val="00A7312B"/>
    <w:rsid w:val="00A75602"/>
    <w:rsid w:val="00A75984"/>
    <w:rsid w:val="00A7778A"/>
    <w:rsid w:val="00A77ADF"/>
    <w:rsid w:val="00A80C27"/>
    <w:rsid w:val="00A819BC"/>
    <w:rsid w:val="00A841AA"/>
    <w:rsid w:val="00A868AF"/>
    <w:rsid w:val="00A87097"/>
    <w:rsid w:val="00A9066A"/>
    <w:rsid w:val="00A91C6A"/>
    <w:rsid w:val="00AA01F8"/>
    <w:rsid w:val="00AA2009"/>
    <w:rsid w:val="00AA2987"/>
    <w:rsid w:val="00AA34E2"/>
    <w:rsid w:val="00AA3BF1"/>
    <w:rsid w:val="00AA45AD"/>
    <w:rsid w:val="00AB1F30"/>
    <w:rsid w:val="00AB2591"/>
    <w:rsid w:val="00AB3BCF"/>
    <w:rsid w:val="00AB7CE8"/>
    <w:rsid w:val="00AC492F"/>
    <w:rsid w:val="00AC5AAB"/>
    <w:rsid w:val="00AD647B"/>
    <w:rsid w:val="00AE0D43"/>
    <w:rsid w:val="00AE3325"/>
    <w:rsid w:val="00AE3DA5"/>
    <w:rsid w:val="00AE5DE9"/>
    <w:rsid w:val="00AE6376"/>
    <w:rsid w:val="00AE64E0"/>
    <w:rsid w:val="00AE66DE"/>
    <w:rsid w:val="00B02420"/>
    <w:rsid w:val="00B120A1"/>
    <w:rsid w:val="00B16C9D"/>
    <w:rsid w:val="00B17D15"/>
    <w:rsid w:val="00B21D11"/>
    <w:rsid w:val="00B377D0"/>
    <w:rsid w:val="00B40EF0"/>
    <w:rsid w:val="00B411E9"/>
    <w:rsid w:val="00B43AD8"/>
    <w:rsid w:val="00B44886"/>
    <w:rsid w:val="00B45C7E"/>
    <w:rsid w:val="00B548E9"/>
    <w:rsid w:val="00B61ABF"/>
    <w:rsid w:val="00B627D0"/>
    <w:rsid w:val="00B64A4A"/>
    <w:rsid w:val="00B64DF2"/>
    <w:rsid w:val="00B6545F"/>
    <w:rsid w:val="00B743E0"/>
    <w:rsid w:val="00B8019B"/>
    <w:rsid w:val="00B86A1F"/>
    <w:rsid w:val="00B93941"/>
    <w:rsid w:val="00B93A34"/>
    <w:rsid w:val="00B9432B"/>
    <w:rsid w:val="00B956E2"/>
    <w:rsid w:val="00BA77CB"/>
    <w:rsid w:val="00BA7C77"/>
    <w:rsid w:val="00BB009F"/>
    <w:rsid w:val="00BC1125"/>
    <w:rsid w:val="00BC1A76"/>
    <w:rsid w:val="00BC4454"/>
    <w:rsid w:val="00BC62AE"/>
    <w:rsid w:val="00BD3CF7"/>
    <w:rsid w:val="00BD4D2A"/>
    <w:rsid w:val="00BE06C7"/>
    <w:rsid w:val="00BE0955"/>
    <w:rsid w:val="00BE6D65"/>
    <w:rsid w:val="00BF062D"/>
    <w:rsid w:val="00BF1B34"/>
    <w:rsid w:val="00BF33F9"/>
    <w:rsid w:val="00BF60AC"/>
    <w:rsid w:val="00BF71F7"/>
    <w:rsid w:val="00BF79B2"/>
    <w:rsid w:val="00C11F13"/>
    <w:rsid w:val="00C148B7"/>
    <w:rsid w:val="00C237C7"/>
    <w:rsid w:val="00C24626"/>
    <w:rsid w:val="00C247E8"/>
    <w:rsid w:val="00C26318"/>
    <w:rsid w:val="00C3001C"/>
    <w:rsid w:val="00C3132B"/>
    <w:rsid w:val="00C346A7"/>
    <w:rsid w:val="00C42C97"/>
    <w:rsid w:val="00C43FB9"/>
    <w:rsid w:val="00C44E80"/>
    <w:rsid w:val="00C534E4"/>
    <w:rsid w:val="00C53CBA"/>
    <w:rsid w:val="00C54621"/>
    <w:rsid w:val="00C56125"/>
    <w:rsid w:val="00C56E62"/>
    <w:rsid w:val="00C5725D"/>
    <w:rsid w:val="00C57B27"/>
    <w:rsid w:val="00C60BB9"/>
    <w:rsid w:val="00C6131D"/>
    <w:rsid w:val="00C63F57"/>
    <w:rsid w:val="00C653FF"/>
    <w:rsid w:val="00C666F4"/>
    <w:rsid w:val="00C67901"/>
    <w:rsid w:val="00C73B6B"/>
    <w:rsid w:val="00C7405D"/>
    <w:rsid w:val="00C744FB"/>
    <w:rsid w:val="00C74CD9"/>
    <w:rsid w:val="00C75B24"/>
    <w:rsid w:val="00C766F8"/>
    <w:rsid w:val="00C80E08"/>
    <w:rsid w:val="00C81987"/>
    <w:rsid w:val="00C84848"/>
    <w:rsid w:val="00C877DA"/>
    <w:rsid w:val="00C90560"/>
    <w:rsid w:val="00C93234"/>
    <w:rsid w:val="00C95CE1"/>
    <w:rsid w:val="00CA3DE3"/>
    <w:rsid w:val="00CB5287"/>
    <w:rsid w:val="00CB60D7"/>
    <w:rsid w:val="00CB7EEA"/>
    <w:rsid w:val="00CC16EF"/>
    <w:rsid w:val="00CC2A86"/>
    <w:rsid w:val="00CC7336"/>
    <w:rsid w:val="00CD0BA8"/>
    <w:rsid w:val="00CE2785"/>
    <w:rsid w:val="00CE4FF1"/>
    <w:rsid w:val="00CF040D"/>
    <w:rsid w:val="00D032A9"/>
    <w:rsid w:val="00D037A9"/>
    <w:rsid w:val="00D042CE"/>
    <w:rsid w:val="00D06B03"/>
    <w:rsid w:val="00D169AD"/>
    <w:rsid w:val="00D17903"/>
    <w:rsid w:val="00D20BE3"/>
    <w:rsid w:val="00D23039"/>
    <w:rsid w:val="00D24B2B"/>
    <w:rsid w:val="00D256DE"/>
    <w:rsid w:val="00D32047"/>
    <w:rsid w:val="00D34479"/>
    <w:rsid w:val="00D346CB"/>
    <w:rsid w:val="00D34B74"/>
    <w:rsid w:val="00D3508E"/>
    <w:rsid w:val="00D35192"/>
    <w:rsid w:val="00D36CAF"/>
    <w:rsid w:val="00D442E5"/>
    <w:rsid w:val="00D47A98"/>
    <w:rsid w:val="00D51A57"/>
    <w:rsid w:val="00D54030"/>
    <w:rsid w:val="00D5594D"/>
    <w:rsid w:val="00D55D7E"/>
    <w:rsid w:val="00D56044"/>
    <w:rsid w:val="00D56A6C"/>
    <w:rsid w:val="00D63142"/>
    <w:rsid w:val="00D63910"/>
    <w:rsid w:val="00D668A9"/>
    <w:rsid w:val="00D672AB"/>
    <w:rsid w:val="00D708AE"/>
    <w:rsid w:val="00D7363F"/>
    <w:rsid w:val="00D73EA0"/>
    <w:rsid w:val="00D7402B"/>
    <w:rsid w:val="00D755EB"/>
    <w:rsid w:val="00D75756"/>
    <w:rsid w:val="00D75E98"/>
    <w:rsid w:val="00D764CF"/>
    <w:rsid w:val="00D8423F"/>
    <w:rsid w:val="00D848CF"/>
    <w:rsid w:val="00D9050A"/>
    <w:rsid w:val="00D9243D"/>
    <w:rsid w:val="00D92735"/>
    <w:rsid w:val="00D96B93"/>
    <w:rsid w:val="00DA396C"/>
    <w:rsid w:val="00DA5EB3"/>
    <w:rsid w:val="00DB4E24"/>
    <w:rsid w:val="00DB714B"/>
    <w:rsid w:val="00DB71E2"/>
    <w:rsid w:val="00DC672C"/>
    <w:rsid w:val="00DC67A5"/>
    <w:rsid w:val="00DC6E30"/>
    <w:rsid w:val="00DD49C6"/>
    <w:rsid w:val="00DE2FD7"/>
    <w:rsid w:val="00DE4D2C"/>
    <w:rsid w:val="00DF4406"/>
    <w:rsid w:val="00DF4A1A"/>
    <w:rsid w:val="00DF7441"/>
    <w:rsid w:val="00DF7B1E"/>
    <w:rsid w:val="00E02A77"/>
    <w:rsid w:val="00E03502"/>
    <w:rsid w:val="00E0737E"/>
    <w:rsid w:val="00E07672"/>
    <w:rsid w:val="00E1377C"/>
    <w:rsid w:val="00E21440"/>
    <w:rsid w:val="00E2769A"/>
    <w:rsid w:val="00E33922"/>
    <w:rsid w:val="00E374D0"/>
    <w:rsid w:val="00E412C2"/>
    <w:rsid w:val="00E41F2B"/>
    <w:rsid w:val="00E46DC8"/>
    <w:rsid w:val="00E54AB1"/>
    <w:rsid w:val="00E57B11"/>
    <w:rsid w:val="00E6188B"/>
    <w:rsid w:val="00E67894"/>
    <w:rsid w:val="00E67916"/>
    <w:rsid w:val="00E7580C"/>
    <w:rsid w:val="00E776AE"/>
    <w:rsid w:val="00E8017B"/>
    <w:rsid w:val="00E80BFD"/>
    <w:rsid w:val="00E81BAC"/>
    <w:rsid w:val="00E90861"/>
    <w:rsid w:val="00E91C26"/>
    <w:rsid w:val="00E92920"/>
    <w:rsid w:val="00EA0FEE"/>
    <w:rsid w:val="00EA3542"/>
    <w:rsid w:val="00EA3A5F"/>
    <w:rsid w:val="00EA507D"/>
    <w:rsid w:val="00EB3A63"/>
    <w:rsid w:val="00EB7754"/>
    <w:rsid w:val="00EB7D0B"/>
    <w:rsid w:val="00EC02F7"/>
    <w:rsid w:val="00EC062B"/>
    <w:rsid w:val="00EC097E"/>
    <w:rsid w:val="00EC12B9"/>
    <w:rsid w:val="00EC284B"/>
    <w:rsid w:val="00EC3528"/>
    <w:rsid w:val="00EC4909"/>
    <w:rsid w:val="00EC5956"/>
    <w:rsid w:val="00ED0A6F"/>
    <w:rsid w:val="00ED1F39"/>
    <w:rsid w:val="00ED20E4"/>
    <w:rsid w:val="00ED7A07"/>
    <w:rsid w:val="00EE5319"/>
    <w:rsid w:val="00EE7206"/>
    <w:rsid w:val="00EF35C9"/>
    <w:rsid w:val="00F009C8"/>
    <w:rsid w:val="00F00E14"/>
    <w:rsid w:val="00F02114"/>
    <w:rsid w:val="00F02608"/>
    <w:rsid w:val="00F035B5"/>
    <w:rsid w:val="00F06C49"/>
    <w:rsid w:val="00F07A0F"/>
    <w:rsid w:val="00F07CF0"/>
    <w:rsid w:val="00F11156"/>
    <w:rsid w:val="00F13F28"/>
    <w:rsid w:val="00F2141C"/>
    <w:rsid w:val="00F33FD2"/>
    <w:rsid w:val="00F426CB"/>
    <w:rsid w:val="00F45649"/>
    <w:rsid w:val="00F46BE0"/>
    <w:rsid w:val="00F47F6D"/>
    <w:rsid w:val="00F50452"/>
    <w:rsid w:val="00F50543"/>
    <w:rsid w:val="00F50C91"/>
    <w:rsid w:val="00F52524"/>
    <w:rsid w:val="00F529A3"/>
    <w:rsid w:val="00F55329"/>
    <w:rsid w:val="00F60483"/>
    <w:rsid w:val="00F63A95"/>
    <w:rsid w:val="00F649C5"/>
    <w:rsid w:val="00F66152"/>
    <w:rsid w:val="00F708CC"/>
    <w:rsid w:val="00F71C64"/>
    <w:rsid w:val="00F76877"/>
    <w:rsid w:val="00F923B6"/>
    <w:rsid w:val="00F93FE3"/>
    <w:rsid w:val="00F941E8"/>
    <w:rsid w:val="00F95EE3"/>
    <w:rsid w:val="00FA086D"/>
    <w:rsid w:val="00FA3925"/>
    <w:rsid w:val="00FA5387"/>
    <w:rsid w:val="00FA54F0"/>
    <w:rsid w:val="00FB3D72"/>
    <w:rsid w:val="00FB69AC"/>
    <w:rsid w:val="00FC48E3"/>
    <w:rsid w:val="00FC7003"/>
    <w:rsid w:val="00FD3F8E"/>
    <w:rsid w:val="00FD5EE5"/>
    <w:rsid w:val="00FD7411"/>
    <w:rsid w:val="00FE4AD9"/>
    <w:rsid w:val="00FE5B22"/>
    <w:rsid w:val="00FE6197"/>
    <w:rsid w:val="00FF0D66"/>
    <w:rsid w:val="00FF2E39"/>
    <w:rsid w:val="00FF6666"/>
    <w:rsid w:val="00FF6944"/>
    <w:rsid w:val="00FF6A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F60C"/>
  <w15:chartTrackingRefBased/>
  <w15:docId w15:val="{7CED9BAB-2211-46C1-BB42-DABDB9D2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9AD"/>
  </w:style>
  <w:style w:type="paragraph" w:styleId="Heading1">
    <w:name w:val="heading 1"/>
    <w:basedOn w:val="Normal"/>
    <w:next w:val="Normal"/>
    <w:link w:val="Heading1Char"/>
    <w:uiPriority w:val="9"/>
    <w:qFormat/>
    <w:rsid w:val="004C07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4C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43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32B"/>
    <w:rPr>
      <w:sz w:val="20"/>
      <w:szCs w:val="20"/>
    </w:rPr>
  </w:style>
  <w:style w:type="character" w:styleId="FootnoteReference">
    <w:name w:val="footnote reference"/>
    <w:basedOn w:val="DefaultParagraphFont"/>
    <w:uiPriority w:val="99"/>
    <w:semiHidden/>
    <w:unhideWhenUsed/>
    <w:rsid w:val="00B9432B"/>
    <w:rPr>
      <w:vertAlign w:val="superscript"/>
    </w:rPr>
  </w:style>
  <w:style w:type="paragraph" w:styleId="NormalWeb">
    <w:name w:val="Normal (Web)"/>
    <w:basedOn w:val="Normal"/>
    <w:uiPriority w:val="99"/>
    <w:unhideWhenUsed/>
    <w:rsid w:val="00B9432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B9432B"/>
    <w:rPr>
      <w:color w:val="0000FF"/>
      <w:u w:val="single"/>
    </w:rPr>
  </w:style>
  <w:style w:type="paragraph" w:styleId="ListParagraph">
    <w:name w:val="List Paragraph"/>
    <w:basedOn w:val="Normal"/>
    <w:uiPriority w:val="34"/>
    <w:qFormat/>
    <w:rsid w:val="00BC4454"/>
    <w:pPr>
      <w:ind w:left="720"/>
      <w:contextualSpacing/>
    </w:pPr>
  </w:style>
  <w:style w:type="paragraph" w:styleId="Header">
    <w:name w:val="header"/>
    <w:basedOn w:val="Normal"/>
    <w:link w:val="HeaderChar"/>
    <w:uiPriority w:val="99"/>
    <w:unhideWhenUsed/>
    <w:rsid w:val="007D2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913"/>
  </w:style>
  <w:style w:type="paragraph" w:styleId="Footer">
    <w:name w:val="footer"/>
    <w:basedOn w:val="Normal"/>
    <w:link w:val="FooterChar"/>
    <w:uiPriority w:val="99"/>
    <w:unhideWhenUsed/>
    <w:rsid w:val="007D2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913"/>
  </w:style>
  <w:style w:type="paragraph" w:customStyle="1" w:styleId="JUGMENTNUMBERED">
    <w:name w:val="JUGMENT NUMBERED"/>
    <w:basedOn w:val="Normal"/>
    <w:uiPriority w:val="99"/>
    <w:rsid w:val="00837241"/>
    <w:pPr>
      <w:numPr>
        <w:numId w:val="3"/>
      </w:numPr>
      <w:spacing w:after="0" w:line="480" w:lineRule="auto"/>
      <w:jc w:val="both"/>
    </w:pPr>
    <w:rPr>
      <w:rFonts w:ascii="Times New Roman" w:eastAsia="Times New Roman" w:hAnsi="Times New Roman" w:cs="Times New Roman"/>
      <w:sz w:val="26"/>
      <w:szCs w:val="26"/>
      <w:lang w:eastAsia="en-ZA"/>
    </w:rPr>
  </w:style>
  <w:style w:type="paragraph" w:styleId="BalloonText">
    <w:name w:val="Balloon Text"/>
    <w:basedOn w:val="Normal"/>
    <w:link w:val="BalloonTextChar"/>
    <w:uiPriority w:val="99"/>
    <w:semiHidden/>
    <w:unhideWhenUsed/>
    <w:rsid w:val="00FC7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003"/>
    <w:rPr>
      <w:rFonts w:ascii="Segoe UI" w:hAnsi="Segoe UI" w:cs="Segoe UI"/>
      <w:sz w:val="18"/>
      <w:szCs w:val="18"/>
    </w:rPr>
  </w:style>
  <w:style w:type="character" w:customStyle="1" w:styleId="Heading2Char">
    <w:name w:val="Heading 2 Char"/>
    <w:basedOn w:val="DefaultParagraphFont"/>
    <w:link w:val="Heading2"/>
    <w:uiPriority w:val="9"/>
    <w:rsid w:val="00C74CD9"/>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025DAC"/>
    <w:pPr>
      <w:spacing w:after="0" w:line="240" w:lineRule="auto"/>
    </w:pPr>
  </w:style>
  <w:style w:type="character" w:customStyle="1" w:styleId="UnresolvedMention1">
    <w:name w:val="Unresolved Mention1"/>
    <w:basedOn w:val="DefaultParagraphFont"/>
    <w:uiPriority w:val="99"/>
    <w:semiHidden/>
    <w:unhideWhenUsed/>
    <w:rsid w:val="00946B76"/>
    <w:rPr>
      <w:color w:val="605E5C"/>
      <w:shd w:val="clear" w:color="auto" w:fill="E1DFDD"/>
    </w:rPr>
  </w:style>
  <w:style w:type="character" w:styleId="CommentReference">
    <w:name w:val="annotation reference"/>
    <w:basedOn w:val="DefaultParagraphFont"/>
    <w:uiPriority w:val="99"/>
    <w:semiHidden/>
    <w:unhideWhenUsed/>
    <w:rsid w:val="00042C96"/>
    <w:rPr>
      <w:sz w:val="16"/>
      <w:szCs w:val="16"/>
    </w:rPr>
  </w:style>
  <w:style w:type="paragraph" w:styleId="CommentText">
    <w:name w:val="annotation text"/>
    <w:basedOn w:val="Normal"/>
    <w:link w:val="CommentTextChar"/>
    <w:uiPriority w:val="99"/>
    <w:unhideWhenUsed/>
    <w:rsid w:val="00042C96"/>
    <w:pPr>
      <w:spacing w:line="240" w:lineRule="auto"/>
    </w:pPr>
    <w:rPr>
      <w:sz w:val="20"/>
      <w:szCs w:val="20"/>
    </w:rPr>
  </w:style>
  <w:style w:type="character" w:customStyle="1" w:styleId="CommentTextChar">
    <w:name w:val="Comment Text Char"/>
    <w:basedOn w:val="DefaultParagraphFont"/>
    <w:link w:val="CommentText"/>
    <w:uiPriority w:val="99"/>
    <w:rsid w:val="00042C96"/>
    <w:rPr>
      <w:sz w:val="20"/>
      <w:szCs w:val="20"/>
    </w:rPr>
  </w:style>
  <w:style w:type="paragraph" w:styleId="CommentSubject">
    <w:name w:val="annotation subject"/>
    <w:basedOn w:val="CommentText"/>
    <w:next w:val="CommentText"/>
    <w:link w:val="CommentSubjectChar"/>
    <w:uiPriority w:val="99"/>
    <w:semiHidden/>
    <w:unhideWhenUsed/>
    <w:rsid w:val="00042C96"/>
    <w:rPr>
      <w:b/>
      <w:bCs/>
    </w:rPr>
  </w:style>
  <w:style w:type="character" w:customStyle="1" w:styleId="CommentSubjectChar">
    <w:name w:val="Comment Subject Char"/>
    <w:basedOn w:val="CommentTextChar"/>
    <w:link w:val="CommentSubject"/>
    <w:uiPriority w:val="99"/>
    <w:semiHidden/>
    <w:rsid w:val="00042C96"/>
    <w:rPr>
      <w:b/>
      <w:bCs/>
      <w:sz w:val="20"/>
      <w:szCs w:val="20"/>
    </w:rPr>
  </w:style>
  <w:style w:type="paragraph" w:styleId="NoSpacing">
    <w:name w:val="No Spacing"/>
    <w:uiPriority w:val="1"/>
    <w:qFormat/>
    <w:rsid w:val="00704098"/>
    <w:pPr>
      <w:spacing w:after="0" w:line="240" w:lineRule="auto"/>
    </w:pPr>
  </w:style>
  <w:style w:type="character" w:customStyle="1" w:styleId="Heading1Char">
    <w:name w:val="Heading 1 Char"/>
    <w:basedOn w:val="DefaultParagraphFont"/>
    <w:link w:val="Heading1"/>
    <w:uiPriority w:val="9"/>
    <w:rsid w:val="004C07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3334">
      <w:bodyDiv w:val="1"/>
      <w:marLeft w:val="0"/>
      <w:marRight w:val="0"/>
      <w:marTop w:val="0"/>
      <w:marBottom w:val="0"/>
      <w:divBdr>
        <w:top w:val="none" w:sz="0" w:space="0" w:color="auto"/>
        <w:left w:val="none" w:sz="0" w:space="0" w:color="auto"/>
        <w:bottom w:val="none" w:sz="0" w:space="0" w:color="auto"/>
        <w:right w:val="none" w:sz="0" w:space="0" w:color="auto"/>
      </w:divBdr>
    </w:div>
    <w:div w:id="472597754">
      <w:bodyDiv w:val="1"/>
      <w:marLeft w:val="0"/>
      <w:marRight w:val="0"/>
      <w:marTop w:val="0"/>
      <w:marBottom w:val="0"/>
      <w:divBdr>
        <w:top w:val="none" w:sz="0" w:space="0" w:color="auto"/>
        <w:left w:val="none" w:sz="0" w:space="0" w:color="auto"/>
        <w:bottom w:val="none" w:sz="0" w:space="0" w:color="auto"/>
        <w:right w:val="none" w:sz="0" w:space="0" w:color="auto"/>
      </w:divBdr>
    </w:div>
    <w:div w:id="533689204">
      <w:bodyDiv w:val="1"/>
      <w:marLeft w:val="0"/>
      <w:marRight w:val="0"/>
      <w:marTop w:val="0"/>
      <w:marBottom w:val="0"/>
      <w:divBdr>
        <w:top w:val="none" w:sz="0" w:space="0" w:color="auto"/>
        <w:left w:val="none" w:sz="0" w:space="0" w:color="auto"/>
        <w:bottom w:val="none" w:sz="0" w:space="0" w:color="auto"/>
        <w:right w:val="none" w:sz="0" w:space="0" w:color="auto"/>
      </w:divBdr>
    </w:div>
    <w:div w:id="550578238">
      <w:bodyDiv w:val="1"/>
      <w:marLeft w:val="0"/>
      <w:marRight w:val="0"/>
      <w:marTop w:val="0"/>
      <w:marBottom w:val="0"/>
      <w:divBdr>
        <w:top w:val="none" w:sz="0" w:space="0" w:color="auto"/>
        <w:left w:val="none" w:sz="0" w:space="0" w:color="auto"/>
        <w:bottom w:val="none" w:sz="0" w:space="0" w:color="auto"/>
        <w:right w:val="none" w:sz="0" w:space="0" w:color="auto"/>
      </w:divBdr>
    </w:div>
    <w:div w:id="685401328">
      <w:bodyDiv w:val="1"/>
      <w:marLeft w:val="0"/>
      <w:marRight w:val="0"/>
      <w:marTop w:val="0"/>
      <w:marBottom w:val="0"/>
      <w:divBdr>
        <w:top w:val="none" w:sz="0" w:space="0" w:color="auto"/>
        <w:left w:val="none" w:sz="0" w:space="0" w:color="auto"/>
        <w:bottom w:val="none" w:sz="0" w:space="0" w:color="auto"/>
        <w:right w:val="none" w:sz="0" w:space="0" w:color="auto"/>
      </w:divBdr>
    </w:div>
    <w:div w:id="781654761">
      <w:bodyDiv w:val="1"/>
      <w:marLeft w:val="0"/>
      <w:marRight w:val="0"/>
      <w:marTop w:val="0"/>
      <w:marBottom w:val="0"/>
      <w:divBdr>
        <w:top w:val="none" w:sz="0" w:space="0" w:color="auto"/>
        <w:left w:val="none" w:sz="0" w:space="0" w:color="auto"/>
        <w:bottom w:val="none" w:sz="0" w:space="0" w:color="auto"/>
        <w:right w:val="none" w:sz="0" w:space="0" w:color="auto"/>
      </w:divBdr>
    </w:div>
    <w:div w:id="783497638">
      <w:bodyDiv w:val="1"/>
      <w:marLeft w:val="0"/>
      <w:marRight w:val="0"/>
      <w:marTop w:val="0"/>
      <w:marBottom w:val="0"/>
      <w:divBdr>
        <w:top w:val="none" w:sz="0" w:space="0" w:color="auto"/>
        <w:left w:val="none" w:sz="0" w:space="0" w:color="auto"/>
        <w:bottom w:val="none" w:sz="0" w:space="0" w:color="auto"/>
        <w:right w:val="none" w:sz="0" w:space="0" w:color="auto"/>
      </w:divBdr>
    </w:div>
    <w:div w:id="784231830">
      <w:bodyDiv w:val="1"/>
      <w:marLeft w:val="0"/>
      <w:marRight w:val="0"/>
      <w:marTop w:val="0"/>
      <w:marBottom w:val="0"/>
      <w:divBdr>
        <w:top w:val="none" w:sz="0" w:space="0" w:color="auto"/>
        <w:left w:val="none" w:sz="0" w:space="0" w:color="auto"/>
        <w:bottom w:val="none" w:sz="0" w:space="0" w:color="auto"/>
        <w:right w:val="none" w:sz="0" w:space="0" w:color="auto"/>
      </w:divBdr>
    </w:div>
    <w:div w:id="789132648">
      <w:bodyDiv w:val="1"/>
      <w:marLeft w:val="0"/>
      <w:marRight w:val="0"/>
      <w:marTop w:val="0"/>
      <w:marBottom w:val="0"/>
      <w:divBdr>
        <w:top w:val="none" w:sz="0" w:space="0" w:color="auto"/>
        <w:left w:val="none" w:sz="0" w:space="0" w:color="auto"/>
        <w:bottom w:val="none" w:sz="0" w:space="0" w:color="auto"/>
        <w:right w:val="none" w:sz="0" w:space="0" w:color="auto"/>
      </w:divBdr>
    </w:div>
    <w:div w:id="820196823">
      <w:bodyDiv w:val="1"/>
      <w:marLeft w:val="0"/>
      <w:marRight w:val="0"/>
      <w:marTop w:val="0"/>
      <w:marBottom w:val="0"/>
      <w:divBdr>
        <w:top w:val="none" w:sz="0" w:space="0" w:color="auto"/>
        <w:left w:val="none" w:sz="0" w:space="0" w:color="auto"/>
        <w:bottom w:val="none" w:sz="0" w:space="0" w:color="auto"/>
        <w:right w:val="none" w:sz="0" w:space="0" w:color="auto"/>
      </w:divBdr>
    </w:div>
    <w:div w:id="1139229777">
      <w:bodyDiv w:val="1"/>
      <w:marLeft w:val="0"/>
      <w:marRight w:val="0"/>
      <w:marTop w:val="0"/>
      <w:marBottom w:val="0"/>
      <w:divBdr>
        <w:top w:val="none" w:sz="0" w:space="0" w:color="auto"/>
        <w:left w:val="none" w:sz="0" w:space="0" w:color="auto"/>
        <w:bottom w:val="none" w:sz="0" w:space="0" w:color="auto"/>
        <w:right w:val="none" w:sz="0" w:space="0" w:color="auto"/>
      </w:divBdr>
    </w:div>
    <w:div w:id="1164779821">
      <w:bodyDiv w:val="1"/>
      <w:marLeft w:val="0"/>
      <w:marRight w:val="0"/>
      <w:marTop w:val="0"/>
      <w:marBottom w:val="0"/>
      <w:divBdr>
        <w:top w:val="none" w:sz="0" w:space="0" w:color="auto"/>
        <w:left w:val="none" w:sz="0" w:space="0" w:color="auto"/>
        <w:bottom w:val="none" w:sz="0" w:space="0" w:color="auto"/>
        <w:right w:val="none" w:sz="0" w:space="0" w:color="auto"/>
      </w:divBdr>
    </w:div>
    <w:div w:id="1215580523">
      <w:bodyDiv w:val="1"/>
      <w:marLeft w:val="0"/>
      <w:marRight w:val="0"/>
      <w:marTop w:val="0"/>
      <w:marBottom w:val="0"/>
      <w:divBdr>
        <w:top w:val="none" w:sz="0" w:space="0" w:color="auto"/>
        <w:left w:val="none" w:sz="0" w:space="0" w:color="auto"/>
        <w:bottom w:val="none" w:sz="0" w:space="0" w:color="auto"/>
        <w:right w:val="none" w:sz="0" w:space="0" w:color="auto"/>
      </w:divBdr>
    </w:div>
    <w:div w:id="1310594633">
      <w:bodyDiv w:val="1"/>
      <w:marLeft w:val="0"/>
      <w:marRight w:val="0"/>
      <w:marTop w:val="0"/>
      <w:marBottom w:val="0"/>
      <w:divBdr>
        <w:top w:val="none" w:sz="0" w:space="0" w:color="auto"/>
        <w:left w:val="none" w:sz="0" w:space="0" w:color="auto"/>
        <w:bottom w:val="none" w:sz="0" w:space="0" w:color="auto"/>
        <w:right w:val="none" w:sz="0" w:space="0" w:color="auto"/>
      </w:divBdr>
    </w:div>
    <w:div w:id="1331759622">
      <w:bodyDiv w:val="1"/>
      <w:marLeft w:val="0"/>
      <w:marRight w:val="0"/>
      <w:marTop w:val="0"/>
      <w:marBottom w:val="0"/>
      <w:divBdr>
        <w:top w:val="none" w:sz="0" w:space="0" w:color="auto"/>
        <w:left w:val="none" w:sz="0" w:space="0" w:color="auto"/>
        <w:bottom w:val="none" w:sz="0" w:space="0" w:color="auto"/>
        <w:right w:val="none" w:sz="0" w:space="0" w:color="auto"/>
      </w:divBdr>
    </w:div>
    <w:div w:id="1473131290">
      <w:bodyDiv w:val="1"/>
      <w:marLeft w:val="0"/>
      <w:marRight w:val="0"/>
      <w:marTop w:val="0"/>
      <w:marBottom w:val="0"/>
      <w:divBdr>
        <w:top w:val="none" w:sz="0" w:space="0" w:color="auto"/>
        <w:left w:val="none" w:sz="0" w:space="0" w:color="auto"/>
        <w:bottom w:val="none" w:sz="0" w:space="0" w:color="auto"/>
        <w:right w:val="none" w:sz="0" w:space="0" w:color="auto"/>
      </w:divBdr>
    </w:div>
    <w:div w:id="1577593090">
      <w:bodyDiv w:val="1"/>
      <w:marLeft w:val="0"/>
      <w:marRight w:val="0"/>
      <w:marTop w:val="0"/>
      <w:marBottom w:val="0"/>
      <w:divBdr>
        <w:top w:val="none" w:sz="0" w:space="0" w:color="auto"/>
        <w:left w:val="none" w:sz="0" w:space="0" w:color="auto"/>
        <w:bottom w:val="none" w:sz="0" w:space="0" w:color="auto"/>
        <w:right w:val="none" w:sz="0" w:space="0" w:color="auto"/>
      </w:divBdr>
    </w:div>
    <w:div w:id="1682775902">
      <w:bodyDiv w:val="1"/>
      <w:marLeft w:val="0"/>
      <w:marRight w:val="0"/>
      <w:marTop w:val="0"/>
      <w:marBottom w:val="0"/>
      <w:divBdr>
        <w:top w:val="none" w:sz="0" w:space="0" w:color="auto"/>
        <w:left w:val="none" w:sz="0" w:space="0" w:color="auto"/>
        <w:bottom w:val="none" w:sz="0" w:space="0" w:color="auto"/>
        <w:right w:val="none" w:sz="0" w:space="0" w:color="auto"/>
      </w:divBdr>
    </w:div>
    <w:div w:id="1828397971">
      <w:bodyDiv w:val="1"/>
      <w:marLeft w:val="0"/>
      <w:marRight w:val="0"/>
      <w:marTop w:val="0"/>
      <w:marBottom w:val="0"/>
      <w:divBdr>
        <w:top w:val="none" w:sz="0" w:space="0" w:color="auto"/>
        <w:left w:val="none" w:sz="0" w:space="0" w:color="auto"/>
        <w:bottom w:val="none" w:sz="0" w:space="0" w:color="auto"/>
        <w:right w:val="none" w:sz="0" w:space="0" w:color="auto"/>
      </w:divBdr>
    </w:div>
    <w:div w:id="1965890989">
      <w:bodyDiv w:val="1"/>
      <w:marLeft w:val="0"/>
      <w:marRight w:val="0"/>
      <w:marTop w:val="0"/>
      <w:marBottom w:val="0"/>
      <w:divBdr>
        <w:top w:val="none" w:sz="0" w:space="0" w:color="auto"/>
        <w:left w:val="none" w:sz="0" w:space="0" w:color="auto"/>
        <w:bottom w:val="none" w:sz="0" w:space="0" w:color="auto"/>
        <w:right w:val="none" w:sz="0" w:space="0" w:color="auto"/>
      </w:divBdr>
    </w:div>
    <w:div w:id="2061128165">
      <w:bodyDiv w:val="1"/>
      <w:marLeft w:val="0"/>
      <w:marRight w:val="0"/>
      <w:marTop w:val="0"/>
      <w:marBottom w:val="0"/>
      <w:divBdr>
        <w:top w:val="none" w:sz="0" w:space="0" w:color="auto"/>
        <w:left w:val="none" w:sz="0" w:space="0" w:color="auto"/>
        <w:bottom w:val="none" w:sz="0" w:space="0" w:color="auto"/>
        <w:right w:val="none" w:sz="0" w:space="0" w:color="auto"/>
      </w:divBdr>
    </w:div>
    <w:div w:id="2061978058">
      <w:bodyDiv w:val="1"/>
      <w:marLeft w:val="0"/>
      <w:marRight w:val="0"/>
      <w:marTop w:val="0"/>
      <w:marBottom w:val="0"/>
      <w:divBdr>
        <w:top w:val="none" w:sz="0" w:space="0" w:color="auto"/>
        <w:left w:val="none" w:sz="0" w:space="0" w:color="auto"/>
        <w:bottom w:val="none" w:sz="0" w:space="0" w:color="auto"/>
        <w:right w:val="none" w:sz="0" w:space="0" w:color="auto"/>
      </w:divBdr>
    </w:div>
    <w:div w:id="2086026946">
      <w:bodyDiv w:val="1"/>
      <w:marLeft w:val="0"/>
      <w:marRight w:val="0"/>
      <w:marTop w:val="0"/>
      <w:marBottom w:val="0"/>
      <w:divBdr>
        <w:top w:val="none" w:sz="0" w:space="0" w:color="auto"/>
        <w:left w:val="none" w:sz="0" w:space="0" w:color="auto"/>
        <w:bottom w:val="none" w:sz="0" w:space="0" w:color="auto"/>
        <w:right w:val="none" w:sz="0" w:space="0" w:color="auto"/>
      </w:divBdr>
    </w:div>
    <w:div w:id="2105101515">
      <w:bodyDiv w:val="1"/>
      <w:marLeft w:val="0"/>
      <w:marRight w:val="0"/>
      <w:marTop w:val="0"/>
      <w:marBottom w:val="0"/>
      <w:divBdr>
        <w:top w:val="none" w:sz="0" w:space="0" w:color="auto"/>
        <w:left w:val="none" w:sz="0" w:space="0" w:color="auto"/>
        <w:bottom w:val="none" w:sz="0" w:space="0" w:color="auto"/>
        <w:right w:val="none" w:sz="0" w:space="0" w:color="auto"/>
      </w:divBdr>
    </w:div>
    <w:div w:id="21129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cgi-bin/LawCite?cit=2001%20%282%29%20SA%20329" TargetMode="External"/><Relationship Id="rId5" Type="http://schemas.openxmlformats.org/officeDocument/2006/relationships/webSettings" Target="webSettings.xml"/><Relationship Id="rId10" Type="http://schemas.openxmlformats.org/officeDocument/2006/relationships/hyperlink" Target="http://www.saflii.org/za/legis/consol_act/sca2013224/" TargetMode="External"/><Relationship Id="rId4" Type="http://schemas.openxmlformats.org/officeDocument/2006/relationships/settings" Target="settings.xml"/><Relationship Id="rId9" Type="http://schemas.openxmlformats.org/officeDocument/2006/relationships/hyperlink" Target="http://www.saflii.org/za/legis/consol_act/sca2013224/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981F8-B53C-41BA-A6E0-BB069ED7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6178</Words>
  <Characters>35220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Abongile Tshete</dc:creator>
  <cp:keywords/>
  <dc:description/>
  <cp:lastModifiedBy>Mokone</cp:lastModifiedBy>
  <cp:revision>2</cp:revision>
  <cp:lastPrinted>2023-06-12T12:14:00Z</cp:lastPrinted>
  <dcterms:created xsi:type="dcterms:W3CDTF">2023-06-23T07:53:00Z</dcterms:created>
  <dcterms:modified xsi:type="dcterms:W3CDTF">2023-06-23T07:53:00Z</dcterms:modified>
</cp:coreProperties>
</file>