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88DC" w14:textId="77777777" w:rsidR="001875B9" w:rsidRDefault="001875B9" w:rsidP="001875B9">
      <w:pPr>
        <w:spacing w:line="360" w:lineRule="auto"/>
        <w:jc w:val="center"/>
        <w:rPr>
          <w:rFonts w:ascii="Arial" w:hAnsi="Arial" w:cs="Arial"/>
          <w:b/>
          <w:bCs/>
          <w:sz w:val="24"/>
          <w:szCs w:val="24"/>
        </w:rPr>
      </w:pPr>
      <w:bookmarkStart w:id="0" w:name="_GoBack"/>
      <w:bookmarkEnd w:id="0"/>
    </w:p>
    <w:p w14:paraId="400E6020" w14:textId="77777777" w:rsidR="001875B9" w:rsidRPr="00B05C5F" w:rsidRDefault="001875B9" w:rsidP="001875B9">
      <w:pPr>
        <w:widowControl w:val="0"/>
        <w:spacing w:after="0" w:line="360" w:lineRule="auto"/>
        <w:jc w:val="center"/>
        <w:rPr>
          <w:rFonts w:ascii="Arial" w:eastAsia="Times New Roman" w:hAnsi="Arial" w:cs="Arial"/>
          <w:sz w:val="24"/>
          <w:szCs w:val="24"/>
        </w:rPr>
      </w:pPr>
      <w:r w:rsidRPr="00B05C5F">
        <w:rPr>
          <w:rFonts w:ascii="Arial" w:eastAsia="Times New Roman" w:hAnsi="Arial" w:cs="Arial"/>
          <w:noProof/>
          <w:sz w:val="24"/>
          <w:szCs w:val="24"/>
          <w:lang w:eastAsia="en-ZA"/>
        </w:rPr>
        <w:drawing>
          <wp:inline distT="0" distB="0" distL="0" distR="0" wp14:anchorId="6FC163D5" wp14:editId="691FC668">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028A7D60" w14:textId="77777777" w:rsidR="001875B9" w:rsidRPr="00B05C5F" w:rsidRDefault="001875B9" w:rsidP="001875B9">
      <w:pPr>
        <w:widowControl w:val="0"/>
        <w:spacing w:after="0" w:line="360" w:lineRule="auto"/>
        <w:jc w:val="center"/>
        <w:rPr>
          <w:rFonts w:ascii="Arial" w:eastAsia="Times New Roman" w:hAnsi="Arial" w:cs="Arial"/>
          <w:b/>
          <w:sz w:val="24"/>
          <w:szCs w:val="24"/>
        </w:rPr>
      </w:pPr>
      <w:r w:rsidRPr="00B05C5F">
        <w:rPr>
          <w:rFonts w:ascii="Arial" w:eastAsia="Times New Roman" w:hAnsi="Arial" w:cs="Arial"/>
          <w:b/>
          <w:sz w:val="24"/>
          <w:szCs w:val="24"/>
        </w:rPr>
        <w:t>IN THE HIGH COURT OF SOUTH AFRICA</w:t>
      </w:r>
    </w:p>
    <w:p w14:paraId="15F885DF" w14:textId="77777777" w:rsidR="001875B9" w:rsidRPr="00B05C5F" w:rsidRDefault="001875B9" w:rsidP="001875B9">
      <w:pPr>
        <w:widowControl w:val="0"/>
        <w:tabs>
          <w:tab w:val="right" w:pos="9213"/>
        </w:tabs>
        <w:spacing w:line="360" w:lineRule="auto"/>
        <w:jc w:val="center"/>
        <w:rPr>
          <w:rFonts w:ascii="Arial" w:hAnsi="Arial" w:cs="Arial"/>
          <w:b/>
          <w:sz w:val="24"/>
          <w:szCs w:val="24"/>
        </w:rPr>
      </w:pPr>
      <w:r>
        <w:rPr>
          <w:rFonts w:ascii="Arial" w:hAnsi="Arial" w:cs="Arial"/>
          <w:b/>
          <w:sz w:val="24"/>
          <w:szCs w:val="24"/>
        </w:rPr>
        <w:t>(</w:t>
      </w:r>
      <w:r w:rsidRPr="00B05C5F">
        <w:rPr>
          <w:rFonts w:ascii="Arial" w:hAnsi="Arial" w:cs="Arial"/>
          <w:b/>
          <w:sz w:val="24"/>
          <w:szCs w:val="24"/>
        </w:rPr>
        <w:t xml:space="preserve">EASTERN CAPE DIVISION, </w:t>
      </w:r>
      <w:r>
        <w:rPr>
          <w:rFonts w:ascii="Arial" w:hAnsi="Arial" w:cs="Arial"/>
          <w:b/>
          <w:sz w:val="24"/>
          <w:szCs w:val="24"/>
        </w:rPr>
        <w:t>BHISHO)</w:t>
      </w:r>
    </w:p>
    <w:p w14:paraId="7A34861D" w14:textId="0A8A3EC1" w:rsidR="001875B9" w:rsidRDefault="001875B9" w:rsidP="001875B9">
      <w:pPr>
        <w:widowControl w:val="0"/>
        <w:tabs>
          <w:tab w:val="right" w:pos="9213"/>
        </w:tabs>
        <w:spacing w:line="240" w:lineRule="auto"/>
        <w:rPr>
          <w:rFonts w:ascii="Arial" w:hAnsi="Arial" w:cs="Arial"/>
          <w:sz w:val="24"/>
          <w:szCs w:val="24"/>
        </w:rPr>
      </w:pPr>
      <w:r w:rsidRPr="00B05C5F">
        <w:rPr>
          <w:rFonts w:ascii="Arial" w:hAnsi="Arial" w:cs="Arial"/>
          <w:sz w:val="24"/>
          <w:szCs w:val="24"/>
        </w:rPr>
        <w:tab/>
        <w:t xml:space="preserve">CASE NO. </w:t>
      </w:r>
      <w:r>
        <w:rPr>
          <w:rFonts w:ascii="Arial" w:hAnsi="Arial" w:cs="Arial"/>
          <w:sz w:val="24"/>
          <w:szCs w:val="24"/>
        </w:rPr>
        <w:t>751/2020</w:t>
      </w:r>
    </w:p>
    <w:p w14:paraId="4C0A1007" w14:textId="77777777" w:rsidR="001875B9" w:rsidRDefault="001875B9" w:rsidP="001875B9">
      <w:pPr>
        <w:widowControl w:val="0"/>
        <w:tabs>
          <w:tab w:val="right" w:pos="9213"/>
        </w:tabs>
        <w:spacing w:line="240" w:lineRule="auto"/>
        <w:rPr>
          <w:rFonts w:ascii="Arial" w:hAnsi="Arial" w:cs="Arial"/>
          <w:sz w:val="24"/>
          <w:szCs w:val="24"/>
        </w:rPr>
      </w:pPr>
    </w:p>
    <w:p w14:paraId="3915C25F" w14:textId="77777777" w:rsidR="001875B9" w:rsidRDefault="001875B9" w:rsidP="001875B9">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12CE8A96" w14:textId="77777777" w:rsidR="001875B9" w:rsidRDefault="001875B9" w:rsidP="001875B9">
      <w:pPr>
        <w:widowControl w:val="0"/>
        <w:tabs>
          <w:tab w:val="right" w:pos="9356"/>
        </w:tabs>
        <w:spacing w:line="240" w:lineRule="auto"/>
        <w:rPr>
          <w:rFonts w:ascii="Arial" w:hAnsi="Arial" w:cs="Arial"/>
          <w:b/>
          <w:bCs/>
          <w:sz w:val="24"/>
          <w:szCs w:val="24"/>
        </w:rPr>
      </w:pPr>
    </w:p>
    <w:p w14:paraId="0CFAA37A" w14:textId="77777777" w:rsidR="001875B9" w:rsidRDefault="001875B9" w:rsidP="001875B9">
      <w:pPr>
        <w:widowControl w:val="0"/>
        <w:tabs>
          <w:tab w:val="right" w:pos="9356"/>
        </w:tabs>
        <w:spacing w:line="240" w:lineRule="auto"/>
        <w:rPr>
          <w:rFonts w:ascii="Arial" w:hAnsi="Arial" w:cs="Arial"/>
          <w:b/>
          <w:bCs/>
          <w:sz w:val="24"/>
          <w:szCs w:val="24"/>
        </w:rPr>
      </w:pPr>
      <w:r>
        <w:rPr>
          <w:rFonts w:ascii="Arial" w:hAnsi="Arial" w:cs="Arial"/>
          <w:b/>
          <w:bCs/>
          <w:sz w:val="24"/>
          <w:szCs w:val="24"/>
        </w:rPr>
        <w:t xml:space="preserve">MEC, DEPARTMENT OF PUBLIC WORKS </w:t>
      </w:r>
    </w:p>
    <w:p w14:paraId="18A74854" w14:textId="2A98D8B3" w:rsidR="001875B9" w:rsidRDefault="001875B9" w:rsidP="001875B9">
      <w:pPr>
        <w:widowControl w:val="0"/>
        <w:tabs>
          <w:tab w:val="right" w:pos="9356"/>
        </w:tabs>
        <w:spacing w:line="240" w:lineRule="auto"/>
        <w:rPr>
          <w:rFonts w:ascii="Arial" w:hAnsi="Arial" w:cs="Arial"/>
          <w:b/>
          <w:sz w:val="24"/>
          <w:szCs w:val="24"/>
        </w:rPr>
      </w:pPr>
      <w:r>
        <w:rPr>
          <w:rFonts w:ascii="Arial" w:hAnsi="Arial" w:cs="Arial"/>
          <w:b/>
          <w:bCs/>
          <w:sz w:val="24"/>
          <w:szCs w:val="24"/>
        </w:rPr>
        <w:t>EASTERN CAPE PROVINCE</w:t>
      </w:r>
      <w:r w:rsidRPr="00B05C5F">
        <w:rPr>
          <w:rFonts w:ascii="Arial" w:hAnsi="Arial" w:cs="Arial"/>
          <w:b/>
          <w:sz w:val="24"/>
          <w:szCs w:val="24"/>
        </w:rPr>
        <w:tab/>
        <w:t>App</w:t>
      </w:r>
      <w:r>
        <w:rPr>
          <w:rFonts w:ascii="Arial" w:hAnsi="Arial" w:cs="Arial"/>
          <w:b/>
          <w:sz w:val="24"/>
          <w:szCs w:val="24"/>
        </w:rPr>
        <w:t>licant</w:t>
      </w:r>
    </w:p>
    <w:p w14:paraId="648E7BF4" w14:textId="77777777" w:rsidR="001875B9" w:rsidRDefault="001875B9" w:rsidP="001875B9">
      <w:pPr>
        <w:widowControl w:val="0"/>
        <w:tabs>
          <w:tab w:val="right" w:pos="8931"/>
        </w:tabs>
        <w:spacing w:line="240" w:lineRule="auto"/>
        <w:rPr>
          <w:rFonts w:ascii="Arial" w:hAnsi="Arial" w:cs="Arial"/>
          <w:b/>
          <w:sz w:val="24"/>
          <w:szCs w:val="24"/>
        </w:rPr>
      </w:pPr>
    </w:p>
    <w:p w14:paraId="49363DBF" w14:textId="77777777" w:rsidR="001875B9" w:rsidRDefault="001875B9" w:rsidP="001875B9">
      <w:pPr>
        <w:widowControl w:val="0"/>
        <w:tabs>
          <w:tab w:val="right" w:pos="9213"/>
        </w:tabs>
        <w:spacing w:line="240" w:lineRule="auto"/>
        <w:rPr>
          <w:rFonts w:ascii="Arial" w:hAnsi="Arial" w:cs="Arial"/>
          <w:b/>
          <w:sz w:val="24"/>
          <w:szCs w:val="24"/>
        </w:rPr>
      </w:pPr>
      <w:r>
        <w:rPr>
          <w:rFonts w:ascii="Arial" w:hAnsi="Arial" w:cs="Arial"/>
          <w:b/>
          <w:sz w:val="24"/>
          <w:szCs w:val="24"/>
        </w:rPr>
        <w:t xml:space="preserve">and </w:t>
      </w:r>
    </w:p>
    <w:p w14:paraId="40EB96C3" w14:textId="77777777" w:rsidR="001875B9" w:rsidRDefault="001875B9" w:rsidP="001875B9">
      <w:pPr>
        <w:widowControl w:val="0"/>
        <w:tabs>
          <w:tab w:val="right" w:pos="9213"/>
        </w:tabs>
        <w:spacing w:line="240" w:lineRule="auto"/>
        <w:rPr>
          <w:rFonts w:ascii="Arial" w:hAnsi="Arial" w:cs="Arial"/>
          <w:b/>
          <w:sz w:val="24"/>
          <w:szCs w:val="24"/>
        </w:rPr>
      </w:pPr>
    </w:p>
    <w:p w14:paraId="29039088" w14:textId="53EF30F5" w:rsidR="001875B9" w:rsidRDefault="001875B9" w:rsidP="001875B9">
      <w:pPr>
        <w:widowControl w:val="0"/>
        <w:tabs>
          <w:tab w:val="right" w:pos="9356"/>
        </w:tabs>
        <w:spacing w:line="240" w:lineRule="auto"/>
        <w:rPr>
          <w:rFonts w:ascii="Arial" w:hAnsi="Arial" w:cs="Arial"/>
          <w:sz w:val="24"/>
          <w:szCs w:val="24"/>
        </w:rPr>
      </w:pPr>
      <w:r>
        <w:rPr>
          <w:rFonts w:ascii="Arial" w:hAnsi="Arial" w:cs="Arial"/>
          <w:b/>
          <w:sz w:val="24"/>
          <w:szCs w:val="24"/>
        </w:rPr>
        <w:t>BONIWE V MOLESHE</w:t>
      </w:r>
      <w:r>
        <w:rPr>
          <w:rFonts w:ascii="Arial" w:hAnsi="Arial" w:cs="Arial"/>
          <w:b/>
          <w:sz w:val="24"/>
          <w:szCs w:val="24"/>
        </w:rPr>
        <w:tab/>
        <w:t>Respondent</w:t>
      </w:r>
    </w:p>
    <w:p w14:paraId="08CC7525" w14:textId="77777777" w:rsidR="001875B9" w:rsidRPr="00057A22" w:rsidRDefault="001875B9" w:rsidP="001875B9">
      <w:pPr>
        <w:spacing w:line="360" w:lineRule="auto"/>
        <w:rPr>
          <w:rFonts w:ascii="Arial" w:hAnsi="Arial" w:cs="Arial"/>
          <w:sz w:val="24"/>
          <w:szCs w:val="24"/>
        </w:rPr>
      </w:pPr>
      <w:r w:rsidRPr="00057A22">
        <w:rPr>
          <w:rFonts w:ascii="Arial" w:hAnsi="Arial" w:cs="Arial"/>
          <w:sz w:val="24"/>
          <w:szCs w:val="24"/>
        </w:rPr>
        <w:t>______________________________________________________________________</w:t>
      </w:r>
    </w:p>
    <w:p w14:paraId="26B6C7B6" w14:textId="77777777" w:rsidR="001875B9" w:rsidRPr="00057A22" w:rsidRDefault="001875B9" w:rsidP="001875B9">
      <w:pPr>
        <w:spacing w:line="360" w:lineRule="auto"/>
        <w:jc w:val="center"/>
        <w:rPr>
          <w:rFonts w:ascii="Arial" w:hAnsi="Arial" w:cs="Arial"/>
          <w:b/>
          <w:bCs/>
          <w:sz w:val="24"/>
          <w:szCs w:val="24"/>
        </w:rPr>
      </w:pPr>
      <w:r w:rsidRPr="00057A22">
        <w:rPr>
          <w:rFonts w:ascii="Arial" w:hAnsi="Arial" w:cs="Arial"/>
          <w:b/>
          <w:bCs/>
          <w:sz w:val="24"/>
          <w:szCs w:val="24"/>
        </w:rPr>
        <w:t>JUDGMENT</w:t>
      </w:r>
    </w:p>
    <w:p w14:paraId="4D185E98" w14:textId="77777777" w:rsidR="001875B9" w:rsidRPr="00057A22" w:rsidRDefault="001875B9" w:rsidP="001875B9">
      <w:pPr>
        <w:spacing w:line="360" w:lineRule="auto"/>
        <w:rPr>
          <w:rFonts w:ascii="Arial" w:hAnsi="Arial" w:cs="Arial"/>
          <w:sz w:val="24"/>
          <w:szCs w:val="24"/>
        </w:rPr>
      </w:pPr>
      <w:r w:rsidRPr="00057A22">
        <w:rPr>
          <w:rFonts w:ascii="Arial" w:hAnsi="Arial" w:cs="Arial"/>
          <w:sz w:val="24"/>
          <w:szCs w:val="24"/>
        </w:rPr>
        <w:t>______________________________________________________________________</w:t>
      </w:r>
    </w:p>
    <w:p w14:paraId="00387137" w14:textId="24D3209A" w:rsidR="00FC5C09" w:rsidRPr="00FC5C09" w:rsidRDefault="00FC5C09" w:rsidP="00FC5C09">
      <w:pPr>
        <w:spacing w:line="360" w:lineRule="auto"/>
        <w:rPr>
          <w:rFonts w:ascii="Arial" w:hAnsi="Arial" w:cs="Arial"/>
          <w:b/>
          <w:bCs/>
          <w:sz w:val="24"/>
          <w:szCs w:val="24"/>
        </w:rPr>
      </w:pPr>
      <w:r w:rsidRPr="00FC5C09">
        <w:rPr>
          <w:rFonts w:ascii="Arial" w:hAnsi="Arial" w:cs="Arial"/>
          <w:b/>
          <w:bCs/>
          <w:sz w:val="24"/>
          <w:szCs w:val="24"/>
        </w:rPr>
        <w:t>LAING J</w:t>
      </w:r>
    </w:p>
    <w:p w14:paraId="187AF591" w14:textId="77777777" w:rsidR="00FC5C09" w:rsidRDefault="00FC5C09" w:rsidP="00FC5C09">
      <w:pPr>
        <w:spacing w:line="360" w:lineRule="auto"/>
        <w:rPr>
          <w:rFonts w:ascii="Arial" w:hAnsi="Arial" w:cs="Arial"/>
          <w:sz w:val="24"/>
          <w:szCs w:val="24"/>
        </w:rPr>
      </w:pPr>
    </w:p>
    <w:p w14:paraId="21A68351" w14:textId="6F4A460C"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C5C09" w:rsidRPr="00E65D67">
        <w:rPr>
          <w:rFonts w:ascii="Arial" w:hAnsi="Arial" w:cs="Arial"/>
          <w:sz w:val="24"/>
          <w:szCs w:val="24"/>
        </w:rPr>
        <w:t xml:space="preserve">This is an application for the </w:t>
      </w:r>
      <w:r w:rsidR="008E0FCD" w:rsidRPr="00E65D67">
        <w:rPr>
          <w:rFonts w:ascii="Arial" w:hAnsi="Arial" w:cs="Arial"/>
          <w:sz w:val="24"/>
          <w:szCs w:val="24"/>
        </w:rPr>
        <w:t>eviction</w:t>
      </w:r>
      <w:r w:rsidR="00DF55B1" w:rsidRPr="00E65D67">
        <w:rPr>
          <w:rFonts w:ascii="Arial" w:hAnsi="Arial" w:cs="Arial"/>
          <w:sz w:val="24"/>
          <w:szCs w:val="24"/>
        </w:rPr>
        <w:t xml:space="preserve"> of the respondent</w:t>
      </w:r>
      <w:r w:rsidR="008E0FCD" w:rsidRPr="00E65D67">
        <w:rPr>
          <w:rFonts w:ascii="Arial" w:hAnsi="Arial" w:cs="Arial"/>
          <w:sz w:val="24"/>
          <w:szCs w:val="24"/>
        </w:rPr>
        <w:t xml:space="preserve"> </w:t>
      </w:r>
      <w:r w:rsidR="00DF55B1" w:rsidRPr="00E65D67">
        <w:rPr>
          <w:rFonts w:ascii="Arial" w:hAnsi="Arial" w:cs="Arial"/>
          <w:sz w:val="24"/>
          <w:szCs w:val="24"/>
        </w:rPr>
        <w:t xml:space="preserve">from </w:t>
      </w:r>
      <w:r w:rsidR="00F31110" w:rsidRPr="00E65D67">
        <w:rPr>
          <w:rFonts w:ascii="Arial" w:hAnsi="Arial" w:cs="Arial"/>
          <w:sz w:val="24"/>
          <w:szCs w:val="24"/>
        </w:rPr>
        <w:t>several</w:t>
      </w:r>
      <w:r w:rsidR="00DF55B1" w:rsidRPr="00E65D67">
        <w:rPr>
          <w:rFonts w:ascii="Arial" w:hAnsi="Arial" w:cs="Arial"/>
          <w:sz w:val="24"/>
          <w:szCs w:val="24"/>
        </w:rPr>
        <w:t xml:space="preserve"> adjacent </w:t>
      </w:r>
      <w:r w:rsidR="00CD7100" w:rsidRPr="00E65D67">
        <w:rPr>
          <w:rFonts w:ascii="Arial" w:hAnsi="Arial" w:cs="Arial"/>
          <w:sz w:val="24"/>
          <w:szCs w:val="24"/>
        </w:rPr>
        <w:t xml:space="preserve">erven </w:t>
      </w:r>
      <w:r w:rsidR="000E4FC1" w:rsidRPr="00E65D67">
        <w:rPr>
          <w:rFonts w:ascii="Arial" w:hAnsi="Arial" w:cs="Arial"/>
          <w:sz w:val="24"/>
          <w:szCs w:val="24"/>
        </w:rPr>
        <w:t>situated in Alice, Eastern Cape.</w:t>
      </w:r>
    </w:p>
    <w:p w14:paraId="6200DCA0" w14:textId="77777777" w:rsidR="001875B9" w:rsidRDefault="001875B9" w:rsidP="001875B9">
      <w:pPr>
        <w:pStyle w:val="ListParagraph"/>
        <w:spacing w:line="360" w:lineRule="auto"/>
        <w:ind w:left="0"/>
        <w:jc w:val="both"/>
        <w:rPr>
          <w:rFonts w:ascii="Arial" w:hAnsi="Arial" w:cs="Arial"/>
          <w:sz w:val="24"/>
          <w:szCs w:val="24"/>
        </w:rPr>
      </w:pPr>
    </w:p>
    <w:p w14:paraId="77586B90" w14:textId="77777777" w:rsidR="001875B9" w:rsidRDefault="001875B9" w:rsidP="001875B9">
      <w:pPr>
        <w:pStyle w:val="ListParagraph"/>
        <w:spacing w:line="360" w:lineRule="auto"/>
        <w:ind w:left="0"/>
        <w:jc w:val="both"/>
        <w:rPr>
          <w:rFonts w:ascii="Arial" w:hAnsi="Arial" w:cs="Arial"/>
          <w:sz w:val="24"/>
          <w:szCs w:val="24"/>
        </w:rPr>
      </w:pPr>
    </w:p>
    <w:p w14:paraId="514AEFDB" w14:textId="77777777" w:rsidR="001875B9" w:rsidRPr="001875B9" w:rsidRDefault="006831E1" w:rsidP="001875B9">
      <w:pPr>
        <w:pStyle w:val="ListParagraph"/>
        <w:spacing w:line="360" w:lineRule="auto"/>
        <w:ind w:left="0"/>
        <w:jc w:val="both"/>
        <w:rPr>
          <w:rFonts w:ascii="Arial" w:hAnsi="Arial" w:cs="Arial"/>
          <w:sz w:val="24"/>
          <w:szCs w:val="24"/>
        </w:rPr>
      </w:pPr>
      <w:r w:rsidRPr="001875B9">
        <w:rPr>
          <w:rFonts w:ascii="Arial" w:hAnsi="Arial" w:cs="Arial"/>
          <w:b/>
          <w:bCs/>
          <w:sz w:val="24"/>
          <w:szCs w:val="24"/>
        </w:rPr>
        <w:t xml:space="preserve">The applicant’s </w:t>
      </w:r>
      <w:r w:rsidR="00F56388" w:rsidRPr="001875B9">
        <w:rPr>
          <w:rFonts w:ascii="Arial" w:hAnsi="Arial" w:cs="Arial"/>
          <w:b/>
          <w:bCs/>
          <w:sz w:val="24"/>
          <w:szCs w:val="24"/>
        </w:rPr>
        <w:t>case</w:t>
      </w:r>
    </w:p>
    <w:p w14:paraId="27B9990B" w14:textId="64E9A550" w:rsidR="001875B9" w:rsidRPr="00E65D67" w:rsidRDefault="00E65D67" w:rsidP="00E65D67">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0E4FC1" w:rsidRPr="00E65D67">
        <w:rPr>
          <w:rFonts w:ascii="Arial" w:hAnsi="Arial" w:cs="Arial"/>
          <w:sz w:val="24"/>
          <w:szCs w:val="24"/>
        </w:rPr>
        <w:t xml:space="preserve">The </w:t>
      </w:r>
      <w:r w:rsidR="006A065F" w:rsidRPr="00E65D67">
        <w:rPr>
          <w:rFonts w:ascii="Arial" w:hAnsi="Arial" w:cs="Arial"/>
          <w:sz w:val="24"/>
          <w:szCs w:val="24"/>
        </w:rPr>
        <w:t>applicant a</w:t>
      </w:r>
      <w:r w:rsidR="003C5ABF" w:rsidRPr="00E65D67">
        <w:rPr>
          <w:rFonts w:ascii="Arial" w:hAnsi="Arial" w:cs="Arial"/>
          <w:sz w:val="24"/>
          <w:szCs w:val="24"/>
        </w:rPr>
        <w:t>ver</w:t>
      </w:r>
      <w:r w:rsidR="006A065F" w:rsidRPr="00E65D67">
        <w:rPr>
          <w:rFonts w:ascii="Arial" w:hAnsi="Arial" w:cs="Arial"/>
          <w:sz w:val="24"/>
          <w:szCs w:val="24"/>
        </w:rPr>
        <w:t xml:space="preserve">s that </w:t>
      </w:r>
      <w:r w:rsidR="006F0D22" w:rsidRPr="00E65D67">
        <w:rPr>
          <w:rFonts w:ascii="Arial" w:hAnsi="Arial" w:cs="Arial"/>
          <w:sz w:val="24"/>
          <w:szCs w:val="24"/>
        </w:rPr>
        <w:t xml:space="preserve">the Department of Public Works </w:t>
      </w:r>
      <w:r w:rsidR="00F82F66" w:rsidRPr="00E65D67">
        <w:rPr>
          <w:rFonts w:ascii="Arial" w:hAnsi="Arial" w:cs="Arial"/>
          <w:sz w:val="24"/>
          <w:szCs w:val="24"/>
        </w:rPr>
        <w:t xml:space="preserve">and Infrastructure </w:t>
      </w:r>
      <w:r w:rsidR="006F0D22" w:rsidRPr="00E65D67">
        <w:rPr>
          <w:rFonts w:ascii="Arial" w:hAnsi="Arial" w:cs="Arial"/>
          <w:sz w:val="24"/>
          <w:szCs w:val="24"/>
        </w:rPr>
        <w:t>(‘</w:t>
      </w:r>
      <w:r w:rsidR="00F82F66" w:rsidRPr="00E65D67">
        <w:rPr>
          <w:rFonts w:ascii="Arial" w:hAnsi="Arial" w:cs="Arial"/>
          <w:sz w:val="24"/>
          <w:szCs w:val="24"/>
        </w:rPr>
        <w:t>DPWI’)</w:t>
      </w:r>
      <w:r w:rsidR="00EB42B2" w:rsidRPr="00E65D67">
        <w:rPr>
          <w:rFonts w:ascii="Arial" w:hAnsi="Arial" w:cs="Arial"/>
          <w:sz w:val="24"/>
          <w:szCs w:val="24"/>
        </w:rPr>
        <w:t xml:space="preserve"> is the </w:t>
      </w:r>
      <w:r w:rsidR="00FC67E4" w:rsidRPr="00E65D67">
        <w:rPr>
          <w:rFonts w:ascii="Arial" w:hAnsi="Arial" w:cs="Arial"/>
          <w:sz w:val="24"/>
          <w:szCs w:val="24"/>
        </w:rPr>
        <w:t xml:space="preserve">owner of properties </w:t>
      </w:r>
      <w:r w:rsidR="00B044B0" w:rsidRPr="00E65D67">
        <w:rPr>
          <w:rFonts w:ascii="Arial" w:hAnsi="Arial" w:cs="Arial"/>
          <w:sz w:val="24"/>
          <w:szCs w:val="24"/>
        </w:rPr>
        <w:t>that</w:t>
      </w:r>
      <w:r w:rsidR="00FC67E4" w:rsidRPr="00E65D67">
        <w:rPr>
          <w:rFonts w:ascii="Arial" w:hAnsi="Arial" w:cs="Arial"/>
          <w:sz w:val="24"/>
          <w:szCs w:val="24"/>
        </w:rPr>
        <w:t xml:space="preserve"> i</w:t>
      </w:r>
      <w:r w:rsidR="00B044B0" w:rsidRPr="00E65D67">
        <w:rPr>
          <w:rFonts w:ascii="Arial" w:hAnsi="Arial" w:cs="Arial"/>
          <w:sz w:val="24"/>
          <w:szCs w:val="24"/>
        </w:rPr>
        <w:t xml:space="preserve">t leases to </w:t>
      </w:r>
      <w:r w:rsidR="00E8341B" w:rsidRPr="00E65D67">
        <w:rPr>
          <w:rFonts w:ascii="Arial" w:hAnsi="Arial" w:cs="Arial"/>
          <w:sz w:val="24"/>
          <w:szCs w:val="24"/>
        </w:rPr>
        <w:t xml:space="preserve">various </w:t>
      </w:r>
      <w:r w:rsidR="00713201" w:rsidRPr="00E65D67">
        <w:rPr>
          <w:rFonts w:ascii="Arial" w:hAnsi="Arial" w:cs="Arial"/>
          <w:sz w:val="24"/>
          <w:szCs w:val="24"/>
        </w:rPr>
        <w:t>individual</w:t>
      </w:r>
      <w:r w:rsidR="00E8341B" w:rsidRPr="00E65D67">
        <w:rPr>
          <w:rFonts w:ascii="Arial" w:hAnsi="Arial" w:cs="Arial"/>
          <w:sz w:val="24"/>
          <w:szCs w:val="24"/>
        </w:rPr>
        <w:t>s and corporate</w:t>
      </w:r>
      <w:r w:rsidR="00713201" w:rsidRPr="00E65D67">
        <w:rPr>
          <w:rFonts w:ascii="Arial" w:hAnsi="Arial" w:cs="Arial"/>
          <w:sz w:val="24"/>
          <w:szCs w:val="24"/>
        </w:rPr>
        <w:t xml:space="preserve"> entities</w:t>
      </w:r>
      <w:r w:rsidR="00E8341B" w:rsidRPr="00E65D67">
        <w:rPr>
          <w:rFonts w:ascii="Arial" w:hAnsi="Arial" w:cs="Arial"/>
          <w:sz w:val="24"/>
          <w:szCs w:val="24"/>
        </w:rPr>
        <w:t xml:space="preserve">. </w:t>
      </w:r>
      <w:r w:rsidR="00DB31D5" w:rsidRPr="00E65D67">
        <w:rPr>
          <w:rFonts w:ascii="Arial" w:hAnsi="Arial" w:cs="Arial"/>
          <w:sz w:val="24"/>
          <w:szCs w:val="24"/>
        </w:rPr>
        <w:t xml:space="preserve">He </w:t>
      </w:r>
      <w:r w:rsidR="00CA3077" w:rsidRPr="00E65D67">
        <w:rPr>
          <w:rFonts w:ascii="Arial" w:hAnsi="Arial" w:cs="Arial"/>
          <w:sz w:val="24"/>
          <w:szCs w:val="24"/>
        </w:rPr>
        <w:t xml:space="preserve">asserts that investigations have revealed that many </w:t>
      </w:r>
      <w:r w:rsidR="0024732E" w:rsidRPr="00E65D67">
        <w:rPr>
          <w:rFonts w:ascii="Arial" w:hAnsi="Arial" w:cs="Arial"/>
          <w:sz w:val="24"/>
          <w:szCs w:val="24"/>
        </w:rPr>
        <w:t xml:space="preserve">tenants continue to occupy </w:t>
      </w:r>
      <w:r w:rsidR="00CA3077" w:rsidRPr="00E65D67">
        <w:rPr>
          <w:rFonts w:ascii="Arial" w:hAnsi="Arial" w:cs="Arial"/>
          <w:sz w:val="24"/>
          <w:szCs w:val="24"/>
        </w:rPr>
        <w:t>state properties</w:t>
      </w:r>
      <w:r w:rsidR="0024732E" w:rsidRPr="00E65D67">
        <w:rPr>
          <w:rFonts w:ascii="Arial" w:hAnsi="Arial" w:cs="Arial"/>
          <w:sz w:val="24"/>
          <w:szCs w:val="24"/>
        </w:rPr>
        <w:t xml:space="preserve"> </w:t>
      </w:r>
      <w:r w:rsidR="007B0D5A" w:rsidRPr="00E65D67">
        <w:rPr>
          <w:rFonts w:ascii="Arial" w:hAnsi="Arial" w:cs="Arial"/>
          <w:sz w:val="24"/>
          <w:szCs w:val="24"/>
        </w:rPr>
        <w:t xml:space="preserve">without paying rental </w:t>
      </w:r>
      <w:r w:rsidR="00C63C69" w:rsidRPr="00E65D67">
        <w:rPr>
          <w:rFonts w:ascii="Arial" w:hAnsi="Arial" w:cs="Arial"/>
          <w:sz w:val="24"/>
          <w:szCs w:val="24"/>
        </w:rPr>
        <w:t>or</w:t>
      </w:r>
      <w:r w:rsidR="007B0D5A" w:rsidRPr="00E65D67">
        <w:rPr>
          <w:rFonts w:ascii="Arial" w:hAnsi="Arial" w:cs="Arial"/>
          <w:sz w:val="24"/>
          <w:szCs w:val="24"/>
        </w:rPr>
        <w:t xml:space="preserve"> where lease agreements have expired</w:t>
      </w:r>
      <w:r w:rsidR="006830F6" w:rsidRPr="00E65D67">
        <w:rPr>
          <w:rFonts w:ascii="Arial" w:hAnsi="Arial" w:cs="Arial"/>
          <w:sz w:val="24"/>
          <w:szCs w:val="24"/>
        </w:rPr>
        <w:t xml:space="preserve">. This has led to the implementation of </w:t>
      </w:r>
      <w:r w:rsidR="00C63C69" w:rsidRPr="00E65D67">
        <w:rPr>
          <w:rFonts w:ascii="Arial" w:hAnsi="Arial" w:cs="Arial"/>
          <w:sz w:val="24"/>
          <w:szCs w:val="24"/>
        </w:rPr>
        <w:t xml:space="preserve">a project called </w:t>
      </w:r>
      <w:r w:rsidR="00B46B84" w:rsidRPr="00E65D67">
        <w:rPr>
          <w:rFonts w:ascii="Arial" w:hAnsi="Arial" w:cs="Arial"/>
          <w:sz w:val="24"/>
          <w:szCs w:val="24"/>
        </w:rPr>
        <w:t>‘Operation Bring Back’</w:t>
      </w:r>
      <w:r w:rsidR="00C63C69" w:rsidRPr="00E65D67">
        <w:rPr>
          <w:rFonts w:ascii="Arial" w:hAnsi="Arial" w:cs="Arial"/>
          <w:sz w:val="24"/>
          <w:szCs w:val="24"/>
        </w:rPr>
        <w:t xml:space="preserve">. </w:t>
      </w:r>
      <w:r w:rsidR="00FB3D5D" w:rsidRPr="00E65D67">
        <w:rPr>
          <w:rFonts w:ascii="Arial" w:hAnsi="Arial" w:cs="Arial"/>
          <w:sz w:val="24"/>
          <w:szCs w:val="24"/>
        </w:rPr>
        <w:t xml:space="preserve">The </w:t>
      </w:r>
      <w:r w:rsidR="00FC7095" w:rsidRPr="00E65D67">
        <w:rPr>
          <w:rFonts w:ascii="Arial" w:hAnsi="Arial" w:cs="Arial"/>
          <w:sz w:val="24"/>
          <w:szCs w:val="24"/>
        </w:rPr>
        <w:t>applicant</w:t>
      </w:r>
      <w:r w:rsidR="009642B9" w:rsidRPr="00E65D67">
        <w:rPr>
          <w:rFonts w:ascii="Arial" w:hAnsi="Arial" w:cs="Arial"/>
          <w:sz w:val="24"/>
          <w:szCs w:val="24"/>
        </w:rPr>
        <w:t>, consequently</w:t>
      </w:r>
      <w:r w:rsidR="00ED4A61" w:rsidRPr="00E65D67">
        <w:rPr>
          <w:rFonts w:ascii="Arial" w:hAnsi="Arial" w:cs="Arial"/>
          <w:sz w:val="24"/>
          <w:szCs w:val="24"/>
        </w:rPr>
        <w:t>,</w:t>
      </w:r>
      <w:r w:rsidR="00FC7095" w:rsidRPr="00E65D67">
        <w:rPr>
          <w:rFonts w:ascii="Arial" w:hAnsi="Arial" w:cs="Arial"/>
          <w:sz w:val="24"/>
          <w:szCs w:val="24"/>
        </w:rPr>
        <w:t xml:space="preserve"> </w:t>
      </w:r>
      <w:r w:rsidR="00E22BF7" w:rsidRPr="00E65D67">
        <w:rPr>
          <w:rFonts w:ascii="Arial" w:hAnsi="Arial" w:cs="Arial"/>
          <w:sz w:val="24"/>
          <w:szCs w:val="24"/>
        </w:rPr>
        <w:t xml:space="preserve">has instituted proceedings </w:t>
      </w:r>
      <w:r w:rsidR="00CF40C1" w:rsidRPr="00E65D67">
        <w:rPr>
          <w:rFonts w:ascii="Arial" w:hAnsi="Arial" w:cs="Arial"/>
          <w:sz w:val="24"/>
          <w:szCs w:val="24"/>
        </w:rPr>
        <w:t>to ensure th</w:t>
      </w:r>
      <w:r w:rsidR="00C87C2A" w:rsidRPr="00E65D67">
        <w:rPr>
          <w:rFonts w:ascii="Arial" w:hAnsi="Arial" w:cs="Arial"/>
          <w:sz w:val="24"/>
          <w:szCs w:val="24"/>
        </w:rPr>
        <w:t xml:space="preserve">e proper use and </w:t>
      </w:r>
      <w:r w:rsidR="004252DD" w:rsidRPr="00E65D67">
        <w:rPr>
          <w:rFonts w:ascii="Arial" w:hAnsi="Arial" w:cs="Arial"/>
          <w:sz w:val="24"/>
          <w:szCs w:val="24"/>
        </w:rPr>
        <w:t xml:space="preserve">management of </w:t>
      </w:r>
      <w:r w:rsidR="00CF40C1" w:rsidRPr="00E65D67">
        <w:rPr>
          <w:rFonts w:ascii="Arial" w:hAnsi="Arial" w:cs="Arial"/>
          <w:sz w:val="24"/>
          <w:szCs w:val="24"/>
        </w:rPr>
        <w:t>propert</w:t>
      </w:r>
      <w:r w:rsidR="00CD7100" w:rsidRPr="00E65D67">
        <w:rPr>
          <w:rFonts w:ascii="Arial" w:hAnsi="Arial" w:cs="Arial"/>
          <w:sz w:val="24"/>
          <w:szCs w:val="24"/>
        </w:rPr>
        <w:t>ies</w:t>
      </w:r>
      <w:r w:rsidR="00CF40C1" w:rsidRPr="00E65D67">
        <w:rPr>
          <w:rFonts w:ascii="Arial" w:hAnsi="Arial" w:cs="Arial"/>
          <w:sz w:val="24"/>
          <w:szCs w:val="24"/>
        </w:rPr>
        <w:t xml:space="preserve"> </w:t>
      </w:r>
      <w:r w:rsidR="003B1F03" w:rsidRPr="00E65D67">
        <w:rPr>
          <w:rFonts w:ascii="Arial" w:hAnsi="Arial" w:cs="Arial"/>
          <w:sz w:val="24"/>
          <w:szCs w:val="24"/>
        </w:rPr>
        <w:t>such as those that form the subject of this application.</w:t>
      </w:r>
    </w:p>
    <w:p w14:paraId="72D6D479" w14:textId="77777777" w:rsidR="001875B9" w:rsidRDefault="001875B9" w:rsidP="001875B9">
      <w:pPr>
        <w:pStyle w:val="ListParagraph"/>
        <w:spacing w:line="360" w:lineRule="auto"/>
        <w:ind w:left="0"/>
        <w:jc w:val="both"/>
        <w:rPr>
          <w:rFonts w:ascii="Arial" w:hAnsi="Arial" w:cs="Arial"/>
          <w:sz w:val="24"/>
          <w:szCs w:val="24"/>
        </w:rPr>
      </w:pPr>
    </w:p>
    <w:p w14:paraId="75FAB25B" w14:textId="6D1D7BC9"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A6595" w:rsidRPr="00E65D67">
        <w:rPr>
          <w:rFonts w:ascii="Arial" w:hAnsi="Arial" w:cs="Arial"/>
          <w:sz w:val="24"/>
          <w:szCs w:val="24"/>
        </w:rPr>
        <w:t xml:space="preserve">On </w:t>
      </w:r>
      <w:r w:rsidR="00A068E5" w:rsidRPr="00E65D67">
        <w:rPr>
          <w:rFonts w:ascii="Arial" w:hAnsi="Arial" w:cs="Arial"/>
          <w:sz w:val="24"/>
          <w:szCs w:val="24"/>
        </w:rPr>
        <w:t xml:space="preserve">14 January 2015, the DPWI concluded a lease agreement with the </w:t>
      </w:r>
      <w:r w:rsidR="00C453C6" w:rsidRPr="00E65D67">
        <w:rPr>
          <w:rFonts w:ascii="Arial" w:hAnsi="Arial" w:cs="Arial"/>
          <w:sz w:val="24"/>
          <w:szCs w:val="24"/>
        </w:rPr>
        <w:t>respondent</w:t>
      </w:r>
      <w:r w:rsidR="0019475B" w:rsidRPr="00E65D67">
        <w:rPr>
          <w:rFonts w:ascii="Arial" w:hAnsi="Arial" w:cs="Arial"/>
          <w:sz w:val="24"/>
          <w:szCs w:val="24"/>
        </w:rPr>
        <w:t xml:space="preserve"> </w:t>
      </w:r>
      <w:r w:rsidR="00D517CA" w:rsidRPr="00E65D67">
        <w:rPr>
          <w:rFonts w:ascii="Arial" w:hAnsi="Arial" w:cs="Arial"/>
          <w:sz w:val="24"/>
          <w:szCs w:val="24"/>
        </w:rPr>
        <w:t>for erven 354, 355, 356 and 357, Alice</w:t>
      </w:r>
      <w:r w:rsidR="00B53A2B" w:rsidRPr="00E65D67">
        <w:rPr>
          <w:rFonts w:ascii="Arial" w:hAnsi="Arial" w:cs="Arial"/>
          <w:sz w:val="24"/>
          <w:szCs w:val="24"/>
        </w:rPr>
        <w:t xml:space="preserve">. </w:t>
      </w:r>
      <w:r w:rsidR="001039F3" w:rsidRPr="00E65D67">
        <w:rPr>
          <w:rFonts w:ascii="Arial" w:hAnsi="Arial" w:cs="Arial"/>
          <w:sz w:val="24"/>
          <w:szCs w:val="24"/>
        </w:rPr>
        <w:t xml:space="preserve">The applicant pleads that the salient terms thereof were, </w:t>
      </w:r>
      <w:r w:rsidR="001039F3" w:rsidRPr="00E65D67">
        <w:rPr>
          <w:rFonts w:ascii="Arial" w:hAnsi="Arial" w:cs="Arial"/>
          <w:i/>
          <w:iCs/>
          <w:sz w:val="24"/>
          <w:szCs w:val="24"/>
        </w:rPr>
        <w:t>inter alia</w:t>
      </w:r>
      <w:r w:rsidR="001039F3" w:rsidRPr="00E65D67">
        <w:rPr>
          <w:rFonts w:ascii="Arial" w:hAnsi="Arial" w:cs="Arial"/>
          <w:sz w:val="24"/>
          <w:szCs w:val="24"/>
        </w:rPr>
        <w:t>, that</w:t>
      </w:r>
      <w:r w:rsidR="001A77CC" w:rsidRPr="00E65D67">
        <w:rPr>
          <w:rFonts w:ascii="Arial" w:hAnsi="Arial" w:cs="Arial"/>
          <w:sz w:val="24"/>
          <w:szCs w:val="24"/>
        </w:rPr>
        <w:t xml:space="preserve"> the lease commenced on </w:t>
      </w:r>
      <w:r w:rsidR="00B441C5" w:rsidRPr="00E65D67">
        <w:rPr>
          <w:rFonts w:ascii="Arial" w:hAnsi="Arial" w:cs="Arial"/>
          <w:sz w:val="24"/>
          <w:szCs w:val="24"/>
        </w:rPr>
        <w:t xml:space="preserve">1 March 2015 </w:t>
      </w:r>
      <w:r w:rsidR="006B0AE0" w:rsidRPr="00E65D67">
        <w:rPr>
          <w:rFonts w:ascii="Arial" w:hAnsi="Arial" w:cs="Arial"/>
          <w:sz w:val="24"/>
          <w:szCs w:val="24"/>
        </w:rPr>
        <w:t>and endured on a month-to-month basis</w:t>
      </w:r>
      <w:r w:rsidR="0065415E" w:rsidRPr="00E65D67">
        <w:rPr>
          <w:rFonts w:ascii="Arial" w:hAnsi="Arial" w:cs="Arial"/>
          <w:sz w:val="24"/>
          <w:szCs w:val="24"/>
        </w:rPr>
        <w:t xml:space="preserve">, the </w:t>
      </w:r>
      <w:r w:rsidR="00FE1734" w:rsidRPr="00E65D67">
        <w:rPr>
          <w:rFonts w:ascii="Arial" w:hAnsi="Arial" w:cs="Arial"/>
          <w:sz w:val="24"/>
          <w:szCs w:val="24"/>
        </w:rPr>
        <w:t xml:space="preserve">properties were to be used for office accommodation, </w:t>
      </w:r>
      <w:r w:rsidR="005703ED" w:rsidRPr="00E65D67">
        <w:rPr>
          <w:rFonts w:ascii="Arial" w:hAnsi="Arial" w:cs="Arial"/>
          <w:sz w:val="24"/>
          <w:szCs w:val="24"/>
        </w:rPr>
        <w:t xml:space="preserve">and </w:t>
      </w:r>
      <w:r w:rsidR="00FE1734" w:rsidRPr="00E65D67">
        <w:rPr>
          <w:rFonts w:ascii="Arial" w:hAnsi="Arial" w:cs="Arial"/>
          <w:sz w:val="24"/>
          <w:szCs w:val="24"/>
        </w:rPr>
        <w:t xml:space="preserve">the respondent </w:t>
      </w:r>
      <w:r w:rsidR="00E12F77" w:rsidRPr="00E65D67">
        <w:rPr>
          <w:rFonts w:ascii="Arial" w:hAnsi="Arial" w:cs="Arial"/>
          <w:sz w:val="24"/>
          <w:szCs w:val="24"/>
        </w:rPr>
        <w:t xml:space="preserve">was required to pay </w:t>
      </w:r>
      <w:r w:rsidR="005703ED" w:rsidRPr="00E65D67">
        <w:rPr>
          <w:rFonts w:ascii="Arial" w:hAnsi="Arial" w:cs="Arial"/>
          <w:sz w:val="24"/>
          <w:szCs w:val="24"/>
        </w:rPr>
        <w:t xml:space="preserve">a </w:t>
      </w:r>
      <w:r w:rsidR="00E12F77" w:rsidRPr="00E65D67">
        <w:rPr>
          <w:rFonts w:ascii="Arial" w:hAnsi="Arial" w:cs="Arial"/>
          <w:sz w:val="24"/>
          <w:szCs w:val="24"/>
        </w:rPr>
        <w:t>monthly rental of R</w:t>
      </w:r>
      <w:r w:rsidR="00DB584C" w:rsidRPr="00E65D67">
        <w:rPr>
          <w:rFonts w:ascii="Arial" w:hAnsi="Arial" w:cs="Arial"/>
          <w:sz w:val="24"/>
          <w:szCs w:val="24"/>
        </w:rPr>
        <w:t>5,</w:t>
      </w:r>
      <w:r w:rsidR="00E12F77" w:rsidRPr="00E65D67">
        <w:rPr>
          <w:rFonts w:ascii="Arial" w:hAnsi="Arial" w:cs="Arial"/>
          <w:sz w:val="24"/>
          <w:szCs w:val="24"/>
        </w:rPr>
        <w:t>531</w:t>
      </w:r>
      <w:r w:rsidR="005703ED" w:rsidRPr="00E65D67">
        <w:rPr>
          <w:rFonts w:ascii="Arial" w:hAnsi="Arial" w:cs="Arial"/>
          <w:sz w:val="24"/>
          <w:szCs w:val="24"/>
        </w:rPr>
        <w:t xml:space="preserve">. </w:t>
      </w:r>
    </w:p>
    <w:p w14:paraId="2D994625" w14:textId="77777777" w:rsidR="001875B9" w:rsidRPr="001875B9" w:rsidRDefault="001875B9" w:rsidP="001875B9">
      <w:pPr>
        <w:pStyle w:val="ListParagraph"/>
        <w:rPr>
          <w:rFonts w:ascii="Arial" w:hAnsi="Arial" w:cs="Arial"/>
          <w:sz w:val="24"/>
          <w:szCs w:val="24"/>
        </w:rPr>
      </w:pPr>
    </w:p>
    <w:p w14:paraId="1E9707CC" w14:textId="5E83F01D"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C49EF" w:rsidRPr="00E65D67">
        <w:rPr>
          <w:rFonts w:ascii="Arial" w:hAnsi="Arial" w:cs="Arial"/>
          <w:sz w:val="24"/>
          <w:szCs w:val="24"/>
        </w:rPr>
        <w:t xml:space="preserve">The respondent breached </w:t>
      </w:r>
      <w:r w:rsidR="00730234" w:rsidRPr="00E65D67">
        <w:rPr>
          <w:rFonts w:ascii="Arial" w:hAnsi="Arial" w:cs="Arial"/>
          <w:sz w:val="24"/>
          <w:szCs w:val="24"/>
        </w:rPr>
        <w:t>the agreement</w:t>
      </w:r>
      <w:r w:rsidR="00CD7100" w:rsidRPr="00E65D67">
        <w:rPr>
          <w:rFonts w:ascii="Arial" w:hAnsi="Arial" w:cs="Arial"/>
          <w:sz w:val="24"/>
          <w:szCs w:val="24"/>
        </w:rPr>
        <w:t>, contends the applicant,</w:t>
      </w:r>
      <w:r w:rsidR="00730234" w:rsidRPr="00E65D67">
        <w:rPr>
          <w:rFonts w:ascii="Arial" w:hAnsi="Arial" w:cs="Arial"/>
          <w:sz w:val="24"/>
          <w:szCs w:val="24"/>
        </w:rPr>
        <w:t xml:space="preserve"> by failing to pay rental</w:t>
      </w:r>
      <w:r w:rsidR="001247EB" w:rsidRPr="00E65D67">
        <w:rPr>
          <w:rFonts w:ascii="Arial" w:hAnsi="Arial" w:cs="Arial"/>
          <w:sz w:val="24"/>
          <w:szCs w:val="24"/>
        </w:rPr>
        <w:t>. An amount of R119</w:t>
      </w:r>
      <w:r w:rsidR="00E554E8" w:rsidRPr="00E65D67">
        <w:rPr>
          <w:rFonts w:ascii="Arial" w:hAnsi="Arial" w:cs="Arial"/>
          <w:sz w:val="24"/>
          <w:szCs w:val="24"/>
        </w:rPr>
        <w:t xml:space="preserve">,242 </w:t>
      </w:r>
      <w:r w:rsidR="00CD7100" w:rsidRPr="00E65D67">
        <w:rPr>
          <w:rFonts w:ascii="Arial" w:hAnsi="Arial" w:cs="Arial"/>
          <w:sz w:val="24"/>
          <w:szCs w:val="24"/>
        </w:rPr>
        <w:t>i</w:t>
      </w:r>
      <w:r w:rsidR="00E554E8" w:rsidRPr="00E65D67">
        <w:rPr>
          <w:rFonts w:ascii="Arial" w:hAnsi="Arial" w:cs="Arial"/>
          <w:sz w:val="24"/>
          <w:szCs w:val="24"/>
        </w:rPr>
        <w:t>s outstanding</w:t>
      </w:r>
      <w:r w:rsidR="006551BB" w:rsidRPr="00E65D67">
        <w:rPr>
          <w:rFonts w:ascii="Arial" w:hAnsi="Arial" w:cs="Arial"/>
          <w:sz w:val="24"/>
          <w:szCs w:val="24"/>
        </w:rPr>
        <w:t>. In addition, the respondent ha</w:t>
      </w:r>
      <w:r w:rsidR="00CD7100" w:rsidRPr="00E65D67">
        <w:rPr>
          <w:rFonts w:ascii="Arial" w:hAnsi="Arial" w:cs="Arial"/>
          <w:sz w:val="24"/>
          <w:szCs w:val="24"/>
        </w:rPr>
        <w:t>s</w:t>
      </w:r>
      <w:r w:rsidR="006551BB" w:rsidRPr="00E65D67">
        <w:rPr>
          <w:rFonts w:ascii="Arial" w:hAnsi="Arial" w:cs="Arial"/>
          <w:sz w:val="24"/>
          <w:szCs w:val="24"/>
        </w:rPr>
        <w:t xml:space="preserve"> failed to pay </w:t>
      </w:r>
      <w:r w:rsidR="000E19A3" w:rsidRPr="00E65D67">
        <w:rPr>
          <w:rFonts w:ascii="Arial" w:hAnsi="Arial" w:cs="Arial"/>
          <w:sz w:val="24"/>
          <w:szCs w:val="24"/>
        </w:rPr>
        <w:t>for municipal services.</w:t>
      </w:r>
    </w:p>
    <w:p w14:paraId="2312ECAF" w14:textId="77777777" w:rsidR="001875B9" w:rsidRPr="001875B9" w:rsidRDefault="001875B9" w:rsidP="001875B9">
      <w:pPr>
        <w:pStyle w:val="ListParagraph"/>
        <w:rPr>
          <w:rFonts w:ascii="Arial" w:hAnsi="Arial" w:cs="Arial"/>
          <w:sz w:val="24"/>
          <w:szCs w:val="24"/>
        </w:rPr>
      </w:pPr>
    </w:p>
    <w:p w14:paraId="37ECD92B" w14:textId="34815E87"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7043F" w:rsidRPr="00E65D67">
        <w:rPr>
          <w:rFonts w:ascii="Arial" w:hAnsi="Arial" w:cs="Arial"/>
          <w:sz w:val="24"/>
          <w:szCs w:val="24"/>
        </w:rPr>
        <w:t xml:space="preserve">On </w:t>
      </w:r>
      <w:r w:rsidR="006F162D" w:rsidRPr="00E65D67">
        <w:rPr>
          <w:rFonts w:ascii="Arial" w:hAnsi="Arial" w:cs="Arial"/>
          <w:sz w:val="24"/>
          <w:szCs w:val="24"/>
        </w:rPr>
        <w:t xml:space="preserve">12 November 2019, the </w:t>
      </w:r>
      <w:r w:rsidR="00D825A3" w:rsidRPr="00E65D67">
        <w:rPr>
          <w:rFonts w:ascii="Arial" w:hAnsi="Arial" w:cs="Arial"/>
          <w:sz w:val="24"/>
          <w:szCs w:val="24"/>
        </w:rPr>
        <w:t xml:space="preserve">applicant </w:t>
      </w:r>
      <w:r w:rsidR="00D15CEB" w:rsidRPr="00E65D67">
        <w:rPr>
          <w:rFonts w:ascii="Arial" w:hAnsi="Arial" w:cs="Arial"/>
          <w:sz w:val="24"/>
          <w:szCs w:val="24"/>
        </w:rPr>
        <w:t xml:space="preserve">notified the respondent of the </w:t>
      </w:r>
      <w:r w:rsidR="00D825A3" w:rsidRPr="00E65D67">
        <w:rPr>
          <w:rFonts w:ascii="Arial" w:hAnsi="Arial" w:cs="Arial"/>
          <w:sz w:val="24"/>
          <w:szCs w:val="24"/>
        </w:rPr>
        <w:t>terminat</w:t>
      </w:r>
      <w:r w:rsidR="00D15CEB" w:rsidRPr="00E65D67">
        <w:rPr>
          <w:rFonts w:ascii="Arial" w:hAnsi="Arial" w:cs="Arial"/>
          <w:sz w:val="24"/>
          <w:szCs w:val="24"/>
        </w:rPr>
        <w:t>ion of</w:t>
      </w:r>
      <w:r w:rsidR="00D825A3" w:rsidRPr="00E65D67">
        <w:rPr>
          <w:rFonts w:ascii="Arial" w:hAnsi="Arial" w:cs="Arial"/>
          <w:sz w:val="24"/>
          <w:szCs w:val="24"/>
        </w:rPr>
        <w:t xml:space="preserve"> the agreement and </w:t>
      </w:r>
      <w:r w:rsidR="00295966" w:rsidRPr="00E65D67">
        <w:rPr>
          <w:rFonts w:ascii="Arial" w:hAnsi="Arial" w:cs="Arial"/>
          <w:sz w:val="24"/>
          <w:szCs w:val="24"/>
        </w:rPr>
        <w:t xml:space="preserve">requested </w:t>
      </w:r>
      <w:r w:rsidR="002B0CFD" w:rsidRPr="00E65D67">
        <w:rPr>
          <w:rFonts w:ascii="Arial" w:hAnsi="Arial" w:cs="Arial"/>
          <w:sz w:val="24"/>
          <w:szCs w:val="24"/>
        </w:rPr>
        <w:t xml:space="preserve">her to vacate the properties. </w:t>
      </w:r>
      <w:r w:rsidR="000C4F51" w:rsidRPr="00E65D67">
        <w:rPr>
          <w:rFonts w:ascii="Arial" w:hAnsi="Arial" w:cs="Arial"/>
          <w:sz w:val="24"/>
          <w:szCs w:val="24"/>
        </w:rPr>
        <w:t xml:space="preserve">The applicant’s attorneys sent a similar notice to that effect on </w:t>
      </w:r>
      <w:r w:rsidR="00EF2086" w:rsidRPr="00E65D67">
        <w:rPr>
          <w:rFonts w:ascii="Arial" w:hAnsi="Arial" w:cs="Arial"/>
          <w:sz w:val="24"/>
          <w:szCs w:val="24"/>
        </w:rPr>
        <w:t xml:space="preserve">4 March 2020. Out of caution, avers the applicant, </w:t>
      </w:r>
      <w:r w:rsidR="00BF4CB5" w:rsidRPr="00E65D67">
        <w:rPr>
          <w:rFonts w:ascii="Arial" w:hAnsi="Arial" w:cs="Arial"/>
          <w:sz w:val="24"/>
          <w:szCs w:val="24"/>
        </w:rPr>
        <w:t xml:space="preserve">a notice was also placed in the </w:t>
      </w:r>
      <w:r w:rsidR="00BF4CB5" w:rsidRPr="00E65D67">
        <w:rPr>
          <w:rFonts w:ascii="Arial" w:hAnsi="Arial" w:cs="Arial"/>
          <w:i/>
          <w:iCs/>
          <w:sz w:val="24"/>
          <w:szCs w:val="24"/>
        </w:rPr>
        <w:t>Daily Dispatch</w:t>
      </w:r>
      <w:r w:rsidR="00BF4CB5" w:rsidRPr="00E65D67">
        <w:rPr>
          <w:rFonts w:ascii="Arial" w:hAnsi="Arial" w:cs="Arial"/>
          <w:sz w:val="24"/>
          <w:szCs w:val="24"/>
        </w:rPr>
        <w:t xml:space="preserve"> newspaper</w:t>
      </w:r>
      <w:r w:rsidR="00621D05" w:rsidRPr="00E65D67">
        <w:rPr>
          <w:rFonts w:ascii="Arial" w:hAnsi="Arial" w:cs="Arial"/>
          <w:sz w:val="24"/>
          <w:szCs w:val="24"/>
        </w:rPr>
        <w:t xml:space="preserve"> on 3 June 2020</w:t>
      </w:r>
      <w:r w:rsidR="00BF4CB5" w:rsidRPr="00E65D67">
        <w:rPr>
          <w:rFonts w:ascii="Arial" w:hAnsi="Arial" w:cs="Arial"/>
          <w:sz w:val="24"/>
          <w:szCs w:val="24"/>
        </w:rPr>
        <w:t xml:space="preserve">, addressed to </w:t>
      </w:r>
      <w:r w:rsidR="006016FE" w:rsidRPr="00E65D67">
        <w:rPr>
          <w:rFonts w:ascii="Arial" w:hAnsi="Arial" w:cs="Arial"/>
          <w:sz w:val="24"/>
          <w:szCs w:val="24"/>
        </w:rPr>
        <w:t>the tenants specified therein</w:t>
      </w:r>
      <w:r w:rsidR="00F77BF2" w:rsidRPr="00E65D67">
        <w:rPr>
          <w:rFonts w:ascii="Arial" w:hAnsi="Arial" w:cs="Arial"/>
          <w:sz w:val="24"/>
          <w:szCs w:val="24"/>
        </w:rPr>
        <w:t>, including the respondent</w:t>
      </w:r>
      <w:r w:rsidR="006016FE" w:rsidRPr="00E65D67">
        <w:rPr>
          <w:rFonts w:ascii="Arial" w:hAnsi="Arial" w:cs="Arial"/>
          <w:sz w:val="24"/>
          <w:szCs w:val="24"/>
        </w:rPr>
        <w:t>.</w:t>
      </w:r>
      <w:r w:rsidR="0075455C" w:rsidRPr="00E65D67">
        <w:rPr>
          <w:rFonts w:ascii="Arial" w:hAnsi="Arial" w:cs="Arial"/>
          <w:sz w:val="24"/>
          <w:szCs w:val="24"/>
        </w:rPr>
        <w:t xml:space="preserve"> </w:t>
      </w:r>
    </w:p>
    <w:p w14:paraId="145424F5" w14:textId="77777777" w:rsidR="001875B9" w:rsidRPr="001875B9" w:rsidRDefault="001875B9" w:rsidP="001875B9">
      <w:pPr>
        <w:pStyle w:val="ListParagraph"/>
        <w:rPr>
          <w:rFonts w:ascii="Arial" w:hAnsi="Arial" w:cs="Arial"/>
          <w:sz w:val="24"/>
          <w:szCs w:val="24"/>
        </w:rPr>
      </w:pPr>
    </w:p>
    <w:p w14:paraId="2548590D" w14:textId="4B79A478"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5455C" w:rsidRPr="00E65D67">
        <w:rPr>
          <w:rFonts w:ascii="Arial" w:hAnsi="Arial" w:cs="Arial"/>
          <w:sz w:val="24"/>
          <w:szCs w:val="24"/>
        </w:rPr>
        <w:t>Notwithstanding</w:t>
      </w:r>
      <w:r w:rsidR="00877D6E" w:rsidRPr="00E65D67">
        <w:rPr>
          <w:rFonts w:ascii="Arial" w:hAnsi="Arial" w:cs="Arial"/>
          <w:sz w:val="24"/>
          <w:szCs w:val="24"/>
        </w:rPr>
        <w:t xml:space="preserve"> the above steps</w:t>
      </w:r>
      <w:r w:rsidR="00683210" w:rsidRPr="00E65D67">
        <w:rPr>
          <w:rFonts w:ascii="Arial" w:hAnsi="Arial" w:cs="Arial"/>
          <w:sz w:val="24"/>
          <w:szCs w:val="24"/>
        </w:rPr>
        <w:t>, the respondent remains in occupation.</w:t>
      </w:r>
      <w:r w:rsidR="00877D6E" w:rsidRPr="00E65D67">
        <w:rPr>
          <w:rFonts w:ascii="Arial" w:hAnsi="Arial" w:cs="Arial"/>
          <w:sz w:val="24"/>
          <w:szCs w:val="24"/>
        </w:rPr>
        <w:t xml:space="preserve"> The applicant seeks </w:t>
      </w:r>
      <w:r w:rsidR="0041323A" w:rsidRPr="00E65D67">
        <w:rPr>
          <w:rFonts w:ascii="Arial" w:hAnsi="Arial" w:cs="Arial"/>
          <w:sz w:val="24"/>
          <w:szCs w:val="24"/>
        </w:rPr>
        <w:t xml:space="preserve">an order declaring that the agreement has </w:t>
      </w:r>
      <w:r w:rsidR="00C6077E" w:rsidRPr="00E65D67">
        <w:rPr>
          <w:rFonts w:ascii="Arial" w:hAnsi="Arial" w:cs="Arial"/>
          <w:sz w:val="24"/>
          <w:szCs w:val="24"/>
        </w:rPr>
        <w:t xml:space="preserve">been terminated and directing the respondent to </w:t>
      </w:r>
      <w:r w:rsidR="008E6B6B" w:rsidRPr="00E65D67">
        <w:rPr>
          <w:rFonts w:ascii="Arial" w:hAnsi="Arial" w:cs="Arial"/>
          <w:sz w:val="24"/>
          <w:szCs w:val="24"/>
        </w:rPr>
        <w:t>vacate the properties.</w:t>
      </w:r>
    </w:p>
    <w:p w14:paraId="36DD696B" w14:textId="77777777" w:rsidR="001875B9" w:rsidRPr="001875B9" w:rsidRDefault="001875B9" w:rsidP="001875B9">
      <w:pPr>
        <w:pStyle w:val="ListParagraph"/>
        <w:rPr>
          <w:rFonts w:ascii="Arial" w:hAnsi="Arial" w:cs="Arial"/>
          <w:sz w:val="24"/>
          <w:szCs w:val="24"/>
        </w:rPr>
      </w:pPr>
    </w:p>
    <w:p w14:paraId="638D1426" w14:textId="77777777" w:rsidR="001875B9" w:rsidRPr="001875B9" w:rsidRDefault="001875B9" w:rsidP="001875B9">
      <w:pPr>
        <w:pStyle w:val="ListParagraph"/>
        <w:rPr>
          <w:rFonts w:ascii="Arial" w:hAnsi="Arial" w:cs="Arial"/>
          <w:b/>
          <w:bCs/>
          <w:sz w:val="24"/>
          <w:szCs w:val="24"/>
        </w:rPr>
      </w:pPr>
    </w:p>
    <w:p w14:paraId="6B90EF36" w14:textId="3235ED12" w:rsidR="001875B9" w:rsidRPr="001875B9" w:rsidRDefault="00555538" w:rsidP="001875B9">
      <w:pPr>
        <w:pStyle w:val="ListParagraph"/>
        <w:spacing w:line="360" w:lineRule="auto"/>
        <w:ind w:left="0"/>
        <w:jc w:val="both"/>
        <w:rPr>
          <w:rFonts w:ascii="Arial" w:hAnsi="Arial" w:cs="Arial"/>
          <w:sz w:val="24"/>
          <w:szCs w:val="24"/>
        </w:rPr>
      </w:pPr>
      <w:r w:rsidRPr="001875B9">
        <w:rPr>
          <w:rFonts w:ascii="Arial" w:hAnsi="Arial" w:cs="Arial"/>
          <w:b/>
          <w:bCs/>
          <w:sz w:val="24"/>
          <w:szCs w:val="24"/>
        </w:rPr>
        <w:lastRenderedPageBreak/>
        <w:t xml:space="preserve">The respondent’s </w:t>
      </w:r>
      <w:r w:rsidR="00F56388" w:rsidRPr="001875B9">
        <w:rPr>
          <w:rFonts w:ascii="Arial" w:hAnsi="Arial" w:cs="Arial"/>
          <w:b/>
          <w:bCs/>
          <w:sz w:val="24"/>
          <w:szCs w:val="24"/>
        </w:rPr>
        <w:t>defence</w:t>
      </w:r>
    </w:p>
    <w:p w14:paraId="59D48828" w14:textId="77777777" w:rsidR="001875B9" w:rsidRPr="001875B9" w:rsidRDefault="001875B9" w:rsidP="001875B9">
      <w:pPr>
        <w:pStyle w:val="ListParagraph"/>
        <w:spacing w:line="360" w:lineRule="auto"/>
        <w:ind w:left="0"/>
        <w:jc w:val="both"/>
        <w:rPr>
          <w:rFonts w:ascii="Arial" w:hAnsi="Arial" w:cs="Arial"/>
          <w:sz w:val="24"/>
          <w:szCs w:val="24"/>
        </w:rPr>
      </w:pPr>
    </w:p>
    <w:p w14:paraId="577F7564" w14:textId="55DCA290"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55538" w:rsidRPr="00E65D67">
        <w:rPr>
          <w:rFonts w:ascii="Arial" w:hAnsi="Arial" w:cs="Arial"/>
          <w:sz w:val="24"/>
          <w:szCs w:val="24"/>
        </w:rPr>
        <w:t xml:space="preserve">The respondent </w:t>
      </w:r>
      <w:r w:rsidR="006375C7" w:rsidRPr="00E65D67">
        <w:rPr>
          <w:rFonts w:ascii="Arial" w:hAnsi="Arial" w:cs="Arial"/>
          <w:sz w:val="24"/>
          <w:szCs w:val="24"/>
        </w:rPr>
        <w:t xml:space="preserve">avers that she </w:t>
      </w:r>
      <w:r w:rsidR="00E42141" w:rsidRPr="00E65D67">
        <w:rPr>
          <w:rFonts w:ascii="Arial" w:hAnsi="Arial" w:cs="Arial"/>
          <w:sz w:val="24"/>
          <w:szCs w:val="24"/>
        </w:rPr>
        <w:t xml:space="preserve">has been leasing </w:t>
      </w:r>
      <w:r w:rsidR="00392BB7" w:rsidRPr="00E65D67">
        <w:rPr>
          <w:rFonts w:ascii="Arial" w:hAnsi="Arial" w:cs="Arial"/>
          <w:sz w:val="24"/>
          <w:szCs w:val="24"/>
        </w:rPr>
        <w:t xml:space="preserve">erven 354, 355, 356 and 357 </w:t>
      </w:r>
      <w:r w:rsidR="00E42141" w:rsidRPr="00E65D67">
        <w:rPr>
          <w:rFonts w:ascii="Arial" w:hAnsi="Arial" w:cs="Arial"/>
          <w:sz w:val="24"/>
          <w:szCs w:val="24"/>
        </w:rPr>
        <w:t>s</w:t>
      </w:r>
      <w:r w:rsidR="00392BB7" w:rsidRPr="00E65D67">
        <w:rPr>
          <w:rFonts w:ascii="Arial" w:hAnsi="Arial" w:cs="Arial"/>
          <w:sz w:val="24"/>
          <w:szCs w:val="24"/>
        </w:rPr>
        <w:t>in</w:t>
      </w:r>
      <w:r w:rsidR="00E42141" w:rsidRPr="00E65D67">
        <w:rPr>
          <w:rFonts w:ascii="Arial" w:hAnsi="Arial" w:cs="Arial"/>
          <w:sz w:val="24"/>
          <w:szCs w:val="24"/>
        </w:rPr>
        <w:t>ce</w:t>
      </w:r>
      <w:r w:rsidR="00392BB7" w:rsidRPr="00E65D67">
        <w:rPr>
          <w:rFonts w:ascii="Arial" w:hAnsi="Arial" w:cs="Arial"/>
          <w:sz w:val="24"/>
          <w:szCs w:val="24"/>
        </w:rPr>
        <w:t xml:space="preserve"> 1998</w:t>
      </w:r>
      <w:r w:rsidR="004C44F2" w:rsidRPr="00E65D67">
        <w:rPr>
          <w:rFonts w:ascii="Arial" w:hAnsi="Arial" w:cs="Arial"/>
          <w:sz w:val="24"/>
          <w:szCs w:val="24"/>
        </w:rPr>
        <w:t>.</w:t>
      </w:r>
      <w:r w:rsidR="009E0E07" w:rsidRPr="00E65D67">
        <w:rPr>
          <w:rFonts w:ascii="Arial" w:hAnsi="Arial" w:cs="Arial"/>
          <w:sz w:val="24"/>
          <w:szCs w:val="24"/>
        </w:rPr>
        <w:t xml:space="preserve"> Upon the termination of the lease agreement</w:t>
      </w:r>
      <w:r w:rsidR="008D4704" w:rsidRPr="00E65D67">
        <w:rPr>
          <w:rFonts w:ascii="Arial" w:hAnsi="Arial" w:cs="Arial"/>
          <w:sz w:val="24"/>
          <w:szCs w:val="24"/>
        </w:rPr>
        <w:t xml:space="preserve">, </w:t>
      </w:r>
      <w:r w:rsidR="00200C85" w:rsidRPr="00E65D67">
        <w:rPr>
          <w:rFonts w:ascii="Arial" w:hAnsi="Arial" w:cs="Arial"/>
          <w:sz w:val="24"/>
          <w:szCs w:val="24"/>
        </w:rPr>
        <w:t>she vacated erven 354, 355 and 356, but continued to occupy erf 357</w:t>
      </w:r>
      <w:r w:rsidR="00207CA7" w:rsidRPr="00E65D67">
        <w:rPr>
          <w:rFonts w:ascii="Arial" w:hAnsi="Arial" w:cs="Arial"/>
          <w:sz w:val="24"/>
          <w:szCs w:val="24"/>
        </w:rPr>
        <w:t>. S</w:t>
      </w:r>
      <w:r w:rsidR="00241D69" w:rsidRPr="00E65D67">
        <w:rPr>
          <w:rFonts w:ascii="Arial" w:hAnsi="Arial" w:cs="Arial"/>
          <w:sz w:val="24"/>
          <w:szCs w:val="24"/>
        </w:rPr>
        <w:t xml:space="preserve">he </w:t>
      </w:r>
      <w:r w:rsidR="007E01F1" w:rsidRPr="00E65D67">
        <w:rPr>
          <w:rFonts w:ascii="Arial" w:hAnsi="Arial" w:cs="Arial"/>
          <w:sz w:val="24"/>
          <w:szCs w:val="24"/>
        </w:rPr>
        <w:t>operate</w:t>
      </w:r>
      <w:r w:rsidR="00207CA7" w:rsidRPr="00E65D67">
        <w:rPr>
          <w:rFonts w:ascii="Arial" w:hAnsi="Arial" w:cs="Arial"/>
          <w:sz w:val="24"/>
          <w:szCs w:val="24"/>
        </w:rPr>
        <w:t>s</w:t>
      </w:r>
      <w:r w:rsidR="007E01F1" w:rsidRPr="00E65D67">
        <w:rPr>
          <w:rFonts w:ascii="Arial" w:hAnsi="Arial" w:cs="Arial"/>
          <w:sz w:val="24"/>
          <w:szCs w:val="24"/>
        </w:rPr>
        <w:t xml:space="preserve"> a petrol station</w:t>
      </w:r>
      <w:r w:rsidR="00207CA7" w:rsidRPr="00E65D67">
        <w:rPr>
          <w:rFonts w:ascii="Arial" w:hAnsi="Arial" w:cs="Arial"/>
          <w:sz w:val="24"/>
          <w:szCs w:val="24"/>
        </w:rPr>
        <w:t xml:space="preserve"> thereon</w:t>
      </w:r>
      <w:r w:rsidR="007E01F1" w:rsidRPr="00E65D67">
        <w:rPr>
          <w:rFonts w:ascii="Arial" w:hAnsi="Arial" w:cs="Arial"/>
          <w:sz w:val="24"/>
          <w:szCs w:val="24"/>
        </w:rPr>
        <w:t>.</w:t>
      </w:r>
      <w:r w:rsidR="00424367" w:rsidRPr="00E65D67">
        <w:rPr>
          <w:rFonts w:ascii="Arial" w:hAnsi="Arial" w:cs="Arial"/>
          <w:sz w:val="24"/>
          <w:szCs w:val="24"/>
        </w:rPr>
        <w:t xml:space="preserve"> </w:t>
      </w:r>
    </w:p>
    <w:p w14:paraId="2D0062F3" w14:textId="77777777" w:rsidR="001875B9" w:rsidRDefault="001875B9" w:rsidP="001875B9">
      <w:pPr>
        <w:pStyle w:val="ListParagraph"/>
        <w:spacing w:line="360" w:lineRule="auto"/>
        <w:ind w:left="0"/>
        <w:jc w:val="both"/>
        <w:rPr>
          <w:rFonts w:ascii="Arial" w:hAnsi="Arial" w:cs="Arial"/>
          <w:sz w:val="24"/>
          <w:szCs w:val="24"/>
        </w:rPr>
      </w:pPr>
    </w:p>
    <w:p w14:paraId="42725631" w14:textId="5634581D"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063B6" w:rsidRPr="00E65D67">
        <w:rPr>
          <w:rFonts w:ascii="Arial" w:hAnsi="Arial" w:cs="Arial"/>
          <w:sz w:val="24"/>
          <w:szCs w:val="24"/>
        </w:rPr>
        <w:t>In 2018, alleges the respondent, s</w:t>
      </w:r>
      <w:r w:rsidR="00424367" w:rsidRPr="00E65D67">
        <w:rPr>
          <w:rFonts w:ascii="Arial" w:hAnsi="Arial" w:cs="Arial"/>
          <w:sz w:val="24"/>
          <w:szCs w:val="24"/>
        </w:rPr>
        <w:t xml:space="preserve">he entered into an agreement </w:t>
      </w:r>
      <w:r w:rsidR="00A77CFF" w:rsidRPr="00E65D67">
        <w:rPr>
          <w:rFonts w:ascii="Arial" w:hAnsi="Arial" w:cs="Arial"/>
          <w:sz w:val="24"/>
          <w:szCs w:val="24"/>
        </w:rPr>
        <w:t xml:space="preserve">for the </w:t>
      </w:r>
      <w:r w:rsidR="00676AA1" w:rsidRPr="00E65D67">
        <w:rPr>
          <w:rFonts w:ascii="Arial" w:hAnsi="Arial" w:cs="Arial"/>
          <w:sz w:val="24"/>
          <w:szCs w:val="24"/>
        </w:rPr>
        <w:t>lea</w:t>
      </w:r>
      <w:r w:rsidR="00A77CFF" w:rsidRPr="00E65D67">
        <w:rPr>
          <w:rFonts w:ascii="Arial" w:hAnsi="Arial" w:cs="Arial"/>
          <w:sz w:val="24"/>
          <w:szCs w:val="24"/>
        </w:rPr>
        <w:t xml:space="preserve">se of </w:t>
      </w:r>
      <w:r w:rsidR="00676AA1" w:rsidRPr="00E65D67">
        <w:rPr>
          <w:rFonts w:ascii="Arial" w:hAnsi="Arial" w:cs="Arial"/>
          <w:sz w:val="24"/>
          <w:szCs w:val="24"/>
        </w:rPr>
        <w:t>erf 35</w:t>
      </w:r>
      <w:r w:rsidR="00D063B6" w:rsidRPr="00E65D67">
        <w:rPr>
          <w:rFonts w:ascii="Arial" w:hAnsi="Arial" w:cs="Arial"/>
          <w:sz w:val="24"/>
          <w:szCs w:val="24"/>
        </w:rPr>
        <w:t>7</w:t>
      </w:r>
      <w:r w:rsidR="00676AA1" w:rsidRPr="00E65D67">
        <w:rPr>
          <w:rFonts w:ascii="Arial" w:hAnsi="Arial" w:cs="Arial"/>
          <w:sz w:val="24"/>
          <w:szCs w:val="24"/>
        </w:rPr>
        <w:t>.</w:t>
      </w:r>
      <w:r w:rsidR="00943B70" w:rsidRPr="00E65D67">
        <w:rPr>
          <w:rFonts w:ascii="Arial" w:hAnsi="Arial" w:cs="Arial"/>
          <w:sz w:val="24"/>
          <w:szCs w:val="24"/>
        </w:rPr>
        <w:t xml:space="preserve"> The terms thereof were, </w:t>
      </w:r>
      <w:r w:rsidR="00943B70" w:rsidRPr="00E65D67">
        <w:rPr>
          <w:rFonts w:ascii="Arial" w:hAnsi="Arial" w:cs="Arial"/>
          <w:i/>
          <w:iCs/>
          <w:sz w:val="24"/>
          <w:szCs w:val="24"/>
        </w:rPr>
        <w:t>inter alia</w:t>
      </w:r>
      <w:r w:rsidR="00943B70" w:rsidRPr="00E65D67">
        <w:rPr>
          <w:rFonts w:ascii="Arial" w:hAnsi="Arial" w:cs="Arial"/>
          <w:sz w:val="24"/>
          <w:szCs w:val="24"/>
        </w:rPr>
        <w:t>,</w:t>
      </w:r>
      <w:r w:rsidR="003B2059" w:rsidRPr="00E65D67">
        <w:rPr>
          <w:rFonts w:ascii="Arial" w:hAnsi="Arial" w:cs="Arial"/>
          <w:sz w:val="24"/>
          <w:szCs w:val="24"/>
        </w:rPr>
        <w:t xml:space="preserve"> that</w:t>
      </w:r>
      <w:r w:rsidR="00943B70" w:rsidRPr="00E65D67">
        <w:rPr>
          <w:rFonts w:ascii="Arial" w:hAnsi="Arial" w:cs="Arial"/>
          <w:sz w:val="24"/>
          <w:szCs w:val="24"/>
        </w:rPr>
        <w:t xml:space="preserve"> </w:t>
      </w:r>
      <w:r w:rsidR="009A27F1" w:rsidRPr="00E65D67">
        <w:rPr>
          <w:rFonts w:ascii="Arial" w:hAnsi="Arial" w:cs="Arial"/>
          <w:sz w:val="24"/>
          <w:szCs w:val="24"/>
        </w:rPr>
        <w:t xml:space="preserve">monthly </w:t>
      </w:r>
      <w:r w:rsidR="00C64F97" w:rsidRPr="00E65D67">
        <w:rPr>
          <w:rFonts w:ascii="Arial" w:hAnsi="Arial" w:cs="Arial"/>
          <w:sz w:val="24"/>
          <w:szCs w:val="24"/>
        </w:rPr>
        <w:t>rental would be payable in the</w:t>
      </w:r>
      <w:r w:rsidR="005551FC" w:rsidRPr="00E65D67">
        <w:rPr>
          <w:rFonts w:ascii="Arial" w:hAnsi="Arial" w:cs="Arial"/>
          <w:sz w:val="24"/>
          <w:szCs w:val="24"/>
        </w:rPr>
        <w:t xml:space="preserve"> sum </w:t>
      </w:r>
      <w:r w:rsidR="00C64F97" w:rsidRPr="00E65D67">
        <w:rPr>
          <w:rFonts w:ascii="Arial" w:hAnsi="Arial" w:cs="Arial"/>
          <w:sz w:val="24"/>
          <w:szCs w:val="24"/>
        </w:rPr>
        <w:t>of R</w:t>
      </w:r>
      <w:r w:rsidR="009A27F1" w:rsidRPr="00E65D67">
        <w:rPr>
          <w:rFonts w:ascii="Arial" w:hAnsi="Arial" w:cs="Arial"/>
          <w:sz w:val="24"/>
          <w:szCs w:val="24"/>
        </w:rPr>
        <w:t>8,000</w:t>
      </w:r>
      <w:r w:rsidR="007812C5" w:rsidRPr="00E65D67">
        <w:rPr>
          <w:rFonts w:ascii="Arial" w:hAnsi="Arial" w:cs="Arial"/>
          <w:sz w:val="24"/>
          <w:szCs w:val="24"/>
        </w:rPr>
        <w:t xml:space="preserve">. She </w:t>
      </w:r>
      <w:r w:rsidR="002B12D7" w:rsidRPr="00E65D67">
        <w:rPr>
          <w:rFonts w:ascii="Arial" w:hAnsi="Arial" w:cs="Arial"/>
          <w:sz w:val="24"/>
          <w:szCs w:val="24"/>
        </w:rPr>
        <w:t xml:space="preserve">continues to </w:t>
      </w:r>
      <w:r w:rsidR="005551FC" w:rsidRPr="00E65D67">
        <w:rPr>
          <w:rFonts w:ascii="Arial" w:hAnsi="Arial" w:cs="Arial"/>
          <w:sz w:val="24"/>
          <w:szCs w:val="24"/>
        </w:rPr>
        <w:t xml:space="preserve">pay such amount. Despite requests </w:t>
      </w:r>
      <w:r w:rsidR="00271A2C" w:rsidRPr="00E65D67">
        <w:rPr>
          <w:rFonts w:ascii="Arial" w:hAnsi="Arial" w:cs="Arial"/>
          <w:sz w:val="24"/>
          <w:szCs w:val="24"/>
        </w:rPr>
        <w:t xml:space="preserve">for a copy </w:t>
      </w:r>
      <w:r w:rsidR="0012455F" w:rsidRPr="00E65D67">
        <w:rPr>
          <w:rFonts w:ascii="Arial" w:hAnsi="Arial" w:cs="Arial"/>
          <w:sz w:val="24"/>
          <w:szCs w:val="24"/>
        </w:rPr>
        <w:t xml:space="preserve">of the agreement, says the respondent, </w:t>
      </w:r>
      <w:r w:rsidR="00407D13" w:rsidRPr="00E65D67">
        <w:rPr>
          <w:rFonts w:ascii="Arial" w:hAnsi="Arial" w:cs="Arial"/>
          <w:sz w:val="24"/>
          <w:szCs w:val="24"/>
        </w:rPr>
        <w:t xml:space="preserve">none </w:t>
      </w:r>
      <w:r w:rsidR="00F73D3D" w:rsidRPr="00E65D67">
        <w:rPr>
          <w:rFonts w:ascii="Arial" w:hAnsi="Arial" w:cs="Arial"/>
          <w:sz w:val="24"/>
          <w:szCs w:val="24"/>
        </w:rPr>
        <w:t>h</w:t>
      </w:r>
      <w:r w:rsidR="00407D13" w:rsidRPr="00E65D67">
        <w:rPr>
          <w:rFonts w:ascii="Arial" w:hAnsi="Arial" w:cs="Arial"/>
          <w:sz w:val="24"/>
          <w:szCs w:val="24"/>
        </w:rPr>
        <w:t>as been provided.</w:t>
      </w:r>
      <w:r w:rsidR="003028DE" w:rsidRPr="00E65D67">
        <w:rPr>
          <w:rFonts w:ascii="Arial" w:hAnsi="Arial" w:cs="Arial"/>
          <w:sz w:val="24"/>
          <w:szCs w:val="24"/>
        </w:rPr>
        <w:t xml:space="preserve"> Nevertheless, the </w:t>
      </w:r>
      <w:r w:rsidR="0008200B" w:rsidRPr="00E65D67">
        <w:rPr>
          <w:rFonts w:ascii="Arial" w:hAnsi="Arial" w:cs="Arial"/>
          <w:sz w:val="24"/>
          <w:szCs w:val="24"/>
        </w:rPr>
        <w:t>lease of erf 357 remains extant.</w:t>
      </w:r>
    </w:p>
    <w:p w14:paraId="37617077" w14:textId="77777777" w:rsidR="001875B9" w:rsidRPr="001875B9" w:rsidRDefault="001875B9" w:rsidP="001875B9">
      <w:pPr>
        <w:pStyle w:val="ListParagraph"/>
        <w:rPr>
          <w:rFonts w:ascii="Arial" w:hAnsi="Arial" w:cs="Arial"/>
          <w:sz w:val="24"/>
          <w:szCs w:val="24"/>
        </w:rPr>
      </w:pPr>
    </w:p>
    <w:p w14:paraId="57D65BAE" w14:textId="602C1BBB"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04E7A" w:rsidRPr="00E65D67">
        <w:rPr>
          <w:rFonts w:ascii="Arial" w:hAnsi="Arial" w:cs="Arial"/>
          <w:sz w:val="24"/>
          <w:szCs w:val="24"/>
        </w:rPr>
        <w:t xml:space="preserve">The respondent </w:t>
      </w:r>
      <w:r w:rsidR="00F73D3D" w:rsidRPr="00E65D67">
        <w:rPr>
          <w:rFonts w:ascii="Arial" w:hAnsi="Arial" w:cs="Arial"/>
          <w:sz w:val="24"/>
          <w:szCs w:val="24"/>
        </w:rPr>
        <w:t xml:space="preserve">denies having received </w:t>
      </w:r>
      <w:r w:rsidR="00017307" w:rsidRPr="00E65D67">
        <w:rPr>
          <w:rFonts w:ascii="Arial" w:hAnsi="Arial" w:cs="Arial"/>
          <w:sz w:val="24"/>
          <w:szCs w:val="24"/>
        </w:rPr>
        <w:t>the notice</w:t>
      </w:r>
      <w:r w:rsidR="007F349F" w:rsidRPr="00E65D67">
        <w:rPr>
          <w:rFonts w:ascii="Arial" w:hAnsi="Arial" w:cs="Arial"/>
          <w:sz w:val="24"/>
          <w:szCs w:val="24"/>
        </w:rPr>
        <w:t>s dated</w:t>
      </w:r>
      <w:r w:rsidR="00017307" w:rsidRPr="00E65D67">
        <w:rPr>
          <w:rFonts w:ascii="Arial" w:hAnsi="Arial" w:cs="Arial"/>
          <w:sz w:val="24"/>
          <w:szCs w:val="24"/>
        </w:rPr>
        <w:t xml:space="preserve"> </w:t>
      </w:r>
      <w:r w:rsidR="00B7527D" w:rsidRPr="00E65D67">
        <w:rPr>
          <w:rFonts w:ascii="Arial" w:hAnsi="Arial" w:cs="Arial"/>
          <w:sz w:val="24"/>
          <w:szCs w:val="24"/>
        </w:rPr>
        <w:t>12 November 2019</w:t>
      </w:r>
      <w:r w:rsidR="00297745" w:rsidRPr="00E65D67">
        <w:rPr>
          <w:rFonts w:ascii="Arial" w:hAnsi="Arial" w:cs="Arial"/>
          <w:sz w:val="24"/>
          <w:szCs w:val="24"/>
        </w:rPr>
        <w:t xml:space="preserve"> </w:t>
      </w:r>
      <w:r w:rsidR="007F349F" w:rsidRPr="00E65D67">
        <w:rPr>
          <w:rFonts w:ascii="Arial" w:hAnsi="Arial" w:cs="Arial"/>
          <w:sz w:val="24"/>
          <w:szCs w:val="24"/>
        </w:rPr>
        <w:t xml:space="preserve">and </w:t>
      </w:r>
      <w:r w:rsidR="00297745" w:rsidRPr="00E65D67">
        <w:rPr>
          <w:rFonts w:ascii="Arial" w:hAnsi="Arial" w:cs="Arial"/>
          <w:sz w:val="24"/>
          <w:szCs w:val="24"/>
        </w:rPr>
        <w:t xml:space="preserve">4 March </w:t>
      </w:r>
      <w:r w:rsidR="00E91C39" w:rsidRPr="00E65D67">
        <w:rPr>
          <w:rFonts w:ascii="Arial" w:hAnsi="Arial" w:cs="Arial"/>
          <w:sz w:val="24"/>
          <w:szCs w:val="24"/>
        </w:rPr>
        <w:t>2020, as the applicant has alleged.</w:t>
      </w:r>
      <w:r w:rsidR="00153806" w:rsidRPr="00E65D67">
        <w:rPr>
          <w:rFonts w:ascii="Arial" w:hAnsi="Arial" w:cs="Arial"/>
          <w:sz w:val="24"/>
          <w:szCs w:val="24"/>
        </w:rPr>
        <w:t xml:space="preserve"> </w:t>
      </w:r>
      <w:r w:rsidR="004E4D57" w:rsidRPr="00E65D67">
        <w:rPr>
          <w:rFonts w:ascii="Arial" w:hAnsi="Arial" w:cs="Arial"/>
          <w:sz w:val="24"/>
          <w:szCs w:val="24"/>
        </w:rPr>
        <w:t xml:space="preserve">She denies having seen the notice in the </w:t>
      </w:r>
      <w:r w:rsidR="000A5D72" w:rsidRPr="00E65D67">
        <w:rPr>
          <w:rFonts w:ascii="Arial" w:hAnsi="Arial" w:cs="Arial"/>
          <w:sz w:val="24"/>
          <w:szCs w:val="24"/>
        </w:rPr>
        <w:t xml:space="preserve">newspaper on 3 June 2020. </w:t>
      </w:r>
      <w:r w:rsidR="00153806" w:rsidRPr="00E65D67">
        <w:rPr>
          <w:rFonts w:ascii="Arial" w:hAnsi="Arial" w:cs="Arial"/>
          <w:sz w:val="24"/>
          <w:szCs w:val="24"/>
        </w:rPr>
        <w:t xml:space="preserve">She is adamant that </w:t>
      </w:r>
      <w:r w:rsidR="00EA4804" w:rsidRPr="00E65D67">
        <w:rPr>
          <w:rFonts w:ascii="Arial" w:hAnsi="Arial" w:cs="Arial"/>
          <w:sz w:val="24"/>
          <w:szCs w:val="24"/>
        </w:rPr>
        <w:t>she had been</w:t>
      </w:r>
      <w:r w:rsidR="000F0AE8" w:rsidRPr="00E65D67">
        <w:rPr>
          <w:rFonts w:ascii="Arial" w:hAnsi="Arial" w:cs="Arial"/>
          <w:sz w:val="24"/>
          <w:szCs w:val="24"/>
        </w:rPr>
        <w:t xml:space="preserve"> pay</w:t>
      </w:r>
      <w:r w:rsidR="00EA4804" w:rsidRPr="00E65D67">
        <w:rPr>
          <w:rFonts w:ascii="Arial" w:hAnsi="Arial" w:cs="Arial"/>
          <w:sz w:val="24"/>
          <w:szCs w:val="24"/>
        </w:rPr>
        <w:t xml:space="preserve">ing her </w:t>
      </w:r>
      <w:r w:rsidR="000F0AE8" w:rsidRPr="00E65D67">
        <w:rPr>
          <w:rFonts w:ascii="Arial" w:hAnsi="Arial" w:cs="Arial"/>
          <w:sz w:val="24"/>
          <w:szCs w:val="24"/>
        </w:rPr>
        <w:t xml:space="preserve">monthly rental </w:t>
      </w:r>
      <w:r w:rsidR="00EA4804" w:rsidRPr="00E65D67">
        <w:rPr>
          <w:rFonts w:ascii="Arial" w:hAnsi="Arial" w:cs="Arial"/>
          <w:sz w:val="24"/>
          <w:szCs w:val="24"/>
        </w:rPr>
        <w:t xml:space="preserve">at the time and </w:t>
      </w:r>
      <w:r w:rsidR="00282D08" w:rsidRPr="00E65D67">
        <w:rPr>
          <w:rFonts w:ascii="Arial" w:hAnsi="Arial" w:cs="Arial"/>
          <w:sz w:val="24"/>
          <w:szCs w:val="24"/>
        </w:rPr>
        <w:t xml:space="preserve">points out that the applicant has failed to </w:t>
      </w:r>
      <w:r w:rsidR="000D39ED" w:rsidRPr="00E65D67">
        <w:rPr>
          <w:rFonts w:ascii="Arial" w:hAnsi="Arial" w:cs="Arial"/>
          <w:sz w:val="24"/>
          <w:szCs w:val="24"/>
        </w:rPr>
        <w:t xml:space="preserve">furnish her with </w:t>
      </w:r>
      <w:r w:rsidR="00CB1D97" w:rsidRPr="00E65D67">
        <w:rPr>
          <w:rFonts w:ascii="Arial" w:hAnsi="Arial" w:cs="Arial"/>
          <w:sz w:val="24"/>
          <w:szCs w:val="24"/>
        </w:rPr>
        <w:t xml:space="preserve">a </w:t>
      </w:r>
      <w:r w:rsidR="001E270E" w:rsidRPr="00E65D67">
        <w:rPr>
          <w:rFonts w:ascii="Arial" w:hAnsi="Arial" w:cs="Arial"/>
          <w:sz w:val="24"/>
          <w:szCs w:val="24"/>
        </w:rPr>
        <w:t xml:space="preserve">proper </w:t>
      </w:r>
      <w:r w:rsidR="00CB1D97" w:rsidRPr="00E65D67">
        <w:rPr>
          <w:rFonts w:ascii="Arial" w:hAnsi="Arial" w:cs="Arial"/>
          <w:sz w:val="24"/>
          <w:szCs w:val="24"/>
        </w:rPr>
        <w:t xml:space="preserve">reconciliation </w:t>
      </w:r>
      <w:r w:rsidR="001E270E" w:rsidRPr="00E65D67">
        <w:rPr>
          <w:rFonts w:ascii="Arial" w:hAnsi="Arial" w:cs="Arial"/>
          <w:sz w:val="24"/>
          <w:szCs w:val="24"/>
        </w:rPr>
        <w:t>statement for</w:t>
      </w:r>
      <w:r w:rsidR="00CB1D97" w:rsidRPr="00E65D67">
        <w:rPr>
          <w:rFonts w:ascii="Arial" w:hAnsi="Arial" w:cs="Arial"/>
          <w:sz w:val="24"/>
          <w:szCs w:val="24"/>
        </w:rPr>
        <w:t xml:space="preserve"> her account, indicating </w:t>
      </w:r>
      <w:r w:rsidR="00F64983" w:rsidRPr="00E65D67">
        <w:rPr>
          <w:rFonts w:ascii="Arial" w:hAnsi="Arial" w:cs="Arial"/>
          <w:sz w:val="24"/>
          <w:szCs w:val="24"/>
        </w:rPr>
        <w:t>what might have been outstanding.</w:t>
      </w:r>
      <w:r w:rsidR="005E5F53" w:rsidRPr="00E65D67">
        <w:rPr>
          <w:rFonts w:ascii="Arial" w:hAnsi="Arial" w:cs="Arial"/>
          <w:sz w:val="24"/>
          <w:szCs w:val="24"/>
        </w:rPr>
        <w:t xml:space="preserve"> </w:t>
      </w:r>
      <w:r w:rsidR="001E270E" w:rsidRPr="00E65D67">
        <w:rPr>
          <w:rFonts w:ascii="Arial" w:hAnsi="Arial" w:cs="Arial"/>
          <w:sz w:val="24"/>
          <w:szCs w:val="24"/>
        </w:rPr>
        <w:t xml:space="preserve">The statement attached to the founding papers </w:t>
      </w:r>
      <w:r w:rsidR="00F4228F" w:rsidRPr="00E65D67">
        <w:rPr>
          <w:rFonts w:ascii="Arial" w:hAnsi="Arial" w:cs="Arial"/>
          <w:sz w:val="24"/>
          <w:szCs w:val="24"/>
        </w:rPr>
        <w:t>made little sense</w:t>
      </w:r>
      <w:r w:rsidR="002C4630" w:rsidRPr="00E65D67">
        <w:rPr>
          <w:rFonts w:ascii="Arial" w:hAnsi="Arial" w:cs="Arial"/>
          <w:sz w:val="24"/>
          <w:szCs w:val="24"/>
        </w:rPr>
        <w:t xml:space="preserve"> at all</w:t>
      </w:r>
      <w:r w:rsidR="00F4228F" w:rsidRPr="00E65D67">
        <w:rPr>
          <w:rFonts w:ascii="Arial" w:hAnsi="Arial" w:cs="Arial"/>
          <w:sz w:val="24"/>
          <w:szCs w:val="24"/>
        </w:rPr>
        <w:t>.</w:t>
      </w:r>
    </w:p>
    <w:p w14:paraId="55880D95" w14:textId="77777777" w:rsidR="001875B9" w:rsidRPr="001875B9" w:rsidRDefault="001875B9" w:rsidP="001875B9">
      <w:pPr>
        <w:pStyle w:val="ListParagraph"/>
        <w:rPr>
          <w:rFonts w:ascii="Arial" w:hAnsi="Arial" w:cs="Arial"/>
          <w:sz w:val="24"/>
          <w:szCs w:val="24"/>
        </w:rPr>
      </w:pPr>
    </w:p>
    <w:p w14:paraId="6B334BA2" w14:textId="203A4206"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B38FA" w:rsidRPr="00E65D67">
        <w:rPr>
          <w:rFonts w:ascii="Arial" w:hAnsi="Arial" w:cs="Arial"/>
          <w:sz w:val="24"/>
          <w:szCs w:val="24"/>
        </w:rPr>
        <w:t xml:space="preserve">Consequently, the respondent </w:t>
      </w:r>
      <w:r w:rsidR="003A7E77" w:rsidRPr="00E65D67">
        <w:rPr>
          <w:rFonts w:ascii="Arial" w:hAnsi="Arial" w:cs="Arial"/>
          <w:sz w:val="24"/>
          <w:szCs w:val="24"/>
        </w:rPr>
        <w:t>disputes the allegation that she owes an amount of R119,242 to the applicant</w:t>
      </w:r>
      <w:r w:rsidR="00CA18B4" w:rsidRPr="00E65D67">
        <w:rPr>
          <w:rFonts w:ascii="Arial" w:hAnsi="Arial" w:cs="Arial"/>
          <w:sz w:val="24"/>
          <w:szCs w:val="24"/>
        </w:rPr>
        <w:t xml:space="preserve">. She also disputes that she has not been paying </w:t>
      </w:r>
      <w:r w:rsidR="00DA07E6" w:rsidRPr="00E65D67">
        <w:rPr>
          <w:rFonts w:ascii="Arial" w:hAnsi="Arial" w:cs="Arial"/>
          <w:sz w:val="24"/>
          <w:szCs w:val="24"/>
        </w:rPr>
        <w:t>for municipal services.</w:t>
      </w:r>
    </w:p>
    <w:p w14:paraId="2E704739" w14:textId="77777777" w:rsidR="001875B9" w:rsidRPr="001875B9" w:rsidRDefault="001875B9" w:rsidP="001875B9">
      <w:pPr>
        <w:pStyle w:val="ListParagraph"/>
        <w:rPr>
          <w:rFonts w:ascii="Arial" w:hAnsi="Arial" w:cs="Arial"/>
          <w:sz w:val="24"/>
          <w:szCs w:val="24"/>
        </w:rPr>
      </w:pPr>
    </w:p>
    <w:p w14:paraId="29E9805C" w14:textId="77777777" w:rsidR="001875B9" w:rsidRPr="001875B9" w:rsidRDefault="001875B9" w:rsidP="001875B9">
      <w:pPr>
        <w:pStyle w:val="ListParagraph"/>
        <w:rPr>
          <w:rFonts w:ascii="Arial" w:hAnsi="Arial" w:cs="Arial"/>
          <w:b/>
          <w:bCs/>
          <w:sz w:val="24"/>
          <w:szCs w:val="24"/>
        </w:rPr>
      </w:pPr>
    </w:p>
    <w:p w14:paraId="6E4C3F25" w14:textId="7E1F73BC" w:rsidR="001875B9" w:rsidRPr="001875B9" w:rsidRDefault="00685DF8" w:rsidP="001875B9">
      <w:pPr>
        <w:pStyle w:val="ListParagraph"/>
        <w:spacing w:line="360" w:lineRule="auto"/>
        <w:ind w:left="0"/>
        <w:jc w:val="both"/>
        <w:rPr>
          <w:rFonts w:ascii="Arial" w:hAnsi="Arial" w:cs="Arial"/>
          <w:sz w:val="24"/>
          <w:szCs w:val="24"/>
        </w:rPr>
      </w:pPr>
      <w:r w:rsidRPr="001875B9">
        <w:rPr>
          <w:rFonts w:ascii="Arial" w:hAnsi="Arial" w:cs="Arial"/>
          <w:b/>
          <w:bCs/>
          <w:sz w:val="24"/>
          <w:szCs w:val="24"/>
        </w:rPr>
        <w:t>Issues to be decided</w:t>
      </w:r>
    </w:p>
    <w:p w14:paraId="17A7F8E6" w14:textId="77777777" w:rsidR="001875B9" w:rsidRPr="001875B9" w:rsidRDefault="001875B9" w:rsidP="001875B9">
      <w:pPr>
        <w:pStyle w:val="ListParagraph"/>
        <w:spacing w:line="360" w:lineRule="auto"/>
        <w:ind w:left="0"/>
        <w:jc w:val="both"/>
        <w:rPr>
          <w:rFonts w:ascii="Arial" w:hAnsi="Arial" w:cs="Arial"/>
          <w:sz w:val="24"/>
          <w:szCs w:val="24"/>
        </w:rPr>
      </w:pPr>
    </w:p>
    <w:p w14:paraId="14EF7623" w14:textId="1B5200BB"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56388" w:rsidRPr="00E65D67">
        <w:rPr>
          <w:rFonts w:ascii="Arial" w:hAnsi="Arial" w:cs="Arial"/>
          <w:sz w:val="24"/>
          <w:szCs w:val="24"/>
        </w:rPr>
        <w:t xml:space="preserve">The </w:t>
      </w:r>
      <w:r w:rsidR="00B765F5" w:rsidRPr="00E65D67">
        <w:rPr>
          <w:rFonts w:ascii="Arial" w:hAnsi="Arial" w:cs="Arial"/>
          <w:sz w:val="24"/>
          <w:szCs w:val="24"/>
        </w:rPr>
        <w:t>respondent</w:t>
      </w:r>
      <w:r w:rsidR="00476FB2" w:rsidRPr="00E65D67">
        <w:rPr>
          <w:rFonts w:ascii="Arial" w:hAnsi="Arial" w:cs="Arial"/>
          <w:sz w:val="24"/>
          <w:szCs w:val="24"/>
        </w:rPr>
        <w:t xml:space="preserve"> </w:t>
      </w:r>
      <w:r w:rsidR="00890ABC" w:rsidRPr="00E65D67">
        <w:rPr>
          <w:rFonts w:ascii="Arial" w:hAnsi="Arial" w:cs="Arial"/>
          <w:sz w:val="24"/>
          <w:szCs w:val="24"/>
        </w:rPr>
        <w:t xml:space="preserve">has </w:t>
      </w:r>
      <w:r w:rsidR="00476FB2" w:rsidRPr="00E65D67">
        <w:rPr>
          <w:rFonts w:ascii="Arial" w:hAnsi="Arial" w:cs="Arial"/>
          <w:sz w:val="24"/>
          <w:szCs w:val="24"/>
        </w:rPr>
        <w:t xml:space="preserve">raised </w:t>
      </w:r>
      <w:r w:rsidR="00685DF8" w:rsidRPr="00E65D67">
        <w:rPr>
          <w:rFonts w:ascii="Arial" w:hAnsi="Arial" w:cs="Arial"/>
          <w:sz w:val="24"/>
          <w:szCs w:val="24"/>
        </w:rPr>
        <w:t xml:space="preserve">several points </w:t>
      </w:r>
      <w:r w:rsidR="00685DF8" w:rsidRPr="00E65D67">
        <w:rPr>
          <w:rFonts w:ascii="Arial" w:hAnsi="Arial" w:cs="Arial"/>
          <w:i/>
          <w:iCs/>
          <w:sz w:val="24"/>
          <w:szCs w:val="24"/>
        </w:rPr>
        <w:t>in limine</w:t>
      </w:r>
      <w:r w:rsidR="005330C9" w:rsidRPr="00E65D67">
        <w:rPr>
          <w:rFonts w:ascii="Arial" w:hAnsi="Arial" w:cs="Arial"/>
          <w:sz w:val="24"/>
          <w:szCs w:val="24"/>
        </w:rPr>
        <w:t xml:space="preserve">. The first </w:t>
      </w:r>
      <w:r w:rsidR="00C90008" w:rsidRPr="00E65D67">
        <w:rPr>
          <w:rFonts w:ascii="Arial" w:hAnsi="Arial" w:cs="Arial"/>
          <w:sz w:val="24"/>
          <w:szCs w:val="24"/>
        </w:rPr>
        <w:t>pertain</w:t>
      </w:r>
      <w:r w:rsidR="00890ABC" w:rsidRPr="00E65D67">
        <w:rPr>
          <w:rFonts w:ascii="Arial" w:hAnsi="Arial" w:cs="Arial"/>
          <w:sz w:val="24"/>
          <w:szCs w:val="24"/>
        </w:rPr>
        <w:t>s</w:t>
      </w:r>
      <w:r w:rsidR="00C90008" w:rsidRPr="00E65D67">
        <w:rPr>
          <w:rFonts w:ascii="Arial" w:hAnsi="Arial" w:cs="Arial"/>
          <w:sz w:val="24"/>
          <w:szCs w:val="24"/>
        </w:rPr>
        <w:t xml:space="preserve"> to non-compliance with rule 41A of the Uniform Rules of Court</w:t>
      </w:r>
      <w:r w:rsidR="004F4A23" w:rsidRPr="00E65D67">
        <w:rPr>
          <w:rFonts w:ascii="Arial" w:hAnsi="Arial" w:cs="Arial"/>
          <w:sz w:val="24"/>
          <w:szCs w:val="24"/>
        </w:rPr>
        <w:t xml:space="preserve">. The second </w:t>
      </w:r>
      <w:r w:rsidR="007940D5" w:rsidRPr="00E65D67">
        <w:rPr>
          <w:rFonts w:ascii="Arial" w:hAnsi="Arial" w:cs="Arial"/>
          <w:sz w:val="24"/>
          <w:szCs w:val="24"/>
        </w:rPr>
        <w:t xml:space="preserve">and third </w:t>
      </w:r>
      <w:r w:rsidR="00BA7CA0" w:rsidRPr="00E65D67">
        <w:rPr>
          <w:rFonts w:ascii="Arial" w:hAnsi="Arial" w:cs="Arial"/>
          <w:sz w:val="24"/>
          <w:szCs w:val="24"/>
        </w:rPr>
        <w:t>pertain to</w:t>
      </w:r>
      <w:r w:rsidR="00890ABC" w:rsidRPr="00E65D67">
        <w:rPr>
          <w:rFonts w:ascii="Arial" w:hAnsi="Arial" w:cs="Arial"/>
          <w:sz w:val="24"/>
          <w:szCs w:val="24"/>
        </w:rPr>
        <w:t xml:space="preserve"> </w:t>
      </w:r>
      <w:r w:rsidR="003C06E8" w:rsidRPr="00E65D67">
        <w:rPr>
          <w:rFonts w:ascii="Arial" w:hAnsi="Arial" w:cs="Arial"/>
          <w:sz w:val="24"/>
          <w:szCs w:val="24"/>
        </w:rPr>
        <w:t>issues that relate to the merits of the application and are best decided within that context</w:t>
      </w:r>
      <w:r w:rsidR="009670AC" w:rsidRPr="00E65D67">
        <w:rPr>
          <w:rFonts w:ascii="Arial" w:hAnsi="Arial" w:cs="Arial"/>
          <w:sz w:val="24"/>
          <w:szCs w:val="24"/>
        </w:rPr>
        <w:t>.</w:t>
      </w:r>
    </w:p>
    <w:p w14:paraId="60EE3F38" w14:textId="77777777" w:rsidR="001875B9" w:rsidRDefault="001875B9" w:rsidP="001875B9">
      <w:pPr>
        <w:pStyle w:val="ListParagraph"/>
        <w:spacing w:line="360" w:lineRule="auto"/>
        <w:ind w:left="0"/>
        <w:jc w:val="both"/>
        <w:rPr>
          <w:rFonts w:ascii="Arial" w:hAnsi="Arial" w:cs="Arial"/>
          <w:sz w:val="24"/>
          <w:szCs w:val="24"/>
        </w:rPr>
      </w:pPr>
    </w:p>
    <w:p w14:paraId="38F83013" w14:textId="55E0C68B"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134D0" w:rsidRPr="00E65D67">
        <w:rPr>
          <w:rFonts w:ascii="Arial" w:hAnsi="Arial" w:cs="Arial"/>
          <w:sz w:val="24"/>
          <w:szCs w:val="24"/>
        </w:rPr>
        <w:t xml:space="preserve">Furthermore, the respondent has argued that there is </w:t>
      </w:r>
      <w:r w:rsidR="009A6002" w:rsidRPr="00E65D67">
        <w:rPr>
          <w:rFonts w:ascii="Arial" w:hAnsi="Arial" w:cs="Arial"/>
          <w:sz w:val="24"/>
          <w:szCs w:val="24"/>
        </w:rPr>
        <w:t>a dispute of fact and that the matter must be determined in accordance with the applicable case law</w:t>
      </w:r>
      <w:r w:rsidR="0081793F" w:rsidRPr="00E65D67">
        <w:rPr>
          <w:rFonts w:ascii="Arial" w:hAnsi="Arial" w:cs="Arial"/>
          <w:sz w:val="24"/>
          <w:szCs w:val="24"/>
        </w:rPr>
        <w:t>. This will need to be investigated.</w:t>
      </w:r>
    </w:p>
    <w:p w14:paraId="2459090B" w14:textId="77777777" w:rsidR="001875B9" w:rsidRPr="001875B9" w:rsidRDefault="001875B9" w:rsidP="001875B9">
      <w:pPr>
        <w:pStyle w:val="ListParagraph"/>
        <w:rPr>
          <w:rFonts w:ascii="Arial" w:hAnsi="Arial" w:cs="Arial"/>
          <w:sz w:val="24"/>
          <w:szCs w:val="24"/>
        </w:rPr>
      </w:pPr>
    </w:p>
    <w:p w14:paraId="6958A6D5" w14:textId="70CFFD04"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B2D4A" w:rsidRPr="00E65D67">
        <w:rPr>
          <w:rFonts w:ascii="Arial" w:hAnsi="Arial" w:cs="Arial"/>
          <w:sz w:val="24"/>
          <w:szCs w:val="24"/>
        </w:rPr>
        <w:t xml:space="preserve">If a dispute of fact does not arise, then </w:t>
      </w:r>
      <w:r w:rsidR="009670AC" w:rsidRPr="00E65D67">
        <w:rPr>
          <w:rFonts w:ascii="Arial" w:hAnsi="Arial" w:cs="Arial"/>
          <w:sz w:val="24"/>
          <w:szCs w:val="24"/>
        </w:rPr>
        <w:t>the court must decide</w:t>
      </w:r>
      <w:r w:rsidR="000B2D4A" w:rsidRPr="00E65D67">
        <w:rPr>
          <w:rFonts w:ascii="Arial" w:hAnsi="Arial" w:cs="Arial"/>
          <w:sz w:val="24"/>
          <w:szCs w:val="24"/>
        </w:rPr>
        <w:t>, overall</w:t>
      </w:r>
      <w:r w:rsidR="009670AC" w:rsidRPr="00E65D67">
        <w:rPr>
          <w:rFonts w:ascii="Arial" w:hAnsi="Arial" w:cs="Arial"/>
          <w:sz w:val="24"/>
          <w:szCs w:val="24"/>
        </w:rPr>
        <w:t xml:space="preserve">: (a) </w:t>
      </w:r>
      <w:r w:rsidR="009261A3" w:rsidRPr="00E65D67">
        <w:rPr>
          <w:rFonts w:ascii="Arial" w:hAnsi="Arial" w:cs="Arial"/>
          <w:sz w:val="24"/>
          <w:szCs w:val="24"/>
        </w:rPr>
        <w:t xml:space="preserve">whether </w:t>
      </w:r>
      <w:r w:rsidR="009670AC" w:rsidRPr="00E65D67">
        <w:rPr>
          <w:rFonts w:ascii="Arial" w:hAnsi="Arial" w:cs="Arial"/>
          <w:sz w:val="24"/>
          <w:szCs w:val="24"/>
        </w:rPr>
        <w:t xml:space="preserve">the </w:t>
      </w:r>
      <w:r w:rsidR="0035735E" w:rsidRPr="00E65D67">
        <w:rPr>
          <w:rFonts w:ascii="Arial" w:hAnsi="Arial" w:cs="Arial"/>
          <w:sz w:val="24"/>
          <w:szCs w:val="24"/>
        </w:rPr>
        <w:t>lease agreement has been terminated; and (b)</w:t>
      </w:r>
      <w:r w:rsidR="009261A3" w:rsidRPr="00E65D67">
        <w:rPr>
          <w:rFonts w:ascii="Arial" w:hAnsi="Arial" w:cs="Arial"/>
          <w:sz w:val="24"/>
          <w:szCs w:val="24"/>
        </w:rPr>
        <w:t xml:space="preserve"> whether there is a basis upon which to evict the respondent.</w:t>
      </w:r>
    </w:p>
    <w:p w14:paraId="05EC0E38" w14:textId="77777777" w:rsidR="001875B9" w:rsidRPr="001875B9" w:rsidRDefault="001875B9" w:rsidP="001875B9">
      <w:pPr>
        <w:pStyle w:val="ListParagraph"/>
        <w:rPr>
          <w:rFonts w:ascii="Arial" w:hAnsi="Arial" w:cs="Arial"/>
          <w:sz w:val="24"/>
          <w:szCs w:val="24"/>
        </w:rPr>
      </w:pPr>
    </w:p>
    <w:p w14:paraId="09052521" w14:textId="77777777" w:rsidR="001875B9" w:rsidRPr="001875B9" w:rsidRDefault="001875B9" w:rsidP="001875B9">
      <w:pPr>
        <w:pStyle w:val="ListParagraph"/>
        <w:rPr>
          <w:rFonts w:ascii="Arial" w:hAnsi="Arial" w:cs="Arial"/>
          <w:b/>
          <w:bCs/>
          <w:sz w:val="24"/>
          <w:szCs w:val="24"/>
        </w:rPr>
      </w:pPr>
    </w:p>
    <w:p w14:paraId="1DE7CFAA" w14:textId="61166C25" w:rsidR="001875B9" w:rsidRPr="001875B9" w:rsidRDefault="009261A3" w:rsidP="001875B9">
      <w:pPr>
        <w:pStyle w:val="ListParagraph"/>
        <w:spacing w:line="360" w:lineRule="auto"/>
        <w:ind w:left="0"/>
        <w:jc w:val="both"/>
        <w:rPr>
          <w:rFonts w:ascii="Arial" w:hAnsi="Arial" w:cs="Arial"/>
          <w:sz w:val="24"/>
          <w:szCs w:val="24"/>
        </w:rPr>
      </w:pPr>
      <w:r w:rsidRPr="001875B9">
        <w:rPr>
          <w:rFonts w:ascii="Arial" w:hAnsi="Arial" w:cs="Arial"/>
          <w:b/>
          <w:bCs/>
          <w:sz w:val="24"/>
          <w:szCs w:val="24"/>
        </w:rPr>
        <w:t xml:space="preserve">Points </w:t>
      </w:r>
      <w:r w:rsidRPr="001875B9">
        <w:rPr>
          <w:rFonts w:ascii="Arial" w:hAnsi="Arial" w:cs="Arial"/>
          <w:b/>
          <w:bCs/>
          <w:i/>
          <w:iCs/>
          <w:sz w:val="24"/>
          <w:szCs w:val="24"/>
        </w:rPr>
        <w:t>in limine</w:t>
      </w:r>
    </w:p>
    <w:p w14:paraId="343FBAE8" w14:textId="77777777" w:rsidR="001875B9" w:rsidRPr="001875B9" w:rsidRDefault="001875B9" w:rsidP="001875B9">
      <w:pPr>
        <w:pStyle w:val="ListParagraph"/>
        <w:spacing w:line="360" w:lineRule="auto"/>
        <w:ind w:left="0"/>
        <w:jc w:val="both"/>
        <w:rPr>
          <w:rFonts w:ascii="Arial" w:hAnsi="Arial" w:cs="Arial"/>
          <w:sz w:val="24"/>
          <w:szCs w:val="24"/>
        </w:rPr>
      </w:pPr>
    </w:p>
    <w:p w14:paraId="4611FC32" w14:textId="0B2D767B" w:rsidR="00A2754E" w:rsidRPr="00E65D67" w:rsidRDefault="00E65D67" w:rsidP="00E65D67">
      <w:pPr>
        <w:spacing w:line="360" w:lineRule="auto"/>
        <w:jc w:val="both"/>
        <w:rPr>
          <w:rFonts w:ascii="Arial" w:hAnsi="Arial" w:cs="Arial"/>
          <w:sz w:val="24"/>
          <w:szCs w:val="24"/>
        </w:rPr>
      </w:pPr>
      <w:r w:rsidRPr="001875B9">
        <w:rPr>
          <w:rFonts w:ascii="Arial" w:hAnsi="Arial" w:cs="Arial"/>
          <w:sz w:val="24"/>
          <w:szCs w:val="24"/>
        </w:rPr>
        <w:t>[14]</w:t>
      </w:r>
      <w:r w:rsidRPr="001875B9">
        <w:rPr>
          <w:rFonts w:ascii="Arial" w:hAnsi="Arial" w:cs="Arial"/>
          <w:sz w:val="24"/>
          <w:szCs w:val="24"/>
        </w:rPr>
        <w:tab/>
      </w:r>
      <w:r w:rsidR="000575CB" w:rsidRPr="00E65D67">
        <w:rPr>
          <w:rFonts w:ascii="Arial" w:hAnsi="Arial" w:cs="Arial"/>
          <w:sz w:val="24"/>
          <w:szCs w:val="24"/>
        </w:rPr>
        <w:t xml:space="preserve">The provisions of </w:t>
      </w:r>
      <w:r w:rsidR="00AA5787" w:rsidRPr="00E65D67">
        <w:rPr>
          <w:rFonts w:ascii="Arial" w:hAnsi="Arial" w:cs="Arial"/>
          <w:sz w:val="24"/>
          <w:szCs w:val="24"/>
        </w:rPr>
        <w:t>rule 41A</w:t>
      </w:r>
      <w:r w:rsidR="00D25C4A" w:rsidRPr="00E65D67">
        <w:rPr>
          <w:rFonts w:ascii="Arial" w:hAnsi="Arial" w:cs="Arial"/>
          <w:sz w:val="24"/>
          <w:szCs w:val="24"/>
        </w:rPr>
        <w:t xml:space="preserve"> </w:t>
      </w:r>
      <w:r w:rsidR="002A0C9F" w:rsidRPr="00E65D67">
        <w:rPr>
          <w:rFonts w:ascii="Arial" w:hAnsi="Arial" w:cs="Arial"/>
          <w:sz w:val="24"/>
          <w:szCs w:val="24"/>
        </w:rPr>
        <w:t xml:space="preserve">facilitate the </w:t>
      </w:r>
      <w:r w:rsidR="000B00AF" w:rsidRPr="00E65D67">
        <w:rPr>
          <w:rFonts w:ascii="Arial" w:hAnsi="Arial" w:cs="Arial"/>
          <w:sz w:val="24"/>
          <w:szCs w:val="24"/>
        </w:rPr>
        <w:t xml:space="preserve">expeditious and cost-effective </w:t>
      </w:r>
      <w:r w:rsidR="007A7449" w:rsidRPr="00E65D67">
        <w:rPr>
          <w:rFonts w:ascii="Arial" w:hAnsi="Arial" w:cs="Arial"/>
          <w:sz w:val="24"/>
          <w:szCs w:val="24"/>
        </w:rPr>
        <w:t>resolution of a dispute between litigants.</w:t>
      </w:r>
      <w:r w:rsidR="000575CB">
        <w:rPr>
          <w:rStyle w:val="FootnoteReference"/>
          <w:rFonts w:ascii="Arial" w:hAnsi="Arial" w:cs="Arial"/>
          <w:sz w:val="24"/>
          <w:szCs w:val="24"/>
        </w:rPr>
        <w:footnoteReference w:id="2"/>
      </w:r>
      <w:r w:rsidR="00102FCE" w:rsidRPr="00E65D67">
        <w:rPr>
          <w:rFonts w:ascii="Arial" w:hAnsi="Arial" w:cs="Arial"/>
          <w:sz w:val="24"/>
          <w:szCs w:val="24"/>
        </w:rPr>
        <w:t xml:space="preserve"> Both parties are required </w:t>
      </w:r>
      <w:r w:rsidR="00C162B6" w:rsidRPr="00E65D67">
        <w:rPr>
          <w:rFonts w:ascii="Arial" w:hAnsi="Arial" w:cs="Arial"/>
          <w:sz w:val="24"/>
          <w:szCs w:val="24"/>
        </w:rPr>
        <w:t xml:space="preserve">to indicate whether </w:t>
      </w:r>
      <w:r w:rsidR="00A73A84" w:rsidRPr="00E65D67">
        <w:rPr>
          <w:rFonts w:ascii="Arial" w:hAnsi="Arial" w:cs="Arial"/>
          <w:sz w:val="24"/>
          <w:szCs w:val="24"/>
        </w:rPr>
        <w:t xml:space="preserve">they agree to or oppose the referral of the dispute to mediation. In </w:t>
      </w:r>
      <w:r w:rsidR="00A82936" w:rsidRPr="00E65D67">
        <w:rPr>
          <w:rFonts w:ascii="Arial" w:hAnsi="Arial" w:cs="Arial"/>
          <w:i/>
          <w:iCs/>
          <w:sz w:val="24"/>
          <w:szCs w:val="24"/>
        </w:rPr>
        <w:t xml:space="preserve">Nomandela and another </w:t>
      </w:r>
      <w:r w:rsidR="008D28B9" w:rsidRPr="00E65D67">
        <w:rPr>
          <w:rFonts w:ascii="Arial" w:hAnsi="Arial" w:cs="Arial"/>
          <w:i/>
          <w:iCs/>
          <w:sz w:val="24"/>
          <w:szCs w:val="24"/>
        </w:rPr>
        <w:t>v Nyandeni Local Municipality and others</w:t>
      </w:r>
      <w:r w:rsidR="00A6037B" w:rsidRPr="00E65D67">
        <w:rPr>
          <w:rFonts w:ascii="Arial" w:hAnsi="Arial" w:cs="Arial"/>
          <w:sz w:val="24"/>
          <w:szCs w:val="24"/>
        </w:rPr>
        <w:t>,</w:t>
      </w:r>
      <w:r w:rsidR="00A6037B">
        <w:rPr>
          <w:rStyle w:val="FootnoteReference"/>
          <w:rFonts w:ascii="Arial" w:hAnsi="Arial" w:cs="Arial"/>
          <w:sz w:val="24"/>
          <w:szCs w:val="24"/>
        </w:rPr>
        <w:footnoteReference w:id="3"/>
      </w:r>
      <w:r w:rsidR="00C8355E" w:rsidRPr="00E65D67">
        <w:rPr>
          <w:rFonts w:ascii="Arial" w:hAnsi="Arial" w:cs="Arial"/>
          <w:sz w:val="24"/>
          <w:szCs w:val="24"/>
        </w:rPr>
        <w:t xml:space="preserve"> </w:t>
      </w:r>
      <w:r w:rsidR="00181B7A" w:rsidRPr="00E65D67">
        <w:rPr>
          <w:rFonts w:ascii="Arial" w:hAnsi="Arial" w:cs="Arial"/>
          <w:sz w:val="24"/>
          <w:szCs w:val="24"/>
        </w:rPr>
        <w:t xml:space="preserve">the </w:t>
      </w:r>
      <w:r w:rsidR="00AC753B" w:rsidRPr="00E65D67">
        <w:rPr>
          <w:rFonts w:ascii="Arial" w:hAnsi="Arial" w:cs="Arial"/>
          <w:sz w:val="24"/>
          <w:szCs w:val="24"/>
        </w:rPr>
        <w:t>respondent objected to the applicant’s failure to have com</w:t>
      </w:r>
      <w:r w:rsidR="00C1606D" w:rsidRPr="00E65D67">
        <w:rPr>
          <w:rFonts w:ascii="Arial" w:hAnsi="Arial" w:cs="Arial"/>
          <w:sz w:val="24"/>
          <w:szCs w:val="24"/>
        </w:rPr>
        <w:t>plied with the rule, to which the court observed that the respondent, too, had failed to comply.</w:t>
      </w:r>
      <w:r w:rsidR="00A2754E" w:rsidRPr="00E65D67">
        <w:rPr>
          <w:rFonts w:ascii="Arial" w:hAnsi="Arial" w:cs="Arial"/>
          <w:sz w:val="24"/>
          <w:szCs w:val="24"/>
        </w:rPr>
        <w:t xml:space="preserve"> Majiki J held as follows:</w:t>
      </w:r>
    </w:p>
    <w:p w14:paraId="1FA9D0CC" w14:textId="37C5814E" w:rsidR="008A17C5" w:rsidRPr="008A17C5" w:rsidRDefault="00A2754E" w:rsidP="001875B9">
      <w:pPr>
        <w:spacing w:line="360" w:lineRule="auto"/>
        <w:ind w:left="720"/>
        <w:jc w:val="both"/>
        <w:rPr>
          <w:rFonts w:ascii="Arial" w:hAnsi="Arial" w:cs="Arial"/>
          <w:sz w:val="20"/>
          <w:szCs w:val="20"/>
        </w:rPr>
      </w:pPr>
      <w:r w:rsidRPr="008A17C5">
        <w:rPr>
          <w:rFonts w:ascii="Arial" w:hAnsi="Arial" w:cs="Arial"/>
          <w:sz w:val="20"/>
          <w:szCs w:val="20"/>
        </w:rPr>
        <w:t>‘</w:t>
      </w:r>
      <w:r w:rsidR="00055C07" w:rsidRPr="008A17C5">
        <w:rPr>
          <w:rFonts w:ascii="Arial" w:hAnsi="Arial" w:cs="Arial"/>
          <w:sz w:val="20"/>
          <w:szCs w:val="20"/>
        </w:rPr>
        <w:t>…it is not to be underestimated that the rules are meant to be complied with</w:t>
      </w:r>
      <w:r w:rsidR="00BB5A3E" w:rsidRPr="008A17C5">
        <w:rPr>
          <w:rFonts w:ascii="Arial" w:hAnsi="Arial" w:cs="Arial"/>
          <w:sz w:val="20"/>
          <w:szCs w:val="20"/>
        </w:rPr>
        <w:t>. However, it has been stated often by the courts that the rules are meant for the court,</w:t>
      </w:r>
      <w:r w:rsidR="00425342" w:rsidRPr="008A17C5">
        <w:rPr>
          <w:rFonts w:ascii="Arial" w:hAnsi="Arial" w:cs="Arial"/>
          <w:sz w:val="20"/>
          <w:szCs w:val="20"/>
        </w:rPr>
        <w:t xml:space="preserve"> and not the other way round. It is ideal that in the near future</w:t>
      </w:r>
      <w:r w:rsidR="00BD0E3B" w:rsidRPr="008A17C5">
        <w:rPr>
          <w:rFonts w:ascii="Arial" w:hAnsi="Arial" w:cs="Arial"/>
          <w:sz w:val="20"/>
          <w:szCs w:val="20"/>
        </w:rPr>
        <w:t xml:space="preserve"> litigants should comply with this rule. That would ease</w:t>
      </w:r>
      <w:r w:rsidR="00402662" w:rsidRPr="008A17C5">
        <w:rPr>
          <w:rFonts w:ascii="Arial" w:hAnsi="Arial" w:cs="Arial"/>
          <w:sz w:val="20"/>
          <w:szCs w:val="20"/>
        </w:rPr>
        <w:t xml:space="preserve"> the congested court rolls and achieve less costly and speedier resolution of disputes.</w:t>
      </w:r>
      <w:r w:rsidR="00BB0FB1" w:rsidRPr="008A17C5">
        <w:rPr>
          <w:rFonts w:ascii="Arial" w:hAnsi="Arial" w:cs="Arial"/>
          <w:sz w:val="20"/>
          <w:szCs w:val="20"/>
        </w:rPr>
        <w:t xml:space="preserve"> However, in my view, the present application raises</w:t>
      </w:r>
      <w:r w:rsidR="00126E45" w:rsidRPr="008A17C5">
        <w:rPr>
          <w:rFonts w:ascii="Arial" w:hAnsi="Arial" w:cs="Arial"/>
          <w:sz w:val="20"/>
          <w:szCs w:val="20"/>
        </w:rPr>
        <w:t xml:space="preserve"> important principles relating to compliance with departmental regulations</w:t>
      </w:r>
      <w:r w:rsidR="00770C53" w:rsidRPr="008A17C5">
        <w:rPr>
          <w:rFonts w:ascii="Arial" w:hAnsi="Arial" w:cs="Arial"/>
          <w:sz w:val="20"/>
          <w:szCs w:val="20"/>
        </w:rPr>
        <w:t>, the respondent’s own policies</w:t>
      </w:r>
      <w:r w:rsidR="00352D02" w:rsidRPr="008A17C5">
        <w:rPr>
          <w:rFonts w:ascii="Arial" w:hAnsi="Arial" w:cs="Arial"/>
          <w:sz w:val="20"/>
          <w:szCs w:val="20"/>
        </w:rPr>
        <w:t xml:space="preserve"> </w:t>
      </w:r>
      <w:r w:rsidR="00770C53" w:rsidRPr="008A17C5">
        <w:rPr>
          <w:rFonts w:ascii="Arial" w:hAnsi="Arial" w:cs="Arial"/>
          <w:sz w:val="20"/>
          <w:szCs w:val="20"/>
        </w:rPr>
        <w:t xml:space="preserve">and alleged infringement of constitutional rights </w:t>
      </w:r>
      <w:r w:rsidR="00BF26F2" w:rsidRPr="008A17C5">
        <w:rPr>
          <w:rFonts w:ascii="Arial" w:hAnsi="Arial" w:cs="Arial"/>
          <w:sz w:val="20"/>
          <w:szCs w:val="20"/>
        </w:rPr>
        <w:t>to dignity and to lawful and reasonable procedural administration.</w:t>
      </w:r>
      <w:r w:rsidR="0015064F" w:rsidRPr="008A17C5">
        <w:rPr>
          <w:rFonts w:ascii="Arial" w:hAnsi="Arial" w:cs="Arial"/>
          <w:sz w:val="20"/>
          <w:szCs w:val="20"/>
        </w:rPr>
        <w:t xml:space="preserve"> In the light of this, I am </w:t>
      </w:r>
      <w:r w:rsidR="00210FB1" w:rsidRPr="008A17C5">
        <w:rPr>
          <w:rFonts w:ascii="Arial" w:hAnsi="Arial" w:cs="Arial"/>
          <w:sz w:val="20"/>
          <w:szCs w:val="20"/>
        </w:rPr>
        <w:t>of the view that, in the interests of justice, those issues call for immediate resolution</w:t>
      </w:r>
      <w:r w:rsidR="007B7BF2" w:rsidRPr="008A17C5">
        <w:rPr>
          <w:rFonts w:ascii="Arial" w:hAnsi="Arial" w:cs="Arial"/>
          <w:sz w:val="20"/>
          <w:szCs w:val="20"/>
        </w:rPr>
        <w:t>, than to remove the matter from the roll in order for the litigants to pronounce on whether</w:t>
      </w:r>
      <w:r w:rsidR="00EF6D21" w:rsidRPr="008A17C5">
        <w:rPr>
          <w:rFonts w:ascii="Arial" w:hAnsi="Arial" w:cs="Arial"/>
          <w:sz w:val="20"/>
          <w:szCs w:val="20"/>
        </w:rPr>
        <w:t xml:space="preserve"> they would agree or oppose mediation.’</w:t>
      </w:r>
      <w:r w:rsidR="00EF6D21" w:rsidRPr="008A17C5">
        <w:rPr>
          <w:rStyle w:val="FootnoteReference"/>
          <w:rFonts w:ascii="Arial" w:hAnsi="Arial" w:cs="Arial"/>
          <w:sz w:val="20"/>
          <w:szCs w:val="20"/>
        </w:rPr>
        <w:footnoteReference w:id="4"/>
      </w:r>
    </w:p>
    <w:p w14:paraId="5537A42F" w14:textId="52A28653" w:rsidR="008A17C5" w:rsidRDefault="008A17C5" w:rsidP="00FC5C09">
      <w:pPr>
        <w:spacing w:line="360" w:lineRule="auto"/>
        <w:rPr>
          <w:rFonts w:ascii="Arial" w:hAnsi="Arial" w:cs="Arial"/>
          <w:sz w:val="24"/>
          <w:szCs w:val="24"/>
        </w:rPr>
      </w:pPr>
    </w:p>
    <w:p w14:paraId="75F856D8" w14:textId="3F3B18E5"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45007" w:rsidRPr="00E65D67">
        <w:rPr>
          <w:rFonts w:ascii="Arial" w:hAnsi="Arial" w:cs="Arial"/>
          <w:sz w:val="24"/>
          <w:szCs w:val="24"/>
        </w:rPr>
        <w:t xml:space="preserve">The facts </w:t>
      </w:r>
      <w:r w:rsidR="00911394" w:rsidRPr="00E65D67">
        <w:rPr>
          <w:rFonts w:ascii="Arial" w:hAnsi="Arial" w:cs="Arial"/>
          <w:sz w:val="24"/>
          <w:szCs w:val="24"/>
        </w:rPr>
        <w:t>were similar to those in the present matter</w:t>
      </w:r>
      <w:r w:rsidR="00627D5D" w:rsidRPr="00E65D67">
        <w:rPr>
          <w:rFonts w:ascii="Arial" w:hAnsi="Arial" w:cs="Arial"/>
          <w:sz w:val="24"/>
          <w:szCs w:val="24"/>
        </w:rPr>
        <w:t xml:space="preserve"> insofar as they concerned the parties’ non-compliance with </w:t>
      </w:r>
      <w:r w:rsidR="00934E04" w:rsidRPr="00E65D67">
        <w:rPr>
          <w:rFonts w:ascii="Arial" w:hAnsi="Arial" w:cs="Arial"/>
          <w:sz w:val="24"/>
          <w:szCs w:val="24"/>
        </w:rPr>
        <w:t xml:space="preserve">rule 41A. Here, the respondent has also failed to deliver </w:t>
      </w:r>
      <w:r w:rsidR="00AF1C3C" w:rsidRPr="00E65D67">
        <w:rPr>
          <w:rFonts w:ascii="Arial" w:hAnsi="Arial" w:cs="Arial"/>
          <w:sz w:val="24"/>
          <w:szCs w:val="24"/>
        </w:rPr>
        <w:t xml:space="preserve">the notice envisaged under sub-rule </w:t>
      </w:r>
      <w:r w:rsidR="003261E5" w:rsidRPr="00E65D67">
        <w:rPr>
          <w:rFonts w:ascii="Arial" w:hAnsi="Arial" w:cs="Arial"/>
          <w:sz w:val="24"/>
          <w:szCs w:val="24"/>
        </w:rPr>
        <w:t xml:space="preserve">(2). </w:t>
      </w:r>
    </w:p>
    <w:p w14:paraId="5926179C" w14:textId="77777777" w:rsidR="001875B9" w:rsidRDefault="001875B9" w:rsidP="001875B9">
      <w:pPr>
        <w:pStyle w:val="ListParagraph"/>
        <w:spacing w:line="360" w:lineRule="auto"/>
        <w:ind w:left="0"/>
        <w:jc w:val="both"/>
        <w:rPr>
          <w:rFonts w:ascii="Arial" w:hAnsi="Arial" w:cs="Arial"/>
          <w:sz w:val="24"/>
          <w:szCs w:val="24"/>
        </w:rPr>
      </w:pPr>
    </w:p>
    <w:p w14:paraId="4E02AA4C" w14:textId="48EFCACF"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F5F1F" w:rsidRPr="00E65D67">
        <w:rPr>
          <w:rFonts w:ascii="Arial" w:hAnsi="Arial" w:cs="Arial"/>
          <w:sz w:val="24"/>
          <w:szCs w:val="24"/>
        </w:rPr>
        <w:t>T</w:t>
      </w:r>
      <w:r w:rsidR="003261E5" w:rsidRPr="00E65D67">
        <w:rPr>
          <w:rFonts w:ascii="Arial" w:hAnsi="Arial" w:cs="Arial"/>
          <w:sz w:val="24"/>
          <w:szCs w:val="24"/>
        </w:rPr>
        <w:t>he appropriate time for the</w:t>
      </w:r>
      <w:r w:rsidR="001B0389" w:rsidRPr="00E65D67">
        <w:rPr>
          <w:rFonts w:ascii="Arial" w:hAnsi="Arial" w:cs="Arial"/>
          <w:sz w:val="24"/>
          <w:szCs w:val="24"/>
        </w:rPr>
        <w:t xml:space="preserve"> referral of a dispute to mediation </w:t>
      </w:r>
      <w:r w:rsidR="00AF5F1F" w:rsidRPr="00E65D67">
        <w:rPr>
          <w:rFonts w:ascii="Arial" w:hAnsi="Arial" w:cs="Arial"/>
          <w:sz w:val="24"/>
          <w:szCs w:val="24"/>
        </w:rPr>
        <w:t xml:space="preserve">is </w:t>
      </w:r>
      <w:r w:rsidR="001B0389" w:rsidRPr="00E65D67">
        <w:rPr>
          <w:rFonts w:ascii="Arial" w:hAnsi="Arial" w:cs="Arial"/>
          <w:sz w:val="24"/>
          <w:szCs w:val="24"/>
        </w:rPr>
        <w:t xml:space="preserve">at the very </w:t>
      </w:r>
      <w:r w:rsidR="004F550C" w:rsidRPr="00E65D67">
        <w:rPr>
          <w:rFonts w:ascii="Arial" w:hAnsi="Arial" w:cs="Arial"/>
          <w:sz w:val="24"/>
          <w:szCs w:val="24"/>
        </w:rPr>
        <w:t>beginning</w:t>
      </w:r>
      <w:r w:rsidR="00C3640E" w:rsidRPr="00E65D67">
        <w:rPr>
          <w:rFonts w:ascii="Arial" w:hAnsi="Arial" w:cs="Arial"/>
          <w:sz w:val="24"/>
          <w:szCs w:val="24"/>
        </w:rPr>
        <w:t xml:space="preserve">, at the </w:t>
      </w:r>
      <w:r w:rsidR="00BE5397" w:rsidRPr="00E65D67">
        <w:rPr>
          <w:rFonts w:ascii="Arial" w:hAnsi="Arial" w:cs="Arial"/>
          <w:sz w:val="24"/>
          <w:szCs w:val="24"/>
        </w:rPr>
        <w:t>onset</w:t>
      </w:r>
      <w:r w:rsidR="001B0389" w:rsidRPr="00E65D67">
        <w:rPr>
          <w:rFonts w:ascii="Arial" w:hAnsi="Arial" w:cs="Arial"/>
          <w:sz w:val="24"/>
          <w:szCs w:val="24"/>
        </w:rPr>
        <w:t xml:space="preserve"> of proceedings, before the parties have incurred </w:t>
      </w:r>
      <w:r w:rsidR="0070157C" w:rsidRPr="00E65D67">
        <w:rPr>
          <w:rFonts w:ascii="Arial" w:hAnsi="Arial" w:cs="Arial"/>
          <w:sz w:val="24"/>
          <w:szCs w:val="24"/>
        </w:rPr>
        <w:t xml:space="preserve">the costs and delays of </w:t>
      </w:r>
      <w:r w:rsidR="00AF5F1F" w:rsidRPr="00E65D67">
        <w:rPr>
          <w:rFonts w:ascii="Arial" w:hAnsi="Arial" w:cs="Arial"/>
          <w:sz w:val="24"/>
          <w:szCs w:val="24"/>
        </w:rPr>
        <w:t>litigation</w:t>
      </w:r>
      <w:r w:rsidR="00D57C97" w:rsidRPr="00E65D67">
        <w:rPr>
          <w:rFonts w:ascii="Arial" w:hAnsi="Arial" w:cs="Arial"/>
          <w:sz w:val="24"/>
          <w:szCs w:val="24"/>
        </w:rPr>
        <w:t xml:space="preserve">. Nevertheless, the rule permits the </w:t>
      </w:r>
      <w:r w:rsidR="00565261" w:rsidRPr="00E65D67">
        <w:rPr>
          <w:rFonts w:ascii="Arial" w:hAnsi="Arial" w:cs="Arial"/>
          <w:sz w:val="24"/>
          <w:szCs w:val="24"/>
        </w:rPr>
        <w:t>parties</w:t>
      </w:r>
      <w:r w:rsidR="004B33EC" w:rsidRPr="00E65D67">
        <w:rPr>
          <w:rFonts w:ascii="Arial" w:hAnsi="Arial" w:cs="Arial"/>
          <w:sz w:val="24"/>
          <w:szCs w:val="24"/>
        </w:rPr>
        <w:t xml:space="preserve"> to refer the dispute at any stage before judgment</w:t>
      </w:r>
      <w:r w:rsidR="00FE4B47" w:rsidRPr="00E65D67">
        <w:rPr>
          <w:rFonts w:ascii="Arial" w:hAnsi="Arial" w:cs="Arial"/>
          <w:sz w:val="24"/>
          <w:szCs w:val="24"/>
        </w:rPr>
        <w:t xml:space="preserve">. This is qualified to the extent that the leave of the court is required </w:t>
      </w:r>
      <w:r w:rsidR="0049608E" w:rsidRPr="00E65D67">
        <w:rPr>
          <w:rFonts w:ascii="Arial" w:hAnsi="Arial" w:cs="Arial"/>
          <w:sz w:val="24"/>
          <w:szCs w:val="24"/>
        </w:rPr>
        <w:t>in circumstances where the trial or hearing of an opposed application has already commenced.</w:t>
      </w:r>
      <w:r w:rsidR="00E530A4" w:rsidRPr="00E65D67">
        <w:rPr>
          <w:rFonts w:ascii="Arial" w:hAnsi="Arial" w:cs="Arial"/>
          <w:sz w:val="24"/>
          <w:szCs w:val="24"/>
        </w:rPr>
        <w:t xml:space="preserve"> </w:t>
      </w:r>
    </w:p>
    <w:p w14:paraId="574C1088" w14:textId="77777777" w:rsidR="001875B9" w:rsidRPr="001875B9" w:rsidRDefault="001875B9" w:rsidP="001875B9">
      <w:pPr>
        <w:pStyle w:val="ListParagraph"/>
        <w:rPr>
          <w:rFonts w:ascii="Arial" w:hAnsi="Arial" w:cs="Arial"/>
          <w:sz w:val="24"/>
          <w:szCs w:val="24"/>
        </w:rPr>
      </w:pPr>
    </w:p>
    <w:p w14:paraId="29FFBCE3" w14:textId="5E0ABE60"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530A4" w:rsidRPr="00E65D67">
        <w:rPr>
          <w:rFonts w:ascii="Arial" w:hAnsi="Arial" w:cs="Arial"/>
          <w:sz w:val="24"/>
          <w:szCs w:val="24"/>
        </w:rPr>
        <w:t xml:space="preserve">For </w:t>
      </w:r>
      <w:r w:rsidR="00CA4ED7" w:rsidRPr="00E65D67">
        <w:rPr>
          <w:rFonts w:ascii="Arial" w:hAnsi="Arial" w:cs="Arial"/>
          <w:sz w:val="24"/>
          <w:szCs w:val="24"/>
        </w:rPr>
        <w:t>a party</w:t>
      </w:r>
      <w:r w:rsidR="00E530A4" w:rsidRPr="00E65D67">
        <w:rPr>
          <w:rFonts w:ascii="Arial" w:hAnsi="Arial" w:cs="Arial"/>
          <w:sz w:val="24"/>
          <w:szCs w:val="24"/>
        </w:rPr>
        <w:t xml:space="preserve"> to </w:t>
      </w:r>
      <w:r w:rsidR="0006332F" w:rsidRPr="00E65D67">
        <w:rPr>
          <w:rFonts w:ascii="Arial" w:hAnsi="Arial" w:cs="Arial"/>
          <w:sz w:val="24"/>
          <w:szCs w:val="24"/>
        </w:rPr>
        <w:t xml:space="preserve">rely successfully on the </w:t>
      </w:r>
      <w:r w:rsidR="001D4644" w:rsidRPr="00E65D67">
        <w:rPr>
          <w:rFonts w:ascii="Arial" w:hAnsi="Arial" w:cs="Arial"/>
          <w:sz w:val="24"/>
          <w:szCs w:val="24"/>
        </w:rPr>
        <w:t xml:space="preserve">other </w:t>
      </w:r>
      <w:r w:rsidR="00CA4ED7" w:rsidRPr="00E65D67">
        <w:rPr>
          <w:rFonts w:ascii="Arial" w:hAnsi="Arial" w:cs="Arial"/>
          <w:sz w:val="24"/>
          <w:szCs w:val="24"/>
        </w:rPr>
        <w:t>party</w:t>
      </w:r>
      <w:r w:rsidR="0006332F" w:rsidRPr="00E65D67">
        <w:rPr>
          <w:rFonts w:ascii="Arial" w:hAnsi="Arial" w:cs="Arial"/>
          <w:sz w:val="24"/>
          <w:szCs w:val="24"/>
        </w:rPr>
        <w:t xml:space="preserve">’s </w:t>
      </w:r>
      <w:r w:rsidR="00E56136" w:rsidRPr="00E65D67">
        <w:rPr>
          <w:rFonts w:ascii="Arial" w:hAnsi="Arial" w:cs="Arial"/>
          <w:sz w:val="24"/>
          <w:szCs w:val="24"/>
        </w:rPr>
        <w:t xml:space="preserve">failure to have </w:t>
      </w:r>
      <w:r w:rsidR="00EC1C90" w:rsidRPr="00E65D67">
        <w:rPr>
          <w:rFonts w:ascii="Arial" w:hAnsi="Arial" w:cs="Arial"/>
          <w:sz w:val="24"/>
          <w:szCs w:val="24"/>
        </w:rPr>
        <w:t>delivered a rule 41A(2) notice,</w:t>
      </w:r>
      <w:r w:rsidR="00EC1C90">
        <w:rPr>
          <w:rStyle w:val="FootnoteReference"/>
          <w:rFonts w:ascii="Arial" w:hAnsi="Arial" w:cs="Arial"/>
          <w:sz w:val="24"/>
          <w:szCs w:val="24"/>
        </w:rPr>
        <w:footnoteReference w:id="5"/>
      </w:r>
      <w:r w:rsidR="00A912BA" w:rsidRPr="00E65D67">
        <w:rPr>
          <w:rFonts w:ascii="Arial" w:hAnsi="Arial" w:cs="Arial"/>
          <w:sz w:val="24"/>
          <w:szCs w:val="24"/>
        </w:rPr>
        <w:t xml:space="preserve"> </w:t>
      </w:r>
      <w:r w:rsidR="000B544C" w:rsidRPr="00E65D67">
        <w:rPr>
          <w:rFonts w:ascii="Arial" w:hAnsi="Arial" w:cs="Arial"/>
          <w:sz w:val="24"/>
          <w:szCs w:val="24"/>
        </w:rPr>
        <w:t>he or she</w:t>
      </w:r>
      <w:r w:rsidR="0006332F" w:rsidRPr="00E65D67">
        <w:rPr>
          <w:rFonts w:ascii="Arial" w:hAnsi="Arial" w:cs="Arial"/>
          <w:sz w:val="24"/>
          <w:szCs w:val="24"/>
        </w:rPr>
        <w:t xml:space="preserve"> would </w:t>
      </w:r>
      <w:r w:rsidR="000D28E2" w:rsidRPr="00E65D67">
        <w:rPr>
          <w:rFonts w:ascii="Arial" w:hAnsi="Arial" w:cs="Arial"/>
          <w:sz w:val="24"/>
          <w:szCs w:val="24"/>
        </w:rPr>
        <w:t>have</w:t>
      </w:r>
      <w:r w:rsidR="0006332F" w:rsidRPr="00E65D67">
        <w:rPr>
          <w:rFonts w:ascii="Arial" w:hAnsi="Arial" w:cs="Arial"/>
          <w:sz w:val="24"/>
          <w:szCs w:val="24"/>
        </w:rPr>
        <w:t xml:space="preserve"> to demonstrate that </w:t>
      </w:r>
      <w:r w:rsidR="00466996" w:rsidRPr="00E65D67">
        <w:rPr>
          <w:rFonts w:ascii="Arial" w:hAnsi="Arial" w:cs="Arial"/>
          <w:sz w:val="24"/>
          <w:szCs w:val="24"/>
        </w:rPr>
        <w:t>such non-compliance ha</w:t>
      </w:r>
      <w:r w:rsidR="000B544C" w:rsidRPr="00E65D67">
        <w:rPr>
          <w:rFonts w:ascii="Arial" w:hAnsi="Arial" w:cs="Arial"/>
          <w:sz w:val="24"/>
          <w:szCs w:val="24"/>
        </w:rPr>
        <w:t>s</w:t>
      </w:r>
      <w:r w:rsidR="00466996" w:rsidRPr="00E65D67">
        <w:rPr>
          <w:rFonts w:ascii="Arial" w:hAnsi="Arial" w:cs="Arial"/>
          <w:sz w:val="24"/>
          <w:szCs w:val="24"/>
        </w:rPr>
        <w:t xml:space="preserve"> c</w:t>
      </w:r>
      <w:r w:rsidR="00B70451" w:rsidRPr="00E65D67">
        <w:rPr>
          <w:rFonts w:ascii="Arial" w:hAnsi="Arial" w:cs="Arial"/>
          <w:sz w:val="24"/>
          <w:szCs w:val="24"/>
        </w:rPr>
        <w:t xml:space="preserve">reated prejudice. </w:t>
      </w:r>
      <w:r w:rsidR="00C9538A" w:rsidRPr="00E65D67">
        <w:rPr>
          <w:rFonts w:ascii="Arial" w:hAnsi="Arial" w:cs="Arial"/>
          <w:sz w:val="24"/>
          <w:szCs w:val="24"/>
        </w:rPr>
        <w:t xml:space="preserve">It would be necessary to show that </w:t>
      </w:r>
      <w:r w:rsidR="00273E0A" w:rsidRPr="00E65D67">
        <w:rPr>
          <w:rFonts w:ascii="Arial" w:hAnsi="Arial" w:cs="Arial"/>
          <w:sz w:val="24"/>
          <w:szCs w:val="24"/>
        </w:rPr>
        <w:t xml:space="preserve">non-delivery of the notice has hampered </w:t>
      </w:r>
      <w:r w:rsidR="00E10118" w:rsidRPr="00E65D67">
        <w:rPr>
          <w:rFonts w:ascii="Arial" w:hAnsi="Arial" w:cs="Arial"/>
          <w:sz w:val="24"/>
          <w:szCs w:val="24"/>
        </w:rPr>
        <w:t xml:space="preserve">the preparation and conduct of </w:t>
      </w:r>
      <w:r w:rsidR="005D6211" w:rsidRPr="00E65D67">
        <w:rPr>
          <w:rFonts w:ascii="Arial" w:hAnsi="Arial" w:cs="Arial"/>
          <w:sz w:val="24"/>
          <w:szCs w:val="24"/>
        </w:rPr>
        <w:t xml:space="preserve">his or </w:t>
      </w:r>
      <w:r w:rsidR="00E10118" w:rsidRPr="00E65D67">
        <w:rPr>
          <w:rFonts w:ascii="Arial" w:hAnsi="Arial" w:cs="Arial"/>
          <w:sz w:val="24"/>
          <w:szCs w:val="24"/>
        </w:rPr>
        <w:t xml:space="preserve">her defence, or that it has </w:t>
      </w:r>
      <w:r w:rsidR="001A27B3" w:rsidRPr="00E65D67">
        <w:rPr>
          <w:rFonts w:ascii="Arial" w:hAnsi="Arial" w:cs="Arial"/>
          <w:sz w:val="24"/>
          <w:szCs w:val="24"/>
        </w:rPr>
        <w:t xml:space="preserve">caused harm in the wider sense. </w:t>
      </w:r>
      <w:r w:rsidR="00800D31" w:rsidRPr="00E65D67">
        <w:rPr>
          <w:rFonts w:ascii="Arial" w:hAnsi="Arial" w:cs="Arial"/>
          <w:sz w:val="24"/>
          <w:szCs w:val="24"/>
        </w:rPr>
        <w:t>The court</w:t>
      </w:r>
      <w:r w:rsidR="001624DC" w:rsidRPr="00E65D67">
        <w:rPr>
          <w:rFonts w:ascii="Arial" w:hAnsi="Arial" w:cs="Arial"/>
          <w:sz w:val="24"/>
          <w:szCs w:val="24"/>
        </w:rPr>
        <w:t xml:space="preserve"> would need to be satisfied</w:t>
      </w:r>
      <w:r w:rsidR="006B18C5" w:rsidRPr="00E65D67">
        <w:rPr>
          <w:rFonts w:ascii="Arial" w:hAnsi="Arial" w:cs="Arial"/>
          <w:sz w:val="24"/>
          <w:szCs w:val="24"/>
        </w:rPr>
        <w:t xml:space="preserve">, overall, </w:t>
      </w:r>
      <w:r w:rsidR="001624DC" w:rsidRPr="00E65D67">
        <w:rPr>
          <w:rFonts w:ascii="Arial" w:hAnsi="Arial" w:cs="Arial"/>
          <w:sz w:val="24"/>
          <w:szCs w:val="24"/>
        </w:rPr>
        <w:t>that it would be in the interests of justice for the</w:t>
      </w:r>
      <w:r w:rsidR="0005249F" w:rsidRPr="00E65D67">
        <w:rPr>
          <w:rFonts w:ascii="Arial" w:hAnsi="Arial" w:cs="Arial"/>
          <w:sz w:val="24"/>
          <w:szCs w:val="24"/>
        </w:rPr>
        <w:t xml:space="preserve"> case to be removed from the roll.</w:t>
      </w:r>
    </w:p>
    <w:p w14:paraId="52FE0C2F" w14:textId="77777777" w:rsidR="001875B9" w:rsidRPr="001875B9" w:rsidRDefault="001875B9" w:rsidP="001875B9">
      <w:pPr>
        <w:pStyle w:val="ListParagraph"/>
        <w:rPr>
          <w:rFonts w:ascii="Arial" w:hAnsi="Arial" w:cs="Arial"/>
          <w:sz w:val="24"/>
          <w:szCs w:val="24"/>
        </w:rPr>
      </w:pPr>
    </w:p>
    <w:p w14:paraId="56033F84" w14:textId="38F6322B"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83691" w:rsidRPr="00E65D67">
        <w:rPr>
          <w:rFonts w:ascii="Arial" w:hAnsi="Arial" w:cs="Arial"/>
          <w:sz w:val="24"/>
          <w:szCs w:val="24"/>
        </w:rPr>
        <w:t>In the present matter, t</w:t>
      </w:r>
      <w:r w:rsidR="005D6211" w:rsidRPr="00E65D67">
        <w:rPr>
          <w:rFonts w:ascii="Arial" w:hAnsi="Arial" w:cs="Arial"/>
          <w:sz w:val="24"/>
          <w:szCs w:val="24"/>
        </w:rPr>
        <w:t>here is no indication at all</w:t>
      </w:r>
      <w:r w:rsidR="00383691" w:rsidRPr="00E65D67">
        <w:rPr>
          <w:rFonts w:ascii="Arial" w:hAnsi="Arial" w:cs="Arial"/>
          <w:sz w:val="24"/>
          <w:szCs w:val="24"/>
        </w:rPr>
        <w:t xml:space="preserve"> from the answering affidavit </w:t>
      </w:r>
      <w:r w:rsidR="00F9645F" w:rsidRPr="00E65D67">
        <w:rPr>
          <w:rFonts w:ascii="Arial" w:hAnsi="Arial" w:cs="Arial"/>
          <w:sz w:val="24"/>
          <w:szCs w:val="24"/>
        </w:rPr>
        <w:t xml:space="preserve">that prejudice </w:t>
      </w:r>
      <w:r w:rsidR="00C46C9C" w:rsidRPr="00E65D67">
        <w:rPr>
          <w:rFonts w:ascii="Arial" w:hAnsi="Arial" w:cs="Arial"/>
          <w:sz w:val="24"/>
          <w:szCs w:val="24"/>
        </w:rPr>
        <w:t xml:space="preserve">was </w:t>
      </w:r>
      <w:r w:rsidR="00D7471C" w:rsidRPr="00E65D67">
        <w:rPr>
          <w:rFonts w:ascii="Arial" w:hAnsi="Arial" w:cs="Arial"/>
          <w:sz w:val="24"/>
          <w:szCs w:val="24"/>
        </w:rPr>
        <w:t xml:space="preserve">created. </w:t>
      </w:r>
      <w:r w:rsidR="00DE2695" w:rsidRPr="00E65D67">
        <w:rPr>
          <w:rFonts w:ascii="Arial" w:hAnsi="Arial" w:cs="Arial"/>
          <w:sz w:val="24"/>
          <w:szCs w:val="24"/>
        </w:rPr>
        <w:t>Moreover,</w:t>
      </w:r>
      <w:r w:rsidR="00F9645F" w:rsidRPr="00E65D67">
        <w:rPr>
          <w:rFonts w:ascii="Arial" w:hAnsi="Arial" w:cs="Arial"/>
          <w:sz w:val="24"/>
          <w:szCs w:val="24"/>
        </w:rPr>
        <w:t xml:space="preserve"> </w:t>
      </w:r>
      <w:r w:rsidR="00DE2695" w:rsidRPr="00E65D67">
        <w:rPr>
          <w:rFonts w:ascii="Arial" w:hAnsi="Arial" w:cs="Arial"/>
          <w:sz w:val="24"/>
          <w:szCs w:val="24"/>
        </w:rPr>
        <w:t>i</w:t>
      </w:r>
      <w:r w:rsidR="00AD639C" w:rsidRPr="00E65D67">
        <w:rPr>
          <w:rFonts w:ascii="Arial" w:hAnsi="Arial" w:cs="Arial"/>
          <w:sz w:val="24"/>
          <w:szCs w:val="24"/>
        </w:rPr>
        <w:t xml:space="preserve">t was always an option for the respondent to have filed a </w:t>
      </w:r>
      <w:r w:rsidR="00DD1DBE" w:rsidRPr="00E65D67">
        <w:rPr>
          <w:rFonts w:ascii="Arial" w:hAnsi="Arial" w:cs="Arial"/>
          <w:sz w:val="24"/>
          <w:szCs w:val="24"/>
        </w:rPr>
        <w:t xml:space="preserve">notice in terms of </w:t>
      </w:r>
      <w:r w:rsidR="00A57880" w:rsidRPr="00E65D67">
        <w:rPr>
          <w:rFonts w:ascii="Arial" w:hAnsi="Arial" w:cs="Arial"/>
          <w:sz w:val="24"/>
          <w:szCs w:val="24"/>
        </w:rPr>
        <w:t>rule 30A</w:t>
      </w:r>
      <w:r w:rsidR="00C73E4E" w:rsidRPr="00E65D67">
        <w:rPr>
          <w:rFonts w:ascii="Arial" w:hAnsi="Arial" w:cs="Arial"/>
          <w:sz w:val="24"/>
          <w:szCs w:val="24"/>
        </w:rPr>
        <w:t xml:space="preserve">, </w:t>
      </w:r>
      <w:r w:rsidR="00305AFD" w:rsidRPr="00E65D67">
        <w:rPr>
          <w:rFonts w:ascii="Arial" w:hAnsi="Arial" w:cs="Arial"/>
          <w:sz w:val="24"/>
          <w:szCs w:val="24"/>
        </w:rPr>
        <w:t xml:space="preserve">which </w:t>
      </w:r>
      <w:r w:rsidR="008861A6" w:rsidRPr="00E65D67">
        <w:rPr>
          <w:rFonts w:ascii="Arial" w:hAnsi="Arial" w:cs="Arial"/>
          <w:sz w:val="24"/>
          <w:szCs w:val="24"/>
        </w:rPr>
        <w:t>is</w:t>
      </w:r>
      <w:r w:rsidR="00DD1DBE" w:rsidRPr="00E65D67">
        <w:rPr>
          <w:rFonts w:ascii="Arial" w:hAnsi="Arial" w:cs="Arial"/>
          <w:sz w:val="24"/>
          <w:szCs w:val="24"/>
        </w:rPr>
        <w:t xml:space="preserve"> intended for </w:t>
      </w:r>
      <w:r w:rsidR="00305AFD" w:rsidRPr="00E65D67">
        <w:rPr>
          <w:rFonts w:ascii="Arial" w:hAnsi="Arial" w:cs="Arial"/>
          <w:sz w:val="24"/>
          <w:szCs w:val="24"/>
        </w:rPr>
        <w:t>non-compliance</w:t>
      </w:r>
      <w:r w:rsidR="004F550C" w:rsidRPr="00E65D67">
        <w:rPr>
          <w:rFonts w:ascii="Arial" w:hAnsi="Arial" w:cs="Arial"/>
          <w:sz w:val="24"/>
          <w:szCs w:val="24"/>
        </w:rPr>
        <w:t>.</w:t>
      </w:r>
      <w:r w:rsidR="00F028A6" w:rsidRPr="00E65D67">
        <w:rPr>
          <w:rFonts w:ascii="Arial" w:hAnsi="Arial" w:cs="Arial"/>
          <w:sz w:val="24"/>
          <w:szCs w:val="24"/>
        </w:rPr>
        <w:t xml:space="preserve"> </w:t>
      </w:r>
      <w:r w:rsidR="005E61C9" w:rsidRPr="00E65D67">
        <w:rPr>
          <w:rFonts w:ascii="Arial" w:hAnsi="Arial" w:cs="Arial"/>
          <w:sz w:val="24"/>
          <w:szCs w:val="24"/>
        </w:rPr>
        <w:t xml:space="preserve">In circumstances where the respondent </w:t>
      </w:r>
      <w:r w:rsidR="00B014CB" w:rsidRPr="00E65D67">
        <w:rPr>
          <w:rFonts w:ascii="Arial" w:hAnsi="Arial" w:cs="Arial"/>
          <w:sz w:val="24"/>
          <w:szCs w:val="24"/>
        </w:rPr>
        <w:t>has failed to avail herself of the relevant procedural remedy</w:t>
      </w:r>
      <w:r w:rsidR="00227113" w:rsidRPr="00E65D67">
        <w:rPr>
          <w:rFonts w:ascii="Arial" w:hAnsi="Arial" w:cs="Arial"/>
          <w:sz w:val="24"/>
          <w:szCs w:val="24"/>
        </w:rPr>
        <w:t xml:space="preserve">, has failed to </w:t>
      </w:r>
      <w:r w:rsidR="00650A65" w:rsidRPr="00E65D67">
        <w:rPr>
          <w:rFonts w:ascii="Arial" w:hAnsi="Arial" w:cs="Arial"/>
          <w:sz w:val="24"/>
          <w:szCs w:val="24"/>
        </w:rPr>
        <w:t>plead</w:t>
      </w:r>
      <w:r w:rsidR="00414EA5" w:rsidRPr="00E65D67">
        <w:rPr>
          <w:rFonts w:ascii="Arial" w:hAnsi="Arial" w:cs="Arial"/>
          <w:sz w:val="24"/>
          <w:szCs w:val="24"/>
        </w:rPr>
        <w:t xml:space="preserve"> the nature and extent of any </w:t>
      </w:r>
      <w:r w:rsidR="00650A65" w:rsidRPr="00E65D67">
        <w:rPr>
          <w:rFonts w:ascii="Arial" w:hAnsi="Arial" w:cs="Arial"/>
          <w:sz w:val="24"/>
          <w:szCs w:val="24"/>
        </w:rPr>
        <w:t>prejudice</w:t>
      </w:r>
      <w:r w:rsidR="00C85591" w:rsidRPr="00E65D67">
        <w:rPr>
          <w:rFonts w:ascii="Arial" w:hAnsi="Arial" w:cs="Arial"/>
          <w:sz w:val="24"/>
          <w:szCs w:val="24"/>
        </w:rPr>
        <w:t>,</w:t>
      </w:r>
      <w:r w:rsidR="00B014CB" w:rsidRPr="00E65D67">
        <w:rPr>
          <w:rFonts w:ascii="Arial" w:hAnsi="Arial" w:cs="Arial"/>
          <w:sz w:val="24"/>
          <w:szCs w:val="24"/>
        </w:rPr>
        <w:t xml:space="preserve"> and has </w:t>
      </w:r>
      <w:r w:rsidR="00C85591" w:rsidRPr="00E65D67">
        <w:rPr>
          <w:rFonts w:ascii="Arial" w:hAnsi="Arial" w:cs="Arial"/>
          <w:sz w:val="24"/>
          <w:szCs w:val="24"/>
        </w:rPr>
        <w:t xml:space="preserve">herself failed to deliver </w:t>
      </w:r>
      <w:r w:rsidR="00887822" w:rsidRPr="00E65D67">
        <w:rPr>
          <w:rFonts w:ascii="Arial" w:hAnsi="Arial" w:cs="Arial"/>
          <w:sz w:val="24"/>
          <w:szCs w:val="24"/>
        </w:rPr>
        <w:t xml:space="preserve">her own rule </w:t>
      </w:r>
      <w:r w:rsidR="0040616F" w:rsidRPr="00E65D67">
        <w:rPr>
          <w:rFonts w:ascii="Arial" w:hAnsi="Arial" w:cs="Arial"/>
          <w:sz w:val="24"/>
          <w:szCs w:val="24"/>
        </w:rPr>
        <w:t xml:space="preserve">41A(2) </w:t>
      </w:r>
      <w:r w:rsidR="00C85591" w:rsidRPr="00E65D67">
        <w:rPr>
          <w:rFonts w:ascii="Arial" w:hAnsi="Arial" w:cs="Arial"/>
          <w:sz w:val="24"/>
          <w:szCs w:val="24"/>
        </w:rPr>
        <w:t>notice</w:t>
      </w:r>
      <w:r w:rsidR="0040616F" w:rsidRPr="00E65D67">
        <w:rPr>
          <w:rFonts w:ascii="Arial" w:hAnsi="Arial" w:cs="Arial"/>
          <w:sz w:val="24"/>
          <w:szCs w:val="24"/>
        </w:rPr>
        <w:t xml:space="preserve">, there </w:t>
      </w:r>
      <w:r w:rsidR="00BE26A7" w:rsidRPr="00E65D67">
        <w:rPr>
          <w:rFonts w:ascii="Arial" w:hAnsi="Arial" w:cs="Arial"/>
          <w:sz w:val="24"/>
          <w:szCs w:val="24"/>
        </w:rPr>
        <w:t>wa</w:t>
      </w:r>
      <w:r w:rsidR="0040616F" w:rsidRPr="00E65D67">
        <w:rPr>
          <w:rFonts w:ascii="Arial" w:hAnsi="Arial" w:cs="Arial"/>
          <w:sz w:val="24"/>
          <w:szCs w:val="24"/>
        </w:rPr>
        <w:t xml:space="preserve">s no reason for the court </w:t>
      </w:r>
      <w:r w:rsidR="00BE26A7" w:rsidRPr="00E65D67">
        <w:rPr>
          <w:rFonts w:ascii="Arial" w:hAnsi="Arial" w:cs="Arial"/>
          <w:sz w:val="24"/>
          <w:szCs w:val="24"/>
        </w:rPr>
        <w:t xml:space="preserve">to have </w:t>
      </w:r>
      <w:r w:rsidR="00133F03" w:rsidRPr="00E65D67">
        <w:rPr>
          <w:rFonts w:ascii="Arial" w:hAnsi="Arial" w:cs="Arial"/>
          <w:sz w:val="24"/>
          <w:szCs w:val="24"/>
        </w:rPr>
        <w:t xml:space="preserve">removed the matter </w:t>
      </w:r>
      <w:r w:rsidR="00133F03" w:rsidRPr="00E65D67">
        <w:rPr>
          <w:rFonts w:ascii="Arial" w:hAnsi="Arial" w:cs="Arial"/>
          <w:sz w:val="24"/>
          <w:szCs w:val="24"/>
        </w:rPr>
        <w:lastRenderedPageBreak/>
        <w:t xml:space="preserve">from the roll </w:t>
      </w:r>
      <w:r w:rsidR="00C37115" w:rsidRPr="00E65D67">
        <w:rPr>
          <w:rFonts w:ascii="Arial" w:hAnsi="Arial" w:cs="Arial"/>
          <w:sz w:val="24"/>
          <w:szCs w:val="24"/>
        </w:rPr>
        <w:t xml:space="preserve">to permit the parties </w:t>
      </w:r>
      <w:r w:rsidR="00432D83" w:rsidRPr="00E65D67">
        <w:rPr>
          <w:rFonts w:ascii="Arial" w:hAnsi="Arial" w:cs="Arial"/>
          <w:sz w:val="24"/>
          <w:szCs w:val="24"/>
        </w:rPr>
        <w:t xml:space="preserve">an opportunity to consider the referral of the matter to mediation. The applicant has, in any </w:t>
      </w:r>
      <w:r w:rsidR="00694E6B" w:rsidRPr="00E65D67">
        <w:rPr>
          <w:rFonts w:ascii="Arial" w:hAnsi="Arial" w:cs="Arial"/>
          <w:sz w:val="24"/>
          <w:szCs w:val="24"/>
        </w:rPr>
        <w:t xml:space="preserve">event, never raised such </w:t>
      </w:r>
      <w:r w:rsidR="00E14151" w:rsidRPr="00E65D67">
        <w:rPr>
          <w:rFonts w:ascii="Arial" w:hAnsi="Arial" w:cs="Arial"/>
          <w:sz w:val="24"/>
          <w:szCs w:val="24"/>
        </w:rPr>
        <w:t xml:space="preserve">a </w:t>
      </w:r>
      <w:r w:rsidR="009D1508" w:rsidRPr="00E65D67">
        <w:rPr>
          <w:rFonts w:ascii="Arial" w:hAnsi="Arial" w:cs="Arial"/>
          <w:sz w:val="24"/>
          <w:szCs w:val="24"/>
        </w:rPr>
        <w:t>possibility.</w:t>
      </w:r>
    </w:p>
    <w:p w14:paraId="55A87C53" w14:textId="77777777" w:rsidR="001875B9" w:rsidRPr="001875B9" w:rsidRDefault="001875B9" w:rsidP="001875B9">
      <w:pPr>
        <w:pStyle w:val="ListParagraph"/>
        <w:rPr>
          <w:rFonts w:ascii="Arial" w:hAnsi="Arial" w:cs="Arial"/>
          <w:sz w:val="24"/>
          <w:szCs w:val="24"/>
        </w:rPr>
      </w:pPr>
    </w:p>
    <w:p w14:paraId="07B34AFA" w14:textId="1732F6BA"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647DB" w:rsidRPr="00E65D67">
        <w:rPr>
          <w:rFonts w:ascii="Arial" w:hAnsi="Arial" w:cs="Arial"/>
          <w:sz w:val="24"/>
          <w:szCs w:val="24"/>
        </w:rPr>
        <w:t xml:space="preserve">Consequently, the court is not persuaded that the point </w:t>
      </w:r>
      <w:r w:rsidR="00D647DB" w:rsidRPr="00E65D67">
        <w:rPr>
          <w:rFonts w:ascii="Arial" w:hAnsi="Arial" w:cs="Arial"/>
          <w:i/>
          <w:iCs/>
          <w:sz w:val="24"/>
          <w:szCs w:val="24"/>
        </w:rPr>
        <w:t>in limine</w:t>
      </w:r>
      <w:r w:rsidR="00D647DB" w:rsidRPr="00E65D67">
        <w:rPr>
          <w:rFonts w:ascii="Arial" w:hAnsi="Arial" w:cs="Arial"/>
          <w:sz w:val="24"/>
          <w:szCs w:val="24"/>
        </w:rPr>
        <w:t xml:space="preserve"> has merit</w:t>
      </w:r>
      <w:r w:rsidR="00CF4FD0" w:rsidRPr="00E65D67">
        <w:rPr>
          <w:rFonts w:ascii="Arial" w:hAnsi="Arial" w:cs="Arial"/>
          <w:sz w:val="24"/>
          <w:szCs w:val="24"/>
        </w:rPr>
        <w:t xml:space="preserve">. The remaining points </w:t>
      </w:r>
      <w:r w:rsidR="00BA1EE9" w:rsidRPr="00E65D67">
        <w:rPr>
          <w:rFonts w:ascii="Arial" w:hAnsi="Arial" w:cs="Arial"/>
          <w:sz w:val="24"/>
          <w:szCs w:val="24"/>
        </w:rPr>
        <w:t xml:space="preserve">pertain to the alleged non-receipt of the </w:t>
      </w:r>
      <w:r w:rsidR="00982343" w:rsidRPr="00E65D67">
        <w:rPr>
          <w:rFonts w:ascii="Arial" w:hAnsi="Arial" w:cs="Arial"/>
          <w:sz w:val="24"/>
          <w:szCs w:val="24"/>
        </w:rPr>
        <w:t xml:space="preserve">notices of termination and to </w:t>
      </w:r>
      <w:r w:rsidR="00AF5721" w:rsidRPr="00E65D67">
        <w:rPr>
          <w:rFonts w:ascii="Arial" w:hAnsi="Arial" w:cs="Arial"/>
          <w:sz w:val="24"/>
          <w:szCs w:val="24"/>
        </w:rPr>
        <w:t xml:space="preserve">whether the lease agreement was cancelled or whether it expired </w:t>
      </w:r>
      <w:r w:rsidR="00806C53" w:rsidRPr="00E65D67">
        <w:rPr>
          <w:rFonts w:ascii="Arial" w:hAnsi="Arial" w:cs="Arial"/>
          <w:sz w:val="24"/>
          <w:szCs w:val="24"/>
        </w:rPr>
        <w:t>by effluxion of time.</w:t>
      </w:r>
      <w:r w:rsidR="00042E3E" w:rsidRPr="00E65D67">
        <w:rPr>
          <w:rFonts w:ascii="Arial" w:hAnsi="Arial" w:cs="Arial"/>
          <w:sz w:val="24"/>
          <w:szCs w:val="24"/>
        </w:rPr>
        <w:t xml:space="preserve"> These will be considered w</w:t>
      </w:r>
      <w:r w:rsidR="00496B7F" w:rsidRPr="00E65D67">
        <w:rPr>
          <w:rFonts w:ascii="Arial" w:hAnsi="Arial" w:cs="Arial"/>
          <w:sz w:val="24"/>
          <w:szCs w:val="24"/>
        </w:rPr>
        <w:t xml:space="preserve">hen dealing </w:t>
      </w:r>
      <w:r w:rsidR="00042E3E" w:rsidRPr="00E65D67">
        <w:rPr>
          <w:rFonts w:ascii="Arial" w:hAnsi="Arial" w:cs="Arial"/>
          <w:sz w:val="24"/>
          <w:szCs w:val="24"/>
        </w:rPr>
        <w:t>with the application</w:t>
      </w:r>
      <w:r w:rsidR="00496B7F" w:rsidRPr="00E65D67">
        <w:rPr>
          <w:rFonts w:ascii="Arial" w:hAnsi="Arial" w:cs="Arial"/>
          <w:sz w:val="24"/>
          <w:szCs w:val="24"/>
        </w:rPr>
        <w:t xml:space="preserve"> as a whole</w:t>
      </w:r>
      <w:r w:rsidR="00042E3E" w:rsidRPr="00E65D67">
        <w:rPr>
          <w:rFonts w:ascii="Arial" w:hAnsi="Arial" w:cs="Arial"/>
          <w:sz w:val="24"/>
          <w:szCs w:val="24"/>
        </w:rPr>
        <w:t>.</w:t>
      </w:r>
      <w:r w:rsidR="00C22CF6" w:rsidRPr="00E65D67">
        <w:rPr>
          <w:rFonts w:ascii="Arial" w:hAnsi="Arial" w:cs="Arial"/>
          <w:sz w:val="24"/>
          <w:szCs w:val="24"/>
        </w:rPr>
        <w:t xml:space="preserve"> </w:t>
      </w:r>
    </w:p>
    <w:p w14:paraId="045010A5" w14:textId="77777777" w:rsidR="001875B9" w:rsidRPr="001875B9" w:rsidRDefault="001875B9" w:rsidP="001875B9">
      <w:pPr>
        <w:pStyle w:val="ListParagraph"/>
        <w:rPr>
          <w:rFonts w:ascii="Arial" w:hAnsi="Arial" w:cs="Arial"/>
          <w:sz w:val="24"/>
          <w:szCs w:val="24"/>
        </w:rPr>
      </w:pPr>
    </w:p>
    <w:p w14:paraId="2EF67A88" w14:textId="4FE1F1C7"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C22CF6" w:rsidRPr="00E65D67">
        <w:rPr>
          <w:rFonts w:ascii="Arial" w:hAnsi="Arial" w:cs="Arial"/>
          <w:sz w:val="24"/>
          <w:szCs w:val="24"/>
        </w:rPr>
        <w:t>Before doing so, it is necessary t</w:t>
      </w:r>
      <w:r w:rsidR="005A49E1" w:rsidRPr="00E65D67">
        <w:rPr>
          <w:rFonts w:ascii="Arial" w:hAnsi="Arial" w:cs="Arial"/>
          <w:sz w:val="24"/>
          <w:szCs w:val="24"/>
        </w:rPr>
        <w:t>o deal with the respondent’s assertions in relation to the alleged dispute of fact.</w:t>
      </w:r>
    </w:p>
    <w:p w14:paraId="40C7908B" w14:textId="116F0897" w:rsidR="001875B9" w:rsidRDefault="001875B9" w:rsidP="001875B9">
      <w:pPr>
        <w:pStyle w:val="ListParagraph"/>
        <w:rPr>
          <w:rFonts w:ascii="Arial" w:hAnsi="Arial" w:cs="Arial"/>
          <w:b/>
          <w:sz w:val="24"/>
          <w:szCs w:val="24"/>
        </w:rPr>
      </w:pPr>
    </w:p>
    <w:p w14:paraId="6BA94805" w14:textId="77777777" w:rsidR="001875B9" w:rsidRPr="001875B9" w:rsidRDefault="001875B9" w:rsidP="001875B9">
      <w:pPr>
        <w:pStyle w:val="ListParagraph"/>
        <w:rPr>
          <w:rFonts w:ascii="Arial" w:hAnsi="Arial" w:cs="Arial"/>
          <w:b/>
          <w:sz w:val="24"/>
          <w:szCs w:val="24"/>
        </w:rPr>
      </w:pPr>
    </w:p>
    <w:p w14:paraId="3073D1AF" w14:textId="77777777" w:rsidR="001875B9" w:rsidRPr="001875B9" w:rsidRDefault="005A49E1" w:rsidP="001875B9">
      <w:pPr>
        <w:pStyle w:val="ListParagraph"/>
        <w:spacing w:line="360" w:lineRule="auto"/>
        <w:ind w:left="0"/>
        <w:jc w:val="both"/>
        <w:rPr>
          <w:rFonts w:ascii="Arial" w:hAnsi="Arial" w:cs="Arial"/>
          <w:sz w:val="24"/>
          <w:szCs w:val="24"/>
        </w:rPr>
      </w:pPr>
      <w:r w:rsidRPr="001875B9">
        <w:rPr>
          <w:rFonts w:ascii="Arial" w:hAnsi="Arial" w:cs="Arial"/>
          <w:b/>
          <w:sz w:val="24"/>
          <w:szCs w:val="24"/>
        </w:rPr>
        <w:t>Dispute of fact</w:t>
      </w:r>
    </w:p>
    <w:p w14:paraId="663FEC08" w14:textId="77777777" w:rsidR="001875B9" w:rsidRPr="001875B9" w:rsidRDefault="001875B9" w:rsidP="001875B9">
      <w:pPr>
        <w:pStyle w:val="ListParagraph"/>
        <w:rPr>
          <w:rFonts w:ascii="Arial" w:hAnsi="Arial" w:cs="Arial"/>
          <w:sz w:val="24"/>
          <w:szCs w:val="24"/>
        </w:rPr>
      </w:pPr>
    </w:p>
    <w:p w14:paraId="1C1BC549" w14:textId="29732CD1" w:rsidR="001555A9" w:rsidRPr="00E65D67" w:rsidRDefault="00E65D67" w:rsidP="00E65D67">
      <w:pPr>
        <w:spacing w:line="360" w:lineRule="auto"/>
        <w:jc w:val="both"/>
        <w:rPr>
          <w:rFonts w:ascii="Arial" w:hAnsi="Arial" w:cs="Arial"/>
          <w:sz w:val="24"/>
          <w:szCs w:val="24"/>
        </w:rPr>
      </w:pPr>
      <w:r w:rsidRPr="001875B9">
        <w:rPr>
          <w:rFonts w:ascii="Arial" w:hAnsi="Arial" w:cs="Arial"/>
          <w:sz w:val="24"/>
          <w:szCs w:val="24"/>
        </w:rPr>
        <w:t>[21]</w:t>
      </w:r>
      <w:r w:rsidRPr="001875B9">
        <w:rPr>
          <w:rFonts w:ascii="Arial" w:hAnsi="Arial" w:cs="Arial"/>
          <w:sz w:val="24"/>
          <w:szCs w:val="24"/>
        </w:rPr>
        <w:tab/>
      </w:r>
      <w:r w:rsidR="001555A9" w:rsidRPr="00E65D67">
        <w:rPr>
          <w:rFonts w:ascii="Arial" w:hAnsi="Arial" w:cs="Arial"/>
          <w:sz w:val="24"/>
          <w:szCs w:val="24"/>
        </w:rPr>
        <w:t xml:space="preserve">As a starting point, it may be useful to set out the ‘principal ways’ in which a dispute of fact arises, as discussed in </w:t>
      </w:r>
      <w:r w:rsidR="001555A9" w:rsidRPr="00E65D67">
        <w:rPr>
          <w:rFonts w:ascii="Arial" w:hAnsi="Arial" w:cs="Arial"/>
          <w:i/>
          <w:iCs/>
          <w:sz w:val="24"/>
          <w:szCs w:val="24"/>
        </w:rPr>
        <w:t>Room Hire Co (Pty) Ltd v Jeppe Street Mansions (Pty) Ltd</w:t>
      </w:r>
      <w:r w:rsidR="001555A9" w:rsidRPr="00E65D67">
        <w:rPr>
          <w:rFonts w:ascii="Arial" w:hAnsi="Arial" w:cs="Arial"/>
          <w:sz w:val="24"/>
          <w:szCs w:val="24"/>
        </w:rPr>
        <w:t>,</w:t>
      </w:r>
      <w:r w:rsidR="001555A9">
        <w:rPr>
          <w:rStyle w:val="FootnoteReference"/>
          <w:rFonts w:ascii="Arial" w:hAnsi="Arial" w:cs="Arial"/>
          <w:sz w:val="24"/>
          <w:szCs w:val="24"/>
        </w:rPr>
        <w:footnoteReference w:id="6"/>
      </w:r>
      <w:r w:rsidR="001555A9" w:rsidRPr="00E65D67">
        <w:rPr>
          <w:rFonts w:ascii="Arial" w:hAnsi="Arial" w:cs="Arial"/>
          <w:sz w:val="24"/>
          <w:szCs w:val="24"/>
        </w:rPr>
        <w:t>. where Murray AJP remarked as follows:</w:t>
      </w:r>
    </w:p>
    <w:p w14:paraId="21BD20C9" w14:textId="22158A3A" w:rsidR="001555A9" w:rsidRPr="00904F42" w:rsidRDefault="001555A9" w:rsidP="001875B9">
      <w:pPr>
        <w:spacing w:line="360" w:lineRule="auto"/>
        <w:ind w:left="720"/>
        <w:jc w:val="both"/>
        <w:rPr>
          <w:rFonts w:ascii="Arial" w:hAnsi="Arial" w:cs="Arial"/>
          <w:sz w:val="20"/>
          <w:szCs w:val="20"/>
        </w:rPr>
      </w:pPr>
      <w:r w:rsidRPr="00904F42">
        <w:rPr>
          <w:rFonts w:ascii="Arial" w:hAnsi="Arial" w:cs="Arial"/>
          <w:sz w:val="20"/>
          <w:szCs w:val="20"/>
        </w:rPr>
        <w:t>‘…</w:t>
      </w:r>
      <w:r w:rsidR="005A49E1" w:rsidRPr="00904F42">
        <w:rPr>
          <w:rFonts w:ascii="Arial" w:hAnsi="Arial" w:cs="Arial"/>
          <w:sz w:val="20"/>
          <w:szCs w:val="20"/>
        </w:rPr>
        <w:t xml:space="preserve">The </w:t>
      </w:r>
      <w:r w:rsidRPr="00904F42">
        <w:rPr>
          <w:rFonts w:ascii="Arial" w:hAnsi="Arial" w:cs="Arial"/>
          <w:sz w:val="20"/>
          <w:szCs w:val="20"/>
        </w:rPr>
        <w:t xml:space="preserve">clearest instance is, of course, (a) when the </w:t>
      </w:r>
      <w:r w:rsidR="00E4032B" w:rsidRPr="00904F42">
        <w:rPr>
          <w:rFonts w:ascii="Arial" w:hAnsi="Arial" w:cs="Arial"/>
          <w:sz w:val="20"/>
          <w:szCs w:val="20"/>
        </w:rPr>
        <w:t xml:space="preserve">respondent </w:t>
      </w:r>
      <w:r w:rsidRPr="00904F42">
        <w:rPr>
          <w:rFonts w:ascii="Arial" w:hAnsi="Arial" w:cs="Arial"/>
          <w:sz w:val="20"/>
          <w:szCs w:val="20"/>
        </w:rPr>
        <w:t xml:space="preserve">denies all the material allegations made by the various deponents on the applicant’s behalf, and produces or will produce, positive evidence by deponents or witnesses to the contrary. He may have witnesses who are </w:t>
      </w:r>
      <w:r w:rsidR="00904F42" w:rsidRPr="00904F42">
        <w:rPr>
          <w:rFonts w:ascii="Arial" w:hAnsi="Arial" w:cs="Arial"/>
          <w:sz w:val="20"/>
          <w:szCs w:val="20"/>
        </w:rPr>
        <w:t xml:space="preserve">not presently available or who, though adverse to making an affidavit, would give evidence </w:t>
      </w:r>
      <w:r w:rsidR="00904F42" w:rsidRPr="00904F42">
        <w:rPr>
          <w:rFonts w:ascii="Arial" w:hAnsi="Arial" w:cs="Arial"/>
          <w:i/>
          <w:iCs/>
          <w:sz w:val="20"/>
          <w:szCs w:val="20"/>
        </w:rPr>
        <w:t>viva voce</w:t>
      </w:r>
      <w:r w:rsidR="00904F42" w:rsidRPr="00904F42">
        <w:rPr>
          <w:rFonts w:ascii="Arial" w:hAnsi="Arial" w:cs="Arial"/>
          <w:sz w:val="20"/>
          <w:szCs w:val="20"/>
        </w:rPr>
        <w:t xml:space="preserve"> if subpoenaed. There are however other cases to consider. The respondent may (b) admit the applicant’s affidavit evidence but allege other facts which the applicant disputes. Or (c) he may concede that he has no knowledge of the main facts stated by the applicant, but may deny them, putting applicant to the proof and himself giving or proposing to give evidence to show that the applicant and his deponents are biased and untruthful or otherwise unreliable, and that certain facts upon which applicant and his deponents rely to prove the main facts are untrue. The absence of any positive evidence possessed by a respondent directly contradicting applicant’s main allegations does not render a case such as this free of a real dispute of fact. Or (d) he may state that he can lead no evidence himself or by others to dispute the truth of applicant’s statements, </w:t>
      </w:r>
      <w:r w:rsidR="00904F42" w:rsidRPr="00904F42">
        <w:rPr>
          <w:rFonts w:ascii="Arial" w:hAnsi="Arial" w:cs="Arial"/>
          <w:sz w:val="20"/>
          <w:szCs w:val="20"/>
        </w:rPr>
        <w:lastRenderedPageBreak/>
        <w:t>which are peculiarly within applicant’s knowledge, but he puts applicant to the proof thereof by oral evidence subject to cross-examination.’</w:t>
      </w:r>
      <w:r w:rsidR="00904F42" w:rsidRPr="00904F42">
        <w:rPr>
          <w:rStyle w:val="FootnoteReference"/>
          <w:rFonts w:ascii="Arial" w:hAnsi="Arial" w:cs="Arial"/>
          <w:sz w:val="20"/>
          <w:szCs w:val="20"/>
        </w:rPr>
        <w:footnoteReference w:id="7"/>
      </w:r>
    </w:p>
    <w:p w14:paraId="3F81AF69" w14:textId="77777777" w:rsidR="00904F42" w:rsidRDefault="00904F42" w:rsidP="00FC5C09">
      <w:pPr>
        <w:spacing w:line="360" w:lineRule="auto"/>
        <w:rPr>
          <w:rFonts w:ascii="Arial" w:hAnsi="Arial" w:cs="Arial"/>
          <w:sz w:val="24"/>
          <w:szCs w:val="24"/>
        </w:rPr>
      </w:pPr>
    </w:p>
    <w:p w14:paraId="0FDFE0B8" w14:textId="5BBE7F3C"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24F0A" w:rsidRPr="00E65D67">
        <w:rPr>
          <w:rFonts w:ascii="Arial" w:hAnsi="Arial" w:cs="Arial"/>
          <w:sz w:val="24"/>
          <w:szCs w:val="24"/>
        </w:rPr>
        <w:t>In the present matter, t</w:t>
      </w:r>
      <w:r w:rsidR="005A49E1" w:rsidRPr="00E65D67">
        <w:rPr>
          <w:rFonts w:ascii="Arial" w:hAnsi="Arial" w:cs="Arial"/>
          <w:sz w:val="24"/>
          <w:szCs w:val="24"/>
        </w:rPr>
        <w:t xml:space="preserve">he </w:t>
      </w:r>
      <w:r w:rsidR="00E4032B" w:rsidRPr="00E65D67">
        <w:rPr>
          <w:rFonts w:ascii="Arial" w:hAnsi="Arial" w:cs="Arial"/>
          <w:sz w:val="24"/>
          <w:szCs w:val="24"/>
        </w:rPr>
        <w:t>respondent avers</w:t>
      </w:r>
      <w:r w:rsidR="00F476CA" w:rsidRPr="00E65D67">
        <w:rPr>
          <w:rFonts w:ascii="Arial" w:hAnsi="Arial" w:cs="Arial"/>
          <w:sz w:val="24"/>
          <w:szCs w:val="24"/>
        </w:rPr>
        <w:t xml:space="preserve">, </w:t>
      </w:r>
      <w:r w:rsidR="00E4032B" w:rsidRPr="00E65D67">
        <w:rPr>
          <w:rFonts w:ascii="Arial" w:hAnsi="Arial" w:cs="Arial"/>
          <w:sz w:val="24"/>
          <w:szCs w:val="24"/>
        </w:rPr>
        <w:t>essentially</w:t>
      </w:r>
      <w:r w:rsidR="00F476CA" w:rsidRPr="00E65D67">
        <w:rPr>
          <w:rFonts w:ascii="Arial" w:hAnsi="Arial" w:cs="Arial"/>
          <w:sz w:val="24"/>
          <w:szCs w:val="24"/>
        </w:rPr>
        <w:t>,</w:t>
      </w:r>
      <w:r w:rsidR="00E4032B" w:rsidRPr="00E65D67">
        <w:rPr>
          <w:rFonts w:ascii="Arial" w:hAnsi="Arial" w:cs="Arial"/>
          <w:sz w:val="24"/>
          <w:szCs w:val="24"/>
        </w:rPr>
        <w:t xml:space="preserve"> that she </w:t>
      </w:r>
      <w:r w:rsidR="005C47A2" w:rsidRPr="00E65D67">
        <w:rPr>
          <w:rFonts w:ascii="Arial" w:hAnsi="Arial" w:cs="Arial"/>
          <w:sz w:val="24"/>
          <w:szCs w:val="24"/>
        </w:rPr>
        <w:t>has vacated erven 354, 355 and 356</w:t>
      </w:r>
      <w:r w:rsidR="00812A84" w:rsidRPr="00E65D67">
        <w:rPr>
          <w:rFonts w:ascii="Arial" w:hAnsi="Arial" w:cs="Arial"/>
          <w:sz w:val="24"/>
          <w:szCs w:val="24"/>
        </w:rPr>
        <w:t xml:space="preserve"> but remains in occupation of erf 357. </w:t>
      </w:r>
      <w:r w:rsidR="00F23752" w:rsidRPr="00E65D67">
        <w:rPr>
          <w:rFonts w:ascii="Arial" w:hAnsi="Arial" w:cs="Arial"/>
          <w:sz w:val="24"/>
          <w:szCs w:val="24"/>
        </w:rPr>
        <w:t>She</w:t>
      </w:r>
      <w:r w:rsidR="00B373E1" w:rsidRPr="00E65D67">
        <w:rPr>
          <w:rFonts w:ascii="Arial" w:hAnsi="Arial" w:cs="Arial"/>
          <w:sz w:val="24"/>
          <w:szCs w:val="24"/>
        </w:rPr>
        <w:t xml:space="preserve"> </w:t>
      </w:r>
      <w:r w:rsidR="00F23752" w:rsidRPr="00E65D67">
        <w:rPr>
          <w:rFonts w:ascii="Arial" w:hAnsi="Arial" w:cs="Arial"/>
          <w:sz w:val="24"/>
          <w:szCs w:val="24"/>
        </w:rPr>
        <w:t>avers</w:t>
      </w:r>
      <w:r w:rsidR="001F2AD8" w:rsidRPr="00E65D67">
        <w:rPr>
          <w:rFonts w:ascii="Arial" w:hAnsi="Arial" w:cs="Arial"/>
          <w:sz w:val="24"/>
          <w:szCs w:val="24"/>
        </w:rPr>
        <w:t>, too,</w:t>
      </w:r>
      <w:r w:rsidR="00F23752" w:rsidRPr="00E65D67">
        <w:rPr>
          <w:rFonts w:ascii="Arial" w:hAnsi="Arial" w:cs="Arial"/>
          <w:sz w:val="24"/>
          <w:szCs w:val="24"/>
        </w:rPr>
        <w:t xml:space="preserve"> that t</w:t>
      </w:r>
      <w:r w:rsidR="00812A84" w:rsidRPr="00E65D67">
        <w:rPr>
          <w:rFonts w:ascii="Arial" w:hAnsi="Arial" w:cs="Arial"/>
          <w:sz w:val="24"/>
          <w:szCs w:val="24"/>
        </w:rPr>
        <w:t xml:space="preserve">he only </w:t>
      </w:r>
      <w:r w:rsidR="00F23752" w:rsidRPr="00E65D67">
        <w:rPr>
          <w:rFonts w:ascii="Arial" w:hAnsi="Arial" w:cs="Arial"/>
          <w:sz w:val="24"/>
          <w:szCs w:val="24"/>
        </w:rPr>
        <w:t xml:space="preserve">surviving </w:t>
      </w:r>
      <w:r w:rsidR="00812A84" w:rsidRPr="00E65D67">
        <w:rPr>
          <w:rFonts w:ascii="Arial" w:hAnsi="Arial" w:cs="Arial"/>
          <w:sz w:val="24"/>
          <w:szCs w:val="24"/>
        </w:rPr>
        <w:t xml:space="preserve">lease agreement of relevance to the dispute is that concluded between the parties </w:t>
      </w:r>
      <w:r w:rsidR="00F23752" w:rsidRPr="00E65D67">
        <w:rPr>
          <w:rFonts w:ascii="Arial" w:hAnsi="Arial" w:cs="Arial"/>
          <w:sz w:val="24"/>
          <w:szCs w:val="24"/>
        </w:rPr>
        <w:t xml:space="preserve">for erf 357 in 2018. </w:t>
      </w:r>
      <w:r w:rsidR="00791BFF" w:rsidRPr="00E65D67">
        <w:rPr>
          <w:rFonts w:ascii="Arial" w:hAnsi="Arial" w:cs="Arial"/>
          <w:sz w:val="24"/>
          <w:szCs w:val="24"/>
        </w:rPr>
        <w:t>Moreover, s</w:t>
      </w:r>
      <w:r w:rsidR="00F23752" w:rsidRPr="00E65D67">
        <w:rPr>
          <w:rFonts w:ascii="Arial" w:hAnsi="Arial" w:cs="Arial"/>
          <w:sz w:val="24"/>
          <w:szCs w:val="24"/>
        </w:rPr>
        <w:t xml:space="preserve">he avers that she has been </w:t>
      </w:r>
      <w:r w:rsidR="001B6A75" w:rsidRPr="00E65D67">
        <w:rPr>
          <w:rFonts w:ascii="Arial" w:hAnsi="Arial" w:cs="Arial"/>
          <w:sz w:val="24"/>
          <w:szCs w:val="24"/>
        </w:rPr>
        <w:t xml:space="preserve">paying monthly rental </w:t>
      </w:r>
      <w:r w:rsidR="00A34FC5" w:rsidRPr="00E65D67">
        <w:rPr>
          <w:rFonts w:ascii="Arial" w:hAnsi="Arial" w:cs="Arial"/>
          <w:sz w:val="24"/>
          <w:szCs w:val="24"/>
        </w:rPr>
        <w:t xml:space="preserve">and </w:t>
      </w:r>
      <w:r w:rsidR="00E16337" w:rsidRPr="00E65D67">
        <w:rPr>
          <w:rFonts w:ascii="Arial" w:hAnsi="Arial" w:cs="Arial"/>
          <w:sz w:val="24"/>
          <w:szCs w:val="24"/>
        </w:rPr>
        <w:t>municipal service charges</w:t>
      </w:r>
      <w:r w:rsidR="00A34FC5" w:rsidRPr="00E65D67">
        <w:rPr>
          <w:rFonts w:ascii="Arial" w:hAnsi="Arial" w:cs="Arial"/>
          <w:sz w:val="24"/>
          <w:szCs w:val="24"/>
        </w:rPr>
        <w:t xml:space="preserve">, and never received notification </w:t>
      </w:r>
      <w:r w:rsidR="001F2AD8" w:rsidRPr="00E65D67">
        <w:rPr>
          <w:rFonts w:ascii="Arial" w:hAnsi="Arial" w:cs="Arial"/>
          <w:sz w:val="24"/>
          <w:szCs w:val="24"/>
        </w:rPr>
        <w:t>from the applicant or his attorneys about the termination of the agreement.</w:t>
      </w:r>
    </w:p>
    <w:p w14:paraId="560B3E02" w14:textId="77777777" w:rsidR="001875B9" w:rsidRDefault="001875B9" w:rsidP="001875B9">
      <w:pPr>
        <w:pStyle w:val="ListParagraph"/>
        <w:spacing w:line="360" w:lineRule="auto"/>
        <w:ind w:left="0"/>
        <w:jc w:val="both"/>
        <w:rPr>
          <w:rFonts w:ascii="Arial" w:hAnsi="Arial" w:cs="Arial"/>
          <w:sz w:val="24"/>
          <w:szCs w:val="24"/>
        </w:rPr>
      </w:pPr>
    </w:p>
    <w:p w14:paraId="005E78F2" w14:textId="0C015FA9"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24F0A" w:rsidRPr="00E65D67">
        <w:rPr>
          <w:rFonts w:ascii="Arial" w:hAnsi="Arial" w:cs="Arial"/>
          <w:sz w:val="24"/>
          <w:szCs w:val="24"/>
        </w:rPr>
        <w:t>There are difficulties attached to the respondent’s a</w:t>
      </w:r>
      <w:r w:rsidR="00D11B84" w:rsidRPr="00E65D67">
        <w:rPr>
          <w:rFonts w:ascii="Arial" w:hAnsi="Arial" w:cs="Arial"/>
          <w:sz w:val="24"/>
          <w:szCs w:val="24"/>
        </w:rPr>
        <w:t>verments.</w:t>
      </w:r>
      <w:r w:rsidR="00224F0A" w:rsidRPr="00E65D67">
        <w:rPr>
          <w:rFonts w:ascii="Arial" w:hAnsi="Arial" w:cs="Arial"/>
          <w:sz w:val="24"/>
          <w:szCs w:val="24"/>
        </w:rPr>
        <w:t xml:space="preserve"> </w:t>
      </w:r>
      <w:r w:rsidR="00F476CA" w:rsidRPr="00E65D67">
        <w:rPr>
          <w:rFonts w:ascii="Arial" w:hAnsi="Arial" w:cs="Arial"/>
          <w:sz w:val="24"/>
          <w:szCs w:val="24"/>
        </w:rPr>
        <w:t xml:space="preserve">In relation to erven 354, 355 and 356, the respondent has not indicated </w:t>
      </w:r>
      <w:r w:rsidR="00D11B84" w:rsidRPr="00E65D67">
        <w:rPr>
          <w:rFonts w:ascii="Arial" w:hAnsi="Arial" w:cs="Arial"/>
          <w:sz w:val="24"/>
          <w:szCs w:val="24"/>
        </w:rPr>
        <w:t xml:space="preserve">exactly </w:t>
      </w:r>
      <w:r w:rsidR="00F476CA" w:rsidRPr="00E65D67">
        <w:rPr>
          <w:rFonts w:ascii="Arial" w:hAnsi="Arial" w:cs="Arial"/>
          <w:sz w:val="24"/>
          <w:szCs w:val="24"/>
        </w:rPr>
        <w:t>when she vacated the land. There is nothing to substantiate her allegation. It would have assisted had she provided details of the current occupiers, accompanied by confirmatory affidavits or photographs of the premises or some other form of documentary evidence such as a copy of a utility bill addressed to the current occupiers. The applicant’s copy of the lease agreement clearly stipulates that t</w:t>
      </w:r>
      <w:r w:rsidR="005A3357" w:rsidRPr="00E65D67">
        <w:rPr>
          <w:rFonts w:ascii="Arial" w:hAnsi="Arial" w:cs="Arial"/>
          <w:sz w:val="24"/>
          <w:szCs w:val="24"/>
        </w:rPr>
        <w:t>he subject thereof consisted of erven 354, 355, 356 and 357. The respondent has simply failed to adduce any evidence in support of her assertion that she no longer occupies the land in question.</w:t>
      </w:r>
      <w:r w:rsidR="00F476CA" w:rsidRPr="00E65D67">
        <w:rPr>
          <w:rFonts w:ascii="Arial" w:hAnsi="Arial" w:cs="Arial"/>
          <w:sz w:val="24"/>
          <w:szCs w:val="24"/>
        </w:rPr>
        <w:t xml:space="preserve"> </w:t>
      </w:r>
    </w:p>
    <w:p w14:paraId="43528A25" w14:textId="77777777" w:rsidR="001875B9" w:rsidRPr="001875B9" w:rsidRDefault="001875B9" w:rsidP="001875B9">
      <w:pPr>
        <w:pStyle w:val="ListParagraph"/>
        <w:rPr>
          <w:rFonts w:ascii="Arial" w:hAnsi="Arial" w:cs="Arial"/>
          <w:sz w:val="24"/>
          <w:szCs w:val="24"/>
        </w:rPr>
      </w:pPr>
    </w:p>
    <w:p w14:paraId="682766E9" w14:textId="599BC870"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A3357" w:rsidRPr="00E65D67">
        <w:rPr>
          <w:rFonts w:ascii="Arial" w:hAnsi="Arial" w:cs="Arial"/>
          <w:sz w:val="24"/>
          <w:szCs w:val="24"/>
        </w:rPr>
        <w:t xml:space="preserve">Turning to the agreement for erf 357, the respondent has not provided any information about </w:t>
      </w:r>
      <w:r w:rsidR="00F31110" w:rsidRPr="00E65D67">
        <w:rPr>
          <w:rFonts w:ascii="Arial" w:hAnsi="Arial" w:cs="Arial"/>
          <w:sz w:val="24"/>
          <w:szCs w:val="24"/>
        </w:rPr>
        <w:t xml:space="preserve">where and when it was concluded, or who represented the DPWI at the time. She has said very little about the </w:t>
      </w:r>
      <w:r w:rsidR="005A3357" w:rsidRPr="00E65D67">
        <w:rPr>
          <w:rFonts w:ascii="Arial" w:hAnsi="Arial" w:cs="Arial"/>
          <w:sz w:val="24"/>
          <w:szCs w:val="24"/>
        </w:rPr>
        <w:t xml:space="preserve">terms </w:t>
      </w:r>
      <w:r w:rsidR="00F31110" w:rsidRPr="00E65D67">
        <w:rPr>
          <w:rFonts w:ascii="Arial" w:hAnsi="Arial" w:cs="Arial"/>
          <w:sz w:val="24"/>
          <w:szCs w:val="24"/>
        </w:rPr>
        <w:t xml:space="preserve">of </w:t>
      </w:r>
      <w:r w:rsidR="005A3357" w:rsidRPr="00E65D67">
        <w:rPr>
          <w:rFonts w:ascii="Arial" w:hAnsi="Arial" w:cs="Arial"/>
          <w:sz w:val="24"/>
          <w:szCs w:val="24"/>
        </w:rPr>
        <w:t>the agreement, save to say that the monthly rental was R8,000 with effect from an unknown date in April 2019. She pleads that she has unsuccessfully attempted to obtain a copy from the offices of the DPWI but has not supplied details about where and when such attempts were made</w:t>
      </w:r>
      <w:r w:rsidR="00A46730" w:rsidRPr="00E65D67">
        <w:rPr>
          <w:rFonts w:ascii="Arial" w:hAnsi="Arial" w:cs="Arial"/>
          <w:sz w:val="24"/>
          <w:szCs w:val="24"/>
        </w:rPr>
        <w:t xml:space="preserve">, the identities </w:t>
      </w:r>
      <w:r w:rsidR="00A46730" w:rsidRPr="00E65D67">
        <w:rPr>
          <w:rFonts w:ascii="Arial" w:hAnsi="Arial" w:cs="Arial"/>
          <w:sz w:val="24"/>
          <w:szCs w:val="24"/>
        </w:rPr>
        <w:lastRenderedPageBreak/>
        <w:t xml:space="preserve">of any officials with whom she may have engaged, or copies of any written requests previously </w:t>
      </w:r>
      <w:r w:rsidR="00F31110" w:rsidRPr="00E65D67">
        <w:rPr>
          <w:rFonts w:ascii="Arial" w:hAnsi="Arial" w:cs="Arial"/>
          <w:sz w:val="24"/>
          <w:szCs w:val="24"/>
        </w:rPr>
        <w:t>sent</w:t>
      </w:r>
      <w:r w:rsidR="00A46730" w:rsidRPr="00E65D67">
        <w:rPr>
          <w:rFonts w:ascii="Arial" w:hAnsi="Arial" w:cs="Arial"/>
          <w:sz w:val="24"/>
          <w:szCs w:val="24"/>
        </w:rPr>
        <w:t>.</w:t>
      </w:r>
    </w:p>
    <w:p w14:paraId="4AA3F4CD" w14:textId="77777777" w:rsidR="001875B9" w:rsidRPr="001875B9" w:rsidRDefault="001875B9" w:rsidP="001875B9">
      <w:pPr>
        <w:pStyle w:val="ListParagraph"/>
        <w:rPr>
          <w:rFonts w:ascii="Arial" w:hAnsi="Arial" w:cs="Arial"/>
          <w:sz w:val="24"/>
          <w:szCs w:val="24"/>
        </w:rPr>
      </w:pPr>
    </w:p>
    <w:p w14:paraId="210732DD" w14:textId="4E76E082"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77C99" w:rsidRPr="00E65D67">
        <w:rPr>
          <w:rFonts w:ascii="Arial" w:hAnsi="Arial" w:cs="Arial"/>
          <w:sz w:val="24"/>
          <w:szCs w:val="24"/>
        </w:rPr>
        <w:t>V</w:t>
      </w:r>
      <w:r w:rsidR="00D11B84" w:rsidRPr="00E65D67">
        <w:rPr>
          <w:rFonts w:ascii="Arial" w:hAnsi="Arial" w:cs="Arial"/>
          <w:sz w:val="24"/>
          <w:szCs w:val="24"/>
        </w:rPr>
        <w:t xml:space="preserve">ague and insubstantial averments are </w:t>
      </w:r>
      <w:r w:rsidR="00D468CA" w:rsidRPr="00E65D67">
        <w:rPr>
          <w:rFonts w:ascii="Arial" w:hAnsi="Arial" w:cs="Arial"/>
          <w:sz w:val="24"/>
          <w:szCs w:val="24"/>
        </w:rPr>
        <w:t xml:space="preserve">not </w:t>
      </w:r>
      <w:r w:rsidR="00D11B84" w:rsidRPr="00E65D67">
        <w:rPr>
          <w:rFonts w:ascii="Arial" w:hAnsi="Arial" w:cs="Arial"/>
          <w:sz w:val="24"/>
          <w:szCs w:val="24"/>
        </w:rPr>
        <w:t>sufficient to give rise to a genuine dispute of fact.</w:t>
      </w:r>
      <w:r w:rsidR="00D11B84">
        <w:rPr>
          <w:rStyle w:val="FootnoteReference"/>
          <w:rFonts w:ascii="Arial" w:hAnsi="Arial" w:cs="Arial"/>
          <w:sz w:val="24"/>
          <w:szCs w:val="24"/>
        </w:rPr>
        <w:footnoteReference w:id="8"/>
      </w:r>
      <w:r w:rsidR="00C77C99" w:rsidRPr="00E65D67">
        <w:rPr>
          <w:rFonts w:ascii="Arial" w:hAnsi="Arial" w:cs="Arial"/>
          <w:sz w:val="24"/>
          <w:szCs w:val="24"/>
        </w:rPr>
        <w:t xml:space="preserve"> The respondent’s allegations regarding her vacation of erven 354, 355 and 356 and the conclusion of a new agreement for erf 357 are simply too </w:t>
      </w:r>
      <w:r w:rsidR="00D22716" w:rsidRPr="00E65D67">
        <w:rPr>
          <w:rFonts w:ascii="Arial" w:hAnsi="Arial" w:cs="Arial"/>
          <w:sz w:val="24"/>
          <w:szCs w:val="24"/>
        </w:rPr>
        <w:t>sketchy, imprecise, and tenuous to persuade the court that it cannot reach a decision on the facts, founded on a consideration of the balance of probabilities</w:t>
      </w:r>
      <w:r w:rsidR="00D468CA" w:rsidRPr="00E65D67">
        <w:rPr>
          <w:rFonts w:ascii="Arial" w:hAnsi="Arial" w:cs="Arial"/>
          <w:sz w:val="24"/>
          <w:szCs w:val="24"/>
        </w:rPr>
        <w:t>, without referring the matter for the earing of oral evidence in terms of rule 6(5)(g)</w:t>
      </w:r>
      <w:r w:rsidR="00D22716" w:rsidRPr="00E65D67">
        <w:rPr>
          <w:rFonts w:ascii="Arial" w:hAnsi="Arial" w:cs="Arial"/>
          <w:sz w:val="24"/>
          <w:szCs w:val="24"/>
        </w:rPr>
        <w:t>.</w:t>
      </w:r>
      <w:r w:rsidR="00D22716">
        <w:rPr>
          <w:rStyle w:val="FootnoteReference"/>
          <w:rFonts w:ascii="Arial" w:hAnsi="Arial" w:cs="Arial"/>
          <w:sz w:val="24"/>
          <w:szCs w:val="24"/>
        </w:rPr>
        <w:footnoteReference w:id="9"/>
      </w:r>
    </w:p>
    <w:p w14:paraId="2C37073A" w14:textId="77777777" w:rsidR="001875B9" w:rsidRPr="001875B9" w:rsidRDefault="001875B9" w:rsidP="001875B9">
      <w:pPr>
        <w:pStyle w:val="ListParagraph"/>
        <w:rPr>
          <w:rFonts w:ascii="Arial" w:hAnsi="Arial" w:cs="Arial"/>
          <w:sz w:val="24"/>
          <w:szCs w:val="24"/>
        </w:rPr>
      </w:pPr>
    </w:p>
    <w:p w14:paraId="32E6DAD6" w14:textId="099A3CCC"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D468CA" w:rsidRPr="00E65D67">
        <w:rPr>
          <w:rFonts w:ascii="Arial" w:hAnsi="Arial" w:cs="Arial"/>
          <w:sz w:val="24"/>
          <w:szCs w:val="24"/>
        </w:rPr>
        <w:t xml:space="preserve">The respondent’s remaining allegations concern the payment of </w:t>
      </w:r>
      <w:r w:rsidR="00224F0A" w:rsidRPr="00E65D67">
        <w:rPr>
          <w:rFonts w:ascii="Arial" w:hAnsi="Arial" w:cs="Arial"/>
          <w:sz w:val="24"/>
          <w:szCs w:val="24"/>
        </w:rPr>
        <w:t xml:space="preserve">monthly rental and municipal service charges, </w:t>
      </w:r>
      <w:r w:rsidR="007B27DA" w:rsidRPr="00E65D67">
        <w:rPr>
          <w:rFonts w:ascii="Arial" w:hAnsi="Arial" w:cs="Arial"/>
          <w:sz w:val="24"/>
          <w:szCs w:val="24"/>
        </w:rPr>
        <w:t xml:space="preserve">and whether she </w:t>
      </w:r>
      <w:r w:rsidR="00224F0A" w:rsidRPr="00E65D67">
        <w:rPr>
          <w:rFonts w:ascii="Arial" w:hAnsi="Arial" w:cs="Arial"/>
          <w:sz w:val="24"/>
          <w:szCs w:val="24"/>
        </w:rPr>
        <w:t>received notification from the applicant or his attorneys about the termination of the agreement.</w:t>
      </w:r>
      <w:r w:rsidR="007B27DA" w:rsidRPr="00E65D67">
        <w:rPr>
          <w:rFonts w:ascii="Arial" w:hAnsi="Arial" w:cs="Arial"/>
          <w:sz w:val="24"/>
          <w:szCs w:val="24"/>
        </w:rPr>
        <w:t xml:space="preserve"> These may well give rise to a genuine dispute of fact. However, for the reasons that follow, it is not necessary for the court to make any findings in this regard.</w:t>
      </w:r>
    </w:p>
    <w:p w14:paraId="078B33D7" w14:textId="02507C2D" w:rsidR="001875B9" w:rsidRPr="001875B9" w:rsidRDefault="007A54F0" w:rsidP="001875B9">
      <w:pPr>
        <w:pStyle w:val="ListParagraph"/>
        <w:spacing w:line="360" w:lineRule="auto"/>
        <w:ind w:left="0"/>
        <w:jc w:val="both"/>
        <w:rPr>
          <w:rFonts w:ascii="Arial" w:hAnsi="Arial" w:cs="Arial"/>
          <w:sz w:val="24"/>
          <w:szCs w:val="24"/>
        </w:rPr>
      </w:pPr>
      <w:r w:rsidRPr="001875B9">
        <w:rPr>
          <w:rFonts w:ascii="Arial" w:hAnsi="Arial" w:cs="Arial"/>
          <w:b/>
          <w:bCs/>
          <w:sz w:val="24"/>
          <w:szCs w:val="24"/>
        </w:rPr>
        <w:t xml:space="preserve">Termination of </w:t>
      </w:r>
      <w:r w:rsidR="00E83AA4" w:rsidRPr="001875B9">
        <w:rPr>
          <w:rFonts w:ascii="Arial" w:hAnsi="Arial" w:cs="Arial"/>
          <w:b/>
          <w:bCs/>
          <w:sz w:val="24"/>
          <w:szCs w:val="24"/>
        </w:rPr>
        <w:t>lease agreement</w:t>
      </w:r>
    </w:p>
    <w:p w14:paraId="64B87F3F" w14:textId="77777777" w:rsidR="001875B9" w:rsidRPr="001875B9" w:rsidRDefault="001875B9" w:rsidP="001875B9">
      <w:pPr>
        <w:pStyle w:val="ListParagraph"/>
        <w:spacing w:line="360" w:lineRule="auto"/>
        <w:ind w:left="0"/>
        <w:jc w:val="both"/>
        <w:rPr>
          <w:rFonts w:ascii="Arial" w:hAnsi="Arial" w:cs="Arial"/>
          <w:sz w:val="24"/>
          <w:szCs w:val="24"/>
        </w:rPr>
      </w:pPr>
    </w:p>
    <w:p w14:paraId="5556A784" w14:textId="7E15351E"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83AA4" w:rsidRPr="00E65D67">
        <w:rPr>
          <w:rFonts w:ascii="Arial" w:hAnsi="Arial" w:cs="Arial"/>
          <w:sz w:val="24"/>
          <w:szCs w:val="24"/>
        </w:rPr>
        <w:t xml:space="preserve">The </w:t>
      </w:r>
      <w:r w:rsidR="006F2C04" w:rsidRPr="00E65D67">
        <w:rPr>
          <w:rFonts w:ascii="Arial" w:hAnsi="Arial" w:cs="Arial"/>
          <w:sz w:val="24"/>
          <w:szCs w:val="24"/>
        </w:rPr>
        <w:t xml:space="preserve">applicant has attached a copy of the lease agreement to his founding affidavit. </w:t>
      </w:r>
      <w:r w:rsidR="0043233E" w:rsidRPr="00E65D67">
        <w:rPr>
          <w:rFonts w:ascii="Arial" w:hAnsi="Arial" w:cs="Arial"/>
          <w:sz w:val="24"/>
          <w:szCs w:val="24"/>
        </w:rPr>
        <w:t>Under</w:t>
      </w:r>
      <w:r w:rsidR="00AB4CDB" w:rsidRPr="00E65D67">
        <w:rPr>
          <w:rFonts w:ascii="Arial" w:hAnsi="Arial" w:cs="Arial"/>
          <w:sz w:val="24"/>
          <w:szCs w:val="24"/>
        </w:rPr>
        <w:t xml:space="preserve"> the interpretative provisions of </w:t>
      </w:r>
      <w:r w:rsidR="00610F56" w:rsidRPr="00E65D67">
        <w:rPr>
          <w:rFonts w:ascii="Arial" w:hAnsi="Arial" w:cs="Arial"/>
          <w:sz w:val="24"/>
          <w:szCs w:val="24"/>
        </w:rPr>
        <w:t>clause 2, t</w:t>
      </w:r>
      <w:r w:rsidR="00A01F84" w:rsidRPr="00E65D67">
        <w:rPr>
          <w:rFonts w:ascii="Arial" w:hAnsi="Arial" w:cs="Arial"/>
          <w:sz w:val="24"/>
          <w:szCs w:val="24"/>
        </w:rPr>
        <w:t xml:space="preserve">he lease period is </w:t>
      </w:r>
      <w:r w:rsidR="008E7D30" w:rsidRPr="00E65D67">
        <w:rPr>
          <w:rFonts w:ascii="Arial" w:hAnsi="Arial" w:cs="Arial"/>
          <w:sz w:val="24"/>
          <w:szCs w:val="24"/>
        </w:rPr>
        <w:t>unhelpfully defined as ‘the period for which this lease subsists, including any period for which it is renewed</w:t>
      </w:r>
      <w:r w:rsidR="00F60B81" w:rsidRPr="00E65D67">
        <w:rPr>
          <w:rFonts w:ascii="Arial" w:hAnsi="Arial" w:cs="Arial"/>
          <w:sz w:val="24"/>
          <w:szCs w:val="24"/>
        </w:rPr>
        <w:t xml:space="preserve">’. </w:t>
      </w:r>
      <w:r w:rsidR="00E259C8" w:rsidRPr="00E65D67">
        <w:rPr>
          <w:rFonts w:ascii="Arial" w:hAnsi="Arial" w:cs="Arial"/>
          <w:sz w:val="24"/>
          <w:szCs w:val="24"/>
        </w:rPr>
        <w:t xml:space="preserve">In relation to </w:t>
      </w:r>
      <w:r w:rsidR="00695170" w:rsidRPr="00E65D67">
        <w:rPr>
          <w:rFonts w:ascii="Arial" w:hAnsi="Arial" w:cs="Arial"/>
          <w:sz w:val="24"/>
          <w:szCs w:val="24"/>
        </w:rPr>
        <w:t xml:space="preserve">monthly </w:t>
      </w:r>
      <w:r w:rsidR="00E259C8" w:rsidRPr="00E65D67">
        <w:rPr>
          <w:rFonts w:ascii="Arial" w:hAnsi="Arial" w:cs="Arial"/>
          <w:sz w:val="24"/>
          <w:szCs w:val="24"/>
        </w:rPr>
        <w:t xml:space="preserve">rental, the parties </w:t>
      </w:r>
      <w:r w:rsidR="00695170" w:rsidRPr="00E65D67">
        <w:rPr>
          <w:rFonts w:ascii="Arial" w:hAnsi="Arial" w:cs="Arial"/>
          <w:sz w:val="24"/>
          <w:szCs w:val="24"/>
        </w:rPr>
        <w:t xml:space="preserve">contemplated payment of R5,531 </w:t>
      </w:r>
      <w:r w:rsidR="009641F4" w:rsidRPr="00E65D67">
        <w:rPr>
          <w:rFonts w:ascii="Arial" w:hAnsi="Arial" w:cs="Arial"/>
          <w:sz w:val="24"/>
          <w:szCs w:val="24"/>
        </w:rPr>
        <w:t>‘</w:t>
      </w:r>
      <w:r w:rsidR="00695170" w:rsidRPr="00E65D67">
        <w:rPr>
          <w:rFonts w:ascii="Arial" w:hAnsi="Arial" w:cs="Arial"/>
          <w:sz w:val="24"/>
          <w:szCs w:val="24"/>
        </w:rPr>
        <w:t xml:space="preserve">for the </w:t>
      </w:r>
      <w:r w:rsidR="009641F4" w:rsidRPr="00E65D67">
        <w:rPr>
          <w:rFonts w:ascii="Arial" w:hAnsi="Arial" w:cs="Arial"/>
          <w:sz w:val="24"/>
          <w:szCs w:val="24"/>
        </w:rPr>
        <w:t xml:space="preserve">first year of the lease’ after which it would escalate </w:t>
      </w:r>
      <w:r w:rsidR="005503AA" w:rsidRPr="00E65D67">
        <w:rPr>
          <w:rFonts w:ascii="Arial" w:hAnsi="Arial" w:cs="Arial"/>
          <w:sz w:val="24"/>
          <w:szCs w:val="24"/>
        </w:rPr>
        <w:t>by ten percent (10%) per annum</w:t>
      </w:r>
      <w:r w:rsidR="00CE4F47" w:rsidRPr="00E65D67">
        <w:rPr>
          <w:rFonts w:ascii="Arial" w:hAnsi="Arial" w:cs="Arial"/>
          <w:sz w:val="24"/>
          <w:szCs w:val="24"/>
        </w:rPr>
        <w:t xml:space="preserve">. The duration of the </w:t>
      </w:r>
      <w:r w:rsidR="00937047" w:rsidRPr="00E65D67">
        <w:rPr>
          <w:rFonts w:ascii="Arial" w:hAnsi="Arial" w:cs="Arial"/>
          <w:sz w:val="24"/>
          <w:szCs w:val="24"/>
        </w:rPr>
        <w:t>lease, however, is stipulated as being</w:t>
      </w:r>
      <w:r w:rsidR="00C42B28" w:rsidRPr="00E65D67">
        <w:rPr>
          <w:rFonts w:ascii="Arial" w:hAnsi="Arial" w:cs="Arial"/>
          <w:sz w:val="24"/>
          <w:szCs w:val="24"/>
        </w:rPr>
        <w:t xml:space="preserve"> </w:t>
      </w:r>
      <w:r w:rsidR="004E40EA" w:rsidRPr="00E65D67">
        <w:rPr>
          <w:rFonts w:ascii="Arial" w:hAnsi="Arial" w:cs="Arial"/>
          <w:sz w:val="24"/>
          <w:szCs w:val="24"/>
        </w:rPr>
        <w:t>‘month-month’</w:t>
      </w:r>
      <w:r w:rsidR="00937047" w:rsidRPr="00E65D67">
        <w:rPr>
          <w:rFonts w:ascii="Arial" w:hAnsi="Arial" w:cs="Arial"/>
          <w:sz w:val="24"/>
          <w:szCs w:val="24"/>
        </w:rPr>
        <w:t>.</w:t>
      </w:r>
      <w:r w:rsidR="0048479D" w:rsidRPr="00E65D67">
        <w:rPr>
          <w:rFonts w:ascii="Arial" w:hAnsi="Arial" w:cs="Arial"/>
          <w:sz w:val="24"/>
          <w:szCs w:val="24"/>
        </w:rPr>
        <w:t xml:space="preserve"> </w:t>
      </w:r>
    </w:p>
    <w:p w14:paraId="602BE5D5" w14:textId="77777777" w:rsidR="001875B9" w:rsidRDefault="001875B9" w:rsidP="001875B9">
      <w:pPr>
        <w:pStyle w:val="ListParagraph"/>
        <w:spacing w:line="360" w:lineRule="auto"/>
        <w:ind w:left="0"/>
        <w:jc w:val="both"/>
        <w:rPr>
          <w:rFonts w:ascii="Arial" w:hAnsi="Arial" w:cs="Arial"/>
          <w:sz w:val="24"/>
          <w:szCs w:val="24"/>
        </w:rPr>
      </w:pPr>
    </w:p>
    <w:p w14:paraId="251ACC4B" w14:textId="50D53D23" w:rsidR="00E83AA4" w:rsidRPr="00E65D67" w:rsidRDefault="00E65D67" w:rsidP="00E65D67">
      <w:pPr>
        <w:spacing w:line="360" w:lineRule="auto"/>
        <w:jc w:val="both"/>
        <w:rPr>
          <w:rFonts w:ascii="Arial" w:hAnsi="Arial" w:cs="Arial"/>
          <w:sz w:val="24"/>
          <w:szCs w:val="24"/>
        </w:rPr>
      </w:pPr>
      <w:r w:rsidRPr="001875B9">
        <w:rPr>
          <w:rFonts w:ascii="Arial" w:hAnsi="Arial" w:cs="Arial"/>
          <w:sz w:val="24"/>
          <w:szCs w:val="24"/>
        </w:rPr>
        <w:lastRenderedPageBreak/>
        <w:t>[28]</w:t>
      </w:r>
      <w:r w:rsidRPr="001875B9">
        <w:rPr>
          <w:rFonts w:ascii="Arial" w:hAnsi="Arial" w:cs="Arial"/>
          <w:sz w:val="24"/>
          <w:szCs w:val="24"/>
        </w:rPr>
        <w:tab/>
      </w:r>
      <w:r w:rsidR="001B7F91" w:rsidRPr="00E65D67">
        <w:rPr>
          <w:rFonts w:ascii="Arial" w:hAnsi="Arial" w:cs="Arial"/>
          <w:sz w:val="24"/>
          <w:szCs w:val="24"/>
        </w:rPr>
        <w:t xml:space="preserve">The contents of </w:t>
      </w:r>
      <w:r w:rsidR="0043233E" w:rsidRPr="00E65D67">
        <w:rPr>
          <w:rFonts w:ascii="Arial" w:hAnsi="Arial" w:cs="Arial"/>
          <w:sz w:val="24"/>
          <w:szCs w:val="24"/>
        </w:rPr>
        <w:t>clause 20</w:t>
      </w:r>
      <w:r w:rsidR="00E546AA" w:rsidRPr="00E65D67">
        <w:rPr>
          <w:rFonts w:ascii="Arial" w:hAnsi="Arial" w:cs="Arial"/>
          <w:sz w:val="24"/>
          <w:szCs w:val="24"/>
        </w:rPr>
        <w:t xml:space="preserve">, dealing with the provisions of the Consumer Protection Act </w:t>
      </w:r>
      <w:r w:rsidR="00533FE8" w:rsidRPr="00E65D67">
        <w:rPr>
          <w:rFonts w:ascii="Arial" w:hAnsi="Arial" w:cs="Arial"/>
          <w:sz w:val="24"/>
          <w:szCs w:val="24"/>
        </w:rPr>
        <w:t xml:space="preserve">68 of 2008, </w:t>
      </w:r>
      <w:r w:rsidR="00DD33BD" w:rsidRPr="00E65D67">
        <w:rPr>
          <w:rFonts w:ascii="Arial" w:hAnsi="Arial" w:cs="Arial"/>
          <w:sz w:val="24"/>
          <w:szCs w:val="24"/>
        </w:rPr>
        <w:t xml:space="preserve">assist (and confuse) to some extent. </w:t>
      </w:r>
      <w:r w:rsidR="008978CE" w:rsidRPr="00E65D67">
        <w:rPr>
          <w:rFonts w:ascii="Arial" w:hAnsi="Arial" w:cs="Arial"/>
          <w:sz w:val="24"/>
          <w:szCs w:val="24"/>
        </w:rPr>
        <w:t>In terms of</w:t>
      </w:r>
      <w:r w:rsidR="00B71701" w:rsidRPr="00E65D67">
        <w:rPr>
          <w:rFonts w:ascii="Arial" w:hAnsi="Arial" w:cs="Arial"/>
          <w:sz w:val="24"/>
          <w:szCs w:val="24"/>
        </w:rPr>
        <w:t xml:space="preserve"> clause 20.2,</w:t>
      </w:r>
      <w:r w:rsidR="008978CE" w:rsidRPr="00E65D67">
        <w:rPr>
          <w:rFonts w:ascii="Arial" w:hAnsi="Arial" w:cs="Arial"/>
          <w:sz w:val="24"/>
          <w:szCs w:val="24"/>
        </w:rPr>
        <w:t xml:space="preserve"> </w:t>
      </w:r>
      <w:r w:rsidR="00533FE8" w:rsidRPr="00E65D67">
        <w:rPr>
          <w:rFonts w:ascii="Arial" w:hAnsi="Arial" w:cs="Arial"/>
          <w:sz w:val="24"/>
          <w:szCs w:val="24"/>
        </w:rPr>
        <w:t xml:space="preserve">the parties agreed that the lessor may cancel the </w:t>
      </w:r>
      <w:r w:rsidR="00FA4052" w:rsidRPr="00E65D67">
        <w:rPr>
          <w:rFonts w:ascii="Arial" w:hAnsi="Arial" w:cs="Arial"/>
          <w:sz w:val="24"/>
          <w:szCs w:val="24"/>
        </w:rPr>
        <w:t xml:space="preserve">agreement in the event of </w:t>
      </w:r>
      <w:r w:rsidR="005B22F6" w:rsidRPr="00E65D67">
        <w:rPr>
          <w:rFonts w:ascii="Arial" w:hAnsi="Arial" w:cs="Arial"/>
          <w:sz w:val="24"/>
          <w:szCs w:val="24"/>
        </w:rPr>
        <w:t xml:space="preserve">the lessee’s failure to remedy </w:t>
      </w:r>
      <w:r w:rsidR="00FA4052" w:rsidRPr="00E65D67">
        <w:rPr>
          <w:rFonts w:ascii="Arial" w:hAnsi="Arial" w:cs="Arial"/>
          <w:sz w:val="24"/>
          <w:szCs w:val="24"/>
        </w:rPr>
        <w:t>a material breach</w:t>
      </w:r>
      <w:r w:rsidR="00B41862" w:rsidRPr="00E65D67">
        <w:rPr>
          <w:rFonts w:ascii="Arial" w:hAnsi="Arial" w:cs="Arial"/>
          <w:sz w:val="24"/>
          <w:szCs w:val="24"/>
        </w:rPr>
        <w:t>, provided that prior notice was given. F</w:t>
      </w:r>
      <w:r w:rsidR="00FA4052" w:rsidRPr="00E65D67">
        <w:rPr>
          <w:rFonts w:ascii="Arial" w:hAnsi="Arial" w:cs="Arial"/>
          <w:sz w:val="24"/>
          <w:szCs w:val="24"/>
        </w:rPr>
        <w:t xml:space="preserve">urthermore, the lessor </w:t>
      </w:r>
      <w:r w:rsidR="00F83F65" w:rsidRPr="00E65D67">
        <w:rPr>
          <w:rFonts w:ascii="Arial" w:hAnsi="Arial" w:cs="Arial"/>
          <w:sz w:val="24"/>
          <w:szCs w:val="24"/>
        </w:rPr>
        <w:t xml:space="preserve">was required to </w:t>
      </w:r>
      <w:r w:rsidR="007957E8" w:rsidRPr="00E65D67">
        <w:rPr>
          <w:rFonts w:ascii="Arial" w:hAnsi="Arial" w:cs="Arial"/>
          <w:sz w:val="24"/>
          <w:szCs w:val="24"/>
        </w:rPr>
        <w:t xml:space="preserve">provide </w:t>
      </w:r>
      <w:r w:rsidR="00F83F65" w:rsidRPr="00E65D67">
        <w:rPr>
          <w:rFonts w:ascii="Arial" w:hAnsi="Arial" w:cs="Arial"/>
          <w:sz w:val="24"/>
          <w:szCs w:val="24"/>
        </w:rPr>
        <w:t>the lessee</w:t>
      </w:r>
      <w:r w:rsidR="007943E7" w:rsidRPr="00E65D67">
        <w:rPr>
          <w:rFonts w:ascii="Arial" w:hAnsi="Arial" w:cs="Arial"/>
          <w:sz w:val="24"/>
          <w:szCs w:val="24"/>
        </w:rPr>
        <w:t xml:space="preserve"> </w:t>
      </w:r>
      <w:r w:rsidR="00EE1846" w:rsidRPr="00E65D67">
        <w:rPr>
          <w:rFonts w:ascii="Arial" w:hAnsi="Arial" w:cs="Arial"/>
          <w:sz w:val="24"/>
          <w:szCs w:val="24"/>
        </w:rPr>
        <w:t xml:space="preserve">with </w:t>
      </w:r>
      <w:r w:rsidR="007943E7" w:rsidRPr="00E65D67">
        <w:rPr>
          <w:rFonts w:ascii="Arial" w:hAnsi="Arial" w:cs="Arial"/>
          <w:sz w:val="24"/>
          <w:szCs w:val="24"/>
        </w:rPr>
        <w:t>not more than 80 and not less than 40 business days</w:t>
      </w:r>
      <w:r w:rsidR="00EE1846" w:rsidRPr="00E65D67">
        <w:rPr>
          <w:rFonts w:ascii="Arial" w:hAnsi="Arial" w:cs="Arial"/>
          <w:sz w:val="24"/>
          <w:szCs w:val="24"/>
        </w:rPr>
        <w:t>’ prior notice</w:t>
      </w:r>
      <w:r w:rsidR="007943E7" w:rsidRPr="00E65D67">
        <w:rPr>
          <w:rFonts w:ascii="Arial" w:hAnsi="Arial" w:cs="Arial"/>
          <w:sz w:val="24"/>
          <w:szCs w:val="24"/>
        </w:rPr>
        <w:t xml:space="preserve"> </w:t>
      </w:r>
      <w:r w:rsidR="007957E8" w:rsidRPr="00E65D67">
        <w:rPr>
          <w:rFonts w:ascii="Arial" w:hAnsi="Arial" w:cs="Arial"/>
          <w:sz w:val="24"/>
          <w:szCs w:val="24"/>
        </w:rPr>
        <w:t>of the impending expiry date</w:t>
      </w:r>
      <w:r w:rsidR="00A70524" w:rsidRPr="00E65D67">
        <w:rPr>
          <w:rFonts w:ascii="Arial" w:hAnsi="Arial" w:cs="Arial"/>
          <w:sz w:val="24"/>
          <w:szCs w:val="24"/>
        </w:rPr>
        <w:t xml:space="preserve"> of the agreement</w:t>
      </w:r>
      <w:r w:rsidR="00EE1846" w:rsidRPr="00E65D67">
        <w:rPr>
          <w:rFonts w:ascii="Arial" w:hAnsi="Arial" w:cs="Arial"/>
          <w:sz w:val="24"/>
          <w:szCs w:val="24"/>
        </w:rPr>
        <w:t>.</w:t>
      </w:r>
      <w:r w:rsidR="00A70524" w:rsidRPr="00E65D67">
        <w:rPr>
          <w:rFonts w:ascii="Arial" w:hAnsi="Arial" w:cs="Arial"/>
          <w:sz w:val="24"/>
          <w:szCs w:val="24"/>
        </w:rPr>
        <w:t xml:space="preserve"> </w:t>
      </w:r>
      <w:r w:rsidR="008E2623" w:rsidRPr="00E65D67">
        <w:rPr>
          <w:rFonts w:ascii="Arial" w:hAnsi="Arial" w:cs="Arial"/>
          <w:sz w:val="24"/>
          <w:szCs w:val="24"/>
        </w:rPr>
        <w:t xml:space="preserve">Interestingly, however, clause </w:t>
      </w:r>
      <w:r w:rsidR="006D25D2" w:rsidRPr="00E65D67">
        <w:rPr>
          <w:rFonts w:ascii="Arial" w:hAnsi="Arial" w:cs="Arial"/>
          <w:sz w:val="24"/>
          <w:szCs w:val="24"/>
        </w:rPr>
        <w:t>20.3 provides that:</w:t>
      </w:r>
    </w:p>
    <w:p w14:paraId="1AAC1B1D" w14:textId="514DF5EB" w:rsidR="006D25D2" w:rsidRPr="00F21588" w:rsidRDefault="006D25D2" w:rsidP="001875B9">
      <w:pPr>
        <w:spacing w:line="360" w:lineRule="auto"/>
        <w:ind w:left="720"/>
        <w:jc w:val="both"/>
        <w:rPr>
          <w:rFonts w:ascii="Arial" w:hAnsi="Arial" w:cs="Arial"/>
          <w:sz w:val="20"/>
          <w:szCs w:val="20"/>
        </w:rPr>
      </w:pPr>
      <w:r w:rsidRPr="00F21588">
        <w:rPr>
          <w:rFonts w:ascii="Arial" w:hAnsi="Arial" w:cs="Arial"/>
          <w:sz w:val="20"/>
          <w:szCs w:val="20"/>
        </w:rPr>
        <w:t xml:space="preserve">‘[u]pon </w:t>
      </w:r>
      <w:r w:rsidR="006A7AAA" w:rsidRPr="00F21588">
        <w:rPr>
          <w:rFonts w:ascii="Arial" w:hAnsi="Arial" w:cs="Arial"/>
          <w:sz w:val="20"/>
          <w:szCs w:val="20"/>
        </w:rPr>
        <w:t xml:space="preserve">expiry of this Lease at the end of its term, it will automatically continue on a month to month basis subject to any material changes of which the Lessor has given notice </w:t>
      </w:r>
      <w:r w:rsidR="005C23D8" w:rsidRPr="00F21588">
        <w:rPr>
          <w:rFonts w:ascii="Arial" w:hAnsi="Arial" w:cs="Arial"/>
          <w:sz w:val="20"/>
          <w:szCs w:val="20"/>
        </w:rPr>
        <w:t xml:space="preserve">in terms of clause 20.2.2.1 unless the Lessee expressly directs the Lessor to terminate the Agreement of Lease on the expiry date or agrees to a renewal for a further </w:t>
      </w:r>
      <w:r w:rsidR="00353ACB" w:rsidRPr="00F21588">
        <w:rPr>
          <w:rFonts w:ascii="Arial" w:hAnsi="Arial" w:cs="Arial"/>
          <w:sz w:val="20"/>
          <w:szCs w:val="20"/>
        </w:rPr>
        <w:t>fixed term.’</w:t>
      </w:r>
    </w:p>
    <w:p w14:paraId="385C191E" w14:textId="77777777" w:rsidR="00F21588" w:rsidRDefault="00F21588" w:rsidP="00FC5C09">
      <w:pPr>
        <w:spacing w:line="360" w:lineRule="auto"/>
        <w:rPr>
          <w:rFonts w:ascii="Arial" w:hAnsi="Arial" w:cs="Arial"/>
          <w:sz w:val="24"/>
          <w:szCs w:val="24"/>
        </w:rPr>
      </w:pPr>
    </w:p>
    <w:p w14:paraId="29263875" w14:textId="1EF10F79"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21588" w:rsidRPr="00E65D67">
        <w:rPr>
          <w:rFonts w:ascii="Arial" w:hAnsi="Arial" w:cs="Arial"/>
          <w:sz w:val="24"/>
          <w:szCs w:val="24"/>
        </w:rPr>
        <w:t xml:space="preserve">The right of renewal is addressed in terms of clause 21. </w:t>
      </w:r>
      <w:r w:rsidR="007B27DA" w:rsidRPr="00E65D67">
        <w:rPr>
          <w:rFonts w:ascii="Arial" w:hAnsi="Arial" w:cs="Arial"/>
          <w:sz w:val="24"/>
          <w:szCs w:val="24"/>
        </w:rPr>
        <w:t>The lessee was entitled to renew the lease, subject to the conditions stipulated.</w:t>
      </w:r>
    </w:p>
    <w:p w14:paraId="44579E2C" w14:textId="77777777" w:rsidR="001875B9" w:rsidRDefault="001875B9" w:rsidP="001875B9">
      <w:pPr>
        <w:pStyle w:val="ListParagraph"/>
        <w:spacing w:line="360" w:lineRule="auto"/>
        <w:ind w:left="0"/>
        <w:rPr>
          <w:rFonts w:ascii="Arial" w:hAnsi="Arial" w:cs="Arial"/>
          <w:sz w:val="24"/>
          <w:szCs w:val="24"/>
        </w:rPr>
      </w:pPr>
    </w:p>
    <w:p w14:paraId="636FA5B1" w14:textId="72FB3E96"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A2961" w:rsidRPr="00E65D67">
        <w:rPr>
          <w:rFonts w:ascii="Arial" w:hAnsi="Arial" w:cs="Arial"/>
          <w:sz w:val="24"/>
          <w:szCs w:val="24"/>
        </w:rPr>
        <w:t xml:space="preserve">The provisions of the agreement are in many ways ambiguous and contradictory. </w:t>
      </w:r>
      <w:r w:rsidR="007601E7" w:rsidRPr="00E65D67">
        <w:rPr>
          <w:rFonts w:ascii="Arial" w:hAnsi="Arial" w:cs="Arial"/>
          <w:sz w:val="24"/>
          <w:szCs w:val="24"/>
        </w:rPr>
        <w:t>It is apparent, nevertheless, that the</w:t>
      </w:r>
      <w:r w:rsidR="000815C1" w:rsidRPr="00E65D67">
        <w:rPr>
          <w:rFonts w:ascii="Arial" w:hAnsi="Arial" w:cs="Arial"/>
          <w:sz w:val="24"/>
          <w:szCs w:val="24"/>
        </w:rPr>
        <w:t xml:space="preserve"> parties envisaged that the lease would endure for at least a year (at a monthly rental of R5,531), after which it would continue to endure from month to month, subject to termination by either party.</w:t>
      </w:r>
    </w:p>
    <w:p w14:paraId="4D3455DC" w14:textId="77777777" w:rsidR="001875B9" w:rsidRPr="001875B9" w:rsidRDefault="001875B9" w:rsidP="001875B9">
      <w:pPr>
        <w:pStyle w:val="ListParagraph"/>
        <w:rPr>
          <w:rFonts w:ascii="Arial" w:hAnsi="Arial" w:cs="Arial"/>
          <w:sz w:val="24"/>
          <w:szCs w:val="24"/>
        </w:rPr>
      </w:pPr>
    </w:p>
    <w:p w14:paraId="728DDA6B" w14:textId="382ED465" w:rsidR="001875B9" w:rsidRPr="00E65D67" w:rsidRDefault="00E65D67" w:rsidP="00E65D67">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815C1" w:rsidRPr="00E65D67">
        <w:rPr>
          <w:rFonts w:ascii="Arial" w:hAnsi="Arial" w:cs="Arial"/>
          <w:sz w:val="24"/>
          <w:szCs w:val="24"/>
        </w:rPr>
        <w:t xml:space="preserve">The respondent has opposed the application on the basis that, </w:t>
      </w:r>
      <w:r w:rsidR="000815C1" w:rsidRPr="00E65D67">
        <w:rPr>
          <w:rFonts w:ascii="Arial" w:hAnsi="Arial" w:cs="Arial"/>
          <w:i/>
          <w:iCs/>
          <w:sz w:val="24"/>
          <w:szCs w:val="24"/>
        </w:rPr>
        <w:t>inter alia</w:t>
      </w:r>
      <w:r w:rsidR="000815C1" w:rsidRPr="00E65D67">
        <w:rPr>
          <w:rFonts w:ascii="Arial" w:hAnsi="Arial" w:cs="Arial"/>
          <w:sz w:val="24"/>
          <w:szCs w:val="24"/>
        </w:rPr>
        <w:t xml:space="preserve">, </w:t>
      </w:r>
      <w:r w:rsidR="00CD7100" w:rsidRPr="00E65D67">
        <w:rPr>
          <w:rFonts w:ascii="Arial" w:hAnsi="Arial" w:cs="Arial"/>
          <w:sz w:val="24"/>
          <w:szCs w:val="24"/>
        </w:rPr>
        <w:t>she</w:t>
      </w:r>
      <w:r w:rsidR="00265758" w:rsidRPr="00E65D67">
        <w:rPr>
          <w:rFonts w:ascii="Arial" w:hAnsi="Arial" w:cs="Arial"/>
          <w:sz w:val="24"/>
          <w:szCs w:val="24"/>
        </w:rPr>
        <w:t xml:space="preserve"> had not been in breach of </w:t>
      </w:r>
      <w:r w:rsidR="00CD7100" w:rsidRPr="00E65D67">
        <w:rPr>
          <w:rFonts w:ascii="Arial" w:hAnsi="Arial" w:cs="Arial"/>
          <w:sz w:val="24"/>
          <w:szCs w:val="24"/>
        </w:rPr>
        <w:t>her</w:t>
      </w:r>
      <w:r w:rsidR="00265758" w:rsidRPr="00E65D67">
        <w:rPr>
          <w:rFonts w:ascii="Arial" w:hAnsi="Arial" w:cs="Arial"/>
          <w:sz w:val="24"/>
          <w:szCs w:val="24"/>
        </w:rPr>
        <w:t xml:space="preserve"> obligation to pay rental and municipal charges. This d</w:t>
      </w:r>
      <w:r w:rsidR="008A78FF" w:rsidRPr="00E65D67">
        <w:rPr>
          <w:rFonts w:ascii="Arial" w:hAnsi="Arial" w:cs="Arial"/>
          <w:sz w:val="24"/>
          <w:szCs w:val="24"/>
        </w:rPr>
        <w:t>id</w:t>
      </w:r>
      <w:r w:rsidR="00265758" w:rsidRPr="00E65D67">
        <w:rPr>
          <w:rFonts w:ascii="Arial" w:hAnsi="Arial" w:cs="Arial"/>
          <w:sz w:val="24"/>
          <w:szCs w:val="24"/>
        </w:rPr>
        <w:t xml:space="preserve"> not, however, prevent the applicant from simply terminating the agreement at </w:t>
      </w:r>
      <w:r w:rsidR="00CD7100" w:rsidRPr="00E65D67">
        <w:rPr>
          <w:rFonts w:ascii="Arial" w:hAnsi="Arial" w:cs="Arial"/>
          <w:sz w:val="24"/>
          <w:szCs w:val="24"/>
        </w:rPr>
        <w:t>his</w:t>
      </w:r>
      <w:r w:rsidR="00265758" w:rsidRPr="00E65D67">
        <w:rPr>
          <w:rFonts w:ascii="Arial" w:hAnsi="Arial" w:cs="Arial"/>
          <w:sz w:val="24"/>
          <w:szCs w:val="24"/>
        </w:rPr>
        <w:t xml:space="preserve"> own election, provided that the relevant notice periods were met. The applicant’s letter of 12 November 2019 ma</w:t>
      </w:r>
      <w:r w:rsidR="008A78FF" w:rsidRPr="00E65D67">
        <w:rPr>
          <w:rFonts w:ascii="Arial" w:hAnsi="Arial" w:cs="Arial"/>
          <w:sz w:val="24"/>
          <w:szCs w:val="24"/>
        </w:rPr>
        <w:t>d</w:t>
      </w:r>
      <w:r w:rsidR="00265758" w:rsidRPr="00E65D67">
        <w:rPr>
          <w:rFonts w:ascii="Arial" w:hAnsi="Arial" w:cs="Arial"/>
          <w:sz w:val="24"/>
          <w:szCs w:val="24"/>
        </w:rPr>
        <w:t xml:space="preserve">e it abundantly clear that the agreement would terminate in 60 days’ time. Admittedly, as the respondent has argued, the letter sent by the applicant’s attorneys on 4 March 2020 seems to </w:t>
      </w:r>
      <w:r w:rsidR="008A78FF" w:rsidRPr="00E65D67">
        <w:rPr>
          <w:rFonts w:ascii="Arial" w:hAnsi="Arial" w:cs="Arial"/>
          <w:sz w:val="24"/>
          <w:szCs w:val="24"/>
        </w:rPr>
        <w:t xml:space="preserve">have </w:t>
      </w:r>
      <w:r w:rsidR="00265758" w:rsidRPr="00E65D67">
        <w:rPr>
          <w:rFonts w:ascii="Arial" w:hAnsi="Arial" w:cs="Arial"/>
          <w:sz w:val="24"/>
          <w:szCs w:val="24"/>
        </w:rPr>
        <w:t>undermine</w:t>
      </w:r>
      <w:r w:rsidR="008A78FF" w:rsidRPr="00E65D67">
        <w:rPr>
          <w:rFonts w:ascii="Arial" w:hAnsi="Arial" w:cs="Arial"/>
          <w:sz w:val="24"/>
          <w:szCs w:val="24"/>
        </w:rPr>
        <w:t>d</w:t>
      </w:r>
      <w:r w:rsidR="00265758" w:rsidRPr="00E65D67">
        <w:rPr>
          <w:rFonts w:ascii="Arial" w:hAnsi="Arial" w:cs="Arial"/>
          <w:sz w:val="24"/>
          <w:szCs w:val="24"/>
        </w:rPr>
        <w:t xml:space="preserve"> the earlier correspondence</w:t>
      </w:r>
      <w:r w:rsidR="008A78FF" w:rsidRPr="00E65D67">
        <w:rPr>
          <w:rFonts w:ascii="Arial" w:hAnsi="Arial" w:cs="Arial"/>
          <w:sz w:val="24"/>
          <w:szCs w:val="24"/>
        </w:rPr>
        <w:t xml:space="preserve"> since i</w:t>
      </w:r>
      <w:r w:rsidR="00265758" w:rsidRPr="00E65D67">
        <w:rPr>
          <w:rFonts w:ascii="Arial" w:hAnsi="Arial" w:cs="Arial"/>
          <w:sz w:val="24"/>
          <w:szCs w:val="24"/>
        </w:rPr>
        <w:t>t create</w:t>
      </w:r>
      <w:r w:rsidR="008A78FF" w:rsidRPr="00E65D67">
        <w:rPr>
          <w:rFonts w:ascii="Arial" w:hAnsi="Arial" w:cs="Arial"/>
          <w:sz w:val="24"/>
          <w:szCs w:val="24"/>
        </w:rPr>
        <w:t>d</w:t>
      </w:r>
      <w:r w:rsidR="00265758" w:rsidRPr="00E65D67">
        <w:rPr>
          <w:rFonts w:ascii="Arial" w:hAnsi="Arial" w:cs="Arial"/>
          <w:sz w:val="24"/>
          <w:szCs w:val="24"/>
        </w:rPr>
        <w:t xml:space="preserve"> the impression that the agreement was still extant. Notwithstanding, it cannot be denied that the applicant intended to terminate the agreement, whether </w:t>
      </w:r>
      <w:r w:rsidR="008A78FF" w:rsidRPr="00E65D67">
        <w:rPr>
          <w:rFonts w:ascii="Arial" w:hAnsi="Arial" w:cs="Arial"/>
          <w:sz w:val="24"/>
          <w:szCs w:val="24"/>
        </w:rPr>
        <w:t>because of</w:t>
      </w:r>
      <w:r w:rsidR="00265758" w:rsidRPr="00E65D67">
        <w:rPr>
          <w:rFonts w:ascii="Arial" w:hAnsi="Arial" w:cs="Arial"/>
          <w:sz w:val="24"/>
          <w:szCs w:val="24"/>
        </w:rPr>
        <w:t xml:space="preserve"> a material breach </w:t>
      </w:r>
      <w:r w:rsidR="00265758" w:rsidRPr="00E65D67">
        <w:rPr>
          <w:rFonts w:ascii="Arial" w:hAnsi="Arial" w:cs="Arial"/>
          <w:sz w:val="24"/>
          <w:szCs w:val="24"/>
        </w:rPr>
        <w:lastRenderedPageBreak/>
        <w:t xml:space="preserve">or otherwise. </w:t>
      </w:r>
      <w:r w:rsidR="008A78FF" w:rsidRPr="00E65D67">
        <w:rPr>
          <w:rFonts w:ascii="Arial" w:hAnsi="Arial" w:cs="Arial"/>
          <w:sz w:val="24"/>
          <w:szCs w:val="24"/>
        </w:rPr>
        <w:t xml:space="preserve">The notice placed in the </w:t>
      </w:r>
      <w:r w:rsidR="008A78FF" w:rsidRPr="00E65D67">
        <w:rPr>
          <w:rFonts w:ascii="Arial" w:hAnsi="Arial" w:cs="Arial"/>
          <w:i/>
          <w:iCs/>
          <w:sz w:val="24"/>
          <w:szCs w:val="24"/>
        </w:rPr>
        <w:t>Daily Dispatch</w:t>
      </w:r>
      <w:r w:rsidR="008A78FF" w:rsidRPr="00E65D67">
        <w:rPr>
          <w:rFonts w:ascii="Arial" w:hAnsi="Arial" w:cs="Arial"/>
          <w:sz w:val="24"/>
          <w:szCs w:val="24"/>
        </w:rPr>
        <w:t xml:space="preserve"> newspaper</w:t>
      </w:r>
      <w:r w:rsidR="00265758" w:rsidRPr="00E65D67">
        <w:rPr>
          <w:rFonts w:ascii="Arial" w:hAnsi="Arial" w:cs="Arial"/>
          <w:sz w:val="24"/>
          <w:szCs w:val="24"/>
        </w:rPr>
        <w:t xml:space="preserve"> </w:t>
      </w:r>
      <w:r w:rsidR="008A78FF" w:rsidRPr="00E65D67">
        <w:rPr>
          <w:rFonts w:ascii="Arial" w:hAnsi="Arial" w:cs="Arial"/>
          <w:sz w:val="24"/>
          <w:szCs w:val="24"/>
        </w:rPr>
        <w:t>on 3 June 2020 places this beyond doubt.</w:t>
      </w:r>
    </w:p>
    <w:p w14:paraId="470130E2" w14:textId="77777777" w:rsidR="001875B9" w:rsidRPr="001875B9" w:rsidRDefault="001875B9" w:rsidP="001875B9">
      <w:pPr>
        <w:pStyle w:val="ListParagraph"/>
        <w:rPr>
          <w:rFonts w:ascii="Arial" w:hAnsi="Arial" w:cs="Arial"/>
          <w:sz w:val="24"/>
          <w:szCs w:val="24"/>
          <w:lang w:val="en-GB"/>
        </w:rPr>
      </w:pPr>
    </w:p>
    <w:p w14:paraId="5CDB84F8" w14:textId="11C9CC1C" w:rsidR="001875B9" w:rsidRPr="00E65D67" w:rsidRDefault="00E65D67" w:rsidP="00E65D67">
      <w:pPr>
        <w:spacing w:line="360" w:lineRule="auto"/>
        <w:jc w:val="both"/>
        <w:rPr>
          <w:rFonts w:ascii="Arial" w:hAnsi="Arial" w:cs="Arial"/>
          <w:sz w:val="24"/>
          <w:szCs w:val="24"/>
        </w:rPr>
      </w:pPr>
      <w:r w:rsidRPr="001875B9">
        <w:rPr>
          <w:rFonts w:ascii="Arial" w:hAnsi="Arial" w:cs="Arial"/>
          <w:sz w:val="24"/>
          <w:szCs w:val="24"/>
        </w:rPr>
        <w:t>[32]</w:t>
      </w:r>
      <w:r w:rsidRPr="001875B9">
        <w:rPr>
          <w:rFonts w:ascii="Arial" w:hAnsi="Arial" w:cs="Arial"/>
          <w:sz w:val="24"/>
          <w:szCs w:val="24"/>
        </w:rPr>
        <w:tab/>
      </w:r>
      <w:r w:rsidR="008A78FF" w:rsidRPr="00E65D67">
        <w:rPr>
          <w:rFonts w:ascii="Arial" w:hAnsi="Arial" w:cs="Arial"/>
          <w:sz w:val="24"/>
          <w:szCs w:val="24"/>
          <w:lang w:val="en-GB"/>
        </w:rPr>
        <w:t>In t</w:t>
      </w:r>
      <w:r w:rsidR="007D758C" w:rsidRPr="00E65D67">
        <w:rPr>
          <w:rFonts w:ascii="Arial" w:hAnsi="Arial" w:cs="Arial"/>
          <w:sz w:val="24"/>
          <w:szCs w:val="24"/>
          <w:lang w:val="en-GB"/>
        </w:rPr>
        <w:t>he absence of any notice provisions or where the notice period is unclear, it</w:t>
      </w:r>
      <w:r w:rsidR="008A78FF" w:rsidRPr="00E65D67">
        <w:rPr>
          <w:rFonts w:ascii="Arial" w:hAnsi="Arial" w:cs="Arial"/>
          <w:sz w:val="24"/>
          <w:szCs w:val="24"/>
          <w:lang w:val="en-GB"/>
        </w:rPr>
        <w:t xml:space="preserve"> is a well-established principle that one month’s notice is </w:t>
      </w:r>
      <w:r w:rsidR="000E176A" w:rsidRPr="00E65D67">
        <w:rPr>
          <w:rFonts w:ascii="Arial" w:hAnsi="Arial" w:cs="Arial"/>
          <w:sz w:val="24"/>
          <w:szCs w:val="24"/>
          <w:lang w:val="en-GB"/>
        </w:rPr>
        <w:t xml:space="preserve">adequate </w:t>
      </w:r>
      <w:r w:rsidR="007D758C" w:rsidRPr="00E65D67">
        <w:rPr>
          <w:rFonts w:ascii="Arial" w:hAnsi="Arial" w:cs="Arial"/>
          <w:sz w:val="24"/>
          <w:szCs w:val="24"/>
          <w:lang w:val="en-GB"/>
        </w:rPr>
        <w:t>where a contract operates on a month-to-month basis.</w:t>
      </w:r>
      <w:r w:rsidR="008A78FF" w:rsidRPr="008A78FF">
        <w:rPr>
          <w:vertAlign w:val="superscript"/>
          <w:lang w:val="en-GB"/>
        </w:rPr>
        <w:footnoteReference w:id="10"/>
      </w:r>
      <w:r w:rsidR="008A78FF" w:rsidRPr="00E65D67">
        <w:rPr>
          <w:rFonts w:ascii="Arial" w:hAnsi="Arial" w:cs="Arial"/>
          <w:sz w:val="24"/>
          <w:szCs w:val="24"/>
          <w:lang w:val="en-GB"/>
        </w:rPr>
        <w:t xml:space="preserve"> </w:t>
      </w:r>
      <w:r w:rsidR="007D758C" w:rsidRPr="00E65D67">
        <w:rPr>
          <w:rFonts w:ascii="Arial" w:hAnsi="Arial" w:cs="Arial"/>
          <w:sz w:val="24"/>
          <w:szCs w:val="24"/>
          <w:lang w:val="en-GB"/>
        </w:rPr>
        <w:t xml:space="preserve">The combination of notices sent or advertised by the applicant were </w:t>
      </w:r>
      <w:r w:rsidR="000E176A" w:rsidRPr="00E65D67">
        <w:rPr>
          <w:rFonts w:ascii="Arial" w:hAnsi="Arial" w:cs="Arial"/>
          <w:sz w:val="24"/>
          <w:szCs w:val="24"/>
          <w:lang w:val="en-GB"/>
        </w:rPr>
        <w:t>sufficient, either individually or combined, to convey the applicant’s intention to terminate the agreement.</w:t>
      </w:r>
    </w:p>
    <w:p w14:paraId="6C89056B" w14:textId="77777777" w:rsidR="001875B9" w:rsidRPr="001875B9" w:rsidRDefault="001875B9" w:rsidP="001875B9">
      <w:pPr>
        <w:pStyle w:val="ListParagraph"/>
        <w:rPr>
          <w:rFonts w:ascii="Arial" w:hAnsi="Arial" w:cs="Arial"/>
          <w:sz w:val="24"/>
          <w:szCs w:val="24"/>
          <w:lang w:val="en-GB"/>
        </w:rPr>
      </w:pPr>
    </w:p>
    <w:p w14:paraId="78A8AB52" w14:textId="059F940A" w:rsidR="001875B9" w:rsidRPr="00E65D67" w:rsidRDefault="00E65D67" w:rsidP="00E65D67">
      <w:pPr>
        <w:spacing w:line="360" w:lineRule="auto"/>
        <w:jc w:val="both"/>
        <w:rPr>
          <w:rFonts w:ascii="Arial" w:hAnsi="Arial" w:cs="Arial"/>
          <w:sz w:val="24"/>
          <w:szCs w:val="24"/>
        </w:rPr>
      </w:pPr>
      <w:r w:rsidRPr="001875B9">
        <w:rPr>
          <w:rFonts w:ascii="Arial" w:hAnsi="Arial" w:cs="Arial"/>
          <w:sz w:val="24"/>
          <w:szCs w:val="24"/>
        </w:rPr>
        <w:t>[33]</w:t>
      </w:r>
      <w:r w:rsidRPr="001875B9">
        <w:rPr>
          <w:rFonts w:ascii="Arial" w:hAnsi="Arial" w:cs="Arial"/>
          <w:sz w:val="24"/>
          <w:szCs w:val="24"/>
        </w:rPr>
        <w:tab/>
      </w:r>
      <w:r w:rsidR="000E176A" w:rsidRPr="00E65D67">
        <w:rPr>
          <w:rFonts w:ascii="Arial" w:hAnsi="Arial" w:cs="Arial"/>
          <w:sz w:val="24"/>
          <w:szCs w:val="24"/>
          <w:lang w:val="en-GB"/>
        </w:rPr>
        <w:t>T</w:t>
      </w:r>
      <w:r w:rsidR="008A78FF" w:rsidRPr="00E65D67">
        <w:rPr>
          <w:rFonts w:ascii="Arial" w:hAnsi="Arial" w:cs="Arial"/>
          <w:sz w:val="24"/>
          <w:szCs w:val="24"/>
          <w:lang w:val="en-GB"/>
        </w:rPr>
        <w:t>he respondent den</w:t>
      </w:r>
      <w:r w:rsidR="000E176A" w:rsidRPr="00E65D67">
        <w:rPr>
          <w:rFonts w:ascii="Arial" w:hAnsi="Arial" w:cs="Arial"/>
          <w:sz w:val="24"/>
          <w:szCs w:val="24"/>
          <w:lang w:val="en-GB"/>
        </w:rPr>
        <w:t>ies</w:t>
      </w:r>
      <w:r w:rsidR="008A78FF" w:rsidRPr="00E65D67">
        <w:rPr>
          <w:rFonts w:ascii="Arial" w:hAnsi="Arial" w:cs="Arial"/>
          <w:sz w:val="24"/>
          <w:szCs w:val="24"/>
          <w:lang w:val="en-GB"/>
        </w:rPr>
        <w:t xml:space="preserve"> that she received the </w:t>
      </w:r>
      <w:r w:rsidR="000E176A" w:rsidRPr="00E65D67">
        <w:rPr>
          <w:rFonts w:ascii="Arial" w:hAnsi="Arial" w:cs="Arial"/>
          <w:sz w:val="24"/>
          <w:szCs w:val="24"/>
          <w:lang w:val="en-GB"/>
        </w:rPr>
        <w:t>correspondence of 19 November 2019 and 4 March 2020. She also denies that she saw the notice in the newspaper</w:t>
      </w:r>
      <w:r w:rsidR="008A78FF" w:rsidRPr="00E65D67">
        <w:rPr>
          <w:rFonts w:ascii="Arial" w:hAnsi="Arial" w:cs="Arial"/>
          <w:sz w:val="24"/>
          <w:szCs w:val="24"/>
          <w:lang w:val="en-GB"/>
        </w:rPr>
        <w:t xml:space="preserve">. </w:t>
      </w:r>
      <w:r w:rsidR="000E176A" w:rsidRPr="00E65D67">
        <w:rPr>
          <w:rFonts w:ascii="Arial" w:hAnsi="Arial" w:cs="Arial"/>
          <w:sz w:val="24"/>
          <w:szCs w:val="24"/>
          <w:lang w:val="en-GB"/>
        </w:rPr>
        <w:t>T</w:t>
      </w:r>
      <w:r w:rsidR="008A78FF" w:rsidRPr="00E65D67">
        <w:rPr>
          <w:rFonts w:ascii="Arial" w:hAnsi="Arial" w:cs="Arial"/>
          <w:sz w:val="24"/>
          <w:szCs w:val="24"/>
          <w:lang w:val="en-GB"/>
        </w:rPr>
        <w:t xml:space="preserve">he applicant has, </w:t>
      </w:r>
      <w:r w:rsidR="000E176A" w:rsidRPr="00E65D67">
        <w:rPr>
          <w:rFonts w:ascii="Arial" w:hAnsi="Arial" w:cs="Arial"/>
          <w:sz w:val="24"/>
          <w:szCs w:val="24"/>
          <w:lang w:val="en-GB"/>
        </w:rPr>
        <w:t xml:space="preserve">however, </w:t>
      </w:r>
      <w:r w:rsidR="008A78FF" w:rsidRPr="00E65D67">
        <w:rPr>
          <w:rFonts w:ascii="Arial" w:hAnsi="Arial" w:cs="Arial"/>
          <w:sz w:val="24"/>
          <w:szCs w:val="24"/>
          <w:lang w:val="en-GB"/>
        </w:rPr>
        <w:t xml:space="preserve">by way of the present application, </w:t>
      </w:r>
      <w:r w:rsidR="000E176A" w:rsidRPr="00E65D67">
        <w:rPr>
          <w:rFonts w:ascii="Arial" w:hAnsi="Arial" w:cs="Arial"/>
          <w:sz w:val="24"/>
          <w:szCs w:val="24"/>
          <w:lang w:val="en-GB"/>
        </w:rPr>
        <w:t xml:space="preserve">demonstrated unequivocally </w:t>
      </w:r>
      <w:r w:rsidR="008A78FF" w:rsidRPr="00E65D67">
        <w:rPr>
          <w:rFonts w:ascii="Arial" w:hAnsi="Arial" w:cs="Arial"/>
          <w:sz w:val="24"/>
          <w:szCs w:val="24"/>
          <w:lang w:val="en-GB"/>
        </w:rPr>
        <w:t xml:space="preserve">that the respondent’s right to occupy </w:t>
      </w:r>
      <w:r w:rsidR="000E176A" w:rsidRPr="00E65D67">
        <w:rPr>
          <w:rFonts w:ascii="Arial" w:hAnsi="Arial" w:cs="Arial"/>
          <w:sz w:val="24"/>
          <w:szCs w:val="24"/>
          <w:lang w:val="en-GB"/>
        </w:rPr>
        <w:t xml:space="preserve">erven 354, 355, 356 and 357 </w:t>
      </w:r>
      <w:r w:rsidR="008A78FF" w:rsidRPr="00E65D67">
        <w:rPr>
          <w:rFonts w:ascii="Arial" w:hAnsi="Arial" w:cs="Arial"/>
          <w:sz w:val="24"/>
          <w:szCs w:val="24"/>
          <w:lang w:val="en-GB"/>
        </w:rPr>
        <w:t xml:space="preserve">has been terminated. </w:t>
      </w:r>
      <w:r w:rsidR="00CD7100" w:rsidRPr="00E65D67">
        <w:rPr>
          <w:rFonts w:ascii="Arial" w:hAnsi="Arial" w:cs="Arial"/>
          <w:sz w:val="24"/>
          <w:szCs w:val="24"/>
          <w:lang w:val="en-GB"/>
        </w:rPr>
        <w:t xml:space="preserve">There would be no point in expecting or directing the applicant to deliver a fresh notice of termination at this stage. </w:t>
      </w:r>
    </w:p>
    <w:p w14:paraId="79C16192" w14:textId="77777777" w:rsidR="001875B9" w:rsidRPr="001875B9" w:rsidRDefault="001875B9" w:rsidP="001875B9">
      <w:pPr>
        <w:pStyle w:val="ListParagraph"/>
        <w:rPr>
          <w:rFonts w:ascii="Arial" w:hAnsi="Arial" w:cs="Arial"/>
          <w:sz w:val="24"/>
          <w:szCs w:val="24"/>
          <w:lang w:val="en-GB"/>
        </w:rPr>
      </w:pPr>
    </w:p>
    <w:p w14:paraId="1CFB2BA1" w14:textId="5E71442B" w:rsidR="008A78FF" w:rsidRPr="00E65D67" w:rsidRDefault="00E65D67" w:rsidP="00E65D67">
      <w:pPr>
        <w:spacing w:line="360" w:lineRule="auto"/>
        <w:jc w:val="both"/>
        <w:rPr>
          <w:rFonts w:ascii="Arial" w:hAnsi="Arial" w:cs="Arial"/>
          <w:sz w:val="24"/>
          <w:szCs w:val="24"/>
        </w:rPr>
      </w:pPr>
      <w:r w:rsidRPr="001875B9">
        <w:rPr>
          <w:rFonts w:ascii="Arial" w:hAnsi="Arial" w:cs="Arial"/>
          <w:sz w:val="24"/>
          <w:szCs w:val="24"/>
        </w:rPr>
        <w:t>[34]</w:t>
      </w:r>
      <w:r w:rsidRPr="001875B9">
        <w:rPr>
          <w:rFonts w:ascii="Arial" w:hAnsi="Arial" w:cs="Arial"/>
          <w:sz w:val="24"/>
          <w:szCs w:val="24"/>
        </w:rPr>
        <w:tab/>
      </w:r>
      <w:r w:rsidR="008A78FF" w:rsidRPr="00E65D67">
        <w:rPr>
          <w:rFonts w:ascii="Arial" w:hAnsi="Arial" w:cs="Arial"/>
          <w:sz w:val="24"/>
          <w:szCs w:val="24"/>
          <w:lang w:val="en-GB"/>
        </w:rPr>
        <w:t xml:space="preserve">Similar facts arose in the matter of </w:t>
      </w:r>
      <w:r w:rsidR="008A78FF" w:rsidRPr="00E65D67">
        <w:rPr>
          <w:rFonts w:ascii="Arial" w:hAnsi="Arial" w:cs="Arial"/>
          <w:i/>
          <w:sz w:val="24"/>
          <w:szCs w:val="24"/>
          <w:lang w:val="en-GB"/>
        </w:rPr>
        <w:t>Taylor v Hogg</w:t>
      </w:r>
      <w:r w:rsidR="008A78FF" w:rsidRPr="00E65D67">
        <w:rPr>
          <w:rFonts w:ascii="Arial" w:hAnsi="Arial" w:cs="Arial"/>
          <w:sz w:val="24"/>
          <w:szCs w:val="24"/>
          <w:lang w:val="en-GB"/>
        </w:rPr>
        <w:t>,</w:t>
      </w:r>
      <w:r w:rsidR="000E176A">
        <w:rPr>
          <w:rStyle w:val="FootnoteReference"/>
          <w:rFonts w:ascii="Arial" w:hAnsi="Arial" w:cs="Arial"/>
          <w:sz w:val="24"/>
          <w:szCs w:val="24"/>
          <w:lang w:val="en-GB"/>
        </w:rPr>
        <w:footnoteReference w:id="11"/>
      </w:r>
      <w:r w:rsidR="008A78FF" w:rsidRPr="00E65D67">
        <w:rPr>
          <w:rFonts w:ascii="Arial" w:hAnsi="Arial" w:cs="Arial"/>
          <w:sz w:val="24"/>
          <w:szCs w:val="24"/>
          <w:lang w:val="en-GB"/>
        </w:rPr>
        <w:t xml:space="preserve"> where Plasket J held that</w:t>
      </w:r>
    </w:p>
    <w:p w14:paraId="6AC59102" w14:textId="370957D8" w:rsidR="008A78FF" w:rsidRPr="008A78FF" w:rsidRDefault="008A78FF" w:rsidP="001875B9">
      <w:pPr>
        <w:spacing w:line="360" w:lineRule="auto"/>
        <w:ind w:left="720"/>
        <w:jc w:val="both"/>
        <w:rPr>
          <w:rFonts w:ascii="Arial" w:hAnsi="Arial" w:cs="Arial"/>
          <w:sz w:val="20"/>
          <w:szCs w:val="20"/>
          <w:lang w:val="en-GB"/>
        </w:rPr>
      </w:pPr>
      <w:r w:rsidRPr="008A78FF">
        <w:rPr>
          <w:rFonts w:ascii="Arial" w:hAnsi="Arial" w:cs="Arial"/>
          <w:sz w:val="20"/>
          <w:szCs w:val="20"/>
          <w:lang w:val="en-GB"/>
        </w:rPr>
        <w:t xml:space="preserve">‘[w]hether a lease was in place or the relationship between Taylor and Hogg was premised on a </w:t>
      </w:r>
      <w:r w:rsidRPr="008A78FF">
        <w:rPr>
          <w:rFonts w:ascii="Arial" w:hAnsi="Arial" w:cs="Arial"/>
          <w:i/>
          <w:sz w:val="20"/>
          <w:szCs w:val="20"/>
          <w:lang w:val="en-GB"/>
        </w:rPr>
        <w:t>precarium</w:t>
      </w:r>
      <w:r w:rsidRPr="008A78FF">
        <w:rPr>
          <w:rFonts w:ascii="Arial" w:hAnsi="Arial" w:cs="Arial"/>
          <w:sz w:val="20"/>
          <w:szCs w:val="20"/>
          <w:lang w:val="en-GB"/>
        </w:rPr>
        <w:t>, the result is the same: Hogg’s right to reside in the premises has been revoked by Taylor. As he and his family no longer have the consent of Taylor to live in his premises, they are unlawful occupiers for purposes of the PIE and are liable to eviction.’</w:t>
      </w:r>
      <w:r w:rsidR="000E176A" w:rsidRPr="000E176A">
        <w:rPr>
          <w:rStyle w:val="FootnoteReference"/>
          <w:rFonts w:ascii="Arial" w:hAnsi="Arial" w:cs="Arial"/>
          <w:sz w:val="20"/>
          <w:szCs w:val="20"/>
          <w:lang w:val="en-GB"/>
        </w:rPr>
        <w:footnoteReference w:id="12"/>
      </w:r>
    </w:p>
    <w:p w14:paraId="4EE41573" w14:textId="77777777" w:rsidR="000E176A" w:rsidRDefault="000E176A" w:rsidP="008A78FF">
      <w:pPr>
        <w:spacing w:line="360" w:lineRule="auto"/>
        <w:rPr>
          <w:rFonts w:ascii="Arial" w:hAnsi="Arial" w:cs="Arial"/>
          <w:sz w:val="24"/>
          <w:szCs w:val="24"/>
          <w:lang w:val="en-GB"/>
        </w:rPr>
      </w:pPr>
    </w:p>
    <w:p w14:paraId="792D7E45" w14:textId="4B9EF706" w:rsidR="001875B9" w:rsidRPr="00E65D67" w:rsidRDefault="00E65D67" w:rsidP="00E65D67">
      <w:pPr>
        <w:spacing w:line="360" w:lineRule="auto"/>
        <w:jc w:val="both"/>
        <w:rPr>
          <w:rFonts w:ascii="Arial" w:hAnsi="Arial" w:cs="Arial"/>
          <w:sz w:val="24"/>
          <w:szCs w:val="24"/>
          <w:lang w:val="en-GB"/>
        </w:rPr>
      </w:pPr>
      <w:r>
        <w:rPr>
          <w:rFonts w:ascii="Arial" w:hAnsi="Arial" w:cs="Arial"/>
          <w:sz w:val="24"/>
          <w:szCs w:val="24"/>
          <w:lang w:val="en-GB"/>
        </w:rPr>
        <w:lastRenderedPageBreak/>
        <w:t>[35]</w:t>
      </w:r>
      <w:r>
        <w:rPr>
          <w:rFonts w:ascii="Arial" w:hAnsi="Arial" w:cs="Arial"/>
          <w:sz w:val="24"/>
          <w:szCs w:val="24"/>
          <w:lang w:val="en-GB"/>
        </w:rPr>
        <w:tab/>
      </w:r>
      <w:r w:rsidR="008A78FF" w:rsidRPr="00E65D67">
        <w:rPr>
          <w:rFonts w:ascii="Arial" w:hAnsi="Arial" w:cs="Arial"/>
          <w:sz w:val="24"/>
          <w:szCs w:val="24"/>
          <w:lang w:val="en-GB"/>
        </w:rPr>
        <w:t xml:space="preserve">The </w:t>
      </w:r>
      <w:r w:rsidR="000E176A" w:rsidRPr="00E65D67">
        <w:rPr>
          <w:rFonts w:ascii="Arial" w:hAnsi="Arial" w:cs="Arial"/>
          <w:sz w:val="24"/>
          <w:szCs w:val="24"/>
          <w:lang w:val="en-GB"/>
        </w:rPr>
        <w:t xml:space="preserve">court has little difficulty in finding that the </w:t>
      </w:r>
      <w:r w:rsidR="008A78FF" w:rsidRPr="00E65D67">
        <w:rPr>
          <w:rFonts w:ascii="Arial" w:hAnsi="Arial" w:cs="Arial"/>
          <w:sz w:val="24"/>
          <w:szCs w:val="24"/>
          <w:lang w:val="en-GB"/>
        </w:rPr>
        <w:t>respondent</w:t>
      </w:r>
      <w:r w:rsidR="000E176A" w:rsidRPr="00E65D67">
        <w:rPr>
          <w:rFonts w:ascii="Arial" w:hAnsi="Arial" w:cs="Arial"/>
          <w:sz w:val="24"/>
          <w:szCs w:val="24"/>
          <w:lang w:val="en-GB"/>
        </w:rPr>
        <w:t xml:space="preserve"> has terminated the agreement.</w:t>
      </w:r>
      <w:r w:rsidR="008A78FF" w:rsidRPr="00E65D67">
        <w:rPr>
          <w:rFonts w:ascii="Arial" w:hAnsi="Arial" w:cs="Arial"/>
          <w:sz w:val="24"/>
          <w:szCs w:val="24"/>
          <w:lang w:val="en-GB"/>
        </w:rPr>
        <w:t xml:space="preserve"> </w:t>
      </w:r>
      <w:r w:rsidR="000E176A" w:rsidRPr="00E65D67">
        <w:rPr>
          <w:rFonts w:ascii="Arial" w:hAnsi="Arial" w:cs="Arial"/>
          <w:sz w:val="24"/>
          <w:szCs w:val="24"/>
          <w:lang w:val="en-GB"/>
        </w:rPr>
        <w:t xml:space="preserve">The respondent’s </w:t>
      </w:r>
      <w:r w:rsidR="008A78FF" w:rsidRPr="00E65D67">
        <w:rPr>
          <w:rFonts w:ascii="Arial" w:hAnsi="Arial" w:cs="Arial"/>
          <w:sz w:val="24"/>
          <w:szCs w:val="24"/>
          <w:lang w:val="en-GB"/>
        </w:rPr>
        <w:t xml:space="preserve">continued occupation of the </w:t>
      </w:r>
      <w:r w:rsidR="00600920" w:rsidRPr="00E65D67">
        <w:rPr>
          <w:rFonts w:ascii="Arial" w:hAnsi="Arial" w:cs="Arial"/>
          <w:sz w:val="24"/>
          <w:szCs w:val="24"/>
          <w:lang w:val="en-GB"/>
        </w:rPr>
        <w:t>land</w:t>
      </w:r>
      <w:r w:rsidR="008A78FF" w:rsidRPr="00E65D67">
        <w:rPr>
          <w:rFonts w:ascii="Arial" w:hAnsi="Arial" w:cs="Arial"/>
          <w:sz w:val="24"/>
          <w:szCs w:val="24"/>
          <w:lang w:val="en-GB"/>
        </w:rPr>
        <w:t xml:space="preserve"> amounts to a classic example of ‘holding over’.</w:t>
      </w:r>
    </w:p>
    <w:p w14:paraId="6567740A" w14:textId="77777777" w:rsidR="001875B9" w:rsidRDefault="001875B9" w:rsidP="001875B9">
      <w:pPr>
        <w:pStyle w:val="ListParagraph"/>
        <w:spacing w:line="360" w:lineRule="auto"/>
        <w:ind w:left="0"/>
        <w:jc w:val="both"/>
        <w:rPr>
          <w:rFonts w:ascii="Arial" w:hAnsi="Arial" w:cs="Arial"/>
          <w:sz w:val="24"/>
          <w:szCs w:val="24"/>
          <w:lang w:val="en-GB"/>
        </w:rPr>
      </w:pPr>
    </w:p>
    <w:p w14:paraId="23CCCDC0" w14:textId="77777777" w:rsidR="001875B9" w:rsidRDefault="001875B9" w:rsidP="001875B9">
      <w:pPr>
        <w:pStyle w:val="ListParagraph"/>
        <w:spacing w:line="360" w:lineRule="auto"/>
        <w:ind w:left="0"/>
        <w:jc w:val="both"/>
        <w:rPr>
          <w:rFonts w:ascii="Arial" w:hAnsi="Arial" w:cs="Arial"/>
          <w:sz w:val="24"/>
          <w:szCs w:val="24"/>
          <w:lang w:val="en-GB"/>
        </w:rPr>
      </w:pPr>
    </w:p>
    <w:p w14:paraId="71108343" w14:textId="21889CE6" w:rsidR="001875B9" w:rsidRPr="001875B9" w:rsidRDefault="0011373D" w:rsidP="001875B9">
      <w:pPr>
        <w:pStyle w:val="ListParagraph"/>
        <w:spacing w:line="360" w:lineRule="auto"/>
        <w:ind w:left="0"/>
        <w:jc w:val="both"/>
        <w:rPr>
          <w:rFonts w:ascii="Arial" w:hAnsi="Arial" w:cs="Arial"/>
          <w:sz w:val="24"/>
          <w:szCs w:val="24"/>
          <w:lang w:val="en-GB"/>
        </w:rPr>
      </w:pPr>
      <w:r w:rsidRPr="001875B9">
        <w:rPr>
          <w:rFonts w:ascii="Arial" w:hAnsi="Arial" w:cs="Arial"/>
          <w:b/>
          <w:bCs/>
          <w:sz w:val="24"/>
          <w:szCs w:val="24"/>
        </w:rPr>
        <w:t>Eviction of respondent</w:t>
      </w:r>
    </w:p>
    <w:p w14:paraId="10F7EB44" w14:textId="77777777" w:rsidR="001875B9" w:rsidRPr="001875B9" w:rsidRDefault="001875B9" w:rsidP="001875B9">
      <w:pPr>
        <w:pStyle w:val="ListParagraph"/>
        <w:spacing w:line="360" w:lineRule="auto"/>
        <w:ind w:left="0"/>
        <w:jc w:val="both"/>
        <w:rPr>
          <w:rFonts w:ascii="Arial" w:hAnsi="Arial" w:cs="Arial"/>
          <w:sz w:val="24"/>
          <w:szCs w:val="24"/>
          <w:lang w:val="en-GB"/>
        </w:rPr>
      </w:pPr>
    </w:p>
    <w:p w14:paraId="3BF8BBF2" w14:textId="7C496A8C"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[36]</w:t>
      </w:r>
      <w:r w:rsidRPr="001875B9">
        <w:rPr>
          <w:rFonts w:ascii="Arial" w:hAnsi="Arial" w:cs="Arial"/>
          <w:sz w:val="24"/>
          <w:szCs w:val="24"/>
          <w:lang w:val="en-GB"/>
        </w:rPr>
        <w:tab/>
      </w:r>
      <w:r w:rsidR="0011373D" w:rsidRPr="00E65D67">
        <w:rPr>
          <w:rFonts w:ascii="Arial" w:hAnsi="Arial" w:cs="Arial"/>
          <w:sz w:val="24"/>
          <w:szCs w:val="24"/>
        </w:rPr>
        <w:t>If the applicant has terminated the agreement, as this court has found, then there is no longer a legal basis upon which the respondent can remain in occupation of the land. She can be evicted.</w:t>
      </w:r>
    </w:p>
    <w:p w14:paraId="0011432C" w14:textId="77777777" w:rsidR="001875B9" w:rsidRPr="001875B9" w:rsidRDefault="001875B9" w:rsidP="001875B9">
      <w:pPr>
        <w:pStyle w:val="ListParagraph"/>
        <w:spacing w:line="360" w:lineRule="auto"/>
        <w:ind w:left="0"/>
        <w:jc w:val="both"/>
        <w:rPr>
          <w:rFonts w:ascii="Arial" w:hAnsi="Arial" w:cs="Arial"/>
          <w:sz w:val="24"/>
          <w:szCs w:val="24"/>
          <w:lang w:val="en-GB"/>
        </w:rPr>
      </w:pPr>
    </w:p>
    <w:p w14:paraId="451F6BF8" w14:textId="672C1F88"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[37]</w:t>
      </w:r>
      <w:r w:rsidRPr="001875B9">
        <w:rPr>
          <w:rFonts w:ascii="Arial" w:hAnsi="Arial" w:cs="Arial"/>
          <w:sz w:val="24"/>
          <w:szCs w:val="24"/>
          <w:lang w:val="en-GB"/>
        </w:rPr>
        <w:tab/>
      </w:r>
      <w:r w:rsidR="0011373D" w:rsidRPr="00E65D67">
        <w:rPr>
          <w:rFonts w:ascii="Arial" w:hAnsi="Arial" w:cs="Arial"/>
          <w:sz w:val="24"/>
          <w:szCs w:val="24"/>
        </w:rPr>
        <w:t>The provisions of the Prevention of Illegal Eviction from and Unlawful Occupation of Land Act 19 of 1998 (‘PIE’) do not apply. It is common cause that the land is used for commercial purposes. The respondent has confirmed that she operates a petrol station on the site and makes no reliance on PIE in her opposition to the application.</w:t>
      </w:r>
    </w:p>
    <w:p w14:paraId="617DEBC6" w14:textId="77777777" w:rsidR="001875B9" w:rsidRPr="001875B9" w:rsidRDefault="001875B9" w:rsidP="001875B9">
      <w:pPr>
        <w:pStyle w:val="ListParagraph"/>
        <w:rPr>
          <w:rFonts w:ascii="Arial" w:hAnsi="Arial" w:cs="Arial"/>
          <w:sz w:val="24"/>
          <w:szCs w:val="24"/>
        </w:rPr>
      </w:pPr>
    </w:p>
    <w:p w14:paraId="61EFCD24" w14:textId="039BDFE3"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[38]</w:t>
      </w:r>
      <w:r w:rsidRPr="001875B9">
        <w:rPr>
          <w:rFonts w:ascii="Arial" w:hAnsi="Arial" w:cs="Arial"/>
          <w:sz w:val="24"/>
          <w:szCs w:val="24"/>
          <w:lang w:val="en-GB"/>
        </w:rPr>
        <w:tab/>
      </w:r>
      <w:r w:rsidR="0011373D" w:rsidRPr="00E65D67">
        <w:rPr>
          <w:rFonts w:ascii="Arial" w:hAnsi="Arial" w:cs="Arial"/>
          <w:sz w:val="24"/>
          <w:szCs w:val="24"/>
        </w:rPr>
        <w:t>It is necessary, at this stage, to discuss the relief to be granted.</w:t>
      </w:r>
    </w:p>
    <w:p w14:paraId="2B174BC0" w14:textId="77777777" w:rsidR="001875B9" w:rsidRPr="001875B9" w:rsidRDefault="001875B9" w:rsidP="001875B9">
      <w:pPr>
        <w:pStyle w:val="ListParagraph"/>
        <w:rPr>
          <w:rFonts w:ascii="Arial" w:hAnsi="Arial" w:cs="Arial"/>
          <w:sz w:val="24"/>
          <w:szCs w:val="24"/>
          <w:lang w:val="en-GB"/>
        </w:rPr>
      </w:pPr>
    </w:p>
    <w:p w14:paraId="479DBD29" w14:textId="77777777" w:rsidR="001875B9" w:rsidRPr="001875B9" w:rsidRDefault="001875B9" w:rsidP="001875B9">
      <w:pPr>
        <w:pStyle w:val="ListParagraph"/>
        <w:rPr>
          <w:rFonts w:ascii="Arial" w:hAnsi="Arial" w:cs="Arial"/>
          <w:b/>
          <w:bCs/>
          <w:sz w:val="24"/>
          <w:szCs w:val="24"/>
        </w:rPr>
      </w:pPr>
    </w:p>
    <w:p w14:paraId="78811BCF" w14:textId="0C14BC94" w:rsidR="001875B9" w:rsidRPr="001875B9" w:rsidRDefault="0011373D" w:rsidP="001875B9">
      <w:pPr>
        <w:pStyle w:val="ListParagraph"/>
        <w:spacing w:line="360" w:lineRule="auto"/>
        <w:ind w:left="0"/>
        <w:jc w:val="both"/>
        <w:rPr>
          <w:rFonts w:ascii="Arial" w:hAnsi="Arial" w:cs="Arial"/>
          <w:sz w:val="24"/>
          <w:szCs w:val="24"/>
          <w:lang w:val="en-GB"/>
        </w:rPr>
      </w:pPr>
      <w:r w:rsidRPr="001875B9">
        <w:rPr>
          <w:rFonts w:ascii="Arial" w:hAnsi="Arial" w:cs="Arial"/>
          <w:b/>
          <w:bCs/>
          <w:sz w:val="24"/>
          <w:szCs w:val="24"/>
        </w:rPr>
        <w:t>Relief and order</w:t>
      </w:r>
    </w:p>
    <w:p w14:paraId="12932E4B" w14:textId="77777777" w:rsidR="001875B9" w:rsidRPr="001875B9" w:rsidRDefault="001875B9" w:rsidP="001875B9">
      <w:pPr>
        <w:pStyle w:val="ListParagraph"/>
        <w:spacing w:line="360" w:lineRule="auto"/>
        <w:ind w:left="0"/>
        <w:jc w:val="both"/>
        <w:rPr>
          <w:rFonts w:ascii="Arial" w:hAnsi="Arial" w:cs="Arial"/>
          <w:sz w:val="24"/>
          <w:szCs w:val="24"/>
          <w:lang w:val="en-GB"/>
        </w:rPr>
      </w:pPr>
    </w:p>
    <w:p w14:paraId="47076AAE" w14:textId="0B032926"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[39]</w:t>
      </w:r>
      <w:r w:rsidRPr="001875B9">
        <w:rPr>
          <w:rFonts w:ascii="Arial" w:hAnsi="Arial" w:cs="Arial"/>
          <w:sz w:val="24"/>
          <w:szCs w:val="24"/>
          <w:lang w:val="en-GB"/>
        </w:rPr>
        <w:tab/>
      </w:r>
      <w:r w:rsidR="0011373D" w:rsidRPr="00E65D67">
        <w:rPr>
          <w:rFonts w:ascii="Arial" w:hAnsi="Arial" w:cs="Arial"/>
          <w:sz w:val="24"/>
          <w:szCs w:val="24"/>
        </w:rPr>
        <w:t xml:space="preserve">The court </w:t>
      </w:r>
      <w:r w:rsidR="00496B7F" w:rsidRPr="00E65D67">
        <w:rPr>
          <w:rFonts w:ascii="Arial" w:hAnsi="Arial" w:cs="Arial"/>
          <w:sz w:val="24"/>
          <w:szCs w:val="24"/>
        </w:rPr>
        <w:t xml:space="preserve">has already dealt with the respondent’s main point </w:t>
      </w:r>
      <w:r w:rsidR="00496B7F" w:rsidRPr="00E65D67">
        <w:rPr>
          <w:rFonts w:ascii="Arial" w:hAnsi="Arial" w:cs="Arial"/>
          <w:i/>
          <w:iCs/>
          <w:sz w:val="24"/>
          <w:szCs w:val="24"/>
        </w:rPr>
        <w:t>in limine</w:t>
      </w:r>
      <w:r w:rsidR="00496B7F" w:rsidRPr="00E65D67">
        <w:rPr>
          <w:rFonts w:ascii="Arial" w:hAnsi="Arial" w:cs="Arial"/>
          <w:sz w:val="24"/>
          <w:szCs w:val="24"/>
        </w:rPr>
        <w:t xml:space="preserve"> and decided that there is no merit thereto. The remaining points fell under discussion when considering whether the agreement had been terminated.</w:t>
      </w:r>
    </w:p>
    <w:p w14:paraId="13C873A6" w14:textId="77777777" w:rsidR="001875B9" w:rsidRPr="001875B9" w:rsidRDefault="001875B9" w:rsidP="001875B9">
      <w:pPr>
        <w:pStyle w:val="ListParagraph"/>
        <w:spacing w:line="360" w:lineRule="auto"/>
        <w:ind w:left="0"/>
        <w:jc w:val="both"/>
        <w:rPr>
          <w:rFonts w:ascii="Arial" w:hAnsi="Arial" w:cs="Arial"/>
          <w:sz w:val="24"/>
          <w:szCs w:val="24"/>
          <w:lang w:val="en-GB"/>
        </w:rPr>
      </w:pPr>
    </w:p>
    <w:p w14:paraId="35FAA2D4" w14:textId="17B3A4AA"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[40]</w:t>
      </w:r>
      <w:r w:rsidRPr="001875B9">
        <w:rPr>
          <w:rFonts w:ascii="Arial" w:hAnsi="Arial" w:cs="Arial"/>
          <w:sz w:val="24"/>
          <w:szCs w:val="24"/>
          <w:lang w:val="en-GB"/>
        </w:rPr>
        <w:tab/>
      </w:r>
      <w:r w:rsidR="00496B7F" w:rsidRPr="00E65D67">
        <w:rPr>
          <w:rFonts w:ascii="Arial" w:hAnsi="Arial" w:cs="Arial"/>
          <w:sz w:val="24"/>
          <w:szCs w:val="24"/>
        </w:rPr>
        <w:t xml:space="preserve">No real dispute of fact arises from the papers, there is no need to refer the matter for the hearing of oral evidence. Such differences as there are in relation to the payment of monthly rental and municipal service charges, and the receipt or otherwise of the </w:t>
      </w:r>
      <w:r w:rsidR="00496B7F" w:rsidRPr="00E65D67">
        <w:rPr>
          <w:rFonts w:ascii="Arial" w:hAnsi="Arial" w:cs="Arial"/>
          <w:sz w:val="24"/>
          <w:szCs w:val="24"/>
        </w:rPr>
        <w:lastRenderedPageBreak/>
        <w:t>notices, have no impact on the findings made regarding the termination of the agreement and the right of the applicant to evict the respondent.</w:t>
      </w:r>
    </w:p>
    <w:p w14:paraId="6B4565F8" w14:textId="77777777" w:rsidR="001875B9" w:rsidRPr="001875B9" w:rsidRDefault="001875B9" w:rsidP="001875B9">
      <w:pPr>
        <w:pStyle w:val="ListParagraph"/>
        <w:rPr>
          <w:rFonts w:ascii="Arial" w:hAnsi="Arial" w:cs="Arial"/>
          <w:sz w:val="24"/>
          <w:szCs w:val="24"/>
        </w:rPr>
      </w:pPr>
    </w:p>
    <w:p w14:paraId="1E92727F" w14:textId="4F96B492"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[41]</w:t>
      </w:r>
      <w:r w:rsidRPr="001875B9">
        <w:rPr>
          <w:rFonts w:ascii="Arial" w:hAnsi="Arial" w:cs="Arial"/>
          <w:sz w:val="24"/>
          <w:szCs w:val="24"/>
          <w:lang w:val="en-GB"/>
        </w:rPr>
        <w:tab/>
      </w:r>
      <w:r w:rsidR="00496B7F" w:rsidRPr="00E65D67">
        <w:rPr>
          <w:rFonts w:ascii="Arial" w:hAnsi="Arial" w:cs="Arial"/>
          <w:sz w:val="24"/>
          <w:szCs w:val="24"/>
        </w:rPr>
        <w:t xml:space="preserve">Whereas the court has indeed found that the applicant is entitled to the relief that he seeks, it is evident from the papers that his staff can be criticised for having failed to manage the lease </w:t>
      </w:r>
      <w:r w:rsidR="00600920" w:rsidRPr="00E65D67">
        <w:rPr>
          <w:rFonts w:ascii="Arial" w:hAnsi="Arial" w:cs="Arial"/>
          <w:sz w:val="24"/>
          <w:szCs w:val="24"/>
        </w:rPr>
        <w:t>properly</w:t>
      </w:r>
      <w:r w:rsidR="00496B7F" w:rsidRPr="00E65D67">
        <w:rPr>
          <w:rFonts w:ascii="Arial" w:hAnsi="Arial" w:cs="Arial"/>
          <w:sz w:val="24"/>
          <w:szCs w:val="24"/>
        </w:rPr>
        <w:t xml:space="preserve">. </w:t>
      </w:r>
      <w:r w:rsidR="005E3270" w:rsidRPr="00E65D67">
        <w:rPr>
          <w:rFonts w:ascii="Arial" w:hAnsi="Arial" w:cs="Arial"/>
          <w:sz w:val="24"/>
          <w:szCs w:val="24"/>
        </w:rPr>
        <w:t xml:space="preserve">The respondent’s assertion that she was not in arrears with the payment of either rental or municipal service charges was never refuted by the applicant in reply. The applicant also conceded that the invoice sent to ‘N Moleshe’, attached to the founding affidavit, was a mistake. The court has been left with the </w:t>
      </w:r>
      <w:r w:rsidR="00600920" w:rsidRPr="00E65D67">
        <w:rPr>
          <w:rFonts w:ascii="Arial" w:hAnsi="Arial" w:cs="Arial"/>
          <w:sz w:val="24"/>
          <w:szCs w:val="24"/>
        </w:rPr>
        <w:t xml:space="preserve">unfortunate </w:t>
      </w:r>
      <w:r w:rsidR="005E3270" w:rsidRPr="00E65D67">
        <w:rPr>
          <w:rFonts w:ascii="Arial" w:hAnsi="Arial" w:cs="Arial"/>
          <w:sz w:val="24"/>
          <w:szCs w:val="24"/>
        </w:rPr>
        <w:t xml:space="preserve">impression that the applicant’s staff have simply </w:t>
      </w:r>
      <w:r w:rsidR="00F14723" w:rsidRPr="00E65D67">
        <w:rPr>
          <w:rFonts w:ascii="Arial" w:hAnsi="Arial" w:cs="Arial"/>
          <w:sz w:val="24"/>
          <w:szCs w:val="24"/>
        </w:rPr>
        <w:t xml:space="preserve">failed to </w:t>
      </w:r>
      <w:r w:rsidR="005E3270" w:rsidRPr="00E65D67">
        <w:rPr>
          <w:rFonts w:ascii="Arial" w:hAnsi="Arial" w:cs="Arial"/>
          <w:sz w:val="24"/>
          <w:szCs w:val="24"/>
        </w:rPr>
        <w:t xml:space="preserve">manage </w:t>
      </w:r>
      <w:r w:rsidR="00600920" w:rsidRPr="00E65D67">
        <w:rPr>
          <w:rFonts w:ascii="Arial" w:hAnsi="Arial" w:cs="Arial"/>
          <w:sz w:val="24"/>
          <w:szCs w:val="24"/>
        </w:rPr>
        <w:t xml:space="preserve">properly the </w:t>
      </w:r>
      <w:r w:rsidR="00F14723" w:rsidRPr="00E65D67">
        <w:rPr>
          <w:rFonts w:ascii="Arial" w:hAnsi="Arial" w:cs="Arial"/>
          <w:sz w:val="24"/>
          <w:szCs w:val="24"/>
        </w:rPr>
        <w:t>public assets</w:t>
      </w:r>
      <w:r w:rsidR="00600920" w:rsidRPr="00E65D67">
        <w:rPr>
          <w:rFonts w:ascii="Arial" w:hAnsi="Arial" w:cs="Arial"/>
          <w:sz w:val="24"/>
          <w:szCs w:val="24"/>
        </w:rPr>
        <w:t xml:space="preserve"> in question</w:t>
      </w:r>
      <w:r w:rsidR="00F14723" w:rsidRPr="00E65D67">
        <w:rPr>
          <w:rFonts w:ascii="Arial" w:hAnsi="Arial" w:cs="Arial"/>
          <w:sz w:val="24"/>
          <w:szCs w:val="24"/>
        </w:rPr>
        <w:t xml:space="preserve"> (</w:t>
      </w:r>
      <w:r w:rsidR="005E3270" w:rsidRPr="00E65D67">
        <w:rPr>
          <w:rFonts w:ascii="Arial" w:hAnsi="Arial" w:cs="Arial"/>
          <w:sz w:val="24"/>
          <w:szCs w:val="24"/>
        </w:rPr>
        <w:t>erven 354, 355, 356 and 357</w:t>
      </w:r>
      <w:r w:rsidR="00F14723" w:rsidRPr="00E65D67">
        <w:rPr>
          <w:rFonts w:ascii="Arial" w:hAnsi="Arial" w:cs="Arial"/>
          <w:sz w:val="24"/>
          <w:szCs w:val="24"/>
        </w:rPr>
        <w:t>)</w:t>
      </w:r>
      <w:r w:rsidR="00600920" w:rsidRPr="00E65D67">
        <w:rPr>
          <w:rFonts w:ascii="Arial" w:hAnsi="Arial" w:cs="Arial"/>
          <w:sz w:val="24"/>
          <w:szCs w:val="24"/>
        </w:rPr>
        <w:t xml:space="preserve"> but i</w:t>
      </w:r>
      <w:r w:rsidR="00F14723" w:rsidRPr="00E65D67">
        <w:rPr>
          <w:rFonts w:ascii="Arial" w:hAnsi="Arial" w:cs="Arial"/>
          <w:sz w:val="24"/>
          <w:szCs w:val="24"/>
        </w:rPr>
        <w:t>t is hoped that</w:t>
      </w:r>
      <w:r w:rsidR="005E3270" w:rsidRPr="00E65D67">
        <w:rPr>
          <w:rFonts w:ascii="Arial" w:hAnsi="Arial" w:cs="Arial"/>
          <w:sz w:val="24"/>
          <w:szCs w:val="24"/>
        </w:rPr>
        <w:t xml:space="preserve"> </w:t>
      </w:r>
      <w:r w:rsidR="00F14723" w:rsidRPr="00E65D67">
        <w:rPr>
          <w:rFonts w:ascii="Arial" w:hAnsi="Arial" w:cs="Arial"/>
          <w:sz w:val="24"/>
          <w:szCs w:val="24"/>
        </w:rPr>
        <w:t>t</w:t>
      </w:r>
      <w:r w:rsidR="005E3270" w:rsidRPr="00E65D67">
        <w:rPr>
          <w:rFonts w:ascii="Arial" w:hAnsi="Arial" w:cs="Arial"/>
          <w:sz w:val="24"/>
          <w:szCs w:val="24"/>
        </w:rPr>
        <w:t xml:space="preserve">he shortcomings </w:t>
      </w:r>
      <w:r w:rsidR="00F14723" w:rsidRPr="00E65D67">
        <w:rPr>
          <w:rFonts w:ascii="Arial" w:hAnsi="Arial" w:cs="Arial"/>
          <w:sz w:val="24"/>
          <w:szCs w:val="24"/>
        </w:rPr>
        <w:t xml:space="preserve">may yet be remedied by the effective implementation of the project described earlier in the judgment. </w:t>
      </w:r>
    </w:p>
    <w:p w14:paraId="733F2682" w14:textId="77777777" w:rsidR="001875B9" w:rsidRPr="001875B9" w:rsidRDefault="001875B9" w:rsidP="001875B9">
      <w:pPr>
        <w:pStyle w:val="ListParagraph"/>
        <w:rPr>
          <w:rFonts w:ascii="Arial" w:hAnsi="Arial" w:cs="Arial"/>
          <w:sz w:val="24"/>
          <w:szCs w:val="24"/>
        </w:rPr>
      </w:pPr>
    </w:p>
    <w:p w14:paraId="4F5CAB74" w14:textId="655849B1"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[42]</w:t>
      </w:r>
      <w:r w:rsidRPr="001875B9">
        <w:rPr>
          <w:rFonts w:ascii="Arial" w:hAnsi="Arial" w:cs="Arial"/>
          <w:sz w:val="24"/>
          <w:szCs w:val="24"/>
          <w:lang w:val="en-GB"/>
        </w:rPr>
        <w:tab/>
      </w:r>
      <w:r w:rsidR="00F14723" w:rsidRPr="00E65D67">
        <w:rPr>
          <w:rFonts w:ascii="Arial" w:hAnsi="Arial" w:cs="Arial"/>
          <w:sz w:val="24"/>
          <w:szCs w:val="24"/>
        </w:rPr>
        <w:t>The applicant admitted, in argument, that sufficient time would need to be allowed to the respondent to wind down operations at the petrol station and to vacate the land. This is reflected in the order to follow.</w:t>
      </w:r>
      <w:r w:rsidR="001D03CD" w:rsidRPr="00E65D67">
        <w:rPr>
          <w:rFonts w:ascii="Arial" w:hAnsi="Arial" w:cs="Arial"/>
          <w:sz w:val="24"/>
          <w:szCs w:val="24"/>
        </w:rPr>
        <w:t xml:space="preserve"> </w:t>
      </w:r>
    </w:p>
    <w:p w14:paraId="312A70EF" w14:textId="77777777" w:rsidR="001875B9" w:rsidRPr="001875B9" w:rsidRDefault="001875B9" w:rsidP="001875B9">
      <w:pPr>
        <w:pStyle w:val="ListParagraph"/>
        <w:rPr>
          <w:rFonts w:ascii="Arial" w:hAnsi="Arial" w:cs="Arial"/>
          <w:sz w:val="24"/>
          <w:szCs w:val="24"/>
        </w:rPr>
      </w:pPr>
    </w:p>
    <w:p w14:paraId="00ABF33B" w14:textId="78A33793"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[43]</w:t>
      </w:r>
      <w:r w:rsidRPr="001875B9">
        <w:rPr>
          <w:rFonts w:ascii="Arial" w:hAnsi="Arial" w:cs="Arial"/>
          <w:sz w:val="24"/>
          <w:szCs w:val="24"/>
          <w:lang w:val="en-GB"/>
        </w:rPr>
        <w:tab/>
      </w:r>
      <w:r w:rsidR="001D03CD" w:rsidRPr="00E65D67">
        <w:rPr>
          <w:rFonts w:ascii="Arial" w:hAnsi="Arial" w:cs="Arial"/>
          <w:sz w:val="24"/>
          <w:szCs w:val="24"/>
        </w:rPr>
        <w:t xml:space="preserve">In the absence of any sign that the respondent would refuse to cooperate with the applicant in the event of her eviction, the court sees no reason why it would be necessary to direct the South African Police Services (‘SAPS’) </w:t>
      </w:r>
      <w:r w:rsidR="00600920" w:rsidRPr="00E65D67">
        <w:rPr>
          <w:rFonts w:ascii="Arial" w:hAnsi="Arial" w:cs="Arial"/>
          <w:sz w:val="24"/>
          <w:szCs w:val="24"/>
        </w:rPr>
        <w:t xml:space="preserve">to </w:t>
      </w:r>
      <w:r w:rsidR="001D03CD" w:rsidRPr="00E65D67">
        <w:rPr>
          <w:rFonts w:ascii="Arial" w:hAnsi="Arial" w:cs="Arial"/>
          <w:sz w:val="24"/>
          <w:szCs w:val="24"/>
        </w:rPr>
        <w:t>assist in the exercise. The involvement of the sheriff will suffice, failing which there are further remedies available to the applicant to facilitate the enforcement of the order.</w:t>
      </w:r>
    </w:p>
    <w:p w14:paraId="5F9ED162" w14:textId="77777777" w:rsidR="001875B9" w:rsidRPr="001875B9" w:rsidRDefault="001875B9" w:rsidP="001875B9">
      <w:pPr>
        <w:pStyle w:val="ListParagraph"/>
        <w:rPr>
          <w:rFonts w:ascii="Arial" w:hAnsi="Arial" w:cs="Arial"/>
          <w:sz w:val="24"/>
          <w:szCs w:val="24"/>
        </w:rPr>
      </w:pPr>
    </w:p>
    <w:p w14:paraId="158B2B0E" w14:textId="48B4781E" w:rsidR="001875B9"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[44]</w:t>
      </w:r>
      <w:r w:rsidRPr="001875B9">
        <w:rPr>
          <w:rFonts w:ascii="Arial" w:hAnsi="Arial" w:cs="Arial"/>
          <w:sz w:val="24"/>
          <w:szCs w:val="24"/>
          <w:lang w:val="en-GB"/>
        </w:rPr>
        <w:tab/>
      </w:r>
      <w:r w:rsidR="00F14723" w:rsidRPr="00E65D67">
        <w:rPr>
          <w:rFonts w:ascii="Arial" w:hAnsi="Arial" w:cs="Arial"/>
          <w:sz w:val="24"/>
          <w:szCs w:val="24"/>
        </w:rPr>
        <w:t>Finally, there is no reason why the usual rule should not be applied in relation to costs. The applicant is entitled to payment thereof. The matter is not of such a nature, however, as to justify his recovery of the costs of two counsel.</w:t>
      </w:r>
    </w:p>
    <w:p w14:paraId="16FF63EC" w14:textId="77777777" w:rsidR="001875B9" w:rsidRPr="001875B9" w:rsidRDefault="001875B9" w:rsidP="001875B9">
      <w:pPr>
        <w:pStyle w:val="ListParagraph"/>
        <w:rPr>
          <w:rFonts w:ascii="Arial" w:hAnsi="Arial" w:cs="Arial"/>
          <w:sz w:val="24"/>
          <w:szCs w:val="24"/>
        </w:rPr>
      </w:pPr>
    </w:p>
    <w:p w14:paraId="6FD75EAE" w14:textId="3859EEAC" w:rsidR="00F14723" w:rsidRPr="00E65D67" w:rsidRDefault="00E65D67" w:rsidP="00E65D67">
      <w:pPr>
        <w:spacing w:line="360" w:lineRule="auto"/>
        <w:jc w:val="both"/>
        <w:rPr>
          <w:rFonts w:ascii="Arial" w:hAnsi="Arial" w:cs="Arial"/>
          <w:sz w:val="24"/>
          <w:szCs w:val="24"/>
          <w:lang w:val="en-GB"/>
        </w:rPr>
      </w:pPr>
      <w:r w:rsidRPr="001875B9">
        <w:rPr>
          <w:rFonts w:ascii="Arial" w:hAnsi="Arial" w:cs="Arial"/>
          <w:sz w:val="24"/>
          <w:szCs w:val="24"/>
          <w:lang w:val="en-GB"/>
        </w:rPr>
        <w:t>[45]</w:t>
      </w:r>
      <w:r w:rsidRPr="001875B9">
        <w:rPr>
          <w:rFonts w:ascii="Arial" w:hAnsi="Arial" w:cs="Arial"/>
          <w:sz w:val="24"/>
          <w:szCs w:val="24"/>
          <w:lang w:val="en-GB"/>
        </w:rPr>
        <w:tab/>
      </w:r>
      <w:r w:rsidR="00F14723" w:rsidRPr="00E65D67">
        <w:rPr>
          <w:rFonts w:ascii="Arial" w:hAnsi="Arial" w:cs="Arial"/>
          <w:sz w:val="24"/>
          <w:szCs w:val="24"/>
        </w:rPr>
        <w:t>The following order is made:</w:t>
      </w:r>
    </w:p>
    <w:p w14:paraId="6E910BCE" w14:textId="77777777" w:rsidR="00CD7100" w:rsidRDefault="00CD7100" w:rsidP="00CD7100">
      <w:pPr>
        <w:pStyle w:val="ListParagraph"/>
        <w:spacing w:line="360" w:lineRule="auto"/>
        <w:rPr>
          <w:rFonts w:ascii="Arial" w:hAnsi="Arial" w:cs="Arial"/>
          <w:sz w:val="24"/>
          <w:szCs w:val="24"/>
        </w:rPr>
      </w:pPr>
    </w:p>
    <w:p w14:paraId="0CF2F32E" w14:textId="4F9233D1" w:rsidR="00F14723" w:rsidRPr="00E65D67" w:rsidRDefault="00E65D67" w:rsidP="00E65D67">
      <w:pPr>
        <w:spacing w:line="360" w:lineRule="auto"/>
        <w:ind w:left="1418"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CD7100" w:rsidRPr="00E65D67">
        <w:rPr>
          <w:rFonts w:ascii="Arial" w:hAnsi="Arial" w:cs="Arial"/>
          <w:sz w:val="24"/>
          <w:szCs w:val="24"/>
        </w:rPr>
        <w:t>t</w:t>
      </w:r>
      <w:r w:rsidR="00F14723" w:rsidRPr="00E65D67">
        <w:rPr>
          <w:rFonts w:ascii="Arial" w:hAnsi="Arial" w:cs="Arial"/>
          <w:sz w:val="24"/>
          <w:szCs w:val="24"/>
        </w:rPr>
        <w:t>he lease agreement concluded by the parties for erven 354, 355, 356 and 357 Alice (‘the properties’), is declared to have been terminated;</w:t>
      </w:r>
    </w:p>
    <w:p w14:paraId="7EA99BCC" w14:textId="206D4F5F" w:rsidR="00F14723" w:rsidRPr="00E65D67" w:rsidRDefault="00E65D67" w:rsidP="00E65D67">
      <w:pPr>
        <w:spacing w:line="360" w:lineRule="auto"/>
        <w:ind w:left="1418"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CD7100" w:rsidRPr="00E65D67">
        <w:rPr>
          <w:rFonts w:ascii="Arial" w:hAnsi="Arial" w:cs="Arial"/>
          <w:sz w:val="24"/>
          <w:szCs w:val="24"/>
        </w:rPr>
        <w:t>t</w:t>
      </w:r>
      <w:r w:rsidR="00F14723" w:rsidRPr="00E65D67">
        <w:rPr>
          <w:rFonts w:ascii="Arial" w:hAnsi="Arial" w:cs="Arial"/>
          <w:sz w:val="24"/>
          <w:szCs w:val="24"/>
        </w:rPr>
        <w:t>he applicant is entitled to evict the respondent from the properties;</w:t>
      </w:r>
    </w:p>
    <w:p w14:paraId="11D8EC85" w14:textId="77777777" w:rsidR="001875B9" w:rsidRDefault="001875B9" w:rsidP="001875B9">
      <w:pPr>
        <w:pStyle w:val="ListParagraph"/>
        <w:spacing w:line="360" w:lineRule="auto"/>
        <w:ind w:left="1418"/>
        <w:jc w:val="both"/>
        <w:rPr>
          <w:rFonts w:ascii="Arial" w:hAnsi="Arial" w:cs="Arial"/>
          <w:sz w:val="24"/>
          <w:szCs w:val="24"/>
        </w:rPr>
      </w:pPr>
    </w:p>
    <w:p w14:paraId="51D79C72" w14:textId="1D45F2C0" w:rsidR="00F14723" w:rsidRPr="00E65D67" w:rsidRDefault="00E65D67" w:rsidP="00E65D67">
      <w:pPr>
        <w:spacing w:line="360" w:lineRule="auto"/>
        <w:ind w:left="1418"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CD7100" w:rsidRPr="00E65D67">
        <w:rPr>
          <w:rFonts w:ascii="Arial" w:hAnsi="Arial" w:cs="Arial"/>
          <w:sz w:val="24"/>
          <w:szCs w:val="24"/>
        </w:rPr>
        <w:t>t</w:t>
      </w:r>
      <w:r w:rsidR="00F14723" w:rsidRPr="00E65D67">
        <w:rPr>
          <w:rFonts w:ascii="Arial" w:hAnsi="Arial" w:cs="Arial"/>
          <w:sz w:val="24"/>
          <w:szCs w:val="24"/>
        </w:rPr>
        <w:t xml:space="preserve">he respondent </w:t>
      </w:r>
      <w:r w:rsidR="001D03CD" w:rsidRPr="00E65D67">
        <w:rPr>
          <w:rFonts w:ascii="Arial" w:hAnsi="Arial" w:cs="Arial"/>
          <w:sz w:val="24"/>
          <w:szCs w:val="24"/>
        </w:rPr>
        <w:t>and her employees or staff are directed to vacate the properties within a period of 90 days, calculated from the date of this order;</w:t>
      </w:r>
    </w:p>
    <w:p w14:paraId="282D1052" w14:textId="77777777" w:rsidR="001875B9" w:rsidRPr="001875B9" w:rsidRDefault="001875B9" w:rsidP="001875B9">
      <w:pPr>
        <w:pStyle w:val="ListParagraph"/>
        <w:rPr>
          <w:rFonts w:ascii="Arial" w:hAnsi="Arial" w:cs="Arial"/>
          <w:sz w:val="24"/>
          <w:szCs w:val="24"/>
        </w:rPr>
      </w:pPr>
    </w:p>
    <w:p w14:paraId="7DF31DC9" w14:textId="7254C09A" w:rsidR="001D03CD" w:rsidRPr="00E65D67" w:rsidRDefault="00E65D67" w:rsidP="00E65D67">
      <w:pPr>
        <w:spacing w:line="360" w:lineRule="auto"/>
        <w:ind w:left="1418"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CD7100" w:rsidRPr="00E65D67">
        <w:rPr>
          <w:rFonts w:ascii="Arial" w:hAnsi="Arial" w:cs="Arial"/>
          <w:sz w:val="24"/>
          <w:szCs w:val="24"/>
        </w:rPr>
        <w:t>t</w:t>
      </w:r>
      <w:r w:rsidR="001D03CD" w:rsidRPr="00E65D67">
        <w:rPr>
          <w:rFonts w:ascii="Arial" w:hAnsi="Arial" w:cs="Arial"/>
          <w:sz w:val="24"/>
          <w:szCs w:val="24"/>
        </w:rPr>
        <w:t xml:space="preserve">he sheriff is hereby authorised to evict the respondent and her employees or staff </w:t>
      </w:r>
      <w:r w:rsidR="00CD7100" w:rsidRPr="00E65D67">
        <w:rPr>
          <w:rFonts w:ascii="Arial" w:hAnsi="Arial" w:cs="Arial"/>
          <w:sz w:val="24"/>
          <w:szCs w:val="24"/>
        </w:rPr>
        <w:t>if</w:t>
      </w:r>
      <w:r w:rsidR="001D03CD" w:rsidRPr="00E65D67">
        <w:rPr>
          <w:rFonts w:ascii="Arial" w:hAnsi="Arial" w:cs="Arial"/>
          <w:sz w:val="24"/>
          <w:szCs w:val="24"/>
        </w:rPr>
        <w:t xml:space="preserve"> they fail or refuse to vacate the properties within the period described above</w:t>
      </w:r>
      <w:r w:rsidR="00CD7100" w:rsidRPr="00E65D67">
        <w:rPr>
          <w:rFonts w:ascii="Arial" w:hAnsi="Arial" w:cs="Arial"/>
          <w:sz w:val="24"/>
          <w:szCs w:val="24"/>
        </w:rPr>
        <w:t xml:space="preserve">; and </w:t>
      </w:r>
    </w:p>
    <w:p w14:paraId="1C091B73" w14:textId="77777777" w:rsidR="001875B9" w:rsidRPr="001875B9" w:rsidRDefault="001875B9" w:rsidP="001875B9">
      <w:pPr>
        <w:pStyle w:val="ListParagraph"/>
        <w:rPr>
          <w:rFonts w:ascii="Arial" w:hAnsi="Arial" w:cs="Arial"/>
          <w:sz w:val="24"/>
          <w:szCs w:val="24"/>
        </w:rPr>
      </w:pPr>
    </w:p>
    <w:p w14:paraId="71ED457C" w14:textId="652A7A1B" w:rsidR="00CD7100" w:rsidRPr="00E65D67" w:rsidRDefault="00E65D67" w:rsidP="00E65D67">
      <w:pPr>
        <w:spacing w:line="360" w:lineRule="auto"/>
        <w:ind w:left="1418" w:hanging="567"/>
        <w:jc w:val="both"/>
        <w:rPr>
          <w:rFonts w:ascii="Arial" w:hAnsi="Arial" w:cs="Arial"/>
          <w:sz w:val="24"/>
          <w:szCs w:val="24"/>
        </w:rPr>
      </w:pPr>
      <w:r w:rsidRPr="001875B9">
        <w:rPr>
          <w:rFonts w:ascii="Arial" w:hAnsi="Arial" w:cs="Arial"/>
          <w:sz w:val="24"/>
          <w:szCs w:val="24"/>
        </w:rPr>
        <w:t>(e)</w:t>
      </w:r>
      <w:r w:rsidRPr="001875B9">
        <w:rPr>
          <w:rFonts w:ascii="Arial" w:hAnsi="Arial" w:cs="Arial"/>
          <w:sz w:val="24"/>
          <w:szCs w:val="24"/>
        </w:rPr>
        <w:tab/>
      </w:r>
      <w:r w:rsidR="00CD7100" w:rsidRPr="00E65D67">
        <w:rPr>
          <w:rFonts w:ascii="Arial" w:hAnsi="Arial" w:cs="Arial"/>
          <w:sz w:val="24"/>
          <w:szCs w:val="24"/>
        </w:rPr>
        <w:t>the respondent is directed to pay the applicant’s costs of the application.</w:t>
      </w:r>
    </w:p>
    <w:p w14:paraId="5B3BF5E1" w14:textId="5EA9EF27" w:rsidR="00CD7100" w:rsidRDefault="00CD7100" w:rsidP="00CD7100">
      <w:pPr>
        <w:spacing w:line="360" w:lineRule="auto"/>
        <w:rPr>
          <w:rFonts w:ascii="Arial" w:hAnsi="Arial" w:cs="Arial"/>
          <w:sz w:val="24"/>
          <w:szCs w:val="24"/>
        </w:rPr>
      </w:pPr>
    </w:p>
    <w:p w14:paraId="3848A0BB" w14:textId="554AFF8C" w:rsidR="00CD7100" w:rsidRDefault="00CD7100" w:rsidP="00CD7100">
      <w:pPr>
        <w:spacing w:line="360" w:lineRule="auto"/>
        <w:rPr>
          <w:rFonts w:ascii="Arial" w:hAnsi="Arial" w:cs="Arial"/>
          <w:sz w:val="24"/>
          <w:szCs w:val="24"/>
        </w:rPr>
      </w:pPr>
    </w:p>
    <w:p w14:paraId="393A80FE" w14:textId="1F1AE599" w:rsidR="00CD7100" w:rsidRDefault="00CD7100" w:rsidP="00F71D96">
      <w:pPr>
        <w:spacing w:line="240" w:lineRule="auto"/>
        <w:jc w:val="both"/>
        <w:rPr>
          <w:rFonts w:ascii="Arial" w:hAnsi="Arial" w:cs="Arial"/>
          <w:sz w:val="24"/>
          <w:szCs w:val="24"/>
        </w:rPr>
      </w:pPr>
      <w:r>
        <w:rPr>
          <w:rFonts w:ascii="Arial" w:hAnsi="Arial" w:cs="Arial"/>
          <w:sz w:val="24"/>
          <w:szCs w:val="24"/>
        </w:rPr>
        <w:t>_________________________</w:t>
      </w:r>
    </w:p>
    <w:p w14:paraId="65E6DDE5" w14:textId="6B43A5BF" w:rsidR="00CD7100" w:rsidRPr="00CD7100" w:rsidRDefault="00CD7100" w:rsidP="00F71D96">
      <w:pPr>
        <w:spacing w:line="240" w:lineRule="auto"/>
        <w:jc w:val="both"/>
        <w:rPr>
          <w:rFonts w:ascii="Arial" w:hAnsi="Arial" w:cs="Arial"/>
          <w:b/>
          <w:bCs/>
          <w:sz w:val="24"/>
          <w:szCs w:val="24"/>
        </w:rPr>
      </w:pPr>
      <w:r w:rsidRPr="00CD7100">
        <w:rPr>
          <w:rFonts w:ascii="Arial" w:hAnsi="Arial" w:cs="Arial"/>
          <w:b/>
          <w:bCs/>
          <w:sz w:val="24"/>
          <w:szCs w:val="24"/>
        </w:rPr>
        <w:t>JGA LAING</w:t>
      </w:r>
    </w:p>
    <w:p w14:paraId="1D3A7338" w14:textId="1898651E" w:rsidR="00CD7100" w:rsidRDefault="00CD7100" w:rsidP="00F71D96">
      <w:pPr>
        <w:spacing w:line="240" w:lineRule="auto"/>
        <w:jc w:val="both"/>
        <w:rPr>
          <w:rFonts w:ascii="Arial" w:hAnsi="Arial" w:cs="Arial"/>
          <w:b/>
          <w:bCs/>
          <w:sz w:val="24"/>
          <w:szCs w:val="24"/>
        </w:rPr>
      </w:pPr>
      <w:r w:rsidRPr="00CD7100">
        <w:rPr>
          <w:rFonts w:ascii="Arial" w:hAnsi="Arial" w:cs="Arial"/>
          <w:b/>
          <w:bCs/>
          <w:sz w:val="24"/>
          <w:szCs w:val="24"/>
        </w:rPr>
        <w:t>JUDGE OF THE HIGH COURT</w:t>
      </w:r>
    </w:p>
    <w:p w14:paraId="296BF895" w14:textId="06DB579E" w:rsidR="00F71D96" w:rsidRDefault="00F71D96" w:rsidP="00F71D96">
      <w:pPr>
        <w:spacing w:line="240" w:lineRule="auto"/>
        <w:jc w:val="both"/>
        <w:rPr>
          <w:rFonts w:ascii="Arial" w:hAnsi="Arial" w:cs="Arial"/>
          <w:b/>
          <w:bCs/>
          <w:sz w:val="24"/>
          <w:szCs w:val="24"/>
        </w:rPr>
      </w:pPr>
    </w:p>
    <w:p w14:paraId="27BCF43C" w14:textId="1517F938" w:rsidR="00F71D96" w:rsidRPr="00F71D96" w:rsidRDefault="00F71D96" w:rsidP="00F71D96">
      <w:pPr>
        <w:spacing w:line="240" w:lineRule="auto"/>
        <w:jc w:val="both"/>
        <w:rPr>
          <w:rFonts w:ascii="Arial" w:hAnsi="Arial" w:cs="Arial"/>
          <w:bCs/>
          <w:sz w:val="24"/>
          <w:szCs w:val="24"/>
        </w:rPr>
      </w:pPr>
      <w:r w:rsidRPr="00F71D96">
        <w:rPr>
          <w:rFonts w:ascii="Arial" w:hAnsi="Arial" w:cs="Arial"/>
          <w:bCs/>
          <w:sz w:val="24"/>
          <w:szCs w:val="24"/>
        </w:rPr>
        <w:t xml:space="preserve">APPEARANCE </w:t>
      </w:r>
    </w:p>
    <w:p w14:paraId="53C09D87" w14:textId="5D6193FA" w:rsidR="00F71D96" w:rsidRDefault="00F71D96" w:rsidP="00F71D96">
      <w:pPr>
        <w:spacing w:line="240" w:lineRule="auto"/>
        <w:ind w:left="3600" w:hanging="3600"/>
        <w:jc w:val="both"/>
        <w:rPr>
          <w:rFonts w:ascii="Arial" w:hAnsi="Arial" w:cs="Arial"/>
          <w:bCs/>
          <w:sz w:val="24"/>
          <w:szCs w:val="24"/>
        </w:rPr>
      </w:pPr>
      <w:r w:rsidRPr="00F71D96">
        <w:rPr>
          <w:rFonts w:ascii="Arial" w:hAnsi="Arial" w:cs="Arial"/>
          <w:bCs/>
          <w:sz w:val="24"/>
          <w:szCs w:val="24"/>
        </w:rPr>
        <w:t>For the applicant:</w:t>
      </w:r>
      <w:r>
        <w:rPr>
          <w:rFonts w:ascii="Arial" w:hAnsi="Arial" w:cs="Arial"/>
          <w:bCs/>
          <w:sz w:val="24"/>
          <w:szCs w:val="24"/>
        </w:rPr>
        <w:tab/>
      </w:r>
      <w:r w:rsidRPr="00F71D96">
        <w:rPr>
          <w:rFonts w:ascii="Arial" w:hAnsi="Arial" w:cs="Arial"/>
          <w:bCs/>
          <w:sz w:val="24"/>
          <w:szCs w:val="24"/>
        </w:rPr>
        <w:t>Adv Mduba, instructed by Mbaleni &amp; Associates, East London.</w:t>
      </w:r>
    </w:p>
    <w:p w14:paraId="0376C7A0" w14:textId="3AB1ECD1" w:rsidR="00C21C91" w:rsidRPr="00F71D96" w:rsidRDefault="00C21C91" w:rsidP="00F71D96">
      <w:pPr>
        <w:spacing w:line="240" w:lineRule="auto"/>
        <w:ind w:left="3600" w:hanging="3600"/>
        <w:jc w:val="both"/>
        <w:rPr>
          <w:rFonts w:ascii="Arial" w:hAnsi="Arial" w:cs="Arial"/>
          <w:bCs/>
          <w:sz w:val="24"/>
          <w:szCs w:val="24"/>
        </w:rPr>
      </w:pPr>
      <w:r>
        <w:rPr>
          <w:rFonts w:ascii="Arial" w:hAnsi="Arial" w:cs="Arial"/>
          <w:bCs/>
          <w:sz w:val="24"/>
          <w:szCs w:val="24"/>
        </w:rPr>
        <w:t>For the respondent:</w:t>
      </w:r>
      <w:r>
        <w:rPr>
          <w:rFonts w:ascii="Arial" w:hAnsi="Arial" w:cs="Arial"/>
          <w:bCs/>
          <w:sz w:val="24"/>
          <w:szCs w:val="24"/>
        </w:rPr>
        <w:tab/>
        <w:t xml:space="preserve">No appearance. </w:t>
      </w:r>
    </w:p>
    <w:p w14:paraId="1359EDFC" w14:textId="595B4BA6" w:rsidR="00F71D96" w:rsidRPr="00F71D96" w:rsidRDefault="00F71D96" w:rsidP="00F71D96">
      <w:pPr>
        <w:spacing w:line="240" w:lineRule="auto"/>
        <w:jc w:val="both"/>
        <w:rPr>
          <w:rFonts w:ascii="Arial" w:hAnsi="Arial" w:cs="Arial"/>
          <w:bCs/>
          <w:sz w:val="24"/>
          <w:szCs w:val="24"/>
        </w:rPr>
      </w:pPr>
      <w:r w:rsidRPr="00F71D96">
        <w:rPr>
          <w:rFonts w:ascii="Arial" w:hAnsi="Arial" w:cs="Arial"/>
          <w:bCs/>
          <w:sz w:val="24"/>
          <w:szCs w:val="24"/>
        </w:rPr>
        <w:t>Date of hearing:</w:t>
      </w:r>
      <w:r w:rsidRPr="00F71D96">
        <w:rPr>
          <w:rFonts w:ascii="Arial" w:hAnsi="Arial" w:cs="Arial"/>
          <w:bCs/>
          <w:sz w:val="24"/>
          <w:szCs w:val="24"/>
        </w:rPr>
        <w:tab/>
      </w:r>
      <w:r w:rsidRPr="00F71D96">
        <w:rPr>
          <w:rFonts w:ascii="Arial" w:hAnsi="Arial" w:cs="Arial"/>
          <w:bCs/>
          <w:sz w:val="24"/>
          <w:szCs w:val="24"/>
        </w:rPr>
        <w:tab/>
      </w:r>
      <w:r>
        <w:rPr>
          <w:rFonts w:ascii="Arial" w:hAnsi="Arial" w:cs="Arial"/>
          <w:bCs/>
          <w:sz w:val="24"/>
          <w:szCs w:val="24"/>
        </w:rPr>
        <w:tab/>
      </w:r>
      <w:r w:rsidRPr="00F71D96">
        <w:rPr>
          <w:rFonts w:ascii="Arial" w:hAnsi="Arial" w:cs="Arial"/>
          <w:bCs/>
          <w:sz w:val="24"/>
          <w:szCs w:val="24"/>
        </w:rPr>
        <w:t>13 October 2022.</w:t>
      </w:r>
    </w:p>
    <w:p w14:paraId="2F193679" w14:textId="23764F30" w:rsidR="00F71D96" w:rsidRPr="00F71D96" w:rsidRDefault="00F71D96" w:rsidP="00F71D96">
      <w:pPr>
        <w:spacing w:line="240" w:lineRule="auto"/>
        <w:jc w:val="both"/>
        <w:rPr>
          <w:rFonts w:ascii="Arial" w:hAnsi="Arial" w:cs="Arial"/>
          <w:bCs/>
          <w:sz w:val="24"/>
          <w:szCs w:val="24"/>
        </w:rPr>
      </w:pPr>
      <w:r w:rsidRPr="00F71D96">
        <w:rPr>
          <w:rFonts w:ascii="Arial" w:hAnsi="Arial" w:cs="Arial"/>
          <w:bCs/>
          <w:sz w:val="24"/>
          <w:szCs w:val="24"/>
        </w:rPr>
        <w:t>Date of delivery of judgment:</w:t>
      </w:r>
      <w:r w:rsidRPr="00F71D96">
        <w:rPr>
          <w:rFonts w:ascii="Arial" w:hAnsi="Arial" w:cs="Arial"/>
          <w:bCs/>
          <w:sz w:val="24"/>
          <w:szCs w:val="24"/>
        </w:rPr>
        <w:tab/>
        <w:t>31 January 2023</w:t>
      </w:r>
    </w:p>
    <w:p w14:paraId="4CA64995" w14:textId="220A7EED" w:rsidR="00F56388" w:rsidRPr="00FC5C09" w:rsidRDefault="0011373D" w:rsidP="00FC5C09">
      <w:pPr>
        <w:spacing w:line="360" w:lineRule="auto"/>
        <w:rPr>
          <w:rFonts w:ascii="Arial" w:hAnsi="Arial" w:cs="Arial"/>
          <w:sz w:val="24"/>
          <w:szCs w:val="24"/>
        </w:rPr>
      </w:pPr>
      <w:r>
        <w:rPr>
          <w:rFonts w:ascii="Arial" w:hAnsi="Arial" w:cs="Arial"/>
          <w:sz w:val="24"/>
          <w:szCs w:val="24"/>
        </w:rPr>
        <w:t xml:space="preserve"> </w:t>
      </w:r>
    </w:p>
    <w:sectPr w:rsidR="00F56388" w:rsidRPr="00FC5C09" w:rsidSect="001875B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901D2" w14:textId="77777777" w:rsidR="0047386A" w:rsidRDefault="0047386A" w:rsidP="004C44F2">
      <w:pPr>
        <w:spacing w:after="0" w:line="240" w:lineRule="auto"/>
      </w:pPr>
      <w:r>
        <w:separator/>
      </w:r>
    </w:p>
  </w:endnote>
  <w:endnote w:type="continuationSeparator" w:id="0">
    <w:p w14:paraId="063B133F" w14:textId="77777777" w:rsidR="0047386A" w:rsidRDefault="0047386A" w:rsidP="004C44F2">
      <w:pPr>
        <w:spacing w:after="0" w:line="240" w:lineRule="auto"/>
      </w:pPr>
      <w:r>
        <w:continuationSeparator/>
      </w:r>
    </w:p>
  </w:endnote>
  <w:endnote w:type="continuationNotice" w:id="1">
    <w:p w14:paraId="6857326E" w14:textId="77777777" w:rsidR="0047386A" w:rsidRDefault="00473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059C" w14:textId="77777777" w:rsidR="0047386A" w:rsidRDefault="0047386A" w:rsidP="004C44F2">
      <w:pPr>
        <w:spacing w:after="0" w:line="240" w:lineRule="auto"/>
      </w:pPr>
      <w:r>
        <w:separator/>
      </w:r>
    </w:p>
  </w:footnote>
  <w:footnote w:type="continuationSeparator" w:id="0">
    <w:p w14:paraId="099DDC3A" w14:textId="77777777" w:rsidR="0047386A" w:rsidRDefault="0047386A" w:rsidP="004C44F2">
      <w:pPr>
        <w:spacing w:after="0" w:line="240" w:lineRule="auto"/>
      </w:pPr>
      <w:r>
        <w:continuationSeparator/>
      </w:r>
    </w:p>
  </w:footnote>
  <w:footnote w:type="continuationNotice" w:id="1">
    <w:p w14:paraId="5D13E5E6" w14:textId="77777777" w:rsidR="0047386A" w:rsidRDefault="0047386A">
      <w:pPr>
        <w:spacing w:after="0" w:line="240" w:lineRule="auto"/>
      </w:pPr>
    </w:p>
  </w:footnote>
  <w:footnote w:id="2">
    <w:p w14:paraId="13EAB255" w14:textId="2CDA83CD" w:rsidR="000575CB" w:rsidRPr="000575CB" w:rsidRDefault="000575CB" w:rsidP="001875B9">
      <w:pPr>
        <w:pStyle w:val="FootnoteText"/>
        <w:jc w:val="both"/>
        <w:rPr>
          <w:lang w:val="en-US"/>
        </w:rPr>
      </w:pPr>
      <w:r>
        <w:rPr>
          <w:rStyle w:val="FootnoteReference"/>
        </w:rPr>
        <w:footnoteRef/>
      </w:r>
      <w:r>
        <w:t xml:space="preserve"> </w:t>
      </w:r>
      <w:r w:rsidR="000C15E4">
        <w:t xml:space="preserve">See </w:t>
      </w:r>
      <w:r w:rsidR="00A51D4B" w:rsidRPr="00E963F2">
        <w:rPr>
          <w:i/>
          <w:iCs/>
        </w:rPr>
        <w:t xml:space="preserve">Monkwe Dietetics Services (Pty) Ltd </w:t>
      </w:r>
      <w:r w:rsidR="00635FAF" w:rsidRPr="00E963F2">
        <w:rPr>
          <w:i/>
          <w:iCs/>
        </w:rPr>
        <w:t xml:space="preserve">and others v MEC, Department of Education and </w:t>
      </w:r>
      <w:r w:rsidR="007D3232" w:rsidRPr="00E963F2">
        <w:rPr>
          <w:i/>
          <w:iCs/>
        </w:rPr>
        <w:t>an</w:t>
      </w:r>
      <w:r w:rsidR="00635FAF" w:rsidRPr="00E963F2">
        <w:rPr>
          <w:i/>
          <w:iCs/>
        </w:rPr>
        <w:t>other</w:t>
      </w:r>
      <w:r w:rsidR="007D3232">
        <w:t xml:space="preserve"> (4663/2021) </w:t>
      </w:r>
      <w:r w:rsidR="00E963F2">
        <w:t>[2022] ZALMPPHC 12 (22 February 2022), at paragraph [6].</w:t>
      </w:r>
    </w:p>
  </w:footnote>
  <w:footnote w:id="3">
    <w:p w14:paraId="0F0C1269" w14:textId="21397F96" w:rsidR="00A6037B" w:rsidRPr="00A6037B" w:rsidRDefault="00A6037B" w:rsidP="001875B9">
      <w:pPr>
        <w:pStyle w:val="FootnoteText"/>
        <w:jc w:val="both"/>
        <w:rPr>
          <w:lang w:val="en-US"/>
        </w:rPr>
      </w:pPr>
      <w:r>
        <w:rPr>
          <w:rStyle w:val="FootnoteReference"/>
        </w:rPr>
        <w:footnoteRef/>
      </w:r>
      <w:r>
        <w:t xml:space="preserve"> </w:t>
      </w:r>
      <w:r w:rsidRPr="00A6037B">
        <w:t>2021 (5) SA 619 (ECM)</w:t>
      </w:r>
      <w:r w:rsidR="00C8355E">
        <w:t>.</w:t>
      </w:r>
    </w:p>
  </w:footnote>
  <w:footnote w:id="4">
    <w:p w14:paraId="66823176" w14:textId="4AA16309" w:rsidR="00EF6D21" w:rsidRPr="00EF6D21" w:rsidRDefault="00EF6D21" w:rsidP="001875B9">
      <w:pPr>
        <w:pStyle w:val="FootnoteText"/>
        <w:jc w:val="both"/>
        <w:rPr>
          <w:lang w:val="en-US"/>
        </w:rPr>
      </w:pPr>
      <w:r>
        <w:rPr>
          <w:rStyle w:val="FootnoteReference"/>
        </w:rPr>
        <w:footnoteRef/>
      </w:r>
      <w:r>
        <w:t xml:space="preserve"> </w:t>
      </w:r>
      <w:r>
        <w:rPr>
          <w:lang w:val="en-US"/>
        </w:rPr>
        <w:t>At paragraph [10].</w:t>
      </w:r>
    </w:p>
  </w:footnote>
  <w:footnote w:id="5">
    <w:p w14:paraId="4A4B9EC9" w14:textId="7EDD0A34" w:rsidR="00EC1C90" w:rsidRPr="00EC1C90" w:rsidRDefault="00EC1C90" w:rsidP="001875B9">
      <w:pPr>
        <w:pStyle w:val="FootnoteText"/>
        <w:jc w:val="both"/>
        <w:rPr>
          <w:lang w:val="en-US"/>
        </w:rPr>
      </w:pPr>
      <w:r>
        <w:rPr>
          <w:rStyle w:val="FootnoteReference"/>
        </w:rPr>
        <w:footnoteRef/>
      </w:r>
      <w:r>
        <w:t xml:space="preserve"> </w:t>
      </w:r>
      <w:r>
        <w:rPr>
          <w:lang w:val="en-US"/>
        </w:rPr>
        <w:t>The respondent has merel</w:t>
      </w:r>
      <w:r w:rsidR="00067541">
        <w:rPr>
          <w:lang w:val="en-US"/>
        </w:rPr>
        <w:t xml:space="preserve">y objected to the applicant’s non-compliance with rule 41A. However, it is evident from the </w:t>
      </w:r>
      <w:r w:rsidR="00D039B1">
        <w:rPr>
          <w:lang w:val="en-US"/>
        </w:rPr>
        <w:t xml:space="preserve">underlying correspondence between the attorneys that </w:t>
      </w:r>
      <w:r w:rsidR="00E81C76">
        <w:rPr>
          <w:lang w:val="en-US"/>
        </w:rPr>
        <w:t xml:space="preserve">non-service of </w:t>
      </w:r>
      <w:r w:rsidR="00D039B1">
        <w:rPr>
          <w:lang w:val="en-US"/>
        </w:rPr>
        <w:t xml:space="preserve">the notice contemplated </w:t>
      </w:r>
      <w:r w:rsidR="00E81C76">
        <w:rPr>
          <w:lang w:val="en-US"/>
        </w:rPr>
        <w:t xml:space="preserve">under sub-rule (2) </w:t>
      </w:r>
      <w:r w:rsidR="00D653A4">
        <w:rPr>
          <w:lang w:val="en-US"/>
        </w:rPr>
        <w:t>is the issue in question.</w:t>
      </w:r>
    </w:p>
  </w:footnote>
  <w:footnote w:id="6">
    <w:p w14:paraId="0C6FA633" w14:textId="71C26B05" w:rsidR="001555A9" w:rsidRPr="001555A9" w:rsidRDefault="001555A9" w:rsidP="001875B9">
      <w:pPr>
        <w:pStyle w:val="FootnoteText"/>
        <w:jc w:val="both"/>
        <w:rPr>
          <w:lang w:val="en-US"/>
        </w:rPr>
      </w:pPr>
      <w:r>
        <w:rPr>
          <w:rStyle w:val="FootnoteReference"/>
        </w:rPr>
        <w:footnoteRef/>
      </w:r>
      <w:r>
        <w:t xml:space="preserve"> </w:t>
      </w:r>
      <w:r>
        <w:rPr>
          <w:lang w:val="en-US"/>
        </w:rPr>
        <w:t>1949 (3) SA 1155 (T).</w:t>
      </w:r>
    </w:p>
  </w:footnote>
  <w:footnote w:id="7">
    <w:p w14:paraId="529BE7E2" w14:textId="6D1BB7B7" w:rsidR="00904F42" w:rsidRPr="00904F42" w:rsidRDefault="00904F42" w:rsidP="001875B9">
      <w:pPr>
        <w:pStyle w:val="FootnoteText"/>
        <w:jc w:val="both"/>
        <w:rPr>
          <w:lang w:val="en-US"/>
        </w:rPr>
      </w:pPr>
      <w:r>
        <w:rPr>
          <w:rStyle w:val="FootnoteReference"/>
        </w:rPr>
        <w:footnoteRef/>
      </w:r>
      <w:r>
        <w:t xml:space="preserve"> </w:t>
      </w:r>
      <w:r>
        <w:rPr>
          <w:lang w:val="en-US"/>
        </w:rPr>
        <w:t>At 1163.</w:t>
      </w:r>
    </w:p>
  </w:footnote>
  <w:footnote w:id="8">
    <w:p w14:paraId="053F6835" w14:textId="4382867A" w:rsidR="00D11B84" w:rsidRPr="00D11B84" w:rsidRDefault="00D11B84" w:rsidP="001875B9">
      <w:pPr>
        <w:pStyle w:val="FootnoteText"/>
        <w:jc w:val="both"/>
        <w:rPr>
          <w:lang w:val="en-US"/>
        </w:rPr>
      </w:pPr>
      <w:r>
        <w:rPr>
          <w:rStyle w:val="FootnoteReference"/>
        </w:rPr>
        <w:footnoteRef/>
      </w:r>
      <w:r>
        <w:t xml:space="preserve"> </w:t>
      </w:r>
      <w:r w:rsidRPr="00D11B84">
        <w:rPr>
          <w:lang w:val="en-GB"/>
        </w:rPr>
        <w:t xml:space="preserve">See </w:t>
      </w:r>
      <w:r w:rsidRPr="00D11B84">
        <w:rPr>
          <w:i/>
          <w:lang w:val="en-GB"/>
        </w:rPr>
        <w:t>King William’s Town Transitional Local Council v Border Alliance Taxi Association (BATA)</w:t>
      </w:r>
      <w:r w:rsidRPr="00D11B84">
        <w:rPr>
          <w:lang w:val="en-GB"/>
        </w:rPr>
        <w:t xml:space="preserve"> 2002 (4) SA 152 (E), 156I-J.</w:t>
      </w:r>
    </w:p>
  </w:footnote>
  <w:footnote w:id="9">
    <w:p w14:paraId="3FA58450" w14:textId="29984E36" w:rsidR="00D22716" w:rsidRPr="00D22716" w:rsidRDefault="00D22716" w:rsidP="001875B9">
      <w:pPr>
        <w:pStyle w:val="FootnoteText"/>
        <w:jc w:val="both"/>
        <w:rPr>
          <w:lang w:val="en-US"/>
        </w:rPr>
      </w:pPr>
      <w:r>
        <w:rPr>
          <w:rStyle w:val="FootnoteReference"/>
        </w:rPr>
        <w:footnoteRef/>
      </w:r>
      <w:r>
        <w:t xml:space="preserve"> </w:t>
      </w:r>
      <w:r w:rsidRPr="00D22716">
        <w:rPr>
          <w:lang w:val="en-GB"/>
        </w:rPr>
        <w:t>See</w:t>
      </w:r>
      <w:r w:rsidRPr="00D22716">
        <w:rPr>
          <w:i/>
          <w:lang w:val="en-GB"/>
        </w:rPr>
        <w:t xml:space="preserve"> Plascon-Evans Paints Ltd v Van Riebeeck Paints (Pty) Ltd</w:t>
      </w:r>
      <w:r w:rsidRPr="00D22716">
        <w:rPr>
          <w:lang w:val="en-GB"/>
        </w:rPr>
        <w:t xml:space="preserve"> 1984 (3) SA 623 (A), at 634H-635B</w:t>
      </w:r>
      <w:r w:rsidR="00875E1A">
        <w:rPr>
          <w:lang w:val="en-GB"/>
        </w:rPr>
        <w:t xml:space="preserve">. Furthermore, see the discussion </w:t>
      </w:r>
      <w:r w:rsidR="00D468CA">
        <w:rPr>
          <w:lang w:val="en-GB"/>
        </w:rPr>
        <w:t xml:space="preserve">about disputes of fact on the papers and the possible referral thereof for the hearing of oral evidence </w:t>
      </w:r>
      <w:r w:rsidR="00875E1A">
        <w:rPr>
          <w:lang w:val="en-GB"/>
        </w:rPr>
        <w:t xml:space="preserve">in Van Loggerenberg, </w:t>
      </w:r>
      <w:r w:rsidR="00875E1A" w:rsidRPr="00D468CA">
        <w:rPr>
          <w:i/>
          <w:iCs/>
          <w:lang w:val="en-GB"/>
        </w:rPr>
        <w:t>Erasmus: Superior Court Practice</w:t>
      </w:r>
      <w:r w:rsidR="00875E1A">
        <w:rPr>
          <w:lang w:val="en-GB"/>
        </w:rPr>
        <w:t xml:space="preserve"> (</w:t>
      </w:r>
      <w:r w:rsidR="00D468CA">
        <w:rPr>
          <w:lang w:val="en-GB"/>
        </w:rPr>
        <w:t>RS 15, 2020), at D1-72-6.</w:t>
      </w:r>
    </w:p>
  </w:footnote>
  <w:footnote w:id="10">
    <w:p w14:paraId="46510A0A" w14:textId="5347F006" w:rsidR="008A78FF" w:rsidRPr="00976E0F" w:rsidRDefault="008A78FF" w:rsidP="001875B9">
      <w:pPr>
        <w:pStyle w:val="FootnoteText"/>
        <w:jc w:val="both"/>
        <w:rPr>
          <w:lang w:val="en-GB"/>
        </w:rPr>
      </w:pPr>
      <w:r>
        <w:rPr>
          <w:rStyle w:val="FootnoteReference"/>
        </w:rPr>
        <w:footnoteRef/>
      </w:r>
      <w:r>
        <w:t xml:space="preserve"> </w:t>
      </w:r>
      <w:r>
        <w:rPr>
          <w:lang w:val="en-GB"/>
        </w:rPr>
        <w:t xml:space="preserve">See </w:t>
      </w:r>
      <w:r w:rsidRPr="00976E0F">
        <w:rPr>
          <w:i/>
          <w:lang w:val="en-GB"/>
        </w:rPr>
        <w:t>Fulton v Nunn</w:t>
      </w:r>
      <w:r>
        <w:rPr>
          <w:lang w:val="en-GB"/>
        </w:rPr>
        <w:t xml:space="preserve"> 1904 TS 123; </w:t>
      </w:r>
      <w:r w:rsidRPr="00976E0F">
        <w:rPr>
          <w:i/>
          <w:lang w:val="en-GB"/>
        </w:rPr>
        <w:t>Tiopaizi v Bulawayo Municipality</w:t>
      </w:r>
      <w:r>
        <w:rPr>
          <w:lang w:val="en-GB"/>
        </w:rPr>
        <w:t xml:space="preserve"> 1923 AD 317</w:t>
      </w:r>
      <w:r w:rsidR="007D758C">
        <w:rPr>
          <w:lang w:val="en-GB"/>
        </w:rPr>
        <w:t>. M</w:t>
      </w:r>
      <w:r>
        <w:rPr>
          <w:lang w:val="en-GB"/>
        </w:rPr>
        <w:t>ore recently</w:t>
      </w:r>
      <w:r w:rsidR="007D758C">
        <w:rPr>
          <w:lang w:val="en-GB"/>
        </w:rPr>
        <w:t xml:space="preserve">, </w:t>
      </w:r>
      <w:r>
        <w:rPr>
          <w:lang w:val="en-GB"/>
        </w:rPr>
        <w:t xml:space="preserve">in this division, </w:t>
      </w:r>
      <w:r w:rsidR="007D758C">
        <w:rPr>
          <w:lang w:val="en-GB"/>
        </w:rPr>
        <w:t xml:space="preserve">see </w:t>
      </w:r>
      <w:r w:rsidRPr="00976E0F">
        <w:rPr>
          <w:i/>
          <w:lang w:val="en-GB"/>
        </w:rPr>
        <w:t>MEC for Department of Public Works and Infrastructure, Eastern Cape v Jane Margaret Fourie and another</w:t>
      </w:r>
      <w:r>
        <w:rPr>
          <w:lang w:val="en-GB"/>
        </w:rPr>
        <w:t xml:space="preserve"> (Eastern Cape Local Division, Mthatha, Case no. EL 1297/2020, 16 September 2021, unreported), at</w:t>
      </w:r>
      <w:r w:rsidR="007D758C">
        <w:rPr>
          <w:lang w:val="en-GB"/>
        </w:rPr>
        <w:t xml:space="preserve"> paragraph</w:t>
      </w:r>
      <w:r>
        <w:rPr>
          <w:lang w:val="en-GB"/>
        </w:rPr>
        <w:t xml:space="preserve"> [34]</w:t>
      </w:r>
      <w:r w:rsidR="007D758C">
        <w:rPr>
          <w:lang w:val="en-GB"/>
        </w:rPr>
        <w:t xml:space="preserve">; </w:t>
      </w:r>
      <w:r w:rsidR="007D758C" w:rsidRPr="007D758C">
        <w:rPr>
          <w:i/>
          <w:iCs/>
          <w:lang w:val="en-GB"/>
        </w:rPr>
        <w:t>MEC, Department of Public Works and Infrastructure, Eastern Cape Province v Pretorius and another</w:t>
      </w:r>
      <w:r w:rsidR="007D758C">
        <w:rPr>
          <w:lang w:val="en-GB"/>
        </w:rPr>
        <w:t xml:space="preserve"> (CA 09/2022) [2022] ZAECMHC 17 (26 July 2022), at paragraph [43].</w:t>
      </w:r>
    </w:p>
  </w:footnote>
  <w:footnote w:id="11">
    <w:p w14:paraId="3BB688C4" w14:textId="7F8788DB" w:rsidR="000E176A" w:rsidRPr="000E176A" w:rsidRDefault="000E176A" w:rsidP="001875B9">
      <w:pPr>
        <w:pStyle w:val="FootnoteText"/>
        <w:jc w:val="both"/>
        <w:rPr>
          <w:lang w:val="en-US"/>
        </w:rPr>
      </w:pPr>
      <w:r>
        <w:rPr>
          <w:rStyle w:val="FootnoteReference"/>
        </w:rPr>
        <w:footnoteRef/>
      </w:r>
      <w:r>
        <w:t xml:space="preserve"> </w:t>
      </w:r>
      <w:r w:rsidRPr="008A78FF">
        <w:rPr>
          <w:lang w:val="en-GB"/>
        </w:rPr>
        <w:t>(CA 317/17) [2018] ZAECGHC 64 (10 August 2018)</w:t>
      </w:r>
      <w:r>
        <w:rPr>
          <w:lang w:val="en-GB"/>
        </w:rPr>
        <w:t>.</w:t>
      </w:r>
    </w:p>
  </w:footnote>
  <w:footnote w:id="12">
    <w:p w14:paraId="7C7BC777" w14:textId="53D656DE" w:rsidR="000E176A" w:rsidRPr="000E176A" w:rsidRDefault="000E176A" w:rsidP="001875B9">
      <w:pPr>
        <w:pStyle w:val="FootnoteText"/>
        <w:jc w:val="both"/>
        <w:rPr>
          <w:lang w:val="en-US"/>
        </w:rPr>
      </w:pPr>
      <w:r>
        <w:rPr>
          <w:rStyle w:val="FootnoteReference"/>
        </w:rPr>
        <w:footnoteRef/>
      </w:r>
      <w:r>
        <w:t xml:space="preserve"> </w:t>
      </w:r>
      <w:r>
        <w:rPr>
          <w:lang w:val="en-US"/>
        </w:rPr>
        <w:t>At paragraph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998224"/>
      <w:docPartObj>
        <w:docPartGallery w:val="Page Numbers (Top of Page)"/>
        <w:docPartUnique/>
      </w:docPartObj>
    </w:sdtPr>
    <w:sdtEndPr>
      <w:rPr>
        <w:noProof/>
      </w:rPr>
    </w:sdtEndPr>
    <w:sdtContent>
      <w:p w14:paraId="5CEBDBA4" w14:textId="62BFD052" w:rsidR="001875B9" w:rsidRDefault="001875B9">
        <w:pPr>
          <w:pStyle w:val="Header"/>
          <w:jc w:val="center"/>
        </w:pPr>
        <w:r>
          <w:fldChar w:fldCharType="begin"/>
        </w:r>
        <w:r>
          <w:instrText xml:space="preserve"> PAGE   \* MERGEFORMAT </w:instrText>
        </w:r>
        <w:r>
          <w:fldChar w:fldCharType="separate"/>
        </w:r>
        <w:r w:rsidR="00E65D67">
          <w:rPr>
            <w:noProof/>
          </w:rPr>
          <w:t>2</w:t>
        </w:r>
        <w:r>
          <w:rPr>
            <w:noProof/>
          </w:rPr>
          <w:fldChar w:fldCharType="end"/>
        </w:r>
      </w:p>
    </w:sdtContent>
  </w:sdt>
  <w:p w14:paraId="7C2BF59F" w14:textId="77777777" w:rsidR="001875B9" w:rsidRDefault="001875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6DE"/>
    <w:multiLevelType w:val="hybridMultilevel"/>
    <w:tmpl w:val="2812A984"/>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9762D0"/>
    <w:multiLevelType w:val="hybridMultilevel"/>
    <w:tmpl w:val="0C0C75FE"/>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B904A0"/>
    <w:multiLevelType w:val="hybridMultilevel"/>
    <w:tmpl w:val="BE680EAA"/>
    <w:lvl w:ilvl="0" w:tplc="6EECD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C6755"/>
    <w:multiLevelType w:val="hybridMultilevel"/>
    <w:tmpl w:val="364C5D3C"/>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9"/>
    <w:rsid w:val="00017307"/>
    <w:rsid w:val="00042E3E"/>
    <w:rsid w:val="00043EEE"/>
    <w:rsid w:val="0005249F"/>
    <w:rsid w:val="00055C07"/>
    <w:rsid w:val="000575CB"/>
    <w:rsid w:val="0006332F"/>
    <w:rsid w:val="0006678E"/>
    <w:rsid w:val="00067541"/>
    <w:rsid w:val="000815C1"/>
    <w:rsid w:val="0008200B"/>
    <w:rsid w:val="000A5152"/>
    <w:rsid w:val="000A5D72"/>
    <w:rsid w:val="000A72CA"/>
    <w:rsid w:val="000B00AF"/>
    <w:rsid w:val="000B2D4A"/>
    <w:rsid w:val="000B544C"/>
    <w:rsid w:val="000C15E4"/>
    <w:rsid w:val="000C4F51"/>
    <w:rsid w:val="000D28E2"/>
    <w:rsid w:val="000D39ED"/>
    <w:rsid w:val="000E176A"/>
    <w:rsid w:val="000E19A3"/>
    <w:rsid w:val="000E4FC1"/>
    <w:rsid w:val="000F0AE8"/>
    <w:rsid w:val="00102FCE"/>
    <w:rsid w:val="001039F3"/>
    <w:rsid w:val="0011373D"/>
    <w:rsid w:val="0012455F"/>
    <w:rsid w:val="001247EB"/>
    <w:rsid w:val="00126E45"/>
    <w:rsid w:val="001333E4"/>
    <w:rsid w:val="00133F03"/>
    <w:rsid w:val="0015064F"/>
    <w:rsid w:val="00153806"/>
    <w:rsid w:val="001555A9"/>
    <w:rsid w:val="001624DC"/>
    <w:rsid w:val="00181B7A"/>
    <w:rsid w:val="001875B9"/>
    <w:rsid w:val="0019475B"/>
    <w:rsid w:val="001A27B3"/>
    <w:rsid w:val="001A6595"/>
    <w:rsid w:val="001A77CC"/>
    <w:rsid w:val="001B0389"/>
    <w:rsid w:val="001B6A75"/>
    <w:rsid w:val="001B7F91"/>
    <w:rsid w:val="001D03CD"/>
    <w:rsid w:val="001D4644"/>
    <w:rsid w:val="001E270E"/>
    <w:rsid w:val="001F2AD8"/>
    <w:rsid w:val="00200C85"/>
    <w:rsid w:val="00207CA7"/>
    <w:rsid w:val="00210FB1"/>
    <w:rsid w:val="002168E9"/>
    <w:rsid w:val="00220E7C"/>
    <w:rsid w:val="00224F0A"/>
    <w:rsid w:val="00227113"/>
    <w:rsid w:val="00241D69"/>
    <w:rsid w:val="0024732E"/>
    <w:rsid w:val="00265758"/>
    <w:rsid w:val="00271A2C"/>
    <w:rsid w:val="00273E0A"/>
    <w:rsid w:val="00282D08"/>
    <w:rsid w:val="00295966"/>
    <w:rsid w:val="00297745"/>
    <w:rsid w:val="002A0C9F"/>
    <w:rsid w:val="002B0CFD"/>
    <w:rsid w:val="002B12D7"/>
    <w:rsid w:val="002C4630"/>
    <w:rsid w:val="00301A0C"/>
    <w:rsid w:val="00302020"/>
    <w:rsid w:val="003028DE"/>
    <w:rsid w:val="00305AFD"/>
    <w:rsid w:val="00310971"/>
    <w:rsid w:val="003261E5"/>
    <w:rsid w:val="00352D02"/>
    <w:rsid w:val="00353ACB"/>
    <w:rsid w:val="0035735E"/>
    <w:rsid w:val="00380733"/>
    <w:rsid w:val="00383691"/>
    <w:rsid w:val="00392BB7"/>
    <w:rsid w:val="003A7173"/>
    <w:rsid w:val="003A7E77"/>
    <w:rsid w:val="003B1F03"/>
    <w:rsid w:val="003B2059"/>
    <w:rsid w:val="003C06E8"/>
    <w:rsid w:val="003C49EF"/>
    <w:rsid w:val="003C5ABF"/>
    <w:rsid w:val="00402662"/>
    <w:rsid w:val="00404E7A"/>
    <w:rsid w:val="0040616F"/>
    <w:rsid w:val="00407D13"/>
    <w:rsid w:val="0041323A"/>
    <w:rsid w:val="00414EA5"/>
    <w:rsid w:val="00424367"/>
    <w:rsid w:val="004252DD"/>
    <w:rsid w:val="00425342"/>
    <w:rsid w:val="0043233E"/>
    <w:rsid w:val="00432D83"/>
    <w:rsid w:val="004528CF"/>
    <w:rsid w:val="00466996"/>
    <w:rsid w:val="004729A7"/>
    <w:rsid w:val="0047386A"/>
    <w:rsid w:val="00476FB2"/>
    <w:rsid w:val="0048479D"/>
    <w:rsid w:val="0049608E"/>
    <w:rsid w:val="00496B7F"/>
    <w:rsid w:val="004B33EC"/>
    <w:rsid w:val="004C44F2"/>
    <w:rsid w:val="004D0284"/>
    <w:rsid w:val="004E40EA"/>
    <w:rsid w:val="004E4D57"/>
    <w:rsid w:val="004F4A23"/>
    <w:rsid w:val="004F4CC4"/>
    <w:rsid w:val="004F550C"/>
    <w:rsid w:val="00503596"/>
    <w:rsid w:val="005109AF"/>
    <w:rsid w:val="00520709"/>
    <w:rsid w:val="005330C9"/>
    <w:rsid w:val="00533FE8"/>
    <w:rsid w:val="005503AA"/>
    <w:rsid w:val="005551FC"/>
    <w:rsid w:val="00555538"/>
    <w:rsid w:val="005575B0"/>
    <w:rsid w:val="00565261"/>
    <w:rsid w:val="005703ED"/>
    <w:rsid w:val="005A2961"/>
    <w:rsid w:val="005A3357"/>
    <w:rsid w:val="005A49E1"/>
    <w:rsid w:val="005A5CD5"/>
    <w:rsid w:val="005B22F6"/>
    <w:rsid w:val="005B3650"/>
    <w:rsid w:val="005C23D8"/>
    <w:rsid w:val="005C47A2"/>
    <w:rsid w:val="005C5120"/>
    <w:rsid w:val="005D6211"/>
    <w:rsid w:val="005E3270"/>
    <w:rsid w:val="005E5F53"/>
    <w:rsid w:val="005E61C9"/>
    <w:rsid w:val="005F3FC9"/>
    <w:rsid w:val="00600920"/>
    <w:rsid w:val="006016FE"/>
    <w:rsid w:val="00606042"/>
    <w:rsid w:val="00610F56"/>
    <w:rsid w:val="00621D05"/>
    <w:rsid w:val="00627D5D"/>
    <w:rsid w:val="00635FAF"/>
    <w:rsid w:val="006375C7"/>
    <w:rsid w:val="00650A65"/>
    <w:rsid w:val="0065415E"/>
    <w:rsid w:val="006551BB"/>
    <w:rsid w:val="00676AA1"/>
    <w:rsid w:val="006830F6"/>
    <w:rsid w:val="006831E1"/>
    <w:rsid w:val="00683210"/>
    <w:rsid w:val="00685DF8"/>
    <w:rsid w:val="00694E6B"/>
    <w:rsid w:val="00695170"/>
    <w:rsid w:val="006A065F"/>
    <w:rsid w:val="006A7AAA"/>
    <w:rsid w:val="006B0AE0"/>
    <w:rsid w:val="006B18C5"/>
    <w:rsid w:val="006B22C1"/>
    <w:rsid w:val="006D25D2"/>
    <w:rsid w:val="006D2658"/>
    <w:rsid w:val="006F0D22"/>
    <w:rsid w:val="006F162D"/>
    <w:rsid w:val="006F2C04"/>
    <w:rsid w:val="00700587"/>
    <w:rsid w:val="0070157C"/>
    <w:rsid w:val="00713201"/>
    <w:rsid w:val="00730234"/>
    <w:rsid w:val="0075455C"/>
    <w:rsid w:val="007601E7"/>
    <w:rsid w:val="007630C8"/>
    <w:rsid w:val="00770C53"/>
    <w:rsid w:val="007812C5"/>
    <w:rsid w:val="00791BFF"/>
    <w:rsid w:val="007940D5"/>
    <w:rsid w:val="007943E7"/>
    <w:rsid w:val="007957E8"/>
    <w:rsid w:val="007A54F0"/>
    <w:rsid w:val="007A7449"/>
    <w:rsid w:val="007B0D5A"/>
    <w:rsid w:val="007B27DA"/>
    <w:rsid w:val="007B7BF2"/>
    <w:rsid w:val="007D3232"/>
    <w:rsid w:val="007D758C"/>
    <w:rsid w:val="007E01F1"/>
    <w:rsid w:val="007F349F"/>
    <w:rsid w:val="00800D31"/>
    <w:rsid w:val="00806C53"/>
    <w:rsid w:val="00812A84"/>
    <w:rsid w:val="0081793F"/>
    <w:rsid w:val="00827B99"/>
    <w:rsid w:val="0085516C"/>
    <w:rsid w:val="00875E1A"/>
    <w:rsid w:val="00877D6E"/>
    <w:rsid w:val="008861A6"/>
    <w:rsid w:val="00887822"/>
    <w:rsid w:val="00890ABC"/>
    <w:rsid w:val="008978CE"/>
    <w:rsid w:val="008A17C5"/>
    <w:rsid w:val="008A78FF"/>
    <w:rsid w:val="008D28B9"/>
    <w:rsid w:val="008D33CE"/>
    <w:rsid w:val="008D4704"/>
    <w:rsid w:val="008E0FCD"/>
    <w:rsid w:val="008E2623"/>
    <w:rsid w:val="008E6B6B"/>
    <w:rsid w:val="008E7D30"/>
    <w:rsid w:val="00904F42"/>
    <w:rsid w:val="00911394"/>
    <w:rsid w:val="009261A3"/>
    <w:rsid w:val="00934E04"/>
    <w:rsid w:val="0093602C"/>
    <w:rsid w:val="00937047"/>
    <w:rsid w:val="00943B70"/>
    <w:rsid w:val="009641F4"/>
    <w:rsid w:val="009642B9"/>
    <w:rsid w:val="009670AC"/>
    <w:rsid w:val="00982343"/>
    <w:rsid w:val="00990AF4"/>
    <w:rsid w:val="009A27F1"/>
    <w:rsid w:val="009A6002"/>
    <w:rsid w:val="009A6351"/>
    <w:rsid w:val="009B38FA"/>
    <w:rsid w:val="009D1508"/>
    <w:rsid w:val="009E0E07"/>
    <w:rsid w:val="00A01F84"/>
    <w:rsid w:val="00A068E5"/>
    <w:rsid w:val="00A150B5"/>
    <w:rsid w:val="00A2754E"/>
    <w:rsid w:val="00A34FC5"/>
    <w:rsid w:val="00A46730"/>
    <w:rsid w:val="00A46A75"/>
    <w:rsid w:val="00A51D4B"/>
    <w:rsid w:val="00A57880"/>
    <w:rsid w:val="00A6037B"/>
    <w:rsid w:val="00A7043F"/>
    <w:rsid w:val="00A70524"/>
    <w:rsid w:val="00A73A84"/>
    <w:rsid w:val="00A77846"/>
    <w:rsid w:val="00A77CFF"/>
    <w:rsid w:val="00A82936"/>
    <w:rsid w:val="00A912BA"/>
    <w:rsid w:val="00AA5787"/>
    <w:rsid w:val="00AB4CDB"/>
    <w:rsid w:val="00AC753B"/>
    <w:rsid w:val="00AD639C"/>
    <w:rsid w:val="00AE4B0B"/>
    <w:rsid w:val="00AF1C3C"/>
    <w:rsid w:val="00AF5721"/>
    <w:rsid w:val="00AF5F1F"/>
    <w:rsid w:val="00B014CB"/>
    <w:rsid w:val="00B044B0"/>
    <w:rsid w:val="00B373E1"/>
    <w:rsid w:val="00B41862"/>
    <w:rsid w:val="00B441C5"/>
    <w:rsid w:val="00B46B84"/>
    <w:rsid w:val="00B53A2B"/>
    <w:rsid w:val="00B57EC5"/>
    <w:rsid w:val="00B70451"/>
    <w:rsid w:val="00B71701"/>
    <w:rsid w:val="00B7527D"/>
    <w:rsid w:val="00B765F5"/>
    <w:rsid w:val="00BA1EE9"/>
    <w:rsid w:val="00BA7CA0"/>
    <w:rsid w:val="00BB0FB1"/>
    <w:rsid w:val="00BB5A3E"/>
    <w:rsid w:val="00BC4752"/>
    <w:rsid w:val="00BD0E3B"/>
    <w:rsid w:val="00BE26A7"/>
    <w:rsid w:val="00BE5397"/>
    <w:rsid w:val="00BF26F2"/>
    <w:rsid w:val="00BF4CB5"/>
    <w:rsid w:val="00C1606D"/>
    <w:rsid w:val="00C162B6"/>
    <w:rsid w:val="00C21C91"/>
    <w:rsid w:val="00C22CF6"/>
    <w:rsid w:val="00C3640E"/>
    <w:rsid w:val="00C37115"/>
    <w:rsid w:val="00C42B28"/>
    <w:rsid w:val="00C44272"/>
    <w:rsid w:val="00C4431F"/>
    <w:rsid w:val="00C453C6"/>
    <w:rsid w:val="00C46C9C"/>
    <w:rsid w:val="00C6077E"/>
    <w:rsid w:val="00C63C69"/>
    <w:rsid w:val="00C64F97"/>
    <w:rsid w:val="00C716BD"/>
    <w:rsid w:val="00C73E4E"/>
    <w:rsid w:val="00C77C99"/>
    <w:rsid w:val="00C8355E"/>
    <w:rsid w:val="00C85591"/>
    <w:rsid w:val="00C87C2A"/>
    <w:rsid w:val="00C90008"/>
    <w:rsid w:val="00C9538A"/>
    <w:rsid w:val="00CA18B4"/>
    <w:rsid w:val="00CA3077"/>
    <w:rsid w:val="00CA4ED7"/>
    <w:rsid w:val="00CB1D97"/>
    <w:rsid w:val="00CC373D"/>
    <w:rsid w:val="00CD7100"/>
    <w:rsid w:val="00CE4F47"/>
    <w:rsid w:val="00CF40C1"/>
    <w:rsid w:val="00CF4FD0"/>
    <w:rsid w:val="00D039B1"/>
    <w:rsid w:val="00D03E67"/>
    <w:rsid w:val="00D063B6"/>
    <w:rsid w:val="00D11B84"/>
    <w:rsid w:val="00D15CEB"/>
    <w:rsid w:val="00D22716"/>
    <w:rsid w:val="00D25C4A"/>
    <w:rsid w:val="00D45007"/>
    <w:rsid w:val="00D468CA"/>
    <w:rsid w:val="00D517CA"/>
    <w:rsid w:val="00D57C97"/>
    <w:rsid w:val="00D647DB"/>
    <w:rsid w:val="00D653A4"/>
    <w:rsid w:val="00D7471C"/>
    <w:rsid w:val="00D825A3"/>
    <w:rsid w:val="00DA07E6"/>
    <w:rsid w:val="00DB31D5"/>
    <w:rsid w:val="00DB584C"/>
    <w:rsid w:val="00DC6475"/>
    <w:rsid w:val="00DD1DBE"/>
    <w:rsid w:val="00DD33BD"/>
    <w:rsid w:val="00DD7F13"/>
    <w:rsid w:val="00DE2695"/>
    <w:rsid w:val="00DF449C"/>
    <w:rsid w:val="00DF55B1"/>
    <w:rsid w:val="00E04C81"/>
    <w:rsid w:val="00E10118"/>
    <w:rsid w:val="00E12F77"/>
    <w:rsid w:val="00E134D0"/>
    <w:rsid w:val="00E14151"/>
    <w:rsid w:val="00E16337"/>
    <w:rsid w:val="00E22BF7"/>
    <w:rsid w:val="00E259C8"/>
    <w:rsid w:val="00E4032B"/>
    <w:rsid w:val="00E42141"/>
    <w:rsid w:val="00E52464"/>
    <w:rsid w:val="00E530A4"/>
    <w:rsid w:val="00E546AA"/>
    <w:rsid w:val="00E554E8"/>
    <w:rsid w:val="00E56136"/>
    <w:rsid w:val="00E65D67"/>
    <w:rsid w:val="00E75D3C"/>
    <w:rsid w:val="00E75E40"/>
    <w:rsid w:val="00E81C76"/>
    <w:rsid w:val="00E8341B"/>
    <w:rsid w:val="00E83AA4"/>
    <w:rsid w:val="00E86380"/>
    <w:rsid w:val="00E91C39"/>
    <w:rsid w:val="00E963F2"/>
    <w:rsid w:val="00EA43C4"/>
    <w:rsid w:val="00EA4804"/>
    <w:rsid w:val="00EB42B2"/>
    <w:rsid w:val="00EC1C90"/>
    <w:rsid w:val="00ED4A61"/>
    <w:rsid w:val="00ED5516"/>
    <w:rsid w:val="00EE1846"/>
    <w:rsid w:val="00EF2086"/>
    <w:rsid w:val="00EF6D21"/>
    <w:rsid w:val="00F028A6"/>
    <w:rsid w:val="00F033C4"/>
    <w:rsid w:val="00F14723"/>
    <w:rsid w:val="00F21588"/>
    <w:rsid w:val="00F23745"/>
    <w:rsid w:val="00F23752"/>
    <w:rsid w:val="00F31110"/>
    <w:rsid w:val="00F3432A"/>
    <w:rsid w:val="00F3559C"/>
    <w:rsid w:val="00F4228F"/>
    <w:rsid w:val="00F476CA"/>
    <w:rsid w:val="00F56388"/>
    <w:rsid w:val="00F60B81"/>
    <w:rsid w:val="00F64983"/>
    <w:rsid w:val="00F71D96"/>
    <w:rsid w:val="00F73D3D"/>
    <w:rsid w:val="00F77BF2"/>
    <w:rsid w:val="00F82F66"/>
    <w:rsid w:val="00F83F65"/>
    <w:rsid w:val="00F900E6"/>
    <w:rsid w:val="00F9645F"/>
    <w:rsid w:val="00FA4052"/>
    <w:rsid w:val="00FA5730"/>
    <w:rsid w:val="00FB3D5D"/>
    <w:rsid w:val="00FC2631"/>
    <w:rsid w:val="00FC5C09"/>
    <w:rsid w:val="00FC67E4"/>
    <w:rsid w:val="00FC7095"/>
    <w:rsid w:val="00FE1734"/>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9629"/>
  <w15:chartTrackingRefBased/>
  <w15:docId w15:val="{5F0E4AB3-CD3B-4CB4-9FF8-CBE4D95E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44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4F2"/>
    <w:rPr>
      <w:sz w:val="20"/>
      <w:szCs w:val="20"/>
      <w:lang w:val="en-ZA"/>
    </w:rPr>
  </w:style>
  <w:style w:type="character" w:styleId="FootnoteReference">
    <w:name w:val="footnote reference"/>
    <w:basedOn w:val="DefaultParagraphFont"/>
    <w:uiPriority w:val="99"/>
    <w:semiHidden/>
    <w:unhideWhenUsed/>
    <w:rsid w:val="004C44F2"/>
    <w:rPr>
      <w:vertAlign w:val="superscript"/>
    </w:rPr>
  </w:style>
  <w:style w:type="paragraph" w:styleId="Header">
    <w:name w:val="header"/>
    <w:basedOn w:val="Normal"/>
    <w:link w:val="HeaderChar"/>
    <w:uiPriority w:val="99"/>
    <w:unhideWhenUsed/>
    <w:rsid w:val="00936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2C"/>
    <w:rPr>
      <w:lang w:val="en-ZA"/>
    </w:rPr>
  </w:style>
  <w:style w:type="paragraph" w:styleId="Footer">
    <w:name w:val="footer"/>
    <w:basedOn w:val="Normal"/>
    <w:link w:val="FooterChar"/>
    <w:uiPriority w:val="99"/>
    <w:unhideWhenUsed/>
    <w:rsid w:val="00936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2C"/>
    <w:rPr>
      <w:lang w:val="en-ZA"/>
    </w:rPr>
  </w:style>
  <w:style w:type="paragraph" w:styleId="ListParagraph">
    <w:name w:val="List Paragraph"/>
    <w:basedOn w:val="Normal"/>
    <w:uiPriority w:val="34"/>
    <w:qFormat/>
    <w:rsid w:val="0093602C"/>
    <w:pPr>
      <w:ind w:left="720"/>
      <w:contextualSpacing/>
    </w:pPr>
  </w:style>
  <w:style w:type="paragraph" w:styleId="Revision">
    <w:name w:val="Revision"/>
    <w:hidden/>
    <w:uiPriority w:val="99"/>
    <w:semiHidden/>
    <w:rsid w:val="00B373E1"/>
    <w:pPr>
      <w:spacing w:after="0" w:line="240" w:lineRule="auto"/>
    </w:pPr>
    <w:rPr>
      <w:lang w:val="en-ZA"/>
    </w:rPr>
  </w:style>
  <w:style w:type="paragraph" w:styleId="BalloonText">
    <w:name w:val="Balloon Text"/>
    <w:basedOn w:val="Normal"/>
    <w:link w:val="BalloonTextChar"/>
    <w:uiPriority w:val="99"/>
    <w:semiHidden/>
    <w:unhideWhenUsed/>
    <w:rsid w:val="00F7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9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3273-9A53-4488-920E-76F1441C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3</cp:revision>
  <cp:lastPrinted>2023-01-30T08:35:00Z</cp:lastPrinted>
  <dcterms:created xsi:type="dcterms:W3CDTF">2023-01-31T09:47:00Z</dcterms:created>
  <dcterms:modified xsi:type="dcterms:W3CDTF">2023-02-14T14:01:00Z</dcterms:modified>
</cp:coreProperties>
</file>