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1CB838B5" w:rsidR="00D450B5" w:rsidRPr="00044B50" w:rsidRDefault="00D80EA7" w:rsidP="00772E4B">
      <w:pPr>
        <w:autoSpaceDE w:val="0"/>
        <w:autoSpaceDN w:val="0"/>
        <w:adjustRightInd w:val="0"/>
        <w:jc w:val="right"/>
        <w:rPr>
          <w:lang w:val="en-GB"/>
        </w:rPr>
      </w:pPr>
      <w:r>
        <w:rPr>
          <w:lang w:val="en-GB"/>
        </w:rPr>
        <w:t xml:space="preserve"> </w:t>
      </w:r>
    </w:p>
    <w:p w14:paraId="3BB46367" w14:textId="77777777" w:rsidR="00D450B5" w:rsidRPr="00044B50" w:rsidRDefault="00D450B5" w:rsidP="00772E4B">
      <w:pPr>
        <w:jc w:val="center"/>
        <w:rPr>
          <w:lang w:val="en-GB"/>
        </w:rPr>
      </w:pPr>
      <w:bookmarkStart w:id="0" w:name="_Hlk145494977"/>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1159D7E" w:rsidR="00D450B5" w:rsidRPr="00044B50" w:rsidRDefault="00504C5F"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467285">
        <w:rPr>
          <w:b/>
          <w:bCs/>
          <w:lang w:val="en-GB"/>
        </w:rPr>
        <w:t>BHISHO</w:t>
      </w:r>
      <w:r>
        <w:rPr>
          <w:b/>
          <w:bCs/>
          <w:lang w:val="en-GB"/>
        </w:rPr>
        <w:t>)</w:t>
      </w:r>
    </w:p>
    <w:bookmarkEnd w:id="0"/>
    <w:p w14:paraId="260381A7" w14:textId="77777777" w:rsidR="00D450B5" w:rsidRPr="00044B50" w:rsidRDefault="00D450B5" w:rsidP="00772E4B">
      <w:pPr>
        <w:widowControl w:val="0"/>
        <w:jc w:val="both"/>
        <w:rPr>
          <w:spacing w:val="14"/>
          <w:kern w:val="2"/>
          <w:u w:val="single"/>
          <w:lang w:val="en-GB"/>
        </w:rPr>
      </w:pPr>
    </w:p>
    <w:p w14:paraId="434E4AD9" w14:textId="0756A753"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REPORTABLE                                     </w:t>
      </w:r>
    </w:p>
    <w:p w14:paraId="101AD6EF" w14:textId="77777777" w:rsidR="008A75F3" w:rsidRDefault="00E44987" w:rsidP="008A75F3">
      <w:pPr>
        <w:jc w:val="center"/>
        <w:rPr>
          <w:lang w:val="en-GB"/>
        </w:rPr>
      </w:pPr>
      <w:r w:rsidRPr="00044B50">
        <w:rPr>
          <w:lang w:val="en-GB"/>
        </w:rPr>
        <w:t xml:space="preserve">                                                                                                  </w:t>
      </w:r>
    </w:p>
    <w:p w14:paraId="4934DB4B" w14:textId="7E43F8F7" w:rsidR="00E44987" w:rsidRPr="00044B50" w:rsidRDefault="00E44987" w:rsidP="008A75F3">
      <w:pPr>
        <w:ind w:left="5760" w:firstLine="720"/>
        <w:rPr>
          <w:lang w:val="en-GB"/>
        </w:rPr>
      </w:pPr>
      <w:r w:rsidRPr="00044B50">
        <w:rPr>
          <w:lang w:val="en-GB"/>
        </w:rPr>
        <w:t xml:space="preserve">Case no: </w:t>
      </w:r>
      <w:r w:rsidR="00504C5F">
        <w:rPr>
          <w:lang w:val="en-GB"/>
        </w:rPr>
        <w:t>CA1/2023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56C1F296" w:rsidR="00D450B5" w:rsidRPr="00504C5F" w:rsidRDefault="00504C5F" w:rsidP="00772E4B">
      <w:pPr>
        <w:tabs>
          <w:tab w:val="right" w:pos="9072"/>
        </w:tabs>
        <w:suppressAutoHyphens/>
        <w:jc w:val="both"/>
        <w:rPr>
          <w:b/>
          <w:bCs/>
          <w:lang w:val="en-GB"/>
        </w:rPr>
      </w:pPr>
      <w:r w:rsidRPr="00504C5F">
        <w:rPr>
          <w:b/>
          <w:bCs/>
          <w:lang w:val="en-GB"/>
        </w:rPr>
        <w:t xml:space="preserve">MEMBER OF THE EXECUTIVE COUNCIL FOR </w:t>
      </w:r>
    </w:p>
    <w:p w14:paraId="1523A8D7" w14:textId="617DC2B9" w:rsidR="00504C5F" w:rsidRPr="00504C5F" w:rsidRDefault="00504C5F" w:rsidP="00504C5F">
      <w:pPr>
        <w:tabs>
          <w:tab w:val="left" w:pos="7797"/>
          <w:tab w:val="right" w:pos="9072"/>
        </w:tabs>
        <w:suppressAutoHyphens/>
        <w:jc w:val="both"/>
        <w:rPr>
          <w:b/>
          <w:bCs/>
          <w:lang w:val="en-GB"/>
        </w:rPr>
      </w:pPr>
      <w:r w:rsidRPr="00504C5F">
        <w:rPr>
          <w:b/>
          <w:bCs/>
          <w:lang w:val="en-GB"/>
        </w:rPr>
        <w:t xml:space="preserve">HEALTH, EASTERN CAPE </w:t>
      </w:r>
      <w:r>
        <w:rPr>
          <w:b/>
          <w:bCs/>
          <w:lang w:val="en-GB"/>
        </w:rPr>
        <w:tab/>
      </w:r>
      <w:r w:rsidRPr="00504C5F">
        <w:rPr>
          <w:b/>
          <w:bCs/>
          <w:lang w:val="en-GB"/>
        </w:rPr>
        <w:t>Appellant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795EE11D" w:rsidR="00C246F2" w:rsidRPr="00504C5F" w:rsidRDefault="00504C5F" w:rsidP="00504C5F">
      <w:pPr>
        <w:tabs>
          <w:tab w:val="left" w:pos="7513"/>
        </w:tabs>
        <w:ind w:right="89"/>
        <w:jc w:val="both"/>
        <w:rPr>
          <w:b/>
          <w:bCs/>
          <w:lang w:val="en-GB"/>
        </w:rPr>
      </w:pPr>
      <w:r w:rsidRPr="00504C5F">
        <w:rPr>
          <w:b/>
          <w:bCs/>
          <w:lang w:val="en-GB"/>
        </w:rPr>
        <w:t xml:space="preserve">PERM BANGILIZWE DIKO </w:t>
      </w:r>
      <w:r>
        <w:rPr>
          <w:b/>
          <w:bCs/>
          <w:lang w:val="en-GB"/>
        </w:rPr>
        <w:tab/>
      </w:r>
      <w:r w:rsidRPr="00504C5F">
        <w:rPr>
          <w:b/>
          <w:bCs/>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30060770" w:rsidR="00D450B5" w:rsidRPr="00044B50" w:rsidRDefault="00AC0045" w:rsidP="00772E4B">
      <w:pPr>
        <w:jc w:val="center"/>
        <w:rPr>
          <w:b/>
          <w:bCs/>
          <w:lang w:val="en-GB"/>
        </w:rPr>
      </w:pPr>
      <w:r>
        <w:rPr>
          <w:b/>
          <w:bCs/>
          <w:lang w:val="en-GB"/>
        </w:rPr>
        <w:t>JUDGMENT ON APPEAL</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505C5AEF" w14:textId="77777777" w:rsidR="007A1F63" w:rsidRPr="006C4F74" w:rsidRDefault="007A1F63" w:rsidP="006C4F74">
      <w:pPr>
        <w:autoSpaceDE w:val="0"/>
        <w:autoSpaceDN w:val="0"/>
        <w:adjustRightInd w:val="0"/>
        <w:jc w:val="both"/>
        <w:rPr>
          <w:lang w:val="en-GB"/>
        </w:rPr>
      </w:pPr>
    </w:p>
    <w:p w14:paraId="5888D416" w14:textId="1CF2285B" w:rsidR="006C4F74" w:rsidRPr="00126D03" w:rsidRDefault="00126D03" w:rsidP="00126D03">
      <w:pPr>
        <w:autoSpaceDE w:val="0"/>
        <w:autoSpaceDN w:val="0"/>
        <w:adjustRightInd w:val="0"/>
        <w:jc w:val="both"/>
        <w:rPr>
          <w:lang w:val="en-GB"/>
        </w:rPr>
      </w:pPr>
      <w:r>
        <w:rPr>
          <w:lang w:val="en-GB"/>
        </w:rPr>
        <w:t>[1</w:t>
      </w:r>
      <w:bookmarkStart w:id="1" w:name="_GoBack"/>
      <w:bookmarkEnd w:id="1"/>
      <w:r>
        <w:rPr>
          <w:lang w:val="en-GB"/>
        </w:rPr>
        <w:t>]</w:t>
      </w:r>
      <w:r>
        <w:rPr>
          <w:lang w:val="en-GB"/>
        </w:rPr>
        <w:tab/>
      </w:r>
      <w:r w:rsidR="000B45BF" w:rsidRPr="00126D03">
        <w:rPr>
          <w:lang w:val="en-GB"/>
        </w:rPr>
        <w:t xml:space="preserve">To succeed with a special plea of prescription in cases involving </w:t>
      </w:r>
      <w:r w:rsidR="002F2BC8" w:rsidRPr="00126D03">
        <w:rPr>
          <w:lang w:val="en-GB"/>
        </w:rPr>
        <w:t>medical</w:t>
      </w:r>
      <w:r w:rsidR="000B45BF" w:rsidRPr="00126D03">
        <w:rPr>
          <w:lang w:val="en-GB"/>
        </w:rPr>
        <w:t xml:space="preserve"> negligence, it must be shown that the other party had knowledge of sufficient facts so as to cause them, on reasonable grounds, to suspect </w:t>
      </w:r>
      <w:r w:rsidR="002F2BC8" w:rsidRPr="00126D03">
        <w:rPr>
          <w:lang w:val="en-GB"/>
        </w:rPr>
        <w:t>fault on the part of</w:t>
      </w:r>
      <w:r w:rsidR="00B62BF0" w:rsidRPr="00126D03">
        <w:rPr>
          <w:lang w:val="en-GB"/>
        </w:rPr>
        <w:t xml:space="preserve"> the medical staff</w:t>
      </w:r>
      <w:r w:rsidR="00222D23" w:rsidRPr="00126D03">
        <w:rPr>
          <w:lang w:val="en-GB"/>
        </w:rPr>
        <w:t>, and conseq</w:t>
      </w:r>
      <w:r w:rsidR="00B759DD" w:rsidRPr="00126D03">
        <w:rPr>
          <w:lang w:val="en-GB"/>
        </w:rPr>
        <w:t>u</w:t>
      </w:r>
      <w:r w:rsidR="00222D23" w:rsidRPr="00126D03">
        <w:rPr>
          <w:lang w:val="en-GB"/>
        </w:rPr>
        <w:t xml:space="preserve">ently </w:t>
      </w:r>
      <w:r w:rsidR="009C1F50" w:rsidRPr="00126D03">
        <w:rPr>
          <w:lang w:val="en-GB"/>
        </w:rPr>
        <w:t xml:space="preserve">to </w:t>
      </w:r>
      <w:r w:rsidR="00222D23" w:rsidRPr="00126D03">
        <w:rPr>
          <w:lang w:val="en-GB"/>
        </w:rPr>
        <w:t>seek legal advice.</w:t>
      </w:r>
      <w:r w:rsidR="008F03F5">
        <w:rPr>
          <w:rStyle w:val="FootnoteReference"/>
          <w:lang w:val="en-GB"/>
        </w:rPr>
        <w:footnoteReference w:id="1"/>
      </w:r>
      <w:r w:rsidR="00B62BF0" w:rsidRPr="00126D03">
        <w:rPr>
          <w:lang w:val="en-GB"/>
        </w:rPr>
        <w:t xml:space="preserve"> </w:t>
      </w:r>
      <w:r w:rsidR="006C4F74" w:rsidRPr="00126D03">
        <w:rPr>
          <w:lang w:val="en-GB"/>
        </w:rPr>
        <w:t xml:space="preserve">This appeal </w:t>
      </w:r>
      <w:r w:rsidR="00747FDD" w:rsidRPr="00126D03">
        <w:rPr>
          <w:lang w:val="en-GB"/>
        </w:rPr>
        <w:t>concerns</w:t>
      </w:r>
      <w:r w:rsidR="006C4F74" w:rsidRPr="00126D03">
        <w:rPr>
          <w:lang w:val="en-GB"/>
        </w:rPr>
        <w:t xml:space="preserve"> </w:t>
      </w:r>
      <w:r w:rsidR="00BD4993" w:rsidRPr="00126D03">
        <w:rPr>
          <w:lang w:val="en-GB"/>
        </w:rPr>
        <w:t xml:space="preserve">the reduced </w:t>
      </w:r>
      <w:r w:rsidR="00BD4993" w:rsidRPr="00126D03">
        <w:rPr>
          <w:lang w:val="en-GB"/>
        </w:rPr>
        <w:lastRenderedPageBreak/>
        <w:t xml:space="preserve">burden </w:t>
      </w:r>
      <w:r w:rsidR="00A76596" w:rsidRPr="00126D03">
        <w:rPr>
          <w:lang w:val="en-GB"/>
        </w:rPr>
        <w:t xml:space="preserve">of proof </w:t>
      </w:r>
      <w:r w:rsidR="00FA6800" w:rsidRPr="00126D03">
        <w:rPr>
          <w:lang w:val="en-GB"/>
        </w:rPr>
        <w:t>to establish a prima facie case when a</w:t>
      </w:r>
      <w:r w:rsidR="00A76596" w:rsidRPr="00126D03">
        <w:rPr>
          <w:lang w:val="en-GB"/>
        </w:rPr>
        <w:t xml:space="preserve"> party rais</w:t>
      </w:r>
      <w:r w:rsidR="00FA6800" w:rsidRPr="00126D03">
        <w:rPr>
          <w:lang w:val="en-GB"/>
        </w:rPr>
        <w:t>es</w:t>
      </w:r>
      <w:r w:rsidR="00A76596" w:rsidRPr="00126D03">
        <w:rPr>
          <w:lang w:val="en-GB"/>
        </w:rPr>
        <w:t xml:space="preserve"> prescription </w:t>
      </w:r>
      <w:r w:rsidR="00B34F76" w:rsidRPr="00126D03">
        <w:rPr>
          <w:lang w:val="en-GB"/>
        </w:rPr>
        <w:t>and</w:t>
      </w:r>
      <w:r w:rsidR="00A76596" w:rsidRPr="00126D03">
        <w:rPr>
          <w:lang w:val="en-GB"/>
        </w:rPr>
        <w:t xml:space="preserve"> the knowledge </w:t>
      </w:r>
      <w:r w:rsidR="00FA6800" w:rsidRPr="00126D03">
        <w:rPr>
          <w:lang w:val="en-GB"/>
        </w:rPr>
        <w:t>of the</w:t>
      </w:r>
      <w:r w:rsidR="002F2B4B" w:rsidRPr="00126D03">
        <w:rPr>
          <w:lang w:val="en-GB"/>
        </w:rPr>
        <w:t xml:space="preserve"> </w:t>
      </w:r>
      <w:r w:rsidR="00FA6800" w:rsidRPr="00126D03">
        <w:rPr>
          <w:lang w:val="en-GB"/>
        </w:rPr>
        <w:t>facts lies within the realm of knowledge of the other party</w:t>
      </w:r>
      <w:r w:rsidR="00B8742E" w:rsidRPr="00126D03">
        <w:rPr>
          <w:lang w:val="en-GB"/>
        </w:rPr>
        <w:t>, who fails to adduce evidence</w:t>
      </w:r>
      <w:r w:rsidR="00D77AD3" w:rsidRPr="00126D03">
        <w:rPr>
          <w:lang w:val="en-GB"/>
        </w:rPr>
        <w:t xml:space="preserve"> or seriously challenge </w:t>
      </w:r>
      <w:r w:rsidR="00094F22" w:rsidRPr="00126D03">
        <w:rPr>
          <w:lang w:val="en-GB"/>
        </w:rPr>
        <w:t>the evidence presented.</w:t>
      </w:r>
    </w:p>
    <w:p w14:paraId="407F40ED" w14:textId="6CEAA2BB" w:rsidR="006C4F74" w:rsidRDefault="006C4F74" w:rsidP="006C4F74">
      <w:pPr>
        <w:pStyle w:val="ListParagraph"/>
        <w:autoSpaceDE w:val="0"/>
        <w:autoSpaceDN w:val="0"/>
        <w:adjustRightInd w:val="0"/>
        <w:ind w:left="0"/>
        <w:jc w:val="both"/>
        <w:rPr>
          <w:lang w:val="en-GB"/>
        </w:rPr>
      </w:pPr>
    </w:p>
    <w:p w14:paraId="0071C996" w14:textId="5F2C8EDB" w:rsidR="006C4F74" w:rsidRPr="0021491A" w:rsidRDefault="006C4F74" w:rsidP="006C4F74">
      <w:pPr>
        <w:pStyle w:val="ListParagraph"/>
        <w:autoSpaceDE w:val="0"/>
        <w:autoSpaceDN w:val="0"/>
        <w:adjustRightInd w:val="0"/>
        <w:ind w:left="0"/>
        <w:jc w:val="both"/>
        <w:rPr>
          <w:b/>
          <w:bCs/>
          <w:lang w:val="en-GB"/>
        </w:rPr>
      </w:pPr>
      <w:r w:rsidRPr="0021491A">
        <w:rPr>
          <w:b/>
          <w:bCs/>
          <w:lang w:val="en-GB"/>
        </w:rPr>
        <w:t>Background</w:t>
      </w:r>
    </w:p>
    <w:p w14:paraId="4B714299" w14:textId="77777777" w:rsidR="006C4F74" w:rsidRPr="006C4F74" w:rsidRDefault="006C4F74" w:rsidP="006C4F74">
      <w:pPr>
        <w:pStyle w:val="ListParagraph"/>
        <w:autoSpaceDE w:val="0"/>
        <w:autoSpaceDN w:val="0"/>
        <w:adjustRightInd w:val="0"/>
        <w:ind w:left="0"/>
        <w:jc w:val="both"/>
        <w:rPr>
          <w:i/>
          <w:iCs/>
          <w:lang w:val="en-GB"/>
        </w:rPr>
      </w:pPr>
    </w:p>
    <w:p w14:paraId="75474FB8" w14:textId="40F94B51" w:rsidR="00BF34AA" w:rsidRPr="00126D03" w:rsidRDefault="00126D03" w:rsidP="00126D03">
      <w:pPr>
        <w:autoSpaceDE w:val="0"/>
        <w:autoSpaceDN w:val="0"/>
        <w:adjustRightInd w:val="0"/>
        <w:jc w:val="both"/>
        <w:rPr>
          <w:lang w:val="en-GB"/>
        </w:rPr>
      </w:pPr>
      <w:r>
        <w:rPr>
          <w:lang w:val="en-GB"/>
        </w:rPr>
        <w:t>[2]</w:t>
      </w:r>
      <w:r>
        <w:rPr>
          <w:lang w:val="en-GB"/>
        </w:rPr>
        <w:tab/>
      </w:r>
      <w:r w:rsidR="006A7DA6" w:rsidRPr="00126D03">
        <w:rPr>
          <w:lang w:val="en-GB"/>
        </w:rPr>
        <w:t xml:space="preserve">The </w:t>
      </w:r>
      <w:r w:rsidR="00467285" w:rsidRPr="00126D03">
        <w:rPr>
          <w:lang w:val="en-GB"/>
        </w:rPr>
        <w:t>respondent (‘M</w:t>
      </w:r>
      <w:r w:rsidR="001A0EFF" w:rsidRPr="00126D03">
        <w:rPr>
          <w:lang w:val="en-GB"/>
        </w:rPr>
        <w:t>r</w:t>
      </w:r>
      <w:r w:rsidR="00467285" w:rsidRPr="00126D03">
        <w:rPr>
          <w:lang w:val="en-GB"/>
        </w:rPr>
        <w:t xml:space="preserve"> Diko’) </w:t>
      </w:r>
      <w:r w:rsidR="00676572" w:rsidRPr="00126D03">
        <w:rPr>
          <w:lang w:val="en-GB"/>
        </w:rPr>
        <w:t xml:space="preserve">was involved in a motor vehicle collision on 9 December 2009. </w:t>
      </w:r>
      <w:r w:rsidR="00975BB9" w:rsidRPr="00126D03">
        <w:rPr>
          <w:lang w:val="en-GB"/>
        </w:rPr>
        <w:t>H</w:t>
      </w:r>
      <w:r w:rsidR="00676572" w:rsidRPr="00126D03">
        <w:rPr>
          <w:lang w:val="en-GB"/>
        </w:rPr>
        <w:t xml:space="preserve">e </w:t>
      </w:r>
      <w:r w:rsidR="00BF34AA" w:rsidRPr="00126D03">
        <w:rPr>
          <w:lang w:val="en-GB"/>
        </w:rPr>
        <w:t>sustained a right</w:t>
      </w:r>
      <w:r w:rsidR="0041510E" w:rsidRPr="00126D03">
        <w:rPr>
          <w:lang w:val="en-GB"/>
        </w:rPr>
        <w:t>-</w:t>
      </w:r>
      <w:r w:rsidR="00BF34AA" w:rsidRPr="00126D03">
        <w:rPr>
          <w:lang w:val="en-GB"/>
        </w:rPr>
        <w:t xml:space="preserve">sided femoral fracture and </w:t>
      </w:r>
      <w:r w:rsidR="00676572" w:rsidRPr="00126D03">
        <w:rPr>
          <w:lang w:val="en-GB"/>
        </w:rPr>
        <w:t>received treatment at hospitals in Bizana and Mthatha</w:t>
      </w:r>
      <w:r w:rsidR="00BF34AA" w:rsidRPr="00126D03">
        <w:rPr>
          <w:lang w:val="en-GB"/>
        </w:rPr>
        <w:t>. The femoral fracture was treated and stabilised with a Kuntscher nail on 18 December 2009</w:t>
      </w:r>
      <w:r w:rsidR="00270BCB" w:rsidRPr="00126D03">
        <w:rPr>
          <w:lang w:val="en-GB"/>
        </w:rPr>
        <w:t>.</w:t>
      </w:r>
      <w:r w:rsidR="0059474B" w:rsidRPr="00126D03">
        <w:rPr>
          <w:lang w:val="en-GB"/>
        </w:rPr>
        <w:t xml:space="preserve"> </w:t>
      </w:r>
      <w:r w:rsidR="00270BCB" w:rsidRPr="00126D03">
        <w:rPr>
          <w:lang w:val="en-GB"/>
        </w:rPr>
        <w:t>Mr Diko</w:t>
      </w:r>
      <w:r w:rsidR="00BF34AA" w:rsidRPr="00126D03">
        <w:rPr>
          <w:lang w:val="en-GB"/>
        </w:rPr>
        <w:t xml:space="preserve"> </w:t>
      </w:r>
      <w:r w:rsidR="0059474B" w:rsidRPr="00126D03">
        <w:rPr>
          <w:lang w:val="en-GB"/>
        </w:rPr>
        <w:t>was discharged on 21 December 2009</w:t>
      </w:r>
      <w:r w:rsidR="00270BCB" w:rsidRPr="00126D03">
        <w:rPr>
          <w:lang w:val="en-GB"/>
        </w:rPr>
        <w:t xml:space="preserve"> and received follow-up treatment as an outpatient until 3 February 2010</w:t>
      </w:r>
      <w:r w:rsidR="0059474B" w:rsidRPr="00126D03">
        <w:rPr>
          <w:lang w:val="en-GB"/>
        </w:rPr>
        <w:t xml:space="preserve">. </w:t>
      </w:r>
      <w:r w:rsidR="00BA3653" w:rsidRPr="00126D03">
        <w:rPr>
          <w:lang w:val="en-GB"/>
        </w:rPr>
        <w:t>During 2018, he</w:t>
      </w:r>
      <w:r w:rsidR="00676572" w:rsidRPr="00126D03">
        <w:rPr>
          <w:lang w:val="en-GB"/>
        </w:rPr>
        <w:t xml:space="preserve"> </w:t>
      </w:r>
      <w:r w:rsidR="00467285" w:rsidRPr="00126D03">
        <w:rPr>
          <w:lang w:val="en-GB"/>
        </w:rPr>
        <w:t xml:space="preserve">claimed R4,5 million from the appellant (‘the MEC’) for damages allegedly caused by hospital staff acting </w:t>
      </w:r>
      <w:r w:rsidR="00935447" w:rsidRPr="00126D03">
        <w:rPr>
          <w:lang w:val="en-GB"/>
        </w:rPr>
        <w:t xml:space="preserve">negligently </w:t>
      </w:r>
      <w:r w:rsidR="00467285" w:rsidRPr="00126D03">
        <w:rPr>
          <w:lang w:val="en-GB"/>
        </w:rPr>
        <w:t>within the course and scope of their employment.</w:t>
      </w:r>
      <w:r w:rsidR="00935447">
        <w:rPr>
          <w:rStyle w:val="FootnoteReference"/>
          <w:lang w:val="en-GB"/>
        </w:rPr>
        <w:footnoteReference w:id="2"/>
      </w:r>
      <w:r w:rsidR="00676572" w:rsidRPr="00126D03">
        <w:rPr>
          <w:lang w:val="en-GB"/>
        </w:rPr>
        <w:t xml:space="preserve"> The claim was based on breach of </w:t>
      </w:r>
      <w:r w:rsidR="001D029D" w:rsidRPr="00126D03">
        <w:rPr>
          <w:lang w:val="en-GB"/>
        </w:rPr>
        <w:t>contract</w:t>
      </w:r>
      <w:r w:rsidR="00676572" w:rsidRPr="00126D03">
        <w:rPr>
          <w:lang w:val="en-GB"/>
        </w:rPr>
        <w:t>, alternatively breach of a duty of care</w:t>
      </w:r>
      <w:r w:rsidR="00F17120" w:rsidRPr="00126D03">
        <w:rPr>
          <w:lang w:val="en-GB"/>
        </w:rPr>
        <w:t>, based on a similar factual underpinning</w:t>
      </w:r>
      <w:r w:rsidR="00676572" w:rsidRPr="00126D03">
        <w:rPr>
          <w:lang w:val="en-GB"/>
        </w:rPr>
        <w:t xml:space="preserve">. </w:t>
      </w:r>
      <w:r w:rsidR="00FC6479" w:rsidRPr="00126D03">
        <w:rPr>
          <w:lang w:val="en-GB"/>
        </w:rPr>
        <w:t xml:space="preserve">It is alleged that the treatment received, or lack thereof, had resulted in a shortening of the right leg, and associated </w:t>
      </w:r>
      <w:r w:rsidR="00FC6479" w:rsidRPr="00126D03">
        <w:rPr>
          <w:lang w:val="en-GB"/>
        </w:rPr>
        <w:lastRenderedPageBreak/>
        <w:t>complaint</w:t>
      </w:r>
      <w:r w:rsidR="00E8378B" w:rsidRPr="00126D03">
        <w:rPr>
          <w:lang w:val="en-GB"/>
        </w:rPr>
        <w:t xml:space="preserve">s, </w:t>
      </w:r>
      <w:r w:rsidR="0061051C" w:rsidRPr="00126D03">
        <w:rPr>
          <w:lang w:val="en-GB"/>
        </w:rPr>
        <w:t xml:space="preserve">(‘the injuries’) </w:t>
      </w:r>
      <w:r w:rsidR="00E8378B" w:rsidRPr="00126D03">
        <w:rPr>
          <w:lang w:val="en-GB"/>
        </w:rPr>
        <w:t>so that a complex surgical procedure</w:t>
      </w:r>
      <w:r w:rsidR="00A213CC" w:rsidRPr="00126D03">
        <w:rPr>
          <w:lang w:val="en-GB"/>
        </w:rPr>
        <w:t xml:space="preserve">, with </w:t>
      </w:r>
      <w:r w:rsidR="002C7051" w:rsidRPr="00126D03">
        <w:rPr>
          <w:lang w:val="en-GB"/>
        </w:rPr>
        <w:t>the risk of associated</w:t>
      </w:r>
      <w:r w:rsidR="00A213CC" w:rsidRPr="00126D03">
        <w:rPr>
          <w:lang w:val="en-GB"/>
        </w:rPr>
        <w:t xml:space="preserve"> complications,</w:t>
      </w:r>
      <w:r w:rsidR="00E8378B" w:rsidRPr="00126D03">
        <w:rPr>
          <w:lang w:val="en-GB"/>
        </w:rPr>
        <w:t xml:space="preserve"> was </w:t>
      </w:r>
      <w:r w:rsidR="00592856" w:rsidRPr="00126D03">
        <w:rPr>
          <w:lang w:val="en-GB"/>
        </w:rPr>
        <w:t xml:space="preserve">now </w:t>
      </w:r>
      <w:r w:rsidR="00E8378B" w:rsidRPr="00126D03">
        <w:rPr>
          <w:lang w:val="en-GB"/>
        </w:rPr>
        <w:t>required.</w:t>
      </w:r>
    </w:p>
    <w:p w14:paraId="3E4D0EF3" w14:textId="77777777" w:rsidR="00935447" w:rsidRPr="00935447" w:rsidRDefault="00935447" w:rsidP="00935447">
      <w:pPr>
        <w:pStyle w:val="ListParagraph"/>
        <w:autoSpaceDE w:val="0"/>
        <w:autoSpaceDN w:val="0"/>
        <w:adjustRightInd w:val="0"/>
        <w:ind w:left="0"/>
        <w:jc w:val="both"/>
        <w:rPr>
          <w:lang w:val="en-GB"/>
        </w:rPr>
      </w:pPr>
    </w:p>
    <w:p w14:paraId="412EF437" w14:textId="3FE0F029" w:rsidR="00BF34AA" w:rsidRPr="00126D03" w:rsidRDefault="00126D03" w:rsidP="00126D03">
      <w:pPr>
        <w:autoSpaceDE w:val="0"/>
        <w:autoSpaceDN w:val="0"/>
        <w:adjustRightInd w:val="0"/>
        <w:jc w:val="both"/>
        <w:rPr>
          <w:lang w:val="en-GB"/>
        </w:rPr>
      </w:pPr>
      <w:r>
        <w:rPr>
          <w:lang w:val="en-GB"/>
        </w:rPr>
        <w:t>[3]</w:t>
      </w:r>
      <w:r>
        <w:rPr>
          <w:lang w:val="en-GB"/>
        </w:rPr>
        <w:tab/>
      </w:r>
      <w:r w:rsidR="00345A16" w:rsidRPr="00126D03">
        <w:rPr>
          <w:lang w:val="en-GB"/>
        </w:rPr>
        <w:t>The MEC’s first special plea raised prescription.</w:t>
      </w:r>
      <w:r w:rsidR="0080756C">
        <w:rPr>
          <w:rStyle w:val="FootnoteReference"/>
          <w:lang w:val="en-GB"/>
        </w:rPr>
        <w:footnoteReference w:id="3"/>
      </w:r>
      <w:r w:rsidR="00D96D93" w:rsidRPr="00126D03">
        <w:rPr>
          <w:lang w:val="en-GB"/>
        </w:rPr>
        <w:t xml:space="preserve"> </w:t>
      </w:r>
      <w:r w:rsidR="00DC6091" w:rsidRPr="00126D03">
        <w:rPr>
          <w:lang w:val="en-GB"/>
        </w:rPr>
        <w:t>The second special plea was based on non-compliance with the statutory obligation to give notice of institution of proceedings timeously.</w:t>
      </w:r>
      <w:r w:rsidR="00DC6091">
        <w:rPr>
          <w:rStyle w:val="FootnoteReference"/>
          <w:lang w:val="en-GB"/>
        </w:rPr>
        <w:footnoteReference w:id="4"/>
      </w:r>
      <w:r w:rsidR="00DC6091" w:rsidRPr="00126D03">
        <w:rPr>
          <w:lang w:val="en-GB"/>
        </w:rPr>
        <w:t xml:space="preserve">  </w:t>
      </w:r>
      <w:r w:rsidR="00D96D93" w:rsidRPr="00126D03">
        <w:rPr>
          <w:lang w:val="en-GB"/>
        </w:rPr>
        <w:t>Mr Diko, citing ss 12(1) and 12(3) of the Prescription Act, 1969</w:t>
      </w:r>
      <w:r w:rsidR="00D96D93">
        <w:rPr>
          <w:rStyle w:val="FootnoteReference"/>
          <w:lang w:val="en-GB"/>
        </w:rPr>
        <w:footnoteReference w:id="5"/>
      </w:r>
      <w:r w:rsidR="00D96D93" w:rsidRPr="00126D03">
        <w:rPr>
          <w:lang w:val="en-GB"/>
        </w:rPr>
        <w:t xml:space="preserve"> </w:t>
      </w:r>
      <w:r w:rsidR="00052913" w:rsidRPr="00126D03">
        <w:rPr>
          <w:lang w:val="en-GB"/>
        </w:rPr>
        <w:t>(‘the Act’)</w:t>
      </w:r>
      <w:r w:rsidR="00A63900" w:rsidRPr="00126D03">
        <w:rPr>
          <w:lang w:val="en-GB"/>
        </w:rPr>
        <w:t>,</w:t>
      </w:r>
      <w:r w:rsidR="00052913" w:rsidRPr="00126D03">
        <w:rPr>
          <w:lang w:val="en-GB"/>
        </w:rPr>
        <w:t xml:space="preserve"> </w:t>
      </w:r>
      <w:r w:rsidR="00C46697" w:rsidRPr="00126D03">
        <w:rPr>
          <w:lang w:val="en-GB"/>
        </w:rPr>
        <w:t>replicated</w:t>
      </w:r>
      <w:r w:rsidR="00D96D93" w:rsidRPr="00126D03">
        <w:rPr>
          <w:lang w:val="en-GB"/>
        </w:rPr>
        <w:t xml:space="preserve"> that </w:t>
      </w:r>
      <w:r w:rsidR="00A63900" w:rsidRPr="00126D03">
        <w:rPr>
          <w:lang w:val="en-GB"/>
        </w:rPr>
        <w:t>he only became aware of the facts giving rise to the debt after consulting with his attorney of record following receipt of a report from Dr Olivier on 12 June 2018, so that, for purposes of the Act</w:t>
      </w:r>
      <w:r w:rsidR="00DC6091" w:rsidRPr="00126D03">
        <w:rPr>
          <w:lang w:val="en-GB"/>
        </w:rPr>
        <w:t xml:space="preserve"> and the statutory notice</w:t>
      </w:r>
      <w:r w:rsidR="00AC4DBF" w:rsidRPr="00126D03">
        <w:rPr>
          <w:lang w:val="en-GB"/>
        </w:rPr>
        <w:t xml:space="preserve">, </w:t>
      </w:r>
      <w:r w:rsidR="00A63900" w:rsidRPr="00126D03">
        <w:rPr>
          <w:lang w:val="en-GB"/>
        </w:rPr>
        <w:t>the debt only became due on that date</w:t>
      </w:r>
      <w:r w:rsidR="00181A1B" w:rsidRPr="00126D03">
        <w:rPr>
          <w:lang w:val="en-GB"/>
        </w:rPr>
        <w:t>.</w:t>
      </w:r>
      <w:r w:rsidR="001C5058">
        <w:rPr>
          <w:rStyle w:val="FootnoteReference"/>
          <w:lang w:val="en-GB"/>
        </w:rPr>
        <w:footnoteReference w:id="6"/>
      </w:r>
    </w:p>
    <w:p w14:paraId="12707B9B" w14:textId="77777777" w:rsidR="00530123" w:rsidRPr="00530123" w:rsidRDefault="00530123" w:rsidP="00530123">
      <w:pPr>
        <w:pStyle w:val="ListParagraph"/>
        <w:rPr>
          <w:lang w:val="en-GB"/>
        </w:rPr>
      </w:pPr>
    </w:p>
    <w:p w14:paraId="5A1C803D" w14:textId="7DECADBF" w:rsidR="00530123" w:rsidRPr="00126D03" w:rsidRDefault="00126D03" w:rsidP="00126D03">
      <w:pPr>
        <w:autoSpaceDE w:val="0"/>
        <w:autoSpaceDN w:val="0"/>
        <w:adjustRightInd w:val="0"/>
        <w:jc w:val="both"/>
        <w:rPr>
          <w:lang w:val="en-GB"/>
        </w:rPr>
      </w:pPr>
      <w:r>
        <w:rPr>
          <w:lang w:val="en-GB"/>
        </w:rPr>
        <w:t>[4]</w:t>
      </w:r>
      <w:r>
        <w:rPr>
          <w:lang w:val="en-GB"/>
        </w:rPr>
        <w:tab/>
      </w:r>
      <w:r w:rsidR="00CF32FE" w:rsidRPr="00126D03">
        <w:rPr>
          <w:lang w:val="en-GB"/>
        </w:rPr>
        <w:t>Both</w:t>
      </w:r>
      <w:r w:rsidR="00530123" w:rsidRPr="00126D03">
        <w:rPr>
          <w:lang w:val="en-GB"/>
        </w:rPr>
        <w:t xml:space="preserve"> point</w:t>
      </w:r>
      <w:r w:rsidR="00CF32FE" w:rsidRPr="00126D03">
        <w:rPr>
          <w:lang w:val="en-GB"/>
        </w:rPr>
        <w:t>s</w:t>
      </w:r>
      <w:r w:rsidR="00530123" w:rsidRPr="00126D03">
        <w:rPr>
          <w:lang w:val="en-GB"/>
        </w:rPr>
        <w:t xml:space="preserve"> </w:t>
      </w:r>
      <w:r w:rsidR="00CF32FE" w:rsidRPr="00126D03">
        <w:rPr>
          <w:lang w:val="en-GB"/>
        </w:rPr>
        <w:t>were</w:t>
      </w:r>
      <w:r w:rsidR="00530123" w:rsidRPr="00126D03">
        <w:rPr>
          <w:lang w:val="en-GB"/>
        </w:rPr>
        <w:t xml:space="preserve"> separated</w:t>
      </w:r>
      <w:r w:rsidR="008E16D1" w:rsidRPr="00126D03">
        <w:rPr>
          <w:lang w:val="en-GB"/>
        </w:rPr>
        <w:t xml:space="preserve"> for determination</w:t>
      </w:r>
      <w:r w:rsidR="004526A6" w:rsidRPr="00126D03">
        <w:rPr>
          <w:lang w:val="en-GB"/>
        </w:rPr>
        <w:t xml:space="preserve"> in terms of Uniform Rule 33(4)</w:t>
      </w:r>
      <w:r w:rsidR="008E16D1" w:rsidRPr="00126D03">
        <w:rPr>
          <w:lang w:val="en-GB"/>
        </w:rPr>
        <w:t xml:space="preserve">. </w:t>
      </w:r>
      <w:r w:rsidR="004526A6" w:rsidRPr="00126D03">
        <w:rPr>
          <w:lang w:val="en-GB"/>
        </w:rPr>
        <w:t>The MEC, accepting that she bore the onus</w:t>
      </w:r>
      <w:r w:rsidR="004E5BF9" w:rsidRPr="00126D03">
        <w:rPr>
          <w:lang w:val="en-GB"/>
        </w:rPr>
        <w:t>, led only the evidence of Dr Osman, a specialist orthopaedic surgeon.</w:t>
      </w:r>
      <w:r w:rsidR="0036531A" w:rsidRPr="00126D03">
        <w:rPr>
          <w:lang w:val="en-GB"/>
        </w:rPr>
        <w:t xml:space="preserve"> No agreed facts were placed before the court</w:t>
      </w:r>
      <w:r w:rsidR="001F3CA5" w:rsidRPr="00126D03">
        <w:rPr>
          <w:lang w:val="en-GB"/>
        </w:rPr>
        <w:t xml:space="preserve"> and</w:t>
      </w:r>
      <w:r w:rsidR="0036531A" w:rsidRPr="00126D03">
        <w:rPr>
          <w:lang w:val="en-GB"/>
        </w:rPr>
        <w:t xml:space="preserve"> Mr Diko led no evidence. </w:t>
      </w:r>
    </w:p>
    <w:p w14:paraId="58C3EA3D" w14:textId="3D8CA198" w:rsidR="00DD15CF" w:rsidRDefault="00DD15CF" w:rsidP="00940580">
      <w:pPr>
        <w:rPr>
          <w:lang w:val="en-GB"/>
        </w:rPr>
      </w:pPr>
    </w:p>
    <w:p w14:paraId="57200A93" w14:textId="13BE74BB" w:rsidR="00940580" w:rsidRPr="0021491A" w:rsidRDefault="00940580" w:rsidP="00940580">
      <w:pPr>
        <w:rPr>
          <w:b/>
          <w:bCs/>
          <w:lang w:val="en-GB"/>
        </w:rPr>
      </w:pPr>
      <w:r w:rsidRPr="0021491A">
        <w:rPr>
          <w:b/>
          <w:bCs/>
          <w:lang w:val="en-GB"/>
        </w:rPr>
        <w:t xml:space="preserve">The evidence </w:t>
      </w:r>
    </w:p>
    <w:p w14:paraId="0C90EAAD" w14:textId="77777777" w:rsidR="00940580" w:rsidRPr="00940580" w:rsidRDefault="00940580" w:rsidP="00940580">
      <w:pPr>
        <w:rPr>
          <w:i/>
          <w:iCs/>
          <w:lang w:val="en-GB"/>
        </w:rPr>
      </w:pPr>
    </w:p>
    <w:p w14:paraId="58413610" w14:textId="7C44AA36" w:rsidR="00DD15CF" w:rsidRPr="00126D03" w:rsidRDefault="00126D03" w:rsidP="00126D03">
      <w:pPr>
        <w:autoSpaceDE w:val="0"/>
        <w:autoSpaceDN w:val="0"/>
        <w:adjustRightInd w:val="0"/>
        <w:jc w:val="both"/>
        <w:rPr>
          <w:lang w:val="en-GB"/>
        </w:rPr>
      </w:pPr>
      <w:r>
        <w:rPr>
          <w:lang w:val="en-GB"/>
        </w:rPr>
        <w:t>[5]</w:t>
      </w:r>
      <w:r>
        <w:rPr>
          <w:lang w:val="en-GB"/>
        </w:rPr>
        <w:tab/>
      </w:r>
      <w:r w:rsidR="00F36467" w:rsidRPr="00126D03">
        <w:rPr>
          <w:lang w:val="en-GB"/>
        </w:rPr>
        <w:t>Dr Osman had obtained Mr Diko’s patient history from him. The essence of his evidence was as follows:</w:t>
      </w:r>
      <w:r w:rsidR="009A14A2">
        <w:rPr>
          <w:rStyle w:val="FootnoteReference"/>
          <w:lang w:val="en-GB"/>
        </w:rPr>
        <w:footnoteReference w:id="7"/>
      </w:r>
    </w:p>
    <w:p w14:paraId="203C28A8" w14:textId="389263A8" w:rsidR="00F36467" w:rsidRDefault="00F36467" w:rsidP="00F36467">
      <w:pPr>
        <w:jc w:val="both"/>
        <w:rPr>
          <w:lang w:val="en-GB"/>
        </w:rPr>
      </w:pPr>
    </w:p>
    <w:p w14:paraId="6305F58D" w14:textId="5C0D6EE9" w:rsidR="00F36467" w:rsidRDefault="00F36467" w:rsidP="00F36467">
      <w:pPr>
        <w:jc w:val="both"/>
        <w:rPr>
          <w:sz w:val="22"/>
          <w:szCs w:val="22"/>
          <w:lang w:val="en-GB"/>
        </w:rPr>
      </w:pPr>
      <w:r>
        <w:rPr>
          <w:sz w:val="22"/>
          <w:szCs w:val="22"/>
          <w:lang w:val="en-GB"/>
        </w:rPr>
        <w:lastRenderedPageBreak/>
        <w:t xml:space="preserve">‘…after discharge, he went to a nearby clinic for removal of sutures. And thereafter while he was mobilising with a pair of crutches he noticed that the right lower limb was shortening. And he was quite clear that time that something was not right and upon noticing the same, he attended Bizana Hospital where he mentioned to them that his limb was shortening. They then referred him to Bedford Hospital. He was assessed there, he was given pain medication, they confirmed that there was a problem with the fixation. </w:t>
      </w:r>
      <w:r w:rsidR="00235EE3">
        <w:rPr>
          <w:sz w:val="22"/>
          <w:szCs w:val="22"/>
          <w:lang w:val="en-GB"/>
        </w:rPr>
        <w:t>And he was given an appointment date and asked to return to Bedford Hospital for further treatment. Prior to this appointment date, he went back to Bizana Hospital because his lower limb was starting to bend. He was assessed and he was asked to attend Bedford Hospital for further management. Unfortunately due to financial constraints he could not go back for this follow up and therefore did not attend further treatment at Bedford Hospital</w:t>
      </w:r>
      <w:r w:rsidR="00F94AC9">
        <w:rPr>
          <w:sz w:val="22"/>
          <w:szCs w:val="22"/>
          <w:lang w:val="en-GB"/>
        </w:rPr>
        <w:t>…he noticed the shortening very quickly, about two weeks following this surgery. And he noticed bending one month after the surgery…and this bending ceased approximately one year after the surgery…’</w:t>
      </w:r>
    </w:p>
    <w:p w14:paraId="17BED68D" w14:textId="24F6E2F1" w:rsidR="00E71FF3" w:rsidRDefault="00E71FF3" w:rsidP="00F36467">
      <w:pPr>
        <w:jc w:val="both"/>
        <w:rPr>
          <w:sz w:val="22"/>
          <w:szCs w:val="22"/>
          <w:lang w:val="en-GB"/>
        </w:rPr>
      </w:pPr>
    </w:p>
    <w:p w14:paraId="2E6D0FAB" w14:textId="657C73B0" w:rsidR="00A144C6" w:rsidRPr="0021491A" w:rsidRDefault="00A144C6" w:rsidP="00F36467">
      <w:pPr>
        <w:jc w:val="both"/>
        <w:rPr>
          <w:b/>
          <w:bCs/>
          <w:sz w:val="22"/>
          <w:szCs w:val="22"/>
          <w:lang w:val="en-GB"/>
        </w:rPr>
      </w:pPr>
      <w:r w:rsidRPr="0021491A">
        <w:rPr>
          <w:b/>
          <w:bCs/>
          <w:sz w:val="22"/>
          <w:szCs w:val="22"/>
          <w:lang w:val="en-GB"/>
        </w:rPr>
        <w:t>The judgment</w:t>
      </w:r>
    </w:p>
    <w:p w14:paraId="726F1B86" w14:textId="77777777" w:rsidR="00A144C6" w:rsidRPr="00A144C6" w:rsidRDefault="00A144C6" w:rsidP="00F36467">
      <w:pPr>
        <w:jc w:val="both"/>
        <w:rPr>
          <w:i/>
          <w:iCs/>
          <w:sz w:val="22"/>
          <w:szCs w:val="22"/>
          <w:lang w:val="en-GB"/>
        </w:rPr>
      </w:pPr>
    </w:p>
    <w:p w14:paraId="7EF53697" w14:textId="7135E401" w:rsidR="00F36467" w:rsidRPr="00126D03" w:rsidRDefault="00126D03" w:rsidP="00126D03">
      <w:pPr>
        <w:autoSpaceDE w:val="0"/>
        <w:autoSpaceDN w:val="0"/>
        <w:adjustRightInd w:val="0"/>
        <w:jc w:val="both"/>
        <w:rPr>
          <w:lang w:val="en-GB"/>
        </w:rPr>
      </w:pPr>
      <w:r>
        <w:rPr>
          <w:lang w:val="en-GB"/>
        </w:rPr>
        <w:t>[6]</w:t>
      </w:r>
      <w:r>
        <w:rPr>
          <w:lang w:val="en-GB"/>
        </w:rPr>
        <w:tab/>
      </w:r>
      <w:r w:rsidR="003B31ED" w:rsidRPr="00126D03">
        <w:rPr>
          <w:lang w:val="en-GB"/>
        </w:rPr>
        <w:t xml:space="preserve">The court </w:t>
      </w:r>
      <w:r w:rsidR="003B31ED" w:rsidRPr="00126D03">
        <w:rPr>
          <w:i/>
          <w:iCs/>
          <w:lang w:val="en-GB"/>
        </w:rPr>
        <w:t>a quo</w:t>
      </w:r>
      <w:r w:rsidR="003B31ED" w:rsidRPr="00126D03">
        <w:rPr>
          <w:lang w:val="en-GB"/>
        </w:rPr>
        <w:t xml:space="preserve"> dismissed the special pleas raised with costs, including the costs of two counsel.</w:t>
      </w:r>
      <w:r w:rsidR="00A33B90" w:rsidRPr="00126D03">
        <w:rPr>
          <w:lang w:val="en-GB"/>
        </w:rPr>
        <w:t xml:space="preserve"> </w:t>
      </w:r>
      <w:r w:rsidR="00DA7A02" w:rsidRPr="00126D03">
        <w:rPr>
          <w:lang w:val="en-GB"/>
        </w:rPr>
        <w:t xml:space="preserve">The trial judge highlighted that the MEC was obliged to show that Mr Diko </w:t>
      </w:r>
      <w:r w:rsidR="00E045A6" w:rsidRPr="00126D03">
        <w:rPr>
          <w:lang w:val="en-GB"/>
        </w:rPr>
        <w:t>was in possession of sufficient facts to cause him on reasonable grounds to think that the injuries were due to the fault of the medical staff.</w:t>
      </w:r>
      <w:r w:rsidR="00327D19" w:rsidRPr="00126D03">
        <w:rPr>
          <w:lang w:val="en-GB"/>
        </w:rPr>
        <w:t xml:space="preserve"> </w:t>
      </w:r>
      <w:r w:rsidR="00A710FA" w:rsidRPr="00126D03">
        <w:rPr>
          <w:lang w:val="en-GB"/>
        </w:rPr>
        <w:t>Yet the MEC had not referred to hospital records to substantiate that Mr Diko had actual knowledge that there was a problem with the fixation ‘or that his having been told that there was “a problem” with the fixation in relation to what might be of relevance in the hospital records, ought to have given him reasonable grounds to suspect fault on their part so as to have caused him … [to seek] advice regarding the possibility of a damages claim against the defendant arising from that disclosure’.</w:t>
      </w:r>
      <w:r w:rsidR="006B7D7B">
        <w:rPr>
          <w:rStyle w:val="FootnoteReference"/>
          <w:lang w:val="en-GB"/>
        </w:rPr>
        <w:footnoteReference w:id="8"/>
      </w:r>
    </w:p>
    <w:p w14:paraId="01130556" w14:textId="77777777" w:rsidR="00AD7F05" w:rsidRDefault="00AD7F05" w:rsidP="00AD7F05">
      <w:pPr>
        <w:pStyle w:val="ListParagraph"/>
        <w:autoSpaceDE w:val="0"/>
        <w:autoSpaceDN w:val="0"/>
        <w:adjustRightInd w:val="0"/>
        <w:ind w:left="0"/>
        <w:jc w:val="both"/>
        <w:rPr>
          <w:lang w:val="en-GB"/>
        </w:rPr>
      </w:pPr>
    </w:p>
    <w:p w14:paraId="5ACA3771" w14:textId="38ABD141" w:rsidR="00AD7F05" w:rsidRPr="00126D03" w:rsidRDefault="00126D03" w:rsidP="00126D03">
      <w:pPr>
        <w:autoSpaceDE w:val="0"/>
        <w:autoSpaceDN w:val="0"/>
        <w:adjustRightInd w:val="0"/>
        <w:jc w:val="both"/>
        <w:rPr>
          <w:lang w:val="en-GB"/>
        </w:rPr>
      </w:pPr>
      <w:r>
        <w:rPr>
          <w:lang w:val="en-GB"/>
        </w:rPr>
        <w:t>[7]</w:t>
      </w:r>
      <w:r>
        <w:rPr>
          <w:lang w:val="en-GB"/>
        </w:rPr>
        <w:tab/>
      </w:r>
      <w:r w:rsidR="00AD7F05" w:rsidRPr="00126D03">
        <w:rPr>
          <w:lang w:val="en-GB"/>
        </w:rPr>
        <w:t xml:space="preserve">The assessment of the evidence </w:t>
      </w:r>
      <w:r w:rsidR="00FB1A78" w:rsidRPr="00126D03">
        <w:rPr>
          <w:lang w:val="en-GB"/>
        </w:rPr>
        <w:t>continued</w:t>
      </w:r>
      <w:r w:rsidR="00AD7F05" w:rsidRPr="00126D03">
        <w:rPr>
          <w:lang w:val="en-GB"/>
        </w:rPr>
        <w:t xml:space="preserve"> as follows:</w:t>
      </w:r>
    </w:p>
    <w:p w14:paraId="22322E52" w14:textId="08DAA985" w:rsidR="00AD7F05" w:rsidRDefault="00AD7F05" w:rsidP="00E04536">
      <w:pPr>
        <w:jc w:val="both"/>
        <w:rPr>
          <w:lang w:val="en-GB"/>
        </w:rPr>
      </w:pPr>
    </w:p>
    <w:p w14:paraId="47A5FABB" w14:textId="7BF18A98" w:rsidR="00AD7F05" w:rsidRDefault="008264C8" w:rsidP="00E04536">
      <w:pPr>
        <w:jc w:val="both"/>
        <w:rPr>
          <w:sz w:val="22"/>
          <w:szCs w:val="22"/>
          <w:lang w:val="en-GB"/>
        </w:rPr>
      </w:pPr>
      <w:r>
        <w:rPr>
          <w:sz w:val="22"/>
          <w:szCs w:val="22"/>
          <w:lang w:val="en-GB"/>
        </w:rPr>
        <w:t>‘It seems to me that even if the plaintiff had been told that there was “a problem with the fracture fixation” … this does not equate to the defendant showing that he was “in possession of sufficient facts to (have caused him) on reasonable grounds to think that his injuries were due to the fault of the medical staff”</w:t>
      </w:r>
      <w:r w:rsidR="00456F0C">
        <w:rPr>
          <w:sz w:val="22"/>
          <w:szCs w:val="22"/>
          <w:lang w:val="en-GB"/>
        </w:rPr>
        <w:t xml:space="preserve"> … while he might have been expected to know that something was amiss … how was he supposed to know that a wrong nail had been inserted or that it is contraindicated in orthopaedic practice.</w:t>
      </w:r>
      <w:r>
        <w:rPr>
          <w:sz w:val="22"/>
          <w:szCs w:val="22"/>
          <w:lang w:val="en-GB"/>
        </w:rPr>
        <w:t>’</w:t>
      </w:r>
    </w:p>
    <w:p w14:paraId="7C5EDA82" w14:textId="77777777" w:rsidR="00B65431" w:rsidRPr="008264C8" w:rsidRDefault="00B65431" w:rsidP="00E04536">
      <w:pPr>
        <w:jc w:val="both"/>
        <w:rPr>
          <w:sz w:val="22"/>
          <w:szCs w:val="22"/>
          <w:lang w:val="en-GB"/>
        </w:rPr>
      </w:pPr>
    </w:p>
    <w:p w14:paraId="3E00FB8E" w14:textId="2306CCA1" w:rsidR="001747D1" w:rsidRPr="00126D03" w:rsidRDefault="00126D03" w:rsidP="00126D03">
      <w:pPr>
        <w:autoSpaceDE w:val="0"/>
        <w:autoSpaceDN w:val="0"/>
        <w:adjustRightInd w:val="0"/>
        <w:jc w:val="both"/>
        <w:rPr>
          <w:lang w:val="en-GB"/>
        </w:rPr>
      </w:pPr>
      <w:r w:rsidRPr="004654D1">
        <w:rPr>
          <w:lang w:val="en-GB"/>
        </w:rPr>
        <w:t>[8]</w:t>
      </w:r>
      <w:r w:rsidRPr="004654D1">
        <w:rPr>
          <w:lang w:val="en-GB"/>
        </w:rPr>
        <w:tab/>
      </w:r>
      <w:r w:rsidR="00BC41B7" w:rsidRPr="00126D03">
        <w:rPr>
          <w:lang w:val="en-GB"/>
        </w:rPr>
        <w:t xml:space="preserve">The trial court </w:t>
      </w:r>
      <w:r w:rsidR="00E61310" w:rsidRPr="00126D03">
        <w:rPr>
          <w:lang w:val="en-GB"/>
        </w:rPr>
        <w:t xml:space="preserve">was concerned about the reliability of the oral evidence it had heard. It </w:t>
      </w:r>
      <w:r w:rsidR="00BC41B7" w:rsidRPr="00126D03">
        <w:rPr>
          <w:lang w:val="en-GB"/>
        </w:rPr>
        <w:t xml:space="preserve">found it implausible </w:t>
      </w:r>
      <w:r w:rsidR="006430AC" w:rsidRPr="00126D03">
        <w:rPr>
          <w:lang w:val="en-GB"/>
        </w:rPr>
        <w:t xml:space="preserve">that the hospital staff would have told Mr Diko that he had received substandard treatment. </w:t>
      </w:r>
      <w:r w:rsidR="008F67D7" w:rsidRPr="00126D03">
        <w:rPr>
          <w:lang w:val="en-GB"/>
        </w:rPr>
        <w:t xml:space="preserve">The medical records themselves were scant and did not support </w:t>
      </w:r>
      <w:r w:rsidR="001708A6" w:rsidRPr="00126D03">
        <w:rPr>
          <w:lang w:val="en-GB"/>
        </w:rPr>
        <w:t xml:space="preserve">a case of actual knowledge of insertion of a wrong pin. </w:t>
      </w:r>
      <w:r w:rsidR="00093BC6" w:rsidRPr="00126D03">
        <w:rPr>
          <w:lang w:val="en-GB"/>
        </w:rPr>
        <w:t>On this assessment of the evidence, the MEC had not shown that Mr Diko had either actual or constructive knowledge of the identity of the debtor or of the facts giving rise to the debt</w:t>
      </w:r>
      <w:r w:rsidR="00B37378" w:rsidRPr="00126D03">
        <w:rPr>
          <w:lang w:val="en-GB"/>
        </w:rPr>
        <w:t xml:space="preserve"> more than three years before the action had been instituted</w:t>
      </w:r>
      <w:r w:rsidR="00093BC6" w:rsidRPr="00126D03">
        <w:rPr>
          <w:lang w:val="en-GB"/>
        </w:rPr>
        <w:t xml:space="preserve">. </w:t>
      </w:r>
    </w:p>
    <w:p w14:paraId="2146D8B3" w14:textId="249ABE57" w:rsidR="00221A84" w:rsidRDefault="00221A84" w:rsidP="001747D1">
      <w:pPr>
        <w:pStyle w:val="ListParagraph"/>
        <w:autoSpaceDE w:val="0"/>
        <w:autoSpaceDN w:val="0"/>
        <w:adjustRightInd w:val="0"/>
        <w:ind w:left="0"/>
        <w:jc w:val="both"/>
        <w:rPr>
          <w:sz w:val="22"/>
          <w:szCs w:val="22"/>
          <w:lang w:val="en-GB"/>
        </w:rPr>
      </w:pPr>
    </w:p>
    <w:p w14:paraId="5F84C3AE" w14:textId="124FE44F" w:rsidR="00A435D7" w:rsidRPr="0021491A" w:rsidRDefault="00A435D7" w:rsidP="001747D1">
      <w:pPr>
        <w:pStyle w:val="ListParagraph"/>
        <w:autoSpaceDE w:val="0"/>
        <w:autoSpaceDN w:val="0"/>
        <w:adjustRightInd w:val="0"/>
        <w:ind w:left="0"/>
        <w:jc w:val="both"/>
        <w:rPr>
          <w:b/>
          <w:bCs/>
          <w:sz w:val="22"/>
          <w:szCs w:val="22"/>
          <w:lang w:val="en-GB"/>
        </w:rPr>
      </w:pPr>
      <w:r w:rsidRPr="0021491A">
        <w:rPr>
          <w:b/>
          <w:bCs/>
          <w:sz w:val="22"/>
          <w:szCs w:val="22"/>
          <w:lang w:val="en-GB"/>
        </w:rPr>
        <w:t>Grounds of appeal</w:t>
      </w:r>
    </w:p>
    <w:p w14:paraId="1DF6636C" w14:textId="77777777" w:rsidR="00A435D7" w:rsidRPr="00A435D7" w:rsidRDefault="00A435D7" w:rsidP="001747D1">
      <w:pPr>
        <w:pStyle w:val="ListParagraph"/>
        <w:autoSpaceDE w:val="0"/>
        <w:autoSpaceDN w:val="0"/>
        <w:adjustRightInd w:val="0"/>
        <w:ind w:left="0"/>
        <w:jc w:val="both"/>
        <w:rPr>
          <w:i/>
          <w:iCs/>
          <w:sz w:val="22"/>
          <w:szCs w:val="22"/>
          <w:lang w:val="en-GB"/>
        </w:rPr>
      </w:pPr>
    </w:p>
    <w:p w14:paraId="41A57782" w14:textId="304C772E" w:rsidR="001747D1" w:rsidRPr="00126D03" w:rsidRDefault="00126D03" w:rsidP="00126D03">
      <w:pPr>
        <w:autoSpaceDE w:val="0"/>
        <w:autoSpaceDN w:val="0"/>
        <w:adjustRightInd w:val="0"/>
        <w:jc w:val="both"/>
        <w:rPr>
          <w:lang w:val="en-GB"/>
        </w:rPr>
      </w:pPr>
      <w:r>
        <w:rPr>
          <w:lang w:val="en-GB"/>
        </w:rPr>
        <w:t>[9]</w:t>
      </w:r>
      <w:r>
        <w:rPr>
          <w:lang w:val="en-GB"/>
        </w:rPr>
        <w:tab/>
      </w:r>
      <w:r w:rsidR="004654D1" w:rsidRPr="00126D03">
        <w:rPr>
          <w:lang w:val="en-GB"/>
        </w:rPr>
        <w:t xml:space="preserve">The learned judge in the court </w:t>
      </w:r>
      <w:r w:rsidR="004654D1" w:rsidRPr="00126D03">
        <w:rPr>
          <w:i/>
          <w:iCs/>
          <w:lang w:val="en-GB"/>
        </w:rPr>
        <w:t>a quo</w:t>
      </w:r>
      <w:r w:rsidR="004654D1" w:rsidRPr="00126D03">
        <w:rPr>
          <w:lang w:val="en-GB"/>
        </w:rPr>
        <w:t xml:space="preserve"> granted leave to appeal on the basis that the failure to cross-exam Dr Osman seriously, coupled with Mr Diko’s failure to testify, would likely </w:t>
      </w:r>
      <w:r w:rsidR="00D37612" w:rsidRPr="00126D03">
        <w:rPr>
          <w:lang w:val="en-GB"/>
        </w:rPr>
        <w:t xml:space="preserve">be assessed differently by another court and </w:t>
      </w:r>
      <w:r w:rsidR="004654D1" w:rsidRPr="00126D03">
        <w:rPr>
          <w:lang w:val="en-GB"/>
        </w:rPr>
        <w:t xml:space="preserve">result in a </w:t>
      </w:r>
      <w:r w:rsidR="00D37612" w:rsidRPr="00126D03">
        <w:rPr>
          <w:lang w:val="en-GB"/>
        </w:rPr>
        <w:t>changed</w:t>
      </w:r>
      <w:r w:rsidR="004654D1" w:rsidRPr="00126D03">
        <w:rPr>
          <w:lang w:val="en-GB"/>
        </w:rPr>
        <w:t xml:space="preserve"> outcome</w:t>
      </w:r>
      <w:r w:rsidR="000061B2" w:rsidRPr="00126D03">
        <w:rPr>
          <w:lang w:val="en-GB"/>
        </w:rPr>
        <w:t xml:space="preserve"> based on deemed knowledge</w:t>
      </w:r>
      <w:r w:rsidR="004654D1" w:rsidRPr="00126D03">
        <w:rPr>
          <w:lang w:val="en-GB"/>
        </w:rPr>
        <w:t>.</w:t>
      </w:r>
      <w:r w:rsidR="006F3AD6" w:rsidRPr="00126D03">
        <w:rPr>
          <w:lang w:val="en-GB"/>
        </w:rPr>
        <w:t xml:space="preserve"> In addition, the </w:t>
      </w:r>
      <w:r w:rsidR="00213271" w:rsidRPr="00126D03">
        <w:rPr>
          <w:lang w:val="en-GB"/>
        </w:rPr>
        <w:t>matter was not so complex as to warrant costs of two counsel.</w:t>
      </w:r>
    </w:p>
    <w:p w14:paraId="391278B2" w14:textId="77777777" w:rsidR="00096E59" w:rsidRPr="00096E59" w:rsidRDefault="00096E59" w:rsidP="00096E59">
      <w:pPr>
        <w:pStyle w:val="ListParagraph"/>
        <w:rPr>
          <w:lang w:val="en-GB"/>
        </w:rPr>
      </w:pPr>
    </w:p>
    <w:p w14:paraId="22768D2B" w14:textId="4F3CC803" w:rsidR="00096E59" w:rsidRPr="00126D03" w:rsidRDefault="00126D03" w:rsidP="00126D03">
      <w:pPr>
        <w:autoSpaceDE w:val="0"/>
        <w:autoSpaceDN w:val="0"/>
        <w:adjustRightInd w:val="0"/>
        <w:jc w:val="both"/>
        <w:rPr>
          <w:lang w:val="en-GB"/>
        </w:rPr>
      </w:pPr>
      <w:r>
        <w:rPr>
          <w:lang w:val="en-GB"/>
        </w:rPr>
        <w:t>[10]</w:t>
      </w:r>
      <w:r>
        <w:rPr>
          <w:lang w:val="en-GB"/>
        </w:rPr>
        <w:tab/>
      </w:r>
      <w:r w:rsidR="00096E59" w:rsidRPr="00126D03">
        <w:rPr>
          <w:lang w:val="en-GB"/>
        </w:rPr>
        <w:t xml:space="preserve">Part of the notice of appeal is focused on the trial court’s finding that the MEC had not succeeded in discharging the onus to show Mr Diko’s actual or constructive knowledge of the identity of the debtor. It may be accepted that this issue is inextricably bound </w:t>
      </w:r>
      <w:r w:rsidR="00400E31" w:rsidRPr="00126D03">
        <w:rPr>
          <w:lang w:val="en-GB"/>
        </w:rPr>
        <w:t xml:space="preserve">to the issue of </w:t>
      </w:r>
      <w:r w:rsidR="005950D4" w:rsidRPr="00126D03">
        <w:rPr>
          <w:lang w:val="en-GB"/>
        </w:rPr>
        <w:t xml:space="preserve">Mr Diko’s </w:t>
      </w:r>
      <w:r w:rsidR="00400E31" w:rsidRPr="00126D03">
        <w:rPr>
          <w:lang w:val="en-GB"/>
        </w:rPr>
        <w:t>knowledge of the facts from which the debt arises based on the exercise of reasonable care.</w:t>
      </w:r>
      <w:r w:rsidR="00CB03A1" w:rsidRPr="00126D03">
        <w:rPr>
          <w:lang w:val="en-GB"/>
        </w:rPr>
        <w:t xml:space="preserve"> </w:t>
      </w:r>
      <w:r w:rsidR="004C0B60" w:rsidRPr="00126D03">
        <w:rPr>
          <w:lang w:val="en-GB"/>
        </w:rPr>
        <w:t xml:space="preserve">The crux of the </w:t>
      </w:r>
      <w:r w:rsidR="00DF623A" w:rsidRPr="00126D03">
        <w:rPr>
          <w:lang w:val="en-GB"/>
        </w:rPr>
        <w:t>challenge is</w:t>
      </w:r>
      <w:r w:rsidR="00CB03A1" w:rsidRPr="00126D03">
        <w:rPr>
          <w:lang w:val="en-GB"/>
        </w:rPr>
        <w:t xml:space="preserve"> his failure to testify, particularly in circumstances where the relevant facts were peculiarly within his knowledge</w:t>
      </w:r>
      <w:r w:rsidR="00540198" w:rsidRPr="00126D03">
        <w:rPr>
          <w:lang w:val="en-GB"/>
        </w:rPr>
        <w:t xml:space="preserve">, </w:t>
      </w:r>
      <w:r w:rsidR="00E238B8" w:rsidRPr="00126D03">
        <w:rPr>
          <w:lang w:val="en-GB"/>
        </w:rPr>
        <w:t xml:space="preserve">as well as the failure to </w:t>
      </w:r>
      <w:r w:rsidR="00A26C56" w:rsidRPr="00126D03">
        <w:rPr>
          <w:lang w:val="en-GB"/>
        </w:rPr>
        <w:t>challenge</w:t>
      </w:r>
      <w:r w:rsidR="00E238B8" w:rsidRPr="00126D03">
        <w:rPr>
          <w:lang w:val="en-GB"/>
        </w:rPr>
        <w:t xml:space="preserve"> Dr Osman</w:t>
      </w:r>
      <w:r w:rsidR="00A26C56" w:rsidRPr="00126D03">
        <w:rPr>
          <w:lang w:val="en-GB"/>
        </w:rPr>
        <w:t>’s evidence seriously through cross-examination</w:t>
      </w:r>
      <w:r w:rsidR="00B47D90" w:rsidRPr="00126D03">
        <w:rPr>
          <w:lang w:val="en-GB"/>
        </w:rPr>
        <w:t>, including by not rebutting facts particularly within his knowledge.</w:t>
      </w:r>
      <w:r w:rsidR="00F82646" w:rsidRPr="00126D03">
        <w:rPr>
          <w:lang w:val="en-GB"/>
        </w:rPr>
        <w:t xml:space="preserve"> </w:t>
      </w:r>
      <w:r w:rsidR="002C513F" w:rsidRPr="00126D03">
        <w:rPr>
          <w:lang w:val="en-GB"/>
        </w:rPr>
        <w:t>It is argued that t</w:t>
      </w:r>
      <w:r w:rsidR="00F82646" w:rsidRPr="00126D03">
        <w:rPr>
          <w:lang w:val="en-GB"/>
        </w:rPr>
        <w:t xml:space="preserve">he court </w:t>
      </w:r>
      <w:r w:rsidR="00F82646" w:rsidRPr="00126D03">
        <w:rPr>
          <w:i/>
          <w:iCs/>
          <w:lang w:val="en-GB"/>
        </w:rPr>
        <w:t>a quo</w:t>
      </w:r>
      <w:r w:rsidR="00F82646" w:rsidRPr="00126D03">
        <w:rPr>
          <w:lang w:val="en-GB"/>
        </w:rPr>
        <w:t xml:space="preserve"> failed to give adequate weight to the </w:t>
      </w:r>
      <w:r w:rsidR="00A03E57" w:rsidRPr="00126D03">
        <w:rPr>
          <w:lang w:val="en-GB"/>
        </w:rPr>
        <w:t xml:space="preserve">principle that less evidence will suffice to establish a prima facie case where a party fails to explains facts </w:t>
      </w:r>
      <w:r w:rsidR="00A03E57" w:rsidRPr="00126D03">
        <w:rPr>
          <w:lang w:val="en-GB"/>
        </w:rPr>
        <w:lastRenderedPageBreak/>
        <w:t xml:space="preserve">within his exclusive knowledge. </w:t>
      </w:r>
      <w:r w:rsidR="00EF6BC3" w:rsidRPr="00126D03">
        <w:rPr>
          <w:lang w:val="en-GB"/>
        </w:rPr>
        <w:t xml:space="preserve">The MEC also </w:t>
      </w:r>
      <w:r w:rsidR="00911691" w:rsidRPr="00126D03">
        <w:rPr>
          <w:lang w:val="en-GB"/>
        </w:rPr>
        <w:t xml:space="preserve">submits that the trial court erred by </w:t>
      </w:r>
      <w:r w:rsidR="0077287E" w:rsidRPr="00126D03">
        <w:rPr>
          <w:lang w:val="en-GB"/>
        </w:rPr>
        <w:t>elevating the knowledge to be obtained by Mr Diko to include information indicating the negligence of the treating medical staff.</w:t>
      </w:r>
      <w:r w:rsidR="00FB2851">
        <w:rPr>
          <w:rStyle w:val="FootnoteReference"/>
          <w:lang w:val="en-GB"/>
        </w:rPr>
        <w:footnoteReference w:id="9"/>
      </w:r>
      <w:r w:rsidR="0077287E" w:rsidRPr="00126D03">
        <w:rPr>
          <w:lang w:val="en-GB"/>
        </w:rPr>
        <w:t xml:space="preserve"> </w:t>
      </w:r>
      <w:r w:rsidR="00631BFF" w:rsidRPr="00126D03">
        <w:rPr>
          <w:lang w:val="en-GB"/>
        </w:rPr>
        <w:t>The finding related to the unreliability of the evidence led, based on a language barrier</w:t>
      </w:r>
      <w:r w:rsidR="00146C33" w:rsidRPr="00126D03">
        <w:rPr>
          <w:lang w:val="en-GB"/>
        </w:rPr>
        <w:t xml:space="preserve"> and use of an interpreter during consultation</w:t>
      </w:r>
      <w:r w:rsidR="00631BFF" w:rsidRPr="00126D03">
        <w:rPr>
          <w:lang w:val="en-GB"/>
        </w:rPr>
        <w:t xml:space="preserve">, was also </w:t>
      </w:r>
      <w:r w:rsidR="00733013" w:rsidRPr="00126D03">
        <w:rPr>
          <w:lang w:val="en-GB"/>
        </w:rPr>
        <w:t>challenged as speculative</w:t>
      </w:r>
      <w:r w:rsidR="00631BFF" w:rsidRPr="00126D03">
        <w:rPr>
          <w:lang w:val="en-GB"/>
        </w:rPr>
        <w:t xml:space="preserve">. </w:t>
      </w:r>
    </w:p>
    <w:p w14:paraId="009E0B57" w14:textId="4A25C047" w:rsidR="00D340AF" w:rsidRDefault="00D340AF" w:rsidP="00D340AF">
      <w:pPr>
        <w:pStyle w:val="ListParagraph"/>
        <w:autoSpaceDE w:val="0"/>
        <w:autoSpaceDN w:val="0"/>
        <w:adjustRightInd w:val="0"/>
        <w:ind w:left="0"/>
        <w:jc w:val="both"/>
        <w:rPr>
          <w:lang w:val="en-GB"/>
        </w:rPr>
      </w:pPr>
    </w:p>
    <w:p w14:paraId="254E3C10" w14:textId="69DE2DDC" w:rsidR="00D340AF" w:rsidRPr="00FB2149" w:rsidRDefault="00D340AF" w:rsidP="00D340AF">
      <w:pPr>
        <w:pStyle w:val="ListParagraph"/>
        <w:autoSpaceDE w:val="0"/>
        <w:autoSpaceDN w:val="0"/>
        <w:adjustRightInd w:val="0"/>
        <w:ind w:left="0"/>
        <w:jc w:val="both"/>
        <w:rPr>
          <w:b/>
          <w:bCs/>
          <w:lang w:val="en-GB"/>
        </w:rPr>
      </w:pPr>
      <w:r w:rsidRPr="00FB2149">
        <w:rPr>
          <w:b/>
          <w:bCs/>
          <w:lang w:val="en-GB"/>
        </w:rPr>
        <w:t>Analysis</w:t>
      </w:r>
    </w:p>
    <w:p w14:paraId="0B923FE5" w14:textId="77777777" w:rsidR="00D340AF" w:rsidRPr="00D340AF" w:rsidRDefault="00D340AF" w:rsidP="00D340AF">
      <w:pPr>
        <w:pStyle w:val="ListParagraph"/>
        <w:autoSpaceDE w:val="0"/>
        <w:autoSpaceDN w:val="0"/>
        <w:adjustRightInd w:val="0"/>
        <w:ind w:left="0"/>
        <w:jc w:val="both"/>
        <w:rPr>
          <w:i/>
          <w:iCs/>
          <w:lang w:val="en-GB"/>
        </w:rPr>
      </w:pPr>
    </w:p>
    <w:p w14:paraId="60874E22" w14:textId="00D40066" w:rsidR="00FB2149" w:rsidRPr="00126D03" w:rsidRDefault="00126D03" w:rsidP="00126D03">
      <w:pPr>
        <w:autoSpaceDE w:val="0"/>
        <w:autoSpaceDN w:val="0"/>
        <w:adjustRightInd w:val="0"/>
        <w:jc w:val="both"/>
        <w:rPr>
          <w:lang w:val="en-GB"/>
        </w:rPr>
      </w:pPr>
      <w:r>
        <w:rPr>
          <w:lang w:val="en-GB"/>
        </w:rPr>
        <w:t>[11]</w:t>
      </w:r>
      <w:r>
        <w:rPr>
          <w:lang w:val="en-GB"/>
        </w:rPr>
        <w:tab/>
      </w:r>
      <w:r w:rsidR="001E2D47" w:rsidRPr="00126D03">
        <w:rPr>
          <w:lang w:val="en-GB"/>
        </w:rPr>
        <w:t>Courts must promote the spirit, purport and object</w:t>
      </w:r>
      <w:r w:rsidR="00A07C38" w:rsidRPr="00126D03">
        <w:rPr>
          <w:lang w:val="en-GB"/>
        </w:rPr>
        <w:t>s of the Bill of Rights when interpreting any legislation.</w:t>
      </w:r>
      <w:r w:rsidR="00A07C38">
        <w:rPr>
          <w:rStyle w:val="FootnoteReference"/>
          <w:lang w:val="en-GB"/>
        </w:rPr>
        <w:footnoteReference w:id="10"/>
      </w:r>
      <w:r w:rsidR="00A07C38" w:rsidRPr="00126D03">
        <w:rPr>
          <w:lang w:val="en-GB"/>
        </w:rPr>
        <w:t xml:space="preserve"> </w:t>
      </w:r>
      <w:r w:rsidR="008703E1" w:rsidRPr="00126D03">
        <w:rPr>
          <w:lang w:val="en-GB"/>
        </w:rPr>
        <w:t>Prescription</w:t>
      </w:r>
      <w:r w:rsidR="00F6404B" w:rsidRPr="00126D03">
        <w:rPr>
          <w:lang w:val="en-GB"/>
        </w:rPr>
        <w:t xml:space="preserve"> in the context of s 12(3), </w:t>
      </w:r>
      <w:r w:rsidR="008703E1" w:rsidRPr="00126D03">
        <w:rPr>
          <w:lang w:val="en-GB"/>
        </w:rPr>
        <w:t xml:space="preserve">it must be remembered, is aimed at penalising negligent inaction, rather than </w:t>
      </w:r>
      <w:r w:rsidR="00F6404B" w:rsidRPr="00126D03">
        <w:rPr>
          <w:lang w:val="en-GB"/>
        </w:rPr>
        <w:t>innocent inaction.</w:t>
      </w:r>
      <w:r w:rsidR="006A467B">
        <w:rPr>
          <w:rStyle w:val="FootnoteReference"/>
          <w:lang w:val="en-GB"/>
        </w:rPr>
        <w:footnoteReference w:id="11"/>
      </w:r>
      <w:r w:rsidR="00F6404B" w:rsidRPr="00126D03">
        <w:rPr>
          <w:lang w:val="en-GB"/>
        </w:rPr>
        <w:t xml:space="preserve"> </w:t>
      </w:r>
      <w:r w:rsidR="00CF37D0" w:rsidRPr="00126D03">
        <w:rPr>
          <w:lang w:val="en-GB"/>
        </w:rPr>
        <w:t xml:space="preserve">The plea of prescription, as circumscribed by Mr Diko’s replication, requires a determination of two issues: firstly, what were </w:t>
      </w:r>
      <w:r w:rsidR="007E0417" w:rsidRPr="00126D03">
        <w:rPr>
          <w:lang w:val="en-GB"/>
        </w:rPr>
        <w:t xml:space="preserve">the facts </w:t>
      </w:r>
      <w:r w:rsidR="00CF37D0" w:rsidRPr="00126D03">
        <w:rPr>
          <w:lang w:val="en-GB"/>
        </w:rPr>
        <w:t xml:space="preserve">which Mr Diko was required to have knowledge of before prescription could commence running; and, secondly, when </w:t>
      </w:r>
      <w:r w:rsidR="003D2029" w:rsidRPr="00126D03">
        <w:rPr>
          <w:lang w:val="en-GB"/>
        </w:rPr>
        <w:t>did he acquire</w:t>
      </w:r>
      <w:r w:rsidR="00CF37D0" w:rsidRPr="00126D03">
        <w:rPr>
          <w:lang w:val="en-GB"/>
        </w:rPr>
        <w:t xml:space="preserve"> </w:t>
      </w:r>
      <w:r w:rsidR="00AA3A86" w:rsidRPr="00126D03">
        <w:rPr>
          <w:lang w:val="en-GB"/>
        </w:rPr>
        <w:t xml:space="preserve">actual or deemed </w:t>
      </w:r>
      <w:r w:rsidR="00CF37D0" w:rsidRPr="00126D03">
        <w:rPr>
          <w:lang w:val="en-GB"/>
        </w:rPr>
        <w:t>knowledge of such facts.</w:t>
      </w:r>
      <w:r w:rsidR="001F0422">
        <w:rPr>
          <w:rStyle w:val="FootnoteReference"/>
          <w:lang w:val="en-GB"/>
        </w:rPr>
        <w:footnoteReference w:id="12"/>
      </w:r>
      <w:r w:rsidR="00CF37D0" w:rsidRPr="00126D03">
        <w:rPr>
          <w:lang w:val="en-GB"/>
        </w:rPr>
        <w:t xml:space="preserve"> </w:t>
      </w:r>
      <w:r w:rsidR="00E12C25" w:rsidRPr="00126D03">
        <w:rPr>
          <w:lang w:val="en-GB"/>
        </w:rPr>
        <w:t>T</w:t>
      </w:r>
      <w:r w:rsidR="00741FBE" w:rsidRPr="00126D03">
        <w:rPr>
          <w:lang w:val="en-GB"/>
        </w:rPr>
        <w:t xml:space="preserve">he burden is on the MEC to prove </w:t>
      </w:r>
      <w:r w:rsidR="00E7701C" w:rsidRPr="00126D03">
        <w:rPr>
          <w:lang w:val="en-GB"/>
        </w:rPr>
        <w:t>this aspect</w:t>
      </w:r>
      <w:r w:rsidR="005B24BB" w:rsidRPr="00126D03">
        <w:rPr>
          <w:lang w:val="en-GB"/>
        </w:rPr>
        <w:t>.</w:t>
      </w:r>
      <w:r w:rsidR="000F7BB4">
        <w:rPr>
          <w:rStyle w:val="FootnoteReference"/>
          <w:lang w:val="en-GB"/>
        </w:rPr>
        <w:footnoteReference w:id="13"/>
      </w:r>
      <w:r w:rsidR="00A54CDA" w:rsidRPr="00126D03">
        <w:rPr>
          <w:lang w:val="en-GB"/>
        </w:rPr>
        <w:t xml:space="preserve"> </w:t>
      </w:r>
      <w:r w:rsidR="002B769D" w:rsidRPr="00126D03">
        <w:rPr>
          <w:lang w:val="en-GB"/>
        </w:rPr>
        <w:t>Before addressing these matters, it is necessary to make some remarks about whether the MEC ought to be held strictly to the pleaded date of inception of prescription, as argued by the respondent.</w:t>
      </w:r>
    </w:p>
    <w:p w14:paraId="38BF4A26" w14:textId="77777777" w:rsidR="0000151B" w:rsidRDefault="0000151B" w:rsidP="0000151B">
      <w:pPr>
        <w:pStyle w:val="ListParagraph"/>
        <w:autoSpaceDE w:val="0"/>
        <w:autoSpaceDN w:val="0"/>
        <w:adjustRightInd w:val="0"/>
        <w:ind w:left="0"/>
        <w:jc w:val="both"/>
        <w:rPr>
          <w:lang w:val="en-GB"/>
        </w:rPr>
      </w:pPr>
    </w:p>
    <w:p w14:paraId="3D42BF74" w14:textId="68C5B444" w:rsidR="0000151B" w:rsidRPr="00126D03" w:rsidRDefault="00126D03" w:rsidP="00126D03">
      <w:pPr>
        <w:autoSpaceDE w:val="0"/>
        <w:autoSpaceDN w:val="0"/>
        <w:adjustRightInd w:val="0"/>
        <w:jc w:val="both"/>
        <w:rPr>
          <w:lang w:val="en-GB"/>
        </w:rPr>
      </w:pPr>
      <w:r>
        <w:rPr>
          <w:lang w:val="en-GB"/>
        </w:rPr>
        <w:t>[12]</w:t>
      </w:r>
      <w:r>
        <w:rPr>
          <w:lang w:val="en-GB"/>
        </w:rPr>
        <w:tab/>
      </w:r>
      <w:r w:rsidR="0000151B" w:rsidRPr="00126D03">
        <w:rPr>
          <w:lang w:val="en-GB"/>
        </w:rPr>
        <w:t xml:space="preserve">As to precisely what the debtor is to allege and prove when raising prescription, there appears, with respect, to be a subtle tension between the SCA’s position as expressed in </w:t>
      </w:r>
      <w:r w:rsidR="0000151B" w:rsidRPr="00126D03">
        <w:rPr>
          <w:i/>
          <w:iCs/>
          <w:lang w:val="en-GB"/>
        </w:rPr>
        <w:t>Gericke v Sack</w:t>
      </w:r>
      <w:r w:rsidR="0000151B" w:rsidRPr="00126D03">
        <w:rPr>
          <w:lang w:val="en-GB"/>
        </w:rPr>
        <w:t>,</w:t>
      </w:r>
      <w:r w:rsidR="0000151B" w:rsidRPr="005147AE">
        <w:rPr>
          <w:rStyle w:val="FootnoteReference"/>
          <w:lang w:val="en-GB"/>
        </w:rPr>
        <w:footnoteReference w:id="14"/>
      </w:r>
      <w:r w:rsidR="0000151B" w:rsidRPr="00126D03">
        <w:rPr>
          <w:lang w:val="en-GB"/>
        </w:rPr>
        <w:t xml:space="preserve"> the Constitutional Court’s position in </w:t>
      </w:r>
      <w:r w:rsidR="0000151B" w:rsidRPr="00126D03">
        <w:rPr>
          <w:i/>
          <w:iCs/>
          <w:lang w:val="en-GB"/>
        </w:rPr>
        <w:t xml:space="preserve">Links v </w:t>
      </w:r>
      <w:r w:rsidR="0000151B" w:rsidRPr="00126D03">
        <w:rPr>
          <w:i/>
          <w:iCs/>
          <w:lang w:val="en-GB"/>
        </w:rPr>
        <w:lastRenderedPageBreak/>
        <w:t xml:space="preserve">Department of Health, Northern Province </w:t>
      </w:r>
      <w:r w:rsidR="0000151B" w:rsidRPr="00126D03">
        <w:rPr>
          <w:lang w:val="en-GB"/>
        </w:rPr>
        <w:t>(‘</w:t>
      </w:r>
      <w:r w:rsidR="0000151B" w:rsidRPr="00126D03">
        <w:rPr>
          <w:i/>
          <w:iCs/>
          <w:lang w:val="en-GB"/>
        </w:rPr>
        <w:t>Links</w:t>
      </w:r>
      <w:r w:rsidR="0000151B" w:rsidRPr="00126D03">
        <w:rPr>
          <w:lang w:val="en-GB"/>
        </w:rPr>
        <w:t>’),</w:t>
      </w:r>
      <w:r w:rsidR="0000151B" w:rsidRPr="002679A6">
        <w:rPr>
          <w:rStyle w:val="FootnoteReference"/>
          <w:lang w:val="en-GB"/>
        </w:rPr>
        <w:footnoteReference w:id="15"/>
      </w:r>
      <w:r w:rsidR="0000151B" w:rsidRPr="00126D03">
        <w:rPr>
          <w:lang w:val="en-GB"/>
        </w:rPr>
        <w:t xml:space="preserve"> which the SCA has confirmed as embodying the clear position in our law,</w:t>
      </w:r>
      <w:r w:rsidR="0000151B">
        <w:rPr>
          <w:rStyle w:val="FootnoteReference"/>
          <w:lang w:val="en-GB"/>
        </w:rPr>
        <w:footnoteReference w:id="16"/>
      </w:r>
      <w:r w:rsidR="0000151B" w:rsidRPr="00126D03">
        <w:rPr>
          <w:lang w:val="en-GB"/>
        </w:rPr>
        <w:t xml:space="preserve"> and recent decisions of that court placing reliance on the </w:t>
      </w:r>
      <w:r w:rsidR="0000151B" w:rsidRPr="00126D03">
        <w:rPr>
          <w:i/>
          <w:iCs/>
          <w:lang w:val="en-GB"/>
        </w:rPr>
        <w:t xml:space="preserve">Gericke v Sack </w:t>
      </w:r>
      <w:r w:rsidR="0000151B" w:rsidRPr="00126D03">
        <w:rPr>
          <w:lang w:val="en-GB"/>
        </w:rPr>
        <w:t>approach.</w:t>
      </w:r>
      <w:r w:rsidR="0000151B">
        <w:rPr>
          <w:rStyle w:val="FootnoteReference"/>
          <w:lang w:val="en-GB"/>
        </w:rPr>
        <w:footnoteReference w:id="17"/>
      </w:r>
      <w:r w:rsidR="0000151B" w:rsidRPr="00126D03">
        <w:rPr>
          <w:lang w:val="en-GB"/>
        </w:rPr>
        <w:t xml:space="preserve"> This has implications both for the precision with which a special plea of prescription should be pleaded and the strictness with which the proof offered by the debtor will be assessed, also on appeal.</w:t>
      </w:r>
      <w:r w:rsidR="0000151B">
        <w:rPr>
          <w:rStyle w:val="FootnoteReference"/>
          <w:lang w:val="en-GB"/>
        </w:rPr>
        <w:footnoteReference w:id="18"/>
      </w:r>
    </w:p>
    <w:p w14:paraId="44B7964A" w14:textId="77777777" w:rsidR="0000151B" w:rsidRDefault="0000151B" w:rsidP="0000151B">
      <w:pPr>
        <w:pStyle w:val="ListParagraph"/>
        <w:autoSpaceDE w:val="0"/>
        <w:autoSpaceDN w:val="0"/>
        <w:adjustRightInd w:val="0"/>
        <w:ind w:left="0"/>
        <w:jc w:val="both"/>
        <w:rPr>
          <w:lang w:val="en-GB"/>
        </w:rPr>
      </w:pPr>
    </w:p>
    <w:p w14:paraId="520D63DB" w14:textId="0EBB934D" w:rsidR="0000151B" w:rsidRPr="00126D03" w:rsidRDefault="00126D03" w:rsidP="00126D03">
      <w:pPr>
        <w:autoSpaceDE w:val="0"/>
        <w:autoSpaceDN w:val="0"/>
        <w:adjustRightInd w:val="0"/>
        <w:jc w:val="both"/>
        <w:rPr>
          <w:lang w:val="en-GB"/>
        </w:rPr>
      </w:pPr>
      <w:r>
        <w:rPr>
          <w:lang w:val="en-GB"/>
        </w:rPr>
        <w:t>[13]</w:t>
      </w:r>
      <w:r>
        <w:rPr>
          <w:lang w:val="en-GB"/>
        </w:rPr>
        <w:tab/>
      </w:r>
      <w:r w:rsidR="0000151B" w:rsidRPr="00126D03">
        <w:rPr>
          <w:lang w:val="en-GB"/>
        </w:rPr>
        <w:t xml:space="preserve">The judgment of the court a quo in </w:t>
      </w:r>
      <w:r w:rsidR="0000151B" w:rsidRPr="00126D03">
        <w:rPr>
          <w:i/>
          <w:iCs/>
          <w:lang w:val="en-GB"/>
        </w:rPr>
        <w:t xml:space="preserve">Links </w:t>
      </w:r>
      <w:r w:rsidR="0000151B" w:rsidRPr="00126D03">
        <w:rPr>
          <w:lang w:val="en-GB"/>
        </w:rPr>
        <w:t xml:space="preserve">establishes the facts of that matter. Notably, the MEC’s first special plea, which was upheld by that court, alleged that ‘the cause of action arose on </w:t>
      </w:r>
      <w:r w:rsidR="0000151B" w:rsidRPr="00126D03">
        <w:rPr>
          <w:i/>
          <w:iCs/>
          <w:lang w:val="en-GB"/>
        </w:rPr>
        <w:t>26 June 2006</w:t>
      </w:r>
      <w:r w:rsidR="0000151B" w:rsidRPr="00126D03">
        <w:rPr>
          <w:lang w:val="en-GB"/>
        </w:rPr>
        <w:t xml:space="preserve"> and that the summons was only issued on 6 August 2009, three years and two months later’ (own emphasis).</w:t>
      </w:r>
      <w:r w:rsidR="0000151B">
        <w:rPr>
          <w:rStyle w:val="FootnoteReference"/>
          <w:lang w:val="en-GB"/>
        </w:rPr>
        <w:footnoteReference w:id="19"/>
      </w:r>
      <w:r w:rsidR="0000151B" w:rsidRPr="00126D03">
        <w:rPr>
          <w:lang w:val="en-GB"/>
        </w:rPr>
        <w:t xml:space="preserve"> Instead of restricting themselves to the pleaded date, the Constitutional Court reframed the enquiry as follows:</w:t>
      </w:r>
      <w:r w:rsidR="0000151B">
        <w:rPr>
          <w:rStyle w:val="FootnoteReference"/>
          <w:lang w:val="en-GB"/>
        </w:rPr>
        <w:footnoteReference w:id="20"/>
      </w:r>
    </w:p>
    <w:p w14:paraId="66BCB3A1" w14:textId="77777777" w:rsidR="0000151B" w:rsidRDefault="0000151B" w:rsidP="0000151B">
      <w:pPr>
        <w:rPr>
          <w:lang w:val="en-GB"/>
        </w:rPr>
      </w:pPr>
    </w:p>
    <w:p w14:paraId="704416FB" w14:textId="77777777" w:rsidR="0000151B" w:rsidRDefault="0000151B" w:rsidP="0000151B">
      <w:pPr>
        <w:jc w:val="both"/>
        <w:rPr>
          <w:sz w:val="22"/>
          <w:szCs w:val="22"/>
          <w:lang w:val="en-GB"/>
        </w:rPr>
      </w:pPr>
      <w:r>
        <w:rPr>
          <w:sz w:val="22"/>
          <w:szCs w:val="22"/>
          <w:lang w:val="en-GB"/>
        </w:rPr>
        <w:t xml:space="preserve">‘The question for determination is whether the applicant’s claim had prescribed by 6 August 2009 when he served summons … The respondent bears the onus to prove that the applicant’s claim had prescribed by the given date. In order for the respondent to prove that, he must show that prescription began to run against the applicant’s claim not later than </w:t>
      </w:r>
      <w:r w:rsidRPr="008F09D2">
        <w:rPr>
          <w:i/>
          <w:iCs/>
          <w:sz w:val="22"/>
          <w:szCs w:val="22"/>
          <w:lang w:val="en-GB"/>
        </w:rPr>
        <w:t>5 August 200</w:t>
      </w:r>
      <w:r>
        <w:rPr>
          <w:i/>
          <w:iCs/>
          <w:sz w:val="22"/>
          <w:szCs w:val="22"/>
          <w:lang w:val="en-GB"/>
        </w:rPr>
        <w:t>6</w:t>
      </w:r>
      <w:r>
        <w:rPr>
          <w:sz w:val="22"/>
          <w:szCs w:val="22"/>
          <w:lang w:val="en-GB"/>
        </w:rPr>
        <w:t xml:space="preserve">. This is so because the period of prescription applicable is three years. In the context of s 12(3) the respondent must show what the facts are that the applicant was required to know before prescription could commence running. The respondent must also show that the applicant had knowledge of those facts on or before </w:t>
      </w:r>
      <w:r>
        <w:rPr>
          <w:i/>
          <w:iCs/>
          <w:sz w:val="22"/>
          <w:szCs w:val="22"/>
          <w:lang w:val="en-GB"/>
        </w:rPr>
        <w:t>5 August 2006</w:t>
      </w:r>
      <w:r>
        <w:rPr>
          <w:sz w:val="22"/>
          <w:szCs w:val="22"/>
          <w:lang w:val="en-GB"/>
        </w:rPr>
        <w:t>.’ (own emphasis).</w:t>
      </w:r>
    </w:p>
    <w:p w14:paraId="7F327FCF" w14:textId="77777777" w:rsidR="0000151B" w:rsidRPr="00FB41E9" w:rsidRDefault="0000151B" w:rsidP="0000151B">
      <w:pPr>
        <w:jc w:val="both"/>
        <w:rPr>
          <w:sz w:val="22"/>
          <w:szCs w:val="22"/>
          <w:lang w:val="en-GB"/>
        </w:rPr>
      </w:pPr>
    </w:p>
    <w:p w14:paraId="4F5E264E" w14:textId="4F6EAE77" w:rsidR="0000151B" w:rsidRPr="00126D03" w:rsidRDefault="00126D03" w:rsidP="00126D03">
      <w:pPr>
        <w:autoSpaceDE w:val="0"/>
        <w:autoSpaceDN w:val="0"/>
        <w:adjustRightInd w:val="0"/>
        <w:jc w:val="both"/>
        <w:rPr>
          <w:lang w:val="en-GB"/>
        </w:rPr>
      </w:pPr>
      <w:r>
        <w:rPr>
          <w:lang w:val="en-GB"/>
        </w:rPr>
        <w:t>[14]</w:t>
      </w:r>
      <w:r>
        <w:rPr>
          <w:lang w:val="en-GB"/>
        </w:rPr>
        <w:tab/>
      </w:r>
      <w:r w:rsidR="0000151B" w:rsidRPr="00126D03">
        <w:rPr>
          <w:lang w:val="en-GB"/>
        </w:rPr>
        <w:t>The Constitutional Court, alive to the date relied upon by the respondent in its affidavits (26 June 2006), added as follows:</w:t>
      </w:r>
      <w:r w:rsidR="0000151B">
        <w:rPr>
          <w:rStyle w:val="FootnoteReference"/>
          <w:lang w:val="en-GB"/>
        </w:rPr>
        <w:footnoteReference w:id="21"/>
      </w:r>
    </w:p>
    <w:p w14:paraId="69F04CC9" w14:textId="77777777" w:rsidR="0000151B" w:rsidRDefault="0000151B" w:rsidP="0000151B">
      <w:pPr>
        <w:pStyle w:val="ListParagraph"/>
        <w:autoSpaceDE w:val="0"/>
        <w:autoSpaceDN w:val="0"/>
        <w:adjustRightInd w:val="0"/>
        <w:ind w:left="0"/>
        <w:jc w:val="both"/>
        <w:rPr>
          <w:lang w:val="en-GB"/>
        </w:rPr>
      </w:pPr>
    </w:p>
    <w:p w14:paraId="42BE9BAD" w14:textId="77777777" w:rsidR="0000151B" w:rsidRPr="005B631A" w:rsidRDefault="0000151B" w:rsidP="0000151B">
      <w:pPr>
        <w:pStyle w:val="ListParagraph"/>
        <w:autoSpaceDE w:val="0"/>
        <w:autoSpaceDN w:val="0"/>
        <w:adjustRightInd w:val="0"/>
        <w:ind w:left="0"/>
        <w:jc w:val="both"/>
        <w:rPr>
          <w:lang w:val="en-GB"/>
        </w:rPr>
      </w:pPr>
      <w:r>
        <w:rPr>
          <w:sz w:val="22"/>
          <w:szCs w:val="22"/>
          <w:lang w:val="en-GB"/>
        </w:rPr>
        <w:t xml:space="preserve">‘The question is, therefore, whether the respondent discharged the onus </w:t>
      </w:r>
      <w:r>
        <w:rPr>
          <w:lang w:val="en-GB"/>
        </w:rPr>
        <w:t xml:space="preserve">to show that </w:t>
      </w:r>
      <w:r w:rsidRPr="005B631A">
        <w:rPr>
          <w:i/>
          <w:iCs/>
          <w:lang w:val="en-GB"/>
        </w:rPr>
        <w:t xml:space="preserve">on 26 June or at any date </w:t>
      </w:r>
      <w:r>
        <w:rPr>
          <w:i/>
          <w:iCs/>
          <w:lang w:val="en-GB"/>
        </w:rPr>
        <w:t>on or before 5 August 2006</w:t>
      </w:r>
      <w:r>
        <w:rPr>
          <w:lang w:val="en-GB"/>
        </w:rPr>
        <w:t xml:space="preserve"> the applicant had knowledge of all the material facts from which the debt arose or which he needed to know in order to institute action.’</w:t>
      </w:r>
    </w:p>
    <w:p w14:paraId="256721D4" w14:textId="77777777" w:rsidR="0000151B" w:rsidRDefault="0000151B" w:rsidP="0000151B">
      <w:pPr>
        <w:pStyle w:val="ListParagraph"/>
        <w:autoSpaceDE w:val="0"/>
        <w:autoSpaceDN w:val="0"/>
        <w:adjustRightInd w:val="0"/>
        <w:ind w:left="0"/>
        <w:jc w:val="both"/>
        <w:rPr>
          <w:lang w:val="en-GB"/>
        </w:rPr>
      </w:pPr>
    </w:p>
    <w:p w14:paraId="18700D92" w14:textId="57BFC9EC" w:rsidR="0000151B" w:rsidRPr="00126D03" w:rsidRDefault="00126D03" w:rsidP="00126D03">
      <w:pPr>
        <w:autoSpaceDE w:val="0"/>
        <w:autoSpaceDN w:val="0"/>
        <w:adjustRightInd w:val="0"/>
        <w:jc w:val="both"/>
        <w:rPr>
          <w:lang w:val="en-GB"/>
        </w:rPr>
      </w:pPr>
      <w:r w:rsidRPr="0000151B">
        <w:rPr>
          <w:lang w:val="en-GB"/>
        </w:rPr>
        <w:t>[15]</w:t>
      </w:r>
      <w:r w:rsidRPr="0000151B">
        <w:rPr>
          <w:lang w:val="en-GB"/>
        </w:rPr>
        <w:tab/>
      </w:r>
      <w:r w:rsidR="0000151B" w:rsidRPr="00126D03">
        <w:rPr>
          <w:lang w:val="en-GB"/>
        </w:rPr>
        <w:t>On this authority, the argument that the MEC has pleaded one case, namely that the debt became due by no later than 18 December 2009, and led evidence as to another date, four weeks later, may be over-strict. A more generous approach may instead be afforded in respect of consideration of the special plea, so that this court considers whether the MEC has shown that Mr Diko had knowledge of the facts (which the MEC must show he was required to know) on or before 18 July 2015, a date three years prior to service of summons.</w:t>
      </w:r>
      <w:r w:rsidR="0000151B">
        <w:rPr>
          <w:rStyle w:val="FootnoteReference"/>
          <w:lang w:val="en-GB"/>
        </w:rPr>
        <w:footnoteReference w:id="22"/>
      </w:r>
      <w:r w:rsidR="0000151B" w:rsidRPr="00126D03">
        <w:rPr>
          <w:lang w:val="en-GB"/>
        </w:rPr>
        <w:t xml:space="preserve"> </w:t>
      </w:r>
    </w:p>
    <w:p w14:paraId="001FDA62" w14:textId="445BD29E" w:rsidR="00FB2149" w:rsidRDefault="00FB2149" w:rsidP="00FB2149">
      <w:pPr>
        <w:pStyle w:val="ListParagraph"/>
        <w:autoSpaceDE w:val="0"/>
        <w:autoSpaceDN w:val="0"/>
        <w:adjustRightInd w:val="0"/>
        <w:ind w:left="0"/>
        <w:jc w:val="both"/>
        <w:rPr>
          <w:lang w:val="en-GB"/>
        </w:rPr>
      </w:pPr>
    </w:p>
    <w:p w14:paraId="11ABBDB0" w14:textId="1FCFC224" w:rsidR="00230057" w:rsidRPr="00230057" w:rsidRDefault="00230057" w:rsidP="00FB2149">
      <w:pPr>
        <w:pStyle w:val="ListParagraph"/>
        <w:autoSpaceDE w:val="0"/>
        <w:autoSpaceDN w:val="0"/>
        <w:adjustRightInd w:val="0"/>
        <w:ind w:left="0"/>
        <w:jc w:val="both"/>
        <w:rPr>
          <w:b/>
          <w:bCs/>
          <w:i/>
          <w:iCs/>
          <w:lang w:val="en-GB"/>
        </w:rPr>
      </w:pPr>
      <w:r>
        <w:rPr>
          <w:b/>
          <w:bCs/>
          <w:i/>
          <w:iCs/>
          <w:lang w:val="en-GB"/>
        </w:rPr>
        <w:t>What are the facts from which the debt ar</w:t>
      </w:r>
      <w:r w:rsidR="00F755A1">
        <w:rPr>
          <w:b/>
          <w:bCs/>
          <w:i/>
          <w:iCs/>
          <w:lang w:val="en-GB"/>
        </w:rPr>
        <w:t>ose</w:t>
      </w:r>
      <w:r>
        <w:rPr>
          <w:b/>
          <w:bCs/>
          <w:i/>
          <w:iCs/>
          <w:lang w:val="en-GB"/>
        </w:rPr>
        <w:t>?</w:t>
      </w:r>
    </w:p>
    <w:p w14:paraId="48F662F0" w14:textId="77777777" w:rsidR="00FB2149" w:rsidRPr="00FB2149" w:rsidRDefault="00FB2149" w:rsidP="00FB2149">
      <w:pPr>
        <w:pStyle w:val="ListParagraph"/>
        <w:autoSpaceDE w:val="0"/>
        <w:autoSpaceDN w:val="0"/>
        <w:adjustRightInd w:val="0"/>
        <w:ind w:left="0"/>
        <w:jc w:val="both"/>
        <w:rPr>
          <w:b/>
          <w:bCs/>
          <w:lang w:val="en-GB"/>
        </w:rPr>
      </w:pPr>
    </w:p>
    <w:p w14:paraId="7FC5AD53" w14:textId="7FE45291" w:rsidR="0005159D" w:rsidRPr="00126D03" w:rsidRDefault="00126D03" w:rsidP="00126D03">
      <w:pPr>
        <w:autoSpaceDE w:val="0"/>
        <w:autoSpaceDN w:val="0"/>
        <w:adjustRightInd w:val="0"/>
        <w:jc w:val="both"/>
        <w:rPr>
          <w:lang w:val="en-GB"/>
        </w:rPr>
      </w:pPr>
      <w:r>
        <w:rPr>
          <w:lang w:val="en-GB"/>
        </w:rPr>
        <w:t>[16]</w:t>
      </w:r>
      <w:r>
        <w:rPr>
          <w:lang w:val="en-GB"/>
        </w:rPr>
        <w:tab/>
      </w:r>
      <w:r w:rsidR="0005159D" w:rsidRPr="00126D03">
        <w:rPr>
          <w:lang w:val="en-GB"/>
        </w:rPr>
        <w:t>Section 12(1) of the Act provides that prescription begins to run when a debt ‘is due’</w:t>
      </w:r>
      <w:r w:rsidR="0005314E" w:rsidRPr="00126D03">
        <w:rPr>
          <w:lang w:val="en-GB"/>
        </w:rPr>
        <w:t>. In the present context, this refers to a delictual debt which is owing and payable.</w:t>
      </w:r>
      <w:r w:rsidR="0005314E">
        <w:rPr>
          <w:rStyle w:val="FootnoteReference"/>
          <w:lang w:val="en-GB"/>
        </w:rPr>
        <w:footnoteReference w:id="23"/>
      </w:r>
      <w:r w:rsidR="0005159D" w:rsidRPr="00126D03">
        <w:rPr>
          <w:lang w:val="en-GB"/>
        </w:rPr>
        <w:t xml:space="preserve"> </w:t>
      </w:r>
      <w:r w:rsidR="002A2EA4" w:rsidRPr="00126D03">
        <w:rPr>
          <w:lang w:val="en-GB"/>
        </w:rPr>
        <w:t xml:space="preserve">That in turn requires the creditor to have acquired ‘a complete cause of action for the recovery of the debt’, as explained in </w:t>
      </w:r>
      <w:r w:rsidR="002A2EA4" w:rsidRPr="00126D03">
        <w:rPr>
          <w:i/>
          <w:iCs/>
          <w:lang w:val="en-GB"/>
        </w:rPr>
        <w:t>Truter</w:t>
      </w:r>
      <w:r w:rsidR="002A2EA4" w:rsidRPr="00126D03">
        <w:rPr>
          <w:lang w:val="en-GB"/>
        </w:rPr>
        <w:t>:</w:t>
      </w:r>
      <w:r w:rsidR="0005159D">
        <w:rPr>
          <w:rStyle w:val="FootnoteReference"/>
          <w:lang w:val="en-GB"/>
        </w:rPr>
        <w:footnoteReference w:id="24"/>
      </w:r>
    </w:p>
    <w:p w14:paraId="5D973379" w14:textId="77777777" w:rsidR="0005159D" w:rsidRDefault="0005159D" w:rsidP="0005159D">
      <w:pPr>
        <w:pStyle w:val="ListParagraph"/>
        <w:autoSpaceDE w:val="0"/>
        <w:autoSpaceDN w:val="0"/>
        <w:adjustRightInd w:val="0"/>
        <w:ind w:left="0"/>
        <w:jc w:val="both"/>
        <w:rPr>
          <w:lang w:val="en-GB"/>
        </w:rPr>
      </w:pPr>
    </w:p>
    <w:p w14:paraId="3C117773" w14:textId="403537F0" w:rsidR="0005159D" w:rsidRDefault="0005159D" w:rsidP="0005159D">
      <w:pPr>
        <w:pStyle w:val="ListParagraph"/>
        <w:autoSpaceDE w:val="0"/>
        <w:autoSpaceDN w:val="0"/>
        <w:adjustRightInd w:val="0"/>
        <w:ind w:left="0"/>
        <w:jc w:val="both"/>
        <w:rPr>
          <w:sz w:val="22"/>
          <w:szCs w:val="22"/>
          <w:lang w:val="en-GB"/>
        </w:rPr>
      </w:pPr>
      <w:r>
        <w:rPr>
          <w:sz w:val="22"/>
          <w:szCs w:val="22"/>
          <w:lang w:val="en-GB"/>
        </w:rPr>
        <w:t>‘…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p>
    <w:p w14:paraId="79988692" w14:textId="77777777" w:rsidR="00E44ACC" w:rsidRDefault="00E44ACC" w:rsidP="00E44ACC">
      <w:pPr>
        <w:pStyle w:val="ListParagraph"/>
        <w:autoSpaceDE w:val="0"/>
        <w:autoSpaceDN w:val="0"/>
        <w:adjustRightInd w:val="0"/>
        <w:ind w:left="0"/>
        <w:jc w:val="both"/>
        <w:rPr>
          <w:lang w:val="en-GB"/>
        </w:rPr>
      </w:pPr>
    </w:p>
    <w:p w14:paraId="26FC4578" w14:textId="2944E388" w:rsidR="008B240D" w:rsidRPr="00126D03" w:rsidRDefault="00126D03" w:rsidP="00126D03">
      <w:pPr>
        <w:autoSpaceDE w:val="0"/>
        <w:autoSpaceDN w:val="0"/>
        <w:adjustRightInd w:val="0"/>
        <w:jc w:val="both"/>
        <w:rPr>
          <w:lang w:val="en-GB"/>
        </w:rPr>
      </w:pPr>
      <w:r>
        <w:rPr>
          <w:lang w:val="en-GB"/>
        </w:rPr>
        <w:t>[17]</w:t>
      </w:r>
      <w:r>
        <w:rPr>
          <w:lang w:val="en-GB"/>
        </w:rPr>
        <w:tab/>
      </w:r>
      <w:r w:rsidR="008B240D" w:rsidRPr="00126D03">
        <w:rPr>
          <w:lang w:val="en-GB"/>
        </w:rPr>
        <w:t>The focus is on the ‘combination of facts that are material for the plaintiff to prove in order to succeed with his action’.</w:t>
      </w:r>
      <w:r w:rsidR="008B240D">
        <w:rPr>
          <w:rStyle w:val="FootnoteReference"/>
          <w:lang w:val="en-GB"/>
        </w:rPr>
        <w:footnoteReference w:id="25"/>
      </w:r>
      <w:r w:rsidR="008B240D" w:rsidRPr="00126D03">
        <w:rPr>
          <w:lang w:val="en-GB"/>
        </w:rPr>
        <w:t xml:space="preserve"> Time begins to run ‘when [the creditor] </w:t>
      </w:r>
      <w:r w:rsidR="008B240D" w:rsidRPr="00126D03">
        <w:rPr>
          <w:lang w:val="en-GB"/>
        </w:rPr>
        <w:lastRenderedPageBreak/>
        <w:t>has the minimum facts’</w:t>
      </w:r>
      <w:r w:rsidR="008B240D">
        <w:rPr>
          <w:rStyle w:val="FootnoteReference"/>
          <w:lang w:val="en-GB"/>
        </w:rPr>
        <w:footnoteReference w:id="26"/>
      </w:r>
      <w:r w:rsidR="008B240D" w:rsidRPr="00126D03">
        <w:rPr>
          <w:lang w:val="en-GB"/>
        </w:rPr>
        <w:t xml:space="preserve"> that they would need to prove, if in issue, in order to support a favourable judgment.</w:t>
      </w:r>
      <w:r w:rsidR="008B240D">
        <w:rPr>
          <w:rStyle w:val="FootnoteReference"/>
          <w:lang w:val="en-GB"/>
        </w:rPr>
        <w:footnoteReference w:id="27"/>
      </w:r>
      <w:r w:rsidR="00DE559C" w:rsidRPr="00126D03">
        <w:rPr>
          <w:lang w:val="en-GB"/>
        </w:rPr>
        <w:t xml:space="preserve"> Knowledge of the relevant legal conclusions, including that the known facts constitute negligence, is not required.</w:t>
      </w:r>
      <w:r w:rsidR="00DE559C">
        <w:rPr>
          <w:rStyle w:val="FootnoteReference"/>
          <w:lang w:val="en-GB"/>
        </w:rPr>
        <w:footnoteReference w:id="28"/>
      </w:r>
      <w:r w:rsidR="00DE559C" w:rsidRPr="00126D03">
        <w:rPr>
          <w:lang w:val="en-GB"/>
        </w:rPr>
        <w:t xml:space="preserve"> As </w:t>
      </w:r>
      <w:r w:rsidR="00DE559C" w:rsidRPr="00126D03">
        <w:rPr>
          <w:i/>
          <w:iCs/>
          <w:lang w:val="en-GB"/>
        </w:rPr>
        <w:t>Mr Du Toit</w:t>
      </w:r>
      <w:r w:rsidR="00DE559C" w:rsidRPr="00126D03">
        <w:rPr>
          <w:lang w:val="en-GB"/>
        </w:rPr>
        <w:t>, for the MEC, pointed out,</w:t>
      </w:r>
      <w:r w:rsidR="00DE559C" w:rsidRPr="00126D03">
        <w:rPr>
          <w:i/>
          <w:iCs/>
          <w:lang w:val="en-GB"/>
        </w:rPr>
        <w:t xml:space="preserve"> </w:t>
      </w:r>
      <w:r w:rsidR="00DE559C" w:rsidRPr="00126D03">
        <w:rPr>
          <w:lang w:val="en-GB"/>
        </w:rPr>
        <w:t xml:space="preserve">such matters are not facts, and neither is the evidence necessary to prove the essential facts (the </w:t>
      </w:r>
      <w:r w:rsidR="00DE559C" w:rsidRPr="00126D03">
        <w:rPr>
          <w:i/>
          <w:iCs/>
          <w:lang w:val="en-GB"/>
        </w:rPr>
        <w:t>facta probantia</w:t>
      </w:r>
      <w:r w:rsidR="00DE559C" w:rsidRPr="00126D03">
        <w:rPr>
          <w:lang w:val="en-GB"/>
        </w:rPr>
        <w:t>).</w:t>
      </w:r>
      <w:r w:rsidR="00DE559C">
        <w:rPr>
          <w:rStyle w:val="FootnoteReference"/>
          <w:lang w:val="en-GB"/>
        </w:rPr>
        <w:footnoteReference w:id="29"/>
      </w:r>
      <w:r w:rsidR="00DE559C" w:rsidRPr="00126D03">
        <w:rPr>
          <w:lang w:val="en-GB"/>
        </w:rPr>
        <w:t xml:space="preserve"> An expert’s conclusion that a particular set of facts constitutes negligent, wrongful conduct is evidence, and not itself a fact.</w:t>
      </w:r>
      <w:r w:rsidR="00DE559C">
        <w:rPr>
          <w:rStyle w:val="FootnoteReference"/>
          <w:lang w:val="en-GB"/>
        </w:rPr>
        <w:footnoteReference w:id="30"/>
      </w:r>
    </w:p>
    <w:p w14:paraId="66CADDD6" w14:textId="77777777" w:rsidR="00E26DAC" w:rsidRDefault="00E26DAC" w:rsidP="00E26DAC">
      <w:pPr>
        <w:pStyle w:val="ListParagraph"/>
        <w:autoSpaceDE w:val="0"/>
        <w:autoSpaceDN w:val="0"/>
        <w:adjustRightInd w:val="0"/>
        <w:ind w:left="0"/>
        <w:jc w:val="both"/>
        <w:rPr>
          <w:lang w:val="en-GB"/>
        </w:rPr>
      </w:pPr>
    </w:p>
    <w:p w14:paraId="34455E51" w14:textId="65F46EA0" w:rsidR="00956BB0" w:rsidRPr="00126D03" w:rsidRDefault="00126D03" w:rsidP="00126D03">
      <w:pPr>
        <w:autoSpaceDE w:val="0"/>
        <w:autoSpaceDN w:val="0"/>
        <w:adjustRightInd w:val="0"/>
        <w:jc w:val="both"/>
        <w:rPr>
          <w:lang w:val="en-GB"/>
        </w:rPr>
      </w:pPr>
      <w:r>
        <w:rPr>
          <w:lang w:val="en-GB"/>
        </w:rPr>
        <w:t>[18]</w:t>
      </w:r>
      <w:r>
        <w:rPr>
          <w:lang w:val="en-GB"/>
        </w:rPr>
        <w:tab/>
      </w:r>
      <w:r w:rsidR="00441E75" w:rsidRPr="00126D03">
        <w:rPr>
          <w:lang w:val="en-GB"/>
        </w:rPr>
        <w:t>The alleged factual causes of Mr Diko’s injuries are indispensable primary facts to be gleaned from his particulars of claim, which contain the constituent elements of his claim.</w:t>
      </w:r>
      <w:r w:rsidR="00441E75">
        <w:rPr>
          <w:rStyle w:val="FootnoteReference"/>
          <w:lang w:val="en-GB"/>
        </w:rPr>
        <w:footnoteReference w:id="31"/>
      </w:r>
      <w:r w:rsidR="00441E75" w:rsidRPr="00126D03">
        <w:rPr>
          <w:lang w:val="en-GB"/>
        </w:rPr>
        <w:t xml:space="preserve"> Mr Diko plead</w:t>
      </w:r>
      <w:r w:rsidR="0051079B" w:rsidRPr="00126D03">
        <w:rPr>
          <w:lang w:val="en-GB"/>
        </w:rPr>
        <w:t>ed</w:t>
      </w:r>
      <w:r w:rsidR="00441E75" w:rsidRPr="00126D03">
        <w:rPr>
          <w:lang w:val="en-GB"/>
        </w:rPr>
        <w:t xml:space="preserve"> the </w:t>
      </w:r>
      <w:r w:rsidR="00441E75" w:rsidRPr="00126D03">
        <w:rPr>
          <w:i/>
          <w:iCs/>
          <w:lang w:val="en-GB"/>
        </w:rPr>
        <w:t>facts</w:t>
      </w:r>
      <w:r w:rsidR="00441E75" w:rsidRPr="00126D03">
        <w:rPr>
          <w:lang w:val="en-GB"/>
        </w:rPr>
        <w:t xml:space="preserve"> from which he sought to draw the conclusion that the MEC acted negligently.</w:t>
      </w:r>
      <w:r w:rsidR="00441E75">
        <w:rPr>
          <w:rStyle w:val="FootnoteReference"/>
          <w:lang w:val="en-GB"/>
        </w:rPr>
        <w:footnoteReference w:id="32"/>
      </w:r>
      <w:r w:rsidR="00441E75" w:rsidRPr="00126D03">
        <w:rPr>
          <w:lang w:val="en-GB"/>
        </w:rPr>
        <w:t xml:space="preserve"> </w:t>
      </w:r>
      <w:r w:rsidR="00956BB0" w:rsidRPr="00126D03">
        <w:rPr>
          <w:lang w:val="en-GB"/>
        </w:rPr>
        <w:t>Put differently, these are the facts which, if proved, would result in legal liability:</w:t>
      </w:r>
      <w:r w:rsidR="00956BB0">
        <w:rPr>
          <w:rStyle w:val="FootnoteReference"/>
          <w:lang w:val="en-GB"/>
        </w:rPr>
        <w:footnoteReference w:id="33"/>
      </w:r>
      <w:r w:rsidR="00956BB0" w:rsidRPr="00126D03">
        <w:rPr>
          <w:lang w:val="en-GB"/>
        </w:rPr>
        <w:t xml:space="preserve"> </w:t>
      </w:r>
    </w:p>
    <w:p w14:paraId="64402450" w14:textId="77777777" w:rsidR="00956BB0" w:rsidRPr="00734D58" w:rsidRDefault="00956BB0" w:rsidP="00956BB0">
      <w:pPr>
        <w:pStyle w:val="ListParagraph"/>
        <w:rPr>
          <w:lang w:val="en-GB"/>
        </w:rPr>
      </w:pPr>
    </w:p>
    <w:p w14:paraId="0163FFF3" w14:textId="787233A5" w:rsidR="00F93C34" w:rsidRPr="00956BB0" w:rsidRDefault="00956BB0" w:rsidP="00956BB0">
      <w:pPr>
        <w:pStyle w:val="ListParagraph"/>
        <w:autoSpaceDE w:val="0"/>
        <w:autoSpaceDN w:val="0"/>
        <w:adjustRightInd w:val="0"/>
        <w:ind w:left="0"/>
        <w:jc w:val="both"/>
        <w:rPr>
          <w:sz w:val="22"/>
          <w:szCs w:val="22"/>
          <w:lang w:val="en-GB"/>
        </w:rPr>
      </w:pPr>
      <w:r>
        <w:rPr>
          <w:sz w:val="22"/>
          <w:szCs w:val="22"/>
          <w:lang w:val="en-GB"/>
        </w:rPr>
        <w:t xml:space="preserve">‘A cause of action means the combination of facts that are material for the plaintiff to prove in order to succeed with his action. Such facts must enable a court to arrive at </w:t>
      </w:r>
      <w:r w:rsidRPr="00902C6B">
        <w:rPr>
          <w:sz w:val="22"/>
          <w:szCs w:val="22"/>
          <w:lang w:val="en-GB"/>
        </w:rPr>
        <w:t>certain legal conclusions regarding unlawfulness and fault, the constituent elements of a delictual cause of action being a combination of factual and legal conclusions, namely a causative act, harm, unlawfulness and culpability or fault.’</w:t>
      </w:r>
    </w:p>
    <w:p w14:paraId="4824A5CA" w14:textId="77777777" w:rsidR="004C7FBE" w:rsidRPr="004C7FBE" w:rsidRDefault="004C7FBE" w:rsidP="004C7FBE">
      <w:pPr>
        <w:pStyle w:val="ListParagraph"/>
        <w:rPr>
          <w:lang w:val="en-GB"/>
        </w:rPr>
      </w:pPr>
    </w:p>
    <w:p w14:paraId="430CABD2" w14:textId="2335C95C" w:rsidR="007F52F7" w:rsidRPr="00126D03" w:rsidRDefault="00126D03" w:rsidP="00126D03">
      <w:pPr>
        <w:autoSpaceDE w:val="0"/>
        <w:autoSpaceDN w:val="0"/>
        <w:adjustRightInd w:val="0"/>
        <w:jc w:val="both"/>
        <w:rPr>
          <w:lang w:val="en-GB"/>
        </w:rPr>
      </w:pPr>
      <w:r>
        <w:rPr>
          <w:lang w:val="en-GB"/>
        </w:rPr>
        <w:t>[19]</w:t>
      </w:r>
      <w:r>
        <w:rPr>
          <w:lang w:val="en-GB"/>
        </w:rPr>
        <w:tab/>
      </w:r>
      <w:r w:rsidR="00CD072D" w:rsidRPr="00126D03">
        <w:rPr>
          <w:lang w:val="en-GB"/>
        </w:rPr>
        <w:t>The particulars of claim allege actions, alternatively a failure to act, on the part of employees of the MEC in breach of an agreement, alternati</w:t>
      </w:r>
      <w:r w:rsidR="00614395" w:rsidRPr="00126D03">
        <w:rPr>
          <w:lang w:val="en-GB"/>
        </w:rPr>
        <w:t xml:space="preserve">vely in breach of a legal duty of care. </w:t>
      </w:r>
      <w:r w:rsidR="004C7FBE" w:rsidRPr="00126D03">
        <w:rPr>
          <w:lang w:val="en-GB"/>
        </w:rPr>
        <w:t xml:space="preserve">As reflected in an earlier footnote, the </w:t>
      </w:r>
      <w:r w:rsidR="00893776" w:rsidRPr="00126D03">
        <w:rPr>
          <w:lang w:val="en-GB"/>
        </w:rPr>
        <w:t xml:space="preserve">factual </w:t>
      </w:r>
      <w:r w:rsidR="004C7FBE" w:rsidRPr="00126D03">
        <w:rPr>
          <w:lang w:val="en-GB"/>
        </w:rPr>
        <w:t xml:space="preserve">allegations </w:t>
      </w:r>
      <w:r w:rsidR="00040E98" w:rsidRPr="00126D03">
        <w:rPr>
          <w:lang w:val="en-GB"/>
        </w:rPr>
        <w:t xml:space="preserve">in respect of negligent treatment </w:t>
      </w:r>
      <w:r w:rsidR="004C7FBE" w:rsidRPr="00126D03">
        <w:rPr>
          <w:lang w:val="en-GB"/>
        </w:rPr>
        <w:t xml:space="preserve">centre around the bent Kuntscher nail (including problems with its </w:t>
      </w:r>
      <w:r w:rsidR="004C7FBE" w:rsidRPr="00126D03">
        <w:rPr>
          <w:lang w:val="en-GB"/>
        </w:rPr>
        <w:lastRenderedPageBreak/>
        <w:t xml:space="preserve">girth, length and depth of insertion) and the related, allegedly deficient, surgical procedure followed. </w:t>
      </w:r>
    </w:p>
    <w:p w14:paraId="3FB8F1F8" w14:textId="77777777" w:rsidR="001A13CA" w:rsidRPr="001A13CA" w:rsidRDefault="001A13CA" w:rsidP="001A13CA">
      <w:pPr>
        <w:pStyle w:val="ListParagraph"/>
        <w:autoSpaceDE w:val="0"/>
        <w:autoSpaceDN w:val="0"/>
        <w:adjustRightInd w:val="0"/>
        <w:ind w:left="0"/>
        <w:jc w:val="both"/>
        <w:rPr>
          <w:lang w:val="en-GB"/>
        </w:rPr>
      </w:pPr>
    </w:p>
    <w:p w14:paraId="25F6507A" w14:textId="3CAB7C9B" w:rsidR="00F536D9" w:rsidRPr="00126D03" w:rsidRDefault="00126D03" w:rsidP="00126D03">
      <w:pPr>
        <w:autoSpaceDE w:val="0"/>
        <w:autoSpaceDN w:val="0"/>
        <w:adjustRightInd w:val="0"/>
        <w:jc w:val="both"/>
        <w:rPr>
          <w:lang w:val="en-GB"/>
        </w:rPr>
      </w:pPr>
      <w:r>
        <w:rPr>
          <w:lang w:val="en-GB"/>
        </w:rPr>
        <w:t>[20]</w:t>
      </w:r>
      <w:r>
        <w:rPr>
          <w:lang w:val="en-GB"/>
        </w:rPr>
        <w:tab/>
      </w:r>
      <w:r w:rsidR="007F52F7" w:rsidRPr="00126D03">
        <w:rPr>
          <w:lang w:val="en-GB"/>
        </w:rPr>
        <w:t>This is not to suggest that Mr Diko would have to have knowledge ‘of all the facts underlying the cause of action as pleaded, or of all of the alleged facts as they appear from the pleadings.’</w:t>
      </w:r>
      <w:r w:rsidR="00C86C38">
        <w:rPr>
          <w:rStyle w:val="FootnoteReference"/>
          <w:lang w:val="en-GB"/>
        </w:rPr>
        <w:footnoteReference w:id="34"/>
      </w:r>
      <w:r w:rsidR="00BB2484" w:rsidRPr="00126D03">
        <w:rPr>
          <w:lang w:val="en-GB"/>
        </w:rPr>
        <w:t xml:space="preserve"> That would </w:t>
      </w:r>
      <w:r w:rsidR="00914A78" w:rsidRPr="00126D03">
        <w:rPr>
          <w:lang w:val="en-GB"/>
        </w:rPr>
        <w:t>unnecessarily</w:t>
      </w:r>
      <w:r w:rsidR="00BB2484" w:rsidRPr="00126D03">
        <w:rPr>
          <w:lang w:val="en-GB"/>
        </w:rPr>
        <w:t xml:space="preserve"> </w:t>
      </w:r>
      <w:r w:rsidR="00914A78" w:rsidRPr="00126D03">
        <w:rPr>
          <w:lang w:val="en-GB"/>
        </w:rPr>
        <w:t>set</w:t>
      </w:r>
      <w:r w:rsidR="00BB2484" w:rsidRPr="00126D03">
        <w:rPr>
          <w:lang w:val="en-GB"/>
        </w:rPr>
        <w:t xml:space="preserve"> the bar too hig</w:t>
      </w:r>
      <w:r w:rsidR="00914A78" w:rsidRPr="00126D03">
        <w:rPr>
          <w:lang w:val="en-GB"/>
        </w:rPr>
        <w:t>h</w:t>
      </w:r>
      <w:r w:rsidR="00BB2484" w:rsidRPr="00126D03">
        <w:rPr>
          <w:lang w:val="en-GB"/>
        </w:rPr>
        <w:t xml:space="preserve">, </w:t>
      </w:r>
      <w:r w:rsidR="00303494" w:rsidRPr="00126D03">
        <w:rPr>
          <w:lang w:val="en-GB"/>
        </w:rPr>
        <w:t xml:space="preserve">bearing in mind that knowledge of the minimum </w:t>
      </w:r>
      <w:r w:rsidR="0004501E" w:rsidRPr="00126D03">
        <w:rPr>
          <w:lang w:val="en-GB"/>
        </w:rPr>
        <w:t xml:space="preserve">combination of </w:t>
      </w:r>
      <w:r w:rsidR="00303494" w:rsidRPr="00126D03">
        <w:rPr>
          <w:lang w:val="en-GB"/>
        </w:rPr>
        <w:t xml:space="preserve">facts necessary to institute action suffices. </w:t>
      </w:r>
      <w:r w:rsidR="00125A26" w:rsidRPr="00126D03">
        <w:rPr>
          <w:lang w:val="en-GB"/>
        </w:rPr>
        <w:t>Rather, for purposes of s 12(3), the relevant facts extend to include such facts that would cause the creditor to reasonably believe that a constituent element of the delict in question was present.</w:t>
      </w:r>
      <w:r w:rsidR="00C023C6">
        <w:rPr>
          <w:rStyle w:val="FootnoteReference"/>
          <w:lang w:val="en-GB"/>
        </w:rPr>
        <w:footnoteReference w:id="35"/>
      </w:r>
    </w:p>
    <w:p w14:paraId="2A9B5EA2" w14:textId="77777777" w:rsidR="0004501E" w:rsidRPr="0004501E" w:rsidRDefault="0004501E" w:rsidP="0004501E">
      <w:pPr>
        <w:pStyle w:val="ListParagraph"/>
        <w:autoSpaceDE w:val="0"/>
        <w:autoSpaceDN w:val="0"/>
        <w:adjustRightInd w:val="0"/>
        <w:ind w:left="0"/>
        <w:jc w:val="both"/>
        <w:rPr>
          <w:lang w:val="en-GB"/>
        </w:rPr>
      </w:pPr>
    </w:p>
    <w:p w14:paraId="42474AF5" w14:textId="59FAA2BE" w:rsidR="00021345" w:rsidRPr="003D4B79" w:rsidRDefault="00E323E2" w:rsidP="004C1577">
      <w:pPr>
        <w:jc w:val="both"/>
        <w:rPr>
          <w:b/>
          <w:bCs/>
          <w:i/>
          <w:iCs/>
          <w:lang w:val="en-GB"/>
        </w:rPr>
      </w:pPr>
      <w:r>
        <w:rPr>
          <w:b/>
          <w:bCs/>
          <w:i/>
          <w:iCs/>
          <w:lang w:val="en-GB"/>
        </w:rPr>
        <w:t xml:space="preserve">Was there </w:t>
      </w:r>
      <w:r w:rsidR="00786B8B">
        <w:rPr>
          <w:b/>
          <w:bCs/>
          <w:i/>
          <w:iCs/>
          <w:lang w:val="en-GB"/>
        </w:rPr>
        <w:t xml:space="preserve">actual or deemed </w:t>
      </w:r>
      <w:r>
        <w:rPr>
          <w:b/>
          <w:bCs/>
          <w:i/>
          <w:iCs/>
          <w:lang w:val="en-GB"/>
        </w:rPr>
        <w:t>k</w:t>
      </w:r>
      <w:r w:rsidR="004D36C4">
        <w:rPr>
          <w:b/>
          <w:bCs/>
          <w:i/>
          <w:iCs/>
          <w:lang w:val="en-GB"/>
        </w:rPr>
        <w:t>nowledge of the facts from which the debt</w:t>
      </w:r>
      <w:r w:rsidR="00786B8B">
        <w:rPr>
          <w:b/>
          <w:bCs/>
          <w:i/>
          <w:iCs/>
          <w:lang w:val="en-GB"/>
        </w:rPr>
        <w:t xml:space="preserve"> </w:t>
      </w:r>
      <w:r w:rsidR="004D36C4">
        <w:rPr>
          <w:b/>
          <w:bCs/>
          <w:i/>
          <w:iCs/>
          <w:lang w:val="en-GB"/>
        </w:rPr>
        <w:t>ar</w:t>
      </w:r>
      <w:r w:rsidR="00587D70">
        <w:rPr>
          <w:b/>
          <w:bCs/>
          <w:i/>
          <w:iCs/>
          <w:lang w:val="en-GB"/>
        </w:rPr>
        <w:t>ose?</w:t>
      </w:r>
    </w:p>
    <w:p w14:paraId="332EB692" w14:textId="77777777" w:rsidR="00021345" w:rsidRPr="00021345" w:rsidRDefault="00021345" w:rsidP="004C1577">
      <w:pPr>
        <w:jc w:val="both"/>
        <w:rPr>
          <w:b/>
          <w:bCs/>
          <w:lang w:val="en-GB"/>
        </w:rPr>
      </w:pPr>
    </w:p>
    <w:p w14:paraId="75EEB1DB" w14:textId="10B9B662" w:rsidR="00866DF7" w:rsidRPr="00126D03" w:rsidRDefault="00126D03" w:rsidP="00126D03">
      <w:pPr>
        <w:autoSpaceDE w:val="0"/>
        <w:autoSpaceDN w:val="0"/>
        <w:adjustRightInd w:val="0"/>
        <w:jc w:val="both"/>
        <w:rPr>
          <w:lang w:val="en-GB"/>
        </w:rPr>
      </w:pPr>
      <w:r>
        <w:rPr>
          <w:lang w:val="en-GB"/>
        </w:rPr>
        <w:t>[21]</w:t>
      </w:r>
      <w:r>
        <w:rPr>
          <w:lang w:val="en-GB"/>
        </w:rPr>
        <w:tab/>
      </w:r>
      <w:r w:rsidR="00866DF7" w:rsidRPr="00126D03">
        <w:rPr>
          <w:lang w:val="en-GB"/>
        </w:rPr>
        <w:t>Practically speaking, and drawing from his particulars of claim, the questions to be asked are whether Mr Diko knew that the wrong nail had been utilised or that the surgical procedure was defective, or that other ‘advantageous and less damaging treatment options’ had not been properly investigated</w:t>
      </w:r>
      <w:r w:rsidR="00CD5516" w:rsidRPr="00126D03">
        <w:rPr>
          <w:lang w:val="en-GB"/>
        </w:rPr>
        <w:t>.</w:t>
      </w:r>
      <w:r w:rsidR="00866DF7" w:rsidRPr="00126D03">
        <w:rPr>
          <w:lang w:val="en-GB"/>
        </w:rPr>
        <w:t xml:space="preserve"> While it was unnecessary for him to know, conclusively, that there had been such errors, he was required to have </w:t>
      </w:r>
      <w:r w:rsidR="002B6BFF" w:rsidRPr="00126D03">
        <w:rPr>
          <w:lang w:val="en-GB"/>
        </w:rPr>
        <w:t>‘</w:t>
      </w:r>
      <w:r w:rsidR="00866DF7" w:rsidRPr="00126D03">
        <w:rPr>
          <w:lang w:val="en-GB"/>
        </w:rPr>
        <w:t>knowledge of</w:t>
      </w:r>
      <w:r w:rsidR="00236E98" w:rsidRPr="00126D03">
        <w:rPr>
          <w:lang w:val="en-GB"/>
        </w:rPr>
        <w:t>’</w:t>
      </w:r>
      <w:r w:rsidR="00866DF7" w:rsidRPr="00126D03">
        <w:rPr>
          <w:lang w:val="en-GB"/>
        </w:rPr>
        <w:t xml:space="preserve"> sufficient facts of the treatment administered to reasonably have placed him in a position to form </w:t>
      </w:r>
      <w:r w:rsidR="006443D8" w:rsidRPr="00126D03">
        <w:rPr>
          <w:lang w:val="en-GB"/>
        </w:rPr>
        <w:t xml:space="preserve">a </w:t>
      </w:r>
      <w:r w:rsidR="00024D5E" w:rsidRPr="00126D03">
        <w:rPr>
          <w:lang w:val="en-GB"/>
        </w:rPr>
        <w:t>‘</w:t>
      </w:r>
      <w:r w:rsidR="00866DF7" w:rsidRPr="00126D03">
        <w:rPr>
          <w:lang w:val="en-GB"/>
        </w:rPr>
        <w:t>belief</w:t>
      </w:r>
      <w:r w:rsidR="00024D5E" w:rsidRPr="00126D03">
        <w:rPr>
          <w:lang w:val="en-GB"/>
        </w:rPr>
        <w:t>’</w:t>
      </w:r>
      <w:r w:rsidR="00866DF7" w:rsidRPr="00126D03">
        <w:rPr>
          <w:lang w:val="en-GB"/>
        </w:rPr>
        <w:t>, and to investigate the matter further.</w:t>
      </w:r>
      <w:r w:rsidR="00866DF7">
        <w:rPr>
          <w:rStyle w:val="FootnoteReference"/>
          <w:lang w:val="en-GB"/>
        </w:rPr>
        <w:footnoteReference w:id="36"/>
      </w:r>
    </w:p>
    <w:p w14:paraId="1CC30C1B" w14:textId="77777777" w:rsidR="007A2753" w:rsidRDefault="007A2753" w:rsidP="007A2753">
      <w:pPr>
        <w:pStyle w:val="ListParagraph"/>
        <w:autoSpaceDE w:val="0"/>
        <w:autoSpaceDN w:val="0"/>
        <w:adjustRightInd w:val="0"/>
        <w:ind w:left="0"/>
        <w:jc w:val="both"/>
        <w:rPr>
          <w:lang w:val="en-GB"/>
        </w:rPr>
      </w:pPr>
    </w:p>
    <w:p w14:paraId="17592023" w14:textId="4BEF454D" w:rsidR="007A2753" w:rsidRPr="00126D03" w:rsidRDefault="00126D03" w:rsidP="00126D03">
      <w:pPr>
        <w:autoSpaceDE w:val="0"/>
        <w:autoSpaceDN w:val="0"/>
        <w:adjustRightInd w:val="0"/>
        <w:jc w:val="both"/>
        <w:rPr>
          <w:lang w:val="en-GB"/>
        </w:rPr>
      </w:pPr>
      <w:r w:rsidRPr="007A2753">
        <w:rPr>
          <w:lang w:val="en-GB"/>
        </w:rPr>
        <w:t>[22]</w:t>
      </w:r>
      <w:r w:rsidRPr="007A2753">
        <w:rPr>
          <w:lang w:val="en-GB"/>
        </w:rPr>
        <w:tab/>
      </w:r>
      <w:r w:rsidR="007A2753" w:rsidRPr="00126D03">
        <w:rPr>
          <w:lang w:val="en-GB"/>
        </w:rPr>
        <w:t>It is these aspects of the particulars of claim that raise a variety of ‘sufficient facts to cause the creditor on reasonable grounds to think that the injuries were due to the negligence of the medical staff’.</w:t>
      </w:r>
      <w:r w:rsidR="007A2753">
        <w:rPr>
          <w:rStyle w:val="FootnoteReference"/>
          <w:lang w:val="en-GB"/>
        </w:rPr>
        <w:footnoteReference w:id="37"/>
      </w:r>
      <w:r w:rsidR="007A2753" w:rsidRPr="00126D03">
        <w:rPr>
          <w:lang w:val="en-GB"/>
        </w:rPr>
        <w:t xml:space="preserve"> In </w:t>
      </w:r>
      <w:r w:rsidR="007A2753" w:rsidRPr="00126D03">
        <w:rPr>
          <w:i/>
          <w:iCs/>
          <w:lang w:val="en-GB"/>
        </w:rPr>
        <w:t>Loni</w:t>
      </w:r>
      <w:r w:rsidR="007A2753" w:rsidRPr="00126D03">
        <w:rPr>
          <w:lang w:val="en-GB"/>
        </w:rPr>
        <w:t>, this was framed as being ‘facts which would cause a plaintiff, on reasonable grounds, to suspect that there was fault on the part of the medical staff and that caused him or her to “seek further advice”.’</w:t>
      </w:r>
      <w:r w:rsidR="007A2753">
        <w:rPr>
          <w:rStyle w:val="FootnoteReference"/>
          <w:lang w:val="en-GB"/>
        </w:rPr>
        <w:footnoteReference w:id="38"/>
      </w:r>
      <w:r w:rsidR="007A2753" w:rsidRPr="00126D03">
        <w:rPr>
          <w:i/>
          <w:iCs/>
          <w:lang w:val="en-GB"/>
        </w:rPr>
        <w:t xml:space="preserve"> </w:t>
      </w:r>
      <w:r w:rsidR="007A2753" w:rsidRPr="00126D03">
        <w:rPr>
          <w:lang w:val="en-GB"/>
        </w:rPr>
        <w:t xml:space="preserve">It is </w:t>
      </w:r>
      <w:r w:rsidR="007A2753" w:rsidRPr="00126D03">
        <w:rPr>
          <w:lang w:val="en-GB"/>
        </w:rPr>
        <w:lastRenderedPageBreak/>
        <w:t>those facts, rather than appreciation of any legal consequences, such as that the facts support a conclusion of negligence, which Mr Diko must have actual or deemed knowledge of for prescription to commence.</w:t>
      </w:r>
      <w:r w:rsidR="007A2753">
        <w:rPr>
          <w:rStyle w:val="FootnoteReference"/>
          <w:lang w:val="en-GB"/>
        </w:rPr>
        <w:footnoteReference w:id="39"/>
      </w:r>
      <w:r w:rsidR="007A2753" w:rsidRPr="00126D03">
        <w:rPr>
          <w:lang w:val="en-GB"/>
        </w:rPr>
        <w:t xml:space="preserve">  </w:t>
      </w:r>
    </w:p>
    <w:p w14:paraId="248F981C" w14:textId="77777777" w:rsidR="007A2753" w:rsidRPr="007A2753" w:rsidRDefault="007A2753" w:rsidP="007A2753">
      <w:pPr>
        <w:autoSpaceDE w:val="0"/>
        <w:autoSpaceDN w:val="0"/>
        <w:adjustRightInd w:val="0"/>
        <w:jc w:val="both"/>
        <w:rPr>
          <w:lang w:val="en-GB"/>
        </w:rPr>
      </w:pPr>
    </w:p>
    <w:p w14:paraId="5C407DF7" w14:textId="664D3FE9" w:rsidR="00AF047E" w:rsidRPr="00126D03" w:rsidRDefault="00126D03" w:rsidP="00126D03">
      <w:pPr>
        <w:autoSpaceDE w:val="0"/>
        <w:autoSpaceDN w:val="0"/>
        <w:adjustRightInd w:val="0"/>
        <w:jc w:val="both"/>
        <w:rPr>
          <w:lang w:val="en-GB"/>
        </w:rPr>
      </w:pPr>
      <w:r>
        <w:rPr>
          <w:lang w:val="en-GB"/>
        </w:rPr>
        <w:t>[23]</w:t>
      </w:r>
      <w:r>
        <w:rPr>
          <w:lang w:val="en-GB"/>
        </w:rPr>
        <w:tab/>
      </w:r>
      <w:r w:rsidR="004C7FBE" w:rsidRPr="00126D03">
        <w:rPr>
          <w:lang w:val="en-GB"/>
        </w:rPr>
        <w:t xml:space="preserve">Accepting that these are the primary facts, the enquiry turns to Mr Diko’s </w:t>
      </w:r>
      <w:r w:rsidR="00786B8B" w:rsidRPr="00126D03">
        <w:rPr>
          <w:lang w:val="en-GB"/>
        </w:rPr>
        <w:t xml:space="preserve">actual </w:t>
      </w:r>
      <w:r w:rsidR="004C7FBE" w:rsidRPr="00126D03">
        <w:rPr>
          <w:lang w:val="en-GB"/>
        </w:rPr>
        <w:t>knowledge</w:t>
      </w:r>
      <w:r w:rsidR="009D15B3" w:rsidRPr="00126D03">
        <w:rPr>
          <w:lang w:val="en-GB"/>
        </w:rPr>
        <w:t xml:space="preserve">, or deemed knowledge, </w:t>
      </w:r>
      <w:r w:rsidR="004C7FBE" w:rsidRPr="00126D03">
        <w:rPr>
          <w:lang w:val="en-GB"/>
        </w:rPr>
        <w:t>of such facts.</w:t>
      </w:r>
      <w:r w:rsidR="004C7FBE">
        <w:rPr>
          <w:rStyle w:val="FootnoteReference"/>
          <w:lang w:val="en-GB"/>
        </w:rPr>
        <w:footnoteReference w:id="40"/>
      </w:r>
      <w:r w:rsidR="00263BCC" w:rsidRPr="00126D03">
        <w:rPr>
          <w:lang w:val="en-GB"/>
        </w:rPr>
        <w:t xml:space="preserve"> </w:t>
      </w:r>
      <w:r w:rsidR="00424BF9" w:rsidRPr="00126D03">
        <w:rPr>
          <w:lang w:val="en-GB"/>
        </w:rPr>
        <w:t>As to what constitutes ‘knowledge’, there must be justified, true belief, going beyond opinion or supposition.</w:t>
      </w:r>
      <w:r w:rsidR="00424BF9">
        <w:rPr>
          <w:rStyle w:val="FootnoteReference"/>
          <w:lang w:val="en-GB"/>
        </w:rPr>
        <w:footnoteReference w:id="41"/>
      </w:r>
      <w:r w:rsidR="00424BF9" w:rsidRPr="00126D03">
        <w:rPr>
          <w:lang w:val="en-GB"/>
        </w:rPr>
        <w:t xml:space="preserve"> A belief in this sense is more than a suspicion and less than the product of personally witnessing or participating in events, or of being the recipient of first-hand evidence. It extends to a belief that is engendered by, or inferred from attendant circumstances.</w:t>
      </w:r>
      <w:r w:rsidR="00424BF9">
        <w:rPr>
          <w:rStyle w:val="FootnoteReference"/>
          <w:lang w:val="en-GB"/>
        </w:rPr>
        <w:footnoteReference w:id="42"/>
      </w:r>
      <w:r w:rsidR="00424BF9" w:rsidRPr="00126D03">
        <w:rPr>
          <w:lang w:val="en-GB"/>
        </w:rPr>
        <w:t xml:space="preserve"> </w:t>
      </w:r>
    </w:p>
    <w:p w14:paraId="343229FB" w14:textId="77777777" w:rsidR="00AF047E" w:rsidRDefault="00AF047E" w:rsidP="00AF047E">
      <w:pPr>
        <w:pStyle w:val="ListParagraph"/>
        <w:autoSpaceDE w:val="0"/>
        <w:autoSpaceDN w:val="0"/>
        <w:adjustRightInd w:val="0"/>
        <w:ind w:left="0"/>
        <w:jc w:val="both"/>
        <w:rPr>
          <w:lang w:val="en-GB"/>
        </w:rPr>
      </w:pPr>
    </w:p>
    <w:p w14:paraId="4E001AC8" w14:textId="611B3FF0" w:rsidR="00E532F0" w:rsidRPr="00126D03" w:rsidRDefault="00126D03" w:rsidP="00126D03">
      <w:pPr>
        <w:autoSpaceDE w:val="0"/>
        <w:autoSpaceDN w:val="0"/>
        <w:adjustRightInd w:val="0"/>
        <w:jc w:val="both"/>
        <w:rPr>
          <w:lang w:val="en-GB"/>
        </w:rPr>
      </w:pPr>
      <w:r>
        <w:rPr>
          <w:lang w:val="en-GB"/>
        </w:rPr>
        <w:t>[24]</w:t>
      </w:r>
      <w:r>
        <w:rPr>
          <w:lang w:val="en-GB"/>
        </w:rPr>
        <w:tab/>
      </w:r>
      <w:r w:rsidR="00113AE2" w:rsidRPr="00126D03">
        <w:rPr>
          <w:lang w:val="en-GB"/>
        </w:rPr>
        <w:t>The requirement ‘exercising reasonable care’</w:t>
      </w:r>
      <w:r w:rsidR="00137590" w:rsidRPr="00126D03">
        <w:rPr>
          <w:lang w:val="en-GB"/>
        </w:rPr>
        <w:t>, in the s 12(3) proviso, requires ‘diligence not only in the ascertainment of the facts underlying the debt, but also in relation to the evaluation and significance of those facts</w:t>
      </w:r>
      <w:r w:rsidR="00647F34" w:rsidRPr="00126D03">
        <w:rPr>
          <w:lang w:val="en-GB"/>
        </w:rPr>
        <w:t>’.</w:t>
      </w:r>
      <w:r w:rsidR="00647F34">
        <w:rPr>
          <w:rStyle w:val="FootnoteReference"/>
          <w:lang w:val="en-GB"/>
        </w:rPr>
        <w:footnoteReference w:id="43"/>
      </w:r>
      <w:r w:rsidR="00647F34" w:rsidRPr="00126D03">
        <w:rPr>
          <w:lang w:val="en-GB"/>
        </w:rPr>
        <w:t xml:space="preserve">  </w:t>
      </w:r>
      <w:r w:rsidR="00424BF9" w:rsidRPr="00126D03">
        <w:rPr>
          <w:lang w:val="en-GB"/>
        </w:rPr>
        <w:t>Mr Diko is deemed to have the requisite knowledge</w:t>
      </w:r>
      <w:r w:rsidR="0083646A" w:rsidRPr="00126D03">
        <w:rPr>
          <w:lang w:val="en-GB"/>
        </w:rPr>
        <w:t>, so that the debt is due,</w:t>
      </w:r>
      <w:r w:rsidR="00424BF9" w:rsidRPr="00126D03">
        <w:rPr>
          <w:lang w:val="en-GB"/>
        </w:rPr>
        <w:t xml:space="preserve"> </w:t>
      </w:r>
      <w:r w:rsidR="00521276" w:rsidRPr="00126D03">
        <w:rPr>
          <w:lang w:val="en-GB"/>
        </w:rPr>
        <w:t>at the point that</w:t>
      </w:r>
      <w:r w:rsidR="00424BF9" w:rsidRPr="00126D03">
        <w:rPr>
          <w:lang w:val="en-GB"/>
        </w:rPr>
        <w:t xml:space="preserve"> a reasonable person in his position</w:t>
      </w:r>
      <w:r w:rsidR="000204AC" w:rsidRPr="00126D03">
        <w:rPr>
          <w:lang w:val="en-GB"/>
        </w:rPr>
        <w:t xml:space="preserve"> would have deduced the identity of the debtor and the facts from which the debt </w:t>
      </w:r>
      <w:r w:rsidR="00A261C8" w:rsidRPr="00126D03">
        <w:rPr>
          <w:lang w:val="en-GB"/>
        </w:rPr>
        <w:t>arose</w:t>
      </w:r>
      <w:r w:rsidR="000204AC" w:rsidRPr="00126D03">
        <w:rPr>
          <w:lang w:val="en-GB"/>
        </w:rPr>
        <w:t>.</w:t>
      </w:r>
      <w:r w:rsidR="00731329">
        <w:rPr>
          <w:rStyle w:val="FootnoteReference"/>
          <w:lang w:val="en-GB"/>
        </w:rPr>
        <w:footnoteReference w:id="44"/>
      </w:r>
      <w:r w:rsidR="00424BF9" w:rsidRPr="00126D03">
        <w:rPr>
          <w:lang w:val="en-GB"/>
        </w:rPr>
        <w:t xml:space="preserve"> </w:t>
      </w:r>
    </w:p>
    <w:p w14:paraId="23DCD2F9" w14:textId="77777777" w:rsidR="006F01CC" w:rsidRPr="006F01CC" w:rsidRDefault="006F01CC" w:rsidP="006F01CC">
      <w:pPr>
        <w:pStyle w:val="ListParagraph"/>
        <w:autoSpaceDE w:val="0"/>
        <w:autoSpaceDN w:val="0"/>
        <w:adjustRightInd w:val="0"/>
        <w:ind w:left="0"/>
        <w:jc w:val="both"/>
        <w:rPr>
          <w:lang w:val="en-GB"/>
        </w:rPr>
      </w:pPr>
    </w:p>
    <w:p w14:paraId="04419DF2" w14:textId="192F9BE9" w:rsidR="00244DFF" w:rsidRPr="00126D03" w:rsidRDefault="00126D03" w:rsidP="00126D03">
      <w:pPr>
        <w:autoSpaceDE w:val="0"/>
        <w:autoSpaceDN w:val="0"/>
        <w:adjustRightInd w:val="0"/>
        <w:jc w:val="both"/>
        <w:rPr>
          <w:lang w:val="en-GB"/>
        </w:rPr>
      </w:pPr>
      <w:r>
        <w:rPr>
          <w:lang w:val="en-GB"/>
        </w:rPr>
        <w:t>[25]</w:t>
      </w:r>
      <w:r>
        <w:rPr>
          <w:lang w:val="en-GB"/>
        </w:rPr>
        <w:tab/>
      </w:r>
      <w:r w:rsidR="00EC032C" w:rsidRPr="00126D03">
        <w:rPr>
          <w:lang w:val="en-GB"/>
        </w:rPr>
        <w:t xml:space="preserve">What is the level of proof expected of the MEC considering that </w:t>
      </w:r>
      <w:r w:rsidR="001D6E64" w:rsidRPr="00126D03">
        <w:rPr>
          <w:lang w:val="en-GB"/>
        </w:rPr>
        <w:t xml:space="preserve">the issue relates to a matter </w:t>
      </w:r>
      <w:r w:rsidR="00244DFF" w:rsidRPr="00126D03">
        <w:rPr>
          <w:lang w:val="en-GB"/>
        </w:rPr>
        <w:t xml:space="preserve">squarely </w:t>
      </w:r>
      <w:r w:rsidR="001D6E64" w:rsidRPr="00126D03">
        <w:rPr>
          <w:lang w:val="en-GB"/>
        </w:rPr>
        <w:t>within the knowledge of Mr Diko</w:t>
      </w:r>
      <w:r w:rsidR="00244DFF" w:rsidRPr="00126D03">
        <w:rPr>
          <w:lang w:val="en-GB"/>
        </w:rPr>
        <w:t>?</w:t>
      </w:r>
      <w:r w:rsidR="001D6E64" w:rsidRPr="00126D03">
        <w:rPr>
          <w:lang w:val="en-GB"/>
        </w:rPr>
        <w:t xml:space="preserve"> </w:t>
      </w:r>
      <w:r w:rsidR="00244DFF" w:rsidRPr="00126D03">
        <w:rPr>
          <w:lang w:val="en-GB"/>
        </w:rPr>
        <w:t xml:space="preserve">The judgment of Stratford JA in </w:t>
      </w:r>
      <w:r w:rsidR="00244DFF" w:rsidRPr="00126D03">
        <w:rPr>
          <w:i/>
          <w:iCs/>
          <w:lang w:val="en-GB"/>
        </w:rPr>
        <w:t>Ex Parte The Minister of Justice: In re Rex v Jacobsen &amp; Levy</w:t>
      </w:r>
      <w:r w:rsidR="00244DFF" w:rsidRPr="00126D03">
        <w:rPr>
          <w:lang w:val="en-GB"/>
        </w:rPr>
        <w:t xml:space="preserve"> provides guidance:</w:t>
      </w:r>
      <w:r w:rsidR="00244DFF">
        <w:rPr>
          <w:rStyle w:val="FootnoteReference"/>
          <w:lang w:val="en-GB"/>
        </w:rPr>
        <w:footnoteReference w:id="45"/>
      </w:r>
    </w:p>
    <w:p w14:paraId="6454FAB2" w14:textId="54F8D670" w:rsidR="00244DFF" w:rsidRDefault="00244DFF" w:rsidP="00244DFF">
      <w:pPr>
        <w:rPr>
          <w:lang w:val="en-GB"/>
        </w:rPr>
      </w:pPr>
    </w:p>
    <w:p w14:paraId="69476159" w14:textId="305F247B" w:rsidR="0024410A" w:rsidRPr="0024410A" w:rsidRDefault="0024410A" w:rsidP="0024410A">
      <w:pPr>
        <w:jc w:val="both"/>
        <w:rPr>
          <w:sz w:val="22"/>
          <w:szCs w:val="22"/>
          <w:lang w:val="en-GB"/>
        </w:rPr>
      </w:pPr>
      <w:r>
        <w:rPr>
          <w:sz w:val="22"/>
          <w:szCs w:val="22"/>
          <w:lang w:val="en-GB"/>
        </w:rPr>
        <w:t xml:space="preserve">‘It is not, however, in every case that the burden of proof can be discharged by giving less than complete proof on the issue; it depends upon the nature of the case and the relative ability of the parties to contribute evidence on that issue. If the party, on whom lies the burden of proof, goes as far as he reasonably can in producing evidence and that evidence “calls for an answer” then, in such case, he has produced </w:t>
      </w:r>
      <w:r>
        <w:rPr>
          <w:i/>
          <w:iCs/>
          <w:sz w:val="22"/>
          <w:szCs w:val="22"/>
          <w:lang w:val="en-GB"/>
        </w:rPr>
        <w:t>prima facie</w:t>
      </w:r>
      <w:r>
        <w:rPr>
          <w:sz w:val="22"/>
          <w:szCs w:val="22"/>
          <w:lang w:val="en-GB"/>
        </w:rPr>
        <w:t xml:space="preserve"> proof, and, in the absence of an </w:t>
      </w:r>
      <w:r>
        <w:rPr>
          <w:sz w:val="22"/>
          <w:szCs w:val="22"/>
          <w:lang w:val="en-GB"/>
        </w:rPr>
        <w:lastRenderedPageBreak/>
        <w:t xml:space="preserve">answer from the other side, it becomes conclusive proof and he completely discharges his </w:t>
      </w:r>
      <w:r>
        <w:rPr>
          <w:i/>
          <w:iCs/>
          <w:sz w:val="22"/>
          <w:szCs w:val="22"/>
          <w:lang w:val="en-GB"/>
        </w:rPr>
        <w:t>onus</w:t>
      </w:r>
      <w:r>
        <w:rPr>
          <w:sz w:val="22"/>
          <w:szCs w:val="22"/>
          <w:lang w:val="en-GB"/>
        </w:rPr>
        <w:t xml:space="preserve"> of proof. </w:t>
      </w:r>
    </w:p>
    <w:p w14:paraId="4E630524" w14:textId="77777777" w:rsidR="00244DFF" w:rsidRPr="00244DFF" w:rsidRDefault="00244DFF" w:rsidP="00244DFF">
      <w:pPr>
        <w:rPr>
          <w:lang w:val="en-GB"/>
        </w:rPr>
      </w:pPr>
    </w:p>
    <w:p w14:paraId="62F25E83" w14:textId="1980BAA4" w:rsidR="009B722B" w:rsidRPr="00126D03" w:rsidRDefault="00126D03" w:rsidP="00126D03">
      <w:pPr>
        <w:autoSpaceDE w:val="0"/>
        <w:autoSpaceDN w:val="0"/>
        <w:adjustRightInd w:val="0"/>
        <w:jc w:val="both"/>
        <w:rPr>
          <w:lang w:val="en-GB"/>
        </w:rPr>
      </w:pPr>
      <w:r w:rsidRPr="00D90DFD">
        <w:rPr>
          <w:lang w:val="en-GB"/>
        </w:rPr>
        <w:t>[26]</w:t>
      </w:r>
      <w:r w:rsidRPr="00D90DFD">
        <w:rPr>
          <w:lang w:val="en-GB"/>
        </w:rPr>
        <w:tab/>
      </w:r>
      <w:r w:rsidR="001367D6" w:rsidRPr="00126D03">
        <w:rPr>
          <w:lang w:val="en-GB"/>
        </w:rPr>
        <w:t xml:space="preserve">It </w:t>
      </w:r>
      <w:r w:rsidR="009B722B" w:rsidRPr="00126D03">
        <w:rPr>
          <w:lang w:val="en-GB"/>
        </w:rPr>
        <w:t>must be</w:t>
      </w:r>
      <w:r w:rsidR="001367D6" w:rsidRPr="00126D03">
        <w:rPr>
          <w:lang w:val="en-GB"/>
        </w:rPr>
        <w:t xml:space="preserve"> accepted that less evidence suffices to establish a prima facie case where the matter is peculiarly within the knowledge of the opposite party.</w:t>
      </w:r>
      <w:r w:rsidR="00EA73A5">
        <w:rPr>
          <w:rStyle w:val="FootnoteReference"/>
          <w:lang w:val="en-GB"/>
        </w:rPr>
        <w:footnoteReference w:id="46"/>
      </w:r>
      <w:r w:rsidR="001367D6" w:rsidRPr="00126D03">
        <w:rPr>
          <w:lang w:val="en-GB"/>
        </w:rPr>
        <w:t xml:space="preserve"> </w:t>
      </w:r>
      <w:r w:rsidR="009B722B" w:rsidRPr="00126D03">
        <w:rPr>
          <w:lang w:val="en-GB"/>
        </w:rPr>
        <w:t>As reflected in the judgment granting leave to appeal, the trial court erred in failing to consider this principle</w:t>
      </w:r>
      <w:r w:rsidR="001F0E03" w:rsidRPr="00126D03">
        <w:rPr>
          <w:lang w:val="en-GB"/>
        </w:rPr>
        <w:t xml:space="preserve"> in the context of Mr Diko’s failure to testify</w:t>
      </w:r>
      <w:r w:rsidR="009B722B" w:rsidRPr="00126D03">
        <w:rPr>
          <w:lang w:val="en-GB"/>
        </w:rPr>
        <w:t>. To the extent that the court was reluctant to rely on Dr Osman’s evidence based on a language barrier, this concern was speculative and misplaced considering the evidence at hand. It is accordingly open to this court to reject fully or in part the trial court’s findings and assessment of evidence, and to reach its own conclusions.</w:t>
      </w:r>
      <w:r w:rsidR="009B722B">
        <w:rPr>
          <w:rStyle w:val="FootnoteReference"/>
          <w:lang w:val="en-GB"/>
        </w:rPr>
        <w:footnoteReference w:id="47"/>
      </w:r>
    </w:p>
    <w:p w14:paraId="501D82E2" w14:textId="77777777" w:rsidR="003B6B4E" w:rsidRPr="00013088" w:rsidRDefault="003B6B4E" w:rsidP="003B6B4E">
      <w:pPr>
        <w:rPr>
          <w:lang w:val="en-GB"/>
        </w:rPr>
      </w:pPr>
    </w:p>
    <w:p w14:paraId="1732F491" w14:textId="17D9BC4F" w:rsidR="003B6B4E" w:rsidRPr="00126D03" w:rsidRDefault="00126D03" w:rsidP="00126D03">
      <w:pPr>
        <w:autoSpaceDE w:val="0"/>
        <w:autoSpaceDN w:val="0"/>
        <w:adjustRightInd w:val="0"/>
        <w:jc w:val="both"/>
        <w:rPr>
          <w:lang w:val="en-GB"/>
        </w:rPr>
      </w:pPr>
      <w:r w:rsidRPr="004F46F4">
        <w:rPr>
          <w:lang w:val="en-GB"/>
        </w:rPr>
        <w:t>[27]</w:t>
      </w:r>
      <w:r w:rsidRPr="004F46F4">
        <w:rPr>
          <w:lang w:val="en-GB"/>
        </w:rPr>
        <w:tab/>
      </w:r>
      <w:r w:rsidR="003B6B4E" w:rsidRPr="00126D03">
        <w:rPr>
          <w:lang w:val="en-GB"/>
        </w:rPr>
        <w:t>A failure to adduce evidence in a civil case does not, on its own, justify a finding in favour of the other party.</w:t>
      </w:r>
      <w:r w:rsidR="00D72227">
        <w:rPr>
          <w:rStyle w:val="FootnoteReference"/>
          <w:lang w:val="en-GB"/>
        </w:rPr>
        <w:footnoteReference w:id="48"/>
      </w:r>
      <w:r w:rsidR="003B6B4E" w:rsidRPr="00126D03">
        <w:rPr>
          <w:lang w:val="en-GB"/>
        </w:rPr>
        <w:t xml:space="preserve"> It remains necessary for a court to conclude that, having regard to the absence of an explanation, that party’s version is more probable than not.</w:t>
      </w:r>
      <w:r w:rsidR="003B6B4E">
        <w:rPr>
          <w:rStyle w:val="FootnoteReference"/>
          <w:lang w:val="en-GB"/>
        </w:rPr>
        <w:footnoteReference w:id="49"/>
      </w:r>
      <w:r w:rsidR="003B6B4E" w:rsidRPr="00126D03">
        <w:rPr>
          <w:lang w:val="en-GB"/>
        </w:rPr>
        <w:t xml:space="preserve"> As Schmidt notes:</w:t>
      </w:r>
      <w:r w:rsidR="003B6B4E">
        <w:rPr>
          <w:rStyle w:val="FootnoteReference"/>
          <w:lang w:val="en-GB"/>
        </w:rPr>
        <w:footnoteReference w:id="50"/>
      </w:r>
    </w:p>
    <w:p w14:paraId="18DD17B3" w14:textId="77777777" w:rsidR="003B6B4E" w:rsidRDefault="003B6B4E" w:rsidP="003B6B4E">
      <w:pPr>
        <w:rPr>
          <w:lang w:val="en-GB"/>
        </w:rPr>
      </w:pPr>
    </w:p>
    <w:p w14:paraId="74E2EA44" w14:textId="77777777" w:rsidR="003B6B4E" w:rsidRDefault="003B6B4E" w:rsidP="003B6B4E">
      <w:pPr>
        <w:jc w:val="both"/>
        <w:rPr>
          <w:sz w:val="22"/>
          <w:szCs w:val="22"/>
          <w:lang w:val="en-GB"/>
        </w:rPr>
      </w:pPr>
      <w:r w:rsidRPr="00215FE0">
        <w:rPr>
          <w:sz w:val="22"/>
          <w:szCs w:val="22"/>
          <w:lang w:val="en-GB"/>
        </w:rPr>
        <w:t xml:space="preserve">‘When a litigant fails to adduce evidence about a fact in issue, whether by not giving evidence himself or by not calling witnesses, it goes without saying that he runs the risk of his opponent’s version being </w:t>
      </w:r>
      <w:r>
        <w:rPr>
          <w:sz w:val="22"/>
          <w:szCs w:val="22"/>
          <w:lang w:val="en-GB"/>
        </w:rPr>
        <w:t>b</w:t>
      </w:r>
      <w:r w:rsidRPr="00215FE0">
        <w:rPr>
          <w:sz w:val="22"/>
          <w:szCs w:val="22"/>
          <w:lang w:val="en-GB"/>
        </w:rPr>
        <w:t>elieved. If he bears an evidential burden and does nothing to discharge it he will necessarily suffer defeat. The fact that the evidence is not adduced to contradict an opponent’s version does not necessarily mean, however, that the version will be accepted. Whether it is accepted depends on the probative strength of the opponent’s evidence, that is to say on whether it really was strong enough to cast an evidential burden on the side failing to present evidence.</w:t>
      </w:r>
    </w:p>
    <w:p w14:paraId="49FEF2B7" w14:textId="77777777" w:rsidR="003B6B4E" w:rsidRPr="00215FE0" w:rsidRDefault="003B6B4E" w:rsidP="003B6B4E">
      <w:pPr>
        <w:jc w:val="both"/>
        <w:rPr>
          <w:sz w:val="22"/>
          <w:szCs w:val="22"/>
          <w:lang w:val="en-GB"/>
        </w:rPr>
      </w:pPr>
    </w:p>
    <w:p w14:paraId="7FEBC751" w14:textId="1E7FC7A9" w:rsidR="0044627C" w:rsidRPr="00126D03" w:rsidRDefault="00126D03" w:rsidP="00126D03">
      <w:pPr>
        <w:autoSpaceDE w:val="0"/>
        <w:autoSpaceDN w:val="0"/>
        <w:adjustRightInd w:val="0"/>
        <w:jc w:val="both"/>
        <w:rPr>
          <w:lang w:val="en-GB"/>
        </w:rPr>
      </w:pPr>
      <w:r>
        <w:rPr>
          <w:lang w:val="en-GB"/>
        </w:rPr>
        <w:t>[28]</w:t>
      </w:r>
      <w:r>
        <w:rPr>
          <w:lang w:val="en-GB"/>
        </w:rPr>
        <w:tab/>
      </w:r>
      <w:r w:rsidR="003B6B4E" w:rsidRPr="00126D03">
        <w:rPr>
          <w:lang w:val="en-GB"/>
        </w:rPr>
        <w:t xml:space="preserve">Both the MEC and the court a quo made reference to </w:t>
      </w:r>
      <w:r w:rsidR="003B6B4E" w:rsidRPr="00126D03">
        <w:rPr>
          <w:i/>
          <w:iCs/>
          <w:lang w:val="en-GB"/>
        </w:rPr>
        <w:t>Galante v Dickinson</w:t>
      </w:r>
      <w:r w:rsidR="003B6B4E" w:rsidRPr="001005F3">
        <w:rPr>
          <w:rStyle w:val="FootnoteReference"/>
          <w:lang w:val="en-GB"/>
        </w:rPr>
        <w:footnoteReference w:id="51"/>
      </w:r>
      <w:r w:rsidR="003B6B4E" w:rsidRPr="00126D03">
        <w:rPr>
          <w:lang w:val="en-GB"/>
        </w:rPr>
        <w:t xml:space="preserve"> in respect of the alleged errors in the assessment of the evidence. But that decision was concerned with a motor vehicle collision where </w:t>
      </w:r>
      <w:r w:rsidR="003B6B4E" w:rsidRPr="00126D03">
        <w:rPr>
          <w:i/>
          <w:iCs/>
          <w:lang w:val="en-GB"/>
        </w:rPr>
        <w:t>two alternative explanations</w:t>
      </w:r>
      <w:r w:rsidR="003B6B4E" w:rsidRPr="00126D03">
        <w:rPr>
          <w:lang w:val="en-GB"/>
        </w:rPr>
        <w:t xml:space="preserve"> of the </w:t>
      </w:r>
      <w:r w:rsidR="003B6B4E" w:rsidRPr="00126D03">
        <w:rPr>
          <w:lang w:val="en-GB"/>
        </w:rPr>
        <w:lastRenderedPageBreak/>
        <w:t xml:space="preserve">cause of the accident were roughly </w:t>
      </w:r>
      <w:r w:rsidR="003B6B4E" w:rsidRPr="00126D03">
        <w:rPr>
          <w:i/>
          <w:iCs/>
          <w:lang w:val="en-GB"/>
        </w:rPr>
        <w:t>equally</w:t>
      </w:r>
      <w:r w:rsidR="003B6B4E" w:rsidRPr="00126D03">
        <w:rPr>
          <w:lang w:val="en-GB"/>
        </w:rPr>
        <w:t xml:space="preserve"> </w:t>
      </w:r>
      <w:r w:rsidR="003B6B4E" w:rsidRPr="00126D03">
        <w:rPr>
          <w:i/>
          <w:iCs/>
          <w:lang w:val="en-GB"/>
        </w:rPr>
        <w:t>open on the evidence presented</w:t>
      </w:r>
      <w:r w:rsidR="003B6B4E" w:rsidRPr="00126D03">
        <w:rPr>
          <w:lang w:val="en-GB"/>
        </w:rPr>
        <w:t>. It was in those circumstances that the party who had failed to give evidence on matters within his knowledge was disfavoured. The decision appears to be inapposite and the matter may be considered based on Dr Osman’s uncontested evidence of what he heard from Mr Diko.</w:t>
      </w:r>
      <w:r w:rsidR="0044627C" w:rsidRPr="00126D03">
        <w:rPr>
          <w:lang w:val="en-GB"/>
        </w:rPr>
        <w:t xml:space="preserve"> The probative strength of Dr Osman’s evidence must still be assessed to determine whether it was strong enough to cast an evidential burden on Mr Diko.</w:t>
      </w:r>
      <w:r w:rsidR="0044627C">
        <w:rPr>
          <w:rStyle w:val="FootnoteReference"/>
          <w:lang w:val="en-GB"/>
        </w:rPr>
        <w:footnoteReference w:id="52"/>
      </w:r>
      <w:r w:rsidR="0044627C" w:rsidRPr="00126D03">
        <w:rPr>
          <w:lang w:val="en-GB"/>
        </w:rPr>
        <w:t xml:space="preserve"> </w:t>
      </w:r>
      <w:r w:rsidR="002757F3" w:rsidRPr="00126D03">
        <w:rPr>
          <w:lang w:val="en-GB"/>
        </w:rPr>
        <w:t>Following Schmidt, i</w:t>
      </w:r>
      <w:r w:rsidR="0044627C" w:rsidRPr="00126D03">
        <w:rPr>
          <w:lang w:val="en-GB"/>
        </w:rPr>
        <w:t>t is ultimately the application of the relevant standard of proof to all the facts of the case that determines whether Mr Diko’s failure to give evidence will be fatal.</w:t>
      </w:r>
      <w:r w:rsidR="0044627C">
        <w:rPr>
          <w:rStyle w:val="FootnoteReference"/>
          <w:lang w:val="en-GB"/>
        </w:rPr>
        <w:footnoteReference w:id="53"/>
      </w:r>
    </w:p>
    <w:p w14:paraId="20DD5971" w14:textId="77777777" w:rsidR="00D90DFD" w:rsidRDefault="00D90DFD" w:rsidP="00D90DFD">
      <w:pPr>
        <w:pStyle w:val="ListParagraph"/>
        <w:autoSpaceDE w:val="0"/>
        <w:autoSpaceDN w:val="0"/>
        <w:adjustRightInd w:val="0"/>
        <w:ind w:left="0"/>
        <w:jc w:val="both"/>
        <w:rPr>
          <w:lang w:val="en-GB"/>
        </w:rPr>
      </w:pPr>
    </w:p>
    <w:p w14:paraId="1F0D0291" w14:textId="6F846171" w:rsidR="00056DB7" w:rsidRPr="00126D03" w:rsidRDefault="00126D03" w:rsidP="00126D03">
      <w:pPr>
        <w:autoSpaceDE w:val="0"/>
        <w:autoSpaceDN w:val="0"/>
        <w:adjustRightInd w:val="0"/>
        <w:jc w:val="both"/>
        <w:rPr>
          <w:lang w:val="en-GB"/>
        </w:rPr>
      </w:pPr>
      <w:r>
        <w:rPr>
          <w:lang w:val="en-GB"/>
        </w:rPr>
        <w:t>[29]</w:t>
      </w:r>
      <w:r>
        <w:rPr>
          <w:lang w:val="en-GB"/>
        </w:rPr>
        <w:tab/>
      </w:r>
      <w:r w:rsidR="00056DB7" w:rsidRPr="00126D03">
        <w:rPr>
          <w:lang w:val="en-GB"/>
        </w:rPr>
        <w:t xml:space="preserve">The MEC seemingly went as far as it could to discharge its burden by leading Dr Osman’s evidence as to his consultation with Mr Diko. The highpoint of Dr Osman’s evidence, correctly identified by the trial court, was that Mr Diko knew sometime during 2009 / 2010 that there was a ‘problem with the fixation’. The crux of the matter is whether that evidence, bearing in mind the reduced expectation, called for an answer so that it constituted prima facie proof that became conclusive when Mr Diko did not take to the stand. </w:t>
      </w:r>
    </w:p>
    <w:p w14:paraId="0D374ABB" w14:textId="77777777" w:rsidR="00056DB7" w:rsidRPr="00D90DFD" w:rsidRDefault="00056DB7" w:rsidP="00056DB7">
      <w:pPr>
        <w:pStyle w:val="ListParagraph"/>
        <w:autoSpaceDE w:val="0"/>
        <w:autoSpaceDN w:val="0"/>
        <w:adjustRightInd w:val="0"/>
        <w:ind w:left="0"/>
        <w:jc w:val="both"/>
        <w:rPr>
          <w:lang w:val="en-GB"/>
        </w:rPr>
      </w:pPr>
    </w:p>
    <w:p w14:paraId="55557B46" w14:textId="5A53BDBD" w:rsidR="004D5A90" w:rsidRPr="00126D03" w:rsidRDefault="00126D03" w:rsidP="00126D03">
      <w:pPr>
        <w:autoSpaceDE w:val="0"/>
        <w:autoSpaceDN w:val="0"/>
        <w:adjustRightInd w:val="0"/>
        <w:jc w:val="both"/>
        <w:rPr>
          <w:lang w:val="en-GB"/>
        </w:rPr>
      </w:pPr>
      <w:r>
        <w:rPr>
          <w:lang w:val="en-GB"/>
        </w:rPr>
        <w:t>[30]</w:t>
      </w:r>
      <w:r>
        <w:rPr>
          <w:lang w:val="en-GB"/>
        </w:rPr>
        <w:tab/>
      </w:r>
      <w:r w:rsidR="003B6B4E" w:rsidRPr="00126D03">
        <w:rPr>
          <w:lang w:val="en-GB"/>
        </w:rPr>
        <w:t>An adverse inference should not be drawn from a party’s failure to testify where it appears from evidential material before the court that the testimony would merely serve to corroborate evidence already given.</w:t>
      </w:r>
      <w:r w:rsidR="003B6B4E">
        <w:rPr>
          <w:rStyle w:val="FootnoteReference"/>
          <w:lang w:val="en-GB"/>
        </w:rPr>
        <w:footnoteReference w:id="54"/>
      </w:r>
      <w:r w:rsidR="003B6B4E" w:rsidRPr="00126D03">
        <w:rPr>
          <w:lang w:val="en-GB"/>
        </w:rPr>
        <w:t xml:space="preserve"> An inference also cannot be drawn when the case against the party failing to give evidence, or to call a witness, is weak.</w:t>
      </w:r>
      <w:r w:rsidR="003B6B4E">
        <w:rPr>
          <w:rStyle w:val="FootnoteReference"/>
          <w:lang w:val="en-GB"/>
        </w:rPr>
        <w:footnoteReference w:id="55"/>
      </w:r>
      <w:r w:rsidR="003B6B4E" w:rsidRPr="00126D03">
        <w:rPr>
          <w:lang w:val="en-GB"/>
        </w:rPr>
        <w:t xml:space="preserve"> This is because the failure to have testified could have been motivated by the absence of any threat to counter, rather than fear that unfavourable evidence might be elicited.</w:t>
      </w:r>
      <w:r w:rsidR="003B6B4E">
        <w:rPr>
          <w:rStyle w:val="FootnoteReference"/>
          <w:lang w:val="en-GB"/>
        </w:rPr>
        <w:footnoteReference w:id="56"/>
      </w:r>
      <w:r w:rsidR="003B6B4E" w:rsidRPr="00126D03">
        <w:rPr>
          <w:lang w:val="en-GB"/>
        </w:rPr>
        <w:t xml:space="preserve"> </w:t>
      </w:r>
    </w:p>
    <w:p w14:paraId="4B671D0C" w14:textId="77777777" w:rsidR="004D5A90" w:rsidRPr="004D5A90" w:rsidRDefault="004D5A90" w:rsidP="004D5A90">
      <w:pPr>
        <w:pStyle w:val="ListParagraph"/>
        <w:rPr>
          <w:lang w:val="en-GB"/>
        </w:rPr>
      </w:pPr>
    </w:p>
    <w:p w14:paraId="0D0C31AB" w14:textId="5DBD0002" w:rsidR="003B6B4E" w:rsidRPr="00126D03" w:rsidRDefault="00126D03" w:rsidP="00126D03">
      <w:pPr>
        <w:autoSpaceDE w:val="0"/>
        <w:autoSpaceDN w:val="0"/>
        <w:adjustRightInd w:val="0"/>
        <w:jc w:val="both"/>
        <w:rPr>
          <w:lang w:val="en-GB"/>
        </w:rPr>
      </w:pPr>
      <w:r w:rsidRPr="001A5822">
        <w:rPr>
          <w:lang w:val="en-GB"/>
        </w:rPr>
        <w:t>[31]</w:t>
      </w:r>
      <w:r w:rsidRPr="001A5822">
        <w:rPr>
          <w:lang w:val="en-GB"/>
        </w:rPr>
        <w:tab/>
      </w:r>
      <w:r w:rsidR="003B6B4E" w:rsidRPr="00126D03">
        <w:rPr>
          <w:lang w:val="en-GB"/>
        </w:rPr>
        <w:t xml:space="preserve">In the present circumstances, the only risk run by Mr Diko was that the MEC’s version as to his knowledge of the facts from which the debt arose, or ability to acquire </w:t>
      </w:r>
      <w:r w:rsidR="003B6B4E" w:rsidRPr="00126D03">
        <w:rPr>
          <w:lang w:val="en-GB"/>
        </w:rPr>
        <w:lastRenderedPageBreak/>
        <w:t>such knowledge by exercising reasonable care, would be accepted. That version was in any event predicated on Mr Diko’s own history of events, as presented to Dr Osman during their consultation.</w:t>
      </w:r>
      <w:r w:rsidR="00826855" w:rsidRPr="00126D03">
        <w:rPr>
          <w:lang w:val="en-GB"/>
        </w:rPr>
        <w:t xml:space="preserve"> Dr Osman’s brief testimony in court followed the lines of his report, which was before the court</w:t>
      </w:r>
      <w:r w:rsidR="009C50E4" w:rsidRPr="00126D03">
        <w:rPr>
          <w:lang w:val="en-GB"/>
        </w:rPr>
        <w:t xml:space="preserve"> and, being based on Mr Diko’s own recollection of events, </w:t>
      </w:r>
      <w:r w:rsidR="000A4EB9" w:rsidRPr="00126D03">
        <w:rPr>
          <w:lang w:val="en-GB"/>
        </w:rPr>
        <w:t>c</w:t>
      </w:r>
      <w:r w:rsidR="002470C9" w:rsidRPr="00126D03">
        <w:rPr>
          <w:lang w:val="en-GB"/>
        </w:rPr>
        <w:t>ontained</w:t>
      </w:r>
      <w:r w:rsidR="009C50E4" w:rsidRPr="00126D03">
        <w:rPr>
          <w:lang w:val="en-GB"/>
        </w:rPr>
        <w:t xml:space="preserve"> </w:t>
      </w:r>
      <w:r w:rsidR="00843CC2" w:rsidRPr="00126D03">
        <w:rPr>
          <w:lang w:val="en-GB"/>
        </w:rPr>
        <w:t>little that was</w:t>
      </w:r>
      <w:r w:rsidR="009C50E4" w:rsidRPr="00126D03">
        <w:rPr>
          <w:lang w:val="en-GB"/>
        </w:rPr>
        <w:t xml:space="preserve"> new.</w:t>
      </w:r>
      <w:r w:rsidR="00A537ED" w:rsidRPr="00126D03">
        <w:rPr>
          <w:lang w:val="en-GB"/>
        </w:rPr>
        <w:t xml:space="preserve"> </w:t>
      </w:r>
      <w:r w:rsidR="001D1E6A" w:rsidRPr="00126D03">
        <w:rPr>
          <w:lang w:val="en-GB"/>
        </w:rPr>
        <w:t xml:space="preserve">That being the sum total of the MEC’s case, it would also be inappropriate to draw an adverse inference where the case against Mr Diko </w:t>
      </w:r>
      <w:r w:rsidR="00B62111" w:rsidRPr="00126D03">
        <w:rPr>
          <w:lang w:val="en-GB"/>
        </w:rPr>
        <w:t>was rightly</w:t>
      </w:r>
      <w:r w:rsidR="00AE70AF" w:rsidRPr="00126D03">
        <w:rPr>
          <w:lang w:val="en-GB"/>
        </w:rPr>
        <w:t xml:space="preserve"> assessed</w:t>
      </w:r>
      <w:r w:rsidR="001D1E6A" w:rsidRPr="00126D03">
        <w:rPr>
          <w:lang w:val="en-GB"/>
        </w:rPr>
        <w:t xml:space="preserve"> as being weak.</w:t>
      </w:r>
    </w:p>
    <w:p w14:paraId="4613C70C" w14:textId="77777777" w:rsidR="00415FC3" w:rsidRDefault="00415FC3" w:rsidP="00415FC3">
      <w:pPr>
        <w:pStyle w:val="ListParagraph"/>
        <w:autoSpaceDE w:val="0"/>
        <w:autoSpaceDN w:val="0"/>
        <w:adjustRightInd w:val="0"/>
        <w:ind w:left="0"/>
        <w:jc w:val="both"/>
        <w:rPr>
          <w:lang w:val="en-GB"/>
        </w:rPr>
      </w:pPr>
    </w:p>
    <w:p w14:paraId="2A67BEB7" w14:textId="7E884EF3" w:rsidR="00CD3FB7" w:rsidRPr="00126D03" w:rsidRDefault="00126D03" w:rsidP="00126D03">
      <w:pPr>
        <w:autoSpaceDE w:val="0"/>
        <w:autoSpaceDN w:val="0"/>
        <w:adjustRightInd w:val="0"/>
        <w:jc w:val="both"/>
        <w:rPr>
          <w:lang w:val="en-GB"/>
        </w:rPr>
      </w:pPr>
      <w:r>
        <w:rPr>
          <w:lang w:val="en-GB"/>
        </w:rPr>
        <w:t>[32]</w:t>
      </w:r>
      <w:r>
        <w:rPr>
          <w:lang w:val="en-GB"/>
        </w:rPr>
        <w:tab/>
      </w:r>
      <w:r w:rsidR="00AF047E" w:rsidRPr="00126D03">
        <w:rPr>
          <w:lang w:val="en-GB"/>
        </w:rPr>
        <w:t xml:space="preserve">Mr Diko, it must be remembered, was involved in a motor vehicle collision that caused a </w:t>
      </w:r>
      <w:r w:rsidR="00FA4DB8" w:rsidRPr="00126D03">
        <w:rPr>
          <w:lang w:val="en-GB"/>
        </w:rPr>
        <w:t>right</w:t>
      </w:r>
      <w:r w:rsidR="0041510E" w:rsidRPr="00126D03">
        <w:rPr>
          <w:lang w:val="en-GB"/>
        </w:rPr>
        <w:t>-</w:t>
      </w:r>
      <w:r w:rsidR="00FA4DB8" w:rsidRPr="00126D03">
        <w:rPr>
          <w:lang w:val="en-GB"/>
        </w:rPr>
        <w:t xml:space="preserve">sided femoral fracture that was treated. </w:t>
      </w:r>
      <w:r w:rsidR="000F0206" w:rsidRPr="00126D03">
        <w:rPr>
          <w:lang w:val="en-GB"/>
        </w:rPr>
        <w:t xml:space="preserve">That accident would have been uppermost in his mind as the source of the medical problems that followed. </w:t>
      </w:r>
      <w:r w:rsidR="00CD3FB7" w:rsidRPr="00126D03">
        <w:rPr>
          <w:lang w:val="en-GB"/>
        </w:rPr>
        <w:t xml:space="preserve">Considering the solitary evidence led, it may be accepted that Mr Diko, having been discharged from hospital, noticed a shortening of his right lower leg. That observation was subsequently confirmed by staff at Bizana Hospital, who referred him to Bedford Hospital. There he received pain medication and asked to return for further treatment on an appointed date. Importantly, ‘they confirmed that there was a problem with the fixation’. </w:t>
      </w:r>
      <w:r w:rsidR="00211375" w:rsidRPr="00126D03">
        <w:rPr>
          <w:lang w:val="en-GB"/>
        </w:rPr>
        <w:t xml:space="preserve">That </w:t>
      </w:r>
      <w:r w:rsidR="004C1F7C" w:rsidRPr="00126D03">
        <w:rPr>
          <w:lang w:val="en-GB"/>
        </w:rPr>
        <w:t xml:space="preserve">was indeed nothing more than confirmation of something </w:t>
      </w:r>
      <w:r w:rsidR="004760E9" w:rsidRPr="00126D03">
        <w:rPr>
          <w:lang w:val="en-GB"/>
        </w:rPr>
        <w:t>painfully within his knowledge</w:t>
      </w:r>
      <w:r w:rsidR="004C1F7C" w:rsidRPr="00126D03">
        <w:rPr>
          <w:lang w:val="en-GB"/>
        </w:rPr>
        <w:t xml:space="preserve">, namely that the </w:t>
      </w:r>
      <w:r w:rsidR="004760E9" w:rsidRPr="00126D03">
        <w:rPr>
          <w:lang w:val="en-GB"/>
        </w:rPr>
        <w:t>treatment he had received</w:t>
      </w:r>
      <w:r w:rsidR="004C1F7C" w:rsidRPr="00126D03">
        <w:rPr>
          <w:lang w:val="en-GB"/>
        </w:rPr>
        <w:t xml:space="preserve"> had not solved </w:t>
      </w:r>
      <w:r w:rsidR="00C24978" w:rsidRPr="00126D03">
        <w:rPr>
          <w:lang w:val="en-GB"/>
        </w:rPr>
        <w:t xml:space="preserve">the problem which had started with the accident on 9 December 2009, caused his hospitalisation on 11 December 2009 and his operation on 18 December 2009. </w:t>
      </w:r>
      <w:r w:rsidR="00CD3FB7" w:rsidRPr="00126D03">
        <w:rPr>
          <w:lang w:val="en-GB"/>
        </w:rPr>
        <w:t>His lower limb subsequently started to bend. He had noticed the shortening about two weeks after surgery, and the bending a further two weeks later, but did not return to Bedford Hospital for further treatment.</w:t>
      </w:r>
      <w:r w:rsidR="00CD3FB7">
        <w:rPr>
          <w:rStyle w:val="FootnoteReference"/>
          <w:lang w:val="en-GB"/>
        </w:rPr>
        <w:footnoteReference w:id="57"/>
      </w:r>
      <w:r w:rsidR="00580762" w:rsidRPr="00126D03">
        <w:rPr>
          <w:lang w:val="en-GB"/>
        </w:rPr>
        <w:t xml:space="preserve"> </w:t>
      </w:r>
    </w:p>
    <w:p w14:paraId="690C2F9F" w14:textId="77777777" w:rsidR="00CD3FB7" w:rsidRPr="002948C1" w:rsidRDefault="00CD3FB7" w:rsidP="002948C1">
      <w:pPr>
        <w:rPr>
          <w:lang w:val="en-GB"/>
        </w:rPr>
      </w:pPr>
    </w:p>
    <w:p w14:paraId="2B8214F9" w14:textId="53766522" w:rsidR="002948C1" w:rsidRPr="00126D03" w:rsidRDefault="00126D03" w:rsidP="00126D03">
      <w:pPr>
        <w:autoSpaceDE w:val="0"/>
        <w:autoSpaceDN w:val="0"/>
        <w:adjustRightInd w:val="0"/>
        <w:jc w:val="both"/>
        <w:rPr>
          <w:lang w:val="en-GB"/>
        </w:rPr>
      </w:pPr>
      <w:r w:rsidRPr="009B0FC2">
        <w:rPr>
          <w:lang w:val="en-GB"/>
        </w:rPr>
        <w:t>[33]</w:t>
      </w:r>
      <w:r w:rsidRPr="009B0FC2">
        <w:rPr>
          <w:lang w:val="en-GB"/>
        </w:rPr>
        <w:tab/>
      </w:r>
      <w:r w:rsidR="00C703DF" w:rsidRPr="00126D03">
        <w:rPr>
          <w:lang w:val="en-GB"/>
        </w:rPr>
        <w:t>Mr Diko was constrained to plead that he did not have the requisite knowledge as envisaged in s 12(3) of the Act, given that the claim had prima facie prescribed by time he decided to institute action.</w:t>
      </w:r>
      <w:r w:rsidR="00A44556">
        <w:rPr>
          <w:rStyle w:val="FootnoteReference"/>
          <w:lang w:val="en-GB"/>
        </w:rPr>
        <w:footnoteReference w:id="58"/>
      </w:r>
      <w:r w:rsidR="00C703DF" w:rsidRPr="00126D03">
        <w:rPr>
          <w:lang w:val="en-GB"/>
        </w:rPr>
        <w:t xml:space="preserve"> </w:t>
      </w:r>
      <w:r w:rsidR="00197256" w:rsidRPr="00126D03">
        <w:rPr>
          <w:lang w:val="en-GB"/>
        </w:rPr>
        <w:t>That</w:t>
      </w:r>
      <w:r w:rsidR="00EA37D1" w:rsidRPr="00126D03">
        <w:rPr>
          <w:lang w:val="en-GB"/>
        </w:rPr>
        <w:t xml:space="preserve"> notwithstanding, </w:t>
      </w:r>
      <w:r w:rsidR="00721B48" w:rsidRPr="00126D03">
        <w:rPr>
          <w:lang w:val="en-GB"/>
        </w:rPr>
        <w:t xml:space="preserve">and </w:t>
      </w:r>
      <w:r w:rsidR="00EA37D1" w:rsidRPr="00126D03">
        <w:rPr>
          <w:lang w:val="en-GB"/>
        </w:rPr>
        <w:t>b</w:t>
      </w:r>
      <w:r w:rsidR="00415FC3" w:rsidRPr="00126D03">
        <w:rPr>
          <w:lang w:val="en-GB"/>
        </w:rPr>
        <w:t xml:space="preserve">earing in mind the MEC’s </w:t>
      </w:r>
      <w:r w:rsidR="00721B48" w:rsidRPr="00126D03">
        <w:rPr>
          <w:lang w:val="en-GB"/>
        </w:rPr>
        <w:t xml:space="preserve">reduced </w:t>
      </w:r>
      <w:r w:rsidR="00415FC3" w:rsidRPr="00126D03">
        <w:rPr>
          <w:lang w:val="en-GB"/>
        </w:rPr>
        <w:t xml:space="preserve">burden of proof, there is no basis to conclude that it was necessary for Mr Diko to have lead evidence in rebuttal considering the limited extent of the </w:t>
      </w:r>
      <w:r w:rsidR="00415FC3" w:rsidRPr="00126D03">
        <w:rPr>
          <w:lang w:val="en-GB"/>
        </w:rPr>
        <w:lastRenderedPageBreak/>
        <w:t>evidence on behalf of the MEC.</w:t>
      </w:r>
      <w:r w:rsidR="00415FC3">
        <w:rPr>
          <w:rStyle w:val="FootnoteReference"/>
          <w:lang w:val="en-GB"/>
        </w:rPr>
        <w:footnoteReference w:id="59"/>
      </w:r>
      <w:r w:rsidR="00415FC3" w:rsidRPr="00126D03">
        <w:rPr>
          <w:lang w:val="en-GB"/>
        </w:rPr>
        <w:t xml:space="preserve"> </w:t>
      </w:r>
      <w:r w:rsidR="002948C1" w:rsidRPr="00126D03">
        <w:rPr>
          <w:lang w:val="en-GB"/>
        </w:rPr>
        <w:t>This evidence</w:t>
      </w:r>
      <w:r w:rsidR="008E161C" w:rsidRPr="00126D03">
        <w:rPr>
          <w:lang w:val="en-GB"/>
        </w:rPr>
        <w:t xml:space="preserve"> </w:t>
      </w:r>
      <w:r w:rsidR="002948C1" w:rsidRPr="00126D03">
        <w:rPr>
          <w:lang w:val="en-GB"/>
        </w:rPr>
        <w:t>does not demonstrate actual knowledge, in the form of a justified, true belief</w:t>
      </w:r>
      <w:r w:rsidR="003F1508" w:rsidRPr="00126D03">
        <w:rPr>
          <w:lang w:val="en-GB"/>
        </w:rPr>
        <w:t xml:space="preserve"> </w:t>
      </w:r>
      <w:r w:rsidR="005610EB" w:rsidRPr="00126D03">
        <w:rPr>
          <w:lang w:val="en-GB"/>
        </w:rPr>
        <w:t>inferred from attendant circumstances,</w:t>
      </w:r>
      <w:r w:rsidR="000B31D9" w:rsidRPr="00126D03">
        <w:rPr>
          <w:lang w:val="en-GB"/>
        </w:rPr>
        <w:t xml:space="preserve"> </w:t>
      </w:r>
      <w:r w:rsidR="002948C1" w:rsidRPr="00126D03">
        <w:rPr>
          <w:lang w:val="en-GB"/>
        </w:rPr>
        <w:t>of the facts from which the debt arose.</w:t>
      </w:r>
      <w:r w:rsidR="00C079F9" w:rsidRPr="00126D03">
        <w:rPr>
          <w:lang w:val="en-GB"/>
        </w:rPr>
        <w:t xml:space="preserve"> </w:t>
      </w:r>
      <w:r w:rsidR="00CC6F22" w:rsidRPr="00126D03">
        <w:rPr>
          <w:lang w:val="en-GB"/>
        </w:rPr>
        <w:t>As will be explained, nor can it be said to demonstrate deemed knowledge.</w:t>
      </w:r>
    </w:p>
    <w:p w14:paraId="609F4C5D" w14:textId="77777777" w:rsidR="00C079F9" w:rsidRPr="00C079F9" w:rsidRDefault="00C079F9" w:rsidP="00C079F9">
      <w:pPr>
        <w:pStyle w:val="ListParagraph"/>
        <w:rPr>
          <w:lang w:val="en-GB"/>
        </w:rPr>
      </w:pPr>
    </w:p>
    <w:p w14:paraId="54C22999" w14:textId="1E00535D" w:rsidR="00214811" w:rsidRPr="00126D03" w:rsidRDefault="00126D03" w:rsidP="00126D03">
      <w:pPr>
        <w:autoSpaceDE w:val="0"/>
        <w:autoSpaceDN w:val="0"/>
        <w:adjustRightInd w:val="0"/>
        <w:jc w:val="both"/>
        <w:rPr>
          <w:lang w:val="en-GB"/>
        </w:rPr>
      </w:pPr>
      <w:r>
        <w:rPr>
          <w:lang w:val="en-GB"/>
        </w:rPr>
        <w:t>[34]</w:t>
      </w:r>
      <w:r>
        <w:rPr>
          <w:lang w:val="en-GB"/>
        </w:rPr>
        <w:tab/>
      </w:r>
      <w:r w:rsidR="001E1924" w:rsidRPr="00126D03">
        <w:rPr>
          <w:lang w:val="en-GB"/>
        </w:rPr>
        <w:t>It is difficult to criticise Mr Diko for having failed to keep the appointment made for him at Bedford Hospital. On the accepted facts, he did not do so purely, and unfortunately, because of financial constraints.</w:t>
      </w:r>
      <w:r w:rsidR="00B512B6">
        <w:rPr>
          <w:rStyle w:val="FootnoteReference"/>
          <w:lang w:val="en-GB"/>
        </w:rPr>
        <w:footnoteReference w:id="60"/>
      </w:r>
      <w:r w:rsidR="001E1924" w:rsidRPr="00126D03">
        <w:rPr>
          <w:lang w:val="en-GB"/>
        </w:rPr>
        <w:t xml:space="preserve"> </w:t>
      </w:r>
      <w:r w:rsidR="0019792B" w:rsidRPr="00126D03">
        <w:rPr>
          <w:lang w:val="en-GB"/>
        </w:rPr>
        <w:t xml:space="preserve">He accepted his lot and it cannot be said that a reasonable person in his position would have done differently. </w:t>
      </w:r>
      <w:r w:rsidR="00E0420D" w:rsidRPr="00126D03">
        <w:rPr>
          <w:lang w:val="en-GB"/>
        </w:rPr>
        <w:t>A</w:t>
      </w:r>
      <w:r w:rsidR="004754B9" w:rsidRPr="00126D03">
        <w:rPr>
          <w:lang w:val="en-GB"/>
        </w:rPr>
        <w:t xml:space="preserve"> diligent evaluation and consideration of the significance of being told that there was ‘a problem with the fixation’ by a reasonable person in his position </w:t>
      </w:r>
      <w:r w:rsidR="00DA5300" w:rsidRPr="00126D03">
        <w:rPr>
          <w:lang w:val="en-GB"/>
        </w:rPr>
        <w:t>would, on balance, not have resulted in the facts from which the debt arose</w:t>
      </w:r>
      <w:r w:rsidR="003C5EFA" w:rsidRPr="00126D03">
        <w:rPr>
          <w:lang w:val="en-GB"/>
        </w:rPr>
        <w:t>, implicating the MEC as the debtor,</w:t>
      </w:r>
      <w:r w:rsidR="00DA5300" w:rsidRPr="00126D03">
        <w:rPr>
          <w:lang w:val="en-GB"/>
        </w:rPr>
        <w:t xml:space="preserve"> being deduced.</w:t>
      </w:r>
      <w:r w:rsidR="003C5EFA" w:rsidRPr="00126D03">
        <w:rPr>
          <w:lang w:val="en-GB"/>
        </w:rPr>
        <w:t xml:space="preserve"> </w:t>
      </w:r>
      <w:r w:rsidR="005E6423" w:rsidRPr="00126D03">
        <w:rPr>
          <w:lang w:val="en-GB"/>
        </w:rPr>
        <w:t>T</w:t>
      </w:r>
      <w:r w:rsidR="006B36FA" w:rsidRPr="00126D03">
        <w:rPr>
          <w:lang w:val="en-GB"/>
        </w:rPr>
        <w:t xml:space="preserve">here are, after all, many possible reasons for disability and the fact that the plaintiff was not a person with medical knowledge </w:t>
      </w:r>
      <w:r w:rsidR="0097119F" w:rsidRPr="00126D03">
        <w:rPr>
          <w:lang w:val="en-GB"/>
        </w:rPr>
        <w:t>can</w:t>
      </w:r>
      <w:r w:rsidR="006B36FA" w:rsidRPr="00126D03">
        <w:rPr>
          <w:lang w:val="en-GB"/>
        </w:rPr>
        <w:t>not be ignored.</w:t>
      </w:r>
      <w:r w:rsidR="00223279">
        <w:rPr>
          <w:rStyle w:val="FootnoteReference"/>
          <w:lang w:val="en-GB"/>
        </w:rPr>
        <w:footnoteReference w:id="61"/>
      </w:r>
      <w:r w:rsidR="005E6423" w:rsidRPr="00126D03">
        <w:rPr>
          <w:lang w:val="en-GB"/>
        </w:rPr>
        <w:t xml:space="preserve"> As was the case in </w:t>
      </w:r>
      <w:r w:rsidR="005E6423" w:rsidRPr="00126D03">
        <w:rPr>
          <w:i/>
          <w:iCs/>
          <w:lang w:val="en-GB"/>
        </w:rPr>
        <w:t>Daki</w:t>
      </w:r>
      <w:r w:rsidR="005E6423" w:rsidRPr="00126D03">
        <w:rPr>
          <w:lang w:val="en-GB"/>
        </w:rPr>
        <w:t xml:space="preserve">, there is </w:t>
      </w:r>
      <w:r w:rsidR="00660FE4" w:rsidRPr="00126D03">
        <w:rPr>
          <w:lang w:val="en-GB"/>
        </w:rPr>
        <w:t>an insufficient factual basis to conclude</w:t>
      </w:r>
      <w:r w:rsidR="005E6423" w:rsidRPr="00126D03">
        <w:rPr>
          <w:lang w:val="en-GB"/>
        </w:rPr>
        <w:t xml:space="preserve"> that Mr Diko had </w:t>
      </w:r>
      <w:r w:rsidR="007C4387" w:rsidRPr="00126D03">
        <w:rPr>
          <w:lang w:val="en-GB"/>
        </w:rPr>
        <w:t xml:space="preserve">reasonable </w:t>
      </w:r>
      <w:r w:rsidR="005E6423" w:rsidRPr="00126D03">
        <w:rPr>
          <w:lang w:val="en-GB"/>
        </w:rPr>
        <w:t>cause to suspect that the injuries</w:t>
      </w:r>
      <w:r w:rsidR="00B0138E" w:rsidRPr="00126D03">
        <w:rPr>
          <w:lang w:val="en-GB"/>
        </w:rPr>
        <w:t>, particularly ‘the problem with the fixation’,</w:t>
      </w:r>
      <w:r w:rsidR="005E6423" w:rsidRPr="00126D03">
        <w:rPr>
          <w:lang w:val="en-GB"/>
        </w:rPr>
        <w:t xml:space="preserve"> were due to the conduct of the </w:t>
      </w:r>
      <w:r w:rsidR="005D5FE5" w:rsidRPr="00126D03">
        <w:rPr>
          <w:lang w:val="en-GB"/>
        </w:rPr>
        <w:t>hospital</w:t>
      </w:r>
      <w:r w:rsidR="005E6423" w:rsidRPr="00126D03">
        <w:rPr>
          <w:lang w:val="en-GB"/>
        </w:rPr>
        <w:t xml:space="preserve"> staff that had treated him after the accident.</w:t>
      </w:r>
      <w:r w:rsidR="006E0012">
        <w:rPr>
          <w:rStyle w:val="FootnoteReference"/>
          <w:lang w:val="en-GB"/>
        </w:rPr>
        <w:footnoteReference w:id="62"/>
      </w:r>
      <w:r w:rsidR="005D5FE5" w:rsidRPr="00126D03">
        <w:rPr>
          <w:lang w:val="en-GB"/>
        </w:rPr>
        <w:t xml:space="preserve"> </w:t>
      </w:r>
      <w:r w:rsidR="00C0587D" w:rsidRPr="00126D03">
        <w:rPr>
          <w:lang w:val="en-GB"/>
        </w:rPr>
        <w:t xml:space="preserve">The MEC has failed to meet the burden, even on a reduced basis, as set by </w:t>
      </w:r>
      <w:r w:rsidR="00C0587D" w:rsidRPr="00126D03">
        <w:rPr>
          <w:i/>
          <w:iCs/>
          <w:lang w:val="en-GB"/>
        </w:rPr>
        <w:t>Links</w:t>
      </w:r>
      <w:r w:rsidR="00B84682" w:rsidRPr="00126D03">
        <w:rPr>
          <w:i/>
          <w:iCs/>
          <w:lang w:val="en-GB"/>
        </w:rPr>
        <w:t xml:space="preserve"> </w:t>
      </w:r>
      <w:r w:rsidR="00B84682" w:rsidRPr="00126D03">
        <w:rPr>
          <w:lang w:val="en-GB"/>
        </w:rPr>
        <w:t>and the cases that have followed</w:t>
      </w:r>
      <w:r w:rsidR="00C0587D" w:rsidRPr="00126D03">
        <w:rPr>
          <w:lang w:val="en-GB"/>
        </w:rPr>
        <w:t>.</w:t>
      </w:r>
    </w:p>
    <w:p w14:paraId="37C2C1DA" w14:textId="77777777" w:rsidR="00214811" w:rsidRPr="00214811" w:rsidRDefault="00214811" w:rsidP="00214811">
      <w:pPr>
        <w:pStyle w:val="ListParagraph"/>
        <w:rPr>
          <w:lang w:val="en-GB"/>
        </w:rPr>
      </w:pPr>
    </w:p>
    <w:p w14:paraId="755F35C9" w14:textId="1CA87AF8" w:rsidR="00C079F9" w:rsidRPr="00126D03" w:rsidRDefault="00126D03" w:rsidP="00126D03">
      <w:pPr>
        <w:autoSpaceDE w:val="0"/>
        <w:autoSpaceDN w:val="0"/>
        <w:adjustRightInd w:val="0"/>
        <w:jc w:val="both"/>
        <w:rPr>
          <w:lang w:val="en-GB"/>
        </w:rPr>
      </w:pPr>
      <w:r>
        <w:rPr>
          <w:lang w:val="en-GB"/>
        </w:rPr>
        <w:t>[35]</w:t>
      </w:r>
      <w:r>
        <w:rPr>
          <w:lang w:val="en-GB"/>
        </w:rPr>
        <w:tab/>
      </w:r>
      <w:r w:rsidR="005D5FE5" w:rsidRPr="00126D03">
        <w:rPr>
          <w:lang w:val="en-GB"/>
        </w:rPr>
        <w:t xml:space="preserve">To the extent that this conclusion may seem to blur the lines with an assessment of negligence on the part of the hospital staff, </w:t>
      </w:r>
      <w:r w:rsidR="00770380" w:rsidRPr="00126D03">
        <w:rPr>
          <w:lang w:val="en-GB"/>
        </w:rPr>
        <w:t>th</w:t>
      </w:r>
      <w:r w:rsidR="005F002C" w:rsidRPr="00126D03">
        <w:rPr>
          <w:lang w:val="en-GB"/>
        </w:rPr>
        <w:t>is appears to be a necessary consequence of the closeness of the respective enquiries.</w:t>
      </w:r>
      <w:r w:rsidR="00B65C1F">
        <w:rPr>
          <w:rStyle w:val="FootnoteReference"/>
          <w:lang w:val="en-GB"/>
        </w:rPr>
        <w:footnoteReference w:id="63"/>
      </w:r>
      <w:r w:rsidR="005F002C" w:rsidRPr="00126D03">
        <w:rPr>
          <w:lang w:val="en-GB"/>
        </w:rPr>
        <w:t xml:space="preserve"> A similar </w:t>
      </w:r>
      <w:r w:rsidR="00D301CB" w:rsidRPr="00126D03">
        <w:rPr>
          <w:lang w:val="en-GB"/>
        </w:rPr>
        <w:t xml:space="preserve">argument, based on the High Court’s reference to the word ‘fault’, was rejected in </w:t>
      </w:r>
      <w:r w:rsidR="00D301CB" w:rsidRPr="00126D03">
        <w:rPr>
          <w:i/>
          <w:iCs/>
          <w:lang w:val="en-GB"/>
        </w:rPr>
        <w:t>NH</w:t>
      </w:r>
      <w:r w:rsidR="00D301CB" w:rsidRPr="00126D03">
        <w:rPr>
          <w:lang w:val="en-GB"/>
        </w:rPr>
        <w:t>, the SCA concluding as follows:</w:t>
      </w:r>
    </w:p>
    <w:p w14:paraId="647B2FF0" w14:textId="7AB2F9B1" w:rsidR="00D301CB" w:rsidRDefault="00D301CB" w:rsidP="00D301CB">
      <w:pPr>
        <w:pStyle w:val="ListParagraph"/>
        <w:autoSpaceDE w:val="0"/>
        <w:autoSpaceDN w:val="0"/>
        <w:adjustRightInd w:val="0"/>
        <w:ind w:left="0"/>
        <w:jc w:val="both"/>
        <w:rPr>
          <w:sz w:val="22"/>
          <w:szCs w:val="22"/>
          <w:lang w:val="en-GB"/>
        </w:rPr>
      </w:pPr>
    </w:p>
    <w:p w14:paraId="0A33CF8C" w14:textId="2C1FF598" w:rsidR="00DD5763" w:rsidRDefault="00DD5763" w:rsidP="00DD5763">
      <w:pPr>
        <w:pStyle w:val="ListParagraph"/>
        <w:autoSpaceDE w:val="0"/>
        <w:autoSpaceDN w:val="0"/>
        <w:adjustRightInd w:val="0"/>
        <w:ind w:left="0"/>
        <w:jc w:val="both"/>
        <w:rPr>
          <w:sz w:val="22"/>
          <w:szCs w:val="22"/>
          <w:lang w:val="en-GB"/>
        </w:rPr>
      </w:pPr>
      <w:r>
        <w:rPr>
          <w:sz w:val="22"/>
          <w:szCs w:val="22"/>
          <w:lang w:val="en-GB"/>
        </w:rPr>
        <w:lastRenderedPageBreak/>
        <w:t xml:space="preserve">‘In my view, the appellant has not discharged the onus of showing that the respondent knew, or ought to have reasonably suspected, on an objective assessment of the facts, that she received negligent treatment at the hospital, and that the disability suffered by her minor child was the result of that negligence. It cannot be said that the respondent had knowledge of the facts that would have led her to think that the medical staff at [the] hospital were negligent, and that her child had cerebral palsy as a result.’ </w:t>
      </w:r>
    </w:p>
    <w:p w14:paraId="4ADCE09D" w14:textId="77777777" w:rsidR="00C81D6F" w:rsidRDefault="00C81D6F" w:rsidP="00C81D6F">
      <w:pPr>
        <w:pStyle w:val="ListParagraph"/>
        <w:autoSpaceDE w:val="0"/>
        <w:autoSpaceDN w:val="0"/>
        <w:adjustRightInd w:val="0"/>
        <w:ind w:left="0"/>
        <w:jc w:val="both"/>
        <w:rPr>
          <w:lang w:val="en-GB"/>
        </w:rPr>
      </w:pPr>
    </w:p>
    <w:p w14:paraId="726DA39D" w14:textId="1076B9E9" w:rsidR="00415FC3" w:rsidRPr="00126D03" w:rsidRDefault="00126D03" w:rsidP="00126D03">
      <w:pPr>
        <w:autoSpaceDE w:val="0"/>
        <w:autoSpaceDN w:val="0"/>
        <w:adjustRightInd w:val="0"/>
        <w:jc w:val="both"/>
        <w:rPr>
          <w:lang w:val="en-GB"/>
        </w:rPr>
      </w:pPr>
      <w:r>
        <w:rPr>
          <w:lang w:val="en-GB"/>
        </w:rPr>
        <w:t>[36]</w:t>
      </w:r>
      <w:r>
        <w:rPr>
          <w:lang w:val="en-GB"/>
        </w:rPr>
        <w:tab/>
      </w:r>
      <w:r w:rsidR="00C0204A" w:rsidRPr="00126D03">
        <w:rPr>
          <w:lang w:val="en-GB"/>
        </w:rPr>
        <w:t>T</w:t>
      </w:r>
      <w:r w:rsidR="00F60872" w:rsidRPr="00126D03">
        <w:rPr>
          <w:lang w:val="en-GB"/>
        </w:rPr>
        <w:t>he MEC failed to establish a prima facie case and</w:t>
      </w:r>
      <w:r w:rsidR="005D1E07" w:rsidRPr="00126D03">
        <w:rPr>
          <w:lang w:val="en-GB"/>
        </w:rPr>
        <w:t>, consequently, no adverse inference can be drawn from Mr Diko’s failure to testify.</w:t>
      </w:r>
      <w:r w:rsidR="00462CED" w:rsidRPr="00126D03">
        <w:rPr>
          <w:lang w:val="en-GB"/>
        </w:rPr>
        <w:t xml:space="preserve"> The MEC has not demonstrated on a balance of probabilities that Mr Diko had knowledge of the facts from which the debt arose more than three years before summons was served. </w:t>
      </w:r>
      <w:r w:rsidR="00011E4E" w:rsidRPr="00126D03">
        <w:rPr>
          <w:lang w:val="en-GB"/>
        </w:rPr>
        <w:t xml:space="preserve">Nor can it be said </w:t>
      </w:r>
      <w:r w:rsidR="006F1EAC" w:rsidRPr="00126D03">
        <w:rPr>
          <w:lang w:val="en-GB"/>
        </w:rPr>
        <w:t xml:space="preserve">that, at that point in time, the known facts would have caused him, on reasonable grounds, to have ‘suspected that there was fault’ on the part of the MEC, so as to cause him to seek </w:t>
      </w:r>
      <w:r w:rsidR="00AA4A68" w:rsidRPr="00126D03">
        <w:rPr>
          <w:lang w:val="en-GB"/>
        </w:rPr>
        <w:t>further advice.</w:t>
      </w:r>
      <w:r w:rsidR="00AA4A68">
        <w:rPr>
          <w:rStyle w:val="FootnoteReference"/>
          <w:lang w:val="en-GB"/>
        </w:rPr>
        <w:footnoteReference w:id="64"/>
      </w:r>
      <w:r w:rsidR="00AA4A68" w:rsidRPr="00126D03">
        <w:rPr>
          <w:lang w:val="en-GB"/>
        </w:rPr>
        <w:t xml:space="preserve"> </w:t>
      </w:r>
      <w:r w:rsidR="00CD2CA8" w:rsidRPr="00126D03">
        <w:rPr>
          <w:lang w:val="en-GB"/>
        </w:rPr>
        <w:t>O</w:t>
      </w:r>
      <w:r w:rsidR="00EE6B1F" w:rsidRPr="00126D03">
        <w:rPr>
          <w:lang w:val="en-GB"/>
        </w:rPr>
        <w:t>n these facts</w:t>
      </w:r>
      <w:r w:rsidR="00CD2CA8" w:rsidRPr="00126D03">
        <w:rPr>
          <w:lang w:val="en-GB"/>
        </w:rPr>
        <w:t>,</w:t>
      </w:r>
      <w:r w:rsidR="00EE6B1F" w:rsidRPr="00126D03">
        <w:rPr>
          <w:lang w:val="en-GB"/>
        </w:rPr>
        <w:t xml:space="preserve"> </w:t>
      </w:r>
      <w:r w:rsidR="00CD2CA8" w:rsidRPr="00126D03">
        <w:rPr>
          <w:lang w:val="en-GB"/>
        </w:rPr>
        <w:t xml:space="preserve">it cannot be said </w:t>
      </w:r>
      <w:r w:rsidR="00011E4E" w:rsidRPr="00126D03">
        <w:rPr>
          <w:lang w:val="en-GB"/>
        </w:rPr>
        <w:t xml:space="preserve">that he could have acquired </w:t>
      </w:r>
      <w:r w:rsidR="00D45ED8" w:rsidRPr="00126D03">
        <w:rPr>
          <w:lang w:val="en-GB"/>
        </w:rPr>
        <w:t>suffic</w:t>
      </w:r>
      <w:r w:rsidR="000535F1" w:rsidRPr="00126D03">
        <w:rPr>
          <w:lang w:val="en-GB"/>
        </w:rPr>
        <w:t>i</w:t>
      </w:r>
      <w:r w:rsidR="00D45ED8" w:rsidRPr="00126D03">
        <w:rPr>
          <w:lang w:val="en-GB"/>
        </w:rPr>
        <w:t>ent</w:t>
      </w:r>
      <w:r w:rsidR="00011E4E" w:rsidRPr="00126D03">
        <w:rPr>
          <w:lang w:val="en-GB"/>
        </w:rPr>
        <w:t xml:space="preserve"> knowledge by exercising reasonable care</w:t>
      </w:r>
      <w:r w:rsidR="00D45ED8" w:rsidRPr="00126D03">
        <w:rPr>
          <w:lang w:val="en-GB"/>
        </w:rPr>
        <w:t xml:space="preserve"> by that time</w:t>
      </w:r>
      <w:r w:rsidR="00011E4E" w:rsidRPr="00126D03">
        <w:rPr>
          <w:lang w:val="en-GB"/>
        </w:rPr>
        <w:t xml:space="preserve">, so that the </w:t>
      </w:r>
      <w:r w:rsidR="00C05B74" w:rsidRPr="00126D03">
        <w:rPr>
          <w:lang w:val="en-GB"/>
        </w:rPr>
        <w:t xml:space="preserve">s 12(3) </w:t>
      </w:r>
      <w:r w:rsidR="00011E4E" w:rsidRPr="00126D03">
        <w:rPr>
          <w:lang w:val="en-GB"/>
        </w:rPr>
        <w:t>proviso is triggered.</w:t>
      </w:r>
      <w:r w:rsidR="00B905AC" w:rsidRPr="00126D03">
        <w:rPr>
          <w:lang w:val="en-GB"/>
        </w:rPr>
        <w:t xml:space="preserve"> </w:t>
      </w:r>
      <w:r w:rsidR="000535F1" w:rsidRPr="00126D03">
        <w:rPr>
          <w:lang w:val="en-GB"/>
        </w:rPr>
        <w:t xml:space="preserve">These conclusions align closely with </w:t>
      </w:r>
      <w:r w:rsidR="007911E1" w:rsidRPr="00126D03">
        <w:rPr>
          <w:lang w:val="en-GB"/>
        </w:rPr>
        <w:t>the reasons advanced by the trial court in arriving at the same outcome.</w:t>
      </w:r>
    </w:p>
    <w:p w14:paraId="49720BC9" w14:textId="3391E534" w:rsidR="00BC6DD3" w:rsidRDefault="00BC6DD3" w:rsidP="00BC6DD3">
      <w:pPr>
        <w:pStyle w:val="ListParagraph"/>
        <w:autoSpaceDE w:val="0"/>
        <w:autoSpaceDN w:val="0"/>
        <w:adjustRightInd w:val="0"/>
        <w:ind w:left="0"/>
        <w:jc w:val="both"/>
        <w:rPr>
          <w:lang w:val="en-GB"/>
        </w:rPr>
      </w:pPr>
    </w:p>
    <w:p w14:paraId="7F12B92E" w14:textId="4CA9D05A" w:rsidR="0066194F" w:rsidRDefault="0066194F" w:rsidP="00BC6DD3">
      <w:pPr>
        <w:pStyle w:val="ListParagraph"/>
        <w:autoSpaceDE w:val="0"/>
        <w:autoSpaceDN w:val="0"/>
        <w:adjustRightInd w:val="0"/>
        <w:ind w:left="0"/>
        <w:jc w:val="both"/>
        <w:rPr>
          <w:b/>
          <w:bCs/>
          <w:lang w:val="en-GB"/>
        </w:rPr>
      </w:pPr>
      <w:r>
        <w:rPr>
          <w:b/>
          <w:bCs/>
          <w:lang w:val="en-GB"/>
        </w:rPr>
        <w:t>Costs</w:t>
      </w:r>
    </w:p>
    <w:p w14:paraId="29AADD2C" w14:textId="77777777" w:rsidR="0066194F" w:rsidRPr="0066194F" w:rsidRDefault="0066194F" w:rsidP="00BC6DD3">
      <w:pPr>
        <w:pStyle w:val="ListParagraph"/>
        <w:autoSpaceDE w:val="0"/>
        <w:autoSpaceDN w:val="0"/>
        <w:adjustRightInd w:val="0"/>
        <w:ind w:left="0"/>
        <w:jc w:val="both"/>
        <w:rPr>
          <w:b/>
          <w:bCs/>
          <w:lang w:val="en-GB"/>
        </w:rPr>
      </w:pPr>
    </w:p>
    <w:p w14:paraId="59EECD9F" w14:textId="0C928920" w:rsidR="00BC6DD3" w:rsidRPr="00126D03" w:rsidRDefault="00126D03" w:rsidP="00126D03">
      <w:pPr>
        <w:autoSpaceDE w:val="0"/>
        <w:autoSpaceDN w:val="0"/>
        <w:adjustRightInd w:val="0"/>
        <w:jc w:val="both"/>
        <w:rPr>
          <w:lang w:val="en-GB"/>
        </w:rPr>
      </w:pPr>
      <w:r>
        <w:rPr>
          <w:lang w:val="en-GB"/>
        </w:rPr>
        <w:t>[37]</w:t>
      </w:r>
      <w:r>
        <w:rPr>
          <w:lang w:val="en-GB"/>
        </w:rPr>
        <w:tab/>
      </w:r>
      <w:r w:rsidR="0066194F" w:rsidRPr="00126D03">
        <w:rPr>
          <w:lang w:val="en-GB"/>
        </w:rPr>
        <w:t xml:space="preserve">An appeal court will </w:t>
      </w:r>
      <w:r w:rsidR="00024701" w:rsidRPr="00126D03">
        <w:rPr>
          <w:lang w:val="en-GB"/>
        </w:rPr>
        <w:t>not readily interfere</w:t>
      </w:r>
      <w:r w:rsidR="0066194F" w:rsidRPr="00126D03">
        <w:rPr>
          <w:lang w:val="en-GB"/>
        </w:rPr>
        <w:t xml:space="preserve"> with the exercise of the discretion of a trial judge in awarding costs, even in circumstances where it would itself have made a different order.</w:t>
      </w:r>
      <w:r w:rsidR="00F41785">
        <w:rPr>
          <w:rStyle w:val="FootnoteReference"/>
          <w:lang w:val="en-GB"/>
        </w:rPr>
        <w:footnoteReference w:id="65"/>
      </w:r>
      <w:r w:rsidR="001736BD" w:rsidRPr="00126D03">
        <w:rPr>
          <w:lang w:val="en-GB"/>
        </w:rPr>
        <w:t xml:space="preserve"> Absent demonstrated misdirection or irregularity, the trial court’s decision to award costs of two counsel</w:t>
      </w:r>
      <w:r w:rsidR="00623ACC" w:rsidRPr="00126D03">
        <w:rPr>
          <w:lang w:val="en-GB"/>
        </w:rPr>
        <w:t xml:space="preserve"> was an exercise of judicial discretion and</w:t>
      </w:r>
      <w:r w:rsidR="001736BD" w:rsidRPr="00126D03">
        <w:rPr>
          <w:lang w:val="en-GB"/>
        </w:rPr>
        <w:t xml:space="preserve"> must stand.</w:t>
      </w:r>
      <w:r w:rsidR="00055B27" w:rsidRPr="00126D03">
        <w:rPr>
          <w:lang w:val="en-GB"/>
        </w:rPr>
        <w:t xml:space="preserve"> </w:t>
      </w:r>
    </w:p>
    <w:p w14:paraId="7A0CDDCB" w14:textId="77777777" w:rsidR="00623ACC" w:rsidRDefault="00623ACC" w:rsidP="00623ACC">
      <w:pPr>
        <w:pStyle w:val="ListParagraph"/>
        <w:autoSpaceDE w:val="0"/>
        <w:autoSpaceDN w:val="0"/>
        <w:adjustRightInd w:val="0"/>
        <w:ind w:left="0"/>
        <w:jc w:val="both"/>
        <w:rPr>
          <w:lang w:val="en-GB"/>
        </w:rPr>
      </w:pPr>
    </w:p>
    <w:p w14:paraId="613D835F" w14:textId="56B652B0" w:rsidR="00623ACC" w:rsidRPr="00126D03" w:rsidRDefault="00126D03" w:rsidP="00126D03">
      <w:pPr>
        <w:autoSpaceDE w:val="0"/>
        <w:autoSpaceDN w:val="0"/>
        <w:adjustRightInd w:val="0"/>
        <w:jc w:val="both"/>
        <w:rPr>
          <w:lang w:val="en-GB"/>
        </w:rPr>
      </w:pPr>
      <w:r>
        <w:rPr>
          <w:lang w:val="en-GB"/>
        </w:rPr>
        <w:t>[38]</w:t>
      </w:r>
      <w:r>
        <w:rPr>
          <w:lang w:val="en-GB"/>
        </w:rPr>
        <w:tab/>
      </w:r>
      <w:r w:rsidR="00055B27" w:rsidRPr="00126D03">
        <w:rPr>
          <w:lang w:val="en-GB"/>
        </w:rPr>
        <w:t xml:space="preserve">This court has a discretion whether to allow the fees of two counsel </w:t>
      </w:r>
      <w:r w:rsidR="00452251" w:rsidRPr="00126D03">
        <w:rPr>
          <w:lang w:val="en-GB"/>
        </w:rPr>
        <w:t xml:space="preserve">in respect of the </w:t>
      </w:r>
      <w:r w:rsidR="00721AFE" w:rsidRPr="00126D03">
        <w:rPr>
          <w:lang w:val="en-GB"/>
        </w:rPr>
        <w:t xml:space="preserve">costs of the </w:t>
      </w:r>
      <w:r w:rsidR="00452251" w:rsidRPr="00126D03">
        <w:rPr>
          <w:lang w:val="en-GB"/>
        </w:rPr>
        <w:t xml:space="preserve">appeal. Considering the amount involved, the limited </w:t>
      </w:r>
      <w:r w:rsidR="00F37961" w:rsidRPr="00126D03">
        <w:rPr>
          <w:lang w:val="en-GB"/>
        </w:rPr>
        <w:t>exten</w:t>
      </w:r>
      <w:r w:rsidR="00BC0448" w:rsidRPr="00126D03">
        <w:rPr>
          <w:lang w:val="en-GB"/>
        </w:rPr>
        <w:t>t</w:t>
      </w:r>
      <w:r w:rsidR="00F37961" w:rsidRPr="00126D03">
        <w:rPr>
          <w:lang w:val="en-GB"/>
        </w:rPr>
        <w:t xml:space="preserve"> and </w:t>
      </w:r>
      <w:r w:rsidR="00452251" w:rsidRPr="00126D03">
        <w:rPr>
          <w:lang w:val="en-GB"/>
        </w:rPr>
        <w:t>nature of the issues in dispute</w:t>
      </w:r>
      <w:r w:rsidR="00FA6765" w:rsidRPr="00126D03">
        <w:rPr>
          <w:lang w:val="en-GB"/>
        </w:rPr>
        <w:t xml:space="preserve"> and the </w:t>
      </w:r>
      <w:r w:rsidR="001B6717" w:rsidRPr="00126D03">
        <w:rPr>
          <w:lang w:val="en-GB"/>
        </w:rPr>
        <w:t>short</w:t>
      </w:r>
      <w:r w:rsidR="00FA6765" w:rsidRPr="00126D03">
        <w:rPr>
          <w:lang w:val="en-GB"/>
        </w:rPr>
        <w:t xml:space="preserve"> record</w:t>
      </w:r>
      <w:r w:rsidR="00452251" w:rsidRPr="00126D03">
        <w:rPr>
          <w:lang w:val="en-GB"/>
        </w:rPr>
        <w:t xml:space="preserve">, it cannot be said that was a reasonable precaution. </w:t>
      </w:r>
    </w:p>
    <w:p w14:paraId="7EB2850E" w14:textId="2904D7A6" w:rsidR="00317231" w:rsidRDefault="00317231" w:rsidP="00317231">
      <w:pPr>
        <w:rPr>
          <w:lang w:val="en-GB"/>
        </w:rPr>
      </w:pPr>
    </w:p>
    <w:p w14:paraId="0ABA749C" w14:textId="77777777" w:rsidR="005C42E3" w:rsidRDefault="005C42E3" w:rsidP="00317231">
      <w:pPr>
        <w:rPr>
          <w:lang w:val="en-GB"/>
        </w:rPr>
      </w:pPr>
    </w:p>
    <w:p w14:paraId="39D1BED1" w14:textId="40931AB4" w:rsidR="00317231" w:rsidRDefault="00317231" w:rsidP="00317231">
      <w:pPr>
        <w:rPr>
          <w:b/>
          <w:bCs/>
          <w:lang w:val="en-GB"/>
        </w:rPr>
      </w:pPr>
      <w:r>
        <w:rPr>
          <w:b/>
          <w:bCs/>
          <w:lang w:val="en-GB"/>
        </w:rPr>
        <w:lastRenderedPageBreak/>
        <w:t>Order</w:t>
      </w:r>
    </w:p>
    <w:p w14:paraId="6674333F" w14:textId="77777777" w:rsidR="00317231" w:rsidRPr="00317231" w:rsidRDefault="00317231" w:rsidP="00317231">
      <w:pPr>
        <w:rPr>
          <w:b/>
          <w:bCs/>
          <w:lang w:val="en-GB"/>
        </w:rPr>
      </w:pPr>
    </w:p>
    <w:p w14:paraId="109D542A" w14:textId="1F82FB4B" w:rsidR="00317231" w:rsidRPr="00126D03" w:rsidRDefault="00126D03" w:rsidP="00126D03">
      <w:pPr>
        <w:autoSpaceDE w:val="0"/>
        <w:autoSpaceDN w:val="0"/>
        <w:adjustRightInd w:val="0"/>
        <w:jc w:val="both"/>
        <w:rPr>
          <w:lang w:val="en-GB"/>
        </w:rPr>
      </w:pPr>
      <w:r>
        <w:rPr>
          <w:lang w:val="en-GB"/>
        </w:rPr>
        <w:t>[39]</w:t>
      </w:r>
      <w:r>
        <w:rPr>
          <w:lang w:val="en-GB"/>
        </w:rPr>
        <w:tab/>
      </w:r>
      <w:r w:rsidR="00AF2FA3" w:rsidRPr="00126D03">
        <w:rPr>
          <w:lang w:val="en-GB"/>
        </w:rPr>
        <w:t>The following order is issued:</w:t>
      </w:r>
    </w:p>
    <w:p w14:paraId="6EBAE7AC" w14:textId="13569FC8" w:rsidR="00AF2FA3" w:rsidRDefault="00AF2FA3" w:rsidP="00AF2FA3">
      <w:pPr>
        <w:pStyle w:val="ListParagraph"/>
        <w:autoSpaceDE w:val="0"/>
        <w:autoSpaceDN w:val="0"/>
        <w:adjustRightInd w:val="0"/>
        <w:ind w:left="0"/>
        <w:jc w:val="both"/>
        <w:rPr>
          <w:lang w:val="en-GB"/>
        </w:rPr>
      </w:pPr>
    </w:p>
    <w:p w14:paraId="7D3C7D84" w14:textId="5B681073" w:rsidR="00AF2FA3" w:rsidRPr="00126D03" w:rsidRDefault="00126D03" w:rsidP="00126D03">
      <w:pPr>
        <w:autoSpaceDE w:val="0"/>
        <w:autoSpaceDN w:val="0"/>
        <w:adjustRightInd w:val="0"/>
        <w:ind w:left="720" w:hanging="360"/>
        <w:jc w:val="both"/>
        <w:rPr>
          <w:lang w:val="en-GB"/>
        </w:rPr>
      </w:pPr>
      <w:r w:rsidRPr="00CD3FB7">
        <w:rPr>
          <w:lang w:val="en-GB"/>
        </w:rPr>
        <w:t>1.</w:t>
      </w:r>
      <w:r w:rsidRPr="00CD3FB7">
        <w:rPr>
          <w:lang w:val="en-GB"/>
        </w:rPr>
        <w:tab/>
      </w:r>
      <w:r w:rsidR="00AF2FA3" w:rsidRPr="00126D03">
        <w:rPr>
          <w:lang w:val="en-GB"/>
        </w:rPr>
        <w:t>The appeal is dismissed with costs.</w:t>
      </w:r>
    </w:p>
    <w:p w14:paraId="27A7DFBD" w14:textId="77777777" w:rsidR="00350FD0" w:rsidRPr="00BC6DD3" w:rsidRDefault="00350FD0" w:rsidP="00BC6DD3">
      <w:pPr>
        <w:rPr>
          <w:lang w:val="en-GB"/>
        </w:rPr>
      </w:pPr>
    </w:p>
    <w:p w14:paraId="4D584B20" w14:textId="77777777" w:rsidR="008B601D" w:rsidRPr="008B601D" w:rsidRDefault="008B601D" w:rsidP="008B601D">
      <w:pPr>
        <w:pStyle w:val="ListParagraph"/>
        <w:autoSpaceDE w:val="0"/>
        <w:autoSpaceDN w:val="0"/>
        <w:adjustRightInd w:val="0"/>
        <w:ind w:left="0"/>
        <w:jc w:val="both"/>
        <w:rPr>
          <w:lang w:val="en-GB"/>
        </w:rPr>
      </w:pPr>
    </w:p>
    <w:p w14:paraId="7D72177F" w14:textId="77777777" w:rsidR="001A13CA" w:rsidRDefault="001A13CA"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30642197" w:rsidR="00AA32DA" w:rsidRDefault="00AA32DA" w:rsidP="004A5151">
      <w:pPr>
        <w:autoSpaceDE w:val="0"/>
        <w:autoSpaceDN w:val="0"/>
        <w:adjustRightInd w:val="0"/>
        <w:jc w:val="both"/>
        <w:rPr>
          <w:lang w:val="en-GB"/>
        </w:rPr>
      </w:pPr>
    </w:p>
    <w:p w14:paraId="0C69736D" w14:textId="447DE0B5" w:rsidR="00A739BC" w:rsidRDefault="00A739BC" w:rsidP="004A5151">
      <w:pPr>
        <w:autoSpaceDE w:val="0"/>
        <w:autoSpaceDN w:val="0"/>
        <w:adjustRightInd w:val="0"/>
        <w:jc w:val="both"/>
        <w:rPr>
          <w:lang w:val="en-GB"/>
        </w:rPr>
      </w:pPr>
    </w:p>
    <w:p w14:paraId="3AF33110" w14:textId="2B6B0772" w:rsidR="00C66205" w:rsidRDefault="00C66205" w:rsidP="004A5151">
      <w:pPr>
        <w:autoSpaceDE w:val="0"/>
        <w:autoSpaceDN w:val="0"/>
        <w:adjustRightInd w:val="0"/>
        <w:jc w:val="both"/>
        <w:rPr>
          <w:lang w:val="en-GB"/>
        </w:rPr>
      </w:pPr>
      <w:r>
        <w:rPr>
          <w:lang w:val="en-GB"/>
        </w:rPr>
        <w:t>NONCEMBU J</w:t>
      </w:r>
    </w:p>
    <w:p w14:paraId="3A22871B" w14:textId="63C867CC" w:rsidR="00C66205" w:rsidRDefault="00C66205" w:rsidP="004A5151">
      <w:pPr>
        <w:autoSpaceDE w:val="0"/>
        <w:autoSpaceDN w:val="0"/>
        <w:adjustRightInd w:val="0"/>
        <w:jc w:val="both"/>
        <w:rPr>
          <w:lang w:val="en-GB"/>
        </w:rPr>
      </w:pPr>
      <w:r>
        <w:rPr>
          <w:lang w:val="en-GB"/>
        </w:rPr>
        <w:t>I agree</w:t>
      </w:r>
    </w:p>
    <w:p w14:paraId="6D237D38" w14:textId="77777777" w:rsidR="00C66205" w:rsidRDefault="00C66205" w:rsidP="004A5151">
      <w:pPr>
        <w:autoSpaceDE w:val="0"/>
        <w:autoSpaceDN w:val="0"/>
        <w:adjustRightInd w:val="0"/>
        <w:jc w:val="both"/>
        <w:rPr>
          <w:lang w:val="en-GB"/>
        </w:rPr>
      </w:pPr>
    </w:p>
    <w:p w14:paraId="426FED70" w14:textId="77777777" w:rsidR="00C66205" w:rsidRDefault="00C66205" w:rsidP="004A5151">
      <w:pPr>
        <w:autoSpaceDE w:val="0"/>
        <w:autoSpaceDN w:val="0"/>
        <w:adjustRightInd w:val="0"/>
        <w:jc w:val="both"/>
        <w:rPr>
          <w:lang w:val="en-GB"/>
        </w:rPr>
      </w:pPr>
    </w:p>
    <w:p w14:paraId="2C225DDE" w14:textId="3E52AC98" w:rsidR="00A739BC" w:rsidRDefault="00A739BC" w:rsidP="004A5151">
      <w:pPr>
        <w:autoSpaceDE w:val="0"/>
        <w:autoSpaceDN w:val="0"/>
        <w:adjustRightInd w:val="0"/>
        <w:jc w:val="both"/>
        <w:rPr>
          <w:lang w:val="en-GB"/>
        </w:rPr>
      </w:pPr>
      <w:r>
        <w:rPr>
          <w:lang w:val="en-GB"/>
        </w:rPr>
        <w:t>_________________________</w:t>
      </w:r>
    </w:p>
    <w:p w14:paraId="3583D93D" w14:textId="70F7D3C2" w:rsidR="00A739BC" w:rsidRDefault="00CB53E5" w:rsidP="004A5151">
      <w:pPr>
        <w:autoSpaceDE w:val="0"/>
        <w:autoSpaceDN w:val="0"/>
        <w:adjustRightInd w:val="0"/>
        <w:jc w:val="both"/>
        <w:rPr>
          <w:b/>
          <w:bCs/>
          <w:lang w:val="en-GB"/>
        </w:rPr>
      </w:pPr>
      <w:r>
        <w:rPr>
          <w:b/>
          <w:bCs/>
          <w:lang w:val="en-GB"/>
        </w:rPr>
        <w:t>V P NONCEMBU</w:t>
      </w:r>
    </w:p>
    <w:p w14:paraId="7481C652" w14:textId="4895C2E5" w:rsidR="00A739BC" w:rsidRDefault="00CB53E5" w:rsidP="004A5151">
      <w:pPr>
        <w:autoSpaceDE w:val="0"/>
        <w:autoSpaceDN w:val="0"/>
        <w:adjustRightInd w:val="0"/>
        <w:jc w:val="both"/>
        <w:rPr>
          <w:b/>
          <w:bCs/>
          <w:lang w:val="en-GB"/>
        </w:rPr>
      </w:pPr>
      <w:r>
        <w:rPr>
          <w:b/>
          <w:bCs/>
          <w:lang w:val="en-GB"/>
        </w:rPr>
        <w:t>JUDGE OF THE HIGH COURT</w:t>
      </w:r>
    </w:p>
    <w:p w14:paraId="4C355407" w14:textId="77777777" w:rsidR="00CB53E5" w:rsidRDefault="00CB53E5" w:rsidP="004A5151">
      <w:pPr>
        <w:autoSpaceDE w:val="0"/>
        <w:autoSpaceDN w:val="0"/>
        <w:adjustRightInd w:val="0"/>
        <w:jc w:val="both"/>
        <w:rPr>
          <w:b/>
          <w:bCs/>
          <w:lang w:val="en-GB"/>
        </w:rPr>
      </w:pPr>
    </w:p>
    <w:p w14:paraId="4795B340" w14:textId="77777777" w:rsidR="00CB53E5" w:rsidRDefault="00CB53E5" w:rsidP="004A5151">
      <w:pPr>
        <w:autoSpaceDE w:val="0"/>
        <w:autoSpaceDN w:val="0"/>
        <w:adjustRightInd w:val="0"/>
        <w:jc w:val="both"/>
        <w:rPr>
          <w:b/>
          <w:bCs/>
          <w:lang w:val="en-GB"/>
        </w:rPr>
      </w:pPr>
    </w:p>
    <w:p w14:paraId="14BAF1BB" w14:textId="0D590E16" w:rsidR="00C66205" w:rsidRDefault="00C66205" w:rsidP="004A5151">
      <w:pPr>
        <w:autoSpaceDE w:val="0"/>
        <w:autoSpaceDN w:val="0"/>
        <w:adjustRightInd w:val="0"/>
        <w:jc w:val="both"/>
        <w:rPr>
          <w:lang w:val="en-GB"/>
        </w:rPr>
      </w:pPr>
      <w:r w:rsidRPr="00C66205">
        <w:rPr>
          <w:lang w:val="en-GB"/>
        </w:rPr>
        <w:t>TILANA-MABECE AJ</w:t>
      </w:r>
    </w:p>
    <w:p w14:paraId="7F0FAB79" w14:textId="7B2E22B9" w:rsidR="00C66205" w:rsidRPr="00C66205" w:rsidRDefault="00C66205" w:rsidP="004A5151">
      <w:pPr>
        <w:autoSpaceDE w:val="0"/>
        <w:autoSpaceDN w:val="0"/>
        <w:adjustRightInd w:val="0"/>
        <w:jc w:val="both"/>
        <w:rPr>
          <w:lang w:val="en-GB"/>
        </w:rPr>
      </w:pPr>
      <w:r>
        <w:rPr>
          <w:lang w:val="en-GB"/>
        </w:rPr>
        <w:t>I agree</w:t>
      </w:r>
    </w:p>
    <w:p w14:paraId="2167B569" w14:textId="77777777" w:rsidR="00C66205" w:rsidRDefault="00C66205" w:rsidP="004A5151">
      <w:pPr>
        <w:autoSpaceDE w:val="0"/>
        <w:autoSpaceDN w:val="0"/>
        <w:adjustRightInd w:val="0"/>
        <w:jc w:val="both"/>
        <w:rPr>
          <w:b/>
          <w:bCs/>
          <w:lang w:val="en-GB"/>
        </w:rPr>
      </w:pPr>
    </w:p>
    <w:p w14:paraId="36C3C306" w14:textId="631D7150" w:rsidR="00A739BC" w:rsidRPr="00A739BC" w:rsidRDefault="00A739BC" w:rsidP="004A5151">
      <w:pPr>
        <w:autoSpaceDE w:val="0"/>
        <w:autoSpaceDN w:val="0"/>
        <w:adjustRightInd w:val="0"/>
        <w:jc w:val="both"/>
        <w:rPr>
          <w:lang w:val="en-GB"/>
        </w:rPr>
      </w:pPr>
      <w:r w:rsidRPr="00A739BC">
        <w:rPr>
          <w:lang w:val="en-GB"/>
        </w:rPr>
        <w:t>_________________________</w:t>
      </w:r>
    </w:p>
    <w:p w14:paraId="7B90F8E1" w14:textId="41474F54" w:rsidR="00A739BC" w:rsidRDefault="00CB53E5" w:rsidP="004A5151">
      <w:pPr>
        <w:autoSpaceDE w:val="0"/>
        <w:autoSpaceDN w:val="0"/>
        <w:adjustRightInd w:val="0"/>
        <w:jc w:val="both"/>
        <w:rPr>
          <w:b/>
          <w:bCs/>
          <w:lang w:val="en-GB"/>
        </w:rPr>
      </w:pPr>
      <w:r>
        <w:rPr>
          <w:b/>
          <w:bCs/>
          <w:lang w:val="en-GB"/>
        </w:rPr>
        <w:t>S T</w:t>
      </w:r>
      <w:r w:rsidR="0048551A">
        <w:rPr>
          <w:b/>
          <w:bCs/>
          <w:lang w:val="en-GB"/>
        </w:rPr>
        <w:t xml:space="preserve"> TILANA-</w:t>
      </w:r>
      <w:r>
        <w:rPr>
          <w:b/>
          <w:bCs/>
          <w:lang w:val="en-GB"/>
        </w:rPr>
        <w:t>MABECE</w:t>
      </w:r>
    </w:p>
    <w:p w14:paraId="688CA469" w14:textId="482DE8E2" w:rsidR="00CB53E5" w:rsidRDefault="00CB53E5" w:rsidP="004A5151">
      <w:pPr>
        <w:autoSpaceDE w:val="0"/>
        <w:autoSpaceDN w:val="0"/>
        <w:adjustRightInd w:val="0"/>
        <w:jc w:val="both"/>
        <w:rPr>
          <w:b/>
          <w:bCs/>
          <w:lang w:val="en-GB"/>
        </w:rPr>
      </w:pPr>
      <w:r>
        <w:rPr>
          <w:b/>
          <w:bCs/>
          <w:lang w:val="en-GB"/>
        </w:rPr>
        <w:t>ACTING JUDGE OF THE HIGH COURT</w:t>
      </w:r>
    </w:p>
    <w:p w14:paraId="157AF1A3" w14:textId="77777777" w:rsidR="00CB53E5" w:rsidRDefault="00CB53E5" w:rsidP="004A5151">
      <w:pPr>
        <w:autoSpaceDE w:val="0"/>
        <w:autoSpaceDN w:val="0"/>
        <w:adjustRightInd w:val="0"/>
        <w:jc w:val="both"/>
        <w:rPr>
          <w:b/>
          <w:bCs/>
          <w:lang w:val="en-GB"/>
        </w:rPr>
      </w:pPr>
    </w:p>
    <w:p w14:paraId="4E913372" w14:textId="77777777" w:rsidR="008A75F3" w:rsidRDefault="008A75F3" w:rsidP="008A75F3">
      <w:pPr>
        <w:widowControl w:val="0"/>
        <w:jc w:val="center"/>
        <w:rPr>
          <w:spacing w:val="14"/>
          <w:kern w:val="2"/>
          <w:lang w:val="en-GB"/>
        </w:rPr>
      </w:pPr>
    </w:p>
    <w:p w14:paraId="04EEEF0A" w14:textId="36B261E8" w:rsidR="007A7BBE" w:rsidRPr="00CB53E5" w:rsidRDefault="007A7BBE" w:rsidP="00CA056D">
      <w:pPr>
        <w:widowControl w:val="0"/>
        <w:ind w:right="656"/>
        <w:rPr>
          <w:spacing w:val="14"/>
          <w:kern w:val="2"/>
          <w:lang w:val="en-GB"/>
        </w:rPr>
      </w:pPr>
      <w:r w:rsidRPr="00CB53E5">
        <w:rPr>
          <w:b/>
          <w:bCs/>
          <w:spacing w:val="14"/>
          <w:kern w:val="2"/>
          <w:lang w:val="en-GB"/>
        </w:rPr>
        <w:t>Heard:</w:t>
      </w:r>
      <w:r w:rsidR="00CB53E5">
        <w:rPr>
          <w:b/>
          <w:bCs/>
          <w:spacing w:val="14"/>
          <w:kern w:val="2"/>
          <w:lang w:val="en-GB"/>
        </w:rPr>
        <w:t xml:space="preserve"> </w:t>
      </w:r>
      <w:r w:rsidR="00CB53E5">
        <w:rPr>
          <w:spacing w:val="14"/>
          <w:kern w:val="2"/>
          <w:lang w:val="en-GB"/>
        </w:rPr>
        <w:t>11 September 2023</w:t>
      </w:r>
    </w:p>
    <w:p w14:paraId="299C01BC" w14:textId="77777777" w:rsidR="00CA056D" w:rsidRPr="00CB53E5" w:rsidRDefault="00CA056D" w:rsidP="000D4C7F">
      <w:pPr>
        <w:widowControl w:val="0"/>
        <w:ind w:left="4320" w:right="656" w:firstLine="720"/>
        <w:jc w:val="right"/>
        <w:rPr>
          <w:b/>
          <w:bCs/>
          <w:spacing w:val="14"/>
          <w:kern w:val="2"/>
          <w:lang w:val="en-GB"/>
        </w:rPr>
      </w:pPr>
    </w:p>
    <w:p w14:paraId="5D550954" w14:textId="5035121C" w:rsidR="007A7BBE" w:rsidRDefault="007A7BBE" w:rsidP="00CA056D">
      <w:pPr>
        <w:widowControl w:val="0"/>
        <w:ind w:right="656"/>
        <w:rPr>
          <w:spacing w:val="14"/>
          <w:kern w:val="2"/>
          <w:lang w:val="en-GB"/>
        </w:rPr>
      </w:pPr>
      <w:r w:rsidRPr="00CB53E5">
        <w:rPr>
          <w:b/>
          <w:bCs/>
          <w:spacing w:val="14"/>
          <w:kern w:val="2"/>
          <w:lang w:val="en-GB"/>
        </w:rPr>
        <w:t>Delivered:</w:t>
      </w:r>
      <w:r w:rsidR="00CB53E5">
        <w:rPr>
          <w:b/>
          <w:bCs/>
          <w:spacing w:val="14"/>
          <w:kern w:val="2"/>
          <w:lang w:val="en-GB"/>
        </w:rPr>
        <w:t xml:space="preserve"> </w:t>
      </w:r>
      <w:r w:rsidR="00CB53E5" w:rsidRPr="00CB53E5">
        <w:rPr>
          <w:spacing w:val="14"/>
          <w:kern w:val="2"/>
          <w:lang w:val="en-GB"/>
        </w:rPr>
        <w:t>15 September 2023</w:t>
      </w:r>
    </w:p>
    <w:p w14:paraId="7AD4C462" w14:textId="77777777" w:rsidR="00930215" w:rsidRPr="00CB53E5" w:rsidRDefault="00930215" w:rsidP="00CA056D">
      <w:pPr>
        <w:widowControl w:val="0"/>
        <w:ind w:right="656"/>
        <w:rPr>
          <w:b/>
          <w:bCs/>
          <w:spacing w:val="14"/>
          <w:kern w:val="2"/>
          <w:lang w:val="en-GB"/>
        </w:rPr>
      </w:pPr>
    </w:p>
    <w:p w14:paraId="2FE0EA3D" w14:textId="77777777" w:rsidR="005F1706" w:rsidRDefault="007C247A" w:rsidP="00757D53">
      <w:pPr>
        <w:autoSpaceDE w:val="0"/>
        <w:autoSpaceDN w:val="0"/>
        <w:adjustRightInd w:val="0"/>
        <w:jc w:val="both"/>
        <w:rPr>
          <w:lang w:val="en-GB"/>
        </w:rPr>
      </w:pPr>
      <w:r w:rsidRPr="00044B50">
        <w:rPr>
          <w:lang w:val="en-GB"/>
        </w:rPr>
        <w:lastRenderedPageBreak/>
        <w:t>Appearances:</w:t>
      </w:r>
      <w:r w:rsidR="00757D53">
        <w:rPr>
          <w:lang w:val="en-GB"/>
        </w:rPr>
        <w:t xml:space="preserve"> </w:t>
      </w:r>
      <w:r w:rsidR="00757D53">
        <w:rPr>
          <w:lang w:val="en-GB"/>
        </w:rPr>
        <w:tab/>
      </w:r>
    </w:p>
    <w:p w14:paraId="6D493200" w14:textId="77777777" w:rsidR="005F1706" w:rsidRDefault="005F1706" w:rsidP="00757D53">
      <w:pPr>
        <w:autoSpaceDE w:val="0"/>
        <w:autoSpaceDN w:val="0"/>
        <w:adjustRightInd w:val="0"/>
        <w:jc w:val="both"/>
        <w:rPr>
          <w:lang w:val="en-GB"/>
        </w:rPr>
      </w:pPr>
    </w:p>
    <w:p w14:paraId="0249E8FD" w14:textId="1C576BC3" w:rsidR="005F1706" w:rsidRDefault="005F1706" w:rsidP="00757D53">
      <w:pPr>
        <w:autoSpaceDE w:val="0"/>
        <w:autoSpaceDN w:val="0"/>
        <w:adjustRightInd w:val="0"/>
        <w:jc w:val="both"/>
        <w:rPr>
          <w:lang w:val="en-GB"/>
        </w:rPr>
      </w:pPr>
      <w:r>
        <w:rPr>
          <w:lang w:val="en-GB"/>
        </w:rPr>
        <w:t>Counsel for the Appellant:</w:t>
      </w:r>
      <w:r>
        <w:rPr>
          <w:lang w:val="en-GB"/>
        </w:rPr>
        <w:tab/>
      </w:r>
      <w:r>
        <w:rPr>
          <w:lang w:val="en-GB"/>
        </w:rPr>
        <w:tab/>
      </w:r>
      <w:r>
        <w:rPr>
          <w:lang w:val="en-GB"/>
        </w:rPr>
        <w:tab/>
        <w:t>Adv P Du Toit</w:t>
      </w:r>
    </w:p>
    <w:p w14:paraId="513A3CE4" w14:textId="38B4E363" w:rsidR="005F1706" w:rsidRDefault="005F1706" w:rsidP="00757D53">
      <w:pPr>
        <w:autoSpaceDE w:val="0"/>
        <w:autoSpaceDN w:val="0"/>
        <w:adjustRightInd w:val="0"/>
        <w:jc w:val="both"/>
        <w:rPr>
          <w:lang w:val="en-GB"/>
        </w:rPr>
      </w:pPr>
      <w:r>
        <w:rPr>
          <w:lang w:val="en-GB"/>
        </w:rPr>
        <w:tab/>
      </w:r>
      <w:r>
        <w:rPr>
          <w:lang w:val="en-GB"/>
        </w:rPr>
        <w:tab/>
      </w:r>
      <w:r>
        <w:rPr>
          <w:lang w:val="en-GB"/>
        </w:rPr>
        <w:tab/>
      </w:r>
      <w:r>
        <w:rPr>
          <w:lang w:val="en-GB"/>
        </w:rPr>
        <w:tab/>
      </w:r>
      <w:r>
        <w:rPr>
          <w:lang w:val="en-GB"/>
        </w:rPr>
        <w:tab/>
      </w:r>
      <w:r>
        <w:rPr>
          <w:lang w:val="en-GB"/>
        </w:rPr>
        <w:tab/>
        <w:t>Chambers, King William’s Town</w:t>
      </w:r>
    </w:p>
    <w:p w14:paraId="7C61BA91" w14:textId="77777777" w:rsidR="005F1706" w:rsidRDefault="005F1706" w:rsidP="00757D53">
      <w:pPr>
        <w:autoSpaceDE w:val="0"/>
        <w:autoSpaceDN w:val="0"/>
        <w:adjustRightInd w:val="0"/>
        <w:jc w:val="both"/>
        <w:rPr>
          <w:lang w:val="en-GB"/>
        </w:rPr>
      </w:pPr>
    </w:p>
    <w:p w14:paraId="352CF1A0" w14:textId="0302E57B" w:rsidR="005F1706" w:rsidRDefault="005F1706" w:rsidP="00757D53">
      <w:pPr>
        <w:autoSpaceDE w:val="0"/>
        <w:autoSpaceDN w:val="0"/>
        <w:adjustRightInd w:val="0"/>
        <w:jc w:val="both"/>
        <w:rPr>
          <w:lang w:val="en-GB"/>
        </w:rPr>
      </w:pPr>
      <w:r>
        <w:rPr>
          <w:lang w:val="en-GB"/>
        </w:rPr>
        <w:t>Instructed by:</w:t>
      </w:r>
      <w:r>
        <w:rPr>
          <w:lang w:val="en-GB"/>
        </w:rPr>
        <w:tab/>
      </w:r>
      <w:r>
        <w:rPr>
          <w:lang w:val="en-GB"/>
        </w:rPr>
        <w:tab/>
      </w:r>
      <w:r>
        <w:rPr>
          <w:lang w:val="en-GB"/>
        </w:rPr>
        <w:tab/>
      </w:r>
      <w:r>
        <w:rPr>
          <w:lang w:val="en-GB"/>
        </w:rPr>
        <w:tab/>
        <w:t>Norton Rose Full</w:t>
      </w:r>
      <w:r w:rsidR="00CC710E">
        <w:rPr>
          <w:lang w:val="en-GB"/>
        </w:rPr>
        <w:t>b</w:t>
      </w:r>
      <w:r>
        <w:rPr>
          <w:lang w:val="en-GB"/>
        </w:rPr>
        <w:t>right South Africa</w:t>
      </w:r>
      <w:r w:rsidR="00E452F1">
        <w:rPr>
          <w:lang w:val="en-GB"/>
        </w:rPr>
        <w:t xml:space="preserve"> Inc.</w:t>
      </w:r>
    </w:p>
    <w:p w14:paraId="58D5C288" w14:textId="45C10D50" w:rsidR="00E452F1" w:rsidRDefault="00E452F1" w:rsidP="00757D53">
      <w:pPr>
        <w:autoSpaceDE w:val="0"/>
        <w:autoSpaceDN w:val="0"/>
        <w:adjustRightInd w:val="0"/>
        <w:jc w:val="both"/>
        <w:rPr>
          <w:lang w:val="en-GB"/>
        </w:rPr>
      </w:pPr>
      <w:r>
        <w:rPr>
          <w:lang w:val="en-GB"/>
        </w:rPr>
        <w:tab/>
      </w:r>
      <w:r>
        <w:rPr>
          <w:lang w:val="en-GB"/>
        </w:rPr>
        <w:tab/>
      </w:r>
      <w:r>
        <w:rPr>
          <w:lang w:val="en-GB"/>
        </w:rPr>
        <w:tab/>
      </w:r>
      <w:r>
        <w:rPr>
          <w:lang w:val="en-GB"/>
        </w:rPr>
        <w:tab/>
      </w:r>
      <w:r>
        <w:rPr>
          <w:lang w:val="en-GB"/>
        </w:rPr>
        <w:tab/>
      </w:r>
      <w:r>
        <w:rPr>
          <w:lang w:val="en-GB"/>
        </w:rPr>
        <w:tab/>
        <w:t>Appellant’s Attorneys</w:t>
      </w:r>
    </w:p>
    <w:p w14:paraId="1E81E0FC" w14:textId="77777777" w:rsidR="00E452F1" w:rsidRDefault="00E452F1" w:rsidP="00757D53">
      <w:pPr>
        <w:autoSpaceDE w:val="0"/>
        <w:autoSpaceDN w:val="0"/>
        <w:adjustRightInd w:val="0"/>
        <w:jc w:val="both"/>
        <w:rPr>
          <w:lang w:val="en-GB"/>
        </w:rPr>
      </w:pPr>
    </w:p>
    <w:p w14:paraId="71BBE376" w14:textId="13032BC4" w:rsidR="00E452F1" w:rsidRDefault="00E452F1" w:rsidP="00757D53">
      <w:pPr>
        <w:autoSpaceDE w:val="0"/>
        <w:autoSpaceDN w:val="0"/>
        <w:adjustRightInd w:val="0"/>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Smith Tabata Attorneys</w:t>
      </w:r>
    </w:p>
    <w:p w14:paraId="10B63921" w14:textId="0B1426A4" w:rsidR="00E452F1" w:rsidRDefault="00E452F1" w:rsidP="00757D53">
      <w:pPr>
        <w:autoSpaceDE w:val="0"/>
        <w:autoSpaceDN w:val="0"/>
        <w:adjustRightInd w:val="0"/>
        <w:jc w:val="both"/>
        <w:rPr>
          <w:lang w:val="en-GB"/>
        </w:rPr>
      </w:pPr>
      <w:r>
        <w:rPr>
          <w:lang w:val="en-GB"/>
        </w:rPr>
        <w:tab/>
      </w:r>
      <w:r>
        <w:rPr>
          <w:lang w:val="en-GB"/>
        </w:rPr>
        <w:tab/>
      </w:r>
      <w:r>
        <w:rPr>
          <w:lang w:val="en-GB"/>
        </w:rPr>
        <w:tab/>
      </w:r>
      <w:r>
        <w:rPr>
          <w:lang w:val="en-GB"/>
        </w:rPr>
        <w:tab/>
      </w:r>
      <w:r>
        <w:rPr>
          <w:lang w:val="en-GB"/>
        </w:rPr>
        <w:tab/>
      </w:r>
      <w:r>
        <w:rPr>
          <w:lang w:val="en-GB"/>
        </w:rPr>
        <w:tab/>
        <w:t>Sutton Square</w:t>
      </w:r>
    </w:p>
    <w:p w14:paraId="6D37496D" w14:textId="6E336436" w:rsidR="00E452F1" w:rsidRDefault="00E452F1" w:rsidP="00757D53">
      <w:pPr>
        <w:autoSpaceDE w:val="0"/>
        <w:autoSpaceDN w:val="0"/>
        <w:adjustRightInd w:val="0"/>
        <w:jc w:val="both"/>
        <w:rPr>
          <w:lang w:val="en-GB"/>
        </w:rPr>
      </w:pPr>
      <w:r>
        <w:rPr>
          <w:lang w:val="en-GB"/>
        </w:rPr>
        <w:tab/>
      </w:r>
      <w:r>
        <w:rPr>
          <w:lang w:val="en-GB"/>
        </w:rPr>
        <w:tab/>
      </w:r>
      <w:r>
        <w:rPr>
          <w:lang w:val="en-GB"/>
        </w:rPr>
        <w:tab/>
      </w:r>
      <w:r>
        <w:rPr>
          <w:lang w:val="en-GB"/>
        </w:rPr>
        <w:tab/>
      </w:r>
      <w:r>
        <w:rPr>
          <w:lang w:val="en-GB"/>
        </w:rPr>
        <w:tab/>
      </w:r>
      <w:r>
        <w:rPr>
          <w:lang w:val="en-GB"/>
        </w:rPr>
        <w:tab/>
        <w:t>Queens Road</w:t>
      </w:r>
    </w:p>
    <w:p w14:paraId="21DE1D8B" w14:textId="3B3FC915" w:rsidR="00E452F1" w:rsidRDefault="00E452F1" w:rsidP="00757D53">
      <w:pPr>
        <w:autoSpaceDE w:val="0"/>
        <w:autoSpaceDN w:val="0"/>
        <w:adjustRightInd w:val="0"/>
        <w:jc w:val="both"/>
        <w:rPr>
          <w:lang w:val="en-GB"/>
        </w:rPr>
      </w:pPr>
      <w:r>
        <w:rPr>
          <w:lang w:val="en-GB"/>
        </w:rPr>
        <w:tab/>
      </w:r>
      <w:r>
        <w:rPr>
          <w:lang w:val="en-GB"/>
        </w:rPr>
        <w:tab/>
      </w:r>
      <w:r>
        <w:rPr>
          <w:lang w:val="en-GB"/>
        </w:rPr>
        <w:tab/>
      </w:r>
      <w:r>
        <w:rPr>
          <w:lang w:val="en-GB"/>
        </w:rPr>
        <w:tab/>
      </w:r>
      <w:r>
        <w:rPr>
          <w:lang w:val="en-GB"/>
        </w:rPr>
        <w:tab/>
      </w:r>
      <w:r>
        <w:rPr>
          <w:lang w:val="en-GB"/>
        </w:rPr>
        <w:tab/>
        <w:t>King William’s Town</w:t>
      </w:r>
    </w:p>
    <w:p w14:paraId="72C00849" w14:textId="77777777" w:rsidR="005F1706" w:rsidRDefault="005F1706" w:rsidP="00757D53">
      <w:pPr>
        <w:autoSpaceDE w:val="0"/>
        <w:autoSpaceDN w:val="0"/>
        <w:adjustRightInd w:val="0"/>
        <w:jc w:val="both"/>
        <w:rPr>
          <w:lang w:val="en-GB"/>
        </w:rPr>
      </w:pPr>
    </w:p>
    <w:p w14:paraId="66837056" w14:textId="5B798FD9" w:rsidR="00C33845" w:rsidRDefault="00C33845" w:rsidP="00772E4B">
      <w:pPr>
        <w:jc w:val="both"/>
        <w:rPr>
          <w:lang w:val="en-GB"/>
        </w:rPr>
      </w:pPr>
    </w:p>
    <w:p w14:paraId="1A96B021" w14:textId="030F31AF" w:rsidR="00C33845" w:rsidRDefault="00C33845" w:rsidP="00772E4B">
      <w:pPr>
        <w:jc w:val="both"/>
        <w:rPr>
          <w:lang w:val="en-GB"/>
        </w:rPr>
      </w:pPr>
      <w:r>
        <w:rPr>
          <w:lang w:val="en-GB"/>
        </w:rPr>
        <w:t xml:space="preserve">For </w:t>
      </w:r>
      <w:r w:rsidR="00E452F1">
        <w:rPr>
          <w:lang w:val="en-GB"/>
        </w:rPr>
        <w:t>the Respondent</w:t>
      </w:r>
      <w:r>
        <w:rPr>
          <w:lang w:val="en-GB"/>
        </w:rPr>
        <w:t>:</w:t>
      </w:r>
      <w:r>
        <w:rPr>
          <w:lang w:val="en-GB"/>
        </w:rPr>
        <w:tab/>
      </w:r>
      <w:r w:rsidR="00E452F1">
        <w:rPr>
          <w:lang w:val="en-GB"/>
        </w:rPr>
        <w:tab/>
      </w:r>
      <w:r>
        <w:rPr>
          <w:lang w:val="en-GB"/>
        </w:rPr>
        <w:tab/>
      </w:r>
      <w:r w:rsidR="00E452F1">
        <w:rPr>
          <w:lang w:val="en-GB"/>
        </w:rPr>
        <w:t>Adv SY Malunga and Adv T Mpahlwa</w:t>
      </w:r>
    </w:p>
    <w:p w14:paraId="6BDA5DA3" w14:textId="4690F749" w:rsidR="00E452F1" w:rsidRDefault="00E452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 East London</w:t>
      </w:r>
    </w:p>
    <w:p w14:paraId="30D9B840" w14:textId="77777777" w:rsidR="00E452F1" w:rsidRDefault="00E452F1" w:rsidP="00772E4B">
      <w:pPr>
        <w:jc w:val="both"/>
        <w:rPr>
          <w:lang w:val="en-GB"/>
        </w:rPr>
      </w:pPr>
    </w:p>
    <w:p w14:paraId="27454357" w14:textId="1169B50E" w:rsidR="00E452F1" w:rsidRDefault="00E452F1" w:rsidP="00772E4B">
      <w:pPr>
        <w:jc w:val="both"/>
        <w:rPr>
          <w:lang w:val="en-GB"/>
        </w:rPr>
      </w:pPr>
      <w:r>
        <w:rPr>
          <w:lang w:val="en-GB"/>
        </w:rPr>
        <w:t>Instructed by:</w:t>
      </w:r>
      <w:r>
        <w:rPr>
          <w:lang w:val="en-GB"/>
        </w:rPr>
        <w:tab/>
      </w:r>
      <w:r>
        <w:rPr>
          <w:lang w:val="en-GB"/>
        </w:rPr>
        <w:tab/>
      </w:r>
      <w:r>
        <w:rPr>
          <w:lang w:val="en-GB"/>
        </w:rPr>
        <w:tab/>
      </w:r>
      <w:r>
        <w:rPr>
          <w:lang w:val="en-GB"/>
        </w:rPr>
        <w:tab/>
        <w:t>Cinga Nohaji Inc</w:t>
      </w:r>
      <w:r w:rsidR="007D0B7B">
        <w:rPr>
          <w:lang w:val="en-GB"/>
        </w:rPr>
        <w:t>.</w:t>
      </w:r>
    </w:p>
    <w:p w14:paraId="4BCC9608" w14:textId="5E274692" w:rsidR="00E452F1" w:rsidRDefault="00E452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Respondent’s Attorneys</w:t>
      </w:r>
    </w:p>
    <w:p w14:paraId="475BA9D6" w14:textId="34B83ADC" w:rsidR="00E452F1" w:rsidRDefault="00E452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36 Chamberlain Road</w:t>
      </w:r>
    </w:p>
    <w:p w14:paraId="75D39B6E" w14:textId="69F8B23F" w:rsidR="00E452F1" w:rsidRDefault="00E452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62D0C85D" w14:textId="77777777" w:rsidR="00E452F1" w:rsidRDefault="00E452F1" w:rsidP="00772E4B">
      <w:pPr>
        <w:jc w:val="both"/>
        <w:rPr>
          <w:lang w:val="en-GB"/>
        </w:rPr>
      </w:pP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sectPr w:rsidR="00C33845"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404D" w14:textId="77777777" w:rsidR="004C665A" w:rsidRDefault="004C665A" w:rsidP="00005691">
      <w:r>
        <w:separator/>
      </w:r>
    </w:p>
  </w:endnote>
  <w:endnote w:type="continuationSeparator" w:id="0">
    <w:p w14:paraId="713E3B79" w14:textId="77777777" w:rsidR="004C665A" w:rsidRDefault="004C665A"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CCC6" w14:textId="77777777" w:rsidR="004C665A" w:rsidRDefault="004C665A" w:rsidP="00005691">
      <w:r>
        <w:separator/>
      </w:r>
    </w:p>
  </w:footnote>
  <w:footnote w:type="continuationSeparator" w:id="0">
    <w:p w14:paraId="378171C8" w14:textId="77777777" w:rsidR="004C665A" w:rsidRDefault="004C665A" w:rsidP="00005691">
      <w:r>
        <w:continuationSeparator/>
      </w:r>
    </w:p>
  </w:footnote>
  <w:footnote w:id="1">
    <w:p w14:paraId="422DF795" w14:textId="02389421" w:rsidR="008F03F5" w:rsidRPr="00D72227" w:rsidRDefault="008F03F5"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Links v Department of Health, Northern Province</w:t>
      </w:r>
      <w:r w:rsidRPr="00D72227">
        <w:rPr>
          <w:lang w:val="en-US"/>
        </w:rPr>
        <w:t xml:space="preserve"> 2016 (5) SA 414 (CC) (‘</w:t>
      </w:r>
      <w:r w:rsidRPr="00D72227">
        <w:rPr>
          <w:i/>
          <w:iCs/>
          <w:lang w:val="en-US"/>
        </w:rPr>
        <w:t>Links</w:t>
      </w:r>
      <w:r w:rsidRPr="00D72227">
        <w:rPr>
          <w:lang w:val="en-US"/>
        </w:rPr>
        <w:t>’) para</w:t>
      </w:r>
      <w:r w:rsidR="00645770" w:rsidRPr="00D72227">
        <w:rPr>
          <w:lang w:val="en-US"/>
        </w:rPr>
        <w:t>s</w:t>
      </w:r>
      <w:r w:rsidRPr="00D72227">
        <w:rPr>
          <w:lang w:val="en-US"/>
        </w:rPr>
        <w:t xml:space="preserve"> 42</w:t>
      </w:r>
      <w:r w:rsidR="00645770" w:rsidRPr="00D72227">
        <w:rPr>
          <w:lang w:val="en-US"/>
        </w:rPr>
        <w:t>, 45</w:t>
      </w:r>
      <w:r w:rsidRPr="00D72227">
        <w:rPr>
          <w:lang w:val="en-US"/>
        </w:rPr>
        <w:t>: ‘Until there are reasonable grounds for suspecting fault so as to cause the plaintiff to seek further advice, the claimant cannot be said to have knowledge of the facts from which the debt arises</w:t>
      </w:r>
      <w:r w:rsidR="00645770" w:rsidRPr="00D72227">
        <w:rPr>
          <w:lang w:val="en-US"/>
        </w:rPr>
        <w:t xml:space="preserve"> … Until the applicant had knowledge of facts that would have led him to think that possibly there had been negligence and that this had caused his disability, he lacked knowledge of the necessary facts contemplated in s 12(3).’</w:t>
      </w:r>
    </w:p>
  </w:footnote>
  <w:footnote w:id="2">
    <w:p w14:paraId="7E3B4F29" w14:textId="6C7CE7F8" w:rsidR="00935447" w:rsidRPr="00D72227" w:rsidRDefault="00935447"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The particulars of claim detail the allegedly negligent treatment as follows:</w:t>
      </w:r>
    </w:p>
    <w:p w14:paraId="4458D806" w14:textId="77777777" w:rsidR="00935447" w:rsidRPr="00D72227" w:rsidRDefault="00935447" w:rsidP="00D72227">
      <w:pPr>
        <w:pStyle w:val="FootnoteText"/>
        <w:spacing w:line="240" w:lineRule="auto"/>
        <w:ind w:left="720" w:hanging="720"/>
        <w:jc w:val="both"/>
        <w:rPr>
          <w:lang w:val="en-US"/>
        </w:rPr>
      </w:pPr>
      <w:r w:rsidRPr="00D72227">
        <w:rPr>
          <w:lang w:val="en-US"/>
        </w:rPr>
        <w:t>’13.1</w:t>
      </w:r>
      <w:r w:rsidRPr="00D72227">
        <w:rPr>
          <w:lang w:val="en-US"/>
        </w:rPr>
        <w:tab/>
        <w:t xml:space="preserve">The treatment rendered and / or, alternatively, surgical procedure performed by the defendant was completely inadequate in that: - </w:t>
      </w:r>
    </w:p>
    <w:p w14:paraId="1F642909" w14:textId="77777777" w:rsidR="00935447" w:rsidRPr="00D72227" w:rsidRDefault="00935447" w:rsidP="00D72227">
      <w:pPr>
        <w:pStyle w:val="FootnoteText"/>
        <w:spacing w:line="240" w:lineRule="auto"/>
        <w:jc w:val="both"/>
        <w:rPr>
          <w:lang w:val="en-US"/>
        </w:rPr>
      </w:pPr>
      <w:r w:rsidRPr="00D72227">
        <w:rPr>
          <w:lang w:val="en-US"/>
        </w:rPr>
        <w:tab/>
        <w:t>13.1.1</w:t>
      </w:r>
      <w:r w:rsidRPr="00D72227">
        <w:rPr>
          <w:lang w:val="en-US"/>
        </w:rPr>
        <w:tab/>
        <w:t>The [Kuntscher] nail [used to stabilize a femoral fracture] was too thin;</w:t>
      </w:r>
    </w:p>
    <w:p w14:paraId="6087035A" w14:textId="77777777" w:rsidR="00935447" w:rsidRPr="00D72227" w:rsidRDefault="00935447" w:rsidP="00D72227">
      <w:pPr>
        <w:pStyle w:val="FootnoteText"/>
        <w:spacing w:line="240" w:lineRule="auto"/>
        <w:jc w:val="both"/>
        <w:rPr>
          <w:lang w:val="en-US"/>
        </w:rPr>
      </w:pPr>
      <w:r w:rsidRPr="00D72227">
        <w:rPr>
          <w:lang w:val="en-US"/>
        </w:rPr>
        <w:tab/>
        <w:t>13.1.2</w:t>
      </w:r>
      <w:r w:rsidRPr="00D72227">
        <w:rPr>
          <w:lang w:val="en-US"/>
        </w:rPr>
        <w:tab/>
        <w:t>The nail was too short;</w:t>
      </w:r>
    </w:p>
    <w:p w14:paraId="36987FAB" w14:textId="77777777" w:rsidR="00935447" w:rsidRPr="00D72227" w:rsidRDefault="00935447" w:rsidP="00D72227">
      <w:pPr>
        <w:pStyle w:val="FootnoteText"/>
        <w:spacing w:line="240" w:lineRule="auto"/>
        <w:jc w:val="both"/>
        <w:rPr>
          <w:lang w:val="en-US"/>
        </w:rPr>
      </w:pPr>
      <w:r w:rsidRPr="00D72227">
        <w:rPr>
          <w:lang w:val="en-US"/>
        </w:rPr>
        <w:tab/>
        <w:t>13.1.3</w:t>
      </w:r>
      <w:r w:rsidRPr="00D72227">
        <w:rPr>
          <w:lang w:val="en-US"/>
        </w:rPr>
        <w:tab/>
        <w:t>The nail was not inserted deep enough;</w:t>
      </w:r>
    </w:p>
    <w:p w14:paraId="13669326" w14:textId="77777777" w:rsidR="00935447" w:rsidRPr="00D72227" w:rsidRDefault="00935447" w:rsidP="00D72227">
      <w:pPr>
        <w:pStyle w:val="FootnoteText"/>
        <w:spacing w:line="240" w:lineRule="auto"/>
        <w:jc w:val="both"/>
        <w:rPr>
          <w:lang w:val="en-US"/>
        </w:rPr>
      </w:pPr>
      <w:r w:rsidRPr="00D72227">
        <w:rPr>
          <w:lang w:val="en-US"/>
        </w:rPr>
        <w:tab/>
        <w:t>13.1.4</w:t>
      </w:r>
      <w:r w:rsidRPr="00D72227">
        <w:rPr>
          <w:lang w:val="en-US"/>
        </w:rPr>
        <w:tab/>
        <w:t>Image intensification was not utilised when the nail was inserted;</w:t>
      </w:r>
    </w:p>
    <w:p w14:paraId="6127CBFB" w14:textId="77777777" w:rsidR="00935447" w:rsidRPr="00D72227" w:rsidRDefault="00935447" w:rsidP="00D72227">
      <w:pPr>
        <w:pStyle w:val="FootnoteText"/>
        <w:spacing w:line="240" w:lineRule="auto"/>
        <w:ind w:left="720" w:hanging="720"/>
        <w:jc w:val="both"/>
        <w:rPr>
          <w:lang w:val="en-US"/>
        </w:rPr>
      </w:pPr>
      <w:r w:rsidRPr="00D72227">
        <w:rPr>
          <w:lang w:val="en-US"/>
        </w:rPr>
        <w:t>13.2</w:t>
      </w:r>
      <w:r w:rsidRPr="00D72227">
        <w:rPr>
          <w:lang w:val="en-US"/>
        </w:rPr>
        <w:tab/>
        <w:t>The defendant rendered the treatment and / or performed the surgery incorrectly as a wrong intramedullary device was utilised;</w:t>
      </w:r>
    </w:p>
    <w:p w14:paraId="4EC93858" w14:textId="77777777" w:rsidR="00935447" w:rsidRPr="00D72227" w:rsidRDefault="00935447" w:rsidP="00D72227">
      <w:pPr>
        <w:pStyle w:val="FootnoteText"/>
        <w:spacing w:line="240" w:lineRule="auto"/>
        <w:ind w:left="720" w:hanging="720"/>
        <w:jc w:val="both"/>
        <w:rPr>
          <w:lang w:val="en-US"/>
        </w:rPr>
      </w:pPr>
      <w:r w:rsidRPr="00D72227">
        <w:rPr>
          <w:lang w:val="en-US"/>
        </w:rPr>
        <w:t>13.3</w:t>
      </w:r>
      <w:r w:rsidRPr="00D72227">
        <w:rPr>
          <w:lang w:val="en-US"/>
        </w:rPr>
        <w:tab/>
        <w:t>The defendant rendered the treatment and / or performed the surgery without doing the necessary investigations;</w:t>
      </w:r>
    </w:p>
    <w:p w14:paraId="188371D8" w14:textId="77777777" w:rsidR="00935447" w:rsidRPr="00D72227" w:rsidRDefault="00935447" w:rsidP="00D72227">
      <w:pPr>
        <w:pStyle w:val="FootnoteText"/>
        <w:spacing w:line="240" w:lineRule="auto"/>
        <w:ind w:left="720" w:hanging="720"/>
        <w:jc w:val="both"/>
        <w:rPr>
          <w:lang w:val="en-US"/>
        </w:rPr>
      </w:pPr>
      <w:r w:rsidRPr="00D72227">
        <w:rPr>
          <w:lang w:val="en-US"/>
        </w:rPr>
        <w:t>13.4</w:t>
      </w:r>
      <w:r w:rsidRPr="00D72227">
        <w:rPr>
          <w:lang w:val="en-US"/>
        </w:rPr>
        <w:tab/>
        <w:t>The defendant rendered the treatment and / or performed the surgery without the plaintiff’s properly informed consent;</w:t>
      </w:r>
    </w:p>
    <w:p w14:paraId="05B33833" w14:textId="77777777" w:rsidR="00935447" w:rsidRPr="00D72227" w:rsidRDefault="00935447" w:rsidP="00D72227">
      <w:pPr>
        <w:pStyle w:val="FootnoteText"/>
        <w:spacing w:line="240" w:lineRule="auto"/>
        <w:ind w:left="720" w:hanging="720"/>
        <w:jc w:val="both"/>
        <w:rPr>
          <w:lang w:val="en-US"/>
        </w:rPr>
      </w:pPr>
      <w:r w:rsidRPr="00D72227">
        <w:rPr>
          <w:lang w:val="en-US"/>
        </w:rPr>
        <w:t>13.5</w:t>
      </w:r>
      <w:r w:rsidRPr="00D72227">
        <w:rPr>
          <w:lang w:val="en-US"/>
        </w:rPr>
        <w:tab/>
        <w:t>The defendant failed to properly investigate the various other advantageous and less damaging treatment options particularly for the type of injuries sustained by the plaintiff;</w:t>
      </w:r>
    </w:p>
    <w:p w14:paraId="477FB001" w14:textId="77777777" w:rsidR="00935447" w:rsidRPr="00D72227" w:rsidRDefault="00935447" w:rsidP="00D72227">
      <w:pPr>
        <w:pStyle w:val="FootnoteText"/>
        <w:spacing w:line="240" w:lineRule="auto"/>
        <w:ind w:left="720" w:hanging="720"/>
        <w:jc w:val="both"/>
        <w:rPr>
          <w:lang w:val="en-US"/>
        </w:rPr>
      </w:pPr>
      <w:r w:rsidRPr="00D72227">
        <w:rPr>
          <w:lang w:val="en-US"/>
        </w:rPr>
        <w:t>13.6</w:t>
      </w:r>
      <w:r w:rsidRPr="00D72227">
        <w:rPr>
          <w:lang w:val="en-US"/>
        </w:rPr>
        <w:tab/>
        <w:t xml:space="preserve">The defendant rendered the treatment and / or performed surgery at a time when interlocking intramedullary nailing of the femoral fracture should have been the treatment of choice for the following reasons: - </w:t>
      </w:r>
    </w:p>
    <w:p w14:paraId="088FE80A" w14:textId="77777777" w:rsidR="00935447" w:rsidRPr="00D72227" w:rsidRDefault="00935447" w:rsidP="00D72227">
      <w:pPr>
        <w:pStyle w:val="FootnoteText"/>
        <w:spacing w:line="240" w:lineRule="auto"/>
        <w:ind w:left="720" w:hanging="720"/>
        <w:jc w:val="both"/>
        <w:rPr>
          <w:lang w:val="en-US"/>
        </w:rPr>
      </w:pPr>
      <w:r w:rsidRPr="00D72227">
        <w:rPr>
          <w:lang w:val="en-US"/>
        </w:rPr>
        <w:tab/>
        <w:t>13.6.1</w:t>
      </w:r>
      <w:r w:rsidRPr="00D72227">
        <w:rPr>
          <w:lang w:val="en-US"/>
        </w:rPr>
        <w:tab/>
        <w:t>By insertion of interlocking screws, a rotational deformity is prevented;</w:t>
      </w:r>
    </w:p>
    <w:p w14:paraId="13C57AA9" w14:textId="77777777" w:rsidR="00935447" w:rsidRPr="00D72227" w:rsidRDefault="00935447" w:rsidP="00D72227">
      <w:pPr>
        <w:pStyle w:val="FootnoteText"/>
        <w:spacing w:line="240" w:lineRule="auto"/>
        <w:ind w:left="720" w:hanging="720"/>
        <w:jc w:val="both"/>
        <w:rPr>
          <w:lang w:val="en-US"/>
        </w:rPr>
      </w:pPr>
      <w:r w:rsidRPr="00D72227">
        <w:rPr>
          <w:lang w:val="en-US"/>
        </w:rPr>
        <w:tab/>
        <w:t>13.6.2</w:t>
      </w:r>
      <w:r w:rsidRPr="00D72227">
        <w:rPr>
          <w:lang w:val="en-US"/>
        </w:rPr>
        <w:tab/>
        <w:t>With a stable interlocking construct leg shortening will not occur;</w:t>
      </w:r>
    </w:p>
    <w:p w14:paraId="19FF739F" w14:textId="77777777" w:rsidR="00935447" w:rsidRPr="00D72227" w:rsidRDefault="00935447" w:rsidP="00D72227">
      <w:pPr>
        <w:pStyle w:val="FootnoteText"/>
        <w:spacing w:line="240" w:lineRule="auto"/>
        <w:ind w:left="1418" w:hanging="698"/>
        <w:jc w:val="both"/>
        <w:rPr>
          <w:lang w:val="en-US"/>
        </w:rPr>
      </w:pPr>
      <w:r w:rsidRPr="00D72227">
        <w:rPr>
          <w:lang w:val="en-US"/>
        </w:rPr>
        <w:t>13.6.3</w:t>
      </w:r>
      <w:r w:rsidRPr="00D72227">
        <w:rPr>
          <w:lang w:val="en-US"/>
        </w:rPr>
        <w:tab/>
        <w:t>The interlocking device is much stronger and will minimise complications such as bending of the nail;</w:t>
      </w:r>
    </w:p>
    <w:p w14:paraId="483FAC3B" w14:textId="61FD7961" w:rsidR="00935447" w:rsidRPr="00D72227" w:rsidRDefault="00935447" w:rsidP="00D72227">
      <w:pPr>
        <w:pStyle w:val="FootnoteText"/>
        <w:spacing w:line="240" w:lineRule="auto"/>
        <w:ind w:left="1418" w:hanging="698"/>
        <w:jc w:val="both"/>
        <w:rPr>
          <w:lang w:val="en-US"/>
        </w:rPr>
      </w:pPr>
      <w:r w:rsidRPr="00D72227">
        <w:rPr>
          <w:lang w:val="en-US"/>
        </w:rPr>
        <w:t>13.6.4</w:t>
      </w:r>
      <w:r w:rsidRPr="00D72227">
        <w:rPr>
          <w:lang w:val="en-US"/>
        </w:rPr>
        <w:tab/>
        <w:t>Insertion of interlocking nail in both the femur and tibia is a long standing and reliable orthopaedic procedure.’</w:t>
      </w:r>
    </w:p>
  </w:footnote>
  <w:footnote w:id="3">
    <w:p w14:paraId="4EFF69B3" w14:textId="4AD29FA2" w:rsidR="0080756C" w:rsidRPr="00D72227" w:rsidRDefault="0080756C" w:rsidP="00D72227">
      <w:pPr>
        <w:pStyle w:val="FootnoteText"/>
        <w:spacing w:line="240" w:lineRule="auto"/>
        <w:jc w:val="both"/>
      </w:pPr>
      <w:r w:rsidRPr="00D72227">
        <w:rPr>
          <w:rStyle w:val="FootnoteReference"/>
        </w:rPr>
        <w:footnoteRef/>
      </w:r>
      <w:r w:rsidRPr="00D72227">
        <w:t xml:space="preserve"> In particular: </w:t>
      </w:r>
    </w:p>
    <w:p w14:paraId="0D42DC20" w14:textId="6EB56D6B" w:rsidR="0080756C" w:rsidRPr="00D72227" w:rsidRDefault="0080756C" w:rsidP="00D72227">
      <w:pPr>
        <w:pStyle w:val="FootnoteText"/>
        <w:spacing w:line="240" w:lineRule="auto"/>
        <w:jc w:val="both"/>
      </w:pPr>
      <w:r w:rsidRPr="00D72227">
        <w:t>‘2.1.1</w:t>
      </w:r>
      <w:r w:rsidRPr="00D72227">
        <w:tab/>
        <w:t>the plaintiff’s alleged claim is a debt that became due by no later than 18 December 2009;</w:t>
      </w:r>
    </w:p>
    <w:p w14:paraId="41338A52" w14:textId="5C8AE325" w:rsidR="0080756C" w:rsidRPr="00D72227" w:rsidRDefault="0080756C" w:rsidP="00D72227">
      <w:pPr>
        <w:pStyle w:val="FootnoteText"/>
        <w:spacing w:line="240" w:lineRule="auto"/>
        <w:ind w:left="720" w:hanging="720"/>
        <w:jc w:val="both"/>
      </w:pPr>
      <w:r w:rsidRPr="00D72227">
        <w:t>2.1.2</w:t>
      </w:r>
      <w:r w:rsidRPr="00D72227">
        <w:tab/>
        <w:t>the plaintiff’s summons and particulars of claim dated 3 June 2018 was served on the defendant on or about 19 July 2018;</w:t>
      </w:r>
    </w:p>
    <w:p w14:paraId="5738EE90" w14:textId="468EF3BF" w:rsidR="0080756C" w:rsidRPr="00D72227" w:rsidRDefault="0080756C" w:rsidP="00D72227">
      <w:pPr>
        <w:pStyle w:val="FootnoteText"/>
        <w:spacing w:line="240" w:lineRule="auto"/>
        <w:ind w:left="720" w:hanging="720"/>
        <w:jc w:val="both"/>
        <w:rPr>
          <w:lang w:val="en-US"/>
        </w:rPr>
      </w:pPr>
      <w:r w:rsidRPr="00D72227">
        <w:rPr>
          <w:lang w:val="en-US"/>
        </w:rPr>
        <w:t>2.1.3</w:t>
      </w:r>
      <w:r w:rsidRPr="00D72227">
        <w:rPr>
          <w:lang w:val="en-US"/>
        </w:rPr>
        <w:tab/>
        <w:t>the plaintiff’s alleged debt for the purposes of his claim has accordingly prescribed by virtue of section 12(1) read with section 11(d) of the Prescription Act 68 of 1969.’</w:t>
      </w:r>
    </w:p>
  </w:footnote>
  <w:footnote w:id="4">
    <w:p w14:paraId="66E03E90" w14:textId="77777777" w:rsidR="00DC6091" w:rsidRPr="00D72227" w:rsidRDefault="00DC6091"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Section 3(2) of the Institution of Legal Proceedings against Certain Organs of State Act, 2002 (Act 40 of 2002).</w:t>
      </w:r>
    </w:p>
  </w:footnote>
  <w:footnote w:id="5">
    <w:p w14:paraId="5A9879D3" w14:textId="7AD21F05" w:rsidR="00D96D93" w:rsidRPr="00D72227" w:rsidRDefault="00D96D93"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Act 68 of 1969.</w:t>
      </w:r>
      <w:r w:rsidR="00A63900" w:rsidRPr="00D72227">
        <w:rPr>
          <w:lang w:val="en-US"/>
        </w:rPr>
        <w:t xml:space="preserve"> </w:t>
      </w:r>
      <w:r w:rsidR="00767EF2" w:rsidRPr="00D72227">
        <w:rPr>
          <w:lang w:val="en-US"/>
        </w:rPr>
        <w:t>Section 12(1) provides that, subject to the provisions of subsections (2), (3) and (4), prescription commences ‘as soon as the debt is due’.</w:t>
      </w:r>
      <w:r w:rsidR="004474E9" w:rsidRPr="00D72227">
        <w:rPr>
          <w:lang w:val="en-US"/>
        </w:rPr>
        <w:t xml:space="preserve"> Section 12(3) reads as follows:</w:t>
      </w:r>
    </w:p>
    <w:p w14:paraId="69FCF7DA" w14:textId="3A75B3FA" w:rsidR="004474E9" w:rsidRPr="00D72227" w:rsidRDefault="004474E9" w:rsidP="00D72227">
      <w:pPr>
        <w:pStyle w:val="FootnoteText"/>
        <w:spacing w:line="240" w:lineRule="auto"/>
        <w:jc w:val="both"/>
        <w:rPr>
          <w:lang w:val="en-US"/>
        </w:rPr>
      </w:pPr>
      <w:r w:rsidRPr="00D72227">
        <w:rPr>
          <w:lang w:val="en-US"/>
        </w:rPr>
        <w:t>‘A debt shall not be deemed to be due until the creditor has knowledge of the identity of the debtor and of the facts from which the debt arises: Provided that a creditor shall be deemed to have such knowledge if he could have acquired it by exercising reasonable care.’</w:t>
      </w:r>
    </w:p>
  </w:footnote>
  <w:footnote w:id="6">
    <w:p w14:paraId="695668CE" w14:textId="05B73619" w:rsidR="001C5058" w:rsidRPr="00D72227" w:rsidRDefault="001C5058"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Given the replication, it may be accepted that, while this may have facilitated the proceedings before the court </w:t>
      </w:r>
      <w:r w:rsidRPr="00D72227">
        <w:rPr>
          <w:i/>
          <w:iCs/>
          <w:lang w:val="en-US"/>
        </w:rPr>
        <w:t>a quo</w:t>
      </w:r>
      <w:r w:rsidRPr="00D72227">
        <w:rPr>
          <w:lang w:val="en-US"/>
        </w:rPr>
        <w:t xml:space="preserve">, there was no obligation on the MEC to file a rejoinder: J Saner </w:t>
      </w:r>
      <w:r w:rsidRPr="00D72227">
        <w:rPr>
          <w:i/>
          <w:iCs/>
          <w:lang w:val="en-US"/>
        </w:rPr>
        <w:t>Prescription in South African Law</w:t>
      </w:r>
      <w:r w:rsidRPr="00D72227">
        <w:rPr>
          <w:lang w:val="en-US"/>
        </w:rPr>
        <w:t xml:space="preserve"> (2022) (LexisNexis) SI 33 at fn 2106, p3-373</w:t>
      </w:r>
      <w:r w:rsidR="00FB2041" w:rsidRPr="00D72227">
        <w:rPr>
          <w:lang w:val="en-US"/>
        </w:rPr>
        <w:t>.</w:t>
      </w:r>
    </w:p>
  </w:footnote>
  <w:footnote w:id="7">
    <w:p w14:paraId="0D0E3E71" w14:textId="3C6B3DF2" w:rsidR="009A14A2" w:rsidRPr="00D72227" w:rsidRDefault="009A14A2"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Dr Osman’s report, accepted by the trial court into evidence, adds that ‘Bedford Hospital recognised that there was a problem post fixation. It was noted that the wrong nail was inserted. He was advised to return for follow up management (sic)’.</w:t>
      </w:r>
    </w:p>
  </w:footnote>
  <w:footnote w:id="8">
    <w:p w14:paraId="3207405C" w14:textId="25847764" w:rsidR="006B7D7B" w:rsidRPr="00D72227" w:rsidRDefault="006B7D7B"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The crux of the finding is reiterated later in the judgment, as follows:</w:t>
      </w:r>
    </w:p>
    <w:p w14:paraId="130B2803" w14:textId="77777777" w:rsidR="006B7D7B" w:rsidRPr="00D72227" w:rsidRDefault="006B7D7B" w:rsidP="00D72227">
      <w:pPr>
        <w:pStyle w:val="ListParagraph"/>
        <w:autoSpaceDE w:val="0"/>
        <w:autoSpaceDN w:val="0"/>
        <w:adjustRightInd w:val="0"/>
        <w:spacing w:line="240" w:lineRule="auto"/>
        <w:ind w:left="0"/>
        <w:jc w:val="both"/>
        <w:rPr>
          <w:sz w:val="20"/>
          <w:szCs w:val="20"/>
          <w:lang w:val="en-GB"/>
        </w:rPr>
      </w:pPr>
      <w:r w:rsidRPr="00D72227">
        <w:rPr>
          <w:sz w:val="20"/>
          <w:szCs w:val="20"/>
          <w:lang w:val="en-GB"/>
        </w:rPr>
        <w:t xml:space="preserve">‘… even assuming I must accept that he was told that there had been “a problem” with the fixation, what about this information or knowledge on his part would have been an indication for him that the staff may have been negligent in carrying out the procedure. Also, the fact of his complications, as obvious as they may have been to him, would not have suggested to him that the treatment administered to him was incorrect or inadequate and most certainly not that the hospital had used a wrong pin that is contraindicated in orthopaedic practice. His situation is similar in my view to </w:t>
      </w:r>
      <w:r w:rsidRPr="00D72227">
        <w:rPr>
          <w:i/>
          <w:iCs/>
          <w:sz w:val="20"/>
          <w:szCs w:val="20"/>
          <w:lang w:val="en-GB"/>
        </w:rPr>
        <w:t>Links</w:t>
      </w:r>
      <w:r w:rsidRPr="00D72227">
        <w:rPr>
          <w:sz w:val="20"/>
          <w:szCs w:val="20"/>
          <w:lang w:val="en-GB"/>
        </w:rPr>
        <w:t xml:space="preserve"> in which the court held that that plaintiff could not reasonably have known, without seeking the opinion of a specialist, that the care administered to him was substandard.’</w:t>
      </w:r>
    </w:p>
    <w:p w14:paraId="1108A0BD" w14:textId="77777777" w:rsidR="006B7D7B" w:rsidRPr="00D72227" w:rsidRDefault="006B7D7B" w:rsidP="00D72227">
      <w:pPr>
        <w:pStyle w:val="FootnoteText"/>
        <w:spacing w:line="240" w:lineRule="auto"/>
        <w:jc w:val="both"/>
        <w:rPr>
          <w:lang w:val="en-US"/>
        </w:rPr>
      </w:pPr>
    </w:p>
  </w:footnote>
  <w:footnote w:id="9">
    <w:p w14:paraId="4281F048" w14:textId="22B1604B" w:rsidR="00FB2851" w:rsidRPr="00D72227" w:rsidRDefault="00FB2851"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A similar argument was considered in </w:t>
      </w:r>
      <w:r w:rsidRPr="00D72227">
        <w:rPr>
          <w:i/>
          <w:iCs/>
          <w:lang w:val="en-US"/>
        </w:rPr>
        <w:t>MEC for Health, Eastern Cape v NH obo A</w:t>
      </w:r>
      <w:r w:rsidRPr="00D72227">
        <w:rPr>
          <w:lang w:val="en-US"/>
        </w:rPr>
        <w:t xml:space="preserve"> [2022] ZASCA 181</w:t>
      </w:r>
      <w:r w:rsidR="00895566" w:rsidRPr="00D72227">
        <w:rPr>
          <w:lang w:val="en-US"/>
        </w:rPr>
        <w:t xml:space="preserve"> (‘</w:t>
      </w:r>
      <w:r w:rsidR="00895566" w:rsidRPr="00D72227">
        <w:rPr>
          <w:i/>
          <w:iCs/>
          <w:lang w:val="en-US"/>
        </w:rPr>
        <w:t>NH</w:t>
      </w:r>
      <w:r w:rsidR="00895566" w:rsidRPr="00D72227">
        <w:rPr>
          <w:lang w:val="en-US"/>
        </w:rPr>
        <w:t>’)</w:t>
      </w:r>
      <w:r w:rsidR="00862482" w:rsidRPr="00D72227">
        <w:rPr>
          <w:lang w:val="en-US"/>
        </w:rPr>
        <w:t xml:space="preserve"> paras 13 and 14.</w:t>
      </w:r>
    </w:p>
  </w:footnote>
  <w:footnote w:id="10">
    <w:p w14:paraId="0C2330C5" w14:textId="2575C620" w:rsidR="00A07C38" w:rsidRPr="00D72227" w:rsidRDefault="00A07C38"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Section 39(2) of the Constitution of the Republic of South Africa, 1996</w:t>
      </w:r>
      <w:r w:rsidR="00BC05FE" w:rsidRPr="00D72227">
        <w:rPr>
          <w:lang w:val="en-US"/>
        </w:rPr>
        <w:t xml:space="preserve"> (‘the Constitution’)</w:t>
      </w:r>
      <w:r w:rsidRPr="00D72227">
        <w:rPr>
          <w:lang w:val="en-US"/>
        </w:rPr>
        <w:t xml:space="preserve">; See </w:t>
      </w:r>
      <w:r w:rsidR="00D2131F" w:rsidRPr="00D72227">
        <w:rPr>
          <w:i/>
          <w:iCs/>
          <w:lang w:val="en-US"/>
        </w:rPr>
        <w:t xml:space="preserve">Links </w:t>
      </w:r>
      <w:r w:rsidR="00EC5933">
        <w:rPr>
          <w:lang w:val="en-US"/>
        </w:rPr>
        <w:t xml:space="preserve">above n 1 </w:t>
      </w:r>
      <w:r w:rsidR="00D2131F" w:rsidRPr="00D72227">
        <w:rPr>
          <w:lang w:val="en-US"/>
        </w:rPr>
        <w:t>para 26</w:t>
      </w:r>
      <w:r w:rsidR="0029350C" w:rsidRPr="00D72227">
        <w:rPr>
          <w:lang w:val="en-US"/>
        </w:rPr>
        <w:t>, highlighting the link with s 34 of the Constitution</w:t>
      </w:r>
      <w:r w:rsidR="00D2131F" w:rsidRPr="00D72227">
        <w:rPr>
          <w:lang w:val="en-US"/>
        </w:rPr>
        <w:t>.</w:t>
      </w:r>
      <w:r w:rsidR="00FE05C0" w:rsidRPr="00D72227">
        <w:rPr>
          <w:lang w:val="en-US"/>
        </w:rPr>
        <w:t xml:space="preserve"> </w:t>
      </w:r>
      <w:r w:rsidR="008D1392" w:rsidRPr="00D72227">
        <w:rPr>
          <w:lang w:val="en-US"/>
        </w:rPr>
        <w:t>On that authority, the appeal implicates both the</w:t>
      </w:r>
      <w:r w:rsidR="00DF1270" w:rsidRPr="00D72227">
        <w:rPr>
          <w:lang w:val="en-US"/>
        </w:rPr>
        <w:t xml:space="preserve"> </w:t>
      </w:r>
      <w:r w:rsidR="00F84277" w:rsidRPr="00D72227">
        <w:rPr>
          <w:lang w:val="en-US"/>
        </w:rPr>
        <w:t>constitutional</w:t>
      </w:r>
      <w:r w:rsidR="008D1392" w:rsidRPr="00D72227">
        <w:rPr>
          <w:lang w:val="en-US"/>
        </w:rPr>
        <w:t xml:space="preserve"> right to have access to court </w:t>
      </w:r>
      <w:r w:rsidR="00DF1270" w:rsidRPr="00D72227">
        <w:rPr>
          <w:lang w:val="en-US"/>
        </w:rPr>
        <w:t>and the right to security of the person</w:t>
      </w:r>
      <w:r w:rsidR="00E22208" w:rsidRPr="00D72227">
        <w:rPr>
          <w:lang w:val="en-US"/>
        </w:rPr>
        <w:t>: para 22.</w:t>
      </w:r>
    </w:p>
  </w:footnote>
  <w:footnote w:id="11">
    <w:p w14:paraId="360AFDB4" w14:textId="19BB6DE2" w:rsidR="006A467B" w:rsidRPr="00D72227" w:rsidRDefault="006A467B" w:rsidP="00D72227">
      <w:pPr>
        <w:pStyle w:val="FootnoteText"/>
        <w:spacing w:line="240" w:lineRule="auto"/>
        <w:jc w:val="both"/>
        <w:rPr>
          <w:lang w:val="en-US"/>
        </w:rPr>
      </w:pPr>
      <w:r w:rsidRPr="00D72227">
        <w:rPr>
          <w:rStyle w:val="FootnoteReference"/>
        </w:rPr>
        <w:footnoteRef/>
      </w:r>
      <w:r w:rsidRPr="00D72227">
        <w:t xml:space="preserve"> </w:t>
      </w:r>
      <w:r w:rsidR="00981063" w:rsidRPr="00D72227">
        <w:rPr>
          <w:i/>
          <w:iCs/>
          <w:lang w:val="en-US"/>
        </w:rPr>
        <w:t xml:space="preserve">Macleod v Kweyiya </w:t>
      </w:r>
      <w:r w:rsidR="00981063" w:rsidRPr="00D72227">
        <w:rPr>
          <w:lang w:val="en-US"/>
        </w:rPr>
        <w:t xml:space="preserve">2013 (6) SA 1 (SCA) </w:t>
      </w:r>
      <w:r w:rsidR="00981063">
        <w:rPr>
          <w:lang w:val="en-US"/>
        </w:rPr>
        <w:t>(‘</w:t>
      </w:r>
      <w:r w:rsidR="00981063">
        <w:rPr>
          <w:i/>
          <w:iCs/>
          <w:lang w:val="en-US"/>
        </w:rPr>
        <w:t>Macleod</w:t>
      </w:r>
      <w:r w:rsidR="00981063">
        <w:rPr>
          <w:lang w:val="en-US"/>
        </w:rPr>
        <w:t>’)</w:t>
      </w:r>
      <w:r w:rsidR="00981063">
        <w:rPr>
          <w:i/>
          <w:iCs/>
          <w:lang w:val="en-US"/>
        </w:rPr>
        <w:t xml:space="preserve"> </w:t>
      </w:r>
      <w:r w:rsidRPr="00D72227">
        <w:rPr>
          <w:lang w:val="en-US"/>
        </w:rPr>
        <w:t>para 13.</w:t>
      </w:r>
    </w:p>
  </w:footnote>
  <w:footnote w:id="12">
    <w:p w14:paraId="0BF97904" w14:textId="563C2FD6" w:rsidR="001F0422" w:rsidRPr="00D72227" w:rsidRDefault="001F0422" w:rsidP="00D72227">
      <w:pPr>
        <w:pStyle w:val="FootnoteText"/>
        <w:spacing w:line="240" w:lineRule="auto"/>
        <w:jc w:val="both"/>
        <w:rPr>
          <w:lang w:val="en-US"/>
        </w:rPr>
      </w:pPr>
      <w:r w:rsidRPr="00D72227">
        <w:rPr>
          <w:rStyle w:val="FootnoteReference"/>
        </w:rPr>
        <w:footnoteRef/>
      </w:r>
      <w:r w:rsidRPr="00D72227">
        <w:t xml:space="preserve"> </w:t>
      </w:r>
      <w:r w:rsidR="003B5DB8">
        <w:t xml:space="preserve">See the judgment of Van Zyl DJP in </w:t>
      </w:r>
      <w:r w:rsidR="007E65B4" w:rsidRPr="00D72227">
        <w:rPr>
          <w:i/>
          <w:iCs/>
          <w:lang w:val="en-US"/>
        </w:rPr>
        <w:t>Minister of Police</w:t>
      </w:r>
      <w:r w:rsidR="00E91B37">
        <w:rPr>
          <w:i/>
          <w:iCs/>
          <w:lang w:val="en-US"/>
        </w:rPr>
        <w:t xml:space="preserve"> v Zamani</w:t>
      </w:r>
      <w:r w:rsidR="007E65B4" w:rsidRPr="00D72227">
        <w:rPr>
          <w:lang w:val="en-US"/>
        </w:rPr>
        <w:t xml:space="preserve"> [2021] ZAECBHC 41 (‘</w:t>
      </w:r>
      <w:r w:rsidR="007E65B4" w:rsidRPr="00D72227">
        <w:rPr>
          <w:i/>
          <w:iCs/>
          <w:lang w:val="en-US"/>
        </w:rPr>
        <w:t>Zamani</w:t>
      </w:r>
      <w:r w:rsidR="007E65B4" w:rsidRPr="00D72227">
        <w:rPr>
          <w:lang w:val="en-US"/>
        </w:rPr>
        <w:t xml:space="preserve">’) </w:t>
      </w:r>
      <w:r w:rsidRPr="00D72227">
        <w:rPr>
          <w:lang w:val="en-US"/>
        </w:rPr>
        <w:t>para 8.</w:t>
      </w:r>
    </w:p>
  </w:footnote>
  <w:footnote w:id="13">
    <w:p w14:paraId="5FECD8FC" w14:textId="1901F6EC" w:rsidR="000F7BB4" w:rsidRPr="00D72227" w:rsidRDefault="000F7BB4"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Gericke v Sack</w:t>
      </w:r>
      <w:r w:rsidRPr="00D72227">
        <w:rPr>
          <w:lang w:val="en-US"/>
        </w:rPr>
        <w:t xml:space="preserve"> 1978 (1) SA 821 (A) </w:t>
      </w:r>
      <w:r w:rsidR="00F82E06">
        <w:rPr>
          <w:lang w:val="en-US"/>
        </w:rPr>
        <w:t>(‘</w:t>
      </w:r>
      <w:r w:rsidR="00F82E06">
        <w:rPr>
          <w:i/>
          <w:iCs/>
          <w:lang w:val="en-US"/>
        </w:rPr>
        <w:t>Gericke</w:t>
      </w:r>
      <w:r w:rsidR="00F82E06">
        <w:rPr>
          <w:lang w:val="en-US"/>
        </w:rPr>
        <w:t>’)</w:t>
      </w:r>
      <w:r w:rsidR="00F82E06">
        <w:rPr>
          <w:i/>
          <w:iCs/>
          <w:lang w:val="en-US"/>
        </w:rPr>
        <w:t xml:space="preserve"> </w:t>
      </w:r>
      <w:r w:rsidRPr="00D72227">
        <w:rPr>
          <w:lang w:val="en-US"/>
        </w:rPr>
        <w:t>at 826H – 827D.</w:t>
      </w:r>
    </w:p>
  </w:footnote>
  <w:footnote w:id="14">
    <w:p w14:paraId="62FF28A0" w14:textId="5D394786"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002E60A3" w:rsidRPr="002E60A3">
        <w:rPr>
          <w:lang w:val="en-US"/>
        </w:rPr>
        <w:t>Ibid</w:t>
      </w:r>
      <w:r w:rsidR="002E60A3">
        <w:rPr>
          <w:i/>
          <w:iCs/>
          <w:lang w:val="en-US"/>
        </w:rPr>
        <w:t xml:space="preserve"> </w:t>
      </w:r>
      <w:r w:rsidRPr="00D72227">
        <w:rPr>
          <w:lang w:val="en-US"/>
        </w:rPr>
        <w:t>at 827H-828B: “It was the respondent who challenged the appellant on the issue that the claim of damages was prescribed – this he did by way of special plea five months after the plea on the merits had been filed. The onus was clearly on the respondent to establish this defence. He could not succeed if he could not prove both the date of the inception and the date of completion of the period of prescription … It follows that if the debtor is to succeed in proving the date on which prescription begins to run he must allege and prove that the creditor had the requisite knowledge on that date. The fact that the appellant has alleged since her replication that she learned the respondent’s identity only on 17 February 1971 does not relieve the respondent of the task of proving that she acquired that knowledge on 13 February 1971 – the date on which he relies.’</w:t>
      </w:r>
    </w:p>
  </w:footnote>
  <w:footnote w:id="15">
    <w:p w14:paraId="71C66BFF" w14:textId="31B41332"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i/>
          <w:iCs/>
        </w:rPr>
        <w:t>Links</w:t>
      </w:r>
      <w:r w:rsidR="000F3130">
        <w:t xml:space="preserve"> above n 1</w:t>
      </w:r>
      <w:r w:rsidR="002E4AD9">
        <w:t xml:space="preserve"> para 24</w:t>
      </w:r>
      <w:r w:rsidRPr="00D72227">
        <w:t>.</w:t>
      </w:r>
    </w:p>
  </w:footnote>
  <w:footnote w:id="16">
    <w:p w14:paraId="642A08BA" w14:textId="34E287B5"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Pr="00D72227">
        <w:rPr>
          <w:i/>
          <w:iCs/>
          <w:lang w:val="en-US"/>
        </w:rPr>
        <w:t>WK Construction (Pty) Ltd v Moores Rowland and Others</w:t>
      </w:r>
      <w:r w:rsidRPr="00D72227">
        <w:rPr>
          <w:lang w:val="en-US"/>
        </w:rPr>
        <w:t xml:space="preserve"> [2022] ZASCA 44; [2022] 2 All SA 751 (SCA) </w:t>
      </w:r>
      <w:r w:rsidR="00224B6B">
        <w:rPr>
          <w:lang w:val="en-US"/>
        </w:rPr>
        <w:t>(‘</w:t>
      </w:r>
      <w:r w:rsidR="00224B6B">
        <w:rPr>
          <w:i/>
          <w:iCs/>
          <w:lang w:val="en-US"/>
        </w:rPr>
        <w:t>WK Construction</w:t>
      </w:r>
      <w:r w:rsidR="00224B6B">
        <w:rPr>
          <w:lang w:val="en-US"/>
        </w:rPr>
        <w:t>’)</w:t>
      </w:r>
      <w:r w:rsidR="00224B6B">
        <w:rPr>
          <w:i/>
          <w:iCs/>
          <w:lang w:val="en-US"/>
        </w:rPr>
        <w:t xml:space="preserve"> </w:t>
      </w:r>
      <w:r w:rsidRPr="00D72227">
        <w:rPr>
          <w:lang w:val="en-US"/>
        </w:rPr>
        <w:t>para 37.</w:t>
      </w:r>
    </w:p>
  </w:footnote>
  <w:footnote w:id="17">
    <w:p w14:paraId="3B9DA169" w14:textId="026A481E"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for example, </w:t>
      </w:r>
      <w:r w:rsidRPr="00D72227">
        <w:rPr>
          <w:i/>
          <w:iCs/>
          <w:lang w:val="en-US"/>
        </w:rPr>
        <w:t>Greater Tzaneen Municipality v Bravospan 252 CC</w:t>
      </w:r>
      <w:r w:rsidRPr="00D72227">
        <w:rPr>
          <w:lang w:val="en-US"/>
        </w:rPr>
        <w:t xml:space="preserve"> [2022] ZASCA 155 (‘</w:t>
      </w:r>
      <w:r w:rsidRPr="00D72227">
        <w:rPr>
          <w:i/>
          <w:iCs/>
          <w:lang w:val="en-US"/>
        </w:rPr>
        <w:t>Greater Tzaneen Municipality</w:t>
      </w:r>
      <w:r w:rsidRPr="00D72227">
        <w:rPr>
          <w:lang w:val="en-US"/>
        </w:rPr>
        <w:t>’)</w:t>
      </w:r>
      <w:r w:rsidRPr="00D72227">
        <w:rPr>
          <w:i/>
          <w:iCs/>
          <w:lang w:val="en-US"/>
        </w:rPr>
        <w:t xml:space="preserve"> </w:t>
      </w:r>
      <w:r w:rsidRPr="00D72227">
        <w:rPr>
          <w:lang w:val="en-US"/>
        </w:rPr>
        <w:t xml:space="preserve">para 13; </w:t>
      </w:r>
      <w:r w:rsidRPr="00D72227">
        <w:rPr>
          <w:i/>
          <w:iCs/>
          <w:lang w:val="en-US"/>
        </w:rPr>
        <w:t>Lancelot Stellenbosch Mountain Retreat v Gore NO</w:t>
      </w:r>
      <w:r w:rsidRPr="00D72227">
        <w:rPr>
          <w:lang w:val="en-US"/>
        </w:rPr>
        <w:t xml:space="preserve"> [2015] ZASCA 37 para 12. In </w:t>
      </w:r>
      <w:r w:rsidRPr="00D72227">
        <w:rPr>
          <w:i/>
          <w:iCs/>
          <w:lang w:val="en-US"/>
        </w:rPr>
        <w:t xml:space="preserve">Brits v Kommandantsdrift CC and Others </w:t>
      </w:r>
      <w:r w:rsidRPr="00D72227">
        <w:rPr>
          <w:lang w:val="en-US"/>
        </w:rPr>
        <w:t xml:space="preserve">[2022] ZASCA 41 para 17, the SCA framed the position as follows: ‘Thus, it fell upon Brits to allege and prove the date upon which Meyer Jnr, on behalf of the CC, became aware of the facts that underpinned its claim, as well as the identity of the debtor. Alternatively, Brits had to prove the date on which the CC would have acquired the relevant knowledge had it exercised reasonable care.’  Cf </w:t>
      </w:r>
      <w:r w:rsidRPr="00D72227">
        <w:rPr>
          <w:i/>
          <w:iCs/>
          <w:lang w:val="en-US"/>
        </w:rPr>
        <w:t xml:space="preserve">WK Construction </w:t>
      </w:r>
      <w:r w:rsidR="004115E8">
        <w:rPr>
          <w:lang w:val="en-US"/>
        </w:rPr>
        <w:t xml:space="preserve">above n 16 </w:t>
      </w:r>
      <w:r w:rsidRPr="00D72227">
        <w:rPr>
          <w:lang w:val="en-US"/>
        </w:rPr>
        <w:t>para 5.</w:t>
      </w:r>
    </w:p>
  </w:footnote>
  <w:footnote w:id="18">
    <w:p w14:paraId="29460AD1" w14:textId="38B2C3DE"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Greater</w:t>
      </w:r>
      <w:r w:rsidRPr="00D72227">
        <w:rPr>
          <w:lang w:val="en-US"/>
        </w:rPr>
        <w:t xml:space="preserve"> </w:t>
      </w:r>
      <w:r w:rsidRPr="00D72227">
        <w:rPr>
          <w:i/>
          <w:iCs/>
          <w:lang w:val="en-US"/>
        </w:rPr>
        <w:t xml:space="preserve">Tzaneen Municipality </w:t>
      </w:r>
      <w:r w:rsidR="00004057">
        <w:rPr>
          <w:lang w:val="en-US"/>
        </w:rPr>
        <w:t xml:space="preserve">above n 17 </w:t>
      </w:r>
      <w:r w:rsidRPr="00D72227">
        <w:rPr>
          <w:lang w:val="en-US"/>
        </w:rPr>
        <w:t>para 14: the municipality failed to prove that prescription had commenced on the pleaded date and was not permitted to advance a different case on appeal.</w:t>
      </w:r>
    </w:p>
  </w:footnote>
  <w:footnote w:id="19">
    <w:p w14:paraId="7F19CD50" w14:textId="77777777"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Links v MEC, Department of Health, Northern Cape Province</w:t>
      </w:r>
      <w:r w:rsidRPr="00D72227">
        <w:rPr>
          <w:lang w:val="en-US"/>
        </w:rPr>
        <w:t xml:space="preserve"> [2013] ZANCHC 26.</w:t>
      </w:r>
    </w:p>
  </w:footnote>
  <w:footnote w:id="20">
    <w:p w14:paraId="1BE66AA7" w14:textId="352310D7"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 xml:space="preserve">Links </w:t>
      </w:r>
      <w:r w:rsidRPr="00D72227">
        <w:rPr>
          <w:lang w:val="en-US"/>
        </w:rPr>
        <w:t xml:space="preserve">above n </w:t>
      </w:r>
      <w:r w:rsidR="00240BAF">
        <w:rPr>
          <w:lang w:val="en-US"/>
        </w:rPr>
        <w:t>1</w:t>
      </w:r>
      <w:r w:rsidRPr="00D72227">
        <w:rPr>
          <w:lang w:val="en-US"/>
        </w:rPr>
        <w:t xml:space="preserve"> paras 4, 41. </w:t>
      </w:r>
    </w:p>
  </w:footnote>
  <w:footnote w:id="21">
    <w:p w14:paraId="7196546B" w14:textId="333D7751"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Links</w:t>
      </w:r>
      <w:r w:rsidRPr="00D72227">
        <w:rPr>
          <w:lang w:val="en-US"/>
        </w:rPr>
        <w:t xml:space="preserve"> above n </w:t>
      </w:r>
      <w:r w:rsidR="00240BAF">
        <w:rPr>
          <w:lang w:val="en-US"/>
        </w:rPr>
        <w:t>1</w:t>
      </w:r>
      <w:r w:rsidRPr="00D72227">
        <w:rPr>
          <w:lang w:val="en-US"/>
        </w:rPr>
        <w:t xml:space="preserve"> para 44. It is trite that affidavits in motion proceedings constitute both the pleadings and the evidence: </w:t>
      </w:r>
      <w:r w:rsidRPr="00D72227">
        <w:rPr>
          <w:i/>
          <w:iCs/>
          <w:lang w:val="en-US"/>
        </w:rPr>
        <w:t>Minister of Land Affairs and Agriculture v D &amp; F Wevell Trust</w:t>
      </w:r>
      <w:r w:rsidRPr="00D72227">
        <w:rPr>
          <w:lang w:val="en-US"/>
        </w:rPr>
        <w:t xml:space="preserve"> 2008 (2) SA 184 (SCA) para 43.</w:t>
      </w:r>
    </w:p>
  </w:footnote>
  <w:footnote w:id="22">
    <w:p w14:paraId="2F317F37" w14:textId="6229D315" w:rsidR="0000151B" w:rsidRPr="00D72227" w:rsidRDefault="0000151B"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This approach was adopted in </w:t>
      </w:r>
      <w:r w:rsidRPr="00D72227">
        <w:rPr>
          <w:i/>
          <w:iCs/>
          <w:lang w:val="en-US"/>
        </w:rPr>
        <w:t>NH</w:t>
      </w:r>
      <w:r w:rsidRPr="00D72227">
        <w:rPr>
          <w:lang w:val="en-US"/>
        </w:rPr>
        <w:t xml:space="preserve"> above n </w:t>
      </w:r>
      <w:r w:rsidR="00916837">
        <w:rPr>
          <w:lang w:val="en-US"/>
        </w:rPr>
        <w:t xml:space="preserve">9 </w:t>
      </w:r>
      <w:r w:rsidRPr="00D72227">
        <w:rPr>
          <w:lang w:val="en-US"/>
        </w:rPr>
        <w:t>para 19.</w:t>
      </w:r>
    </w:p>
  </w:footnote>
  <w:footnote w:id="23">
    <w:p w14:paraId="4E04515C" w14:textId="3B24A8F3" w:rsidR="0005314E" w:rsidRPr="00D72227" w:rsidRDefault="0005314E"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Truter and Another v Deysel</w:t>
      </w:r>
      <w:r w:rsidRPr="00D72227">
        <w:rPr>
          <w:lang w:val="en-US"/>
        </w:rPr>
        <w:t xml:space="preserve"> 2006 (4) SA 168 (SCA) </w:t>
      </w:r>
      <w:r w:rsidR="00B54169">
        <w:rPr>
          <w:lang w:val="en-US"/>
        </w:rPr>
        <w:t>(‘</w:t>
      </w:r>
      <w:r w:rsidR="00B54169">
        <w:rPr>
          <w:i/>
          <w:iCs/>
          <w:lang w:val="en-US"/>
        </w:rPr>
        <w:t>Truter</w:t>
      </w:r>
      <w:r w:rsidR="00B54169">
        <w:rPr>
          <w:lang w:val="en-US"/>
        </w:rPr>
        <w:t>’)</w:t>
      </w:r>
      <w:r w:rsidR="00B54169">
        <w:rPr>
          <w:i/>
          <w:iCs/>
          <w:lang w:val="en-US"/>
        </w:rPr>
        <w:t xml:space="preserve"> </w:t>
      </w:r>
      <w:r w:rsidRPr="00D72227">
        <w:rPr>
          <w:lang w:val="en-US"/>
        </w:rPr>
        <w:t>para 16.</w:t>
      </w:r>
    </w:p>
  </w:footnote>
  <w:footnote w:id="24">
    <w:p w14:paraId="3C5C6C1F" w14:textId="682CF9A3" w:rsidR="0005159D" w:rsidRPr="00916837" w:rsidRDefault="0005159D" w:rsidP="00D72227">
      <w:pPr>
        <w:pStyle w:val="FootnoteText"/>
        <w:spacing w:line="240" w:lineRule="auto"/>
        <w:jc w:val="both"/>
        <w:rPr>
          <w:lang w:val="en-US"/>
        </w:rPr>
      </w:pPr>
      <w:r w:rsidRPr="00D72227">
        <w:rPr>
          <w:rStyle w:val="FootnoteReference"/>
        </w:rPr>
        <w:footnoteRef/>
      </w:r>
      <w:r w:rsidRPr="00D72227">
        <w:t xml:space="preserve"> </w:t>
      </w:r>
      <w:r w:rsidR="00916837">
        <w:rPr>
          <w:lang w:val="en-US"/>
        </w:rPr>
        <w:t>Ibid.</w:t>
      </w:r>
    </w:p>
  </w:footnote>
  <w:footnote w:id="25">
    <w:p w14:paraId="0258EC6B" w14:textId="48F90D24" w:rsidR="008B240D" w:rsidRPr="00D72227" w:rsidRDefault="008B240D"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Pr="00D72227">
        <w:rPr>
          <w:i/>
          <w:iCs/>
          <w:lang w:val="en-US"/>
        </w:rPr>
        <w:t>Links</w:t>
      </w:r>
      <w:r w:rsidRPr="00D72227">
        <w:rPr>
          <w:lang w:val="en-US"/>
        </w:rPr>
        <w:t xml:space="preserve"> above n </w:t>
      </w:r>
      <w:r w:rsidR="009D11FF">
        <w:rPr>
          <w:lang w:val="en-US"/>
        </w:rPr>
        <w:t>1</w:t>
      </w:r>
      <w:r w:rsidRPr="00D72227">
        <w:rPr>
          <w:lang w:val="en-US"/>
        </w:rPr>
        <w:t xml:space="preserve"> para 32 and following and the authorities cited. In the case of an Aquilian action for damages for bodily injury, the basic ingredients of the cause of action are a wrongful act by the defendant causing bodily injury; fault and loss to the plaintiff’s patrimony, caused by the bodily injury: </w:t>
      </w:r>
      <w:r w:rsidRPr="00D72227">
        <w:rPr>
          <w:i/>
          <w:iCs/>
          <w:lang w:val="en-US"/>
        </w:rPr>
        <w:t>Evins v Shield Insurance Co Ltd</w:t>
      </w:r>
      <w:r w:rsidRPr="00D72227">
        <w:rPr>
          <w:lang w:val="en-US"/>
        </w:rPr>
        <w:t xml:space="preserve"> 1980 (2) SA 814 (A) at 838H – 839A.</w:t>
      </w:r>
      <w:r w:rsidR="00D265DE" w:rsidRPr="00D72227">
        <w:rPr>
          <w:lang w:val="en-US"/>
        </w:rPr>
        <w:t xml:space="preserve"> The material combination of facts are those that would enable a court to arrive at legal conclusions regarding the constituent elements of a delictual cause of action: </w:t>
      </w:r>
      <w:r w:rsidR="00D265DE" w:rsidRPr="00D72227">
        <w:rPr>
          <w:i/>
          <w:iCs/>
          <w:lang w:val="en-US"/>
        </w:rPr>
        <w:t>Truter</w:t>
      </w:r>
      <w:r w:rsidR="00D265DE" w:rsidRPr="00D72227">
        <w:rPr>
          <w:lang w:val="en-US"/>
        </w:rPr>
        <w:t xml:space="preserve"> above n </w:t>
      </w:r>
      <w:r w:rsidR="00347616">
        <w:rPr>
          <w:lang w:val="en-US"/>
        </w:rPr>
        <w:t>23</w:t>
      </w:r>
      <w:r w:rsidR="00D265DE" w:rsidRPr="00D72227">
        <w:rPr>
          <w:lang w:val="en-US"/>
        </w:rPr>
        <w:t xml:space="preserve"> para 17</w:t>
      </w:r>
      <w:r w:rsidR="00B312BA" w:rsidRPr="00D72227">
        <w:rPr>
          <w:lang w:val="en-US"/>
        </w:rPr>
        <w:t xml:space="preserve"> and the authorities cited.</w:t>
      </w:r>
    </w:p>
  </w:footnote>
  <w:footnote w:id="26">
    <w:p w14:paraId="28726CA9" w14:textId="04BFE814" w:rsidR="008B240D" w:rsidRPr="00D72227" w:rsidRDefault="008B240D"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Minister of Finance and Others v Gore NO</w:t>
      </w:r>
      <w:r w:rsidRPr="00D72227">
        <w:rPr>
          <w:lang w:val="en-US"/>
        </w:rPr>
        <w:t xml:space="preserve"> 2007 (1) SA 111 (SCA)</w:t>
      </w:r>
      <w:r w:rsidR="00523756">
        <w:rPr>
          <w:lang w:val="en-US"/>
        </w:rPr>
        <w:t xml:space="preserve"> (‘</w:t>
      </w:r>
      <w:r w:rsidR="00523756">
        <w:rPr>
          <w:i/>
          <w:iCs/>
          <w:lang w:val="en-US"/>
        </w:rPr>
        <w:t>Gore</w:t>
      </w:r>
      <w:r w:rsidR="00523756">
        <w:rPr>
          <w:lang w:val="en-US"/>
        </w:rPr>
        <w:t>’)</w:t>
      </w:r>
      <w:r w:rsidRPr="00D72227">
        <w:rPr>
          <w:lang w:val="en-US"/>
        </w:rPr>
        <w:t xml:space="preserve"> para 17.</w:t>
      </w:r>
      <w:r w:rsidR="00E26DAC" w:rsidRPr="00D72227">
        <w:rPr>
          <w:lang w:val="en-US"/>
        </w:rPr>
        <w:t xml:space="preserve"> The running of prescription is not postponed until such time as the creditor is in a position to prove their case ‘comfortably’ or to have certainty regarding the legal position and the debtor’s obligations. </w:t>
      </w:r>
    </w:p>
  </w:footnote>
  <w:footnote w:id="27">
    <w:p w14:paraId="48BF542E" w14:textId="77777777" w:rsidR="008B240D" w:rsidRPr="00D72227" w:rsidRDefault="008B240D"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McKenzie v Farmers’ Co-operative Meat Industries Ltd</w:t>
      </w:r>
      <w:r w:rsidRPr="00D72227">
        <w:rPr>
          <w:lang w:val="en-US"/>
        </w:rPr>
        <w:t xml:space="preserve"> 1922 AD 16 at 23. A complete cause of action does not comprise every piece of evidence which is necessary to prove each fact, but every fact which is necessary to be proved.</w:t>
      </w:r>
    </w:p>
  </w:footnote>
  <w:footnote w:id="28">
    <w:p w14:paraId="518487BC" w14:textId="397D7FFB" w:rsidR="00DE559C" w:rsidRPr="00D72227" w:rsidRDefault="00DE559C"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 xml:space="preserve">Truter </w:t>
      </w:r>
      <w:r w:rsidR="00BE273B">
        <w:rPr>
          <w:lang w:val="en-US"/>
        </w:rPr>
        <w:t>above n 23</w:t>
      </w:r>
      <w:r w:rsidRPr="00D72227">
        <w:rPr>
          <w:i/>
          <w:iCs/>
          <w:lang w:val="en-US"/>
        </w:rPr>
        <w:t xml:space="preserve"> </w:t>
      </w:r>
      <w:r w:rsidRPr="00D72227">
        <w:rPr>
          <w:lang w:val="en-US"/>
        </w:rPr>
        <w:t xml:space="preserve">as cited in </w:t>
      </w:r>
      <w:r w:rsidRPr="00D72227">
        <w:rPr>
          <w:i/>
          <w:iCs/>
          <w:lang w:val="en-US"/>
        </w:rPr>
        <w:t xml:space="preserve">Mtokonya </w:t>
      </w:r>
      <w:r w:rsidR="00821B04">
        <w:rPr>
          <w:i/>
          <w:iCs/>
          <w:lang w:val="en-US"/>
        </w:rPr>
        <w:t>v Minister of Police</w:t>
      </w:r>
      <w:r w:rsidR="00821B04">
        <w:rPr>
          <w:lang w:val="en-US"/>
        </w:rPr>
        <w:t xml:space="preserve"> 2018 (5) SA 22 (CC) (‘</w:t>
      </w:r>
      <w:r w:rsidR="00821B04">
        <w:rPr>
          <w:i/>
          <w:iCs/>
          <w:lang w:val="en-US"/>
        </w:rPr>
        <w:t>Mtokonya</w:t>
      </w:r>
      <w:r w:rsidR="00821B04">
        <w:rPr>
          <w:lang w:val="en-US"/>
        </w:rPr>
        <w:t>’)</w:t>
      </w:r>
      <w:r w:rsidRPr="00D72227">
        <w:rPr>
          <w:lang w:val="en-US"/>
        </w:rPr>
        <w:t xml:space="preserve"> para 47.</w:t>
      </w:r>
    </w:p>
  </w:footnote>
  <w:footnote w:id="29">
    <w:p w14:paraId="645828F6" w14:textId="77777777" w:rsidR="00DE559C" w:rsidRPr="00D72227" w:rsidRDefault="00DE559C"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MEC for Health, Western Cape v MC</w:t>
      </w:r>
      <w:r w:rsidRPr="00D72227">
        <w:rPr>
          <w:lang w:val="en-US"/>
        </w:rPr>
        <w:t xml:space="preserve"> [2020] ZASCA 165 (‘</w:t>
      </w:r>
      <w:r w:rsidRPr="00D72227">
        <w:rPr>
          <w:i/>
          <w:iCs/>
          <w:lang w:val="en-US"/>
        </w:rPr>
        <w:t>MC</w:t>
      </w:r>
      <w:r w:rsidRPr="00D72227">
        <w:rPr>
          <w:lang w:val="en-US"/>
        </w:rPr>
        <w:t>’) para 7.</w:t>
      </w:r>
    </w:p>
  </w:footnote>
  <w:footnote w:id="30">
    <w:p w14:paraId="25285443" w14:textId="1FD64D7A" w:rsidR="00DE559C" w:rsidRPr="00D72227" w:rsidRDefault="00DE559C"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 xml:space="preserve">Truter </w:t>
      </w:r>
      <w:r w:rsidRPr="00D72227">
        <w:rPr>
          <w:lang w:val="en-US"/>
        </w:rPr>
        <w:t xml:space="preserve">above n </w:t>
      </w:r>
      <w:r w:rsidR="006B6ACA">
        <w:rPr>
          <w:lang w:val="en-US"/>
        </w:rPr>
        <w:t>23</w:t>
      </w:r>
      <w:r w:rsidRPr="00D72227">
        <w:rPr>
          <w:lang w:val="en-US"/>
        </w:rPr>
        <w:t xml:space="preserve"> para 20.</w:t>
      </w:r>
    </w:p>
  </w:footnote>
  <w:footnote w:id="31">
    <w:p w14:paraId="2AFF471A" w14:textId="174957AD" w:rsidR="00441E75" w:rsidRPr="00D72227" w:rsidRDefault="00441E75"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MC</w:t>
      </w:r>
      <w:r w:rsidRPr="00D72227">
        <w:rPr>
          <w:lang w:val="en-US"/>
        </w:rPr>
        <w:t xml:space="preserve"> above n </w:t>
      </w:r>
      <w:r w:rsidR="006B6ACA">
        <w:rPr>
          <w:lang w:val="en-US"/>
        </w:rPr>
        <w:t>29</w:t>
      </w:r>
      <w:r w:rsidRPr="00D72227">
        <w:rPr>
          <w:lang w:val="en-US"/>
        </w:rPr>
        <w:t xml:space="preserve"> para 10; See </w:t>
      </w:r>
      <w:r w:rsidR="007E65B4">
        <w:rPr>
          <w:i/>
          <w:iCs/>
          <w:lang w:val="en-US"/>
        </w:rPr>
        <w:t xml:space="preserve">Zamani </w:t>
      </w:r>
      <w:r w:rsidR="007E65B4">
        <w:rPr>
          <w:lang w:val="en-US"/>
        </w:rPr>
        <w:t xml:space="preserve">above n </w:t>
      </w:r>
      <w:r w:rsidR="00DE2569">
        <w:rPr>
          <w:lang w:val="en-US"/>
        </w:rPr>
        <w:t xml:space="preserve">12 </w:t>
      </w:r>
      <w:r w:rsidRPr="00D72227">
        <w:rPr>
          <w:lang w:val="en-US"/>
        </w:rPr>
        <w:t>para 18.</w:t>
      </w:r>
    </w:p>
  </w:footnote>
  <w:footnote w:id="32">
    <w:p w14:paraId="1E576EF0" w14:textId="0FA19E55" w:rsidR="00441E75" w:rsidRPr="00D72227" w:rsidRDefault="00441E75"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Zamani</w:t>
      </w:r>
      <w:r w:rsidRPr="00D72227">
        <w:rPr>
          <w:lang w:val="en-US"/>
        </w:rPr>
        <w:t xml:space="preserve"> above n </w:t>
      </w:r>
      <w:r w:rsidR="00D9428A">
        <w:rPr>
          <w:lang w:val="en-US"/>
        </w:rPr>
        <w:t xml:space="preserve">12 </w:t>
      </w:r>
      <w:r w:rsidRPr="00D72227">
        <w:rPr>
          <w:lang w:val="en-US"/>
        </w:rPr>
        <w:t xml:space="preserve">para 18: what </w:t>
      </w:r>
      <w:r w:rsidR="00DB4776" w:rsidRPr="00D72227">
        <w:rPr>
          <w:lang w:val="en-US"/>
        </w:rPr>
        <w:t>was</w:t>
      </w:r>
      <w:r w:rsidRPr="00D72227">
        <w:rPr>
          <w:lang w:val="en-US"/>
        </w:rPr>
        <w:t xml:space="preserve"> required </w:t>
      </w:r>
      <w:r w:rsidR="001F2395" w:rsidRPr="00D72227">
        <w:rPr>
          <w:lang w:val="en-US"/>
        </w:rPr>
        <w:t>were</w:t>
      </w:r>
      <w:r w:rsidRPr="00D72227">
        <w:rPr>
          <w:lang w:val="en-US"/>
        </w:rPr>
        <w:t xml:space="preserve"> the material facts from which the legal conclusion of the elements of wrongfulness and fault in a delictual claim may be drawn. It would have been insufficient for him to allege negligence without also detailing the factual grounds of such negligence.</w:t>
      </w:r>
      <w:r w:rsidR="00B15A49" w:rsidRPr="00D72227">
        <w:rPr>
          <w:lang w:val="en-US"/>
        </w:rPr>
        <w:t xml:space="preserve"> It is those facts which the plaintiff must have knowledge of, as opposed to knowledge that those facts support a conclusion of negligence.</w:t>
      </w:r>
    </w:p>
  </w:footnote>
  <w:footnote w:id="33">
    <w:p w14:paraId="0E2D3C62" w14:textId="513A9D1D" w:rsidR="00956BB0" w:rsidRPr="00D72227" w:rsidRDefault="00956BB0"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Mtokonya</w:t>
      </w:r>
      <w:r w:rsidRPr="00D72227">
        <w:rPr>
          <w:lang w:val="en-US"/>
        </w:rPr>
        <w:t xml:space="preserve"> above n </w:t>
      </w:r>
      <w:r w:rsidR="001B1E13">
        <w:rPr>
          <w:lang w:val="en-US"/>
        </w:rPr>
        <w:t>28</w:t>
      </w:r>
      <w:r w:rsidRPr="00D72227">
        <w:rPr>
          <w:lang w:val="en-US"/>
        </w:rPr>
        <w:t xml:space="preserve"> para 45.</w:t>
      </w:r>
    </w:p>
  </w:footnote>
  <w:footnote w:id="34">
    <w:p w14:paraId="6E0056ED" w14:textId="61825051" w:rsidR="00C86C38" w:rsidRPr="00D72227" w:rsidRDefault="00C86C38"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Pr="00D72227">
        <w:rPr>
          <w:i/>
          <w:iCs/>
          <w:lang w:val="en-US"/>
        </w:rPr>
        <w:t>Drennan Maud and Partners v Pennington Town Board</w:t>
      </w:r>
      <w:r w:rsidRPr="00D72227">
        <w:rPr>
          <w:lang w:val="en-US"/>
        </w:rPr>
        <w:t xml:space="preserve"> 1998 (3) SA 200 (SCA) at 212F – H, as cited in </w:t>
      </w:r>
      <w:r w:rsidRPr="00D72227">
        <w:rPr>
          <w:i/>
          <w:iCs/>
          <w:lang w:val="en-US"/>
        </w:rPr>
        <w:t>Zamani</w:t>
      </w:r>
      <w:r w:rsidRPr="00D72227">
        <w:rPr>
          <w:lang w:val="en-US"/>
        </w:rPr>
        <w:t xml:space="preserve"> above n </w:t>
      </w:r>
      <w:r w:rsidR="00E531E4">
        <w:rPr>
          <w:lang w:val="en-US"/>
        </w:rPr>
        <w:t>12</w:t>
      </w:r>
      <w:r w:rsidRPr="00D72227">
        <w:rPr>
          <w:lang w:val="en-US"/>
        </w:rPr>
        <w:t xml:space="preserve"> para 17.</w:t>
      </w:r>
    </w:p>
  </w:footnote>
  <w:footnote w:id="35">
    <w:p w14:paraId="5C511B47" w14:textId="4F228398" w:rsidR="00C023C6" w:rsidRPr="00D72227" w:rsidRDefault="00C023C6"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Zamani</w:t>
      </w:r>
      <w:r w:rsidRPr="00D72227">
        <w:rPr>
          <w:lang w:val="en-US"/>
        </w:rPr>
        <w:t xml:space="preserve"> above n </w:t>
      </w:r>
      <w:r w:rsidR="00E531E4">
        <w:rPr>
          <w:lang w:val="en-US"/>
        </w:rPr>
        <w:t>12</w:t>
      </w:r>
      <w:r w:rsidRPr="00D72227">
        <w:rPr>
          <w:lang w:val="en-US"/>
        </w:rPr>
        <w:t xml:space="preserve"> para 20.</w:t>
      </w:r>
    </w:p>
  </w:footnote>
  <w:footnote w:id="36">
    <w:p w14:paraId="612A068F" w14:textId="0E87B6AF" w:rsidR="00866DF7" w:rsidRPr="00D72227" w:rsidRDefault="00866DF7"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00FD7E3C">
        <w:rPr>
          <w:i/>
          <w:iCs/>
          <w:lang w:val="en-US"/>
        </w:rPr>
        <w:t xml:space="preserve">Zamani </w:t>
      </w:r>
      <w:r w:rsidR="00FD7E3C">
        <w:rPr>
          <w:lang w:val="en-US"/>
        </w:rPr>
        <w:t>above n 12</w:t>
      </w:r>
      <w:r w:rsidRPr="00D72227">
        <w:rPr>
          <w:lang w:val="en-US"/>
        </w:rPr>
        <w:t xml:space="preserve"> para 21.</w:t>
      </w:r>
      <w:r w:rsidR="003220AB">
        <w:rPr>
          <w:lang w:val="en-US"/>
        </w:rPr>
        <w:t xml:space="preserve"> The meaning of the terms in question are considered</w:t>
      </w:r>
      <w:r w:rsidR="000243D6">
        <w:rPr>
          <w:lang w:val="en-US"/>
        </w:rPr>
        <w:t xml:space="preserve"> in para 23</w:t>
      </w:r>
      <w:r w:rsidR="003220AB">
        <w:rPr>
          <w:lang w:val="en-US"/>
        </w:rPr>
        <w:t>, below.</w:t>
      </w:r>
    </w:p>
  </w:footnote>
  <w:footnote w:id="37">
    <w:p w14:paraId="74C13A1D" w14:textId="64007423" w:rsidR="007A2753" w:rsidRPr="00D72227" w:rsidRDefault="007A2753"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Links</w:t>
      </w:r>
      <w:r w:rsidRPr="00D72227">
        <w:rPr>
          <w:lang w:val="en-US"/>
        </w:rPr>
        <w:t xml:space="preserve"> above n </w:t>
      </w:r>
      <w:r w:rsidR="00FF10CC">
        <w:rPr>
          <w:lang w:val="en-US"/>
        </w:rPr>
        <w:t>1</w:t>
      </w:r>
      <w:r w:rsidRPr="00D72227">
        <w:rPr>
          <w:lang w:val="en-US"/>
        </w:rPr>
        <w:t xml:space="preserve"> para 42.</w:t>
      </w:r>
    </w:p>
  </w:footnote>
  <w:footnote w:id="38">
    <w:p w14:paraId="33DF53BD" w14:textId="217E83B6" w:rsidR="007A2753" w:rsidRPr="00D72227" w:rsidRDefault="007A2753"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Loni</w:t>
      </w:r>
      <w:r w:rsidRPr="00D72227">
        <w:rPr>
          <w:lang w:val="en-US"/>
        </w:rPr>
        <w:t xml:space="preserve"> </w:t>
      </w:r>
      <w:r w:rsidRPr="00D72227">
        <w:rPr>
          <w:i/>
          <w:iCs/>
          <w:lang w:val="en-US"/>
        </w:rPr>
        <w:t>v Member of the Executive Council for Health, Eastern Cape</w:t>
      </w:r>
      <w:r w:rsidRPr="00D72227">
        <w:rPr>
          <w:lang w:val="en-US"/>
        </w:rPr>
        <w:t xml:space="preserve"> 2018 (3) SA 335 (CC) </w:t>
      </w:r>
      <w:r w:rsidR="00AA06B5">
        <w:rPr>
          <w:lang w:val="en-US"/>
        </w:rPr>
        <w:t>(‘</w:t>
      </w:r>
      <w:r w:rsidR="00AA06B5">
        <w:rPr>
          <w:i/>
          <w:iCs/>
          <w:lang w:val="en-US"/>
        </w:rPr>
        <w:t>Loni</w:t>
      </w:r>
      <w:r w:rsidR="00AA06B5">
        <w:rPr>
          <w:lang w:val="en-US"/>
        </w:rPr>
        <w:t xml:space="preserve">’) </w:t>
      </w:r>
      <w:r w:rsidRPr="00D72227">
        <w:rPr>
          <w:lang w:val="en-US"/>
        </w:rPr>
        <w:t xml:space="preserve">para 23. In </w:t>
      </w:r>
      <w:r w:rsidRPr="00D72227">
        <w:rPr>
          <w:i/>
          <w:iCs/>
          <w:lang w:val="en-US"/>
        </w:rPr>
        <w:t>Member of the Executive Council for the Department of Health, Western Cape v Daki</w:t>
      </w:r>
      <w:r w:rsidRPr="00D72227">
        <w:rPr>
          <w:lang w:val="en-US"/>
        </w:rPr>
        <w:t xml:space="preserve"> 2021 JDR 1884 (WCC) (‘</w:t>
      </w:r>
      <w:r w:rsidRPr="00D72227">
        <w:rPr>
          <w:i/>
          <w:iCs/>
          <w:lang w:val="en-US"/>
        </w:rPr>
        <w:t>Daki</w:t>
      </w:r>
      <w:r w:rsidRPr="00D72227">
        <w:rPr>
          <w:lang w:val="en-US"/>
        </w:rPr>
        <w:t>’) para 16, a full court added that ‘until the respondent had knowledge of facts that would have led her to think that possibly there had been negligence and that this had caused the disability, she lacked knowledge of the necessary facts contemplated in section 12(3).</w:t>
      </w:r>
    </w:p>
  </w:footnote>
  <w:footnote w:id="39">
    <w:p w14:paraId="199C451E" w14:textId="6DB9AF43" w:rsidR="007A2753" w:rsidRPr="00D72227" w:rsidRDefault="007A2753"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 xml:space="preserve">Zamani </w:t>
      </w:r>
      <w:r w:rsidRPr="00D72227">
        <w:rPr>
          <w:lang w:val="en-US"/>
        </w:rPr>
        <w:t xml:space="preserve">above n </w:t>
      </w:r>
      <w:r w:rsidR="007B0A1F">
        <w:rPr>
          <w:lang w:val="en-US"/>
        </w:rPr>
        <w:t>12</w:t>
      </w:r>
      <w:r w:rsidRPr="00D72227">
        <w:rPr>
          <w:lang w:val="en-US"/>
        </w:rPr>
        <w:t xml:space="preserve"> para 18.</w:t>
      </w:r>
    </w:p>
  </w:footnote>
  <w:footnote w:id="40">
    <w:p w14:paraId="19D0FF63" w14:textId="511976C1" w:rsidR="004C7FBE" w:rsidRPr="00D72227" w:rsidRDefault="004C7FBE"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 xml:space="preserve">MC </w:t>
      </w:r>
      <w:r w:rsidRPr="00D72227">
        <w:rPr>
          <w:lang w:val="en-US"/>
        </w:rPr>
        <w:t xml:space="preserve">above n </w:t>
      </w:r>
      <w:r w:rsidR="0065461E">
        <w:rPr>
          <w:lang w:val="en-US"/>
        </w:rPr>
        <w:t>29</w:t>
      </w:r>
      <w:r w:rsidRPr="00D72227">
        <w:rPr>
          <w:lang w:val="en-US"/>
        </w:rPr>
        <w:t xml:space="preserve"> para 8.</w:t>
      </w:r>
      <w:r w:rsidR="00A273F6" w:rsidRPr="00D72227">
        <w:rPr>
          <w:lang w:val="en-US"/>
        </w:rPr>
        <w:t xml:space="preserve"> </w:t>
      </w:r>
      <w:r w:rsidR="002D5E0F" w:rsidRPr="00D72227">
        <w:rPr>
          <w:lang w:val="en-US"/>
        </w:rPr>
        <w:t xml:space="preserve">On a strict application of </w:t>
      </w:r>
      <w:r w:rsidR="002D5E0F" w:rsidRPr="00D72227">
        <w:rPr>
          <w:i/>
          <w:iCs/>
          <w:lang w:val="en-US"/>
        </w:rPr>
        <w:t>Links</w:t>
      </w:r>
      <w:r w:rsidR="002D5E0F" w:rsidRPr="00D72227">
        <w:rPr>
          <w:lang w:val="en-US"/>
        </w:rPr>
        <w:t xml:space="preserve">, it is arguable that </w:t>
      </w:r>
      <w:r w:rsidR="00CA6C53" w:rsidRPr="00D72227">
        <w:rPr>
          <w:lang w:val="en-US"/>
        </w:rPr>
        <w:t xml:space="preserve">the MEC’s pleaded case, read with Mr Diko’s replication, was not based on the proviso to s 12(3), so that </w:t>
      </w:r>
      <w:r w:rsidR="00BD7196" w:rsidRPr="00D72227">
        <w:rPr>
          <w:lang w:val="en-US"/>
        </w:rPr>
        <w:t xml:space="preserve">the only </w:t>
      </w:r>
      <w:r w:rsidR="00997606" w:rsidRPr="00D72227">
        <w:rPr>
          <w:lang w:val="en-US"/>
        </w:rPr>
        <w:t xml:space="preserve">issue is whether the MEC discharged the onus to show that Mr Diko had (actual) knowledge of all the material facts </w:t>
      </w:r>
      <w:r w:rsidR="00183B1E" w:rsidRPr="00D72227">
        <w:rPr>
          <w:lang w:val="en-US"/>
        </w:rPr>
        <w:t>from which the debt arose</w:t>
      </w:r>
      <w:r w:rsidR="00C70B6C" w:rsidRPr="00D72227">
        <w:rPr>
          <w:lang w:val="en-US"/>
        </w:rPr>
        <w:t xml:space="preserve"> or which he needed to know in order to institute action: </w:t>
      </w:r>
      <w:r w:rsidR="00C70B6C" w:rsidRPr="00D72227">
        <w:rPr>
          <w:i/>
          <w:iCs/>
          <w:lang w:val="en-US"/>
        </w:rPr>
        <w:t>Links</w:t>
      </w:r>
      <w:r w:rsidR="00C70B6C" w:rsidRPr="00D72227">
        <w:rPr>
          <w:lang w:val="en-US"/>
        </w:rPr>
        <w:t xml:space="preserve"> above n </w:t>
      </w:r>
      <w:r w:rsidR="0013785C">
        <w:rPr>
          <w:lang w:val="en-US"/>
        </w:rPr>
        <w:t>1</w:t>
      </w:r>
      <w:r w:rsidR="00C70B6C" w:rsidRPr="00D72227">
        <w:rPr>
          <w:lang w:val="en-US"/>
        </w:rPr>
        <w:t xml:space="preserve"> para 44.</w:t>
      </w:r>
    </w:p>
  </w:footnote>
  <w:footnote w:id="41">
    <w:p w14:paraId="04FE953E" w14:textId="32EBDBE0" w:rsidR="00424BF9" w:rsidRPr="00D72227" w:rsidRDefault="00424BF9"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Gore</w:t>
      </w:r>
      <w:r w:rsidRPr="00D72227">
        <w:rPr>
          <w:lang w:val="en-US"/>
        </w:rPr>
        <w:t xml:space="preserve"> above n </w:t>
      </w:r>
      <w:r w:rsidR="00FD1872">
        <w:rPr>
          <w:lang w:val="en-US"/>
        </w:rPr>
        <w:t>26</w:t>
      </w:r>
      <w:r w:rsidRPr="00D72227">
        <w:rPr>
          <w:lang w:val="en-US"/>
        </w:rPr>
        <w:t xml:space="preserve"> para 18.</w:t>
      </w:r>
    </w:p>
  </w:footnote>
  <w:footnote w:id="42">
    <w:p w14:paraId="35B021B3" w14:textId="5EBABC64" w:rsidR="00424BF9" w:rsidRPr="00D72227" w:rsidRDefault="00424BF9" w:rsidP="00D72227">
      <w:pPr>
        <w:pStyle w:val="FootnoteText"/>
        <w:spacing w:line="240" w:lineRule="auto"/>
        <w:jc w:val="both"/>
        <w:rPr>
          <w:lang w:val="en-US"/>
        </w:rPr>
      </w:pPr>
      <w:r w:rsidRPr="00D72227">
        <w:rPr>
          <w:rStyle w:val="FootnoteReference"/>
        </w:rPr>
        <w:footnoteRef/>
      </w:r>
      <w:r w:rsidRPr="00D72227">
        <w:t xml:space="preserve"> </w:t>
      </w:r>
      <w:r w:rsidR="00BF6DB9">
        <w:rPr>
          <w:lang w:val="en-US"/>
        </w:rPr>
        <w:t xml:space="preserve">Ibid </w:t>
      </w:r>
      <w:r w:rsidRPr="00D72227">
        <w:rPr>
          <w:lang w:val="en-US"/>
        </w:rPr>
        <w:t>para 19.</w:t>
      </w:r>
      <w:r w:rsidR="00B272E5" w:rsidRPr="00D72227">
        <w:rPr>
          <w:lang w:val="en-US"/>
        </w:rPr>
        <w:t xml:space="preserve"> For an application of the principle, see </w:t>
      </w:r>
      <w:r w:rsidR="00B272E5" w:rsidRPr="00D72227">
        <w:rPr>
          <w:i/>
          <w:iCs/>
          <w:lang w:val="en-US"/>
        </w:rPr>
        <w:t>Zamani</w:t>
      </w:r>
      <w:r w:rsidR="00B272E5" w:rsidRPr="00D72227">
        <w:rPr>
          <w:lang w:val="en-US"/>
        </w:rPr>
        <w:t xml:space="preserve"> above n </w:t>
      </w:r>
      <w:r w:rsidR="00BF6DB9">
        <w:rPr>
          <w:lang w:val="en-US"/>
        </w:rPr>
        <w:t>12</w:t>
      </w:r>
      <w:r w:rsidR="00B272E5" w:rsidRPr="00D72227">
        <w:rPr>
          <w:lang w:val="en-US"/>
        </w:rPr>
        <w:t xml:space="preserve"> para 21.</w:t>
      </w:r>
    </w:p>
  </w:footnote>
  <w:footnote w:id="43">
    <w:p w14:paraId="5D93AE2E" w14:textId="77777777" w:rsidR="00647F34" w:rsidRPr="00D72227" w:rsidRDefault="00647F34"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Drennan Maud Partners v Pennington Town Board</w:t>
      </w:r>
      <w:r w:rsidRPr="00D72227">
        <w:rPr>
          <w:lang w:val="en-US"/>
        </w:rPr>
        <w:t xml:space="preserve"> 1998 (3) SA 200 (SCA) at 209F – G/H.</w:t>
      </w:r>
    </w:p>
  </w:footnote>
  <w:footnote w:id="44">
    <w:p w14:paraId="0A8D8438" w14:textId="7CE6FD35" w:rsidR="00731329" w:rsidRPr="00D72227" w:rsidRDefault="00731329"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Ibid.</w:t>
      </w:r>
    </w:p>
  </w:footnote>
  <w:footnote w:id="45">
    <w:p w14:paraId="389865EE" w14:textId="7B537C51" w:rsidR="00244DFF" w:rsidRPr="00D72227" w:rsidRDefault="00244DFF"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Ex Parte The Minister of Justice: In Re Rex v Jacobsen &amp; Levy</w:t>
      </w:r>
      <w:r w:rsidRPr="00D72227">
        <w:rPr>
          <w:lang w:val="en-US"/>
        </w:rPr>
        <w:t xml:space="preserve"> 1931 AD 466 at 478-479.</w:t>
      </w:r>
    </w:p>
  </w:footnote>
  <w:footnote w:id="46">
    <w:p w14:paraId="05855DE8" w14:textId="4D31CED7" w:rsidR="00EA73A5" w:rsidRPr="00D72227" w:rsidRDefault="00EA73A5"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Union Government (Minister of Railways) v Sykes</w:t>
      </w:r>
      <w:r w:rsidRPr="00D72227">
        <w:rPr>
          <w:lang w:val="en-US"/>
        </w:rPr>
        <w:t xml:space="preserve"> 1913 AD 156 at 173.</w:t>
      </w:r>
    </w:p>
  </w:footnote>
  <w:footnote w:id="47">
    <w:p w14:paraId="5A221D0F" w14:textId="77777777" w:rsidR="009B722B" w:rsidRPr="00D72227" w:rsidRDefault="009B722B"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R v Dhlumayo</w:t>
      </w:r>
      <w:r w:rsidRPr="00D72227">
        <w:rPr>
          <w:lang w:val="en-US"/>
        </w:rPr>
        <w:t xml:space="preserve"> 1948 (2) SA 677 (A) paras 10, 11.</w:t>
      </w:r>
    </w:p>
  </w:footnote>
  <w:footnote w:id="48">
    <w:p w14:paraId="2EA942FD" w14:textId="6821A36E" w:rsidR="00D72227" w:rsidRPr="00D72227" w:rsidRDefault="00D72227"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PJ Schwikkard and TB Mosaka</w:t>
      </w:r>
      <w:r w:rsidRPr="00D72227">
        <w:rPr>
          <w:i/>
          <w:iCs/>
          <w:lang w:val="en-US"/>
        </w:rPr>
        <w:t xml:space="preserve"> Principles of Evidence</w:t>
      </w:r>
      <w:r w:rsidRPr="00D72227">
        <w:rPr>
          <w:lang w:val="en-US"/>
        </w:rPr>
        <w:t xml:space="preserve"> (5</w:t>
      </w:r>
      <w:r w:rsidRPr="00D72227">
        <w:rPr>
          <w:vertAlign w:val="superscript"/>
          <w:lang w:val="en-US"/>
        </w:rPr>
        <w:t>th</w:t>
      </w:r>
      <w:r w:rsidRPr="00D72227">
        <w:rPr>
          <w:lang w:val="en-US"/>
        </w:rPr>
        <w:t xml:space="preserve"> Ed) (2023) (Juta) chapter 31.5 – 663</w:t>
      </w:r>
      <w:r w:rsidR="008F3EFE">
        <w:rPr>
          <w:lang w:val="en-US"/>
        </w:rPr>
        <w:t>.</w:t>
      </w:r>
    </w:p>
  </w:footnote>
  <w:footnote w:id="49">
    <w:p w14:paraId="2F9A2949" w14:textId="3CEEBF7B" w:rsidR="003B6B4E" w:rsidRPr="00D72227" w:rsidRDefault="003B6B4E"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Pr="00D72227">
        <w:rPr>
          <w:i/>
          <w:iCs/>
          <w:lang w:val="en-US"/>
        </w:rPr>
        <w:t>Marine and Trad Ins</w:t>
      </w:r>
      <w:r w:rsidR="00480FA4">
        <w:rPr>
          <w:i/>
          <w:iCs/>
          <w:lang w:val="en-US"/>
        </w:rPr>
        <w:t>urance</w:t>
      </w:r>
      <w:r w:rsidRPr="00D72227">
        <w:rPr>
          <w:i/>
          <w:iCs/>
          <w:lang w:val="en-US"/>
        </w:rPr>
        <w:t xml:space="preserve"> Co Ltd v Van der Schyff</w:t>
      </w:r>
      <w:r w:rsidRPr="00D72227">
        <w:rPr>
          <w:lang w:val="en-US"/>
        </w:rPr>
        <w:t xml:space="preserve"> 1972 (1) SA 26 (A).</w:t>
      </w:r>
    </w:p>
  </w:footnote>
  <w:footnote w:id="50">
    <w:p w14:paraId="482EAF23" w14:textId="77777777" w:rsidR="003B6B4E" w:rsidRPr="00D72227" w:rsidRDefault="003B6B4E"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CWH Schmidt </w:t>
      </w:r>
      <w:r w:rsidRPr="00D72227">
        <w:rPr>
          <w:i/>
          <w:iCs/>
          <w:lang w:val="en-US"/>
        </w:rPr>
        <w:t>Law of Evidence</w:t>
      </w:r>
      <w:r w:rsidRPr="00D72227">
        <w:rPr>
          <w:lang w:val="en-US"/>
        </w:rPr>
        <w:t xml:space="preserve"> (SI 21) (May 2023) para 3 2 4 1. Also see the judgment of Leach JA in </w:t>
      </w:r>
      <w:r w:rsidRPr="00D72227">
        <w:rPr>
          <w:i/>
          <w:iCs/>
          <w:lang w:val="en-US"/>
        </w:rPr>
        <w:t>Koukoudis and Another v Abrina 1772 (Pty) Ltd and Another</w:t>
      </w:r>
      <w:r w:rsidRPr="00D72227">
        <w:rPr>
          <w:lang w:val="en-US"/>
        </w:rPr>
        <w:t xml:space="preserve"> 2016 (5) SA 352 (SCA) (‘</w:t>
      </w:r>
      <w:r w:rsidRPr="00D72227">
        <w:rPr>
          <w:i/>
          <w:iCs/>
          <w:lang w:val="en-US"/>
        </w:rPr>
        <w:t>Koukoudis</w:t>
      </w:r>
      <w:r w:rsidRPr="00D72227">
        <w:rPr>
          <w:lang w:val="en-US"/>
        </w:rPr>
        <w:t>’) para 49.</w:t>
      </w:r>
    </w:p>
  </w:footnote>
  <w:footnote w:id="51">
    <w:p w14:paraId="420199FC" w14:textId="77777777" w:rsidR="003B6B4E" w:rsidRPr="00D72227" w:rsidRDefault="003B6B4E"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Galante v Dickinson</w:t>
      </w:r>
      <w:r w:rsidRPr="00D72227">
        <w:rPr>
          <w:lang w:val="en-US"/>
        </w:rPr>
        <w:t xml:space="preserve"> 1950 (2) SA 460 (A) at 465.</w:t>
      </w:r>
    </w:p>
  </w:footnote>
  <w:footnote w:id="52">
    <w:p w14:paraId="2788FF00" w14:textId="77777777" w:rsidR="0044627C" w:rsidRPr="00D72227" w:rsidRDefault="0044627C"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Pr="00D72227">
        <w:rPr>
          <w:i/>
          <w:iCs/>
          <w:lang w:val="en-US"/>
        </w:rPr>
        <w:t>Goliath v MEC for Health, Province of the Eastern Cape</w:t>
      </w:r>
      <w:r w:rsidRPr="00D72227">
        <w:rPr>
          <w:lang w:val="en-US"/>
        </w:rPr>
        <w:t xml:space="preserve"> [2013] ZAECGHC 72.</w:t>
      </w:r>
    </w:p>
  </w:footnote>
  <w:footnote w:id="53">
    <w:p w14:paraId="4DAB5966" w14:textId="31AB6AEF" w:rsidR="0044627C" w:rsidRPr="00D72227" w:rsidRDefault="0044627C"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Ibid. </w:t>
      </w:r>
      <w:r w:rsidR="00465C58" w:rsidRPr="00D72227">
        <w:rPr>
          <w:lang w:val="en-US"/>
        </w:rPr>
        <w:t xml:space="preserve">Also see Schmidt above n </w:t>
      </w:r>
      <w:r w:rsidR="00260BE5">
        <w:rPr>
          <w:lang w:val="en-US"/>
        </w:rPr>
        <w:t>50</w:t>
      </w:r>
      <w:r w:rsidR="00465C58" w:rsidRPr="00D72227">
        <w:rPr>
          <w:lang w:val="en-US"/>
        </w:rPr>
        <w:t>.</w:t>
      </w:r>
    </w:p>
  </w:footnote>
  <w:footnote w:id="54">
    <w:p w14:paraId="527D269F" w14:textId="7980AADB" w:rsidR="003B6B4E" w:rsidRPr="00D72227" w:rsidRDefault="003B6B4E"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Ntsomi v Minister of Law and Order</w:t>
      </w:r>
      <w:r w:rsidRPr="00D72227">
        <w:rPr>
          <w:lang w:val="en-US"/>
        </w:rPr>
        <w:t xml:space="preserve"> 1990 (1) SA 512 (C), as cited in Schmidt above n </w:t>
      </w:r>
      <w:r w:rsidR="00260BE5">
        <w:rPr>
          <w:lang w:val="en-US"/>
        </w:rPr>
        <w:t>50</w:t>
      </w:r>
      <w:r w:rsidRPr="00D72227">
        <w:rPr>
          <w:lang w:val="en-US"/>
        </w:rPr>
        <w:t>.</w:t>
      </w:r>
    </w:p>
  </w:footnote>
  <w:footnote w:id="55">
    <w:p w14:paraId="263F85F1" w14:textId="34D019C9" w:rsidR="003B6B4E" w:rsidRPr="00D72227" w:rsidRDefault="003B6B4E"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Pr="00D72227">
        <w:rPr>
          <w:i/>
          <w:iCs/>
          <w:lang w:val="en-US"/>
        </w:rPr>
        <w:t>Koukoudis</w:t>
      </w:r>
      <w:r w:rsidRPr="00D72227">
        <w:rPr>
          <w:lang w:val="en-US"/>
        </w:rPr>
        <w:t xml:space="preserve"> above n </w:t>
      </w:r>
      <w:r w:rsidR="007B249E">
        <w:rPr>
          <w:lang w:val="en-US"/>
        </w:rPr>
        <w:t>50</w:t>
      </w:r>
      <w:r w:rsidRPr="00D72227">
        <w:rPr>
          <w:lang w:val="en-US"/>
        </w:rPr>
        <w:t xml:space="preserve"> para 49: whilst less evidence may well suffice to establish a prima facie case where the issue is peculiarly within the knowledge of the opposing party, that cannot convert a case founded upon pure speculation and faulty inferential reasoning into a prima facie case.</w:t>
      </w:r>
    </w:p>
  </w:footnote>
  <w:footnote w:id="56">
    <w:p w14:paraId="6E0242C5" w14:textId="74FD9409" w:rsidR="003B6B4E" w:rsidRPr="00D72227" w:rsidRDefault="003B6B4E"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Titus v Shield Insurance Co Ltd</w:t>
      </w:r>
      <w:r w:rsidRPr="00D72227">
        <w:rPr>
          <w:lang w:val="en-US"/>
        </w:rPr>
        <w:t xml:space="preserve"> 1980 (3) SA 119 (A) at 133-134 as cited in Schmidt above n </w:t>
      </w:r>
      <w:r w:rsidR="003D08F3">
        <w:rPr>
          <w:lang w:val="en-US"/>
        </w:rPr>
        <w:t>50</w:t>
      </w:r>
      <w:r w:rsidRPr="00D72227">
        <w:rPr>
          <w:lang w:val="en-US"/>
        </w:rPr>
        <w:t>.</w:t>
      </w:r>
    </w:p>
  </w:footnote>
  <w:footnote w:id="57">
    <w:p w14:paraId="17220149" w14:textId="77777777" w:rsidR="00CD3FB7" w:rsidRPr="00D72227" w:rsidRDefault="00CD3FB7"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Dr Osman’s testimony made no reference to Mr Diko being informed about ‘a wrong nail’. The history upon which he relied, drawn from Mr Diko and as summarised in his written report, also omits such reference. The court a quo was accordingly justified, for the reasons appearing in that judgment, in placing no weight on this reference in the concluding portion of Dr Osman’s written opinion.</w:t>
      </w:r>
    </w:p>
  </w:footnote>
  <w:footnote w:id="58">
    <w:p w14:paraId="6596BCE4" w14:textId="68B46AC7" w:rsidR="00A44556" w:rsidRPr="00D72227" w:rsidRDefault="00A44556"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According to the full court in </w:t>
      </w:r>
      <w:r w:rsidRPr="00D72227">
        <w:rPr>
          <w:i/>
          <w:iCs/>
          <w:lang w:val="en-US"/>
        </w:rPr>
        <w:t>Zamani</w:t>
      </w:r>
      <w:r w:rsidRPr="00D72227">
        <w:rPr>
          <w:lang w:val="en-US"/>
        </w:rPr>
        <w:t xml:space="preserve">, this is an important aspect to be considered as part of the assessment of evidence and application of the burden of proof: </w:t>
      </w:r>
      <w:r w:rsidR="001F43B7" w:rsidRPr="00D72227">
        <w:rPr>
          <w:i/>
          <w:iCs/>
          <w:lang w:val="en-US"/>
        </w:rPr>
        <w:t xml:space="preserve">Zamani </w:t>
      </w:r>
      <w:r w:rsidR="001F43B7" w:rsidRPr="00D72227">
        <w:rPr>
          <w:lang w:val="en-US"/>
        </w:rPr>
        <w:t xml:space="preserve">above n </w:t>
      </w:r>
      <w:r w:rsidR="00DA06EB">
        <w:rPr>
          <w:lang w:val="en-US"/>
        </w:rPr>
        <w:t>12</w:t>
      </w:r>
      <w:r w:rsidR="001F43B7" w:rsidRPr="00D72227">
        <w:rPr>
          <w:lang w:val="en-US"/>
        </w:rPr>
        <w:t xml:space="preserve"> </w:t>
      </w:r>
      <w:r w:rsidRPr="00D72227">
        <w:rPr>
          <w:lang w:val="en-US"/>
        </w:rPr>
        <w:t>para 22.</w:t>
      </w:r>
    </w:p>
  </w:footnote>
  <w:footnote w:id="59">
    <w:p w14:paraId="299EEC5C" w14:textId="581A45C7" w:rsidR="00415FC3" w:rsidRPr="00D72227" w:rsidRDefault="00415FC3"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w:t>
      </w:r>
      <w:r w:rsidR="00981063">
        <w:rPr>
          <w:i/>
          <w:iCs/>
          <w:lang w:val="en-US"/>
        </w:rPr>
        <w:t xml:space="preserve">Macleod </w:t>
      </w:r>
      <w:r w:rsidR="00981063">
        <w:rPr>
          <w:lang w:val="en-US"/>
        </w:rPr>
        <w:t xml:space="preserve">above n </w:t>
      </w:r>
      <w:r w:rsidR="00A45DD0">
        <w:rPr>
          <w:lang w:val="en-US"/>
        </w:rPr>
        <w:t>11</w:t>
      </w:r>
      <w:r w:rsidR="00981063">
        <w:rPr>
          <w:lang w:val="en-US"/>
        </w:rPr>
        <w:t xml:space="preserve"> </w:t>
      </w:r>
      <w:r w:rsidRPr="00D72227">
        <w:rPr>
          <w:lang w:val="en-US"/>
        </w:rPr>
        <w:t>para 11.</w:t>
      </w:r>
      <w:r w:rsidR="00C703DF" w:rsidRPr="00D72227">
        <w:rPr>
          <w:lang w:val="en-US"/>
        </w:rPr>
        <w:t xml:space="preserve"> </w:t>
      </w:r>
    </w:p>
  </w:footnote>
  <w:footnote w:id="60">
    <w:p w14:paraId="372902A6" w14:textId="5CFB4377" w:rsidR="00B512B6" w:rsidRPr="00D72227" w:rsidRDefault="00B512B6"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The reports of Dr Olivier and Dr Osman, included in the papers, reveal that Mr Diko left school at the end of grade 10 and was a bricklayer who was unable to work as such after the accident.</w:t>
      </w:r>
    </w:p>
  </w:footnote>
  <w:footnote w:id="61">
    <w:p w14:paraId="031D9955" w14:textId="75B55C31" w:rsidR="00223279" w:rsidRPr="00D72227" w:rsidRDefault="00223279"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Daki</w:t>
      </w:r>
      <w:r w:rsidRPr="00D72227">
        <w:rPr>
          <w:lang w:val="en-US"/>
        </w:rPr>
        <w:t xml:space="preserve"> above n </w:t>
      </w:r>
      <w:r w:rsidR="00120CD3">
        <w:rPr>
          <w:lang w:val="en-US"/>
        </w:rPr>
        <w:t>38</w:t>
      </w:r>
      <w:r w:rsidRPr="00D72227">
        <w:rPr>
          <w:lang w:val="en-US"/>
        </w:rPr>
        <w:t xml:space="preserve"> para 17</w:t>
      </w:r>
      <w:r w:rsidR="00ED1D63" w:rsidRPr="00D72227">
        <w:rPr>
          <w:lang w:val="en-US"/>
        </w:rPr>
        <w:t xml:space="preserve">; </w:t>
      </w:r>
      <w:r w:rsidR="00ED1D63" w:rsidRPr="00D72227">
        <w:rPr>
          <w:i/>
          <w:iCs/>
          <w:lang w:val="en-US"/>
        </w:rPr>
        <w:t>Links</w:t>
      </w:r>
      <w:r w:rsidR="00ED1D63" w:rsidRPr="00D72227">
        <w:rPr>
          <w:lang w:val="en-US"/>
        </w:rPr>
        <w:t xml:space="preserve"> above n </w:t>
      </w:r>
      <w:r w:rsidR="00120CD3">
        <w:rPr>
          <w:lang w:val="en-US"/>
        </w:rPr>
        <w:t>1</w:t>
      </w:r>
      <w:r w:rsidR="00ED1D63" w:rsidRPr="00D72227">
        <w:rPr>
          <w:lang w:val="en-US"/>
        </w:rPr>
        <w:t xml:space="preserve"> para 47.</w:t>
      </w:r>
    </w:p>
  </w:footnote>
  <w:footnote w:id="62">
    <w:p w14:paraId="2F102CCE" w14:textId="7325206A" w:rsidR="006E0012" w:rsidRPr="00D72227" w:rsidRDefault="006E0012"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Daki</w:t>
      </w:r>
      <w:r w:rsidRPr="00D72227">
        <w:rPr>
          <w:lang w:val="en-US"/>
        </w:rPr>
        <w:t xml:space="preserve"> above n </w:t>
      </w:r>
      <w:r w:rsidR="00CD29B7">
        <w:rPr>
          <w:lang w:val="en-US"/>
        </w:rPr>
        <w:t>38</w:t>
      </w:r>
      <w:r w:rsidRPr="00D72227">
        <w:rPr>
          <w:lang w:val="en-US"/>
        </w:rPr>
        <w:t xml:space="preserve"> para 20.</w:t>
      </w:r>
      <w:r w:rsidR="00065A8E" w:rsidRPr="00D72227">
        <w:rPr>
          <w:lang w:val="en-US"/>
        </w:rPr>
        <w:t xml:space="preserve"> Also see </w:t>
      </w:r>
      <w:r w:rsidR="00065A8E" w:rsidRPr="00D72227">
        <w:rPr>
          <w:i/>
          <w:iCs/>
          <w:lang w:val="en-US"/>
        </w:rPr>
        <w:t>MC</w:t>
      </w:r>
      <w:r w:rsidR="00065A8E" w:rsidRPr="00D72227">
        <w:rPr>
          <w:lang w:val="en-US"/>
        </w:rPr>
        <w:t xml:space="preserve"> above n </w:t>
      </w:r>
      <w:r w:rsidR="000F6359">
        <w:rPr>
          <w:lang w:val="en-US"/>
        </w:rPr>
        <w:t>29</w:t>
      </w:r>
      <w:r w:rsidR="00065A8E" w:rsidRPr="00D72227">
        <w:rPr>
          <w:lang w:val="en-US"/>
        </w:rPr>
        <w:t xml:space="preserve"> para 5.</w:t>
      </w:r>
    </w:p>
  </w:footnote>
  <w:footnote w:id="63">
    <w:p w14:paraId="6CC4B733" w14:textId="731E9053" w:rsidR="00B65C1F" w:rsidRPr="00D72227" w:rsidRDefault="00B65C1F"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Also see </w:t>
      </w:r>
      <w:r w:rsidRPr="00D72227">
        <w:rPr>
          <w:i/>
          <w:iCs/>
          <w:lang w:val="en-US"/>
        </w:rPr>
        <w:t xml:space="preserve">WK Construction </w:t>
      </w:r>
      <w:r w:rsidR="0026329A">
        <w:rPr>
          <w:lang w:val="en-US"/>
        </w:rPr>
        <w:t xml:space="preserve">above n 16 </w:t>
      </w:r>
      <w:r w:rsidRPr="00D72227">
        <w:rPr>
          <w:lang w:val="en-US"/>
        </w:rPr>
        <w:t>para 41</w:t>
      </w:r>
      <w:r w:rsidR="006F1EAC" w:rsidRPr="00D72227">
        <w:rPr>
          <w:lang w:val="en-US"/>
        </w:rPr>
        <w:t xml:space="preserve">: ‘In the light of these </w:t>
      </w:r>
      <w:r w:rsidR="00262D6D" w:rsidRPr="00D72227">
        <w:rPr>
          <w:lang w:val="en-US"/>
        </w:rPr>
        <w:t xml:space="preserve">facts, it can be concluded that </w:t>
      </w:r>
      <w:r w:rsidR="00262D6D" w:rsidRPr="00D72227">
        <w:rPr>
          <w:i/>
          <w:iCs/>
          <w:lang w:val="en-US"/>
        </w:rPr>
        <w:t>WK Construction</w:t>
      </w:r>
      <w:r w:rsidR="00262D6D" w:rsidRPr="00D72227">
        <w:rPr>
          <w:lang w:val="en-US"/>
        </w:rPr>
        <w:t xml:space="preserve"> must have had a reasonable suspicion of possible negligence on the part of Mazars. It did act on that suspicion by contacting an accounting firm to give expert advice. In my view, this amply satisfies the test in </w:t>
      </w:r>
      <w:r w:rsidR="00262D6D" w:rsidRPr="00D72227">
        <w:rPr>
          <w:i/>
          <w:iCs/>
          <w:lang w:val="en-US"/>
        </w:rPr>
        <w:t>Links</w:t>
      </w:r>
      <w:r w:rsidR="00262D6D" w:rsidRPr="00D72227">
        <w:rPr>
          <w:lang w:val="en-US"/>
        </w:rPr>
        <w:t xml:space="preserve"> and the other cases for the requisite knowledge causing prescription to commence running.’</w:t>
      </w:r>
    </w:p>
  </w:footnote>
  <w:footnote w:id="64">
    <w:p w14:paraId="217C8147" w14:textId="4CC5EF2C" w:rsidR="00AA4A68" w:rsidRPr="00D72227" w:rsidRDefault="00AA4A68" w:rsidP="00D72227">
      <w:pPr>
        <w:pStyle w:val="FootnoteText"/>
        <w:spacing w:line="240" w:lineRule="auto"/>
        <w:jc w:val="both"/>
        <w:rPr>
          <w:lang w:val="en-US"/>
        </w:rPr>
      </w:pPr>
      <w:r w:rsidRPr="00D72227">
        <w:rPr>
          <w:rStyle w:val="FootnoteReference"/>
        </w:rPr>
        <w:footnoteRef/>
      </w:r>
      <w:r w:rsidRPr="00D72227">
        <w:t xml:space="preserve"> </w:t>
      </w:r>
      <w:r w:rsidRPr="00D72227">
        <w:rPr>
          <w:i/>
          <w:iCs/>
          <w:lang w:val="en-US"/>
        </w:rPr>
        <w:t xml:space="preserve">Loni </w:t>
      </w:r>
      <w:r w:rsidRPr="00D72227">
        <w:rPr>
          <w:lang w:val="en-US"/>
        </w:rPr>
        <w:t xml:space="preserve">above n </w:t>
      </w:r>
      <w:r w:rsidR="00AA06B5">
        <w:rPr>
          <w:lang w:val="en-US"/>
        </w:rPr>
        <w:t>38</w:t>
      </w:r>
      <w:r w:rsidRPr="00D72227">
        <w:rPr>
          <w:lang w:val="en-US"/>
        </w:rPr>
        <w:t xml:space="preserve"> para 23; </w:t>
      </w:r>
      <w:r w:rsidRPr="00D72227">
        <w:rPr>
          <w:i/>
          <w:iCs/>
          <w:lang w:val="en-US"/>
        </w:rPr>
        <w:t>WK Construction</w:t>
      </w:r>
      <w:r w:rsidRPr="00D72227">
        <w:rPr>
          <w:lang w:val="en-US"/>
        </w:rPr>
        <w:t xml:space="preserve"> above n </w:t>
      </w:r>
      <w:r w:rsidR="0067596C">
        <w:rPr>
          <w:lang w:val="en-US"/>
        </w:rPr>
        <w:t>16</w:t>
      </w:r>
      <w:r w:rsidRPr="00D72227">
        <w:rPr>
          <w:lang w:val="en-US"/>
        </w:rPr>
        <w:t xml:space="preserve"> para 38.</w:t>
      </w:r>
    </w:p>
  </w:footnote>
  <w:footnote w:id="65">
    <w:p w14:paraId="02B9CEE3" w14:textId="025E5B66" w:rsidR="00F41785" w:rsidRPr="00D72227" w:rsidRDefault="00F41785" w:rsidP="00D72227">
      <w:pPr>
        <w:pStyle w:val="FootnoteText"/>
        <w:spacing w:line="240" w:lineRule="auto"/>
        <w:jc w:val="both"/>
        <w:rPr>
          <w:lang w:val="en-US"/>
        </w:rPr>
      </w:pPr>
      <w:r w:rsidRPr="00D72227">
        <w:rPr>
          <w:rStyle w:val="FootnoteReference"/>
        </w:rPr>
        <w:footnoteRef/>
      </w:r>
      <w:r w:rsidRPr="00D72227">
        <w:t xml:space="preserve"> </w:t>
      </w:r>
      <w:r w:rsidRPr="00D72227">
        <w:rPr>
          <w:lang w:val="en-US"/>
        </w:rPr>
        <w:t xml:space="preserve">See, for example, </w:t>
      </w:r>
      <w:r w:rsidRPr="00D72227">
        <w:rPr>
          <w:i/>
          <w:iCs/>
          <w:lang w:val="en-US"/>
        </w:rPr>
        <w:t>Attorney-General, Eastern Cape v Blom</w:t>
      </w:r>
      <w:r w:rsidR="00DB6391">
        <w:rPr>
          <w:i/>
          <w:iCs/>
          <w:lang w:val="en-US"/>
        </w:rPr>
        <w:t xml:space="preserve"> </w:t>
      </w:r>
      <w:r w:rsidRPr="00D72227">
        <w:rPr>
          <w:lang w:val="en-US"/>
        </w:rPr>
        <w:t>1988 (4) SA 645 (A) at 670D-F.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22866B82"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6D03">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9A2F90"/>
    <w:multiLevelType w:val="hybridMultilevel"/>
    <w:tmpl w:val="3FE8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B3641"/>
    <w:multiLevelType w:val="hybridMultilevel"/>
    <w:tmpl w:val="359E6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23280"/>
    <w:multiLevelType w:val="hybridMultilevel"/>
    <w:tmpl w:val="C714F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060A7B"/>
    <w:multiLevelType w:val="multilevel"/>
    <w:tmpl w:val="A5CACDB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2"/>
  </w:num>
  <w:num w:numId="6">
    <w:abstractNumId w:val="10"/>
  </w:num>
  <w:num w:numId="7">
    <w:abstractNumId w:val="14"/>
  </w:num>
  <w:num w:numId="8">
    <w:abstractNumId w:val="1"/>
  </w:num>
  <w:num w:numId="9">
    <w:abstractNumId w:val="7"/>
  </w:num>
  <w:num w:numId="10">
    <w:abstractNumId w:val="11"/>
  </w:num>
  <w:num w:numId="11">
    <w:abstractNumId w:val="13"/>
  </w:num>
  <w:num w:numId="12">
    <w:abstractNumId w:val="9"/>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122C"/>
    <w:rsid w:val="00001364"/>
    <w:rsid w:val="0000151B"/>
    <w:rsid w:val="00001832"/>
    <w:rsid w:val="0000206B"/>
    <w:rsid w:val="0000217A"/>
    <w:rsid w:val="000022F1"/>
    <w:rsid w:val="00004057"/>
    <w:rsid w:val="000040E7"/>
    <w:rsid w:val="00004318"/>
    <w:rsid w:val="000045F8"/>
    <w:rsid w:val="00004E1E"/>
    <w:rsid w:val="00005691"/>
    <w:rsid w:val="00005ABB"/>
    <w:rsid w:val="00005BC2"/>
    <w:rsid w:val="00005FE7"/>
    <w:rsid w:val="000061B2"/>
    <w:rsid w:val="0000642E"/>
    <w:rsid w:val="00006EF3"/>
    <w:rsid w:val="00007087"/>
    <w:rsid w:val="00007904"/>
    <w:rsid w:val="000109B4"/>
    <w:rsid w:val="00011E4E"/>
    <w:rsid w:val="00011EFF"/>
    <w:rsid w:val="0001240B"/>
    <w:rsid w:val="00012A2F"/>
    <w:rsid w:val="00013088"/>
    <w:rsid w:val="00013832"/>
    <w:rsid w:val="00014100"/>
    <w:rsid w:val="00014113"/>
    <w:rsid w:val="00014437"/>
    <w:rsid w:val="00014770"/>
    <w:rsid w:val="00016FDA"/>
    <w:rsid w:val="0001749D"/>
    <w:rsid w:val="00020432"/>
    <w:rsid w:val="000204AC"/>
    <w:rsid w:val="00021345"/>
    <w:rsid w:val="00021547"/>
    <w:rsid w:val="000220C3"/>
    <w:rsid w:val="00022804"/>
    <w:rsid w:val="00022ADD"/>
    <w:rsid w:val="000243D6"/>
    <w:rsid w:val="00024701"/>
    <w:rsid w:val="00024D5E"/>
    <w:rsid w:val="00027DA3"/>
    <w:rsid w:val="00030A25"/>
    <w:rsid w:val="00032160"/>
    <w:rsid w:val="000323B0"/>
    <w:rsid w:val="000336B9"/>
    <w:rsid w:val="000341AF"/>
    <w:rsid w:val="00034B32"/>
    <w:rsid w:val="0003553E"/>
    <w:rsid w:val="0004040E"/>
    <w:rsid w:val="00040968"/>
    <w:rsid w:val="00040E98"/>
    <w:rsid w:val="00040F79"/>
    <w:rsid w:val="00041C93"/>
    <w:rsid w:val="000422CD"/>
    <w:rsid w:val="0004294F"/>
    <w:rsid w:val="0004347D"/>
    <w:rsid w:val="0004373B"/>
    <w:rsid w:val="00044B50"/>
    <w:rsid w:val="0004501E"/>
    <w:rsid w:val="000451D0"/>
    <w:rsid w:val="00047035"/>
    <w:rsid w:val="000478E8"/>
    <w:rsid w:val="0005061D"/>
    <w:rsid w:val="0005159D"/>
    <w:rsid w:val="00051F6C"/>
    <w:rsid w:val="00052913"/>
    <w:rsid w:val="00052D5B"/>
    <w:rsid w:val="0005314E"/>
    <w:rsid w:val="000535F1"/>
    <w:rsid w:val="000536DD"/>
    <w:rsid w:val="00053AAB"/>
    <w:rsid w:val="00053D81"/>
    <w:rsid w:val="00054DEC"/>
    <w:rsid w:val="00055B27"/>
    <w:rsid w:val="00055C33"/>
    <w:rsid w:val="00056042"/>
    <w:rsid w:val="00056DB7"/>
    <w:rsid w:val="00056FBA"/>
    <w:rsid w:val="000574BF"/>
    <w:rsid w:val="000624EC"/>
    <w:rsid w:val="00062522"/>
    <w:rsid w:val="00062898"/>
    <w:rsid w:val="00063188"/>
    <w:rsid w:val="0006365C"/>
    <w:rsid w:val="00063C6E"/>
    <w:rsid w:val="00063D5A"/>
    <w:rsid w:val="0006416D"/>
    <w:rsid w:val="00065A8E"/>
    <w:rsid w:val="000664BD"/>
    <w:rsid w:val="00067D2A"/>
    <w:rsid w:val="0007050F"/>
    <w:rsid w:val="0007234C"/>
    <w:rsid w:val="0007376E"/>
    <w:rsid w:val="00073EFC"/>
    <w:rsid w:val="00074213"/>
    <w:rsid w:val="000743FD"/>
    <w:rsid w:val="00075956"/>
    <w:rsid w:val="000778A4"/>
    <w:rsid w:val="00080D4E"/>
    <w:rsid w:val="000815F5"/>
    <w:rsid w:val="00081730"/>
    <w:rsid w:val="000823D6"/>
    <w:rsid w:val="00083322"/>
    <w:rsid w:val="00083386"/>
    <w:rsid w:val="000833DB"/>
    <w:rsid w:val="0008375F"/>
    <w:rsid w:val="00084C6F"/>
    <w:rsid w:val="00086149"/>
    <w:rsid w:val="00086278"/>
    <w:rsid w:val="00086A06"/>
    <w:rsid w:val="000873BF"/>
    <w:rsid w:val="0009015D"/>
    <w:rsid w:val="00090369"/>
    <w:rsid w:val="000910CD"/>
    <w:rsid w:val="00091F8C"/>
    <w:rsid w:val="000922A0"/>
    <w:rsid w:val="00092A11"/>
    <w:rsid w:val="00093192"/>
    <w:rsid w:val="00093BC6"/>
    <w:rsid w:val="000942A6"/>
    <w:rsid w:val="0009497C"/>
    <w:rsid w:val="00094F22"/>
    <w:rsid w:val="0009675C"/>
    <w:rsid w:val="00096BC1"/>
    <w:rsid w:val="00096E59"/>
    <w:rsid w:val="00097079"/>
    <w:rsid w:val="000976CA"/>
    <w:rsid w:val="000A4B8A"/>
    <w:rsid w:val="000A4EB9"/>
    <w:rsid w:val="000A5063"/>
    <w:rsid w:val="000A59DC"/>
    <w:rsid w:val="000A6383"/>
    <w:rsid w:val="000A69C8"/>
    <w:rsid w:val="000B0946"/>
    <w:rsid w:val="000B0DC8"/>
    <w:rsid w:val="000B26AE"/>
    <w:rsid w:val="000B26CF"/>
    <w:rsid w:val="000B2D9F"/>
    <w:rsid w:val="000B31D9"/>
    <w:rsid w:val="000B45BF"/>
    <w:rsid w:val="000B507F"/>
    <w:rsid w:val="000B5790"/>
    <w:rsid w:val="000B5FBC"/>
    <w:rsid w:val="000B6309"/>
    <w:rsid w:val="000B643B"/>
    <w:rsid w:val="000B78EC"/>
    <w:rsid w:val="000C072C"/>
    <w:rsid w:val="000C0972"/>
    <w:rsid w:val="000C2D21"/>
    <w:rsid w:val="000C3531"/>
    <w:rsid w:val="000C3620"/>
    <w:rsid w:val="000C39A5"/>
    <w:rsid w:val="000C450C"/>
    <w:rsid w:val="000C613E"/>
    <w:rsid w:val="000C6E5E"/>
    <w:rsid w:val="000C7746"/>
    <w:rsid w:val="000C7A27"/>
    <w:rsid w:val="000D085B"/>
    <w:rsid w:val="000D0D78"/>
    <w:rsid w:val="000D143D"/>
    <w:rsid w:val="000D22FB"/>
    <w:rsid w:val="000D46FB"/>
    <w:rsid w:val="000D487F"/>
    <w:rsid w:val="000D4B04"/>
    <w:rsid w:val="000D4BFA"/>
    <w:rsid w:val="000D4C7F"/>
    <w:rsid w:val="000D5A45"/>
    <w:rsid w:val="000D667A"/>
    <w:rsid w:val="000E0FD3"/>
    <w:rsid w:val="000E1C45"/>
    <w:rsid w:val="000E2444"/>
    <w:rsid w:val="000E3040"/>
    <w:rsid w:val="000E3E15"/>
    <w:rsid w:val="000E4F0D"/>
    <w:rsid w:val="000E5100"/>
    <w:rsid w:val="000E515F"/>
    <w:rsid w:val="000E58C0"/>
    <w:rsid w:val="000E7ECD"/>
    <w:rsid w:val="000F0206"/>
    <w:rsid w:val="000F022E"/>
    <w:rsid w:val="000F05E0"/>
    <w:rsid w:val="000F1A95"/>
    <w:rsid w:val="000F3130"/>
    <w:rsid w:val="000F4675"/>
    <w:rsid w:val="000F521B"/>
    <w:rsid w:val="000F5351"/>
    <w:rsid w:val="000F58E2"/>
    <w:rsid w:val="000F6359"/>
    <w:rsid w:val="000F6498"/>
    <w:rsid w:val="000F6BFE"/>
    <w:rsid w:val="000F7BB4"/>
    <w:rsid w:val="000F7DF4"/>
    <w:rsid w:val="001005F3"/>
    <w:rsid w:val="0010068E"/>
    <w:rsid w:val="00100F9A"/>
    <w:rsid w:val="00101FE9"/>
    <w:rsid w:val="0010218C"/>
    <w:rsid w:val="00102D5B"/>
    <w:rsid w:val="00103A52"/>
    <w:rsid w:val="001044DB"/>
    <w:rsid w:val="00104C8D"/>
    <w:rsid w:val="00105EB6"/>
    <w:rsid w:val="0010622C"/>
    <w:rsid w:val="001078B5"/>
    <w:rsid w:val="001078D6"/>
    <w:rsid w:val="0010795C"/>
    <w:rsid w:val="00107A5F"/>
    <w:rsid w:val="0011026A"/>
    <w:rsid w:val="00110EF0"/>
    <w:rsid w:val="001124A5"/>
    <w:rsid w:val="0011347E"/>
    <w:rsid w:val="00113AE2"/>
    <w:rsid w:val="001167C9"/>
    <w:rsid w:val="00116EB9"/>
    <w:rsid w:val="00120CD3"/>
    <w:rsid w:val="00120E93"/>
    <w:rsid w:val="001226DE"/>
    <w:rsid w:val="00123296"/>
    <w:rsid w:val="00123B50"/>
    <w:rsid w:val="00125A26"/>
    <w:rsid w:val="00125C9C"/>
    <w:rsid w:val="0012621C"/>
    <w:rsid w:val="00126D03"/>
    <w:rsid w:val="00130228"/>
    <w:rsid w:val="00130CAA"/>
    <w:rsid w:val="00131984"/>
    <w:rsid w:val="00131A28"/>
    <w:rsid w:val="001337CC"/>
    <w:rsid w:val="00134C11"/>
    <w:rsid w:val="00135C81"/>
    <w:rsid w:val="001367D6"/>
    <w:rsid w:val="00137590"/>
    <w:rsid w:val="0013785C"/>
    <w:rsid w:val="00137E08"/>
    <w:rsid w:val="00137EE3"/>
    <w:rsid w:val="00142F79"/>
    <w:rsid w:val="001435EB"/>
    <w:rsid w:val="00144974"/>
    <w:rsid w:val="00144BEF"/>
    <w:rsid w:val="00146BA3"/>
    <w:rsid w:val="00146C33"/>
    <w:rsid w:val="001517E0"/>
    <w:rsid w:val="00151EB8"/>
    <w:rsid w:val="00156DBD"/>
    <w:rsid w:val="00157785"/>
    <w:rsid w:val="00157898"/>
    <w:rsid w:val="00157C19"/>
    <w:rsid w:val="00160C6B"/>
    <w:rsid w:val="00160EBC"/>
    <w:rsid w:val="00160F58"/>
    <w:rsid w:val="001635BF"/>
    <w:rsid w:val="00163A58"/>
    <w:rsid w:val="00164B7B"/>
    <w:rsid w:val="00170586"/>
    <w:rsid w:val="0017065E"/>
    <w:rsid w:val="001708A6"/>
    <w:rsid w:val="00172B5C"/>
    <w:rsid w:val="00173547"/>
    <w:rsid w:val="001736BD"/>
    <w:rsid w:val="001747D1"/>
    <w:rsid w:val="00174B6D"/>
    <w:rsid w:val="001751A9"/>
    <w:rsid w:val="0017614D"/>
    <w:rsid w:val="0018006A"/>
    <w:rsid w:val="00180F4E"/>
    <w:rsid w:val="00181923"/>
    <w:rsid w:val="00181A1B"/>
    <w:rsid w:val="00181E7E"/>
    <w:rsid w:val="00182175"/>
    <w:rsid w:val="00183B1E"/>
    <w:rsid w:val="00184625"/>
    <w:rsid w:val="00185309"/>
    <w:rsid w:val="00186769"/>
    <w:rsid w:val="001870AF"/>
    <w:rsid w:val="00187814"/>
    <w:rsid w:val="00190E8E"/>
    <w:rsid w:val="00191768"/>
    <w:rsid w:val="00192869"/>
    <w:rsid w:val="001943D2"/>
    <w:rsid w:val="001954F0"/>
    <w:rsid w:val="00195571"/>
    <w:rsid w:val="001955AB"/>
    <w:rsid w:val="00196742"/>
    <w:rsid w:val="00196804"/>
    <w:rsid w:val="00197256"/>
    <w:rsid w:val="0019792B"/>
    <w:rsid w:val="001A0EFF"/>
    <w:rsid w:val="001A13CA"/>
    <w:rsid w:val="001A1622"/>
    <w:rsid w:val="001A4F33"/>
    <w:rsid w:val="001A5822"/>
    <w:rsid w:val="001B02CC"/>
    <w:rsid w:val="001B0D01"/>
    <w:rsid w:val="001B1E13"/>
    <w:rsid w:val="001B2578"/>
    <w:rsid w:val="001B2FE4"/>
    <w:rsid w:val="001B505F"/>
    <w:rsid w:val="001B6717"/>
    <w:rsid w:val="001B69E3"/>
    <w:rsid w:val="001B7ED9"/>
    <w:rsid w:val="001C04BC"/>
    <w:rsid w:val="001C2DD7"/>
    <w:rsid w:val="001C2E6B"/>
    <w:rsid w:val="001C48A5"/>
    <w:rsid w:val="001C5058"/>
    <w:rsid w:val="001C543C"/>
    <w:rsid w:val="001C6239"/>
    <w:rsid w:val="001C7061"/>
    <w:rsid w:val="001D029D"/>
    <w:rsid w:val="001D0962"/>
    <w:rsid w:val="001D1E6A"/>
    <w:rsid w:val="001D214B"/>
    <w:rsid w:val="001D27BF"/>
    <w:rsid w:val="001D4C5E"/>
    <w:rsid w:val="001D4D02"/>
    <w:rsid w:val="001D5A9D"/>
    <w:rsid w:val="001D5F83"/>
    <w:rsid w:val="001D61C8"/>
    <w:rsid w:val="001D6E64"/>
    <w:rsid w:val="001E0F36"/>
    <w:rsid w:val="001E1834"/>
    <w:rsid w:val="001E1924"/>
    <w:rsid w:val="001E1B07"/>
    <w:rsid w:val="001E24E0"/>
    <w:rsid w:val="001E2D47"/>
    <w:rsid w:val="001E4824"/>
    <w:rsid w:val="001E4EC1"/>
    <w:rsid w:val="001E640A"/>
    <w:rsid w:val="001E6A6E"/>
    <w:rsid w:val="001E701F"/>
    <w:rsid w:val="001E7844"/>
    <w:rsid w:val="001E78D5"/>
    <w:rsid w:val="001E7C8F"/>
    <w:rsid w:val="001F0422"/>
    <w:rsid w:val="001F0AF1"/>
    <w:rsid w:val="001F0E03"/>
    <w:rsid w:val="001F2276"/>
    <w:rsid w:val="001F2395"/>
    <w:rsid w:val="001F335C"/>
    <w:rsid w:val="001F3A41"/>
    <w:rsid w:val="001F3CA5"/>
    <w:rsid w:val="001F43B7"/>
    <w:rsid w:val="001F59AB"/>
    <w:rsid w:val="001F7D30"/>
    <w:rsid w:val="00201DC6"/>
    <w:rsid w:val="00201F12"/>
    <w:rsid w:val="0020431A"/>
    <w:rsid w:val="00205DB9"/>
    <w:rsid w:val="00206D6C"/>
    <w:rsid w:val="00207573"/>
    <w:rsid w:val="0020772B"/>
    <w:rsid w:val="00211375"/>
    <w:rsid w:val="002115FE"/>
    <w:rsid w:val="00213271"/>
    <w:rsid w:val="00213565"/>
    <w:rsid w:val="0021430F"/>
    <w:rsid w:val="00214811"/>
    <w:rsid w:val="0021491A"/>
    <w:rsid w:val="00215EBC"/>
    <w:rsid w:val="00215FE0"/>
    <w:rsid w:val="0021730A"/>
    <w:rsid w:val="00217399"/>
    <w:rsid w:val="002203EC"/>
    <w:rsid w:val="00221A84"/>
    <w:rsid w:val="00222854"/>
    <w:rsid w:val="00222C3D"/>
    <w:rsid w:val="00222D23"/>
    <w:rsid w:val="002231FE"/>
    <w:rsid w:val="00223279"/>
    <w:rsid w:val="00224363"/>
    <w:rsid w:val="00224B6B"/>
    <w:rsid w:val="00225478"/>
    <w:rsid w:val="0022594E"/>
    <w:rsid w:val="00226444"/>
    <w:rsid w:val="0022692B"/>
    <w:rsid w:val="00226ADA"/>
    <w:rsid w:val="00227379"/>
    <w:rsid w:val="00230057"/>
    <w:rsid w:val="00230B10"/>
    <w:rsid w:val="00231325"/>
    <w:rsid w:val="002327AF"/>
    <w:rsid w:val="0023410F"/>
    <w:rsid w:val="00235EE3"/>
    <w:rsid w:val="0023658E"/>
    <w:rsid w:val="0023677B"/>
    <w:rsid w:val="00236B9D"/>
    <w:rsid w:val="00236E98"/>
    <w:rsid w:val="0023768E"/>
    <w:rsid w:val="002402F6"/>
    <w:rsid w:val="00240BAF"/>
    <w:rsid w:val="002428A0"/>
    <w:rsid w:val="0024410A"/>
    <w:rsid w:val="00244DFF"/>
    <w:rsid w:val="00245504"/>
    <w:rsid w:val="00245BEB"/>
    <w:rsid w:val="002470C9"/>
    <w:rsid w:val="00247551"/>
    <w:rsid w:val="0025042C"/>
    <w:rsid w:val="00250530"/>
    <w:rsid w:val="0025056A"/>
    <w:rsid w:val="00251374"/>
    <w:rsid w:val="00252FC1"/>
    <w:rsid w:val="00253273"/>
    <w:rsid w:val="00253D8C"/>
    <w:rsid w:val="00256208"/>
    <w:rsid w:val="00256FCC"/>
    <w:rsid w:val="00257A15"/>
    <w:rsid w:val="002606D8"/>
    <w:rsid w:val="00260A94"/>
    <w:rsid w:val="00260B67"/>
    <w:rsid w:val="00260BE5"/>
    <w:rsid w:val="002612A5"/>
    <w:rsid w:val="00261583"/>
    <w:rsid w:val="0026158F"/>
    <w:rsid w:val="002617D8"/>
    <w:rsid w:val="00262545"/>
    <w:rsid w:val="00262D2A"/>
    <w:rsid w:val="00262D6D"/>
    <w:rsid w:val="0026329A"/>
    <w:rsid w:val="002635B7"/>
    <w:rsid w:val="00263B8D"/>
    <w:rsid w:val="00263BCC"/>
    <w:rsid w:val="0026495C"/>
    <w:rsid w:val="00265010"/>
    <w:rsid w:val="00265180"/>
    <w:rsid w:val="002657E2"/>
    <w:rsid w:val="00265AEB"/>
    <w:rsid w:val="0026634E"/>
    <w:rsid w:val="0026645C"/>
    <w:rsid w:val="002679A6"/>
    <w:rsid w:val="00267F3B"/>
    <w:rsid w:val="002705E9"/>
    <w:rsid w:val="00270BCB"/>
    <w:rsid w:val="00270D70"/>
    <w:rsid w:val="00273903"/>
    <w:rsid w:val="00274208"/>
    <w:rsid w:val="00274C5C"/>
    <w:rsid w:val="00274C64"/>
    <w:rsid w:val="00275410"/>
    <w:rsid w:val="0027548E"/>
    <w:rsid w:val="002757F3"/>
    <w:rsid w:val="00276100"/>
    <w:rsid w:val="00276246"/>
    <w:rsid w:val="00277EB6"/>
    <w:rsid w:val="00280E1B"/>
    <w:rsid w:val="0028182D"/>
    <w:rsid w:val="002852C4"/>
    <w:rsid w:val="00285664"/>
    <w:rsid w:val="00287A18"/>
    <w:rsid w:val="00287A26"/>
    <w:rsid w:val="00290BE0"/>
    <w:rsid w:val="00290DC6"/>
    <w:rsid w:val="00290E92"/>
    <w:rsid w:val="0029350C"/>
    <w:rsid w:val="0029395B"/>
    <w:rsid w:val="00294129"/>
    <w:rsid w:val="00294265"/>
    <w:rsid w:val="00294313"/>
    <w:rsid w:val="002948C1"/>
    <w:rsid w:val="00295E46"/>
    <w:rsid w:val="002960D0"/>
    <w:rsid w:val="002A01B5"/>
    <w:rsid w:val="002A024E"/>
    <w:rsid w:val="002A080F"/>
    <w:rsid w:val="002A0DBB"/>
    <w:rsid w:val="002A0EB5"/>
    <w:rsid w:val="002A157A"/>
    <w:rsid w:val="002A1950"/>
    <w:rsid w:val="002A1D97"/>
    <w:rsid w:val="002A1E2F"/>
    <w:rsid w:val="002A21AF"/>
    <w:rsid w:val="002A2AA4"/>
    <w:rsid w:val="002A2EA4"/>
    <w:rsid w:val="002A3836"/>
    <w:rsid w:val="002A3C5C"/>
    <w:rsid w:val="002A41BF"/>
    <w:rsid w:val="002A61D9"/>
    <w:rsid w:val="002A6332"/>
    <w:rsid w:val="002A6593"/>
    <w:rsid w:val="002A6B82"/>
    <w:rsid w:val="002A73A7"/>
    <w:rsid w:val="002A7F46"/>
    <w:rsid w:val="002B0620"/>
    <w:rsid w:val="002B0DEA"/>
    <w:rsid w:val="002B1714"/>
    <w:rsid w:val="002B31B7"/>
    <w:rsid w:val="002B3FE3"/>
    <w:rsid w:val="002B54B7"/>
    <w:rsid w:val="002B6730"/>
    <w:rsid w:val="002B6BFF"/>
    <w:rsid w:val="002B769D"/>
    <w:rsid w:val="002B7778"/>
    <w:rsid w:val="002B7874"/>
    <w:rsid w:val="002C1ECF"/>
    <w:rsid w:val="002C1ED3"/>
    <w:rsid w:val="002C3A0D"/>
    <w:rsid w:val="002C45D8"/>
    <w:rsid w:val="002C513F"/>
    <w:rsid w:val="002C7051"/>
    <w:rsid w:val="002C7128"/>
    <w:rsid w:val="002D4CBC"/>
    <w:rsid w:val="002D5E0F"/>
    <w:rsid w:val="002D6D70"/>
    <w:rsid w:val="002D7292"/>
    <w:rsid w:val="002E0CCA"/>
    <w:rsid w:val="002E141A"/>
    <w:rsid w:val="002E1B95"/>
    <w:rsid w:val="002E3EC7"/>
    <w:rsid w:val="002E4808"/>
    <w:rsid w:val="002E483E"/>
    <w:rsid w:val="002E4AD9"/>
    <w:rsid w:val="002E52A9"/>
    <w:rsid w:val="002E60A3"/>
    <w:rsid w:val="002E6D7C"/>
    <w:rsid w:val="002E6FFA"/>
    <w:rsid w:val="002E7045"/>
    <w:rsid w:val="002E7199"/>
    <w:rsid w:val="002F012F"/>
    <w:rsid w:val="002F041F"/>
    <w:rsid w:val="002F0513"/>
    <w:rsid w:val="002F0990"/>
    <w:rsid w:val="002F0C58"/>
    <w:rsid w:val="002F13D1"/>
    <w:rsid w:val="002F2B4B"/>
    <w:rsid w:val="002F2BC8"/>
    <w:rsid w:val="002F37F8"/>
    <w:rsid w:val="002F4EDB"/>
    <w:rsid w:val="002F563E"/>
    <w:rsid w:val="002F60D3"/>
    <w:rsid w:val="002F7574"/>
    <w:rsid w:val="00300A59"/>
    <w:rsid w:val="00300F27"/>
    <w:rsid w:val="00302044"/>
    <w:rsid w:val="0030214A"/>
    <w:rsid w:val="00302E78"/>
    <w:rsid w:val="00303494"/>
    <w:rsid w:val="003035F7"/>
    <w:rsid w:val="0030582F"/>
    <w:rsid w:val="00306288"/>
    <w:rsid w:val="00307AB3"/>
    <w:rsid w:val="0031136B"/>
    <w:rsid w:val="003117C2"/>
    <w:rsid w:val="003140F9"/>
    <w:rsid w:val="003148EA"/>
    <w:rsid w:val="003150CA"/>
    <w:rsid w:val="00315CB8"/>
    <w:rsid w:val="00315D8D"/>
    <w:rsid w:val="003168ED"/>
    <w:rsid w:val="00317231"/>
    <w:rsid w:val="003172EB"/>
    <w:rsid w:val="00317AB4"/>
    <w:rsid w:val="00321E11"/>
    <w:rsid w:val="003220AB"/>
    <w:rsid w:val="003228A7"/>
    <w:rsid w:val="00324CE8"/>
    <w:rsid w:val="003259E6"/>
    <w:rsid w:val="00325BD4"/>
    <w:rsid w:val="00326A33"/>
    <w:rsid w:val="0032785C"/>
    <w:rsid w:val="00327D19"/>
    <w:rsid w:val="00327E36"/>
    <w:rsid w:val="00327E53"/>
    <w:rsid w:val="00330795"/>
    <w:rsid w:val="00330E85"/>
    <w:rsid w:val="0033141A"/>
    <w:rsid w:val="0033219D"/>
    <w:rsid w:val="00332ABC"/>
    <w:rsid w:val="00333219"/>
    <w:rsid w:val="00333C4B"/>
    <w:rsid w:val="00334624"/>
    <w:rsid w:val="00335693"/>
    <w:rsid w:val="00335897"/>
    <w:rsid w:val="0033634C"/>
    <w:rsid w:val="0033669D"/>
    <w:rsid w:val="003367DD"/>
    <w:rsid w:val="00337DB5"/>
    <w:rsid w:val="0034206E"/>
    <w:rsid w:val="003421F3"/>
    <w:rsid w:val="0034316F"/>
    <w:rsid w:val="00343E5D"/>
    <w:rsid w:val="0034439B"/>
    <w:rsid w:val="003455A7"/>
    <w:rsid w:val="00345A16"/>
    <w:rsid w:val="003469BB"/>
    <w:rsid w:val="00347616"/>
    <w:rsid w:val="00350743"/>
    <w:rsid w:val="00350A47"/>
    <w:rsid w:val="00350FD0"/>
    <w:rsid w:val="003513CA"/>
    <w:rsid w:val="00351FAC"/>
    <w:rsid w:val="003529AF"/>
    <w:rsid w:val="00353410"/>
    <w:rsid w:val="00353564"/>
    <w:rsid w:val="00353652"/>
    <w:rsid w:val="003564CA"/>
    <w:rsid w:val="0035756C"/>
    <w:rsid w:val="00357751"/>
    <w:rsid w:val="003601F1"/>
    <w:rsid w:val="00360BFC"/>
    <w:rsid w:val="00360D75"/>
    <w:rsid w:val="00362A40"/>
    <w:rsid w:val="00363BF3"/>
    <w:rsid w:val="00363E7D"/>
    <w:rsid w:val="003649E8"/>
    <w:rsid w:val="0036531A"/>
    <w:rsid w:val="00366631"/>
    <w:rsid w:val="003679D5"/>
    <w:rsid w:val="00367B79"/>
    <w:rsid w:val="003700BB"/>
    <w:rsid w:val="0037015D"/>
    <w:rsid w:val="003719AE"/>
    <w:rsid w:val="0037217E"/>
    <w:rsid w:val="00373BB6"/>
    <w:rsid w:val="00374F02"/>
    <w:rsid w:val="00375614"/>
    <w:rsid w:val="00377962"/>
    <w:rsid w:val="00380E60"/>
    <w:rsid w:val="00381483"/>
    <w:rsid w:val="00381C36"/>
    <w:rsid w:val="00381D62"/>
    <w:rsid w:val="00382ADF"/>
    <w:rsid w:val="003869D5"/>
    <w:rsid w:val="003873F3"/>
    <w:rsid w:val="003905B9"/>
    <w:rsid w:val="0039206E"/>
    <w:rsid w:val="003929E3"/>
    <w:rsid w:val="00392A4B"/>
    <w:rsid w:val="00392AA2"/>
    <w:rsid w:val="00393BA3"/>
    <w:rsid w:val="0039527F"/>
    <w:rsid w:val="00395660"/>
    <w:rsid w:val="00395A71"/>
    <w:rsid w:val="0039682A"/>
    <w:rsid w:val="00397DEE"/>
    <w:rsid w:val="003A2A6F"/>
    <w:rsid w:val="003A37F4"/>
    <w:rsid w:val="003A4F1D"/>
    <w:rsid w:val="003A4F95"/>
    <w:rsid w:val="003A6F71"/>
    <w:rsid w:val="003A6FF1"/>
    <w:rsid w:val="003A745C"/>
    <w:rsid w:val="003A7AA6"/>
    <w:rsid w:val="003A7BAA"/>
    <w:rsid w:val="003B01D4"/>
    <w:rsid w:val="003B02AA"/>
    <w:rsid w:val="003B10EC"/>
    <w:rsid w:val="003B1570"/>
    <w:rsid w:val="003B15C9"/>
    <w:rsid w:val="003B1FAC"/>
    <w:rsid w:val="003B21BF"/>
    <w:rsid w:val="003B31ED"/>
    <w:rsid w:val="003B3C31"/>
    <w:rsid w:val="003B43B8"/>
    <w:rsid w:val="003B5DB8"/>
    <w:rsid w:val="003B5FEE"/>
    <w:rsid w:val="003B6B4E"/>
    <w:rsid w:val="003B76D9"/>
    <w:rsid w:val="003C0775"/>
    <w:rsid w:val="003C0CEB"/>
    <w:rsid w:val="003C2957"/>
    <w:rsid w:val="003C2C2F"/>
    <w:rsid w:val="003C351A"/>
    <w:rsid w:val="003C3BC6"/>
    <w:rsid w:val="003C5934"/>
    <w:rsid w:val="003C5EFA"/>
    <w:rsid w:val="003C7080"/>
    <w:rsid w:val="003D08F3"/>
    <w:rsid w:val="003D11D0"/>
    <w:rsid w:val="003D2029"/>
    <w:rsid w:val="003D239A"/>
    <w:rsid w:val="003D2C74"/>
    <w:rsid w:val="003D3E43"/>
    <w:rsid w:val="003D4B79"/>
    <w:rsid w:val="003D5245"/>
    <w:rsid w:val="003D5507"/>
    <w:rsid w:val="003D5A10"/>
    <w:rsid w:val="003D5E6D"/>
    <w:rsid w:val="003D5E95"/>
    <w:rsid w:val="003D6CDD"/>
    <w:rsid w:val="003D6FB8"/>
    <w:rsid w:val="003D7CB9"/>
    <w:rsid w:val="003E0238"/>
    <w:rsid w:val="003E0E84"/>
    <w:rsid w:val="003E0F7C"/>
    <w:rsid w:val="003E2B73"/>
    <w:rsid w:val="003E2C11"/>
    <w:rsid w:val="003E2F03"/>
    <w:rsid w:val="003E3B3F"/>
    <w:rsid w:val="003E3BBF"/>
    <w:rsid w:val="003E424A"/>
    <w:rsid w:val="003E5D59"/>
    <w:rsid w:val="003E69F5"/>
    <w:rsid w:val="003E6A8C"/>
    <w:rsid w:val="003E75F3"/>
    <w:rsid w:val="003F0D9E"/>
    <w:rsid w:val="003F0FFB"/>
    <w:rsid w:val="003F1508"/>
    <w:rsid w:val="003F1974"/>
    <w:rsid w:val="003F2109"/>
    <w:rsid w:val="003F2729"/>
    <w:rsid w:val="003F2790"/>
    <w:rsid w:val="003F50FF"/>
    <w:rsid w:val="003F5900"/>
    <w:rsid w:val="003F6355"/>
    <w:rsid w:val="00400266"/>
    <w:rsid w:val="00400E31"/>
    <w:rsid w:val="00401A9A"/>
    <w:rsid w:val="00402EEA"/>
    <w:rsid w:val="00403E66"/>
    <w:rsid w:val="00404201"/>
    <w:rsid w:val="00405CEF"/>
    <w:rsid w:val="0040613D"/>
    <w:rsid w:val="004062EC"/>
    <w:rsid w:val="00406337"/>
    <w:rsid w:val="00406A00"/>
    <w:rsid w:val="004072C1"/>
    <w:rsid w:val="004074B3"/>
    <w:rsid w:val="004075EA"/>
    <w:rsid w:val="00410C82"/>
    <w:rsid w:val="0041108E"/>
    <w:rsid w:val="004115E8"/>
    <w:rsid w:val="00412DF2"/>
    <w:rsid w:val="004138F5"/>
    <w:rsid w:val="00413D22"/>
    <w:rsid w:val="00414C90"/>
    <w:rsid w:val="0041510E"/>
    <w:rsid w:val="00415FC3"/>
    <w:rsid w:val="004165B0"/>
    <w:rsid w:val="004165D6"/>
    <w:rsid w:val="004168CA"/>
    <w:rsid w:val="004173E0"/>
    <w:rsid w:val="0042163E"/>
    <w:rsid w:val="00423163"/>
    <w:rsid w:val="004244A5"/>
    <w:rsid w:val="00424BF9"/>
    <w:rsid w:val="00427318"/>
    <w:rsid w:val="004276CD"/>
    <w:rsid w:val="0042778E"/>
    <w:rsid w:val="00427843"/>
    <w:rsid w:val="004302B6"/>
    <w:rsid w:val="0043230A"/>
    <w:rsid w:val="00432724"/>
    <w:rsid w:val="0043511C"/>
    <w:rsid w:val="00435538"/>
    <w:rsid w:val="00436BA5"/>
    <w:rsid w:val="00437E88"/>
    <w:rsid w:val="00440672"/>
    <w:rsid w:val="00441E70"/>
    <w:rsid w:val="00441E75"/>
    <w:rsid w:val="00443779"/>
    <w:rsid w:val="004437B8"/>
    <w:rsid w:val="00443CCC"/>
    <w:rsid w:val="004441E4"/>
    <w:rsid w:val="004443DA"/>
    <w:rsid w:val="004448E8"/>
    <w:rsid w:val="0044627C"/>
    <w:rsid w:val="004474E9"/>
    <w:rsid w:val="004474FB"/>
    <w:rsid w:val="00450E65"/>
    <w:rsid w:val="004521C0"/>
    <w:rsid w:val="00452251"/>
    <w:rsid w:val="004526A6"/>
    <w:rsid w:val="004528CC"/>
    <w:rsid w:val="004529C3"/>
    <w:rsid w:val="0045608B"/>
    <w:rsid w:val="00456F0C"/>
    <w:rsid w:val="004600FA"/>
    <w:rsid w:val="00462CED"/>
    <w:rsid w:val="004652FD"/>
    <w:rsid w:val="004654D1"/>
    <w:rsid w:val="004657F4"/>
    <w:rsid w:val="00465C58"/>
    <w:rsid w:val="00465F9D"/>
    <w:rsid w:val="00466979"/>
    <w:rsid w:val="00466D17"/>
    <w:rsid w:val="00467285"/>
    <w:rsid w:val="00467E20"/>
    <w:rsid w:val="00472661"/>
    <w:rsid w:val="00472A4C"/>
    <w:rsid w:val="00472B05"/>
    <w:rsid w:val="00472E85"/>
    <w:rsid w:val="00473068"/>
    <w:rsid w:val="004730E2"/>
    <w:rsid w:val="004735D5"/>
    <w:rsid w:val="004754B9"/>
    <w:rsid w:val="0047556B"/>
    <w:rsid w:val="00475C2D"/>
    <w:rsid w:val="00475D63"/>
    <w:rsid w:val="004760E9"/>
    <w:rsid w:val="00477226"/>
    <w:rsid w:val="00480FA4"/>
    <w:rsid w:val="004813E8"/>
    <w:rsid w:val="0048189A"/>
    <w:rsid w:val="004827F3"/>
    <w:rsid w:val="004829F2"/>
    <w:rsid w:val="004849C4"/>
    <w:rsid w:val="0048551A"/>
    <w:rsid w:val="00486114"/>
    <w:rsid w:val="004863E4"/>
    <w:rsid w:val="00486666"/>
    <w:rsid w:val="00487264"/>
    <w:rsid w:val="00490D2A"/>
    <w:rsid w:val="0049105D"/>
    <w:rsid w:val="004918C4"/>
    <w:rsid w:val="004932A2"/>
    <w:rsid w:val="00496E8C"/>
    <w:rsid w:val="00496EAA"/>
    <w:rsid w:val="00497A7B"/>
    <w:rsid w:val="004A00B9"/>
    <w:rsid w:val="004A08D7"/>
    <w:rsid w:val="004A12FF"/>
    <w:rsid w:val="004A5151"/>
    <w:rsid w:val="004A5DB1"/>
    <w:rsid w:val="004A687F"/>
    <w:rsid w:val="004A6F0F"/>
    <w:rsid w:val="004A7359"/>
    <w:rsid w:val="004B2AFE"/>
    <w:rsid w:val="004B3161"/>
    <w:rsid w:val="004B3EFB"/>
    <w:rsid w:val="004B419D"/>
    <w:rsid w:val="004B5305"/>
    <w:rsid w:val="004B5BAF"/>
    <w:rsid w:val="004B5CB4"/>
    <w:rsid w:val="004B632A"/>
    <w:rsid w:val="004B7E82"/>
    <w:rsid w:val="004C0624"/>
    <w:rsid w:val="004C06AD"/>
    <w:rsid w:val="004C0946"/>
    <w:rsid w:val="004C0B60"/>
    <w:rsid w:val="004C0C08"/>
    <w:rsid w:val="004C13CF"/>
    <w:rsid w:val="004C1577"/>
    <w:rsid w:val="004C1F7C"/>
    <w:rsid w:val="004C60D2"/>
    <w:rsid w:val="004C665A"/>
    <w:rsid w:val="004C68D7"/>
    <w:rsid w:val="004C7262"/>
    <w:rsid w:val="004C7EB2"/>
    <w:rsid w:val="004C7FBE"/>
    <w:rsid w:val="004D0163"/>
    <w:rsid w:val="004D0AC5"/>
    <w:rsid w:val="004D1301"/>
    <w:rsid w:val="004D19EB"/>
    <w:rsid w:val="004D1AAF"/>
    <w:rsid w:val="004D1DC6"/>
    <w:rsid w:val="004D3210"/>
    <w:rsid w:val="004D35C6"/>
    <w:rsid w:val="004D36C4"/>
    <w:rsid w:val="004D4338"/>
    <w:rsid w:val="004D5A90"/>
    <w:rsid w:val="004D6A09"/>
    <w:rsid w:val="004D7229"/>
    <w:rsid w:val="004D77EF"/>
    <w:rsid w:val="004E06B4"/>
    <w:rsid w:val="004E189A"/>
    <w:rsid w:val="004E1A28"/>
    <w:rsid w:val="004E2076"/>
    <w:rsid w:val="004E2F8E"/>
    <w:rsid w:val="004E318F"/>
    <w:rsid w:val="004E3B57"/>
    <w:rsid w:val="004E5A0A"/>
    <w:rsid w:val="004E5BED"/>
    <w:rsid w:val="004E5BF9"/>
    <w:rsid w:val="004E5FE3"/>
    <w:rsid w:val="004E6694"/>
    <w:rsid w:val="004E6764"/>
    <w:rsid w:val="004E791F"/>
    <w:rsid w:val="004F0088"/>
    <w:rsid w:val="004F021C"/>
    <w:rsid w:val="004F1757"/>
    <w:rsid w:val="004F1D20"/>
    <w:rsid w:val="004F326C"/>
    <w:rsid w:val="004F38A6"/>
    <w:rsid w:val="004F444A"/>
    <w:rsid w:val="004F46F4"/>
    <w:rsid w:val="004F5575"/>
    <w:rsid w:val="004F5958"/>
    <w:rsid w:val="004F79D9"/>
    <w:rsid w:val="00500E2B"/>
    <w:rsid w:val="005014BC"/>
    <w:rsid w:val="00501617"/>
    <w:rsid w:val="00502229"/>
    <w:rsid w:val="005030DE"/>
    <w:rsid w:val="00504A03"/>
    <w:rsid w:val="00504BCF"/>
    <w:rsid w:val="00504C5F"/>
    <w:rsid w:val="0050634D"/>
    <w:rsid w:val="005078B2"/>
    <w:rsid w:val="005079C1"/>
    <w:rsid w:val="00507BBF"/>
    <w:rsid w:val="0051079B"/>
    <w:rsid w:val="00511260"/>
    <w:rsid w:val="00511565"/>
    <w:rsid w:val="0051172C"/>
    <w:rsid w:val="0051380C"/>
    <w:rsid w:val="005147AE"/>
    <w:rsid w:val="00514878"/>
    <w:rsid w:val="00514A0F"/>
    <w:rsid w:val="005164E4"/>
    <w:rsid w:val="0051706E"/>
    <w:rsid w:val="00520E7F"/>
    <w:rsid w:val="00521276"/>
    <w:rsid w:val="00523756"/>
    <w:rsid w:val="00523DBC"/>
    <w:rsid w:val="00524466"/>
    <w:rsid w:val="005244E9"/>
    <w:rsid w:val="00525DF3"/>
    <w:rsid w:val="00530123"/>
    <w:rsid w:val="00530509"/>
    <w:rsid w:val="00530B27"/>
    <w:rsid w:val="00531539"/>
    <w:rsid w:val="00532080"/>
    <w:rsid w:val="00537C4B"/>
    <w:rsid w:val="00537F8C"/>
    <w:rsid w:val="00540198"/>
    <w:rsid w:val="00540C0C"/>
    <w:rsid w:val="005417E8"/>
    <w:rsid w:val="00543F42"/>
    <w:rsid w:val="00545009"/>
    <w:rsid w:val="00545140"/>
    <w:rsid w:val="00545668"/>
    <w:rsid w:val="0055098F"/>
    <w:rsid w:val="005517B9"/>
    <w:rsid w:val="00551B66"/>
    <w:rsid w:val="00553E7D"/>
    <w:rsid w:val="005542BD"/>
    <w:rsid w:val="00556489"/>
    <w:rsid w:val="00556EDA"/>
    <w:rsid w:val="00556FC7"/>
    <w:rsid w:val="005573D6"/>
    <w:rsid w:val="0056029F"/>
    <w:rsid w:val="005610EB"/>
    <w:rsid w:val="00561D91"/>
    <w:rsid w:val="0056211F"/>
    <w:rsid w:val="00563011"/>
    <w:rsid w:val="0056509F"/>
    <w:rsid w:val="00565326"/>
    <w:rsid w:val="00566C6A"/>
    <w:rsid w:val="0057024A"/>
    <w:rsid w:val="005703D6"/>
    <w:rsid w:val="00570A0D"/>
    <w:rsid w:val="005714E3"/>
    <w:rsid w:val="005754FC"/>
    <w:rsid w:val="00575EE3"/>
    <w:rsid w:val="00575F9C"/>
    <w:rsid w:val="00576979"/>
    <w:rsid w:val="0057703E"/>
    <w:rsid w:val="00577D50"/>
    <w:rsid w:val="00580762"/>
    <w:rsid w:val="00580D85"/>
    <w:rsid w:val="005813AC"/>
    <w:rsid w:val="0058354A"/>
    <w:rsid w:val="005836E1"/>
    <w:rsid w:val="00584786"/>
    <w:rsid w:val="00584BA7"/>
    <w:rsid w:val="00584EB1"/>
    <w:rsid w:val="00586CFB"/>
    <w:rsid w:val="00587148"/>
    <w:rsid w:val="00587D29"/>
    <w:rsid w:val="00587D70"/>
    <w:rsid w:val="00591072"/>
    <w:rsid w:val="00592856"/>
    <w:rsid w:val="005934B8"/>
    <w:rsid w:val="0059474B"/>
    <w:rsid w:val="00594C9D"/>
    <w:rsid w:val="005950D4"/>
    <w:rsid w:val="00595C65"/>
    <w:rsid w:val="005964E5"/>
    <w:rsid w:val="005969E2"/>
    <w:rsid w:val="00597705"/>
    <w:rsid w:val="00597A84"/>
    <w:rsid w:val="005A2449"/>
    <w:rsid w:val="005A2C39"/>
    <w:rsid w:val="005A2C73"/>
    <w:rsid w:val="005A3E4D"/>
    <w:rsid w:val="005A4FC0"/>
    <w:rsid w:val="005A71F7"/>
    <w:rsid w:val="005A7544"/>
    <w:rsid w:val="005B1333"/>
    <w:rsid w:val="005B1872"/>
    <w:rsid w:val="005B24BB"/>
    <w:rsid w:val="005B51B7"/>
    <w:rsid w:val="005B631A"/>
    <w:rsid w:val="005B649F"/>
    <w:rsid w:val="005B664F"/>
    <w:rsid w:val="005B7922"/>
    <w:rsid w:val="005B7CEE"/>
    <w:rsid w:val="005C1439"/>
    <w:rsid w:val="005C15DC"/>
    <w:rsid w:val="005C1731"/>
    <w:rsid w:val="005C1DEC"/>
    <w:rsid w:val="005C28AE"/>
    <w:rsid w:val="005C3658"/>
    <w:rsid w:val="005C36E4"/>
    <w:rsid w:val="005C42E3"/>
    <w:rsid w:val="005C4FDA"/>
    <w:rsid w:val="005C5796"/>
    <w:rsid w:val="005C5C47"/>
    <w:rsid w:val="005C6A41"/>
    <w:rsid w:val="005D0320"/>
    <w:rsid w:val="005D0B78"/>
    <w:rsid w:val="005D15CC"/>
    <w:rsid w:val="005D1E07"/>
    <w:rsid w:val="005D25D6"/>
    <w:rsid w:val="005D3407"/>
    <w:rsid w:val="005D3941"/>
    <w:rsid w:val="005D411A"/>
    <w:rsid w:val="005D47C3"/>
    <w:rsid w:val="005D5E9D"/>
    <w:rsid w:val="005D5FE5"/>
    <w:rsid w:val="005D6BF3"/>
    <w:rsid w:val="005D6D77"/>
    <w:rsid w:val="005D7A48"/>
    <w:rsid w:val="005E2F30"/>
    <w:rsid w:val="005E3541"/>
    <w:rsid w:val="005E411E"/>
    <w:rsid w:val="005E4AED"/>
    <w:rsid w:val="005E560B"/>
    <w:rsid w:val="005E5943"/>
    <w:rsid w:val="005E601A"/>
    <w:rsid w:val="005E6423"/>
    <w:rsid w:val="005F002C"/>
    <w:rsid w:val="005F03D5"/>
    <w:rsid w:val="005F04A5"/>
    <w:rsid w:val="005F0C5E"/>
    <w:rsid w:val="005F158C"/>
    <w:rsid w:val="005F1706"/>
    <w:rsid w:val="005F236B"/>
    <w:rsid w:val="005F5777"/>
    <w:rsid w:val="005F6D85"/>
    <w:rsid w:val="005F77BC"/>
    <w:rsid w:val="005F7B77"/>
    <w:rsid w:val="00600269"/>
    <w:rsid w:val="006003A5"/>
    <w:rsid w:val="0060138F"/>
    <w:rsid w:val="0060391E"/>
    <w:rsid w:val="0060443D"/>
    <w:rsid w:val="0060486E"/>
    <w:rsid w:val="006062FB"/>
    <w:rsid w:val="00606867"/>
    <w:rsid w:val="00607419"/>
    <w:rsid w:val="006101AF"/>
    <w:rsid w:val="0061051C"/>
    <w:rsid w:val="00611CC1"/>
    <w:rsid w:val="00612393"/>
    <w:rsid w:val="00612ACF"/>
    <w:rsid w:val="00613E36"/>
    <w:rsid w:val="00614395"/>
    <w:rsid w:val="006143A4"/>
    <w:rsid w:val="00614A7A"/>
    <w:rsid w:val="00616B35"/>
    <w:rsid w:val="00617A30"/>
    <w:rsid w:val="00617F99"/>
    <w:rsid w:val="006215E6"/>
    <w:rsid w:val="00621B4B"/>
    <w:rsid w:val="006232F1"/>
    <w:rsid w:val="00623ACC"/>
    <w:rsid w:val="00623DDE"/>
    <w:rsid w:val="00624695"/>
    <w:rsid w:val="006249C3"/>
    <w:rsid w:val="00624ECF"/>
    <w:rsid w:val="00625D2D"/>
    <w:rsid w:val="00626298"/>
    <w:rsid w:val="00626859"/>
    <w:rsid w:val="006271A4"/>
    <w:rsid w:val="00630138"/>
    <w:rsid w:val="0063129B"/>
    <w:rsid w:val="006313FC"/>
    <w:rsid w:val="00631BFF"/>
    <w:rsid w:val="006332F2"/>
    <w:rsid w:val="00634B17"/>
    <w:rsid w:val="00635834"/>
    <w:rsid w:val="00637A17"/>
    <w:rsid w:val="00640A28"/>
    <w:rsid w:val="00641035"/>
    <w:rsid w:val="00641661"/>
    <w:rsid w:val="00641B1B"/>
    <w:rsid w:val="006420CD"/>
    <w:rsid w:val="006430AC"/>
    <w:rsid w:val="006443D8"/>
    <w:rsid w:val="00644FB0"/>
    <w:rsid w:val="00645770"/>
    <w:rsid w:val="006476E6"/>
    <w:rsid w:val="00647F34"/>
    <w:rsid w:val="00650EE2"/>
    <w:rsid w:val="006511A4"/>
    <w:rsid w:val="006513E2"/>
    <w:rsid w:val="00651916"/>
    <w:rsid w:val="00651DE7"/>
    <w:rsid w:val="006531C9"/>
    <w:rsid w:val="006535E1"/>
    <w:rsid w:val="00653EC3"/>
    <w:rsid w:val="0065461E"/>
    <w:rsid w:val="006546DA"/>
    <w:rsid w:val="00654BA9"/>
    <w:rsid w:val="0066025E"/>
    <w:rsid w:val="00660FE4"/>
    <w:rsid w:val="0066194F"/>
    <w:rsid w:val="00661D64"/>
    <w:rsid w:val="00662682"/>
    <w:rsid w:val="006639A0"/>
    <w:rsid w:val="00663D7F"/>
    <w:rsid w:val="00664CD0"/>
    <w:rsid w:val="00665D94"/>
    <w:rsid w:val="006668FE"/>
    <w:rsid w:val="00667591"/>
    <w:rsid w:val="006675AC"/>
    <w:rsid w:val="00667F9F"/>
    <w:rsid w:val="00670C92"/>
    <w:rsid w:val="006710E7"/>
    <w:rsid w:val="00671A0B"/>
    <w:rsid w:val="0067210D"/>
    <w:rsid w:val="0067596C"/>
    <w:rsid w:val="00675C81"/>
    <w:rsid w:val="00676572"/>
    <w:rsid w:val="0068034D"/>
    <w:rsid w:val="0068098E"/>
    <w:rsid w:val="00681152"/>
    <w:rsid w:val="0068132A"/>
    <w:rsid w:val="00681E43"/>
    <w:rsid w:val="00682987"/>
    <w:rsid w:val="00682CE5"/>
    <w:rsid w:val="006831C1"/>
    <w:rsid w:val="0068414F"/>
    <w:rsid w:val="006841DC"/>
    <w:rsid w:val="0068468E"/>
    <w:rsid w:val="00685DAD"/>
    <w:rsid w:val="0068615D"/>
    <w:rsid w:val="0068675A"/>
    <w:rsid w:val="0069106B"/>
    <w:rsid w:val="00691AF2"/>
    <w:rsid w:val="00691CB2"/>
    <w:rsid w:val="00694527"/>
    <w:rsid w:val="0069550C"/>
    <w:rsid w:val="0069554F"/>
    <w:rsid w:val="00695975"/>
    <w:rsid w:val="00697465"/>
    <w:rsid w:val="00697EB1"/>
    <w:rsid w:val="006A2310"/>
    <w:rsid w:val="006A2706"/>
    <w:rsid w:val="006A467B"/>
    <w:rsid w:val="006A498B"/>
    <w:rsid w:val="006A51BA"/>
    <w:rsid w:val="006A7DA6"/>
    <w:rsid w:val="006B0F5F"/>
    <w:rsid w:val="006B150C"/>
    <w:rsid w:val="006B1DCE"/>
    <w:rsid w:val="006B36FA"/>
    <w:rsid w:val="006B3CB4"/>
    <w:rsid w:val="006B42B2"/>
    <w:rsid w:val="006B6180"/>
    <w:rsid w:val="006B692B"/>
    <w:rsid w:val="006B6ACA"/>
    <w:rsid w:val="006B7D7B"/>
    <w:rsid w:val="006C177A"/>
    <w:rsid w:val="006C1B13"/>
    <w:rsid w:val="006C32C4"/>
    <w:rsid w:val="006C4F74"/>
    <w:rsid w:val="006C5C2E"/>
    <w:rsid w:val="006D067F"/>
    <w:rsid w:val="006D07FB"/>
    <w:rsid w:val="006D49C4"/>
    <w:rsid w:val="006D5A67"/>
    <w:rsid w:val="006D70B7"/>
    <w:rsid w:val="006D762E"/>
    <w:rsid w:val="006D7DFD"/>
    <w:rsid w:val="006E0012"/>
    <w:rsid w:val="006E0AAF"/>
    <w:rsid w:val="006E16D1"/>
    <w:rsid w:val="006E2B6D"/>
    <w:rsid w:val="006E3C88"/>
    <w:rsid w:val="006E4B9E"/>
    <w:rsid w:val="006E4C1C"/>
    <w:rsid w:val="006F01CC"/>
    <w:rsid w:val="006F09D8"/>
    <w:rsid w:val="006F1624"/>
    <w:rsid w:val="006F1EAC"/>
    <w:rsid w:val="006F1F08"/>
    <w:rsid w:val="006F3052"/>
    <w:rsid w:val="006F31BD"/>
    <w:rsid w:val="006F3259"/>
    <w:rsid w:val="006F3AD6"/>
    <w:rsid w:val="006F3C00"/>
    <w:rsid w:val="006F78DB"/>
    <w:rsid w:val="00701C34"/>
    <w:rsid w:val="00701CDF"/>
    <w:rsid w:val="00702C42"/>
    <w:rsid w:val="00703D58"/>
    <w:rsid w:val="00704A2E"/>
    <w:rsid w:val="00704F3D"/>
    <w:rsid w:val="007057AB"/>
    <w:rsid w:val="00705F57"/>
    <w:rsid w:val="00707343"/>
    <w:rsid w:val="007073A2"/>
    <w:rsid w:val="007073FB"/>
    <w:rsid w:val="00710C28"/>
    <w:rsid w:val="00711C08"/>
    <w:rsid w:val="00711CC1"/>
    <w:rsid w:val="00712ED3"/>
    <w:rsid w:val="00714697"/>
    <w:rsid w:val="00714C9E"/>
    <w:rsid w:val="00715651"/>
    <w:rsid w:val="00715945"/>
    <w:rsid w:val="00716391"/>
    <w:rsid w:val="00716B23"/>
    <w:rsid w:val="00717903"/>
    <w:rsid w:val="00717B10"/>
    <w:rsid w:val="00720CC2"/>
    <w:rsid w:val="00721AFE"/>
    <w:rsid w:val="00721B48"/>
    <w:rsid w:val="00722A0F"/>
    <w:rsid w:val="00723DB5"/>
    <w:rsid w:val="00724B29"/>
    <w:rsid w:val="00727A78"/>
    <w:rsid w:val="00730A5A"/>
    <w:rsid w:val="00731207"/>
    <w:rsid w:val="00731329"/>
    <w:rsid w:val="00733013"/>
    <w:rsid w:val="00734430"/>
    <w:rsid w:val="00734CEC"/>
    <w:rsid w:val="00734D58"/>
    <w:rsid w:val="0074053C"/>
    <w:rsid w:val="00741FBE"/>
    <w:rsid w:val="007420C4"/>
    <w:rsid w:val="00743D4D"/>
    <w:rsid w:val="00743E78"/>
    <w:rsid w:val="00743EB1"/>
    <w:rsid w:val="0074485F"/>
    <w:rsid w:val="007451A8"/>
    <w:rsid w:val="0074527C"/>
    <w:rsid w:val="00745BF2"/>
    <w:rsid w:val="00745E2B"/>
    <w:rsid w:val="00746757"/>
    <w:rsid w:val="00747FDD"/>
    <w:rsid w:val="00751ADD"/>
    <w:rsid w:val="007520F6"/>
    <w:rsid w:val="00752530"/>
    <w:rsid w:val="007532C0"/>
    <w:rsid w:val="007556E4"/>
    <w:rsid w:val="00756020"/>
    <w:rsid w:val="00756098"/>
    <w:rsid w:val="00756838"/>
    <w:rsid w:val="00757D53"/>
    <w:rsid w:val="00757F3C"/>
    <w:rsid w:val="007631E0"/>
    <w:rsid w:val="00763628"/>
    <w:rsid w:val="00763BF3"/>
    <w:rsid w:val="00764F87"/>
    <w:rsid w:val="007651C7"/>
    <w:rsid w:val="00767A6B"/>
    <w:rsid w:val="00767EF2"/>
    <w:rsid w:val="00770380"/>
    <w:rsid w:val="00771094"/>
    <w:rsid w:val="00771421"/>
    <w:rsid w:val="00772162"/>
    <w:rsid w:val="0077287E"/>
    <w:rsid w:val="00772E4B"/>
    <w:rsid w:val="007744D5"/>
    <w:rsid w:val="0077459E"/>
    <w:rsid w:val="00774A26"/>
    <w:rsid w:val="00775448"/>
    <w:rsid w:val="00775781"/>
    <w:rsid w:val="0077676B"/>
    <w:rsid w:val="00782782"/>
    <w:rsid w:val="00783967"/>
    <w:rsid w:val="007841E0"/>
    <w:rsid w:val="007863FC"/>
    <w:rsid w:val="007866DC"/>
    <w:rsid w:val="00786B8B"/>
    <w:rsid w:val="007911E1"/>
    <w:rsid w:val="00791465"/>
    <w:rsid w:val="0079276A"/>
    <w:rsid w:val="007935B1"/>
    <w:rsid w:val="00794AA8"/>
    <w:rsid w:val="0079609B"/>
    <w:rsid w:val="00796986"/>
    <w:rsid w:val="00796F39"/>
    <w:rsid w:val="00796F7A"/>
    <w:rsid w:val="00797630"/>
    <w:rsid w:val="00797A49"/>
    <w:rsid w:val="007A1488"/>
    <w:rsid w:val="007A1A81"/>
    <w:rsid w:val="007A1F63"/>
    <w:rsid w:val="007A2753"/>
    <w:rsid w:val="007A2884"/>
    <w:rsid w:val="007A31D2"/>
    <w:rsid w:val="007A3705"/>
    <w:rsid w:val="007A39B0"/>
    <w:rsid w:val="007A5F3F"/>
    <w:rsid w:val="007A6E00"/>
    <w:rsid w:val="007A7BBE"/>
    <w:rsid w:val="007B0387"/>
    <w:rsid w:val="007B0A1F"/>
    <w:rsid w:val="007B125B"/>
    <w:rsid w:val="007B196E"/>
    <w:rsid w:val="007B1F09"/>
    <w:rsid w:val="007B208A"/>
    <w:rsid w:val="007B249E"/>
    <w:rsid w:val="007B27D7"/>
    <w:rsid w:val="007B3199"/>
    <w:rsid w:val="007B566C"/>
    <w:rsid w:val="007B5C3D"/>
    <w:rsid w:val="007B686F"/>
    <w:rsid w:val="007B6CEF"/>
    <w:rsid w:val="007B6EC8"/>
    <w:rsid w:val="007B7ECA"/>
    <w:rsid w:val="007C0F45"/>
    <w:rsid w:val="007C17AD"/>
    <w:rsid w:val="007C247A"/>
    <w:rsid w:val="007C292B"/>
    <w:rsid w:val="007C4387"/>
    <w:rsid w:val="007C4731"/>
    <w:rsid w:val="007C546A"/>
    <w:rsid w:val="007C640C"/>
    <w:rsid w:val="007D0644"/>
    <w:rsid w:val="007D0A2D"/>
    <w:rsid w:val="007D0B7B"/>
    <w:rsid w:val="007D3ACE"/>
    <w:rsid w:val="007D64EC"/>
    <w:rsid w:val="007E01B6"/>
    <w:rsid w:val="007E0417"/>
    <w:rsid w:val="007E05A2"/>
    <w:rsid w:val="007E1089"/>
    <w:rsid w:val="007E1B26"/>
    <w:rsid w:val="007E1F8D"/>
    <w:rsid w:val="007E367A"/>
    <w:rsid w:val="007E4B37"/>
    <w:rsid w:val="007E5065"/>
    <w:rsid w:val="007E5E24"/>
    <w:rsid w:val="007E65B4"/>
    <w:rsid w:val="007F05E7"/>
    <w:rsid w:val="007F1E72"/>
    <w:rsid w:val="007F2C37"/>
    <w:rsid w:val="007F4798"/>
    <w:rsid w:val="007F5032"/>
    <w:rsid w:val="007F52F7"/>
    <w:rsid w:val="00800438"/>
    <w:rsid w:val="00801178"/>
    <w:rsid w:val="008019A5"/>
    <w:rsid w:val="008020C2"/>
    <w:rsid w:val="008020CD"/>
    <w:rsid w:val="00803543"/>
    <w:rsid w:val="00803B04"/>
    <w:rsid w:val="00804DE6"/>
    <w:rsid w:val="00804E57"/>
    <w:rsid w:val="00805368"/>
    <w:rsid w:val="00806AFC"/>
    <w:rsid w:val="0080756C"/>
    <w:rsid w:val="00810336"/>
    <w:rsid w:val="0081156D"/>
    <w:rsid w:val="00811B30"/>
    <w:rsid w:val="00812D95"/>
    <w:rsid w:val="00813448"/>
    <w:rsid w:val="00814EDE"/>
    <w:rsid w:val="0081612B"/>
    <w:rsid w:val="00816E0C"/>
    <w:rsid w:val="00816ED1"/>
    <w:rsid w:val="00817806"/>
    <w:rsid w:val="00821B04"/>
    <w:rsid w:val="00821D82"/>
    <w:rsid w:val="00822F4D"/>
    <w:rsid w:val="008230F2"/>
    <w:rsid w:val="00823442"/>
    <w:rsid w:val="0082394A"/>
    <w:rsid w:val="00823CFE"/>
    <w:rsid w:val="0082409A"/>
    <w:rsid w:val="008242ED"/>
    <w:rsid w:val="008264C8"/>
    <w:rsid w:val="00826855"/>
    <w:rsid w:val="008276BB"/>
    <w:rsid w:val="00830DB1"/>
    <w:rsid w:val="00830F6A"/>
    <w:rsid w:val="00832EA6"/>
    <w:rsid w:val="00832FD6"/>
    <w:rsid w:val="0083336E"/>
    <w:rsid w:val="00833D58"/>
    <w:rsid w:val="00834066"/>
    <w:rsid w:val="008343B4"/>
    <w:rsid w:val="0083646A"/>
    <w:rsid w:val="00837B9A"/>
    <w:rsid w:val="00837DB4"/>
    <w:rsid w:val="00837E1F"/>
    <w:rsid w:val="008405CE"/>
    <w:rsid w:val="008405CF"/>
    <w:rsid w:val="00841051"/>
    <w:rsid w:val="00841726"/>
    <w:rsid w:val="008417D1"/>
    <w:rsid w:val="008426AA"/>
    <w:rsid w:val="0084295A"/>
    <w:rsid w:val="0084393F"/>
    <w:rsid w:val="00843CC2"/>
    <w:rsid w:val="00844291"/>
    <w:rsid w:val="00844864"/>
    <w:rsid w:val="00846269"/>
    <w:rsid w:val="00846BAC"/>
    <w:rsid w:val="00850A5B"/>
    <w:rsid w:val="00851511"/>
    <w:rsid w:val="00852C39"/>
    <w:rsid w:val="008536CA"/>
    <w:rsid w:val="00853813"/>
    <w:rsid w:val="008547C2"/>
    <w:rsid w:val="00854A89"/>
    <w:rsid w:val="00855355"/>
    <w:rsid w:val="008557C2"/>
    <w:rsid w:val="00855BED"/>
    <w:rsid w:val="00855F97"/>
    <w:rsid w:val="0086080D"/>
    <w:rsid w:val="00862482"/>
    <w:rsid w:val="008634DE"/>
    <w:rsid w:val="0086454A"/>
    <w:rsid w:val="008647BD"/>
    <w:rsid w:val="008665C4"/>
    <w:rsid w:val="00866DF7"/>
    <w:rsid w:val="0086751C"/>
    <w:rsid w:val="008677E3"/>
    <w:rsid w:val="008703E1"/>
    <w:rsid w:val="00870B41"/>
    <w:rsid w:val="0087195C"/>
    <w:rsid w:val="008725B9"/>
    <w:rsid w:val="00873A59"/>
    <w:rsid w:val="00873C6E"/>
    <w:rsid w:val="00873EB9"/>
    <w:rsid w:val="00875D5A"/>
    <w:rsid w:val="00875F1E"/>
    <w:rsid w:val="0087642B"/>
    <w:rsid w:val="00880351"/>
    <w:rsid w:val="0088086C"/>
    <w:rsid w:val="0088257F"/>
    <w:rsid w:val="008825BB"/>
    <w:rsid w:val="00882735"/>
    <w:rsid w:val="0088275A"/>
    <w:rsid w:val="00882A1E"/>
    <w:rsid w:val="00882EFE"/>
    <w:rsid w:val="00885602"/>
    <w:rsid w:val="00885C05"/>
    <w:rsid w:val="00885F6F"/>
    <w:rsid w:val="00890F28"/>
    <w:rsid w:val="00892541"/>
    <w:rsid w:val="0089372D"/>
    <w:rsid w:val="00893776"/>
    <w:rsid w:val="00893E14"/>
    <w:rsid w:val="00894377"/>
    <w:rsid w:val="0089533C"/>
    <w:rsid w:val="00895554"/>
    <w:rsid w:val="00895566"/>
    <w:rsid w:val="008957A8"/>
    <w:rsid w:val="00895A54"/>
    <w:rsid w:val="00896B6A"/>
    <w:rsid w:val="008A0454"/>
    <w:rsid w:val="008A1381"/>
    <w:rsid w:val="008A1A60"/>
    <w:rsid w:val="008A3B56"/>
    <w:rsid w:val="008A4281"/>
    <w:rsid w:val="008A537D"/>
    <w:rsid w:val="008A7240"/>
    <w:rsid w:val="008A733E"/>
    <w:rsid w:val="008A75F3"/>
    <w:rsid w:val="008A7BFC"/>
    <w:rsid w:val="008A7CF7"/>
    <w:rsid w:val="008A7FAD"/>
    <w:rsid w:val="008B100F"/>
    <w:rsid w:val="008B1DA6"/>
    <w:rsid w:val="008B240D"/>
    <w:rsid w:val="008B3236"/>
    <w:rsid w:val="008B3660"/>
    <w:rsid w:val="008B601D"/>
    <w:rsid w:val="008B6D29"/>
    <w:rsid w:val="008C210D"/>
    <w:rsid w:val="008C3E59"/>
    <w:rsid w:val="008C480D"/>
    <w:rsid w:val="008C4C45"/>
    <w:rsid w:val="008C651B"/>
    <w:rsid w:val="008C7138"/>
    <w:rsid w:val="008D136B"/>
    <w:rsid w:val="008D1392"/>
    <w:rsid w:val="008D2564"/>
    <w:rsid w:val="008D3C26"/>
    <w:rsid w:val="008D6738"/>
    <w:rsid w:val="008D75F4"/>
    <w:rsid w:val="008E0C8C"/>
    <w:rsid w:val="008E161C"/>
    <w:rsid w:val="008E1626"/>
    <w:rsid w:val="008E16D1"/>
    <w:rsid w:val="008E270C"/>
    <w:rsid w:val="008E4858"/>
    <w:rsid w:val="008E51D4"/>
    <w:rsid w:val="008E66A1"/>
    <w:rsid w:val="008E66F8"/>
    <w:rsid w:val="008E74EF"/>
    <w:rsid w:val="008E7904"/>
    <w:rsid w:val="008E7EFA"/>
    <w:rsid w:val="008F03F5"/>
    <w:rsid w:val="008F051D"/>
    <w:rsid w:val="008F09D2"/>
    <w:rsid w:val="008F0FC5"/>
    <w:rsid w:val="008F0FD2"/>
    <w:rsid w:val="008F17A3"/>
    <w:rsid w:val="008F210E"/>
    <w:rsid w:val="008F26AC"/>
    <w:rsid w:val="008F3EFE"/>
    <w:rsid w:val="008F40B8"/>
    <w:rsid w:val="008F4376"/>
    <w:rsid w:val="008F59AF"/>
    <w:rsid w:val="008F5B07"/>
    <w:rsid w:val="008F5E59"/>
    <w:rsid w:val="008F61FC"/>
    <w:rsid w:val="008F67D7"/>
    <w:rsid w:val="008F71E2"/>
    <w:rsid w:val="008F7377"/>
    <w:rsid w:val="008F74A5"/>
    <w:rsid w:val="00900B0F"/>
    <w:rsid w:val="0090130D"/>
    <w:rsid w:val="00901474"/>
    <w:rsid w:val="009014FD"/>
    <w:rsid w:val="00902AA7"/>
    <w:rsid w:val="00902C55"/>
    <w:rsid w:val="00902C6B"/>
    <w:rsid w:val="0090318F"/>
    <w:rsid w:val="00903496"/>
    <w:rsid w:val="00903641"/>
    <w:rsid w:val="00903A37"/>
    <w:rsid w:val="009041F8"/>
    <w:rsid w:val="00904D53"/>
    <w:rsid w:val="00905C49"/>
    <w:rsid w:val="00906C53"/>
    <w:rsid w:val="0090737A"/>
    <w:rsid w:val="00907764"/>
    <w:rsid w:val="00910853"/>
    <w:rsid w:val="00911691"/>
    <w:rsid w:val="00912FE5"/>
    <w:rsid w:val="00913BE5"/>
    <w:rsid w:val="0091491D"/>
    <w:rsid w:val="009149B0"/>
    <w:rsid w:val="00914A78"/>
    <w:rsid w:val="0091517B"/>
    <w:rsid w:val="0091674A"/>
    <w:rsid w:val="00916837"/>
    <w:rsid w:val="00921597"/>
    <w:rsid w:val="00921696"/>
    <w:rsid w:val="00924DBA"/>
    <w:rsid w:val="0092525C"/>
    <w:rsid w:val="009257EE"/>
    <w:rsid w:val="009262E3"/>
    <w:rsid w:val="00927E7F"/>
    <w:rsid w:val="009300E6"/>
    <w:rsid w:val="00930215"/>
    <w:rsid w:val="00931856"/>
    <w:rsid w:val="00931957"/>
    <w:rsid w:val="00932259"/>
    <w:rsid w:val="00933421"/>
    <w:rsid w:val="00935447"/>
    <w:rsid w:val="00937B2D"/>
    <w:rsid w:val="00937B57"/>
    <w:rsid w:val="00937F6E"/>
    <w:rsid w:val="00940225"/>
    <w:rsid w:val="00940580"/>
    <w:rsid w:val="009422A4"/>
    <w:rsid w:val="009429D4"/>
    <w:rsid w:val="00943148"/>
    <w:rsid w:val="00943769"/>
    <w:rsid w:val="00943D4D"/>
    <w:rsid w:val="00944029"/>
    <w:rsid w:val="00944464"/>
    <w:rsid w:val="00945BC4"/>
    <w:rsid w:val="009503FE"/>
    <w:rsid w:val="00951F47"/>
    <w:rsid w:val="0095291D"/>
    <w:rsid w:val="00953BBD"/>
    <w:rsid w:val="00954778"/>
    <w:rsid w:val="009562A0"/>
    <w:rsid w:val="0095687B"/>
    <w:rsid w:val="00956BB0"/>
    <w:rsid w:val="00957708"/>
    <w:rsid w:val="00957730"/>
    <w:rsid w:val="00960CDB"/>
    <w:rsid w:val="00962E0E"/>
    <w:rsid w:val="00964503"/>
    <w:rsid w:val="00964882"/>
    <w:rsid w:val="009648F1"/>
    <w:rsid w:val="00964C44"/>
    <w:rsid w:val="00964DFA"/>
    <w:rsid w:val="0096634B"/>
    <w:rsid w:val="0096689A"/>
    <w:rsid w:val="00966DB3"/>
    <w:rsid w:val="009674DA"/>
    <w:rsid w:val="00971037"/>
    <w:rsid w:val="0097119F"/>
    <w:rsid w:val="0097136D"/>
    <w:rsid w:val="009715AA"/>
    <w:rsid w:val="00971D2F"/>
    <w:rsid w:val="00972F19"/>
    <w:rsid w:val="009737E6"/>
    <w:rsid w:val="00974820"/>
    <w:rsid w:val="0097492C"/>
    <w:rsid w:val="00974E2D"/>
    <w:rsid w:val="00975BB9"/>
    <w:rsid w:val="00975DB5"/>
    <w:rsid w:val="009768B5"/>
    <w:rsid w:val="00976DCD"/>
    <w:rsid w:val="00976F0D"/>
    <w:rsid w:val="0098066C"/>
    <w:rsid w:val="00981063"/>
    <w:rsid w:val="009812F2"/>
    <w:rsid w:val="009814B0"/>
    <w:rsid w:val="00981871"/>
    <w:rsid w:val="00984181"/>
    <w:rsid w:val="00984CC5"/>
    <w:rsid w:val="0098571F"/>
    <w:rsid w:val="00987780"/>
    <w:rsid w:val="0099005D"/>
    <w:rsid w:val="00992B0D"/>
    <w:rsid w:val="009949C6"/>
    <w:rsid w:val="009969E0"/>
    <w:rsid w:val="00996B5C"/>
    <w:rsid w:val="00997606"/>
    <w:rsid w:val="009A0545"/>
    <w:rsid w:val="009A0B4E"/>
    <w:rsid w:val="009A0BFC"/>
    <w:rsid w:val="009A14A2"/>
    <w:rsid w:val="009A1EC2"/>
    <w:rsid w:val="009A36AF"/>
    <w:rsid w:val="009A3E97"/>
    <w:rsid w:val="009A42B6"/>
    <w:rsid w:val="009A590B"/>
    <w:rsid w:val="009A591E"/>
    <w:rsid w:val="009A77E7"/>
    <w:rsid w:val="009B0FC2"/>
    <w:rsid w:val="009B1B5C"/>
    <w:rsid w:val="009B1D94"/>
    <w:rsid w:val="009B306D"/>
    <w:rsid w:val="009B5983"/>
    <w:rsid w:val="009B722B"/>
    <w:rsid w:val="009B7B65"/>
    <w:rsid w:val="009C052D"/>
    <w:rsid w:val="009C09A0"/>
    <w:rsid w:val="009C0E22"/>
    <w:rsid w:val="009C1F50"/>
    <w:rsid w:val="009C2135"/>
    <w:rsid w:val="009C2AE3"/>
    <w:rsid w:val="009C323D"/>
    <w:rsid w:val="009C36F1"/>
    <w:rsid w:val="009C3B51"/>
    <w:rsid w:val="009C3E3C"/>
    <w:rsid w:val="009C4F54"/>
    <w:rsid w:val="009C50E4"/>
    <w:rsid w:val="009C5271"/>
    <w:rsid w:val="009C638C"/>
    <w:rsid w:val="009C63A4"/>
    <w:rsid w:val="009C63D5"/>
    <w:rsid w:val="009C6B5F"/>
    <w:rsid w:val="009C787C"/>
    <w:rsid w:val="009C7FC6"/>
    <w:rsid w:val="009D05AE"/>
    <w:rsid w:val="009D11FF"/>
    <w:rsid w:val="009D1354"/>
    <w:rsid w:val="009D15B3"/>
    <w:rsid w:val="009D161A"/>
    <w:rsid w:val="009D1693"/>
    <w:rsid w:val="009D1A25"/>
    <w:rsid w:val="009D1BCC"/>
    <w:rsid w:val="009D3D26"/>
    <w:rsid w:val="009D4AB7"/>
    <w:rsid w:val="009D5302"/>
    <w:rsid w:val="009D62F3"/>
    <w:rsid w:val="009D6D6E"/>
    <w:rsid w:val="009D754F"/>
    <w:rsid w:val="009E0073"/>
    <w:rsid w:val="009E1489"/>
    <w:rsid w:val="009E1896"/>
    <w:rsid w:val="009E1980"/>
    <w:rsid w:val="009E1ACC"/>
    <w:rsid w:val="009E20B0"/>
    <w:rsid w:val="009E2486"/>
    <w:rsid w:val="009E2833"/>
    <w:rsid w:val="009E2BB3"/>
    <w:rsid w:val="009E2EBE"/>
    <w:rsid w:val="009E325E"/>
    <w:rsid w:val="009E3484"/>
    <w:rsid w:val="009E569F"/>
    <w:rsid w:val="009E5FDA"/>
    <w:rsid w:val="009E646F"/>
    <w:rsid w:val="009E776E"/>
    <w:rsid w:val="009F1760"/>
    <w:rsid w:val="009F4248"/>
    <w:rsid w:val="009F4396"/>
    <w:rsid w:val="009F5BAA"/>
    <w:rsid w:val="009F5D93"/>
    <w:rsid w:val="009F6F14"/>
    <w:rsid w:val="009F7433"/>
    <w:rsid w:val="009F7602"/>
    <w:rsid w:val="00A00F3C"/>
    <w:rsid w:val="00A0144A"/>
    <w:rsid w:val="00A014A3"/>
    <w:rsid w:val="00A02844"/>
    <w:rsid w:val="00A034F2"/>
    <w:rsid w:val="00A03E57"/>
    <w:rsid w:val="00A042CC"/>
    <w:rsid w:val="00A05983"/>
    <w:rsid w:val="00A06BF5"/>
    <w:rsid w:val="00A076B8"/>
    <w:rsid w:val="00A07C38"/>
    <w:rsid w:val="00A07E9C"/>
    <w:rsid w:val="00A11066"/>
    <w:rsid w:val="00A1196D"/>
    <w:rsid w:val="00A11A36"/>
    <w:rsid w:val="00A122F8"/>
    <w:rsid w:val="00A1243E"/>
    <w:rsid w:val="00A12914"/>
    <w:rsid w:val="00A12EEB"/>
    <w:rsid w:val="00A1304F"/>
    <w:rsid w:val="00A14173"/>
    <w:rsid w:val="00A144C6"/>
    <w:rsid w:val="00A167B8"/>
    <w:rsid w:val="00A17060"/>
    <w:rsid w:val="00A17ED7"/>
    <w:rsid w:val="00A20436"/>
    <w:rsid w:val="00A20492"/>
    <w:rsid w:val="00A213CC"/>
    <w:rsid w:val="00A2185E"/>
    <w:rsid w:val="00A21919"/>
    <w:rsid w:val="00A22D78"/>
    <w:rsid w:val="00A24670"/>
    <w:rsid w:val="00A261C8"/>
    <w:rsid w:val="00A26381"/>
    <w:rsid w:val="00A26C56"/>
    <w:rsid w:val="00A273F6"/>
    <w:rsid w:val="00A31C08"/>
    <w:rsid w:val="00A32889"/>
    <w:rsid w:val="00A331C2"/>
    <w:rsid w:val="00A33B90"/>
    <w:rsid w:val="00A36A40"/>
    <w:rsid w:val="00A36D42"/>
    <w:rsid w:val="00A36EB2"/>
    <w:rsid w:val="00A414A1"/>
    <w:rsid w:val="00A41BC0"/>
    <w:rsid w:val="00A41DA0"/>
    <w:rsid w:val="00A424CD"/>
    <w:rsid w:val="00A42893"/>
    <w:rsid w:val="00A42906"/>
    <w:rsid w:val="00A435D7"/>
    <w:rsid w:val="00A43E5D"/>
    <w:rsid w:val="00A44556"/>
    <w:rsid w:val="00A45490"/>
    <w:rsid w:val="00A45DD0"/>
    <w:rsid w:val="00A4723D"/>
    <w:rsid w:val="00A47250"/>
    <w:rsid w:val="00A5097E"/>
    <w:rsid w:val="00A5180C"/>
    <w:rsid w:val="00A51C27"/>
    <w:rsid w:val="00A521EE"/>
    <w:rsid w:val="00A537ED"/>
    <w:rsid w:val="00A53A28"/>
    <w:rsid w:val="00A5427C"/>
    <w:rsid w:val="00A544FF"/>
    <w:rsid w:val="00A54CDA"/>
    <w:rsid w:val="00A57D8C"/>
    <w:rsid w:val="00A603C3"/>
    <w:rsid w:val="00A61267"/>
    <w:rsid w:val="00A622DD"/>
    <w:rsid w:val="00A63829"/>
    <w:rsid w:val="00A63900"/>
    <w:rsid w:val="00A64250"/>
    <w:rsid w:val="00A64FD8"/>
    <w:rsid w:val="00A6550F"/>
    <w:rsid w:val="00A65822"/>
    <w:rsid w:val="00A67C97"/>
    <w:rsid w:val="00A703B3"/>
    <w:rsid w:val="00A70B87"/>
    <w:rsid w:val="00A710FA"/>
    <w:rsid w:val="00A711F9"/>
    <w:rsid w:val="00A71783"/>
    <w:rsid w:val="00A719FE"/>
    <w:rsid w:val="00A739BC"/>
    <w:rsid w:val="00A74937"/>
    <w:rsid w:val="00A75B8E"/>
    <w:rsid w:val="00A76596"/>
    <w:rsid w:val="00A80111"/>
    <w:rsid w:val="00A81DF8"/>
    <w:rsid w:val="00A82B55"/>
    <w:rsid w:val="00A83F39"/>
    <w:rsid w:val="00A84210"/>
    <w:rsid w:val="00A84913"/>
    <w:rsid w:val="00A85465"/>
    <w:rsid w:val="00A866AE"/>
    <w:rsid w:val="00A878A5"/>
    <w:rsid w:val="00A87D38"/>
    <w:rsid w:val="00A92225"/>
    <w:rsid w:val="00A929D4"/>
    <w:rsid w:val="00A9381F"/>
    <w:rsid w:val="00A94158"/>
    <w:rsid w:val="00A958D5"/>
    <w:rsid w:val="00A95B9A"/>
    <w:rsid w:val="00A95CB4"/>
    <w:rsid w:val="00A976E6"/>
    <w:rsid w:val="00AA00D8"/>
    <w:rsid w:val="00AA00EA"/>
    <w:rsid w:val="00AA06B5"/>
    <w:rsid w:val="00AA2795"/>
    <w:rsid w:val="00AA28DD"/>
    <w:rsid w:val="00AA32DA"/>
    <w:rsid w:val="00AA3A86"/>
    <w:rsid w:val="00AA4486"/>
    <w:rsid w:val="00AA45A4"/>
    <w:rsid w:val="00AA4712"/>
    <w:rsid w:val="00AA4A68"/>
    <w:rsid w:val="00AA4FAB"/>
    <w:rsid w:val="00AA64C6"/>
    <w:rsid w:val="00AA65F4"/>
    <w:rsid w:val="00AA685B"/>
    <w:rsid w:val="00AA7A71"/>
    <w:rsid w:val="00AB01B3"/>
    <w:rsid w:val="00AB1B2B"/>
    <w:rsid w:val="00AB43EE"/>
    <w:rsid w:val="00AB4F07"/>
    <w:rsid w:val="00AB5121"/>
    <w:rsid w:val="00AB51EA"/>
    <w:rsid w:val="00AB5903"/>
    <w:rsid w:val="00AB6F0C"/>
    <w:rsid w:val="00AB739E"/>
    <w:rsid w:val="00AB75F1"/>
    <w:rsid w:val="00AB7D1D"/>
    <w:rsid w:val="00AC0045"/>
    <w:rsid w:val="00AC1EC5"/>
    <w:rsid w:val="00AC2D04"/>
    <w:rsid w:val="00AC43F8"/>
    <w:rsid w:val="00AC4AC4"/>
    <w:rsid w:val="00AC4DBF"/>
    <w:rsid w:val="00AC53D5"/>
    <w:rsid w:val="00AC613C"/>
    <w:rsid w:val="00AC7A6D"/>
    <w:rsid w:val="00AC7F40"/>
    <w:rsid w:val="00AC7FDF"/>
    <w:rsid w:val="00AD0544"/>
    <w:rsid w:val="00AD061A"/>
    <w:rsid w:val="00AD07C4"/>
    <w:rsid w:val="00AD0C72"/>
    <w:rsid w:val="00AD1C15"/>
    <w:rsid w:val="00AD2814"/>
    <w:rsid w:val="00AD35F0"/>
    <w:rsid w:val="00AD6B3C"/>
    <w:rsid w:val="00AD7F05"/>
    <w:rsid w:val="00AE099A"/>
    <w:rsid w:val="00AE154F"/>
    <w:rsid w:val="00AE18E1"/>
    <w:rsid w:val="00AE1EE1"/>
    <w:rsid w:val="00AE207E"/>
    <w:rsid w:val="00AE2782"/>
    <w:rsid w:val="00AE2BB5"/>
    <w:rsid w:val="00AE2C20"/>
    <w:rsid w:val="00AE3DAE"/>
    <w:rsid w:val="00AE412E"/>
    <w:rsid w:val="00AE5E46"/>
    <w:rsid w:val="00AE70A0"/>
    <w:rsid w:val="00AE70AF"/>
    <w:rsid w:val="00AF047E"/>
    <w:rsid w:val="00AF05EC"/>
    <w:rsid w:val="00AF122D"/>
    <w:rsid w:val="00AF206A"/>
    <w:rsid w:val="00AF252E"/>
    <w:rsid w:val="00AF2AE0"/>
    <w:rsid w:val="00AF2FA3"/>
    <w:rsid w:val="00AF399D"/>
    <w:rsid w:val="00AF3D6B"/>
    <w:rsid w:val="00AF4917"/>
    <w:rsid w:val="00AF4DC9"/>
    <w:rsid w:val="00AF50A2"/>
    <w:rsid w:val="00AF6292"/>
    <w:rsid w:val="00AF680F"/>
    <w:rsid w:val="00AF6DF0"/>
    <w:rsid w:val="00B00514"/>
    <w:rsid w:val="00B00C04"/>
    <w:rsid w:val="00B0138E"/>
    <w:rsid w:val="00B01966"/>
    <w:rsid w:val="00B01C2D"/>
    <w:rsid w:val="00B01F34"/>
    <w:rsid w:val="00B01FAF"/>
    <w:rsid w:val="00B034FF"/>
    <w:rsid w:val="00B04260"/>
    <w:rsid w:val="00B04A4E"/>
    <w:rsid w:val="00B04D16"/>
    <w:rsid w:val="00B0511A"/>
    <w:rsid w:val="00B05D39"/>
    <w:rsid w:val="00B100BE"/>
    <w:rsid w:val="00B111C6"/>
    <w:rsid w:val="00B11284"/>
    <w:rsid w:val="00B11F80"/>
    <w:rsid w:val="00B137F1"/>
    <w:rsid w:val="00B13A6B"/>
    <w:rsid w:val="00B14FF9"/>
    <w:rsid w:val="00B15A49"/>
    <w:rsid w:val="00B15D9A"/>
    <w:rsid w:val="00B160F4"/>
    <w:rsid w:val="00B16759"/>
    <w:rsid w:val="00B1684F"/>
    <w:rsid w:val="00B1722F"/>
    <w:rsid w:val="00B17CCB"/>
    <w:rsid w:val="00B207AC"/>
    <w:rsid w:val="00B20D36"/>
    <w:rsid w:val="00B21512"/>
    <w:rsid w:val="00B21FA2"/>
    <w:rsid w:val="00B235FF"/>
    <w:rsid w:val="00B24486"/>
    <w:rsid w:val="00B24846"/>
    <w:rsid w:val="00B2597E"/>
    <w:rsid w:val="00B26963"/>
    <w:rsid w:val="00B26AA4"/>
    <w:rsid w:val="00B272E5"/>
    <w:rsid w:val="00B30A6D"/>
    <w:rsid w:val="00B30BDA"/>
    <w:rsid w:val="00B30C98"/>
    <w:rsid w:val="00B312BA"/>
    <w:rsid w:val="00B32AE8"/>
    <w:rsid w:val="00B3323A"/>
    <w:rsid w:val="00B33FB4"/>
    <w:rsid w:val="00B34ECD"/>
    <w:rsid w:val="00B34F76"/>
    <w:rsid w:val="00B36696"/>
    <w:rsid w:val="00B37378"/>
    <w:rsid w:val="00B418D6"/>
    <w:rsid w:val="00B42CC2"/>
    <w:rsid w:val="00B446F9"/>
    <w:rsid w:val="00B46ADF"/>
    <w:rsid w:val="00B47D90"/>
    <w:rsid w:val="00B50382"/>
    <w:rsid w:val="00B51044"/>
    <w:rsid w:val="00B512A3"/>
    <w:rsid w:val="00B512B6"/>
    <w:rsid w:val="00B51F04"/>
    <w:rsid w:val="00B53331"/>
    <w:rsid w:val="00B538D3"/>
    <w:rsid w:val="00B54169"/>
    <w:rsid w:val="00B55365"/>
    <w:rsid w:val="00B559B2"/>
    <w:rsid w:val="00B565D4"/>
    <w:rsid w:val="00B56BAF"/>
    <w:rsid w:val="00B56D2F"/>
    <w:rsid w:val="00B56DA8"/>
    <w:rsid w:val="00B57BF8"/>
    <w:rsid w:val="00B60E51"/>
    <w:rsid w:val="00B62111"/>
    <w:rsid w:val="00B62BF0"/>
    <w:rsid w:val="00B62F2B"/>
    <w:rsid w:val="00B63F7F"/>
    <w:rsid w:val="00B64112"/>
    <w:rsid w:val="00B6537F"/>
    <w:rsid w:val="00B65431"/>
    <w:rsid w:val="00B65433"/>
    <w:rsid w:val="00B65746"/>
    <w:rsid w:val="00B65C1F"/>
    <w:rsid w:val="00B65D0C"/>
    <w:rsid w:val="00B65DEE"/>
    <w:rsid w:val="00B6650D"/>
    <w:rsid w:val="00B673D7"/>
    <w:rsid w:val="00B67C93"/>
    <w:rsid w:val="00B710A9"/>
    <w:rsid w:val="00B71571"/>
    <w:rsid w:val="00B715B1"/>
    <w:rsid w:val="00B759DD"/>
    <w:rsid w:val="00B7619E"/>
    <w:rsid w:val="00B77677"/>
    <w:rsid w:val="00B77BF3"/>
    <w:rsid w:val="00B80A31"/>
    <w:rsid w:val="00B81D2D"/>
    <w:rsid w:val="00B83257"/>
    <w:rsid w:val="00B8381D"/>
    <w:rsid w:val="00B8406E"/>
    <w:rsid w:val="00B84682"/>
    <w:rsid w:val="00B84964"/>
    <w:rsid w:val="00B8498E"/>
    <w:rsid w:val="00B849F3"/>
    <w:rsid w:val="00B85F87"/>
    <w:rsid w:val="00B8742E"/>
    <w:rsid w:val="00B905AC"/>
    <w:rsid w:val="00B9092D"/>
    <w:rsid w:val="00B91527"/>
    <w:rsid w:val="00B91A54"/>
    <w:rsid w:val="00B92470"/>
    <w:rsid w:val="00B925DB"/>
    <w:rsid w:val="00B92692"/>
    <w:rsid w:val="00B929D1"/>
    <w:rsid w:val="00B9353F"/>
    <w:rsid w:val="00B93AC6"/>
    <w:rsid w:val="00B93C40"/>
    <w:rsid w:val="00B95349"/>
    <w:rsid w:val="00B955C0"/>
    <w:rsid w:val="00B95B9C"/>
    <w:rsid w:val="00B961E2"/>
    <w:rsid w:val="00BA0067"/>
    <w:rsid w:val="00BA05D0"/>
    <w:rsid w:val="00BA0F9A"/>
    <w:rsid w:val="00BA1254"/>
    <w:rsid w:val="00BA2179"/>
    <w:rsid w:val="00BA3653"/>
    <w:rsid w:val="00BA65AC"/>
    <w:rsid w:val="00BB071D"/>
    <w:rsid w:val="00BB18C1"/>
    <w:rsid w:val="00BB2484"/>
    <w:rsid w:val="00BB2985"/>
    <w:rsid w:val="00BB4F83"/>
    <w:rsid w:val="00BC0448"/>
    <w:rsid w:val="00BC05FE"/>
    <w:rsid w:val="00BC0A20"/>
    <w:rsid w:val="00BC21A0"/>
    <w:rsid w:val="00BC4087"/>
    <w:rsid w:val="00BC41B7"/>
    <w:rsid w:val="00BC466A"/>
    <w:rsid w:val="00BC4EF3"/>
    <w:rsid w:val="00BC6589"/>
    <w:rsid w:val="00BC6DD3"/>
    <w:rsid w:val="00BC77C0"/>
    <w:rsid w:val="00BD06F2"/>
    <w:rsid w:val="00BD0B25"/>
    <w:rsid w:val="00BD191D"/>
    <w:rsid w:val="00BD234D"/>
    <w:rsid w:val="00BD2561"/>
    <w:rsid w:val="00BD4993"/>
    <w:rsid w:val="00BD5DCD"/>
    <w:rsid w:val="00BD616D"/>
    <w:rsid w:val="00BD67FA"/>
    <w:rsid w:val="00BD6C4D"/>
    <w:rsid w:val="00BD7196"/>
    <w:rsid w:val="00BD7CA8"/>
    <w:rsid w:val="00BE0997"/>
    <w:rsid w:val="00BE1907"/>
    <w:rsid w:val="00BE1A97"/>
    <w:rsid w:val="00BE273B"/>
    <w:rsid w:val="00BE27F7"/>
    <w:rsid w:val="00BE3997"/>
    <w:rsid w:val="00BE3AF3"/>
    <w:rsid w:val="00BE4367"/>
    <w:rsid w:val="00BE485B"/>
    <w:rsid w:val="00BE5A1C"/>
    <w:rsid w:val="00BE60BA"/>
    <w:rsid w:val="00BE6A74"/>
    <w:rsid w:val="00BE73B6"/>
    <w:rsid w:val="00BE7D08"/>
    <w:rsid w:val="00BF0840"/>
    <w:rsid w:val="00BF0DFF"/>
    <w:rsid w:val="00BF2269"/>
    <w:rsid w:val="00BF22B8"/>
    <w:rsid w:val="00BF2603"/>
    <w:rsid w:val="00BF34AA"/>
    <w:rsid w:val="00BF51CE"/>
    <w:rsid w:val="00BF5A40"/>
    <w:rsid w:val="00BF6541"/>
    <w:rsid w:val="00BF6DB9"/>
    <w:rsid w:val="00BF7BC8"/>
    <w:rsid w:val="00C01897"/>
    <w:rsid w:val="00C01A0D"/>
    <w:rsid w:val="00C0204A"/>
    <w:rsid w:val="00C023C6"/>
    <w:rsid w:val="00C028D9"/>
    <w:rsid w:val="00C036E4"/>
    <w:rsid w:val="00C038B8"/>
    <w:rsid w:val="00C03984"/>
    <w:rsid w:val="00C03A20"/>
    <w:rsid w:val="00C03B35"/>
    <w:rsid w:val="00C0587D"/>
    <w:rsid w:val="00C05B74"/>
    <w:rsid w:val="00C06574"/>
    <w:rsid w:val="00C06F31"/>
    <w:rsid w:val="00C079F9"/>
    <w:rsid w:val="00C07EC4"/>
    <w:rsid w:val="00C11C18"/>
    <w:rsid w:val="00C11EE9"/>
    <w:rsid w:val="00C12B8C"/>
    <w:rsid w:val="00C1391C"/>
    <w:rsid w:val="00C155D9"/>
    <w:rsid w:val="00C17262"/>
    <w:rsid w:val="00C179BE"/>
    <w:rsid w:val="00C20E74"/>
    <w:rsid w:val="00C21E59"/>
    <w:rsid w:val="00C2211D"/>
    <w:rsid w:val="00C2344F"/>
    <w:rsid w:val="00C23556"/>
    <w:rsid w:val="00C246AC"/>
    <w:rsid w:val="00C246F2"/>
    <w:rsid w:val="00C24978"/>
    <w:rsid w:val="00C24A6A"/>
    <w:rsid w:val="00C26707"/>
    <w:rsid w:val="00C275C4"/>
    <w:rsid w:val="00C27719"/>
    <w:rsid w:val="00C318CE"/>
    <w:rsid w:val="00C31BCD"/>
    <w:rsid w:val="00C320EB"/>
    <w:rsid w:val="00C32F7B"/>
    <w:rsid w:val="00C33845"/>
    <w:rsid w:val="00C3513F"/>
    <w:rsid w:val="00C355AA"/>
    <w:rsid w:val="00C36223"/>
    <w:rsid w:val="00C379B8"/>
    <w:rsid w:val="00C40725"/>
    <w:rsid w:val="00C40EC9"/>
    <w:rsid w:val="00C4207E"/>
    <w:rsid w:val="00C451A3"/>
    <w:rsid w:val="00C4577E"/>
    <w:rsid w:val="00C46697"/>
    <w:rsid w:val="00C46BCA"/>
    <w:rsid w:val="00C47EA7"/>
    <w:rsid w:val="00C50C8F"/>
    <w:rsid w:val="00C50D41"/>
    <w:rsid w:val="00C51156"/>
    <w:rsid w:val="00C52133"/>
    <w:rsid w:val="00C53FD7"/>
    <w:rsid w:val="00C55C61"/>
    <w:rsid w:val="00C56B52"/>
    <w:rsid w:val="00C57047"/>
    <w:rsid w:val="00C57444"/>
    <w:rsid w:val="00C6092E"/>
    <w:rsid w:val="00C60F19"/>
    <w:rsid w:val="00C612C0"/>
    <w:rsid w:val="00C635E1"/>
    <w:rsid w:val="00C63BCE"/>
    <w:rsid w:val="00C64F44"/>
    <w:rsid w:val="00C650ED"/>
    <w:rsid w:val="00C65132"/>
    <w:rsid w:val="00C65F6A"/>
    <w:rsid w:val="00C66205"/>
    <w:rsid w:val="00C67F3E"/>
    <w:rsid w:val="00C703DF"/>
    <w:rsid w:val="00C70B6C"/>
    <w:rsid w:val="00C70CD5"/>
    <w:rsid w:val="00C71197"/>
    <w:rsid w:val="00C7194E"/>
    <w:rsid w:val="00C7216F"/>
    <w:rsid w:val="00C730E4"/>
    <w:rsid w:val="00C73BB8"/>
    <w:rsid w:val="00C74CC5"/>
    <w:rsid w:val="00C76B48"/>
    <w:rsid w:val="00C76CC4"/>
    <w:rsid w:val="00C77815"/>
    <w:rsid w:val="00C81D6F"/>
    <w:rsid w:val="00C823C5"/>
    <w:rsid w:val="00C82D42"/>
    <w:rsid w:val="00C8322A"/>
    <w:rsid w:val="00C83583"/>
    <w:rsid w:val="00C84B12"/>
    <w:rsid w:val="00C84DF5"/>
    <w:rsid w:val="00C859F0"/>
    <w:rsid w:val="00C869BC"/>
    <w:rsid w:val="00C86C38"/>
    <w:rsid w:val="00C86E17"/>
    <w:rsid w:val="00C8737E"/>
    <w:rsid w:val="00C90444"/>
    <w:rsid w:val="00C9243B"/>
    <w:rsid w:val="00C944CD"/>
    <w:rsid w:val="00C945FD"/>
    <w:rsid w:val="00C946CC"/>
    <w:rsid w:val="00C953C0"/>
    <w:rsid w:val="00C96E5A"/>
    <w:rsid w:val="00C97ACC"/>
    <w:rsid w:val="00CA056D"/>
    <w:rsid w:val="00CA181F"/>
    <w:rsid w:val="00CA22C7"/>
    <w:rsid w:val="00CA2A54"/>
    <w:rsid w:val="00CA3219"/>
    <w:rsid w:val="00CA3EAA"/>
    <w:rsid w:val="00CA5B7C"/>
    <w:rsid w:val="00CA6BE3"/>
    <w:rsid w:val="00CA6C53"/>
    <w:rsid w:val="00CA7F0B"/>
    <w:rsid w:val="00CB01EB"/>
    <w:rsid w:val="00CB03A1"/>
    <w:rsid w:val="00CB0DFA"/>
    <w:rsid w:val="00CB2500"/>
    <w:rsid w:val="00CB250C"/>
    <w:rsid w:val="00CB2739"/>
    <w:rsid w:val="00CB34D5"/>
    <w:rsid w:val="00CB3AD4"/>
    <w:rsid w:val="00CB46B5"/>
    <w:rsid w:val="00CB53E5"/>
    <w:rsid w:val="00CB5D0E"/>
    <w:rsid w:val="00CB6CB0"/>
    <w:rsid w:val="00CC0B33"/>
    <w:rsid w:val="00CC134C"/>
    <w:rsid w:val="00CC36F9"/>
    <w:rsid w:val="00CC3E8F"/>
    <w:rsid w:val="00CC5056"/>
    <w:rsid w:val="00CC6F22"/>
    <w:rsid w:val="00CC710E"/>
    <w:rsid w:val="00CD072D"/>
    <w:rsid w:val="00CD0BA2"/>
    <w:rsid w:val="00CD18DE"/>
    <w:rsid w:val="00CD29B7"/>
    <w:rsid w:val="00CD2AA6"/>
    <w:rsid w:val="00CD2CA8"/>
    <w:rsid w:val="00CD2E30"/>
    <w:rsid w:val="00CD3FB7"/>
    <w:rsid w:val="00CD5516"/>
    <w:rsid w:val="00CD643B"/>
    <w:rsid w:val="00CD7778"/>
    <w:rsid w:val="00CD7B7F"/>
    <w:rsid w:val="00CE0D42"/>
    <w:rsid w:val="00CE19D1"/>
    <w:rsid w:val="00CE23EF"/>
    <w:rsid w:val="00CE6197"/>
    <w:rsid w:val="00CE6490"/>
    <w:rsid w:val="00CE6BEE"/>
    <w:rsid w:val="00CE702E"/>
    <w:rsid w:val="00CE7723"/>
    <w:rsid w:val="00CF088A"/>
    <w:rsid w:val="00CF1631"/>
    <w:rsid w:val="00CF1AEC"/>
    <w:rsid w:val="00CF32FE"/>
    <w:rsid w:val="00CF37D0"/>
    <w:rsid w:val="00CF38F2"/>
    <w:rsid w:val="00CF56DF"/>
    <w:rsid w:val="00CF5CD7"/>
    <w:rsid w:val="00CF774A"/>
    <w:rsid w:val="00CF79DF"/>
    <w:rsid w:val="00CF7FE3"/>
    <w:rsid w:val="00D00702"/>
    <w:rsid w:val="00D01E61"/>
    <w:rsid w:val="00D02296"/>
    <w:rsid w:val="00D02B99"/>
    <w:rsid w:val="00D0306C"/>
    <w:rsid w:val="00D034FA"/>
    <w:rsid w:val="00D04D56"/>
    <w:rsid w:val="00D05835"/>
    <w:rsid w:val="00D06027"/>
    <w:rsid w:val="00D0751A"/>
    <w:rsid w:val="00D078F8"/>
    <w:rsid w:val="00D07D25"/>
    <w:rsid w:val="00D110F0"/>
    <w:rsid w:val="00D116BA"/>
    <w:rsid w:val="00D12172"/>
    <w:rsid w:val="00D12852"/>
    <w:rsid w:val="00D13010"/>
    <w:rsid w:val="00D133F0"/>
    <w:rsid w:val="00D143ED"/>
    <w:rsid w:val="00D16C5A"/>
    <w:rsid w:val="00D16DAA"/>
    <w:rsid w:val="00D17E12"/>
    <w:rsid w:val="00D20F59"/>
    <w:rsid w:val="00D211B4"/>
    <w:rsid w:val="00D2131F"/>
    <w:rsid w:val="00D21844"/>
    <w:rsid w:val="00D21B84"/>
    <w:rsid w:val="00D22983"/>
    <w:rsid w:val="00D25359"/>
    <w:rsid w:val="00D25E7D"/>
    <w:rsid w:val="00D261EA"/>
    <w:rsid w:val="00D265DE"/>
    <w:rsid w:val="00D26D6A"/>
    <w:rsid w:val="00D27732"/>
    <w:rsid w:val="00D27842"/>
    <w:rsid w:val="00D301CB"/>
    <w:rsid w:val="00D30628"/>
    <w:rsid w:val="00D30CEE"/>
    <w:rsid w:val="00D30F08"/>
    <w:rsid w:val="00D31D6C"/>
    <w:rsid w:val="00D32B3D"/>
    <w:rsid w:val="00D33C8D"/>
    <w:rsid w:val="00D340AF"/>
    <w:rsid w:val="00D35252"/>
    <w:rsid w:val="00D37148"/>
    <w:rsid w:val="00D37612"/>
    <w:rsid w:val="00D37A00"/>
    <w:rsid w:val="00D37DAF"/>
    <w:rsid w:val="00D40860"/>
    <w:rsid w:val="00D41F53"/>
    <w:rsid w:val="00D4280D"/>
    <w:rsid w:val="00D42B76"/>
    <w:rsid w:val="00D43787"/>
    <w:rsid w:val="00D447D8"/>
    <w:rsid w:val="00D447FF"/>
    <w:rsid w:val="00D450B5"/>
    <w:rsid w:val="00D45623"/>
    <w:rsid w:val="00D456B0"/>
    <w:rsid w:val="00D45942"/>
    <w:rsid w:val="00D45968"/>
    <w:rsid w:val="00D45ED8"/>
    <w:rsid w:val="00D468AF"/>
    <w:rsid w:val="00D470FA"/>
    <w:rsid w:val="00D47D15"/>
    <w:rsid w:val="00D47F57"/>
    <w:rsid w:val="00D50488"/>
    <w:rsid w:val="00D50983"/>
    <w:rsid w:val="00D51CC6"/>
    <w:rsid w:val="00D51EE2"/>
    <w:rsid w:val="00D53B35"/>
    <w:rsid w:val="00D5648F"/>
    <w:rsid w:val="00D56E3B"/>
    <w:rsid w:val="00D57CC2"/>
    <w:rsid w:val="00D616EC"/>
    <w:rsid w:val="00D625B8"/>
    <w:rsid w:val="00D6325A"/>
    <w:rsid w:val="00D63B1B"/>
    <w:rsid w:val="00D648BA"/>
    <w:rsid w:val="00D65369"/>
    <w:rsid w:val="00D66709"/>
    <w:rsid w:val="00D66A4D"/>
    <w:rsid w:val="00D7005B"/>
    <w:rsid w:val="00D72227"/>
    <w:rsid w:val="00D724E1"/>
    <w:rsid w:val="00D74837"/>
    <w:rsid w:val="00D76A1B"/>
    <w:rsid w:val="00D76A95"/>
    <w:rsid w:val="00D77AD3"/>
    <w:rsid w:val="00D801E1"/>
    <w:rsid w:val="00D80EA7"/>
    <w:rsid w:val="00D81C78"/>
    <w:rsid w:val="00D82515"/>
    <w:rsid w:val="00D82682"/>
    <w:rsid w:val="00D82E21"/>
    <w:rsid w:val="00D831E6"/>
    <w:rsid w:val="00D840E2"/>
    <w:rsid w:val="00D8456C"/>
    <w:rsid w:val="00D846FE"/>
    <w:rsid w:val="00D860CB"/>
    <w:rsid w:val="00D87C68"/>
    <w:rsid w:val="00D90BBD"/>
    <w:rsid w:val="00D90DFD"/>
    <w:rsid w:val="00D92783"/>
    <w:rsid w:val="00D92B70"/>
    <w:rsid w:val="00D92D3B"/>
    <w:rsid w:val="00D9428A"/>
    <w:rsid w:val="00D9456A"/>
    <w:rsid w:val="00D947D4"/>
    <w:rsid w:val="00D94B4E"/>
    <w:rsid w:val="00D94DBD"/>
    <w:rsid w:val="00D95060"/>
    <w:rsid w:val="00D95AC6"/>
    <w:rsid w:val="00D95B16"/>
    <w:rsid w:val="00D96D93"/>
    <w:rsid w:val="00DA00BB"/>
    <w:rsid w:val="00DA06EB"/>
    <w:rsid w:val="00DA12E9"/>
    <w:rsid w:val="00DA2F32"/>
    <w:rsid w:val="00DA370D"/>
    <w:rsid w:val="00DA38F9"/>
    <w:rsid w:val="00DA4071"/>
    <w:rsid w:val="00DA5300"/>
    <w:rsid w:val="00DA6F8B"/>
    <w:rsid w:val="00DA776D"/>
    <w:rsid w:val="00DA7A02"/>
    <w:rsid w:val="00DA7AAB"/>
    <w:rsid w:val="00DB0815"/>
    <w:rsid w:val="00DB1859"/>
    <w:rsid w:val="00DB18E6"/>
    <w:rsid w:val="00DB29D7"/>
    <w:rsid w:val="00DB2FF6"/>
    <w:rsid w:val="00DB3ABE"/>
    <w:rsid w:val="00DB4776"/>
    <w:rsid w:val="00DB480B"/>
    <w:rsid w:val="00DB6391"/>
    <w:rsid w:val="00DB6676"/>
    <w:rsid w:val="00DC00A6"/>
    <w:rsid w:val="00DC18C8"/>
    <w:rsid w:val="00DC2ABE"/>
    <w:rsid w:val="00DC59DE"/>
    <w:rsid w:val="00DC6091"/>
    <w:rsid w:val="00DC7217"/>
    <w:rsid w:val="00DC77A6"/>
    <w:rsid w:val="00DC79BB"/>
    <w:rsid w:val="00DD11EB"/>
    <w:rsid w:val="00DD15CF"/>
    <w:rsid w:val="00DD17F8"/>
    <w:rsid w:val="00DD1B8B"/>
    <w:rsid w:val="00DD1E75"/>
    <w:rsid w:val="00DD1F32"/>
    <w:rsid w:val="00DD23D6"/>
    <w:rsid w:val="00DD34A7"/>
    <w:rsid w:val="00DD3DA0"/>
    <w:rsid w:val="00DD4855"/>
    <w:rsid w:val="00DD4B0F"/>
    <w:rsid w:val="00DD4B83"/>
    <w:rsid w:val="00DD5763"/>
    <w:rsid w:val="00DD635D"/>
    <w:rsid w:val="00DD75C4"/>
    <w:rsid w:val="00DE0DBD"/>
    <w:rsid w:val="00DE193B"/>
    <w:rsid w:val="00DE1FBA"/>
    <w:rsid w:val="00DE2569"/>
    <w:rsid w:val="00DE278E"/>
    <w:rsid w:val="00DE4550"/>
    <w:rsid w:val="00DE559C"/>
    <w:rsid w:val="00DE55DE"/>
    <w:rsid w:val="00DE5968"/>
    <w:rsid w:val="00DE6A2A"/>
    <w:rsid w:val="00DF1227"/>
    <w:rsid w:val="00DF1270"/>
    <w:rsid w:val="00DF131F"/>
    <w:rsid w:val="00DF2781"/>
    <w:rsid w:val="00DF2A51"/>
    <w:rsid w:val="00DF2C98"/>
    <w:rsid w:val="00DF3EB4"/>
    <w:rsid w:val="00DF623A"/>
    <w:rsid w:val="00DF77FD"/>
    <w:rsid w:val="00DF7AB6"/>
    <w:rsid w:val="00E003CB"/>
    <w:rsid w:val="00E00D31"/>
    <w:rsid w:val="00E00DCA"/>
    <w:rsid w:val="00E033B7"/>
    <w:rsid w:val="00E038DB"/>
    <w:rsid w:val="00E0420D"/>
    <w:rsid w:val="00E04536"/>
    <w:rsid w:val="00E045A6"/>
    <w:rsid w:val="00E04FFB"/>
    <w:rsid w:val="00E05981"/>
    <w:rsid w:val="00E05EEE"/>
    <w:rsid w:val="00E065DD"/>
    <w:rsid w:val="00E075A8"/>
    <w:rsid w:val="00E07D5A"/>
    <w:rsid w:val="00E105EE"/>
    <w:rsid w:val="00E10D91"/>
    <w:rsid w:val="00E12C25"/>
    <w:rsid w:val="00E131F3"/>
    <w:rsid w:val="00E133CD"/>
    <w:rsid w:val="00E134FC"/>
    <w:rsid w:val="00E1436B"/>
    <w:rsid w:val="00E14F22"/>
    <w:rsid w:val="00E151BD"/>
    <w:rsid w:val="00E170FA"/>
    <w:rsid w:val="00E20123"/>
    <w:rsid w:val="00E2020E"/>
    <w:rsid w:val="00E20D15"/>
    <w:rsid w:val="00E22208"/>
    <w:rsid w:val="00E238B8"/>
    <w:rsid w:val="00E25A13"/>
    <w:rsid w:val="00E26DAC"/>
    <w:rsid w:val="00E26F75"/>
    <w:rsid w:val="00E272F3"/>
    <w:rsid w:val="00E3064C"/>
    <w:rsid w:val="00E323E2"/>
    <w:rsid w:val="00E33007"/>
    <w:rsid w:val="00E34483"/>
    <w:rsid w:val="00E3456D"/>
    <w:rsid w:val="00E35F51"/>
    <w:rsid w:val="00E371C9"/>
    <w:rsid w:val="00E406B2"/>
    <w:rsid w:val="00E40F2B"/>
    <w:rsid w:val="00E4190D"/>
    <w:rsid w:val="00E435B4"/>
    <w:rsid w:val="00E43ADD"/>
    <w:rsid w:val="00E440C8"/>
    <w:rsid w:val="00E44987"/>
    <w:rsid w:val="00E44ACC"/>
    <w:rsid w:val="00E44EB9"/>
    <w:rsid w:val="00E44F34"/>
    <w:rsid w:val="00E452F1"/>
    <w:rsid w:val="00E45859"/>
    <w:rsid w:val="00E47666"/>
    <w:rsid w:val="00E47C2B"/>
    <w:rsid w:val="00E504E9"/>
    <w:rsid w:val="00E507A9"/>
    <w:rsid w:val="00E5253D"/>
    <w:rsid w:val="00E52D8B"/>
    <w:rsid w:val="00E531E4"/>
    <w:rsid w:val="00E5321E"/>
    <w:rsid w:val="00E532F0"/>
    <w:rsid w:val="00E53860"/>
    <w:rsid w:val="00E54E96"/>
    <w:rsid w:val="00E554DA"/>
    <w:rsid w:val="00E554E7"/>
    <w:rsid w:val="00E5688C"/>
    <w:rsid w:val="00E57A73"/>
    <w:rsid w:val="00E57C72"/>
    <w:rsid w:val="00E57EF0"/>
    <w:rsid w:val="00E60AEE"/>
    <w:rsid w:val="00E61310"/>
    <w:rsid w:val="00E6547E"/>
    <w:rsid w:val="00E65B24"/>
    <w:rsid w:val="00E65E36"/>
    <w:rsid w:val="00E669A1"/>
    <w:rsid w:val="00E67625"/>
    <w:rsid w:val="00E700D9"/>
    <w:rsid w:val="00E71FF3"/>
    <w:rsid w:val="00E75FF6"/>
    <w:rsid w:val="00E7701C"/>
    <w:rsid w:val="00E77A6F"/>
    <w:rsid w:val="00E8180A"/>
    <w:rsid w:val="00E8378B"/>
    <w:rsid w:val="00E8390A"/>
    <w:rsid w:val="00E83A3B"/>
    <w:rsid w:val="00E83EA9"/>
    <w:rsid w:val="00E901D7"/>
    <w:rsid w:val="00E90277"/>
    <w:rsid w:val="00E9172D"/>
    <w:rsid w:val="00E91B37"/>
    <w:rsid w:val="00E91BD8"/>
    <w:rsid w:val="00E922BE"/>
    <w:rsid w:val="00E9258D"/>
    <w:rsid w:val="00E9268E"/>
    <w:rsid w:val="00E92B00"/>
    <w:rsid w:val="00E9368B"/>
    <w:rsid w:val="00E94D9A"/>
    <w:rsid w:val="00E951CA"/>
    <w:rsid w:val="00E953FA"/>
    <w:rsid w:val="00E97D0F"/>
    <w:rsid w:val="00E97E28"/>
    <w:rsid w:val="00EA2E2E"/>
    <w:rsid w:val="00EA37D1"/>
    <w:rsid w:val="00EA484D"/>
    <w:rsid w:val="00EA4A96"/>
    <w:rsid w:val="00EA73A5"/>
    <w:rsid w:val="00EB1A14"/>
    <w:rsid w:val="00EB1C95"/>
    <w:rsid w:val="00EB3B0A"/>
    <w:rsid w:val="00EB3DAC"/>
    <w:rsid w:val="00EB4093"/>
    <w:rsid w:val="00EB46F3"/>
    <w:rsid w:val="00EB4958"/>
    <w:rsid w:val="00EB6BDF"/>
    <w:rsid w:val="00EC032C"/>
    <w:rsid w:val="00EC1371"/>
    <w:rsid w:val="00EC1A72"/>
    <w:rsid w:val="00EC2445"/>
    <w:rsid w:val="00EC33B2"/>
    <w:rsid w:val="00EC3796"/>
    <w:rsid w:val="00EC3EE1"/>
    <w:rsid w:val="00EC41A4"/>
    <w:rsid w:val="00EC5933"/>
    <w:rsid w:val="00EC5D78"/>
    <w:rsid w:val="00EC6563"/>
    <w:rsid w:val="00EC7294"/>
    <w:rsid w:val="00EC7555"/>
    <w:rsid w:val="00EC7728"/>
    <w:rsid w:val="00ED0109"/>
    <w:rsid w:val="00ED0149"/>
    <w:rsid w:val="00ED0680"/>
    <w:rsid w:val="00ED10A6"/>
    <w:rsid w:val="00ED1D63"/>
    <w:rsid w:val="00ED1FDA"/>
    <w:rsid w:val="00ED27B9"/>
    <w:rsid w:val="00ED2905"/>
    <w:rsid w:val="00ED3D65"/>
    <w:rsid w:val="00ED545C"/>
    <w:rsid w:val="00ED69AD"/>
    <w:rsid w:val="00ED7E7A"/>
    <w:rsid w:val="00EE0D8C"/>
    <w:rsid w:val="00EE149D"/>
    <w:rsid w:val="00EE172B"/>
    <w:rsid w:val="00EE2021"/>
    <w:rsid w:val="00EE2C8D"/>
    <w:rsid w:val="00EE3C29"/>
    <w:rsid w:val="00EE3F56"/>
    <w:rsid w:val="00EE4BB2"/>
    <w:rsid w:val="00EE5174"/>
    <w:rsid w:val="00EE560A"/>
    <w:rsid w:val="00EE6781"/>
    <w:rsid w:val="00EE6B1F"/>
    <w:rsid w:val="00EE6B47"/>
    <w:rsid w:val="00EE733B"/>
    <w:rsid w:val="00EE7B6D"/>
    <w:rsid w:val="00EF13A5"/>
    <w:rsid w:val="00EF1724"/>
    <w:rsid w:val="00EF196B"/>
    <w:rsid w:val="00EF1AA9"/>
    <w:rsid w:val="00EF1ABF"/>
    <w:rsid w:val="00EF1B4E"/>
    <w:rsid w:val="00EF1CC2"/>
    <w:rsid w:val="00EF1E8F"/>
    <w:rsid w:val="00EF3963"/>
    <w:rsid w:val="00EF5079"/>
    <w:rsid w:val="00EF5D17"/>
    <w:rsid w:val="00EF6BC3"/>
    <w:rsid w:val="00EF758A"/>
    <w:rsid w:val="00EF7A77"/>
    <w:rsid w:val="00EF7DE3"/>
    <w:rsid w:val="00F006C9"/>
    <w:rsid w:val="00F02F54"/>
    <w:rsid w:val="00F03638"/>
    <w:rsid w:val="00F039ED"/>
    <w:rsid w:val="00F03F16"/>
    <w:rsid w:val="00F0620D"/>
    <w:rsid w:val="00F062F2"/>
    <w:rsid w:val="00F07ECC"/>
    <w:rsid w:val="00F10116"/>
    <w:rsid w:val="00F11B23"/>
    <w:rsid w:val="00F1344F"/>
    <w:rsid w:val="00F13850"/>
    <w:rsid w:val="00F13A34"/>
    <w:rsid w:val="00F146CB"/>
    <w:rsid w:val="00F14B1E"/>
    <w:rsid w:val="00F15D92"/>
    <w:rsid w:val="00F16F2D"/>
    <w:rsid w:val="00F17120"/>
    <w:rsid w:val="00F213F7"/>
    <w:rsid w:val="00F220EF"/>
    <w:rsid w:val="00F2298C"/>
    <w:rsid w:val="00F24CF2"/>
    <w:rsid w:val="00F25235"/>
    <w:rsid w:val="00F254F6"/>
    <w:rsid w:val="00F3022D"/>
    <w:rsid w:val="00F30708"/>
    <w:rsid w:val="00F30841"/>
    <w:rsid w:val="00F30B71"/>
    <w:rsid w:val="00F31B3B"/>
    <w:rsid w:val="00F31E35"/>
    <w:rsid w:val="00F3228A"/>
    <w:rsid w:val="00F3395E"/>
    <w:rsid w:val="00F33A72"/>
    <w:rsid w:val="00F34132"/>
    <w:rsid w:val="00F3415D"/>
    <w:rsid w:val="00F34B6C"/>
    <w:rsid w:val="00F363F1"/>
    <w:rsid w:val="00F36467"/>
    <w:rsid w:val="00F36A60"/>
    <w:rsid w:val="00F37256"/>
    <w:rsid w:val="00F3776A"/>
    <w:rsid w:val="00F37961"/>
    <w:rsid w:val="00F41479"/>
    <w:rsid w:val="00F41785"/>
    <w:rsid w:val="00F41C42"/>
    <w:rsid w:val="00F43DFC"/>
    <w:rsid w:val="00F45E5A"/>
    <w:rsid w:val="00F50172"/>
    <w:rsid w:val="00F5085C"/>
    <w:rsid w:val="00F52003"/>
    <w:rsid w:val="00F536D9"/>
    <w:rsid w:val="00F54740"/>
    <w:rsid w:val="00F565D0"/>
    <w:rsid w:val="00F57A3E"/>
    <w:rsid w:val="00F60872"/>
    <w:rsid w:val="00F62899"/>
    <w:rsid w:val="00F637A9"/>
    <w:rsid w:val="00F63A4A"/>
    <w:rsid w:val="00F63C8D"/>
    <w:rsid w:val="00F63E31"/>
    <w:rsid w:val="00F6404B"/>
    <w:rsid w:val="00F645AE"/>
    <w:rsid w:val="00F67D00"/>
    <w:rsid w:val="00F67D2C"/>
    <w:rsid w:val="00F70011"/>
    <w:rsid w:val="00F720FA"/>
    <w:rsid w:val="00F733B2"/>
    <w:rsid w:val="00F73D18"/>
    <w:rsid w:val="00F755A1"/>
    <w:rsid w:val="00F756FC"/>
    <w:rsid w:val="00F75916"/>
    <w:rsid w:val="00F75DF6"/>
    <w:rsid w:val="00F772EA"/>
    <w:rsid w:val="00F77698"/>
    <w:rsid w:val="00F82646"/>
    <w:rsid w:val="00F82E06"/>
    <w:rsid w:val="00F83BC2"/>
    <w:rsid w:val="00F84277"/>
    <w:rsid w:val="00F84ED2"/>
    <w:rsid w:val="00F84FAF"/>
    <w:rsid w:val="00F87584"/>
    <w:rsid w:val="00F87AC1"/>
    <w:rsid w:val="00F90290"/>
    <w:rsid w:val="00F915B8"/>
    <w:rsid w:val="00F91B3B"/>
    <w:rsid w:val="00F93C34"/>
    <w:rsid w:val="00F94AC9"/>
    <w:rsid w:val="00F94EC0"/>
    <w:rsid w:val="00F976C6"/>
    <w:rsid w:val="00FA0C52"/>
    <w:rsid w:val="00FA180C"/>
    <w:rsid w:val="00FA1CFB"/>
    <w:rsid w:val="00FA1E7B"/>
    <w:rsid w:val="00FA215D"/>
    <w:rsid w:val="00FA2451"/>
    <w:rsid w:val="00FA2726"/>
    <w:rsid w:val="00FA3FB9"/>
    <w:rsid w:val="00FA457D"/>
    <w:rsid w:val="00FA4DB8"/>
    <w:rsid w:val="00FA6765"/>
    <w:rsid w:val="00FA6800"/>
    <w:rsid w:val="00FA6E33"/>
    <w:rsid w:val="00FA72B1"/>
    <w:rsid w:val="00FB007E"/>
    <w:rsid w:val="00FB12AF"/>
    <w:rsid w:val="00FB1A78"/>
    <w:rsid w:val="00FB2041"/>
    <w:rsid w:val="00FB2149"/>
    <w:rsid w:val="00FB2851"/>
    <w:rsid w:val="00FB41E9"/>
    <w:rsid w:val="00FB5C4E"/>
    <w:rsid w:val="00FB622B"/>
    <w:rsid w:val="00FB76C5"/>
    <w:rsid w:val="00FC38F9"/>
    <w:rsid w:val="00FC479C"/>
    <w:rsid w:val="00FC59CE"/>
    <w:rsid w:val="00FC6479"/>
    <w:rsid w:val="00FC6E57"/>
    <w:rsid w:val="00FC7151"/>
    <w:rsid w:val="00FD024F"/>
    <w:rsid w:val="00FD0560"/>
    <w:rsid w:val="00FD0C02"/>
    <w:rsid w:val="00FD1872"/>
    <w:rsid w:val="00FD1ECB"/>
    <w:rsid w:val="00FD1FCF"/>
    <w:rsid w:val="00FD282F"/>
    <w:rsid w:val="00FD2D34"/>
    <w:rsid w:val="00FD376E"/>
    <w:rsid w:val="00FD3B31"/>
    <w:rsid w:val="00FD6EAA"/>
    <w:rsid w:val="00FD715F"/>
    <w:rsid w:val="00FD7E3C"/>
    <w:rsid w:val="00FE05C0"/>
    <w:rsid w:val="00FE0ABB"/>
    <w:rsid w:val="00FE141F"/>
    <w:rsid w:val="00FE20F0"/>
    <w:rsid w:val="00FE3A05"/>
    <w:rsid w:val="00FE7911"/>
    <w:rsid w:val="00FF0122"/>
    <w:rsid w:val="00FF10CC"/>
    <w:rsid w:val="00FF1735"/>
    <w:rsid w:val="00FF31C9"/>
    <w:rsid w:val="00FF3C6F"/>
    <w:rsid w:val="00FF3D51"/>
    <w:rsid w:val="00FF5DB9"/>
    <w:rsid w:val="00FF663F"/>
    <w:rsid w:val="00FF7AE0"/>
    <w:rsid w:val="00FF7AF0"/>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semiHidden/>
    <w:unhideWhenUsed/>
    <w:rsid w:val="00E554DA"/>
    <w:rPr>
      <w:color w:val="0000FF"/>
      <w:u w:val="single"/>
    </w:rPr>
  </w:style>
  <w:style w:type="paragraph" w:styleId="NormalWeb">
    <w:name w:val="Normal (Web)"/>
    <w:basedOn w:val="Normal"/>
    <w:uiPriority w:val="99"/>
    <w:semiHidden/>
    <w:unhideWhenUsed/>
    <w:rsid w:val="00B64112"/>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B6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5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7FC7-3B88-4050-9415-B870D097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2023-09-15T06:46:00Z</cp:lastPrinted>
  <dcterms:created xsi:type="dcterms:W3CDTF">2023-09-20T11:43:00Z</dcterms:created>
  <dcterms:modified xsi:type="dcterms:W3CDTF">2023-09-20T11:44:00Z</dcterms:modified>
</cp:coreProperties>
</file>