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503F6" w14:textId="77777777" w:rsidR="00095D3B" w:rsidRDefault="00095D3B" w:rsidP="00095D3B">
      <w:pPr>
        <w:pStyle w:val="Header"/>
        <w:widowControl w:val="0"/>
        <w:tabs>
          <w:tab w:val="clear" w:pos="4320"/>
          <w:tab w:val="clear" w:pos="8640"/>
        </w:tabs>
        <w:jc w:val="center"/>
      </w:pPr>
      <w:r>
        <w:rPr>
          <w:noProof/>
          <w:lang w:val="en-US"/>
        </w:rPr>
        <w:drawing>
          <wp:inline distT="0" distB="0" distL="0" distR="0" wp14:anchorId="35586A02" wp14:editId="1BE7A186">
            <wp:extent cx="987425" cy="104775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1047750"/>
                    </a:xfrm>
                    <a:prstGeom prst="rect">
                      <a:avLst/>
                    </a:prstGeom>
                    <a:noFill/>
                  </pic:spPr>
                </pic:pic>
              </a:graphicData>
            </a:graphic>
          </wp:inline>
        </w:drawing>
      </w:r>
    </w:p>
    <w:p w14:paraId="04B1E492" w14:textId="77777777" w:rsidR="00095D3B" w:rsidRDefault="00095D3B" w:rsidP="00095D3B">
      <w:pPr>
        <w:pStyle w:val="Header"/>
        <w:widowControl w:val="0"/>
        <w:tabs>
          <w:tab w:val="clear" w:pos="4320"/>
          <w:tab w:val="clear" w:pos="8640"/>
        </w:tabs>
        <w:jc w:val="center"/>
      </w:pPr>
    </w:p>
    <w:p w14:paraId="085FA0A2" w14:textId="77777777" w:rsidR="009F41EC" w:rsidRDefault="00ED5360" w:rsidP="009F41EC">
      <w:pPr>
        <w:pStyle w:val="Header"/>
        <w:widowControl w:val="0"/>
        <w:tabs>
          <w:tab w:val="clear" w:pos="4320"/>
          <w:tab w:val="clear" w:pos="8640"/>
        </w:tabs>
      </w:pPr>
      <w:r>
        <w:t>IN THE HIGH COURT OF SOUTH AFRICA</w:t>
      </w:r>
    </w:p>
    <w:p w14:paraId="618F94A3" w14:textId="5AF7BDA4" w:rsidR="0010382C" w:rsidRDefault="00ED5360" w:rsidP="009F41EC">
      <w:pPr>
        <w:pStyle w:val="Header"/>
        <w:widowControl w:val="0"/>
        <w:tabs>
          <w:tab w:val="clear" w:pos="4320"/>
          <w:tab w:val="clear" w:pos="8640"/>
        </w:tabs>
      </w:pPr>
      <w:r>
        <w:t>EASTERN CAPE</w:t>
      </w:r>
      <w:r w:rsidR="009B6903">
        <w:t xml:space="preserve"> DIVISION,</w:t>
      </w:r>
      <w:r w:rsidR="00935724">
        <w:t xml:space="preserve"> BHISHO</w:t>
      </w:r>
      <w:r>
        <w:tab/>
      </w:r>
    </w:p>
    <w:p w14:paraId="19839E0C" w14:textId="77777777" w:rsidR="009F41EC" w:rsidRDefault="009F41EC" w:rsidP="009F41EC">
      <w:pPr>
        <w:pStyle w:val="Header"/>
        <w:widowControl w:val="0"/>
        <w:tabs>
          <w:tab w:val="clear" w:pos="4320"/>
          <w:tab w:val="clear" w:pos="8640"/>
        </w:tabs>
      </w:pPr>
    </w:p>
    <w:p w14:paraId="3B4D43C2" w14:textId="2BE81866" w:rsidR="00E72012" w:rsidRDefault="0010382C" w:rsidP="0010382C">
      <w:pPr>
        <w:widowControl w:val="0"/>
        <w:tabs>
          <w:tab w:val="right" w:pos="9213"/>
        </w:tabs>
        <w:spacing w:line="276" w:lineRule="auto"/>
      </w:pPr>
      <w:r>
        <w:tab/>
      </w:r>
      <w:r w:rsidR="00ED5360">
        <w:t>C</w:t>
      </w:r>
      <w:r>
        <w:t>ase No:</w:t>
      </w:r>
      <w:r w:rsidR="00ED5360">
        <w:t xml:space="preserve"> </w:t>
      </w:r>
      <w:r w:rsidR="00935724">
        <w:t>190/2022</w:t>
      </w:r>
    </w:p>
    <w:p w14:paraId="1E2D427E" w14:textId="77777777" w:rsidR="00E72012" w:rsidRDefault="00E72012" w:rsidP="0010382C">
      <w:pPr>
        <w:widowControl w:val="0"/>
        <w:tabs>
          <w:tab w:val="right" w:pos="8640"/>
        </w:tabs>
        <w:spacing w:line="276" w:lineRule="auto"/>
      </w:pPr>
    </w:p>
    <w:p w14:paraId="495CAD85" w14:textId="77777777" w:rsidR="00E72012" w:rsidRDefault="00ED5360" w:rsidP="00935724">
      <w:pPr>
        <w:widowControl w:val="0"/>
        <w:tabs>
          <w:tab w:val="right" w:pos="8640"/>
        </w:tabs>
      </w:pPr>
      <w:r>
        <w:t>In the matter between:</w:t>
      </w:r>
    </w:p>
    <w:p w14:paraId="0379A7AE" w14:textId="77777777" w:rsidR="00E72012" w:rsidRDefault="00E72012" w:rsidP="00935724">
      <w:pPr>
        <w:widowControl w:val="0"/>
        <w:tabs>
          <w:tab w:val="right" w:pos="8640"/>
        </w:tabs>
      </w:pPr>
    </w:p>
    <w:p w14:paraId="6D2261F3" w14:textId="7F3F1E4D" w:rsidR="00E72012" w:rsidRDefault="00935724" w:rsidP="00935724">
      <w:pPr>
        <w:widowControl w:val="0"/>
        <w:tabs>
          <w:tab w:val="right" w:pos="9213"/>
        </w:tabs>
        <w:rPr>
          <w:b/>
        </w:rPr>
      </w:pPr>
      <w:r>
        <w:rPr>
          <w:b/>
        </w:rPr>
        <w:t>ASANDILE MLOMBO</w:t>
      </w:r>
      <w:r w:rsidR="00ED5360">
        <w:rPr>
          <w:b/>
        </w:rPr>
        <w:tab/>
      </w:r>
      <w:r>
        <w:rPr>
          <w:b/>
        </w:rPr>
        <w:t>Plaintiff</w:t>
      </w:r>
    </w:p>
    <w:p w14:paraId="5B1499C4" w14:textId="77777777" w:rsidR="00E72012" w:rsidRDefault="00E72012" w:rsidP="00935724">
      <w:pPr>
        <w:widowControl w:val="0"/>
        <w:tabs>
          <w:tab w:val="right" w:pos="8640"/>
        </w:tabs>
      </w:pPr>
    </w:p>
    <w:p w14:paraId="405BE306" w14:textId="77777777" w:rsidR="00E72012" w:rsidRDefault="00ED5360" w:rsidP="00935724">
      <w:pPr>
        <w:widowControl w:val="0"/>
        <w:tabs>
          <w:tab w:val="right" w:pos="8640"/>
        </w:tabs>
      </w:pPr>
      <w:r>
        <w:t>and</w:t>
      </w:r>
    </w:p>
    <w:p w14:paraId="20212975" w14:textId="77777777" w:rsidR="00E72012" w:rsidRDefault="00E72012" w:rsidP="00935724">
      <w:pPr>
        <w:widowControl w:val="0"/>
        <w:tabs>
          <w:tab w:val="right" w:pos="8640"/>
        </w:tabs>
        <w:rPr>
          <w:b/>
        </w:rPr>
      </w:pPr>
    </w:p>
    <w:p w14:paraId="7A9C4291" w14:textId="54B36EDF" w:rsidR="00E72012" w:rsidRDefault="00935724" w:rsidP="00935724">
      <w:pPr>
        <w:widowControl w:val="0"/>
        <w:pBdr>
          <w:bottom w:val="single" w:sz="6" w:space="1" w:color="auto"/>
        </w:pBdr>
        <w:tabs>
          <w:tab w:val="right" w:pos="9213"/>
        </w:tabs>
        <w:rPr>
          <w:b/>
        </w:rPr>
      </w:pPr>
      <w:r>
        <w:rPr>
          <w:b/>
        </w:rPr>
        <w:t>MINISTER OF POLICE</w:t>
      </w:r>
      <w:r w:rsidR="00ED5360">
        <w:rPr>
          <w:b/>
        </w:rPr>
        <w:tab/>
      </w:r>
      <w:r>
        <w:rPr>
          <w:b/>
        </w:rPr>
        <w:t>Defendant</w:t>
      </w:r>
    </w:p>
    <w:p w14:paraId="2D33247B" w14:textId="77777777" w:rsidR="00935724" w:rsidRDefault="00935724" w:rsidP="00935724">
      <w:pPr>
        <w:widowControl w:val="0"/>
        <w:pBdr>
          <w:bottom w:val="single" w:sz="6" w:space="1" w:color="auto"/>
        </w:pBdr>
        <w:tabs>
          <w:tab w:val="right" w:pos="9213"/>
        </w:tabs>
        <w:rPr>
          <w:b/>
        </w:rPr>
      </w:pPr>
    </w:p>
    <w:p w14:paraId="57B29BC7" w14:textId="77777777" w:rsidR="00E72012" w:rsidRDefault="00E72012" w:rsidP="00935724">
      <w:pPr>
        <w:widowControl w:val="0"/>
        <w:tabs>
          <w:tab w:val="right" w:pos="8640"/>
        </w:tabs>
      </w:pPr>
    </w:p>
    <w:p w14:paraId="7A0EF8BB" w14:textId="77777777" w:rsidR="00E72012" w:rsidRDefault="00A10BE7" w:rsidP="00935724">
      <w:pPr>
        <w:widowControl w:val="0"/>
        <w:pBdr>
          <w:bottom w:val="single" w:sz="6" w:space="1" w:color="auto"/>
        </w:pBdr>
        <w:tabs>
          <w:tab w:val="right" w:pos="8640"/>
        </w:tabs>
        <w:jc w:val="center"/>
        <w:rPr>
          <w:b/>
        </w:rPr>
      </w:pPr>
      <w:r>
        <w:rPr>
          <w:b/>
        </w:rPr>
        <w:t>JUDGMENT</w:t>
      </w:r>
    </w:p>
    <w:p w14:paraId="33BB7FEF" w14:textId="77777777" w:rsidR="00935724" w:rsidRDefault="00935724" w:rsidP="00935724">
      <w:pPr>
        <w:widowControl w:val="0"/>
        <w:pBdr>
          <w:bottom w:val="single" w:sz="6" w:space="1" w:color="auto"/>
        </w:pBdr>
        <w:tabs>
          <w:tab w:val="right" w:pos="8640"/>
        </w:tabs>
        <w:jc w:val="center"/>
        <w:rPr>
          <w:b/>
        </w:rPr>
      </w:pPr>
    </w:p>
    <w:p w14:paraId="2B691D2A" w14:textId="77777777" w:rsidR="00E72012" w:rsidRDefault="00E72012" w:rsidP="00935724">
      <w:pPr>
        <w:widowControl w:val="0"/>
        <w:tabs>
          <w:tab w:val="right" w:pos="8640"/>
        </w:tabs>
        <w:jc w:val="both"/>
      </w:pPr>
    </w:p>
    <w:p w14:paraId="7A909837" w14:textId="1CE0B4E8" w:rsidR="00D761A9" w:rsidRPr="0010382C" w:rsidRDefault="00A10BE7" w:rsidP="0010382C">
      <w:pPr>
        <w:widowControl w:val="0"/>
        <w:tabs>
          <w:tab w:val="right" w:pos="8640"/>
        </w:tabs>
        <w:spacing w:line="276" w:lineRule="auto"/>
        <w:jc w:val="both"/>
        <w:rPr>
          <w:bCs/>
        </w:rPr>
      </w:pPr>
      <w:r w:rsidRPr="0010382C">
        <w:rPr>
          <w:bCs/>
        </w:rPr>
        <w:t>Bloem J</w:t>
      </w:r>
    </w:p>
    <w:p w14:paraId="77F1AA19" w14:textId="563FE7F4" w:rsidR="003D075E" w:rsidRDefault="00073A28" w:rsidP="00073A28">
      <w:pPr>
        <w:widowControl w:val="0"/>
        <w:tabs>
          <w:tab w:val="left" w:pos="567"/>
        </w:tabs>
        <w:spacing w:before="240" w:after="240" w:line="276" w:lineRule="auto"/>
        <w:jc w:val="both"/>
      </w:pPr>
      <w:r>
        <w:t>[1]</w:t>
      </w:r>
      <w:r>
        <w:tab/>
      </w:r>
      <w:r w:rsidR="000C7227">
        <w:rPr>
          <w:rFonts w:cs="Arial"/>
          <w:szCs w:val="24"/>
        </w:rPr>
        <w:t>The issue is whether the plaintiff was lawfully detained between</w:t>
      </w:r>
      <w:r w:rsidR="009B1947">
        <w:rPr>
          <w:rFonts w:cs="Arial"/>
          <w:szCs w:val="24"/>
        </w:rPr>
        <w:t xml:space="preserve"> the date of his first appearance in court and his next appearance</w:t>
      </w:r>
      <w:r w:rsidR="000C7227">
        <w:rPr>
          <w:rFonts w:cs="Arial"/>
          <w:szCs w:val="24"/>
        </w:rPr>
        <w:t>.</w:t>
      </w:r>
      <w:r w:rsidR="004B2ACF">
        <w:rPr>
          <w:rFonts w:cs="Arial"/>
          <w:szCs w:val="24"/>
        </w:rPr>
        <w:t xml:space="preserve"> </w:t>
      </w:r>
      <w:r w:rsidR="00CC6DA7">
        <w:rPr>
          <w:rFonts w:cs="Arial"/>
          <w:szCs w:val="24"/>
        </w:rPr>
        <w:t xml:space="preserve">The material facts are </w:t>
      </w:r>
      <w:r w:rsidR="007D3FE9">
        <w:rPr>
          <w:rFonts w:cs="Arial"/>
          <w:szCs w:val="24"/>
        </w:rPr>
        <w:t xml:space="preserve">largely </w:t>
      </w:r>
      <w:r w:rsidR="00E063B3">
        <w:t>common cause or undisputed</w:t>
      </w:r>
      <w:r w:rsidR="00D83A7A">
        <w:t xml:space="preserve">.  They are </w:t>
      </w:r>
      <w:r w:rsidR="00E063B3">
        <w:t xml:space="preserve">that on </w:t>
      </w:r>
      <w:r w:rsidR="00D83A7A">
        <w:t>5</w:t>
      </w:r>
      <w:r w:rsidR="00E063B3">
        <w:t xml:space="preserve"> September 2021</w:t>
      </w:r>
      <w:r w:rsidR="00B53A6E">
        <w:t xml:space="preserve"> Asandile Mlombo, the plaintiff, was arrested without a wa</w:t>
      </w:r>
      <w:bookmarkStart w:id="0" w:name="_GoBack"/>
      <w:bookmarkEnd w:id="0"/>
      <w:r w:rsidR="00B53A6E">
        <w:t>rrant by a member of the South African Police Service</w:t>
      </w:r>
      <w:r w:rsidR="0002741D">
        <w:t xml:space="preserve"> on a charge of </w:t>
      </w:r>
      <w:r w:rsidR="00B74ACA">
        <w:t xml:space="preserve">malicious damage to property.  He was detained until he appeared in court </w:t>
      </w:r>
      <w:r w:rsidR="0002741D">
        <w:t xml:space="preserve">at Mdantsane </w:t>
      </w:r>
      <w:r w:rsidR="00B74ACA">
        <w:t>the following day</w:t>
      </w:r>
      <w:r w:rsidR="0002741D">
        <w:t xml:space="preserve">, when </w:t>
      </w:r>
      <w:r w:rsidR="00E063B3">
        <w:t xml:space="preserve">the magistrate ordered </w:t>
      </w:r>
      <w:r w:rsidR="0002741D">
        <w:t xml:space="preserve">his </w:t>
      </w:r>
      <w:r w:rsidR="00E063B3">
        <w:t xml:space="preserve">release from custody and warned him to appear in </w:t>
      </w:r>
      <w:r w:rsidR="00410458">
        <w:t xml:space="preserve">that same </w:t>
      </w:r>
      <w:r w:rsidR="00E063B3">
        <w:t>court at 08h30 on 15 October 2021</w:t>
      </w:r>
      <w:r w:rsidR="000727FC">
        <w:t>.</w:t>
      </w:r>
      <w:r w:rsidR="00E063B3">
        <w:t xml:space="preserve">  Instead</w:t>
      </w:r>
      <w:r w:rsidR="003D075E">
        <w:t xml:space="preserve"> of being released, the plaintiff </w:t>
      </w:r>
      <w:r w:rsidR="00E063B3">
        <w:t>was</w:t>
      </w:r>
      <w:r w:rsidR="003D075E">
        <w:t xml:space="preserve"> remanded in </w:t>
      </w:r>
      <w:r w:rsidR="00E063B3">
        <w:t>custody</w:t>
      </w:r>
      <w:r w:rsidR="003D075E">
        <w:t xml:space="preserve"> at the East London Correctional Centre</w:t>
      </w:r>
      <w:r w:rsidR="00E063B3">
        <w:t xml:space="preserve"> until 15 October 2021</w:t>
      </w:r>
      <w:r w:rsidR="003D075E">
        <w:t>, when he appeared in court.  The magistrate then again ordered his release from custody and warned him to appear in court on 8 November 2021.</w:t>
      </w:r>
    </w:p>
    <w:p w14:paraId="03A93007" w14:textId="25A56C7E" w:rsidR="007366A5" w:rsidRDefault="00073A28" w:rsidP="00073A28">
      <w:pPr>
        <w:widowControl w:val="0"/>
        <w:tabs>
          <w:tab w:val="left" w:pos="567"/>
        </w:tabs>
        <w:spacing w:before="240" w:after="240" w:line="276" w:lineRule="auto"/>
        <w:jc w:val="both"/>
      </w:pPr>
      <w:r>
        <w:t>[2]</w:t>
      </w:r>
      <w:r>
        <w:tab/>
      </w:r>
      <w:r w:rsidR="003D075E">
        <w:t>The plaintiff inst</w:t>
      </w:r>
      <w:r w:rsidR="00D32A54">
        <w:t>ituted</w:t>
      </w:r>
      <w:r w:rsidR="003D075E">
        <w:t xml:space="preserve"> a claim for damages against the Minister of Police, the defendant, for damages arising from his arrest and detention before his first appearance in court and his detention after</w:t>
      </w:r>
      <w:r w:rsidR="00CD7D35">
        <w:t xml:space="preserve"> his first appearance in court.  </w:t>
      </w:r>
      <w:r w:rsidR="00EE0CFA">
        <w:t xml:space="preserve">He subsequently abandoned his claim </w:t>
      </w:r>
      <w:r w:rsidR="00D32A54">
        <w:t>for</w:t>
      </w:r>
      <w:r w:rsidR="00EE0CFA">
        <w:t xml:space="preserve"> unlawful arrest and detention </w:t>
      </w:r>
      <w:r w:rsidR="007D3FE9">
        <w:t xml:space="preserve">before his first appearance </w:t>
      </w:r>
      <w:r w:rsidR="00EE0CFA">
        <w:t xml:space="preserve">and proceeded only with his claim for damages arising from his detention after </w:t>
      </w:r>
      <w:r w:rsidR="001C09B1">
        <w:t xml:space="preserve">his first appearance in court. </w:t>
      </w:r>
    </w:p>
    <w:p w14:paraId="182C6C85" w14:textId="2803677A" w:rsidR="00FB1A1C" w:rsidRPr="00D761A9" w:rsidRDefault="00073A28" w:rsidP="00073A28">
      <w:pPr>
        <w:widowControl w:val="0"/>
        <w:tabs>
          <w:tab w:val="left" w:pos="567"/>
        </w:tabs>
        <w:spacing w:before="240" w:after="240" w:line="276" w:lineRule="auto"/>
        <w:jc w:val="both"/>
      </w:pPr>
      <w:r w:rsidRPr="00D761A9">
        <w:t>[3]</w:t>
      </w:r>
      <w:r w:rsidRPr="00D761A9">
        <w:tab/>
      </w:r>
      <w:r w:rsidR="004B2ACF">
        <w:rPr>
          <w:rFonts w:cs="Arial"/>
          <w:szCs w:val="24"/>
        </w:rPr>
        <w:t xml:space="preserve">In his particulars of claim the plaintiff alleged </w:t>
      </w:r>
      <w:r w:rsidR="009B1947">
        <w:rPr>
          <w:rFonts w:cs="Arial"/>
          <w:szCs w:val="24"/>
        </w:rPr>
        <w:t>t</w:t>
      </w:r>
      <w:r w:rsidR="004B2ACF">
        <w:rPr>
          <w:rFonts w:cs="Arial"/>
          <w:szCs w:val="24"/>
        </w:rPr>
        <w:t xml:space="preserve">hat on </w:t>
      </w:r>
      <w:r w:rsidR="007366A5">
        <w:rPr>
          <w:rFonts w:cs="Arial"/>
          <w:szCs w:val="24"/>
        </w:rPr>
        <w:t>6</w:t>
      </w:r>
      <w:r w:rsidR="004B2ACF">
        <w:rPr>
          <w:rFonts w:cs="Arial"/>
          <w:szCs w:val="24"/>
        </w:rPr>
        <w:t xml:space="preserve"> September 2021</w:t>
      </w:r>
      <w:r w:rsidR="00A0466B">
        <w:rPr>
          <w:rFonts w:cs="Arial"/>
          <w:szCs w:val="24"/>
        </w:rPr>
        <w:t>, the court orderlies, as members of the S</w:t>
      </w:r>
      <w:r w:rsidR="00977C10">
        <w:rPr>
          <w:rFonts w:cs="Arial"/>
          <w:szCs w:val="24"/>
        </w:rPr>
        <w:t xml:space="preserve">outh </w:t>
      </w:r>
      <w:r w:rsidR="00A0466B">
        <w:rPr>
          <w:rFonts w:cs="Arial"/>
          <w:szCs w:val="24"/>
        </w:rPr>
        <w:t>A</w:t>
      </w:r>
      <w:r w:rsidR="00977C10">
        <w:rPr>
          <w:rFonts w:cs="Arial"/>
          <w:szCs w:val="24"/>
        </w:rPr>
        <w:t xml:space="preserve">frican </w:t>
      </w:r>
      <w:r w:rsidR="00A0466B">
        <w:rPr>
          <w:rFonts w:cs="Arial"/>
          <w:szCs w:val="24"/>
        </w:rPr>
        <w:t>P</w:t>
      </w:r>
      <w:r w:rsidR="00977C10">
        <w:rPr>
          <w:rFonts w:cs="Arial"/>
          <w:szCs w:val="24"/>
        </w:rPr>
        <w:t>olice Service</w:t>
      </w:r>
      <w:r w:rsidR="00A0466B">
        <w:rPr>
          <w:rFonts w:cs="Arial"/>
          <w:szCs w:val="24"/>
        </w:rPr>
        <w:t xml:space="preserve">, took him into custody </w:t>
      </w:r>
      <w:r w:rsidR="000C337D">
        <w:rPr>
          <w:rFonts w:cs="Arial"/>
          <w:szCs w:val="24"/>
        </w:rPr>
        <w:t xml:space="preserve">after the magistrate had ordered his release </w:t>
      </w:r>
      <w:r w:rsidR="00A0466B">
        <w:rPr>
          <w:rFonts w:cs="Arial"/>
          <w:szCs w:val="24"/>
        </w:rPr>
        <w:t xml:space="preserve">and had him transferred to the </w:t>
      </w:r>
      <w:r w:rsidR="000C337D">
        <w:rPr>
          <w:rFonts w:cs="Arial"/>
          <w:szCs w:val="24"/>
        </w:rPr>
        <w:t>above c</w:t>
      </w:r>
      <w:r w:rsidR="00A0466B">
        <w:rPr>
          <w:rFonts w:cs="Arial"/>
          <w:szCs w:val="24"/>
        </w:rPr>
        <w:t xml:space="preserve">orrectional </w:t>
      </w:r>
      <w:r w:rsidR="000C337D">
        <w:rPr>
          <w:rFonts w:cs="Arial"/>
          <w:szCs w:val="24"/>
        </w:rPr>
        <w:t>c</w:t>
      </w:r>
      <w:r w:rsidR="00A0466B">
        <w:rPr>
          <w:rFonts w:cs="Arial"/>
          <w:szCs w:val="24"/>
        </w:rPr>
        <w:t>entre where he was detained until his</w:t>
      </w:r>
      <w:r w:rsidR="00810117">
        <w:rPr>
          <w:rFonts w:cs="Arial"/>
          <w:szCs w:val="24"/>
        </w:rPr>
        <w:t xml:space="preserve"> next appearance in court on 15 October 2021.  </w:t>
      </w:r>
    </w:p>
    <w:p w14:paraId="7B4BEB93" w14:textId="2AEB82BD" w:rsidR="00D761A9" w:rsidRDefault="00073A28" w:rsidP="00073A28">
      <w:pPr>
        <w:widowControl w:val="0"/>
        <w:tabs>
          <w:tab w:val="left" w:pos="0"/>
          <w:tab w:val="num" w:pos="1276"/>
          <w:tab w:val="right" w:pos="8640"/>
        </w:tabs>
        <w:spacing w:before="240" w:after="240" w:line="276" w:lineRule="auto"/>
        <w:jc w:val="both"/>
      </w:pPr>
      <w:r>
        <w:lastRenderedPageBreak/>
        <w:t>[4]</w:t>
      </w:r>
      <w:r>
        <w:tab/>
      </w:r>
      <w:r w:rsidR="00810117">
        <w:t>In his</w:t>
      </w:r>
      <w:r w:rsidR="00EC2C81">
        <w:t xml:space="preserve"> amended plea, the defendant denied that the court orderlies wrongfully and unlawfully detained the plaintiff.  He pleaded that the court orderlies acted on a warrant </w:t>
      </w:r>
      <w:r w:rsidR="001315F6">
        <w:t xml:space="preserve">for </w:t>
      </w:r>
      <w:r w:rsidR="00410458">
        <w:t xml:space="preserve">the plaintiff’s </w:t>
      </w:r>
      <w:r w:rsidR="00EC2C81">
        <w:t>detention (referred to as a J7 in the plea and the evidence)</w:t>
      </w:r>
      <w:r w:rsidR="00810117">
        <w:t xml:space="preserve"> </w:t>
      </w:r>
      <w:r w:rsidR="00EC2C81">
        <w:t xml:space="preserve"> “</w:t>
      </w:r>
      <w:r w:rsidR="00EC2C81" w:rsidRPr="00AC2DA5">
        <w:rPr>
          <w:i/>
          <w:iCs/>
        </w:rPr>
        <w:t>that was provided by the court clerks</w:t>
      </w:r>
      <w:r w:rsidR="00EC2C81">
        <w:t>”</w:t>
      </w:r>
      <w:r w:rsidR="00AC2DA5">
        <w:t xml:space="preserve">, </w:t>
      </w:r>
      <w:r w:rsidR="00EC2C81">
        <w:t xml:space="preserve">that </w:t>
      </w:r>
      <w:r w:rsidR="00AC2DA5">
        <w:t>“</w:t>
      </w:r>
      <w:r w:rsidR="00EC2C81" w:rsidRPr="00AC2DA5">
        <w:rPr>
          <w:i/>
          <w:iCs/>
        </w:rPr>
        <w:t xml:space="preserve">the court orderlies were furnished with a J7 that </w:t>
      </w:r>
      <w:r w:rsidR="001315F6" w:rsidRPr="00AC2DA5">
        <w:rPr>
          <w:i/>
          <w:iCs/>
        </w:rPr>
        <w:t>re</w:t>
      </w:r>
      <w:r w:rsidR="00EC2C81" w:rsidRPr="00AC2DA5">
        <w:rPr>
          <w:i/>
          <w:iCs/>
        </w:rPr>
        <w:t>quires that an accused be taken to prison and same was</w:t>
      </w:r>
      <w:r w:rsidR="00AC2DA5">
        <w:rPr>
          <w:i/>
          <w:iCs/>
        </w:rPr>
        <w:t xml:space="preserve"> </w:t>
      </w:r>
      <w:r w:rsidR="00AC2DA5" w:rsidRPr="00AC2DA5">
        <w:rPr>
          <w:i/>
          <w:iCs/>
        </w:rPr>
        <w:t>d</w:t>
      </w:r>
      <w:r w:rsidR="00EC2C81" w:rsidRPr="00AC2DA5">
        <w:rPr>
          <w:i/>
          <w:iCs/>
        </w:rPr>
        <w:t>one</w:t>
      </w:r>
      <w:r w:rsidR="00AC2DA5">
        <w:t>”</w:t>
      </w:r>
      <w:r w:rsidR="00EC2C81">
        <w:t xml:space="preserve"> and that, “</w:t>
      </w:r>
      <w:r w:rsidR="00EC2C81" w:rsidRPr="001315F6">
        <w:rPr>
          <w:i/>
          <w:iCs/>
        </w:rPr>
        <w:t>in order for the court orderlies to release an accused, they ought to be furnished with a J6, and in this case they were furnished with a J7</w:t>
      </w:r>
      <w:r w:rsidR="00EC2C81">
        <w:t>.”</w:t>
      </w:r>
      <w:r w:rsidR="00311909">
        <w:t xml:space="preserve">  The defendant accordingly </w:t>
      </w:r>
      <w:r w:rsidR="001315F6">
        <w:t>denied</w:t>
      </w:r>
      <w:r w:rsidR="00311909">
        <w:t xml:space="preserve"> that he was liable to pay damages to the plaintiff</w:t>
      </w:r>
      <w:r w:rsidR="004A35DE">
        <w:t xml:space="preserve"> arising from his detention after his first appearance</w:t>
      </w:r>
      <w:r w:rsidR="00311909">
        <w:t xml:space="preserve">.  In his </w:t>
      </w:r>
      <w:r w:rsidR="001315F6">
        <w:t>re</w:t>
      </w:r>
      <w:r w:rsidR="00311909">
        <w:t>plication the plaintiff denied th</w:t>
      </w:r>
      <w:r w:rsidR="00610DC9">
        <w:t xml:space="preserve">e lawfulness of </w:t>
      </w:r>
      <w:r w:rsidR="00311909">
        <w:t xml:space="preserve">the </w:t>
      </w:r>
      <w:r w:rsidR="001315F6">
        <w:t xml:space="preserve">warrant </w:t>
      </w:r>
      <w:r w:rsidR="00D918C7">
        <w:t>for</w:t>
      </w:r>
      <w:r w:rsidR="001315F6">
        <w:t xml:space="preserve"> </w:t>
      </w:r>
      <w:r w:rsidR="00D9068D">
        <w:t xml:space="preserve">his </w:t>
      </w:r>
      <w:r w:rsidR="001315F6">
        <w:t>detention</w:t>
      </w:r>
      <w:r w:rsidR="00D9068D">
        <w:t xml:space="preserve"> (the warrant)</w:t>
      </w:r>
      <w:r w:rsidR="00D32A54">
        <w:t xml:space="preserve">. </w:t>
      </w:r>
      <w:r w:rsidR="00610DC9">
        <w:t xml:space="preserve">He challenged </w:t>
      </w:r>
      <w:r w:rsidR="00D9068D">
        <w:t xml:space="preserve">the warrant </w:t>
      </w:r>
      <w:r w:rsidR="00610DC9">
        <w:t xml:space="preserve">on the grounds that there was no legal or factual basis for the issue </w:t>
      </w:r>
      <w:r w:rsidR="00F94213">
        <w:t>thereof since</w:t>
      </w:r>
      <w:r w:rsidR="00610DC9">
        <w:t xml:space="preserve"> the magistrate had ordered</w:t>
      </w:r>
      <w:r w:rsidR="004B3CC1">
        <w:t xml:space="preserve"> his release</w:t>
      </w:r>
      <w:r w:rsidR="0012577F">
        <w:t xml:space="preserve"> from custody; and that the court orderlies were obliged to execute the magistrate’s order. The plaintiff</w:t>
      </w:r>
      <w:r w:rsidR="00A81ADC">
        <w:t xml:space="preserve"> also </w:t>
      </w:r>
      <w:r w:rsidR="00311909">
        <w:t xml:space="preserve">disputed the authenticity of the </w:t>
      </w:r>
      <w:r w:rsidR="00D918C7">
        <w:t xml:space="preserve">warrant </w:t>
      </w:r>
      <w:r w:rsidR="00311909">
        <w:t xml:space="preserve">because </w:t>
      </w:r>
      <w:r w:rsidR="00311909">
        <w:rPr>
          <w:i/>
          <w:iCs/>
        </w:rPr>
        <w:t>inter alia</w:t>
      </w:r>
      <w:r w:rsidR="00311909">
        <w:t xml:space="preserve"> it was not signed by the magistrate </w:t>
      </w:r>
      <w:r w:rsidR="00785B63">
        <w:t xml:space="preserve">who </w:t>
      </w:r>
      <w:r w:rsidR="00223284">
        <w:t xml:space="preserve">had </w:t>
      </w:r>
      <w:r w:rsidR="00785B63">
        <w:t xml:space="preserve">ordered </w:t>
      </w:r>
      <w:r w:rsidR="00223284">
        <w:t>his</w:t>
      </w:r>
      <w:r w:rsidR="00785B63">
        <w:t xml:space="preserve"> release on warning.</w:t>
      </w:r>
    </w:p>
    <w:p w14:paraId="2A996EA0" w14:textId="2E090402" w:rsidR="00FB1A1C" w:rsidRDefault="00073A28" w:rsidP="00073A28">
      <w:pPr>
        <w:widowControl w:val="0"/>
        <w:tabs>
          <w:tab w:val="left" w:pos="567"/>
          <w:tab w:val="right" w:pos="8640"/>
        </w:tabs>
        <w:spacing w:before="240" w:after="240" w:line="276" w:lineRule="auto"/>
        <w:jc w:val="both"/>
      </w:pPr>
      <w:r>
        <w:t>[5]</w:t>
      </w:r>
      <w:r>
        <w:tab/>
      </w:r>
      <w:r w:rsidR="00785B63">
        <w:t xml:space="preserve">The defendant decided to lead evidence first.  Thandoxolo Mketo, who was the </w:t>
      </w:r>
      <w:r w:rsidR="00BF289D">
        <w:t>defendant’s</w:t>
      </w:r>
      <w:r w:rsidR="00785B63">
        <w:t xml:space="preserve"> only witness</w:t>
      </w:r>
      <w:r w:rsidR="00BF289D">
        <w:t>, testified that he is a member of the S</w:t>
      </w:r>
      <w:r w:rsidR="001315F6">
        <w:t xml:space="preserve">outh </w:t>
      </w:r>
      <w:r w:rsidR="00BF289D">
        <w:t>A</w:t>
      </w:r>
      <w:r w:rsidR="001315F6">
        <w:t xml:space="preserve">frican </w:t>
      </w:r>
      <w:r w:rsidR="00BF289D">
        <w:t>P</w:t>
      </w:r>
      <w:r w:rsidR="001315F6">
        <w:t xml:space="preserve">olice </w:t>
      </w:r>
      <w:r w:rsidR="00BF289D">
        <w:t>S</w:t>
      </w:r>
      <w:r w:rsidR="001315F6">
        <w:t>ervice</w:t>
      </w:r>
      <w:r w:rsidR="00BF289D">
        <w:t xml:space="preserve"> for about 18 years</w:t>
      </w:r>
      <w:r w:rsidR="001315F6">
        <w:t>,</w:t>
      </w:r>
      <w:r w:rsidR="00BF289D">
        <w:t xml:space="preserve"> performing duties as a court orderly at the magistrate</w:t>
      </w:r>
      <w:r w:rsidR="001315F6">
        <w:t>’s</w:t>
      </w:r>
      <w:r w:rsidR="00BF289D">
        <w:t xml:space="preserve"> court</w:t>
      </w:r>
      <w:r w:rsidR="001315F6">
        <w:t xml:space="preserve"> at</w:t>
      </w:r>
      <w:r w:rsidR="00BF289D">
        <w:t xml:space="preserve"> Mdantsane.  His experience at that court is that</w:t>
      </w:r>
      <w:r w:rsidR="004E6BDA">
        <w:t>,</w:t>
      </w:r>
      <w:r w:rsidR="00BF289D">
        <w:t xml:space="preserve"> after a magistrate had ordered </w:t>
      </w:r>
      <w:r w:rsidR="004E6BDA">
        <w:t xml:space="preserve">that </w:t>
      </w:r>
      <w:r w:rsidR="00BF289D">
        <w:t>a person</w:t>
      </w:r>
      <w:r w:rsidR="001315F6">
        <w:t xml:space="preserve"> be kept in custody to appear in court on a later date, the clerk of the court would prepare a warrant </w:t>
      </w:r>
      <w:r w:rsidR="00AC5178">
        <w:t>for</w:t>
      </w:r>
      <w:r w:rsidR="001315F6">
        <w:t xml:space="preserve"> </w:t>
      </w:r>
      <w:r w:rsidR="00734A81">
        <w:t xml:space="preserve">that person’s </w:t>
      </w:r>
      <w:r w:rsidR="001315F6">
        <w:t>detention and</w:t>
      </w:r>
      <w:r w:rsidR="00BF289D">
        <w:t xml:space="preserve"> hand it to the magistrate for signature. The clerk of the court would then hand</w:t>
      </w:r>
      <w:r w:rsidR="00AC5178">
        <w:t xml:space="preserve"> the warrant </w:t>
      </w:r>
      <w:r w:rsidR="00BF289D">
        <w:t xml:space="preserve">to him for execution. </w:t>
      </w:r>
      <w:r w:rsidR="001315F6">
        <w:t xml:space="preserve">Before executing </w:t>
      </w:r>
      <w:r w:rsidR="002136B3">
        <w:t xml:space="preserve">the warrant, he </w:t>
      </w:r>
      <w:r w:rsidR="00BF289D">
        <w:t>would not look at other court documents, like the charge sheet or c</w:t>
      </w:r>
      <w:r w:rsidR="001315F6">
        <w:t>riminal record</w:t>
      </w:r>
      <w:r w:rsidR="00BF289D">
        <w:t xml:space="preserve"> book</w:t>
      </w:r>
      <w:r w:rsidR="002136B3">
        <w:t>.</w:t>
      </w:r>
      <w:r w:rsidR="001D4190">
        <w:t xml:space="preserve">  A</w:t>
      </w:r>
      <w:r w:rsidR="00BF289D">
        <w:t xml:space="preserve">n official stamp of the </w:t>
      </w:r>
      <w:r w:rsidR="00BF44A3">
        <w:t xml:space="preserve">South </w:t>
      </w:r>
      <w:r w:rsidR="00BF289D">
        <w:t>A</w:t>
      </w:r>
      <w:r w:rsidR="00BF44A3">
        <w:t xml:space="preserve">frican </w:t>
      </w:r>
      <w:r w:rsidR="00BF289D">
        <w:t>P</w:t>
      </w:r>
      <w:r w:rsidR="00BF44A3">
        <w:t xml:space="preserve">olice </w:t>
      </w:r>
      <w:r w:rsidR="00BF289D">
        <w:t>S</w:t>
      </w:r>
      <w:r w:rsidR="00BF44A3">
        <w:t>ervice</w:t>
      </w:r>
      <w:r w:rsidR="001D4190">
        <w:t xml:space="preserve"> would be affixed to the warrant</w:t>
      </w:r>
      <w:r w:rsidR="007E3506">
        <w:t xml:space="preserve"> because, w</w:t>
      </w:r>
      <w:r w:rsidR="00BF289D">
        <w:t xml:space="preserve">ithout </w:t>
      </w:r>
      <w:r w:rsidR="00BF44A3">
        <w:t>an official</w:t>
      </w:r>
      <w:r w:rsidR="00BF289D">
        <w:t xml:space="preserve"> </w:t>
      </w:r>
      <w:r w:rsidR="00BF44A3">
        <w:t>s</w:t>
      </w:r>
      <w:r w:rsidR="00BF289D">
        <w:t>tamp</w:t>
      </w:r>
      <w:r w:rsidR="007E3506">
        <w:t xml:space="preserve"> on it,</w:t>
      </w:r>
      <w:r w:rsidR="00BF289D">
        <w:t xml:space="preserve"> a person will not be received at a correctional centre.  He did not know who stamped the warrant </w:t>
      </w:r>
      <w:r w:rsidR="00296CF2">
        <w:t>in question</w:t>
      </w:r>
      <w:r w:rsidR="00BF289D">
        <w:t xml:space="preserve">. He testified that </w:t>
      </w:r>
      <w:r w:rsidR="004E017B">
        <w:t>warrant officer</w:t>
      </w:r>
      <w:r w:rsidR="00BF289D">
        <w:t xml:space="preserve"> Selana</w:t>
      </w:r>
      <w:r w:rsidR="007E3506">
        <w:t xml:space="preserve"> </w:t>
      </w:r>
      <w:r w:rsidR="00296AD7">
        <w:t xml:space="preserve">worked with him as </w:t>
      </w:r>
      <w:r w:rsidR="00BF289D">
        <w:t>a court orderly</w:t>
      </w:r>
      <w:r w:rsidR="00296AD7">
        <w:t xml:space="preserve"> on the day in question</w:t>
      </w:r>
      <w:r w:rsidR="00CE1D2C">
        <w:t xml:space="preserve">.  </w:t>
      </w:r>
    </w:p>
    <w:p w14:paraId="5B35AC4B" w14:textId="2748C70D" w:rsidR="00FB1A1C" w:rsidRDefault="00073A28" w:rsidP="00073A28">
      <w:pPr>
        <w:widowControl w:val="0"/>
        <w:tabs>
          <w:tab w:val="left" w:pos="567"/>
          <w:tab w:val="right" w:pos="8640"/>
        </w:tabs>
        <w:spacing w:before="240" w:after="240" w:line="276" w:lineRule="auto"/>
        <w:jc w:val="both"/>
      </w:pPr>
      <w:r>
        <w:t>[6]</w:t>
      </w:r>
      <w:r>
        <w:tab/>
      </w:r>
      <w:r w:rsidR="00BF289D">
        <w:t>The plaintiff testified that, w</w:t>
      </w:r>
      <w:r w:rsidR="00B436C8">
        <w:t>h</w:t>
      </w:r>
      <w:r w:rsidR="00BF289D">
        <w:t>en he appeared in court on 6 September 2021, the magistrate</w:t>
      </w:r>
      <w:r w:rsidR="0092308D">
        <w:t xml:space="preserve"> said that he must go to prison.  </w:t>
      </w:r>
      <w:r w:rsidR="001716D3">
        <w:t xml:space="preserve">When he was asked in cross-examination why he claimed damages from the defendant, his response was that </w:t>
      </w:r>
      <w:r w:rsidR="002B2953">
        <w:t xml:space="preserve">the magistrate </w:t>
      </w:r>
      <w:r w:rsidR="00CE1D2C">
        <w:t xml:space="preserve">had </w:t>
      </w:r>
      <w:r w:rsidR="002B2953">
        <w:t xml:space="preserve">issued an </w:t>
      </w:r>
      <w:r w:rsidR="001716D3">
        <w:t>order that he should be released, but despite that order</w:t>
      </w:r>
      <w:r w:rsidR="00D95645">
        <w:t xml:space="preserve">, </w:t>
      </w:r>
      <w:r w:rsidR="001716D3">
        <w:t>he was kept in custody.</w:t>
      </w:r>
    </w:p>
    <w:p w14:paraId="22A2B6D7" w14:textId="0EB094CA" w:rsidR="00DF01B1" w:rsidRDefault="00073A28" w:rsidP="00073A28">
      <w:pPr>
        <w:widowControl w:val="0"/>
        <w:tabs>
          <w:tab w:val="left" w:pos="567"/>
          <w:tab w:val="right" w:pos="8640"/>
        </w:tabs>
        <w:spacing w:before="240" w:after="240" w:line="276" w:lineRule="auto"/>
        <w:jc w:val="both"/>
      </w:pPr>
      <w:r>
        <w:t>[7]</w:t>
      </w:r>
      <w:r>
        <w:tab/>
      </w:r>
      <w:r w:rsidR="001716D3">
        <w:t>The magistrate</w:t>
      </w:r>
      <w:r w:rsidR="00703697">
        <w:t xml:space="preserve"> who pr</w:t>
      </w:r>
      <w:r w:rsidR="007E5F7A">
        <w:t>esided</w:t>
      </w:r>
      <w:r w:rsidR="00703697">
        <w:t xml:space="preserve"> over proceedings on 6 September 2021, Anton</w:t>
      </w:r>
      <w:r w:rsidR="004E017B">
        <w:t> </w:t>
      </w:r>
      <w:r w:rsidR="00703697">
        <w:t>Pr</w:t>
      </w:r>
      <w:r w:rsidR="00DF01B1">
        <w:t>etorius, testified that he postpone</w:t>
      </w:r>
      <w:r w:rsidR="00D95645">
        <w:t>d</w:t>
      </w:r>
      <w:r w:rsidR="00DF01B1">
        <w:t xml:space="preserve"> the case to 15 October 2021 and ordered the plaintiff’s release on warning. He said that it would not have made sense for him to order the plaintiff to be </w:t>
      </w:r>
      <w:r w:rsidR="00A81ADC">
        <w:t>remanded in custody</w:t>
      </w:r>
      <w:r w:rsidR="00DF01B1">
        <w:t xml:space="preserve"> when the interest</w:t>
      </w:r>
      <w:r w:rsidR="00D95645">
        <w:t>s</w:t>
      </w:r>
      <w:r w:rsidR="00DF01B1">
        <w:t xml:space="preserve"> of justice demanded his release on warning.  He explained that a </w:t>
      </w:r>
      <w:r w:rsidR="00D95645">
        <w:t>warrant for detention</w:t>
      </w:r>
      <w:r w:rsidR="00DF01B1">
        <w:t xml:space="preserve"> is completed by the clerk of the court and signed by </w:t>
      </w:r>
      <w:r w:rsidR="004E017B">
        <w:t>him</w:t>
      </w:r>
      <w:r w:rsidR="00DF01B1">
        <w:t>.  Each magistrate has h</w:t>
      </w:r>
      <w:r w:rsidR="00270436">
        <w:t>is</w:t>
      </w:r>
      <w:r w:rsidR="00DF01B1">
        <w:t xml:space="preserve"> or her own official stamp which should be affixed to </w:t>
      </w:r>
      <w:r w:rsidR="00D95645">
        <w:t>a</w:t>
      </w:r>
      <w:r w:rsidR="00DF01B1">
        <w:t xml:space="preserve"> warrant </w:t>
      </w:r>
      <w:r w:rsidR="00D95645">
        <w:t>for</w:t>
      </w:r>
      <w:r w:rsidR="00DF01B1">
        <w:t xml:space="preserve"> detention.  He has been doing so for the last four to five years. In this case he </w:t>
      </w:r>
      <w:r w:rsidR="002E55C8">
        <w:t xml:space="preserve">neither </w:t>
      </w:r>
      <w:r w:rsidR="00DF01B1">
        <w:t>sign</w:t>
      </w:r>
      <w:r w:rsidR="002E55C8">
        <w:t>ed</w:t>
      </w:r>
      <w:r w:rsidR="00DF01B1">
        <w:t xml:space="preserve"> the warrant nor was his official stamp </w:t>
      </w:r>
      <w:r w:rsidR="002E55C8">
        <w:t>affixed to</w:t>
      </w:r>
      <w:r w:rsidR="00DF01B1">
        <w:t xml:space="preserve"> it.</w:t>
      </w:r>
    </w:p>
    <w:p w14:paraId="6B96B92D" w14:textId="6FEA684F" w:rsidR="00DF01B1" w:rsidRDefault="00073A28" w:rsidP="00073A28">
      <w:pPr>
        <w:widowControl w:val="0"/>
        <w:tabs>
          <w:tab w:val="left" w:pos="567"/>
          <w:tab w:val="right" w:pos="8640"/>
        </w:tabs>
        <w:spacing w:before="240" w:after="240" w:line="276" w:lineRule="auto"/>
        <w:jc w:val="both"/>
      </w:pPr>
      <w:r>
        <w:lastRenderedPageBreak/>
        <w:t>[8]</w:t>
      </w:r>
      <w:r>
        <w:tab/>
      </w:r>
      <w:r w:rsidR="00DF01B1">
        <w:t>Ne</w:t>
      </w:r>
      <w:r w:rsidR="00C45CBA">
        <w:t>z</w:t>
      </w:r>
      <w:r w:rsidR="00DF01B1">
        <w:t>iswa Man</w:t>
      </w:r>
      <w:r w:rsidR="00C45CBA">
        <w:t>a</w:t>
      </w:r>
      <w:r w:rsidR="00DF01B1">
        <w:t xml:space="preserve">hla testified that she has been working </w:t>
      </w:r>
      <w:r w:rsidR="00C35F92">
        <w:t xml:space="preserve">for the Department of Justice </w:t>
      </w:r>
      <w:r w:rsidR="00DF01B1">
        <w:t xml:space="preserve">as an administration clerk for the past 21 years.  Her </w:t>
      </w:r>
      <w:r w:rsidR="00C45CBA">
        <w:t xml:space="preserve">duties as clerk of the court </w:t>
      </w:r>
      <w:r w:rsidR="00DF01B1">
        <w:t>included</w:t>
      </w:r>
      <w:r w:rsidR="00C45CBA">
        <w:t xml:space="preserve"> entering particulars of every criminal case coming before the presiding magistrate</w:t>
      </w:r>
      <w:r w:rsidR="00DF01B1">
        <w:t xml:space="preserve"> </w:t>
      </w:r>
      <w:r w:rsidR="00C45CBA">
        <w:t>on th</w:t>
      </w:r>
      <w:r w:rsidR="00C35F92">
        <w:t>at</w:t>
      </w:r>
      <w:r w:rsidR="00C45CBA">
        <w:t xml:space="preserve"> day, </w:t>
      </w:r>
      <w:r w:rsidR="00DF01B1">
        <w:t>in the c</w:t>
      </w:r>
      <w:r w:rsidR="00C45CBA">
        <w:t>riminal record</w:t>
      </w:r>
      <w:r w:rsidR="00DF01B1">
        <w:t xml:space="preserve"> book, </w:t>
      </w:r>
      <w:r w:rsidR="00C35F92">
        <w:t xml:space="preserve">preparing </w:t>
      </w:r>
      <w:r w:rsidR="00DF01B1">
        <w:t xml:space="preserve">warrant </w:t>
      </w:r>
      <w:r w:rsidR="000B508B">
        <w:t>for</w:t>
      </w:r>
      <w:r w:rsidR="00DF01B1">
        <w:t xml:space="preserve"> arrest forms, </w:t>
      </w:r>
      <w:r w:rsidR="00C45CBA">
        <w:t>as well as warrants for detention and</w:t>
      </w:r>
      <w:r w:rsidR="00CE1D2C">
        <w:t xml:space="preserve"> warrant for </w:t>
      </w:r>
      <w:r w:rsidR="00C45CBA">
        <w:t>release (J6)</w:t>
      </w:r>
      <w:r w:rsidR="00DF01B1">
        <w:t xml:space="preserve">. </w:t>
      </w:r>
      <w:r w:rsidR="00AF59EA">
        <w:t>Before the commencement of proceedings</w:t>
      </w:r>
      <w:r w:rsidR="00DF01B1">
        <w:t xml:space="preserve"> </w:t>
      </w:r>
      <w:r w:rsidR="00AF59EA">
        <w:t>o</w:t>
      </w:r>
      <w:r w:rsidR="00DF01B1">
        <w:t>n 6 September 2021</w:t>
      </w:r>
      <w:r w:rsidR="00AF59EA">
        <w:t>,</w:t>
      </w:r>
      <w:r w:rsidR="00DF01B1">
        <w:t xml:space="preserve"> she </w:t>
      </w:r>
      <w:r w:rsidR="00C45CBA">
        <w:t>entered the particulars</w:t>
      </w:r>
      <w:r w:rsidR="00CE1D2C">
        <w:t xml:space="preserve"> of </w:t>
      </w:r>
      <w:r w:rsidR="00DF01B1">
        <w:t xml:space="preserve">each </w:t>
      </w:r>
      <w:r w:rsidR="00C45CBA">
        <w:t>of the four cases that served before the magistrate on that day</w:t>
      </w:r>
      <w:r w:rsidR="00CE1D2C">
        <w:t xml:space="preserve">   in the criminal record book.  S</w:t>
      </w:r>
      <w:r w:rsidR="00DF01B1">
        <w:t>he made entr</w:t>
      </w:r>
      <w:r w:rsidR="00AF59EA">
        <w:t>ies under the headings</w:t>
      </w:r>
      <w:r w:rsidR="00DF01B1">
        <w:t xml:space="preserve"> of the case number, mass number, name of the police station from which the case emanated, name of the accused</w:t>
      </w:r>
      <w:r w:rsidR="00361B2E">
        <w:t xml:space="preserve"> and the offence with which</w:t>
      </w:r>
      <w:r w:rsidR="003F7260">
        <w:t xml:space="preserve"> each of </w:t>
      </w:r>
      <w:r w:rsidR="00361B2E">
        <w:t>the accused ha</w:t>
      </w:r>
      <w:r w:rsidR="003F7260">
        <w:t>d</w:t>
      </w:r>
      <w:r w:rsidR="00361B2E">
        <w:t xml:space="preserve"> been charged.  She does not</w:t>
      </w:r>
      <w:r w:rsidR="00E37329">
        <w:t xml:space="preserve">, and did not in this case, </w:t>
      </w:r>
      <w:r w:rsidR="00361B2E">
        <w:t xml:space="preserve">complete the entries under the headings </w:t>
      </w:r>
      <w:r w:rsidR="00AC4080">
        <w:t>‘</w:t>
      </w:r>
      <w:r w:rsidR="00361B2E">
        <w:t>verdict, sentence or order</w:t>
      </w:r>
      <w:r w:rsidR="00AC4080">
        <w:t>’</w:t>
      </w:r>
      <w:r w:rsidR="003F7260">
        <w:t>.</w:t>
      </w:r>
      <w:r w:rsidR="00C45CBA">
        <w:t xml:space="preserve">  Those entries</w:t>
      </w:r>
      <w:r w:rsidR="00361B2E">
        <w:t xml:space="preserve"> are completed by the magistrate</w:t>
      </w:r>
      <w:r w:rsidR="00CE1D2C">
        <w:t xml:space="preserve"> at the conclusion of each case</w:t>
      </w:r>
      <w:r w:rsidR="00C45CBA">
        <w:t xml:space="preserve">. </w:t>
      </w:r>
      <w:r w:rsidR="00361B2E">
        <w:t xml:space="preserve"> </w:t>
      </w:r>
      <w:r w:rsidR="00C45CBA">
        <w:t>T</w:t>
      </w:r>
      <w:r w:rsidR="00361B2E">
        <w:t xml:space="preserve">he entries under the heading </w:t>
      </w:r>
      <w:r w:rsidR="00AC4080">
        <w:t>‘</w:t>
      </w:r>
      <w:r w:rsidR="00361B2E">
        <w:t>remarks</w:t>
      </w:r>
      <w:r w:rsidR="00AC4080">
        <w:t>’</w:t>
      </w:r>
      <w:r w:rsidR="00361B2E">
        <w:t xml:space="preserve"> are completed by a court orderly.  </w:t>
      </w:r>
      <w:r w:rsidR="00C45CBA">
        <w:t>S</w:t>
      </w:r>
      <w:r w:rsidR="00361B2E">
        <w:t xml:space="preserve">he </w:t>
      </w:r>
      <w:r w:rsidR="00FA680D">
        <w:t xml:space="preserve">testified that she </w:t>
      </w:r>
      <w:r w:rsidR="00361B2E">
        <w:t xml:space="preserve">was </w:t>
      </w:r>
      <w:r w:rsidR="00FA680D">
        <w:t>in</w:t>
      </w:r>
      <w:r w:rsidR="00361B2E">
        <w:t xml:space="preserve"> court when </w:t>
      </w:r>
      <w:r w:rsidR="00AC4080">
        <w:t>the magistrate</w:t>
      </w:r>
      <w:r w:rsidR="00361B2E">
        <w:t xml:space="preserve"> wrote “RW 15/10/2021” under the heading </w:t>
      </w:r>
      <w:r w:rsidR="00FA680D">
        <w:t>‘</w:t>
      </w:r>
      <w:r w:rsidR="00361B2E">
        <w:t>verdict, sentence or order</w:t>
      </w:r>
      <w:r w:rsidR="00FA680D">
        <w:t>’</w:t>
      </w:r>
      <w:r w:rsidR="00361B2E">
        <w:t xml:space="preserve">, which </w:t>
      </w:r>
      <w:r w:rsidR="003F7260">
        <w:t xml:space="preserve">stands </w:t>
      </w:r>
      <w:r w:rsidR="00FC3C64">
        <w:t>for ‘remand on warning’</w:t>
      </w:r>
      <w:r w:rsidR="004F2B82">
        <w:t>.  It means that the magistrate</w:t>
      </w:r>
      <w:r w:rsidR="00FC3C64">
        <w:t xml:space="preserve"> </w:t>
      </w:r>
      <w:r w:rsidR="008C4F2F">
        <w:t xml:space="preserve">ordered the plaintiff’s release from custody and warned him to appear in court on </w:t>
      </w:r>
      <w:r w:rsidR="00361B2E">
        <w:t>15 October 2021</w:t>
      </w:r>
      <w:r w:rsidR="008C4F2F">
        <w:t>.</w:t>
      </w:r>
      <w:r w:rsidR="00361B2E">
        <w:t xml:space="preserve"> No entry was made under the heading </w:t>
      </w:r>
      <w:r w:rsidR="00FA680D">
        <w:t>‘</w:t>
      </w:r>
      <w:r w:rsidR="00361B2E">
        <w:t>remarks</w:t>
      </w:r>
      <w:r w:rsidR="00FA680D">
        <w:t>’</w:t>
      </w:r>
      <w:r w:rsidR="00361B2E">
        <w:t xml:space="preserve"> in respect of the plaintiff and </w:t>
      </w:r>
      <w:r w:rsidR="00C50B26">
        <w:t xml:space="preserve">the fourth </w:t>
      </w:r>
      <w:r w:rsidR="00361B2E">
        <w:t xml:space="preserve">accused </w:t>
      </w:r>
      <w:r w:rsidR="00C50B26">
        <w:t>whose particulars were entered in the criminal record book</w:t>
      </w:r>
      <w:r w:rsidR="009F4523">
        <w:t xml:space="preserve"> for that day</w:t>
      </w:r>
      <w:r w:rsidR="00C50B26">
        <w:t xml:space="preserve">. The two of them </w:t>
      </w:r>
      <w:r w:rsidR="00361B2E">
        <w:t>w</w:t>
      </w:r>
      <w:r w:rsidR="00C50B26">
        <w:t>ere</w:t>
      </w:r>
      <w:r w:rsidR="00361B2E">
        <w:t xml:space="preserve"> </w:t>
      </w:r>
      <w:r w:rsidR="009F4523">
        <w:t>ordered to be released from custody and warned to appear in court on future dates</w:t>
      </w:r>
      <w:r w:rsidR="00361B2E">
        <w:t xml:space="preserve">. </w:t>
      </w:r>
      <w:r w:rsidR="009F4523">
        <w:t xml:space="preserve"> She testified that </w:t>
      </w:r>
      <w:r w:rsidR="00675BCC">
        <w:t>warrant officer</w:t>
      </w:r>
      <w:r w:rsidR="009F4523">
        <w:t> </w:t>
      </w:r>
      <w:r w:rsidR="00361B2E">
        <w:t xml:space="preserve">Selana signed </w:t>
      </w:r>
      <w:r w:rsidR="004F2B82">
        <w:t xml:space="preserve">under the heading ‘remarks’ </w:t>
      </w:r>
      <w:r w:rsidR="00FA680D">
        <w:t xml:space="preserve">in respect </w:t>
      </w:r>
      <w:r w:rsidR="00C50B26">
        <w:t xml:space="preserve">of </w:t>
      </w:r>
      <w:r w:rsidR="00FA680D">
        <w:t xml:space="preserve">the two </w:t>
      </w:r>
      <w:r w:rsidR="00C50B26">
        <w:t xml:space="preserve">remaining </w:t>
      </w:r>
      <w:r w:rsidR="00FA680D">
        <w:t>accused persons who</w:t>
      </w:r>
      <w:r w:rsidR="00C50B26">
        <w:t>se particulars were also entered in the criminal record book. T</w:t>
      </w:r>
      <w:r w:rsidR="00FA680D">
        <w:t xml:space="preserve">he magistrate had ordered </w:t>
      </w:r>
      <w:r w:rsidR="00C50B26">
        <w:t xml:space="preserve">that those two accused persons </w:t>
      </w:r>
      <w:r w:rsidR="00FA680D">
        <w:t xml:space="preserve">be </w:t>
      </w:r>
      <w:r w:rsidR="009F4523">
        <w:t>kept</w:t>
      </w:r>
      <w:r w:rsidR="00FA680D">
        <w:t xml:space="preserve"> in custody.</w:t>
      </w:r>
      <w:r w:rsidR="00361B2E">
        <w:t xml:space="preserve">  </w:t>
      </w:r>
    </w:p>
    <w:p w14:paraId="169AB548" w14:textId="5D1E5687" w:rsidR="00B804E4" w:rsidRDefault="00073A28" w:rsidP="00073A28">
      <w:pPr>
        <w:widowControl w:val="0"/>
        <w:tabs>
          <w:tab w:val="left" w:pos="567"/>
          <w:tab w:val="right" w:pos="8640"/>
        </w:tabs>
        <w:spacing w:before="240" w:after="240" w:line="276" w:lineRule="auto"/>
        <w:jc w:val="both"/>
      </w:pPr>
      <w:r>
        <w:t>[9]</w:t>
      </w:r>
      <w:r>
        <w:tab/>
      </w:r>
      <w:r w:rsidR="00B804E4">
        <w:t xml:space="preserve">Ms </w:t>
      </w:r>
      <w:r w:rsidR="00E327C4">
        <w:rPr>
          <w:rFonts w:cs="Arial"/>
          <w:szCs w:val="24"/>
        </w:rPr>
        <w:t>Nxazonke-</w:t>
      </w:r>
      <w:r w:rsidR="00B804E4">
        <w:t xml:space="preserve">Mashiya, counsel for the defendant, submitted that the plaintiff’s </w:t>
      </w:r>
      <w:r w:rsidR="00712264">
        <w:t xml:space="preserve">claim should be dismissed because his </w:t>
      </w:r>
      <w:r w:rsidR="00B804E4">
        <w:t>detention w</w:t>
      </w:r>
      <w:r w:rsidR="00B436C8">
        <w:t>a</w:t>
      </w:r>
      <w:r w:rsidR="00B804E4">
        <w:t xml:space="preserve">s </w:t>
      </w:r>
      <w:r w:rsidR="00B804E4">
        <w:rPr>
          <w:i/>
          <w:iCs/>
        </w:rPr>
        <w:t>prima facie</w:t>
      </w:r>
      <w:r w:rsidR="00B804E4">
        <w:t xml:space="preserve"> lawful</w:t>
      </w:r>
      <w:r w:rsidR="00466FDE">
        <w:t xml:space="preserve">. That submission was made </w:t>
      </w:r>
      <w:r w:rsidR="00B804E4">
        <w:t xml:space="preserve">because </w:t>
      </w:r>
      <w:r w:rsidR="00AF1091">
        <w:t>the court orderlies detained the defendant</w:t>
      </w:r>
      <w:r w:rsidR="002D3A7E">
        <w:t xml:space="preserve"> </w:t>
      </w:r>
      <w:r w:rsidR="00B804E4">
        <w:t xml:space="preserve">pursuant to </w:t>
      </w:r>
      <w:r w:rsidR="009F4523">
        <w:t xml:space="preserve">a </w:t>
      </w:r>
      <w:r w:rsidR="00B804E4">
        <w:t xml:space="preserve">warrant </w:t>
      </w:r>
      <w:r w:rsidR="00482235">
        <w:t xml:space="preserve">for </w:t>
      </w:r>
      <w:r w:rsidR="00680CE7">
        <w:t xml:space="preserve">his </w:t>
      </w:r>
      <w:r w:rsidR="00B804E4">
        <w:t xml:space="preserve">detention.  </w:t>
      </w:r>
      <w:r w:rsidR="00680CE7">
        <w:t xml:space="preserve">Her submission was accordingly that the mere production of the warrant </w:t>
      </w:r>
      <w:r w:rsidR="008F71A8">
        <w:t xml:space="preserve">justified the plaintiff’s detention. The plaintiff challenged the validity of the warrant on the grounds set out in his replication.  </w:t>
      </w:r>
    </w:p>
    <w:p w14:paraId="79351719" w14:textId="3BC7052D" w:rsidR="007D63F0" w:rsidRDefault="00073A28" w:rsidP="00073A28">
      <w:pPr>
        <w:widowControl w:val="0"/>
        <w:tabs>
          <w:tab w:val="left" w:pos="567"/>
          <w:tab w:val="right" w:pos="8640"/>
        </w:tabs>
        <w:spacing w:before="240" w:after="240" w:line="276" w:lineRule="auto"/>
        <w:jc w:val="both"/>
      </w:pPr>
      <w:r>
        <w:t>[10]</w:t>
      </w:r>
      <w:r>
        <w:tab/>
      </w:r>
      <w:r w:rsidR="00BE0F3C">
        <w:t xml:space="preserve">In </w:t>
      </w:r>
      <w:r w:rsidR="00BE0F3C">
        <w:rPr>
          <w:i/>
          <w:iCs/>
        </w:rPr>
        <w:t>Cresto Machines (Edms) Bpk v Die Afdeling Speur-Offisier, SA Polisie, Noord-Transvaal</w:t>
      </w:r>
      <w:r w:rsidR="00BE0F3C">
        <w:rPr>
          <w:rStyle w:val="FootnoteReference"/>
          <w:i/>
          <w:iCs/>
        </w:rPr>
        <w:footnoteReference w:id="1"/>
      </w:r>
      <w:r w:rsidR="00BE0F3C">
        <w:rPr>
          <w:i/>
          <w:iCs/>
        </w:rPr>
        <w:t xml:space="preserve"> </w:t>
      </w:r>
      <w:r w:rsidR="00BE0F3C">
        <w:t>the court dealt with a search warrant which the police (the respondent) had obtained from a magistrate to attach the appellant’s pin-tables</w:t>
      </w:r>
      <w:r w:rsidR="002609EB">
        <w:t xml:space="preserve"> (the machines)</w:t>
      </w:r>
      <w:r w:rsidR="00BE0F3C">
        <w:t>.</w:t>
      </w:r>
      <w:r w:rsidR="0099621C">
        <w:t xml:space="preserve">  </w:t>
      </w:r>
      <w:r w:rsidR="00D449A1">
        <w:t xml:space="preserve">The respondent </w:t>
      </w:r>
      <w:r w:rsidR="008852AF">
        <w:t xml:space="preserve">alleged </w:t>
      </w:r>
      <w:r w:rsidR="003A4F76">
        <w:t xml:space="preserve">that the appellant or its lessees of the machines permitted the machines to be used in a manner that contravened certain statutory provisions.  The police intended prosecuting them and intended using the machines as evidence in such prosecutions.  </w:t>
      </w:r>
      <w:r w:rsidR="0099621C" w:rsidRPr="00D449A1">
        <w:t>Trollip</w:t>
      </w:r>
      <w:r w:rsidR="00D449A1">
        <w:t xml:space="preserve"> J</w:t>
      </w:r>
      <w:r w:rsidR="00230C8A">
        <w:t xml:space="preserve">A said that it was clear that </w:t>
      </w:r>
      <w:r w:rsidR="00E454BB">
        <w:t>the warrant was issued under section 42(1) of the</w:t>
      </w:r>
      <w:r w:rsidR="00F15950">
        <w:t xml:space="preserve"> Criminal Procedure Act 56 of 1955 (the 1955 Criminal Procedure Act)</w:t>
      </w:r>
      <w:r w:rsidR="008E07F8">
        <w:t>.</w:t>
      </w:r>
      <w:r w:rsidR="00230C8A">
        <w:t xml:space="preserve"> </w:t>
      </w:r>
      <w:r w:rsidR="00BE0F3C">
        <w:t xml:space="preserve"> </w:t>
      </w:r>
      <w:r w:rsidR="007D63F0">
        <w:t>Section 42(1) of the 1955 Criminal Procedure Act read as follows:</w:t>
      </w:r>
    </w:p>
    <w:p w14:paraId="04C406BB" w14:textId="77777777" w:rsidR="007D63F0" w:rsidRPr="003C0499" w:rsidRDefault="007D63F0" w:rsidP="007D63F0">
      <w:pPr>
        <w:jc w:val="both"/>
        <w:rPr>
          <w:rFonts w:cs="Arial"/>
          <w:i/>
          <w:iCs/>
          <w:color w:val="000000"/>
          <w:sz w:val="20"/>
          <w:lang w:eastAsia="en-ZA"/>
        </w:rPr>
      </w:pPr>
      <w:r w:rsidRPr="00277977">
        <w:rPr>
          <w:rFonts w:cs="Arial"/>
          <w:sz w:val="20"/>
        </w:rPr>
        <w:lastRenderedPageBreak/>
        <w:t>“</w:t>
      </w:r>
      <w:r w:rsidRPr="003C0499">
        <w:rPr>
          <w:rFonts w:cs="Arial"/>
          <w:i/>
          <w:iCs/>
          <w:color w:val="000000"/>
          <w:sz w:val="20"/>
          <w:lang w:eastAsia="en-ZA"/>
        </w:rPr>
        <w:t>If it appears to a judge of a superior court, a magistrate or a justice on complaint made on oath that there are reasonable grounds for suspecting that there is upon any person or upon or at any premises or in any receptacle of whatever nature within his jurisdiction-</w:t>
      </w:r>
    </w:p>
    <w:p w14:paraId="6F42F618" w14:textId="1D430226" w:rsidR="007D63F0" w:rsidRPr="00073A28" w:rsidRDefault="00073A28" w:rsidP="00073A28">
      <w:pPr>
        <w:ind w:left="567" w:hanging="567"/>
        <w:jc w:val="both"/>
        <w:rPr>
          <w:rFonts w:cs="Arial"/>
          <w:i/>
          <w:iCs/>
          <w:color w:val="000000"/>
          <w:sz w:val="20"/>
        </w:rPr>
      </w:pPr>
      <w:bookmarkStart w:id="1" w:name="0-0-0-1187079"/>
      <w:bookmarkEnd w:id="1"/>
      <w:r w:rsidRPr="003C0499">
        <w:rPr>
          <w:rFonts w:cs="Arial"/>
          <w:i/>
          <w:iCs/>
          <w:color w:val="000000"/>
          <w:sz w:val="20"/>
          <w:szCs w:val="22"/>
          <w:lang w:eastAsia="en-ZA"/>
        </w:rPr>
        <w:t>(a)</w:t>
      </w:r>
      <w:r w:rsidRPr="003C0499">
        <w:rPr>
          <w:rFonts w:cs="Arial"/>
          <w:i/>
          <w:iCs/>
          <w:color w:val="000000"/>
          <w:sz w:val="20"/>
          <w:szCs w:val="22"/>
          <w:lang w:eastAsia="en-ZA"/>
        </w:rPr>
        <w:tab/>
      </w:r>
      <w:r w:rsidR="007D63F0" w:rsidRPr="00073A28">
        <w:rPr>
          <w:rFonts w:cs="Arial"/>
          <w:i/>
          <w:iCs/>
          <w:color w:val="000000"/>
          <w:sz w:val="20"/>
        </w:rPr>
        <w:t>stolen property or anything in respect of which any offence has been, or is suspected on reasonable grounds to have been committed, whether within the Republic or elsewhere; or</w:t>
      </w:r>
      <w:bookmarkStart w:id="2" w:name="0-0-0-1187081"/>
      <w:bookmarkEnd w:id="2"/>
    </w:p>
    <w:p w14:paraId="76E7DF77" w14:textId="6D1B4784" w:rsidR="007D63F0" w:rsidRPr="00073A28" w:rsidRDefault="00073A28" w:rsidP="00073A28">
      <w:pPr>
        <w:ind w:left="567" w:hanging="567"/>
        <w:jc w:val="both"/>
        <w:rPr>
          <w:rFonts w:cs="Arial"/>
          <w:i/>
          <w:iCs/>
          <w:color w:val="000000"/>
          <w:sz w:val="20"/>
        </w:rPr>
      </w:pPr>
      <w:r w:rsidRPr="003C0499">
        <w:rPr>
          <w:rFonts w:cs="Arial"/>
          <w:i/>
          <w:iCs/>
          <w:color w:val="000000"/>
          <w:sz w:val="20"/>
          <w:szCs w:val="22"/>
          <w:lang w:eastAsia="en-ZA"/>
        </w:rPr>
        <w:t>(b)</w:t>
      </w:r>
      <w:r w:rsidRPr="003C0499">
        <w:rPr>
          <w:rFonts w:cs="Arial"/>
          <w:i/>
          <w:iCs/>
          <w:color w:val="000000"/>
          <w:sz w:val="20"/>
          <w:szCs w:val="22"/>
          <w:lang w:eastAsia="en-ZA"/>
        </w:rPr>
        <w:tab/>
      </w:r>
      <w:r w:rsidR="007D63F0" w:rsidRPr="00073A28">
        <w:rPr>
          <w:rFonts w:cs="Arial"/>
          <w:i/>
          <w:iCs/>
          <w:color w:val="000000"/>
          <w:sz w:val="20"/>
        </w:rPr>
        <w:t>anything in respect of which there are reasonable grounds for believing that it will afford evidence as to the commission, whether within the Republic or elsewhere, of any offence or that it was used for the purpose of or in connection with such commission of any offence; or</w:t>
      </w:r>
      <w:bookmarkStart w:id="3" w:name="0-0-0-1187083"/>
      <w:bookmarkEnd w:id="3"/>
    </w:p>
    <w:p w14:paraId="3874D609" w14:textId="1C60E825" w:rsidR="007D63F0" w:rsidRPr="00073A28" w:rsidRDefault="00073A28" w:rsidP="00073A28">
      <w:pPr>
        <w:ind w:left="567" w:hanging="567"/>
        <w:jc w:val="both"/>
        <w:rPr>
          <w:rFonts w:cs="Arial"/>
          <w:i/>
          <w:iCs/>
          <w:color w:val="000000"/>
          <w:sz w:val="20"/>
        </w:rPr>
      </w:pPr>
      <w:r w:rsidRPr="003C0499">
        <w:rPr>
          <w:rFonts w:cs="Arial"/>
          <w:i/>
          <w:iCs/>
          <w:color w:val="000000"/>
          <w:sz w:val="20"/>
          <w:szCs w:val="22"/>
          <w:lang w:eastAsia="en-ZA"/>
        </w:rPr>
        <w:t>(c)</w:t>
      </w:r>
      <w:r w:rsidRPr="003C0499">
        <w:rPr>
          <w:rFonts w:cs="Arial"/>
          <w:i/>
          <w:iCs/>
          <w:color w:val="000000"/>
          <w:sz w:val="20"/>
          <w:szCs w:val="22"/>
          <w:lang w:eastAsia="en-ZA"/>
        </w:rPr>
        <w:tab/>
      </w:r>
      <w:r w:rsidR="007D63F0" w:rsidRPr="00073A28">
        <w:rPr>
          <w:rFonts w:cs="Arial"/>
          <w:i/>
          <w:iCs/>
          <w:color w:val="000000"/>
          <w:sz w:val="20"/>
        </w:rPr>
        <w:t xml:space="preserve">anything in respect of which there are reasonable grounds for believing that it is intended to be used for the purpose of committing any offence, </w:t>
      </w:r>
    </w:p>
    <w:p w14:paraId="7543F035" w14:textId="77777777" w:rsidR="007D63F0" w:rsidRDefault="007D63F0" w:rsidP="007D63F0">
      <w:pPr>
        <w:jc w:val="both"/>
        <w:rPr>
          <w:rFonts w:cs="Arial"/>
          <w:color w:val="000000"/>
          <w:sz w:val="20"/>
          <w:lang w:eastAsia="en-ZA"/>
        </w:rPr>
      </w:pPr>
      <w:r w:rsidRPr="003C0499">
        <w:rPr>
          <w:rFonts w:cs="Arial"/>
          <w:i/>
          <w:iCs/>
          <w:color w:val="000000"/>
          <w:sz w:val="20"/>
          <w:lang w:eastAsia="en-ZA"/>
        </w:rPr>
        <w:t>the may issue a warrant directing any policeman named therein or all policemen to search such person, premises or receptacle and any person found in or upon such premises, and to seize any such thing if found, and to take it before a magistrate to be dealt with according to law</w:t>
      </w:r>
      <w:r w:rsidRPr="00277977">
        <w:rPr>
          <w:rFonts w:cs="Arial"/>
          <w:color w:val="000000"/>
          <w:sz w:val="20"/>
          <w:lang w:eastAsia="en-ZA"/>
        </w:rPr>
        <w:t>.</w:t>
      </w:r>
      <w:r>
        <w:rPr>
          <w:rFonts w:cs="Arial"/>
          <w:color w:val="000000"/>
          <w:sz w:val="20"/>
          <w:lang w:eastAsia="en-ZA"/>
        </w:rPr>
        <w:t>”</w:t>
      </w:r>
    </w:p>
    <w:p w14:paraId="4A631265" w14:textId="77777777" w:rsidR="007D63F0" w:rsidRPr="00913D99" w:rsidRDefault="007D63F0" w:rsidP="007D63F0">
      <w:pPr>
        <w:jc w:val="both"/>
        <w:rPr>
          <w:rFonts w:cs="Arial"/>
          <w:color w:val="000000"/>
          <w:sz w:val="20"/>
          <w:lang w:eastAsia="en-ZA"/>
        </w:rPr>
      </w:pPr>
    </w:p>
    <w:p w14:paraId="2F036269" w14:textId="53BC3C55" w:rsidR="005E7D94" w:rsidRDefault="00073A28" w:rsidP="00073A28">
      <w:pPr>
        <w:widowControl w:val="0"/>
        <w:tabs>
          <w:tab w:val="left" w:pos="567"/>
          <w:tab w:val="right" w:pos="8640"/>
        </w:tabs>
        <w:spacing w:before="240" w:after="240" w:line="276" w:lineRule="auto"/>
        <w:jc w:val="both"/>
      </w:pPr>
      <w:r>
        <w:t>[11]</w:t>
      </w:r>
      <w:r>
        <w:tab/>
      </w:r>
      <w:r w:rsidR="002609EB">
        <w:t>I</w:t>
      </w:r>
      <w:r w:rsidR="00BE0F3C">
        <w:t>t was held that, without a warrant</w:t>
      </w:r>
      <w:r w:rsidR="004F29B0">
        <w:t xml:space="preserve">, the onus </w:t>
      </w:r>
      <w:r w:rsidR="00543D45">
        <w:t xml:space="preserve">of proof </w:t>
      </w:r>
      <w:r w:rsidR="004F29B0">
        <w:t xml:space="preserve">would have been </w:t>
      </w:r>
      <w:r w:rsidR="002609EB">
        <w:t xml:space="preserve">on </w:t>
      </w:r>
      <w:r w:rsidR="004F29B0">
        <w:t xml:space="preserve">the respondent to </w:t>
      </w:r>
      <w:r w:rsidR="002609EB">
        <w:t xml:space="preserve">establish that </w:t>
      </w:r>
      <w:r w:rsidR="004F29B0">
        <w:t xml:space="preserve">the attachment of the </w:t>
      </w:r>
      <w:r w:rsidR="002609EB">
        <w:t xml:space="preserve">machines was legally justified, </w:t>
      </w:r>
      <w:r w:rsidR="004F29B0">
        <w:t>but that the warrant for attachment served “</w:t>
      </w:r>
      <w:r w:rsidR="004F29B0" w:rsidRPr="00266120">
        <w:rPr>
          <w:i/>
          <w:iCs/>
        </w:rPr>
        <w:t>to discharge the onus of proof initially resting upon the respondent”</w:t>
      </w:r>
      <w:r w:rsidR="004F29B0">
        <w:t xml:space="preserve"> and that consequently, “</w:t>
      </w:r>
      <w:r w:rsidR="004F29B0" w:rsidRPr="00266120">
        <w:rPr>
          <w:i/>
          <w:iCs/>
        </w:rPr>
        <w:t xml:space="preserve">the ultimate onus rested on the </w:t>
      </w:r>
      <w:r w:rsidR="00DA792C">
        <w:rPr>
          <w:i/>
          <w:iCs/>
        </w:rPr>
        <w:t>appellant to demolish the defence of the existence of the warrant</w:t>
      </w:r>
      <w:r w:rsidR="004F29B0">
        <w:t xml:space="preserve">”. </w:t>
      </w:r>
      <w:r w:rsidR="005E7D94">
        <w:t xml:space="preserve">The magistrate exercised his discretion </w:t>
      </w:r>
      <w:r w:rsidR="00C42D53">
        <w:t xml:space="preserve">in favour of the respondent by issuing the warrant.  It appeared to him that there were reasonable grounds for suspecting that the machines were used in connection with the commission of offences or that they would afford </w:t>
      </w:r>
      <w:r w:rsidR="00C877EE">
        <w:t xml:space="preserve">evidence as to the commission of those offences.  That was the factual basis upon which the warrant was issued.  The legal basis for the issue of the warrant was section 42 of the 1955 Criminal Procedure Act.  </w:t>
      </w:r>
    </w:p>
    <w:p w14:paraId="60D0505D" w14:textId="7EE935A7" w:rsidR="004A2D71" w:rsidRDefault="00073A28" w:rsidP="00073A28">
      <w:pPr>
        <w:widowControl w:val="0"/>
        <w:tabs>
          <w:tab w:val="left" w:pos="567"/>
          <w:tab w:val="right" w:pos="8640"/>
        </w:tabs>
        <w:spacing w:before="240" w:after="240" w:line="276" w:lineRule="auto"/>
        <w:jc w:val="both"/>
      </w:pPr>
      <w:r>
        <w:t>[12]</w:t>
      </w:r>
      <w:r>
        <w:tab/>
      </w:r>
      <w:r w:rsidR="00480EE6">
        <w:t xml:space="preserve">In </w:t>
      </w:r>
      <w:r w:rsidR="00480EE6">
        <w:rPr>
          <w:i/>
          <w:iCs/>
        </w:rPr>
        <w:t>Minister van Polisie  v Goldschagg</w:t>
      </w:r>
      <w:r w:rsidR="00480EE6">
        <w:rPr>
          <w:rStyle w:val="FootnoteReference"/>
          <w:i/>
          <w:iCs/>
        </w:rPr>
        <w:footnoteReference w:id="2"/>
      </w:r>
      <w:r w:rsidR="00DA792C">
        <w:t xml:space="preserve"> the respondent failed to appear in court after a summons, intended for him, had been served on his brother’s employee.  The respondent did not know that he was required to appear in court.   When he failed to appear in court in accordance with </w:t>
      </w:r>
      <w:r w:rsidR="00D650E4">
        <w:t xml:space="preserve">the </w:t>
      </w:r>
      <w:r w:rsidR="00271BC6">
        <w:t>prescripts of</w:t>
      </w:r>
      <w:r w:rsidR="005B1CE4">
        <w:t xml:space="preserve"> the summons, the magistrate issued a warrant for his arrest </w:t>
      </w:r>
      <w:r w:rsidR="00FF1940">
        <w:t>under section 309(3) of the 1955 Criminal Procedure Act</w:t>
      </w:r>
      <w:r w:rsidR="004A2D71">
        <w:t>. Section 309(2) and (3) read as follows:</w:t>
      </w:r>
    </w:p>
    <w:p w14:paraId="2A705A55" w14:textId="77777777" w:rsidR="00E858F3" w:rsidRPr="003C0499" w:rsidRDefault="004A2D71" w:rsidP="00E858F3">
      <w:pPr>
        <w:ind w:left="567" w:hanging="567"/>
        <w:jc w:val="both"/>
        <w:rPr>
          <w:rFonts w:cs="Arial"/>
          <w:i/>
          <w:iCs/>
          <w:color w:val="000000"/>
          <w:sz w:val="20"/>
          <w:lang w:eastAsia="en-ZA"/>
        </w:rPr>
      </w:pPr>
      <w:r w:rsidRPr="00277977">
        <w:rPr>
          <w:rFonts w:cs="Arial"/>
          <w:sz w:val="20"/>
        </w:rPr>
        <w:t>“</w:t>
      </w:r>
      <w:r w:rsidR="00277977" w:rsidRPr="003C0499">
        <w:rPr>
          <w:rFonts w:cs="Arial"/>
          <w:i/>
          <w:iCs/>
          <w:color w:val="000000"/>
          <w:sz w:val="20"/>
          <w:lang w:eastAsia="en-ZA"/>
        </w:rPr>
        <w:t>(2)</w:t>
      </w:r>
      <w:r w:rsidR="00E858F3" w:rsidRPr="003C0499">
        <w:rPr>
          <w:rFonts w:cs="Arial"/>
          <w:i/>
          <w:iCs/>
          <w:color w:val="000000"/>
          <w:sz w:val="20"/>
          <w:lang w:eastAsia="en-ZA"/>
        </w:rPr>
        <w:tab/>
      </w:r>
      <w:r w:rsidR="00277977" w:rsidRPr="003C0499">
        <w:rPr>
          <w:rFonts w:cs="Arial"/>
          <w:i/>
          <w:iCs/>
          <w:color w:val="000000"/>
          <w:sz w:val="20"/>
          <w:lang w:eastAsia="en-ZA"/>
        </w:rPr>
        <w:t>Except where otherwise specially provided by any law, the service upon an accused of any summons or other process in a criminal case in an inferior court shall be made by the prescribed officer, either by delivering it to the accused personally or, if he cannot conveniently be found, by leaving it for him at his place of business or usual or last known place of abode with some inmate thereof.  The service of the summons may be proved by the evidence on oath of the person effecting the service or by his affidavit or by due return of service under his hand.</w:t>
      </w:r>
      <w:bookmarkStart w:id="4" w:name="0-0-0-1186137"/>
      <w:bookmarkEnd w:id="4"/>
    </w:p>
    <w:p w14:paraId="52297499" w14:textId="45BFAE7E" w:rsidR="00277977" w:rsidRPr="00277977" w:rsidRDefault="00E858F3" w:rsidP="00E858F3">
      <w:pPr>
        <w:ind w:left="567" w:hanging="567"/>
        <w:jc w:val="both"/>
        <w:rPr>
          <w:rFonts w:cs="Arial"/>
          <w:color w:val="000000"/>
          <w:sz w:val="20"/>
          <w:lang w:eastAsia="en-ZA"/>
        </w:rPr>
      </w:pPr>
      <w:r w:rsidRPr="003C0499">
        <w:rPr>
          <w:rFonts w:cs="Arial"/>
          <w:i/>
          <w:iCs/>
          <w:color w:val="000000"/>
          <w:sz w:val="20"/>
          <w:lang w:eastAsia="en-ZA"/>
        </w:rPr>
        <w:t>(3)</w:t>
      </w:r>
      <w:r w:rsidRPr="003C0499">
        <w:rPr>
          <w:rFonts w:cs="Arial"/>
          <w:i/>
          <w:iCs/>
          <w:color w:val="000000"/>
          <w:sz w:val="20"/>
          <w:lang w:eastAsia="en-ZA"/>
        </w:rPr>
        <w:tab/>
      </w:r>
      <w:r w:rsidR="00277977" w:rsidRPr="003C0499">
        <w:rPr>
          <w:rFonts w:cs="Arial"/>
          <w:i/>
          <w:iCs/>
          <w:color w:val="000000"/>
          <w:sz w:val="20"/>
          <w:lang w:eastAsia="en-ZA"/>
        </w:rPr>
        <w:t>If any person fails to appear at the hour and on the day appointed for his appearance to answer any charge, and the court is satisfied upon the return of the person required to serve the summons that he was duly summoned or if it appears from evidence given under oath that he is evading service of the summons, or if it appears from such evidence that he attended but failed to remain in attendance, the court in which the said criminal proceedings are conducted, may issue a warrant, directing that he be arrested and brought, at a time and place stated in the warrant, or as soon thereafter as possible, before the court or any magistrate</w:t>
      </w:r>
      <w:r w:rsidR="00277977" w:rsidRPr="00277977">
        <w:rPr>
          <w:rFonts w:cs="Arial"/>
          <w:color w:val="000000"/>
          <w:sz w:val="20"/>
          <w:lang w:eastAsia="en-ZA"/>
        </w:rPr>
        <w:t>.”</w:t>
      </w:r>
    </w:p>
    <w:p w14:paraId="1B6B038D" w14:textId="77777777" w:rsidR="00277977" w:rsidRDefault="00277977" w:rsidP="00277977">
      <w:pPr>
        <w:ind w:firstLine="284"/>
        <w:rPr>
          <w:rFonts w:ascii="Verdana" w:hAnsi="Verdana"/>
          <w:color w:val="000000"/>
          <w:sz w:val="20"/>
          <w:lang w:eastAsia="en-ZA"/>
        </w:rPr>
      </w:pPr>
    </w:p>
    <w:p w14:paraId="42573331" w14:textId="714F0113" w:rsidR="0054379E" w:rsidRPr="00152A79" w:rsidRDefault="00073A28" w:rsidP="00073A28">
      <w:pPr>
        <w:widowControl w:val="0"/>
        <w:tabs>
          <w:tab w:val="left" w:pos="567"/>
          <w:tab w:val="right" w:pos="8640"/>
        </w:tabs>
        <w:spacing w:before="240" w:after="240" w:line="276" w:lineRule="auto"/>
        <w:jc w:val="both"/>
        <w:rPr>
          <w:i/>
          <w:iCs/>
        </w:rPr>
      </w:pPr>
      <w:r w:rsidRPr="00152A79">
        <w:t>[13]</w:t>
      </w:r>
      <w:r w:rsidRPr="00152A79">
        <w:tab/>
      </w:r>
      <w:r w:rsidR="00C67F1C">
        <w:t xml:space="preserve">It was held </w:t>
      </w:r>
      <w:r w:rsidR="009141AC">
        <w:t xml:space="preserve">that the onus was on the respondent to prove the unlawfulness of his arrest and detention as an essential element.  </w:t>
      </w:r>
      <w:r w:rsidR="0054379E">
        <w:t xml:space="preserve">The validity of that warrant was indeed </w:t>
      </w:r>
      <w:r w:rsidR="0054379E">
        <w:lastRenderedPageBreak/>
        <w:t>challenged.</w:t>
      </w:r>
      <w:r w:rsidR="00152A79">
        <w:t xml:space="preserve">  </w:t>
      </w:r>
      <w:r w:rsidR="0068004B" w:rsidRPr="00520A46">
        <w:t>T</w:t>
      </w:r>
      <w:r w:rsidR="00BC7C0D">
        <w:t xml:space="preserve">he </w:t>
      </w:r>
      <w:r w:rsidR="00DC6DB2">
        <w:t>magistrate issued</w:t>
      </w:r>
      <w:r w:rsidR="001D26DA">
        <w:t xml:space="preserve"> the warrant under section</w:t>
      </w:r>
      <w:r w:rsidR="00DC6DB2">
        <w:t xml:space="preserve"> 309</w:t>
      </w:r>
      <w:r w:rsidR="001D26DA">
        <w:t xml:space="preserve">(3) </w:t>
      </w:r>
      <w:r w:rsidR="00152A79">
        <w:t>when the respondent failed to appear in court</w:t>
      </w:r>
      <w:r w:rsidR="00CF05CC">
        <w:t>.  H</w:t>
      </w:r>
      <w:r w:rsidR="00DC6DB2">
        <w:t xml:space="preserve">e </w:t>
      </w:r>
      <w:r w:rsidR="004E4176">
        <w:t>was satisfied, based on the return of service</w:t>
      </w:r>
      <w:r w:rsidR="00E82010">
        <w:t>,</w:t>
      </w:r>
      <w:r w:rsidR="004E4176">
        <w:t xml:space="preserve"> that the</w:t>
      </w:r>
      <w:r w:rsidR="008526E4">
        <w:t xml:space="preserve"> respondent</w:t>
      </w:r>
      <w:r w:rsidR="004E4176">
        <w:t xml:space="preserve"> had been </w:t>
      </w:r>
      <w:r w:rsidR="008D698B">
        <w:t xml:space="preserve">duly </w:t>
      </w:r>
      <w:r w:rsidR="004E4176">
        <w:t>s</w:t>
      </w:r>
      <w:r w:rsidR="008D698B">
        <w:t xml:space="preserve">ummoned to appear on the day appointed for his appearance.  </w:t>
      </w:r>
      <w:r w:rsidR="0036564A">
        <w:t>H</w:t>
      </w:r>
      <w:r w:rsidR="004E4176">
        <w:t xml:space="preserve">is non-appearance in court was sufficient for the warrant to be issued under that section.  </w:t>
      </w:r>
      <w:r w:rsidR="00DC6DB2">
        <w:t>There was accordingly</w:t>
      </w:r>
      <w:r w:rsidR="0036564A">
        <w:t xml:space="preserve"> also</w:t>
      </w:r>
      <w:r w:rsidR="00DC6DB2">
        <w:t xml:space="preserve"> a factual and legal basis for the issue of the warrant for the respondent’s arrest and detention. </w:t>
      </w:r>
    </w:p>
    <w:p w14:paraId="2666C552" w14:textId="6F823598" w:rsidR="00EB51F6" w:rsidRDefault="00073A28" w:rsidP="00073A28">
      <w:pPr>
        <w:widowControl w:val="0"/>
        <w:tabs>
          <w:tab w:val="left" w:pos="567"/>
          <w:tab w:val="right" w:pos="8640"/>
        </w:tabs>
        <w:spacing w:before="240" w:after="240" w:line="276" w:lineRule="auto"/>
        <w:jc w:val="both"/>
      </w:pPr>
      <w:r>
        <w:t>[14]</w:t>
      </w:r>
      <w:r>
        <w:tab/>
      </w:r>
      <w:r w:rsidR="00E82010">
        <w:t xml:space="preserve">In the present matter there was no legal or other basis for the issue of the warrant for the plaintiff’s detention.  On the contrary, the magistrate had ordered his release from custody.  In terms of section 12(1)(a) of the Constitution, everyone has the right to freedom and security of the person, including the right not to be deprived of freedom arbitrarily or without just cause.  In </w:t>
      </w:r>
      <w:r w:rsidR="00D96F45">
        <w:rPr>
          <w:i/>
          <w:iCs/>
        </w:rPr>
        <w:t>Zealand v Minister of Justice and Constitutional Development and Another</w:t>
      </w:r>
      <w:r w:rsidR="00D96F45">
        <w:rPr>
          <w:rStyle w:val="FootnoteReference"/>
          <w:i/>
          <w:iCs/>
        </w:rPr>
        <w:footnoteReference w:id="3"/>
      </w:r>
      <w:r w:rsidR="00D96F45">
        <w:rPr>
          <w:i/>
          <w:iCs/>
        </w:rPr>
        <w:t xml:space="preserve"> </w:t>
      </w:r>
      <w:r w:rsidR="0017402C">
        <w:t xml:space="preserve">it was held that </w:t>
      </w:r>
      <w:r w:rsidR="00C74239">
        <w:t>the right not to be deprived of freedom arbitrarily or without just cause</w:t>
      </w:r>
      <w:r w:rsidR="00FD4180">
        <w:t xml:space="preserve"> </w:t>
      </w:r>
      <w:r w:rsidR="00235981">
        <w:t>affords a person substantive protection</w:t>
      </w:r>
      <w:r w:rsidR="00C74239">
        <w:t xml:space="preserve">.  </w:t>
      </w:r>
      <w:r w:rsidR="00EB51F6">
        <w:t xml:space="preserve">Langa CJ had the following to say in that regard:  </w:t>
      </w:r>
    </w:p>
    <w:p w14:paraId="30B34501" w14:textId="129C4588" w:rsidR="0054379E" w:rsidRDefault="00EB51F6" w:rsidP="00EF5238">
      <w:pPr>
        <w:widowControl w:val="0"/>
        <w:tabs>
          <w:tab w:val="right" w:pos="8640"/>
        </w:tabs>
        <w:spacing w:before="240" w:after="240" w:line="276" w:lineRule="auto"/>
        <w:ind w:left="567"/>
        <w:jc w:val="both"/>
      </w:pPr>
      <w:r>
        <w:t>“</w:t>
      </w:r>
      <w:r w:rsidRPr="00EB51F6">
        <w:rPr>
          <w:i/>
          <w:iCs/>
          <w:sz w:val="20"/>
        </w:rPr>
        <w:t>T</w:t>
      </w:r>
      <w:r w:rsidR="0070546C" w:rsidRPr="00EB51F6">
        <w:rPr>
          <w:i/>
          <w:iCs/>
          <w:sz w:val="20"/>
        </w:rPr>
        <w:t xml:space="preserve">hat right requires not only that every encroachment on physical freedom be carried out in a procedurally fair manner, but also </w:t>
      </w:r>
      <w:r w:rsidR="00613E12">
        <w:rPr>
          <w:i/>
          <w:iCs/>
          <w:sz w:val="20"/>
        </w:rPr>
        <w:t xml:space="preserve">that </w:t>
      </w:r>
      <w:r w:rsidR="0070546C" w:rsidRPr="00EB51F6">
        <w:rPr>
          <w:i/>
          <w:iCs/>
          <w:sz w:val="20"/>
        </w:rPr>
        <w:t xml:space="preserve">it </w:t>
      </w:r>
      <w:r w:rsidR="00613E12">
        <w:rPr>
          <w:i/>
          <w:iCs/>
          <w:sz w:val="20"/>
        </w:rPr>
        <w:t xml:space="preserve">be </w:t>
      </w:r>
      <w:r w:rsidR="0070546C" w:rsidRPr="00EB51F6">
        <w:rPr>
          <w:i/>
          <w:iCs/>
          <w:sz w:val="20"/>
        </w:rPr>
        <w:t xml:space="preserve">substantively justified by acceptable reasons.  </w:t>
      </w:r>
      <w:r w:rsidRPr="00EB51F6">
        <w:rPr>
          <w:i/>
          <w:iCs/>
          <w:sz w:val="20"/>
        </w:rPr>
        <w:t>T</w:t>
      </w:r>
      <w:r w:rsidR="0018274E" w:rsidRPr="00EB51F6">
        <w:rPr>
          <w:i/>
          <w:iCs/>
          <w:sz w:val="20"/>
        </w:rPr>
        <w:t xml:space="preserve">he mere fact that a series of magistrates issued orders remanding the applicant in detention is not sufficient to establish </w:t>
      </w:r>
      <w:r w:rsidRPr="00EB51F6">
        <w:rPr>
          <w:i/>
          <w:iCs/>
          <w:sz w:val="20"/>
        </w:rPr>
        <w:t xml:space="preserve">that </w:t>
      </w:r>
      <w:r w:rsidR="0018274E" w:rsidRPr="00EB51F6">
        <w:rPr>
          <w:i/>
          <w:iCs/>
          <w:sz w:val="20"/>
        </w:rPr>
        <w:t>the detention was not ‘arbitrary or without just cause</w:t>
      </w:r>
      <w:r w:rsidR="0018274E" w:rsidRPr="00EB51F6">
        <w:rPr>
          <w:i/>
          <w:iCs/>
        </w:rPr>
        <w:t>’</w:t>
      </w:r>
      <w:r w:rsidR="0018274E">
        <w:rPr>
          <w:i/>
          <w:iCs/>
        </w:rPr>
        <w:t>”.</w:t>
      </w:r>
      <w:r w:rsidR="0018274E">
        <w:t xml:space="preserve">  </w:t>
      </w:r>
      <w:r w:rsidR="00C74239">
        <w:t xml:space="preserve"> </w:t>
      </w:r>
    </w:p>
    <w:p w14:paraId="4708A487" w14:textId="32D6A4EF" w:rsidR="00BC7C0D" w:rsidRDefault="00073A28" w:rsidP="00073A28">
      <w:pPr>
        <w:widowControl w:val="0"/>
        <w:tabs>
          <w:tab w:val="left" w:pos="567"/>
          <w:tab w:val="right" w:pos="8640"/>
        </w:tabs>
        <w:spacing w:before="240" w:after="240" w:line="276" w:lineRule="auto"/>
        <w:jc w:val="both"/>
      </w:pPr>
      <w:r>
        <w:t>[15]</w:t>
      </w:r>
      <w:r>
        <w:tab/>
      </w:r>
      <w:r w:rsidR="00EF5238">
        <w:t xml:space="preserve">In </w:t>
      </w:r>
      <w:r w:rsidR="0076134C" w:rsidRPr="0076134C">
        <w:rPr>
          <w:i/>
          <w:iCs/>
        </w:rPr>
        <w:t>S v</w:t>
      </w:r>
      <w:r w:rsidR="0076134C">
        <w:rPr>
          <w:i/>
          <w:iCs/>
        </w:rPr>
        <w:t xml:space="preserve"> Bogaards</w:t>
      </w:r>
      <w:r w:rsidR="0076134C">
        <w:rPr>
          <w:rStyle w:val="FootnoteReference"/>
          <w:i/>
          <w:iCs/>
        </w:rPr>
        <w:footnoteReference w:id="4"/>
      </w:r>
      <w:r w:rsidR="0076134C">
        <w:rPr>
          <w:i/>
          <w:iCs/>
        </w:rPr>
        <w:t xml:space="preserve"> </w:t>
      </w:r>
      <w:r w:rsidR="0076134C">
        <w:t xml:space="preserve">it was held that it is an order of court, rather than a detention warrant, that is the legal basis for a person’s detention.  </w:t>
      </w:r>
      <w:r w:rsidR="003626B6">
        <w:t>Khampepe J said that it does not follow that w</w:t>
      </w:r>
      <w:r w:rsidR="00613E12">
        <w:t>h</w:t>
      </w:r>
      <w:r w:rsidR="003626B6">
        <w:t>ere a warrant, based on a court order</w:t>
      </w:r>
      <w:r w:rsidR="00613E12">
        <w:t>,</w:t>
      </w:r>
      <w:r w:rsidR="003626B6">
        <w:t xml:space="preserve"> is held to defective, the detention necessarily becomes unlawful.  The learned Judge found that </w:t>
      </w:r>
      <w:r w:rsidR="00991C4B">
        <w:t>“</w:t>
      </w:r>
      <w:r w:rsidR="003626B6" w:rsidRPr="00991C4B">
        <w:rPr>
          <w:i/>
          <w:iCs/>
        </w:rPr>
        <w:t>the</w:t>
      </w:r>
      <w:r w:rsidR="005D316A" w:rsidRPr="00991C4B">
        <w:rPr>
          <w:i/>
          <w:iCs/>
        </w:rPr>
        <w:t xml:space="preserve"> </w:t>
      </w:r>
      <w:r w:rsidR="00991C4B" w:rsidRPr="00991C4B">
        <w:rPr>
          <w:i/>
          <w:iCs/>
        </w:rPr>
        <w:t>efficacy of the administration of the criminal justice system requires that the lawfulness of detention depends on the order of a court rather than the validity of a warrant</w:t>
      </w:r>
      <w:r w:rsidR="00991C4B">
        <w:t>” and that “</w:t>
      </w:r>
      <w:r w:rsidR="00991C4B">
        <w:rPr>
          <w:i/>
          <w:iCs/>
        </w:rPr>
        <w:t xml:space="preserve">it is </w:t>
      </w:r>
      <w:r w:rsidR="00613E12">
        <w:rPr>
          <w:i/>
          <w:iCs/>
        </w:rPr>
        <w:t xml:space="preserve">the </w:t>
      </w:r>
      <w:r w:rsidR="00991C4B">
        <w:rPr>
          <w:i/>
          <w:iCs/>
        </w:rPr>
        <w:t>court order, not the warrant, that is the legal basis for a person’s detention and it cannot be that, where the warrant is defective, detention necessarily becomes unlawful</w:t>
      </w:r>
      <w:r w:rsidR="00991C4B">
        <w:t>.</w:t>
      </w:r>
      <w:r w:rsidR="00991C4B">
        <w:rPr>
          <w:i/>
          <w:iCs/>
        </w:rPr>
        <w:t>”</w:t>
      </w:r>
      <w:r w:rsidR="00613E12">
        <w:rPr>
          <w:i/>
          <w:iCs/>
        </w:rPr>
        <w:t xml:space="preserve"> </w:t>
      </w:r>
      <w:r w:rsidR="00613E12">
        <w:t>Although a warrant serves the important purpose of guarding against unlawful detention, it does not mean that</w:t>
      </w:r>
      <w:r w:rsidR="00C318A8">
        <w:t>,</w:t>
      </w:r>
      <w:r w:rsidR="00613E12">
        <w:t xml:space="preserve"> where a court orders the detention of an accused person, his or her detention becomes unlawful because of a defective warrant.</w:t>
      </w:r>
      <w:r w:rsidR="00285E63">
        <w:t xml:space="preserve">  </w:t>
      </w:r>
    </w:p>
    <w:p w14:paraId="53811973" w14:textId="1A93CAC5" w:rsidR="005806BD" w:rsidRDefault="00073A28" w:rsidP="00073A28">
      <w:pPr>
        <w:widowControl w:val="0"/>
        <w:tabs>
          <w:tab w:val="left" w:pos="567"/>
          <w:tab w:val="right" w:pos="8640"/>
        </w:tabs>
        <w:spacing w:before="240" w:after="240" w:line="276" w:lineRule="auto"/>
        <w:jc w:val="both"/>
      </w:pPr>
      <w:r>
        <w:t>[16]</w:t>
      </w:r>
      <w:r>
        <w:tab/>
      </w:r>
      <w:r w:rsidR="005806BD">
        <w:t xml:space="preserve">The mere production of a warrant for a person’s detention is not a complete defence </w:t>
      </w:r>
      <w:r w:rsidR="001E69C3">
        <w:t xml:space="preserve">to </w:t>
      </w:r>
      <w:r w:rsidR="005806BD">
        <w:t>justif</w:t>
      </w:r>
      <w:r w:rsidR="001E69C3">
        <w:t xml:space="preserve">y </w:t>
      </w:r>
      <w:r w:rsidR="005806BD">
        <w:t xml:space="preserve">such person’s detention.  It is settled law that, where a defendant detains a plaintiff, the onus is on the defendant to justify that detention.  Where a defendant produces a warrant for the plaintiff’s detention, such detention would be </w:t>
      </w:r>
      <w:r w:rsidR="005806BD">
        <w:rPr>
          <w:i/>
          <w:iCs/>
        </w:rPr>
        <w:t>prima facie</w:t>
      </w:r>
      <w:r w:rsidR="005806BD">
        <w:t xml:space="preserve"> lawful.  Without the warrant being successfully challenged, the warrant would legally justify the plaintiff’s detention.  The onus would then be on the plaintiff to prove that his or her detention was unlawful. </w:t>
      </w:r>
      <w:r w:rsidR="00292275">
        <w:t xml:space="preserve"> That could be done by establishing, for instance, that the warrant was not based on an order of court.  </w:t>
      </w:r>
      <w:r w:rsidR="006B1237">
        <w:t xml:space="preserve">What is important is that the warrant must be based on a court order for the detention to be lawful.  </w:t>
      </w:r>
      <w:r w:rsidR="00E62489">
        <w:t xml:space="preserve">It follows that, in the </w:t>
      </w:r>
      <w:r w:rsidR="00E62489">
        <w:lastRenderedPageBreak/>
        <w:t xml:space="preserve">absence of a court order as the basis for the warrant for a person’s detention, such a warrant is invalid and accordingly unlawful.  </w:t>
      </w:r>
      <w:r w:rsidR="005806BD">
        <w:t>In this case</w:t>
      </w:r>
      <w:r w:rsidR="002F0FA2">
        <w:t>,</w:t>
      </w:r>
      <w:r w:rsidR="005806BD">
        <w:t xml:space="preserve"> the plaintiff established that there was no basis for the warrant for his detention.  In my view, he has successfully established that </w:t>
      </w:r>
      <w:r w:rsidR="007E3F41">
        <w:t xml:space="preserve">the </w:t>
      </w:r>
      <w:r w:rsidR="00DF54C8">
        <w:t xml:space="preserve">deprivation of </w:t>
      </w:r>
      <w:r w:rsidR="005806BD">
        <w:t>his</w:t>
      </w:r>
      <w:r w:rsidR="00DF54C8">
        <w:t xml:space="preserve"> freedom was without a just cause.  His right contained in section</w:t>
      </w:r>
      <w:r w:rsidR="00B457EF">
        <w:t xml:space="preserve"> 12</w:t>
      </w:r>
      <w:r w:rsidR="006E0B9C">
        <w:t>(1)(a) of the Constitution was infringed</w:t>
      </w:r>
      <w:r w:rsidR="005E344C">
        <w:t xml:space="preserve">.  His </w:t>
      </w:r>
      <w:r w:rsidR="005806BD">
        <w:t>detention was</w:t>
      </w:r>
      <w:r w:rsidR="005E344C">
        <w:t xml:space="preserve"> </w:t>
      </w:r>
      <w:r w:rsidR="005806BD">
        <w:t>not legally justified and accordingly unlawful.</w:t>
      </w:r>
      <w:r w:rsidR="0090041D">
        <w:t xml:space="preserve">  </w:t>
      </w:r>
    </w:p>
    <w:p w14:paraId="141D6E3E" w14:textId="3BE9FCCB" w:rsidR="00BC7C0D" w:rsidRDefault="00073A28" w:rsidP="00073A28">
      <w:pPr>
        <w:widowControl w:val="0"/>
        <w:tabs>
          <w:tab w:val="left" w:pos="567"/>
          <w:tab w:val="right" w:pos="8640"/>
        </w:tabs>
        <w:spacing w:before="240" w:after="240" w:line="276" w:lineRule="auto"/>
        <w:jc w:val="both"/>
      </w:pPr>
      <w:r>
        <w:t>[17]</w:t>
      </w:r>
      <w:r>
        <w:tab/>
      </w:r>
      <w:r w:rsidR="00914AC1">
        <w:rPr>
          <w:rFonts w:cs="Arial"/>
          <w:szCs w:val="24"/>
        </w:rPr>
        <w:t>Ms Nxazonke-Mashiya</w:t>
      </w:r>
      <w:r w:rsidR="00337DAC">
        <w:rPr>
          <w:rFonts w:cs="Arial"/>
          <w:szCs w:val="24"/>
        </w:rPr>
        <w:t xml:space="preserve"> submitted that if it is found that the warrant is unlawful, the plaintiff’s claim should nevertheless be dismissed because he failed to establish that the police caused his detention.  Counsel submitted that </w:t>
      </w:r>
      <w:r w:rsidR="00C96E26">
        <w:rPr>
          <w:rFonts w:cs="Arial"/>
          <w:szCs w:val="24"/>
        </w:rPr>
        <w:t xml:space="preserve">it was </w:t>
      </w:r>
      <w:r w:rsidR="004303D6">
        <w:rPr>
          <w:rFonts w:cs="Arial"/>
          <w:szCs w:val="24"/>
        </w:rPr>
        <w:t xml:space="preserve">the clerk of the court </w:t>
      </w:r>
      <w:r w:rsidR="00A1509A">
        <w:rPr>
          <w:rFonts w:cs="Arial"/>
          <w:szCs w:val="24"/>
        </w:rPr>
        <w:t xml:space="preserve">who </w:t>
      </w:r>
      <w:r w:rsidR="004303D6">
        <w:rPr>
          <w:rFonts w:cs="Arial"/>
          <w:szCs w:val="24"/>
        </w:rPr>
        <w:t xml:space="preserve">prepared </w:t>
      </w:r>
      <w:r w:rsidR="00337DAC">
        <w:rPr>
          <w:rFonts w:cs="Arial"/>
          <w:szCs w:val="24"/>
        </w:rPr>
        <w:t>the warrant</w:t>
      </w:r>
      <w:r w:rsidR="00A1509A">
        <w:rPr>
          <w:rFonts w:cs="Arial"/>
          <w:szCs w:val="24"/>
        </w:rPr>
        <w:t xml:space="preserve"> and that t</w:t>
      </w:r>
      <w:r w:rsidR="00464367">
        <w:rPr>
          <w:rFonts w:cs="Arial"/>
          <w:szCs w:val="24"/>
        </w:rPr>
        <w:t>he orderlies merely executed it</w:t>
      </w:r>
      <w:r w:rsidR="00A1509A">
        <w:rPr>
          <w:rFonts w:cs="Arial"/>
          <w:szCs w:val="24"/>
        </w:rPr>
        <w:t>.</w:t>
      </w:r>
      <w:r w:rsidR="00464367">
        <w:rPr>
          <w:rFonts w:cs="Arial"/>
          <w:szCs w:val="24"/>
        </w:rPr>
        <w:t xml:space="preserve"> </w:t>
      </w:r>
      <w:r w:rsidR="00A1509A">
        <w:rPr>
          <w:rFonts w:cs="Arial"/>
          <w:szCs w:val="24"/>
        </w:rPr>
        <w:t xml:space="preserve"> </w:t>
      </w:r>
      <w:r w:rsidR="002C593A">
        <w:rPr>
          <w:rFonts w:cs="Arial"/>
          <w:szCs w:val="24"/>
        </w:rPr>
        <w:t xml:space="preserve">It was submitted that the Minister of Justice should accordingly have been cited as </w:t>
      </w:r>
      <w:r w:rsidR="00AE19EE">
        <w:rPr>
          <w:rFonts w:cs="Arial"/>
          <w:szCs w:val="24"/>
        </w:rPr>
        <w:t xml:space="preserve">a defendant as </w:t>
      </w:r>
      <w:r w:rsidR="00913FC0">
        <w:rPr>
          <w:rFonts w:cs="Arial"/>
          <w:szCs w:val="24"/>
        </w:rPr>
        <w:t xml:space="preserve">he is vicariously liable for the wrongful conduct of employees </w:t>
      </w:r>
      <w:r w:rsidR="00AE19EE">
        <w:rPr>
          <w:rFonts w:cs="Arial"/>
          <w:szCs w:val="24"/>
        </w:rPr>
        <w:t xml:space="preserve">of </w:t>
      </w:r>
      <w:r w:rsidR="00913FC0">
        <w:rPr>
          <w:rFonts w:cs="Arial"/>
          <w:szCs w:val="24"/>
        </w:rPr>
        <w:t>the Department of Justice</w:t>
      </w:r>
      <w:r w:rsidR="005C4D1E">
        <w:rPr>
          <w:rFonts w:cs="Arial"/>
          <w:szCs w:val="24"/>
        </w:rPr>
        <w:t xml:space="preserve">, such as Ms Manahla.  </w:t>
      </w:r>
      <w:r w:rsidR="007E731E">
        <w:rPr>
          <w:rFonts w:cs="Arial"/>
          <w:szCs w:val="24"/>
        </w:rPr>
        <w:t xml:space="preserve">That submission </w:t>
      </w:r>
      <w:r w:rsidR="006D6C9D">
        <w:rPr>
          <w:rFonts w:cs="Arial"/>
          <w:szCs w:val="24"/>
        </w:rPr>
        <w:t xml:space="preserve">is not supported by the facts </w:t>
      </w:r>
      <w:r w:rsidR="007E731E">
        <w:rPr>
          <w:rFonts w:cs="Arial"/>
          <w:szCs w:val="24"/>
        </w:rPr>
        <w:t>and cannot be sustained.  Warrant officer Mketo testified that the warrant was prepared by the clerk of the court.  Ms Manahla was the clerk of the court on the day in question.  She testified that she did not prepare the warrant</w:t>
      </w:r>
      <w:r w:rsidR="009C6F80">
        <w:rPr>
          <w:rFonts w:cs="Arial"/>
          <w:szCs w:val="24"/>
        </w:rPr>
        <w:t xml:space="preserve">. </w:t>
      </w:r>
      <w:r w:rsidR="00D94946">
        <w:rPr>
          <w:rFonts w:cs="Arial"/>
          <w:szCs w:val="24"/>
        </w:rPr>
        <w:t xml:space="preserve"> </w:t>
      </w:r>
      <w:r w:rsidR="003755AC">
        <w:rPr>
          <w:rFonts w:cs="Arial"/>
          <w:szCs w:val="24"/>
        </w:rPr>
        <w:t xml:space="preserve">Her undisputed evidence was that </w:t>
      </w:r>
      <w:r w:rsidR="007E731E">
        <w:rPr>
          <w:rFonts w:cs="Arial"/>
          <w:szCs w:val="24"/>
        </w:rPr>
        <w:t>the warrant</w:t>
      </w:r>
      <w:r w:rsidR="00D94946">
        <w:rPr>
          <w:rFonts w:cs="Arial"/>
          <w:szCs w:val="24"/>
        </w:rPr>
        <w:t xml:space="preserve"> was not completed in her handwriting</w:t>
      </w:r>
      <w:r w:rsidR="003755AC">
        <w:rPr>
          <w:rFonts w:cs="Arial"/>
          <w:szCs w:val="24"/>
        </w:rPr>
        <w:t xml:space="preserve"> and that she did not</w:t>
      </w:r>
      <w:r w:rsidR="00675BCC">
        <w:rPr>
          <w:rFonts w:cs="Arial"/>
          <w:szCs w:val="24"/>
        </w:rPr>
        <w:t xml:space="preserve"> </w:t>
      </w:r>
      <w:r w:rsidR="00675BCC">
        <w:t>take the warrant to another magistrate to be signed.</w:t>
      </w:r>
      <w:r w:rsidR="00D94946">
        <w:rPr>
          <w:rFonts w:cs="Arial"/>
          <w:szCs w:val="24"/>
        </w:rPr>
        <w:t xml:space="preserve">  In my view, the probabilities favour Ms Manahla’s version.  She had access to the charge sheet and the criminal record book in which the magistrate made entries that the </w:t>
      </w:r>
      <w:r w:rsidR="00275F73">
        <w:rPr>
          <w:rFonts w:cs="Arial"/>
          <w:szCs w:val="24"/>
        </w:rPr>
        <w:t xml:space="preserve">plaintiff’s </w:t>
      </w:r>
      <w:r w:rsidR="00D94946">
        <w:rPr>
          <w:rFonts w:cs="Arial"/>
          <w:szCs w:val="24"/>
        </w:rPr>
        <w:t xml:space="preserve">case was remanded to 15 October 2021 and that he was warned to appear in court on that day.  She testified that she would not have prepared a warrant for the plaintiff’s detention </w:t>
      </w:r>
      <w:r w:rsidR="00BB3ABA">
        <w:rPr>
          <w:rFonts w:cs="Arial"/>
          <w:szCs w:val="24"/>
        </w:rPr>
        <w:t>after</w:t>
      </w:r>
      <w:r w:rsidR="00D94946">
        <w:rPr>
          <w:rFonts w:cs="Arial"/>
          <w:szCs w:val="24"/>
        </w:rPr>
        <w:t xml:space="preserve"> the magistrate had </w:t>
      </w:r>
      <w:r w:rsidR="004E017B">
        <w:rPr>
          <w:rFonts w:cs="Arial"/>
          <w:szCs w:val="24"/>
        </w:rPr>
        <w:t>ordered</w:t>
      </w:r>
      <w:r w:rsidR="00D94946">
        <w:rPr>
          <w:rFonts w:cs="Arial"/>
          <w:szCs w:val="24"/>
        </w:rPr>
        <w:t xml:space="preserve"> his release from custody.  Warrant officer Mketo, on the other hand, testified that he had no access to any document other than the warrant.  In the circumstances, I find that Ms Manahla did not prepare the warrant for the plaintiff’s detention.  It is unknown</w:t>
      </w:r>
      <w:r w:rsidR="004F7D75">
        <w:rPr>
          <w:rFonts w:cs="Arial"/>
          <w:szCs w:val="24"/>
        </w:rPr>
        <w:t xml:space="preserve"> who prepared it and under what circumstances.  Warrant officer Mketo testified that</w:t>
      </w:r>
      <w:r w:rsidR="001A4338">
        <w:rPr>
          <w:rFonts w:cs="Arial"/>
          <w:szCs w:val="24"/>
        </w:rPr>
        <w:t xml:space="preserve">, because warrant officer Selana signed the criminal record book, he must have received the warrant for the plaintiff’s arrest.  No reason was given for warrant officer Selana’s failure to testify.  He might have been </w:t>
      </w:r>
      <w:r w:rsidR="00271BC6">
        <w:rPr>
          <w:rFonts w:cs="Arial"/>
          <w:szCs w:val="24"/>
        </w:rPr>
        <w:t>able</w:t>
      </w:r>
      <w:r w:rsidR="001A4338">
        <w:rPr>
          <w:rFonts w:cs="Arial"/>
          <w:szCs w:val="24"/>
        </w:rPr>
        <w:t xml:space="preserve"> to explain the circumstances under which the warrant was obtained and executed by them, since warrant officer Mketo was unable to do so.   </w:t>
      </w:r>
      <w:r w:rsidR="007E731E">
        <w:rPr>
          <w:rFonts w:cs="Arial"/>
          <w:szCs w:val="24"/>
        </w:rPr>
        <w:t xml:space="preserve"> </w:t>
      </w:r>
    </w:p>
    <w:p w14:paraId="29A3A2B5" w14:textId="28360852" w:rsidR="00EA5487" w:rsidRDefault="00073A28" w:rsidP="00073A28">
      <w:pPr>
        <w:widowControl w:val="0"/>
        <w:tabs>
          <w:tab w:val="left" w:pos="567"/>
          <w:tab w:val="right" w:pos="8640"/>
        </w:tabs>
        <w:spacing w:before="240" w:after="240" w:line="276" w:lineRule="auto"/>
        <w:jc w:val="both"/>
      </w:pPr>
      <w:r>
        <w:t>[18]</w:t>
      </w:r>
      <w:r>
        <w:tab/>
      </w:r>
      <w:r w:rsidR="00C93A55">
        <w:t>When the warrant</w:t>
      </w:r>
      <w:r w:rsidR="00956146">
        <w:t xml:space="preserve"> </w:t>
      </w:r>
      <w:r w:rsidR="00C93A55">
        <w:t>was executed, warrant officer Selana</w:t>
      </w:r>
      <w:r w:rsidR="00956146">
        <w:t xml:space="preserve"> in all probability </w:t>
      </w:r>
      <w:r w:rsidR="00C93A55">
        <w:t>knew that the magistrate had ordered that the plaintiff should be released from custody</w:t>
      </w:r>
      <w:r w:rsidR="00935BF8">
        <w:t>.  Before the execution of the warrant, he signed the criminal record book wherein the magistrate’s orders in respect of the four accused persons, who appeared before him on the day in question, were recorded.  He must have seen that the magistrate had ordered the plaintiff’s release</w:t>
      </w:r>
      <w:r w:rsidR="00F73297">
        <w:t xml:space="preserve">, yet he, according to warrant officer Mketo, nevertheless received the warrant which they executed.  With his knowledge of the magistrate’s order, </w:t>
      </w:r>
      <w:r w:rsidR="003D4B21">
        <w:t>warrant officer Selana should not have executed th</w:t>
      </w:r>
      <w:r w:rsidR="00B2047E">
        <w:t>e</w:t>
      </w:r>
      <w:r w:rsidR="003D4B21">
        <w:t xml:space="preserve"> warrant without investigating how it came into existence.  Had he done so, he would have realised that the warrant was invalid.  </w:t>
      </w:r>
    </w:p>
    <w:p w14:paraId="560E34A8" w14:textId="270FE7A2" w:rsidR="00991C4B" w:rsidRDefault="00073A28" w:rsidP="00073A28">
      <w:pPr>
        <w:widowControl w:val="0"/>
        <w:tabs>
          <w:tab w:val="left" w:pos="567"/>
          <w:tab w:val="right" w:pos="8640"/>
        </w:tabs>
        <w:spacing w:before="240" w:after="240" w:line="276" w:lineRule="auto"/>
        <w:jc w:val="both"/>
      </w:pPr>
      <w:r>
        <w:t>[19]</w:t>
      </w:r>
      <w:r>
        <w:tab/>
      </w:r>
      <w:r w:rsidR="003D4B21" w:rsidRPr="0057155B">
        <w:t xml:space="preserve">In the circumstances, the defendant is liable for the plaintiff’s unlawful detention </w:t>
      </w:r>
      <w:r w:rsidR="003D4B21" w:rsidRPr="0057155B">
        <w:lastRenderedPageBreak/>
        <w:t xml:space="preserve">which was caused by the court orderlies, </w:t>
      </w:r>
      <w:r w:rsidR="00D86302" w:rsidRPr="0057155B">
        <w:t xml:space="preserve">as </w:t>
      </w:r>
      <w:r w:rsidR="00183BA7" w:rsidRPr="0057155B">
        <w:t>members of the South African Police Service</w:t>
      </w:r>
      <w:r w:rsidR="00F208E0" w:rsidRPr="0057155B">
        <w:t>.  Since the plaintiff was in unlawful detention from 6</w:t>
      </w:r>
      <w:r w:rsidR="004E017B" w:rsidRPr="0057155B">
        <w:t> </w:t>
      </w:r>
      <w:r w:rsidR="00F208E0" w:rsidRPr="0057155B">
        <w:t>September 2021 to 15</w:t>
      </w:r>
      <w:r w:rsidR="00410458" w:rsidRPr="0057155B">
        <w:t> </w:t>
      </w:r>
      <w:r w:rsidR="00F208E0" w:rsidRPr="0057155B">
        <w:t>October 2021, he must be compensated for the harm caused by such detention</w:t>
      </w:r>
      <w:r w:rsidR="00F208E0">
        <w:t xml:space="preserve">.  </w:t>
      </w:r>
    </w:p>
    <w:p w14:paraId="147A9C1B" w14:textId="5CBBAE05" w:rsidR="004E017B" w:rsidRDefault="00073A28" w:rsidP="00073A28">
      <w:pPr>
        <w:widowControl w:val="0"/>
        <w:tabs>
          <w:tab w:val="left" w:pos="567"/>
          <w:tab w:val="right" w:pos="8640"/>
        </w:tabs>
        <w:spacing w:before="240" w:after="240" w:line="276" w:lineRule="auto"/>
        <w:jc w:val="both"/>
      </w:pPr>
      <w:r>
        <w:t>[20]</w:t>
      </w:r>
      <w:r>
        <w:tab/>
      </w:r>
      <w:r w:rsidR="001966AC">
        <w:rPr>
          <w:rFonts w:cs="Arial"/>
          <w:szCs w:val="24"/>
          <w:lang w:val="en-US"/>
        </w:rPr>
        <w:t>The plaintiff’s evidence about the conditions under which he was detained in the above correctional cent</w:t>
      </w:r>
      <w:r w:rsidR="00E00E6B">
        <w:rPr>
          <w:rFonts w:cs="Arial"/>
          <w:szCs w:val="24"/>
          <w:lang w:val="en-US"/>
        </w:rPr>
        <w:t>re</w:t>
      </w:r>
      <w:r w:rsidR="001966AC">
        <w:rPr>
          <w:rFonts w:cs="Arial"/>
          <w:szCs w:val="24"/>
          <w:lang w:val="en-US"/>
        </w:rPr>
        <w:t xml:space="preserve"> was unchallenged.  No evidence was given about his personal particulars.  From a copy of his identity document it appears </w:t>
      </w:r>
      <w:r w:rsidR="002031B5">
        <w:rPr>
          <w:rFonts w:cs="Arial"/>
          <w:szCs w:val="24"/>
          <w:lang w:val="en-US"/>
        </w:rPr>
        <w:t xml:space="preserve">that </w:t>
      </w:r>
      <w:r w:rsidR="001966AC">
        <w:rPr>
          <w:rFonts w:cs="Arial"/>
          <w:szCs w:val="24"/>
          <w:lang w:val="en-US"/>
        </w:rPr>
        <w:t>he was born</w:t>
      </w:r>
      <w:r w:rsidR="00E00E6B">
        <w:rPr>
          <w:rFonts w:cs="Arial"/>
          <w:szCs w:val="24"/>
          <w:lang w:val="en-US"/>
        </w:rPr>
        <w:t xml:space="preserve"> on</w:t>
      </w:r>
      <w:r w:rsidR="001966AC">
        <w:rPr>
          <w:rFonts w:cs="Arial"/>
          <w:szCs w:val="24"/>
          <w:lang w:val="en-US"/>
        </w:rPr>
        <w:t xml:space="preserve"> 1</w:t>
      </w:r>
      <w:r w:rsidR="00E00E6B">
        <w:rPr>
          <w:rFonts w:cs="Arial"/>
          <w:szCs w:val="24"/>
          <w:lang w:val="en-US"/>
        </w:rPr>
        <w:t> </w:t>
      </w:r>
      <w:r w:rsidR="001966AC">
        <w:rPr>
          <w:rFonts w:cs="Arial"/>
          <w:szCs w:val="24"/>
          <w:lang w:val="en-US"/>
        </w:rPr>
        <w:t xml:space="preserve">October </w:t>
      </w:r>
      <w:r w:rsidR="00E00E6B">
        <w:rPr>
          <w:rFonts w:cs="Arial"/>
          <w:szCs w:val="24"/>
          <w:lang w:val="en-US"/>
        </w:rPr>
        <w:t>1</w:t>
      </w:r>
      <w:r w:rsidR="001966AC">
        <w:rPr>
          <w:rFonts w:cs="Arial"/>
          <w:szCs w:val="24"/>
          <w:lang w:val="en-US"/>
        </w:rPr>
        <w:t>996.  He testified that he was frightened because it was the first time that he was held in a correctional cent</w:t>
      </w:r>
      <w:r w:rsidR="00E00E6B">
        <w:rPr>
          <w:rFonts w:cs="Arial"/>
          <w:szCs w:val="24"/>
          <w:lang w:val="en-US"/>
        </w:rPr>
        <w:t>re</w:t>
      </w:r>
      <w:r w:rsidR="001966AC">
        <w:rPr>
          <w:rFonts w:cs="Arial"/>
          <w:szCs w:val="24"/>
          <w:lang w:val="en-US"/>
        </w:rPr>
        <w:t xml:space="preserve">.  There were between 22 and 25 inmates in the cell, sharing one toilet.  There were fewer beds than inmates, which caused some of them to put two mattresses together on which three of them could sleep.   Their meals consisted primarily of two slices of bread, pap and coffee, which would sometimes be cold.  There was a positive note to his </w:t>
      </w:r>
      <w:r w:rsidR="00FF6CFC">
        <w:rPr>
          <w:rFonts w:cs="Arial"/>
          <w:szCs w:val="24"/>
          <w:lang w:val="en-US"/>
        </w:rPr>
        <w:t xml:space="preserve">otherwise negative </w:t>
      </w:r>
      <w:r w:rsidR="001966AC">
        <w:rPr>
          <w:rFonts w:cs="Arial"/>
          <w:szCs w:val="24"/>
          <w:lang w:val="en-US"/>
        </w:rPr>
        <w:t xml:space="preserve">experience.  He testified that, because of his experience, he knows that he should not commit offences.  </w:t>
      </w:r>
    </w:p>
    <w:p w14:paraId="6124BA68" w14:textId="7A099590" w:rsidR="00991C4B" w:rsidRDefault="00073A28" w:rsidP="00073A28">
      <w:pPr>
        <w:widowControl w:val="0"/>
        <w:tabs>
          <w:tab w:val="left" w:pos="567"/>
          <w:tab w:val="right" w:pos="8640"/>
        </w:tabs>
        <w:spacing w:after="240" w:line="276" w:lineRule="auto"/>
        <w:jc w:val="both"/>
      </w:pPr>
      <w:r>
        <w:t>[21]</w:t>
      </w:r>
      <w:r>
        <w:tab/>
      </w:r>
      <w:r w:rsidR="006524E3">
        <w:rPr>
          <w:rFonts w:cs="Arial"/>
          <w:szCs w:val="24"/>
          <w:lang w:val="en-US"/>
        </w:rPr>
        <w:t xml:space="preserve">The primary purpose of compensation is not to enrich </w:t>
      </w:r>
      <w:r w:rsidR="00C22BCA">
        <w:rPr>
          <w:rFonts w:cs="Arial"/>
          <w:szCs w:val="24"/>
          <w:lang w:val="en-US"/>
        </w:rPr>
        <w:t>the aggrieved</w:t>
      </w:r>
      <w:r w:rsidR="006524E3">
        <w:rPr>
          <w:rFonts w:cs="Arial"/>
          <w:szCs w:val="24"/>
          <w:lang w:val="en-US"/>
        </w:rPr>
        <w:t xml:space="preserve"> party but to offer him or her consolation for his or her injured feelings.  The damages awarded should accordingly be commensurate</w:t>
      </w:r>
      <w:r w:rsidR="00E5521D">
        <w:rPr>
          <w:rFonts w:cs="Arial"/>
          <w:szCs w:val="24"/>
          <w:lang w:val="en-US"/>
        </w:rPr>
        <w:t xml:space="preserve">, </w:t>
      </w:r>
      <w:r w:rsidR="006524E3">
        <w:rPr>
          <w:rFonts w:cs="Arial"/>
          <w:szCs w:val="24"/>
          <w:lang w:val="en-US"/>
        </w:rPr>
        <w:t xml:space="preserve">as far as possible, with the harm and consequences thereof.  </w:t>
      </w:r>
      <w:r w:rsidR="00C30ACD">
        <w:rPr>
          <w:rFonts w:cs="Arial"/>
          <w:szCs w:val="24"/>
          <w:lang w:val="en-US"/>
        </w:rPr>
        <w:t>Counsel referred to various authorities</w:t>
      </w:r>
      <w:r w:rsidR="003731A8">
        <w:rPr>
          <w:rStyle w:val="FootnoteReference"/>
          <w:rFonts w:cs="Arial"/>
          <w:szCs w:val="24"/>
          <w:lang w:val="en-US"/>
        </w:rPr>
        <w:footnoteReference w:id="5"/>
      </w:r>
      <w:r w:rsidR="003731A8">
        <w:rPr>
          <w:rFonts w:cs="Arial"/>
          <w:szCs w:val="24"/>
          <w:lang w:val="en-US"/>
        </w:rPr>
        <w:t xml:space="preserve"> </w:t>
      </w:r>
      <w:r w:rsidR="00D479B3">
        <w:rPr>
          <w:rFonts w:cs="Arial"/>
          <w:szCs w:val="24"/>
          <w:lang w:val="en-US"/>
        </w:rPr>
        <w:t>t</w:t>
      </w:r>
      <w:r w:rsidR="006524E3">
        <w:rPr>
          <w:rFonts w:cs="Arial"/>
          <w:szCs w:val="24"/>
          <w:lang w:val="en-US"/>
        </w:rPr>
        <w:t xml:space="preserve">o serve as a guide in the assessment </w:t>
      </w:r>
      <w:r w:rsidR="00D479B3">
        <w:rPr>
          <w:rFonts w:cs="Arial"/>
          <w:szCs w:val="24"/>
          <w:lang w:val="en-US"/>
        </w:rPr>
        <w:t>of t</w:t>
      </w:r>
      <w:r w:rsidR="006524E3">
        <w:rPr>
          <w:rFonts w:cs="Arial"/>
          <w:szCs w:val="24"/>
          <w:lang w:val="en-US"/>
        </w:rPr>
        <w:t xml:space="preserve">he quantum of the plaintiff’s damages.   I have had regard also to </w:t>
      </w:r>
      <w:r w:rsidR="006524E3" w:rsidRPr="00CF6DE4">
        <w:rPr>
          <w:rFonts w:cs="Arial"/>
          <w:i/>
          <w:iCs/>
          <w:szCs w:val="24"/>
          <w:lang w:val="en-US"/>
        </w:rPr>
        <w:t>Phungula v Minister of Police</w:t>
      </w:r>
      <w:r w:rsidR="006524E3">
        <w:rPr>
          <w:rStyle w:val="FootnoteReference"/>
          <w:rFonts w:cs="Arial"/>
          <w:i/>
          <w:iCs/>
          <w:szCs w:val="24"/>
          <w:lang w:val="en-US"/>
        </w:rPr>
        <w:footnoteReference w:id="6"/>
      </w:r>
      <w:r w:rsidR="006524E3">
        <w:rPr>
          <w:rFonts w:cs="Arial"/>
          <w:szCs w:val="24"/>
          <w:lang w:val="en-US"/>
        </w:rPr>
        <w:t xml:space="preserve"> wherein an adult male was detained for 24 days and awarded R75 000 on 8</w:t>
      </w:r>
      <w:r w:rsidR="00D90CF3">
        <w:rPr>
          <w:rFonts w:cs="Arial"/>
          <w:szCs w:val="24"/>
          <w:lang w:val="en-US"/>
        </w:rPr>
        <w:t> </w:t>
      </w:r>
      <w:r w:rsidR="006524E3">
        <w:rPr>
          <w:rFonts w:cs="Arial"/>
          <w:szCs w:val="24"/>
          <w:lang w:val="en-US"/>
        </w:rPr>
        <w:t xml:space="preserve">June 2018;  </w:t>
      </w:r>
      <w:r w:rsidR="006524E3" w:rsidRPr="007C3437">
        <w:rPr>
          <w:rFonts w:cs="Arial"/>
          <w:i/>
          <w:iCs/>
          <w:szCs w:val="24"/>
          <w:lang w:val="en-US"/>
        </w:rPr>
        <w:t>Woji v Minister of Police</w:t>
      </w:r>
      <w:r w:rsidR="006524E3">
        <w:rPr>
          <w:rStyle w:val="FootnoteReference"/>
          <w:rFonts w:cs="Arial"/>
          <w:szCs w:val="24"/>
          <w:lang w:val="en-US"/>
        </w:rPr>
        <w:footnoteReference w:id="7"/>
      </w:r>
      <w:r w:rsidR="006524E3">
        <w:rPr>
          <w:rFonts w:cs="Arial"/>
          <w:szCs w:val="24"/>
          <w:lang w:val="en-US"/>
        </w:rPr>
        <w:t xml:space="preserve"> wherein an adult male who was unlawfully detained for 13 months was awarded R500 000 on 11 September 2014;  </w:t>
      </w:r>
      <w:r w:rsidR="006524E3" w:rsidRPr="00F12D87">
        <w:rPr>
          <w:rFonts w:cs="Arial"/>
          <w:i/>
          <w:iCs/>
          <w:szCs w:val="24"/>
          <w:lang w:val="en-US"/>
        </w:rPr>
        <w:t>Alves v LOM Business Solutions (Pty) Ltd and Another</w:t>
      </w:r>
      <w:r w:rsidR="006524E3">
        <w:rPr>
          <w:rStyle w:val="FootnoteReference"/>
          <w:rFonts w:cs="Arial"/>
          <w:szCs w:val="24"/>
          <w:lang w:val="en-US"/>
        </w:rPr>
        <w:footnoteReference w:id="8"/>
      </w:r>
      <w:r w:rsidR="006524E3">
        <w:rPr>
          <w:rFonts w:cs="Arial"/>
          <w:szCs w:val="24"/>
          <w:lang w:val="en-US"/>
        </w:rPr>
        <w:t xml:space="preserve"> wherein a 34</w:t>
      </w:r>
      <w:r w:rsidR="00C9240E">
        <w:rPr>
          <w:rFonts w:cs="Arial"/>
          <w:szCs w:val="24"/>
          <w:lang w:val="en-US"/>
        </w:rPr>
        <w:t>-</w:t>
      </w:r>
      <w:r w:rsidR="006524E3">
        <w:rPr>
          <w:rFonts w:cs="Arial"/>
          <w:szCs w:val="24"/>
          <w:lang w:val="en-US"/>
        </w:rPr>
        <w:t>year</w:t>
      </w:r>
      <w:r w:rsidR="00C9240E">
        <w:rPr>
          <w:rFonts w:cs="Arial"/>
          <w:szCs w:val="24"/>
          <w:lang w:val="en-US"/>
        </w:rPr>
        <w:t>-</w:t>
      </w:r>
      <w:r w:rsidR="006524E3">
        <w:rPr>
          <w:rFonts w:cs="Arial"/>
          <w:szCs w:val="24"/>
          <w:lang w:val="en-US"/>
        </w:rPr>
        <w:t xml:space="preserve">old fitter and turner </w:t>
      </w:r>
      <w:r w:rsidR="00C9240E">
        <w:rPr>
          <w:rFonts w:cs="Arial"/>
          <w:szCs w:val="24"/>
          <w:lang w:val="en-US"/>
        </w:rPr>
        <w:t xml:space="preserve">who </w:t>
      </w:r>
      <w:r w:rsidR="006524E3">
        <w:rPr>
          <w:rFonts w:cs="Arial"/>
          <w:szCs w:val="24"/>
          <w:lang w:val="en-US"/>
        </w:rPr>
        <w:t>was in custody for between 1</w:t>
      </w:r>
      <w:r w:rsidR="00667827">
        <w:rPr>
          <w:rFonts w:cs="Arial"/>
          <w:szCs w:val="24"/>
          <w:lang w:val="en-US"/>
        </w:rPr>
        <w:t>2</w:t>
      </w:r>
      <w:r w:rsidR="006524E3">
        <w:rPr>
          <w:rFonts w:cs="Arial"/>
          <w:szCs w:val="24"/>
          <w:lang w:val="en-US"/>
        </w:rPr>
        <w:t xml:space="preserve"> and 15 months longer than he should have been because the Department of Justice and Constitutional Development failed to ensure that the record of proceedings required for his appeal was prepared within in reasonable time was awarded R300 000 on 9 September  2011;  </w:t>
      </w:r>
      <w:r w:rsidR="00D90CF3" w:rsidRPr="00D90CF3">
        <w:rPr>
          <w:rFonts w:cs="Arial"/>
          <w:i/>
          <w:iCs/>
          <w:szCs w:val="24"/>
          <w:lang w:val="en-US"/>
        </w:rPr>
        <w:t>R</w:t>
      </w:r>
      <w:r w:rsidR="006524E3">
        <w:rPr>
          <w:rFonts w:cs="Arial"/>
          <w:i/>
          <w:iCs/>
          <w:szCs w:val="24"/>
          <w:lang w:val="en-US"/>
        </w:rPr>
        <w:t xml:space="preserve">ahim and 14 Others vs Minister of </w:t>
      </w:r>
      <w:r w:rsidR="006524E3">
        <w:rPr>
          <w:rFonts w:cs="Arial"/>
          <w:i/>
          <w:iCs/>
          <w:szCs w:val="24"/>
          <w:lang w:val="en-US"/>
        </w:rPr>
        <w:lastRenderedPageBreak/>
        <w:t>Home Affairs</w:t>
      </w:r>
      <w:r w:rsidR="006524E3">
        <w:rPr>
          <w:rStyle w:val="FootnoteReference"/>
          <w:rFonts w:cs="Arial"/>
          <w:i/>
          <w:iCs/>
          <w:szCs w:val="24"/>
          <w:lang w:val="en-US"/>
        </w:rPr>
        <w:footnoteReference w:id="9"/>
      </w:r>
      <w:r w:rsidR="006524E3">
        <w:rPr>
          <w:rFonts w:cs="Arial"/>
          <w:szCs w:val="24"/>
          <w:lang w:val="en-US"/>
        </w:rPr>
        <w:t xml:space="preserve"> wherein one plaintiff </w:t>
      </w:r>
      <w:r w:rsidR="00146EC3">
        <w:rPr>
          <w:rFonts w:cs="Arial"/>
          <w:szCs w:val="24"/>
          <w:lang w:val="en-US"/>
        </w:rPr>
        <w:t xml:space="preserve">who </w:t>
      </w:r>
      <w:r w:rsidR="006524E3">
        <w:rPr>
          <w:rFonts w:cs="Arial"/>
          <w:szCs w:val="24"/>
          <w:lang w:val="en-US"/>
        </w:rPr>
        <w:t>was in detention for 30 days was awarded R20 000 and another who was in detention for 35 days was awarded R25 000 on 29</w:t>
      </w:r>
      <w:r w:rsidR="00146EC3">
        <w:rPr>
          <w:rFonts w:cs="Arial"/>
          <w:szCs w:val="24"/>
          <w:lang w:val="en-US"/>
        </w:rPr>
        <w:t> </w:t>
      </w:r>
      <w:r w:rsidR="006524E3">
        <w:rPr>
          <w:rFonts w:cs="Arial"/>
          <w:szCs w:val="24"/>
          <w:lang w:val="en-US"/>
        </w:rPr>
        <w:t xml:space="preserve">May 2015;  and </w:t>
      </w:r>
      <w:r w:rsidR="006524E3" w:rsidRPr="00FA19DE">
        <w:rPr>
          <w:rFonts w:cs="Arial"/>
          <w:i/>
          <w:iCs/>
          <w:szCs w:val="24"/>
          <w:lang w:val="en-US"/>
        </w:rPr>
        <w:t>Richards v Minister of Police</w:t>
      </w:r>
      <w:r w:rsidR="006524E3">
        <w:rPr>
          <w:rStyle w:val="FootnoteReference"/>
          <w:rFonts w:cs="Arial"/>
          <w:szCs w:val="24"/>
          <w:lang w:val="en-US"/>
        </w:rPr>
        <w:footnoteReference w:id="10"/>
      </w:r>
      <w:r w:rsidR="006524E3">
        <w:rPr>
          <w:rFonts w:cs="Arial"/>
          <w:i/>
          <w:iCs/>
          <w:szCs w:val="24"/>
          <w:lang w:val="en-US"/>
        </w:rPr>
        <w:t xml:space="preserve"> </w:t>
      </w:r>
      <w:r w:rsidR="00CA4CBF">
        <w:rPr>
          <w:rFonts w:cs="Arial"/>
          <w:szCs w:val="24"/>
          <w:lang w:val="en-US"/>
        </w:rPr>
        <w:t xml:space="preserve">wherein </w:t>
      </w:r>
      <w:r w:rsidR="0062021E">
        <w:rPr>
          <w:rFonts w:cs="Arial"/>
          <w:szCs w:val="24"/>
          <w:lang w:val="en-US"/>
        </w:rPr>
        <w:t>a</w:t>
      </w:r>
      <w:r w:rsidR="006524E3">
        <w:rPr>
          <w:rFonts w:cs="Arial"/>
          <w:szCs w:val="24"/>
          <w:lang w:val="en-US"/>
        </w:rPr>
        <w:t xml:space="preserve"> 23</w:t>
      </w:r>
      <w:r w:rsidR="00667827">
        <w:rPr>
          <w:rFonts w:cs="Arial"/>
          <w:szCs w:val="24"/>
          <w:lang w:val="en-US"/>
        </w:rPr>
        <w:t>-</w:t>
      </w:r>
      <w:r w:rsidR="006524E3">
        <w:rPr>
          <w:rFonts w:cs="Arial"/>
          <w:szCs w:val="24"/>
          <w:lang w:val="en-US"/>
        </w:rPr>
        <w:t>year</w:t>
      </w:r>
      <w:r w:rsidR="00667827">
        <w:rPr>
          <w:rFonts w:cs="Arial"/>
          <w:szCs w:val="24"/>
          <w:lang w:val="en-US"/>
        </w:rPr>
        <w:t>-</w:t>
      </w:r>
      <w:r w:rsidR="006524E3">
        <w:rPr>
          <w:rFonts w:cs="Arial"/>
          <w:szCs w:val="24"/>
          <w:lang w:val="en-US"/>
        </w:rPr>
        <w:t>old who was 19</w:t>
      </w:r>
      <w:r w:rsidR="00CA4CBF">
        <w:rPr>
          <w:rFonts w:cs="Arial"/>
          <w:szCs w:val="24"/>
          <w:lang w:val="en-US"/>
        </w:rPr>
        <w:t> </w:t>
      </w:r>
      <w:r w:rsidR="006524E3">
        <w:rPr>
          <w:rFonts w:cs="Arial"/>
          <w:szCs w:val="24"/>
          <w:lang w:val="en-US"/>
        </w:rPr>
        <w:t xml:space="preserve">years old when he was exposed to jail for the first time and detained for 115 days was granted R500 000 on 23 October 2014 for his arrest and detention.  </w:t>
      </w:r>
      <w:r w:rsidR="00667827">
        <w:rPr>
          <w:rFonts w:cs="Arial"/>
          <w:szCs w:val="24"/>
          <w:lang w:val="en-US"/>
        </w:rPr>
        <w:t xml:space="preserve">I have taken into account the present value of the above awards, using the Schedule for </w:t>
      </w:r>
      <w:r w:rsidR="008E51D3">
        <w:rPr>
          <w:rFonts w:cs="Arial"/>
          <w:szCs w:val="24"/>
          <w:lang w:val="en-US"/>
        </w:rPr>
        <w:t xml:space="preserve">updating previous comparable awards as read with the Annual CPI Tables in Part II of </w:t>
      </w:r>
      <w:r w:rsidR="000E7550">
        <w:rPr>
          <w:rFonts w:cs="Arial"/>
          <w:i/>
          <w:iCs/>
          <w:szCs w:val="24"/>
          <w:lang w:val="en-US"/>
        </w:rPr>
        <w:t xml:space="preserve">The </w:t>
      </w:r>
      <w:r w:rsidR="00BD5D1B">
        <w:rPr>
          <w:rFonts w:cs="Arial"/>
          <w:i/>
          <w:iCs/>
          <w:szCs w:val="24"/>
          <w:lang w:val="en-US"/>
        </w:rPr>
        <w:t>Q</w:t>
      </w:r>
      <w:r w:rsidR="000E5F7A" w:rsidRPr="00A35F09">
        <w:rPr>
          <w:rFonts w:cs="Arial"/>
          <w:i/>
          <w:iCs/>
          <w:szCs w:val="24"/>
          <w:lang w:val="en-US"/>
        </w:rPr>
        <w:t>uantum of Damages in bodily and fatal injury cases</w:t>
      </w:r>
      <w:r w:rsidR="000E5F7A">
        <w:rPr>
          <w:rFonts w:cs="Arial"/>
          <w:szCs w:val="24"/>
          <w:lang w:val="en-US"/>
        </w:rPr>
        <w:t xml:space="preserve">.  </w:t>
      </w:r>
    </w:p>
    <w:p w14:paraId="77EC0001" w14:textId="5573037D" w:rsidR="00DE0294" w:rsidRDefault="00073A28" w:rsidP="00073A28">
      <w:pPr>
        <w:widowControl w:val="0"/>
        <w:tabs>
          <w:tab w:val="left" w:pos="567"/>
          <w:tab w:val="right" w:pos="8640"/>
        </w:tabs>
        <w:spacing w:before="240" w:after="240" w:line="276" w:lineRule="auto"/>
        <w:jc w:val="both"/>
      </w:pPr>
      <w:r>
        <w:t>[22]</w:t>
      </w:r>
      <w:r>
        <w:tab/>
      </w:r>
      <w:r w:rsidR="0031502F">
        <w:rPr>
          <w:rFonts w:cs="Arial"/>
          <w:szCs w:val="24"/>
          <w:lang w:val="en-US"/>
        </w:rPr>
        <w:t xml:space="preserve">Regard being had to the above authorities, the circumstances under which the plaintiff was detained, that he was deprived of his freedom without just cause and he was in custody for 39 days, I am of the view that an appropriate award of damages would be R400 000.  </w:t>
      </w:r>
    </w:p>
    <w:p w14:paraId="2EABD61F" w14:textId="34CA718D" w:rsidR="00DE0294" w:rsidRPr="00CE7FD1" w:rsidRDefault="00073A28" w:rsidP="00073A28">
      <w:pPr>
        <w:widowControl w:val="0"/>
        <w:tabs>
          <w:tab w:val="left" w:pos="567"/>
          <w:tab w:val="right" w:pos="8640"/>
        </w:tabs>
        <w:spacing w:before="240" w:after="240" w:line="276" w:lineRule="auto"/>
        <w:jc w:val="both"/>
      </w:pPr>
      <w:r w:rsidRPr="00CE7FD1">
        <w:t>[23]</w:t>
      </w:r>
      <w:r w:rsidRPr="00CE7FD1">
        <w:tab/>
      </w:r>
      <w:r w:rsidR="00A57959">
        <w:rPr>
          <w:rFonts w:cs="Arial"/>
          <w:szCs w:val="24"/>
          <w:lang w:val="en-US"/>
        </w:rPr>
        <w:t>The plaintiff was successful</w:t>
      </w:r>
      <w:r w:rsidR="00476B3E">
        <w:rPr>
          <w:rFonts w:cs="Arial"/>
          <w:szCs w:val="24"/>
          <w:lang w:val="en-US"/>
        </w:rPr>
        <w:t xml:space="preserve"> in his claim against the defendant</w:t>
      </w:r>
      <w:r w:rsidR="00A57959">
        <w:rPr>
          <w:rFonts w:cs="Arial"/>
          <w:szCs w:val="24"/>
          <w:lang w:val="en-US"/>
        </w:rPr>
        <w:t xml:space="preserve">.  He is accordingly entitled to the costs of the action.  A lot of time was wasted in the presentation of the evidence.  The evidence of warrant officer Mketo, the plaintiff and Mr Pretorius was </w:t>
      </w:r>
      <w:r w:rsidR="00476B3E">
        <w:rPr>
          <w:rFonts w:cs="Arial"/>
          <w:szCs w:val="24"/>
          <w:lang w:val="en-US"/>
        </w:rPr>
        <w:t xml:space="preserve">concluded at 14h40 </w:t>
      </w:r>
      <w:r w:rsidR="002D7EA0">
        <w:rPr>
          <w:rFonts w:cs="Arial"/>
          <w:szCs w:val="24"/>
          <w:lang w:val="en-US"/>
        </w:rPr>
        <w:t xml:space="preserve">on the first day of the trial on </w:t>
      </w:r>
      <w:r w:rsidR="00A57959">
        <w:rPr>
          <w:rFonts w:cs="Arial"/>
          <w:szCs w:val="24"/>
          <w:lang w:val="en-US"/>
        </w:rPr>
        <w:t xml:space="preserve">25 May 2023 </w:t>
      </w:r>
      <w:r w:rsidR="002D7EA0">
        <w:rPr>
          <w:rFonts w:cs="Arial"/>
          <w:szCs w:val="24"/>
          <w:lang w:val="en-US"/>
        </w:rPr>
        <w:t xml:space="preserve">when </w:t>
      </w:r>
      <w:r w:rsidR="00A57959">
        <w:rPr>
          <w:rFonts w:cs="Arial"/>
          <w:szCs w:val="24"/>
          <w:lang w:val="en-US"/>
        </w:rPr>
        <w:t>the case was postponed to 24 July 2023</w:t>
      </w:r>
      <w:r w:rsidR="00360D36">
        <w:rPr>
          <w:rFonts w:cs="Arial"/>
          <w:szCs w:val="24"/>
          <w:lang w:val="en-US"/>
        </w:rPr>
        <w:t xml:space="preserve">, for Ms </w:t>
      </w:r>
      <w:r w:rsidR="00A57959">
        <w:rPr>
          <w:rFonts w:cs="Arial"/>
          <w:szCs w:val="24"/>
          <w:lang w:val="en-US"/>
        </w:rPr>
        <w:t xml:space="preserve">Manahla </w:t>
      </w:r>
      <w:r w:rsidR="00360D36">
        <w:rPr>
          <w:rFonts w:cs="Arial"/>
          <w:szCs w:val="24"/>
          <w:lang w:val="en-US"/>
        </w:rPr>
        <w:t xml:space="preserve">to </w:t>
      </w:r>
      <w:r w:rsidR="00A57959">
        <w:rPr>
          <w:rFonts w:cs="Arial"/>
          <w:szCs w:val="24"/>
          <w:lang w:val="en-US"/>
        </w:rPr>
        <w:t>testif</w:t>
      </w:r>
      <w:r w:rsidR="00360D36">
        <w:rPr>
          <w:rFonts w:cs="Arial"/>
          <w:szCs w:val="24"/>
          <w:lang w:val="en-US"/>
        </w:rPr>
        <w:t xml:space="preserve">y.  </w:t>
      </w:r>
      <w:r w:rsidR="00DD2061">
        <w:rPr>
          <w:rFonts w:cs="Arial"/>
          <w:szCs w:val="24"/>
          <w:lang w:val="en-US"/>
        </w:rPr>
        <w:t xml:space="preserve">She testified </w:t>
      </w:r>
      <w:r w:rsidR="00A57959">
        <w:rPr>
          <w:rFonts w:cs="Arial"/>
          <w:szCs w:val="24"/>
          <w:lang w:val="en-US"/>
        </w:rPr>
        <w:t xml:space="preserve">for not more than </w:t>
      </w:r>
      <w:r w:rsidR="00DD2061">
        <w:rPr>
          <w:rFonts w:cs="Arial"/>
          <w:szCs w:val="24"/>
          <w:lang w:val="en-US"/>
        </w:rPr>
        <w:t xml:space="preserve">an </w:t>
      </w:r>
      <w:r w:rsidR="00A57959">
        <w:rPr>
          <w:rFonts w:cs="Arial"/>
          <w:szCs w:val="24"/>
          <w:lang w:val="en-US"/>
        </w:rPr>
        <w:t>hour</w:t>
      </w:r>
      <w:r w:rsidR="00DD2061">
        <w:rPr>
          <w:rFonts w:cs="Arial"/>
          <w:szCs w:val="24"/>
          <w:lang w:val="en-US"/>
        </w:rPr>
        <w:t xml:space="preserve"> on 24 July 2023</w:t>
      </w:r>
      <w:r w:rsidR="00A57959">
        <w:rPr>
          <w:rFonts w:cs="Arial"/>
          <w:szCs w:val="24"/>
          <w:lang w:val="en-US"/>
        </w:rPr>
        <w:t>.  The parties were not ready to make submissions at the conclusion of Ms M</w:t>
      </w:r>
      <w:r w:rsidR="003D52F0">
        <w:rPr>
          <w:rFonts w:cs="Arial"/>
          <w:szCs w:val="24"/>
          <w:lang w:val="en-US"/>
        </w:rPr>
        <w:t>a</w:t>
      </w:r>
      <w:r w:rsidR="00A57959">
        <w:rPr>
          <w:rFonts w:cs="Arial"/>
          <w:szCs w:val="24"/>
          <w:lang w:val="en-US"/>
        </w:rPr>
        <w:t xml:space="preserve">nahla’s evidence and requested that they do </w:t>
      </w:r>
      <w:r w:rsidR="00DD2061">
        <w:rPr>
          <w:rFonts w:cs="Arial"/>
          <w:szCs w:val="24"/>
          <w:lang w:val="en-US"/>
        </w:rPr>
        <w:t>so on</w:t>
      </w:r>
      <w:r w:rsidR="00A57959">
        <w:rPr>
          <w:rFonts w:cs="Arial"/>
          <w:szCs w:val="24"/>
          <w:lang w:val="en-US"/>
        </w:rPr>
        <w:t xml:space="preserve"> the following day, </w:t>
      </w:r>
      <w:r w:rsidR="00111B75">
        <w:rPr>
          <w:rFonts w:cs="Arial"/>
          <w:szCs w:val="24"/>
          <w:lang w:val="en-US"/>
        </w:rPr>
        <w:t>when</w:t>
      </w:r>
      <w:r w:rsidR="00A57959">
        <w:rPr>
          <w:rFonts w:cs="Arial"/>
          <w:szCs w:val="24"/>
          <w:lang w:val="en-US"/>
        </w:rPr>
        <w:t xml:space="preserve"> the proceeding</w:t>
      </w:r>
      <w:r w:rsidR="00DD2061">
        <w:rPr>
          <w:rFonts w:cs="Arial"/>
          <w:szCs w:val="24"/>
          <w:lang w:val="en-US"/>
        </w:rPr>
        <w:t>s</w:t>
      </w:r>
      <w:r w:rsidR="00A57959">
        <w:rPr>
          <w:rFonts w:cs="Arial"/>
          <w:szCs w:val="24"/>
          <w:lang w:val="en-US"/>
        </w:rPr>
        <w:t xml:space="preserve"> lasted for </w:t>
      </w:r>
      <w:r w:rsidR="007F5383">
        <w:rPr>
          <w:rFonts w:cs="Arial"/>
          <w:szCs w:val="24"/>
          <w:lang w:val="en-US"/>
        </w:rPr>
        <w:t>n</w:t>
      </w:r>
      <w:r w:rsidR="00A57959">
        <w:rPr>
          <w:rFonts w:cs="Arial"/>
          <w:szCs w:val="24"/>
          <w:lang w:val="en-US"/>
        </w:rPr>
        <w:t>o more than an hour and a half.  What the parties did over th</w:t>
      </w:r>
      <w:r w:rsidR="00111B75">
        <w:rPr>
          <w:rFonts w:cs="Arial"/>
          <w:szCs w:val="24"/>
          <w:lang w:val="en-US"/>
        </w:rPr>
        <w:t>ree</w:t>
      </w:r>
      <w:r w:rsidR="00A57959">
        <w:rPr>
          <w:rFonts w:cs="Arial"/>
          <w:szCs w:val="24"/>
          <w:lang w:val="en-US"/>
        </w:rPr>
        <w:t xml:space="preserve"> </w:t>
      </w:r>
      <w:r w:rsidR="007F5383">
        <w:rPr>
          <w:rFonts w:cs="Arial"/>
          <w:szCs w:val="24"/>
          <w:lang w:val="en-US"/>
        </w:rPr>
        <w:t>days</w:t>
      </w:r>
      <w:r w:rsidR="00A57959">
        <w:rPr>
          <w:rFonts w:cs="Arial"/>
          <w:szCs w:val="24"/>
          <w:lang w:val="en-US"/>
        </w:rPr>
        <w:t xml:space="preserve"> could easily have been done in </w:t>
      </w:r>
      <w:r w:rsidR="00111B75">
        <w:rPr>
          <w:rFonts w:cs="Arial"/>
          <w:szCs w:val="24"/>
          <w:lang w:val="en-US"/>
        </w:rPr>
        <w:t xml:space="preserve">two </w:t>
      </w:r>
      <w:r w:rsidR="00A57959">
        <w:rPr>
          <w:rFonts w:cs="Arial"/>
          <w:szCs w:val="24"/>
          <w:lang w:val="en-US"/>
        </w:rPr>
        <w:t>day</w:t>
      </w:r>
      <w:r w:rsidR="00111B75">
        <w:rPr>
          <w:rFonts w:cs="Arial"/>
          <w:szCs w:val="24"/>
          <w:lang w:val="en-US"/>
        </w:rPr>
        <w:t>s</w:t>
      </w:r>
      <w:r w:rsidR="00A57959">
        <w:rPr>
          <w:rFonts w:cs="Arial"/>
          <w:szCs w:val="24"/>
          <w:lang w:val="en-US"/>
        </w:rPr>
        <w:t xml:space="preserve">.  </w:t>
      </w:r>
      <w:r w:rsidR="003C2887">
        <w:rPr>
          <w:rFonts w:cs="Arial"/>
          <w:szCs w:val="24"/>
          <w:lang w:val="en-US"/>
        </w:rPr>
        <w:t>T</w:t>
      </w:r>
      <w:r w:rsidR="00A57959">
        <w:rPr>
          <w:rFonts w:cs="Arial"/>
          <w:szCs w:val="24"/>
          <w:lang w:val="en-US"/>
        </w:rPr>
        <w:t xml:space="preserve">he hearing should </w:t>
      </w:r>
      <w:r w:rsidR="003C2887">
        <w:rPr>
          <w:rFonts w:cs="Arial"/>
          <w:szCs w:val="24"/>
          <w:lang w:val="en-US"/>
        </w:rPr>
        <w:t xml:space="preserve">accordingly </w:t>
      </w:r>
      <w:r w:rsidR="00A57959">
        <w:rPr>
          <w:rFonts w:cs="Arial"/>
          <w:szCs w:val="24"/>
          <w:lang w:val="en-US"/>
        </w:rPr>
        <w:t xml:space="preserve">have lasted no longer than two days, inclusive of the presentation of oral submissions.  </w:t>
      </w:r>
    </w:p>
    <w:p w14:paraId="1FD6C4FF" w14:textId="3F3D7BFD" w:rsidR="005C144D" w:rsidRPr="00CC230C" w:rsidRDefault="00073A28" w:rsidP="00073A28">
      <w:pPr>
        <w:widowControl w:val="0"/>
        <w:tabs>
          <w:tab w:val="left" w:pos="567"/>
          <w:tab w:val="right" w:pos="8640"/>
        </w:tabs>
        <w:spacing w:before="240" w:after="240" w:line="276" w:lineRule="auto"/>
        <w:jc w:val="both"/>
      </w:pPr>
      <w:r w:rsidRPr="00CC230C">
        <w:t>[24]</w:t>
      </w:r>
      <w:r w:rsidRPr="00CC230C">
        <w:tab/>
      </w:r>
      <w:r w:rsidR="00CE7FD1">
        <w:rPr>
          <w:rFonts w:cs="Arial"/>
          <w:szCs w:val="24"/>
          <w:lang w:val="en-US"/>
        </w:rPr>
        <w:t xml:space="preserve">In the </w:t>
      </w:r>
      <w:r w:rsidR="005C144D" w:rsidRPr="00CC230C">
        <w:rPr>
          <w:rFonts w:cs="Arial"/>
          <w:szCs w:val="24"/>
          <w:lang w:val="en-US"/>
        </w:rPr>
        <w:t>result, it is ordered that:</w:t>
      </w:r>
    </w:p>
    <w:p w14:paraId="0D502981" w14:textId="45D639D6" w:rsidR="005C144D" w:rsidRPr="00962A5F" w:rsidRDefault="005C144D" w:rsidP="0078335B">
      <w:pPr>
        <w:ind w:left="1134" w:hanging="567"/>
        <w:jc w:val="both"/>
        <w:rPr>
          <w:rFonts w:cs="Arial"/>
          <w:szCs w:val="24"/>
          <w:lang w:val="en-US"/>
        </w:rPr>
      </w:pPr>
      <w:r w:rsidRPr="00962A5F">
        <w:rPr>
          <w:rFonts w:cs="Arial"/>
          <w:szCs w:val="24"/>
          <w:lang w:val="en-US"/>
        </w:rPr>
        <w:t>1.</w:t>
      </w:r>
      <w:r w:rsidRPr="00962A5F">
        <w:rPr>
          <w:rFonts w:cs="Arial"/>
          <w:szCs w:val="24"/>
          <w:lang w:val="en-US"/>
        </w:rPr>
        <w:tab/>
        <w:t>The plaintiff’s detention</w:t>
      </w:r>
      <w:r w:rsidR="00AF1091">
        <w:rPr>
          <w:rFonts w:cs="Arial"/>
          <w:szCs w:val="24"/>
          <w:lang w:val="en-US"/>
        </w:rPr>
        <w:t>,</w:t>
      </w:r>
      <w:r w:rsidRPr="00962A5F">
        <w:rPr>
          <w:rFonts w:cs="Arial"/>
          <w:szCs w:val="24"/>
          <w:lang w:val="en-US"/>
        </w:rPr>
        <w:t xml:space="preserve"> caused by members of the South African Police Service, from 6 September 2021 to 15 October 2021 was unlawful.</w:t>
      </w:r>
    </w:p>
    <w:p w14:paraId="5754FC8C" w14:textId="77777777" w:rsidR="005C144D" w:rsidRPr="00962A5F" w:rsidRDefault="005C144D" w:rsidP="0078335B">
      <w:pPr>
        <w:pStyle w:val="ListParagraph"/>
        <w:ind w:left="1134" w:hanging="567"/>
        <w:jc w:val="both"/>
        <w:rPr>
          <w:rFonts w:ascii="Arial" w:hAnsi="Arial" w:cs="Arial"/>
          <w:sz w:val="24"/>
          <w:szCs w:val="24"/>
          <w:lang w:val="en-US"/>
        </w:rPr>
      </w:pPr>
      <w:r w:rsidRPr="00962A5F">
        <w:rPr>
          <w:rFonts w:ascii="Arial" w:hAnsi="Arial" w:cs="Arial"/>
          <w:sz w:val="24"/>
          <w:szCs w:val="24"/>
          <w:lang w:val="en-US"/>
        </w:rPr>
        <w:t>2.</w:t>
      </w:r>
      <w:r w:rsidRPr="00962A5F">
        <w:rPr>
          <w:rFonts w:ascii="Arial" w:hAnsi="Arial" w:cs="Arial"/>
          <w:sz w:val="24"/>
          <w:szCs w:val="24"/>
          <w:lang w:val="en-US"/>
        </w:rPr>
        <w:tab/>
        <w:t>The defendant shall pay the plaintiff:</w:t>
      </w:r>
    </w:p>
    <w:p w14:paraId="7E36AD46" w14:textId="77777777" w:rsidR="00031332" w:rsidRDefault="005C144D" w:rsidP="0078335B">
      <w:pPr>
        <w:pStyle w:val="ListParagraph"/>
        <w:ind w:left="1701" w:hanging="567"/>
        <w:jc w:val="both"/>
        <w:rPr>
          <w:rFonts w:ascii="Arial" w:hAnsi="Arial" w:cs="Arial"/>
          <w:sz w:val="24"/>
          <w:szCs w:val="24"/>
          <w:lang w:val="en-US"/>
        </w:rPr>
      </w:pPr>
      <w:r w:rsidRPr="00962A5F">
        <w:rPr>
          <w:rFonts w:ascii="Arial" w:hAnsi="Arial" w:cs="Arial"/>
          <w:sz w:val="24"/>
          <w:szCs w:val="24"/>
          <w:lang w:val="en-US"/>
        </w:rPr>
        <w:t>2.1</w:t>
      </w:r>
      <w:r w:rsidRPr="00962A5F">
        <w:rPr>
          <w:rFonts w:ascii="Arial" w:hAnsi="Arial" w:cs="Arial"/>
          <w:sz w:val="24"/>
          <w:szCs w:val="24"/>
          <w:lang w:val="en-US"/>
        </w:rPr>
        <w:tab/>
        <w:t>R400 000 as damages for his unlawful detention;</w:t>
      </w:r>
    </w:p>
    <w:p w14:paraId="368D7C74" w14:textId="77777777" w:rsidR="0078335B" w:rsidRDefault="0078335B" w:rsidP="0078335B">
      <w:pPr>
        <w:pStyle w:val="ListParagraph"/>
        <w:ind w:left="1701" w:hanging="567"/>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5C144D" w:rsidRPr="00031332">
        <w:rPr>
          <w:rFonts w:ascii="Arial" w:hAnsi="Arial" w:cs="Arial"/>
          <w:sz w:val="24"/>
          <w:szCs w:val="24"/>
          <w:lang w:val="en-US"/>
        </w:rPr>
        <w:t xml:space="preserve">interest on R400 000 at the legal rate from the date of judgment </w:t>
      </w:r>
      <w:r w:rsidR="0067405F" w:rsidRPr="00031332">
        <w:rPr>
          <w:rFonts w:ascii="Arial" w:hAnsi="Arial" w:cs="Arial"/>
          <w:sz w:val="24"/>
          <w:szCs w:val="24"/>
          <w:lang w:val="en-US"/>
        </w:rPr>
        <w:t>t</w:t>
      </w:r>
      <w:r w:rsidR="005C144D" w:rsidRPr="00031332">
        <w:rPr>
          <w:rFonts w:ascii="Arial" w:hAnsi="Arial" w:cs="Arial"/>
          <w:sz w:val="24"/>
          <w:szCs w:val="24"/>
          <w:lang w:val="en-US"/>
        </w:rPr>
        <w:t>o date of payment;</w:t>
      </w:r>
    </w:p>
    <w:p w14:paraId="5812DBA1" w14:textId="26160A15" w:rsidR="005C144D" w:rsidRPr="0078335B" w:rsidRDefault="005C144D" w:rsidP="0078335B">
      <w:pPr>
        <w:pStyle w:val="ListParagraph"/>
        <w:ind w:left="1701" w:hanging="567"/>
        <w:jc w:val="both"/>
        <w:rPr>
          <w:rFonts w:ascii="Arial" w:hAnsi="Arial" w:cs="Arial"/>
          <w:sz w:val="24"/>
          <w:szCs w:val="24"/>
          <w:lang w:val="en-US"/>
        </w:rPr>
      </w:pPr>
      <w:r w:rsidRPr="0078335B">
        <w:rPr>
          <w:rFonts w:ascii="Arial" w:hAnsi="Arial" w:cs="Arial"/>
          <w:sz w:val="24"/>
          <w:szCs w:val="24"/>
          <w:lang w:val="en-US"/>
        </w:rPr>
        <w:t xml:space="preserve">2.3 </w:t>
      </w:r>
      <w:r w:rsidRPr="0078335B">
        <w:rPr>
          <w:rFonts w:ascii="Arial" w:hAnsi="Arial" w:cs="Arial"/>
          <w:sz w:val="24"/>
          <w:szCs w:val="24"/>
          <w:lang w:val="en-US"/>
        </w:rPr>
        <w:tab/>
        <w:t>costs of the action, such costs shall be limited, insofar as appearances are concerned, to two days.</w:t>
      </w:r>
    </w:p>
    <w:p w14:paraId="04F3DC47" w14:textId="6E1E6A09" w:rsidR="00DE0294" w:rsidRDefault="00DE0294" w:rsidP="0067405F">
      <w:pPr>
        <w:widowControl w:val="0"/>
        <w:tabs>
          <w:tab w:val="right" w:pos="8640"/>
        </w:tabs>
        <w:spacing w:before="240" w:after="240" w:line="276" w:lineRule="auto"/>
        <w:jc w:val="both"/>
      </w:pPr>
    </w:p>
    <w:p w14:paraId="7769D220" w14:textId="77777777" w:rsidR="00DE0294" w:rsidRDefault="00DE0294" w:rsidP="0067405F">
      <w:pPr>
        <w:widowControl w:val="0"/>
        <w:tabs>
          <w:tab w:val="right" w:pos="8640"/>
        </w:tabs>
        <w:spacing w:before="240" w:after="240" w:line="276" w:lineRule="auto"/>
        <w:jc w:val="both"/>
      </w:pPr>
    </w:p>
    <w:p w14:paraId="1688AE1C" w14:textId="77777777" w:rsidR="00D761A9" w:rsidRDefault="00D761A9" w:rsidP="00134851">
      <w:pPr>
        <w:pStyle w:val="ListParagraph"/>
        <w:tabs>
          <w:tab w:val="num" w:pos="567"/>
        </w:tabs>
        <w:ind w:left="567" w:hanging="567"/>
        <w:rPr>
          <w:rFonts w:ascii="Arial" w:hAnsi="Arial" w:cs="Arial"/>
          <w:sz w:val="24"/>
          <w:szCs w:val="24"/>
        </w:rPr>
      </w:pPr>
    </w:p>
    <w:p w14:paraId="779AC4B0" w14:textId="77777777" w:rsidR="00BD5D1B" w:rsidRDefault="00BD5D1B" w:rsidP="00134851">
      <w:pPr>
        <w:pStyle w:val="ListParagraph"/>
        <w:tabs>
          <w:tab w:val="num" w:pos="567"/>
        </w:tabs>
        <w:ind w:left="567" w:hanging="567"/>
        <w:rPr>
          <w:rFonts w:ascii="Arial" w:hAnsi="Arial" w:cs="Arial"/>
          <w:sz w:val="24"/>
          <w:szCs w:val="24"/>
        </w:rPr>
      </w:pPr>
    </w:p>
    <w:p w14:paraId="37E37A4F" w14:textId="77777777" w:rsidR="00BD5D1B" w:rsidRDefault="00BD5D1B" w:rsidP="00134851">
      <w:pPr>
        <w:pStyle w:val="ListParagraph"/>
        <w:tabs>
          <w:tab w:val="num" w:pos="567"/>
        </w:tabs>
        <w:ind w:left="567" w:hanging="567"/>
        <w:rPr>
          <w:rFonts w:ascii="Arial" w:hAnsi="Arial" w:cs="Arial"/>
          <w:sz w:val="24"/>
          <w:szCs w:val="24"/>
        </w:rPr>
      </w:pPr>
    </w:p>
    <w:p w14:paraId="24B43633" w14:textId="77777777" w:rsidR="00BC1C32" w:rsidRPr="00BC1C32" w:rsidRDefault="00BC1C32" w:rsidP="00BC1C32">
      <w:pPr>
        <w:widowControl w:val="0"/>
        <w:tabs>
          <w:tab w:val="num" w:pos="567"/>
          <w:tab w:val="left" w:pos="4536"/>
          <w:tab w:val="right" w:pos="8640"/>
          <w:tab w:val="right" w:pos="9781"/>
        </w:tabs>
        <w:spacing w:line="360" w:lineRule="auto"/>
        <w:ind w:left="567" w:hanging="567"/>
        <w:jc w:val="both"/>
        <w:rPr>
          <w:rFonts w:cs="Arial"/>
          <w:szCs w:val="24"/>
        </w:rPr>
      </w:pPr>
      <w:r w:rsidRPr="00BC1C32">
        <w:rPr>
          <w:rFonts w:cs="Arial"/>
          <w:szCs w:val="24"/>
        </w:rPr>
        <w:t>___________________</w:t>
      </w:r>
    </w:p>
    <w:p w14:paraId="308FFB53" w14:textId="77777777" w:rsidR="00BC1C32" w:rsidRPr="00BC1C32" w:rsidRDefault="00BC1C32" w:rsidP="00BC1C32">
      <w:pPr>
        <w:widowControl w:val="0"/>
        <w:tabs>
          <w:tab w:val="num" w:pos="567"/>
          <w:tab w:val="left" w:pos="4536"/>
          <w:tab w:val="right" w:pos="8640"/>
          <w:tab w:val="right" w:pos="9781"/>
        </w:tabs>
        <w:ind w:left="567" w:hanging="567"/>
        <w:jc w:val="both"/>
        <w:rPr>
          <w:rFonts w:cs="Arial"/>
          <w:szCs w:val="24"/>
        </w:rPr>
      </w:pPr>
      <w:r w:rsidRPr="00BC1C32">
        <w:rPr>
          <w:rFonts w:cs="Arial"/>
          <w:szCs w:val="24"/>
        </w:rPr>
        <w:t>GH BLOEM</w:t>
      </w:r>
    </w:p>
    <w:p w14:paraId="1EA96CDB" w14:textId="77777777" w:rsidR="00BC1C32" w:rsidRPr="00BC1C32" w:rsidRDefault="00BC1C32" w:rsidP="00BC1C32">
      <w:pPr>
        <w:widowControl w:val="0"/>
        <w:tabs>
          <w:tab w:val="num" w:pos="567"/>
          <w:tab w:val="left" w:pos="4536"/>
          <w:tab w:val="right" w:pos="8640"/>
          <w:tab w:val="right" w:pos="9781"/>
        </w:tabs>
        <w:ind w:left="567" w:hanging="567"/>
        <w:jc w:val="both"/>
        <w:rPr>
          <w:rFonts w:cs="Arial"/>
          <w:caps/>
          <w:szCs w:val="24"/>
        </w:rPr>
      </w:pPr>
      <w:r w:rsidRPr="00BC1C32">
        <w:rPr>
          <w:rFonts w:cs="Arial"/>
          <w:szCs w:val="24"/>
        </w:rPr>
        <w:t>Judge of the High Court</w:t>
      </w:r>
    </w:p>
    <w:p w14:paraId="148C1522" w14:textId="77777777" w:rsidR="00D761A9" w:rsidRPr="00BC1C32" w:rsidRDefault="00D761A9" w:rsidP="00134851">
      <w:pPr>
        <w:tabs>
          <w:tab w:val="num" w:pos="567"/>
        </w:tabs>
        <w:spacing w:line="360" w:lineRule="auto"/>
        <w:ind w:left="567" w:hanging="567"/>
        <w:jc w:val="both"/>
        <w:rPr>
          <w:rFonts w:cs="Arial"/>
          <w:szCs w:val="24"/>
        </w:rPr>
      </w:pPr>
    </w:p>
    <w:p w14:paraId="5D136C3A" w14:textId="77777777" w:rsidR="00D761A9" w:rsidRDefault="00D761A9" w:rsidP="00134851">
      <w:pPr>
        <w:tabs>
          <w:tab w:val="num" w:pos="567"/>
        </w:tabs>
        <w:spacing w:line="360" w:lineRule="auto"/>
        <w:ind w:left="567" w:hanging="567"/>
        <w:jc w:val="both"/>
        <w:rPr>
          <w:rFonts w:cs="Arial"/>
          <w:szCs w:val="24"/>
        </w:rPr>
      </w:pPr>
    </w:p>
    <w:p w14:paraId="55294E05" w14:textId="77777777" w:rsidR="00D761A9" w:rsidRPr="00E1357D" w:rsidRDefault="00D761A9" w:rsidP="00134851">
      <w:pPr>
        <w:widowControl w:val="0"/>
        <w:tabs>
          <w:tab w:val="num" w:pos="567"/>
          <w:tab w:val="right" w:pos="8640"/>
          <w:tab w:val="right" w:pos="9781"/>
        </w:tabs>
        <w:spacing w:before="240"/>
        <w:ind w:left="567" w:hanging="567"/>
        <w:jc w:val="both"/>
        <w:rPr>
          <w:rFonts w:eastAsia="Arial" w:cs="Arial"/>
          <w:szCs w:val="24"/>
        </w:rPr>
      </w:pPr>
    </w:p>
    <w:p w14:paraId="40B821FC" w14:textId="77777777" w:rsidR="0067405F" w:rsidRDefault="0067405F" w:rsidP="00D86302">
      <w:pPr>
        <w:tabs>
          <w:tab w:val="num" w:pos="3969"/>
        </w:tabs>
        <w:autoSpaceDE w:val="0"/>
        <w:autoSpaceDN w:val="0"/>
        <w:adjustRightInd w:val="0"/>
        <w:ind w:left="3969" w:hanging="3969"/>
        <w:jc w:val="both"/>
        <w:rPr>
          <w:rFonts w:cs="Arial"/>
          <w:szCs w:val="24"/>
        </w:rPr>
      </w:pPr>
    </w:p>
    <w:p w14:paraId="5D2F16FE" w14:textId="77777777" w:rsidR="0067405F" w:rsidRDefault="0067405F" w:rsidP="00D86302">
      <w:pPr>
        <w:tabs>
          <w:tab w:val="num" w:pos="3969"/>
        </w:tabs>
        <w:autoSpaceDE w:val="0"/>
        <w:autoSpaceDN w:val="0"/>
        <w:adjustRightInd w:val="0"/>
        <w:ind w:left="3969" w:hanging="3969"/>
        <w:jc w:val="both"/>
        <w:rPr>
          <w:rFonts w:cs="Arial"/>
          <w:szCs w:val="24"/>
        </w:rPr>
      </w:pPr>
    </w:p>
    <w:p w14:paraId="64AA5960" w14:textId="77777777" w:rsidR="0067405F" w:rsidRDefault="0067405F" w:rsidP="00D86302">
      <w:pPr>
        <w:tabs>
          <w:tab w:val="num" w:pos="3969"/>
        </w:tabs>
        <w:autoSpaceDE w:val="0"/>
        <w:autoSpaceDN w:val="0"/>
        <w:adjustRightInd w:val="0"/>
        <w:ind w:left="3969" w:hanging="3969"/>
        <w:jc w:val="both"/>
        <w:rPr>
          <w:rFonts w:cs="Arial"/>
          <w:szCs w:val="24"/>
        </w:rPr>
      </w:pPr>
    </w:p>
    <w:p w14:paraId="358652D7" w14:textId="77777777" w:rsidR="0067405F" w:rsidRDefault="0067405F" w:rsidP="00D86302">
      <w:pPr>
        <w:tabs>
          <w:tab w:val="num" w:pos="3969"/>
        </w:tabs>
        <w:autoSpaceDE w:val="0"/>
        <w:autoSpaceDN w:val="0"/>
        <w:adjustRightInd w:val="0"/>
        <w:ind w:left="3969" w:hanging="3969"/>
        <w:jc w:val="both"/>
        <w:rPr>
          <w:rFonts w:cs="Arial"/>
          <w:szCs w:val="24"/>
        </w:rPr>
      </w:pPr>
    </w:p>
    <w:p w14:paraId="08EBB20A" w14:textId="77777777" w:rsidR="0067405F" w:rsidRDefault="0067405F" w:rsidP="00D86302">
      <w:pPr>
        <w:tabs>
          <w:tab w:val="num" w:pos="3969"/>
        </w:tabs>
        <w:autoSpaceDE w:val="0"/>
        <w:autoSpaceDN w:val="0"/>
        <w:adjustRightInd w:val="0"/>
        <w:ind w:left="3969" w:hanging="3969"/>
        <w:jc w:val="both"/>
        <w:rPr>
          <w:rFonts w:cs="Arial"/>
          <w:szCs w:val="24"/>
        </w:rPr>
      </w:pPr>
    </w:p>
    <w:p w14:paraId="5D35C1FB" w14:textId="77777777" w:rsidR="0067405F" w:rsidRDefault="0067405F" w:rsidP="00D86302">
      <w:pPr>
        <w:tabs>
          <w:tab w:val="num" w:pos="3969"/>
        </w:tabs>
        <w:autoSpaceDE w:val="0"/>
        <w:autoSpaceDN w:val="0"/>
        <w:adjustRightInd w:val="0"/>
        <w:ind w:left="3969" w:hanging="3969"/>
        <w:jc w:val="both"/>
        <w:rPr>
          <w:rFonts w:cs="Arial"/>
          <w:szCs w:val="24"/>
        </w:rPr>
      </w:pPr>
    </w:p>
    <w:p w14:paraId="578ABE2E" w14:textId="77777777" w:rsidR="0067405F" w:rsidRDefault="0067405F" w:rsidP="00D86302">
      <w:pPr>
        <w:tabs>
          <w:tab w:val="num" w:pos="3969"/>
        </w:tabs>
        <w:autoSpaceDE w:val="0"/>
        <w:autoSpaceDN w:val="0"/>
        <w:adjustRightInd w:val="0"/>
        <w:ind w:left="3969" w:hanging="3969"/>
        <w:jc w:val="both"/>
        <w:rPr>
          <w:rFonts w:cs="Arial"/>
          <w:szCs w:val="24"/>
        </w:rPr>
      </w:pPr>
    </w:p>
    <w:p w14:paraId="4B442C11" w14:textId="77777777" w:rsidR="0067405F" w:rsidRDefault="0067405F" w:rsidP="00D86302">
      <w:pPr>
        <w:tabs>
          <w:tab w:val="num" w:pos="3969"/>
        </w:tabs>
        <w:autoSpaceDE w:val="0"/>
        <w:autoSpaceDN w:val="0"/>
        <w:adjustRightInd w:val="0"/>
        <w:ind w:left="3969" w:hanging="3969"/>
        <w:jc w:val="both"/>
        <w:rPr>
          <w:rFonts w:cs="Arial"/>
          <w:szCs w:val="24"/>
        </w:rPr>
      </w:pPr>
    </w:p>
    <w:p w14:paraId="7B6FBDB4" w14:textId="77777777" w:rsidR="0067405F" w:rsidRDefault="0067405F" w:rsidP="00D86302">
      <w:pPr>
        <w:tabs>
          <w:tab w:val="num" w:pos="3969"/>
        </w:tabs>
        <w:autoSpaceDE w:val="0"/>
        <w:autoSpaceDN w:val="0"/>
        <w:adjustRightInd w:val="0"/>
        <w:ind w:left="3969" w:hanging="3969"/>
        <w:jc w:val="both"/>
        <w:rPr>
          <w:rFonts w:cs="Arial"/>
          <w:szCs w:val="24"/>
        </w:rPr>
      </w:pPr>
    </w:p>
    <w:p w14:paraId="54704C8D" w14:textId="77777777" w:rsidR="0067405F" w:rsidRDefault="0067405F" w:rsidP="00D86302">
      <w:pPr>
        <w:tabs>
          <w:tab w:val="num" w:pos="3969"/>
        </w:tabs>
        <w:autoSpaceDE w:val="0"/>
        <w:autoSpaceDN w:val="0"/>
        <w:adjustRightInd w:val="0"/>
        <w:ind w:left="3969" w:hanging="3969"/>
        <w:jc w:val="both"/>
        <w:rPr>
          <w:rFonts w:cs="Arial"/>
          <w:szCs w:val="24"/>
        </w:rPr>
      </w:pPr>
    </w:p>
    <w:p w14:paraId="6E1B8281" w14:textId="77777777" w:rsidR="0067405F" w:rsidRDefault="0067405F" w:rsidP="00D86302">
      <w:pPr>
        <w:tabs>
          <w:tab w:val="num" w:pos="3969"/>
        </w:tabs>
        <w:autoSpaceDE w:val="0"/>
        <w:autoSpaceDN w:val="0"/>
        <w:adjustRightInd w:val="0"/>
        <w:ind w:left="3969" w:hanging="3969"/>
        <w:jc w:val="both"/>
        <w:rPr>
          <w:rFonts w:cs="Arial"/>
          <w:szCs w:val="24"/>
        </w:rPr>
      </w:pPr>
    </w:p>
    <w:p w14:paraId="7E08CA15" w14:textId="77777777" w:rsidR="0067405F" w:rsidRDefault="0067405F" w:rsidP="00D86302">
      <w:pPr>
        <w:tabs>
          <w:tab w:val="num" w:pos="3969"/>
        </w:tabs>
        <w:autoSpaceDE w:val="0"/>
        <w:autoSpaceDN w:val="0"/>
        <w:adjustRightInd w:val="0"/>
        <w:ind w:left="3969" w:hanging="3969"/>
        <w:jc w:val="both"/>
        <w:rPr>
          <w:rFonts w:cs="Arial"/>
          <w:szCs w:val="24"/>
        </w:rPr>
      </w:pPr>
    </w:p>
    <w:p w14:paraId="7467EB01" w14:textId="77777777" w:rsidR="00BD5D1B" w:rsidRDefault="00BD5D1B" w:rsidP="00D86302">
      <w:pPr>
        <w:tabs>
          <w:tab w:val="num" w:pos="3969"/>
        </w:tabs>
        <w:autoSpaceDE w:val="0"/>
        <w:autoSpaceDN w:val="0"/>
        <w:adjustRightInd w:val="0"/>
        <w:ind w:left="3969" w:hanging="3969"/>
        <w:jc w:val="both"/>
        <w:rPr>
          <w:rFonts w:cs="Arial"/>
          <w:szCs w:val="24"/>
        </w:rPr>
      </w:pPr>
    </w:p>
    <w:p w14:paraId="51796D54" w14:textId="77777777" w:rsidR="00BD5D1B" w:rsidRDefault="00BD5D1B" w:rsidP="00D86302">
      <w:pPr>
        <w:tabs>
          <w:tab w:val="num" w:pos="3969"/>
        </w:tabs>
        <w:autoSpaceDE w:val="0"/>
        <w:autoSpaceDN w:val="0"/>
        <w:adjustRightInd w:val="0"/>
        <w:ind w:left="3969" w:hanging="3969"/>
        <w:jc w:val="both"/>
        <w:rPr>
          <w:rFonts w:cs="Arial"/>
          <w:szCs w:val="24"/>
        </w:rPr>
      </w:pPr>
    </w:p>
    <w:p w14:paraId="29DEE435" w14:textId="77777777" w:rsidR="00BD5D1B" w:rsidRDefault="00BD5D1B" w:rsidP="00D86302">
      <w:pPr>
        <w:tabs>
          <w:tab w:val="num" w:pos="3969"/>
        </w:tabs>
        <w:autoSpaceDE w:val="0"/>
        <w:autoSpaceDN w:val="0"/>
        <w:adjustRightInd w:val="0"/>
        <w:ind w:left="3969" w:hanging="3969"/>
        <w:jc w:val="both"/>
        <w:rPr>
          <w:rFonts w:cs="Arial"/>
          <w:szCs w:val="24"/>
        </w:rPr>
      </w:pPr>
    </w:p>
    <w:p w14:paraId="104C21F5" w14:textId="77777777" w:rsidR="00BD5D1B" w:rsidRDefault="00BD5D1B" w:rsidP="00D86302">
      <w:pPr>
        <w:tabs>
          <w:tab w:val="num" w:pos="3969"/>
        </w:tabs>
        <w:autoSpaceDE w:val="0"/>
        <w:autoSpaceDN w:val="0"/>
        <w:adjustRightInd w:val="0"/>
        <w:ind w:left="3969" w:hanging="3969"/>
        <w:jc w:val="both"/>
        <w:rPr>
          <w:rFonts w:cs="Arial"/>
          <w:szCs w:val="24"/>
        </w:rPr>
      </w:pPr>
    </w:p>
    <w:p w14:paraId="715646D4" w14:textId="77777777" w:rsidR="00BD5D1B" w:rsidRDefault="00BD5D1B" w:rsidP="00D86302">
      <w:pPr>
        <w:tabs>
          <w:tab w:val="num" w:pos="3969"/>
        </w:tabs>
        <w:autoSpaceDE w:val="0"/>
        <w:autoSpaceDN w:val="0"/>
        <w:adjustRightInd w:val="0"/>
        <w:ind w:left="3969" w:hanging="3969"/>
        <w:jc w:val="both"/>
        <w:rPr>
          <w:rFonts w:cs="Arial"/>
          <w:szCs w:val="24"/>
        </w:rPr>
      </w:pPr>
    </w:p>
    <w:p w14:paraId="0392501A" w14:textId="77777777" w:rsidR="00BD5D1B" w:rsidRDefault="00BD5D1B" w:rsidP="00D86302">
      <w:pPr>
        <w:tabs>
          <w:tab w:val="num" w:pos="3969"/>
        </w:tabs>
        <w:autoSpaceDE w:val="0"/>
        <w:autoSpaceDN w:val="0"/>
        <w:adjustRightInd w:val="0"/>
        <w:ind w:left="3969" w:hanging="3969"/>
        <w:jc w:val="both"/>
        <w:rPr>
          <w:rFonts w:cs="Arial"/>
          <w:szCs w:val="24"/>
        </w:rPr>
      </w:pPr>
    </w:p>
    <w:p w14:paraId="6C223B99" w14:textId="77777777" w:rsidR="00BD5D1B" w:rsidRDefault="00BD5D1B" w:rsidP="00D86302">
      <w:pPr>
        <w:tabs>
          <w:tab w:val="num" w:pos="3969"/>
        </w:tabs>
        <w:autoSpaceDE w:val="0"/>
        <w:autoSpaceDN w:val="0"/>
        <w:adjustRightInd w:val="0"/>
        <w:ind w:left="3969" w:hanging="3969"/>
        <w:jc w:val="both"/>
        <w:rPr>
          <w:rFonts w:cs="Arial"/>
          <w:szCs w:val="24"/>
        </w:rPr>
      </w:pPr>
    </w:p>
    <w:p w14:paraId="7D3743CD" w14:textId="77777777" w:rsidR="00BD5D1B" w:rsidRDefault="00BD5D1B" w:rsidP="00D86302">
      <w:pPr>
        <w:tabs>
          <w:tab w:val="num" w:pos="3969"/>
        </w:tabs>
        <w:autoSpaceDE w:val="0"/>
        <w:autoSpaceDN w:val="0"/>
        <w:adjustRightInd w:val="0"/>
        <w:ind w:left="3969" w:hanging="3969"/>
        <w:jc w:val="both"/>
        <w:rPr>
          <w:rFonts w:cs="Arial"/>
          <w:szCs w:val="24"/>
        </w:rPr>
      </w:pPr>
    </w:p>
    <w:p w14:paraId="109DB853" w14:textId="77777777" w:rsidR="00BD5D1B" w:rsidRDefault="00BD5D1B" w:rsidP="00D86302">
      <w:pPr>
        <w:tabs>
          <w:tab w:val="num" w:pos="3969"/>
        </w:tabs>
        <w:autoSpaceDE w:val="0"/>
        <w:autoSpaceDN w:val="0"/>
        <w:adjustRightInd w:val="0"/>
        <w:ind w:left="3969" w:hanging="3969"/>
        <w:jc w:val="both"/>
        <w:rPr>
          <w:rFonts w:cs="Arial"/>
          <w:szCs w:val="24"/>
        </w:rPr>
      </w:pPr>
    </w:p>
    <w:p w14:paraId="71BED153" w14:textId="77777777" w:rsidR="00BD5D1B" w:rsidRDefault="00BD5D1B" w:rsidP="00D86302">
      <w:pPr>
        <w:tabs>
          <w:tab w:val="num" w:pos="3969"/>
        </w:tabs>
        <w:autoSpaceDE w:val="0"/>
        <w:autoSpaceDN w:val="0"/>
        <w:adjustRightInd w:val="0"/>
        <w:ind w:left="3969" w:hanging="3969"/>
        <w:jc w:val="both"/>
        <w:rPr>
          <w:rFonts w:cs="Arial"/>
          <w:szCs w:val="24"/>
        </w:rPr>
      </w:pPr>
    </w:p>
    <w:p w14:paraId="54BBC466" w14:textId="77777777" w:rsidR="00BD5D1B" w:rsidRDefault="00BD5D1B" w:rsidP="00D86302">
      <w:pPr>
        <w:tabs>
          <w:tab w:val="num" w:pos="3969"/>
        </w:tabs>
        <w:autoSpaceDE w:val="0"/>
        <w:autoSpaceDN w:val="0"/>
        <w:adjustRightInd w:val="0"/>
        <w:ind w:left="3969" w:hanging="3969"/>
        <w:jc w:val="both"/>
        <w:rPr>
          <w:rFonts w:cs="Arial"/>
          <w:szCs w:val="24"/>
        </w:rPr>
      </w:pPr>
    </w:p>
    <w:p w14:paraId="053279C1" w14:textId="77777777" w:rsidR="00BD5D1B" w:rsidRDefault="00BD5D1B" w:rsidP="00D86302">
      <w:pPr>
        <w:tabs>
          <w:tab w:val="num" w:pos="3969"/>
        </w:tabs>
        <w:autoSpaceDE w:val="0"/>
        <w:autoSpaceDN w:val="0"/>
        <w:adjustRightInd w:val="0"/>
        <w:ind w:left="3969" w:hanging="3969"/>
        <w:jc w:val="both"/>
        <w:rPr>
          <w:rFonts w:cs="Arial"/>
          <w:szCs w:val="24"/>
        </w:rPr>
      </w:pPr>
    </w:p>
    <w:p w14:paraId="4648113A" w14:textId="77777777" w:rsidR="00BD5D1B" w:rsidRDefault="00BD5D1B" w:rsidP="00D86302">
      <w:pPr>
        <w:tabs>
          <w:tab w:val="num" w:pos="3969"/>
        </w:tabs>
        <w:autoSpaceDE w:val="0"/>
        <w:autoSpaceDN w:val="0"/>
        <w:adjustRightInd w:val="0"/>
        <w:ind w:left="3969" w:hanging="3969"/>
        <w:jc w:val="both"/>
        <w:rPr>
          <w:rFonts w:cs="Arial"/>
          <w:szCs w:val="24"/>
        </w:rPr>
      </w:pPr>
    </w:p>
    <w:p w14:paraId="343FD2BC" w14:textId="77777777" w:rsidR="00BD5D1B" w:rsidRDefault="00BD5D1B" w:rsidP="00D86302">
      <w:pPr>
        <w:tabs>
          <w:tab w:val="num" w:pos="3969"/>
        </w:tabs>
        <w:autoSpaceDE w:val="0"/>
        <w:autoSpaceDN w:val="0"/>
        <w:adjustRightInd w:val="0"/>
        <w:ind w:left="3969" w:hanging="3969"/>
        <w:jc w:val="both"/>
        <w:rPr>
          <w:rFonts w:cs="Arial"/>
          <w:szCs w:val="24"/>
        </w:rPr>
      </w:pPr>
    </w:p>
    <w:p w14:paraId="60A4702A" w14:textId="77777777" w:rsidR="00BD5D1B" w:rsidRDefault="00BD5D1B" w:rsidP="00D86302">
      <w:pPr>
        <w:tabs>
          <w:tab w:val="num" w:pos="3969"/>
        </w:tabs>
        <w:autoSpaceDE w:val="0"/>
        <w:autoSpaceDN w:val="0"/>
        <w:adjustRightInd w:val="0"/>
        <w:ind w:left="3969" w:hanging="3969"/>
        <w:jc w:val="both"/>
        <w:rPr>
          <w:rFonts w:cs="Arial"/>
          <w:szCs w:val="24"/>
        </w:rPr>
      </w:pPr>
    </w:p>
    <w:p w14:paraId="20D8EB8C" w14:textId="77777777" w:rsidR="00BD5D1B" w:rsidRDefault="00BD5D1B" w:rsidP="00D86302">
      <w:pPr>
        <w:tabs>
          <w:tab w:val="num" w:pos="3969"/>
        </w:tabs>
        <w:autoSpaceDE w:val="0"/>
        <w:autoSpaceDN w:val="0"/>
        <w:adjustRightInd w:val="0"/>
        <w:ind w:left="3969" w:hanging="3969"/>
        <w:jc w:val="both"/>
        <w:rPr>
          <w:rFonts w:cs="Arial"/>
          <w:szCs w:val="24"/>
        </w:rPr>
      </w:pPr>
    </w:p>
    <w:p w14:paraId="3FC1F6D2" w14:textId="77777777" w:rsidR="00BD5D1B" w:rsidRDefault="00BD5D1B" w:rsidP="00D86302">
      <w:pPr>
        <w:tabs>
          <w:tab w:val="num" w:pos="3969"/>
        </w:tabs>
        <w:autoSpaceDE w:val="0"/>
        <w:autoSpaceDN w:val="0"/>
        <w:adjustRightInd w:val="0"/>
        <w:ind w:left="3969" w:hanging="3969"/>
        <w:jc w:val="both"/>
        <w:rPr>
          <w:rFonts w:cs="Arial"/>
          <w:szCs w:val="24"/>
        </w:rPr>
      </w:pPr>
    </w:p>
    <w:p w14:paraId="6A2D6D3D" w14:textId="3CD12D41" w:rsidR="00D761A9" w:rsidRPr="00455964" w:rsidRDefault="00D761A9" w:rsidP="00D86302">
      <w:pPr>
        <w:tabs>
          <w:tab w:val="num" w:pos="3969"/>
        </w:tabs>
        <w:autoSpaceDE w:val="0"/>
        <w:autoSpaceDN w:val="0"/>
        <w:adjustRightInd w:val="0"/>
        <w:ind w:left="3969" w:hanging="3969"/>
        <w:jc w:val="both"/>
        <w:rPr>
          <w:rFonts w:cs="Arial"/>
          <w:szCs w:val="24"/>
        </w:rPr>
      </w:pPr>
      <w:r w:rsidRPr="00455964">
        <w:rPr>
          <w:rFonts w:cs="Arial"/>
          <w:szCs w:val="24"/>
        </w:rPr>
        <w:t xml:space="preserve">For the </w:t>
      </w:r>
      <w:r w:rsidR="00992574">
        <w:rPr>
          <w:rFonts w:cs="Arial"/>
          <w:szCs w:val="24"/>
        </w:rPr>
        <w:t>plaintiff</w:t>
      </w:r>
      <w:r w:rsidRPr="00455964">
        <w:rPr>
          <w:rFonts w:cs="Arial"/>
          <w:szCs w:val="24"/>
        </w:rPr>
        <w:t xml:space="preserve">: </w:t>
      </w:r>
      <w:r w:rsidRPr="00455964">
        <w:rPr>
          <w:rFonts w:cs="Arial"/>
          <w:szCs w:val="24"/>
        </w:rPr>
        <w:tab/>
      </w:r>
      <w:r w:rsidR="00FA680D">
        <w:rPr>
          <w:rFonts w:cs="Arial"/>
          <w:szCs w:val="24"/>
        </w:rPr>
        <w:t>Mr</w:t>
      </w:r>
      <w:r>
        <w:rPr>
          <w:rFonts w:cs="Arial"/>
          <w:szCs w:val="24"/>
        </w:rPr>
        <w:t xml:space="preserve"> </w:t>
      </w:r>
      <w:r w:rsidR="00992574">
        <w:rPr>
          <w:rFonts w:cs="Arial"/>
          <w:szCs w:val="24"/>
        </w:rPr>
        <w:t>L Rusi</w:t>
      </w:r>
      <w:r w:rsidRPr="00455964">
        <w:rPr>
          <w:rFonts w:cs="Arial"/>
          <w:szCs w:val="24"/>
        </w:rPr>
        <w:t>, instructed by</w:t>
      </w:r>
      <w:r w:rsidR="001C44F0">
        <w:rPr>
          <w:rFonts w:cs="Arial"/>
          <w:szCs w:val="24"/>
        </w:rPr>
        <w:t xml:space="preserve"> Magqabi Seth Zita Inc</w:t>
      </w:r>
      <w:r>
        <w:rPr>
          <w:rFonts w:cs="Arial"/>
          <w:szCs w:val="24"/>
        </w:rPr>
        <w:t>,</w:t>
      </w:r>
      <w:r w:rsidR="001C44F0">
        <w:rPr>
          <w:rFonts w:cs="Arial"/>
          <w:szCs w:val="24"/>
        </w:rPr>
        <w:t xml:space="preserve"> East London and SZ Sigabi &amp; Associates, Qonce.</w:t>
      </w:r>
    </w:p>
    <w:p w14:paraId="6BC4BB99" w14:textId="77777777" w:rsidR="00134851" w:rsidRDefault="00134851" w:rsidP="00134851">
      <w:pPr>
        <w:tabs>
          <w:tab w:val="num" w:pos="5103"/>
        </w:tabs>
        <w:ind w:left="5103" w:hanging="5103"/>
        <w:jc w:val="both"/>
        <w:rPr>
          <w:rFonts w:cs="Arial"/>
          <w:szCs w:val="24"/>
        </w:rPr>
      </w:pPr>
    </w:p>
    <w:p w14:paraId="755DDD75" w14:textId="61B3C686" w:rsidR="00D761A9" w:rsidRPr="00455964" w:rsidRDefault="00D761A9" w:rsidP="00D86302">
      <w:pPr>
        <w:tabs>
          <w:tab w:val="num" w:pos="3969"/>
        </w:tabs>
        <w:ind w:left="3969" w:hanging="3969"/>
        <w:jc w:val="both"/>
        <w:rPr>
          <w:rFonts w:cs="Arial"/>
          <w:szCs w:val="24"/>
        </w:rPr>
      </w:pPr>
      <w:r w:rsidRPr="00455964">
        <w:rPr>
          <w:rFonts w:cs="Arial"/>
          <w:szCs w:val="24"/>
        </w:rPr>
        <w:t xml:space="preserve">For the </w:t>
      </w:r>
      <w:r w:rsidR="00992574">
        <w:rPr>
          <w:rFonts w:cs="Arial"/>
          <w:szCs w:val="24"/>
        </w:rPr>
        <w:t>defendant</w:t>
      </w:r>
      <w:r w:rsidRPr="00455964">
        <w:rPr>
          <w:rFonts w:cs="Arial"/>
          <w:szCs w:val="24"/>
        </w:rPr>
        <w:t>:</w:t>
      </w:r>
      <w:r w:rsidRPr="00455964">
        <w:rPr>
          <w:rFonts w:cs="Arial"/>
          <w:szCs w:val="24"/>
        </w:rPr>
        <w:tab/>
      </w:r>
      <w:r w:rsidR="00FA680D">
        <w:rPr>
          <w:rFonts w:cs="Arial"/>
          <w:szCs w:val="24"/>
        </w:rPr>
        <w:t>Ms</w:t>
      </w:r>
      <w:r>
        <w:rPr>
          <w:rFonts w:cs="Arial"/>
          <w:szCs w:val="24"/>
        </w:rPr>
        <w:t xml:space="preserve"> </w:t>
      </w:r>
      <w:r w:rsidR="00992574">
        <w:rPr>
          <w:rFonts w:cs="Arial"/>
          <w:szCs w:val="24"/>
        </w:rPr>
        <w:t xml:space="preserve">Z </w:t>
      </w:r>
      <w:r w:rsidR="001C44F0">
        <w:rPr>
          <w:rFonts w:cs="Arial"/>
          <w:szCs w:val="24"/>
        </w:rPr>
        <w:t>Nxazonke-</w:t>
      </w:r>
      <w:r w:rsidR="00992574">
        <w:rPr>
          <w:rFonts w:cs="Arial"/>
          <w:szCs w:val="24"/>
        </w:rPr>
        <w:t>Mashiya</w:t>
      </w:r>
      <w:r w:rsidRPr="00455964">
        <w:rPr>
          <w:rFonts w:cs="Arial"/>
          <w:szCs w:val="24"/>
        </w:rPr>
        <w:t xml:space="preserve">, instructed by </w:t>
      </w:r>
      <w:r w:rsidR="001C44F0">
        <w:rPr>
          <w:rFonts w:cs="Arial"/>
          <w:szCs w:val="24"/>
        </w:rPr>
        <w:t>the State Attorney, East London</w:t>
      </w:r>
      <w:r w:rsidRPr="00455964">
        <w:rPr>
          <w:rFonts w:cs="Arial"/>
          <w:szCs w:val="24"/>
        </w:rPr>
        <w:t>.</w:t>
      </w:r>
    </w:p>
    <w:p w14:paraId="2D05BB87" w14:textId="77777777" w:rsidR="00D761A9" w:rsidRDefault="00D761A9" w:rsidP="00134851">
      <w:pPr>
        <w:tabs>
          <w:tab w:val="num" w:pos="5103"/>
        </w:tabs>
        <w:ind w:left="5103" w:hanging="5103"/>
        <w:jc w:val="both"/>
        <w:rPr>
          <w:rFonts w:cs="Arial"/>
          <w:szCs w:val="24"/>
        </w:rPr>
      </w:pPr>
    </w:p>
    <w:p w14:paraId="4FF804C8" w14:textId="0EFB2631" w:rsidR="00D761A9" w:rsidRPr="00455964" w:rsidRDefault="00D761A9" w:rsidP="00D86302">
      <w:pPr>
        <w:tabs>
          <w:tab w:val="num" w:pos="3969"/>
        </w:tabs>
        <w:autoSpaceDE w:val="0"/>
        <w:autoSpaceDN w:val="0"/>
        <w:adjustRightInd w:val="0"/>
        <w:ind w:left="3969" w:hanging="3969"/>
        <w:jc w:val="both"/>
        <w:rPr>
          <w:rFonts w:cs="Arial"/>
          <w:szCs w:val="24"/>
        </w:rPr>
      </w:pPr>
      <w:r w:rsidRPr="00455964">
        <w:rPr>
          <w:rFonts w:cs="Arial"/>
          <w:szCs w:val="24"/>
        </w:rPr>
        <w:t>Date heard:</w:t>
      </w:r>
      <w:r w:rsidRPr="00455964">
        <w:rPr>
          <w:rFonts w:cs="Arial"/>
          <w:szCs w:val="24"/>
        </w:rPr>
        <w:tab/>
      </w:r>
      <w:r w:rsidR="00992574">
        <w:rPr>
          <w:rFonts w:cs="Arial"/>
          <w:szCs w:val="24"/>
        </w:rPr>
        <w:t xml:space="preserve">25 May 2023 and 24 </w:t>
      </w:r>
      <w:r w:rsidR="00DD08C2">
        <w:rPr>
          <w:rFonts w:cs="Arial"/>
          <w:szCs w:val="24"/>
        </w:rPr>
        <w:t>and</w:t>
      </w:r>
      <w:r w:rsidR="00992574">
        <w:rPr>
          <w:rFonts w:cs="Arial"/>
          <w:szCs w:val="24"/>
        </w:rPr>
        <w:t xml:space="preserve"> 25 July 2023</w:t>
      </w:r>
      <w:r w:rsidR="00A952AB">
        <w:rPr>
          <w:rFonts w:cs="Arial"/>
          <w:szCs w:val="24"/>
        </w:rPr>
        <w:t>.</w:t>
      </w:r>
    </w:p>
    <w:p w14:paraId="78DC4538" w14:textId="0A1040DD" w:rsidR="00D761A9" w:rsidRPr="00455964" w:rsidRDefault="00D761A9" w:rsidP="00D86302">
      <w:pPr>
        <w:widowControl w:val="0"/>
        <w:tabs>
          <w:tab w:val="num" w:pos="3969"/>
          <w:tab w:val="right" w:pos="8640"/>
          <w:tab w:val="right" w:pos="9781"/>
        </w:tabs>
        <w:spacing w:before="240"/>
        <w:ind w:left="3969" w:hanging="3969"/>
        <w:jc w:val="both"/>
        <w:rPr>
          <w:rFonts w:cs="Arial"/>
          <w:szCs w:val="24"/>
        </w:rPr>
      </w:pPr>
      <w:r w:rsidRPr="00455964">
        <w:rPr>
          <w:rFonts w:cs="Arial"/>
          <w:szCs w:val="24"/>
        </w:rPr>
        <w:t>Date of delivery</w:t>
      </w:r>
      <w:r w:rsidR="00D86302">
        <w:rPr>
          <w:rFonts w:cs="Arial"/>
          <w:szCs w:val="24"/>
        </w:rPr>
        <w:t xml:space="preserve"> of the judgment</w:t>
      </w:r>
      <w:r w:rsidRPr="00455964">
        <w:rPr>
          <w:rFonts w:cs="Arial"/>
          <w:szCs w:val="24"/>
        </w:rPr>
        <w:t>:</w:t>
      </w:r>
      <w:r w:rsidRPr="00455964">
        <w:rPr>
          <w:rFonts w:cs="Arial"/>
          <w:szCs w:val="24"/>
        </w:rPr>
        <w:tab/>
      </w:r>
      <w:r w:rsidR="005E53D9">
        <w:rPr>
          <w:rFonts w:cs="Arial"/>
          <w:szCs w:val="24"/>
        </w:rPr>
        <w:t>8 August 2023</w:t>
      </w:r>
      <w:r w:rsidRPr="00455964">
        <w:rPr>
          <w:rFonts w:cs="Arial"/>
          <w:szCs w:val="24"/>
        </w:rPr>
        <w:t>.</w:t>
      </w:r>
    </w:p>
    <w:sectPr w:rsidR="00D761A9" w:rsidRPr="00455964" w:rsidSect="004E017B">
      <w:headerReference w:type="even" r:id="rId9"/>
      <w:headerReference w:type="default" r:id="rId10"/>
      <w:pgSz w:w="12240" w:h="15840"/>
      <w:pgMar w:top="993" w:right="1467" w:bottom="567"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6D0BC" w14:textId="77777777" w:rsidR="00A455E1" w:rsidRDefault="00A455E1">
      <w:r>
        <w:separator/>
      </w:r>
    </w:p>
  </w:endnote>
  <w:endnote w:type="continuationSeparator" w:id="0">
    <w:p w14:paraId="689E45CB" w14:textId="77777777" w:rsidR="00A455E1" w:rsidRDefault="00A4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CC35B" w14:textId="77777777" w:rsidR="00A455E1" w:rsidRDefault="00A455E1">
      <w:r>
        <w:separator/>
      </w:r>
    </w:p>
  </w:footnote>
  <w:footnote w:type="continuationSeparator" w:id="0">
    <w:p w14:paraId="4E6C84FA" w14:textId="77777777" w:rsidR="00A455E1" w:rsidRDefault="00A455E1">
      <w:r>
        <w:continuationSeparator/>
      </w:r>
    </w:p>
  </w:footnote>
  <w:footnote w:id="1">
    <w:p w14:paraId="15A54553" w14:textId="2BAA9E5C" w:rsidR="00BE0F3C" w:rsidRPr="00DA792C" w:rsidRDefault="00BE0F3C" w:rsidP="00DA792C">
      <w:pPr>
        <w:pStyle w:val="FootnoteText"/>
        <w:spacing w:after="0" w:line="240" w:lineRule="auto"/>
        <w:jc w:val="both"/>
        <w:rPr>
          <w:rFonts w:ascii="Arial" w:hAnsi="Arial" w:cs="Arial"/>
        </w:rPr>
      </w:pPr>
      <w:r w:rsidRPr="00DA792C">
        <w:rPr>
          <w:rStyle w:val="FootnoteReference"/>
          <w:rFonts w:ascii="Arial" w:hAnsi="Arial" w:cs="Arial"/>
        </w:rPr>
        <w:footnoteRef/>
      </w:r>
      <w:r w:rsidRPr="00DA792C">
        <w:rPr>
          <w:rFonts w:ascii="Arial" w:hAnsi="Arial" w:cs="Arial"/>
        </w:rPr>
        <w:t xml:space="preserve"> </w:t>
      </w:r>
      <w:r w:rsidRPr="00DA792C">
        <w:rPr>
          <w:rFonts w:ascii="Arial" w:hAnsi="Arial" w:cs="Arial"/>
          <w:i/>
          <w:iCs/>
        </w:rPr>
        <w:t xml:space="preserve">Cresto Machines (Edms) Bpk v Die Afdeling Speur-Offisier, SA Polisie, Noord-Transvaal </w:t>
      </w:r>
      <w:r w:rsidRPr="00DA792C">
        <w:rPr>
          <w:rFonts w:ascii="Arial" w:hAnsi="Arial" w:cs="Arial"/>
        </w:rPr>
        <w:t>1972 (1) SA 376 (A)</w:t>
      </w:r>
      <w:r w:rsidR="00DA792C" w:rsidRPr="00DA792C">
        <w:rPr>
          <w:rFonts w:ascii="Arial" w:hAnsi="Arial" w:cs="Arial"/>
        </w:rPr>
        <w:t xml:space="preserve"> at 394G and 395E</w:t>
      </w:r>
      <w:r w:rsidRPr="00DA792C">
        <w:rPr>
          <w:rFonts w:ascii="Arial" w:hAnsi="Arial" w:cs="Arial"/>
        </w:rPr>
        <w:t>.</w:t>
      </w:r>
    </w:p>
  </w:footnote>
  <w:footnote w:id="2">
    <w:p w14:paraId="1660BFCF" w14:textId="0A6C79D4" w:rsidR="00480EE6" w:rsidRPr="00DA792C" w:rsidRDefault="00480EE6" w:rsidP="00DA792C">
      <w:pPr>
        <w:pStyle w:val="FootnoteText"/>
        <w:spacing w:after="0" w:line="240" w:lineRule="auto"/>
        <w:jc w:val="both"/>
        <w:rPr>
          <w:rFonts w:ascii="Arial" w:hAnsi="Arial" w:cs="Arial"/>
        </w:rPr>
      </w:pPr>
      <w:r w:rsidRPr="00DA792C">
        <w:rPr>
          <w:rStyle w:val="FootnoteReference"/>
          <w:rFonts w:ascii="Arial" w:hAnsi="Arial" w:cs="Arial"/>
        </w:rPr>
        <w:footnoteRef/>
      </w:r>
      <w:r w:rsidRPr="00DA792C">
        <w:rPr>
          <w:rFonts w:ascii="Arial" w:hAnsi="Arial" w:cs="Arial"/>
        </w:rPr>
        <w:t xml:space="preserve"> </w:t>
      </w:r>
      <w:r w:rsidRPr="00DA792C">
        <w:rPr>
          <w:rFonts w:ascii="Arial" w:hAnsi="Arial" w:cs="Arial"/>
          <w:i/>
          <w:iCs/>
        </w:rPr>
        <w:t xml:space="preserve">Minister van Polisie  v Goldschagg </w:t>
      </w:r>
      <w:r w:rsidRPr="00DA792C">
        <w:rPr>
          <w:rFonts w:ascii="Arial" w:hAnsi="Arial" w:cs="Arial"/>
        </w:rPr>
        <w:t>1981 (1) SA 37 (A).</w:t>
      </w:r>
    </w:p>
  </w:footnote>
  <w:footnote w:id="3">
    <w:p w14:paraId="01A03B75" w14:textId="29DAA2AA" w:rsidR="00D96F45" w:rsidRPr="00C87938" w:rsidRDefault="00D96F45" w:rsidP="00C87938">
      <w:pPr>
        <w:pStyle w:val="FootnoteText"/>
        <w:spacing w:after="0"/>
        <w:jc w:val="both"/>
        <w:rPr>
          <w:rFonts w:ascii="Arial" w:hAnsi="Arial" w:cs="Arial"/>
        </w:rPr>
      </w:pPr>
      <w:r w:rsidRPr="0017402C">
        <w:rPr>
          <w:rStyle w:val="FootnoteReference"/>
          <w:rFonts w:ascii="Arial" w:hAnsi="Arial" w:cs="Arial"/>
        </w:rPr>
        <w:footnoteRef/>
      </w:r>
      <w:r w:rsidRPr="0017402C">
        <w:rPr>
          <w:rFonts w:ascii="Arial" w:hAnsi="Arial" w:cs="Arial"/>
        </w:rPr>
        <w:t xml:space="preserve"> </w:t>
      </w:r>
      <w:r w:rsidRPr="00C87938">
        <w:rPr>
          <w:rFonts w:ascii="Arial" w:hAnsi="Arial" w:cs="Arial"/>
          <w:i/>
          <w:iCs/>
        </w:rPr>
        <w:t xml:space="preserve">Zealand v Minister of Justice and Constitutional Development and Another </w:t>
      </w:r>
      <w:r w:rsidRPr="00C87938">
        <w:rPr>
          <w:rFonts w:ascii="Arial" w:hAnsi="Arial" w:cs="Arial"/>
        </w:rPr>
        <w:t>2008 (4) SA 458 (CC)</w:t>
      </w:r>
      <w:r w:rsidR="0017402C" w:rsidRPr="00C87938">
        <w:rPr>
          <w:rFonts w:ascii="Arial" w:hAnsi="Arial" w:cs="Arial"/>
        </w:rPr>
        <w:t xml:space="preserve"> at par 43</w:t>
      </w:r>
      <w:r w:rsidRPr="00C87938">
        <w:rPr>
          <w:rFonts w:ascii="Arial" w:hAnsi="Arial" w:cs="Arial"/>
        </w:rPr>
        <w:t>.</w:t>
      </w:r>
    </w:p>
  </w:footnote>
  <w:footnote w:id="4">
    <w:p w14:paraId="529BA292" w14:textId="04D3BDC8" w:rsidR="0076134C" w:rsidRPr="00C87938" w:rsidRDefault="0076134C" w:rsidP="00C87938">
      <w:pPr>
        <w:pStyle w:val="FootnoteText"/>
        <w:spacing w:after="0"/>
        <w:jc w:val="both"/>
        <w:rPr>
          <w:rFonts w:ascii="Arial" w:hAnsi="Arial" w:cs="Arial"/>
        </w:rPr>
      </w:pPr>
      <w:r w:rsidRPr="00C87938">
        <w:rPr>
          <w:rStyle w:val="FootnoteReference"/>
          <w:rFonts w:ascii="Arial" w:hAnsi="Arial" w:cs="Arial"/>
        </w:rPr>
        <w:footnoteRef/>
      </w:r>
      <w:r w:rsidRPr="00C87938">
        <w:rPr>
          <w:rFonts w:ascii="Arial" w:hAnsi="Arial" w:cs="Arial"/>
        </w:rPr>
        <w:t xml:space="preserve"> </w:t>
      </w:r>
      <w:r w:rsidRPr="00C87938">
        <w:rPr>
          <w:rFonts w:ascii="Arial" w:hAnsi="Arial" w:cs="Arial"/>
          <w:i/>
          <w:iCs/>
        </w:rPr>
        <w:t>S v Bogaards</w:t>
      </w:r>
      <w:r w:rsidRPr="00C87938">
        <w:rPr>
          <w:rFonts w:ascii="Arial" w:hAnsi="Arial" w:cs="Arial"/>
        </w:rPr>
        <w:t xml:space="preserve"> 2013(1) SACR 1 (CC) at paras 36 and 37.</w:t>
      </w:r>
    </w:p>
  </w:footnote>
  <w:footnote w:id="5">
    <w:p w14:paraId="0AF4DD90" w14:textId="279779A5" w:rsidR="00EB2EF6" w:rsidRPr="00EB2EF6" w:rsidRDefault="003731A8" w:rsidP="00242DB7">
      <w:pPr>
        <w:pStyle w:val="FootnoteText"/>
        <w:spacing w:after="0" w:line="240" w:lineRule="auto"/>
        <w:jc w:val="both"/>
        <w:rPr>
          <w:rFonts w:ascii="Verdana" w:hAnsi="Verdana"/>
          <w:color w:val="242121"/>
          <w:lang w:val="en-US"/>
        </w:rPr>
      </w:pPr>
      <w:r>
        <w:rPr>
          <w:rStyle w:val="FootnoteReference"/>
        </w:rPr>
        <w:footnoteRef/>
      </w:r>
      <w:r>
        <w:t xml:space="preserve"> </w:t>
      </w:r>
      <w:r w:rsidR="00FE1C57">
        <w:rPr>
          <w:rFonts w:ascii="Arial" w:hAnsi="Arial" w:cs="Arial"/>
        </w:rPr>
        <w:t>The p</w:t>
      </w:r>
      <w:r w:rsidR="00115A78">
        <w:rPr>
          <w:rFonts w:ascii="Arial" w:hAnsi="Arial" w:cs="Arial"/>
          <w:lang w:val="en-US"/>
        </w:rPr>
        <w:t>laintiff’s c</w:t>
      </w:r>
      <w:r w:rsidR="00C30ACD" w:rsidRPr="00115A78">
        <w:rPr>
          <w:rFonts w:ascii="Arial" w:hAnsi="Arial" w:cs="Arial"/>
          <w:lang w:val="en-US"/>
        </w:rPr>
        <w:t xml:space="preserve">ounsel referred to </w:t>
      </w:r>
      <w:r w:rsidR="00C30ACD" w:rsidRPr="00115A78">
        <w:rPr>
          <w:rFonts w:ascii="Arial" w:hAnsi="Arial" w:cs="Arial"/>
          <w:i/>
          <w:iCs/>
          <w:lang w:val="en-US"/>
        </w:rPr>
        <w:t>Louw v Minister of Safety and Security</w:t>
      </w:r>
      <w:r w:rsidR="00C30ACD" w:rsidRPr="00115A78">
        <w:rPr>
          <w:rFonts w:ascii="Arial" w:hAnsi="Arial" w:cs="Arial"/>
          <w:lang w:val="en-US"/>
        </w:rPr>
        <w:t xml:space="preserve"> </w:t>
      </w:r>
      <w:r w:rsidR="00C30ACD" w:rsidRPr="00115A78">
        <w:rPr>
          <w:rFonts w:ascii="Arial" w:hAnsi="Arial" w:cs="Arial"/>
          <w:i/>
          <w:iCs/>
          <w:lang w:val="en-US"/>
        </w:rPr>
        <w:t>and Others</w:t>
      </w:r>
      <w:r w:rsidR="005408C9">
        <w:rPr>
          <w:rFonts w:ascii="Arial" w:hAnsi="Arial" w:cs="Arial"/>
          <w:i/>
          <w:iCs/>
          <w:lang w:val="en-US"/>
        </w:rPr>
        <w:t xml:space="preserve"> </w:t>
      </w:r>
      <w:r w:rsidR="005408C9" w:rsidRPr="005408C9">
        <w:rPr>
          <w:rFonts w:ascii="Arial" w:hAnsi="Arial" w:cs="Arial"/>
          <w:lang w:val="en-US"/>
        </w:rPr>
        <w:t>2006</w:t>
      </w:r>
      <w:r w:rsidR="005408C9">
        <w:rPr>
          <w:rFonts w:ascii="Arial" w:hAnsi="Arial" w:cs="Arial"/>
          <w:lang w:val="en-US"/>
        </w:rPr>
        <w:t xml:space="preserve"> (2) SACR 178</w:t>
      </w:r>
      <w:r w:rsidR="00AA7978">
        <w:rPr>
          <w:rFonts w:ascii="Arial" w:hAnsi="Arial" w:cs="Arial"/>
          <w:lang w:val="en-US"/>
        </w:rPr>
        <w:t> </w:t>
      </w:r>
      <w:r w:rsidR="005408C9">
        <w:rPr>
          <w:rFonts w:ascii="Arial" w:hAnsi="Arial" w:cs="Arial"/>
          <w:lang w:val="en-US"/>
        </w:rPr>
        <w:t>(T)</w:t>
      </w:r>
      <w:r w:rsidR="00B852A6">
        <w:rPr>
          <w:rFonts w:ascii="Arial" w:hAnsi="Arial" w:cs="Arial"/>
          <w:lang w:val="en-US"/>
        </w:rPr>
        <w:t xml:space="preserve"> and </w:t>
      </w:r>
      <w:r w:rsidR="00B852A6" w:rsidRPr="0059251D">
        <w:rPr>
          <w:rFonts w:ascii="Arial" w:hAnsi="Arial" w:cs="Arial"/>
          <w:i/>
          <w:iCs/>
          <w:lang w:val="en-US"/>
        </w:rPr>
        <w:t>van Rooyen vs Minister of Police</w:t>
      </w:r>
      <w:r w:rsidR="00B852A6">
        <w:rPr>
          <w:rFonts w:ascii="Arial" w:hAnsi="Arial" w:cs="Arial"/>
          <w:lang w:val="en-US"/>
        </w:rPr>
        <w:t xml:space="preserve"> (CA 332/2018)</w:t>
      </w:r>
      <w:r w:rsidR="0059251D">
        <w:rPr>
          <w:rFonts w:ascii="Arial" w:hAnsi="Arial" w:cs="Arial"/>
          <w:lang w:val="en-US"/>
        </w:rPr>
        <w:t xml:space="preserve"> [2020] ZAECGHC 44 (26 March 2020)</w:t>
      </w:r>
      <w:r w:rsidR="00115A78">
        <w:rPr>
          <w:rFonts w:ascii="Arial" w:hAnsi="Arial" w:cs="Arial"/>
          <w:i/>
          <w:iCs/>
          <w:lang w:val="en-US"/>
        </w:rPr>
        <w:t xml:space="preserve">, </w:t>
      </w:r>
      <w:r w:rsidR="00115A78" w:rsidRPr="00115A78">
        <w:rPr>
          <w:rFonts w:ascii="Arial" w:hAnsi="Arial" w:cs="Arial"/>
          <w:lang w:val="en-US"/>
        </w:rPr>
        <w:t>w</w:t>
      </w:r>
      <w:r w:rsidR="00C30ACD" w:rsidRPr="00115A78">
        <w:rPr>
          <w:rFonts w:ascii="Arial" w:hAnsi="Arial" w:cs="Arial"/>
          <w:lang w:val="en-US"/>
        </w:rPr>
        <w:t xml:space="preserve">hile the defendant’s counsel referred to </w:t>
      </w:r>
      <w:r w:rsidR="00115A78" w:rsidRPr="00115A78">
        <w:rPr>
          <w:rFonts w:ascii="Arial" w:hAnsi="Arial" w:cs="Arial"/>
          <w:i/>
          <w:iCs/>
          <w:lang w:val="en-US"/>
        </w:rPr>
        <w:t>R</w:t>
      </w:r>
      <w:r w:rsidR="00C30ACD" w:rsidRPr="00115A78">
        <w:rPr>
          <w:rFonts w:ascii="Arial" w:hAnsi="Arial" w:cs="Arial"/>
          <w:i/>
          <w:iCs/>
          <w:lang w:val="en-US"/>
        </w:rPr>
        <w:t>ahim and 14 Others v Minister of Home Affairs</w:t>
      </w:r>
      <w:r w:rsidR="00C30ACD" w:rsidRPr="00115A78">
        <w:rPr>
          <w:rFonts w:ascii="Arial" w:hAnsi="Arial" w:cs="Arial"/>
          <w:lang w:val="en-US"/>
        </w:rPr>
        <w:t xml:space="preserve"> (</w:t>
      </w:r>
      <w:r w:rsidR="00C30ACD" w:rsidRPr="00115A78">
        <w:rPr>
          <w:rFonts w:ascii="Arial" w:hAnsi="Arial" w:cs="Arial"/>
          <w:i/>
          <w:iCs/>
          <w:lang w:val="en-US"/>
        </w:rPr>
        <w:t>supra</w:t>
      </w:r>
      <w:r w:rsidR="00C30ACD" w:rsidRPr="00115A78">
        <w:rPr>
          <w:rFonts w:ascii="Arial" w:hAnsi="Arial" w:cs="Arial"/>
          <w:lang w:val="en-US"/>
        </w:rPr>
        <w:t xml:space="preserve">); </w:t>
      </w:r>
      <w:r w:rsidR="00C30ACD" w:rsidRPr="00115A78">
        <w:rPr>
          <w:rFonts w:ascii="Arial" w:hAnsi="Arial" w:cs="Arial"/>
          <w:i/>
          <w:iCs/>
          <w:lang w:val="en-US"/>
        </w:rPr>
        <w:t xml:space="preserve">Minister of Safety and Security v Tyulu </w:t>
      </w:r>
      <w:r w:rsidR="00C30ACD" w:rsidRPr="00115A78">
        <w:rPr>
          <w:rFonts w:ascii="Arial" w:hAnsi="Arial" w:cs="Arial"/>
          <w:lang w:val="en-US"/>
        </w:rPr>
        <w:t xml:space="preserve">2009 (5) SA 85 (SCA);  </w:t>
      </w:r>
      <w:r w:rsidR="00C30ACD" w:rsidRPr="00115A78">
        <w:rPr>
          <w:rFonts w:ascii="Arial" w:hAnsi="Arial" w:cs="Arial"/>
          <w:i/>
          <w:iCs/>
          <w:lang w:val="en-US"/>
        </w:rPr>
        <w:t>Ngwenya v Minister of Police</w:t>
      </w:r>
      <w:r w:rsidR="00C30ACD" w:rsidRPr="00115A78">
        <w:rPr>
          <w:rFonts w:ascii="Arial" w:hAnsi="Arial" w:cs="Arial"/>
          <w:lang w:val="en-US"/>
        </w:rPr>
        <w:t xml:space="preserve"> (924/2016) [2017] ZANWHC 78 (2 November 2017).  I have been </w:t>
      </w:r>
      <w:r w:rsidR="00F3243F">
        <w:rPr>
          <w:rFonts w:ascii="Arial" w:hAnsi="Arial" w:cs="Arial"/>
          <w:lang w:val="en-US"/>
        </w:rPr>
        <w:t>u</w:t>
      </w:r>
      <w:r w:rsidR="00C30ACD" w:rsidRPr="00115A78">
        <w:rPr>
          <w:rFonts w:ascii="Arial" w:hAnsi="Arial" w:cs="Arial"/>
          <w:lang w:val="en-US"/>
        </w:rPr>
        <w:t xml:space="preserve">nable to access to the cases of </w:t>
      </w:r>
      <w:r w:rsidR="00C30ACD" w:rsidRPr="00115A78">
        <w:rPr>
          <w:rFonts w:ascii="Arial" w:hAnsi="Arial" w:cs="Arial"/>
          <w:i/>
          <w:iCs/>
          <w:lang w:val="en-US"/>
        </w:rPr>
        <w:t>Gulane</w:t>
      </w:r>
      <w:r w:rsidR="00C30ACD" w:rsidRPr="00115A78">
        <w:rPr>
          <w:rFonts w:ascii="Arial" w:hAnsi="Arial" w:cs="Arial"/>
          <w:lang w:val="en-US"/>
        </w:rPr>
        <w:t xml:space="preserve"> and </w:t>
      </w:r>
      <w:r w:rsidR="00C30ACD" w:rsidRPr="00115A78">
        <w:rPr>
          <w:rFonts w:ascii="Arial" w:hAnsi="Arial" w:cs="Arial"/>
          <w:i/>
          <w:iCs/>
          <w:lang w:val="en-US"/>
        </w:rPr>
        <w:t>Matshe</w:t>
      </w:r>
      <w:r w:rsidR="00C30ACD" w:rsidRPr="00115A78">
        <w:rPr>
          <w:rFonts w:ascii="Arial" w:hAnsi="Arial" w:cs="Arial"/>
          <w:lang w:val="en-US"/>
        </w:rPr>
        <w:t xml:space="preserve"> respectively </w:t>
      </w:r>
      <w:r w:rsidR="00C30ACD" w:rsidRPr="00115A78">
        <w:rPr>
          <w:rFonts w:ascii="Arial" w:hAnsi="Arial" w:cs="Arial"/>
          <w:i/>
          <w:iCs/>
          <w:lang w:val="en-US"/>
        </w:rPr>
        <w:t>v Minister of Police</w:t>
      </w:r>
      <w:r w:rsidR="00C30ACD" w:rsidRPr="00115A78">
        <w:rPr>
          <w:rFonts w:ascii="Arial" w:hAnsi="Arial" w:cs="Arial"/>
          <w:lang w:val="en-US"/>
        </w:rPr>
        <w:t xml:space="preserve"> which have been referred to in paragraph 57 of counsel’s written heads of argument.  That paragraph seems to be a regurgitation of a portion of paragraph 24 </w:t>
      </w:r>
      <w:r w:rsidR="00502345">
        <w:rPr>
          <w:rFonts w:ascii="Arial" w:hAnsi="Arial" w:cs="Arial"/>
          <w:lang w:val="en-US"/>
        </w:rPr>
        <w:t>i</w:t>
      </w:r>
      <w:r w:rsidR="00C30ACD" w:rsidRPr="00115A78">
        <w:rPr>
          <w:rFonts w:ascii="Arial" w:hAnsi="Arial" w:cs="Arial"/>
          <w:lang w:val="en-US"/>
        </w:rPr>
        <w:t xml:space="preserve">n </w:t>
      </w:r>
      <w:r w:rsidR="00C30ACD" w:rsidRPr="00115A78">
        <w:rPr>
          <w:rFonts w:ascii="Arial" w:hAnsi="Arial" w:cs="Arial"/>
          <w:i/>
          <w:iCs/>
          <w:lang w:val="en-US"/>
        </w:rPr>
        <w:t>Moumakwe v Minister of Police</w:t>
      </w:r>
      <w:r w:rsidR="00C30ACD" w:rsidRPr="00115A78">
        <w:rPr>
          <w:rFonts w:ascii="Arial" w:hAnsi="Arial" w:cs="Arial"/>
          <w:lang w:val="en-US"/>
        </w:rPr>
        <w:t xml:space="preserve"> (1046/2020) [2023] (ZANWHC 59) (24 May 2023) wherein Reddy AJ said</w:t>
      </w:r>
      <w:r w:rsidR="004067DE">
        <w:rPr>
          <w:rFonts w:ascii="Arial" w:hAnsi="Arial" w:cs="Arial"/>
          <w:lang w:val="en-US"/>
        </w:rPr>
        <w:t xml:space="preserve"> the following:</w:t>
      </w:r>
      <w:r w:rsidR="00EB2EF6">
        <w:rPr>
          <w:rFonts w:ascii="Arial" w:hAnsi="Arial" w:cs="Arial"/>
          <w:lang w:val="en-US"/>
        </w:rPr>
        <w:t xml:space="preserve"> </w:t>
      </w:r>
      <w:r w:rsidR="009D571E">
        <w:rPr>
          <w:rFonts w:ascii="Arial" w:hAnsi="Arial" w:cs="Arial"/>
          <w:lang w:val="en-US"/>
        </w:rPr>
        <w:t>“</w:t>
      </w:r>
      <w:r w:rsidR="00EB2EF6" w:rsidRPr="00EB2EF6">
        <w:rPr>
          <w:rFonts w:ascii="Arial" w:hAnsi="Arial" w:cs="Arial"/>
          <w:color w:val="0D0D0D"/>
          <w:lang w:val="en-US"/>
        </w:rPr>
        <w:t>In </w:t>
      </w:r>
      <w:r w:rsidR="00EB2EF6" w:rsidRPr="00EB2EF6">
        <w:rPr>
          <w:rFonts w:ascii="Arial" w:hAnsi="Arial" w:cs="Arial"/>
          <w:i/>
          <w:iCs/>
          <w:color w:val="242121"/>
          <w:lang w:val="en-US"/>
        </w:rPr>
        <w:t>Tobase</w:t>
      </w:r>
      <w:r w:rsidR="00EB2EF6" w:rsidRPr="00EB2EF6">
        <w:rPr>
          <w:rFonts w:ascii="Arial" w:hAnsi="Arial" w:cs="Arial"/>
          <w:color w:val="242121"/>
          <w:shd w:val="clear" w:color="auto" w:fill="FFFFFF"/>
          <w:lang w:val="en-US"/>
        </w:rPr>
        <w:t> </w:t>
      </w:r>
      <w:r w:rsidR="00EB2EF6" w:rsidRPr="00EB2EF6">
        <w:rPr>
          <w:rFonts w:ascii="Arial" w:hAnsi="Arial" w:cs="Arial"/>
          <w:i/>
          <w:iCs/>
          <w:color w:val="242121"/>
          <w:lang w:val="en-US"/>
        </w:rPr>
        <w:t>v Minister of</w:t>
      </w:r>
      <w:r w:rsidR="00EB2EF6" w:rsidRPr="00EB2EF6">
        <w:rPr>
          <w:rFonts w:ascii="Arial" w:hAnsi="Arial" w:cs="Arial"/>
          <w:color w:val="242121"/>
          <w:shd w:val="clear" w:color="auto" w:fill="FFFFFF"/>
          <w:lang w:val="en-US"/>
        </w:rPr>
        <w:t> </w:t>
      </w:r>
      <w:r w:rsidR="00EB2EF6" w:rsidRPr="00EB2EF6">
        <w:rPr>
          <w:rFonts w:ascii="Arial" w:hAnsi="Arial" w:cs="Arial"/>
          <w:i/>
          <w:iCs/>
          <w:color w:val="242121"/>
          <w:lang w:val="en-US"/>
        </w:rPr>
        <w:t>Police</w:t>
      </w:r>
      <w:r w:rsidR="00EB2EF6" w:rsidRPr="00EB2EF6">
        <w:rPr>
          <w:rFonts w:ascii="Arial" w:hAnsi="Arial" w:cs="Arial"/>
          <w:color w:val="242121"/>
          <w:shd w:val="clear" w:color="auto" w:fill="FFFFFF"/>
          <w:lang w:val="en-US"/>
        </w:rPr>
        <w:t> </w:t>
      </w:r>
      <w:r w:rsidR="00EB2EF6" w:rsidRPr="00EB2EF6">
        <w:rPr>
          <w:rFonts w:ascii="Arial" w:hAnsi="Arial" w:cs="Arial"/>
          <w:i/>
          <w:iCs/>
          <w:color w:val="242121"/>
          <w:lang w:val="en-US"/>
        </w:rPr>
        <w:t>and Others</w:t>
      </w:r>
      <w:r w:rsidR="00EB2EF6" w:rsidRPr="00EB2EF6">
        <w:rPr>
          <w:rFonts w:ascii="Arial" w:hAnsi="Arial" w:cs="Arial"/>
          <w:color w:val="242121"/>
          <w:shd w:val="clear" w:color="auto" w:fill="FFFFFF"/>
          <w:lang w:val="en-US"/>
        </w:rPr>
        <w:t> CIV APP MG 10/2021</w:t>
      </w:r>
      <w:r w:rsidR="008C0BA1">
        <w:rPr>
          <w:rFonts w:ascii="Arial" w:hAnsi="Arial" w:cs="Arial"/>
          <w:color w:val="242121"/>
          <w:shd w:val="clear" w:color="auto" w:fill="FFFFFF"/>
          <w:lang w:val="en-US"/>
        </w:rPr>
        <w:t xml:space="preserve"> </w:t>
      </w:r>
      <w:r w:rsidR="00EB2EF6" w:rsidRPr="00EB2EF6">
        <w:rPr>
          <w:rFonts w:ascii="Arial" w:hAnsi="Arial" w:cs="Arial"/>
          <w:color w:val="242121"/>
          <w:shd w:val="clear" w:color="auto" w:fill="FFFFFF"/>
          <w:lang w:val="en-US"/>
        </w:rPr>
        <w:t>(3 December 2021)</w:t>
      </w:r>
      <w:r w:rsidR="00EB2EF6" w:rsidRPr="00EB2EF6">
        <w:rPr>
          <w:rFonts w:ascii="Arial" w:hAnsi="Arial" w:cs="Arial"/>
          <w:color w:val="242121"/>
          <w:lang w:val="en-US"/>
        </w:rPr>
        <w:t> </w:t>
      </w:r>
      <w:r w:rsidR="00EB2EF6" w:rsidRPr="00EB2EF6">
        <w:rPr>
          <w:rFonts w:ascii="Arial" w:hAnsi="Arial" w:cs="Arial"/>
          <w:color w:val="242121"/>
          <w:shd w:val="clear" w:color="auto" w:fill="FFFFFF"/>
          <w:lang w:val="en-US"/>
        </w:rPr>
        <w:t>Hendricks </w:t>
      </w:r>
      <w:r w:rsidR="00EB2EF6" w:rsidRPr="00EB2EF6">
        <w:rPr>
          <w:rFonts w:ascii="Arial" w:hAnsi="Arial" w:cs="Arial"/>
          <w:color w:val="242121"/>
          <w:lang w:val="en-US"/>
        </w:rPr>
        <w:t>DJP (as he then was) addressed this notion wherein the following was stated:</w:t>
      </w:r>
      <w:r w:rsidR="009D571E">
        <w:rPr>
          <w:rFonts w:ascii="Arial" w:hAnsi="Arial" w:cs="Arial"/>
          <w:color w:val="242121"/>
          <w:lang w:val="en-US"/>
        </w:rPr>
        <w:t xml:space="preserve"> </w:t>
      </w:r>
    </w:p>
    <w:p w14:paraId="2601C475" w14:textId="6D6CBD6A" w:rsidR="003731A8" w:rsidRPr="00115A78" w:rsidRDefault="00EB2EF6" w:rsidP="00AC2E0A">
      <w:pPr>
        <w:shd w:val="clear" w:color="auto" w:fill="FFFFFF"/>
        <w:ind w:left="284"/>
        <w:jc w:val="both"/>
        <w:rPr>
          <w:rFonts w:cs="Arial"/>
          <w:lang w:val="en-US"/>
        </w:rPr>
      </w:pPr>
      <w:r w:rsidRPr="00EB2EF6">
        <w:rPr>
          <w:rFonts w:ascii="Verdana" w:hAnsi="Verdana"/>
          <w:color w:val="242121"/>
          <w:sz w:val="20"/>
          <w:lang w:val="en-US"/>
        </w:rPr>
        <w:t> </w:t>
      </w:r>
      <w:r w:rsidRPr="00EB2EF6">
        <w:rPr>
          <w:rFonts w:cs="Arial"/>
          <w:i/>
          <w:iCs/>
          <w:color w:val="242121"/>
          <w:sz w:val="20"/>
          <w:lang w:val="en-US"/>
        </w:rPr>
        <w:t>[15]</w:t>
      </w:r>
      <w:r w:rsidRPr="00EB2EF6">
        <w:rPr>
          <w:rFonts w:cs="Arial"/>
          <w:color w:val="242121"/>
          <w:sz w:val="20"/>
          <w:lang w:val="en-US"/>
        </w:rPr>
        <w:t> </w:t>
      </w:r>
      <w:r w:rsidRPr="00EB2EF6">
        <w:rPr>
          <w:rFonts w:cs="Arial"/>
          <w:i/>
          <w:iCs/>
          <w:color w:val="242121"/>
          <w:sz w:val="20"/>
          <w:lang w:val="en-US"/>
        </w:rPr>
        <w:t>In </w:t>
      </w:r>
      <w:r w:rsidRPr="00EB2EF6">
        <w:rPr>
          <w:rFonts w:cs="Arial"/>
          <w:b/>
          <w:bCs/>
          <w:i/>
          <w:iCs/>
          <w:color w:val="242121"/>
          <w:sz w:val="20"/>
          <w:lang w:val="en-US"/>
        </w:rPr>
        <w:t>Ngwenya</w:t>
      </w:r>
      <w:r w:rsidRPr="00EB2EF6">
        <w:rPr>
          <w:rFonts w:cs="Arial"/>
          <w:color w:val="242121"/>
          <w:sz w:val="20"/>
          <w:lang w:val="en-US"/>
        </w:rPr>
        <w:t> </w:t>
      </w:r>
      <w:r w:rsidRPr="00EB2EF6">
        <w:rPr>
          <w:rFonts w:cs="Arial"/>
          <w:b/>
          <w:bCs/>
          <w:i/>
          <w:iCs/>
          <w:color w:val="242121"/>
          <w:sz w:val="20"/>
          <w:lang w:val="en-US"/>
        </w:rPr>
        <w:t>v Minister of Police </w:t>
      </w:r>
      <w:r w:rsidRPr="00EB2EF6">
        <w:rPr>
          <w:rFonts w:cs="Arial"/>
          <w:i/>
          <w:iCs/>
          <w:color w:val="242121"/>
          <w:sz w:val="20"/>
          <w:lang w:val="en-US"/>
        </w:rPr>
        <w:t>(92412016) </w:t>
      </w:r>
      <w:hyperlink r:id="rId1" w:tooltip="View LawCiteRecord" w:history="1">
        <w:r w:rsidRPr="00EB2EF6">
          <w:rPr>
            <w:rStyle w:val="Hyperlink"/>
            <w:rFonts w:cs="Arial"/>
            <w:b/>
            <w:bCs/>
            <w:color w:val="0B4B0B"/>
            <w:sz w:val="20"/>
            <w:lang w:val="en-US"/>
          </w:rPr>
          <w:t>[2019] 3 ZANWHC 3</w:t>
        </w:r>
      </w:hyperlink>
      <w:r w:rsidRPr="00EB2EF6">
        <w:rPr>
          <w:rFonts w:cs="Arial"/>
          <w:color w:val="242121"/>
          <w:sz w:val="20"/>
          <w:lang w:val="en-US"/>
        </w:rPr>
        <w:t> </w:t>
      </w:r>
      <w:r w:rsidRPr="00EB2EF6">
        <w:rPr>
          <w:rFonts w:cs="Arial"/>
          <w:i/>
          <w:iCs/>
          <w:color w:val="242121"/>
          <w:sz w:val="20"/>
          <w:lang w:val="en-US"/>
        </w:rPr>
        <w:t>(7 February 2019) this Court awarded R15 000.00 per day for unlawful arrest and detention. The same amount </w:t>
      </w:r>
      <w:r w:rsidRPr="00EB2EF6">
        <w:rPr>
          <w:rFonts w:cs="Arial"/>
          <w:color w:val="242121"/>
          <w:sz w:val="20"/>
          <w:lang w:val="en-US"/>
        </w:rPr>
        <w:t>was </w:t>
      </w:r>
      <w:r w:rsidRPr="00EB2EF6">
        <w:rPr>
          <w:rFonts w:cs="Arial"/>
          <w:i/>
          <w:iCs/>
          <w:color w:val="242121"/>
          <w:sz w:val="20"/>
          <w:lang w:val="en-US"/>
        </w:rPr>
        <w:t>awarded in the matter</w:t>
      </w:r>
      <w:r w:rsidRPr="00EB2EF6">
        <w:rPr>
          <w:rFonts w:cs="Arial"/>
          <w:color w:val="242121"/>
          <w:sz w:val="20"/>
          <w:lang w:val="en-US"/>
        </w:rPr>
        <w:t> </w:t>
      </w:r>
      <w:r w:rsidRPr="00EB2EF6">
        <w:rPr>
          <w:rFonts w:cs="Arial"/>
          <w:i/>
          <w:iCs/>
          <w:color w:val="242121"/>
          <w:sz w:val="20"/>
          <w:lang w:val="en-US"/>
        </w:rPr>
        <w:t>of </w:t>
      </w:r>
      <w:r w:rsidRPr="00EB2EF6">
        <w:rPr>
          <w:rFonts w:cs="Arial"/>
          <w:b/>
          <w:bCs/>
          <w:i/>
          <w:iCs/>
          <w:color w:val="242121"/>
          <w:sz w:val="20"/>
          <w:lang w:val="en-US"/>
        </w:rPr>
        <w:t>Gulane v Minister</w:t>
      </w:r>
      <w:r w:rsidRPr="00EB2EF6">
        <w:rPr>
          <w:rFonts w:cs="Arial"/>
          <w:color w:val="242121"/>
          <w:sz w:val="20"/>
          <w:lang w:val="en-US"/>
        </w:rPr>
        <w:t> </w:t>
      </w:r>
      <w:r w:rsidRPr="00EB2EF6">
        <w:rPr>
          <w:rFonts w:cs="Arial"/>
          <w:b/>
          <w:bCs/>
          <w:i/>
          <w:iCs/>
          <w:color w:val="242121"/>
          <w:sz w:val="20"/>
          <w:lang w:val="en-US"/>
        </w:rPr>
        <w:t>of Police</w:t>
      </w:r>
      <w:r w:rsidRPr="00EB2EF6">
        <w:rPr>
          <w:rFonts w:cs="Arial"/>
          <w:color w:val="242121"/>
          <w:sz w:val="20"/>
          <w:lang w:val="en-US"/>
        </w:rPr>
        <w:t> </w:t>
      </w:r>
      <w:r w:rsidRPr="00EB2EF6">
        <w:rPr>
          <w:rFonts w:cs="Arial"/>
          <w:i/>
          <w:iCs/>
          <w:color w:val="242121"/>
          <w:sz w:val="20"/>
          <w:lang w:val="en-US"/>
        </w:rPr>
        <w:t>CIV APP MG 21/2019, in an appeal which emanated from the Magistrate Court, Potchefstroom</w:t>
      </w:r>
      <w:r w:rsidRPr="00EB2EF6">
        <w:rPr>
          <w:rFonts w:cs="Arial"/>
          <w:color w:val="242121"/>
          <w:sz w:val="20"/>
          <w:lang w:val="en-US"/>
        </w:rPr>
        <w:t> </w:t>
      </w:r>
      <w:r w:rsidRPr="00EB2EF6">
        <w:rPr>
          <w:rFonts w:cs="Arial"/>
          <w:i/>
          <w:iCs/>
          <w:color w:val="242121"/>
          <w:sz w:val="20"/>
          <w:lang w:val="en-US"/>
        </w:rPr>
        <w:t>and decided by </w:t>
      </w:r>
      <w:r w:rsidRPr="00EB2EF6">
        <w:rPr>
          <w:rFonts w:cs="Arial"/>
          <w:b/>
          <w:bCs/>
          <w:i/>
          <w:iCs/>
          <w:color w:val="242121"/>
          <w:sz w:val="20"/>
          <w:lang w:val="en-US"/>
        </w:rPr>
        <w:t>Petersen</w:t>
      </w:r>
      <w:r w:rsidRPr="00EB2EF6">
        <w:rPr>
          <w:rFonts w:cs="Arial"/>
          <w:color w:val="242121"/>
          <w:sz w:val="20"/>
          <w:lang w:val="en-US"/>
        </w:rPr>
        <w:t> </w:t>
      </w:r>
      <w:r w:rsidRPr="00EB2EF6">
        <w:rPr>
          <w:rFonts w:cs="Arial"/>
          <w:b/>
          <w:bCs/>
          <w:i/>
          <w:iCs/>
          <w:color w:val="242121"/>
          <w:sz w:val="20"/>
          <w:lang w:val="en-US"/>
        </w:rPr>
        <w:t>J</w:t>
      </w:r>
      <w:r w:rsidRPr="00EB2EF6">
        <w:rPr>
          <w:rFonts w:cs="Arial"/>
          <w:color w:val="242121"/>
          <w:sz w:val="20"/>
          <w:lang w:val="en-US"/>
        </w:rPr>
        <w:t> </w:t>
      </w:r>
      <w:r w:rsidRPr="00EB2EF6">
        <w:rPr>
          <w:rFonts w:cs="Arial"/>
          <w:i/>
          <w:iCs/>
          <w:color w:val="242121"/>
          <w:sz w:val="20"/>
          <w:lang w:val="en-US"/>
        </w:rPr>
        <w:t>et </w:t>
      </w:r>
      <w:r w:rsidRPr="00EB2EF6">
        <w:rPr>
          <w:rFonts w:cs="Arial"/>
          <w:b/>
          <w:bCs/>
          <w:i/>
          <w:iCs/>
          <w:color w:val="242121"/>
          <w:sz w:val="20"/>
          <w:lang w:val="en-US"/>
        </w:rPr>
        <w:t>Gura</w:t>
      </w:r>
      <w:r w:rsidRPr="00EB2EF6">
        <w:rPr>
          <w:rFonts w:cs="Arial"/>
          <w:color w:val="242121"/>
          <w:sz w:val="20"/>
          <w:lang w:val="en-US"/>
        </w:rPr>
        <w:t> </w:t>
      </w:r>
      <w:r w:rsidRPr="00EB2EF6">
        <w:rPr>
          <w:rFonts w:cs="Arial"/>
          <w:b/>
          <w:bCs/>
          <w:i/>
          <w:iCs/>
          <w:color w:val="242121"/>
          <w:sz w:val="20"/>
          <w:lang w:val="en-US"/>
        </w:rPr>
        <w:t>J.</w:t>
      </w:r>
      <w:r w:rsidRPr="00EB2EF6">
        <w:rPr>
          <w:rFonts w:cs="Arial"/>
          <w:color w:val="242121"/>
          <w:sz w:val="20"/>
          <w:lang w:val="en-US"/>
        </w:rPr>
        <w:t> </w:t>
      </w:r>
      <w:r w:rsidRPr="00EB2EF6">
        <w:rPr>
          <w:rFonts w:cs="Arial"/>
          <w:b/>
          <w:bCs/>
          <w:i/>
          <w:iCs/>
          <w:color w:val="242121"/>
          <w:sz w:val="20"/>
          <w:lang w:val="en-US"/>
        </w:rPr>
        <w:t>Petersen</w:t>
      </w:r>
      <w:r w:rsidRPr="00EB2EF6">
        <w:rPr>
          <w:rFonts w:cs="Arial"/>
          <w:color w:val="242121"/>
          <w:sz w:val="20"/>
          <w:lang w:val="en-US"/>
        </w:rPr>
        <w:t> </w:t>
      </w:r>
      <w:r w:rsidRPr="00EB2EF6">
        <w:rPr>
          <w:rFonts w:cs="Arial"/>
          <w:b/>
          <w:bCs/>
          <w:i/>
          <w:iCs/>
          <w:color w:val="242121"/>
          <w:sz w:val="20"/>
          <w:lang w:val="en-US"/>
        </w:rPr>
        <w:t>J </w:t>
      </w:r>
      <w:r w:rsidRPr="00EB2EF6">
        <w:rPr>
          <w:rFonts w:cs="Arial"/>
          <w:i/>
          <w:iCs/>
          <w:color w:val="242121"/>
          <w:sz w:val="20"/>
          <w:lang w:val="en-US"/>
        </w:rPr>
        <w:t>et </w:t>
      </w:r>
      <w:r w:rsidRPr="00EB2EF6">
        <w:rPr>
          <w:rFonts w:cs="Arial"/>
          <w:b/>
          <w:bCs/>
          <w:i/>
          <w:iCs/>
          <w:color w:val="242121"/>
          <w:sz w:val="20"/>
          <w:lang w:val="en-US"/>
        </w:rPr>
        <w:t>Gura J </w:t>
      </w:r>
      <w:r w:rsidRPr="00EB2EF6">
        <w:rPr>
          <w:rFonts w:cs="Arial"/>
          <w:i/>
          <w:iCs/>
          <w:color w:val="242121"/>
          <w:sz w:val="20"/>
          <w:lang w:val="en-US"/>
        </w:rPr>
        <w:t>did also in the matter of </w:t>
      </w:r>
      <w:r w:rsidRPr="00EB2EF6">
        <w:rPr>
          <w:rFonts w:cs="Arial"/>
          <w:b/>
          <w:bCs/>
          <w:i/>
          <w:iCs/>
          <w:color w:val="242121"/>
          <w:sz w:val="20"/>
          <w:lang w:val="en-US"/>
        </w:rPr>
        <w:t>Matshe</w:t>
      </w:r>
      <w:r w:rsidRPr="00EB2EF6">
        <w:rPr>
          <w:rFonts w:cs="Arial"/>
          <w:color w:val="242121"/>
          <w:sz w:val="20"/>
          <w:lang w:val="en-US"/>
        </w:rPr>
        <w:t> </w:t>
      </w:r>
      <w:r w:rsidRPr="00EB2EF6">
        <w:rPr>
          <w:rFonts w:cs="Arial"/>
          <w:b/>
          <w:bCs/>
          <w:i/>
          <w:iCs/>
          <w:color w:val="242121"/>
          <w:sz w:val="20"/>
          <w:lang w:val="en-US"/>
        </w:rPr>
        <w:t>v Minister</w:t>
      </w:r>
      <w:r w:rsidRPr="00EB2EF6">
        <w:rPr>
          <w:rFonts w:cs="Arial"/>
          <w:color w:val="242121"/>
          <w:sz w:val="20"/>
          <w:lang w:val="en-US"/>
        </w:rPr>
        <w:t> </w:t>
      </w:r>
      <w:r w:rsidRPr="00EB2EF6">
        <w:rPr>
          <w:rFonts w:cs="Arial"/>
          <w:b/>
          <w:bCs/>
          <w:i/>
          <w:iCs/>
          <w:color w:val="242121"/>
          <w:sz w:val="20"/>
          <w:lang w:val="en-US"/>
        </w:rPr>
        <w:t>of Police, </w:t>
      </w:r>
      <w:r w:rsidRPr="00EB2EF6">
        <w:rPr>
          <w:rFonts w:cs="Arial"/>
          <w:color w:val="242121"/>
          <w:sz w:val="20"/>
          <w:lang w:val="en-US"/>
        </w:rPr>
        <w:t>case </w:t>
      </w:r>
      <w:r w:rsidRPr="00EB2EF6">
        <w:rPr>
          <w:rFonts w:cs="Arial"/>
          <w:i/>
          <w:iCs/>
          <w:color w:val="242121"/>
          <w:sz w:val="20"/>
          <w:lang w:val="en-US"/>
        </w:rPr>
        <w:t>number CIV APP RC 10/2020, likewise, award an amount of R15 000.00 per day for each of the two days that the appellant</w:t>
      </w:r>
      <w:r w:rsidRPr="00EB2EF6">
        <w:rPr>
          <w:rFonts w:cs="Arial"/>
          <w:color w:val="242121"/>
          <w:sz w:val="20"/>
          <w:lang w:val="en-US"/>
        </w:rPr>
        <w:t> was </w:t>
      </w:r>
      <w:r w:rsidRPr="00EB2EF6">
        <w:rPr>
          <w:rFonts w:cs="Arial"/>
          <w:i/>
          <w:iCs/>
          <w:color w:val="242121"/>
          <w:sz w:val="20"/>
          <w:lang w:val="en-US"/>
        </w:rPr>
        <w:t>detained.”</w:t>
      </w:r>
      <w:r w:rsidR="00C30ACD" w:rsidRPr="00115A78">
        <w:rPr>
          <w:rFonts w:cs="Arial"/>
          <w:lang w:val="en-US"/>
        </w:rPr>
        <w:t xml:space="preserve"> </w:t>
      </w:r>
    </w:p>
  </w:footnote>
  <w:footnote w:id="6">
    <w:p w14:paraId="6C9CDEE2" w14:textId="4505DE2D" w:rsidR="006524E3" w:rsidRPr="00717B67" w:rsidRDefault="006524E3" w:rsidP="00F232A5">
      <w:pPr>
        <w:pStyle w:val="FootnoteText"/>
        <w:spacing w:after="0" w:line="240" w:lineRule="auto"/>
        <w:jc w:val="both"/>
        <w:rPr>
          <w:rFonts w:ascii="Arial" w:hAnsi="Arial" w:cs="Arial"/>
          <w:lang w:val="en-US"/>
        </w:rPr>
      </w:pPr>
      <w:r w:rsidRPr="00717B67">
        <w:rPr>
          <w:rStyle w:val="FootnoteReference"/>
          <w:rFonts w:ascii="Arial" w:hAnsi="Arial" w:cs="Arial"/>
        </w:rPr>
        <w:footnoteRef/>
      </w:r>
      <w:r w:rsidRPr="00717B67">
        <w:rPr>
          <w:rFonts w:ascii="Arial" w:hAnsi="Arial" w:cs="Arial"/>
        </w:rPr>
        <w:t xml:space="preserve"> </w:t>
      </w:r>
      <w:r w:rsidRPr="00717B67">
        <w:rPr>
          <w:rFonts w:ascii="Arial" w:hAnsi="Arial" w:cs="Arial"/>
          <w:i/>
          <w:iCs/>
          <w:lang w:val="en-US"/>
        </w:rPr>
        <w:t>Phungula v Minister of Police</w:t>
      </w:r>
      <w:r w:rsidRPr="00717B67">
        <w:rPr>
          <w:rFonts w:ascii="Arial" w:hAnsi="Arial" w:cs="Arial"/>
          <w:lang w:val="en-US"/>
        </w:rPr>
        <w:t xml:space="preserve"> 2018 (7K</w:t>
      </w:r>
      <w:r w:rsidR="00717B67">
        <w:rPr>
          <w:rFonts w:ascii="Arial" w:hAnsi="Arial" w:cs="Arial"/>
          <w:lang w:val="en-US"/>
        </w:rPr>
        <w:t>S</w:t>
      </w:r>
      <w:r w:rsidR="006843FA">
        <w:rPr>
          <w:rFonts w:ascii="Arial" w:hAnsi="Arial" w:cs="Arial"/>
          <w:lang w:val="en-US"/>
        </w:rPr>
        <w:t>)</w:t>
      </w:r>
      <w:r w:rsidRPr="00717B67">
        <w:rPr>
          <w:rFonts w:ascii="Arial" w:hAnsi="Arial" w:cs="Arial"/>
          <w:lang w:val="en-US"/>
        </w:rPr>
        <w:t xml:space="preserve"> QOD (KZP).</w:t>
      </w:r>
    </w:p>
  </w:footnote>
  <w:footnote w:id="7">
    <w:p w14:paraId="591F7D2F" w14:textId="5A1E35C5" w:rsidR="006524E3" w:rsidRPr="00717B67" w:rsidRDefault="006524E3" w:rsidP="00F232A5">
      <w:pPr>
        <w:pStyle w:val="FootnoteText"/>
        <w:spacing w:after="0" w:line="240" w:lineRule="auto"/>
        <w:jc w:val="both"/>
        <w:rPr>
          <w:rFonts w:ascii="Arial" w:hAnsi="Arial" w:cs="Arial"/>
          <w:lang w:val="en-US"/>
        </w:rPr>
      </w:pPr>
      <w:r w:rsidRPr="00717B67">
        <w:rPr>
          <w:rStyle w:val="FootnoteReference"/>
          <w:rFonts w:ascii="Arial" w:hAnsi="Arial" w:cs="Arial"/>
        </w:rPr>
        <w:footnoteRef/>
      </w:r>
      <w:r w:rsidRPr="00717B67">
        <w:rPr>
          <w:rFonts w:ascii="Arial" w:hAnsi="Arial" w:cs="Arial"/>
        </w:rPr>
        <w:t xml:space="preserve"> </w:t>
      </w:r>
      <w:r w:rsidR="00F12D87">
        <w:rPr>
          <w:rFonts w:ascii="Arial" w:hAnsi="Arial" w:cs="Arial"/>
          <w:i/>
          <w:iCs/>
        </w:rPr>
        <w:t xml:space="preserve">Woji v </w:t>
      </w:r>
      <w:r w:rsidRPr="00717B67">
        <w:rPr>
          <w:rFonts w:ascii="Arial" w:hAnsi="Arial" w:cs="Arial"/>
          <w:i/>
          <w:iCs/>
          <w:lang w:val="en-US"/>
        </w:rPr>
        <w:t xml:space="preserve">Minister of Police </w:t>
      </w:r>
      <w:r w:rsidRPr="00717B67">
        <w:rPr>
          <w:rFonts w:ascii="Arial" w:hAnsi="Arial" w:cs="Arial"/>
          <w:lang w:val="en-US"/>
        </w:rPr>
        <w:t>2015 (7K6</w:t>
      </w:r>
      <w:r w:rsidR="006843FA">
        <w:rPr>
          <w:rFonts w:ascii="Arial" w:hAnsi="Arial" w:cs="Arial"/>
          <w:lang w:val="en-US"/>
        </w:rPr>
        <w:t>)</w:t>
      </w:r>
      <w:r w:rsidRPr="00717B67">
        <w:rPr>
          <w:rFonts w:ascii="Arial" w:hAnsi="Arial" w:cs="Arial"/>
          <w:lang w:val="en-US"/>
        </w:rPr>
        <w:t xml:space="preserve"> QOD 95 (SCA).</w:t>
      </w:r>
    </w:p>
  </w:footnote>
  <w:footnote w:id="8">
    <w:p w14:paraId="2812624C" w14:textId="20096FC1" w:rsidR="006524E3" w:rsidRPr="00717B67" w:rsidRDefault="006524E3" w:rsidP="004E63EA">
      <w:pPr>
        <w:pStyle w:val="FootnoteText"/>
        <w:spacing w:after="0"/>
        <w:jc w:val="both"/>
        <w:rPr>
          <w:rFonts w:ascii="Arial" w:hAnsi="Arial" w:cs="Arial"/>
          <w:lang w:val="en-US"/>
        </w:rPr>
      </w:pPr>
      <w:r w:rsidRPr="00717B67">
        <w:rPr>
          <w:rStyle w:val="FootnoteReference"/>
          <w:rFonts w:ascii="Arial" w:hAnsi="Arial" w:cs="Arial"/>
        </w:rPr>
        <w:footnoteRef/>
      </w:r>
      <w:r w:rsidRPr="00717B67">
        <w:rPr>
          <w:rFonts w:ascii="Arial" w:hAnsi="Arial" w:cs="Arial"/>
        </w:rPr>
        <w:t xml:space="preserve"> </w:t>
      </w:r>
      <w:r w:rsidRPr="00717B67">
        <w:rPr>
          <w:rFonts w:ascii="Arial" w:hAnsi="Arial" w:cs="Arial"/>
          <w:i/>
          <w:iCs/>
          <w:lang w:val="en-US"/>
        </w:rPr>
        <w:t>Alves v LOM Business Solutions (Pty) Ltd and Another</w:t>
      </w:r>
      <w:r w:rsidRPr="00717B67">
        <w:rPr>
          <w:rFonts w:ascii="Arial" w:hAnsi="Arial" w:cs="Arial"/>
          <w:lang w:val="en-US"/>
        </w:rPr>
        <w:t xml:space="preserve"> 2011 (6K7</w:t>
      </w:r>
      <w:r w:rsidR="003676C7">
        <w:rPr>
          <w:rFonts w:ascii="Arial" w:hAnsi="Arial" w:cs="Arial"/>
          <w:lang w:val="en-US"/>
        </w:rPr>
        <w:t>)</w:t>
      </w:r>
      <w:r w:rsidRPr="00717B67">
        <w:rPr>
          <w:rFonts w:ascii="Arial" w:hAnsi="Arial" w:cs="Arial"/>
          <w:lang w:val="en-US"/>
        </w:rPr>
        <w:t xml:space="preserve"> QOD 1 (GSJ)</w:t>
      </w:r>
      <w:r w:rsidR="00F12D87">
        <w:rPr>
          <w:rFonts w:ascii="Arial" w:hAnsi="Arial" w:cs="Arial"/>
          <w:lang w:val="en-US"/>
        </w:rPr>
        <w:t>.</w:t>
      </w:r>
    </w:p>
  </w:footnote>
  <w:footnote w:id="9">
    <w:p w14:paraId="6451B880" w14:textId="159EA910" w:rsidR="006524E3" w:rsidRPr="00717B67" w:rsidRDefault="006524E3" w:rsidP="004E63EA">
      <w:pPr>
        <w:pStyle w:val="FootnoteText"/>
        <w:spacing w:after="0"/>
        <w:jc w:val="both"/>
        <w:rPr>
          <w:rFonts w:ascii="Arial" w:hAnsi="Arial" w:cs="Arial"/>
          <w:lang w:val="en-US"/>
        </w:rPr>
      </w:pPr>
      <w:r w:rsidRPr="00717B67">
        <w:rPr>
          <w:rStyle w:val="FootnoteReference"/>
          <w:rFonts w:ascii="Arial" w:hAnsi="Arial" w:cs="Arial"/>
        </w:rPr>
        <w:footnoteRef/>
      </w:r>
      <w:r w:rsidRPr="00717B67">
        <w:rPr>
          <w:rFonts w:ascii="Arial" w:hAnsi="Arial" w:cs="Arial"/>
        </w:rPr>
        <w:t xml:space="preserve"> </w:t>
      </w:r>
      <w:r w:rsidR="00BD5D1B">
        <w:rPr>
          <w:rFonts w:ascii="Arial" w:hAnsi="Arial" w:cs="Arial"/>
          <w:i/>
          <w:iCs/>
        </w:rPr>
        <w:t>R</w:t>
      </w:r>
      <w:r w:rsidRPr="00717B67">
        <w:rPr>
          <w:rFonts w:ascii="Arial" w:hAnsi="Arial" w:cs="Arial"/>
          <w:i/>
          <w:iCs/>
          <w:lang w:val="en-US"/>
        </w:rPr>
        <w:t>ahim and 14 Others vs Minister of Home Affairs</w:t>
      </w:r>
      <w:r w:rsidRPr="00717B67">
        <w:rPr>
          <w:rFonts w:ascii="Arial" w:hAnsi="Arial" w:cs="Arial"/>
          <w:lang w:val="en-US"/>
        </w:rPr>
        <w:t xml:space="preserve"> 2015 </w:t>
      </w:r>
      <w:r w:rsidR="00146EC3">
        <w:rPr>
          <w:rFonts w:ascii="Arial" w:hAnsi="Arial" w:cs="Arial"/>
          <w:lang w:val="en-US"/>
        </w:rPr>
        <w:t>(</w:t>
      </w:r>
      <w:r w:rsidRPr="00717B67">
        <w:rPr>
          <w:rFonts w:ascii="Arial" w:hAnsi="Arial" w:cs="Arial"/>
          <w:lang w:val="en-US"/>
        </w:rPr>
        <w:t>7K6) QOD 191 (SCA).</w:t>
      </w:r>
    </w:p>
  </w:footnote>
  <w:footnote w:id="10">
    <w:p w14:paraId="2E1FFDDD" w14:textId="77777777" w:rsidR="006524E3" w:rsidRPr="00717B67" w:rsidRDefault="006524E3" w:rsidP="004E63EA">
      <w:pPr>
        <w:pStyle w:val="FootnoteText"/>
        <w:spacing w:after="0"/>
        <w:jc w:val="both"/>
        <w:rPr>
          <w:rFonts w:ascii="Arial" w:hAnsi="Arial" w:cs="Arial"/>
          <w:lang w:val="en-US"/>
        </w:rPr>
      </w:pPr>
      <w:r w:rsidRPr="00717B67">
        <w:rPr>
          <w:rStyle w:val="FootnoteReference"/>
          <w:rFonts w:ascii="Arial" w:hAnsi="Arial" w:cs="Arial"/>
        </w:rPr>
        <w:footnoteRef/>
      </w:r>
      <w:r w:rsidRPr="00717B67">
        <w:rPr>
          <w:rFonts w:ascii="Arial" w:hAnsi="Arial" w:cs="Arial"/>
        </w:rPr>
        <w:t xml:space="preserve"> </w:t>
      </w:r>
      <w:r w:rsidRPr="00717B67">
        <w:rPr>
          <w:rFonts w:ascii="Arial" w:hAnsi="Arial" w:cs="Arial"/>
          <w:i/>
          <w:iCs/>
          <w:lang w:val="en-US"/>
        </w:rPr>
        <w:t xml:space="preserve">Richards v Minister of Police </w:t>
      </w:r>
      <w:r w:rsidRPr="00717B67">
        <w:rPr>
          <w:rFonts w:ascii="Arial" w:hAnsi="Arial" w:cs="Arial"/>
          <w:lang w:val="en-US"/>
        </w:rPr>
        <w:t xml:space="preserve">2015 (7K6) QOD 206 (GJ).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7A6CA" w14:textId="77777777" w:rsidR="00E72012" w:rsidRDefault="004A4969">
    <w:pPr>
      <w:pStyle w:val="Header"/>
      <w:framePr w:wrap="around" w:vAnchor="text" w:hAnchor="margin" w:xAlign="center" w:y="1"/>
      <w:rPr>
        <w:rStyle w:val="PageNumber"/>
      </w:rPr>
    </w:pPr>
    <w:r>
      <w:rPr>
        <w:rStyle w:val="PageNumber"/>
      </w:rPr>
      <w:fldChar w:fldCharType="begin"/>
    </w:r>
    <w:r w:rsidR="00ED5360">
      <w:rPr>
        <w:rStyle w:val="PageNumber"/>
      </w:rPr>
      <w:instrText xml:space="preserve">PAGE  </w:instrText>
    </w:r>
    <w:r>
      <w:rPr>
        <w:rStyle w:val="PageNumber"/>
      </w:rPr>
      <w:fldChar w:fldCharType="separate"/>
    </w:r>
    <w:r w:rsidR="00ED5360">
      <w:rPr>
        <w:rStyle w:val="PageNumber"/>
        <w:noProof/>
      </w:rPr>
      <w:t>1</w:t>
    </w:r>
    <w:r>
      <w:rPr>
        <w:rStyle w:val="PageNumber"/>
      </w:rPr>
      <w:fldChar w:fldCharType="end"/>
    </w:r>
  </w:p>
  <w:p w14:paraId="0BE662BC" w14:textId="77777777" w:rsidR="00E72012" w:rsidRDefault="00E72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180712"/>
      <w:docPartObj>
        <w:docPartGallery w:val="Page Numbers (Top of Page)"/>
        <w:docPartUnique/>
      </w:docPartObj>
    </w:sdtPr>
    <w:sdtEndPr>
      <w:rPr>
        <w:noProof/>
      </w:rPr>
    </w:sdtEndPr>
    <w:sdtContent>
      <w:p w14:paraId="2196DA52" w14:textId="6AEFDD19" w:rsidR="00AA41E3" w:rsidRDefault="00AA41E3">
        <w:pPr>
          <w:pStyle w:val="Header"/>
          <w:jc w:val="right"/>
        </w:pPr>
        <w:r>
          <w:fldChar w:fldCharType="begin"/>
        </w:r>
        <w:r>
          <w:instrText xml:space="preserve"> PAGE   \* MERGEFORMAT </w:instrText>
        </w:r>
        <w:r>
          <w:fldChar w:fldCharType="separate"/>
        </w:r>
        <w:r w:rsidR="00073A28">
          <w:rPr>
            <w:noProof/>
          </w:rPr>
          <w:t>2</w:t>
        </w:r>
        <w:r>
          <w:rPr>
            <w:noProof/>
          </w:rPr>
          <w:fldChar w:fldCharType="end"/>
        </w:r>
      </w:p>
    </w:sdtContent>
  </w:sdt>
  <w:p w14:paraId="6358CC8E" w14:textId="77777777" w:rsidR="009F41EC" w:rsidRDefault="009F4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24047"/>
    <w:multiLevelType w:val="hybridMultilevel"/>
    <w:tmpl w:val="085C06F6"/>
    <w:lvl w:ilvl="0" w:tplc="2BAA9A1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0D0378"/>
    <w:multiLevelType w:val="multilevel"/>
    <w:tmpl w:val="17D6DF18"/>
    <w:lvl w:ilvl="0">
      <w:start w:val="1"/>
      <w:numFmt w:val="decimal"/>
      <w:lvlText w:val="%1.    "/>
      <w:lvlJc w:val="left"/>
      <w:pPr>
        <w:tabs>
          <w:tab w:val="num" w:pos="1296"/>
        </w:tabs>
        <w:ind w:left="1296" w:hanging="1296"/>
      </w:p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2">
    <w:nsid w:val="1B193D1A"/>
    <w:multiLevelType w:val="multilevel"/>
    <w:tmpl w:val="7C484BB0"/>
    <w:lvl w:ilvl="0">
      <w:start w:val="1"/>
      <w:numFmt w:val="decimal"/>
      <w:lvlText w:val="%1.    "/>
      <w:lvlJc w:val="left"/>
      <w:pPr>
        <w:tabs>
          <w:tab w:val="num" w:pos="1296"/>
        </w:tabs>
        <w:ind w:left="1296" w:hanging="1296"/>
      </w:pPr>
      <w:rPr>
        <w:b w:val="0"/>
        <w:i w:val="0"/>
      </w:r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3">
    <w:nsid w:val="27854E0C"/>
    <w:multiLevelType w:val="multilevel"/>
    <w:tmpl w:val="17D6DF18"/>
    <w:lvl w:ilvl="0">
      <w:start w:val="1"/>
      <w:numFmt w:val="decimal"/>
      <w:lvlText w:val="%1.    "/>
      <w:lvlJc w:val="left"/>
      <w:pPr>
        <w:tabs>
          <w:tab w:val="num" w:pos="1296"/>
        </w:tabs>
        <w:ind w:left="1296" w:hanging="1296"/>
      </w:p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4">
    <w:nsid w:val="2A1D49E8"/>
    <w:multiLevelType w:val="multilevel"/>
    <w:tmpl w:val="7C484BB0"/>
    <w:lvl w:ilvl="0">
      <w:start w:val="1"/>
      <w:numFmt w:val="decimal"/>
      <w:lvlText w:val="%1.    "/>
      <w:lvlJc w:val="left"/>
      <w:pPr>
        <w:tabs>
          <w:tab w:val="num" w:pos="1296"/>
        </w:tabs>
        <w:ind w:left="1296" w:hanging="1296"/>
      </w:pPr>
      <w:rPr>
        <w:b w:val="0"/>
        <w:i w:val="0"/>
      </w:r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5">
    <w:nsid w:val="3D5933F1"/>
    <w:multiLevelType w:val="hybridMultilevel"/>
    <w:tmpl w:val="FEDE2226"/>
    <w:lvl w:ilvl="0" w:tplc="DDBAB2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D720E91"/>
    <w:multiLevelType w:val="multilevel"/>
    <w:tmpl w:val="261C5950"/>
    <w:lvl w:ilvl="0">
      <w:start w:val="1"/>
      <w:numFmt w:val="decimal"/>
      <w:lvlText w:val="[%1]"/>
      <w:lvlJc w:val="left"/>
      <w:pPr>
        <w:tabs>
          <w:tab w:val="num" w:pos="1276"/>
        </w:tabs>
        <w:ind w:left="1276" w:hanging="1134"/>
      </w:pPr>
      <w:rPr>
        <w:rFonts w:hint="default"/>
        <w:i w:val="0"/>
        <w:iCs w:val="0"/>
      </w:rPr>
    </w:lvl>
    <w:lvl w:ilvl="1">
      <w:start w:val="1"/>
      <w:numFmt w:val="decimal"/>
      <w:lvlText w:val="%1.%2."/>
      <w:lvlJc w:val="left"/>
      <w:pPr>
        <w:tabs>
          <w:tab w:val="num" w:pos="1985"/>
        </w:tabs>
        <w:ind w:left="1985" w:hanging="851"/>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686"/>
        </w:tabs>
        <w:ind w:left="3686"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E7"/>
    <w:rsid w:val="000113B6"/>
    <w:rsid w:val="0002741D"/>
    <w:rsid w:val="00031332"/>
    <w:rsid w:val="0004602B"/>
    <w:rsid w:val="00051E41"/>
    <w:rsid w:val="0005524B"/>
    <w:rsid w:val="000727FC"/>
    <w:rsid w:val="00072AC3"/>
    <w:rsid w:val="00073A28"/>
    <w:rsid w:val="0009582F"/>
    <w:rsid w:val="00095D3B"/>
    <w:rsid w:val="000B508B"/>
    <w:rsid w:val="000C337D"/>
    <w:rsid w:val="000C7227"/>
    <w:rsid w:val="000E5F7A"/>
    <w:rsid w:val="000E6DF3"/>
    <w:rsid w:val="000E7550"/>
    <w:rsid w:val="000F06FE"/>
    <w:rsid w:val="000F47C8"/>
    <w:rsid w:val="0010382C"/>
    <w:rsid w:val="001049F8"/>
    <w:rsid w:val="001108BD"/>
    <w:rsid w:val="00111B75"/>
    <w:rsid w:val="00115A78"/>
    <w:rsid w:val="00117F31"/>
    <w:rsid w:val="00122FDF"/>
    <w:rsid w:val="00124F64"/>
    <w:rsid w:val="0012577F"/>
    <w:rsid w:val="001315F6"/>
    <w:rsid w:val="00134851"/>
    <w:rsid w:val="00146EC3"/>
    <w:rsid w:val="00152A79"/>
    <w:rsid w:val="001716D3"/>
    <w:rsid w:val="0017402C"/>
    <w:rsid w:val="00175B59"/>
    <w:rsid w:val="0018274E"/>
    <w:rsid w:val="00183BA7"/>
    <w:rsid w:val="0019563E"/>
    <w:rsid w:val="001966AC"/>
    <w:rsid w:val="001A4338"/>
    <w:rsid w:val="001A6E11"/>
    <w:rsid w:val="001B13B8"/>
    <w:rsid w:val="001B2BAE"/>
    <w:rsid w:val="001C09B1"/>
    <w:rsid w:val="001C44F0"/>
    <w:rsid w:val="001C4D3A"/>
    <w:rsid w:val="001D26DA"/>
    <w:rsid w:val="001D35A1"/>
    <w:rsid w:val="001D4190"/>
    <w:rsid w:val="001E69C3"/>
    <w:rsid w:val="001F15E6"/>
    <w:rsid w:val="001F52F9"/>
    <w:rsid w:val="0020029C"/>
    <w:rsid w:val="002031B5"/>
    <w:rsid w:val="00206EB5"/>
    <w:rsid w:val="002136B3"/>
    <w:rsid w:val="00213E01"/>
    <w:rsid w:val="00223284"/>
    <w:rsid w:val="00230C8A"/>
    <w:rsid w:val="00235981"/>
    <w:rsid w:val="00240CF4"/>
    <w:rsid w:val="00242DB7"/>
    <w:rsid w:val="002566B7"/>
    <w:rsid w:val="002609EB"/>
    <w:rsid w:val="00261B45"/>
    <w:rsid w:val="00266120"/>
    <w:rsid w:val="00270436"/>
    <w:rsid w:val="00271BC6"/>
    <w:rsid w:val="00275F73"/>
    <w:rsid w:val="00277977"/>
    <w:rsid w:val="0028454A"/>
    <w:rsid w:val="00285E63"/>
    <w:rsid w:val="00292275"/>
    <w:rsid w:val="00296AD7"/>
    <w:rsid w:val="00296CF2"/>
    <w:rsid w:val="002A5DCB"/>
    <w:rsid w:val="002B2953"/>
    <w:rsid w:val="002C593A"/>
    <w:rsid w:val="002D3A7E"/>
    <w:rsid w:val="002D5FD0"/>
    <w:rsid w:val="002D7EA0"/>
    <w:rsid w:val="002E55C8"/>
    <w:rsid w:val="002F0FA2"/>
    <w:rsid w:val="00311909"/>
    <w:rsid w:val="0031502F"/>
    <w:rsid w:val="00337DAC"/>
    <w:rsid w:val="00351640"/>
    <w:rsid w:val="00360D36"/>
    <w:rsid w:val="00361B2E"/>
    <w:rsid w:val="003626B6"/>
    <w:rsid w:val="0036564A"/>
    <w:rsid w:val="003676C7"/>
    <w:rsid w:val="003731A8"/>
    <w:rsid w:val="003755AC"/>
    <w:rsid w:val="00394D87"/>
    <w:rsid w:val="003A4F76"/>
    <w:rsid w:val="003C0499"/>
    <w:rsid w:val="003C2887"/>
    <w:rsid w:val="003C5881"/>
    <w:rsid w:val="003D075E"/>
    <w:rsid w:val="003D4B21"/>
    <w:rsid w:val="003D52F0"/>
    <w:rsid w:val="003D69D4"/>
    <w:rsid w:val="003F7260"/>
    <w:rsid w:val="0040648C"/>
    <w:rsid w:val="004067DE"/>
    <w:rsid w:val="00410458"/>
    <w:rsid w:val="004277F1"/>
    <w:rsid w:val="004303D6"/>
    <w:rsid w:val="00435A4A"/>
    <w:rsid w:val="004364D3"/>
    <w:rsid w:val="00445174"/>
    <w:rsid w:val="00460CF5"/>
    <w:rsid w:val="0046121A"/>
    <w:rsid w:val="00464367"/>
    <w:rsid w:val="00466FDE"/>
    <w:rsid w:val="00473707"/>
    <w:rsid w:val="00476B3E"/>
    <w:rsid w:val="00480EE6"/>
    <w:rsid w:val="00482235"/>
    <w:rsid w:val="00483957"/>
    <w:rsid w:val="0049255F"/>
    <w:rsid w:val="004A2D71"/>
    <w:rsid w:val="004A35DE"/>
    <w:rsid w:val="004A4969"/>
    <w:rsid w:val="004B2ACF"/>
    <w:rsid w:val="004B3CC1"/>
    <w:rsid w:val="004C4C52"/>
    <w:rsid w:val="004D0532"/>
    <w:rsid w:val="004D7644"/>
    <w:rsid w:val="004D7ED6"/>
    <w:rsid w:val="004E017B"/>
    <w:rsid w:val="004E4176"/>
    <w:rsid w:val="004E63EA"/>
    <w:rsid w:val="004E6BDA"/>
    <w:rsid w:val="004F1294"/>
    <w:rsid w:val="004F29B0"/>
    <w:rsid w:val="004F2B82"/>
    <w:rsid w:val="004F7D75"/>
    <w:rsid w:val="00502345"/>
    <w:rsid w:val="00520A46"/>
    <w:rsid w:val="005408C9"/>
    <w:rsid w:val="0054379E"/>
    <w:rsid w:val="00543D45"/>
    <w:rsid w:val="00565442"/>
    <w:rsid w:val="0057155B"/>
    <w:rsid w:val="005806BD"/>
    <w:rsid w:val="0059251D"/>
    <w:rsid w:val="005B1CE4"/>
    <w:rsid w:val="005C144D"/>
    <w:rsid w:val="005C4D1E"/>
    <w:rsid w:val="005D316A"/>
    <w:rsid w:val="005E344C"/>
    <w:rsid w:val="005E53D9"/>
    <w:rsid w:val="005E7D94"/>
    <w:rsid w:val="005F1A1A"/>
    <w:rsid w:val="00610DC9"/>
    <w:rsid w:val="00613E12"/>
    <w:rsid w:val="0062021E"/>
    <w:rsid w:val="00620BE0"/>
    <w:rsid w:val="00644881"/>
    <w:rsid w:val="0064593E"/>
    <w:rsid w:val="00650698"/>
    <w:rsid w:val="006524E3"/>
    <w:rsid w:val="00662CBD"/>
    <w:rsid w:val="00667827"/>
    <w:rsid w:val="0067405F"/>
    <w:rsid w:val="00675BCC"/>
    <w:rsid w:val="0068004B"/>
    <w:rsid w:val="00680CE7"/>
    <w:rsid w:val="006843FA"/>
    <w:rsid w:val="00684A38"/>
    <w:rsid w:val="006B1237"/>
    <w:rsid w:val="006C662C"/>
    <w:rsid w:val="006D6AC3"/>
    <w:rsid w:val="006D6C9D"/>
    <w:rsid w:val="006D6D96"/>
    <w:rsid w:val="006E0B9C"/>
    <w:rsid w:val="00701B1F"/>
    <w:rsid w:val="00703697"/>
    <w:rsid w:val="0070546C"/>
    <w:rsid w:val="007121EF"/>
    <w:rsid w:val="00712264"/>
    <w:rsid w:val="00717B67"/>
    <w:rsid w:val="00725EA3"/>
    <w:rsid w:val="007305BA"/>
    <w:rsid w:val="007317AD"/>
    <w:rsid w:val="00734A81"/>
    <w:rsid w:val="007366A5"/>
    <w:rsid w:val="0076134C"/>
    <w:rsid w:val="0078335B"/>
    <w:rsid w:val="00785B63"/>
    <w:rsid w:val="007920FF"/>
    <w:rsid w:val="007A5104"/>
    <w:rsid w:val="007C426D"/>
    <w:rsid w:val="007D3FE9"/>
    <w:rsid w:val="007D63F0"/>
    <w:rsid w:val="007D6D4C"/>
    <w:rsid w:val="007D6ED6"/>
    <w:rsid w:val="007E3506"/>
    <w:rsid w:val="007E3F41"/>
    <w:rsid w:val="007E5F7A"/>
    <w:rsid w:val="007E731E"/>
    <w:rsid w:val="007F5383"/>
    <w:rsid w:val="007F7D67"/>
    <w:rsid w:val="007F7F49"/>
    <w:rsid w:val="00803058"/>
    <w:rsid w:val="00810117"/>
    <w:rsid w:val="008526E4"/>
    <w:rsid w:val="008539A2"/>
    <w:rsid w:val="00865F7F"/>
    <w:rsid w:val="008852AF"/>
    <w:rsid w:val="008924A0"/>
    <w:rsid w:val="00896F2F"/>
    <w:rsid w:val="008C0BA1"/>
    <w:rsid w:val="008C4F2F"/>
    <w:rsid w:val="008C52F2"/>
    <w:rsid w:val="008D698B"/>
    <w:rsid w:val="008E07F8"/>
    <w:rsid w:val="008E51D3"/>
    <w:rsid w:val="008F71A8"/>
    <w:rsid w:val="0090041D"/>
    <w:rsid w:val="00913D99"/>
    <w:rsid w:val="00913FC0"/>
    <w:rsid w:val="009141AC"/>
    <w:rsid w:val="00914AC1"/>
    <w:rsid w:val="00916D57"/>
    <w:rsid w:val="0092308D"/>
    <w:rsid w:val="00933076"/>
    <w:rsid w:val="00934525"/>
    <w:rsid w:val="00935724"/>
    <w:rsid w:val="00935BF8"/>
    <w:rsid w:val="00956146"/>
    <w:rsid w:val="00962A5F"/>
    <w:rsid w:val="00965D2C"/>
    <w:rsid w:val="00977C10"/>
    <w:rsid w:val="00991C4B"/>
    <w:rsid w:val="00992574"/>
    <w:rsid w:val="00994DFA"/>
    <w:rsid w:val="0099621C"/>
    <w:rsid w:val="009A0100"/>
    <w:rsid w:val="009B1947"/>
    <w:rsid w:val="009B6903"/>
    <w:rsid w:val="009C6F80"/>
    <w:rsid w:val="009D2358"/>
    <w:rsid w:val="009D571E"/>
    <w:rsid w:val="009D79B3"/>
    <w:rsid w:val="009F41EC"/>
    <w:rsid w:val="009F4523"/>
    <w:rsid w:val="009F4A75"/>
    <w:rsid w:val="00A0466B"/>
    <w:rsid w:val="00A10BE7"/>
    <w:rsid w:val="00A132DA"/>
    <w:rsid w:val="00A1509A"/>
    <w:rsid w:val="00A248B2"/>
    <w:rsid w:val="00A35F09"/>
    <w:rsid w:val="00A455E1"/>
    <w:rsid w:val="00A57959"/>
    <w:rsid w:val="00A71EB8"/>
    <w:rsid w:val="00A81ADC"/>
    <w:rsid w:val="00A932D0"/>
    <w:rsid w:val="00A93E41"/>
    <w:rsid w:val="00A952AB"/>
    <w:rsid w:val="00AA41E3"/>
    <w:rsid w:val="00AA7978"/>
    <w:rsid w:val="00AB1C81"/>
    <w:rsid w:val="00AB3441"/>
    <w:rsid w:val="00AC2DA5"/>
    <w:rsid w:val="00AC2E0A"/>
    <w:rsid w:val="00AC4080"/>
    <w:rsid w:val="00AC5178"/>
    <w:rsid w:val="00AE19EE"/>
    <w:rsid w:val="00AE67FD"/>
    <w:rsid w:val="00AE6A6A"/>
    <w:rsid w:val="00AF1091"/>
    <w:rsid w:val="00AF410B"/>
    <w:rsid w:val="00AF59EA"/>
    <w:rsid w:val="00B2047E"/>
    <w:rsid w:val="00B2358F"/>
    <w:rsid w:val="00B24D8B"/>
    <w:rsid w:val="00B31F3A"/>
    <w:rsid w:val="00B436C8"/>
    <w:rsid w:val="00B457EF"/>
    <w:rsid w:val="00B53A6E"/>
    <w:rsid w:val="00B63B43"/>
    <w:rsid w:val="00B70DCE"/>
    <w:rsid w:val="00B74ACA"/>
    <w:rsid w:val="00B804E4"/>
    <w:rsid w:val="00B852A6"/>
    <w:rsid w:val="00BB3ABA"/>
    <w:rsid w:val="00BC1C32"/>
    <w:rsid w:val="00BC7C0D"/>
    <w:rsid w:val="00BD396F"/>
    <w:rsid w:val="00BD5D1B"/>
    <w:rsid w:val="00BD605A"/>
    <w:rsid w:val="00BE0F3C"/>
    <w:rsid w:val="00BE3E6F"/>
    <w:rsid w:val="00BF289D"/>
    <w:rsid w:val="00BF44A3"/>
    <w:rsid w:val="00C00E8B"/>
    <w:rsid w:val="00C22BCA"/>
    <w:rsid w:val="00C30ACD"/>
    <w:rsid w:val="00C318A8"/>
    <w:rsid w:val="00C35F92"/>
    <w:rsid w:val="00C42D53"/>
    <w:rsid w:val="00C44C3D"/>
    <w:rsid w:val="00C45CBA"/>
    <w:rsid w:val="00C50B26"/>
    <w:rsid w:val="00C67F1C"/>
    <w:rsid w:val="00C74239"/>
    <w:rsid w:val="00C84556"/>
    <w:rsid w:val="00C877EE"/>
    <w:rsid w:val="00C87938"/>
    <w:rsid w:val="00C9240E"/>
    <w:rsid w:val="00C93A55"/>
    <w:rsid w:val="00C96E26"/>
    <w:rsid w:val="00CA4CBF"/>
    <w:rsid w:val="00CC0322"/>
    <w:rsid w:val="00CC230C"/>
    <w:rsid w:val="00CC6DA7"/>
    <w:rsid w:val="00CD0584"/>
    <w:rsid w:val="00CD7D35"/>
    <w:rsid w:val="00CE1D2C"/>
    <w:rsid w:val="00CE7FD1"/>
    <w:rsid w:val="00CF05CC"/>
    <w:rsid w:val="00D02B24"/>
    <w:rsid w:val="00D1074E"/>
    <w:rsid w:val="00D11E0B"/>
    <w:rsid w:val="00D22A03"/>
    <w:rsid w:val="00D32A54"/>
    <w:rsid w:val="00D449A1"/>
    <w:rsid w:val="00D479B3"/>
    <w:rsid w:val="00D650E4"/>
    <w:rsid w:val="00D761A9"/>
    <w:rsid w:val="00D77C87"/>
    <w:rsid w:val="00D83A7A"/>
    <w:rsid w:val="00D86302"/>
    <w:rsid w:val="00D9000A"/>
    <w:rsid w:val="00D9068D"/>
    <w:rsid w:val="00D90CF3"/>
    <w:rsid w:val="00D918C7"/>
    <w:rsid w:val="00D9441F"/>
    <w:rsid w:val="00D94946"/>
    <w:rsid w:val="00D95645"/>
    <w:rsid w:val="00D96F45"/>
    <w:rsid w:val="00D97A94"/>
    <w:rsid w:val="00DA792C"/>
    <w:rsid w:val="00DC6DB2"/>
    <w:rsid w:val="00DD08C2"/>
    <w:rsid w:val="00DD2061"/>
    <w:rsid w:val="00DE0294"/>
    <w:rsid w:val="00DE486E"/>
    <w:rsid w:val="00DE584F"/>
    <w:rsid w:val="00DF01B1"/>
    <w:rsid w:val="00DF54C8"/>
    <w:rsid w:val="00E00E6B"/>
    <w:rsid w:val="00E063B3"/>
    <w:rsid w:val="00E073CE"/>
    <w:rsid w:val="00E2059D"/>
    <w:rsid w:val="00E327C4"/>
    <w:rsid w:val="00E3671A"/>
    <w:rsid w:val="00E37329"/>
    <w:rsid w:val="00E454BB"/>
    <w:rsid w:val="00E5521D"/>
    <w:rsid w:val="00E62489"/>
    <w:rsid w:val="00E6430E"/>
    <w:rsid w:val="00E677D5"/>
    <w:rsid w:val="00E72012"/>
    <w:rsid w:val="00E82010"/>
    <w:rsid w:val="00E858F3"/>
    <w:rsid w:val="00E93904"/>
    <w:rsid w:val="00EA5487"/>
    <w:rsid w:val="00EB2EF6"/>
    <w:rsid w:val="00EB51F6"/>
    <w:rsid w:val="00EC2C81"/>
    <w:rsid w:val="00ED5360"/>
    <w:rsid w:val="00EE0CFA"/>
    <w:rsid w:val="00EF5238"/>
    <w:rsid w:val="00F11FF9"/>
    <w:rsid w:val="00F12D87"/>
    <w:rsid w:val="00F15950"/>
    <w:rsid w:val="00F208E0"/>
    <w:rsid w:val="00F232A5"/>
    <w:rsid w:val="00F3243F"/>
    <w:rsid w:val="00F3645C"/>
    <w:rsid w:val="00F43C47"/>
    <w:rsid w:val="00F609C0"/>
    <w:rsid w:val="00F609D0"/>
    <w:rsid w:val="00F73297"/>
    <w:rsid w:val="00F94213"/>
    <w:rsid w:val="00FA680D"/>
    <w:rsid w:val="00FB1A1C"/>
    <w:rsid w:val="00FC261E"/>
    <w:rsid w:val="00FC3C64"/>
    <w:rsid w:val="00FD4180"/>
    <w:rsid w:val="00FE1C57"/>
    <w:rsid w:val="00FE5AAE"/>
    <w:rsid w:val="00FF1940"/>
    <w:rsid w:val="00FF6C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F92BE"/>
  <w15:docId w15:val="{06E79DDA-223F-4B53-8AF0-1A27149F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69"/>
    <w:rPr>
      <w:rFonts w:ascii="Arial" w:hAnsi="Arial"/>
      <w:sz w:val="24"/>
      <w:lang w:eastAsia="en-US"/>
    </w:rPr>
  </w:style>
  <w:style w:type="paragraph" w:styleId="Heading1">
    <w:name w:val="heading 1"/>
    <w:basedOn w:val="Normal"/>
    <w:next w:val="Normal"/>
    <w:qFormat/>
    <w:rsid w:val="004A4969"/>
    <w:pPr>
      <w:keepNext/>
      <w:widowControl w:val="0"/>
      <w:pBdr>
        <w:bottom w:val="single" w:sz="6" w:space="1" w:color="auto"/>
      </w:pBdr>
      <w:tabs>
        <w:tab w:val="right" w:pos="8640"/>
      </w:tabs>
      <w:outlineLvl w:val="0"/>
    </w:pPr>
    <w:rPr>
      <w:b/>
    </w:rPr>
  </w:style>
  <w:style w:type="paragraph" w:styleId="Heading2">
    <w:name w:val="heading 2"/>
    <w:basedOn w:val="Normal"/>
    <w:next w:val="Normal"/>
    <w:qFormat/>
    <w:rsid w:val="004A4969"/>
    <w:pPr>
      <w:keepNext/>
      <w:widowControl w:val="0"/>
      <w:tabs>
        <w:tab w:val="right" w:pos="8640"/>
      </w:tabs>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4969"/>
    <w:pPr>
      <w:tabs>
        <w:tab w:val="center" w:pos="4320"/>
        <w:tab w:val="right" w:pos="8640"/>
      </w:tabs>
    </w:pPr>
  </w:style>
  <w:style w:type="character" w:styleId="PageNumber">
    <w:name w:val="page number"/>
    <w:basedOn w:val="DefaultParagraphFont"/>
    <w:semiHidden/>
    <w:rsid w:val="004A4969"/>
  </w:style>
  <w:style w:type="paragraph" w:styleId="ListParagraph">
    <w:name w:val="List Paragraph"/>
    <w:basedOn w:val="Normal"/>
    <w:uiPriority w:val="34"/>
    <w:qFormat/>
    <w:rsid w:val="00D761A9"/>
    <w:pPr>
      <w:spacing w:after="200" w:line="276" w:lineRule="auto"/>
      <w:ind w:left="720"/>
    </w:pPr>
    <w:rPr>
      <w:rFonts w:ascii="Calibri" w:hAnsi="Calibri"/>
      <w:sz w:val="22"/>
      <w:szCs w:val="22"/>
      <w:lang w:eastAsia="en-ZA"/>
    </w:rPr>
  </w:style>
  <w:style w:type="paragraph" w:styleId="FootnoteText">
    <w:name w:val="footnote text"/>
    <w:basedOn w:val="Normal"/>
    <w:link w:val="FootnoteTextChar"/>
    <w:uiPriority w:val="99"/>
    <w:unhideWhenUsed/>
    <w:rsid w:val="00D761A9"/>
    <w:pPr>
      <w:spacing w:after="200" w:line="276" w:lineRule="auto"/>
    </w:pPr>
    <w:rPr>
      <w:rFonts w:ascii="Calibri" w:hAnsi="Calibri"/>
      <w:sz w:val="20"/>
      <w:lang w:eastAsia="en-ZA"/>
    </w:rPr>
  </w:style>
  <w:style w:type="character" w:customStyle="1" w:styleId="FootnoteTextChar">
    <w:name w:val="Footnote Text Char"/>
    <w:basedOn w:val="DefaultParagraphFont"/>
    <w:link w:val="FootnoteText"/>
    <w:uiPriority w:val="99"/>
    <w:rsid w:val="00D761A9"/>
    <w:rPr>
      <w:rFonts w:ascii="Calibri" w:hAnsi="Calibri"/>
    </w:rPr>
  </w:style>
  <w:style w:type="character" w:styleId="FootnoteReference">
    <w:name w:val="footnote reference"/>
    <w:uiPriority w:val="99"/>
    <w:semiHidden/>
    <w:unhideWhenUsed/>
    <w:rsid w:val="00D761A9"/>
    <w:rPr>
      <w:vertAlign w:val="superscript"/>
    </w:rPr>
  </w:style>
  <w:style w:type="paragraph" w:styleId="Footer">
    <w:name w:val="footer"/>
    <w:basedOn w:val="Normal"/>
    <w:link w:val="FooterChar"/>
    <w:uiPriority w:val="99"/>
    <w:unhideWhenUsed/>
    <w:rsid w:val="00361B2E"/>
    <w:pPr>
      <w:tabs>
        <w:tab w:val="center" w:pos="4513"/>
        <w:tab w:val="right" w:pos="9026"/>
      </w:tabs>
    </w:pPr>
  </w:style>
  <w:style w:type="character" w:customStyle="1" w:styleId="FooterChar">
    <w:name w:val="Footer Char"/>
    <w:basedOn w:val="DefaultParagraphFont"/>
    <w:link w:val="Footer"/>
    <w:uiPriority w:val="99"/>
    <w:rsid w:val="00361B2E"/>
    <w:rPr>
      <w:rFonts w:ascii="Arial" w:hAnsi="Arial"/>
      <w:sz w:val="24"/>
      <w:lang w:eastAsia="en-US"/>
    </w:rPr>
  </w:style>
  <w:style w:type="character" w:customStyle="1" w:styleId="HeaderChar">
    <w:name w:val="Header Char"/>
    <w:basedOn w:val="DefaultParagraphFont"/>
    <w:link w:val="Header"/>
    <w:uiPriority w:val="99"/>
    <w:rsid w:val="009F41EC"/>
    <w:rPr>
      <w:rFonts w:ascii="Arial" w:hAnsi="Arial"/>
      <w:sz w:val="24"/>
      <w:lang w:eastAsia="en-US"/>
    </w:rPr>
  </w:style>
  <w:style w:type="character" w:styleId="Hyperlink">
    <w:name w:val="Hyperlink"/>
    <w:basedOn w:val="DefaultParagraphFont"/>
    <w:uiPriority w:val="99"/>
    <w:semiHidden/>
    <w:unhideWhenUsed/>
    <w:rsid w:val="00EB2E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4596">
      <w:bodyDiv w:val="1"/>
      <w:marLeft w:val="0"/>
      <w:marRight w:val="0"/>
      <w:marTop w:val="0"/>
      <w:marBottom w:val="0"/>
      <w:divBdr>
        <w:top w:val="none" w:sz="0" w:space="0" w:color="auto"/>
        <w:left w:val="none" w:sz="0" w:space="0" w:color="auto"/>
        <w:bottom w:val="none" w:sz="0" w:space="0" w:color="auto"/>
        <w:right w:val="none" w:sz="0" w:space="0" w:color="auto"/>
      </w:divBdr>
    </w:div>
    <w:div w:id="361438116">
      <w:bodyDiv w:val="1"/>
      <w:marLeft w:val="0"/>
      <w:marRight w:val="0"/>
      <w:marTop w:val="0"/>
      <w:marBottom w:val="0"/>
      <w:divBdr>
        <w:top w:val="none" w:sz="0" w:space="0" w:color="auto"/>
        <w:left w:val="none" w:sz="0" w:space="0" w:color="auto"/>
        <w:bottom w:val="none" w:sz="0" w:space="0" w:color="auto"/>
        <w:right w:val="none" w:sz="0" w:space="0" w:color="auto"/>
      </w:divBdr>
    </w:div>
    <w:div w:id="647589248">
      <w:bodyDiv w:val="1"/>
      <w:marLeft w:val="0"/>
      <w:marRight w:val="0"/>
      <w:marTop w:val="0"/>
      <w:marBottom w:val="0"/>
      <w:divBdr>
        <w:top w:val="none" w:sz="0" w:space="0" w:color="auto"/>
        <w:left w:val="none" w:sz="0" w:space="0" w:color="auto"/>
        <w:bottom w:val="none" w:sz="0" w:space="0" w:color="auto"/>
        <w:right w:val="none" w:sz="0" w:space="0" w:color="auto"/>
      </w:divBdr>
    </w:div>
    <w:div w:id="16354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19%5d%203%20ZANWHC%2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Headings\IN%20THE%20HIGH%20COURT%20OF%20SOUTH%20AFRICA,%20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DBFC7-5233-4F3F-8BE2-778C1BF1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 THE HIGH COURT OF SOUTH AFRICA, PE</Template>
  <TotalTime>1</TotalTime>
  <Pages>9</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23645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Mary</dc:creator>
  <cp:lastModifiedBy>Mokone</cp:lastModifiedBy>
  <cp:revision>3</cp:revision>
  <cp:lastPrinted>2023-07-31T08:51:00Z</cp:lastPrinted>
  <dcterms:created xsi:type="dcterms:W3CDTF">2023-10-02T12:01:00Z</dcterms:created>
  <dcterms:modified xsi:type="dcterms:W3CDTF">2023-10-02T12:02:00Z</dcterms:modified>
</cp:coreProperties>
</file>