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ACF7" w14:textId="77777777" w:rsidR="004001DA" w:rsidRPr="0086114B" w:rsidRDefault="004001DA" w:rsidP="004001DA">
      <w:pPr>
        <w:spacing w:line="480" w:lineRule="auto"/>
        <w:jc w:val="center"/>
        <w:rPr>
          <w:rFonts w:ascii="Arial" w:hAnsi="Arial" w:cs="Arial"/>
          <w:b/>
          <w:bCs/>
          <w:sz w:val="24"/>
          <w:szCs w:val="24"/>
          <w:lang w:val="en-US"/>
        </w:rPr>
      </w:pPr>
      <w:bookmarkStart w:id="0" w:name="_GoBack"/>
      <w:bookmarkEnd w:id="0"/>
      <w:r w:rsidRPr="0086114B">
        <w:rPr>
          <w:rFonts w:ascii="Arial" w:hAnsi="Arial" w:cs="Arial"/>
          <w:noProof/>
          <w:lang w:val="en-US"/>
        </w:rPr>
        <w:drawing>
          <wp:inline distT="0" distB="0" distL="0" distR="0" wp14:anchorId="52CA3326" wp14:editId="321920CE">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17526915" w14:textId="77777777" w:rsidR="004001DA" w:rsidRPr="0086114B" w:rsidRDefault="004001DA" w:rsidP="004001DA">
      <w:pPr>
        <w:spacing w:line="276" w:lineRule="auto"/>
        <w:jc w:val="center"/>
        <w:rPr>
          <w:rFonts w:ascii="Arial" w:hAnsi="Arial" w:cs="Arial"/>
          <w:b/>
          <w:bCs/>
          <w:sz w:val="24"/>
          <w:szCs w:val="24"/>
          <w:lang w:val="en-US"/>
        </w:rPr>
      </w:pPr>
      <w:r w:rsidRPr="0086114B">
        <w:rPr>
          <w:rFonts w:ascii="Arial" w:hAnsi="Arial" w:cs="Arial"/>
          <w:b/>
          <w:bCs/>
          <w:sz w:val="24"/>
          <w:szCs w:val="24"/>
          <w:lang w:val="en-US"/>
        </w:rPr>
        <w:t>IN THE HIGH COURT OF SOUTH AFRICA</w:t>
      </w:r>
    </w:p>
    <w:p w14:paraId="4F960CF1" w14:textId="77777777" w:rsidR="004001DA" w:rsidRPr="0086114B" w:rsidRDefault="004001DA" w:rsidP="004001DA">
      <w:pPr>
        <w:spacing w:line="276" w:lineRule="auto"/>
        <w:jc w:val="center"/>
        <w:rPr>
          <w:rFonts w:ascii="Arial" w:hAnsi="Arial" w:cs="Arial"/>
          <w:b/>
          <w:bCs/>
          <w:sz w:val="24"/>
          <w:szCs w:val="24"/>
          <w:lang w:val="en-US"/>
        </w:rPr>
      </w:pPr>
      <w:r w:rsidRPr="0086114B">
        <w:rPr>
          <w:rFonts w:ascii="Arial" w:hAnsi="Arial" w:cs="Arial"/>
          <w:b/>
          <w:bCs/>
          <w:sz w:val="24"/>
          <w:szCs w:val="24"/>
          <w:lang w:val="en-US"/>
        </w:rPr>
        <w:t xml:space="preserve">[EASTERN CAPE DIVISION, </w:t>
      </w:r>
      <w:r>
        <w:rPr>
          <w:rFonts w:ascii="Arial" w:hAnsi="Arial" w:cs="Arial"/>
          <w:b/>
          <w:bCs/>
          <w:sz w:val="24"/>
          <w:szCs w:val="24"/>
          <w:lang w:val="en-US"/>
        </w:rPr>
        <w:t>BHISHO</w:t>
      </w:r>
      <w:r w:rsidRPr="0086114B">
        <w:rPr>
          <w:rFonts w:ascii="Arial" w:hAnsi="Arial" w:cs="Arial"/>
          <w:b/>
          <w:bCs/>
          <w:sz w:val="24"/>
          <w:szCs w:val="24"/>
          <w:lang w:val="en-US"/>
        </w:rPr>
        <w:t>]</w:t>
      </w:r>
    </w:p>
    <w:p w14:paraId="4A7B49E0" w14:textId="4FED0D5D" w:rsidR="004001DA" w:rsidRPr="0086114B" w:rsidRDefault="004001DA" w:rsidP="004001DA">
      <w:pPr>
        <w:spacing w:line="240" w:lineRule="auto"/>
        <w:jc w:val="right"/>
        <w:rPr>
          <w:rFonts w:ascii="Arial" w:hAnsi="Arial" w:cs="Arial"/>
          <w:b/>
          <w:bCs/>
          <w:sz w:val="24"/>
          <w:szCs w:val="24"/>
          <w:lang w:val="en-US"/>
        </w:rPr>
      </w:pPr>
      <w:r w:rsidRPr="0086114B">
        <w:rPr>
          <w:rFonts w:ascii="Arial" w:hAnsi="Arial" w:cs="Arial"/>
          <w:b/>
          <w:bCs/>
          <w:sz w:val="24"/>
          <w:szCs w:val="24"/>
          <w:lang w:val="en-US"/>
        </w:rPr>
        <w:t>CASE NO.:</w:t>
      </w:r>
      <w:r>
        <w:rPr>
          <w:rFonts w:ascii="Arial" w:hAnsi="Arial" w:cs="Arial"/>
          <w:b/>
          <w:bCs/>
          <w:sz w:val="24"/>
          <w:szCs w:val="24"/>
          <w:lang w:val="en-US"/>
        </w:rPr>
        <w:t xml:space="preserve"> 404/2022</w:t>
      </w:r>
    </w:p>
    <w:p w14:paraId="76CDE56C" w14:textId="77777777" w:rsidR="004001DA" w:rsidRDefault="004001DA" w:rsidP="004001DA">
      <w:pPr>
        <w:spacing w:line="240" w:lineRule="auto"/>
        <w:jc w:val="both"/>
        <w:rPr>
          <w:rFonts w:ascii="Arial" w:hAnsi="Arial" w:cs="Arial"/>
          <w:sz w:val="24"/>
          <w:szCs w:val="24"/>
          <w:lang w:val="en-US"/>
        </w:rPr>
      </w:pPr>
      <w:r w:rsidRPr="0086114B">
        <w:rPr>
          <w:rFonts w:ascii="Arial" w:hAnsi="Arial" w:cs="Arial"/>
          <w:sz w:val="24"/>
          <w:szCs w:val="24"/>
          <w:lang w:val="en-US"/>
        </w:rPr>
        <w:t>In the matter between: -</w:t>
      </w:r>
    </w:p>
    <w:p w14:paraId="4A3BD49D" w14:textId="77777777" w:rsidR="000C33FA" w:rsidRPr="0086114B" w:rsidRDefault="000C33FA" w:rsidP="004001DA">
      <w:pPr>
        <w:spacing w:line="240" w:lineRule="auto"/>
        <w:jc w:val="both"/>
        <w:rPr>
          <w:rFonts w:ascii="Arial" w:hAnsi="Arial" w:cs="Arial"/>
          <w:sz w:val="24"/>
          <w:szCs w:val="24"/>
          <w:lang w:val="en-US"/>
        </w:rPr>
      </w:pPr>
    </w:p>
    <w:p w14:paraId="53E75246" w14:textId="744188E9" w:rsidR="004001DA" w:rsidRPr="0086114B" w:rsidRDefault="004001DA" w:rsidP="004001DA">
      <w:pPr>
        <w:spacing w:line="240" w:lineRule="auto"/>
        <w:jc w:val="both"/>
        <w:rPr>
          <w:rFonts w:ascii="Arial" w:hAnsi="Arial" w:cs="Arial"/>
          <w:b/>
          <w:bCs/>
          <w:sz w:val="24"/>
          <w:szCs w:val="24"/>
          <w:lang w:val="en-US"/>
        </w:rPr>
      </w:pPr>
      <w:r>
        <w:rPr>
          <w:rFonts w:ascii="Arial" w:hAnsi="Arial" w:cs="Arial"/>
          <w:b/>
          <w:bCs/>
          <w:sz w:val="24"/>
          <w:szCs w:val="24"/>
          <w:lang w:val="en-US"/>
        </w:rPr>
        <w:t>NOMBONISO L</w:t>
      </w:r>
      <w:r w:rsidR="00E21EAD">
        <w:rPr>
          <w:rFonts w:ascii="Arial" w:hAnsi="Arial" w:cs="Arial"/>
          <w:b/>
          <w:bCs/>
          <w:sz w:val="24"/>
          <w:szCs w:val="24"/>
          <w:lang w:val="en-US"/>
        </w:rPr>
        <w:t>ILIAN</w:t>
      </w:r>
      <w:r>
        <w:rPr>
          <w:rFonts w:ascii="Arial" w:hAnsi="Arial" w:cs="Arial"/>
          <w:b/>
          <w:bCs/>
          <w:sz w:val="24"/>
          <w:szCs w:val="24"/>
          <w:lang w:val="en-US"/>
        </w:rPr>
        <w:t xml:space="preserve"> DIKE</w:t>
      </w:r>
      <w:r>
        <w:rPr>
          <w:rFonts w:ascii="Arial" w:hAnsi="Arial" w:cs="Arial"/>
          <w:b/>
          <w:bCs/>
          <w:sz w:val="24"/>
          <w:szCs w:val="24"/>
          <w:lang w:val="en-US"/>
        </w:rPr>
        <w:tab/>
      </w:r>
      <w:r w:rsidRPr="0086114B">
        <w:rPr>
          <w:rFonts w:ascii="Arial" w:hAnsi="Arial" w:cs="Arial"/>
          <w:b/>
          <w:bCs/>
          <w:sz w:val="24"/>
          <w:szCs w:val="24"/>
          <w:lang w:val="en-US"/>
        </w:rPr>
        <w:tab/>
      </w:r>
      <w:r w:rsidRPr="0086114B">
        <w:rPr>
          <w:rFonts w:ascii="Arial" w:hAnsi="Arial" w:cs="Arial"/>
          <w:b/>
          <w:bCs/>
          <w:sz w:val="24"/>
          <w:szCs w:val="24"/>
          <w:lang w:val="en-US"/>
        </w:rPr>
        <w:tab/>
      </w:r>
      <w:r w:rsidRPr="0086114B">
        <w:rPr>
          <w:rFonts w:ascii="Arial" w:hAnsi="Arial" w:cs="Arial"/>
          <w:b/>
          <w:bCs/>
          <w:sz w:val="24"/>
          <w:szCs w:val="24"/>
          <w:lang w:val="en-US"/>
        </w:rPr>
        <w:tab/>
      </w:r>
      <w:r w:rsidRPr="0086114B">
        <w:rPr>
          <w:rFonts w:ascii="Arial" w:hAnsi="Arial" w:cs="Arial"/>
          <w:b/>
          <w:bCs/>
          <w:sz w:val="24"/>
          <w:szCs w:val="24"/>
          <w:lang w:val="en-US"/>
        </w:rPr>
        <w:tab/>
      </w:r>
      <w:r w:rsidRPr="0086114B">
        <w:rPr>
          <w:rFonts w:ascii="Arial" w:hAnsi="Arial" w:cs="Arial"/>
          <w:b/>
          <w:bCs/>
          <w:sz w:val="24"/>
          <w:szCs w:val="24"/>
          <w:lang w:val="en-US"/>
        </w:rPr>
        <w:tab/>
        <w:t xml:space="preserve">     </w:t>
      </w:r>
      <w:r w:rsidR="00E21EAD">
        <w:rPr>
          <w:rFonts w:ascii="Arial" w:hAnsi="Arial" w:cs="Arial"/>
          <w:b/>
          <w:bCs/>
          <w:sz w:val="24"/>
          <w:szCs w:val="24"/>
          <w:lang w:val="en-US"/>
        </w:rPr>
        <w:t>PLAINTIFF</w:t>
      </w:r>
    </w:p>
    <w:p w14:paraId="6C4C32F3" w14:textId="77777777" w:rsidR="004001DA" w:rsidRPr="0086114B" w:rsidRDefault="004001DA" w:rsidP="004001DA">
      <w:pPr>
        <w:spacing w:line="240" w:lineRule="auto"/>
        <w:jc w:val="both"/>
        <w:rPr>
          <w:rFonts w:ascii="Arial" w:hAnsi="Arial" w:cs="Arial"/>
          <w:b/>
          <w:bCs/>
          <w:sz w:val="24"/>
          <w:szCs w:val="24"/>
          <w:lang w:val="en-US"/>
        </w:rPr>
      </w:pPr>
    </w:p>
    <w:p w14:paraId="424B8738" w14:textId="77777777" w:rsidR="004001DA" w:rsidRPr="0086114B" w:rsidRDefault="004001DA" w:rsidP="004001DA">
      <w:pPr>
        <w:spacing w:line="240" w:lineRule="auto"/>
        <w:jc w:val="both"/>
        <w:rPr>
          <w:rFonts w:ascii="Arial" w:hAnsi="Arial" w:cs="Arial"/>
          <w:b/>
          <w:bCs/>
          <w:sz w:val="24"/>
          <w:szCs w:val="24"/>
          <w:lang w:val="en-US"/>
        </w:rPr>
      </w:pPr>
      <w:r w:rsidRPr="0086114B">
        <w:rPr>
          <w:rFonts w:ascii="Arial" w:hAnsi="Arial" w:cs="Arial"/>
          <w:b/>
          <w:bCs/>
          <w:sz w:val="24"/>
          <w:szCs w:val="24"/>
          <w:lang w:val="en-US"/>
        </w:rPr>
        <w:t>and</w:t>
      </w:r>
    </w:p>
    <w:p w14:paraId="668F3B65" w14:textId="77777777" w:rsidR="004001DA" w:rsidRPr="0086114B" w:rsidRDefault="004001DA" w:rsidP="004001DA">
      <w:pPr>
        <w:spacing w:line="240" w:lineRule="auto"/>
        <w:jc w:val="both"/>
        <w:rPr>
          <w:rFonts w:ascii="Arial" w:hAnsi="Arial" w:cs="Arial"/>
          <w:b/>
          <w:bCs/>
          <w:sz w:val="24"/>
          <w:szCs w:val="24"/>
          <w:lang w:val="en-US"/>
        </w:rPr>
      </w:pPr>
    </w:p>
    <w:p w14:paraId="1FE6798B" w14:textId="7E53C984" w:rsidR="004001DA" w:rsidRDefault="004001DA" w:rsidP="004001DA">
      <w:pPr>
        <w:spacing w:line="240" w:lineRule="auto"/>
        <w:jc w:val="both"/>
        <w:rPr>
          <w:rFonts w:ascii="Arial" w:hAnsi="Arial" w:cs="Arial"/>
          <w:b/>
          <w:bCs/>
          <w:sz w:val="24"/>
          <w:szCs w:val="24"/>
          <w:lang w:val="en-US"/>
        </w:rPr>
      </w:pPr>
      <w:r>
        <w:rPr>
          <w:rFonts w:ascii="Arial" w:hAnsi="Arial" w:cs="Arial"/>
          <w:b/>
          <w:bCs/>
          <w:sz w:val="24"/>
          <w:szCs w:val="24"/>
          <w:lang w:val="en-US"/>
        </w:rPr>
        <w:t>MINISTER OF POLICE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86114B">
        <w:rPr>
          <w:rFonts w:ascii="Arial" w:hAnsi="Arial" w:cs="Arial"/>
          <w:b/>
          <w:bCs/>
          <w:sz w:val="24"/>
          <w:szCs w:val="24"/>
          <w:lang w:val="en-US"/>
        </w:rPr>
        <w:tab/>
      </w:r>
      <w:r w:rsidRPr="0086114B">
        <w:rPr>
          <w:rFonts w:ascii="Arial" w:hAnsi="Arial" w:cs="Arial"/>
          <w:b/>
          <w:bCs/>
          <w:sz w:val="24"/>
          <w:szCs w:val="24"/>
          <w:lang w:val="en-US"/>
        </w:rPr>
        <w:tab/>
      </w:r>
      <w:r>
        <w:rPr>
          <w:rFonts w:ascii="Arial" w:hAnsi="Arial" w:cs="Arial"/>
          <w:b/>
          <w:bCs/>
          <w:sz w:val="24"/>
          <w:szCs w:val="24"/>
          <w:lang w:val="en-US"/>
        </w:rPr>
        <w:t xml:space="preserve">       1</w:t>
      </w:r>
      <w:r w:rsidRPr="004964E4">
        <w:rPr>
          <w:rFonts w:ascii="Arial" w:hAnsi="Arial" w:cs="Arial"/>
          <w:b/>
          <w:bCs/>
          <w:sz w:val="24"/>
          <w:szCs w:val="24"/>
          <w:vertAlign w:val="superscript"/>
          <w:lang w:val="en-US"/>
        </w:rPr>
        <w:t>ST</w:t>
      </w:r>
      <w:r>
        <w:rPr>
          <w:rFonts w:ascii="Arial" w:hAnsi="Arial" w:cs="Arial"/>
          <w:b/>
          <w:bCs/>
          <w:sz w:val="24"/>
          <w:szCs w:val="24"/>
          <w:lang w:val="en-US"/>
        </w:rPr>
        <w:t xml:space="preserve"> </w:t>
      </w:r>
      <w:r w:rsidR="00E21EAD">
        <w:rPr>
          <w:rFonts w:ascii="Arial" w:hAnsi="Arial" w:cs="Arial"/>
          <w:b/>
          <w:bCs/>
          <w:sz w:val="24"/>
          <w:szCs w:val="24"/>
          <w:lang w:val="en-US"/>
        </w:rPr>
        <w:t>DEFEN</w:t>
      </w:r>
      <w:r w:rsidR="0073188B">
        <w:rPr>
          <w:rFonts w:ascii="Arial" w:hAnsi="Arial" w:cs="Arial"/>
          <w:b/>
          <w:bCs/>
          <w:sz w:val="24"/>
          <w:szCs w:val="24"/>
          <w:lang w:val="en-US"/>
        </w:rPr>
        <w:t>DANT</w:t>
      </w:r>
    </w:p>
    <w:p w14:paraId="67D199E4" w14:textId="77777777" w:rsidR="004001DA" w:rsidRDefault="004001DA" w:rsidP="004001DA">
      <w:pPr>
        <w:spacing w:line="240" w:lineRule="auto"/>
        <w:jc w:val="both"/>
        <w:rPr>
          <w:rFonts w:ascii="Arial" w:hAnsi="Arial" w:cs="Arial"/>
          <w:b/>
          <w:bCs/>
          <w:sz w:val="24"/>
          <w:szCs w:val="24"/>
          <w:lang w:val="en-US"/>
        </w:rPr>
      </w:pPr>
    </w:p>
    <w:p w14:paraId="6F09BC35" w14:textId="212AB950" w:rsidR="004001DA" w:rsidRDefault="0073188B" w:rsidP="004001DA">
      <w:pPr>
        <w:spacing w:line="240" w:lineRule="auto"/>
        <w:jc w:val="both"/>
        <w:rPr>
          <w:rFonts w:ascii="Arial" w:hAnsi="Arial" w:cs="Arial"/>
          <w:b/>
          <w:bCs/>
          <w:sz w:val="24"/>
          <w:szCs w:val="24"/>
          <w:lang w:val="en-US"/>
        </w:rPr>
      </w:pPr>
      <w:r>
        <w:rPr>
          <w:rFonts w:ascii="Arial" w:hAnsi="Arial" w:cs="Arial"/>
          <w:b/>
          <w:bCs/>
          <w:sz w:val="24"/>
          <w:szCs w:val="24"/>
          <w:lang w:val="en-US"/>
        </w:rPr>
        <w:t>NATIONAL DIRECTOR OF PUBLIC PROSECUTIONS</w:t>
      </w:r>
      <w:r w:rsidR="004001DA">
        <w:rPr>
          <w:rFonts w:ascii="Arial" w:hAnsi="Arial" w:cs="Arial"/>
          <w:b/>
          <w:bCs/>
          <w:sz w:val="24"/>
          <w:szCs w:val="24"/>
          <w:lang w:val="en-US"/>
        </w:rPr>
        <w:tab/>
        <w:t xml:space="preserve">      2</w:t>
      </w:r>
      <w:r w:rsidR="004001DA" w:rsidRPr="004964E4">
        <w:rPr>
          <w:rFonts w:ascii="Arial" w:hAnsi="Arial" w:cs="Arial"/>
          <w:b/>
          <w:bCs/>
          <w:sz w:val="24"/>
          <w:szCs w:val="24"/>
          <w:vertAlign w:val="superscript"/>
          <w:lang w:val="en-US"/>
        </w:rPr>
        <w:t>ND</w:t>
      </w:r>
      <w:r w:rsidR="004001DA">
        <w:rPr>
          <w:rFonts w:ascii="Arial" w:hAnsi="Arial" w:cs="Arial"/>
          <w:b/>
          <w:bCs/>
          <w:sz w:val="24"/>
          <w:szCs w:val="24"/>
          <w:lang w:val="en-US"/>
        </w:rPr>
        <w:t xml:space="preserve"> </w:t>
      </w:r>
      <w:r>
        <w:rPr>
          <w:rFonts w:ascii="Arial" w:hAnsi="Arial" w:cs="Arial"/>
          <w:b/>
          <w:bCs/>
          <w:sz w:val="24"/>
          <w:szCs w:val="24"/>
          <w:lang w:val="en-US"/>
        </w:rPr>
        <w:t>DEFENDANT</w:t>
      </w:r>
    </w:p>
    <w:p w14:paraId="63862B2C" w14:textId="77777777" w:rsidR="004001DA" w:rsidRDefault="004001DA" w:rsidP="004001DA">
      <w:pPr>
        <w:spacing w:line="240" w:lineRule="auto"/>
        <w:jc w:val="both"/>
        <w:rPr>
          <w:rFonts w:ascii="Arial" w:hAnsi="Arial" w:cs="Arial"/>
          <w:b/>
          <w:bCs/>
          <w:sz w:val="24"/>
          <w:szCs w:val="24"/>
          <w:lang w:val="en-US"/>
        </w:rPr>
      </w:pPr>
    </w:p>
    <w:p w14:paraId="1DCB214A" w14:textId="77777777" w:rsidR="004001DA" w:rsidRPr="0086114B" w:rsidRDefault="004001DA" w:rsidP="004001DA">
      <w:pPr>
        <w:pBdr>
          <w:top w:val="single" w:sz="12" w:space="1" w:color="auto"/>
          <w:bottom w:val="single" w:sz="12" w:space="1" w:color="auto"/>
        </w:pBdr>
        <w:spacing w:line="240" w:lineRule="auto"/>
        <w:jc w:val="center"/>
        <w:rPr>
          <w:rFonts w:ascii="Arial" w:hAnsi="Arial" w:cs="Arial"/>
          <w:b/>
          <w:bCs/>
          <w:sz w:val="24"/>
          <w:szCs w:val="24"/>
          <w:lang w:val="en-US"/>
        </w:rPr>
      </w:pPr>
    </w:p>
    <w:p w14:paraId="14C8CF4E" w14:textId="77777777" w:rsidR="004001DA" w:rsidRPr="0086114B" w:rsidRDefault="004001DA" w:rsidP="004001DA">
      <w:pPr>
        <w:pBdr>
          <w:top w:val="single" w:sz="12" w:space="1" w:color="auto"/>
          <w:bottom w:val="single" w:sz="12" w:space="1" w:color="auto"/>
        </w:pBdr>
        <w:spacing w:line="240" w:lineRule="auto"/>
        <w:jc w:val="center"/>
        <w:rPr>
          <w:rFonts w:ascii="Arial" w:hAnsi="Arial" w:cs="Arial"/>
          <w:b/>
          <w:bCs/>
          <w:sz w:val="24"/>
          <w:szCs w:val="24"/>
          <w:lang w:val="en-US"/>
        </w:rPr>
      </w:pPr>
      <w:r w:rsidRPr="0086114B">
        <w:rPr>
          <w:rFonts w:ascii="Arial" w:hAnsi="Arial" w:cs="Arial"/>
          <w:b/>
          <w:bCs/>
          <w:sz w:val="24"/>
          <w:szCs w:val="24"/>
          <w:lang w:val="en-US"/>
        </w:rPr>
        <w:t>JUDGMENT</w:t>
      </w:r>
    </w:p>
    <w:p w14:paraId="76C59862" w14:textId="77777777" w:rsidR="004001DA" w:rsidRPr="0086114B" w:rsidRDefault="004001DA" w:rsidP="004001DA">
      <w:pPr>
        <w:pBdr>
          <w:top w:val="single" w:sz="12" w:space="1" w:color="auto"/>
          <w:bottom w:val="single" w:sz="12" w:space="1" w:color="auto"/>
        </w:pBdr>
        <w:spacing w:line="240" w:lineRule="auto"/>
        <w:jc w:val="center"/>
        <w:rPr>
          <w:rFonts w:ascii="Arial" w:hAnsi="Arial" w:cs="Arial"/>
          <w:b/>
          <w:bCs/>
          <w:sz w:val="24"/>
          <w:szCs w:val="24"/>
          <w:lang w:val="en-US"/>
        </w:rPr>
      </w:pPr>
    </w:p>
    <w:p w14:paraId="1573D885" w14:textId="77777777" w:rsidR="004001DA" w:rsidRPr="0086114B" w:rsidRDefault="004001DA" w:rsidP="004001DA">
      <w:pPr>
        <w:spacing w:line="240" w:lineRule="auto"/>
        <w:jc w:val="both"/>
        <w:rPr>
          <w:rFonts w:ascii="Arial" w:hAnsi="Arial" w:cs="Arial"/>
          <w:b/>
          <w:bCs/>
          <w:sz w:val="24"/>
          <w:szCs w:val="24"/>
          <w:lang w:val="en-US"/>
        </w:rPr>
      </w:pPr>
      <w:r w:rsidRPr="0086114B">
        <w:rPr>
          <w:rFonts w:ascii="Arial" w:hAnsi="Arial" w:cs="Arial"/>
          <w:b/>
          <w:bCs/>
          <w:sz w:val="24"/>
          <w:szCs w:val="24"/>
          <w:lang w:val="en-US"/>
        </w:rPr>
        <w:t>NORMAN J:</w:t>
      </w:r>
    </w:p>
    <w:p w14:paraId="184635F8" w14:textId="77777777" w:rsidR="004001DA" w:rsidRPr="0086114B" w:rsidRDefault="004001DA" w:rsidP="004001DA">
      <w:pPr>
        <w:spacing w:line="240" w:lineRule="auto"/>
        <w:jc w:val="both"/>
        <w:rPr>
          <w:rFonts w:ascii="Arial" w:hAnsi="Arial" w:cs="Arial"/>
          <w:b/>
          <w:bCs/>
          <w:sz w:val="24"/>
          <w:szCs w:val="24"/>
          <w:lang w:val="en-US"/>
        </w:rPr>
      </w:pPr>
    </w:p>
    <w:p w14:paraId="54D76268" w14:textId="738F7C4D" w:rsidR="007A224A" w:rsidRDefault="004001DA" w:rsidP="005B6C1A">
      <w:pPr>
        <w:spacing w:line="480" w:lineRule="auto"/>
        <w:ind w:left="720" w:hanging="720"/>
        <w:jc w:val="both"/>
        <w:rPr>
          <w:rFonts w:ascii="Arial" w:hAnsi="Arial" w:cs="Arial"/>
          <w:sz w:val="24"/>
          <w:szCs w:val="24"/>
          <w:lang w:val="en-US"/>
        </w:rPr>
      </w:pPr>
      <w:r w:rsidRPr="0086114B">
        <w:rPr>
          <w:rFonts w:ascii="Arial" w:hAnsi="Arial" w:cs="Arial"/>
          <w:sz w:val="24"/>
          <w:szCs w:val="24"/>
          <w:lang w:val="en-US"/>
        </w:rPr>
        <w:t>[1]</w:t>
      </w:r>
      <w:r w:rsidR="00E2155A">
        <w:rPr>
          <w:rFonts w:ascii="Arial" w:hAnsi="Arial" w:cs="Arial"/>
          <w:sz w:val="24"/>
          <w:szCs w:val="24"/>
          <w:lang w:val="en-US"/>
        </w:rPr>
        <w:tab/>
        <w:t>This application has been brought with the sole purpose of</w:t>
      </w:r>
      <w:r w:rsidR="003D4088">
        <w:rPr>
          <w:rFonts w:ascii="Arial" w:hAnsi="Arial" w:cs="Arial"/>
          <w:sz w:val="24"/>
          <w:szCs w:val="24"/>
          <w:lang w:val="en-US"/>
        </w:rPr>
        <w:t xml:space="preserve"> seeking condonation for the </w:t>
      </w:r>
      <w:r w:rsidR="00B86ED8">
        <w:rPr>
          <w:rFonts w:ascii="Arial" w:hAnsi="Arial" w:cs="Arial"/>
          <w:sz w:val="24"/>
          <w:szCs w:val="24"/>
          <w:lang w:val="en-US"/>
        </w:rPr>
        <w:t>applicant</w:t>
      </w:r>
      <w:r w:rsidR="003D4088">
        <w:rPr>
          <w:rFonts w:ascii="Arial" w:hAnsi="Arial" w:cs="Arial"/>
          <w:sz w:val="24"/>
          <w:szCs w:val="24"/>
          <w:lang w:val="en-US"/>
        </w:rPr>
        <w:t>’s non-</w:t>
      </w:r>
      <w:r w:rsidR="00E53FAE">
        <w:rPr>
          <w:rFonts w:ascii="Arial" w:hAnsi="Arial" w:cs="Arial"/>
          <w:sz w:val="24"/>
          <w:szCs w:val="24"/>
          <w:lang w:val="en-US"/>
        </w:rPr>
        <w:t xml:space="preserve">compliance with the provisions of section 3(2)(a) of </w:t>
      </w:r>
      <w:r w:rsidR="00723889">
        <w:rPr>
          <w:rFonts w:ascii="Arial" w:hAnsi="Arial" w:cs="Arial"/>
          <w:sz w:val="24"/>
          <w:szCs w:val="24"/>
          <w:lang w:val="en-US"/>
        </w:rPr>
        <w:t>the Institution of Legal Proc</w:t>
      </w:r>
      <w:r w:rsidR="00027B8D">
        <w:rPr>
          <w:rFonts w:ascii="Arial" w:hAnsi="Arial" w:cs="Arial"/>
          <w:sz w:val="24"/>
          <w:szCs w:val="24"/>
          <w:lang w:val="en-US"/>
        </w:rPr>
        <w:t>e</w:t>
      </w:r>
      <w:r w:rsidR="00723889">
        <w:rPr>
          <w:rFonts w:ascii="Arial" w:hAnsi="Arial" w:cs="Arial"/>
          <w:sz w:val="24"/>
          <w:szCs w:val="24"/>
          <w:lang w:val="en-US"/>
        </w:rPr>
        <w:t>edings</w:t>
      </w:r>
      <w:r w:rsidR="005B6C1A">
        <w:rPr>
          <w:rFonts w:ascii="Arial" w:hAnsi="Arial" w:cs="Arial"/>
          <w:sz w:val="24"/>
          <w:szCs w:val="24"/>
          <w:lang w:val="en-US"/>
        </w:rPr>
        <w:t xml:space="preserve"> Against Certain </w:t>
      </w:r>
      <w:r w:rsidR="00AB750C">
        <w:rPr>
          <w:rFonts w:ascii="Arial" w:hAnsi="Arial" w:cs="Arial"/>
          <w:sz w:val="24"/>
          <w:szCs w:val="24"/>
          <w:lang w:val="en-US"/>
        </w:rPr>
        <w:t>Organs of State</w:t>
      </w:r>
      <w:r w:rsidR="0003752E">
        <w:rPr>
          <w:rFonts w:ascii="Arial" w:hAnsi="Arial" w:cs="Arial"/>
          <w:sz w:val="24"/>
          <w:szCs w:val="24"/>
          <w:lang w:val="en-US"/>
        </w:rPr>
        <w:t xml:space="preserve"> Act 40 of 2002 (the Institution Act)</w:t>
      </w:r>
      <w:r w:rsidR="0088260E">
        <w:rPr>
          <w:rFonts w:ascii="Arial" w:hAnsi="Arial" w:cs="Arial"/>
          <w:sz w:val="24"/>
          <w:szCs w:val="24"/>
          <w:lang w:val="en-US"/>
        </w:rPr>
        <w:t xml:space="preserve">. The application is opposed by the first </w:t>
      </w:r>
      <w:r w:rsidR="00B86ED8">
        <w:rPr>
          <w:rFonts w:ascii="Arial" w:hAnsi="Arial" w:cs="Arial"/>
          <w:sz w:val="24"/>
          <w:szCs w:val="24"/>
          <w:lang w:val="en-US"/>
        </w:rPr>
        <w:t>respondent</w:t>
      </w:r>
      <w:r w:rsidR="001C3EAA">
        <w:rPr>
          <w:rFonts w:ascii="Arial" w:hAnsi="Arial" w:cs="Arial"/>
          <w:sz w:val="24"/>
          <w:szCs w:val="24"/>
          <w:lang w:val="en-US"/>
        </w:rPr>
        <w:t xml:space="preserve"> on the basis that the claim </w:t>
      </w:r>
      <w:r w:rsidR="006E37DE">
        <w:rPr>
          <w:rFonts w:ascii="Arial" w:hAnsi="Arial" w:cs="Arial"/>
          <w:sz w:val="24"/>
          <w:szCs w:val="24"/>
          <w:lang w:val="en-US"/>
        </w:rPr>
        <w:t>has prescribed</w:t>
      </w:r>
      <w:r w:rsidR="00771869">
        <w:rPr>
          <w:rFonts w:ascii="Arial" w:hAnsi="Arial" w:cs="Arial"/>
          <w:sz w:val="24"/>
          <w:szCs w:val="24"/>
          <w:lang w:val="en-US"/>
        </w:rPr>
        <w:t xml:space="preserve"> in terms of section </w:t>
      </w:r>
      <w:r w:rsidR="00E05429">
        <w:rPr>
          <w:rFonts w:ascii="Arial" w:hAnsi="Arial" w:cs="Arial"/>
          <w:sz w:val="24"/>
          <w:szCs w:val="24"/>
          <w:lang w:val="en-US"/>
        </w:rPr>
        <w:t>11(d) of the Prescription Act</w:t>
      </w:r>
      <w:r w:rsidR="007A224A">
        <w:rPr>
          <w:rFonts w:ascii="Arial" w:hAnsi="Arial" w:cs="Arial"/>
          <w:sz w:val="24"/>
          <w:szCs w:val="24"/>
          <w:lang w:val="en-US"/>
        </w:rPr>
        <w:t xml:space="preserve">. </w:t>
      </w:r>
      <w:r w:rsidR="00F84DC9">
        <w:rPr>
          <w:rFonts w:ascii="Arial" w:hAnsi="Arial" w:cs="Arial"/>
          <w:sz w:val="24"/>
          <w:szCs w:val="24"/>
          <w:lang w:val="en-US"/>
        </w:rPr>
        <w:t xml:space="preserve"> Although there is focus on the first respondent in the </w:t>
      </w:r>
      <w:r w:rsidR="006E37DE">
        <w:rPr>
          <w:rFonts w:ascii="Arial" w:hAnsi="Arial" w:cs="Arial"/>
          <w:sz w:val="24"/>
          <w:szCs w:val="24"/>
          <w:lang w:val="en-US"/>
        </w:rPr>
        <w:t>judgment,</w:t>
      </w:r>
      <w:r w:rsidR="00F84DC9">
        <w:rPr>
          <w:rFonts w:ascii="Arial" w:hAnsi="Arial" w:cs="Arial"/>
          <w:sz w:val="24"/>
          <w:szCs w:val="24"/>
          <w:lang w:val="en-US"/>
        </w:rPr>
        <w:t xml:space="preserve"> because of his active participation in the application, this judgment applies to the second </w:t>
      </w:r>
      <w:r w:rsidR="00F84DC9">
        <w:rPr>
          <w:rFonts w:ascii="Arial" w:hAnsi="Arial" w:cs="Arial"/>
          <w:sz w:val="24"/>
          <w:szCs w:val="24"/>
          <w:lang w:val="en-US"/>
        </w:rPr>
        <w:lastRenderedPageBreak/>
        <w:t xml:space="preserve">respondent as well although she failed to file an answering affidavit. This judgment also deals with her objection to the condonation based on the prescription point. </w:t>
      </w:r>
    </w:p>
    <w:p w14:paraId="19172AF1" w14:textId="77777777" w:rsidR="009D5902" w:rsidRDefault="007A224A" w:rsidP="005B6C1A">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Ms Magadlela appeared for the applicant</w:t>
      </w:r>
      <w:r w:rsidR="00977BDC">
        <w:rPr>
          <w:rFonts w:ascii="Arial" w:hAnsi="Arial" w:cs="Arial"/>
          <w:sz w:val="24"/>
          <w:szCs w:val="24"/>
          <w:lang w:val="en-US"/>
        </w:rPr>
        <w:t xml:space="preserve"> and Ms Sangoni for the respondent</w:t>
      </w:r>
      <w:r w:rsidR="00B86ED8">
        <w:rPr>
          <w:rFonts w:ascii="Arial" w:hAnsi="Arial" w:cs="Arial"/>
          <w:sz w:val="24"/>
          <w:szCs w:val="24"/>
          <w:lang w:val="en-US"/>
        </w:rPr>
        <w:t>s</w:t>
      </w:r>
      <w:r w:rsidR="009D5902">
        <w:rPr>
          <w:rFonts w:ascii="Arial" w:hAnsi="Arial" w:cs="Arial"/>
          <w:sz w:val="24"/>
          <w:szCs w:val="24"/>
          <w:lang w:val="en-US"/>
        </w:rPr>
        <w:t>.</w:t>
      </w:r>
    </w:p>
    <w:p w14:paraId="1E3D088D" w14:textId="77777777" w:rsidR="009D5902" w:rsidRDefault="009D5902" w:rsidP="005B6C1A">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Relevant facts</w:t>
      </w:r>
    </w:p>
    <w:p w14:paraId="1C255E04" w14:textId="7279F66C" w:rsidR="0043505F" w:rsidRDefault="009D5902" w:rsidP="005B6C1A">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AA096B">
        <w:rPr>
          <w:rFonts w:ascii="Arial" w:hAnsi="Arial" w:cs="Arial"/>
          <w:sz w:val="24"/>
          <w:szCs w:val="24"/>
          <w:lang w:val="en-US"/>
        </w:rPr>
        <w:t xml:space="preserve">The applicant is </w:t>
      </w:r>
      <w:r w:rsidR="000C33FA">
        <w:rPr>
          <w:rFonts w:ascii="Arial" w:hAnsi="Arial" w:cs="Arial"/>
          <w:sz w:val="24"/>
          <w:szCs w:val="24"/>
          <w:lang w:val="en-US"/>
        </w:rPr>
        <w:t xml:space="preserve">a </w:t>
      </w:r>
      <w:r w:rsidR="00AA096B">
        <w:rPr>
          <w:rFonts w:ascii="Arial" w:hAnsi="Arial" w:cs="Arial"/>
          <w:sz w:val="24"/>
          <w:szCs w:val="24"/>
          <w:lang w:val="en-US"/>
        </w:rPr>
        <w:t xml:space="preserve">female adult residing </w:t>
      </w:r>
      <w:r w:rsidR="00AD1C7B">
        <w:rPr>
          <w:rFonts w:ascii="Arial" w:hAnsi="Arial" w:cs="Arial"/>
          <w:sz w:val="24"/>
          <w:szCs w:val="24"/>
          <w:lang w:val="en-US"/>
        </w:rPr>
        <w:t>at Khangelekile Community settlement</w:t>
      </w:r>
      <w:r w:rsidR="00D84CD5">
        <w:rPr>
          <w:rFonts w:ascii="Arial" w:hAnsi="Arial" w:cs="Arial"/>
          <w:sz w:val="24"/>
          <w:szCs w:val="24"/>
          <w:lang w:val="en-US"/>
        </w:rPr>
        <w:t>, Buck</w:t>
      </w:r>
      <w:r w:rsidR="00313885">
        <w:rPr>
          <w:rFonts w:ascii="Arial" w:hAnsi="Arial" w:cs="Arial"/>
          <w:sz w:val="24"/>
          <w:szCs w:val="24"/>
          <w:lang w:val="en-US"/>
        </w:rPr>
        <w:t xml:space="preserve"> K</w:t>
      </w:r>
      <w:r w:rsidR="00D84CD5">
        <w:rPr>
          <w:rFonts w:ascii="Arial" w:hAnsi="Arial" w:cs="Arial"/>
          <w:sz w:val="24"/>
          <w:szCs w:val="24"/>
          <w:lang w:val="en-US"/>
        </w:rPr>
        <w:t>raal Farm</w:t>
      </w:r>
      <w:r w:rsidR="00FD7E2F">
        <w:rPr>
          <w:rFonts w:ascii="Arial" w:hAnsi="Arial" w:cs="Arial"/>
          <w:sz w:val="24"/>
          <w:szCs w:val="24"/>
          <w:lang w:val="en-US"/>
        </w:rPr>
        <w:t xml:space="preserve">, </w:t>
      </w:r>
      <w:r w:rsidR="006E37DE">
        <w:rPr>
          <w:rFonts w:ascii="Arial" w:hAnsi="Arial" w:cs="Arial"/>
          <w:sz w:val="24"/>
          <w:szCs w:val="24"/>
          <w:lang w:val="en-US"/>
        </w:rPr>
        <w:t>Peddie, in</w:t>
      </w:r>
      <w:r w:rsidR="00FD7E2F">
        <w:rPr>
          <w:rFonts w:ascii="Arial" w:hAnsi="Arial" w:cs="Arial"/>
          <w:sz w:val="24"/>
          <w:szCs w:val="24"/>
          <w:lang w:val="en-US"/>
        </w:rPr>
        <w:t xml:space="preserve"> the Eastern Cape. She is a </w:t>
      </w:r>
      <w:r w:rsidR="0054653D">
        <w:rPr>
          <w:rFonts w:ascii="Arial" w:hAnsi="Arial" w:cs="Arial"/>
          <w:sz w:val="24"/>
          <w:szCs w:val="24"/>
          <w:lang w:val="en-US"/>
        </w:rPr>
        <w:t>widow doing odd jobs and a primary care giver</w:t>
      </w:r>
      <w:r w:rsidR="008F23D4">
        <w:rPr>
          <w:rFonts w:ascii="Arial" w:hAnsi="Arial" w:cs="Arial"/>
          <w:sz w:val="24"/>
          <w:szCs w:val="24"/>
          <w:lang w:val="en-US"/>
        </w:rPr>
        <w:t xml:space="preserve"> to three minor children and one grandchild</w:t>
      </w:r>
      <w:r w:rsidR="0043505F">
        <w:rPr>
          <w:rFonts w:ascii="Arial" w:hAnsi="Arial" w:cs="Arial"/>
          <w:sz w:val="24"/>
          <w:szCs w:val="24"/>
          <w:lang w:val="en-US"/>
        </w:rPr>
        <w:t xml:space="preserve">. </w:t>
      </w:r>
    </w:p>
    <w:p w14:paraId="541BFF8E" w14:textId="62AC1385" w:rsidR="00190086" w:rsidRDefault="0043505F" w:rsidP="005B6C1A">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On or about 15 July </w:t>
      </w:r>
      <w:r w:rsidR="006E37DE">
        <w:rPr>
          <w:rFonts w:ascii="Arial" w:hAnsi="Arial" w:cs="Arial"/>
          <w:sz w:val="24"/>
          <w:szCs w:val="24"/>
          <w:lang w:val="en-US"/>
        </w:rPr>
        <w:t>2022,</w:t>
      </w:r>
      <w:r w:rsidR="00190086">
        <w:rPr>
          <w:rFonts w:ascii="Arial" w:hAnsi="Arial" w:cs="Arial"/>
          <w:sz w:val="24"/>
          <w:szCs w:val="24"/>
          <w:lang w:val="en-US"/>
        </w:rPr>
        <w:t xml:space="preserve"> </w:t>
      </w:r>
      <w:r w:rsidR="00D8300A">
        <w:rPr>
          <w:rFonts w:ascii="Arial" w:hAnsi="Arial" w:cs="Arial"/>
          <w:sz w:val="24"/>
          <w:szCs w:val="24"/>
          <w:lang w:val="en-US"/>
        </w:rPr>
        <w:t>the applicant instituted a</w:t>
      </w:r>
      <w:r w:rsidR="00190086">
        <w:rPr>
          <w:rFonts w:ascii="Arial" w:hAnsi="Arial" w:cs="Arial"/>
          <w:sz w:val="24"/>
          <w:szCs w:val="24"/>
          <w:lang w:val="en-US"/>
        </w:rPr>
        <w:t xml:space="preserve"> claim for damages</w:t>
      </w:r>
      <w:r w:rsidR="00D8300A">
        <w:rPr>
          <w:rFonts w:ascii="Arial" w:hAnsi="Arial" w:cs="Arial"/>
          <w:sz w:val="24"/>
          <w:szCs w:val="24"/>
          <w:lang w:val="en-US"/>
        </w:rPr>
        <w:t xml:space="preserve"> against the Minister of Police </w:t>
      </w:r>
      <w:r w:rsidR="006961BC">
        <w:rPr>
          <w:rFonts w:ascii="Arial" w:hAnsi="Arial" w:cs="Arial"/>
          <w:sz w:val="24"/>
          <w:szCs w:val="24"/>
          <w:lang w:val="en-US"/>
        </w:rPr>
        <w:t>and the National Director of Public Prosecutions</w:t>
      </w:r>
      <w:r w:rsidR="00190086">
        <w:rPr>
          <w:rFonts w:ascii="Arial" w:hAnsi="Arial" w:cs="Arial"/>
          <w:sz w:val="24"/>
          <w:szCs w:val="24"/>
          <w:lang w:val="en-US"/>
        </w:rPr>
        <w:t xml:space="preserve"> </w:t>
      </w:r>
      <w:r w:rsidR="006E37DE">
        <w:rPr>
          <w:rFonts w:ascii="Arial" w:hAnsi="Arial" w:cs="Arial"/>
          <w:sz w:val="24"/>
          <w:szCs w:val="24"/>
          <w:lang w:val="en-US"/>
        </w:rPr>
        <w:t>for,</w:t>
      </w:r>
      <w:r w:rsidR="00190086">
        <w:rPr>
          <w:rFonts w:ascii="Arial" w:hAnsi="Arial" w:cs="Arial"/>
          <w:sz w:val="24"/>
          <w:szCs w:val="24"/>
          <w:lang w:val="en-US"/>
        </w:rPr>
        <w:t xml:space="preserve"> </w:t>
      </w:r>
      <w:r w:rsidR="00190086" w:rsidRPr="00190086">
        <w:rPr>
          <w:rFonts w:ascii="Arial" w:hAnsi="Arial" w:cs="Arial"/>
          <w:i/>
          <w:iCs/>
          <w:sz w:val="24"/>
          <w:szCs w:val="24"/>
          <w:lang w:val="en-US"/>
        </w:rPr>
        <w:t>inter alia</w:t>
      </w:r>
      <w:r w:rsidR="00190086">
        <w:rPr>
          <w:rFonts w:ascii="Arial" w:hAnsi="Arial" w:cs="Arial"/>
          <w:sz w:val="24"/>
          <w:szCs w:val="24"/>
          <w:lang w:val="en-US"/>
        </w:rPr>
        <w:t xml:space="preserve">, unlawful detention, discomfort, malicious prosecution and legal fees in the amount </w:t>
      </w:r>
      <w:r w:rsidR="006E37DE">
        <w:rPr>
          <w:rFonts w:ascii="Arial" w:hAnsi="Arial" w:cs="Arial"/>
          <w:sz w:val="24"/>
          <w:szCs w:val="24"/>
          <w:lang w:val="en-US"/>
        </w:rPr>
        <w:t>of R</w:t>
      </w:r>
      <w:r w:rsidR="00190086">
        <w:rPr>
          <w:rFonts w:ascii="Arial" w:hAnsi="Arial" w:cs="Arial"/>
          <w:sz w:val="24"/>
          <w:szCs w:val="24"/>
          <w:lang w:val="en-US"/>
        </w:rPr>
        <w:t>1 140 000.00</w:t>
      </w:r>
      <w:r w:rsidR="0051172D">
        <w:rPr>
          <w:rFonts w:ascii="Arial" w:hAnsi="Arial" w:cs="Arial"/>
          <w:sz w:val="24"/>
          <w:szCs w:val="24"/>
          <w:lang w:val="en-US"/>
        </w:rPr>
        <w:t xml:space="preserve">. </w:t>
      </w:r>
    </w:p>
    <w:p w14:paraId="1DCB114C" w14:textId="03DCB763" w:rsidR="00B718BE" w:rsidRDefault="00190086" w:rsidP="005B6C1A">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6E37DE">
        <w:rPr>
          <w:rFonts w:ascii="Arial" w:hAnsi="Arial" w:cs="Arial"/>
          <w:sz w:val="24"/>
          <w:szCs w:val="24"/>
          <w:lang w:val="en-US"/>
        </w:rPr>
        <w:t xml:space="preserve">] </w:t>
      </w:r>
      <w:r w:rsidR="006E37DE">
        <w:rPr>
          <w:rFonts w:ascii="Arial" w:hAnsi="Arial" w:cs="Arial"/>
          <w:sz w:val="24"/>
          <w:szCs w:val="24"/>
          <w:lang w:val="en-US"/>
        </w:rPr>
        <w:tab/>
        <w:t>In</w:t>
      </w:r>
      <w:r>
        <w:rPr>
          <w:rFonts w:ascii="Arial" w:hAnsi="Arial" w:cs="Arial"/>
          <w:sz w:val="24"/>
          <w:szCs w:val="24"/>
          <w:lang w:val="en-US"/>
        </w:rPr>
        <w:t xml:space="preserve"> giving details relating to the </w:t>
      </w:r>
      <w:r w:rsidR="006E37DE">
        <w:rPr>
          <w:rFonts w:ascii="Arial" w:hAnsi="Arial" w:cs="Arial"/>
          <w:sz w:val="24"/>
          <w:szCs w:val="24"/>
          <w:lang w:val="en-US"/>
        </w:rPr>
        <w:t>claim, the</w:t>
      </w:r>
      <w:r w:rsidR="00041668">
        <w:rPr>
          <w:rFonts w:ascii="Arial" w:hAnsi="Arial" w:cs="Arial"/>
          <w:sz w:val="24"/>
          <w:szCs w:val="24"/>
          <w:lang w:val="en-US"/>
        </w:rPr>
        <w:t xml:space="preserve"> applicant stated the following</w:t>
      </w:r>
      <w:r w:rsidR="00B718BE">
        <w:rPr>
          <w:rFonts w:ascii="Arial" w:hAnsi="Arial" w:cs="Arial"/>
          <w:sz w:val="24"/>
          <w:szCs w:val="24"/>
          <w:lang w:val="en-US"/>
        </w:rPr>
        <w:t>:</w:t>
      </w:r>
    </w:p>
    <w:p w14:paraId="4E2EFC61" w14:textId="147930BB" w:rsidR="0047126F" w:rsidRDefault="006E37DE" w:rsidP="0047126F">
      <w:pPr>
        <w:spacing w:line="480" w:lineRule="auto"/>
        <w:ind w:left="1440" w:hanging="720"/>
        <w:jc w:val="both"/>
        <w:rPr>
          <w:rFonts w:ascii="Arial" w:hAnsi="Arial" w:cs="Arial"/>
          <w:sz w:val="24"/>
          <w:szCs w:val="24"/>
          <w:lang w:val="en-US"/>
        </w:rPr>
      </w:pPr>
      <w:r>
        <w:rPr>
          <w:rFonts w:ascii="Arial" w:hAnsi="Arial" w:cs="Arial"/>
          <w:sz w:val="24"/>
          <w:szCs w:val="24"/>
          <w:lang w:val="en-US"/>
        </w:rPr>
        <w:t>5.1.</w:t>
      </w:r>
      <w:r w:rsidR="00B718BE">
        <w:rPr>
          <w:rFonts w:ascii="Arial" w:hAnsi="Arial" w:cs="Arial"/>
          <w:sz w:val="24"/>
          <w:szCs w:val="24"/>
          <w:lang w:val="en-US"/>
        </w:rPr>
        <w:tab/>
        <w:t xml:space="preserve">During the afternoon on </w:t>
      </w:r>
      <w:r w:rsidR="001513D2">
        <w:rPr>
          <w:rFonts w:ascii="Arial" w:hAnsi="Arial" w:cs="Arial"/>
          <w:sz w:val="24"/>
          <w:szCs w:val="24"/>
          <w:lang w:val="en-US"/>
        </w:rPr>
        <w:t>16 May 2019</w:t>
      </w:r>
      <w:r w:rsidR="000C33FA">
        <w:rPr>
          <w:rFonts w:ascii="Arial" w:hAnsi="Arial" w:cs="Arial"/>
          <w:sz w:val="24"/>
          <w:szCs w:val="24"/>
          <w:lang w:val="en-US"/>
        </w:rPr>
        <w:t xml:space="preserve">, </w:t>
      </w:r>
      <w:r w:rsidR="001513D2">
        <w:rPr>
          <w:rFonts w:ascii="Arial" w:hAnsi="Arial" w:cs="Arial"/>
          <w:sz w:val="24"/>
          <w:szCs w:val="24"/>
          <w:lang w:val="en-US"/>
        </w:rPr>
        <w:t>masked members of the South African Police Service</w:t>
      </w:r>
      <w:r w:rsidR="004273FC">
        <w:rPr>
          <w:rFonts w:ascii="Arial" w:hAnsi="Arial" w:cs="Arial"/>
          <w:sz w:val="24"/>
          <w:szCs w:val="24"/>
          <w:lang w:val="en-US"/>
        </w:rPr>
        <w:t xml:space="preserve">s entered her home without a search warrant and </w:t>
      </w:r>
      <w:r w:rsidR="00397248">
        <w:rPr>
          <w:rFonts w:ascii="Arial" w:hAnsi="Arial" w:cs="Arial"/>
          <w:sz w:val="24"/>
          <w:szCs w:val="24"/>
          <w:lang w:val="en-US"/>
        </w:rPr>
        <w:t>searched it. They planted drugs in her bedroom</w:t>
      </w:r>
      <w:r w:rsidR="00E13D85">
        <w:rPr>
          <w:rFonts w:ascii="Arial" w:hAnsi="Arial" w:cs="Arial"/>
          <w:sz w:val="24"/>
          <w:szCs w:val="24"/>
          <w:lang w:val="en-US"/>
        </w:rPr>
        <w:t xml:space="preserve">. They assaulted her in an attempt </w:t>
      </w:r>
      <w:r w:rsidR="00EB6FC8">
        <w:rPr>
          <w:rFonts w:ascii="Arial" w:hAnsi="Arial" w:cs="Arial"/>
          <w:sz w:val="24"/>
          <w:szCs w:val="24"/>
          <w:lang w:val="en-US"/>
        </w:rPr>
        <w:t>to obtain a confession from her</w:t>
      </w:r>
      <w:r w:rsidR="00E168E5">
        <w:rPr>
          <w:rFonts w:ascii="Arial" w:hAnsi="Arial" w:cs="Arial"/>
          <w:sz w:val="24"/>
          <w:szCs w:val="24"/>
          <w:lang w:val="en-US"/>
        </w:rPr>
        <w:t>. They arrested her without probable cause</w:t>
      </w:r>
      <w:r w:rsidR="008A70C2">
        <w:rPr>
          <w:rFonts w:ascii="Arial" w:hAnsi="Arial" w:cs="Arial"/>
          <w:sz w:val="24"/>
          <w:szCs w:val="24"/>
          <w:lang w:val="en-US"/>
        </w:rPr>
        <w:t>. They did not inform her</w:t>
      </w:r>
      <w:r w:rsidR="0072570F">
        <w:rPr>
          <w:rFonts w:ascii="Arial" w:hAnsi="Arial" w:cs="Arial"/>
          <w:sz w:val="24"/>
          <w:szCs w:val="24"/>
          <w:lang w:val="en-US"/>
        </w:rPr>
        <w:t xml:space="preserve"> of her constitutional rig</w:t>
      </w:r>
      <w:r w:rsidR="00D95C2D">
        <w:rPr>
          <w:rFonts w:ascii="Arial" w:hAnsi="Arial" w:cs="Arial"/>
          <w:sz w:val="24"/>
          <w:szCs w:val="24"/>
          <w:lang w:val="en-US"/>
        </w:rPr>
        <w:t>hts</w:t>
      </w:r>
      <w:r w:rsidR="00F35382">
        <w:rPr>
          <w:rFonts w:ascii="Arial" w:hAnsi="Arial" w:cs="Arial"/>
          <w:sz w:val="24"/>
          <w:szCs w:val="24"/>
          <w:lang w:val="en-US"/>
        </w:rPr>
        <w:t>. It was later established that the officer</w:t>
      </w:r>
      <w:r w:rsidR="00F5250E">
        <w:rPr>
          <w:rFonts w:ascii="Arial" w:hAnsi="Arial" w:cs="Arial"/>
          <w:sz w:val="24"/>
          <w:szCs w:val="24"/>
          <w:lang w:val="en-US"/>
        </w:rPr>
        <w:t xml:space="preserve">s who were involved in the search were </w:t>
      </w:r>
      <w:r w:rsidR="00F95B3F">
        <w:rPr>
          <w:rFonts w:ascii="Arial" w:hAnsi="Arial" w:cs="Arial"/>
          <w:sz w:val="24"/>
          <w:szCs w:val="24"/>
          <w:lang w:val="en-US"/>
        </w:rPr>
        <w:t>Sergeant</w:t>
      </w:r>
      <w:r w:rsidR="00F5250E">
        <w:rPr>
          <w:rFonts w:ascii="Arial" w:hAnsi="Arial" w:cs="Arial"/>
          <w:sz w:val="24"/>
          <w:szCs w:val="24"/>
          <w:lang w:val="en-US"/>
        </w:rPr>
        <w:t xml:space="preserve"> </w:t>
      </w:r>
      <w:r w:rsidR="00F95B3F">
        <w:rPr>
          <w:rFonts w:ascii="Arial" w:hAnsi="Arial" w:cs="Arial"/>
          <w:sz w:val="24"/>
          <w:szCs w:val="24"/>
          <w:lang w:val="en-US"/>
        </w:rPr>
        <w:t xml:space="preserve">Z. Ndyoko </w:t>
      </w:r>
      <w:r w:rsidR="00AD1FB0">
        <w:rPr>
          <w:rFonts w:ascii="Arial" w:hAnsi="Arial" w:cs="Arial"/>
          <w:sz w:val="24"/>
          <w:szCs w:val="24"/>
          <w:lang w:val="en-US"/>
        </w:rPr>
        <w:t>and Sergeant Mar</w:t>
      </w:r>
      <w:r w:rsidR="00313885">
        <w:rPr>
          <w:rFonts w:ascii="Arial" w:hAnsi="Arial" w:cs="Arial"/>
          <w:sz w:val="24"/>
          <w:szCs w:val="24"/>
          <w:lang w:val="en-US"/>
        </w:rPr>
        <w:t xml:space="preserve">u who </w:t>
      </w:r>
      <w:r w:rsidR="00190086">
        <w:rPr>
          <w:rFonts w:ascii="Arial" w:hAnsi="Arial" w:cs="Arial"/>
          <w:sz w:val="24"/>
          <w:szCs w:val="24"/>
          <w:lang w:val="en-US"/>
        </w:rPr>
        <w:t>were</w:t>
      </w:r>
      <w:r w:rsidR="009C45AF">
        <w:rPr>
          <w:rFonts w:ascii="Arial" w:hAnsi="Arial" w:cs="Arial"/>
          <w:sz w:val="24"/>
          <w:szCs w:val="24"/>
          <w:lang w:val="en-US"/>
        </w:rPr>
        <w:t xml:space="preserve"> attached to the </w:t>
      </w:r>
      <w:r w:rsidR="005F4456" w:rsidRPr="00313885">
        <w:rPr>
          <w:rFonts w:ascii="Arial" w:hAnsi="Arial" w:cs="Arial"/>
          <w:color w:val="000000" w:themeColor="text1"/>
          <w:sz w:val="24"/>
          <w:szCs w:val="24"/>
          <w:lang w:val="en-US"/>
        </w:rPr>
        <w:t xml:space="preserve">TRT </w:t>
      </w:r>
      <w:r w:rsidR="00313885" w:rsidRPr="00313885">
        <w:rPr>
          <w:rFonts w:ascii="Arial" w:hAnsi="Arial" w:cs="Arial"/>
          <w:color w:val="000000" w:themeColor="text1"/>
          <w:sz w:val="24"/>
          <w:szCs w:val="24"/>
          <w:lang w:val="en-US"/>
        </w:rPr>
        <w:t xml:space="preserve">Fort </w:t>
      </w:r>
      <w:r w:rsidRPr="00313885">
        <w:rPr>
          <w:rFonts w:ascii="Arial" w:hAnsi="Arial" w:cs="Arial"/>
          <w:color w:val="000000" w:themeColor="text1"/>
          <w:sz w:val="24"/>
          <w:szCs w:val="24"/>
          <w:lang w:val="en-US"/>
        </w:rPr>
        <w:t>Jackson police</w:t>
      </w:r>
      <w:r w:rsidR="00877284">
        <w:rPr>
          <w:rFonts w:ascii="Arial" w:hAnsi="Arial" w:cs="Arial"/>
          <w:sz w:val="24"/>
          <w:szCs w:val="24"/>
          <w:lang w:val="en-US"/>
        </w:rPr>
        <w:t xml:space="preserve"> station.</w:t>
      </w:r>
      <w:r w:rsidR="005F4456">
        <w:rPr>
          <w:rFonts w:ascii="Arial" w:hAnsi="Arial" w:cs="Arial"/>
          <w:sz w:val="24"/>
          <w:szCs w:val="24"/>
          <w:lang w:val="en-US"/>
        </w:rPr>
        <w:t xml:space="preserve"> </w:t>
      </w:r>
    </w:p>
    <w:p w14:paraId="2503E2BA" w14:textId="52560C53" w:rsidR="00776F86" w:rsidRDefault="00DA3636" w:rsidP="0047126F">
      <w:pPr>
        <w:spacing w:line="480" w:lineRule="auto"/>
        <w:ind w:left="1440" w:hanging="720"/>
        <w:jc w:val="both"/>
        <w:rPr>
          <w:rFonts w:ascii="Arial" w:hAnsi="Arial" w:cs="Arial"/>
          <w:sz w:val="24"/>
          <w:szCs w:val="24"/>
          <w:lang w:val="en-US"/>
        </w:rPr>
      </w:pPr>
      <w:r>
        <w:rPr>
          <w:rFonts w:ascii="Arial" w:hAnsi="Arial" w:cs="Arial"/>
          <w:sz w:val="24"/>
          <w:szCs w:val="24"/>
          <w:lang w:val="en-US"/>
        </w:rPr>
        <w:t>5.</w:t>
      </w:r>
      <w:r w:rsidR="0047126F">
        <w:rPr>
          <w:rFonts w:ascii="Arial" w:hAnsi="Arial" w:cs="Arial"/>
          <w:sz w:val="24"/>
          <w:szCs w:val="24"/>
          <w:lang w:val="en-US"/>
        </w:rPr>
        <w:t>2.</w:t>
      </w:r>
      <w:r w:rsidR="0047126F">
        <w:rPr>
          <w:rFonts w:ascii="Arial" w:hAnsi="Arial" w:cs="Arial"/>
          <w:sz w:val="24"/>
          <w:szCs w:val="24"/>
          <w:lang w:val="en-US"/>
        </w:rPr>
        <w:tab/>
        <w:t xml:space="preserve"> She was </w:t>
      </w:r>
      <w:r w:rsidR="00190086">
        <w:rPr>
          <w:rFonts w:ascii="Arial" w:hAnsi="Arial" w:cs="Arial"/>
          <w:sz w:val="24"/>
          <w:szCs w:val="24"/>
          <w:lang w:val="en-US"/>
        </w:rPr>
        <w:t>kept</w:t>
      </w:r>
      <w:r w:rsidR="0047126F">
        <w:rPr>
          <w:rFonts w:ascii="Arial" w:hAnsi="Arial" w:cs="Arial"/>
          <w:sz w:val="24"/>
          <w:szCs w:val="24"/>
          <w:lang w:val="en-US"/>
        </w:rPr>
        <w:t xml:space="preserve"> in custody</w:t>
      </w:r>
      <w:r w:rsidR="00313885">
        <w:rPr>
          <w:rFonts w:ascii="Arial" w:hAnsi="Arial" w:cs="Arial"/>
          <w:sz w:val="24"/>
          <w:szCs w:val="24"/>
          <w:lang w:val="en-US"/>
        </w:rPr>
        <w:t xml:space="preserve">. </w:t>
      </w:r>
      <w:r w:rsidR="0047126F">
        <w:rPr>
          <w:rFonts w:ascii="Arial" w:hAnsi="Arial" w:cs="Arial"/>
          <w:sz w:val="24"/>
          <w:szCs w:val="24"/>
          <w:lang w:val="en-US"/>
        </w:rPr>
        <w:t xml:space="preserve"> </w:t>
      </w:r>
      <w:r w:rsidR="00313885">
        <w:rPr>
          <w:rFonts w:ascii="Arial" w:hAnsi="Arial" w:cs="Arial"/>
          <w:sz w:val="24"/>
          <w:szCs w:val="24"/>
          <w:lang w:val="en-US"/>
        </w:rPr>
        <w:t>T</w:t>
      </w:r>
      <w:r w:rsidR="008624E0">
        <w:rPr>
          <w:rFonts w:ascii="Arial" w:hAnsi="Arial" w:cs="Arial"/>
          <w:sz w:val="24"/>
          <w:szCs w:val="24"/>
          <w:lang w:val="en-US"/>
        </w:rPr>
        <w:t>he arresting officer</w:t>
      </w:r>
      <w:r w:rsidR="00501B8E">
        <w:rPr>
          <w:rFonts w:ascii="Arial" w:hAnsi="Arial" w:cs="Arial"/>
          <w:sz w:val="24"/>
          <w:szCs w:val="24"/>
          <w:lang w:val="en-US"/>
        </w:rPr>
        <w:t xml:space="preserve"> recommended that she be released on </w:t>
      </w:r>
      <w:r w:rsidR="006E37DE">
        <w:rPr>
          <w:rFonts w:ascii="Arial" w:hAnsi="Arial" w:cs="Arial"/>
          <w:sz w:val="24"/>
          <w:szCs w:val="24"/>
          <w:lang w:val="en-US"/>
        </w:rPr>
        <w:t>bail, however</w:t>
      </w:r>
      <w:r w:rsidR="000C33FA">
        <w:rPr>
          <w:rFonts w:ascii="Arial" w:hAnsi="Arial" w:cs="Arial"/>
          <w:sz w:val="24"/>
          <w:szCs w:val="24"/>
          <w:lang w:val="en-US"/>
        </w:rPr>
        <w:t xml:space="preserve">, </w:t>
      </w:r>
      <w:r w:rsidR="00E923CB">
        <w:rPr>
          <w:rFonts w:ascii="Arial" w:hAnsi="Arial" w:cs="Arial"/>
          <w:sz w:val="24"/>
          <w:szCs w:val="24"/>
          <w:lang w:val="en-US"/>
        </w:rPr>
        <w:t xml:space="preserve">the </w:t>
      </w:r>
      <w:r w:rsidR="000C33FA">
        <w:rPr>
          <w:rFonts w:ascii="Arial" w:hAnsi="Arial" w:cs="Arial"/>
          <w:sz w:val="24"/>
          <w:szCs w:val="24"/>
          <w:lang w:val="en-US"/>
        </w:rPr>
        <w:t>p</w:t>
      </w:r>
      <w:r w:rsidR="00E923CB">
        <w:rPr>
          <w:rFonts w:ascii="Arial" w:hAnsi="Arial" w:cs="Arial"/>
          <w:sz w:val="24"/>
          <w:szCs w:val="24"/>
          <w:lang w:val="en-US"/>
        </w:rPr>
        <w:t xml:space="preserve">rosecutor </w:t>
      </w:r>
      <w:r w:rsidR="007F1A3A">
        <w:rPr>
          <w:rFonts w:ascii="Arial" w:hAnsi="Arial" w:cs="Arial"/>
          <w:sz w:val="24"/>
          <w:szCs w:val="24"/>
          <w:lang w:val="en-US"/>
        </w:rPr>
        <w:t>opposed bail</w:t>
      </w:r>
      <w:r w:rsidR="00A1329A">
        <w:rPr>
          <w:rFonts w:ascii="Arial" w:hAnsi="Arial" w:cs="Arial"/>
          <w:sz w:val="24"/>
          <w:szCs w:val="24"/>
          <w:lang w:val="en-US"/>
        </w:rPr>
        <w:t xml:space="preserve">. She alleged </w:t>
      </w:r>
      <w:r w:rsidR="00A1329A">
        <w:rPr>
          <w:rFonts w:ascii="Arial" w:hAnsi="Arial" w:cs="Arial"/>
          <w:sz w:val="24"/>
          <w:szCs w:val="24"/>
          <w:lang w:val="en-US"/>
        </w:rPr>
        <w:lastRenderedPageBreak/>
        <w:t xml:space="preserve">that the opposition by the </w:t>
      </w:r>
      <w:r w:rsidR="000C33FA">
        <w:rPr>
          <w:rFonts w:ascii="Arial" w:hAnsi="Arial" w:cs="Arial"/>
          <w:sz w:val="24"/>
          <w:szCs w:val="24"/>
          <w:lang w:val="en-US"/>
        </w:rPr>
        <w:t>p</w:t>
      </w:r>
      <w:r w:rsidR="00A1329A">
        <w:rPr>
          <w:rFonts w:ascii="Arial" w:hAnsi="Arial" w:cs="Arial"/>
          <w:sz w:val="24"/>
          <w:szCs w:val="24"/>
          <w:lang w:val="en-US"/>
        </w:rPr>
        <w:t xml:space="preserve">rosecutor </w:t>
      </w:r>
      <w:r w:rsidR="00893528">
        <w:rPr>
          <w:rFonts w:ascii="Arial" w:hAnsi="Arial" w:cs="Arial"/>
          <w:sz w:val="24"/>
          <w:szCs w:val="24"/>
          <w:lang w:val="en-US"/>
        </w:rPr>
        <w:t>was irrational and malicious</w:t>
      </w:r>
      <w:r w:rsidR="00A65077">
        <w:rPr>
          <w:rFonts w:ascii="Arial" w:hAnsi="Arial" w:cs="Arial"/>
          <w:sz w:val="24"/>
          <w:szCs w:val="24"/>
          <w:lang w:val="en-US"/>
        </w:rPr>
        <w:t xml:space="preserve">. </w:t>
      </w:r>
      <w:r w:rsidR="007B3C00">
        <w:rPr>
          <w:rFonts w:ascii="Arial" w:hAnsi="Arial" w:cs="Arial"/>
          <w:sz w:val="24"/>
          <w:szCs w:val="24"/>
          <w:lang w:val="en-US"/>
        </w:rPr>
        <w:t xml:space="preserve">She was kept at the East London prison. </w:t>
      </w:r>
      <w:r w:rsidR="00A65077">
        <w:rPr>
          <w:rFonts w:ascii="Arial" w:hAnsi="Arial" w:cs="Arial"/>
          <w:sz w:val="24"/>
          <w:szCs w:val="24"/>
          <w:lang w:val="en-US"/>
        </w:rPr>
        <w:t xml:space="preserve">She </w:t>
      </w:r>
      <w:r w:rsidR="009330F0">
        <w:rPr>
          <w:rFonts w:ascii="Arial" w:hAnsi="Arial" w:cs="Arial"/>
          <w:sz w:val="24"/>
          <w:szCs w:val="24"/>
          <w:lang w:val="en-US"/>
        </w:rPr>
        <w:t xml:space="preserve">appeared in </w:t>
      </w:r>
      <w:r w:rsidR="000C33FA">
        <w:rPr>
          <w:rFonts w:ascii="Arial" w:hAnsi="Arial" w:cs="Arial"/>
          <w:sz w:val="24"/>
          <w:szCs w:val="24"/>
          <w:lang w:val="en-US"/>
        </w:rPr>
        <w:t>c</w:t>
      </w:r>
      <w:r w:rsidR="009330F0">
        <w:rPr>
          <w:rFonts w:ascii="Arial" w:hAnsi="Arial" w:cs="Arial"/>
          <w:sz w:val="24"/>
          <w:szCs w:val="24"/>
          <w:lang w:val="en-US"/>
        </w:rPr>
        <w:t>ourt on 17 May 2019</w:t>
      </w:r>
      <w:r w:rsidR="000C33FA">
        <w:rPr>
          <w:rFonts w:ascii="Arial" w:hAnsi="Arial" w:cs="Arial"/>
          <w:sz w:val="24"/>
          <w:szCs w:val="24"/>
          <w:lang w:val="en-US"/>
        </w:rPr>
        <w:t xml:space="preserve"> </w:t>
      </w:r>
      <w:r w:rsidR="006E37DE">
        <w:rPr>
          <w:rFonts w:ascii="Arial" w:hAnsi="Arial" w:cs="Arial"/>
          <w:sz w:val="24"/>
          <w:szCs w:val="24"/>
          <w:lang w:val="en-US"/>
        </w:rPr>
        <w:t>and the</w:t>
      </w:r>
      <w:r w:rsidR="006E5DA7">
        <w:rPr>
          <w:rFonts w:ascii="Arial" w:hAnsi="Arial" w:cs="Arial"/>
          <w:sz w:val="24"/>
          <w:szCs w:val="24"/>
          <w:lang w:val="en-US"/>
        </w:rPr>
        <w:t xml:space="preserve"> case was postponed to </w:t>
      </w:r>
      <w:r w:rsidR="009B1E9B">
        <w:rPr>
          <w:rFonts w:ascii="Arial" w:hAnsi="Arial" w:cs="Arial"/>
          <w:sz w:val="24"/>
          <w:szCs w:val="24"/>
          <w:lang w:val="en-US"/>
        </w:rPr>
        <w:t>20 May 2019</w:t>
      </w:r>
      <w:r w:rsidR="00AD2ACA">
        <w:rPr>
          <w:rFonts w:ascii="Arial" w:hAnsi="Arial" w:cs="Arial"/>
          <w:sz w:val="24"/>
          <w:szCs w:val="24"/>
          <w:lang w:val="en-US"/>
        </w:rPr>
        <w:t>. On 20 May 2019</w:t>
      </w:r>
      <w:r w:rsidR="007B406C">
        <w:rPr>
          <w:rFonts w:ascii="Arial" w:hAnsi="Arial" w:cs="Arial"/>
          <w:sz w:val="24"/>
          <w:szCs w:val="24"/>
          <w:lang w:val="en-US"/>
        </w:rPr>
        <w:t xml:space="preserve"> the case was further postponed to 27 </w:t>
      </w:r>
      <w:r w:rsidR="002514FF">
        <w:rPr>
          <w:rFonts w:ascii="Arial" w:hAnsi="Arial" w:cs="Arial"/>
          <w:sz w:val="24"/>
          <w:szCs w:val="24"/>
          <w:lang w:val="en-US"/>
        </w:rPr>
        <w:t xml:space="preserve">May </w:t>
      </w:r>
      <w:r w:rsidR="006E37DE">
        <w:rPr>
          <w:rFonts w:ascii="Arial" w:hAnsi="Arial" w:cs="Arial"/>
          <w:sz w:val="24"/>
          <w:szCs w:val="24"/>
          <w:lang w:val="en-US"/>
        </w:rPr>
        <w:t>2019. She</w:t>
      </w:r>
      <w:r w:rsidR="00D41C38">
        <w:rPr>
          <w:rFonts w:ascii="Arial" w:hAnsi="Arial" w:cs="Arial"/>
          <w:sz w:val="24"/>
          <w:szCs w:val="24"/>
          <w:lang w:val="en-US"/>
        </w:rPr>
        <w:t xml:space="preserve"> was granted bail on 27 May 2019</w:t>
      </w:r>
      <w:r w:rsidR="00776F86">
        <w:rPr>
          <w:rFonts w:ascii="Arial" w:hAnsi="Arial" w:cs="Arial"/>
          <w:sz w:val="24"/>
          <w:szCs w:val="24"/>
          <w:lang w:val="en-US"/>
        </w:rPr>
        <w:t>.</w:t>
      </w:r>
    </w:p>
    <w:p w14:paraId="7DFAE938" w14:textId="534522B9" w:rsidR="00B118BF" w:rsidRDefault="00DA3636" w:rsidP="0047126F">
      <w:pPr>
        <w:spacing w:line="480" w:lineRule="auto"/>
        <w:ind w:left="1440" w:hanging="720"/>
        <w:jc w:val="both"/>
        <w:rPr>
          <w:rFonts w:ascii="Arial" w:hAnsi="Arial" w:cs="Arial"/>
          <w:sz w:val="24"/>
          <w:szCs w:val="24"/>
          <w:lang w:val="en-US"/>
        </w:rPr>
      </w:pPr>
      <w:r>
        <w:rPr>
          <w:rFonts w:ascii="Arial" w:hAnsi="Arial" w:cs="Arial"/>
          <w:sz w:val="24"/>
          <w:szCs w:val="24"/>
          <w:lang w:val="en-US"/>
        </w:rPr>
        <w:t>5.</w:t>
      </w:r>
      <w:r w:rsidR="00776F86">
        <w:rPr>
          <w:rFonts w:ascii="Arial" w:hAnsi="Arial" w:cs="Arial"/>
          <w:sz w:val="24"/>
          <w:szCs w:val="24"/>
          <w:lang w:val="en-US"/>
        </w:rPr>
        <w:t>3.</w:t>
      </w:r>
      <w:r w:rsidR="00776F86">
        <w:rPr>
          <w:rFonts w:ascii="Arial" w:hAnsi="Arial" w:cs="Arial"/>
          <w:sz w:val="24"/>
          <w:szCs w:val="24"/>
          <w:lang w:val="en-US"/>
        </w:rPr>
        <w:tab/>
        <w:t>After several postponement</w:t>
      </w:r>
      <w:r w:rsidR="00C93D0E">
        <w:rPr>
          <w:rFonts w:ascii="Arial" w:hAnsi="Arial" w:cs="Arial"/>
          <w:sz w:val="24"/>
          <w:szCs w:val="24"/>
          <w:lang w:val="en-US"/>
        </w:rPr>
        <w:t>s</w:t>
      </w:r>
      <w:r w:rsidR="00CB6641">
        <w:rPr>
          <w:rFonts w:ascii="Arial" w:hAnsi="Arial" w:cs="Arial"/>
          <w:sz w:val="24"/>
          <w:szCs w:val="24"/>
          <w:lang w:val="en-US"/>
        </w:rPr>
        <w:t xml:space="preserve"> she was found not guilty and</w:t>
      </w:r>
      <w:r w:rsidR="00CB1814">
        <w:rPr>
          <w:rFonts w:ascii="Arial" w:hAnsi="Arial" w:cs="Arial"/>
          <w:sz w:val="24"/>
          <w:szCs w:val="24"/>
          <w:lang w:val="en-US"/>
        </w:rPr>
        <w:t xml:space="preserve"> discharged on 27 November 2020</w:t>
      </w:r>
      <w:r w:rsidR="00D22E03">
        <w:rPr>
          <w:rFonts w:ascii="Arial" w:hAnsi="Arial" w:cs="Arial"/>
          <w:sz w:val="24"/>
          <w:szCs w:val="24"/>
          <w:lang w:val="en-US"/>
        </w:rPr>
        <w:t>. On 11 March 2021</w:t>
      </w:r>
      <w:r w:rsidR="009B13FA">
        <w:rPr>
          <w:rFonts w:ascii="Arial" w:hAnsi="Arial" w:cs="Arial"/>
          <w:sz w:val="24"/>
          <w:szCs w:val="24"/>
          <w:lang w:val="en-US"/>
        </w:rPr>
        <w:t xml:space="preserve">, she advised her attorneys of record </w:t>
      </w:r>
      <w:r w:rsidR="001F0F35">
        <w:rPr>
          <w:rFonts w:ascii="Arial" w:hAnsi="Arial" w:cs="Arial"/>
          <w:sz w:val="24"/>
          <w:szCs w:val="24"/>
          <w:lang w:val="en-US"/>
        </w:rPr>
        <w:t>about</w:t>
      </w:r>
      <w:r w:rsidR="00F35382">
        <w:rPr>
          <w:rFonts w:ascii="Arial" w:hAnsi="Arial" w:cs="Arial"/>
          <w:sz w:val="24"/>
          <w:szCs w:val="24"/>
          <w:lang w:val="en-US"/>
        </w:rPr>
        <w:t xml:space="preserve"> </w:t>
      </w:r>
      <w:r w:rsidR="009336F4">
        <w:rPr>
          <w:rFonts w:ascii="Arial" w:hAnsi="Arial" w:cs="Arial"/>
          <w:sz w:val="24"/>
          <w:szCs w:val="24"/>
          <w:lang w:val="en-US"/>
        </w:rPr>
        <w:t xml:space="preserve">her arrest. </w:t>
      </w:r>
      <w:r w:rsidR="000C33FA">
        <w:rPr>
          <w:rFonts w:ascii="Arial" w:hAnsi="Arial" w:cs="Arial"/>
          <w:sz w:val="24"/>
          <w:szCs w:val="24"/>
          <w:lang w:val="en-US"/>
        </w:rPr>
        <w:t xml:space="preserve">On that day, </w:t>
      </w:r>
      <w:r w:rsidR="009336F4">
        <w:rPr>
          <w:rFonts w:ascii="Arial" w:hAnsi="Arial" w:cs="Arial"/>
          <w:sz w:val="24"/>
          <w:szCs w:val="24"/>
          <w:lang w:val="en-US"/>
        </w:rPr>
        <w:t>she allege</w:t>
      </w:r>
      <w:r w:rsidR="000C33FA">
        <w:rPr>
          <w:rFonts w:ascii="Arial" w:hAnsi="Arial" w:cs="Arial"/>
          <w:sz w:val="24"/>
          <w:szCs w:val="24"/>
          <w:lang w:val="en-US"/>
        </w:rPr>
        <w:t>d,</w:t>
      </w:r>
      <w:r w:rsidR="000D4F9A">
        <w:rPr>
          <w:rFonts w:ascii="Arial" w:hAnsi="Arial" w:cs="Arial"/>
          <w:sz w:val="24"/>
          <w:szCs w:val="24"/>
          <w:lang w:val="en-US"/>
        </w:rPr>
        <w:t xml:space="preserve"> she had accompanied</w:t>
      </w:r>
      <w:r w:rsidR="00107A90">
        <w:rPr>
          <w:rFonts w:ascii="Arial" w:hAnsi="Arial" w:cs="Arial"/>
          <w:sz w:val="24"/>
          <w:szCs w:val="24"/>
          <w:lang w:val="en-US"/>
        </w:rPr>
        <w:t xml:space="preserve"> her </w:t>
      </w:r>
      <w:r w:rsidR="00190086">
        <w:rPr>
          <w:rFonts w:ascii="Arial" w:hAnsi="Arial" w:cs="Arial"/>
          <w:sz w:val="24"/>
          <w:szCs w:val="24"/>
          <w:lang w:val="en-US"/>
        </w:rPr>
        <w:t xml:space="preserve">now </w:t>
      </w:r>
      <w:r w:rsidR="00107A90">
        <w:rPr>
          <w:rFonts w:ascii="Arial" w:hAnsi="Arial" w:cs="Arial"/>
          <w:sz w:val="24"/>
          <w:szCs w:val="24"/>
          <w:lang w:val="en-US"/>
        </w:rPr>
        <w:t xml:space="preserve">deceased husband </w:t>
      </w:r>
      <w:r w:rsidR="00E575BC">
        <w:rPr>
          <w:rFonts w:ascii="Arial" w:hAnsi="Arial" w:cs="Arial"/>
          <w:sz w:val="24"/>
          <w:szCs w:val="24"/>
          <w:lang w:val="en-US"/>
        </w:rPr>
        <w:t xml:space="preserve">who had </w:t>
      </w:r>
      <w:r w:rsidR="000C33FA">
        <w:rPr>
          <w:rFonts w:ascii="Arial" w:hAnsi="Arial" w:cs="Arial"/>
          <w:sz w:val="24"/>
          <w:szCs w:val="24"/>
          <w:lang w:val="en-US"/>
        </w:rPr>
        <w:t xml:space="preserve">attended to </w:t>
      </w:r>
      <w:r w:rsidR="00E575BC">
        <w:rPr>
          <w:rFonts w:ascii="Arial" w:hAnsi="Arial" w:cs="Arial"/>
          <w:sz w:val="24"/>
          <w:szCs w:val="24"/>
          <w:lang w:val="en-US"/>
        </w:rPr>
        <w:t>the attorney</w:t>
      </w:r>
      <w:r w:rsidR="000C33FA">
        <w:rPr>
          <w:rFonts w:ascii="Arial" w:hAnsi="Arial" w:cs="Arial"/>
          <w:sz w:val="24"/>
          <w:szCs w:val="24"/>
          <w:lang w:val="en-US"/>
        </w:rPr>
        <w:t>’</w:t>
      </w:r>
      <w:r w:rsidR="00E575BC">
        <w:rPr>
          <w:rFonts w:ascii="Arial" w:hAnsi="Arial" w:cs="Arial"/>
          <w:sz w:val="24"/>
          <w:szCs w:val="24"/>
          <w:lang w:val="en-US"/>
        </w:rPr>
        <w:t xml:space="preserve">s </w:t>
      </w:r>
      <w:r w:rsidR="000C33FA">
        <w:rPr>
          <w:rFonts w:ascii="Arial" w:hAnsi="Arial" w:cs="Arial"/>
          <w:sz w:val="24"/>
          <w:szCs w:val="24"/>
          <w:lang w:val="en-US"/>
        </w:rPr>
        <w:t xml:space="preserve">offices for a consultation. It </w:t>
      </w:r>
      <w:r w:rsidR="00875E27">
        <w:rPr>
          <w:rFonts w:ascii="Arial" w:hAnsi="Arial" w:cs="Arial"/>
          <w:sz w:val="24"/>
          <w:szCs w:val="24"/>
          <w:lang w:val="en-US"/>
        </w:rPr>
        <w:t xml:space="preserve">was during that consultation that </w:t>
      </w:r>
      <w:r w:rsidR="00792C18">
        <w:rPr>
          <w:rFonts w:ascii="Arial" w:hAnsi="Arial" w:cs="Arial"/>
          <w:sz w:val="24"/>
          <w:szCs w:val="24"/>
          <w:lang w:val="en-US"/>
        </w:rPr>
        <w:t>she mentioned what had happened to her</w:t>
      </w:r>
      <w:r w:rsidR="0082186A">
        <w:rPr>
          <w:rFonts w:ascii="Arial" w:hAnsi="Arial" w:cs="Arial"/>
          <w:sz w:val="24"/>
          <w:szCs w:val="24"/>
          <w:lang w:val="en-US"/>
        </w:rPr>
        <w:t xml:space="preserve">. She was advised by the attorneys that they </w:t>
      </w:r>
      <w:r w:rsidR="003E4662">
        <w:rPr>
          <w:rFonts w:ascii="Arial" w:hAnsi="Arial" w:cs="Arial"/>
          <w:sz w:val="24"/>
          <w:szCs w:val="24"/>
          <w:lang w:val="en-US"/>
        </w:rPr>
        <w:t xml:space="preserve">first needed to request the docket from the police </w:t>
      </w:r>
      <w:r w:rsidR="00507A9F">
        <w:rPr>
          <w:rFonts w:ascii="Arial" w:hAnsi="Arial" w:cs="Arial"/>
          <w:sz w:val="24"/>
          <w:szCs w:val="24"/>
          <w:lang w:val="en-US"/>
        </w:rPr>
        <w:t>station to assess her rights</w:t>
      </w:r>
      <w:r w:rsidR="00936039">
        <w:rPr>
          <w:rFonts w:ascii="Arial" w:hAnsi="Arial" w:cs="Arial"/>
          <w:sz w:val="24"/>
          <w:szCs w:val="24"/>
          <w:lang w:val="en-US"/>
        </w:rPr>
        <w:t>.</w:t>
      </w:r>
    </w:p>
    <w:p w14:paraId="3B0F0A0E" w14:textId="7D2392A8" w:rsidR="00A4060E" w:rsidRDefault="00DA3636" w:rsidP="0047126F">
      <w:pPr>
        <w:spacing w:line="480" w:lineRule="auto"/>
        <w:ind w:left="1440" w:hanging="720"/>
        <w:jc w:val="both"/>
        <w:rPr>
          <w:rFonts w:ascii="Arial" w:hAnsi="Arial" w:cs="Arial"/>
          <w:sz w:val="24"/>
          <w:szCs w:val="24"/>
          <w:lang w:val="en-US"/>
        </w:rPr>
      </w:pPr>
      <w:r>
        <w:rPr>
          <w:rFonts w:ascii="Arial" w:hAnsi="Arial" w:cs="Arial"/>
          <w:sz w:val="24"/>
          <w:szCs w:val="24"/>
          <w:lang w:val="en-US"/>
        </w:rPr>
        <w:t>5.</w:t>
      </w:r>
      <w:r w:rsidR="00B118BF">
        <w:rPr>
          <w:rFonts w:ascii="Arial" w:hAnsi="Arial" w:cs="Arial"/>
          <w:sz w:val="24"/>
          <w:szCs w:val="24"/>
          <w:lang w:val="en-US"/>
        </w:rPr>
        <w:t>4.</w:t>
      </w:r>
      <w:r w:rsidR="00B118BF">
        <w:rPr>
          <w:rFonts w:ascii="Arial" w:hAnsi="Arial" w:cs="Arial"/>
          <w:sz w:val="24"/>
          <w:szCs w:val="24"/>
          <w:lang w:val="en-US"/>
        </w:rPr>
        <w:tab/>
        <w:t xml:space="preserve">The request </w:t>
      </w:r>
      <w:r w:rsidR="000C33FA">
        <w:rPr>
          <w:rFonts w:ascii="Arial" w:hAnsi="Arial" w:cs="Arial"/>
          <w:sz w:val="24"/>
          <w:szCs w:val="24"/>
          <w:lang w:val="en-US"/>
        </w:rPr>
        <w:t xml:space="preserve">for the docket </w:t>
      </w:r>
      <w:r w:rsidR="00B118BF">
        <w:rPr>
          <w:rFonts w:ascii="Arial" w:hAnsi="Arial" w:cs="Arial"/>
          <w:sz w:val="24"/>
          <w:szCs w:val="24"/>
          <w:lang w:val="en-US"/>
        </w:rPr>
        <w:t>was made to the police</w:t>
      </w:r>
      <w:r w:rsidR="002A3E63">
        <w:rPr>
          <w:rFonts w:ascii="Arial" w:hAnsi="Arial" w:cs="Arial"/>
          <w:sz w:val="24"/>
          <w:szCs w:val="24"/>
          <w:lang w:val="en-US"/>
        </w:rPr>
        <w:t xml:space="preserve"> on 24 March 2021</w:t>
      </w:r>
      <w:r w:rsidR="00F157B2">
        <w:rPr>
          <w:rFonts w:ascii="Arial" w:hAnsi="Arial" w:cs="Arial"/>
          <w:sz w:val="24"/>
          <w:szCs w:val="24"/>
          <w:lang w:val="en-US"/>
        </w:rPr>
        <w:t xml:space="preserve">. When the information officer from the </w:t>
      </w:r>
      <w:r w:rsidR="00E45AC7">
        <w:rPr>
          <w:rFonts w:ascii="Arial" w:hAnsi="Arial" w:cs="Arial"/>
          <w:sz w:val="24"/>
          <w:szCs w:val="24"/>
          <w:lang w:val="en-US"/>
        </w:rPr>
        <w:t xml:space="preserve">police station failed to furnish </w:t>
      </w:r>
      <w:r w:rsidR="00683B1C">
        <w:rPr>
          <w:rFonts w:ascii="Arial" w:hAnsi="Arial" w:cs="Arial"/>
          <w:sz w:val="24"/>
          <w:szCs w:val="24"/>
          <w:lang w:val="en-US"/>
        </w:rPr>
        <w:t>the requested information</w:t>
      </w:r>
      <w:r w:rsidR="008C6CE8">
        <w:rPr>
          <w:rFonts w:ascii="Arial" w:hAnsi="Arial" w:cs="Arial"/>
          <w:sz w:val="24"/>
          <w:szCs w:val="24"/>
          <w:lang w:val="en-US"/>
        </w:rPr>
        <w:t>,</w:t>
      </w:r>
      <w:r w:rsidR="00683B1C">
        <w:rPr>
          <w:rFonts w:ascii="Arial" w:hAnsi="Arial" w:cs="Arial"/>
          <w:sz w:val="24"/>
          <w:szCs w:val="24"/>
          <w:lang w:val="en-US"/>
        </w:rPr>
        <w:t xml:space="preserve"> </w:t>
      </w:r>
      <w:r w:rsidR="000D3CCF">
        <w:rPr>
          <w:rFonts w:ascii="Arial" w:hAnsi="Arial" w:cs="Arial"/>
          <w:sz w:val="24"/>
          <w:szCs w:val="24"/>
          <w:lang w:val="en-US"/>
        </w:rPr>
        <w:t xml:space="preserve">an appeal was lodged against </w:t>
      </w:r>
      <w:r w:rsidR="008100AD">
        <w:rPr>
          <w:rFonts w:ascii="Arial" w:hAnsi="Arial" w:cs="Arial"/>
          <w:sz w:val="24"/>
          <w:szCs w:val="24"/>
          <w:lang w:val="en-US"/>
        </w:rPr>
        <w:t>the deemed refusal on 11 May 2021</w:t>
      </w:r>
      <w:r w:rsidR="000C33FA">
        <w:rPr>
          <w:rFonts w:ascii="Arial" w:hAnsi="Arial" w:cs="Arial"/>
          <w:sz w:val="24"/>
          <w:szCs w:val="24"/>
          <w:lang w:val="en-US"/>
        </w:rPr>
        <w:t xml:space="preserve">, without success. </w:t>
      </w:r>
      <w:r w:rsidR="006E37DE">
        <w:rPr>
          <w:rFonts w:ascii="Arial" w:hAnsi="Arial" w:cs="Arial"/>
          <w:sz w:val="24"/>
          <w:szCs w:val="24"/>
          <w:lang w:val="en-US"/>
        </w:rPr>
        <w:t>On 14</w:t>
      </w:r>
      <w:r w:rsidR="000C33FA">
        <w:rPr>
          <w:rFonts w:ascii="Arial" w:hAnsi="Arial" w:cs="Arial"/>
          <w:sz w:val="24"/>
          <w:szCs w:val="24"/>
          <w:lang w:val="en-US"/>
        </w:rPr>
        <w:t xml:space="preserve"> September </w:t>
      </w:r>
      <w:r w:rsidR="006E37DE">
        <w:rPr>
          <w:rFonts w:ascii="Arial" w:hAnsi="Arial" w:cs="Arial"/>
          <w:sz w:val="24"/>
          <w:szCs w:val="24"/>
          <w:lang w:val="en-US"/>
        </w:rPr>
        <w:t>2021,</w:t>
      </w:r>
      <w:r w:rsidR="000C33FA">
        <w:rPr>
          <w:rFonts w:ascii="Arial" w:hAnsi="Arial" w:cs="Arial"/>
          <w:sz w:val="24"/>
          <w:szCs w:val="24"/>
          <w:lang w:val="en-US"/>
        </w:rPr>
        <w:t xml:space="preserve"> </w:t>
      </w:r>
      <w:r w:rsidR="000C7F72">
        <w:rPr>
          <w:rFonts w:ascii="Arial" w:hAnsi="Arial" w:cs="Arial"/>
          <w:sz w:val="24"/>
          <w:szCs w:val="24"/>
          <w:lang w:val="en-US"/>
        </w:rPr>
        <w:t xml:space="preserve">the applicant approached </w:t>
      </w:r>
      <w:r w:rsidR="00D654B7">
        <w:rPr>
          <w:rFonts w:ascii="Arial" w:hAnsi="Arial" w:cs="Arial"/>
          <w:sz w:val="24"/>
          <w:szCs w:val="24"/>
          <w:lang w:val="en-US"/>
        </w:rPr>
        <w:t>c</w:t>
      </w:r>
      <w:r w:rsidR="000C7F72">
        <w:rPr>
          <w:rFonts w:ascii="Arial" w:hAnsi="Arial" w:cs="Arial"/>
          <w:sz w:val="24"/>
          <w:szCs w:val="24"/>
          <w:lang w:val="en-US"/>
        </w:rPr>
        <w:t>ourt</w:t>
      </w:r>
      <w:r w:rsidR="00D654B7">
        <w:rPr>
          <w:rFonts w:ascii="Arial" w:hAnsi="Arial" w:cs="Arial"/>
          <w:sz w:val="24"/>
          <w:szCs w:val="24"/>
          <w:lang w:val="en-US"/>
        </w:rPr>
        <w:t xml:space="preserve">, </w:t>
      </w:r>
      <w:r w:rsidR="00774C1A">
        <w:rPr>
          <w:rFonts w:ascii="Arial" w:hAnsi="Arial" w:cs="Arial"/>
          <w:sz w:val="24"/>
          <w:szCs w:val="24"/>
          <w:lang w:val="en-US"/>
        </w:rPr>
        <w:t xml:space="preserve">seeking an order to </w:t>
      </w:r>
      <w:r w:rsidR="0080298C">
        <w:rPr>
          <w:rFonts w:ascii="Arial" w:hAnsi="Arial" w:cs="Arial"/>
          <w:sz w:val="24"/>
          <w:szCs w:val="24"/>
          <w:lang w:val="en-US"/>
        </w:rPr>
        <w:t xml:space="preserve">compel the </w:t>
      </w:r>
      <w:r w:rsidR="00D654B7">
        <w:rPr>
          <w:rFonts w:ascii="Arial" w:hAnsi="Arial" w:cs="Arial"/>
          <w:sz w:val="24"/>
          <w:szCs w:val="24"/>
          <w:lang w:val="en-US"/>
        </w:rPr>
        <w:t xml:space="preserve">first </w:t>
      </w:r>
      <w:r w:rsidR="0080298C">
        <w:rPr>
          <w:rFonts w:ascii="Arial" w:hAnsi="Arial" w:cs="Arial"/>
          <w:sz w:val="24"/>
          <w:szCs w:val="24"/>
          <w:lang w:val="en-US"/>
        </w:rPr>
        <w:t>respondent</w:t>
      </w:r>
      <w:r w:rsidR="00BD053F">
        <w:rPr>
          <w:rFonts w:ascii="Arial" w:hAnsi="Arial" w:cs="Arial"/>
          <w:sz w:val="24"/>
          <w:szCs w:val="24"/>
          <w:lang w:val="en-US"/>
        </w:rPr>
        <w:t xml:space="preserve"> to furnish the docket</w:t>
      </w:r>
      <w:r w:rsidR="00774C1A">
        <w:rPr>
          <w:rFonts w:ascii="Arial" w:hAnsi="Arial" w:cs="Arial"/>
          <w:sz w:val="24"/>
          <w:szCs w:val="24"/>
          <w:lang w:val="en-US"/>
        </w:rPr>
        <w:t>. She</w:t>
      </w:r>
      <w:r w:rsidR="00D654B7">
        <w:rPr>
          <w:rFonts w:ascii="Arial" w:hAnsi="Arial" w:cs="Arial"/>
          <w:sz w:val="24"/>
          <w:szCs w:val="24"/>
          <w:lang w:val="en-US"/>
        </w:rPr>
        <w:t xml:space="preserve"> </w:t>
      </w:r>
      <w:r w:rsidR="00F21927">
        <w:rPr>
          <w:rFonts w:ascii="Arial" w:hAnsi="Arial" w:cs="Arial"/>
          <w:sz w:val="24"/>
          <w:szCs w:val="24"/>
          <w:lang w:val="en-US"/>
        </w:rPr>
        <w:t>was</w:t>
      </w:r>
      <w:r w:rsidR="00164C05">
        <w:rPr>
          <w:rFonts w:ascii="Arial" w:hAnsi="Arial" w:cs="Arial"/>
          <w:sz w:val="24"/>
          <w:szCs w:val="24"/>
          <w:lang w:val="en-US"/>
        </w:rPr>
        <w:t xml:space="preserve"> granted the relief sought</w:t>
      </w:r>
      <w:r w:rsidR="00D654B7">
        <w:rPr>
          <w:rFonts w:ascii="Arial" w:hAnsi="Arial" w:cs="Arial"/>
          <w:sz w:val="24"/>
          <w:szCs w:val="24"/>
          <w:lang w:val="en-US"/>
        </w:rPr>
        <w:t>. T</w:t>
      </w:r>
      <w:r w:rsidR="00770217">
        <w:rPr>
          <w:rFonts w:ascii="Arial" w:hAnsi="Arial" w:cs="Arial"/>
          <w:sz w:val="24"/>
          <w:szCs w:val="24"/>
          <w:lang w:val="en-US"/>
        </w:rPr>
        <w:t xml:space="preserve">he </w:t>
      </w:r>
      <w:r w:rsidR="00D654B7">
        <w:rPr>
          <w:rFonts w:ascii="Arial" w:hAnsi="Arial" w:cs="Arial"/>
          <w:sz w:val="24"/>
          <w:szCs w:val="24"/>
          <w:lang w:val="en-US"/>
        </w:rPr>
        <w:t xml:space="preserve">first </w:t>
      </w:r>
      <w:r w:rsidR="00770217">
        <w:rPr>
          <w:rFonts w:ascii="Arial" w:hAnsi="Arial" w:cs="Arial"/>
          <w:sz w:val="24"/>
          <w:szCs w:val="24"/>
          <w:lang w:val="en-US"/>
        </w:rPr>
        <w:t>respondent was give</w:t>
      </w:r>
      <w:r w:rsidR="00943E9D">
        <w:rPr>
          <w:rFonts w:ascii="Arial" w:hAnsi="Arial" w:cs="Arial"/>
          <w:sz w:val="24"/>
          <w:szCs w:val="24"/>
          <w:lang w:val="en-US"/>
        </w:rPr>
        <w:t xml:space="preserve">n fourteen days within which </w:t>
      </w:r>
      <w:r w:rsidR="002259C4">
        <w:rPr>
          <w:rFonts w:ascii="Arial" w:hAnsi="Arial" w:cs="Arial"/>
          <w:sz w:val="24"/>
          <w:szCs w:val="24"/>
          <w:lang w:val="en-US"/>
        </w:rPr>
        <w:t>to furnish the docket</w:t>
      </w:r>
      <w:r w:rsidR="009E16A7">
        <w:rPr>
          <w:rFonts w:ascii="Arial" w:hAnsi="Arial" w:cs="Arial"/>
          <w:sz w:val="24"/>
          <w:szCs w:val="24"/>
          <w:lang w:val="en-US"/>
        </w:rPr>
        <w:t xml:space="preserve">. </w:t>
      </w:r>
      <w:r w:rsidR="006E37DE">
        <w:rPr>
          <w:rFonts w:ascii="Arial" w:hAnsi="Arial" w:cs="Arial"/>
          <w:sz w:val="24"/>
          <w:szCs w:val="24"/>
          <w:lang w:val="en-US"/>
        </w:rPr>
        <w:t>The application</w:t>
      </w:r>
      <w:r w:rsidR="00D654B7">
        <w:rPr>
          <w:rFonts w:ascii="Arial" w:hAnsi="Arial" w:cs="Arial"/>
          <w:sz w:val="24"/>
          <w:szCs w:val="24"/>
          <w:lang w:val="en-US"/>
        </w:rPr>
        <w:t xml:space="preserve"> was not opposed by the </w:t>
      </w:r>
      <w:r w:rsidR="009E16A7">
        <w:rPr>
          <w:rFonts w:ascii="Arial" w:hAnsi="Arial" w:cs="Arial"/>
          <w:sz w:val="24"/>
          <w:szCs w:val="24"/>
          <w:lang w:val="en-US"/>
        </w:rPr>
        <w:t>first respondent</w:t>
      </w:r>
      <w:r w:rsidR="00D02431">
        <w:rPr>
          <w:rFonts w:ascii="Arial" w:hAnsi="Arial" w:cs="Arial"/>
          <w:sz w:val="24"/>
          <w:szCs w:val="24"/>
          <w:lang w:val="en-US"/>
        </w:rPr>
        <w:t>.</w:t>
      </w:r>
    </w:p>
    <w:p w14:paraId="3782E2AB" w14:textId="7E2B4690" w:rsidR="00ED6E3D" w:rsidRDefault="00DA3636" w:rsidP="0047126F">
      <w:pPr>
        <w:spacing w:line="480" w:lineRule="auto"/>
        <w:ind w:left="1440" w:hanging="720"/>
        <w:jc w:val="both"/>
        <w:rPr>
          <w:rFonts w:ascii="Arial" w:hAnsi="Arial" w:cs="Arial"/>
          <w:sz w:val="24"/>
          <w:szCs w:val="24"/>
          <w:lang w:val="en-US"/>
        </w:rPr>
      </w:pPr>
      <w:r>
        <w:rPr>
          <w:rFonts w:ascii="Arial" w:hAnsi="Arial" w:cs="Arial"/>
          <w:sz w:val="24"/>
          <w:szCs w:val="24"/>
          <w:lang w:val="en-US"/>
        </w:rPr>
        <w:t>5.</w:t>
      </w:r>
      <w:r w:rsidR="001F45C8">
        <w:rPr>
          <w:rFonts w:ascii="Arial" w:hAnsi="Arial" w:cs="Arial"/>
          <w:sz w:val="24"/>
          <w:szCs w:val="24"/>
          <w:lang w:val="en-US"/>
        </w:rPr>
        <w:t>5.</w:t>
      </w:r>
      <w:r w:rsidR="001F45C8">
        <w:rPr>
          <w:rFonts w:ascii="Arial" w:hAnsi="Arial" w:cs="Arial"/>
          <w:sz w:val="24"/>
          <w:szCs w:val="24"/>
          <w:lang w:val="en-US"/>
        </w:rPr>
        <w:tab/>
        <w:t xml:space="preserve">The </w:t>
      </w:r>
      <w:r w:rsidR="00D654B7">
        <w:rPr>
          <w:rFonts w:ascii="Arial" w:hAnsi="Arial" w:cs="Arial"/>
          <w:sz w:val="24"/>
          <w:szCs w:val="24"/>
          <w:lang w:val="en-US"/>
        </w:rPr>
        <w:t>s</w:t>
      </w:r>
      <w:r w:rsidR="001F45C8">
        <w:rPr>
          <w:rFonts w:ascii="Arial" w:hAnsi="Arial" w:cs="Arial"/>
          <w:sz w:val="24"/>
          <w:szCs w:val="24"/>
          <w:lang w:val="en-US"/>
        </w:rPr>
        <w:t xml:space="preserve">heriff served the </w:t>
      </w:r>
      <w:r w:rsidR="00D654B7">
        <w:rPr>
          <w:rFonts w:ascii="Arial" w:hAnsi="Arial" w:cs="Arial"/>
          <w:sz w:val="24"/>
          <w:szCs w:val="24"/>
          <w:lang w:val="en-US"/>
        </w:rPr>
        <w:t>o</w:t>
      </w:r>
      <w:r w:rsidR="001F45C8">
        <w:rPr>
          <w:rFonts w:ascii="Arial" w:hAnsi="Arial" w:cs="Arial"/>
          <w:sz w:val="24"/>
          <w:szCs w:val="24"/>
          <w:lang w:val="en-US"/>
        </w:rPr>
        <w:t>rder</w:t>
      </w:r>
      <w:r w:rsidR="00002CB5">
        <w:rPr>
          <w:rFonts w:ascii="Arial" w:hAnsi="Arial" w:cs="Arial"/>
          <w:sz w:val="24"/>
          <w:szCs w:val="24"/>
          <w:lang w:val="en-US"/>
        </w:rPr>
        <w:t xml:space="preserve"> on the first respondent on 22 February 2022</w:t>
      </w:r>
      <w:r w:rsidR="00B11E6A">
        <w:rPr>
          <w:rFonts w:ascii="Arial" w:hAnsi="Arial" w:cs="Arial"/>
          <w:sz w:val="24"/>
          <w:szCs w:val="24"/>
          <w:lang w:val="en-US"/>
        </w:rPr>
        <w:t xml:space="preserve">. The first respondent complied with the </w:t>
      </w:r>
      <w:r w:rsidR="00D654B7">
        <w:rPr>
          <w:rFonts w:ascii="Arial" w:hAnsi="Arial" w:cs="Arial"/>
          <w:sz w:val="24"/>
          <w:szCs w:val="24"/>
          <w:lang w:val="en-US"/>
        </w:rPr>
        <w:t>o</w:t>
      </w:r>
      <w:r w:rsidR="00B11E6A">
        <w:rPr>
          <w:rFonts w:ascii="Arial" w:hAnsi="Arial" w:cs="Arial"/>
          <w:sz w:val="24"/>
          <w:szCs w:val="24"/>
          <w:lang w:val="en-US"/>
        </w:rPr>
        <w:t>rder</w:t>
      </w:r>
      <w:r w:rsidR="009F6578">
        <w:rPr>
          <w:rFonts w:ascii="Arial" w:hAnsi="Arial" w:cs="Arial"/>
          <w:sz w:val="24"/>
          <w:szCs w:val="24"/>
          <w:lang w:val="en-US"/>
        </w:rPr>
        <w:t xml:space="preserve"> on 27 May 2022</w:t>
      </w:r>
      <w:r w:rsidR="00D654B7">
        <w:rPr>
          <w:rFonts w:ascii="Arial" w:hAnsi="Arial" w:cs="Arial"/>
          <w:sz w:val="24"/>
          <w:szCs w:val="24"/>
          <w:lang w:val="en-US"/>
        </w:rPr>
        <w:t xml:space="preserve">, some </w:t>
      </w:r>
      <w:r w:rsidR="00D654B7">
        <w:rPr>
          <w:rFonts w:ascii="Arial" w:hAnsi="Arial" w:cs="Arial"/>
          <w:sz w:val="24"/>
          <w:szCs w:val="24"/>
          <w:lang w:val="en-US"/>
        </w:rPr>
        <w:lastRenderedPageBreak/>
        <w:t xml:space="preserve">three months later. </w:t>
      </w:r>
      <w:r w:rsidR="00E65ED0">
        <w:rPr>
          <w:rFonts w:ascii="Arial" w:hAnsi="Arial" w:cs="Arial"/>
          <w:sz w:val="24"/>
          <w:szCs w:val="24"/>
          <w:lang w:val="en-US"/>
        </w:rPr>
        <w:t xml:space="preserve"> </w:t>
      </w:r>
      <w:r w:rsidR="00D654B7">
        <w:rPr>
          <w:rFonts w:ascii="Arial" w:hAnsi="Arial" w:cs="Arial"/>
          <w:sz w:val="24"/>
          <w:szCs w:val="24"/>
          <w:lang w:val="en-US"/>
        </w:rPr>
        <w:t xml:space="preserve">The applicant </w:t>
      </w:r>
      <w:r w:rsidR="006E37DE">
        <w:rPr>
          <w:rFonts w:ascii="Arial" w:hAnsi="Arial" w:cs="Arial"/>
          <w:sz w:val="24"/>
          <w:szCs w:val="24"/>
          <w:lang w:val="en-US"/>
        </w:rPr>
        <w:t>submitted that</w:t>
      </w:r>
      <w:r w:rsidR="00D654B7">
        <w:rPr>
          <w:rFonts w:ascii="Arial" w:hAnsi="Arial" w:cs="Arial"/>
          <w:sz w:val="24"/>
          <w:szCs w:val="24"/>
          <w:lang w:val="en-US"/>
        </w:rPr>
        <w:t xml:space="preserve"> there was compliance </w:t>
      </w:r>
      <w:r w:rsidR="00E65ED0">
        <w:rPr>
          <w:rFonts w:ascii="Arial" w:hAnsi="Arial" w:cs="Arial"/>
          <w:sz w:val="24"/>
          <w:szCs w:val="24"/>
          <w:lang w:val="en-US"/>
        </w:rPr>
        <w:t>one year and two months</w:t>
      </w:r>
      <w:r w:rsidR="00527733">
        <w:rPr>
          <w:rFonts w:ascii="Arial" w:hAnsi="Arial" w:cs="Arial"/>
          <w:sz w:val="24"/>
          <w:szCs w:val="24"/>
          <w:lang w:val="en-US"/>
        </w:rPr>
        <w:t xml:space="preserve"> after </w:t>
      </w:r>
      <w:r w:rsidR="004A092E">
        <w:rPr>
          <w:rFonts w:ascii="Arial" w:hAnsi="Arial" w:cs="Arial"/>
          <w:sz w:val="24"/>
          <w:szCs w:val="24"/>
          <w:lang w:val="en-US"/>
        </w:rPr>
        <w:t>the initial request</w:t>
      </w:r>
      <w:r w:rsidR="008D783A">
        <w:rPr>
          <w:rFonts w:ascii="Arial" w:hAnsi="Arial" w:cs="Arial"/>
          <w:sz w:val="24"/>
          <w:szCs w:val="24"/>
          <w:lang w:val="en-US"/>
        </w:rPr>
        <w:t>.</w:t>
      </w:r>
      <w:r w:rsidR="00ED6E3D">
        <w:rPr>
          <w:rFonts w:ascii="Arial" w:hAnsi="Arial" w:cs="Arial"/>
          <w:sz w:val="24"/>
          <w:szCs w:val="24"/>
          <w:lang w:val="en-US"/>
        </w:rPr>
        <w:t xml:space="preserve"> </w:t>
      </w:r>
    </w:p>
    <w:p w14:paraId="4E6DEE4F" w14:textId="569DC4B2" w:rsidR="00703540" w:rsidRDefault="00DA3636" w:rsidP="0047126F">
      <w:pPr>
        <w:spacing w:line="480" w:lineRule="auto"/>
        <w:ind w:left="1440" w:hanging="720"/>
        <w:jc w:val="both"/>
        <w:rPr>
          <w:rFonts w:ascii="Arial" w:hAnsi="Arial" w:cs="Arial"/>
          <w:sz w:val="24"/>
          <w:szCs w:val="24"/>
          <w:lang w:val="en-US"/>
        </w:rPr>
      </w:pPr>
      <w:r>
        <w:rPr>
          <w:rFonts w:ascii="Arial" w:hAnsi="Arial" w:cs="Arial"/>
          <w:sz w:val="24"/>
          <w:szCs w:val="24"/>
          <w:lang w:val="en-US"/>
        </w:rPr>
        <w:t>5.</w:t>
      </w:r>
      <w:r w:rsidR="00ED6E3D">
        <w:rPr>
          <w:rFonts w:ascii="Arial" w:hAnsi="Arial" w:cs="Arial"/>
          <w:sz w:val="24"/>
          <w:szCs w:val="24"/>
          <w:lang w:val="en-US"/>
        </w:rPr>
        <w:t>6.</w:t>
      </w:r>
      <w:r w:rsidR="00ED6E3D">
        <w:rPr>
          <w:rFonts w:ascii="Arial" w:hAnsi="Arial" w:cs="Arial"/>
          <w:sz w:val="24"/>
          <w:szCs w:val="24"/>
          <w:lang w:val="en-US"/>
        </w:rPr>
        <w:tab/>
        <w:t xml:space="preserve">The applicant </w:t>
      </w:r>
      <w:r w:rsidR="00D654B7">
        <w:rPr>
          <w:rFonts w:ascii="Arial" w:hAnsi="Arial" w:cs="Arial"/>
          <w:sz w:val="24"/>
          <w:szCs w:val="24"/>
          <w:lang w:val="en-US"/>
        </w:rPr>
        <w:t xml:space="preserve">complained that </w:t>
      </w:r>
      <w:r w:rsidR="008031F7">
        <w:rPr>
          <w:rFonts w:ascii="Arial" w:hAnsi="Arial" w:cs="Arial"/>
          <w:sz w:val="24"/>
          <w:szCs w:val="24"/>
          <w:lang w:val="en-US"/>
        </w:rPr>
        <w:t>she was frustrated by the first respondent</w:t>
      </w:r>
      <w:r w:rsidR="00140D16">
        <w:rPr>
          <w:rFonts w:ascii="Arial" w:hAnsi="Arial" w:cs="Arial"/>
          <w:sz w:val="24"/>
          <w:szCs w:val="24"/>
          <w:lang w:val="en-US"/>
        </w:rPr>
        <w:t xml:space="preserve"> and as such her claim</w:t>
      </w:r>
      <w:r w:rsidR="00522DF0">
        <w:rPr>
          <w:rFonts w:ascii="Arial" w:hAnsi="Arial" w:cs="Arial"/>
          <w:sz w:val="24"/>
          <w:szCs w:val="24"/>
          <w:lang w:val="en-US"/>
        </w:rPr>
        <w:t xml:space="preserve"> ha</w:t>
      </w:r>
      <w:r w:rsidR="00774C1A">
        <w:rPr>
          <w:rFonts w:ascii="Arial" w:hAnsi="Arial" w:cs="Arial"/>
          <w:sz w:val="24"/>
          <w:szCs w:val="24"/>
          <w:lang w:val="en-US"/>
        </w:rPr>
        <w:t>d</w:t>
      </w:r>
      <w:r w:rsidR="00522DF0">
        <w:rPr>
          <w:rFonts w:ascii="Arial" w:hAnsi="Arial" w:cs="Arial"/>
          <w:sz w:val="24"/>
          <w:szCs w:val="24"/>
          <w:lang w:val="en-US"/>
        </w:rPr>
        <w:t xml:space="preserve"> been compromised</w:t>
      </w:r>
      <w:r w:rsidR="00B66F47">
        <w:rPr>
          <w:rFonts w:ascii="Arial" w:hAnsi="Arial" w:cs="Arial"/>
          <w:sz w:val="24"/>
          <w:szCs w:val="24"/>
          <w:lang w:val="en-US"/>
        </w:rPr>
        <w:t xml:space="preserve">. She </w:t>
      </w:r>
      <w:r w:rsidR="00D654B7">
        <w:rPr>
          <w:rFonts w:ascii="Arial" w:hAnsi="Arial" w:cs="Arial"/>
          <w:sz w:val="24"/>
          <w:szCs w:val="24"/>
          <w:lang w:val="en-US"/>
        </w:rPr>
        <w:t xml:space="preserve">regarded </w:t>
      </w:r>
      <w:r w:rsidR="00B66F47">
        <w:rPr>
          <w:rFonts w:ascii="Arial" w:hAnsi="Arial" w:cs="Arial"/>
          <w:sz w:val="24"/>
          <w:szCs w:val="24"/>
          <w:lang w:val="en-US"/>
        </w:rPr>
        <w:t xml:space="preserve">the delay to </w:t>
      </w:r>
      <w:r w:rsidR="002C237E">
        <w:rPr>
          <w:rFonts w:ascii="Arial" w:hAnsi="Arial" w:cs="Arial"/>
          <w:sz w:val="24"/>
          <w:szCs w:val="24"/>
          <w:lang w:val="en-US"/>
        </w:rPr>
        <w:t xml:space="preserve">furnish the information </w:t>
      </w:r>
      <w:r w:rsidR="00D654B7">
        <w:rPr>
          <w:rFonts w:ascii="Arial" w:hAnsi="Arial" w:cs="Arial"/>
          <w:sz w:val="24"/>
          <w:szCs w:val="24"/>
          <w:lang w:val="en-US"/>
        </w:rPr>
        <w:t xml:space="preserve">as </w:t>
      </w:r>
      <w:r w:rsidR="00952D74">
        <w:rPr>
          <w:rFonts w:ascii="Arial" w:hAnsi="Arial" w:cs="Arial"/>
          <w:sz w:val="24"/>
          <w:szCs w:val="24"/>
          <w:lang w:val="en-US"/>
        </w:rPr>
        <w:t xml:space="preserve">an intervening incident which </w:t>
      </w:r>
      <w:r w:rsidR="0028503C">
        <w:rPr>
          <w:rFonts w:ascii="Arial" w:hAnsi="Arial" w:cs="Arial"/>
          <w:sz w:val="24"/>
          <w:szCs w:val="24"/>
          <w:lang w:val="en-US"/>
        </w:rPr>
        <w:t xml:space="preserve">suspended the running of </w:t>
      </w:r>
      <w:r w:rsidR="0079541E">
        <w:rPr>
          <w:rFonts w:ascii="Arial" w:hAnsi="Arial" w:cs="Arial"/>
          <w:sz w:val="24"/>
          <w:szCs w:val="24"/>
          <w:lang w:val="en-US"/>
        </w:rPr>
        <w:t xml:space="preserve">prescription. </w:t>
      </w:r>
      <w:r w:rsidR="00DF1D5F">
        <w:rPr>
          <w:rFonts w:ascii="Arial" w:hAnsi="Arial" w:cs="Arial"/>
          <w:sz w:val="24"/>
          <w:szCs w:val="24"/>
          <w:lang w:val="en-US"/>
        </w:rPr>
        <w:t xml:space="preserve">On 26 April </w:t>
      </w:r>
      <w:r w:rsidR="00333F8C">
        <w:rPr>
          <w:rFonts w:ascii="Arial" w:hAnsi="Arial" w:cs="Arial"/>
          <w:sz w:val="24"/>
          <w:szCs w:val="24"/>
          <w:lang w:val="en-US"/>
        </w:rPr>
        <w:t>2022</w:t>
      </w:r>
      <w:r w:rsidR="00E84974">
        <w:rPr>
          <w:rFonts w:ascii="Arial" w:hAnsi="Arial" w:cs="Arial"/>
          <w:sz w:val="24"/>
          <w:szCs w:val="24"/>
          <w:lang w:val="en-US"/>
        </w:rPr>
        <w:t xml:space="preserve"> her attorneys of record issued a notice in terms of </w:t>
      </w:r>
      <w:r w:rsidR="00E80C96">
        <w:rPr>
          <w:rFonts w:ascii="Arial" w:hAnsi="Arial" w:cs="Arial"/>
          <w:sz w:val="24"/>
          <w:szCs w:val="24"/>
          <w:lang w:val="en-US"/>
        </w:rPr>
        <w:t>the Institution Act</w:t>
      </w:r>
      <w:r w:rsidR="00D46DD9">
        <w:rPr>
          <w:rFonts w:ascii="Arial" w:hAnsi="Arial" w:cs="Arial"/>
          <w:sz w:val="24"/>
          <w:szCs w:val="24"/>
          <w:lang w:val="en-US"/>
        </w:rPr>
        <w:t xml:space="preserve">. </w:t>
      </w:r>
      <w:r w:rsidR="006E37DE">
        <w:rPr>
          <w:rFonts w:ascii="Arial" w:hAnsi="Arial" w:cs="Arial"/>
          <w:sz w:val="24"/>
          <w:szCs w:val="24"/>
          <w:lang w:val="en-US"/>
        </w:rPr>
        <w:t>Again,</w:t>
      </w:r>
      <w:r w:rsidR="00D46DD9">
        <w:rPr>
          <w:rFonts w:ascii="Arial" w:hAnsi="Arial" w:cs="Arial"/>
          <w:sz w:val="24"/>
          <w:szCs w:val="24"/>
          <w:lang w:val="en-US"/>
        </w:rPr>
        <w:t xml:space="preserve"> on 26 May 2022</w:t>
      </w:r>
      <w:r w:rsidR="00C57924">
        <w:rPr>
          <w:rFonts w:ascii="Arial" w:hAnsi="Arial" w:cs="Arial"/>
          <w:sz w:val="24"/>
          <w:szCs w:val="24"/>
          <w:lang w:val="en-US"/>
        </w:rPr>
        <w:t xml:space="preserve"> they issued another notice</w:t>
      </w:r>
      <w:r w:rsidR="00D654B7">
        <w:rPr>
          <w:rFonts w:ascii="Arial" w:hAnsi="Arial" w:cs="Arial"/>
          <w:sz w:val="24"/>
          <w:szCs w:val="24"/>
          <w:lang w:val="en-US"/>
        </w:rPr>
        <w:t xml:space="preserve">. </w:t>
      </w:r>
      <w:r w:rsidR="00C57924">
        <w:rPr>
          <w:rFonts w:ascii="Arial" w:hAnsi="Arial" w:cs="Arial"/>
          <w:sz w:val="24"/>
          <w:szCs w:val="24"/>
          <w:lang w:val="en-US"/>
        </w:rPr>
        <w:t xml:space="preserve"> </w:t>
      </w:r>
      <w:r w:rsidR="006D3A63">
        <w:rPr>
          <w:rFonts w:ascii="Arial" w:hAnsi="Arial" w:cs="Arial"/>
          <w:sz w:val="24"/>
          <w:szCs w:val="24"/>
          <w:lang w:val="en-US"/>
        </w:rPr>
        <w:t xml:space="preserve">On 27 May </w:t>
      </w:r>
      <w:r w:rsidR="006E37DE">
        <w:rPr>
          <w:rFonts w:ascii="Arial" w:hAnsi="Arial" w:cs="Arial"/>
          <w:sz w:val="24"/>
          <w:szCs w:val="24"/>
          <w:lang w:val="en-US"/>
        </w:rPr>
        <w:t>2022, she</w:t>
      </w:r>
      <w:r w:rsidR="006D3A63">
        <w:rPr>
          <w:rFonts w:ascii="Arial" w:hAnsi="Arial" w:cs="Arial"/>
          <w:sz w:val="24"/>
          <w:szCs w:val="24"/>
          <w:lang w:val="en-US"/>
        </w:rPr>
        <w:t xml:space="preserve"> consulted with </w:t>
      </w:r>
      <w:r w:rsidR="00B33D03">
        <w:rPr>
          <w:rFonts w:ascii="Arial" w:hAnsi="Arial" w:cs="Arial"/>
          <w:sz w:val="24"/>
          <w:szCs w:val="24"/>
          <w:lang w:val="en-US"/>
        </w:rPr>
        <w:t>her attorneys of record</w:t>
      </w:r>
      <w:r w:rsidR="00D654B7">
        <w:rPr>
          <w:rFonts w:ascii="Arial" w:hAnsi="Arial" w:cs="Arial"/>
          <w:sz w:val="24"/>
          <w:szCs w:val="24"/>
          <w:lang w:val="en-US"/>
        </w:rPr>
        <w:t>. S</w:t>
      </w:r>
      <w:r w:rsidR="00F6246A">
        <w:rPr>
          <w:rFonts w:ascii="Arial" w:hAnsi="Arial" w:cs="Arial"/>
          <w:sz w:val="24"/>
          <w:szCs w:val="24"/>
          <w:lang w:val="en-US"/>
        </w:rPr>
        <w:t xml:space="preserve">he stated that she could not have instituted </w:t>
      </w:r>
      <w:r w:rsidR="00A561E3">
        <w:rPr>
          <w:rFonts w:ascii="Arial" w:hAnsi="Arial" w:cs="Arial"/>
          <w:sz w:val="24"/>
          <w:szCs w:val="24"/>
          <w:lang w:val="en-US"/>
        </w:rPr>
        <w:t>her action without</w:t>
      </w:r>
      <w:r w:rsidR="006743B9">
        <w:rPr>
          <w:rFonts w:ascii="Arial" w:hAnsi="Arial" w:cs="Arial"/>
          <w:sz w:val="24"/>
          <w:szCs w:val="24"/>
          <w:lang w:val="en-US"/>
        </w:rPr>
        <w:t xml:space="preserve"> the information received </w:t>
      </w:r>
      <w:r w:rsidR="00314F54">
        <w:rPr>
          <w:rFonts w:ascii="Arial" w:hAnsi="Arial" w:cs="Arial"/>
          <w:sz w:val="24"/>
          <w:szCs w:val="24"/>
          <w:lang w:val="en-US"/>
        </w:rPr>
        <w:t>from the police</w:t>
      </w:r>
      <w:r w:rsidR="00703540">
        <w:rPr>
          <w:rFonts w:ascii="Arial" w:hAnsi="Arial" w:cs="Arial"/>
          <w:sz w:val="24"/>
          <w:szCs w:val="24"/>
          <w:lang w:val="en-US"/>
        </w:rPr>
        <w:t>.</w:t>
      </w:r>
    </w:p>
    <w:p w14:paraId="07DD2CA3" w14:textId="12062998" w:rsidR="005F5A62" w:rsidRDefault="00DA3636" w:rsidP="0047126F">
      <w:pPr>
        <w:spacing w:line="480" w:lineRule="auto"/>
        <w:ind w:left="1440" w:hanging="720"/>
        <w:jc w:val="both"/>
        <w:rPr>
          <w:rFonts w:ascii="Arial" w:hAnsi="Arial" w:cs="Arial"/>
          <w:sz w:val="24"/>
          <w:szCs w:val="24"/>
          <w:lang w:val="en-US"/>
        </w:rPr>
      </w:pPr>
      <w:r>
        <w:rPr>
          <w:rFonts w:ascii="Arial" w:hAnsi="Arial" w:cs="Arial"/>
          <w:sz w:val="24"/>
          <w:szCs w:val="24"/>
          <w:lang w:val="en-US"/>
        </w:rPr>
        <w:t>5.</w:t>
      </w:r>
      <w:r w:rsidR="00703540">
        <w:rPr>
          <w:rFonts w:ascii="Arial" w:hAnsi="Arial" w:cs="Arial"/>
          <w:sz w:val="24"/>
          <w:szCs w:val="24"/>
          <w:lang w:val="en-US"/>
        </w:rPr>
        <w:t>7.</w:t>
      </w:r>
      <w:r w:rsidR="00703540">
        <w:rPr>
          <w:rFonts w:ascii="Arial" w:hAnsi="Arial" w:cs="Arial"/>
          <w:sz w:val="24"/>
          <w:szCs w:val="24"/>
          <w:lang w:val="en-US"/>
        </w:rPr>
        <w:tab/>
        <w:t xml:space="preserve">The application for condonation was launched </w:t>
      </w:r>
      <w:r w:rsidR="00DA66B2">
        <w:rPr>
          <w:rFonts w:ascii="Arial" w:hAnsi="Arial" w:cs="Arial"/>
          <w:sz w:val="24"/>
          <w:szCs w:val="24"/>
          <w:lang w:val="en-US"/>
        </w:rPr>
        <w:t>on 24 Februar</w:t>
      </w:r>
      <w:r w:rsidR="009F36B7">
        <w:rPr>
          <w:rFonts w:ascii="Arial" w:hAnsi="Arial" w:cs="Arial"/>
          <w:sz w:val="24"/>
          <w:szCs w:val="24"/>
          <w:lang w:val="en-US"/>
        </w:rPr>
        <w:t xml:space="preserve">y 2023. On </w:t>
      </w:r>
      <w:r w:rsidR="003B23B5">
        <w:rPr>
          <w:rFonts w:ascii="Arial" w:hAnsi="Arial" w:cs="Arial"/>
          <w:sz w:val="24"/>
          <w:szCs w:val="24"/>
          <w:lang w:val="en-US"/>
        </w:rPr>
        <w:t xml:space="preserve">02 March </w:t>
      </w:r>
      <w:r w:rsidR="006E37DE">
        <w:rPr>
          <w:rFonts w:ascii="Arial" w:hAnsi="Arial" w:cs="Arial"/>
          <w:sz w:val="24"/>
          <w:szCs w:val="24"/>
          <w:lang w:val="en-US"/>
        </w:rPr>
        <w:t>2023,</w:t>
      </w:r>
      <w:r w:rsidR="003B23B5">
        <w:rPr>
          <w:rFonts w:ascii="Arial" w:hAnsi="Arial" w:cs="Arial"/>
          <w:sz w:val="24"/>
          <w:szCs w:val="24"/>
          <w:lang w:val="en-US"/>
        </w:rPr>
        <w:t xml:space="preserve"> the respondents delivered their notice to oppose. It was only on </w:t>
      </w:r>
      <w:r w:rsidR="009F36B7">
        <w:rPr>
          <w:rFonts w:ascii="Arial" w:hAnsi="Arial" w:cs="Arial"/>
          <w:sz w:val="24"/>
          <w:szCs w:val="24"/>
          <w:lang w:val="en-US"/>
        </w:rPr>
        <w:t xml:space="preserve">12 April 2023 </w:t>
      </w:r>
      <w:r w:rsidR="003B23B5">
        <w:rPr>
          <w:rFonts w:ascii="Arial" w:hAnsi="Arial" w:cs="Arial"/>
          <w:sz w:val="24"/>
          <w:szCs w:val="24"/>
          <w:lang w:val="en-US"/>
        </w:rPr>
        <w:t xml:space="preserve">that </w:t>
      </w:r>
      <w:r w:rsidR="009F36B7">
        <w:rPr>
          <w:rFonts w:ascii="Arial" w:hAnsi="Arial" w:cs="Arial"/>
          <w:sz w:val="24"/>
          <w:szCs w:val="24"/>
          <w:lang w:val="en-US"/>
        </w:rPr>
        <w:t>the first respondent</w:t>
      </w:r>
      <w:r w:rsidR="001F6B33">
        <w:rPr>
          <w:rFonts w:ascii="Arial" w:hAnsi="Arial" w:cs="Arial"/>
          <w:sz w:val="24"/>
          <w:szCs w:val="24"/>
          <w:lang w:val="en-US"/>
        </w:rPr>
        <w:t xml:space="preserve"> delivered </w:t>
      </w:r>
      <w:r w:rsidR="003F4031">
        <w:rPr>
          <w:rFonts w:ascii="Arial" w:hAnsi="Arial" w:cs="Arial"/>
          <w:sz w:val="24"/>
          <w:szCs w:val="24"/>
          <w:lang w:val="en-US"/>
        </w:rPr>
        <w:t xml:space="preserve">his </w:t>
      </w:r>
      <w:r w:rsidR="001F6B33">
        <w:rPr>
          <w:rFonts w:ascii="Arial" w:hAnsi="Arial" w:cs="Arial"/>
          <w:sz w:val="24"/>
          <w:szCs w:val="24"/>
          <w:lang w:val="en-US"/>
        </w:rPr>
        <w:t xml:space="preserve">answering affidavit deposed to by </w:t>
      </w:r>
      <w:r w:rsidR="003B23B5">
        <w:rPr>
          <w:rFonts w:ascii="Arial" w:hAnsi="Arial" w:cs="Arial"/>
          <w:sz w:val="24"/>
          <w:szCs w:val="24"/>
          <w:lang w:val="en-US"/>
        </w:rPr>
        <w:t xml:space="preserve">his legal </w:t>
      </w:r>
      <w:r w:rsidR="006E37DE">
        <w:rPr>
          <w:rFonts w:ascii="Arial" w:hAnsi="Arial" w:cs="Arial"/>
          <w:sz w:val="24"/>
          <w:szCs w:val="24"/>
          <w:lang w:val="en-US"/>
        </w:rPr>
        <w:t>officer, Ms J.A</w:t>
      </w:r>
      <w:r w:rsidR="00B9332D">
        <w:rPr>
          <w:rFonts w:ascii="Arial" w:hAnsi="Arial" w:cs="Arial"/>
          <w:sz w:val="24"/>
          <w:szCs w:val="24"/>
          <w:lang w:val="en-US"/>
        </w:rPr>
        <w:t xml:space="preserve"> van Ro</w:t>
      </w:r>
      <w:r w:rsidR="00D654B7">
        <w:rPr>
          <w:rFonts w:ascii="Arial" w:hAnsi="Arial" w:cs="Arial"/>
          <w:sz w:val="24"/>
          <w:szCs w:val="24"/>
          <w:lang w:val="en-US"/>
        </w:rPr>
        <w:t>o</w:t>
      </w:r>
      <w:r w:rsidR="00B9332D">
        <w:rPr>
          <w:rFonts w:ascii="Arial" w:hAnsi="Arial" w:cs="Arial"/>
          <w:sz w:val="24"/>
          <w:szCs w:val="24"/>
          <w:lang w:val="en-US"/>
        </w:rPr>
        <w:t>yen</w:t>
      </w:r>
      <w:r w:rsidR="003B23B5">
        <w:rPr>
          <w:rFonts w:ascii="Arial" w:hAnsi="Arial" w:cs="Arial"/>
          <w:sz w:val="24"/>
          <w:szCs w:val="24"/>
          <w:lang w:val="en-US"/>
        </w:rPr>
        <w:t xml:space="preserve">. </w:t>
      </w:r>
    </w:p>
    <w:p w14:paraId="0E2E49D5" w14:textId="053C4199" w:rsidR="0008288A" w:rsidRDefault="005F5A62" w:rsidP="00774C1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DA3636">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All the facts set out by the applicant </w:t>
      </w:r>
      <w:r w:rsidR="00D654B7">
        <w:rPr>
          <w:rFonts w:ascii="Arial" w:hAnsi="Arial" w:cs="Arial"/>
          <w:sz w:val="24"/>
          <w:szCs w:val="24"/>
          <w:lang w:val="en-US"/>
        </w:rPr>
        <w:t>detailing</w:t>
      </w:r>
      <w:r>
        <w:rPr>
          <w:rFonts w:ascii="Arial" w:hAnsi="Arial" w:cs="Arial"/>
          <w:sz w:val="24"/>
          <w:szCs w:val="24"/>
          <w:lang w:val="en-US"/>
        </w:rPr>
        <w:t xml:space="preserve"> her </w:t>
      </w:r>
      <w:r w:rsidR="006E37DE">
        <w:rPr>
          <w:rFonts w:ascii="Arial" w:hAnsi="Arial" w:cs="Arial"/>
          <w:sz w:val="24"/>
          <w:szCs w:val="24"/>
          <w:lang w:val="en-US"/>
        </w:rPr>
        <w:t>arrest,</w:t>
      </w:r>
      <w:r w:rsidR="00D654B7">
        <w:rPr>
          <w:rFonts w:ascii="Arial" w:hAnsi="Arial" w:cs="Arial"/>
          <w:sz w:val="24"/>
          <w:szCs w:val="24"/>
          <w:lang w:val="en-US"/>
        </w:rPr>
        <w:t xml:space="preserve"> </w:t>
      </w:r>
      <w:r w:rsidR="00AB3B5D">
        <w:rPr>
          <w:rFonts w:ascii="Arial" w:hAnsi="Arial" w:cs="Arial"/>
          <w:sz w:val="24"/>
          <w:szCs w:val="24"/>
          <w:lang w:val="en-US"/>
        </w:rPr>
        <w:t xml:space="preserve">detention </w:t>
      </w:r>
      <w:r w:rsidR="00D654B7">
        <w:rPr>
          <w:rFonts w:ascii="Arial" w:hAnsi="Arial" w:cs="Arial"/>
          <w:sz w:val="24"/>
          <w:szCs w:val="24"/>
          <w:lang w:val="en-US"/>
        </w:rPr>
        <w:t xml:space="preserve">and acquittal </w:t>
      </w:r>
      <w:r w:rsidR="00AB3B5D">
        <w:rPr>
          <w:rFonts w:ascii="Arial" w:hAnsi="Arial" w:cs="Arial"/>
          <w:sz w:val="24"/>
          <w:szCs w:val="24"/>
          <w:lang w:val="en-US"/>
        </w:rPr>
        <w:t xml:space="preserve">were </w:t>
      </w:r>
      <w:r w:rsidR="00DC5587">
        <w:rPr>
          <w:rFonts w:ascii="Arial" w:hAnsi="Arial" w:cs="Arial"/>
          <w:sz w:val="24"/>
          <w:szCs w:val="24"/>
          <w:lang w:val="en-US"/>
        </w:rPr>
        <w:t>deni</w:t>
      </w:r>
      <w:r w:rsidR="00D654B7">
        <w:rPr>
          <w:rFonts w:ascii="Arial" w:hAnsi="Arial" w:cs="Arial"/>
          <w:sz w:val="24"/>
          <w:szCs w:val="24"/>
          <w:lang w:val="en-US"/>
        </w:rPr>
        <w:t xml:space="preserve">ed by </w:t>
      </w:r>
      <w:r w:rsidR="00E21346">
        <w:rPr>
          <w:rFonts w:ascii="Arial" w:hAnsi="Arial" w:cs="Arial"/>
          <w:sz w:val="24"/>
          <w:szCs w:val="24"/>
          <w:lang w:val="en-US"/>
        </w:rPr>
        <w:t xml:space="preserve">the </w:t>
      </w:r>
      <w:r w:rsidR="00D654B7">
        <w:rPr>
          <w:rFonts w:ascii="Arial" w:hAnsi="Arial" w:cs="Arial"/>
          <w:sz w:val="24"/>
          <w:szCs w:val="24"/>
          <w:lang w:val="en-US"/>
        </w:rPr>
        <w:t xml:space="preserve">first </w:t>
      </w:r>
      <w:r w:rsidR="006E37DE">
        <w:rPr>
          <w:rFonts w:ascii="Arial" w:hAnsi="Arial" w:cs="Arial"/>
          <w:sz w:val="24"/>
          <w:szCs w:val="24"/>
          <w:lang w:val="en-US"/>
        </w:rPr>
        <w:t>respondent.</w:t>
      </w:r>
      <w:r w:rsidR="00D654B7">
        <w:rPr>
          <w:rFonts w:ascii="Arial" w:hAnsi="Arial" w:cs="Arial"/>
          <w:sz w:val="24"/>
          <w:szCs w:val="24"/>
          <w:lang w:val="en-US"/>
        </w:rPr>
        <w:t xml:space="preserve"> He stated that he </w:t>
      </w:r>
      <w:r w:rsidR="00E21346">
        <w:rPr>
          <w:rFonts w:ascii="Arial" w:hAnsi="Arial" w:cs="Arial"/>
          <w:sz w:val="24"/>
          <w:szCs w:val="24"/>
          <w:lang w:val="en-US"/>
        </w:rPr>
        <w:t>had no knowledge</w:t>
      </w:r>
      <w:r w:rsidR="00D654B7">
        <w:rPr>
          <w:rFonts w:ascii="Arial" w:hAnsi="Arial" w:cs="Arial"/>
          <w:sz w:val="24"/>
          <w:szCs w:val="24"/>
          <w:lang w:val="en-US"/>
        </w:rPr>
        <w:t xml:space="preserve"> of those allegations and put the </w:t>
      </w:r>
      <w:r w:rsidR="00C63E12">
        <w:rPr>
          <w:rFonts w:ascii="Arial" w:hAnsi="Arial" w:cs="Arial"/>
          <w:sz w:val="24"/>
          <w:szCs w:val="24"/>
          <w:lang w:val="en-US"/>
        </w:rPr>
        <w:t>applicant to the proof thereof</w:t>
      </w:r>
      <w:r w:rsidR="00246A8C">
        <w:rPr>
          <w:rFonts w:ascii="Arial" w:hAnsi="Arial" w:cs="Arial"/>
          <w:sz w:val="24"/>
          <w:szCs w:val="24"/>
          <w:lang w:val="en-US"/>
        </w:rPr>
        <w:t xml:space="preserve">. The first respondent further stated that the claim </w:t>
      </w:r>
      <w:r w:rsidR="00B50F55">
        <w:rPr>
          <w:rFonts w:ascii="Arial" w:hAnsi="Arial" w:cs="Arial"/>
          <w:sz w:val="24"/>
          <w:szCs w:val="24"/>
          <w:lang w:val="en-US"/>
        </w:rPr>
        <w:t>had prescribed</w:t>
      </w:r>
      <w:r w:rsidR="00D654B7">
        <w:rPr>
          <w:rFonts w:ascii="Arial" w:hAnsi="Arial" w:cs="Arial"/>
          <w:sz w:val="24"/>
          <w:szCs w:val="24"/>
          <w:lang w:val="en-US"/>
        </w:rPr>
        <w:t xml:space="preserve">. </w:t>
      </w:r>
      <w:r w:rsidR="00F14AD7">
        <w:rPr>
          <w:rFonts w:ascii="Arial" w:hAnsi="Arial" w:cs="Arial"/>
          <w:sz w:val="24"/>
          <w:szCs w:val="24"/>
          <w:lang w:val="en-US"/>
        </w:rPr>
        <w:t xml:space="preserve">He </w:t>
      </w:r>
      <w:r w:rsidR="00B405EC">
        <w:rPr>
          <w:rFonts w:ascii="Arial" w:hAnsi="Arial" w:cs="Arial"/>
          <w:sz w:val="24"/>
          <w:szCs w:val="24"/>
          <w:lang w:val="en-US"/>
        </w:rPr>
        <w:t xml:space="preserve">further relied </w:t>
      </w:r>
      <w:r w:rsidR="001C3809">
        <w:rPr>
          <w:rFonts w:ascii="Arial" w:hAnsi="Arial" w:cs="Arial"/>
          <w:sz w:val="24"/>
          <w:szCs w:val="24"/>
          <w:lang w:val="en-US"/>
        </w:rPr>
        <w:t xml:space="preserve">on </w:t>
      </w:r>
      <w:r w:rsidR="004E3965">
        <w:rPr>
          <w:rFonts w:ascii="Arial" w:hAnsi="Arial" w:cs="Arial"/>
          <w:sz w:val="24"/>
          <w:szCs w:val="24"/>
          <w:lang w:val="en-US"/>
        </w:rPr>
        <w:t xml:space="preserve">the decision of the Constitutional Court in </w:t>
      </w:r>
      <w:r w:rsidR="004E3965" w:rsidRPr="006E37DE">
        <w:rPr>
          <w:rFonts w:ascii="Arial" w:hAnsi="Arial" w:cs="Arial"/>
          <w:b/>
          <w:bCs/>
          <w:i/>
          <w:iCs/>
          <w:sz w:val="24"/>
          <w:szCs w:val="24"/>
          <w:lang w:val="en-US"/>
        </w:rPr>
        <w:t>Mtokonya v Minister of Police</w:t>
      </w:r>
      <w:r w:rsidR="00774C1A">
        <w:rPr>
          <w:rStyle w:val="FootnoteReference"/>
          <w:rFonts w:ascii="Arial" w:hAnsi="Arial" w:cs="Arial"/>
          <w:i/>
          <w:iCs/>
          <w:sz w:val="24"/>
          <w:szCs w:val="24"/>
          <w:lang w:val="en-US"/>
        </w:rPr>
        <w:footnoteReference w:id="2"/>
      </w:r>
      <w:r w:rsidR="004E3965">
        <w:rPr>
          <w:rFonts w:ascii="Arial" w:hAnsi="Arial" w:cs="Arial"/>
          <w:sz w:val="24"/>
          <w:szCs w:val="24"/>
          <w:lang w:val="en-US"/>
        </w:rPr>
        <w:t xml:space="preserve">  and  </w:t>
      </w:r>
      <w:r w:rsidR="004E3965" w:rsidRPr="006E37DE">
        <w:rPr>
          <w:rFonts w:ascii="Arial" w:hAnsi="Arial" w:cs="Arial"/>
          <w:b/>
          <w:bCs/>
          <w:i/>
          <w:iCs/>
          <w:sz w:val="24"/>
          <w:szCs w:val="24"/>
          <w:lang w:val="en-US"/>
        </w:rPr>
        <w:t>Abongile Zamani v Minister of Police</w:t>
      </w:r>
      <w:r w:rsidR="00774C1A">
        <w:rPr>
          <w:rStyle w:val="FootnoteReference"/>
          <w:rFonts w:ascii="Arial" w:hAnsi="Arial" w:cs="Arial"/>
          <w:i/>
          <w:iCs/>
          <w:sz w:val="24"/>
          <w:szCs w:val="24"/>
          <w:lang w:val="en-US"/>
        </w:rPr>
        <w:footnoteReference w:id="3"/>
      </w:r>
      <w:r w:rsidR="004E3965">
        <w:rPr>
          <w:rFonts w:ascii="Arial" w:hAnsi="Arial" w:cs="Arial"/>
          <w:sz w:val="24"/>
          <w:szCs w:val="24"/>
          <w:lang w:val="en-US"/>
        </w:rPr>
        <w:t xml:space="preserve"> , for the contention that the prescription point was upheld by those courts. </w:t>
      </w:r>
      <w:r w:rsidR="003F4031">
        <w:rPr>
          <w:rFonts w:ascii="Arial" w:hAnsi="Arial" w:cs="Arial"/>
          <w:sz w:val="24"/>
          <w:szCs w:val="24"/>
          <w:lang w:val="en-US"/>
        </w:rPr>
        <w:t xml:space="preserve">He </w:t>
      </w:r>
      <w:r w:rsidR="009C2356">
        <w:rPr>
          <w:rFonts w:ascii="Arial" w:hAnsi="Arial" w:cs="Arial"/>
          <w:sz w:val="24"/>
          <w:szCs w:val="24"/>
          <w:lang w:val="en-US"/>
        </w:rPr>
        <w:t xml:space="preserve">further submitted that no proper case </w:t>
      </w:r>
      <w:r w:rsidR="000B530A">
        <w:rPr>
          <w:rFonts w:ascii="Arial" w:hAnsi="Arial" w:cs="Arial"/>
          <w:sz w:val="24"/>
          <w:szCs w:val="24"/>
          <w:lang w:val="en-US"/>
        </w:rPr>
        <w:t>has been</w:t>
      </w:r>
      <w:r w:rsidR="00E56723">
        <w:rPr>
          <w:rFonts w:ascii="Arial" w:hAnsi="Arial" w:cs="Arial"/>
          <w:sz w:val="24"/>
          <w:szCs w:val="24"/>
          <w:lang w:val="en-US"/>
        </w:rPr>
        <w:t xml:space="preserve"> made out</w:t>
      </w:r>
      <w:r w:rsidR="005B2828">
        <w:rPr>
          <w:rFonts w:ascii="Arial" w:hAnsi="Arial" w:cs="Arial"/>
          <w:sz w:val="24"/>
          <w:szCs w:val="24"/>
          <w:lang w:val="en-US"/>
        </w:rPr>
        <w:t xml:space="preserve"> in the application and therefore </w:t>
      </w:r>
      <w:r w:rsidR="000B530A">
        <w:rPr>
          <w:rFonts w:ascii="Arial" w:hAnsi="Arial" w:cs="Arial"/>
          <w:sz w:val="24"/>
          <w:szCs w:val="24"/>
          <w:lang w:val="en-US"/>
        </w:rPr>
        <w:t xml:space="preserve">it </w:t>
      </w:r>
      <w:r w:rsidR="005B2828">
        <w:rPr>
          <w:rFonts w:ascii="Arial" w:hAnsi="Arial" w:cs="Arial"/>
          <w:sz w:val="24"/>
          <w:szCs w:val="24"/>
          <w:lang w:val="en-US"/>
        </w:rPr>
        <w:t>should be dismissed with costs</w:t>
      </w:r>
      <w:r w:rsidR="0085263C">
        <w:rPr>
          <w:rFonts w:ascii="Arial" w:hAnsi="Arial" w:cs="Arial"/>
          <w:sz w:val="24"/>
          <w:szCs w:val="24"/>
          <w:lang w:val="en-US"/>
        </w:rPr>
        <w:t>.</w:t>
      </w:r>
    </w:p>
    <w:p w14:paraId="1307F481" w14:textId="07F23E35" w:rsidR="00952D4B" w:rsidRDefault="00952D4B" w:rsidP="0085263C">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[7]</w:t>
      </w:r>
      <w:r>
        <w:rPr>
          <w:rFonts w:ascii="Arial" w:hAnsi="Arial" w:cs="Arial"/>
          <w:sz w:val="24"/>
          <w:szCs w:val="24"/>
          <w:lang w:val="en-US"/>
        </w:rPr>
        <w:tab/>
        <w:t xml:space="preserve">In reply, the applicant’s attorneys </w:t>
      </w:r>
      <w:r w:rsidR="00C76BDC">
        <w:rPr>
          <w:rFonts w:ascii="Arial" w:hAnsi="Arial" w:cs="Arial"/>
          <w:sz w:val="24"/>
          <w:szCs w:val="24"/>
          <w:lang w:val="en-US"/>
        </w:rPr>
        <w:t>of record</w:t>
      </w:r>
      <w:r w:rsidR="00724F18">
        <w:rPr>
          <w:rFonts w:ascii="Arial" w:hAnsi="Arial" w:cs="Arial"/>
          <w:sz w:val="24"/>
          <w:szCs w:val="24"/>
          <w:lang w:val="en-US"/>
        </w:rPr>
        <w:t xml:space="preserve"> submitted </w:t>
      </w:r>
      <w:r w:rsidR="00C76BDC">
        <w:rPr>
          <w:rFonts w:ascii="Arial" w:hAnsi="Arial" w:cs="Arial"/>
          <w:sz w:val="24"/>
          <w:szCs w:val="24"/>
          <w:lang w:val="en-US"/>
        </w:rPr>
        <w:t>that the claim has</w:t>
      </w:r>
      <w:r w:rsidR="0049400B">
        <w:rPr>
          <w:rFonts w:ascii="Arial" w:hAnsi="Arial" w:cs="Arial"/>
          <w:sz w:val="24"/>
          <w:szCs w:val="24"/>
          <w:lang w:val="en-US"/>
        </w:rPr>
        <w:t xml:space="preserve"> not prescribed because </w:t>
      </w:r>
      <w:r w:rsidR="008A1EEF">
        <w:rPr>
          <w:rFonts w:ascii="Arial" w:hAnsi="Arial" w:cs="Arial"/>
          <w:sz w:val="24"/>
          <w:szCs w:val="24"/>
          <w:lang w:val="en-US"/>
        </w:rPr>
        <w:t>the applicant</w:t>
      </w:r>
      <w:r w:rsidR="0049400B">
        <w:rPr>
          <w:rFonts w:ascii="Arial" w:hAnsi="Arial" w:cs="Arial"/>
          <w:sz w:val="24"/>
          <w:szCs w:val="24"/>
          <w:lang w:val="en-US"/>
        </w:rPr>
        <w:t xml:space="preserve"> was acquitted </w:t>
      </w:r>
      <w:r w:rsidR="007E5B51">
        <w:rPr>
          <w:rFonts w:ascii="Arial" w:hAnsi="Arial" w:cs="Arial"/>
          <w:sz w:val="24"/>
          <w:szCs w:val="24"/>
          <w:lang w:val="en-US"/>
        </w:rPr>
        <w:t>on 27 November 2020</w:t>
      </w:r>
      <w:r w:rsidR="002753A0">
        <w:rPr>
          <w:rFonts w:ascii="Arial" w:hAnsi="Arial" w:cs="Arial"/>
          <w:sz w:val="24"/>
          <w:szCs w:val="24"/>
          <w:lang w:val="en-US"/>
        </w:rPr>
        <w:t xml:space="preserve"> and her claim would only prescribe on </w:t>
      </w:r>
      <w:r w:rsidR="00C021CA">
        <w:rPr>
          <w:rFonts w:ascii="Arial" w:hAnsi="Arial" w:cs="Arial"/>
          <w:sz w:val="24"/>
          <w:szCs w:val="24"/>
          <w:lang w:val="en-US"/>
        </w:rPr>
        <w:t>2</w:t>
      </w:r>
      <w:r w:rsidR="003E5348">
        <w:rPr>
          <w:rFonts w:ascii="Arial" w:hAnsi="Arial" w:cs="Arial"/>
          <w:sz w:val="24"/>
          <w:szCs w:val="24"/>
          <w:lang w:val="en-US"/>
        </w:rPr>
        <w:t>7 November 2023</w:t>
      </w:r>
      <w:r w:rsidR="008E4AE2">
        <w:rPr>
          <w:rFonts w:ascii="Arial" w:hAnsi="Arial" w:cs="Arial"/>
          <w:sz w:val="24"/>
          <w:szCs w:val="24"/>
          <w:lang w:val="en-US"/>
        </w:rPr>
        <w:t>. Summons was served on 15</w:t>
      </w:r>
      <w:r w:rsidR="00113B7C">
        <w:rPr>
          <w:rFonts w:ascii="Arial" w:hAnsi="Arial" w:cs="Arial"/>
          <w:sz w:val="24"/>
          <w:szCs w:val="24"/>
          <w:lang w:val="en-US"/>
        </w:rPr>
        <w:t xml:space="preserve"> July 202</w:t>
      </w:r>
      <w:r w:rsidR="00F14AD7">
        <w:rPr>
          <w:rFonts w:ascii="Arial" w:hAnsi="Arial" w:cs="Arial"/>
          <w:sz w:val="24"/>
          <w:szCs w:val="24"/>
          <w:lang w:val="en-US"/>
        </w:rPr>
        <w:t>2</w:t>
      </w:r>
      <w:r w:rsidR="004D263A">
        <w:rPr>
          <w:rFonts w:ascii="Arial" w:hAnsi="Arial" w:cs="Arial"/>
          <w:sz w:val="24"/>
          <w:szCs w:val="24"/>
          <w:lang w:val="en-US"/>
        </w:rPr>
        <w:t>.</w:t>
      </w:r>
    </w:p>
    <w:p w14:paraId="606F6C63" w14:textId="74775E6D" w:rsidR="0018540C" w:rsidRDefault="00233E43" w:rsidP="0085263C">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DA3636">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first respondent </w:t>
      </w:r>
      <w:r w:rsidR="006E37DE">
        <w:rPr>
          <w:rFonts w:ascii="Arial" w:hAnsi="Arial" w:cs="Arial"/>
          <w:sz w:val="24"/>
          <w:szCs w:val="24"/>
          <w:lang w:val="en-US"/>
        </w:rPr>
        <w:t>submitted that</w:t>
      </w:r>
      <w:r w:rsidR="008953B5">
        <w:rPr>
          <w:rFonts w:ascii="Arial" w:hAnsi="Arial" w:cs="Arial"/>
          <w:sz w:val="24"/>
          <w:szCs w:val="24"/>
          <w:lang w:val="en-US"/>
        </w:rPr>
        <w:t xml:space="preserve"> this </w:t>
      </w:r>
      <w:r w:rsidR="008A1EEF">
        <w:rPr>
          <w:rFonts w:ascii="Arial" w:hAnsi="Arial" w:cs="Arial"/>
          <w:sz w:val="24"/>
          <w:szCs w:val="24"/>
          <w:lang w:val="en-US"/>
        </w:rPr>
        <w:t>c</w:t>
      </w:r>
      <w:r w:rsidR="008953B5">
        <w:rPr>
          <w:rFonts w:ascii="Arial" w:hAnsi="Arial" w:cs="Arial"/>
          <w:sz w:val="24"/>
          <w:szCs w:val="24"/>
          <w:lang w:val="en-US"/>
        </w:rPr>
        <w:t xml:space="preserve">ourt may grant the application sought in terms of </w:t>
      </w:r>
      <w:r w:rsidR="0075195B">
        <w:rPr>
          <w:rFonts w:ascii="Arial" w:hAnsi="Arial" w:cs="Arial"/>
          <w:sz w:val="24"/>
          <w:szCs w:val="24"/>
          <w:lang w:val="en-US"/>
        </w:rPr>
        <w:t>section 3(4)(b)</w:t>
      </w:r>
      <w:r w:rsidR="00504E12">
        <w:rPr>
          <w:rFonts w:ascii="Arial" w:hAnsi="Arial" w:cs="Arial"/>
          <w:sz w:val="24"/>
          <w:szCs w:val="24"/>
          <w:lang w:val="en-US"/>
        </w:rPr>
        <w:t xml:space="preserve"> of the Institution Act</w:t>
      </w:r>
      <w:r w:rsidR="00EA6ED7">
        <w:rPr>
          <w:rFonts w:ascii="Arial" w:hAnsi="Arial" w:cs="Arial"/>
          <w:sz w:val="24"/>
          <w:szCs w:val="24"/>
          <w:lang w:val="en-US"/>
        </w:rPr>
        <w:t xml:space="preserve"> </w:t>
      </w:r>
      <w:r w:rsidR="00EA6ED7" w:rsidRPr="008A1EEF">
        <w:rPr>
          <w:rFonts w:ascii="Arial" w:hAnsi="Arial" w:cs="Arial"/>
          <w:color w:val="000000" w:themeColor="text1"/>
          <w:sz w:val="24"/>
          <w:szCs w:val="24"/>
          <w:lang w:val="en-US"/>
        </w:rPr>
        <w:t xml:space="preserve">if satisfied </w:t>
      </w:r>
      <w:r w:rsidR="00DC7F31">
        <w:rPr>
          <w:rFonts w:ascii="Arial" w:hAnsi="Arial" w:cs="Arial"/>
          <w:color w:val="000000" w:themeColor="text1"/>
          <w:sz w:val="24"/>
          <w:szCs w:val="24"/>
          <w:lang w:val="en-US"/>
        </w:rPr>
        <w:t>that the provisions thereof have been met.</w:t>
      </w:r>
    </w:p>
    <w:p w14:paraId="09138A33" w14:textId="309A5AD5" w:rsidR="009D03CA" w:rsidRPr="009D03CA" w:rsidRDefault="009D03CA" w:rsidP="0085263C">
      <w:pPr>
        <w:spacing w:line="480" w:lineRule="auto"/>
        <w:ind w:left="720" w:hanging="720"/>
        <w:jc w:val="both"/>
        <w:rPr>
          <w:rFonts w:ascii="Arial" w:hAnsi="Arial" w:cs="Arial"/>
          <w:i/>
          <w:iCs/>
          <w:color w:val="000000" w:themeColor="text1"/>
          <w:sz w:val="24"/>
          <w:szCs w:val="24"/>
          <w:lang w:val="en-US"/>
        </w:rPr>
      </w:pPr>
      <w:r w:rsidRPr="009D03CA">
        <w:rPr>
          <w:rFonts w:ascii="Arial" w:hAnsi="Arial" w:cs="Arial"/>
          <w:i/>
          <w:iCs/>
          <w:color w:val="000000" w:themeColor="text1"/>
          <w:sz w:val="24"/>
          <w:szCs w:val="24"/>
          <w:lang w:val="en-US"/>
        </w:rPr>
        <w:t xml:space="preserve">Second respondent </w:t>
      </w:r>
    </w:p>
    <w:p w14:paraId="473BF0E9" w14:textId="1BACFB50" w:rsidR="00F84DC9" w:rsidRPr="008A1EEF" w:rsidRDefault="00F84DC9" w:rsidP="0085263C">
      <w:pPr>
        <w:spacing w:line="480" w:lineRule="auto"/>
        <w:ind w:left="720" w:hanging="72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DA3636">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The second </w:t>
      </w:r>
      <w:r w:rsidR="006E37DE">
        <w:rPr>
          <w:rFonts w:ascii="Arial" w:hAnsi="Arial" w:cs="Arial"/>
          <w:color w:val="000000" w:themeColor="text1"/>
          <w:sz w:val="24"/>
          <w:szCs w:val="24"/>
          <w:lang w:val="en-US"/>
        </w:rPr>
        <w:t>respondent,</w:t>
      </w:r>
      <w:r>
        <w:rPr>
          <w:rFonts w:ascii="Arial" w:hAnsi="Arial" w:cs="Arial"/>
          <w:color w:val="000000" w:themeColor="text1"/>
          <w:sz w:val="24"/>
          <w:szCs w:val="24"/>
          <w:lang w:val="en-US"/>
        </w:rPr>
        <w:t xml:space="preserve"> although she filed a notice to oppose, did not file an answering affidavit.  This court is not in a position to apply the averments made in the answering affidavit to her </w:t>
      </w:r>
      <w:r w:rsidR="006E37DE">
        <w:rPr>
          <w:rFonts w:ascii="Arial" w:hAnsi="Arial" w:cs="Arial"/>
          <w:color w:val="000000" w:themeColor="text1"/>
          <w:sz w:val="24"/>
          <w:szCs w:val="24"/>
          <w:lang w:val="en-US"/>
        </w:rPr>
        <w:t>because,</w:t>
      </w:r>
      <w:r>
        <w:rPr>
          <w:rFonts w:ascii="Arial" w:hAnsi="Arial" w:cs="Arial"/>
          <w:color w:val="000000" w:themeColor="text1"/>
          <w:sz w:val="24"/>
          <w:szCs w:val="24"/>
          <w:lang w:val="en-US"/>
        </w:rPr>
        <w:t xml:space="preserve"> the deponent made it clear that the answering affidavit was filed on behalf of the first respondent.  It is for that reason that the focus will be on the first respondent. To the extent that the second respondent </w:t>
      </w:r>
      <w:r w:rsidR="009D03CA">
        <w:rPr>
          <w:rFonts w:ascii="Arial" w:hAnsi="Arial" w:cs="Arial"/>
          <w:color w:val="000000" w:themeColor="text1"/>
          <w:sz w:val="24"/>
          <w:szCs w:val="24"/>
          <w:lang w:val="en-US"/>
        </w:rPr>
        <w:t xml:space="preserve">persisted in the objection without an affidavit the outcome herein will apply to her as well, except where there is specific intention to exclude her. </w:t>
      </w:r>
    </w:p>
    <w:p w14:paraId="7E4041D5" w14:textId="409AAE8B" w:rsidR="008A1EEF" w:rsidRPr="008A1EEF" w:rsidRDefault="008A1EEF" w:rsidP="0085263C">
      <w:pPr>
        <w:spacing w:line="480" w:lineRule="auto"/>
        <w:ind w:left="720" w:hanging="720"/>
        <w:jc w:val="both"/>
        <w:rPr>
          <w:rFonts w:ascii="Arial" w:hAnsi="Arial" w:cs="Arial"/>
          <w:i/>
          <w:iCs/>
          <w:color w:val="000000" w:themeColor="text1"/>
          <w:sz w:val="24"/>
          <w:szCs w:val="24"/>
          <w:lang w:val="en-US"/>
        </w:rPr>
      </w:pPr>
      <w:r w:rsidRPr="008A1EEF">
        <w:rPr>
          <w:rFonts w:ascii="Arial" w:hAnsi="Arial" w:cs="Arial"/>
          <w:i/>
          <w:iCs/>
          <w:color w:val="000000" w:themeColor="text1"/>
          <w:sz w:val="24"/>
          <w:szCs w:val="24"/>
          <w:lang w:val="en-US"/>
        </w:rPr>
        <w:t>Applicant’s legal arguments</w:t>
      </w:r>
    </w:p>
    <w:p w14:paraId="4A127489" w14:textId="51904BDB" w:rsidR="006A7F51" w:rsidRDefault="0018540C" w:rsidP="0085263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DA3636">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 xml:space="preserve">In argument, Ms Magadlela submitted </w:t>
      </w:r>
      <w:r w:rsidR="006E37DE">
        <w:rPr>
          <w:rFonts w:ascii="Arial" w:hAnsi="Arial" w:cs="Arial"/>
          <w:sz w:val="24"/>
          <w:szCs w:val="24"/>
          <w:lang w:val="en-US"/>
        </w:rPr>
        <w:t>that:</w:t>
      </w:r>
      <w:r w:rsidR="008A1EEF">
        <w:rPr>
          <w:rFonts w:ascii="Arial" w:hAnsi="Arial" w:cs="Arial"/>
          <w:sz w:val="24"/>
          <w:szCs w:val="24"/>
          <w:lang w:val="en-US"/>
        </w:rPr>
        <w:t xml:space="preserve"> </w:t>
      </w:r>
      <w:r w:rsidR="00B262C2">
        <w:rPr>
          <w:rFonts w:ascii="Arial" w:hAnsi="Arial" w:cs="Arial"/>
          <w:sz w:val="24"/>
          <w:szCs w:val="24"/>
          <w:lang w:val="en-US"/>
        </w:rPr>
        <w:t xml:space="preserve"> </w:t>
      </w:r>
      <w:r w:rsidR="008A1EEF">
        <w:rPr>
          <w:rFonts w:ascii="Arial" w:hAnsi="Arial" w:cs="Arial"/>
          <w:sz w:val="24"/>
          <w:szCs w:val="24"/>
          <w:lang w:val="en-US"/>
        </w:rPr>
        <w:t>T</w:t>
      </w:r>
      <w:r w:rsidR="00B262C2">
        <w:rPr>
          <w:rFonts w:ascii="Arial" w:hAnsi="Arial" w:cs="Arial"/>
          <w:sz w:val="24"/>
          <w:szCs w:val="24"/>
          <w:lang w:val="en-US"/>
        </w:rPr>
        <w:t xml:space="preserve">he action has not been extinguished </w:t>
      </w:r>
      <w:r w:rsidR="0089794D">
        <w:rPr>
          <w:rFonts w:ascii="Arial" w:hAnsi="Arial" w:cs="Arial"/>
          <w:sz w:val="24"/>
          <w:szCs w:val="24"/>
          <w:lang w:val="en-US"/>
        </w:rPr>
        <w:t xml:space="preserve">by prescription. </w:t>
      </w:r>
      <w:r w:rsidR="008A1EEF">
        <w:rPr>
          <w:rFonts w:ascii="Arial" w:hAnsi="Arial" w:cs="Arial"/>
          <w:sz w:val="24"/>
          <w:szCs w:val="24"/>
          <w:lang w:val="en-US"/>
        </w:rPr>
        <w:t>T</w:t>
      </w:r>
      <w:r w:rsidR="0089794D">
        <w:rPr>
          <w:rFonts w:ascii="Arial" w:hAnsi="Arial" w:cs="Arial"/>
          <w:sz w:val="24"/>
          <w:szCs w:val="24"/>
          <w:lang w:val="en-US"/>
        </w:rPr>
        <w:t xml:space="preserve">here is good cause </w:t>
      </w:r>
      <w:r w:rsidR="008A1EEF">
        <w:rPr>
          <w:rFonts w:ascii="Arial" w:hAnsi="Arial" w:cs="Arial"/>
          <w:sz w:val="24"/>
          <w:szCs w:val="24"/>
          <w:lang w:val="en-US"/>
        </w:rPr>
        <w:t xml:space="preserve">that </w:t>
      </w:r>
      <w:r w:rsidR="006E37DE">
        <w:rPr>
          <w:rFonts w:ascii="Arial" w:hAnsi="Arial" w:cs="Arial"/>
          <w:sz w:val="24"/>
          <w:szCs w:val="24"/>
          <w:lang w:val="en-US"/>
        </w:rPr>
        <w:t>exists to</w:t>
      </w:r>
      <w:r w:rsidR="008A1EEF">
        <w:rPr>
          <w:rFonts w:ascii="Arial" w:hAnsi="Arial" w:cs="Arial"/>
          <w:sz w:val="24"/>
          <w:szCs w:val="24"/>
          <w:lang w:val="en-US"/>
        </w:rPr>
        <w:t xml:space="preserve"> justify</w:t>
      </w:r>
      <w:r w:rsidR="00CE05C8">
        <w:rPr>
          <w:rFonts w:ascii="Arial" w:hAnsi="Arial" w:cs="Arial"/>
          <w:sz w:val="24"/>
          <w:szCs w:val="24"/>
          <w:lang w:val="en-US"/>
        </w:rPr>
        <w:t xml:space="preserve"> the delay </w:t>
      </w:r>
      <w:r w:rsidR="008A1EEF">
        <w:rPr>
          <w:rFonts w:ascii="Arial" w:hAnsi="Arial" w:cs="Arial"/>
          <w:sz w:val="24"/>
          <w:szCs w:val="24"/>
          <w:lang w:val="en-US"/>
        </w:rPr>
        <w:t xml:space="preserve">in </w:t>
      </w:r>
      <w:r w:rsidR="00CE05C8">
        <w:rPr>
          <w:rFonts w:ascii="Arial" w:hAnsi="Arial" w:cs="Arial"/>
          <w:sz w:val="24"/>
          <w:szCs w:val="24"/>
          <w:lang w:val="en-US"/>
        </w:rPr>
        <w:t>deliver</w:t>
      </w:r>
      <w:r w:rsidR="008A1EEF">
        <w:rPr>
          <w:rFonts w:ascii="Arial" w:hAnsi="Arial" w:cs="Arial"/>
          <w:sz w:val="24"/>
          <w:szCs w:val="24"/>
          <w:lang w:val="en-US"/>
        </w:rPr>
        <w:t>ing</w:t>
      </w:r>
      <w:r w:rsidR="00CE05C8">
        <w:rPr>
          <w:rFonts w:ascii="Arial" w:hAnsi="Arial" w:cs="Arial"/>
          <w:sz w:val="24"/>
          <w:szCs w:val="24"/>
          <w:lang w:val="en-US"/>
        </w:rPr>
        <w:t xml:space="preserve"> </w:t>
      </w:r>
      <w:r w:rsidR="009D2E09">
        <w:rPr>
          <w:rFonts w:ascii="Arial" w:hAnsi="Arial" w:cs="Arial"/>
          <w:sz w:val="24"/>
          <w:szCs w:val="24"/>
          <w:lang w:val="en-US"/>
        </w:rPr>
        <w:t xml:space="preserve">the prescribed </w:t>
      </w:r>
      <w:r w:rsidR="00DC7F31">
        <w:rPr>
          <w:rFonts w:ascii="Arial" w:hAnsi="Arial" w:cs="Arial"/>
          <w:sz w:val="24"/>
          <w:szCs w:val="24"/>
          <w:lang w:val="en-US"/>
        </w:rPr>
        <w:t xml:space="preserve">statutory </w:t>
      </w:r>
      <w:r w:rsidR="009D2E09">
        <w:rPr>
          <w:rFonts w:ascii="Arial" w:hAnsi="Arial" w:cs="Arial"/>
          <w:sz w:val="24"/>
          <w:szCs w:val="24"/>
          <w:lang w:val="en-US"/>
        </w:rPr>
        <w:t>notice</w:t>
      </w:r>
      <w:r w:rsidR="00DC7F31">
        <w:rPr>
          <w:rFonts w:ascii="Arial" w:hAnsi="Arial" w:cs="Arial"/>
          <w:sz w:val="24"/>
          <w:szCs w:val="24"/>
          <w:lang w:val="en-US"/>
        </w:rPr>
        <w:t xml:space="preserve"> </w:t>
      </w:r>
      <w:r w:rsidR="0015603A">
        <w:rPr>
          <w:rFonts w:ascii="Arial" w:hAnsi="Arial" w:cs="Arial"/>
          <w:sz w:val="24"/>
          <w:szCs w:val="24"/>
          <w:lang w:val="en-US"/>
        </w:rPr>
        <w:t>upon the respondents timeously</w:t>
      </w:r>
      <w:r w:rsidR="00533AA6">
        <w:rPr>
          <w:rFonts w:ascii="Arial" w:hAnsi="Arial" w:cs="Arial"/>
          <w:sz w:val="24"/>
          <w:szCs w:val="24"/>
          <w:lang w:val="en-US"/>
        </w:rPr>
        <w:t xml:space="preserve">. The respondents </w:t>
      </w:r>
      <w:r w:rsidR="008554F6">
        <w:rPr>
          <w:rFonts w:ascii="Arial" w:hAnsi="Arial" w:cs="Arial"/>
          <w:sz w:val="24"/>
          <w:szCs w:val="24"/>
          <w:lang w:val="en-US"/>
        </w:rPr>
        <w:t>have</w:t>
      </w:r>
      <w:r w:rsidR="00533AA6">
        <w:rPr>
          <w:rFonts w:ascii="Arial" w:hAnsi="Arial" w:cs="Arial"/>
          <w:sz w:val="24"/>
          <w:szCs w:val="24"/>
          <w:lang w:val="en-US"/>
        </w:rPr>
        <w:t xml:space="preserve"> not be</w:t>
      </w:r>
      <w:r w:rsidR="008A1EEF">
        <w:rPr>
          <w:rFonts w:ascii="Arial" w:hAnsi="Arial" w:cs="Arial"/>
          <w:sz w:val="24"/>
          <w:szCs w:val="24"/>
          <w:lang w:val="en-US"/>
        </w:rPr>
        <w:t>en</w:t>
      </w:r>
      <w:r w:rsidR="00533AA6">
        <w:rPr>
          <w:rFonts w:ascii="Arial" w:hAnsi="Arial" w:cs="Arial"/>
          <w:sz w:val="24"/>
          <w:szCs w:val="24"/>
          <w:lang w:val="en-US"/>
        </w:rPr>
        <w:t xml:space="preserve"> unreasonabl</w:t>
      </w:r>
      <w:r w:rsidR="008A1EEF">
        <w:rPr>
          <w:rFonts w:ascii="Arial" w:hAnsi="Arial" w:cs="Arial"/>
          <w:sz w:val="24"/>
          <w:szCs w:val="24"/>
          <w:lang w:val="en-US"/>
        </w:rPr>
        <w:t>y</w:t>
      </w:r>
      <w:r w:rsidR="00533AA6">
        <w:rPr>
          <w:rFonts w:ascii="Arial" w:hAnsi="Arial" w:cs="Arial"/>
          <w:sz w:val="24"/>
          <w:szCs w:val="24"/>
          <w:lang w:val="en-US"/>
        </w:rPr>
        <w:t xml:space="preserve"> </w:t>
      </w:r>
      <w:r w:rsidR="008554F6">
        <w:rPr>
          <w:rFonts w:ascii="Arial" w:hAnsi="Arial" w:cs="Arial"/>
          <w:sz w:val="24"/>
          <w:szCs w:val="24"/>
          <w:lang w:val="en-US"/>
        </w:rPr>
        <w:t>prejudic</w:t>
      </w:r>
      <w:r w:rsidR="00DD7C24">
        <w:rPr>
          <w:rFonts w:ascii="Arial" w:hAnsi="Arial" w:cs="Arial"/>
          <w:sz w:val="24"/>
          <w:szCs w:val="24"/>
          <w:lang w:val="en-US"/>
        </w:rPr>
        <w:t>ed by the failure to deliver the said notice</w:t>
      </w:r>
      <w:r w:rsidR="00911C71">
        <w:rPr>
          <w:rFonts w:ascii="Arial" w:hAnsi="Arial" w:cs="Arial"/>
          <w:sz w:val="24"/>
          <w:szCs w:val="24"/>
          <w:lang w:val="en-US"/>
        </w:rPr>
        <w:t xml:space="preserve">. </w:t>
      </w:r>
      <w:r w:rsidR="008A1EEF">
        <w:rPr>
          <w:rFonts w:ascii="Arial" w:hAnsi="Arial" w:cs="Arial"/>
          <w:sz w:val="24"/>
          <w:szCs w:val="24"/>
          <w:lang w:val="en-US"/>
        </w:rPr>
        <w:t xml:space="preserve">It </w:t>
      </w:r>
      <w:r w:rsidR="00911C71">
        <w:rPr>
          <w:rFonts w:ascii="Arial" w:hAnsi="Arial" w:cs="Arial"/>
          <w:sz w:val="24"/>
          <w:szCs w:val="24"/>
          <w:lang w:val="en-US"/>
        </w:rPr>
        <w:t xml:space="preserve">is </w:t>
      </w:r>
      <w:r w:rsidR="00AC5FD8">
        <w:rPr>
          <w:rFonts w:ascii="Arial" w:hAnsi="Arial" w:cs="Arial"/>
          <w:sz w:val="24"/>
          <w:szCs w:val="24"/>
          <w:lang w:val="en-US"/>
        </w:rPr>
        <w:t xml:space="preserve">well within this </w:t>
      </w:r>
      <w:r w:rsidR="008A1EEF">
        <w:rPr>
          <w:rFonts w:ascii="Arial" w:hAnsi="Arial" w:cs="Arial"/>
          <w:sz w:val="24"/>
          <w:szCs w:val="24"/>
          <w:lang w:val="en-US"/>
        </w:rPr>
        <w:t>c</w:t>
      </w:r>
      <w:r w:rsidR="00AC5FD8">
        <w:rPr>
          <w:rFonts w:ascii="Arial" w:hAnsi="Arial" w:cs="Arial"/>
          <w:sz w:val="24"/>
          <w:szCs w:val="24"/>
          <w:lang w:val="en-US"/>
        </w:rPr>
        <w:t>ourt</w:t>
      </w:r>
      <w:r w:rsidR="003B7FE5">
        <w:rPr>
          <w:rFonts w:ascii="Arial" w:hAnsi="Arial" w:cs="Arial"/>
          <w:sz w:val="24"/>
          <w:szCs w:val="24"/>
          <w:lang w:val="en-US"/>
        </w:rPr>
        <w:t xml:space="preserve">’s </w:t>
      </w:r>
      <w:r w:rsidR="002319DB">
        <w:rPr>
          <w:rFonts w:ascii="Arial" w:hAnsi="Arial" w:cs="Arial"/>
          <w:sz w:val="24"/>
          <w:szCs w:val="24"/>
          <w:lang w:val="en-US"/>
        </w:rPr>
        <w:t xml:space="preserve">discretion to consider </w:t>
      </w:r>
      <w:r w:rsidR="00EE01A6">
        <w:rPr>
          <w:rFonts w:ascii="Arial" w:hAnsi="Arial" w:cs="Arial"/>
          <w:sz w:val="24"/>
          <w:szCs w:val="24"/>
          <w:lang w:val="en-US"/>
        </w:rPr>
        <w:t>the fact that it will be in the interest</w:t>
      </w:r>
      <w:r w:rsidR="008A1EEF">
        <w:rPr>
          <w:rFonts w:ascii="Arial" w:hAnsi="Arial" w:cs="Arial"/>
          <w:sz w:val="24"/>
          <w:szCs w:val="24"/>
          <w:lang w:val="en-US"/>
        </w:rPr>
        <w:t>s</w:t>
      </w:r>
      <w:r w:rsidR="00EE01A6">
        <w:rPr>
          <w:rFonts w:ascii="Arial" w:hAnsi="Arial" w:cs="Arial"/>
          <w:sz w:val="24"/>
          <w:szCs w:val="24"/>
          <w:lang w:val="en-US"/>
        </w:rPr>
        <w:t xml:space="preserve"> </w:t>
      </w:r>
      <w:r w:rsidR="00502B24">
        <w:rPr>
          <w:rFonts w:ascii="Arial" w:hAnsi="Arial" w:cs="Arial"/>
          <w:sz w:val="24"/>
          <w:szCs w:val="24"/>
          <w:lang w:val="en-US"/>
        </w:rPr>
        <w:t xml:space="preserve">of justice to grant the relief sought even if </w:t>
      </w:r>
      <w:r w:rsidR="00CD0A25">
        <w:rPr>
          <w:rFonts w:ascii="Arial" w:hAnsi="Arial" w:cs="Arial"/>
          <w:sz w:val="24"/>
          <w:szCs w:val="24"/>
          <w:lang w:val="en-US"/>
        </w:rPr>
        <w:t>some of the jurisdictional fact</w:t>
      </w:r>
      <w:r w:rsidR="00EA613E">
        <w:rPr>
          <w:rFonts w:ascii="Arial" w:hAnsi="Arial" w:cs="Arial"/>
          <w:sz w:val="24"/>
          <w:szCs w:val="24"/>
          <w:lang w:val="en-US"/>
        </w:rPr>
        <w:t xml:space="preserve">ors may not be </w:t>
      </w:r>
      <w:r w:rsidR="00A24430">
        <w:rPr>
          <w:rFonts w:ascii="Arial" w:hAnsi="Arial" w:cs="Arial"/>
          <w:sz w:val="24"/>
          <w:szCs w:val="24"/>
          <w:lang w:val="en-US"/>
        </w:rPr>
        <w:t>satisfied</w:t>
      </w:r>
      <w:r w:rsidR="006A7F51">
        <w:rPr>
          <w:rFonts w:ascii="Arial" w:hAnsi="Arial" w:cs="Arial"/>
          <w:sz w:val="24"/>
          <w:szCs w:val="24"/>
          <w:lang w:val="en-US"/>
        </w:rPr>
        <w:t>.</w:t>
      </w:r>
    </w:p>
    <w:p w14:paraId="4EFB8024" w14:textId="4BAA7B1A" w:rsidR="00FC0A88" w:rsidRDefault="00C501C8" w:rsidP="00DA3636">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sidR="00DA3636">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DC7F31">
        <w:rPr>
          <w:rFonts w:ascii="Arial" w:hAnsi="Arial" w:cs="Arial"/>
          <w:sz w:val="24"/>
          <w:szCs w:val="24"/>
          <w:lang w:val="en-US"/>
        </w:rPr>
        <w:t>She argued that p</w:t>
      </w:r>
      <w:r w:rsidR="00E95D66">
        <w:rPr>
          <w:rFonts w:ascii="Arial" w:hAnsi="Arial" w:cs="Arial"/>
          <w:sz w:val="24"/>
          <w:szCs w:val="24"/>
          <w:lang w:val="en-US"/>
        </w:rPr>
        <w:t xml:space="preserve">rescription </w:t>
      </w:r>
      <w:r w:rsidR="000A54E0">
        <w:rPr>
          <w:rFonts w:ascii="Arial" w:hAnsi="Arial" w:cs="Arial"/>
          <w:sz w:val="24"/>
          <w:szCs w:val="24"/>
          <w:lang w:val="en-US"/>
        </w:rPr>
        <w:t xml:space="preserve">started to run when the applicant was </w:t>
      </w:r>
      <w:r w:rsidR="00D12914">
        <w:rPr>
          <w:rFonts w:ascii="Arial" w:hAnsi="Arial" w:cs="Arial"/>
          <w:sz w:val="24"/>
          <w:szCs w:val="24"/>
          <w:lang w:val="en-US"/>
        </w:rPr>
        <w:t>not</w:t>
      </w:r>
      <w:r w:rsidR="00166380">
        <w:rPr>
          <w:rFonts w:ascii="Arial" w:hAnsi="Arial" w:cs="Arial"/>
          <w:sz w:val="24"/>
          <w:szCs w:val="24"/>
          <w:lang w:val="en-US"/>
        </w:rPr>
        <w:t xml:space="preserve">ified that she was discharged </w:t>
      </w:r>
      <w:r w:rsidR="00114B57">
        <w:rPr>
          <w:rFonts w:ascii="Arial" w:hAnsi="Arial" w:cs="Arial"/>
          <w:sz w:val="24"/>
          <w:szCs w:val="24"/>
          <w:lang w:val="en-US"/>
        </w:rPr>
        <w:t>from the criminal case</w:t>
      </w:r>
      <w:r w:rsidR="00535A02">
        <w:rPr>
          <w:rFonts w:ascii="Arial" w:hAnsi="Arial" w:cs="Arial"/>
          <w:sz w:val="24"/>
          <w:szCs w:val="24"/>
          <w:lang w:val="en-US"/>
        </w:rPr>
        <w:t>.</w:t>
      </w:r>
      <w:r w:rsidR="00F83ADF">
        <w:rPr>
          <w:rFonts w:ascii="Arial" w:hAnsi="Arial" w:cs="Arial"/>
          <w:sz w:val="24"/>
          <w:szCs w:val="24"/>
          <w:lang w:val="en-US"/>
        </w:rPr>
        <w:t xml:space="preserve"> In this </w:t>
      </w:r>
      <w:r w:rsidR="006E37DE">
        <w:rPr>
          <w:rFonts w:ascii="Arial" w:hAnsi="Arial" w:cs="Arial"/>
          <w:sz w:val="24"/>
          <w:szCs w:val="24"/>
          <w:lang w:val="en-US"/>
        </w:rPr>
        <w:t>regard, she</w:t>
      </w:r>
      <w:r w:rsidR="00F83ADF">
        <w:rPr>
          <w:rFonts w:ascii="Arial" w:hAnsi="Arial" w:cs="Arial"/>
          <w:sz w:val="24"/>
          <w:szCs w:val="24"/>
          <w:lang w:val="en-US"/>
        </w:rPr>
        <w:t xml:space="preserve"> relied on the case of </w:t>
      </w:r>
      <w:r w:rsidR="00F83ADF" w:rsidRPr="00E02AC9">
        <w:rPr>
          <w:rFonts w:ascii="Arial" w:hAnsi="Arial" w:cs="Arial"/>
          <w:b/>
          <w:bCs/>
          <w:i/>
          <w:iCs/>
          <w:sz w:val="24"/>
          <w:szCs w:val="24"/>
          <w:lang w:val="en-US"/>
        </w:rPr>
        <w:t xml:space="preserve">Holden v Asmang </w:t>
      </w:r>
      <w:r w:rsidR="00EA516D" w:rsidRPr="00E02AC9">
        <w:rPr>
          <w:rFonts w:ascii="Arial" w:hAnsi="Arial" w:cs="Arial"/>
          <w:b/>
          <w:bCs/>
          <w:i/>
          <w:iCs/>
          <w:sz w:val="24"/>
          <w:szCs w:val="24"/>
          <w:lang w:val="en-US"/>
        </w:rPr>
        <w:t>Limited</w:t>
      </w:r>
      <w:r w:rsidR="00EA516D">
        <w:rPr>
          <w:rStyle w:val="FootnoteReference"/>
          <w:rFonts w:ascii="Arial" w:hAnsi="Arial" w:cs="Arial"/>
          <w:sz w:val="24"/>
          <w:szCs w:val="24"/>
          <w:lang w:val="en-US"/>
        </w:rPr>
        <w:footnoteReference w:id="4"/>
      </w:r>
      <w:r w:rsidR="00E02AC9">
        <w:rPr>
          <w:rFonts w:ascii="Arial" w:hAnsi="Arial" w:cs="Arial"/>
          <w:sz w:val="24"/>
          <w:szCs w:val="24"/>
          <w:lang w:val="en-US"/>
        </w:rPr>
        <w:t xml:space="preserve">. She submitted that in </w:t>
      </w:r>
      <w:r w:rsidR="00861EC9">
        <w:rPr>
          <w:rFonts w:ascii="Arial" w:hAnsi="Arial" w:cs="Arial"/>
          <w:b/>
          <w:bCs/>
          <w:i/>
          <w:iCs/>
          <w:sz w:val="24"/>
          <w:szCs w:val="24"/>
          <w:lang w:val="en-US"/>
        </w:rPr>
        <w:t xml:space="preserve">Sello v Minister of Police </w:t>
      </w:r>
      <w:r w:rsidR="003B40AB">
        <w:rPr>
          <w:rFonts w:ascii="Arial" w:hAnsi="Arial" w:cs="Arial"/>
          <w:b/>
          <w:bCs/>
          <w:i/>
          <w:iCs/>
          <w:sz w:val="24"/>
          <w:szCs w:val="24"/>
          <w:lang w:val="en-US"/>
        </w:rPr>
        <w:t xml:space="preserve">N.O </w:t>
      </w:r>
      <w:r w:rsidR="00861EC9">
        <w:rPr>
          <w:rFonts w:ascii="Arial" w:hAnsi="Arial" w:cs="Arial"/>
          <w:b/>
          <w:bCs/>
          <w:i/>
          <w:iCs/>
          <w:sz w:val="24"/>
          <w:szCs w:val="24"/>
          <w:lang w:val="en-US"/>
        </w:rPr>
        <w:t>&amp; Another</w:t>
      </w:r>
      <w:r w:rsidR="00AF76A2">
        <w:rPr>
          <w:rStyle w:val="FootnoteReference"/>
          <w:rFonts w:ascii="Arial" w:hAnsi="Arial" w:cs="Arial"/>
          <w:b/>
          <w:bCs/>
          <w:i/>
          <w:iCs/>
          <w:sz w:val="24"/>
          <w:szCs w:val="24"/>
          <w:lang w:val="en-US"/>
        </w:rPr>
        <w:footnoteReference w:id="5"/>
      </w:r>
      <w:r w:rsidR="00861EC9">
        <w:rPr>
          <w:rFonts w:ascii="Arial" w:hAnsi="Arial" w:cs="Arial"/>
          <w:b/>
          <w:bCs/>
          <w:i/>
          <w:iCs/>
          <w:sz w:val="24"/>
          <w:szCs w:val="24"/>
          <w:lang w:val="en-US"/>
        </w:rPr>
        <w:t xml:space="preserve"> </w:t>
      </w:r>
      <w:r w:rsidR="00376C66">
        <w:rPr>
          <w:rFonts w:ascii="Arial" w:hAnsi="Arial" w:cs="Arial"/>
          <w:sz w:val="24"/>
          <w:szCs w:val="24"/>
          <w:lang w:val="en-US"/>
        </w:rPr>
        <w:t xml:space="preserve"> </w:t>
      </w:r>
      <w:r w:rsidR="00A5293A">
        <w:rPr>
          <w:rFonts w:ascii="Arial" w:hAnsi="Arial" w:cs="Arial"/>
          <w:sz w:val="24"/>
          <w:szCs w:val="24"/>
          <w:lang w:val="en-US"/>
        </w:rPr>
        <w:t>the Court stated that</w:t>
      </w:r>
      <w:r w:rsidR="00FC0A88">
        <w:rPr>
          <w:rFonts w:ascii="Arial" w:hAnsi="Arial" w:cs="Arial"/>
          <w:sz w:val="24"/>
          <w:szCs w:val="24"/>
          <w:lang w:val="en-US"/>
        </w:rPr>
        <w:t>:</w:t>
      </w:r>
    </w:p>
    <w:p w14:paraId="1BD4E068" w14:textId="5964F2CF" w:rsidR="004D263A" w:rsidRDefault="00FC0A88" w:rsidP="00845AE5">
      <w:pPr>
        <w:spacing w:line="240" w:lineRule="auto"/>
        <w:ind w:left="1440"/>
        <w:jc w:val="both"/>
        <w:rPr>
          <w:rFonts w:ascii="Arial" w:hAnsi="Arial" w:cs="Arial"/>
          <w:i/>
          <w:iCs/>
          <w:color w:val="242121"/>
          <w:sz w:val="20"/>
          <w:szCs w:val="20"/>
          <w:shd w:val="clear" w:color="auto" w:fill="FFFFFF"/>
        </w:rPr>
      </w:pPr>
      <w:r w:rsidRPr="00845AE5">
        <w:rPr>
          <w:rFonts w:ascii="Arial" w:hAnsi="Arial" w:cs="Arial"/>
          <w:i/>
          <w:iCs/>
          <w:sz w:val="20"/>
          <w:szCs w:val="20"/>
          <w:lang w:val="en-US"/>
        </w:rPr>
        <w:t>“</w:t>
      </w:r>
      <w:r w:rsidRPr="00845AE5">
        <w:rPr>
          <w:rFonts w:ascii="Arial" w:hAnsi="Arial" w:cs="Arial"/>
          <w:i/>
          <w:iCs/>
          <w:color w:val="242121"/>
          <w:sz w:val="20"/>
          <w:szCs w:val="20"/>
          <w:shd w:val="clear" w:color="auto" w:fill="FFFFFF"/>
        </w:rPr>
        <w:t>[15]            In applying the principle held in </w:t>
      </w:r>
      <w:r w:rsidRPr="00845AE5">
        <w:rPr>
          <w:rFonts w:ascii="Arial" w:hAnsi="Arial" w:cs="Arial"/>
          <w:b/>
          <w:bCs/>
          <w:i/>
          <w:iCs/>
          <w:color w:val="242121"/>
          <w:sz w:val="20"/>
          <w:szCs w:val="20"/>
          <w:shd w:val="clear" w:color="auto" w:fill="FFFFFF"/>
        </w:rPr>
        <w:t>Miracle Mile </w:t>
      </w:r>
      <w:r w:rsidRPr="00845AE5">
        <w:rPr>
          <w:rFonts w:ascii="Arial" w:hAnsi="Arial" w:cs="Arial"/>
          <w:i/>
          <w:iCs/>
          <w:color w:val="242121"/>
          <w:sz w:val="20"/>
          <w:szCs w:val="20"/>
          <w:shd w:val="clear" w:color="auto" w:fill="FFFFFF"/>
        </w:rPr>
        <w:t>that a debt is due when it is immediately claimable by the creditor and immediately payable by the debtor, the debt became claimable by the plaintiff on the date of his release from incarceration on 15 October 2015. However, the complete cause of action was only established after consultation with his attorneys on 6 June 2017. This principle was also confirmed in </w:t>
      </w:r>
      <w:r w:rsidRPr="00845AE5">
        <w:rPr>
          <w:rFonts w:ascii="Arial" w:hAnsi="Arial" w:cs="Arial"/>
          <w:b/>
          <w:bCs/>
          <w:i/>
          <w:iCs/>
          <w:color w:val="242121"/>
          <w:sz w:val="20"/>
          <w:szCs w:val="20"/>
          <w:shd w:val="clear" w:color="auto" w:fill="FFFFFF"/>
        </w:rPr>
        <w:t>Truter</w:t>
      </w:r>
      <w:r w:rsidR="00DF3696" w:rsidRPr="00845AE5">
        <w:rPr>
          <w:rFonts w:ascii="Arial" w:hAnsi="Arial" w:cs="Arial"/>
          <w:i/>
          <w:iCs/>
          <w:color w:val="242121"/>
          <w:sz w:val="20"/>
          <w:szCs w:val="20"/>
          <w:shd w:val="clear" w:color="auto" w:fill="FFFFFF"/>
        </w:rPr>
        <w:t xml:space="preserve"> </w:t>
      </w:r>
      <w:r w:rsidR="00DF3696" w:rsidRPr="00A30F2A">
        <w:rPr>
          <w:rFonts w:ascii="Arial" w:hAnsi="Arial" w:cs="Arial"/>
          <w:b/>
          <w:bCs/>
          <w:i/>
          <w:iCs/>
          <w:color w:val="242121"/>
          <w:sz w:val="20"/>
          <w:szCs w:val="20"/>
          <w:shd w:val="clear" w:color="auto" w:fill="FFFFFF"/>
        </w:rPr>
        <w:t>v Deysel</w:t>
      </w:r>
      <w:r w:rsidR="00DF3696" w:rsidRPr="00845AE5">
        <w:rPr>
          <w:rStyle w:val="FootnoteReference"/>
          <w:rFonts w:ascii="Arial" w:hAnsi="Arial" w:cs="Arial"/>
          <w:i/>
          <w:iCs/>
          <w:color w:val="242121"/>
          <w:sz w:val="20"/>
          <w:szCs w:val="20"/>
          <w:shd w:val="clear" w:color="auto" w:fill="FFFFFF"/>
        </w:rPr>
        <w:footnoteReference w:id="6"/>
      </w:r>
      <w:r w:rsidRPr="00845AE5">
        <w:rPr>
          <w:rFonts w:ascii="Arial" w:hAnsi="Arial" w:cs="Arial"/>
          <w:i/>
          <w:iCs/>
          <w:color w:val="242121"/>
          <w:sz w:val="20"/>
          <w:szCs w:val="20"/>
          <w:shd w:val="clear" w:color="auto" w:fill="FFFFFF"/>
        </w:rPr>
        <w:t> where the SCA held that, for the purpose of prescription, a debt is due when the creditor acquires a complete cause of action to approach a court to recover the debt. Although the right to reclaim the amounts arose the day after his release from incarceration, in absence of any knowledge of the identity of the respondents, the applicant’s rights in law only became enforceable on 6 June 2017.</w:t>
      </w:r>
      <w:r w:rsidR="006A4F2A" w:rsidRPr="00845AE5">
        <w:rPr>
          <w:rFonts w:ascii="Arial" w:hAnsi="Arial" w:cs="Arial"/>
          <w:i/>
          <w:iCs/>
          <w:color w:val="242121"/>
          <w:sz w:val="20"/>
          <w:szCs w:val="20"/>
          <w:shd w:val="clear" w:color="auto" w:fill="FFFFFF"/>
        </w:rPr>
        <w:t>”</w:t>
      </w:r>
      <w:r w:rsidR="00A5293A" w:rsidRPr="00845AE5">
        <w:rPr>
          <w:rFonts w:ascii="Arial" w:hAnsi="Arial" w:cs="Arial"/>
          <w:i/>
          <w:iCs/>
          <w:sz w:val="20"/>
          <w:szCs w:val="20"/>
          <w:lang w:val="en-US"/>
        </w:rPr>
        <w:t xml:space="preserve"> </w:t>
      </w:r>
      <w:r w:rsidR="004D263A" w:rsidRPr="00845AE5">
        <w:rPr>
          <w:rFonts w:ascii="Arial" w:hAnsi="Arial" w:cs="Arial"/>
          <w:i/>
          <w:iCs/>
          <w:sz w:val="20"/>
          <w:szCs w:val="20"/>
          <w:lang w:val="en-US"/>
        </w:rPr>
        <w:t xml:space="preserve"> </w:t>
      </w:r>
    </w:p>
    <w:p w14:paraId="00F1D3CF" w14:textId="77777777" w:rsidR="00FB2964" w:rsidRDefault="00FB2964" w:rsidP="00FB2964">
      <w:pPr>
        <w:rPr>
          <w:rFonts w:ascii="Arial" w:hAnsi="Arial" w:cs="Arial"/>
          <w:i/>
          <w:iCs/>
          <w:color w:val="242121"/>
          <w:sz w:val="20"/>
          <w:szCs w:val="20"/>
          <w:shd w:val="clear" w:color="auto" w:fill="FFFFFF"/>
        </w:rPr>
      </w:pPr>
    </w:p>
    <w:p w14:paraId="7BCEBDFE" w14:textId="7786F44F" w:rsidR="00031AA8" w:rsidRDefault="00FB2964" w:rsidP="00457D65">
      <w:pPr>
        <w:spacing w:line="480" w:lineRule="auto"/>
        <w:ind w:left="720" w:hanging="720"/>
        <w:jc w:val="both"/>
        <w:rPr>
          <w:rFonts w:ascii="Arial" w:hAnsi="Arial" w:cs="Arial"/>
          <w:sz w:val="24"/>
          <w:szCs w:val="24"/>
        </w:rPr>
      </w:pPr>
      <w:r>
        <w:rPr>
          <w:rFonts w:ascii="Arial" w:hAnsi="Arial" w:cs="Arial"/>
          <w:sz w:val="24"/>
          <w:szCs w:val="24"/>
        </w:rPr>
        <w:t>[1</w:t>
      </w:r>
      <w:r w:rsidR="00DA3636">
        <w:rPr>
          <w:rFonts w:ascii="Arial" w:hAnsi="Arial" w:cs="Arial"/>
          <w:sz w:val="24"/>
          <w:szCs w:val="24"/>
        </w:rPr>
        <w:t>2</w:t>
      </w:r>
      <w:r>
        <w:rPr>
          <w:rFonts w:ascii="Arial" w:hAnsi="Arial" w:cs="Arial"/>
          <w:sz w:val="24"/>
          <w:szCs w:val="24"/>
        </w:rPr>
        <w:t>]</w:t>
      </w:r>
      <w:r>
        <w:rPr>
          <w:rFonts w:ascii="Arial" w:hAnsi="Arial" w:cs="Arial"/>
          <w:sz w:val="24"/>
          <w:szCs w:val="24"/>
        </w:rPr>
        <w:tab/>
        <w:t>She further submitted that</w:t>
      </w:r>
      <w:r w:rsidR="009A71D0">
        <w:rPr>
          <w:rFonts w:ascii="Arial" w:hAnsi="Arial" w:cs="Arial"/>
          <w:sz w:val="24"/>
          <w:szCs w:val="24"/>
        </w:rPr>
        <w:t xml:space="preserve"> strong merits may mitigate</w:t>
      </w:r>
      <w:r w:rsidR="00486D5A">
        <w:rPr>
          <w:rFonts w:ascii="Arial" w:hAnsi="Arial" w:cs="Arial"/>
          <w:sz w:val="24"/>
          <w:szCs w:val="24"/>
        </w:rPr>
        <w:t xml:space="preserve"> fault </w:t>
      </w:r>
      <w:r w:rsidR="002026A1">
        <w:rPr>
          <w:rFonts w:ascii="Arial" w:hAnsi="Arial" w:cs="Arial"/>
          <w:sz w:val="24"/>
          <w:szCs w:val="24"/>
        </w:rPr>
        <w:t>on the part of the applicant</w:t>
      </w:r>
      <w:r w:rsidR="00457D65">
        <w:rPr>
          <w:rFonts w:ascii="Arial" w:hAnsi="Arial" w:cs="Arial"/>
          <w:sz w:val="24"/>
          <w:szCs w:val="24"/>
        </w:rPr>
        <w:t xml:space="preserve"> in failing to serve the required notice</w:t>
      </w:r>
      <w:r w:rsidR="009827F4">
        <w:rPr>
          <w:rFonts w:ascii="Arial" w:hAnsi="Arial" w:cs="Arial"/>
          <w:sz w:val="24"/>
          <w:szCs w:val="24"/>
        </w:rPr>
        <w:t xml:space="preserve">. Relying on </w:t>
      </w:r>
      <w:r w:rsidR="009827F4">
        <w:rPr>
          <w:rFonts w:ascii="Arial" w:hAnsi="Arial" w:cs="Arial"/>
          <w:b/>
          <w:bCs/>
          <w:i/>
          <w:iCs/>
          <w:sz w:val="24"/>
          <w:szCs w:val="24"/>
        </w:rPr>
        <w:t xml:space="preserve">Madinda </w:t>
      </w:r>
      <w:r w:rsidR="00931CEE">
        <w:rPr>
          <w:rFonts w:ascii="Arial" w:hAnsi="Arial" w:cs="Arial"/>
          <w:b/>
          <w:bCs/>
          <w:i/>
          <w:iCs/>
          <w:sz w:val="24"/>
          <w:szCs w:val="24"/>
        </w:rPr>
        <w:t>v Minister of Safety &amp; Security, Republic of South Africa</w:t>
      </w:r>
      <w:r w:rsidR="00931CEE">
        <w:rPr>
          <w:rStyle w:val="FootnoteReference"/>
          <w:rFonts w:ascii="Arial" w:hAnsi="Arial" w:cs="Arial"/>
          <w:b/>
          <w:bCs/>
          <w:i/>
          <w:iCs/>
          <w:sz w:val="24"/>
          <w:szCs w:val="24"/>
        </w:rPr>
        <w:footnoteReference w:id="7"/>
      </w:r>
      <w:r w:rsidR="004F3068">
        <w:rPr>
          <w:rFonts w:ascii="Arial" w:hAnsi="Arial" w:cs="Arial"/>
          <w:sz w:val="24"/>
          <w:szCs w:val="24"/>
        </w:rPr>
        <w:t xml:space="preserve"> the </w:t>
      </w:r>
      <w:r w:rsidR="00E95D66">
        <w:rPr>
          <w:rFonts w:ascii="Arial" w:hAnsi="Arial" w:cs="Arial"/>
          <w:sz w:val="24"/>
          <w:szCs w:val="24"/>
        </w:rPr>
        <w:t>c</w:t>
      </w:r>
      <w:r w:rsidR="004F3068">
        <w:rPr>
          <w:rFonts w:ascii="Arial" w:hAnsi="Arial" w:cs="Arial"/>
          <w:sz w:val="24"/>
          <w:szCs w:val="24"/>
        </w:rPr>
        <w:t xml:space="preserve">ourt </w:t>
      </w:r>
      <w:r w:rsidR="00E95D66">
        <w:rPr>
          <w:rFonts w:ascii="Arial" w:hAnsi="Arial" w:cs="Arial"/>
          <w:sz w:val="24"/>
          <w:szCs w:val="24"/>
        </w:rPr>
        <w:t xml:space="preserve">dealt with </w:t>
      </w:r>
      <w:r w:rsidR="006E37DE">
        <w:rPr>
          <w:rFonts w:ascii="Arial" w:hAnsi="Arial" w:cs="Arial"/>
          <w:sz w:val="24"/>
          <w:szCs w:val="24"/>
        </w:rPr>
        <w:t>the provisions</w:t>
      </w:r>
      <w:r w:rsidR="00031AA8">
        <w:rPr>
          <w:rFonts w:ascii="Arial" w:hAnsi="Arial" w:cs="Arial"/>
          <w:sz w:val="24"/>
          <w:szCs w:val="24"/>
        </w:rPr>
        <w:t xml:space="preserve"> of section 4(b) as follows:</w:t>
      </w:r>
    </w:p>
    <w:p w14:paraId="08A5F28B" w14:textId="77777777" w:rsidR="006E56D8" w:rsidRDefault="00031AA8" w:rsidP="00236618">
      <w:pPr>
        <w:spacing w:line="240" w:lineRule="auto"/>
        <w:ind w:left="1440"/>
        <w:jc w:val="both"/>
        <w:rPr>
          <w:rFonts w:ascii="Arial" w:hAnsi="Arial" w:cs="Arial"/>
          <w:i/>
          <w:iCs/>
          <w:sz w:val="20"/>
          <w:szCs w:val="20"/>
        </w:rPr>
      </w:pPr>
      <w:r w:rsidRPr="00236618">
        <w:rPr>
          <w:rFonts w:ascii="Arial" w:hAnsi="Arial" w:cs="Arial"/>
          <w:i/>
          <w:iCs/>
          <w:sz w:val="20"/>
          <w:szCs w:val="20"/>
        </w:rPr>
        <w:t>“</w:t>
      </w:r>
      <w:r w:rsidR="000B20D6" w:rsidRPr="00236618">
        <w:rPr>
          <w:rFonts w:ascii="Arial" w:hAnsi="Arial" w:cs="Arial"/>
          <w:i/>
          <w:iCs/>
          <w:sz w:val="20"/>
          <w:szCs w:val="20"/>
        </w:rPr>
        <w:t>[12]</w:t>
      </w:r>
      <w:r w:rsidR="000B20D6" w:rsidRPr="00236618">
        <w:rPr>
          <w:rFonts w:ascii="Arial" w:hAnsi="Arial" w:cs="Arial"/>
          <w:i/>
          <w:iCs/>
          <w:sz w:val="20"/>
          <w:szCs w:val="20"/>
        </w:rPr>
        <w:tab/>
        <w:t xml:space="preserve">. . . . . . </w:t>
      </w:r>
      <w:r w:rsidR="00236618" w:rsidRPr="00236618">
        <w:rPr>
          <w:rFonts w:ascii="Arial" w:hAnsi="Arial" w:cs="Arial"/>
          <w:i/>
          <w:iCs/>
          <w:sz w:val="20"/>
          <w:szCs w:val="20"/>
        </w:rPr>
        <w:t>There are two main elements at play in s 4(b), viz the subject’s right to have the merits of his case tried by a court of law and the right of an organ of state not to be unduly prejudiced by delay beyond the statutorily prescribed limit for the giving of notice. Subparagraph (iii) calls for the court to be satisfied as to the latter. Logically, subparagraph (ii) is directed, at least in part, to whether the subject should be denied a trial on the merits. If it were not so, consideration of prospects of success could be entirely excluded from the equation on the ground that failure to satisfy the court of the existence of good cause precluded the court from exercising its discretion to condone. That would require an unbalanced approach to the two elements and could hardly favour the interests of justice. Moreover, what can be achieved by putting the court to the task of exercising a discretion to condone if there is no prospect of success? In addition, that the merits are shown to be strong or weak may colour an applicant’s explanation for conduct which bears on the delay: an applicant with an overwhelming case is hardly likely to be careless in pursuing his or her interest, while one with little hope of success can easily be understood to drag his or her heels. As I interpret the requirement of good cause for the delay, the prospects of success are a relevant consideration. The learned judge a quo misdirected himself in ignoring them.”</w:t>
      </w:r>
    </w:p>
    <w:p w14:paraId="26C9ACBA" w14:textId="77777777" w:rsidR="000A623C" w:rsidRDefault="000A623C" w:rsidP="00236618">
      <w:pPr>
        <w:spacing w:line="240" w:lineRule="auto"/>
        <w:ind w:left="1440"/>
        <w:jc w:val="both"/>
        <w:rPr>
          <w:rFonts w:ascii="Arial" w:hAnsi="Arial" w:cs="Arial"/>
          <w:i/>
          <w:iCs/>
          <w:sz w:val="20"/>
          <w:szCs w:val="20"/>
        </w:rPr>
      </w:pPr>
    </w:p>
    <w:p w14:paraId="2D17C957" w14:textId="20D5142E" w:rsidR="00FB2964" w:rsidRDefault="00DC36BE" w:rsidP="00E8733D">
      <w:pPr>
        <w:spacing w:line="480" w:lineRule="auto"/>
        <w:ind w:left="720" w:hanging="720"/>
        <w:jc w:val="both"/>
        <w:rPr>
          <w:rFonts w:ascii="Arial" w:hAnsi="Arial" w:cs="Arial"/>
          <w:sz w:val="24"/>
          <w:szCs w:val="24"/>
        </w:rPr>
      </w:pPr>
      <w:r w:rsidRPr="00DC36BE">
        <w:rPr>
          <w:rFonts w:ascii="Arial" w:hAnsi="Arial" w:cs="Arial"/>
          <w:sz w:val="24"/>
          <w:szCs w:val="24"/>
        </w:rPr>
        <w:lastRenderedPageBreak/>
        <w:t>[1</w:t>
      </w:r>
      <w:r w:rsidR="00DA3636">
        <w:rPr>
          <w:rFonts w:ascii="Arial" w:hAnsi="Arial" w:cs="Arial"/>
          <w:sz w:val="24"/>
          <w:szCs w:val="24"/>
        </w:rPr>
        <w:t>3</w:t>
      </w:r>
      <w:r w:rsidRPr="00DC36BE">
        <w:rPr>
          <w:rFonts w:ascii="Arial" w:hAnsi="Arial" w:cs="Arial"/>
          <w:sz w:val="24"/>
          <w:szCs w:val="24"/>
        </w:rPr>
        <w:t>]</w:t>
      </w:r>
      <w:r>
        <w:rPr>
          <w:rFonts w:ascii="Arial" w:hAnsi="Arial" w:cs="Arial"/>
          <w:sz w:val="24"/>
          <w:szCs w:val="24"/>
        </w:rPr>
        <w:tab/>
      </w:r>
      <w:r w:rsidR="008B34D7">
        <w:rPr>
          <w:rFonts w:ascii="Arial" w:hAnsi="Arial" w:cs="Arial"/>
          <w:sz w:val="24"/>
          <w:szCs w:val="24"/>
        </w:rPr>
        <w:t>Ms Magadlela submitted that it is in the interest</w:t>
      </w:r>
      <w:r w:rsidR="00780E85">
        <w:rPr>
          <w:rFonts w:ascii="Arial" w:hAnsi="Arial" w:cs="Arial"/>
          <w:sz w:val="24"/>
          <w:szCs w:val="24"/>
        </w:rPr>
        <w:t>s</w:t>
      </w:r>
      <w:r w:rsidR="008B34D7">
        <w:rPr>
          <w:rFonts w:ascii="Arial" w:hAnsi="Arial" w:cs="Arial"/>
          <w:sz w:val="24"/>
          <w:szCs w:val="24"/>
        </w:rPr>
        <w:t xml:space="preserve"> of</w:t>
      </w:r>
      <w:r w:rsidR="00E8733D">
        <w:rPr>
          <w:rFonts w:ascii="Arial" w:hAnsi="Arial" w:cs="Arial"/>
          <w:sz w:val="24"/>
          <w:szCs w:val="24"/>
        </w:rPr>
        <w:t xml:space="preserve"> justice that the non-compliance with the provisions of the Institution Act </w:t>
      </w:r>
      <w:r w:rsidR="00334B01">
        <w:rPr>
          <w:rFonts w:ascii="Arial" w:hAnsi="Arial" w:cs="Arial"/>
          <w:sz w:val="24"/>
          <w:szCs w:val="24"/>
        </w:rPr>
        <w:t xml:space="preserve">be condoned as there are good prospects of success </w:t>
      </w:r>
      <w:r w:rsidR="00780E85">
        <w:rPr>
          <w:rFonts w:ascii="Arial" w:hAnsi="Arial" w:cs="Arial"/>
          <w:sz w:val="24"/>
          <w:szCs w:val="24"/>
        </w:rPr>
        <w:t>in the claim</w:t>
      </w:r>
      <w:r w:rsidR="007A52C8">
        <w:rPr>
          <w:rFonts w:ascii="Arial" w:hAnsi="Arial" w:cs="Arial"/>
          <w:sz w:val="24"/>
          <w:szCs w:val="24"/>
        </w:rPr>
        <w:t>.</w:t>
      </w:r>
      <w:r w:rsidR="00693B80">
        <w:rPr>
          <w:rFonts w:ascii="Arial" w:hAnsi="Arial" w:cs="Arial"/>
          <w:sz w:val="24"/>
          <w:szCs w:val="24"/>
        </w:rPr>
        <w:t xml:space="preserve"> She further submitted that the respondents </w:t>
      </w:r>
      <w:r w:rsidR="001A6EAC">
        <w:rPr>
          <w:rFonts w:ascii="Arial" w:hAnsi="Arial" w:cs="Arial"/>
          <w:sz w:val="24"/>
          <w:szCs w:val="24"/>
        </w:rPr>
        <w:t xml:space="preserve">stand to suffer no prejudice </w:t>
      </w:r>
      <w:r w:rsidR="00B06761">
        <w:rPr>
          <w:rFonts w:ascii="Arial" w:hAnsi="Arial" w:cs="Arial"/>
          <w:sz w:val="24"/>
          <w:szCs w:val="24"/>
        </w:rPr>
        <w:t xml:space="preserve">if the relief sought is granted. On the other </w:t>
      </w:r>
      <w:r w:rsidR="006E37DE">
        <w:rPr>
          <w:rFonts w:ascii="Arial" w:hAnsi="Arial" w:cs="Arial"/>
          <w:sz w:val="24"/>
          <w:szCs w:val="24"/>
        </w:rPr>
        <w:t>hand, it</w:t>
      </w:r>
      <w:r w:rsidR="00B06761">
        <w:rPr>
          <w:rFonts w:ascii="Arial" w:hAnsi="Arial" w:cs="Arial"/>
          <w:sz w:val="24"/>
          <w:szCs w:val="24"/>
        </w:rPr>
        <w:t xml:space="preserve"> is </w:t>
      </w:r>
      <w:r w:rsidR="003C6BF3">
        <w:rPr>
          <w:rFonts w:ascii="Arial" w:hAnsi="Arial" w:cs="Arial"/>
          <w:sz w:val="24"/>
          <w:szCs w:val="24"/>
        </w:rPr>
        <w:t>the applicant who will suffer great prejudice</w:t>
      </w:r>
      <w:r w:rsidR="00724F18">
        <w:rPr>
          <w:rFonts w:ascii="Arial" w:hAnsi="Arial" w:cs="Arial"/>
          <w:sz w:val="24"/>
          <w:szCs w:val="24"/>
        </w:rPr>
        <w:t xml:space="preserve">, </w:t>
      </w:r>
      <w:r w:rsidR="002A0ECD">
        <w:rPr>
          <w:rFonts w:ascii="Arial" w:hAnsi="Arial" w:cs="Arial"/>
          <w:sz w:val="24"/>
          <w:szCs w:val="24"/>
        </w:rPr>
        <w:t>should</w:t>
      </w:r>
      <w:r w:rsidR="00724F18">
        <w:rPr>
          <w:rFonts w:ascii="Arial" w:hAnsi="Arial" w:cs="Arial"/>
          <w:sz w:val="24"/>
          <w:szCs w:val="24"/>
        </w:rPr>
        <w:t xml:space="preserve"> condonation be refused because her</w:t>
      </w:r>
      <w:r w:rsidR="002A0ECD">
        <w:rPr>
          <w:rFonts w:ascii="Arial" w:hAnsi="Arial" w:cs="Arial"/>
          <w:sz w:val="24"/>
          <w:szCs w:val="24"/>
        </w:rPr>
        <w:t xml:space="preserve"> claim has not yet prescribed</w:t>
      </w:r>
      <w:r w:rsidR="00724F18">
        <w:rPr>
          <w:rFonts w:ascii="Arial" w:hAnsi="Arial" w:cs="Arial"/>
          <w:sz w:val="24"/>
          <w:szCs w:val="24"/>
        </w:rPr>
        <w:t xml:space="preserve">. She submitted that a dismissal of this application would amount to refusal of </w:t>
      </w:r>
      <w:r w:rsidR="00E12E01">
        <w:rPr>
          <w:rFonts w:ascii="Arial" w:hAnsi="Arial" w:cs="Arial"/>
          <w:sz w:val="24"/>
          <w:szCs w:val="24"/>
        </w:rPr>
        <w:t>an opportunity to</w:t>
      </w:r>
      <w:r w:rsidR="00B41951">
        <w:rPr>
          <w:rFonts w:ascii="Arial" w:hAnsi="Arial" w:cs="Arial"/>
          <w:sz w:val="24"/>
          <w:szCs w:val="24"/>
        </w:rPr>
        <w:t xml:space="preserve"> ventilate </w:t>
      </w:r>
      <w:r w:rsidR="00D336D5">
        <w:rPr>
          <w:rFonts w:ascii="Arial" w:hAnsi="Arial" w:cs="Arial"/>
          <w:sz w:val="24"/>
          <w:szCs w:val="24"/>
        </w:rPr>
        <w:t xml:space="preserve">all the issues before </w:t>
      </w:r>
      <w:r w:rsidR="00780E85">
        <w:rPr>
          <w:rFonts w:ascii="Arial" w:hAnsi="Arial" w:cs="Arial"/>
          <w:sz w:val="24"/>
          <w:szCs w:val="24"/>
        </w:rPr>
        <w:t>c</w:t>
      </w:r>
      <w:r w:rsidR="00D336D5">
        <w:rPr>
          <w:rFonts w:ascii="Arial" w:hAnsi="Arial" w:cs="Arial"/>
          <w:sz w:val="24"/>
          <w:szCs w:val="24"/>
        </w:rPr>
        <w:t>ourt</w:t>
      </w:r>
      <w:r w:rsidR="00F132FD">
        <w:rPr>
          <w:rFonts w:ascii="Arial" w:hAnsi="Arial" w:cs="Arial"/>
          <w:sz w:val="24"/>
          <w:szCs w:val="24"/>
        </w:rPr>
        <w:t>.</w:t>
      </w:r>
      <w:r w:rsidR="00823D08">
        <w:rPr>
          <w:rFonts w:ascii="Arial" w:hAnsi="Arial" w:cs="Arial"/>
          <w:sz w:val="24"/>
          <w:szCs w:val="24"/>
        </w:rPr>
        <w:t xml:space="preserve"> She further submitted that the</w:t>
      </w:r>
      <w:r w:rsidR="001B7086">
        <w:rPr>
          <w:rFonts w:ascii="Arial" w:hAnsi="Arial" w:cs="Arial"/>
          <w:sz w:val="24"/>
          <w:szCs w:val="24"/>
        </w:rPr>
        <w:t>re is no prejudice to</w:t>
      </w:r>
      <w:r w:rsidR="001A6B87">
        <w:rPr>
          <w:rFonts w:ascii="Arial" w:hAnsi="Arial" w:cs="Arial"/>
          <w:sz w:val="24"/>
          <w:szCs w:val="24"/>
        </w:rPr>
        <w:t xml:space="preserve"> be suffered by the respondents because they are the custodians </w:t>
      </w:r>
      <w:r w:rsidR="001D37C5">
        <w:rPr>
          <w:rFonts w:ascii="Arial" w:hAnsi="Arial" w:cs="Arial"/>
          <w:sz w:val="24"/>
          <w:szCs w:val="24"/>
        </w:rPr>
        <w:t>of the case docket</w:t>
      </w:r>
      <w:r w:rsidR="003B26A0">
        <w:rPr>
          <w:rFonts w:ascii="Arial" w:hAnsi="Arial" w:cs="Arial"/>
          <w:sz w:val="24"/>
          <w:szCs w:val="24"/>
        </w:rPr>
        <w:t>, relevant register</w:t>
      </w:r>
      <w:r w:rsidR="00780E85">
        <w:rPr>
          <w:rFonts w:ascii="Arial" w:hAnsi="Arial" w:cs="Arial"/>
          <w:sz w:val="24"/>
          <w:szCs w:val="24"/>
        </w:rPr>
        <w:t>s</w:t>
      </w:r>
      <w:r w:rsidR="009D1071">
        <w:rPr>
          <w:rFonts w:ascii="Arial" w:hAnsi="Arial" w:cs="Arial"/>
          <w:sz w:val="24"/>
          <w:szCs w:val="24"/>
        </w:rPr>
        <w:t>, files and statements relating to the applicant</w:t>
      </w:r>
      <w:r w:rsidR="00235A10">
        <w:rPr>
          <w:rFonts w:ascii="Arial" w:hAnsi="Arial" w:cs="Arial"/>
          <w:sz w:val="24"/>
          <w:szCs w:val="24"/>
        </w:rPr>
        <w:t xml:space="preserve">’s arrest, detention, assault and </w:t>
      </w:r>
      <w:r w:rsidR="00034523">
        <w:rPr>
          <w:rFonts w:ascii="Arial" w:hAnsi="Arial" w:cs="Arial"/>
          <w:sz w:val="24"/>
          <w:szCs w:val="24"/>
        </w:rPr>
        <w:t xml:space="preserve">prosecution and that would enable them </w:t>
      </w:r>
      <w:r w:rsidR="00361AF6">
        <w:rPr>
          <w:rFonts w:ascii="Arial" w:hAnsi="Arial" w:cs="Arial"/>
          <w:sz w:val="24"/>
          <w:szCs w:val="24"/>
        </w:rPr>
        <w:t>to d</w:t>
      </w:r>
      <w:r w:rsidR="00724F18">
        <w:rPr>
          <w:rFonts w:ascii="Arial" w:hAnsi="Arial" w:cs="Arial"/>
          <w:sz w:val="24"/>
          <w:szCs w:val="24"/>
        </w:rPr>
        <w:t>efend</w:t>
      </w:r>
      <w:r w:rsidR="00361AF6">
        <w:rPr>
          <w:rFonts w:ascii="Arial" w:hAnsi="Arial" w:cs="Arial"/>
          <w:sz w:val="24"/>
          <w:szCs w:val="24"/>
        </w:rPr>
        <w:t xml:space="preserve"> the claim against them</w:t>
      </w:r>
      <w:r w:rsidR="0018568E">
        <w:rPr>
          <w:rFonts w:ascii="Arial" w:hAnsi="Arial" w:cs="Arial"/>
          <w:sz w:val="24"/>
          <w:szCs w:val="24"/>
        </w:rPr>
        <w:t>.</w:t>
      </w:r>
    </w:p>
    <w:p w14:paraId="0C87BB46" w14:textId="7DCCEBAB" w:rsidR="00A811C1" w:rsidRDefault="00E04503" w:rsidP="005B189D">
      <w:pPr>
        <w:spacing w:line="480" w:lineRule="auto"/>
        <w:ind w:left="720" w:hanging="720"/>
        <w:jc w:val="both"/>
        <w:rPr>
          <w:rFonts w:ascii="Arial" w:hAnsi="Arial" w:cs="Arial"/>
          <w:sz w:val="24"/>
          <w:szCs w:val="24"/>
        </w:rPr>
      </w:pPr>
      <w:r>
        <w:rPr>
          <w:rFonts w:ascii="Arial" w:hAnsi="Arial" w:cs="Arial"/>
          <w:sz w:val="24"/>
          <w:szCs w:val="24"/>
        </w:rPr>
        <w:t>[1</w:t>
      </w:r>
      <w:r w:rsidR="00DA3636">
        <w:rPr>
          <w:rFonts w:ascii="Arial" w:hAnsi="Arial" w:cs="Arial"/>
          <w:sz w:val="24"/>
          <w:szCs w:val="24"/>
        </w:rPr>
        <w:t>4</w:t>
      </w:r>
      <w:r>
        <w:rPr>
          <w:rFonts w:ascii="Arial" w:hAnsi="Arial" w:cs="Arial"/>
          <w:sz w:val="24"/>
          <w:szCs w:val="24"/>
        </w:rPr>
        <w:t>]</w:t>
      </w:r>
      <w:r>
        <w:rPr>
          <w:rFonts w:ascii="Arial" w:hAnsi="Arial" w:cs="Arial"/>
          <w:sz w:val="24"/>
          <w:szCs w:val="24"/>
        </w:rPr>
        <w:tab/>
        <w:t xml:space="preserve">She submitted that the explanation tendered </w:t>
      </w:r>
      <w:r w:rsidR="0075253B">
        <w:rPr>
          <w:rFonts w:ascii="Arial" w:hAnsi="Arial" w:cs="Arial"/>
          <w:sz w:val="24"/>
          <w:szCs w:val="24"/>
        </w:rPr>
        <w:t>for the delay</w:t>
      </w:r>
      <w:r w:rsidR="00937E32">
        <w:rPr>
          <w:rFonts w:ascii="Arial" w:hAnsi="Arial" w:cs="Arial"/>
          <w:sz w:val="24"/>
          <w:szCs w:val="24"/>
        </w:rPr>
        <w:t xml:space="preserve"> in filing the statutory notice </w:t>
      </w:r>
      <w:r w:rsidR="001B7311">
        <w:rPr>
          <w:rFonts w:ascii="Arial" w:hAnsi="Arial" w:cs="Arial"/>
          <w:sz w:val="24"/>
          <w:szCs w:val="24"/>
        </w:rPr>
        <w:t>has been explained sufficiently</w:t>
      </w:r>
      <w:r w:rsidR="00F66EB1">
        <w:rPr>
          <w:rFonts w:ascii="Arial" w:hAnsi="Arial" w:cs="Arial"/>
          <w:sz w:val="24"/>
          <w:szCs w:val="24"/>
        </w:rPr>
        <w:t>.</w:t>
      </w:r>
      <w:r w:rsidR="008D6BB4">
        <w:rPr>
          <w:rFonts w:ascii="Arial" w:hAnsi="Arial" w:cs="Arial"/>
          <w:sz w:val="24"/>
          <w:szCs w:val="24"/>
        </w:rPr>
        <w:t xml:space="preserve"> She further relied on the provisions of section </w:t>
      </w:r>
      <w:r w:rsidR="00E06960">
        <w:rPr>
          <w:rFonts w:ascii="Arial" w:hAnsi="Arial" w:cs="Arial"/>
          <w:sz w:val="24"/>
          <w:szCs w:val="24"/>
        </w:rPr>
        <w:t xml:space="preserve">34 of the </w:t>
      </w:r>
      <w:r w:rsidR="006E37DE">
        <w:rPr>
          <w:rFonts w:ascii="Arial" w:hAnsi="Arial" w:cs="Arial"/>
          <w:sz w:val="24"/>
          <w:szCs w:val="24"/>
        </w:rPr>
        <w:t>Constitution for</w:t>
      </w:r>
      <w:r w:rsidR="00724F18">
        <w:rPr>
          <w:rFonts w:ascii="Arial" w:hAnsi="Arial" w:cs="Arial"/>
          <w:sz w:val="24"/>
          <w:szCs w:val="24"/>
        </w:rPr>
        <w:t xml:space="preserve"> the contention </w:t>
      </w:r>
      <w:r w:rsidR="00EC5061">
        <w:rPr>
          <w:rFonts w:ascii="Arial" w:hAnsi="Arial" w:cs="Arial"/>
          <w:sz w:val="24"/>
          <w:szCs w:val="24"/>
        </w:rPr>
        <w:t xml:space="preserve">that everyone has a right to </w:t>
      </w:r>
      <w:r w:rsidR="00845123">
        <w:rPr>
          <w:rFonts w:ascii="Arial" w:hAnsi="Arial" w:cs="Arial"/>
          <w:sz w:val="24"/>
          <w:szCs w:val="24"/>
        </w:rPr>
        <w:t xml:space="preserve">have any dispute that can be resolved </w:t>
      </w:r>
      <w:r w:rsidR="00F00CA3">
        <w:rPr>
          <w:rFonts w:ascii="Arial" w:hAnsi="Arial" w:cs="Arial"/>
          <w:sz w:val="24"/>
          <w:szCs w:val="24"/>
        </w:rPr>
        <w:t>by the application of law decided</w:t>
      </w:r>
      <w:r w:rsidR="009C3E42">
        <w:rPr>
          <w:rFonts w:ascii="Arial" w:hAnsi="Arial" w:cs="Arial"/>
          <w:sz w:val="24"/>
          <w:szCs w:val="24"/>
        </w:rPr>
        <w:t xml:space="preserve"> in a fair public hearing </w:t>
      </w:r>
      <w:r w:rsidR="004C48A7">
        <w:rPr>
          <w:rFonts w:ascii="Arial" w:hAnsi="Arial" w:cs="Arial"/>
          <w:sz w:val="24"/>
          <w:szCs w:val="24"/>
        </w:rPr>
        <w:t xml:space="preserve">before a </w:t>
      </w:r>
      <w:r w:rsidR="006E37DE">
        <w:rPr>
          <w:rFonts w:ascii="Arial" w:hAnsi="Arial" w:cs="Arial"/>
          <w:sz w:val="24"/>
          <w:szCs w:val="24"/>
        </w:rPr>
        <w:t>court, where</w:t>
      </w:r>
      <w:r w:rsidR="004C48A7">
        <w:rPr>
          <w:rFonts w:ascii="Arial" w:hAnsi="Arial" w:cs="Arial"/>
          <w:sz w:val="24"/>
          <w:szCs w:val="24"/>
        </w:rPr>
        <w:t xml:space="preserve"> appropriate</w:t>
      </w:r>
      <w:r w:rsidR="00541ED4">
        <w:rPr>
          <w:rFonts w:ascii="Arial" w:hAnsi="Arial" w:cs="Arial"/>
          <w:sz w:val="24"/>
          <w:szCs w:val="24"/>
        </w:rPr>
        <w:t xml:space="preserve"> another </w:t>
      </w:r>
      <w:r w:rsidR="003B2AED">
        <w:rPr>
          <w:rFonts w:ascii="Arial" w:hAnsi="Arial" w:cs="Arial"/>
          <w:sz w:val="24"/>
          <w:szCs w:val="24"/>
        </w:rPr>
        <w:t xml:space="preserve">independent </w:t>
      </w:r>
      <w:r w:rsidR="0036075E">
        <w:rPr>
          <w:rFonts w:ascii="Arial" w:hAnsi="Arial" w:cs="Arial"/>
          <w:sz w:val="24"/>
          <w:szCs w:val="24"/>
        </w:rPr>
        <w:t>and/</w:t>
      </w:r>
      <w:r w:rsidR="003B2AED">
        <w:rPr>
          <w:rFonts w:ascii="Arial" w:hAnsi="Arial" w:cs="Arial"/>
          <w:sz w:val="24"/>
          <w:szCs w:val="24"/>
        </w:rPr>
        <w:t>or impartial</w:t>
      </w:r>
      <w:r w:rsidR="0036075E">
        <w:rPr>
          <w:rFonts w:ascii="Arial" w:hAnsi="Arial" w:cs="Arial"/>
          <w:sz w:val="24"/>
          <w:szCs w:val="24"/>
        </w:rPr>
        <w:t xml:space="preserve"> tribuna</w:t>
      </w:r>
      <w:r w:rsidR="00BC4C2D">
        <w:rPr>
          <w:rFonts w:ascii="Arial" w:hAnsi="Arial" w:cs="Arial"/>
          <w:sz w:val="24"/>
          <w:szCs w:val="24"/>
        </w:rPr>
        <w:t>l</w:t>
      </w:r>
      <w:r w:rsidR="008979E6">
        <w:rPr>
          <w:rFonts w:ascii="Arial" w:hAnsi="Arial" w:cs="Arial"/>
          <w:sz w:val="24"/>
          <w:szCs w:val="24"/>
        </w:rPr>
        <w:t xml:space="preserve"> or forum</w:t>
      </w:r>
      <w:r w:rsidR="00097765">
        <w:rPr>
          <w:rFonts w:ascii="Arial" w:hAnsi="Arial" w:cs="Arial"/>
          <w:sz w:val="24"/>
          <w:szCs w:val="24"/>
        </w:rPr>
        <w:t>. She submitted that the opposition</w:t>
      </w:r>
      <w:r w:rsidR="00724F18">
        <w:rPr>
          <w:rFonts w:ascii="Arial" w:hAnsi="Arial" w:cs="Arial"/>
          <w:sz w:val="24"/>
          <w:szCs w:val="24"/>
        </w:rPr>
        <w:t xml:space="preserve"> advanced</w:t>
      </w:r>
      <w:r w:rsidR="001265E7">
        <w:rPr>
          <w:rFonts w:ascii="Arial" w:hAnsi="Arial" w:cs="Arial"/>
          <w:sz w:val="24"/>
          <w:szCs w:val="24"/>
        </w:rPr>
        <w:t xml:space="preserve"> by the </w:t>
      </w:r>
      <w:r w:rsidR="00780E85">
        <w:rPr>
          <w:rFonts w:ascii="Arial" w:hAnsi="Arial" w:cs="Arial"/>
          <w:sz w:val="24"/>
          <w:szCs w:val="24"/>
        </w:rPr>
        <w:t xml:space="preserve">first </w:t>
      </w:r>
      <w:r w:rsidR="001265E7">
        <w:rPr>
          <w:rFonts w:ascii="Arial" w:hAnsi="Arial" w:cs="Arial"/>
          <w:sz w:val="24"/>
          <w:szCs w:val="24"/>
        </w:rPr>
        <w:t xml:space="preserve">respondent lacks </w:t>
      </w:r>
      <w:r w:rsidR="003F0D6A">
        <w:rPr>
          <w:rFonts w:ascii="Arial" w:hAnsi="Arial" w:cs="Arial"/>
          <w:sz w:val="24"/>
          <w:szCs w:val="24"/>
        </w:rPr>
        <w:t xml:space="preserve">details in that </w:t>
      </w:r>
      <w:r w:rsidR="00780E85">
        <w:rPr>
          <w:rFonts w:ascii="Arial" w:hAnsi="Arial" w:cs="Arial"/>
          <w:sz w:val="24"/>
          <w:szCs w:val="24"/>
        </w:rPr>
        <w:t>he</w:t>
      </w:r>
      <w:r w:rsidR="003F0D6A">
        <w:rPr>
          <w:rFonts w:ascii="Arial" w:hAnsi="Arial" w:cs="Arial"/>
          <w:sz w:val="24"/>
          <w:szCs w:val="24"/>
        </w:rPr>
        <w:t xml:space="preserve"> simply raised an issue </w:t>
      </w:r>
      <w:r w:rsidR="002D0F9C">
        <w:rPr>
          <w:rFonts w:ascii="Arial" w:hAnsi="Arial" w:cs="Arial"/>
          <w:sz w:val="24"/>
          <w:szCs w:val="24"/>
        </w:rPr>
        <w:t xml:space="preserve">of prescription </w:t>
      </w:r>
      <w:r w:rsidR="00BB5B1D">
        <w:rPr>
          <w:rFonts w:ascii="Arial" w:hAnsi="Arial" w:cs="Arial"/>
          <w:sz w:val="24"/>
          <w:szCs w:val="24"/>
        </w:rPr>
        <w:t>but fail</w:t>
      </w:r>
      <w:r w:rsidR="00780E85">
        <w:rPr>
          <w:rFonts w:ascii="Arial" w:hAnsi="Arial" w:cs="Arial"/>
          <w:sz w:val="24"/>
          <w:szCs w:val="24"/>
        </w:rPr>
        <w:t xml:space="preserve">ed </w:t>
      </w:r>
      <w:r w:rsidR="00BB5B1D">
        <w:rPr>
          <w:rFonts w:ascii="Arial" w:hAnsi="Arial" w:cs="Arial"/>
          <w:sz w:val="24"/>
          <w:szCs w:val="24"/>
        </w:rPr>
        <w:t xml:space="preserve">to provide </w:t>
      </w:r>
      <w:r w:rsidR="00763FE9">
        <w:rPr>
          <w:rFonts w:ascii="Arial" w:hAnsi="Arial" w:cs="Arial"/>
          <w:sz w:val="24"/>
          <w:szCs w:val="24"/>
        </w:rPr>
        <w:t>any evidence that supports the prescription claim</w:t>
      </w:r>
      <w:r w:rsidR="007D7CCF">
        <w:rPr>
          <w:rFonts w:ascii="Arial" w:hAnsi="Arial" w:cs="Arial"/>
          <w:sz w:val="24"/>
          <w:szCs w:val="24"/>
        </w:rPr>
        <w:t>.</w:t>
      </w:r>
      <w:r w:rsidR="005B189D">
        <w:rPr>
          <w:rFonts w:ascii="Arial" w:hAnsi="Arial" w:cs="Arial"/>
          <w:sz w:val="24"/>
          <w:szCs w:val="24"/>
        </w:rPr>
        <w:t xml:space="preserve"> She submitted that the respondents’ opposition should be </w:t>
      </w:r>
      <w:r w:rsidR="00724F18">
        <w:rPr>
          <w:rFonts w:ascii="Arial" w:hAnsi="Arial" w:cs="Arial"/>
          <w:sz w:val="24"/>
          <w:szCs w:val="24"/>
        </w:rPr>
        <w:t>rejected. She prayed</w:t>
      </w:r>
      <w:r w:rsidR="00001322">
        <w:rPr>
          <w:rFonts w:ascii="Arial" w:hAnsi="Arial" w:cs="Arial"/>
          <w:sz w:val="24"/>
          <w:szCs w:val="24"/>
        </w:rPr>
        <w:t xml:space="preserve"> that the applicant should succeed with costs.</w:t>
      </w:r>
    </w:p>
    <w:p w14:paraId="0A809E59" w14:textId="77777777" w:rsidR="006E37DE" w:rsidRDefault="006E37DE" w:rsidP="005B189D">
      <w:pPr>
        <w:spacing w:line="480" w:lineRule="auto"/>
        <w:ind w:left="720" w:hanging="720"/>
        <w:jc w:val="both"/>
        <w:rPr>
          <w:rFonts w:ascii="Arial" w:hAnsi="Arial" w:cs="Arial"/>
          <w:sz w:val="24"/>
          <w:szCs w:val="24"/>
        </w:rPr>
      </w:pPr>
    </w:p>
    <w:p w14:paraId="672043CA" w14:textId="77777777" w:rsidR="006E37DE" w:rsidRDefault="006E37DE" w:rsidP="005B189D">
      <w:pPr>
        <w:spacing w:line="480" w:lineRule="auto"/>
        <w:ind w:left="720" w:hanging="720"/>
        <w:jc w:val="both"/>
        <w:rPr>
          <w:rFonts w:ascii="Arial" w:hAnsi="Arial" w:cs="Arial"/>
          <w:sz w:val="24"/>
          <w:szCs w:val="24"/>
        </w:rPr>
      </w:pPr>
    </w:p>
    <w:p w14:paraId="5638F00D" w14:textId="3D4217C5" w:rsidR="00780E85" w:rsidRPr="00780E85" w:rsidRDefault="00780E85" w:rsidP="005B189D">
      <w:pPr>
        <w:spacing w:line="480" w:lineRule="auto"/>
        <w:ind w:left="720" w:hanging="720"/>
        <w:jc w:val="both"/>
        <w:rPr>
          <w:rFonts w:ascii="Arial" w:hAnsi="Arial" w:cs="Arial"/>
          <w:i/>
          <w:iCs/>
          <w:sz w:val="24"/>
          <w:szCs w:val="24"/>
        </w:rPr>
      </w:pPr>
      <w:r w:rsidRPr="00780E85">
        <w:rPr>
          <w:rFonts w:ascii="Arial" w:hAnsi="Arial" w:cs="Arial"/>
          <w:i/>
          <w:iCs/>
          <w:sz w:val="24"/>
          <w:szCs w:val="24"/>
        </w:rPr>
        <w:lastRenderedPageBreak/>
        <w:t>First respondent’s legal submissions</w:t>
      </w:r>
    </w:p>
    <w:p w14:paraId="5E3F3C24" w14:textId="4660D091" w:rsidR="00001322" w:rsidRDefault="00A811C1" w:rsidP="005B189D">
      <w:pPr>
        <w:spacing w:line="480" w:lineRule="auto"/>
        <w:ind w:left="720" w:hanging="720"/>
        <w:jc w:val="both"/>
        <w:rPr>
          <w:rFonts w:ascii="Arial" w:hAnsi="Arial" w:cs="Arial"/>
          <w:sz w:val="24"/>
          <w:szCs w:val="24"/>
        </w:rPr>
      </w:pPr>
      <w:r>
        <w:rPr>
          <w:rFonts w:ascii="Arial" w:hAnsi="Arial" w:cs="Arial"/>
          <w:sz w:val="24"/>
          <w:szCs w:val="24"/>
        </w:rPr>
        <w:t>[1</w:t>
      </w:r>
      <w:r w:rsidR="00DA3636">
        <w:rPr>
          <w:rFonts w:ascii="Arial" w:hAnsi="Arial" w:cs="Arial"/>
          <w:sz w:val="24"/>
          <w:szCs w:val="24"/>
        </w:rPr>
        <w:t>5</w:t>
      </w:r>
      <w:r>
        <w:rPr>
          <w:rFonts w:ascii="Arial" w:hAnsi="Arial" w:cs="Arial"/>
          <w:sz w:val="24"/>
          <w:szCs w:val="24"/>
        </w:rPr>
        <w:t>]</w:t>
      </w:r>
      <w:r>
        <w:rPr>
          <w:rFonts w:ascii="Arial" w:hAnsi="Arial" w:cs="Arial"/>
          <w:sz w:val="24"/>
          <w:szCs w:val="24"/>
        </w:rPr>
        <w:tab/>
      </w:r>
      <w:r w:rsidR="00001322">
        <w:rPr>
          <w:rFonts w:ascii="Arial" w:hAnsi="Arial" w:cs="Arial"/>
          <w:sz w:val="24"/>
          <w:szCs w:val="24"/>
        </w:rPr>
        <w:t>Ms Sangoni</w:t>
      </w:r>
      <w:r w:rsidR="00780E85">
        <w:rPr>
          <w:rFonts w:ascii="Arial" w:hAnsi="Arial" w:cs="Arial"/>
          <w:sz w:val="24"/>
          <w:szCs w:val="24"/>
        </w:rPr>
        <w:t xml:space="preserve">, on the other </w:t>
      </w:r>
      <w:r w:rsidR="006E37DE">
        <w:rPr>
          <w:rFonts w:ascii="Arial" w:hAnsi="Arial" w:cs="Arial"/>
          <w:sz w:val="24"/>
          <w:szCs w:val="24"/>
        </w:rPr>
        <w:t>hand,</w:t>
      </w:r>
      <w:r w:rsidR="00780E85">
        <w:rPr>
          <w:rFonts w:ascii="Arial" w:hAnsi="Arial" w:cs="Arial"/>
          <w:sz w:val="24"/>
          <w:szCs w:val="24"/>
        </w:rPr>
        <w:t xml:space="preserve"> submitted that the applicant pleads ignorance of the law and</w:t>
      </w:r>
      <w:r w:rsidR="00724F18">
        <w:rPr>
          <w:rFonts w:ascii="Arial" w:hAnsi="Arial" w:cs="Arial"/>
          <w:sz w:val="24"/>
          <w:szCs w:val="24"/>
        </w:rPr>
        <w:t xml:space="preserve"> </w:t>
      </w:r>
      <w:r w:rsidR="00780E85">
        <w:rPr>
          <w:rFonts w:ascii="Arial" w:hAnsi="Arial" w:cs="Arial"/>
          <w:sz w:val="24"/>
          <w:szCs w:val="24"/>
        </w:rPr>
        <w:t xml:space="preserve">that she only got to know about the respondents’ indebtedness to her when she consulted a legal representatives. She submitted that the applicant’s explanation for the length of the delay does not show good cause and that ignorance of the law is no excuse.  She </w:t>
      </w:r>
      <w:r w:rsidR="00217444">
        <w:rPr>
          <w:rFonts w:ascii="Arial" w:hAnsi="Arial" w:cs="Arial"/>
          <w:sz w:val="24"/>
          <w:szCs w:val="24"/>
        </w:rPr>
        <w:t xml:space="preserve">referred the </w:t>
      </w:r>
      <w:r w:rsidR="00780E85">
        <w:rPr>
          <w:rFonts w:ascii="Arial" w:hAnsi="Arial" w:cs="Arial"/>
          <w:sz w:val="24"/>
          <w:szCs w:val="24"/>
        </w:rPr>
        <w:t>c</w:t>
      </w:r>
      <w:r w:rsidR="00217444">
        <w:rPr>
          <w:rFonts w:ascii="Arial" w:hAnsi="Arial" w:cs="Arial"/>
          <w:sz w:val="24"/>
          <w:szCs w:val="24"/>
        </w:rPr>
        <w:t xml:space="preserve">ourt to the </w:t>
      </w:r>
      <w:r w:rsidR="00CD6BF5">
        <w:rPr>
          <w:rFonts w:ascii="Arial" w:hAnsi="Arial" w:cs="Arial"/>
          <w:sz w:val="24"/>
          <w:szCs w:val="24"/>
        </w:rPr>
        <w:t xml:space="preserve">decision in </w:t>
      </w:r>
      <w:r w:rsidR="00CD6BF5" w:rsidRPr="004030B7">
        <w:rPr>
          <w:rFonts w:ascii="Arial" w:hAnsi="Arial" w:cs="Arial"/>
          <w:b/>
          <w:bCs/>
          <w:i/>
          <w:iCs/>
          <w:sz w:val="24"/>
          <w:szCs w:val="24"/>
        </w:rPr>
        <w:t xml:space="preserve">Nair </w:t>
      </w:r>
      <w:r w:rsidR="00407511" w:rsidRPr="004030B7">
        <w:rPr>
          <w:rFonts w:ascii="Arial" w:hAnsi="Arial" w:cs="Arial"/>
          <w:b/>
          <w:bCs/>
          <w:i/>
          <w:iCs/>
          <w:sz w:val="24"/>
          <w:szCs w:val="24"/>
        </w:rPr>
        <w:t>v Telkom Soc &amp; Others</w:t>
      </w:r>
      <w:r w:rsidR="00A97829">
        <w:rPr>
          <w:rStyle w:val="FootnoteReference"/>
          <w:rFonts w:ascii="Arial" w:hAnsi="Arial" w:cs="Arial"/>
          <w:sz w:val="24"/>
          <w:szCs w:val="24"/>
        </w:rPr>
        <w:footnoteReference w:id="8"/>
      </w:r>
      <w:r w:rsidR="004030B7">
        <w:rPr>
          <w:rFonts w:ascii="Arial" w:hAnsi="Arial" w:cs="Arial"/>
          <w:sz w:val="24"/>
          <w:szCs w:val="24"/>
        </w:rPr>
        <w:t xml:space="preserve"> for the</w:t>
      </w:r>
      <w:r w:rsidR="00724F18">
        <w:rPr>
          <w:rFonts w:ascii="Arial" w:hAnsi="Arial" w:cs="Arial"/>
          <w:sz w:val="24"/>
          <w:szCs w:val="24"/>
        </w:rPr>
        <w:t xml:space="preserve"> submission</w:t>
      </w:r>
      <w:r w:rsidR="004030B7">
        <w:rPr>
          <w:rFonts w:ascii="Arial" w:hAnsi="Arial" w:cs="Arial"/>
          <w:sz w:val="24"/>
          <w:szCs w:val="24"/>
        </w:rPr>
        <w:t xml:space="preserve"> that</w:t>
      </w:r>
      <w:r w:rsidR="003F21A9">
        <w:rPr>
          <w:rFonts w:ascii="Arial" w:hAnsi="Arial" w:cs="Arial"/>
          <w:sz w:val="24"/>
          <w:szCs w:val="24"/>
        </w:rPr>
        <w:t>:</w:t>
      </w:r>
    </w:p>
    <w:p w14:paraId="0D623BE3" w14:textId="19856A71" w:rsidR="008702A3" w:rsidRDefault="008702A3" w:rsidP="008702A3">
      <w:pPr>
        <w:spacing w:line="240" w:lineRule="auto"/>
        <w:ind w:left="1440"/>
        <w:jc w:val="both"/>
        <w:rPr>
          <w:rFonts w:ascii="Arial" w:hAnsi="Arial" w:cs="Arial"/>
          <w:i/>
          <w:iCs/>
          <w:color w:val="242121"/>
          <w:sz w:val="20"/>
          <w:szCs w:val="20"/>
          <w:shd w:val="clear" w:color="auto" w:fill="FFFFFF"/>
        </w:rPr>
      </w:pPr>
      <w:r w:rsidRPr="008702A3">
        <w:rPr>
          <w:rFonts w:ascii="Arial" w:hAnsi="Arial" w:cs="Arial"/>
          <w:sz w:val="20"/>
          <w:szCs w:val="20"/>
        </w:rPr>
        <w:t>“[</w:t>
      </w:r>
      <w:r w:rsidRPr="008702A3">
        <w:rPr>
          <w:rFonts w:ascii="Arial" w:hAnsi="Arial" w:cs="Arial"/>
          <w:i/>
          <w:iCs/>
          <w:sz w:val="20"/>
          <w:szCs w:val="20"/>
        </w:rPr>
        <w:t>11</w:t>
      </w:r>
      <w:r w:rsidRPr="008702A3">
        <w:rPr>
          <w:rFonts w:ascii="Arial" w:hAnsi="Arial" w:cs="Arial"/>
          <w:sz w:val="20"/>
          <w:szCs w:val="20"/>
        </w:rPr>
        <w:t>]</w:t>
      </w:r>
      <w:r w:rsidRPr="008702A3">
        <w:rPr>
          <w:rFonts w:ascii="Arial" w:hAnsi="Arial" w:cs="Arial"/>
          <w:sz w:val="20"/>
          <w:szCs w:val="20"/>
        </w:rPr>
        <w:tab/>
      </w:r>
      <w:r w:rsidR="006E37DE" w:rsidRPr="008702A3">
        <w:rPr>
          <w:rFonts w:ascii="Arial" w:hAnsi="Arial" w:cs="Arial"/>
          <w:sz w:val="20"/>
          <w:szCs w:val="20"/>
        </w:rPr>
        <w:t>. . ..</w:t>
      </w:r>
      <w:r w:rsidRPr="008702A3">
        <w:rPr>
          <w:rFonts w:ascii="Arial" w:hAnsi="Arial" w:cs="Arial"/>
          <w:sz w:val="20"/>
          <w:szCs w:val="20"/>
        </w:rPr>
        <w:t xml:space="preserve"> </w:t>
      </w:r>
      <w:r w:rsidRPr="008702A3">
        <w:rPr>
          <w:rFonts w:ascii="Arial" w:hAnsi="Arial" w:cs="Arial"/>
          <w:i/>
          <w:iCs/>
          <w:color w:val="242121"/>
          <w:sz w:val="20"/>
          <w:szCs w:val="20"/>
          <w:shd w:val="clear" w:color="auto" w:fill="FFFFFF"/>
        </w:rPr>
        <w:t>In deciding whether sufficient cause has been shown, the basic principle is that the court has a discretion to be exercised judicially upon a consideration of all the facts and, in essence, is a matter of fairness to both sides. Among the facts usually relevant are the degree of lateness, the explanation therefor, the prospects of success, and the importance of the case. Ordinarily these facts are inter-related; they are not individually decisive, for that would be a piecemeal approach.”</w:t>
      </w:r>
    </w:p>
    <w:p w14:paraId="5AAD6E5A" w14:textId="77777777" w:rsidR="000A623C" w:rsidRPr="008702A3" w:rsidRDefault="000A623C" w:rsidP="008702A3">
      <w:pPr>
        <w:spacing w:line="240" w:lineRule="auto"/>
        <w:ind w:left="1440"/>
        <w:jc w:val="both"/>
        <w:rPr>
          <w:rFonts w:ascii="Arial" w:hAnsi="Arial" w:cs="Arial"/>
          <w:sz w:val="20"/>
          <w:szCs w:val="20"/>
        </w:rPr>
      </w:pPr>
    </w:p>
    <w:p w14:paraId="616ECEA8" w14:textId="4AD8F6D5" w:rsidR="00FA2868" w:rsidRDefault="001265E7" w:rsidP="005B189D">
      <w:pPr>
        <w:spacing w:line="480" w:lineRule="auto"/>
        <w:ind w:left="720" w:hanging="720"/>
        <w:jc w:val="both"/>
        <w:rPr>
          <w:rFonts w:ascii="Arial" w:hAnsi="Arial" w:cs="Arial"/>
          <w:sz w:val="24"/>
          <w:szCs w:val="24"/>
        </w:rPr>
      </w:pPr>
      <w:r>
        <w:rPr>
          <w:rFonts w:ascii="Arial" w:hAnsi="Arial" w:cs="Arial"/>
          <w:sz w:val="24"/>
          <w:szCs w:val="24"/>
        </w:rPr>
        <w:t xml:space="preserve"> </w:t>
      </w:r>
      <w:r w:rsidR="003B2AED">
        <w:rPr>
          <w:rFonts w:ascii="Arial" w:hAnsi="Arial" w:cs="Arial"/>
          <w:sz w:val="24"/>
          <w:szCs w:val="24"/>
        </w:rPr>
        <w:t xml:space="preserve"> </w:t>
      </w:r>
      <w:r w:rsidR="006552DD">
        <w:rPr>
          <w:rFonts w:ascii="Arial" w:hAnsi="Arial" w:cs="Arial"/>
          <w:sz w:val="24"/>
          <w:szCs w:val="24"/>
        </w:rPr>
        <w:t>[1</w:t>
      </w:r>
      <w:r w:rsidR="00DA3636">
        <w:rPr>
          <w:rFonts w:ascii="Arial" w:hAnsi="Arial" w:cs="Arial"/>
          <w:sz w:val="24"/>
          <w:szCs w:val="24"/>
        </w:rPr>
        <w:t>6</w:t>
      </w:r>
      <w:r w:rsidR="006552DD">
        <w:rPr>
          <w:rFonts w:ascii="Arial" w:hAnsi="Arial" w:cs="Arial"/>
          <w:sz w:val="24"/>
          <w:szCs w:val="24"/>
        </w:rPr>
        <w:t>]</w:t>
      </w:r>
      <w:r w:rsidR="006552DD">
        <w:rPr>
          <w:rFonts w:ascii="Arial" w:hAnsi="Arial" w:cs="Arial"/>
          <w:sz w:val="24"/>
          <w:szCs w:val="24"/>
        </w:rPr>
        <w:tab/>
      </w:r>
      <w:r w:rsidR="000A623C">
        <w:rPr>
          <w:rFonts w:ascii="Arial" w:hAnsi="Arial" w:cs="Arial"/>
          <w:sz w:val="24"/>
          <w:szCs w:val="24"/>
        </w:rPr>
        <w:t>Ms Sangoni also</w:t>
      </w:r>
      <w:r w:rsidR="006552DD">
        <w:rPr>
          <w:rFonts w:ascii="Arial" w:hAnsi="Arial" w:cs="Arial"/>
          <w:sz w:val="24"/>
          <w:szCs w:val="24"/>
        </w:rPr>
        <w:t xml:space="preserve"> </w:t>
      </w:r>
      <w:r w:rsidR="002A3C44">
        <w:rPr>
          <w:rFonts w:ascii="Arial" w:hAnsi="Arial" w:cs="Arial"/>
          <w:sz w:val="24"/>
          <w:szCs w:val="24"/>
        </w:rPr>
        <w:t>relied</w:t>
      </w:r>
      <w:r w:rsidR="004A6D40">
        <w:rPr>
          <w:rFonts w:ascii="Arial" w:hAnsi="Arial" w:cs="Arial"/>
          <w:sz w:val="24"/>
          <w:szCs w:val="24"/>
        </w:rPr>
        <w:t xml:space="preserve"> on </w:t>
      </w:r>
      <w:r w:rsidR="004A6D40">
        <w:rPr>
          <w:rFonts w:ascii="Arial" w:hAnsi="Arial" w:cs="Arial"/>
          <w:b/>
          <w:bCs/>
          <w:i/>
          <w:iCs/>
          <w:sz w:val="24"/>
          <w:szCs w:val="24"/>
        </w:rPr>
        <w:t>Mtokonya v Minister of Police</w:t>
      </w:r>
      <w:r w:rsidR="007E76C7">
        <w:rPr>
          <w:rStyle w:val="FootnoteReference"/>
          <w:rFonts w:ascii="Arial" w:hAnsi="Arial" w:cs="Arial"/>
          <w:b/>
          <w:bCs/>
          <w:i/>
          <w:iCs/>
          <w:sz w:val="24"/>
          <w:szCs w:val="24"/>
        </w:rPr>
        <w:footnoteReference w:id="9"/>
      </w:r>
      <w:r w:rsidR="00594A63">
        <w:rPr>
          <w:rFonts w:ascii="Arial" w:hAnsi="Arial" w:cs="Arial"/>
          <w:sz w:val="24"/>
          <w:szCs w:val="24"/>
        </w:rPr>
        <w:t xml:space="preserve"> </w:t>
      </w:r>
      <w:r w:rsidR="005926BA">
        <w:rPr>
          <w:rFonts w:ascii="Arial" w:hAnsi="Arial" w:cs="Arial"/>
          <w:sz w:val="24"/>
          <w:szCs w:val="24"/>
        </w:rPr>
        <w:t>where the Chief Justice Zondo</w:t>
      </w:r>
      <w:r w:rsidR="0026465C">
        <w:rPr>
          <w:rFonts w:ascii="Arial" w:hAnsi="Arial" w:cs="Arial"/>
          <w:sz w:val="24"/>
          <w:szCs w:val="24"/>
        </w:rPr>
        <w:t xml:space="preserve"> referred to a judgment by</w:t>
      </w:r>
      <w:r w:rsidR="00084954">
        <w:rPr>
          <w:rFonts w:ascii="Arial" w:hAnsi="Arial" w:cs="Arial"/>
          <w:sz w:val="24"/>
          <w:szCs w:val="24"/>
        </w:rPr>
        <w:t xml:space="preserve"> Moseneke J in </w:t>
      </w:r>
      <w:r w:rsidR="00084954" w:rsidRPr="000F779E">
        <w:rPr>
          <w:rFonts w:ascii="Arial" w:hAnsi="Arial" w:cs="Arial"/>
          <w:i/>
          <w:iCs/>
          <w:sz w:val="24"/>
          <w:szCs w:val="24"/>
        </w:rPr>
        <w:t>Eskom v Bho</w:t>
      </w:r>
      <w:r w:rsidR="00E23200" w:rsidRPr="000F779E">
        <w:rPr>
          <w:rFonts w:ascii="Arial" w:hAnsi="Arial" w:cs="Arial"/>
          <w:i/>
          <w:iCs/>
          <w:sz w:val="24"/>
          <w:szCs w:val="24"/>
        </w:rPr>
        <w:t>n</w:t>
      </w:r>
      <w:r w:rsidR="00084954" w:rsidRPr="000F779E">
        <w:rPr>
          <w:rFonts w:ascii="Arial" w:hAnsi="Arial" w:cs="Arial"/>
          <w:i/>
          <w:iCs/>
          <w:sz w:val="24"/>
          <w:szCs w:val="24"/>
        </w:rPr>
        <w:t>ja</w:t>
      </w:r>
      <w:r w:rsidR="00E23200" w:rsidRPr="000F779E">
        <w:rPr>
          <w:rFonts w:ascii="Arial" w:hAnsi="Arial" w:cs="Arial"/>
          <w:i/>
          <w:iCs/>
          <w:sz w:val="24"/>
          <w:szCs w:val="24"/>
        </w:rPr>
        <w:t>na</w:t>
      </w:r>
      <w:r w:rsidR="00084954" w:rsidRPr="000F779E">
        <w:rPr>
          <w:rFonts w:ascii="Arial" w:hAnsi="Arial" w:cs="Arial"/>
          <w:i/>
          <w:iCs/>
          <w:sz w:val="24"/>
          <w:szCs w:val="24"/>
        </w:rPr>
        <w:t>la</w:t>
      </w:r>
      <w:r w:rsidR="00084954">
        <w:rPr>
          <w:rFonts w:ascii="Arial" w:hAnsi="Arial" w:cs="Arial"/>
          <w:sz w:val="24"/>
          <w:szCs w:val="24"/>
        </w:rPr>
        <w:t xml:space="preserve"> Platinum</w:t>
      </w:r>
      <w:r w:rsidR="00701232">
        <w:rPr>
          <w:rFonts w:ascii="Arial" w:hAnsi="Arial" w:cs="Arial"/>
          <w:sz w:val="24"/>
          <w:szCs w:val="24"/>
        </w:rPr>
        <w:t xml:space="preserve"> District Municipality </w:t>
      </w:r>
      <w:r w:rsidR="00FA2868">
        <w:rPr>
          <w:rFonts w:ascii="Arial" w:hAnsi="Arial" w:cs="Arial"/>
          <w:sz w:val="24"/>
          <w:szCs w:val="24"/>
        </w:rPr>
        <w:t>where he stated:</w:t>
      </w:r>
    </w:p>
    <w:p w14:paraId="4BD55DDE" w14:textId="7C96A252" w:rsidR="00E04503" w:rsidRDefault="00FA2868" w:rsidP="000F779E">
      <w:pPr>
        <w:spacing w:line="240" w:lineRule="auto"/>
        <w:ind w:left="1440"/>
        <w:jc w:val="both"/>
        <w:rPr>
          <w:rFonts w:ascii="Arial" w:hAnsi="Arial" w:cs="Arial"/>
          <w:i/>
          <w:iCs/>
          <w:sz w:val="20"/>
          <w:szCs w:val="20"/>
        </w:rPr>
      </w:pPr>
      <w:r w:rsidRPr="000F779E">
        <w:rPr>
          <w:rFonts w:ascii="Arial" w:hAnsi="Arial" w:cs="Arial"/>
          <w:i/>
          <w:iCs/>
          <w:sz w:val="20"/>
          <w:szCs w:val="20"/>
        </w:rPr>
        <w:t>“</w:t>
      </w:r>
      <w:r w:rsidR="00DF6B98" w:rsidRPr="000F779E">
        <w:rPr>
          <w:rFonts w:ascii="Arial" w:hAnsi="Arial" w:cs="Arial"/>
          <w:i/>
          <w:iCs/>
          <w:sz w:val="20"/>
          <w:szCs w:val="20"/>
        </w:rPr>
        <w:t xml:space="preserve">The submission </w:t>
      </w:r>
      <w:r w:rsidR="00F26899" w:rsidRPr="000F779E">
        <w:rPr>
          <w:rFonts w:ascii="Arial" w:hAnsi="Arial" w:cs="Arial"/>
          <w:i/>
          <w:iCs/>
          <w:sz w:val="20"/>
          <w:szCs w:val="20"/>
        </w:rPr>
        <w:t xml:space="preserve">that a claim or debt does not become due </w:t>
      </w:r>
      <w:r w:rsidR="00D01DB7" w:rsidRPr="000F779E">
        <w:rPr>
          <w:rFonts w:ascii="Arial" w:hAnsi="Arial" w:cs="Arial"/>
          <w:i/>
          <w:iCs/>
          <w:sz w:val="20"/>
          <w:szCs w:val="20"/>
        </w:rPr>
        <w:t xml:space="preserve">when facts from which it arose </w:t>
      </w:r>
      <w:r w:rsidR="00D333F6" w:rsidRPr="000F779E">
        <w:rPr>
          <w:rFonts w:ascii="Arial" w:hAnsi="Arial" w:cs="Arial"/>
          <w:i/>
          <w:iCs/>
          <w:sz w:val="20"/>
          <w:szCs w:val="20"/>
        </w:rPr>
        <w:t xml:space="preserve">unknown to the applicant, </w:t>
      </w:r>
      <w:r w:rsidR="00E744C9" w:rsidRPr="000F779E">
        <w:rPr>
          <w:rFonts w:ascii="Arial" w:hAnsi="Arial" w:cs="Arial"/>
          <w:i/>
          <w:iCs/>
          <w:sz w:val="20"/>
          <w:szCs w:val="20"/>
        </w:rPr>
        <w:t>but only when such claim</w:t>
      </w:r>
      <w:r w:rsidR="00A86F14" w:rsidRPr="000F779E">
        <w:rPr>
          <w:rFonts w:ascii="Arial" w:hAnsi="Arial" w:cs="Arial"/>
          <w:i/>
          <w:iCs/>
          <w:sz w:val="20"/>
          <w:szCs w:val="20"/>
        </w:rPr>
        <w:t xml:space="preserve">ant </w:t>
      </w:r>
      <w:r w:rsidR="002A3C44">
        <w:rPr>
          <w:rFonts w:ascii="Arial" w:hAnsi="Arial" w:cs="Arial"/>
          <w:i/>
          <w:iCs/>
          <w:sz w:val="20"/>
          <w:szCs w:val="20"/>
        </w:rPr>
        <w:t>has</w:t>
      </w:r>
      <w:r w:rsidR="00A86F14" w:rsidRPr="000F779E">
        <w:rPr>
          <w:rFonts w:ascii="Arial" w:hAnsi="Arial" w:cs="Arial"/>
          <w:i/>
          <w:iCs/>
          <w:sz w:val="20"/>
          <w:szCs w:val="20"/>
        </w:rPr>
        <w:t xml:space="preserve"> acquired </w:t>
      </w:r>
      <w:r w:rsidR="000F2333" w:rsidRPr="000F779E">
        <w:rPr>
          <w:rFonts w:ascii="Arial" w:hAnsi="Arial" w:cs="Arial"/>
          <w:i/>
          <w:iCs/>
          <w:sz w:val="20"/>
          <w:szCs w:val="20"/>
        </w:rPr>
        <w:t>certainty regarding the law</w:t>
      </w:r>
      <w:r w:rsidR="00460B70" w:rsidRPr="000F779E">
        <w:rPr>
          <w:rFonts w:ascii="Arial" w:hAnsi="Arial" w:cs="Arial"/>
          <w:i/>
          <w:iCs/>
          <w:sz w:val="20"/>
          <w:szCs w:val="20"/>
        </w:rPr>
        <w:t xml:space="preserve"> and attendant rights and obligation</w:t>
      </w:r>
      <w:r w:rsidR="00365047" w:rsidRPr="000F779E">
        <w:rPr>
          <w:rFonts w:ascii="Arial" w:hAnsi="Arial" w:cs="Arial"/>
          <w:i/>
          <w:iCs/>
          <w:sz w:val="20"/>
          <w:szCs w:val="20"/>
        </w:rPr>
        <w:t xml:space="preserve">s that might be </w:t>
      </w:r>
      <w:r w:rsidR="006E37DE" w:rsidRPr="000F779E">
        <w:rPr>
          <w:rFonts w:ascii="Arial" w:hAnsi="Arial" w:cs="Arial"/>
          <w:i/>
          <w:iCs/>
          <w:sz w:val="20"/>
          <w:szCs w:val="20"/>
        </w:rPr>
        <w:t>applicable to</w:t>
      </w:r>
      <w:r w:rsidR="00365047" w:rsidRPr="000F779E">
        <w:rPr>
          <w:rFonts w:ascii="Arial" w:hAnsi="Arial" w:cs="Arial"/>
          <w:i/>
          <w:iCs/>
          <w:sz w:val="20"/>
          <w:szCs w:val="20"/>
        </w:rPr>
        <w:t xml:space="preserve"> such </w:t>
      </w:r>
      <w:r w:rsidR="005735A1" w:rsidRPr="000F779E">
        <w:rPr>
          <w:rFonts w:ascii="Arial" w:hAnsi="Arial" w:cs="Arial"/>
          <w:i/>
          <w:iCs/>
          <w:sz w:val="20"/>
          <w:szCs w:val="20"/>
        </w:rPr>
        <w:t>a debt</w:t>
      </w:r>
      <w:r w:rsidR="00F8350D" w:rsidRPr="000F779E">
        <w:rPr>
          <w:rFonts w:ascii="Arial" w:hAnsi="Arial" w:cs="Arial"/>
          <w:i/>
          <w:iCs/>
          <w:sz w:val="20"/>
          <w:szCs w:val="20"/>
        </w:rPr>
        <w:t xml:space="preserve">. If such a construction was to be placed </w:t>
      </w:r>
      <w:r w:rsidR="004A708E" w:rsidRPr="000F779E">
        <w:rPr>
          <w:rFonts w:ascii="Arial" w:hAnsi="Arial" w:cs="Arial"/>
          <w:i/>
          <w:iCs/>
          <w:sz w:val="20"/>
          <w:szCs w:val="20"/>
        </w:rPr>
        <w:t>on the provision of section 12(3) grave absurdity would arise</w:t>
      </w:r>
      <w:r w:rsidR="00A52144" w:rsidRPr="000F779E">
        <w:rPr>
          <w:rFonts w:ascii="Arial" w:hAnsi="Arial" w:cs="Arial"/>
          <w:i/>
          <w:iCs/>
          <w:sz w:val="20"/>
          <w:szCs w:val="20"/>
        </w:rPr>
        <w:t xml:space="preserve">. … A claimant cannot blissfully </w:t>
      </w:r>
      <w:r w:rsidR="002926C3" w:rsidRPr="000F779E">
        <w:rPr>
          <w:rFonts w:ascii="Arial" w:hAnsi="Arial" w:cs="Arial"/>
          <w:i/>
          <w:iCs/>
          <w:sz w:val="20"/>
          <w:szCs w:val="20"/>
        </w:rPr>
        <w:t xml:space="preserve">await </w:t>
      </w:r>
      <w:r w:rsidR="00144B79" w:rsidRPr="000F779E">
        <w:rPr>
          <w:rFonts w:ascii="Arial" w:hAnsi="Arial" w:cs="Arial"/>
          <w:i/>
          <w:iCs/>
          <w:sz w:val="20"/>
          <w:szCs w:val="20"/>
        </w:rPr>
        <w:t>authoritative, final</w:t>
      </w:r>
      <w:r w:rsidR="00DF6596" w:rsidRPr="000F779E">
        <w:rPr>
          <w:rFonts w:ascii="Arial" w:hAnsi="Arial" w:cs="Arial"/>
          <w:i/>
          <w:iCs/>
          <w:sz w:val="20"/>
          <w:szCs w:val="20"/>
        </w:rPr>
        <w:t>, and binding judicial pronouncement</w:t>
      </w:r>
      <w:r w:rsidR="005939DE" w:rsidRPr="000F779E">
        <w:rPr>
          <w:rFonts w:ascii="Arial" w:hAnsi="Arial" w:cs="Arial"/>
          <w:i/>
          <w:iCs/>
          <w:sz w:val="20"/>
          <w:szCs w:val="20"/>
        </w:rPr>
        <w:t>s before its debt becomes due</w:t>
      </w:r>
      <w:r w:rsidR="000C2AC3" w:rsidRPr="000F779E">
        <w:rPr>
          <w:rFonts w:ascii="Arial" w:hAnsi="Arial" w:cs="Arial"/>
          <w:i/>
          <w:iCs/>
          <w:sz w:val="20"/>
          <w:szCs w:val="20"/>
        </w:rPr>
        <w:t xml:space="preserve">, or before it is deemed to have knowledge </w:t>
      </w:r>
      <w:r w:rsidR="00796183" w:rsidRPr="000F779E">
        <w:rPr>
          <w:rFonts w:ascii="Arial" w:hAnsi="Arial" w:cs="Arial"/>
          <w:i/>
          <w:iCs/>
          <w:sz w:val="20"/>
          <w:szCs w:val="20"/>
        </w:rPr>
        <w:t>of</w:t>
      </w:r>
      <w:r w:rsidR="001A218C" w:rsidRPr="000F779E">
        <w:rPr>
          <w:rFonts w:ascii="Arial" w:hAnsi="Arial" w:cs="Arial"/>
          <w:i/>
          <w:iCs/>
          <w:sz w:val="20"/>
          <w:szCs w:val="20"/>
        </w:rPr>
        <w:t xml:space="preserve"> the facts from which the debt arises</w:t>
      </w:r>
      <w:r w:rsidR="000F779E" w:rsidRPr="000F779E">
        <w:rPr>
          <w:rFonts w:ascii="Arial" w:hAnsi="Arial" w:cs="Arial"/>
          <w:i/>
          <w:iCs/>
          <w:sz w:val="20"/>
          <w:szCs w:val="20"/>
        </w:rPr>
        <w:t>.”</w:t>
      </w:r>
      <w:r w:rsidR="00E744C9" w:rsidRPr="000F779E">
        <w:rPr>
          <w:rFonts w:ascii="Arial" w:hAnsi="Arial" w:cs="Arial"/>
          <w:i/>
          <w:iCs/>
          <w:sz w:val="20"/>
          <w:szCs w:val="20"/>
        </w:rPr>
        <w:t xml:space="preserve"> </w:t>
      </w:r>
    </w:p>
    <w:p w14:paraId="5214861E" w14:textId="77777777" w:rsidR="002A3C44" w:rsidRDefault="002A3C44" w:rsidP="000F779E">
      <w:pPr>
        <w:spacing w:line="240" w:lineRule="auto"/>
        <w:ind w:left="1440"/>
        <w:jc w:val="both"/>
        <w:rPr>
          <w:rFonts w:ascii="Arial" w:hAnsi="Arial" w:cs="Arial"/>
          <w:i/>
          <w:iCs/>
          <w:sz w:val="20"/>
          <w:szCs w:val="20"/>
        </w:rPr>
      </w:pPr>
    </w:p>
    <w:p w14:paraId="0FFA054F" w14:textId="1957A67F" w:rsidR="00EF2310" w:rsidRDefault="00EF2310" w:rsidP="009072B1">
      <w:pPr>
        <w:spacing w:line="480" w:lineRule="auto"/>
        <w:ind w:left="720" w:hanging="720"/>
        <w:jc w:val="both"/>
        <w:rPr>
          <w:rFonts w:ascii="Arial" w:hAnsi="Arial" w:cs="Arial"/>
          <w:sz w:val="24"/>
          <w:szCs w:val="24"/>
        </w:rPr>
      </w:pPr>
      <w:r>
        <w:rPr>
          <w:rFonts w:ascii="Arial" w:hAnsi="Arial" w:cs="Arial"/>
          <w:sz w:val="24"/>
          <w:szCs w:val="24"/>
        </w:rPr>
        <w:t>[1</w:t>
      </w:r>
      <w:r w:rsidR="00DA3636">
        <w:rPr>
          <w:rFonts w:ascii="Arial" w:hAnsi="Arial" w:cs="Arial"/>
          <w:sz w:val="24"/>
          <w:szCs w:val="24"/>
        </w:rPr>
        <w:t>7</w:t>
      </w:r>
      <w:r>
        <w:rPr>
          <w:rFonts w:ascii="Arial" w:hAnsi="Arial" w:cs="Arial"/>
          <w:sz w:val="24"/>
          <w:szCs w:val="24"/>
        </w:rPr>
        <w:t>]</w:t>
      </w:r>
      <w:r>
        <w:rPr>
          <w:rFonts w:ascii="Arial" w:hAnsi="Arial" w:cs="Arial"/>
          <w:sz w:val="24"/>
          <w:szCs w:val="24"/>
        </w:rPr>
        <w:tab/>
        <w:t xml:space="preserve">She submitted that </w:t>
      </w:r>
      <w:r w:rsidR="002A3C44">
        <w:rPr>
          <w:rFonts w:ascii="Arial" w:hAnsi="Arial" w:cs="Arial"/>
          <w:sz w:val="24"/>
          <w:szCs w:val="24"/>
        </w:rPr>
        <w:t xml:space="preserve">the applicant </w:t>
      </w:r>
      <w:r w:rsidR="00EF3CC9">
        <w:rPr>
          <w:rFonts w:ascii="Arial" w:hAnsi="Arial" w:cs="Arial"/>
          <w:sz w:val="24"/>
          <w:szCs w:val="24"/>
        </w:rPr>
        <w:t xml:space="preserve">had knowledge of the facts of the claim from </w:t>
      </w:r>
      <w:r w:rsidR="00102866">
        <w:rPr>
          <w:rFonts w:ascii="Arial" w:hAnsi="Arial" w:cs="Arial"/>
          <w:sz w:val="24"/>
          <w:szCs w:val="24"/>
        </w:rPr>
        <w:t xml:space="preserve">the date of her arrest and </w:t>
      </w:r>
      <w:r w:rsidR="00B433D6">
        <w:rPr>
          <w:rFonts w:ascii="Arial" w:hAnsi="Arial" w:cs="Arial"/>
          <w:sz w:val="24"/>
          <w:szCs w:val="24"/>
        </w:rPr>
        <w:t>that was the date when the cause of action arose</w:t>
      </w:r>
      <w:r w:rsidR="0063168D">
        <w:rPr>
          <w:rFonts w:ascii="Arial" w:hAnsi="Arial" w:cs="Arial"/>
          <w:sz w:val="24"/>
          <w:szCs w:val="24"/>
        </w:rPr>
        <w:t xml:space="preserve">. She submitted that there is no </w:t>
      </w:r>
      <w:r w:rsidR="00CC1F00">
        <w:rPr>
          <w:rFonts w:ascii="Arial" w:hAnsi="Arial" w:cs="Arial"/>
          <w:sz w:val="24"/>
          <w:szCs w:val="24"/>
        </w:rPr>
        <w:t>adequate explanation</w:t>
      </w:r>
      <w:r w:rsidR="00EA75EC">
        <w:rPr>
          <w:rFonts w:ascii="Arial" w:hAnsi="Arial" w:cs="Arial"/>
          <w:sz w:val="24"/>
          <w:szCs w:val="24"/>
        </w:rPr>
        <w:t xml:space="preserve"> for the period of delay and on </w:t>
      </w:r>
      <w:r w:rsidR="00D8594E">
        <w:rPr>
          <w:rFonts w:ascii="Arial" w:hAnsi="Arial" w:cs="Arial"/>
          <w:sz w:val="24"/>
          <w:szCs w:val="24"/>
        </w:rPr>
        <w:t xml:space="preserve">this basis </w:t>
      </w:r>
      <w:r w:rsidR="006E37DE">
        <w:rPr>
          <w:rFonts w:ascii="Arial" w:hAnsi="Arial" w:cs="Arial"/>
          <w:sz w:val="24"/>
          <w:szCs w:val="24"/>
        </w:rPr>
        <w:t>alone, based</w:t>
      </w:r>
      <w:r w:rsidR="00BC3982">
        <w:rPr>
          <w:rFonts w:ascii="Arial" w:hAnsi="Arial" w:cs="Arial"/>
          <w:sz w:val="24"/>
          <w:szCs w:val="24"/>
        </w:rPr>
        <w:t xml:space="preserve"> on</w:t>
      </w:r>
      <w:r w:rsidR="002A3C44">
        <w:rPr>
          <w:rFonts w:ascii="Arial" w:hAnsi="Arial" w:cs="Arial"/>
          <w:sz w:val="24"/>
          <w:szCs w:val="24"/>
        </w:rPr>
        <w:t xml:space="preserve">, inter alia, </w:t>
      </w:r>
      <w:r w:rsidR="002158AF">
        <w:rPr>
          <w:rFonts w:ascii="Arial" w:hAnsi="Arial" w:cs="Arial"/>
          <w:sz w:val="24"/>
          <w:szCs w:val="24"/>
        </w:rPr>
        <w:t xml:space="preserve">the </w:t>
      </w:r>
      <w:r w:rsidR="002158AF">
        <w:rPr>
          <w:rFonts w:ascii="Arial" w:hAnsi="Arial" w:cs="Arial"/>
          <w:i/>
          <w:iCs/>
          <w:sz w:val="24"/>
          <w:szCs w:val="24"/>
        </w:rPr>
        <w:t xml:space="preserve">Mtokonya </w:t>
      </w:r>
      <w:r w:rsidR="006E37DE">
        <w:rPr>
          <w:rFonts w:ascii="Arial" w:hAnsi="Arial" w:cs="Arial"/>
          <w:sz w:val="24"/>
          <w:szCs w:val="24"/>
        </w:rPr>
        <w:t>decision, this</w:t>
      </w:r>
      <w:r w:rsidR="002158AF">
        <w:rPr>
          <w:rFonts w:ascii="Arial" w:hAnsi="Arial" w:cs="Arial"/>
          <w:sz w:val="24"/>
          <w:szCs w:val="24"/>
        </w:rPr>
        <w:t xml:space="preserve"> </w:t>
      </w:r>
      <w:r w:rsidR="002A3C44">
        <w:rPr>
          <w:rFonts w:ascii="Arial" w:hAnsi="Arial" w:cs="Arial"/>
          <w:sz w:val="24"/>
          <w:szCs w:val="24"/>
        </w:rPr>
        <w:t>c</w:t>
      </w:r>
      <w:r w:rsidR="002158AF">
        <w:rPr>
          <w:rFonts w:ascii="Arial" w:hAnsi="Arial" w:cs="Arial"/>
          <w:sz w:val="24"/>
          <w:szCs w:val="24"/>
        </w:rPr>
        <w:t xml:space="preserve">ourt </w:t>
      </w:r>
      <w:r w:rsidR="00264079">
        <w:rPr>
          <w:rFonts w:ascii="Arial" w:hAnsi="Arial" w:cs="Arial"/>
          <w:sz w:val="24"/>
          <w:szCs w:val="24"/>
        </w:rPr>
        <w:lastRenderedPageBreak/>
        <w:t>should refuse the application for condonation</w:t>
      </w:r>
      <w:r w:rsidR="002A3C44">
        <w:rPr>
          <w:rFonts w:ascii="Arial" w:hAnsi="Arial" w:cs="Arial"/>
          <w:sz w:val="24"/>
          <w:szCs w:val="24"/>
        </w:rPr>
        <w:t xml:space="preserve">. She submitted that the application </w:t>
      </w:r>
      <w:r w:rsidR="006E7480">
        <w:rPr>
          <w:rFonts w:ascii="Arial" w:hAnsi="Arial" w:cs="Arial"/>
          <w:sz w:val="24"/>
          <w:szCs w:val="24"/>
        </w:rPr>
        <w:t xml:space="preserve">should </w:t>
      </w:r>
      <w:r w:rsidR="002A3C44">
        <w:rPr>
          <w:rFonts w:ascii="Arial" w:hAnsi="Arial" w:cs="Arial"/>
          <w:sz w:val="24"/>
          <w:szCs w:val="24"/>
        </w:rPr>
        <w:t xml:space="preserve">be </w:t>
      </w:r>
      <w:r w:rsidR="000C4302">
        <w:rPr>
          <w:rFonts w:ascii="Arial" w:hAnsi="Arial" w:cs="Arial"/>
          <w:sz w:val="24"/>
          <w:szCs w:val="24"/>
        </w:rPr>
        <w:t>dismiss</w:t>
      </w:r>
      <w:r w:rsidR="002A3C44">
        <w:rPr>
          <w:rFonts w:ascii="Arial" w:hAnsi="Arial" w:cs="Arial"/>
          <w:sz w:val="24"/>
          <w:szCs w:val="24"/>
        </w:rPr>
        <w:t>ed</w:t>
      </w:r>
      <w:r w:rsidR="000C4302">
        <w:rPr>
          <w:rFonts w:ascii="Arial" w:hAnsi="Arial" w:cs="Arial"/>
          <w:sz w:val="24"/>
          <w:szCs w:val="24"/>
        </w:rPr>
        <w:t xml:space="preserve"> with cost</w:t>
      </w:r>
      <w:r w:rsidR="002F366B">
        <w:rPr>
          <w:rFonts w:ascii="Arial" w:hAnsi="Arial" w:cs="Arial"/>
          <w:sz w:val="24"/>
          <w:szCs w:val="24"/>
        </w:rPr>
        <w:t>s.</w:t>
      </w:r>
    </w:p>
    <w:p w14:paraId="0DC141FC" w14:textId="304F2454" w:rsidR="003425ED" w:rsidRDefault="0039139F" w:rsidP="009072B1">
      <w:pPr>
        <w:spacing w:line="480" w:lineRule="auto"/>
        <w:ind w:left="720" w:hanging="720"/>
        <w:jc w:val="both"/>
        <w:rPr>
          <w:rFonts w:ascii="Arial" w:hAnsi="Arial" w:cs="Arial"/>
          <w:i/>
          <w:iCs/>
          <w:sz w:val="24"/>
          <w:szCs w:val="24"/>
        </w:rPr>
      </w:pPr>
      <w:r>
        <w:rPr>
          <w:rFonts w:ascii="Arial" w:hAnsi="Arial" w:cs="Arial"/>
          <w:i/>
          <w:iCs/>
          <w:sz w:val="24"/>
          <w:szCs w:val="24"/>
        </w:rPr>
        <w:t>Discussion</w:t>
      </w:r>
    </w:p>
    <w:p w14:paraId="4C2044C6" w14:textId="784C216E" w:rsidR="00557649" w:rsidRDefault="0039139F" w:rsidP="002A3C44">
      <w:pPr>
        <w:spacing w:line="480" w:lineRule="auto"/>
        <w:ind w:left="720" w:hanging="720"/>
        <w:jc w:val="both"/>
        <w:rPr>
          <w:rFonts w:ascii="Arial" w:hAnsi="Arial" w:cs="Arial"/>
          <w:sz w:val="24"/>
          <w:szCs w:val="24"/>
        </w:rPr>
      </w:pPr>
      <w:r>
        <w:rPr>
          <w:rFonts w:ascii="Arial" w:hAnsi="Arial" w:cs="Arial"/>
          <w:sz w:val="24"/>
          <w:szCs w:val="24"/>
        </w:rPr>
        <w:t>[</w:t>
      </w:r>
      <w:r w:rsidR="00DA3636">
        <w:rPr>
          <w:rFonts w:ascii="Arial" w:hAnsi="Arial" w:cs="Arial"/>
          <w:sz w:val="24"/>
          <w:szCs w:val="24"/>
        </w:rPr>
        <w:t>18</w:t>
      </w:r>
      <w:r>
        <w:rPr>
          <w:rFonts w:ascii="Arial" w:hAnsi="Arial" w:cs="Arial"/>
          <w:sz w:val="24"/>
          <w:szCs w:val="24"/>
        </w:rPr>
        <w:t>]</w:t>
      </w:r>
      <w:r>
        <w:rPr>
          <w:rFonts w:ascii="Arial" w:hAnsi="Arial" w:cs="Arial"/>
          <w:sz w:val="24"/>
          <w:szCs w:val="24"/>
        </w:rPr>
        <w:tab/>
        <w:t>Section 3</w:t>
      </w:r>
      <w:r w:rsidR="00604F79">
        <w:rPr>
          <w:rFonts w:ascii="Arial" w:hAnsi="Arial" w:cs="Arial"/>
          <w:sz w:val="24"/>
          <w:szCs w:val="24"/>
        </w:rPr>
        <w:t>(2)</w:t>
      </w:r>
      <w:r w:rsidR="000F64FC">
        <w:rPr>
          <w:rFonts w:ascii="Arial" w:hAnsi="Arial" w:cs="Arial"/>
          <w:sz w:val="24"/>
          <w:szCs w:val="24"/>
        </w:rPr>
        <w:t xml:space="preserve"> of the Institution Act provides</w:t>
      </w:r>
      <w:r w:rsidR="003170A8">
        <w:rPr>
          <w:rFonts w:ascii="Arial" w:hAnsi="Arial" w:cs="Arial"/>
          <w:sz w:val="24"/>
          <w:szCs w:val="24"/>
        </w:rPr>
        <w:t>:</w:t>
      </w:r>
      <w:r w:rsidR="00625F71">
        <w:rPr>
          <w:rFonts w:ascii="Arial" w:hAnsi="Arial" w:cs="Arial"/>
          <w:sz w:val="24"/>
          <w:szCs w:val="24"/>
        </w:rPr>
        <w:tab/>
      </w:r>
      <w:r w:rsidR="00625F71">
        <w:rPr>
          <w:rFonts w:ascii="Arial" w:hAnsi="Arial" w:cs="Arial"/>
          <w:sz w:val="24"/>
          <w:szCs w:val="24"/>
        </w:rPr>
        <w:tab/>
      </w:r>
    </w:p>
    <w:p w14:paraId="5CB5F61C" w14:textId="1E4B0892" w:rsidR="00565907" w:rsidRPr="00A00562" w:rsidRDefault="005C3B0B" w:rsidP="00AA046D">
      <w:pPr>
        <w:spacing w:line="240" w:lineRule="auto"/>
        <w:ind w:left="720"/>
        <w:jc w:val="both"/>
        <w:rPr>
          <w:rFonts w:ascii="Arial" w:hAnsi="Arial" w:cs="Arial"/>
          <w:i/>
          <w:iCs/>
          <w:sz w:val="20"/>
          <w:szCs w:val="20"/>
        </w:rPr>
      </w:pPr>
      <w:r w:rsidRPr="00A00562">
        <w:rPr>
          <w:rFonts w:ascii="Arial" w:hAnsi="Arial" w:cs="Arial"/>
          <w:i/>
          <w:iCs/>
          <w:sz w:val="20"/>
          <w:szCs w:val="20"/>
        </w:rPr>
        <w:t>“</w:t>
      </w:r>
      <w:r w:rsidR="00557649" w:rsidRPr="00A00562">
        <w:rPr>
          <w:rFonts w:ascii="Arial" w:hAnsi="Arial" w:cs="Arial"/>
          <w:i/>
          <w:iCs/>
          <w:sz w:val="20"/>
          <w:szCs w:val="20"/>
        </w:rPr>
        <w:t xml:space="preserve">Part 2 </w:t>
      </w:r>
    </w:p>
    <w:p w14:paraId="26D5A07C" w14:textId="77777777" w:rsidR="00565907" w:rsidRPr="00A00562" w:rsidRDefault="00557649" w:rsidP="00AA046D">
      <w:pPr>
        <w:spacing w:line="240" w:lineRule="auto"/>
        <w:ind w:left="720"/>
        <w:jc w:val="both"/>
        <w:rPr>
          <w:rFonts w:ascii="Arial" w:hAnsi="Arial" w:cs="Arial"/>
          <w:i/>
          <w:iCs/>
          <w:sz w:val="20"/>
          <w:szCs w:val="20"/>
        </w:rPr>
      </w:pPr>
      <w:r w:rsidRPr="00A00562">
        <w:rPr>
          <w:rFonts w:ascii="Arial" w:hAnsi="Arial" w:cs="Arial"/>
          <w:i/>
          <w:iCs/>
          <w:sz w:val="20"/>
          <w:szCs w:val="20"/>
        </w:rPr>
        <w:t xml:space="preserve">Notice of intended legal proceedings to be given to organ of state </w:t>
      </w:r>
    </w:p>
    <w:p w14:paraId="47E2AA17" w14:textId="6E779FE6" w:rsidR="00565907" w:rsidRPr="00A00562" w:rsidRDefault="00557649" w:rsidP="00AA046D">
      <w:pPr>
        <w:spacing w:line="240" w:lineRule="auto"/>
        <w:ind w:left="1440" w:hanging="720"/>
        <w:jc w:val="both"/>
        <w:rPr>
          <w:rFonts w:ascii="Arial" w:hAnsi="Arial" w:cs="Arial"/>
          <w:i/>
          <w:iCs/>
          <w:sz w:val="20"/>
          <w:szCs w:val="20"/>
        </w:rPr>
      </w:pPr>
      <w:r w:rsidRPr="00A00562">
        <w:rPr>
          <w:rFonts w:ascii="Arial" w:hAnsi="Arial" w:cs="Arial"/>
          <w:i/>
          <w:iCs/>
          <w:sz w:val="20"/>
          <w:szCs w:val="20"/>
        </w:rPr>
        <w:t xml:space="preserve">3. </w:t>
      </w:r>
      <w:r w:rsidR="00565907" w:rsidRPr="00A00562">
        <w:rPr>
          <w:rFonts w:ascii="Arial" w:hAnsi="Arial" w:cs="Arial"/>
          <w:i/>
          <w:iCs/>
          <w:sz w:val="20"/>
          <w:szCs w:val="20"/>
        </w:rPr>
        <w:tab/>
      </w:r>
      <w:r w:rsidRPr="00A00562">
        <w:rPr>
          <w:rFonts w:ascii="Arial" w:hAnsi="Arial" w:cs="Arial"/>
          <w:i/>
          <w:iCs/>
          <w:sz w:val="20"/>
          <w:szCs w:val="20"/>
        </w:rPr>
        <w:t xml:space="preserve">(1) </w:t>
      </w:r>
      <w:r w:rsidR="00AA046D">
        <w:rPr>
          <w:rFonts w:ascii="Arial" w:hAnsi="Arial" w:cs="Arial"/>
          <w:i/>
          <w:iCs/>
          <w:sz w:val="20"/>
          <w:szCs w:val="20"/>
        </w:rPr>
        <w:tab/>
      </w:r>
      <w:r w:rsidRPr="00A00562">
        <w:rPr>
          <w:rFonts w:ascii="Arial" w:hAnsi="Arial" w:cs="Arial"/>
          <w:i/>
          <w:iCs/>
          <w:sz w:val="20"/>
          <w:szCs w:val="20"/>
        </w:rPr>
        <w:t>No legal proceedings for the recovery of a debt may be instituted against an</w:t>
      </w:r>
      <w:r w:rsidR="00BE72BB" w:rsidRPr="00A00562">
        <w:rPr>
          <w:rFonts w:ascii="Arial" w:hAnsi="Arial" w:cs="Arial"/>
          <w:i/>
          <w:iCs/>
          <w:sz w:val="20"/>
          <w:szCs w:val="20"/>
        </w:rPr>
        <w:t xml:space="preserve"> </w:t>
      </w:r>
      <w:r w:rsidRPr="00A00562">
        <w:rPr>
          <w:rFonts w:ascii="Arial" w:hAnsi="Arial" w:cs="Arial"/>
          <w:i/>
          <w:iCs/>
          <w:sz w:val="20"/>
          <w:szCs w:val="20"/>
        </w:rPr>
        <w:t xml:space="preserve">organ of state unless- </w:t>
      </w:r>
    </w:p>
    <w:p w14:paraId="1AC3C9A1" w14:textId="77777777" w:rsidR="00772AD3" w:rsidRPr="00A00562" w:rsidRDefault="00557649" w:rsidP="00EE4068">
      <w:pPr>
        <w:spacing w:line="240" w:lineRule="auto"/>
        <w:ind w:left="2160" w:hanging="720"/>
        <w:jc w:val="both"/>
        <w:rPr>
          <w:rFonts w:ascii="Arial" w:hAnsi="Arial" w:cs="Arial"/>
          <w:i/>
          <w:iCs/>
          <w:sz w:val="20"/>
          <w:szCs w:val="20"/>
        </w:rPr>
      </w:pPr>
      <w:r w:rsidRPr="00A00562">
        <w:rPr>
          <w:rFonts w:ascii="Arial" w:hAnsi="Arial" w:cs="Arial"/>
          <w:i/>
          <w:iCs/>
          <w:sz w:val="20"/>
          <w:szCs w:val="20"/>
        </w:rPr>
        <w:t xml:space="preserve">(a) </w:t>
      </w:r>
      <w:r w:rsidR="00565907" w:rsidRPr="00A00562">
        <w:rPr>
          <w:rFonts w:ascii="Arial" w:hAnsi="Arial" w:cs="Arial"/>
          <w:i/>
          <w:iCs/>
          <w:sz w:val="20"/>
          <w:szCs w:val="20"/>
        </w:rPr>
        <w:tab/>
      </w:r>
      <w:r w:rsidRPr="00A00562">
        <w:rPr>
          <w:rFonts w:ascii="Arial" w:hAnsi="Arial" w:cs="Arial"/>
          <w:i/>
          <w:iCs/>
          <w:sz w:val="20"/>
          <w:szCs w:val="20"/>
        </w:rPr>
        <w:t xml:space="preserve">the creditor has given the organ of state in question notice in writing of his or its intention to institute the legal proceedings in question; or </w:t>
      </w:r>
    </w:p>
    <w:p w14:paraId="01E4C855" w14:textId="53614DD7" w:rsidR="007764F2" w:rsidRPr="00A00562" w:rsidRDefault="00772AD3" w:rsidP="00EE4068">
      <w:pPr>
        <w:spacing w:line="240" w:lineRule="auto"/>
        <w:ind w:left="2160" w:hanging="720"/>
        <w:jc w:val="both"/>
        <w:rPr>
          <w:rFonts w:ascii="Arial" w:hAnsi="Arial" w:cs="Arial"/>
          <w:i/>
          <w:iCs/>
          <w:sz w:val="20"/>
          <w:szCs w:val="20"/>
        </w:rPr>
      </w:pPr>
      <w:r w:rsidRPr="00A00562">
        <w:rPr>
          <w:rFonts w:ascii="Arial" w:hAnsi="Arial" w:cs="Arial"/>
          <w:i/>
          <w:iCs/>
          <w:sz w:val="20"/>
          <w:szCs w:val="20"/>
        </w:rPr>
        <w:t>(b)</w:t>
      </w:r>
      <w:r w:rsidRPr="00A00562">
        <w:rPr>
          <w:rFonts w:ascii="Arial" w:hAnsi="Arial" w:cs="Arial"/>
          <w:i/>
          <w:iCs/>
          <w:sz w:val="20"/>
          <w:szCs w:val="20"/>
        </w:rPr>
        <w:tab/>
        <w:t xml:space="preserve">the organ of state in question has consented in writing to the institution </w:t>
      </w:r>
      <w:r w:rsidR="007764F2" w:rsidRPr="00A00562">
        <w:rPr>
          <w:rFonts w:ascii="Arial" w:hAnsi="Arial" w:cs="Arial"/>
          <w:i/>
          <w:iCs/>
          <w:sz w:val="20"/>
          <w:szCs w:val="20"/>
        </w:rPr>
        <w:t xml:space="preserve">of that </w:t>
      </w:r>
      <w:r w:rsidRPr="00A00562">
        <w:rPr>
          <w:rFonts w:ascii="Arial" w:hAnsi="Arial" w:cs="Arial"/>
          <w:i/>
          <w:iCs/>
          <w:sz w:val="20"/>
          <w:szCs w:val="20"/>
        </w:rPr>
        <w:t xml:space="preserve">legal proceedings </w:t>
      </w:r>
      <w:r w:rsidR="007764F2" w:rsidRPr="00A00562">
        <w:rPr>
          <w:rFonts w:ascii="Arial" w:hAnsi="Arial" w:cs="Arial"/>
          <w:i/>
          <w:iCs/>
          <w:sz w:val="20"/>
          <w:szCs w:val="20"/>
        </w:rPr>
        <w:t>–</w:t>
      </w:r>
      <w:r w:rsidRPr="00A00562">
        <w:rPr>
          <w:rFonts w:ascii="Arial" w:hAnsi="Arial" w:cs="Arial"/>
          <w:i/>
          <w:iCs/>
          <w:sz w:val="20"/>
          <w:szCs w:val="20"/>
        </w:rPr>
        <w:t xml:space="preserve"> </w:t>
      </w:r>
    </w:p>
    <w:p w14:paraId="70DF65CF" w14:textId="455BB568" w:rsidR="00565907" w:rsidRPr="00A00562" w:rsidRDefault="00772AD3" w:rsidP="007764F2">
      <w:pPr>
        <w:spacing w:line="240" w:lineRule="auto"/>
        <w:ind w:left="2160"/>
        <w:jc w:val="both"/>
        <w:rPr>
          <w:rFonts w:ascii="Arial" w:hAnsi="Arial" w:cs="Arial"/>
          <w:i/>
          <w:iCs/>
          <w:sz w:val="20"/>
          <w:szCs w:val="20"/>
        </w:rPr>
      </w:pPr>
      <w:r w:rsidRPr="00A00562">
        <w:rPr>
          <w:rFonts w:ascii="Arial" w:hAnsi="Arial" w:cs="Arial"/>
          <w:i/>
          <w:iCs/>
          <w:sz w:val="20"/>
          <w:szCs w:val="20"/>
        </w:rPr>
        <w:t xml:space="preserve">(i) without such notice; </w:t>
      </w:r>
      <w:r w:rsidR="00557649" w:rsidRPr="00A00562">
        <w:rPr>
          <w:rFonts w:ascii="Arial" w:hAnsi="Arial" w:cs="Arial"/>
          <w:i/>
          <w:iCs/>
          <w:sz w:val="20"/>
          <w:szCs w:val="20"/>
        </w:rPr>
        <w:t xml:space="preserve">or </w:t>
      </w:r>
    </w:p>
    <w:p w14:paraId="570665B8" w14:textId="55EC7C1B" w:rsidR="00557649" w:rsidRPr="00A00562" w:rsidRDefault="00557649" w:rsidP="005C3B0B">
      <w:pPr>
        <w:spacing w:line="240" w:lineRule="auto"/>
        <w:ind w:left="2160"/>
        <w:jc w:val="both"/>
        <w:rPr>
          <w:rFonts w:ascii="Arial" w:hAnsi="Arial" w:cs="Arial"/>
          <w:i/>
          <w:iCs/>
          <w:sz w:val="20"/>
          <w:szCs w:val="20"/>
        </w:rPr>
      </w:pPr>
      <w:r w:rsidRPr="00A00562">
        <w:rPr>
          <w:rFonts w:ascii="Arial" w:hAnsi="Arial" w:cs="Arial"/>
          <w:i/>
          <w:iCs/>
          <w:sz w:val="20"/>
          <w:szCs w:val="20"/>
        </w:rPr>
        <w:t xml:space="preserve">(ii) upon receipt of a notice which does not comply with all the requirements set out in subsection (2). </w:t>
      </w:r>
    </w:p>
    <w:p w14:paraId="72D65993" w14:textId="208CDCFC" w:rsidR="00F12D10" w:rsidRPr="00A00562" w:rsidRDefault="00F243D8" w:rsidP="005C3B0B">
      <w:pPr>
        <w:spacing w:line="240" w:lineRule="auto"/>
        <w:ind w:left="720" w:hanging="11"/>
        <w:jc w:val="both"/>
        <w:rPr>
          <w:rFonts w:ascii="Arial" w:hAnsi="Arial" w:cs="Arial"/>
          <w:i/>
          <w:iCs/>
          <w:sz w:val="20"/>
          <w:szCs w:val="20"/>
        </w:rPr>
      </w:pPr>
      <w:r w:rsidRPr="00A00562">
        <w:rPr>
          <w:rFonts w:ascii="Arial" w:hAnsi="Arial" w:cs="Arial"/>
          <w:i/>
          <w:iCs/>
          <w:sz w:val="20"/>
          <w:szCs w:val="20"/>
        </w:rPr>
        <w:t xml:space="preserve">(2) A notice must- </w:t>
      </w:r>
    </w:p>
    <w:p w14:paraId="5F107B78" w14:textId="77777777" w:rsidR="005C3B0B" w:rsidRPr="00A00562" w:rsidRDefault="00F243D8" w:rsidP="005C3B0B">
      <w:pPr>
        <w:spacing w:line="240" w:lineRule="auto"/>
        <w:ind w:left="2160" w:hanging="720"/>
        <w:jc w:val="both"/>
        <w:rPr>
          <w:rFonts w:ascii="Arial" w:hAnsi="Arial" w:cs="Arial"/>
          <w:i/>
          <w:iCs/>
          <w:sz w:val="20"/>
          <w:szCs w:val="20"/>
        </w:rPr>
      </w:pPr>
      <w:r w:rsidRPr="00A00562">
        <w:rPr>
          <w:rFonts w:ascii="Arial" w:hAnsi="Arial" w:cs="Arial"/>
          <w:i/>
          <w:iCs/>
          <w:sz w:val="20"/>
          <w:szCs w:val="20"/>
        </w:rPr>
        <w:t xml:space="preserve">(a) </w:t>
      </w:r>
      <w:r w:rsidR="00F12D10" w:rsidRPr="00A00562">
        <w:rPr>
          <w:rFonts w:ascii="Arial" w:hAnsi="Arial" w:cs="Arial"/>
          <w:i/>
          <w:iCs/>
          <w:sz w:val="20"/>
          <w:szCs w:val="20"/>
        </w:rPr>
        <w:tab/>
      </w:r>
      <w:r w:rsidRPr="00A00562">
        <w:rPr>
          <w:rFonts w:ascii="Arial" w:hAnsi="Arial" w:cs="Arial"/>
          <w:i/>
          <w:iCs/>
          <w:sz w:val="20"/>
          <w:szCs w:val="20"/>
        </w:rPr>
        <w:t xml:space="preserve">within six months from the date on which the debt became due, be served on the organ of state in accordance with section 4(1); and </w:t>
      </w:r>
    </w:p>
    <w:p w14:paraId="51AF8A15" w14:textId="77777777" w:rsidR="005C3B0B" w:rsidRPr="00A00562" w:rsidRDefault="00F243D8" w:rsidP="005C3B0B">
      <w:pPr>
        <w:spacing w:line="240" w:lineRule="auto"/>
        <w:ind w:left="2160"/>
        <w:jc w:val="both"/>
        <w:rPr>
          <w:rFonts w:ascii="Arial" w:hAnsi="Arial" w:cs="Arial"/>
          <w:i/>
          <w:iCs/>
          <w:sz w:val="20"/>
          <w:szCs w:val="20"/>
        </w:rPr>
      </w:pPr>
      <w:r w:rsidRPr="00A00562">
        <w:rPr>
          <w:rFonts w:ascii="Arial" w:hAnsi="Arial" w:cs="Arial"/>
          <w:i/>
          <w:iCs/>
          <w:sz w:val="20"/>
          <w:szCs w:val="20"/>
        </w:rPr>
        <w:t xml:space="preserve">(i) </w:t>
      </w:r>
      <w:r w:rsidR="005C3B0B" w:rsidRPr="00A00562">
        <w:rPr>
          <w:rFonts w:ascii="Arial" w:hAnsi="Arial" w:cs="Arial"/>
          <w:i/>
          <w:iCs/>
          <w:sz w:val="20"/>
          <w:szCs w:val="20"/>
        </w:rPr>
        <w:tab/>
      </w:r>
      <w:r w:rsidRPr="00A00562">
        <w:rPr>
          <w:rFonts w:ascii="Arial" w:hAnsi="Arial" w:cs="Arial"/>
          <w:i/>
          <w:iCs/>
          <w:sz w:val="20"/>
          <w:szCs w:val="20"/>
        </w:rPr>
        <w:t xml:space="preserve">the facts giving rise to the debt; and </w:t>
      </w:r>
    </w:p>
    <w:p w14:paraId="35564ACB" w14:textId="77777777" w:rsidR="00E129D3" w:rsidRPr="00A00562" w:rsidRDefault="00F243D8" w:rsidP="005C3B0B">
      <w:pPr>
        <w:spacing w:line="240" w:lineRule="auto"/>
        <w:ind w:left="2880" w:hanging="720"/>
        <w:jc w:val="both"/>
        <w:rPr>
          <w:rFonts w:ascii="Arial" w:hAnsi="Arial" w:cs="Arial"/>
          <w:i/>
          <w:iCs/>
          <w:sz w:val="20"/>
          <w:szCs w:val="20"/>
        </w:rPr>
      </w:pPr>
      <w:r w:rsidRPr="00A00562">
        <w:rPr>
          <w:rFonts w:ascii="Arial" w:hAnsi="Arial" w:cs="Arial"/>
          <w:i/>
          <w:iCs/>
          <w:sz w:val="20"/>
          <w:szCs w:val="20"/>
        </w:rPr>
        <w:t xml:space="preserve">(ii) </w:t>
      </w:r>
      <w:r w:rsidR="005C3B0B" w:rsidRPr="00A00562">
        <w:rPr>
          <w:rFonts w:ascii="Arial" w:hAnsi="Arial" w:cs="Arial"/>
          <w:i/>
          <w:iCs/>
          <w:sz w:val="20"/>
          <w:szCs w:val="20"/>
        </w:rPr>
        <w:tab/>
      </w:r>
      <w:r w:rsidRPr="00A00562">
        <w:rPr>
          <w:rFonts w:ascii="Arial" w:hAnsi="Arial" w:cs="Arial"/>
          <w:i/>
          <w:iCs/>
          <w:sz w:val="20"/>
          <w:szCs w:val="20"/>
        </w:rPr>
        <w:t>such particulars of such debt as are within the knowledge of the creditor</w:t>
      </w:r>
    </w:p>
    <w:p w14:paraId="3FA8E5E7" w14:textId="0F57454C" w:rsidR="00754815" w:rsidRPr="00A00562" w:rsidRDefault="00754815" w:rsidP="00754815">
      <w:pPr>
        <w:spacing w:line="240" w:lineRule="auto"/>
        <w:ind w:left="720" w:firstLine="720"/>
        <w:jc w:val="both"/>
        <w:rPr>
          <w:rFonts w:ascii="Arial" w:hAnsi="Arial" w:cs="Arial"/>
          <w:i/>
          <w:iCs/>
          <w:sz w:val="20"/>
          <w:szCs w:val="20"/>
        </w:rPr>
      </w:pPr>
      <w:r w:rsidRPr="00A00562">
        <w:rPr>
          <w:rFonts w:ascii="Arial" w:hAnsi="Arial" w:cs="Arial"/>
          <w:i/>
          <w:iCs/>
          <w:sz w:val="20"/>
          <w:szCs w:val="20"/>
        </w:rPr>
        <w:t>(b) briefly set out –</w:t>
      </w:r>
    </w:p>
    <w:p w14:paraId="7C62B222" w14:textId="77777777" w:rsidR="00754815" w:rsidRPr="00A00562" w:rsidRDefault="00754815" w:rsidP="00754815">
      <w:pPr>
        <w:spacing w:line="240" w:lineRule="auto"/>
        <w:ind w:left="1440" w:firstLine="720"/>
        <w:jc w:val="both"/>
        <w:rPr>
          <w:rFonts w:ascii="Arial" w:hAnsi="Arial" w:cs="Arial"/>
          <w:i/>
          <w:iCs/>
          <w:sz w:val="20"/>
          <w:szCs w:val="20"/>
        </w:rPr>
      </w:pPr>
      <w:r w:rsidRPr="00A00562">
        <w:rPr>
          <w:rFonts w:ascii="Arial" w:hAnsi="Arial" w:cs="Arial"/>
          <w:i/>
          <w:iCs/>
          <w:sz w:val="20"/>
          <w:szCs w:val="20"/>
        </w:rPr>
        <w:t xml:space="preserve"> (i) the facts giving rise to the debt; and </w:t>
      </w:r>
    </w:p>
    <w:p w14:paraId="4314009C" w14:textId="5AA62118" w:rsidR="008533F6" w:rsidRPr="00A00562" w:rsidRDefault="00754815" w:rsidP="003C4229">
      <w:pPr>
        <w:spacing w:line="240" w:lineRule="auto"/>
        <w:ind w:left="1440" w:firstLine="720"/>
        <w:jc w:val="both"/>
        <w:rPr>
          <w:rFonts w:ascii="Arial" w:hAnsi="Arial" w:cs="Arial"/>
          <w:i/>
          <w:iCs/>
          <w:sz w:val="20"/>
          <w:szCs w:val="20"/>
        </w:rPr>
      </w:pPr>
      <w:r w:rsidRPr="00A00562">
        <w:rPr>
          <w:rFonts w:ascii="Arial" w:hAnsi="Arial" w:cs="Arial"/>
          <w:i/>
          <w:iCs/>
          <w:sz w:val="20"/>
          <w:szCs w:val="20"/>
        </w:rPr>
        <w:t>(ii) such particulars of such debt as are within the knowledge of the creditor.</w:t>
      </w:r>
    </w:p>
    <w:p w14:paraId="468576DF" w14:textId="77777777" w:rsidR="00120A34" w:rsidRPr="00A00562" w:rsidRDefault="000C0EB8" w:rsidP="000C0EB8">
      <w:pPr>
        <w:spacing w:line="240" w:lineRule="auto"/>
        <w:ind w:left="720"/>
        <w:jc w:val="both"/>
        <w:rPr>
          <w:rFonts w:ascii="Arial" w:hAnsi="Arial" w:cs="Arial"/>
          <w:i/>
          <w:iCs/>
          <w:sz w:val="20"/>
          <w:szCs w:val="20"/>
        </w:rPr>
      </w:pPr>
      <w:r w:rsidRPr="00A00562">
        <w:rPr>
          <w:rFonts w:ascii="Arial" w:hAnsi="Arial" w:cs="Arial"/>
          <w:i/>
          <w:iCs/>
          <w:sz w:val="20"/>
          <w:szCs w:val="20"/>
        </w:rPr>
        <w:t>(3) For purposes of subsection (2)</w:t>
      </w:r>
      <w:r w:rsidR="00120A34" w:rsidRPr="00A00562">
        <w:rPr>
          <w:rFonts w:ascii="Arial" w:hAnsi="Arial" w:cs="Arial"/>
          <w:i/>
          <w:iCs/>
          <w:sz w:val="20"/>
          <w:szCs w:val="20"/>
        </w:rPr>
        <w:t>(a)</w:t>
      </w:r>
      <w:r w:rsidRPr="00A00562">
        <w:rPr>
          <w:rFonts w:ascii="Arial" w:hAnsi="Arial" w:cs="Arial"/>
          <w:i/>
          <w:iCs/>
          <w:sz w:val="20"/>
          <w:szCs w:val="20"/>
        </w:rPr>
        <w:t xml:space="preserve">- </w:t>
      </w:r>
    </w:p>
    <w:p w14:paraId="210BC1FE" w14:textId="796273A7" w:rsidR="003C4229" w:rsidRPr="00A00562" w:rsidRDefault="00120A34" w:rsidP="00120A34">
      <w:pPr>
        <w:spacing w:line="240" w:lineRule="auto"/>
        <w:ind w:left="2160" w:hanging="720"/>
        <w:jc w:val="both"/>
        <w:rPr>
          <w:rFonts w:ascii="Arial" w:hAnsi="Arial" w:cs="Arial"/>
          <w:i/>
          <w:iCs/>
          <w:sz w:val="20"/>
          <w:szCs w:val="20"/>
        </w:rPr>
      </w:pPr>
      <w:r w:rsidRPr="00A00562">
        <w:rPr>
          <w:rFonts w:ascii="Arial" w:hAnsi="Arial" w:cs="Arial"/>
          <w:i/>
          <w:iCs/>
          <w:sz w:val="20"/>
          <w:szCs w:val="20"/>
        </w:rPr>
        <w:t>(a)</w:t>
      </w:r>
      <w:r w:rsidRPr="00A00562">
        <w:rPr>
          <w:rFonts w:ascii="Arial" w:hAnsi="Arial" w:cs="Arial"/>
          <w:i/>
          <w:iCs/>
          <w:sz w:val="20"/>
          <w:szCs w:val="20"/>
        </w:rPr>
        <w:tab/>
      </w:r>
      <w:r w:rsidR="000C0EB8" w:rsidRPr="00A00562">
        <w:rPr>
          <w:rFonts w:ascii="Arial" w:hAnsi="Arial" w:cs="Arial"/>
          <w:i/>
          <w:iCs/>
          <w:sz w:val="20"/>
          <w:szCs w:val="20"/>
        </w:rPr>
        <w:t>a debt may not be regarded as being due until the creditor has knowledge of the identity of the organ of state and of the facts giving rise to the debt, but a creditor must be regarded as having acquired such knowledge as soon as he or she or it could have acquired it</w:t>
      </w:r>
      <w:r w:rsidR="00E856BB">
        <w:rPr>
          <w:rFonts w:ascii="Arial" w:hAnsi="Arial" w:cs="Arial"/>
          <w:i/>
          <w:iCs/>
          <w:sz w:val="20"/>
          <w:szCs w:val="20"/>
        </w:rPr>
        <w:t xml:space="preserve"> </w:t>
      </w:r>
      <w:r w:rsidR="000C0EB8" w:rsidRPr="00A00562">
        <w:rPr>
          <w:rFonts w:ascii="Arial" w:hAnsi="Arial" w:cs="Arial"/>
          <w:i/>
          <w:iCs/>
          <w:sz w:val="20"/>
          <w:szCs w:val="20"/>
        </w:rPr>
        <w:t xml:space="preserve">by exercising reasonable care, unless the organ of state wilfully prevented him or her or it from acquiring such knowledge; and </w:t>
      </w:r>
    </w:p>
    <w:p w14:paraId="05262C30" w14:textId="5B1E01DE" w:rsidR="003170A8" w:rsidRDefault="000C0EB8" w:rsidP="00120A34">
      <w:pPr>
        <w:spacing w:line="240" w:lineRule="auto"/>
        <w:ind w:left="2160" w:hanging="720"/>
        <w:jc w:val="both"/>
        <w:rPr>
          <w:rFonts w:ascii="Arial" w:hAnsi="Arial" w:cs="Arial"/>
          <w:i/>
          <w:iCs/>
          <w:sz w:val="20"/>
          <w:szCs w:val="20"/>
        </w:rPr>
      </w:pPr>
      <w:r w:rsidRPr="00A00562">
        <w:rPr>
          <w:rFonts w:ascii="Arial" w:hAnsi="Arial" w:cs="Arial"/>
          <w:i/>
          <w:iCs/>
          <w:sz w:val="20"/>
          <w:szCs w:val="20"/>
        </w:rPr>
        <w:t xml:space="preserve">(b) </w:t>
      </w:r>
      <w:r w:rsidR="003C4229" w:rsidRPr="00A00562">
        <w:rPr>
          <w:rFonts w:ascii="Arial" w:hAnsi="Arial" w:cs="Arial"/>
          <w:i/>
          <w:iCs/>
          <w:sz w:val="20"/>
          <w:szCs w:val="20"/>
        </w:rPr>
        <w:tab/>
      </w:r>
      <w:r w:rsidRPr="00A00562">
        <w:rPr>
          <w:rFonts w:ascii="Arial" w:hAnsi="Arial" w:cs="Arial"/>
          <w:i/>
          <w:iCs/>
          <w:sz w:val="20"/>
          <w:szCs w:val="20"/>
        </w:rPr>
        <w:t>a debt referred to in section 2(2)(a), must be regarded as having become due on the fixed date.</w:t>
      </w:r>
      <w:r w:rsidR="005C3B0B" w:rsidRPr="00A00562">
        <w:rPr>
          <w:rFonts w:ascii="Arial" w:hAnsi="Arial" w:cs="Arial"/>
          <w:i/>
          <w:iCs/>
          <w:sz w:val="20"/>
          <w:szCs w:val="20"/>
        </w:rPr>
        <w:t>”</w:t>
      </w:r>
      <w:r w:rsidR="003170A8" w:rsidRPr="005C3B0B">
        <w:rPr>
          <w:rFonts w:ascii="Arial" w:hAnsi="Arial" w:cs="Arial"/>
          <w:i/>
          <w:iCs/>
        </w:rPr>
        <w:tab/>
      </w:r>
      <w:r w:rsidR="003170A8" w:rsidRPr="005C3B0B">
        <w:rPr>
          <w:rFonts w:ascii="Arial" w:hAnsi="Arial" w:cs="Arial"/>
          <w:i/>
          <w:iCs/>
          <w:sz w:val="24"/>
          <w:szCs w:val="24"/>
        </w:rPr>
        <w:tab/>
      </w:r>
    </w:p>
    <w:p w14:paraId="64DD72D7" w14:textId="77777777" w:rsidR="00E856BB" w:rsidRDefault="00E856BB" w:rsidP="00E856BB">
      <w:pPr>
        <w:rPr>
          <w:rFonts w:ascii="Arial" w:hAnsi="Arial" w:cs="Arial"/>
          <w:i/>
          <w:iCs/>
          <w:sz w:val="20"/>
          <w:szCs w:val="20"/>
        </w:rPr>
      </w:pPr>
    </w:p>
    <w:p w14:paraId="659094AE" w14:textId="70B9112E" w:rsidR="004A70A2" w:rsidRDefault="00E856BB" w:rsidP="001628AE">
      <w:pPr>
        <w:spacing w:line="480" w:lineRule="auto"/>
        <w:ind w:left="720" w:hanging="720"/>
        <w:jc w:val="both"/>
        <w:rPr>
          <w:rFonts w:ascii="Arial" w:hAnsi="Arial" w:cs="Arial"/>
          <w:sz w:val="24"/>
          <w:szCs w:val="24"/>
        </w:rPr>
      </w:pPr>
      <w:r>
        <w:rPr>
          <w:rFonts w:ascii="Arial" w:hAnsi="Arial" w:cs="Arial"/>
          <w:sz w:val="24"/>
          <w:szCs w:val="24"/>
        </w:rPr>
        <w:t>[</w:t>
      </w:r>
      <w:r w:rsidR="00AA046D">
        <w:rPr>
          <w:rFonts w:ascii="Arial" w:hAnsi="Arial" w:cs="Arial"/>
          <w:sz w:val="24"/>
          <w:szCs w:val="24"/>
        </w:rPr>
        <w:t>19</w:t>
      </w:r>
      <w:r>
        <w:rPr>
          <w:rFonts w:ascii="Arial" w:hAnsi="Arial" w:cs="Arial"/>
          <w:sz w:val="24"/>
          <w:szCs w:val="24"/>
        </w:rPr>
        <w:t>]</w:t>
      </w:r>
      <w:r>
        <w:rPr>
          <w:rFonts w:ascii="Arial" w:hAnsi="Arial" w:cs="Arial"/>
          <w:sz w:val="24"/>
          <w:szCs w:val="24"/>
        </w:rPr>
        <w:tab/>
        <w:t>Section 4</w:t>
      </w:r>
      <w:r w:rsidR="009B2EEB">
        <w:rPr>
          <w:rFonts w:ascii="Arial" w:hAnsi="Arial" w:cs="Arial"/>
          <w:sz w:val="24"/>
          <w:szCs w:val="24"/>
        </w:rPr>
        <w:t>(b)</w:t>
      </w:r>
      <w:r>
        <w:rPr>
          <w:rFonts w:ascii="Arial" w:hAnsi="Arial" w:cs="Arial"/>
          <w:sz w:val="24"/>
          <w:szCs w:val="24"/>
        </w:rPr>
        <w:t xml:space="preserve"> </w:t>
      </w:r>
      <w:r w:rsidR="000A623C">
        <w:rPr>
          <w:rFonts w:ascii="Arial" w:hAnsi="Arial" w:cs="Arial"/>
          <w:sz w:val="24"/>
          <w:szCs w:val="24"/>
        </w:rPr>
        <w:t xml:space="preserve">of the Institution Act </w:t>
      </w:r>
      <w:r>
        <w:rPr>
          <w:rFonts w:ascii="Arial" w:hAnsi="Arial" w:cs="Arial"/>
          <w:sz w:val="24"/>
          <w:szCs w:val="24"/>
        </w:rPr>
        <w:t xml:space="preserve">provides </w:t>
      </w:r>
      <w:r w:rsidR="009B2EEB">
        <w:rPr>
          <w:rFonts w:ascii="Arial" w:hAnsi="Arial" w:cs="Arial"/>
          <w:sz w:val="24"/>
          <w:szCs w:val="24"/>
        </w:rPr>
        <w:t xml:space="preserve">that a </w:t>
      </w:r>
      <w:r w:rsidR="000A623C">
        <w:rPr>
          <w:rFonts w:ascii="Arial" w:hAnsi="Arial" w:cs="Arial"/>
          <w:sz w:val="24"/>
          <w:szCs w:val="24"/>
        </w:rPr>
        <w:t>c</w:t>
      </w:r>
      <w:r w:rsidR="009B2EEB">
        <w:rPr>
          <w:rFonts w:ascii="Arial" w:hAnsi="Arial" w:cs="Arial"/>
          <w:sz w:val="24"/>
          <w:szCs w:val="24"/>
        </w:rPr>
        <w:t>ourt may grant</w:t>
      </w:r>
      <w:r w:rsidR="001628AE">
        <w:rPr>
          <w:rFonts w:ascii="Arial" w:hAnsi="Arial" w:cs="Arial"/>
          <w:sz w:val="24"/>
          <w:szCs w:val="24"/>
        </w:rPr>
        <w:t xml:space="preserve"> an application for condonation if it is satisfied that</w:t>
      </w:r>
      <w:r w:rsidR="004A70A2">
        <w:rPr>
          <w:rFonts w:ascii="Arial" w:hAnsi="Arial" w:cs="Arial"/>
          <w:sz w:val="24"/>
          <w:szCs w:val="24"/>
        </w:rPr>
        <w:t>:</w:t>
      </w:r>
    </w:p>
    <w:p w14:paraId="6FC19CC4" w14:textId="71A7FBAB" w:rsidR="004A70A2" w:rsidRPr="00937C1A" w:rsidRDefault="004A70A2" w:rsidP="00937C1A">
      <w:pPr>
        <w:spacing w:line="240" w:lineRule="auto"/>
        <w:ind w:left="720" w:hanging="720"/>
        <w:jc w:val="both"/>
        <w:rPr>
          <w:rFonts w:ascii="Arial" w:hAnsi="Arial" w:cs="Arial"/>
          <w:i/>
          <w:iCs/>
          <w:sz w:val="20"/>
          <w:szCs w:val="20"/>
        </w:rPr>
      </w:pPr>
      <w:r>
        <w:rPr>
          <w:rFonts w:ascii="Arial" w:hAnsi="Arial" w:cs="Arial"/>
          <w:sz w:val="24"/>
          <w:szCs w:val="24"/>
        </w:rPr>
        <w:lastRenderedPageBreak/>
        <w:tab/>
      </w:r>
      <w:r>
        <w:rPr>
          <w:rFonts w:ascii="Arial" w:hAnsi="Arial" w:cs="Arial"/>
          <w:sz w:val="24"/>
          <w:szCs w:val="24"/>
        </w:rPr>
        <w:tab/>
      </w:r>
      <w:r w:rsidRPr="00937C1A">
        <w:rPr>
          <w:rFonts w:ascii="Arial" w:hAnsi="Arial" w:cs="Arial"/>
          <w:i/>
          <w:iCs/>
          <w:sz w:val="20"/>
          <w:szCs w:val="20"/>
        </w:rPr>
        <w:t xml:space="preserve"> “(i) </w:t>
      </w:r>
      <w:r w:rsidRPr="00937C1A">
        <w:rPr>
          <w:rFonts w:ascii="Arial" w:hAnsi="Arial" w:cs="Arial"/>
          <w:i/>
          <w:iCs/>
          <w:sz w:val="20"/>
          <w:szCs w:val="20"/>
        </w:rPr>
        <w:tab/>
        <w:t xml:space="preserve">the debt has not been extinguished by prescription; </w:t>
      </w:r>
    </w:p>
    <w:p w14:paraId="57C633D0" w14:textId="77777777" w:rsidR="004A70A2" w:rsidRPr="00937C1A" w:rsidRDefault="004A70A2" w:rsidP="00937C1A">
      <w:pPr>
        <w:spacing w:line="240" w:lineRule="auto"/>
        <w:ind w:left="1440"/>
        <w:jc w:val="both"/>
        <w:rPr>
          <w:rFonts w:ascii="Arial" w:hAnsi="Arial" w:cs="Arial"/>
          <w:i/>
          <w:iCs/>
          <w:sz w:val="20"/>
          <w:szCs w:val="20"/>
        </w:rPr>
      </w:pPr>
      <w:r w:rsidRPr="00937C1A">
        <w:rPr>
          <w:rFonts w:ascii="Arial" w:hAnsi="Arial" w:cs="Arial"/>
          <w:i/>
          <w:iCs/>
          <w:sz w:val="20"/>
          <w:szCs w:val="20"/>
        </w:rPr>
        <w:t xml:space="preserve">(ii) </w:t>
      </w:r>
      <w:r w:rsidRPr="00937C1A">
        <w:rPr>
          <w:rFonts w:ascii="Arial" w:hAnsi="Arial" w:cs="Arial"/>
          <w:i/>
          <w:iCs/>
          <w:sz w:val="20"/>
          <w:szCs w:val="20"/>
        </w:rPr>
        <w:tab/>
        <w:t xml:space="preserve">good cause exists for the failure by the creditor; and </w:t>
      </w:r>
    </w:p>
    <w:p w14:paraId="6A214D6F" w14:textId="2FC1E404" w:rsidR="00E856BB" w:rsidRDefault="004A70A2" w:rsidP="00937C1A">
      <w:pPr>
        <w:spacing w:line="240" w:lineRule="auto"/>
        <w:ind w:left="1440"/>
        <w:jc w:val="both"/>
        <w:rPr>
          <w:rFonts w:ascii="Arial" w:hAnsi="Arial" w:cs="Arial"/>
          <w:i/>
          <w:iCs/>
          <w:sz w:val="20"/>
          <w:szCs w:val="20"/>
        </w:rPr>
      </w:pPr>
      <w:r w:rsidRPr="00937C1A">
        <w:rPr>
          <w:rFonts w:ascii="Arial" w:hAnsi="Arial" w:cs="Arial"/>
          <w:i/>
          <w:iCs/>
          <w:sz w:val="20"/>
          <w:szCs w:val="20"/>
        </w:rPr>
        <w:t xml:space="preserve">(iii) </w:t>
      </w:r>
      <w:r w:rsidRPr="00937C1A">
        <w:rPr>
          <w:rFonts w:ascii="Arial" w:hAnsi="Arial" w:cs="Arial"/>
          <w:i/>
          <w:iCs/>
          <w:sz w:val="20"/>
          <w:szCs w:val="20"/>
        </w:rPr>
        <w:tab/>
        <w:t>the organ of state was not unreasonably prejudiced by the failure.</w:t>
      </w:r>
      <w:r w:rsidR="00937C1A" w:rsidRPr="00937C1A">
        <w:rPr>
          <w:rFonts w:ascii="Arial" w:hAnsi="Arial" w:cs="Arial"/>
          <w:i/>
          <w:iCs/>
          <w:sz w:val="20"/>
          <w:szCs w:val="20"/>
        </w:rPr>
        <w:t>”</w:t>
      </w:r>
    </w:p>
    <w:p w14:paraId="03B0D7E4" w14:textId="77777777" w:rsidR="000A623C" w:rsidRDefault="000A623C" w:rsidP="00937C1A">
      <w:pPr>
        <w:spacing w:line="240" w:lineRule="auto"/>
        <w:ind w:left="1440"/>
        <w:jc w:val="both"/>
        <w:rPr>
          <w:rFonts w:ascii="Arial" w:hAnsi="Arial" w:cs="Arial"/>
          <w:sz w:val="20"/>
          <w:szCs w:val="20"/>
        </w:rPr>
      </w:pPr>
    </w:p>
    <w:p w14:paraId="2A2B7D34" w14:textId="380BA519" w:rsidR="000A623C" w:rsidRPr="000A623C" w:rsidRDefault="00747BD3" w:rsidP="000A623C">
      <w:pPr>
        <w:spacing w:line="480" w:lineRule="auto"/>
        <w:ind w:left="720" w:hanging="720"/>
        <w:jc w:val="both"/>
        <w:rPr>
          <w:rFonts w:ascii="Arial" w:hAnsi="Arial" w:cs="Arial"/>
          <w:sz w:val="24"/>
          <w:szCs w:val="24"/>
          <w:lang w:val="en-US"/>
        </w:rPr>
      </w:pPr>
      <w:r>
        <w:rPr>
          <w:rFonts w:ascii="Arial" w:hAnsi="Arial" w:cs="Arial"/>
          <w:sz w:val="24"/>
          <w:szCs w:val="24"/>
        </w:rPr>
        <w:t>[2</w:t>
      </w:r>
      <w:r w:rsidR="00AA046D">
        <w:rPr>
          <w:rFonts w:ascii="Arial" w:hAnsi="Arial" w:cs="Arial"/>
          <w:sz w:val="24"/>
          <w:szCs w:val="24"/>
        </w:rPr>
        <w:t>0</w:t>
      </w:r>
      <w:r>
        <w:rPr>
          <w:rFonts w:ascii="Arial" w:hAnsi="Arial" w:cs="Arial"/>
          <w:sz w:val="24"/>
          <w:szCs w:val="24"/>
        </w:rPr>
        <w:t>]</w:t>
      </w:r>
      <w:r>
        <w:rPr>
          <w:rFonts w:ascii="Arial" w:hAnsi="Arial" w:cs="Arial"/>
          <w:sz w:val="24"/>
          <w:szCs w:val="24"/>
        </w:rPr>
        <w:tab/>
      </w:r>
      <w:r w:rsidR="000A623C">
        <w:rPr>
          <w:rFonts w:ascii="Arial" w:hAnsi="Arial" w:cs="Arial"/>
          <w:sz w:val="24"/>
          <w:szCs w:val="24"/>
        </w:rPr>
        <w:t xml:space="preserve">As a starting point it is necessary to have regard to the facts and questions of law pleaded by the parties. </w:t>
      </w:r>
      <w:r w:rsidR="000A623C">
        <w:rPr>
          <w:rFonts w:ascii="Arial" w:hAnsi="Arial" w:cs="Arial"/>
          <w:sz w:val="24"/>
          <w:szCs w:val="24"/>
          <w:lang w:val="en-US"/>
        </w:rPr>
        <w:t xml:space="preserve"> </w:t>
      </w:r>
      <w:r w:rsidR="000A623C" w:rsidRPr="000A623C">
        <w:rPr>
          <w:rFonts w:ascii="Arial" w:hAnsi="Arial" w:cs="Arial"/>
          <w:sz w:val="24"/>
          <w:szCs w:val="24"/>
          <w:lang w:val="en-US"/>
        </w:rPr>
        <w:t xml:space="preserve">At paragraphs  54 to 57 and 59 to 61,  the applicant dealt with “ good cause” and alleged , </w:t>
      </w:r>
      <w:r w:rsidR="000A623C" w:rsidRPr="000A623C">
        <w:rPr>
          <w:rFonts w:ascii="Arial" w:hAnsi="Arial" w:cs="Arial"/>
          <w:i/>
          <w:iCs/>
          <w:sz w:val="24"/>
          <w:szCs w:val="24"/>
          <w:lang w:val="en-US"/>
        </w:rPr>
        <w:t>inter alia,</w:t>
      </w:r>
      <w:r w:rsidR="000A623C" w:rsidRPr="000A623C">
        <w:rPr>
          <w:rFonts w:ascii="Arial" w:hAnsi="Arial" w:cs="Arial"/>
          <w:sz w:val="24"/>
          <w:szCs w:val="24"/>
          <w:lang w:val="en-US"/>
        </w:rPr>
        <w:t xml:space="preserve"> that she ha</w:t>
      </w:r>
      <w:r w:rsidR="000A623C">
        <w:rPr>
          <w:rFonts w:ascii="Arial" w:hAnsi="Arial" w:cs="Arial"/>
          <w:sz w:val="24"/>
          <w:szCs w:val="24"/>
          <w:lang w:val="en-US"/>
        </w:rPr>
        <w:t>d</w:t>
      </w:r>
      <w:r w:rsidR="000A623C" w:rsidRPr="000A623C">
        <w:rPr>
          <w:rFonts w:ascii="Arial" w:hAnsi="Arial" w:cs="Arial"/>
          <w:sz w:val="24"/>
          <w:szCs w:val="24"/>
          <w:lang w:val="en-US"/>
        </w:rPr>
        <w:t xml:space="preserve"> no knowledge of the law, </w:t>
      </w:r>
      <w:r w:rsidR="000A623C">
        <w:rPr>
          <w:rFonts w:ascii="Arial" w:hAnsi="Arial" w:cs="Arial"/>
          <w:sz w:val="24"/>
          <w:szCs w:val="24"/>
          <w:lang w:val="en-US"/>
        </w:rPr>
        <w:t xml:space="preserve">she </w:t>
      </w:r>
      <w:r w:rsidR="000A623C" w:rsidRPr="000A623C">
        <w:rPr>
          <w:rFonts w:ascii="Arial" w:hAnsi="Arial" w:cs="Arial"/>
          <w:sz w:val="24"/>
          <w:szCs w:val="24"/>
          <w:lang w:val="en-US"/>
        </w:rPr>
        <w:t xml:space="preserve"> became aware of the civil laws after consulting with her attorneys, the request for the case docket was peremptory , </w:t>
      </w:r>
      <w:r w:rsidR="000A623C">
        <w:rPr>
          <w:rFonts w:ascii="Arial" w:hAnsi="Arial" w:cs="Arial"/>
          <w:sz w:val="24"/>
          <w:szCs w:val="24"/>
          <w:lang w:val="en-US"/>
        </w:rPr>
        <w:t xml:space="preserve">had </w:t>
      </w:r>
      <w:r w:rsidR="000A623C" w:rsidRPr="000A623C">
        <w:rPr>
          <w:rFonts w:ascii="Arial" w:hAnsi="Arial" w:cs="Arial"/>
          <w:sz w:val="24"/>
          <w:szCs w:val="24"/>
          <w:lang w:val="en-US"/>
        </w:rPr>
        <w:t xml:space="preserve">the first respondent furnished the docket timeously and not after one year and two months, she would have </w:t>
      </w:r>
      <w:r w:rsidR="00C60E75">
        <w:rPr>
          <w:rFonts w:ascii="Arial" w:hAnsi="Arial" w:cs="Arial"/>
          <w:sz w:val="24"/>
          <w:szCs w:val="24"/>
          <w:lang w:val="en-US"/>
        </w:rPr>
        <w:t xml:space="preserve">issued the </w:t>
      </w:r>
      <w:r w:rsidR="000A623C" w:rsidRPr="000A623C">
        <w:rPr>
          <w:rFonts w:ascii="Arial" w:hAnsi="Arial" w:cs="Arial"/>
          <w:sz w:val="24"/>
          <w:szCs w:val="24"/>
          <w:lang w:val="en-US"/>
        </w:rPr>
        <w:t xml:space="preserve">statutory notice </w:t>
      </w:r>
      <w:r w:rsidR="00C60E75">
        <w:rPr>
          <w:rFonts w:ascii="Arial" w:hAnsi="Arial" w:cs="Arial"/>
          <w:sz w:val="24"/>
          <w:szCs w:val="24"/>
          <w:lang w:val="en-US"/>
        </w:rPr>
        <w:t>on time. She further alleged</w:t>
      </w:r>
      <w:r w:rsidR="000A623C" w:rsidRPr="000A623C">
        <w:rPr>
          <w:rFonts w:ascii="Arial" w:hAnsi="Arial" w:cs="Arial"/>
          <w:sz w:val="24"/>
          <w:szCs w:val="24"/>
          <w:lang w:val="en-US"/>
        </w:rPr>
        <w:t xml:space="preserve"> that she had good prospects of success in the claim.</w:t>
      </w:r>
    </w:p>
    <w:p w14:paraId="616EF800" w14:textId="473AC29C" w:rsidR="000A623C" w:rsidRPr="000A623C" w:rsidRDefault="000A623C" w:rsidP="000A623C">
      <w:pPr>
        <w:spacing w:line="480" w:lineRule="auto"/>
        <w:ind w:left="720" w:hanging="720"/>
        <w:jc w:val="both"/>
        <w:rPr>
          <w:rFonts w:ascii="Arial" w:hAnsi="Arial" w:cs="Arial"/>
          <w:sz w:val="24"/>
          <w:szCs w:val="24"/>
          <w:lang w:val="en-US"/>
        </w:rPr>
      </w:pPr>
      <w:r w:rsidRPr="000A623C">
        <w:rPr>
          <w:rFonts w:ascii="Arial" w:hAnsi="Arial" w:cs="Arial"/>
          <w:sz w:val="24"/>
          <w:szCs w:val="24"/>
          <w:lang w:val="en-US"/>
        </w:rPr>
        <w:t>[</w:t>
      </w:r>
      <w:r w:rsidR="00AA046D">
        <w:rPr>
          <w:rFonts w:ascii="Arial" w:hAnsi="Arial" w:cs="Arial"/>
          <w:sz w:val="24"/>
          <w:szCs w:val="24"/>
          <w:lang w:val="en-US"/>
        </w:rPr>
        <w:t>21</w:t>
      </w:r>
      <w:r w:rsidRPr="000A623C">
        <w:rPr>
          <w:rFonts w:ascii="Arial" w:hAnsi="Arial" w:cs="Arial"/>
          <w:sz w:val="24"/>
          <w:szCs w:val="24"/>
          <w:lang w:val="en-US"/>
        </w:rPr>
        <w:t xml:space="preserve">] </w:t>
      </w:r>
      <w:r w:rsidR="00AA046D">
        <w:rPr>
          <w:rFonts w:ascii="Arial" w:hAnsi="Arial" w:cs="Arial"/>
          <w:sz w:val="24"/>
          <w:szCs w:val="24"/>
          <w:lang w:val="en-US"/>
        </w:rPr>
        <w:tab/>
      </w:r>
      <w:r w:rsidRPr="000A623C">
        <w:rPr>
          <w:rFonts w:ascii="Arial" w:hAnsi="Arial" w:cs="Arial"/>
          <w:sz w:val="24"/>
          <w:szCs w:val="24"/>
          <w:lang w:val="en-US"/>
        </w:rPr>
        <w:t xml:space="preserve">The first respondent dealt with those allegations at paragraph 14 as </w:t>
      </w:r>
      <w:r w:rsidR="006E37DE" w:rsidRPr="000A623C">
        <w:rPr>
          <w:rFonts w:ascii="Arial" w:hAnsi="Arial" w:cs="Arial"/>
          <w:sz w:val="24"/>
          <w:szCs w:val="24"/>
          <w:lang w:val="en-US"/>
        </w:rPr>
        <w:t>follows:</w:t>
      </w:r>
    </w:p>
    <w:p w14:paraId="792CF61B" w14:textId="63E36F56" w:rsidR="000A623C" w:rsidRPr="000A623C" w:rsidRDefault="000A623C" w:rsidP="000A623C">
      <w:pPr>
        <w:spacing w:line="240" w:lineRule="auto"/>
        <w:ind w:left="720" w:hanging="720"/>
        <w:jc w:val="both"/>
        <w:rPr>
          <w:rFonts w:ascii="Arial" w:hAnsi="Arial" w:cs="Arial"/>
          <w:i/>
          <w:iCs/>
          <w:sz w:val="20"/>
          <w:szCs w:val="20"/>
          <w:lang w:val="en-US"/>
        </w:rPr>
      </w:pPr>
      <w:r w:rsidRPr="000A623C">
        <w:rPr>
          <w:rFonts w:ascii="Arial" w:hAnsi="Arial" w:cs="Arial"/>
          <w:sz w:val="24"/>
          <w:szCs w:val="24"/>
          <w:lang w:val="en-US"/>
        </w:rPr>
        <w:tab/>
      </w:r>
      <w:r w:rsidRPr="000A623C">
        <w:rPr>
          <w:rFonts w:ascii="Arial" w:hAnsi="Arial" w:cs="Arial"/>
          <w:sz w:val="24"/>
          <w:szCs w:val="24"/>
          <w:lang w:val="en-US"/>
        </w:rPr>
        <w:tab/>
      </w:r>
      <w:r w:rsidRPr="000A623C">
        <w:rPr>
          <w:rFonts w:ascii="Arial" w:hAnsi="Arial" w:cs="Arial"/>
          <w:i/>
          <w:iCs/>
          <w:sz w:val="20"/>
          <w:szCs w:val="20"/>
          <w:lang w:val="en-US"/>
        </w:rPr>
        <w:t>“14.</w:t>
      </w:r>
      <w:r w:rsidRPr="000A623C">
        <w:rPr>
          <w:rFonts w:ascii="Arial" w:hAnsi="Arial" w:cs="Arial"/>
          <w:i/>
          <w:iCs/>
          <w:sz w:val="20"/>
          <w:szCs w:val="20"/>
          <w:lang w:val="en-US"/>
        </w:rPr>
        <w:tab/>
      </w:r>
      <w:r w:rsidR="0006228D" w:rsidRPr="000A623C">
        <w:rPr>
          <w:rFonts w:ascii="Arial" w:hAnsi="Arial" w:cs="Arial"/>
          <w:i/>
          <w:iCs/>
          <w:sz w:val="20"/>
          <w:szCs w:val="20"/>
          <w:lang w:val="en-US"/>
        </w:rPr>
        <w:t>AD PARAGRAPHS</w:t>
      </w:r>
      <w:r w:rsidRPr="000A623C">
        <w:rPr>
          <w:rFonts w:ascii="Arial" w:hAnsi="Arial" w:cs="Arial"/>
          <w:i/>
          <w:iCs/>
          <w:sz w:val="20"/>
          <w:szCs w:val="20"/>
          <w:lang w:val="en-US"/>
        </w:rPr>
        <w:t xml:space="preserve"> 54, </w:t>
      </w:r>
      <w:r w:rsidRPr="000A623C">
        <w:rPr>
          <w:rFonts w:ascii="Arial" w:hAnsi="Arial" w:cs="Arial"/>
          <w:i/>
          <w:iCs/>
          <w:color w:val="000000" w:themeColor="text1"/>
          <w:sz w:val="20"/>
          <w:szCs w:val="20"/>
          <w:lang w:val="en-US"/>
        </w:rPr>
        <w:t xml:space="preserve">55, 56, </w:t>
      </w:r>
      <w:r w:rsidRPr="000A623C">
        <w:rPr>
          <w:rFonts w:ascii="Arial" w:hAnsi="Arial" w:cs="Arial"/>
          <w:i/>
          <w:iCs/>
          <w:sz w:val="20"/>
          <w:szCs w:val="20"/>
          <w:lang w:val="en-US"/>
        </w:rPr>
        <w:t xml:space="preserve">57, 59, 60 &amp; 61 </w:t>
      </w:r>
      <w:r w:rsidR="0006228D" w:rsidRPr="000A623C">
        <w:rPr>
          <w:rFonts w:ascii="Arial" w:hAnsi="Arial" w:cs="Arial"/>
          <w:i/>
          <w:iCs/>
          <w:sz w:val="20"/>
          <w:szCs w:val="20"/>
          <w:lang w:val="en-US"/>
        </w:rPr>
        <w:t>THEREOF</w:t>
      </w:r>
      <w:r w:rsidRPr="000A623C">
        <w:rPr>
          <w:rFonts w:ascii="Arial" w:hAnsi="Arial" w:cs="Arial"/>
          <w:i/>
          <w:iCs/>
          <w:sz w:val="20"/>
          <w:szCs w:val="20"/>
          <w:lang w:val="en-US"/>
        </w:rPr>
        <w:t>:</w:t>
      </w:r>
    </w:p>
    <w:p w14:paraId="4CEA6F68" w14:textId="77777777" w:rsidR="000A623C" w:rsidRPr="000A623C" w:rsidRDefault="000A623C" w:rsidP="000A623C">
      <w:pPr>
        <w:spacing w:line="240" w:lineRule="auto"/>
        <w:ind w:left="2160"/>
        <w:jc w:val="both"/>
        <w:rPr>
          <w:rFonts w:ascii="Arial" w:hAnsi="Arial" w:cs="Arial"/>
          <w:i/>
          <w:iCs/>
          <w:sz w:val="20"/>
          <w:szCs w:val="20"/>
          <w:lang w:val="en-US"/>
        </w:rPr>
      </w:pPr>
      <w:r w:rsidRPr="000A623C">
        <w:rPr>
          <w:rFonts w:ascii="Arial" w:hAnsi="Arial" w:cs="Arial"/>
          <w:i/>
          <w:iCs/>
          <w:sz w:val="20"/>
          <w:szCs w:val="20"/>
          <w:lang w:val="en-US"/>
        </w:rPr>
        <w:t>I deny the allegations contained in these paragraphs, have no knowledge of same and put the plaintiff to the proof thereof. I submit further that the first respondent has good prospects of success in the application and in the action proceedings in respect of the merits of the case.”</w:t>
      </w:r>
    </w:p>
    <w:p w14:paraId="58C0BD86" w14:textId="77777777" w:rsidR="000A623C" w:rsidRPr="000A623C" w:rsidRDefault="000A623C" w:rsidP="000A623C">
      <w:pPr>
        <w:spacing w:line="240" w:lineRule="auto"/>
        <w:ind w:left="2160"/>
        <w:jc w:val="both"/>
        <w:rPr>
          <w:rFonts w:ascii="Arial" w:hAnsi="Arial" w:cs="Arial"/>
          <w:i/>
          <w:iCs/>
          <w:sz w:val="20"/>
          <w:szCs w:val="20"/>
          <w:lang w:val="en-US"/>
        </w:rPr>
      </w:pPr>
    </w:p>
    <w:p w14:paraId="7533A83A" w14:textId="166CF785" w:rsidR="000A623C" w:rsidRPr="000A623C" w:rsidRDefault="000A623C" w:rsidP="000A623C">
      <w:pPr>
        <w:spacing w:line="480" w:lineRule="auto"/>
        <w:ind w:left="720" w:hanging="720"/>
        <w:jc w:val="both"/>
        <w:rPr>
          <w:rFonts w:ascii="Arial" w:hAnsi="Arial" w:cs="Arial"/>
          <w:sz w:val="24"/>
          <w:szCs w:val="24"/>
          <w:lang w:val="en-US"/>
        </w:rPr>
      </w:pPr>
      <w:r w:rsidRPr="000A623C">
        <w:rPr>
          <w:rFonts w:ascii="Arial" w:hAnsi="Arial" w:cs="Arial"/>
          <w:sz w:val="24"/>
          <w:szCs w:val="24"/>
          <w:lang w:val="en-US"/>
        </w:rPr>
        <w:t>[</w:t>
      </w:r>
      <w:r w:rsidR="00AA046D">
        <w:rPr>
          <w:rFonts w:ascii="Arial" w:hAnsi="Arial" w:cs="Arial"/>
          <w:sz w:val="24"/>
          <w:szCs w:val="24"/>
          <w:lang w:val="en-US"/>
        </w:rPr>
        <w:t>22]</w:t>
      </w:r>
      <w:r w:rsidRPr="000A623C">
        <w:rPr>
          <w:rFonts w:ascii="Arial" w:hAnsi="Arial" w:cs="Arial"/>
          <w:sz w:val="24"/>
          <w:szCs w:val="24"/>
          <w:lang w:val="en-US"/>
        </w:rPr>
        <w:t xml:space="preserve">   At paragraph</w:t>
      </w:r>
      <w:r w:rsidRPr="000A623C">
        <w:rPr>
          <w:rFonts w:ascii="Arial" w:hAnsi="Arial" w:cs="Arial"/>
          <w:color w:val="000000" w:themeColor="text1"/>
          <w:sz w:val="24"/>
          <w:szCs w:val="24"/>
          <w:lang w:val="en-US"/>
        </w:rPr>
        <w:t xml:space="preserve"> 58 </w:t>
      </w:r>
      <w:r w:rsidRPr="000A623C">
        <w:rPr>
          <w:rFonts w:ascii="Arial" w:hAnsi="Arial" w:cs="Arial"/>
          <w:sz w:val="24"/>
          <w:szCs w:val="24"/>
          <w:lang w:val="en-US"/>
        </w:rPr>
        <w:t xml:space="preserve">the applicant alleged:  </w:t>
      </w:r>
    </w:p>
    <w:p w14:paraId="59C99E26" w14:textId="2CBC541B" w:rsidR="000A623C" w:rsidRPr="000A623C" w:rsidRDefault="000A623C" w:rsidP="00AA046D">
      <w:pPr>
        <w:spacing w:line="240" w:lineRule="auto"/>
        <w:ind w:left="1440"/>
        <w:jc w:val="both"/>
        <w:rPr>
          <w:rFonts w:ascii="Arial" w:hAnsi="Arial" w:cs="Arial"/>
          <w:sz w:val="24"/>
          <w:szCs w:val="24"/>
          <w:lang w:val="en-US"/>
        </w:rPr>
      </w:pPr>
      <w:r w:rsidRPr="000A623C">
        <w:rPr>
          <w:rFonts w:ascii="Arial" w:hAnsi="Arial" w:cs="Arial"/>
          <w:sz w:val="24"/>
          <w:szCs w:val="24"/>
          <w:lang w:val="en-US"/>
        </w:rPr>
        <w:t>“</w:t>
      </w:r>
      <w:r w:rsidRPr="000A623C">
        <w:rPr>
          <w:rFonts w:ascii="Arial" w:hAnsi="Arial" w:cs="Arial"/>
          <w:i/>
          <w:iCs/>
          <w:sz w:val="20"/>
          <w:szCs w:val="20"/>
          <w:lang w:val="en-US"/>
        </w:rPr>
        <w:t>I was advised that before one may litigate against the state a Statutory notice must be sent to the state. However, before delivering such notice, my attorneys advised me that, they first needed to request and obtain the case docket so that they may investigate my prospects of success and further advise me of any legal recourse I may be able to seek</w:t>
      </w:r>
      <w:r w:rsidRPr="000A623C">
        <w:rPr>
          <w:rFonts w:ascii="Arial" w:hAnsi="Arial" w:cs="Arial"/>
          <w:i/>
          <w:iCs/>
          <w:sz w:val="24"/>
          <w:szCs w:val="24"/>
          <w:lang w:val="en-US"/>
        </w:rPr>
        <w:t>.”</w:t>
      </w:r>
    </w:p>
    <w:p w14:paraId="172B7F8D" w14:textId="4A57D74F" w:rsidR="000A623C" w:rsidRPr="00C60E75" w:rsidRDefault="00E15AF6" w:rsidP="00C60E75">
      <w:pPr>
        <w:spacing w:line="480" w:lineRule="auto"/>
        <w:ind w:left="720" w:hanging="720"/>
        <w:jc w:val="both"/>
        <w:rPr>
          <w:rFonts w:ascii="Arial" w:hAnsi="Arial" w:cs="Arial"/>
          <w:i/>
          <w:iCs/>
          <w:sz w:val="20"/>
          <w:szCs w:val="20"/>
          <w:lang w:val="en-US"/>
        </w:rPr>
      </w:pPr>
      <w:r>
        <w:rPr>
          <w:rFonts w:ascii="Arial" w:hAnsi="Arial" w:cs="Arial"/>
          <w:sz w:val="24"/>
          <w:szCs w:val="24"/>
          <w:lang w:val="en-US"/>
        </w:rPr>
        <w:t>[</w:t>
      </w:r>
      <w:r w:rsidR="00AA046D">
        <w:rPr>
          <w:rFonts w:ascii="Arial" w:hAnsi="Arial" w:cs="Arial"/>
          <w:sz w:val="24"/>
          <w:szCs w:val="24"/>
          <w:lang w:val="en-US"/>
        </w:rPr>
        <w:t xml:space="preserve">23] </w:t>
      </w:r>
      <w:r w:rsidR="00AA046D">
        <w:rPr>
          <w:rFonts w:ascii="Arial" w:hAnsi="Arial" w:cs="Arial"/>
          <w:sz w:val="24"/>
          <w:szCs w:val="24"/>
          <w:lang w:val="en-US"/>
        </w:rPr>
        <w:tab/>
      </w:r>
      <w:r w:rsidR="000A623C" w:rsidRPr="000A623C">
        <w:rPr>
          <w:rFonts w:ascii="Arial" w:hAnsi="Arial" w:cs="Arial"/>
          <w:sz w:val="24"/>
          <w:szCs w:val="24"/>
          <w:lang w:val="en-US"/>
        </w:rPr>
        <w:t xml:space="preserve">The allegations made in this paragraph were not denied by the first respondent. </w:t>
      </w:r>
      <w:r w:rsidR="000A623C">
        <w:rPr>
          <w:rFonts w:ascii="Arial" w:hAnsi="Arial" w:cs="Arial"/>
          <w:sz w:val="24"/>
          <w:szCs w:val="24"/>
          <w:lang w:val="en-US"/>
        </w:rPr>
        <w:t xml:space="preserve"> They must therefore be deemed </w:t>
      </w:r>
      <w:r w:rsidR="00432C42">
        <w:rPr>
          <w:rFonts w:ascii="Arial" w:hAnsi="Arial" w:cs="Arial"/>
          <w:sz w:val="24"/>
          <w:szCs w:val="24"/>
          <w:lang w:val="en-US"/>
        </w:rPr>
        <w:t xml:space="preserve">to be </w:t>
      </w:r>
      <w:r w:rsidR="000A623C">
        <w:rPr>
          <w:rFonts w:ascii="Arial" w:hAnsi="Arial" w:cs="Arial"/>
          <w:sz w:val="24"/>
          <w:szCs w:val="24"/>
          <w:lang w:val="en-US"/>
        </w:rPr>
        <w:t xml:space="preserve">admitted. </w:t>
      </w:r>
      <w:r w:rsidR="00432C42">
        <w:rPr>
          <w:rFonts w:ascii="Arial" w:hAnsi="Arial" w:cs="Arial"/>
          <w:sz w:val="24"/>
          <w:szCs w:val="24"/>
          <w:lang w:val="en-US"/>
        </w:rPr>
        <w:t xml:space="preserve"> </w:t>
      </w:r>
      <w:r w:rsidRPr="00E15AF6">
        <w:rPr>
          <w:rFonts w:ascii="Arial" w:hAnsi="Arial" w:cs="Arial"/>
          <w:sz w:val="24"/>
          <w:szCs w:val="24"/>
          <w:lang w:val="en-US"/>
        </w:rPr>
        <w:t xml:space="preserve">The applicant </w:t>
      </w:r>
      <w:r w:rsidR="00C60E75">
        <w:rPr>
          <w:rFonts w:ascii="Arial" w:hAnsi="Arial" w:cs="Arial"/>
          <w:sz w:val="24"/>
          <w:szCs w:val="24"/>
          <w:lang w:val="en-US"/>
        </w:rPr>
        <w:t xml:space="preserve">further </w:t>
      </w:r>
      <w:r w:rsidRPr="00E15AF6">
        <w:rPr>
          <w:rFonts w:ascii="Arial" w:hAnsi="Arial" w:cs="Arial"/>
          <w:sz w:val="24"/>
          <w:szCs w:val="24"/>
          <w:lang w:val="en-US"/>
        </w:rPr>
        <w:t xml:space="preserve">alleged at </w:t>
      </w:r>
      <w:r w:rsidR="000A623C" w:rsidRPr="00E15AF6">
        <w:rPr>
          <w:rFonts w:ascii="Arial" w:hAnsi="Arial" w:cs="Arial"/>
          <w:sz w:val="24"/>
          <w:szCs w:val="24"/>
          <w:lang w:val="en-US"/>
        </w:rPr>
        <w:t xml:space="preserve">paragraph 36 that the first respondent provided the information that was requested from him a year and two months later. A response to that allegation by the first respondent is </w:t>
      </w:r>
      <w:r w:rsidR="000A623C" w:rsidRPr="00E15AF6">
        <w:rPr>
          <w:rFonts w:ascii="Arial" w:hAnsi="Arial" w:cs="Arial"/>
          <w:sz w:val="20"/>
          <w:szCs w:val="20"/>
          <w:lang w:val="en-US"/>
        </w:rPr>
        <w:t>“</w:t>
      </w:r>
      <w:r w:rsidR="000A623C" w:rsidRPr="00E15AF6">
        <w:rPr>
          <w:rFonts w:ascii="Arial" w:hAnsi="Arial" w:cs="Arial"/>
          <w:i/>
          <w:iCs/>
          <w:sz w:val="20"/>
          <w:szCs w:val="20"/>
          <w:lang w:val="en-US"/>
        </w:rPr>
        <w:t>This is denied. The legal representatives will argue that the allegations in these paragraphs are not relevant for the above proceedings.</w:t>
      </w:r>
      <w:r w:rsidR="000A623C" w:rsidRPr="00E15AF6">
        <w:rPr>
          <w:rFonts w:ascii="Arial" w:hAnsi="Arial" w:cs="Arial"/>
          <w:i/>
          <w:iCs/>
          <w:sz w:val="24"/>
          <w:szCs w:val="24"/>
          <w:lang w:val="en-US"/>
        </w:rPr>
        <w:t>”</w:t>
      </w:r>
    </w:p>
    <w:p w14:paraId="7AC8FDFD" w14:textId="63AFB240" w:rsidR="000A623C" w:rsidRDefault="00AA046D" w:rsidP="000A623C">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[24]</w:t>
      </w:r>
      <w:r w:rsidR="00E15AF6" w:rsidRPr="00E15AF6">
        <w:rPr>
          <w:rFonts w:ascii="Arial" w:hAnsi="Arial" w:cs="Arial"/>
          <w:sz w:val="24"/>
          <w:szCs w:val="24"/>
          <w:lang w:val="en-US"/>
        </w:rPr>
        <w:t xml:space="preserve">    </w:t>
      </w:r>
      <w:r w:rsidR="000A623C" w:rsidRPr="00E15AF6">
        <w:rPr>
          <w:rFonts w:ascii="Arial" w:hAnsi="Arial" w:cs="Arial"/>
          <w:sz w:val="24"/>
          <w:szCs w:val="24"/>
          <w:lang w:val="en-US"/>
        </w:rPr>
        <w:t>There are no facts pleaded by the first respondent at all except a legal conclusion that the applicant’s claim has prescribed based on section 11(d) of the Prescription Act</w:t>
      </w:r>
      <w:r w:rsidR="00C60E75">
        <w:rPr>
          <w:rFonts w:ascii="Arial" w:hAnsi="Arial" w:cs="Arial"/>
          <w:sz w:val="24"/>
          <w:szCs w:val="24"/>
          <w:lang w:val="en-US"/>
        </w:rPr>
        <w:t xml:space="preserve">. He further contended that </w:t>
      </w:r>
      <w:r w:rsidR="004D212F">
        <w:rPr>
          <w:rFonts w:ascii="Arial" w:hAnsi="Arial" w:cs="Arial"/>
          <w:sz w:val="24"/>
          <w:szCs w:val="24"/>
          <w:lang w:val="en-US"/>
        </w:rPr>
        <w:t xml:space="preserve">a </w:t>
      </w:r>
      <w:r w:rsidR="000A623C" w:rsidRPr="00E15AF6">
        <w:rPr>
          <w:rFonts w:ascii="Arial" w:hAnsi="Arial" w:cs="Arial"/>
          <w:sz w:val="24"/>
          <w:szCs w:val="24"/>
          <w:lang w:val="en-US"/>
        </w:rPr>
        <w:t>prescribed claim cannot be resuscitated by condonation.</w:t>
      </w:r>
    </w:p>
    <w:p w14:paraId="0535EEE0" w14:textId="24419966" w:rsidR="004D212F" w:rsidRDefault="004D212F" w:rsidP="004D212F">
      <w:pPr>
        <w:spacing w:line="480" w:lineRule="auto"/>
        <w:ind w:left="720" w:hanging="720"/>
        <w:jc w:val="both"/>
        <w:rPr>
          <w:rFonts w:ascii="Arial" w:hAnsi="Arial" w:cs="Arial"/>
          <w:b/>
          <w:bCs/>
          <w:sz w:val="24"/>
          <w:szCs w:val="24"/>
          <w:lang w:val="en-US"/>
        </w:rPr>
      </w:pPr>
      <w:r>
        <w:rPr>
          <w:rFonts w:ascii="Arial" w:hAnsi="Arial" w:cs="Arial"/>
          <w:sz w:val="24"/>
          <w:szCs w:val="24"/>
          <w:lang w:val="en-US"/>
        </w:rPr>
        <w:t>[</w:t>
      </w:r>
      <w:r w:rsidR="00AA046D">
        <w:rPr>
          <w:rFonts w:ascii="Arial" w:hAnsi="Arial" w:cs="Arial"/>
          <w:sz w:val="24"/>
          <w:szCs w:val="24"/>
          <w:lang w:val="en-US"/>
        </w:rPr>
        <w:t>25</w:t>
      </w:r>
      <w:r>
        <w:rPr>
          <w:rFonts w:ascii="Arial" w:hAnsi="Arial" w:cs="Arial"/>
          <w:sz w:val="24"/>
          <w:szCs w:val="24"/>
          <w:lang w:val="en-US"/>
        </w:rPr>
        <w:t xml:space="preserve">] </w:t>
      </w:r>
      <w:r w:rsidR="006E37DE">
        <w:rPr>
          <w:rFonts w:ascii="Arial" w:hAnsi="Arial" w:cs="Arial"/>
          <w:sz w:val="24"/>
          <w:szCs w:val="24"/>
          <w:lang w:val="en-US"/>
        </w:rPr>
        <w:tab/>
      </w:r>
      <w:r>
        <w:rPr>
          <w:rFonts w:ascii="Arial" w:hAnsi="Arial" w:cs="Arial"/>
          <w:sz w:val="24"/>
          <w:szCs w:val="24"/>
          <w:lang w:val="en-US"/>
        </w:rPr>
        <w:t>In</w:t>
      </w:r>
      <w:r w:rsidRPr="00432C42">
        <w:rPr>
          <w:rFonts w:ascii="Arial" w:hAnsi="Arial" w:cs="Arial"/>
          <w:b/>
          <w:bCs/>
          <w:sz w:val="24"/>
          <w:szCs w:val="24"/>
          <w:lang w:val="en-US"/>
        </w:rPr>
        <w:t xml:space="preserve"> </w:t>
      </w:r>
      <w:r w:rsidRPr="00AA046D">
        <w:rPr>
          <w:rFonts w:ascii="Arial" w:hAnsi="Arial" w:cs="Arial"/>
          <w:b/>
          <w:bCs/>
          <w:i/>
          <w:iCs/>
          <w:sz w:val="24"/>
          <w:szCs w:val="24"/>
          <w:lang w:val="en-US"/>
        </w:rPr>
        <w:t>Modipane v M M Dada BK h/a Dada Motors Lichtenburg</w:t>
      </w:r>
      <w:r w:rsidR="00C60E75" w:rsidRPr="00C60E75">
        <w:rPr>
          <w:rStyle w:val="FootnoteReference"/>
          <w:rFonts w:ascii="Arial" w:hAnsi="Arial" w:cs="Arial"/>
          <w:sz w:val="24"/>
          <w:szCs w:val="24"/>
          <w:lang w:val="en-US"/>
        </w:rPr>
        <w:footnoteReference w:id="10"/>
      </w:r>
      <w:r>
        <w:rPr>
          <w:rFonts w:ascii="Arial" w:hAnsi="Arial" w:cs="Arial"/>
          <w:b/>
          <w:bCs/>
          <w:sz w:val="24"/>
          <w:szCs w:val="24"/>
          <w:lang w:val="en-US"/>
        </w:rPr>
        <w:t>,</w:t>
      </w:r>
      <w:r w:rsidR="00457506">
        <w:rPr>
          <w:rFonts w:ascii="Arial" w:hAnsi="Arial" w:cs="Arial"/>
          <w:b/>
          <w:bCs/>
          <w:sz w:val="24"/>
          <w:szCs w:val="24"/>
          <w:lang w:val="en-US"/>
        </w:rPr>
        <w:t xml:space="preserve"> </w:t>
      </w:r>
      <w:r w:rsidR="00457506" w:rsidRPr="00C60E75">
        <w:rPr>
          <w:rFonts w:ascii="Arial" w:hAnsi="Arial" w:cs="Arial"/>
          <w:sz w:val="24"/>
          <w:szCs w:val="24"/>
          <w:lang w:val="en-US"/>
        </w:rPr>
        <w:t>Landman J</w:t>
      </w:r>
      <w:r w:rsidR="00457506">
        <w:rPr>
          <w:rFonts w:ascii="Arial" w:hAnsi="Arial" w:cs="Arial"/>
          <w:b/>
          <w:bCs/>
          <w:sz w:val="24"/>
          <w:szCs w:val="24"/>
          <w:lang w:val="en-US"/>
        </w:rPr>
        <w:t xml:space="preserve">, </w:t>
      </w:r>
      <w:r w:rsidR="00457506" w:rsidRPr="00AA046D">
        <w:rPr>
          <w:rFonts w:ascii="Arial" w:hAnsi="Arial" w:cs="Arial"/>
          <w:sz w:val="24"/>
          <w:szCs w:val="24"/>
          <w:lang w:val="en-US"/>
        </w:rPr>
        <w:t>at</w:t>
      </w:r>
      <w:r w:rsidR="00457506" w:rsidRPr="00C60E75">
        <w:rPr>
          <w:rFonts w:ascii="Arial" w:hAnsi="Arial" w:cs="Arial"/>
          <w:sz w:val="24"/>
          <w:szCs w:val="24"/>
          <w:lang w:val="en-US"/>
        </w:rPr>
        <w:t xml:space="preserve"> para 12</w:t>
      </w:r>
      <w:r w:rsidR="00457506">
        <w:rPr>
          <w:rFonts w:ascii="Arial" w:hAnsi="Arial" w:cs="Arial"/>
          <w:sz w:val="24"/>
          <w:szCs w:val="24"/>
          <w:lang w:val="en-US"/>
        </w:rPr>
        <w:t xml:space="preserve"> </w:t>
      </w:r>
      <w:r w:rsidR="00C60E75" w:rsidRPr="00C60E75">
        <w:rPr>
          <w:rFonts w:ascii="Arial" w:hAnsi="Arial" w:cs="Arial"/>
          <w:sz w:val="24"/>
          <w:szCs w:val="24"/>
          <w:lang w:val="en-US"/>
        </w:rPr>
        <w:t>when dealing with the role of pleadings</w:t>
      </w:r>
      <w:r w:rsidR="00C60E75">
        <w:rPr>
          <w:rFonts w:ascii="Arial" w:hAnsi="Arial" w:cs="Arial"/>
          <w:b/>
          <w:bCs/>
          <w:sz w:val="24"/>
          <w:szCs w:val="24"/>
          <w:lang w:val="en-US"/>
        </w:rPr>
        <w:t xml:space="preserve"> </w:t>
      </w:r>
      <w:r w:rsidR="006E37DE" w:rsidRPr="00C60E75">
        <w:rPr>
          <w:rFonts w:ascii="Arial" w:hAnsi="Arial" w:cs="Arial"/>
          <w:sz w:val="24"/>
          <w:szCs w:val="24"/>
          <w:lang w:val="en-US"/>
        </w:rPr>
        <w:t>stated:</w:t>
      </w:r>
      <w:r w:rsidRPr="00C60E75">
        <w:rPr>
          <w:rFonts w:ascii="Arial" w:hAnsi="Arial" w:cs="Arial"/>
          <w:sz w:val="24"/>
          <w:szCs w:val="24"/>
          <w:lang w:val="en-US"/>
        </w:rPr>
        <w:t xml:space="preserve"> </w:t>
      </w:r>
    </w:p>
    <w:p w14:paraId="09CF0F5D" w14:textId="5123866A" w:rsidR="000A623C" w:rsidRDefault="004D212F" w:rsidP="006E37DE">
      <w:pPr>
        <w:spacing w:line="240" w:lineRule="auto"/>
        <w:ind w:left="1440"/>
        <w:jc w:val="both"/>
        <w:rPr>
          <w:rFonts w:ascii="Arial" w:hAnsi="Arial" w:cs="Arial"/>
          <w:i/>
          <w:iCs/>
          <w:sz w:val="20"/>
          <w:szCs w:val="20"/>
          <w:lang w:val="en-US"/>
        </w:rPr>
      </w:pPr>
      <w:r w:rsidRPr="00E15AF6">
        <w:rPr>
          <w:rFonts w:ascii="Arial" w:hAnsi="Arial" w:cs="Arial"/>
          <w:i/>
          <w:iCs/>
          <w:sz w:val="20"/>
          <w:szCs w:val="20"/>
          <w:lang w:val="en-US"/>
        </w:rPr>
        <w:t>“[12</w:t>
      </w:r>
      <w:r w:rsidR="006E37DE" w:rsidRPr="00E15AF6">
        <w:rPr>
          <w:rFonts w:ascii="Arial" w:hAnsi="Arial" w:cs="Arial"/>
          <w:i/>
          <w:iCs/>
          <w:sz w:val="20"/>
          <w:szCs w:val="20"/>
          <w:lang w:val="en-US"/>
        </w:rPr>
        <w:t xml:space="preserve">] </w:t>
      </w:r>
      <w:r w:rsidR="006E37DE">
        <w:rPr>
          <w:rFonts w:ascii="Arial" w:hAnsi="Arial" w:cs="Arial"/>
          <w:i/>
          <w:iCs/>
          <w:sz w:val="20"/>
          <w:szCs w:val="20"/>
          <w:lang w:val="en-US"/>
        </w:rPr>
        <w:tab/>
      </w:r>
      <w:r w:rsidR="006E37DE" w:rsidRPr="00E15AF6">
        <w:rPr>
          <w:rFonts w:ascii="Arial" w:hAnsi="Arial" w:cs="Arial"/>
          <w:i/>
          <w:iCs/>
          <w:sz w:val="20"/>
          <w:szCs w:val="20"/>
          <w:lang w:val="en-US"/>
        </w:rPr>
        <w:t>At</w:t>
      </w:r>
      <w:r w:rsidR="00C60E75">
        <w:rPr>
          <w:rFonts w:ascii="Arial" w:hAnsi="Arial" w:cs="Arial"/>
          <w:i/>
          <w:iCs/>
          <w:sz w:val="20"/>
          <w:szCs w:val="20"/>
          <w:lang w:val="en-US"/>
        </w:rPr>
        <w:t xml:space="preserve"> the outset is necessary to restate, briefly, the role and function of pleadings in dispute resolution.</w:t>
      </w:r>
      <w:r w:rsidRPr="00E15AF6">
        <w:rPr>
          <w:rFonts w:ascii="Arial" w:hAnsi="Arial" w:cs="Arial"/>
          <w:i/>
          <w:iCs/>
          <w:sz w:val="20"/>
          <w:szCs w:val="20"/>
          <w:lang w:val="en-US"/>
        </w:rPr>
        <w:t xml:space="preserve"> Pleadings define the ambit of the dispute. They indicate what the nature of the dispute is and what facts must be proven by the plaintiff to sustain the claim. And conversely the facts which must be resisted and facts which must be proven to sustain the defence. The pleaded facts also indicate the legal principles applicable to the claim and </w:t>
      </w:r>
      <w:r w:rsidR="006E37DE" w:rsidRPr="00E15AF6">
        <w:rPr>
          <w:rFonts w:ascii="Arial" w:hAnsi="Arial" w:cs="Arial"/>
          <w:i/>
          <w:iCs/>
          <w:sz w:val="20"/>
          <w:szCs w:val="20"/>
          <w:lang w:val="en-US"/>
        </w:rPr>
        <w:t>defence even</w:t>
      </w:r>
      <w:r w:rsidRPr="00E15AF6">
        <w:rPr>
          <w:rFonts w:ascii="Arial" w:hAnsi="Arial" w:cs="Arial"/>
          <w:i/>
          <w:iCs/>
          <w:sz w:val="20"/>
          <w:szCs w:val="20"/>
          <w:lang w:val="en-US"/>
        </w:rPr>
        <w:t xml:space="preserve"> though it is not customary to label the nature of the claim or defence</w:t>
      </w:r>
      <w:r w:rsidR="006E37DE">
        <w:rPr>
          <w:rFonts w:ascii="Arial" w:hAnsi="Arial" w:cs="Arial"/>
          <w:i/>
          <w:iCs/>
          <w:sz w:val="20"/>
          <w:szCs w:val="20"/>
          <w:lang w:val="en-US"/>
        </w:rPr>
        <w:t>.</w:t>
      </w:r>
      <w:r w:rsidRPr="00E15AF6">
        <w:rPr>
          <w:rFonts w:ascii="Arial" w:hAnsi="Arial" w:cs="Arial"/>
          <w:i/>
          <w:iCs/>
          <w:sz w:val="20"/>
          <w:szCs w:val="20"/>
          <w:lang w:val="en-US"/>
        </w:rPr>
        <w:t xml:space="preserve">”  </w:t>
      </w:r>
    </w:p>
    <w:p w14:paraId="41CEE6A5" w14:textId="77777777" w:rsidR="004D212F" w:rsidRPr="004D212F" w:rsidRDefault="004D212F" w:rsidP="004D212F">
      <w:pPr>
        <w:spacing w:line="240" w:lineRule="auto"/>
        <w:ind w:left="720" w:hanging="720"/>
        <w:jc w:val="both"/>
        <w:rPr>
          <w:rFonts w:ascii="Arial" w:hAnsi="Arial" w:cs="Arial"/>
          <w:i/>
          <w:iCs/>
          <w:sz w:val="20"/>
          <w:szCs w:val="20"/>
          <w:lang w:val="en-US"/>
        </w:rPr>
      </w:pPr>
    </w:p>
    <w:p w14:paraId="7F63D8B3" w14:textId="5A42B1F1" w:rsidR="00B73837" w:rsidRDefault="004D212F" w:rsidP="00F57E75">
      <w:pPr>
        <w:spacing w:line="480" w:lineRule="auto"/>
        <w:ind w:left="720" w:hanging="720"/>
        <w:jc w:val="both"/>
        <w:rPr>
          <w:rFonts w:ascii="Arial" w:hAnsi="Arial" w:cs="Arial"/>
          <w:sz w:val="24"/>
          <w:szCs w:val="24"/>
        </w:rPr>
      </w:pPr>
      <w:r>
        <w:rPr>
          <w:rFonts w:ascii="Arial" w:hAnsi="Arial" w:cs="Arial"/>
          <w:sz w:val="24"/>
          <w:szCs w:val="24"/>
        </w:rPr>
        <w:t>[</w:t>
      </w:r>
      <w:r w:rsidR="00ED3203">
        <w:rPr>
          <w:rFonts w:ascii="Arial" w:hAnsi="Arial" w:cs="Arial"/>
          <w:sz w:val="24"/>
          <w:szCs w:val="24"/>
        </w:rPr>
        <w:t>26</w:t>
      </w:r>
      <w:r>
        <w:rPr>
          <w:rFonts w:ascii="Arial" w:hAnsi="Arial" w:cs="Arial"/>
          <w:sz w:val="24"/>
          <w:szCs w:val="24"/>
        </w:rPr>
        <w:t xml:space="preserve">]  </w:t>
      </w:r>
      <w:r w:rsidR="00C60E75">
        <w:rPr>
          <w:rFonts w:ascii="Arial" w:hAnsi="Arial" w:cs="Arial"/>
          <w:sz w:val="24"/>
          <w:szCs w:val="24"/>
        </w:rPr>
        <w:t xml:space="preserve">  </w:t>
      </w:r>
      <w:r w:rsidR="00F57E75" w:rsidRPr="00F57E75">
        <w:rPr>
          <w:rFonts w:ascii="Arial" w:hAnsi="Arial" w:cs="Arial"/>
          <w:color w:val="000000" w:themeColor="text1"/>
          <w:sz w:val="24"/>
          <w:szCs w:val="24"/>
        </w:rPr>
        <w:t>Each case must be treated on its own merits.</w:t>
      </w:r>
      <w:r w:rsidR="00F57E75">
        <w:rPr>
          <w:rFonts w:ascii="Arial" w:hAnsi="Arial" w:cs="Arial"/>
          <w:color w:val="000000" w:themeColor="text1"/>
          <w:sz w:val="24"/>
          <w:szCs w:val="24"/>
        </w:rPr>
        <w:t xml:space="preserve"> </w:t>
      </w:r>
      <w:r>
        <w:rPr>
          <w:rFonts w:ascii="Arial" w:hAnsi="Arial" w:cs="Arial"/>
          <w:sz w:val="24"/>
          <w:szCs w:val="24"/>
        </w:rPr>
        <w:t xml:space="preserve">I have </w:t>
      </w:r>
      <w:r w:rsidR="002912EE">
        <w:rPr>
          <w:rFonts w:ascii="Arial" w:hAnsi="Arial" w:cs="Arial"/>
          <w:sz w:val="24"/>
          <w:szCs w:val="24"/>
        </w:rPr>
        <w:t xml:space="preserve">to consider the reasons advanced for the delay by the applicant and an explanation given by the first respondent in relation to the allegations made against him </w:t>
      </w:r>
      <w:r w:rsidR="006E37DE">
        <w:rPr>
          <w:rFonts w:ascii="Arial" w:hAnsi="Arial" w:cs="Arial"/>
          <w:sz w:val="24"/>
          <w:szCs w:val="24"/>
        </w:rPr>
        <w:t>of,</w:t>
      </w:r>
      <w:r w:rsidR="00C60E75" w:rsidRPr="00C60E75">
        <w:rPr>
          <w:rFonts w:ascii="Arial" w:hAnsi="Arial" w:cs="Arial"/>
          <w:i/>
          <w:iCs/>
          <w:sz w:val="24"/>
          <w:szCs w:val="24"/>
        </w:rPr>
        <w:t xml:space="preserve"> inter </w:t>
      </w:r>
      <w:r w:rsidR="006E37DE" w:rsidRPr="00C60E75">
        <w:rPr>
          <w:rFonts w:ascii="Arial" w:hAnsi="Arial" w:cs="Arial"/>
          <w:i/>
          <w:iCs/>
          <w:sz w:val="24"/>
          <w:szCs w:val="24"/>
        </w:rPr>
        <w:t>alia,</w:t>
      </w:r>
      <w:r w:rsidR="006E37DE">
        <w:rPr>
          <w:rFonts w:ascii="Arial" w:hAnsi="Arial" w:cs="Arial"/>
          <w:sz w:val="24"/>
          <w:szCs w:val="24"/>
        </w:rPr>
        <w:t xml:space="preserve"> having</w:t>
      </w:r>
      <w:r w:rsidR="002912EE">
        <w:rPr>
          <w:rFonts w:ascii="Arial" w:hAnsi="Arial" w:cs="Arial"/>
          <w:sz w:val="24"/>
          <w:szCs w:val="24"/>
        </w:rPr>
        <w:t xml:space="preserve"> delayed in </w:t>
      </w:r>
      <w:r w:rsidR="006E37DE">
        <w:rPr>
          <w:rFonts w:ascii="Arial" w:hAnsi="Arial" w:cs="Arial"/>
          <w:sz w:val="24"/>
          <w:szCs w:val="24"/>
        </w:rPr>
        <w:t>furnishing the</w:t>
      </w:r>
      <w:r w:rsidR="002912EE">
        <w:rPr>
          <w:rFonts w:ascii="Arial" w:hAnsi="Arial" w:cs="Arial"/>
          <w:sz w:val="24"/>
          <w:szCs w:val="24"/>
        </w:rPr>
        <w:t xml:space="preserve"> information </w:t>
      </w:r>
      <w:r w:rsidR="006E37DE">
        <w:rPr>
          <w:rFonts w:ascii="Arial" w:hAnsi="Arial" w:cs="Arial"/>
          <w:sz w:val="24"/>
          <w:szCs w:val="24"/>
        </w:rPr>
        <w:t>requested, on</w:t>
      </w:r>
      <w:r w:rsidR="002912EE">
        <w:rPr>
          <w:rFonts w:ascii="Arial" w:hAnsi="Arial" w:cs="Arial"/>
          <w:sz w:val="24"/>
          <w:szCs w:val="24"/>
        </w:rPr>
        <w:t xml:space="preserve"> time. The applicant had detailed the steps she took in </w:t>
      </w:r>
      <w:r w:rsidR="00C60E75">
        <w:rPr>
          <w:rFonts w:ascii="Arial" w:hAnsi="Arial" w:cs="Arial"/>
          <w:sz w:val="24"/>
          <w:szCs w:val="24"/>
        </w:rPr>
        <w:t xml:space="preserve">obtaining </w:t>
      </w:r>
      <w:r w:rsidR="002912EE">
        <w:rPr>
          <w:rFonts w:ascii="Arial" w:hAnsi="Arial" w:cs="Arial"/>
          <w:sz w:val="24"/>
          <w:szCs w:val="24"/>
        </w:rPr>
        <w:t xml:space="preserve">such information, </w:t>
      </w:r>
      <w:r w:rsidR="006E37DE">
        <w:rPr>
          <w:rFonts w:ascii="Arial" w:hAnsi="Arial" w:cs="Arial"/>
          <w:sz w:val="24"/>
          <w:szCs w:val="24"/>
        </w:rPr>
        <w:t>including,</w:t>
      </w:r>
      <w:r w:rsidR="002912EE">
        <w:rPr>
          <w:rFonts w:ascii="Arial" w:hAnsi="Arial" w:cs="Arial"/>
          <w:sz w:val="24"/>
          <w:szCs w:val="24"/>
        </w:rPr>
        <w:t xml:space="preserve"> amongst </w:t>
      </w:r>
      <w:r w:rsidR="006E37DE">
        <w:rPr>
          <w:rFonts w:ascii="Arial" w:hAnsi="Arial" w:cs="Arial"/>
          <w:sz w:val="24"/>
          <w:szCs w:val="24"/>
        </w:rPr>
        <w:t>others,</w:t>
      </w:r>
      <w:r w:rsidR="002912EE">
        <w:rPr>
          <w:rFonts w:ascii="Arial" w:hAnsi="Arial" w:cs="Arial"/>
          <w:sz w:val="24"/>
          <w:szCs w:val="24"/>
        </w:rPr>
        <w:t xml:space="preserve"> approaching court for an order directing the information officer of the first respondent to furnish to the applicant’s attorney</w:t>
      </w:r>
      <w:r w:rsidR="00C60E75">
        <w:rPr>
          <w:rFonts w:ascii="Arial" w:hAnsi="Arial" w:cs="Arial"/>
          <w:sz w:val="24"/>
          <w:szCs w:val="24"/>
        </w:rPr>
        <w:t>s</w:t>
      </w:r>
      <w:r w:rsidR="002912EE">
        <w:rPr>
          <w:rFonts w:ascii="Arial" w:hAnsi="Arial" w:cs="Arial"/>
          <w:sz w:val="24"/>
          <w:szCs w:val="24"/>
        </w:rPr>
        <w:t xml:space="preserve"> </w:t>
      </w:r>
      <w:r w:rsidR="000250C2">
        <w:rPr>
          <w:rFonts w:ascii="Arial" w:hAnsi="Arial" w:cs="Arial"/>
          <w:sz w:val="24"/>
          <w:szCs w:val="24"/>
        </w:rPr>
        <w:t xml:space="preserve">with </w:t>
      </w:r>
      <w:r w:rsidR="002912EE">
        <w:rPr>
          <w:rFonts w:ascii="Arial" w:hAnsi="Arial" w:cs="Arial"/>
          <w:sz w:val="24"/>
          <w:szCs w:val="24"/>
        </w:rPr>
        <w:t xml:space="preserve">copies of the </w:t>
      </w:r>
      <w:r w:rsidR="006E37DE">
        <w:rPr>
          <w:rFonts w:ascii="Arial" w:hAnsi="Arial" w:cs="Arial"/>
          <w:sz w:val="24"/>
          <w:szCs w:val="24"/>
        </w:rPr>
        <w:t>docket.</w:t>
      </w:r>
      <w:r w:rsidR="002912EE">
        <w:rPr>
          <w:rFonts w:ascii="Arial" w:hAnsi="Arial" w:cs="Arial"/>
          <w:sz w:val="24"/>
          <w:szCs w:val="24"/>
        </w:rPr>
        <w:t xml:space="preserve"> </w:t>
      </w:r>
      <w:r>
        <w:rPr>
          <w:rFonts w:ascii="Arial" w:hAnsi="Arial" w:cs="Arial"/>
          <w:sz w:val="24"/>
          <w:szCs w:val="24"/>
        </w:rPr>
        <w:t xml:space="preserve">The </w:t>
      </w:r>
      <w:r w:rsidR="002D25DF">
        <w:rPr>
          <w:rFonts w:ascii="Arial" w:hAnsi="Arial" w:cs="Arial"/>
          <w:sz w:val="24"/>
          <w:szCs w:val="24"/>
        </w:rPr>
        <w:t>applicant demonstrated that she relied on the first respondent</w:t>
      </w:r>
      <w:r w:rsidR="00C60E75">
        <w:rPr>
          <w:rFonts w:ascii="Arial" w:hAnsi="Arial" w:cs="Arial"/>
          <w:sz w:val="24"/>
          <w:szCs w:val="24"/>
        </w:rPr>
        <w:t xml:space="preserve"> </w:t>
      </w:r>
      <w:r w:rsidR="002D25DF">
        <w:rPr>
          <w:rFonts w:ascii="Arial" w:hAnsi="Arial" w:cs="Arial"/>
          <w:sz w:val="24"/>
          <w:szCs w:val="24"/>
        </w:rPr>
        <w:t>for the information she sought</w:t>
      </w:r>
      <w:r w:rsidR="00BB6E3B">
        <w:rPr>
          <w:rFonts w:ascii="Arial" w:hAnsi="Arial" w:cs="Arial"/>
          <w:sz w:val="24"/>
          <w:szCs w:val="24"/>
        </w:rPr>
        <w:t>. This is apparent fro</w:t>
      </w:r>
      <w:r w:rsidR="007E6AEC">
        <w:rPr>
          <w:rFonts w:ascii="Arial" w:hAnsi="Arial" w:cs="Arial"/>
          <w:sz w:val="24"/>
          <w:szCs w:val="24"/>
        </w:rPr>
        <w:t>m</w:t>
      </w:r>
      <w:r w:rsidR="00BB6E3B">
        <w:rPr>
          <w:rFonts w:ascii="Arial" w:hAnsi="Arial" w:cs="Arial"/>
          <w:sz w:val="24"/>
          <w:szCs w:val="24"/>
        </w:rPr>
        <w:t xml:space="preserve"> the fact that </w:t>
      </w:r>
      <w:r w:rsidR="004F1AB7">
        <w:rPr>
          <w:rFonts w:ascii="Arial" w:hAnsi="Arial" w:cs="Arial"/>
          <w:sz w:val="24"/>
          <w:szCs w:val="24"/>
        </w:rPr>
        <w:t xml:space="preserve">there </w:t>
      </w:r>
      <w:r w:rsidR="00F57E75">
        <w:rPr>
          <w:rFonts w:ascii="Arial" w:hAnsi="Arial" w:cs="Arial"/>
          <w:sz w:val="24"/>
          <w:szCs w:val="24"/>
        </w:rPr>
        <w:t>are no</w:t>
      </w:r>
      <w:r w:rsidR="00633A9F">
        <w:rPr>
          <w:rFonts w:ascii="Arial" w:hAnsi="Arial" w:cs="Arial"/>
          <w:sz w:val="24"/>
          <w:szCs w:val="24"/>
        </w:rPr>
        <w:t xml:space="preserve"> </w:t>
      </w:r>
      <w:r w:rsidR="002D25DF">
        <w:rPr>
          <w:rFonts w:ascii="Arial" w:hAnsi="Arial" w:cs="Arial"/>
          <w:sz w:val="24"/>
          <w:szCs w:val="24"/>
        </w:rPr>
        <w:t>facts</w:t>
      </w:r>
      <w:r w:rsidR="00633A9F">
        <w:rPr>
          <w:rFonts w:ascii="Arial" w:hAnsi="Arial" w:cs="Arial"/>
          <w:sz w:val="24"/>
          <w:szCs w:val="24"/>
        </w:rPr>
        <w:t xml:space="preserve"> </w:t>
      </w:r>
      <w:r w:rsidR="009B476D">
        <w:rPr>
          <w:rFonts w:ascii="Arial" w:hAnsi="Arial" w:cs="Arial"/>
          <w:sz w:val="24"/>
          <w:szCs w:val="24"/>
        </w:rPr>
        <w:t xml:space="preserve">from the </w:t>
      </w:r>
      <w:r w:rsidR="002D25DF">
        <w:rPr>
          <w:rFonts w:ascii="Arial" w:hAnsi="Arial" w:cs="Arial"/>
          <w:sz w:val="24"/>
          <w:szCs w:val="24"/>
        </w:rPr>
        <w:t xml:space="preserve">first </w:t>
      </w:r>
      <w:r w:rsidR="009B476D">
        <w:rPr>
          <w:rFonts w:ascii="Arial" w:hAnsi="Arial" w:cs="Arial"/>
          <w:sz w:val="24"/>
          <w:szCs w:val="24"/>
        </w:rPr>
        <w:t xml:space="preserve">respondent </w:t>
      </w:r>
      <w:r w:rsidR="002D25DF">
        <w:rPr>
          <w:rFonts w:ascii="Arial" w:hAnsi="Arial" w:cs="Arial"/>
          <w:sz w:val="24"/>
          <w:szCs w:val="24"/>
        </w:rPr>
        <w:t xml:space="preserve">demonstrating </w:t>
      </w:r>
      <w:r w:rsidR="009B476D">
        <w:rPr>
          <w:rFonts w:ascii="Arial" w:hAnsi="Arial" w:cs="Arial"/>
          <w:sz w:val="24"/>
          <w:szCs w:val="24"/>
        </w:rPr>
        <w:t>why</w:t>
      </w:r>
      <w:r w:rsidR="002E1BF1">
        <w:rPr>
          <w:rFonts w:ascii="Arial" w:hAnsi="Arial" w:cs="Arial"/>
          <w:sz w:val="24"/>
          <w:szCs w:val="24"/>
        </w:rPr>
        <w:t xml:space="preserve"> </w:t>
      </w:r>
      <w:r w:rsidR="002D25DF">
        <w:rPr>
          <w:rFonts w:ascii="Arial" w:hAnsi="Arial" w:cs="Arial"/>
          <w:sz w:val="24"/>
          <w:szCs w:val="24"/>
        </w:rPr>
        <w:t xml:space="preserve">the applicant was furnished with </w:t>
      </w:r>
      <w:r w:rsidR="002E1BF1">
        <w:rPr>
          <w:rFonts w:ascii="Arial" w:hAnsi="Arial" w:cs="Arial"/>
          <w:sz w:val="24"/>
          <w:szCs w:val="24"/>
        </w:rPr>
        <w:t xml:space="preserve">the information that was requested </w:t>
      </w:r>
      <w:r w:rsidR="00C44231">
        <w:rPr>
          <w:rFonts w:ascii="Arial" w:hAnsi="Arial" w:cs="Arial"/>
          <w:sz w:val="24"/>
          <w:szCs w:val="24"/>
        </w:rPr>
        <w:t>after a year</w:t>
      </w:r>
      <w:r w:rsidR="00542522">
        <w:rPr>
          <w:rFonts w:ascii="Arial" w:hAnsi="Arial" w:cs="Arial"/>
          <w:sz w:val="24"/>
          <w:szCs w:val="24"/>
        </w:rPr>
        <w:t xml:space="preserve"> </w:t>
      </w:r>
      <w:r w:rsidR="002D25DF">
        <w:rPr>
          <w:rFonts w:ascii="Arial" w:hAnsi="Arial" w:cs="Arial"/>
          <w:sz w:val="24"/>
          <w:szCs w:val="24"/>
        </w:rPr>
        <w:t xml:space="preserve">and two months.  There are no facts presented by the first respondent to demonstrate prejudice that </w:t>
      </w:r>
      <w:r w:rsidR="006E37DE">
        <w:rPr>
          <w:rFonts w:ascii="Arial" w:hAnsi="Arial" w:cs="Arial"/>
          <w:sz w:val="24"/>
          <w:szCs w:val="24"/>
        </w:rPr>
        <w:t>he suffered</w:t>
      </w:r>
      <w:r w:rsidR="002D25DF">
        <w:rPr>
          <w:rFonts w:ascii="Arial" w:hAnsi="Arial" w:cs="Arial"/>
          <w:sz w:val="24"/>
          <w:szCs w:val="24"/>
        </w:rPr>
        <w:t xml:space="preserve"> as a result of the delayed notice. The </w:t>
      </w:r>
      <w:r w:rsidR="006E37DE">
        <w:rPr>
          <w:rFonts w:ascii="Arial" w:hAnsi="Arial" w:cs="Arial"/>
          <w:sz w:val="24"/>
          <w:szCs w:val="24"/>
        </w:rPr>
        <w:t>applicant,</w:t>
      </w:r>
      <w:r w:rsidR="002D25DF">
        <w:rPr>
          <w:rFonts w:ascii="Arial" w:hAnsi="Arial" w:cs="Arial"/>
          <w:sz w:val="24"/>
          <w:szCs w:val="24"/>
        </w:rPr>
        <w:t xml:space="preserve"> on the other </w:t>
      </w:r>
      <w:r w:rsidR="006E37DE">
        <w:rPr>
          <w:rFonts w:ascii="Arial" w:hAnsi="Arial" w:cs="Arial"/>
          <w:sz w:val="24"/>
          <w:szCs w:val="24"/>
        </w:rPr>
        <w:t>hand,</w:t>
      </w:r>
      <w:r w:rsidR="002D25DF">
        <w:rPr>
          <w:rFonts w:ascii="Arial" w:hAnsi="Arial" w:cs="Arial"/>
          <w:sz w:val="24"/>
          <w:szCs w:val="24"/>
        </w:rPr>
        <w:t xml:space="preserve"> </w:t>
      </w:r>
      <w:r w:rsidR="002D25DF">
        <w:rPr>
          <w:rFonts w:ascii="Arial" w:hAnsi="Arial" w:cs="Arial"/>
          <w:sz w:val="24"/>
          <w:szCs w:val="24"/>
        </w:rPr>
        <w:lastRenderedPageBreak/>
        <w:t xml:space="preserve">demonstrated the prejudice she will suffer should she be non- suited at this stage and her condonation application be refused.  </w:t>
      </w:r>
    </w:p>
    <w:p w14:paraId="733F191C" w14:textId="1270DB42" w:rsidR="005A3C3A" w:rsidRDefault="00B73837" w:rsidP="00CA6D1C">
      <w:pPr>
        <w:spacing w:line="480" w:lineRule="auto"/>
        <w:ind w:left="720" w:hanging="720"/>
        <w:jc w:val="both"/>
        <w:rPr>
          <w:rFonts w:ascii="Arial" w:hAnsi="Arial" w:cs="Arial"/>
          <w:sz w:val="24"/>
          <w:szCs w:val="24"/>
        </w:rPr>
      </w:pPr>
      <w:r>
        <w:rPr>
          <w:rFonts w:ascii="Arial" w:hAnsi="Arial" w:cs="Arial"/>
          <w:sz w:val="24"/>
          <w:szCs w:val="24"/>
        </w:rPr>
        <w:t>[2</w:t>
      </w:r>
      <w:r w:rsidR="00ED3203">
        <w:rPr>
          <w:rFonts w:ascii="Arial" w:hAnsi="Arial" w:cs="Arial"/>
          <w:sz w:val="24"/>
          <w:szCs w:val="24"/>
        </w:rPr>
        <w:t>7</w:t>
      </w:r>
      <w:r>
        <w:rPr>
          <w:rFonts w:ascii="Arial" w:hAnsi="Arial" w:cs="Arial"/>
          <w:sz w:val="24"/>
          <w:szCs w:val="24"/>
        </w:rPr>
        <w:t>]</w:t>
      </w:r>
      <w:r>
        <w:rPr>
          <w:rFonts w:ascii="Arial" w:hAnsi="Arial" w:cs="Arial"/>
          <w:sz w:val="24"/>
          <w:szCs w:val="24"/>
        </w:rPr>
        <w:tab/>
        <w:t>It must have been</w:t>
      </w:r>
      <w:r w:rsidR="00F0717D">
        <w:rPr>
          <w:rFonts w:ascii="Arial" w:hAnsi="Arial" w:cs="Arial"/>
          <w:sz w:val="24"/>
          <w:szCs w:val="24"/>
        </w:rPr>
        <w:t xml:space="preserve"> in contemplation of </w:t>
      </w:r>
      <w:r w:rsidR="004F6FE0">
        <w:rPr>
          <w:rFonts w:ascii="Arial" w:hAnsi="Arial" w:cs="Arial"/>
          <w:sz w:val="24"/>
          <w:szCs w:val="24"/>
        </w:rPr>
        <w:t xml:space="preserve">situations like these that </w:t>
      </w:r>
      <w:r w:rsidR="003B7CB9">
        <w:rPr>
          <w:rFonts w:ascii="Arial" w:hAnsi="Arial" w:cs="Arial"/>
          <w:sz w:val="24"/>
          <w:szCs w:val="24"/>
        </w:rPr>
        <w:t xml:space="preserve">the </w:t>
      </w:r>
      <w:r w:rsidR="00F57E75">
        <w:rPr>
          <w:rFonts w:ascii="Arial" w:hAnsi="Arial" w:cs="Arial"/>
          <w:sz w:val="24"/>
          <w:szCs w:val="24"/>
        </w:rPr>
        <w:t>L</w:t>
      </w:r>
      <w:r w:rsidR="003B7CB9">
        <w:rPr>
          <w:rFonts w:ascii="Arial" w:hAnsi="Arial" w:cs="Arial"/>
          <w:sz w:val="24"/>
          <w:szCs w:val="24"/>
        </w:rPr>
        <w:t xml:space="preserve">egislature deemed it appropriate </w:t>
      </w:r>
      <w:r w:rsidR="00E072F3">
        <w:rPr>
          <w:rFonts w:ascii="Arial" w:hAnsi="Arial" w:cs="Arial"/>
          <w:sz w:val="24"/>
          <w:szCs w:val="24"/>
        </w:rPr>
        <w:t>to provide for instances such</w:t>
      </w:r>
      <w:r w:rsidR="00633A9F">
        <w:rPr>
          <w:rFonts w:ascii="Arial" w:hAnsi="Arial" w:cs="Arial"/>
          <w:sz w:val="24"/>
          <w:szCs w:val="24"/>
        </w:rPr>
        <w:t xml:space="preserve"> </w:t>
      </w:r>
      <w:r w:rsidR="00E072F3">
        <w:rPr>
          <w:rFonts w:ascii="Arial" w:hAnsi="Arial" w:cs="Arial"/>
          <w:sz w:val="24"/>
          <w:szCs w:val="24"/>
        </w:rPr>
        <w:t xml:space="preserve">as those </w:t>
      </w:r>
      <w:r w:rsidR="006F2122">
        <w:rPr>
          <w:rFonts w:ascii="Arial" w:hAnsi="Arial" w:cs="Arial"/>
          <w:sz w:val="24"/>
          <w:szCs w:val="24"/>
        </w:rPr>
        <w:t>mentioned in section 3(3)(a)</w:t>
      </w:r>
      <w:r w:rsidR="00F57E75">
        <w:rPr>
          <w:rFonts w:ascii="Arial" w:hAnsi="Arial" w:cs="Arial"/>
          <w:sz w:val="24"/>
          <w:szCs w:val="24"/>
        </w:rPr>
        <w:t xml:space="preserve"> of the Institution Act</w:t>
      </w:r>
      <w:r w:rsidR="002B046B">
        <w:rPr>
          <w:rFonts w:ascii="Arial" w:hAnsi="Arial" w:cs="Arial"/>
          <w:sz w:val="24"/>
          <w:szCs w:val="24"/>
        </w:rPr>
        <w:t>, namely</w:t>
      </w:r>
      <w:r w:rsidR="006E37DE">
        <w:rPr>
          <w:rFonts w:ascii="Arial" w:hAnsi="Arial" w:cs="Arial"/>
          <w:sz w:val="24"/>
          <w:szCs w:val="24"/>
        </w:rPr>
        <w:t>: “</w:t>
      </w:r>
      <w:r w:rsidR="006F2122" w:rsidRPr="000E7E86">
        <w:rPr>
          <w:rFonts w:ascii="Arial" w:hAnsi="Arial" w:cs="Arial"/>
          <w:i/>
          <w:iCs/>
          <w:sz w:val="24"/>
          <w:szCs w:val="24"/>
        </w:rPr>
        <w:t>unless the organ of state wilfully prevent</w:t>
      </w:r>
      <w:r w:rsidR="00186D36" w:rsidRPr="000E7E86">
        <w:rPr>
          <w:rFonts w:ascii="Arial" w:hAnsi="Arial" w:cs="Arial"/>
          <w:i/>
          <w:iCs/>
          <w:sz w:val="24"/>
          <w:szCs w:val="24"/>
        </w:rPr>
        <w:t>ed him or her or it from acquiring such knowledge</w:t>
      </w:r>
      <w:r w:rsidR="00367242">
        <w:rPr>
          <w:rFonts w:ascii="Arial" w:hAnsi="Arial" w:cs="Arial"/>
          <w:sz w:val="24"/>
          <w:szCs w:val="24"/>
        </w:rPr>
        <w:t>”</w:t>
      </w:r>
      <w:r w:rsidR="000E7E86">
        <w:rPr>
          <w:rFonts w:ascii="Arial" w:hAnsi="Arial" w:cs="Arial"/>
          <w:sz w:val="24"/>
          <w:szCs w:val="24"/>
        </w:rPr>
        <w:t>.</w:t>
      </w:r>
      <w:r w:rsidR="00DB20B1">
        <w:rPr>
          <w:rFonts w:ascii="Arial" w:hAnsi="Arial" w:cs="Arial"/>
          <w:sz w:val="24"/>
          <w:szCs w:val="24"/>
        </w:rPr>
        <w:t xml:space="preserve"> In my view, it would be a travesty of justice if </w:t>
      </w:r>
      <w:r w:rsidR="00F57E75">
        <w:rPr>
          <w:rFonts w:ascii="Arial" w:hAnsi="Arial" w:cs="Arial"/>
          <w:sz w:val="24"/>
          <w:szCs w:val="24"/>
        </w:rPr>
        <w:t xml:space="preserve">the first respondent’s </w:t>
      </w:r>
      <w:r w:rsidR="009E76AF">
        <w:rPr>
          <w:rFonts w:ascii="Arial" w:hAnsi="Arial" w:cs="Arial"/>
          <w:sz w:val="24"/>
          <w:szCs w:val="24"/>
        </w:rPr>
        <w:t>contribut</w:t>
      </w:r>
      <w:r w:rsidR="00F57E75">
        <w:rPr>
          <w:rFonts w:ascii="Arial" w:hAnsi="Arial" w:cs="Arial"/>
          <w:sz w:val="24"/>
          <w:szCs w:val="24"/>
        </w:rPr>
        <w:t xml:space="preserve">ion </w:t>
      </w:r>
      <w:r w:rsidR="009E76AF">
        <w:rPr>
          <w:rFonts w:ascii="Arial" w:hAnsi="Arial" w:cs="Arial"/>
          <w:sz w:val="24"/>
          <w:szCs w:val="24"/>
        </w:rPr>
        <w:t>to the delay</w:t>
      </w:r>
      <w:r w:rsidR="00F57E75">
        <w:rPr>
          <w:rFonts w:ascii="Arial" w:hAnsi="Arial" w:cs="Arial"/>
          <w:sz w:val="24"/>
          <w:szCs w:val="24"/>
        </w:rPr>
        <w:t xml:space="preserve"> can simply be </w:t>
      </w:r>
      <w:r w:rsidR="006E37DE">
        <w:rPr>
          <w:rFonts w:ascii="Arial" w:hAnsi="Arial" w:cs="Arial"/>
          <w:sz w:val="24"/>
          <w:szCs w:val="24"/>
        </w:rPr>
        <w:t>overlooked, whilst</w:t>
      </w:r>
      <w:r w:rsidR="00F57E75">
        <w:rPr>
          <w:rFonts w:ascii="Arial" w:hAnsi="Arial" w:cs="Arial"/>
          <w:sz w:val="24"/>
          <w:szCs w:val="24"/>
        </w:rPr>
        <w:t xml:space="preserve"> in the same breath, compliance with the statutory notice time period is insisted upon.  A delay of a year and two months is long and it does not get ameliorated by the prescription point.  The respondent </w:t>
      </w:r>
      <w:r w:rsidR="00AB7003">
        <w:rPr>
          <w:rFonts w:ascii="Arial" w:hAnsi="Arial" w:cs="Arial"/>
          <w:sz w:val="24"/>
          <w:szCs w:val="24"/>
        </w:rPr>
        <w:t>did not furnish the information</w:t>
      </w:r>
      <w:r w:rsidR="00F57E75">
        <w:rPr>
          <w:rFonts w:ascii="Arial" w:hAnsi="Arial" w:cs="Arial"/>
          <w:sz w:val="24"/>
          <w:szCs w:val="24"/>
        </w:rPr>
        <w:t xml:space="preserve"> timeously</w:t>
      </w:r>
      <w:r w:rsidR="00E8615D">
        <w:rPr>
          <w:rFonts w:ascii="Arial" w:hAnsi="Arial" w:cs="Arial"/>
          <w:sz w:val="24"/>
          <w:szCs w:val="24"/>
        </w:rPr>
        <w:t>. He did</w:t>
      </w:r>
      <w:r w:rsidR="00F57E75">
        <w:rPr>
          <w:rFonts w:ascii="Arial" w:hAnsi="Arial" w:cs="Arial"/>
          <w:sz w:val="24"/>
          <w:szCs w:val="24"/>
        </w:rPr>
        <w:t xml:space="preserve"> not </w:t>
      </w:r>
      <w:r w:rsidR="00E8615D">
        <w:rPr>
          <w:rFonts w:ascii="Arial" w:hAnsi="Arial" w:cs="Arial"/>
          <w:sz w:val="24"/>
          <w:szCs w:val="24"/>
        </w:rPr>
        <w:t xml:space="preserve">state </w:t>
      </w:r>
      <w:r w:rsidR="00AB7003">
        <w:rPr>
          <w:rFonts w:ascii="Arial" w:hAnsi="Arial" w:cs="Arial"/>
          <w:sz w:val="24"/>
          <w:szCs w:val="24"/>
        </w:rPr>
        <w:t>wh</w:t>
      </w:r>
      <w:r w:rsidR="001D73F0">
        <w:rPr>
          <w:rFonts w:ascii="Arial" w:hAnsi="Arial" w:cs="Arial"/>
          <w:sz w:val="24"/>
          <w:szCs w:val="24"/>
        </w:rPr>
        <w:t xml:space="preserve">at difficulties </w:t>
      </w:r>
      <w:r w:rsidR="00E8615D">
        <w:rPr>
          <w:rFonts w:ascii="Arial" w:hAnsi="Arial" w:cs="Arial"/>
          <w:sz w:val="24"/>
          <w:szCs w:val="24"/>
        </w:rPr>
        <w:t xml:space="preserve">he </w:t>
      </w:r>
      <w:r w:rsidR="001D73F0">
        <w:rPr>
          <w:rFonts w:ascii="Arial" w:hAnsi="Arial" w:cs="Arial"/>
          <w:sz w:val="24"/>
          <w:szCs w:val="24"/>
        </w:rPr>
        <w:t>encounter</w:t>
      </w:r>
      <w:r w:rsidR="00E8615D">
        <w:rPr>
          <w:rFonts w:ascii="Arial" w:hAnsi="Arial" w:cs="Arial"/>
          <w:sz w:val="24"/>
          <w:szCs w:val="24"/>
        </w:rPr>
        <w:t xml:space="preserve">ed, </w:t>
      </w:r>
      <w:r w:rsidR="007E002C">
        <w:rPr>
          <w:rFonts w:ascii="Arial" w:hAnsi="Arial" w:cs="Arial"/>
          <w:sz w:val="24"/>
          <w:szCs w:val="24"/>
        </w:rPr>
        <w:t>what steps he t</w:t>
      </w:r>
      <w:r w:rsidR="00E8615D">
        <w:rPr>
          <w:rFonts w:ascii="Arial" w:hAnsi="Arial" w:cs="Arial"/>
          <w:sz w:val="24"/>
          <w:szCs w:val="24"/>
        </w:rPr>
        <w:t>ook</w:t>
      </w:r>
      <w:r w:rsidR="007E002C">
        <w:rPr>
          <w:rFonts w:ascii="Arial" w:hAnsi="Arial" w:cs="Arial"/>
          <w:sz w:val="24"/>
          <w:szCs w:val="24"/>
        </w:rPr>
        <w:t xml:space="preserve"> </w:t>
      </w:r>
      <w:r w:rsidR="00F36EA5">
        <w:rPr>
          <w:rFonts w:ascii="Arial" w:hAnsi="Arial" w:cs="Arial"/>
          <w:sz w:val="24"/>
          <w:szCs w:val="24"/>
        </w:rPr>
        <w:t xml:space="preserve">in order to ensure that </w:t>
      </w:r>
      <w:r w:rsidR="00E8615D">
        <w:rPr>
          <w:rFonts w:ascii="Arial" w:hAnsi="Arial" w:cs="Arial"/>
          <w:sz w:val="24"/>
          <w:szCs w:val="24"/>
        </w:rPr>
        <w:t xml:space="preserve">he or his employees </w:t>
      </w:r>
      <w:r w:rsidR="00F36EA5">
        <w:rPr>
          <w:rFonts w:ascii="Arial" w:hAnsi="Arial" w:cs="Arial"/>
          <w:sz w:val="24"/>
          <w:szCs w:val="24"/>
        </w:rPr>
        <w:t>complie</w:t>
      </w:r>
      <w:r w:rsidR="00E8615D">
        <w:rPr>
          <w:rFonts w:ascii="Arial" w:hAnsi="Arial" w:cs="Arial"/>
          <w:sz w:val="24"/>
          <w:szCs w:val="24"/>
        </w:rPr>
        <w:t>d</w:t>
      </w:r>
      <w:r w:rsidR="00402692">
        <w:rPr>
          <w:rFonts w:ascii="Arial" w:hAnsi="Arial" w:cs="Arial"/>
          <w:sz w:val="24"/>
          <w:szCs w:val="24"/>
        </w:rPr>
        <w:t xml:space="preserve"> </w:t>
      </w:r>
      <w:r w:rsidR="00CD1BA0">
        <w:rPr>
          <w:rFonts w:ascii="Arial" w:hAnsi="Arial" w:cs="Arial"/>
          <w:sz w:val="24"/>
          <w:szCs w:val="24"/>
        </w:rPr>
        <w:t xml:space="preserve">with </w:t>
      </w:r>
      <w:r w:rsidR="00E8615D">
        <w:rPr>
          <w:rFonts w:ascii="Arial" w:hAnsi="Arial" w:cs="Arial"/>
          <w:sz w:val="24"/>
          <w:szCs w:val="24"/>
        </w:rPr>
        <w:t xml:space="preserve">their </w:t>
      </w:r>
      <w:r w:rsidR="00CD1BA0">
        <w:rPr>
          <w:rFonts w:ascii="Arial" w:hAnsi="Arial" w:cs="Arial"/>
          <w:sz w:val="24"/>
          <w:szCs w:val="24"/>
        </w:rPr>
        <w:t>constitutional mandate</w:t>
      </w:r>
      <w:r w:rsidR="001F6E7D">
        <w:rPr>
          <w:rFonts w:ascii="Arial" w:hAnsi="Arial" w:cs="Arial"/>
          <w:sz w:val="24"/>
          <w:szCs w:val="24"/>
        </w:rPr>
        <w:t xml:space="preserve"> of ensuring that </w:t>
      </w:r>
      <w:r w:rsidR="00E8615D">
        <w:rPr>
          <w:rFonts w:ascii="Arial" w:hAnsi="Arial" w:cs="Arial"/>
          <w:sz w:val="24"/>
          <w:szCs w:val="24"/>
        </w:rPr>
        <w:t xml:space="preserve">they </w:t>
      </w:r>
      <w:r w:rsidR="001F6E7D">
        <w:rPr>
          <w:rFonts w:ascii="Arial" w:hAnsi="Arial" w:cs="Arial"/>
          <w:sz w:val="24"/>
          <w:szCs w:val="24"/>
        </w:rPr>
        <w:t>make information</w:t>
      </w:r>
      <w:r w:rsidR="002B046B">
        <w:rPr>
          <w:rFonts w:ascii="Arial" w:hAnsi="Arial" w:cs="Arial"/>
          <w:sz w:val="24"/>
          <w:szCs w:val="24"/>
        </w:rPr>
        <w:t>,</w:t>
      </w:r>
      <w:r w:rsidR="001F6E7D">
        <w:rPr>
          <w:rFonts w:ascii="Arial" w:hAnsi="Arial" w:cs="Arial"/>
          <w:sz w:val="24"/>
          <w:szCs w:val="24"/>
        </w:rPr>
        <w:t xml:space="preserve"> upon </w:t>
      </w:r>
      <w:r w:rsidR="006E37DE">
        <w:rPr>
          <w:rFonts w:ascii="Arial" w:hAnsi="Arial" w:cs="Arial"/>
          <w:sz w:val="24"/>
          <w:szCs w:val="24"/>
        </w:rPr>
        <w:t>request,</w:t>
      </w:r>
      <w:r w:rsidR="002B046B">
        <w:rPr>
          <w:rFonts w:ascii="Arial" w:hAnsi="Arial" w:cs="Arial"/>
          <w:sz w:val="24"/>
          <w:szCs w:val="24"/>
        </w:rPr>
        <w:t xml:space="preserve"> </w:t>
      </w:r>
      <w:r w:rsidR="001F6E7D">
        <w:rPr>
          <w:rFonts w:ascii="Arial" w:hAnsi="Arial" w:cs="Arial"/>
          <w:sz w:val="24"/>
          <w:szCs w:val="24"/>
        </w:rPr>
        <w:t>available</w:t>
      </w:r>
      <w:r w:rsidR="002B046B">
        <w:rPr>
          <w:rFonts w:ascii="Arial" w:hAnsi="Arial" w:cs="Arial"/>
          <w:sz w:val="24"/>
          <w:szCs w:val="24"/>
        </w:rPr>
        <w:t xml:space="preserve">, on </w:t>
      </w:r>
      <w:r w:rsidR="006E37DE">
        <w:rPr>
          <w:rFonts w:ascii="Arial" w:hAnsi="Arial" w:cs="Arial"/>
          <w:sz w:val="24"/>
          <w:szCs w:val="24"/>
        </w:rPr>
        <w:t>time, to</w:t>
      </w:r>
      <w:r w:rsidR="006A75E4">
        <w:rPr>
          <w:rFonts w:ascii="Arial" w:hAnsi="Arial" w:cs="Arial"/>
          <w:sz w:val="24"/>
          <w:szCs w:val="24"/>
        </w:rPr>
        <w:t xml:space="preserve"> the party that requests it</w:t>
      </w:r>
      <w:r w:rsidR="002B046B">
        <w:rPr>
          <w:rFonts w:ascii="Arial" w:hAnsi="Arial" w:cs="Arial"/>
          <w:sz w:val="24"/>
          <w:szCs w:val="24"/>
        </w:rPr>
        <w:t>.</w:t>
      </w:r>
    </w:p>
    <w:p w14:paraId="462A2BDB" w14:textId="7A89A1DC" w:rsidR="00E16CBA" w:rsidRDefault="005A3C3A" w:rsidP="00CA6D1C">
      <w:pPr>
        <w:spacing w:line="480" w:lineRule="auto"/>
        <w:ind w:left="720" w:hanging="720"/>
        <w:jc w:val="both"/>
        <w:rPr>
          <w:rFonts w:ascii="Arial" w:hAnsi="Arial" w:cs="Arial"/>
          <w:sz w:val="24"/>
          <w:szCs w:val="24"/>
        </w:rPr>
      </w:pPr>
      <w:r>
        <w:rPr>
          <w:rFonts w:ascii="Arial" w:hAnsi="Arial" w:cs="Arial"/>
          <w:sz w:val="24"/>
          <w:szCs w:val="24"/>
        </w:rPr>
        <w:t>[2</w:t>
      </w:r>
      <w:r w:rsidR="00033442">
        <w:rPr>
          <w:rFonts w:ascii="Arial" w:hAnsi="Arial" w:cs="Arial"/>
          <w:sz w:val="24"/>
          <w:szCs w:val="24"/>
        </w:rPr>
        <w:t>8</w:t>
      </w:r>
      <w:r>
        <w:rPr>
          <w:rFonts w:ascii="Arial" w:hAnsi="Arial" w:cs="Arial"/>
          <w:sz w:val="24"/>
          <w:szCs w:val="24"/>
        </w:rPr>
        <w:t>]</w:t>
      </w:r>
      <w:r>
        <w:rPr>
          <w:rFonts w:ascii="Arial" w:hAnsi="Arial" w:cs="Arial"/>
          <w:sz w:val="24"/>
          <w:szCs w:val="24"/>
        </w:rPr>
        <w:tab/>
      </w:r>
      <w:r w:rsidR="004B2B3F">
        <w:rPr>
          <w:rFonts w:ascii="Arial" w:hAnsi="Arial" w:cs="Arial"/>
          <w:sz w:val="24"/>
          <w:szCs w:val="24"/>
        </w:rPr>
        <w:t xml:space="preserve">The </w:t>
      </w:r>
      <w:r w:rsidR="00E8615D">
        <w:rPr>
          <w:rFonts w:ascii="Arial" w:hAnsi="Arial" w:cs="Arial"/>
          <w:sz w:val="24"/>
          <w:szCs w:val="24"/>
        </w:rPr>
        <w:t xml:space="preserve">first </w:t>
      </w:r>
      <w:r w:rsidR="004B2B3F">
        <w:rPr>
          <w:rFonts w:ascii="Arial" w:hAnsi="Arial" w:cs="Arial"/>
          <w:sz w:val="24"/>
          <w:szCs w:val="24"/>
        </w:rPr>
        <w:t xml:space="preserve">respondent contends that </w:t>
      </w:r>
      <w:r w:rsidR="003F0529">
        <w:rPr>
          <w:rFonts w:ascii="Arial" w:hAnsi="Arial" w:cs="Arial"/>
          <w:sz w:val="24"/>
          <w:szCs w:val="24"/>
        </w:rPr>
        <w:t xml:space="preserve">the applicant </w:t>
      </w:r>
      <w:r w:rsidR="00343023">
        <w:rPr>
          <w:rFonts w:ascii="Arial" w:hAnsi="Arial" w:cs="Arial"/>
          <w:sz w:val="24"/>
          <w:szCs w:val="24"/>
        </w:rPr>
        <w:t xml:space="preserve">knew about the cause of action </w:t>
      </w:r>
      <w:r w:rsidR="00A17858">
        <w:rPr>
          <w:rFonts w:ascii="Arial" w:hAnsi="Arial" w:cs="Arial"/>
          <w:sz w:val="24"/>
          <w:szCs w:val="24"/>
        </w:rPr>
        <w:t>upon her arrest</w:t>
      </w:r>
      <w:r w:rsidR="00E33511">
        <w:rPr>
          <w:rFonts w:ascii="Arial" w:hAnsi="Arial" w:cs="Arial"/>
          <w:sz w:val="24"/>
          <w:szCs w:val="24"/>
        </w:rPr>
        <w:t xml:space="preserve">. If one were to follow this reasoning </w:t>
      </w:r>
      <w:r w:rsidR="00323536">
        <w:rPr>
          <w:rFonts w:ascii="Arial" w:hAnsi="Arial" w:cs="Arial"/>
          <w:sz w:val="24"/>
          <w:szCs w:val="24"/>
        </w:rPr>
        <w:t>it would mean that there is absolutely no</w:t>
      </w:r>
      <w:r w:rsidR="00A32F96">
        <w:rPr>
          <w:rFonts w:ascii="Arial" w:hAnsi="Arial" w:cs="Arial"/>
          <w:sz w:val="24"/>
          <w:szCs w:val="24"/>
        </w:rPr>
        <w:t xml:space="preserve"> basis</w:t>
      </w:r>
      <w:r w:rsidR="009A6B29">
        <w:rPr>
          <w:rFonts w:ascii="Arial" w:hAnsi="Arial" w:cs="Arial"/>
          <w:sz w:val="24"/>
          <w:szCs w:val="24"/>
        </w:rPr>
        <w:t xml:space="preserve"> upon which people </w:t>
      </w:r>
      <w:r w:rsidR="00E26F2E">
        <w:rPr>
          <w:rFonts w:ascii="Arial" w:hAnsi="Arial" w:cs="Arial"/>
          <w:sz w:val="24"/>
          <w:szCs w:val="24"/>
        </w:rPr>
        <w:t>would seek legal advice</w:t>
      </w:r>
      <w:r w:rsidR="002424FD">
        <w:rPr>
          <w:rFonts w:ascii="Arial" w:hAnsi="Arial" w:cs="Arial"/>
          <w:sz w:val="24"/>
          <w:szCs w:val="24"/>
        </w:rPr>
        <w:t xml:space="preserve">. Upon each and every arrest then a cause of action would arise and </w:t>
      </w:r>
      <w:r w:rsidR="00DA2F4E">
        <w:rPr>
          <w:rFonts w:ascii="Arial" w:hAnsi="Arial" w:cs="Arial"/>
          <w:sz w:val="24"/>
          <w:szCs w:val="24"/>
        </w:rPr>
        <w:t xml:space="preserve">an applicant would be expected to </w:t>
      </w:r>
      <w:r w:rsidR="00824129">
        <w:rPr>
          <w:rFonts w:ascii="Arial" w:hAnsi="Arial" w:cs="Arial"/>
          <w:sz w:val="24"/>
          <w:szCs w:val="24"/>
        </w:rPr>
        <w:t xml:space="preserve">rush </w:t>
      </w:r>
      <w:r w:rsidR="000F6093">
        <w:rPr>
          <w:rFonts w:ascii="Arial" w:hAnsi="Arial" w:cs="Arial"/>
          <w:sz w:val="24"/>
          <w:szCs w:val="24"/>
        </w:rPr>
        <w:t xml:space="preserve">to </w:t>
      </w:r>
      <w:r w:rsidR="00E8615D">
        <w:rPr>
          <w:rFonts w:ascii="Arial" w:hAnsi="Arial" w:cs="Arial"/>
          <w:sz w:val="24"/>
          <w:szCs w:val="24"/>
        </w:rPr>
        <w:t>c</w:t>
      </w:r>
      <w:r w:rsidR="000F6093">
        <w:rPr>
          <w:rFonts w:ascii="Arial" w:hAnsi="Arial" w:cs="Arial"/>
          <w:sz w:val="24"/>
          <w:szCs w:val="24"/>
        </w:rPr>
        <w:t>ourt and institute an action</w:t>
      </w:r>
      <w:r w:rsidR="002B07F0">
        <w:rPr>
          <w:rFonts w:ascii="Arial" w:hAnsi="Arial" w:cs="Arial"/>
          <w:sz w:val="24"/>
          <w:szCs w:val="24"/>
        </w:rPr>
        <w:t xml:space="preserve">. </w:t>
      </w:r>
      <w:r w:rsidR="00E42C73">
        <w:rPr>
          <w:rFonts w:ascii="Arial" w:hAnsi="Arial" w:cs="Arial"/>
          <w:sz w:val="24"/>
          <w:szCs w:val="24"/>
        </w:rPr>
        <w:t xml:space="preserve">I see no </w:t>
      </w:r>
      <w:r w:rsidR="00E8615D">
        <w:rPr>
          <w:rFonts w:ascii="Arial" w:hAnsi="Arial" w:cs="Arial"/>
          <w:sz w:val="24"/>
          <w:szCs w:val="24"/>
        </w:rPr>
        <w:t xml:space="preserve">legal </w:t>
      </w:r>
      <w:r w:rsidR="00E42C73">
        <w:rPr>
          <w:rFonts w:ascii="Arial" w:hAnsi="Arial" w:cs="Arial"/>
          <w:sz w:val="24"/>
          <w:szCs w:val="24"/>
        </w:rPr>
        <w:t xml:space="preserve">impediment </w:t>
      </w:r>
      <w:r w:rsidR="00E8615D">
        <w:rPr>
          <w:rFonts w:ascii="Arial" w:hAnsi="Arial" w:cs="Arial"/>
          <w:sz w:val="24"/>
          <w:szCs w:val="24"/>
        </w:rPr>
        <w:t xml:space="preserve">to </w:t>
      </w:r>
      <w:r w:rsidR="001E10AE">
        <w:rPr>
          <w:rFonts w:ascii="Arial" w:hAnsi="Arial" w:cs="Arial"/>
          <w:sz w:val="24"/>
          <w:szCs w:val="24"/>
        </w:rPr>
        <w:t xml:space="preserve">seeking legal advice. </w:t>
      </w:r>
      <w:r w:rsidR="002B046B">
        <w:rPr>
          <w:rFonts w:ascii="Arial" w:hAnsi="Arial" w:cs="Arial"/>
          <w:sz w:val="24"/>
          <w:szCs w:val="24"/>
        </w:rPr>
        <w:t xml:space="preserve">In </w:t>
      </w:r>
      <w:r w:rsidR="006E37DE">
        <w:rPr>
          <w:rFonts w:ascii="Arial" w:hAnsi="Arial" w:cs="Arial"/>
          <w:sz w:val="24"/>
          <w:szCs w:val="24"/>
        </w:rPr>
        <w:t>fact,</w:t>
      </w:r>
      <w:r w:rsidR="002B046B">
        <w:rPr>
          <w:rFonts w:ascii="Arial" w:hAnsi="Arial" w:cs="Arial"/>
          <w:sz w:val="24"/>
          <w:szCs w:val="24"/>
        </w:rPr>
        <w:t xml:space="preserve"> it is a prudent thing to do because not every arrest that is perceived to be </w:t>
      </w:r>
      <w:r w:rsidR="00F758E8">
        <w:rPr>
          <w:rFonts w:ascii="Arial" w:hAnsi="Arial" w:cs="Arial"/>
          <w:sz w:val="24"/>
          <w:szCs w:val="24"/>
        </w:rPr>
        <w:t>unlawful,</w:t>
      </w:r>
      <w:r w:rsidR="002B046B">
        <w:rPr>
          <w:rFonts w:ascii="Arial" w:hAnsi="Arial" w:cs="Arial"/>
          <w:sz w:val="24"/>
          <w:szCs w:val="24"/>
        </w:rPr>
        <w:t xml:space="preserve"> is actionable. </w:t>
      </w:r>
      <w:r w:rsidR="00E8615D">
        <w:rPr>
          <w:rFonts w:ascii="Arial" w:hAnsi="Arial" w:cs="Arial"/>
          <w:sz w:val="24"/>
          <w:szCs w:val="24"/>
        </w:rPr>
        <w:t>The applicant demonstrated that she was not aware of her rights. N</w:t>
      </w:r>
      <w:r w:rsidR="001E10AE">
        <w:rPr>
          <w:rFonts w:ascii="Arial" w:hAnsi="Arial" w:cs="Arial"/>
          <w:sz w:val="24"/>
          <w:szCs w:val="24"/>
        </w:rPr>
        <w:t xml:space="preserve">ot every individual </w:t>
      </w:r>
      <w:r w:rsidR="00C02B20">
        <w:rPr>
          <w:rFonts w:ascii="Arial" w:hAnsi="Arial" w:cs="Arial"/>
          <w:sz w:val="24"/>
          <w:szCs w:val="24"/>
        </w:rPr>
        <w:t xml:space="preserve">is </w:t>
      </w:r>
      <w:r w:rsidR="00E8615D" w:rsidRPr="00E8615D">
        <w:rPr>
          <w:rFonts w:ascii="Arial" w:hAnsi="Arial" w:cs="Arial"/>
          <w:i/>
          <w:iCs/>
          <w:sz w:val="24"/>
          <w:szCs w:val="24"/>
        </w:rPr>
        <w:t>au fait</w:t>
      </w:r>
      <w:r w:rsidR="00E8615D">
        <w:rPr>
          <w:rFonts w:ascii="Arial" w:hAnsi="Arial" w:cs="Arial"/>
          <w:sz w:val="24"/>
          <w:szCs w:val="24"/>
        </w:rPr>
        <w:t xml:space="preserve"> </w:t>
      </w:r>
      <w:r w:rsidR="003833A2">
        <w:rPr>
          <w:rFonts w:ascii="Arial" w:hAnsi="Arial" w:cs="Arial"/>
          <w:sz w:val="24"/>
          <w:szCs w:val="24"/>
        </w:rPr>
        <w:t>with</w:t>
      </w:r>
      <w:r w:rsidR="00E8615D">
        <w:rPr>
          <w:rFonts w:ascii="Arial" w:hAnsi="Arial" w:cs="Arial"/>
          <w:sz w:val="24"/>
          <w:szCs w:val="24"/>
        </w:rPr>
        <w:t xml:space="preserve"> the concept of arrest. </w:t>
      </w:r>
      <w:r w:rsidR="005D3651">
        <w:rPr>
          <w:rFonts w:ascii="Arial" w:hAnsi="Arial" w:cs="Arial"/>
          <w:sz w:val="24"/>
          <w:szCs w:val="24"/>
        </w:rPr>
        <w:t xml:space="preserve"> </w:t>
      </w:r>
      <w:r w:rsidR="00E8615D">
        <w:rPr>
          <w:rFonts w:ascii="Arial" w:hAnsi="Arial" w:cs="Arial"/>
          <w:sz w:val="24"/>
          <w:szCs w:val="24"/>
        </w:rPr>
        <w:t>I</w:t>
      </w:r>
      <w:r w:rsidR="00237822">
        <w:rPr>
          <w:rFonts w:ascii="Arial" w:hAnsi="Arial" w:cs="Arial"/>
          <w:sz w:val="24"/>
          <w:szCs w:val="24"/>
        </w:rPr>
        <w:t xml:space="preserve">n this instance the applicant </w:t>
      </w:r>
      <w:r w:rsidR="004A7315">
        <w:rPr>
          <w:rFonts w:ascii="Arial" w:hAnsi="Arial" w:cs="Arial"/>
          <w:sz w:val="24"/>
          <w:szCs w:val="24"/>
        </w:rPr>
        <w:t xml:space="preserve">demonstrated that </w:t>
      </w:r>
      <w:r w:rsidR="00685F34">
        <w:rPr>
          <w:rFonts w:ascii="Arial" w:hAnsi="Arial" w:cs="Arial"/>
          <w:sz w:val="24"/>
          <w:szCs w:val="24"/>
        </w:rPr>
        <w:t xml:space="preserve">she was not even aware </w:t>
      </w:r>
      <w:r w:rsidR="00D67F8A">
        <w:rPr>
          <w:rFonts w:ascii="Arial" w:hAnsi="Arial" w:cs="Arial"/>
          <w:sz w:val="24"/>
          <w:szCs w:val="24"/>
        </w:rPr>
        <w:t xml:space="preserve">that she could have a claim against the </w:t>
      </w:r>
      <w:r w:rsidR="002B046B">
        <w:rPr>
          <w:rFonts w:ascii="Arial" w:hAnsi="Arial" w:cs="Arial"/>
          <w:sz w:val="24"/>
          <w:szCs w:val="24"/>
        </w:rPr>
        <w:t>Minister</w:t>
      </w:r>
      <w:r w:rsidR="00D67F8A">
        <w:rPr>
          <w:rFonts w:ascii="Arial" w:hAnsi="Arial" w:cs="Arial"/>
          <w:sz w:val="24"/>
          <w:szCs w:val="24"/>
        </w:rPr>
        <w:t xml:space="preserve"> </w:t>
      </w:r>
      <w:r w:rsidR="00F34CBE">
        <w:rPr>
          <w:rFonts w:ascii="Arial" w:hAnsi="Arial" w:cs="Arial"/>
          <w:sz w:val="24"/>
          <w:szCs w:val="24"/>
        </w:rPr>
        <w:t xml:space="preserve">as a result of the conduct </w:t>
      </w:r>
      <w:r w:rsidR="002579BC">
        <w:rPr>
          <w:rFonts w:ascii="Arial" w:hAnsi="Arial" w:cs="Arial"/>
          <w:sz w:val="24"/>
          <w:szCs w:val="24"/>
        </w:rPr>
        <w:t>met</w:t>
      </w:r>
      <w:r w:rsidR="00BD16FC">
        <w:rPr>
          <w:rFonts w:ascii="Arial" w:hAnsi="Arial" w:cs="Arial"/>
          <w:sz w:val="24"/>
          <w:szCs w:val="24"/>
        </w:rPr>
        <w:t>ed out to her</w:t>
      </w:r>
      <w:r w:rsidR="00010C1D">
        <w:rPr>
          <w:rFonts w:ascii="Arial" w:hAnsi="Arial" w:cs="Arial"/>
          <w:sz w:val="24"/>
          <w:szCs w:val="24"/>
        </w:rPr>
        <w:t xml:space="preserve"> and the unlawful search, according to her</w:t>
      </w:r>
      <w:r w:rsidR="00956CBD">
        <w:rPr>
          <w:rFonts w:ascii="Arial" w:hAnsi="Arial" w:cs="Arial"/>
          <w:sz w:val="24"/>
          <w:szCs w:val="24"/>
        </w:rPr>
        <w:t>,</w:t>
      </w:r>
      <w:r w:rsidR="00010C1D">
        <w:rPr>
          <w:rFonts w:ascii="Arial" w:hAnsi="Arial" w:cs="Arial"/>
          <w:sz w:val="24"/>
          <w:szCs w:val="24"/>
        </w:rPr>
        <w:t xml:space="preserve"> </w:t>
      </w:r>
      <w:r w:rsidR="00956CBD">
        <w:rPr>
          <w:rFonts w:ascii="Arial" w:hAnsi="Arial" w:cs="Arial"/>
          <w:sz w:val="24"/>
          <w:szCs w:val="24"/>
        </w:rPr>
        <w:t xml:space="preserve">of her </w:t>
      </w:r>
      <w:r w:rsidR="0079660C">
        <w:rPr>
          <w:rFonts w:ascii="Arial" w:hAnsi="Arial" w:cs="Arial"/>
          <w:sz w:val="24"/>
          <w:szCs w:val="24"/>
        </w:rPr>
        <w:t>home</w:t>
      </w:r>
      <w:r w:rsidR="00E16CBA">
        <w:rPr>
          <w:rFonts w:ascii="Arial" w:hAnsi="Arial" w:cs="Arial"/>
          <w:sz w:val="24"/>
          <w:szCs w:val="24"/>
        </w:rPr>
        <w:t>.</w:t>
      </w:r>
    </w:p>
    <w:p w14:paraId="483E65CB" w14:textId="33CEE4A6" w:rsidR="00DB1388" w:rsidRDefault="00E16CBA" w:rsidP="00CA6D1C">
      <w:pPr>
        <w:spacing w:line="480" w:lineRule="auto"/>
        <w:ind w:left="720" w:hanging="720"/>
        <w:jc w:val="both"/>
        <w:rPr>
          <w:rFonts w:ascii="Arial" w:hAnsi="Arial" w:cs="Arial"/>
          <w:i/>
          <w:iCs/>
          <w:sz w:val="24"/>
          <w:szCs w:val="24"/>
        </w:rPr>
      </w:pPr>
      <w:r>
        <w:rPr>
          <w:rFonts w:ascii="Arial" w:hAnsi="Arial" w:cs="Arial"/>
          <w:sz w:val="24"/>
          <w:szCs w:val="24"/>
        </w:rPr>
        <w:lastRenderedPageBreak/>
        <w:t>[2</w:t>
      </w:r>
      <w:r w:rsidR="00033442">
        <w:rPr>
          <w:rFonts w:ascii="Arial" w:hAnsi="Arial" w:cs="Arial"/>
          <w:sz w:val="24"/>
          <w:szCs w:val="24"/>
        </w:rPr>
        <w:t>9</w:t>
      </w:r>
      <w:r>
        <w:rPr>
          <w:rFonts w:ascii="Arial" w:hAnsi="Arial" w:cs="Arial"/>
          <w:sz w:val="24"/>
          <w:szCs w:val="24"/>
        </w:rPr>
        <w:t>]</w:t>
      </w:r>
      <w:r>
        <w:rPr>
          <w:rFonts w:ascii="Arial" w:hAnsi="Arial" w:cs="Arial"/>
          <w:sz w:val="24"/>
          <w:szCs w:val="24"/>
        </w:rPr>
        <w:tab/>
      </w:r>
      <w:r w:rsidR="006E37DE">
        <w:rPr>
          <w:rFonts w:ascii="Arial" w:hAnsi="Arial" w:cs="Arial"/>
          <w:sz w:val="24"/>
          <w:szCs w:val="24"/>
        </w:rPr>
        <w:t>After the</w:t>
      </w:r>
      <w:r w:rsidR="0079660C">
        <w:rPr>
          <w:rFonts w:ascii="Arial" w:hAnsi="Arial" w:cs="Arial"/>
          <w:sz w:val="24"/>
          <w:szCs w:val="24"/>
        </w:rPr>
        <w:t xml:space="preserve"> institution of the action, </w:t>
      </w:r>
      <w:r w:rsidR="00A3166F">
        <w:rPr>
          <w:rFonts w:ascii="Arial" w:hAnsi="Arial" w:cs="Arial"/>
          <w:sz w:val="24"/>
          <w:szCs w:val="24"/>
        </w:rPr>
        <w:t xml:space="preserve">the </w:t>
      </w:r>
      <w:r w:rsidR="0079660C">
        <w:rPr>
          <w:rFonts w:ascii="Arial" w:hAnsi="Arial" w:cs="Arial"/>
          <w:sz w:val="24"/>
          <w:szCs w:val="24"/>
        </w:rPr>
        <w:t xml:space="preserve">first </w:t>
      </w:r>
      <w:r w:rsidR="00A3166F">
        <w:rPr>
          <w:rFonts w:ascii="Arial" w:hAnsi="Arial" w:cs="Arial"/>
          <w:sz w:val="24"/>
          <w:szCs w:val="24"/>
        </w:rPr>
        <w:t>responde</w:t>
      </w:r>
      <w:r w:rsidR="0079660C">
        <w:rPr>
          <w:rFonts w:ascii="Arial" w:hAnsi="Arial" w:cs="Arial"/>
          <w:sz w:val="24"/>
          <w:szCs w:val="24"/>
        </w:rPr>
        <w:t xml:space="preserve">nt </w:t>
      </w:r>
      <w:r w:rsidR="00A3166F">
        <w:rPr>
          <w:rFonts w:ascii="Arial" w:hAnsi="Arial" w:cs="Arial"/>
          <w:sz w:val="24"/>
          <w:szCs w:val="24"/>
        </w:rPr>
        <w:t>pleaded to the</w:t>
      </w:r>
      <w:r w:rsidR="0079660C">
        <w:rPr>
          <w:rFonts w:ascii="Arial" w:hAnsi="Arial" w:cs="Arial"/>
          <w:sz w:val="24"/>
          <w:szCs w:val="24"/>
        </w:rPr>
        <w:t xml:space="preserve"> </w:t>
      </w:r>
      <w:r w:rsidR="006E37DE">
        <w:rPr>
          <w:rFonts w:ascii="Arial" w:hAnsi="Arial" w:cs="Arial"/>
          <w:sz w:val="24"/>
          <w:szCs w:val="24"/>
        </w:rPr>
        <w:t>combined summons</w:t>
      </w:r>
      <w:r w:rsidR="00A3166F">
        <w:rPr>
          <w:rFonts w:ascii="Arial" w:hAnsi="Arial" w:cs="Arial"/>
          <w:sz w:val="24"/>
          <w:szCs w:val="24"/>
        </w:rPr>
        <w:t xml:space="preserve"> and raised </w:t>
      </w:r>
      <w:r w:rsidR="00386052">
        <w:rPr>
          <w:rFonts w:ascii="Arial" w:hAnsi="Arial" w:cs="Arial"/>
          <w:sz w:val="24"/>
          <w:szCs w:val="24"/>
        </w:rPr>
        <w:t xml:space="preserve">prescription as </w:t>
      </w:r>
      <w:r w:rsidR="0079660C">
        <w:rPr>
          <w:rFonts w:ascii="Arial" w:hAnsi="Arial" w:cs="Arial"/>
          <w:sz w:val="24"/>
          <w:szCs w:val="24"/>
        </w:rPr>
        <w:t>a</w:t>
      </w:r>
      <w:r w:rsidR="00386052">
        <w:rPr>
          <w:rFonts w:ascii="Arial" w:hAnsi="Arial" w:cs="Arial"/>
          <w:sz w:val="24"/>
          <w:szCs w:val="24"/>
        </w:rPr>
        <w:t xml:space="preserve"> special plea</w:t>
      </w:r>
      <w:r w:rsidR="00EF4515">
        <w:rPr>
          <w:rFonts w:ascii="Arial" w:hAnsi="Arial" w:cs="Arial"/>
          <w:sz w:val="24"/>
          <w:szCs w:val="24"/>
        </w:rPr>
        <w:t xml:space="preserve">. The fact that prescription is being raised </w:t>
      </w:r>
      <w:r w:rsidR="00697758">
        <w:rPr>
          <w:rFonts w:ascii="Arial" w:hAnsi="Arial" w:cs="Arial"/>
          <w:sz w:val="24"/>
          <w:szCs w:val="24"/>
        </w:rPr>
        <w:t xml:space="preserve">as a special plea does not on its own </w:t>
      </w:r>
      <w:r w:rsidR="00F13BD6">
        <w:rPr>
          <w:rFonts w:ascii="Arial" w:hAnsi="Arial" w:cs="Arial"/>
          <w:sz w:val="24"/>
          <w:szCs w:val="24"/>
        </w:rPr>
        <w:t>mean that the claim has in fact prescribe</w:t>
      </w:r>
      <w:r w:rsidR="009A3197">
        <w:rPr>
          <w:rFonts w:ascii="Arial" w:hAnsi="Arial" w:cs="Arial"/>
          <w:sz w:val="24"/>
          <w:szCs w:val="24"/>
        </w:rPr>
        <w:t xml:space="preserve">d. Prescription is a legal </w:t>
      </w:r>
      <w:r w:rsidR="00E65AEE">
        <w:rPr>
          <w:rFonts w:ascii="Arial" w:hAnsi="Arial" w:cs="Arial"/>
          <w:sz w:val="24"/>
          <w:szCs w:val="24"/>
        </w:rPr>
        <w:t xml:space="preserve">defence which may warrant leading of evidence </w:t>
      </w:r>
      <w:r w:rsidR="004F1D23">
        <w:rPr>
          <w:rFonts w:ascii="Arial" w:hAnsi="Arial" w:cs="Arial"/>
          <w:sz w:val="24"/>
          <w:szCs w:val="24"/>
        </w:rPr>
        <w:t>at the trial and th</w:t>
      </w:r>
      <w:r w:rsidR="0079660C">
        <w:rPr>
          <w:rFonts w:ascii="Arial" w:hAnsi="Arial" w:cs="Arial"/>
          <w:sz w:val="24"/>
          <w:szCs w:val="24"/>
        </w:rPr>
        <w:t>e trial c</w:t>
      </w:r>
      <w:r w:rsidR="004F1D23">
        <w:rPr>
          <w:rFonts w:ascii="Arial" w:hAnsi="Arial" w:cs="Arial"/>
          <w:sz w:val="24"/>
          <w:szCs w:val="24"/>
        </w:rPr>
        <w:t>ourt will decide whether the matter ha</w:t>
      </w:r>
      <w:r w:rsidR="009C5F80">
        <w:rPr>
          <w:rFonts w:ascii="Arial" w:hAnsi="Arial" w:cs="Arial"/>
          <w:sz w:val="24"/>
          <w:szCs w:val="24"/>
        </w:rPr>
        <w:t>s indee</w:t>
      </w:r>
      <w:r w:rsidR="00053A21">
        <w:rPr>
          <w:rFonts w:ascii="Arial" w:hAnsi="Arial" w:cs="Arial"/>
          <w:sz w:val="24"/>
          <w:szCs w:val="24"/>
        </w:rPr>
        <w:t>d</w:t>
      </w:r>
      <w:r w:rsidR="004F1D23">
        <w:rPr>
          <w:rFonts w:ascii="Arial" w:hAnsi="Arial" w:cs="Arial"/>
          <w:sz w:val="24"/>
          <w:szCs w:val="24"/>
        </w:rPr>
        <w:t xml:space="preserve"> prescribed</w:t>
      </w:r>
      <w:r w:rsidR="00C54385">
        <w:rPr>
          <w:rFonts w:ascii="Arial" w:hAnsi="Arial" w:cs="Arial"/>
          <w:sz w:val="24"/>
          <w:szCs w:val="24"/>
        </w:rPr>
        <w:t xml:space="preserve">. </w:t>
      </w:r>
      <w:r w:rsidR="0079660C">
        <w:rPr>
          <w:rFonts w:ascii="Arial" w:hAnsi="Arial" w:cs="Arial"/>
          <w:sz w:val="24"/>
          <w:szCs w:val="24"/>
        </w:rPr>
        <w:t xml:space="preserve">The </w:t>
      </w:r>
      <w:r w:rsidR="00885A98">
        <w:rPr>
          <w:rFonts w:ascii="Arial" w:hAnsi="Arial" w:cs="Arial"/>
          <w:sz w:val="24"/>
          <w:szCs w:val="24"/>
        </w:rPr>
        <w:t>respondent has not advanced</w:t>
      </w:r>
      <w:r w:rsidR="00864E28">
        <w:rPr>
          <w:rFonts w:ascii="Arial" w:hAnsi="Arial" w:cs="Arial"/>
          <w:sz w:val="24"/>
          <w:szCs w:val="24"/>
        </w:rPr>
        <w:t xml:space="preserve"> any facts whatsoever </w:t>
      </w:r>
      <w:r w:rsidR="0072323E">
        <w:rPr>
          <w:rFonts w:ascii="Arial" w:hAnsi="Arial" w:cs="Arial"/>
          <w:sz w:val="24"/>
          <w:szCs w:val="24"/>
        </w:rPr>
        <w:t xml:space="preserve">upon which </w:t>
      </w:r>
      <w:r w:rsidR="006E37DE">
        <w:rPr>
          <w:rFonts w:ascii="Arial" w:hAnsi="Arial" w:cs="Arial"/>
          <w:sz w:val="24"/>
          <w:szCs w:val="24"/>
        </w:rPr>
        <w:t>he based</w:t>
      </w:r>
      <w:r w:rsidR="0072323E">
        <w:rPr>
          <w:rFonts w:ascii="Arial" w:hAnsi="Arial" w:cs="Arial"/>
          <w:sz w:val="24"/>
          <w:szCs w:val="24"/>
        </w:rPr>
        <w:t xml:space="preserve"> </w:t>
      </w:r>
      <w:r w:rsidR="0079660C">
        <w:rPr>
          <w:rFonts w:ascii="Arial" w:hAnsi="Arial" w:cs="Arial"/>
          <w:sz w:val="24"/>
          <w:szCs w:val="24"/>
        </w:rPr>
        <w:t xml:space="preserve">his </w:t>
      </w:r>
      <w:r w:rsidR="00123E03">
        <w:rPr>
          <w:rFonts w:ascii="Arial" w:hAnsi="Arial" w:cs="Arial"/>
          <w:sz w:val="24"/>
          <w:szCs w:val="24"/>
        </w:rPr>
        <w:t xml:space="preserve">contention that the applicant </w:t>
      </w:r>
      <w:r w:rsidR="00F607A5">
        <w:rPr>
          <w:rFonts w:ascii="Arial" w:hAnsi="Arial" w:cs="Arial"/>
          <w:sz w:val="24"/>
          <w:szCs w:val="24"/>
        </w:rPr>
        <w:t xml:space="preserve">had knowledge </w:t>
      </w:r>
      <w:r w:rsidR="005B60C2">
        <w:rPr>
          <w:rFonts w:ascii="Arial" w:hAnsi="Arial" w:cs="Arial"/>
          <w:sz w:val="24"/>
          <w:szCs w:val="24"/>
        </w:rPr>
        <w:t>of the identity of him as the debtor more than three years before the action was instituted</w:t>
      </w:r>
      <w:r w:rsidR="00757230">
        <w:rPr>
          <w:rFonts w:ascii="Arial" w:hAnsi="Arial" w:cs="Arial"/>
          <w:sz w:val="24"/>
          <w:szCs w:val="24"/>
        </w:rPr>
        <w:t xml:space="preserve">. </w:t>
      </w:r>
      <w:r w:rsidR="005B60C2">
        <w:rPr>
          <w:rFonts w:ascii="Arial" w:hAnsi="Arial" w:cs="Arial"/>
          <w:sz w:val="24"/>
          <w:szCs w:val="24"/>
        </w:rPr>
        <w:t xml:space="preserve">The Constitutional Court in the </w:t>
      </w:r>
      <w:r w:rsidR="005B60C2" w:rsidRPr="002B046B">
        <w:rPr>
          <w:rFonts w:ascii="Arial" w:hAnsi="Arial" w:cs="Arial"/>
          <w:b/>
          <w:bCs/>
          <w:i/>
          <w:iCs/>
          <w:sz w:val="24"/>
          <w:szCs w:val="24"/>
        </w:rPr>
        <w:t>Mtokonya matter</w:t>
      </w:r>
      <w:r w:rsidR="005B60C2">
        <w:rPr>
          <w:rFonts w:ascii="Arial" w:hAnsi="Arial" w:cs="Arial"/>
          <w:sz w:val="24"/>
          <w:szCs w:val="24"/>
        </w:rPr>
        <w:t xml:space="preserve"> </w:t>
      </w:r>
      <w:r w:rsidR="006E37DE">
        <w:rPr>
          <w:rFonts w:ascii="Arial" w:hAnsi="Arial" w:cs="Arial"/>
          <w:sz w:val="24"/>
          <w:szCs w:val="24"/>
        </w:rPr>
        <w:t>at para</w:t>
      </w:r>
      <w:r w:rsidR="005B60C2">
        <w:rPr>
          <w:rFonts w:ascii="Arial" w:hAnsi="Arial" w:cs="Arial"/>
          <w:sz w:val="24"/>
          <w:szCs w:val="24"/>
        </w:rPr>
        <w:t xml:space="preserve"> </w:t>
      </w:r>
      <w:r w:rsidR="00EF65AC">
        <w:rPr>
          <w:rFonts w:ascii="Arial" w:hAnsi="Arial" w:cs="Arial"/>
          <w:sz w:val="24"/>
          <w:szCs w:val="24"/>
        </w:rPr>
        <w:t>181 relied</w:t>
      </w:r>
      <w:r w:rsidR="005B60C2">
        <w:rPr>
          <w:rFonts w:ascii="Arial" w:hAnsi="Arial" w:cs="Arial"/>
          <w:sz w:val="24"/>
          <w:szCs w:val="24"/>
        </w:rPr>
        <w:t xml:space="preserve"> on</w:t>
      </w:r>
      <w:r w:rsidR="00EF65AC">
        <w:rPr>
          <w:rFonts w:ascii="Arial" w:hAnsi="Arial" w:cs="Arial"/>
          <w:sz w:val="24"/>
          <w:szCs w:val="24"/>
        </w:rPr>
        <w:t xml:space="preserve"> </w:t>
      </w:r>
      <w:r w:rsidR="005B60C2" w:rsidRPr="005B60C2">
        <w:rPr>
          <w:rFonts w:ascii="Arial" w:hAnsi="Arial" w:cs="Arial"/>
          <w:i/>
          <w:iCs/>
          <w:sz w:val="24"/>
          <w:szCs w:val="24"/>
        </w:rPr>
        <w:t xml:space="preserve">Gericke </w:t>
      </w:r>
      <w:r w:rsidR="005B60C2" w:rsidRPr="005B60C2">
        <w:rPr>
          <w:rFonts w:ascii="Arial" w:hAnsi="Arial" w:cs="Arial"/>
          <w:sz w:val="24"/>
          <w:szCs w:val="24"/>
        </w:rPr>
        <w:t>where</w:t>
      </w:r>
      <w:r w:rsidR="005B60C2">
        <w:rPr>
          <w:rFonts w:ascii="Arial" w:hAnsi="Arial" w:cs="Arial"/>
          <w:i/>
          <w:iCs/>
          <w:sz w:val="24"/>
          <w:szCs w:val="24"/>
        </w:rPr>
        <w:t xml:space="preserve"> Diemont </w:t>
      </w:r>
      <w:r w:rsidR="00F758E8">
        <w:rPr>
          <w:rFonts w:ascii="Arial" w:hAnsi="Arial" w:cs="Arial"/>
          <w:i/>
          <w:iCs/>
          <w:sz w:val="24"/>
          <w:szCs w:val="24"/>
        </w:rPr>
        <w:t>JA held</w:t>
      </w:r>
      <w:r w:rsidR="005B60C2">
        <w:rPr>
          <w:rFonts w:ascii="Arial" w:hAnsi="Arial" w:cs="Arial"/>
          <w:i/>
          <w:iCs/>
          <w:sz w:val="24"/>
          <w:szCs w:val="24"/>
        </w:rPr>
        <w:t xml:space="preserve">: </w:t>
      </w:r>
    </w:p>
    <w:p w14:paraId="3B3C64B9" w14:textId="0610117E" w:rsidR="005B60C2" w:rsidRPr="002B046B" w:rsidRDefault="005B60C2" w:rsidP="00EF65AC">
      <w:pPr>
        <w:spacing w:line="240" w:lineRule="auto"/>
        <w:ind w:left="1440" w:firstLine="60"/>
        <w:jc w:val="both"/>
        <w:rPr>
          <w:rFonts w:ascii="Arial" w:hAnsi="Arial" w:cs="Arial"/>
          <w:i/>
          <w:iCs/>
          <w:sz w:val="20"/>
          <w:szCs w:val="20"/>
        </w:rPr>
      </w:pPr>
      <w:r w:rsidRPr="002B046B">
        <w:rPr>
          <w:rFonts w:ascii="Arial" w:hAnsi="Arial" w:cs="Arial"/>
          <w:i/>
          <w:iCs/>
          <w:sz w:val="20"/>
          <w:szCs w:val="20"/>
        </w:rPr>
        <w:t xml:space="preserve">“The onus was clearly on the respondent to establish this defence. He could not succeed if he could not prove both the date of the inception and the date of the completion of the period of prescription. He accordingly alleged in his special plea that the debt was prescribed because the debt had become due on 13 February 1971 and summons was issued only on 14 February 1974. </w:t>
      </w:r>
    </w:p>
    <w:p w14:paraId="0285C730" w14:textId="0F875248" w:rsidR="005B60C2" w:rsidRDefault="005B60C2" w:rsidP="00EF65AC">
      <w:pPr>
        <w:spacing w:line="240" w:lineRule="auto"/>
        <w:ind w:left="1440"/>
        <w:jc w:val="both"/>
        <w:rPr>
          <w:rFonts w:ascii="Arial" w:hAnsi="Arial" w:cs="Arial"/>
          <w:i/>
          <w:iCs/>
          <w:sz w:val="20"/>
          <w:szCs w:val="20"/>
        </w:rPr>
      </w:pPr>
      <w:r w:rsidRPr="002B046B">
        <w:rPr>
          <w:rFonts w:ascii="Arial" w:hAnsi="Arial" w:cs="Arial"/>
          <w:i/>
          <w:iCs/>
          <w:sz w:val="20"/>
          <w:szCs w:val="20"/>
        </w:rPr>
        <w:t>However, the Act specifically provides that prescription begins to run only when the debt becomes due and that i</w:t>
      </w:r>
      <w:r w:rsidR="00C4654C" w:rsidRPr="002B046B">
        <w:rPr>
          <w:rFonts w:ascii="Arial" w:hAnsi="Arial" w:cs="Arial"/>
          <w:i/>
          <w:iCs/>
          <w:sz w:val="20"/>
          <w:szCs w:val="20"/>
        </w:rPr>
        <w:t>t is not deemed to become due until the creditor has knowledge</w:t>
      </w:r>
      <w:r w:rsidR="005F5BCA" w:rsidRPr="002B046B">
        <w:rPr>
          <w:rFonts w:ascii="Arial" w:hAnsi="Arial" w:cs="Arial"/>
          <w:i/>
          <w:iCs/>
          <w:sz w:val="20"/>
          <w:szCs w:val="20"/>
        </w:rPr>
        <w:t xml:space="preserve"> both of the identity of the debtor and of the facts from which the debt arises. It follows that if the debtor is to succeed in proving the date on which prescription begins to run he must allege and prove </w:t>
      </w:r>
      <w:r w:rsidR="00EF65AC" w:rsidRPr="002B046B">
        <w:rPr>
          <w:rFonts w:ascii="Arial" w:hAnsi="Arial" w:cs="Arial"/>
          <w:i/>
          <w:iCs/>
          <w:sz w:val="20"/>
          <w:szCs w:val="20"/>
        </w:rPr>
        <w:t>that the</w:t>
      </w:r>
      <w:r w:rsidR="005F5BCA" w:rsidRPr="002B046B">
        <w:rPr>
          <w:rFonts w:ascii="Arial" w:hAnsi="Arial" w:cs="Arial"/>
          <w:i/>
          <w:iCs/>
          <w:sz w:val="20"/>
          <w:szCs w:val="20"/>
        </w:rPr>
        <w:t xml:space="preserve"> creditor had the requisite knowledge on that date.</w:t>
      </w:r>
      <w:r w:rsidR="005F5BCA" w:rsidRPr="002B046B">
        <w:rPr>
          <w:rStyle w:val="FootnoteReference"/>
          <w:rFonts w:ascii="Arial" w:hAnsi="Arial" w:cs="Arial"/>
          <w:i/>
          <w:iCs/>
          <w:sz w:val="20"/>
          <w:szCs w:val="20"/>
        </w:rPr>
        <w:footnoteReference w:id="11"/>
      </w:r>
    </w:p>
    <w:p w14:paraId="33767D07" w14:textId="77777777" w:rsidR="002B046B" w:rsidRPr="002B046B" w:rsidRDefault="002B046B" w:rsidP="002B046B">
      <w:pPr>
        <w:spacing w:line="240" w:lineRule="auto"/>
        <w:ind w:left="720" w:hanging="720"/>
        <w:jc w:val="both"/>
        <w:rPr>
          <w:rFonts w:ascii="Arial" w:hAnsi="Arial" w:cs="Arial"/>
          <w:sz w:val="20"/>
          <w:szCs w:val="20"/>
        </w:rPr>
      </w:pPr>
    </w:p>
    <w:p w14:paraId="28DF437F" w14:textId="604DC9A2" w:rsidR="00EF65AC" w:rsidRDefault="00DB1388" w:rsidP="00EF65AC">
      <w:pPr>
        <w:spacing w:line="480" w:lineRule="auto"/>
        <w:ind w:left="720" w:hanging="720"/>
        <w:jc w:val="both"/>
        <w:rPr>
          <w:rFonts w:ascii="Arial" w:hAnsi="Arial" w:cs="Arial"/>
          <w:sz w:val="24"/>
          <w:szCs w:val="24"/>
        </w:rPr>
      </w:pPr>
      <w:r>
        <w:rPr>
          <w:rFonts w:ascii="Arial" w:hAnsi="Arial" w:cs="Arial"/>
          <w:sz w:val="24"/>
          <w:szCs w:val="24"/>
        </w:rPr>
        <w:t>[</w:t>
      </w:r>
      <w:r w:rsidR="00033442">
        <w:rPr>
          <w:rFonts w:ascii="Arial" w:hAnsi="Arial" w:cs="Arial"/>
          <w:sz w:val="24"/>
          <w:szCs w:val="24"/>
        </w:rPr>
        <w:t>30</w:t>
      </w:r>
      <w:r>
        <w:rPr>
          <w:rFonts w:ascii="Arial" w:hAnsi="Arial" w:cs="Arial"/>
          <w:sz w:val="24"/>
          <w:szCs w:val="24"/>
        </w:rPr>
        <w:t>]</w:t>
      </w:r>
      <w:r>
        <w:rPr>
          <w:rFonts w:ascii="Arial" w:hAnsi="Arial" w:cs="Arial"/>
          <w:sz w:val="24"/>
          <w:szCs w:val="24"/>
        </w:rPr>
        <w:tab/>
      </w:r>
      <w:r w:rsidR="00352D7C">
        <w:rPr>
          <w:rFonts w:ascii="Arial" w:hAnsi="Arial" w:cs="Arial"/>
          <w:sz w:val="24"/>
          <w:szCs w:val="24"/>
        </w:rPr>
        <w:t xml:space="preserve"> I find that reliance on the </w:t>
      </w:r>
      <w:r w:rsidR="00352D7C" w:rsidRPr="00A05A0D">
        <w:rPr>
          <w:rFonts w:ascii="Arial" w:hAnsi="Arial" w:cs="Arial"/>
          <w:i/>
          <w:iCs/>
          <w:sz w:val="24"/>
          <w:szCs w:val="24"/>
        </w:rPr>
        <w:t xml:space="preserve">Mtokonya </w:t>
      </w:r>
      <w:r w:rsidR="00EF65AC">
        <w:rPr>
          <w:rFonts w:ascii="Arial" w:hAnsi="Arial" w:cs="Arial"/>
          <w:sz w:val="24"/>
          <w:szCs w:val="24"/>
        </w:rPr>
        <w:t>case,</w:t>
      </w:r>
      <w:r w:rsidR="00352D7C">
        <w:rPr>
          <w:rFonts w:ascii="Arial" w:hAnsi="Arial" w:cs="Arial"/>
          <w:sz w:val="24"/>
          <w:szCs w:val="24"/>
        </w:rPr>
        <w:t xml:space="preserve"> is with respect, misplaced. In </w:t>
      </w:r>
      <w:r w:rsidR="00352D7C" w:rsidRPr="00A05A0D">
        <w:rPr>
          <w:rFonts w:ascii="Arial" w:hAnsi="Arial" w:cs="Arial"/>
          <w:i/>
          <w:iCs/>
          <w:sz w:val="24"/>
          <w:szCs w:val="24"/>
        </w:rPr>
        <w:t>Mtokonya</w:t>
      </w:r>
      <w:r w:rsidR="00352D7C">
        <w:rPr>
          <w:rFonts w:ascii="Arial" w:hAnsi="Arial" w:cs="Arial"/>
          <w:sz w:val="24"/>
          <w:szCs w:val="24"/>
        </w:rPr>
        <w:t xml:space="preserve"> the parties had submitted a special case on prescription for adjudication.  The parties further agreed on certain facts giving rise to </w:t>
      </w:r>
      <w:r w:rsidR="00EF65AC">
        <w:rPr>
          <w:rFonts w:ascii="Arial" w:hAnsi="Arial" w:cs="Arial"/>
          <w:sz w:val="24"/>
          <w:szCs w:val="24"/>
        </w:rPr>
        <w:t>the claim</w:t>
      </w:r>
      <w:r w:rsidR="00352D7C">
        <w:rPr>
          <w:rFonts w:ascii="Arial" w:hAnsi="Arial" w:cs="Arial"/>
          <w:sz w:val="24"/>
          <w:szCs w:val="24"/>
        </w:rPr>
        <w:t xml:space="preserve"> </w:t>
      </w:r>
      <w:r w:rsidR="00EF65AC">
        <w:rPr>
          <w:rFonts w:ascii="Arial" w:hAnsi="Arial" w:cs="Arial"/>
          <w:sz w:val="24"/>
          <w:szCs w:val="24"/>
        </w:rPr>
        <w:t>and disputes</w:t>
      </w:r>
      <w:r w:rsidR="00352D7C">
        <w:rPr>
          <w:rFonts w:ascii="Arial" w:hAnsi="Arial" w:cs="Arial"/>
          <w:sz w:val="24"/>
          <w:szCs w:val="24"/>
        </w:rPr>
        <w:t xml:space="preserve">. The High Court was requested to determine whether or not the applicant’s claim had prescribed.  </w:t>
      </w:r>
      <w:r w:rsidR="00A05A0D">
        <w:rPr>
          <w:rFonts w:ascii="Arial" w:hAnsi="Arial" w:cs="Arial"/>
          <w:sz w:val="24"/>
          <w:szCs w:val="24"/>
        </w:rPr>
        <w:t xml:space="preserve">The Constitutional </w:t>
      </w:r>
      <w:r w:rsidR="00EF65AC">
        <w:rPr>
          <w:rFonts w:ascii="Arial" w:hAnsi="Arial" w:cs="Arial"/>
          <w:sz w:val="24"/>
          <w:szCs w:val="24"/>
        </w:rPr>
        <w:t>Court defined</w:t>
      </w:r>
      <w:r w:rsidR="00A05A0D">
        <w:rPr>
          <w:rFonts w:ascii="Arial" w:hAnsi="Arial" w:cs="Arial"/>
          <w:sz w:val="24"/>
          <w:szCs w:val="24"/>
        </w:rPr>
        <w:t xml:space="preserve"> the issue as: </w:t>
      </w:r>
    </w:p>
    <w:p w14:paraId="0E2319EB" w14:textId="626ECCC9" w:rsidR="00A05A0D" w:rsidRDefault="00A05A0D" w:rsidP="00EF65AC">
      <w:pPr>
        <w:spacing w:line="240" w:lineRule="auto"/>
        <w:ind w:left="720" w:firstLine="720"/>
        <w:jc w:val="both"/>
        <w:rPr>
          <w:rFonts w:ascii="Arial" w:hAnsi="Arial" w:cs="Arial"/>
          <w:i/>
          <w:iCs/>
          <w:sz w:val="20"/>
          <w:szCs w:val="20"/>
        </w:rPr>
      </w:pPr>
      <w:r w:rsidRPr="00A05A0D">
        <w:rPr>
          <w:rFonts w:ascii="Arial" w:hAnsi="Arial" w:cs="Arial"/>
          <w:sz w:val="20"/>
          <w:szCs w:val="20"/>
        </w:rPr>
        <w:t>“[</w:t>
      </w:r>
      <w:r w:rsidRPr="00A05A0D">
        <w:rPr>
          <w:rFonts w:ascii="Arial" w:hAnsi="Arial" w:cs="Arial"/>
          <w:i/>
          <w:iCs/>
          <w:sz w:val="20"/>
          <w:szCs w:val="20"/>
        </w:rPr>
        <w:t xml:space="preserve">10] The issue for determination involves the interpretation of section 12 (3) of the </w:t>
      </w:r>
      <w:r w:rsidRPr="00A05A0D">
        <w:rPr>
          <w:rFonts w:ascii="Arial" w:hAnsi="Arial" w:cs="Arial"/>
          <w:i/>
          <w:iCs/>
          <w:sz w:val="20"/>
          <w:szCs w:val="20"/>
        </w:rPr>
        <w:tab/>
        <w:t xml:space="preserve">Prescription Act. It is whether section 12 (3) requires that a creditor should have </w:t>
      </w:r>
      <w:r w:rsidRPr="00A05A0D">
        <w:rPr>
          <w:rFonts w:ascii="Arial" w:hAnsi="Arial" w:cs="Arial"/>
          <w:i/>
          <w:iCs/>
          <w:sz w:val="20"/>
          <w:szCs w:val="20"/>
        </w:rPr>
        <w:tab/>
        <w:t xml:space="preserve">knowledge that the conduct of the debtor giving rise to the debt is wrongful and </w:t>
      </w:r>
      <w:r w:rsidRPr="00A05A0D">
        <w:rPr>
          <w:rFonts w:ascii="Arial" w:hAnsi="Arial" w:cs="Arial"/>
          <w:i/>
          <w:iCs/>
          <w:sz w:val="20"/>
          <w:szCs w:val="20"/>
        </w:rPr>
        <w:lastRenderedPageBreak/>
        <w:tab/>
        <w:t xml:space="preserve">actionable in law before prescription may start running or before </w:t>
      </w:r>
      <w:r w:rsidR="00EF65AC" w:rsidRPr="00A05A0D">
        <w:rPr>
          <w:rFonts w:ascii="Arial" w:hAnsi="Arial" w:cs="Arial"/>
          <w:i/>
          <w:iCs/>
          <w:sz w:val="20"/>
          <w:szCs w:val="20"/>
        </w:rPr>
        <w:t>it can</w:t>
      </w:r>
      <w:r w:rsidRPr="00A05A0D">
        <w:rPr>
          <w:rFonts w:ascii="Arial" w:hAnsi="Arial" w:cs="Arial"/>
          <w:i/>
          <w:iCs/>
          <w:sz w:val="20"/>
          <w:szCs w:val="20"/>
        </w:rPr>
        <w:t xml:space="preserve"> be said that the </w:t>
      </w:r>
      <w:r w:rsidRPr="00A05A0D">
        <w:rPr>
          <w:rFonts w:ascii="Arial" w:hAnsi="Arial" w:cs="Arial"/>
          <w:i/>
          <w:iCs/>
          <w:sz w:val="20"/>
          <w:szCs w:val="20"/>
        </w:rPr>
        <w:tab/>
        <w:t xml:space="preserve">debt is </w:t>
      </w:r>
      <w:r w:rsidR="00F758E8" w:rsidRPr="00A05A0D">
        <w:rPr>
          <w:rFonts w:ascii="Arial" w:hAnsi="Arial" w:cs="Arial"/>
          <w:i/>
          <w:iCs/>
          <w:sz w:val="20"/>
          <w:szCs w:val="20"/>
        </w:rPr>
        <w:t>due...</w:t>
      </w:r>
      <w:r w:rsidRPr="00A05A0D">
        <w:rPr>
          <w:rFonts w:ascii="Arial" w:hAnsi="Arial" w:cs="Arial"/>
          <w:i/>
          <w:iCs/>
          <w:sz w:val="20"/>
          <w:szCs w:val="20"/>
        </w:rPr>
        <w:t>”</w:t>
      </w:r>
    </w:p>
    <w:p w14:paraId="2418FA39" w14:textId="77777777" w:rsidR="002B046B" w:rsidRDefault="002B046B" w:rsidP="002B046B">
      <w:pPr>
        <w:spacing w:line="240" w:lineRule="auto"/>
        <w:ind w:left="720" w:hanging="720"/>
        <w:jc w:val="both"/>
        <w:rPr>
          <w:rFonts w:ascii="Arial" w:hAnsi="Arial" w:cs="Arial"/>
          <w:sz w:val="20"/>
          <w:szCs w:val="20"/>
        </w:rPr>
      </w:pPr>
    </w:p>
    <w:p w14:paraId="474764B2" w14:textId="505B5CB4" w:rsidR="00A05A0D" w:rsidRPr="002B046B" w:rsidRDefault="00F607A5" w:rsidP="002B046B">
      <w:pPr>
        <w:spacing w:line="480" w:lineRule="auto"/>
        <w:ind w:left="720" w:hanging="720"/>
        <w:jc w:val="both"/>
        <w:rPr>
          <w:rFonts w:ascii="Arial" w:hAnsi="Arial" w:cs="Arial"/>
          <w:sz w:val="24"/>
          <w:szCs w:val="24"/>
        </w:rPr>
      </w:pPr>
      <w:r w:rsidRPr="002B046B">
        <w:rPr>
          <w:rFonts w:ascii="Arial" w:hAnsi="Arial" w:cs="Arial"/>
          <w:sz w:val="24"/>
          <w:szCs w:val="24"/>
        </w:rPr>
        <w:t>[</w:t>
      </w:r>
      <w:r w:rsidR="00033442">
        <w:rPr>
          <w:rFonts w:ascii="Arial" w:hAnsi="Arial" w:cs="Arial"/>
          <w:sz w:val="24"/>
          <w:szCs w:val="24"/>
        </w:rPr>
        <w:t>31</w:t>
      </w:r>
      <w:r w:rsidRPr="002B046B">
        <w:rPr>
          <w:rFonts w:ascii="Arial" w:hAnsi="Arial" w:cs="Arial"/>
          <w:sz w:val="24"/>
          <w:szCs w:val="24"/>
        </w:rPr>
        <w:t xml:space="preserve">] </w:t>
      </w:r>
      <w:r w:rsidR="00EF65AC">
        <w:rPr>
          <w:rFonts w:ascii="Arial" w:hAnsi="Arial" w:cs="Arial"/>
          <w:sz w:val="24"/>
          <w:szCs w:val="24"/>
        </w:rPr>
        <w:tab/>
      </w:r>
      <w:r w:rsidRPr="002B046B">
        <w:rPr>
          <w:rFonts w:ascii="Arial" w:hAnsi="Arial" w:cs="Arial"/>
          <w:sz w:val="24"/>
          <w:szCs w:val="24"/>
        </w:rPr>
        <w:t xml:space="preserve">Similarly, in </w:t>
      </w:r>
      <w:r w:rsidR="00F758E8" w:rsidRPr="002B046B">
        <w:rPr>
          <w:rFonts w:ascii="Arial" w:hAnsi="Arial" w:cs="Arial"/>
          <w:sz w:val="24"/>
          <w:szCs w:val="24"/>
        </w:rPr>
        <w:t xml:space="preserve">the </w:t>
      </w:r>
      <w:r w:rsidR="00F758E8" w:rsidRPr="00F758E8">
        <w:rPr>
          <w:rFonts w:ascii="Arial" w:hAnsi="Arial" w:cs="Arial"/>
          <w:b/>
          <w:bCs/>
          <w:i/>
          <w:iCs/>
          <w:sz w:val="24"/>
          <w:szCs w:val="24"/>
        </w:rPr>
        <w:t>Minister</w:t>
      </w:r>
      <w:r w:rsidRPr="002B046B">
        <w:rPr>
          <w:rFonts w:ascii="Arial" w:hAnsi="Arial" w:cs="Arial"/>
          <w:b/>
          <w:bCs/>
          <w:i/>
          <w:iCs/>
          <w:sz w:val="24"/>
          <w:szCs w:val="24"/>
        </w:rPr>
        <w:t xml:space="preserve"> of </w:t>
      </w:r>
      <w:r w:rsidR="00F758E8" w:rsidRPr="002B046B">
        <w:rPr>
          <w:rFonts w:ascii="Arial" w:hAnsi="Arial" w:cs="Arial"/>
          <w:b/>
          <w:bCs/>
          <w:i/>
          <w:iCs/>
          <w:sz w:val="24"/>
          <w:szCs w:val="24"/>
        </w:rPr>
        <w:t>Police v</w:t>
      </w:r>
      <w:r w:rsidRPr="002B046B">
        <w:rPr>
          <w:rFonts w:ascii="Arial" w:hAnsi="Arial" w:cs="Arial"/>
          <w:b/>
          <w:bCs/>
          <w:i/>
          <w:iCs/>
          <w:sz w:val="24"/>
          <w:szCs w:val="24"/>
        </w:rPr>
        <w:t xml:space="preserve"> Abongile Zamani</w:t>
      </w:r>
      <w:r w:rsidRPr="002B046B">
        <w:rPr>
          <w:rFonts w:ascii="Arial" w:hAnsi="Arial" w:cs="Arial"/>
          <w:sz w:val="24"/>
          <w:szCs w:val="24"/>
        </w:rPr>
        <w:t xml:space="preserve"> </w:t>
      </w:r>
      <w:r w:rsidR="002B046B">
        <w:rPr>
          <w:rFonts w:ascii="Arial" w:hAnsi="Arial" w:cs="Arial"/>
          <w:sz w:val="24"/>
          <w:szCs w:val="24"/>
        </w:rPr>
        <w:t>case</w:t>
      </w:r>
      <w:r w:rsidRPr="002B046B">
        <w:rPr>
          <w:rFonts w:ascii="Arial" w:hAnsi="Arial" w:cs="Arial"/>
          <w:sz w:val="24"/>
          <w:szCs w:val="24"/>
        </w:rPr>
        <w:t>, the Full Court, on appeal</w:t>
      </w:r>
      <w:r w:rsidR="002B046B">
        <w:rPr>
          <w:rFonts w:ascii="Arial" w:hAnsi="Arial" w:cs="Arial"/>
          <w:sz w:val="24"/>
          <w:szCs w:val="24"/>
        </w:rPr>
        <w:t xml:space="preserve">, </w:t>
      </w:r>
      <w:r w:rsidRPr="002B046B">
        <w:rPr>
          <w:rFonts w:ascii="Arial" w:hAnsi="Arial" w:cs="Arial"/>
          <w:sz w:val="24"/>
          <w:szCs w:val="24"/>
        </w:rPr>
        <w:t xml:space="preserve"> was dealing with the dismissal of a special plea based on prescription. </w:t>
      </w:r>
    </w:p>
    <w:p w14:paraId="7D6F4AF4" w14:textId="77777777" w:rsidR="005F5BCA" w:rsidRPr="00A05A0D" w:rsidRDefault="005F5BCA" w:rsidP="00A05A0D">
      <w:pPr>
        <w:spacing w:line="240" w:lineRule="auto"/>
        <w:ind w:left="720" w:hanging="720"/>
        <w:jc w:val="both"/>
        <w:rPr>
          <w:rFonts w:ascii="Arial" w:hAnsi="Arial" w:cs="Arial"/>
          <w:sz w:val="20"/>
          <w:szCs w:val="20"/>
        </w:rPr>
      </w:pPr>
    </w:p>
    <w:p w14:paraId="5EB2458D" w14:textId="7D3E1253" w:rsidR="00D525FF" w:rsidRDefault="00A05A0D" w:rsidP="005F5BCA">
      <w:pPr>
        <w:spacing w:line="480" w:lineRule="auto"/>
        <w:ind w:left="720" w:hanging="720"/>
        <w:jc w:val="both"/>
        <w:rPr>
          <w:rFonts w:ascii="Arial" w:hAnsi="Arial" w:cs="Arial"/>
          <w:sz w:val="24"/>
          <w:szCs w:val="24"/>
        </w:rPr>
      </w:pPr>
      <w:r>
        <w:rPr>
          <w:rFonts w:ascii="Arial" w:hAnsi="Arial" w:cs="Arial"/>
          <w:sz w:val="24"/>
          <w:szCs w:val="24"/>
        </w:rPr>
        <w:t>[</w:t>
      </w:r>
      <w:r w:rsidR="00033442">
        <w:rPr>
          <w:rFonts w:ascii="Arial" w:hAnsi="Arial" w:cs="Arial"/>
          <w:sz w:val="24"/>
          <w:szCs w:val="24"/>
        </w:rPr>
        <w:t>32</w:t>
      </w:r>
      <w:r>
        <w:rPr>
          <w:rFonts w:ascii="Arial" w:hAnsi="Arial" w:cs="Arial"/>
          <w:sz w:val="24"/>
          <w:szCs w:val="24"/>
        </w:rPr>
        <w:t xml:space="preserve">]  </w:t>
      </w:r>
      <w:r w:rsidR="002B046B">
        <w:rPr>
          <w:rFonts w:ascii="Arial" w:hAnsi="Arial" w:cs="Arial"/>
          <w:sz w:val="24"/>
          <w:szCs w:val="24"/>
        </w:rPr>
        <w:t xml:space="preserve">   </w:t>
      </w:r>
      <w:r w:rsidR="00352D7C">
        <w:rPr>
          <w:rFonts w:ascii="Arial" w:hAnsi="Arial" w:cs="Arial"/>
          <w:sz w:val="24"/>
          <w:szCs w:val="24"/>
        </w:rPr>
        <w:t xml:space="preserve">That is not what this court is faced with. This court is faced with whether or not it should </w:t>
      </w:r>
      <w:r>
        <w:rPr>
          <w:rFonts w:ascii="Arial" w:hAnsi="Arial" w:cs="Arial"/>
          <w:sz w:val="24"/>
          <w:szCs w:val="24"/>
        </w:rPr>
        <w:t xml:space="preserve">condone the applicant’s failure to deliver the statutory notice on time. </w:t>
      </w:r>
      <w:r w:rsidR="00757230">
        <w:rPr>
          <w:rFonts w:ascii="Arial" w:hAnsi="Arial" w:cs="Arial"/>
          <w:sz w:val="24"/>
          <w:szCs w:val="24"/>
        </w:rPr>
        <w:t xml:space="preserve">I am </w:t>
      </w:r>
      <w:r w:rsidR="0079660C">
        <w:rPr>
          <w:rFonts w:ascii="Arial" w:hAnsi="Arial" w:cs="Arial"/>
          <w:sz w:val="24"/>
          <w:szCs w:val="24"/>
        </w:rPr>
        <w:t xml:space="preserve">satisfied </w:t>
      </w:r>
      <w:r w:rsidR="00D4437B">
        <w:rPr>
          <w:rFonts w:ascii="Arial" w:hAnsi="Arial" w:cs="Arial"/>
          <w:sz w:val="24"/>
          <w:szCs w:val="24"/>
        </w:rPr>
        <w:t>that the applicant has prof</w:t>
      </w:r>
      <w:r w:rsidR="00117341">
        <w:rPr>
          <w:rFonts w:ascii="Arial" w:hAnsi="Arial" w:cs="Arial"/>
          <w:sz w:val="24"/>
          <w:szCs w:val="24"/>
        </w:rPr>
        <w:t>fer</w:t>
      </w:r>
      <w:r w:rsidR="0079660C">
        <w:rPr>
          <w:rFonts w:ascii="Arial" w:hAnsi="Arial" w:cs="Arial"/>
          <w:sz w:val="24"/>
          <w:szCs w:val="24"/>
        </w:rPr>
        <w:t xml:space="preserve">ed </w:t>
      </w:r>
      <w:r w:rsidR="007C6090">
        <w:rPr>
          <w:rFonts w:ascii="Arial" w:hAnsi="Arial" w:cs="Arial"/>
          <w:sz w:val="24"/>
          <w:szCs w:val="24"/>
        </w:rPr>
        <w:t>adequate explanation for the delay</w:t>
      </w:r>
      <w:r w:rsidR="0079660C">
        <w:rPr>
          <w:rFonts w:ascii="Arial" w:hAnsi="Arial" w:cs="Arial"/>
          <w:sz w:val="24"/>
          <w:szCs w:val="24"/>
        </w:rPr>
        <w:t xml:space="preserve"> and thus taking into account all the facts, she demonstrated good cause to warrant condonation for the late delivery of the statutory notice. </w:t>
      </w:r>
      <w:r w:rsidR="00272E6C">
        <w:rPr>
          <w:rFonts w:ascii="Arial" w:hAnsi="Arial" w:cs="Arial"/>
          <w:sz w:val="24"/>
          <w:szCs w:val="24"/>
        </w:rPr>
        <w:t xml:space="preserve">On the other hand, lack of </w:t>
      </w:r>
      <w:r w:rsidR="005A75B8">
        <w:rPr>
          <w:rFonts w:ascii="Arial" w:hAnsi="Arial" w:cs="Arial"/>
          <w:sz w:val="24"/>
          <w:szCs w:val="24"/>
        </w:rPr>
        <w:t xml:space="preserve">facts </w:t>
      </w:r>
      <w:r w:rsidR="001B4AB4">
        <w:rPr>
          <w:rFonts w:ascii="Arial" w:hAnsi="Arial" w:cs="Arial"/>
          <w:sz w:val="24"/>
          <w:szCs w:val="24"/>
        </w:rPr>
        <w:t xml:space="preserve">and detail on the part of the </w:t>
      </w:r>
      <w:r w:rsidR="0079660C">
        <w:rPr>
          <w:rFonts w:ascii="Arial" w:hAnsi="Arial" w:cs="Arial"/>
          <w:sz w:val="24"/>
          <w:szCs w:val="24"/>
        </w:rPr>
        <w:t xml:space="preserve">first </w:t>
      </w:r>
      <w:r w:rsidR="001B4AB4">
        <w:rPr>
          <w:rFonts w:ascii="Arial" w:hAnsi="Arial" w:cs="Arial"/>
          <w:sz w:val="24"/>
          <w:szCs w:val="24"/>
        </w:rPr>
        <w:t>respondent</w:t>
      </w:r>
      <w:r w:rsidR="0079660C">
        <w:rPr>
          <w:rFonts w:ascii="Arial" w:hAnsi="Arial" w:cs="Arial"/>
          <w:sz w:val="24"/>
          <w:szCs w:val="24"/>
        </w:rPr>
        <w:t xml:space="preserve"> </w:t>
      </w:r>
      <w:r w:rsidR="005A5D87">
        <w:rPr>
          <w:rFonts w:ascii="Arial" w:hAnsi="Arial" w:cs="Arial"/>
          <w:sz w:val="24"/>
          <w:szCs w:val="24"/>
        </w:rPr>
        <w:t xml:space="preserve">makes it difficult </w:t>
      </w:r>
      <w:r w:rsidR="00C658A6">
        <w:rPr>
          <w:rFonts w:ascii="Arial" w:hAnsi="Arial" w:cs="Arial"/>
          <w:sz w:val="24"/>
          <w:szCs w:val="24"/>
        </w:rPr>
        <w:t xml:space="preserve">for this </w:t>
      </w:r>
      <w:r w:rsidR="0079660C">
        <w:rPr>
          <w:rFonts w:ascii="Arial" w:hAnsi="Arial" w:cs="Arial"/>
          <w:sz w:val="24"/>
          <w:szCs w:val="24"/>
        </w:rPr>
        <w:t>c</w:t>
      </w:r>
      <w:r w:rsidR="00C658A6">
        <w:rPr>
          <w:rFonts w:ascii="Arial" w:hAnsi="Arial" w:cs="Arial"/>
          <w:sz w:val="24"/>
          <w:szCs w:val="24"/>
        </w:rPr>
        <w:t xml:space="preserve">ourt to find that its objection </w:t>
      </w:r>
      <w:r w:rsidR="00D859D5">
        <w:rPr>
          <w:rFonts w:ascii="Arial" w:hAnsi="Arial" w:cs="Arial"/>
          <w:sz w:val="24"/>
          <w:szCs w:val="24"/>
        </w:rPr>
        <w:t>to the condonation is justified.</w:t>
      </w:r>
      <w:r w:rsidR="00DA177F">
        <w:rPr>
          <w:rFonts w:ascii="Arial" w:hAnsi="Arial" w:cs="Arial"/>
          <w:sz w:val="24"/>
          <w:szCs w:val="24"/>
        </w:rPr>
        <w:t xml:space="preserve"> The </w:t>
      </w:r>
      <w:r w:rsidR="007438F0">
        <w:rPr>
          <w:rFonts w:ascii="Arial" w:hAnsi="Arial" w:cs="Arial"/>
          <w:sz w:val="24"/>
          <w:szCs w:val="24"/>
        </w:rPr>
        <w:t xml:space="preserve">information that </w:t>
      </w:r>
      <w:r w:rsidR="00F607A5">
        <w:rPr>
          <w:rFonts w:ascii="Arial" w:hAnsi="Arial" w:cs="Arial"/>
          <w:sz w:val="24"/>
          <w:szCs w:val="24"/>
        </w:rPr>
        <w:t xml:space="preserve">was </w:t>
      </w:r>
      <w:r w:rsidR="007438F0">
        <w:rPr>
          <w:rFonts w:ascii="Arial" w:hAnsi="Arial" w:cs="Arial"/>
          <w:sz w:val="24"/>
          <w:szCs w:val="24"/>
        </w:rPr>
        <w:t xml:space="preserve">requested has </w:t>
      </w:r>
      <w:r w:rsidR="00F607A5">
        <w:rPr>
          <w:rFonts w:ascii="Arial" w:hAnsi="Arial" w:cs="Arial"/>
          <w:sz w:val="24"/>
          <w:szCs w:val="24"/>
        </w:rPr>
        <w:t xml:space="preserve">since </w:t>
      </w:r>
      <w:r w:rsidR="007438F0">
        <w:rPr>
          <w:rFonts w:ascii="Arial" w:hAnsi="Arial" w:cs="Arial"/>
          <w:sz w:val="24"/>
          <w:szCs w:val="24"/>
        </w:rPr>
        <w:t>been provided</w:t>
      </w:r>
      <w:r w:rsidR="00893F9E">
        <w:rPr>
          <w:rFonts w:ascii="Arial" w:hAnsi="Arial" w:cs="Arial"/>
          <w:sz w:val="24"/>
          <w:szCs w:val="24"/>
        </w:rPr>
        <w:t xml:space="preserve"> </w:t>
      </w:r>
      <w:r w:rsidR="0079660C">
        <w:rPr>
          <w:rFonts w:ascii="Arial" w:hAnsi="Arial" w:cs="Arial"/>
          <w:sz w:val="24"/>
          <w:szCs w:val="24"/>
        </w:rPr>
        <w:t xml:space="preserve">to the applicant. </w:t>
      </w:r>
      <w:r w:rsidR="001C57C8">
        <w:rPr>
          <w:rFonts w:ascii="Arial" w:hAnsi="Arial" w:cs="Arial"/>
          <w:sz w:val="24"/>
          <w:szCs w:val="24"/>
        </w:rPr>
        <w:t>Therefore,</w:t>
      </w:r>
      <w:r w:rsidR="00893F9E">
        <w:rPr>
          <w:rFonts w:ascii="Arial" w:hAnsi="Arial" w:cs="Arial"/>
          <w:sz w:val="24"/>
          <w:szCs w:val="24"/>
        </w:rPr>
        <w:t xml:space="preserve"> the prejudice that w</w:t>
      </w:r>
      <w:r w:rsidR="0079660C">
        <w:rPr>
          <w:rFonts w:ascii="Arial" w:hAnsi="Arial" w:cs="Arial"/>
          <w:sz w:val="24"/>
          <w:szCs w:val="24"/>
        </w:rPr>
        <w:t xml:space="preserve">as </w:t>
      </w:r>
      <w:r w:rsidR="00D652CB">
        <w:rPr>
          <w:rFonts w:ascii="Arial" w:hAnsi="Arial" w:cs="Arial"/>
          <w:sz w:val="24"/>
          <w:szCs w:val="24"/>
        </w:rPr>
        <w:t xml:space="preserve">contemplated by the </w:t>
      </w:r>
      <w:r w:rsidR="0079660C">
        <w:rPr>
          <w:rFonts w:ascii="Arial" w:hAnsi="Arial" w:cs="Arial"/>
          <w:sz w:val="24"/>
          <w:szCs w:val="24"/>
        </w:rPr>
        <w:t>L</w:t>
      </w:r>
      <w:r w:rsidR="0049679F">
        <w:rPr>
          <w:rFonts w:ascii="Arial" w:hAnsi="Arial" w:cs="Arial"/>
          <w:sz w:val="24"/>
          <w:szCs w:val="24"/>
        </w:rPr>
        <w:t>egislature</w:t>
      </w:r>
      <w:r w:rsidR="002B046B">
        <w:rPr>
          <w:rFonts w:ascii="Arial" w:hAnsi="Arial" w:cs="Arial"/>
          <w:sz w:val="24"/>
          <w:szCs w:val="24"/>
        </w:rPr>
        <w:t xml:space="preserve"> on the part of the respondents</w:t>
      </w:r>
      <w:r w:rsidR="0049679F">
        <w:rPr>
          <w:rFonts w:ascii="Arial" w:hAnsi="Arial" w:cs="Arial"/>
          <w:sz w:val="24"/>
          <w:szCs w:val="24"/>
        </w:rPr>
        <w:t xml:space="preserve"> </w:t>
      </w:r>
      <w:r w:rsidR="0079660C">
        <w:rPr>
          <w:rFonts w:ascii="Arial" w:hAnsi="Arial" w:cs="Arial"/>
          <w:sz w:val="24"/>
          <w:szCs w:val="24"/>
        </w:rPr>
        <w:t xml:space="preserve">does not arise </w:t>
      </w:r>
      <w:r w:rsidR="00EF65AC">
        <w:rPr>
          <w:rFonts w:ascii="Arial" w:hAnsi="Arial" w:cs="Arial"/>
          <w:sz w:val="24"/>
          <w:szCs w:val="24"/>
        </w:rPr>
        <w:t>because, the</w:t>
      </w:r>
      <w:r w:rsidR="00DC6CC2">
        <w:rPr>
          <w:rFonts w:ascii="Arial" w:hAnsi="Arial" w:cs="Arial"/>
          <w:sz w:val="24"/>
          <w:szCs w:val="24"/>
        </w:rPr>
        <w:t xml:space="preserve"> information </w:t>
      </w:r>
      <w:r w:rsidR="0079660C">
        <w:rPr>
          <w:rFonts w:ascii="Arial" w:hAnsi="Arial" w:cs="Arial"/>
          <w:sz w:val="24"/>
          <w:szCs w:val="24"/>
        </w:rPr>
        <w:t xml:space="preserve">requested </w:t>
      </w:r>
      <w:r w:rsidR="00DC6CC2">
        <w:rPr>
          <w:rFonts w:ascii="Arial" w:hAnsi="Arial" w:cs="Arial"/>
          <w:sz w:val="24"/>
          <w:szCs w:val="24"/>
        </w:rPr>
        <w:t>has been provided</w:t>
      </w:r>
      <w:r w:rsidR="0079660C">
        <w:rPr>
          <w:rFonts w:ascii="Arial" w:hAnsi="Arial" w:cs="Arial"/>
          <w:sz w:val="24"/>
          <w:szCs w:val="24"/>
        </w:rPr>
        <w:t xml:space="preserve">. </w:t>
      </w:r>
      <w:r w:rsidR="00505EC3">
        <w:rPr>
          <w:rFonts w:ascii="Arial" w:hAnsi="Arial" w:cs="Arial"/>
          <w:sz w:val="24"/>
          <w:szCs w:val="24"/>
        </w:rPr>
        <w:t xml:space="preserve"> </w:t>
      </w:r>
      <w:r w:rsidR="0079660C">
        <w:rPr>
          <w:rFonts w:ascii="Arial" w:hAnsi="Arial" w:cs="Arial"/>
          <w:sz w:val="24"/>
          <w:szCs w:val="24"/>
        </w:rPr>
        <w:t xml:space="preserve">The first </w:t>
      </w:r>
      <w:r w:rsidR="00505EC3">
        <w:rPr>
          <w:rFonts w:ascii="Arial" w:hAnsi="Arial" w:cs="Arial"/>
          <w:sz w:val="24"/>
          <w:szCs w:val="24"/>
        </w:rPr>
        <w:t>respondent</w:t>
      </w:r>
      <w:r w:rsidR="00553007">
        <w:rPr>
          <w:rFonts w:ascii="Arial" w:hAnsi="Arial" w:cs="Arial"/>
          <w:sz w:val="24"/>
          <w:szCs w:val="24"/>
        </w:rPr>
        <w:t xml:space="preserve"> will be able to pursue </w:t>
      </w:r>
      <w:r w:rsidR="0079660C">
        <w:rPr>
          <w:rFonts w:ascii="Arial" w:hAnsi="Arial" w:cs="Arial"/>
          <w:sz w:val="24"/>
          <w:szCs w:val="24"/>
        </w:rPr>
        <w:t xml:space="preserve">his </w:t>
      </w:r>
      <w:r w:rsidR="00553007">
        <w:rPr>
          <w:rFonts w:ascii="Arial" w:hAnsi="Arial" w:cs="Arial"/>
          <w:sz w:val="24"/>
          <w:szCs w:val="24"/>
        </w:rPr>
        <w:t>defence in the matter</w:t>
      </w:r>
      <w:r w:rsidR="0022208E">
        <w:rPr>
          <w:rFonts w:ascii="Arial" w:hAnsi="Arial" w:cs="Arial"/>
          <w:sz w:val="24"/>
          <w:szCs w:val="24"/>
        </w:rPr>
        <w:t xml:space="preserve">. In any event, the </w:t>
      </w:r>
      <w:r w:rsidR="0079660C">
        <w:rPr>
          <w:rFonts w:ascii="Arial" w:hAnsi="Arial" w:cs="Arial"/>
          <w:sz w:val="24"/>
          <w:szCs w:val="24"/>
        </w:rPr>
        <w:t xml:space="preserve">first </w:t>
      </w:r>
      <w:r w:rsidR="0022208E">
        <w:rPr>
          <w:rFonts w:ascii="Arial" w:hAnsi="Arial" w:cs="Arial"/>
          <w:sz w:val="24"/>
          <w:szCs w:val="24"/>
        </w:rPr>
        <w:t xml:space="preserve">respondent has not alleged </w:t>
      </w:r>
      <w:r w:rsidR="00697CC7">
        <w:rPr>
          <w:rFonts w:ascii="Arial" w:hAnsi="Arial" w:cs="Arial"/>
          <w:sz w:val="24"/>
          <w:szCs w:val="24"/>
        </w:rPr>
        <w:t xml:space="preserve">that it has suffered any prejudice </w:t>
      </w:r>
      <w:r w:rsidR="009F7FCA">
        <w:rPr>
          <w:rFonts w:ascii="Arial" w:hAnsi="Arial" w:cs="Arial"/>
          <w:sz w:val="24"/>
          <w:szCs w:val="24"/>
        </w:rPr>
        <w:t xml:space="preserve">whatsoever because of the failure on the part </w:t>
      </w:r>
      <w:r w:rsidR="004B481C">
        <w:rPr>
          <w:rFonts w:ascii="Arial" w:hAnsi="Arial" w:cs="Arial"/>
          <w:sz w:val="24"/>
          <w:szCs w:val="24"/>
        </w:rPr>
        <w:t>of the applicant to issue the notice timeously.</w:t>
      </w:r>
      <w:r w:rsidR="002B046B">
        <w:rPr>
          <w:rFonts w:ascii="Arial" w:hAnsi="Arial" w:cs="Arial"/>
          <w:sz w:val="24"/>
          <w:szCs w:val="24"/>
        </w:rPr>
        <w:t xml:space="preserve"> There are prospects of success at the trial because there are no facts advanced at this stage to explain why the applicant’s home was searched without a warrant. A person’s home is her sanctuary </w:t>
      </w:r>
      <w:r w:rsidR="00EF65AC">
        <w:rPr>
          <w:rFonts w:ascii="Arial" w:hAnsi="Arial" w:cs="Arial"/>
          <w:sz w:val="24"/>
          <w:szCs w:val="24"/>
        </w:rPr>
        <w:t>and no</w:t>
      </w:r>
      <w:r w:rsidR="002B046B">
        <w:rPr>
          <w:rFonts w:ascii="Arial" w:hAnsi="Arial" w:cs="Arial"/>
          <w:sz w:val="24"/>
          <w:szCs w:val="24"/>
        </w:rPr>
        <w:t xml:space="preserve"> law enforcement agent has a right to invade that space without justification. </w:t>
      </w:r>
      <w:r w:rsidR="006B046B">
        <w:rPr>
          <w:rFonts w:ascii="Arial" w:hAnsi="Arial" w:cs="Arial"/>
          <w:sz w:val="24"/>
          <w:szCs w:val="24"/>
        </w:rPr>
        <w:t xml:space="preserve"> No facts justifying such invasion have been advanced by the first respondent. </w:t>
      </w:r>
    </w:p>
    <w:p w14:paraId="0179E40E" w14:textId="77777777" w:rsidR="00033442" w:rsidRDefault="00033442" w:rsidP="005F5BCA">
      <w:pPr>
        <w:spacing w:line="480" w:lineRule="auto"/>
        <w:ind w:left="720" w:hanging="720"/>
        <w:jc w:val="both"/>
        <w:rPr>
          <w:rFonts w:ascii="Arial" w:hAnsi="Arial" w:cs="Arial"/>
          <w:sz w:val="24"/>
          <w:szCs w:val="24"/>
        </w:rPr>
      </w:pPr>
    </w:p>
    <w:p w14:paraId="10EE0774" w14:textId="77777777" w:rsidR="00344D5F" w:rsidRDefault="00344D5F" w:rsidP="005F5BCA">
      <w:pPr>
        <w:spacing w:line="480" w:lineRule="auto"/>
        <w:ind w:left="720" w:hanging="720"/>
        <w:jc w:val="both"/>
        <w:rPr>
          <w:rFonts w:ascii="Arial" w:hAnsi="Arial" w:cs="Arial"/>
          <w:sz w:val="24"/>
          <w:szCs w:val="24"/>
        </w:rPr>
      </w:pPr>
    </w:p>
    <w:p w14:paraId="3B3C554B" w14:textId="594DACAC" w:rsidR="007147FF" w:rsidRDefault="00D525FF" w:rsidP="00CA6D1C">
      <w:pPr>
        <w:spacing w:line="480" w:lineRule="auto"/>
        <w:ind w:left="720" w:hanging="720"/>
        <w:jc w:val="both"/>
        <w:rPr>
          <w:rFonts w:ascii="Arial" w:hAnsi="Arial" w:cs="Arial"/>
          <w:sz w:val="24"/>
          <w:szCs w:val="24"/>
        </w:rPr>
      </w:pPr>
      <w:r>
        <w:rPr>
          <w:rFonts w:ascii="Arial" w:hAnsi="Arial" w:cs="Arial"/>
          <w:sz w:val="24"/>
          <w:szCs w:val="24"/>
        </w:rPr>
        <w:lastRenderedPageBreak/>
        <w:t>[</w:t>
      </w:r>
      <w:r w:rsidR="00033442">
        <w:rPr>
          <w:rFonts w:ascii="Arial" w:hAnsi="Arial" w:cs="Arial"/>
          <w:sz w:val="24"/>
          <w:szCs w:val="24"/>
        </w:rPr>
        <w:t>33</w:t>
      </w:r>
      <w:r>
        <w:rPr>
          <w:rFonts w:ascii="Arial" w:hAnsi="Arial" w:cs="Arial"/>
          <w:sz w:val="24"/>
          <w:szCs w:val="24"/>
        </w:rPr>
        <w:t>]</w:t>
      </w:r>
      <w:r>
        <w:rPr>
          <w:rFonts w:ascii="Arial" w:hAnsi="Arial" w:cs="Arial"/>
          <w:sz w:val="24"/>
          <w:szCs w:val="24"/>
        </w:rPr>
        <w:tab/>
        <w:t>In its preamble the Institution Ac</w:t>
      </w:r>
      <w:r w:rsidR="00F805A6">
        <w:rPr>
          <w:rFonts w:ascii="Arial" w:hAnsi="Arial" w:cs="Arial"/>
          <w:sz w:val="24"/>
          <w:szCs w:val="24"/>
        </w:rPr>
        <w:t>t</w:t>
      </w:r>
      <w:r w:rsidR="008E6FD3">
        <w:rPr>
          <w:rFonts w:ascii="Arial" w:hAnsi="Arial" w:cs="Arial"/>
          <w:sz w:val="24"/>
          <w:szCs w:val="24"/>
        </w:rPr>
        <w:t xml:space="preserve"> provides</w:t>
      </w:r>
      <w:r w:rsidR="007147FF">
        <w:rPr>
          <w:rFonts w:ascii="Arial" w:hAnsi="Arial" w:cs="Arial"/>
          <w:sz w:val="24"/>
          <w:szCs w:val="24"/>
        </w:rPr>
        <w:t>:</w:t>
      </w:r>
    </w:p>
    <w:p w14:paraId="7F14F86A" w14:textId="77777777" w:rsidR="007147FF" w:rsidRPr="006B046B" w:rsidRDefault="007147FF" w:rsidP="006B046B">
      <w:pPr>
        <w:spacing w:line="240" w:lineRule="auto"/>
        <w:ind w:left="720" w:hanging="720"/>
        <w:jc w:val="both"/>
        <w:rPr>
          <w:rFonts w:ascii="Arial" w:hAnsi="Arial" w:cs="Arial"/>
          <w:i/>
          <w:iCs/>
          <w:sz w:val="18"/>
          <w:szCs w:val="18"/>
        </w:rPr>
      </w:pPr>
      <w:r>
        <w:rPr>
          <w:rFonts w:ascii="Arial" w:hAnsi="Arial" w:cs="Arial"/>
          <w:sz w:val="24"/>
          <w:szCs w:val="24"/>
        </w:rPr>
        <w:tab/>
      </w:r>
      <w:r>
        <w:rPr>
          <w:rFonts w:ascii="Arial" w:hAnsi="Arial" w:cs="Arial"/>
          <w:sz w:val="24"/>
          <w:szCs w:val="24"/>
        </w:rPr>
        <w:tab/>
      </w:r>
      <w:r w:rsidRPr="006B046B">
        <w:rPr>
          <w:rFonts w:ascii="Arial" w:hAnsi="Arial" w:cs="Arial"/>
          <w:i/>
          <w:iCs/>
          <w:sz w:val="18"/>
          <w:szCs w:val="18"/>
        </w:rPr>
        <w:t xml:space="preserve">“AND RECOGNISING THAT- </w:t>
      </w:r>
    </w:p>
    <w:p w14:paraId="07457AF0" w14:textId="328BEC24" w:rsidR="007147FF" w:rsidRPr="006B046B" w:rsidRDefault="007147FF" w:rsidP="006B046B">
      <w:pPr>
        <w:spacing w:line="240" w:lineRule="auto"/>
        <w:ind w:left="2880" w:hanging="720"/>
        <w:jc w:val="both"/>
        <w:rPr>
          <w:rFonts w:ascii="Arial" w:hAnsi="Arial" w:cs="Arial"/>
          <w:i/>
          <w:iCs/>
          <w:sz w:val="18"/>
          <w:szCs w:val="18"/>
        </w:rPr>
      </w:pPr>
      <w:r w:rsidRPr="006B046B">
        <w:rPr>
          <w:rFonts w:ascii="Arial" w:hAnsi="Arial" w:cs="Arial"/>
          <w:i/>
          <w:iCs/>
          <w:sz w:val="18"/>
          <w:szCs w:val="18"/>
        </w:rPr>
        <w:t xml:space="preserve">* </w:t>
      </w:r>
      <w:r w:rsidR="00547F24" w:rsidRPr="006B046B">
        <w:rPr>
          <w:rFonts w:ascii="Arial" w:hAnsi="Arial" w:cs="Arial"/>
          <w:i/>
          <w:iCs/>
          <w:sz w:val="18"/>
          <w:szCs w:val="18"/>
        </w:rPr>
        <w:tab/>
      </w:r>
      <w:r w:rsidRPr="006B046B">
        <w:rPr>
          <w:rFonts w:ascii="Arial" w:hAnsi="Arial" w:cs="Arial"/>
          <w:i/>
          <w:iCs/>
          <w:sz w:val="18"/>
          <w:szCs w:val="18"/>
        </w:rPr>
        <w:t xml:space="preserve">the Prescription Act, 1969 (Act No. 68 of 1969), being the cornerstone of the laws regulating the extinction of debts by prescription, consolidated and amended the laws relating to prescription; </w:t>
      </w:r>
    </w:p>
    <w:p w14:paraId="3DB16048" w14:textId="3CEEEE54" w:rsidR="007147FF" w:rsidRPr="006B046B" w:rsidRDefault="007147FF" w:rsidP="006B046B">
      <w:pPr>
        <w:spacing w:line="240" w:lineRule="auto"/>
        <w:ind w:left="2880" w:hanging="720"/>
        <w:jc w:val="both"/>
        <w:rPr>
          <w:rFonts w:ascii="Arial" w:hAnsi="Arial" w:cs="Arial"/>
          <w:i/>
          <w:iCs/>
          <w:sz w:val="18"/>
          <w:szCs w:val="18"/>
        </w:rPr>
      </w:pPr>
      <w:r w:rsidRPr="006B046B">
        <w:rPr>
          <w:rFonts w:ascii="Arial" w:hAnsi="Arial" w:cs="Arial"/>
          <w:i/>
          <w:iCs/>
          <w:sz w:val="18"/>
          <w:szCs w:val="18"/>
        </w:rPr>
        <w:t xml:space="preserve">* </w:t>
      </w:r>
      <w:r w:rsidR="00547F24" w:rsidRPr="006B046B">
        <w:rPr>
          <w:rFonts w:ascii="Arial" w:hAnsi="Arial" w:cs="Arial"/>
          <w:i/>
          <w:iCs/>
          <w:sz w:val="18"/>
          <w:szCs w:val="18"/>
        </w:rPr>
        <w:tab/>
      </w:r>
      <w:r w:rsidRPr="006B046B">
        <w:rPr>
          <w:rFonts w:ascii="Arial" w:hAnsi="Arial" w:cs="Arial"/>
          <w:i/>
          <w:iCs/>
          <w:sz w:val="18"/>
          <w:szCs w:val="18"/>
        </w:rPr>
        <w:t xml:space="preserve">some of the provisions of existing laws which provide for different periods of prescription in respect of certain debts are inconsistent with the periods of prescription prescribed by the Prescription Act, 1969; </w:t>
      </w:r>
    </w:p>
    <w:p w14:paraId="77BE0F36" w14:textId="77777777" w:rsidR="007147FF" w:rsidRPr="006B046B" w:rsidRDefault="007147FF" w:rsidP="006B046B">
      <w:pPr>
        <w:spacing w:line="240" w:lineRule="auto"/>
        <w:ind w:left="2160"/>
        <w:jc w:val="both"/>
        <w:rPr>
          <w:rFonts w:ascii="Arial" w:hAnsi="Arial" w:cs="Arial"/>
          <w:i/>
          <w:iCs/>
          <w:sz w:val="18"/>
          <w:szCs w:val="18"/>
        </w:rPr>
      </w:pPr>
    </w:p>
    <w:p w14:paraId="7E4184AD" w14:textId="77777777" w:rsidR="00547F24" w:rsidRPr="006B046B" w:rsidRDefault="007147FF" w:rsidP="006B046B">
      <w:pPr>
        <w:spacing w:line="240" w:lineRule="auto"/>
        <w:ind w:left="2160"/>
        <w:jc w:val="both"/>
        <w:rPr>
          <w:rFonts w:ascii="Arial" w:hAnsi="Arial" w:cs="Arial"/>
          <w:i/>
          <w:iCs/>
          <w:sz w:val="18"/>
          <w:szCs w:val="18"/>
        </w:rPr>
      </w:pPr>
      <w:r w:rsidRPr="006B046B">
        <w:rPr>
          <w:rFonts w:ascii="Arial" w:hAnsi="Arial" w:cs="Arial"/>
          <w:i/>
          <w:iCs/>
          <w:sz w:val="18"/>
          <w:szCs w:val="18"/>
        </w:rPr>
        <w:t xml:space="preserve">AND BEARING IN MIND THAT- </w:t>
      </w:r>
    </w:p>
    <w:p w14:paraId="647C1820" w14:textId="77777777" w:rsidR="00547F24" w:rsidRPr="006B046B" w:rsidRDefault="007147FF" w:rsidP="006B046B">
      <w:pPr>
        <w:spacing w:line="240" w:lineRule="auto"/>
        <w:ind w:left="2880" w:hanging="720"/>
        <w:jc w:val="both"/>
        <w:rPr>
          <w:rFonts w:ascii="Arial" w:hAnsi="Arial" w:cs="Arial"/>
          <w:i/>
          <w:iCs/>
          <w:sz w:val="18"/>
          <w:szCs w:val="18"/>
        </w:rPr>
      </w:pPr>
      <w:r w:rsidRPr="006B046B">
        <w:rPr>
          <w:rFonts w:ascii="Arial" w:hAnsi="Arial" w:cs="Arial"/>
          <w:i/>
          <w:iCs/>
          <w:sz w:val="18"/>
          <w:szCs w:val="18"/>
        </w:rPr>
        <w:t xml:space="preserve">* </w:t>
      </w:r>
      <w:r w:rsidR="00547F24" w:rsidRPr="006B046B">
        <w:rPr>
          <w:rFonts w:ascii="Arial" w:hAnsi="Arial" w:cs="Arial"/>
          <w:i/>
          <w:iCs/>
          <w:sz w:val="18"/>
          <w:szCs w:val="18"/>
        </w:rPr>
        <w:tab/>
      </w:r>
      <w:r w:rsidRPr="006B046B">
        <w:rPr>
          <w:rFonts w:ascii="Arial" w:hAnsi="Arial" w:cs="Arial"/>
          <w:i/>
          <w:iCs/>
          <w:sz w:val="18"/>
          <w:szCs w:val="18"/>
        </w:rPr>
        <w:t xml:space="preserve">South Africa has moved from a parliamentary sovereign state to a democratic constitutional sovereign state; </w:t>
      </w:r>
    </w:p>
    <w:p w14:paraId="4ABDADBA" w14:textId="77777777" w:rsidR="00486FAA" w:rsidRDefault="007147FF" w:rsidP="006B046B">
      <w:pPr>
        <w:spacing w:line="240" w:lineRule="auto"/>
        <w:ind w:left="2880" w:hanging="720"/>
        <w:jc w:val="both"/>
        <w:rPr>
          <w:rFonts w:ascii="Arial" w:hAnsi="Arial" w:cs="Arial"/>
          <w:i/>
          <w:iCs/>
          <w:sz w:val="18"/>
          <w:szCs w:val="18"/>
        </w:rPr>
      </w:pPr>
      <w:r w:rsidRPr="006B046B">
        <w:rPr>
          <w:rFonts w:ascii="Arial" w:hAnsi="Arial" w:cs="Arial"/>
          <w:i/>
          <w:iCs/>
          <w:sz w:val="18"/>
          <w:szCs w:val="18"/>
        </w:rPr>
        <w:t xml:space="preserve">* </w:t>
      </w:r>
      <w:r w:rsidR="00547F24" w:rsidRPr="006B046B">
        <w:rPr>
          <w:rFonts w:ascii="Arial" w:hAnsi="Arial" w:cs="Arial"/>
          <w:i/>
          <w:iCs/>
          <w:sz w:val="18"/>
          <w:szCs w:val="18"/>
        </w:rPr>
        <w:tab/>
      </w:r>
      <w:r w:rsidRPr="006B046B">
        <w:rPr>
          <w:rFonts w:ascii="Arial" w:hAnsi="Arial" w:cs="Arial"/>
          <w:i/>
          <w:iCs/>
          <w:sz w:val="18"/>
          <w:szCs w:val="18"/>
        </w:rPr>
        <w:t>the Bill of Rights is the cornerstone of democracy in South Africa and that the State must respect, protect, promote and fulfil the rights in the Bill of Rights</w:t>
      </w:r>
      <w:r w:rsidR="008346F6" w:rsidRPr="006B046B">
        <w:rPr>
          <w:rFonts w:ascii="Arial" w:hAnsi="Arial" w:cs="Arial"/>
          <w:i/>
          <w:iCs/>
          <w:sz w:val="18"/>
          <w:szCs w:val="18"/>
        </w:rPr>
        <w:t>;”</w:t>
      </w:r>
    </w:p>
    <w:p w14:paraId="77233BCD" w14:textId="77777777" w:rsidR="006B046B" w:rsidRPr="006B046B" w:rsidRDefault="006B046B" w:rsidP="006B046B">
      <w:pPr>
        <w:spacing w:line="240" w:lineRule="auto"/>
        <w:ind w:left="2880" w:hanging="720"/>
        <w:jc w:val="both"/>
        <w:rPr>
          <w:rFonts w:ascii="Arial" w:hAnsi="Arial" w:cs="Arial"/>
          <w:sz w:val="18"/>
          <w:szCs w:val="18"/>
        </w:rPr>
      </w:pPr>
    </w:p>
    <w:p w14:paraId="572A56F4" w14:textId="52D190DB" w:rsidR="00C91872" w:rsidRDefault="00486FAA" w:rsidP="00D822F8">
      <w:pPr>
        <w:spacing w:line="480" w:lineRule="auto"/>
        <w:ind w:left="720" w:hanging="720"/>
        <w:jc w:val="both"/>
        <w:rPr>
          <w:rFonts w:ascii="Arial" w:hAnsi="Arial" w:cs="Arial"/>
          <w:sz w:val="24"/>
          <w:szCs w:val="24"/>
        </w:rPr>
      </w:pPr>
      <w:r>
        <w:rPr>
          <w:rFonts w:ascii="Arial" w:hAnsi="Arial" w:cs="Arial"/>
          <w:sz w:val="24"/>
          <w:szCs w:val="24"/>
        </w:rPr>
        <w:t>[</w:t>
      </w:r>
      <w:r w:rsidR="00033442">
        <w:rPr>
          <w:rFonts w:ascii="Arial" w:hAnsi="Arial" w:cs="Arial"/>
          <w:sz w:val="24"/>
          <w:szCs w:val="24"/>
        </w:rPr>
        <w:t>34</w:t>
      </w:r>
      <w:r>
        <w:rPr>
          <w:rFonts w:ascii="Arial" w:hAnsi="Arial" w:cs="Arial"/>
          <w:sz w:val="24"/>
          <w:szCs w:val="24"/>
        </w:rPr>
        <w:t>]</w:t>
      </w:r>
      <w:r>
        <w:rPr>
          <w:rFonts w:ascii="Arial" w:hAnsi="Arial" w:cs="Arial"/>
          <w:sz w:val="24"/>
          <w:szCs w:val="24"/>
        </w:rPr>
        <w:tab/>
        <w:t>I</w:t>
      </w:r>
      <w:r w:rsidR="00AF3A3B">
        <w:rPr>
          <w:rFonts w:ascii="Arial" w:hAnsi="Arial" w:cs="Arial"/>
          <w:sz w:val="24"/>
          <w:szCs w:val="24"/>
        </w:rPr>
        <w:t>n light of these considerations</w:t>
      </w:r>
      <w:r w:rsidR="006B046B">
        <w:rPr>
          <w:rFonts w:ascii="Arial" w:hAnsi="Arial" w:cs="Arial"/>
          <w:sz w:val="24"/>
          <w:szCs w:val="24"/>
        </w:rPr>
        <w:t xml:space="preserve">, and when </w:t>
      </w:r>
      <w:r w:rsidR="00EB47DA">
        <w:rPr>
          <w:rFonts w:ascii="Arial" w:hAnsi="Arial" w:cs="Arial"/>
          <w:sz w:val="24"/>
          <w:szCs w:val="24"/>
        </w:rPr>
        <w:t>one balances the</w:t>
      </w:r>
      <w:r w:rsidR="00907817">
        <w:rPr>
          <w:rFonts w:ascii="Arial" w:hAnsi="Arial" w:cs="Arial"/>
          <w:sz w:val="24"/>
          <w:szCs w:val="24"/>
        </w:rPr>
        <w:t xml:space="preserve"> explanation given </w:t>
      </w:r>
      <w:r w:rsidR="006B046B">
        <w:rPr>
          <w:rFonts w:ascii="Arial" w:hAnsi="Arial" w:cs="Arial"/>
          <w:sz w:val="24"/>
          <w:szCs w:val="24"/>
        </w:rPr>
        <w:t xml:space="preserve">by </w:t>
      </w:r>
      <w:r w:rsidR="00907817">
        <w:rPr>
          <w:rFonts w:ascii="Arial" w:hAnsi="Arial" w:cs="Arial"/>
          <w:sz w:val="24"/>
          <w:szCs w:val="24"/>
        </w:rPr>
        <w:t>the applica</w:t>
      </w:r>
      <w:r w:rsidR="00D822F8">
        <w:rPr>
          <w:rFonts w:ascii="Arial" w:hAnsi="Arial" w:cs="Arial"/>
          <w:sz w:val="24"/>
          <w:szCs w:val="24"/>
        </w:rPr>
        <w:t>nt</w:t>
      </w:r>
      <w:r w:rsidR="005F5BCA">
        <w:rPr>
          <w:rFonts w:ascii="Arial" w:hAnsi="Arial" w:cs="Arial"/>
          <w:sz w:val="24"/>
          <w:szCs w:val="24"/>
        </w:rPr>
        <w:t>, on the one hand, and</w:t>
      </w:r>
      <w:r w:rsidR="009D417D">
        <w:rPr>
          <w:rFonts w:ascii="Arial" w:hAnsi="Arial" w:cs="Arial"/>
          <w:i/>
          <w:iCs/>
          <w:sz w:val="24"/>
          <w:szCs w:val="24"/>
        </w:rPr>
        <w:t xml:space="preserve"> </w:t>
      </w:r>
      <w:r w:rsidR="009D417D">
        <w:rPr>
          <w:rFonts w:ascii="Arial" w:hAnsi="Arial" w:cs="Arial"/>
          <w:sz w:val="24"/>
          <w:szCs w:val="24"/>
        </w:rPr>
        <w:t xml:space="preserve">the resistance put up by the </w:t>
      </w:r>
      <w:r w:rsidR="00E60DDB">
        <w:rPr>
          <w:rFonts w:ascii="Arial" w:hAnsi="Arial" w:cs="Arial"/>
          <w:sz w:val="24"/>
          <w:szCs w:val="24"/>
        </w:rPr>
        <w:t>respondent</w:t>
      </w:r>
      <w:r w:rsidR="00FC07E6">
        <w:rPr>
          <w:rFonts w:ascii="Arial" w:hAnsi="Arial" w:cs="Arial"/>
          <w:sz w:val="24"/>
          <w:szCs w:val="24"/>
        </w:rPr>
        <w:t xml:space="preserve">, </w:t>
      </w:r>
      <w:r w:rsidR="005F5BCA">
        <w:rPr>
          <w:rFonts w:ascii="Arial" w:hAnsi="Arial" w:cs="Arial"/>
          <w:sz w:val="24"/>
          <w:szCs w:val="24"/>
        </w:rPr>
        <w:t xml:space="preserve">on the other, </w:t>
      </w:r>
      <w:r w:rsidR="00E60DDB">
        <w:rPr>
          <w:rFonts w:ascii="Arial" w:hAnsi="Arial" w:cs="Arial"/>
          <w:sz w:val="24"/>
          <w:szCs w:val="24"/>
        </w:rPr>
        <w:t xml:space="preserve">one realises that </w:t>
      </w:r>
      <w:r w:rsidR="006945F9">
        <w:rPr>
          <w:rFonts w:ascii="Arial" w:hAnsi="Arial" w:cs="Arial"/>
          <w:sz w:val="24"/>
          <w:szCs w:val="24"/>
        </w:rPr>
        <w:t xml:space="preserve">there is no merit in the resistance because </w:t>
      </w:r>
      <w:r w:rsidR="00336A46">
        <w:rPr>
          <w:rFonts w:ascii="Arial" w:hAnsi="Arial" w:cs="Arial"/>
          <w:sz w:val="24"/>
          <w:szCs w:val="24"/>
        </w:rPr>
        <w:t xml:space="preserve">of </w:t>
      </w:r>
      <w:r w:rsidR="0090456F">
        <w:rPr>
          <w:rFonts w:ascii="Arial" w:hAnsi="Arial" w:cs="Arial"/>
          <w:sz w:val="24"/>
          <w:szCs w:val="24"/>
        </w:rPr>
        <w:t xml:space="preserve">the </w:t>
      </w:r>
      <w:r w:rsidR="00336A46">
        <w:rPr>
          <w:rFonts w:ascii="Arial" w:hAnsi="Arial" w:cs="Arial"/>
          <w:sz w:val="24"/>
          <w:szCs w:val="24"/>
        </w:rPr>
        <w:t xml:space="preserve">first </w:t>
      </w:r>
      <w:r w:rsidR="0090456F">
        <w:rPr>
          <w:rFonts w:ascii="Arial" w:hAnsi="Arial" w:cs="Arial"/>
          <w:sz w:val="24"/>
          <w:szCs w:val="24"/>
        </w:rPr>
        <w:t>respondent</w:t>
      </w:r>
      <w:r w:rsidR="00336A46">
        <w:rPr>
          <w:rFonts w:ascii="Arial" w:hAnsi="Arial" w:cs="Arial"/>
          <w:sz w:val="24"/>
          <w:szCs w:val="24"/>
        </w:rPr>
        <w:t>’</w:t>
      </w:r>
      <w:r w:rsidR="0090456F">
        <w:rPr>
          <w:rFonts w:ascii="Arial" w:hAnsi="Arial" w:cs="Arial"/>
          <w:sz w:val="24"/>
          <w:szCs w:val="24"/>
        </w:rPr>
        <w:t xml:space="preserve"> </w:t>
      </w:r>
      <w:r w:rsidR="00336A46">
        <w:rPr>
          <w:rFonts w:ascii="Arial" w:hAnsi="Arial" w:cs="Arial"/>
          <w:sz w:val="24"/>
          <w:szCs w:val="24"/>
        </w:rPr>
        <w:t xml:space="preserve">s conduct which </w:t>
      </w:r>
      <w:r w:rsidR="009E389F">
        <w:rPr>
          <w:rFonts w:ascii="Arial" w:hAnsi="Arial" w:cs="Arial"/>
          <w:sz w:val="24"/>
          <w:szCs w:val="24"/>
        </w:rPr>
        <w:t>contributed</w:t>
      </w:r>
      <w:r w:rsidR="00336A46">
        <w:rPr>
          <w:rFonts w:ascii="Arial" w:hAnsi="Arial" w:cs="Arial"/>
          <w:sz w:val="24"/>
          <w:szCs w:val="24"/>
        </w:rPr>
        <w:t xml:space="preserve"> to the delay</w:t>
      </w:r>
      <w:r w:rsidR="00E5116A">
        <w:rPr>
          <w:rFonts w:ascii="Arial" w:hAnsi="Arial" w:cs="Arial"/>
          <w:sz w:val="24"/>
          <w:szCs w:val="24"/>
        </w:rPr>
        <w:t xml:space="preserve">. In </w:t>
      </w:r>
      <w:r w:rsidR="00FC07E6">
        <w:rPr>
          <w:rFonts w:ascii="Arial" w:hAnsi="Arial" w:cs="Arial"/>
          <w:sz w:val="24"/>
          <w:szCs w:val="24"/>
        </w:rPr>
        <w:t xml:space="preserve">essence, by not furnishing the information, the first respondent or its </w:t>
      </w:r>
      <w:r w:rsidR="00EF65AC">
        <w:rPr>
          <w:rFonts w:ascii="Arial" w:hAnsi="Arial" w:cs="Arial"/>
          <w:sz w:val="24"/>
          <w:szCs w:val="24"/>
        </w:rPr>
        <w:t>employees,</w:t>
      </w:r>
      <w:r w:rsidR="00FC07E6">
        <w:rPr>
          <w:rFonts w:ascii="Arial" w:hAnsi="Arial" w:cs="Arial"/>
          <w:sz w:val="24"/>
          <w:szCs w:val="24"/>
        </w:rPr>
        <w:t xml:space="preserve"> </w:t>
      </w:r>
      <w:r w:rsidR="00F17CE9">
        <w:rPr>
          <w:rFonts w:ascii="Arial" w:hAnsi="Arial" w:cs="Arial"/>
          <w:sz w:val="24"/>
          <w:szCs w:val="24"/>
        </w:rPr>
        <w:t xml:space="preserve">prevented </w:t>
      </w:r>
      <w:r w:rsidR="00683F62">
        <w:rPr>
          <w:rFonts w:ascii="Arial" w:hAnsi="Arial" w:cs="Arial"/>
          <w:sz w:val="24"/>
          <w:szCs w:val="24"/>
        </w:rPr>
        <w:t xml:space="preserve">the </w:t>
      </w:r>
      <w:r w:rsidR="00A8621D">
        <w:rPr>
          <w:rFonts w:ascii="Arial" w:hAnsi="Arial" w:cs="Arial"/>
          <w:sz w:val="24"/>
          <w:szCs w:val="24"/>
        </w:rPr>
        <w:t xml:space="preserve">applicant from acquiring </w:t>
      </w:r>
      <w:r w:rsidR="00FC07E6">
        <w:rPr>
          <w:rFonts w:ascii="Arial" w:hAnsi="Arial" w:cs="Arial"/>
          <w:sz w:val="24"/>
          <w:szCs w:val="24"/>
        </w:rPr>
        <w:t xml:space="preserve">the </w:t>
      </w:r>
      <w:r w:rsidR="00A8621D">
        <w:rPr>
          <w:rFonts w:ascii="Arial" w:hAnsi="Arial" w:cs="Arial"/>
          <w:sz w:val="24"/>
          <w:szCs w:val="24"/>
        </w:rPr>
        <w:t xml:space="preserve">knowledge </w:t>
      </w:r>
      <w:r w:rsidR="00FC07E6">
        <w:rPr>
          <w:rFonts w:ascii="Arial" w:hAnsi="Arial" w:cs="Arial"/>
          <w:sz w:val="24"/>
          <w:szCs w:val="24"/>
        </w:rPr>
        <w:t xml:space="preserve">she sought. </w:t>
      </w:r>
      <w:r w:rsidR="008E3982">
        <w:rPr>
          <w:rFonts w:ascii="Arial" w:hAnsi="Arial" w:cs="Arial"/>
          <w:sz w:val="24"/>
          <w:szCs w:val="24"/>
        </w:rPr>
        <w:t xml:space="preserve">The fact that the </w:t>
      </w:r>
      <w:r w:rsidR="00932CF4">
        <w:rPr>
          <w:rFonts w:ascii="Arial" w:hAnsi="Arial" w:cs="Arial"/>
          <w:sz w:val="24"/>
          <w:szCs w:val="24"/>
        </w:rPr>
        <w:t>information was requested</w:t>
      </w:r>
      <w:r w:rsidR="00FC07E6">
        <w:rPr>
          <w:rFonts w:ascii="Arial" w:hAnsi="Arial" w:cs="Arial"/>
          <w:sz w:val="24"/>
          <w:szCs w:val="24"/>
        </w:rPr>
        <w:t xml:space="preserve"> and when it was not provided she approached </w:t>
      </w:r>
      <w:r w:rsidR="00EF65AC">
        <w:rPr>
          <w:rFonts w:ascii="Arial" w:hAnsi="Arial" w:cs="Arial"/>
          <w:sz w:val="24"/>
          <w:szCs w:val="24"/>
        </w:rPr>
        <w:t>court for</w:t>
      </w:r>
      <w:r w:rsidR="005F5BCA">
        <w:rPr>
          <w:rFonts w:ascii="Arial" w:hAnsi="Arial" w:cs="Arial"/>
          <w:sz w:val="24"/>
          <w:szCs w:val="24"/>
        </w:rPr>
        <w:t xml:space="preserve"> relief, </w:t>
      </w:r>
      <w:r w:rsidR="001C57C8">
        <w:rPr>
          <w:rFonts w:ascii="Arial" w:hAnsi="Arial" w:cs="Arial"/>
          <w:sz w:val="24"/>
          <w:szCs w:val="24"/>
        </w:rPr>
        <w:t>demonstrated the</w:t>
      </w:r>
      <w:r w:rsidR="00FC07E6">
        <w:rPr>
          <w:rFonts w:ascii="Arial" w:hAnsi="Arial" w:cs="Arial"/>
          <w:sz w:val="24"/>
          <w:szCs w:val="24"/>
        </w:rPr>
        <w:t xml:space="preserve"> </w:t>
      </w:r>
      <w:r w:rsidR="00E017CA">
        <w:rPr>
          <w:rFonts w:ascii="Arial" w:hAnsi="Arial" w:cs="Arial"/>
          <w:sz w:val="24"/>
          <w:szCs w:val="24"/>
        </w:rPr>
        <w:t>exercise of reasonable care</w:t>
      </w:r>
      <w:r w:rsidR="00375B06">
        <w:rPr>
          <w:rFonts w:ascii="Arial" w:hAnsi="Arial" w:cs="Arial"/>
          <w:sz w:val="24"/>
          <w:szCs w:val="24"/>
        </w:rPr>
        <w:t xml:space="preserve"> on the part of the </w:t>
      </w:r>
      <w:r w:rsidR="00C91872">
        <w:rPr>
          <w:rFonts w:ascii="Arial" w:hAnsi="Arial" w:cs="Arial"/>
          <w:sz w:val="24"/>
          <w:szCs w:val="24"/>
        </w:rPr>
        <w:t>applicant</w:t>
      </w:r>
      <w:r w:rsidR="005F5BCA">
        <w:rPr>
          <w:rFonts w:ascii="Arial" w:hAnsi="Arial" w:cs="Arial"/>
          <w:sz w:val="24"/>
          <w:szCs w:val="24"/>
        </w:rPr>
        <w:t xml:space="preserve">, to obtain the information. </w:t>
      </w:r>
    </w:p>
    <w:p w14:paraId="709FF99D" w14:textId="68D3D556" w:rsidR="00336A46" w:rsidRDefault="00C91872" w:rsidP="00D822F8">
      <w:pPr>
        <w:spacing w:line="480" w:lineRule="auto"/>
        <w:ind w:left="720" w:hanging="720"/>
        <w:jc w:val="both"/>
        <w:rPr>
          <w:rFonts w:ascii="Arial" w:hAnsi="Arial" w:cs="Arial"/>
          <w:sz w:val="24"/>
          <w:szCs w:val="24"/>
        </w:rPr>
      </w:pPr>
      <w:r>
        <w:rPr>
          <w:rFonts w:ascii="Arial" w:hAnsi="Arial" w:cs="Arial"/>
          <w:sz w:val="24"/>
          <w:szCs w:val="24"/>
        </w:rPr>
        <w:t>[</w:t>
      </w:r>
      <w:r w:rsidR="00033442">
        <w:rPr>
          <w:rFonts w:ascii="Arial" w:hAnsi="Arial" w:cs="Arial"/>
          <w:sz w:val="24"/>
          <w:szCs w:val="24"/>
        </w:rPr>
        <w:t>35</w:t>
      </w:r>
      <w:r>
        <w:rPr>
          <w:rFonts w:ascii="Arial" w:hAnsi="Arial" w:cs="Arial"/>
          <w:sz w:val="24"/>
          <w:szCs w:val="24"/>
        </w:rPr>
        <w:t>]</w:t>
      </w:r>
      <w:r>
        <w:rPr>
          <w:rFonts w:ascii="Arial" w:hAnsi="Arial" w:cs="Arial"/>
          <w:sz w:val="24"/>
          <w:szCs w:val="24"/>
        </w:rPr>
        <w:tab/>
        <w:t>In the circumstances</w:t>
      </w:r>
      <w:r w:rsidR="00A67A73">
        <w:rPr>
          <w:rFonts w:ascii="Arial" w:hAnsi="Arial" w:cs="Arial"/>
          <w:sz w:val="24"/>
          <w:szCs w:val="24"/>
        </w:rPr>
        <w:t xml:space="preserve">, </w:t>
      </w:r>
      <w:r w:rsidR="00497FF7">
        <w:rPr>
          <w:rFonts w:ascii="Arial" w:hAnsi="Arial" w:cs="Arial"/>
          <w:sz w:val="24"/>
          <w:szCs w:val="24"/>
        </w:rPr>
        <w:t xml:space="preserve">I accordingly find that </w:t>
      </w:r>
      <w:r w:rsidR="00336A46">
        <w:rPr>
          <w:rFonts w:ascii="Arial" w:hAnsi="Arial" w:cs="Arial"/>
          <w:sz w:val="24"/>
          <w:szCs w:val="24"/>
        </w:rPr>
        <w:t>the applicant’s c</w:t>
      </w:r>
      <w:r w:rsidR="005F5BCA">
        <w:rPr>
          <w:rFonts w:ascii="Arial" w:hAnsi="Arial" w:cs="Arial"/>
          <w:sz w:val="24"/>
          <w:szCs w:val="24"/>
        </w:rPr>
        <w:t>ondonation application</w:t>
      </w:r>
      <w:r w:rsidR="00336A46">
        <w:rPr>
          <w:rFonts w:ascii="Arial" w:hAnsi="Arial" w:cs="Arial"/>
          <w:sz w:val="24"/>
          <w:szCs w:val="24"/>
        </w:rPr>
        <w:t xml:space="preserve"> is not hit by prescription because she sought advice after her discharge from the criminal proceedings </w:t>
      </w:r>
      <w:r w:rsidR="00042F62">
        <w:rPr>
          <w:rFonts w:ascii="Arial" w:hAnsi="Arial" w:cs="Arial"/>
          <w:sz w:val="24"/>
          <w:szCs w:val="24"/>
        </w:rPr>
        <w:t>on 27 November 2020</w:t>
      </w:r>
      <w:r w:rsidR="00336A46">
        <w:rPr>
          <w:rFonts w:ascii="Arial" w:hAnsi="Arial" w:cs="Arial"/>
          <w:sz w:val="24"/>
          <w:szCs w:val="24"/>
        </w:rPr>
        <w:t xml:space="preserve">. </w:t>
      </w:r>
      <w:r w:rsidR="005F5BCA">
        <w:rPr>
          <w:rFonts w:ascii="Arial" w:hAnsi="Arial" w:cs="Arial"/>
          <w:sz w:val="24"/>
          <w:szCs w:val="24"/>
        </w:rPr>
        <w:t xml:space="preserve"> There is no evidence put up by the respondent to refute her allegations on lack of knowledge. </w:t>
      </w:r>
      <w:r w:rsidR="00281EA1">
        <w:rPr>
          <w:rFonts w:ascii="Arial" w:hAnsi="Arial" w:cs="Arial"/>
          <w:sz w:val="24"/>
          <w:szCs w:val="24"/>
        </w:rPr>
        <w:t xml:space="preserve">The reliance on the </w:t>
      </w:r>
      <w:r w:rsidR="00281EA1">
        <w:rPr>
          <w:rFonts w:ascii="Arial" w:hAnsi="Arial" w:cs="Arial"/>
          <w:i/>
          <w:iCs/>
          <w:sz w:val="24"/>
          <w:szCs w:val="24"/>
        </w:rPr>
        <w:t xml:space="preserve">Holden </w:t>
      </w:r>
      <w:r w:rsidR="00281EA1">
        <w:rPr>
          <w:rFonts w:ascii="Arial" w:hAnsi="Arial" w:cs="Arial"/>
          <w:sz w:val="24"/>
          <w:szCs w:val="24"/>
        </w:rPr>
        <w:t xml:space="preserve">decision </w:t>
      </w:r>
      <w:r w:rsidR="003C5866">
        <w:rPr>
          <w:rFonts w:ascii="Arial" w:hAnsi="Arial" w:cs="Arial"/>
          <w:sz w:val="24"/>
          <w:szCs w:val="24"/>
        </w:rPr>
        <w:t>by the applicant is apposite</w:t>
      </w:r>
      <w:r w:rsidR="007678EE">
        <w:rPr>
          <w:rFonts w:ascii="Arial" w:hAnsi="Arial" w:cs="Arial"/>
          <w:sz w:val="24"/>
          <w:szCs w:val="24"/>
        </w:rPr>
        <w:t xml:space="preserve"> where the </w:t>
      </w:r>
      <w:r w:rsidR="00336A46">
        <w:rPr>
          <w:rFonts w:ascii="Arial" w:hAnsi="Arial" w:cs="Arial"/>
          <w:sz w:val="24"/>
          <w:szCs w:val="24"/>
        </w:rPr>
        <w:t>c</w:t>
      </w:r>
      <w:r w:rsidR="007678EE">
        <w:rPr>
          <w:rFonts w:ascii="Arial" w:hAnsi="Arial" w:cs="Arial"/>
          <w:sz w:val="24"/>
          <w:szCs w:val="24"/>
        </w:rPr>
        <w:t>ourt at paragraph 9 stated</w:t>
      </w:r>
      <w:r w:rsidR="00336A46">
        <w:rPr>
          <w:rFonts w:ascii="Arial" w:hAnsi="Arial" w:cs="Arial"/>
          <w:sz w:val="24"/>
          <w:szCs w:val="24"/>
        </w:rPr>
        <w:t xml:space="preserve">: </w:t>
      </w:r>
    </w:p>
    <w:p w14:paraId="3D89DC9F" w14:textId="58D61170" w:rsidR="00747BD3" w:rsidRDefault="00EF65AC" w:rsidP="00EF65AC">
      <w:pPr>
        <w:spacing w:line="240" w:lineRule="auto"/>
        <w:ind w:left="1440"/>
        <w:jc w:val="both"/>
        <w:rPr>
          <w:rFonts w:ascii="Arial" w:hAnsi="Arial" w:cs="Arial"/>
          <w:i/>
          <w:iCs/>
          <w:sz w:val="20"/>
          <w:szCs w:val="20"/>
        </w:rPr>
      </w:pPr>
      <w:r w:rsidRPr="00286D6D">
        <w:rPr>
          <w:rFonts w:ascii="Arial" w:hAnsi="Arial" w:cs="Arial"/>
          <w:sz w:val="20"/>
          <w:szCs w:val="20"/>
        </w:rPr>
        <w:t>“</w:t>
      </w:r>
      <w:r>
        <w:rPr>
          <w:rFonts w:ascii="Arial" w:hAnsi="Arial" w:cs="Arial"/>
          <w:sz w:val="20"/>
          <w:szCs w:val="20"/>
        </w:rPr>
        <w:t>[</w:t>
      </w:r>
      <w:r w:rsidR="00336A46">
        <w:rPr>
          <w:rFonts w:ascii="Arial" w:hAnsi="Arial" w:cs="Arial"/>
          <w:sz w:val="20"/>
          <w:szCs w:val="20"/>
        </w:rPr>
        <w:t xml:space="preserve">9] </w:t>
      </w:r>
      <w:r>
        <w:rPr>
          <w:rFonts w:ascii="Arial" w:hAnsi="Arial" w:cs="Arial"/>
          <w:sz w:val="20"/>
          <w:szCs w:val="20"/>
        </w:rPr>
        <w:tab/>
      </w:r>
      <w:r w:rsidR="00336A46">
        <w:rPr>
          <w:rFonts w:ascii="Arial" w:hAnsi="Arial" w:cs="Arial"/>
          <w:i/>
          <w:iCs/>
          <w:sz w:val="20"/>
          <w:szCs w:val="20"/>
        </w:rPr>
        <w:t>T</w:t>
      </w:r>
      <w:r w:rsidR="001C4438" w:rsidRPr="00286D6D">
        <w:rPr>
          <w:rFonts w:ascii="Arial" w:hAnsi="Arial" w:cs="Arial"/>
          <w:i/>
          <w:iCs/>
          <w:sz w:val="20"/>
          <w:szCs w:val="20"/>
        </w:rPr>
        <w:t xml:space="preserve">he importance </w:t>
      </w:r>
      <w:r w:rsidR="005566A6" w:rsidRPr="00286D6D">
        <w:rPr>
          <w:rFonts w:ascii="Arial" w:hAnsi="Arial" w:cs="Arial"/>
          <w:i/>
          <w:iCs/>
          <w:sz w:val="20"/>
          <w:szCs w:val="20"/>
        </w:rPr>
        <w:t xml:space="preserve">of </w:t>
      </w:r>
      <w:r w:rsidR="00336A46">
        <w:rPr>
          <w:rFonts w:ascii="Arial" w:hAnsi="Arial" w:cs="Arial"/>
          <w:i/>
          <w:iCs/>
          <w:sz w:val="20"/>
          <w:szCs w:val="20"/>
        </w:rPr>
        <w:t xml:space="preserve">the </w:t>
      </w:r>
      <w:r w:rsidR="005566A6" w:rsidRPr="00286D6D">
        <w:rPr>
          <w:rFonts w:ascii="Arial" w:hAnsi="Arial" w:cs="Arial"/>
          <w:i/>
          <w:iCs/>
          <w:sz w:val="20"/>
          <w:szCs w:val="20"/>
        </w:rPr>
        <w:t>fo</w:t>
      </w:r>
      <w:r w:rsidR="00336A46">
        <w:rPr>
          <w:rFonts w:ascii="Arial" w:hAnsi="Arial" w:cs="Arial"/>
          <w:i/>
          <w:iCs/>
          <w:sz w:val="20"/>
          <w:szCs w:val="20"/>
        </w:rPr>
        <w:t>u</w:t>
      </w:r>
      <w:r w:rsidR="005566A6" w:rsidRPr="00286D6D">
        <w:rPr>
          <w:rFonts w:ascii="Arial" w:hAnsi="Arial" w:cs="Arial"/>
          <w:i/>
          <w:iCs/>
          <w:sz w:val="20"/>
          <w:szCs w:val="20"/>
        </w:rPr>
        <w:t xml:space="preserve">rth requirement, </w:t>
      </w:r>
      <w:r w:rsidR="00C36A86" w:rsidRPr="00286D6D">
        <w:rPr>
          <w:rFonts w:ascii="Arial" w:hAnsi="Arial" w:cs="Arial"/>
          <w:i/>
          <w:iCs/>
          <w:sz w:val="20"/>
          <w:szCs w:val="20"/>
        </w:rPr>
        <w:t xml:space="preserve">which is the only one </w:t>
      </w:r>
      <w:r w:rsidR="00BF6BC1" w:rsidRPr="00286D6D">
        <w:rPr>
          <w:rFonts w:ascii="Arial" w:hAnsi="Arial" w:cs="Arial"/>
          <w:i/>
          <w:iCs/>
          <w:sz w:val="20"/>
          <w:szCs w:val="20"/>
        </w:rPr>
        <w:t xml:space="preserve">with which we are concerned </w:t>
      </w:r>
      <w:r w:rsidR="00E85075" w:rsidRPr="00286D6D">
        <w:rPr>
          <w:rFonts w:ascii="Arial" w:hAnsi="Arial" w:cs="Arial"/>
          <w:i/>
          <w:iCs/>
          <w:sz w:val="20"/>
          <w:szCs w:val="20"/>
        </w:rPr>
        <w:t>in this appeal</w:t>
      </w:r>
      <w:r w:rsidR="006F71E9" w:rsidRPr="00286D6D">
        <w:rPr>
          <w:rFonts w:ascii="Arial" w:hAnsi="Arial" w:cs="Arial"/>
          <w:i/>
          <w:iCs/>
          <w:sz w:val="20"/>
          <w:szCs w:val="20"/>
        </w:rPr>
        <w:t xml:space="preserve">, lies in the fact that the claim can only </w:t>
      </w:r>
      <w:r w:rsidR="006644CF" w:rsidRPr="00286D6D">
        <w:rPr>
          <w:rFonts w:ascii="Arial" w:hAnsi="Arial" w:cs="Arial"/>
          <w:i/>
          <w:iCs/>
          <w:sz w:val="20"/>
          <w:szCs w:val="20"/>
        </w:rPr>
        <w:t xml:space="preserve">arise if the </w:t>
      </w:r>
      <w:r w:rsidR="006644CF" w:rsidRPr="00286D6D">
        <w:rPr>
          <w:rFonts w:ascii="Arial" w:hAnsi="Arial" w:cs="Arial"/>
          <w:i/>
          <w:iCs/>
          <w:sz w:val="20"/>
          <w:szCs w:val="20"/>
        </w:rPr>
        <w:lastRenderedPageBreak/>
        <w:t>proceedings were terminated</w:t>
      </w:r>
      <w:r w:rsidR="00EB01C4" w:rsidRPr="00286D6D">
        <w:rPr>
          <w:rFonts w:ascii="Arial" w:hAnsi="Arial" w:cs="Arial"/>
          <w:i/>
          <w:iCs/>
          <w:sz w:val="20"/>
          <w:szCs w:val="20"/>
        </w:rPr>
        <w:t xml:space="preserve"> in the plaintiff’s </w:t>
      </w:r>
      <w:r w:rsidR="00FE7860" w:rsidRPr="00286D6D">
        <w:rPr>
          <w:rFonts w:ascii="Arial" w:hAnsi="Arial" w:cs="Arial"/>
          <w:i/>
          <w:iCs/>
          <w:sz w:val="20"/>
          <w:szCs w:val="20"/>
        </w:rPr>
        <w:t xml:space="preserve">favour. That is because a claim for malicious </w:t>
      </w:r>
      <w:r w:rsidR="003E13F4" w:rsidRPr="00286D6D">
        <w:rPr>
          <w:rFonts w:ascii="Arial" w:hAnsi="Arial" w:cs="Arial"/>
          <w:i/>
          <w:iCs/>
          <w:sz w:val="20"/>
          <w:szCs w:val="20"/>
        </w:rPr>
        <w:t>pr</w:t>
      </w:r>
      <w:r w:rsidR="00F017F5" w:rsidRPr="00286D6D">
        <w:rPr>
          <w:rFonts w:ascii="Arial" w:hAnsi="Arial" w:cs="Arial"/>
          <w:i/>
          <w:iCs/>
          <w:sz w:val="20"/>
          <w:szCs w:val="20"/>
        </w:rPr>
        <w:t xml:space="preserve">oceedings cannot anticipate </w:t>
      </w:r>
      <w:r w:rsidR="00FD5705" w:rsidRPr="00286D6D">
        <w:rPr>
          <w:rFonts w:ascii="Arial" w:hAnsi="Arial" w:cs="Arial"/>
          <w:i/>
          <w:iCs/>
          <w:sz w:val="20"/>
          <w:szCs w:val="20"/>
        </w:rPr>
        <w:t xml:space="preserve">the outcome of proceedings yet to </w:t>
      </w:r>
      <w:r w:rsidR="00647180" w:rsidRPr="00286D6D">
        <w:rPr>
          <w:rFonts w:ascii="Arial" w:hAnsi="Arial" w:cs="Arial"/>
          <w:i/>
          <w:iCs/>
          <w:sz w:val="20"/>
          <w:szCs w:val="20"/>
        </w:rPr>
        <w:t>be finalised</w:t>
      </w:r>
      <w:r w:rsidR="00937CDF" w:rsidRPr="00286D6D">
        <w:rPr>
          <w:rFonts w:ascii="Arial" w:hAnsi="Arial" w:cs="Arial"/>
          <w:i/>
          <w:iCs/>
          <w:sz w:val="20"/>
          <w:szCs w:val="20"/>
        </w:rPr>
        <w:t xml:space="preserve">. To hold otherwise would permit </w:t>
      </w:r>
      <w:r w:rsidR="008E4FA1" w:rsidRPr="00286D6D">
        <w:rPr>
          <w:rFonts w:ascii="Arial" w:hAnsi="Arial" w:cs="Arial"/>
          <w:i/>
          <w:iCs/>
          <w:sz w:val="20"/>
          <w:szCs w:val="20"/>
        </w:rPr>
        <w:t xml:space="preserve">recognition of a claim when </w:t>
      </w:r>
      <w:r w:rsidR="00021341" w:rsidRPr="00286D6D">
        <w:rPr>
          <w:rFonts w:ascii="Arial" w:hAnsi="Arial" w:cs="Arial"/>
          <w:i/>
          <w:iCs/>
          <w:sz w:val="20"/>
          <w:szCs w:val="20"/>
        </w:rPr>
        <w:t xml:space="preserve">the proceedings may yet be </w:t>
      </w:r>
      <w:r w:rsidR="00A356C0" w:rsidRPr="00286D6D">
        <w:rPr>
          <w:rFonts w:ascii="Arial" w:hAnsi="Arial" w:cs="Arial"/>
          <w:i/>
          <w:iCs/>
          <w:sz w:val="20"/>
          <w:szCs w:val="20"/>
        </w:rPr>
        <w:t>decided against the plaintiff</w:t>
      </w:r>
      <w:r w:rsidR="00286D6D" w:rsidRPr="00286D6D">
        <w:rPr>
          <w:rFonts w:ascii="Arial" w:hAnsi="Arial" w:cs="Arial"/>
          <w:i/>
          <w:iCs/>
          <w:sz w:val="20"/>
          <w:szCs w:val="20"/>
        </w:rPr>
        <w:t>.”</w:t>
      </w:r>
      <w:r w:rsidR="003E13F4">
        <w:rPr>
          <w:rFonts w:ascii="Arial" w:hAnsi="Arial" w:cs="Arial"/>
          <w:i/>
          <w:iCs/>
          <w:sz w:val="24"/>
          <w:szCs w:val="24"/>
        </w:rPr>
        <w:t xml:space="preserve"> </w:t>
      </w:r>
      <w:r w:rsidR="00EB01C4">
        <w:rPr>
          <w:rFonts w:ascii="Arial" w:hAnsi="Arial" w:cs="Arial"/>
          <w:i/>
          <w:iCs/>
          <w:sz w:val="24"/>
          <w:szCs w:val="24"/>
        </w:rPr>
        <w:t xml:space="preserve"> </w:t>
      </w:r>
      <w:r w:rsidR="006644CF">
        <w:rPr>
          <w:rFonts w:ascii="Arial" w:hAnsi="Arial" w:cs="Arial"/>
          <w:i/>
          <w:iCs/>
          <w:sz w:val="24"/>
          <w:szCs w:val="24"/>
        </w:rPr>
        <w:t xml:space="preserve"> </w:t>
      </w:r>
      <w:r w:rsidR="003C5866">
        <w:rPr>
          <w:rFonts w:ascii="Arial" w:hAnsi="Arial" w:cs="Arial"/>
          <w:sz w:val="24"/>
          <w:szCs w:val="24"/>
        </w:rPr>
        <w:t xml:space="preserve"> </w:t>
      </w:r>
      <w:r w:rsidR="00932CF4">
        <w:rPr>
          <w:rFonts w:ascii="Arial" w:hAnsi="Arial" w:cs="Arial"/>
          <w:sz w:val="24"/>
          <w:szCs w:val="24"/>
        </w:rPr>
        <w:t xml:space="preserve"> </w:t>
      </w:r>
      <w:r w:rsidR="008E6FD3" w:rsidRPr="00547F24">
        <w:rPr>
          <w:rFonts w:ascii="Arial" w:hAnsi="Arial" w:cs="Arial"/>
          <w:i/>
          <w:iCs/>
          <w:sz w:val="20"/>
          <w:szCs w:val="20"/>
        </w:rPr>
        <w:t xml:space="preserve"> </w:t>
      </w:r>
      <w:r w:rsidR="005A5D87" w:rsidRPr="00547F24">
        <w:rPr>
          <w:rFonts w:ascii="Arial" w:hAnsi="Arial" w:cs="Arial"/>
          <w:i/>
          <w:iCs/>
          <w:sz w:val="20"/>
          <w:szCs w:val="20"/>
        </w:rPr>
        <w:t xml:space="preserve"> </w:t>
      </w:r>
      <w:r w:rsidR="00030C2A" w:rsidRPr="00547F24">
        <w:rPr>
          <w:rFonts w:ascii="Arial" w:hAnsi="Arial" w:cs="Arial"/>
          <w:i/>
          <w:iCs/>
          <w:sz w:val="20"/>
          <w:szCs w:val="20"/>
        </w:rPr>
        <w:t xml:space="preserve"> </w:t>
      </w:r>
      <w:r w:rsidR="007A7E00" w:rsidRPr="00547F24">
        <w:rPr>
          <w:rFonts w:ascii="Arial" w:hAnsi="Arial" w:cs="Arial"/>
          <w:i/>
          <w:iCs/>
          <w:sz w:val="20"/>
          <w:szCs w:val="20"/>
        </w:rPr>
        <w:t xml:space="preserve"> </w:t>
      </w:r>
      <w:r w:rsidR="004F1D23" w:rsidRPr="00547F24">
        <w:rPr>
          <w:rFonts w:ascii="Arial" w:hAnsi="Arial" w:cs="Arial"/>
          <w:i/>
          <w:iCs/>
          <w:sz w:val="20"/>
          <w:szCs w:val="20"/>
        </w:rPr>
        <w:t xml:space="preserve"> </w:t>
      </w:r>
      <w:r w:rsidR="00956CBD" w:rsidRPr="00547F24">
        <w:rPr>
          <w:rFonts w:ascii="Arial" w:hAnsi="Arial" w:cs="Arial"/>
          <w:i/>
          <w:iCs/>
          <w:sz w:val="20"/>
          <w:szCs w:val="20"/>
        </w:rPr>
        <w:t xml:space="preserve"> </w:t>
      </w:r>
      <w:r w:rsidR="006F2122" w:rsidRPr="00547F24">
        <w:rPr>
          <w:rFonts w:ascii="Arial" w:hAnsi="Arial" w:cs="Arial"/>
          <w:i/>
          <w:iCs/>
          <w:sz w:val="20"/>
          <w:szCs w:val="20"/>
        </w:rPr>
        <w:t xml:space="preserve"> </w:t>
      </w:r>
    </w:p>
    <w:p w14:paraId="5940FEED" w14:textId="77777777" w:rsidR="00286D6D" w:rsidRDefault="00286D6D" w:rsidP="00286D6D">
      <w:pPr>
        <w:rPr>
          <w:rFonts w:ascii="Arial" w:hAnsi="Arial" w:cs="Arial"/>
          <w:i/>
          <w:iCs/>
          <w:sz w:val="20"/>
          <w:szCs w:val="20"/>
        </w:rPr>
      </w:pPr>
    </w:p>
    <w:p w14:paraId="6435E93C" w14:textId="64556E6D" w:rsidR="008567F4" w:rsidRDefault="00286D6D" w:rsidP="00A26079">
      <w:pPr>
        <w:spacing w:line="480" w:lineRule="auto"/>
        <w:ind w:left="720" w:hanging="720"/>
        <w:jc w:val="both"/>
        <w:rPr>
          <w:rFonts w:ascii="Arial" w:hAnsi="Arial" w:cs="Arial"/>
          <w:sz w:val="24"/>
          <w:szCs w:val="24"/>
        </w:rPr>
      </w:pPr>
      <w:r>
        <w:rPr>
          <w:rFonts w:ascii="Arial" w:hAnsi="Arial" w:cs="Arial"/>
          <w:sz w:val="24"/>
          <w:szCs w:val="24"/>
        </w:rPr>
        <w:t>[3</w:t>
      </w:r>
      <w:r w:rsidR="00033442">
        <w:rPr>
          <w:rFonts w:ascii="Arial" w:hAnsi="Arial" w:cs="Arial"/>
          <w:sz w:val="24"/>
          <w:szCs w:val="24"/>
        </w:rPr>
        <w:t>6</w:t>
      </w:r>
      <w:r>
        <w:rPr>
          <w:rFonts w:ascii="Arial" w:hAnsi="Arial" w:cs="Arial"/>
          <w:sz w:val="24"/>
          <w:szCs w:val="24"/>
        </w:rPr>
        <w:t>]</w:t>
      </w:r>
      <w:r>
        <w:rPr>
          <w:rFonts w:ascii="Arial" w:hAnsi="Arial" w:cs="Arial"/>
          <w:sz w:val="24"/>
          <w:szCs w:val="24"/>
        </w:rPr>
        <w:tab/>
      </w:r>
      <w:r w:rsidR="00A26079">
        <w:rPr>
          <w:rFonts w:ascii="Arial" w:hAnsi="Arial" w:cs="Arial"/>
          <w:sz w:val="24"/>
          <w:szCs w:val="24"/>
        </w:rPr>
        <w:t>I accordingly find that there is merit in the applica</w:t>
      </w:r>
      <w:r w:rsidR="001E1A5B">
        <w:rPr>
          <w:rFonts w:ascii="Arial" w:hAnsi="Arial" w:cs="Arial"/>
          <w:sz w:val="24"/>
          <w:szCs w:val="24"/>
        </w:rPr>
        <w:t>tion</w:t>
      </w:r>
      <w:r w:rsidR="006B046B">
        <w:rPr>
          <w:rFonts w:ascii="Arial" w:hAnsi="Arial" w:cs="Arial"/>
          <w:sz w:val="24"/>
          <w:szCs w:val="24"/>
        </w:rPr>
        <w:t xml:space="preserve">. </w:t>
      </w:r>
      <w:r w:rsidR="001E1A5B">
        <w:rPr>
          <w:rFonts w:ascii="Arial" w:hAnsi="Arial" w:cs="Arial"/>
          <w:sz w:val="24"/>
          <w:szCs w:val="24"/>
        </w:rPr>
        <w:t xml:space="preserve"> </w:t>
      </w:r>
      <w:r w:rsidR="006B046B">
        <w:rPr>
          <w:rFonts w:ascii="Arial" w:hAnsi="Arial" w:cs="Arial"/>
          <w:sz w:val="24"/>
          <w:szCs w:val="24"/>
        </w:rPr>
        <w:t>I</w:t>
      </w:r>
      <w:r w:rsidR="001E1A5B">
        <w:rPr>
          <w:rFonts w:ascii="Arial" w:hAnsi="Arial" w:cs="Arial"/>
          <w:sz w:val="24"/>
          <w:szCs w:val="24"/>
        </w:rPr>
        <w:t>t is in the interest</w:t>
      </w:r>
      <w:r w:rsidR="00190086">
        <w:rPr>
          <w:rFonts w:ascii="Arial" w:hAnsi="Arial" w:cs="Arial"/>
          <w:sz w:val="24"/>
          <w:szCs w:val="24"/>
        </w:rPr>
        <w:t>s</w:t>
      </w:r>
      <w:r w:rsidR="001E1A5B">
        <w:rPr>
          <w:rFonts w:ascii="Arial" w:hAnsi="Arial" w:cs="Arial"/>
          <w:sz w:val="24"/>
          <w:szCs w:val="24"/>
        </w:rPr>
        <w:t xml:space="preserve"> of justice t</w:t>
      </w:r>
      <w:r w:rsidR="00F81F11">
        <w:rPr>
          <w:rFonts w:ascii="Arial" w:hAnsi="Arial" w:cs="Arial"/>
          <w:sz w:val="24"/>
          <w:szCs w:val="24"/>
        </w:rPr>
        <w:t xml:space="preserve">hat </w:t>
      </w:r>
      <w:r w:rsidR="001D201D">
        <w:rPr>
          <w:rFonts w:ascii="Arial" w:hAnsi="Arial" w:cs="Arial"/>
          <w:sz w:val="24"/>
          <w:szCs w:val="24"/>
        </w:rPr>
        <w:t xml:space="preserve">the </w:t>
      </w:r>
      <w:r w:rsidR="00336A46">
        <w:rPr>
          <w:rFonts w:ascii="Arial" w:hAnsi="Arial" w:cs="Arial"/>
          <w:sz w:val="24"/>
          <w:szCs w:val="24"/>
        </w:rPr>
        <w:t>c</w:t>
      </w:r>
      <w:r w:rsidR="001D201D">
        <w:rPr>
          <w:rFonts w:ascii="Arial" w:hAnsi="Arial" w:cs="Arial"/>
          <w:sz w:val="24"/>
          <w:szCs w:val="24"/>
        </w:rPr>
        <w:t xml:space="preserve">ourt accepts the explanation proffered by </w:t>
      </w:r>
      <w:r w:rsidR="00B348B9">
        <w:rPr>
          <w:rFonts w:ascii="Arial" w:hAnsi="Arial" w:cs="Arial"/>
          <w:sz w:val="24"/>
          <w:szCs w:val="24"/>
        </w:rPr>
        <w:t xml:space="preserve">the applicant as adequate and </w:t>
      </w:r>
      <w:r w:rsidR="007F1DFF">
        <w:rPr>
          <w:rFonts w:ascii="Arial" w:hAnsi="Arial" w:cs="Arial"/>
          <w:sz w:val="24"/>
          <w:szCs w:val="24"/>
        </w:rPr>
        <w:t xml:space="preserve">thus condone non-compliance with the </w:t>
      </w:r>
      <w:r w:rsidR="00150459">
        <w:rPr>
          <w:rFonts w:ascii="Arial" w:hAnsi="Arial" w:cs="Arial"/>
          <w:sz w:val="24"/>
          <w:szCs w:val="24"/>
        </w:rPr>
        <w:t xml:space="preserve">time periods for the issuing </w:t>
      </w:r>
      <w:r w:rsidR="007E5088">
        <w:rPr>
          <w:rFonts w:ascii="Arial" w:hAnsi="Arial" w:cs="Arial"/>
          <w:sz w:val="24"/>
          <w:szCs w:val="24"/>
        </w:rPr>
        <w:t xml:space="preserve">of the notice and in particular </w:t>
      </w:r>
      <w:r w:rsidR="001A7115">
        <w:rPr>
          <w:rFonts w:ascii="Arial" w:hAnsi="Arial" w:cs="Arial"/>
          <w:sz w:val="24"/>
          <w:szCs w:val="24"/>
        </w:rPr>
        <w:t xml:space="preserve">the provisions of </w:t>
      </w:r>
      <w:r w:rsidR="007E5088">
        <w:rPr>
          <w:rFonts w:ascii="Arial" w:hAnsi="Arial" w:cs="Arial"/>
          <w:sz w:val="24"/>
          <w:szCs w:val="24"/>
        </w:rPr>
        <w:t>section</w:t>
      </w:r>
      <w:r w:rsidR="006B046B">
        <w:rPr>
          <w:rFonts w:ascii="Arial" w:hAnsi="Arial" w:cs="Arial"/>
          <w:sz w:val="24"/>
          <w:szCs w:val="24"/>
        </w:rPr>
        <w:t>s</w:t>
      </w:r>
      <w:r w:rsidR="00B14C7F">
        <w:rPr>
          <w:rFonts w:ascii="Arial" w:hAnsi="Arial" w:cs="Arial"/>
          <w:sz w:val="24"/>
          <w:szCs w:val="24"/>
        </w:rPr>
        <w:t xml:space="preserve"> 3(2)</w:t>
      </w:r>
      <w:r w:rsidR="006B696B">
        <w:rPr>
          <w:rFonts w:ascii="Arial" w:hAnsi="Arial" w:cs="Arial"/>
          <w:sz w:val="24"/>
          <w:szCs w:val="24"/>
        </w:rPr>
        <w:t xml:space="preserve">(a) </w:t>
      </w:r>
      <w:r w:rsidR="006B046B">
        <w:rPr>
          <w:rFonts w:ascii="Arial" w:hAnsi="Arial" w:cs="Arial"/>
          <w:sz w:val="24"/>
          <w:szCs w:val="24"/>
        </w:rPr>
        <w:t xml:space="preserve">and (b) </w:t>
      </w:r>
      <w:r w:rsidR="006B696B">
        <w:rPr>
          <w:rFonts w:ascii="Arial" w:hAnsi="Arial" w:cs="Arial"/>
          <w:sz w:val="24"/>
          <w:szCs w:val="24"/>
        </w:rPr>
        <w:t>of the Institution Act</w:t>
      </w:r>
      <w:r w:rsidR="006B046B">
        <w:rPr>
          <w:rFonts w:ascii="Arial" w:hAnsi="Arial" w:cs="Arial"/>
          <w:sz w:val="24"/>
          <w:szCs w:val="24"/>
        </w:rPr>
        <w:t xml:space="preserve">. </w:t>
      </w:r>
    </w:p>
    <w:p w14:paraId="331D334E" w14:textId="398E4747" w:rsidR="006B046B" w:rsidRPr="006B046B" w:rsidRDefault="006B046B" w:rsidP="006B046B">
      <w:pPr>
        <w:spacing w:line="480" w:lineRule="auto"/>
        <w:ind w:left="720" w:hanging="720"/>
        <w:jc w:val="both"/>
        <w:rPr>
          <w:rFonts w:ascii="Arial" w:hAnsi="Arial" w:cs="Arial"/>
          <w:i/>
          <w:iCs/>
          <w:sz w:val="24"/>
          <w:szCs w:val="24"/>
        </w:rPr>
      </w:pPr>
      <w:r w:rsidRPr="006B046B">
        <w:rPr>
          <w:rFonts w:ascii="Arial" w:hAnsi="Arial" w:cs="Arial"/>
          <w:i/>
          <w:iCs/>
          <w:sz w:val="24"/>
          <w:szCs w:val="24"/>
        </w:rPr>
        <w:t xml:space="preserve">Costs </w:t>
      </w:r>
    </w:p>
    <w:p w14:paraId="518725A1" w14:textId="7EE85FDB" w:rsidR="006B046B" w:rsidRDefault="006B046B" w:rsidP="00033442">
      <w:pPr>
        <w:spacing w:line="480" w:lineRule="auto"/>
        <w:ind w:left="709" w:hanging="709"/>
        <w:jc w:val="both"/>
        <w:rPr>
          <w:rFonts w:ascii="Arial" w:hAnsi="Arial" w:cs="Arial"/>
          <w:sz w:val="24"/>
          <w:szCs w:val="24"/>
        </w:rPr>
      </w:pPr>
      <w:r>
        <w:rPr>
          <w:rFonts w:ascii="Arial" w:hAnsi="Arial" w:cs="Arial"/>
          <w:sz w:val="24"/>
          <w:szCs w:val="24"/>
        </w:rPr>
        <w:t>[3</w:t>
      </w:r>
      <w:r w:rsidR="00033442">
        <w:rPr>
          <w:rFonts w:ascii="Arial" w:hAnsi="Arial" w:cs="Arial"/>
          <w:sz w:val="24"/>
          <w:szCs w:val="24"/>
        </w:rPr>
        <w:t>7]</w:t>
      </w:r>
      <w:r>
        <w:rPr>
          <w:rFonts w:ascii="Arial" w:hAnsi="Arial" w:cs="Arial"/>
          <w:sz w:val="24"/>
          <w:szCs w:val="24"/>
        </w:rPr>
        <w:t xml:space="preserve">   </w:t>
      </w:r>
      <w:r w:rsidR="00033442">
        <w:rPr>
          <w:rFonts w:ascii="Arial" w:hAnsi="Arial" w:cs="Arial"/>
          <w:sz w:val="24"/>
          <w:szCs w:val="24"/>
        </w:rPr>
        <w:tab/>
      </w:r>
      <w:r>
        <w:rPr>
          <w:rFonts w:ascii="Arial" w:hAnsi="Arial" w:cs="Arial"/>
          <w:sz w:val="24"/>
          <w:szCs w:val="24"/>
        </w:rPr>
        <w:t xml:space="preserve">On the issue of </w:t>
      </w:r>
      <w:r w:rsidR="00EF65AC">
        <w:rPr>
          <w:rFonts w:ascii="Arial" w:hAnsi="Arial" w:cs="Arial"/>
          <w:sz w:val="24"/>
          <w:szCs w:val="24"/>
        </w:rPr>
        <w:t>costs,</w:t>
      </w:r>
      <w:r>
        <w:rPr>
          <w:rFonts w:ascii="Arial" w:hAnsi="Arial" w:cs="Arial"/>
          <w:sz w:val="24"/>
          <w:szCs w:val="24"/>
        </w:rPr>
        <w:t xml:space="preserve"> Ms Sangoni correctly submitted that the issue of costs is a matter that resides within the discretion of the court. Ms Magadlela submitted that costs should be awarded to the applicant. </w:t>
      </w:r>
    </w:p>
    <w:p w14:paraId="56ECB81B" w14:textId="6EF534FA" w:rsidR="006B046B" w:rsidRDefault="006B046B" w:rsidP="00EF65AC">
      <w:pPr>
        <w:spacing w:line="480" w:lineRule="auto"/>
        <w:ind w:left="720" w:hanging="720"/>
        <w:jc w:val="both"/>
        <w:rPr>
          <w:rFonts w:ascii="Arial" w:hAnsi="Arial" w:cs="Arial"/>
          <w:sz w:val="24"/>
          <w:szCs w:val="24"/>
        </w:rPr>
      </w:pPr>
      <w:r>
        <w:rPr>
          <w:rFonts w:ascii="Arial" w:hAnsi="Arial" w:cs="Arial"/>
          <w:sz w:val="24"/>
          <w:szCs w:val="24"/>
        </w:rPr>
        <w:t>[3</w:t>
      </w:r>
      <w:r w:rsidR="00033442">
        <w:rPr>
          <w:rFonts w:ascii="Arial" w:hAnsi="Arial" w:cs="Arial"/>
          <w:sz w:val="24"/>
          <w:szCs w:val="24"/>
        </w:rPr>
        <w:t>8</w:t>
      </w:r>
      <w:r>
        <w:rPr>
          <w:rFonts w:ascii="Arial" w:hAnsi="Arial" w:cs="Arial"/>
          <w:sz w:val="24"/>
          <w:szCs w:val="24"/>
        </w:rPr>
        <w:t xml:space="preserve">]   </w:t>
      </w:r>
      <w:r w:rsidR="00033442">
        <w:rPr>
          <w:rFonts w:ascii="Arial" w:hAnsi="Arial" w:cs="Arial"/>
          <w:sz w:val="24"/>
          <w:szCs w:val="24"/>
        </w:rPr>
        <w:tab/>
      </w:r>
      <w:r>
        <w:rPr>
          <w:rFonts w:ascii="Arial" w:hAnsi="Arial" w:cs="Arial"/>
          <w:sz w:val="24"/>
          <w:szCs w:val="24"/>
        </w:rPr>
        <w:t>It is trite that when a party seeks condonation it is asking for an indulgence. It is for that reason that such party is usually ordered to bear costs of the condonation application.</w:t>
      </w:r>
      <w:r w:rsidR="004C4D15">
        <w:rPr>
          <w:rFonts w:ascii="Arial" w:hAnsi="Arial" w:cs="Arial"/>
          <w:sz w:val="24"/>
          <w:szCs w:val="24"/>
        </w:rPr>
        <w:t xml:space="preserve">  </w:t>
      </w:r>
      <w:r w:rsidR="00F84DC9">
        <w:rPr>
          <w:rFonts w:ascii="Arial" w:hAnsi="Arial" w:cs="Arial"/>
          <w:sz w:val="24"/>
          <w:szCs w:val="24"/>
        </w:rPr>
        <w:t xml:space="preserve">However, in </w:t>
      </w:r>
      <w:r w:rsidR="00EF65AC">
        <w:rPr>
          <w:rFonts w:ascii="Arial" w:hAnsi="Arial" w:cs="Arial"/>
          <w:sz w:val="24"/>
          <w:szCs w:val="24"/>
        </w:rPr>
        <w:t>this case</w:t>
      </w:r>
      <w:r w:rsidR="00F84DC9">
        <w:rPr>
          <w:rFonts w:ascii="Arial" w:hAnsi="Arial" w:cs="Arial"/>
          <w:sz w:val="24"/>
          <w:szCs w:val="24"/>
        </w:rPr>
        <w:t xml:space="preserve">, </w:t>
      </w:r>
      <w:r w:rsidR="004C4D15">
        <w:rPr>
          <w:rFonts w:ascii="Arial" w:hAnsi="Arial" w:cs="Arial"/>
          <w:sz w:val="24"/>
          <w:szCs w:val="24"/>
        </w:rPr>
        <w:t>the delay</w:t>
      </w:r>
      <w:r w:rsidR="00F84DC9">
        <w:rPr>
          <w:rFonts w:ascii="Arial" w:hAnsi="Arial" w:cs="Arial"/>
          <w:sz w:val="24"/>
          <w:szCs w:val="24"/>
        </w:rPr>
        <w:t>s</w:t>
      </w:r>
      <w:r w:rsidR="004C4D15">
        <w:rPr>
          <w:rFonts w:ascii="Arial" w:hAnsi="Arial" w:cs="Arial"/>
          <w:sz w:val="24"/>
          <w:szCs w:val="24"/>
        </w:rPr>
        <w:t xml:space="preserve"> caused by the first respondent in furnishing the docket to the applicant even after he had been served with the court </w:t>
      </w:r>
      <w:r w:rsidR="00EF65AC">
        <w:rPr>
          <w:rFonts w:ascii="Arial" w:hAnsi="Arial" w:cs="Arial"/>
          <w:sz w:val="24"/>
          <w:szCs w:val="24"/>
        </w:rPr>
        <w:t>order,</w:t>
      </w:r>
      <w:r w:rsidR="00F84DC9">
        <w:rPr>
          <w:rFonts w:ascii="Arial" w:hAnsi="Arial" w:cs="Arial"/>
          <w:sz w:val="24"/>
          <w:szCs w:val="24"/>
        </w:rPr>
        <w:t xml:space="preserve"> </w:t>
      </w:r>
      <w:r w:rsidR="004C4D15">
        <w:rPr>
          <w:rFonts w:ascii="Arial" w:hAnsi="Arial" w:cs="Arial"/>
          <w:sz w:val="24"/>
          <w:szCs w:val="24"/>
        </w:rPr>
        <w:t xml:space="preserve">call for an order of costs against him. </w:t>
      </w:r>
      <w:r w:rsidR="00EF65AC">
        <w:rPr>
          <w:rFonts w:ascii="Arial" w:hAnsi="Arial" w:cs="Arial"/>
          <w:sz w:val="24"/>
          <w:szCs w:val="24"/>
        </w:rPr>
        <w:t>I am</w:t>
      </w:r>
      <w:r w:rsidR="004C4D15">
        <w:rPr>
          <w:rFonts w:ascii="Arial" w:hAnsi="Arial" w:cs="Arial"/>
          <w:sz w:val="24"/>
          <w:szCs w:val="24"/>
        </w:rPr>
        <w:t xml:space="preserve"> mindful of the fact that the notice to oppose and the plea of prescription in the action w</w:t>
      </w:r>
      <w:r w:rsidR="00F84DC9">
        <w:rPr>
          <w:rFonts w:ascii="Arial" w:hAnsi="Arial" w:cs="Arial"/>
          <w:sz w:val="24"/>
          <w:szCs w:val="24"/>
        </w:rPr>
        <w:t>ere</w:t>
      </w:r>
      <w:r w:rsidR="004C4D15">
        <w:rPr>
          <w:rFonts w:ascii="Arial" w:hAnsi="Arial" w:cs="Arial"/>
          <w:sz w:val="24"/>
          <w:szCs w:val="24"/>
        </w:rPr>
        <w:t xml:space="preserve"> delivered on behalf of both respondents.  The second respondent did not actively participate in the application because the deponent to the answering affidavit </w:t>
      </w:r>
      <w:r w:rsidR="001C57C8">
        <w:rPr>
          <w:rFonts w:ascii="Arial" w:hAnsi="Arial" w:cs="Arial"/>
          <w:sz w:val="24"/>
          <w:szCs w:val="24"/>
        </w:rPr>
        <w:t>clearly stated</w:t>
      </w:r>
      <w:r w:rsidR="004C4D15">
        <w:rPr>
          <w:rFonts w:ascii="Arial" w:hAnsi="Arial" w:cs="Arial"/>
          <w:sz w:val="24"/>
          <w:szCs w:val="24"/>
        </w:rPr>
        <w:t xml:space="preserve"> </w:t>
      </w:r>
      <w:r w:rsidR="00EF65AC">
        <w:rPr>
          <w:rFonts w:ascii="Arial" w:hAnsi="Arial" w:cs="Arial"/>
          <w:sz w:val="24"/>
          <w:szCs w:val="24"/>
        </w:rPr>
        <w:t>that “</w:t>
      </w:r>
      <w:r w:rsidR="004C4D15" w:rsidRPr="004C4D15">
        <w:rPr>
          <w:rFonts w:ascii="Arial" w:hAnsi="Arial" w:cs="Arial"/>
          <w:i/>
          <w:iCs/>
          <w:sz w:val="24"/>
          <w:szCs w:val="24"/>
        </w:rPr>
        <w:t>as such depose this answering affidavit on behalf of the first respondent</w:t>
      </w:r>
      <w:r w:rsidR="00EF65AC" w:rsidRPr="004C4D15">
        <w:rPr>
          <w:rFonts w:ascii="Arial" w:hAnsi="Arial" w:cs="Arial"/>
          <w:i/>
          <w:iCs/>
          <w:sz w:val="24"/>
          <w:szCs w:val="24"/>
        </w:rPr>
        <w:t>”</w:t>
      </w:r>
      <w:r w:rsidR="00EF65AC">
        <w:rPr>
          <w:rFonts w:ascii="Arial" w:hAnsi="Arial" w:cs="Arial"/>
          <w:sz w:val="24"/>
          <w:szCs w:val="24"/>
        </w:rPr>
        <w:t>.</w:t>
      </w:r>
      <w:r w:rsidR="004C4D15">
        <w:rPr>
          <w:rFonts w:ascii="Arial" w:hAnsi="Arial" w:cs="Arial"/>
          <w:sz w:val="24"/>
          <w:szCs w:val="24"/>
        </w:rPr>
        <w:t xml:space="preserve">  It is for that reason that the order of costs will relate only to the first respondent. </w:t>
      </w:r>
    </w:p>
    <w:p w14:paraId="21ED1AFA" w14:textId="77777777" w:rsidR="00033442" w:rsidRDefault="00033442" w:rsidP="00EF65AC">
      <w:pPr>
        <w:spacing w:line="480" w:lineRule="auto"/>
        <w:ind w:left="720" w:hanging="720"/>
        <w:jc w:val="both"/>
        <w:rPr>
          <w:rFonts w:ascii="Arial" w:hAnsi="Arial" w:cs="Arial"/>
          <w:sz w:val="24"/>
          <w:szCs w:val="24"/>
        </w:rPr>
      </w:pPr>
    </w:p>
    <w:p w14:paraId="6EC6A6E2" w14:textId="04AC587E" w:rsidR="002862A8" w:rsidRDefault="008567F4" w:rsidP="00A26079">
      <w:pPr>
        <w:spacing w:line="480" w:lineRule="auto"/>
        <w:ind w:left="720" w:hanging="720"/>
        <w:jc w:val="both"/>
        <w:rPr>
          <w:rFonts w:ascii="Arial" w:hAnsi="Arial" w:cs="Arial"/>
          <w:b/>
          <w:bCs/>
          <w:sz w:val="24"/>
          <w:szCs w:val="24"/>
        </w:rPr>
      </w:pPr>
      <w:r>
        <w:rPr>
          <w:rFonts w:ascii="Arial" w:hAnsi="Arial" w:cs="Arial"/>
          <w:sz w:val="24"/>
          <w:szCs w:val="24"/>
        </w:rPr>
        <w:lastRenderedPageBreak/>
        <w:t>[3</w:t>
      </w:r>
      <w:r w:rsidR="00033442">
        <w:rPr>
          <w:rFonts w:ascii="Arial" w:hAnsi="Arial" w:cs="Arial"/>
          <w:sz w:val="24"/>
          <w:szCs w:val="24"/>
        </w:rPr>
        <w:t>9</w:t>
      </w:r>
      <w:r>
        <w:rPr>
          <w:rFonts w:ascii="Arial" w:hAnsi="Arial" w:cs="Arial"/>
          <w:sz w:val="24"/>
          <w:szCs w:val="24"/>
        </w:rPr>
        <w:t>]</w:t>
      </w:r>
      <w:r>
        <w:rPr>
          <w:rFonts w:ascii="Arial" w:hAnsi="Arial" w:cs="Arial"/>
          <w:sz w:val="24"/>
          <w:szCs w:val="24"/>
        </w:rPr>
        <w:tab/>
      </w:r>
      <w:r>
        <w:rPr>
          <w:rFonts w:ascii="Arial" w:hAnsi="Arial" w:cs="Arial"/>
          <w:b/>
          <w:bCs/>
          <w:sz w:val="24"/>
          <w:szCs w:val="24"/>
        </w:rPr>
        <w:t>In the circumstances, I make the following Order</w:t>
      </w:r>
      <w:r w:rsidR="002862A8">
        <w:rPr>
          <w:rFonts w:ascii="Arial" w:hAnsi="Arial" w:cs="Arial"/>
          <w:b/>
          <w:bCs/>
          <w:sz w:val="24"/>
          <w:szCs w:val="24"/>
        </w:rPr>
        <w:t>:</w:t>
      </w:r>
    </w:p>
    <w:p w14:paraId="01B7BEA7" w14:textId="490C4B24" w:rsidR="003C3C51" w:rsidRDefault="002862A8" w:rsidP="003C3C51">
      <w:pPr>
        <w:spacing w:line="480" w:lineRule="auto"/>
        <w:ind w:left="1440" w:hanging="720"/>
        <w:jc w:val="both"/>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737E00">
        <w:rPr>
          <w:rFonts w:ascii="Arial" w:hAnsi="Arial" w:cs="Arial"/>
          <w:b/>
          <w:bCs/>
          <w:sz w:val="24"/>
          <w:szCs w:val="24"/>
        </w:rPr>
        <w:t>That the applicant</w:t>
      </w:r>
      <w:r w:rsidR="00C633BA">
        <w:rPr>
          <w:rFonts w:ascii="Arial" w:hAnsi="Arial" w:cs="Arial"/>
          <w:b/>
          <w:bCs/>
          <w:sz w:val="24"/>
          <w:szCs w:val="24"/>
        </w:rPr>
        <w:t xml:space="preserve">’s failure to comply timeously </w:t>
      </w:r>
      <w:r w:rsidR="00B07D36">
        <w:rPr>
          <w:rFonts w:ascii="Arial" w:hAnsi="Arial" w:cs="Arial"/>
          <w:b/>
          <w:bCs/>
          <w:sz w:val="24"/>
          <w:szCs w:val="24"/>
        </w:rPr>
        <w:t>with the provisions of section 3(1)</w:t>
      </w:r>
      <w:r w:rsidR="00B345D9">
        <w:rPr>
          <w:rFonts w:ascii="Arial" w:hAnsi="Arial" w:cs="Arial"/>
          <w:b/>
          <w:bCs/>
          <w:sz w:val="24"/>
          <w:szCs w:val="24"/>
        </w:rPr>
        <w:t xml:space="preserve"> read with </w:t>
      </w:r>
      <w:r w:rsidR="00336A46">
        <w:rPr>
          <w:rFonts w:ascii="Arial" w:hAnsi="Arial" w:cs="Arial"/>
          <w:b/>
          <w:bCs/>
          <w:sz w:val="24"/>
          <w:szCs w:val="24"/>
        </w:rPr>
        <w:t>section</w:t>
      </w:r>
      <w:r w:rsidR="006B046B">
        <w:rPr>
          <w:rFonts w:ascii="Arial" w:hAnsi="Arial" w:cs="Arial"/>
          <w:b/>
          <w:bCs/>
          <w:sz w:val="24"/>
          <w:szCs w:val="24"/>
        </w:rPr>
        <w:t>s</w:t>
      </w:r>
      <w:r w:rsidR="00336A46">
        <w:rPr>
          <w:rFonts w:ascii="Arial" w:hAnsi="Arial" w:cs="Arial"/>
          <w:b/>
          <w:bCs/>
          <w:sz w:val="24"/>
          <w:szCs w:val="24"/>
        </w:rPr>
        <w:t xml:space="preserve"> </w:t>
      </w:r>
      <w:r w:rsidR="00B345D9">
        <w:rPr>
          <w:rFonts w:ascii="Arial" w:hAnsi="Arial" w:cs="Arial"/>
          <w:b/>
          <w:bCs/>
          <w:sz w:val="24"/>
          <w:szCs w:val="24"/>
        </w:rPr>
        <w:t>3(2)(a) and (b)</w:t>
      </w:r>
      <w:r w:rsidR="006B046B">
        <w:rPr>
          <w:rFonts w:ascii="Arial" w:hAnsi="Arial" w:cs="Arial"/>
          <w:b/>
          <w:bCs/>
          <w:sz w:val="24"/>
          <w:szCs w:val="24"/>
        </w:rPr>
        <w:t xml:space="preserve"> </w:t>
      </w:r>
      <w:r w:rsidR="00B65790">
        <w:rPr>
          <w:rFonts w:ascii="Arial" w:hAnsi="Arial" w:cs="Arial"/>
          <w:b/>
          <w:bCs/>
          <w:sz w:val="24"/>
          <w:szCs w:val="24"/>
        </w:rPr>
        <w:t xml:space="preserve">of the </w:t>
      </w:r>
      <w:r w:rsidR="00B65790" w:rsidRPr="00B65790">
        <w:rPr>
          <w:rFonts w:ascii="Arial" w:hAnsi="Arial" w:cs="Arial"/>
          <w:b/>
          <w:bCs/>
          <w:sz w:val="24"/>
          <w:szCs w:val="24"/>
          <w:lang w:val="en-US"/>
        </w:rPr>
        <w:t>Institution of Legal Proceedings Against Certain Organs of State Act 40 of 2002</w:t>
      </w:r>
      <w:r w:rsidR="00B65790">
        <w:rPr>
          <w:rFonts w:ascii="Arial" w:hAnsi="Arial" w:cs="Arial"/>
          <w:sz w:val="24"/>
          <w:szCs w:val="24"/>
          <w:lang w:val="en-US"/>
        </w:rPr>
        <w:t xml:space="preserve"> </w:t>
      </w:r>
      <w:r w:rsidR="00737E00">
        <w:rPr>
          <w:rFonts w:ascii="Arial" w:hAnsi="Arial" w:cs="Arial"/>
          <w:b/>
          <w:bCs/>
          <w:sz w:val="24"/>
          <w:szCs w:val="24"/>
        </w:rPr>
        <w:t>is hereby</w:t>
      </w:r>
      <w:r w:rsidR="00C633BA">
        <w:rPr>
          <w:rFonts w:ascii="Arial" w:hAnsi="Arial" w:cs="Arial"/>
          <w:b/>
          <w:bCs/>
          <w:sz w:val="24"/>
          <w:szCs w:val="24"/>
        </w:rPr>
        <w:t xml:space="preserve"> </w:t>
      </w:r>
      <w:r w:rsidR="00EE6113">
        <w:rPr>
          <w:rFonts w:ascii="Arial" w:hAnsi="Arial" w:cs="Arial"/>
          <w:b/>
          <w:bCs/>
          <w:sz w:val="24"/>
          <w:szCs w:val="24"/>
        </w:rPr>
        <w:t>condoned</w:t>
      </w:r>
      <w:r w:rsidR="003C3C51">
        <w:rPr>
          <w:rFonts w:ascii="Arial" w:hAnsi="Arial" w:cs="Arial"/>
          <w:b/>
          <w:bCs/>
          <w:sz w:val="24"/>
          <w:szCs w:val="24"/>
        </w:rPr>
        <w:t xml:space="preserve"> and t</w:t>
      </w:r>
      <w:r w:rsidR="00C3750C">
        <w:rPr>
          <w:rFonts w:ascii="Arial" w:hAnsi="Arial" w:cs="Arial"/>
          <w:b/>
          <w:bCs/>
          <w:sz w:val="24"/>
          <w:szCs w:val="24"/>
        </w:rPr>
        <w:t xml:space="preserve">he applicant </w:t>
      </w:r>
      <w:r w:rsidR="00EE4415">
        <w:rPr>
          <w:rFonts w:ascii="Arial" w:hAnsi="Arial" w:cs="Arial"/>
          <w:b/>
          <w:bCs/>
          <w:sz w:val="24"/>
          <w:szCs w:val="24"/>
        </w:rPr>
        <w:t xml:space="preserve">is granted leave to pursue </w:t>
      </w:r>
      <w:r w:rsidR="004B1E7A">
        <w:rPr>
          <w:rFonts w:ascii="Arial" w:hAnsi="Arial" w:cs="Arial"/>
          <w:b/>
          <w:bCs/>
          <w:sz w:val="24"/>
          <w:szCs w:val="24"/>
        </w:rPr>
        <w:t>its claim against the</w:t>
      </w:r>
      <w:r w:rsidR="00591257">
        <w:rPr>
          <w:rFonts w:ascii="Arial" w:hAnsi="Arial" w:cs="Arial"/>
          <w:b/>
          <w:bCs/>
          <w:sz w:val="24"/>
          <w:szCs w:val="24"/>
        </w:rPr>
        <w:t xml:space="preserve"> first and second </w:t>
      </w:r>
      <w:r w:rsidR="004B1E7A">
        <w:rPr>
          <w:rFonts w:ascii="Arial" w:hAnsi="Arial" w:cs="Arial"/>
          <w:b/>
          <w:bCs/>
          <w:sz w:val="24"/>
          <w:szCs w:val="24"/>
        </w:rPr>
        <w:t>respondent</w:t>
      </w:r>
      <w:r w:rsidR="00336A46">
        <w:rPr>
          <w:rFonts w:ascii="Arial" w:hAnsi="Arial" w:cs="Arial"/>
          <w:b/>
          <w:bCs/>
          <w:sz w:val="24"/>
          <w:szCs w:val="24"/>
        </w:rPr>
        <w:t>s</w:t>
      </w:r>
      <w:r w:rsidR="003C3C51">
        <w:rPr>
          <w:rFonts w:ascii="Arial" w:hAnsi="Arial" w:cs="Arial"/>
          <w:b/>
          <w:bCs/>
          <w:sz w:val="24"/>
          <w:szCs w:val="24"/>
        </w:rPr>
        <w:t>.</w:t>
      </w:r>
    </w:p>
    <w:p w14:paraId="288D187D" w14:textId="7AEBE85B" w:rsidR="00505CF7" w:rsidRDefault="003C3C51" w:rsidP="00B65790">
      <w:pPr>
        <w:spacing w:line="480" w:lineRule="auto"/>
        <w:ind w:left="1440" w:hanging="720"/>
        <w:jc w:val="both"/>
        <w:rPr>
          <w:rFonts w:ascii="Arial" w:hAnsi="Arial" w:cs="Arial"/>
          <w:b/>
          <w:bCs/>
          <w:sz w:val="24"/>
          <w:szCs w:val="24"/>
        </w:rPr>
      </w:pPr>
      <w:r>
        <w:rPr>
          <w:rFonts w:ascii="Arial" w:hAnsi="Arial" w:cs="Arial"/>
          <w:b/>
          <w:bCs/>
          <w:sz w:val="24"/>
          <w:szCs w:val="24"/>
        </w:rPr>
        <w:t>2.</w:t>
      </w:r>
      <w:r>
        <w:rPr>
          <w:rFonts w:ascii="Arial" w:hAnsi="Arial" w:cs="Arial"/>
          <w:b/>
          <w:bCs/>
          <w:sz w:val="24"/>
          <w:szCs w:val="24"/>
        </w:rPr>
        <w:tab/>
        <w:t xml:space="preserve">That the </w:t>
      </w:r>
      <w:r w:rsidR="0068281F">
        <w:rPr>
          <w:rFonts w:ascii="Arial" w:hAnsi="Arial" w:cs="Arial"/>
          <w:b/>
          <w:bCs/>
          <w:sz w:val="24"/>
          <w:szCs w:val="24"/>
        </w:rPr>
        <w:t xml:space="preserve">first </w:t>
      </w:r>
      <w:r>
        <w:rPr>
          <w:rFonts w:ascii="Arial" w:hAnsi="Arial" w:cs="Arial"/>
          <w:b/>
          <w:bCs/>
          <w:sz w:val="24"/>
          <w:szCs w:val="24"/>
        </w:rPr>
        <w:t>respondent</w:t>
      </w:r>
      <w:r w:rsidR="004B678D">
        <w:rPr>
          <w:rFonts w:ascii="Arial" w:hAnsi="Arial" w:cs="Arial"/>
          <w:sz w:val="24"/>
          <w:szCs w:val="24"/>
        </w:rPr>
        <w:t xml:space="preserve"> </w:t>
      </w:r>
      <w:r w:rsidR="00336A46">
        <w:rPr>
          <w:rFonts w:ascii="Arial" w:hAnsi="Arial" w:cs="Arial"/>
          <w:b/>
          <w:bCs/>
          <w:sz w:val="24"/>
          <w:szCs w:val="24"/>
        </w:rPr>
        <w:t xml:space="preserve">is </w:t>
      </w:r>
      <w:r w:rsidR="003D0D6E" w:rsidRPr="00505CF7">
        <w:rPr>
          <w:rFonts w:ascii="Arial" w:hAnsi="Arial" w:cs="Arial"/>
          <w:b/>
          <w:bCs/>
          <w:sz w:val="24"/>
          <w:szCs w:val="24"/>
        </w:rPr>
        <w:t>directed to pay costs of this application</w:t>
      </w:r>
      <w:r w:rsidR="00505CF7" w:rsidRPr="00505CF7">
        <w:rPr>
          <w:rFonts w:ascii="Arial" w:hAnsi="Arial" w:cs="Arial"/>
          <w:b/>
          <w:bCs/>
          <w:sz w:val="24"/>
          <w:szCs w:val="24"/>
        </w:rPr>
        <w:t>.</w:t>
      </w:r>
    </w:p>
    <w:p w14:paraId="21393A4F" w14:textId="77777777" w:rsidR="00AC2866" w:rsidRDefault="00AC2866" w:rsidP="00AC2866">
      <w:pPr>
        <w:spacing w:line="480" w:lineRule="auto"/>
        <w:jc w:val="both"/>
        <w:rPr>
          <w:rFonts w:ascii="Arial" w:hAnsi="Arial" w:cs="Arial"/>
          <w:b/>
          <w:bCs/>
          <w:sz w:val="24"/>
          <w:szCs w:val="24"/>
        </w:rPr>
      </w:pPr>
    </w:p>
    <w:p w14:paraId="3B10A463" w14:textId="2DC696CA" w:rsidR="00AC2866" w:rsidRDefault="00AC2866" w:rsidP="00AC2866">
      <w:pPr>
        <w:spacing w:line="480" w:lineRule="auto"/>
        <w:jc w:val="both"/>
        <w:rPr>
          <w:rFonts w:ascii="Arial" w:hAnsi="Arial" w:cs="Arial"/>
          <w:b/>
          <w:bCs/>
          <w:sz w:val="24"/>
          <w:szCs w:val="24"/>
        </w:rPr>
      </w:pPr>
      <w:r>
        <w:rPr>
          <w:rFonts w:ascii="Arial" w:hAnsi="Arial" w:cs="Arial"/>
          <w:b/>
          <w:bCs/>
          <w:sz w:val="24"/>
          <w:szCs w:val="24"/>
        </w:rPr>
        <w:t>_____________________________</w:t>
      </w:r>
    </w:p>
    <w:p w14:paraId="570950A1" w14:textId="0A49D133" w:rsidR="00AC2866" w:rsidRDefault="00AC2866" w:rsidP="00AC2866">
      <w:pPr>
        <w:spacing w:line="480" w:lineRule="auto"/>
        <w:jc w:val="both"/>
        <w:rPr>
          <w:rFonts w:ascii="Arial" w:hAnsi="Arial" w:cs="Arial"/>
          <w:b/>
          <w:bCs/>
          <w:sz w:val="24"/>
          <w:szCs w:val="24"/>
        </w:rPr>
      </w:pPr>
      <w:r>
        <w:rPr>
          <w:rFonts w:ascii="Arial" w:hAnsi="Arial" w:cs="Arial"/>
          <w:b/>
          <w:bCs/>
          <w:sz w:val="24"/>
          <w:szCs w:val="24"/>
        </w:rPr>
        <w:t xml:space="preserve">T.V NORMAN </w:t>
      </w:r>
    </w:p>
    <w:p w14:paraId="778F76DF" w14:textId="5548260C" w:rsidR="00AC2866" w:rsidRDefault="00AC2866" w:rsidP="00AC2866">
      <w:pPr>
        <w:spacing w:line="480" w:lineRule="auto"/>
        <w:jc w:val="both"/>
        <w:rPr>
          <w:rFonts w:ascii="Arial" w:hAnsi="Arial" w:cs="Arial"/>
          <w:b/>
          <w:bCs/>
          <w:sz w:val="24"/>
          <w:szCs w:val="24"/>
        </w:rPr>
      </w:pPr>
      <w:r>
        <w:rPr>
          <w:rFonts w:ascii="Arial" w:hAnsi="Arial" w:cs="Arial"/>
          <w:b/>
          <w:bCs/>
          <w:sz w:val="24"/>
          <w:szCs w:val="24"/>
        </w:rPr>
        <w:t>JUDGE OF THE HIGH COURT</w:t>
      </w:r>
    </w:p>
    <w:p w14:paraId="2DA41344" w14:textId="77777777" w:rsidR="00EF65AC" w:rsidRDefault="00EF65AC" w:rsidP="00AC2866">
      <w:pPr>
        <w:spacing w:line="480" w:lineRule="auto"/>
        <w:jc w:val="both"/>
        <w:rPr>
          <w:rFonts w:ascii="Arial" w:hAnsi="Arial" w:cs="Arial"/>
          <w:b/>
          <w:bCs/>
          <w:sz w:val="24"/>
          <w:szCs w:val="24"/>
        </w:rPr>
      </w:pPr>
    </w:p>
    <w:p w14:paraId="7FBCD6DC" w14:textId="77777777" w:rsidR="00EF65AC" w:rsidRDefault="00EF65AC" w:rsidP="00AC2866">
      <w:pPr>
        <w:spacing w:line="480" w:lineRule="auto"/>
        <w:jc w:val="both"/>
        <w:rPr>
          <w:rFonts w:ascii="Arial" w:hAnsi="Arial" w:cs="Arial"/>
          <w:b/>
          <w:bCs/>
          <w:sz w:val="24"/>
          <w:szCs w:val="24"/>
        </w:rPr>
      </w:pPr>
    </w:p>
    <w:p w14:paraId="2AC0136E" w14:textId="77777777" w:rsidR="00EF65AC" w:rsidRDefault="00EF65AC" w:rsidP="00AC2866">
      <w:pPr>
        <w:spacing w:line="480" w:lineRule="auto"/>
        <w:jc w:val="both"/>
        <w:rPr>
          <w:rFonts w:ascii="Arial" w:hAnsi="Arial" w:cs="Arial"/>
          <w:b/>
          <w:bCs/>
          <w:sz w:val="24"/>
          <w:szCs w:val="24"/>
        </w:rPr>
      </w:pPr>
    </w:p>
    <w:p w14:paraId="5664EE66" w14:textId="77777777" w:rsidR="00EF65AC" w:rsidRDefault="00EF65AC" w:rsidP="00AC2866">
      <w:pPr>
        <w:spacing w:line="480" w:lineRule="auto"/>
        <w:jc w:val="both"/>
        <w:rPr>
          <w:rFonts w:ascii="Arial" w:hAnsi="Arial" w:cs="Arial"/>
          <w:b/>
          <w:bCs/>
          <w:sz w:val="24"/>
          <w:szCs w:val="24"/>
        </w:rPr>
      </w:pPr>
    </w:p>
    <w:p w14:paraId="10874B67" w14:textId="77777777" w:rsidR="00EF65AC" w:rsidRDefault="00EF65AC" w:rsidP="00AC2866">
      <w:pPr>
        <w:spacing w:line="480" w:lineRule="auto"/>
        <w:jc w:val="both"/>
        <w:rPr>
          <w:rFonts w:ascii="Arial" w:hAnsi="Arial" w:cs="Arial"/>
          <w:b/>
          <w:bCs/>
          <w:sz w:val="24"/>
          <w:szCs w:val="24"/>
        </w:rPr>
      </w:pPr>
    </w:p>
    <w:p w14:paraId="764DFA5B" w14:textId="77777777" w:rsidR="00EF65AC" w:rsidRDefault="00EF65AC" w:rsidP="00AC2866">
      <w:pPr>
        <w:spacing w:line="480" w:lineRule="auto"/>
        <w:jc w:val="both"/>
        <w:rPr>
          <w:rFonts w:ascii="Arial" w:hAnsi="Arial" w:cs="Arial"/>
          <w:b/>
          <w:bCs/>
          <w:sz w:val="24"/>
          <w:szCs w:val="24"/>
        </w:rPr>
      </w:pPr>
    </w:p>
    <w:p w14:paraId="3424F6E0" w14:textId="77777777" w:rsidR="00033442" w:rsidRDefault="00033442" w:rsidP="00AC2866">
      <w:pPr>
        <w:spacing w:line="480" w:lineRule="auto"/>
        <w:jc w:val="both"/>
        <w:rPr>
          <w:rFonts w:ascii="Arial" w:hAnsi="Arial" w:cs="Arial"/>
          <w:b/>
          <w:bCs/>
          <w:sz w:val="24"/>
          <w:szCs w:val="24"/>
        </w:rPr>
      </w:pPr>
    </w:p>
    <w:p w14:paraId="40526269" w14:textId="77777777" w:rsidR="00033442" w:rsidRDefault="00033442" w:rsidP="00AC2866">
      <w:pPr>
        <w:spacing w:line="480" w:lineRule="auto"/>
        <w:jc w:val="both"/>
        <w:rPr>
          <w:rFonts w:ascii="Arial" w:hAnsi="Arial" w:cs="Arial"/>
          <w:b/>
          <w:bCs/>
          <w:sz w:val="24"/>
          <w:szCs w:val="24"/>
        </w:rPr>
      </w:pPr>
    </w:p>
    <w:p w14:paraId="61CFE7F3" w14:textId="77777777" w:rsidR="00EF65AC" w:rsidRDefault="00EF65AC" w:rsidP="00AC2866">
      <w:pPr>
        <w:spacing w:line="480" w:lineRule="auto"/>
        <w:jc w:val="both"/>
        <w:rPr>
          <w:rFonts w:ascii="Arial" w:hAnsi="Arial" w:cs="Arial"/>
          <w:b/>
          <w:bCs/>
          <w:sz w:val="24"/>
          <w:szCs w:val="24"/>
        </w:rPr>
      </w:pPr>
    </w:p>
    <w:p w14:paraId="6FF2F6C4" w14:textId="77777777" w:rsidR="00EF65AC" w:rsidRDefault="00EF65AC" w:rsidP="00AC2866">
      <w:pPr>
        <w:spacing w:line="480" w:lineRule="auto"/>
        <w:jc w:val="both"/>
        <w:rPr>
          <w:rFonts w:ascii="Arial" w:hAnsi="Arial" w:cs="Arial"/>
          <w:b/>
          <w:bCs/>
          <w:sz w:val="24"/>
          <w:szCs w:val="24"/>
        </w:rPr>
      </w:pPr>
    </w:p>
    <w:p w14:paraId="3350B113" w14:textId="28F9A467" w:rsidR="00AC2866" w:rsidRDefault="00056A00" w:rsidP="00D51E34">
      <w:pPr>
        <w:spacing w:line="240" w:lineRule="auto"/>
        <w:jc w:val="both"/>
        <w:rPr>
          <w:rFonts w:ascii="Arial" w:hAnsi="Arial" w:cs="Arial"/>
          <w:b/>
          <w:bCs/>
          <w:sz w:val="24"/>
          <w:szCs w:val="24"/>
        </w:rPr>
      </w:pPr>
      <w:r>
        <w:rPr>
          <w:rFonts w:ascii="Arial" w:hAnsi="Arial" w:cs="Arial"/>
          <w:b/>
          <w:bCs/>
          <w:sz w:val="24"/>
          <w:szCs w:val="24"/>
        </w:rPr>
        <w:lastRenderedPageBreak/>
        <w:t>Matter heard on</w:t>
      </w:r>
      <w:r>
        <w:rPr>
          <w:rFonts w:ascii="Arial" w:hAnsi="Arial" w:cs="Arial"/>
          <w:b/>
          <w:bCs/>
          <w:sz w:val="24"/>
          <w:szCs w:val="24"/>
        </w:rPr>
        <w:tab/>
      </w:r>
      <w:r>
        <w:rPr>
          <w:rFonts w:ascii="Arial" w:hAnsi="Arial" w:cs="Arial"/>
          <w:b/>
          <w:bCs/>
          <w:sz w:val="24"/>
          <w:szCs w:val="24"/>
        </w:rPr>
        <w:tab/>
      </w:r>
      <w:r w:rsidR="007B3843">
        <w:rPr>
          <w:rFonts w:ascii="Arial" w:hAnsi="Arial" w:cs="Arial"/>
          <w:b/>
          <w:bCs/>
          <w:sz w:val="24"/>
          <w:szCs w:val="24"/>
        </w:rPr>
        <w:t>:</w:t>
      </w:r>
      <w:r w:rsidR="0040340B">
        <w:rPr>
          <w:rFonts w:ascii="Arial" w:hAnsi="Arial" w:cs="Arial"/>
          <w:b/>
          <w:bCs/>
          <w:sz w:val="24"/>
          <w:szCs w:val="24"/>
        </w:rPr>
        <w:tab/>
      </w:r>
      <w:r>
        <w:rPr>
          <w:rFonts w:ascii="Arial" w:hAnsi="Arial" w:cs="Arial"/>
          <w:b/>
          <w:bCs/>
          <w:sz w:val="24"/>
          <w:szCs w:val="24"/>
        </w:rPr>
        <w:t>15 June 2023</w:t>
      </w:r>
    </w:p>
    <w:p w14:paraId="332CCEC9" w14:textId="127E3445" w:rsidR="00056A00" w:rsidRDefault="00056A00" w:rsidP="00D51E34">
      <w:pPr>
        <w:spacing w:line="240" w:lineRule="auto"/>
        <w:jc w:val="both"/>
        <w:rPr>
          <w:rFonts w:ascii="Arial" w:hAnsi="Arial" w:cs="Arial"/>
          <w:b/>
          <w:bCs/>
          <w:sz w:val="24"/>
          <w:szCs w:val="24"/>
        </w:rPr>
      </w:pPr>
      <w:r>
        <w:rPr>
          <w:rFonts w:ascii="Arial" w:hAnsi="Arial" w:cs="Arial"/>
          <w:b/>
          <w:bCs/>
          <w:sz w:val="24"/>
          <w:szCs w:val="24"/>
        </w:rPr>
        <w:t>Judgment Delivered on</w:t>
      </w:r>
      <w:r>
        <w:rPr>
          <w:rFonts w:ascii="Arial" w:hAnsi="Arial" w:cs="Arial"/>
          <w:b/>
          <w:bCs/>
          <w:sz w:val="24"/>
          <w:szCs w:val="24"/>
        </w:rPr>
        <w:tab/>
        <w:t>:</w:t>
      </w:r>
      <w:r w:rsidR="0040340B">
        <w:rPr>
          <w:rFonts w:ascii="Arial" w:hAnsi="Arial" w:cs="Arial"/>
          <w:b/>
          <w:bCs/>
          <w:sz w:val="24"/>
          <w:szCs w:val="24"/>
        </w:rPr>
        <w:tab/>
        <w:t>18</w:t>
      </w:r>
      <w:r>
        <w:rPr>
          <w:rFonts w:ascii="Arial" w:hAnsi="Arial" w:cs="Arial"/>
          <w:b/>
          <w:bCs/>
          <w:sz w:val="24"/>
          <w:szCs w:val="24"/>
        </w:rPr>
        <w:t xml:space="preserve"> July 2023</w:t>
      </w:r>
    </w:p>
    <w:p w14:paraId="58E46EF6" w14:textId="77777777" w:rsidR="007B3843" w:rsidRDefault="007B3843" w:rsidP="00D51E34">
      <w:pPr>
        <w:spacing w:line="240" w:lineRule="auto"/>
        <w:jc w:val="both"/>
        <w:rPr>
          <w:rFonts w:ascii="Arial" w:hAnsi="Arial" w:cs="Arial"/>
          <w:b/>
          <w:bCs/>
          <w:sz w:val="24"/>
          <w:szCs w:val="24"/>
        </w:rPr>
      </w:pPr>
    </w:p>
    <w:p w14:paraId="629EDC3D" w14:textId="64CBAB5F" w:rsidR="007B3843" w:rsidRDefault="007B3843" w:rsidP="00D51E34">
      <w:pPr>
        <w:spacing w:line="240" w:lineRule="auto"/>
        <w:jc w:val="both"/>
        <w:rPr>
          <w:rFonts w:ascii="Arial" w:hAnsi="Arial" w:cs="Arial"/>
          <w:b/>
          <w:bCs/>
          <w:sz w:val="24"/>
          <w:szCs w:val="24"/>
        </w:rPr>
      </w:pPr>
      <w:r>
        <w:rPr>
          <w:rFonts w:ascii="Arial" w:hAnsi="Arial" w:cs="Arial"/>
          <w:b/>
          <w:bCs/>
          <w:sz w:val="24"/>
          <w:szCs w:val="24"/>
        </w:rPr>
        <w:t>APPEARANCES:</w:t>
      </w:r>
    </w:p>
    <w:p w14:paraId="1026C651" w14:textId="180DB34C" w:rsidR="007B3843" w:rsidRDefault="007B3843" w:rsidP="00D51E34">
      <w:pPr>
        <w:spacing w:line="240" w:lineRule="auto"/>
        <w:jc w:val="both"/>
        <w:rPr>
          <w:rFonts w:ascii="Arial" w:hAnsi="Arial" w:cs="Arial"/>
          <w:b/>
          <w:bCs/>
          <w:sz w:val="24"/>
          <w:szCs w:val="24"/>
        </w:rPr>
      </w:pPr>
      <w:r>
        <w:rPr>
          <w:rFonts w:ascii="Arial" w:hAnsi="Arial" w:cs="Arial"/>
          <w:b/>
          <w:bCs/>
          <w:sz w:val="24"/>
          <w:szCs w:val="24"/>
        </w:rPr>
        <w:t>For the PLAINTIFF</w:t>
      </w:r>
      <w:r w:rsidR="003879AB">
        <w:rPr>
          <w:rFonts w:ascii="Arial" w:hAnsi="Arial" w:cs="Arial"/>
          <w:b/>
          <w:bCs/>
          <w:sz w:val="24"/>
          <w:szCs w:val="24"/>
        </w:rPr>
        <w:tab/>
      </w:r>
      <w:r w:rsidR="003879AB">
        <w:rPr>
          <w:rFonts w:ascii="Arial" w:hAnsi="Arial" w:cs="Arial"/>
          <w:b/>
          <w:bCs/>
          <w:sz w:val="24"/>
          <w:szCs w:val="24"/>
        </w:rPr>
        <w:tab/>
      </w:r>
      <w:r>
        <w:rPr>
          <w:rFonts w:ascii="Arial" w:hAnsi="Arial" w:cs="Arial"/>
          <w:b/>
          <w:bCs/>
          <w:sz w:val="24"/>
          <w:szCs w:val="24"/>
        </w:rPr>
        <w:t>:</w:t>
      </w:r>
      <w:r>
        <w:rPr>
          <w:rFonts w:ascii="Arial" w:hAnsi="Arial" w:cs="Arial"/>
          <w:b/>
          <w:bCs/>
          <w:sz w:val="24"/>
          <w:szCs w:val="24"/>
        </w:rPr>
        <w:tab/>
        <w:t>ADV L. MAGADLELA</w:t>
      </w:r>
    </w:p>
    <w:p w14:paraId="06A46875" w14:textId="2B8259BC" w:rsidR="007B3843" w:rsidRDefault="007B3843" w:rsidP="00D51E34">
      <w:pPr>
        <w:spacing w:line="240" w:lineRule="auto"/>
        <w:jc w:val="both"/>
        <w:rPr>
          <w:rFonts w:ascii="Arial" w:hAnsi="Arial" w:cs="Arial"/>
          <w:b/>
          <w:bCs/>
          <w:sz w:val="24"/>
          <w:szCs w:val="24"/>
        </w:rPr>
      </w:pPr>
      <w:r>
        <w:rPr>
          <w:rFonts w:ascii="Arial" w:hAnsi="Arial" w:cs="Arial"/>
          <w:b/>
          <w:bCs/>
          <w:sz w:val="24"/>
          <w:szCs w:val="24"/>
        </w:rPr>
        <w:tab/>
        <w:t>Instructed by</w:t>
      </w:r>
      <w:r w:rsidR="003879AB">
        <w:rPr>
          <w:rFonts w:ascii="Arial" w:hAnsi="Arial" w:cs="Arial"/>
          <w:b/>
          <w:bCs/>
          <w:sz w:val="24"/>
          <w:szCs w:val="24"/>
        </w:rPr>
        <w:tab/>
        <w:t>:</w:t>
      </w:r>
      <w:r w:rsidR="0040340B">
        <w:rPr>
          <w:rFonts w:ascii="Arial" w:hAnsi="Arial" w:cs="Arial"/>
          <w:b/>
          <w:bCs/>
          <w:sz w:val="24"/>
          <w:szCs w:val="24"/>
        </w:rPr>
        <w:tab/>
        <w:t>SIPUNZI ATTORNEYS</w:t>
      </w:r>
    </w:p>
    <w:p w14:paraId="5156A63E" w14:textId="54D3A486"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89 BEACONHURST DRIVE</w:t>
      </w:r>
    </w:p>
    <w:p w14:paraId="0F299FD0" w14:textId="2D5A63CA"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OFFICE NO.9</w:t>
      </w:r>
    </w:p>
    <w:p w14:paraId="0F8E9240" w14:textId="5E5ED467"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BEACON PARK, BEACON BAY</w:t>
      </w:r>
    </w:p>
    <w:p w14:paraId="6F50E174" w14:textId="787A6B6E"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EAST LONDON</w:t>
      </w:r>
    </w:p>
    <w:p w14:paraId="2145E37D" w14:textId="7AC0A16C"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 043</w:t>
      </w:r>
      <w:r w:rsidR="000206D7">
        <w:rPr>
          <w:rFonts w:ascii="Arial" w:hAnsi="Arial" w:cs="Arial"/>
          <w:b/>
          <w:bCs/>
          <w:sz w:val="24"/>
          <w:szCs w:val="24"/>
        </w:rPr>
        <w:t> 748 1828</w:t>
      </w:r>
    </w:p>
    <w:p w14:paraId="00AA97FE" w14:textId="12413809" w:rsidR="000206D7" w:rsidRDefault="000206D7"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FAX: 043</w:t>
      </w:r>
      <w:r w:rsidR="001523A7">
        <w:rPr>
          <w:rFonts w:ascii="Arial" w:hAnsi="Arial" w:cs="Arial"/>
          <w:b/>
          <w:bCs/>
          <w:sz w:val="24"/>
          <w:szCs w:val="24"/>
        </w:rPr>
        <w:t> 748 2347</w:t>
      </w:r>
    </w:p>
    <w:p w14:paraId="6E50A056" w14:textId="1A852F6A" w:rsidR="0058363E" w:rsidRDefault="0058363E"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REF: DIK/013/21</w:t>
      </w:r>
      <w:r w:rsidR="00A207C0">
        <w:rPr>
          <w:rFonts w:ascii="Arial" w:hAnsi="Arial" w:cs="Arial"/>
          <w:b/>
          <w:bCs/>
          <w:sz w:val="24"/>
          <w:szCs w:val="24"/>
        </w:rPr>
        <w:t>/Sipunzi</w:t>
      </w:r>
    </w:p>
    <w:p w14:paraId="4A872ED0" w14:textId="78C22212" w:rsidR="001523A7" w:rsidRDefault="001523A7"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EMAIL: </w:t>
      </w:r>
      <w:hyperlink r:id="rId9" w:history="1">
        <w:r w:rsidR="00AE6A7D" w:rsidRPr="006D42A0">
          <w:rPr>
            <w:rStyle w:val="Hyperlink"/>
            <w:rFonts w:ascii="Arial" w:hAnsi="Arial" w:cs="Arial"/>
            <w:b/>
            <w:bCs/>
            <w:sz w:val="24"/>
            <w:szCs w:val="24"/>
          </w:rPr>
          <w:t>khakas786@gmail.co.za</w:t>
        </w:r>
      </w:hyperlink>
      <w:r w:rsidR="00AE6A7D">
        <w:rPr>
          <w:rFonts w:ascii="Arial" w:hAnsi="Arial" w:cs="Arial"/>
          <w:b/>
          <w:bCs/>
          <w:sz w:val="24"/>
          <w:szCs w:val="24"/>
        </w:rPr>
        <w:t xml:space="preserve"> </w:t>
      </w:r>
    </w:p>
    <w:p w14:paraId="57E23C33" w14:textId="2EADE525"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t>c/o</w:t>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t>POTELWA &amp; CO. ATTORNEYS</w:t>
      </w:r>
    </w:p>
    <w:p w14:paraId="0F249C6B" w14:textId="1960F811"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17 ARTHUR STREET</w:t>
      </w:r>
    </w:p>
    <w:p w14:paraId="41697AA4" w14:textId="22BF565C"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QONCE</w:t>
      </w:r>
    </w:p>
    <w:p w14:paraId="1B0DCBC4" w14:textId="48A40B48" w:rsidR="0040340B" w:rsidRDefault="0040340B"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2E63CFDB" w14:textId="77777777" w:rsidR="003879AB" w:rsidRDefault="003879AB" w:rsidP="00D51E34">
      <w:pPr>
        <w:spacing w:line="240" w:lineRule="auto"/>
        <w:jc w:val="both"/>
        <w:rPr>
          <w:rFonts w:ascii="Arial" w:hAnsi="Arial" w:cs="Arial"/>
          <w:b/>
          <w:bCs/>
          <w:sz w:val="24"/>
          <w:szCs w:val="24"/>
        </w:rPr>
      </w:pPr>
    </w:p>
    <w:p w14:paraId="4E9F083A" w14:textId="13B99F28" w:rsidR="003879AB" w:rsidRDefault="003879AB" w:rsidP="00D51E34">
      <w:pPr>
        <w:spacing w:line="240" w:lineRule="auto"/>
        <w:jc w:val="both"/>
        <w:rPr>
          <w:rFonts w:ascii="Arial" w:hAnsi="Arial" w:cs="Arial"/>
          <w:b/>
          <w:bCs/>
          <w:sz w:val="24"/>
          <w:szCs w:val="24"/>
        </w:rPr>
      </w:pPr>
      <w:r>
        <w:rPr>
          <w:rFonts w:ascii="Arial" w:hAnsi="Arial" w:cs="Arial"/>
          <w:b/>
          <w:bCs/>
          <w:sz w:val="24"/>
          <w:szCs w:val="24"/>
        </w:rPr>
        <w:t>For the DEFENDANTS</w:t>
      </w:r>
      <w:r>
        <w:rPr>
          <w:rFonts w:ascii="Arial" w:hAnsi="Arial" w:cs="Arial"/>
          <w:b/>
          <w:bCs/>
          <w:sz w:val="24"/>
          <w:szCs w:val="24"/>
        </w:rPr>
        <w:tab/>
        <w:t>:</w:t>
      </w:r>
      <w:r>
        <w:rPr>
          <w:rFonts w:ascii="Arial" w:hAnsi="Arial" w:cs="Arial"/>
          <w:b/>
          <w:bCs/>
          <w:sz w:val="24"/>
          <w:szCs w:val="24"/>
        </w:rPr>
        <w:tab/>
        <w:t>ADV SANGONI</w:t>
      </w:r>
    </w:p>
    <w:p w14:paraId="3C6F588E" w14:textId="77777777" w:rsidR="00A207C0" w:rsidRDefault="003879AB" w:rsidP="00D51E34">
      <w:pPr>
        <w:spacing w:line="240" w:lineRule="auto"/>
        <w:jc w:val="both"/>
        <w:rPr>
          <w:rFonts w:ascii="Arial" w:hAnsi="Arial" w:cs="Arial"/>
          <w:b/>
          <w:bCs/>
          <w:sz w:val="24"/>
          <w:szCs w:val="24"/>
        </w:rPr>
      </w:pPr>
      <w:r>
        <w:rPr>
          <w:rFonts w:ascii="Arial" w:hAnsi="Arial" w:cs="Arial"/>
          <w:b/>
          <w:bCs/>
          <w:sz w:val="24"/>
          <w:szCs w:val="24"/>
        </w:rPr>
        <w:tab/>
        <w:t>Instructed by</w:t>
      </w:r>
      <w:r>
        <w:rPr>
          <w:rFonts w:ascii="Arial" w:hAnsi="Arial" w:cs="Arial"/>
          <w:b/>
          <w:bCs/>
          <w:sz w:val="24"/>
          <w:szCs w:val="24"/>
        </w:rPr>
        <w:tab/>
        <w:t>:</w:t>
      </w:r>
      <w:r w:rsidR="00A207C0">
        <w:rPr>
          <w:rFonts w:ascii="Arial" w:hAnsi="Arial" w:cs="Arial"/>
          <w:b/>
          <w:bCs/>
          <w:sz w:val="24"/>
          <w:szCs w:val="24"/>
        </w:rPr>
        <w:tab/>
        <w:t>THE STATE ATTORNEY</w:t>
      </w:r>
    </w:p>
    <w:p w14:paraId="24829477" w14:textId="77777777" w:rsidR="000C687E" w:rsidRDefault="00A207C0"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0C687E">
        <w:rPr>
          <w:rFonts w:ascii="Arial" w:hAnsi="Arial" w:cs="Arial"/>
          <w:b/>
          <w:bCs/>
          <w:sz w:val="24"/>
          <w:szCs w:val="24"/>
        </w:rPr>
        <w:t>OLD EMBASSY BUILDING</w:t>
      </w:r>
    </w:p>
    <w:p w14:paraId="4EE16A61" w14:textId="77777777" w:rsidR="000C687E" w:rsidRDefault="000C687E"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17 FLEET STREET</w:t>
      </w:r>
    </w:p>
    <w:p w14:paraId="7CF520A4" w14:textId="77777777" w:rsidR="000C687E" w:rsidRDefault="000C687E"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EAST LONDON</w:t>
      </w:r>
    </w:p>
    <w:p w14:paraId="5C005E29" w14:textId="77777777" w:rsidR="00F869B2" w:rsidRDefault="00F869B2"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REF: 677/22-P7 (MR ISAACS)</w:t>
      </w:r>
    </w:p>
    <w:p w14:paraId="7A301A29" w14:textId="77777777" w:rsidR="00EF7D01" w:rsidRDefault="00F869B2"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TEL: </w:t>
      </w:r>
      <w:r w:rsidR="00EF7D01">
        <w:rPr>
          <w:rFonts w:ascii="Arial" w:hAnsi="Arial" w:cs="Arial"/>
          <w:b/>
          <w:bCs/>
          <w:sz w:val="24"/>
          <w:szCs w:val="24"/>
        </w:rPr>
        <w:t>043 706 5100</w:t>
      </w:r>
    </w:p>
    <w:p w14:paraId="5686F3DA" w14:textId="77777777" w:rsidR="00FC73C5" w:rsidRDefault="00EF7D01"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FAX: 043</w:t>
      </w:r>
      <w:r w:rsidR="00FC73C5">
        <w:rPr>
          <w:rFonts w:ascii="Arial" w:hAnsi="Arial" w:cs="Arial"/>
          <w:b/>
          <w:bCs/>
          <w:sz w:val="24"/>
          <w:szCs w:val="24"/>
        </w:rPr>
        <w:t> 722 0926</w:t>
      </w:r>
    </w:p>
    <w:p w14:paraId="208AD407" w14:textId="77777777" w:rsidR="00FC73C5" w:rsidRDefault="00FC73C5"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t>c/o</w:t>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t>SHARED LEGAL SERVICES</w:t>
      </w:r>
    </w:p>
    <w:p w14:paraId="310C9A7B" w14:textId="77777777" w:rsidR="00BA112E" w:rsidRDefault="00FC73C5"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OFFICE</w:t>
      </w:r>
      <w:r w:rsidR="00BA112E">
        <w:rPr>
          <w:rFonts w:ascii="Arial" w:hAnsi="Arial" w:cs="Arial"/>
          <w:b/>
          <w:bCs/>
          <w:sz w:val="24"/>
          <w:szCs w:val="24"/>
        </w:rPr>
        <w:t xml:space="preserve"> OF THE PREMIER</w:t>
      </w:r>
    </w:p>
    <w:p w14:paraId="7121747B" w14:textId="77777777" w:rsidR="00FE6DA6" w:rsidRDefault="00BA112E"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32 ALEXANDRA ROAD</w:t>
      </w:r>
    </w:p>
    <w:p w14:paraId="61A38588" w14:textId="2902BC5F" w:rsidR="003879AB" w:rsidRPr="00AC2866" w:rsidRDefault="00FE6DA6" w:rsidP="00D51E3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KING WILLIAMS TOWN</w:t>
      </w:r>
      <w:r w:rsidR="00052EC2">
        <w:rPr>
          <w:rFonts w:ascii="Arial" w:hAnsi="Arial" w:cs="Arial"/>
          <w:b/>
          <w:bCs/>
          <w:sz w:val="24"/>
          <w:szCs w:val="24"/>
        </w:rPr>
        <w:tab/>
      </w:r>
    </w:p>
    <w:p w14:paraId="3F14B235" w14:textId="29DD442C" w:rsidR="00286D6D" w:rsidRPr="00286D6D" w:rsidRDefault="007E5088" w:rsidP="00B65790">
      <w:pPr>
        <w:spacing w:line="480" w:lineRule="auto"/>
        <w:ind w:left="1440" w:hanging="720"/>
        <w:jc w:val="both"/>
        <w:rPr>
          <w:rFonts w:ascii="Arial" w:hAnsi="Arial" w:cs="Arial"/>
          <w:sz w:val="24"/>
          <w:szCs w:val="24"/>
        </w:rPr>
      </w:pPr>
      <w:r>
        <w:rPr>
          <w:rFonts w:ascii="Arial" w:hAnsi="Arial" w:cs="Arial"/>
          <w:sz w:val="24"/>
          <w:szCs w:val="24"/>
        </w:rPr>
        <w:t xml:space="preserve"> </w:t>
      </w:r>
      <w:r w:rsidR="005F0A89">
        <w:rPr>
          <w:rFonts w:ascii="Arial" w:hAnsi="Arial" w:cs="Arial"/>
          <w:sz w:val="24"/>
          <w:szCs w:val="24"/>
        </w:rPr>
        <w:t xml:space="preserve"> </w:t>
      </w:r>
    </w:p>
    <w:sectPr w:rsidR="00286D6D" w:rsidRPr="00286D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B05A" w14:textId="77777777" w:rsidR="005C6AB7" w:rsidRDefault="005C6AB7" w:rsidP="00EA516D">
      <w:pPr>
        <w:spacing w:after="0" w:line="240" w:lineRule="auto"/>
      </w:pPr>
      <w:r>
        <w:separator/>
      </w:r>
    </w:p>
  </w:endnote>
  <w:endnote w:type="continuationSeparator" w:id="0">
    <w:p w14:paraId="436D9AF4" w14:textId="77777777" w:rsidR="005C6AB7" w:rsidRDefault="005C6AB7" w:rsidP="00EA516D">
      <w:pPr>
        <w:spacing w:after="0" w:line="240" w:lineRule="auto"/>
      </w:pPr>
      <w:r>
        <w:continuationSeparator/>
      </w:r>
    </w:p>
  </w:endnote>
  <w:endnote w:type="continuationNotice" w:id="1">
    <w:p w14:paraId="13C26A08" w14:textId="77777777" w:rsidR="005C6AB7" w:rsidRDefault="005C6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4843"/>
      <w:docPartObj>
        <w:docPartGallery w:val="Page Numbers (Bottom of Page)"/>
        <w:docPartUnique/>
      </w:docPartObj>
    </w:sdtPr>
    <w:sdtEndPr>
      <w:rPr>
        <w:noProof/>
      </w:rPr>
    </w:sdtEndPr>
    <w:sdtContent>
      <w:p w14:paraId="3B235074" w14:textId="78E87758" w:rsidR="00052EC2" w:rsidRDefault="00052EC2">
        <w:pPr>
          <w:pStyle w:val="Footer"/>
          <w:jc w:val="right"/>
        </w:pPr>
        <w:r>
          <w:fldChar w:fldCharType="begin"/>
        </w:r>
        <w:r>
          <w:instrText xml:space="preserve"> PAGE   \* MERGEFORMAT </w:instrText>
        </w:r>
        <w:r>
          <w:fldChar w:fldCharType="separate"/>
        </w:r>
        <w:r w:rsidR="00377DE7">
          <w:rPr>
            <w:noProof/>
          </w:rPr>
          <w:t>2</w:t>
        </w:r>
        <w:r>
          <w:rPr>
            <w:noProof/>
          </w:rPr>
          <w:fldChar w:fldCharType="end"/>
        </w:r>
      </w:p>
    </w:sdtContent>
  </w:sdt>
  <w:p w14:paraId="7167CB6E" w14:textId="77777777" w:rsidR="00052EC2" w:rsidRDefault="0005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86F6" w14:textId="77777777" w:rsidR="005C6AB7" w:rsidRDefault="005C6AB7" w:rsidP="00EA516D">
      <w:pPr>
        <w:spacing w:after="0" w:line="240" w:lineRule="auto"/>
      </w:pPr>
      <w:r>
        <w:separator/>
      </w:r>
    </w:p>
  </w:footnote>
  <w:footnote w:type="continuationSeparator" w:id="0">
    <w:p w14:paraId="6990E90F" w14:textId="77777777" w:rsidR="005C6AB7" w:rsidRDefault="005C6AB7" w:rsidP="00EA516D">
      <w:pPr>
        <w:spacing w:after="0" w:line="240" w:lineRule="auto"/>
      </w:pPr>
      <w:r>
        <w:continuationSeparator/>
      </w:r>
    </w:p>
  </w:footnote>
  <w:footnote w:type="continuationNotice" w:id="1">
    <w:p w14:paraId="68A1FA21" w14:textId="77777777" w:rsidR="005C6AB7" w:rsidRDefault="005C6AB7">
      <w:pPr>
        <w:spacing w:after="0" w:line="240" w:lineRule="auto"/>
      </w:pPr>
    </w:p>
  </w:footnote>
  <w:footnote w:id="2">
    <w:p w14:paraId="3E79576E" w14:textId="38889C86" w:rsidR="00774C1A" w:rsidRPr="006E37DE" w:rsidRDefault="00774C1A">
      <w:pPr>
        <w:pStyle w:val="FootnoteText"/>
        <w:rPr>
          <w:rFonts w:ascii="Arial" w:hAnsi="Arial" w:cs="Arial"/>
          <w:lang w:val="en-US"/>
        </w:rPr>
      </w:pPr>
      <w:r w:rsidRPr="006E37DE">
        <w:rPr>
          <w:rStyle w:val="FootnoteReference"/>
          <w:rFonts w:ascii="Arial" w:hAnsi="Arial" w:cs="Arial"/>
        </w:rPr>
        <w:footnoteRef/>
      </w:r>
      <w:r w:rsidRPr="006E37DE">
        <w:rPr>
          <w:rFonts w:ascii="Arial" w:hAnsi="Arial" w:cs="Arial"/>
        </w:rPr>
        <w:t xml:space="preserve"> </w:t>
      </w:r>
      <w:r w:rsidR="006E37DE" w:rsidRPr="006E37DE">
        <w:rPr>
          <w:rFonts w:ascii="Arial" w:hAnsi="Arial" w:cs="Arial"/>
        </w:rPr>
        <w:t>(CCT</w:t>
      </w:r>
      <w:r w:rsidRPr="006E37DE">
        <w:rPr>
          <w:rFonts w:ascii="Arial" w:hAnsi="Arial" w:cs="Arial"/>
        </w:rPr>
        <w:t xml:space="preserve"> 200/ 16) [2017] ZACC 33, PARAS 37,44,45 and 46</w:t>
      </w:r>
      <w:r w:rsidR="006E37DE" w:rsidRPr="006E37DE">
        <w:rPr>
          <w:rFonts w:ascii="Arial" w:hAnsi="Arial" w:cs="Arial"/>
        </w:rPr>
        <w:t>.</w:t>
      </w:r>
    </w:p>
  </w:footnote>
  <w:footnote w:id="3">
    <w:p w14:paraId="2A797E66" w14:textId="6BE982B0" w:rsidR="00774C1A" w:rsidRPr="00774C1A" w:rsidRDefault="00774C1A">
      <w:pPr>
        <w:pStyle w:val="FootnoteText"/>
        <w:rPr>
          <w:lang w:val="en-US"/>
        </w:rPr>
      </w:pPr>
      <w:r w:rsidRPr="006E37DE">
        <w:rPr>
          <w:rStyle w:val="FootnoteReference"/>
          <w:rFonts w:ascii="Arial" w:hAnsi="Arial" w:cs="Arial"/>
        </w:rPr>
        <w:footnoteRef/>
      </w:r>
      <w:r w:rsidRPr="006E37DE">
        <w:rPr>
          <w:rFonts w:ascii="Arial" w:hAnsi="Arial" w:cs="Arial"/>
        </w:rPr>
        <w:t xml:space="preserve"> (12/2019) [2021] ZAECBHC </w:t>
      </w:r>
      <w:r w:rsidR="006E37DE" w:rsidRPr="006E37DE">
        <w:rPr>
          <w:rFonts w:ascii="Arial" w:hAnsi="Arial" w:cs="Arial"/>
        </w:rPr>
        <w:t>(12</w:t>
      </w:r>
      <w:r w:rsidRPr="006E37DE">
        <w:rPr>
          <w:rFonts w:ascii="Arial" w:hAnsi="Arial" w:cs="Arial"/>
        </w:rPr>
        <w:t xml:space="preserve"> February 2021)</w:t>
      </w:r>
      <w:r w:rsidR="006E37DE" w:rsidRPr="006E37DE">
        <w:rPr>
          <w:rFonts w:ascii="Arial" w:hAnsi="Arial" w:cs="Arial"/>
        </w:rPr>
        <w:t>.</w:t>
      </w:r>
      <w:r>
        <w:t xml:space="preserve"> </w:t>
      </w:r>
    </w:p>
  </w:footnote>
  <w:footnote w:id="4">
    <w:p w14:paraId="712550F0" w14:textId="7650DC94" w:rsidR="00EA516D" w:rsidRPr="00E02AC9" w:rsidRDefault="00EA516D">
      <w:pPr>
        <w:pStyle w:val="FootnoteText"/>
        <w:rPr>
          <w:rFonts w:ascii="Arial" w:hAnsi="Arial" w:cs="Arial"/>
          <w:lang w:val="en-US"/>
        </w:rPr>
      </w:pPr>
      <w:r w:rsidRPr="00E02AC9">
        <w:rPr>
          <w:rStyle w:val="FootnoteReference"/>
          <w:rFonts w:ascii="Arial" w:hAnsi="Arial" w:cs="Arial"/>
        </w:rPr>
        <w:footnoteRef/>
      </w:r>
      <w:r w:rsidRPr="00E02AC9">
        <w:rPr>
          <w:rFonts w:ascii="Arial" w:hAnsi="Arial" w:cs="Arial"/>
        </w:rPr>
        <w:t xml:space="preserve"> </w:t>
      </w:r>
      <w:r w:rsidRPr="00E02AC9">
        <w:rPr>
          <w:rFonts w:ascii="Arial" w:hAnsi="Arial" w:cs="Arial"/>
          <w:lang w:val="en-US"/>
        </w:rPr>
        <w:t>Case No.: 12</w:t>
      </w:r>
      <w:r w:rsidR="00EE67B0" w:rsidRPr="00E02AC9">
        <w:rPr>
          <w:rFonts w:ascii="Arial" w:hAnsi="Arial" w:cs="Arial"/>
          <w:lang w:val="en-US"/>
        </w:rPr>
        <w:t>77/19 [2020]</w:t>
      </w:r>
      <w:r w:rsidR="004F37B7" w:rsidRPr="00E02AC9">
        <w:rPr>
          <w:rFonts w:ascii="Arial" w:hAnsi="Arial" w:cs="Arial"/>
          <w:lang w:val="en-US"/>
        </w:rPr>
        <w:t xml:space="preserve"> ZASCA 145 (5 November 2020) para</w:t>
      </w:r>
      <w:r w:rsidR="00E02AC9" w:rsidRPr="00E02AC9">
        <w:rPr>
          <w:rFonts w:ascii="Arial" w:hAnsi="Arial" w:cs="Arial"/>
          <w:lang w:val="en-US"/>
        </w:rPr>
        <w:t xml:space="preserve"> 18.</w:t>
      </w:r>
    </w:p>
  </w:footnote>
  <w:footnote w:id="5">
    <w:p w14:paraId="12AD96BB" w14:textId="3420D11D" w:rsidR="00AF76A2" w:rsidRPr="00AF76A2" w:rsidRDefault="00AF76A2">
      <w:pPr>
        <w:pStyle w:val="FootnoteText"/>
        <w:rPr>
          <w:lang w:val="en-US"/>
        </w:rPr>
      </w:pPr>
      <w:r>
        <w:rPr>
          <w:rStyle w:val="FootnoteReference"/>
        </w:rPr>
        <w:footnoteRef/>
      </w:r>
      <w:r>
        <w:t xml:space="preserve"> </w:t>
      </w:r>
      <w:r w:rsidRPr="00F011F7">
        <w:rPr>
          <w:rFonts w:ascii="Arial" w:hAnsi="Arial" w:cs="Arial"/>
          <w:lang w:val="en-US"/>
        </w:rPr>
        <w:t>(89077</w:t>
      </w:r>
      <w:r w:rsidR="00E30B9C" w:rsidRPr="00F011F7">
        <w:rPr>
          <w:rFonts w:ascii="Arial" w:hAnsi="Arial" w:cs="Arial"/>
          <w:lang w:val="en-US"/>
        </w:rPr>
        <w:t xml:space="preserve">/16) [2022] ZAGPPHC </w:t>
      </w:r>
      <w:r w:rsidR="003A0DE6" w:rsidRPr="00F011F7">
        <w:rPr>
          <w:rFonts w:ascii="Arial" w:hAnsi="Arial" w:cs="Arial"/>
          <w:lang w:val="en-US"/>
        </w:rPr>
        <w:t>233 (13 April 2022) para 15</w:t>
      </w:r>
      <w:r w:rsidR="003464FE" w:rsidRPr="00F011F7">
        <w:rPr>
          <w:rFonts w:ascii="Arial" w:hAnsi="Arial" w:cs="Arial"/>
          <w:lang w:val="en-US"/>
        </w:rPr>
        <w:t>.</w:t>
      </w:r>
    </w:p>
  </w:footnote>
  <w:footnote w:id="6">
    <w:p w14:paraId="40D4EF89" w14:textId="2AD644B8" w:rsidR="00DF3696" w:rsidRPr="006A658C" w:rsidRDefault="00DF3696">
      <w:pPr>
        <w:pStyle w:val="FootnoteText"/>
        <w:rPr>
          <w:lang w:val="en-US"/>
        </w:rPr>
      </w:pPr>
      <w:r>
        <w:rPr>
          <w:rStyle w:val="FootnoteReference"/>
        </w:rPr>
        <w:footnoteRef/>
      </w:r>
      <w:r>
        <w:t xml:space="preserve"> </w:t>
      </w:r>
      <w:hyperlink r:id="rId1" w:tooltip="View Case" w:history="1">
        <w:r w:rsidR="00D738A4" w:rsidRPr="006A658C">
          <w:rPr>
            <w:rStyle w:val="Hyperlink"/>
            <w:rFonts w:ascii="Arial" w:hAnsi="Arial" w:cs="Arial"/>
            <w:color w:val="auto"/>
            <w:u w:val="none"/>
            <w:shd w:val="clear" w:color="auto" w:fill="FFFFFF"/>
          </w:rPr>
          <w:t>[2006] ZASCA 16</w:t>
        </w:r>
      </w:hyperlink>
      <w:r w:rsidR="00D738A4" w:rsidRPr="006A658C">
        <w:rPr>
          <w:rFonts w:ascii="Arial" w:hAnsi="Arial" w:cs="Arial"/>
          <w:shd w:val="clear" w:color="auto" w:fill="FFFFFF"/>
        </w:rPr>
        <w:t>; </w:t>
      </w:r>
      <w:hyperlink r:id="rId2" w:tooltip="View LawCiteRecord" w:history="1">
        <w:r w:rsidR="00D738A4" w:rsidRPr="006A658C">
          <w:rPr>
            <w:rStyle w:val="Hyperlink"/>
            <w:rFonts w:ascii="Arial" w:hAnsi="Arial" w:cs="Arial"/>
            <w:color w:val="auto"/>
            <w:u w:val="none"/>
            <w:shd w:val="clear" w:color="auto" w:fill="FFFFFF"/>
          </w:rPr>
          <w:t>2006 (4) SA 168</w:t>
        </w:r>
      </w:hyperlink>
      <w:r w:rsidR="00D738A4" w:rsidRPr="006A658C">
        <w:rPr>
          <w:rFonts w:ascii="Arial" w:hAnsi="Arial" w:cs="Arial"/>
          <w:shd w:val="clear" w:color="auto" w:fill="FFFFFF"/>
        </w:rPr>
        <w:t> (SCA) at para 16.</w:t>
      </w:r>
    </w:p>
  </w:footnote>
  <w:footnote w:id="7">
    <w:p w14:paraId="2BE888D8" w14:textId="657C0CD6" w:rsidR="00931CEE" w:rsidRPr="00DD6BD3" w:rsidRDefault="00931CEE" w:rsidP="00DD6BD3">
      <w:pPr>
        <w:pStyle w:val="FootnoteText"/>
        <w:ind w:left="142" w:hanging="142"/>
        <w:rPr>
          <w:rFonts w:ascii="Arial" w:hAnsi="Arial" w:cs="Arial"/>
          <w:lang w:val="en-US"/>
        </w:rPr>
      </w:pPr>
      <w:r w:rsidRPr="00DD6BD3">
        <w:rPr>
          <w:rStyle w:val="FootnoteReference"/>
          <w:rFonts w:ascii="Arial" w:hAnsi="Arial" w:cs="Arial"/>
        </w:rPr>
        <w:footnoteRef/>
      </w:r>
      <w:r w:rsidRPr="00DD6BD3">
        <w:rPr>
          <w:rFonts w:ascii="Arial" w:hAnsi="Arial" w:cs="Arial"/>
        </w:rPr>
        <w:t xml:space="preserve"> </w:t>
      </w:r>
      <w:r w:rsidR="008606EE" w:rsidRPr="00DD6BD3">
        <w:rPr>
          <w:rFonts w:ascii="Arial" w:hAnsi="Arial" w:cs="Arial"/>
        </w:rPr>
        <w:t>(</w:t>
      </w:r>
      <w:r w:rsidR="008606EE" w:rsidRPr="00DD6BD3">
        <w:rPr>
          <w:rFonts w:ascii="Arial" w:hAnsi="Arial" w:cs="Arial"/>
          <w:lang w:val="en-US"/>
        </w:rPr>
        <w:t>153/07) [2007] ZAZA</w:t>
      </w:r>
      <w:r w:rsidR="00DB2948" w:rsidRPr="00DD6BD3">
        <w:rPr>
          <w:rFonts w:ascii="Arial" w:hAnsi="Arial" w:cs="Arial"/>
          <w:lang w:val="en-US"/>
        </w:rPr>
        <w:t xml:space="preserve">SCA 34; [2008] </w:t>
      </w:r>
      <w:r w:rsidR="003538B6" w:rsidRPr="00DD6BD3">
        <w:rPr>
          <w:rFonts w:ascii="Arial" w:hAnsi="Arial" w:cs="Arial"/>
          <w:lang w:val="en-US"/>
        </w:rPr>
        <w:t>3 ALLSA</w:t>
      </w:r>
      <w:r w:rsidR="008606EE" w:rsidRPr="00DD6BD3">
        <w:rPr>
          <w:rFonts w:ascii="Arial" w:hAnsi="Arial" w:cs="Arial"/>
          <w:lang w:val="en-US"/>
        </w:rPr>
        <w:t xml:space="preserve"> </w:t>
      </w:r>
      <w:r w:rsidR="00155236" w:rsidRPr="00DD6BD3">
        <w:rPr>
          <w:rFonts w:ascii="Arial" w:hAnsi="Arial" w:cs="Arial"/>
          <w:lang w:val="en-US"/>
        </w:rPr>
        <w:t>143 SCA; 2008 (4) SA</w:t>
      </w:r>
      <w:r w:rsidR="00DD6BD3" w:rsidRPr="00DD6BD3">
        <w:rPr>
          <w:rFonts w:ascii="Arial" w:hAnsi="Arial" w:cs="Arial"/>
          <w:lang w:val="en-US"/>
        </w:rPr>
        <w:t xml:space="preserve"> 312 (SCA) (28 March 2008) para 12 &amp; 13.</w:t>
      </w:r>
    </w:p>
  </w:footnote>
  <w:footnote w:id="8">
    <w:p w14:paraId="24EECBBF" w14:textId="4656B0D0" w:rsidR="00A97829" w:rsidRPr="00B13AA2" w:rsidRDefault="00A97829">
      <w:pPr>
        <w:pStyle w:val="FootnoteText"/>
        <w:rPr>
          <w:rFonts w:ascii="Arial" w:hAnsi="Arial" w:cs="Arial"/>
          <w:lang w:val="en-US"/>
        </w:rPr>
      </w:pPr>
      <w:r w:rsidRPr="00B13AA2">
        <w:rPr>
          <w:rStyle w:val="FootnoteReference"/>
          <w:rFonts w:ascii="Arial" w:hAnsi="Arial" w:cs="Arial"/>
        </w:rPr>
        <w:footnoteRef/>
      </w:r>
      <w:r w:rsidRPr="00B13AA2">
        <w:rPr>
          <w:rFonts w:ascii="Arial" w:hAnsi="Arial" w:cs="Arial"/>
        </w:rPr>
        <w:t xml:space="preserve"> </w:t>
      </w:r>
      <w:r w:rsidRPr="00B13AA2">
        <w:rPr>
          <w:rFonts w:ascii="Arial" w:hAnsi="Arial" w:cs="Arial"/>
          <w:lang w:val="en-US"/>
        </w:rPr>
        <w:t>(JR 59/2020) [2021] ZA</w:t>
      </w:r>
      <w:r w:rsidR="00EE65CC" w:rsidRPr="00B13AA2">
        <w:rPr>
          <w:rFonts w:ascii="Arial" w:hAnsi="Arial" w:cs="Arial"/>
          <w:lang w:val="en-US"/>
        </w:rPr>
        <w:t>LCJHB 449 (7 December 2021</w:t>
      </w:r>
      <w:r w:rsidR="004030B7" w:rsidRPr="00B13AA2">
        <w:rPr>
          <w:rFonts w:ascii="Arial" w:hAnsi="Arial" w:cs="Arial"/>
          <w:lang w:val="en-US"/>
        </w:rPr>
        <w:t>)</w:t>
      </w:r>
      <w:r w:rsidR="008702A3" w:rsidRPr="00B13AA2">
        <w:rPr>
          <w:rFonts w:ascii="Arial" w:hAnsi="Arial" w:cs="Arial"/>
          <w:lang w:val="en-US"/>
        </w:rPr>
        <w:t xml:space="preserve"> at para 11</w:t>
      </w:r>
      <w:r w:rsidR="004030B7" w:rsidRPr="00B13AA2">
        <w:rPr>
          <w:rFonts w:ascii="Arial" w:hAnsi="Arial" w:cs="Arial"/>
          <w:lang w:val="en-US"/>
        </w:rPr>
        <w:t>.</w:t>
      </w:r>
    </w:p>
  </w:footnote>
  <w:footnote w:id="9">
    <w:p w14:paraId="483F1F51" w14:textId="63B375CA" w:rsidR="007E76C7" w:rsidRPr="00EA018B" w:rsidRDefault="007E76C7" w:rsidP="00652A42">
      <w:pPr>
        <w:pStyle w:val="FootnoteText"/>
        <w:ind w:left="142" w:hanging="142"/>
        <w:rPr>
          <w:rFonts w:ascii="Arial" w:hAnsi="Arial" w:cs="Arial"/>
          <w:lang w:val="en-US"/>
        </w:rPr>
      </w:pPr>
      <w:r w:rsidRPr="00EA018B">
        <w:rPr>
          <w:rStyle w:val="FootnoteReference"/>
          <w:rFonts w:ascii="Arial" w:hAnsi="Arial" w:cs="Arial"/>
        </w:rPr>
        <w:footnoteRef/>
      </w:r>
      <w:r w:rsidRPr="00EA018B">
        <w:rPr>
          <w:rFonts w:ascii="Arial" w:hAnsi="Arial" w:cs="Arial"/>
        </w:rPr>
        <w:t xml:space="preserve"> </w:t>
      </w:r>
      <w:r w:rsidRPr="00EA018B">
        <w:rPr>
          <w:rFonts w:ascii="Arial" w:hAnsi="Arial" w:cs="Arial"/>
          <w:lang w:val="en-US"/>
        </w:rPr>
        <w:t>(CCT 200/16) [2017] ZA</w:t>
      </w:r>
      <w:r w:rsidR="009D4D45" w:rsidRPr="00EA018B">
        <w:rPr>
          <w:rFonts w:ascii="Arial" w:hAnsi="Arial" w:cs="Arial"/>
          <w:lang w:val="en-US"/>
        </w:rPr>
        <w:t>CC 33; 2017 (11)</w:t>
      </w:r>
      <w:r w:rsidR="00301AA5" w:rsidRPr="00EA018B">
        <w:rPr>
          <w:rFonts w:ascii="Arial" w:hAnsi="Arial" w:cs="Arial"/>
          <w:lang w:val="en-US"/>
        </w:rPr>
        <w:t xml:space="preserve"> BCLR 1443 </w:t>
      </w:r>
      <w:r w:rsidR="00381A24">
        <w:rPr>
          <w:rFonts w:ascii="Arial" w:hAnsi="Arial" w:cs="Arial"/>
          <w:lang w:val="en-US"/>
        </w:rPr>
        <w:t>(</w:t>
      </w:r>
      <w:r w:rsidR="00301AA5" w:rsidRPr="00EA018B">
        <w:rPr>
          <w:rFonts w:ascii="Arial" w:hAnsi="Arial" w:cs="Arial"/>
          <w:lang w:val="en-US"/>
        </w:rPr>
        <w:t>CC</w:t>
      </w:r>
      <w:r w:rsidR="00381A24">
        <w:rPr>
          <w:rFonts w:ascii="Arial" w:hAnsi="Arial" w:cs="Arial"/>
          <w:lang w:val="en-US"/>
        </w:rPr>
        <w:t>)</w:t>
      </w:r>
      <w:r w:rsidR="00301AA5" w:rsidRPr="00EA018B">
        <w:rPr>
          <w:rFonts w:ascii="Arial" w:hAnsi="Arial" w:cs="Arial"/>
          <w:lang w:val="en-US"/>
        </w:rPr>
        <w:t xml:space="preserve">; 2018 (5) SA 22 </w:t>
      </w:r>
      <w:r w:rsidR="00381A24">
        <w:rPr>
          <w:rFonts w:ascii="Arial" w:hAnsi="Arial" w:cs="Arial"/>
          <w:lang w:val="en-US"/>
        </w:rPr>
        <w:t>(</w:t>
      </w:r>
      <w:r w:rsidR="00301AA5" w:rsidRPr="00EA018B">
        <w:rPr>
          <w:rFonts w:ascii="Arial" w:hAnsi="Arial" w:cs="Arial"/>
          <w:lang w:val="en-US"/>
        </w:rPr>
        <w:t>CC</w:t>
      </w:r>
      <w:r w:rsidR="00381A24">
        <w:rPr>
          <w:rFonts w:ascii="Arial" w:hAnsi="Arial" w:cs="Arial"/>
          <w:lang w:val="en-US"/>
        </w:rPr>
        <w:t>)</w:t>
      </w:r>
      <w:r w:rsidR="00301AA5" w:rsidRPr="00EA018B">
        <w:rPr>
          <w:rFonts w:ascii="Arial" w:hAnsi="Arial" w:cs="Arial"/>
          <w:lang w:val="en-US"/>
        </w:rPr>
        <w:t xml:space="preserve"> (19 September </w:t>
      </w:r>
      <w:r w:rsidR="00CA50B6" w:rsidRPr="00EA018B">
        <w:rPr>
          <w:rFonts w:ascii="Arial" w:hAnsi="Arial" w:cs="Arial"/>
          <w:lang w:val="en-US"/>
        </w:rPr>
        <w:t>2017)</w:t>
      </w:r>
      <w:r w:rsidR="00EA018B" w:rsidRPr="00EA018B">
        <w:rPr>
          <w:rFonts w:ascii="Arial" w:hAnsi="Arial" w:cs="Arial"/>
          <w:lang w:val="en-US"/>
        </w:rPr>
        <w:t>.</w:t>
      </w:r>
    </w:p>
  </w:footnote>
  <w:footnote w:id="10">
    <w:p w14:paraId="43ADD043" w14:textId="6D8AA01D" w:rsidR="00C60E75" w:rsidRPr="006E37DE" w:rsidRDefault="00C60E75" w:rsidP="006E37DE">
      <w:pPr>
        <w:pStyle w:val="FootnoteText"/>
        <w:ind w:left="142" w:hanging="142"/>
        <w:jc w:val="both"/>
        <w:rPr>
          <w:rFonts w:ascii="Arial" w:hAnsi="Arial" w:cs="Arial"/>
        </w:rPr>
      </w:pPr>
      <w:r w:rsidRPr="006E37DE">
        <w:rPr>
          <w:rStyle w:val="FootnoteReference"/>
          <w:rFonts w:ascii="Arial" w:hAnsi="Arial" w:cs="Arial"/>
        </w:rPr>
        <w:footnoteRef/>
      </w:r>
      <w:r w:rsidRPr="006E37DE">
        <w:rPr>
          <w:rFonts w:ascii="Arial" w:hAnsi="Arial" w:cs="Arial"/>
        </w:rPr>
        <w:t xml:space="preserve"> </w:t>
      </w:r>
      <w:r w:rsidR="006E37DE" w:rsidRPr="006E37DE">
        <w:rPr>
          <w:rFonts w:ascii="Arial" w:hAnsi="Arial" w:cs="Arial"/>
        </w:rPr>
        <w:t>(1559</w:t>
      </w:r>
      <w:r w:rsidRPr="006E37DE">
        <w:rPr>
          <w:rFonts w:ascii="Arial" w:hAnsi="Arial" w:cs="Arial"/>
        </w:rPr>
        <w:t>/2010) [2011] ZANWHC 43 (30 June 2011)</w:t>
      </w:r>
      <w:r w:rsidR="00750C6C">
        <w:rPr>
          <w:rFonts w:ascii="Arial" w:hAnsi="Arial" w:cs="Arial"/>
        </w:rPr>
        <w:t>.</w:t>
      </w:r>
      <w:r w:rsidRPr="006E37DE">
        <w:rPr>
          <w:rFonts w:ascii="Arial" w:hAnsi="Arial" w:cs="Arial"/>
        </w:rPr>
        <w:t xml:space="preserve"> </w:t>
      </w:r>
    </w:p>
    <w:p w14:paraId="6510AB33" w14:textId="77777777" w:rsidR="00C60E75" w:rsidRPr="00C60E75" w:rsidRDefault="00C60E75">
      <w:pPr>
        <w:pStyle w:val="FootnoteText"/>
        <w:rPr>
          <w:lang w:val="en-US"/>
        </w:rPr>
      </w:pPr>
    </w:p>
  </w:footnote>
  <w:footnote w:id="11">
    <w:p w14:paraId="2A164F65" w14:textId="354698BA" w:rsidR="005F5BCA" w:rsidRPr="00EF65AC" w:rsidRDefault="005F5BCA">
      <w:pPr>
        <w:pStyle w:val="FootnoteText"/>
        <w:rPr>
          <w:rFonts w:ascii="Arial" w:hAnsi="Arial" w:cs="Arial"/>
        </w:rPr>
      </w:pPr>
      <w:r w:rsidRPr="00EF65AC">
        <w:rPr>
          <w:rStyle w:val="FootnoteReference"/>
          <w:rFonts w:ascii="Arial" w:hAnsi="Arial" w:cs="Arial"/>
        </w:rPr>
        <w:footnoteRef/>
      </w:r>
      <w:r w:rsidRPr="00EF65AC">
        <w:rPr>
          <w:rFonts w:ascii="Arial" w:hAnsi="Arial" w:cs="Arial"/>
        </w:rPr>
        <w:t xml:space="preserve"> Gericke v Sack 1978 (1) SA  821 </w:t>
      </w:r>
      <w:r w:rsidR="00EF65AC" w:rsidRPr="00EF65AC">
        <w:rPr>
          <w:rFonts w:ascii="Arial" w:hAnsi="Arial" w:cs="Arial"/>
        </w:rPr>
        <w:t>(A</w:t>
      </w:r>
      <w:r w:rsidRPr="00EF65AC">
        <w:rPr>
          <w:rFonts w:ascii="Arial" w:hAnsi="Arial" w:cs="Arial"/>
        </w:rPr>
        <w:t>) at 827-8</w:t>
      </w:r>
      <w:r w:rsidR="00EF65AC" w:rsidRPr="00EF65AC">
        <w:rPr>
          <w:rFonts w:ascii="Arial" w:hAnsi="Arial" w:cs="Arial"/>
        </w:rPr>
        <w:t>.</w:t>
      </w:r>
      <w:r w:rsidRPr="00EF65AC">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D7E5E"/>
    <w:multiLevelType w:val="hybridMultilevel"/>
    <w:tmpl w:val="E0221E9A"/>
    <w:lvl w:ilvl="0" w:tplc="E6B8B0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DA"/>
    <w:rsid w:val="00001322"/>
    <w:rsid w:val="00002CB5"/>
    <w:rsid w:val="00003213"/>
    <w:rsid w:val="00005CE4"/>
    <w:rsid w:val="00010C1D"/>
    <w:rsid w:val="000206D7"/>
    <w:rsid w:val="00021341"/>
    <w:rsid w:val="000250C2"/>
    <w:rsid w:val="00025AF6"/>
    <w:rsid w:val="00027B8D"/>
    <w:rsid w:val="00027FAF"/>
    <w:rsid w:val="00030C2A"/>
    <w:rsid w:val="00031AA8"/>
    <w:rsid w:val="00033442"/>
    <w:rsid w:val="00034523"/>
    <w:rsid w:val="000347D8"/>
    <w:rsid w:val="00034ABB"/>
    <w:rsid w:val="0003752E"/>
    <w:rsid w:val="0004055F"/>
    <w:rsid w:val="00041668"/>
    <w:rsid w:val="00042F62"/>
    <w:rsid w:val="000465A4"/>
    <w:rsid w:val="00052EC2"/>
    <w:rsid w:val="00053A21"/>
    <w:rsid w:val="00056A00"/>
    <w:rsid w:val="0005732B"/>
    <w:rsid w:val="00061C18"/>
    <w:rsid w:val="0006228D"/>
    <w:rsid w:val="00063211"/>
    <w:rsid w:val="00067C7B"/>
    <w:rsid w:val="000709B9"/>
    <w:rsid w:val="000747A4"/>
    <w:rsid w:val="00082317"/>
    <w:rsid w:val="0008288A"/>
    <w:rsid w:val="00084954"/>
    <w:rsid w:val="0009298F"/>
    <w:rsid w:val="00097765"/>
    <w:rsid w:val="000A54E0"/>
    <w:rsid w:val="000A623C"/>
    <w:rsid w:val="000B20D6"/>
    <w:rsid w:val="000B530A"/>
    <w:rsid w:val="000C0EB8"/>
    <w:rsid w:val="000C2AC3"/>
    <w:rsid w:val="000C33FA"/>
    <w:rsid w:val="000C3EBA"/>
    <w:rsid w:val="000C41E3"/>
    <w:rsid w:val="000C4302"/>
    <w:rsid w:val="000C687E"/>
    <w:rsid w:val="000C7F72"/>
    <w:rsid w:val="000D3CCF"/>
    <w:rsid w:val="000D4F9A"/>
    <w:rsid w:val="000E56A8"/>
    <w:rsid w:val="000E7E86"/>
    <w:rsid w:val="000F2333"/>
    <w:rsid w:val="000F6093"/>
    <w:rsid w:val="000F64FC"/>
    <w:rsid w:val="000F779E"/>
    <w:rsid w:val="00102866"/>
    <w:rsid w:val="00106BF0"/>
    <w:rsid w:val="00107A90"/>
    <w:rsid w:val="00110BB6"/>
    <w:rsid w:val="00113B7C"/>
    <w:rsid w:val="00114B57"/>
    <w:rsid w:val="00117341"/>
    <w:rsid w:val="00120A34"/>
    <w:rsid w:val="00123E03"/>
    <w:rsid w:val="001265E7"/>
    <w:rsid w:val="00140D16"/>
    <w:rsid w:val="00144B79"/>
    <w:rsid w:val="00150459"/>
    <w:rsid w:val="001513D2"/>
    <w:rsid w:val="001523A7"/>
    <w:rsid w:val="00155236"/>
    <w:rsid w:val="0015603A"/>
    <w:rsid w:val="001628AE"/>
    <w:rsid w:val="00164C05"/>
    <w:rsid w:val="00164C17"/>
    <w:rsid w:val="00166380"/>
    <w:rsid w:val="00175E25"/>
    <w:rsid w:val="001767A2"/>
    <w:rsid w:val="0018540C"/>
    <w:rsid w:val="0018568E"/>
    <w:rsid w:val="00186D36"/>
    <w:rsid w:val="00190086"/>
    <w:rsid w:val="001A218C"/>
    <w:rsid w:val="001A6B87"/>
    <w:rsid w:val="001A6EAC"/>
    <w:rsid w:val="001A7115"/>
    <w:rsid w:val="001B4AB4"/>
    <w:rsid w:val="001B7086"/>
    <w:rsid w:val="001B7311"/>
    <w:rsid w:val="001C0973"/>
    <w:rsid w:val="001C3809"/>
    <w:rsid w:val="001C3EAA"/>
    <w:rsid w:val="001C4438"/>
    <w:rsid w:val="001C57C8"/>
    <w:rsid w:val="001C74FB"/>
    <w:rsid w:val="001D201D"/>
    <w:rsid w:val="001D37C5"/>
    <w:rsid w:val="001D73F0"/>
    <w:rsid w:val="001E10AE"/>
    <w:rsid w:val="001E1A5B"/>
    <w:rsid w:val="001F0F35"/>
    <w:rsid w:val="001F1179"/>
    <w:rsid w:val="001F1FE4"/>
    <w:rsid w:val="001F45C8"/>
    <w:rsid w:val="001F6B33"/>
    <w:rsid w:val="001F6E7D"/>
    <w:rsid w:val="002026A1"/>
    <w:rsid w:val="002158AF"/>
    <w:rsid w:val="00215AC5"/>
    <w:rsid w:val="00217444"/>
    <w:rsid w:val="0022208E"/>
    <w:rsid w:val="002259C4"/>
    <w:rsid w:val="002319DB"/>
    <w:rsid w:val="00233E43"/>
    <w:rsid w:val="00235A10"/>
    <w:rsid w:val="00236618"/>
    <w:rsid w:val="00237822"/>
    <w:rsid w:val="002424FD"/>
    <w:rsid w:val="00245DB6"/>
    <w:rsid w:val="00246A8C"/>
    <w:rsid w:val="00250C59"/>
    <w:rsid w:val="002514FF"/>
    <w:rsid w:val="00256D35"/>
    <w:rsid w:val="002579BC"/>
    <w:rsid w:val="00264079"/>
    <w:rsid w:val="0026465C"/>
    <w:rsid w:val="00272E6C"/>
    <w:rsid w:val="002753A0"/>
    <w:rsid w:val="00281EA1"/>
    <w:rsid w:val="002846A5"/>
    <w:rsid w:val="0028503C"/>
    <w:rsid w:val="00285E9D"/>
    <w:rsid w:val="002862A8"/>
    <w:rsid w:val="00286D6D"/>
    <w:rsid w:val="002912EE"/>
    <w:rsid w:val="002926C3"/>
    <w:rsid w:val="00296309"/>
    <w:rsid w:val="002A0ECD"/>
    <w:rsid w:val="002A3C44"/>
    <w:rsid w:val="002A3E63"/>
    <w:rsid w:val="002B046B"/>
    <w:rsid w:val="002B07F0"/>
    <w:rsid w:val="002C237E"/>
    <w:rsid w:val="002C31A1"/>
    <w:rsid w:val="002C4837"/>
    <w:rsid w:val="002D0F9C"/>
    <w:rsid w:val="002D25DF"/>
    <w:rsid w:val="002E1BF1"/>
    <w:rsid w:val="002E7139"/>
    <w:rsid w:val="002F366B"/>
    <w:rsid w:val="002F383E"/>
    <w:rsid w:val="002F3998"/>
    <w:rsid w:val="00301AA5"/>
    <w:rsid w:val="003056F3"/>
    <w:rsid w:val="00313885"/>
    <w:rsid w:val="00314F54"/>
    <w:rsid w:val="003170A8"/>
    <w:rsid w:val="00323536"/>
    <w:rsid w:val="00333F8C"/>
    <w:rsid w:val="00334B01"/>
    <w:rsid w:val="00336A46"/>
    <w:rsid w:val="003425ED"/>
    <w:rsid w:val="00343023"/>
    <w:rsid w:val="00344D5F"/>
    <w:rsid w:val="003464FE"/>
    <w:rsid w:val="00350902"/>
    <w:rsid w:val="00352D7C"/>
    <w:rsid w:val="003538B6"/>
    <w:rsid w:val="00357FEC"/>
    <w:rsid w:val="0036075E"/>
    <w:rsid w:val="00361AF6"/>
    <w:rsid w:val="00365047"/>
    <w:rsid w:val="00367242"/>
    <w:rsid w:val="00371DB7"/>
    <w:rsid w:val="00375B06"/>
    <w:rsid w:val="00376C66"/>
    <w:rsid w:val="00377DE7"/>
    <w:rsid w:val="00381A24"/>
    <w:rsid w:val="003833A2"/>
    <w:rsid w:val="00383AFD"/>
    <w:rsid w:val="0038507A"/>
    <w:rsid w:val="00386052"/>
    <w:rsid w:val="003879AB"/>
    <w:rsid w:val="00390C53"/>
    <w:rsid w:val="0039139F"/>
    <w:rsid w:val="00394D98"/>
    <w:rsid w:val="00396869"/>
    <w:rsid w:val="00397248"/>
    <w:rsid w:val="003A0DE6"/>
    <w:rsid w:val="003A5C5C"/>
    <w:rsid w:val="003B23B5"/>
    <w:rsid w:val="003B26A0"/>
    <w:rsid w:val="003B2A34"/>
    <w:rsid w:val="003B2AED"/>
    <w:rsid w:val="003B40AB"/>
    <w:rsid w:val="003B7CB9"/>
    <w:rsid w:val="003B7FE5"/>
    <w:rsid w:val="003C3C51"/>
    <w:rsid w:val="003C4229"/>
    <w:rsid w:val="003C5866"/>
    <w:rsid w:val="003C6BF3"/>
    <w:rsid w:val="003D0D6E"/>
    <w:rsid w:val="003D4088"/>
    <w:rsid w:val="003E13F4"/>
    <w:rsid w:val="003E4662"/>
    <w:rsid w:val="003E5348"/>
    <w:rsid w:val="003E53A7"/>
    <w:rsid w:val="003F0529"/>
    <w:rsid w:val="003F0D6A"/>
    <w:rsid w:val="003F21A9"/>
    <w:rsid w:val="003F4031"/>
    <w:rsid w:val="004001DA"/>
    <w:rsid w:val="00402692"/>
    <w:rsid w:val="004030B7"/>
    <w:rsid w:val="0040340B"/>
    <w:rsid w:val="00407511"/>
    <w:rsid w:val="00411788"/>
    <w:rsid w:val="00420404"/>
    <w:rsid w:val="00426EFF"/>
    <w:rsid w:val="004273FC"/>
    <w:rsid w:val="00432C42"/>
    <w:rsid w:val="004340AE"/>
    <w:rsid w:val="0043505F"/>
    <w:rsid w:val="0044455A"/>
    <w:rsid w:val="00457506"/>
    <w:rsid w:val="00457D65"/>
    <w:rsid w:val="00460B70"/>
    <w:rsid w:val="0047126F"/>
    <w:rsid w:val="00486D5A"/>
    <w:rsid w:val="00486FAA"/>
    <w:rsid w:val="0049400B"/>
    <w:rsid w:val="0049679F"/>
    <w:rsid w:val="00497FF7"/>
    <w:rsid w:val="004A092E"/>
    <w:rsid w:val="004A6799"/>
    <w:rsid w:val="004A6D40"/>
    <w:rsid w:val="004A708E"/>
    <w:rsid w:val="004A70A2"/>
    <w:rsid w:val="004A7315"/>
    <w:rsid w:val="004B1E7A"/>
    <w:rsid w:val="004B2B3F"/>
    <w:rsid w:val="004B36AF"/>
    <w:rsid w:val="004B481C"/>
    <w:rsid w:val="004B4C8F"/>
    <w:rsid w:val="004B678D"/>
    <w:rsid w:val="004C469B"/>
    <w:rsid w:val="004C48A7"/>
    <w:rsid w:val="004C4D15"/>
    <w:rsid w:val="004D212F"/>
    <w:rsid w:val="004D263A"/>
    <w:rsid w:val="004D5C86"/>
    <w:rsid w:val="004E3965"/>
    <w:rsid w:val="004F1AB7"/>
    <w:rsid w:val="004F1D23"/>
    <w:rsid w:val="004F3068"/>
    <w:rsid w:val="004F37B7"/>
    <w:rsid w:val="004F6FE0"/>
    <w:rsid w:val="00501B8E"/>
    <w:rsid w:val="00502B24"/>
    <w:rsid w:val="00504E12"/>
    <w:rsid w:val="00505CF7"/>
    <w:rsid w:val="00505EC3"/>
    <w:rsid w:val="00507A9F"/>
    <w:rsid w:val="00510BB7"/>
    <w:rsid w:val="0051172D"/>
    <w:rsid w:val="00522DF0"/>
    <w:rsid w:val="00527733"/>
    <w:rsid w:val="00533AA6"/>
    <w:rsid w:val="00535A02"/>
    <w:rsid w:val="00541ED4"/>
    <w:rsid w:val="00542522"/>
    <w:rsid w:val="0054653D"/>
    <w:rsid w:val="00547F24"/>
    <w:rsid w:val="00550782"/>
    <w:rsid w:val="00553007"/>
    <w:rsid w:val="005566A6"/>
    <w:rsid w:val="00557649"/>
    <w:rsid w:val="00565907"/>
    <w:rsid w:val="005735A1"/>
    <w:rsid w:val="0058363E"/>
    <w:rsid w:val="00586716"/>
    <w:rsid w:val="00591257"/>
    <w:rsid w:val="005926BA"/>
    <w:rsid w:val="005939DE"/>
    <w:rsid w:val="00594A63"/>
    <w:rsid w:val="005A0958"/>
    <w:rsid w:val="005A3C3A"/>
    <w:rsid w:val="005A5D87"/>
    <w:rsid w:val="005A75B8"/>
    <w:rsid w:val="005B189D"/>
    <w:rsid w:val="005B2828"/>
    <w:rsid w:val="005B60C2"/>
    <w:rsid w:val="005B6C1A"/>
    <w:rsid w:val="005C290F"/>
    <w:rsid w:val="005C3908"/>
    <w:rsid w:val="005C3B0B"/>
    <w:rsid w:val="005C6AB7"/>
    <w:rsid w:val="005D3651"/>
    <w:rsid w:val="005F0A89"/>
    <w:rsid w:val="005F1921"/>
    <w:rsid w:val="005F4456"/>
    <w:rsid w:val="005F5A62"/>
    <w:rsid w:val="005F5BCA"/>
    <w:rsid w:val="00604F79"/>
    <w:rsid w:val="00606037"/>
    <w:rsid w:val="00625F71"/>
    <w:rsid w:val="0063168D"/>
    <w:rsid w:val="00633A9F"/>
    <w:rsid w:val="00647180"/>
    <w:rsid w:val="00652A42"/>
    <w:rsid w:val="00654357"/>
    <w:rsid w:val="006552DD"/>
    <w:rsid w:val="006643F9"/>
    <w:rsid w:val="006644CF"/>
    <w:rsid w:val="0066658A"/>
    <w:rsid w:val="006743B9"/>
    <w:rsid w:val="0067440C"/>
    <w:rsid w:val="0068281F"/>
    <w:rsid w:val="00682D46"/>
    <w:rsid w:val="00683B1C"/>
    <w:rsid w:val="00683F62"/>
    <w:rsid w:val="00685F34"/>
    <w:rsid w:val="00692E42"/>
    <w:rsid w:val="00693B80"/>
    <w:rsid w:val="006945F9"/>
    <w:rsid w:val="006961BC"/>
    <w:rsid w:val="00697758"/>
    <w:rsid w:val="00697CC7"/>
    <w:rsid w:val="006A4F2A"/>
    <w:rsid w:val="006A658C"/>
    <w:rsid w:val="006A75E4"/>
    <w:rsid w:val="006A7F51"/>
    <w:rsid w:val="006B046B"/>
    <w:rsid w:val="006B696B"/>
    <w:rsid w:val="006D160D"/>
    <w:rsid w:val="006D2327"/>
    <w:rsid w:val="006D3A63"/>
    <w:rsid w:val="006D3B9F"/>
    <w:rsid w:val="006D4808"/>
    <w:rsid w:val="006E37DE"/>
    <w:rsid w:val="006E56D8"/>
    <w:rsid w:val="006E5DA7"/>
    <w:rsid w:val="006E7480"/>
    <w:rsid w:val="006F2122"/>
    <w:rsid w:val="006F71E9"/>
    <w:rsid w:val="00701232"/>
    <w:rsid w:val="00703540"/>
    <w:rsid w:val="007147FF"/>
    <w:rsid w:val="0072323E"/>
    <w:rsid w:val="00723889"/>
    <w:rsid w:val="00724F18"/>
    <w:rsid w:val="0072570F"/>
    <w:rsid w:val="0073188B"/>
    <w:rsid w:val="0073322C"/>
    <w:rsid w:val="00737E00"/>
    <w:rsid w:val="007438F0"/>
    <w:rsid w:val="00747BD3"/>
    <w:rsid w:val="00750C6C"/>
    <w:rsid w:val="0075195B"/>
    <w:rsid w:val="0075253B"/>
    <w:rsid w:val="00754815"/>
    <w:rsid w:val="00757230"/>
    <w:rsid w:val="00763FE9"/>
    <w:rsid w:val="00766F57"/>
    <w:rsid w:val="007678EE"/>
    <w:rsid w:val="00770217"/>
    <w:rsid w:val="00771869"/>
    <w:rsid w:val="00772AD3"/>
    <w:rsid w:val="00774C1A"/>
    <w:rsid w:val="007764F2"/>
    <w:rsid w:val="00776F86"/>
    <w:rsid w:val="00780E85"/>
    <w:rsid w:val="00792C18"/>
    <w:rsid w:val="0079541E"/>
    <w:rsid w:val="00796183"/>
    <w:rsid w:val="0079660C"/>
    <w:rsid w:val="007A224A"/>
    <w:rsid w:val="007A52C8"/>
    <w:rsid w:val="007A7E00"/>
    <w:rsid w:val="007B3843"/>
    <w:rsid w:val="007B3C00"/>
    <w:rsid w:val="007B406C"/>
    <w:rsid w:val="007B61C4"/>
    <w:rsid w:val="007C29E1"/>
    <w:rsid w:val="007C6090"/>
    <w:rsid w:val="007C706C"/>
    <w:rsid w:val="007D7CCF"/>
    <w:rsid w:val="007E002C"/>
    <w:rsid w:val="007E0E15"/>
    <w:rsid w:val="007E10C0"/>
    <w:rsid w:val="007E5088"/>
    <w:rsid w:val="007E5B51"/>
    <w:rsid w:val="007E6AEC"/>
    <w:rsid w:val="007E76C7"/>
    <w:rsid w:val="007F1A3A"/>
    <w:rsid w:val="007F1DFF"/>
    <w:rsid w:val="0080298C"/>
    <w:rsid w:val="008031F7"/>
    <w:rsid w:val="008100AD"/>
    <w:rsid w:val="0082186A"/>
    <w:rsid w:val="00823D08"/>
    <w:rsid w:val="00824129"/>
    <w:rsid w:val="00827668"/>
    <w:rsid w:val="008318B8"/>
    <w:rsid w:val="00833F7B"/>
    <w:rsid w:val="008346F6"/>
    <w:rsid w:val="00845123"/>
    <w:rsid w:val="00845AE5"/>
    <w:rsid w:val="0085263C"/>
    <w:rsid w:val="008533F6"/>
    <w:rsid w:val="008554F6"/>
    <w:rsid w:val="008567F4"/>
    <w:rsid w:val="008606EE"/>
    <w:rsid w:val="00861EC9"/>
    <w:rsid w:val="008624E0"/>
    <w:rsid w:val="00864E28"/>
    <w:rsid w:val="00865561"/>
    <w:rsid w:val="008702A3"/>
    <w:rsid w:val="00870A15"/>
    <w:rsid w:val="008754AA"/>
    <w:rsid w:val="00875E27"/>
    <w:rsid w:val="00877284"/>
    <w:rsid w:val="0088260E"/>
    <w:rsid w:val="00885A98"/>
    <w:rsid w:val="00893528"/>
    <w:rsid w:val="008938EC"/>
    <w:rsid w:val="00893F9E"/>
    <w:rsid w:val="008953B5"/>
    <w:rsid w:val="0089794D"/>
    <w:rsid w:val="008979E6"/>
    <w:rsid w:val="008A1EEF"/>
    <w:rsid w:val="008A3994"/>
    <w:rsid w:val="008A70C2"/>
    <w:rsid w:val="008B34D7"/>
    <w:rsid w:val="008C6CE8"/>
    <w:rsid w:val="008D525C"/>
    <w:rsid w:val="008D5AE7"/>
    <w:rsid w:val="008D6BB4"/>
    <w:rsid w:val="008D783A"/>
    <w:rsid w:val="008E3982"/>
    <w:rsid w:val="008E4AE2"/>
    <w:rsid w:val="008E4FA1"/>
    <w:rsid w:val="008E6675"/>
    <w:rsid w:val="008E6FD3"/>
    <w:rsid w:val="008F23D4"/>
    <w:rsid w:val="00903243"/>
    <w:rsid w:val="0090456F"/>
    <w:rsid w:val="009072B1"/>
    <w:rsid w:val="00907817"/>
    <w:rsid w:val="00911C71"/>
    <w:rsid w:val="00923E8B"/>
    <w:rsid w:val="00931CEE"/>
    <w:rsid w:val="00932CF4"/>
    <w:rsid w:val="009330F0"/>
    <w:rsid w:val="009336F4"/>
    <w:rsid w:val="00934653"/>
    <w:rsid w:val="00936039"/>
    <w:rsid w:val="00937C1A"/>
    <w:rsid w:val="00937CDF"/>
    <w:rsid w:val="00937E32"/>
    <w:rsid w:val="00943E9D"/>
    <w:rsid w:val="00952D4B"/>
    <w:rsid w:val="00952D74"/>
    <w:rsid w:val="00956CBD"/>
    <w:rsid w:val="00961E00"/>
    <w:rsid w:val="00964EB4"/>
    <w:rsid w:val="00977BDC"/>
    <w:rsid w:val="009827F4"/>
    <w:rsid w:val="00986F5E"/>
    <w:rsid w:val="00991228"/>
    <w:rsid w:val="009A3197"/>
    <w:rsid w:val="009A6B29"/>
    <w:rsid w:val="009A71D0"/>
    <w:rsid w:val="009B060E"/>
    <w:rsid w:val="009B13FA"/>
    <w:rsid w:val="009B1E9B"/>
    <w:rsid w:val="009B2EEB"/>
    <w:rsid w:val="009B476D"/>
    <w:rsid w:val="009C2356"/>
    <w:rsid w:val="009C32A7"/>
    <w:rsid w:val="009C3E42"/>
    <w:rsid w:val="009C45AF"/>
    <w:rsid w:val="009C5F80"/>
    <w:rsid w:val="009D03CA"/>
    <w:rsid w:val="009D1071"/>
    <w:rsid w:val="009D2E09"/>
    <w:rsid w:val="009D417D"/>
    <w:rsid w:val="009D4D45"/>
    <w:rsid w:val="009D5902"/>
    <w:rsid w:val="009E07BF"/>
    <w:rsid w:val="009E16A7"/>
    <w:rsid w:val="009E389F"/>
    <w:rsid w:val="009E76AF"/>
    <w:rsid w:val="009E7BA8"/>
    <w:rsid w:val="009F2E6E"/>
    <w:rsid w:val="009F36B7"/>
    <w:rsid w:val="009F4022"/>
    <w:rsid w:val="009F6578"/>
    <w:rsid w:val="009F7FCA"/>
    <w:rsid w:val="00A00562"/>
    <w:rsid w:val="00A01FA9"/>
    <w:rsid w:val="00A05A0D"/>
    <w:rsid w:val="00A1109E"/>
    <w:rsid w:val="00A1329A"/>
    <w:rsid w:val="00A16F7B"/>
    <w:rsid w:val="00A17858"/>
    <w:rsid w:val="00A207C0"/>
    <w:rsid w:val="00A2267B"/>
    <w:rsid w:val="00A24430"/>
    <w:rsid w:val="00A26079"/>
    <w:rsid w:val="00A30875"/>
    <w:rsid w:val="00A30F2A"/>
    <w:rsid w:val="00A3166F"/>
    <w:rsid w:val="00A32F96"/>
    <w:rsid w:val="00A356C0"/>
    <w:rsid w:val="00A4060E"/>
    <w:rsid w:val="00A4143B"/>
    <w:rsid w:val="00A52144"/>
    <w:rsid w:val="00A52447"/>
    <w:rsid w:val="00A52931"/>
    <w:rsid w:val="00A5293A"/>
    <w:rsid w:val="00A53743"/>
    <w:rsid w:val="00A561E3"/>
    <w:rsid w:val="00A574D6"/>
    <w:rsid w:val="00A62153"/>
    <w:rsid w:val="00A65077"/>
    <w:rsid w:val="00A65EF4"/>
    <w:rsid w:val="00A67A73"/>
    <w:rsid w:val="00A811C1"/>
    <w:rsid w:val="00A8621D"/>
    <w:rsid w:val="00A86F14"/>
    <w:rsid w:val="00A97829"/>
    <w:rsid w:val="00AA046D"/>
    <w:rsid w:val="00AA096B"/>
    <w:rsid w:val="00AA2DF3"/>
    <w:rsid w:val="00AA6426"/>
    <w:rsid w:val="00AB3B5D"/>
    <w:rsid w:val="00AB5B62"/>
    <w:rsid w:val="00AB7003"/>
    <w:rsid w:val="00AB750C"/>
    <w:rsid w:val="00AC087C"/>
    <w:rsid w:val="00AC2866"/>
    <w:rsid w:val="00AC5FD8"/>
    <w:rsid w:val="00AD14D1"/>
    <w:rsid w:val="00AD1C7B"/>
    <w:rsid w:val="00AD1FB0"/>
    <w:rsid w:val="00AD2ACA"/>
    <w:rsid w:val="00AE05FF"/>
    <w:rsid w:val="00AE6A7D"/>
    <w:rsid w:val="00AF3A3B"/>
    <w:rsid w:val="00AF3B32"/>
    <w:rsid w:val="00AF76A2"/>
    <w:rsid w:val="00B06761"/>
    <w:rsid w:val="00B07C9F"/>
    <w:rsid w:val="00B07D36"/>
    <w:rsid w:val="00B118BF"/>
    <w:rsid w:val="00B11E6A"/>
    <w:rsid w:val="00B13AA2"/>
    <w:rsid w:val="00B13FAA"/>
    <w:rsid w:val="00B14C7F"/>
    <w:rsid w:val="00B25808"/>
    <w:rsid w:val="00B262C2"/>
    <w:rsid w:val="00B33D03"/>
    <w:rsid w:val="00B345D9"/>
    <w:rsid w:val="00B348B9"/>
    <w:rsid w:val="00B405EC"/>
    <w:rsid w:val="00B41951"/>
    <w:rsid w:val="00B433D6"/>
    <w:rsid w:val="00B50F55"/>
    <w:rsid w:val="00B65790"/>
    <w:rsid w:val="00B65907"/>
    <w:rsid w:val="00B66F47"/>
    <w:rsid w:val="00B718BE"/>
    <w:rsid w:val="00B73837"/>
    <w:rsid w:val="00B76AD9"/>
    <w:rsid w:val="00B86107"/>
    <w:rsid w:val="00B86ED8"/>
    <w:rsid w:val="00B92494"/>
    <w:rsid w:val="00B9332D"/>
    <w:rsid w:val="00BA112E"/>
    <w:rsid w:val="00BB44E2"/>
    <w:rsid w:val="00BB5B1D"/>
    <w:rsid w:val="00BB62B2"/>
    <w:rsid w:val="00BB6E3B"/>
    <w:rsid w:val="00BC3982"/>
    <w:rsid w:val="00BC4C2D"/>
    <w:rsid w:val="00BD053F"/>
    <w:rsid w:val="00BD16FC"/>
    <w:rsid w:val="00BD402A"/>
    <w:rsid w:val="00BE3D62"/>
    <w:rsid w:val="00BE72BB"/>
    <w:rsid w:val="00BF0CC9"/>
    <w:rsid w:val="00BF3CAE"/>
    <w:rsid w:val="00BF60D7"/>
    <w:rsid w:val="00BF6BC1"/>
    <w:rsid w:val="00BF7BBC"/>
    <w:rsid w:val="00C021CA"/>
    <w:rsid w:val="00C02B20"/>
    <w:rsid w:val="00C074B5"/>
    <w:rsid w:val="00C113D7"/>
    <w:rsid w:val="00C11F77"/>
    <w:rsid w:val="00C34C51"/>
    <w:rsid w:val="00C352E1"/>
    <w:rsid w:val="00C36A86"/>
    <w:rsid w:val="00C37210"/>
    <w:rsid w:val="00C3750C"/>
    <w:rsid w:val="00C40F15"/>
    <w:rsid w:val="00C428F3"/>
    <w:rsid w:val="00C44231"/>
    <w:rsid w:val="00C4654C"/>
    <w:rsid w:val="00C501C8"/>
    <w:rsid w:val="00C54385"/>
    <w:rsid w:val="00C57924"/>
    <w:rsid w:val="00C60E75"/>
    <w:rsid w:val="00C633BA"/>
    <w:rsid w:val="00C63E12"/>
    <w:rsid w:val="00C658A6"/>
    <w:rsid w:val="00C76BDC"/>
    <w:rsid w:val="00C91872"/>
    <w:rsid w:val="00C93D0E"/>
    <w:rsid w:val="00CA50B6"/>
    <w:rsid w:val="00CA6D1C"/>
    <w:rsid w:val="00CB1814"/>
    <w:rsid w:val="00CB6641"/>
    <w:rsid w:val="00CC1F00"/>
    <w:rsid w:val="00CD0A25"/>
    <w:rsid w:val="00CD1BA0"/>
    <w:rsid w:val="00CD253E"/>
    <w:rsid w:val="00CD2790"/>
    <w:rsid w:val="00CD6BF5"/>
    <w:rsid w:val="00CE05C8"/>
    <w:rsid w:val="00D00250"/>
    <w:rsid w:val="00D01DB7"/>
    <w:rsid w:val="00D02431"/>
    <w:rsid w:val="00D12914"/>
    <w:rsid w:val="00D22E03"/>
    <w:rsid w:val="00D241D5"/>
    <w:rsid w:val="00D333F6"/>
    <w:rsid w:val="00D336D5"/>
    <w:rsid w:val="00D338F7"/>
    <w:rsid w:val="00D41C38"/>
    <w:rsid w:val="00D4437B"/>
    <w:rsid w:val="00D46DD9"/>
    <w:rsid w:val="00D51E34"/>
    <w:rsid w:val="00D525FF"/>
    <w:rsid w:val="00D652CB"/>
    <w:rsid w:val="00D654B7"/>
    <w:rsid w:val="00D67012"/>
    <w:rsid w:val="00D67F8A"/>
    <w:rsid w:val="00D738A4"/>
    <w:rsid w:val="00D80440"/>
    <w:rsid w:val="00D822F8"/>
    <w:rsid w:val="00D82CFC"/>
    <w:rsid w:val="00D8300A"/>
    <w:rsid w:val="00D84CD5"/>
    <w:rsid w:val="00D8594E"/>
    <w:rsid w:val="00D859D5"/>
    <w:rsid w:val="00D95C2D"/>
    <w:rsid w:val="00DA177F"/>
    <w:rsid w:val="00DA2F4E"/>
    <w:rsid w:val="00DA3636"/>
    <w:rsid w:val="00DA66B2"/>
    <w:rsid w:val="00DB1388"/>
    <w:rsid w:val="00DB20B1"/>
    <w:rsid w:val="00DB2948"/>
    <w:rsid w:val="00DC36BE"/>
    <w:rsid w:val="00DC5587"/>
    <w:rsid w:val="00DC6CC2"/>
    <w:rsid w:val="00DC7F31"/>
    <w:rsid w:val="00DD6BD3"/>
    <w:rsid w:val="00DD7C24"/>
    <w:rsid w:val="00DE534A"/>
    <w:rsid w:val="00DF1D5F"/>
    <w:rsid w:val="00DF3696"/>
    <w:rsid w:val="00DF4A00"/>
    <w:rsid w:val="00DF6596"/>
    <w:rsid w:val="00DF6B98"/>
    <w:rsid w:val="00E017CA"/>
    <w:rsid w:val="00E02AC9"/>
    <w:rsid w:val="00E04015"/>
    <w:rsid w:val="00E04503"/>
    <w:rsid w:val="00E05429"/>
    <w:rsid w:val="00E06960"/>
    <w:rsid w:val="00E072F3"/>
    <w:rsid w:val="00E129D3"/>
    <w:rsid w:val="00E12E01"/>
    <w:rsid w:val="00E13D85"/>
    <w:rsid w:val="00E153C0"/>
    <w:rsid w:val="00E15AF6"/>
    <w:rsid w:val="00E168E5"/>
    <w:rsid w:val="00E16CBA"/>
    <w:rsid w:val="00E21346"/>
    <w:rsid w:val="00E2155A"/>
    <w:rsid w:val="00E21EAD"/>
    <w:rsid w:val="00E23200"/>
    <w:rsid w:val="00E26F2E"/>
    <w:rsid w:val="00E30B9C"/>
    <w:rsid w:val="00E33511"/>
    <w:rsid w:val="00E34DE5"/>
    <w:rsid w:val="00E42C73"/>
    <w:rsid w:val="00E42D02"/>
    <w:rsid w:val="00E45AC7"/>
    <w:rsid w:val="00E45B2E"/>
    <w:rsid w:val="00E46996"/>
    <w:rsid w:val="00E4770A"/>
    <w:rsid w:val="00E5116A"/>
    <w:rsid w:val="00E53FAE"/>
    <w:rsid w:val="00E56723"/>
    <w:rsid w:val="00E575BC"/>
    <w:rsid w:val="00E60DDB"/>
    <w:rsid w:val="00E65AEE"/>
    <w:rsid w:val="00E65ED0"/>
    <w:rsid w:val="00E744C9"/>
    <w:rsid w:val="00E80C96"/>
    <w:rsid w:val="00E84974"/>
    <w:rsid w:val="00E85075"/>
    <w:rsid w:val="00E856BB"/>
    <w:rsid w:val="00E8615D"/>
    <w:rsid w:val="00E86869"/>
    <w:rsid w:val="00E8733D"/>
    <w:rsid w:val="00E923CB"/>
    <w:rsid w:val="00E95795"/>
    <w:rsid w:val="00E95D66"/>
    <w:rsid w:val="00EA018B"/>
    <w:rsid w:val="00EA516D"/>
    <w:rsid w:val="00EA540C"/>
    <w:rsid w:val="00EA613E"/>
    <w:rsid w:val="00EA6ED7"/>
    <w:rsid w:val="00EA75EC"/>
    <w:rsid w:val="00EB010A"/>
    <w:rsid w:val="00EB01C4"/>
    <w:rsid w:val="00EB47DA"/>
    <w:rsid w:val="00EB6FC8"/>
    <w:rsid w:val="00EC4B28"/>
    <w:rsid w:val="00EC5061"/>
    <w:rsid w:val="00EC5656"/>
    <w:rsid w:val="00EC5D04"/>
    <w:rsid w:val="00ED2B11"/>
    <w:rsid w:val="00ED3203"/>
    <w:rsid w:val="00ED65B5"/>
    <w:rsid w:val="00ED6E3D"/>
    <w:rsid w:val="00EE01A6"/>
    <w:rsid w:val="00EE4068"/>
    <w:rsid w:val="00EE4415"/>
    <w:rsid w:val="00EE6113"/>
    <w:rsid w:val="00EE65CC"/>
    <w:rsid w:val="00EE67B0"/>
    <w:rsid w:val="00EF2310"/>
    <w:rsid w:val="00EF3CC9"/>
    <w:rsid w:val="00EF4515"/>
    <w:rsid w:val="00EF5BC5"/>
    <w:rsid w:val="00EF65AC"/>
    <w:rsid w:val="00EF7D01"/>
    <w:rsid w:val="00F00CA3"/>
    <w:rsid w:val="00F011F7"/>
    <w:rsid w:val="00F017F5"/>
    <w:rsid w:val="00F02F54"/>
    <w:rsid w:val="00F0717D"/>
    <w:rsid w:val="00F12D10"/>
    <w:rsid w:val="00F132FD"/>
    <w:rsid w:val="00F13BD6"/>
    <w:rsid w:val="00F14AD7"/>
    <w:rsid w:val="00F157B2"/>
    <w:rsid w:val="00F17CE9"/>
    <w:rsid w:val="00F21927"/>
    <w:rsid w:val="00F243D8"/>
    <w:rsid w:val="00F26899"/>
    <w:rsid w:val="00F34CBE"/>
    <w:rsid w:val="00F35382"/>
    <w:rsid w:val="00F36EA5"/>
    <w:rsid w:val="00F503A2"/>
    <w:rsid w:val="00F50BD5"/>
    <w:rsid w:val="00F5250E"/>
    <w:rsid w:val="00F57E75"/>
    <w:rsid w:val="00F607A5"/>
    <w:rsid w:val="00F6246A"/>
    <w:rsid w:val="00F66EB1"/>
    <w:rsid w:val="00F67002"/>
    <w:rsid w:val="00F72C7D"/>
    <w:rsid w:val="00F758E8"/>
    <w:rsid w:val="00F805A6"/>
    <w:rsid w:val="00F81A67"/>
    <w:rsid w:val="00F81F11"/>
    <w:rsid w:val="00F8350D"/>
    <w:rsid w:val="00F83ADF"/>
    <w:rsid w:val="00F84DC9"/>
    <w:rsid w:val="00F85F44"/>
    <w:rsid w:val="00F869B2"/>
    <w:rsid w:val="00F92335"/>
    <w:rsid w:val="00F931CD"/>
    <w:rsid w:val="00F955FB"/>
    <w:rsid w:val="00F95B3F"/>
    <w:rsid w:val="00F96C4C"/>
    <w:rsid w:val="00FA2868"/>
    <w:rsid w:val="00FB2964"/>
    <w:rsid w:val="00FC07E6"/>
    <w:rsid w:val="00FC0A88"/>
    <w:rsid w:val="00FC73C5"/>
    <w:rsid w:val="00FD5705"/>
    <w:rsid w:val="00FD7E2F"/>
    <w:rsid w:val="00FE031C"/>
    <w:rsid w:val="00FE478A"/>
    <w:rsid w:val="00FE59F2"/>
    <w:rsid w:val="00FE6DA6"/>
    <w:rsid w:val="00FE78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51C1"/>
  <w15:chartTrackingRefBased/>
  <w15:docId w15:val="{B1E34AC4-DFBA-4EB1-A65B-BA9D12A2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658A"/>
    <w:pPr>
      <w:spacing w:after="0" w:line="240" w:lineRule="auto"/>
    </w:pPr>
  </w:style>
  <w:style w:type="paragraph" w:styleId="FootnoteText">
    <w:name w:val="footnote text"/>
    <w:basedOn w:val="Normal"/>
    <w:link w:val="FootnoteTextChar"/>
    <w:uiPriority w:val="99"/>
    <w:semiHidden/>
    <w:unhideWhenUsed/>
    <w:rsid w:val="00EA5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16D"/>
    <w:rPr>
      <w:sz w:val="20"/>
      <w:szCs w:val="20"/>
    </w:rPr>
  </w:style>
  <w:style w:type="character" w:styleId="FootnoteReference">
    <w:name w:val="footnote reference"/>
    <w:basedOn w:val="DefaultParagraphFont"/>
    <w:uiPriority w:val="99"/>
    <w:semiHidden/>
    <w:unhideWhenUsed/>
    <w:rsid w:val="00EA516D"/>
    <w:rPr>
      <w:vertAlign w:val="superscript"/>
    </w:rPr>
  </w:style>
  <w:style w:type="character" w:styleId="Hyperlink">
    <w:name w:val="Hyperlink"/>
    <w:basedOn w:val="DefaultParagraphFont"/>
    <w:uiPriority w:val="99"/>
    <w:unhideWhenUsed/>
    <w:rsid w:val="00FC0A88"/>
    <w:rPr>
      <w:color w:val="0000FF"/>
      <w:u w:val="single"/>
    </w:rPr>
  </w:style>
  <w:style w:type="paragraph" w:styleId="Header">
    <w:name w:val="header"/>
    <w:basedOn w:val="Normal"/>
    <w:link w:val="HeaderChar"/>
    <w:uiPriority w:val="99"/>
    <w:unhideWhenUsed/>
    <w:rsid w:val="00040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5F"/>
  </w:style>
  <w:style w:type="paragraph" w:styleId="Footer">
    <w:name w:val="footer"/>
    <w:basedOn w:val="Normal"/>
    <w:link w:val="FooterChar"/>
    <w:uiPriority w:val="99"/>
    <w:unhideWhenUsed/>
    <w:rsid w:val="00040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55F"/>
  </w:style>
  <w:style w:type="paragraph" w:styleId="ListParagraph">
    <w:name w:val="List Paragraph"/>
    <w:basedOn w:val="Normal"/>
    <w:uiPriority w:val="34"/>
    <w:qFormat/>
    <w:rsid w:val="00034ABB"/>
    <w:pPr>
      <w:ind w:left="720"/>
      <w:contextualSpacing/>
    </w:pPr>
  </w:style>
  <w:style w:type="character" w:customStyle="1" w:styleId="UnresolvedMention">
    <w:name w:val="Unresolved Mention"/>
    <w:basedOn w:val="DefaultParagraphFont"/>
    <w:uiPriority w:val="99"/>
    <w:semiHidden/>
    <w:unhideWhenUsed/>
    <w:rsid w:val="00AE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akas786@gmail.co.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06%20%284%29%20SA%20168" TargetMode="External"/><Relationship Id="rId1" Type="http://schemas.openxmlformats.org/officeDocument/2006/relationships/hyperlink" Target="http://www.saflii.org/za/cases/ZASCA/200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E8E8-D257-47C1-8211-5FAA86D4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2023-07-14T07:32:00Z</cp:lastPrinted>
  <dcterms:created xsi:type="dcterms:W3CDTF">2023-10-16T07:20:00Z</dcterms:created>
  <dcterms:modified xsi:type="dcterms:W3CDTF">2023-10-16T07:20:00Z</dcterms:modified>
</cp:coreProperties>
</file>