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158C" w14:textId="77777777" w:rsidR="00354A12" w:rsidRPr="003C36E9" w:rsidRDefault="00354A12" w:rsidP="00354A12">
      <w:pPr>
        <w:spacing w:line="360" w:lineRule="auto"/>
        <w:jc w:val="both"/>
        <w:rPr>
          <w:rFonts w:ascii="Times New Roman" w:hAnsi="Times New Roman" w:cs="Times New Roman"/>
          <w:sz w:val="28"/>
          <w:szCs w:val="28"/>
        </w:rPr>
      </w:pPr>
    </w:p>
    <w:p w14:paraId="283D85F6"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0F9F7591" wp14:editId="736DF093">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5B48E9A2" w14:textId="77777777" w:rsidR="00EA1AAE" w:rsidRDefault="00EA1AAE" w:rsidP="00EA1AAE">
      <w:pPr>
        <w:spacing w:line="360" w:lineRule="auto"/>
        <w:jc w:val="center"/>
        <w:rPr>
          <w:rFonts w:ascii="Times New Roman" w:hAnsi="Times New Roman" w:cs="Times New Roman"/>
          <w:sz w:val="28"/>
          <w:szCs w:val="28"/>
        </w:rPr>
      </w:pPr>
    </w:p>
    <w:p w14:paraId="1737DFB2" w14:textId="77777777" w:rsidR="006262EF" w:rsidRPr="00701B17" w:rsidRDefault="006262EF" w:rsidP="006262EF">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558D5C18" w14:textId="77777777" w:rsidR="006262EF" w:rsidRPr="00701B17" w:rsidRDefault="006262EF" w:rsidP="006262E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Pr>
          <w:rFonts w:ascii="Times New Roman" w:hAnsi="Times New Roman" w:cs="Times New Roman"/>
          <w:b/>
          <w:sz w:val="28"/>
          <w:szCs w:val="28"/>
        </w:rPr>
        <w:t>BHISHO)</w:t>
      </w:r>
    </w:p>
    <w:p w14:paraId="2B12F9E8" w14:textId="77777777" w:rsidR="006262EF" w:rsidRDefault="006262EF" w:rsidP="006262EF">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120A166C" w14:textId="77777777" w:rsidR="006262EF" w:rsidRPr="00701B17" w:rsidRDefault="006262EF" w:rsidP="006262EF">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CASE NO.</w:t>
      </w:r>
      <w:r>
        <w:rPr>
          <w:rFonts w:ascii="Times New Roman" w:hAnsi="Times New Roman" w:cs="Times New Roman"/>
          <w:b/>
          <w:sz w:val="28"/>
          <w:szCs w:val="28"/>
        </w:rPr>
        <w:t xml:space="preserve"> 206/2023</w:t>
      </w:r>
      <w:r w:rsidRPr="00701B17">
        <w:rPr>
          <w:rFonts w:ascii="Times New Roman" w:hAnsi="Times New Roman" w:cs="Times New Roman"/>
          <w:b/>
          <w:sz w:val="28"/>
          <w:szCs w:val="28"/>
        </w:rPr>
        <w:t xml:space="preserve"> </w:t>
      </w:r>
    </w:p>
    <w:p w14:paraId="280AD83F" w14:textId="77777777" w:rsidR="006262EF" w:rsidRDefault="006262EF" w:rsidP="006262EF">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4316A667" w14:textId="77777777" w:rsidR="006262EF" w:rsidRDefault="006262EF" w:rsidP="006262EF">
      <w:pPr>
        <w:spacing w:line="360" w:lineRule="auto"/>
        <w:jc w:val="both"/>
        <w:rPr>
          <w:rFonts w:ascii="Times New Roman" w:hAnsi="Times New Roman" w:cs="Times New Roman"/>
          <w:sz w:val="28"/>
          <w:szCs w:val="28"/>
        </w:rPr>
      </w:pPr>
    </w:p>
    <w:p w14:paraId="56FA9C20" w14:textId="77777777" w:rsidR="006262EF" w:rsidRPr="00C75100" w:rsidRDefault="006262EF" w:rsidP="006262E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HENRY LOYISO KOBO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ab/>
        <w:t xml:space="preserve">  APPLICANT</w:t>
      </w:r>
      <w:proofErr w:type="gramEnd"/>
    </w:p>
    <w:p w14:paraId="6744683D" w14:textId="77777777" w:rsidR="006262EF" w:rsidRDefault="006262EF" w:rsidP="006262EF">
      <w:pPr>
        <w:spacing w:line="360" w:lineRule="auto"/>
        <w:jc w:val="both"/>
        <w:rPr>
          <w:rFonts w:ascii="Times New Roman" w:hAnsi="Times New Roman" w:cs="Times New Roman"/>
          <w:sz w:val="28"/>
          <w:szCs w:val="28"/>
        </w:rPr>
      </w:pPr>
    </w:p>
    <w:p w14:paraId="465FEC96" w14:textId="77777777" w:rsidR="006262EF" w:rsidRDefault="006262EF" w:rsidP="006262EF">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69041D11" w14:textId="77777777" w:rsidR="006262EF" w:rsidRDefault="006262EF" w:rsidP="006262EF">
      <w:pPr>
        <w:spacing w:line="360" w:lineRule="auto"/>
        <w:jc w:val="both"/>
        <w:rPr>
          <w:rFonts w:ascii="Times New Roman" w:hAnsi="Times New Roman" w:cs="Times New Roman"/>
          <w:sz w:val="28"/>
          <w:szCs w:val="28"/>
        </w:rPr>
      </w:pPr>
    </w:p>
    <w:p w14:paraId="5DDC0890" w14:textId="77777777" w:rsidR="005A0EB5" w:rsidRDefault="006262EF" w:rsidP="006262E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w:t>
      </w:r>
      <w:r w:rsidRPr="00C75100">
        <w:rPr>
          <w:rFonts w:ascii="Times New Roman" w:hAnsi="Times New Roman" w:cs="Times New Roman"/>
          <w:b/>
          <w:sz w:val="28"/>
          <w:szCs w:val="28"/>
        </w:rPr>
        <w:t xml:space="preserve">MEC FOR </w:t>
      </w:r>
      <w:r>
        <w:rPr>
          <w:rFonts w:ascii="Times New Roman" w:hAnsi="Times New Roman" w:cs="Times New Roman"/>
          <w:b/>
          <w:sz w:val="28"/>
          <w:szCs w:val="28"/>
        </w:rPr>
        <w:t>THE DEPARTMENT</w:t>
      </w:r>
    </w:p>
    <w:p w14:paraId="5D417206" w14:textId="77777777" w:rsidR="005A0EB5" w:rsidRDefault="006262EF" w:rsidP="006262E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OF EDUCATION, </w:t>
      </w:r>
      <w:r w:rsidRPr="00C75100">
        <w:rPr>
          <w:rFonts w:ascii="Times New Roman" w:hAnsi="Times New Roman" w:cs="Times New Roman"/>
          <w:b/>
          <w:sz w:val="28"/>
          <w:szCs w:val="28"/>
        </w:rPr>
        <w:t>EASTERN CAPE</w:t>
      </w:r>
    </w:p>
    <w:p w14:paraId="32C037BB" w14:textId="77777777" w:rsidR="006262EF" w:rsidRDefault="006262EF" w:rsidP="006262E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PROVINCE </w:t>
      </w:r>
      <w:r w:rsidR="005A0EB5">
        <w:rPr>
          <w:rFonts w:ascii="Times New Roman" w:hAnsi="Times New Roman" w:cs="Times New Roman"/>
          <w:b/>
          <w:sz w:val="28"/>
          <w:szCs w:val="28"/>
        </w:rPr>
        <w:tab/>
      </w:r>
      <w:r w:rsidR="005A0EB5">
        <w:rPr>
          <w:rFonts w:ascii="Times New Roman" w:hAnsi="Times New Roman" w:cs="Times New Roman"/>
          <w:b/>
          <w:sz w:val="28"/>
          <w:szCs w:val="28"/>
        </w:rPr>
        <w:tab/>
      </w:r>
      <w:r w:rsidR="005A0EB5">
        <w:rPr>
          <w:rFonts w:ascii="Times New Roman" w:hAnsi="Times New Roman" w:cs="Times New Roman"/>
          <w:b/>
          <w:sz w:val="28"/>
          <w:szCs w:val="28"/>
        </w:rPr>
        <w:tab/>
      </w:r>
      <w:r w:rsidR="005A0EB5">
        <w:rPr>
          <w:rFonts w:ascii="Times New Roman" w:hAnsi="Times New Roman" w:cs="Times New Roman"/>
          <w:b/>
          <w:sz w:val="28"/>
          <w:szCs w:val="28"/>
        </w:rPr>
        <w:tab/>
      </w:r>
      <w:r w:rsidR="005A0EB5">
        <w:rPr>
          <w:rFonts w:ascii="Times New Roman" w:hAnsi="Times New Roman" w:cs="Times New Roman"/>
          <w:b/>
          <w:sz w:val="28"/>
          <w:szCs w:val="28"/>
        </w:rPr>
        <w:tab/>
      </w:r>
      <w:r w:rsidR="005A0EB5">
        <w:rPr>
          <w:rFonts w:ascii="Times New Roman" w:hAnsi="Times New Roman" w:cs="Times New Roman"/>
          <w:b/>
          <w:sz w:val="28"/>
          <w:szCs w:val="28"/>
        </w:rPr>
        <w:tab/>
        <w:t xml:space="preserve">      </w:t>
      </w:r>
      <w:r>
        <w:rPr>
          <w:rFonts w:ascii="Times New Roman" w:hAnsi="Times New Roman" w:cs="Times New Roman"/>
          <w:b/>
          <w:sz w:val="28"/>
          <w:szCs w:val="28"/>
        </w:rPr>
        <w:t>FIRST RESPONDENT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14:paraId="1326DBD3" w14:textId="77777777" w:rsidR="006262EF" w:rsidRDefault="006262EF" w:rsidP="006262EF">
      <w:pPr>
        <w:spacing w:line="360" w:lineRule="auto"/>
        <w:jc w:val="both"/>
        <w:rPr>
          <w:rFonts w:ascii="Times New Roman" w:hAnsi="Times New Roman" w:cs="Times New Roman"/>
          <w:b/>
          <w:sz w:val="28"/>
          <w:szCs w:val="28"/>
        </w:rPr>
      </w:pPr>
    </w:p>
    <w:p w14:paraId="54CBEDCA" w14:textId="77777777" w:rsidR="005A0EB5" w:rsidRDefault="006262EF" w:rsidP="006262EF">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HEAD OF DEPARTMENT,</w:t>
      </w:r>
    </w:p>
    <w:p w14:paraId="2E6E4ACE" w14:textId="77777777" w:rsidR="005A0EB5" w:rsidRDefault="005A0EB5" w:rsidP="006262EF">
      <w:pPr>
        <w:spacing w:line="360" w:lineRule="auto"/>
        <w:jc w:val="both"/>
        <w:rPr>
          <w:rFonts w:ascii="Times New Roman" w:hAnsi="Times New Roman" w:cs="Times New Roman"/>
          <w:b/>
          <w:sz w:val="28"/>
          <w:szCs w:val="28"/>
        </w:rPr>
      </w:pPr>
      <w:r>
        <w:rPr>
          <w:rFonts w:ascii="Times New Roman" w:hAnsi="Times New Roman" w:cs="Times New Roman"/>
          <w:b/>
          <w:sz w:val="28"/>
          <w:szCs w:val="28"/>
        </w:rPr>
        <w:t>DEPARTMENT OF EDUCATION,</w:t>
      </w:r>
    </w:p>
    <w:p w14:paraId="5838944E" w14:textId="77777777" w:rsidR="006262EF" w:rsidRPr="00C75100" w:rsidRDefault="005A0EB5" w:rsidP="006262EF">
      <w:pPr>
        <w:spacing w:line="360" w:lineRule="auto"/>
        <w:jc w:val="both"/>
        <w:rPr>
          <w:rFonts w:ascii="Times New Roman" w:hAnsi="Times New Roman" w:cs="Times New Roman"/>
          <w:b/>
          <w:sz w:val="28"/>
          <w:szCs w:val="28"/>
        </w:rPr>
      </w:pPr>
      <w:r w:rsidRPr="00C75100">
        <w:rPr>
          <w:rFonts w:ascii="Times New Roman" w:hAnsi="Times New Roman" w:cs="Times New Roman"/>
          <w:b/>
          <w:sz w:val="28"/>
          <w:szCs w:val="28"/>
        </w:rPr>
        <w:t>EASTERN CAPE</w:t>
      </w:r>
      <w:r>
        <w:rPr>
          <w:rFonts w:ascii="Times New Roman" w:hAnsi="Times New Roman" w:cs="Times New Roman"/>
          <w:b/>
          <w:sz w:val="28"/>
          <w:szCs w:val="28"/>
        </w:rPr>
        <w:t xml:space="preserve"> PROVINCE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SECOND RESPONDENT</w:t>
      </w:r>
    </w:p>
    <w:p w14:paraId="0D9E5B84" w14:textId="77777777" w:rsidR="00EA1AAE" w:rsidRDefault="00EA1AAE" w:rsidP="00EA1AAE">
      <w:pPr>
        <w:spacing w:line="360" w:lineRule="auto"/>
        <w:jc w:val="both"/>
        <w:rPr>
          <w:rFonts w:ascii="Times New Roman" w:hAnsi="Times New Roman" w:cs="Times New Roman"/>
          <w:sz w:val="28"/>
          <w:szCs w:val="28"/>
        </w:rPr>
      </w:pPr>
    </w:p>
    <w:p w14:paraId="0F298F01"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485FC7BE" w14:textId="77777777" w:rsidR="00354A12" w:rsidRPr="003C36E9" w:rsidRDefault="00354A12" w:rsidP="00354A12">
      <w:pPr>
        <w:spacing w:line="240" w:lineRule="auto"/>
        <w:jc w:val="both"/>
        <w:rPr>
          <w:rFonts w:ascii="Times New Roman" w:hAnsi="Times New Roman" w:cs="Times New Roman"/>
          <w:sz w:val="28"/>
          <w:szCs w:val="28"/>
        </w:rPr>
      </w:pPr>
    </w:p>
    <w:p w14:paraId="1D7EAE93"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1FFBFC1F"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2103E603" w14:textId="77777777" w:rsidR="00354A12" w:rsidRPr="003C36E9" w:rsidRDefault="00354A12" w:rsidP="00354A12">
      <w:pPr>
        <w:spacing w:line="240" w:lineRule="auto"/>
        <w:jc w:val="both"/>
        <w:rPr>
          <w:rFonts w:ascii="Times New Roman" w:hAnsi="Times New Roman" w:cs="Times New Roman"/>
          <w:sz w:val="28"/>
          <w:szCs w:val="28"/>
        </w:rPr>
      </w:pPr>
    </w:p>
    <w:p w14:paraId="2D9BD623"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lastRenderedPageBreak/>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4E72B669" w14:textId="77777777" w:rsidR="00354A12" w:rsidRPr="00EA1AAE" w:rsidRDefault="00354A12" w:rsidP="00354A12">
      <w:pPr>
        <w:spacing w:line="360" w:lineRule="auto"/>
        <w:jc w:val="both"/>
        <w:rPr>
          <w:rFonts w:ascii="Times New Roman" w:hAnsi="Times New Roman" w:cs="Times New Roman"/>
          <w:b/>
          <w:sz w:val="28"/>
          <w:szCs w:val="28"/>
        </w:rPr>
      </w:pPr>
    </w:p>
    <w:p w14:paraId="21CCAEBE" w14:textId="77777777" w:rsidR="00EC13BD" w:rsidRDefault="00192F4A"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The </w:t>
      </w:r>
      <w:r w:rsidR="0042758D">
        <w:rPr>
          <w:rFonts w:ascii="Times New Roman" w:hAnsi="Times New Roman"/>
          <w:sz w:val="28"/>
          <w:szCs w:val="28"/>
        </w:rPr>
        <w:t xml:space="preserve">real </w:t>
      </w:r>
      <w:r>
        <w:rPr>
          <w:rFonts w:ascii="Times New Roman" w:hAnsi="Times New Roman"/>
          <w:sz w:val="28"/>
          <w:szCs w:val="28"/>
        </w:rPr>
        <w:t xml:space="preserve">issue for adjudication in this matter is whether the applicant has made out a case for </w:t>
      </w:r>
      <w:r w:rsidR="00A7207D">
        <w:rPr>
          <w:rFonts w:ascii="Times New Roman" w:hAnsi="Times New Roman"/>
          <w:sz w:val="28"/>
          <w:szCs w:val="28"/>
        </w:rPr>
        <w:t>relief in terms of section 78(2)</w:t>
      </w:r>
      <w:r w:rsidR="00A7207D" w:rsidRPr="00A7207D">
        <w:rPr>
          <w:rFonts w:ascii="Times New Roman" w:hAnsi="Times New Roman"/>
          <w:i/>
          <w:sz w:val="28"/>
          <w:szCs w:val="28"/>
        </w:rPr>
        <w:t>(d)</w:t>
      </w:r>
      <w:r w:rsidR="00A7207D">
        <w:rPr>
          <w:rFonts w:ascii="Times New Roman" w:hAnsi="Times New Roman"/>
          <w:sz w:val="28"/>
          <w:szCs w:val="28"/>
        </w:rPr>
        <w:t>(</w:t>
      </w:r>
      <w:proofErr w:type="spellStart"/>
      <w:r w:rsidR="00A7207D">
        <w:rPr>
          <w:rFonts w:ascii="Times New Roman" w:hAnsi="Times New Roman"/>
          <w:sz w:val="28"/>
          <w:szCs w:val="28"/>
        </w:rPr>
        <w:t>i</w:t>
      </w:r>
      <w:proofErr w:type="spellEnd"/>
      <w:r w:rsidR="00A7207D">
        <w:rPr>
          <w:rFonts w:ascii="Times New Roman" w:hAnsi="Times New Roman"/>
          <w:sz w:val="28"/>
          <w:szCs w:val="28"/>
        </w:rPr>
        <w:t xml:space="preserve">) </w:t>
      </w:r>
      <w:r w:rsidR="009B6717">
        <w:rPr>
          <w:rFonts w:ascii="Times New Roman" w:hAnsi="Times New Roman"/>
          <w:sz w:val="28"/>
          <w:szCs w:val="28"/>
        </w:rPr>
        <w:t xml:space="preserve">read with section 82 of </w:t>
      </w:r>
      <w:r>
        <w:rPr>
          <w:rFonts w:ascii="Times New Roman" w:hAnsi="Times New Roman"/>
          <w:sz w:val="28"/>
          <w:szCs w:val="28"/>
        </w:rPr>
        <w:t>the</w:t>
      </w:r>
      <w:r w:rsidR="009B6717" w:rsidRPr="009B6717">
        <w:rPr>
          <w:rFonts w:ascii="Times New Roman" w:hAnsi="Times New Roman"/>
          <w:sz w:val="28"/>
          <w:szCs w:val="28"/>
        </w:rPr>
        <w:t xml:space="preserve"> </w:t>
      </w:r>
      <w:r w:rsidR="009B6717" w:rsidRPr="005E3B28">
        <w:rPr>
          <w:rFonts w:ascii="Times New Roman" w:hAnsi="Times New Roman"/>
          <w:sz w:val="28"/>
          <w:szCs w:val="28"/>
        </w:rPr>
        <w:t>Promotion of Access to Information Act 2 of 2000</w:t>
      </w:r>
      <w:r w:rsidR="009B6717">
        <w:rPr>
          <w:rFonts w:ascii="Times New Roman" w:hAnsi="Times New Roman"/>
          <w:sz w:val="28"/>
          <w:szCs w:val="28"/>
        </w:rPr>
        <w:t xml:space="preserve"> (hereinafter </w:t>
      </w:r>
      <w:r w:rsidR="0082543B">
        <w:rPr>
          <w:rFonts w:ascii="Times New Roman" w:hAnsi="Times New Roman"/>
          <w:sz w:val="28"/>
          <w:szCs w:val="28"/>
        </w:rPr>
        <w:t>‘</w:t>
      </w:r>
      <w:r w:rsidR="009B6717">
        <w:rPr>
          <w:rFonts w:ascii="Times New Roman" w:hAnsi="Times New Roman"/>
          <w:sz w:val="28"/>
          <w:szCs w:val="28"/>
        </w:rPr>
        <w:t>PAIA</w:t>
      </w:r>
      <w:r w:rsidR="0082543B">
        <w:rPr>
          <w:rFonts w:ascii="Times New Roman" w:hAnsi="Times New Roman"/>
          <w:sz w:val="28"/>
          <w:szCs w:val="28"/>
        </w:rPr>
        <w:t>’</w:t>
      </w:r>
      <w:r w:rsidR="009B6717">
        <w:rPr>
          <w:rFonts w:ascii="Times New Roman" w:hAnsi="Times New Roman"/>
          <w:sz w:val="28"/>
          <w:szCs w:val="28"/>
        </w:rPr>
        <w:t xml:space="preserve"> or </w:t>
      </w:r>
      <w:r w:rsidR="0082543B">
        <w:rPr>
          <w:rFonts w:ascii="Times New Roman" w:hAnsi="Times New Roman"/>
          <w:sz w:val="28"/>
          <w:szCs w:val="28"/>
        </w:rPr>
        <w:t>‘</w:t>
      </w:r>
      <w:r w:rsidR="009B6717">
        <w:rPr>
          <w:rFonts w:ascii="Times New Roman" w:hAnsi="Times New Roman"/>
          <w:sz w:val="28"/>
          <w:szCs w:val="28"/>
        </w:rPr>
        <w:t>the Act</w:t>
      </w:r>
      <w:r w:rsidR="0082543B">
        <w:rPr>
          <w:rFonts w:ascii="Times New Roman" w:hAnsi="Times New Roman"/>
          <w:sz w:val="28"/>
          <w:szCs w:val="28"/>
        </w:rPr>
        <w:t>’</w:t>
      </w:r>
      <w:r w:rsidR="009B6717">
        <w:rPr>
          <w:rFonts w:ascii="Times New Roman" w:hAnsi="Times New Roman"/>
          <w:sz w:val="28"/>
          <w:szCs w:val="28"/>
        </w:rPr>
        <w:t>) for information held by the respondents</w:t>
      </w:r>
      <w:r w:rsidR="00D21D64">
        <w:rPr>
          <w:rFonts w:ascii="Times New Roman" w:hAnsi="Times New Roman"/>
          <w:sz w:val="28"/>
          <w:szCs w:val="28"/>
        </w:rPr>
        <w:t xml:space="preserve"> pertaining to the documents set out in paragraph 1 of his notice of motion.</w:t>
      </w:r>
    </w:p>
    <w:p w14:paraId="44586546" w14:textId="77777777" w:rsidR="00EC13BD" w:rsidRDefault="00593394"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application is opposed, primarily on technical grounds</w:t>
      </w:r>
      <w:r w:rsidR="000D465B">
        <w:rPr>
          <w:rFonts w:ascii="Times New Roman" w:hAnsi="Times New Roman"/>
          <w:sz w:val="28"/>
          <w:szCs w:val="28"/>
        </w:rPr>
        <w:t xml:space="preserve"> that can only be described as </w:t>
      </w:r>
      <w:r w:rsidR="002354F4">
        <w:rPr>
          <w:rFonts w:ascii="Times New Roman" w:hAnsi="Times New Roman"/>
          <w:sz w:val="28"/>
          <w:szCs w:val="28"/>
        </w:rPr>
        <w:t xml:space="preserve">overbearing </w:t>
      </w:r>
      <w:r w:rsidR="000D465B">
        <w:rPr>
          <w:rFonts w:ascii="Times New Roman" w:hAnsi="Times New Roman"/>
          <w:sz w:val="28"/>
          <w:szCs w:val="28"/>
        </w:rPr>
        <w:t xml:space="preserve">in its remoteness from </w:t>
      </w:r>
      <w:r w:rsidR="0011015C">
        <w:rPr>
          <w:rFonts w:ascii="Times New Roman" w:hAnsi="Times New Roman"/>
          <w:sz w:val="28"/>
          <w:szCs w:val="28"/>
        </w:rPr>
        <w:t xml:space="preserve">the </w:t>
      </w:r>
      <w:r w:rsidR="00983640">
        <w:rPr>
          <w:rFonts w:ascii="Times New Roman" w:hAnsi="Times New Roman"/>
          <w:sz w:val="28"/>
          <w:szCs w:val="28"/>
        </w:rPr>
        <w:t xml:space="preserve">notions of accountability, </w:t>
      </w:r>
      <w:r w:rsidR="000D465B">
        <w:rPr>
          <w:rFonts w:ascii="Times New Roman" w:hAnsi="Times New Roman"/>
          <w:sz w:val="28"/>
          <w:szCs w:val="28"/>
        </w:rPr>
        <w:t>fairness and transparency</w:t>
      </w:r>
      <w:r w:rsidR="0011015C">
        <w:rPr>
          <w:rFonts w:ascii="Times New Roman" w:hAnsi="Times New Roman"/>
          <w:sz w:val="28"/>
          <w:szCs w:val="28"/>
        </w:rPr>
        <w:t xml:space="preserve"> envisioned by the </w:t>
      </w:r>
      <w:r w:rsidR="007B2EA1">
        <w:rPr>
          <w:rFonts w:ascii="Times New Roman" w:hAnsi="Times New Roman"/>
          <w:sz w:val="28"/>
          <w:szCs w:val="28"/>
        </w:rPr>
        <w:t xml:space="preserve">preamble to the </w:t>
      </w:r>
      <w:r w:rsidR="0011015C">
        <w:rPr>
          <w:rFonts w:ascii="Times New Roman" w:hAnsi="Times New Roman"/>
          <w:sz w:val="28"/>
          <w:szCs w:val="28"/>
        </w:rPr>
        <w:t>Act</w:t>
      </w:r>
      <w:r w:rsidR="007B2EA1">
        <w:rPr>
          <w:rFonts w:ascii="Times New Roman" w:hAnsi="Times New Roman"/>
          <w:sz w:val="28"/>
          <w:szCs w:val="28"/>
        </w:rPr>
        <w:t>.</w:t>
      </w:r>
    </w:p>
    <w:p w14:paraId="0E31F564" w14:textId="77777777" w:rsidR="00EC13BD" w:rsidRDefault="0042758D"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 do not intend dealing with the</w:t>
      </w:r>
      <w:r w:rsidR="00506DE1">
        <w:rPr>
          <w:rFonts w:ascii="Times New Roman" w:hAnsi="Times New Roman"/>
          <w:sz w:val="28"/>
          <w:szCs w:val="28"/>
        </w:rPr>
        <w:t xml:space="preserve"> grounds of opposition raised </w:t>
      </w:r>
      <w:r w:rsidR="00506DE1" w:rsidRPr="00506DE1">
        <w:rPr>
          <w:rFonts w:ascii="Times New Roman" w:hAnsi="Times New Roman"/>
          <w:i/>
          <w:sz w:val="28"/>
          <w:szCs w:val="28"/>
        </w:rPr>
        <w:t xml:space="preserve">in </w:t>
      </w:r>
      <w:proofErr w:type="spellStart"/>
      <w:r w:rsidR="00506DE1" w:rsidRPr="00506DE1">
        <w:rPr>
          <w:rFonts w:ascii="Times New Roman" w:hAnsi="Times New Roman"/>
          <w:i/>
          <w:sz w:val="28"/>
          <w:szCs w:val="28"/>
        </w:rPr>
        <w:t>limine</w:t>
      </w:r>
      <w:proofErr w:type="spellEnd"/>
      <w:r>
        <w:rPr>
          <w:rFonts w:ascii="Times New Roman" w:hAnsi="Times New Roman"/>
          <w:sz w:val="28"/>
          <w:szCs w:val="28"/>
        </w:rPr>
        <w:t xml:space="preserve"> as I consider this to be</w:t>
      </w:r>
      <w:r w:rsidR="00942264" w:rsidRPr="005E3B28">
        <w:rPr>
          <w:rFonts w:ascii="Times New Roman" w:hAnsi="Times New Roman"/>
          <w:sz w:val="28"/>
          <w:szCs w:val="28"/>
        </w:rPr>
        <w:t xml:space="preserve"> an instance in which </w:t>
      </w:r>
      <w:r w:rsidR="00506DE1">
        <w:rPr>
          <w:rFonts w:ascii="Times New Roman" w:hAnsi="Times New Roman"/>
          <w:sz w:val="28"/>
          <w:szCs w:val="28"/>
        </w:rPr>
        <w:t xml:space="preserve">it is eminently sensible for </w:t>
      </w:r>
      <w:r w:rsidR="00942264" w:rsidRPr="005E3B28">
        <w:rPr>
          <w:rFonts w:ascii="Times New Roman" w:hAnsi="Times New Roman"/>
          <w:sz w:val="28"/>
          <w:szCs w:val="28"/>
        </w:rPr>
        <w:t xml:space="preserve">this Court </w:t>
      </w:r>
      <w:r w:rsidR="00506DE1">
        <w:rPr>
          <w:rFonts w:ascii="Times New Roman" w:hAnsi="Times New Roman"/>
          <w:sz w:val="28"/>
          <w:szCs w:val="28"/>
        </w:rPr>
        <w:t xml:space="preserve">to </w:t>
      </w:r>
      <w:r w:rsidR="00942264" w:rsidRPr="005E3B28">
        <w:rPr>
          <w:rFonts w:ascii="Times New Roman" w:hAnsi="Times New Roman"/>
          <w:sz w:val="28"/>
          <w:szCs w:val="28"/>
        </w:rPr>
        <w:t>exercise its inherent powers to curtail what would otherwise be a</w:t>
      </w:r>
      <w:r w:rsidR="00FE735A">
        <w:rPr>
          <w:rFonts w:ascii="Times New Roman" w:hAnsi="Times New Roman"/>
          <w:sz w:val="28"/>
          <w:szCs w:val="28"/>
        </w:rPr>
        <w:t xml:space="preserve"> </w:t>
      </w:r>
      <w:r w:rsidR="00942264" w:rsidRPr="005E3B28">
        <w:rPr>
          <w:rFonts w:ascii="Times New Roman" w:hAnsi="Times New Roman"/>
          <w:sz w:val="28"/>
          <w:szCs w:val="28"/>
        </w:rPr>
        <w:t xml:space="preserve">superfluous process </w:t>
      </w:r>
      <w:r w:rsidR="002461BC" w:rsidRPr="005E3B28">
        <w:rPr>
          <w:rFonts w:ascii="Times New Roman" w:hAnsi="Times New Roman"/>
          <w:sz w:val="28"/>
          <w:szCs w:val="28"/>
        </w:rPr>
        <w:t xml:space="preserve">intended to </w:t>
      </w:r>
      <w:r w:rsidR="00942264" w:rsidRPr="005E3B28">
        <w:rPr>
          <w:rFonts w:ascii="Times New Roman" w:hAnsi="Times New Roman"/>
          <w:sz w:val="28"/>
          <w:szCs w:val="28"/>
        </w:rPr>
        <w:t xml:space="preserve">divert attention from the </w:t>
      </w:r>
      <w:r>
        <w:rPr>
          <w:rFonts w:ascii="Times New Roman" w:hAnsi="Times New Roman"/>
          <w:sz w:val="28"/>
          <w:szCs w:val="28"/>
        </w:rPr>
        <w:t xml:space="preserve">main </w:t>
      </w:r>
      <w:r w:rsidR="00942264" w:rsidRPr="005E3B28">
        <w:rPr>
          <w:rFonts w:ascii="Times New Roman" w:hAnsi="Times New Roman"/>
          <w:sz w:val="28"/>
          <w:szCs w:val="28"/>
        </w:rPr>
        <w:t>issue</w:t>
      </w:r>
      <w:r>
        <w:rPr>
          <w:rFonts w:ascii="Times New Roman" w:hAnsi="Times New Roman"/>
          <w:sz w:val="28"/>
          <w:szCs w:val="28"/>
        </w:rPr>
        <w:t xml:space="preserve">. </w:t>
      </w:r>
      <w:r w:rsidR="00382574" w:rsidRPr="005E3B28">
        <w:rPr>
          <w:rFonts w:ascii="Times New Roman" w:hAnsi="Times New Roman"/>
          <w:sz w:val="28"/>
          <w:szCs w:val="28"/>
        </w:rPr>
        <w:t>A court is entitled to base its judgment on the substantial issue</w:t>
      </w:r>
      <w:r w:rsidR="00FE735A">
        <w:rPr>
          <w:rFonts w:ascii="Times New Roman" w:hAnsi="Times New Roman"/>
          <w:sz w:val="28"/>
          <w:szCs w:val="28"/>
        </w:rPr>
        <w:t>/</w:t>
      </w:r>
      <w:r w:rsidR="00382574" w:rsidRPr="005E3B28">
        <w:rPr>
          <w:rFonts w:ascii="Times New Roman" w:hAnsi="Times New Roman"/>
          <w:sz w:val="28"/>
          <w:szCs w:val="28"/>
        </w:rPr>
        <w:t xml:space="preserve">s </w:t>
      </w:r>
      <w:r w:rsidR="007E21CB" w:rsidRPr="005E3B28">
        <w:rPr>
          <w:rFonts w:ascii="Times New Roman" w:hAnsi="Times New Roman"/>
          <w:sz w:val="28"/>
          <w:szCs w:val="28"/>
        </w:rPr>
        <w:t xml:space="preserve">it has identified for determination </w:t>
      </w:r>
      <w:r w:rsidR="00382574" w:rsidRPr="005E3B28">
        <w:rPr>
          <w:rFonts w:ascii="Times New Roman" w:hAnsi="Times New Roman"/>
          <w:sz w:val="28"/>
          <w:szCs w:val="28"/>
        </w:rPr>
        <w:t>flowing fairly from the material before it</w:t>
      </w:r>
      <w:r w:rsidR="007E21CB" w:rsidRPr="005E3B28">
        <w:rPr>
          <w:rFonts w:ascii="Times New Roman" w:hAnsi="Times New Roman"/>
          <w:sz w:val="28"/>
          <w:szCs w:val="28"/>
        </w:rPr>
        <w:t>.</w:t>
      </w:r>
      <w:r w:rsidR="00382574">
        <w:rPr>
          <w:rStyle w:val="FootnoteReference"/>
          <w:rFonts w:ascii="Times New Roman" w:hAnsi="Times New Roman"/>
          <w:sz w:val="28"/>
          <w:szCs w:val="28"/>
        </w:rPr>
        <w:footnoteReference w:id="1"/>
      </w:r>
    </w:p>
    <w:p w14:paraId="2D9FB154" w14:textId="77777777" w:rsidR="007B2EA1" w:rsidRPr="007B2EA1" w:rsidRDefault="006E408D" w:rsidP="00F208A7">
      <w:pPr>
        <w:pStyle w:val="LegalList1"/>
        <w:numPr>
          <w:ilvl w:val="0"/>
          <w:numId w:val="2"/>
        </w:numPr>
        <w:tabs>
          <w:tab w:val="clear" w:pos="567"/>
        </w:tabs>
        <w:spacing w:line="360" w:lineRule="auto"/>
        <w:ind w:left="0" w:firstLine="0"/>
        <w:rPr>
          <w:rFonts w:ascii="Times New Roman" w:hAnsi="Times New Roman"/>
        </w:rPr>
      </w:pPr>
      <w:r>
        <w:rPr>
          <w:rFonts w:ascii="Times New Roman" w:hAnsi="Times New Roman"/>
          <w:sz w:val="28"/>
          <w:szCs w:val="28"/>
        </w:rPr>
        <w:t>In the realm of the Act a</w:t>
      </w:r>
      <w:r w:rsidR="00EA065A" w:rsidRPr="005E3B28">
        <w:rPr>
          <w:rFonts w:ascii="Times New Roman" w:hAnsi="Times New Roman"/>
          <w:sz w:val="28"/>
          <w:szCs w:val="28"/>
        </w:rPr>
        <w:t xml:space="preserve"> court should not shut its eyes to what may be a patent injustice and a deprivation of substantive rights</w:t>
      </w:r>
      <w:r w:rsidR="00EE32E5">
        <w:rPr>
          <w:rFonts w:ascii="Times New Roman" w:hAnsi="Times New Roman"/>
          <w:sz w:val="28"/>
          <w:szCs w:val="28"/>
        </w:rPr>
        <w:t xml:space="preserve"> where public official</w:t>
      </w:r>
      <w:r w:rsidR="00FE735A">
        <w:rPr>
          <w:rFonts w:ascii="Times New Roman" w:hAnsi="Times New Roman"/>
          <w:sz w:val="28"/>
          <w:szCs w:val="28"/>
        </w:rPr>
        <w:t>s</w:t>
      </w:r>
      <w:r w:rsidR="00EA065A" w:rsidRPr="005E3B28">
        <w:rPr>
          <w:rFonts w:ascii="Times New Roman" w:hAnsi="Times New Roman"/>
          <w:sz w:val="28"/>
          <w:szCs w:val="28"/>
        </w:rPr>
        <w:t xml:space="preserve">, for tactical reasons, raise </w:t>
      </w:r>
      <w:r w:rsidR="00EA065A">
        <w:rPr>
          <w:rFonts w:ascii="Times New Roman" w:hAnsi="Times New Roman"/>
          <w:sz w:val="28"/>
          <w:szCs w:val="28"/>
        </w:rPr>
        <w:t xml:space="preserve">technical points </w:t>
      </w:r>
      <w:r w:rsidR="00EA065A" w:rsidRPr="005E3B28">
        <w:rPr>
          <w:rFonts w:ascii="Times New Roman" w:hAnsi="Times New Roman"/>
          <w:sz w:val="28"/>
          <w:szCs w:val="28"/>
        </w:rPr>
        <w:t xml:space="preserve">and, </w:t>
      </w:r>
      <w:r w:rsidR="00EA065A">
        <w:rPr>
          <w:rFonts w:ascii="Times New Roman" w:hAnsi="Times New Roman"/>
          <w:sz w:val="28"/>
          <w:szCs w:val="28"/>
        </w:rPr>
        <w:t xml:space="preserve">in </w:t>
      </w:r>
      <w:r w:rsidR="00EA065A" w:rsidRPr="005E3B28">
        <w:rPr>
          <w:rFonts w:ascii="Times New Roman" w:hAnsi="Times New Roman"/>
          <w:sz w:val="28"/>
          <w:szCs w:val="28"/>
        </w:rPr>
        <w:t>so doing, attempt to avoid addressing matters of substance.</w:t>
      </w:r>
    </w:p>
    <w:p w14:paraId="6262BF9A" w14:textId="77777777" w:rsidR="00EE32E5" w:rsidRPr="003B7AF2" w:rsidRDefault="00EA065A" w:rsidP="00F208A7">
      <w:pPr>
        <w:pStyle w:val="LegalList1"/>
        <w:numPr>
          <w:ilvl w:val="0"/>
          <w:numId w:val="2"/>
        </w:numPr>
        <w:tabs>
          <w:tab w:val="clear" w:pos="567"/>
        </w:tabs>
        <w:spacing w:line="360" w:lineRule="auto"/>
        <w:ind w:left="0" w:firstLine="0"/>
        <w:rPr>
          <w:rFonts w:ascii="Times New Roman" w:hAnsi="Times New Roman"/>
        </w:rPr>
      </w:pPr>
      <w:r w:rsidRPr="005E3B28">
        <w:rPr>
          <w:rFonts w:ascii="Times New Roman" w:hAnsi="Times New Roman"/>
          <w:sz w:val="28"/>
          <w:szCs w:val="28"/>
        </w:rPr>
        <w:t>Litigants such as the respondents have a constitutional and a legal duty to litigate responsibly and honourably.</w:t>
      </w:r>
      <w:r w:rsidR="007B2EA1">
        <w:rPr>
          <w:rFonts w:ascii="Times New Roman" w:hAnsi="Times New Roman"/>
          <w:sz w:val="28"/>
          <w:szCs w:val="28"/>
        </w:rPr>
        <w:t xml:space="preserve"> </w:t>
      </w:r>
      <w:r w:rsidR="00890C96">
        <w:rPr>
          <w:rFonts w:ascii="Times New Roman" w:hAnsi="Times New Roman"/>
          <w:sz w:val="28"/>
          <w:szCs w:val="28"/>
        </w:rPr>
        <w:t xml:space="preserve">They are agents of the Constitution and on </w:t>
      </w:r>
      <w:r w:rsidR="00890C96">
        <w:rPr>
          <w:rFonts w:ascii="Times New Roman" w:hAnsi="Times New Roman"/>
          <w:sz w:val="28"/>
          <w:szCs w:val="28"/>
        </w:rPr>
        <w:lastRenderedPageBreak/>
        <w:t>whom there is a higher duty to respect the law, to fulfil procedural requirements and tread</w:t>
      </w:r>
      <w:r w:rsidR="00F208A7">
        <w:rPr>
          <w:rFonts w:ascii="Times New Roman" w:hAnsi="Times New Roman"/>
          <w:sz w:val="28"/>
          <w:szCs w:val="28"/>
        </w:rPr>
        <w:t xml:space="preserve"> respectfully when dealing with rights</w:t>
      </w:r>
      <w:r w:rsidR="00F208A7">
        <w:rPr>
          <w:rStyle w:val="FootnoteReference"/>
          <w:rFonts w:ascii="Times New Roman" w:hAnsi="Times New Roman"/>
          <w:sz w:val="28"/>
          <w:szCs w:val="28"/>
        </w:rPr>
        <w:footnoteReference w:id="2"/>
      </w:r>
      <w:r w:rsidR="00F208A7">
        <w:rPr>
          <w:rFonts w:ascii="Times New Roman" w:hAnsi="Times New Roman"/>
          <w:sz w:val="28"/>
          <w:szCs w:val="28"/>
        </w:rPr>
        <w:t xml:space="preserve">. </w:t>
      </w:r>
    </w:p>
    <w:p w14:paraId="015D59DB" w14:textId="77777777" w:rsidR="00870DFA" w:rsidRDefault="00E423C6"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A reading of t</w:t>
      </w:r>
      <w:r w:rsidR="0090385D" w:rsidRPr="005E3B28">
        <w:rPr>
          <w:rFonts w:ascii="Times New Roman" w:hAnsi="Times New Roman"/>
          <w:sz w:val="28"/>
          <w:szCs w:val="28"/>
        </w:rPr>
        <w:t xml:space="preserve">he </w:t>
      </w:r>
      <w:r w:rsidR="00262D61">
        <w:rPr>
          <w:rFonts w:ascii="Times New Roman" w:hAnsi="Times New Roman"/>
          <w:sz w:val="28"/>
          <w:szCs w:val="28"/>
        </w:rPr>
        <w:t>PAIA</w:t>
      </w:r>
      <w:r w:rsidR="00EC13BD">
        <w:rPr>
          <w:rFonts w:ascii="Times New Roman" w:hAnsi="Times New Roman"/>
          <w:sz w:val="28"/>
          <w:szCs w:val="28"/>
        </w:rPr>
        <w:t xml:space="preserve"> </w:t>
      </w:r>
      <w:r>
        <w:rPr>
          <w:rFonts w:ascii="Times New Roman" w:hAnsi="Times New Roman"/>
          <w:sz w:val="28"/>
          <w:szCs w:val="28"/>
        </w:rPr>
        <w:t xml:space="preserve">and its preamble makes it plain that the Act </w:t>
      </w:r>
      <w:r w:rsidR="00701947">
        <w:rPr>
          <w:rFonts w:ascii="Times New Roman" w:hAnsi="Times New Roman"/>
          <w:sz w:val="28"/>
          <w:szCs w:val="28"/>
        </w:rPr>
        <w:t xml:space="preserve">is </w:t>
      </w:r>
      <w:r w:rsidR="0090385D" w:rsidRPr="005E3B28">
        <w:rPr>
          <w:rFonts w:ascii="Times New Roman" w:hAnsi="Times New Roman"/>
          <w:sz w:val="28"/>
          <w:szCs w:val="28"/>
        </w:rPr>
        <w:t xml:space="preserve">an instrument designed to give effect to the right of access to information held by the State or by another person </w:t>
      </w:r>
      <w:r w:rsidR="00A25257">
        <w:rPr>
          <w:rFonts w:ascii="Times New Roman" w:hAnsi="Times New Roman"/>
          <w:sz w:val="28"/>
          <w:szCs w:val="28"/>
        </w:rPr>
        <w:t xml:space="preserve">where information </w:t>
      </w:r>
      <w:r w:rsidR="0090385D" w:rsidRPr="005E3B28">
        <w:rPr>
          <w:rFonts w:ascii="Times New Roman" w:hAnsi="Times New Roman"/>
          <w:sz w:val="28"/>
          <w:szCs w:val="28"/>
        </w:rPr>
        <w:t>is required for the exercise or protection of rights.</w:t>
      </w:r>
      <w:r w:rsidR="005E3B28">
        <w:rPr>
          <w:rFonts w:ascii="Times New Roman" w:hAnsi="Times New Roman"/>
          <w:sz w:val="28"/>
          <w:szCs w:val="28"/>
        </w:rPr>
        <w:t xml:space="preserve"> </w:t>
      </w:r>
      <w:r w:rsidR="004A2B21">
        <w:rPr>
          <w:rFonts w:ascii="Times New Roman" w:hAnsi="Times New Roman"/>
          <w:sz w:val="28"/>
          <w:szCs w:val="28"/>
        </w:rPr>
        <w:t xml:space="preserve">The right of access to information </w:t>
      </w:r>
      <w:r w:rsidR="00A25257">
        <w:rPr>
          <w:rFonts w:ascii="Times New Roman" w:hAnsi="Times New Roman"/>
          <w:sz w:val="28"/>
          <w:szCs w:val="28"/>
        </w:rPr>
        <w:t xml:space="preserve">unveils </w:t>
      </w:r>
      <w:r w:rsidR="00887516">
        <w:rPr>
          <w:rFonts w:ascii="Times New Roman" w:hAnsi="Times New Roman"/>
          <w:sz w:val="28"/>
          <w:szCs w:val="28"/>
        </w:rPr>
        <w:t xml:space="preserve">the ‘secretive and unresponsive culture’ of the pre-democratic era </w:t>
      </w:r>
      <w:r w:rsidR="00F44A4E">
        <w:rPr>
          <w:rFonts w:ascii="Times New Roman" w:hAnsi="Times New Roman"/>
          <w:sz w:val="28"/>
          <w:szCs w:val="28"/>
        </w:rPr>
        <w:t xml:space="preserve">and </w:t>
      </w:r>
      <w:r w:rsidR="004A2B21">
        <w:rPr>
          <w:rFonts w:ascii="Times New Roman" w:hAnsi="Times New Roman"/>
          <w:sz w:val="28"/>
          <w:szCs w:val="28"/>
        </w:rPr>
        <w:t xml:space="preserve">obliges the </w:t>
      </w:r>
      <w:r w:rsidR="000C1E35">
        <w:rPr>
          <w:rFonts w:ascii="Times New Roman" w:hAnsi="Times New Roman"/>
          <w:sz w:val="28"/>
          <w:szCs w:val="28"/>
        </w:rPr>
        <w:t>S</w:t>
      </w:r>
      <w:r w:rsidR="004A2B21">
        <w:rPr>
          <w:rFonts w:ascii="Times New Roman" w:hAnsi="Times New Roman"/>
          <w:sz w:val="28"/>
          <w:szCs w:val="28"/>
        </w:rPr>
        <w:t xml:space="preserve">tate and private corporations to act in an accountable and transparent manner </w:t>
      </w:r>
      <w:r w:rsidR="00F44A4E">
        <w:rPr>
          <w:rFonts w:ascii="Times New Roman" w:hAnsi="Times New Roman"/>
          <w:sz w:val="28"/>
          <w:szCs w:val="28"/>
        </w:rPr>
        <w:t xml:space="preserve">that fosters a culture of justification </w:t>
      </w:r>
      <w:r w:rsidR="000C1E35">
        <w:rPr>
          <w:rFonts w:ascii="Times New Roman" w:hAnsi="Times New Roman"/>
          <w:sz w:val="28"/>
          <w:szCs w:val="28"/>
        </w:rPr>
        <w:t>and promotes the enhancement of r</w:t>
      </w:r>
      <w:r w:rsidR="00E46209">
        <w:rPr>
          <w:rFonts w:ascii="Times New Roman" w:hAnsi="Times New Roman"/>
          <w:sz w:val="28"/>
          <w:szCs w:val="28"/>
        </w:rPr>
        <w:t>elations between people and those occupying positions of authority and power.</w:t>
      </w:r>
    </w:p>
    <w:p w14:paraId="754CD10A" w14:textId="77777777" w:rsidR="00356809" w:rsidRDefault="000235E3"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applicant is a school principal attached to the post establishment</w:t>
      </w:r>
      <w:r w:rsidR="0041273B">
        <w:rPr>
          <w:rFonts w:ascii="Times New Roman" w:hAnsi="Times New Roman"/>
          <w:sz w:val="28"/>
          <w:szCs w:val="28"/>
        </w:rPr>
        <w:t xml:space="preserve"> of the </w:t>
      </w:r>
      <w:proofErr w:type="spellStart"/>
      <w:r w:rsidR="0041273B">
        <w:rPr>
          <w:rFonts w:ascii="Times New Roman" w:hAnsi="Times New Roman"/>
          <w:sz w:val="28"/>
          <w:szCs w:val="28"/>
        </w:rPr>
        <w:t>Inxu</w:t>
      </w:r>
      <w:proofErr w:type="spellEnd"/>
      <w:r w:rsidR="0041273B">
        <w:rPr>
          <w:rFonts w:ascii="Times New Roman" w:hAnsi="Times New Roman"/>
          <w:sz w:val="28"/>
          <w:szCs w:val="28"/>
        </w:rPr>
        <w:t xml:space="preserve"> Prima</w:t>
      </w:r>
      <w:r w:rsidR="00D06E66">
        <w:rPr>
          <w:rFonts w:ascii="Times New Roman" w:hAnsi="Times New Roman"/>
          <w:sz w:val="28"/>
          <w:szCs w:val="28"/>
        </w:rPr>
        <w:t>ry School in Maclear. He avers</w:t>
      </w:r>
      <w:r w:rsidR="0041273B">
        <w:rPr>
          <w:rFonts w:ascii="Times New Roman" w:hAnsi="Times New Roman"/>
          <w:sz w:val="28"/>
          <w:szCs w:val="28"/>
        </w:rPr>
        <w:t xml:space="preserve"> that during various periods </w:t>
      </w:r>
      <w:r w:rsidR="00407B07">
        <w:rPr>
          <w:rFonts w:ascii="Times New Roman" w:hAnsi="Times New Roman"/>
          <w:sz w:val="28"/>
          <w:szCs w:val="28"/>
        </w:rPr>
        <w:t>in 2021 and 2022 he exhausted his sick leave and resorted to applying for temporary incapacity leave in terms of the Policy for Incapacity Leave and Ill-health</w:t>
      </w:r>
      <w:r w:rsidR="001149E5">
        <w:rPr>
          <w:rFonts w:ascii="Times New Roman" w:hAnsi="Times New Roman"/>
          <w:sz w:val="28"/>
          <w:szCs w:val="28"/>
        </w:rPr>
        <w:t xml:space="preserve"> Retirement which is applicable to the public service</w:t>
      </w:r>
      <w:r w:rsidR="00E760EF">
        <w:rPr>
          <w:rFonts w:ascii="Times New Roman" w:hAnsi="Times New Roman"/>
          <w:sz w:val="28"/>
          <w:szCs w:val="28"/>
        </w:rPr>
        <w:t>. During September 2022</w:t>
      </w:r>
      <w:r w:rsidR="00D06E66">
        <w:rPr>
          <w:rFonts w:ascii="Times New Roman" w:hAnsi="Times New Roman"/>
          <w:sz w:val="28"/>
          <w:szCs w:val="28"/>
        </w:rPr>
        <w:t xml:space="preserve"> and</w:t>
      </w:r>
      <w:r w:rsidR="00E760EF">
        <w:rPr>
          <w:rFonts w:ascii="Times New Roman" w:hAnsi="Times New Roman"/>
          <w:sz w:val="28"/>
          <w:szCs w:val="28"/>
        </w:rPr>
        <w:t xml:space="preserve"> </w:t>
      </w:r>
      <w:r w:rsidR="00D06E66">
        <w:rPr>
          <w:rFonts w:ascii="Times New Roman" w:hAnsi="Times New Roman"/>
          <w:sz w:val="28"/>
          <w:szCs w:val="28"/>
        </w:rPr>
        <w:t xml:space="preserve">without mention being made of the outcome of his applications for temporary incapacity leave, </w:t>
      </w:r>
      <w:r w:rsidR="00E760EF">
        <w:rPr>
          <w:rFonts w:ascii="Times New Roman" w:hAnsi="Times New Roman"/>
          <w:sz w:val="28"/>
          <w:szCs w:val="28"/>
        </w:rPr>
        <w:t>he received written communication from the district director of the Department of Education in which he was informed that</w:t>
      </w:r>
      <w:r w:rsidR="00450D1F">
        <w:rPr>
          <w:rFonts w:ascii="Times New Roman" w:hAnsi="Times New Roman"/>
          <w:sz w:val="28"/>
          <w:szCs w:val="28"/>
        </w:rPr>
        <w:t xml:space="preserve"> leave without pay had been implemented.</w:t>
      </w:r>
    </w:p>
    <w:p w14:paraId="1EFC6C77" w14:textId="77777777" w:rsidR="00AB10D2" w:rsidRDefault="0049152B"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applicant avers that he is currently booked off sick. This follows a series of personal setbacks involving his mental health</w:t>
      </w:r>
      <w:r w:rsidR="00C974B8">
        <w:rPr>
          <w:rFonts w:ascii="Times New Roman" w:hAnsi="Times New Roman"/>
          <w:sz w:val="28"/>
          <w:szCs w:val="28"/>
        </w:rPr>
        <w:t xml:space="preserve"> and a physical injury to his leg and spinal column that necessitated surgery. In seeking clarity on the status</w:t>
      </w:r>
      <w:r w:rsidR="00C36985">
        <w:rPr>
          <w:rFonts w:ascii="Times New Roman" w:hAnsi="Times New Roman"/>
          <w:sz w:val="28"/>
          <w:szCs w:val="28"/>
        </w:rPr>
        <w:t> </w:t>
      </w:r>
      <w:r w:rsidR="00C974B8">
        <w:rPr>
          <w:rFonts w:ascii="Times New Roman" w:hAnsi="Times New Roman"/>
          <w:sz w:val="28"/>
          <w:szCs w:val="28"/>
        </w:rPr>
        <w:t xml:space="preserve">of his </w:t>
      </w:r>
      <w:r w:rsidR="00701947">
        <w:rPr>
          <w:rFonts w:ascii="Times New Roman" w:hAnsi="Times New Roman"/>
          <w:sz w:val="28"/>
          <w:szCs w:val="28"/>
        </w:rPr>
        <w:t xml:space="preserve">application/s for </w:t>
      </w:r>
      <w:r w:rsidR="00C974B8">
        <w:rPr>
          <w:rFonts w:ascii="Times New Roman" w:hAnsi="Times New Roman"/>
          <w:sz w:val="28"/>
          <w:szCs w:val="28"/>
        </w:rPr>
        <w:t>temporary incapacity leave</w:t>
      </w:r>
      <w:r w:rsidR="00C73CD7">
        <w:rPr>
          <w:rFonts w:ascii="Times New Roman" w:hAnsi="Times New Roman"/>
          <w:sz w:val="28"/>
          <w:szCs w:val="28"/>
        </w:rPr>
        <w:t xml:space="preserve"> he </w:t>
      </w:r>
      <w:r w:rsidR="00A17A83">
        <w:rPr>
          <w:rFonts w:ascii="Times New Roman" w:hAnsi="Times New Roman"/>
          <w:sz w:val="28"/>
          <w:szCs w:val="28"/>
        </w:rPr>
        <w:t>attended meetings on 6 April 2022 and 19 April 2022 with certain</w:t>
      </w:r>
      <w:r w:rsidR="00905E9C">
        <w:rPr>
          <w:rFonts w:ascii="Times New Roman" w:hAnsi="Times New Roman"/>
          <w:sz w:val="28"/>
          <w:szCs w:val="28"/>
        </w:rPr>
        <w:t xml:space="preserve"> departmental officials. O</w:t>
      </w:r>
      <w:r w:rsidR="00C73CD7">
        <w:rPr>
          <w:rFonts w:ascii="Times New Roman" w:hAnsi="Times New Roman"/>
          <w:sz w:val="28"/>
          <w:szCs w:val="28"/>
        </w:rPr>
        <w:t xml:space="preserve">ne </w:t>
      </w:r>
      <w:r w:rsidR="00905E9C">
        <w:rPr>
          <w:rFonts w:ascii="Times New Roman" w:hAnsi="Times New Roman"/>
          <w:sz w:val="28"/>
          <w:szCs w:val="28"/>
        </w:rPr>
        <w:t>official threatened to terminate his services</w:t>
      </w:r>
      <w:r w:rsidR="00701947">
        <w:rPr>
          <w:rFonts w:ascii="Times New Roman" w:hAnsi="Times New Roman"/>
          <w:sz w:val="28"/>
          <w:szCs w:val="28"/>
        </w:rPr>
        <w:t>. A</w:t>
      </w:r>
      <w:r w:rsidR="00905E9C">
        <w:rPr>
          <w:rFonts w:ascii="Times New Roman" w:hAnsi="Times New Roman"/>
          <w:sz w:val="28"/>
          <w:szCs w:val="28"/>
        </w:rPr>
        <w:t>nother official i</w:t>
      </w:r>
      <w:r w:rsidR="00C73CD7">
        <w:rPr>
          <w:rFonts w:ascii="Times New Roman" w:hAnsi="Times New Roman"/>
          <w:sz w:val="28"/>
          <w:szCs w:val="28"/>
        </w:rPr>
        <w:t xml:space="preserve">nformed him that he should </w:t>
      </w:r>
      <w:r w:rsidR="00C73CD7">
        <w:rPr>
          <w:rFonts w:ascii="Times New Roman" w:hAnsi="Times New Roman"/>
          <w:sz w:val="28"/>
          <w:szCs w:val="28"/>
        </w:rPr>
        <w:lastRenderedPageBreak/>
        <w:t>either return to work</w:t>
      </w:r>
      <w:r w:rsidR="00356809">
        <w:rPr>
          <w:rFonts w:ascii="Times New Roman" w:hAnsi="Times New Roman"/>
          <w:sz w:val="28"/>
          <w:szCs w:val="28"/>
        </w:rPr>
        <w:t>,</w:t>
      </w:r>
      <w:r w:rsidR="00C73CD7">
        <w:rPr>
          <w:rFonts w:ascii="Times New Roman" w:hAnsi="Times New Roman"/>
          <w:sz w:val="28"/>
          <w:szCs w:val="28"/>
        </w:rPr>
        <w:t xml:space="preserve"> or resign, or apply for ill-health retirement</w:t>
      </w:r>
      <w:r w:rsidR="00905E9C">
        <w:rPr>
          <w:rFonts w:ascii="Times New Roman" w:hAnsi="Times New Roman"/>
          <w:sz w:val="28"/>
          <w:szCs w:val="28"/>
        </w:rPr>
        <w:t>.</w:t>
      </w:r>
      <w:r w:rsidR="00AB10D2">
        <w:rPr>
          <w:rFonts w:ascii="Times New Roman" w:hAnsi="Times New Roman"/>
          <w:sz w:val="28"/>
          <w:szCs w:val="28"/>
        </w:rPr>
        <w:t xml:space="preserve"> The applicant’s recollection of 19 April 2022 is that minutes of the meeting were taken by a female administrative assistant who was in attendance.</w:t>
      </w:r>
      <w:r w:rsidR="00462B10">
        <w:rPr>
          <w:rFonts w:ascii="Times New Roman" w:hAnsi="Times New Roman"/>
          <w:sz w:val="28"/>
          <w:szCs w:val="28"/>
        </w:rPr>
        <w:t xml:space="preserve"> In a telephonic discussion between the applicant and a departmental official on 10 November 2022, the applicant avers that he was again threatened with a dismissal.</w:t>
      </w:r>
    </w:p>
    <w:p w14:paraId="54D9CB99" w14:textId="77777777" w:rsidR="00797D1F" w:rsidRDefault="00797D1F"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Following the events aforementioned the applicant consulted attorneys</w:t>
      </w:r>
      <w:r w:rsidR="00701947">
        <w:rPr>
          <w:rFonts w:ascii="Times New Roman" w:hAnsi="Times New Roman"/>
          <w:sz w:val="28"/>
          <w:szCs w:val="28"/>
        </w:rPr>
        <w:t xml:space="preserve"> Randall &amp; Associates</w:t>
      </w:r>
      <w:r>
        <w:rPr>
          <w:rFonts w:ascii="Times New Roman" w:hAnsi="Times New Roman"/>
          <w:sz w:val="28"/>
          <w:szCs w:val="28"/>
        </w:rPr>
        <w:t xml:space="preserve"> during November 2022 whereupon they dispatched a Request for Access to Record of Public Body</w:t>
      </w:r>
      <w:r w:rsidR="00BD405A">
        <w:rPr>
          <w:rFonts w:ascii="Times New Roman" w:hAnsi="Times New Roman"/>
          <w:sz w:val="28"/>
          <w:szCs w:val="28"/>
        </w:rPr>
        <w:t xml:space="preserve"> </w:t>
      </w:r>
      <w:r w:rsidR="00677384">
        <w:rPr>
          <w:rFonts w:ascii="Times New Roman" w:hAnsi="Times New Roman"/>
          <w:sz w:val="28"/>
          <w:szCs w:val="28"/>
        </w:rPr>
        <w:t>(</w:t>
      </w:r>
      <w:r w:rsidR="00D31E0A">
        <w:rPr>
          <w:rFonts w:ascii="Times New Roman" w:hAnsi="Times New Roman"/>
          <w:sz w:val="28"/>
          <w:szCs w:val="28"/>
        </w:rPr>
        <w:t xml:space="preserve">hereinafter interchangeably referred to as </w:t>
      </w:r>
      <w:r w:rsidR="0082543B">
        <w:rPr>
          <w:rFonts w:ascii="Times New Roman" w:hAnsi="Times New Roman"/>
          <w:sz w:val="28"/>
          <w:szCs w:val="28"/>
        </w:rPr>
        <w:t>‘</w:t>
      </w:r>
      <w:r w:rsidR="006D192A">
        <w:rPr>
          <w:rFonts w:ascii="Times New Roman" w:hAnsi="Times New Roman"/>
          <w:sz w:val="28"/>
          <w:szCs w:val="28"/>
        </w:rPr>
        <w:t>Form</w:t>
      </w:r>
      <w:r w:rsidR="00D31E0A">
        <w:rPr>
          <w:rFonts w:ascii="Times New Roman" w:hAnsi="Times New Roman"/>
          <w:sz w:val="28"/>
          <w:szCs w:val="28"/>
        </w:rPr>
        <w:t xml:space="preserve"> A</w:t>
      </w:r>
      <w:r w:rsidR="0082543B">
        <w:rPr>
          <w:rFonts w:ascii="Times New Roman" w:hAnsi="Times New Roman"/>
          <w:sz w:val="28"/>
          <w:szCs w:val="28"/>
        </w:rPr>
        <w:t>’</w:t>
      </w:r>
      <w:r w:rsidR="00D31E0A">
        <w:rPr>
          <w:rFonts w:ascii="Times New Roman" w:hAnsi="Times New Roman"/>
          <w:sz w:val="28"/>
          <w:szCs w:val="28"/>
        </w:rPr>
        <w:t xml:space="preserve"> or </w:t>
      </w:r>
      <w:r w:rsidR="0082543B">
        <w:rPr>
          <w:rFonts w:ascii="Times New Roman" w:hAnsi="Times New Roman"/>
          <w:sz w:val="28"/>
          <w:szCs w:val="28"/>
        </w:rPr>
        <w:t>‘</w:t>
      </w:r>
      <w:r w:rsidR="00677384">
        <w:rPr>
          <w:rFonts w:ascii="Times New Roman" w:hAnsi="Times New Roman"/>
          <w:sz w:val="28"/>
          <w:szCs w:val="28"/>
        </w:rPr>
        <w:t>the request</w:t>
      </w:r>
      <w:r w:rsidR="0082543B">
        <w:rPr>
          <w:rFonts w:ascii="Times New Roman" w:hAnsi="Times New Roman"/>
          <w:sz w:val="28"/>
          <w:szCs w:val="28"/>
        </w:rPr>
        <w:t>’</w:t>
      </w:r>
      <w:r w:rsidR="00677384">
        <w:rPr>
          <w:rFonts w:ascii="Times New Roman" w:hAnsi="Times New Roman"/>
          <w:sz w:val="28"/>
          <w:szCs w:val="28"/>
        </w:rPr>
        <w:t xml:space="preserve">) </w:t>
      </w:r>
      <w:r w:rsidR="00BD405A">
        <w:rPr>
          <w:rFonts w:ascii="Times New Roman" w:hAnsi="Times New Roman"/>
          <w:sz w:val="28"/>
          <w:szCs w:val="28"/>
        </w:rPr>
        <w:t>to the second respondent.</w:t>
      </w:r>
    </w:p>
    <w:p w14:paraId="42649987" w14:textId="77777777" w:rsidR="00525D16" w:rsidRDefault="0082543B" w:rsidP="00525D16">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In the request t</w:t>
      </w:r>
      <w:r w:rsidR="000918BF">
        <w:rPr>
          <w:rFonts w:ascii="Times New Roman" w:hAnsi="Times New Roman"/>
          <w:sz w:val="28"/>
          <w:szCs w:val="28"/>
        </w:rPr>
        <w:t xml:space="preserve">he </w:t>
      </w:r>
      <w:r w:rsidR="009105CE" w:rsidRPr="009105CE">
        <w:rPr>
          <w:rFonts w:ascii="Times New Roman" w:hAnsi="Times New Roman"/>
          <w:sz w:val="28"/>
          <w:szCs w:val="28"/>
        </w:rPr>
        <w:t xml:space="preserve">appellation </w:t>
      </w:r>
      <w:r w:rsidR="000918BF" w:rsidRPr="000918BF">
        <w:rPr>
          <w:rFonts w:ascii="Times New Roman" w:hAnsi="Times New Roman"/>
          <w:i/>
          <w:sz w:val="28"/>
          <w:szCs w:val="28"/>
        </w:rPr>
        <w:t>Randall &amp; Associates</w:t>
      </w:r>
      <w:r w:rsidR="000918BF">
        <w:rPr>
          <w:rFonts w:ascii="Times New Roman" w:hAnsi="Times New Roman"/>
          <w:sz w:val="28"/>
          <w:szCs w:val="28"/>
        </w:rPr>
        <w:t xml:space="preserve"> appears u</w:t>
      </w:r>
      <w:r w:rsidR="00BD4835">
        <w:rPr>
          <w:rFonts w:ascii="Times New Roman" w:hAnsi="Times New Roman"/>
          <w:sz w:val="28"/>
          <w:szCs w:val="28"/>
        </w:rPr>
        <w:t>nder the heading ‘Particulars of person requesting access to the record’ (</w:t>
      </w:r>
      <w:r w:rsidR="000918BF">
        <w:rPr>
          <w:rFonts w:ascii="Times New Roman" w:hAnsi="Times New Roman"/>
          <w:sz w:val="28"/>
          <w:szCs w:val="28"/>
        </w:rPr>
        <w:t>Part B of Form A).</w:t>
      </w:r>
      <w:r>
        <w:rPr>
          <w:rStyle w:val="FootnoteReference"/>
          <w:rFonts w:ascii="Times New Roman" w:hAnsi="Times New Roman"/>
          <w:sz w:val="28"/>
          <w:szCs w:val="28"/>
        </w:rPr>
        <w:footnoteReference w:id="3"/>
      </w:r>
      <w:r w:rsidR="000918BF">
        <w:rPr>
          <w:rFonts w:ascii="Times New Roman" w:hAnsi="Times New Roman"/>
          <w:sz w:val="28"/>
          <w:szCs w:val="28"/>
        </w:rPr>
        <w:t xml:space="preserve"> Elsewhere, under the heading </w:t>
      </w:r>
      <w:r w:rsidR="009F7C05">
        <w:rPr>
          <w:rFonts w:ascii="Times New Roman" w:hAnsi="Times New Roman"/>
          <w:sz w:val="28"/>
          <w:szCs w:val="28"/>
        </w:rPr>
        <w:t>‘Particulars of the person on whose behalf request</w:t>
      </w:r>
      <w:r w:rsidR="002F3A0B">
        <w:rPr>
          <w:rFonts w:ascii="Times New Roman" w:hAnsi="Times New Roman"/>
          <w:sz w:val="28"/>
          <w:szCs w:val="28"/>
        </w:rPr>
        <w:t> </w:t>
      </w:r>
      <w:r w:rsidR="009F7C05">
        <w:rPr>
          <w:rFonts w:ascii="Times New Roman" w:hAnsi="Times New Roman"/>
          <w:sz w:val="28"/>
          <w:szCs w:val="28"/>
        </w:rPr>
        <w:t xml:space="preserve">is made’ (Part C </w:t>
      </w:r>
      <w:r w:rsidR="00786FBA">
        <w:rPr>
          <w:rFonts w:ascii="Times New Roman" w:hAnsi="Times New Roman"/>
          <w:sz w:val="28"/>
          <w:szCs w:val="28"/>
        </w:rPr>
        <w:t xml:space="preserve">of </w:t>
      </w:r>
      <w:r w:rsidR="009F7C05">
        <w:rPr>
          <w:rFonts w:ascii="Times New Roman" w:hAnsi="Times New Roman"/>
          <w:sz w:val="28"/>
          <w:szCs w:val="28"/>
        </w:rPr>
        <w:t>Form A)</w:t>
      </w:r>
      <w:r>
        <w:rPr>
          <w:rFonts w:ascii="Times New Roman" w:hAnsi="Times New Roman"/>
          <w:sz w:val="28"/>
          <w:szCs w:val="28"/>
        </w:rPr>
        <w:t xml:space="preserve"> </w:t>
      </w:r>
      <w:r w:rsidR="002F3A0B">
        <w:rPr>
          <w:rFonts w:ascii="Times New Roman" w:hAnsi="Times New Roman"/>
          <w:sz w:val="28"/>
          <w:szCs w:val="28"/>
        </w:rPr>
        <w:t xml:space="preserve">are </w:t>
      </w:r>
      <w:r>
        <w:rPr>
          <w:rFonts w:ascii="Times New Roman" w:hAnsi="Times New Roman"/>
          <w:sz w:val="28"/>
          <w:szCs w:val="28"/>
        </w:rPr>
        <w:t>the applicant</w:t>
      </w:r>
      <w:r w:rsidR="002F3A0B">
        <w:rPr>
          <w:rFonts w:ascii="Times New Roman" w:hAnsi="Times New Roman"/>
          <w:sz w:val="28"/>
          <w:szCs w:val="28"/>
        </w:rPr>
        <w:t>’</w:t>
      </w:r>
      <w:r>
        <w:rPr>
          <w:rFonts w:ascii="Times New Roman" w:hAnsi="Times New Roman"/>
          <w:sz w:val="28"/>
          <w:szCs w:val="28"/>
        </w:rPr>
        <w:t xml:space="preserve">s full names and surname </w:t>
      </w:r>
      <w:r w:rsidRPr="0082543B">
        <w:rPr>
          <w:rFonts w:ascii="Times New Roman" w:hAnsi="Times New Roman"/>
          <w:i/>
          <w:sz w:val="28"/>
          <w:szCs w:val="28"/>
        </w:rPr>
        <w:t>Henry Loyiso Kobo</w:t>
      </w:r>
      <w:r>
        <w:rPr>
          <w:rFonts w:ascii="Times New Roman" w:hAnsi="Times New Roman"/>
          <w:sz w:val="28"/>
          <w:szCs w:val="28"/>
        </w:rPr>
        <w:t>.</w:t>
      </w:r>
    </w:p>
    <w:p w14:paraId="2862ADEE" w14:textId="77777777" w:rsidR="00525D16" w:rsidRDefault="009C0950" w:rsidP="00525D16">
      <w:pPr>
        <w:pStyle w:val="LegalList1"/>
        <w:numPr>
          <w:ilvl w:val="0"/>
          <w:numId w:val="2"/>
        </w:numPr>
        <w:tabs>
          <w:tab w:val="clear" w:pos="567"/>
        </w:tabs>
        <w:spacing w:after="0" w:line="360" w:lineRule="auto"/>
        <w:ind w:left="0" w:firstLine="0"/>
        <w:rPr>
          <w:rFonts w:ascii="Times New Roman" w:hAnsi="Times New Roman"/>
          <w:sz w:val="28"/>
          <w:szCs w:val="28"/>
        </w:rPr>
      </w:pPr>
      <w:r>
        <w:rPr>
          <w:rFonts w:ascii="Times New Roman" w:hAnsi="Times New Roman"/>
          <w:sz w:val="28"/>
          <w:szCs w:val="28"/>
        </w:rPr>
        <w:t xml:space="preserve">In </w:t>
      </w:r>
      <w:r w:rsidR="00701947">
        <w:rPr>
          <w:rFonts w:ascii="Times New Roman" w:hAnsi="Times New Roman"/>
          <w:sz w:val="28"/>
          <w:szCs w:val="28"/>
        </w:rPr>
        <w:t xml:space="preserve">the </w:t>
      </w:r>
      <w:r>
        <w:rPr>
          <w:rFonts w:ascii="Times New Roman" w:hAnsi="Times New Roman"/>
          <w:sz w:val="28"/>
          <w:szCs w:val="28"/>
        </w:rPr>
        <w:t xml:space="preserve">respondents’ heads of </w:t>
      </w:r>
      <w:proofErr w:type="gramStart"/>
      <w:r>
        <w:rPr>
          <w:rFonts w:ascii="Times New Roman" w:hAnsi="Times New Roman"/>
          <w:sz w:val="28"/>
          <w:szCs w:val="28"/>
        </w:rPr>
        <w:t>argument</w:t>
      </w:r>
      <w:proofErr w:type="gramEnd"/>
      <w:r>
        <w:rPr>
          <w:rFonts w:ascii="Times New Roman" w:hAnsi="Times New Roman"/>
          <w:sz w:val="28"/>
          <w:szCs w:val="28"/>
        </w:rPr>
        <w:t xml:space="preserve"> the concession is made that</w:t>
      </w:r>
      <w:r w:rsidR="00525D16">
        <w:rPr>
          <w:rFonts w:ascii="Times New Roman" w:hAnsi="Times New Roman"/>
          <w:sz w:val="28"/>
          <w:szCs w:val="28"/>
        </w:rPr>
        <w:t>:</w:t>
      </w:r>
    </w:p>
    <w:p w14:paraId="6CB74DCA" w14:textId="77777777" w:rsidR="00525D16" w:rsidRPr="00525D16" w:rsidRDefault="009C0950" w:rsidP="00525D16">
      <w:pPr>
        <w:pStyle w:val="LegalList1"/>
        <w:spacing w:line="360" w:lineRule="auto"/>
        <w:rPr>
          <w:rFonts w:ascii="Times New Roman" w:hAnsi="Times New Roman"/>
        </w:rPr>
      </w:pPr>
      <w:r w:rsidRPr="00525D16">
        <w:rPr>
          <w:rFonts w:ascii="Times New Roman" w:hAnsi="Times New Roman"/>
        </w:rPr>
        <w:t xml:space="preserve">‘The Act also recognises </w:t>
      </w:r>
      <w:r w:rsidR="009B51C1" w:rsidRPr="00525D16">
        <w:rPr>
          <w:rFonts w:ascii="Times New Roman" w:hAnsi="Times New Roman"/>
          <w:i/>
        </w:rPr>
        <w:t>Randal</w:t>
      </w:r>
      <w:r w:rsidRPr="00525D16">
        <w:rPr>
          <w:rFonts w:ascii="Times New Roman" w:hAnsi="Times New Roman"/>
          <w:i/>
        </w:rPr>
        <w:t xml:space="preserve"> </w:t>
      </w:r>
      <w:r w:rsidR="009B51C1" w:rsidRPr="00525D16">
        <w:rPr>
          <w:rFonts w:ascii="Times New Roman" w:hAnsi="Times New Roman"/>
          <w:i/>
        </w:rPr>
        <w:t>&amp; Associates</w:t>
      </w:r>
      <w:r w:rsidRPr="00525D16">
        <w:rPr>
          <w:rFonts w:ascii="Times New Roman" w:hAnsi="Times New Roman"/>
          <w:i/>
        </w:rPr>
        <w:t xml:space="preserve"> </w:t>
      </w:r>
      <w:r w:rsidRPr="00525D16">
        <w:rPr>
          <w:rFonts w:ascii="Times New Roman" w:hAnsi="Times New Roman"/>
        </w:rPr>
        <w:t>(sic) as being the requester – in the sense that it is alleged that they were acting on behalf of the applicant in making the request for access.’</w:t>
      </w:r>
    </w:p>
    <w:p w14:paraId="4F301F6A" w14:textId="77777777" w:rsidR="00DE464C" w:rsidRDefault="00701947"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Q</w:t>
      </w:r>
      <w:r w:rsidR="00614353">
        <w:rPr>
          <w:rFonts w:ascii="Times New Roman" w:hAnsi="Times New Roman"/>
          <w:sz w:val="28"/>
          <w:szCs w:val="28"/>
        </w:rPr>
        <w:t>uite apart from this concession</w:t>
      </w:r>
      <w:r w:rsidR="00180DC0">
        <w:rPr>
          <w:rFonts w:ascii="Times New Roman" w:hAnsi="Times New Roman"/>
          <w:sz w:val="28"/>
          <w:szCs w:val="28"/>
        </w:rPr>
        <w:t xml:space="preserve"> </w:t>
      </w:r>
      <w:r w:rsidR="0087265A">
        <w:rPr>
          <w:rFonts w:ascii="Times New Roman" w:hAnsi="Times New Roman"/>
          <w:sz w:val="28"/>
          <w:szCs w:val="28"/>
        </w:rPr>
        <w:t xml:space="preserve">there can be no question that </w:t>
      </w:r>
      <w:r w:rsidR="00525D16" w:rsidRPr="000918BF">
        <w:rPr>
          <w:rFonts w:ascii="Times New Roman" w:hAnsi="Times New Roman"/>
          <w:i/>
          <w:sz w:val="28"/>
          <w:szCs w:val="28"/>
        </w:rPr>
        <w:t>Randall &amp; Associates</w:t>
      </w:r>
      <w:r w:rsidR="00525D16">
        <w:rPr>
          <w:rFonts w:ascii="Times New Roman" w:hAnsi="Times New Roman"/>
          <w:sz w:val="28"/>
          <w:szCs w:val="28"/>
        </w:rPr>
        <w:t xml:space="preserve"> </w:t>
      </w:r>
      <w:r w:rsidR="009B51C1">
        <w:rPr>
          <w:rFonts w:ascii="Times New Roman" w:hAnsi="Times New Roman"/>
          <w:sz w:val="28"/>
          <w:szCs w:val="28"/>
        </w:rPr>
        <w:t xml:space="preserve">fall within the definition of </w:t>
      </w:r>
      <w:r w:rsidR="00180DC0">
        <w:rPr>
          <w:rFonts w:ascii="Times New Roman" w:hAnsi="Times New Roman"/>
          <w:sz w:val="28"/>
          <w:szCs w:val="28"/>
        </w:rPr>
        <w:t>‘requester’ in the Act</w:t>
      </w:r>
      <w:r w:rsidR="0087265A">
        <w:rPr>
          <w:rFonts w:ascii="Times New Roman" w:hAnsi="Times New Roman"/>
          <w:sz w:val="28"/>
          <w:szCs w:val="28"/>
        </w:rPr>
        <w:t>. I</w:t>
      </w:r>
      <w:r w:rsidR="00180DC0">
        <w:rPr>
          <w:rFonts w:ascii="Times New Roman" w:hAnsi="Times New Roman"/>
          <w:sz w:val="28"/>
          <w:szCs w:val="28"/>
        </w:rPr>
        <w:t xml:space="preserve">t is </w:t>
      </w:r>
      <w:r w:rsidR="0087265A">
        <w:rPr>
          <w:rFonts w:ascii="Times New Roman" w:hAnsi="Times New Roman"/>
          <w:sz w:val="28"/>
          <w:szCs w:val="28"/>
        </w:rPr>
        <w:t xml:space="preserve">thus </w:t>
      </w:r>
      <w:r w:rsidR="00614353">
        <w:rPr>
          <w:rFonts w:ascii="Times New Roman" w:hAnsi="Times New Roman"/>
          <w:sz w:val="28"/>
          <w:szCs w:val="28"/>
        </w:rPr>
        <w:t>inconceivable</w:t>
      </w:r>
      <w:r w:rsidR="00180DC0">
        <w:rPr>
          <w:rFonts w:ascii="Times New Roman" w:hAnsi="Times New Roman"/>
          <w:sz w:val="28"/>
          <w:szCs w:val="28"/>
        </w:rPr>
        <w:t xml:space="preserve"> that the respondents have opposed this application</w:t>
      </w:r>
      <w:r w:rsidR="00D51416">
        <w:rPr>
          <w:rFonts w:ascii="Times New Roman" w:hAnsi="Times New Roman"/>
          <w:sz w:val="28"/>
          <w:szCs w:val="28"/>
        </w:rPr>
        <w:t xml:space="preserve"> – and </w:t>
      </w:r>
      <w:r w:rsidR="003D3C39">
        <w:rPr>
          <w:rFonts w:ascii="Times New Roman" w:hAnsi="Times New Roman"/>
          <w:sz w:val="28"/>
          <w:szCs w:val="28"/>
        </w:rPr>
        <w:t>have persisted in doing so</w:t>
      </w:r>
      <w:r w:rsidR="00D51416">
        <w:rPr>
          <w:rFonts w:ascii="Times New Roman" w:hAnsi="Times New Roman"/>
          <w:sz w:val="28"/>
          <w:szCs w:val="28"/>
        </w:rPr>
        <w:t xml:space="preserve"> – on </w:t>
      </w:r>
      <w:r w:rsidR="00DE464C">
        <w:rPr>
          <w:rFonts w:ascii="Times New Roman" w:hAnsi="Times New Roman"/>
          <w:sz w:val="28"/>
          <w:szCs w:val="28"/>
        </w:rPr>
        <w:t xml:space="preserve">the </w:t>
      </w:r>
      <w:r w:rsidR="00941C6C">
        <w:rPr>
          <w:rFonts w:ascii="Times New Roman" w:hAnsi="Times New Roman"/>
          <w:sz w:val="28"/>
          <w:szCs w:val="28"/>
        </w:rPr>
        <w:t xml:space="preserve">technical </w:t>
      </w:r>
      <w:r w:rsidR="00DE464C">
        <w:rPr>
          <w:rFonts w:ascii="Times New Roman" w:hAnsi="Times New Roman"/>
          <w:sz w:val="28"/>
          <w:szCs w:val="28"/>
        </w:rPr>
        <w:t xml:space="preserve">basis </w:t>
      </w:r>
      <w:r w:rsidR="003D3C39">
        <w:rPr>
          <w:rFonts w:ascii="Times New Roman" w:hAnsi="Times New Roman"/>
          <w:sz w:val="28"/>
          <w:szCs w:val="28"/>
        </w:rPr>
        <w:t xml:space="preserve">that </w:t>
      </w:r>
      <w:r w:rsidR="00AB60A6">
        <w:rPr>
          <w:rFonts w:ascii="Times New Roman" w:hAnsi="Times New Roman"/>
          <w:sz w:val="28"/>
          <w:szCs w:val="28"/>
        </w:rPr>
        <w:t xml:space="preserve">sans </w:t>
      </w:r>
      <w:r w:rsidR="003D3C39">
        <w:rPr>
          <w:rFonts w:ascii="Times New Roman" w:hAnsi="Times New Roman"/>
          <w:sz w:val="28"/>
          <w:szCs w:val="28"/>
        </w:rPr>
        <w:t>a power of attorney</w:t>
      </w:r>
      <w:r w:rsidR="00D51416">
        <w:rPr>
          <w:rFonts w:ascii="Times New Roman" w:hAnsi="Times New Roman"/>
          <w:sz w:val="28"/>
          <w:szCs w:val="28"/>
        </w:rPr>
        <w:t xml:space="preserve"> </w:t>
      </w:r>
      <w:r w:rsidR="00B45DB5">
        <w:rPr>
          <w:rFonts w:ascii="Times New Roman" w:hAnsi="Times New Roman"/>
          <w:sz w:val="28"/>
          <w:szCs w:val="28"/>
        </w:rPr>
        <w:t>the request has not been properly made.</w:t>
      </w:r>
    </w:p>
    <w:p w14:paraId="0432080B" w14:textId="77777777" w:rsidR="006D192A" w:rsidRDefault="00786FBA"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lastRenderedPageBreak/>
        <w:t xml:space="preserve">In the part </w:t>
      </w:r>
      <w:r w:rsidR="00DE464C">
        <w:rPr>
          <w:rFonts w:ascii="Times New Roman" w:hAnsi="Times New Roman"/>
          <w:sz w:val="28"/>
          <w:szCs w:val="28"/>
        </w:rPr>
        <w:t xml:space="preserve">of the request </w:t>
      </w:r>
      <w:r>
        <w:rPr>
          <w:rFonts w:ascii="Times New Roman" w:hAnsi="Times New Roman"/>
          <w:sz w:val="28"/>
          <w:szCs w:val="28"/>
        </w:rPr>
        <w:t>entitled ‘Particulars of record’ (Part D of Form A) a full description of the documentation</w:t>
      </w:r>
      <w:r w:rsidR="00AD3266">
        <w:rPr>
          <w:rFonts w:ascii="Times New Roman" w:hAnsi="Times New Roman"/>
          <w:sz w:val="28"/>
          <w:szCs w:val="28"/>
        </w:rPr>
        <w:t xml:space="preserve"> requested</w:t>
      </w:r>
      <w:r w:rsidR="00396365">
        <w:rPr>
          <w:rFonts w:ascii="Times New Roman" w:hAnsi="Times New Roman"/>
          <w:sz w:val="28"/>
          <w:szCs w:val="28"/>
        </w:rPr>
        <w:t xml:space="preserve"> is set out.</w:t>
      </w:r>
      <w:r w:rsidR="00AD3266">
        <w:rPr>
          <w:rFonts w:ascii="Times New Roman" w:hAnsi="Times New Roman"/>
          <w:sz w:val="28"/>
          <w:szCs w:val="28"/>
        </w:rPr>
        <w:t xml:space="preserve"> The description accords with the detail in the notice of motion.</w:t>
      </w:r>
    </w:p>
    <w:p w14:paraId="0E6B3C01" w14:textId="77777777" w:rsidR="00BD405A" w:rsidRDefault="00AC2563"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res</w:t>
      </w:r>
      <w:r w:rsidR="00B54B49">
        <w:rPr>
          <w:rFonts w:ascii="Times New Roman" w:hAnsi="Times New Roman"/>
          <w:sz w:val="28"/>
          <w:szCs w:val="28"/>
        </w:rPr>
        <w:t>p</w:t>
      </w:r>
      <w:r w:rsidR="00AD3266">
        <w:rPr>
          <w:rFonts w:ascii="Times New Roman" w:hAnsi="Times New Roman"/>
          <w:sz w:val="28"/>
          <w:szCs w:val="28"/>
        </w:rPr>
        <w:t>ondents say that the applicant</w:t>
      </w:r>
      <w:r w:rsidR="00B54B49">
        <w:rPr>
          <w:rFonts w:ascii="Times New Roman" w:hAnsi="Times New Roman"/>
          <w:sz w:val="28"/>
          <w:szCs w:val="28"/>
        </w:rPr>
        <w:t xml:space="preserve"> </w:t>
      </w:r>
      <w:r>
        <w:rPr>
          <w:rFonts w:ascii="Times New Roman" w:hAnsi="Times New Roman"/>
          <w:sz w:val="28"/>
          <w:szCs w:val="28"/>
        </w:rPr>
        <w:t>is on leave without pay</w:t>
      </w:r>
      <w:r w:rsidR="005F5CB5">
        <w:rPr>
          <w:rFonts w:ascii="Times New Roman" w:hAnsi="Times New Roman"/>
          <w:sz w:val="28"/>
          <w:szCs w:val="28"/>
        </w:rPr>
        <w:t xml:space="preserve">. </w:t>
      </w:r>
      <w:r w:rsidR="006D320B">
        <w:rPr>
          <w:rFonts w:ascii="Times New Roman" w:hAnsi="Times New Roman"/>
          <w:sz w:val="28"/>
          <w:szCs w:val="28"/>
        </w:rPr>
        <w:t>Although the</w:t>
      </w:r>
      <w:r w:rsidR="005F5CB5">
        <w:rPr>
          <w:rFonts w:ascii="Times New Roman" w:hAnsi="Times New Roman"/>
          <w:sz w:val="28"/>
          <w:szCs w:val="28"/>
        </w:rPr>
        <w:t>ir</w:t>
      </w:r>
      <w:r w:rsidR="006D320B">
        <w:rPr>
          <w:rFonts w:ascii="Times New Roman" w:hAnsi="Times New Roman"/>
          <w:sz w:val="28"/>
          <w:szCs w:val="28"/>
        </w:rPr>
        <w:t xml:space="preserve"> answering affidavit raises disputes of fact </w:t>
      </w:r>
      <w:r w:rsidR="0045175A">
        <w:rPr>
          <w:rFonts w:ascii="Times New Roman" w:hAnsi="Times New Roman"/>
          <w:sz w:val="28"/>
          <w:szCs w:val="28"/>
        </w:rPr>
        <w:t xml:space="preserve">regarding the </w:t>
      </w:r>
      <w:r w:rsidR="005F5CB5">
        <w:rPr>
          <w:rFonts w:ascii="Times New Roman" w:hAnsi="Times New Roman"/>
          <w:sz w:val="28"/>
          <w:szCs w:val="28"/>
        </w:rPr>
        <w:t>nature of the applicant’s leave</w:t>
      </w:r>
      <w:r w:rsidR="0045175A">
        <w:rPr>
          <w:rFonts w:ascii="Times New Roman" w:hAnsi="Times New Roman"/>
          <w:sz w:val="28"/>
          <w:szCs w:val="28"/>
        </w:rPr>
        <w:t xml:space="preserve">, these are </w:t>
      </w:r>
      <w:r w:rsidR="00D82992">
        <w:rPr>
          <w:rFonts w:ascii="Times New Roman" w:hAnsi="Times New Roman"/>
          <w:sz w:val="28"/>
          <w:szCs w:val="28"/>
        </w:rPr>
        <w:t xml:space="preserve">inconsequential </w:t>
      </w:r>
      <w:r w:rsidR="0045175A">
        <w:rPr>
          <w:rFonts w:ascii="Times New Roman" w:hAnsi="Times New Roman"/>
          <w:sz w:val="28"/>
          <w:szCs w:val="28"/>
        </w:rPr>
        <w:t xml:space="preserve">to the main issue identified for decision. </w:t>
      </w:r>
      <w:r w:rsidR="00BD405A">
        <w:rPr>
          <w:rFonts w:ascii="Times New Roman" w:hAnsi="Times New Roman"/>
          <w:sz w:val="28"/>
          <w:szCs w:val="28"/>
        </w:rPr>
        <w:t xml:space="preserve">Insofar as </w:t>
      </w:r>
      <w:r w:rsidR="0045175A">
        <w:rPr>
          <w:rFonts w:ascii="Times New Roman" w:hAnsi="Times New Roman"/>
          <w:sz w:val="28"/>
          <w:szCs w:val="28"/>
        </w:rPr>
        <w:t xml:space="preserve">that is </w:t>
      </w:r>
      <w:r w:rsidR="00BD405A">
        <w:rPr>
          <w:rFonts w:ascii="Times New Roman" w:hAnsi="Times New Roman"/>
          <w:sz w:val="28"/>
          <w:szCs w:val="28"/>
        </w:rPr>
        <w:t>rele</w:t>
      </w:r>
      <w:r w:rsidR="009828F5">
        <w:rPr>
          <w:rFonts w:ascii="Times New Roman" w:hAnsi="Times New Roman"/>
          <w:sz w:val="28"/>
          <w:szCs w:val="28"/>
        </w:rPr>
        <w:t>vant to the present application</w:t>
      </w:r>
      <w:r w:rsidR="00BD405A">
        <w:rPr>
          <w:rFonts w:ascii="Times New Roman" w:hAnsi="Times New Roman"/>
          <w:sz w:val="28"/>
          <w:szCs w:val="28"/>
        </w:rPr>
        <w:t xml:space="preserve"> it </w:t>
      </w:r>
      <w:r w:rsidR="009828F5">
        <w:rPr>
          <w:rFonts w:ascii="Times New Roman" w:hAnsi="Times New Roman"/>
          <w:sz w:val="28"/>
          <w:szCs w:val="28"/>
        </w:rPr>
        <w:t xml:space="preserve">is </w:t>
      </w:r>
      <w:r w:rsidR="00BD405A">
        <w:rPr>
          <w:rFonts w:ascii="Times New Roman" w:hAnsi="Times New Roman"/>
          <w:sz w:val="28"/>
          <w:szCs w:val="28"/>
        </w:rPr>
        <w:t xml:space="preserve">common cause that </w:t>
      </w:r>
      <w:r w:rsidR="00677384">
        <w:rPr>
          <w:rFonts w:ascii="Times New Roman" w:hAnsi="Times New Roman"/>
          <w:sz w:val="28"/>
          <w:szCs w:val="28"/>
        </w:rPr>
        <w:t>the request was made.</w:t>
      </w:r>
      <w:r w:rsidR="00543BBC">
        <w:rPr>
          <w:rFonts w:ascii="Times New Roman" w:hAnsi="Times New Roman"/>
          <w:sz w:val="28"/>
          <w:szCs w:val="28"/>
        </w:rPr>
        <w:t xml:space="preserve"> </w:t>
      </w:r>
      <w:r w:rsidR="00A86B96">
        <w:rPr>
          <w:rFonts w:ascii="Times New Roman" w:hAnsi="Times New Roman"/>
          <w:sz w:val="28"/>
          <w:szCs w:val="28"/>
        </w:rPr>
        <w:t xml:space="preserve">It is also common cause that the second respondent did not respond to the request. </w:t>
      </w:r>
      <w:r w:rsidR="00543BBC">
        <w:rPr>
          <w:rFonts w:ascii="Times New Roman" w:hAnsi="Times New Roman"/>
          <w:sz w:val="28"/>
          <w:szCs w:val="28"/>
        </w:rPr>
        <w:t xml:space="preserve">On this point the parties have differing contentions. The applicant argues that it amounts to </w:t>
      </w:r>
      <w:r w:rsidR="00A86B96">
        <w:rPr>
          <w:rFonts w:ascii="Times New Roman" w:hAnsi="Times New Roman"/>
          <w:sz w:val="28"/>
          <w:szCs w:val="28"/>
        </w:rPr>
        <w:t xml:space="preserve">a </w:t>
      </w:r>
      <w:r w:rsidR="00543BBC">
        <w:rPr>
          <w:rFonts w:ascii="Times New Roman" w:hAnsi="Times New Roman"/>
          <w:sz w:val="28"/>
          <w:szCs w:val="28"/>
        </w:rPr>
        <w:t xml:space="preserve">deemed </w:t>
      </w:r>
      <w:r w:rsidR="00A86B96">
        <w:rPr>
          <w:rFonts w:ascii="Times New Roman" w:hAnsi="Times New Roman"/>
          <w:sz w:val="28"/>
          <w:szCs w:val="28"/>
        </w:rPr>
        <w:t>refusal of the request</w:t>
      </w:r>
      <w:r w:rsidR="002C766D">
        <w:rPr>
          <w:rFonts w:ascii="Times New Roman" w:hAnsi="Times New Roman"/>
          <w:sz w:val="28"/>
          <w:szCs w:val="28"/>
        </w:rPr>
        <w:t xml:space="preserve"> whereas the respondents take the view that ‘there was no request for access or alternatively since there was no power of attorney submitted’. </w:t>
      </w:r>
      <w:r w:rsidR="00CC24F9">
        <w:rPr>
          <w:rFonts w:ascii="Times New Roman" w:hAnsi="Times New Roman"/>
          <w:sz w:val="28"/>
          <w:szCs w:val="28"/>
        </w:rPr>
        <w:t xml:space="preserve">What is also not disputed is </w:t>
      </w:r>
      <w:r w:rsidR="00B74FA7">
        <w:rPr>
          <w:rFonts w:ascii="Times New Roman" w:hAnsi="Times New Roman"/>
          <w:sz w:val="28"/>
          <w:szCs w:val="28"/>
        </w:rPr>
        <w:t>that the request contains sufficient particulars</w:t>
      </w:r>
      <w:r w:rsidR="000739A1">
        <w:rPr>
          <w:rFonts w:ascii="Times New Roman" w:hAnsi="Times New Roman"/>
          <w:sz w:val="28"/>
          <w:szCs w:val="28"/>
        </w:rPr>
        <w:t xml:space="preserve"> </w:t>
      </w:r>
      <w:r w:rsidR="00B74FA7">
        <w:rPr>
          <w:rFonts w:ascii="Times New Roman" w:hAnsi="Times New Roman"/>
          <w:sz w:val="28"/>
          <w:szCs w:val="28"/>
        </w:rPr>
        <w:t xml:space="preserve">to identify </w:t>
      </w:r>
      <w:r w:rsidR="00E86EEC">
        <w:rPr>
          <w:rFonts w:ascii="Times New Roman" w:hAnsi="Times New Roman"/>
          <w:sz w:val="28"/>
          <w:szCs w:val="28"/>
        </w:rPr>
        <w:t>the documentation/records requested</w:t>
      </w:r>
      <w:r w:rsidR="001454A0">
        <w:rPr>
          <w:rStyle w:val="FootnoteReference"/>
          <w:rFonts w:ascii="Times New Roman" w:hAnsi="Times New Roman"/>
          <w:sz w:val="28"/>
          <w:szCs w:val="28"/>
        </w:rPr>
        <w:footnoteReference w:id="4"/>
      </w:r>
      <w:r w:rsidR="00E86EEC">
        <w:rPr>
          <w:rFonts w:ascii="Times New Roman" w:hAnsi="Times New Roman"/>
          <w:sz w:val="28"/>
          <w:szCs w:val="28"/>
        </w:rPr>
        <w:t xml:space="preserve">. </w:t>
      </w:r>
      <w:r w:rsidR="00CC24F9">
        <w:rPr>
          <w:rFonts w:ascii="Times New Roman" w:hAnsi="Times New Roman"/>
          <w:sz w:val="28"/>
          <w:szCs w:val="28"/>
        </w:rPr>
        <w:t>The respondents, h</w:t>
      </w:r>
      <w:r w:rsidR="00E86EEC">
        <w:rPr>
          <w:rFonts w:ascii="Times New Roman" w:hAnsi="Times New Roman"/>
          <w:sz w:val="28"/>
          <w:szCs w:val="28"/>
        </w:rPr>
        <w:t xml:space="preserve">owever, </w:t>
      </w:r>
      <w:r w:rsidR="000739A1">
        <w:rPr>
          <w:rFonts w:ascii="Times New Roman" w:hAnsi="Times New Roman"/>
          <w:sz w:val="28"/>
          <w:szCs w:val="28"/>
        </w:rPr>
        <w:t xml:space="preserve">resist disclosure </w:t>
      </w:r>
      <w:r w:rsidR="00DA4B63">
        <w:rPr>
          <w:rFonts w:ascii="Times New Roman" w:hAnsi="Times New Roman"/>
          <w:sz w:val="28"/>
          <w:szCs w:val="28"/>
        </w:rPr>
        <w:t xml:space="preserve">and dispute their legal obligation to do so </w:t>
      </w:r>
      <w:r w:rsidR="000739A1">
        <w:rPr>
          <w:rFonts w:ascii="Times New Roman" w:hAnsi="Times New Roman"/>
          <w:sz w:val="28"/>
          <w:szCs w:val="28"/>
        </w:rPr>
        <w:t>primarily on the basis that the request was not made in the name of the applicant</w:t>
      </w:r>
      <w:r w:rsidR="00E86EEC">
        <w:rPr>
          <w:rFonts w:ascii="Times New Roman" w:hAnsi="Times New Roman"/>
          <w:sz w:val="28"/>
          <w:szCs w:val="28"/>
        </w:rPr>
        <w:t xml:space="preserve"> – and </w:t>
      </w:r>
      <w:r w:rsidR="000739A1">
        <w:rPr>
          <w:rFonts w:ascii="Times New Roman" w:hAnsi="Times New Roman"/>
          <w:sz w:val="28"/>
          <w:szCs w:val="28"/>
        </w:rPr>
        <w:t>where it indicates</w:t>
      </w:r>
      <w:r w:rsidR="001432CA">
        <w:rPr>
          <w:rFonts w:ascii="Times New Roman" w:hAnsi="Times New Roman"/>
          <w:sz w:val="28"/>
          <w:szCs w:val="28"/>
        </w:rPr>
        <w:t xml:space="preserve"> that it is made by the </w:t>
      </w:r>
      <w:r w:rsidR="000739A1">
        <w:rPr>
          <w:rFonts w:ascii="Times New Roman" w:hAnsi="Times New Roman"/>
          <w:sz w:val="28"/>
          <w:szCs w:val="28"/>
        </w:rPr>
        <w:t>applicant’s attorneys</w:t>
      </w:r>
      <w:r w:rsidR="00277B59">
        <w:rPr>
          <w:rFonts w:ascii="Times New Roman" w:hAnsi="Times New Roman"/>
          <w:sz w:val="28"/>
          <w:szCs w:val="28"/>
        </w:rPr>
        <w:t xml:space="preserve"> </w:t>
      </w:r>
      <w:r w:rsidR="00277B59" w:rsidRPr="005B6A0D">
        <w:rPr>
          <w:rFonts w:ascii="Times New Roman" w:hAnsi="Times New Roman"/>
          <w:i/>
          <w:sz w:val="28"/>
          <w:szCs w:val="28"/>
        </w:rPr>
        <w:t>Randall &amp; Associates</w:t>
      </w:r>
      <w:r w:rsidR="00277B59">
        <w:rPr>
          <w:rFonts w:ascii="Times New Roman" w:hAnsi="Times New Roman"/>
          <w:sz w:val="28"/>
          <w:szCs w:val="28"/>
        </w:rPr>
        <w:t xml:space="preserve">, </w:t>
      </w:r>
      <w:r w:rsidR="001A13BE">
        <w:rPr>
          <w:rFonts w:ascii="Times New Roman" w:hAnsi="Times New Roman"/>
          <w:sz w:val="28"/>
          <w:szCs w:val="28"/>
        </w:rPr>
        <w:t xml:space="preserve">the </w:t>
      </w:r>
      <w:r w:rsidR="00277B59">
        <w:rPr>
          <w:rFonts w:ascii="Times New Roman" w:hAnsi="Times New Roman"/>
          <w:sz w:val="28"/>
          <w:szCs w:val="28"/>
        </w:rPr>
        <w:t>respondents contend that a power of attorney authorising the</w:t>
      </w:r>
      <w:r w:rsidR="001454A0">
        <w:rPr>
          <w:rFonts w:ascii="Times New Roman" w:hAnsi="Times New Roman"/>
          <w:sz w:val="28"/>
          <w:szCs w:val="28"/>
        </w:rPr>
        <w:t xml:space="preserve"> attorneys </w:t>
      </w:r>
      <w:r w:rsidR="00277B59">
        <w:rPr>
          <w:rFonts w:ascii="Times New Roman" w:hAnsi="Times New Roman"/>
          <w:sz w:val="28"/>
          <w:szCs w:val="28"/>
        </w:rPr>
        <w:t>to do so</w:t>
      </w:r>
      <w:r w:rsidR="001A13BE">
        <w:rPr>
          <w:rFonts w:ascii="Times New Roman" w:hAnsi="Times New Roman"/>
          <w:sz w:val="28"/>
          <w:szCs w:val="28"/>
        </w:rPr>
        <w:t xml:space="preserve"> is wanting as proof of the capacity in which they ma</w:t>
      </w:r>
      <w:r w:rsidR="00867EDE">
        <w:rPr>
          <w:rFonts w:ascii="Times New Roman" w:hAnsi="Times New Roman"/>
          <w:sz w:val="28"/>
          <w:szCs w:val="28"/>
        </w:rPr>
        <w:t>d</w:t>
      </w:r>
      <w:r w:rsidR="001A13BE">
        <w:rPr>
          <w:rFonts w:ascii="Times New Roman" w:hAnsi="Times New Roman"/>
          <w:sz w:val="28"/>
          <w:szCs w:val="28"/>
        </w:rPr>
        <w:t>e the request.</w:t>
      </w:r>
      <w:r w:rsidR="00440088">
        <w:rPr>
          <w:rFonts w:ascii="Times New Roman" w:hAnsi="Times New Roman"/>
          <w:sz w:val="28"/>
          <w:szCs w:val="28"/>
        </w:rPr>
        <w:t xml:space="preserve"> </w:t>
      </w:r>
      <w:r w:rsidR="00160763">
        <w:rPr>
          <w:rFonts w:ascii="Times New Roman" w:hAnsi="Times New Roman"/>
          <w:sz w:val="28"/>
          <w:szCs w:val="28"/>
        </w:rPr>
        <w:t>They do not contend that such proof is required ‘to the reasonable satisfaction of the information officer’</w:t>
      </w:r>
      <w:r w:rsidR="00160763">
        <w:rPr>
          <w:rStyle w:val="FootnoteReference"/>
          <w:rFonts w:ascii="Times New Roman" w:hAnsi="Times New Roman"/>
          <w:sz w:val="28"/>
          <w:szCs w:val="28"/>
        </w:rPr>
        <w:footnoteReference w:id="5"/>
      </w:r>
      <w:r w:rsidR="006D192A">
        <w:rPr>
          <w:rFonts w:ascii="Times New Roman" w:hAnsi="Times New Roman"/>
          <w:sz w:val="28"/>
          <w:szCs w:val="28"/>
        </w:rPr>
        <w:t>.</w:t>
      </w:r>
      <w:r w:rsidR="00895387">
        <w:rPr>
          <w:rFonts w:ascii="Times New Roman" w:hAnsi="Times New Roman"/>
          <w:sz w:val="28"/>
          <w:szCs w:val="28"/>
        </w:rPr>
        <w:t xml:space="preserve"> They contend rather that the applicant did not comply with the procedural requirements of the Act relating to a request for access to information.</w:t>
      </w:r>
      <w:r w:rsidR="001432CA">
        <w:rPr>
          <w:rFonts w:ascii="Times New Roman" w:hAnsi="Times New Roman"/>
          <w:sz w:val="28"/>
          <w:szCs w:val="28"/>
        </w:rPr>
        <w:t xml:space="preserve"> The argument carries the implication that </w:t>
      </w:r>
      <w:r w:rsidR="0039031E">
        <w:rPr>
          <w:rFonts w:ascii="Times New Roman" w:hAnsi="Times New Roman"/>
          <w:sz w:val="28"/>
          <w:szCs w:val="28"/>
        </w:rPr>
        <w:t xml:space="preserve">the Act requires </w:t>
      </w:r>
      <w:r w:rsidR="001432CA">
        <w:rPr>
          <w:rFonts w:ascii="Times New Roman" w:hAnsi="Times New Roman"/>
          <w:sz w:val="28"/>
          <w:szCs w:val="28"/>
        </w:rPr>
        <w:t>a power of attorney</w:t>
      </w:r>
      <w:r w:rsidR="0039031E">
        <w:rPr>
          <w:rFonts w:ascii="Times New Roman" w:hAnsi="Times New Roman"/>
          <w:sz w:val="28"/>
          <w:szCs w:val="28"/>
        </w:rPr>
        <w:t xml:space="preserve"> given the circumstances and the manner in which the request was submitted.</w:t>
      </w:r>
    </w:p>
    <w:p w14:paraId="42E9BA12" w14:textId="77777777" w:rsidR="00150BFB" w:rsidRDefault="00150BFB"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lastRenderedPageBreak/>
        <w:t xml:space="preserve">In argument the applicant contended that </w:t>
      </w:r>
      <w:r w:rsidR="007B7041">
        <w:rPr>
          <w:rFonts w:ascii="Times New Roman" w:hAnsi="Times New Roman"/>
          <w:sz w:val="28"/>
          <w:szCs w:val="28"/>
        </w:rPr>
        <w:t xml:space="preserve">a proper request was made – there </w:t>
      </w:r>
      <w:r>
        <w:rPr>
          <w:rFonts w:ascii="Times New Roman" w:hAnsi="Times New Roman"/>
          <w:sz w:val="28"/>
          <w:szCs w:val="28"/>
        </w:rPr>
        <w:t>has been compliance with the Act</w:t>
      </w:r>
      <w:r w:rsidR="007E0B01">
        <w:rPr>
          <w:rFonts w:ascii="Times New Roman" w:hAnsi="Times New Roman"/>
          <w:sz w:val="28"/>
          <w:szCs w:val="28"/>
        </w:rPr>
        <w:t xml:space="preserve"> </w:t>
      </w:r>
      <w:r w:rsidR="005463F0">
        <w:rPr>
          <w:rFonts w:ascii="Times New Roman" w:hAnsi="Times New Roman"/>
          <w:sz w:val="28"/>
          <w:szCs w:val="28"/>
        </w:rPr>
        <w:t>in that the request</w:t>
      </w:r>
      <w:r w:rsidR="007E0B01">
        <w:rPr>
          <w:rFonts w:ascii="Times New Roman" w:hAnsi="Times New Roman"/>
          <w:sz w:val="28"/>
          <w:szCs w:val="28"/>
        </w:rPr>
        <w:t xml:space="preserve"> clearly indicates the name of the applicant as the person on whose behalf his </w:t>
      </w:r>
      <w:r w:rsidR="007B7041">
        <w:rPr>
          <w:rFonts w:ascii="Times New Roman" w:hAnsi="Times New Roman"/>
          <w:sz w:val="28"/>
          <w:szCs w:val="28"/>
        </w:rPr>
        <w:t>attorneys have made the request,</w:t>
      </w:r>
      <w:r w:rsidR="00503AE0">
        <w:rPr>
          <w:rFonts w:ascii="Times New Roman" w:hAnsi="Times New Roman"/>
          <w:sz w:val="28"/>
          <w:szCs w:val="28"/>
        </w:rPr>
        <w:t xml:space="preserve"> and that </w:t>
      </w:r>
      <w:r>
        <w:rPr>
          <w:rFonts w:ascii="Times New Roman" w:hAnsi="Times New Roman"/>
          <w:sz w:val="28"/>
          <w:szCs w:val="28"/>
        </w:rPr>
        <w:t xml:space="preserve">the request must be read in conjunction with </w:t>
      </w:r>
      <w:r w:rsidR="005463F0">
        <w:rPr>
          <w:rFonts w:ascii="Times New Roman" w:hAnsi="Times New Roman"/>
          <w:sz w:val="28"/>
          <w:szCs w:val="28"/>
        </w:rPr>
        <w:t>his attorneys’ covering correspondence</w:t>
      </w:r>
      <w:r w:rsidR="00B7413D">
        <w:rPr>
          <w:rStyle w:val="FootnoteReference"/>
          <w:rFonts w:ascii="Times New Roman" w:hAnsi="Times New Roman"/>
          <w:sz w:val="28"/>
          <w:szCs w:val="28"/>
        </w:rPr>
        <w:footnoteReference w:id="6"/>
      </w:r>
      <w:r w:rsidR="005463F0">
        <w:rPr>
          <w:rFonts w:ascii="Times New Roman" w:hAnsi="Times New Roman"/>
          <w:sz w:val="28"/>
          <w:szCs w:val="28"/>
        </w:rPr>
        <w:t xml:space="preserve"> that accompanied </w:t>
      </w:r>
      <w:r w:rsidR="00503AE0">
        <w:rPr>
          <w:rFonts w:ascii="Times New Roman" w:hAnsi="Times New Roman"/>
          <w:sz w:val="28"/>
          <w:szCs w:val="28"/>
        </w:rPr>
        <w:t xml:space="preserve">its </w:t>
      </w:r>
      <w:r w:rsidR="005463F0">
        <w:rPr>
          <w:rFonts w:ascii="Times New Roman" w:hAnsi="Times New Roman"/>
          <w:sz w:val="28"/>
          <w:szCs w:val="28"/>
        </w:rPr>
        <w:t>transmission</w:t>
      </w:r>
      <w:r w:rsidR="00503AE0">
        <w:rPr>
          <w:rFonts w:ascii="Times New Roman" w:hAnsi="Times New Roman"/>
          <w:sz w:val="28"/>
          <w:szCs w:val="28"/>
        </w:rPr>
        <w:t xml:space="preserve"> to the second respondent as information officer.</w:t>
      </w:r>
    </w:p>
    <w:p w14:paraId="1B9417DD" w14:textId="77777777" w:rsidR="00503AE0" w:rsidRDefault="00503AE0"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My sense of the matter is that the objection that the applicant’s attorneys did not state their capacity is excessively technical</w:t>
      </w:r>
      <w:r w:rsidR="0030545C">
        <w:rPr>
          <w:rFonts w:ascii="Times New Roman" w:hAnsi="Times New Roman"/>
          <w:sz w:val="28"/>
          <w:szCs w:val="28"/>
        </w:rPr>
        <w:t>.</w:t>
      </w:r>
      <w:r w:rsidR="0030545C">
        <w:rPr>
          <w:rStyle w:val="FootnoteReference"/>
          <w:rFonts w:ascii="Times New Roman" w:hAnsi="Times New Roman"/>
          <w:sz w:val="28"/>
          <w:szCs w:val="28"/>
        </w:rPr>
        <w:footnoteReference w:id="7"/>
      </w:r>
      <w:r w:rsidR="00890F70">
        <w:rPr>
          <w:rFonts w:ascii="Times New Roman" w:hAnsi="Times New Roman"/>
          <w:sz w:val="28"/>
          <w:szCs w:val="28"/>
        </w:rPr>
        <w:t xml:space="preserve"> </w:t>
      </w:r>
      <w:r w:rsidR="0056627B">
        <w:rPr>
          <w:rFonts w:ascii="Times New Roman" w:hAnsi="Times New Roman"/>
          <w:sz w:val="28"/>
          <w:szCs w:val="28"/>
        </w:rPr>
        <w:t xml:space="preserve">The PAIA does not in any </w:t>
      </w:r>
      <w:r w:rsidR="00D359BF">
        <w:rPr>
          <w:rFonts w:ascii="Times New Roman" w:hAnsi="Times New Roman"/>
          <w:sz w:val="28"/>
          <w:szCs w:val="28"/>
        </w:rPr>
        <w:t xml:space="preserve">terms, </w:t>
      </w:r>
      <w:r w:rsidR="0056627B">
        <w:rPr>
          <w:rFonts w:ascii="Times New Roman" w:hAnsi="Times New Roman"/>
          <w:sz w:val="28"/>
          <w:szCs w:val="28"/>
        </w:rPr>
        <w:t>express or</w:t>
      </w:r>
      <w:r w:rsidR="00D359BF">
        <w:rPr>
          <w:rFonts w:ascii="Times New Roman" w:hAnsi="Times New Roman"/>
          <w:sz w:val="28"/>
          <w:szCs w:val="28"/>
        </w:rPr>
        <w:t xml:space="preserve"> otherwise,</w:t>
      </w:r>
      <w:r w:rsidR="0056627B">
        <w:rPr>
          <w:rFonts w:ascii="Times New Roman" w:hAnsi="Times New Roman"/>
          <w:sz w:val="28"/>
          <w:szCs w:val="28"/>
        </w:rPr>
        <w:t xml:space="preserve"> lay down that a power of attorney is required</w:t>
      </w:r>
      <w:r w:rsidR="00D359BF">
        <w:rPr>
          <w:rFonts w:ascii="Times New Roman" w:hAnsi="Times New Roman"/>
          <w:sz w:val="28"/>
          <w:szCs w:val="28"/>
        </w:rPr>
        <w:t xml:space="preserve"> in the circumstances contended for by the respondents.</w:t>
      </w:r>
      <w:r w:rsidR="0056627B">
        <w:rPr>
          <w:rFonts w:ascii="Times New Roman" w:hAnsi="Times New Roman"/>
          <w:sz w:val="28"/>
          <w:szCs w:val="28"/>
        </w:rPr>
        <w:t xml:space="preserve"> </w:t>
      </w:r>
      <w:r w:rsidR="00890F70">
        <w:rPr>
          <w:rFonts w:ascii="Times New Roman" w:hAnsi="Times New Roman"/>
          <w:sz w:val="28"/>
          <w:szCs w:val="28"/>
        </w:rPr>
        <w:t xml:space="preserve">The </w:t>
      </w:r>
      <w:r w:rsidR="0039031E">
        <w:rPr>
          <w:rFonts w:ascii="Times New Roman" w:hAnsi="Times New Roman"/>
          <w:sz w:val="28"/>
          <w:szCs w:val="28"/>
        </w:rPr>
        <w:t xml:space="preserve">appellation </w:t>
      </w:r>
      <w:r w:rsidR="00890F70" w:rsidRPr="005B6A0D">
        <w:rPr>
          <w:rFonts w:ascii="Times New Roman" w:hAnsi="Times New Roman"/>
          <w:i/>
          <w:sz w:val="28"/>
          <w:szCs w:val="28"/>
        </w:rPr>
        <w:t>Randall &amp; Associates</w:t>
      </w:r>
      <w:r w:rsidR="00890F70">
        <w:rPr>
          <w:rFonts w:ascii="Times New Roman" w:hAnsi="Times New Roman"/>
          <w:sz w:val="28"/>
          <w:szCs w:val="28"/>
        </w:rPr>
        <w:t xml:space="preserve"> under the </w:t>
      </w:r>
      <w:r w:rsidR="005B6A0D">
        <w:rPr>
          <w:rFonts w:ascii="Times New Roman" w:hAnsi="Times New Roman"/>
          <w:sz w:val="28"/>
          <w:szCs w:val="28"/>
        </w:rPr>
        <w:t xml:space="preserve">heading ‘Particulars of person requesting access to the record’ (Part </w:t>
      </w:r>
      <w:r w:rsidR="00BD4835">
        <w:rPr>
          <w:rFonts w:ascii="Times New Roman" w:hAnsi="Times New Roman"/>
          <w:sz w:val="28"/>
          <w:szCs w:val="28"/>
        </w:rPr>
        <w:t>B</w:t>
      </w:r>
      <w:r w:rsidR="005B6A0D">
        <w:rPr>
          <w:rFonts w:ascii="Times New Roman" w:hAnsi="Times New Roman"/>
          <w:sz w:val="28"/>
          <w:szCs w:val="28"/>
        </w:rPr>
        <w:t xml:space="preserve"> of Form A)</w:t>
      </w:r>
      <w:r w:rsidR="005B6A0D">
        <w:rPr>
          <w:rStyle w:val="FootnoteReference"/>
          <w:rFonts w:ascii="Times New Roman" w:hAnsi="Times New Roman"/>
          <w:sz w:val="28"/>
          <w:szCs w:val="28"/>
        </w:rPr>
        <w:footnoteReference w:id="8"/>
      </w:r>
      <w:r w:rsidR="00E572AB">
        <w:rPr>
          <w:rFonts w:ascii="Times New Roman" w:hAnsi="Times New Roman"/>
          <w:sz w:val="28"/>
          <w:szCs w:val="28"/>
        </w:rPr>
        <w:t xml:space="preserve"> leaves no uncertainty that </w:t>
      </w:r>
      <w:r w:rsidR="00E572AB" w:rsidRPr="005B6A0D">
        <w:rPr>
          <w:rFonts w:ascii="Times New Roman" w:hAnsi="Times New Roman"/>
          <w:i/>
          <w:sz w:val="28"/>
          <w:szCs w:val="28"/>
        </w:rPr>
        <w:t>Randall &amp; Associates</w:t>
      </w:r>
      <w:r w:rsidR="00E572AB">
        <w:rPr>
          <w:rFonts w:ascii="Times New Roman" w:hAnsi="Times New Roman"/>
          <w:i/>
          <w:sz w:val="28"/>
          <w:szCs w:val="28"/>
        </w:rPr>
        <w:t xml:space="preserve"> </w:t>
      </w:r>
      <w:r w:rsidR="00E572AB">
        <w:rPr>
          <w:rFonts w:ascii="Times New Roman" w:hAnsi="Times New Roman"/>
          <w:sz w:val="28"/>
          <w:szCs w:val="28"/>
        </w:rPr>
        <w:t xml:space="preserve">are representing the </w:t>
      </w:r>
      <w:r w:rsidR="000574F6">
        <w:rPr>
          <w:rFonts w:ascii="Times New Roman" w:hAnsi="Times New Roman"/>
          <w:sz w:val="28"/>
          <w:szCs w:val="28"/>
        </w:rPr>
        <w:t xml:space="preserve">applicant as the </w:t>
      </w:r>
      <w:r w:rsidR="00E572AB">
        <w:rPr>
          <w:rFonts w:ascii="Times New Roman" w:hAnsi="Times New Roman"/>
          <w:sz w:val="28"/>
          <w:szCs w:val="28"/>
        </w:rPr>
        <w:t>person on whose be</w:t>
      </w:r>
      <w:r w:rsidR="006D192A">
        <w:rPr>
          <w:rFonts w:ascii="Times New Roman" w:hAnsi="Times New Roman"/>
          <w:sz w:val="28"/>
          <w:szCs w:val="28"/>
        </w:rPr>
        <w:t>half the request is made (Part C</w:t>
      </w:r>
      <w:r w:rsidR="00D22CE7">
        <w:rPr>
          <w:rFonts w:ascii="Times New Roman" w:hAnsi="Times New Roman"/>
          <w:sz w:val="28"/>
          <w:szCs w:val="28"/>
        </w:rPr>
        <w:t xml:space="preserve"> of Form A</w:t>
      </w:r>
      <w:r w:rsidR="006D192A">
        <w:rPr>
          <w:rFonts w:ascii="Times New Roman" w:hAnsi="Times New Roman"/>
          <w:sz w:val="28"/>
          <w:szCs w:val="28"/>
        </w:rPr>
        <w:t>).</w:t>
      </w:r>
      <w:r w:rsidR="00867EDE">
        <w:rPr>
          <w:rFonts w:ascii="Times New Roman" w:hAnsi="Times New Roman"/>
          <w:sz w:val="28"/>
          <w:szCs w:val="28"/>
        </w:rPr>
        <w:t xml:space="preserve"> Common sense</w:t>
      </w:r>
      <w:r w:rsidR="0014375D">
        <w:rPr>
          <w:rFonts w:ascii="Times New Roman" w:hAnsi="Times New Roman"/>
          <w:sz w:val="28"/>
          <w:szCs w:val="28"/>
        </w:rPr>
        <w:t xml:space="preserve"> would reasonably alert the recipient of the request as to the role of </w:t>
      </w:r>
      <w:r w:rsidR="00B7413D" w:rsidRPr="005B6A0D">
        <w:rPr>
          <w:rFonts w:ascii="Times New Roman" w:hAnsi="Times New Roman"/>
          <w:i/>
          <w:sz w:val="28"/>
          <w:szCs w:val="28"/>
        </w:rPr>
        <w:t>Randall &amp; Associates</w:t>
      </w:r>
      <w:r w:rsidR="00B7413D">
        <w:rPr>
          <w:rFonts w:ascii="Times New Roman" w:hAnsi="Times New Roman"/>
          <w:sz w:val="28"/>
          <w:szCs w:val="28"/>
        </w:rPr>
        <w:t xml:space="preserve"> when regard is had to the covering </w:t>
      </w:r>
      <w:r w:rsidR="00867EDE">
        <w:rPr>
          <w:rFonts w:ascii="Times New Roman" w:hAnsi="Times New Roman"/>
          <w:sz w:val="28"/>
          <w:szCs w:val="28"/>
        </w:rPr>
        <w:t>the correspondence</w:t>
      </w:r>
      <w:r w:rsidR="00D22CE7">
        <w:rPr>
          <w:rFonts w:ascii="Times New Roman" w:hAnsi="Times New Roman"/>
          <w:sz w:val="28"/>
          <w:szCs w:val="28"/>
        </w:rPr>
        <w:t xml:space="preserve"> and the contents of the request itself.</w:t>
      </w:r>
      <w:r w:rsidR="00C05B89">
        <w:rPr>
          <w:rFonts w:ascii="Times New Roman" w:hAnsi="Times New Roman"/>
          <w:sz w:val="28"/>
          <w:szCs w:val="28"/>
        </w:rPr>
        <w:t xml:space="preserve"> Put another way</w:t>
      </w:r>
      <w:r w:rsidR="00F41781">
        <w:rPr>
          <w:rFonts w:ascii="Times New Roman" w:hAnsi="Times New Roman"/>
          <w:sz w:val="28"/>
          <w:szCs w:val="28"/>
        </w:rPr>
        <w:t xml:space="preserve">, </w:t>
      </w:r>
      <w:r w:rsidR="00DB3E0F">
        <w:rPr>
          <w:rFonts w:ascii="Times New Roman" w:hAnsi="Times New Roman"/>
          <w:sz w:val="28"/>
          <w:szCs w:val="28"/>
        </w:rPr>
        <w:t xml:space="preserve">and </w:t>
      </w:r>
      <w:r w:rsidR="00F41781">
        <w:rPr>
          <w:rFonts w:ascii="Times New Roman" w:hAnsi="Times New Roman"/>
          <w:sz w:val="28"/>
          <w:szCs w:val="28"/>
        </w:rPr>
        <w:t>considered</w:t>
      </w:r>
      <w:r w:rsidR="00C21CE0" w:rsidRPr="00C21CE0">
        <w:rPr>
          <w:rFonts w:ascii="Times New Roman" w:hAnsi="Times New Roman"/>
          <w:sz w:val="28"/>
          <w:szCs w:val="28"/>
        </w:rPr>
        <w:t xml:space="preserve"> </w:t>
      </w:r>
      <w:r w:rsidR="00C21CE0">
        <w:rPr>
          <w:rFonts w:ascii="Times New Roman" w:hAnsi="Times New Roman"/>
          <w:sz w:val="28"/>
          <w:szCs w:val="28"/>
        </w:rPr>
        <w:t>objectively</w:t>
      </w:r>
      <w:r w:rsidR="00F41781">
        <w:rPr>
          <w:rFonts w:ascii="Times New Roman" w:hAnsi="Times New Roman"/>
          <w:sz w:val="28"/>
          <w:szCs w:val="28"/>
        </w:rPr>
        <w:t>,</w:t>
      </w:r>
      <w:r w:rsidR="00DB3E0F">
        <w:rPr>
          <w:rFonts w:ascii="Times New Roman" w:hAnsi="Times New Roman"/>
          <w:sz w:val="28"/>
          <w:szCs w:val="28"/>
        </w:rPr>
        <w:t xml:space="preserve"> </w:t>
      </w:r>
      <w:r w:rsidR="00C05B89">
        <w:rPr>
          <w:rFonts w:ascii="Times New Roman" w:hAnsi="Times New Roman"/>
          <w:sz w:val="28"/>
          <w:szCs w:val="28"/>
        </w:rPr>
        <w:t xml:space="preserve">the request </w:t>
      </w:r>
      <w:r w:rsidR="00D55BC9">
        <w:rPr>
          <w:rFonts w:ascii="Times New Roman" w:hAnsi="Times New Roman"/>
          <w:sz w:val="28"/>
          <w:szCs w:val="28"/>
        </w:rPr>
        <w:t xml:space="preserve">by </w:t>
      </w:r>
      <w:r w:rsidR="00C05B89">
        <w:rPr>
          <w:rFonts w:ascii="Times New Roman" w:hAnsi="Times New Roman"/>
          <w:sz w:val="28"/>
          <w:szCs w:val="28"/>
        </w:rPr>
        <w:t>itself</w:t>
      </w:r>
      <w:r w:rsidR="009A3E8E">
        <w:rPr>
          <w:rFonts w:ascii="Times New Roman" w:hAnsi="Times New Roman"/>
          <w:sz w:val="28"/>
          <w:szCs w:val="28"/>
        </w:rPr>
        <w:t>,</w:t>
      </w:r>
      <w:r w:rsidR="00C05B89">
        <w:rPr>
          <w:rFonts w:ascii="Times New Roman" w:hAnsi="Times New Roman"/>
          <w:sz w:val="28"/>
          <w:szCs w:val="28"/>
        </w:rPr>
        <w:t xml:space="preserve"> </w:t>
      </w:r>
      <w:r w:rsidR="00D55BC9">
        <w:rPr>
          <w:rFonts w:ascii="Times New Roman" w:hAnsi="Times New Roman"/>
          <w:sz w:val="28"/>
          <w:szCs w:val="28"/>
        </w:rPr>
        <w:t xml:space="preserve">or </w:t>
      </w:r>
      <w:r w:rsidR="00DB3E0F">
        <w:rPr>
          <w:rFonts w:ascii="Times New Roman" w:hAnsi="Times New Roman"/>
          <w:sz w:val="28"/>
          <w:szCs w:val="28"/>
        </w:rPr>
        <w:t xml:space="preserve">read in conjunction with </w:t>
      </w:r>
      <w:r w:rsidR="00C05B89">
        <w:rPr>
          <w:rFonts w:ascii="Times New Roman" w:hAnsi="Times New Roman"/>
          <w:sz w:val="28"/>
          <w:szCs w:val="28"/>
        </w:rPr>
        <w:t>the covering correspondence</w:t>
      </w:r>
      <w:r w:rsidR="00F41781">
        <w:rPr>
          <w:rFonts w:ascii="Times New Roman" w:hAnsi="Times New Roman"/>
          <w:sz w:val="28"/>
          <w:szCs w:val="28"/>
        </w:rPr>
        <w:t xml:space="preserve"> </w:t>
      </w:r>
      <w:r w:rsidR="00D55BC9">
        <w:rPr>
          <w:rFonts w:ascii="Times New Roman" w:hAnsi="Times New Roman"/>
          <w:sz w:val="28"/>
          <w:szCs w:val="28"/>
        </w:rPr>
        <w:t>offer</w:t>
      </w:r>
      <w:r w:rsidR="00DB3E0F">
        <w:rPr>
          <w:rFonts w:ascii="Times New Roman" w:hAnsi="Times New Roman"/>
          <w:sz w:val="28"/>
          <w:szCs w:val="28"/>
        </w:rPr>
        <w:t>s</w:t>
      </w:r>
      <w:r w:rsidR="00D55BC9">
        <w:rPr>
          <w:rFonts w:ascii="Times New Roman" w:hAnsi="Times New Roman"/>
          <w:sz w:val="28"/>
          <w:szCs w:val="28"/>
        </w:rPr>
        <w:t xml:space="preserve"> sufficient indication</w:t>
      </w:r>
      <w:r w:rsidR="00DB3E0F">
        <w:rPr>
          <w:rFonts w:ascii="Times New Roman" w:hAnsi="Times New Roman"/>
          <w:sz w:val="28"/>
          <w:szCs w:val="28"/>
        </w:rPr>
        <w:t xml:space="preserve"> </w:t>
      </w:r>
      <w:r w:rsidR="00F41781">
        <w:rPr>
          <w:rFonts w:ascii="Times New Roman" w:hAnsi="Times New Roman"/>
          <w:sz w:val="28"/>
          <w:szCs w:val="28"/>
        </w:rPr>
        <w:t xml:space="preserve">that </w:t>
      </w:r>
      <w:r w:rsidR="00DB3E0F">
        <w:rPr>
          <w:rFonts w:ascii="Times New Roman" w:hAnsi="Times New Roman"/>
          <w:sz w:val="28"/>
          <w:szCs w:val="28"/>
        </w:rPr>
        <w:t xml:space="preserve">it </w:t>
      </w:r>
      <w:r w:rsidR="00F41781">
        <w:rPr>
          <w:rFonts w:ascii="Times New Roman" w:hAnsi="Times New Roman"/>
          <w:sz w:val="28"/>
          <w:szCs w:val="28"/>
        </w:rPr>
        <w:t>is made on behalf of the applicant</w:t>
      </w:r>
      <w:r w:rsidR="00C21CE0">
        <w:rPr>
          <w:rFonts w:ascii="Times New Roman" w:hAnsi="Times New Roman"/>
          <w:sz w:val="28"/>
          <w:szCs w:val="28"/>
        </w:rPr>
        <w:t xml:space="preserve"> from which it may be concluded that proof of the capacity in which the request is made has been forthcoming with reasonable satisfaction.</w:t>
      </w:r>
    </w:p>
    <w:p w14:paraId="1B642C2A" w14:textId="77777777" w:rsidR="006D320B" w:rsidRDefault="00206B7B"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 am of the view that the </w:t>
      </w:r>
      <w:r w:rsidR="005552F2">
        <w:rPr>
          <w:rFonts w:ascii="Times New Roman" w:hAnsi="Times New Roman"/>
          <w:sz w:val="28"/>
          <w:szCs w:val="28"/>
        </w:rPr>
        <w:t xml:space="preserve">request submitted on behalf of the applicant by his attorneys is a request properly made in terms of the Act and that the </w:t>
      </w:r>
      <w:r>
        <w:rPr>
          <w:rFonts w:ascii="Times New Roman" w:hAnsi="Times New Roman"/>
          <w:sz w:val="28"/>
          <w:szCs w:val="28"/>
        </w:rPr>
        <w:t>second respondent’s failure to respond t</w:t>
      </w:r>
      <w:r w:rsidR="005552F2">
        <w:rPr>
          <w:rFonts w:ascii="Times New Roman" w:hAnsi="Times New Roman"/>
          <w:sz w:val="28"/>
          <w:szCs w:val="28"/>
        </w:rPr>
        <w:t>heret</w:t>
      </w:r>
      <w:r>
        <w:rPr>
          <w:rFonts w:ascii="Times New Roman" w:hAnsi="Times New Roman"/>
          <w:sz w:val="28"/>
          <w:szCs w:val="28"/>
        </w:rPr>
        <w:t>o wit</w:t>
      </w:r>
      <w:r w:rsidR="009A3E8E">
        <w:rPr>
          <w:rFonts w:ascii="Times New Roman" w:hAnsi="Times New Roman"/>
          <w:sz w:val="28"/>
          <w:szCs w:val="28"/>
        </w:rPr>
        <w:t xml:space="preserve">hin the stipulated timeframe amounts to </w:t>
      </w:r>
      <w:r>
        <w:rPr>
          <w:rFonts w:ascii="Times New Roman" w:hAnsi="Times New Roman"/>
          <w:sz w:val="28"/>
          <w:szCs w:val="28"/>
        </w:rPr>
        <w:t>a ‘deemed refusal’</w:t>
      </w:r>
      <w:r w:rsidR="00D32527">
        <w:rPr>
          <w:rFonts w:ascii="Times New Roman" w:hAnsi="Times New Roman"/>
          <w:sz w:val="28"/>
          <w:szCs w:val="28"/>
        </w:rPr>
        <w:t>.</w:t>
      </w:r>
      <w:r w:rsidR="00D32527">
        <w:rPr>
          <w:rStyle w:val="FootnoteReference"/>
          <w:rFonts w:ascii="Times New Roman" w:hAnsi="Times New Roman"/>
          <w:sz w:val="28"/>
          <w:szCs w:val="28"/>
        </w:rPr>
        <w:footnoteReference w:id="9"/>
      </w:r>
      <w:r w:rsidR="00730C25">
        <w:rPr>
          <w:rFonts w:ascii="Times New Roman" w:hAnsi="Times New Roman"/>
          <w:sz w:val="28"/>
          <w:szCs w:val="28"/>
        </w:rPr>
        <w:t xml:space="preserve"> This is of importance because the Act </w:t>
      </w:r>
      <w:r w:rsidR="008A583F">
        <w:rPr>
          <w:rFonts w:ascii="Times New Roman" w:hAnsi="Times New Roman"/>
          <w:sz w:val="28"/>
          <w:szCs w:val="28"/>
        </w:rPr>
        <w:t xml:space="preserve">obliges </w:t>
      </w:r>
      <w:r w:rsidR="00730C25">
        <w:rPr>
          <w:rFonts w:ascii="Times New Roman" w:hAnsi="Times New Roman"/>
          <w:sz w:val="28"/>
          <w:szCs w:val="28"/>
        </w:rPr>
        <w:t xml:space="preserve">the </w:t>
      </w:r>
      <w:r w:rsidR="00730C25">
        <w:rPr>
          <w:rFonts w:ascii="Times New Roman" w:hAnsi="Times New Roman"/>
          <w:sz w:val="28"/>
          <w:szCs w:val="28"/>
        </w:rPr>
        <w:lastRenderedPageBreak/>
        <w:t>requester</w:t>
      </w:r>
      <w:r w:rsidR="00977022">
        <w:rPr>
          <w:rFonts w:ascii="Times New Roman" w:hAnsi="Times New Roman"/>
          <w:sz w:val="28"/>
          <w:szCs w:val="28"/>
        </w:rPr>
        <w:t>, before approaching a court,</w:t>
      </w:r>
      <w:r w:rsidR="00730C25">
        <w:rPr>
          <w:rFonts w:ascii="Times New Roman" w:hAnsi="Times New Roman"/>
          <w:sz w:val="28"/>
          <w:szCs w:val="28"/>
        </w:rPr>
        <w:t xml:space="preserve"> to challenge a decision </w:t>
      </w:r>
      <w:r w:rsidR="008A583F">
        <w:rPr>
          <w:rFonts w:ascii="Times New Roman" w:hAnsi="Times New Roman"/>
          <w:sz w:val="28"/>
          <w:szCs w:val="28"/>
        </w:rPr>
        <w:t xml:space="preserve">by way of an internal appeal </w:t>
      </w:r>
      <w:r w:rsidR="00730C25">
        <w:rPr>
          <w:rFonts w:ascii="Times New Roman" w:hAnsi="Times New Roman"/>
          <w:sz w:val="28"/>
          <w:szCs w:val="28"/>
        </w:rPr>
        <w:t xml:space="preserve">when no decision has been made </w:t>
      </w:r>
      <w:r w:rsidR="00977022">
        <w:rPr>
          <w:rFonts w:ascii="Times New Roman" w:hAnsi="Times New Roman"/>
          <w:sz w:val="28"/>
          <w:szCs w:val="28"/>
        </w:rPr>
        <w:t>by way of a refusal or a deemed refusal.</w:t>
      </w:r>
      <w:r w:rsidR="0028272D">
        <w:rPr>
          <w:rStyle w:val="FootnoteReference"/>
          <w:rFonts w:ascii="Times New Roman" w:hAnsi="Times New Roman"/>
          <w:sz w:val="28"/>
          <w:szCs w:val="28"/>
        </w:rPr>
        <w:footnoteReference w:id="10"/>
      </w:r>
      <w:r w:rsidR="00716229">
        <w:rPr>
          <w:rFonts w:ascii="Times New Roman" w:hAnsi="Times New Roman"/>
          <w:sz w:val="28"/>
          <w:szCs w:val="28"/>
        </w:rPr>
        <w:t xml:space="preserve"> This is precisely the course adopted by the applicant’s attorneys (acting on his behalf) prior to the launch of this application</w:t>
      </w:r>
      <w:r w:rsidR="00273785">
        <w:rPr>
          <w:rFonts w:ascii="Times New Roman" w:hAnsi="Times New Roman"/>
          <w:sz w:val="28"/>
          <w:szCs w:val="28"/>
        </w:rPr>
        <w:t>, and within the stipulated timeframe for lodging an appeal.</w:t>
      </w:r>
      <w:r w:rsidR="00273785">
        <w:rPr>
          <w:rStyle w:val="FootnoteReference"/>
          <w:rFonts w:ascii="Times New Roman" w:hAnsi="Times New Roman"/>
          <w:sz w:val="28"/>
          <w:szCs w:val="28"/>
        </w:rPr>
        <w:footnoteReference w:id="11"/>
      </w:r>
    </w:p>
    <w:p w14:paraId="6CFF078B" w14:textId="77777777" w:rsidR="0056627B" w:rsidRDefault="0056627B"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 xml:space="preserve">In my judgment therefore the </w:t>
      </w:r>
      <w:r w:rsidR="00077416">
        <w:rPr>
          <w:rFonts w:ascii="Times New Roman" w:hAnsi="Times New Roman"/>
          <w:sz w:val="28"/>
          <w:szCs w:val="28"/>
        </w:rPr>
        <w:t xml:space="preserve">basis on which the </w:t>
      </w:r>
      <w:r>
        <w:rPr>
          <w:rFonts w:ascii="Times New Roman" w:hAnsi="Times New Roman"/>
          <w:sz w:val="28"/>
          <w:szCs w:val="28"/>
        </w:rPr>
        <w:t xml:space="preserve">respondents have </w:t>
      </w:r>
      <w:r w:rsidR="00077416">
        <w:rPr>
          <w:rFonts w:ascii="Times New Roman" w:hAnsi="Times New Roman"/>
          <w:sz w:val="28"/>
          <w:szCs w:val="28"/>
        </w:rPr>
        <w:t>sought to oppose these proceedings is legally unsustainable.</w:t>
      </w:r>
      <w:r w:rsidR="00F179F2">
        <w:rPr>
          <w:rFonts w:ascii="Times New Roman" w:hAnsi="Times New Roman"/>
          <w:sz w:val="28"/>
          <w:szCs w:val="28"/>
        </w:rPr>
        <w:t xml:space="preserve"> To hold otherwise would effectively render the Act a blunt instrument</w:t>
      </w:r>
      <w:r w:rsidR="00B118F1">
        <w:rPr>
          <w:rFonts w:ascii="Times New Roman" w:hAnsi="Times New Roman"/>
          <w:sz w:val="28"/>
          <w:szCs w:val="28"/>
        </w:rPr>
        <w:t>.</w:t>
      </w:r>
    </w:p>
    <w:p w14:paraId="0ED159DB" w14:textId="77777777" w:rsidR="00B76974" w:rsidRDefault="00AB1099"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The Act confers on the court the discretion to make ‘any order that is just and equitable’</w:t>
      </w:r>
      <w:r>
        <w:rPr>
          <w:rStyle w:val="FootnoteReference"/>
          <w:rFonts w:ascii="Times New Roman" w:hAnsi="Times New Roman"/>
          <w:sz w:val="28"/>
          <w:szCs w:val="28"/>
        </w:rPr>
        <w:footnoteReference w:id="12"/>
      </w:r>
      <w:r>
        <w:rPr>
          <w:rFonts w:ascii="Times New Roman" w:hAnsi="Times New Roman"/>
          <w:sz w:val="28"/>
          <w:szCs w:val="28"/>
        </w:rPr>
        <w:t>.</w:t>
      </w:r>
    </w:p>
    <w:p w14:paraId="1070F1DD" w14:textId="77777777" w:rsidR="00AB1099" w:rsidRDefault="00AB1099" w:rsidP="009C1594">
      <w:pPr>
        <w:pStyle w:val="LegalList1"/>
        <w:numPr>
          <w:ilvl w:val="0"/>
          <w:numId w:val="2"/>
        </w:numPr>
        <w:tabs>
          <w:tab w:val="clear" w:pos="567"/>
        </w:tabs>
        <w:spacing w:line="360" w:lineRule="auto"/>
        <w:ind w:left="0" w:firstLine="0"/>
        <w:rPr>
          <w:rFonts w:ascii="Times New Roman" w:hAnsi="Times New Roman"/>
          <w:sz w:val="28"/>
          <w:szCs w:val="28"/>
        </w:rPr>
      </w:pPr>
      <w:r>
        <w:rPr>
          <w:rFonts w:ascii="Times New Roman" w:hAnsi="Times New Roman"/>
          <w:sz w:val="28"/>
          <w:szCs w:val="28"/>
        </w:rPr>
        <w:t>In the circumstances I make the following order:</w:t>
      </w:r>
    </w:p>
    <w:p w14:paraId="57FB73D1" w14:textId="77777777" w:rsidR="00F3379A" w:rsidRDefault="002C3C42" w:rsidP="008A6CAC">
      <w:pPr>
        <w:pStyle w:val="LegalList1"/>
        <w:numPr>
          <w:ilvl w:val="0"/>
          <w:numId w:val="3"/>
        </w:numPr>
        <w:spacing w:line="360" w:lineRule="auto"/>
        <w:rPr>
          <w:rFonts w:ascii="Times New Roman" w:hAnsi="Times New Roman"/>
          <w:sz w:val="28"/>
          <w:szCs w:val="28"/>
        </w:rPr>
      </w:pPr>
      <w:r>
        <w:rPr>
          <w:rFonts w:ascii="Times New Roman" w:hAnsi="Times New Roman"/>
          <w:sz w:val="28"/>
          <w:szCs w:val="28"/>
        </w:rPr>
        <w:t>The respondents are directed, within 20 (twenty) days from the date of this order and in accordance with the provisions of the Promotion of Access to Information Act 2 of 2000, to furnish the applicant with copies of the following documents:</w:t>
      </w:r>
    </w:p>
    <w:p w14:paraId="6496EC2B" w14:textId="77777777" w:rsidR="00F3379A" w:rsidRDefault="00655C2F" w:rsidP="008F600B">
      <w:pPr>
        <w:pStyle w:val="LegalList1"/>
        <w:spacing w:line="360" w:lineRule="auto"/>
        <w:ind w:left="2160" w:hanging="1080"/>
        <w:rPr>
          <w:rFonts w:ascii="Times New Roman" w:hAnsi="Times New Roman"/>
          <w:sz w:val="28"/>
          <w:szCs w:val="28"/>
        </w:rPr>
      </w:pPr>
      <w:r>
        <w:rPr>
          <w:rFonts w:ascii="Times New Roman" w:hAnsi="Times New Roman"/>
          <w:sz w:val="28"/>
          <w:szCs w:val="28"/>
        </w:rPr>
        <w:t>1.1</w:t>
      </w:r>
      <w:r w:rsidR="008F600B">
        <w:rPr>
          <w:rFonts w:ascii="Times New Roman" w:hAnsi="Times New Roman"/>
          <w:sz w:val="28"/>
          <w:szCs w:val="28"/>
        </w:rPr>
        <w:tab/>
      </w:r>
      <w:r w:rsidR="00580438" w:rsidRPr="008A6CAC">
        <w:rPr>
          <w:rFonts w:ascii="Times New Roman" w:hAnsi="Times New Roman"/>
          <w:sz w:val="28"/>
          <w:szCs w:val="28"/>
        </w:rPr>
        <w:t>All medical reports, submitted to the Department of Education, Eastern Cape Province by the applicant in support of his applications for temporary incapacity leave, including the relevant occupational therapist’s report and psychiatric reports in support thereof.</w:t>
      </w:r>
    </w:p>
    <w:p w14:paraId="0CEF2642" w14:textId="77777777" w:rsidR="00580438" w:rsidRDefault="00655C2F" w:rsidP="008F600B">
      <w:pPr>
        <w:pStyle w:val="LegalList1"/>
        <w:spacing w:line="360" w:lineRule="auto"/>
        <w:ind w:left="2160" w:hanging="1080"/>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580438" w:rsidRPr="00655C2F">
        <w:rPr>
          <w:rFonts w:ascii="Times New Roman" w:hAnsi="Times New Roman"/>
          <w:sz w:val="28"/>
          <w:szCs w:val="28"/>
        </w:rPr>
        <w:t xml:space="preserve">All correspondence by the Department of Education addressed to the applicant relating to his illness and inability </w:t>
      </w:r>
      <w:r w:rsidR="00580438" w:rsidRPr="00655C2F">
        <w:rPr>
          <w:rFonts w:ascii="Times New Roman" w:hAnsi="Times New Roman"/>
          <w:sz w:val="28"/>
          <w:szCs w:val="28"/>
        </w:rPr>
        <w:lastRenderedPageBreak/>
        <w:t xml:space="preserve">to attend at his workplace as school principal at the </w:t>
      </w:r>
      <w:proofErr w:type="spellStart"/>
      <w:r w:rsidR="00580438" w:rsidRPr="00655C2F">
        <w:rPr>
          <w:rFonts w:ascii="Times New Roman" w:hAnsi="Times New Roman"/>
          <w:sz w:val="28"/>
          <w:szCs w:val="28"/>
        </w:rPr>
        <w:t>Inxu</w:t>
      </w:r>
      <w:proofErr w:type="spellEnd"/>
      <w:r w:rsidR="00580438" w:rsidRPr="00655C2F">
        <w:rPr>
          <w:rFonts w:ascii="Times New Roman" w:hAnsi="Times New Roman"/>
          <w:sz w:val="28"/>
          <w:szCs w:val="28"/>
        </w:rPr>
        <w:t xml:space="preserve"> Primary School, </w:t>
      </w:r>
      <w:proofErr w:type="spellStart"/>
      <w:r w:rsidR="00580438" w:rsidRPr="00655C2F">
        <w:rPr>
          <w:rFonts w:ascii="Times New Roman" w:hAnsi="Times New Roman"/>
          <w:sz w:val="28"/>
          <w:szCs w:val="28"/>
        </w:rPr>
        <w:t>Ugie</w:t>
      </w:r>
      <w:proofErr w:type="spellEnd"/>
      <w:r w:rsidR="00580438" w:rsidRPr="00655C2F">
        <w:rPr>
          <w:rFonts w:ascii="Times New Roman" w:hAnsi="Times New Roman"/>
          <w:sz w:val="28"/>
          <w:szCs w:val="28"/>
        </w:rPr>
        <w:t>, Maclear.</w:t>
      </w:r>
    </w:p>
    <w:p w14:paraId="4D9B7663" w14:textId="77777777" w:rsidR="00580438" w:rsidRDefault="00655C2F" w:rsidP="008F600B">
      <w:pPr>
        <w:pStyle w:val="LegalList1"/>
        <w:spacing w:line="360" w:lineRule="auto"/>
        <w:ind w:left="2160" w:hanging="1080"/>
        <w:rPr>
          <w:rFonts w:ascii="Times New Roman" w:hAnsi="Times New Roman"/>
          <w:sz w:val="28"/>
          <w:szCs w:val="28"/>
        </w:rPr>
      </w:pPr>
      <w:r>
        <w:rPr>
          <w:rFonts w:ascii="Times New Roman" w:hAnsi="Times New Roman"/>
          <w:sz w:val="28"/>
          <w:szCs w:val="28"/>
        </w:rPr>
        <w:t>1.3</w:t>
      </w:r>
      <w:r w:rsidR="008F600B">
        <w:rPr>
          <w:rFonts w:ascii="Times New Roman" w:hAnsi="Times New Roman"/>
          <w:sz w:val="28"/>
          <w:szCs w:val="28"/>
        </w:rPr>
        <w:tab/>
      </w:r>
      <w:r w:rsidR="00580438" w:rsidRPr="00655C2F">
        <w:rPr>
          <w:rFonts w:ascii="Times New Roman" w:hAnsi="Times New Roman"/>
          <w:sz w:val="28"/>
          <w:szCs w:val="28"/>
        </w:rPr>
        <w:t>All documents relating to the applicant’s</w:t>
      </w:r>
      <w:r w:rsidR="00212DB2" w:rsidRPr="00655C2F">
        <w:rPr>
          <w:rFonts w:ascii="Times New Roman" w:hAnsi="Times New Roman"/>
          <w:sz w:val="28"/>
          <w:szCs w:val="28"/>
        </w:rPr>
        <w:t xml:space="preserve"> grievance, including documents reflecting the manner in which the said department dealt with his grievance, including the minutes of the meetings of 6 April 2022 and 19 April 2022 attended by the applicant, his union representative and representatives of the Department of Education, Eastern Cape Province, all of which related to the applicant’s inability to attend his work.</w:t>
      </w:r>
    </w:p>
    <w:p w14:paraId="60198795" w14:textId="77777777" w:rsidR="00212DB2" w:rsidRPr="00655C2F" w:rsidRDefault="00212DB2" w:rsidP="00655C2F">
      <w:pPr>
        <w:pStyle w:val="LegalList1"/>
        <w:numPr>
          <w:ilvl w:val="0"/>
          <w:numId w:val="3"/>
        </w:numPr>
        <w:spacing w:line="360" w:lineRule="auto"/>
        <w:rPr>
          <w:rFonts w:ascii="Times New Roman" w:hAnsi="Times New Roman"/>
          <w:sz w:val="28"/>
          <w:szCs w:val="28"/>
        </w:rPr>
      </w:pPr>
      <w:r w:rsidRPr="00655C2F">
        <w:rPr>
          <w:rFonts w:ascii="Times New Roman" w:hAnsi="Times New Roman"/>
          <w:sz w:val="28"/>
          <w:szCs w:val="28"/>
        </w:rPr>
        <w:t>The respondents are directed</w:t>
      </w:r>
      <w:r w:rsidR="00655C2F" w:rsidRPr="00655C2F">
        <w:rPr>
          <w:rFonts w:ascii="Times New Roman" w:hAnsi="Times New Roman"/>
          <w:sz w:val="28"/>
          <w:szCs w:val="28"/>
        </w:rPr>
        <w:t xml:space="preserve"> to pay the applicant’s costs of the application</w:t>
      </w:r>
      <w:r w:rsidR="00893D23" w:rsidRPr="00655C2F">
        <w:rPr>
          <w:rFonts w:ascii="Times New Roman" w:hAnsi="Times New Roman"/>
          <w:sz w:val="28"/>
          <w:szCs w:val="28"/>
        </w:rPr>
        <w:t xml:space="preserve"> jointly and/or severally</w:t>
      </w:r>
      <w:r w:rsidR="00655C2F">
        <w:rPr>
          <w:rFonts w:ascii="Times New Roman" w:hAnsi="Times New Roman"/>
          <w:sz w:val="28"/>
          <w:szCs w:val="28"/>
        </w:rPr>
        <w:t xml:space="preserve"> the one paying the other to be absolved</w:t>
      </w:r>
      <w:r w:rsidR="00893D23" w:rsidRPr="00655C2F">
        <w:rPr>
          <w:rFonts w:ascii="Times New Roman" w:hAnsi="Times New Roman"/>
          <w:sz w:val="28"/>
          <w:szCs w:val="28"/>
        </w:rPr>
        <w:t>.</w:t>
      </w:r>
    </w:p>
    <w:p w14:paraId="4E73543E" w14:textId="77777777" w:rsidR="005C2004" w:rsidRDefault="005C2004" w:rsidP="00893D23">
      <w:pPr>
        <w:pStyle w:val="LegalList1"/>
        <w:spacing w:line="360" w:lineRule="auto"/>
        <w:rPr>
          <w:rFonts w:ascii="Times New Roman" w:hAnsi="Times New Roman"/>
          <w:sz w:val="28"/>
          <w:szCs w:val="28"/>
        </w:rPr>
      </w:pPr>
    </w:p>
    <w:p w14:paraId="3973A4B1" w14:textId="77777777" w:rsidR="00893D23" w:rsidRDefault="00893D23" w:rsidP="00893D23">
      <w:pPr>
        <w:pStyle w:val="LegalList1"/>
        <w:spacing w:line="360" w:lineRule="auto"/>
        <w:rPr>
          <w:rFonts w:ascii="Times New Roman" w:hAnsi="Times New Roman"/>
          <w:sz w:val="28"/>
          <w:szCs w:val="28"/>
        </w:rPr>
      </w:pPr>
    </w:p>
    <w:p w14:paraId="2481EFCC" w14:textId="77777777" w:rsidR="00835C60" w:rsidRPr="00CD6C14" w:rsidRDefault="00835C60" w:rsidP="00835C60">
      <w:pPr>
        <w:pStyle w:val="LegalList1"/>
        <w:spacing w:after="0" w:line="360" w:lineRule="auto"/>
        <w:ind w:left="851"/>
        <w:rPr>
          <w:rFonts w:ascii="Times New Roman" w:hAnsi="Times New Roman"/>
          <w:sz w:val="28"/>
          <w:szCs w:val="28"/>
        </w:rPr>
      </w:pPr>
    </w:p>
    <w:p w14:paraId="27D92241"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5003D37B"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3DD4F48B"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2DB650B0" w14:textId="77777777" w:rsidR="00835C60" w:rsidRDefault="00835C60" w:rsidP="00835C60">
      <w:pPr>
        <w:pStyle w:val="LegalList1"/>
        <w:spacing w:after="0" w:line="360" w:lineRule="auto"/>
        <w:rPr>
          <w:rFonts w:ascii="Times New Roman" w:hAnsi="Times New Roman"/>
          <w:sz w:val="28"/>
          <w:szCs w:val="28"/>
        </w:rPr>
      </w:pPr>
    </w:p>
    <w:p w14:paraId="464241C2" w14:textId="77777777" w:rsidR="00573F74" w:rsidRDefault="00573F74" w:rsidP="00835C60">
      <w:pPr>
        <w:pStyle w:val="LegalList1"/>
        <w:spacing w:after="0" w:line="360" w:lineRule="auto"/>
        <w:rPr>
          <w:rFonts w:ascii="Times New Roman" w:hAnsi="Times New Roman"/>
          <w:sz w:val="28"/>
          <w:szCs w:val="28"/>
        </w:rPr>
      </w:pPr>
    </w:p>
    <w:p w14:paraId="76E196CD" w14:textId="77777777" w:rsidR="00B77288" w:rsidRDefault="00B77288" w:rsidP="00835C60">
      <w:pPr>
        <w:pStyle w:val="LegalList1"/>
        <w:spacing w:after="0" w:line="360" w:lineRule="auto"/>
        <w:rPr>
          <w:rFonts w:ascii="Times New Roman" w:hAnsi="Times New Roman"/>
          <w:sz w:val="28"/>
          <w:szCs w:val="28"/>
        </w:rPr>
      </w:pPr>
    </w:p>
    <w:p w14:paraId="476322D2" w14:textId="77777777" w:rsidR="00B77288" w:rsidRDefault="00B77288" w:rsidP="00835C60">
      <w:pPr>
        <w:pStyle w:val="LegalList1"/>
        <w:spacing w:after="0" w:line="360" w:lineRule="auto"/>
        <w:rPr>
          <w:rFonts w:ascii="Times New Roman" w:hAnsi="Times New Roman"/>
          <w:sz w:val="28"/>
          <w:szCs w:val="28"/>
        </w:rPr>
      </w:pPr>
    </w:p>
    <w:p w14:paraId="413B9EF1" w14:textId="77777777" w:rsidR="00B77288" w:rsidRDefault="00B77288" w:rsidP="00835C60">
      <w:pPr>
        <w:pStyle w:val="LegalList1"/>
        <w:spacing w:after="0" w:line="360" w:lineRule="auto"/>
        <w:rPr>
          <w:rFonts w:ascii="Times New Roman" w:hAnsi="Times New Roman"/>
          <w:sz w:val="28"/>
          <w:szCs w:val="28"/>
        </w:rPr>
      </w:pPr>
    </w:p>
    <w:p w14:paraId="274D566C" w14:textId="77777777" w:rsidR="00B77288" w:rsidRDefault="00B77288" w:rsidP="00835C60">
      <w:pPr>
        <w:pStyle w:val="LegalList1"/>
        <w:spacing w:after="0" w:line="360" w:lineRule="auto"/>
        <w:rPr>
          <w:rFonts w:ascii="Times New Roman" w:hAnsi="Times New Roman"/>
          <w:sz w:val="28"/>
          <w:szCs w:val="28"/>
        </w:rPr>
      </w:pPr>
    </w:p>
    <w:p w14:paraId="5CF94307" w14:textId="77777777" w:rsidR="00B77288" w:rsidRDefault="00B77288" w:rsidP="00835C60">
      <w:pPr>
        <w:pStyle w:val="LegalList1"/>
        <w:spacing w:after="0" w:line="360" w:lineRule="auto"/>
        <w:rPr>
          <w:rFonts w:ascii="Times New Roman" w:hAnsi="Times New Roman"/>
          <w:sz w:val="28"/>
          <w:szCs w:val="28"/>
        </w:rPr>
      </w:pPr>
    </w:p>
    <w:p w14:paraId="618D3C8E" w14:textId="77777777" w:rsidR="00573F74" w:rsidRDefault="00573F74" w:rsidP="00573F74">
      <w:pPr>
        <w:pStyle w:val="LegalList1"/>
        <w:spacing w:after="0" w:line="360" w:lineRule="auto"/>
        <w:rPr>
          <w:rFonts w:ascii="Times New Roman" w:hAnsi="Times New Roman"/>
          <w:sz w:val="28"/>
          <w:szCs w:val="28"/>
        </w:rPr>
      </w:pPr>
      <w:r w:rsidRPr="00B91145">
        <w:rPr>
          <w:rFonts w:ascii="Times New Roman" w:hAnsi="Times New Roman"/>
          <w:sz w:val="28"/>
          <w:szCs w:val="28"/>
        </w:rPr>
        <w:lastRenderedPageBreak/>
        <w:t>Appearances:</w:t>
      </w:r>
    </w:p>
    <w:p w14:paraId="02590BB3" w14:textId="77777777" w:rsidR="00573F74" w:rsidRDefault="00573F74" w:rsidP="00573F74">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Applicant</w:t>
      </w:r>
      <w:r w:rsidRPr="00B91145">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AA14A7" w:rsidRPr="008A6CAC">
        <w:rPr>
          <w:rFonts w:ascii="Times New Roman" w:hAnsi="Times New Roman"/>
          <w:i/>
          <w:sz w:val="28"/>
          <w:szCs w:val="28"/>
        </w:rPr>
        <w:t xml:space="preserve">A M </w:t>
      </w:r>
      <w:proofErr w:type="spellStart"/>
      <w:r w:rsidR="00AA14A7" w:rsidRPr="008A6CAC">
        <w:rPr>
          <w:rFonts w:ascii="Times New Roman" w:hAnsi="Times New Roman"/>
          <w:i/>
          <w:sz w:val="28"/>
          <w:szCs w:val="28"/>
        </w:rPr>
        <w:t>Maseti</w:t>
      </w:r>
      <w:proofErr w:type="spellEnd"/>
      <w:r w:rsidRPr="00B91145">
        <w:rPr>
          <w:rFonts w:ascii="Times New Roman" w:hAnsi="Times New Roman"/>
          <w:sz w:val="28"/>
          <w:szCs w:val="28"/>
        </w:rPr>
        <w:t xml:space="preserve">, Instructed by </w:t>
      </w:r>
      <w:proofErr w:type="spellStart"/>
      <w:r w:rsidR="00AA14A7">
        <w:rPr>
          <w:rFonts w:ascii="Times New Roman" w:hAnsi="Times New Roman"/>
          <w:sz w:val="28"/>
          <w:szCs w:val="28"/>
        </w:rPr>
        <w:t>O’Bien</w:t>
      </w:r>
      <w:proofErr w:type="spellEnd"/>
      <w:r w:rsidR="00AA14A7">
        <w:rPr>
          <w:rFonts w:ascii="Times New Roman" w:hAnsi="Times New Roman"/>
          <w:sz w:val="28"/>
          <w:szCs w:val="28"/>
        </w:rPr>
        <w:t xml:space="preserve"> Inc., c/o Hutton and Cook, King Williams Town</w:t>
      </w:r>
      <w:r>
        <w:rPr>
          <w:rFonts w:ascii="Times New Roman" w:hAnsi="Times New Roman"/>
          <w:sz w:val="28"/>
          <w:szCs w:val="28"/>
        </w:rPr>
        <w:t>, Tel: 043-</w:t>
      </w:r>
      <w:r w:rsidR="00AA14A7">
        <w:rPr>
          <w:rFonts w:ascii="Times New Roman" w:hAnsi="Times New Roman"/>
          <w:sz w:val="28"/>
          <w:szCs w:val="28"/>
        </w:rPr>
        <w:t>642 3410</w:t>
      </w:r>
      <w:r>
        <w:rPr>
          <w:rFonts w:ascii="Times New Roman" w:hAnsi="Times New Roman"/>
          <w:sz w:val="28"/>
          <w:szCs w:val="28"/>
        </w:rPr>
        <w:t xml:space="preserve"> (Ref: </w:t>
      </w:r>
      <w:r w:rsidR="008A6CAC">
        <w:rPr>
          <w:rFonts w:ascii="Times New Roman" w:hAnsi="Times New Roman"/>
          <w:sz w:val="28"/>
          <w:szCs w:val="28"/>
        </w:rPr>
        <w:t xml:space="preserve">Mr </w:t>
      </w:r>
      <w:r w:rsidR="00540F0C">
        <w:rPr>
          <w:rFonts w:ascii="Times New Roman" w:hAnsi="Times New Roman"/>
          <w:sz w:val="28"/>
          <w:szCs w:val="28"/>
        </w:rPr>
        <w:t>G C Webb</w:t>
      </w:r>
      <w:r>
        <w:rPr>
          <w:rFonts w:ascii="Times New Roman" w:hAnsi="Times New Roman"/>
          <w:sz w:val="28"/>
          <w:szCs w:val="28"/>
        </w:rPr>
        <w:t>).</w:t>
      </w:r>
    </w:p>
    <w:p w14:paraId="2D228C06" w14:textId="77777777" w:rsidR="00573F74" w:rsidRDefault="00573F74" w:rsidP="00573F74">
      <w:pPr>
        <w:pStyle w:val="LegalList1"/>
        <w:spacing w:after="0" w:line="360" w:lineRule="auto"/>
        <w:rPr>
          <w:rFonts w:ascii="Times New Roman" w:hAnsi="Times New Roman"/>
          <w:sz w:val="28"/>
          <w:szCs w:val="28"/>
        </w:rPr>
      </w:pPr>
    </w:p>
    <w:p w14:paraId="21628C4A" w14:textId="77777777" w:rsidR="00573F74" w:rsidRDefault="00573F74" w:rsidP="00573F74">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Respondents</w:t>
      </w:r>
      <w:r w:rsidRPr="00B9114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00540F0C" w:rsidRPr="008A6CAC">
        <w:rPr>
          <w:rFonts w:ascii="Times New Roman" w:hAnsi="Times New Roman"/>
          <w:i/>
          <w:sz w:val="28"/>
          <w:szCs w:val="28"/>
        </w:rPr>
        <w:t xml:space="preserve">P </w:t>
      </w:r>
      <w:proofErr w:type="spellStart"/>
      <w:r w:rsidR="00540F0C" w:rsidRPr="008A6CAC">
        <w:rPr>
          <w:rFonts w:ascii="Times New Roman" w:hAnsi="Times New Roman"/>
          <w:i/>
          <w:sz w:val="28"/>
          <w:szCs w:val="28"/>
        </w:rPr>
        <w:t>Dukada</w:t>
      </w:r>
      <w:proofErr w:type="spellEnd"/>
      <w:r>
        <w:rPr>
          <w:rFonts w:ascii="Times New Roman" w:hAnsi="Times New Roman"/>
          <w:sz w:val="28"/>
          <w:szCs w:val="28"/>
        </w:rPr>
        <w:t xml:space="preserve">, Instructed by The State Attorney, East London, Tel: 043-706 5100 (Ref: </w:t>
      </w:r>
      <w:r w:rsidR="00540F0C">
        <w:rPr>
          <w:rFonts w:ascii="Times New Roman" w:hAnsi="Times New Roman"/>
          <w:sz w:val="28"/>
          <w:szCs w:val="28"/>
        </w:rPr>
        <w:t>245/23-P8</w:t>
      </w:r>
      <w:r>
        <w:rPr>
          <w:rFonts w:ascii="Times New Roman" w:hAnsi="Times New Roman"/>
          <w:sz w:val="28"/>
          <w:szCs w:val="28"/>
        </w:rPr>
        <w:t xml:space="preserve"> (</w:t>
      </w:r>
      <w:r w:rsidR="008A6CAC">
        <w:rPr>
          <w:rFonts w:ascii="Times New Roman" w:hAnsi="Times New Roman"/>
          <w:sz w:val="28"/>
          <w:szCs w:val="28"/>
        </w:rPr>
        <w:t xml:space="preserve">Mr </w:t>
      </w:r>
      <w:proofErr w:type="spellStart"/>
      <w:r w:rsidR="00540F0C">
        <w:rPr>
          <w:rFonts w:ascii="Times New Roman" w:hAnsi="Times New Roman"/>
          <w:sz w:val="28"/>
          <w:szCs w:val="28"/>
        </w:rPr>
        <w:t>Spondo</w:t>
      </w:r>
      <w:proofErr w:type="spellEnd"/>
      <w:r>
        <w:rPr>
          <w:rFonts w:ascii="Times New Roman" w:hAnsi="Times New Roman"/>
          <w:sz w:val="28"/>
          <w:szCs w:val="28"/>
        </w:rPr>
        <w:t>)</w:t>
      </w:r>
      <w:r w:rsidR="008A6CAC">
        <w:rPr>
          <w:rFonts w:ascii="Times New Roman" w:hAnsi="Times New Roman"/>
          <w:sz w:val="28"/>
          <w:szCs w:val="28"/>
        </w:rPr>
        <w:t>)</w:t>
      </w:r>
      <w:r>
        <w:rPr>
          <w:rFonts w:ascii="Times New Roman" w:hAnsi="Times New Roman"/>
          <w:sz w:val="28"/>
          <w:szCs w:val="28"/>
        </w:rPr>
        <w:t>.</w:t>
      </w:r>
    </w:p>
    <w:p w14:paraId="5CACAFA6" w14:textId="77777777" w:rsidR="00573F74" w:rsidRDefault="00573F74" w:rsidP="00573F74">
      <w:pPr>
        <w:pStyle w:val="LegalList1"/>
        <w:spacing w:after="0" w:line="360" w:lineRule="auto"/>
        <w:rPr>
          <w:rFonts w:ascii="Times New Roman" w:hAnsi="Times New Roman"/>
          <w:sz w:val="28"/>
          <w:szCs w:val="28"/>
        </w:rPr>
      </w:pPr>
    </w:p>
    <w:p w14:paraId="67DB590E" w14:textId="77777777" w:rsidR="00573F74" w:rsidRDefault="00573F74" w:rsidP="00573F74">
      <w:pPr>
        <w:pStyle w:val="LegalList1"/>
        <w:spacing w:after="0" w:line="360" w:lineRule="auto"/>
        <w:rPr>
          <w:rFonts w:ascii="Times New Roman" w:hAnsi="Times New Roman"/>
          <w:sz w:val="28"/>
          <w:szCs w:val="28"/>
        </w:rPr>
      </w:pPr>
    </w:p>
    <w:p w14:paraId="64F4618C" w14:textId="77777777" w:rsidR="00573F74" w:rsidRDefault="00573F74" w:rsidP="00573F74">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A6CAC">
        <w:rPr>
          <w:rFonts w:ascii="Times New Roman" w:hAnsi="Times New Roman"/>
          <w:sz w:val="28"/>
          <w:szCs w:val="28"/>
        </w:rPr>
        <w:t>07 September 2023</w:t>
      </w:r>
      <w:r>
        <w:rPr>
          <w:rFonts w:ascii="Times New Roman" w:hAnsi="Times New Roman"/>
          <w:sz w:val="28"/>
          <w:szCs w:val="28"/>
        </w:rPr>
        <w:t>.</w:t>
      </w:r>
    </w:p>
    <w:p w14:paraId="0E4F348B" w14:textId="77777777" w:rsidR="00573F74" w:rsidRPr="00672E20" w:rsidRDefault="00573F74" w:rsidP="00835C60">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t>2</w:t>
      </w:r>
      <w:r w:rsidR="008A6CAC">
        <w:rPr>
          <w:rFonts w:ascii="Times New Roman" w:hAnsi="Times New Roman"/>
          <w:sz w:val="28"/>
          <w:szCs w:val="28"/>
        </w:rPr>
        <w:t xml:space="preserve">8 </w:t>
      </w:r>
      <w:r>
        <w:rPr>
          <w:rFonts w:ascii="Times New Roman" w:hAnsi="Times New Roman"/>
          <w:sz w:val="28"/>
          <w:szCs w:val="28"/>
        </w:rPr>
        <w:t>November 2023.</w:t>
      </w:r>
    </w:p>
    <w:sectPr w:rsidR="00573F74" w:rsidRPr="00672E20" w:rsidSect="00A572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7B96" w14:textId="77777777" w:rsidR="00D97374" w:rsidRDefault="00D97374" w:rsidP="00354A12">
      <w:pPr>
        <w:spacing w:line="240" w:lineRule="auto"/>
      </w:pPr>
      <w:r>
        <w:separator/>
      </w:r>
    </w:p>
  </w:endnote>
  <w:endnote w:type="continuationSeparator" w:id="0">
    <w:p w14:paraId="020BB3FC" w14:textId="77777777" w:rsidR="00D97374" w:rsidRDefault="00D97374"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0AF1" w14:textId="77777777" w:rsidR="00B564A2" w:rsidRDefault="00B5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58D7" w14:textId="77777777" w:rsidR="00B564A2" w:rsidRDefault="00B56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4240"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BE32" w14:textId="77777777" w:rsidR="00D97374" w:rsidRDefault="00D97374" w:rsidP="00354A12">
      <w:pPr>
        <w:spacing w:line="240" w:lineRule="auto"/>
      </w:pPr>
      <w:r>
        <w:separator/>
      </w:r>
    </w:p>
  </w:footnote>
  <w:footnote w:type="continuationSeparator" w:id="0">
    <w:p w14:paraId="0CE7E1CE" w14:textId="77777777" w:rsidR="00D97374" w:rsidRDefault="00D97374" w:rsidP="00354A12">
      <w:pPr>
        <w:spacing w:line="240" w:lineRule="auto"/>
      </w:pPr>
      <w:r>
        <w:continuationSeparator/>
      </w:r>
    </w:p>
  </w:footnote>
  <w:footnote w:id="1">
    <w:p w14:paraId="57F385C6" w14:textId="77777777" w:rsidR="00382574" w:rsidRPr="008F600B" w:rsidRDefault="00382574" w:rsidP="00382574">
      <w:pPr>
        <w:pStyle w:val="FootnoteText"/>
        <w:jc w:val="both"/>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This is in keeping with the approach adopted in </w:t>
      </w:r>
      <w:r w:rsidRPr="008F600B">
        <w:rPr>
          <w:rFonts w:ascii="Times New Roman" w:hAnsi="Times New Roman" w:cs="Times New Roman"/>
          <w:i/>
        </w:rPr>
        <w:t xml:space="preserve">Thompson v South African Broadcasting Corporation </w:t>
      </w:r>
      <w:r w:rsidRPr="008F600B">
        <w:rPr>
          <w:rFonts w:ascii="Times New Roman" w:hAnsi="Times New Roman" w:cs="Times New Roman"/>
        </w:rPr>
        <w:t>2001 (3) SA 746 (SCA) para 7, wherein Harms JA remarked: ‘The court is entitled to base its judgment and to make findings in relation to any matter flowing fairly from the record, the judgment, the heads of argument or the oral argument itself. If the parties have to be forewarned of each and every finding, the court will not be able to function.’</w:t>
      </w:r>
    </w:p>
  </w:footnote>
  <w:footnote w:id="2">
    <w:p w14:paraId="345FE72E" w14:textId="77777777" w:rsidR="00F208A7" w:rsidRPr="008F600B" w:rsidRDefault="00F208A7">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w:t>
      </w:r>
      <w:r w:rsidRPr="008F600B">
        <w:rPr>
          <w:rFonts w:ascii="Times New Roman" w:hAnsi="Times New Roman" w:cs="Times New Roman"/>
          <w:i/>
        </w:rPr>
        <w:t>MEC for Health Eastern Cape and Another v Kirland Investments (Pty) Ltd</w:t>
      </w:r>
      <w:r w:rsidRPr="008F600B">
        <w:rPr>
          <w:rFonts w:ascii="Times New Roman" w:hAnsi="Times New Roman" w:cs="Times New Roman"/>
        </w:rPr>
        <w:t xml:space="preserve"> 2014 (3) SA 481 (CC) para 50.</w:t>
      </w:r>
    </w:p>
  </w:footnote>
  <w:footnote w:id="3">
    <w:p w14:paraId="5E3498EA" w14:textId="77777777" w:rsidR="0082543B" w:rsidRPr="008F600B" w:rsidRDefault="0082543B">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Annexure L to founding affidavit.</w:t>
      </w:r>
    </w:p>
  </w:footnote>
  <w:footnote w:id="4">
    <w:p w14:paraId="22DB349B" w14:textId="77777777" w:rsidR="001454A0" w:rsidRPr="008F600B" w:rsidRDefault="001454A0">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PAIA, section 18(2)</w:t>
      </w:r>
      <w:r w:rsidRPr="008F600B">
        <w:rPr>
          <w:rFonts w:ascii="Times New Roman" w:hAnsi="Times New Roman" w:cs="Times New Roman"/>
          <w:i/>
        </w:rPr>
        <w:t>(a)</w:t>
      </w:r>
      <w:r w:rsidRPr="008F600B">
        <w:rPr>
          <w:rFonts w:ascii="Times New Roman" w:hAnsi="Times New Roman" w:cs="Times New Roman"/>
        </w:rPr>
        <w:t>.</w:t>
      </w:r>
    </w:p>
  </w:footnote>
  <w:footnote w:id="5">
    <w:p w14:paraId="4E7DF1DA" w14:textId="77777777" w:rsidR="00160763" w:rsidRPr="008F600B" w:rsidRDefault="00160763">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Section </w:t>
      </w:r>
      <w:r w:rsidR="00890F70" w:rsidRPr="008F600B">
        <w:rPr>
          <w:rFonts w:ascii="Times New Roman" w:hAnsi="Times New Roman" w:cs="Times New Roman"/>
        </w:rPr>
        <w:t>18(2)</w:t>
      </w:r>
      <w:r w:rsidR="00890F70" w:rsidRPr="008F600B">
        <w:rPr>
          <w:rFonts w:ascii="Times New Roman" w:hAnsi="Times New Roman" w:cs="Times New Roman"/>
          <w:i/>
        </w:rPr>
        <w:t>(f)</w:t>
      </w:r>
      <w:r w:rsidR="00890F70" w:rsidRPr="008F600B">
        <w:rPr>
          <w:rFonts w:ascii="Times New Roman" w:hAnsi="Times New Roman" w:cs="Times New Roman"/>
        </w:rPr>
        <w:t>.</w:t>
      </w:r>
    </w:p>
  </w:footnote>
  <w:footnote w:id="6">
    <w:p w14:paraId="50B42657" w14:textId="77777777" w:rsidR="00B7413D" w:rsidRPr="008F600B" w:rsidRDefault="00B7413D">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Letter dated 28 November 2022, Annexure K to founding affidavit.</w:t>
      </w:r>
    </w:p>
  </w:footnote>
  <w:footnote w:id="7">
    <w:p w14:paraId="2A2FB1E5" w14:textId="77777777" w:rsidR="0030545C" w:rsidRPr="008F600B" w:rsidRDefault="0030545C">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Moses Fortuin v Cobra Promotions CC [2010] ZAECPEHC 40 para13.</w:t>
      </w:r>
    </w:p>
  </w:footnote>
  <w:footnote w:id="8">
    <w:p w14:paraId="02C87350" w14:textId="77777777" w:rsidR="005B6A0D" w:rsidRPr="008F600B" w:rsidRDefault="005B6A0D">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Annexure L to founding affidavit.</w:t>
      </w:r>
    </w:p>
  </w:footnote>
  <w:footnote w:id="9">
    <w:p w14:paraId="5EFC84B9" w14:textId="77777777" w:rsidR="00D32527" w:rsidRPr="008F600B" w:rsidRDefault="00D32527">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Section 25(1) read with section 27</w:t>
      </w:r>
      <w:r w:rsidR="0028272D" w:rsidRPr="008F600B">
        <w:rPr>
          <w:rFonts w:ascii="Times New Roman" w:hAnsi="Times New Roman" w:cs="Times New Roman"/>
        </w:rPr>
        <w:t>.</w:t>
      </w:r>
    </w:p>
  </w:footnote>
  <w:footnote w:id="10">
    <w:p w14:paraId="187CA40C" w14:textId="77777777" w:rsidR="0028272D" w:rsidRPr="008F600B" w:rsidRDefault="0028272D">
      <w:pPr>
        <w:pStyle w:val="FootnoteText"/>
        <w:rPr>
          <w:rFonts w:ascii="Times New Roman" w:hAnsi="Times New Roman" w:cs="Times New Roman"/>
        </w:rPr>
      </w:pPr>
      <w:r w:rsidRPr="008F600B">
        <w:rPr>
          <w:rStyle w:val="FootnoteReference"/>
          <w:rFonts w:ascii="Times New Roman" w:hAnsi="Times New Roman" w:cs="Times New Roman"/>
        </w:rPr>
        <w:footnoteRef/>
      </w:r>
      <w:r w:rsidRPr="008F600B">
        <w:rPr>
          <w:rFonts w:ascii="Times New Roman" w:hAnsi="Times New Roman" w:cs="Times New Roman"/>
        </w:rPr>
        <w:t xml:space="preserve"> Section 78(1).</w:t>
      </w:r>
    </w:p>
  </w:footnote>
  <w:footnote w:id="11">
    <w:p w14:paraId="00AE2DFD" w14:textId="77777777" w:rsidR="00273785" w:rsidRPr="00273785" w:rsidRDefault="00273785">
      <w:pPr>
        <w:pStyle w:val="FootnoteText"/>
        <w:rPr>
          <w:rFonts w:ascii="Times New Roman" w:hAnsi="Times New Roman" w:cs="Times New Roman"/>
        </w:rPr>
      </w:pPr>
      <w:r w:rsidRPr="00273785">
        <w:rPr>
          <w:rStyle w:val="FootnoteReference"/>
          <w:rFonts w:ascii="Times New Roman" w:hAnsi="Times New Roman" w:cs="Times New Roman"/>
        </w:rPr>
        <w:footnoteRef/>
      </w:r>
      <w:r w:rsidRPr="00273785">
        <w:rPr>
          <w:rFonts w:ascii="Times New Roman" w:hAnsi="Times New Roman" w:cs="Times New Roman"/>
        </w:rPr>
        <w:t xml:space="preserve"> Section 75(1)</w:t>
      </w:r>
      <w:r w:rsidRPr="00273785">
        <w:rPr>
          <w:rFonts w:ascii="Times New Roman" w:hAnsi="Times New Roman" w:cs="Times New Roman"/>
          <w:i/>
        </w:rPr>
        <w:t>(a)</w:t>
      </w:r>
      <w:r w:rsidRPr="00273785">
        <w:rPr>
          <w:rFonts w:ascii="Times New Roman" w:hAnsi="Times New Roman" w:cs="Times New Roman"/>
        </w:rPr>
        <w:t>(</w:t>
      </w:r>
      <w:proofErr w:type="spellStart"/>
      <w:r w:rsidRPr="00273785">
        <w:rPr>
          <w:rFonts w:ascii="Times New Roman" w:hAnsi="Times New Roman" w:cs="Times New Roman"/>
        </w:rPr>
        <w:t>i</w:t>
      </w:r>
      <w:proofErr w:type="spellEnd"/>
      <w:r w:rsidRPr="00273785">
        <w:rPr>
          <w:rFonts w:ascii="Times New Roman" w:hAnsi="Times New Roman" w:cs="Times New Roman"/>
        </w:rPr>
        <w:t>).</w:t>
      </w:r>
    </w:p>
  </w:footnote>
  <w:footnote w:id="12">
    <w:p w14:paraId="3526FD48" w14:textId="77777777" w:rsidR="00AB1099" w:rsidRDefault="00AB1099">
      <w:pPr>
        <w:pStyle w:val="FootnoteText"/>
      </w:pPr>
      <w:r w:rsidRPr="00273785">
        <w:rPr>
          <w:rStyle w:val="FootnoteReference"/>
          <w:rFonts w:ascii="Times New Roman" w:hAnsi="Times New Roman" w:cs="Times New Roman"/>
        </w:rPr>
        <w:footnoteRef/>
      </w:r>
      <w:r w:rsidRPr="00273785">
        <w:rPr>
          <w:rFonts w:ascii="Times New Roman" w:hAnsi="Times New Roman" w:cs="Times New Roman"/>
        </w:rPr>
        <w:t xml:space="preserve"> Section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2DFD" w14:textId="77777777" w:rsidR="00B564A2" w:rsidRDefault="00B56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598FF62C" w14:textId="77777777"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25505A">
          <w:rPr>
            <w:rFonts w:ascii="Times New Roman" w:hAnsi="Times New Roman" w:cs="Times New Roman"/>
            <w:noProof/>
            <w:sz w:val="28"/>
            <w:szCs w:val="28"/>
          </w:rPr>
          <w:t>9</w:t>
        </w:r>
        <w:r w:rsidRPr="00B564A2">
          <w:rPr>
            <w:rFonts w:ascii="Times New Roman" w:hAnsi="Times New Roman" w:cs="Times New Roman"/>
            <w:noProof/>
            <w:sz w:val="28"/>
            <w:szCs w:val="28"/>
          </w:rPr>
          <w:fldChar w:fldCharType="end"/>
        </w:r>
      </w:p>
    </w:sdtContent>
  </w:sdt>
  <w:p w14:paraId="02E3E57B" w14:textId="77777777" w:rsidR="00A572D4" w:rsidRDefault="00A57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98D6"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5C712475"/>
    <w:multiLevelType w:val="hybridMultilevel"/>
    <w:tmpl w:val="1904FB1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960720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329138">
    <w:abstractNumId w:val="1"/>
  </w:num>
  <w:num w:numId="3" w16cid:durableId="1785036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E23411-BD07-47FF-AE2A-81E252FF2F96}"/>
    <w:docVar w:name="dgnword-eventsink" w:val="71091440"/>
  </w:docVars>
  <w:rsids>
    <w:rsidRoot w:val="00354A12"/>
    <w:rsid w:val="000235E3"/>
    <w:rsid w:val="00037A2D"/>
    <w:rsid w:val="00053A7D"/>
    <w:rsid w:val="000574F6"/>
    <w:rsid w:val="000739A1"/>
    <w:rsid w:val="00077416"/>
    <w:rsid w:val="000918BF"/>
    <w:rsid w:val="000A32B3"/>
    <w:rsid w:val="000A346A"/>
    <w:rsid w:val="000C1E35"/>
    <w:rsid w:val="000D1DCE"/>
    <w:rsid w:val="000D465B"/>
    <w:rsid w:val="000E4470"/>
    <w:rsid w:val="000F4175"/>
    <w:rsid w:val="0011015C"/>
    <w:rsid w:val="001149E5"/>
    <w:rsid w:val="0012321D"/>
    <w:rsid w:val="001432CA"/>
    <w:rsid w:val="0014375D"/>
    <w:rsid w:val="001454A0"/>
    <w:rsid w:val="00150BFB"/>
    <w:rsid w:val="00157E3A"/>
    <w:rsid w:val="00160763"/>
    <w:rsid w:val="00180DC0"/>
    <w:rsid w:val="00182092"/>
    <w:rsid w:val="001911DF"/>
    <w:rsid w:val="00192F4A"/>
    <w:rsid w:val="0019704C"/>
    <w:rsid w:val="001A13BE"/>
    <w:rsid w:val="001B2371"/>
    <w:rsid w:val="001B2FE7"/>
    <w:rsid w:val="001D5E86"/>
    <w:rsid w:val="001F6D34"/>
    <w:rsid w:val="0020666C"/>
    <w:rsid w:val="00206B7B"/>
    <w:rsid w:val="00212DB2"/>
    <w:rsid w:val="002354F4"/>
    <w:rsid w:val="00236EAC"/>
    <w:rsid w:val="002461BC"/>
    <w:rsid w:val="0025505A"/>
    <w:rsid w:val="002573AB"/>
    <w:rsid w:val="00262D61"/>
    <w:rsid w:val="00273785"/>
    <w:rsid w:val="00277B59"/>
    <w:rsid w:val="0028272D"/>
    <w:rsid w:val="00292335"/>
    <w:rsid w:val="002A6B70"/>
    <w:rsid w:val="002B7A11"/>
    <w:rsid w:val="002C3C42"/>
    <w:rsid w:val="002C692C"/>
    <w:rsid w:val="002C766D"/>
    <w:rsid w:val="002F3A0B"/>
    <w:rsid w:val="003019B4"/>
    <w:rsid w:val="0030545C"/>
    <w:rsid w:val="00324627"/>
    <w:rsid w:val="00324991"/>
    <w:rsid w:val="003507AB"/>
    <w:rsid w:val="00354A12"/>
    <w:rsid w:val="00356809"/>
    <w:rsid w:val="00374D21"/>
    <w:rsid w:val="003764BD"/>
    <w:rsid w:val="00382574"/>
    <w:rsid w:val="00386D57"/>
    <w:rsid w:val="0039031E"/>
    <w:rsid w:val="003923B9"/>
    <w:rsid w:val="00396365"/>
    <w:rsid w:val="003A576E"/>
    <w:rsid w:val="003B4041"/>
    <w:rsid w:val="003C36E9"/>
    <w:rsid w:val="003D3C39"/>
    <w:rsid w:val="003D6A6A"/>
    <w:rsid w:val="003E737D"/>
    <w:rsid w:val="00407B07"/>
    <w:rsid w:val="0041273B"/>
    <w:rsid w:val="0042758D"/>
    <w:rsid w:val="00427674"/>
    <w:rsid w:val="00440088"/>
    <w:rsid w:val="0044441A"/>
    <w:rsid w:val="00450D1F"/>
    <w:rsid w:val="0045175A"/>
    <w:rsid w:val="00462B10"/>
    <w:rsid w:val="0049152B"/>
    <w:rsid w:val="00495E86"/>
    <w:rsid w:val="004A2B21"/>
    <w:rsid w:val="004A750C"/>
    <w:rsid w:val="004B6A54"/>
    <w:rsid w:val="004E1F65"/>
    <w:rsid w:val="004F13CF"/>
    <w:rsid w:val="00503AE0"/>
    <w:rsid w:val="00506DE1"/>
    <w:rsid w:val="00512E91"/>
    <w:rsid w:val="00525D16"/>
    <w:rsid w:val="00537C26"/>
    <w:rsid w:val="00540F0C"/>
    <w:rsid w:val="00543BBC"/>
    <w:rsid w:val="005463F0"/>
    <w:rsid w:val="005552F2"/>
    <w:rsid w:val="00555858"/>
    <w:rsid w:val="005635D2"/>
    <w:rsid w:val="0056627B"/>
    <w:rsid w:val="00571C3F"/>
    <w:rsid w:val="00573F74"/>
    <w:rsid w:val="00580438"/>
    <w:rsid w:val="00592786"/>
    <w:rsid w:val="00593394"/>
    <w:rsid w:val="005A0EB5"/>
    <w:rsid w:val="005B6A0D"/>
    <w:rsid w:val="005C2004"/>
    <w:rsid w:val="005E3B28"/>
    <w:rsid w:val="005E3E40"/>
    <w:rsid w:val="005F5CB5"/>
    <w:rsid w:val="00605C42"/>
    <w:rsid w:val="00614353"/>
    <w:rsid w:val="006262EF"/>
    <w:rsid w:val="00633710"/>
    <w:rsid w:val="00655C2F"/>
    <w:rsid w:val="00670F7F"/>
    <w:rsid w:val="00672E20"/>
    <w:rsid w:val="00677384"/>
    <w:rsid w:val="006A3CDA"/>
    <w:rsid w:val="006D192A"/>
    <w:rsid w:val="006D320B"/>
    <w:rsid w:val="006E408D"/>
    <w:rsid w:val="006F615F"/>
    <w:rsid w:val="00701947"/>
    <w:rsid w:val="00716229"/>
    <w:rsid w:val="00730C25"/>
    <w:rsid w:val="00786FBA"/>
    <w:rsid w:val="00797D1F"/>
    <w:rsid w:val="007B2EA1"/>
    <w:rsid w:val="007B7041"/>
    <w:rsid w:val="007C61A1"/>
    <w:rsid w:val="007E0B01"/>
    <w:rsid w:val="007E21CB"/>
    <w:rsid w:val="00802F98"/>
    <w:rsid w:val="0082543B"/>
    <w:rsid w:val="00835C60"/>
    <w:rsid w:val="008467AB"/>
    <w:rsid w:val="008577AC"/>
    <w:rsid w:val="00867EDE"/>
    <w:rsid w:val="00870DFA"/>
    <w:rsid w:val="0087265A"/>
    <w:rsid w:val="008771F5"/>
    <w:rsid w:val="00887516"/>
    <w:rsid w:val="00890C96"/>
    <w:rsid w:val="00890F70"/>
    <w:rsid w:val="00893D23"/>
    <w:rsid w:val="00895387"/>
    <w:rsid w:val="008956B9"/>
    <w:rsid w:val="008A583F"/>
    <w:rsid w:val="008A6CAC"/>
    <w:rsid w:val="008D030E"/>
    <w:rsid w:val="008D19BC"/>
    <w:rsid w:val="008F600B"/>
    <w:rsid w:val="0090385D"/>
    <w:rsid w:val="00905E9C"/>
    <w:rsid w:val="00906DD1"/>
    <w:rsid w:val="009105CE"/>
    <w:rsid w:val="00926E4B"/>
    <w:rsid w:val="00941C6C"/>
    <w:rsid w:val="00942264"/>
    <w:rsid w:val="00946602"/>
    <w:rsid w:val="00952D60"/>
    <w:rsid w:val="00977022"/>
    <w:rsid w:val="009828F5"/>
    <w:rsid w:val="00983640"/>
    <w:rsid w:val="009903D3"/>
    <w:rsid w:val="009A3E8E"/>
    <w:rsid w:val="009B51C1"/>
    <w:rsid w:val="009B6717"/>
    <w:rsid w:val="009C0950"/>
    <w:rsid w:val="009D5188"/>
    <w:rsid w:val="009F0DA7"/>
    <w:rsid w:val="009F7C05"/>
    <w:rsid w:val="00A17A83"/>
    <w:rsid w:val="00A24365"/>
    <w:rsid w:val="00A25257"/>
    <w:rsid w:val="00A572D4"/>
    <w:rsid w:val="00A643C0"/>
    <w:rsid w:val="00A64DD0"/>
    <w:rsid w:val="00A7207D"/>
    <w:rsid w:val="00A807DF"/>
    <w:rsid w:val="00A817E4"/>
    <w:rsid w:val="00A82CBE"/>
    <w:rsid w:val="00A86B96"/>
    <w:rsid w:val="00AA14A7"/>
    <w:rsid w:val="00AB1099"/>
    <w:rsid w:val="00AB10D2"/>
    <w:rsid w:val="00AB60A6"/>
    <w:rsid w:val="00AC2563"/>
    <w:rsid w:val="00AD3266"/>
    <w:rsid w:val="00AD43E1"/>
    <w:rsid w:val="00AF6EC2"/>
    <w:rsid w:val="00B118F1"/>
    <w:rsid w:val="00B11A20"/>
    <w:rsid w:val="00B14A0E"/>
    <w:rsid w:val="00B1638C"/>
    <w:rsid w:val="00B16A2B"/>
    <w:rsid w:val="00B42E15"/>
    <w:rsid w:val="00B45DB5"/>
    <w:rsid w:val="00B54B49"/>
    <w:rsid w:val="00B564A2"/>
    <w:rsid w:val="00B7413D"/>
    <w:rsid w:val="00B74FA7"/>
    <w:rsid w:val="00B76974"/>
    <w:rsid w:val="00B77288"/>
    <w:rsid w:val="00B7776E"/>
    <w:rsid w:val="00B94D20"/>
    <w:rsid w:val="00BD405A"/>
    <w:rsid w:val="00BD4835"/>
    <w:rsid w:val="00BE27CB"/>
    <w:rsid w:val="00C05B89"/>
    <w:rsid w:val="00C21CE0"/>
    <w:rsid w:val="00C36985"/>
    <w:rsid w:val="00C36F31"/>
    <w:rsid w:val="00C532F7"/>
    <w:rsid w:val="00C73CD7"/>
    <w:rsid w:val="00C974B8"/>
    <w:rsid w:val="00CB0ACB"/>
    <w:rsid w:val="00CB1E01"/>
    <w:rsid w:val="00CC24F9"/>
    <w:rsid w:val="00CD56F8"/>
    <w:rsid w:val="00D01A8B"/>
    <w:rsid w:val="00D06E66"/>
    <w:rsid w:val="00D14E38"/>
    <w:rsid w:val="00D20097"/>
    <w:rsid w:val="00D21D64"/>
    <w:rsid w:val="00D22CE7"/>
    <w:rsid w:val="00D31E0A"/>
    <w:rsid w:val="00D32527"/>
    <w:rsid w:val="00D359BF"/>
    <w:rsid w:val="00D35D5B"/>
    <w:rsid w:val="00D41A83"/>
    <w:rsid w:val="00D45647"/>
    <w:rsid w:val="00D46A62"/>
    <w:rsid w:val="00D51416"/>
    <w:rsid w:val="00D55BC9"/>
    <w:rsid w:val="00D73F6B"/>
    <w:rsid w:val="00D82992"/>
    <w:rsid w:val="00D97374"/>
    <w:rsid w:val="00DA4B63"/>
    <w:rsid w:val="00DB3E0F"/>
    <w:rsid w:val="00DB5194"/>
    <w:rsid w:val="00DD6E7E"/>
    <w:rsid w:val="00DE464C"/>
    <w:rsid w:val="00E22A1D"/>
    <w:rsid w:val="00E32D6D"/>
    <w:rsid w:val="00E40191"/>
    <w:rsid w:val="00E40F93"/>
    <w:rsid w:val="00E423C6"/>
    <w:rsid w:val="00E46209"/>
    <w:rsid w:val="00E572AB"/>
    <w:rsid w:val="00E760EF"/>
    <w:rsid w:val="00E836CE"/>
    <w:rsid w:val="00E8507D"/>
    <w:rsid w:val="00E86EEC"/>
    <w:rsid w:val="00E95C8A"/>
    <w:rsid w:val="00EA065A"/>
    <w:rsid w:val="00EA1AAE"/>
    <w:rsid w:val="00EC13BD"/>
    <w:rsid w:val="00EE32E5"/>
    <w:rsid w:val="00EF10F7"/>
    <w:rsid w:val="00F179F2"/>
    <w:rsid w:val="00F208A7"/>
    <w:rsid w:val="00F3379A"/>
    <w:rsid w:val="00F41781"/>
    <w:rsid w:val="00F44A4E"/>
    <w:rsid w:val="00F566F1"/>
    <w:rsid w:val="00F62493"/>
    <w:rsid w:val="00F628E1"/>
    <w:rsid w:val="00F83ACD"/>
    <w:rsid w:val="00F90D5C"/>
    <w:rsid w:val="00FB3B93"/>
    <w:rsid w:val="00FE73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7256"/>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B772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3C38-C7F6-4D95-A07F-8B1F3E08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Nomakorinte Ntliziywana</cp:lastModifiedBy>
  <cp:revision>2</cp:revision>
  <cp:lastPrinted>2023-11-26T02:09:00Z</cp:lastPrinted>
  <dcterms:created xsi:type="dcterms:W3CDTF">2023-11-29T10:02:00Z</dcterms:created>
  <dcterms:modified xsi:type="dcterms:W3CDTF">2023-11-29T10:02:00Z</dcterms:modified>
  <cp:contentStatus/>
</cp:coreProperties>
</file>