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49" w:rsidRPr="00900F49" w:rsidRDefault="00900F49" w:rsidP="00900F49">
      <w:pPr>
        <w:rPr>
          <w:color w:val="FF0000"/>
          <w:u w:val="single"/>
        </w:rPr>
      </w:pPr>
      <w:r w:rsidRPr="00900F49">
        <w:rPr>
          <w:rFonts w:ascii="Arial" w:hAnsi="Arial" w:cs="Arial"/>
          <w:color w:val="FF0000"/>
        </w:rPr>
        <w:t>Editorial note: Certain information has been redacted from this judgment in compliance with the law.</w:t>
      </w:r>
    </w:p>
    <w:p w:rsidR="00434BCA" w:rsidRDefault="00434BCA" w:rsidP="00434BCA">
      <w:pPr>
        <w:jc w:val="center"/>
        <w:rPr>
          <w:b/>
        </w:rPr>
      </w:pPr>
      <w:r w:rsidRPr="00F34416">
        <w:rPr>
          <w:noProof/>
          <w:lang w:eastAsia="en-ZA"/>
        </w:rPr>
        <w:drawing>
          <wp:inline distT="0" distB="0" distL="0" distR="0" wp14:anchorId="092EE7DF" wp14:editId="67820E95">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rsidR="00FB52BA" w:rsidRDefault="00FB52BA" w:rsidP="00434BCA">
      <w:pPr>
        <w:jc w:val="center"/>
        <w:rPr>
          <w:b/>
        </w:rPr>
      </w:pPr>
      <w:r>
        <w:rPr>
          <w:b/>
        </w:rPr>
        <w:t>IN THE HIGH COURT OF SOUTH AFRICA</w:t>
      </w:r>
    </w:p>
    <w:p w:rsidR="007044C6" w:rsidRDefault="00FB52BA" w:rsidP="00434BCA">
      <w:pPr>
        <w:jc w:val="center"/>
        <w:rPr>
          <w:b/>
        </w:rPr>
      </w:pPr>
      <w:r>
        <w:rPr>
          <w:b/>
        </w:rPr>
        <w:t>EASTERN CAPE DIVISION</w:t>
      </w:r>
      <w:r>
        <w:rPr>
          <w:b/>
        </w:rPr>
        <w:tab/>
      </w:r>
      <w:r w:rsidR="007044C6">
        <w:rPr>
          <w:b/>
        </w:rPr>
        <w:t>:</w:t>
      </w:r>
      <w:r w:rsidR="00434BCA">
        <w:rPr>
          <w:b/>
        </w:rPr>
        <w:t xml:space="preserve"> </w:t>
      </w:r>
      <w:r w:rsidR="007044C6">
        <w:rPr>
          <w:b/>
        </w:rPr>
        <w:t>BHISHO</w:t>
      </w:r>
    </w:p>
    <w:p w:rsidR="007044C6" w:rsidRPr="00D37AF7" w:rsidRDefault="000A07FB" w:rsidP="00434BCA">
      <w:pPr>
        <w:jc w:val="right"/>
        <w:rPr>
          <w:b/>
          <w:sz w:val="36"/>
          <w:szCs w:val="36"/>
        </w:rPr>
      </w:pPr>
      <w:r>
        <w:rPr>
          <w:b/>
        </w:rPr>
        <w:tab/>
      </w:r>
      <w:r>
        <w:rPr>
          <w:b/>
        </w:rPr>
        <w:tab/>
      </w:r>
      <w:r>
        <w:rPr>
          <w:b/>
        </w:rPr>
        <w:tab/>
      </w:r>
      <w:r>
        <w:rPr>
          <w:b/>
        </w:rPr>
        <w:tab/>
      </w:r>
      <w:r>
        <w:rPr>
          <w:b/>
        </w:rPr>
        <w:tab/>
      </w:r>
      <w:r>
        <w:rPr>
          <w:b/>
        </w:rPr>
        <w:tab/>
      </w:r>
      <w:r>
        <w:rPr>
          <w:b/>
        </w:rPr>
        <w:tab/>
      </w:r>
      <w:r>
        <w:rPr>
          <w:b/>
        </w:rPr>
        <w:tab/>
      </w:r>
      <w:r w:rsidR="00FC7CBF">
        <w:rPr>
          <w:b/>
        </w:rPr>
        <w:tab/>
      </w:r>
      <w:r w:rsidR="00FC7CBF">
        <w:rPr>
          <w:b/>
        </w:rPr>
        <w:tab/>
      </w:r>
      <w:r w:rsidR="00FC7CBF">
        <w:rPr>
          <w:b/>
        </w:rPr>
        <w:tab/>
      </w:r>
      <w:r w:rsidR="00733E8C">
        <w:rPr>
          <w:b/>
        </w:rPr>
        <w:t xml:space="preserve">                                                   </w:t>
      </w:r>
      <w:r w:rsidR="00733E8C">
        <w:rPr>
          <w:b/>
          <w:sz w:val="36"/>
          <w:szCs w:val="36"/>
        </w:rPr>
        <w:t>Reportable</w:t>
      </w:r>
    </w:p>
    <w:p w:rsidR="007044C6" w:rsidRPr="00733E8C" w:rsidRDefault="007044C6">
      <w:r>
        <w:rPr>
          <w:b/>
        </w:rPr>
        <w:tab/>
      </w:r>
      <w:r>
        <w:rPr>
          <w:b/>
        </w:rPr>
        <w:tab/>
      </w:r>
      <w:r>
        <w:rPr>
          <w:b/>
        </w:rPr>
        <w:tab/>
      </w:r>
      <w:r>
        <w:rPr>
          <w:b/>
        </w:rPr>
        <w:tab/>
      </w:r>
      <w:r>
        <w:rPr>
          <w:b/>
        </w:rPr>
        <w:tab/>
      </w:r>
      <w:r>
        <w:rPr>
          <w:b/>
        </w:rPr>
        <w:tab/>
      </w:r>
      <w:r>
        <w:rPr>
          <w:b/>
        </w:rPr>
        <w:tab/>
      </w:r>
      <w:r>
        <w:rPr>
          <w:b/>
        </w:rPr>
        <w:tab/>
      </w:r>
      <w:r w:rsidR="00434BCA">
        <w:rPr>
          <w:b/>
        </w:rPr>
        <w:tab/>
        <w:t xml:space="preserve">       </w:t>
      </w:r>
      <w:r w:rsidR="00733E8C" w:rsidRPr="00E2108C">
        <w:rPr>
          <w:color w:val="000000" w:themeColor="text1"/>
        </w:rPr>
        <w:t>Case No</w:t>
      </w:r>
      <w:r w:rsidRPr="00733E8C">
        <w:t>:</w:t>
      </w:r>
      <w:r w:rsidR="004D7E3A" w:rsidRPr="00733E8C">
        <w:t xml:space="preserve">  36/2017</w:t>
      </w:r>
    </w:p>
    <w:p w:rsidR="007044C6" w:rsidRDefault="007044C6">
      <w:pPr>
        <w:rPr>
          <w:b/>
        </w:rPr>
      </w:pPr>
    </w:p>
    <w:p w:rsidR="007044C6" w:rsidRDefault="007044C6">
      <w:pPr>
        <w:rPr>
          <w:b/>
        </w:rPr>
      </w:pPr>
      <w:r>
        <w:rPr>
          <w:b/>
        </w:rPr>
        <w:t>In the matter between:</w:t>
      </w:r>
    </w:p>
    <w:p w:rsidR="007044C6" w:rsidRDefault="007044C6">
      <w:pPr>
        <w:rPr>
          <w:b/>
        </w:rPr>
      </w:pPr>
    </w:p>
    <w:p w:rsidR="007044C6" w:rsidRDefault="00E41E05">
      <w:pPr>
        <w:rPr>
          <w:b/>
        </w:rPr>
      </w:pPr>
      <w:r>
        <w:rPr>
          <w:b/>
        </w:rPr>
        <w:t>TN obo BN</w:t>
      </w:r>
      <w:r>
        <w:rPr>
          <w:b/>
        </w:rPr>
        <w:tab/>
      </w:r>
      <w:r>
        <w:rPr>
          <w:b/>
        </w:rPr>
        <w:tab/>
      </w:r>
      <w:r>
        <w:rPr>
          <w:b/>
        </w:rPr>
        <w:tab/>
      </w:r>
      <w:r>
        <w:rPr>
          <w:b/>
        </w:rPr>
        <w:tab/>
      </w:r>
      <w:r w:rsidR="007044C6">
        <w:rPr>
          <w:b/>
        </w:rPr>
        <w:tab/>
      </w:r>
      <w:r w:rsidR="007044C6">
        <w:rPr>
          <w:b/>
        </w:rPr>
        <w:tab/>
      </w:r>
      <w:r w:rsidR="007044C6">
        <w:rPr>
          <w:b/>
        </w:rPr>
        <w:tab/>
      </w:r>
      <w:r w:rsidR="00406EB1">
        <w:rPr>
          <w:b/>
        </w:rPr>
        <w:tab/>
      </w:r>
      <w:r w:rsidR="00406EB1">
        <w:rPr>
          <w:b/>
        </w:rPr>
        <w:tab/>
      </w:r>
      <w:r w:rsidR="00434BCA">
        <w:rPr>
          <w:b/>
        </w:rPr>
        <w:t xml:space="preserve">        </w:t>
      </w:r>
      <w:r w:rsidR="007044C6" w:rsidRPr="00733E8C">
        <w:t xml:space="preserve">Plaintiff </w:t>
      </w:r>
    </w:p>
    <w:p w:rsidR="007044C6" w:rsidRDefault="007044C6">
      <w:pPr>
        <w:rPr>
          <w:b/>
        </w:rPr>
      </w:pPr>
    </w:p>
    <w:p w:rsidR="007044C6" w:rsidRDefault="005C550A">
      <w:pPr>
        <w:rPr>
          <w:b/>
        </w:rPr>
      </w:pPr>
      <w:r>
        <w:rPr>
          <w:b/>
        </w:rPr>
        <w:t>a</w:t>
      </w:r>
      <w:r w:rsidR="00E90FD6">
        <w:rPr>
          <w:b/>
        </w:rPr>
        <w:t>nd</w:t>
      </w:r>
    </w:p>
    <w:p w:rsidR="007044C6" w:rsidRDefault="007044C6">
      <w:pPr>
        <w:rPr>
          <w:b/>
        </w:rPr>
      </w:pPr>
    </w:p>
    <w:p w:rsidR="00406EB1" w:rsidRDefault="002C5DDF">
      <w:pPr>
        <w:rPr>
          <w:b/>
        </w:rPr>
      </w:pPr>
      <w:r>
        <w:rPr>
          <w:b/>
        </w:rPr>
        <w:t>THE MEMBER OF THE EXECU</w:t>
      </w:r>
      <w:r w:rsidR="00406EB1">
        <w:rPr>
          <w:b/>
        </w:rPr>
        <w:t>TIVE</w:t>
      </w:r>
    </w:p>
    <w:p w:rsidR="007044C6" w:rsidRDefault="00406EB1">
      <w:pPr>
        <w:rPr>
          <w:b/>
        </w:rPr>
      </w:pPr>
      <w:r>
        <w:rPr>
          <w:b/>
        </w:rPr>
        <w:t xml:space="preserve">COUNCIL FOR </w:t>
      </w:r>
      <w:r w:rsidR="007044C6">
        <w:rPr>
          <w:b/>
        </w:rPr>
        <w:t>HEALTH</w:t>
      </w:r>
      <w:r>
        <w:rPr>
          <w:b/>
        </w:rPr>
        <w:t>, EASTERN CAPE</w:t>
      </w:r>
      <w:r>
        <w:rPr>
          <w:b/>
        </w:rPr>
        <w:tab/>
      </w:r>
      <w:r>
        <w:rPr>
          <w:b/>
        </w:rPr>
        <w:tab/>
      </w:r>
      <w:r>
        <w:rPr>
          <w:b/>
        </w:rPr>
        <w:tab/>
      </w:r>
      <w:r w:rsidR="00434BCA">
        <w:rPr>
          <w:b/>
        </w:rPr>
        <w:t xml:space="preserve">    </w:t>
      </w:r>
      <w:r w:rsidR="007044C6" w:rsidRPr="00733E8C">
        <w:t>Defendant</w:t>
      </w:r>
    </w:p>
    <w:p w:rsidR="007044C6" w:rsidRDefault="007044C6">
      <w:pPr>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044C6" w:rsidRDefault="007044C6" w:rsidP="007044C6">
      <w:pPr>
        <w:jc w:val="center"/>
        <w:rPr>
          <w:b/>
        </w:rPr>
      </w:pPr>
      <w:r>
        <w:rPr>
          <w:b/>
        </w:rPr>
        <w:t>JUDGMENT</w:t>
      </w:r>
    </w:p>
    <w:p w:rsidR="007044C6" w:rsidRDefault="007044C6" w:rsidP="007044C6">
      <w:pPr>
        <w:rPr>
          <w:b/>
        </w:rPr>
      </w:pPr>
      <w:r>
        <w:rPr>
          <w:b/>
          <w:u w:val="single"/>
        </w:rPr>
        <w:lastRenderedPageBreak/>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044C6" w:rsidRDefault="00733E8C" w:rsidP="007044C6">
      <w:pPr>
        <w:rPr>
          <w:b/>
        </w:rPr>
      </w:pPr>
      <w:r>
        <w:rPr>
          <w:b/>
        </w:rPr>
        <w:t xml:space="preserve">GRIFFITHS </w:t>
      </w:r>
      <w:r w:rsidRPr="00E2108C">
        <w:rPr>
          <w:b/>
          <w:color w:val="000000" w:themeColor="text1"/>
        </w:rPr>
        <w:t>J</w:t>
      </w:r>
      <w:r w:rsidR="007044C6" w:rsidRPr="00E2108C">
        <w:rPr>
          <w:b/>
          <w:color w:val="000000" w:themeColor="text1"/>
        </w:rPr>
        <w:t>:</w:t>
      </w:r>
      <w:r w:rsidR="007044C6" w:rsidRPr="00733E8C">
        <w:rPr>
          <w:b/>
          <w:color w:val="FF0000"/>
        </w:rPr>
        <w:t xml:space="preserve"> </w:t>
      </w:r>
    </w:p>
    <w:p w:rsidR="00CE6820" w:rsidRDefault="004043B6">
      <w:r>
        <w:t>[1]</w:t>
      </w:r>
      <w:r>
        <w:tab/>
      </w:r>
      <w:r w:rsidR="00494F1B">
        <w:t>According to the Code of Hammurabi</w:t>
      </w:r>
      <w:r w:rsidR="00494F1B">
        <w:rPr>
          <w:rStyle w:val="FootnoteReference"/>
        </w:rPr>
        <w:footnoteReference w:id="1"/>
      </w:r>
      <w:r w:rsidR="00494F1B">
        <w:t xml:space="preserve"> a physician who in Babylonian times operated on a man with a severe injury and caused his death, ha</w:t>
      </w:r>
      <w:r w:rsidR="00083927">
        <w:t>d</w:t>
      </w:r>
      <w:r w:rsidR="00494F1B">
        <w:t xml:space="preserve"> his fingers cut off</w:t>
      </w:r>
      <w:r w:rsidR="00CF384B">
        <w:t>.</w:t>
      </w:r>
      <w:r w:rsidR="00494F1B" w:rsidRPr="00B566C7">
        <w:rPr>
          <w:rStyle w:val="FootnoteReference"/>
          <w:color w:val="000000" w:themeColor="text1"/>
        </w:rPr>
        <w:footnoteReference w:id="2"/>
      </w:r>
      <w:r w:rsidR="00CF384B" w:rsidRPr="00B566C7">
        <w:rPr>
          <w:color w:val="000000" w:themeColor="text1"/>
        </w:rPr>
        <w:t xml:space="preserve"> </w:t>
      </w:r>
      <w:r w:rsidR="00494F1B">
        <w:t xml:space="preserve">Our modern law is, fortunately, less severe on physicians </w:t>
      </w:r>
      <w:r w:rsidR="00EA0B9C">
        <w:t>as it</w:t>
      </w:r>
      <w:r w:rsidR="00494F1B">
        <w:t xml:space="preserve"> requires reparation in the form of lump-sum monetary compensation which is assessed on a once and for all basis.</w:t>
      </w:r>
      <w:r w:rsidR="00CE6820">
        <w:t xml:space="preserve"> The defendant in this matter alleges that this common law principle has the result that this claim, together with</w:t>
      </w:r>
      <w:r w:rsidR="00A67A5C">
        <w:t xml:space="preserve"> many others similar to it</w:t>
      </w:r>
      <w:r w:rsidR="00CE6820">
        <w:t>, cost</w:t>
      </w:r>
      <w:r w:rsidR="00EA0B9C">
        <w:t>s</w:t>
      </w:r>
      <w:r w:rsidR="00CE6820">
        <w:t xml:space="preserve"> the provincial government an arm and a leg.</w:t>
      </w:r>
    </w:p>
    <w:p w:rsidR="003120C2" w:rsidRDefault="003120C2"/>
    <w:p w:rsidR="003120C2" w:rsidRDefault="004043B6">
      <w:r>
        <w:t>[2]</w:t>
      </w:r>
      <w:r>
        <w:tab/>
      </w:r>
      <w:r w:rsidR="003120C2">
        <w:t xml:space="preserve">The plaintiff, acting in her representative capacity as mother of the minor child </w:t>
      </w:r>
      <w:r w:rsidR="004C520F">
        <w:t>BN</w:t>
      </w:r>
      <w:r w:rsidR="003120C2">
        <w:t xml:space="preserve">, has sued the defendant for damages arising from the negligent conduct </w:t>
      </w:r>
      <w:r w:rsidR="00B733B1">
        <w:t>of medical</w:t>
      </w:r>
      <w:r w:rsidR="003120C2">
        <w:t xml:space="preserve"> staff in a public hospital </w:t>
      </w:r>
      <w:r w:rsidR="00FD725A">
        <w:t xml:space="preserve">falling </w:t>
      </w:r>
      <w:r w:rsidR="003120C2">
        <w:t xml:space="preserve">under the aegis of the defendant. </w:t>
      </w:r>
      <w:r w:rsidR="00FD725A">
        <w:t>She alleged</w:t>
      </w:r>
      <w:r w:rsidR="003120C2">
        <w:t xml:space="preserve"> that</w:t>
      </w:r>
      <w:r w:rsidR="004C520F">
        <w:t xml:space="preserve"> BN </w:t>
      </w:r>
      <w:r w:rsidR="003120C2">
        <w:t>suffered severe injuries</w:t>
      </w:r>
      <w:r w:rsidR="00EA0B9C">
        <w:t xml:space="preserve"> during his birth</w:t>
      </w:r>
      <w:r w:rsidR="003120C2">
        <w:t xml:space="preserve"> as</w:t>
      </w:r>
      <w:r w:rsidR="00010416">
        <w:t xml:space="preserve"> a</w:t>
      </w:r>
      <w:r w:rsidR="003120C2">
        <w:t xml:space="preserve"> result of negligence on the part of the defendant’s servants. This much has been conceded by the defendant and this court is called upon to determine an appropriate remedy.</w:t>
      </w:r>
      <w:r w:rsidR="00B733B1">
        <w:t xml:space="preserve"> In the normal course</w:t>
      </w:r>
      <w:r w:rsidR="00FD725A">
        <w:t>,</w:t>
      </w:r>
      <w:r w:rsidR="00B733B1">
        <w:t xml:space="preserve"> based on the common law as it presently</w:t>
      </w:r>
      <w:r w:rsidR="004C520F">
        <w:t xml:space="preserve"> stands</w:t>
      </w:r>
      <w:r w:rsidR="00B733B1">
        <w:t>, such remedy would subsist in the payment of a lump sum duly assessed in accordance with the common law rules relating to the various</w:t>
      </w:r>
      <w:r w:rsidR="00040352">
        <w:t xml:space="preserve"> claimed</w:t>
      </w:r>
      <w:r w:rsidR="00B733B1">
        <w:t xml:space="preserve"> heads of damage.</w:t>
      </w:r>
    </w:p>
    <w:p w:rsidR="00B733B1" w:rsidRDefault="00B733B1"/>
    <w:p w:rsidR="00494F1B" w:rsidRDefault="004043B6">
      <w:r>
        <w:t>[3]</w:t>
      </w:r>
      <w:r>
        <w:tab/>
      </w:r>
      <w:r w:rsidR="00B733B1">
        <w:t>The defendant has however pleaded a novel combination of remedies not fall</w:t>
      </w:r>
      <w:r w:rsidR="00040352">
        <w:t>ing</w:t>
      </w:r>
      <w:r w:rsidR="00B733B1">
        <w:t xml:space="preserve"> within the</w:t>
      </w:r>
      <w:r w:rsidR="00C7127C">
        <w:t xml:space="preserve"> common law</w:t>
      </w:r>
      <w:r w:rsidR="00B733B1">
        <w:t xml:space="preserve"> rules</w:t>
      </w:r>
      <w:r w:rsidR="00B566C7">
        <w:t>,</w:t>
      </w:r>
      <w:r w:rsidR="00B733B1">
        <w:t xml:space="preserve"> which</w:t>
      </w:r>
      <w:r w:rsidR="00040352">
        <w:t xml:space="preserve"> </w:t>
      </w:r>
      <w:r w:rsidR="00B733B1">
        <w:t>require an assessment of such damages</w:t>
      </w:r>
      <w:r w:rsidR="00010416">
        <w:t xml:space="preserve"> in monetary terms</w:t>
      </w:r>
      <w:r w:rsidR="00B733B1">
        <w:t xml:space="preserve"> on a once and for all basis. These remedies are what has come to be known as the “public healthcare remedy” and the “undertaking to </w:t>
      </w:r>
      <w:r w:rsidR="00B733B1">
        <w:lastRenderedPageBreak/>
        <w:t>pay remedy</w:t>
      </w:r>
      <w:r w:rsidR="00B566C7">
        <w:t>” and</w:t>
      </w:r>
      <w:r w:rsidR="00F066A2">
        <w:t xml:space="preserve"> are often referred to as “the DZ defences”.</w:t>
      </w:r>
      <w:r w:rsidR="00B733B1">
        <w:t xml:space="preserve"> In advancing various arguments in support thereof, the defendant has contended that instead of draining the public healthcare system of a massive lump-sum award for potential future medical care that</w:t>
      </w:r>
      <w:r w:rsidR="004C520F">
        <w:t xml:space="preserve"> BN</w:t>
      </w:r>
      <w:r w:rsidR="00B733B1">
        <w:t xml:space="preserve"> may or may not ultimately use, the defendant</w:t>
      </w:r>
      <w:r w:rsidR="004C520F">
        <w:t xml:space="preserve"> wishes to provide such care to him as and when he needs it, if not by the department directly, then paid for in the private sector as the need therefor arises.</w:t>
      </w:r>
    </w:p>
    <w:p w:rsidR="00040352" w:rsidRDefault="00040352"/>
    <w:p w:rsidR="00040352" w:rsidRDefault="00BE54AB">
      <w:r>
        <w:t>[4</w:t>
      </w:r>
      <w:r w:rsidR="004043B6">
        <w:t>]</w:t>
      </w:r>
      <w:r w:rsidR="004043B6">
        <w:tab/>
      </w:r>
      <w:r w:rsidR="003E6845">
        <w:t xml:space="preserve">BN is 11 years of </w:t>
      </w:r>
      <w:r w:rsidR="00010416">
        <w:t>age,</w:t>
      </w:r>
      <w:r w:rsidR="003E6845">
        <w:t xml:space="preserve"> and his life expectancy is 22.8 years. When these proceedings were instituted, he and the plaintiff lived in </w:t>
      </w:r>
      <w:proofErr w:type="spellStart"/>
      <w:r w:rsidR="003E6845">
        <w:t>Mdantsane</w:t>
      </w:r>
      <w:proofErr w:type="spellEnd"/>
      <w:r w:rsidR="003E6845">
        <w:t xml:space="preserve"> Township,</w:t>
      </w:r>
      <w:r w:rsidR="00CD7281">
        <w:t xml:space="preserve"> which is close </w:t>
      </w:r>
      <w:r w:rsidR="003E6845">
        <w:t xml:space="preserve">to Cecilia </w:t>
      </w:r>
      <w:proofErr w:type="spellStart"/>
      <w:r w:rsidR="003E6845">
        <w:t>Makiwane</w:t>
      </w:r>
      <w:proofErr w:type="spellEnd"/>
      <w:r w:rsidR="003E6845">
        <w:t xml:space="preserve"> Hospital (“CMH”)</w:t>
      </w:r>
      <w:r w:rsidR="00EA0B9C">
        <w:t xml:space="preserve"> where he was born</w:t>
      </w:r>
      <w:r w:rsidR="003E6845">
        <w:t>.</w:t>
      </w:r>
      <w:r w:rsidR="00D15678">
        <w:t xml:space="preserve"> </w:t>
      </w:r>
      <w:r w:rsidR="00083927">
        <w:t>His birth</w:t>
      </w:r>
      <w:r w:rsidR="00D15678">
        <w:t xml:space="preserve"> follow</w:t>
      </w:r>
      <w:r w:rsidR="00F64023">
        <w:t>ed</w:t>
      </w:r>
      <w:r w:rsidR="00D15678">
        <w:t xml:space="preserve"> a period of prolonged labour and</w:t>
      </w:r>
      <w:r w:rsidR="00F64023">
        <w:t xml:space="preserve"> he</w:t>
      </w:r>
      <w:r w:rsidR="00D15678">
        <w:t xml:space="preserve"> suffered</w:t>
      </w:r>
      <w:r w:rsidR="0051013B">
        <w:t xml:space="preserve"> a</w:t>
      </w:r>
      <w:r w:rsidR="00D15678">
        <w:t xml:space="preserve"> brain injury. He has spastic quadriplegic cerebral palsy (“CP”), microcephaly, intellectual impairment and epilepsy. He is hearing and visually impaired and has a percutaneous endoscopic gastrostomy (“PEG”) tube for feeding. He is incontinent and will remain so for life. Consequently, he has poor head control, is unable to sit, roll, crawl, stand, </w:t>
      </w:r>
      <w:r w:rsidR="00010416">
        <w:t>walk,</w:t>
      </w:r>
      <w:r w:rsidR="00D15678">
        <w:t xml:space="preserve"> or speak. He is furthermore dependent on mobility transfers and positioning. He is also dependent</w:t>
      </w:r>
      <w:r w:rsidR="00CD7281">
        <w:t xml:space="preserve"> </w:t>
      </w:r>
      <w:r w:rsidR="00083927">
        <w:t>regarding</w:t>
      </w:r>
      <w:r w:rsidR="00CD7281">
        <w:t xml:space="preserve"> </w:t>
      </w:r>
      <w:r w:rsidR="00D15678">
        <w:t>the general activities of daily living such as bathing, dressing, general hygiene, eating and drinking.</w:t>
      </w:r>
    </w:p>
    <w:p w:rsidR="00D15678" w:rsidRDefault="00D15678"/>
    <w:p w:rsidR="004C520F" w:rsidRDefault="00BE54AB">
      <w:r>
        <w:t>[5</w:t>
      </w:r>
      <w:r w:rsidR="004043B6">
        <w:t>]</w:t>
      </w:r>
      <w:r w:rsidR="004043B6">
        <w:tab/>
      </w:r>
      <w:r w:rsidR="00D15678">
        <w:t xml:space="preserve">He is classified at level </w:t>
      </w:r>
      <w:r w:rsidR="00083927">
        <w:t>five</w:t>
      </w:r>
      <w:r w:rsidR="00D15678">
        <w:t xml:space="preserve"> on the Gross Motor Function Classification System</w:t>
      </w:r>
      <w:r w:rsidR="00CD7281">
        <w:t xml:space="preserve"> and level </w:t>
      </w:r>
      <w:r w:rsidR="00083927">
        <w:t>five</w:t>
      </w:r>
      <w:r w:rsidR="00CD7281">
        <w:t xml:space="preserve"> on the Manual Ability Classification System</w:t>
      </w:r>
      <w:r w:rsidR="00083927">
        <w:t>.</w:t>
      </w:r>
      <w:r w:rsidR="00CD7281">
        <w:t xml:space="preserve"> These are both at the most disabled end of the spectrum. He has an extremely low cognitive function and is not expected to improve. Furthermore, he is unemployable in the open labour market and thus has suffered a total loss of earning capacity. Despite all this, he remains a child that deserves to play and learn.</w:t>
      </w:r>
    </w:p>
    <w:p w:rsidR="00822154" w:rsidRDefault="00822154"/>
    <w:p w:rsidR="00822154" w:rsidRDefault="00BE54AB">
      <w:r>
        <w:lastRenderedPageBreak/>
        <w:t>[6</w:t>
      </w:r>
      <w:r w:rsidR="004043B6">
        <w:t>]</w:t>
      </w:r>
      <w:r w:rsidR="004043B6">
        <w:tab/>
      </w:r>
      <w:r w:rsidR="00822154">
        <w:t>The plaintiff has claimed an amount of R 35,489,921.00 on behalf of BN comprising:</w:t>
      </w:r>
    </w:p>
    <w:p w:rsidR="00822154" w:rsidRDefault="00822154"/>
    <w:p w:rsidR="00822154" w:rsidRDefault="008743DC" w:rsidP="008743DC">
      <w:pPr>
        <w:ind w:left="1134" w:hanging="375"/>
      </w:pPr>
      <w:r>
        <w:t>6.1</w:t>
      </w:r>
      <w:r>
        <w:tab/>
      </w:r>
      <w:r w:rsidR="00BE54AB">
        <w:t xml:space="preserve"> </w:t>
      </w:r>
      <w:r w:rsidR="00822154">
        <w:t>R30,523,518.00 in future medical care</w:t>
      </w:r>
      <w:r w:rsidR="00B566C7">
        <w:t>,</w:t>
      </w:r>
      <w:r w:rsidR="00822154">
        <w:t xml:space="preserve"> medical and related expenses;</w:t>
      </w:r>
    </w:p>
    <w:p w:rsidR="00822154" w:rsidRDefault="00822154" w:rsidP="00E41E05">
      <w:pPr>
        <w:pStyle w:val="ListParagraph"/>
        <w:ind w:left="1134"/>
      </w:pPr>
    </w:p>
    <w:p w:rsidR="00822154" w:rsidRDefault="008743DC" w:rsidP="008743DC">
      <w:pPr>
        <w:ind w:left="1134" w:hanging="375"/>
      </w:pPr>
      <w:r>
        <w:t>6.2</w:t>
      </w:r>
      <w:r>
        <w:tab/>
      </w:r>
      <w:r w:rsidR="00BE54AB">
        <w:t xml:space="preserve"> </w:t>
      </w:r>
      <w:r w:rsidR="00822154">
        <w:t>R386,087.00 in future loss of earnings, alternatively earning capacity;</w:t>
      </w:r>
    </w:p>
    <w:p w:rsidR="00822154" w:rsidRDefault="00822154" w:rsidP="00E41E05">
      <w:pPr>
        <w:pStyle w:val="ListParagraph"/>
        <w:ind w:left="1134"/>
      </w:pPr>
    </w:p>
    <w:p w:rsidR="00822154" w:rsidRDefault="008743DC" w:rsidP="008743DC">
      <w:pPr>
        <w:ind w:left="1134" w:hanging="375"/>
      </w:pPr>
      <w:r>
        <w:t>6.3</w:t>
      </w:r>
      <w:r>
        <w:tab/>
      </w:r>
      <w:r w:rsidR="004D7E3A">
        <w:t xml:space="preserve"> </w:t>
      </w:r>
      <w:r w:rsidR="00822154">
        <w:t>R1,800,00 0.00 in general damages</w:t>
      </w:r>
      <w:r w:rsidR="00373CCF">
        <w:t>;</w:t>
      </w:r>
    </w:p>
    <w:p w:rsidR="00373CCF" w:rsidRDefault="00373CCF" w:rsidP="00E41E05">
      <w:pPr>
        <w:pStyle w:val="ListParagraph"/>
        <w:ind w:left="1134"/>
      </w:pPr>
    </w:p>
    <w:p w:rsidR="00373CCF" w:rsidRDefault="008743DC" w:rsidP="008743DC">
      <w:pPr>
        <w:ind w:left="1134" w:hanging="375"/>
      </w:pPr>
      <w:r>
        <w:t>6.4</w:t>
      </w:r>
      <w:r>
        <w:tab/>
      </w:r>
      <w:r w:rsidR="00BE54AB">
        <w:t xml:space="preserve"> </w:t>
      </w:r>
      <w:r w:rsidR="00373CCF">
        <w:t xml:space="preserve">R2,780,316.00 representing 8.5% of the total award to protect and administer </w:t>
      </w:r>
      <w:r w:rsidR="00F64023">
        <w:t>the award</w:t>
      </w:r>
      <w:r w:rsidR="00373CCF">
        <w:t>.</w:t>
      </w:r>
    </w:p>
    <w:p w:rsidR="00CD7281" w:rsidRDefault="00CD7281"/>
    <w:p w:rsidR="00CD7281" w:rsidRDefault="00556405">
      <w:pPr>
        <w:rPr>
          <w:i/>
          <w:iCs/>
        </w:rPr>
      </w:pPr>
      <w:bookmarkStart w:id="0" w:name="_Hlk125636597"/>
      <w:r>
        <w:rPr>
          <w:b/>
          <w:bCs/>
          <w:i/>
          <w:iCs/>
        </w:rPr>
        <w:t>Settled Issues</w:t>
      </w:r>
    </w:p>
    <w:bookmarkEnd w:id="0"/>
    <w:p w:rsidR="00CD7281" w:rsidRDefault="00E36F01">
      <w:r>
        <w:t>[7</w:t>
      </w:r>
      <w:r w:rsidR="004043B6">
        <w:t>]</w:t>
      </w:r>
      <w:r w:rsidR="004043B6">
        <w:tab/>
      </w:r>
      <w:r w:rsidR="00F066A2">
        <w:t>General damages have been settled in the sum of R 1,800,000</w:t>
      </w:r>
      <w:r w:rsidR="00083927">
        <w:t>.00</w:t>
      </w:r>
      <w:r w:rsidR="00CF384B">
        <w:t>.</w:t>
      </w:r>
      <w:r w:rsidR="00373CCF" w:rsidRPr="00CF384B">
        <w:rPr>
          <w:rStyle w:val="FootnoteReference"/>
          <w:color w:val="FF0000"/>
        </w:rPr>
        <w:footnoteReference w:id="3"/>
      </w:r>
      <w:r w:rsidR="00CF384B">
        <w:rPr>
          <w:color w:val="FF0000"/>
        </w:rPr>
        <w:t xml:space="preserve"> </w:t>
      </w:r>
      <w:r w:rsidR="00F066A2">
        <w:t>Loss of earning capacity has likewise been settled in an amount of R386,146</w:t>
      </w:r>
      <w:r w:rsidR="00083927">
        <w:t>.00</w:t>
      </w:r>
      <w:r w:rsidR="00F3104E">
        <w:t>. It has further been agreed that an amount of R650,000</w:t>
      </w:r>
      <w:r w:rsidR="00083927">
        <w:t>.00</w:t>
      </w:r>
      <w:r w:rsidR="00F3104E">
        <w:t xml:space="preserve"> is to be paid for an adapted motor vehicle on the basis that the plaintiff will be responsible for ensuring BN’s attendance at various consultations and</w:t>
      </w:r>
      <w:r w:rsidR="00432295">
        <w:t xml:space="preserve"> for</w:t>
      </w:r>
      <w:r w:rsidR="00F3104E">
        <w:t xml:space="preserve"> other medical or surgical</w:t>
      </w:r>
      <w:r w:rsidR="00432295">
        <w:t xml:space="preserve"> requirements</w:t>
      </w:r>
      <w:r w:rsidR="00F3104E">
        <w:t>.</w:t>
      </w:r>
    </w:p>
    <w:p w:rsidR="00373CCF" w:rsidRDefault="00373CCF"/>
    <w:p w:rsidR="00373CCF" w:rsidRDefault="00E36F01">
      <w:r>
        <w:t>[8</w:t>
      </w:r>
      <w:r w:rsidR="004043B6">
        <w:t>]</w:t>
      </w:r>
      <w:r w:rsidR="004043B6">
        <w:tab/>
      </w:r>
      <w:r w:rsidR="00373CCF">
        <w:t xml:space="preserve">In relation to the claim for future medical expenses and supplies the defendant has pleaded the public healthcare and undertaking to pay remedies as </w:t>
      </w:r>
      <w:r w:rsidR="00373CCF">
        <w:lastRenderedPageBreak/>
        <w:t>were recognized</w:t>
      </w:r>
      <w:r w:rsidR="005D022C">
        <w:t xml:space="preserve"> in an</w:t>
      </w:r>
      <w:r w:rsidR="00373CCF">
        <w:t xml:space="preserve"> </w:t>
      </w:r>
      <w:r w:rsidR="0090280A">
        <w:t>obiter</w:t>
      </w:r>
      <w:r w:rsidR="005D022C">
        <w:t xml:space="preserve"> dictum</w:t>
      </w:r>
      <w:r w:rsidR="0090280A">
        <w:t xml:space="preserve"> by</w:t>
      </w:r>
      <w:r w:rsidR="00373CCF">
        <w:t xml:space="preserve"> the Constitutional Court in </w:t>
      </w:r>
      <w:r w:rsidR="00373CCF" w:rsidRPr="00083927">
        <w:rPr>
          <w:i/>
          <w:iCs/>
        </w:rPr>
        <w:t>DZ</w:t>
      </w:r>
      <w:r w:rsidR="00CF384B" w:rsidRPr="007C2AB5">
        <w:rPr>
          <w:i/>
          <w:iCs/>
          <w:color w:val="000000" w:themeColor="text1"/>
        </w:rPr>
        <w:t>.</w:t>
      </w:r>
      <w:r w:rsidR="00373CCF" w:rsidRPr="007C2AB5">
        <w:rPr>
          <w:rStyle w:val="FootnoteReference"/>
          <w:color w:val="000000" w:themeColor="text1"/>
        </w:rPr>
        <w:footnoteReference w:id="4"/>
      </w:r>
      <w:r w:rsidR="00CF384B" w:rsidRPr="007C2AB5">
        <w:rPr>
          <w:color w:val="000000" w:themeColor="text1"/>
        </w:rPr>
        <w:t xml:space="preserve"> </w:t>
      </w:r>
      <w:r w:rsidR="0090280A">
        <w:t>Regarding the claim for protection and administration of the award, the defendant has contended that, should the DZ defences be upheld, the limited amounts payable as lump sums after the application of such remedies will not justify this.</w:t>
      </w:r>
    </w:p>
    <w:p w:rsidR="00F3104E" w:rsidRDefault="00F3104E"/>
    <w:p w:rsidR="00F3104E" w:rsidRDefault="00E36F01">
      <w:r>
        <w:t>[9</w:t>
      </w:r>
      <w:r w:rsidR="004043B6">
        <w:t>]</w:t>
      </w:r>
      <w:r w:rsidR="004043B6">
        <w:tab/>
      </w:r>
      <w:r w:rsidR="00F3104E">
        <w:t xml:space="preserve">In the event </w:t>
      </w:r>
      <w:r w:rsidR="00D52E18">
        <w:t xml:space="preserve">of this court rejecting </w:t>
      </w:r>
      <w:r w:rsidR="00F3104E">
        <w:t xml:space="preserve">the DZ defences, the parties have reached agreement on </w:t>
      </w:r>
      <w:r w:rsidR="00281BCD">
        <w:t>most</w:t>
      </w:r>
      <w:r w:rsidR="00F3104E">
        <w:t xml:space="preserve"> </w:t>
      </w:r>
      <w:r w:rsidR="00281BCD">
        <w:t xml:space="preserve">of the </w:t>
      </w:r>
      <w:r w:rsidR="00F3104E">
        <w:t>medical services and supplies that are required by BN, and the amount payable in respect of each such service or supply.</w:t>
      </w:r>
      <w:r w:rsidR="00281BCD">
        <w:t xml:space="preserve"> These matters have come to be settled over</w:t>
      </w:r>
      <w:r w:rsidR="00373CCF">
        <w:t xml:space="preserve"> time </w:t>
      </w:r>
      <w:r w:rsidR="00822154">
        <w:t>and</w:t>
      </w:r>
      <w:r w:rsidR="00281BCD">
        <w:t xml:space="preserve"> are reflected in a document referred to as annexure “A” to the </w:t>
      </w:r>
      <w:r w:rsidR="00733E8C">
        <w:t>pre</w:t>
      </w:r>
      <w:r w:rsidR="00733E8C" w:rsidRPr="00733E8C">
        <w:rPr>
          <w:color w:val="FF0000"/>
        </w:rPr>
        <w:t>-</w:t>
      </w:r>
      <w:r w:rsidR="00733E8C">
        <w:t>trial</w:t>
      </w:r>
      <w:r w:rsidR="00281BCD">
        <w:t xml:space="preserve"> conference</w:t>
      </w:r>
      <w:r w:rsidR="00083927">
        <w:t xml:space="preserve"> minute</w:t>
      </w:r>
      <w:r w:rsidR="00D3716D">
        <w:t>.</w:t>
      </w:r>
      <w:r w:rsidR="00822154" w:rsidRPr="007C2AB5">
        <w:rPr>
          <w:rStyle w:val="FootnoteReference"/>
          <w:color w:val="000000" w:themeColor="text1"/>
        </w:rPr>
        <w:footnoteReference w:id="5"/>
      </w:r>
      <w:r w:rsidR="00281BCD" w:rsidRPr="007C2AB5">
        <w:rPr>
          <w:color w:val="000000" w:themeColor="text1"/>
        </w:rPr>
        <w:t xml:space="preserve"> </w:t>
      </w:r>
      <w:r w:rsidR="00281BCD">
        <w:t>It is not necessary to repeat the details thereof in this judgment.</w:t>
      </w:r>
      <w:r w:rsidR="0051013B">
        <w:t xml:space="preserve"> Also, in this event, issues relating to the protection of the lump sum award in the form of a trust will have to be further addressed.</w:t>
      </w:r>
    </w:p>
    <w:p w:rsidR="00515C24" w:rsidRDefault="00515C24"/>
    <w:p w:rsidR="0090280A" w:rsidRDefault="00515C24">
      <w:r w:rsidRPr="00515C24">
        <w:rPr>
          <w:b/>
          <w:bCs/>
          <w:i/>
          <w:iCs/>
        </w:rPr>
        <w:t>Disputed issues</w:t>
      </w:r>
    </w:p>
    <w:p w:rsidR="006A78FF" w:rsidRDefault="00E36F01">
      <w:r>
        <w:t>[10</w:t>
      </w:r>
      <w:r w:rsidR="004043B6">
        <w:t>]</w:t>
      </w:r>
      <w:r w:rsidR="004043B6">
        <w:tab/>
      </w:r>
      <w:r w:rsidR="006A78FF">
        <w:t>The following matters remain in dispute relating to their nature, frequency, duration, quantity, cost etc. irrespective of whether the DZ defences are upheld:</w:t>
      </w:r>
    </w:p>
    <w:p w:rsidR="00AA7C9E" w:rsidRDefault="00AA7C9E"/>
    <w:p w:rsidR="006A78FF" w:rsidRDefault="008743DC" w:rsidP="008743DC">
      <w:pPr>
        <w:ind w:left="1134" w:right="1134" w:hanging="525"/>
      </w:pPr>
      <w:r>
        <w:t>10.1</w:t>
      </w:r>
      <w:r>
        <w:tab/>
      </w:r>
      <w:r w:rsidR="005630C1">
        <w:t xml:space="preserve"> </w:t>
      </w:r>
      <w:r w:rsidR="006A78FF">
        <w:t>BN’s caregiving requirements;</w:t>
      </w:r>
    </w:p>
    <w:p w:rsidR="006A78FF" w:rsidRDefault="006A78FF" w:rsidP="005C0BB9">
      <w:pPr>
        <w:pStyle w:val="ListParagraph"/>
        <w:ind w:left="1134" w:right="1134"/>
      </w:pPr>
    </w:p>
    <w:p w:rsidR="006A78FF" w:rsidRDefault="008743DC" w:rsidP="008743DC">
      <w:pPr>
        <w:ind w:left="1134" w:right="1134" w:hanging="525"/>
      </w:pPr>
      <w:r>
        <w:t>10.2</w:t>
      </w:r>
      <w:r>
        <w:tab/>
      </w:r>
      <w:r w:rsidR="005630C1">
        <w:t xml:space="preserve"> </w:t>
      </w:r>
      <w:r w:rsidR="006A78FF">
        <w:t>Occupational Therapy;</w:t>
      </w:r>
    </w:p>
    <w:p w:rsidR="006A78FF" w:rsidRDefault="006A78FF" w:rsidP="005C0BB9">
      <w:pPr>
        <w:pStyle w:val="ListParagraph"/>
        <w:ind w:left="1134" w:right="1134"/>
      </w:pPr>
    </w:p>
    <w:p w:rsidR="006A78FF" w:rsidRDefault="008743DC" w:rsidP="008743DC">
      <w:pPr>
        <w:ind w:left="1134" w:right="1134" w:hanging="525"/>
      </w:pPr>
      <w:r>
        <w:lastRenderedPageBreak/>
        <w:t>10.3</w:t>
      </w:r>
      <w:r>
        <w:tab/>
      </w:r>
      <w:r w:rsidR="005630C1">
        <w:t xml:space="preserve"> </w:t>
      </w:r>
      <w:r w:rsidR="006A78FF">
        <w:t>Physiotherapy;</w:t>
      </w:r>
    </w:p>
    <w:p w:rsidR="006A78FF" w:rsidRDefault="006A78FF" w:rsidP="005C0BB9">
      <w:pPr>
        <w:pStyle w:val="ListParagraph"/>
        <w:ind w:left="1134" w:right="1134"/>
      </w:pPr>
    </w:p>
    <w:p w:rsidR="0051013B" w:rsidRDefault="008743DC" w:rsidP="008743DC">
      <w:pPr>
        <w:ind w:left="1134" w:right="1134" w:hanging="525"/>
      </w:pPr>
      <w:r>
        <w:t>10.4</w:t>
      </w:r>
      <w:r>
        <w:tab/>
      </w:r>
      <w:r w:rsidR="005630C1">
        <w:t xml:space="preserve"> </w:t>
      </w:r>
      <w:r w:rsidR="006A78FF">
        <w:t>Home alteration costs to accommodate his disability;</w:t>
      </w:r>
    </w:p>
    <w:p w:rsidR="00A2461F" w:rsidRDefault="00A2461F" w:rsidP="00A2461F">
      <w:pPr>
        <w:ind w:right="1134"/>
      </w:pPr>
    </w:p>
    <w:p w:rsidR="006A78FF" w:rsidRDefault="00B566C7" w:rsidP="00B566C7">
      <w:pPr>
        <w:ind w:left="609" w:right="1134"/>
      </w:pPr>
      <w:r>
        <w:t>10.5</w:t>
      </w:r>
      <w:r w:rsidR="00406EB1">
        <w:t xml:space="preserve"> </w:t>
      </w:r>
      <w:r w:rsidR="006A78FF">
        <w:t>Whether he requires a transporter buggy in addition to a wheelchair</w:t>
      </w:r>
      <w:r w:rsidR="006A78FF">
        <w:rPr>
          <w:rStyle w:val="FootnoteReference"/>
        </w:rPr>
        <w:footnoteReference w:id="6"/>
      </w:r>
      <w:r w:rsidR="006A78FF">
        <w:t>;</w:t>
      </w:r>
    </w:p>
    <w:p w:rsidR="006A78FF" w:rsidRDefault="006A78FF" w:rsidP="00623080">
      <w:pPr>
        <w:pStyle w:val="ListParagraph"/>
        <w:ind w:left="1134" w:right="1134"/>
      </w:pPr>
    </w:p>
    <w:p w:rsidR="006A78FF" w:rsidRDefault="00D3716D" w:rsidP="00406EB1">
      <w:pPr>
        <w:ind w:right="1134" w:firstLine="609"/>
      </w:pPr>
      <w:r>
        <w:t>10.6 Case</w:t>
      </w:r>
      <w:r w:rsidR="006A78FF">
        <w:t xml:space="preserve"> management.</w:t>
      </w:r>
    </w:p>
    <w:p w:rsidR="00515C24" w:rsidRDefault="00515C24" w:rsidP="00515C24">
      <w:pPr>
        <w:pStyle w:val="ListParagraph"/>
      </w:pPr>
    </w:p>
    <w:p w:rsidR="00515C24" w:rsidRDefault="00E36F01" w:rsidP="00515C24">
      <w:r>
        <w:t>[11</w:t>
      </w:r>
      <w:r w:rsidR="004043B6">
        <w:t>]</w:t>
      </w:r>
      <w:r w:rsidR="004043B6">
        <w:tab/>
      </w:r>
      <w:r w:rsidR="00515C24">
        <w:t>As indicated earlier, the claim for cost of protection and administration of the award likewise remains in dispute.</w:t>
      </w:r>
    </w:p>
    <w:p w:rsidR="00010416" w:rsidRDefault="00010416" w:rsidP="00515C24"/>
    <w:p w:rsidR="00010416" w:rsidRDefault="00E36F01" w:rsidP="00515C24">
      <w:r>
        <w:t>[12</w:t>
      </w:r>
      <w:r w:rsidR="004043B6">
        <w:t>]</w:t>
      </w:r>
      <w:r w:rsidR="004043B6">
        <w:tab/>
      </w:r>
      <w:r w:rsidR="00010416">
        <w:t>It w</w:t>
      </w:r>
      <w:r w:rsidR="0051013B">
        <w:t>ill</w:t>
      </w:r>
      <w:r w:rsidR="00010416">
        <w:t xml:space="preserve"> have become apparent from the foregoing that the </w:t>
      </w:r>
      <w:r w:rsidR="00A64D1E">
        <w:t>question</w:t>
      </w:r>
      <w:r w:rsidR="00010416">
        <w:t xml:space="preserve"> of the DZ defences</w:t>
      </w:r>
      <w:r w:rsidR="00A64D1E">
        <w:t xml:space="preserve"> forms a central issue in this case. In this regard it is necessary to consider whether the common law </w:t>
      </w:r>
      <w:r w:rsidR="00083927">
        <w:t>should</w:t>
      </w:r>
      <w:r w:rsidR="00A64D1E">
        <w:t xml:space="preserve"> be developed to accommodate such remedies, it being common cause that without such development they cannot be sustained. Should it be concluded that the common law ought to be so developed, there is also an issue as to the appropriate standard at which the hospitals (in this case CMH and Frere Hospitals (“Frere”)) should be able to provide such services in order to determine whether the public healthcare remedy can be sustained</w:t>
      </w:r>
      <w:r w:rsidR="00F64023">
        <w:t>:</w:t>
      </w:r>
      <w:r w:rsidR="00A64D1E">
        <w:t xml:space="preserve"> a reasonable standard, an acceptably high standard, or a standard equivalent to that in the private healthcare sector</w:t>
      </w:r>
      <w:r w:rsidR="00B566C7">
        <w:t>.</w:t>
      </w:r>
    </w:p>
    <w:p w:rsidR="00A64D1E" w:rsidRDefault="00A64D1E" w:rsidP="00515C24"/>
    <w:p w:rsidR="00A64D1E" w:rsidRDefault="00E36F01" w:rsidP="00515C24">
      <w:r>
        <w:lastRenderedPageBreak/>
        <w:t>[13</w:t>
      </w:r>
      <w:r w:rsidR="004043B6">
        <w:t>]</w:t>
      </w:r>
      <w:r w:rsidR="004043B6">
        <w:tab/>
      </w:r>
      <w:r w:rsidR="00A64D1E">
        <w:t xml:space="preserve">Should these questions be determined in favour of the defendant, it is then further necessary to establish which of the disputed services and supplies the plaintiff has established as being necessary and the type, amounts and frequencies thereof. Finally, it will be necessary to determine whether the required medical services and supplies should be provided in terms of the public healthcare remedy to the extent that the defendant </w:t>
      </w:r>
      <w:r w:rsidR="00B4526F">
        <w:t xml:space="preserve">has proved that </w:t>
      </w:r>
      <w:r w:rsidR="00A64D1E">
        <w:t xml:space="preserve">she is able to do </w:t>
      </w:r>
      <w:r w:rsidR="00B4526F">
        <w:t>so according to the determined standard (</w:t>
      </w:r>
      <w:r w:rsidR="00A64D1E">
        <w:t>or a lesser range of services and supplies) or in terms of the undertaking to pay remedy</w:t>
      </w:r>
      <w:r w:rsidR="00B566C7">
        <w:t>.</w:t>
      </w:r>
    </w:p>
    <w:p w:rsidR="00B4526F" w:rsidRDefault="00B4526F" w:rsidP="00515C24"/>
    <w:p w:rsidR="00B4526F" w:rsidRDefault="00E36F01" w:rsidP="00515C24">
      <w:r>
        <w:t>[14</w:t>
      </w:r>
      <w:r w:rsidR="004043B6">
        <w:t>]</w:t>
      </w:r>
      <w:r w:rsidR="004043B6">
        <w:tab/>
      </w:r>
      <w:r w:rsidR="00B4526F">
        <w:t>Before I consider these questions, it is necessary to deal with certain preliminary skirmishes</w:t>
      </w:r>
      <w:r w:rsidR="0051013B">
        <w:t xml:space="preserve"> relating to the evidence led</w:t>
      </w:r>
      <w:r w:rsidR="00B4526F">
        <w:t>, the determination of which will affect my approach to the core issues. A dispute has arisen as to the burden of proof regarding the DZ defences. Disputes have also arisen regarding</w:t>
      </w:r>
      <w:r w:rsidR="00F64023">
        <w:t xml:space="preserve"> the</w:t>
      </w:r>
      <w:r w:rsidR="00B4526F">
        <w:t xml:space="preserve"> admissibility of certain evidence.</w:t>
      </w:r>
    </w:p>
    <w:p w:rsidR="00B4526F" w:rsidRDefault="00B4526F" w:rsidP="00515C24"/>
    <w:p w:rsidR="00B4526F" w:rsidRDefault="00B4526F" w:rsidP="00515C24">
      <w:pPr>
        <w:rPr>
          <w:b/>
          <w:bCs/>
          <w:i/>
          <w:iCs/>
        </w:rPr>
      </w:pPr>
      <w:r w:rsidRPr="00B4526F">
        <w:rPr>
          <w:b/>
          <w:bCs/>
          <w:i/>
          <w:iCs/>
        </w:rPr>
        <w:t>The burden of proof</w:t>
      </w:r>
    </w:p>
    <w:p w:rsidR="00B4526F" w:rsidRDefault="00E36F01" w:rsidP="00515C24">
      <w:r>
        <w:t>[15</w:t>
      </w:r>
      <w:r w:rsidR="004043B6">
        <w:t>]</w:t>
      </w:r>
      <w:r w:rsidR="004043B6">
        <w:tab/>
      </w:r>
      <w:r w:rsidR="00B4526F">
        <w:t xml:space="preserve">There is consensus that, absent the plea relating to the DZ defences, the plaintiff bears the onus of proving </w:t>
      </w:r>
      <w:r w:rsidR="00F64023">
        <w:t>BN’s</w:t>
      </w:r>
      <w:r w:rsidR="00B4526F">
        <w:t xml:space="preserve"> quantum of damages. The problem arises </w:t>
      </w:r>
      <w:r w:rsidR="00EB5975">
        <w:t>regarding</w:t>
      </w:r>
      <w:r w:rsidR="00B4526F">
        <w:t xml:space="preserve"> whether the plaintiff or the defendant bears the overall onus </w:t>
      </w:r>
      <w:r w:rsidR="0051013B">
        <w:t>regarding</w:t>
      </w:r>
      <w:r w:rsidR="00B4526F">
        <w:t xml:space="preserve"> the DZ defences. In this regard, the plaintiff has argued that</w:t>
      </w:r>
      <w:r w:rsidR="00EB5975">
        <w:t xml:space="preserve"> where the defendant seeks the development of the common law, it bears the onus of proving that such development promotes the spirit, purport and object of the Bill of Rights in terms of section 39(2) of the </w:t>
      </w:r>
      <w:r w:rsidR="0051013B">
        <w:t>Constitution</w:t>
      </w:r>
      <w:r w:rsidR="00F64023">
        <w:t>,</w:t>
      </w:r>
      <w:r w:rsidR="0051013B">
        <w:t xml:space="preserve"> or</w:t>
      </w:r>
      <w:r w:rsidR="00EB5975">
        <w:t xml:space="preserve"> is in the interests of justice in terms of section 173 of the Constitution. The defendant, on the other hand, contends that she bears an evidentiary burden to rebut any </w:t>
      </w:r>
      <w:r w:rsidR="00EB5975" w:rsidRPr="00EB5975">
        <w:rPr>
          <w:i/>
          <w:iCs/>
        </w:rPr>
        <w:t>prima facie</w:t>
      </w:r>
      <w:r w:rsidR="00EB5975">
        <w:t xml:space="preserve"> case made out by the plaintiff.</w:t>
      </w:r>
    </w:p>
    <w:p w:rsidR="00EB5975" w:rsidRDefault="00EB5975" w:rsidP="00515C24"/>
    <w:p w:rsidR="00EB5975" w:rsidRDefault="00E36F01" w:rsidP="00515C24">
      <w:r>
        <w:lastRenderedPageBreak/>
        <w:t>[16</w:t>
      </w:r>
      <w:r w:rsidR="004043B6">
        <w:t>]</w:t>
      </w:r>
      <w:r w:rsidR="004043B6">
        <w:tab/>
      </w:r>
      <w:r w:rsidR="00EB5975">
        <w:t xml:space="preserve">In developing the argument, </w:t>
      </w:r>
      <w:r w:rsidR="004663D0">
        <w:t>plaintiff’</w:t>
      </w:r>
      <w:r w:rsidR="00A847F9">
        <w:t>s</w:t>
      </w:r>
      <w:r w:rsidR="00EB5975">
        <w:t xml:space="preserve"> counsel pointed to the fact that the</w:t>
      </w:r>
      <w:r w:rsidR="004663D0">
        <w:t xml:space="preserve"> Constitutional Court in the</w:t>
      </w:r>
      <w:r w:rsidR="00EB5975">
        <w:t xml:space="preserve"> </w:t>
      </w:r>
      <w:r w:rsidR="00EB5975" w:rsidRPr="00A847F9">
        <w:rPr>
          <w:i/>
          <w:iCs/>
        </w:rPr>
        <w:t>DZ</w:t>
      </w:r>
      <w:r w:rsidR="00EB5975">
        <w:t xml:space="preserve"> judgment</w:t>
      </w:r>
      <w:r w:rsidR="004663D0">
        <w:t xml:space="preserve"> did not, in the ultimate analysis, extend the common law. It did not do so because it </w:t>
      </w:r>
      <w:r w:rsidR="00A847F9">
        <w:t xml:space="preserve">concluded </w:t>
      </w:r>
      <w:r w:rsidR="004663D0">
        <w:t xml:space="preserve">that, whilst it accepted that the common law could be so developed, there was insufficient evidence before the court to make that determination. This, so it was submitted, points to the fact that the Constitutional Court, albeit </w:t>
      </w:r>
      <w:r w:rsidR="004663D0" w:rsidRPr="00E52389">
        <w:rPr>
          <w:i/>
          <w:iCs/>
        </w:rPr>
        <w:t>obiter</w:t>
      </w:r>
      <w:r w:rsidR="004663D0">
        <w:t xml:space="preserve">, was of the view </w:t>
      </w:r>
      <w:r w:rsidR="0051013B">
        <w:t>b</w:t>
      </w:r>
      <w:r w:rsidR="004663D0">
        <w:t>y necessary implication that the party pleading for an extension of the common law bore an overall onus to prove the necessity therefor on a balance of probability.</w:t>
      </w:r>
    </w:p>
    <w:p w:rsidR="004663D0" w:rsidRDefault="004663D0" w:rsidP="00515C24"/>
    <w:p w:rsidR="004663D0" w:rsidRDefault="00E36F01" w:rsidP="00515C24">
      <w:r>
        <w:t>[17</w:t>
      </w:r>
      <w:r w:rsidR="004043B6">
        <w:t>]</w:t>
      </w:r>
      <w:r w:rsidR="004043B6">
        <w:tab/>
      </w:r>
      <w:r w:rsidR="004663D0">
        <w:t xml:space="preserve">In my view, this was not the only necessary implication. </w:t>
      </w:r>
      <w:r w:rsidR="004663D0" w:rsidRPr="00A847F9">
        <w:rPr>
          <w:i/>
          <w:iCs/>
        </w:rPr>
        <w:t>DZ</w:t>
      </w:r>
      <w:r w:rsidR="004663D0">
        <w:t xml:space="preserve"> can equally be read to have implied that in an instance where </w:t>
      </w:r>
      <w:r w:rsidR="00483969">
        <w:t>a</w:t>
      </w:r>
      <w:r w:rsidR="004663D0">
        <w:t xml:space="preserve"> plaintiff has provided sufficient evidence to establish a </w:t>
      </w:r>
      <w:r w:rsidR="004663D0" w:rsidRPr="004663D0">
        <w:rPr>
          <w:i/>
          <w:iCs/>
        </w:rPr>
        <w:t>prima facie</w:t>
      </w:r>
      <w:r w:rsidR="004663D0" w:rsidRPr="004663D0">
        <w:t xml:space="preserve"> </w:t>
      </w:r>
      <w:r w:rsidR="004663D0">
        <w:t xml:space="preserve">case </w:t>
      </w:r>
      <w:r w:rsidR="0051013B">
        <w:t>regarding</w:t>
      </w:r>
      <w:r w:rsidR="004663D0">
        <w:t xml:space="preserve"> the damages claimed, an evidential onus is c</w:t>
      </w:r>
      <w:r w:rsidR="0051013B">
        <w:t>a</w:t>
      </w:r>
      <w:r w:rsidR="004663D0">
        <w:t xml:space="preserve">st on the defendant claiming an extension of the common law to rebut </w:t>
      </w:r>
      <w:r w:rsidR="00432295">
        <w:t>it</w:t>
      </w:r>
      <w:r w:rsidR="004663D0">
        <w:t xml:space="preserve">. As I read </w:t>
      </w:r>
      <w:r w:rsidR="004663D0" w:rsidRPr="00A847F9">
        <w:rPr>
          <w:i/>
          <w:iCs/>
        </w:rPr>
        <w:t>DZ</w:t>
      </w:r>
      <w:r w:rsidR="00B566C7">
        <w:rPr>
          <w:i/>
          <w:iCs/>
        </w:rPr>
        <w:t>,</w:t>
      </w:r>
      <w:r w:rsidR="004663D0">
        <w:t xml:space="preserve"> t</w:t>
      </w:r>
      <w:r w:rsidR="00AD180C">
        <w:t xml:space="preserve">here is no suggestion that this </w:t>
      </w:r>
      <w:r w:rsidR="004663D0">
        <w:t>resulted in a shifting of the overall burden of proof from the plaintiff to the defendant.</w:t>
      </w:r>
      <w:r w:rsidR="00CA3F0D">
        <w:t xml:space="preserve"> Stated another way, whichever form of onus the</w:t>
      </w:r>
      <w:r w:rsidR="00483969">
        <w:t xml:space="preserve"> Constitutional Court </w:t>
      </w:r>
      <w:r w:rsidR="00CA3F0D">
        <w:t>may have had in mind in concluding that there was insufficient evidence, it would have come to the same conclusion i.e. that there was insufficient evidence before it to make a determination with regard to an extension of the common law.</w:t>
      </w:r>
    </w:p>
    <w:p w:rsidR="00CA3F0D" w:rsidRDefault="00CA3F0D" w:rsidP="00515C24"/>
    <w:p w:rsidR="00CA3F0D" w:rsidRDefault="00E36F01" w:rsidP="00515C24">
      <w:pPr>
        <w:rPr>
          <w:iCs/>
        </w:rPr>
      </w:pPr>
      <w:r>
        <w:t>[18</w:t>
      </w:r>
      <w:r w:rsidR="004043B6">
        <w:t>]</w:t>
      </w:r>
      <w:r w:rsidR="004043B6">
        <w:tab/>
      </w:r>
      <w:r w:rsidR="00CA3F0D">
        <w:t xml:space="preserve">The plaintiff </w:t>
      </w:r>
      <w:r w:rsidR="00483969">
        <w:t>has further</w:t>
      </w:r>
      <w:r w:rsidR="00CA3F0D">
        <w:t xml:space="preserve"> argued that the judgment in </w:t>
      </w:r>
      <w:r w:rsidR="00CA3F0D" w:rsidRPr="00CA3F0D">
        <w:rPr>
          <w:i/>
          <w:iCs/>
        </w:rPr>
        <w:t>Pillay v Krishna &amp; Another</w:t>
      </w:r>
      <w:r w:rsidR="00CA3F0D">
        <w:rPr>
          <w:rStyle w:val="FootnoteReference"/>
          <w:i/>
          <w:iCs/>
        </w:rPr>
        <w:footnoteReference w:id="7"/>
      </w:r>
      <w:r w:rsidR="00CA3F0D">
        <w:rPr>
          <w:iCs/>
        </w:rPr>
        <w:t xml:space="preserve"> is determinative of this issue. Davis </w:t>
      </w:r>
      <w:r w:rsidR="00483969">
        <w:rPr>
          <w:iCs/>
        </w:rPr>
        <w:t>AJA</w:t>
      </w:r>
      <w:r w:rsidR="00CA3F0D">
        <w:rPr>
          <w:iCs/>
        </w:rPr>
        <w:t xml:space="preserve"> stated in that case that where a person against whom a claim is made is not simply </w:t>
      </w:r>
      <w:r w:rsidR="00483969">
        <w:rPr>
          <w:iCs/>
        </w:rPr>
        <w:t>content</w:t>
      </w:r>
      <w:r w:rsidR="00CA3F0D">
        <w:rPr>
          <w:iCs/>
        </w:rPr>
        <w:t xml:space="preserve"> to deny it but sets up a special defence, “</w:t>
      </w:r>
      <w:r w:rsidR="00CA3F0D" w:rsidRPr="009704B7">
        <w:t xml:space="preserve">then he is regarded </w:t>
      </w:r>
      <w:proofErr w:type="spellStart"/>
      <w:r w:rsidR="00CA3F0D" w:rsidRPr="009704B7">
        <w:t>quoad</w:t>
      </w:r>
      <w:proofErr w:type="spellEnd"/>
      <w:r w:rsidR="00CA3F0D" w:rsidRPr="009704B7">
        <w:t xml:space="preserve"> that defence, as being the claimant; for his defence to be upheld he must satisfy the court that he is entitled to succeed on it</w:t>
      </w:r>
      <w:r w:rsidR="00CA3F0D" w:rsidRPr="00CA3F0D">
        <w:rPr>
          <w:i/>
        </w:rPr>
        <w:t>.</w:t>
      </w:r>
      <w:r w:rsidR="00CA3F0D">
        <w:rPr>
          <w:iCs/>
        </w:rPr>
        <w:t>”</w:t>
      </w:r>
    </w:p>
    <w:p w:rsidR="00CA3F0D" w:rsidRDefault="00CA3F0D" w:rsidP="00515C24"/>
    <w:p w:rsidR="00CA3F0D" w:rsidRDefault="00E36F01" w:rsidP="00515C24">
      <w:r>
        <w:t>[19</w:t>
      </w:r>
      <w:r w:rsidR="004043B6">
        <w:t>]</w:t>
      </w:r>
      <w:r w:rsidR="004043B6">
        <w:tab/>
      </w:r>
      <w:r w:rsidR="00CA3F0D">
        <w:t xml:space="preserve">The defendant has argued that the use of an onus in the context of adjudicating a development of the common law is not appropriate. The Constitutional Court has never imposed such an onus and it is ultimately a question of law and not of fact as to whether the common law should be developed. Furthermore, the Constitutional Court has said that it has the power to develop the common-law </w:t>
      </w:r>
      <w:proofErr w:type="spellStart"/>
      <w:r w:rsidR="00CA3F0D" w:rsidRPr="00CA3F0D">
        <w:rPr>
          <w:i/>
          <w:iCs/>
        </w:rPr>
        <w:t>mero</w:t>
      </w:r>
      <w:proofErr w:type="spellEnd"/>
      <w:r w:rsidR="00CA3F0D" w:rsidRPr="00CA3F0D">
        <w:rPr>
          <w:i/>
          <w:iCs/>
        </w:rPr>
        <w:t xml:space="preserve"> </w:t>
      </w:r>
      <w:proofErr w:type="spellStart"/>
      <w:r w:rsidR="00CA3F0D" w:rsidRPr="00CA3F0D">
        <w:rPr>
          <w:i/>
          <w:iCs/>
        </w:rPr>
        <w:t>mot</w:t>
      </w:r>
      <w:r w:rsidR="00CA3F0D">
        <w:rPr>
          <w:i/>
          <w:iCs/>
        </w:rPr>
        <w:t>u</w:t>
      </w:r>
      <w:proofErr w:type="spellEnd"/>
      <w:r w:rsidR="00CA3F0D">
        <w:t xml:space="preserve"> after raising it with the parties and hearing argument on it</w:t>
      </w:r>
      <w:r w:rsidR="00BD1E1E" w:rsidRPr="00E2108C">
        <w:rPr>
          <w:color w:val="000000" w:themeColor="text1"/>
        </w:rPr>
        <w:t>.</w:t>
      </w:r>
      <w:r w:rsidR="00CA3F0D" w:rsidRPr="00E2108C">
        <w:rPr>
          <w:rStyle w:val="FootnoteReference"/>
          <w:color w:val="000000" w:themeColor="text1"/>
        </w:rPr>
        <w:footnoteReference w:id="8"/>
      </w:r>
      <w:r w:rsidR="00464C8B">
        <w:t xml:space="preserve"> In this regard, the Constitutional Court has also found that whilst it may be preferable that</w:t>
      </w:r>
      <w:r w:rsidR="00B566C7">
        <w:t xml:space="preserve"> the</w:t>
      </w:r>
      <w:r w:rsidR="00464C8B">
        <w:t xml:space="preserve"> development of the common-law </w:t>
      </w:r>
      <w:r w:rsidR="00483969">
        <w:t>sought</w:t>
      </w:r>
      <w:r w:rsidR="00464C8B">
        <w:t xml:space="preserve"> should be pleaded, the failure to do so does not preclude a litigant from raising it in the Constitutional Court</w:t>
      </w:r>
      <w:r w:rsidR="00464C8B">
        <w:rPr>
          <w:rStyle w:val="FootnoteReference"/>
        </w:rPr>
        <w:footnoteReference w:id="9"/>
      </w:r>
      <w:r w:rsidR="007E4ADA">
        <w:t xml:space="preserve"> and that indeed section 39(2) imposes a duty on the courts in this regard, not a discretion</w:t>
      </w:r>
      <w:r w:rsidR="00464C8B">
        <w:t>.</w:t>
      </w:r>
    </w:p>
    <w:p w:rsidR="007E4ADA" w:rsidRDefault="007E4ADA" w:rsidP="00515C24"/>
    <w:p w:rsidR="007E4ADA" w:rsidRDefault="00E36F01" w:rsidP="00515C24">
      <w:r>
        <w:t>[20</w:t>
      </w:r>
      <w:r w:rsidR="004043B6">
        <w:t>]</w:t>
      </w:r>
      <w:r w:rsidR="004043B6">
        <w:tab/>
      </w:r>
      <w:r w:rsidR="007E4ADA">
        <w:t xml:space="preserve">The defendant has also contended that </w:t>
      </w:r>
      <w:r w:rsidR="007E4ADA" w:rsidRPr="00A847F9">
        <w:rPr>
          <w:i/>
          <w:iCs/>
        </w:rPr>
        <w:t>DZ</w:t>
      </w:r>
      <w:r w:rsidR="007E4ADA">
        <w:t xml:space="preserve">, which is the </w:t>
      </w:r>
      <w:r w:rsidR="007E4ADA" w:rsidRPr="007E4ADA">
        <w:t xml:space="preserve">judicial </w:t>
      </w:r>
      <w:proofErr w:type="spellStart"/>
      <w:r w:rsidR="007E4ADA" w:rsidRPr="007E4ADA">
        <w:rPr>
          <w:i/>
          <w:iCs/>
        </w:rPr>
        <w:t>fons</w:t>
      </w:r>
      <w:proofErr w:type="spellEnd"/>
      <w:r w:rsidR="007E4ADA" w:rsidRPr="007E4ADA">
        <w:rPr>
          <w:i/>
          <w:iCs/>
        </w:rPr>
        <w:t xml:space="preserve"> et </w:t>
      </w:r>
      <w:proofErr w:type="spellStart"/>
      <w:r w:rsidR="007E4ADA" w:rsidRPr="007E4ADA">
        <w:rPr>
          <w:i/>
          <w:iCs/>
        </w:rPr>
        <w:t>origo</w:t>
      </w:r>
      <w:proofErr w:type="spellEnd"/>
      <w:r w:rsidR="007E4ADA">
        <w:t xml:space="preserve"> of the defences pleaded in this case, indicated that in the context of this particular development it is for the defendant to adduce factual evidence to substantiate a carefully pleaded argument</w:t>
      </w:r>
      <w:r w:rsidR="0059335E">
        <w:t>.</w:t>
      </w:r>
      <w:r w:rsidR="007E4ADA" w:rsidRPr="00E2108C">
        <w:rPr>
          <w:rStyle w:val="FootnoteReference"/>
          <w:color w:val="000000" w:themeColor="text1"/>
        </w:rPr>
        <w:footnoteReference w:id="10"/>
      </w:r>
      <w:r w:rsidR="007E4ADA">
        <w:t xml:space="preserve"> As against the background of the earlier cases dealing with this aspect, this invocation appears to require the provision of a factual matrix to enable the court to evaluate the matter properly without being saddled with </w:t>
      </w:r>
      <w:r w:rsidR="00220EB1">
        <w:t xml:space="preserve">the question </w:t>
      </w:r>
      <w:r w:rsidR="007E4ADA">
        <w:t xml:space="preserve">of </w:t>
      </w:r>
      <w:r w:rsidR="00483969">
        <w:t xml:space="preserve">an </w:t>
      </w:r>
      <w:r w:rsidR="007E4ADA">
        <w:t>onus.</w:t>
      </w:r>
    </w:p>
    <w:p w:rsidR="007E4ADA" w:rsidRDefault="007E4ADA" w:rsidP="00515C24"/>
    <w:p w:rsidR="007E4ADA" w:rsidRDefault="00E36F01" w:rsidP="00515C24">
      <w:pPr>
        <w:rPr>
          <w:iCs/>
        </w:rPr>
      </w:pPr>
      <w:r>
        <w:t>[21</w:t>
      </w:r>
      <w:r w:rsidR="004043B6">
        <w:t>]</w:t>
      </w:r>
      <w:r w:rsidR="004043B6">
        <w:tab/>
      </w:r>
      <w:r w:rsidR="007E4ADA">
        <w:t>In my view the submissions of the defendant in this regard must carry the day.</w:t>
      </w:r>
      <w:r w:rsidR="00070392">
        <w:t xml:space="preserve"> Whilst the argument that these defences amount to special defences in the sense referred to in </w:t>
      </w:r>
      <w:r w:rsidR="00070392" w:rsidRPr="00070392">
        <w:rPr>
          <w:i/>
          <w:iCs/>
        </w:rPr>
        <w:t>Pillay</w:t>
      </w:r>
      <w:r w:rsidR="00A847F9">
        <w:rPr>
          <w:i/>
          <w:iCs/>
        </w:rPr>
        <w:t xml:space="preserve"> </w:t>
      </w:r>
      <w:r w:rsidR="00A847F9">
        <w:t>appears at first blush to have some merit</w:t>
      </w:r>
      <w:r w:rsidR="00070392">
        <w:rPr>
          <w:i/>
          <w:iCs/>
        </w:rPr>
        <w:t>,</w:t>
      </w:r>
      <w:r w:rsidR="00070392">
        <w:rPr>
          <w:iCs/>
        </w:rPr>
        <w:t xml:space="preserve"> such special defences as referred to therein generally involve a form of confession and </w:t>
      </w:r>
      <w:r w:rsidR="00070392">
        <w:rPr>
          <w:iCs/>
        </w:rPr>
        <w:lastRenderedPageBreak/>
        <w:t>avoidance whether by way of a cession, a contractual provision to exclude liability or the like. The DZ defences do not fall within this category. It is implicit in the</w:t>
      </w:r>
      <w:r w:rsidR="00F2690D">
        <w:rPr>
          <w:iCs/>
        </w:rPr>
        <w:t>se</w:t>
      </w:r>
      <w:r w:rsidR="00070392">
        <w:rPr>
          <w:iCs/>
        </w:rPr>
        <w:t xml:space="preserve"> defences that the defendant not only admits </w:t>
      </w:r>
      <w:r w:rsidR="00E52389">
        <w:rPr>
          <w:iCs/>
        </w:rPr>
        <w:t>liability</w:t>
      </w:r>
      <w:r w:rsidR="00F2690D">
        <w:rPr>
          <w:iCs/>
        </w:rPr>
        <w:t xml:space="preserve"> in full</w:t>
      </w:r>
      <w:r w:rsidR="00E52389">
        <w:rPr>
          <w:iCs/>
        </w:rPr>
        <w:t xml:space="preserve"> but</w:t>
      </w:r>
      <w:r w:rsidR="00070392">
        <w:rPr>
          <w:iCs/>
        </w:rPr>
        <w:t xml:space="preserve"> is</w:t>
      </w:r>
      <w:r w:rsidR="00F2690D">
        <w:rPr>
          <w:iCs/>
        </w:rPr>
        <w:t xml:space="preserve"> also</w:t>
      </w:r>
      <w:r w:rsidR="00070392">
        <w:rPr>
          <w:iCs/>
        </w:rPr>
        <w:t xml:space="preserve"> intent upon ensuring that</w:t>
      </w:r>
      <w:r w:rsidR="00E52389">
        <w:rPr>
          <w:iCs/>
        </w:rPr>
        <w:t xml:space="preserve"> reparation </w:t>
      </w:r>
      <w:r w:rsidR="00070392">
        <w:rPr>
          <w:iCs/>
        </w:rPr>
        <w:t>for the negligent conduct is made</w:t>
      </w:r>
      <w:r w:rsidR="00E52389">
        <w:rPr>
          <w:iCs/>
        </w:rPr>
        <w:t xml:space="preserve">. She however contends that such reparation should be </w:t>
      </w:r>
      <w:r w:rsidR="00070392">
        <w:rPr>
          <w:iCs/>
        </w:rPr>
        <w:t>made in a more equitable fashion given the full factual matrix involved. In a sense, and as against the background facts placed before the court,</w:t>
      </w:r>
      <w:r w:rsidR="00E52389">
        <w:rPr>
          <w:iCs/>
        </w:rPr>
        <w:t xml:space="preserve"> the court in extending the common law in this regard is stating, or interpreting, the law as it is in accordance with the Constitution and its inherent norms and values. This does not seem to fall within the category of a special defence in the sense referred to in </w:t>
      </w:r>
      <w:r w:rsidR="00E52389" w:rsidRPr="00F2690D">
        <w:rPr>
          <w:i/>
        </w:rPr>
        <w:t>Pillay</w:t>
      </w:r>
      <w:r w:rsidR="00E52389">
        <w:rPr>
          <w:iCs/>
        </w:rPr>
        <w:t>.</w:t>
      </w:r>
    </w:p>
    <w:p w:rsidR="0053607B" w:rsidRDefault="0053607B" w:rsidP="00515C24">
      <w:pPr>
        <w:rPr>
          <w:iCs/>
        </w:rPr>
      </w:pPr>
    </w:p>
    <w:p w:rsidR="0053607B" w:rsidRDefault="00E36F01" w:rsidP="00515C24">
      <w:pPr>
        <w:rPr>
          <w:iCs/>
        </w:rPr>
      </w:pPr>
      <w:r>
        <w:rPr>
          <w:iCs/>
        </w:rPr>
        <w:t>[22</w:t>
      </w:r>
      <w:r w:rsidR="004043B6">
        <w:rPr>
          <w:iCs/>
        </w:rPr>
        <w:t>]</w:t>
      </w:r>
      <w:r w:rsidR="004043B6">
        <w:rPr>
          <w:iCs/>
        </w:rPr>
        <w:tab/>
      </w:r>
      <w:r w:rsidR="0053607B">
        <w:rPr>
          <w:iCs/>
        </w:rPr>
        <w:t xml:space="preserve">Furthermore, it seems to me that </w:t>
      </w:r>
      <w:r w:rsidR="0053607B" w:rsidRPr="00A847F9">
        <w:rPr>
          <w:i/>
        </w:rPr>
        <w:t>MSM</w:t>
      </w:r>
      <w:r w:rsidR="00A34314">
        <w:rPr>
          <w:rStyle w:val="FootnoteReference"/>
          <w:iCs/>
        </w:rPr>
        <w:footnoteReference w:id="11"/>
      </w:r>
      <w:r w:rsidR="0053607B">
        <w:rPr>
          <w:iCs/>
        </w:rPr>
        <w:t xml:space="preserve">, a case where </w:t>
      </w:r>
      <w:proofErr w:type="spellStart"/>
      <w:r w:rsidR="0053607B">
        <w:rPr>
          <w:iCs/>
        </w:rPr>
        <w:t>Keightley</w:t>
      </w:r>
      <w:proofErr w:type="spellEnd"/>
      <w:r w:rsidR="0053607B">
        <w:rPr>
          <w:iCs/>
        </w:rPr>
        <w:t xml:space="preserve"> J found on the facts of that case that the common law ought to be extended regarding the public healthcare defence, is authority for this view. In that case </w:t>
      </w:r>
      <w:proofErr w:type="spellStart"/>
      <w:r w:rsidR="0053607B">
        <w:rPr>
          <w:iCs/>
        </w:rPr>
        <w:t>Keightley</w:t>
      </w:r>
      <w:proofErr w:type="spellEnd"/>
      <w:r w:rsidR="0053607B">
        <w:rPr>
          <w:iCs/>
        </w:rPr>
        <w:t xml:space="preserve"> J said that where the MEC provides sufficient cogent evidence to establish that the identified services will be available in the future at the hospital concerned at the same or higher level and at no, or less, cost to her than those available in the private sector, this will establish “</w:t>
      </w:r>
      <w:r w:rsidR="0053607B" w:rsidRPr="00220EB1">
        <w:t>an evidentiary basis upon which to consider whether this is an appropriate case in which to develop the common-law insofar as the MEC’s public healthcare defence is concerned</w:t>
      </w:r>
      <w:r w:rsidR="0053607B">
        <w:rPr>
          <w:iCs/>
        </w:rPr>
        <w:t>.”</w:t>
      </w:r>
    </w:p>
    <w:p w:rsidR="000B0216" w:rsidRDefault="000B0216" w:rsidP="00515C24">
      <w:pPr>
        <w:rPr>
          <w:iCs/>
        </w:rPr>
      </w:pPr>
    </w:p>
    <w:p w:rsidR="000B0216" w:rsidRPr="00E2108C" w:rsidRDefault="00E36F01" w:rsidP="00515C24">
      <w:pPr>
        <w:rPr>
          <w:iCs/>
          <w:color w:val="000000" w:themeColor="text1"/>
        </w:rPr>
      </w:pPr>
      <w:r>
        <w:rPr>
          <w:iCs/>
        </w:rPr>
        <w:t>[23</w:t>
      </w:r>
      <w:r w:rsidR="004043B6">
        <w:rPr>
          <w:iCs/>
        </w:rPr>
        <w:t>]</w:t>
      </w:r>
      <w:r w:rsidR="004043B6">
        <w:rPr>
          <w:iCs/>
        </w:rPr>
        <w:tab/>
      </w:r>
      <w:r w:rsidR="000B0216">
        <w:rPr>
          <w:iCs/>
        </w:rPr>
        <w:t xml:space="preserve">Although </w:t>
      </w:r>
      <w:proofErr w:type="spellStart"/>
      <w:r w:rsidR="000B0216" w:rsidRPr="000B0216">
        <w:rPr>
          <w:i/>
        </w:rPr>
        <w:t>Ngubane</w:t>
      </w:r>
      <w:proofErr w:type="spellEnd"/>
      <w:r w:rsidR="000B0216" w:rsidRPr="000F0338">
        <w:rPr>
          <w:rStyle w:val="FootnoteReference"/>
        </w:rPr>
        <w:footnoteReference w:id="12"/>
      </w:r>
      <w:r w:rsidR="000B0216" w:rsidRPr="000F0338">
        <w:t xml:space="preserve"> </w:t>
      </w:r>
      <w:r w:rsidR="000B0216">
        <w:t xml:space="preserve">did not deal with the constitutional defences presently under consideration in </w:t>
      </w:r>
      <w:r w:rsidR="002D1496">
        <w:t xml:space="preserve">this case, it dealt with </w:t>
      </w:r>
      <w:r w:rsidR="000B0216">
        <w:t xml:space="preserve">what has been referred to as the “mitigation of damages defence” which, in and of itself, amounted to an incremental development of the common law by the then Appellate Division. It </w:t>
      </w:r>
      <w:r w:rsidR="000B0216">
        <w:lastRenderedPageBreak/>
        <w:t xml:space="preserve">was made clear in that case that the burden of proof did not shift to the defendant but </w:t>
      </w:r>
      <w:r w:rsidR="002D1496">
        <w:t xml:space="preserve">that </w:t>
      </w:r>
      <w:r w:rsidR="000B0216">
        <w:t>the defendant is required to adduce evidence in support of its contention – an evidentiary</w:t>
      </w:r>
      <w:r w:rsidR="000B0216" w:rsidRPr="00E2108C">
        <w:rPr>
          <w:iCs/>
        </w:rPr>
        <w:t xml:space="preserve"> </w:t>
      </w:r>
      <w:r w:rsidR="000B0216" w:rsidRPr="00E2108C">
        <w:rPr>
          <w:iCs/>
          <w:color w:val="000000" w:themeColor="text1"/>
        </w:rPr>
        <w:t>onus</w:t>
      </w:r>
      <w:r w:rsidR="000F0338" w:rsidRPr="00E2108C">
        <w:rPr>
          <w:i/>
          <w:color w:val="000000" w:themeColor="text1"/>
        </w:rPr>
        <w:t>.</w:t>
      </w:r>
      <w:r w:rsidR="000B0216" w:rsidRPr="00E2108C">
        <w:rPr>
          <w:rStyle w:val="FootnoteReference"/>
          <w:color w:val="000000" w:themeColor="text1"/>
        </w:rPr>
        <w:footnoteReference w:id="13"/>
      </w:r>
    </w:p>
    <w:p w:rsidR="00E52389" w:rsidRDefault="00E52389" w:rsidP="00515C24"/>
    <w:p w:rsidR="00E52389" w:rsidRDefault="00E36F01" w:rsidP="00515C24">
      <w:r>
        <w:t>[24</w:t>
      </w:r>
      <w:r w:rsidR="009F6F04">
        <w:t>]</w:t>
      </w:r>
      <w:r w:rsidR="009F6F04">
        <w:tab/>
      </w:r>
      <w:r w:rsidR="00E52389">
        <w:t xml:space="preserve">I accordingly conclude in this regard that once a </w:t>
      </w:r>
      <w:r w:rsidR="00E52389" w:rsidRPr="00E52389">
        <w:rPr>
          <w:i/>
          <w:iCs/>
        </w:rPr>
        <w:t>prima facie</w:t>
      </w:r>
      <w:r w:rsidR="00E52389">
        <w:t xml:space="preserve"> case has been established by the plaintiff apropos</w:t>
      </w:r>
      <w:r w:rsidR="00F2690D">
        <w:t xml:space="preserve"> her</w:t>
      </w:r>
      <w:r w:rsidR="00E52389">
        <w:t xml:space="preserve"> claim</w:t>
      </w:r>
      <w:r w:rsidR="00F2690D">
        <w:t xml:space="preserve"> for damages</w:t>
      </w:r>
      <w:r w:rsidR="00E52389">
        <w:t xml:space="preserve">, and where the defendant pleads an extension of the common law as in the present matter, the defendant bears an evidentiary onus to rebut the </w:t>
      </w:r>
      <w:r w:rsidR="00E52389" w:rsidRPr="00E52389">
        <w:rPr>
          <w:i/>
          <w:iCs/>
        </w:rPr>
        <w:t>prima facie</w:t>
      </w:r>
      <w:r w:rsidR="00E52389">
        <w:t xml:space="preserve"> case put up by the plaintiff.</w:t>
      </w:r>
    </w:p>
    <w:p w:rsidR="00483969" w:rsidRPr="00EE211E" w:rsidRDefault="00483969" w:rsidP="00515C24">
      <w:pPr>
        <w:rPr>
          <w:b/>
          <w:bCs/>
          <w:i/>
          <w:iCs/>
        </w:rPr>
      </w:pPr>
    </w:p>
    <w:p w:rsidR="00483969" w:rsidRDefault="00EE211E" w:rsidP="00515C24">
      <w:pPr>
        <w:rPr>
          <w:b/>
          <w:bCs/>
          <w:i/>
          <w:iCs/>
        </w:rPr>
      </w:pPr>
      <w:r w:rsidRPr="00EE211E">
        <w:rPr>
          <w:b/>
          <w:bCs/>
          <w:i/>
          <w:iCs/>
        </w:rPr>
        <w:t>Hearsay evidence</w:t>
      </w:r>
    </w:p>
    <w:p w:rsidR="00EE211E" w:rsidRDefault="00E36F01" w:rsidP="00515C24">
      <w:r>
        <w:t>[25</w:t>
      </w:r>
      <w:r w:rsidR="009F6F04">
        <w:t>]</w:t>
      </w:r>
      <w:r w:rsidR="009F6F04">
        <w:tab/>
      </w:r>
      <w:r w:rsidR="00EE211E">
        <w:t>The defendant has filed an application to admit the relevant medical records in terms of section 3(1</w:t>
      </w:r>
      <w:r w:rsidR="00EE211E" w:rsidRPr="00E2108C">
        <w:rPr>
          <w:color w:val="000000" w:themeColor="text1"/>
        </w:rPr>
        <w:t>)(</w:t>
      </w:r>
      <w:r w:rsidR="00EE211E" w:rsidRPr="00E2108C">
        <w:rPr>
          <w:i/>
          <w:color w:val="000000" w:themeColor="text1"/>
        </w:rPr>
        <w:t>c</w:t>
      </w:r>
      <w:r w:rsidR="00EE211E" w:rsidRPr="00E2108C">
        <w:rPr>
          <w:color w:val="000000" w:themeColor="text1"/>
        </w:rPr>
        <w:t>) of the Law of Evidence Amendment Act</w:t>
      </w:r>
      <w:r w:rsidR="00DC2555" w:rsidRPr="00E2108C">
        <w:rPr>
          <w:color w:val="000000" w:themeColor="text1"/>
        </w:rPr>
        <w:t>.</w:t>
      </w:r>
      <w:r w:rsidR="00EE211E" w:rsidRPr="00E2108C">
        <w:rPr>
          <w:rStyle w:val="FootnoteReference"/>
          <w:color w:val="000000" w:themeColor="text1"/>
        </w:rPr>
        <w:footnoteReference w:id="14"/>
      </w:r>
      <w:r w:rsidR="00DC2555" w:rsidRPr="00E2108C">
        <w:rPr>
          <w:color w:val="000000" w:themeColor="text1"/>
        </w:rPr>
        <w:t xml:space="preserve"> </w:t>
      </w:r>
      <w:r w:rsidR="00EE211E">
        <w:t>I do not understand the plaintiff to have pursued any opposition to this. The application ultimately was persisted in only in so far as particular parts of the medical records were referred to in evidence</w:t>
      </w:r>
      <w:r w:rsidR="00F2690D">
        <w:t xml:space="preserve"> or in</w:t>
      </w:r>
      <w:r w:rsidR="00EE211E">
        <w:t xml:space="preserve"> addressing the court </w:t>
      </w:r>
      <w:r w:rsidR="006D52BC">
        <w:t>during</w:t>
      </w:r>
      <w:r w:rsidR="00EE211E">
        <w:t xml:space="preserve"> the trial.</w:t>
      </w:r>
    </w:p>
    <w:p w:rsidR="00EE211E" w:rsidRDefault="00EE211E" w:rsidP="00515C24"/>
    <w:p w:rsidR="007259C0" w:rsidRDefault="00E36F01" w:rsidP="00515C24">
      <w:pPr>
        <w:rPr>
          <w:iCs/>
        </w:rPr>
      </w:pPr>
      <w:r>
        <w:t>[26</w:t>
      </w:r>
      <w:r w:rsidR="009F6F04">
        <w:t>]</w:t>
      </w:r>
      <w:r w:rsidR="009F6F04">
        <w:tab/>
      </w:r>
      <w:r w:rsidR="00BB2EDF">
        <w:t xml:space="preserve">In </w:t>
      </w:r>
      <w:r w:rsidR="00C905D1" w:rsidRPr="00E2108C">
        <w:rPr>
          <w:i/>
          <w:iCs/>
          <w:color w:val="000000" w:themeColor="text1"/>
        </w:rPr>
        <w:t>AZ</w:t>
      </w:r>
      <w:r w:rsidR="00BB2EDF">
        <w:rPr>
          <w:rStyle w:val="FootnoteReference"/>
        </w:rPr>
        <w:footnoteReference w:id="15"/>
      </w:r>
      <w:r w:rsidR="00BB2EDF">
        <w:rPr>
          <w:iCs/>
        </w:rPr>
        <w:t>, Stretch J was faced with a similar application, albeit at th</w:t>
      </w:r>
      <w:r w:rsidR="00F2690D">
        <w:rPr>
          <w:iCs/>
        </w:rPr>
        <w:t>e</w:t>
      </w:r>
      <w:r w:rsidR="00BB2EDF">
        <w:rPr>
          <w:iCs/>
        </w:rPr>
        <w:t xml:space="preserve"> stage of determining liability and not damages. She dealt fully with the requirements of the Act in this regard which in no small measure are applicable to this matter. I agree with the sentiments expressed there</w:t>
      </w:r>
      <w:r w:rsidR="00B566C7">
        <w:rPr>
          <w:iCs/>
        </w:rPr>
        <w:t>,</w:t>
      </w:r>
      <w:r w:rsidR="00BB2EDF">
        <w:rPr>
          <w:iCs/>
        </w:rPr>
        <w:t xml:space="preserve"> and based thereon am satisfied that a proper case has been made out for the admission of the relevant documents. </w:t>
      </w:r>
    </w:p>
    <w:p w:rsidR="00215716" w:rsidRDefault="00215716" w:rsidP="00515C24">
      <w:pPr>
        <w:rPr>
          <w:iCs/>
        </w:rPr>
      </w:pPr>
    </w:p>
    <w:p w:rsidR="00215716" w:rsidRPr="008924AB" w:rsidRDefault="006F2305" w:rsidP="00515C24">
      <w:pPr>
        <w:rPr>
          <w:b/>
          <w:bCs/>
          <w:i/>
          <w:iCs/>
        </w:rPr>
      </w:pPr>
      <w:bookmarkStart w:id="1" w:name="_Hlk125637150"/>
      <w:r w:rsidRPr="006F2305">
        <w:rPr>
          <w:b/>
          <w:bCs/>
          <w:i/>
          <w:iCs/>
        </w:rPr>
        <w:t>Objections to opinion/expert evidence</w:t>
      </w:r>
    </w:p>
    <w:bookmarkEnd w:id="1"/>
    <w:p w:rsidR="0031522C" w:rsidRDefault="00E36F01" w:rsidP="00515C24">
      <w:r>
        <w:t>[27</w:t>
      </w:r>
      <w:r w:rsidR="009F6F04">
        <w:t>]</w:t>
      </w:r>
      <w:r w:rsidR="009F6F04">
        <w:tab/>
      </w:r>
      <w:r w:rsidR="0031522C">
        <w:t>There are certain other preliminary issues relating to the evidence which the parties agreed would be argued at the end of the trial. These are:</w:t>
      </w:r>
    </w:p>
    <w:p w:rsidR="0031522C" w:rsidRDefault="0031522C" w:rsidP="00515C24"/>
    <w:p w:rsidR="0031522C" w:rsidRPr="008743DC" w:rsidRDefault="008743DC" w:rsidP="008743DC">
      <w:pPr>
        <w:ind w:left="1659" w:hanging="525"/>
        <w:rPr>
          <w:rFonts w:cs="Times New Roman"/>
          <w:szCs w:val="28"/>
        </w:rPr>
      </w:pPr>
      <w:r w:rsidRPr="00096AF1">
        <w:rPr>
          <w:rFonts w:cs="Times New Roman"/>
          <w:szCs w:val="28"/>
        </w:rPr>
        <w:t>27.1</w:t>
      </w:r>
      <w:r w:rsidRPr="00096AF1">
        <w:rPr>
          <w:rFonts w:cs="Times New Roman"/>
          <w:szCs w:val="28"/>
        </w:rPr>
        <w:tab/>
      </w:r>
      <w:r w:rsidR="00791D07" w:rsidRPr="008743DC">
        <w:rPr>
          <w:rFonts w:cs="Times New Roman"/>
          <w:szCs w:val="28"/>
        </w:rPr>
        <w:t xml:space="preserve"> </w:t>
      </w:r>
      <w:r w:rsidR="0031522C" w:rsidRPr="008743DC">
        <w:rPr>
          <w:rFonts w:cs="Times New Roman"/>
          <w:szCs w:val="28"/>
        </w:rPr>
        <w:t xml:space="preserve">Whether Dr Wagner, the </w:t>
      </w:r>
      <w:r w:rsidR="00F415BA" w:rsidRPr="008743DC">
        <w:rPr>
          <w:rFonts w:cs="Times New Roman"/>
          <w:szCs w:val="28"/>
        </w:rPr>
        <w:t xml:space="preserve">head of the defendant department, </w:t>
      </w:r>
      <w:r w:rsidR="0031522C" w:rsidRPr="008743DC">
        <w:rPr>
          <w:rFonts w:cs="Times New Roman"/>
          <w:szCs w:val="28"/>
        </w:rPr>
        <w:t xml:space="preserve">and other witnesses in the employ of the </w:t>
      </w:r>
      <w:r w:rsidR="00B566C7" w:rsidRPr="008743DC">
        <w:rPr>
          <w:rFonts w:cs="Times New Roman"/>
          <w:szCs w:val="28"/>
        </w:rPr>
        <w:t>d</w:t>
      </w:r>
      <w:r w:rsidR="0031522C" w:rsidRPr="008743DC">
        <w:rPr>
          <w:rFonts w:cs="Times New Roman"/>
          <w:szCs w:val="28"/>
        </w:rPr>
        <w:t>epartment have impermissibly given opinion evidence that ought not to be admitted.</w:t>
      </w:r>
    </w:p>
    <w:p w:rsidR="0031522C" w:rsidRPr="00096AF1" w:rsidRDefault="0031522C" w:rsidP="0048256D">
      <w:pPr>
        <w:pStyle w:val="ListParagraph"/>
        <w:ind w:left="1134"/>
        <w:rPr>
          <w:rFonts w:cs="Times New Roman"/>
          <w:szCs w:val="28"/>
        </w:rPr>
      </w:pPr>
    </w:p>
    <w:p w:rsidR="0031522C" w:rsidRPr="008743DC" w:rsidRDefault="008743DC" w:rsidP="008743DC">
      <w:pPr>
        <w:ind w:left="1659" w:hanging="525"/>
        <w:rPr>
          <w:rFonts w:cs="Times New Roman"/>
          <w:szCs w:val="28"/>
        </w:rPr>
      </w:pPr>
      <w:r w:rsidRPr="00096AF1">
        <w:rPr>
          <w:rFonts w:cs="Times New Roman"/>
          <w:szCs w:val="28"/>
        </w:rPr>
        <w:t>27.2</w:t>
      </w:r>
      <w:r w:rsidRPr="00096AF1">
        <w:rPr>
          <w:rFonts w:cs="Times New Roman"/>
          <w:szCs w:val="28"/>
        </w:rPr>
        <w:tab/>
      </w:r>
      <w:r w:rsidR="00791D07" w:rsidRPr="008743DC">
        <w:rPr>
          <w:rFonts w:cs="Times New Roman"/>
          <w:szCs w:val="28"/>
        </w:rPr>
        <w:t xml:space="preserve"> </w:t>
      </w:r>
      <w:r w:rsidR="0031522C" w:rsidRPr="008743DC">
        <w:rPr>
          <w:rFonts w:cs="Times New Roman"/>
          <w:szCs w:val="28"/>
        </w:rPr>
        <w:t xml:space="preserve">Whether certain articles and portions of a supplementary report delivered by the plaintiff’s expert economist, </w:t>
      </w:r>
      <w:proofErr w:type="spellStart"/>
      <w:r w:rsidR="0031522C" w:rsidRPr="008743DC">
        <w:rPr>
          <w:rFonts w:cs="Times New Roman"/>
          <w:szCs w:val="28"/>
        </w:rPr>
        <w:t>Prof</w:t>
      </w:r>
      <w:r w:rsidR="00F415BA" w:rsidRPr="008743DC">
        <w:rPr>
          <w:rFonts w:cs="Times New Roman"/>
          <w:szCs w:val="28"/>
        </w:rPr>
        <w:t>.</w:t>
      </w:r>
      <w:proofErr w:type="spellEnd"/>
      <w:r w:rsidR="0031522C" w:rsidRPr="008743DC">
        <w:rPr>
          <w:rFonts w:cs="Times New Roman"/>
          <w:szCs w:val="28"/>
        </w:rPr>
        <w:t xml:space="preserve"> </w:t>
      </w:r>
      <w:r w:rsidR="00B566C7" w:rsidRPr="008743DC">
        <w:rPr>
          <w:rFonts w:cs="Times New Roman"/>
          <w:szCs w:val="28"/>
        </w:rPr>
        <w:t>V</w:t>
      </w:r>
      <w:r w:rsidR="0031522C" w:rsidRPr="008743DC">
        <w:rPr>
          <w:rFonts w:cs="Times New Roman"/>
          <w:szCs w:val="28"/>
        </w:rPr>
        <w:t xml:space="preserve">an den </w:t>
      </w:r>
      <w:proofErr w:type="spellStart"/>
      <w:r w:rsidR="0031522C" w:rsidRPr="008743DC">
        <w:rPr>
          <w:rFonts w:cs="Times New Roman"/>
          <w:szCs w:val="28"/>
        </w:rPr>
        <w:t>Heever</w:t>
      </w:r>
      <w:proofErr w:type="spellEnd"/>
      <w:r w:rsidR="0031522C" w:rsidRPr="008743DC">
        <w:rPr>
          <w:rFonts w:cs="Times New Roman"/>
          <w:szCs w:val="28"/>
        </w:rPr>
        <w:t>, (and his corresponding testimony on these aspects) ought not to be admitted.</w:t>
      </w:r>
    </w:p>
    <w:p w:rsidR="0031522C" w:rsidRDefault="0031522C" w:rsidP="0048256D">
      <w:pPr>
        <w:pStyle w:val="ListParagraph"/>
        <w:ind w:left="1134"/>
      </w:pPr>
    </w:p>
    <w:p w:rsidR="0031522C" w:rsidRPr="008743DC" w:rsidRDefault="008743DC" w:rsidP="008743DC">
      <w:pPr>
        <w:ind w:left="1659" w:hanging="525"/>
        <w:rPr>
          <w:rFonts w:cs="Times New Roman"/>
          <w:szCs w:val="28"/>
        </w:rPr>
      </w:pPr>
      <w:r w:rsidRPr="00096AF1">
        <w:rPr>
          <w:rFonts w:cs="Times New Roman"/>
          <w:szCs w:val="28"/>
        </w:rPr>
        <w:t>27.3</w:t>
      </w:r>
      <w:r w:rsidRPr="00096AF1">
        <w:rPr>
          <w:rFonts w:cs="Times New Roman"/>
          <w:szCs w:val="28"/>
        </w:rPr>
        <w:tab/>
      </w:r>
      <w:r w:rsidR="00791D07" w:rsidRPr="008743DC">
        <w:rPr>
          <w:rFonts w:cs="Times New Roman"/>
          <w:szCs w:val="28"/>
        </w:rPr>
        <w:t xml:space="preserve"> </w:t>
      </w:r>
      <w:r w:rsidR="0031522C" w:rsidRPr="008743DC">
        <w:rPr>
          <w:rFonts w:cs="Times New Roman"/>
          <w:szCs w:val="28"/>
        </w:rPr>
        <w:t>Whether the evidence</w:t>
      </w:r>
      <w:r w:rsidR="00F415BA" w:rsidRPr="008743DC">
        <w:rPr>
          <w:rFonts w:cs="Times New Roman"/>
          <w:szCs w:val="28"/>
        </w:rPr>
        <w:t xml:space="preserve"> of Ms </w:t>
      </w:r>
      <w:proofErr w:type="spellStart"/>
      <w:r w:rsidR="00F415BA" w:rsidRPr="008743DC">
        <w:rPr>
          <w:rFonts w:cs="Times New Roman"/>
          <w:szCs w:val="28"/>
        </w:rPr>
        <w:t>Caga</w:t>
      </w:r>
      <w:proofErr w:type="spellEnd"/>
      <w:r w:rsidR="0031522C" w:rsidRPr="008743DC">
        <w:rPr>
          <w:rFonts w:cs="Times New Roman"/>
          <w:szCs w:val="28"/>
        </w:rPr>
        <w:t xml:space="preserve"> in support of the plaintiff’s rebuttal case is inadmissible on the basis that it was not preceded by an expert summary and amounts to hearsay.</w:t>
      </w:r>
    </w:p>
    <w:p w:rsidR="007E4ADA" w:rsidRDefault="007E4ADA" w:rsidP="00515C24"/>
    <w:p w:rsidR="007E4ADA" w:rsidRDefault="00E36F01" w:rsidP="00515C24">
      <w:r>
        <w:t>[28</w:t>
      </w:r>
      <w:r w:rsidR="009F6F04">
        <w:t>]</w:t>
      </w:r>
      <w:r w:rsidR="009F6F04">
        <w:tab/>
      </w:r>
      <w:r w:rsidR="007259C0">
        <w:t>Before dealing with these issues, it may be convenient at this stage</w:t>
      </w:r>
      <w:r w:rsidR="00B566C7">
        <w:t>,</w:t>
      </w:r>
      <w:r w:rsidR="00FF056E">
        <w:t xml:space="preserve"> so as</w:t>
      </w:r>
      <w:r w:rsidR="007259C0">
        <w:t xml:space="preserve"> </w:t>
      </w:r>
      <w:r w:rsidR="00FF056E">
        <w:t>to</w:t>
      </w:r>
      <w:r w:rsidR="007259C0">
        <w:t xml:space="preserve"> understand the scheme, scope and extent of the evidence led in the trial</w:t>
      </w:r>
      <w:r w:rsidR="008924AB">
        <w:t>,</w:t>
      </w:r>
      <w:r w:rsidR="00E02E18">
        <w:t xml:space="preserve"> to briefly and chronologically set out the evidence which was led before me. It is important to note that the parties agreed </w:t>
      </w:r>
      <w:r w:rsidR="00FF056E">
        <w:t>(</w:t>
      </w:r>
      <w:r w:rsidR="00E02E18">
        <w:t>without any concession as to the onus of proof</w:t>
      </w:r>
      <w:r w:rsidR="00FF056E">
        <w:t>)</w:t>
      </w:r>
      <w:r w:rsidR="00EB1F89">
        <w:t xml:space="preserve"> that</w:t>
      </w:r>
      <w:r w:rsidR="00E02E18">
        <w:t xml:space="preserve"> the plaintiff would commence leading her evidence relating to</w:t>
      </w:r>
      <w:r w:rsidR="00EB1F89">
        <w:t xml:space="preserve"> the common-law claim</w:t>
      </w:r>
      <w:r w:rsidR="00E02E18">
        <w:t xml:space="preserve"> issues which remain </w:t>
      </w:r>
      <w:r w:rsidR="00EB1F89">
        <w:t xml:space="preserve">in contention. Thereafter, the defendant </w:t>
      </w:r>
      <w:r w:rsidR="00EB1F89">
        <w:lastRenderedPageBreak/>
        <w:t xml:space="preserve">would lead evidence in rebuttal of the plaintiff’s claim, together with evidence in support of the constitutional defences. Finally, it was further agreed that the plaintiff would be entitled to lead evidence in rebuttal of the constitutional defences. On this basis, the plaintiff commenced by leading the evidence of </w:t>
      </w:r>
      <w:r w:rsidR="00B566C7">
        <w:t>three</w:t>
      </w:r>
      <w:r w:rsidR="00EB1F89">
        <w:t xml:space="preserve"> expert witnesses:</w:t>
      </w:r>
    </w:p>
    <w:p w:rsidR="00EB1F89" w:rsidRDefault="00EB1F89" w:rsidP="00EB1F89"/>
    <w:p w:rsidR="00EB1F89" w:rsidRPr="008743DC" w:rsidRDefault="008743DC" w:rsidP="008743DC">
      <w:pPr>
        <w:autoSpaceDE w:val="0"/>
        <w:autoSpaceDN w:val="0"/>
        <w:adjustRightInd w:val="0"/>
        <w:spacing w:after="0"/>
        <w:ind w:left="1659" w:hanging="525"/>
        <w:rPr>
          <w:rFonts w:cs="Times New Roman"/>
          <w:szCs w:val="28"/>
        </w:rPr>
      </w:pPr>
      <w:r>
        <w:rPr>
          <w:rFonts w:cs="Times New Roman"/>
          <w:szCs w:val="28"/>
        </w:rPr>
        <w:t>28.1</w:t>
      </w:r>
      <w:r>
        <w:rPr>
          <w:rFonts w:cs="Times New Roman"/>
          <w:szCs w:val="28"/>
        </w:rPr>
        <w:tab/>
      </w:r>
      <w:r w:rsidR="006C3547" w:rsidRPr="008743DC">
        <w:rPr>
          <w:rFonts w:cs="Times New Roman"/>
          <w:szCs w:val="28"/>
        </w:rPr>
        <w:t xml:space="preserve"> </w:t>
      </w:r>
      <w:r w:rsidR="00EB1F89" w:rsidRPr="008743DC">
        <w:rPr>
          <w:rFonts w:cs="Times New Roman"/>
          <w:szCs w:val="28"/>
        </w:rPr>
        <w:t xml:space="preserve">Ms Heather Grace Hughes, the defendant’s expert physiotherapist, </w:t>
      </w:r>
      <w:r w:rsidR="00916863" w:rsidRPr="008743DC">
        <w:rPr>
          <w:rFonts w:cs="Times New Roman"/>
          <w:szCs w:val="28"/>
        </w:rPr>
        <w:t>testified</w:t>
      </w:r>
      <w:r w:rsidR="00EB1F89" w:rsidRPr="008743DC">
        <w:rPr>
          <w:rFonts w:cs="Times New Roman"/>
          <w:szCs w:val="28"/>
        </w:rPr>
        <w:t xml:space="preserve"> with reference to her </w:t>
      </w:r>
      <w:r w:rsidR="008924AB" w:rsidRPr="008743DC">
        <w:rPr>
          <w:rFonts w:cs="Times New Roman"/>
          <w:szCs w:val="28"/>
        </w:rPr>
        <w:t>m</w:t>
      </w:r>
      <w:r w:rsidR="00EB1F89" w:rsidRPr="008743DC">
        <w:rPr>
          <w:rFonts w:cs="Times New Roman"/>
          <w:szCs w:val="28"/>
        </w:rPr>
        <w:t>edico-</w:t>
      </w:r>
      <w:r w:rsidR="008924AB" w:rsidRPr="008743DC">
        <w:rPr>
          <w:rFonts w:cs="Times New Roman"/>
          <w:szCs w:val="28"/>
        </w:rPr>
        <w:t>l</w:t>
      </w:r>
      <w:r w:rsidR="00EB1F89" w:rsidRPr="008743DC">
        <w:rPr>
          <w:rFonts w:cs="Times New Roman"/>
          <w:szCs w:val="28"/>
        </w:rPr>
        <w:t xml:space="preserve">egal </w:t>
      </w:r>
      <w:r w:rsidR="008924AB" w:rsidRPr="008743DC">
        <w:rPr>
          <w:rFonts w:cs="Times New Roman"/>
          <w:szCs w:val="28"/>
        </w:rPr>
        <w:t>r</w:t>
      </w:r>
      <w:r w:rsidR="00EB1F89" w:rsidRPr="008743DC">
        <w:rPr>
          <w:rFonts w:cs="Times New Roman"/>
          <w:szCs w:val="28"/>
        </w:rPr>
        <w:t>eport, dated 27 October 2018, and the joint minute between her and the defendant’s expert.</w:t>
      </w:r>
    </w:p>
    <w:p w:rsidR="00916863" w:rsidRPr="00EB1F89" w:rsidRDefault="00916863" w:rsidP="000A2F75">
      <w:pPr>
        <w:pStyle w:val="ListParagraph"/>
        <w:autoSpaceDE w:val="0"/>
        <w:autoSpaceDN w:val="0"/>
        <w:adjustRightInd w:val="0"/>
        <w:spacing w:after="0"/>
        <w:ind w:left="1134"/>
        <w:rPr>
          <w:rFonts w:cs="Times New Roman"/>
          <w:szCs w:val="28"/>
        </w:rPr>
      </w:pPr>
    </w:p>
    <w:p w:rsidR="00916863" w:rsidRPr="008743DC" w:rsidRDefault="008743DC" w:rsidP="008743DC">
      <w:pPr>
        <w:autoSpaceDE w:val="0"/>
        <w:autoSpaceDN w:val="0"/>
        <w:adjustRightInd w:val="0"/>
        <w:spacing w:after="0"/>
        <w:ind w:left="1659" w:hanging="525"/>
        <w:rPr>
          <w:rFonts w:cs="Times New Roman"/>
          <w:szCs w:val="28"/>
        </w:rPr>
      </w:pPr>
      <w:r w:rsidRPr="00916863">
        <w:rPr>
          <w:rFonts w:cs="Times New Roman"/>
          <w:szCs w:val="28"/>
        </w:rPr>
        <w:t>28.2</w:t>
      </w:r>
      <w:r w:rsidRPr="00916863">
        <w:rPr>
          <w:rFonts w:cs="Times New Roman"/>
          <w:szCs w:val="28"/>
        </w:rPr>
        <w:tab/>
      </w:r>
      <w:r w:rsidR="006C3547" w:rsidRPr="008743DC">
        <w:rPr>
          <w:rFonts w:cs="Times New Roman"/>
          <w:szCs w:val="28"/>
        </w:rPr>
        <w:t xml:space="preserve"> </w:t>
      </w:r>
      <w:r w:rsidR="00EB1F89" w:rsidRPr="008743DC">
        <w:rPr>
          <w:rFonts w:cs="Times New Roman"/>
          <w:szCs w:val="28"/>
        </w:rPr>
        <w:t xml:space="preserve">Ms </w:t>
      </w:r>
      <w:proofErr w:type="spellStart"/>
      <w:r w:rsidR="00EB1F89" w:rsidRPr="008743DC">
        <w:rPr>
          <w:rFonts w:cs="Times New Roman"/>
          <w:szCs w:val="28"/>
        </w:rPr>
        <w:t>Thabisa</w:t>
      </w:r>
      <w:proofErr w:type="spellEnd"/>
      <w:r w:rsidR="00EB1F89" w:rsidRPr="008743DC">
        <w:rPr>
          <w:rFonts w:cs="Times New Roman"/>
          <w:szCs w:val="28"/>
        </w:rPr>
        <w:t xml:space="preserve"> </w:t>
      </w:r>
      <w:proofErr w:type="spellStart"/>
      <w:r w:rsidR="00EB1F89" w:rsidRPr="008743DC">
        <w:rPr>
          <w:rFonts w:cs="Times New Roman"/>
          <w:szCs w:val="28"/>
        </w:rPr>
        <w:t>Caga</w:t>
      </w:r>
      <w:proofErr w:type="spellEnd"/>
      <w:r w:rsidR="00EB1F89" w:rsidRPr="008743DC">
        <w:rPr>
          <w:rFonts w:cs="Times New Roman"/>
          <w:szCs w:val="28"/>
        </w:rPr>
        <w:t>, the defendant’s expert occupational</w:t>
      </w:r>
      <w:r w:rsidR="00916863" w:rsidRPr="008743DC">
        <w:rPr>
          <w:rFonts w:cs="Times New Roman"/>
          <w:szCs w:val="28"/>
        </w:rPr>
        <w:t xml:space="preserve"> </w:t>
      </w:r>
      <w:r w:rsidR="00EB1F89" w:rsidRPr="008743DC">
        <w:rPr>
          <w:rFonts w:cs="Times New Roman"/>
          <w:szCs w:val="28"/>
        </w:rPr>
        <w:t xml:space="preserve">therapist, </w:t>
      </w:r>
      <w:r w:rsidR="00916863" w:rsidRPr="008743DC">
        <w:rPr>
          <w:rFonts w:cs="Times New Roman"/>
          <w:szCs w:val="28"/>
        </w:rPr>
        <w:t xml:space="preserve">testified with </w:t>
      </w:r>
      <w:r w:rsidR="00EB1F89" w:rsidRPr="008743DC">
        <w:rPr>
          <w:rFonts w:cs="Times New Roman"/>
          <w:szCs w:val="28"/>
        </w:rPr>
        <w:t xml:space="preserve">reference to her </w:t>
      </w:r>
      <w:r w:rsidR="008924AB" w:rsidRPr="008743DC">
        <w:rPr>
          <w:rFonts w:cs="Times New Roman"/>
          <w:szCs w:val="28"/>
        </w:rPr>
        <w:t>m</w:t>
      </w:r>
      <w:r w:rsidR="00EB1F89" w:rsidRPr="008743DC">
        <w:rPr>
          <w:rFonts w:cs="Times New Roman"/>
          <w:szCs w:val="28"/>
        </w:rPr>
        <w:t>edico-</w:t>
      </w:r>
      <w:r w:rsidR="008924AB" w:rsidRPr="008743DC">
        <w:rPr>
          <w:rFonts w:cs="Times New Roman"/>
          <w:szCs w:val="28"/>
        </w:rPr>
        <w:t>l</w:t>
      </w:r>
      <w:r w:rsidR="00EB1F89" w:rsidRPr="008743DC">
        <w:rPr>
          <w:rFonts w:cs="Times New Roman"/>
          <w:szCs w:val="28"/>
        </w:rPr>
        <w:t xml:space="preserve">egal </w:t>
      </w:r>
      <w:r w:rsidR="008924AB" w:rsidRPr="008743DC">
        <w:rPr>
          <w:rFonts w:cs="Times New Roman"/>
          <w:szCs w:val="28"/>
        </w:rPr>
        <w:t>r</w:t>
      </w:r>
      <w:r w:rsidR="00EB1F89" w:rsidRPr="008743DC">
        <w:rPr>
          <w:rFonts w:cs="Times New Roman"/>
          <w:szCs w:val="28"/>
        </w:rPr>
        <w:t>eport dated</w:t>
      </w:r>
      <w:r w:rsidR="00916863" w:rsidRPr="008743DC">
        <w:rPr>
          <w:rFonts w:cs="Times New Roman"/>
          <w:szCs w:val="28"/>
        </w:rPr>
        <w:t xml:space="preserve"> </w:t>
      </w:r>
      <w:r w:rsidR="00EB1F89" w:rsidRPr="008743DC">
        <w:rPr>
          <w:rFonts w:cs="Times New Roman"/>
          <w:szCs w:val="28"/>
        </w:rPr>
        <w:t xml:space="preserve">24 August 2018, her </w:t>
      </w:r>
      <w:r w:rsidR="008924AB" w:rsidRPr="008743DC">
        <w:rPr>
          <w:rFonts w:cs="Times New Roman"/>
          <w:szCs w:val="28"/>
        </w:rPr>
        <w:t>a</w:t>
      </w:r>
      <w:r w:rsidR="00EB1F89" w:rsidRPr="008743DC">
        <w:rPr>
          <w:rFonts w:cs="Times New Roman"/>
          <w:szCs w:val="28"/>
        </w:rPr>
        <w:t xml:space="preserve">ddendum </w:t>
      </w:r>
      <w:r w:rsidR="008924AB" w:rsidRPr="008743DC">
        <w:rPr>
          <w:rFonts w:cs="Times New Roman"/>
          <w:szCs w:val="28"/>
        </w:rPr>
        <w:t>r</w:t>
      </w:r>
      <w:r w:rsidR="00EB1F89" w:rsidRPr="008743DC">
        <w:rPr>
          <w:rFonts w:cs="Times New Roman"/>
          <w:szCs w:val="28"/>
        </w:rPr>
        <w:t>eport dated 15 June 2020 and</w:t>
      </w:r>
      <w:r w:rsidR="00916863" w:rsidRPr="008743DC">
        <w:rPr>
          <w:rFonts w:cs="Times New Roman"/>
          <w:szCs w:val="28"/>
        </w:rPr>
        <w:t xml:space="preserve"> </w:t>
      </w:r>
      <w:r w:rsidR="00EB1F89" w:rsidRPr="008743DC">
        <w:rPr>
          <w:rFonts w:cs="Times New Roman"/>
          <w:szCs w:val="28"/>
        </w:rPr>
        <w:t>the joint minute filed by her and the defendant’s expert</w:t>
      </w:r>
      <w:r w:rsidR="00916863" w:rsidRPr="008743DC">
        <w:rPr>
          <w:rFonts w:cs="Times New Roman"/>
          <w:szCs w:val="28"/>
        </w:rPr>
        <w:t>.</w:t>
      </w:r>
    </w:p>
    <w:p w:rsidR="00916863" w:rsidRDefault="00916863" w:rsidP="000A2F75">
      <w:pPr>
        <w:autoSpaceDE w:val="0"/>
        <w:autoSpaceDN w:val="0"/>
        <w:adjustRightInd w:val="0"/>
        <w:spacing w:after="0"/>
        <w:ind w:left="1134"/>
        <w:rPr>
          <w:rFonts w:cs="Times New Roman"/>
          <w:szCs w:val="28"/>
        </w:rPr>
      </w:pPr>
    </w:p>
    <w:p w:rsidR="00EB1F89" w:rsidRPr="008743DC" w:rsidRDefault="008743DC" w:rsidP="008743DC">
      <w:pPr>
        <w:autoSpaceDE w:val="0"/>
        <w:autoSpaceDN w:val="0"/>
        <w:adjustRightInd w:val="0"/>
        <w:spacing w:after="0"/>
        <w:ind w:left="1659" w:hanging="525"/>
        <w:rPr>
          <w:rFonts w:cs="Times New Roman"/>
          <w:szCs w:val="28"/>
        </w:rPr>
      </w:pPr>
      <w:r>
        <w:rPr>
          <w:rFonts w:cs="Times New Roman"/>
          <w:szCs w:val="28"/>
        </w:rPr>
        <w:t>28.3</w:t>
      </w:r>
      <w:r>
        <w:rPr>
          <w:rFonts w:cs="Times New Roman"/>
          <w:szCs w:val="28"/>
        </w:rPr>
        <w:tab/>
      </w:r>
      <w:r w:rsidR="006C3547" w:rsidRPr="008743DC">
        <w:rPr>
          <w:rFonts w:cs="Times New Roman"/>
          <w:szCs w:val="28"/>
        </w:rPr>
        <w:t xml:space="preserve"> </w:t>
      </w:r>
      <w:r w:rsidR="00EB1F89" w:rsidRPr="008743DC">
        <w:rPr>
          <w:rFonts w:cs="Times New Roman"/>
          <w:szCs w:val="28"/>
        </w:rPr>
        <w:t xml:space="preserve">Mr </w:t>
      </w:r>
      <w:proofErr w:type="spellStart"/>
      <w:r w:rsidR="00EB1F89" w:rsidRPr="008743DC">
        <w:rPr>
          <w:rFonts w:cs="Times New Roman"/>
          <w:szCs w:val="28"/>
        </w:rPr>
        <w:t>Bulelani</w:t>
      </w:r>
      <w:proofErr w:type="spellEnd"/>
      <w:r w:rsidR="00EB1F89" w:rsidRPr="008743DC">
        <w:rPr>
          <w:rFonts w:cs="Times New Roman"/>
          <w:szCs w:val="28"/>
        </w:rPr>
        <w:t xml:space="preserve"> Joel </w:t>
      </w:r>
      <w:proofErr w:type="spellStart"/>
      <w:r w:rsidR="00EB1F89" w:rsidRPr="008743DC">
        <w:rPr>
          <w:rFonts w:cs="Times New Roman"/>
          <w:szCs w:val="28"/>
        </w:rPr>
        <w:t>Ketsikile</w:t>
      </w:r>
      <w:proofErr w:type="spellEnd"/>
      <w:r w:rsidR="00EB1F89" w:rsidRPr="008743DC">
        <w:rPr>
          <w:rFonts w:cs="Times New Roman"/>
          <w:szCs w:val="28"/>
        </w:rPr>
        <w:t>, the plaintiff’s expert</w:t>
      </w:r>
      <w:r w:rsidR="00916863" w:rsidRPr="008743DC">
        <w:rPr>
          <w:rFonts w:cs="Times New Roman"/>
          <w:szCs w:val="28"/>
        </w:rPr>
        <w:t xml:space="preserve"> </w:t>
      </w:r>
      <w:r w:rsidR="00EB1F89" w:rsidRPr="008743DC">
        <w:rPr>
          <w:rFonts w:cs="Times New Roman"/>
          <w:szCs w:val="28"/>
        </w:rPr>
        <w:t xml:space="preserve">architect, </w:t>
      </w:r>
      <w:r w:rsidR="00916863" w:rsidRPr="008743DC">
        <w:rPr>
          <w:rFonts w:cs="Times New Roman"/>
          <w:szCs w:val="28"/>
        </w:rPr>
        <w:t xml:space="preserve">testified as to </w:t>
      </w:r>
      <w:r w:rsidR="00EB1F89" w:rsidRPr="008743DC">
        <w:rPr>
          <w:rFonts w:cs="Times New Roman"/>
          <w:szCs w:val="28"/>
        </w:rPr>
        <w:t xml:space="preserve">his report </w:t>
      </w:r>
      <w:r w:rsidR="008924AB" w:rsidRPr="008743DC">
        <w:rPr>
          <w:rFonts w:cs="Times New Roman"/>
          <w:szCs w:val="28"/>
        </w:rPr>
        <w:t>en</w:t>
      </w:r>
      <w:r w:rsidR="00EB1F89" w:rsidRPr="008743DC">
        <w:rPr>
          <w:rFonts w:cs="Times New Roman"/>
          <w:szCs w:val="28"/>
        </w:rPr>
        <w:t xml:space="preserve">titled </w:t>
      </w:r>
      <w:r w:rsidR="00916863" w:rsidRPr="008743DC">
        <w:rPr>
          <w:rFonts w:cs="Times New Roman"/>
          <w:szCs w:val="28"/>
        </w:rPr>
        <w:t>“</w:t>
      </w:r>
      <w:proofErr w:type="gramStart"/>
      <w:r w:rsidR="00231D10">
        <w:rPr>
          <w:rFonts w:cs="Times New Roman"/>
          <w:szCs w:val="28"/>
        </w:rPr>
        <w:t>N[</w:t>
      </w:r>
      <w:proofErr w:type="gramEnd"/>
      <w:r w:rsidR="00231D10">
        <w:rPr>
          <w:rFonts w:cs="Times New Roman"/>
          <w:szCs w:val="28"/>
        </w:rPr>
        <w:t>…]</w:t>
      </w:r>
      <w:r w:rsidR="00EB1F89" w:rsidRPr="008743DC">
        <w:rPr>
          <w:rFonts w:cs="Times New Roman"/>
          <w:szCs w:val="28"/>
        </w:rPr>
        <w:t xml:space="preserve"> Assessment</w:t>
      </w:r>
      <w:r w:rsidR="00916863" w:rsidRPr="008743DC">
        <w:rPr>
          <w:rFonts w:cs="Times New Roman"/>
          <w:szCs w:val="28"/>
        </w:rPr>
        <w:t xml:space="preserve"> </w:t>
      </w:r>
      <w:r w:rsidR="00EB1F89" w:rsidRPr="008743DC">
        <w:rPr>
          <w:rFonts w:cs="Times New Roman"/>
          <w:szCs w:val="28"/>
        </w:rPr>
        <w:t>Report</w:t>
      </w:r>
      <w:r w:rsidR="00916863" w:rsidRPr="008743DC">
        <w:rPr>
          <w:rFonts w:cs="Times New Roman"/>
          <w:szCs w:val="28"/>
        </w:rPr>
        <w:t xml:space="preserve">”, a final version thereof </w:t>
      </w:r>
      <w:r w:rsidR="00EB1F89" w:rsidRPr="008743DC">
        <w:rPr>
          <w:rFonts w:cs="Times New Roman"/>
          <w:szCs w:val="28"/>
        </w:rPr>
        <w:t xml:space="preserve">and the joint minute filed by Mr </w:t>
      </w:r>
      <w:proofErr w:type="spellStart"/>
      <w:r w:rsidR="00EB1F89" w:rsidRPr="008743DC">
        <w:rPr>
          <w:rFonts w:cs="Times New Roman"/>
          <w:szCs w:val="28"/>
        </w:rPr>
        <w:t>Ketsikile</w:t>
      </w:r>
      <w:proofErr w:type="spellEnd"/>
      <w:r w:rsidR="00EB1F89" w:rsidRPr="008743DC">
        <w:rPr>
          <w:rFonts w:cs="Times New Roman"/>
          <w:szCs w:val="28"/>
        </w:rPr>
        <w:t xml:space="preserve"> and the defendant’s</w:t>
      </w:r>
      <w:r w:rsidR="0065407E" w:rsidRPr="008743DC">
        <w:rPr>
          <w:rFonts w:cs="Times New Roman"/>
          <w:szCs w:val="28"/>
        </w:rPr>
        <w:t xml:space="preserve"> </w:t>
      </w:r>
      <w:r w:rsidR="00916863" w:rsidRPr="008743DC">
        <w:rPr>
          <w:rFonts w:cs="Times New Roman"/>
          <w:szCs w:val="28"/>
        </w:rPr>
        <w:t>architect.</w:t>
      </w:r>
    </w:p>
    <w:p w:rsidR="00916863" w:rsidRPr="00916863" w:rsidRDefault="00916863" w:rsidP="00916863">
      <w:pPr>
        <w:pStyle w:val="ListParagraph"/>
        <w:rPr>
          <w:rFonts w:cs="Times New Roman"/>
          <w:szCs w:val="28"/>
        </w:rPr>
      </w:pPr>
    </w:p>
    <w:p w:rsidR="00916863" w:rsidRDefault="00E36F01" w:rsidP="00916863">
      <w:r>
        <w:t>[29</w:t>
      </w:r>
      <w:r w:rsidR="009F6F04">
        <w:t>]</w:t>
      </w:r>
      <w:r w:rsidR="009F6F04">
        <w:tab/>
      </w:r>
      <w:r w:rsidR="00916863">
        <w:t>The defendant thereafter led the evidence of the following witnesses:</w:t>
      </w:r>
    </w:p>
    <w:p w:rsidR="00916863" w:rsidRDefault="00916863" w:rsidP="00916863"/>
    <w:p w:rsidR="00916863" w:rsidRDefault="008743DC" w:rsidP="008743DC">
      <w:pPr>
        <w:ind w:left="2109" w:hanging="525"/>
      </w:pPr>
      <w:r>
        <w:t>29.1</w:t>
      </w:r>
      <w:r>
        <w:tab/>
      </w:r>
      <w:r w:rsidR="00B026CB">
        <w:t xml:space="preserve"> </w:t>
      </w:r>
      <w:r w:rsidR="00916863">
        <w:t xml:space="preserve">Doctor Rolene </w:t>
      </w:r>
      <w:proofErr w:type="spellStart"/>
      <w:r w:rsidR="00916863">
        <w:t>Margarette</w:t>
      </w:r>
      <w:proofErr w:type="spellEnd"/>
      <w:r w:rsidR="00916863">
        <w:t xml:space="preserve"> Wagner,</w:t>
      </w:r>
      <w:r w:rsidR="00E63787">
        <w:t xml:space="preserve"> the Head of Department of the defendant</w:t>
      </w:r>
      <w:r w:rsidR="008D27B4">
        <w:t xml:space="preserve"> department, testified </w:t>
      </w:r>
      <w:r w:rsidR="00E63787">
        <w:t>with reference to her factual witness statement.</w:t>
      </w:r>
    </w:p>
    <w:p w:rsidR="00E63787" w:rsidRDefault="00E63787" w:rsidP="000F1F93">
      <w:pPr>
        <w:pStyle w:val="ListParagraph"/>
        <w:ind w:left="1134"/>
      </w:pPr>
    </w:p>
    <w:p w:rsidR="00E63787" w:rsidRDefault="008743DC" w:rsidP="008743DC">
      <w:pPr>
        <w:ind w:left="2109" w:hanging="525"/>
      </w:pPr>
      <w:r>
        <w:lastRenderedPageBreak/>
        <w:t>29.2</w:t>
      </w:r>
      <w:r>
        <w:tab/>
      </w:r>
      <w:r w:rsidR="00B026CB">
        <w:t xml:space="preserve"> </w:t>
      </w:r>
      <w:r w:rsidR="00E63787">
        <w:t xml:space="preserve">Doctor Gillian Margaret </w:t>
      </w:r>
      <w:proofErr w:type="spellStart"/>
      <w:r w:rsidR="00E63787">
        <w:t>Saloojee</w:t>
      </w:r>
      <w:proofErr w:type="spellEnd"/>
      <w:r w:rsidR="00E63787">
        <w:t xml:space="preserve">, the defendant’s CP expert and expert physiotherapist, testified with reference to her </w:t>
      </w:r>
      <w:r w:rsidR="008924AB">
        <w:t>m</w:t>
      </w:r>
      <w:r w:rsidR="00E63787">
        <w:t>edico</w:t>
      </w:r>
      <w:r w:rsidR="008924AB">
        <w:t>-l</w:t>
      </w:r>
      <w:r w:rsidR="00E63787">
        <w:t>egal report in respect of B</w:t>
      </w:r>
      <w:r w:rsidR="00432295">
        <w:t>N</w:t>
      </w:r>
      <w:r w:rsidR="00E63787">
        <w:t xml:space="preserve"> dated 5 August 2019, together with a supplementary report dated 3 April 2020. She further testified with reference to her report on </w:t>
      </w:r>
      <w:r w:rsidR="008924AB">
        <w:t>“</w:t>
      </w:r>
      <w:r w:rsidR="00E63787">
        <w:t>Rehabilitation Services for Children with CP: CMH and Frere Hospitals</w:t>
      </w:r>
      <w:r w:rsidR="008924AB">
        <w:t>”</w:t>
      </w:r>
      <w:r w:rsidR="00E63787">
        <w:t>, dated 20 January 2020.</w:t>
      </w:r>
    </w:p>
    <w:p w:rsidR="00E63787" w:rsidRDefault="00E63787" w:rsidP="000F1F93">
      <w:pPr>
        <w:pStyle w:val="ListParagraph"/>
        <w:ind w:left="1134"/>
      </w:pPr>
    </w:p>
    <w:p w:rsidR="00E63787" w:rsidRDefault="008743DC" w:rsidP="008743DC">
      <w:pPr>
        <w:ind w:left="2109" w:hanging="525"/>
      </w:pPr>
      <w:r>
        <w:t>29.3</w:t>
      </w:r>
      <w:r>
        <w:tab/>
      </w:r>
      <w:r w:rsidR="00B026CB">
        <w:t xml:space="preserve"> </w:t>
      </w:r>
      <w:r w:rsidR="00E63787">
        <w:t xml:space="preserve">Mr Godfrey Lawson </w:t>
      </w:r>
      <w:proofErr w:type="spellStart"/>
      <w:r w:rsidR="00E63787">
        <w:t>Howes</w:t>
      </w:r>
      <w:proofErr w:type="spellEnd"/>
      <w:r w:rsidR="00E63787">
        <w:t>, a deputy director at the Forensic Audit Unit of the Eastern Cape Provincial Treasury likewise testified pursuant to his factual witness statement.</w:t>
      </w:r>
    </w:p>
    <w:p w:rsidR="00E63787" w:rsidRDefault="00E63787" w:rsidP="000F1F93">
      <w:pPr>
        <w:pStyle w:val="ListParagraph"/>
        <w:ind w:left="1134"/>
      </w:pPr>
    </w:p>
    <w:p w:rsidR="00E63787" w:rsidRDefault="008743DC" w:rsidP="008743DC">
      <w:pPr>
        <w:ind w:left="2109" w:hanging="525"/>
      </w:pPr>
      <w:r>
        <w:t>29.4</w:t>
      </w:r>
      <w:r>
        <w:tab/>
      </w:r>
      <w:r w:rsidR="00B026CB">
        <w:t xml:space="preserve"> </w:t>
      </w:r>
      <w:r w:rsidR="00E63787">
        <w:t xml:space="preserve">Professor </w:t>
      </w:r>
      <w:proofErr w:type="spellStart"/>
      <w:r w:rsidR="00E63787">
        <w:t>Milind</w:t>
      </w:r>
      <w:proofErr w:type="spellEnd"/>
      <w:r w:rsidR="00E63787">
        <w:t xml:space="preserve"> </w:t>
      </w:r>
      <w:proofErr w:type="spellStart"/>
      <w:r w:rsidR="00E63787">
        <w:t>Chitnis</w:t>
      </w:r>
      <w:proofErr w:type="spellEnd"/>
      <w:r w:rsidR="00E63787">
        <w:t xml:space="preserve">, the HOD of the </w:t>
      </w:r>
      <w:r w:rsidR="008924AB">
        <w:t>Paediatric</w:t>
      </w:r>
      <w:r w:rsidR="00E63787">
        <w:t xml:space="preserve"> Surgery Unit at Frere Hospital and CMH, testified with reference to a </w:t>
      </w:r>
      <w:r w:rsidR="008924AB">
        <w:t>s</w:t>
      </w:r>
      <w:r w:rsidR="00E63787">
        <w:t xml:space="preserve">ummary of </w:t>
      </w:r>
      <w:r w:rsidR="008924AB">
        <w:t>c</w:t>
      </w:r>
      <w:r w:rsidR="00E63787">
        <w:t xml:space="preserve">linical </w:t>
      </w:r>
      <w:r w:rsidR="008924AB">
        <w:t>r</w:t>
      </w:r>
      <w:r w:rsidR="00E63787">
        <w:t>ecords dated 3 Novembe</w:t>
      </w:r>
      <w:r w:rsidR="000F1F93">
        <w:t>r 2021 and an addendum thereto.</w:t>
      </w:r>
    </w:p>
    <w:p w:rsidR="00E63787" w:rsidRDefault="00E63787" w:rsidP="000F1F93">
      <w:pPr>
        <w:pStyle w:val="ListParagraph"/>
        <w:ind w:left="1134"/>
      </w:pPr>
    </w:p>
    <w:p w:rsidR="00E63787" w:rsidRDefault="008743DC" w:rsidP="008743DC">
      <w:pPr>
        <w:ind w:left="2109" w:hanging="525"/>
      </w:pPr>
      <w:r>
        <w:t>29.5</w:t>
      </w:r>
      <w:r>
        <w:tab/>
      </w:r>
      <w:r w:rsidR="00B026CB">
        <w:t xml:space="preserve"> </w:t>
      </w:r>
      <w:r w:rsidR="00E63787">
        <w:t xml:space="preserve">Doctor Isabel </w:t>
      </w:r>
      <w:proofErr w:type="spellStart"/>
      <w:r w:rsidR="00E63787">
        <w:t>Michaelis</w:t>
      </w:r>
      <w:proofErr w:type="spellEnd"/>
      <w:r w:rsidR="00E63787">
        <w:t xml:space="preserve">, a </w:t>
      </w:r>
      <w:r w:rsidR="008924AB">
        <w:t>paediatrician</w:t>
      </w:r>
      <w:r w:rsidR="00E63787">
        <w:t xml:space="preserve"> with specialization in neurodevelopmental and </w:t>
      </w:r>
      <w:proofErr w:type="spellStart"/>
      <w:r w:rsidR="00E63787">
        <w:t>neurop</w:t>
      </w:r>
      <w:r w:rsidR="00E57713">
        <w:t>a</w:t>
      </w:r>
      <w:r w:rsidR="00E63787">
        <w:t>ediatrics</w:t>
      </w:r>
      <w:proofErr w:type="spellEnd"/>
      <w:r w:rsidR="00E63787">
        <w:t xml:space="preserve"> at CMH and Frere hospitals, testified with regard to her witness statement.</w:t>
      </w:r>
    </w:p>
    <w:p w:rsidR="00E63787" w:rsidRDefault="00E63787" w:rsidP="000F1F93">
      <w:pPr>
        <w:pStyle w:val="ListParagraph"/>
        <w:ind w:left="1134"/>
      </w:pPr>
    </w:p>
    <w:p w:rsidR="00E63787" w:rsidRDefault="008743DC" w:rsidP="008743DC">
      <w:pPr>
        <w:ind w:left="2109" w:hanging="525"/>
      </w:pPr>
      <w:r>
        <w:t>29.6</w:t>
      </w:r>
      <w:r>
        <w:tab/>
      </w:r>
      <w:r w:rsidR="00B026CB">
        <w:t xml:space="preserve"> </w:t>
      </w:r>
      <w:r w:rsidR="00E63787">
        <w:t xml:space="preserve">Mr. Andrew Robert Donaldson, the defendant’s expert economist, testified </w:t>
      </w:r>
      <w:r w:rsidR="00E57713">
        <w:t>regarding</w:t>
      </w:r>
      <w:r w:rsidR="00E63787">
        <w:t xml:space="preserve"> his expert report entitled “</w:t>
      </w:r>
      <w:r w:rsidR="00E63787" w:rsidRPr="008743DC">
        <w:rPr>
          <w:iCs/>
        </w:rPr>
        <w:t>Public finance considerations relating to the method of settlement of damages claims against the state based on medical negligence</w:t>
      </w:r>
      <w:r w:rsidR="00E63787">
        <w:t xml:space="preserve">” dated 17 December 2019, his </w:t>
      </w:r>
      <w:r w:rsidR="00E63787">
        <w:lastRenderedPageBreak/>
        <w:t>supplementary report dated 19 June 2020 and his updated data</w:t>
      </w:r>
      <w:r w:rsidR="004E0F6B">
        <w:t xml:space="preserve"> relating to </w:t>
      </w:r>
      <w:r w:rsidR="00E63787">
        <w:t>those reports.</w:t>
      </w:r>
    </w:p>
    <w:p w:rsidR="004E0F6B" w:rsidRDefault="004E0F6B" w:rsidP="000F1F93">
      <w:pPr>
        <w:pStyle w:val="ListParagraph"/>
        <w:ind w:left="1134"/>
      </w:pPr>
    </w:p>
    <w:p w:rsidR="004E0F6B" w:rsidRDefault="008743DC" w:rsidP="008743DC">
      <w:pPr>
        <w:ind w:left="2109" w:hanging="525"/>
      </w:pPr>
      <w:r>
        <w:t>29.7</w:t>
      </w:r>
      <w:r>
        <w:tab/>
      </w:r>
      <w:r w:rsidR="00B026CB">
        <w:t xml:space="preserve"> </w:t>
      </w:r>
      <w:r w:rsidR="004E0F6B">
        <w:t xml:space="preserve">Mr Sean Bernard </w:t>
      </w:r>
      <w:proofErr w:type="spellStart"/>
      <w:r w:rsidR="004E0F6B">
        <w:t>Frachet</w:t>
      </w:r>
      <w:proofErr w:type="spellEnd"/>
      <w:r w:rsidR="004E0F6B">
        <w:t>, the Chief Director, Integrated Budget Planning of the defendant department, testified regarding his factual witness statement.</w:t>
      </w:r>
    </w:p>
    <w:p w:rsidR="004E0F6B" w:rsidRDefault="004E0F6B" w:rsidP="000F1F93">
      <w:pPr>
        <w:pStyle w:val="ListParagraph"/>
        <w:ind w:left="1134"/>
      </w:pPr>
    </w:p>
    <w:p w:rsidR="004E0F6B" w:rsidRDefault="008743DC" w:rsidP="008743DC">
      <w:pPr>
        <w:ind w:left="2109" w:hanging="525"/>
      </w:pPr>
      <w:r>
        <w:t>29.8</w:t>
      </w:r>
      <w:r>
        <w:tab/>
      </w:r>
      <w:r w:rsidR="00B026CB">
        <w:t xml:space="preserve"> </w:t>
      </w:r>
      <w:r w:rsidR="004E0F6B">
        <w:t xml:space="preserve">Professor Cooper </w:t>
      </w:r>
      <w:r w:rsidR="00AD040D">
        <w:t xml:space="preserve">did not testify because, </w:t>
      </w:r>
      <w:r w:rsidR="004E0F6B">
        <w:t>apart from certain aspects thereof which had been objected to, his report was</w:t>
      </w:r>
      <w:r w:rsidR="005D5C16">
        <w:t xml:space="preserve"> eventually</w:t>
      </w:r>
      <w:r w:rsidR="004E0F6B">
        <w:t xml:space="preserve"> admitted. The court heard argument regarding the objection and admitted the whole report, subject to the plaintiff’s right to seek an adjournment to lead evidence in rebuttal.</w:t>
      </w:r>
    </w:p>
    <w:p w:rsidR="004E0F6B" w:rsidRDefault="004E0F6B" w:rsidP="000F1F93">
      <w:pPr>
        <w:pStyle w:val="ListParagraph"/>
        <w:ind w:left="1134"/>
      </w:pPr>
    </w:p>
    <w:p w:rsidR="00B026CB" w:rsidRDefault="008743DC" w:rsidP="008743DC">
      <w:pPr>
        <w:ind w:left="2109" w:hanging="525"/>
      </w:pPr>
      <w:r>
        <w:t>29.9</w:t>
      </w:r>
      <w:r>
        <w:tab/>
      </w:r>
      <w:r w:rsidR="00B026CB">
        <w:t xml:space="preserve"> </w:t>
      </w:r>
      <w:r w:rsidR="005D5C16">
        <w:t xml:space="preserve">Ms </w:t>
      </w:r>
      <w:proofErr w:type="spellStart"/>
      <w:r w:rsidR="005D5C16">
        <w:t>Kabi</w:t>
      </w:r>
      <w:proofErr w:type="spellEnd"/>
      <w:r w:rsidR="005D5C16">
        <w:t xml:space="preserve"> </w:t>
      </w:r>
      <w:proofErr w:type="spellStart"/>
      <w:r w:rsidR="005D5C16">
        <w:t>Krige</w:t>
      </w:r>
      <w:proofErr w:type="spellEnd"/>
      <w:r w:rsidR="005D5C16">
        <w:t>, the defendant’s expert occupational therapist, testified regarding her medico</w:t>
      </w:r>
      <w:r w:rsidR="004F527C">
        <w:t>-</w:t>
      </w:r>
      <w:r w:rsidR="005D5C16">
        <w:t xml:space="preserve">legal report dated 24 June 2019 and a report dated 29 October 2021 which she prepared in response to an addendum produced by Mrs </w:t>
      </w:r>
      <w:proofErr w:type="spellStart"/>
      <w:r w:rsidR="005D5C16">
        <w:t>Caga</w:t>
      </w:r>
      <w:proofErr w:type="spellEnd"/>
      <w:r w:rsidR="005D5C16">
        <w:t>.</w:t>
      </w:r>
    </w:p>
    <w:p w:rsidR="0072487C" w:rsidRDefault="0072487C" w:rsidP="0072487C"/>
    <w:p w:rsidR="005D5C16" w:rsidRDefault="008743DC" w:rsidP="008743DC">
      <w:pPr>
        <w:ind w:left="1984" w:hanging="525"/>
      </w:pPr>
      <w:r>
        <w:t>29.10</w:t>
      </w:r>
      <w:r>
        <w:tab/>
      </w:r>
      <w:r w:rsidR="005D5C16">
        <w:t xml:space="preserve">Ms </w:t>
      </w:r>
      <w:proofErr w:type="spellStart"/>
      <w:r w:rsidR="005D5C16">
        <w:t>Shaida</w:t>
      </w:r>
      <w:proofErr w:type="spellEnd"/>
      <w:r w:rsidR="005D5C16">
        <w:t xml:space="preserve"> </w:t>
      </w:r>
      <w:proofErr w:type="spellStart"/>
      <w:r w:rsidR="00432295">
        <w:t>Bobat</w:t>
      </w:r>
      <w:proofErr w:type="spellEnd"/>
      <w:r w:rsidR="00432295">
        <w:t>,</w:t>
      </w:r>
      <w:r w:rsidR="005D5C16">
        <w:t xml:space="preserve"> th</w:t>
      </w:r>
      <w:r w:rsidR="0072487C">
        <w:t xml:space="preserve">e defendant’s expert industrial        </w:t>
      </w:r>
      <w:r w:rsidR="005D5C16">
        <w:t xml:space="preserve">psychologist, testified virtually </w:t>
      </w:r>
      <w:r w:rsidR="004F527C">
        <w:t>regarding</w:t>
      </w:r>
      <w:r w:rsidR="005D5C16">
        <w:t xml:space="preserve"> her supplementary </w:t>
      </w:r>
      <w:r w:rsidR="0072487C">
        <w:t xml:space="preserve">   </w:t>
      </w:r>
      <w:r w:rsidR="005D5C16">
        <w:t xml:space="preserve">report on Ms </w:t>
      </w:r>
      <w:proofErr w:type="gramStart"/>
      <w:r w:rsidR="005D5C16">
        <w:t>N</w:t>
      </w:r>
      <w:r w:rsidR="00EA1ECD">
        <w:rPr>
          <w:rFonts w:cs="Times New Roman"/>
          <w:szCs w:val="28"/>
        </w:rPr>
        <w:t>[</w:t>
      </w:r>
      <w:proofErr w:type="gramEnd"/>
      <w:r w:rsidR="00EA1ECD">
        <w:rPr>
          <w:rFonts w:cs="Times New Roman"/>
          <w:szCs w:val="28"/>
        </w:rPr>
        <w:t>…]</w:t>
      </w:r>
      <w:r w:rsidR="005D5C16">
        <w:t xml:space="preserve">’s prospects of employment, dated 18 March </w:t>
      </w:r>
      <w:r w:rsidR="0072487C">
        <w:t xml:space="preserve">  </w:t>
      </w:r>
      <w:r w:rsidR="005D5C16">
        <w:t>2020.</w:t>
      </w:r>
    </w:p>
    <w:p w:rsidR="0072487C" w:rsidRDefault="0072487C" w:rsidP="00642187">
      <w:pPr>
        <w:pStyle w:val="ListParagraph"/>
        <w:ind w:left="1984"/>
      </w:pPr>
    </w:p>
    <w:p w:rsidR="005D5C16" w:rsidRDefault="008743DC" w:rsidP="008743DC">
      <w:pPr>
        <w:ind w:left="1984" w:hanging="525"/>
      </w:pPr>
      <w:r>
        <w:lastRenderedPageBreak/>
        <w:t>29.11</w:t>
      </w:r>
      <w:r>
        <w:tab/>
      </w:r>
      <w:r w:rsidR="005D5C16">
        <w:t>Mr</w:t>
      </w:r>
      <w:r w:rsidR="00AD040D">
        <w:t xml:space="preserve"> </w:t>
      </w:r>
      <w:proofErr w:type="spellStart"/>
      <w:r w:rsidR="00AD040D">
        <w:t>S</w:t>
      </w:r>
      <w:r w:rsidR="005D5C16">
        <w:t>iyabul</w:t>
      </w:r>
      <w:r w:rsidR="00642187">
        <w:t>ela</w:t>
      </w:r>
      <w:proofErr w:type="spellEnd"/>
      <w:r w:rsidR="00642187">
        <w:t xml:space="preserve"> Jack, the defendant’s </w:t>
      </w:r>
      <w:r w:rsidR="005D5C16">
        <w:t xml:space="preserve">architect, testified regarding his </w:t>
      </w:r>
      <w:r w:rsidR="004F527C">
        <w:t>“</w:t>
      </w:r>
      <w:r w:rsidR="005D5C16">
        <w:t>Condition Based and Structural Assessment Report</w:t>
      </w:r>
      <w:r w:rsidR="004F527C">
        <w:t>”</w:t>
      </w:r>
      <w:r w:rsidR="005D5C16">
        <w:t xml:space="preserve"> dated 2</w:t>
      </w:r>
      <w:r w:rsidR="00432295">
        <w:t>2</w:t>
      </w:r>
      <w:r w:rsidR="005D5C16">
        <w:t xml:space="preserve"> May 2020 together with his revised report dated 2</w:t>
      </w:r>
      <w:r w:rsidR="00432295">
        <w:t>2</w:t>
      </w:r>
      <w:r w:rsidR="005D5C16">
        <w:t xml:space="preserve"> October 2021.</w:t>
      </w:r>
    </w:p>
    <w:p w:rsidR="005D5C16" w:rsidRDefault="005D5C16" w:rsidP="005D5C16"/>
    <w:p w:rsidR="005D5C16" w:rsidRDefault="00E36F01" w:rsidP="005D5C16">
      <w:r>
        <w:t>[30</w:t>
      </w:r>
      <w:r w:rsidR="009F6F04">
        <w:t>]</w:t>
      </w:r>
      <w:r w:rsidR="009F6F04">
        <w:tab/>
      </w:r>
      <w:r w:rsidR="005D5C16">
        <w:t>After the defendant had closed her case, the plaintiff called the following witnesses in rebuttal of the defendant’s constitutional defences:</w:t>
      </w:r>
    </w:p>
    <w:p w:rsidR="005D5C16" w:rsidRDefault="005D5C16" w:rsidP="005D5C16"/>
    <w:p w:rsidR="005D5C16" w:rsidRDefault="008743DC" w:rsidP="008743DC">
      <w:pPr>
        <w:ind w:left="1659" w:hanging="525"/>
      </w:pPr>
      <w:r>
        <w:t>30.1</w:t>
      </w:r>
      <w:r>
        <w:tab/>
      </w:r>
      <w:r w:rsidR="000478A6">
        <w:t xml:space="preserve"> </w:t>
      </w:r>
      <w:r w:rsidR="008F2928">
        <w:t>Professor Alexander Marius V</w:t>
      </w:r>
      <w:r w:rsidR="005D5C16">
        <w:t xml:space="preserve">an den </w:t>
      </w:r>
      <w:proofErr w:type="spellStart"/>
      <w:r w:rsidR="005D5C16">
        <w:t>Heever</w:t>
      </w:r>
      <w:proofErr w:type="spellEnd"/>
      <w:r w:rsidR="005D5C16">
        <w:t>, the plaintiff’s expert economist, testified with regard to his report (Version: March 2020), supplementary report (V</w:t>
      </w:r>
      <w:r w:rsidR="008F2928">
        <w:t xml:space="preserve">ersion: March 2022) and </w:t>
      </w:r>
      <w:r w:rsidR="005D5C16">
        <w:t>annexures thereto.</w:t>
      </w:r>
    </w:p>
    <w:p w:rsidR="005D5C16" w:rsidRDefault="005D5C16" w:rsidP="007066BE">
      <w:pPr>
        <w:pStyle w:val="ListParagraph"/>
        <w:ind w:left="1134"/>
      </w:pPr>
    </w:p>
    <w:p w:rsidR="005D5C16" w:rsidRDefault="008743DC" w:rsidP="008743DC">
      <w:pPr>
        <w:ind w:left="1659" w:hanging="525"/>
      </w:pPr>
      <w:r>
        <w:t>30.2</w:t>
      </w:r>
      <w:r>
        <w:tab/>
      </w:r>
      <w:r w:rsidR="000478A6">
        <w:t xml:space="preserve"> </w:t>
      </w:r>
      <w:r w:rsidR="005D5C16">
        <w:t xml:space="preserve">Ms </w:t>
      </w:r>
      <w:proofErr w:type="spellStart"/>
      <w:r w:rsidR="005D5C16">
        <w:t>Busisiwe</w:t>
      </w:r>
      <w:proofErr w:type="spellEnd"/>
      <w:r w:rsidR="005D5C16">
        <w:t xml:space="preserve"> </w:t>
      </w:r>
      <w:r w:rsidR="000420BD">
        <w:t>Moni-</w:t>
      </w:r>
      <w:proofErr w:type="spellStart"/>
      <w:r w:rsidR="000420BD">
        <w:t>Tsawu</w:t>
      </w:r>
      <w:proofErr w:type="spellEnd"/>
      <w:r w:rsidR="000420BD">
        <w:t>, a physiotherapist form</w:t>
      </w:r>
      <w:r w:rsidR="00432295">
        <w:t>er</w:t>
      </w:r>
      <w:r w:rsidR="000420BD">
        <w:t xml:space="preserve">ly employed by the defendant department, testified </w:t>
      </w:r>
      <w:r w:rsidR="00FF056E">
        <w:t>regarding</w:t>
      </w:r>
      <w:r w:rsidR="000420BD">
        <w:t xml:space="preserve"> her experience at Frere Hospital.</w:t>
      </w:r>
    </w:p>
    <w:p w:rsidR="000420BD" w:rsidRDefault="000420BD" w:rsidP="007066BE">
      <w:pPr>
        <w:pStyle w:val="ListParagraph"/>
        <w:ind w:left="1134"/>
      </w:pPr>
    </w:p>
    <w:p w:rsidR="000420BD" w:rsidRDefault="008743DC" w:rsidP="008743DC">
      <w:pPr>
        <w:ind w:left="1659" w:hanging="525"/>
      </w:pPr>
      <w:r>
        <w:t>30.3</w:t>
      </w:r>
      <w:r>
        <w:tab/>
      </w:r>
      <w:r w:rsidR="000478A6">
        <w:t xml:space="preserve"> </w:t>
      </w:r>
      <w:r w:rsidR="000420BD">
        <w:t xml:space="preserve">The plaintiff, Ms </w:t>
      </w:r>
      <w:proofErr w:type="gramStart"/>
      <w:r w:rsidR="000420BD">
        <w:t>N</w:t>
      </w:r>
      <w:r w:rsidR="00EA1ECD">
        <w:rPr>
          <w:rFonts w:cs="Times New Roman"/>
          <w:szCs w:val="28"/>
        </w:rPr>
        <w:t>[</w:t>
      </w:r>
      <w:proofErr w:type="gramEnd"/>
      <w:r w:rsidR="00EA1ECD">
        <w:rPr>
          <w:rFonts w:cs="Times New Roman"/>
          <w:szCs w:val="28"/>
        </w:rPr>
        <w:t>…]</w:t>
      </w:r>
      <w:r w:rsidR="000420BD">
        <w:t>, testified.</w:t>
      </w:r>
    </w:p>
    <w:p w:rsidR="000420BD" w:rsidRDefault="000420BD" w:rsidP="007066BE">
      <w:pPr>
        <w:pStyle w:val="ListParagraph"/>
        <w:ind w:left="1134"/>
      </w:pPr>
    </w:p>
    <w:p w:rsidR="000420BD" w:rsidRDefault="008743DC" w:rsidP="008743DC">
      <w:pPr>
        <w:ind w:left="1659" w:hanging="525"/>
      </w:pPr>
      <w:r>
        <w:t>30.4</w:t>
      </w:r>
      <w:r>
        <w:tab/>
      </w:r>
      <w:r w:rsidR="000478A6">
        <w:t xml:space="preserve"> </w:t>
      </w:r>
      <w:r w:rsidR="000420BD">
        <w:t xml:space="preserve">Ms </w:t>
      </w:r>
      <w:proofErr w:type="spellStart"/>
      <w:r w:rsidR="000420BD">
        <w:t>Caga</w:t>
      </w:r>
      <w:proofErr w:type="spellEnd"/>
      <w:r w:rsidR="000420BD">
        <w:t xml:space="preserve"> was finally recalled to the stand to testify in rebuttal of the evidence of Doctor </w:t>
      </w:r>
      <w:proofErr w:type="spellStart"/>
      <w:r w:rsidR="000420BD">
        <w:t>Saloojee</w:t>
      </w:r>
      <w:proofErr w:type="spellEnd"/>
      <w:r w:rsidR="000420BD">
        <w:t xml:space="preserve"> pertaining to the constitutional defences.</w:t>
      </w:r>
    </w:p>
    <w:p w:rsidR="000420BD" w:rsidRPr="000420BD" w:rsidRDefault="000420BD" w:rsidP="000420BD"/>
    <w:p w:rsidR="000420BD" w:rsidRDefault="00E36F01" w:rsidP="000420BD">
      <w:r>
        <w:t>[31</w:t>
      </w:r>
      <w:r w:rsidR="00D33E76">
        <w:t>]</w:t>
      </w:r>
      <w:r w:rsidR="00D33E76">
        <w:tab/>
      </w:r>
      <w:r w:rsidR="000420BD">
        <w:t xml:space="preserve">Prior to, and during the evidence of Doctor Wagner, counsel for the plaintiff raised certain objections to her evidence as being opinion evidence </w:t>
      </w:r>
      <w:r w:rsidR="000420BD">
        <w:lastRenderedPageBreak/>
        <w:t xml:space="preserve">without her having been qualified as an expert. Similar objections were raised </w:t>
      </w:r>
      <w:r w:rsidR="00A93DB8">
        <w:t>regarding</w:t>
      </w:r>
      <w:r w:rsidR="000420BD">
        <w:t xml:space="preserve"> other departmental witnesses. Whilst it was conceded by the plaintiff that Doctor Wagner herself was not a layperson, it was argued that she had n</w:t>
      </w:r>
      <w:r w:rsidR="00A93DB8">
        <w:t>ot</w:t>
      </w:r>
      <w:r w:rsidR="000420BD">
        <w:t xml:space="preserve"> been qualified as an expert and, in many respects, voiced opinions which intruded</w:t>
      </w:r>
      <w:r w:rsidR="00A93DB8">
        <w:t xml:space="preserve"> into</w:t>
      </w:r>
      <w:r w:rsidR="000420BD">
        <w:t xml:space="preserve"> what </w:t>
      </w:r>
      <w:r w:rsidR="00A93DB8">
        <w:t>was termed “expert</w:t>
      </w:r>
      <w:r w:rsidR="000420BD">
        <w:t xml:space="preserve"> territory</w:t>
      </w:r>
      <w:r w:rsidR="00A93DB8">
        <w:t>”</w:t>
      </w:r>
      <w:r w:rsidR="000420BD">
        <w:t>. It was</w:t>
      </w:r>
      <w:r w:rsidR="00A93DB8">
        <w:t xml:space="preserve"> however</w:t>
      </w:r>
      <w:r w:rsidR="000420BD">
        <w:t xml:space="preserve"> agreed that all th</w:t>
      </w:r>
      <w:r w:rsidR="00A93DB8">
        <w:t>is</w:t>
      </w:r>
      <w:r w:rsidR="000420BD">
        <w:t xml:space="preserve"> evidence would be provisionally admitted and argument in this regard would be presented at the end of the trial.</w:t>
      </w:r>
    </w:p>
    <w:p w:rsidR="000420BD" w:rsidRDefault="000420BD" w:rsidP="000420BD"/>
    <w:p w:rsidR="000420BD" w:rsidRDefault="00D33E76" w:rsidP="000420BD">
      <w:r>
        <w:t>[3</w:t>
      </w:r>
      <w:r w:rsidR="00E36F01">
        <w:t>2</w:t>
      </w:r>
      <w:r>
        <w:t>]</w:t>
      </w:r>
      <w:r>
        <w:tab/>
      </w:r>
      <w:r w:rsidR="000420BD">
        <w:t xml:space="preserve">It should be noted that </w:t>
      </w:r>
      <w:r w:rsidR="00A93DB8">
        <w:t xml:space="preserve">the evidence </w:t>
      </w:r>
      <w:r w:rsidR="000420BD">
        <w:t xml:space="preserve">of these </w:t>
      </w:r>
      <w:r w:rsidR="00730AF9">
        <w:t>witnesses</w:t>
      </w:r>
      <w:r w:rsidR="000420BD">
        <w:t xml:space="preserve"> was preceded </w:t>
      </w:r>
      <w:r w:rsidR="00A93DB8">
        <w:t>by factual</w:t>
      </w:r>
      <w:r w:rsidR="000420BD">
        <w:t xml:space="preserve"> statements which,</w:t>
      </w:r>
      <w:r w:rsidR="00736F4A">
        <w:t xml:space="preserve"> although elaborated upon in evidence, set out a full description of the evidence that the</w:t>
      </w:r>
      <w:r w:rsidR="00A93DB8">
        <w:t>y</w:t>
      </w:r>
      <w:r w:rsidR="00736F4A">
        <w:t xml:space="preserve"> would present at the trial and</w:t>
      </w:r>
      <w:r w:rsidR="00A93DB8">
        <w:t xml:space="preserve"> that</w:t>
      </w:r>
      <w:r w:rsidR="00736F4A">
        <w:t xml:space="preserve">, when they did indeed testify, they gave their evidence in chief along the lines and in accordance with these statements. The plaintiff submitted that, despite this, certain aspects of the evidence led by these witnesses amounted to opinion evidence some of which was of an expert nature, and because they had not been qualified beforehand pursuant to the provisions of the </w:t>
      </w:r>
      <w:r w:rsidR="00432295">
        <w:t>r</w:t>
      </w:r>
      <w:r w:rsidR="00736F4A">
        <w:t xml:space="preserve">ules of </w:t>
      </w:r>
      <w:r w:rsidR="00432295">
        <w:t>c</w:t>
      </w:r>
      <w:r w:rsidR="00736F4A">
        <w:t xml:space="preserve">ourt, especially by way of the provision of expert summaries, such opinion evidence was not </w:t>
      </w:r>
      <w:r w:rsidR="00730AF9">
        <w:t>admissible</w:t>
      </w:r>
      <w:r w:rsidR="00736F4A">
        <w:t xml:space="preserve"> and the court </w:t>
      </w:r>
      <w:r w:rsidR="00A93DB8">
        <w:t>should</w:t>
      </w:r>
      <w:r w:rsidR="00736F4A">
        <w:t xml:space="preserve"> not have regard thereto.</w:t>
      </w:r>
    </w:p>
    <w:p w:rsidR="00E45769" w:rsidRDefault="00E45769" w:rsidP="000420BD"/>
    <w:p w:rsidR="00736F4A" w:rsidRDefault="00E36F01" w:rsidP="000420BD">
      <w:r>
        <w:t>[33</w:t>
      </w:r>
      <w:r w:rsidR="00E45769">
        <w:t>]</w:t>
      </w:r>
      <w:r w:rsidR="00E45769">
        <w:tab/>
      </w:r>
      <w:r w:rsidR="00736F4A">
        <w:t xml:space="preserve">In response to the </w:t>
      </w:r>
      <w:r w:rsidR="00730AF9">
        <w:t>plaintiff’s</w:t>
      </w:r>
      <w:r w:rsidR="00736F4A">
        <w:t xml:space="preserve"> challenge to this evidence, the defendant submitted that there are </w:t>
      </w:r>
      <w:r w:rsidR="00A93DB8">
        <w:t>at least three</w:t>
      </w:r>
      <w:r w:rsidR="00736F4A">
        <w:t xml:space="preserve"> reasons as to why such evidence </w:t>
      </w:r>
      <w:r w:rsidR="00730AF9">
        <w:t>ought</w:t>
      </w:r>
      <w:r w:rsidR="00736F4A">
        <w:t xml:space="preserve"> to be accepted. Firstly, such evidence is indeed factual evidence as</w:t>
      </w:r>
      <w:r w:rsidR="00730AF9">
        <w:t xml:space="preserve"> these witnesses</w:t>
      </w:r>
      <w:r w:rsidR="00736F4A">
        <w:t xml:space="preserve"> are public servants who, if the constitutional defences are upheld, will be responsible for ensuring that the order sought by the defendant is complied with. Their evidence was </w:t>
      </w:r>
      <w:r w:rsidR="00730AF9">
        <w:t xml:space="preserve">therefore </w:t>
      </w:r>
      <w:r w:rsidR="00736F4A">
        <w:t>indispensable in demonstrating to the court that senior staff</w:t>
      </w:r>
      <w:r w:rsidR="00A93DB8">
        <w:t xml:space="preserve"> existed</w:t>
      </w:r>
      <w:r w:rsidR="00736F4A">
        <w:t xml:space="preserve"> within the department who had the</w:t>
      </w:r>
      <w:r w:rsidR="00730AF9">
        <w:t xml:space="preserve"> competence</w:t>
      </w:r>
      <w:r w:rsidR="00736F4A">
        <w:t>, capacity, qualifications, experience and responsibility for ensuring the proper care of</w:t>
      </w:r>
      <w:r w:rsidR="00730AF9">
        <w:t xml:space="preserve"> B</w:t>
      </w:r>
      <w:r w:rsidR="00F73F3C">
        <w:t>N</w:t>
      </w:r>
      <w:r w:rsidR="00736F4A">
        <w:t xml:space="preserve">. </w:t>
      </w:r>
      <w:r w:rsidR="00736F4A">
        <w:lastRenderedPageBreak/>
        <w:t>This evidence could not have been replaced by evidence from outside expert</w:t>
      </w:r>
      <w:r w:rsidR="001051DE">
        <w:t>s</w:t>
      </w:r>
      <w:r w:rsidR="00736F4A">
        <w:t>. Such evidence was thus necessary to explain what had to be done to ensure compliance with the proposed order.</w:t>
      </w:r>
    </w:p>
    <w:p w:rsidR="00736F4A" w:rsidRDefault="00736F4A" w:rsidP="000420BD"/>
    <w:p w:rsidR="00736F4A" w:rsidRDefault="00E36F01" w:rsidP="000420BD">
      <w:r>
        <w:t>[34</w:t>
      </w:r>
      <w:r w:rsidR="00E45769">
        <w:t>]</w:t>
      </w:r>
      <w:r w:rsidR="00E45769">
        <w:tab/>
      </w:r>
      <w:r w:rsidR="00736F4A">
        <w:t xml:space="preserve">These witnesses likewise were obliged to testify </w:t>
      </w:r>
      <w:r w:rsidR="00730AF9">
        <w:t>regarding</w:t>
      </w:r>
      <w:r w:rsidR="00736F4A">
        <w:t xml:space="preserve"> the factually important standard required relating to the delivery of certain medical services and supplies as required by the proposed order.</w:t>
      </w:r>
    </w:p>
    <w:p w:rsidR="00736F4A" w:rsidRDefault="00736F4A" w:rsidP="000420BD"/>
    <w:p w:rsidR="00736F4A" w:rsidRDefault="00E36F01" w:rsidP="000420BD">
      <w:r>
        <w:t>[35</w:t>
      </w:r>
      <w:r w:rsidR="00E45769">
        <w:t>]</w:t>
      </w:r>
      <w:r w:rsidR="00E45769">
        <w:tab/>
      </w:r>
      <w:r w:rsidR="00736F4A">
        <w:t>Secondly, even if the court were to consider that the factual witness</w:t>
      </w:r>
      <w:r w:rsidR="001051DE">
        <w:t>e</w:t>
      </w:r>
      <w:r w:rsidR="00736F4A">
        <w:t>s</w:t>
      </w:r>
      <w:r w:rsidR="001051DE">
        <w:t>’</w:t>
      </w:r>
      <w:r w:rsidR="00736F4A">
        <w:t xml:space="preserve"> evidence was partially opinion evidence, it was submitted that such should nonetheless be admitted. As stated by </w:t>
      </w:r>
      <w:proofErr w:type="spellStart"/>
      <w:r w:rsidR="00736F4A">
        <w:t>Schwikkard</w:t>
      </w:r>
      <w:proofErr w:type="spellEnd"/>
      <w:r w:rsidR="00736F4A">
        <w:t xml:space="preserve"> and van der Merwe</w:t>
      </w:r>
      <w:r w:rsidR="00432295">
        <w:rPr>
          <w:rStyle w:val="FootnoteReference"/>
        </w:rPr>
        <w:footnoteReference w:id="16"/>
      </w:r>
      <w:r w:rsidR="00736F4A">
        <w:t>:</w:t>
      </w:r>
    </w:p>
    <w:p w:rsidR="00736F4A" w:rsidRDefault="00736F4A" w:rsidP="000420BD"/>
    <w:p w:rsidR="00736F4A" w:rsidRPr="00F521A8" w:rsidRDefault="00736F4A" w:rsidP="00BA78D9">
      <w:pPr>
        <w:spacing w:line="240" w:lineRule="auto"/>
        <w:ind w:left="450" w:right="656"/>
        <w:rPr>
          <w:color w:val="FF0000"/>
        </w:rPr>
      </w:pPr>
      <w:r>
        <w:t>“</w:t>
      </w:r>
      <w:r w:rsidR="001377E3" w:rsidRPr="00E2108C">
        <w:rPr>
          <w:color w:val="000000" w:themeColor="text1"/>
          <w:sz w:val="24"/>
          <w:szCs w:val="24"/>
        </w:rPr>
        <w:t xml:space="preserve">If </w:t>
      </w:r>
      <w:r w:rsidR="00F521A8" w:rsidRPr="00E2108C">
        <w:rPr>
          <w:color w:val="000000" w:themeColor="text1"/>
          <w:sz w:val="24"/>
          <w:szCs w:val="24"/>
        </w:rPr>
        <w:t>the issue</w:t>
      </w:r>
      <w:r w:rsidRPr="00E2108C">
        <w:rPr>
          <w:color w:val="000000" w:themeColor="text1"/>
          <w:sz w:val="24"/>
          <w:szCs w:val="24"/>
        </w:rPr>
        <w:t xml:space="preserve"> </w:t>
      </w:r>
      <w:r w:rsidR="001377E3" w:rsidRPr="00E2108C">
        <w:rPr>
          <w:color w:val="000000" w:themeColor="text1"/>
          <w:sz w:val="24"/>
          <w:szCs w:val="24"/>
        </w:rPr>
        <w:t>[</w:t>
      </w:r>
      <w:r w:rsidRPr="00E2108C">
        <w:rPr>
          <w:color w:val="000000" w:themeColor="text1"/>
          <w:sz w:val="24"/>
          <w:szCs w:val="24"/>
        </w:rPr>
        <w:t>at trial</w:t>
      </w:r>
      <w:r w:rsidR="001377E3" w:rsidRPr="00E2108C">
        <w:rPr>
          <w:color w:val="000000" w:themeColor="text1"/>
          <w:sz w:val="24"/>
          <w:szCs w:val="24"/>
        </w:rPr>
        <w:t>]</w:t>
      </w:r>
      <w:r w:rsidRPr="00E2108C">
        <w:rPr>
          <w:color w:val="000000" w:themeColor="text1"/>
          <w:sz w:val="24"/>
          <w:szCs w:val="24"/>
        </w:rPr>
        <w:t xml:space="preserve"> is of such a nature that the witness is in a better position than the court to form an opinion, the opinion will be admissible on the basis of its relevance. Such an opinion has probative force… </w:t>
      </w:r>
      <w:r w:rsidR="00730AF9" w:rsidRPr="00E2108C">
        <w:rPr>
          <w:color w:val="000000" w:themeColor="text1"/>
          <w:sz w:val="24"/>
          <w:szCs w:val="24"/>
        </w:rPr>
        <w:t>b</w:t>
      </w:r>
      <w:r w:rsidR="00F521A8" w:rsidRPr="00E2108C">
        <w:rPr>
          <w:color w:val="000000" w:themeColor="text1"/>
          <w:sz w:val="24"/>
          <w:szCs w:val="24"/>
        </w:rPr>
        <w:t>ecause it can assist</w:t>
      </w:r>
      <w:r w:rsidRPr="00E2108C">
        <w:rPr>
          <w:color w:val="000000" w:themeColor="text1"/>
          <w:sz w:val="24"/>
          <w:szCs w:val="24"/>
        </w:rPr>
        <w:t xml:space="preserve"> the court in determining the issue. This explains why the opinion</w:t>
      </w:r>
      <w:r w:rsidR="00F521A8" w:rsidRPr="00E2108C">
        <w:rPr>
          <w:color w:val="000000" w:themeColor="text1"/>
          <w:sz w:val="24"/>
          <w:szCs w:val="24"/>
        </w:rPr>
        <w:t>s</w:t>
      </w:r>
      <w:r w:rsidRPr="00E2108C">
        <w:rPr>
          <w:color w:val="000000" w:themeColor="text1"/>
          <w:sz w:val="24"/>
          <w:szCs w:val="24"/>
        </w:rPr>
        <w:t xml:space="preserve"> of laypersons and experts are at times received</w:t>
      </w:r>
      <w:r w:rsidR="00DB4E9D">
        <w:t>.”</w:t>
      </w:r>
      <w:r w:rsidR="00DB4E9D">
        <w:rPr>
          <w:color w:val="FF0000"/>
        </w:rPr>
        <w:t xml:space="preserve"> </w:t>
      </w:r>
    </w:p>
    <w:p w:rsidR="00736F4A" w:rsidRDefault="00736F4A" w:rsidP="000420BD"/>
    <w:p w:rsidR="00736F4A" w:rsidRDefault="00E36F01" w:rsidP="000420BD">
      <w:r>
        <w:t>[36</w:t>
      </w:r>
      <w:r w:rsidR="00E45769">
        <w:t>]</w:t>
      </w:r>
      <w:r w:rsidR="00E45769">
        <w:tab/>
      </w:r>
      <w:r w:rsidR="001051DE">
        <w:t xml:space="preserve">In this regard the court was referred to the Appellate Division case of </w:t>
      </w:r>
      <w:r w:rsidR="001051DE" w:rsidRPr="001051DE">
        <w:rPr>
          <w:i/>
          <w:iCs/>
        </w:rPr>
        <w:t xml:space="preserve">R v </w:t>
      </w:r>
      <w:proofErr w:type="spellStart"/>
      <w:r w:rsidR="001051DE" w:rsidRPr="001051DE">
        <w:rPr>
          <w:i/>
          <w:iCs/>
        </w:rPr>
        <w:t>Vilbro</w:t>
      </w:r>
      <w:proofErr w:type="spellEnd"/>
      <w:r w:rsidR="001051DE" w:rsidRPr="001051DE">
        <w:rPr>
          <w:i/>
          <w:iCs/>
        </w:rPr>
        <w:t xml:space="preserve"> &amp; Another</w:t>
      </w:r>
      <w:r w:rsidR="001051DE" w:rsidRPr="00F521A8">
        <w:rPr>
          <w:rStyle w:val="FootnoteReference"/>
          <w:iCs/>
        </w:rPr>
        <w:footnoteReference w:id="17"/>
      </w:r>
      <w:r w:rsidR="001051DE">
        <w:rPr>
          <w:iCs/>
        </w:rPr>
        <w:t xml:space="preserve"> and the English case of </w:t>
      </w:r>
      <w:r w:rsidR="001051DE" w:rsidRPr="001051DE">
        <w:rPr>
          <w:i/>
        </w:rPr>
        <w:t>Multiple</w:t>
      </w:r>
      <w:r w:rsidR="001051DE" w:rsidRPr="00E2108C">
        <w:rPr>
          <w:i/>
          <w:color w:val="000000" w:themeColor="text1"/>
        </w:rPr>
        <w:t>x</w:t>
      </w:r>
      <w:r w:rsidR="00F521A8" w:rsidRPr="00E2108C">
        <w:rPr>
          <w:i/>
          <w:color w:val="000000" w:themeColor="text1"/>
        </w:rPr>
        <w:t>.</w:t>
      </w:r>
      <w:r w:rsidR="001051DE" w:rsidRPr="00E2108C">
        <w:rPr>
          <w:rStyle w:val="FootnoteReference"/>
          <w:color w:val="000000" w:themeColor="text1"/>
        </w:rPr>
        <w:footnoteReference w:id="18"/>
      </w:r>
      <w:r w:rsidR="009E283A" w:rsidRPr="00E2108C">
        <w:rPr>
          <w:iCs/>
          <w:color w:val="000000" w:themeColor="text1"/>
        </w:rPr>
        <w:t xml:space="preserve"> </w:t>
      </w:r>
      <w:r w:rsidR="009E283A">
        <w:rPr>
          <w:iCs/>
        </w:rPr>
        <w:t xml:space="preserve">In </w:t>
      </w:r>
      <w:proofErr w:type="spellStart"/>
      <w:r w:rsidR="009E283A" w:rsidRPr="009E283A">
        <w:rPr>
          <w:i/>
        </w:rPr>
        <w:t>Vilbro</w:t>
      </w:r>
      <w:proofErr w:type="spellEnd"/>
      <w:r w:rsidR="009E283A">
        <w:rPr>
          <w:i/>
        </w:rPr>
        <w:t xml:space="preserve">, </w:t>
      </w:r>
      <w:r w:rsidR="009E283A">
        <w:t xml:space="preserve">the appeal court in essence found that where a witness is in a better position than the court to form an opinion, such opinion will be admissible </w:t>
      </w:r>
      <w:r w:rsidR="00C77158">
        <w:t>based on</w:t>
      </w:r>
      <w:r w:rsidR="009E283A">
        <w:t xml:space="preserve"> its relevance as stated above. In </w:t>
      </w:r>
      <w:r w:rsidR="009E283A" w:rsidRPr="009E283A">
        <w:rPr>
          <w:i/>
          <w:iCs/>
        </w:rPr>
        <w:t>Multiplex</w:t>
      </w:r>
      <w:r w:rsidR="009E283A">
        <w:t xml:space="preserve">, a matter similar to the present in that there had not been compliance with the relevant rule pertaining to expert evidence but a factual statement </w:t>
      </w:r>
      <w:r w:rsidR="00A93DB8">
        <w:t>had previously been</w:t>
      </w:r>
      <w:r w:rsidR="009E283A">
        <w:t xml:space="preserve"> delivered, the English </w:t>
      </w:r>
      <w:r w:rsidR="00C77158">
        <w:t>High Court held that in construction litigation an engineer who gives factual evidence may also tend</w:t>
      </w:r>
      <w:r w:rsidR="006734EB">
        <w:t>er</w:t>
      </w:r>
      <w:r w:rsidR="00C77158">
        <w:t xml:space="preserve"> statements of </w:t>
      </w:r>
      <w:r w:rsidR="00C77158">
        <w:lastRenderedPageBreak/>
        <w:t>opinion which are reasonably related to the facts within his knowledge and relevant comments, based upon his own experience</w:t>
      </w:r>
      <w:r w:rsidR="00C77158">
        <w:rPr>
          <w:rStyle w:val="FootnoteReference"/>
        </w:rPr>
        <w:footnoteReference w:id="19"/>
      </w:r>
      <w:r w:rsidR="00C77158">
        <w:t>.</w:t>
      </w:r>
    </w:p>
    <w:p w:rsidR="00C77158" w:rsidRDefault="00C77158" w:rsidP="000420BD">
      <w:pPr>
        <w:rPr>
          <w:iCs/>
        </w:rPr>
      </w:pPr>
    </w:p>
    <w:p w:rsidR="00C77158" w:rsidRDefault="00E36F01" w:rsidP="000420BD">
      <w:pPr>
        <w:rPr>
          <w:iCs/>
        </w:rPr>
      </w:pPr>
      <w:r>
        <w:rPr>
          <w:iCs/>
        </w:rPr>
        <w:t>[37</w:t>
      </w:r>
      <w:r w:rsidR="00E45769">
        <w:rPr>
          <w:iCs/>
        </w:rPr>
        <w:t>]</w:t>
      </w:r>
      <w:r w:rsidR="00E45769">
        <w:rPr>
          <w:iCs/>
        </w:rPr>
        <w:tab/>
      </w:r>
      <w:r w:rsidR="00C77158">
        <w:rPr>
          <w:iCs/>
        </w:rPr>
        <w:t>Counsel for the defendant submitted that by virtue of the issues raised by the public healthcare defence</w:t>
      </w:r>
      <w:r w:rsidR="00AD040D">
        <w:rPr>
          <w:iCs/>
        </w:rPr>
        <w:t>,</w:t>
      </w:r>
      <w:r w:rsidR="00C77158">
        <w:rPr>
          <w:iCs/>
        </w:rPr>
        <w:t xml:space="preserve"> the evidence of such factual witnesses from the department was both relevant to the issues and necessary for the court to decide the issues in dispute. Their positions, qualifications and experience including, in the case of Professor </w:t>
      </w:r>
      <w:proofErr w:type="spellStart"/>
      <w:r w:rsidR="00C77158">
        <w:rPr>
          <w:iCs/>
        </w:rPr>
        <w:t>Chitnis</w:t>
      </w:r>
      <w:proofErr w:type="spellEnd"/>
      <w:r w:rsidR="00C77158">
        <w:rPr>
          <w:iCs/>
        </w:rPr>
        <w:t xml:space="preserve"> and Doctor </w:t>
      </w:r>
      <w:proofErr w:type="spellStart"/>
      <w:r w:rsidR="00C77158">
        <w:rPr>
          <w:iCs/>
        </w:rPr>
        <w:t>Michaelis</w:t>
      </w:r>
      <w:proofErr w:type="spellEnd"/>
      <w:r w:rsidR="00C77158">
        <w:rPr>
          <w:iCs/>
        </w:rPr>
        <w:t>, their having treated B</w:t>
      </w:r>
      <w:r w:rsidR="006734EB">
        <w:rPr>
          <w:iCs/>
        </w:rPr>
        <w:t>N themselves</w:t>
      </w:r>
      <w:r w:rsidR="00C77158">
        <w:rPr>
          <w:iCs/>
        </w:rPr>
        <w:t>, placed them in an extraordinary position to be able to provide valuable evidence after applying their minds to the questions at hand.</w:t>
      </w:r>
    </w:p>
    <w:p w:rsidR="00C77158" w:rsidRDefault="00C77158" w:rsidP="000420BD">
      <w:pPr>
        <w:rPr>
          <w:iCs/>
        </w:rPr>
      </w:pPr>
    </w:p>
    <w:p w:rsidR="00C77158" w:rsidRDefault="00E36F01" w:rsidP="000420BD">
      <w:pPr>
        <w:rPr>
          <w:iCs/>
        </w:rPr>
      </w:pPr>
      <w:r>
        <w:rPr>
          <w:iCs/>
        </w:rPr>
        <w:t>[38</w:t>
      </w:r>
      <w:r w:rsidR="00E45769">
        <w:rPr>
          <w:iCs/>
        </w:rPr>
        <w:t>]</w:t>
      </w:r>
      <w:r w:rsidR="00E45769">
        <w:rPr>
          <w:iCs/>
        </w:rPr>
        <w:tab/>
      </w:r>
      <w:r w:rsidR="00C77158">
        <w:rPr>
          <w:iCs/>
        </w:rPr>
        <w:t xml:space="preserve">Thirdly, it was submitted by the defence that the plaintiff was, in any event, given full warning in relation to this evidence. In this regard, the court was referred to correspondence </w:t>
      </w:r>
      <w:r w:rsidR="00432295">
        <w:rPr>
          <w:iCs/>
        </w:rPr>
        <w:t>d</w:t>
      </w:r>
      <w:r w:rsidR="00C77158">
        <w:rPr>
          <w:iCs/>
        </w:rPr>
        <w:t xml:space="preserve">ated 11 October 2021, well before the commencement of the trial, </w:t>
      </w:r>
      <w:r w:rsidR="004F527C">
        <w:rPr>
          <w:iCs/>
        </w:rPr>
        <w:t xml:space="preserve">in which </w:t>
      </w:r>
      <w:r w:rsidR="00C77158">
        <w:rPr>
          <w:iCs/>
        </w:rPr>
        <w:t xml:space="preserve">the defendant’s attorneys </w:t>
      </w:r>
      <w:r w:rsidR="006734EB">
        <w:rPr>
          <w:iCs/>
        </w:rPr>
        <w:t>drew</w:t>
      </w:r>
      <w:r w:rsidR="00C77158">
        <w:rPr>
          <w:iCs/>
        </w:rPr>
        <w:t xml:space="preserve"> the plaintiff’s attention to the evidence of certain factual witnesses which she intended to call, including Doctor Wagner, Mr </w:t>
      </w:r>
      <w:proofErr w:type="spellStart"/>
      <w:r w:rsidR="00C77158">
        <w:rPr>
          <w:iCs/>
        </w:rPr>
        <w:t>Frachet</w:t>
      </w:r>
      <w:proofErr w:type="spellEnd"/>
      <w:r w:rsidR="00C77158">
        <w:rPr>
          <w:iCs/>
        </w:rPr>
        <w:t xml:space="preserve">, Doctor </w:t>
      </w:r>
      <w:proofErr w:type="spellStart"/>
      <w:r w:rsidR="00C77158">
        <w:rPr>
          <w:iCs/>
        </w:rPr>
        <w:t>Michaelis</w:t>
      </w:r>
      <w:proofErr w:type="spellEnd"/>
      <w:r w:rsidR="00C77158">
        <w:rPr>
          <w:iCs/>
        </w:rPr>
        <w:t xml:space="preserve"> and Mr </w:t>
      </w:r>
      <w:proofErr w:type="spellStart"/>
      <w:r w:rsidR="00C77158">
        <w:rPr>
          <w:iCs/>
        </w:rPr>
        <w:t>Howes</w:t>
      </w:r>
      <w:proofErr w:type="spellEnd"/>
      <w:r w:rsidR="00C77158">
        <w:rPr>
          <w:iCs/>
        </w:rPr>
        <w:t>. This letter proceeded as follows:</w:t>
      </w:r>
    </w:p>
    <w:p w:rsidR="00C77158" w:rsidRPr="000F1BF0" w:rsidRDefault="00C77158" w:rsidP="000420BD">
      <w:pPr>
        <w:rPr>
          <w:iCs/>
          <w:sz w:val="24"/>
          <w:szCs w:val="24"/>
        </w:rPr>
      </w:pPr>
    </w:p>
    <w:p w:rsidR="00C77158" w:rsidRDefault="00C77158" w:rsidP="00962F37">
      <w:pPr>
        <w:spacing w:line="240" w:lineRule="auto"/>
        <w:ind w:left="450" w:right="476"/>
        <w:rPr>
          <w:iCs/>
          <w:sz w:val="24"/>
          <w:szCs w:val="24"/>
        </w:rPr>
      </w:pPr>
      <w:r w:rsidRPr="000F1BF0">
        <w:rPr>
          <w:iCs/>
          <w:sz w:val="24"/>
          <w:szCs w:val="24"/>
        </w:rPr>
        <w:t>“Because the factual witnesses hold professional qualifications, because</w:t>
      </w:r>
      <w:r w:rsidR="000F1BF0" w:rsidRPr="000F1BF0">
        <w:rPr>
          <w:iCs/>
          <w:sz w:val="24"/>
          <w:szCs w:val="24"/>
        </w:rPr>
        <w:t xml:space="preserve"> </w:t>
      </w:r>
      <w:r w:rsidRPr="000F1BF0">
        <w:rPr>
          <w:iCs/>
          <w:sz w:val="24"/>
          <w:szCs w:val="24"/>
        </w:rPr>
        <w:t>some of the factual evidence will be of a financial or technical nature, and further as a matter of caution to provide for the eventuality that the court might deem any component of their evidence in the nature of opinion evidence, we intend to provide you and the court with written summaries of the evidence before trial.”</w:t>
      </w:r>
    </w:p>
    <w:p w:rsidR="000F1BF0" w:rsidRDefault="000F1BF0" w:rsidP="000F1BF0">
      <w:pPr>
        <w:rPr>
          <w:iCs/>
          <w:sz w:val="24"/>
          <w:szCs w:val="24"/>
        </w:rPr>
      </w:pPr>
    </w:p>
    <w:p w:rsidR="000F1BF0" w:rsidRDefault="00E36F01" w:rsidP="000F1BF0">
      <w:pPr>
        <w:rPr>
          <w:szCs w:val="28"/>
        </w:rPr>
      </w:pPr>
      <w:r>
        <w:rPr>
          <w:szCs w:val="28"/>
        </w:rPr>
        <w:t>[39</w:t>
      </w:r>
      <w:r w:rsidR="00E45769">
        <w:rPr>
          <w:szCs w:val="28"/>
        </w:rPr>
        <w:t>]</w:t>
      </w:r>
      <w:r w:rsidR="00E45769">
        <w:rPr>
          <w:szCs w:val="28"/>
        </w:rPr>
        <w:tab/>
      </w:r>
      <w:r w:rsidR="000F1BF0">
        <w:rPr>
          <w:szCs w:val="28"/>
        </w:rPr>
        <w:t xml:space="preserve">Indeed, such summaries were, well in advance of trial, supplied by the defendant to the plaintiff as foreshadowed in this correspondence. No objection </w:t>
      </w:r>
      <w:r w:rsidR="000F1BF0">
        <w:rPr>
          <w:szCs w:val="28"/>
        </w:rPr>
        <w:lastRenderedPageBreak/>
        <w:t xml:space="preserve">was raised by the plaintiff nor was there any response to this letter. </w:t>
      </w:r>
      <w:r w:rsidR="006734EB">
        <w:rPr>
          <w:szCs w:val="28"/>
        </w:rPr>
        <w:t>T</w:t>
      </w:r>
      <w:r w:rsidR="000F1BF0">
        <w:rPr>
          <w:szCs w:val="28"/>
        </w:rPr>
        <w:t xml:space="preserve">he factual statements referred to were detailed to the extent that they provided the plaintiff with far better advance notice of the evidence that was to be given than is required by </w:t>
      </w:r>
      <w:r w:rsidR="00432295">
        <w:rPr>
          <w:szCs w:val="28"/>
        </w:rPr>
        <w:t>r</w:t>
      </w:r>
      <w:r w:rsidR="000F1BF0">
        <w:rPr>
          <w:szCs w:val="28"/>
        </w:rPr>
        <w:t>ule 36(9</w:t>
      </w:r>
      <w:r w:rsidR="000F1BF0" w:rsidRPr="00E2108C">
        <w:rPr>
          <w:color w:val="000000" w:themeColor="text1"/>
          <w:szCs w:val="28"/>
        </w:rPr>
        <w:t>)(</w:t>
      </w:r>
      <w:r w:rsidR="000F1BF0" w:rsidRPr="00E2108C">
        <w:rPr>
          <w:i/>
          <w:color w:val="000000" w:themeColor="text1"/>
          <w:szCs w:val="28"/>
        </w:rPr>
        <w:t>b</w:t>
      </w:r>
      <w:r w:rsidR="000F1BF0" w:rsidRPr="00E2108C">
        <w:rPr>
          <w:color w:val="000000" w:themeColor="text1"/>
          <w:szCs w:val="28"/>
        </w:rPr>
        <w:t>).</w:t>
      </w:r>
    </w:p>
    <w:p w:rsidR="000F1BF0" w:rsidRDefault="000F1BF0" w:rsidP="000F1BF0">
      <w:pPr>
        <w:rPr>
          <w:szCs w:val="28"/>
        </w:rPr>
      </w:pPr>
    </w:p>
    <w:p w:rsidR="000F1BF0" w:rsidRDefault="00E36F01" w:rsidP="000F1BF0">
      <w:pPr>
        <w:rPr>
          <w:szCs w:val="28"/>
        </w:rPr>
      </w:pPr>
      <w:r>
        <w:rPr>
          <w:szCs w:val="28"/>
        </w:rPr>
        <w:t>[40</w:t>
      </w:r>
      <w:r w:rsidR="00E45769">
        <w:rPr>
          <w:szCs w:val="28"/>
        </w:rPr>
        <w:t>]</w:t>
      </w:r>
      <w:r w:rsidR="00E45769">
        <w:rPr>
          <w:szCs w:val="28"/>
        </w:rPr>
        <w:tab/>
      </w:r>
      <w:r w:rsidR="000F1BF0">
        <w:rPr>
          <w:szCs w:val="28"/>
        </w:rPr>
        <w:t xml:space="preserve">In my view, the defendant’s submissions must hold sway. Given the nature of the constitutional defences to which they testified, which shall be elaborated on more fully later, it was the </w:t>
      </w:r>
      <w:r w:rsidR="00F73F3C">
        <w:rPr>
          <w:szCs w:val="28"/>
        </w:rPr>
        <w:t>defendant’s</w:t>
      </w:r>
      <w:r w:rsidR="000F1BF0">
        <w:rPr>
          <w:szCs w:val="28"/>
        </w:rPr>
        <w:t xml:space="preserve"> obligation to place before the court as much evidence as possible relating thereto. By its very nature, this evidence in many respects not only relates to the past performance of the medical staff at the </w:t>
      </w:r>
      <w:r w:rsidR="00F73F3C">
        <w:rPr>
          <w:szCs w:val="28"/>
        </w:rPr>
        <w:t>two</w:t>
      </w:r>
      <w:r w:rsidR="000F1BF0">
        <w:rPr>
          <w:szCs w:val="28"/>
        </w:rPr>
        <w:t xml:space="preserve"> hospitals</w:t>
      </w:r>
      <w:r w:rsidR="00F73F3C">
        <w:rPr>
          <w:szCs w:val="28"/>
        </w:rPr>
        <w:t xml:space="preserve"> concerned</w:t>
      </w:r>
      <w:r w:rsidR="00E5343D">
        <w:rPr>
          <w:szCs w:val="28"/>
        </w:rPr>
        <w:t xml:space="preserve">, but also to </w:t>
      </w:r>
      <w:r w:rsidR="000F1BF0">
        <w:rPr>
          <w:szCs w:val="28"/>
        </w:rPr>
        <w:t>future conduct</w:t>
      </w:r>
      <w:r w:rsidR="00AD040D">
        <w:rPr>
          <w:szCs w:val="28"/>
        </w:rPr>
        <w:t>,</w:t>
      </w:r>
      <w:r w:rsidR="000F1BF0">
        <w:rPr>
          <w:szCs w:val="28"/>
        </w:rPr>
        <w:t xml:space="preserve"> particularly </w:t>
      </w:r>
      <w:r w:rsidR="00F73F3C">
        <w:rPr>
          <w:szCs w:val="28"/>
        </w:rPr>
        <w:t>regarding</w:t>
      </w:r>
      <w:r w:rsidR="000F1BF0">
        <w:rPr>
          <w:szCs w:val="28"/>
        </w:rPr>
        <w:t xml:space="preserve"> </w:t>
      </w:r>
      <w:r w:rsidR="00F73F3C">
        <w:rPr>
          <w:szCs w:val="28"/>
        </w:rPr>
        <w:t>BN’s</w:t>
      </w:r>
      <w:r w:rsidR="000F1BF0">
        <w:rPr>
          <w:szCs w:val="28"/>
        </w:rPr>
        <w:t xml:space="preserve"> treatment by the staff in these hospitals in the event that such defences are upheld. Such future conduct required these witnesses, and in particular Doctor Wagner, to testify as to the expected future performance of the hospitals and their staff which by its very nature involves a degree of inference from</w:t>
      </w:r>
      <w:r w:rsidR="00F73F3C">
        <w:rPr>
          <w:szCs w:val="28"/>
        </w:rPr>
        <w:t xml:space="preserve"> </w:t>
      </w:r>
      <w:r w:rsidR="000F1BF0">
        <w:rPr>
          <w:szCs w:val="28"/>
        </w:rPr>
        <w:t>facts which are entrenched and well known by Doctor Wagner by virtue of her position and experience.</w:t>
      </w:r>
      <w:r w:rsidR="00F73F3C">
        <w:rPr>
          <w:szCs w:val="28"/>
        </w:rPr>
        <w:t xml:space="preserve"> Because of her special and unique position in the department, and her experience, she is in a far better position than the court to interpret these known facts and to make inferences therefrom which may amount to opinion evidence.</w:t>
      </w:r>
    </w:p>
    <w:p w:rsidR="000F1BF0" w:rsidRDefault="000F1BF0" w:rsidP="000F1BF0">
      <w:pPr>
        <w:rPr>
          <w:szCs w:val="28"/>
        </w:rPr>
      </w:pPr>
    </w:p>
    <w:p w:rsidR="000F1BF0" w:rsidRDefault="00E36F01" w:rsidP="000F1BF0">
      <w:pPr>
        <w:rPr>
          <w:szCs w:val="28"/>
        </w:rPr>
      </w:pPr>
      <w:r>
        <w:rPr>
          <w:szCs w:val="28"/>
        </w:rPr>
        <w:t>[41</w:t>
      </w:r>
      <w:r w:rsidR="00E45769">
        <w:rPr>
          <w:szCs w:val="28"/>
        </w:rPr>
        <w:t>]</w:t>
      </w:r>
      <w:r w:rsidR="00E45769">
        <w:rPr>
          <w:szCs w:val="28"/>
        </w:rPr>
        <w:tab/>
      </w:r>
      <w:r w:rsidR="000F1BF0">
        <w:rPr>
          <w:szCs w:val="28"/>
        </w:rPr>
        <w:t>Additionally, the main purpose of Rule 36(9)</w:t>
      </w:r>
      <w:r w:rsidR="00900867">
        <w:rPr>
          <w:szCs w:val="28"/>
        </w:rPr>
        <w:t xml:space="preserve"> is to give the other party </w:t>
      </w:r>
      <w:r w:rsidR="00F73F3C">
        <w:rPr>
          <w:szCs w:val="28"/>
        </w:rPr>
        <w:t>sufficient</w:t>
      </w:r>
      <w:r w:rsidR="00900867">
        <w:rPr>
          <w:szCs w:val="28"/>
        </w:rPr>
        <w:t xml:space="preserve"> information about the expert evidence so as to remove the element of surprise. However, it does make inroads into the fundamental right of a party to call a witness and requires such party to disclose the nature of the evidence in advance. It has accordingly been held that the provisions of the rule should be </w:t>
      </w:r>
      <w:r w:rsidR="00900867">
        <w:rPr>
          <w:szCs w:val="28"/>
        </w:rPr>
        <w:lastRenderedPageBreak/>
        <w:t>interpreted restrictivel</w:t>
      </w:r>
      <w:r w:rsidR="00900867" w:rsidRPr="00E2108C">
        <w:rPr>
          <w:color w:val="000000" w:themeColor="text1"/>
          <w:szCs w:val="28"/>
        </w:rPr>
        <w:t>y</w:t>
      </w:r>
      <w:r w:rsidR="00962F37" w:rsidRPr="00E2108C">
        <w:rPr>
          <w:color w:val="000000" w:themeColor="text1"/>
          <w:szCs w:val="28"/>
        </w:rPr>
        <w:t>.</w:t>
      </w:r>
      <w:r w:rsidR="00900867" w:rsidRPr="00E2108C">
        <w:rPr>
          <w:rStyle w:val="FootnoteReference"/>
          <w:color w:val="000000" w:themeColor="text1"/>
          <w:szCs w:val="28"/>
        </w:rPr>
        <w:footnoteReference w:id="20"/>
      </w:r>
      <w:r w:rsidR="00F73F3C" w:rsidRPr="00E2108C">
        <w:rPr>
          <w:color w:val="000000" w:themeColor="text1"/>
          <w:szCs w:val="28"/>
        </w:rPr>
        <w:t xml:space="preserve"> </w:t>
      </w:r>
      <w:r w:rsidR="00F73F3C">
        <w:rPr>
          <w:szCs w:val="28"/>
        </w:rPr>
        <w:t>I am of the view that the plaintiff had ample opportunity to absorb and digest all the information provided and that any element of surprise was removed. In so far as Doctor Wagner and the other witnesses may have strayed to a minor extent into the terrain of experts (given that she and they do have specialized knowledge)</w:t>
      </w:r>
      <w:r w:rsidR="00AD040D">
        <w:rPr>
          <w:szCs w:val="28"/>
        </w:rPr>
        <w:t>,</w:t>
      </w:r>
      <w:r w:rsidR="00F73F3C">
        <w:rPr>
          <w:szCs w:val="28"/>
        </w:rPr>
        <w:t xml:space="preserve"> this was practically unavoidable in the circumstances</w:t>
      </w:r>
      <w:r w:rsidR="002175D7">
        <w:rPr>
          <w:szCs w:val="28"/>
        </w:rPr>
        <w:t xml:space="preserve"> and a necessity. In any event, the plaintiff had ample opportunity to consider all this evidence and</w:t>
      </w:r>
      <w:r w:rsidR="002A0FE3">
        <w:rPr>
          <w:szCs w:val="28"/>
        </w:rPr>
        <w:t xml:space="preserve"> </w:t>
      </w:r>
      <w:r w:rsidR="002175D7">
        <w:rPr>
          <w:szCs w:val="28"/>
        </w:rPr>
        <w:t xml:space="preserve">to tailor the evidence </w:t>
      </w:r>
      <w:r w:rsidR="008B38C3">
        <w:rPr>
          <w:szCs w:val="28"/>
        </w:rPr>
        <w:t>available to her</w:t>
      </w:r>
      <w:r w:rsidR="002175D7">
        <w:rPr>
          <w:szCs w:val="28"/>
        </w:rPr>
        <w:t xml:space="preserve"> where necessary and/or to, wherever possible, obtain evidence in rebuttal.</w:t>
      </w:r>
    </w:p>
    <w:p w:rsidR="006734EB" w:rsidRDefault="006734EB" w:rsidP="000F1BF0">
      <w:pPr>
        <w:rPr>
          <w:szCs w:val="28"/>
        </w:rPr>
      </w:pPr>
    </w:p>
    <w:p w:rsidR="006734EB" w:rsidRDefault="00E36F01" w:rsidP="000F1BF0">
      <w:pPr>
        <w:rPr>
          <w:szCs w:val="28"/>
        </w:rPr>
      </w:pPr>
      <w:r>
        <w:rPr>
          <w:szCs w:val="28"/>
        </w:rPr>
        <w:t>[42</w:t>
      </w:r>
      <w:r w:rsidR="00E45769">
        <w:rPr>
          <w:szCs w:val="28"/>
        </w:rPr>
        <w:t>]</w:t>
      </w:r>
      <w:r w:rsidR="00E45769">
        <w:rPr>
          <w:szCs w:val="28"/>
        </w:rPr>
        <w:tab/>
      </w:r>
      <w:r w:rsidR="006734EB">
        <w:rPr>
          <w:szCs w:val="28"/>
        </w:rPr>
        <w:t>Plaintiff’s counsel argued that despite all this, the failure to comply with the rules of court in this regard allowed the plaintiff to take the stance that</w:t>
      </w:r>
      <w:r w:rsidR="00783B3A">
        <w:rPr>
          <w:szCs w:val="28"/>
        </w:rPr>
        <w:t xml:space="preserve"> she </w:t>
      </w:r>
      <w:r w:rsidR="006734EB">
        <w:rPr>
          <w:szCs w:val="28"/>
        </w:rPr>
        <w:t>could simply disregard this evidence as a matter of strategy. I disagree. Given all that I have said, particularly the nature of the defences and all that foreshadowed th</w:t>
      </w:r>
      <w:r w:rsidR="008B38C3">
        <w:rPr>
          <w:szCs w:val="28"/>
        </w:rPr>
        <w:t>is</w:t>
      </w:r>
      <w:r w:rsidR="006734EB">
        <w:rPr>
          <w:szCs w:val="28"/>
        </w:rPr>
        <w:t xml:space="preserve"> testimony, such an approach was, to my mind, incautious.</w:t>
      </w:r>
    </w:p>
    <w:p w:rsidR="002175D7" w:rsidRDefault="002175D7" w:rsidP="000F1BF0">
      <w:pPr>
        <w:rPr>
          <w:szCs w:val="28"/>
        </w:rPr>
      </w:pPr>
    </w:p>
    <w:p w:rsidR="002175D7" w:rsidRDefault="00E36F01" w:rsidP="000F1BF0">
      <w:pPr>
        <w:rPr>
          <w:szCs w:val="28"/>
        </w:rPr>
      </w:pPr>
      <w:r>
        <w:rPr>
          <w:szCs w:val="28"/>
        </w:rPr>
        <w:t>[43</w:t>
      </w:r>
      <w:r w:rsidR="00E45769">
        <w:rPr>
          <w:szCs w:val="28"/>
        </w:rPr>
        <w:t>]</w:t>
      </w:r>
      <w:r w:rsidR="00E45769">
        <w:rPr>
          <w:szCs w:val="28"/>
        </w:rPr>
        <w:tab/>
      </w:r>
      <w:r w:rsidR="002175D7">
        <w:rPr>
          <w:szCs w:val="28"/>
        </w:rPr>
        <w:t>I will accordingly have regard to all the evidence of these witnesses. I will also take heed of the fact that, to the extent that their objectivity may be affected by the</w:t>
      </w:r>
      <w:r w:rsidR="00AD040D">
        <w:rPr>
          <w:szCs w:val="28"/>
        </w:rPr>
        <w:t>m</w:t>
      </w:r>
      <w:r w:rsidR="002175D7">
        <w:rPr>
          <w:szCs w:val="28"/>
        </w:rPr>
        <w:t xml:space="preserve"> being employed within the department, this is to a degree counterbalanced by their professional status and in the case of the medical professionals, their being bound by the Hippocratic Oath and their willingness to subject themselves to cross examination.</w:t>
      </w:r>
    </w:p>
    <w:p w:rsidR="00783B3A" w:rsidRDefault="00783B3A" w:rsidP="000F1BF0">
      <w:pPr>
        <w:rPr>
          <w:szCs w:val="28"/>
        </w:rPr>
      </w:pPr>
    </w:p>
    <w:p w:rsidR="00783B3A" w:rsidRPr="0099556A" w:rsidRDefault="0099556A" w:rsidP="000F1BF0">
      <w:pPr>
        <w:rPr>
          <w:b/>
          <w:bCs/>
          <w:i/>
          <w:iCs/>
          <w:szCs w:val="28"/>
        </w:rPr>
      </w:pPr>
      <w:bookmarkStart w:id="2" w:name="_Hlk125637188"/>
      <w:r w:rsidRPr="0099556A">
        <w:rPr>
          <w:b/>
          <w:bCs/>
          <w:i/>
          <w:iCs/>
          <w:szCs w:val="28"/>
        </w:rPr>
        <w:lastRenderedPageBreak/>
        <w:t>Defendant</w:t>
      </w:r>
      <w:r w:rsidR="00AD040D">
        <w:rPr>
          <w:b/>
          <w:bCs/>
          <w:i/>
          <w:iCs/>
          <w:szCs w:val="28"/>
        </w:rPr>
        <w:t>’</w:t>
      </w:r>
      <w:r w:rsidRPr="0099556A">
        <w:rPr>
          <w:b/>
          <w:bCs/>
          <w:i/>
          <w:iCs/>
          <w:szCs w:val="28"/>
        </w:rPr>
        <w:t>s</w:t>
      </w:r>
      <w:r w:rsidR="00783B3A" w:rsidRPr="0099556A">
        <w:rPr>
          <w:b/>
          <w:bCs/>
          <w:i/>
          <w:iCs/>
          <w:szCs w:val="28"/>
        </w:rPr>
        <w:t xml:space="preserve"> objections to the supplementary report</w:t>
      </w:r>
      <w:r w:rsidRPr="0099556A">
        <w:rPr>
          <w:b/>
          <w:bCs/>
          <w:i/>
          <w:iCs/>
          <w:szCs w:val="28"/>
        </w:rPr>
        <w:t xml:space="preserve"> of Professor Van den </w:t>
      </w:r>
      <w:proofErr w:type="spellStart"/>
      <w:r w:rsidRPr="0099556A">
        <w:rPr>
          <w:b/>
          <w:bCs/>
          <w:i/>
          <w:iCs/>
          <w:szCs w:val="28"/>
        </w:rPr>
        <w:t>Heever</w:t>
      </w:r>
      <w:proofErr w:type="spellEnd"/>
      <w:r w:rsidRPr="0099556A">
        <w:rPr>
          <w:b/>
          <w:bCs/>
          <w:i/>
          <w:iCs/>
          <w:szCs w:val="28"/>
        </w:rPr>
        <w:t xml:space="preserve">, certain newspaper articles and the evidence of Ms </w:t>
      </w:r>
      <w:proofErr w:type="spellStart"/>
      <w:r w:rsidRPr="0099556A">
        <w:rPr>
          <w:b/>
          <w:bCs/>
          <w:i/>
          <w:iCs/>
          <w:szCs w:val="28"/>
        </w:rPr>
        <w:t>Caga</w:t>
      </w:r>
      <w:proofErr w:type="spellEnd"/>
      <w:r w:rsidRPr="0099556A">
        <w:rPr>
          <w:b/>
          <w:bCs/>
          <w:i/>
          <w:iCs/>
          <w:szCs w:val="28"/>
        </w:rPr>
        <w:t xml:space="preserve"> in rebuttal.</w:t>
      </w:r>
    </w:p>
    <w:bookmarkEnd w:id="2"/>
    <w:p w:rsidR="00783B3A" w:rsidRDefault="00783B3A" w:rsidP="000F1BF0">
      <w:pPr>
        <w:rPr>
          <w:szCs w:val="28"/>
        </w:rPr>
      </w:pPr>
    </w:p>
    <w:p w:rsidR="00783B3A" w:rsidRDefault="00E36F01" w:rsidP="000F1BF0">
      <w:pPr>
        <w:rPr>
          <w:szCs w:val="28"/>
        </w:rPr>
      </w:pPr>
      <w:r>
        <w:rPr>
          <w:szCs w:val="28"/>
        </w:rPr>
        <w:t>[44</w:t>
      </w:r>
      <w:r w:rsidR="00E45769">
        <w:rPr>
          <w:szCs w:val="28"/>
        </w:rPr>
        <w:t>]</w:t>
      </w:r>
      <w:r w:rsidR="00E45769">
        <w:rPr>
          <w:szCs w:val="28"/>
        </w:rPr>
        <w:tab/>
      </w:r>
      <w:r w:rsidR="0099556A">
        <w:rPr>
          <w:szCs w:val="28"/>
        </w:rPr>
        <w:t>Shortly before the resumption of trial</w:t>
      </w:r>
      <w:r w:rsidR="008B38C3">
        <w:rPr>
          <w:szCs w:val="28"/>
        </w:rPr>
        <w:t xml:space="preserve"> after an adjournment,</w:t>
      </w:r>
      <w:r w:rsidR="0099556A">
        <w:rPr>
          <w:szCs w:val="28"/>
        </w:rPr>
        <w:t xml:space="preserve"> the plaintiff filed a 79-page supplementary report prepared by Professor Van den </w:t>
      </w:r>
      <w:proofErr w:type="spellStart"/>
      <w:r w:rsidR="0099556A">
        <w:rPr>
          <w:szCs w:val="28"/>
        </w:rPr>
        <w:t>Heever</w:t>
      </w:r>
      <w:proofErr w:type="spellEnd"/>
      <w:r w:rsidR="0099556A">
        <w:rPr>
          <w:szCs w:val="28"/>
        </w:rPr>
        <w:t xml:space="preserve"> together with two newspaper articles. These were objected to in writing by the defendant </w:t>
      </w:r>
      <w:r w:rsidR="008B38C3">
        <w:rPr>
          <w:szCs w:val="28"/>
        </w:rPr>
        <w:t>because there</w:t>
      </w:r>
      <w:r w:rsidR="0099556A">
        <w:rPr>
          <w:szCs w:val="28"/>
        </w:rPr>
        <w:t xml:space="preserve"> was no prior warning that</w:t>
      </w:r>
      <w:r w:rsidR="008B38C3">
        <w:rPr>
          <w:szCs w:val="28"/>
        </w:rPr>
        <w:t xml:space="preserve"> </w:t>
      </w:r>
      <w:r w:rsidR="00AD040D">
        <w:rPr>
          <w:szCs w:val="28"/>
        </w:rPr>
        <w:t>they were</w:t>
      </w:r>
      <w:r w:rsidR="0099556A">
        <w:rPr>
          <w:szCs w:val="28"/>
        </w:rPr>
        <w:t xml:space="preserve"> to be filed and the defendant was given a short time to prepare. As regards the newspaper articles, they were also objected to on the basis that they amounted to inadmissible hearsay evidence and were not reliable on their own to prove the point intended without independent evidence to support them</w:t>
      </w:r>
      <w:r w:rsidR="00BA550D">
        <w:rPr>
          <w:szCs w:val="28"/>
        </w:rPr>
        <w:t>.</w:t>
      </w:r>
      <w:r w:rsidR="0099556A" w:rsidRPr="00E2108C">
        <w:rPr>
          <w:rStyle w:val="FootnoteReference"/>
          <w:color w:val="000000" w:themeColor="text1"/>
          <w:szCs w:val="28"/>
        </w:rPr>
        <w:footnoteReference w:id="21"/>
      </w:r>
    </w:p>
    <w:p w:rsidR="0099556A" w:rsidRDefault="0099556A" w:rsidP="000F1BF0">
      <w:pPr>
        <w:rPr>
          <w:szCs w:val="28"/>
        </w:rPr>
      </w:pPr>
    </w:p>
    <w:p w:rsidR="0099556A" w:rsidRDefault="00E36F01" w:rsidP="000F1BF0">
      <w:pPr>
        <w:rPr>
          <w:szCs w:val="28"/>
        </w:rPr>
      </w:pPr>
      <w:r>
        <w:rPr>
          <w:szCs w:val="28"/>
        </w:rPr>
        <w:t>[45</w:t>
      </w:r>
      <w:r w:rsidR="00E45769">
        <w:rPr>
          <w:szCs w:val="28"/>
        </w:rPr>
        <w:t>]</w:t>
      </w:r>
      <w:r w:rsidR="00E45769">
        <w:rPr>
          <w:szCs w:val="28"/>
        </w:rPr>
        <w:tab/>
      </w:r>
      <w:r w:rsidR="0099556A">
        <w:rPr>
          <w:szCs w:val="28"/>
        </w:rPr>
        <w:t xml:space="preserve">As regards the evidence of Ms </w:t>
      </w:r>
      <w:proofErr w:type="spellStart"/>
      <w:r w:rsidR="0099556A">
        <w:rPr>
          <w:szCs w:val="28"/>
        </w:rPr>
        <w:t>Caga</w:t>
      </w:r>
      <w:proofErr w:type="spellEnd"/>
      <w:r w:rsidR="00AD040D">
        <w:rPr>
          <w:szCs w:val="28"/>
        </w:rPr>
        <w:t>,</w:t>
      </w:r>
      <w:r w:rsidR="0099556A">
        <w:rPr>
          <w:szCs w:val="28"/>
        </w:rPr>
        <w:t xml:space="preserve"> it was objected to </w:t>
      </w:r>
      <w:r w:rsidR="00721D42">
        <w:rPr>
          <w:szCs w:val="28"/>
        </w:rPr>
        <w:t>as</w:t>
      </w:r>
      <w:r w:rsidR="0099556A">
        <w:rPr>
          <w:szCs w:val="28"/>
        </w:rPr>
        <w:t xml:space="preserve"> it was not preceded by an expert summary and the evidence was not put to the defendant</w:t>
      </w:r>
      <w:r w:rsidR="00721D42">
        <w:rPr>
          <w:szCs w:val="28"/>
        </w:rPr>
        <w:t>’s</w:t>
      </w:r>
      <w:r w:rsidR="0099556A">
        <w:rPr>
          <w:szCs w:val="28"/>
        </w:rPr>
        <w:t xml:space="preserve"> witnesses. It also, to some extent, involved hearsay evidence and strayed beyond her areas of expertise as an occupational therapist and case manager.</w:t>
      </w:r>
    </w:p>
    <w:p w:rsidR="0099556A" w:rsidRDefault="0099556A" w:rsidP="000F1BF0">
      <w:pPr>
        <w:rPr>
          <w:szCs w:val="28"/>
        </w:rPr>
      </w:pPr>
    </w:p>
    <w:p w:rsidR="0099556A" w:rsidRDefault="00E36F01" w:rsidP="000F1BF0">
      <w:pPr>
        <w:rPr>
          <w:szCs w:val="28"/>
        </w:rPr>
      </w:pPr>
      <w:r>
        <w:rPr>
          <w:szCs w:val="28"/>
        </w:rPr>
        <w:t>[46</w:t>
      </w:r>
      <w:r w:rsidR="00E45769">
        <w:rPr>
          <w:szCs w:val="28"/>
        </w:rPr>
        <w:t>]</w:t>
      </w:r>
      <w:r w:rsidR="00E45769">
        <w:rPr>
          <w:szCs w:val="28"/>
        </w:rPr>
        <w:tab/>
      </w:r>
      <w:r w:rsidR="0099556A">
        <w:rPr>
          <w:szCs w:val="28"/>
        </w:rPr>
        <w:t xml:space="preserve">I have considered the submissions in this regard and concluded that, largely because of the various reasons I have set out above relating to the constitutional defences, I will allow all this evidence subject to the qualification that I will consider the weight to be attached to it wherever necessary. It seems to me that this is the fairest and most reasonable way of dealing </w:t>
      </w:r>
      <w:r w:rsidR="001A60A7">
        <w:rPr>
          <w:szCs w:val="28"/>
        </w:rPr>
        <w:t>there</w:t>
      </w:r>
      <w:r w:rsidR="0099556A">
        <w:rPr>
          <w:szCs w:val="28"/>
        </w:rPr>
        <w:t>with.</w:t>
      </w:r>
    </w:p>
    <w:p w:rsidR="002C10B1" w:rsidRDefault="002C10B1" w:rsidP="000F1BF0">
      <w:pPr>
        <w:rPr>
          <w:szCs w:val="28"/>
        </w:rPr>
      </w:pPr>
    </w:p>
    <w:p w:rsidR="00AF5716" w:rsidRDefault="00AF5716" w:rsidP="000F1BF0">
      <w:pPr>
        <w:rPr>
          <w:b/>
          <w:bCs/>
          <w:i/>
          <w:iCs/>
          <w:szCs w:val="28"/>
        </w:rPr>
      </w:pPr>
      <w:bookmarkStart w:id="3" w:name="_Hlk125637208"/>
    </w:p>
    <w:p w:rsidR="002C10B1" w:rsidRPr="002C10B1" w:rsidRDefault="002C10B1" w:rsidP="000F1BF0">
      <w:pPr>
        <w:rPr>
          <w:b/>
          <w:bCs/>
          <w:i/>
          <w:iCs/>
          <w:szCs w:val="28"/>
        </w:rPr>
      </w:pPr>
      <w:r w:rsidRPr="002C10B1">
        <w:rPr>
          <w:b/>
          <w:bCs/>
          <w:i/>
          <w:iCs/>
          <w:szCs w:val="28"/>
        </w:rPr>
        <w:lastRenderedPageBreak/>
        <w:t>Should the common law be developed?</w:t>
      </w:r>
    </w:p>
    <w:bookmarkEnd w:id="3"/>
    <w:p w:rsidR="001E5C9F" w:rsidRPr="00445498" w:rsidRDefault="00E36F01" w:rsidP="000F1BF0">
      <w:pPr>
        <w:rPr>
          <w:szCs w:val="28"/>
        </w:rPr>
      </w:pPr>
      <w:r>
        <w:rPr>
          <w:szCs w:val="28"/>
        </w:rPr>
        <w:t>[47</w:t>
      </w:r>
      <w:r w:rsidR="00E45769">
        <w:rPr>
          <w:szCs w:val="28"/>
        </w:rPr>
        <w:t>]</w:t>
      </w:r>
      <w:r w:rsidR="00E45769">
        <w:rPr>
          <w:szCs w:val="28"/>
        </w:rPr>
        <w:tab/>
      </w:r>
      <w:r w:rsidR="00FC716D">
        <w:rPr>
          <w:szCs w:val="28"/>
        </w:rPr>
        <w:t xml:space="preserve">In this part </w:t>
      </w:r>
      <w:r w:rsidR="002C10B1">
        <w:rPr>
          <w:szCs w:val="28"/>
        </w:rPr>
        <w:t>of the judgment, I intend to deal with the evidence led relating to the development of the common law</w:t>
      </w:r>
      <w:r w:rsidR="00AD040D">
        <w:rPr>
          <w:szCs w:val="28"/>
        </w:rPr>
        <w:t>,</w:t>
      </w:r>
      <w:r w:rsidR="002C10B1">
        <w:rPr>
          <w:szCs w:val="28"/>
        </w:rPr>
        <w:t xml:space="preserve"> and thereafter to deal with the question as to whether it ought to be developed, and whether this is supported by the evidence. </w:t>
      </w:r>
      <w:r w:rsidR="002C10B1" w:rsidRPr="00FE4965">
        <w:rPr>
          <w:szCs w:val="28"/>
        </w:rPr>
        <w:t xml:space="preserve">I </w:t>
      </w:r>
      <w:r w:rsidR="007E69A5" w:rsidRPr="00FE4965">
        <w:rPr>
          <w:szCs w:val="28"/>
        </w:rPr>
        <w:t>shall</w:t>
      </w:r>
      <w:r w:rsidR="002C10B1" w:rsidRPr="00FE4965">
        <w:rPr>
          <w:szCs w:val="28"/>
        </w:rPr>
        <w:t xml:space="preserve"> </w:t>
      </w:r>
      <w:r w:rsidR="007E69A5" w:rsidRPr="00FE4965">
        <w:rPr>
          <w:szCs w:val="28"/>
        </w:rPr>
        <w:t xml:space="preserve">also </w:t>
      </w:r>
      <w:r w:rsidR="002C10B1" w:rsidRPr="00FE4965">
        <w:rPr>
          <w:szCs w:val="28"/>
        </w:rPr>
        <w:t>deal with the disputed issue as to the standard at which the departmental services should be measured.</w:t>
      </w:r>
      <w:r w:rsidR="00E84806">
        <w:rPr>
          <w:szCs w:val="28"/>
        </w:rPr>
        <w:t xml:space="preserve">  </w:t>
      </w:r>
    </w:p>
    <w:p w:rsidR="001E5C9F" w:rsidRDefault="001E5C9F" w:rsidP="000F1BF0">
      <w:pPr>
        <w:rPr>
          <w:b/>
          <w:bCs/>
          <w:i/>
          <w:iCs/>
          <w:szCs w:val="28"/>
        </w:rPr>
      </w:pPr>
    </w:p>
    <w:p w:rsidR="005E31EB" w:rsidRPr="00E84806" w:rsidRDefault="002C10B1" w:rsidP="000F1BF0">
      <w:pPr>
        <w:rPr>
          <w:b/>
          <w:bCs/>
          <w:i/>
          <w:iCs/>
          <w:szCs w:val="28"/>
        </w:rPr>
      </w:pPr>
      <w:bookmarkStart w:id="4" w:name="_Hlk125637232"/>
      <w:r w:rsidRPr="002C10B1">
        <w:rPr>
          <w:b/>
          <w:bCs/>
          <w:i/>
          <w:iCs/>
          <w:szCs w:val="28"/>
        </w:rPr>
        <w:t>Evidence led for and against the development of the common-law</w:t>
      </w:r>
      <w:r w:rsidR="005E31EB">
        <w:rPr>
          <w:b/>
          <w:bCs/>
          <w:i/>
          <w:iCs/>
          <w:szCs w:val="28"/>
        </w:rPr>
        <w:t>.</w:t>
      </w:r>
    </w:p>
    <w:bookmarkEnd w:id="4"/>
    <w:p w:rsidR="001E5C9F" w:rsidRDefault="00E36F01" w:rsidP="000F1BF0">
      <w:pPr>
        <w:rPr>
          <w:szCs w:val="28"/>
        </w:rPr>
      </w:pPr>
      <w:r>
        <w:rPr>
          <w:szCs w:val="28"/>
        </w:rPr>
        <w:t>[48</w:t>
      </w:r>
      <w:r w:rsidR="00E45769">
        <w:rPr>
          <w:szCs w:val="28"/>
        </w:rPr>
        <w:t>]</w:t>
      </w:r>
      <w:r w:rsidR="00E45769">
        <w:rPr>
          <w:szCs w:val="28"/>
        </w:rPr>
        <w:tab/>
      </w:r>
      <w:r w:rsidR="001E5C9F">
        <w:rPr>
          <w:szCs w:val="28"/>
        </w:rPr>
        <w:t xml:space="preserve">In this regard the defendant led the evidence of Mr Donaldson, Mr </w:t>
      </w:r>
      <w:proofErr w:type="spellStart"/>
      <w:r w:rsidR="001E5C9F">
        <w:rPr>
          <w:szCs w:val="28"/>
        </w:rPr>
        <w:t>Frachet</w:t>
      </w:r>
      <w:proofErr w:type="spellEnd"/>
      <w:r w:rsidR="001E5C9F">
        <w:rPr>
          <w:szCs w:val="28"/>
        </w:rPr>
        <w:t xml:space="preserve">, </w:t>
      </w:r>
      <w:r w:rsidR="00215716">
        <w:rPr>
          <w:szCs w:val="28"/>
        </w:rPr>
        <w:t xml:space="preserve">Mr </w:t>
      </w:r>
      <w:proofErr w:type="spellStart"/>
      <w:r w:rsidR="00215716">
        <w:rPr>
          <w:szCs w:val="28"/>
        </w:rPr>
        <w:t>Howes</w:t>
      </w:r>
      <w:proofErr w:type="spellEnd"/>
      <w:r w:rsidR="00215716">
        <w:rPr>
          <w:szCs w:val="28"/>
        </w:rPr>
        <w:t xml:space="preserve"> </w:t>
      </w:r>
      <w:r w:rsidR="001E5C9F">
        <w:rPr>
          <w:szCs w:val="28"/>
        </w:rPr>
        <w:t xml:space="preserve">and to a lesser extent the evidence of Doctor Wagner. In rebuttal, the plaintiff led the evidence of Professor Van den </w:t>
      </w:r>
      <w:proofErr w:type="spellStart"/>
      <w:r w:rsidR="001E5C9F">
        <w:rPr>
          <w:szCs w:val="28"/>
        </w:rPr>
        <w:t>Heever</w:t>
      </w:r>
      <w:proofErr w:type="spellEnd"/>
      <w:r w:rsidR="001E5C9F">
        <w:rPr>
          <w:szCs w:val="28"/>
        </w:rPr>
        <w:t>.</w:t>
      </w:r>
    </w:p>
    <w:p w:rsidR="001E5C9F" w:rsidRDefault="001E5C9F" w:rsidP="000F1BF0">
      <w:pPr>
        <w:rPr>
          <w:szCs w:val="28"/>
        </w:rPr>
      </w:pPr>
    </w:p>
    <w:p w:rsidR="001E5C9F" w:rsidRDefault="001E5C9F" w:rsidP="000F1BF0">
      <w:pPr>
        <w:rPr>
          <w:b/>
          <w:bCs/>
          <w:i/>
          <w:iCs/>
          <w:szCs w:val="28"/>
        </w:rPr>
      </w:pPr>
      <w:r w:rsidRPr="001E5C9F">
        <w:rPr>
          <w:b/>
          <w:bCs/>
          <w:i/>
          <w:iCs/>
          <w:szCs w:val="28"/>
        </w:rPr>
        <w:t>Mr. Donaldson</w:t>
      </w:r>
    </w:p>
    <w:p w:rsidR="001E5C9F" w:rsidRDefault="00E36F01" w:rsidP="000F1BF0">
      <w:pPr>
        <w:rPr>
          <w:szCs w:val="28"/>
        </w:rPr>
      </w:pPr>
      <w:r>
        <w:rPr>
          <w:szCs w:val="28"/>
        </w:rPr>
        <w:t>[49</w:t>
      </w:r>
      <w:r w:rsidR="00E45769">
        <w:rPr>
          <w:szCs w:val="28"/>
        </w:rPr>
        <w:t>]</w:t>
      </w:r>
      <w:r w:rsidR="00E45769">
        <w:rPr>
          <w:szCs w:val="28"/>
        </w:rPr>
        <w:tab/>
      </w:r>
      <w:r w:rsidR="001E5C9F">
        <w:rPr>
          <w:szCs w:val="28"/>
        </w:rPr>
        <w:t xml:space="preserve">Mr. Donaldson holds an </w:t>
      </w:r>
      <w:proofErr w:type="spellStart"/>
      <w:proofErr w:type="gramStart"/>
      <w:r w:rsidR="001E5C9F">
        <w:rPr>
          <w:szCs w:val="28"/>
        </w:rPr>
        <w:t>M.Phil</w:t>
      </w:r>
      <w:proofErr w:type="spellEnd"/>
      <w:proofErr w:type="gramEnd"/>
      <w:r w:rsidR="001E5C9F">
        <w:rPr>
          <w:szCs w:val="28"/>
        </w:rPr>
        <w:t xml:space="preserve"> Economics degree from Cambridge University amongst various other qualifications.</w:t>
      </w:r>
      <w:r w:rsidR="00845CE1">
        <w:rPr>
          <w:szCs w:val="28"/>
        </w:rPr>
        <w:t xml:space="preserve"> He has had extensive academic experience and is presently a Senior Research Associate at the University of Cape Town’s Economics </w:t>
      </w:r>
      <w:r w:rsidR="001A60A7">
        <w:rPr>
          <w:szCs w:val="28"/>
        </w:rPr>
        <w:t>D</w:t>
      </w:r>
      <w:r w:rsidR="00845CE1">
        <w:rPr>
          <w:szCs w:val="28"/>
        </w:rPr>
        <w:t xml:space="preserve">epartment. He has held senior positions in the National Treasury and the former Department of Finance </w:t>
      </w:r>
      <w:r w:rsidR="001A60A7">
        <w:rPr>
          <w:szCs w:val="28"/>
        </w:rPr>
        <w:t>over</w:t>
      </w:r>
      <w:r w:rsidR="00845CE1">
        <w:rPr>
          <w:szCs w:val="28"/>
        </w:rPr>
        <w:t xml:space="preserve"> a period of some 23 years. He has worked extensively in the fields of public finance, expenditure planning and budget coordination. He has also researched and published widely in the fields of social services, health and education.</w:t>
      </w:r>
    </w:p>
    <w:p w:rsidR="00845CE1" w:rsidRDefault="00845CE1" w:rsidP="000F1BF0">
      <w:pPr>
        <w:rPr>
          <w:szCs w:val="28"/>
        </w:rPr>
      </w:pPr>
    </w:p>
    <w:p w:rsidR="00845CE1" w:rsidRDefault="00E36F01" w:rsidP="000F1BF0">
      <w:pPr>
        <w:rPr>
          <w:szCs w:val="28"/>
        </w:rPr>
      </w:pPr>
      <w:r>
        <w:rPr>
          <w:szCs w:val="28"/>
        </w:rPr>
        <w:t>[50</w:t>
      </w:r>
      <w:r w:rsidR="00E45769">
        <w:rPr>
          <w:szCs w:val="28"/>
        </w:rPr>
        <w:t>]</w:t>
      </w:r>
      <w:r w:rsidR="00E45769">
        <w:rPr>
          <w:szCs w:val="28"/>
        </w:rPr>
        <w:tab/>
      </w:r>
      <w:r w:rsidR="00845CE1">
        <w:rPr>
          <w:szCs w:val="28"/>
        </w:rPr>
        <w:t xml:space="preserve">He testified that state resources are unavoidably constrained when one </w:t>
      </w:r>
      <w:r w:rsidR="00CE0105">
        <w:rPr>
          <w:szCs w:val="28"/>
        </w:rPr>
        <w:t>considers</w:t>
      </w:r>
      <w:r w:rsidR="00845CE1">
        <w:rPr>
          <w:szCs w:val="28"/>
        </w:rPr>
        <w:t xml:space="preserve"> the range and diversity of possible purposes or uses to which they may, or ought</w:t>
      </w:r>
      <w:r w:rsidR="00CE0105">
        <w:rPr>
          <w:szCs w:val="28"/>
        </w:rPr>
        <w:t>,</w:t>
      </w:r>
      <w:r w:rsidR="00845CE1">
        <w:rPr>
          <w:szCs w:val="28"/>
        </w:rPr>
        <w:t xml:space="preserve"> to be put. Society has a range of needs which require to be prioritized and if it is to meet its needs and to advance the social and economic well-being </w:t>
      </w:r>
      <w:r w:rsidR="00845CE1">
        <w:rPr>
          <w:szCs w:val="28"/>
        </w:rPr>
        <w:lastRenderedPageBreak/>
        <w:t xml:space="preserve">of its people, the state must use the resources at its disposal both efficiently and effectively. Professor Van den </w:t>
      </w:r>
      <w:proofErr w:type="spellStart"/>
      <w:r w:rsidR="00845CE1">
        <w:rPr>
          <w:szCs w:val="28"/>
        </w:rPr>
        <w:t>Heever</w:t>
      </w:r>
      <w:proofErr w:type="spellEnd"/>
      <w:r w:rsidR="00845CE1">
        <w:rPr>
          <w:szCs w:val="28"/>
        </w:rPr>
        <w:t xml:space="preserve"> largely accepted these propositions adding that the public health system would never not be “resource constrained”.</w:t>
      </w:r>
    </w:p>
    <w:p w:rsidR="00845CE1" w:rsidRDefault="00845CE1" w:rsidP="000F1BF0">
      <w:pPr>
        <w:rPr>
          <w:szCs w:val="28"/>
        </w:rPr>
      </w:pPr>
    </w:p>
    <w:p w:rsidR="00845CE1" w:rsidRDefault="00E36F01" w:rsidP="000F1BF0">
      <w:pPr>
        <w:rPr>
          <w:szCs w:val="28"/>
        </w:rPr>
      </w:pPr>
      <w:r>
        <w:rPr>
          <w:szCs w:val="28"/>
        </w:rPr>
        <w:t>[51</w:t>
      </w:r>
      <w:r w:rsidR="00E45769">
        <w:rPr>
          <w:szCs w:val="28"/>
        </w:rPr>
        <w:t>]</w:t>
      </w:r>
      <w:r w:rsidR="00E45769">
        <w:rPr>
          <w:szCs w:val="28"/>
        </w:rPr>
        <w:tab/>
      </w:r>
      <w:r w:rsidR="00845CE1">
        <w:rPr>
          <w:szCs w:val="28"/>
        </w:rPr>
        <w:t>Mr Donaldson further made the point that the state resources are, whilst substantial, held in stewardship on behalf of the wider community.</w:t>
      </w:r>
      <w:r w:rsidR="006667ED">
        <w:rPr>
          <w:szCs w:val="28"/>
        </w:rPr>
        <w:t xml:space="preserve"> He said that it is not the state that ultimately suffers loss if unreasonable, excessive or unnecessary payments are made for particular purposes, it is the state’s capacity to meet its obligations that is diminished, including its constitutional obligations.</w:t>
      </w:r>
    </w:p>
    <w:p w:rsidR="005D6F91" w:rsidRDefault="005D6F91" w:rsidP="000F1BF0">
      <w:pPr>
        <w:rPr>
          <w:szCs w:val="28"/>
        </w:rPr>
      </w:pPr>
    </w:p>
    <w:p w:rsidR="0041284C" w:rsidRDefault="00E36F01" w:rsidP="000F1BF0">
      <w:pPr>
        <w:rPr>
          <w:szCs w:val="28"/>
        </w:rPr>
      </w:pPr>
      <w:r>
        <w:rPr>
          <w:szCs w:val="28"/>
        </w:rPr>
        <w:t>[52</w:t>
      </w:r>
      <w:r w:rsidR="00E45769">
        <w:rPr>
          <w:szCs w:val="28"/>
        </w:rPr>
        <w:t>]</w:t>
      </w:r>
      <w:r w:rsidR="00E45769">
        <w:rPr>
          <w:szCs w:val="28"/>
        </w:rPr>
        <w:tab/>
      </w:r>
      <w:r w:rsidR="005D6F91">
        <w:rPr>
          <w:szCs w:val="28"/>
        </w:rPr>
        <w:t xml:space="preserve">He stated further that in determining whether the common law regulating payment of </w:t>
      </w:r>
      <w:proofErr w:type="spellStart"/>
      <w:r w:rsidR="005D6F91">
        <w:rPr>
          <w:szCs w:val="28"/>
        </w:rPr>
        <w:t>delictual</w:t>
      </w:r>
      <w:proofErr w:type="spellEnd"/>
      <w:r w:rsidR="005D6F91">
        <w:rPr>
          <w:szCs w:val="28"/>
        </w:rPr>
        <w:t xml:space="preserve"> damages should be developed, the capacity of the state to meet its manifold other obligations is a relevant consideration. Compensation which is paid in any particular instance is a charge of equivalent value against the state’s capacity to meet other social, economic or developmental obligations – as is implicit in the economic concept of “opportunity cost”. He explained that opportunity cost refers to “the things that might otherwise be done if spending was not allocated to any particular purpose”. It is relevant to these court proceedings </w:t>
      </w:r>
      <w:r w:rsidR="00CE0105">
        <w:rPr>
          <w:szCs w:val="28"/>
        </w:rPr>
        <w:t>in</w:t>
      </w:r>
      <w:r w:rsidR="005D6F91">
        <w:rPr>
          <w:szCs w:val="28"/>
        </w:rPr>
        <w:t xml:space="preserve"> that by making an award “there is a sense in which the court takes on that responsibility that otherwise would be exercised by a treasury”.</w:t>
      </w:r>
    </w:p>
    <w:p w:rsidR="0041284C" w:rsidRDefault="0041284C" w:rsidP="000F1BF0">
      <w:pPr>
        <w:rPr>
          <w:szCs w:val="28"/>
        </w:rPr>
      </w:pPr>
    </w:p>
    <w:p w:rsidR="005D6F91" w:rsidRDefault="00E36F01" w:rsidP="000F1BF0">
      <w:pPr>
        <w:rPr>
          <w:szCs w:val="28"/>
        </w:rPr>
      </w:pPr>
      <w:r>
        <w:rPr>
          <w:szCs w:val="28"/>
        </w:rPr>
        <w:t>[53</w:t>
      </w:r>
      <w:r w:rsidR="00054306">
        <w:rPr>
          <w:szCs w:val="28"/>
        </w:rPr>
        <w:t>]</w:t>
      </w:r>
      <w:r w:rsidR="00054306">
        <w:rPr>
          <w:szCs w:val="28"/>
        </w:rPr>
        <w:tab/>
      </w:r>
      <w:r w:rsidR="005D6F91">
        <w:rPr>
          <w:szCs w:val="28"/>
        </w:rPr>
        <w:t>He</w:t>
      </w:r>
      <w:r w:rsidR="00F113D8">
        <w:rPr>
          <w:szCs w:val="28"/>
        </w:rPr>
        <w:t xml:space="preserve"> </w:t>
      </w:r>
      <w:r w:rsidR="005D6F91">
        <w:rPr>
          <w:szCs w:val="28"/>
        </w:rPr>
        <w:t>explained that the cost of claims against an organ of state are expected to be made from within the available baseline of expenditure allocations to that organ of state. In exceptional circumstances however</w:t>
      </w:r>
      <w:r w:rsidR="00CE0105">
        <w:rPr>
          <w:szCs w:val="28"/>
        </w:rPr>
        <w:t>,</w:t>
      </w:r>
      <w:r w:rsidR="005D6F91">
        <w:rPr>
          <w:szCs w:val="28"/>
        </w:rPr>
        <w:t xml:space="preserve"> taking into account the impact of such claims on service delivery, a provincial treasury or </w:t>
      </w:r>
      <w:r w:rsidR="00EE230A">
        <w:rPr>
          <w:szCs w:val="28"/>
        </w:rPr>
        <w:t>expenditure planning committee might recommend an addition to baseline for the purposes of meeting or partially meeting compensation claims.</w:t>
      </w:r>
    </w:p>
    <w:p w:rsidR="0041284C" w:rsidRDefault="0041284C" w:rsidP="000F1BF0">
      <w:pPr>
        <w:rPr>
          <w:szCs w:val="28"/>
        </w:rPr>
      </w:pPr>
    </w:p>
    <w:p w:rsidR="0041284C" w:rsidRDefault="00E36F01" w:rsidP="000F1BF0">
      <w:pPr>
        <w:rPr>
          <w:szCs w:val="28"/>
        </w:rPr>
      </w:pPr>
      <w:r>
        <w:rPr>
          <w:szCs w:val="28"/>
        </w:rPr>
        <w:t>[54</w:t>
      </w:r>
      <w:r w:rsidR="00054306">
        <w:rPr>
          <w:szCs w:val="28"/>
        </w:rPr>
        <w:t>]</w:t>
      </w:r>
      <w:r w:rsidR="00054306">
        <w:rPr>
          <w:szCs w:val="28"/>
        </w:rPr>
        <w:tab/>
      </w:r>
      <w:r w:rsidR="0041284C">
        <w:rPr>
          <w:szCs w:val="28"/>
        </w:rPr>
        <w:t>Regarding the constitutional defences as pleaded, his view was that in circumstances where there exist material uncertainties about future costs and requirements</w:t>
      </w:r>
      <w:r w:rsidR="00356B7F">
        <w:rPr>
          <w:szCs w:val="28"/>
        </w:rPr>
        <w:t>,</w:t>
      </w:r>
      <w:r w:rsidR="0041284C">
        <w:rPr>
          <w:szCs w:val="28"/>
        </w:rPr>
        <w:t xml:space="preserve"> such defences are consistent with the requirements of economy, efficiency and effectiveness to which the state is obliged to adhere. They are also consistent with the constitutional and statutory obligations pertaining to the management of public finance.</w:t>
      </w:r>
      <w:r w:rsidR="00F41A1E">
        <w:rPr>
          <w:szCs w:val="28"/>
        </w:rPr>
        <w:t xml:space="preserve"> Under cross examination he emphasized that in his view this position remained extant irrespective as to </w:t>
      </w:r>
      <w:r w:rsidR="00CE0105">
        <w:rPr>
          <w:szCs w:val="28"/>
        </w:rPr>
        <w:t>whether</w:t>
      </w:r>
      <w:r w:rsidR="00F41A1E">
        <w:rPr>
          <w:szCs w:val="28"/>
        </w:rPr>
        <w:t xml:space="preserve"> a particular department was facing </w:t>
      </w:r>
      <w:r w:rsidR="00FF6584">
        <w:rPr>
          <w:szCs w:val="28"/>
        </w:rPr>
        <w:t xml:space="preserve">elevated </w:t>
      </w:r>
      <w:r w:rsidR="00F41A1E">
        <w:rPr>
          <w:szCs w:val="28"/>
        </w:rPr>
        <w:t xml:space="preserve">financial challenges </w:t>
      </w:r>
      <w:r w:rsidR="00F113D8">
        <w:rPr>
          <w:szCs w:val="28"/>
        </w:rPr>
        <w:t>such as</w:t>
      </w:r>
      <w:r w:rsidR="00F41A1E">
        <w:rPr>
          <w:szCs w:val="28"/>
        </w:rPr>
        <w:t xml:space="preserve"> the defendant department, as compared with other provinces that did not face quite such high or extensive claims.</w:t>
      </w:r>
      <w:r w:rsidR="00356B7F">
        <w:rPr>
          <w:szCs w:val="28"/>
        </w:rPr>
        <w:t xml:space="preserve"> In essence, these defences would bring the court system into</w:t>
      </w:r>
      <w:r w:rsidR="0083432E">
        <w:rPr>
          <w:szCs w:val="28"/>
        </w:rPr>
        <w:t xml:space="preserve"> sync with the way the budgetary and appropriation of funds systems operate in terms of the Constitution, through the national and provincial treasuries.</w:t>
      </w:r>
    </w:p>
    <w:p w:rsidR="00FF6584" w:rsidRDefault="00FF6584" w:rsidP="000F1BF0">
      <w:pPr>
        <w:rPr>
          <w:szCs w:val="28"/>
        </w:rPr>
      </w:pPr>
    </w:p>
    <w:p w:rsidR="00FF6584" w:rsidRDefault="00E36F01" w:rsidP="000F1BF0">
      <w:pPr>
        <w:rPr>
          <w:szCs w:val="28"/>
        </w:rPr>
      </w:pPr>
      <w:r>
        <w:rPr>
          <w:szCs w:val="28"/>
        </w:rPr>
        <w:t>[55</w:t>
      </w:r>
      <w:r w:rsidR="00054306">
        <w:rPr>
          <w:szCs w:val="28"/>
        </w:rPr>
        <w:t>]</w:t>
      </w:r>
      <w:r w:rsidR="00054306">
        <w:rPr>
          <w:szCs w:val="28"/>
        </w:rPr>
        <w:tab/>
      </w:r>
      <w:r w:rsidR="00FF6584">
        <w:rPr>
          <w:szCs w:val="28"/>
        </w:rPr>
        <w:t>He said that an advantage of a commitment to meet</w:t>
      </w:r>
      <w:r w:rsidR="00075B2C">
        <w:rPr>
          <w:szCs w:val="28"/>
        </w:rPr>
        <w:t>ing</w:t>
      </w:r>
      <w:r w:rsidR="00FF6584">
        <w:rPr>
          <w:szCs w:val="28"/>
        </w:rPr>
        <w:t xml:space="preserve"> service needs as they arise is that one can reduce the uncertainty involved in courts having to estimate and predict future needs when awarding upfront payments. Resulting from this, is a cost-effectiveness argument in favour of an approach that focuses on meeting needs as they arise.</w:t>
      </w:r>
    </w:p>
    <w:p w:rsidR="00FF6584" w:rsidRDefault="00FF6584" w:rsidP="000F1BF0">
      <w:pPr>
        <w:rPr>
          <w:szCs w:val="28"/>
        </w:rPr>
      </w:pPr>
    </w:p>
    <w:p w:rsidR="00FF6584" w:rsidRDefault="00E36F01" w:rsidP="000F1BF0">
      <w:pPr>
        <w:rPr>
          <w:szCs w:val="28"/>
        </w:rPr>
      </w:pPr>
      <w:r>
        <w:rPr>
          <w:szCs w:val="28"/>
        </w:rPr>
        <w:t>[56</w:t>
      </w:r>
      <w:r w:rsidR="00054306">
        <w:rPr>
          <w:szCs w:val="28"/>
        </w:rPr>
        <w:t>]</w:t>
      </w:r>
      <w:r w:rsidR="00054306">
        <w:rPr>
          <w:szCs w:val="28"/>
        </w:rPr>
        <w:tab/>
      </w:r>
      <w:r w:rsidR="00552287">
        <w:rPr>
          <w:szCs w:val="28"/>
        </w:rPr>
        <w:t>Mr Donaldson agreed that there were instances where it would be sensible to settle certain aspects of damages claims upfront, such as general damages. However, an undertaking to provide services or to pay when the expenses arise would enable the department to better match its actual expenditure to needs and to adapt those commitments over time if needed. He also stressed that in his view an added benefit of moving to a pay-as-you-go basis, is that the parties are likely to settle claims sooner.</w:t>
      </w:r>
    </w:p>
    <w:p w:rsidR="00552287" w:rsidRDefault="00552287" w:rsidP="000F1BF0">
      <w:pPr>
        <w:rPr>
          <w:szCs w:val="28"/>
        </w:rPr>
      </w:pPr>
    </w:p>
    <w:p w:rsidR="00552287" w:rsidRDefault="00E36F01" w:rsidP="000F1BF0">
      <w:pPr>
        <w:rPr>
          <w:szCs w:val="28"/>
        </w:rPr>
      </w:pPr>
      <w:r>
        <w:rPr>
          <w:szCs w:val="28"/>
        </w:rPr>
        <w:t>[57</w:t>
      </w:r>
      <w:r w:rsidR="00054306">
        <w:rPr>
          <w:szCs w:val="28"/>
        </w:rPr>
        <w:t>]</w:t>
      </w:r>
      <w:r w:rsidR="00054306">
        <w:rPr>
          <w:szCs w:val="28"/>
        </w:rPr>
        <w:tab/>
      </w:r>
      <w:r w:rsidR="00552287">
        <w:rPr>
          <w:szCs w:val="28"/>
        </w:rPr>
        <w:t xml:space="preserve">Mr Donaldson further described the restrictive budgetary forecast which is faced by the department in that in the present fiscal consolidation phase the country is experiencing limited budgetary increases both in the national and provincial departments. In the foreseeable future, government departments face considerable resource limitations even in nominal numbers which do not take inflation into account. Indeed, he said that the department is already “in a state of considerable financial stress” which in turn leads to stresses </w:t>
      </w:r>
      <w:r w:rsidR="000E0C16">
        <w:rPr>
          <w:szCs w:val="28"/>
        </w:rPr>
        <w:t>within the facilities</w:t>
      </w:r>
      <w:r w:rsidR="00552287">
        <w:rPr>
          <w:szCs w:val="28"/>
        </w:rPr>
        <w:t xml:space="preserve"> such as congestion, excess demands</w:t>
      </w:r>
      <w:r w:rsidR="005836F3">
        <w:rPr>
          <w:szCs w:val="28"/>
        </w:rPr>
        <w:t xml:space="preserve">, </w:t>
      </w:r>
      <w:r w:rsidR="00552287">
        <w:rPr>
          <w:szCs w:val="28"/>
        </w:rPr>
        <w:t>busy hospitals</w:t>
      </w:r>
      <w:r w:rsidR="00F67E3C">
        <w:rPr>
          <w:szCs w:val="28"/>
        </w:rPr>
        <w:t xml:space="preserve"> and</w:t>
      </w:r>
      <w:r w:rsidR="00552287">
        <w:rPr>
          <w:szCs w:val="28"/>
        </w:rPr>
        <w:t xml:space="preserve"> challenges maintaining assets</w:t>
      </w:r>
      <w:r w:rsidR="005836F3">
        <w:rPr>
          <w:szCs w:val="28"/>
        </w:rPr>
        <w:t>,</w:t>
      </w:r>
      <w:r w:rsidR="00552287">
        <w:rPr>
          <w:szCs w:val="28"/>
        </w:rPr>
        <w:t xml:space="preserve"> </w:t>
      </w:r>
      <w:r w:rsidR="00661B22">
        <w:rPr>
          <w:szCs w:val="28"/>
        </w:rPr>
        <w:t>am</w:t>
      </w:r>
      <w:r w:rsidR="00F67E3C">
        <w:rPr>
          <w:szCs w:val="28"/>
        </w:rPr>
        <w:t>ongst others</w:t>
      </w:r>
      <w:r w:rsidR="00552287">
        <w:rPr>
          <w:szCs w:val="28"/>
        </w:rPr>
        <w:t>.</w:t>
      </w:r>
    </w:p>
    <w:p w:rsidR="000E0C16" w:rsidRDefault="000E0C16" w:rsidP="000F1BF0">
      <w:pPr>
        <w:rPr>
          <w:szCs w:val="28"/>
        </w:rPr>
      </w:pPr>
    </w:p>
    <w:p w:rsidR="000E0C16" w:rsidRDefault="00E36F01" w:rsidP="000F1BF0">
      <w:pPr>
        <w:rPr>
          <w:szCs w:val="28"/>
        </w:rPr>
      </w:pPr>
      <w:r>
        <w:rPr>
          <w:szCs w:val="28"/>
        </w:rPr>
        <w:t>[58</w:t>
      </w:r>
      <w:r w:rsidR="00054306">
        <w:rPr>
          <w:szCs w:val="28"/>
        </w:rPr>
        <w:t>]</w:t>
      </w:r>
      <w:r w:rsidR="00054306">
        <w:rPr>
          <w:szCs w:val="28"/>
        </w:rPr>
        <w:tab/>
      </w:r>
      <w:r w:rsidR="000E0C16">
        <w:rPr>
          <w:szCs w:val="28"/>
        </w:rPr>
        <w:t xml:space="preserve">He also pointed to the fact that medical negligence claims against the state are rising </w:t>
      </w:r>
      <w:r w:rsidR="00451D4B">
        <w:rPr>
          <w:szCs w:val="28"/>
        </w:rPr>
        <w:t>even though</w:t>
      </w:r>
      <w:r w:rsidR="000E0C16">
        <w:rPr>
          <w:szCs w:val="28"/>
        </w:rPr>
        <w:t xml:space="preserve"> the</w:t>
      </w:r>
      <w:r w:rsidR="00CE0105">
        <w:rPr>
          <w:szCs w:val="28"/>
        </w:rPr>
        <w:t>re</w:t>
      </w:r>
      <w:r w:rsidR="000E0C16">
        <w:rPr>
          <w:szCs w:val="28"/>
        </w:rPr>
        <w:t xml:space="preserve"> have been improvements in services. In this context, he described how</w:t>
      </w:r>
      <w:r w:rsidR="005836F3">
        <w:rPr>
          <w:szCs w:val="28"/>
        </w:rPr>
        <w:t xml:space="preserve"> the</w:t>
      </w:r>
      <w:r w:rsidR="000E0C16">
        <w:rPr>
          <w:szCs w:val="28"/>
        </w:rPr>
        <w:t xml:space="preserve"> public healthcare service provides primary, secondary and tertiary services, largely without charge, to over 80% of South Africa’s population. As at 2018, this represented approximately 48 million adults and children and involved approximately 120 million primary health care visits per </w:t>
      </w:r>
      <w:r w:rsidR="000A7A11">
        <w:rPr>
          <w:szCs w:val="28"/>
        </w:rPr>
        <w:t>annum</w:t>
      </w:r>
      <w:r w:rsidR="000E0C16">
        <w:rPr>
          <w:szCs w:val="28"/>
        </w:rPr>
        <w:t xml:space="preserve"> over 32 million hospital patient days.</w:t>
      </w:r>
    </w:p>
    <w:p w:rsidR="000E0C16" w:rsidRDefault="000E0C16" w:rsidP="000F1BF0">
      <w:pPr>
        <w:rPr>
          <w:szCs w:val="28"/>
        </w:rPr>
      </w:pPr>
    </w:p>
    <w:p w:rsidR="000E0C16" w:rsidRDefault="00E36F01" w:rsidP="000F1BF0">
      <w:pPr>
        <w:rPr>
          <w:szCs w:val="28"/>
        </w:rPr>
      </w:pPr>
      <w:r>
        <w:rPr>
          <w:szCs w:val="28"/>
        </w:rPr>
        <w:t>[59</w:t>
      </w:r>
      <w:r w:rsidR="00054306">
        <w:rPr>
          <w:szCs w:val="28"/>
        </w:rPr>
        <w:t>]</w:t>
      </w:r>
      <w:r w:rsidR="00054306">
        <w:rPr>
          <w:szCs w:val="28"/>
        </w:rPr>
        <w:tab/>
      </w:r>
      <w:r w:rsidR="000E0C16">
        <w:rPr>
          <w:szCs w:val="28"/>
        </w:rPr>
        <w:t xml:space="preserve">Because approximately 92% to 93% of the population in the Eastern Cape is uninsured, approximately 6,726,000 people are therefore reliant on the health department which is considerably higher than Gauteng and the Western Cape. However, over the long term there has been improvement in health service delivery </w:t>
      </w:r>
      <w:r w:rsidR="00CE0105">
        <w:rPr>
          <w:szCs w:val="28"/>
        </w:rPr>
        <w:t>with</w:t>
      </w:r>
      <w:r w:rsidR="000E0C16">
        <w:rPr>
          <w:szCs w:val="28"/>
        </w:rPr>
        <w:t xml:space="preserve"> reference to improvements in the under-five mortality rate, infant mortality, early neonatal death</w:t>
      </w:r>
      <w:r w:rsidR="00C82E02">
        <w:rPr>
          <w:szCs w:val="28"/>
        </w:rPr>
        <w:t>s</w:t>
      </w:r>
      <w:r w:rsidR="000E0C16">
        <w:rPr>
          <w:szCs w:val="28"/>
        </w:rPr>
        <w:t xml:space="preserve"> and the proportion of births which occur in health facilities. Despite improvements in healthcare services over time, several </w:t>
      </w:r>
      <w:r w:rsidR="000E0C16">
        <w:rPr>
          <w:szCs w:val="28"/>
        </w:rPr>
        <w:lastRenderedPageBreak/>
        <w:t>provinces have experienced rapid increases in medical negligence claims, particularly the Eastern Cape.</w:t>
      </w:r>
    </w:p>
    <w:p w:rsidR="000E0C16" w:rsidRDefault="000E0C16" w:rsidP="000F1BF0">
      <w:pPr>
        <w:rPr>
          <w:szCs w:val="28"/>
        </w:rPr>
      </w:pPr>
    </w:p>
    <w:p w:rsidR="000E0C16" w:rsidRDefault="00E36F01" w:rsidP="000F1BF0">
      <w:pPr>
        <w:rPr>
          <w:szCs w:val="28"/>
        </w:rPr>
      </w:pPr>
      <w:r>
        <w:rPr>
          <w:szCs w:val="28"/>
        </w:rPr>
        <w:t>[60</w:t>
      </w:r>
      <w:r w:rsidR="00054306">
        <w:rPr>
          <w:szCs w:val="28"/>
        </w:rPr>
        <w:t>]</w:t>
      </w:r>
      <w:r w:rsidR="00054306">
        <w:rPr>
          <w:szCs w:val="28"/>
        </w:rPr>
        <w:tab/>
      </w:r>
      <w:r w:rsidR="000E0C16">
        <w:rPr>
          <w:szCs w:val="28"/>
        </w:rPr>
        <w:t>The contingent liability in respect of medico</w:t>
      </w:r>
      <w:r w:rsidR="00ED2ED8">
        <w:rPr>
          <w:szCs w:val="28"/>
        </w:rPr>
        <w:t>-</w:t>
      </w:r>
      <w:r w:rsidR="000E0C16">
        <w:rPr>
          <w:szCs w:val="28"/>
        </w:rPr>
        <w:t xml:space="preserve">legal claims lodged increased in the Eastern Cape from about R3.5 billion in 2013/2014 to R16.7 </w:t>
      </w:r>
      <w:r w:rsidR="00D6657E">
        <w:rPr>
          <w:szCs w:val="28"/>
        </w:rPr>
        <w:t>billion</w:t>
      </w:r>
      <w:r w:rsidR="000E0C16">
        <w:rPr>
          <w:szCs w:val="28"/>
        </w:rPr>
        <w:t xml:space="preserve"> in 201</w:t>
      </w:r>
      <w:r w:rsidR="00E302A8">
        <w:rPr>
          <w:szCs w:val="28"/>
        </w:rPr>
        <w:t xml:space="preserve">6/2017 and up </w:t>
      </w:r>
      <w:r w:rsidR="000E0C16">
        <w:rPr>
          <w:szCs w:val="28"/>
        </w:rPr>
        <w:t>to R</w:t>
      </w:r>
      <w:r w:rsidR="00D6657E">
        <w:rPr>
          <w:szCs w:val="28"/>
        </w:rPr>
        <w:t>38.8 billion</w:t>
      </w:r>
      <w:r w:rsidR="000E0C16">
        <w:rPr>
          <w:szCs w:val="28"/>
        </w:rPr>
        <w:t xml:space="preserve"> as</w:t>
      </w:r>
      <w:r w:rsidR="00D6657E">
        <w:rPr>
          <w:szCs w:val="28"/>
        </w:rPr>
        <w:t xml:space="preserve"> </w:t>
      </w:r>
      <w:r w:rsidR="000E0C16">
        <w:rPr>
          <w:szCs w:val="28"/>
        </w:rPr>
        <w:t>31 March 2020.</w:t>
      </w:r>
      <w:r w:rsidR="00D6657E">
        <w:rPr>
          <w:szCs w:val="28"/>
        </w:rPr>
        <w:t xml:space="preserve"> He added that the proportion of claims in the Eastern Cape is considerably higher than in most other provinces. In the most recent financial year in which financial statements had been finalized, almost </w:t>
      </w:r>
      <w:r w:rsidR="00FD406B">
        <w:rPr>
          <w:szCs w:val="28"/>
        </w:rPr>
        <w:t>R</w:t>
      </w:r>
      <w:r w:rsidR="00D6657E">
        <w:rPr>
          <w:szCs w:val="28"/>
        </w:rPr>
        <w:t>1 billion had been spent by the department in actual pay-outs.</w:t>
      </w:r>
    </w:p>
    <w:p w:rsidR="00D6657E" w:rsidRDefault="00D6657E" w:rsidP="000F1BF0">
      <w:pPr>
        <w:rPr>
          <w:szCs w:val="28"/>
        </w:rPr>
      </w:pPr>
    </w:p>
    <w:p w:rsidR="00D6657E" w:rsidRDefault="00E36F01" w:rsidP="000F1BF0">
      <w:pPr>
        <w:rPr>
          <w:szCs w:val="28"/>
        </w:rPr>
      </w:pPr>
      <w:r>
        <w:rPr>
          <w:szCs w:val="28"/>
        </w:rPr>
        <w:t>[61</w:t>
      </w:r>
      <w:r w:rsidR="00054306">
        <w:rPr>
          <w:szCs w:val="28"/>
        </w:rPr>
        <w:t>]</w:t>
      </w:r>
      <w:r w:rsidR="00054306">
        <w:rPr>
          <w:szCs w:val="28"/>
        </w:rPr>
        <w:tab/>
      </w:r>
      <w:r w:rsidR="00D6657E">
        <w:rPr>
          <w:szCs w:val="28"/>
        </w:rPr>
        <w:t xml:space="preserve">According to Mr Donaldson, the accumulated contingent liability in respect of medical negligence claims against health departments countrywide amounted to over 40% of the 2018/2019 public health spending nationally. The increasing claims against provincial health departments between 2018 </w:t>
      </w:r>
      <w:r w:rsidR="000A7A11">
        <w:rPr>
          <w:szCs w:val="28"/>
        </w:rPr>
        <w:t>and</w:t>
      </w:r>
      <w:r w:rsidR="00D6657E">
        <w:rPr>
          <w:szCs w:val="28"/>
        </w:rPr>
        <w:t xml:space="preserve"> 2019 was 24%, whereas the resources available to provincial health departments are increasing between 7% and 8% </w:t>
      </w:r>
      <w:r w:rsidR="00FD406B">
        <w:rPr>
          <w:szCs w:val="28"/>
        </w:rPr>
        <w:t>per</w:t>
      </w:r>
      <w:r w:rsidR="00D6657E">
        <w:rPr>
          <w:szCs w:val="28"/>
        </w:rPr>
        <w:t xml:space="preserve"> year, or 2% to 3% per annum in real terms. He added that, whilst there existed some uncertainty in this regard and that not all lodged claims would indeed materialize, it was clear that the claims are increasing considerably faster than available resources.</w:t>
      </w:r>
    </w:p>
    <w:p w:rsidR="00D6657E" w:rsidRDefault="00D6657E" w:rsidP="000F1BF0">
      <w:pPr>
        <w:rPr>
          <w:szCs w:val="28"/>
        </w:rPr>
      </w:pPr>
    </w:p>
    <w:p w:rsidR="003661FD" w:rsidRDefault="00E36F01" w:rsidP="000F1BF0">
      <w:pPr>
        <w:rPr>
          <w:szCs w:val="28"/>
        </w:rPr>
      </w:pPr>
      <w:r>
        <w:rPr>
          <w:szCs w:val="28"/>
        </w:rPr>
        <w:t>[62</w:t>
      </w:r>
      <w:r w:rsidR="00C22DE3">
        <w:rPr>
          <w:szCs w:val="28"/>
        </w:rPr>
        <w:t>]</w:t>
      </w:r>
      <w:r w:rsidR="00C22DE3">
        <w:rPr>
          <w:szCs w:val="28"/>
        </w:rPr>
        <w:tab/>
      </w:r>
      <w:r w:rsidR="00D6657E">
        <w:rPr>
          <w:szCs w:val="28"/>
        </w:rPr>
        <w:t>He</w:t>
      </w:r>
      <w:r w:rsidR="00FD406B">
        <w:rPr>
          <w:szCs w:val="28"/>
        </w:rPr>
        <w:t xml:space="preserve"> also</w:t>
      </w:r>
      <w:r w:rsidR="00D6657E">
        <w:rPr>
          <w:szCs w:val="28"/>
        </w:rPr>
        <w:t xml:space="preserve"> stressed</w:t>
      </w:r>
      <w:r w:rsidR="00AC220A">
        <w:rPr>
          <w:szCs w:val="28"/>
        </w:rPr>
        <w:t xml:space="preserve"> the point that claims are increasing more than the budget increase. In this regard, he said in his report </w:t>
      </w:r>
      <w:r w:rsidR="00D6657E">
        <w:rPr>
          <w:szCs w:val="28"/>
        </w:rPr>
        <w:t xml:space="preserve">that </w:t>
      </w:r>
      <w:r w:rsidR="00AC220A">
        <w:rPr>
          <w:szCs w:val="28"/>
        </w:rPr>
        <w:t>“Although</w:t>
      </w:r>
      <w:r w:rsidR="00D6657E">
        <w:rPr>
          <w:szCs w:val="28"/>
        </w:rPr>
        <w:t xml:space="preserve"> not all claims result in awards against the </w:t>
      </w:r>
      <w:r w:rsidR="00AC220A">
        <w:rPr>
          <w:szCs w:val="28"/>
        </w:rPr>
        <w:t>State</w:t>
      </w:r>
      <w:r w:rsidR="00D6657E">
        <w:rPr>
          <w:szCs w:val="28"/>
        </w:rPr>
        <w:t xml:space="preserve">, it is readily apparent that the rise in medical negligence claims against the </w:t>
      </w:r>
      <w:r w:rsidR="00AC220A">
        <w:rPr>
          <w:szCs w:val="28"/>
        </w:rPr>
        <w:t xml:space="preserve">State </w:t>
      </w:r>
      <w:r w:rsidR="00D6657E">
        <w:rPr>
          <w:szCs w:val="28"/>
        </w:rPr>
        <w:t xml:space="preserve">represents a threat to the capacity of the </w:t>
      </w:r>
      <w:r w:rsidR="00AC220A">
        <w:rPr>
          <w:szCs w:val="28"/>
        </w:rPr>
        <w:t xml:space="preserve">State </w:t>
      </w:r>
      <w:r w:rsidR="00D6657E">
        <w:rPr>
          <w:szCs w:val="28"/>
        </w:rPr>
        <w:t xml:space="preserve">to provide and improve health service delivery. On present trends, the annual increase in claims against </w:t>
      </w:r>
      <w:r w:rsidR="00AC220A">
        <w:rPr>
          <w:szCs w:val="28"/>
        </w:rPr>
        <w:t xml:space="preserve">State </w:t>
      </w:r>
      <w:r w:rsidR="00D6657E">
        <w:rPr>
          <w:szCs w:val="28"/>
        </w:rPr>
        <w:t xml:space="preserve">health departments already exceeds the real (after </w:t>
      </w:r>
      <w:r w:rsidR="00D6657E">
        <w:rPr>
          <w:szCs w:val="28"/>
        </w:rPr>
        <w:lastRenderedPageBreak/>
        <w:t>inflation)</w:t>
      </w:r>
      <w:r w:rsidR="00AC220A">
        <w:rPr>
          <w:szCs w:val="28"/>
        </w:rPr>
        <w:t xml:space="preserve"> increase in resources available for health service delivery, and will soon exceed even the nominal annual increase in resources.” There is thus a cost or a self-defeating feature of payment of these claims upfront that undermines the capacity of the state to improve health service delivery</w:t>
      </w:r>
      <w:r w:rsidR="00FD406B">
        <w:rPr>
          <w:szCs w:val="28"/>
        </w:rPr>
        <w:t xml:space="preserve"> over </w:t>
      </w:r>
      <w:r w:rsidR="00AC220A">
        <w:rPr>
          <w:szCs w:val="28"/>
        </w:rPr>
        <w:t>time.</w:t>
      </w:r>
      <w:r w:rsidR="003661FD">
        <w:rPr>
          <w:szCs w:val="28"/>
        </w:rPr>
        <w:t xml:space="preserve"> He also gave examples of this opportunity cost to public health in South Africa.</w:t>
      </w:r>
    </w:p>
    <w:p w:rsidR="003661FD" w:rsidRDefault="003661FD" w:rsidP="000F1BF0">
      <w:pPr>
        <w:rPr>
          <w:szCs w:val="28"/>
        </w:rPr>
      </w:pPr>
    </w:p>
    <w:p w:rsidR="003661FD" w:rsidRDefault="00E36F01" w:rsidP="000F1BF0">
      <w:pPr>
        <w:rPr>
          <w:szCs w:val="28"/>
        </w:rPr>
      </w:pPr>
      <w:r>
        <w:rPr>
          <w:szCs w:val="28"/>
        </w:rPr>
        <w:t>[63</w:t>
      </w:r>
      <w:r w:rsidR="003F72B7">
        <w:rPr>
          <w:szCs w:val="28"/>
        </w:rPr>
        <w:t>]</w:t>
      </w:r>
      <w:r w:rsidR="003F72B7">
        <w:rPr>
          <w:szCs w:val="28"/>
        </w:rPr>
        <w:tab/>
      </w:r>
      <w:r w:rsidR="003661FD">
        <w:rPr>
          <w:szCs w:val="28"/>
        </w:rPr>
        <w:t xml:space="preserve">He further stated that even considering actual payments made in respect of court cases in contradistinction to the question of contingent liabilities, these currently amounted to 3% </w:t>
      </w:r>
      <w:r w:rsidR="00ED2ED8">
        <w:rPr>
          <w:szCs w:val="28"/>
        </w:rPr>
        <w:t>to</w:t>
      </w:r>
      <w:r w:rsidR="003661FD">
        <w:rPr>
          <w:szCs w:val="28"/>
        </w:rPr>
        <w:t xml:space="preserve"> 4% of the health budget of the department and the</w:t>
      </w:r>
      <w:r w:rsidR="000A25F2">
        <w:rPr>
          <w:szCs w:val="28"/>
        </w:rPr>
        <w:t xml:space="preserve"> difference would mean that the</w:t>
      </w:r>
      <w:r w:rsidR="003661FD">
        <w:rPr>
          <w:szCs w:val="28"/>
        </w:rPr>
        <w:t xml:space="preserve"> department would have no effective or real increase in its annual budget</w:t>
      </w:r>
      <w:r w:rsidR="00FD406B">
        <w:rPr>
          <w:szCs w:val="28"/>
        </w:rPr>
        <w:t>,</w:t>
      </w:r>
      <w:r w:rsidR="003661FD">
        <w:rPr>
          <w:szCs w:val="28"/>
        </w:rPr>
        <w:t xml:space="preserve"> or may have a real decrease. The actual expenditure remains a substantial drain on resources which could be used for other purposes. In his view, therefore “for the State rationally to provide the most cost-effective way possible for these costs, there is a case to be made for meeting them as costs arise rather than upfront.”</w:t>
      </w:r>
    </w:p>
    <w:p w:rsidR="003661FD" w:rsidRDefault="003661FD" w:rsidP="000F1BF0">
      <w:pPr>
        <w:rPr>
          <w:szCs w:val="28"/>
        </w:rPr>
      </w:pPr>
    </w:p>
    <w:p w:rsidR="00ED2ED8" w:rsidRDefault="00ED2ED8" w:rsidP="000F1BF0">
      <w:pPr>
        <w:rPr>
          <w:b/>
          <w:bCs/>
          <w:i/>
          <w:iCs/>
          <w:szCs w:val="28"/>
        </w:rPr>
      </w:pPr>
    </w:p>
    <w:p w:rsidR="00AF5716" w:rsidRDefault="003661FD" w:rsidP="000F1BF0">
      <w:pPr>
        <w:rPr>
          <w:b/>
          <w:bCs/>
          <w:i/>
          <w:iCs/>
          <w:szCs w:val="28"/>
        </w:rPr>
      </w:pPr>
      <w:r w:rsidRPr="003661FD">
        <w:rPr>
          <w:b/>
          <w:bCs/>
          <w:i/>
          <w:iCs/>
          <w:szCs w:val="28"/>
        </w:rPr>
        <w:t xml:space="preserve">Mr. </w:t>
      </w:r>
      <w:proofErr w:type="spellStart"/>
      <w:r w:rsidRPr="003661FD">
        <w:rPr>
          <w:b/>
          <w:bCs/>
          <w:i/>
          <w:iCs/>
          <w:szCs w:val="28"/>
        </w:rPr>
        <w:t>Frachet</w:t>
      </w:r>
      <w:proofErr w:type="spellEnd"/>
    </w:p>
    <w:p w:rsidR="009C6B43" w:rsidRDefault="00E36F01" w:rsidP="000F1BF0">
      <w:pPr>
        <w:rPr>
          <w:szCs w:val="28"/>
        </w:rPr>
      </w:pPr>
      <w:r>
        <w:rPr>
          <w:szCs w:val="28"/>
        </w:rPr>
        <w:t>[64</w:t>
      </w:r>
      <w:r w:rsidR="003F72B7">
        <w:rPr>
          <w:szCs w:val="28"/>
        </w:rPr>
        <w:t>]</w:t>
      </w:r>
      <w:r w:rsidR="003F72B7">
        <w:rPr>
          <w:szCs w:val="28"/>
        </w:rPr>
        <w:tab/>
      </w:r>
      <w:r w:rsidR="009C6B43">
        <w:rPr>
          <w:szCs w:val="28"/>
        </w:rPr>
        <w:t xml:space="preserve">Mr. </w:t>
      </w:r>
      <w:proofErr w:type="spellStart"/>
      <w:r w:rsidR="009C6B43">
        <w:rPr>
          <w:szCs w:val="28"/>
        </w:rPr>
        <w:t>Frachet</w:t>
      </w:r>
      <w:proofErr w:type="spellEnd"/>
      <w:r w:rsidR="009C6B43">
        <w:rPr>
          <w:szCs w:val="28"/>
        </w:rPr>
        <w:t xml:space="preserve"> is the Chief Director, Integrated Budget Planning in the Eastern Cape Department of Health. He has held this position since June 2008 and is responsible to</w:t>
      </w:r>
      <w:r w:rsidR="006D773D">
        <w:rPr>
          <w:szCs w:val="28"/>
        </w:rPr>
        <w:t xml:space="preserve"> </w:t>
      </w:r>
      <w:r w:rsidR="009C6B43">
        <w:rPr>
          <w:szCs w:val="28"/>
        </w:rPr>
        <w:t>the Chief Directorate: Integrated Budget Planning. He testified that the Chief Directorate is responsible for the department</w:t>
      </w:r>
      <w:r w:rsidR="006D773D">
        <w:rPr>
          <w:szCs w:val="28"/>
        </w:rPr>
        <w:t>’</w:t>
      </w:r>
      <w:r w:rsidR="009C6B43">
        <w:rPr>
          <w:szCs w:val="28"/>
        </w:rPr>
        <w:t>s efficient and effective financial budget planning, monitoring and evaluation of the implementation of the budget, management of budget reviews and expenditure trend analysis, as well as management, planning, monitoring and evaluation of revenue activities.</w:t>
      </w:r>
    </w:p>
    <w:p w:rsidR="009C6B43" w:rsidRDefault="009C6B43" w:rsidP="000F1BF0">
      <w:pPr>
        <w:rPr>
          <w:szCs w:val="28"/>
        </w:rPr>
      </w:pPr>
    </w:p>
    <w:p w:rsidR="009C6B43" w:rsidRDefault="00E36F01" w:rsidP="000F1BF0">
      <w:pPr>
        <w:rPr>
          <w:szCs w:val="28"/>
        </w:rPr>
      </w:pPr>
      <w:r>
        <w:rPr>
          <w:szCs w:val="28"/>
        </w:rPr>
        <w:t>[65</w:t>
      </w:r>
      <w:r w:rsidR="008C2574">
        <w:rPr>
          <w:szCs w:val="28"/>
        </w:rPr>
        <w:t>]</w:t>
      </w:r>
      <w:r w:rsidR="008C2574">
        <w:rPr>
          <w:szCs w:val="28"/>
        </w:rPr>
        <w:tab/>
      </w:r>
      <w:r w:rsidR="009C6B43">
        <w:rPr>
          <w:szCs w:val="28"/>
        </w:rPr>
        <w:t>He testified that the department has been spending an increasing portion of its annual budget on the settlement of medico</w:t>
      </w:r>
      <w:r w:rsidR="006D773D">
        <w:rPr>
          <w:szCs w:val="28"/>
        </w:rPr>
        <w:t>-</w:t>
      </w:r>
      <w:r w:rsidR="009C6B43">
        <w:rPr>
          <w:szCs w:val="28"/>
        </w:rPr>
        <w:t xml:space="preserve">legal claims. At present, these are upfront </w:t>
      </w:r>
      <w:r w:rsidR="007C2AB5">
        <w:rPr>
          <w:szCs w:val="28"/>
        </w:rPr>
        <w:t>settlements,</w:t>
      </w:r>
      <w:r w:rsidR="009C6B43">
        <w:rPr>
          <w:szCs w:val="28"/>
        </w:rPr>
        <w:t xml:space="preserve"> but they are incurred at the cost to the department of resources which would otherwise be available for health services for the uninsured population. Claims </w:t>
      </w:r>
      <w:r w:rsidR="00C82E02">
        <w:rPr>
          <w:szCs w:val="28"/>
        </w:rPr>
        <w:t>totalling</w:t>
      </w:r>
      <w:r w:rsidR="009C6B43">
        <w:rPr>
          <w:szCs w:val="28"/>
        </w:rPr>
        <w:t xml:space="preserve"> R3.462 billion have been settled within the period 1 April 2014 </w:t>
      </w:r>
      <w:r w:rsidR="00C82E02">
        <w:rPr>
          <w:szCs w:val="28"/>
        </w:rPr>
        <w:t xml:space="preserve">to </w:t>
      </w:r>
      <w:r w:rsidR="009C6B43">
        <w:rPr>
          <w:szCs w:val="28"/>
        </w:rPr>
        <w:t>31 March 2021. Whilst they are obviously uninsured, the</w:t>
      </w:r>
      <w:r w:rsidR="006A4A53">
        <w:rPr>
          <w:szCs w:val="28"/>
        </w:rPr>
        <w:t>y</w:t>
      </w:r>
      <w:r w:rsidR="009C6B43">
        <w:rPr>
          <w:szCs w:val="28"/>
        </w:rPr>
        <w:t xml:space="preserve"> are also not budgeted for, and unfunded.</w:t>
      </w:r>
    </w:p>
    <w:p w:rsidR="009C6B43" w:rsidRDefault="009C6B43" w:rsidP="000F1BF0">
      <w:pPr>
        <w:rPr>
          <w:szCs w:val="28"/>
        </w:rPr>
      </w:pPr>
    </w:p>
    <w:p w:rsidR="009C6B43" w:rsidRDefault="00E36F01" w:rsidP="000F1BF0">
      <w:pPr>
        <w:rPr>
          <w:szCs w:val="28"/>
        </w:rPr>
      </w:pPr>
      <w:r>
        <w:rPr>
          <w:szCs w:val="28"/>
        </w:rPr>
        <w:t>[66</w:t>
      </w:r>
      <w:r w:rsidR="008C2574">
        <w:rPr>
          <w:szCs w:val="28"/>
        </w:rPr>
        <w:t>]</w:t>
      </w:r>
      <w:r w:rsidR="008C2574">
        <w:rPr>
          <w:szCs w:val="28"/>
        </w:rPr>
        <w:tab/>
      </w:r>
      <w:r w:rsidR="009C6B43">
        <w:rPr>
          <w:szCs w:val="28"/>
        </w:rPr>
        <w:t>Because of the situation</w:t>
      </w:r>
      <w:r w:rsidR="00ED2ED8">
        <w:rPr>
          <w:szCs w:val="28"/>
        </w:rPr>
        <w:t>,</w:t>
      </w:r>
      <w:r w:rsidR="009C6B43">
        <w:rPr>
          <w:szCs w:val="28"/>
        </w:rPr>
        <w:t xml:space="preserve"> and particularly because such pay-outs are unbudgeted, he explained how these extensive payments in each financial year require the department to utilize funds which were budgeted for expenditure under its various programmes in order to comply with </w:t>
      </w:r>
      <w:r w:rsidR="006A4A53">
        <w:rPr>
          <w:szCs w:val="28"/>
        </w:rPr>
        <w:t>its</w:t>
      </w:r>
      <w:r w:rsidR="009C6B43">
        <w:rPr>
          <w:szCs w:val="28"/>
        </w:rPr>
        <w:t xml:space="preserve"> responsibility in meeting court orders and/or settlements. Consequently, funds which were allocated to the department by treasury for the purposes of funding programmes such as emergency medical services, support services, facilities management and hospital services are taken out of those programmes </w:t>
      </w:r>
      <w:r w:rsidR="00C82E02">
        <w:rPr>
          <w:szCs w:val="28"/>
        </w:rPr>
        <w:t>to</w:t>
      </w:r>
      <w:r w:rsidR="009C6B43">
        <w:rPr>
          <w:szCs w:val="28"/>
        </w:rPr>
        <w:t xml:space="preserve"> meet these claims. This results in such payments being categorized as “unauthorized expenditure”.</w:t>
      </w:r>
    </w:p>
    <w:p w:rsidR="009C6B43" w:rsidRDefault="00E36F01" w:rsidP="000F1BF0">
      <w:pPr>
        <w:rPr>
          <w:szCs w:val="28"/>
        </w:rPr>
      </w:pPr>
      <w:r>
        <w:rPr>
          <w:szCs w:val="28"/>
        </w:rPr>
        <w:t>[67</w:t>
      </w:r>
      <w:r w:rsidR="008C2574">
        <w:rPr>
          <w:szCs w:val="28"/>
        </w:rPr>
        <w:t>]</w:t>
      </w:r>
      <w:r w:rsidR="008C2574">
        <w:rPr>
          <w:szCs w:val="28"/>
        </w:rPr>
        <w:tab/>
      </w:r>
      <w:r w:rsidR="009C6B43">
        <w:rPr>
          <w:szCs w:val="28"/>
        </w:rPr>
        <w:t>In practical terms, this affects the delivery of healthcare services as</w:t>
      </w:r>
      <w:r w:rsidR="004E05FF">
        <w:rPr>
          <w:szCs w:val="28"/>
        </w:rPr>
        <w:t xml:space="preserve"> diminished </w:t>
      </w:r>
      <w:r w:rsidR="009C6B43">
        <w:rPr>
          <w:szCs w:val="28"/>
        </w:rPr>
        <w:t>funds are available for expenditure on the</w:t>
      </w:r>
      <w:r w:rsidR="004E05FF">
        <w:rPr>
          <w:szCs w:val="28"/>
        </w:rPr>
        <w:t>ir</w:t>
      </w:r>
      <w:r w:rsidR="009C6B43">
        <w:rPr>
          <w:szCs w:val="28"/>
        </w:rPr>
        <w:t xml:space="preserve"> intended public healthcare purposes. Additionally, because such expenses cannot be budgeted, the department often experiences cash flow challenges resulting in supplies not being paid within the required 30 days.</w:t>
      </w:r>
      <w:r w:rsidR="004E05FF">
        <w:rPr>
          <w:szCs w:val="28"/>
        </w:rPr>
        <w:t xml:space="preserve"> Those payments must then, in many instances, be deferred so that they may be paid out of the budget for the ensuing financial year. In turn, this results in the department commencing the financial year with insufficient cash to achieve the full healthcare provision required. This obviously has a detrimental effect on the ability of the department to deliver healthcare to </w:t>
      </w:r>
      <w:r w:rsidR="004E05FF">
        <w:rPr>
          <w:szCs w:val="28"/>
        </w:rPr>
        <w:lastRenderedPageBreak/>
        <w:t>the public and to effect improvements to its services. It also reduces the ability of the respective programmes to reach their planned targets.</w:t>
      </w:r>
    </w:p>
    <w:p w:rsidR="004E05FF" w:rsidRDefault="004E05FF" w:rsidP="000F1BF0">
      <w:pPr>
        <w:rPr>
          <w:szCs w:val="28"/>
        </w:rPr>
      </w:pPr>
    </w:p>
    <w:p w:rsidR="004E05FF" w:rsidRDefault="00E36F01" w:rsidP="000F1BF0">
      <w:pPr>
        <w:rPr>
          <w:szCs w:val="28"/>
        </w:rPr>
      </w:pPr>
      <w:r>
        <w:rPr>
          <w:szCs w:val="28"/>
        </w:rPr>
        <w:t>[68</w:t>
      </w:r>
      <w:r w:rsidR="008C2574">
        <w:rPr>
          <w:szCs w:val="28"/>
        </w:rPr>
        <w:t>]</w:t>
      </w:r>
      <w:r w:rsidR="008C2574">
        <w:rPr>
          <w:szCs w:val="28"/>
        </w:rPr>
        <w:tab/>
      </w:r>
      <w:r w:rsidR="004E05FF">
        <w:rPr>
          <w:szCs w:val="28"/>
        </w:rPr>
        <w:t>He further testified that the department has seen rapid increases in medical negligence claims over the past years. The contingent liability of claims as at 31 March 2021 amounted to approximately R38,842,976,000 in comparison with R35,425,811,000 as at 31 March 2020.</w:t>
      </w:r>
      <w:r w:rsidR="00F44CEF">
        <w:rPr>
          <w:szCs w:val="28"/>
        </w:rPr>
        <w:t xml:space="preserve"> This amount was in excess of the current (as at the time he testified) annual appropriation to the department.</w:t>
      </w:r>
    </w:p>
    <w:p w:rsidR="00F44CEF" w:rsidRDefault="00F44CEF" w:rsidP="000F1BF0">
      <w:pPr>
        <w:rPr>
          <w:szCs w:val="28"/>
        </w:rPr>
      </w:pPr>
    </w:p>
    <w:p w:rsidR="00F44CEF" w:rsidRDefault="00E36F01" w:rsidP="000F1BF0">
      <w:pPr>
        <w:rPr>
          <w:szCs w:val="28"/>
        </w:rPr>
      </w:pPr>
      <w:r>
        <w:rPr>
          <w:szCs w:val="28"/>
        </w:rPr>
        <w:t>[69</w:t>
      </w:r>
      <w:r w:rsidR="008C2574">
        <w:rPr>
          <w:szCs w:val="28"/>
        </w:rPr>
        <w:t>]</w:t>
      </w:r>
      <w:r w:rsidR="008C2574">
        <w:rPr>
          <w:szCs w:val="28"/>
        </w:rPr>
        <w:tab/>
      </w:r>
      <w:r w:rsidR="00F44CEF">
        <w:rPr>
          <w:szCs w:val="28"/>
        </w:rPr>
        <w:t xml:space="preserve">Of great concern, Mr </w:t>
      </w:r>
      <w:proofErr w:type="spellStart"/>
      <w:r w:rsidR="00F44CEF">
        <w:rPr>
          <w:szCs w:val="28"/>
        </w:rPr>
        <w:t>Frachet</w:t>
      </w:r>
      <w:proofErr w:type="spellEnd"/>
      <w:r w:rsidR="00F44CEF">
        <w:rPr>
          <w:szCs w:val="28"/>
        </w:rPr>
        <w:t xml:space="preserve"> testified that the department anticipates that based on the then current trends in its contingent liabilities, settlements against the department are likely to increase rapidly and at a faster rate than the annual increase in its budgeted resources. If the department is required to proceed on its present course in paying out such claims based on upfront payments, this will in time overwhelm its capacity to meet its health service delivery obligations. In his view, therefore, it has become a necessity that consideration be given to alternative avenues for meeting medico-legal claims against the department.</w:t>
      </w:r>
    </w:p>
    <w:p w:rsidR="00F44CEF" w:rsidRDefault="00F44CEF" w:rsidP="000F1BF0">
      <w:pPr>
        <w:rPr>
          <w:szCs w:val="28"/>
        </w:rPr>
      </w:pPr>
    </w:p>
    <w:p w:rsidR="00F44CEF" w:rsidRDefault="00ED2ED8" w:rsidP="000F1BF0">
      <w:pPr>
        <w:rPr>
          <w:b/>
          <w:bCs/>
          <w:i/>
          <w:iCs/>
          <w:szCs w:val="28"/>
        </w:rPr>
      </w:pPr>
      <w:r w:rsidRPr="00F44CEF">
        <w:rPr>
          <w:b/>
          <w:bCs/>
          <w:i/>
          <w:iCs/>
          <w:szCs w:val="28"/>
        </w:rPr>
        <w:t>Dr</w:t>
      </w:r>
      <w:r w:rsidR="00F44CEF" w:rsidRPr="00F44CEF">
        <w:rPr>
          <w:b/>
          <w:bCs/>
          <w:i/>
          <w:iCs/>
          <w:szCs w:val="28"/>
        </w:rPr>
        <w:t xml:space="preserve"> Wagner</w:t>
      </w:r>
    </w:p>
    <w:p w:rsidR="00F44CEF" w:rsidRDefault="00B03267" w:rsidP="000F1BF0">
      <w:pPr>
        <w:rPr>
          <w:szCs w:val="28"/>
        </w:rPr>
      </w:pPr>
      <w:r>
        <w:rPr>
          <w:szCs w:val="28"/>
        </w:rPr>
        <w:t>[70</w:t>
      </w:r>
      <w:r w:rsidR="008C2574">
        <w:rPr>
          <w:szCs w:val="28"/>
        </w:rPr>
        <w:t>]</w:t>
      </w:r>
      <w:r w:rsidR="008C2574">
        <w:rPr>
          <w:szCs w:val="28"/>
        </w:rPr>
        <w:tab/>
      </w:r>
      <w:r w:rsidR="00ED2ED8">
        <w:rPr>
          <w:szCs w:val="28"/>
        </w:rPr>
        <w:t>Dr</w:t>
      </w:r>
      <w:r w:rsidR="00F44CEF">
        <w:rPr>
          <w:szCs w:val="28"/>
        </w:rPr>
        <w:t xml:space="preserve"> Wagner is the head of the Eastern Cape Department of Health and has held </w:t>
      </w:r>
      <w:r w:rsidR="00314C94">
        <w:rPr>
          <w:szCs w:val="28"/>
        </w:rPr>
        <w:t>this</w:t>
      </w:r>
      <w:r w:rsidR="00F44CEF">
        <w:rPr>
          <w:szCs w:val="28"/>
        </w:rPr>
        <w:t xml:space="preserve"> position since 1 August 2021. She obtained an </w:t>
      </w:r>
      <w:proofErr w:type="spellStart"/>
      <w:r w:rsidR="00F44CEF">
        <w:rPr>
          <w:szCs w:val="28"/>
        </w:rPr>
        <w:t>MBC</w:t>
      </w:r>
      <w:r w:rsidR="0098553D">
        <w:rPr>
          <w:szCs w:val="28"/>
        </w:rPr>
        <w:t>h</w:t>
      </w:r>
      <w:r w:rsidR="00F44CEF">
        <w:rPr>
          <w:szCs w:val="28"/>
        </w:rPr>
        <w:t>B</w:t>
      </w:r>
      <w:proofErr w:type="spellEnd"/>
      <w:r w:rsidR="00F44CEF">
        <w:rPr>
          <w:szCs w:val="28"/>
        </w:rPr>
        <w:t xml:space="preserve"> (UCT) in 1996 and read for the M Phil in </w:t>
      </w:r>
      <w:r w:rsidR="0098553D">
        <w:rPr>
          <w:szCs w:val="28"/>
        </w:rPr>
        <w:t xml:space="preserve">Public Health </w:t>
      </w:r>
      <w:r w:rsidR="00F44CEF">
        <w:rPr>
          <w:szCs w:val="28"/>
        </w:rPr>
        <w:t xml:space="preserve">and Masters in </w:t>
      </w:r>
      <w:r w:rsidR="0098553D">
        <w:rPr>
          <w:szCs w:val="28"/>
        </w:rPr>
        <w:t xml:space="preserve">Public Health </w:t>
      </w:r>
      <w:r w:rsidR="00F44CEF">
        <w:rPr>
          <w:szCs w:val="28"/>
        </w:rPr>
        <w:t>degrees through the universities of the Western Cape and Fort</w:t>
      </w:r>
      <w:r w:rsidR="0098553D">
        <w:rPr>
          <w:szCs w:val="28"/>
        </w:rPr>
        <w:t xml:space="preserve"> Hare </w:t>
      </w:r>
      <w:r w:rsidR="00AD6AEA">
        <w:rPr>
          <w:szCs w:val="28"/>
        </w:rPr>
        <w:t>during 2003 and 2018. She has held several senior and executive management positions predominantly</w:t>
      </w:r>
      <w:r w:rsidR="0098553D">
        <w:rPr>
          <w:szCs w:val="28"/>
        </w:rPr>
        <w:t xml:space="preserve"> in</w:t>
      </w:r>
      <w:r w:rsidR="00AD6AEA">
        <w:rPr>
          <w:szCs w:val="28"/>
        </w:rPr>
        <w:t xml:space="preserve"> the public healthcare sector, and in the private healthcare sector. </w:t>
      </w:r>
      <w:r w:rsidR="00AD6AEA">
        <w:rPr>
          <w:szCs w:val="28"/>
        </w:rPr>
        <w:lastRenderedPageBreak/>
        <w:t xml:space="preserve">Approximately five years </w:t>
      </w:r>
      <w:r w:rsidR="00ED2ED8">
        <w:rPr>
          <w:szCs w:val="28"/>
        </w:rPr>
        <w:t>of these</w:t>
      </w:r>
      <w:r w:rsidR="00AD6AEA">
        <w:rPr>
          <w:szCs w:val="28"/>
        </w:rPr>
        <w:t xml:space="preserve"> has been at an executive level in both the public and private sectors.</w:t>
      </w:r>
    </w:p>
    <w:p w:rsidR="00AD6AEA" w:rsidRDefault="00AD6AEA" w:rsidP="000F1BF0">
      <w:pPr>
        <w:rPr>
          <w:szCs w:val="28"/>
        </w:rPr>
      </w:pPr>
    </w:p>
    <w:p w:rsidR="00AD6AEA" w:rsidRDefault="00B03267" w:rsidP="000F1BF0">
      <w:pPr>
        <w:rPr>
          <w:szCs w:val="28"/>
        </w:rPr>
      </w:pPr>
      <w:r>
        <w:rPr>
          <w:szCs w:val="28"/>
        </w:rPr>
        <w:t>[71</w:t>
      </w:r>
      <w:r w:rsidR="008C2574">
        <w:rPr>
          <w:szCs w:val="28"/>
        </w:rPr>
        <w:t>]</w:t>
      </w:r>
      <w:r w:rsidR="008C2574">
        <w:rPr>
          <w:szCs w:val="28"/>
        </w:rPr>
        <w:tab/>
      </w:r>
      <w:r w:rsidR="00AD6AEA">
        <w:rPr>
          <w:szCs w:val="28"/>
        </w:rPr>
        <w:t xml:space="preserve">As regards her experience, it would be helpful to repeat her own words </w:t>
      </w:r>
      <w:r w:rsidR="0098553D">
        <w:rPr>
          <w:szCs w:val="28"/>
        </w:rPr>
        <w:t>in</w:t>
      </w:r>
      <w:r w:rsidR="00AD6AEA">
        <w:rPr>
          <w:szCs w:val="28"/>
        </w:rPr>
        <w:t xml:space="preserve"> her witness statement a</w:t>
      </w:r>
      <w:r w:rsidR="0066634F">
        <w:rPr>
          <w:szCs w:val="28"/>
        </w:rPr>
        <w:t>s</w:t>
      </w:r>
      <w:r w:rsidR="00AD6AEA">
        <w:rPr>
          <w:szCs w:val="28"/>
        </w:rPr>
        <w:t xml:space="preserve"> confirmed in</w:t>
      </w:r>
      <w:r w:rsidR="0066634F">
        <w:rPr>
          <w:szCs w:val="28"/>
        </w:rPr>
        <w:t xml:space="preserve"> her</w:t>
      </w:r>
      <w:r w:rsidR="00AD6AEA">
        <w:rPr>
          <w:szCs w:val="28"/>
        </w:rPr>
        <w:t xml:space="preserve"> t</w:t>
      </w:r>
      <w:r w:rsidR="0066634F">
        <w:rPr>
          <w:szCs w:val="28"/>
        </w:rPr>
        <w:t>estimony</w:t>
      </w:r>
      <w:r w:rsidR="00AD6AEA">
        <w:rPr>
          <w:szCs w:val="28"/>
        </w:rPr>
        <w:t>, as follows:</w:t>
      </w:r>
    </w:p>
    <w:p w:rsidR="00AD6AEA" w:rsidRDefault="00AD6AEA" w:rsidP="00770B5E">
      <w:pPr>
        <w:autoSpaceDE w:val="0"/>
        <w:autoSpaceDN w:val="0"/>
        <w:adjustRightInd w:val="0"/>
        <w:spacing w:after="0" w:line="240" w:lineRule="auto"/>
        <w:ind w:left="450" w:right="476"/>
        <w:rPr>
          <w:rFonts w:cs="Times New Roman"/>
          <w:color w:val="000000"/>
          <w:sz w:val="24"/>
          <w:szCs w:val="24"/>
        </w:rPr>
      </w:pPr>
      <w:r>
        <w:rPr>
          <w:rFonts w:cs="Times New Roman"/>
          <w:color w:val="000000"/>
          <w:sz w:val="24"/>
          <w:szCs w:val="24"/>
        </w:rPr>
        <w:t>“</w:t>
      </w:r>
      <w:proofErr w:type="gramStart"/>
      <w:r w:rsidR="00321961">
        <w:rPr>
          <w:rFonts w:cs="Times New Roman"/>
          <w:color w:val="000000"/>
          <w:sz w:val="24"/>
          <w:szCs w:val="24"/>
        </w:rPr>
        <w:t xml:space="preserve">3  </w:t>
      </w:r>
      <w:r w:rsidRPr="00AD6AEA">
        <w:rPr>
          <w:rFonts w:cs="Times New Roman"/>
          <w:color w:val="000000"/>
          <w:sz w:val="24"/>
          <w:szCs w:val="24"/>
        </w:rPr>
        <w:t>My</w:t>
      </w:r>
      <w:proofErr w:type="gramEnd"/>
      <w:r w:rsidRPr="00AD6AEA">
        <w:rPr>
          <w:rFonts w:cs="Times New Roman"/>
          <w:color w:val="000000"/>
          <w:sz w:val="24"/>
          <w:szCs w:val="24"/>
        </w:rPr>
        <w:t xml:space="preserve"> career path since completing my internship at Groote Schuur Hospital in</w:t>
      </w:r>
      <w:r w:rsidR="00375C2F">
        <w:rPr>
          <w:rFonts w:cs="Times New Roman"/>
          <w:color w:val="000000"/>
          <w:sz w:val="24"/>
          <w:szCs w:val="24"/>
        </w:rPr>
        <w:t xml:space="preserve"> </w:t>
      </w:r>
      <w:r w:rsidRPr="00AD6AEA">
        <w:rPr>
          <w:rFonts w:cs="Times New Roman"/>
          <w:color w:val="000000"/>
          <w:sz w:val="24"/>
          <w:szCs w:val="24"/>
        </w:rPr>
        <w:t>1996, commenced with a grounding for six years as a Medical Officer in</w:t>
      </w:r>
      <w:r w:rsidR="00375C2F">
        <w:rPr>
          <w:rFonts w:cs="Times New Roman"/>
          <w:color w:val="000000"/>
          <w:sz w:val="24"/>
          <w:szCs w:val="24"/>
        </w:rPr>
        <w:t xml:space="preserve"> </w:t>
      </w:r>
      <w:r w:rsidRPr="00AD6AEA">
        <w:rPr>
          <w:rFonts w:cs="Times New Roman"/>
          <w:color w:val="000000"/>
          <w:sz w:val="24"/>
          <w:szCs w:val="24"/>
        </w:rPr>
        <w:t>community health centres (CHC) in Mitchell’s Plain, Western Cape, and in</w:t>
      </w:r>
      <w:r w:rsidR="00375C2F">
        <w:rPr>
          <w:rFonts w:cs="Times New Roman"/>
          <w:color w:val="000000"/>
          <w:sz w:val="24"/>
          <w:szCs w:val="24"/>
        </w:rPr>
        <w:t xml:space="preserve"> </w:t>
      </w:r>
      <w:proofErr w:type="spellStart"/>
      <w:r w:rsidRPr="00AD6AEA">
        <w:rPr>
          <w:rFonts w:cs="Times New Roman"/>
          <w:color w:val="000000"/>
          <w:sz w:val="24"/>
          <w:szCs w:val="24"/>
        </w:rPr>
        <w:t>Gompo</w:t>
      </w:r>
      <w:proofErr w:type="spellEnd"/>
      <w:r w:rsidRPr="00AD6AEA">
        <w:rPr>
          <w:rFonts w:cs="Times New Roman"/>
          <w:color w:val="000000"/>
          <w:sz w:val="24"/>
          <w:szCs w:val="24"/>
        </w:rPr>
        <w:t xml:space="preserve">, in the </w:t>
      </w:r>
      <w:proofErr w:type="spellStart"/>
      <w:r w:rsidRPr="00AD6AEA">
        <w:rPr>
          <w:rFonts w:cs="Times New Roman"/>
          <w:color w:val="000000"/>
          <w:sz w:val="24"/>
          <w:szCs w:val="24"/>
        </w:rPr>
        <w:t>ECDoH</w:t>
      </w:r>
      <w:proofErr w:type="spellEnd"/>
      <w:r w:rsidRPr="00AD6AEA">
        <w:rPr>
          <w:rFonts w:cs="Times New Roman"/>
          <w:color w:val="000000"/>
          <w:sz w:val="24"/>
          <w:szCs w:val="24"/>
        </w:rPr>
        <w:t>. I was appointed Coordinator of the rationalisation of the</w:t>
      </w:r>
      <w:r w:rsidR="00375C2F">
        <w:rPr>
          <w:rFonts w:cs="Times New Roman"/>
          <w:color w:val="000000"/>
          <w:sz w:val="24"/>
          <w:szCs w:val="24"/>
        </w:rPr>
        <w:t xml:space="preserve"> </w:t>
      </w:r>
      <w:r w:rsidRPr="00AD6AEA">
        <w:rPr>
          <w:rFonts w:cs="Times New Roman"/>
          <w:color w:val="000000"/>
          <w:sz w:val="24"/>
          <w:szCs w:val="24"/>
        </w:rPr>
        <w:t>East London Hospital Complex and later of all complexes and regional hospital</w:t>
      </w:r>
      <w:r w:rsidR="00375C2F">
        <w:rPr>
          <w:rFonts w:cs="Times New Roman"/>
          <w:color w:val="000000"/>
          <w:sz w:val="24"/>
          <w:szCs w:val="24"/>
        </w:rPr>
        <w:t xml:space="preserve"> </w:t>
      </w:r>
      <w:r w:rsidRPr="00AD6AEA">
        <w:rPr>
          <w:rFonts w:cs="Times New Roman"/>
          <w:color w:val="000000"/>
          <w:sz w:val="24"/>
          <w:szCs w:val="24"/>
        </w:rPr>
        <w:t xml:space="preserve">services in the </w:t>
      </w:r>
      <w:proofErr w:type="spellStart"/>
      <w:r w:rsidRPr="00AD6AEA">
        <w:rPr>
          <w:rFonts w:cs="Times New Roman"/>
          <w:color w:val="000000"/>
          <w:sz w:val="24"/>
          <w:szCs w:val="24"/>
        </w:rPr>
        <w:t>ECDoH</w:t>
      </w:r>
      <w:proofErr w:type="spellEnd"/>
      <w:r w:rsidRPr="00AD6AEA">
        <w:rPr>
          <w:rFonts w:cs="Times New Roman"/>
          <w:color w:val="000000"/>
          <w:sz w:val="24"/>
          <w:szCs w:val="24"/>
        </w:rPr>
        <w:t>; was Project Manager of the Vitamin A supplementation</w:t>
      </w:r>
      <w:r w:rsidR="00375C2F">
        <w:rPr>
          <w:rFonts w:cs="Times New Roman"/>
          <w:color w:val="000000"/>
          <w:sz w:val="24"/>
          <w:szCs w:val="24"/>
        </w:rPr>
        <w:t xml:space="preserve"> </w:t>
      </w:r>
      <w:r w:rsidRPr="00AD6AEA">
        <w:rPr>
          <w:rFonts w:cs="Times New Roman"/>
          <w:color w:val="000000"/>
          <w:sz w:val="24"/>
          <w:szCs w:val="24"/>
        </w:rPr>
        <w:t>programme; promoted to Director of Complexes and Regional Hospitals in</w:t>
      </w:r>
      <w:r w:rsidR="00375C2F">
        <w:rPr>
          <w:rFonts w:cs="Times New Roman"/>
          <w:color w:val="000000"/>
          <w:sz w:val="24"/>
          <w:szCs w:val="24"/>
        </w:rPr>
        <w:t xml:space="preserve"> </w:t>
      </w:r>
      <w:r w:rsidRPr="00AD6AEA">
        <w:rPr>
          <w:rFonts w:cs="Times New Roman"/>
          <w:color w:val="000000"/>
          <w:sz w:val="24"/>
          <w:szCs w:val="24"/>
        </w:rPr>
        <w:t>September of 2002; in 2005 became Chief Director Human Resource</w:t>
      </w:r>
      <w:r w:rsidR="00375C2F">
        <w:rPr>
          <w:rFonts w:cs="Times New Roman"/>
          <w:color w:val="000000"/>
          <w:sz w:val="24"/>
          <w:szCs w:val="24"/>
        </w:rPr>
        <w:t xml:space="preserve"> </w:t>
      </w:r>
      <w:r w:rsidRPr="00AD6AEA">
        <w:rPr>
          <w:rFonts w:cs="Times New Roman"/>
          <w:color w:val="000000"/>
          <w:sz w:val="24"/>
          <w:szCs w:val="24"/>
        </w:rPr>
        <w:t>Development for the Province, and in May 2009 was appointed acting Chief</w:t>
      </w:r>
      <w:r w:rsidR="00375C2F">
        <w:rPr>
          <w:rFonts w:cs="Times New Roman"/>
          <w:color w:val="000000"/>
          <w:sz w:val="24"/>
          <w:szCs w:val="24"/>
        </w:rPr>
        <w:t xml:space="preserve"> </w:t>
      </w:r>
      <w:r w:rsidRPr="00AD6AEA">
        <w:rPr>
          <w:rFonts w:cs="Times New Roman"/>
          <w:color w:val="000000"/>
          <w:sz w:val="24"/>
          <w:szCs w:val="24"/>
        </w:rPr>
        <w:t>Operations Officer (Deputy Director-General: Corporate Services) for the</w:t>
      </w:r>
      <w:r w:rsidR="00375C2F">
        <w:rPr>
          <w:rFonts w:cs="Times New Roman"/>
          <w:color w:val="000000"/>
          <w:sz w:val="24"/>
          <w:szCs w:val="24"/>
        </w:rPr>
        <w:t xml:space="preserve"> </w:t>
      </w:r>
      <w:r w:rsidRPr="00AD6AEA">
        <w:rPr>
          <w:rFonts w:cs="Times New Roman"/>
          <w:color w:val="000000"/>
          <w:sz w:val="24"/>
          <w:szCs w:val="24"/>
        </w:rPr>
        <w:t>Department of Health in this Province in an acting capacity until I resigned in</w:t>
      </w:r>
      <w:r w:rsidR="00375C2F">
        <w:rPr>
          <w:rFonts w:cs="Times New Roman"/>
          <w:color w:val="000000"/>
          <w:sz w:val="24"/>
          <w:szCs w:val="24"/>
        </w:rPr>
        <w:t xml:space="preserve"> </w:t>
      </w:r>
      <w:r w:rsidRPr="00AD6AEA">
        <w:rPr>
          <w:rFonts w:cs="Times New Roman"/>
          <w:color w:val="000000"/>
          <w:sz w:val="24"/>
          <w:szCs w:val="24"/>
        </w:rPr>
        <w:t>February 2011 to run a GP practice in association with colleagues at the</w:t>
      </w:r>
      <w:r w:rsidR="00375C2F">
        <w:rPr>
          <w:rFonts w:cs="Times New Roman"/>
          <w:color w:val="000000"/>
          <w:sz w:val="24"/>
          <w:szCs w:val="24"/>
        </w:rPr>
        <w:t xml:space="preserve"> </w:t>
      </w:r>
      <w:proofErr w:type="spellStart"/>
      <w:r w:rsidRPr="00AD6AEA">
        <w:rPr>
          <w:rFonts w:cs="Times New Roman"/>
          <w:color w:val="000000"/>
          <w:sz w:val="24"/>
          <w:szCs w:val="24"/>
        </w:rPr>
        <w:t>Medicross</w:t>
      </w:r>
      <w:proofErr w:type="spellEnd"/>
      <w:r w:rsidRPr="00AD6AEA">
        <w:rPr>
          <w:rFonts w:cs="Times New Roman"/>
          <w:color w:val="000000"/>
          <w:sz w:val="24"/>
          <w:szCs w:val="24"/>
        </w:rPr>
        <w:t xml:space="preserve"> in Berea.</w:t>
      </w:r>
    </w:p>
    <w:p w:rsidR="00AD6AEA" w:rsidRPr="00AD6AEA" w:rsidRDefault="00AD6AEA" w:rsidP="00770B5E">
      <w:pPr>
        <w:autoSpaceDE w:val="0"/>
        <w:autoSpaceDN w:val="0"/>
        <w:adjustRightInd w:val="0"/>
        <w:spacing w:after="0" w:line="240" w:lineRule="auto"/>
        <w:ind w:left="450" w:right="476"/>
        <w:rPr>
          <w:rFonts w:cs="Times New Roman"/>
          <w:color w:val="000000"/>
          <w:sz w:val="24"/>
          <w:szCs w:val="24"/>
        </w:rPr>
      </w:pPr>
    </w:p>
    <w:p w:rsidR="00AD6AEA" w:rsidRDefault="00321961" w:rsidP="00770B5E">
      <w:pPr>
        <w:autoSpaceDE w:val="0"/>
        <w:autoSpaceDN w:val="0"/>
        <w:adjustRightInd w:val="0"/>
        <w:spacing w:after="0" w:line="240" w:lineRule="auto"/>
        <w:ind w:left="450" w:right="476"/>
        <w:rPr>
          <w:rFonts w:cs="Times New Roman"/>
          <w:color w:val="000000"/>
          <w:sz w:val="24"/>
          <w:szCs w:val="24"/>
        </w:rPr>
      </w:pPr>
      <w:proofErr w:type="gramStart"/>
      <w:r>
        <w:rPr>
          <w:rFonts w:cs="Times New Roman"/>
          <w:color w:val="000000"/>
          <w:sz w:val="24"/>
          <w:szCs w:val="24"/>
        </w:rPr>
        <w:t xml:space="preserve">4  </w:t>
      </w:r>
      <w:r w:rsidR="00AD6AEA" w:rsidRPr="00AD6AEA">
        <w:rPr>
          <w:rFonts w:cs="Times New Roman"/>
          <w:color w:val="000000"/>
          <w:sz w:val="24"/>
          <w:szCs w:val="24"/>
        </w:rPr>
        <w:t>I</w:t>
      </w:r>
      <w:proofErr w:type="gramEnd"/>
      <w:r w:rsidR="00AD6AEA" w:rsidRPr="00AD6AEA">
        <w:rPr>
          <w:rFonts w:cs="Times New Roman"/>
          <w:color w:val="000000"/>
          <w:sz w:val="24"/>
          <w:szCs w:val="24"/>
        </w:rPr>
        <w:t xml:space="preserve"> returned to the public sector in December 2012 as the CEO of the 900-bed</w:t>
      </w:r>
      <w:r w:rsidR="00FC4400">
        <w:rPr>
          <w:rFonts w:cs="Times New Roman"/>
          <w:color w:val="000000"/>
          <w:sz w:val="24"/>
          <w:szCs w:val="24"/>
        </w:rPr>
        <w:t xml:space="preserve"> </w:t>
      </w:r>
      <w:r w:rsidR="00AD6AEA" w:rsidRPr="00AD6AEA">
        <w:rPr>
          <w:rFonts w:cs="Times New Roman"/>
          <w:color w:val="000000"/>
          <w:sz w:val="24"/>
          <w:szCs w:val="24"/>
        </w:rPr>
        <w:t>Frere Tertiary Hospital where I spearheaded a turnaround in patient outcomes</w:t>
      </w:r>
      <w:r w:rsidR="00FC4400">
        <w:rPr>
          <w:rFonts w:cs="Times New Roman"/>
          <w:color w:val="000000"/>
          <w:sz w:val="24"/>
          <w:szCs w:val="24"/>
        </w:rPr>
        <w:t xml:space="preserve"> </w:t>
      </w:r>
      <w:r w:rsidR="00AD6AEA" w:rsidRPr="00AD6AEA">
        <w:rPr>
          <w:rFonts w:cs="Times New Roman"/>
          <w:color w:val="000000"/>
          <w:sz w:val="24"/>
          <w:szCs w:val="24"/>
        </w:rPr>
        <w:t>and experience of care, with the Frere team. The improvement in quality of care</w:t>
      </w:r>
      <w:r w:rsidR="00FC4400">
        <w:rPr>
          <w:rFonts w:cs="Times New Roman"/>
          <w:color w:val="000000"/>
          <w:sz w:val="24"/>
          <w:szCs w:val="24"/>
        </w:rPr>
        <w:t xml:space="preserve"> </w:t>
      </w:r>
      <w:r w:rsidR="00AD6AEA" w:rsidRPr="00AD6AEA">
        <w:rPr>
          <w:rFonts w:cs="Times New Roman"/>
          <w:color w:val="000000"/>
          <w:sz w:val="24"/>
          <w:szCs w:val="24"/>
        </w:rPr>
        <w:t xml:space="preserve">was recognised when Frere Hospital received the prestigious Dr </w:t>
      </w:r>
      <w:proofErr w:type="spellStart"/>
      <w:r w:rsidR="00AD6AEA" w:rsidRPr="00AD6AEA">
        <w:rPr>
          <w:rFonts w:cs="Times New Roman"/>
          <w:color w:val="000000"/>
          <w:sz w:val="24"/>
          <w:szCs w:val="24"/>
        </w:rPr>
        <w:t>Kwang</w:t>
      </w:r>
      <w:proofErr w:type="spellEnd"/>
      <w:r w:rsidR="00AD6AEA" w:rsidRPr="00AD6AEA">
        <w:rPr>
          <w:rFonts w:cs="Times New Roman"/>
          <w:color w:val="000000"/>
          <w:sz w:val="24"/>
          <w:szCs w:val="24"/>
        </w:rPr>
        <w:t xml:space="preserve"> Tae Kim</w:t>
      </w:r>
      <w:r w:rsidR="00FC4400">
        <w:rPr>
          <w:rFonts w:cs="Times New Roman"/>
          <w:color w:val="000000"/>
          <w:sz w:val="24"/>
          <w:szCs w:val="24"/>
        </w:rPr>
        <w:t xml:space="preserve"> </w:t>
      </w:r>
      <w:r w:rsidR="00AD6AEA" w:rsidRPr="00AD6AEA">
        <w:rPr>
          <w:rFonts w:cs="Times New Roman"/>
          <w:color w:val="000000"/>
          <w:sz w:val="24"/>
          <w:szCs w:val="24"/>
        </w:rPr>
        <w:t>Merit Award in 2018 from the International Hospital Federation - the only African</w:t>
      </w:r>
      <w:r w:rsidR="00FC4400">
        <w:rPr>
          <w:rFonts w:cs="Times New Roman"/>
          <w:color w:val="000000"/>
          <w:sz w:val="24"/>
          <w:szCs w:val="24"/>
        </w:rPr>
        <w:t xml:space="preserve"> </w:t>
      </w:r>
      <w:r w:rsidR="00AD6AEA" w:rsidRPr="00AD6AEA">
        <w:rPr>
          <w:rFonts w:cs="Times New Roman"/>
          <w:color w:val="000000"/>
          <w:sz w:val="24"/>
          <w:szCs w:val="24"/>
        </w:rPr>
        <w:t>finalist amongst 27 finalists in the four categories from over 180 public and private</w:t>
      </w:r>
      <w:r w:rsidR="00FC4400">
        <w:rPr>
          <w:rFonts w:cs="Times New Roman"/>
          <w:color w:val="000000"/>
          <w:sz w:val="24"/>
          <w:szCs w:val="24"/>
        </w:rPr>
        <w:t xml:space="preserve"> </w:t>
      </w:r>
      <w:r w:rsidR="00AD6AEA" w:rsidRPr="00AD6AEA">
        <w:rPr>
          <w:rFonts w:cs="Times New Roman"/>
          <w:color w:val="000000"/>
          <w:sz w:val="24"/>
          <w:szCs w:val="24"/>
        </w:rPr>
        <w:t>sector entries world-wide.</w:t>
      </w:r>
    </w:p>
    <w:p w:rsidR="00AD6AEA" w:rsidRPr="00AD6AEA" w:rsidRDefault="00AD6AEA" w:rsidP="00770B5E">
      <w:pPr>
        <w:autoSpaceDE w:val="0"/>
        <w:autoSpaceDN w:val="0"/>
        <w:adjustRightInd w:val="0"/>
        <w:spacing w:after="0" w:line="240" w:lineRule="auto"/>
        <w:ind w:left="450" w:right="476"/>
        <w:rPr>
          <w:rFonts w:cs="Times New Roman"/>
          <w:color w:val="000000"/>
          <w:sz w:val="24"/>
          <w:szCs w:val="24"/>
        </w:rPr>
      </w:pPr>
    </w:p>
    <w:p w:rsidR="00AD6AEA" w:rsidRDefault="00321961" w:rsidP="00770B5E">
      <w:pPr>
        <w:autoSpaceDE w:val="0"/>
        <w:autoSpaceDN w:val="0"/>
        <w:adjustRightInd w:val="0"/>
        <w:spacing w:after="0" w:line="240" w:lineRule="auto"/>
        <w:ind w:left="450" w:right="476"/>
        <w:rPr>
          <w:rFonts w:cs="Times New Roman"/>
          <w:color w:val="000000"/>
          <w:sz w:val="24"/>
          <w:szCs w:val="24"/>
        </w:rPr>
      </w:pPr>
      <w:proofErr w:type="gramStart"/>
      <w:r>
        <w:rPr>
          <w:rFonts w:cs="Times New Roman"/>
          <w:color w:val="000000"/>
          <w:sz w:val="24"/>
          <w:szCs w:val="24"/>
        </w:rPr>
        <w:t xml:space="preserve">5  </w:t>
      </w:r>
      <w:r w:rsidR="00AD6AEA" w:rsidRPr="00AD6AEA">
        <w:rPr>
          <w:rFonts w:cs="Times New Roman"/>
          <w:color w:val="000000"/>
          <w:sz w:val="24"/>
          <w:szCs w:val="24"/>
        </w:rPr>
        <w:t>After</w:t>
      </w:r>
      <w:proofErr w:type="gramEnd"/>
      <w:r w:rsidR="00AD6AEA" w:rsidRPr="00AD6AEA">
        <w:rPr>
          <w:rFonts w:cs="Times New Roman"/>
          <w:color w:val="000000"/>
          <w:sz w:val="24"/>
          <w:szCs w:val="24"/>
        </w:rPr>
        <w:t xml:space="preserve"> serving as the Deputy Director-General: Hospitals and Clinical Support</w:t>
      </w:r>
      <w:r w:rsidR="00FC4400">
        <w:rPr>
          <w:rFonts w:cs="Times New Roman"/>
          <w:color w:val="000000"/>
          <w:sz w:val="24"/>
          <w:szCs w:val="24"/>
        </w:rPr>
        <w:t xml:space="preserve"> </w:t>
      </w:r>
      <w:r w:rsidR="00AD6AEA" w:rsidRPr="00AD6AEA">
        <w:rPr>
          <w:rFonts w:cs="Times New Roman"/>
          <w:color w:val="000000"/>
          <w:sz w:val="24"/>
          <w:szCs w:val="24"/>
        </w:rPr>
        <w:t xml:space="preserve">Management Services of the </w:t>
      </w:r>
      <w:proofErr w:type="spellStart"/>
      <w:r w:rsidR="00AD6AEA" w:rsidRPr="00AD6AEA">
        <w:rPr>
          <w:rFonts w:cs="Times New Roman"/>
          <w:color w:val="000000"/>
          <w:sz w:val="24"/>
          <w:szCs w:val="24"/>
        </w:rPr>
        <w:t>ECDoH</w:t>
      </w:r>
      <w:proofErr w:type="spellEnd"/>
      <w:r w:rsidR="00AD6AEA" w:rsidRPr="00AD6AEA">
        <w:rPr>
          <w:rFonts w:cs="Times New Roman"/>
          <w:color w:val="000000"/>
          <w:sz w:val="24"/>
          <w:szCs w:val="24"/>
        </w:rPr>
        <w:t>, I returned to the private healthcare sector.</w:t>
      </w:r>
      <w:r w:rsidR="00FC4400">
        <w:rPr>
          <w:rFonts w:cs="Times New Roman"/>
          <w:color w:val="000000"/>
          <w:sz w:val="24"/>
          <w:szCs w:val="24"/>
        </w:rPr>
        <w:t xml:space="preserve"> </w:t>
      </w:r>
      <w:r w:rsidR="00AD6AEA" w:rsidRPr="00AD6AEA">
        <w:rPr>
          <w:rFonts w:cs="Times New Roman"/>
          <w:color w:val="000000"/>
          <w:sz w:val="24"/>
          <w:szCs w:val="24"/>
        </w:rPr>
        <w:t xml:space="preserve">I was appointed as an executive in </w:t>
      </w:r>
      <w:proofErr w:type="spellStart"/>
      <w:r w:rsidR="00AD6AEA" w:rsidRPr="00AD6AEA">
        <w:rPr>
          <w:rFonts w:cs="Times New Roman"/>
          <w:color w:val="000000"/>
          <w:sz w:val="24"/>
          <w:szCs w:val="24"/>
        </w:rPr>
        <w:t>Netcare</w:t>
      </w:r>
      <w:proofErr w:type="spellEnd"/>
      <w:r w:rsidR="00AD6AEA" w:rsidRPr="00AD6AEA">
        <w:rPr>
          <w:rFonts w:cs="Times New Roman"/>
          <w:color w:val="000000"/>
          <w:sz w:val="24"/>
          <w:szCs w:val="24"/>
        </w:rPr>
        <w:t>, as th</w:t>
      </w:r>
      <w:r w:rsidR="00D84F69">
        <w:rPr>
          <w:rFonts w:cs="Times New Roman"/>
          <w:color w:val="000000"/>
          <w:sz w:val="24"/>
          <w:szCs w:val="24"/>
        </w:rPr>
        <w:t xml:space="preserve">e Medical Director of </w:t>
      </w:r>
      <w:proofErr w:type="spellStart"/>
      <w:r w:rsidR="00D84F69">
        <w:rPr>
          <w:rFonts w:cs="Times New Roman"/>
          <w:color w:val="000000"/>
          <w:sz w:val="24"/>
          <w:szCs w:val="24"/>
        </w:rPr>
        <w:t>Netcare’s</w:t>
      </w:r>
      <w:proofErr w:type="spellEnd"/>
      <w:r w:rsidR="00D84F69">
        <w:rPr>
          <w:rFonts w:cs="Times New Roman"/>
          <w:color w:val="000000"/>
          <w:sz w:val="24"/>
          <w:szCs w:val="24"/>
        </w:rPr>
        <w:t xml:space="preserve"> </w:t>
      </w:r>
      <w:r w:rsidR="00AD6AEA" w:rsidRPr="00AD6AEA">
        <w:rPr>
          <w:rFonts w:cs="Times New Roman"/>
          <w:color w:val="000000"/>
          <w:sz w:val="24"/>
          <w:szCs w:val="24"/>
        </w:rPr>
        <w:t>Primary Care Division on 1 August 2019. The main focus of my position was to</w:t>
      </w:r>
      <w:r w:rsidR="00AD6AEA">
        <w:rPr>
          <w:rFonts w:cs="Times New Roman"/>
          <w:color w:val="000000"/>
          <w:sz w:val="24"/>
          <w:szCs w:val="24"/>
        </w:rPr>
        <w:t xml:space="preserve"> </w:t>
      </w:r>
      <w:r w:rsidR="00AD6AEA" w:rsidRPr="00AD6AEA">
        <w:rPr>
          <w:rFonts w:cs="Times New Roman"/>
          <w:color w:val="000000"/>
          <w:sz w:val="24"/>
          <w:szCs w:val="24"/>
        </w:rPr>
        <w:t>promote the consistent provision of q</w:t>
      </w:r>
      <w:r w:rsidR="00D84F69">
        <w:rPr>
          <w:rFonts w:cs="Times New Roman"/>
          <w:color w:val="000000"/>
          <w:sz w:val="24"/>
          <w:szCs w:val="24"/>
        </w:rPr>
        <w:t xml:space="preserve">uality primary care services by </w:t>
      </w:r>
      <w:r w:rsidR="00AD6AEA" w:rsidRPr="00AD6AEA">
        <w:rPr>
          <w:rFonts w:cs="Times New Roman"/>
          <w:color w:val="000000"/>
          <w:sz w:val="24"/>
          <w:szCs w:val="24"/>
        </w:rPr>
        <w:t>implementing programmes that pursue the quad</w:t>
      </w:r>
      <w:r w:rsidR="00D84F69">
        <w:rPr>
          <w:rFonts w:cs="Times New Roman"/>
          <w:color w:val="000000"/>
          <w:sz w:val="24"/>
          <w:szCs w:val="24"/>
        </w:rPr>
        <w:t xml:space="preserve">ruple aim of quality healthcare </w:t>
      </w:r>
      <w:r w:rsidR="00AD6AEA" w:rsidRPr="00AD6AEA">
        <w:rPr>
          <w:rFonts w:cs="Times New Roman"/>
          <w:color w:val="000000"/>
          <w:sz w:val="24"/>
          <w:szCs w:val="24"/>
        </w:rPr>
        <w:t>(i.e. enhancing patient experience, improving pop</w:t>
      </w:r>
      <w:r w:rsidR="00D84F69">
        <w:rPr>
          <w:rFonts w:cs="Times New Roman"/>
          <w:color w:val="000000"/>
          <w:sz w:val="24"/>
          <w:szCs w:val="24"/>
        </w:rPr>
        <w:t xml:space="preserve">ulation health, reducing costs, </w:t>
      </w:r>
      <w:r w:rsidR="00AD6AEA" w:rsidRPr="00AD6AEA">
        <w:rPr>
          <w:rFonts w:cs="Times New Roman"/>
          <w:color w:val="000000"/>
          <w:sz w:val="24"/>
          <w:szCs w:val="24"/>
        </w:rPr>
        <w:t xml:space="preserve">and improving the working life of healthcare </w:t>
      </w:r>
      <w:r w:rsidR="00D84F69">
        <w:rPr>
          <w:rFonts w:cs="Times New Roman"/>
          <w:color w:val="000000"/>
          <w:sz w:val="24"/>
          <w:szCs w:val="24"/>
        </w:rPr>
        <w:t xml:space="preserve">workers). During this tenure, I </w:t>
      </w:r>
      <w:r w:rsidR="00AD6AEA" w:rsidRPr="00AD6AEA">
        <w:rPr>
          <w:rFonts w:cs="Times New Roman"/>
          <w:color w:val="000000"/>
          <w:sz w:val="24"/>
          <w:szCs w:val="24"/>
        </w:rPr>
        <w:t>developed a strategic framework that aligned the Division</w:t>
      </w:r>
      <w:r w:rsidR="00D84F69">
        <w:rPr>
          <w:rFonts w:cs="Times New Roman"/>
          <w:color w:val="000000"/>
          <w:sz w:val="24"/>
          <w:szCs w:val="24"/>
        </w:rPr>
        <w:t xml:space="preserve">’s activities with this </w:t>
      </w:r>
      <w:r w:rsidR="00AD6AEA" w:rsidRPr="00AD6AEA">
        <w:rPr>
          <w:rFonts w:cs="Times New Roman"/>
          <w:color w:val="000000"/>
          <w:sz w:val="24"/>
          <w:szCs w:val="24"/>
        </w:rPr>
        <w:t>quadruple aim; and embarked on a road show t</w:t>
      </w:r>
      <w:r w:rsidR="00D84F69">
        <w:rPr>
          <w:rFonts w:cs="Times New Roman"/>
          <w:color w:val="000000"/>
          <w:sz w:val="24"/>
          <w:szCs w:val="24"/>
        </w:rPr>
        <w:t xml:space="preserve">o 61 </w:t>
      </w:r>
      <w:proofErr w:type="spellStart"/>
      <w:r w:rsidR="00D84F69">
        <w:rPr>
          <w:rFonts w:cs="Times New Roman"/>
          <w:color w:val="000000"/>
          <w:sz w:val="24"/>
          <w:szCs w:val="24"/>
        </w:rPr>
        <w:t>Medicross</w:t>
      </w:r>
      <w:proofErr w:type="spellEnd"/>
      <w:r w:rsidR="00D84F69">
        <w:rPr>
          <w:rFonts w:cs="Times New Roman"/>
          <w:color w:val="000000"/>
          <w:sz w:val="24"/>
          <w:szCs w:val="24"/>
        </w:rPr>
        <w:t xml:space="preserve"> practices across </w:t>
      </w:r>
      <w:r w:rsidR="00AD6AEA" w:rsidRPr="00AD6AEA">
        <w:rPr>
          <w:rFonts w:cs="Times New Roman"/>
          <w:color w:val="000000"/>
          <w:sz w:val="24"/>
          <w:szCs w:val="24"/>
        </w:rPr>
        <w:t xml:space="preserve">the country with colleagues, to engage doctors </w:t>
      </w:r>
      <w:r w:rsidR="00D84F69">
        <w:rPr>
          <w:rFonts w:cs="Times New Roman"/>
          <w:color w:val="000000"/>
          <w:sz w:val="24"/>
          <w:szCs w:val="24"/>
        </w:rPr>
        <w:t xml:space="preserve">and secure their buy-in for the </w:t>
      </w:r>
      <w:r w:rsidR="00AD6AEA" w:rsidRPr="00AD6AEA">
        <w:rPr>
          <w:rFonts w:cs="Times New Roman"/>
          <w:color w:val="000000"/>
          <w:sz w:val="24"/>
          <w:szCs w:val="24"/>
        </w:rPr>
        <w:t>proposed activities. The proposed projects were aimed at transforming current</w:t>
      </w:r>
      <w:r w:rsidR="00D84F69">
        <w:rPr>
          <w:rFonts w:cs="Times New Roman"/>
          <w:color w:val="000000"/>
          <w:sz w:val="24"/>
          <w:szCs w:val="24"/>
        </w:rPr>
        <w:t xml:space="preserve"> </w:t>
      </w:r>
      <w:r w:rsidR="00AD6AEA" w:rsidRPr="00AD6AEA">
        <w:rPr>
          <w:rFonts w:cs="Times New Roman"/>
          <w:color w:val="000000"/>
          <w:sz w:val="24"/>
          <w:szCs w:val="24"/>
        </w:rPr>
        <w:t>practice, in anticipation of major health sector r</w:t>
      </w:r>
      <w:r w:rsidR="00D84F69">
        <w:rPr>
          <w:rFonts w:cs="Times New Roman"/>
          <w:color w:val="000000"/>
          <w:sz w:val="24"/>
          <w:szCs w:val="24"/>
        </w:rPr>
        <w:t xml:space="preserve">eform, to meet the needs of our </w:t>
      </w:r>
      <w:r w:rsidR="00AD6AEA" w:rsidRPr="00AD6AEA">
        <w:rPr>
          <w:rFonts w:cs="Times New Roman"/>
          <w:color w:val="000000"/>
          <w:sz w:val="24"/>
          <w:szCs w:val="24"/>
        </w:rPr>
        <w:t>citizens, whilst ensuring a viable business model.</w:t>
      </w:r>
    </w:p>
    <w:p w:rsidR="0066634F" w:rsidRPr="00AD6AEA" w:rsidRDefault="0066634F" w:rsidP="00770B5E">
      <w:pPr>
        <w:autoSpaceDE w:val="0"/>
        <w:autoSpaceDN w:val="0"/>
        <w:adjustRightInd w:val="0"/>
        <w:spacing w:after="0" w:line="240" w:lineRule="auto"/>
        <w:ind w:left="450" w:right="476"/>
        <w:rPr>
          <w:rFonts w:cs="Times New Roman"/>
          <w:color w:val="000000"/>
          <w:sz w:val="24"/>
          <w:szCs w:val="24"/>
        </w:rPr>
      </w:pPr>
    </w:p>
    <w:p w:rsidR="00AD6AEA" w:rsidRDefault="00321961" w:rsidP="00770B5E">
      <w:pPr>
        <w:autoSpaceDE w:val="0"/>
        <w:autoSpaceDN w:val="0"/>
        <w:adjustRightInd w:val="0"/>
        <w:spacing w:after="0" w:line="240" w:lineRule="auto"/>
        <w:ind w:left="450" w:right="476"/>
        <w:rPr>
          <w:rFonts w:cs="Times New Roman"/>
          <w:color w:val="000000"/>
          <w:sz w:val="24"/>
          <w:szCs w:val="24"/>
        </w:rPr>
      </w:pPr>
      <w:r>
        <w:rPr>
          <w:rFonts w:cs="Times New Roman"/>
          <w:color w:val="000000"/>
          <w:sz w:val="24"/>
          <w:szCs w:val="24"/>
        </w:rPr>
        <w:t xml:space="preserve">6  I </w:t>
      </w:r>
      <w:r w:rsidR="00AD6AEA" w:rsidRPr="00AD6AEA">
        <w:rPr>
          <w:rFonts w:cs="Times New Roman"/>
          <w:color w:val="000000"/>
          <w:sz w:val="24"/>
          <w:szCs w:val="24"/>
        </w:rPr>
        <w:t xml:space="preserve">also headed the team reviewing the </w:t>
      </w:r>
      <w:r>
        <w:rPr>
          <w:rFonts w:cs="Times New Roman"/>
          <w:color w:val="000000"/>
          <w:sz w:val="24"/>
          <w:szCs w:val="24"/>
        </w:rPr>
        <w:t xml:space="preserve">Primary Care Division’s Quality </w:t>
      </w:r>
      <w:r w:rsidR="00AD6AEA" w:rsidRPr="00AD6AEA">
        <w:rPr>
          <w:rFonts w:cs="Times New Roman"/>
          <w:color w:val="000000"/>
          <w:sz w:val="24"/>
          <w:szCs w:val="24"/>
        </w:rPr>
        <w:t xml:space="preserve">Management System; and, in collaboration with the </w:t>
      </w:r>
      <w:r w:rsidR="006179C8">
        <w:rPr>
          <w:rFonts w:cs="Times New Roman"/>
          <w:color w:val="000000"/>
          <w:sz w:val="24"/>
          <w:szCs w:val="24"/>
        </w:rPr>
        <w:t xml:space="preserve">key stakeholders, developed </w:t>
      </w:r>
      <w:r w:rsidR="00AD6AEA" w:rsidRPr="00AD6AEA">
        <w:rPr>
          <w:rFonts w:cs="Times New Roman"/>
          <w:color w:val="000000"/>
          <w:sz w:val="24"/>
          <w:szCs w:val="24"/>
        </w:rPr>
        <w:t>a concept document that looked at not only simplify</w:t>
      </w:r>
      <w:r w:rsidR="006179C8">
        <w:rPr>
          <w:rFonts w:cs="Times New Roman"/>
          <w:color w:val="000000"/>
          <w:sz w:val="24"/>
          <w:szCs w:val="24"/>
        </w:rPr>
        <w:t xml:space="preserve">ing and integrating the various </w:t>
      </w:r>
      <w:r w:rsidR="00AD6AEA" w:rsidRPr="00AD6AEA">
        <w:rPr>
          <w:rFonts w:cs="Times New Roman"/>
          <w:color w:val="000000"/>
          <w:sz w:val="24"/>
          <w:szCs w:val="24"/>
        </w:rPr>
        <w:t>quality assurance measures (such as Ideal Clinic</w:t>
      </w:r>
      <w:r w:rsidR="006179C8">
        <w:rPr>
          <w:rFonts w:cs="Times New Roman"/>
          <w:color w:val="000000"/>
          <w:sz w:val="24"/>
          <w:szCs w:val="24"/>
        </w:rPr>
        <w:t xml:space="preserve">, </w:t>
      </w:r>
      <w:proofErr w:type="spellStart"/>
      <w:r w:rsidR="006179C8">
        <w:rPr>
          <w:rFonts w:cs="Times New Roman"/>
          <w:color w:val="000000"/>
          <w:sz w:val="24"/>
          <w:szCs w:val="24"/>
        </w:rPr>
        <w:t>Netcare</w:t>
      </w:r>
      <w:proofErr w:type="spellEnd"/>
      <w:r w:rsidR="006179C8">
        <w:rPr>
          <w:rFonts w:cs="Times New Roman"/>
          <w:color w:val="000000"/>
          <w:sz w:val="24"/>
          <w:szCs w:val="24"/>
        </w:rPr>
        <w:t xml:space="preserve"> and British Standards </w:t>
      </w:r>
      <w:r w:rsidR="00AD6AEA" w:rsidRPr="00AD6AEA">
        <w:rPr>
          <w:rFonts w:cs="Times New Roman"/>
          <w:color w:val="000000"/>
          <w:sz w:val="24"/>
          <w:szCs w:val="24"/>
        </w:rPr>
        <w:t xml:space="preserve">Institute’s </w:t>
      </w:r>
      <w:r w:rsidR="00AD6AEA" w:rsidRPr="00AD6AEA">
        <w:rPr>
          <w:rFonts w:cs="Times New Roman"/>
          <w:color w:val="000000"/>
          <w:sz w:val="24"/>
          <w:szCs w:val="24"/>
        </w:rPr>
        <w:lastRenderedPageBreak/>
        <w:t>standards) but also explored ways of positioning qual</w:t>
      </w:r>
      <w:r w:rsidR="006179C8">
        <w:rPr>
          <w:rFonts w:cs="Times New Roman"/>
          <w:color w:val="000000"/>
          <w:sz w:val="24"/>
          <w:szCs w:val="24"/>
        </w:rPr>
        <w:t xml:space="preserve">ity at the centre </w:t>
      </w:r>
      <w:r w:rsidR="00AD6AEA" w:rsidRPr="00AD6AEA">
        <w:rPr>
          <w:rFonts w:cs="Times New Roman"/>
          <w:color w:val="000000"/>
          <w:sz w:val="24"/>
          <w:szCs w:val="24"/>
        </w:rPr>
        <w:t>of the Division’s business and promoting</w:t>
      </w:r>
      <w:r w:rsidR="006179C8">
        <w:rPr>
          <w:rFonts w:cs="Times New Roman"/>
          <w:color w:val="000000"/>
          <w:sz w:val="24"/>
          <w:szCs w:val="24"/>
        </w:rPr>
        <w:t xml:space="preserve"> the continuous improvement and </w:t>
      </w:r>
      <w:r w:rsidR="00AD6AEA" w:rsidRPr="00AD6AEA">
        <w:rPr>
          <w:rFonts w:cs="Times New Roman"/>
          <w:color w:val="000000"/>
          <w:sz w:val="24"/>
          <w:szCs w:val="24"/>
        </w:rPr>
        <w:t>maintenance of world class healthcare st</w:t>
      </w:r>
      <w:r w:rsidR="006179C8">
        <w:rPr>
          <w:rFonts w:cs="Times New Roman"/>
          <w:color w:val="000000"/>
          <w:sz w:val="24"/>
          <w:szCs w:val="24"/>
        </w:rPr>
        <w:t xml:space="preserve">andards. We developed a quality </w:t>
      </w:r>
      <w:r w:rsidR="00AD6AEA" w:rsidRPr="00AD6AEA">
        <w:rPr>
          <w:rFonts w:cs="Times New Roman"/>
          <w:color w:val="000000"/>
          <w:sz w:val="24"/>
          <w:szCs w:val="24"/>
        </w:rPr>
        <w:t xml:space="preserve">assessment tool that integrated the Ideal Clinic, </w:t>
      </w:r>
      <w:r w:rsidR="006179C8">
        <w:rPr>
          <w:rFonts w:cs="Times New Roman"/>
          <w:color w:val="000000"/>
          <w:sz w:val="24"/>
          <w:szCs w:val="24"/>
        </w:rPr>
        <w:t xml:space="preserve">British Standards Institute ISO </w:t>
      </w:r>
      <w:r w:rsidR="00AD6AEA" w:rsidRPr="00AD6AEA">
        <w:rPr>
          <w:rFonts w:cs="Times New Roman"/>
          <w:color w:val="000000"/>
          <w:sz w:val="24"/>
          <w:szCs w:val="24"/>
        </w:rPr>
        <w:t xml:space="preserve">2009:2015 and </w:t>
      </w:r>
      <w:proofErr w:type="spellStart"/>
      <w:r w:rsidR="00AD6AEA" w:rsidRPr="00AD6AEA">
        <w:rPr>
          <w:rFonts w:cs="Times New Roman"/>
          <w:color w:val="000000"/>
          <w:sz w:val="24"/>
          <w:szCs w:val="24"/>
        </w:rPr>
        <w:t>Netcare</w:t>
      </w:r>
      <w:proofErr w:type="spellEnd"/>
      <w:r w:rsidR="00AD6AEA" w:rsidRPr="00AD6AEA">
        <w:rPr>
          <w:rFonts w:cs="Times New Roman"/>
          <w:color w:val="000000"/>
          <w:sz w:val="24"/>
          <w:szCs w:val="24"/>
        </w:rPr>
        <w:t xml:space="preserve"> critical service stand</w:t>
      </w:r>
      <w:r w:rsidR="006179C8">
        <w:rPr>
          <w:rFonts w:cs="Times New Roman"/>
          <w:color w:val="000000"/>
          <w:sz w:val="24"/>
          <w:szCs w:val="24"/>
        </w:rPr>
        <w:t xml:space="preserve">ards into a single tool for the </w:t>
      </w:r>
      <w:proofErr w:type="spellStart"/>
      <w:r w:rsidR="00AD6AEA" w:rsidRPr="00AD6AEA">
        <w:rPr>
          <w:rFonts w:cs="Times New Roman"/>
          <w:color w:val="000000"/>
          <w:sz w:val="24"/>
          <w:szCs w:val="24"/>
        </w:rPr>
        <w:t>Medicross</w:t>
      </w:r>
      <w:proofErr w:type="spellEnd"/>
      <w:r w:rsidR="00AD6AEA" w:rsidRPr="00AD6AEA">
        <w:rPr>
          <w:rFonts w:cs="Times New Roman"/>
          <w:color w:val="000000"/>
          <w:sz w:val="24"/>
          <w:szCs w:val="24"/>
        </w:rPr>
        <w:t xml:space="preserve"> facilities.</w:t>
      </w:r>
    </w:p>
    <w:p w:rsidR="00AD6AEA" w:rsidRPr="00AD6AEA" w:rsidRDefault="00AD6AEA" w:rsidP="00770B5E">
      <w:pPr>
        <w:autoSpaceDE w:val="0"/>
        <w:autoSpaceDN w:val="0"/>
        <w:adjustRightInd w:val="0"/>
        <w:spacing w:after="0" w:line="240" w:lineRule="auto"/>
        <w:ind w:left="450" w:right="476"/>
        <w:rPr>
          <w:rFonts w:cs="Times New Roman"/>
          <w:color w:val="000000"/>
          <w:sz w:val="24"/>
          <w:szCs w:val="24"/>
        </w:rPr>
      </w:pPr>
    </w:p>
    <w:p w:rsidR="00AD6AEA" w:rsidRPr="0018591A" w:rsidRDefault="00D95A45" w:rsidP="00770B5E">
      <w:pPr>
        <w:autoSpaceDE w:val="0"/>
        <w:autoSpaceDN w:val="0"/>
        <w:adjustRightInd w:val="0"/>
        <w:spacing w:after="0" w:line="240" w:lineRule="auto"/>
        <w:ind w:left="450" w:right="476"/>
        <w:rPr>
          <w:rFonts w:cs="Times New Roman"/>
          <w:color w:val="000000"/>
          <w:sz w:val="24"/>
          <w:szCs w:val="24"/>
        </w:rPr>
      </w:pPr>
      <w:proofErr w:type="gramStart"/>
      <w:r>
        <w:rPr>
          <w:rFonts w:cs="Times New Roman"/>
          <w:color w:val="000000"/>
          <w:sz w:val="24"/>
          <w:szCs w:val="24"/>
        </w:rPr>
        <w:t xml:space="preserve">7  </w:t>
      </w:r>
      <w:r w:rsidR="00AD6AEA" w:rsidRPr="00AD6AEA">
        <w:rPr>
          <w:rFonts w:cs="Times New Roman"/>
          <w:color w:val="000000"/>
          <w:sz w:val="24"/>
          <w:szCs w:val="24"/>
        </w:rPr>
        <w:t>I</w:t>
      </w:r>
      <w:proofErr w:type="gramEnd"/>
      <w:r w:rsidR="00AD6AEA" w:rsidRPr="00AD6AEA">
        <w:rPr>
          <w:rFonts w:cs="Times New Roman"/>
          <w:color w:val="000000"/>
          <w:sz w:val="24"/>
          <w:szCs w:val="24"/>
        </w:rPr>
        <w:t xml:space="preserve"> have a specific interest and passion for </w:t>
      </w:r>
      <w:r w:rsidR="0018591A">
        <w:rPr>
          <w:rFonts w:cs="Times New Roman"/>
          <w:color w:val="000000"/>
          <w:sz w:val="24"/>
          <w:szCs w:val="24"/>
        </w:rPr>
        <w:t xml:space="preserve">developing clinical performance </w:t>
      </w:r>
      <w:r w:rsidR="00AD6AEA" w:rsidRPr="00AD6AEA">
        <w:rPr>
          <w:rFonts w:cs="Times New Roman"/>
          <w:color w:val="000000"/>
          <w:sz w:val="24"/>
          <w:szCs w:val="24"/>
        </w:rPr>
        <w:t xml:space="preserve">management systems. I coordinated the primary </w:t>
      </w:r>
      <w:r w:rsidR="0018591A">
        <w:rPr>
          <w:rFonts w:cs="Times New Roman"/>
          <w:color w:val="000000"/>
          <w:sz w:val="24"/>
          <w:szCs w:val="24"/>
        </w:rPr>
        <w:t xml:space="preserve">Care Division’s response to the </w:t>
      </w:r>
      <w:r w:rsidR="00AD6AEA" w:rsidRPr="00AD6AEA">
        <w:rPr>
          <w:rFonts w:cs="Times New Roman"/>
          <w:color w:val="000000"/>
          <w:sz w:val="24"/>
          <w:szCs w:val="24"/>
        </w:rPr>
        <w:t>SARS-COVID19 pandemic, providing clinical lea</w:t>
      </w:r>
      <w:r w:rsidR="0018591A">
        <w:rPr>
          <w:rFonts w:cs="Times New Roman"/>
          <w:color w:val="000000"/>
          <w:sz w:val="24"/>
          <w:szCs w:val="24"/>
        </w:rPr>
        <w:t xml:space="preserve">dership to the doctors, nurses, </w:t>
      </w:r>
      <w:r w:rsidR="00AD6AEA" w:rsidRPr="00AD6AEA">
        <w:rPr>
          <w:rFonts w:cs="Times New Roman"/>
          <w:color w:val="000000"/>
          <w:sz w:val="24"/>
          <w:szCs w:val="24"/>
        </w:rPr>
        <w:t>dentists and staff during both first and second resurgences and ensuring</w:t>
      </w:r>
      <w:r w:rsidR="0018591A">
        <w:rPr>
          <w:rFonts w:cs="Times New Roman"/>
          <w:color w:val="000000"/>
          <w:sz w:val="24"/>
          <w:szCs w:val="24"/>
        </w:rPr>
        <w:t xml:space="preserve"> </w:t>
      </w:r>
      <w:r w:rsidR="00AD6AEA" w:rsidRPr="00AD6AEA">
        <w:rPr>
          <w:rFonts w:cs="Times New Roman"/>
          <w:color w:val="000000"/>
          <w:sz w:val="24"/>
          <w:szCs w:val="24"/>
        </w:rPr>
        <w:t>vaccination of the Division’s healthcare workers.</w:t>
      </w:r>
      <w:r w:rsidR="00AD6AEA">
        <w:rPr>
          <w:rFonts w:cs="Times New Roman"/>
          <w:color w:val="000000"/>
          <w:sz w:val="24"/>
          <w:szCs w:val="24"/>
        </w:rPr>
        <w:t>”</w:t>
      </w:r>
    </w:p>
    <w:p w:rsidR="004E05FF" w:rsidRPr="00AD6AEA" w:rsidRDefault="004E05FF" w:rsidP="00314C94">
      <w:pPr>
        <w:ind w:right="-57"/>
        <w:rPr>
          <w:rFonts w:cs="Times New Roman"/>
          <w:sz w:val="24"/>
          <w:szCs w:val="24"/>
        </w:rPr>
      </w:pPr>
    </w:p>
    <w:p w:rsidR="004E05FF" w:rsidRDefault="00B03267" w:rsidP="0066634F">
      <w:pPr>
        <w:ind w:left="-57" w:right="-57"/>
        <w:rPr>
          <w:rFonts w:cs="Times New Roman"/>
          <w:szCs w:val="28"/>
        </w:rPr>
      </w:pPr>
      <w:r>
        <w:rPr>
          <w:rFonts w:cs="Times New Roman"/>
          <w:szCs w:val="28"/>
        </w:rPr>
        <w:t>[72</w:t>
      </w:r>
      <w:r w:rsidR="008C2574">
        <w:rPr>
          <w:rFonts w:cs="Times New Roman"/>
          <w:szCs w:val="28"/>
        </w:rPr>
        <w:t>]</w:t>
      </w:r>
      <w:r w:rsidR="008C2574">
        <w:rPr>
          <w:rFonts w:cs="Times New Roman"/>
          <w:szCs w:val="28"/>
        </w:rPr>
        <w:tab/>
      </w:r>
      <w:r w:rsidR="0066634F">
        <w:rPr>
          <w:rFonts w:cs="Times New Roman"/>
          <w:szCs w:val="28"/>
        </w:rPr>
        <w:t xml:space="preserve">She confirmed the evidence of Mr </w:t>
      </w:r>
      <w:proofErr w:type="spellStart"/>
      <w:r w:rsidR="0066634F">
        <w:rPr>
          <w:rFonts w:cs="Times New Roman"/>
          <w:szCs w:val="28"/>
        </w:rPr>
        <w:t>Frachet</w:t>
      </w:r>
      <w:proofErr w:type="spellEnd"/>
      <w:r w:rsidR="0066634F">
        <w:rPr>
          <w:rFonts w:cs="Times New Roman"/>
          <w:szCs w:val="28"/>
        </w:rPr>
        <w:t xml:space="preserve"> as, as accounting officer, she is responsible </w:t>
      </w:r>
      <w:r w:rsidR="0066634F" w:rsidRPr="0098553D">
        <w:rPr>
          <w:rFonts w:cs="Times New Roman"/>
          <w:i/>
          <w:iCs/>
          <w:szCs w:val="28"/>
        </w:rPr>
        <w:t>inter alia</w:t>
      </w:r>
      <w:r w:rsidR="0066634F">
        <w:rPr>
          <w:rFonts w:cs="Times New Roman"/>
          <w:szCs w:val="28"/>
        </w:rPr>
        <w:t xml:space="preserve"> for ensuring that there are adequate systems in place to prevent, monitor and address financial misconduct when it occurs. She is also responsible for budgeting </w:t>
      </w:r>
      <w:r w:rsidR="004822F2">
        <w:rPr>
          <w:rFonts w:cs="Times New Roman"/>
          <w:szCs w:val="28"/>
        </w:rPr>
        <w:t>for</w:t>
      </w:r>
      <w:r w:rsidR="0066634F">
        <w:rPr>
          <w:rFonts w:cs="Times New Roman"/>
          <w:szCs w:val="28"/>
        </w:rPr>
        <w:t xml:space="preserve"> provi</w:t>
      </w:r>
      <w:r w:rsidR="004822F2">
        <w:rPr>
          <w:rFonts w:cs="Times New Roman"/>
          <w:szCs w:val="28"/>
        </w:rPr>
        <w:t>sion of</w:t>
      </w:r>
      <w:r w:rsidR="0066634F">
        <w:rPr>
          <w:rFonts w:cs="Times New Roman"/>
          <w:szCs w:val="28"/>
        </w:rPr>
        <w:t xml:space="preserve"> necessary healthcare services. She confirmed that lump sum payments have impacted negatively on the department’s operating budget. The outflow of funds from the department for such claims has increased exponentially year by year. She affirmed that each such payment comes with an opportunity cost to the department and results in money being taken away from other services. In her words, she said it is “a </w:t>
      </w:r>
      <w:r w:rsidR="0098553D">
        <w:rPr>
          <w:rFonts w:cs="Times New Roman"/>
          <w:szCs w:val="28"/>
        </w:rPr>
        <w:t>never-ending</w:t>
      </w:r>
      <w:r w:rsidR="0066634F">
        <w:rPr>
          <w:rFonts w:cs="Times New Roman"/>
          <w:szCs w:val="28"/>
        </w:rPr>
        <w:t xml:space="preserve"> downward tightening, ever tightening spiral if we continue to pay in this mechanism.” In her view, the department’s liquidity problems threaten the liquidity of the rest of the provincial government.</w:t>
      </w:r>
    </w:p>
    <w:p w:rsidR="0066634F" w:rsidRDefault="0066634F" w:rsidP="0066634F">
      <w:pPr>
        <w:ind w:left="-57" w:right="-57"/>
        <w:rPr>
          <w:rFonts w:cs="Times New Roman"/>
          <w:szCs w:val="28"/>
        </w:rPr>
      </w:pPr>
    </w:p>
    <w:p w:rsidR="0066634F" w:rsidRDefault="00B03267" w:rsidP="0066634F">
      <w:pPr>
        <w:ind w:left="-57" w:right="-57"/>
        <w:rPr>
          <w:rFonts w:cs="Times New Roman"/>
          <w:szCs w:val="28"/>
        </w:rPr>
      </w:pPr>
      <w:r>
        <w:rPr>
          <w:rFonts w:cs="Times New Roman"/>
          <w:szCs w:val="28"/>
        </w:rPr>
        <w:t>[73</w:t>
      </w:r>
      <w:r w:rsidR="008C2574">
        <w:rPr>
          <w:rFonts w:cs="Times New Roman"/>
          <w:szCs w:val="28"/>
        </w:rPr>
        <w:t>]</w:t>
      </w:r>
      <w:r w:rsidR="008C2574">
        <w:rPr>
          <w:rFonts w:cs="Times New Roman"/>
          <w:szCs w:val="28"/>
        </w:rPr>
        <w:tab/>
      </w:r>
      <w:r w:rsidR="0066634F">
        <w:rPr>
          <w:rFonts w:cs="Times New Roman"/>
          <w:szCs w:val="28"/>
        </w:rPr>
        <w:t xml:space="preserve">She also testified that such lump-sum payments similarly impacted the private healthcare sector. Responding to a question from the court, she testified that </w:t>
      </w:r>
      <w:r w:rsidR="0098553D">
        <w:rPr>
          <w:rFonts w:cs="Times New Roman"/>
          <w:szCs w:val="28"/>
        </w:rPr>
        <w:t>after</w:t>
      </w:r>
      <w:r w:rsidR="0066634F">
        <w:rPr>
          <w:rFonts w:cs="Times New Roman"/>
          <w:szCs w:val="28"/>
        </w:rPr>
        <w:t xml:space="preserve"> the Road Accident Fund Amendment Act (</w:t>
      </w:r>
      <w:r w:rsidR="0098553D">
        <w:rPr>
          <w:rFonts w:cs="Times New Roman"/>
          <w:szCs w:val="28"/>
        </w:rPr>
        <w:t>19 of 2005</w:t>
      </w:r>
      <w:r w:rsidR="0066634F">
        <w:rPr>
          <w:rFonts w:cs="Times New Roman"/>
          <w:szCs w:val="28"/>
        </w:rPr>
        <w:t>) which came into effect during 2008, there followed a notable increase in both the volume of medico</w:t>
      </w:r>
      <w:r w:rsidR="001D2532">
        <w:rPr>
          <w:rFonts w:cs="Times New Roman"/>
          <w:szCs w:val="28"/>
        </w:rPr>
        <w:t>-</w:t>
      </w:r>
      <w:r w:rsidR="0066634F">
        <w:rPr>
          <w:rFonts w:cs="Times New Roman"/>
          <w:szCs w:val="28"/>
        </w:rPr>
        <w:t>legal claims and their quantum in the private and public sector. This has resulted in the cost of professional insurance for obstetricians</w:t>
      </w:r>
      <w:r w:rsidR="0098553D">
        <w:rPr>
          <w:rFonts w:cs="Times New Roman"/>
          <w:szCs w:val="28"/>
        </w:rPr>
        <w:t xml:space="preserve"> escalating </w:t>
      </w:r>
      <w:r w:rsidR="0066634F">
        <w:rPr>
          <w:rFonts w:cs="Times New Roman"/>
          <w:szCs w:val="28"/>
        </w:rPr>
        <w:t xml:space="preserve">at an alarming rate. Indeed, many such obstetricians have indicated that they do not see themselves continuing in practice in five </w:t>
      </w:r>
      <w:r w:rsidR="0098553D">
        <w:rPr>
          <w:rFonts w:cs="Times New Roman"/>
          <w:szCs w:val="28"/>
        </w:rPr>
        <w:t>years’ time</w:t>
      </w:r>
      <w:r w:rsidR="0066634F">
        <w:rPr>
          <w:rFonts w:cs="Times New Roman"/>
          <w:szCs w:val="28"/>
        </w:rPr>
        <w:t xml:space="preserve"> as a consequence. This, she </w:t>
      </w:r>
      <w:r w:rsidR="0066634F">
        <w:rPr>
          <w:rFonts w:cs="Times New Roman"/>
          <w:szCs w:val="28"/>
        </w:rPr>
        <w:lastRenderedPageBreak/>
        <w:t>said, in turn will become the public sector’s problem if people with medical insurance can no longer access private obstetric care. At present there are up to 125,000 births annually in the private sector.</w:t>
      </w:r>
      <w:r w:rsidR="0098553D">
        <w:rPr>
          <w:rFonts w:cs="Times New Roman"/>
          <w:szCs w:val="28"/>
        </w:rPr>
        <w:t xml:space="preserve"> This would increasingly become an additional burden upon the public healthcare system. She added that neurosurgery in the private sector is similarly </w:t>
      </w:r>
      <w:r w:rsidR="0098553D" w:rsidRPr="0098553D">
        <w:rPr>
          <w:rFonts w:cs="Times New Roman"/>
          <w:szCs w:val="28"/>
        </w:rPr>
        <w:t>affected.</w:t>
      </w:r>
      <w:r w:rsidR="0098553D">
        <w:rPr>
          <w:rFonts w:cs="Times New Roman"/>
          <w:szCs w:val="28"/>
        </w:rPr>
        <w:t xml:space="preserve"> All this</w:t>
      </w:r>
      <w:r w:rsidR="0098553D" w:rsidRPr="0098553D">
        <w:rPr>
          <w:rFonts w:cs="Times New Roman"/>
          <w:szCs w:val="28"/>
        </w:rPr>
        <w:t>,</w:t>
      </w:r>
      <w:r w:rsidR="0098553D" w:rsidRPr="0098553D">
        <w:rPr>
          <w:rFonts w:cs="Times New Roman"/>
          <w:b/>
          <w:bCs/>
          <w:szCs w:val="28"/>
        </w:rPr>
        <w:t xml:space="preserve"> </w:t>
      </w:r>
      <w:r w:rsidR="0098553D">
        <w:rPr>
          <w:rFonts w:cs="Times New Roman"/>
          <w:szCs w:val="28"/>
        </w:rPr>
        <w:t>in turn, threatens the public’s constitutional right to health care.</w:t>
      </w:r>
    </w:p>
    <w:p w:rsidR="00215716" w:rsidRDefault="00215716" w:rsidP="0066634F">
      <w:pPr>
        <w:ind w:left="-57" w:right="-57"/>
        <w:rPr>
          <w:rFonts w:cs="Times New Roman"/>
          <w:szCs w:val="28"/>
        </w:rPr>
      </w:pPr>
    </w:p>
    <w:p w:rsidR="00215716" w:rsidRDefault="00215716" w:rsidP="004822F2">
      <w:pPr>
        <w:ind w:left="-57" w:right="-57"/>
        <w:rPr>
          <w:rFonts w:cs="Times New Roman"/>
          <w:b/>
          <w:bCs/>
          <w:i/>
          <w:iCs/>
          <w:szCs w:val="28"/>
        </w:rPr>
      </w:pPr>
      <w:r w:rsidRPr="00215716">
        <w:rPr>
          <w:rFonts w:cs="Times New Roman"/>
          <w:b/>
          <w:bCs/>
          <w:i/>
          <w:iCs/>
          <w:szCs w:val="28"/>
        </w:rPr>
        <w:t>M</w:t>
      </w:r>
      <w:r w:rsidR="00ED2ED8">
        <w:rPr>
          <w:rFonts w:cs="Times New Roman"/>
          <w:b/>
          <w:bCs/>
          <w:i/>
          <w:iCs/>
          <w:szCs w:val="28"/>
        </w:rPr>
        <w:t>r</w:t>
      </w:r>
      <w:r w:rsidRPr="00215716">
        <w:rPr>
          <w:rFonts w:cs="Times New Roman"/>
          <w:b/>
          <w:bCs/>
          <w:i/>
          <w:iCs/>
          <w:szCs w:val="28"/>
        </w:rPr>
        <w:t xml:space="preserve"> </w:t>
      </w:r>
      <w:proofErr w:type="spellStart"/>
      <w:r w:rsidRPr="00215716">
        <w:rPr>
          <w:rFonts w:cs="Times New Roman"/>
          <w:b/>
          <w:bCs/>
          <w:i/>
          <w:iCs/>
          <w:szCs w:val="28"/>
        </w:rPr>
        <w:t>Howes</w:t>
      </w:r>
      <w:proofErr w:type="spellEnd"/>
    </w:p>
    <w:p w:rsidR="00215716" w:rsidRDefault="00DE41BC" w:rsidP="00215716">
      <w:pPr>
        <w:ind w:left="-57" w:right="-57"/>
        <w:rPr>
          <w:rFonts w:cs="Times New Roman"/>
          <w:szCs w:val="28"/>
        </w:rPr>
      </w:pPr>
      <w:r>
        <w:rPr>
          <w:rFonts w:cs="Times New Roman"/>
          <w:szCs w:val="28"/>
        </w:rPr>
        <w:t>[74</w:t>
      </w:r>
      <w:r w:rsidR="008C2574">
        <w:rPr>
          <w:rFonts w:cs="Times New Roman"/>
          <w:szCs w:val="28"/>
        </w:rPr>
        <w:t>]</w:t>
      </w:r>
      <w:r w:rsidR="008C2574">
        <w:rPr>
          <w:rFonts w:cs="Times New Roman"/>
          <w:szCs w:val="28"/>
        </w:rPr>
        <w:tab/>
      </w:r>
      <w:r w:rsidR="00215716">
        <w:rPr>
          <w:rFonts w:cs="Times New Roman"/>
          <w:szCs w:val="28"/>
        </w:rPr>
        <w:t>Mr</w:t>
      </w:r>
      <w:r w:rsidR="005A3452">
        <w:rPr>
          <w:rFonts w:cs="Times New Roman"/>
          <w:szCs w:val="28"/>
        </w:rPr>
        <w:t xml:space="preserve"> </w:t>
      </w:r>
      <w:proofErr w:type="spellStart"/>
      <w:r w:rsidR="005A3452">
        <w:rPr>
          <w:rFonts w:cs="Times New Roman"/>
          <w:szCs w:val="28"/>
        </w:rPr>
        <w:t>Howes</w:t>
      </w:r>
      <w:proofErr w:type="spellEnd"/>
      <w:r w:rsidR="005A3452">
        <w:rPr>
          <w:rFonts w:cs="Times New Roman"/>
          <w:szCs w:val="28"/>
        </w:rPr>
        <w:t xml:space="preserve"> </w:t>
      </w:r>
      <w:r w:rsidR="00215716">
        <w:rPr>
          <w:rFonts w:cs="Times New Roman"/>
          <w:szCs w:val="28"/>
        </w:rPr>
        <w:t>is a forensic accountant with a</w:t>
      </w:r>
      <w:r w:rsidR="005A3452">
        <w:rPr>
          <w:rFonts w:cs="Times New Roman"/>
          <w:szCs w:val="28"/>
        </w:rPr>
        <w:t xml:space="preserve"> </w:t>
      </w:r>
      <w:proofErr w:type="spellStart"/>
      <w:r w:rsidR="005A3452">
        <w:rPr>
          <w:rFonts w:cs="Times New Roman"/>
          <w:szCs w:val="28"/>
        </w:rPr>
        <w:t>BCom</w:t>
      </w:r>
      <w:proofErr w:type="spellEnd"/>
      <w:r w:rsidR="005A3452">
        <w:rPr>
          <w:rFonts w:cs="Times New Roman"/>
          <w:szCs w:val="28"/>
        </w:rPr>
        <w:t xml:space="preserve"> </w:t>
      </w:r>
      <w:r w:rsidR="00215716">
        <w:rPr>
          <w:rFonts w:cs="Times New Roman"/>
          <w:szCs w:val="28"/>
        </w:rPr>
        <w:t xml:space="preserve">(Accounting) degree from the University of Cape Town, employed as a Deputy Director: Forensic Audit in the Eastern Cape Provincial Treasury. He has been involved in investigations into allegations of misconduct by individuals and/or their attorneys </w:t>
      </w:r>
      <w:r w:rsidR="005A3452">
        <w:rPr>
          <w:rFonts w:cs="Times New Roman"/>
          <w:szCs w:val="28"/>
        </w:rPr>
        <w:t>regarding</w:t>
      </w:r>
      <w:r w:rsidR="00215716">
        <w:rPr>
          <w:rFonts w:cs="Times New Roman"/>
          <w:szCs w:val="28"/>
        </w:rPr>
        <w:t xml:space="preserve"> medical negligence litigation and its proceeds.</w:t>
      </w:r>
    </w:p>
    <w:p w:rsidR="00215716" w:rsidRDefault="00215716" w:rsidP="00215716">
      <w:pPr>
        <w:ind w:left="-57" w:right="-57"/>
        <w:rPr>
          <w:rFonts w:cs="Times New Roman"/>
          <w:szCs w:val="28"/>
        </w:rPr>
      </w:pPr>
    </w:p>
    <w:p w:rsidR="00215716" w:rsidRDefault="00DE41BC" w:rsidP="00215716">
      <w:pPr>
        <w:ind w:left="-57" w:right="-57"/>
        <w:rPr>
          <w:rFonts w:cs="Times New Roman"/>
          <w:szCs w:val="28"/>
        </w:rPr>
      </w:pPr>
      <w:r>
        <w:rPr>
          <w:rFonts w:cs="Times New Roman"/>
          <w:szCs w:val="28"/>
        </w:rPr>
        <w:t>[75</w:t>
      </w:r>
      <w:r w:rsidR="008C2574">
        <w:rPr>
          <w:rFonts w:cs="Times New Roman"/>
          <w:szCs w:val="28"/>
        </w:rPr>
        <w:t>]</w:t>
      </w:r>
      <w:r w:rsidR="008C2574">
        <w:rPr>
          <w:rFonts w:cs="Times New Roman"/>
          <w:szCs w:val="28"/>
        </w:rPr>
        <w:tab/>
      </w:r>
      <w:r w:rsidR="00215716">
        <w:rPr>
          <w:rFonts w:cs="Times New Roman"/>
          <w:szCs w:val="28"/>
        </w:rPr>
        <w:t>He testified that his investigations have revealed evidence indicating a high prevalence of abuse of the system governing medico</w:t>
      </w:r>
      <w:r w:rsidR="005A3452">
        <w:rPr>
          <w:rFonts w:cs="Times New Roman"/>
          <w:szCs w:val="28"/>
        </w:rPr>
        <w:t>-</w:t>
      </w:r>
      <w:r w:rsidR="00215716">
        <w:rPr>
          <w:rFonts w:cs="Times New Roman"/>
          <w:szCs w:val="28"/>
        </w:rPr>
        <w:t>legal claims against the department, and in particular relating to claims for children with cerebral palsy. He also anticipated that his investigations would continue to uncover further abuse. He highlighted that such abuse not only impacts on the department, but results in reduced</w:t>
      </w:r>
      <w:r w:rsidR="005A3452">
        <w:rPr>
          <w:rFonts w:cs="Times New Roman"/>
          <w:szCs w:val="28"/>
        </w:rPr>
        <w:t>,</w:t>
      </w:r>
      <w:r w:rsidR="00215716">
        <w:rPr>
          <w:rFonts w:cs="Times New Roman"/>
          <w:szCs w:val="28"/>
        </w:rPr>
        <w:t xml:space="preserve"> and in some instances no benefit from the claim ultimately being enjoyed by the intended beneficiaries.</w:t>
      </w:r>
    </w:p>
    <w:p w:rsidR="00215716" w:rsidRDefault="00215716" w:rsidP="00215716">
      <w:pPr>
        <w:ind w:left="-57" w:right="-57"/>
        <w:rPr>
          <w:rFonts w:cs="Times New Roman"/>
          <w:szCs w:val="28"/>
        </w:rPr>
      </w:pPr>
    </w:p>
    <w:p w:rsidR="00215716" w:rsidRDefault="00DE41BC" w:rsidP="00215716">
      <w:pPr>
        <w:ind w:left="-57" w:right="-57"/>
        <w:rPr>
          <w:rFonts w:cs="Times New Roman"/>
          <w:szCs w:val="28"/>
        </w:rPr>
      </w:pPr>
      <w:r>
        <w:rPr>
          <w:rFonts w:cs="Times New Roman"/>
          <w:szCs w:val="28"/>
        </w:rPr>
        <w:t>[76</w:t>
      </w:r>
      <w:r w:rsidR="00951F01">
        <w:rPr>
          <w:rFonts w:cs="Times New Roman"/>
          <w:szCs w:val="28"/>
        </w:rPr>
        <w:t>]</w:t>
      </w:r>
      <w:r w:rsidR="00951F01">
        <w:rPr>
          <w:rFonts w:cs="Times New Roman"/>
          <w:szCs w:val="28"/>
        </w:rPr>
        <w:tab/>
      </w:r>
      <w:r w:rsidR="00215716">
        <w:rPr>
          <w:rFonts w:cs="Times New Roman"/>
          <w:szCs w:val="28"/>
        </w:rPr>
        <w:t xml:space="preserve">In all the cases which he has investigated in the Eastern Cape, the courts had ordered that a trust be established to administer the damages awards. In accordance with the court orders, the trusts are to be created by the plaintiff’s attorneys and the full award is required to be paid into the trusts after a deduction </w:t>
      </w:r>
      <w:r w:rsidR="00215716">
        <w:rPr>
          <w:rFonts w:cs="Times New Roman"/>
          <w:szCs w:val="28"/>
        </w:rPr>
        <w:lastRenderedPageBreak/>
        <w:t xml:space="preserve">of attorney and own client legal fees. These trusts are typically to be established within </w:t>
      </w:r>
      <w:r w:rsidR="00ED2ED8">
        <w:rPr>
          <w:rFonts w:cs="Times New Roman"/>
          <w:szCs w:val="28"/>
        </w:rPr>
        <w:t>three</w:t>
      </w:r>
      <w:r w:rsidR="00215716">
        <w:rPr>
          <w:rFonts w:cs="Times New Roman"/>
          <w:szCs w:val="28"/>
        </w:rPr>
        <w:t xml:space="preserve"> to </w:t>
      </w:r>
      <w:r w:rsidR="00ED2ED8">
        <w:rPr>
          <w:rFonts w:cs="Times New Roman"/>
          <w:szCs w:val="28"/>
        </w:rPr>
        <w:t>six</w:t>
      </w:r>
      <w:r w:rsidR="00215716">
        <w:rPr>
          <w:rFonts w:cs="Times New Roman"/>
          <w:szCs w:val="28"/>
        </w:rPr>
        <w:t xml:space="preserve"> months of the date </w:t>
      </w:r>
      <w:r w:rsidR="00AB4156">
        <w:rPr>
          <w:rFonts w:cs="Times New Roman"/>
          <w:szCs w:val="28"/>
        </w:rPr>
        <w:t xml:space="preserve">of the court order. Invariably </w:t>
      </w:r>
      <w:r w:rsidR="00215716">
        <w:rPr>
          <w:rFonts w:cs="Times New Roman"/>
          <w:szCs w:val="28"/>
        </w:rPr>
        <w:t>in such matters,</w:t>
      </w:r>
      <w:r w:rsidR="001241EB">
        <w:rPr>
          <w:rFonts w:cs="Times New Roman"/>
          <w:szCs w:val="28"/>
        </w:rPr>
        <w:t xml:space="preserve"> the plaintiff’s attorney is engaged on a contingency fee agreement basis. In accordance therewith, there is a cap on such fees that the lawyers may claim at 25% of the sum awarded, excluding disbursements. Any legal costs recovered from the department, together with the remaining damages award, are to be paid by the plaintiff’s attorney into a bank account established by the relevant trust which is overseen by a bona fide trustee, or trustees, duly appointed by the Master. Accordingly, these court ordered trusts are intended as a vehicle to protect the </w:t>
      </w:r>
      <w:r w:rsidR="005A3452">
        <w:rPr>
          <w:rFonts w:cs="Times New Roman"/>
          <w:szCs w:val="28"/>
        </w:rPr>
        <w:t>beneficiaries’</w:t>
      </w:r>
      <w:r w:rsidR="001241EB">
        <w:rPr>
          <w:rFonts w:cs="Times New Roman"/>
          <w:szCs w:val="28"/>
        </w:rPr>
        <w:t xml:space="preserve"> interests. He made the point that most of these beneficiaries are minors who are severely disabled and lack the requisite capacity to manage their own affairs.</w:t>
      </w:r>
    </w:p>
    <w:p w:rsidR="001241EB" w:rsidRDefault="001241EB" w:rsidP="00215716">
      <w:pPr>
        <w:ind w:left="-57" w:right="-57"/>
        <w:rPr>
          <w:rFonts w:cs="Times New Roman"/>
          <w:szCs w:val="28"/>
        </w:rPr>
      </w:pPr>
    </w:p>
    <w:p w:rsidR="001241EB" w:rsidRDefault="00DE41BC" w:rsidP="00215716">
      <w:pPr>
        <w:ind w:left="-57" w:right="-57"/>
        <w:rPr>
          <w:rFonts w:cs="Times New Roman"/>
          <w:szCs w:val="28"/>
        </w:rPr>
      </w:pPr>
      <w:r>
        <w:rPr>
          <w:rFonts w:cs="Times New Roman"/>
          <w:szCs w:val="28"/>
        </w:rPr>
        <w:t>[77</w:t>
      </w:r>
      <w:r w:rsidR="00951F01">
        <w:rPr>
          <w:rFonts w:cs="Times New Roman"/>
          <w:szCs w:val="28"/>
        </w:rPr>
        <w:t>]</w:t>
      </w:r>
      <w:r w:rsidR="00951F01">
        <w:rPr>
          <w:rFonts w:cs="Times New Roman"/>
          <w:szCs w:val="28"/>
        </w:rPr>
        <w:tab/>
      </w:r>
      <w:r w:rsidR="001241EB">
        <w:rPr>
          <w:rFonts w:cs="Times New Roman"/>
          <w:szCs w:val="28"/>
        </w:rPr>
        <w:t>He further said that the department is normally not privy to the establishment of these trusts</w:t>
      </w:r>
      <w:r w:rsidR="00ED2ED8">
        <w:rPr>
          <w:rFonts w:cs="Times New Roman"/>
          <w:szCs w:val="28"/>
        </w:rPr>
        <w:t xml:space="preserve"> and</w:t>
      </w:r>
      <w:r w:rsidR="001241EB">
        <w:rPr>
          <w:rFonts w:cs="Times New Roman"/>
          <w:szCs w:val="28"/>
        </w:rPr>
        <w:t xml:space="preserve"> so would not ordinarily know how such damages awards are ultimately managed, whether or when the trust is established or how much of such damages are paid into the trust, if any.</w:t>
      </w:r>
    </w:p>
    <w:p w:rsidR="001241EB" w:rsidRDefault="001241EB" w:rsidP="00215716">
      <w:pPr>
        <w:ind w:left="-57" w:right="-57"/>
        <w:rPr>
          <w:rFonts w:cs="Times New Roman"/>
          <w:szCs w:val="28"/>
        </w:rPr>
      </w:pPr>
    </w:p>
    <w:p w:rsidR="001241EB" w:rsidRDefault="00DE41BC" w:rsidP="00215716">
      <w:pPr>
        <w:ind w:left="-57" w:right="-57"/>
        <w:rPr>
          <w:rFonts w:cs="Times New Roman"/>
          <w:szCs w:val="28"/>
        </w:rPr>
      </w:pPr>
      <w:r>
        <w:rPr>
          <w:rFonts w:cs="Times New Roman"/>
          <w:szCs w:val="28"/>
        </w:rPr>
        <w:t>[78</w:t>
      </w:r>
      <w:r w:rsidR="00951F01">
        <w:rPr>
          <w:rFonts w:cs="Times New Roman"/>
          <w:szCs w:val="28"/>
        </w:rPr>
        <w:t>]</w:t>
      </w:r>
      <w:r w:rsidR="00951F01">
        <w:rPr>
          <w:rFonts w:cs="Times New Roman"/>
          <w:szCs w:val="28"/>
        </w:rPr>
        <w:tab/>
      </w:r>
      <w:r w:rsidR="001241EB">
        <w:rPr>
          <w:rFonts w:cs="Times New Roman"/>
          <w:szCs w:val="28"/>
        </w:rPr>
        <w:t>He testified that the investigations have uncovered conduct involving the following:</w:t>
      </w:r>
    </w:p>
    <w:p w:rsidR="001241EB" w:rsidRDefault="001241EB" w:rsidP="00215716">
      <w:pPr>
        <w:ind w:left="-57" w:right="-57"/>
        <w:rPr>
          <w:rFonts w:cs="Times New Roman"/>
          <w:szCs w:val="28"/>
        </w:rPr>
      </w:pPr>
    </w:p>
    <w:p w:rsidR="001241EB" w:rsidRPr="008743DC" w:rsidRDefault="008743DC" w:rsidP="008743DC">
      <w:pPr>
        <w:ind w:left="1659" w:hanging="525"/>
        <w:rPr>
          <w:rFonts w:cs="Times New Roman"/>
          <w:szCs w:val="28"/>
        </w:rPr>
      </w:pPr>
      <w:r>
        <w:rPr>
          <w:rFonts w:cs="Times New Roman"/>
          <w:szCs w:val="28"/>
        </w:rPr>
        <w:t>78.1</w:t>
      </w:r>
      <w:r>
        <w:rPr>
          <w:rFonts w:cs="Times New Roman"/>
          <w:szCs w:val="28"/>
        </w:rPr>
        <w:tab/>
      </w:r>
      <w:r w:rsidR="00D95A45" w:rsidRPr="008743DC">
        <w:rPr>
          <w:rFonts w:cs="Times New Roman"/>
          <w:szCs w:val="28"/>
        </w:rPr>
        <w:t xml:space="preserve"> </w:t>
      </w:r>
      <w:r w:rsidR="001241EB" w:rsidRPr="008743DC">
        <w:rPr>
          <w:rFonts w:cs="Times New Roman"/>
          <w:szCs w:val="28"/>
        </w:rPr>
        <w:t>Court ordered trusts for the management of the damages awards are often set up well past the timelines mandated in the court orders, and in some instances have not been set up at all.</w:t>
      </w:r>
    </w:p>
    <w:p w:rsidR="001241EB" w:rsidRDefault="001241EB" w:rsidP="00CC1ADD">
      <w:pPr>
        <w:pStyle w:val="ListParagraph"/>
        <w:ind w:left="1134"/>
        <w:rPr>
          <w:rFonts w:cs="Times New Roman"/>
          <w:szCs w:val="28"/>
        </w:rPr>
      </w:pPr>
    </w:p>
    <w:p w:rsidR="001241EB" w:rsidRPr="008743DC" w:rsidRDefault="008743DC" w:rsidP="008743DC">
      <w:pPr>
        <w:ind w:left="1659" w:hanging="525"/>
        <w:rPr>
          <w:rFonts w:cs="Times New Roman"/>
          <w:szCs w:val="28"/>
        </w:rPr>
      </w:pPr>
      <w:r>
        <w:rPr>
          <w:rFonts w:cs="Times New Roman"/>
          <w:szCs w:val="28"/>
        </w:rPr>
        <w:lastRenderedPageBreak/>
        <w:t>78.2</w:t>
      </w:r>
      <w:r>
        <w:rPr>
          <w:rFonts w:cs="Times New Roman"/>
          <w:szCs w:val="28"/>
        </w:rPr>
        <w:tab/>
      </w:r>
      <w:r w:rsidR="00D95A45" w:rsidRPr="008743DC">
        <w:rPr>
          <w:rFonts w:cs="Times New Roman"/>
          <w:szCs w:val="28"/>
        </w:rPr>
        <w:t xml:space="preserve"> </w:t>
      </w:r>
      <w:r w:rsidR="001241EB" w:rsidRPr="008743DC">
        <w:rPr>
          <w:rFonts w:cs="Times New Roman"/>
          <w:szCs w:val="28"/>
        </w:rPr>
        <w:t>Payments of the awards from the attorneys’ trust accounts into the trusts are often made late, in significantly reduced amounts, and in some instances, not at all.</w:t>
      </w:r>
    </w:p>
    <w:p w:rsidR="001241EB" w:rsidRDefault="001241EB" w:rsidP="00CC1ADD">
      <w:pPr>
        <w:pStyle w:val="ListParagraph"/>
        <w:ind w:left="1134"/>
        <w:rPr>
          <w:rFonts w:cs="Times New Roman"/>
          <w:szCs w:val="28"/>
        </w:rPr>
      </w:pPr>
    </w:p>
    <w:p w:rsidR="001241EB" w:rsidRPr="008743DC" w:rsidRDefault="008743DC" w:rsidP="008743DC">
      <w:pPr>
        <w:ind w:left="1659" w:hanging="525"/>
        <w:rPr>
          <w:rFonts w:cs="Times New Roman"/>
          <w:szCs w:val="28"/>
        </w:rPr>
      </w:pPr>
      <w:r>
        <w:rPr>
          <w:rFonts w:cs="Times New Roman"/>
          <w:szCs w:val="28"/>
        </w:rPr>
        <w:t>78.3</w:t>
      </w:r>
      <w:r>
        <w:rPr>
          <w:rFonts w:cs="Times New Roman"/>
          <w:szCs w:val="28"/>
        </w:rPr>
        <w:tab/>
      </w:r>
      <w:r w:rsidR="00D95A45" w:rsidRPr="008743DC">
        <w:rPr>
          <w:rFonts w:cs="Times New Roman"/>
          <w:szCs w:val="28"/>
        </w:rPr>
        <w:t xml:space="preserve"> </w:t>
      </w:r>
      <w:r w:rsidR="001241EB" w:rsidRPr="008743DC">
        <w:rPr>
          <w:rFonts w:cs="Times New Roman"/>
          <w:szCs w:val="28"/>
        </w:rPr>
        <w:t>The management of the trusts in instances where they have indeed been created, are fraught with irregularities including in the appointment of the trustees themselves, irregular and excessive draws being made in respect of trust administration costs, overreaching on legal fee claims from the award, and other accounting irregularities.</w:t>
      </w:r>
    </w:p>
    <w:p w:rsidR="001241EB" w:rsidRDefault="001241EB" w:rsidP="00CC1ADD">
      <w:pPr>
        <w:pStyle w:val="ListParagraph"/>
        <w:ind w:left="1134"/>
        <w:rPr>
          <w:rFonts w:cs="Times New Roman"/>
          <w:szCs w:val="28"/>
        </w:rPr>
      </w:pPr>
    </w:p>
    <w:p w:rsidR="001241EB" w:rsidRPr="008743DC" w:rsidRDefault="008743DC" w:rsidP="008743DC">
      <w:pPr>
        <w:ind w:left="1659" w:hanging="525"/>
        <w:rPr>
          <w:rFonts w:cs="Times New Roman"/>
          <w:szCs w:val="28"/>
        </w:rPr>
      </w:pPr>
      <w:r>
        <w:rPr>
          <w:rFonts w:cs="Times New Roman"/>
          <w:szCs w:val="28"/>
        </w:rPr>
        <w:t>78.4</w:t>
      </w:r>
      <w:r>
        <w:rPr>
          <w:rFonts w:cs="Times New Roman"/>
          <w:szCs w:val="28"/>
        </w:rPr>
        <w:tab/>
      </w:r>
      <w:r w:rsidR="00D95A45" w:rsidRPr="008743DC">
        <w:rPr>
          <w:rFonts w:cs="Times New Roman"/>
          <w:szCs w:val="28"/>
        </w:rPr>
        <w:t xml:space="preserve"> </w:t>
      </w:r>
      <w:r w:rsidR="001241EB" w:rsidRPr="008743DC">
        <w:rPr>
          <w:rFonts w:cs="Times New Roman"/>
          <w:szCs w:val="28"/>
        </w:rPr>
        <w:t xml:space="preserve">The plaintiff’s attorneys in some cases recover excessive legal costs and fees from the final award even when cases are settled early, without proceeding to trial. Invariably 25% or more of the award goes to the attorneys, regardless </w:t>
      </w:r>
      <w:r w:rsidR="005A3452" w:rsidRPr="008743DC">
        <w:rPr>
          <w:rFonts w:cs="Times New Roman"/>
          <w:szCs w:val="28"/>
        </w:rPr>
        <w:t>that</w:t>
      </w:r>
      <w:r w:rsidR="001241EB" w:rsidRPr="008743DC">
        <w:rPr>
          <w:rFonts w:cs="Times New Roman"/>
          <w:szCs w:val="28"/>
        </w:rPr>
        <w:t xml:space="preserve"> the primary</w:t>
      </w:r>
      <w:r w:rsidR="005A3452" w:rsidRPr="008743DC">
        <w:rPr>
          <w:rFonts w:cs="Times New Roman"/>
          <w:szCs w:val="28"/>
        </w:rPr>
        <w:t xml:space="preserve"> cap</w:t>
      </w:r>
      <w:r w:rsidR="001241EB" w:rsidRPr="008743DC">
        <w:rPr>
          <w:rFonts w:cs="Times New Roman"/>
          <w:szCs w:val="28"/>
        </w:rPr>
        <w:t xml:space="preserve"> </w:t>
      </w:r>
      <w:r w:rsidR="005A3452" w:rsidRPr="008743DC">
        <w:rPr>
          <w:rFonts w:cs="Times New Roman"/>
          <w:szCs w:val="28"/>
        </w:rPr>
        <w:t>i</w:t>
      </w:r>
      <w:r w:rsidR="001241EB" w:rsidRPr="008743DC">
        <w:rPr>
          <w:rFonts w:cs="Times New Roman"/>
          <w:szCs w:val="28"/>
        </w:rPr>
        <w:t>s double the normal fee. A matter that settles early, even with the double or “success fee”, should not come close to the second</w:t>
      </w:r>
      <w:r w:rsidR="005A3452" w:rsidRPr="008743DC">
        <w:rPr>
          <w:rFonts w:cs="Times New Roman"/>
          <w:szCs w:val="28"/>
        </w:rPr>
        <w:t xml:space="preserve">ary </w:t>
      </w:r>
      <w:r w:rsidR="001241EB" w:rsidRPr="008743DC">
        <w:rPr>
          <w:rFonts w:cs="Times New Roman"/>
          <w:szCs w:val="28"/>
        </w:rPr>
        <w:t>cap of 25% of the legal fees in cases involving a substantial quantum.</w:t>
      </w:r>
    </w:p>
    <w:p w:rsidR="001241EB" w:rsidRPr="001241EB" w:rsidRDefault="001241EB" w:rsidP="001241EB">
      <w:pPr>
        <w:pStyle w:val="ListParagraph"/>
        <w:rPr>
          <w:rFonts w:cs="Times New Roman"/>
          <w:szCs w:val="28"/>
        </w:rPr>
      </w:pPr>
    </w:p>
    <w:p w:rsidR="001241EB" w:rsidRDefault="00DE41BC" w:rsidP="001241EB">
      <w:pPr>
        <w:ind w:right="-57"/>
        <w:rPr>
          <w:rFonts w:cs="Times New Roman"/>
          <w:szCs w:val="28"/>
        </w:rPr>
      </w:pPr>
      <w:r>
        <w:rPr>
          <w:rFonts w:cs="Times New Roman"/>
          <w:szCs w:val="28"/>
        </w:rPr>
        <w:t>[79</w:t>
      </w:r>
      <w:r w:rsidR="00951F01">
        <w:rPr>
          <w:rFonts w:cs="Times New Roman"/>
          <w:szCs w:val="28"/>
        </w:rPr>
        <w:t>]</w:t>
      </w:r>
      <w:r w:rsidR="00951F01">
        <w:rPr>
          <w:rFonts w:cs="Times New Roman"/>
          <w:szCs w:val="28"/>
        </w:rPr>
        <w:tab/>
      </w:r>
      <w:r w:rsidR="001241EB">
        <w:rPr>
          <w:rFonts w:cs="Times New Roman"/>
          <w:szCs w:val="28"/>
        </w:rPr>
        <w:t xml:space="preserve">He further testified particularly relating to an attorney who has since been charged criminally, that the experience with this </w:t>
      </w:r>
      <w:r w:rsidR="005A3452">
        <w:rPr>
          <w:rFonts w:cs="Times New Roman"/>
          <w:szCs w:val="28"/>
        </w:rPr>
        <w:t>attorney’s</w:t>
      </w:r>
      <w:r w:rsidR="001241EB">
        <w:rPr>
          <w:rFonts w:cs="Times New Roman"/>
          <w:szCs w:val="28"/>
        </w:rPr>
        <w:t xml:space="preserve"> firm is exemplified in his investigations relating to various other firms.</w:t>
      </w:r>
      <w:r w:rsidR="009E76E8">
        <w:rPr>
          <w:rFonts w:cs="Times New Roman"/>
          <w:szCs w:val="28"/>
        </w:rPr>
        <w:t xml:space="preserve"> In the case of this attorney, of 30 trusts which were court ordered to be set up for the benefit of children represented by the plaintiffs in medico</w:t>
      </w:r>
      <w:r w:rsidR="005A3452">
        <w:rPr>
          <w:rFonts w:cs="Times New Roman"/>
          <w:szCs w:val="28"/>
        </w:rPr>
        <w:t>-</w:t>
      </w:r>
      <w:r w:rsidR="009E76E8">
        <w:rPr>
          <w:rFonts w:cs="Times New Roman"/>
          <w:szCs w:val="28"/>
        </w:rPr>
        <w:t>legal claims against the department, the following has emerged:</w:t>
      </w:r>
    </w:p>
    <w:p w:rsidR="009E76E8" w:rsidRDefault="009E76E8" w:rsidP="001241EB">
      <w:pPr>
        <w:ind w:right="-57"/>
        <w:rPr>
          <w:rFonts w:cs="Times New Roman"/>
          <w:szCs w:val="28"/>
        </w:rPr>
      </w:pPr>
    </w:p>
    <w:p w:rsidR="009E76E8" w:rsidRPr="008743DC" w:rsidRDefault="008743DC" w:rsidP="008743DC">
      <w:pPr>
        <w:ind w:left="1659" w:hanging="525"/>
        <w:rPr>
          <w:rFonts w:cs="Times New Roman"/>
          <w:szCs w:val="28"/>
        </w:rPr>
      </w:pPr>
      <w:r>
        <w:rPr>
          <w:rFonts w:cs="Times New Roman"/>
          <w:szCs w:val="28"/>
        </w:rPr>
        <w:t>79.1</w:t>
      </w:r>
      <w:r>
        <w:rPr>
          <w:rFonts w:cs="Times New Roman"/>
          <w:szCs w:val="28"/>
        </w:rPr>
        <w:tab/>
      </w:r>
      <w:r w:rsidR="00D95A45" w:rsidRPr="008743DC">
        <w:rPr>
          <w:rFonts w:cs="Times New Roman"/>
          <w:szCs w:val="28"/>
        </w:rPr>
        <w:t xml:space="preserve"> </w:t>
      </w:r>
      <w:r w:rsidR="005A3452" w:rsidRPr="008743DC">
        <w:rPr>
          <w:rFonts w:cs="Times New Roman"/>
          <w:szCs w:val="28"/>
        </w:rPr>
        <w:t xml:space="preserve">In </w:t>
      </w:r>
      <w:r w:rsidR="009E76E8" w:rsidRPr="008743DC">
        <w:rPr>
          <w:rFonts w:cs="Times New Roman"/>
          <w:szCs w:val="28"/>
        </w:rPr>
        <w:t>16 out of these 30 cases, no trust</w:t>
      </w:r>
      <w:r w:rsidR="005A3452" w:rsidRPr="008743DC">
        <w:rPr>
          <w:rFonts w:cs="Times New Roman"/>
          <w:szCs w:val="28"/>
        </w:rPr>
        <w:t>s</w:t>
      </w:r>
      <w:r w:rsidR="009E76E8" w:rsidRPr="008743DC">
        <w:rPr>
          <w:rFonts w:cs="Times New Roman"/>
          <w:szCs w:val="28"/>
        </w:rPr>
        <w:t xml:space="preserve"> have yet been established, despite the deadline for the creation of the trusts having passed, in some cases, over 33 months ago.</w:t>
      </w:r>
    </w:p>
    <w:p w:rsidR="009E76E8" w:rsidRDefault="009E76E8" w:rsidP="00DF4414">
      <w:pPr>
        <w:pStyle w:val="ListParagraph"/>
        <w:ind w:left="1134"/>
        <w:rPr>
          <w:rFonts w:cs="Times New Roman"/>
          <w:szCs w:val="28"/>
        </w:rPr>
      </w:pPr>
    </w:p>
    <w:p w:rsidR="009E76E8" w:rsidRPr="008743DC" w:rsidRDefault="008743DC" w:rsidP="008743DC">
      <w:pPr>
        <w:ind w:left="1659" w:hanging="525"/>
        <w:rPr>
          <w:rFonts w:cs="Times New Roman"/>
          <w:szCs w:val="28"/>
        </w:rPr>
      </w:pPr>
      <w:r>
        <w:rPr>
          <w:rFonts w:cs="Times New Roman"/>
          <w:szCs w:val="28"/>
        </w:rPr>
        <w:t>79.2</w:t>
      </w:r>
      <w:r>
        <w:rPr>
          <w:rFonts w:cs="Times New Roman"/>
          <w:szCs w:val="28"/>
        </w:rPr>
        <w:tab/>
      </w:r>
      <w:r w:rsidR="00D95A45" w:rsidRPr="008743DC">
        <w:rPr>
          <w:rFonts w:cs="Times New Roman"/>
          <w:szCs w:val="28"/>
        </w:rPr>
        <w:t xml:space="preserve"> </w:t>
      </w:r>
      <w:r w:rsidR="009E76E8" w:rsidRPr="008743DC">
        <w:rPr>
          <w:rFonts w:cs="Times New Roman"/>
          <w:szCs w:val="28"/>
        </w:rPr>
        <w:t>Of the remaining 14 cases where trusts have been set up, 12 of these trusts were set up after the court ordered deadline for the establishment of the trust had passed, in some cases with up to 24 months passing before the trusts were set up.</w:t>
      </w:r>
    </w:p>
    <w:p w:rsidR="009E76E8" w:rsidRDefault="009E76E8" w:rsidP="00DF4414">
      <w:pPr>
        <w:pStyle w:val="ListParagraph"/>
        <w:ind w:left="1134"/>
        <w:rPr>
          <w:rFonts w:cs="Times New Roman"/>
          <w:szCs w:val="28"/>
        </w:rPr>
      </w:pPr>
    </w:p>
    <w:p w:rsidR="009E76E8" w:rsidRPr="008743DC" w:rsidRDefault="008743DC" w:rsidP="008743DC">
      <w:pPr>
        <w:ind w:left="1659" w:hanging="525"/>
        <w:rPr>
          <w:rFonts w:cs="Times New Roman"/>
          <w:szCs w:val="28"/>
        </w:rPr>
      </w:pPr>
      <w:r>
        <w:rPr>
          <w:rFonts w:cs="Times New Roman"/>
          <w:szCs w:val="28"/>
        </w:rPr>
        <w:t>79.3</w:t>
      </w:r>
      <w:r>
        <w:rPr>
          <w:rFonts w:cs="Times New Roman"/>
          <w:szCs w:val="28"/>
        </w:rPr>
        <w:tab/>
      </w:r>
      <w:r w:rsidR="00D95A45" w:rsidRPr="008743DC">
        <w:rPr>
          <w:rFonts w:cs="Times New Roman"/>
          <w:szCs w:val="28"/>
        </w:rPr>
        <w:t xml:space="preserve"> </w:t>
      </w:r>
      <w:r w:rsidR="009E76E8" w:rsidRPr="008743DC">
        <w:rPr>
          <w:rFonts w:cs="Times New Roman"/>
          <w:szCs w:val="28"/>
        </w:rPr>
        <w:t xml:space="preserve">Because no trusts have been established in 16 cases, the </w:t>
      </w:r>
      <w:r w:rsidR="005A3452" w:rsidRPr="008743DC">
        <w:rPr>
          <w:rFonts w:cs="Times New Roman"/>
          <w:szCs w:val="28"/>
        </w:rPr>
        <w:t>attorney’s</w:t>
      </w:r>
      <w:r w:rsidR="009E76E8" w:rsidRPr="008743DC">
        <w:rPr>
          <w:rFonts w:cs="Times New Roman"/>
          <w:szCs w:val="28"/>
        </w:rPr>
        <w:t xml:space="preserve"> firm has not made any payments into those trusts at all despite the fact that the department has paid the damages award as per the court orders into the attorney’s trust account.</w:t>
      </w:r>
    </w:p>
    <w:p w:rsidR="009E76E8" w:rsidRDefault="009E76E8" w:rsidP="00DF4414">
      <w:pPr>
        <w:pStyle w:val="ListParagraph"/>
        <w:ind w:left="1134"/>
        <w:rPr>
          <w:rFonts w:cs="Times New Roman"/>
          <w:szCs w:val="28"/>
        </w:rPr>
      </w:pPr>
    </w:p>
    <w:p w:rsidR="009E76E8" w:rsidRPr="008743DC" w:rsidRDefault="008743DC" w:rsidP="008743DC">
      <w:pPr>
        <w:ind w:left="1659" w:hanging="525"/>
        <w:rPr>
          <w:rFonts w:cs="Times New Roman"/>
          <w:szCs w:val="28"/>
        </w:rPr>
      </w:pPr>
      <w:r>
        <w:rPr>
          <w:rFonts w:cs="Times New Roman"/>
          <w:szCs w:val="28"/>
        </w:rPr>
        <w:t>79.4</w:t>
      </w:r>
      <w:r>
        <w:rPr>
          <w:rFonts w:cs="Times New Roman"/>
          <w:szCs w:val="28"/>
        </w:rPr>
        <w:tab/>
      </w:r>
      <w:r w:rsidR="00D95A45" w:rsidRPr="008743DC">
        <w:rPr>
          <w:rFonts w:cs="Times New Roman"/>
          <w:szCs w:val="28"/>
        </w:rPr>
        <w:t xml:space="preserve"> </w:t>
      </w:r>
      <w:r w:rsidR="009E76E8" w:rsidRPr="008743DC">
        <w:rPr>
          <w:rFonts w:cs="Times New Roman"/>
          <w:szCs w:val="28"/>
        </w:rPr>
        <w:t>In 13 of the 14 cases where the relevant trusts have been set up, even belatedly, significant delays were recorded between the creation of the trusts and the first payments by the attorneys into the trust</w:t>
      </w:r>
      <w:r w:rsidR="00011F31" w:rsidRPr="008743DC">
        <w:rPr>
          <w:rFonts w:cs="Times New Roman"/>
          <w:szCs w:val="28"/>
        </w:rPr>
        <w:t>,</w:t>
      </w:r>
      <w:r w:rsidR="009E76E8" w:rsidRPr="008743DC">
        <w:rPr>
          <w:rFonts w:cs="Times New Roman"/>
          <w:szCs w:val="28"/>
        </w:rPr>
        <w:t xml:space="preserve"> some with a delay of up to 12 months.</w:t>
      </w:r>
    </w:p>
    <w:p w:rsidR="009E76E8" w:rsidRDefault="009E76E8" w:rsidP="00DF4414">
      <w:pPr>
        <w:pStyle w:val="ListParagraph"/>
        <w:ind w:left="1134"/>
        <w:rPr>
          <w:rFonts w:cs="Times New Roman"/>
          <w:szCs w:val="28"/>
        </w:rPr>
      </w:pPr>
    </w:p>
    <w:p w:rsidR="009E76E8" w:rsidRPr="008743DC" w:rsidRDefault="008743DC" w:rsidP="008743DC">
      <w:pPr>
        <w:ind w:left="1659" w:hanging="525"/>
        <w:rPr>
          <w:rFonts w:cs="Times New Roman"/>
          <w:szCs w:val="28"/>
        </w:rPr>
      </w:pPr>
      <w:r>
        <w:rPr>
          <w:rFonts w:cs="Times New Roman"/>
          <w:szCs w:val="28"/>
        </w:rPr>
        <w:t>79.5</w:t>
      </w:r>
      <w:r>
        <w:rPr>
          <w:rFonts w:cs="Times New Roman"/>
          <w:szCs w:val="28"/>
        </w:rPr>
        <w:tab/>
      </w:r>
      <w:r w:rsidR="00D95A45" w:rsidRPr="008743DC">
        <w:rPr>
          <w:rFonts w:cs="Times New Roman"/>
          <w:szCs w:val="28"/>
        </w:rPr>
        <w:t xml:space="preserve"> </w:t>
      </w:r>
      <w:r w:rsidR="009E76E8" w:rsidRPr="008743DC">
        <w:rPr>
          <w:rFonts w:cs="Times New Roman"/>
          <w:szCs w:val="28"/>
        </w:rPr>
        <w:t>In 28 of the 30 cases, either no monies ha</w:t>
      </w:r>
      <w:r w:rsidR="00ED2ED8" w:rsidRPr="008743DC">
        <w:rPr>
          <w:rFonts w:cs="Times New Roman"/>
          <w:szCs w:val="28"/>
        </w:rPr>
        <w:t>d</w:t>
      </w:r>
      <w:r w:rsidR="009E76E8" w:rsidRPr="008743DC">
        <w:rPr>
          <w:rFonts w:cs="Times New Roman"/>
          <w:szCs w:val="28"/>
        </w:rPr>
        <w:t xml:space="preserve"> been paid to the trusts by the attorneys, or the amounts paid </w:t>
      </w:r>
      <w:r w:rsidR="00ED2ED8" w:rsidRPr="008743DC">
        <w:rPr>
          <w:rFonts w:cs="Times New Roman"/>
          <w:szCs w:val="28"/>
        </w:rPr>
        <w:t>were</w:t>
      </w:r>
      <w:r w:rsidR="009E76E8" w:rsidRPr="008743DC">
        <w:rPr>
          <w:rFonts w:cs="Times New Roman"/>
          <w:szCs w:val="28"/>
        </w:rPr>
        <w:t xml:space="preserve"> significantly less than what ought to be due to the beneficiary, even after deduction of legal costs. Where the figures for legal costs are available from these trusts to which payments have been made, it appears that between 31% and 33.9% of the award is ultimately claimed by the </w:t>
      </w:r>
      <w:r w:rsidR="009E76E8" w:rsidRPr="008743DC">
        <w:rPr>
          <w:rFonts w:cs="Times New Roman"/>
          <w:szCs w:val="28"/>
        </w:rPr>
        <w:lastRenderedPageBreak/>
        <w:t>attorneys in legal fees, excluding disbursements. If disbursements are added, it takes the total amount deducted from the award in respect of fees and disbursements up to 41%. Although certain monies recovered upon taxation are theoretically payable to the client (less a fee charged for taxation) these are typically relatively small and are invariably</w:t>
      </w:r>
      <w:r w:rsidR="00ED2ED8" w:rsidRPr="008743DC">
        <w:rPr>
          <w:rFonts w:cs="Times New Roman"/>
          <w:szCs w:val="28"/>
        </w:rPr>
        <w:t xml:space="preserve"> not</w:t>
      </w:r>
      <w:r w:rsidR="009E76E8" w:rsidRPr="008743DC">
        <w:rPr>
          <w:rFonts w:cs="Times New Roman"/>
          <w:szCs w:val="28"/>
        </w:rPr>
        <w:t xml:space="preserve"> paid to the client.</w:t>
      </w:r>
    </w:p>
    <w:p w:rsidR="009E76E8" w:rsidRPr="009E76E8" w:rsidRDefault="009E76E8" w:rsidP="009E76E8">
      <w:pPr>
        <w:pStyle w:val="ListParagraph"/>
        <w:rPr>
          <w:rFonts w:cs="Times New Roman"/>
          <w:szCs w:val="28"/>
        </w:rPr>
      </w:pPr>
    </w:p>
    <w:p w:rsidR="009E76E8" w:rsidRDefault="00DE41BC" w:rsidP="009E76E8">
      <w:pPr>
        <w:ind w:right="-57"/>
        <w:rPr>
          <w:rFonts w:cs="Times New Roman"/>
          <w:szCs w:val="28"/>
        </w:rPr>
      </w:pPr>
      <w:r>
        <w:rPr>
          <w:rFonts w:cs="Times New Roman"/>
          <w:szCs w:val="28"/>
        </w:rPr>
        <w:t>[80</w:t>
      </w:r>
      <w:r w:rsidR="00951F01">
        <w:rPr>
          <w:rFonts w:cs="Times New Roman"/>
          <w:szCs w:val="28"/>
        </w:rPr>
        <w:t>]</w:t>
      </w:r>
      <w:r w:rsidR="00951F01">
        <w:rPr>
          <w:rFonts w:cs="Times New Roman"/>
          <w:szCs w:val="28"/>
        </w:rPr>
        <w:tab/>
      </w:r>
      <w:r w:rsidR="009E76E8">
        <w:rPr>
          <w:rFonts w:cs="Times New Roman"/>
          <w:szCs w:val="28"/>
        </w:rPr>
        <w:t>Mr</w:t>
      </w:r>
      <w:r w:rsidR="00011F31">
        <w:rPr>
          <w:rFonts w:cs="Times New Roman"/>
          <w:szCs w:val="28"/>
        </w:rPr>
        <w:t xml:space="preserve"> </w:t>
      </w:r>
      <w:proofErr w:type="spellStart"/>
      <w:r w:rsidR="00011F31">
        <w:rPr>
          <w:rFonts w:cs="Times New Roman"/>
          <w:szCs w:val="28"/>
        </w:rPr>
        <w:t>Howes</w:t>
      </w:r>
      <w:proofErr w:type="spellEnd"/>
      <w:r w:rsidR="00011F31">
        <w:rPr>
          <w:rFonts w:cs="Times New Roman"/>
          <w:szCs w:val="28"/>
        </w:rPr>
        <w:t xml:space="preserve"> </w:t>
      </w:r>
      <w:r w:rsidR="009E76E8">
        <w:rPr>
          <w:rFonts w:cs="Times New Roman"/>
          <w:szCs w:val="28"/>
        </w:rPr>
        <w:t>further testified that in respect of the</w:t>
      </w:r>
      <w:r w:rsidR="00011F31">
        <w:rPr>
          <w:rFonts w:cs="Times New Roman"/>
          <w:szCs w:val="28"/>
        </w:rPr>
        <w:t xml:space="preserve"> 30</w:t>
      </w:r>
      <w:r w:rsidR="009E76E8">
        <w:rPr>
          <w:rFonts w:cs="Times New Roman"/>
          <w:szCs w:val="28"/>
        </w:rPr>
        <w:t xml:space="preserve"> cases the department </w:t>
      </w:r>
      <w:r w:rsidR="00ED2ED8">
        <w:rPr>
          <w:rFonts w:cs="Times New Roman"/>
          <w:szCs w:val="28"/>
        </w:rPr>
        <w:t xml:space="preserve">had </w:t>
      </w:r>
      <w:r w:rsidR="009E76E8">
        <w:rPr>
          <w:rFonts w:cs="Times New Roman"/>
          <w:szCs w:val="28"/>
        </w:rPr>
        <w:t>made payments in the total amount of approximately R480 million to this firm of attorneys between 2015 and 2021. His investigation into these cases demonstrated that these funds are to a significant extent not applied to the benefit of the injured parties:</w:t>
      </w:r>
    </w:p>
    <w:p w:rsidR="009E76E8" w:rsidRDefault="009E76E8" w:rsidP="009E76E8">
      <w:pPr>
        <w:ind w:right="-57"/>
        <w:rPr>
          <w:rFonts w:cs="Times New Roman"/>
          <w:szCs w:val="28"/>
        </w:rPr>
      </w:pPr>
    </w:p>
    <w:p w:rsidR="009E76E8" w:rsidRPr="008743DC" w:rsidRDefault="008743DC" w:rsidP="008743DC">
      <w:pPr>
        <w:ind w:left="1659" w:hanging="525"/>
        <w:rPr>
          <w:rFonts w:cs="Times New Roman"/>
          <w:szCs w:val="28"/>
        </w:rPr>
      </w:pPr>
      <w:r>
        <w:rPr>
          <w:rFonts w:cs="Times New Roman"/>
          <w:szCs w:val="28"/>
        </w:rPr>
        <w:t>80.1</w:t>
      </w:r>
      <w:r>
        <w:rPr>
          <w:rFonts w:cs="Times New Roman"/>
          <w:szCs w:val="28"/>
        </w:rPr>
        <w:tab/>
      </w:r>
      <w:r w:rsidR="007C6B85" w:rsidRPr="008743DC">
        <w:rPr>
          <w:rFonts w:cs="Times New Roman"/>
          <w:szCs w:val="28"/>
        </w:rPr>
        <w:t xml:space="preserve"> </w:t>
      </w:r>
      <w:r w:rsidR="009E76E8" w:rsidRPr="008743DC">
        <w:rPr>
          <w:rFonts w:cs="Times New Roman"/>
          <w:szCs w:val="28"/>
        </w:rPr>
        <w:t xml:space="preserve">Only 24% of this amount has been made available to the </w:t>
      </w:r>
      <w:r w:rsidR="00011F31" w:rsidRPr="008743DC">
        <w:rPr>
          <w:rFonts w:cs="Times New Roman"/>
          <w:szCs w:val="28"/>
        </w:rPr>
        <w:t>beneficiaries’</w:t>
      </w:r>
      <w:r w:rsidR="009E76E8" w:rsidRPr="008743DC">
        <w:rPr>
          <w:rFonts w:cs="Times New Roman"/>
          <w:szCs w:val="28"/>
        </w:rPr>
        <w:t xml:space="preserve"> trusts. An amount of only R115 million was paid to these trusts. This leaves a difference of about R365 million between what was awarded by the court a</w:t>
      </w:r>
      <w:r w:rsidR="004822F2" w:rsidRPr="008743DC">
        <w:rPr>
          <w:rFonts w:cs="Times New Roman"/>
          <w:szCs w:val="28"/>
        </w:rPr>
        <w:t xml:space="preserve">nd </w:t>
      </w:r>
      <w:r w:rsidR="009E76E8" w:rsidRPr="008743DC">
        <w:rPr>
          <w:rFonts w:cs="Times New Roman"/>
          <w:szCs w:val="28"/>
        </w:rPr>
        <w:t xml:space="preserve">paid by the department, and what has been paid by the </w:t>
      </w:r>
      <w:r w:rsidR="00A17499" w:rsidRPr="008743DC">
        <w:rPr>
          <w:rFonts w:cs="Times New Roman"/>
          <w:szCs w:val="28"/>
        </w:rPr>
        <w:t>attorney’s</w:t>
      </w:r>
      <w:r w:rsidR="009E76E8" w:rsidRPr="008743DC">
        <w:rPr>
          <w:rFonts w:cs="Times New Roman"/>
          <w:szCs w:val="28"/>
        </w:rPr>
        <w:t xml:space="preserve"> firm into the </w:t>
      </w:r>
      <w:r w:rsidR="007C2AB5" w:rsidRPr="008743DC">
        <w:rPr>
          <w:rFonts w:cs="Times New Roman"/>
          <w:szCs w:val="28"/>
        </w:rPr>
        <w:t>beneficiaries’</w:t>
      </w:r>
      <w:r w:rsidR="009E76E8" w:rsidRPr="008743DC">
        <w:rPr>
          <w:rFonts w:cs="Times New Roman"/>
          <w:szCs w:val="28"/>
        </w:rPr>
        <w:t xml:space="preserve"> trusts. Whilst some of these funds may have lawfully been consumed in legal fees and/or may still be paid into the trusts,</w:t>
      </w:r>
      <w:r w:rsidR="00A17499" w:rsidRPr="008743DC">
        <w:rPr>
          <w:rFonts w:cs="Times New Roman"/>
          <w:szCs w:val="28"/>
        </w:rPr>
        <w:t xml:space="preserve"> some 76% of the awards ha</w:t>
      </w:r>
      <w:r w:rsidR="00011F31" w:rsidRPr="008743DC">
        <w:rPr>
          <w:rFonts w:cs="Times New Roman"/>
          <w:szCs w:val="28"/>
        </w:rPr>
        <w:t>s</w:t>
      </w:r>
      <w:r w:rsidR="00A17499" w:rsidRPr="008743DC">
        <w:rPr>
          <w:rFonts w:cs="Times New Roman"/>
          <w:szCs w:val="28"/>
        </w:rPr>
        <w:t xml:space="preserve"> not been applied for the benefit of the intended beneficiaries.</w:t>
      </w:r>
    </w:p>
    <w:p w:rsidR="00A17499" w:rsidRDefault="00A17499" w:rsidP="00B62B32">
      <w:pPr>
        <w:pStyle w:val="ListParagraph"/>
        <w:ind w:left="1134"/>
        <w:rPr>
          <w:rFonts w:cs="Times New Roman"/>
          <w:szCs w:val="28"/>
        </w:rPr>
      </w:pPr>
    </w:p>
    <w:p w:rsidR="00A17499" w:rsidRPr="008743DC" w:rsidRDefault="008743DC" w:rsidP="008743DC">
      <w:pPr>
        <w:ind w:left="1659" w:hanging="525"/>
        <w:rPr>
          <w:rFonts w:cs="Times New Roman"/>
          <w:szCs w:val="28"/>
        </w:rPr>
      </w:pPr>
      <w:r>
        <w:rPr>
          <w:rFonts w:cs="Times New Roman"/>
          <w:szCs w:val="28"/>
        </w:rPr>
        <w:t>80.2</w:t>
      </w:r>
      <w:r>
        <w:rPr>
          <w:rFonts w:cs="Times New Roman"/>
          <w:szCs w:val="28"/>
        </w:rPr>
        <w:tab/>
      </w:r>
      <w:r w:rsidR="007C6B85" w:rsidRPr="008743DC">
        <w:rPr>
          <w:rFonts w:cs="Times New Roman"/>
          <w:szCs w:val="28"/>
        </w:rPr>
        <w:t xml:space="preserve"> </w:t>
      </w:r>
      <w:r w:rsidR="00A17499" w:rsidRPr="008743DC">
        <w:rPr>
          <w:rFonts w:cs="Times New Roman"/>
          <w:szCs w:val="28"/>
        </w:rPr>
        <w:t xml:space="preserve">Approximately R221 million or 46% of the awards that the department has paid to this firm are in respect of beneficiary trusts that do not presently exist because the attorneys have failed to </w:t>
      </w:r>
      <w:r w:rsidR="00A17499" w:rsidRPr="008743DC">
        <w:rPr>
          <w:rFonts w:cs="Times New Roman"/>
          <w:szCs w:val="28"/>
        </w:rPr>
        <w:lastRenderedPageBreak/>
        <w:t>comply with their obligation to establish and register such trusts with the Master.</w:t>
      </w:r>
    </w:p>
    <w:p w:rsidR="00A17499" w:rsidRDefault="00A17499" w:rsidP="00B62B32">
      <w:pPr>
        <w:pStyle w:val="ListParagraph"/>
        <w:ind w:left="1134"/>
        <w:rPr>
          <w:rFonts w:cs="Times New Roman"/>
          <w:szCs w:val="28"/>
        </w:rPr>
      </w:pPr>
    </w:p>
    <w:p w:rsidR="00A17499" w:rsidRPr="008743DC" w:rsidRDefault="008743DC" w:rsidP="008743DC">
      <w:pPr>
        <w:ind w:left="1659" w:hanging="525"/>
        <w:rPr>
          <w:rFonts w:cs="Times New Roman"/>
          <w:szCs w:val="28"/>
        </w:rPr>
      </w:pPr>
      <w:r>
        <w:rPr>
          <w:rFonts w:cs="Times New Roman"/>
          <w:szCs w:val="28"/>
        </w:rPr>
        <w:t>80.3</w:t>
      </w:r>
      <w:r>
        <w:rPr>
          <w:rFonts w:cs="Times New Roman"/>
          <w:szCs w:val="28"/>
        </w:rPr>
        <w:tab/>
      </w:r>
      <w:r w:rsidR="007C6B85" w:rsidRPr="008743DC">
        <w:rPr>
          <w:rFonts w:cs="Times New Roman"/>
          <w:szCs w:val="28"/>
        </w:rPr>
        <w:t xml:space="preserve"> </w:t>
      </w:r>
      <w:r w:rsidR="00A17499" w:rsidRPr="008743DC">
        <w:rPr>
          <w:rFonts w:cs="Times New Roman"/>
          <w:szCs w:val="28"/>
        </w:rPr>
        <w:t>Approximately R163 million or 74% of the R221 million which ought to be available for payment to the unformed trusts in the future is unaccounted for. In this regard, as a</w:t>
      </w:r>
      <w:r w:rsidR="00011F31" w:rsidRPr="008743DC">
        <w:rPr>
          <w:rFonts w:cs="Times New Roman"/>
          <w:szCs w:val="28"/>
        </w:rPr>
        <w:t>t</w:t>
      </w:r>
      <w:r w:rsidR="00A17499" w:rsidRPr="008743DC">
        <w:rPr>
          <w:rFonts w:cs="Times New Roman"/>
          <w:szCs w:val="28"/>
        </w:rPr>
        <w:t xml:space="preserve"> 30 July 2021 the firm’s trust account held R101 million. Of this, R43 million was for trusts that had been formed but had not been paid</w:t>
      </w:r>
      <w:r w:rsidR="00ED2ED8" w:rsidRPr="008743DC">
        <w:rPr>
          <w:rFonts w:cs="Times New Roman"/>
          <w:szCs w:val="28"/>
        </w:rPr>
        <w:t>,</w:t>
      </w:r>
      <w:r w:rsidR="00A17499" w:rsidRPr="008743DC">
        <w:rPr>
          <w:rFonts w:cs="Times New Roman"/>
          <w:szCs w:val="28"/>
        </w:rPr>
        <w:t xml:space="preserve"> leaving about R58 million available for distribution to the yet to be established trust</w:t>
      </w:r>
      <w:r w:rsidR="00011F31" w:rsidRPr="008743DC">
        <w:rPr>
          <w:rFonts w:cs="Times New Roman"/>
          <w:szCs w:val="28"/>
        </w:rPr>
        <w:t>s</w:t>
      </w:r>
      <w:r w:rsidR="00A17499" w:rsidRPr="008743DC">
        <w:rPr>
          <w:rFonts w:cs="Times New Roman"/>
          <w:szCs w:val="28"/>
        </w:rPr>
        <w:t>. This leaves R163 million (approximately 74%) of monies paid by the department being unaccounted for in respect of these yet to be established trusts. He further testified that an examination of the ledge</w:t>
      </w:r>
      <w:r w:rsidR="00011F31" w:rsidRPr="008743DC">
        <w:rPr>
          <w:rFonts w:cs="Times New Roman"/>
          <w:szCs w:val="28"/>
        </w:rPr>
        <w:t>r</w:t>
      </w:r>
      <w:r w:rsidR="00A17499" w:rsidRPr="008743DC">
        <w:rPr>
          <w:rFonts w:cs="Times New Roman"/>
          <w:szCs w:val="28"/>
        </w:rPr>
        <w:t>s of the firm’s trust account demonstrates that the</w:t>
      </w:r>
      <w:r w:rsidR="00011F31" w:rsidRPr="008743DC">
        <w:rPr>
          <w:rFonts w:cs="Times New Roman"/>
          <w:szCs w:val="28"/>
        </w:rPr>
        <w:t>re</w:t>
      </w:r>
      <w:r w:rsidR="00A17499" w:rsidRPr="008743DC">
        <w:rPr>
          <w:rFonts w:cs="Times New Roman"/>
          <w:szCs w:val="28"/>
        </w:rPr>
        <w:t xml:space="preserve"> are hopelessly insufficient funds held in trust to distribute to these yet to be established trust</w:t>
      </w:r>
      <w:r w:rsidR="00011F31" w:rsidRPr="008743DC">
        <w:rPr>
          <w:rFonts w:cs="Times New Roman"/>
          <w:szCs w:val="28"/>
        </w:rPr>
        <w:t>s</w:t>
      </w:r>
      <w:r w:rsidR="00A17499" w:rsidRPr="008743DC">
        <w:rPr>
          <w:rFonts w:cs="Times New Roman"/>
          <w:szCs w:val="28"/>
        </w:rPr>
        <w:t>. Even if one takes into account approximately 40% of the R221 million being allocated (to a degree in contravention of the Contingency Fees Act</w:t>
      </w:r>
      <w:r w:rsidR="00011F31" w:rsidRPr="008743DC">
        <w:rPr>
          <w:rFonts w:cs="Times New Roman"/>
          <w:szCs w:val="28"/>
        </w:rPr>
        <w:t xml:space="preserve"> No 66 of 1997</w:t>
      </w:r>
      <w:r w:rsidR="00A17499" w:rsidRPr="008743DC">
        <w:rPr>
          <w:rFonts w:cs="Times New Roman"/>
          <w:szCs w:val="28"/>
        </w:rPr>
        <w:t xml:space="preserve">) to legal fees and disbursements, the firm remains at least R74, 6 million short in </w:t>
      </w:r>
      <w:r w:rsidR="00D84322" w:rsidRPr="008743DC">
        <w:rPr>
          <w:rFonts w:cs="Times New Roman"/>
          <w:szCs w:val="28"/>
        </w:rPr>
        <w:t>its</w:t>
      </w:r>
      <w:r w:rsidR="00A17499" w:rsidRPr="008743DC">
        <w:rPr>
          <w:rFonts w:cs="Times New Roman"/>
          <w:szCs w:val="28"/>
        </w:rPr>
        <w:t xml:space="preserve"> trust account </w:t>
      </w:r>
      <w:r w:rsidR="00011F31" w:rsidRPr="008743DC">
        <w:rPr>
          <w:rFonts w:cs="Times New Roman"/>
          <w:szCs w:val="28"/>
        </w:rPr>
        <w:t>for</w:t>
      </w:r>
      <w:r w:rsidR="00A17499" w:rsidRPr="008743DC">
        <w:rPr>
          <w:rFonts w:cs="Times New Roman"/>
          <w:szCs w:val="28"/>
        </w:rPr>
        <w:t xml:space="preserve"> distribut</w:t>
      </w:r>
      <w:r w:rsidR="00011F31" w:rsidRPr="008743DC">
        <w:rPr>
          <w:rFonts w:cs="Times New Roman"/>
          <w:szCs w:val="28"/>
        </w:rPr>
        <w:t>ion</w:t>
      </w:r>
      <w:r w:rsidR="00A17499" w:rsidRPr="008743DC">
        <w:rPr>
          <w:rFonts w:cs="Times New Roman"/>
          <w:szCs w:val="28"/>
        </w:rPr>
        <w:t xml:space="preserve"> to these yet to be established beneficiary trust</w:t>
      </w:r>
      <w:r w:rsidR="00011F31" w:rsidRPr="008743DC">
        <w:rPr>
          <w:rFonts w:cs="Times New Roman"/>
          <w:szCs w:val="28"/>
        </w:rPr>
        <w:t>s</w:t>
      </w:r>
      <w:r w:rsidR="00A17499" w:rsidRPr="008743DC">
        <w:rPr>
          <w:rFonts w:cs="Times New Roman"/>
          <w:szCs w:val="28"/>
        </w:rPr>
        <w:t>.</w:t>
      </w:r>
    </w:p>
    <w:p w:rsidR="00A17499" w:rsidRDefault="00A17499" w:rsidP="00A17499">
      <w:pPr>
        <w:pStyle w:val="ListParagraph"/>
        <w:ind w:right="-57"/>
        <w:rPr>
          <w:rFonts w:cs="Times New Roman"/>
          <w:szCs w:val="28"/>
        </w:rPr>
      </w:pPr>
    </w:p>
    <w:p w:rsidR="0098553D" w:rsidRDefault="00DE41BC" w:rsidP="005A3452">
      <w:pPr>
        <w:ind w:right="-57"/>
        <w:rPr>
          <w:rFonts w:cs="Times New Roman"/>
          <w:szCs w:val="28"/>
        </w:rPr>
      </w:pPr>
      <w:r>
        <w:rPr>
          <w:rFonts w:cs="Times New Roman"/>
          <w:szCs w:val="28"/>
        </w:rPr>
        <w:t>[81</w:t>
      </w:r>
      <w:r w:rsidR="00951F01">
        <w:rPr>
          <w:rFonts w:cs="Times New Roman"/>
          <w:szCs w:val="28"/>
        </w:rPr>
        <w:t>]</w:t>
      </w:r>
      <w:r w:rsidR="00951F01">
        <w:rPr>
          <w:rFonts w:cs="Times New Roman"/>
          <w:szCs w:val="28"/>
        </w:rPr>
        <w:tab/>
      </w:r>
      <w:r w:rsidR="00A17499">
        <w:rPr>
          <w:rFonts w:cs="Times New Roman"/>
          <w:szCs w:val="28"/>
        </w:rPr>
        <w:t xml:space="preserve">He testified that there are further payments to this firm which have been identified and which </w:t>
      </w:r>
      <w:r w:rsidR="00011F31">
        <w:rPr>
          <w:rFonts w:cs="Times New Roman"/>
          <w:szCs w:val="28"/>
        </w:rPr>
        <w:t>are yet</w:t>
      </w:r>
      <w:r w:rsidR="00A17499">
        <w:rPr>
          <w:rFonts w:cs="Times New Roman"/>
          <w:szCs w:val="28"/>
        </w:rPr>
        <w:t xml:space="preserve"> to be investigated. Taking these together with the R480 million referred to earlier, the total payments made by the department between April 2014 and March 2021 to this firm by way of damages awards amounts to the sum of R</w:t>
      </w:r>
      <w:r w:rsidR="005A3452">
        <w:rPr>
          <w:rFonts w:cs="Times New Roman"/>
          <w:szCs w:val="28"/>
        </w:rPr>
        <w:t>612.6 million.</w:t>
      </w:r>
    </w:p>
    <w:p w:rsidR="005A3452" w:rsidRDefault="005A3452" w:rsidP="005A3452">
      <w:pPr>
        <w:ind w:right="-57"/>
        <w:rPr>
          <w:rFonts w:cs="Times New Roman"/>
          <w:szCs w:val="28"/>
        </w:rPr>
      </w:pPr>
    </w:p>
    <w:p w:rsidR="005A3452" w:rsidRDefault="00DE41BC" w:rsidP="005A3452">
      <w:pPr>
        <w:ind w:right="-57"/>
        <w:rPr>
          <w:rFonts w:cs="Times New Roman"/>
          <w:szCs w:val="28"/>
        </w:rPr>
      </w:pPr>
      <w:r>
        <w:rPr>
          <w:rFonts w:cs="Times New Roman"/>
          <w:szCs w:val="28"/>
        </w:rPr>
        <w:lastRenderedPageBreak/>
        <w:t>[82]</w:t>
      </w:r>
      <w:r>
        <w:rPr>
          <w:rFonts w:cs="Times New Roman"/>
          <w:szCs w:val="28"/>
        </w:rPr>
        <w:tab/>
      </w:r>
      <w:r w:rsidR="005A3452">
        <w:rPr>
          <w:rFonts w:cs="Times New Roman"/>
          <w:szCs w:val="28"/>
        </w:rPr>
        <w:t>His investigation also showed that the delay in registering these trusts cannot be attributed to the Master’s Office.</w:t>
      </w:r>
    </w:p>
    <w:p w:rsidR="005A3452" w:rsidRPr="005A3452" w:rsidRDefault="005A3452" w:rsidP="005A3452">
      <w:pPr>
        <w:ind w:right="-57"/>
        <w:rPr>
          <w:rFonts w:cs="Times New Roman"/>
          <w:szCs w:val="28"/>
        </w:rPr>
      </w:pPr>
    </w:p>
    <w:p w:rsidR="0098553D" w:rsidRDefault="00A17499" w:rsidP="00DE1085">
      <w:pPr>
        <w:ind w:left="-57" w:right="-57"/>
        <w:rPr>
          <w:rFonts w:cs="Times New Roman"/>
          <w:b/>
          <w:bCs/>
          <w:i/>
          <w:iCs/>
          <w:szCs w:val="28"/>
        </w:rPr>
      </w:pPr>
      <w:r>
        <w:rPr>
          <w:rFonts w:cs="Times New Roman"/>
          <w:b/>
          <w:bCs/>
          <w:i/>
          <w:iCs/>
          <w:szCs w:val="28"/>
        </w:rPr>
        <w:t>Prof</w:t>
      </w:r>
      <w:r w:rsidR="0098553D" w:rsidRPr="0098553D">
        <w:rPr>
          <w:rFonts w:cs="Times New Roman"/>
          <w:b/>
          <w:bCs/>
          <w:i/>
          <w:iCs/>
          <w:szCs w:val="28"/>
        </w:rPr>
        <w:t xml:space="preserve">essor Van den </w:t>
      </w:r>
      <w:proofErr w:type="spellStart"/>
      <w:r w:rsidR="0098553D" w:rsidRPr="0098553D">
        <w:rPr>
          <w:rFonts w:cs="Times New Roman"/>
          <w:b/>
          <w:bCs/>
          <w:i/>
          <w:iCs/>
          <w:szCs w:val="28"/>
        </w:rPr>
        <w:t>Heever</w:t>
      </w:r>
      <w:proofErr w:type="spellEnd"/>
    </w:p>
    <w:p w:rsidR="0098553D" w:rsidRDefault="00DE41BC" w:rsidP="006F13F2">
      <w:pPr>
        <w:ind w:left="-57" w:right="-57"/>
        <w:rPr>
          <w:rFonts w:cs="Times New Roman"/>
          <w:szCs w:val="28"/>
        </w:rPr>
      </w:pPr>
      <w:r>
        <w:rPr>
          <w:rFonts w:cs="Times New Roman"/>
          <w:szCs w:val="28"/>
        </w:rPr>
        <w:t>[83</w:t>
      </w:r>
      <w:r w:rsidR="00951F01">
        <w:rPr>
          <w:rFonts w:cs="Times New Roman"/>
          <w:szCs w:val="28"/>
        </w:rPr>
        <w:t>]</w:t>
      </w:r>
      <w:r w:rsidR="00951F01">
        <w:rPr>
          <w:rFonts w:cs="Times New Roman"/>
          <w:szCs w:val="28"/>
        </w:rPr>
        <w:tab/>
      </w:r>
      <w:proofErr w:type="spellStart"/>
      <w:r w:rsidR="0098553D">
        <w:rPr>
          <w:rFonts w:cs="Times New Roman"/>
          <w:szCs w:val="28"/>
        </w:rPr>
        <w:t>Prof.</w:t>
      </w:r>
      <w:proofErr w:type="spellEnd"/>
      <w:r w:rsidR="0098553D">
        <w:rPr>
          <w:rFonts w:cs="Times New Roman"/>
          <w:szCs w:val="28"/>
        </w:rPr>
        <w:t xml:space="preserve"> Van den </w:t>
      </w:r>
      <w:proofErr w:type="spellStart"/>
      <w:r w:rsidR="0098553D">
        <w:rPr>
          <w:rFonts w:cs="Times New Roman"/>
          <w:szCs w:val="28"/>
        </w:rPr>
        <w:t>Heever</w:t>
      </w:r>
      <w:proofErr w:type="spellEnd"/>
      <w:r w:rsidR="0098553D">
        <w:rPr>
          <w:rFonts w:cs="Times New Roman"/>
          <w:szCs w:val="28"/>
        </w:rPr>
        <w:t xml:space="preserve"> testified on behalf of the plaintiff in rebuttal of the defendant</w:t>
      </w:r>
      <w:r w:rsidR="001F614E">
        <w:rPr>
          <w:rFonts w:cs="Times New Roman"/>
          <w:szCs w:val="28"/>
        </w:rPr>
        <w:t>’s evidence</w:t>
      </w:r>
      <w:r w:rsidR="0098553D">
        <w:rPr>
          <w:rFonts w:cs="Times New Roman"/>
          <w:szCs w:val="28"/>
        </w:rPr>
        <w:t xml:space="preserve"> relating to the constitutional defences.</w:t>
      </w:r>
      <w:r w:rsidR="001F614E">
        <w:rPr>
          <w:rFonts w:cs="Times New Roman"/>
          <w:szCs w:val="28"/>
        </w:rPr>
        <w:t xml:space="preserve"> He holds a BA (Hons) and an MA (Economics), from the University of Cape Town. </w:t>
      </w:r>
      <w:r w:rsidR="006F13F2">
        <w:rPr>
          <w:rFonts w:cs="Times New Roman"/>
          <w:szCs w:val="28"/>
        </w:rPr>
        <w:t xml:space="preserve">His master’s thesis focused on the evaluation of health resource allocation requirements in Southern Africa. </w:t>
      </w:r>
      <w:r w:rsidR="001F614E">
        <w:rPr>
          <w:rFonts w:cs="Times New Roman"/>
          <w:szCs w:val="28"/>
        </w:rPr>
        <w:t>He has sat on numerous advisory committees, boards and commissions</w:t>
      </w:r>
      <w:r w:rsidR="006F13F2">
        <w:rPr>
          <w:rFonts w:cs="Times New Roman"/>
          <w:szCs w:val="28"/>
        </w:rPr>
        <w:t xml:space="preserve"> in relation to national health, finance and economics. He has also been involved with a strategic management team to support the establishment of the Gauteng Department of Health and a functional task team which established the </w:t>
      </w:r>
      <w:r w:rsidR="00B05F3A">
        <w:rPr>
          <w:rFonts w:cs="Times New Roman"/>
          <w:szCs w:val="28"/>
        </w:rPr>
        <w:t xml:space="preserve">Medium Term Expenditure Framework </w:t>
      </w:r>
      <w:r w:rsidR="006F13F2">
        <w:rPr>
          <w:rFonts w:cs="Times New Roman"/>
          <w:szCs w:val="28"/>
        </w:rPr>
        <w:t xml:space="preserve">for South Africa. He has had extensive experience in economic advisory positions, particularly relating to government and in the area of health. Apart from his involvement with the Council for Medical Schemes, he has consulted with several major clients </w:t>
      </w:r>
      <w:r w:rsidR="00D84322">
        <w:rPr>
          <w:rFonts w:cs="Times New Roman"/>
          <w:szCs w:val="28"/>
        </w:rPr>
        <w:t>i</w:t>
      </w:r>
      <w:r w:rsidR="006F13F2">
        <w:rPr>
          <w:rFonts w:cs="Times New Roman"/>
          <w:szCs w:val="28"/>
        </w:rPr>
        <w:t>ncluding the National Treasury,</w:t>
      </w:r>
      <w:r w:rsidR="00B05F3A">
        <w:rPr>
          <w:rFonts w:cs="Times New Roman"/>
          <w:szCs w:val="28"/>
        </w:rPr>
        <w:t xml:space="preserve"> The National Department of Health and the Development Bank of South Africa.</w:t>
      </w:r>
    </w:p>
    <w:p w:rsidR="006F13F2" w:rsidRDefault="006F13F2" w:rsidP="006F13F2">
      <w:pPr>
        <w:ind w:left="-57" w:right="-57"/>
        <w:rPr>
          <w:rFonts w:cs="Times New Roman"/>
          <w:szCs w:val="28"/>
        </w:rPr>
      </w:pPr>
    </w:p>
    <w:p w:rsidR="006F13F2" w:rsidRDefault="00DE41BC" w:rsidP="006F13F2">
      <w:pPr>
        <w:ind w:left="-57" w:right="-57"/>
        <w:rPr>
          <w:rFonts w:cs="Times New Roman"/>
          <w:szCs w:val="28"/>
        </w:rPr>
      </w:pPr>
      <w:r>
        <w:rPr>
          <w:rFonts w:cs="Times New Roman"/>
          <w:szCs w:val="28"/>
        </w:rPr>
        <w:t>[84</w:t>
      </w:r>
      <w:r w:rsidR="00951F01">
        <w:rPr>
          <w:rFonts w:cs="Times New Roman"/>
          <w:szCs w:val="28"/>
        </w:rPr>
        <w:t>]</w:t>
      </w:r>
      <w:r w:rsidR="00951F01">
        <w:rPr>
          <w:rFonts w:cs="Times New Roman"/>
          <w:szCs w:val="28"/>
        </w:rPr>
        <w:tab/>
      </w:r>
      <w:r w:rsidR="006F13F2">
        <w:rPr>
          <w:rFonts w:cs="Times New Roman"/>
          <w:szCs w:val="28"/>
        </w:rPr>
        <w:t>His expertise lies in the areas of health economics and financing</w:t>
      </w:r>
      <w:r w:rsidR="00DE1085">
        <w:rPr>
          <w:rFonts w:cs="Times New Roman"/>
          <w:szCs w:val="28"/>
        </w:rPr>
        <w:t>;</w:t>
      </w:r>
      <w:r w:rsidR="006F13F2">
        <w:rPr>
          <w:rFonts w:cs="Times New Roman"/>
          <w:szCs w:val="28"/>
        </w:rPr>
        <w:t xml:space="preserve"> public finance, with a specific emphasis on health policy matters; strategic government policy, relating primarily to health and </w:t>
      </w:r>
      <w:r w:rsidR="0082278B">
        <w:rPr>
          <w:rFonts w:cs="Times New Roman"/>
          <w:szCs w:val="28"/>
        </w:rPr>
        <w:t>s</w:t>
      </w:r>
      <w:r w:rsidR="006F13F2">
        <w:rPr>
          <w:rFonts w:cs="Times New Roman"/>
          <w:szCs w:val="28"/>
        </w:rPr>
        <w:t xml:space="preserve">ocial </w:t>
      </w:r>
      <w:r w:rsidR="0082278B">
        <w:rPr>
          <w:rFonts w:cs="Times New Roman"/>
          <w:szCs w:val="28"/>
        </w:rPr>
        <w:t>s</w:t>
      </w:r>
      <w:r w:rsidR="006F13F2">
        <w:rPr>
          <w:rFonts w:cs="Times New Roman"/>
          <w:szCs w:val="28"/>
        </w:rPr>
        <w:t>ecurity; and policy and planning modelling. He has also conducted extensive research and published widely. Indeed, from his CV it appears that</w:t>
      </w:r>
      <w:r w:rsidR="0082278B">
        <w:rPr>
          <w:rFonts w:cs="Times New Roman"/>
          <w:szCs w:val="28"/>
        </w:rPr>
        <w:t xml:space="preserve"> he has been responsible for more than 80 publications, many of which involve healthcare and social security. Likewise, what he terms “key projects” in which he has been involved relating similarly to health, finance and related matters is impressive, and extensive.</w:t>
      </w:r>
    </w:p>
    <w:p w:rsidR="0082278B" w:rsidRDefault="0082278B" w:rsidP="006F13F2">
      <w:pPr>
        <w:ind w:left="-57" w:right="-57"/>
        <w:rPr>
          <w:rFonts w:cs="Times New Roman"/>
          <w:szCs w:val="28"/>
        </w:rPr>
      </w:pPr>
    </w:p>
    <w:p w:rsidR="0082278B" w:rsidRDefault="00DE41BC" w:rsidP="006F13F2">
      <w:pPr>
        <w:ind w:left="-57" w:right="-57"/>
        <w:rPr>
          <w:rFonts w:cs="Times New Roman"/>
          <w:szCs w:val="28"/>
        </w:rPr>
      </w:pPr>
      <w:r>
        <w:rPr>
          <w:rFonts w:cs="Times New Roman"/>
          <w:szCs w:val="28"/>
        </w:rPr>
        <w:lastRenderedPageBreak/>
        <w:t>[85</w:t>
      </w:r>
      <w:r w:rsidR="00951F01">
        <w:rPr>
          <w:rFonts w:cs="Times New Roman"/>
          <w:szCs w:val="28"/>
        </w:rPr>
        <w:t>]</w:t>
      </w:r>
      <w:r w:rsidR="00951F01">
        <w:rPr>
          <w:rFonts w:cs="Times New Roman"/>
          <w:szCs w:val="28"/>
        </w:rPr>
        <w:tab/>
      </w:r>
      <w:r w:rsidR="0082278B">
        <w:rPr>
          <w:rFonts w:cs="Times New Roman"/>
          <w:szCs w:val="28"/>
        </w:rPr>
        <w:t>The first point which the professor made both in his report and</w:t>
      </w:r>
      <w:r w:rsidR="00ED2ED8">
        <w:rPr>
          <w:rFonts w:cs="Times New Roman"/>
          <w:szCs w:val="28"/>
        </w:rPr>
        <w:t xml:space="preserve"> in</w:t>
      </w:r>
      <w:r w:rsidR="0082278B">
        <w:rPr>
          <w:rFonts w:cs="Times New Roman"/>
          <w:szCs w:val="28"/>
        </w:rPr>
        <w:t xml:space="preserve"> his evidence was that to compensate victims of medical negligence other than through a lump sum </w:t>
      </w:r>
      <w:r w:rsidR="00CE1C88">
        <w:rPr>
          <w:rFonts w:cs="Times New Roman"/>
          <w:szCs w:val="28"/>
        </w:rPr>
        <w:t>pay-out</w:t>
      </w:r>
      <w:r w:rsidR="0082278B">
        <w:rPr>
          <w:rFonts w:cs="Times New Roman"/>
          <w:szCs w:val="28"/>
        </w:rPr>
        <w:t xml:space="preserve"> would result in an unjustified transfer of </w:t>
      </w:r>
      <w:r w:rsidR="007C2AB5">
        <w:rPr>
          <w:rFonts w:cs="Times New Roman"/>
          <w:szCs w:val="28"/>
        </w:rPr>
        <w:t>risk, and</w:t>
      </w:r>
      <w:r w:rsidR="00B05F3A">
        <w:rPr>
          <w:rFonts w:cs="Times New Roman"/>
          <w:szCs w:val="28"/>
        </w:rPr>
        <w:t xml:space="preserve"> would amount to</w:t>
      </w:r>
      <w:r w:rsidR="0082278B">
        <w:rPr>
          <w:rFonts w:cs="Times New Roman"/>
          <w:szCs w:val="28"/>
        </w:rPr>
        <w:t xml:space="preserve"> a departure from the principle of social solidarity that underpins the public and private health systems. </w:t>
      </w:r>
      <w:r w:rsidR="00CE1C88">
        <w:rPr>
          <w:rFonts w:cs="Times New Roman"/>
          <w:szCs w:val="28"/>
        </w:rPr>
        <w:t xml:space="preserve">He said that any failure to incur the cost of implementing reasonable and rational measures to minimize the risk of medical negligence is not a </w:t>
      </w:r>
      <w:r w:rsidR="007C2AB5">
        <w:rPr>
          <w:rFonts w:cs="Times New Roman"/>
          <w:szCs w:val="28"/>
        </w:rPr>
        <w:t>saving and</w:t>
      </w:r>
      <w:r w:rsidR="00CE1C88">
        <w:rPr>
          <w:rFonts w:cs="Times New Roman"/>
          <w:szCs w:val="28"/>
        </w:rPr>
        <w:t xml:space="preserve"> would represent a departure from social solidarity principles of any publicly provided health service, or a national health system. He further </w:t>
      </w:r>
      <w:r w:rsidR="0082278B">
        <w:rPr>
          <w:rFonts w:cs="Times New Roman"/>
          <w:szCs w:val="28"/>
        </w:rPr>
        <w:t>argued that not to cover the cost</w:t>
      </w:r>
      <w:r w:rsidR="00CE1C88">
        <w:rPr>
          <w:rFonts w:cs="Times New Roman"/>
          <w:szCs w:val="28"/>
        </w:rPr>
        <w:t>s</w:t>
      </w:r>
      <w:r w:rsidR="0082278B">
        <w:rPr>
          <w:rFonts w:cs="Times New Roman"/>
          <w:szCs w:val="28"/>
        </w:rPr>
        <w:t xml:space="preserve"> of a</w:t>
      </w:r>
      <w:r w:rsidR="00CE1C88">
        <w:rPr>
          <w:rFonts w:cs="Times New Roman"/>
          <w:szCs w:val="28"/>
        </w:rPr>
        <w:t xml:space="preserve"> rightful </w:t>
      </w:r>
      <w:r w:rsidR="0082278B">
        <w:rPr>
          <w:rFonts w:cs="Times New Roman"/>
          <w:szCs w:val="28"/>
        </w:rPr>
        <w:t>claim for damages is equally a departure from the principle of social solidarity</w:t>
      </w:r>
      <w:r w:rsidR="00CE1C88">
        <w:rPr>
          <w:rFonts w:cs="Times New Roman"/>
          <w:szCs w:val="28"/>
        </w:rPr>
        <w:t xml:space="preserve"> as it transfers an important risk back to the private individual</w:t>
      </w:r>
      <w:r w:rsidR="00ED2ED8">
        <w:rPr>
          <w:rFonts w:cs="Times New Roman"/>
          <w:szCs w:val="28"/>
        </w:rPr>
        <w:t>s</w:t>
      </w:r>
      <w:r w:rsidR="00CE1C88">
        <w:rPr>
          <w:rFonts w:cs="Times New Roman"/>
          <w:szCs w:val="28"/>
        </w:rPr>
        <w:t xml:space="preserve"> and families who are structurally in a more precarious position in terms of carrying such a risk.</w:t>
      </w:r>
    </w:p>
    <w:p w:rsidR="00CE1C88" w:rsidRDefault="00CE1C88" w:rsidP="006F13F2">
      <w:pPr>
        <w:ind w:left="-57" w:right="-57"/>
        <w:rPr>
          <w:rFonts w:cs="Times New Roman"/>
          <w:szCs w:val="28"/>
        </w:rPr>
      </w:pPr>
    </w:p>
    <w:p w:rsidR="00CE1C88" w:rsidRDefault="00DE41BC" w:rsidP="006F13F2">
      <w:pPr>
        <w:ind w:left="-57" w:right="-57"/>
        <w:rPr>
          <w:rFonts w:cs="Times New Roman"/>
          <w:szCs w:val="28"/>
        </w:rPr>
      </w:pPr>
      <w:r>
        <w:rPr>
          <w:rFonts w:cs="Times New Roman"/>
          <w:szCs w:val="28"/>
        </w:rPr>
        <w:t>[86</w:t>
      </w:r>
      <w:r w:rsidR="00951F01">
        <w:rPr>
          <w:rFonts w:cs="Times New Roman"/>
          <w:szCs w:val="28"/>
        </w:rPr>
        <w:t>]</w:t>
      </w:r>
      <w:r w:rsidR="00951F01">
        <w:rPr>
          <w:rFonts w:cs="Times New Roman"/>
          <w:szCs w:val="28"/>
        </w:rPr>
        <w:tab/>
      </w:r>
      <w:r w:rsidR="00CE1C88">
        <w:rPr>
          <w:rFonts w:cs="Times New Roman"/>
          <w:szCs w:val="28"/>
        </w:rPr>
        <w:t xml:space="preserve">In his reports, and in his evidence, the professor dealt with and assessed the capability of the defendant to provide </w:t>
      </w:r>
      <w:r w:rsidR="00B05F3A">
        <w:rPr>
          <w:rFonts w:cs="Times New Roman"/>
          <w:szCs w:val="28"/>
        </w:rPr>
        <w:t>a</w:t>
      </w:r>
      <w:r w:rsidR="00CE1C88">
        <w:rPr>
          <w:rFonts w:cs="Times New Roman"/>
          <w:szCs w:val="28"/>
        </w:rPr>
        <w:t xml:space="preserve"> standard of healthcare equivalent to that which pertains in the private sector, based on various</w:t>
      </w:r>
      <w:r w:rsidR="00B05F3A">
        <w:rPr>
          <w:rFonts w:cs="Times New Roman"/>
          <w:szCs w:val="28"/>
        </w:rPr>
        <w:t xml:space="preserve"> proxy</w:t>
      </w:r>
      <w:r w:rsidR="00CE1C88">
        <w:rPr>
          <w:rFonts w:cs="Times New Roman"/>
          <w:szCs w:val="28"/>
        </w:rPr>
        <w:t xml:space="preserve"> indicators. Having conducted extensive research in this regard and having provided two lengthy and detailed reports pertaining thereto, he expressed strong doubt that the department indeed </w:t>
      </w:r>
      <w:r w:rsidR="00ED2ED8">
        <w:rPr>
          <w:rFonts w:cs="Times New Roman"/>
          <w:szCs w:val="28"/>
        </w:rPr>
        <w:t xml:space="preserve">has </w:t>
      </w:r>
      <w:r w:rsidR="00CE1C88">
        <w:rPr>
          <w:rFonts w:cs="Times New Roman"/>
          <w:szCs w:val="28"/>
        </w:rPr>
        <w:t>the capacity to provide the healthcare which BN requires at a standard equivalent to that which pertains in the private sector.</w:t>
      </w:r>
    </w:p>
    <w:p w:rsidR="00CE1C88" w:rsidRDefault="00CE1C88" w:rsidP="006F13F2">
      <w:pPr>
        <w:ind w:left="-57" w:right="-57"/>
        <w:rPr>
          <w:rFonts w:cs="Times New Roman"/>
          <w:szCs w:val="28"/>
        </w:rPr>
      </w:pPr>
    </w:p>
    <w:p w:rsidR="00CE1C88" w:rsidRDefault="00DE41BC" w:rsidP="006F13F2">
      <w:pPr>
        <w:ind w:left="-57" w:right="-57"/>
        <w:rPr>
          <w:rFonts w:cs="Times New Roman"/>
          <w:szCs w:val="28"/>
        </w:rPr>
      </w:pPr>
      <w:r>
        <w:rPr>
          <w:rFonts w:cs="Times New Roman"/>
          <w:szCs w:val="28"/>
        </w:rPr>
        <w:t>[87</w:t>
      </w:r>
      <w:r w:rsidR="00951F01">
        <w:rPr>
          <w:rFonts w:cs="Times New Roman"/>
          <w:szCs w:val="28"/>
        </w:rPr>
        <w:t>]</w:t>
      </w:r>
      <w:r w:rsidR="00951F01">
        <w:rPr>
          <w:rFonts w:cs="Times New Roman"/>
          <w:szCs w:val="28"/>
        </w:rPr>
        <w:tab/>
      </w:r>
      <w:r w:rsidR="00CE1C88">
        <w:rPr>
          <w:rFonts w:cs="Times New Roman"/>
          <w:szCs w:val="28"/>
        </w:rPr>
        <w:t xml:space="preserve">In this regard, he relied on three separate, and in his view important, proxy indicators. These are: health outcomes in the form of maternity mortality ratios (“MMR”); findings of the Office of Health Standards Compliance (“OHSC”); and </w:t>
      </w:r>
      <w:r w:rsidR="00B05F3A">
        <w:rPr>
          <w:rFonts w:cs="Times New Roman"/>
          <w:szCs w:val="28"/>
        </w:rPr>
        <w:t>n</w:t>
      </w:r>
      <w:r w:rsidR="00CE1C88">
        <w:rPr>
          <w:rFonts w:cs="Times New Roman"/>
          <w:szCs w:val="28"/>
        </w:rPr>
        <w:t xml:space="preserve">umerous </w:t>
      </w:r>
      <w:r w:rsidR="00B05F3A">
        <w:rPr>
          <w:rFonts w:cs="Times New Roman"/>
          <w:szCs w:val="28"/>
        </w:rPr>
        <w:t>r</w:t>
      </w:r>
      <w:r w:rsidR="00CE1C88">
        <w:rPr>
          <w:rFonts w:cs="Times New Roman"/>
          <w:szCs w:val="28"/>
        </w:rPr>
        <w:t>eports from the Auditor</w:t>
      </w:r>
      <w:r w:rsidR="00B05F3A">
        <w:rPr>
          <w:rFonts w:cs="Times New Roman"/>
          <w:szCs w:val="28"/>
        </w:rPr>
        <w:t>-</w:t>
      </w:r>
      <w:r w:rsidR="00CE1C88">
        <w:rPr>
          <w:rFonts w:cs="Times New Roman"/>
          <w:szCs w:val="28"/>
        </w:rPr>
        <w:t>General of South Africa (“AGSA”).</w:t>
      </w:r>
    </w:p>
    <w:p w:rsidR="005238E9" w:rsidRDefault="005238E9" w:rsidP="006F13F2">
      <w:pPr>
        <w:ind w:left="-57" w:right="-57"/>
        <w:rPr>
          <w:rFonts w:cs="Times New Roman"/>
          <w:szCs w:val="28"/>
        </w:rPr>
      </w:pPr>
    </w:p>
    <w:p w:rsidR="005238E9" w:rsidRDefault="00DE41BC" w:rsidP="006F13F2">
      <w:pPr>
        <w:ind w:left="-57" w:right="-57"/>
        <w:rPr>
          <w:rFonts w:cs="Times New Roman"/>
          <w:szCs w:val="28"/>
        </w:rPr>
      </w:pPr>
      <w:r>
        <w:rPr>
          <w:rFonts w:cs="Times New Roman"/>
          <w:szCs w:val="28"/>
        </w:rPr>
        <w:lastRenderedPageBreak/>
        <w:t>[88</w:t>
      </w:r>
      <w:r w:rsidR="00951F01">
        <w:rPr>
          <w:rFonts w:cs="Times New Roman"/>
          <w:szCs w:val="28"/>
        </w:rPr>
        <w:t>]</w:t>
      </w:r>
      <w:r w:rsidR="00951F01">
        <w:rPr>
          <w:rFonts w:cs="Times New Roman"/>
          <w:szCs w:val="28"/>
        </w:rPr>
        <w:tab/>
      </w:r>
      <w:r w:rsidR="005238E9">
        <w:rPr>
          <w:rFonts w:cs="Times New Roman"/>
          <w:szCs w:val="28"/>
        </w:rPr>
        <w:t xml:space="preserve">In dealing with </w:t>
      </w:r>
      <w:r w:rsidR="00B05F3A">
        <w:rPr>
          <w:rFonts w:cs="Times New Roman"/>
          <w:szCs w:val="28"/>
        </w:rPr>
        <w:t>MMR,</w:t>
      </w:r>
      <w:r w:rsidR="005238E9">
        <w:rPr>
          <w:rFonts w:cs="Times New Roman"/>
          <w:szCs w:val="28"/>
        </w:rPr>
        <w:t xml:space="preserve"> he testified that this</w:t>
      </w:r>
      <w:r w:rsidR="004B3519">
        <w:rPr>
          <w:rFonts w:cs="Times New Roman"/>
          <w:szCs w:val="28"/>
        </w:rPr>
        <w:t xml:space="preserve"> index</w:t>
      </w:r>
      <w:r w:rsidR="005238E9">
        <w:rPr>
          <w:rFonts w:cs="Times New Roman"/>
          <w:szCs w:val="28"/>
        </w:rPr>
        <w:t xml:space="preserve"> </w:t>
      </w:r>
      <w:r w:rsidR="00F33597">
        <w:rPr>
          <w:rFonts w:cs="Times New Roman"/>
          <w:szCs w:val="28"/>
        </w:rPr>
        <w:t>stood at</w:t>
      </w:r>
      <w:r w:rsidR="005238E9">
        <w:rPr>
          <w:rFonts w:cs="Times New Roman"/>
          <w:szCs w:val="28"/>
        </w:rPr>
        <w:t xml:space="preserve"> 138 in 2015 which was more than double the ratio in various developing countries of equivalent economic status, including Argentina, Brazil, Colombia, El Salvador, Ecuador and others. In his experience and coupled with this, he said that South Africa has a poorly performing public health sector which cannot simply be explained away by stating that it is limited by the resources allocated to it. From his analysis, he concluded that there are many countries which have</w:t>
      </w:r>
      <w:r w:rsidR="00B05F3A">
        <w:rPr>
          <w:rFonts w:cs="Times New Roman"/>
          <w:szCs w:val="28"/>
        </w:rPr>
        <w:t xml:space="preserve"> a</w:t>
      </w:r>
      <w:r w:rsidR="005238E9">
        <w:rPr>
          <w:rFonts w:cs="Times New Roman"/>
          <w:szCs w:val="28"/>
        </w:rPr>
        <w:t xml:space="preserve"> much lower per capita GDP than South Africa, which perform far better with reference to MMR.</w:t>
      </w:r>
    </w:p>
    <w:p w:rsidR="005238E9" w:rsidRDefault="005238E9" w:rsidP="006F13F2">
      <w:pPr>
        <w:ind w:left="-57" w:right="-57"/>
        <w:rPr>
          <w:rFonts w:cs="Times New Roman"/>
          <w:szCs w:val="28"/>
        </w:rPr>
      </w:pPr>
    </w:p>
    <w:p w:rsidR="005238E9" w:rsidRDefault="00DE41BC" w:rsidP="006F13F2">
      <w:pPr>
        <w:ind w:left="-57" w:right="-57"/>
        <w:rPr>
          <w:rFonts w:cs="Times New Roman"/>
          <w:szCs w:val="28"/>
        </w:rPr>
      </w:pPr>
      <w:r>
        <w:rPr>
          <w:rFonts w:cs="Times New Roman"/>
          <w:szCs w:val="28"/>
        </w:rPr>
        <w:t>[89</w:t>
      </w:r>
      <w:r w:rsidR="00951F01">
        <w:rPr>
          <w:rFonts w:cs="Times New Roman"/>
          <w:szCs w:val="28"/>
        </w:rPr>
        <w:t>]</w:t>
      </w:r>
      <w:r w:rsidR="00951F01">
        <w:rPr>
          <w:rFonts w:cs="Times New Roman"/>
          <w:szCs w:val="28"/>
        </w:rPr>
        <w:tab/>
      </w:r>
      <w:r w:rsidR="00B05F3A">
        <w:rPr>
          <w:rFonts w:cs="Times New Roman"/>
          <w:szCs w:val="28"/>
        </w:rPr>
        <w:t>He further</w:t>
      </w:r>
      <w:r w:rsidR="005238E9">
        <w:rPr>
          <w:rFonts w:cs="Times New Roman"/>
          <w:szCs w:val="28"/>
        </w:rPr>
        <w:t xml:space="preserve"> contrasted the MMR </w:t>
      </w:r>
      <w:r w:rsidR="00B05F3A">
        <w:rPr>
          <w:rFonts w:cs="Times New Roman"/>
          <w:szCs w:val="28"/>
        </w:rPr>
        <w:t>of</w:t>
      </w:r>
      <w:r w:rsidR="005238E9">
        <w:rPr>
          <w:rFonts w:cs="Times New Roman"/>
          <w:szCs w:val="28"/>
        </w:rPr>
        <w:t xml:space="preserve"> certain provinces in South Africa with what he termed the benchmark. From this, he said that the provincial comparison shows that the Western Cape outperforms the other provinces despite having similar socio-economic situations and challenges, such as HIV and AIDS and the recent pandemic, and despite the fact that it receives fiscal allocations consistent with all the other provinces. From this</w:t>
      </w:r>
      <w:r w:rsidR="0059167B">
        <w:rPr>
          <w:rFonts w:cs="Times New Roman"/>
          <w:szCs w:val="28"/>
        </w:rPr>
        <w:t xml:space="preserve"> he said that the only reasonable conclusion which could be reached is that such services are managed more efficiently in the Western Cape than </w:t>
      </w:r>
      <w:r w:rsidR="00B05F3A">
        <w:rPr>
          <w:rFonts w:cs="Times New Roman"/>
          <w:szCs w:val="28"/>
        </w:rPr>
        <w:t xml:space="preserve">in </w:t>
      </w:r>
      <w:r w:rsidR="0059167B">
        <w:rPr>
          <w:rFonts w:cs="Times New Roman"/>
          <w:szCs w:val="28"/>
        </w:rPr>
        <w:t>the other provinces and that, of importance, this suggests that the MMR reflects structural differences in managerial capabilities across the provinces.</w:t>
      </w:r>
    </w:p>
    <w:p w:rsidR="0059167B" w:rsidRDefault="0059167B" w:rsidP="006F13F2">
      <w:pPr>
        <w:ind w:left="-57" w:right="-57"/>
        <w:rPr>
          <w:rFonts w:cs="Times New Roman"/>
          <w:szCs w:val="28"/>
        </w:rPr>
      </w:pPr>
    </w:p>
    <w:p w:rsidR="0059167B" w:rsidRDefault="00DE41BC" w:rsidP="006F13F2">
      <w:pPr>
        <w:ind w:left="-57" w:right="-57"/>
        <w:rPr>
          <w:rFonts w:cs="Times New Roman"/>
          <w:szCs w:val="28"/>
        </w:rPr>
      </w:pPr>
      <w:r>
        <w:rPr>
          <w:rFonts w:cs="Times New Roman"/>
          <w:szCs w:val="28"/>
        </w:rPr>
        <w:t>[90</w:t>
      </w:r>
      <w:r w:rsidR="00951F01">
        <w:rPr>
          <w:rFonts w:cs="Times New Roman"/>
          <w:szCs w:val="28"/>
        </w:rPr>
        <w:t>]</w:t>
      </w:r>
      <w:r w:rsidR="00951F01">
        <w:rPr>
          <w:rFonts w:cs="Times New Roman"/>
          <w:szCs w:val="28"/>
        </w:rPr>
        <w:tab/>
      </w:r>
      <w:proofErr w:type="spellStart"/>
      <w:r w:rsidR="0059167B">
        <w:rPr>
          <w:rFonts w:cs="Times New Roman"/>
          <w:szCs w:val="28"/>
        </w:rPr>
        <w:t>Prof.</w:t>
      </w:r>
      <w:proofErr w:type="spellEnd"/>
      <w:r w:rsidR="0059167B">
        <w:rPr>
          <w:rFonts w:cs="Times New Roman"/>
          <w:szCs w:val="28"/>
        </w:rPr>
        <w:t xml:space="preserve"> Van den </w:t>
      </w:r>
      <w:proofErr w:type="spellStart"/>
      <w:r w:rsidR="0059167B">
        <w:rPr>
          <w:rFonts w:cs="Times New Roman"/>
          <w:szCs w:val="28"/>
        </w:rPr>
        <w:t>Heever</w:t>
      </w:r>
      <w:proofErr w:type="spellEnd"/>
      <w:r w:rsidR="0059167B">
        <w:rPr>
          <w:rFonts w:cs="Times New Roman"/>
          <w:szCs w:val="28"/>
        </w:rPr>
        <w:t xml:space="preserve"> also relied on the OHS</w:t>
      </w:r>
      <w:r w:rsidR="00B05F3A">
        <w:rPr>
          <w:rFonts w:cs="Times New Roman"/>
          <w:szCs w:val="28"/>
        </w:rPr>
        <w:t>C</w:t>
      </w:r>
      <w:r w:rsidR="00CA5C86">
        <w:rPr>
          <w:rFonts w:cs="Times New Roman"/>
          <w:szCs w:val="28"/>
        </w:rPr>
        <w:t xml:space="preserve"> audits in </w:t>
      </w:r>
      <w:r w:rsidR="007C2AB5">
        <w:rPr>
          <w:rFonts w:cs="Times New Roman"/>
          <w:szCs w:val="28"/>
        </w:rPr>
        <w:t>conjunction</w:t>
      </w:r>
      <w:r w:rsidR="0059167B">
        <w:rPr>
          <w:rFonts w:cs="Times New Roman"/>
          <w:szCs w:val="28"/>
        </w:rPr>
        <w:t xml:space="preserve"> with the MMR. He said that the OHS</w:t>
      </w:r>
      <w:r w:rsidR="00B05F3A">
        <w:rPr>
          <w:rFonts w:cs="Times New Roman"/>
          <w:szCs w:val="28"/>
        </w:rPr>
        <w:t>C</w:t>
      </w:r>
      <w:r w:rsidR="0059167B">
        <w:rPr>
          <w:rFonts w:cs="Times New Roman"/>
          <w:szCs w:val="28"/>
        </w:rPr>
        <w:t xml:space="preserve"> attempts to assess the quality assurance features which are in place within various health facilities. He noted that by considering both MMR and OHSC scores together</w:t>
      </w:r>
      <w:r w:rsidR="00ED2ED8">
        <w:rPr>
          <w:rFonts w:cs="Times New Roman"/>
          <w:szCs w:val="28"/>
        </w:rPr>
        <w:t>,</w:t>
      </w:r>
      <w:r w:rsidR="0059167B">
        <w:rPr>
          <w:rFonts w:cs="Times New Roman"/>
          <w:szCs w:val="28"/>
        </w:rPr>
        <w:t xml:space="preserve"> there was an indication of a high degree of consistency i.e. provinces scoring poorly on outcomes such as MMR also scored poorly on their quality assurance assessment. This, in his view, serve</w:t>
      </w:r>
      <w:r w:rsidR="0018289A">
        <w:rPr>
          <w:rFonts w:cs="Times New Roman"/>
          <w:szCs w:val="28"/>
        </w:rPr>
        <w:t>d</w:t>
      </w:r>
      <w:r w:rsidR="0059167B">
        <w:rPr>
          <w:rFonts w:cs="Times New Roman"/>
          <w:szCs w:val="28"/>
        </w:rPr>
        <w:t xml:space="preserve"> to</w:t>
      </w:r>
      <w:r w:rsidR="0018289A">
        <w:rPr>
          <w:rFonts w:cs="Times New Roman"/>
          <w:szCs w:val="28"/>
        </w:rPr>
        <w:t xml:space="preserve"> </w:t>
      </w:r>
      <w:r w:rsidR="0059167B">
        <w:rPr>
          <w:rFonts w:cs="Times New Roman"/>
          <w:szCs w:val="28"/>
        </w:rPr>
        <w:t>fortify his conclusions.</w:t>
      </w:r>
    </w:p>
    <w:p w:rsidR="0059167B" w:rsidRDefault="00DE41BC" w:rsidP="006F13F2">
      <w:pPr>
        <w:ind w:left="-57" w:right="-57"/>
        <w:rPr>
          <w:rFonts w:cs="Times New Roman"/>
          <w:szCs w:val="28"/>
        </w:rPr>
      </w:pPr>
      <w:r>
        <w:rPr>
          <w:rFonts w:cs="Times New Roman"/>
          <w:szCs w:val="28"/>
        </w:rPr>
        <w:lastRenderedPageBreak/>
        <w:t>[91</w:t>
      </w:r>
      <w:r w:rsidR="00951F01">
        <w:rPr>
          <w:rFonts w:cs="Times New Roman"/>
          <w:szCs w:val="28"/>
        </w:rPr>
        <w:t>]</w:t>
      </w:r>
      <w:r w:rsidR="00951F01">
        <w:rPr>
          <w:rFonts w:cs="Times New Roman"/>
          <w:szCs w:val="28"/>
        </w:rPr>
        <w:tab/>
      </w:r>
      <w:r w:rsidR="0059167B">
        <w:rPr>
          <w:rFonts w:cs="Times New Roman"/>
          <w:szCs w:val="28"/>
        </w:rPr>
        <w:t>Upon an analysis of the OHS</w:t>
      </w:r>
      <w:r w:rsidR="0018289A">
        <w:rPr>
          <w:rFonts w:cs="Times New Roman"/>
          <w:szCs w:val="28"/>
        </w:rPr>
        <w:t>C</w:t>
      </w:r>
      <w:r w:rsidR="0059167B">
        <w:rPr>
          <w:rFonts w:cs="Times New Roman"/>
          <w:szCs w:val="28"/>
        </w:rPr>
        <w:t xml:space="preserve"> audits his reports reflect that the Eastern Cape health department has the second lowest weighted average score for public hospitals from the OHS</w:t>
      </w:r>
      <w:r w:rsidR="0018289A">
        <w:rPr>
          <w:rFonts w:cs="Times New Roman"/>
          <w:szCs w:val="28"/>
        </w:rPr>
        <w:t>C</w:t>
      </w:r>
      <w:r w:rsidR="0059167B">
        <w:rPr>
          <w:rFonts w:cs="Times New Roman"/>
          <w:szCs w:val="28"/>
        </w:rPr>
        <w:t xml:space="preserve"> compliance scoring and, as indicated above, a relatively high MMR. He thus maintained </w:t>
      </w:r>
      <w:r w:rsidR="0018289A">
        <w:rPr>
          <w:rFonts w:cs="Times New Roman"/>
          <w:szCs w:val="28"/>
        </w:rPr>
        <w:t>i</w:t>
      </w:r>
      <w:r w:rsidR="0059167B">
        <w:rPr>
          <w:rFonts w:cs="Times New Roman"/>
          <w:szCs w:val="28"/>
        </w:rPr>
        <w:t>n evidence that his conclusion based on the MMR itself as dealt with earlier, was fortified and underscored by the OHS</w:t>
      </w:r>
      <w:r w:rsidR="0018289A">
        <w:rPr>
          <w:rFonts w:cs="Times New Roman"/>
          <w:szCs w:val="28"/>
        </w:rPr>
        <w:t>C</w:t>
      </w:r>
      <w:r w:rsidR="0059167B">
        <w:rPr>
          <w:rFonts w:cs="Times New Roman"/>
          <w:szCs w:val="28"/>
        </w:rPr>
        <w:t xml:space="preserve"> audits and </w:t>
      </w:r>
      <w:r w:rsidR="0018289A">
        <w:rPr>
          <w:rFonts w:cs="Times New Roman"/>
          <w:szCs w:val="28"/>
        </w:rPr>
        <w:t>that</w:t>
      </w:r>
      <w:r w:rsidR="0059167B">
        <w:rPr>
          <w:rFonts w:cs="Times New Roman"/>
          <w:szCs w:val="28"/>
        </w:rPr>
        <w:t xml:space="preserve"> these </w:t>
      </w:r>
      <w:r w:rsidR="0018289A">
        <w:rPr>
          <w:rFonts w:cs="Times New Roman"/>
          <w:szCs w:val="28"/>
        </w:rPr>
        <w:t xml:space="preserve">combined </w:t>
      </w:r>
      <w:r w:rsidR="0059167B">
        <w:rPr>
          <w:rFonts w:cs="Times New Roman"/>
          <w:szCs w:val="28"/>
        </w:rPr>
        <w:t>appeared to be valid indicators of the lack of managerial capability within the Eastern Cape Health Department.</w:t>
      </w:r>
    </w:p>
    <w:p w:rsidR="0059167B" w:rsidRDefault="0059167B" w:rsidP="006F13F2">
      <w:pPr>
        <w:ind w:left="-57" w:right="-57"/>
        <w:rPr>
          <w:rFonts w:cs="Times New Roman"/>
          <w:szCs w:val="28"/>
        </w:rPr>
      </w:pPr>
    </w:p>
    <w:p w:rsidR="0059167B" w:rsidRDefault="00DE41BC" w:rsidP="006F13F2">
      <w:pPr>
        <w:ind w:left="-57" w:right="-57"/>
        <w:rPr>
          <w:rFonts w:cs="Times New Roman"/>
          <w:szCs w:val="28"/>
        </w:rPr>
      </w:pPr>
      <w:r>
        <w:rPr>
          <w:rFonts w:cs="Times New Roman"/>
          <w:szCs w:val="28"/>
        </w:rPr>
        <w:t>[92</w:t>
      </w:r>
      <w:r w:rsidR="00951F01">
        <w:rPr>
          <w:rFonts w:cs="Times New Roman"/>
          <w:szCs w:val="28"/>
        </w:rPr>
        <w:t>]</w:t>
      </w:r>
      <w:r w:rsidR="00951F01">
        <w:rPr>
          <w:rFonts w:cs="Times New Roman"/>
          <w:szCs w:val="28"/>
        </w:rPr>
        <w:tab/>
      </w:r>
      <w:r w:rsidR="0059167B">
        <w:rPr>
          <w:rFonts w:cs="Times New Roman"/>
          <w:szCs w:val="28"/>
        </w:rPr>
        <w:t>The third proxy indicator which the professor considered to be of importance and of relevance to the managerial capability of the department</w:t>
      </w:r>
      <w:r w:rsidR="00665AD6">
        <w:rPr>
          <w:rFonts w:cs="Times New Roman"/>
          <w:szCs w:val="28"/>
        </w:rPr>
        <w:t xml:space="preserve"> w</w:t>
      </w:r>
      <w:r w:rsidR="0018289A">
        <w:rPr>
          <w:rFonts w:cs="Times New Roman"/>
          <w:szCs w:val="28"/>
        </w:rPr>
        <w:t>as</w:t>
      </w:r>
      <w:r w:rsidR="00665AD6">
        <w:rPr>
          <w:rFonts w:cs="Times New Roman"/>
          <w:szCs w:val="28"/>
        </w:rPr>
        <w:t xml:space="preserve"> the </w:t>
      </w:r>
      <w:r w:rsidR="0059167B">
        <w:rPr>
          <w:rFonts w:cs="Times New Roman"/>
          <w:szCs w:val="28"/>
        </w:rPr>
        <w:t xml:space="preserve">findings of the </w:t>
      </w:r>
      <w:r w:rsidR="00665AD6">
        <w:rPr>
          <w:rFonts w:cs="Times New Roman"/>
          <w:szCs w:val="28"/>
        </w:rPr>
        <w:t>A</w:t>
      </w:r>
      <w:r w:rsidR="0059167B">
        <w:rPr>
          <w:rFonts w:cs="Times New Roman"/>
          <w:szCs w:val="28"/>
        </w:rPr>
        <w:t>GSA. Once again he concluded</w:t>
      </w:r>
      <w:r w:rsidR="00665AD6">
        <w:rPr>
          <w:rFonts w:cs="Times New Roman"/>
          <w:szCs w:val="28"/>
        </w:rPr>
        <w:t>,</w:t>
      </w:r>
      <w:r w:rsidR="0059167B">
        <w:rPr>
          <w:rFonts w:cs="Times New Roman"/>
          <w:szCs w:val="28"/>
        </w:rPr>
        <w:t xml:space="preserve"> on an analysis of these findings, that they are, province by province, broadly consistent with both the MMR and OHC results. In evidence he explained that the findings of the </w:t>
      </w:r>
      <w:r w:rsidR="00665AD6">
        <w:rPr>
          <w:rFonts w:cs="Times New Roman"/>
          <w:szCs w:val="28"/>
        </w:rPr>
        <w:t>A</w:t>
      </w:r>
      <w:r w:rsidR="0059167B">
        <w:rPr>
          <w:rFonts w:cs="Times New Roman"/>
          <w:szCs w:val="28"/>
        </w:rPr>
        <w:t>GSA illustrate glaring issues regarding the capability of the defendant to deliver on its vari</w:t>
      </w:r>
      <w:r w:rsidR="0018289A">
        <w:rPr>
          <w:rFonts w:cs="Times New Roman"/>
          <w:szCs w:val="28"/>
        </w:rPr>
        <w:t>ous</w:t>
      </w:r>
      <w:r w:rsidR="0059167B">
        <w:rPr>
          <w:rFonts w:cs="Times New Roman"/>
          <w:szCs w:val="28"/>
        </w:rPr>
        <w:t xml:space="preserve"> promises. Such findings demonstrate a deep-rooted problem within this province because they</w:t>
      </w:r>
      <w:r w:rsidR="00665AD6">
        <w:rPr>
          <w:rFonts w:cs="Times New Roman"/>
          <w:szCs w:val="28"/>
        </w:rPr>
        <w:t xml:space="preserve"> are</w:t>
      </w:r>
      <w:r w:rsidR="0059167B">
        <w:rPr>
          <w:rFonts w:cs="Times New Roman"/>
          <w:szCs w:val="28"/>
        </w:rPr>
        <w:t>, along with the OHS</w:t>
      </w:r>
      <w:r w:rsidR="00665AD6">
        <w:rPr>
          <w:rFonts w:cs="Times New Roman"/>
          <w:szCs w:val="28"/>
        </w:rPr>
        <w:t>C</w:t>
      </w:r>
      <w:r w:rsidR="0059167B">
        <w:rPr>
          <w:rFonts w:cs="Times New Roman"/>
          <w:szCs w:val="28"/>
        </w:rPr>
        <w:t xml:space="preserve"> findings, indicative of general performance.</w:t>
      </w:r>
      <w:r w:rsidR="009423E5">
        <w:rPr>
          <w:rFonts w:cs="Times New Roman"/>
          <w:szCs w:val="28"/>
        </w:rPr>
        <w:t xml:space="preserve"> In his </w:t>
      </w:r>
      <w:r w:rsidR="00665AD6">
        <w:rPr>
          <w:rFonts w:cs="Times New Roman"/>
          <w:szCs w:val="28"/>
        </w:rPr>
        <w:t>reports, he gave extensive examples of such comments as made by the Auditor General in relation to various recent financial years.</w:t>
      </w:r>
    </w:p>
    <w:p w:rsidR="00665AD6" w:rsidRDefault="00665AD6" w:rsidP="006F13F2">
      <w:pPr>
        <w:ind w:left="-57" w:right="-57"/>
        <w:rPr>
          <w:rFonts w:cs="Times New Roman"/>
          <w:szCs w:val="28"/>
        </w:rPr>
      </w:pPr>
    </w:p>
    <w:p w:rsidR="00665AD6" w:rsidRDefault="00DE41BC" w:rsidP="006F13F2">
      <w:pPr>
        <w:ind w:left="-57" w:right="-57"/>
        <w:rPr>
          <w:rFonts w:cs="Times New Roman"/>
          <w:szCs w:val="28"/>
        </w:rPr>
      </w:pPr>
      <w:r>
        <w:rPr>
          <w:rFonts w:cs="Times New Roman"/>
          <w:szCs w:val="28"/>
        </w:rPr>
        <w:t>[93</w:t>
      </w:r>
      <w:r w:rsidR="00951F01">
        <w:rPr>
          <w:rFonts w:cs="Times New Roman"/>
          <w:szCs w:val="28"/>
        </w:rPr>
        <w:t>]</w:t>
      </w:r>
      <w:r w:rsidR="00951F01">
        <w:rPr>
          <w:rFonts w:cs="Times New Roman"/>
          <w:szCs w:val="28"/>
        </w:rPr>
        <w:tab/>
      </w:r>
      <w:r w:rsidR="00616F8E">
        <w:rPr>
          <w:rFonts w:cs="Times New Roman"/>
          <w:szCs w:val="28"/>
        </w:rPr>
        <w:t>Regarding</w:t>
      </w:r>
      <w:r w:rsidR="00665AD6">
        <w:rPr>
          <w:rFonts w:cs="Times New Roman"/>
          <w:szCs w:val="28"/>
        </w:rPr>
        <w:t xml:space="preserve"> the proxy indicators, the professor concluded as follows:</w:t>
      </w:r>
    </w:p>
    <w:p w:rsidR="00665AD6" w:rsidRPr="009F6BC2" w:rsidRDefault="00665AD6" w:rsidP="00770B5E">
      <w:pPr>
        <w:spacing w:line="240" w:lineRule="auto"/>
        <w:ind w:left="360" w:right="386"/>
        <w:rPr>
          <w:rFonts w:cs="Times New Roman"/>
          <w:sz w:val="24"/>
          <w:szCs w:val="24"/>
        </w:rPr>
      </w:pPr>
      <w:r w:rsidRPr="009F6BC2">
        <w:rPr>
          <w:rFonts w:cs="Times New Roman"/>
          <w:sz w:val="24"/>
          <w:szCs w:val="24"/>
        </w:rPr>
        <w:t>“</w:t>
      </w:r>
      <w:r w:rsidR="009F6BC2" w:rsidRPr="009F6BC2">
        <w:rPr>
          <w:rFonts w:cs="Times New Roman"/>
          <w:sz w:val="24"/>
          <w:szCs w:val="24"/>
        </w:rPr>
        <w:t>So</w:t>
      </w:r>
      <w:r w:rsidRPr="009F6BC2">
        <w:rPr>
          <w:rFonts w:cs="Times New Roman"/>
          <w:sz w:val="24"/>
          <w:szCs w:val="24"/>
        </w:rPr>
        <w:t xml:space="preserve"> that</w:t>
      </w:r>
      <w:r w:rsidR="009F6BC2" w:rsidRPr="009F6BC2">
        <w:rPr>
          <w:rFonts w:cs="Times New Roman"/>
          <w:sz w:val="24"/>
          <w:szCs w:val="24"/>
        </w:rPr>
        <w:t>’s</w:t>
      </w:r>
      <w:r w:rsidRPr="009F6BC2">
        <w:rPr>
          <w:rFonts w:cs="Times New Roman"/>
          <w:sz w:val="24"/>
          <w:szCs w:val="24"/>
        </w:rPr>
        <w:t xml:space="preserve"> the kind of issues and I would say over a three-year period one’s getting a pattern where the performance information is repeatedly regarded as unreliable. There are repeated problems with financial management and</w:t>
      </w:r>
      <w:r w:rsidR="009F6BC2" w:rsidRPr="009F6BC2">
        <w:rPr>
          <w:rFonts w:cs="Times New Roman"/>
          <w:sz w:val="24"/>
          <w:szCs w:val="24"/>
        </w:rPr>
        <w:t xml:space="preserve"> there </w:t>
      </w:r>
      <w:r w:rsidRPr="009F6BC2">
        <w:rPr>
          <w:rFonts w:cs="Times New Roman"/>
          <w:sz w:val="24"/>
          <w:szCs w:val="24"/>
        </w:rPr>
        <w:t>are repeated problems that</w:t>
      </w:r>
      <w:r w:rsidR="009F6BC2" w:rsidRPr="009F6BC2">
        <w:rPr>
          <w:rFonts w:cs="Times New Roman"/>
          <w:sz w:val="24"/>
          <w:szCs w:val="24"/>
        </w:rPr>
        <w:t xml:space="preserve"> </w:t>
      </w:r>
      <w:r w:rsidRPr="009F6BC2">
        <w:rPr>
          <w:rFonts w:cs="Times New Roman"/>
          <w:sz w:val="24"/>
          <w:szCs w:val="24"/>
        </w:rPr>
        <w:t xml:space="preserve">deal with compliance with legislation. I think that all of these, </w:t>
      </w:r>
      <w:r w:rsidR="009F6BC2" w:rsidRPr="009F6BC2">
        <w:rPr>
          <w:rFonts w:cs="Times New Roman"/>
          <w:sz w:val="24"/>
          <w:szCs w:val="24"/>
        </w:rPr>
        <w:t>again</w:t>
      </w:r>
      <w:r w:rsidRPr="009F6BC2">
        <w:rPr>
          <w:rFonts w:cs="Times New Roman"/>
          <w:sz w:val="24"/>
          <w:szCs w:val="24"/>
        </w:rPr>
        <w:t xml:space="preserve"> when looking at this information as a kind of proxy indicator, suggests that the department has trouble implementing systems. And without those systems it is very difficult for the department to address systemic</w:t>
      </w:r>
      <w:r w:rsidR="009F6BC2" w:rsidRPr="009F6BC2">
        <w:rPr>
          <w:rFonts w:cs="Times New Roman"/>
          <w:sz w:val="24"/>
          <w:szCs w:val="24"/>
        </w:rPr>
        <w:t xml:space="preserve"> issues that it has to face. And now I think that does have to be understood that provincial health departments are very complex departments dealing with very complex problems. And you can’t actually resolve them effectively without designing your system to be sufficiently agile to cope with complex problems. That means that you have got to build constantly your capability to deal with those things that you can predict, but you have got to have systems and services for which you have </w:t>
      </w:r>
      <w:r w:rsidR="009F6BC2" w:rsidRPr="009F6BC2">
        <w:rPr>
          <w:rFonts w:cs="Times New Roman"/>
          <w:sz w:val="24"/>
          <w:szCs w:val="24"/>
        </w:rPr>
        <w:lastRenderedPageBreak/>
        <w:t>got a systemic response, the planned things, the TB’s, the HIV’s, your elective surgeries, all of those things can be subject to reasonable levels of planning. And then there are things that happen that you cannot predict and you must have a department that is sufficiently agile to be able to respond to those. My assessment is that the Eastern Cape, as with………most of the other provinces, lack</w:t>
      </w:r>
      <w:r w:rsidR="004B3519">
        <w:rPr>
          <w:rFonts w:cs="Times New Roman"/>
          <w:sz w:val="24"/>
          <w:szCs w:val="24"/>
        </w:rPr>
        <w:t>s</w:t>
      </w:r>
      <w:r w:rsidR="009F6BC2" w:rsidRPr="009F6BC2">
        <w:rPr>
          <w:rFonts w:cs="Times New Roman"/>
          <w:sz w:val="24"/>
          <w:szCs w:val="24"/>
        </w:rPr>
        <w:t xml:space="preserve"> the agility to respond to the complex problems and also to relatively simple problems, and that is certainly a concern. If we go to page 512 and table 6, this just provides a summary now as I have been doing all the way through, consistently using the Western Cape as a benchmark. And in comparing the Eastern Cape with the Western Cape in terms of irregular expenditure accruals and unauthorized expenditure and fruitless and wasteful expenditure, this just basically demonstrates the difference in the patterns.”</w:t>
      </w:r>
    </w:p>
    <w:p w:rsidR="009F6BC2" w:rsidRDefault="009F6BC2" w:rsidP="009F6BC2">
      <w:pPr>
        <w:rPr>
          <w:rFonts w:cs="Times New Roman"/>
          <w:sz w:val="24"/>
          <w:szCs w:val="24"/>
        </w:rPr>
      </w:pPr>
    </w:p>
    <w:p w:rsidR="009F6BC2" w:rsidRDefault="00DE41BC" w:rsidP="009F6BC2">
      <w:pPr>
        <w:rPr>
          <w:rFonts w:cs="Times New Roman"/>
          <w:szCs w:val="28"/>
        </w:rPr>
      </w:pPr>
      <w:r>
        <w:rPr>
          <w:rFonts w:cs="Times New Roman"/>
          <w:szCs w:val="28"/>
        </w:rPr>
        <w:t>[94</w:t>
      </w:r>
      <w:r w:rsidR="00951F01">
        <w:rPr>
          <w:rFonts w:cs="Times New Roman"/>
          <w:szCs w:val="28"/>
        </w:rPr>
        <w:t>]</w:t>
      </w:r>
      <w:r w:rsidR="00951F01">
        <w:rPr>
          <w:rFonts w:cs="Times New Roman"/>
          <w:szCs w:val="28"/>
        </w:rPr>
        <w:tab/>
      </w:r>
      <w:r w:rsidR="009423E5">
        <w:rPr>
          <w:rFonts w:cs="Times New Roman"/>
          <w:szCs w:val="28"/>
        </w:rPr>
        <w:t>The professor used these proxy indicators in comparison with other provinces to determine the department’s comparative performance. In this regard he found that the most apposite differential would be the Western Cape Department of Health for various reasons. He found that the Western Cape department is materially more capable than the Eastern Cape and that the performance weaknesses arising from the differences in capability are revealed through poor health outcomes and poor financial management. He also found that the Eastern Cape, in comparison with the Western Cape, lacks the systems in place to ensure continuous improvements in performance.</w:t>
      </w:r>
    </w:p>
    <w:p w:rsidR="009423E5" w:rsidRDefault="009423E5" w:rsidP="009F6BC2">
      <w:pPr>
        <w:rPr>
          <w:rFonts w:cs="Times New Roman"/>
          <w:szCs w:val="28"/>
        </w:rPr>
      </w:pPr>
    </w:p>
    <w:p w:rsidR="009423E5" w:rsidRDefault="00DE41BC" w:rsidP="009F6BC2">
      <w:pPr>
        <w:rPr>
          <w:rFonts w:cs="Times New Roman"/>
          <w:szCs w:val="28"/>
        </w:rPr>
      </w:pPr>
      <w:r>
        <w:rPr>
          <w:rFonts w:cs="Times New Roman"/>
          <w:szCs w:val="28"/>
        </w:rPr>
        <w:t>[95</w:t>
      </w:r>
      <w:r w:rsidR="00951F01">
        <w:rPr>
          <w:rFonts w:cs="Times New Roman"/>
          <w:szCs w:val="28"/>
        </w:rPr>
        <w:t>]</w:t>
      </w:r>
      <w:r w:rsidR="00951F01">
        <w:rPr>
          <w:rFonts w:cs="Times New Roman"/>
          <w:szCs w:val="28"/>
        </w:rPr>
        <w:tab/>
      </w:r>
      <w:proofErr w:type="spellStart"/>
      <w:r w:rsidR="00ED0C71">
        <w:rPr>
          <w:rFonts w:cs="Times New Roman"/>
          <w:szCs w:val="28"/>
        </w:rPr>
        <w:t>Prof.</w:t>
      </w:r>
      <w:proofErr w:type="spellEnd"/>
      <w:r w:rsidR="00ED0C71">
        <w:rPr>
          <w:rFonts w:cs="Times New Roman"/>
          <w:szCs w:val="28"/>
        </w:rPr>
        <w:t xml:space="preserve"> Van den </w:t>
      </w:r>
      <w:proofErr w:type="spellStart"/>
      <w:r w:rsidR="00ED0C71">
        <w:rPr>
          <w:rFonts w:cs="Times New Roman"/>
          <w:szCs w:val="28"/>
        </w:rPr>
        <w:t>Heever</w:t>
      </w:r>
      <w:proofErr w:type="spellEnd"/>
      <w:r w:rsidR="00ED0C71">
        <w:rPr>
          <w:rFonts w:cs="Times New Roman"/>
          <w:szCs w:val="28"/>
        </w:rPr>
        <w:t xml:space="preserve"> devoted a fair portion of his evidence to describing how the department is</w:t>
      </w:r>
      <w:r w:rsidR="0018289A">
        <w:rPr>
          <w:rFonts w:cs="Times New Roman"/>
          <w:szCs w:val="28"/>
        </w:rPr>
        <w:t xml:space="preserve"> </w:t>
      </w:r>
      <w:r w:rsidR="00ED0C71">
        <w:rPr>
          <w:rFonts w:cs="Times New Roman"/>
          <w:szCs w:val="28"/>
        </w:rPr>
        <w:t xml:space="preserve">the author of its own downfall and its arguments that the financial and other difficulties which it experiences, and which were described in the evidence of Dr Wagner and Mr Donaldson as being a consequence of the large CP claims and awards which have emerged over the past </w:t>
      </w:r>
      <w:r w:rsidR="005A6A98">
        <w:rPr>
          <w:rFonts w:cs="Times New Roman"/>
          <w:szCs w:val="28"/>
        </w:rPr>
        <w:t>eight</w:t>
      </w:r>
      <w:r w:rsidR="00ED0C71">
        <w:rPr>
          <w:rFonts w:cs="Times New Roman"/>
          <w:szCs w:val="28"/>
        </w:rPr>
        <w:t xml:space="preserve"> to </w:t>
      </w:r>
      <w:r w:rsidR="005A6A98">
        <w:rPr>
          <w:rFonts w:cs="Times New Roman"/>
          <w:szCs w:val="28"/>
        </w:rPr>
        <w:t>ten</w:t>
      </w:r>
      <w:r w:rsidR="00ED0C71">
        <w:rPr>
          <w:rFonts w:cs="Times New Roman"/>
          <w:szCs w:val="28"/>
        </w:rPr>
        <w:t xml:space="preserve"> years, </w:t>
      </w:r>
      <w:r w:rsidR="0018289A">
        <w:rPr>
          <w:rFonts w:cs="Times New Roman"/>
          <w:szCs w:val="28"/>
        </w:rPr>
        <w:t>are</w:t>
      </w:r>
      <w:r w:rsidR="00ED0C71">
        <w:rPr>
          <w:rFonts w:cs="Times New Roman"/>
          <w:szCs w:val="28"/>
        </w:rPr>
        <w:t xml:space="preserve"> not correct. This outcome, he opined, was due in part to the poor management capability of the department as described above. However, a major contributing factor in his view was the </w:t>
      </w:r>
      <w:r w:rsidR="0018289A">
        <w:rPr>
          <w:rFonts w:cs="Times New Roman"/>
          <w:szCs w:val="28"/>
        </w:rPr>
        <w:t>way</w:t>
      </w:r>
      <w:r w:rsidR="00ED0C71">
        <w:rPr>
          <w:rFonts w:cs="Times New Roman"/>
          <w:szCs w:val="28"/>
        </w:rPr>
        <w:t xml:space="preserve"> the department budgets, or does not budget, for these awards.</w:t>
      </w:r>
    </w:p>
    <w:p w:rsidR="00ED0C71" w:rsidRDefault="00ED0C71" w:rsidP="009F6BC2">
      <w:pPr>
        <w:rPr>
          <w:rFonts w:cs="Times New Roman"/>
          <w:szCs w:val="28"/>
        </w:rPr>
      </w:pPr>
    </w:p>
    <w:p w:rsidR="003D796B" w:rsidRDefault="00DE41BC" w:rsidP="009F6BC2">
      <w:pPr>
        <w:rPr>
          <w:rFonts w:cs="Times New Roman"/>
          <w:szCs w:val="28"/>
        </w:rPr>
      </w:pPr>
      <w:r>
        <w:rPr>
          <w:rFonts w:cs="Times New Roman"/>
          <w:szCs w:val="28"/>
        </w:rPr>
        <w:lastRenderedPageBreak/>
        <w:t>[96</w:t>
      </w:r>
      <w:r w:rsidR="003D796B">
        <w:rPr>
          <w:rFonts w:cs="Times New Roman"/>
          <w:szCs w:val="28"/>
        </w:rPr>
        <w:t>]</w:t>
      </w:r>
      <w:r w:rsidR="003D796B">
        <w:rPr>
          <w:rFonts w:cs="Times New Roman"/>
          <w:szCs w:val="28"/>
        </w:rPr>
        <w:tab/>
      </w:r>
      <w:r w:rsidR="00ED0C71">
        <w:rPr>
          <w:rFonts w:cs="Times New Roman"/>
          <w:szCs w:val="28"/>
        </w:rPr>
        <w:t xml:space="preserve">As foreshadowed above in the summary of Mr Donaldson’s evidence, the department, as with all of government, does not budget in advance for its contingent liability in respect of damages awards as will likely be made by the courts, or through agreements duly executed in settlement of these claims. This, according to the evidence of Mr. Donaldson, is </w:t>
      </w:r>
      <w:r w:rsidR="000E503D">
        <w:rPr>
          <w:rFonts w:cs="Times New Roman"/>
          <w:szCs w:val="28"/>
        </w:rPr>
        <w:t>in accordance with</w:t>
      </w:r>
      <w:r w:rsidR="00ED0C71">
        <w:rPr>
          <w:rFonts w:cs="Times New Roman"/>
          <w:szCs w:val="28"/>
        </w:rPr>
        <w:t xml:space="preserve"> accounting convention which spans many years and, as a result, a </w:t>
      </w:r>
      <w:r w:rsidR="000E503D">
        <w:rPr>
          <w:rFonts w:cs="Times New Roman"/>
          <w:szCs w:val="28"/>
        </w:rPr>
        <w:t>T</w:t>
      </w:r>
      <w:r w:rsidR="00ED0C71">
        <w:rPr>
          <w:rFonts w:cs="Times New Roman"/>
          <w:szCs w:val="28"/>
        </w:rPr>
        <w:t xml:space="preserve">reasury instruction has been issued to all departments in the province not to budget for such claims. </w:t>
      </w:r>
    </w:p>
    <w:p w:rsidR="003D796B" w:rsidRDefault="003D796B" w:rsidP="009F6BC2">
      <w:pPr>
        <w:rPr>
          <w:rFonts w:cs="Times New Roman"/>
          <w:szCs w:val="28"/>
        </w:rPr>
      </w:pPr>
    </w:p>
    <w:p w:rsidR="00ED0C71" w:rsidRDefault="00DE41BC" w:rsidP="009F6BC2">
      <w:pPr>
        <w:rPr>
          <w:rFonts w:cs="Times New Roman"/>
          <w:szCs w:val="28"/>
        </w:rPr>
      </w:pPr>
      <w:r>
        <w:rPr>
          <w:rFonts w:cs="Times New Roman"/>
          <w:szCs w:val="28"/>
        </w:rPr>
        <w:t>[97</w:t>
      </w:r>
      <w:r w:rsidR="003D796B">
        <w:rPr>
          <w:rFonts w:cs="Times New Roman"/>
          <w:szCs w:val="28"/>
        </w:rPr>
        <w:t xml:space="preserve">] </w:t>
      </w:r>
      <w:r w:rsidR="003D796B">
        <w:rPr>
          <w:rFonts w:cs="Times New Roman"/>
          <w:szCs w:val="28"/>
        </w:rPr>
        <w:tab/>
      </w:r>
      <w:r w:rsidR="00ED0C71">
        <w:rPr>
          <w:rFonts w:cs="Times New Roman"/>
          <w:szCs w:val="28"/>
        </w:rPr>
        <w:t xml:space="preserve">According to </w:t>
      </w:r>
      <w:proofErr w:type="spellStart"/>
      <w:r w:rsidR="00ED0C71">
        <w:rPr>
          <w:rFonts w:cs="Times New Roman"/>
          <w:szCs w:val="28"/>
        </w:rPr>
        <w:t>Prof.</w:t>
      </w:r>
      <w:proofErr w:type="spellEnd"/>
      <w:r w:rsidR="00ED0C71">
        <w:rPr>
          <w:rFonts w:cs="Times New Roman"/>
          <w:szCs w:val="28"/>
        </w:rPr>
        <w:t xml:space="preserve"> Van den </w:t>
      </w:r>
      <w:proofErr w:type="spellStart"/>
      <w:r w:rsidR="00ED0C71">
        <w:rPr>
          <w:rFonts w:cs="Times New Roman"/>
          <w:szCs w:val="28"/>
        </w:rPr>
        <w:t>Heever</w:t>
      </w:r>
      <w:proofErr w:type="spellEnd"/>
      <w:r w:rsidR="00ED0C71">
        <w:rPr>
          <w:rFonts w:cs="Times New Roman"/>
          <w:szCs w:val="28"/>
        </w:rPr>
        <w:t>,</w:t>
      </w:r>
      <w:r w:rsidR="00F03932">
        <w:rPr>
          <w:rFonts w:cs="Times New Roman"/>
          <w:szCs w:val="28"/>
        </w:rPr>
        <w:t xml:space="preserve"> this approach by the Provincial Treasury is incorrect, and indeed unlawful. He went further and alleged that compliance with </w:t>
      </w:r>
      <w:r w:rsidR="000E503D">
        <w:rPr>
          <w:rFonts w:cs="Times New Roman"/>
          <w:szCs w:val="28"/>
        </w:rPr>
        <w:t>T</w:t>
      </w:r>
      <w:r w:rsidR="00F03932">
        <w:rPr>
          <w:rFonts w:cs="Times New Roman"/>
          <w:szCs w:val="28"/>
        </w:rPr>
        <w:t xml:space="preserve">reasury’s instruction not to budget for medical negligence claims amounts to financial misconduct and a </w:t>
      </w:r>
      <w:r w:rsidR="0018289A">
        <w:rPr>
          <w:rFonts w:cs="Times New Roman"/>
          <w:szCs w:val="28"/>
        </w:rPr>
        <w:t>wilful</w:t>
      </w:r>
      <w:r w:rsidR="00F03932">
        <w:rPr>
          <w:rFonts w:cs="Times New Roman"/>
          <w:szCs w:val="28"/>
        </w:rPr>
        <w:t xml:space="preserve"> failure to “take effective and appropriate steps to prevent unauthorized irregular and fruitless and wasteful expenditure… resulting in criminal conduct.”</w:t>
      </w:r>
    </w:p>
    <w:p w:rsidR="00F03932" w:rsidRDefault="00F03932" w:rsidP="009F6BC2">
      <w:pPr>
        <w:rPr>
          <w:rFonts w:cs="Times New Roman"/>
          <w:szCs w:val="28"/>
        </w:rPr>
      </w:pPr>
    </w:p>
    <w:p w:rsidR="00C5653C" w:rsidRPr="005E31EB" w:rsidRDefault="00DE41BC" w:rsidP="009F6BC2">
      <w:pPr>
        <w:rPr>
          <w:rFonts w:cs="Times New Roman"/>
          <w:szCs w:val="28"/>
        </w:rPr>
      </w:pPr>
      <w:r>
        <w:rPr>
          <w:rFonts w:cs="Times New Roman"/>
          <w:szCs w:val="28"/>
        </w:rPr>
        <w:t>[98</w:t>
      </w:r>
      <w:r w:rsidR="003D796B">
        <w:rPr>
          <w:rFonts w:cs="Times New Roman"/>
          <w:szCs w:val="28"/>
        </w:rPr>
        <w:t>]</w:t>
      </w:r>
      <w:r w:rsidR="003D796B">
        <w:rPr>
          <w:rFonts w:cs="Times New Roman"/>
          <w:szCs w:val="28"/>
        </w:rPr>
        <w:tab/>
      </w:r>
      <w:r w:rsidR="00F03932">
        <w:rPr>
          <w:rFonts w:cs="Times New Roman"/>
          <w:szCs w:val="28"/>
        </w:rPr>
        <w:t xml:space="preserve">In my view, and because of reasons which I shall deal with later in this judgment, it is not necessary to </w:t>
      </w:r>
      <w:r w:rsidR="00215716">
        <w:rPr>
          <w:rFonts w:cs="Times New Roman"/>
          <w:szCs w:val="28"/>
        </w:rPr>
        <w:t xml:space="preserve">spend </w:t>
      </w:r>
      <w:r w:rsidR="00F03932">
        <w:rPr>
          <w:rFonts w:cs="Times New Roman"/>
          <w:szCs w:val="28"/>
        </w:rPr>
        <w:t xml:space="preserve">time summarizing the </w:t>
      </w:r>
      <w:r w:rsidR="000B0216">
        <w:rPr>
          <w:rFonts w:cs="Times New Roman"/>
          <w:szCs w:val="28"/>
        </w:rPr>
        <w:t xml:space="preserve">extensive and </w:t>
      </w:r>
      <w:r w:rsidR="00F03932">
        <w:rPr>
          <w:rFonts w:cs="Times New Roman"/>
          <w:szCs w:val="28"/>
        </w:rPr>
        <w:t>various arguments advanced by these witnesses for and against the requirement to budget in advance for such claims.</w:t>
      </w:r>
    </w:p>
    <w:p w:rsidR="000B0216" w:rsidRDefault="000B0216" w:rsidP="009F6BC2">
      <w:pPr>
        <w:rPr>
          <w:rFonts w:cs="Times New Roman"/>
          <w:b/>
          <w:bCs/>
          <w:i/>
          <w:iCs/>
          <w:szCs w:val="28"/>
        </w:rPr>
      </w:pPr>
    </w:p>
    <w:p w:rsidR="007E0F0A" w:rsidRDefault="002615B9" w:rsidP="009F6BC2">
      <w:pPr>
        <w:rPr>
          <w:rFonts w:cs="Times New Roman"/>
          <w:b/>
          <w:bCs/>
          <w:i/>
          <w:iCs/>
          <w:szCs w:val="28"/>
        </w:rPr>
      </w:pPr>
      <w:bookmarkStart w:id="5" w:name="_Hlk125637485"/>
      <w:r w:rsidRPr="002615B9">
        <w:rPr>
          <w:rFonts w:cs="Times New Roman"/>
          <w:b/>
          <w:bCs/>
          <w:i/>
          <w:iCs/>
          <w:szCs w:val="28"/>
        </w:rPr>
        <w:t>The existing common law and the rationale for its development</w:t>
      </w:r>
      <w:bookmarkEnd w:id="5"/>
    </w:p>
    <w:p w:rsidR="002615B9" w:rsidRDefault="00DE41BC" w:rsidP="009F6BC2">
      <w:pPr>
        <w:rPr>
          <w:rFonts w:cs="Times New Roman"/>
          <w:szCs w:val="28"/>
        </w:rPr>
      </w:pPr>
      <w:r>
        <w:rPr>
          <w:rFonts w:cs="Times New Roman"/>
          <w:szCs w:val="28"/>
        </w:rPr>
        <w:t>[99</w:t>
      </w:r>
      <w:r w:rsidR="003D796B">
        <w:rPr>
          <w:rFonts w:cs="Times New Roman"/>
          <w:szCs w:val="28"/>
        </w:rPr>
        <w:t>]</w:t>
      </w:r>
      <w:r w:rsidR="003D796B">
        <w:rPr>
          <w:rFonts w:cs="Times New Roman"/>
          <w:szCs w:val="28"/>
        </w:rPr>
        <w:tab/>
      </w:r>
      <w:r w:rsidR="00CF5572">
        <w:rPr>
          <w:rFonts w:cs="Times New Roman"/>
          <w:szCs w:val="28"/>
        </w:rPr>
        <w:t>In claims for compensation which arise out of delict, the plaintiff must claim</w:t>
      </w:r>
      <w:r w:rsidR="00B96C52">
        <w:rPr>
          <w:rFonts w:cs="Times New Roman"/>
          <w:szCs w:val="28"/>
        </w:rPr>
        <w:t xml:space="preserve"> in a single action all damages already sustained, or expected to arise in the future, insofar as they are based on a single cause of actio</w:t>
      </w:r>
      <w:r w:rsidR="00B96C52" w:rsidRPr="009F2A06">
        <w:rPr>
          <w:rFonts w:cs="Times New Roman"/>
          <w:color w:val="000000" w:themeColor="text1"/>
          <w:szCs w:val="28"/>
        </w:rPr>
        <w:t>n</w:t>
      </w:r>
      <w:r w:rsidR="00770B5E" w:rsidRPr="009F2A06">
        <w:rPr>
          <w:rFonts w:cs="Times New Roman"/>
          <w:color w:val="000000" w:themeColor="text1"/>
          <w:szCs w:val="28"/>
        </w:rPr>
        <w:t>.</w:t>
      </w:r>
      <w:r w:rsidR="00E85479" w:rsidRPr="009F2A06">
        <w:rPr>
          <w:rStyle w:val="FootnoteReference"/>
          <w:rFonts w:cs="Times New Roman"/>
          <w:color w:val="000000" w:themeColor="text1"/>
          <w:szCs w:val="28"/>
        </w:rPr>
        <w:footnoteReference w:id="22"/>
      </w:r>
      <w:r w:rsidR="00AA1A73" w:rsidRPr="009F2A06">
        <w:rPr>
          <w:rFonts w:cs="Times New Roman"/>
          <w:color w:val="000000" w:themeColor="text1"/>
          <w:szCs w:val="28"/>
        </w:rPr>
        <w:t xml:space="preserve"> </w:t>
      </w:r>
      <w:r w:rsidR="00AA1A73">
        <w:rPr>
          <w:rFonts w:cs="Times New Roman"/>
          <w:szCs w:val="28"/>
        </w:rPr>
        <w:t xml:space="preserve">This is the “once </w:t>
      </w:r>
      <w:r w:rsidR="00AA1A73">
        <w:rPr>
          <w:rFonts w:cs="Times New Roman"/>
          <w:szCs w:val="28"/>
        </w:rPr>
        <w:lastRenderedPageBreak/>
        <w:t>and for all” rule which has its foundations in English law</w:t>
      </w:r>
      <w:r w:rsidR="00C5137C">
        <w:rPr>
          <w:rStyle w:val="FootnoteReference"/>
          <w:rFonts w:cs="Times New Roman"/>
          <w:szCs w:val="28"/>
        </w:rPr>
        <w:footnoteReference w:id="23"/>
      </w:r>
      <w:r w:rsidR="00C5137C">
        <w:rPr>
          <w:rFonts w:cs="Times New Roman"/>
          <w:szCs w:val="28"/>
        </w:rPr>
        <w:t xml:space="preserve"> and has been adopted and applied in the South African courts.</w:t>
      </w:r>
      <w:r w:rsidR="00AC74EE">
        <w:rPr>
          <w:rFonts w:cs="Times New Roman"/>
          <w:szCs w:val="28"/>
        </w:rPr>
        <w:t xml:space="preserve"> It comprises two components</w:t>
      </w:r>
      <w:r w:rsidR="00BE27EA">
        <w:rPr>
          <w:rFonts w:cs="Times New Roman"/>
          <w:szCs w:val="28"/>
        </w:rPr>
        <w:t>: firstly</w:t>
      </w:r>
      <w:r w:rsidR="00A70F4D">
        <w:rPr>
          <w:rFonts w:cs="Times New Roman"/>
          <w:szCs w:val="28"/>
        </w:rPr>
        <w:t>,</w:t>
      </w:r>
      <w:r w:rsidR="00BE27EA">
        <w:rPr>
          <w:rFonts w:cs="Times New Roman"/>
          <w:szCs w:val="28"/>
        </w:rPr>
        <w:t xml:space="preserve"> that all damages, present and future, should be claimed in a single action and secondly, that such damages are claimed as a lump sum</w:t>
      </w:r>
      <w:r w:rsidR="0062433B">
        <w:rPr>
          <w:rFonts w:cs="Times New Roman"/>
          <w:szCs w:val="28"/>
        </w:rPr>
        <w:t>.</w:t>
      </w:r>
      <w:r w:rsidR="00A70F4D" w:rsidRPr="009F2A06">
        <w:rPr>
          <w:rStyle w:val="FootnoteReference"/>
          <w:rFonts w:cs="Times New Roman"/>
          <w:color w:val="000000" w:themeColor="text1"/>
          <w:szCs w:val="28"/>
        </w:rPr>
        <w:footnoteReference w:id="24"/>
      </w:r>
    </w:p>
    <w:p w:rsidR="00750F62" w:rsidRDefault="00750F62" w:rsidP="009F6BC2">
      <w:pPr>
        <w:rPr>
          <w:rFonts w:cs="Times New Roman"/>
          <w:szCs w:val="28"/>
        </w:rPr>
      </w:pPr>
    </w:p>
    <w:p w:rsidR="00AC74EE" w:rsidRDefault="00DE41BC" w:rsidP="009F6BC2">
      <w:pPr>
        <w:rPr>
          <w:rFonts w:cs="Times New Roman"/>
          <w:szCs w:val="28"/>
        </w:rPr>
      </w:pPr>
      <w:r>
        <w:rPr>
          <w:rFonts w:cs="Times New Roman"/>
          <w:szCs w:val="28"/>
        </w:rPr>
        <w:t>[100</w:t>
      </w:r>
      <w:r w:rsidR="003D796B">
        <w:rPr>
          <w:rFonts w:cs="Times New Roman"/>
          <w:szCs w:val="28"/>
        </w:rPr>
        <w:t>]</w:t>
      </w:r>
      <w:r w:rsidR="003D796B">
        <w:rPr>
          <w:rFonts w:cs="Times New Roman"/>
          <w:szCs w:val="28"/>
        </w:rPr>
        <w:tab/>
      </w:r>
      <w:r w:rsidR="00202726">
        <w:rPr>
          <w:rFonts w:cs="Times New Roman"/>
          <w:szCs w:val="28"/>
        </w:rPr>
        <w:t>Under the</w:t>
      </w:r>
      <w:r w:rsidR="00534E4A">
        <w:rPr>
          <w:rFonts w:cs="Times New Roman"/>
          <w:szCs w:val="28"/>
        </w:rPr>
        <w:t xml:space="preserve"> </w:t>
      </w:r>
      <w:proofErr w:type="spellStart"/>
      <w:r w:rsidR="00534E4A" w:rsidRPr="001C73AA">
        <w:rPr>
          <w:rFonts w:cs="Times New Roman"/>
          <w:i/>
          <w:color w:val="000000" w:themeColor="text1"/>
          <w:szCs w:val="28"/>
        </w:rPr>
        <w:t>Aquilian</w:t>
      </w:r>
      <w:proofErr w:type="spellEnd"/>
      <w:r w:rsidR="00534E4A" w:rsidRPr="001C73AA">
        <w:rPr>
          <w:rFonts w:cs="Times New Roman"/>
          <w:color w:val="000000" w:themeColor="text1"/>
          <w:szCs w:val="28"/>
        </w:rPr>
        <w:t xml:space="preserve"> </w:t>
      </w:r>
      <w:r w:rsidR="00534E4A">
        <w:rPr>
          <w:rFonts w:cs="Times New Roman"/>
          <w:szCs w:val="28"/>
        </w:rPr>
        <w:t>action</w:t>
      </w:r>
      <w:r w:rsidR="00555F44">
        <w:rPr>
          <w:rFonts w:cs="Times New Roman"/>
          <w:szCs w:val="28"/>
        </w:rPr>
        <w:t xml:space="preserve"> a defendant is obliged to make good the difference between the value of the plaintiff’s estate after the commission of the delict, and the value it would have had if the delict had not been committed</w:t>
      </w:r>
      <w:r w:rsidR="000B0C18">
        <w:rPr>
          <w:rStyle w:val="FootnoteReference"/>
          <w:rFonts w:cs="Times New Roman"/>
          <w:szCs w:val="28"/>
        </w:rPr>
        <w:footnoteReference w:id="25"/>
      </w:r>
      <w:r w:rsidR="00555F44">
        <w:rPr>
          <w:rFonts w:cs="Times New Roman"/>
          <w:szCs w:val="28"/>
        </w:rPr>
        <w:t>.</w:t>
      </w:r>
      <w:r w:rsidR="00A207EE">
        <w:rPr>
          <w:rFonts w:cs="Times New Roman"/>
          <w:szCs w:val="28"/>
        </w:rPr>
        <w:t xml:space="preserve"> This must be done in money and not in kind</w:t>
      </w:r>
      <w:r w:rsidR="0062433B">
        <w:rPr>
          <w:rFonts w:cs="Times New Roman"/>
          <w:szCs w:val="28"/>
        </w:rPr>
        <w:t>.</w:t>
      </w:r>
      <w:r w:rsidR="00CA7083" w:rsidRPr="001C73AA">
        <w:rPr>
          <w:rStyle w:val="FootnoteReference"/>
          <w:rFonts w:cs="Times New Roman"/>
          <w:color w:val="000000" w:themeColor="text1"/>
          <w:szCs w:val="28"/>
        </w:rPr>
        <w:footnoteReference w:id="26"/>
      </w:r>
    </w:p>
    <w:p w:rsidR="0040659C" w:rsidRDefault="0040659C" w:rsidP="009F6BC2">
      <w:pPr>
        <w:rPr>
          <w:rFonts w:cs="Times New Roman"/>
          <w:szCs w:val="28"/>
        </w:rPr>
      </w:pPr>
    </w:p>
    <w:p w:rsidR="0040659C" w:rsidRDefault="00DE41BC" w:rsidP="009F6BC2">
      <w:pPr>
        <w:rPr>
          <w:rFonts w:cs="Times New Roman"/>
          <w:szCs w:val="28"/>
        </w:rPr>
      </w:pPr>
      <w:r>
        <w:rPr>
          <w:rFonts w:cs="Times New Roman"/>
          <w:szCs w:val="28"/>
        </w:rPr>
        <w:t>[101</w:t>
      </w:r>
      <w:r w:rsidR="003D796B">
        <w:rPr>
          <w:rFonts w:cs="Times New Roman"/>
          <w:szCs w:val="28"/>
        </w:rPr>
        <w:t>]</w:t>
      </w:r>
      <w:r w:rsidR="003D796B">
        <w:rPr>
          <w:rFonts w:cs="Times New Roman"/>
          <w:szCs w:val="28"/>
        </w:rPr>
        <w:tab/>
      </w:r>
      <w:r w:rsidR="00A63677">
        <w:rPr>
          <w:rFonts w:cs="Times New Roman"/>
          <w:szCs w:val="28"/>
        </w:rPr>
        <w:t>In</w:t>
      </w:r>
      <w:r w:rsidR="001D04EE">
        <w:rPr>
          <w:rFonts w:cs="Times New Roman"/>
          <w:szCs w:val="28"/>
        </w:rPr>
        <w:t xml:space="preserve"> </w:t>
      </w:r>
      <w:proofErr w:type="spellStart"/>
      <w:r w:rsidR="001D04EE" w:rsidRPr="00782404">
        <w:rPr>
          <w:rFonts w:cs="Times New Roman"/>
          <w:i/>
          <w:iCs/>
          <w:szCs w:val="28"/>
        </w:rPr>
        <w:t>Ngubane</w:t>
      </w:r>
      <w:proofErr w:type="spellEnd"/>
      <w:r w:rsidR="000B0216">
        <w:rPr>
          <w:rStyle w:val="FootnoteReference"/>
          <w:rFonts w:cs="Times New Roman"/>
          <w:i/>
          <w:iCs/>
          <w:szCs w:val="28"/>
        </w:rPr>
        <w:footnoteReference w:id="27"/>
      </w:r>
      <w:r w:rsidR="001D04EE">
        <w:rPr>
          <w:rFonts w:cs="Times New Roman"/>
          <w:szCs w:val="28"/>
        </w:rPr>
        <w:t>, the Appellate Division</w:t>
      </w:r>
      <w:r w:rsidR="00502F94">
        <w:rPr>
          <w:rFonts w:cs="Times New Roman"/>
          <w:szCs w:val="28"/>
        </w:rPr>
        <w:t xml:space="preserve"> was faced with</w:t>
      </w:r>
      <w:r w:rsidR="001509BF">
        <w:rPr>
          <w:rFonts w:cs="Times New Roman"/>
          <w:szCs w:val="28"/>
        </w:rPr>
        <w:t xml:space="preserve"> the following argument in opposition to a claim for damages in respect of future medical expense</w:t>
      </w:r>
      <w:r w:rsidR="005215F7">
        <w:rPr>
          <w:rFonts w:cs="Times New Roman"/>
          <w:szCs w:val="28"/>
        </w:rPr>
        <w:t>s</w:t>
      </w:r>
      <w:r w:rsidR="001509BF">
        <w:rPr>
          <w:rFonts w:cs="Times New Roman"/>
          <w:szCs w:val="28"/>
        </w:rPr>
        <w:t xml:space="preserve"> and adaptive aids:</w:t>
      </w:r>
    </w:p>
    <w:p w:rsidR="001509BF" w:rsidRDefault="001509BF" w:rsidP="009F6BC2">
      <w:pPr>
        <w:rPr>
          <w:rFonts w:cs="Times New Roman"/>
          <w:szCs w:val="28"/>
        </w:rPr>
      </w:pPr>
    </w:p>
    <w:p w:rsidR="00CF6A18" w:rsidRDefault="001509BF" w:rsidP="00D957EE">
      <w:pPr>
        <w:autoSpaceDE w:val="0"/>
        <w:autoSpaceDN w:val="0"/>
        <w:adjustRightInd w:val="0"/>
        <w:spacing w:after="0" w:line="240" w:lineRule="auto"/>
        <w:ind w:left="630" w:right="386"/>
        <w:rPr>
          <w:rFonts w:cs="Times New Roman"/>
          <w:sz w:val="24"/>
          <w:szCs w:val="24"/>
        </w:rPr>
      </w:pPr>
      <w:r w:rsidRPr="00192B9F">
        <w:rPr>
          <w:rFonts w:cs="Times New Roman"/>
          <w:sz w:val="24"/>
          <w:szCs w:val="24"/>
        </w:rPr>
        <w:t>“</w:t>
      </w:r>
      <w:r w:rsidR="005A76AA">
        <w:rPr>
          <w:rFonts w:cs="Times New Roman"/>
          <w:sz w:val="24"/>
          <w:szCs w:val="24"/>
        </w:rPr>
        <w:t>Once the possible</w:t>
      </w:r>
      <w:r w:rsidR="006C6ECD">
        <w:rPr>
          <w:rFonts w:cs="Times New Roman"/>
          <w:sz w:val="24"/>
          <w:szCs w:val="24"/>
        </w:rPr>
        <w:t xml:space="preserve"> alternative of State medical services is raised, counsel for the respondent submitted that</w:t>
      </w:r>
    </w:p>
    <w:p w:rsidR="00CF6A18" w:rsidRDefault="00CF6A18" w:rsidP="00D957EE">
      <w:pPr>
        <w:autoSpaceDE w:val="0"/>
        <w:autoSpaceDN w:val="0"/>
        <w:adjustRightInd w:val="0"/>
        <w:spacing w:after="0" w:line="240" w:lineRule="auto"/>
        <w:ind w:left="630" w:right="386"/>
        <w:rPr>
          <w:rFonts w:cs="Times New Roman"/>
          <w:sz w:val="24"/>
          <w:szCs w:val="24"/>
        </w:rPr>
      </w:pPr>
    </w:p>
    <w:p w:rsidR="00CF6A18" w:rsidRDefault="006C6ECD" w:rsidP="00D957EE">
      <w:pPr>
        <w:autoSpaceDE w:val="0"/>
        <w:autoSpaceDN w:val="0"/>
        <w:adjustRightInd w:val="0"/>
        <w:spacing w:after="0" w:line="240" w:lineRule="auto"/>
        <w:ind w:left="630" w:right="386"/>
        <w:rPr>
          <w:rFonts w:cs="Times New Roman"/>
          <w:sz w:val="24"/>
          <w:szCs w:val="24"/>
        </w:rPr>
      </w:pPr>
      <w:r>
        <w:rPr>
          <w:rFonts w:cs="Times New Roman"/>
          <w:sz w:val="24"/>
          <w:szCs w:val="24"/>
        </w:rPr>
        <w:t xml:space="preserve"> ‘</w:t>
      </w:r>
      <w:r w:rsidR="00AA4D79">
        <w:rPr>
          <w:rFonts w:cs="Times New Roman"/>
          <w:sz w:val="24"/>
          <w:szCs w:val="24"/>
        </w:rPr>
        <w:t>(t)here is no general authority that a plaintiff is entitled to be awarded the costs of a private clinic in preference to the costs of a public hospital’</w:t>
      </w:r>
      <w:r w:rsidR="00454BA6">
        <w:rPr>
          <w:rFonts w:cs="Times New Roman"/>
          <w:sz w:val="24"/>
          <w:szCs w:val="24"/>
        </w:rPr>
        <w:t>,</w:t>
      </w:r>
    </w:p>
    <w:p w:rsidR="00CF6A18" w:rsidRDefault="00CF6A18" w:rsidP="00D957EE">
      <w:pPr>
        <w:autoSpaceDE w:val="0"/>
        <w:autoSpaceDN w:val="0"/>
        <w:adjustRightInd w:val="0"/>
        <w:spacing w:after="0" w:line="240" w:lineRule="auto"/>
        <w:ind w:left="630" w:right="386"/>
        <w:rPr>
          <w:rFonts w:cs="Times New Roman"/>
          <w:sz w:val="24"/>
          <w:szCs w:val="24"/>
        </w:rPr>
      </w:pPr>
    </w:p>
    <w:p w:rsidR="00CF6A18" w:rsidRDefault="00454BA6" w:rsidP="00D957EE">
      <w:pPr>
        <w:autoSpaceDE w:val="0"/>
        <w:autoSpaceDN w:val="0"/>
        <w:adjustRightInd w:val="0"/>
        <w:spacing w:after="0" w:line="240" w:lineRule="auto"/>
        <w:ind w:left="630" w:right="386"/>
        <w:rPr>
          <w:rFonts w:cs="Times New Roman"/>
          <w:sz w:val="24"/>
          <w:szCs w:val="24"/>
        </w:rPr>
      </w:pPr>
      <w:r>
        <w:rPr>
          <w:rFonts w:cs="Times New Roman"/>
          <w:sz w:val="24"/>
          <w:szCs w:val="24"/>
        </w:rPr>
        <w:t xml:space="preserve"> and that therefore</w:t>
      </w:r>
      <w:r w:rsidR="000156A9">
        <w:rPr>
          <w:rFonts w:cs="Times New Roman"/>
          <w:sz w:val="24"/>
          <w:szCs w:val="24"/>
        </w:rPr>
        <w:t xml:space="preserve"> </w:t>
      </w:r>
    </w:p>
    <w:p w:rsidR="00CF6A18" w:rsidRDefault="00CF6A18" w:rsidP="00D957EE">
      <w:pPr>
        <w:autoSpaceDE w:val="0"/>
        <w:autoSpaceDN w:val="0"/>
        <w:adjustRightInd w:val="0"/>
        <w:spacing w:after="0" w:line="240" w:lineRule="auto"/>
        <w:ind w:left="630" w:right="386"/>
        <w:rPr>
          <w:rFonts w:cs="Times New Roman"/>
          <w:sz w:val="24"/>
          <w:szCs w:val="24"/>
        </w:rPr>
      </w:pPr>
    </w:p>
    <w:p w:rsidR="001509BF" w:rsidRPr="00192B9F" w:rsidRDefault="00CF6A18" w:rsidP="00D957EE">
      <w:pPr>
        <w:autoSpaceDE w:val="0"/>
        <w:autoSpaceDN w:val="0"/>
        <w:adjustRightInd w:val="0"/>
        <w:spacing w:after="0" w:line="240" w:lineRule="auto"/>
        <w:ind w:left="630" w:right="386"/>
        <w:rPr>
          <w:rFonts w:cs="Times New Roman"/>
          <w:sz w:val="24"/>
          <w:szCs w:val="24"/>
        </w:rPr>
      </w:pPr>
      <w:r>
        <w:rPr>
          <w:rFonts w:cs="Times New Roman"/>
          <w:sz w:val="24"/>
          <w:szCs w:val="24"/>
        </w:rPr>
        <w:t>‘</w:t>
      </w:r>
      <w:r w:rsidR="000156A9">
        <w:rPr>
          <w:rFonts w:cs="Times New Roman"/>
          <w:sz w:val="24"/>
          <w:szCs w:val="24"/>
        </w:rPr>
        <w:t>(</w:t>
      </w:r>
      <w:r w:rsidR="00454BA6">
        <w:rPr>
          <w:rFonts w:cs="Times New Roman"/>
          <w:sz w:val="24"/>
          <w:szCs w:val="24"/>
        </w:rPr>
        <w:t>w</w:t>
      </w:r>
      <w:r w:rsidR="000156A9">
        <w:rPr>
          <w:rFonts w:cs="Times New Roman"/>
          <w:sz w:val="24"/>
          <w:szCs w:val="24"/>
        </w:rPr>
        <w:t>)</w:t>
      </w:r>
      <w:r w:rsidR="00454BA6">
        <w:rPr>
          <w:rFonts w:cs="Times New Roman"/>
          <w:sz w:val="24"/>
          <w:szCs w:val="24"/>
        </w:rPr>
        <w:t>hen</w:t>
      </w:r>
      <w:r w:rsidR="000156A9">
        <w:rPr>
          <w:rFonts w:cs="Times New Roman"/>
          <w:sz w:val="24"/>
          <w:szCs w:val="24"/>
        </w:rPr>
        <w:t xml:space="preserve"> the possibility that cheaper treatment is possible than</w:t>
      </w:r>
      <w:r w:rsidR="009A6FCE">
        <w:rPr>
          <w:rFonts w:cs="Times New Roman"/>
          <w:sz w:val="24"/>
          <w:szCs w:val="24"/>
        </w:rPr>
        <w:t xml:space="preserve"> that claimed by the plaintiff it becomes his duty in discharge of the general onus resting on him to deal with these possibilities.</w:t>
      </w:r>
      <w:r w:rsidR="00BC4E57">
        <w:rPr>
          <w:rFonts w:cs="Times New Roman"/>
          <w:sz w:val="24"/>
          <w:szCs w:val="24"/>
        </w:rPr>
        <w:t xml:space="preserve"> It is not for the defendant to quantify his damages for him.</w:t>
      </w:r>
      <w:r w:rsidR="005A6A98">
        <w:rPr>
          <w:rFonts w:cs="Times New Roman"/>
          <w:sz w:val="24"/>
          <w:szCs w:val="24"/>
        </w:rPr>
        <w:t>’</w:t>
      </w:r>
      <w:r w:rsidR="00BC4E57">
        <w:rPr>
          <w:rFonts w:cs="Times New Roman"/>
          <w:sz w:val="24"/>
          <w:szCs w:val="24"/>
        </w:rPr>
        <w:t>”</w:t>
      </w:r>
    </w:p>
    <w:p w:rsidR="00F03932" w:rsidRDefault="004860C0" w:rsidP="009F6BC2">
      <w:pPr>
        <w:rPr>
          <w:rFonts w:cs="Times New Roman"/>
          <w:szCs w:val="28"/>
        </w:rPr>
      </w:pPr>
      <w:r>
        <w:rPr>
          <w:rFonts w:cs="Times New Roman"/>
          <w:szCs w:val="28"/>
        </w:rPr>
        <w:lastRenderedPageBreak/>
        <w:t>[102</w:t>
      </w:r>
      <w:r w:rsidR="003D796B">
        <w:rPr>
          <w:rFonts w:cs="Times New Roman"/>
          <w:szCs w:val="28"/>
        </w:rPr>
        <w:t>]</w:t>
      </w:r>
      <w:r w:rsidR="003D796B">
        <w:rPr>
          <w:rFonts w:cs="Times New Roman"/>
          <w:szCs w:val="28"/>
        </w:rPr>
        <w:tab/>
      </w:r>
      <w:r w:rsidR="0097553D">
        <w:rPr>
          <w:rFonts w:cs="Times New Roman"/>
          <w:szCs w:val="28"/>
        </w:rPr>
        <w:t xml:space="preserve">This </w:t>
      </w:r>
      <w:r w:rsidR="009D5CA7" w:rsidRPr="009D5CA7">
        <w:rPr>
          <w:rFonts w:cs="Times New Roman"/>
          <w:szCs w:val="28"/>
        </w:rPr>
        <w:t>argument was rejected by the appeal court which set out the legal position as follows</w:t>
      </w:r>
      <w:r w:rsidR="009D5CA7" w:rsidRPr="009D5CA7">
        <w:rPr>
          <w:rFonts w:ascii="MS Sans Serif" w:hAnsi="MS Sans Serif" w:cs="MS Sans Serif"/>
          <w:sz w:val="17"/>
          <w:szCs w:val="17"/>
        </w:rPr>
        <w:t>:</w:t>
      </w:r>
    </w:p>
    <w:p w:rsidR="00BE20C0" w:rsidRPr="00BE20C0" w:rsidRDefault="006852B7" w:rsidP="00043EB1">
      <w:pPr>
        <w:spacing w:line="240" w:lineRule="auto"/>
        <w:ind w:left="630" w:right="476"/>
        <w:rPr>
          <w:rFonts w:eastAsia="Times New Roman" w:cs="Times New Roman"/>
          <w:sz w:val="24"/>
          <w:szCs w:val="24"/>
          <w:lang w:eastAsia="en-ZA"/>
        </w:rPr>
      </w:pPr>
      <w:r>
        <w:rPr>
          <w:rFonts w:cs="Times New Roman"/>
          <w:szCs w:val="28"/>
        </w:rPr>
        <w:t>“</w:t>
      </w:r>
      <w:r w:rsidR="00BE20C0" w:rsidRPr="00BE20C0">
        <w:rPr>
          <w:rFonts w:eastAsia="Times New Roman" w:cs="Times New Roman"/>
          <w:sz w:val="24"/>
          <w:szCs w:val="24"/>
          <w:lang w:eastAsia="en-ZA"/>
        </w:rPr>
        <w:t xml:space="preserve">Though the </w:t>
      </w:r>
      <w:r w:rsidR="00BE20C0" w:rsidRPr="00BE20C0">
        <w:rPr>
          <w:rFonts w:eastAsia="Times New Roman" w:cs="Times New Roman"/>
          <w:i/>
          <w:iCs/>
          <w:sz w:val="24"/>
          <w:szCs w:val="24"/>
          <w:lang w:eastAsia="en-ZA"/>
        </w:rPr>
        <w:t>onus</w:t>
      </w:r>
      <w:r w:rsidR="00BE20C0" w:rsidRPr="00BE20C0">
        <w:rPr>
          <w:rFonts w:eastAsia="Times New Roman" w:cs="Times New Roman"/>
          <w:sz w:val="24"/>
          <w:szCs w:val="24"/>
          <w:lang w:eastAsia="en-ZA"/>
        </w:rPr>
        <w:t xml:space="preserve"> of proving damages is correctly placed upon the plaintiff, this submission, which is really concerned with the duty to adduce evidence, is to my mind unsound. By making use of private medical services and hospital facilities, a plaintiff, who has suffered personal injuries, will in the normal course (as a result of enquiries and exercising a right of selection) receive skilled medical attention and, where the need arises, be admitted to a well-run and properly equipped hospital. To accord him such benefits, all would agree, is both reasonable and deserving. For this </w:t>
      </w:r>
      <w:proofErr w:type="gramStart"/>
      <w:r w:rsidR="00BE20C0" w:rsidRPr="00BE20C0">
        <w:rPr>
          <w:rFonts w:eastAsia="Times New Roman" w:cs="Times New Roman"/>
          <w:sz w:val="24"/>
          <w:szCs w:val="24"/>
          <w:lang w:eastAsia="en-ZA"/>
        </w:rPr>
        <w:t>reason</w:t>
      </w:r>
      <w:proofErr w:type="gramEnd"/>
      <w:r w:rsidR="00BE20C0" w:rsidRPr="00BE20C0">
        <w:rPr>
          <w:rFonts w:eastAsia="Times New Roman" w:cs="Times New Roman"/>
          <w:sz w:val="24"/>
          <w:szCs w:val="24"/>
          <w:lang w:eastAsia="en-ZA"/>
        </w:rPr>
        <w:t xml:space="preserve"> it is a legitimate - and as far as I am aware the customary - basis on which a claim for future medical expenses is determined. Such evidence will thus discharge the </w:t>
      </w:r>
      <w:r w:rsidR="00BE20C0" w:rsidRPr="00BE20C0">
        <w:rPr>
          <w:rFonts w:eastAsia="Times New Roman" w:cs="Times New Roman"/>
          <w:i/>
          <w:iCs/>
          <w:sz w:val="24"/>
          <w:szCs w:val="24"/>
          <w:lang w:eastAsia="en-ZA"/>
        </w:rPr>
        <w:t>onus</w:t>
      </w:r>
      <w:r w:rsidR="00BE20C0" w:rsidRPr="00BE20C0">
        <w:rPr>
          <w:rFonts w:eastAsia="Times New Roman" w:cs="Times New Roman"/>
          <w:sz w:val="24"/>
          <w:szCs w:val="24"/>
          <w:lang w:eastAsia="en-ZA"/>
        </w:rPr>
        <w:t xml:space="preserve"> of proving the cost of such expenses unless, having regard to all the evidence, including that adduced in support of an alternative and cheaper source of medical services, it can be said that the plaintiff has failed to prove on a preponderance of probabilities that the medical services envisaged are reasonable and hence that the amounts claimed are not excessive.</w:t>
      </w:r>
    </w:p>
    <w:p w:rsidR="00BE20C0" w:rsidRPr="00BE20C0" w:rsidRDefault="00BE20C0" w:rsidP="00043EB1">
      <w:pPr>
        <w:spacing w:after="0" w:line="240" w:lineRule="auto"/>
        <w:ind w:left="630" w:right="476"/>
        <w:jc w:val="left"/>
        <w:rPr>
          <w:rFonts w:eastAsia="Times New Roman" w:cs="Times New Roman"/>
          <w:sz w:val="24"/>
          <w:szCs w:val="24"/>
          <w:lang w:eastAsia="en-ZA"/>
        </w:rPr>
      </w:pPr>
      <w:r w:rsidRPr="00BE20C0">
        <w:rPr>
          <w:rFonts w:eastAsia="Times New Roman" w:cs="Times New Roman"/>
          <w:sz w:val="24"/>
          <w:szCs w:val="24"/>
          <w:lang w:eastAsia="en-ZA"/>
        </w:rPr>
        <w:t xml:space="preserve">This approach conforms, in my view, to the requirements of proof in any claim for </w:t>
      </w:r>
      <w:proofErr w:type="spellStart"/>
      <w:r w:rsidRPr="00BE20C0">
        <w:rPr>
          <w:rFonts w:eastAsia="Times New Roman" w:cs="Times New Roman"/>
          <w:sz w:val="24"/>
          <w:szCs w:val="24"/>
          <w:lang w:eastAsia="en-ZA"/>
        </w:rPr>
        <w:t>delictual</w:t>
      </w:r>
      <w:proofErr w:type="spellEnd"/>
      <w:r w:rsidRPr="00BE20C0">
        <w:rPr>
          <w:rFonts w:eastAsia="Times New Roman" w:cs="Times New Roman"/>
          <w:sz w:val="24"/>
          <w:szCs w:val="24"/>
          <w:lang w:eastAsia="en-ZA"/>
        </w:rPr>
        <w:t xml:space="preserve"> damages.</w:t>
      </w:r>
      <w:r>
        <w:rPr>
          <w:rFonts w:eastAsia="Times New Roman" w:cs="Times New Roman"/>
          <w:sz w:val="24"/>
          <w:szCs w:val="24"/>
          <w:lang w:eastAsia="en-ZA"/>
        </w:rPr>
        <w:t>”</w:t>
      </w:r>
      <w:r w:rsidR="00FB2E96">
        <w:rPr>
          <w:rStyle w:val="FootnoteReference"/>
          <w:rFonts w:eastAsia="Times New Roman" w:cs="Times New Roman"/>
          <w:sz w:val="24"/>
          <w:szCs w:val="24"/>
          <w:lang w:eastAsia="en-ZA"/>
        </w:rPr>
        <w:footnoteReference w:id="28"/>
      </w:r>
    </w:p>
    <w:p w:rsidR="006852B7" w:rsidRPr="009D5CA7" w:rsidRDefault="006852B7" w:rsidP="00EB4536">
      <w:pPr>
        <w:spacing w:line="240" w:lineRule="auto"/>
        <w:ind w:right="737"/>
        <w:rPr>
          <w:rFonts w:cs="Times New Roman"/>
          <w:szCs w:val="28"/>
        </w:rPr>
      </w:pPr>
    </w:p>
    <w:p w:rsidR="00142FAC" w:rsidRDefault="0097553D" w:rsidP="009F6BC2">
      <w:pPr>
        <w:rPr>
          <w:rFonts w:cs="Times New Roman"/>
          <w:szCs w:val="28"/>
        </w:rPr>
      </w:pPr>
      <w:r>
        <w:rPr>
          <w:rFonts w:cs="Times New Roman"/>
          <w:szCs w:val="28"/>
        </w:rPr>
        <w:t>[103</w:t>
      </w:r>
      <w:r w:rsidR="003D796B">
        <w:rPr>
          <w:rFonts w:cs="Times New Roman"/>
          <w:szCs w:val="28"/>
        </w:rPr>
        <w:t>]</w:t>
      </w:r>
      <w:r w:rsidR="003D796B">
        <w:rPr>
          <w:rFonts w:cs="Times New Roman"/>
          <w:szCs w:val="28"/>
        </w:rPr>
        <w:tab/>
      </w:r>
      <w:r w:rsidR="00142FAC">
        <w:rPr>
          <w:rFonts w:cs="Times New Roman"/>
          <w:szCs w:val="28"/>
        </w:rPr>
        <w:t>And later:</w:t>
      </w:r>
    </w:p>
    <w:p w:rsidR="009423E5" w:rsidRDefault="00142FAC" w:rsidP="00043EB1">
      <w:pPr>
        <w:spacing w:line="240" w:lineRule="auto"/>
        <w:ind w:left="630" w:right="386"/>
        <w:rPr>
          <w:rFonts w:cs="Times New Roman"/>
          <w:sz w:val="24"/>
          <w:szCs w:val="24"/>
        </w:rPr>
      </w:pPr>
      <w:r w:rsidRPr="007A6D15">
        <w:rPr>
          <w:rFonts w:cs="Times New Roman"/>
          <w:sz w:val="24"/>
          <w:szCs w:val="24"/>
        </w:rPr>
        <w:t>“</w:t>
      </w:r>
      <w:r w:rsidR="00FE1746" w:rsidRPr="007A6D15">
        <w:rPr>
          <w:sz w:val="24"/>
          <w:szCs w:val="24"/>
        </w:rPr>
        <w:t>Thus in the instant case the respondent was required to adduce evidence - a '</w:t>
      </w:r>
      <w:proofErr w:type="spellStart"/>
      <w:r w:rsidR="00FE1746" w:rsidRPr="007A6D15">
        <w:rPr>
          <w:sz w:val="24"/>
          <w:szCs w:val="24"/>
        </w:rPr>
        <w:t>voldoende</w:t>
      </w:r>
      <w:proofErr w:type="spellEnd"/>
      <w:r w:rsidR="00FE1746" w:rsidRPr="007A6D15">
        <w:rPr>
          <w:sz w:val="24"/>
          <w:szCs w:val="24"/>
        </w:rPr>
        <w:t xml:space="preserve"> </w:t>
      </w:r>
      <w:proofErr w:type="spellStart"/>
      <w:r w:rsidR="00FE1746" w:rsidRPr="007A6D15">
        <w:rPr>
          <w:sz w:val="24"/>
          <w:szCs w:val="24"/>
        </w:rPr>
        <w:t>getuienisbasis</w:t>
      </w:r>
      <w:proofErr w:type="spellEnd"/>
      <w:r w:rsidR="00FE1746" w:rsidRPr="007A6D15">
        <w:rPr>
          <w:sz w:val="24"/>
          <w:szCs w:val="24"/>
        </w:rPr>
        <w:t>' in the words of Jansen JA - in support of its</w:t>
      </w:r>
      <w:r w:rsidR="00FE1746" w:rsidRPr="007A6D15">
        <w:rPr>
          <w:rStyle w:val="mc"/>
          <w:sz w:val="24"/>
          <w:szCs w:val="24"/>
        </w:rPr>
        <w:t xml:space="preserve"> </w:t>
      </w:r>
      <w:r w:rsidR="00FE1746" w:rsidRPr="007A6D15">
        <w:rPr>
          <w:sz w:val="24"/>
          <w:szCs w:val="24"/>
        </w:rPr>
        <w:t>contention, that is to say, that for the next 35 years, or for some shorter period, medical services of the same, or an acceptably high, standard will be available to the appellant at no cost or for less than that claimed by him.</w:t>
      </w:r>
      <w:r w:rsidR="007A6D15" w:rsidRPr="007A6D15">
        <w:rPr>
          <w:sz w:val="24"/>
          <w:szCs w:val="24"/>
        </w:rPr>
        <w:t>”</w:t>
      </w:r>
      <w:r w:rsidR="008E3BEA">
        <w:rPr>
          <w:rStyle w:val="FootnoteReference"/>
          <w:sz w:val="24"/>
          <w:szCs w:val="24"/>
        </w:rPr>
        <w:footnoteReference w:id="29"/>
      </w:r>
    </w:p>
    <w:p w:rsidR="005215F7" w:rsidRPr="005215F7" w:rsidRDefault="005215F7" w:rsidP="005215F7">
      <w:pPr>
        <w:spacing w:line="240" w:lineRule="auto"/>
        <w:ind w:left="720" w:right="737"/>
        <w:rPr>
          <w:rFonts w:cs="Times New Roman"/>
          <w:sz w:val="24"/>
          <w:szCs w:val="24"/>
        </w:rPr>
      </w:pPr>
    </w:p>
    <w:p w:rsidR="00514DDF" w:rsidRDefault="0097553D" w:rsidP="009F6BC2">
      <w:pPr>
        <w:rPr>
          <w:rFonts w:cs="Times New Roman"/>
          <w:szCs w:val="28"/>
        </w:rPr>
      </w:pPr>
      <w:r>
        <w:rPr>
          <w:rFonts w:cs="Times New Roman"/>
          <w:szCs w:val="28"/>
        </w:rPr>
        <w:t>[104</w:t>
      </w:r>
      <w:r w:rsidR="003D796B">
        <w:rPr>
          <w:rFonts w:cs="Times New Roman"/>
          <w:szCs w:val="28"/>
        </w:rPr>
        <w:t>]</w:t>
      </w:r>
      <w:r w:rsidR="003D796B">
        <w:rPr>
          <w:rFonts w:cs="Times New Roman"/>
          <w:szCs w:val="28"/>
        </w:rPr>
        <w:tab/>
      </w:r>
      <w:r w:rsidR="000E2177">
        <w:rPr>
          <w:rFonts w:cs="Times New Roman"/>
          <w:szCs w:val="28"/>
        </w:rPr>
        <w:t xml:space="preserve">The Constitutional Court in </w:t>
      </w:r>
      <w:r w:rsidR="000E2177" w:rsidRPr="00054186">
        <w:rPr>
          <w:rFonts w:cs="Times New Roman"/>
          <w:i/>
          <w:szCs w:val="28"/>
        </w:rPr>
        <w:t>DZ</w:t>
      </w:r>
      <w:r w:rsidR="003C56DE">
        <w:rPr>
          <w:rFonts w:cs="Times New Roman"/>
          <w:szCs w:val="28"/>
        </w:rPr>
        <w:t xml:space="preserve"> </w:t>
      </w:r>
      <w:r w:rsidR="009A7FE7">
        <w:rPr>
          <w:rFonts w:cs="Times New Roman"/>
          <w:szCs w:val="28"/>
        </w:rPr>
        <w:t>expressed the view</w:t>
      </w:r>
      <w:r w:rsidR="000E2177">
        <w:rPr>
          <w:rFonts w:cs="Times New Roman"/>
          <w:szCs w:val="28"/>
        </w:rPr>
        <w:t xml:space="preserve"> that</w:t>
      </w:r>
      <w:r w:rsidR="003C56DE">
        <w:rPr>
          <w:rFonts w:cs="Times New Roman"/>
          <w:szCs w:val="28"/>
        </w:rPr>
        <w:t xml:space="preserve"> </w:t>
      </w:r>
      <w:proofErr w:type="spellStart"/>
      <w:r w:rsidR="003C56DE" w:rsidRPr="00054186">
        <w:rPr>
          <w:rFonts w:cs="Times New Roman"/>
          <w:i/>
          <w:szCs w:val="28"/>
        </w:rPr>
        <w:t>Ngubane</w:t>
      </w:r>
      <w:proofErr w:type="spellEnd"/>
      <w:r w:rsidR="003C56DE">
        <w:rPr>
          <w:rFonts w:cs="Times New Roman"/>
          <w:szCs w:val="28"/>
        </w:rPr>
        <w:t xml:space="preserve"> </w:t>
      </w:r>
      <w:r w:rsidR="000E2177">
        <w:rPr>
          <w:rFonts w:cs="Times New Roman"/>
          <w:szCs w:val="28"/>
        </w:rPr>
        <w:t>was authority</w:t>
      </w:r>
      <w:r w:rsidR="00270FF6">
        <w:rPr>
          <w:rFonts w:cs="Times New Roman"/>
          <w:szCs w:val="28"/>
        </w:rPr>
        <w:t xml:space="preserve"> </w:t>
      </w:r>
      <w:r w:rsidR="005D768D">
        <w:rPr>
          <w:rFonts w:cs="Times New Roman"/>
          <w:szCs w:val="28"/>
        </w:rPr>
        <w:t>for allowing</w:t>
      </w:r>
      <w:r w:rsidR="00270FF6">
        <w:rPr>
          <w:rFonts w:cs="Times New Roman"/>
          <w:szCs w:val="28"/>
        </w:rPr>
        <w:t xml:space="preserve"> the defendant to produce evidence that medical services of the same or higher standard at no, or lesser cost,</w:t>
      </w:r>
      <w:r w:rsidR="005D768D">
        <w:rPr>
          <w:rFonts w:cs="Times New Roman"/>
          <w:szCs w:val="28"/>
        </w:rPr>
        <w:t xml:space="preserve"> than </w:t>
      </w:r>
      <w:r w:rsidR="00270FF6">
        <w:rPr>
          <w:rFonts w:cs="Times New Roman"/>
          <w:szCs w:val="28"/>
        </w:rPr>
        <w:t>private medical care, will be available in the future to the plaintiff to defeat or reduce a claim for future medical services.</w:t>
      </w:r>
      <w:r w:rsidR="00B94FAD">
        <w:rPr>
          <w:rFonts w:cs="Times New Roman"/>
          <w:szCs w:val="28"/>
        </w:rPr>
        <w:t xml:space="preserve"> In this regard it said:</w:t>
      </w:r>
    </w:p>
    <w:p w:rsidR="00181BFE" w:rsidRDefault="00B94FAD" w:rsidP="00043EB1">
      <w:pPr>
        <w:spacing w:after="0" w:line="240" w:lineRule="auto"/>
        <w:ind w:left="630" w:right="386"/>
        <w:rPr>
          <w:rFonts w:cs="Times New Roman"/>
          <w:sz w:val="24"/>
          <w:szCs w:val="24"/>
        </w:rPr>
      </w:pPr>
      <w:r w:rsidRPr="00514DDF">
        <w:rPr>
          <w:rFonts w:cs="Times New Roman"/>
          <w:sz w:val="24"/>
          <w:szCs w:val="24"/>
        </w:rPr>
        <w:t>“</w:t>
      </w:r>
      <w:r w:rsidR="00992326" w:rsidRPr="00514DDF">
        <w:rPr>
          <w:rFonts w:cs="Times New Roman"/>
          <w:sz w:val="24"/>
          <w:szCs w:val="24"/>
        </w:rPr>
        <w:t>If that evidence is of a sufficiently cogent nature to disturb the presumption that private future healthcare is reasonable, the plaintiff will not succeed in the claim for the higher future medical expenses.</w:t>
      </w:r>
      <w:r w:rsidR="00514DDF" w:rsidRPr="00514DDF">
        <w:rPr>
          <w:rFonts w:cs="Times New Roman"/>
          <w:sz w:val="24"/>
          <w:szCs w:val="24"/>
        </w:rPr>
        <w:t xml:space="preserve"> This approach is in accordance with the general principles in relation to the proving of damages.”</w:t>
      </w:r>
      <w:r w:rsidR="0026162A">
        <w:rPr>
          <w:rStyle w:val="FootnoteReference"/>
          <w:rFonts w:cs="Times New Roman"/>
          <w:sz w:val="24"/>
          <w:szCs w:val="24"/>
        </w:rPr>
        <w:footnoteReference w:id="30"/>
      </w:r>
    </w:p>
    <w:p w:rsidR="00DD3FA8" w:rsidRPr="00DD3FA8" w:rsidRDefault="00DD3FA8" w:rsidP="00DD3FA8">
      <w:pPr>
        <w:spacing w:after="0" w:line="240" w:lineRule="auto"/>
        <w:ind w:left="720" w:right="737"/>
        <w:rPr>
          <w:rFonts w:cs="Times New Roman"/>
          <w:sz w:val="24"/>
          <w:szCs w:val="24"/>
        </w:rPr>
      </w:pPr>
    </w:p>
    <w:p w:rsidR="00E33BE3" w:rsidRPr="00DD3FA8" w:rsidRDefault="0097553D" w:rsidP="00DD3FA8">
      <w:pPr>
        <w:rPr>
          <w:rFonts w:cs="Times New Roman"/>
          <w:szCs w:val="28"/>
        </w:rPr>
      </w:pPr>
      <w:r>
        <w:rPr>
          <w:rFonts w:cs="Times New Roman"/>
          <w:szCs w:val="28"/>
        </w:rPr>
        <w:lastRenderedPageBreak/>
        <w:t>[105</w:t>
      </w:r>
      <w:r w:rsidR="003D796B">
        <w:rPr>
          <w:rFonts w:cs="Times New Roman"/>
          <w:szCs w:val="28"/>
        </w:rPr>
        <w:t>]</w:t>
      </w:r>
      <w:r w:rsidR="003D796B">
        <w:rPr>
          <w:rFonts w:cs="Times New Roman"/>
          <w:szCs w:val="28"/>
        </w:rPr>
        <w:tab/>
      </w:r>
      <w:r w:rsidR="00E33BE3" w:rsidRPr="00E33BE3">
        <w:rPr>
          <w:rFonts w:cs="Times New Roman"/>
          <w:szCs w:val="28"/>
        </w:rPr>
        <w:t>The Constitutional Court</w:t>
      </w:r>
      <w:r w:rsidR="00E33BE3">
        <w:rPr>
          <w:rFonts w:cs="Times New Roman"/>
          <w:szCs w:val="28"/>
        </w:rPr>
        <w:t xml:space="preserve"> further </w:t>
      </w:r>
      <w:r w:rsidR="009A7FE7">
        <w:rPr>
          <w:rFonts w:cs="Times New Roman"/>
          <w:szCs w:val="28"/>
        </w:rPr>
        <w:t>said</w:t>
      </w:r>
      <w:r w:rsidR="00E33BE3">
        <w:rPr>
          <w:rFonts w:cs="Times New Roman"/>
          <w:szCs w:val="28"/>
        </w:rPr>
        <w:t xml:space="preserve"> in this regard that:</w:t>
      </w:r>
    </w:p>
    <w:p w:rsidR="00D677BC" w:rsidRDefault="00E33BE3" w:rsidP="00043EB1">
      <w:pPr>
        <w:spacing w:line="240" w:lineRule="auto"/>
        <w:ind w:left="630" w:right="386"/>
        <w:rPr>
          <w:rFonts w:cs="Times New Roman"/>
          <w:sz w:val="24"/>
          <w:szCs w:val="24"/>
        </w:rPr>
      </w:pPr>
      <w:r w:rsidRPr="008A1070">
        <w:rPr>
          <w:rFonts w:cs="Times New Roman"/>
          <w:sz w:val="24"/>
          <w:szCs w:val="24"/>
        </w:rPr>
        <w:t xml:space="preserve">“This approach does not offend the </w:t>
      </w:r>
      <w:r w:rsidR="00B677BB" w:rsidRPr="008A1070">
        <w:rPr>
          <w:rFonts w:cs="Times New Roman"/>
          <w:sz w:val="24"/>
          <w:szCs w:val="24"/>
        </w:rPr>
        <w:t>‘once and for all’</w:t>
      </w:r>
      <w:r w:rsidR="00D55713">
        <w:rPr>
          <w:rFonts w:cs="Times New Roman"/>
          <w:sz w:val="24"/>
          <w:szCs w:val="24"/>
        </w:rPr>
        <w:t xml:space="preserve"> </w:t>
      </w:r>
      <w:r w:rsidR="00B677BB" w:rsidRPr="008A1070">
        <w:rPr>
          <w:rFonts w:cs="Times New Roman"/>
          <w:sz w:val="24"/>
          <w:szCs w:val="24"/>
        </w:rPr>
        <w:t xml:space="preserve">rule. It is a </w:t>
      </w:r>
      <w:r w:rsidR="00502D69" w:rsidRPr="008A1070">
        <w:rPr>
          <w:rFonts w:cs="Times New Roman"/>
          <w:sz w:val="24"/>
          <w:szCs w:val="24"/>
        </w:rPr>
        <w:t>‘</w:t>
      </w:r>
      <w:r w:rsidR="00B677BB" w:rsidRPr="008A1070">
        <w:rPr>
          <w:rFonts w:cs="Times New Roman"/>
          <w:sz w:val="24"/>
          <w:szCs w:val="24"/>
        </w:rPr>
        <w:t>once and for all</w:t>
      </w:r>
      <w:r w:rsidR="00502D69" w:rsidRPr="008A1070">
        <w:rPr>
          <w:rFonts w:cs="Times New Roman"/>
          <w:sz w:val="24"/>
          <w:szCs w:val="24"/>
        </w:rPr>
        <w:t>’</w:t>
      </w:r>
      <w:r w:rsidR="00D55713">
        <w:rPr>
          <w:rFonts w:cs="Times New Roman"/>
          <w:sz w:val="24"/>
          <w:szCs w:val="24"/>
        </w:rPr>
        <w:t xml:space="preserve"> </w:t>
      </w:r>
      <w:r w:rsidR="00502D69" w:rsidRPr="008A1070">
        <w:rPr>
          <w:rFonts w:cs="Times New Roman"/>
          <w:sz w:val="24"/>
          <w:szCs w:val="24"/>
        </w:rPr>
        <w:t xml:space="preserve">factual assessment on the evidence adduced that, although the claimant will need medical care in </w:t>
      </w:r>
      <w:r w:rsidR="00960931" w:rsidRPr="008A1070">
        <w:rPr>
          <w:rFonts w:cs="Times New Roman"/>
          <w:sz w:val="24"/>
          <w:szCs w:val="24"/>
        </w:rPr>
        <w:t>future, it has not been proved on a balance of probabilities that this entails a loss in the sense that the claimant’s patrimony after the delict is less than it would have been had the delict never occurred</w:t>
      </w:r>
      <w:r w:rsidR="008A1070" w:rsidRPr="008A1070">
        <w:rPr>
          <w:rFonts w:cs="Times New Roman"/>
          <w:sz w:val="24"/>
          <w:szCs w:val="24"/>
        </w:rPr>
        <w:t>. It is not the mere injury and its future consequences that justify an award of damages, but the actual diminution in the claimant’s patrimony”</w:t>
      </w:r>
      <w:r w:rsidR="000A4049">
        <w:rPr>
          <w:rFonts w:cs="Times New Roman"/>
          <w:sz w:val="24"/>
          <w:szCs w:val="24"/>
        </w:rPr>
        <w:t>.</w:t>
      </w:r>
      <w:r w:rsidR="000A4049">
        <w:rPr>
          <w:rStyle w:val="FootnoteReference"/>
          <w:rFonts w:cs="Times New Roman"/>
          <w:sz w:val="24"/>
          <w:szCs w:val="24"/>
        </w:rPr>
        <w:footnoteReference w:id="31"/>
      </w:r>
    </w:p>
    <w:p w:rsidR="00DD3FA8" w:rsidRDefault="00DD3FA8" w:rsidP="00DD3FA8">
      <w:pPr>
        <w:spacing w:line="240" w:lineRule="auto"/>
        <w:ind w:left="720" w:right="737"/>
        <w:rPr>
          <w:rFonts w:cs="Times New Roman"/>
          <w:sz w:val="24"/>
          <w:szCs w:val="24"/>
        </w:rPr>
      </w:pPr>
    </w:p>
    <w:p w:rsidR="00D677BC" w:rsidRDefault="0097553D" w:rsidP="00D677BC">
      <w:pPr>
        <w:rPr>
          <w:rFonts w:cs="Times New Roman"/>
          <w:szCs w:val="28"/>
        </w:rPr>
      </w:pPr>
      <w:r>
        <w:rPr>
          <w:rFonts w:cs="Times New Roman"/>
          <w:szCs w:val="28"/>
        </w:rPr>
        <w:t>[106</w:t>
      </w:r>
      <w:r w:rsidR="003D796B">
        <w:rPr>
          <w:rFonts w:cs="Times New Roman"/>
          <w:szCs w:val="28"/>
        </w:rPr>
        <w:t>]</w:t>
      </w:r>
      <w:r w:rsidR="003D796B">
        <w:rPr>
          <w:rFonts w:cs="Times New Roman"/>
          <w:szCs w:val="28"/>
        </w:rPr>
        <w:tab/>
      </w:r>
      <w:r w:rsidR="00A64F66">
        <w:rPr>
          <w:rFonts w:cs="Times New Roman"/>
          <w:szCs w:val="28"/>
        </w:rPr>
        <w:t>The court referred to this as the “mitigation of damages defence”.</w:t>
      </w:r>
      <w:r w:rsidR="0081147D">
        <w:rPr>
          <w:rFonts w:cs="Times New Roman"/>
          <w:szCs w:val="28"/>
        </w:rPr>
        <w:t xml:space="preserve"> The defendant in this matter argued that whilst it does not rely on</w:t>
      </w:r>
      <w:r w:rsidR="00F815A8">
        <w:rPr>
          <w:rFonts w:cs="Times New Roman"/>
          <w:szCs w:val="28"/>
        </w:rPr>
        <w:t xml:space="preserve"> this defence, it is important to recognize its existence and ambit because this demonstrat</w:t>
      </w:r>
      <w:r w:rsidR="00445498">
        <w:rPr>
          <w:rFonts w:cs="Times New Roman"/>
          <w:szCs w:val="28"/>
        </w:rPr>
        <w:t>es</w:t>
      </w:r>
      <w:r w:rsidR="00F815A8">
        <w:rPr>
          <w:rFonts w:cs="Times New Roman"/>
          <w:szCs w:val="28"/>
        </w:rPr>
        <w:t xml:space="preserve"> that the development of the common</w:t>
      </w:r>
      <w:r w:rsidR="0003617C">
        <w:rPr>
          <w:rFonts w:cs="Times New Roman"/>
          <w:szCs w:val="28"/>
        </w:rPr>
        <w:t xml:space="preserve"> </w:t>
      </w:r>
      <w:r w:rsidR="00F815A8">
        <w:rPr>
          <w:rFonts w:cs="Times New Roman"/>
          <w:szCs w:val="28"/>
        </w:rPr>
        <w:t>law sought by the defendant</w:t>
      </w:r>
      <w:r w:rsidR="0003617C">
        <w:rPr>
          <w:rFonts w:cs="Times New Roman"/>
          <w:szCs w:val="28"/>
        </w:rPr>
        <w:t xml:space="preserve"> is</w:t>
      </w:r>
      <w:r w:rsidR="00F815A8">
        <w:rPr>
          <w:rFonts w:cs="Times New Roman"/>
          <w:szCs w:val="28"/>
        </w:rPr>
        <w:t xml:space="preserve"> incremental, and not radical.</w:t>
      </w:r>
      <w:r w:rsidR="007D1ADF">
        <w:rPr>
          <w:rFonts w:cs="Times New Roman"/>
          <w:szCs w:val="28"/>
        </w:rPr>
        <w:t xml:space="preserve"> </w:t>
      </w:r>
      <w:proofErr w:type="spellStart"/>
      <w:r w:rsidR="007D1ADF" w:rsidRPr="00007FBF">
        <w:rPr>
          <w:rFonts w:cs="Times New Roman"/>
          <w:i/>
          <w:iCs/>
          <w:szCs w:val="28"/>
        </w:rPr>
        <w:t>Ngubane</w:t>
      </w:r>
      <w:proofErr w:type="spellEnd"/>
      <w:r w:rsidR="00FA6264">
        <w:rPr>
          <w:rFonts w:cs="Times New Roman"/>
          <w:szCs w:val="28"/>
        </w:rPr>
        <w:t xml:space="preserve"> itself</w:t>
      </w:r>
      <w:r w:rsidR="007D1ADF">
        <w:rPr>
          <w:rFonts w:cs="Times New Roman"/>
          <w:szCs w:val="28"/>
        </w:rPr>
        <w:t xml:space="preserve"> represented an incremental development</w:t>
      </w:r>
      <w:r w:rsidR="00FA6264">
        <w:rPr>
          <w:rFonts w:cs="Times New Roman"/>
          <w:szCs w:val="28"/>
        </w:rPr>
        <w:t xml:space="preserve"> of the common law</w:t>
      </w:r>
      <w:r w:rsidR="00445498">
        <w:rPr>
          <w:rFonts w:cs="Times New Roman"/>
          <w:szCs w:val="28"/>
        </w:rPr>
        <w:t>. The common</w:t>
      </w:r>
      <w:r w:rsidR="00007FBF">
        <w:rPr>
          <w:rFonts w:cs="Times New Roman"/>
          <w:szCs w:val="28"/>
        </w:rPr>
        <w:t xml:space="preserve"> </w:t>
      </w:r>
      <w:r w:rsidR="00445498">
        <w:rPr>
          <w:rFonts w:cs="Times New Roman"/>
          <w:szCs w:val="28"/>
        </w:rPr>
        <w:t xml:space="preserve">law position before </w:t>
      </w:r>
      <w:proofErr w:type="spellStart"/>
      <w:r w:rsidR="00445498" w:rsidRPr="00445498">
        <w:rPr>
          <w:rFonts w:cs="Times New Roman"/>
          <w:i/>
          <w:iCs/>
          <w:szCs w:val="28"/>
        </w:rPr>
        <w:t>Ngubane</w:t>
      </w:r>
      <w:proofErr w:type="spellEnd"/>
      <w:r w:rsidR="00445498">
        <w:rPr>
          <w:rFonts w:cs="Times New Roman"/>
          <w:szCs w:val="28"/>
        </w:rPr>
        <w:t xml:space="preserve"> was as stated in </w:t>
      </w:r>
      <w:r w:rsidR="00445498" w:rsidRPr="00445498">
        <w:rPr>
          <w:rFonts w:cs="Times New Roman"/>
          <w:i/>
          <w:iCs/>
          <w:szCs w:val="28"/>
        </w:rPr>
        <w:t>Williams</w:t>
      </w:r>
      <w:r w:rsidR="00FA6264">
        <w:rPr>
          <w:rStyle w:val="FootnoteReference"/>
          <w:rFonts w:cs="Times New Roman"/>
          <w:szCs w:val="28"/>
        </w:rPr>
        <w:footnoteReference w:id="32"/>
      </w:r>
      <w:r w:rsidR="005A6A98">
        <w:rPr>
          <w:rFonts w:cs="Times New Roman"/>
          <w:szCs w:val="28"/>
        </w:rPr>
        <w:t>,</w:t>
      </w:r>
      <w:r w:rsidR="00445498">
        <w:rPr>
          <w:rFonts w:cs="Times New Roman"/>
          <w:szCs w:val="28"/>
        </w:rPr>
        <w:t xml:space="preserve"> that there is no authority </w:t>
      </w:r>
      <w:r w:rsidR="000B0216">
        <w:rPr>
          <w:rFonts w:cs="Times New Roman"/>
          <w:szCs w:val="28"/>
        </w:rPr>
        <w:t>for the proposition that</w:t>
      </w:r>
      <w:r w:rsidR="00445498">
        <w:rPr>
          <w:rFonts w:cs="Times New Roman"/>
          <w:szCs w:val="28"/>
        </w:rPr>
        <w:t xml:space="preserve"> “where a potential patient demands provision for future medical </w:t>
      </w:r>
      <w:r w:rsidR="007C2AB5">
        <w:rPr>
          <w:rFonts w:cs="Times New Roman"/>
          <w:szCs w:val="28"/>
        </w:rPr>
        <w:t>treatment</w:t>
      </w:r>
      <w:r w:rsidR="00445498">
        <w:rPr>
          <w:rFonts w:cs="Times New Roman"/>
          <w:szCs w:val="28"/>
        </w:rPr>
        <w:t xml:space="preserve"> he is entitled to be awarded the cost of a private clinic in preference to the cost of a public </w:t>
      </w:r>
      <w:r w:rsidR="00445498" w:rsidRPr="009F2A06">
        <w:rPr>
          <w:rFonts w:cs="Times New Roman"/>
          <w:color w:val="000000" w:themeColor="text1"/>
          <w:szCs w:val="28"/>
        </w:rPr>
        <w:t>hospital”</w:t>
      </w:r>
      <w:r w:rsidR="0031042D" w:rsidRPr="009F2A06">
        <w:rPr>
          <w:rFonts w:cs="Times New Roman"/>
          <w:color w:val="000000" w:themeColor="text1"/>
          <w:szCs w:val="28"/>
        </w:rPr>
        <w:t>.</w:t>
      </w:r>
      <w:r w:rsidR="00445498" w:rsidRPr="009F2A06">
        <w:rPr>
          <w:rStyle w:val="FootnoteReference"/>
          <w:rFonts w:cs="Times New Roman"/>
          <w:color w:val="000000" w:themeColor="text1"/>
          <w:szCs w:val="28"/>
        </w:rPr>
        <w:footnoteReference w:id="33"/>
      </w:r>
    </w:p>
    <w:p w:rsidR="00EA1E74" w:rsidRPr="00EA1E74" w:rsidRDefault="00EA1E74" w:rsidP="00D677BC">
      <w:pPr>
        <w:rPr>
          <w:rFonts w:cs="Times New Roman"/>
          <w:b/>
          <w:bCs/>
          <w:i/>
          <w:iCs/>
          <w:szCs w:val="28"/>
        </w:rPr>
      </w:pPr>
    </w:p>
    <w:p w:rsidR="00EA1E74" w:rsidRDefault="00EA1E74" w:rsidP="00D677BC">
      <w:pPr>
        <w:rPr>
          <w:rFonts w:cs="Times New Roman"/>
          <w:b/>
          <w:bCs/>
          <w:i/>
          <w:iCs/>
          <w:szCs w:val="28"/>
        </w:rPr>
      </w:pPr>
      <w:bookmarkStart w:id="6" w:name="_Hlk125637515"/>
      <w:r w:rsidRPr="00EA1E74">
        <w:rPr>
          <w:rFonts w:cs="Times New Roman"/>
          <w:b/>
          <w:bCs/>
          <w:i/>
          <w:iCs/>
          <w:szCs w:val="28"/>
        </w:rPr>
        <w:t>Authority for the development of the common law</w:t>
      </w:r>
    </w:p>
    <w:bookmarkEnd w:id="6"/>
    <w:p w:rsidR="00EA1E74" w:rsidRDefault="0097553D" w:rsidP="00D677BC">
      <w:pPr>
        <w:rPr>
          <w:rFonts w:cs="Times New Roman"/>
          <w:szCs w:val="28"/>
        </w:rPr>
      </w:pPr>
      <w:r>
        <w:rPr>
          <w:rFonts w:cs="Times New Roman"/>
          <w:szCs w:val="28"/>
        </w:rPr>
        <w:t>[107</w:t>
      </w:r>
      <w:r w:rsidR="003D796B">
        <w:rPr>
          <w:rFonts w:cs="Times New Roman"/>
          <w:szCs w:val="28"/>
        </w:rPr>
        <w:t>]</w:t>
      </w:r>
      <w:r w:rsidR="003D796B">
        <w:rPr>
          <w:rFonts w:cs="Times New Roman"/>
          <w:szCs w:val="28"/>
        </w:rPr>
        <w:tab/>
      </w:r>
      <w:r w:rsidR="0048554B">
        <w:rPr>
          <w:rFonts w:cs="Times New Roman"/>
          <w:szCs w:val="28"/>
        </w:rPr>
        <w:t xml:space="preserve">As foreshadowed earlier in this judgment, it is </w:t>
      </w:r>
      <w:r w:rsidR="0048554B" w:rsidRPr="00007FBF">
        <w:rPr>
          <w:rFonts w:cs="Times New Roman"/>
          <w:i/>
          <w:iCs/>
          <w:szCs w:val="28"/>
        </w:rPr>
        <w:t>DZ</w:t>
      </w:r>
      <w:r w:rsidR="0048554B">
        <w:rPr>
          <w:rFonts w:cs="Times New Roman"/>
          <w:szCs w:val="28"/>
        </w:rPr>
        <w:t xml:space="preserve"> which open</w:t>
      </w:r>
      <w:r w:rsidR="00007FBF">
        <w:rPr>
          <w:rFonts w:cs="Times New Roman"/>
          <w:szCs w:val="28"/>
        </w:rPr>
        <w:t>ed</w:t>
      </w:r>
      <w:r w:rsidR="0048554B">
        <w:rPr>
          <w:rFonts w:cs="Times New Roman"/>
          <w:szCs w:val="28"/>
        </w:rPr>
        <w:t xml:space="preserve"> the door for the possible introduction of the constitutional defences pleaded in this case. The majority found, </w:t>
      </w:r>
      <w:r w:rsidR="0048554B" w:rsidRPr="005A6A98">
        <w:rPr>
          <w:rFonts w:cs="Times New Roman"/>
          <w:i/>
          <w:iCs/>
          <w:szCs w:val="28"/>
        </w:rPr>
        <w:t>obiter</w:t>
      </w:r>
      <w:r w:rsidR="0048554B">
        <w:rPr>
          <w:rFonts w:cs="Times New Roman"/>
          <w:szCs w:val="28"/>
        </w:rPr>
        <w:t>, that the way was open for such defences but that it could not entertain them as the foundational evidence in support thereof had not been placed before it. It however explored the scope for the development of the common law in this regard.</w:t>
      </w:r>
    </w:p>
    <w:p w:rsidR="0048554B" w:rsidRDefault="0048554B" w:rsidP="00D677BC">
      <w:pPr>
        <w:rPr>
          <w:rFonts w:cs="Times New Roman"/>
          <w:szCs w:val="28"/>
        </w:rPr>
      </w:pPr>
    </w:p>
    <w:p w:rsidR="0048554B" w:rsidRPr="0031042D" w:rsidRDefault="0097553D" w:rsidP="0031042D">
      <w:pPr>
        <w:rPr>
          <w:rFonts w:cs="Times New Roman"/>
          <w:szCs w:val="28"/>
        </w:rPr>
      </w:pPr>
      <w:r w:rsidRPr="0031042D">
        <w:rPr>
          <w:rFonts w:cs="Times New Roman"/>
          <w:szCs w:val="28"/>
        </w:rPr>
        <w:lastRenderedPageBreak/>
        <w:t>[108</w:t>
      </w:r>
      <w:r w:rsidR="003D796B" w:rsidRPr="0031042D">
        <w:rPr>
          <w:rFonts w:cs="Times New Roman"/>
          <w:szCs w:val="28"/>
        </w:rPr>
        <w:t>]</w:t>
      </w:r>
      <w:r w:rsidR="003D796B" w:rsidRPr="0031042D">
        <w:rPr>
          <w:rFonts w:cs="Times New Roman"/>
          <w:szCs w:val="28"/>
        </w:rPr>
        <w:tab/>
      </w:r>
      <w:r w:rsidR="0048554B" w:rsidRPr="0031042D">
        <w:rPr>
          <w:rFonts w:cs="Times New Roman"/>
          <w:szCs w:val="28"/>
        </w:rPr>
        <w:t>In doing so, the Court considered the origins of the once and for all rule and its corollary, that a court is obliged to award damages in a lump sum,</w:t>
      </w:r>
      <w:r w:rsidR="000C1268" w:rsidRPr="0031042D">
        <w:rPr>
          <w:rFonts w:cs="Times New Roman"/>
          <w:szCs w:val="28"/>
        </w:rPr>
        <w:t xml:space="preserve"> and the </w:t>
      </w:r>
      <w:proofErr w:type="spellStart"/>
      <w:r w:rsidR="000C1268" w:rsidRPr="0031042D">
        <w:rPr>
          <w:rFonts w:cs="Times New Roman"/>
          <w:szCs w:val="28"/>
        </w:rPr>
        <w:t>delictual</w:t>
      </w:r>
      <w:proofErr w:type="spellEnd"/>
      <w:r w:rsidR="000C1268" w:rsidRPr="0031042D">
        <w:rPr>
          <w:rFonts w:cs="Times New Roman"/>
          <w:szCs w:val="28"/>
        </w:rPr>
        <w:t xml:space="preserve"> principle that</w:t>
      </w:r>
      <w:r w:rsidR="0048554B" w:rsidRPr="0031042D">
        <w:rPr>
          <w:rFonts w:cs="Times New Roman"/>
          <w:szCs w:val="28"/>
        </w:rPr>
        <w:t xml:space="preserve"> damages sound in money</w:t>
      </w:r>
      <w:r w:rsidR="0031042D" w:rsidRPr="0031042D">
        <w:rPr>
          <w:rFonts w:cs="Times New Roman"/>
          <w:szCs w:val="28"/>
        </w:rPr>
        <w:t>.</w:t>
      </w:r>
      <w:r w:rsidR="0048554B" w:rsidRPr="009F2A06">
        <w:rPr>
          <w:rStyle w:val="FootnoteReference"/>
          <w:rFonts w:cs="Times New Roman"/>
          <w:color w:val="000000" w:themeColor="text1"/>
          <w:szCs w:val="28"/>
        </w:rPr>
        <w:footnoteReference w:id="34"/>
      </w:r>
      <w:r w:rsidR="0048554B" w:rsidRPr="0031042D">
        <w:rPr>
          <w:rFonts w:cs="Times New Roman"/>
          <w:szCs w:val="28"/>
        </w:rPr>
        <w:t xml:space="preserve"> It further found that the common</w:t>
      </w:r>
      <w:r w:rsidR="007F0F9A" w:rsidRPr="0031042D">
        <w:rPr>
          <w:rFonts w:cs="Times New Roman"/>
          <w:szCs w:val="28"/>
        </w:rPr>
        <w:t xml:space="preserve"> </w:t>
      </w:r>
      <w:r w:rsidR="0048554B" w:rsidRPr="0031042D">
        <w:rPr>
          <w:rFonts w:cs="Times New Roman"/>
          <w:szCs w:val="28"/>
        </w:rPr>
        <w:t>law requirement</w:t>
      </w:r>
      <w:r w:rsidR="005A6A98">
        <w:rPr>
          <w:rFonts w:cs="Times New Roman"/>
          <w:szCs w:val="28"/>
        </w:rPr>
        <w:t>,</w:t>
      </w:r>
      <w:r w:rsidR="0048554B" w:rsidRPr="0031042D">
        <w:rPr>
          <w:rFonts w:cs="Times New Roman"/>
          <w:szCs w:val="28"/>
        </w:rPr>
        <w:t xml:space="preserve"> to the effect that damages should</w:t>
      </w:r>
      <w:r w:rsidR="008D7D61" w:rsidRPr="0031042D">
        <w:rPr>
          <w:rFonts w:cs="Times New Roman"/>
          <w:szCs w:val="28"/>
        </w:rPr>
        <w:t xml:space="preserve"> </w:t>
      </w:r>
      <w:r w:rsidR="0048554B" w:rsidRPr="0031042D">
        <w:rPr>
          <w:rFonts w:cs="Times New Roman"/>
          <w:szCs w:val="28"/>
        </w:rPr>
        <w:t>sound in money</w:t>
      </w:r>
      <w:r w:rsidR="005A6A98">
        <w:rPr>
          <w:rFonts w:cs="Times New Roman"/>
          <w:szCs w:val="28"/>
        </w:rPr>
        <w:t>,</w:t>
      </w:r>
      <w:r w:rsidR="0048554B" w:rsidRPr="0031042D">
        <w:rPr>
          <w:rFonts w:cs="Times New Roman"/>
          <w:szCs w:val="28"/>
        </w:rPr>
        <w:t xml:space="preserve"> is not beyond scrutiny and that to “require compensation in money as the ‘measure of all things’</w:t>
      </w:r>
      <w:r w:rsidR="008D7D61" w:rsidRPr="0031042D">
        <w:rPr>
          <w:rFonts w:cs="Times New Roman"/>
          <w:szCs w:val="28"/>
        </w:rPr>
        <w:t xml:space="preserve"> </w:t>
      </w:r>
      <w:r w:rsidR="0048554B" w:rsidRPr="0031042D">
        <w:rPr>
          <w:rFonts w:cs="Times New Roman"/>
          <w:szCs w:val="28"/>
        </w:rPr>
        <w:t>therefore appears to be an evaluative normative choice.”</w:t>
      </w:r>
      <w:r w:rsidR="008D7D61" w:rsidRPr="0031042D">
        <w:rPr>
          <w:rStyle w:val="FootnoteReference"/>
          <w:rFonts w:cs="Times New Roman"/>
          <w:szCs w:val="28"/>
        </w:rPr>
        <w:footnoteReference w:id="35"/>
      </w:r>
      <w:r w:rsidR="00D61703" w:rsidRPr="0031042D">
        <w:rPr>
          <w:rFonts w:cs="Times New Roman"/>
          <w:szCs w:val="28"/>
        </w:rPr>
        <w:t xml:space="preserve"> T</w:t>
      </w:r>
      <w:r w:rsidR="008D7D61" w:rsidRPr="0031042D">
        <w:rPr>
          <w:rFonts w:cs="Times New Roman"/>
          <w:szCs w:val="28"/>
        </w:rPr>
        <w:t>he Court also held that it was “arguable that the fundamental right of everyone to have access to healthcare services and the state’s obligation to realize this right by undertaking reasonable measures introduce factors for consideration that did not exist in the pre-constitutional era.”</w:t>
      </w:r>
      <w:r w:rsidR="008D7D61">
        <w:rPr>
          <w:rStyle w:val="FootnoteReference"/>
          <w:rFonts w:cs="Times New Roman"/>
          <w:szCs w:val="28"/>
        </w:rPr>
        <w:footnoteReference w:id="36"/>
      </w:r>
    </w:p>
    <w:p w:rsidR="008D7D61" w:rsidRDefault="008D7D61" w:rsidP="00D677BC">
      <w:pPr>
        <w:rPr>
          <w:rFonts w:cs="Times New Roman"/>
          <w:szCs w:val="28"/>
        </w:rPr>
      </w:pPr>
    </w:p>
    <w:p w:rsidR="008D7D61" w:rsidRDefault="0097553D" w:rsidP="00D677BC">
      <w:pPr>
        <w:rPr>
          <w:rFonts w:cs="Times New Roman"/>
          <w:szCs w:val="28"/>
        </w:rPr>
      </w:pPr>
      <w:r>
        <w:rPr>
          <w:rFonts w:cs="Times New Roman"/>
          <w:szCs w:val="28"/>
        </w:rPr>
        <w:t>[109</w:t>
      </w:r>
      <w:r w:rsidR="003D796B">
        <w:rPr>
          <w:rFonts w:cs="Times New Roman"/>
          <w:szCs w:val="28"/>
        </w:rPr>
        <w:t>]</w:t>
      </w:r>
      <w:r w:rsidR="003D796B">
        <w:rPr>
          <w:rFonts w:cs="Times New Roman"/>
          <w:szCs w:val="28"/>
        </w:rPr>
        <w:tab/>
      </w:r>
      <w:r w:rsidR="008D7D61">
        <w:rPr>
          <w:rFonts w:cs="Times New Roman"/>
          <w:szCs w:val="28"/>
        </w:rPr>
        <w:t>In dealing with the public healthcare defence, the Constitutional Court said:</w:t>
      </w:r>
    </w:p>
    <w:p w:rsidR="008D7D61" w:rsidRDefault="008D7D61" w:rsidP="00D677BC">
      <w:pPr>
        <w:rPr>
          <w:rFonts w:cs="Times New Roman"/>
          <w:szCs w:val="28"/>
        </w:rPr>
      </w:pPr>
    </w:p>
    <w:p w:rsidR="008D7D61" w:rsidRPr="0072666F" w:rsidRDefault="008D7D61" w:rsidP="0031042D">
      <w:pPr>
        <w:spacing w:line="240" w:lineRule="auto"/>
        <w:ind w:left="630" w:right="386"/>
        <w:rPr>
          <w:sz w:val="24"/>
          <w:szCs w:val="24"/>
        </w:rPr>
      </w:pPr>
      <w:r w:rsidRPr="0072666F">
        <w:rPr>
          <w:rFonts w:cs="Times New Roman"/>
          <w:sz w:val="24"/>
          <w:szCs w:val="24"/>
        </w:rPr>
        <w:t>“</w:t>
      </w:r>
      <w:r w:rsidR="0072666F" w:rsidRPr="0072666F">
        <w:rPr>
          <w:sz w:val="24"/>
          <w:szCs w:val="24"/>
        </w:rPr>
        <w:t>Future medical expenses are awarded in respect of medical</w:t>
      </w:r>
      <w:r w:rsidR="0072666F">
        <w:rPr>
          <w:sz w:val="24"/>
          <w:szCs w:val="24"/>
        </w:rPr>
        <w:t xml:space="preserve"> </w:t>
      </w:r>
      <w:r w:rsidR="0072666F" w:rsidRPr="0072666F">
        <w:rPr>
          <w:sz w:val="24"/>
          <w:szCs w:val="24"/>
        </w:rPr>
        <w:t>services that the victim may need in the future, which would have been unnecessary had there been no delict. In principle the actual rendering of these services would fulfil the twofold purpose of redressing damage and compensating the victim…</w:t>
      </w:r>
    </w:p>
    <w:p w:rsidR="0072666F" w:rsidRPr="0031042D" w:rsidRDefault="0072666F" w:rsidP="0031042D">
      <w:pPr>
        <w:spacing w:line="240" w:lineRule="auto"/>
        <w:ind w:left="630" w:right="386"/>
        <w:rPr>
          <w:rFonts w:cs="Times New Roman"/>
          <w:color w:val="FF0000"/>
          <w:sz w:val="24"/>
          <w:szCs w:val="24"/>
        </w:rPr>
      </w:pPr>
      <w:r w:rsidRPr="0072666F">
        <w:rPr>
          <w:sz w:val="24"/>
          <w:szCs w:val="24"/>
        </w:rPr>
        <w:t>In logic and principle compensation in a form other than money does not appear to be incompatible with the aim of making good 'the difference between the actual position that obtains as a result of the delict, and the hypothetical position that would have obtained had there been no delict</w:t>
      </w:r>
      <w:r w:rsidR="00172C5E">
        <w:rPr>
          <w:sz w:val="24"/>
          <w:szCs w:val="24"/>
        </w:rPr>
        <w:t>.</w:t>
      </w:r>
      <w:r w:rsidRPr="0072666F">
        <w:rPr>
          <w:sz w:val="24"/>
          <w:szCs w:val="24"/>
        </w:rPr>
        <w:t>'”</w:t>
      </w:r>
      <w:r w:rsidR="0031042D">
        <w:rPr>
          <w:sz w:val="24"/>
          <w:szCs w:val="24"/>
        </w:rPr>
        <w:t xml:space="preserve"> </w:t>
      </w:r>
      <w:r w:rsidR="0031042D" w:rsidRPr="009F2A06">
        <w:rPr>
          <w:color w:val="000000" w:themeColor="text1"/>
          <w:sz w:val="24"/>
          <w:szCs w:val="24"/>
        </w:rPr>
        <w:t>[Footnote omitted.]</w:t>
      </w:r>
    </w:p>
    <w:p w:rsidR="0048554B" w:rsidRDefault="0048554B" w:rsidP="00D677BC">
      <w:pPr>
        <w:rPr>
          <w:rFonts w:cs="Times New Roman"/>
          <w:szCs w:val="28"/>
        </w:rPr>
      </w:pPr>
    </w:p>
    <w:p w:rsidR="0048554B" w:rsidRDefault="0097553D" w:rsidP="00D677BC">
      <w:pPr>
        <w:rPr>
          <w:rFonts w:cs="Times New Roman"/>
          <w:szCs w:val="28"/>
        </w:rPr>
      </w:pPr>
      <w:r>
        <w:rPr>
          <w:rFonts w:cs="Times New Roman"/>
          <w:szCs w:val="28"/>
        </w:rPr>
        <w:t>[110</w:t>
      </w:r>
      <w:r w:rsidR="003D796B">
        <w:rPr>
          <w:rFonts w:cs="Times New Roman"/>
          <w:szCs w:val="28"/>
        </w:rPr>
        <w:t>]</w:t>
      </w:r>
      <w:r w:rsidR="003D796B">
        <w:rPr>
          <w:rFonts w:cs="Times New Roman"/>
          <w:szCs w:val="28"/>
        </w:rPr>
        <w:tab/>
      </w:r>
      <w:r w:rsidR="0072666F">
        <w:rPr>
          <w:rFonts w:cs="Times New Roman"/>
          <w:szCs w:val="28"/>
        </w:rPr>
        <w:t>The Court further pointed out that the lump sum and once and for all rules are similarly not beyond scrutiny and added:</w:t>
      </w:r>
    </w:p>
    <w:p w:rsidR="0072666F" w:rsidRDefault="0072666F" w:rsidP="00D677BC">
      <w:pPr>
        <w:rPr>
          <w:rFonts w:cs="Times New Roman"/>
          <w:szCs w:val="28"/>
        </w:rPr>
      </w:pPr>
    </w:p>
    <w:p w:rsidR="0072666F" w:rsidRPr="0072666F" w:rsidRDefault="0072666F" w:rsidP="0031042D">
      <w:pPr>
        <w:spacing w:line="240" w:lineRule="auto"/>
        <w:ind w:left="540" w:right="296"/>
        <w:rPr>
          <w:sz w:val="24"/>
          <w:szCs w:val="24"/>
        </w:rPr>
      </w:pPr>
      <w:r w:rsidRPr="0072666F">
        <w:rPr>
          <w:rFonts w:cs="Times New Roman"/>
          <w:sz w:val="24"/>
          <w:szCs w:val="24"/>
        </w:rPr>
        <w:lastRenderedPageBreak/>
        <w:t>“</w:t>
      </w:r>
      <w:r w:rsidRPr="0072666F">
        <w:rPr>
          <w:sz w:val="24"/>
          <w:szCs w:val="24"/>
        </w:rPr>
        <w:t xml:space="preserve">As Nicholas JA pointed out in </w:t>
      </w:r>
      <w:r w:rsidRPr="0072666F">
        <w:rPr>
          <w:i/>
          <w:iCs/>
          <w:sz w:val="24"/>
          <w:szCs w:val="24"/>
        </w:rPr>
        <w:t>Southern Insurance Association</w:t>
      </w:r>
      <w:r w:rsidRPr="0072666F">
        <w:rPr>
          <w:sz w:val="24"/>
          <w:szCs w:val="24"/>
        </w:rPr>
        <w:t>, the enquiry into damages for future loss is</w:t>
      </w:r>
      <w:r w:rsidR="002526A6">
        <w:rPr>
          <w:sz w:val="24"/>
          <w:szCs w:val="24"/>
        </w:rPr>
        <w:t>-</w:t>
      </w:r>
    </w:p>
    <w:p w:rsidR="0072666F" w:rsidRPr="0072666F" w:rsidRDefault="0072666F" w:rsidP="0031042D">
      <w:pPr>
        <w:spacing w:line="240" w:lineRule="auto"/>
        <w:ind w:left="540" w:right="296"/>
        <w:rPr>
          <w:sz w:val="24"/>
          <w:szCs w:val="24"/>
        </w:rPr>
      </w:pPr>
      <w:r w:rsidRPr="0072666F">
        <w:rPr>
          <w:sz w:val="24"/>
          <w:szCs w:val="24"/>
        </w:rPr>
        <w:t xml:space="preserve">'of its nature speculative, because it involves a prediction as to the future, without the benefit of crystal balls, soothsayers, augurs or oracles. All that the Court can do is to make an estimate, which is often a very rough estimate, of the present value of the loss.' </w:t>
      </w:r>
      <w:bookmarkStart w:id="7" w:name="0-0-0-113075"/>
      <w:bookmarkEnd w:id="7"/>
    </w:p>
    <w:p w:rsidR="0072666F" w:rsidRPr="0072666F" w:rsidRDefault="0072666F" w:rsidP="0031042D">
      <w:pPr>
        <w:spacing w:line="240" w:lineRule="auto"/>
        <w:ind w:left="540" w:right="296"/>
        <w:rPr>
          <w:sz w:val="24"/>
          <w:szCs w:val="24"/>
        </w:rPr>
      </w:pPr>
      <w:r w:rsidRPr="0072666F">
        <w:rPr>
          <w:sz w:val="24"/>
          <w:szCs w:val="24"/>
        </w:rPr>
        <w:t>Professor Fleming calls these shortcomings 'lamentable beyond imagination':</w:t>
      </w:r>
    </w:p>
    <w:p w:rsidR="0072666F" w:rsidRPr="0072666F" w:rsidRDefault="0072666F" w:rsidP="0031042D">
      <w:pPr>
        <w:spacing w:line="240" w:lineRule="auto"/>
        <w:ind w:left="540" w:right="296"/>
        <w:rPr>
          <w:sz w:val="24"/>
          <w:szCs w:val="24"/>
        </w:rPr>
      </w:pPr>
      <w:r w:rsidRPr="0072666F">
        <w:rPr>
          <w:sz w:val="24"/>
          <w:szCs w:val="24"/>
        </w:rPr>
        <w:t xml:space="preserve">'It would be bad enough if the choice were between guessing either right </w:t>
      </w:r>
      <w:r w:rsidRPr="0072666F">
        <w:rPr>
          <w:i/>
          <w:iCs/>
          <w:sz w:val="24"/>
          <w:szCs w:val="24"/>
        </w:rPr>
        <w:t>or</w:t>
      </w:r>
      <w:r w:rsidRPr="0072666F">
        <w:rPr>
          <w:sz w:val="24"/>
          <w:szCs w:val="24"/>
        </w:rPr>
        <w:t xml:space="preserve"> wrong: but our methods virtually assure that the choice </w:t>
      </w:r>
      <w:r w:rsidRPr="0072666F">
        <w:rPr>
          <w:i/>
          <w:iCs/>
          <w:sz w:val="24"/>
          <w:szCs w:val="24"/>
        </w:rPr>
        <w:t>must</w:t>
      </w:r>
      <w:r w:rsidRPr="0072666F">
        <w:rPr>
          <w:sz w:val="24"/>
          <w:szCs w:val="24"/>
        </w:rPr>
        <w:t xml:space="preserve"> turn out wrong. For the accredited approach is to compromise, that is, neither to award the whole amount nor yet to refuse all, but instead to assess and </w:t>
      </w:r>
      <w:r w:rsidRPr="0072666F">
        <w:rPr>
          <w:i/>
          <w:iCs/>
          <w:sz w:val="24"/>
          <w:szCs w:val="24"/>
        </w:rPr>
        <w:t>award the value of the chance</w:t>
      </w:r>
      <w:r w:rsidRPr="0072666F">
        <w:rPr>
          <w:sz w:val="24"/>
          <w:szCs w:val="24"/>
        </w:rPr>
        <w:t>.'</w:t>
      </w:r>
      <w:r>
        <w:rPr>
          <w:sz w:val="24"/>
          <w:szCs w:val="24"/>
        </w:rPr>
        <w:t>”</w:t>
      </w:r>
      <w:r w:rsidR="00010E6D">
        <w:rPr>
          <w:rStyle w:val="FootnoteReference"/>
          <w:sz w:val="24"/>
          <w:szCs w:val="24"/>
        </w:rPr>
        <w:footnoteReference w:id="37"/>
      </w:r>
    </w:p>
    <w:p w:rsidR="0072666F" w:rsidRPr="0072666F" w:rsidRDefault="0072666F" w:rsidP="0072666F">
      <w:pPr>
        <w:spacing w:line="240" w:lineRule="auto"/>
        <w:ind w:right="737"/>
        <w:rPr>
          <w:rFonts w:cs="Times New Roman"/>
          <w:sz w:val="24"/>
          <w:szCs w:val="24"/>
        </w:rPr>
      </w:pPr>
    </w:p>
    <w:p w:rsidR="00010E6D" w:rsidRDefault="0097553D" w:rsidP="00D677BC">
      <w:pPr>
        <w:rPr>
          <w:rFonts w:cs="Times New Roman"/>
          <w:szCs w:val="28"/>
        </w:rPr>
      </w:pPr>
      <w:r>
        <w:rPr>
          <w:rFonts w:cs="Times New Roman"/>
          <w:szCs w:val="28"/>
        </w:rPr>
        <w:t>[111</w:t>
      </w:r>
      <w:r w:rsidR="003D796B">
        <w:rPr>
          <w:rFonts w:cs="Times New Roman"/>
          <w:szCs w:val="28"/>
        </w:rPr>
        <w:t>]</w:t>
      </w:r>
      <w:r w:rsidR="003D796B">
        <w:rPr>
          <w:rFonts w:cs="Times New Roman"/>
          <w:szCs w:val="28"/>
        </w:rPr>
        <w:tab/>
      </w:r>
      <w:r w:rsidR="00010E6D">
        <w:rPr>
          <w:rFonts w:cs="Times New Roman"/>
          <w:szCs w:val="28"/>
        </w:rPr>
        <w:t>In dealing with the undertaking to pay defence the Constitutional Court likewise indic</w:t>
      </w:r>
      <w:r w:rsidR="00AE40C5">
        <w:rPr>
          <w:rFonts w:cs="Times New Roman"/>
          <w:szCs w:val="28"/>
        </w:rPr>
        <w:t xml:space="preserve">ated that there is room for </w:t>
      </w:r>
      <w:r w:rsidR="00010E6D">
        <w:rPr>
          <w:rFonts w:cs="Times New Roman"/>
          <w:szCs w:val="28"/>
        </w:rPr>
        <w:t>development of the common law as follows:</w:t>
      </w:r>
    </w:p>
    <w:p w:rsidR="00433494" w:rsidRDefault="00433494" w:rsidP="00D677BC">
      <w:pPr>
        <w:rPr>
          <w:rFonts w:cs="Times New Roman"/>
          <w:szCs w:val="28"/>
        </w:rPr>
      </w:pPr>
    </w:p>
    <w:p w:rsidR="00010E6D" w:rsidRPr="00010E6D" w:rsidRDefault="00010E6D" w:rsidP="00052B4B">
      <w:pPr>
        <w:spacing w:line="240" w:lineRule="auto"/>
        <w:ind w:left="630" w:right="386"/>
        <w:rPr>
          <w:sz w:val="24"/>
          <w:szCs w:val="24"/>
        </w:rPr>
      </w:pPr>
      <w:r w:rsidRPr="00010E6D">
        <w:rPr>
          <w:rFonts w:cs="Times New Roman"/>
          <w:sz w:val="24"/>
          <w:szCs w:val="24"/>
        </w:rPr>
        <w:t>“</w:t>
      </w:r>
      <w:r w:rsidRPr="00010E6D">
        <w:rPr>
          <w:sz w:val="24"/>
          <w:szCs w:val="24"/>
        </w:rPr>
        <w:t>Although the 'once and for all' rule, with its bias towards individualism and the free market, cannot be said to be in conflict with our constitutional value system, it can also not be said that the periodic payment or rent system is out of sync with the high value the Constitution ascribes to socioeconomic rights. There is no obvious choice at this highest level of justification. What appears to be called for is an accommodation between the two. Is that possible?...</w:t>
      </w:r>
    </w:p>
    <w:p w:rsidR="00010E6D" w:rsidRPr="00010E6D" w:rsidRDefault="00010E6D" w:rsidP="00052B4B">
      <w:pPr>
        <w:spacing w:line="240" w:lineRule="auto"/>
        <w:ind w:left="630" w:right="386"/>
        <w:rPr>
          <w:sz w:val="24"/>
          <w:szCs w:val="24"/>
        </w:rPr>
      </w:pPr>
    </w:p>
    <w:p w:rsidR="00010E6D" w:rsidRPr="00010E6D" w:rsidRDefault="00010E6D" w:rsidP="00052B4B">
      <w:pPr>
        <w:spacing w:line="240" w:lineRule="auto"/>
        <w:ind w:left="630" w:right="386"/>
        <w:rPr>
          <w:sz w:val="24"/>
          <w:szCs w:val="24"/>
        </w:rPr>
      </w:pPr>
      <w:r w:rsidRPr="00010E6D">
        <w:rPr>
          <w:sz w:val="24"/>
          <w:szCs w:val="24"/>
        </w:rPr>
        <w:t xml:space="preserve">If the only choice open to us was at this </w:t>
      </w:r>
      <w:proofErr w:type="gramStart"/>
      <w:r w:rsidRPr="00010E6D">
        <w:rPr>
          <w:sz w:val="24"/>
          <w:szCs w:val="24"/>
        </w:rPr>
        <w:t>level</w:t>
      </w:r>
      <w:proofErr w:type="gramEnd"/>
      <w:r w:rsidRPr="00010E6D">
        <w:rPr>
          <w:sz w:val="24"/>
          <w:szCs w:val="24"/>
        </w:rPr>
        <w:t xml:space="preserve"> then it would probably be better to leave reform to the legislature. But this may not be so. Resolution of the dilemma may lie in leaving the choice at the level of each individual case, depending on which form of payment will best meet its particular circumstances…</w:t>
      </w:r>
    </w:p>
    <w:p w:rsidR="00010E6D" w:rsidRPr="00010E6D" w:rsidRDefault="00010E6D" w:rsidP="00052B4B">
      <w:pPr>
        <w:spacing w:line="240" w:lineRule="auto"/>
        <w:ind w:left="630" w:right="386"/>
        <w:rPr>
          <w:sz w:val="24"/>
          <w:szCs w:val="24"/>
        </w:rPr>
      </w:pPr>
    </w:p>
    <w:p w:rsidR="00010E6D" w:rsidRPr="00052B4B" w:rsidRDefault="00010E6D" w:rsidP="00052B4B">
      <w:pPr>
        <w:spacing w:line="240" w:lineRule="auto"/>
        <w:ind w:left="630" w:right="386"/>
        <w:rPr>
          <w:color w:val="FF0000"/>
          <w:sz w:val="24"/>
          <w:szCs w:val="24"/>
        </w:rPr>
      </w:pPr>
      <w:r w:rsidRPr="00010E6D">
        <w:rPr>
          <w:sz w:val="24"/>
          <w:szCs w:val="24"/>
        </w:rPr>
        <w:t>We must remind ourselves again of the context in which the</w:t>
      </w:r>
      <w:r w:rsidRPr="00010E6D">
        <w:rPr>
          <w:rStyle w:val="mc"/>
          <w:sz w:val="24"/>
          <w:szCs w:val="24"/>
        </w:rPr>
        <w:t xml:space="preserve"> </w:t>
      </w:r>
      <w:r w:rsidRPr="00010E6D">
        <w:rPr>
          <w:sz w:val="24"/>
          <w:szCs w:val="24"/>
        </w:rPr>
        <w:t xml:space="preserve">argument for development of the common law is made here. We are not called upon to decide the fate of the 'once and for all' rule in all personal injury cases arising from medical negligence. The most important future imponderable is the ultimate one: death. Periodic payments subject to a 'top-up/claw-back' will give less speculative expression to the general principle of compensation for loss. And the likelihood of a dependant's claim, </w:t>
      </w:r>
      <w:r w:rsidRPr="009F2A06">
        <w:rPr>
          <w:color w:val="000000" w:themeColor="text1"/>
          <w:sz w:val="24"/>
          <w:szCs w:val="24"/>
        </w:rPr>
        <w:t xml:space="preserve">which might present problems in other cases, </w:t>
      </w:r>
      <w:bookmarkStart w:id="8" w:name="0-0-0-113095"/>
      <w:bookmarkEnd w:id="8"/>
      <w:r w:rsidRPr="009F2A06">
        <w:rPr>
          <w:color w:val="000000" w:themeColor="text1"/>
          <w:sz w:val="24"/>
          <w:szCs w:val="24"/>
        </w:rPr>
        <w:t>is less, if not entirely absent, here</w:t>
      </w:r>
      <w:r w:rsidR="00052B4B" w:rsidRPr="009F2A06">
        <w:rPr>
          <w:color w:val="000000" w:themeColor="text1"/>
          <w:sz w:val="24"/>
          <w:szCs w:val="24"/>
        </w:rPr>
        <w:t>”</w:t>
      </w:r>
      <w:r w:rsidRPr="009F2A06">
        <w:rPr>
          <w:color w:val="000000" w:themeColor="text1"/>
          <w:sz w:val="24"/>
          <w:szCs w:val="24"/>
        </w:rPr>
        <w:t>.</w:t>
      </w:r>
      <w:r w:rsidR="00052B4B" w:rsidRPr="009F2A06">
        <w:rPr>
          <w:color w:val="000000" w:themeColor="text1"/>
          <w:sz w:val="24"/>
          <w:szCs w:val="24"/>
        </w:rPr>
        <w:t xml:space="preserve"> [Footnote omitted.]</w:t>
      </w:r>
    </w:p>
    <w:p w:rsidR="00010E6D" w:rsidRPr="00010E6D" w:rsidRDefault="00010E6D" w:rsidP="00010E6D">
      <w:pPr>
        <w:rPr>
          <w:rFonts w:cs="Times New Roman"/>
          <w:sz w:val="24"/>
          <w:szCs w:val="24"/>
        </w:rPr>
      </w:pPr>
    </w:p>
    <w:p w:rsidR="00010E6D" w:rsidRDefault="0097553D" w:rsidP="00010E6D">
      <w:pPr>
        <w:rPr>
          <w:rFonts w:cs="Times New Roman"/>
          <w:szCs w:val="28"/>
        </w:rPr>
      </w:pPr>
      <w:r>
        <w:rPr>
          <w:rFonts w:cs="Times New Roman"/>
          <w:szCs w:val="28"/>
        </w:rPr>
        <w:lastRenderedPageBreak/>
        <w:t>[112</w:t>
      </w:r>
      <w:r w:rsidR="003D796B">
        <w:rPr>
          <w:rFonts w:cs="Times New Roman"/>
          <w:szCs w:val="28"/>
        </w:rPr>
        <w:t>]</w:t>
      </w:r>
      <w:r w:rsidR="003D796B">
        <w:rPr>
          <w:rFonts w:cs="Times New Roman"/>
          <w:szCs w:val="28"/>
        </w:rPr>
        <w:tab/>
      </w:r>
      <w:r w:rsidR="00010E6D">
        <w:rPr>
          <w:rFonts w:cs="Times New Roman"/>
          <w:szCs w:val="28"/>
        </w:rPr>
        <w:t xml:space="preserve">Having regard to the sentiments expressed by the majority of the Constitutional Court in dealing with the constitutional defences presently before me, I can only but conclude that these </w:t>
      </w:r>
      <w:r w:rsidR="00010E6D" w:rsidRPr="00172C5E">
        <w:rPr>
          <w:rFonts w:cs="Times New Roman"/>
          <w:i/>
          <w:iCs/>
          <w:szCs w:val="28"/>
        </w:rPr>
        <w:t>dicta</w:t>
      </w:r>
      <w:r w:rsidR="00010E6D">
        <w:rPr>
          <w:rFonts w:cs="Times New Roman"/>
          <w:szCs w:val="28"/>
        </w:rPr>
        <w:t xml:space="preserve"> amount to powerful and persuasive support from the apex court, albeit that they are </w:t>
      </w:r>
      <w:r w:rsidR="00010E6D" w:rsidRPr="00172C5E">
        <w:rPr>
          <w:rFonts w:cs="Times New Roman"/>
          <w:i/>
          <w:iCs/>
          <w:szCs w:val="28"/>
        </w:rPr>
        <w:t>obiter</w:t>
      </w:r>
      <w:r w:rsidR="00010E6D">
        <w:rPr>
          <w:rFonts w:cs="Times New Roman"/>
          <w:szCs w:val="28"/>
        </w:rPr>
        <w:t>.</w:t>
      </w:r>
    </w:p>
    <w:p w:rsidR="00D8521D" w:rsidRDefault="00D8521D" w:rsidP="00010E6D">
      <w:pPr>
        <w:rPr>
          <w:rFonts w:cs="Times New Roman"/>
          <w:szCs w:val="28"/>
        </w:rPr>
      </w:pPr>
    </w:p>
    <w:p w:rsidR="009A7FE7" w:rsidRDefault="0097553D" w:rsidP="00010E6D">
      <w:pPr>
        <w:rPr>
          <w:rFonts w:cs="Times New Roman"/>
          <w:iCs/>
          <w:szCs w:val="28"/>
        </w:rPr>
      </w:pPr>
      <w:r>
        <w:rPr>
          <w:rFonts w:cs="Times New Roman"/>
          <w:iCs/>
          <w:szCs w:val="28"/>
        </w:rPr>
        <w:t>[113</w:t>
      </w:r>
      <w:r w:rsidR="003D796B">
        <w:rPr>
          <w:rFonts w:cs="Times New Roman"/>
          <w:iCs/>
          <w:szCs w:val="28"/>
        </w:rPr>
        <w:t>]</w:t>
      </w:r>
      <w:r w:rsidR="003D796B">
        <w:rPr>
          <w:rFonts w:cs="Times New Roman"/>
          <w:iCs/>
          <w:szCs w:val="28"/>
        </w:rPr>
        <w:tab/>
      </w:r>
      <w:r w:rsidR="00BA336A">
        <w:rPr>
          <w:rFonts w:cs="Times New Roman"/>
          <w:iCs/>
          <w:szCs w:val="28"/>
        </w:rPr>
        <w:t>As noted in the</w:t>
      </w:r>
      <w:r w:rsidR="0058210F">
        <w:rPr>
          <w:rFonts w:cs="Times New Roman"/>
          <w:iCs/>
          <w:szCs w:val="28"/>
        </w:rPr>
        <w:t xml:space="preserve"> </w:t>
      </w:r>
      <w:r w:rsidR="0058210F" w:rsidRPr="00566224">
        <w:rPr>
          <w:rFonts w:cs="Times New Roman"/>
          <w:i/>
          <w:szCs w:val="28"/>
        </w:rPr>
        <w:t>DZ</w:t>
      </w:r>
      <w:r w:rsidR="0058210F">
        <w:rPr>
          <w:rFonts w:cs="Times New Roman"/>
          <w:iCs/>
          <w:szCs w:val="28"/>
        </w:rPr>
        <w:t xml:space="preserve"> </w:t>
      </w:r>
      <w:r w:rsidR="00BA336A">
        <w:rPr>
          <w:rFonts w:cs="Times New Roman"/>
          <w:iCs/>
          <w:szCs w:val="28"/>
        </w:rPr>
        <w:t xml:space="preserve">judgment, other jurisdictions have departed from a strict presumption that </w:t>
      </w:r>
      <w:proofErr w:type="spellStart"/>
      <w:r w:rsidR="00433494">
        <w:rPr>
          <w:rFonts w:cs="Times New Roman"/>
          <w:iCs/>
          <w:szCs w:val="28"/>
        </w:rPr>
        <w:t>d</w:t>
      </w:r>
      <w:r w:rsidR="00BA336A">
        <w:rPr>
          <w:rFonts w:cs="Times New Roman"/>
          <w:iCs/>
          <w:szCs w:val="28"/>
        </w:rPr>
        <w:t>elictual</w:t>
      </w:r>
      <w:proofErr w:type="spellEnd"/>
      <w:r w:rsidR="00BA336A">
        <w:rPr>
          <w:rFonts w:cs="Times New Roman"/>
          <w:iCs/>
          <w:szCs w:val="28"/>
        </w:rPr>
        <w:t xml:space="preserve"> damages for medical negligence claims should necessarily sound in money or should be paid out in a lump sum</w:t>
      </w:r>
      <w:r w:rsidR="000F7C47" w:rsidRPr="009F2A06">
        <w:rPr>
          <w:rFonts w:cs="Times New Roman"/>
          <w:iCs/>
          <w:color w:val="000000" w:themeColor="text1"/>
          <w:szCs w:val="28"/>
        </w:rPr>
        <w:t>.</w:t>
      </w:r>
      <w:r w:rsidR="00BA336A" w:rsidRPr="009F2A06">
        <w:rPr>
          <w:rStyle w:val="FootnoteReference"/>
          <w:rFonts w:cs="Times New Roman"/>
          <w:iCs/>
          <w:color w:val="000000" w:themeColor="text1"/>
          <w:szCs w:val="28"/>
        </w:rPr>
        <w:footnoteReference w:id="38"/>
      </w:r>
      <w:r w:rsidR="004D42F8">
        <w:rPr>
          <w:rFonts w:cs="Times New Roman"/>
          <w:iCs/>
          <w:szCs w:val="28"/>
        </w:rPr>
        <w:t xml:space="preserve"> The judgment concludes by noting that “[t]here is no obvious choice” between the once and for all rule and the alternative systems at the level of principle.</w:t>
      </w:r>
      <w:r w:rsidR="004D42F8">
        <w:rPr>
          <w:rStyle w:val="FootnoteReference"/>
          <w:rFonts w:cs="Times New Roman"/>
          <w:iCs/>
          <w:szCs w:val="28"/>
        </w:rPr>
        <w:footnoteReference w:id="39"/>
      </w:r>
    </w:p>
    <w:p w:rsidR="00C86BC5" w:rsidRDefault="00C86BC5" w:rsidP="00010E6D">
      <w:pPr>
        <w:rPr>
          <w:rFonts w:cs="Times New Roman"/>
          <w:iCs/>
          <w:szCs w:val="28"/>
        </w:rPr>
      </w:pPr>
    </w:p>
    <w:p w:rsidR="00C86BC5" w:rsidRDefault="0097553D" w:rsidP="00C86BC5">
      <w:pPr>
        <w:rPr>
          <w:rFonts w:cs="Times New Roman"/>
          <w:iCs/>
          <w:szCs w:val="28"/>
        </w:rPr>
      </w:pPr>
      <w:r>
        <w:rPr>
          <w:rFonts w:cs="Times New Roman"/>
          <w:szCs w:val="28"/>
        </w:rPr>
        <w:t>[114</w:t>
      </w:r>
      <w:r w:rsidR="003D796B">
        <w:rPr>
          <w:rFonts w:cs="Times New Roman"/>
          <w:szCs w:val="28"/>
        </w:rPr>
        <w:t>]</w:t>
      </w:r>
      <w:r w:rsidR="003D796B">
        <w:rPr>
          <w:rFonts w:cs="Times New Roman"/>
          <w:szCs w:val="28"/>
        </w:rPr>
        <w:tab/>
      </w:r>
      <w:r w:rsidR="00C86BC5">
        <w:rPr>
          <w:rFonts w:cs="Times New Roman"/>
          <w:szCs w:val="28"/>
        </w:rPr>
        <w:t xml:space="preserve">An aspect which was of some concern to me during this trial was the question as to why it has been left to the courts to assist the government with a problem which could be solved by approaching the legislature. </w:t>
      </w:r>
      <w:r w:rsidR="008C5C4F">
        <w:rPr>
          <w:rFonts w:cs="Times New Roman"/>
          <w:szCs w:val="28"/>
        </w:rPr>
        <w:t xml:space="preserve">The Constitutional Court in </w:t>
      </w:r>
      <w:r w:rsidR="008C5C4F" w:rsidRPr="008C5C4F">
        <w:rPr>
          <w:rFonts w:cs="Times New Roman"/>
          <w:i/>
          <w:iCs/>
          <w:szCs w:val="28"/>
        </w:rPr>
        <w:t>DZ</w:t>
      </w:r>
      <w:r w:rsidR="008C5C4F">
        <w:rPr>
          <w:rFonts w:cs="Times New Roman"/>
          <w:szCs w:val="28"/>
        </w:rPr>
        <w:t xml:space="preserve"> did not however regard this consideration as closing the door on the development of the common law in this regard, particularly if such development </w:t>
      </w:r>
      <w:r w:rsidR="009C6F7A">
        <w:rPr>
          <w:rFonts w:cs="Times New Roman"/>
          <w:szCs w:val="28"/>
        </w:rPr>
        <w:t xml:space="preserve">were not to </w:t>
      </w:r>
      <w:r w:rsidR="008C5C4F">
        <w:rPr>
          <w:rFonts w:cs="Times New Roman"/>
          <w:szCs w:val="28"/>
        </w:rPr>
        <w:t xml:space="preserve">involve the wholesale rejection of the common-law rules themselves as is sought by the defendant. As alluded to by </w:t>
      </w:r>
      <w:r w:rsidR="00172C5E">
        <w:rPr>
          <w:rFonts w:cs="Times New Roman"/>
          <w:szCs w:val="28"/>
        </w:rPr>
        <w:t>Dr</w:t>
      </w:r>
      <w:r w:rsidR="008C5C4F">
        <w:rPr>
          <w:rFonts w:cs="Times New Roman"/>
          <w:szCs w:val="28"/>
        </w:rPr>
        <w:t xml:space="preserve"> Wagner during her evidence, and referred to in </w:t>
      </w:r>
      <w:r w:rsidR="00C86BC5" w:rsidRPr="007A7EC1">
        <w:rPr>
          <w:rFonts w:cs="Times New Roman"/>
          <w:i/>
          <w:iCs/>
          <w:szCs w:val="28"/>
        </w:rPr>
        <w:t>MS</w:t>
      </w:r>
      <w:r w:rsidR="00C86BC5">
        <w:rPr>
          <w:rFonts w:cs="Times New Roman"/>
          <w:i/>
          <w:iCs/>
          <w:szCs w:val="28"/>
        </w:rPr>
        <w:t>M</w:t>
      </w:r>
      <w:r w:rsidR="008C5C4F">
        <w:rPr>
          <w:rFonts w:cs="Times New Roman"/>
          <w:i/>
          <w:iCs/>
          <w:szCs w:val="28"/>
        </w:rPr>
        <w:t>,</w:t>
      </w:r>
      <w:r w:rsidR="00C86BC5" w:rsidRPr="000F7C47">
        <w:rPr>
          <w:rStyle w:val="FootnoteReference"/>
          <w:rFonts w:cs="Times New Roman"/>
          <w:iCs/>
          <w:szCs w:val="28"/>
        </w:rPr>
        <w:footnoteReference w:id="40"/>
      </w:r>
      <w:r w:rsidR="00C86BC5" w:rsidRPr="000F7C47">
        <w:rPr>
          <w:rFonts w:cs="Times New Roman"/>
          <w:iCs/>
          <w:szCs w:val="28"/>
        </w:rPr>
        <w:t xml:space="preserve"> </w:t>
      </w:r>
      <w:r w:rsidR="00C86BC5">
        <w:rPr>
          <w:rFonts w:cs="Times New Roman"/>
          <w:iCs/>
          <w:szCs w:val="28"/>
        </w:rPr>
        <w:t>a draft bill</w:t>
      </w:r>
      <w:r w:rsidR="008C5C4F">
        <w:rPr>
          <w:rFonts w:cs="Times New Roman"/>
          <w:iCs/>
          <w:szCs w:val="28"/>
        </w:rPr>
        <w:t xml:space="preserve"> has been presented</w:t>
      </w:r>
      <w:r w:rsidR="00C86BC5">
        <w:rPr>
          <w:rFonts w:cs="Times New Roman"/>
          <w:iCs/>
          <w:szCs w:val="28"/>
        </w:rPr>
        <w:t xml:space="preserve"> before Parliament </w:t>
      </w:r>
      <w:r w:rsidR="008C5C4F">
        <w:rPr>
          <w:rFonts w:cs="Times New Roman"/>
          <w:iCs/>
          <w:szCs w:val="28"/>
        </w:rPr>
        <w:t>for the amendment</w:t>
      </w:r>
      <w:r w:rsidR="00C86BC5">
        <w:rPr>
          <w:rFonts w:cs="Times New Roman"/>
          <w:iCs/>
          <w:szCs w:val="28"/>
        </w:rPr>
        <w:t xml:space="preserve"> the State Liability Act </w:t>
      </w:r>
      <w:r w:rsidR="00433494">
        <w:rPr>
          <w:rFonts w:cs="Times New Roman"/>
          <w:iCs/>
          <w:szCs w:val="28"/>
        </w:rPr>
        <w:t>to</w:t>
      </w:r>
      <w:r w:rsidR="00C86BC5">
        <w:rPr>
          <w:rFonts w:cs="Times New Roman"/>
          <w:iCs/>
          <w:szCs w:val="28"/>
        </w:rPr>
        <w:t xml:space="preserve"> permit both periodic payments and orders for the state to provide treatment to an injured party at a public health establishment. This was gazetted in May 2018. We are now entering 2023 and it </w:t>
      </w:r>
      <w:r w:rsidR="00C86BC5">
        <w:rPr>
          <w:rFonts w:cs="Times New Roman"/>
          <w:iCs/>
          <w:szCs w:val="28"/>
        </w:rPr>
        <w:lastRenderedPageBreak/>
        <w:t xml:space="preserve">has not yet made the statute books. To repeat the words of </w:t>
      </w:r>
      <w:proofErr w:type="spellStart"/>
      <w:r w:rsidR="00C86BC5">
        <w:rPr>
          <w:rFonts w:cs="Times New Roman"/>
          <w:iCs/>
          <w:szCs w:val="28"/>
        </w:rPr>
        <w:t>Keightley</w:t>
      </w:r>
      <w:proofErr w:type="spellEnd"/>
      <w:r w:rsidR="00C86BC5">
        <w:rPr>
          <w:rFonts w:cs="Times New Roman"/>
          <w:iCs/>
          <w:szCs w:val="28"/>
        </w:rPr>
        <w:t xml:space="preserve"> J in this regard “It is simply no answer to the defence raised by the MEC to say that he should wait until Parliament decides to adopt the amendment, if indeed this comes to pass.”</w:t>
      </w:r>
      <w:r w:rsidR="00C86BC5">
        <w:rPr>
          <w:rStyle w:val="FootnoteReference"/>
          <w:rFonts w:cs="Times New Roman"/>
          <w:iCs/>
          <w:szCs w:val="28"/>
        </w:rPr>
        <w:footnoteReference w:id="41"/>
      </w:r>
      <w:r w:rsidR="00C86BC5">
        <w:rPr>
          <w:rFonts w:cs="Times New Roman"/>
          <w:iCs/>
          <w:szCs w:val="28"/>
        </w:rPr>
        <w:t xml:space="preserve"> She added that as these rules are judge made, it would be appropriate for the courts to develop them</w:t>
      </w:r>
      <w:r w:rsidR="00F759C9">
        <w:rPr>
          <w:rFonts w:cs="Times New Roman"/>
          <w:iCs/>
          <w:szCs w:val="28"/>
        </w:rPr>
        <w:t>.</w:t>
      </w:r>
      <w:r w:rsidR="008C5C4F" w:rsidRPr="009F2A06">
        <w:rPr>
          <w:rStyle w:val="FootnoteReference"/>
          <w:rFonts w:cs="Times New Roman"/>
          <w:iCs/>
          <w:color w:val="000000" w:themeColor="text1"/>
          <w:szCs w:val="28"/>
        </w:rPr>
        <w:footnoteReference w:id="42"/>
      </w:r>
      <w:r w:rsidR="00C86BC5">
        <w:rPr>
          <w:rFonts w:cs="Times New Roman"/>
          <w:iCs/>
          <w:szCs w:val="28"/>
        </w:rPr>
        <w:t xml:space="preserve"> </w:t>
      </w:r>
      <w:r w:rsidR="008C5C4F">
        <w:rPr>
          <w:rFonts w:cs="Times New Roman"/>
          <w:iCs/>
          <w:szCs w:val="28"/>
        </w:rPr>
        <w:t xml:space="preserve">Indeed, </w:t>
      </w:r>
      <w:r w:rsidR="00172C5E">
        <w:rPr>
          <w:rFonts w:cs="Times New Roman"/>
          <w:iCs/>
          <w:szCs w:val="28"/>
        </w:rPr>
        <w:t>Dr</w:t>
      </w:r>
      <w:r w:rsidR="008C5C4F">
        <w:rPr>
          <w:rFonts w:cs="Times New Roman"/>
          <w:iCs/>
          <w:szCs w:val="28"/>
        </w:rPr>
        <w:t xml:space="preserve"> Wagner testified that the problem was escalating in the interim. It is also well known that legislation of this nature which</w:t>
      </w:r>
      <w:r w:rsidR="009C6F7A">
        <w:rPr>
          <w:rFonts w:cs="Times New Roman"/>
          <w:iCs/>
          <w:szCs w:val="28"/>
        </w:rPr>
        <w:t xml:space="preserve"> may</w:t>
      </w:r>
      <w:r w:rsidR="008C5C4F">
        <w:rPr>
          <w:rFonts w:cs="Times New Roman"/>
          <w:iCs/>
          <w:szCs w:val="28"/>
        </w:rPr>
        <w:t xml:space="preserve"> impact upon the income of the legal profession is likely to face powerful opposition in the committee stages of the bill’s passage.</w:t>
      </w:r>
    </w:p>
    <w:p w:rsidR="0015494B" w:rsidRDefault="0015494B" w:rsidP="00C86BC5">
      <w:pPr>
        <w:rPr>
          <w:rFonts w:cs="Times New Roman"/>
          <w:szCs w:val="28"/>
        </w:rPr>
      </w:pPr>
    </w:p>
    <w:p w:rsidR="0015494B" w:rsidRPr="00CC5788" w:rsidRDefault="0097553D" w:rsidP="00C86BC5">
      <w:pPr>
        <w:rPr>
          <w:rFonts w:cs="Times New Roman"/>
          <w:szCs w:val="28"/>
        </w:rPr>
      </w:pPr>
      <w:r>
        <w:rPr>
          <w:rFonts w:cs="Times New Roman"/>
          <w:szCs w:val="28"/>
        </w:rPr>
        <w:t>[115</w:t>
      </w:r>
      <w:r w:rsidR="003D796B">
        <w:rPr>
          <w:rFonts w:cs="Times New Roman"/>
          <w:szCs w:val="28"/>
        </w:rPr>
        <w:t>]</w:t>
      </w:r>
      <w:r w:rsidR="003D796B">
        <w:rPr>
          <w:rFonts w:cs="Times New Roman"/>
          <w:szCs w:val="28"/>
        </w:rPr>
        <w:tab/>
      </w:r>
      <w:r w:rsidR="0015494B">
        <w:rPr>
          <w:rFonts w:cs="Times New Roman"/>
          <w:szCs w:val="28"/>
        </w:rPr>
        <w:t>It is also</w:t>
      </w:r>
      <w:r w:rsidR="00172C5E">
        <w:rPr>
          <w:rFonts w:cs="Times New Roman"/>
          <w:szCs w:val="28"/>
        </w:rPr>
        <w:t xml:space="preserve"> of</w:t>
      </w:r>
      <w:r w:rsidR="0015494B">
        <w:rPr>
          <w:rFonts w:cs="Times New Roman"/>
          <w:szCs w:val="28"/>
        </w:rPr>
        <w:t xml:space="preserve"> some relevance to bear in mind that the common law rules were developed in the English courts, the origin of the once and for all rule </w:t>
      </w:r>
      <w:r w:rsidR="00172C5E">
        <w:rPr>
          <w:rFonts w:cs="Times New Roman"/>
          <w:szCs w:val="28"/>
        </w:rPr>
        <w:t>having been</w:t>
      </w:r>
      <w:r w:rsidR="0015494B">
        <w:rPr>
          <w:rFonts w:cs="Times New Roman"/>
          <w:szCs w:val="28"/>
        </w:rPr>
        <w:t xml:space="preserve"> traced back to </w:t>
      </w:r>
      <w:r w:rsidR="0015494B" w:rsidRPr="0015494B">
        <w:rPr>
          <w:rFonts w:cs="Times New Roman"/>
          <w:i/>
          <w:iCs/>
          <w:szCs w:val="28"/>
        </w:rPr>
        <w:t>Fetter v Beale</w:t>
      </w:r>
      <w:r w:rsidR="00172C5E">
        <w:rPr>
          <w:rFonts w:cs="Times New Roman"/>
          <w:i/>
          <w:iCs/>
          <w:szCs w:val="28"/>
        </w:rPr>
        <w:t>,</w:t>
      </w:r>
      <w:r w:rsidR="0015494B">
        <w:rPr>
          <w:rStyle w:val="FootnoteReference"/>
          <w:rFonts w:cs="Times New Roman"/>
          <w:i/>
          <w:iCs/>
          <w:szCs w:val="28"/>
        </w:rPr>
        <w:footnoteReference w:id="43"/>
      </w:r>
      <w:r w:rsidR="00CC5788">
        <w:rPr>
          <w:rFonts w:cs="Times New Roman"/>
          <w:szCs w:val="28"/>
        </w:rPr>
        <w:t xml:space="preserve"> a</w:t>
      </w:r>
      <w:r w:rsidR="00172C5E">
        <w:rPr>
          <w:rFonts w:cs="Times New Roman"/>
          <w:szCs w:val="28"/>
        </w:rPr>
        <w:t xml:space="preserve"> 1701</w:t>
      </w:r>
      <w:r w:rsidR="00CC5788">
        <w:rPr>
          <w:rFonts w:cs="Times New Roman"/>
          <w:szCs w:val="28"/>
        </w:rPr>
        <w:t xml:space="preserve"> judgment. The rules were absorbed into the South African common</w:t>
      </w:r>
      <w:r w:rsidR="00F0306D">
        <w:rPr>
          <w:rFonts w:cs="Times New Roman"/>
          <w:szCs w:val="28"/>
        </w:rPr>
        <w:t xml:space="preserve"> </w:t>
      </w:r>
      <w:r w:rsidR="00CC5788">
        <w:rPr>
          <w:rFonts w:cs="Times New Roman"/>
          <w:szCs w:val="28"/>
        </w:rPr>
        <w:t>law</w:t>
      </w:r>
      <w:r w:rsidR="00F0306D">
        <w:rPr>
          <w:rFonts w:cs="Times New Roman"/>
          <w:szCs w:val="28"/>
        </w:rPr>
        <w:t xml:space="preserve"> driven by contemporary policy </w:t>
      </w:r>
      <w:r w:rsidR="009C6F7A">
        <w:rPr>
          <w:rFonts w:cs="Times New Roman"/>
          <w:szCs w:val="28"/>
        </w:rPr>
        <w:t>concerns,</w:t>
      </w:r>
      <w:r w:rsidR="00F0306D">
        <w:rPr>
          <w:rFonts w:cs="Times New Roman"/>
          <w:szCs w:val="28"/>
        </w:rPr>
        <w:t xml:space="preserve"> an</w:t>
      </w:r>
      <w:r w:rsidR="00E87D0B">
        <w:rPr>
          <w:rFonts w:cs="Times New Roman"/>
          <w:szCs w:val="28"/>
        </w:rPr>
        <w:t xml:space="preserve">d it may well be appropriate </w:t>
      </w:r>
      <w:r w:rsidR="00F0306D">
        <w:rPr>
          <w:rFonts w:cs="Times New Roman"/>
          <w:szCs w:val="28"/>
        </w:rPr>
        <w:t>that they be revisited</w:t>
      </w:r>
      <w:r w:rsidR="009C6F7A">
        <w:rPr>
          <w:rFonts w:cs="Times New Roman"/>
          <w:szCs w:val="28"/>
        </w:rPr>
        <w:t xml:space="preserve"> to accommodate the present-day situation.</w:t>
      </w:r>
      <w:r w:rsidR="00F0306D">
        <w:rPr>
          <w:rStyle w:val="FootnoteReference"/>
          <w:rFonts w:cs="Times New Roman"/>
          <w:szCs w:val="28"/>
        </w:rPr>
        <w:footnoteReference w:id="44"/>
      </w:r>
      <w:r w:rsidR="009C6F7A">
        <w:rPr>
          <w:rFonts w:cs="Times New Roman"/>
          <w:szCs w:val="28"/>
        </w:rPr>
        <w:t xml:space="preserve"> </w:t>
      </w:r>
    </w:p>
    <w:p w:rsidR="00C86BC5" w:rsidRDefault="00C86BC5" w:rsidP="00C86BC5">
      <w:pPr>
        <w:rPr>
          <w:rFonts w:cs="Times New Roman"/>
          <w:iCs/>
          <w:szCs w:val="28"/>
        </w:rPr>
      </w:pPr>
    </w:p>
    <w:p w:rsidR="00C86BC5" w:rsidRDefault="0097553D" w:rsidP="00C86BC5">
      <w:pPr>
        <w:rPr>
          <w:rFonts w:cs="Times New Roman"/>
          <w:iCs/>
          <w:szCs w:val="28"/>
        </w:rPr>
      </w:pPr>
      <w:r>
        <w:rPr>
          <w:rFonts w:cs="Times New Roman"/>
          <w:iCs/>
          <w:szCs w:val="28"/>
        </w:rPr>
        <w:t>[116</w:t>
      </w:r>
      <w:r w:rsidR="003D796B">
        <w:rPr>
          <w:rFonts w:cs="Times New Roman"/>
          <w:iCs/>
          <w:szCs w:val="28"/>
        </w:rPr>
        <w:t>]</w:t>
      </w:r>
      <w:r w:rsidR="003D796B">
        <w:rPr>
          <w:rFonts w:cs="Times New Roman"/>
          <w:iCs/>
          <w:szCs w:val="28"/>
        </w:rPr>
        <w:tab/>
      </w:r>
      <w:r w:rsidR="00C86BC5">
        <w:rPr>
          <w:rFonts w:cs="Times New Roman"/>
          <w:iCs/>
          <w:szCs w:val="28"/>
        </w:rPr>
        <w:t xml:space="preserve">The principles set out in this regard in the </w:t>
      </w:r>
      <w:r w:rsidR="00C86BC5" w:rsidRPr="00566224">
        <w:rPr>
          <w:rFonts w:cs="Times New Roman"/>
          <w:i/>
          <w:szCs w:val="28"/>
        </w:rPr>
        <w:t>DZ</w:t>
      </w:r>
      <w:r w:rsidR="00C86BC5">
        <w:rPr>
          <w:rFonts w:cs="Times New Roman"/>
          <w:iCs/>
          <w:szCs w:val="28"/>
        </w:rPr>
        <w:t xml:space="preserve"> judgment have generally been well received by academic commentators</w:t>
      </w:r>
      <w:r w:rsidR="00C86BC5">
        <w:rPr>
          <w:rStyle w:val="FootnoteReference"/>
          <w:rFonts w:cs="Times New Roman"/>
          <w:iCs/>
          <w:szCs w:val="28"/>
        </w:rPr>
        <w:footnoteReference w:id="45"/>
      </w:r>
      <w:r w:rsidR="00C86BC5">
        <w:rPr>
          <w:rFonts w:cs="Times New Roman"/>
          <w:iCs/>
          <w:szCs w:val="28"/>
        </w:rPr>
        <w:t>, whilst also cautioning that the legislature should be the “engine of reform”.</w:t>
      </w:r>
      <w:r w:rsidR="00C86BC5">
        <w:rPr>
          <w:rStyle w:val="FootnoteReference"/>
          <w:rFonts w:cs="Times New Roman"/>
          <w:iCs/>
          <w:szCs w:val="28"/>
        </w:rPr>
        <w:footnoteReference w:id="46"/>
      </w:r>
    </w:p>
    <w:p w:rsidR="00A25CA1" w:rsidRDefault="00A25CA1" w:rsidP="00C86BC5">
      <w:pPr>
        <w:rPr>
          <w:rFonts w:cs="Times New Roman"/>
          <w:iCs/>
          <w:szCs w:val="28"/>
        </w:rPr>
      </w:pPr>
    </w:p>
    <w:p w:rsidR="00A25CA1" w:rsidRDefault="0097553D" w:rsidP="00C86BC5">
      <w:pPr>
        <w:rPr>
          <w:rFonts w:cs="Times New Roman"/>
          <w:iCs/>
          <w:szCs w:val="28"/>
        </w:rPr>
      </w:pPr>
      <w:r>
        <w:rPr>
          <w:rFonts w:cs="Times New Roman"/>
          <w:iCs/>
          <w:szCs w:val="28"/>
        </w:rPr>
        <w:lastRenderedPageBreak/>
        <w:t>[117</w:t>
      </w:r>
      <w:r w:rsidR="003D796B">
        <w:rPr>
          <w:rFonts w:cs="Times New Roman"/>
          <w:iCs/>
          <w:szCs w:val="28"/>
        </w:rPr>
        <w:t>]</w:t>
      </w:r>
      <w:r w:rsidR="003D796B">
        <w:rPr>
          <w:rFonts w:cs="Times New Roman"/>
          <w:iCs/>
          <w:szCs w:val="28"/>
        </w:rPr>
        <w:tab/>
      </w:r>
      <w:r w:rsidR="00A25CA1">
        <w:rPr>
          <w:rFonts w:cs="Times New Roman"/>
          <w:iCs/>
          <w:szCs w:val="28"/>
        </w:rPr>
        <w:t xml:space="preserve">The importance of the </w:t>
      </w:r>
      <w:r w:rsidR="00A25CA1" w:rsidRPr="00423D61">
        <w:rPr>
          <w:rFonts w:cs="Times New Roman"/>
          <w:iCs/>
          <w:szCs w:val="28"/>
        </w:rPr>
        <w:t>DZ</w:t>
      </w:r>
      <w:r w:rsidR="00423D61">
        <w:rPr>
          <w:rFonts w:cs="Times New Roman"/>
          <w:iCs/>
          <w:szCs w:val="28"/>
        </w:rPr>
        <w:t xml:space="preserve"> defences was</w:t>
      </w:r>
      <w:r w:rsidR="00A25CA1">
        <w:rPr>
          <w:rFonts w:cs="Times New Roman"/>
          <w:iCs/>
          <w:szCs w:val="28"/>
        </w:rPr>
        <w:t xml:space="preserve"> affirmed by </w:t>
      </w:r>
      <w:proofErr w:type="spellStart"/>
      <w:r w:rsidR="00A25CA1">
        <w:rPr>
          <w:rFonts w:cs="Times New Roman"/>
          <w:iCs/>
          <w:szCs w:val="28"/>
        </w:rPr>
        <w:t>Madlanga</w:t>
      </w:r>
      <w:proofErr w:type="spellEnd"/>
      <w:r w:rsidR="00A25CA1">
        <w:rPr>
          <w:rFonts w:cs="Times New Roman"/>
          <w:iCs/>
          <w:szCs w:val="28"/>
        </w:rPr>
        <w:t xml:space="preserve"> J in the </w:t>
      </w:r>
      <w:r w:rsidR="00A25CA1" w:rsidRPr="00172C5E">
        <w:rPr>
          <w:rFonts w:cs="Times New Roman"/>
          <w:i/>
          <w:iCs/>
          <w:szCs w:val="28"/>
        </w:rPr>
        <w:t>PN</w:t>
      </w:r>
      <w:r w:rsidR="00A25CA1" w:rsidRPr="00423D61">
        <w:rPr>
          <w:rFonts w:cs="Times New Roman"/>
          <w:szCs w:val="28"/>
        </w:rPr>
        <w:t xml:space="preserve"> </w:t>
      </w:r>
      <w:r w:rsidR="00A25CA1">
        <w:rPr>
          <w:rFonts w:cs="Times New Roman"/>
          <w:iCs/>
          <w:szCs w:val="28"/>
        </w:rPr>
        <w:t xml:space="preserve">judgment in substantiating why the court should interpret an order separating liability and quantum to permit the MEC in that matter to lead evidence raising the </w:t>
      </w:r>
      <w:r w:rsidR="00A25CA1" w:rsidRPr="00423D61">
        <w:rPr>
          <w:rFonts w:cs="Times New Roman"/>
          <w:iCs/>
          <w:szCs w:val="28"/>
        </w:rPr>
        <w:t xml:space="preserve">DZ </w:t>
      </w:r>
      <w:r w:rsidR="00A25CA1">
        <w:rPr>
          <w:rFonts w:cs="Times New Roman"/>
          <w:iCs/>
          <w:szCs w:val="28"/>
        </w:rPr>
        <w:t>defences.</w:t>
      </w:r>
      <w:r w:rsidR="00A25CA1">
        <w:rPr>
          <w:rStyle w:val="FootnoteReference"/>
          <w:rFonts w:cs="Times New Roman"/>
          <w:iCs/>
          <w:szCs w:val="28"/>
        </w:rPr>
        <w:footnoteReference w:id="47"/>
      </w:r>
    </w:p>
    <w:p w:rsidR="00A25CA1" w:rsidRDefault="00A25CA1" w:rsidP="00C86BC5">
      <w:pPr>
        <w:rPr>
          <w:rFonts w:cs="Times New Roman"/>
          <w:iCs/>
          <w:szCs w:val="28"/>
        </w:rPr>
      </w:pPr>
    </w:p>
    <w:p w:rsidR="00A25CA1" w:rsidRDefault="0097553D" w:rsidP="00C86BC5">
      <w:pPr>
        <w:rPr>
          <w:rFonts w:cs="Times New Roman"/>
          <w:iCs/>
          <w:szCs w:val="28"/>
        </w:rPr>
      </w:pPr>
      <w:r>
        <w:rPr>
          <w:rFonts w:cs="Times New Roman"/>
          <w:iCs/>
          <w:szCs w:val="28"/>
        </w:rPr>
        <w:t>[118</w:t>
      </w:r>
      <w:r w:rsidR="003D796B">
        <w:rPr>
          <w:rFonts w:cs="Times New Roman"/>
          <w:iCs/>
          <w:szCs w:val="28"/>
        </w:rPr>
        <w:t>]</w:t>
      </w:r>
      <w:r w:rsidR="003D796B">
        <w:rPr>
          <w:rFonts w:cs="Times New Roman"/>
          <w:iCs/>
          <w:szCs w:val="28"/>
        </w:rPr>
        <w:tab/>
      </w:r>
      <w:r w:rsidR="00175E96">
        <w:rPr>
          <w:rFonts w:cs="Times New Roman"/>
          <w:iCs/>
          <w:szCs w:val="28"/>
        </w:rPr>
        <w:t xml:space="preserve">The principles set out in the </w:t>
      </w:r>
      <w:r w:rsidR="00175E96" w:rsidRPr="00566224">
        <w:rPr>
          <w:rFonts w:cs="Times New Roman"/>
          <w:i/>
          <w:szCs w:val="28"/>
        </w:rPr>
        <w:t>DZ</w:t>
      </w:r>
      <w:r w:rsidR="00175E96">
        <w:rPr>
          <w:rFonts w:cs="Times New Roman"/>
          <w:iCs/>
          <w:szCs w:val="28"/>
        </w:rPr>
        <w:t xml:space="preserve"> judgment have found expression in </w:t>
      </w:r>
      <w:r w:rsidR="002526A6">
        <w:rPr>
          <w:rFonts w:cs="Times New Roman"/>
          <w:iCs/>
          <w:szCs w:val="28"/>
        </w:rPr>
        <w:t>several</w:t>
      </w:r>
      <w:r w:rsidR="00175E96">
        <w:rPr>
          <w:rFonts w:cs="Times New Roman"/>
          <w:iCs/>
          <w:szCs w:val="28"/>
        </w:rPr>
        <w:t xml:space="preserve"> subsequent judgments from the high courts in Gauteng, </w:t>
      </w:r>
      <w:r w:rsidR="00175E96" w:rsidRPr="009F2A06">
        <w:rPr>
          <w:rFonts w:cs="Times New Roman"/>
          <w:iCs/>
          <w:color w:val="000000" w:themeColor="text1"/>
          <w:szCs w:val="28"/>
        </w:rPr>
        <w:t>KwaZulu</w:t>
      </w:r>
      <w:r w:rsidR="00DB4E9D" w:rsidRPr="009F2A06">
        <w:rPr>
          <w:rFonts w:cs="Times New Roman"/>
          <w:iCs/>
          <w:color w:val="000000" w:themeColor="text1"/>
          <w:szCs w:val="28"/>
        </w:rPr>
        <w:t>-</w:t>
      </w:r>
      <w:r w:rsidR="00175E96" w:rsidRPr="009F2A06">
        <w:rPr>
          <w:rFonts w:cs="Times New Roman"/>
          <w:iCs/>
          <w:color w:val="000000" w:themeColor="text1"/>
          <w:szCs w:val="28"/>
        </w:rPr>
        <w:t xml:space="preserve">Natal </w:t>
      </w:r>
      <w:r w:rsidR="00175E96">
        <w:rPr>
          <w:rFonts w:cs="Times New Roman"/>
          <w:iCs/>
          <w:szCs w:val="28"/>
        </w:rPr>
        <w:t xml:space="preserve">and the Eastern Cape. In </w:t>
      </w:r>
      <w:r w:rsidR="00175E96" w:rsidRPr="00566224">
        <w:rPr>
          <w:rFonts w:cs="Times New Roman"/>
          <w:i/>
          <w:szCs w:val="28"/>
        </w:rPr>
        <w:t>MSM</w:t>
      </w:r>
      <w:r w:rsidR="00175E96">
        <w:rPr>
          <w:rStyle w:val="FootnoteReference"/>
          <w:rFonts w:cs="Times New Roman"/>
          <w:iCs/>
          <w:szCs w:val="28"/>
        </w:rPr>
        <w:footnoteReference w:id="48"/>
      </w:r>
      <w:r w:rsidR="00175E96">
        <w:rPr>
          <w:rFonts w:cs="Times New Roman"/>
          <w:iCs/>
          <w:szCs w:val="28"/>
        </w:rPr>
        <w:t xml:space="preserve"> the Gauteng division considered a claim similar to the present. In that matter, the defendant raised the public healthcare defence and pleaded that any amount due by way of monetary damages should be paid by way of periodic payments, rather than a lump sum. The court considered both the existing common law and what a defendant would be required to establish for the development of the common law.</w:t>
      </w:r>
      <w:r w:rsidR="00926006">
        <w:rPr>
          <w:rStyle w:val="FootnoteReference"/>
          <w:rFonts w:cs="Times New Roman"/>
          <w:iCs/>
          <w:szCs w:val="28"/>
        </w:rPr>
        <w:footnoteReference w:id="49"/>
      </w:r>
      <w:r w:rsidR="00175E96">
        <w:rPr>
          <w:rFonts w:cs="Times New Roman"/>
          <w:iCs/>
          <w:szCs w:val="28"/>
        </w:rPr>
        <w:t xml:space="preserve"> The defendant led the evidence of the CEO of the hospital that it intended should provide services in kind, a senior manager in the provincial health department and the evidence of medical specialists who would primarily be responsible for the care of the child, in order to lay a basis for the ability of the state to care for the child.</w:t>
      </w:r>
      <w:r w:rsidR="00926006">
        <w:rPr>
          <w:rStyle w:val="FootnoteReference"/>
          <w:rFonts w:cs="Times New Roman"/>
          <w:iCs/>
          <w:szCs w:val="28"/>
        </w:rPr>
        <w:footnoteReference w:id="50"/>
      </w:r>
      <w:r w:rsidR="00175E96">
        <w:rPr>
          <w:rFonts w:cs="Times New Roman"/>
          <w:iCs/>
          <w:szCs w:val="28"/>
        </w:rPr>
        <w:t xml:space="preserve"> On the basis of this evidence, it was concluded that sufficient evidence had been adduced by the defendant to establish that the state was indeed able to provide the services at a standard equivalent to, or better than, the standard prevailing in the private sector.</w:t>
      </w:r>
    </w:p>
    <w:p w:rsidR="00175E96" w:rsidRDefault="00175E96" w:rsidP="00C86BC5">
      <w:pPr>
        <w:rPr>
          <w:rFonts w:cs="Times New Roman"/>
          <w:iCs/>
          <w:szCs w:val="28"/>
        </w:rPr>
      </w:pPr>
    </w:p>
    <w:p w:rsidR="00175E96" w:rsidRDefault="0097553D" w:rsidP="00C86BC5">
      <w:pPr>
        <w:rPr>
          <w:rFonts w:cs="Times New Roman"/>
          <w:iCs/>
          <w:szCs w:val="28"/>
        </w:rPr>
      </w:pPr>
      <w:r>
        <w:rPr>
          <w:rFonts w:cs="Times New Roman"/>
          <w:iCs/>
          <w:szCs w:val="28"/>
        </w:rPr>
        <w:t>[119</w:t>
      </w:r>
      <w:r w:rsidR="003D796B">
        <w:rPr>
          <w:rFonts w:cs="Times New Roman"/>
          <w:iCs/>
          <w:szCs w:val="28"/>
        </w:rPr>
        <w:t>]</w:t>
      </w:r>
      <w:r w:rsidR="003D796B">
        <w:rPr>
          <w:rFonts w:cs="Times New Roman"/>
          <w:iCs/>
          <w:szCs w:val="28"/>
        </w:rPr>
        <w:tab/>
      </w:r>
      <w:r w:rsidR="00175E96">
        <w:rPr>
          <w:rFonts w:cs="Times New Roman"/>
          <w:iCs/>
          <w:szCs w:val="28"/>
        </w:rPr>
        <w:t>In coming to this conclusion, the court considered various aspects including the following:</w:t>
      </w:r>
    </w:p>
    <w:p w:rsidR="00175E96" w:rsidRDefault="00175E96" w:rsidP="00C86BC5">
      <w:pPr>
        <w:rPr>
          <w:rFonts w:cs="Times New Roman"/>
          <w:iCs/>
          <w:szCs w:val="28"/>
        </w:rPr>
      </w:pPr>
    </w:p>
    <w:p w:rsidR="00175E96" w:rsidRPr="008743DC" w:rsidRDefault="008743DC" w:rsidP="008743DC">
      <w:pPr>
        <w:ind w:left="1809" w:hanging="675"/>
        <w:rPr>
          <w:rFonts w:cs="Times New Roman"/>
          <w:iCs/>
          <w:szCs w:val="28"/>
        </w:rPr>
      </w:pPr>
      <w:r>
        <w:rPr>
          <w:rFonts w:cs="Times New Roman"/>
          <w:iCs/>
          <w:szCs w:val="28"/>
        </w:rPr>
        <w:t>119.1</w:t>
      </w:r>
      <w:r>
        <w:rPr>
          <w:rFonts w:cs="Times New Roman"/>
          <w:iCs/>
          <w:szCs w:val="28"/>
        </w:rPr>
        <w:tab/>
      </w:r>
      <w:r w:rsidR="00FC169B" w:rsidRPr="008743DC">
        <w:rPr>
          <w:rFonts w:cs="Times New Roman"/>
          <w:iCs/>
          <w:szCs w:val="28"/>
        </w:rPr>
        <w:t xml:space="preserve"> </w:t>
      </w:r>
      <w:r w:rsidR="00926006" w:rsidRPr="008743DC">
        <w:rPr>
          <w:rFonts w:cs="Times New Roman"/>
          <w:iCs/>
          <w:szCs w:val="28"/>
        </w:rPr>
        <w:t>The socio-economic constitutional obligations of the state pursuant to the provisions of section 27(2) of the Constitution;</w:t>
      </w:r>
      <w:r w:rsidR="00926006">
        <w:rPr>
          <w:rStyle w:val="FootnoteReference"/>
          <w:rFonts w:cs="Times New Roman"/>
          <w:iCs/>
          <w:szCs w:val="28"/>
        </w:rPr>
        <w:footnoteReference w:id="51"/>
      </w:r>
    </w:p>
    <w:p w:rsidR="00926006" w:rsidRDefault="00926006" w:rsidP="00A33128">
      <w:pPr>
        <w:pStyle w:val="ListParagraph"/>
        <w:ind w:left="1134"/>
        <w:rPr>
          <w:rFonts w:cs="Times New Roman"/>
          <w:iCs/>
          <w:szCs w:val="28"/>
        </w:rPr>
      </w:pPr>
    </w:p>
    <w:p w:rsidR="00926006" w:rsidRPr="008743DC" w:rsidRDefault="008743DC" w:rsidP="008743DC">
      <w:pPr>
        <w:ind w:left="1809" w:hanging="675"/>
        <w:rPr>
          <w:rFonts w:cs="Times New Roman"/>
          <w:iCs/>
          <w:szCs w:val="28"/>
        </w:rPr>
      </w:pPr>
      <w:r>
        <w:rPr>
          <w:rFonts w:cs="Times New Roman"/>
          <w:iCs/>
          <w:szCs w:val="28"/>
        </w:rPr>
        <w:t>119.2</w:t>
      </w:r>
      <w:r>
        <w:rPr>
          <w:rFonts w:cs="Times New Roman"/>
          <w:iCs/>
          <w:szCs w:val="28"/>
        </w:rPr>
        <w:tab/>
      </w:r>
      <w:r w:rsidR="00FC169B" w:rsidRPr="008743DC">
        <w:rPr>
          <w:rFonts w:cs="Times New Roman"/>
          <w:iCs/>
          <w:szCs w:val="28"/>
        </w:rPr>
        <w:t xml:space="preserve"> </w:t>
      </w:r>
      <w:r w:rsidR="00926006" w:rsidRPr="008743DC">
        <w:rPr>
          <w:rFonts w:cs="Times New Roman"/>
          <w:iCs/>
          <w:szCs w:val="28"/>
        </w:rPr>
        <w:t>The fact of the increasingly large damages awards against the state in similar cases and the resultant reduction in resources available to meet its constitutional obligation to progressively realize the right to healthcare services for the populace;</w:t>
      </w:r>
      <w:r w:rsidR="00926006">
        <w:rPr>
          <w:rStyle w:val="FootnoteReference"/>
          <w:rFonts w:cs="Times New Roman"/>
          <w:iCs/>
          <w:szCs w:val="28"/>
        </w:rPr>
        <w:footnoteReference w:id="52"/>
      </w:r>
    </w:p>
    <w:p w:rsidR="00926006" w:rsidRDefault="00926006" w:rsidP="00A33128">
      <w:pPr>
        <w:pStyle w:val="ListParagraph"/>
        <w:ind w:left="1134"/>
        <w:rPr>
          <w:rFonts w:cs="Times New Roman"/>
          <w:iCs/>
          <w:szCs w:val="28"/>
        </w:rPr>
      </w:pPr>
    </w:p>
    <w:p w:rsidR="00926006" w:rsidRPr="008743DC" w:rsidRDefault="008743DC" w:rsidP="008743DC">
      <w:pPr>
        <w:ind w:left="1809" w:hanging="675"/>
        <w:rPr>
          <w:rFonts w:cs="Times New Roman"/>
          <w:iCs/>
          <w:szCs w:val="28"/>
        </w:rPr>
      </w:pPr>
      <w:r>
        <w:rPr>
          <w:rFonts w:cs="Times New Roman"/>
          <w:iCs/>
          <w:szCs w:val="28"/>
        </w:rPr>
        <w:t>119.3</w:t>
      </w:r>
      <w:r>
        <w:rPr>
          <w:rFonts w:cs="Times New Roman"/>
          <w:iCs/>
          <w:szCs w:val="28"/>
        </w:rPr>
        <w:tab/>
      </w:r>
      <w:r w:rsidR="00FC169B" w:rsidRPr="008743DC">
        <w:rPr>
          <w:rFonts w:cs="Times New Roman"/>
          <w:iCs/>
          <w:szCs w:val="28"/>
        </w:rPr>
        <w:t xml:space="preserve"> </w:t>
      </w:r>
      <w:r w:rsidR="00926006" w:rsidRPr="008743DC">
        <w:rPr>
          <w:rFonts w:cs="Times New Roman"/>
          <w:iCs/>
          <w:szCs w:val="28"/>
        </w:rPr>
        <w:t xml:space="preserve">Should the reparation in kind make good the harm inflicted whilst at the same time guard against a reduction in the state’s resources and capacity to meet its obligations in terms of section 27(2), this would amount to a compelling basis for the development of the common law; </w:t>
      </w:r>
      <w:r w:rsidR="00926006">
        <w:rPr>
          <w:rStyle w:val="FootnoteReference"/>
          <w:rFonts w:cs="Times New Roman"/>
          <w:iCs/>
          <w:szCs w:val="28"/>
        </w:rPr>
        <w:footnoteReference w:id="53"/>
      </w:r>
    </w:p>
    <w:p w:rsidR="00926006" w:rsidRDefault="00926006" w:rsidP="00A33128">
      <w:pPr>
        <w:pStyle w:val="ListParagraph"/>
        <w:ind w:left="1134"/>
        <w:rPr>
          <w:rFonts w:cs="Times New Roman"/>
          <w:iCs/>
          <w:szCs w:val="28"/>
        </w:rPr>
      </w:pPr>
    </w:p>
    <w:p w:rsidR="00926006" w:rsidRPr="008743DC" w:rsidRDefault="008743DC" w:rsidP="008743DC">
      <w:pPr>
        <w:ind w:left="1809" w:hanging="675"/>
        <w:rPr>
          <w:rFonts w:cs="Times New Roman"/>
          <w:iCs/>
          <w:szCs w:val="28"/>
        </w:rPr>
      </w:pPr>
      <w:r>
        <w:rPr>
          <w:rFonts w:cs="Times New Roman"/>
          <w:iCs/>
          <w:szCs w:val="28"/>
        </w:rPr>
        <w:t>119.4</w:t>
      </w:r>
      <w:r>
        <w:rPr>
          <w:rFonts w:cs="Times New Roman"/>
          <w:iCs/>
          <w:szCs w:val="28"/>
        </w:rPr>
        <w:tab/>
      </w:r>
      <w:r w:rsidR="00FC169B" w:rsidRPr="008743DC">
        <w:rPr>
          <w:rFonts w:cs="Times New Roman"/>
          <w:iCs/>
          <w:szCs w:val="28"/>
        </w:rPr>
        <w:t xml:space="preserve"> </w:t>
      </w:r>
      <w:r w:rsidR="00926006" w:rsidRPr="008743DC">
        <w:rPr>
          <w:rFonts w:cs="Times New Roman"/>
          <w:iCs/>
          <w:szCs w:val="28"/>
        </w:rPr>
        <w:t xml:space="preserve">As emphasized in </w:t>
      </w:r>
      <w:r w:rsidR="00926006" w:rsidRPr="008743DC">
        <w:rPr>
          <w:rFonts w:cs="Times New Roman"/>
          <w:i/>
          <w:szCs w:val="28"/>
        </w:rPr>
        <w:t>DZ</w:t>
      </w:r>
      <w:r w:rsidR="00926006" w:rsidRPr="008743DC">
        <w:rPr>
          <w:rFonts w:cs="Times New Roman"/>
          <w:iCs/>
          <w:szCs w:val="28"/>
        </w:rPr>
        <w:t>, the development would be limited in ambit as it would be confined to the case of a child with CP injured at a public hospital and</w:t>
      </w:r>
      <w:r w:rsidR="00391412" w:rsidRPr="008743DC">
        <w:rPr>
          <w:rFonts w:cs="Times New Roman"/>
          <w:iCs/>
          <w:szCs w:val="28"/>
        </w:rPr>
        <w:t xml:space="preserve"> would </w:t>
      </w:r>
      <w:r w:rsidR="00926006" w:rsidRPr="008743DC">
        <w:rPr>
          <w:rFonts w:cs="Times New Roman"/>
          <w:iCs/>
          <w:szCs w:val="28"/>
        </w:rPr>
        <w:t>not affect all medical negligence cases</w:t>
      </w:r>
      <w:r w:rsidR="00391412" w:rsidRPr="008743DC">
        <w:rPr>
          <w:rFonts w:cs="Times New Roman"/>
          <w:iCs/>
          <w:szCs w:val="28"/>
        </w:rPr>
        <w:t>;</w:t>
      </w:r>
    </w:p>
    <w:p w:rsidR="00391412" w:rsidRDefault="00391412" w:rsidP="00A33128">
      <w:pPr>
        <w:pStyle w:val="ListParagraph"/>
        <w:ind w:left="1134"/>
        <w:rPr>
          <w:rFonts w:cs="Times New Roman"/>
          <w:iCs/>
          <w:szCs w:val="28"/>
        </w:rPr>
      </w:pPr>
    </w:p>
    <w:p w:rsidR="008D6229" w:rsidRPr="008743DC" w:rsidRDefault="008743DC" w:rsidP="008743DC">
      <w:pPr>
        <w:ind w:left="1809" w:hanging="675"/>
        <w:rPr>
          <w:rFonts w:cs="Times New Roman"/>
          <w:iCs/>
          <w:szCs w:val="28"/>
        </w:rPr>
      </w:pPr>
      <w:r w:rsidRPr="008D6229">
        <w:rPr>
          <w:rFonts w:cs="Times New Roman"/>
          <w:iCs/>
          <w:szCs w:val="28"/>
        </w:rPr>
        <w:t>119.5</w:t>
      </w:r>
      <w:r w:rsidRPr="008D6229">
        <w:rPr>
          <w:rFonts w:cs="Times New Roman"/>
          <w:iCs/>
          <w:szCs w:val="28"/>
        </w:rPr>
        <w:tab/>
      </w:r>
      <w:r w:rsidR="00FC169B" w:rsidRPr="008743DC">
        <w:rPr>
          <w:rFonts w:cs="Times New Roman"/>
          <w:iCs/>
          <w:szCs w:val="28"/>
        </w:rPr>
        <w:t xml:space="preserve"> </w:t>
      </w:r>
      <w:r w:rsidR="00391412" w:rsidRPr="008743DC">
        <w:rPr>
          <w:rFonts w:cs="Times New Roman"/>
          <w:iCs/>
          <w:szCs w:val="28"/>
        </w:rPr>
        <w:t xml:space="preserve">Based on the evidence led before the court, </w:t>
      </w:r>
      <w:proofErr w:type="spellStart"/>
      <w:r w:rsidR="00391412" w:rsidRPr="008743DC">
        <w:rPr>
          <w:rFonts w:cs="Times New Roman"/>
          <w:iCs/>
          <w:szCs w:val="28"/>
        </w:rPr>
        <w:t>Keightley</w:t>
      </w:r>
      <w:proofErr w:type="spellEnd"/>
      <w:r w:rsidR="00391412" w:rsidRPr="008743DC">
        <w:rPr>
          <w:rFonts w:cs="Times New Roman"/>
          <w:iCs/>
          <w:szCs w:val="28"/>
        </w:rPr>
        <w:t xml:space="preserve"> J further commented that there is a:</w:t>
      </w:r>
    </w:p>
    <w:p w:rsidR="008D6229" w:rsidRDefault="008D6229" w:rsidP="008D6229">
      <w:pPr>
        <w:spacing w:line="240" w:lineRule="auto"/>
        <w:ind w:left="1417" w:right="1417"/>
        <w:rPr>
          <w:rFonts w:cs="Times New Roman"/>
          <w:iCs/>
          <w:sz w:val="24"/>
          <w:szCs w:val="24"/>
        </w:rPr>
      </w:pPr>
    </w:p>
    <w:p w:rsidR="00A25CA1" w:rsidRPr="00391412" w:rsidRDefault="00391412" w:rsidP="00372F34">
      <w:pPr>
        <w:spacing w:line="240" w:lineRule="auto"/>
        <w:ind w:left="1620" w:right="296"/>
        <w:rPr>
          <w:rFonts w:cs="Times New Roman"/>
          <w:iCs/>
          <w:sz w:val="24"/>
          <w:szCs w:val="24"/>
        </w:rPr>
      </w:pPr>
      <w:r w:rsidRPr="00391412">
        <w:rPr>
          <w:rFonts w:cs="Times New Roman"/>
          <w:iCs/>
          <w:sz w:val="24"/>
          <w:szCs w:val="24"/>
        </w:rPr>
        <w:lastRenderedPageBreak/>
        <w:t xml:space="preserve">“double edged sword hanging over the state: while it faces expensive damages claims for </w:t>
      </w:r>
      <w:r w:rsidR="00212C2B">
        <w:rPr>
          <w:rFonts w:cs="Times New Roman"/>
          <w:iCs/>
          <w:sz w:val="24"/>
          <w:szCs w:val="24"/>
        </w:rPr>
        <w:t xml:space="preserve">cerebral palsy </w:t>
      </w:r>
      <w:r w:rsidR="00760476">
        <w:rPr>
          <w:rFonts w:cs="Times New Roman"/>
          <w:iCs/>
          <w:sz w:val="24"/>
          <w:szCs w:val="24"/>
        </w:rPr>
        <w:t xml:space="preserve">births, it remains </w:t>
      </w:r>
      <w:r w:rsidRPr="00391412">
        <w:rPr>
          <w:rFonts w:cs="Times New Roman"/>
          <w:iCs/>
          <w:sz w:val="24"/>
          <w:szCs w:val="24"/>
        </w:rPr>
        <w:t xml:space="preserve">constitutionally obliged to continue to render health services to everyone. Axiomatically, the </w:t>
      </w:r>
      <w:r w:rsidR="00760476">
        <w:rPr>
          <w:rFonts w:cs="Times New Roman"/>
          <w:iCs/>
          <w:sz w:val="24"/>
          <w:szCs w:val="24"/>
        </w:rPr>
        <w:t xml:space="preserve">more the state must pay out in </w:t>
      </w:r>
      <w:r w:rsidRPr="00391412">
        <w:rPr>
          <w:rFonts w:cs="Times New Roman"/>
          <w:iCs/>
          <w:sz w:val="24"/>
          <w:szCs w:val="24"/>
        </w:rPr>
        <w:t>monetary compensation, the less resources are available to it to comply with its constitutional obligation.”</w:t>
      </w:r>
      <w:r w:rsidRPr="00391412">
        <w:rPr>
          <w:rStyle w:val="FootnoteReference"/>
          <w:rFonts w:cs="Times New Roman"/>
          <w:iCs/>
          <w:sz w:val="24"/>
          <w:szCs w:val="24"/>
        </w:rPr>
        <w:footnoteReference w:id="54"/>
      </w:r>
    </w:p>
    <w:p w:rsidR="00391412" w:rsidRDefault="00391412" w:rsidP="00C86BC5">
      <w:pPr>
        <w:rPr>
          <w:rFonts w:cs="Times New Roman"/>
          <w:iCs/>
          <w:szCs w:val="28"/>
        </w:rPr>
      </w:pPr>
    </w:p>
    <w:p w:rsidR="00391412" w:rsidRPr="008743DC" w:rsidRDefault="008743DC" w:rsidP="008743DC">
      <w:pPr>
        <w:ind w:left="1809" w:hanging="675"/>
        <w:rPr>
          <w:rFonts w:cs="Times New Roman"/>
          <w:iCs/>
          <w:szCs w:val="28"/>
        </w:rPr>
      </w:pPr>
      <w:r w:rsidRPr="00391412">
        <w:rPr>
          <w:rFonts w:cs="Times New Roman"/>
          <w:iCs/>
          <w:szCs w:val="28"/>
        </w:rPr>
        <w:t>119.6</w:t>
      </w:r>
      <w:r w:rsidRPr="00391412">
        <w:rPr>
          <w:rFonts w:cs="Times New Roman"/>
          <w:iCs/>
          <w:szCs w:val="28"/>
        </w:rPr>
        <w:tab/>
      </w:r>
      <w:r w:rsidR="00230E42" w:rsidRPr="008743DC">
        <w:rPr>
          <w:rFonts w:cs="Times New Roman"/>
          <w:iCs/>
          <w:szCs w:val="28"/>
        </w:rPr>
        <w:t xml:space="preserve"> </w:t>
      </w:r>
      <w:r w:rsidR="0043600A" w:rsidRPr="008743DC">
        <w:rPr>
          <w:rFonts w:cs="Times New Roman"/>
          <w:iCs/>
          <w:szCs w:val="28"/>
        </w:rPr>
        <w:t xml:space="preserve">On the strength of the evidence led before it, the court found that it was both necessary and in the wider interests of justice that the common law be developed to “make orders for compensation </w:t>
      </w:r>
      <w:r w:rsidR="00032F17" w:rsidRPr="008743DC">
        <w:rPr>
          <w:rFonts w:cs="Times New Roman"/>
          <w:iCs/>
          <w:szCs w:val="28"/>
        </w:rPr>
        <w:t>in</w:t>
      </w:r>
      <w:r w:rsidR="0043600A" w:rsidRPr="008743DC">
        <w:rPr>
          <w:rFonts w:cs="Times New Roman"/>
          <w:iCs/>
          <w:szCs w:val="28"/>
        </w:rPr>
        <w:t xml:space="preserve"> kind as opposed to being restricted to making orders for monetary compensation for future medical expenses”.</w:t>
      </w:r>
      <w:r w:rsidR="0043600A">
        <w:rPr>
          <w:rStyle w:val="FootnoteReference"/>
          <w:rFonts w:cs="Times New Roman"/>
          <w:iCs/>
          <w:szCs w:val="28"/>
        </w:rPr>
        <w:footnoteReference w:id="55"/>
      </w:r>
    </w:p>
    <w:p w:rsidR="00C86BC5" w:rsidRDefault="00C86BC5" w:rsidP="00010E6D">
      <w:pPr>
        <w:rPr>
          <w:rFonts w:cs="Times New Roman"/>
          <w:iCs/>
          <w:szCs w:val="28"/>
        </w:rPr>
      </w:pPr>
    </w:p>
    <w:p w:rsidR="004D42F8" w:rsidRDefault="0097553D" w:rsidP="00010E6D">
      <w:pPr>
        <w:rPr>
          <w:rFonts w:cs="Times New Roman"/>
          <w:iCs/>
          <w:szCs w:val="28"/>
        </w:rPr>
      </w:pPr>
      <w:r>
        <w:rPr>
          <w:rFonts w:cs="Times New Roman"/>
          <w:iCs/>
          <w:szCs w:val="28"/>
        </w:rPr>
        <w:t>[120</w:t>
      </w:r>
      <w:r w:rsidR="003D796B">
        <w:rPr>
          <w:rFonts w:cs="Times New Roman"/>
          <w:iCs/>
          <w:szCs w:val="28"/>
        </w:rPr>
        <w:t>]</w:t>
      </w:r>
      <w:r w:rsidR="003D796B">
        <w:rPr>
          <w:rFonts w:cs="Times New Roman"/>
          <w:iCs/>
          <w:szCs w:val="28"/>
        </w:rPr>
        <w:tab/>
      </w:r>
      <w:r w:rsidR="0043600A">
        <w:rPr>
          <w:rFonts w:cs="Times New Roman"/>
          <w:iCs/>
          <w:szCs w:val="28"/>
        </w:rPr>
        <w:t xml:space="preserve">As I understand the </w:t>
      </w:r>
      <w:r w:rsidR="0043600A" w:rsidRPr="0043600A">
        <w:rPr>
          <w:rFonts w:cs="Times New Roman"/>
          <w:i/>
          <w:szCs w:val="28"/>
        </w:rPr>
        <w:t>MSM</w:t>
      </w:r>
      <w:r w:rsidR="0043600A">
        <w:rPr>
          <w:rFonts w:cs="Times New Roman"/>
          <w:iCs/>
          <w:szCs w:val="28"/>
        </w:rPr>
        <w:t xml:space="preserve"> judgment, it provides compelling support for the development of </w:t>
      </w:r>
      <w:r w:rsidR="00032F17">
        <w:rPr>
          <w:rFonts w:cs="Times New Roman"/>
          <w:iCs/>
          <w:szCs w:val="28"/>
        </w:rPr>
        <w:t xml:space="preserve">both </w:t>
      </w:r>
      <w:r w:rsidR="00032F17" w:rsidRPr="004D53BD">
        <w:rPr>
          <w:rFonts w:cs="Times New Roman"/>
          <w:i/>
          <w:szCs w:val="28"/>
        </w:rPr>
        <w:t>DZ</w:t>
      </w:r>
      <w:r w:rsidR="0043600A">
        <w:rPr>
          <w:rFonts w:cs="Times New Roman"/>
          <w:iCs/>
          <w:szCs w:val="28"/>
        </w:rPr>
        <w:t xml:space="preserve"> remedies pleaded in this case. The </w:t>
      </w:r>
      <w:r w:rsidR="0043600A" w:rsidRPr="0043600A">
        <w:rPr>
          <w:rFonts w:cs="Times New Roman"/>
          <w:i/>
          <w:szCs w:val="28"/>
        </w:rPr>
        <w:t xml:space="preserve">ratio </w:t>
      </w:r>
      <w:proofErr w:type="spellStart"/>
      <w:r w:rsidR="0043600A" w:rsidRPr="0043600A">
        <w:rPr>
          <w:rFonts w:cs="Times New Roman"/>
          <w:i/>
          <w:szCs w:val="28"/>
        </w:rPr>
        <w:t>decidendi</w:t>
      </w:r>
      <w:proofErr w:type="spellEnd"/>
      <w:r w:rsidR="0043600A">
        <w:rPr>
          <w:rFonts w:cs="Times New Roman"/>
          <w:iCs/>
          <w:szCs w:val="28"/>
        </w:rPr>
        <w:t xml:space="preserve"> of that case was, furthermore, approved of and applied in the subsequent case of </w:t>
      </w:r>
      <w:proofErr w:type="spellStart"/>
      <w:r w:rsidR="0043600A" w:rsidRPr="0043600A">
        <w:rPr>
          <w:rFonts w:cs="Times New Roman"/>
          <w:i/>
          <w:szCs w:val="28"/>
        </w:rPr>
        <w:t>Mash</w:t>
      </w:r>
      <w:r w:rsidR="0043600A">
        <w:rPr>
          <w:rFonts w:cs="Times New Roman"/>
          <w:i/>
          <w:szCs w:val="28"/>
        </w:rPr>
        <w:t>in</w:t>
      </w:r>
      <w:r w:rsidR="0043600A" w:rsidRPr="0043600A">
        <w:rPr>
          <w:rFonts w:cs="Times New Roman"/>
          <w:i/>
          <w:szCs w:val="28"/>
        </w:rPr>
        <w:t>ini</w:t>
      </w:r>
      <w:proofErr w:type="spellEnd"/>
      <w:r w:rsidR="0043600A">
        <w:rPr>
          <w:rFonts w:cs="Times New Roman"/>
          <w:iCs/>
          <w:szCs w:val="28"/>
        </w:rPr>
        <w:t>.</w:t>
      </w:r>
      <w:r w:rsidR="0043600A">
        <w:rPr>
          <w:rStyle w:val="FootnoteReference"/>
          <w:rFonts w:cs="Times New Roman"/>
          <w:iCs/>
          <w:szCs w:val="28"/>
        </w:rPr>
        <w:footnoteReference w:id="56"/>
      </w:r>
    </w:p>
    <w:p w:rsidR="00AA2059" w:rsidRDefault="00AA2059" w:rsidP="00010E6D">
      <w:pPr>
        <w:rPr>
          <w:rFonts w:cs="Times New Roman"/>
          <w:iCs/>
          <w:szCs w:val="28"/>
        </w:rPr>
      </w:pPr>
    </w:p>
    <w:p w:rsidR="00AA2059" w:rsidRDefault="0097553D" w:rsidP="00010E6D">
      <w:pPr>
        <w:rPr>
          <w:rFonts w:cs="Times New Roman"/>
          <w:iCs/>
          <w:szCs w:val="28"/>
        </w:rPr>
      </w:pPr>
      <w:r>
        <w:rPr>
          <w:rFonts w:cs="Times New Roman"/>
          <w:iCs/>
          <w:szCs w:val="28"/>
        </w:rPr>
        <w:t>[121</w:t>
      </w:r>
      <w:r w:rsidR="003D796B">
        <w:rPr>
          <w:rFonts w:cs="Times New Roman"/>
          <w:iCs/>
          <w:szCs w:val="28"/>
        </w:rPr>
        <w:t>]</w:t>
      </w:r>
      <w:r w:rsidR="003D796B">
        <w:rPr>
          <w:rFonts w:cs="Times New Roman"/>
          <w:iCs/>
          <w:szCs w:val="28"/>
        </w:rPr>
        <w:tab/>
      </w:r>
      <w:r w:rsidR="000F657D">
        <w:rPr>
          <w:rFonts w:cs="Times New Roman"/>
          <w:iCs/>
          <w:szCs w:val="28"/>
        </w:rPr>
        <w:t xml:space="preserve">It should be mentioned that </w:t>
      </w:r>
      <w:r w:rsidR="000F657D" w:rsidRPr="000F657D">
        <w:rPr>
          <w:rFonts w:cs="Times New Roman"/>
          <w:i/>
          <w:szCs w:val="28"/>
        </w:rPr>
        <w:t>PH obo SH</w:t>
      </w:r>
      <w:r w:rsidR="000F657D">
        <w:rPr>
          <w:rStyle w:val="FootnoteReference"/>
          <w:rFonts w:cs="Times New Roman"/>
          <w:iCs/>
          <w:szCs w:val="28"/>
        </w:rPr>
        <w:footnoteReference w:id="57"/>
      </w:r>
      <w:r w:rsidR="000F657D">
        <w:rPr>
          <w:rFonts w:cs="Times New Roman"/>
          <w:i/>
          <w:szCs w:val="28"/>
        </w:rPr>
        <w:t xml:space="preserve"> </w:t>
      </w:r>
      <w:r w:rsidR="000F657D" w:rsidRPr="000F657D">
        <w:rPr>
          <w:rFonts w:cs="Times New Roman"/>
          <w:iCs/>
          <w:szCs w:val="28"/>
        </w:rPr>
        <w:t>would appear to be authority</w:t>
      </w:r>
      <w:r w:rsidR="000F657D">
        <w:rPr>
          <w:rFonts w:cs="Times New Roman"/>
          <w:iCs/>
          <w:szCs w:val="28"/>
        </w:rPr>
        <w:t xml:space="preserve"> against the development of the common law. However, I must respectfully differ with the findings made by that court in this regard. In the main, the court found that:</w:t>
      </w:r>
    </w:p>
    <w:p w:rsidR="000F657D" w:rsidRDefault="000F657D" w:rsidP="00010E6D">
      <w:pPr>
        <w:rPr>
          <w:rFonts w:cs="Times New Roman"/>
          <w:iCs/>
          <w:szCs w:val="28"/>
        </w:rPr>
      </w:pPr>
    </w:p>
    <w:p w:rsidR="000F657D" w:rsidRPr="000F657D" w:rsidRDefault="000F657D" w:rsidP="00B20998">
      <w:pPr>
        <w:spacing w:line="240" w:lineRule="auto"/>
        <w:ind w:left="720" w:right="386"/>
        <w:rPr>
          <w:rFonts w:cs="Times New Roman"/>
          <w:sz w:val="24"/>
          <w:szCs w:val="24"/>
        </w:rPr>
      </w:pPr>
      <w:r w:rsidRPr="000F657D">
        <w:rPr>
          <w:rFonts w:cs="Times New Roman"/>
          <w:sz w:val="24"/>
          <w:szCs w:val="24"/>
        </w:rPr>
        <w:t xml:space="preserve">“It appears to me, with respect, that the Court in </w:t>
      </w:r>
      <w:r w:rsidRPr="004D53BD">
        <w:rPr>
          <w:rFonts w:cs="Times New Roman"/>
          <w:i/>
          <w:iCs/>
          <w:sz w:val="24"/>
          <w:szCs w:val="24"/>
        </w:rPr>
        <w:t>DZ</w:t>
      </w:r>
      <w:r w:rsidRPr="000F657D">
        <w:rPr>
          <w:rFonts w:cs="Times New Roman"/>
          <w:sz w:val="24"/>
          <w:szCs w:val="24"/>
        </w:rPr>
        <w:t xml:space="preserve"> did not sufficiently consider the impact of the fundamental aspects of the so-called public healthcare defence on the provisions of the Constitution.”</w:t>
      </w:r>
      <w:r w:rsidRPr="000F657D">
        <w:rPr>
          <w:rStyle w:val="FootnoteReference"/>
          <w:rFonts w:cs="Times New Roman"/>
          <w:sz w:val="24"/>
          <w:szCs w:val="24"/>
        </w:rPr>
        <w:footnoteReference w:id="58"/>
      </w:r>
    </w:p>
    <w:p w:rsidR="004D42F8" w:rsidRDefault="004D42F8" w:rsidP="00010E6D">
      <w:pPr>
        <w:rPr>
          <w:rFonts w:cs="Times New Roman"/>
          <w:iCs/>
          <w:szCs w:val="28"/>
        </w:rPr>
      </w:pPr>
    </w:p>
    <w:p w:rsidR="00811351" w:rsidRDefault="0097553D" w:rsidP="00010E6D">
      <w:pPr>
        <w:rPr>
          <w:rFonts w:cs="Times New Roman"/>
          <w:iCs/>
          <w:szCs w:val="28"/>
        </w:rPr>
      </w:pPr>
      <w:r>
        <w:rPr>
          <w:rFonts w:cs="Times New Roman"/>
          <w:szCs w:val="28"/>
        </w:rPr>
        <w:t>[122</w:t>
      </w:r>
      <w:r w:rsidR="003D796B">
        <w:rPr>
          <w:rFonts w:cs="Times New Roman"/>
          <w:szCs w:val="28"/>
        </w:rPr>
        <w:t>]</w:t>
      </w:r>
      <w:r w:rsidR="003D796B">
        <w:rPr>
          <w:rFonts w:cs="Times New Roman"/>
          <w:szCs w:val="28"/>
        </w:rPr>
        <w:tab/>
      </w:r>
      <w:r w:rsidR="00960085">
        <w:rPr>
          <w:rFonts w:cs="Times New Roman"/>
          <w:szCs w:val="28"/>
        </w:rPr>
        <w:t xml:space="preserve">In an interlocutory judgment delivered by </w:t>
      </w:r>
      <w:proofErr w:type="spellStart"/>
      <w:r w:rsidR="00960085">
        <w:rPr>
          <w:rFonts w:cs="Times New Roman"/>
          <w:szCs w:val="28"/>
        </w:rPr>
        <w:t>Zilwa</w:t>
      </w:r>
      <w:proofErr w:type="spellEnd"/>
      <w:r w:rsidR="00960085">
        <w:rPr>
          <w:rFonts w:cs="Times New Roman"/>
          <w:szCs w:val="28"/>
        </w:rPr>
        <w:t xml:space="preserve"> J in this case</w:t>
      </w:r>
      <w:r w:rsidR="004D53BD">
        <w:rPr>
          <w:rFonts w:cs="Times New Roman"/>
          <w:szCs w:val="28"/>
        </w:rPr>
        <w:t>,</w:t>
      </w:r>
      <w:r w:rsidR="00960085">
        <w:rPr>
          <w:rStyle w:val="FootnoteReference"/>
          <w:rFonts w:cs="Times New Roman"/>
          <w:szCs w:val="28"/>
        </w:rPr>
        <w:footnoteReference w:id="59"/>
      </w:r>
      <w:r w:rsidR="00960085">
        <w:rPr>
          <w:rFonts w:cs="Times New Roman"/>
          <w:szCs w:val="28"/>
        </w:rPr>
        <w:t xml:space="preserve"> it was found that this matter is distinguishable from </w:t>
      </w:r>
      <w:r w:rsidR="00960085" w:rsidRPr="00960085">
        <w:rPr>
          <w:rFonts w:cs="Times New Roman"/>
          <w:i/>
          <w:iCs/>
          <w:szCs w:val="28"/>
        </w:rPr>
        <w:t>PH</w:t>
      </w:r>
      <w:r w:rsidR="00960085">
        <w:rPr>
          <w:rFonts w:cs="Times New Roman"/>
          <w:i/>
          <w:iCs/>
          <w:szCs w:val="28"/>
        </w:rPr>
        <w:t xml:space="preserve"> </w:t>
      </w:r>
      <w:r w:rsidR="00960085">
        <w:rPr>
          <w:rFonts w:cs="Times New Roman"/>
          <w:iCs/>
          <w:szCs w:val="28"/>
        </w:rPr>
        <w:t xml:space="preserve">as a matter of interpretation of the antecedent court orders in each matter in terms of which the defendants were found to be liable on the merits. Despite what was said in </w:t>
      </w:r>
      <w:r w:rsidR="00811351" w:rsidRPr="00811351">
        <w:rPr>
          <w:rFonts w:cs="Times New Roman"/>
          <w:i/>
          <w:szCs w:val="28"/>
        </w:rPr>
        <w:t>P</w:t>
      </w:r>
      <w:r w:rsidR="00960085" w:rsidRPr="00811351">
        <w:rPr>
          <w:rFonts w:cs="Times New Roman"/>
          <w:i/>
          <w:szCs w:val="28"/>
        </w:rPr>
        <w:t>H</w:t>
      </w:r>
      <w:r w:rsidR="00960085">
        <w:rPr>
          <w:rFonts w:cs="Times New Roman"/>
          <w:iCs/>
          <w:szCs w:val="28"/>
        </w:rPr>
        <w:t xml:space="preserve">, </w:t>
      </w:r>
      <w:proofErr w:type="spellStart"/>
      <w:r w:rsidR="00960085">
        <w:rPr>
          <w:rFonts w:cs="Times New Roman"/>
          <w:iCs/>
          <w:szCs w:val="28"/>
        </w:rPr>
        <w:t>Zilwa</w:t>
      </w:r>
      <w:proofErr w:type="spellEnd"/>
      <w:r w:rsidR="00960085">
        <w:rPr>
          <w:rFonts w:cs="Times New Roman"/>
          <w:iCs/>
          <w:szCs w:val="28"/>
        </w:rPr>
        <w:t xml:space="preserve"> J’s judgment is generally supportive of the development of the common law as contended for by the defendant and</w:t>
      </w:r>
      <w:r w:rsidR="004D53BD">
        <w:rPr>
          <w:rFonts w:cs="Times New Roman"/>
          <w:iCs/>
          <w:szCs w:val="28"/>
        </w:rPr>
        <w:t xml:space="preserve"> it</w:t>
      </w:r>
      <w:r w:rsidR="00960085">
        <w:rPr>
          <w:rFonts w:cs="Times New Roman"/>
          <w:iCs/>
          <w:szCs w:val="28"/>
        </w:rPr>
        <w:t xml:space="preserve"> considered the </w:t>
      </w:r>
      <w:r w:rsidR="00811351">
        <w:rPr>
          <w:rFonts w:cs="Times New Roman"/>
          <w:iCs/>
          <w:szCs w:val="28"/>
        </w:rPr>
        <w:t xml:space="preserve">plea in </w:t>
      </w:r>
      <w:r w:rsidR="00960085">
        <w:rPr>
          <w:rFonts w:cs="Times New Roman"/>
          <w:iCs/>
          <w:szCs w:val="28"/>
        </w:rPr>
        <w:t xml:space="preserve">this matter to be one that complied with the requirement of “a carefully pleaded argument” as laid down in </w:t>
      </w:r>
      <w:r w:rsidR="00960085" w:rsidRPr="00566224">
        <w:rPr>
          <w:rFonts w:cs="Times New Roman"/>
          <w:i/>
          <w:szCs w:val="28"/>
        </w:rPr>
        <w:t>DZ</w:t>
      </w:r>
      <w:r w:rsidR="00960085">
        <w:rPr>
          <w:rFonts w:cs="Times New Roman"/>
          <w:iCs/>
          <w:szCs w:val="28"/>
        </w:rPr>
        <w:t>.</w:t>
      </w:r>
      <w:r w:rsidR="00960085">
        <w:rPr>
          <w:rStyle w:val="FootnoteReference"/>
          <w:rFonts w:cs="Times New Roman"/>
          <w:iCs/>
          <w:szCs w:val="28"/>
        </w:rPr>
        <w:footnoteReference w:id="60"/>
      </w:r>
    </w:p>
    <w:p w:rsidR="00811351" w:rsidRDefault="00811351" w:rsidP="00010E6D">
      <w:pPr>
        <w:rPr>
          <w:rFonts w:cs="Times New Roman"/>
          <w:iCs/>
          <w:szCs w:val="28"/>
        </w:rPr>
      </w:pPr>
    </w:p>
    <w:p w:rsidR="004471C8" w:rsidRDefault="0097553D" w:rsidP="00010E6D">
      <w:pPr>
        <w:rPr>
          <w:rFonts w:cs="Times New Roman"/>
          <w:iCs/>
          <w:szCs w:val="28"/>
        </w:rPr>
      </w:pPr>
      <w:r>
        <w:rPr>
          <w:rFonts w:cs="Times New Roman"/>
          <w:iCs/>
          <w:szCs w:val="28"/>
        </w:rPr>
        <w:t>[123</w:t>
      </w:r>
      <w:r w:rsidR="00556744">
        <w:rPr>
          <w:rFonts w:cs="Times New Roman"/>
          <w:iCs/>
          <w:szCs w:val="28"/>
        </w:rPr>
        <w:t>]</w:t>
      </w:r>
      <w:r w:rsidR="00556744">
        <w:rPr>
          <w:rFonts w:cs="Times New Roman"/>
          <w:iCs/>
          <w:szCs w:val="28"/>
        </w:rPr>
        <w:tab/>
      </w:r>
      <w:r w:rsidR="00811351">
        <w:rPr>
          <w:rFonts w:cs="Times New Roman"/>
          <w:iCs/>
          <w:szCs w:val="28"/>
        </w:rPr>
        <w:t>As against this background, the</w:t>
      </w:r>
      <w:r w:rsidR="00433494">
        <w:rPr>
          <w:rFonts w:cs="Times New Roman"/>
          <w:iCs/>
          <w:szCs w:val="28"/>
        </w:rPr>
        <w:t xml:space="preserve"> defendant </w:t>
      </w:r>
      <w:r w:rsidR="00811351">
        <w:rPr>
          <w:rFonts w:cs="Times New Roman"/>
          <w:iCs/>
          <w:szCs w:val="28"/>
        </w:rPr>
        <w:t>has contended that the development of the common law is justified in terms o</w:t>
      </w:r>
      <w:r w:rsidR="007E69A5">
        <w:rPr>
          <w:rFonts w:cs="Times New Roman"/>
          <w:iCs/>
          <w:szCs w:val="28"/>
        </w:rPr>
        <w:t>f</w:t>
      </w:r>
      <w:r w:rsidR="00811351">
        <w:rPr>
          <w:rFonts w:cs="Times New Roman"/>
          <w:iCs/>
          <w:szCs w:val="28"/>
        </w:rPr>
        <w:t xml:space="preserve"> section</w:t>
      </w:r>
      <w:r w:rsidR="007E69A5">
        <w:rPr>
          <w:rFonts w:cs="Times New Roman"/>
          <w:iCs/>
          <w:szCs w:val="28"/>
        </w:rPr>
        <w:t>s</w:t>
      </w:r>
      <w:r w:rsidR="00811351">
        <w:rPr>
          <w:rFonts w:cs="Times New Roman"/>
          <w:iCs/>
          <w:szCs w:val="28"/>
        </w:rPr>
        <w:t xml:space="preserve"> 39(2)</w:t>
      </w:r>
      <w:r w:rsidR="007E69A5">
        <w:rPr>
          <w:rFonts w:cs="Times New Roman"/>
          <w:iCs/>
          <w:szCs w:val="28"/>
        </w:rPr>
        <w:t xml:space="preserve">, </w:t>
      </w:r>
      <w:r w:rsidR="00811351">
        <w:rPr>
          <w:rFonts w:cs="Times New Roman"/>
          <w:iCs/>
          <w:szCs w:val="28"/>
        </w:rPr>
        <w:t>173</w:t>
      </w:r>
      <w:r w:rsidR="007E69A5">
        <w:rPr>
          <w:rFonts w:cs="Times New Roman"/>
          <w:iCs/>
          <w:szCs w:val="28"/>
        </w:rPr>
        <w:t xml:space="preserve"> and 172(1)(b)</w:t>
      </w:r>
      <w:r w:rsidR="00811351">
        <w:rPr>
          <w:rFonts w:cs="Times New Roman"/>
          <w:iCs/>
          <w:szCs w:val="28"/>
        </w:rPr>
        <w:t xml:space="preserve"> of the Constitution based on the evidence led by</w:t>
      </w:r>
      <w:r w:rsidR="00433494">
        <w:rPr>
          <w:rFonts w:cs="Times New Roman"/>
          <w:iCs/>
          <w:szCs w:val="28"/>
        </w:rPr>
        <w:t xml:space="preserve"> her</w:t>
      </w:r>
      <w:r w:rsidR="00811351">
        <w:rPr>
          <w:rFonts w:cs="Times New Roman"/>
          <w:iCs/>
          <w:szCs w:val="28"/>
        </w:rPr>
        <w:t xml:space="preserve">. On the other hand, the plaintiff, pursuant to what was said in </w:t>
      </w:r>
      <w:r w:rsidR="00811351" w:rsidRPr="00811351">
        <w:rPr>
          <w:rFonts w:cs="Times New Roman"/>
          <w:i/>
          <w:szCs w:val="28"/>
        </w:rPr>
        <w:t>PH</w:t>
      </w:r>
      <w:r w:rsidR="00811351">
        <w:rPr>
          <w:rFonts w:cs="Times New Roman"/>
          <w:iCs/>
          <w:szCs w:val="28"/>
        </w:rPr>
        <w:t xml:space="preserve"> relating to the</w:t>
      </w:r>
      <w:r w:rsidR="00D947E3">
        <w:rPr>
          <w:rFonts w:cs="Times New Roman"/>
          <w:iCs/>
          <w:szCs w:val="28"/>
        </w:rPr>
        <w:t xml:space="preserve"> alleged</w:t>
      </w:r>
      <w:r w:rsidR="00811351">
        <w:rPr>
          <w:rFonts w:cs="Times New Roman"/>
          <w:iCs/>
          <w:szCs w:val="28"/>
        </w:rPr>
        <w:t xml:space="preserve"> failure of the Constitutional Court to sufficiently consider the impact of the </w:t>
      </w:r>
      <w:r w:rsidR="00811351" w:rsidRPr="00566224">
        <w:rPr>
          <w:rFonts w:cs="Times New Roman"/>
          <w:iCs/>
          <w:szCs w:val="28"/>
        </w:rPr>
        <w:t xml:space="preserve">DZ </w:t>
      </w:r>
      <w:r w:rsidR="00811351">
        <w:rPr>
          <w:rFonts w:cs="Times New Roman"/>
          <w:iCs/>
          <w:szCs w:val="28"/>
        </w:rPr>
        <w:t>defences on the provisions of the Constitution, has contended that various rights of the plaintiff (and</w:t>
      </w:r>
      <w:r w:rsidR="00433494">
        <w:rPr>
          <w:rFonts w:cs="Times New Roman"/>
          <w:iCs/>
          <w:szCs w:val="28"/>
        </w:rPr>
        <w:t xml:space="preserve"> her </w:t>
      </w:r>
      <w:r w:rsidR="00811351">
        <w:rPr>
          <w:rFonts w:cs="Times New Roman"/>
          <w:iCs/>
          <w:szCs w:val="28"/>
        </w:rPr>
        <w:t>child) and</w:t>
      </w:r>
      <w:r w:rsidR="00D947E3">
        <w:rPr>
          <w:rFonts w:cs="Times New Roman"/>
          <w:iCs/>
          <w:szCs w:val="28"/>
        </w:rPr>
        <w:t xml:space="preserve"> of</w:t>
      </w:r>
      <w:r w:rsidR="00811351">
        <w:rPr>
          <w:rFonts w:cs="Times New Roman"/>
          <w:iCs/>
          <w:szCs w:val="28"/>
        </w:rPr>
        <w:t xml:space="preserve"> other similarly placed individuals</w:t>
      </w:r>
      <w:r w:rsidR="00172C5E">
        <w:rPr>
          <w:rFonts w:cs="Times New Roman"/>
          <w:iCs/>
          <w:szCs w:val="28"/>
        </w:rPr>
        <w:t>,</w:t>
      </w:r>
      <w:r w:rsidR="00811351">
        <w:rPr>
          <w:rFonts w:cs="Times New Roman"/>
          <w:iCs/>
          <w:szCs w:val="28"/>
        </w:rPr>
        <w:t xml:space="preserve"> would be infringed should the common law be</w:t>
      </w:r>
      <w:r w:rsidR="00D947E3">
        <w:rPr>
          <w:rFonts w:cs="Times New Roman"/>
          <w:iCs/>
          <w:szCs w:val="28"/>
        </w:rPr>
        <w:t xml:space="preserve"> so</w:t>
      </w:r>
      <w:r w:rsidR="00811351">
        <w:rPr>
          <w:rFonts w:cs="Times New Roman"/>
          <w:iCs/>
          <w:szCs w:val="28"/>
        </w:rPr>
        <w:t xml:space="preserve"> developed.</w:t>
      </w:r>
      <w:r w:rsidR="00D947E3">
        <w:rPr>
          <w:rFonts w:cs="Times New Roman"/>
          <w:iCs/>
          <w:szCs w:val="28"/>
        </w:rPr>
        <w:t xml:space="preserve"> The plaintiff has also contended that</w:t>
      </w:r>
      <w:r w:rsidR="00433494">
        <w:rPr>
          <w:rFonts w:cs="Times New Roman"/>
          <w:iCs/>
          <w:szCs w:val="28"/>
        </w:rPr>
        <w:t xml:space="preserve"> the defendant has not established, for the purposes of section 39(2), that the existing common law is contrary to a specific constitutional right or, more broadly, the spirit, purport and object of the Bill of Rights.</w:t>
      </w:r>
    </w:p>
    <w:p w:rsidR="000233D4" w:rsidRDefault="000233D4" w:rsidP="00010E6D">
      <w:pPr>
        <w:rPr>
          <w:rFonts w:cs="Times New Roman"/>
          <w:iCs/>
          <w:szCs w:val="28"/>
        </w:rPr>
      </w:pPr>
    </w:p>
    <w:p w:rsidR="00811351" w:rsidRDefault="0097553D" w:rsidP="00010E6D">
      <w:pPr>
        <w:rPr>
          <w:rFonts w:cs="Times New Roman"/>
          <w:iCs/>
          <w:szCs w:val="28"/>
        </w:rPr>
      </w:pPr>
      <w:r>
        <w:rPr>
          <w:rFonts w:cs="Times New Roman"/>
          <w:iCs/>
          <w:szCs w:val="28"/>
        </w:rPr>
        <w:t>[124</w:t>
      </w:r>
      <w:r w:rsidR="00556744">
        <w:rPr>
          <w:rFonts w:cs="Times New Roman"/>
          <w:iCs/>
          <w:szCs w:val="28"/>
        </w:rPr>
        <w:t>]</w:t>
      </w:r>
      <w:r w:rsidR="00556744">
        <w:rPr>
          <w:rFonts w:cs="Times New Roman"/>
          <w:iCs/>
          <w:szCs w:val="28"/>
        </w:rPr>
        <w:tab/>
      </w:r>
      <w:r w:rsidR="000233D4">
        <w:rPr>
          <w:rFonts w:cs="Times New Roman"/>
          <w:iCs/>
          <w:szCs w:val="28"/>
        </w:rPr>
        <w:t>Before dealing with these arguments, it will be necessary to consider the evidence led by both the defendant and the plaintiff and as to whether, on a conspectus of all the evidence,</w:t>
      </w:r>
      <w:r w:rsidR="00A72113">
        <w:rPr>
          <w:rFonts w:cs="Times New Roman"/>
          <w:iCs/>
          <w:szCs w:val="28"/>
        </w:rPr>
        <w:t xml:space="preserve"> it is sufficiently cogent in the defendant’s favour to “carry the day”.</w:t>
      </w:r>
      <w:r w:rsidR="00A72113">
        <w:rPr>
          <w:rStyle w:val="FootnoteReference"/>
          <w:rFonts w:cs="Times New Roman"/>
          <w:iCs/>
          <w:szCs w:val="28"/>
        </w:rPr>
        <w:footnoteReference w:id="61"/>
      </w:r>
      <w:r w:rsidR="00A72113">
        <w:rPr>
          <w:rFonts w:cs="Times New Roman"/>
          <w:iCs/>
          <w:szCs w:val="28"/>
        </w:rPr>
        <w:t xml:space="preserve"> Before doing so however there is one further aspect which </w:t>
      </w:r>
      <w:r w:rsidR="00A72113">
        <w:rPr>
          <w:rFonts w:cs="Times New Roman"/>
          <w:iCs/>
          <w:szCs w:val="28"/>
        </w:rPr>
        <w:lastRenderedPageBreak/>
        <w:t>requires determination as it is intertwined with the various matters I must consider before reaching this conclusion. That is the question of the standard against which the defendant’s services should be measured.</w:t>
      </w:r>
    </w:p>
    <w:p w:rsidR="00A72113" w:rsidRDefault="00A72113" w:rsidP="00010E6D">
      <w:pPr>
        <w:rPr>
          <w:rFonts w:cs="Times New Roman"/>
          <w:iCs/>
          <w:szCs w:val="28"/>
        </w:rPr>
      </w:pPr>
    </w:p>
    <w:p w:rsidR="004471C8" w:rsidRPr="005E31EB" w:rsidRDefault="00A72113" w:rsidP="00010E6D">
      <w:pPr>
        <w:rPr>
          <w:rFonts w:cs="Times New Roman"/>
          <w:b/>
          <w:bCs/>
          <w:i/>
          <w:szCs w:val="28"/>
        </w:rPr>
      </w:pPr>
      <w:bookmarkStart w:id="9" w:name="_Hlk125637555"/>
      <w:r w:rsidRPr="00A72113">
        <w:rPr>
          <w:rFonts w:cs="Times New Roman"/>
          <w:b/>
          <w:bCs/>
          <w:i/>
          <w:szCs w:val="28"/>
        </w:rPr>
        <w:t>What is the standard required by the law against which the defendant’s services should be measured?</w:t>
      </w:r>
    </w:p>
    <w:bookmarkEnd w:id="9"/>
    <w:p w:rsidR="006D6BA7" w:rsidRDefault="0097553D" w:rsidP="00010E6D">
      <w:pPr>
        <w:rPr>
          <w:rFonts w:cs="Times New Roman"/>
          <w:szCs w:val="28"/>
        </w:rPr>
      </w:pPr>
      <w:r>
        <w:rPr>
          <w:rFonts w:cs="Times New Roman"/>
          <w:szCs w:val="28"/>
        </w:rPr>
        <w:t>[125</w:t>
      </w:r>
      <w:r w:rsidR="00D52BA3">
        <w:rPr>
          <w:rFonts w:cs="Times New Roman"/>
          <w:szCs w:val="28"/>
        </w:rPr>
        <w:t>]</w:t>
      </w:r>
      <w:r w:rsidR="00D52BA3">
        <w:rPr>
          <w:rFonts w:cs="Times New Roman"/>
          <w:szCs w:val="28"/>
        </w:rPr>
        <w:tab/>
      </w:r>
      <w:r w:rsidR="006D6BA7">
        <w:rPr>
          <w:rFonts w:cs="Times New Roman"/>
          <w:szCs w:val="28"/>
        </w:rPr>
        <w:t>Should the court conclud</w:t>
      </w:r>
      <w:r w:rsidR="00240CE9">
        <w:rPr>
          <w:rFonts w:cs="Times New Roman"/>
          <w:szCs w:val="28"/>
        </w:rPr>
        <w:t>e</w:t>
      </w:r>
      <w:r w:rsidR="006D6BA7">
        <w:rPr>
          <w:rFonts w:cs="Times New Roman"/>
          <w:szCs w:val="28"/>
        </w:rPr>
        <w:t xml:space="preserve"> that the common law ought to be developed to include the public healthcare remedy, it is necessary to determine the standard which it should </w:t>
      </w:r>
      <w:r w:rsidR="00E54329">
        <w:rPr>
          <w:rFonts w:cs="Times New Roman"/>
          <w:szCs w:val="28"/>
        </w:rPr>
        <w:t>set for</w:t>
      </w:r>
      <w:r w:rsidR="006D6BA7">
        <w:rPr>
          <w:rFonts w:cs="Times New Roman"/>
          <w:szCs w:val="28"/>
        </w:rPr>
        <w:t xml:space="preserve"> the defendant to establish that it </w:t>
      </w:r>
      <w:r w:rsidR="00E54329">
        <w:rPr>
          <w:rFonts w:cs="Times New Roman"/>
          <w:szCs w:val="28"/>
        </w:rPr>
        <w:t>can provide</w:t>
      </w:r>
      <w:r w:rsidR="006D6BA7">
        <w:rPr>
          <w:rFonts w:cs="Times New Roman"/>
          <w:szCs w:val="28"/>
        </w:rPr>
        <w:t xml:space="preserve"> </w:t>
      </w:r>
      <w:r w:rsidR="004D53BD">
        <w:rPr>
          <w:rFonts w:cs="Times New Roman"/>
          <w:szCs w:val="28"/>
        </w:rPr>
        <w:t xml:space="preserve">the required </w:t>
      </w:r>
      <w:r w:rsidR="0017225F">
        <w:rPr>
          <w:rFonts w:cs="Times New Roman"/>
          <w:szCs w:val="28"/>
        </w:rPr>
        <w:t>future medical services</w:t>
      </w:r>
      <w:r w:rsidR="006D6BA7">
        <w:rPr>
          <w:rFonts w:cs="Times New Roman"/>
          <w:szCs w:val="28"/>
        </w:rPr>
        <w:t>. In this regard, the defendant has pleaded</w:t>
      </w:r>
      <w:r w:rsidR="00E54329">
        <w:rPr>
          <w:rFonts w:cs="Times New Roman"/>
          <w:szCs w:val="28"/>
        </w:rPr>
        <w:t xml:space="preserve"> the required standard as being</w:t>
      </w:r>
      <w:r w:rsidR="006D6BA7">
        <w:rPr>
          <w:rFonts w:cs="Times New Roman"/>
          <w:szCs w:val="28"/>
        </w:rPr>
        <w:t xml:space="preserve"> a reasonable standard, alternatively an acceptably high standard, alternatively a standard “at least equivalent to that provided in the private health sector”.</w:t>
      </w:r>
    </w:p>
    <w:p w:rsidR="006D6BA7" w:rsidRDefault="006D6BA7" w:rsidP="00010E6D">
      <w:pPr>
        <w:rPr>
          <w:rFonts w:cs="Times New Roman"/>
          <w:szCs w:val="28"/>
        </w:rPr>
      </w:pPr>
    </w:p>
    <w:p w:rsidR="006D6BA7" w:rsidRDefault="0097553D" w:rsidP="00010E6D">
      <w:pPr>
        <w:rPr>
          <w:rFonts w:cs="Times New Roman"/>
          <w:szCs w:val="28"/>
        </w:rPr>
      </w:pPr>
      <w:r>
        <w:rPr>
          <w:rFonts w:cs="Times New Roman"/>
          <w:szCs w:val="28"/>
        </w:rPr>
        <w:t>[126</w:t>
      </w:r>
      <w:r w:rsidR="00D52BA3">
        <w:rPr>
          <w:rFonts w:cs="Times New Roman"/>
          <w:szCs w:val="28"/>
        </w:rPr>
        <w:t>]</w:t>
      </w:r>
      <w:r w:rsidR="00D52BA3">
        <w:rPr>
          <w:rFonts w:cs="Times New Roman"/>
          <w:szCs w:val="28"/>
        </w:rPr>
        <w:tab/>
      </w:r>
      <w:r w:rsidR="006D6BA7">
        <w:rPr>
          <w:rFonts w:cs="Times New Roman"/>
          <w:szCs w:val="28"/>
        </w:rPr>
        <w:t xml:space="preserve">In </w:t>
      </w:r>
      <w:r w:rsidR="006D6BA7" w:rsidRPr="006D6BA7">
        <w:rPr>
          <w:rFonts w:cs="Times New Roman"/>
          <w:i/>
          <w:iCs/>
          <w:szCs w:val="28"/>
        </w:rPr>
        <w:t>MS</w:t>
      </w:r>
      <w:r w:rsidR="00283C5D">
        <w:rPr>
          <w:rFonts w:cs="Times New Roman"/>
          <w:i/>
          <w:iCs/>
          <w:szCs w:val="28"/>
        </w:rPr>
        <w:t>M</w:t>
      </w:r>
      <w:r w:rsidR="006D6BA7">
        <w:rPr>
          <w:rFonts w:cs="Times New Roman"/>
          <w:szCs w:val="28"/>
        </w:rPr>
        <w:t xml:space="preserve"> it was concluded that, pursuant to </w:t>
      </w:r>
      <w:proofErr w:type="spellStart"/>
      <w:r w:rsidR="006D6BA7" w:rsidRPr="006D6BA7">
        <w:rPr>
          <w:rFonts w:cs="Times New Roman"/>
          <w:i/>
          <w:iCs/>
          <w:szCs w:val="28"/>
        </w:rPr>
        <w:t>Ngubane</w:t>
      </w:r>
      <w:proofErr w:type="spellEnd"/>
      <w:r w:rsidR="006D6BA7">
        <w:rPr>
          <w:rFonts w:cs="Times New Roman"/>
          <w:szCs w:val="28"/>
        </w:rPr>
        <w:t>, the required standard ought to be the equivalent of that existing in the private healthcare sector, or an acceptably high standard.</w:t>
      </w:r>
      <w:r w:rsidR="006D6BA7">
        <w:rPr>
          <w:rStyle w:val="FootnoteReference"/>
          <w:rFonts w:cs="Times New Roman"/>
          <w:szCs w:val="28"/>
        </w:rPr>
        <w:footnoteReference w:id="62"/>
      </w:r>
      <w:r w:rsidR="006D6BA7">
        <w:rPr>
          <w:rFonts w:cs="Times New Roman"/>
          <w:szCs w:val="28"/>
        </w:rPr>
        <w:t xml:space="preserve"> </w:t>
      </w:r>
      <w:r w:rsidR="00162DBC">
        <w:rPr>
          <w:rFonts w:cs="Times New Roman"/>
          <w:szCs w:val="28"/>
        </w:rPr>
        <w:t>I</w:t>
      </w:r>
      <w:r w:rsidR="006D6BA7">
        <w:rPr>
          <w:rFonts w:cs="Times New Roman"/>
          <w:szCs w:val="28"/>
        </w:rPr>
        <w:t xml:space="preserve">n this regard, the defendant has a submitted that this court </w:t>
      </w:r>
      <w:r w:rsidR="00162DBC">
        <w:rPr>
          <w:rFonts w:cs="Times New Roman"/>
          <w:szCs w:val="28"/>
        </w:rPr>
        <w:t>ought</w:t>
      </w:r>
      <w:r w:rsidR="006D6BA7">
        <w:rPr>
          <w:rFonts w:cs="Times New Roman"/>
          <w:szCs w:val="28"/>
        </w:rPr>
        <w:t xml:space="preserve"> to depart from the approach in </w:t>
      </w:r>
      <w:r w:rsidR="006D6BA7" w:rsidRPr="00162DBC">
        <w:rPr>
          <w:rFonts w:cs="Times New Roman"/>
          <w:i/>
          <w:iCs/>
          <w:szCs w:val="28"/>
        </w:rPr>
        <w:t>MS</w:t>
      </w:r>
      <w:r w:rsidR="00283C5D">
        <w:rPr>
          <w:rFonts w:cs="Times New Roman"/>
          <w:i/>
          <w:iCs/>
          <w:szCs w:val="28"/>
        </w:rPr>
        <w:t>M</w:t>
      </w:r>
      <w:r w:rsidR="006D6BA7">
        <w:rPr>
          <w:rFonts w:cs="Times New Roman"/>
          <w:szCs w:val="28"/>
        </w:rPr>
        <w:t xml:space="preserve"> for the following reasons:</w:t>
      </w:r>
    </w:p>
    <w:p w:rsidR="006D6BA7" w:rsidRDefault="006D6BA7" w:rsidP="00010E6D">
      <w:pPr>
        <w:rPr>
          <w:rFonts w:cs="Times New Roman"/>
          <w:szCs w:val="28"/>
        </w:rPr>
      </w:pPr>
    </w:p>
    <w:p w:rsidR="006D6BA7" w:rsidRPr="00283C5D" w:rsidRDefault="00283C5D" w:rsidP="00E24DDC">
      <w:pPr>
        <w:ind w:left="2137" w:hanging="720"/>
        <w:rPr>
          <w:rFonts w:cs="Times New Roman"/>
          <w:szCs w:val="28"/>
        </w:rPr>
      </w:pPr>
      <w:r>
        <w:rPr>
          <w:rFonts w:cs="Times New Roman"/>
          <w:szCs w:val="28"/>
        </w:rPr>
        <w:t>126.1</w:t>
      </w:r>
      <w:r>
        <w:rPr>
          <w:rFonts w:cs="Times New Roman"/>
          <w:szCs w:val="28"/>
        </w:rPr>
        <w:tab/>
      </w:r>
      <w:r w:rsidR="0078739B" w:rsidRPr="00283C5D">
        <w:rPr>
          <w:rFonts w:cs="Times New Roman"/>
          <w:szCs w:val="28"/>
        </w:rPr>
        <w:t xml:space="preserve">There is no scientific or empirical basis for the assumption that the </w:t>
      </w:r>
      <w:r>
        <w:rPr>
          <w:rFonts w:cs="Times New Roman"/>
          <w:szCs w:val="28"/>
        </w:rPr>
        <w:t xml:space="preserve">  </w:t>
      </w:r>
      <w:r w:rsidR="0078739B" w:rsidRPr="00283C5D">
        <w:rPr>
          <w:rFonts w:cs="Times New Roman"/>
          <w:szCs w:val="28"/>
        </w:rPr>
        <w:t xml:space="preserve">private sector is automatically the provider of a suitable standard of care. Dr </w:t>
      </w:r>
      <w:proofErr w:type="spellStart"/>
      <w:r w:rsidR="0078739B" w:rsidRPr="00283C5D">
        <w:rPr>
          <w:rFonts w:cs="Times New Roman"/>
          <w:szCs w:val="28"/>
        </w:rPr>
        <w:t>Saloojee</w:t>
      </w:r>
      <w:proofErr w:type="spellEnd"/>
      <w:r w:rsidR="0078739B" w:rsidRPr="00283C5D">
        <w:rPr>
          <w:rFonts w:cs="Times New Roman"/>
          <w:szCs w:val="28"/>
        </w:rPr>
        <w:t xml:space="preserve"> and </w:t>
      </w:r>
      <w:r w:rsidR="00172C5E" w:rsidRPr="00283C5D">
        <w:rPr>
          <w:rFonts w:cs="Times New Roman"/>
          <w:szCs w:val="28"/>
        </w:rPr>
        <w:t>Dr</w:t>
      </w:r>
      <w:r w:rsidR="0078739B" w:rsidRPr="00283C5D">
        <w:rPr>
          <w:rFonts w:cs="Times New Roman"/>
          <w:szCs w:val="28"/>
        </w:rPr>
        <w:t xml:space="preserve"> Wagner testified to the fl</w:t>
      </w:r>
      <w:r w:rsidR="00162DBC" w:rsidRPr="00283C5D">
        <w:rPr>
          <w:rFonts w:cs="Times New Roman"/>
          <w:szCs w:val="28"/>
        </w:rPr>
        <w:t>aw</w:t>
      </w:r>
      <w:r w:rsidR="0078739B" w:rsidRPr="00283C5D">
        <w:rPr>
          <w:rFonts w:cs="Times New Roman"/>
          <w:szCs w:val="28"/>
        </w:rPr>
        <w:t xml:space="preserve">s in that assumption. </w:t>
      </w:r>
      <w:proofErr w:type="spellStart"/>
      <w:r w:rsidR="0078739B" w:rsidRPr="00283C5D">
        <w:rPr>
          <w:rFonts w:cs="Times New Roman"/>
          <w:szCs w:val="28"/>
        </w:rPr>
        <w:t>Prof.</w:t>
      </w:r>
      <w:proofErr w:type="spellEnd"/>
      <w:r w:rsidR="0078739B" w:rsidRPr="00283C5D">
        <w:rPr>
          <w:rFonts w:cs="Times New Roman"/>
          <w:szCs w:val="28"/>
        </w:rPr>
        <w:t xml:space="preserve"> Van den </w:t>
      </w:r>
      <w:proofErr w:type="spellStart"/>
      <w:r w:rsidR="0078739B" w:rsidRPr="00283C5D">
        <w:rPr>
          <w:rFonts w:cs="Times New Roman"/>
          <w:szCs w:val="28"/>
        </w:rPr>
        <w:t>Heever</w:t>
      </w:r>
      <w:proofErr w:type="spellEnd"/>
      <w:r w:rsidR="0078739B" w:rsidRPr="00283C5D">
        <w:rPr>
          <w:rFonts w:cs="Times New Roman"/>
          <w:szCs w:val="28"/>
        </w:rPr>
        <w:t xml:space="preserve"> also referred to certain problems in the private healthcare sector, albeit different </w:t>
      </w:r>
      <w:r w:rsidR="00162DBC" w:rsidRPr="00283C5D">
        <w:rPr>
          <w:rFonts w:cs="Times New Roman"/>
          <w:szCs w:val="28"/>
        </w:rPr>
        <w:t>ones</w:t>
      </w:r>
      <w:r w:rsidR="0078739B" w:rsidRPr="00283C5D">
        <w:rPr>
          <w:rFonts w:cs="Times New Roman"/>
          <w:szCs w:val="28"/>
        </w:rPr>
        <w:t xml:space="preserve"> to those in the public sector</w:t>
      </w:r>
      <w:r>
        <w:rPr>
          <w:rFonts w:cs="Times New Roman"/>
          <w:szCs w:val="28"/>
        </w:rPr>
        <w:t xml:space="preserve">. No real evidence </w:t>
      </w:r>
      <w:r>
        <w:rPr>
          <w:rFonts w:cs="Times New Roman"/>
          <w:szCs w:val="28"/>
        </w:rPr>
        <w:lastRenderedPageBreak/>
        <w:t xml:space="preserve">has been led </w:t>
      </w:r>
      <w:r w:rsidR="0078739B" w:rsidRPr="00283C5D">
        <w:rPr>
          <w:rFonts w:cs="Times New Roman"/>
          <w:szCs w:val="28"/>
        </w:rPr>
        <w:t xml:space="preserve">in this case to establish </w:t>
      </w:r>
      <w:r w:rsidR="00162DBC" w:rsidRPr="00283C5D">
        <w:rPr>
          <w:rFonts w:cs="Times New Roman"/>
          <w:szCs w:val="28"/>
        </w:rPr>
        <w:t>that the st</w:t>
      </w:r>
      <w:r>
        <w:rPr>
          <w:rFonts w:cs="Times New Roman"/>
          <w:szCs w:val="28"/>
        </w:rPr>
        <w:t xml:space="preserve">andard in the private sector is </w:t>
      </w:r>
      <w:r w:rsidR="00162DBC" w:rsidRPr="00283C5D">
        <w:rPr>
          <w:rFonts w:cs="Times New Roman"/>
          <w:szCs w:val="28"/>
        </w:rPr>
        <w:t>indeed superior</w:t>
      </w:r>
      <w:r w:rsidR="0078739B" w:rsidRPr="00283C5D">
        <w:rPr>
          <w:rFonts w:cs="Times New Roman"/>
          <w:szCs w:val="28"/>
        </w:rPr>
        <w:t>.</w:t>
      </w:r>
    </w:p>
    <w:p w:rsidR="0078739B" w:rsidRDefault="0078739B" w:rsidP="005A5B48">
      <w:pPr>
        <w:pStyle w:val="ListParagraph"/>
        <w:ind w:left="1134"/>
        <w:rPr>
          <w:rFonts w:cs="Times New Roman"/>
          <w:szCs w:val="28"/>
        </w:rPr>
      </w:pPr>
    </w:p>
    <w:p w:rsidR="0078739B" w:rsidRPr="008743DC" w:rsidRDefault="008743DC" w:rsidP="008743DC">
      <w:pPr>
        <w:ind w:left="2092" w:hanging="675"/>
        <w:rPr>
          <w:rFonts w:cs="Times New Roman"/>
          <w:szCs w:val="28"/>
        </w:rPr>
      </w:pPr>
      <w:r w:rsidRPr="00E24DDC">
        <w:rPr>
          <w:rFonts w:cs="Times New Roman"/>
          <w:szCs w:val="28"/>
        </w:rPr>
        <w:t>126.2</w:t>
      </w:r>
      <w:r w:rsidRPr="00E24DDC">
        <w:rPr>
          <w:rFonts w:cs="Times New Roman"/>
          <w:szCs w:val="28"/>
        </w:rPr>
        <w:tab/>
      </w:r>
      <w:r w:rsidR="0078739B" w:rsidRPr="008743DC">
        <w:rPr>
          <w:rFonts w:cs="Times New Roman"/>
          <w:szCs w:val="28"/>
        </w:rPr>
        <w:t xml:space="preserve">The standard of private healthcare is not universal. It may be that the standard is low in a particular area where a plaintiff might find </w:t>
      </w:r>
      <w:r w:rsidR="00162DBC" w:rsidRPr="008743DC">
        <w:rPr>
          <w:rFonts w:cs="Times New Roman"/>
          <w:szCs w:val="28"/>
        </w:rPr>
        <w:t>him or herself</w:t>
      </w:r>
      <w:r w:rsidR="0078739B" w:rsidRPr="008743DC">
        <w:rPr>
          <w:rFonts w:cs="Times New Roman"/>
          <w:szCs w:val="28"/>
        </w:rPr>
        <w:t xml:space="preserve">. In the circumstances, holding the defendant to the standard in private </w:t>
      </w:r>
      <w:r w:rsidR="00162DBC" w:rsidRPr="008743DC">
        <w:rPr>
          <w:rFonts w:cs="Times New Roman"/>
          <w:szCs w:val="28"/>
        </w:rPr>
        <w:t>health</w:t>
      </w:r>
      <w:r w:rsidR="0078739B" w:rsidRPr="008743DC">
        <w:rPr>
          <w:rFonts w:cs="Times New Roman"/>
          <w:szCs w:val="28"/>
        </w:rPr>
        <w:t>care for purposes of applying the public healthcare defence may operate to the plaintiff’s prejudice. The adoption of a “reasonable standard” is thus more capable of objective application which is consistently beneficial to the injured party.</w:t>
      </w:r>
    </w:p>
    <w:p w:rsidR="0078739B" w:rsidRDefault="0078739B" w:rsidP="005A5B48">
      <w:pPr>
        <w:pStyle w:val="ListParagraph"/>
        <w:ind w:left="1134"/>
        <w:rPr>
          <w:rFonts w:cs="Times New Roman"/>
          <w:szCs w:val="28"/>
        </w:rPr>
      </w:pPr>
    </w:p>
    <w:p w:rsidR="0078739B" w:rsidRPr="008743DC" w:rsidRDefault="008743DC" w:rsidP="008743DC">
      <w:pPr>
        <w:ind w:left="2235" w:hanging="675"/>
        <w:rPr>
          <w:rFonts w:cs="Times New Roman"/>
          <w:szCs w:val="28"/>
        </w:rPr>
      </w:pPr>
      <w:r w:rsidRPr="003A34C3">
        <w:rPr>
          <w:rFonts w:cs="Times New Roman"/>
          <w:szCs w:val="28"/>
        </w:rPr>
        <w:t>126.3</w:t>
      </w:r>
      <w:r w:rsidRPr="003A34C3">
        <w:rPr>
          <w:rFonts w:cs="Times New Roman"/>
          <w:szCs w:val="28"/>
        </w:rPr>
        <w:tab/>
      </w:r>
      <w:r w:rsidR="0078739B" w:rsidRPr="008743DC">
        <w:rPr>
          <w:rFonts w:cs="Times New Roman"/>
          <w:szCs w:val="28"/>
        </w:rPr>
        <w:t xml:space="preserve">The </w:t>
      </w:r>
      <w:proofErr w:type="spellStart"/>
      <w:r w:rsidR="0078739B" w:rsidRPr="008743DC">
        <w:rPr>
          <w:rFonts w:cs="Times New Roman"/>
          <w:i/>
          <w:iCs/>
          <w:szCs w:val="28"/>
        </w:rPr>
        <w:t>Ngubane</w:t>
      </w:r>
      <w:proofErr w:type="spellEnd"/>
      <w:r w:rsidR="003A34C3" w:rsidRPr="008743DC">
        <w:rPr>
          <w:rFonts w:cs="Times New Roman"/>
          <w:szCs w:val="28"/>
        </w:rPr>
        <w:t xml:space="preserve"> judgment, upon which the </w:t>
      </w:r>
      <w:r w:rsidR="00172C5E" w:rsidRPr="008743DC">
        <w:rPr>
          <w:rFonts w:cs="Times New Roman"/>
          <w:szCs w:val="28"/>
        </w:rPr>
        <w:t>a</w:t>
      </w:r>
      <w:r w:rsidR="0078739B" w:rsidRPr="008743DC">
        <w:rPr>
          <w:rFonts w:cs="Times New Roman"/>
          <w:szCs w:val="28"/>
        </w:rPr>
        <w:t xml:space="preserve">forementioned </w:t>
      </w:r>
      <w:r w:rsidR="00E24DDC" w:rsidRPr="008743DC">
        <w:rPr>
          <w:rFonts w:cs="Times New Roman"/>
          <w:szCs w:val="28"/>
        </w:rPr>
        <w:t xml:space="preserve">     </w:t>
      </w:r>
      <w:r w:rsidR="00787748" w:rsidRPr="008743DC">
        <w:rPr>
          <w:rFonts w:cs="Times New Roman"/>
          <w:szCs w:val="28"/>
        </w:rPr>
        <w:t xml:space="preserve"> </w:t>
      </w:r>
      <w:r w:rsidR="0078739B" w:rsidRPr="008743DC">
        <w:rPr>
          <w:rFonts w:cs="Times New Roman"/>
          <w:szCs w:val="28"/>
        </w:rPr>
        <w:t xml:space="preserve">conclusion in </w:t>
      </w:r>
      <w:r w:rsidR="003A34C3" w:rsidRPr="008743DC">
        <w:rPr>
          <w:rFonts w:cs="Times New Roman"/>
          <w:i/>
          <w:iCs/>
          <w:szCs w:val="28"/>
        </w:rPr>
        <w:t>MSM</w:t>
      </w:r>
      <w:r w:rsidR="0078739B" w:rsidRPr="008743DC">
        <w:rPr>
          <w:rFonts w:cs="Times New Roman"/>
          <w:szCs w:val="28"/>
        </w:rPr>
        <w:t xml:space="preserve"> was based, predates the Constitution. Section 27(2) thereof as read with the jurisprudence on socio-economic rights, has adopted the reasonableness standard as the one which guides the level at which state policy and practice should deliver on socio-economic rights. This would operate to prevent inconsistent treatment as between CP children with, and those without, the benefit of medical negligence claims.</w:t>
      </w:r>
    </w:p>
    <w:p w:rsidR="0078739B" w:rsidRDefault="0078739B" w:rsidP="005A5B48">
      <w:pPr>
        <w:pStyle w:val="ListParagraph"/>
        <w:ind w:left="1134"/>
        <w:rPr>
          <w:rFonts w:cs="Times New Roman"/>
          <w:szCs w:val="28"/>
        </w:rPr>
      </w:pPr>
    </w:p>
    <w:p w:rsidR="0078739B" w:rsidRPr="008743DC" w:rsidRDefault="008743DC" w:rsidP="008743DC">
      <w:pPr>
        <w:ind w:left="2235" w:hanging="675"/>
        <w:rPr>
          <w:rFonts w:cs="Times New Roman"/>
          <w:szCs w:val="28"/>
        </w:rPr>
      </w:pPr>
      <w:r w:rsidRPr="003A34C3">
        <w:rPr>
          <w:rFonts w:cs="Times New Roman"/>
          <w:szCs w:val="28"/>
        </w:rPr>
        <w:t>126.4</w:t>
      </w:r>
      <w:r w:rsidRPr="003A34C3">
        <w:rPr>
          <w:rFonts w:cs="Times New Roman"/>
          <w:szCs w:val="28"/>
        </w:rPr>
        <w:tab/>
      </w:r>
      <w:r w:rsidR="0078739B" w:rsidRPr="008743DC">
        <w:rPr>
          <w:rFonts w:cs="Times New Roman"/>
          <w:szCs w:val="28"/>
        </w:rPr>
        <w:t xml:space="preserve">The testimony of </w:t>
      </w:r>
      <w:r w:rsidR="00172C5E" w:rsidRPr="008743DC">
        <w:rPr>
          <w:rFonts w:cs="Times New Roman"/>
          <w:szCs w:val="28"/>
        </w:rPr>
        <w:t>Dr</w:t>
      </w:r>
      <w:r w:rsidR="0078739B" w:rsidRPr="008743DC">
        <w:rPr>
          <w:rFonts w:cs="Times New Roman"/>
          <w:szCs w:val="28"/>
        </w:rPr>
        <w:t xml:space="preserve"> Wagner, </w:t>
      </w:r>
      <w:proofErr w:type="spellStart"/>
      <w:r w:rsidR="0078739B" w:rsidRPr="008743DC">
        <w:rPr>
          <w:rFonts w:cs="Times New Roman"/>
          <w:szCs w:val="28"/>
        </w:rPr>
        <w:t>Prof.</w:t>
      </w:r>
      <w:proofErr w:type="spellEnd"/>
      <w:r w:rsidR="0078739B" w:rsidRPr="008743DC">
        <w:rPr>
          <w:rFonts w:cs="Times New Roman"/>
          <w:szCs w:val="28"/>
        </w:rPr>
        <w:t xml:space="preserve"> </w:t>
      </w:r>
      <w:proofErr w:type="spellStart"/>
      <w:r w:rsidR="0078739B" w:rsidRPr="008743DC">
        <w:rPr>
          <w:rFonts w:cs="Times New Roman"/>
          <w:szCs w:val="28"/>
        </w:rPr>
        <w:t>Chitnis</w:t>
      </w:r>
      <w:proofErr w:type="spellEnd"/>
      <w:r w:rsidR="0078739B" w:rsidRPr="008743DC">
        <w:rPr>
          <w:rFonts w:cs="Times New Roman"/>
          <w:szCs w:val="28"/>
        </w:rPr>
        <w:t xml:space="preserve"> and </w:t>
      </w:r>
      <w:r w:rsidR="00172C5E" w:rsidRPr="008743DC">
        <w:rPr>
          <w:rFonts w:cs="Times New Roman"/>
          <w:szCs w:val="28"/>
        </w:rPr>
        <w:t>Dr</w:t>
      </w:r>
      <w:r w:rsidR="0078739B" w:rsidRPr="008743DC">
        <w:rPr>
          <w:rFonts w:cs="Times New Roman"/>
          <w:szCs w:val="28"/>
        </w:rPr>
        <w:t xml:space="preserve"> </w:t>
      </w:r>
      <w:proofErr w:type="spellStart"/>
      <w:r w:rsidR="0078739B" w:rsidRPr="008743DC">
        <w:rPr>
          <w:rFonts w:cs="Times New Roman"/>
          <w:szCs w:val="28"/>
        </w:rPr>
        <w:t>Michaelis</w:t>
      </w:r>
      <w:proofErr w:type="spellEnd"/>
      <w:r w:rsidR="0078739B" w:rsidRPr="008743DC">
        <w:rPr>
          <w:rFonts w:cs="Times New Roman"/>
          <w:szCs w:val="28"/>
        </w:rPr>
        <w:t xml:space="preserve"> highlight why this assumption should not prevail. They demonstrated in the witness box that they are highly qualified, skilled and award-winning professionals who possess a sincere concern for their patients and a commitment </w:t>
      </w:r>
      <w:r w:rsidR="0078739B" w:rsidRPr="008743DC">
        <w:rPr>
          <w:rFonts w:cs="Times New Roman"/>
          <w:szCs w:val="28"/>
        </w:rPr>
        <w:lastRenderedPageBreak/>
        <w:t>to public service. Ms Moni-</w:t>
      </w:r>
      <w:proofErr w:type="spellStart"/>
      <w:r w:rsidR="00D668F7" w:rsidRPr="008743DC">
        <w:rPr>
          <w:rFonts w:cs="Times New Roman"/>
          <w:szCs w:val="28"/>
        </w:rPr>
        <w:t>Tsawu</w:t>
      </w:r>
      <w:proofErr w:type="spellEnd"/>
      <w:r w:rsidR="00D668F7" w:rsidRPr="008743DC">
        <w:rPr>
          <w:rFonts w:cs="Times New Roman"/>
          <w:szCs w:val="28"/>
        </w:rPr>
        <w:t>, who was called by the plaintiff and criticized the capacity of Frere hospital, also accepted that the healthcare workers at that hospital are efficie</w:t>
      </w:r>
      <w:r w:rsidR="004E1737" w:rsidRPr="008743DC">
        <w:rPr>
          <w:rFonts w:cs="Times New Roman"/>
          <w:szCs w:val="28"/>
        </w:rPr>
        <w:t xml:space="preserve">nt, hard-working, compassionate, </w:t>
      </w:r>
      <w:r w:rsidR="00D668F7" w:rsidRPr="008743DC">
        <w:rPr>
          <w:rFonts w:cs="Times New Roman"/>
          <w:szCs w:val="28"/>
        </w:rPr>
        <w:t>very skilled, competent and dedicated.</w:t>
      </w:r>
    </w:p>
    <w:p w:rsidR="00D668F7" w:rsidRDefault="00D668F7" w:rsidP="005A5B48">
      <w:pPr>
        <w:pStyle w:val="ListParagraph"/>
        <w:ind w:left="1134"/>
        <w:rPr>
          <w:rFonts w:cs="Times New Roman"/>
          <w:szCs w:val="28"/>
        </w:rPr>
      </w:pPr>
    </w:p>
    <w:p w:rsidR="00D668F7" w:rsidRPr="008743DC" w:rsidRDefault="008743DC" w:rsidP="008743DC">
      <w:pPr>
        <w:ind w:left="2235" w:hanging="675"/>
        <w:rPr>
          <w:rFonts w:cs="Times New Roman"/>
          <w:szCs w:val="28"/>
        </w:rPr>
      </w:pPr>
      <w:r w:rsidRPr="003A34C3">
        <w:rPr>
          <w:rFonts w:cs="Times New Roman"/>
          <w:szCs w:val="28"/>
        </w:rPr>
        <w:t>126.5</w:t>
      </w:r>
      <w:r w:rsidRPr="003A34C3">
        <w:rPr>
          <w:rFonts w:cs="Times New Roman"/>
          <w:szCs w:val="28"/>
        </w:rPr>
        <w:tab/>
      </w:r>
      <w:r w:rsidR="00D668F7" w:rsidRPr="008743DC">
        <w:rPr>
          <w:rFonts w:cs="Times New Roman"/>
          <w:szCs w:val="28"/>
        </w:rPr>
        <w:t>To require a standard of service that is relative only to the private sector, does not take into account the uncontested evidence that the public and private sectors each have their strengths and limitations. It would be better for the plaintiff to have the best of the strengths of both sectors which a “reasonable standard” would allow. This would also be consistent with section 28(2) of the Constitution which requires the court to consider the best interests of the child.</w:t>
      </w:r>
    </w:p>
    <w:p w:rsidR="00D668F7" w:rsidRDefault="00D668F7" w:rsidP="005A5B48">
      <w:pPr>
        <w:pStyle w:val="ListParagraph"/>
        <w:ind w:left="1134"/>
        <w:rPr>
          <w:rFonts w:cs="Times New Roman"/>
          <w:szCs w:val="28"/>
        </w:rPr>
      </w:pPr>
    </w:p>
    <w:p w:rsidR="00D668F7" w:rsidRPr="008743DC" w:rsidRDefault="008743DC" w:rsidP="008743DC">
      <w:pPr>
        <w:ind w:left="2235" w:hanging="675"/>
        <w:rPr>
          <w:rFonts w:cs="Times New Roman"/>
          <w:szCs w:val="28"/>
        </w:rPr>
      </w:pPr>
      <w:r w:rsidRPr="003A34C3">
        <w:rPr>
          <w:rFonts w:cs="Times New Roman"/>
          <w:szCs w:val="28"/>
        </w:rPr>
        <w:t>126.6</w:t>
      </w:r>
      <w:r w:rsidRPr="003A34C3">
        <w:rPr>
          <w:rFonts w:cs="Times New Roman"/>
          <w:szCs w:val="28"/>
        </w:rPr>
        <w:tab/>
      </w:r>
      <w:r w:rsidR="00D668F7" w:rsidRPr="008743DC">
        <w:rPr>
          <w:rFonts w:cs="Times New Roman"/>
          <w:szCs w:val="28"/>
        </w:rPr>
        <w:t>There was also evidence to the effect of “</w:t>
      </w:r>
      <w:proofErr w:type="spellStart"/>
      <w:r w:rsidR="00D668F7" w:rsidRPr="008743DC">
        <w:rPr>
          <w:rFonts w:cs="Times New Roman"/>
          <w:szCs w:val="28"/>
        </w:rPr>
        <w:t>overservicing</w:t>
      </w:r>
      <w:proofErr w:type="spellEnd"/>
      <w:r w:rsidR="00D668F7" w:rsidRPr="008743DC">
        <w:rPr>
          <w:rFonts w:cs="Times New Roman"/>
          <w:szCs w:val="28"/>
        </w:rPr>
        <w:t xml:space="preserve">” in </w:t>
      </w:r>
      <w:r w:rsidR="00A771D1" w:rsidRPr="008743DC">
        <w:rPr>
          <w:rFonts w:cs="Times New Roman"/>
          <w:szCs w:val="28"/>
        </w:rPr>
        <w:t xml:space="preserve">  </w:t>
      </w:r>
      <w:r w:rsidR="00E24DDC" w:rsidRPr="008743DC">
        <w:rPr>
          <w:rFonts w:cs="Times New Roman"/>
          <w:szCs w:val="28"/>
        </w:rPr>
        <w:t xml:space="preserve"> </w:t>
      </w:r>
      <w:r w:rsidR="00D668F7" w:rsidRPr="008743DC">
        <w:rPr>
          <w:rFonts w:cs="Times New Roman"/>
          <w:szCs w:val="28"/>
        </w:rPr>
        <w:t>the private healthcare sector</w:t>
      </w:r>
      <w:r w:rsidR="00CC3B6C" w:rsidRPr="008743DC">
        <w:rPr>
          <w:rFonts w:cs="Times New Roman"/>
          <w:szCs w:val="28"/>
        </w:rPr>
        <w:t xml:space="preserve">, and it would be wasteful to hold the defendant to a standard which to some extent is based on </w:t>
      </w:r>
      <w:proofErr w:type="spellStart"/>
      <w:r w:rsidR="00CC3B6C" w:rsidRPr="008743DC">
        <w:rPr>
          <w:rFonts w:cs="Times New Roman"/>
          <w:szCs w:val="28"/>
        </w:rPr>
        <w:t>overservicing</w:t>
      </w:r>
      <w:proofErr w:type="spellEnd"/>
      <w:r w:rsidR="00CC3B6C" w:rsidRPr="008743DC">
        <w:rPr>
          <w:rFonts w:cs="Times New Roman"/>
          <w:szCs w:val="28"/>
        </w:rPr>
        <w:t>.</w:t>
      </w:r>
    </w:p>
    <w:p w:rsidR="006D6BA7" w:rsidRDefault="006D6BA7" w:rsidP="00010E6D">
      <w:pPr>
        <w:rPr>
          <w:rFonts w:cs="Times New Roman"/>
          <w:szCs w:val="28"/>
        </w:rPr>
      </w:pPr>
    </w:p>
    <w:p w:rsidR="00CC3B6C" w:rsidRDefault="0097553D" w:rsidP="00010E6D">
      <w:pPr>
        <w:rPr>
          <w:rFonts w:cs="Times New Roman"/>
          <w:szCs w:val="28"/>
        </w:rPr>
      </w:pPr>
      <w:r>
        <w:rPr>
          <w:rFonts w:cs="Times New Roman"/>
          <w:szCs w:val="28"/>
        </w:rPr>
        <w:t>[127</w:t>
      </w:r>
      <w:r w:rsidR="00D52BA3">
        <w:rPr>
          <w:rFonts w:cs="Times New Roman"/>
          <w:szCs w:val="28"/>
        </w:rPr>
        <w:t>]</w:t>
      </w:r>
      <w:r w:rsidR="00D52BA3">
        <w:rPr>
          <w:rFonts w:cs="Times New Roman"/>
          <w:szCs w:val="28"/>
        </w:rPr>
        <w:tab/>
      </w:r>
      <w:r w:rsidR="00030592">
        <w:rPr>
          <w:rFonts w:cs="Times New Roman"/>
          <w:szCs w:val="28"/>
        </w:rPr>
        <w:t xml:space="preserve">It was the plaintiff’s argument in this regard that the standard set by </w:t>
      </w:r>
      <w:r w:rsidR="00030592" w:rsidRPr="00172C5E">
        <w:rPr>
          <w:rFonts w:cs="Times New Roman"/>
          <w:i/>
          <w:szCs w:val="28"/>
        </w:rPr>
        <w:t>DZ</w:t>
      </w:r>
      <w:r w:rsidR="00030592">
        <w:rPr>
          <w:rFonts w:cs="Times New Roman"/>
          <w:iCs/>
          <w:szCs w:val="28"/>
        </w:rPr>
        <w:t xml:space="preserve"> was indeed</w:t>
      </w:r>
      <w:r w:rsidR="00030592">
        <w:rPr>
          <w:rFonts w:cs="Times New Roman"/>
          <w:szCs w:val="28"/>
        </w:rPr>
        <w:t xml:space="preserve"> that it</w:t>
      </w:r>
      <w:r w:rsidR="00162DBC">
        <w:rPr>
          <w:rFonts w:cs="Times New Roman"/>
          <w:szCs w:val="28"/>
        </w:rPr>
        <w:t xml:space="preserve"> is </w:t>
      </w:r>
      <w:r w:rsidR="00030592">
        <w:rPr>
          <w:rFonts w:cs="Times New Roman"/>
          <w:szCs w:val="28"/>
        </w:rPr>
        <w:t>necessary to establish that the public healthcare services are the equivalent of, or a higher standard than</w:t>
      </w:r>
      <w:r w:rsidR="00172C5E">
        <w:rPr>
          <w:rFonts w:cs="Times New Roman"/>
          <w:szCs w:val="28"/>
        </w:rPr>
        <w:t>,</w:t>
      </w:r>
      <w:r w:rsidR="00030592">
        <w:rPr>
          <w:rFonts w:cs="Times New Roman"/>
          <w:szCs w:val="28"/>
        </w:rPr>
        <w:t xml:space="preserve"> that existing in the private healthcare sector. </w:t>
      </w:r>
      <w:r w:rsidR="00E54329">
        <w:rPr>
          <w:rFonts w:cs="Times New Roman"/>
          <w:szCs w:val="28"/>
        </w:rPr>
        <w:t xml:space="preserve">It was submitted </w:t>
      </w:r>
      <w:r w:rsidR="00030592">
        <w:rPr>
          <w:rFonts w:cs="Times New Roman"/>
          <w:szCs w:val="28"/>
        </w:rPr>
        <w:t xml:space="preserve">that this was indeed the standard accepted in </w:t>
      </w:r>
      <w:r w:rsidR="00DE1060">
        <w:rPr>
          <w:rFonts w:cs="Times New Roman"/>
          <w:i/>
          <w:iCs/>
          <w:szCs w:val="28"/>
        </w:rPr>
        <w:t>MSM</w:t>
      </w:r>
      <w:r w:rsidR="00030592">
        <w:rPr>
          <w:rFonts w:cs="Times New Roman"/>
          <w:szCs w:val="28"/>
        </w:rPr>
        <w:t>.</w:t>
      </w:r>
    </w:p>
    <w:p w:rsidR="00DE793E" w:rsidRDefault="00DE793E" w:rsidP="00010E6D">
      <w:pPr>
        <w:rPr>
          <w:rFonts w:cs="Times New Roman"/>
          <w:szCs w:val="28"/>
        </w:rPr>
      </w:pPr>
    </w:p>
    <w:p w:rsidR="00DE793E" w:rsidRDefault="0097553D" w:rsidP="00010E6D">
      <w:pPr>
        <w:rPr>
          <w:rFonts w:cs="Times New Roman"/>
          <w:szCs w:val="28"/>
        </w:rPr>
      </w:pPr>
      <w:r>
        <w:rPr>
          <w:rFonts w:cs="Times New Roman"/>
          <w:szCs w:val="28"/>
        </w:rPr>
        <w:lastRenderedPageBreak/>
        <w:t>[128</w:t>
      </w:r>
      <w:r w:rsidR="00D52BA3">
        <w:rPr>
          <w:rFonts w:cs="Times New Roman"/>
          <w:szCs w:val="28"/>
        </w:rPr>
        <w:t>]</w:t>
      </w:r>
      <w:r w:rsidR="00D52BA3">
        <w:rPr>
          <w:rFonts w:cs="Times New Roman"/>
          <w:szCs w:val="28"/>
        </w:rPr>
        <w:tab/>
      </w:r>
      <w:r w:rsidR="00DE793E">
        <w:rPr>
          <w:rFonts w:cs="Times New Roman"/>
          <w:szCs w:val="28"/>
        </w:rPr>
        <w:t xml:space="preserve">It is of importance to note three things about the dictum relied on by the plaintiff in </w:t>
      </w:r>
      <w:r w:rsidR="00DE793E" w:rsidRPr="00172C5E">
        <w:rPr>
          <w:rFonts w:cs="Times New Roman"/>
          <w:i/>
          <w:szCs w:val="28"/>
        </w:rPr>
        <w:t>DZ</w:t>
      </w:r>
      <w:r w:rsidR="00A90F86">
        <w:rPr>
          <w:rFonts w:cs="Times New Roman"/>
          <w:szCs w:val="28"/>
        </w:rPr>
        <w:t xml:space="preserve"> </w:t>
      </w:r>
      <w:r w:rsidR="00DE793E">
        <w:rPr>
          <w:rFonts w:cs="Times New Roman"/>
          <w:szCs w:val="28"/>
        </w:rPr>
        <w:t>in this regard. Firstly, in dealing with the</w:t>
      </w:r>
      <w:r w:rsidR="00162DBC">
        <w:rPr>
          <w:rFonts w:cs="Times New Roman"/>
          <w:szCs w:val="28"/>
        </w:rPr>
        <w:t xml:space="preserve"> required</w:t>
      </w:r>
      <w:r w:rsidR="00DE793E">
        <w:rPr>
          <w:rFonts w:cs="Times New Roman"/>
          <w:szCs w:val="28"/>
        </w:rPr>
        <w:t xml:space="preserve"> standar</w:t>
      </w:r>
      <w:r w:rsidR="00162DBC">
        <w:rPr>
          <w:rFonts w:cs="Times New Roman"/>
          <w:szCs w:val="28"/>
        </w:rPr>
        <w:t>d</w:t>
      </w:r>
      <w:r w:rsidR="00172C5E">
        <w:rPr>
          <w:rFonts w:cs="Times New Roman"/>
          <w:szCs w:val="28"/>
        </w:rPr>
        <w:t>,</w:t>
      </w:r>
      <w:r w:rsidR="00DE793E">
        <w:rPr>
          <w:rFonts w:cs="Times New Roman"/>
          <w:szCs w:val="28"/>
        </w:rPr>
        <w:t xml:space="preserve"> </w:t>
      </w:r>
      <w:proofErr w:type="spellStart"/>
      <w:r w:rsidR="00DE793E">
        <w:rPr>
          <w:rFonts w:cs="Times New Roman"/>
          <w:szCs w:val="28"/>
        </w:rPr>
        <w:t>Froneman</w:t>
      </w:r>
      <w:proofErr w:type="spellEnd"/>
      <w:r w:rsidR="00DE793E">
        <w:rPr>
          <w:rFonts w:cs="Times New Roman"/>
          <w:szCs w:val="28"/>
        </w:rPr>
        <w:t xml:space="preserve"> J was dealing with the mitigation of damages defence, a defence which the defendant has purposefully jettisoned and not relied upon in this case. Secondly, whilst it is correct that </w:t>
      </w:r>
      <w:proofErr w:type="spellStart"/>
      <w:r w:rsidR="00DE793E">
        <w:rPr>
          <w:rFonts w:cs="Times New Roman"/>
          <w:szCs w:val="28"/>
        </w:rPr>
        <w:t>Froneman</w:t>
      </w:r>
      <w:proofErr w:type="spellEnd"/>
      <w:r w:rsidR="00DE793E">
        <w:rPr>
          <w:rFonts w:cs="Times New Roman"/>
          <w:szCs w:val="28"/>
        </w:rPr>
        <w:t xml:space="preserve"> J said </w:t>
      </w:r>
      <w:proofErr w:type="spellStart"/>
      <w:r w:rsidR="00DE793E" w:rsidRPr="00172C5E">
        <w:rPr>
          <w:rFonts w:cs="Times New Roman"/>
          <w:i/>
          <w:iCs/>
          <w:szCs w:val="28"/>
        </w:rPr>
        <w:t>N</w:t>
      </w:r>
      <w:r w:rsidR="00162DBC" w:rsidRPr="00172C5E">
        <w:rPr>
          <w:rFonts w:cs="Times New Roman"/>
          <w:i/>
          <w:iCs/>
          <w:szCs w:val="28"/>
        </w:rPr>
        <w:t>gubane</w:t>
      </w:r>
      <w:proofErr w:type="spellEnd"/>
      <w:r w:rsidR="00DE793E">
        <w:rPr>
          <w:rFonts w:cs="Times New Roman"/>
          <w:szCs w:val="28"/>
        </w:rPr>
        <w:t xml:space="preserve"> is authority for allowing a defendant to produce evidence </w:t>
      </w:r>
      <w:r w:rsidR="002C4048">
        <w:rPr>
          <w:rFonts w:cs="Times New Roman"/>
          <w:szCs w:val="28"/>
        </w:rPr>
        <w:t>of</w:t>
      </w:r>
      <w:r w:rsidR="00DE793E">
        <w:rPr>
          <w:rFonts w:cs="Times New Roman"/>
          <w:szCs w:val="28"/>
        </w:rPr>
        <w:t xml:space="preserve"> medical services of the same or </w:t>
      </w:r>
      <w:r w:rsidR="002C4048">
        <w:rPr>
          <w:rFonts w:cs="Times New Roman"/>
          <w:szCs w:val="28"/>
        </w:rPr>
        <w:t xml:space="preserve">a </w:t>
      </w:r>
      <w:r w:rsidR="00DE793E">
        <w:rPr>
          <w:rFonts w:cs="Times New Roman"/>
          <w:szCs w:val="28"/>
        </w:rPr>
        <w:t>higher standa</w:t>
      </w:r>
      <w:r w:rsidR="002C4048">
        <w:rPr>
          <w:rFonts w:cs="Times New Roman"/>
          <w:szCs w:val="28"/>
        </w:rPr>
        <w:t>rd</w:t>
      </w:r>
      <w:r w:rsidR="00DE793E">
        <w:rPr>
          <w:rFonts w:cs="Times New Roman"/>
          <w:szCs w:val="28"/>
        </w:rPr>
        <w:t xml:space="preserve">, </w:t>
      </w:r>
      <w:r w:rsidR="002C4048">
        <w:rPr>
          <w:rFonts w:cs="Times New Roman"/>
          <w:szCs w:val="28"/>
        </w:rPr>
        <w:t>i</w:t>
      </w:r>
      <w:r w:rsidR="00DE793E">
        <w:rPr>
          <w:rFonts w:cs="Times New Roman"/>
          <w:szCs w:val="28"/>
        </w:rPr>
        <w:t xml:space="preserve">n doing so he was effectively summarizing the dictum in </w:t>
      </w:r>
      <w:proofErr w:type="spellStart"/>
      <w:r w:rsidR="00DE793E" w:rsidRPr="002C4048">
        <w:rPr>
          <w:rFonts w:cs="Times New Roman"/>
          <w:i/>
          <w:iCs/>
          <w:szCs w:val="28"/>
        </w:rPr>
        <w:t>N</w:t>
      </w:r>
      <w:r w:rsidR="002C4048" w:rsidRPr="002C4048">
        <w:rPr>
          <w:rFonts w:cs="Times New Roman"/>
          <w:i/>
          <w:iCs/>
          <w:szCs w:val="28"/>
        </w:rPr>
        <w:t>gubane</w:t>
      </w:r>
      <w:proofErr w:type="spellEnd"/>
      <w:r w:rsidR="00DE793E">
        <w:rPr>
          <w:rFonts w:cs="Times New Roman"/>
          <w:szCs w:val="28"/>
        </w:rPr>
        <w:t>.</w:t>
      </w:r>
      <w:r w:rsidR="00DE793E">
        <w:rPr>
          <w:rStyle w:val="FootnoteReference"/>
          <w:rFonts w:cs="Times New Roman"/>
          <w:szCs w:val="28"/>
        </w:rPr>
        <w:footnoteReference w:id="63"/>
      </w:r>
      <w:r w:rsidR="00DE793E">
        <w:rPr>
          <w:rFonts w:cs="Times New Roman"/>
          <w:szCs w:val="28"/>
        </w:rPr>
        <w:t xml:space="preserve"> Thirdly, insofar as the public healthcare defence is concerned, and insofar as this part of the dictum may be related thereto, it is accepted that it was an </w:t>
      </w:r>
      <w:r w:rsidR="00DE793E" w:rsidRPr="00A5429D">
        <w:rPr>
          <w:rFonts w:cs="Times New Roman"/>
          <w:i/>
          <w:iCs/>
          <w:szCs w:val="28"/>
        </w:rPr>
        <w:t>obiter dictum</w:t>
      </w:r>
      <w:r w:rsidR="00DE793E">
        <w:rPr>
          <w:rFonts w:cs="Times New Roman"/>
          <w:szCs w:val="28"/>
        </w:rPr>
        <w:t>.</w:t>
      </w:r>
    </w:p>
    <w:p w:rsidR="00DE793E" w:rsidRDefault="00DE793E" w:rsidP="00010E6D">
      <w:pPr>
        <w:rPr>
          <w:rFonts w:cs="Times New Roman"/>
          <w:szCs w:val="28"/>
        </w:rPr>
      </w:pPr>
    </w:p>
    <w:p w:rsidR="00DE793E" w:rsidRDefault="004632C9" w:rsidP="00010E6D">
      <w:pPr>
        <w:rPr>
          <w:rFonts w:cs="Times New Roman"/>
          <w:szCs w:val="28"/>
        </w:rPr>
      </w:pPr>
      <w:r>
        <w:rPr>
          <w:rFonts w:cs="Times New Roman"/>
          <w:szCs w:val="28"/>
        </w:rPr>
        <w:t>[129</w:t>
      </w:r>
      <w:r w:rsidR="00D52BA3">
        <w:rPr>
          <w:rFonts w:cs="Times New Roman"/>
          <w:szCs w:val="28"/>
        </w:rPr>
        <w:t>]</w:t>
      </w:r>
      <w:r w:rsidR="00D52BA3">
        <w:rPr>
          <w:rFonts w:cs="Times New Roman"/>
          <w:szCs w:val="28"/>
        </w:rPr>
        <w:tab/>
      </w:r>
      <w:r w:rsidR="001763A3">
        <w:rPr>
          <w:rFonts w:cs="Times New Roman"/>
          <w:szCs w:val="28"/>
        </w:rPr>
        <w:t xml:space="preserve">The </w:t>
      </w:r>
      <w:r w:rsidR="00DE793E">
        <w:rPr>
          <w:rFonts w:cs="Times New Roman"/>
          <w:szCs w:val="28"/>
        </w:rPr>
        <w:t xml:space="preserve">difficulty which I have with the statement that </w:t>
      </w:r>
      <w:proofErr w:type="spellStart"/>
      <w:r w:rsidR="00DE793E" w:rsidRPr="002C4048">
        <w:rPr>
          <w:rFonts w:cs="Times New Roman"/>
          <w:i/>
          <w:iCs/>
          <w:szCs w:val="28"/>
        </w:rPr>
        <w:t>N</w:t>
      </w:r>
      <w:r w:rsidR="002C4048">
        <w:rPr>
          <w:rFonts w:cs="Times New Roman"/>
          <w:i/>
          <w:iCs/>
          <w:szCs w:val="28"/>
        </w:rPr>
        <w:t>gubane</w:t>
      </w:r>
      <w:proofErr w:type="spellEnd"/>
      <w:r w:rsidR="00DE793E">
        <w:rPr>
          <w:rFonts w:cs="Times New Roman"/>
          <w:szCs w:val="28"/>
        </w:rPr>
        <w:t xml:space="preserve"> is indeed authority for this contention</w:t>
      </w:r>
      <w:r w:rsidR="00A5429D">
        <w:rPr>
          <w:rFonts w:cs="Times New Roman"/>
          <w:szCs w:val="28"/>
        </w:rPr>
        <w:t>,</w:t>
      </w:r>
      <w:r w:rsidR="00DE793E">
        <w:rPr>
          <w:rFonts w:cs="Times New Roman"/>
          <w:szCs w:val="28"/>
        </w:rPr>
        <w:t xml:space="preserve"> is that </w:t>
      </w:r>
      <w:proofErr w:type="spellStart"/>
      <w:r w:rsidR="00DE793E">
        <w:rPr>
          <w:rFonts w:cs="Times New Roman"/>
          <w:szCs w:val="28"/>
        </w:rPr>
        <w:t>Kumleben</w:t>
      </w:r>
      <w:proofErr w:type="spellEnd"/>
      <w:r w:rsidR="00DE793E">
        <w:rPr>
          <w:rFonts w:cs="Times New Roman"/>
          <w:szCs w:val="28"/>
        </w:rPr>
        <w:t xml:space="preserve"> JA</w:t>
      </w:r>
      <w:r w:rsidR="00F20635">
        <w:rPr>
          <w:rFonts w:cs="Times New Roman"/>
          <w:szCs w:val="28"/>
        </w:rPr>
        <w:t xml:space="preserve"> in </w:t>
      </w:r>
      <w:proofErr w:type="spellStart"/>
      <w:r w:rsidR="00F20635" w:rsidRPr="002C4048">
        <w:rPr>
          <w:rFonts w:cs="Times New Roman"/>
          <w:i/>
          <w:iCs/>
          <w:szCs w:val="28"/>
        </w:rPr>
        <w:t>N</w:t>
      </w:r>
      <w:r w:rsidR="002C4048">
        <w:rPr>
          <w:rFonts w:cs="Times New Roman"/>
          <w:i/>
          <w:iCs/>
          <w:szCs w:val="28"/>
        </w:rPr>
        <w:t>gubane</w:t>
      </w:r>
      <w:proofErr w:type="spellEnd"/>
      <w:r w:rsidR="00F20635">
        <w:rPr>
          <w:rFonts w:cs="Times New Roman"/>
          <w:szCs w:val="28"/>
        </w:rPr>
        <w:t xml:space="preserve"> did not say that the evidence in rebuttal by a defendant should establish that medical services “of the same or higher standard” will be available to the plaintiff in the future. He said that</w:t>
      </w:r>
      <w:r w:rsidR="006E2004">
        <w:rPr>
          <w:rFonts w:cs="Times New Roman"/>
          <w:szCs w:val="28"/>
        </w:rPr>
        <w:t xml:space="preserve"> the respondent was required to produce evidence in rebuttal:</w:t>
      </w:r>
    </w:p>
    <w:p w:rsidR="00DE793E" w:rsidRDefault="00DE793E" w:rsidP="00010E6D">
      <w:pPr>
        <w:rPr>
          <w:rFonts w:cs="Times New Roman"/>
          <w:szCs w:val="28"/>
        </w:rPr>
      </w:pPr>
    </w:p>
    <w:p w:rsidR="00DE793E" w:rsidRDefault="006E2004" w:rsidP="00935ACB">
      <w:pPr>
        <w:ind w:left="630" w:right="386"/>
        <w:rPr>
          <w:rFonts w:cs="Times New Roman"/>
          <w:szCs w:val="28"/>
        </w:rPr>
      </w:pPr>
      <w:r>
        <w:rPr>
          <w:rFonts w:cs="Times New Roman"/>
          <w:szCs w:val="28"/>
        </w:rPr>
        <w:t>“</w:t>
      </w:r>
      <w:proofErr w:type="gramStart"/>
      <w:r>
        <w:rPr>
          <w:rFonts w:cs="Times New Roman"/>
          <w:szCs w:val="28"/>
        </w:rPr>
        <w:t>…..</w:t>
      </w:r>
      <w:proofErr w:type="gramEnd"/>
      <w:r>
        <w:rPr>
          <w:rFonts w:cs="Times New Roman"/>
          <w:sz w:val="24"/>
          <w:szCs w:val="24"/>
        </w:rPr>
        <w:t>i</w:t>
      </w:r>
      <w:r w:rsidRPr="006E2004">
        <w:rPr>
          <w:rFonts w:cs="Times New Roman"/>
          <w:sz w:val="24"/>
          <w:szCs w:val="24"/>
        </w:rPr>
        <w:t>n support of its contention</w:t>
      </w:r>
      <w:r w:rsidRPr="007A6D15">
        <w:rPr>
          <w:sz w:val="24"/>
          <w:szCs w:val="24"/>
        </w:rPr>
        <w:t xml:space="preserve">, that is to say, that for the next 35 years, or for some shorter period, </w:t>
      </w:r>
      <w:r w:rsidRPr="006E2004">
        <w:rPr>
          <w:sz w:val="24"/>
          <w:szCs w:val="24"/>
          <w:u w:val="single"/>
        </w:rPr>
        <w:t>medical services of the same, or an acceptably high, standard</w:t>
      </w:r>
      <w:r w:rsidRPr="007A6D15">
        <w:rPr>
          <w:sz w:val="24"/>
          <w:szCs w:val="24"/>
        </w:rPr>
        <w:t xml:space="preserve"> will be available to the appellant at no cost or for less than that claimed by him.”</w:t>
      </w:r>
      <w:r>
        <w:rPr>
          <w:sz w:val="24"/>
          <w:szCs w:val="24"/>
        </w:rPr>
        <w:t xml:space="preserve"> [My underlining]</w:t>
      </w:r>
    </w:p>
    <w:p w:rsidR="00030592" w:rsidRDefault="00030592" w:rsidP="00010E6D">
      <w:pPr>
        <w:rPr>
          <w:rFonts w:cs="Times New Roman"/>
          <w:szCs w:val="28"/>
        </w:rPr>
      </w:pPr>
    </w:p>
    <w:p w:rsidR="00030592" w:rsidRDefault="00893755" w:rsidP="00010E6D">
      <w:pPr>
        <w:rPr>
          <w:rFonts w:cs="Times New Roman"/>
          <w:iCs/>
          <w:szCs w:val="28"/>
        </w:rPr>
      </w:pPr>
      <w:r>
        <w:rPr>
          <w:rFonts w:cs="Times New Roman"/>
          <w:szCs w:val="28"/>
        </w:rPr>
        <w:t>[130</w:t>
      </w:r>
      <w:r w:rsidR="00D52BA3">
        <w:rPr>
          <w:rFonts w:cs="Times New Roman"/>
          <w:szCs w:val="28"/>
        </w:rPr>
        <w:t>]</w:t>
      </w:r>
      <w:r w:rsidR="00D52BA3">
        <w:rPr>
          <w:rFonts w:cs="Times New Roman"/>
          <w:szCs w:val="28"/>
        </w:rPr>
        <w:tab/>
      </w:r>
      <w:r w:rsidR="006E2004">
        <w:rPr>
          <w:rFonts w:cs="Times New Roman"/>
          <w:szCs w:val="28"/>
        </w:rPr>
        <w:t xml:space="preserve">Indeed, during the course of reaching this conclusion, </w:t>
      </w:r>
      <w:proofErr w:type="spellStart"/>
      <w:r w:rsidR="006E2004">
        <w:rPr>
          <w:rFonts w:cs="Times New Roman"/>
          <w:szCs w:val="28"/>
        </w:rPr>
        <w:t>Kumleben</w:t>
      </w:r>
      <w:proofErr w:type="spellEnd"/>
      <w:r w:rsidR="006E2004">
        <w:rPr>
          <w:rFonts w:cs="Times New Roman"/>
          <w:szCs w:val="28"/>
        </w:rPr>
        <w:t xml:space="preserve"> JA stressed the question of reasonableness in this regard particularly by reference</w:t>
      </w:r>
      <w:r w:rsidR="006E2004">
        <w:rPr>
          <w:rStyle w:val="FootnoteReference"/>
          <w:rFonts w:cs="Times New Roman"/>
          <w:szCs w:val="28"/>
        </w:rPr>
        <w:footnoteReference w:id="64"/>
      </w:r>
      <w:r w:rsidR="006E2004">
        <w:rPr>
          <w:rFonts w:cs="Times New Roman"/>
          <w:szCs w:val="28"/>
        </w:rPr>
        <w:t xml:space="preserve"> </w:t>
      </w:r>
      <w:r w:rsidR="006E2004">
        <w:rPr>
          <w:rFonts w:cs="Times New Roman"/>
          <w:szCs w:val="28"/>
        </w:rPr>
        <w:lastRenderedPageBreak/>
        <w:t xml:space="preserve">to the cases of </w:t>
      </w:r>
      <w:r w:rsidR="006E2004" w:rsidRPr="006E2004">
        <w:rPr>
          <w:rFonts w:cs="Times New Roman"/>
          <w:i/>
          <w:iCs/>
          <w:szCs w:val="28"/>
        </w:rPr>
        <w:t>Erasmus</w:t>
      </w:r>
      <w:r w:rsidR="006E2004">
        <w:rPr>
          <w:rStyle w:val="FootnoteReference"/>
          <w:rFonts w:cs="Times New Roman"/>
          <w:szCs w:val="28"/>
        </w:rPr>
        <w:footnoteReference w:id="65"/>
      </w:r>
      <w:r w:rsidR="006E2004">
        <w:rPr>
          <w:rFonts w:cs="Times New Roman"/>
          <w:i/>
          <w:iCs/>
          <w:szCs w:val="28"/>
        </w:rPr>
        <w:t xml:space="preserve"> </w:t>
      </w:r>
      <w:r w:rsidR="006E2004">
        <w:rPr>
          <w:rFonts w:cs="Times New Roman"/>
          <w:iCs/>
          <w:szCs w:val="28"/>
        </w:rPr>
        <w:t>and</w:t>
      </w:r>
      <w:r w:rsidR="006E2004" w:rsidRPr="006E2004">
        <w:rPr>
          <w:rFonts w:cs="Times New Roman"/>
          <w:i/>
          <w:szCs w:val="28"/>
        </w:rPr>
        <w:t xml:space="preserve"> </w:t>
      </w:r>
      <w:proofErr w:type="spellStart"/>
      <w:r w:rsidR="006E2004" w:rsidRPr="006E2004">
        <w:rPr>
          <w:rFonts w:cs="Times New Roman"/>
          <w:i/>
          <w:szCs w:val="28"/>
        </w:rPr>
        <w:t>Janeke</w:t>
      </w:r>
      <w:proofErr w:type="spellEnd"/>
      <w:r w:rsidR="006E2004">
        <w:rPr>
          <w:rFonts w:cs="Times New Roman"/>
          <w:iCs/>
          <w:szCs w:val="28"/>
        </w:rPr>
        <w:t>.</w:t>
      </w:r>
      <w:r w:rsidR="006E2004">
        <w:rPr>
          <w:rStyle w:val="FootnoteReference"/>
          <w:rFonts w:cs="Times New Roman"/>
          <w:iCs/>
          <w:szCs w:val="28"/>
        </w:rPr>
        <w:footnoteReference w:id="66"/>
      </w:r>
      <w:r w:rsidR="006E2004">
        <w:rPr>
          <w:rFonts w:cs="Times New Roman"/>
          <w:iCs/>
          <w:szCs w:val="28"/>
        </w:rPr>
        <w:t xml:space="preserve"> </w:t>
      </w:r>
      <w:r w:rsidR="002C4048">
        <w:rPr>
          <w:rFonts w:cs="Times New Roman"/>
          <w:iCs/>
          <w:szCs w:val="28"/>
        </w:rPr>
        <w:t>O</w:t>
      </w:r>
      <w:r w:rsidR="006E2004">
        <w:rPr>
          <w:rFonts w:cs="Times New Roman"/>
          <w:iCs/>
          <w:szCs w:val="28"/>
        </w:rPr>
        <w:t xml:space="preserve">n my reading of </w:t>
      </w:r>
      <w:proofErr w:type="spellStart"/>
      <w:r w:rsidR="006E2004" w:rsidRPr="002C4048">
        <w:rPr>
          <w:rFonts w:cs="Times New Roman"/>
          <w:i/>
          <w:szCs w:val="28"/>
        </w:rPr>
        <w:t>N</w:t>
      </w:r>
      <w:r w:rsidR="002C4048" w:rsidRPr="002C4048">
        <w:rPr>
          <w:rFonts w:cs="Times New Roman"/>
          <w:i/>
          <w:szCs w:val="28"/>
        </w:rPr>
        <w:t>gubane</w:t>
      </w:r>
      <w:proofErr w:type="spellEnd"/>
      <w:r w:rsidR="006E2004">
        <w:rPr>
          <w:rFonts w:cs="Times New Roman"/>
          <w:iCs/>
          <w:szCs w:val="28"/>
        </w:rPr>
        <w:t>, the underlying premise relating to the standard required was one of “reasonableness” which is in harmony with</w:t>
      </w:r>
      <w:r w:rsidR="006C3630">
        <w:rPr>
          <w:rFonts w:cs="Times New Roman"/>
          <w:iCs/>
          <w:szCs w:val="28"/>
        </w:rPr>
        <w:t xml:space="preserve"> section 27(2) of the Constitution and its jurisprudence as dealt with earlier.</w:t>
      </w:r>
      <w:r w:rsidR="00694286">
        <w:rPr>
          <w:rFonts w:cs="Times New Roman"/>
          <w:iCs/>
          <w:szCs w:val="28"/>
        </w:rPr>
        <w:t xml:space="preserve"> When </w:t>
      </w:r>
      <w:proofErr w:type="spellStart"/>
      <w:r w:rsidR="00694286">
        <w:rPr>
          <w:rFonts w:cs="Times New Roman"/>
          <w:iCs/>
          <w:szCs w:val="28"/>
        </w:rPr>
        <w:t>Froneman</w:t>
      </w:r>
      <w:proofErr w:type="spellEnd"/>
      <w:r w:rsidR="00694286">
        <w:rPr>
          <w:rFonts w:cs="Times New Roman"/>
          <w:iCs/>
          <w:szCs w:val="28"/>
        </w:rPr>
        <w:t xml:space="preserve"> J summarized this aspect of the </w:t>
      </w:r>
      <w:proofErr w:type="spellStart"/>
      <w:r w:rsidR="002C4048" w:rsidRPr="002C4048">
        <w:rPr>
          <w:rFonts w:cs="Times New Roman"/>
          <w:i/>
          <w:szCs w:val="28"/>
        </w:rPr>
        <w:t>N</w:t>
      </w:r>
      <w:r w:rsidR="002C4048">
        <w:rPr>
          <w:rFonts w:cs="Times New Roman"/>
          <w:i/>
          <w:szCs w:val="28"/>
        </w:rPr>
        <w:t>gubane</w:t>
      </w:r>
      <w:proofErr w:type="spellEnd"/>
      <w:r w:rsidR="002C4048">
        <w:rPr>
          <w:rFonts w:cs="Times New Roman"/>
          <w:iCs/>
          <w:szCs w:val="28"/>
        </w:rPr>
        <w:t xml:space="preserve"> </w:t>
      </w:r>
      <w:r w:rsidR="00694286">
        <w:rPr>
          <w:rFonts w:cs="Times New Roman"/>
          <w:iCs/>
          <w:szCs w:val="28"/>
        </w:rPr>
        <w:t xml:space="preserve">judgment, he did not say that he differed therefrom and thus, because of his reliance on that case, one can assume that he intended to accurately restate the law as set out in </w:t>
      </w:r>
      <w:proofErr w:type="spellStart"/>
      <w:r w:rsidR="00694286" w:rsidRPr="002C4048">
        <w:rPr>
          <w:rFonts w:cs="Times New Roman"/>
          <w:i/>
          <w:szCs w:val="28"/>
        </w:rPr>
        <w:t>N</w:t>
      </w:r>
      <w:r w:rsidR="002C4048" w:rsidRPr="002C4048">
        <w:rPr>
          <w:rFonts w:cs="Times New Roman"/>
          <w:i/>
          <w:szCs w:val="28"/>
        </w:rPr>
        <w:t>gubane</w:t>
      </w:r>
      <w:proofErr w:type="spellEnd"/>
      <w:r w:rsidR="00694286">
        <w:rPr>
          <w:rFonts w:cs="Times New Roman"/>
          <w:iCs/>
          <w:szCs w:val="28"/>
        </w:rPr>
        <w:t xml:space="preserve">. </w:t>
      </w:r>
      <w:r w:rsidR="002C4048">
        <w:rPr>
          <w:rFonts w:cs="Times New Roman"/>
          <w:iCs/>
          <w:szCs w:val="28"/>
        </w:rPr>
        <w:t>Thus,</w:t>
      </w:r>
      <w:r w:rsidR="00694286">
        <w:rPr>
          <w:rFonts w:cs="Times New Roman"/>
          <w:iCs/>
          <w:szCs w:val="28"/>
        </w:rPr>
        <w:t xml:space="preserve"> one can conclude on this aspect that </w:t>
      </w:r>
      <w:proofErr w:type="spellStart"/>
      <w:r w:rsidR="00694286">
        <w:rPr>
          <w:rFonts w:cs="Times New Roman"/>
          <w:iCs/>
          <w:szCs w:val="28"/>
        </w:rPr>
        <w:t>Froneman</w:t>
      </w:r>
      <w:proofErr w:type="spellEnd"/>
      <w:r w:rsidR="00694286">
        <w:rPr>
          <w:rFonts w:cs="Times New Roman"/>
          <w:iCs/>
          <w:szCs w:val="28"/>
        </w:rPr>
        <w:t xml:space="preserve"> J intended to say that the standard required was that of a standard equating to that in the private sector, “or an acceptably high, standard” which, in my view, and because of the reasons I have set forth above, translates into his saying that the standard of “reasonableness” is what is required.</w:t>
      </w:r>
    </w:p>
    <w:p w:rsidR="00694286" w:rsidRDefault="00694286" w:rsidP="00010E6D">
      <w:pPr>
        <w:rPr>
          <w:rFonts w:cs="Times New Roman"/>
          <w:iCs/>
          <w:szCs w:val="28"/>
        </w:rPr>
      </w:pPr>
    </w:p>
    <w:p w:rsidR="00694286" w:rsidRDefault="00893755" w:rsidP="00010E6D">
      <w:pPr>
        <w:rPr>
          <w:rFonts w:cs="Times New Roman"/>
          <w:iCs/>
          <w:szCs w:val="28"/>
        </w:rPr>
      </w:pPr>
      <w:r>
        <w:rPr>
          <w:rFonts w:cs="Times New Roman"/>
          <w:iCs/>
          <w:szCs w:val="28"/>
        </w:rPr>
        <w:t>[131</w:t>
      </w:r>
      <w:r w:rsidR="00D52BA3">
        <w:rPr>
          <w:rFonts w:cs="Times New Roman"/>
          <w:iCs/>
          <w:szCs w:val="28"/>
        </w:rPr>
        <w:t>]</w:t>
      </w:r>
      <w:r w:rsidR="00D52BA3">
        <w:rPr>
          <w:rFonts w:cs="Times New Roman"/>
          <w:iCs/>
          <w:szCs w:val="28"/>
        </w:rPr>
        <w:tab/>
      </w:r>
      <w:r w:rsidR="00694286">
        <w:rPr>
          <w:rFonts w:cs="Times New Roman"/>
          <w:iCs/>
          <w:szCs w:val="28"/>
        </w:rPr>
        <w:t>I am further fortified in this view by the practicalities involved in comparing a vast private healthcare sector in the country with that of an equally vast, if not greater, public healthcare sector</w:t>
      </w:r>
      <w:r w:rsidR="00A6089E">
        <w:rPr>
          <w:rFonts w:cs="Times New Roman"/>
          <w:iCs/>
          <w:szCs w:val="28"/>
        </w:rPr>
        <w:t>.</w:t>
      </w:r>
      <w:r w:rsidR="00694286">
        <w:rPr>
          <w:rFonts w:cs="Times New Roman"/>
          <w:iCs/>
          <w:szCs w:val="28"/>
        </w:rPr>
        <w:t xml:space="preserve"> As submitted by the defendant, a number of geographical factors</w:t>
      </w:r>
      <w:r w:rsidR="00A6089E">
        <w:rPr>
          <w:rFonts w:cs="Times New Roman"/>
          <w:iCs/>
          <w:szCs w:val="28"/>
        </w:rPr>
        <w:t xml:space="preserve"> will </w:t>
      </w:r>
      <w:r w:rsidR="00694286">
        <w:rPr>
          <w:rFonts w:cs="Times New Roman"/>
          <w:iCs/>
          <w:szCs w:val="28"/>
        </w:rPr>
        <w:t>play into this and in particular the fact that each separate province has its own health department.</w:t>
      </w:r>
      <w:r w:rsidR="00A6089E" w:rsidRPr="00A6089E">
        <w:rPr>
          <w:rFonts w:cs="Times New Roman"/>
          <w:iCs/>
          <w:szCs w:val="28"/>
        </w:rPr>
        <w:t xml:space="preserve"> </w:t>
      </w:r>
      <w:r w:rsidR="00A6089E">
        <w:rPr>
          <w:rFonts w:cs="Times New Roman"/>
          <w:iCs/>
          <w:szCs w:val="28"/>
        </w:rPr>
        <w:t xml:space="preserve">A requirement that the courts should reach a conclusion as to whether the public healthcare in a particular province, or indeed in a particular locality, is the same or of a higher standard than the private healthcare in that province or locality would be very difficult. On the other hand, a requirement that such medical services are available at a reasonable standard, whilst at first blush may seem to be a case of </w:t>
      </w:r>
      <w:r w:rsidR="006B7BF2">
        <w:rPr>
          <w:rFonts w:cs="Times New Roman"/>
          <w:iCs/>
          <w:szCs w:val="28"/>
        </w:rPr>
        <w:t>‘</w:t>
      </w:r>
      <w:r w:rsidR="00A6089E">
        <w:rPr>
          <w:rFonts w:cs="Times New Roman"/>
          <w:iCs/>
          <w:szCs w:val="28"/>
        </w:rPr>
        <w:t>lowering the bar</w:t>
      </w:r>
      <w:r w:rsidR="006B7BF2">
        <w:rPr>
          <w:rFonts w:cs="Times New Roman"/>
          <w:iCs/>
          <w:szCs w:val="28"/>
        </w:rPr>
        <w:t>’</w:t>
      </w:r>
      <w:r w:rsidR="00A6089E">
        <w:rPr>
          <w:rFonts w:cs="Times New Roman"/>
          <w:iCs/>
          <w:szCs w:val="28"/>
        </w:rPr>
        <w:t xml:space="preserve">, does, in my view, allow the courts more leeway to examine the exigencies of each particular case and to reach a reasoned and logical conclusion on the evidence before </w:t>
      </w:r>
      <w:r w:rsidR="00FA6064">
        <w:rPr>
          <w:rFonts w:cs="Times New Roman"/>
          <w:iCs/>
          <w:szCs w:val="28"/>
        </w:rPr>
        <w:t>them</w:t>
      </w:r>
      <w:r w:rsidR="00A6089E">
        <w:rPr>
          <w:rFonts w:cs="Times New Roman"/>
          <w:iCs/>
          <w:szCs w:val="28"/>
        </w:rPr>
        <w:t>. In this regard it is so, as testified to by various witnesses, that the standard of healthcare in the private sector itself is not universal.</w:t>
      </w:r>
    </w:p>
    <w:p w:rsidR="00A6089E" w:rsidRDefault="00A6089E" w:rsidP="00010E6D">
      <w:pPr>
        <w:rPr>
          <w:rFonts w:cs="Times New Roman"/>
          <w:iCs/>
          <w:szCs w:val="28"/>
        </w:rPr>
      </w:pPr>
    </w:p>
    <w:p w:rsidR="00A6089E" w:rsidRDefault="00D52BA3" w:rsidP="00A6089E">
      <w:pPr>
        <w:rPr>
          <w:rFonts w:cs="Times New Roman"/>
          <w:szCs w:val="28"/>
        </w:rPr>
      </w:pPr>
      <w:r>
        <w:rPr>
          <w:rFonts w:cs="Times New Roman"/>
          <w:iCs/>
          <w:szCs w:val="28"/>
        </w:rPr>
        <w:t>[1</w:t>
      </w:r>
      <w:r w:rsidR="00893755">
        <w:rPr>
          <w:rFonts w:cs="Times New Roman"/>
          <w:iCs/>
          <w:szCs w:val="28"/>
        </w:rPr>
        <w:t>32</w:t>
      </w:r>
      <w:r>
        <w:rPr>
          <w:rFonts w:cs="Times New Roman"/>
          <w:iCs/>
          <w:szCs w:val="28"/>
        </w:rPr>
        <w:t>]</w:t>
      </w:r>
      <w:r>
        <w:rPr>
          <w:rFonts w:cs="Times New Roman"/>
          <w:iCs/>
          <w:szCs w:val="28"/>
        </w:rPr>
        <w:tab/>
      </w:r>
      <w:r w:rsidR="00A6089E" w:rsidRPr="00A6089E">
        <w:rPr>
          <w:rFonts w:cs="Times New Roman"/>
          <w:iCs/>
          <w:szCs w:val="28"/>
        </w:rPr>
        <w:t xml:space="preserve">Furthermore, </w:t>
      </w:r>
      <w:r w:rsidR="00A6089E">
        <w:rPr>
          <w:rFonts w:cs="Times New Roman"/>
          <w:iCs/>
          <w:szCs w:val="28"/>
        </w:rPr>
        <w:t xml:space="preserve">there is much merit in the contention that it </w:t>
      </w:r>
      <w:r w:rsidR="00A6089E" w:rsidRPr="00A6089E">
        <w:rPr>
          <w:rFonts w:cs="Times New Roman"/>
          <w:szCs w:val="28"/>
        </w:rPr>
        <w:t>would be better for the plaintiff to have the best of the strengths of both sectors which a “reasonable standard” would</w:t>
      </w:r>
      <w:r w:rsidR="00A6089E">
        <w:rPr>
          <w:rFonts w:cs="Times New Roman"/>
          <w:szCs w:val="28"/>
        </w:rPr>
        <w:t xml:space="preserve"> accommodate, and</w:t>
      </w:r>
      <w:r w:rsidR="002C4048">
        <w:rPr>
          <w:rFonts w:cs="Times New Roman"/>
          <w:szCs w:val="28"/>
        </w:rPr>
        <w:t xml:space="preserve"> it</w:t>
      </w:r>
      <w:r w:rsidR="00A6089E">
        <w:rPr>
          <w:rFonts w:cs="Times New Roman"/>
          <w:szCs w:val="28"/>
        </w:rPr>
        <w:t xml:space="preserve"> allows for consistency </w:t>
      </w:r>
      <w:r w:rsidR="00A6089E" w:rsidRPr="00A6089E">
        <w:rPr>
          <w:rFonts w:cs="Times New Roman"/>
          <w:szCs w:val="28"/>
        </w:rPr>
        <w:t>with section 28(2) of the Constitution</w:t>
      </w:r>
      <w:r w:rsidR="00A6089E">
        <w:rPr>
          <w:rFonts w:cs="Times New Roman"/>
          <w:szCs w:val="28"/>
        </w:rPr>
        <w:t xml:space="preserve"> and it’s imperative that </w:t>
      </w:r>
      <w:r w:rsidR="00240CE9">
        <w:rPr>
          <w:rFonts w:cs="Times New Roman"/>
          <w:szCs w:val="28"/>
        </w:rPr>
        <w:t>a child’s best interests are of paramount importance in every matter concerning the child.</w:t>
      </w:r>
    </w:p>
    <w:p w:rsidR="00240CE9" w:rsidRDefault="00240CE9" w:rsidP="00A6089E">
      <w:pPr>
        <w:rPr>
          <w:rFonts w:cs="Times New Roman"/>
          <w:szCs w:val="28"/>
        </w:rPr>
      </w:pPr>
    </w:p>
    <w:p w:rsidR="00240CE9" w:rsidRDefault="00893755" w:rsidP="00A6089E">
      <w:pPr>
        <w:rPr>
          <w:rFonts w:cs="Times New Roman"/>
          <w:szCs w:val="28"/>
        </w:rPr>
      </w:pPr>
      <w:r>
        <w:rPr>
          <w:rFonts w:cs="Times New Roman"/>
          <w:szCs w:val="28"/>
        </w:rPr>
        <w:t>[133</w:t>
      </w:r>
      <w:r w:rsidR="00D52BA3">
        <w:rPr>
          <w:rFonts w:cs="Times New Roman"/>
          <w:szCs w:val="28"/>
        </w:rPr>
        <w:t>]</w:t>
      </w:r>
      <w:r w:rsidR="00D52BA3">
        <w:rPr>
          <w:rFonts w:cs="Times New Roman"/>
          <w:szCs w:val="28"/>
        </w:rPr>
        <w:tab/>
      </w:r>
      <w:r w:rsidR="00240CE9">
        <w:rPr>
          <w:rFonts w:cs="Times New Roman"/>
          <w:szCs w:val="28"/>
        </w:rPr>
        <w:t>For these reasons I conclude that a “reasonable standard” is the standard against which this court must assess the future medical services available in the public sector, in the event that the common law is developed.</w:t>
      </w:r>
    </w:p>
    <w:p w:rsidR="00C8097B" w:rsidRDefault="00C8097B" w:rsidP="00010E6D">
      <w:pPr>
        <w:rPr>
          <w:rFonts w:cs="Times New Roman"/>
          <w:szCs w:val="28"/>
        </w:rPr>
      </w:pPr>
      <w:bookmarkStart w:id="10" w:name="_Hlk125637581"/>
    </w:p>
    <w:p w:rsidR="00A6089E" w:rsidRPr="005E31EB" w:rsidRDefault="001F7E37" w:rsidP="00010E6D">
      <w:pPr>
        <w:rPr>
          <w:rFonts w:cs="Times New Roman"/>
          <w:b/>
          <w:bCs/>
          <w:i/>
          <w:iCs/>
          <w:szCs w:val="28"/>
        </w:rPr>
      </w:pPr>
      <w:r>
        <w:rPr>
          <w:rFonts w:cs="Times New Roman"/>
          <w:b/>
          <w:bCs/>
          <w:i/>
          <w:iCs/>
          <w:szCs w:val="28"/>
        </w:rPr>
        <w:t>Assessment of the evidence led regarding development of the common law</w:t>
      </w:r>
    </w:p>
    <w:bookmarkEnd w:id="10"/>
    <w:p w:rsidR="002C4048" w:rsidRDefault="001D098C" w:rsidP="00010E6D">
      <w:pPr>
        <w:rPr>
          <w:rFonts w:cs="Times New Roman"/>
          <w:iCs/>
          <w:szCs w:val="28"/>
        </w:rPr>
      </w:pPr>
      <w:r>
        <w:rPr>
          <w:rFonts w:cs="Times New Roman"/>
          <w:iCs/>
          <w:szCs w:val="28"/>
        </w:rPr>
        <w:t>[134</w:t>
      </w:r>
      <w:r w:rsidR="00D52BA3">
        <w:rPr>
          <w:rFonts w:cs="Times New Roman"/>
          <w:iCs/>
          <w:szCs w:val="28"/>
        </w:rPr>
        <w:t>]</w:t>
      </w:r>
      <w:r w:rsidR="00D52BA3">
        <w:rPr>
          <w:rFonts w:cs="Times New Roman"/>
          <w:iCs/>
          <w:szCs w:val="28"/>
        </w:rPr>
        <w:tab/>
      </w:r>
      <w:r w:rsidR="001C6618">
        <w:rPr>
          <w:rFonts w:cs="Times New Roman"/>
          <w:iCs/>
          <w:szCs w:val="28"/>
        </w:rPr>
        <w:t xml:space="preserve">The evidence summarized earlier in this judgment has reference </w:t>
      </w:r>
      <w:r w:rsidR="000710A3">
        <w:rPr>
          <w:rFonts w:cs="Times New Roman"/>
          <w:iCs/>
          <w:szCs w:val="28"/>
        </w:rPr>
        <w:t>to this part thereof</w:t>
      </w:r>
      <w:r w:rsidR="001C6618">
        <w:rPr>
          <w:rFonts w:cs="Times New Roman"/>
          <w:iCs/>
          <w:szCs w:val="28"/>
        </w:rPr>
        <w:t>. Regarding the</w:t>
      </w:r>
      <w:r w:rsidR="000710A3">
        <w:rPr>
          <w:rFonts w:cs="Times New Roman"/>
          <w:iCs/>
          <w:szCs w:val="28"/>
        </w:rPr>
        <w:t xml:space="preserve"> evidence of the</w:t>
      </w:r>
      <w:r w:rsidR="001C6618">
        <w:rPr>
          <w:rFonts w:cs="Times New Roman"/>
          <w:iCs/>
          <w:szCs w:val="28"/>
        </w:rPr>
        <w:t xml:space="preserve"> defendant’s witnesses, namely Mr Donaldson, Mr </w:t>
      </w:r>
      <w:proofErr w:type="spellStart"/>
      <w:r w:rsidR="001C6618">
        <w:rPr>
          <w:rFonts w:cs="Times New Roman"/>
          <w:iCs/>
          <w:szCs w:val="28"/>
        </w:rPr>
        <w:t>Frachet</w:t>
      </w:r>
      <w:proofErr w:type="spellEnd"/>
      <w:r w:rsidR="001C6618">
        <w:rPr>
          <w:rFonts w:cs="Times New Roman"/>
          <w:iCs/>
          <w:szCs w:val="28"/>
        </w:rPr>
        <w:t xml:space="preserve">, Mr </w:t>
      </w:r>
      <w:proofErr w:type="spellStart"/>
      <w:r w:rsidR="001C6618">
        <w:rPr>
          <w:rFonts w:cs="Times New Roman"/>
          <w:iCs/>
          <w:szCs w:val="28"/>
        </w:rPr>
        <w:t>Howes</w:t>
      </w:r>
      <w:proofErr w:type="spellEnd"/>
      <w:r w:rsidR="001C6618">
        <w:rPr>
          <w:rFonts w:cs="Times New Roman"/>
          <w:iCs/>
          <w:szCs w:val="28"/>
        </w:rPr>
        <w:t xml:space="preserve"> and </w:t>
      </w:r>
      <w:r w:rsidR="006B7BF2">
        <w:rPr>
          <w:rFonts w:cs="Times New Roman"/>
          <w:iCs/>
          <w:szCs w:val="28"/>
        </w:rPr>
        <w:t>Dr</w:t>
      </w:r>
      <w:r w:rsidR="001C6618">
        <w:rPr>
          <w:rFonts w:cs="Times New Roman"/>
          <w:iCs/>
          <w:szCs w:val="28"/>
        </w:rPr>
        <w:t xml:space="preserve"> Wagner, it is so as submitted by the defendant that there was no real direct evidence presented by the plaintiff to contradict the factual assertions contained therein. In any event, having listened to these witnesses I am satisfied that they gave evidence in a forthright and direct manner, </w:t>
      </w:r>
      <w:r w:rsidR="000710A3">
        <w:rPr>
          <w:rFonts w:cs="Times New Roman"/>
          <w:iCs/>
          <w:szCs w:val="28"/>
        </w:rPr>
        <w:t>were</w:t>
      </w:r>
      <w:r w:rsidR="001C6618">
        <w:rPr>
          <w:rFonts w:cs="Times New Roman"/>
          <w:iCs/>
          <w:szCs w:val="28"/>
        </w:rPr>
        <w:t xml:space="preserve"> thoroughly truthful in their factual assertions and tried their best to give the court a full and complete picture of the situation pertaining in the public sector. In this regard, I am fully alive to the fact that Mr </w:t>
      </w:r>
      <w:proofErr w:type="spellStart"/>
      <w:r w:rsidR="001C6618">
        <w:rPr>
          <w:rFonts w:cs="Times New Roman"/>
          <w:iCs/>
          <w:szCs w:val="28"/>
        </w:rPr>
        <w:t>Frachet</w:t>
      </w:r>
      <w:proofErr w:type="spellEnd"/>
      <w:r w:rsidR="001C6618">
        <w:rPr>
          <w:rFonts w:cs="Times New Roman"/>
          <w:iCs/>
          <w:szCs w:val="28"/>
        </w:rPr>
        <w:t xml:space="preserve">, Mr </w:t>
      </w:r>
      <w:proofErr w:type="spellStart"/>
      <w:r w:rsidR="001C6618">
        <w:rPr>
          <w:rFonts w:cs="Times New Roman"/>
          <w:iCs/>
          <w:szCs w:val="28"/>
        </w:rPr>
        <w:t>Howes</w:t>
      </w:r>
      <w:proofErr w:type="spellEnd"/>
      <w:r w:rsidR="001C6618">
        <w:rPr>
          <w:rFonts w:cs="Times New Roman"/>
          <w:iCs/>
          <w:szCs w:val="28"/>
        </w:rPr>
        <w:t xml:space="preserve"> and </w:t>
      </w:r>
      <w:r w:rsidR="006B7BF2">
        <w:rPr>
          <w:rFonts w:cs="Times New Roman"/>
          <w:iCs/>
          <w:szCs w:val="28"/>
        </w:rPr>
        <w:t>Dr</w:t>
      </w:r>
      <w:r w:rsidR="001C6618">
        <w:rPr>
          <w:rFonts w:cs="Times New Roman"/>
          <w:iCs/>
          <w:szCs w:val="28"/>
        </w:rPr>
        <w:t xml:space="preserve"> Wagner may be imbued with a degree of </w:t>
      </w:r>
      <w:r w:rsidR="000710A3">
        <w:rPr>
          <w:rFonts w:cs="Times New Roman"/>
          <w:iCs/>
          <w:szCs w:val="28"/>
        </w:rPr>
        <w:t>self-interest</w:t>
      </w:r>
      <w:r w:rsidR="001C6618">
        <w:rPr>
          <w:rFonts w:cs="Times New Roman"/>
          <w:iCs/>
          <w:szCs w:val="28"/>
        </w:rPr>
        <w:t xml:space="preserve"> as they are employed by the defendant department. However, throughout their evidence I </w:t>
      </w:r>
      <w:r w:rsidR="000710A3">
        <w:rPr>
          <w:rFonts w:cs="Times New Roman"/>
          <w:iCs/>
          <w:szCs w:val="28"/>
        </w:rPr>
        <w:t>perceived</w:t>
      </w:r>
      <w:r w:rsidR="001C6618">
        <w:rPr>
          <w:rFonts w:cs="Times New Roman"/>
          <w:iCs/>
          <w:szCs w:val="28"/>
        </w:rPr>
        <w:t xml:space="preserve"> no sign of</w:t>
      </w:r>
      <w:r w:rsidR="000710A3">
        <w:rPr>
          <w:rFonts w:cs="Times New Roman"/>
          <w:iCs/>
          <w:szCs w:val="28"/>
        </w:rPr>
        <w:t xml:space="preserve"> </w:t>
      </w:r>
      <w:r w:rsidR="001C6618">
        <w:rPr>
          <w:rFonts w:cs="Times New Roman"/>
          <w:iCs/>
          <w:szCs w:val="28"/>
        </w:rPr>
        <w:t xml:space="preserve">bias in favour of the defendant. In fact, I was most impressed with the </w:t>
      </w:r>
      <w:r w:rsidR="000710A3">
        <w:rPr>
          <w:rFonts w:cs="Times New Roman"/>
          <w:iCs/>
          <w:szCs w:val="28"/>
        </w:rPr>
        <w:t>way</w:t>
      </w:r>
      <w:r w:rsidR="001C6618">
        <w:rPr>
          <w:rFonts w:cs="Times New Roman"/>
          <w:iCs/>
          <w:szCs w:val="28"/>
        </w:rPr>
        <w:t xml:space="preserve"> each of these witnesses strove to assist the court and</w:t>
      </w:r>
      <w:r w:rsidR="001D4AAC">
        <w:rPr>
          <w:rFonts w:cs="Times New Roman"/>
          <w:iCs/>
          <w:szCs w:val="28"/>
        </w:rPr>
        <w:t>,</w:t>
      </w:r>
      <w:r w:rsidR="001C6618">
        <w:rPr>
          <w:rFonts w:cs="Times New Roman"/>
          <w:iCs/>
          <w:szCs w:val="28"/>
        </w:rPr>
        <w:t xml:space="preserve"> in particular, made concessions</w:t>
      </w:r>
      <w:r w:rsidR="000710A3">
        <w:rPr>
          <w:rFonts w:cs="Times New Roman"/>
          <w:iCs/>
          <w:szCs w:val="28"/>
        </w:rPr>
        <w:t xml:space="preserve"> where such were </w:t>
      </w:r>
      <w:r w:rsidR="001C6618">
        <w:rPr>
          <w:rFonts w:cs="Times New Roman"/>
          <w:iCs/>
          <w:szCs w:val="28"/>
        </w:rPr>
        <w:t xml:space="preserve">warranted. They were also alive to the fact that the public healthcare sector in the Eastern Cape has not, over the years, been a model </w:t>
      </w:r>
      <w:r w:rsidR="001C6618">
        <w:rPr>
          <w:rFonts w:cs="Times New Roman"/>
          <w:iCs/>
          <w:szCs w:val="28"/>
        </w:rPr>
        <w:lastRenderedPageBreak/>
        <w:t>of virtue and efficiency. In this regard, they</w:t>
      </w:r>
      <w:r w:rsidR="000710A3">
        <w:rPr>
          <w:rFonts w:cs="Times New Roman"/>
          <w:iCs/>
          <w:szCs w:val="28"/>
        </w:rPr>
        <w:t xml:space="preserve"> readily </w:t>
      </w:r>
      <w:r w:rsidR="001C6618">
        <w:rPr>
          <w:rFonts w:cs="Times New Roman"/>
          <w:iCs/>
          <w:szCs w:val="28"/>
        </w:rPr>
        <w:t>conceded deficiencies in administration and</w:t>
      </w:r>
      <w:r w:rsidR="00384E60">
        <w:rPr>
          <w:rFonts w:cs="Times New Roman"/>
          <w:iCs/>
          <w:szCs w:val="28"/>
        </w:rPr>
        <w:t>,</w:t>
      </w:r>
      <w:r w:rsidR="001C6618">
        <w:rPr>
          <w:rFonts w:cs="Times New Roman"/>
          <w:iCs/>
          <w:szCs w:val="28"/>
        </w:rPr>
        <w:t xml:space="preserve"> in some instances, maladministration in the department over the years. I am accordingly satisfied that I can accept</w:t>
      </w:r>
      <w:r w:rsidR="000710A3">
        <w:rPr>
          <w:rFonts w:cs="Times New Roman"/>
          <w:iCs/>
          <w:szCs w:val="28"/>
        </w:rPr>
        <w:t xml:space="preserve"> their evidence as being both sincere</w:t>
      </w:r>
      <w:r w:rsidR="001C6618">
        <w:rPr>
          <w:rFonts w:cs="Times New Roman"/>
          <w:iCs/>
          <w:szCs w:val="28"/>
        </w:rPr>
        <w:t xml:space="preserve"> and truthful.</w:t>
      </w:r>
    </w:p>
    <w:p w:rsidR="001C6618" w:rsidRDefault="001D098C" w:rsidP="00010E6D">
      <w:pPr>
        <w:rPr>
          <w:rFonts w:cs="Times New Roman"/>
          <w:iCs/>
          <w:szCs w:val="28"/>
        </w:rPr>
      </w:pPr>
      <w:r>
        <w:rPr>
          <w:rFonts w:cs="Times New Roman"/>
          <w:iCs/>
          <w:szCs w:val="28"/>
        </w:rPr>
        <w:t>[135</w:t>
      </w:r>
      <w:r w:rsidR="00D52BA3">
        <w:rPr>
          <w:rFonts w:cs="Times New Roman"/>
          <w:iCs/>
          <w:szCs w:val="28"/>
        </w:rPr>
        <w:t>]</w:t>
      </w:r>
      <w:r w:rsidR="00D52BA3">
        <w:rPr>
          <w:rFonts w:cs="Times New Roman"/>
          <w:iCs/>
          <w:szCs w:val="28"/>
        </w:rPr>
        <w:tab/>
      </w:r>
      <w:r w:rsidR="001C6618">
        <w:rPr>
          <w:rFonts w:cs="Times New Roman"/>
          <w:iCs/>
          <w:szCs w:val="28"/>
        </w:rPr>
        <w:t xml:space="preserve">Indeed, the cross examination of these witnesses was, in the main, predicated on the various reports of the </w:t>
      </w:r>
      <w:r w:rsidR="000710A3">
        <w:rPr>
          <w:rFonts w:cs="Times New Roman"/>
          <w:iCs/>
          <w:szCs w:val="28"/>
        </w:rPr>
        <w:t>plaintiff’s</w:t>
      </w:r>
      <w:r w:rsidR="001C6618">
        <w:rPr>
          <w:rFonts w:cs="Times New Roman"/>
          <w:iCs/>
          <w:szCs w:val="28"/>
        </w:rPr>
        <w:t xml:space="preserve"> witness, </w:t>
      </w:r>
      <w:proofErr w:type="spellStart"/>
      <w:r w:rsidR="001C6618">
        <w:rPr>
          <w:rFonts w:cs="Times New Roman"/>
          <w:iCs/>
          <w:szCs w:val="28"/>
        </w:rPr>
        <w:t>Prof.</w:t>
      </w:r>
      <w:proofErr w:type="spellEnd"/>
      <w:r w:rsidR="001C6618">
        <w:rPr>
          <w:rFonts w:cs="Times New Roman"/>
          <w:iCs/>
          <w:szCs w:val="28"/>
        </w:rPr>
        <w:t xml:space="preserve"> </w:t>
      </w:r>
      <w:r w:rsidR="00367780">
        <w:rPr>
          <w:rFonts w:cs="Times New Roman"/>
          <w:iCs/>
          <w:szCs w:val="28"/>
        </w:rPr>
        <w:t>V</w:t>
      </w:r>
      <w:r w:rsidR="000710A3">
        <w:rPr>
          <w:rFonts w:cs="Times New Roman"/>
          <w:iCs/>
          <w:szCs w:val="28"/>
        </w:rPr>
        <w:t xml:space="preserve">an den </w:t>
      </w:r>
      <w:proofErr w:type="spellStart"/>
      <w:r w:rsidR="000710A3">
        <w:rPr>
          <w:rFonts w:cs="Times New Roman"/>
          <w:iCs/>
          <w:szCs w:val="28"/>
        </w:rPr>
        <w:t>Heever</w:t>
      </w:r>
      <w:proofErr w:type="spellEnd"/>
      <w:r w:rsidR="000710A3">
        <w:rPr>
          <w:rFonts w:cs="Times New Roman"/>
          <w:iCs/>
          <w:szCs w:val="28"/>
        </w:rPr>
        <w:t>, and the criticism of their evidence stemmed directly from his</w:t>
      </w:r>
      <w:r w:rsidR="001D4AAC">
        <w:rPr>
          <w:rFonts w:cs="Times New Roman"/>
          <w:iCs/>
          <w:szCs w:val="28"/>
        </w:rPr>
        <w:t xml:space="preserve"> </w:t>
      </w:r>
      <w:r w:rsidR="000710A3">
        <w:rPr>
          <w:rFonts w:cs="Times New Roman"/>
          <w:iCs/>
          <w:szCs w:val="28"/>
        </w:rPr>
        <w:t>reports</w:t>
      </w:r>
      <w:r w:rsidR="007D55DF">
        <w:rPr>
          <w:rFonts w:cs="Times New Roman"/>
          <w:iCs/>
          <w:szCs w:val="28"/>
        </w:rPr>
        <w:t xml:space="preserve"> together with </w:t>
      </w:r>
      <w:r w:rsidR="000710A3">
        <w:rPr>
          <w:rFonts w:cs="Times New Roman"/>
          <w:iCs/>
          <w:szCs w:val="28"/>
        </w:rPr>
        <w:t xml:space="preserve">the evidence of the professor himself. It is therefore necessary to examine the evidence of </w:t>
      </w:r>
      <w:proofErr w:type="spellStart"/>
      <w:r w:rsidR="000710A3">
        <w:rPr>
          <w:rFonts w:cs="Times New Roman"/>
          <w:iCs/>
          <w:szCs w:val="28"/>
        </w:rPr>
        <w:t>Prof.</w:t>
      </w:r>
      <w:proofErr w:type="spellEnd"/>
      <w:r w:rsidR="000710A3">
        <w:rPr>
          <w:rFonts w:cs="Times New Roman"/>
          <w:iCs/>
          <w:szCs w:val="28"/>
        </w:rPr>
        <w:t xml:space="preserve"> Van den </w:t>
      </w:r>
      <w:proofErr w:type="spellStart"/>
      <w:r w:rsidR="000710A3">
        <w:rPr>
          <w:rFonts w:cs="Times New Roman"/>
          <w:iCs/>
          <w:szCs w:val="28"/>
        </w:rPr>
        <w:t>Heever</w:t>
      </w:r>
      <w:proofErr w:type="spellEnd"/>
      <w:r w:rsidR="000710A3">
        <w:rPr>
          <w:rFonts w:cs="Times New Roman"/>
          <w:iCs/>
          <w:szCs w:val="28"/>
        </w:rPr>
        <w:t xml:space="preserve"> and to consider whether it, in its totality, undermined the case put up by the defendant through the </w:t>
      </w:r>
      <w:r w:rsidR="006A0A50">
        <w:rPr>
          <w:rFonts w:cs="Times New Roman"/>
          <w:iCs/>
          <w:szCs w:val="28"/>
        </w:rPr>
        <w:t>a</w:t>
      </w:r>
      <w:r w:rsidR="000710A3">
        <w:rPr>
          <w:rFonts w:cs="Times New Roman"/>
          <w:iCs/>
          <w:szCs w:val="28"/>
        </w:rPr>
        <w:t>forementioned witnesses.</w:t>
      </w:r>
    </w:p>
    <w:p w:rsidR="008E430D" w:rsidRDefault="008E430D" w:rsidP="00010E6D">
      <w:pPr>
        <w:rPr>
          <w:rFonts w:cs="Times New Roman"/>
          <w:iCs/>
          <w:szCs w:val="28"/>
        </w:rPr>
      </w:pPr>
    </w:p>
    <w:p w:rsidR="008E430D" w:rsidRDefault="001D098C" w:rsidP="00010E6D">
      <w:pPr>
        <w:rPr>
          <w:rFonts w:cs="Times New Roman"/>
          <w:iCs/>
          <w:szCs w:val="28"/>
        </w:rPr>
      </w:pPr>
      <w:r>
        <w:rPr>
          <w:rFonts w:cs="Times New Roman"/>
          <w:iCs/>
          <w:szCs w:val="28"/>
        </w:rPr>
        <w:t>[136</w:t>
      </w:r>
      <w:r w:rsidR="00D52BA3">
        <w:rPr>
          <w:rFonts w:cs="Times New Roman"/>
          <w:iCs/>
          <w:szCs w:val="28"/>
        </w:rPr>
        <w:t>]</w:t>
      </w:r>
      <w:r w:rsidR="00D52BA3">
        <w:rPr>
          <w:rFonts w:cs="Times New Roman"/>
          <w:iCs/>
          <w:szCs w:val="28"/>
        </w:rPr>
        <w:tab/>
      </w:r>
      <w:r w:rsidR="008E430D">
        <w:rPr>
          <w:rFonts w:cs="Times New Roman"/>
          <w:iCs/>
          <w:szCs w:val="28"/>
        </w:rPr>
        <w:t xml:space="preserve">At the outset, it is necessary to state that </w:t>
      </w:r>
      <w:proofErr w:type="spellStart"/>
      <w:r w:rsidR="008E430D">
        <w:rPr>
          <w:rFonts w:cs="Times New Roman"/>
          <w:iCs/>
          <w:szCs w:val="28"/>
        </w:rPr>
        <w:t>Prof.</w:t>
      </w:r>
      <w:proofErr w:type="spellEnd"/>
      <w:r w:rsidR="008E430D">
        <w:rPr>
          <w:rFonts w:cs="Times New Roman"/>
          <w:iCs/>
          <w:szCs w:val="28"/>
        </w:rPr>
        <w:t xml:space="preserve"> Van den </w:t>
      </w:r>
      <w:proofErr w:type="spellStart"/>
      <w:r w:rsidR="008E430D">
        <w:rPr>
          <w:rFonts w:cs="Times New Roman"/>
          <w:iCs/>
          <w:szCs w:val="28"/>
        </w:rPr>
        <w:t>Heever’s</w:t>
      </w:r>
      <w:proofErr w:type="spellEnd"/>
      <w:r w:rsidR="008E430D">
        <w:rPr>
          <w:rFonts w:cs="Times New Roman"/>
          <w:iCs/>
          <w:szCs w:val="28"/>
        </w:rPr>
        <w:t xml:space="preserve"> credentials are beyond reproach. As foreshadowed in the earlier summary of his evidence, he is a highly qualified economist particularly in the field of health. Not only this, but his experience in the field of governance and, again, particularly in the field of health governance, is very extensive. His expertise in this regard is beyond question and he impressed me with his </w:t>
      </w:r>
      <w:r w:rsidR="00FA6064">
        <w:rPr>
          <w:rFonts w:cs="Times New Roman"/>
          <w:iCs/>
          <w:szCs w:val="28"/>
        </w:rPr>
        <w:t>immense</w:t>
      </w:r>
      <w:r w:rsidR="008E430D">
        <w:rPr>
          <w:rFonts w:cs="Times New Roman"/>
          <w:iCs/>
          <w:szCs w:val="28"/>
        </w:rPr>
        <w:t xml:space="preserve"> knowledge of the economics relating to both</w:t>
      </w:r>
      <w:r w:rsidR="00FA6064">
        <w:rPr>
          <w:rFonts w:cs="Times New Roman"/>
          <w:iCs/>
          <w:szCs w:val="28"/>
        </w:rPr>
        <w:t xml:space="preserve"> the</w:t>
      </w:r>
      <w:r w:rsidR="008E430D">
        <w:rPr>
          <w:rFonts w:cs="Times New Roman"/>
          <w:iCs/>
          <w:szCs w:val="28"/>
        </w:rPr>
        <w:t xml:space="preserve"> private and public health sectors within the country. He also impressed me regarding his knowledge of, and retention of, facts and figures pertaining thereto.</w:t>
      </w:r>
      <w:r w:rsidR="007D55DF">
        <w:rPr>
          <w:rFonts w:cs="Times New Roman"/>
          <w:iCs/>
          <w:szCs w:val="28"/>
        </w:rPr>
        <w:t xml:space="preserve"> </w:t>
      </w:r>
    </w:p>
    <w:p w:rsidR="00817084" w:rsidRDefault="00817084" w:rsidP="00010E6D">
      <w:pPr>
        <w:rPr>
          <w:rFonts w:cs="Times New Roman"/>
          <w:iCs/>
          <w:szCs w:val="28"/>
        </w:rPr>
      </w:pPr>
    </w:p>
    <w:p w:rsidR="00817084" w:rsidRDefault="001D098C" w:rsidP="00010E6D">
      <w:pPr>
        <w:rPr>
          <w:rFonts w:cs="Times New Roman"/>
          <w:iCs/>
          <w:szCs w:val="28"/>
        </w:rPr>
      </w:pPr>
      <w:r>
        <w:rPr>
          <w:rFonts w:cs="Times New Roman"/>
          <w:iCs/>
          <w:szCs w:val="28"/>
        </w:rPr>
        <w:t>[137</w:t>
      </w:r>
      <w:r w:rsidR="00D52BA3">
        <w:rPr>
          <w:rFonts w:cs="Times New Roman"/>
          <w:iCs/>
          <w:szCs w:val="28"/>
        </w:rPr>
        <w:t>]</w:t>
      </w:r>
      <w:r w:rsidR="00D52BA3">
        <w:rPr>
          <w:rFonts w:cs="Times New Roman"/>
          <w:iCs/>
          <w:szCs w:val="28"/>
        </w:rPr>
        <w:tab/>
      </w:r>
      <w:r w:rsidR="00817084">
        <w:rPr>
          <w:rFonts w:cs="Times New Roman"/>
          <w:iCs/>
          <w:szCs w:val="28"/>
        </w:rPr>
        <w:t xml:space="preserve">However, despite this, there are </w:t>
      </w:r>
      <w:r w:rsidR="007D55DF">
        <w:rPr>
          <w:rFonts w:cs="Times New Roman"/>
          <w:iCs/>
          <w:szCs w:val="28"/>
        </w:rPr>
        <w:t>several</w:t>
      </w:r>
      <w:r w:rsidR="00817084">
        <w:rPr>
          <w:rFonts w:cs="Times New Roman"/>
          <w:iCs/>
          <w:szCs w:val="28"/>
        </w:rPr>
        <w:t xml:space="preserve"> aspects of his evidence which are of concern. It is necessary in this regard to observe that his evidence amounted to an extraction of words and figures from various reports pertaining to the health department of the country in general, and in particular to the health department of the Eastern Cape. His analyses relied almost exclusively on such facts and </w:t>
      </w:r>
      <w:r w:rsidR="00817084">
        <w:rPr>
          <w:rFonts w:cs="Times New Roman"/>
          <w:iCs/>
          <w:szCs w:val="28"/>
        </w:rPr>
        <w:lastRenderedPageBreak/>
        <w:t xml:space="preserve">information as he </w:t>
      </w:r>
      <w:r w:rsidR="007D55DF">
        <w:rPr>
          <w:rFonts w:cs="Times New Roman"/>
          <w:iCs/>
          <w:szCs w:val="28"/>
        </w:rPr>
        <w:t>g</w:t>
      </w:r>
      <w:r w:rsidR="00817084">
        <w:rPr>
          <w:rFonts w:cs="Times New Roman"/>
          <w:iCs/>
          <w:szCs w:val="28"/>
        </w:rPr>
        <w:t>leaned in this regard. At no stage did he</w:t>
      </w:r>
      <w:r w:rsidR="007D55DF">
        <w:rPr>
          <w:rFonts w:cs="Times New Roman"/>
          <w:iCs/>
          <w:szCs w:val="28"/>
        </w:rPr>
        <w:t xml:space="preserve"> tender </w:t>
      </w:r>
      <w:r w:rsidR="00817084">
        <w:rPr>
          <w:rFonts w:cs="Times New Roman"/>
          <w:iCs/>
          <w:szCs w:val="28"/>
        </w:rPr>
        <w:t>evidence in direct rebuttal of the defendant’s witnesses. In my view, his evidence was akin to the evidence of an accident reconstruction expert attempting to undermine the evidence of eyewitnesses to the event in a motor vehicle accident case. Having made these observations, it is necessary to deal with further aspects of his evidence which are troublesome.</w:t>
      </w:r>
    </w:p>
    <w:p w:rsidR="00817084" w:rsidRDefault="00817084" w:rsidP="00010E6D">
      <w:pPr>
        <w:rPr>
          <w:rFonts w:cs="Times New Roman"/>
          <w:iCs/>
          <w:szCs w:val="28"/>
        </w:rPr>
      </w:pPr>
    </w:p>
    <w:p w:rsidR="00817084" w:rsidRDefault="00D72BB2" w:rsidP="00010E6D">
      <w:pPr>
        <w:rPr>
          <w:rFonts w:cs="Times New Roman"/>
          <w:iCs/>
          <w:szCs w:val="28"/>
        </w:rPr>
      </w:pPr>
      <w:r>
        <w:rPr>
          <w:rFonts w:cs="Times New Roman"/>
          <w:iCs/>
          <w:szCs w:val="28"/>
        </w:rPr>
        <w:t>[138</w:t>
      </w:r>
      <w:r w:rsidR="00D52BA3">
        <w:rPr>
          <w:rFonts w:cs="Times New Roman"/>
          <w:iCs/>
          <w:szCs w:val="28"/>
        </w:rPr>
        <w:t>]</w:t>
      </w:r>
      <w:r w:rsidR="00D52BA3">
        <w:rPr>
          <w:rFonts w:cs="Times New Roman"/>
          <w:iCs/>
          <w:szCs w:val="28"/>
        </w:rPr>
        <w:tab/>
      </w:r>
      <w:r w:rsidR="00817084">
        <w:rPr>
          <w:rFonts w:cs="Times New Roman"/>
          <w:iCs/>
          <w:szCs w:val="28"/>
        </w:rPr>
        <w:t xml:space="preserve">In his first report he argued that compensating victims of medical negligence other than through a lump sum pay-out would result in an unjustified transfer of risk and a departure from the principle of social solidarity which underpins both the public and private health systems, and that, because he viewed the defendant department as being poorly managed, the </w:t>
      </w:r>
      <w:r w:rsidR="00817084" w:rsidRPr="00DB719D">
        <w:rPr>
          <w:rFonts w:cs="Times New Roman"/>
          <w:szCs w:val="28"/>
        </w:rPr>
        <w:t>DZ</w:t>
      </w:r>
      <w:r w:rsidR="00817084">
        <w:rPr>
          <w:rFonts w:cs="Times New Roman"/>
          <w:iCs/>
          <w:szCs w:val="28"/>
        </w:rPr>
        <w:t xml:space="preserve"> remedies would transfer the risk of that poor performance into a vulnerable household. In this regard, he claimed that the department “</w:t>
      </w:r>
      <w:r w:rsidR="007D55DF">
        <w:rPr>
          <w:rFonts w:cs="Times New Roman"/>
          <w:iCs/>
          <w:szCs w:val="28"/>
        </w:rPr>
        <w:t>endemically</w:t>
      </w:r>
      <w:r w:rsidR="00817084">
        <w:rPr>
          <w:rFonts w:cs="Times New Roman"/>
          <w:iCs/>
          <w:szCs w:val="28"/>
        </w:rPr>
        <w:t xml:space="preserve"> lacks the systems and leadership to </w:t>
      </w:r>
      <w:r w:rsidR="007D55DF">
        <w:rPr>
          <w:rFonts w:cs="Times New Roman"/>
          <w:iCs/>
          <w:szCs w:val="28"/>
        </w:rPr>
        <w:t>competently</w:t>
      </w:r>
      <w:r w:rsidR="00817084">
        <w:rPr>
          <w:rFonts w:cs="Times New Roman"/>
          <w:iCs/>
          <w:szCs w:val="28"/>
        </w:rPr>
        <w:t xml:space="preserve"> run a health department”.</w:t>
      </w:r>
    </w:p>
    <w:p w:rsidR="00817084" w:rsidRDefault="00817084" w:rsidP="00010E6D">
      <w:pPr>
        <w:rPr>
          <w:rFonts w:cs="Times New Roman"/>
          <w:iCs/>
          <w:szCs w:val="28"/>
        </w:rPr>
      </w:pPr>
    </w:p>
    <w:p w:rsidR="00817084" w:rsidRDefault="00D72BB2" w:rsidP="00010E6D">
      <w:pPr>
        <w:rPr>
          <w:rFonts w:cs="Times New Roman"/>
          <w:iCs/>
          <w:szCs w:val="28"/>
        </w:rPr>
      </w:pPr>
      <w:r>
        <w:rPr>
          <w:rFonts w:cs="Times New Roman"/>
          <w:iCs/>
          <w:szCs w:val="28"/>
        </w:rPr>
        <w:t>[139</w:t>
      </w:r>
      <w:r w:rsidR="00D52BA3">
        <w:rPr>
          <w:rFonts w:cs="Times New Roman"/>
          <w:iCs/>
          <w:szCs w:val="28"/>
        </w:rPr>
        <w:t>]</w:t>
      </w:r>
      <w:r w:rsidR="00D52BA3">
        <w:rPr>
          <w:rFonts w:cs="Times New Roman"/>
          <w:iCs/>
          <w:szCs w:val="28"/>
        </w:rPr>
        <w:tab/>
      </w:r>
      <w:r w:rsidR="00817084">
        <w:rPr>
          <w:rFonts w:cs="Times New Roman"/>
          <w:iCs/>
          <w:szCs w:val="28"/>
        </w:rPr>
        <w:t>A difficulty I have with this contention is the simple fact that he came to this conclusion without a consideration and analysis of the actual remedies, their nature and in particular the finely tuned draft order which has been proposed by the defendant.</w:t>
      </w:r>
      <w:r w:rsidR="009E1EF3">
        <w:rPr>
          <w:rFonts w:cs="Times New Roman"/>
          <w:iCs/>
          <w:szCs w:val="28"/>
        </w:rPr>
        <w:t xml:space="preserve"> It has been accepted that this draft order, in essence, amount</w:t>
      </w:r>
      <w:r w:rsidR="007D55DF">
        <w:rPr>
          <w:rFonts w:cs="Times New Roman"/>
          <w:iCs/>
          <w:szCs w:val="28"/>
        </w:rPr>
        <w:t>s</w:t>
      </w:r>
      <w:r w:rsidR="009E1EF3">
        <w:rPr>
          <w:rFonts w:cs="Times New Roman"/>
          <w:iCs/>
          <w:szCs w:val="28"/>
        </w:rPr>
        <w:t xml:space="preserve"> to the heart of this case as it sets out</w:t>
      </w:r>
      <w:r w:rsidR="007D55DF">
        <w:rPr>
          <w:rFonts w:cs="Times New Roman"/>
          <w:iCs/>
          <w:szCs w:val="28"/>
        </w:rPr>
        <w:t xml:space="preserve"> in</w:t>
      </w:r>
      <w:r w:rsidR="009E1EF3">
        <w:rPr>
          <w:rFonts w:cs="Times New Roman"/>
          <w:iCs/>
          <w:szCs w:val="28"/>
        </w:rPr>
        <w:t xml:space="preserve"> precise detail how the proposed remedies would operate in a manner to ensure BN’s rights are fully protected.</w:t>
      </w:r>
    </w:p>
    <w:p w:rsidR="00C252B4" w:rsidRDefault="00C252B4" w:rsidP="00010E6D">
      <w:pPr>
        <w:rPr>
          <w:rFonts w:cs="Times New Roman"/>
          <w:iCs/>
          <w:szCs w:val="28"/>
        </w:rPr>
      </w:pPr>
    </w:p>
    <w:p w:rsidR="00C252B4" w:rsidRDefault="00D72BB2" w:rsidP="00010E6D">
      <w:pPr>
        <w:rPr>
          <w:rFonts w:cs="Times New Roman"/>
          <w:iCs/>
          <w:szCs w:val="28"/>
        </w:rPr>
      </w:pPr>
      <w:r>
        <w:rPr>
          <w:rFonts w:cs="Times New Roman"/>
          <w:iCs/>
          <w:szCs w:val="28"/>
        </w:rPr>
        <w:t>[140</w:t>
      </w:r>
      <w:r w:rsidR="00D52BA3">
        <w:rPr>
          <w:rFonts w:cs="Times New Roman"/>
          <w:iCs/>
          <w:szCs w:val="28"/>
        </w:rPr>
        <w:t>]</w:t>
      </w:r>
      <w:r w:rsidR="00D52BA3">
        <w:rPr>
          <w:rFonts w:cs="Times New Roman"/>
          <w:iCs/>
          <w:szCs w:val="28"/>
        </w:rPr>
        <w:tab/>
      </w:r>
      <w:r w:rsidR="00C252B4">
        <w:rPr>
          <w:rFonts w:cs="Times New Roman"/>
          <w:iCs/>
          <w:szCs w:val="28"/>
        </w:rPr>
        <w:t xml:space="preserve">In my view, had the professor </w:t>
      </w:r>
      <w:r w:rsidR="0020526D">
        <w:rPr>
          <w:rFonts w:cs="Times New Roman"/>
          <w:iCs/>
          <w:szCs w:val="28"/>
        </w:rPr>
        <w:t>considered</w:t>
      </w:r>
      <w:r w:rsidR="00C252B4">
        <w:rPr>
          <w:rFonts w:cs="Times New Roman"/>
          <w:iCs/>
          <w:szCs w:val="28"/>
        </w:rPr>
        <w:t xml:space="preserve"> the defendant’s proposed remedies and in particular the nature of the draft order, </w:t>
      </w:r>
      <w:r w:rsidR="0020526D">
        <w:rPr>
          <w:rFonts w:cs="Times New Roman"/>
          <w:iCs/>
          <w:szCs w:val="28"/>
        </w:rPr>
        <w:t xml:space="preserve">he </w:t>
      </w:r>
      <w:r w:rsidR="00C252B4">
        <w:rPr>
          <w:rFonts w:cs="Times New Roman"/>
          <w:iCs/>
          <w:szCs w:val="28"/>
        </w:rPr>
        <w:t xml:space="preserve">may well have changed his view in this regard. He accepted that both the public and private healthcare systems fall within a formal system of social protection but did not consider that </w:t>
      </w:r>
      <w:r w:rsidR="00C252B4">
        <w:rPr>
          <w:rFonts w:cs="Times New Roman"/>
          <w:iCs/>
          <w:szCs w:val="28"/>
        </w:rPr>
        <w:lastRenderedPageBreak/>
        <w:t>the proposed remedies involve provision of the required medical services for free. On this basis, it does not seem to me that the argument that there is a transfer of risk back to a vulnerable household can hold any water as via these remedies, BN would remain within a system of social protection.</w:t>
      </w:r>
    </w:p>
    <w:p w:rsidR="009E1EF3" w:rsidRDefault="00D72BB2" w:rsidP="00010E6D">
      <w:pPr>
        <w:rPr>
          <w:rFonts w:cs="Times New Roman"/>
          <w:iCs/>
          <w:szCs w:val="28"/>
        </w:rPr>
      </w:pPr>
      <w:r>
        <w:rPr>
          <w:rFonts w:cs="Times New Roman"/>
          <w:iCs/>
          <w:szCs w:val="28"/>
        </w:rPr>
        <w:t>[141</w:t>
      </w:r>
      <w:r w:rsidR="00D52BA3">
        <w:rPr>
          <w:rFonts w:cs="Times New Roman"/>
          <w:iCs/>
          <w:szCs w:val="28"/>
        </w:rPr>
        <w:t>]</w:t>
      </w:r>
      <w:r w:rsidR="00D52BA3">
        <w:rPr>
          <w:rFonts w:cs="Times New Roman"/>
          <w:iCs/>
          <w:szCs w:val="28"/>
        </w:rPr>
        <w:tab/>
      </w:r>
      <w:r w:rsidR="009E1EF3">
        <w:rPr>
          <w:rFonts w:cs="Times New Roman"/>
          <w:iCs/>
          <w:szCs w:val="28"/>
        </w:rPr>
        <w:t>A further dif</w:t>
      </w:r>
      <w:r w:rsidR="002D74B3">
        <w:rPr>
          <w:rFonts w:cs="Times New Roman"/>
          <w:iCs/>
          <w:szCs w:val="28"/>
        </w:rPr>
        <w:t xml:space="preserve">ficulty with this contention </w:t>
      </w:r>
      <w:r w:rsidR="009E1EF3">
        <w:rPr>
          <w:rFonts w:cs="Times New Roman"/>
          <w:iCs/>
          <w:szCs w:val="28"/>
        </w:rPr>
        <w:t xml:space="preserve">is the fact that the defendant has </w:t>
      </w:r>
      <w:r w:rsidR="00C252B4">
        <w:rPr>
          <w:rFonts w:cs="Times New Roman"/>
          <w:iCs/>
          <w:szCs w:val="28"/>
        </w:rPr>
        <w:t xml:space="preserve">described </w:t>
      </w:r>
      <w:r w:rsidR="009E1EF3">
        <w:rPr>
          <w:rFonts w:cs="Times New Roman"/>
          <w:iCs/>
          <w:szCs w:val="28"/>
        </w:rPr>
        <w:t>a number of serious risks which have arisen</w:t>
      </w:r>
      <w:r w:rsidR="00C252B4">
        <w:rPr>
          <w:rFonts w:cs="Times New Roman"/>
          <w:iCs/>
          <w:szCs w:val="28"/>
        </w:rPr>
        <w:t xml:space="preserve"> from,</w:t>
      </w:r>
      <w:r w:rsidR="009E1EF3">
        <w:rPr>
          <w:rFonts w:cs="Times New Roman"/>
          <w:iCs/>
          <w:szCs w:val="28"/>
        </w:rPr>
        <w:t xml:space="preserve"> and are thus attendant upon</w:t>
      </w:r>
      <w:r w:rsidR="00C252B4">
        <w:rPr>
          <w:rFonts w:cs="Times New Roman"/>
          <w:iCs/>
          <w:szCs w:val="28"/>
        </w:rPr>
        <w:t>,</w:t>
      </w:r>
      <w:r w:rsidR="009E1EF3">
        <w:rPr>
          <w:rFonts w:cs="Times New Roman"/>
          <w:iCs/>
          <w:szCs w:val="28"/>
        </w:rPr>
        <w:t xml:space="preserve"> the grant of a lump sum in a case such as this. By way of example, the evidence discloses in fine detail how many millions of </w:t>
      </w:r>
      <w:proofErr w:type="spellStart"/>
      <w:r w:rsidR="007D55DF">
        <w:rPr>
          <w:rFonts w:cs="Times New Roman"/>
          <w:iCs/>
          <w:szCs w:val="28"/>
        </w:rPr>
        <w:t>r</w:t>
      </w:r>
      <w:r w:rsidR="009E1EF3">
        <w:rPr>
          <w:rFonts w:cs="Times New Roman"/>
          <w:iCs/>
          <w:szCs w:val="28"/>
        </w:rPr>
        <w:t>ands</w:t>
      </w:r>
      <w:proofErr w:type="spellEnd"/>
      <w:r w:rsidR="009E1EF3">
        <w:rPr>
          <w:rFonts w:cs="Times New Roman"/>
          <w:iCs/>
          <w:szCs w:val="28"/>
        </w:rPr>
        <w:t xml:space="preserve"> have been misappropriated by lawyers and trustees who have not administered funds properly. Indeed, the professor conceded that there exists a transfer of risk to the families of injured parties if it remains possible for such funds awarded to a claimant to be misappropriated when damages are awarded on a once and for all basis. Furthermore, he conceded that significant amounts paid out in compensation are lost in contingency fees paid to lawyers, disbursements and costs of administering trusts. By contrast, the public healthcare remedy in operation with the undertaking to pay remedy would provide entirely for the plaintiff’s future medical needs and not only 75%, or less, as is the case when </w:t>
      </w:r>
      <w:r w:rsidR="00040091">
        <w:rPr>
          <w:rFonts w:cs="Times New Roman"/>
          <w:iCs/>
          <w:szCs w:val="28"/>
        </w:rPr>
        <w:t>2</w:t>
      </w:r>
      <w:r w:rsidR="009E1EF3">
        <w:rPr>
          <w:rFonts w:cs="Times New Roman"/>
          <w:iCs/>
          <w:szCs w:val="28"/>
        </w:rPr>
        <w:t>5% or more is extracted from the award.</w:t>
      </w:r>
    </w:p>
    <w:p w:rsidR="009E1EF3" w:rsidRDefault="009E1EF3" w:rsidP="00010E6D">
      <w:pPr>
        <w:rPr>
          <w:rFonts w:cs="Times New Roman"/>
          <w:iCs/>
          <w:szCs w:val="28"/>
        </w:rPr>
      </w:pPr>
    </w:p>
    <w:p w:rsidR="00694286" w:rsidRDefault="00180967" w:rsidP="00010E6D">
      <w:pPr>
        <w:rPr>
          <w:rFonts w:cs="Times New Roman"/>
          <w:szCs w:val="28"/>
        </w:rPr>
      </w:pPr>
      <w:r>
        <w:rPr>
          <w:rFonts w:cs="Times New Roman"/>
          <w:iCs/>
          <w:szCs w:val="28"/>
        </w:rPr>
        <w:t>[142</w:t>
      </w:r>
      <w:r w:rsidR="00E50FED">
        <w:rPr>
          <w:rFonts w:cs="Times New Roman"/>
          <w:iCs/>
          <w:szCs w:val="28"/>
        </w:rPr>
        <w:t>]</w:t>
      </w:r>
      <w:r w:rsidR="00E50FED">
        <w:rPr>
          <w:rFonts w:cs="Times New Roman"/>
          <w:iCs/>
          <w:szCs w:val="28"/>
        </w:rPr>
        <w:tab/>
      </w:r>
      <w:r w:rsidR="009E1EF3">
        <w:rPr>
          <w:rFonts w:cs="Times New Roman"/>
          <w:iCs/>
          <w:szCs w:val="28"/>
        </w:rPr>
        <w:t xml:space="preserve">A further pertinent aspect relating to the transfer of risk is the </w:t>
      </w:r>
      <w:r w:rsidR="009E1EF3">
        <w:rPr>
          <w:rFonts w:cs="Times New Roman"/>
          <w:szCs w:val="28"/>
        </w:rPr>
        <w:t>possibility of BN’s future medical needs exceeding the sum awarded, particularly in the event of his living beyond his life expectancy. On the other hand, the DZ remedies would ensure that BN receives continued future medical care even if he were to outlive his estimated life expectancy or were he to experience unanticipated medical complications.</w:t>
      </w:r>
    </w:p>
    <w:p w:rsidR="009E1EF3" w:rsidRDefault="009E1EF3" w:rsidP="00010E6D">
      <w:pPr>
        <w:rPr>
          <w:rFonts w:cs="Times New Roman"/>
          <w:szCs w:val="28"/>
        </w:rPr>
      </w:pPr>
    </w:p>
    <w:p w:rsidR="009E1EF3" w:rsidRDefault="00180967" w:rsidP="00010E6D">
      <w:pPr>
        <w:rPr>
          <w:rFonts w:cs="Times New Roman"/>
          <w:szCs w:val="28"/>
        </w:rPr>
      </w:pPr>
      <w:r>
        <w:rPr>
          <w:rFonts w:cs="Times New Roman"/>
          <w:szCs w:val="28"/>
        </w:rPr>
        <w:lastRenderedPageBreak/>
        <w:t>[143</w:t>
      </w:r>
      <w:r w:rsidR="00E50FED">
        <w:rPr>
          <w:rFonts w:cs="Times New Roman"/>
          <w:szCs w:val="28"/>
        </w:rPr>
        <w:t>]</w:t>
      </w:r>
      <w:r w:rsidR="00E50FED">
        <w:rPr>
          <w:rFonts w:cs="Times New Roman"/>
          <w:szCs w:val="28"/>
        </w:rPr>
        <w:tab/>
      </w:r>
      <w:r w:rsidR="009E1EF3">
        <w:rPr>
          <w:rFonts w:cs="Times New Roman"/>
          <w:szCs w:val="28"/>
        </w:rPr>
        <w:t>Mr Donaldson</w:t>
      </w:r>
      <w:r w:rsidR="00384E60">
        <w:rPr>
          <w:rFonts w:cs="Times New Roman"/>
          <w:szCs w:val="28"/>
        </w:rPr>
        <w:t xml:space="preserve"> differed </w:t>
      </w:r>
      <w:r w:rsidR="009E1EF3">
        <w:rPr>
          <w:rFonts w:cs="Times New Roman"/>
          <w:szCs w:val="28"/>
        </w:rPr>
        <w:t xml:space="preserve">with the contention that lump-sum awards resulted in the risk effectively being passed back to </w:t>
      </w:r>
      <w:r w:rsidR="0054446D">
        <w:rPr>
          <w:rFonts w:cs="Times New Roman"/>
          <w:szCs w:val="28"/>
        </w:rPr>
        <w:t xml:space="preserve">the </w:t>
      </w:r>
      <w:r w:rsidR="009E1EF3">
        <w:rPr>
          <w:rFonts w:cs="Times New Roman"/>
          <w:szCs w:val="28"/>
        </w:rPr>
        <w:t>individual</w:t>
      </w:r>
      <w:r w:rsidR="00384E60">
        <w:rPr>
          <w:rFonts w:cs="Times New Roman"/>
          <w:szCs w:val="28"/>
        </w:rPr>
        <w:t xml:space="preserve">, </w:t>
      </w:r>
      <w:r w:rsidR="009E1EF3">
        <w:rPr>
          <w:rFonts w:cs="Times New Roman"/>
          <w:szCs w:val="28"/>
        </w:rPr>
        <w:t>vulnerable families of the claimants</w:t>
      </w:r>
      <w:r w:rsidR="00384E60">
        <w:rPr>
          <w:rFonts w:cs="Times New Roman"/>
          <w:szCs w:val="28"/>
        </w:rPr>
        <w:t xml:space="preserve"> for various valid reasons</w:t>
      </w:r>
      <w:r w:rsidR="00A41461">
        <w:rPr>
          <w:rFonts w:cs="Times New Roman"/>
          <w:szCs w:val="28"/>
        </w:rPr>
        <w:t>, some of which I have already dealt with</w:t>
      </w:r>
      <w:r w:rsidR="00384E60">
        <w:rPr>
          <w:rFonts w:cs="Times New Roman"/>
          <w:szCs w:val="28"/>
        </w:rPr>
        <w:t>. He further pointed out, as accepted by the professor, that</w:t>
      </w:r>
      <w:r w:rsidR="007D55DF">
        <w:rPr>
          <w:rFonts w:cs="Times New Roman"/>
          <w:szCs w:val="28"/>
        </w:rPr>
        <w:t xml:space="preserve"> should </w:t>
      </w:r>
      <w:r w:rsidR="00384E60">
        <w:rPr>
          <w:rFonts w:cs="Times New Roman"/>
          <w:szCs w:val="28"/>
        </w:rPr>
        <w:t>the funds awarded to a particular claimant</w:t>
      </w:r>
      <w:r w:rsidR="007D55DF">
        <w:rPr>
          <w:rFonts w:cs="Times New Roman"/>
          <w:szCs w:val="28"/>
        </w:rPr>
        <w:t xml:space="preserve"> run </w:t>
      </w:r>
      <w:r w:rsidR="00384E60">
        <w:rPr>
          <w:rFonts w:cs="Times New Roman"/>
          <w:szCs w:val="28"/>
        </w:rPr>
        <w:t>out (either by effluxion of time</w:t>
      </w:r>
      <w:r w:rsidR="0020526D">
        <w:rPr>
          <w:rFonts w:cs="Times New Roman"/>
          <w:szCs w:val="28"/>
        </w:rPr>
        <w:t xml:space="preserve">, </w:t>
      </w:r>
      <w:r w:rsidR="00384E60">
        <w:rPr>
          <w:rFonts w:cs="Times New Roman"/>
          <w:szCs w:val="28"/>
        </w:rPr>
        <w:t>misappropriat</w:t>
      </w:r>
      <w:r w:rsidR="0020526D">
        <w:rPr>
          <w:rFonts w:cs="Times New Roman"/>
          <w:szCs w:val="28"/>
        </w:rPr>
        <w:t>ion of funds or unanticipated medical expenses</w:t>
      </w:r>
      <w:r w:rsidR="00384E60">
        <w:rPr>
          <w:rFonts w:cs="Times New Roman"/>
          <w:szCs w:val="28"/>
        </w:rPr>
        <w:t>) this would result in the state effectively paying twice for that claimant’s damages as such claimant would in that event be entitled to approach public healthcare for assistance. One way of eliminating such risk would be the application of the DZ remedies. Furthermore,</w:t>
      </w:r>
      <w:r w:rsidR="007D55DF">
        <w:rPr>
          <w:rFonts w:cs="Times New Roman"/>
          <w:szCs w:val="28"/>
        </w:rPr>
        <w:t xml:space="preserve"> whilst </w:t>
      </w:r>
      <w:r w:rsidR="00384E60">
        <w:rPr>
          <w:rFonts w:cs="Times New Roman"/>
          <w:szCs w:val="28"/>
        </w:rPr>
        <w:t xml:space="preserve">Mr Donaldson agreed with the professor that if the state failed to minimize the risk of medical negligence, this would not be a saving </w:t>
      </w:r>
      <w:r w:rsidR="007D55DF">
        <w:rPr>
          <w:rFonts w:cs="Times New Roman"/>
          <w:szCs w:val="28"/>
        </w:rPr>
        <w:t>but</w:t>
      </w:r>
      <w:r w:rsidR="00384E60">
        <w:rPr>
          <w:rFonts w:cs="Times New Roman"/>
          <w:szCs w:val="28"/>
        </w:rPr>
        <w:t xml:space="preserve"> a departure from the principle of social solidarity</w:t>
      </w:r>
      <w:r w:rsidR="0020526D">
        <w:rPr>
          <w:rFonts w:cs="Times New Roman"/>
          <w:szCs w:val="28"/>
        </w:rPr>
        <w:t xml:space="preserve">, he noted </w:t>
      </w:r>
      <w:r w:rsidR="00384E60">
        <w:rPr>
          <w:rFonts w:cs="Times New Roman"/>
          <w:szCs w:val="28"/>
        </w:rPr>
        <w:t>that the state had extensive efforts underway to address the underlying causes of</w:t>
      </w:r>
      <w:r w:rsidR="00A41461">
        <w:rPr>
          <w:rFonts w:cs="Times New Roman"/>
          <w:szCs w:val="28"/>
        </w:rPr>
        <w:t xml:space="preserve"> similar medical</w:t>
      </w:r>
      <w:r w:rsidR="005E09B0">
        <w:rPr>
          <w:rFonts w:cs="Times New Roman"/>
          <w:szCs w:val="28"/>
        </w:rPr>
        <w:t xml:space="preserve"> </w:t>
      </w:r>
      <w:r w:rsidR="00384E60">
        <w:rPr>
          <w:rFonts w:cs="Times New Roman"/>
          <w:szCs w:val="28"/>
        </w:rPr>
        <w:t xml:space="preserve">negligence cases which, according to Mr Donaldson, was an important part of the response of the state. Such efforts are being coordinated nationally under the direction of a committee, and the Eastern Cape was moving in the right direction in this regard. This evidence was supported to the hilt by that of </w:t>
      </w:r>
      <w:r w:rsidR="006B7BF2">
        <w:rPr>
          <w:rFonts w:cs="Times New Roman"/>
          <w:szCs w:val="28"/>
        </w:rPr>
        <w:t>Dr</w:t>
      </w:r>
      <w:r w:rsidR="00384E60">
        <w:rPr>
          <w:rFonts w:cs="Times New Roman"/>
          <w:szCs w:val="28"/>
        </w:rPr>
        <w:t xml:space="preserve"> Wagner.</w:t>
      </w:r>
    </w:p>
    <w:p w:rsidR="00A41461" w:rsidRDefault="00A41461" w:rsidP="00010E6D">
      <w:pPr>
        <w:rPr>
          <w:rFonts w:cs="Times New Roman"/>
          <w:szCs w:val="28"/>
        </w:rPr>
      </w:pPr>
    </w:p>
    <w:p w:rsidR="00384E60" w:rsidRDefault="00180967" w:rsidP="00010E6D">
      <w:pPr>
        <w:rPr>
          <w:rFonts w:cs="Times New Roman"/>
          <w:szCs w:val="28"/>
        </w:rPr>
      </w:pPr>
      <w:r>
        <w:rPr>
          <w:rFonts w:cs="Times New Roman"/>
          <w:szCs w:val="28"/>
        </w:rPr>
        <w:t>[144</w:t>
      </w:r>
      <w:r w:rsidR="003F1E18">
        <w:rPr>
          <w:rFonts w:cs="Times New Roman"/>
          <w:szCs w:val="28"/>
        </w:rPr>
        <w:t>]</w:t>
      </w:r>
      <w:r w:rsidR="003F1E18">
        <w:rPr>
          <w:rFonts w:cs="Times New Roman"/>
          <w:szCs w:val="28"/>
        </w:rPr>
        <w:tab/>
      </w:r>
      <w:r w:rsidR="00A41461">
        <w:rPr>
          <w:rFonts w:cs="Times New Roman"/>
          <w:szCs w:val="28"/>
        </w:rPr>
        <w:t xml:space="preserve">Regarding the demeanour and presentation of his evidence, whilst I am hesitant of being critical of a person of his stature, qualifications and experience, it is of some importance to note that </w:t>
      </w:r>
      <w:proofErr w:type="spellStart"/>
      <w:r w:rsidR="00A41461">
        <w:rPr>
          <w:rFonts w:cs="Times New Roman"/>
          <w:szCs w:val="28"/>
        </w:rPr>
        <w:t>Prof.</w:t>
      </w:r>
      <w:proofErr w:type="spellEnd"/>
      <w:r w:rsidR="00A41461">
        <w:rPr>
          <w:rFonts w:cs="Times New Roman"/>
          <w:szCs w:val="28"/>
        </w:rPr>
        <w:t xml:space="preserve"> Van den </w:t>
      </w:r>
      <w:proofErr w:type="spellStart"/>
      <w:r w:rsidR="00A41461">
        <w:rPr>
          <w:rFonts w:cs="Times New Roman"/>
          <w:szCs w:val="28"/>
        </w:rPr>
        <w:t>Heever</w:t>
      </w:r>
      <w:proofErr w:type="spellEnd"/>
      <w:r w:rsidR="00A41461">
        <w:rPr>
          <w:rFonts w:cs="Times New Roman"/>
          <w:szCs w:val="28"/>
        </w:rPr>
        <w:t xml:space="preserve"> tended in evidence to become wedded to his propositions and</w:t>
      </w:r>
      <w:r w:rsidR="00DE59C8">
        <w:rPr>
          <w:rFonts w:cs="Times New Roman"/>
          <w:szCs w:val="28"/>
        </w:rPr>
        <w:t>/or</w:t>
      </w:r>
      <w:r w:rsidR="00A41461">
        <w:rPr>
          <w:rFonts w:cs="Times New Roman"/>
          <w:szCs w:val="28"/>
        </w:rPr>
        <w:t xml:space="preserve"> arguments. On </w:t>
      </w:r>
      <w:r w:rsidR="00DE59C8">
        <w:rPr>
          <w:rFonts w:cs="Times New Roman"/>
          <w:szCs w:val="28"/>
        </w:rPr>
        <w:t>several</w:t>
      </w:r>
      <w:r w:rsidR="00A41461">
        <w:rPr>
          <w:rFonts w:cs="Times New Roman"/>
          <w:szCs w:val="28"/>
        </w:rPr>
        <w:t xml:space="preserve"> occasions under cross examination, when contrary propositions or arguments</w:t>
      </w:r>
      <w:r w:rsidR="00DE59C8">
        <w:rPr>
          <w:rFonts w:cs="Times New Roman"/>
          <w:szCs w:val="28"/>
        </w:rPr>
        <w:t xml:space="preserve"> of some merit</w:t>
      </w:r>
      <w:r w:rsidR="00A41461">
        <w:rPr>
          <w:rFonts w:cs="Times New Roman"/>
          <w:szCs w:val="28"/>
        </w:rPr>
        <w:t xml:space="preserve"> were put to him</w:t>
      </w:r>
      <w:r w:rsidR="00DE59C8">
        <w:rPr>
          <w:rFonts w:cs="Times New Roman"/>
          <w:szCs w:val="28"/>
        </w:rPr>
        <w:t>, he refused to make any concessions.</w:t>
      </w:r>
      <w:r w:rsidR="00190451">
        <w:rPr>
          <w:rFonts w:cs="Times New Roman"/>
          <w:szCs w:val="28"/>
        </w:rPr>
        <w:t xml:space="preserve"> He also </w:t>
      </w:r>
      <w:r w:rsidR="00DE59C8">
        <w:rPr>
          <w:rFonts w:cs="Times New Roman"/>
          <w:szCs w:val="28"/>
        </w:rPr>
        <w:t xml:space="preserve">tended to ignore the question or proposition put to </w:t>
      </w:r>
      <w:r w:rsidR="00190451">
        <w:rPr>
          <w:rFonts w:cs="Times New Roman"/>
          <w:szCs w:val="28"/>
        </w:rPr>
        <w:t>him and</w:t>
      </w:r>
      <w:r w:rsidR="00DE59C8">
        <w:rPr>
          <w:rFonts w:cs="Times New Roman"/>
          <w:szCs w:val="28"/>
        </w:rPr>
        <w:t xml:space="preserve"> regaled the court with lengthy hypotheses unrelated thereto. This was, to my mind, epitomized by his production of </w:t>
      </w:r>
      <w:r w:rsidR="005E09B0">
        <w:rPr>
          <w:rFonts w:cs="Times New Roman"/>
          <w:szCs w:val="28"/>
        </w:rPr>
        <w:t>several</w:t>
      </w:r>
      <w:r w:rsidR="00DE59C8">
        <w:rPr>
          <w:rFonts w:cs="Times New Roman"/>
          <w:szCs w:val="28"/>
        </w:rPr>
        <w:t xml:space="preserve"> newspaper reports (some of which were attributed to him) which severely criticized the defendant department. Quite apart from the fact that many of these </w:t>
      </w:r>
      <w:r w:rsidR="00DE59C8">
        <w:rPr>
          <w:rFonts w:cs="Times New Roman"/>
          <w:szCs w:val="28"/>
        </w:rPr>
        <w:lastRenderedPageBreak/>
        <w:t>articles amount simply to hearsay upon hearsay and are unable to be tested in court, it appeared to me that he was determined to fortify his view</w:t>
      </w:r>
      <w:r w:rsidR="0020526D">
        <w:rPr>
          <w:rFonts w:cs="Times New Roman"/>
          <w:szCs w:val="28"/>
        </w:rPr>
        <w:t>s</w:t>
      </w:r>
      <w:r w:rsidR="00DE59C8">
        <w:rPr>
          <w:rFonts w:cs="Times New Roman"/>
          <w:szCs w:val="28"/>
        </w:rPr>
        <w:t xml:space="preserve"> in any way he could. In my view, had he indeed fully believed in his empirical analysis of what he perceived the facts to be, it would have been unnecessary to resort to the production of such evidence. I am accordingly not prepared to take into account any such articles from newspapers or other publications.</w:t>
      </w:r>
    </w:p>
    <w:p w:rsidR="007E69A5" w:rsidRDefault="007E69A5" w:rsidP="00010E6D">
      <w:pPr>
        <w:rPr>
          <w:rFonts w:cs="Times New Roman"/>
          <w:szCs w:val="28"/>
        </w:rPr>
      </w:pPr>
    </w:p>
    <w:p w:rsidR="007E69A5" w:rsidRDefault="00180967" w:rsidP="00010E6D">
      <w:pPr>
        <w:rPr>
          <w:rFonts w:cs="Times New Roman"/>
          <w:szCs w:val="28"/>
        </w:rPr>
      </w:pPr>
      <w:r>
        <w:rPr>
          <w:rFonts w:cs="Times New Roman"/>
          <w:szCs w:val="28"/>
        </w:rPr>
        <w:t>[145</w:t>
      </w:r>
      <w:r w:rsidR="003F1E18">
        <w:rPr>
          <w:rFonts w:cs="Times New Roman"/>
          <w:szCs w:val="28"/>
        </w:rPr>
        <w:t>]</w:t>
      </w:r>
      <w:r w:rsidR="003F1E18">
        <w:rPr>
          <w:rFonts w:cs="Times New Roman"/>
          <w:szCs w:val="28"/>
        </w:rPr>
        <w:tab/>
      </w:r>
      <w:r w:rsidR="007E69A5">
        <w:rPr>
          <w:rFonts w:cs="Times New Roman"/>
          <w:szCs w:val="28"/>
        </w:rPr>
        <w:t xml:space="preserve">An additional, and important, fact in this regard is that a substantial portion of the professor’s evidence was contained in his supplementary report which, as indicated earlier in this judgment, was delivered after both </w:t>
      </w:r>
      <w:r w:rsidR="00CC4C02">
        <w:rPr>
          <w:rFonts w:cs="Times New Roman"/>
          <w:szCs w:val="28"/>
        </w:rPr>
        <w:t>Dr</w:t>
      </w:r>
      <w:r w:rsidR="007E69A5">
        <w:rPr>
          <w:rFonts w:cs="Times New Roman"/>
          <w:szCs w:val="28"/>
        </w:rPr>
        <w:t xml:space="preserve"> Wagner and Mr Donaldson had testified. They were accordingly not able to answer many aspects which he raised and dealt with in evidence based on that report, and I do not believe that much weight can accordingly be attached thereto.</w:t>
      </w:r>
    </w:p>
    <w:p w:rsidR="00DE59C8" w:rsidRDefault="00DE59C8" w:rsidP="00010E6D">
      <w:pPr>
        <w:rPr>
          <w:rFonts w:cs="Times New Roman"/>
          <w:szCs w:val="28"/>
        </w:rPr>
      </w:pPr>
    </w:p>
    <w:p w:rsidR="00DE59C8" w:rsidRDefault="00180967" w:rsidP="00010E6D">
      <w:pPr>
        <w:rPr>
          <w:rFonts w:cs="Times New Roman"/>
          <w:szCs w:val="28"/>
        </w:rPr>
      </w:pPr>
      <w:r>
        <w:rPr>
          <w:rFonts w:cs="Times New Roman"/>
          <w:szCs w:val="28"/>
        </w:rPr>
        <w:t>[146</w:t>
      </w:r>
      <w:r w:rsidR="00126D7E">
        <w:rPr>
          <w:rFonts w:cs="Times New Roman"/>
          <w:szCs w:val="28"/>
        </w:rPr>
        <w:t>]</w:t>
      </w:r>
      <w:r w:rsidR="00126D7E">
        <w:rPr>
          <w:rFonts w:cs="Times New Roman"/>
          <w:szCs w:val="28"/>
        </w:rPr>
        <w:tab/>
      </w:r>
      <w:r w:rsidR="00DE59C8">
        <w:rPr>
          <w:rFonts w:cs="Times New Roman"/>
          <w:szCs w:val="28"/>
        </w:rPr>
        <w:t xml:space="preserve">Much time </w:t>
      </w:r>
      <w:r w:rsidR="0020526D">
        <w:rPr>
          <w:rFonts w:cs="Times New Roman"/>
          <w:szCs w:val="28"/>
        </w:rPr>
        <w:t>during</w:t>
      </w:r>
      <w:r w:rsidR="00DE59C8">
        <w:rPr>
          <w:rFonts w:cs="Times New Roman"/>
          <w:szCs w:val="28"/>
        </w:rPr>
        <w:t xml:space="preserve"> the professor’s evidence, and in argument, was spent on the question of the failure to budget in advance</w:t>
      </w:r>
      <w:r w:rsidR="00BC3586">
        <w:rPr>
          <w:rFonts w:cs="Times New Roman"/>
          <w:szCs w:val="28"/>
        </w:rPr>
        <w:t xml:space="preserve"> for damages awards based on medical negligence of departmental employees. He went so far as to say that such failure had, for various reasons set out at length by him, criminal implications for </w:t>
      </w:r>
      <w:r w:rsidR="00CC4C02">
        <w:rPr>
          <w:rFonts w:cs="Times New Roman"/>
          <w:szCs w:val="28"/>
        </w:rPr>
        <w:t>Dr</w:t>
      </w:r>
      <w:r w:rsidR="00BC3586">
        <w:rPr>
          <w:rFonts w:cs="Times New Roman"/>
          <w:szCs w:val="28"/>
        </w:rPr>
        <w:t xml:space="preserve"> Wagner as head of the department. The defence, rightly in my view, spent much time in establishing the contrary. However, I do not believe that it is necessary to waste much time on this aspect as it is, in my judgment, largely a red herring</w:t>
      </w:r>
      <w:r w:rsidR="00190451">
        <w:rPr>
          <w:rFonts w:cs="Times New Roman"/>
          <w:szCs w:val="28"/>
        </w:rPr>
        <w:t xml:space="preserve"> vis-à-vis the proposed constitutional defences</w:t>
      </w:r>
      <w:r w:rsidR="00BC3586">
        <w:rPr>
          <w:rFonts w:cs="Times New Roman"/>
          <w:szCs w:val="28"/>
        </w:rPr>
        <w:t>.</w:t>
      </w:r>
    </w:p>
    <w:p w:rsidR="00BC3586" w:rsidRDefault="00BC3586" w:rsidP="00010E6D">
      <w:pPr>
        <w:rPr>
          <w:rFonts w:cs="Times New Roman"/>
          <w:szCs w:val="28"/>
        </w:rPr>
      </w:pPr>
    </w:p>
    <w:p w:rsidR="00BC3586" w:rsidRDefault="00180967" w:rsidP="00010E6D">
      <w:pPr>
        <w:rPr>
          <w:rFonts w:cs="Times New Roman"/>
          <w:szCs w:val="28"/>
        </w:rPr>
      </w:pPr>
      <w:r>
        <w:rPr>
          <w:rFonts w:cs="Times New Roman"/>
          <w:szCs w:val="28"/>
        </w:rPr>
        <w:t>[147</w:t>
      </w:r>
      <w:r w:rsidR="00126D7E">
        <w:rPr>
          <w:rFonts w:cs="Times New Roman"/>
          <w:szCs w:val="28"/>
        </w:rPr>
        <w:t>]</w:t>
      </w:r>
      <w:r w:rsidR="00126D7E">
        <w:rPr>
          <w:rFonts w:cs="Times New Roman"/>
          <w:szCs w:val="28"/>
        </w:rPr>
        <w:tab/>
      </w:r>
      <w:r w:rsidR="00BC3586">
        <w:rPr>
          <w:rFonts w:cs="Times New Roman"/>
          <w:szCs w:val="28"/>
        </w:rPr>
        <w:t>It is an accepted fact that up until approximately 2010 large claims of this nature did not exist. Whilst there were a few medical negligence claims, the quantum thereof</w:t>
      </w:r>
      <w:r w:rsidR="00CC4C02">
        <w:rPr>
          <w:rFonts w:cs="Times New Roman"/>
          <w:szCs w:val="28"/>
        </w:rPr>
        <w:t xml:space="preserve"> as</w:t>
      </w:r>
      <w:r w:rsidR="00BC3586">
        <w:rPr>
          <w:rFonts w:cs="Times New Roman"/>
          <w:szCs w:val="28"/>
        </w:rPr>
        <w:t xml:space="preserve"> awarded by the courts was a drop in the ocean compared to the awards which are made today. Additionally, for various reasons which were </w:t>
      </w:r>
      <w:r w:rsidR="00BC3586">
        <w:rPr>
          <w:rFonts w:cs="Times New Roman"/>
          <w:szCs w:val="28"/>
        </w:rPr>
        <w:lastRenderedPageBreak/>
        <w:t>debated extensively during evidence and argument, there has been a vast increase in the number of such claims over the past</w:t>
      </w:r>
      <w:r w:rsidR="00190451">
        <w:rPr>
          <w:rFonts w:cs="Times New Roman"/>
          <w:szCs w:val="28"/>
        </w:rPr>
        <w:t xml:space="preserve"> </w:t>
      </w:r>
      <w:r w:rsidR="00CC4C02">
        <w:rPr>
          <w:rFonts w:cs="Times New Roman"/>
          <w:szCs w:val="28"/>
        </w:rPr>
        <w:t>12</w:t>
      </w:r>
      <w:r w:rsidR="00190451">
        <w:rPr>
          <w:rFonts w:cs="Times New Roman"/>
          <w:szCs w:val="28"/>
        </w:rPr>
        <w:t xml:space="preserve"> </w:t>
      </w:r>
      <w:r w:rsidR="00BC3586">
        <w:rPr>
          <w:rFonts w:cs="Times New Roman"/>
          <w:szCs w:val="28"/>
        </w:rPr>
        <w:t>years, particularly CP claims. Their attendant damages awards have evolved dramatically and appear to average in the region of R25 million to R30 million, and in some cases more. Accordingly, in the earlier days such medical negligence claims formed a small drop in the ocean of the department’s budget, and indeed of the national budget. In a relatively short space of time, as I have described, this drop has grown exponentially.</w:t>
      </w:r>
    </w:p>
    <w:p w:rsidR="0014088C" w:rsidRDefault="0014088C" w:rsidP="00010E6D">
      <w:pPr>
        <w:rPr>
          <w:rFonts w:cs="Times New Roman"/>
          <w:szCs w:val="28"/>
        </w:rPr>
      </w:pPr>
    </w:p>
    <w:p w:rsidR="0014088C" w:rsidRDefault="00180967" w:rsidP="00010E6D">
      <w:pPr>
        <w:rPr>
          <w:rFonts w:cs="Times New Roman"/>
          <w:szCs w:val="28"/>
        </w:rPr>
      </w:pPr>
      <w:r>
        <w:rPr>
          <w:rFonts w:cs="Times New Roman"/>
          <w:szCs w:val="28"/>
        </w:rPr>
        <w:t>[148</w:t>
      </w:r>
      <w:r w:rsidR="00126D7E">
        <w:rPr>
          <w:rFonts w:cs="Times New Roman"/>
          <w:szCs w:val="28"/>
        </w:rPr>
        <w:t>]</w:t>
      </w:r>
      <w:r w:rsidR="00126D7E">
        <w:rPr>
          <w:rFonts w:cs="Times New Roman"/>
          <w:szCs w:val="28"/>
        </w:rPr>
        <w:tab/>
      </w:r>
      <w:r w:rsidR="0014088C">
        <w:rPr>
          <w:rFonts w:cs="Times New Roman"/>
          <w:szCs w:val="28"/>
        </w:rPr>
        <w:t xml:space="preserve">Mr Donaldson described how international accounting standards have not accommodated such contingent liability and may well have to be adjusted in this regard. </w:t>
      </w:r>
      <w:r w:rsidR="00190451">
        <w:rPr>
          <w:rFonts w:cs="Times New Roman"/>
          <w:szCs w:val="28"/>
        </w:rPr>
        <w:t>However,</w:t>
      </w:r>
      <w:r w:rsidR="0014088C">
        <w:rPr>
          <w:rFonts w:cs="Times New Roman"/>
          <w:szCs w:val="28"/>
        </w:rPr>
        <w:t xml:space="preserve"> Parliament is unlikely to prospectively approve a health department anticipating its own negligence. Rather, the accounting convention as it stands requires that government departments prevent and contain these costs and, if</w:t>
      </w:r>
      <w:r w:rsidR="005E09B0">
        <w:rPr>
          <w:rFonts w:cs="Times New Roman"/>
          <w:szCs w:val="28"/>
        </w:rPr>
        <w:t xml:space="preserve"> such co</w:t>
      </w:r>
      <w:r w:rsidR="0014088C">
        <w:rPr>
          <w:rFonts w:cs="Times New Roman"/>
          <w:szCs w:val="28"/>
        </w:rPr>
        <w:t>sts do occur, the relevant parliamentary committee is able to review the settlements after the fact and</w:t>
      </w:r>
      <w:r w:rsidR="005E09B0">
        <w:rPr>
          <w:rFonts w:cs="Times New Roman"/>
          <w:szCs w:val="28"/>
        </w:rPr>
        <w:t>,</w:t>
      </w:r>
      <w:r w:rsidR="0014088C">
        <w:rPr>
          <w:rFonts w:cs="Times New Roman"/>
          <w:szCs w:val="28"/>
        </w:rPr>
        <w:t xml:space="preserve"> where appropriate, assign responsibility and recover costs. He testified that, in part, this accounting convention operates to </w:t>
      </w:r>
      <w:proofErr w:type="spellStart"/>
      <w:r w:rsidR="0014088C">
        <w:rPr>
          <w:rFonts w:cs="Times New Roman"/>
          <w:szCs w:val="28"/>
        </w:rPr>
        <w:t>disincentivise</w:t>
      </w:r>
      <w:proofErr w:type="spellEnd"/>
      <w:r w:rsidR="0014088C">
        <w:rPr>
          <w:rFonts w:cs="Times New Roman"/>
          <w:szCs w:val="28"/>
        </w:rPr>
        <w:t xml:space="preserve"> departments from simply settling claims without investigation. Indeed, this is how contingent liabilities are managed in the public administration system</w:t>
      </w:r>
      <w:r w:rsidR="00986BBB">
        <w:rPr>
          <w:rFonts w:cs="Times New Roman"/>
          <w:szCs w:val="28"/>
        </w:rPr>
        <w:t xml:space="preserve"> generally</w:t>
      </w:r>
      <w:r w:rsidR="0014088C">
        <w:rPr>
          <w:rFonts w:cs="Times New Roman"/>
          <w:szCs w:val="28"/>
        </w:rPr>
        <w:t>, including the police department and correctional services.</w:t>
      </w:r>
    </w:p>
    <w:p w:rsidR="002C524C" w:rsidRDefault="002C524C" w:rsidP="00010E6D">
      <w:pPr>
        <w:rPr>
          <w:rFonts w:cs="Times New Roman"/>
          <w:szCs w:val="28"/>
        </w:rPr>
      </w:pPr>
    </w:p>
    <w:p w:rsidR="002C524C" w:rsidRDefault="00180967" w:rsidP="00010E6D">
      <w:pPr>
        <w:rPr>
          <w:rFonts w:cs="Times New Roman"/>
          <w:szCs w:val="28"/>
        </w:rPr>
      </w:pPr>
      <w:r>
        <w:rPr>
          <w:rFonts w:cs="Times New Roman"/>
          <w:szCs w:val="28"/>
        </w:rPr>
        <w:t>[149</w:t>
      </w:r>
      <w:r w:rsidR="00126D7E">
        <w:rPr>
          <w:rFonts w:cs="Times New Roman"/>
          <w:szCs w:val="28"/>
        </w:rPr>
        <w:t>]</w:t>
      </w:r>
      <w:r w:rsidR="00126D7E">
        <w:rPr>
          <w:rFonts w:cs="Times New Roman"/>
          <w:szCs w:val="28"/>
        </w:rPr>
        <w:tab/>
      </w:r>
      <w:r w:rsidR="002C524C">
        <w:rPr>
          <w:rFonts w:cs="Times New Roman"/>
          <w:szCs w:val="28"/>
        </w:rPr>
        <w:t>Flowing from this, Mr Donaldson said that the instruction from National and Provincial Treasury not</w:t>
      </w:r>
      <w:r w:rsidR="00CC4C02">
        <w:rPr>
          <w:rFonts w:cs="Times New Roman"/>
          <w:szCs w:val="28"/>
        </w:rPr>
        <w:t xml:space="preserve"> to</w:t>
      </w:r>
      <w:r w:rsidR="002C524C">
        <w:rPr>
          <w:rFonts w:cs="Times New Roman"/>
          <w:szCs w:val="28"/>
        </w:rPr>
        <w:t xml:space="preserve"> budget for contingent liabilities is thus an incident of accountability and parliamentary oversight. It is an additional check and balance, and accounting officers are legally obliged to follow treasury’s instructions and regulations. The system would fall apart otherwise.</w:t>
      </w:r>
    </w:p>
    <w:p w:rsidR="0014088C" w:rsidRDefault="0014088C" w:rsidP="00010E6D">
      <w:pPr>
        <w:rPr>
          <w:rFonts w:cs="Times New Roman"/>
          <w:szCs w:val="28"/>
        </w:rPr>
      </w:pPr>
    </w:p>
    <w:p w:rsidR="0014088C" w:rsidRDefault="00180967" w:rsidP="00010E6D">
      <w:pPr>
        <w:rPr>
          <w:rFonts w:cs="Times New Roman"/>
          <w:szCs w:val="28"/>
        </w:rPr>
      </w:pPr>
      <w:r>
        <w:rPr>
          <w:rFonts w:cs="Times New Roman"/>
          <w:szCs w:val="28"/>
        </w:rPr>
        <w:lastRenderedPageBreak/>
        <w:t>[150</w:t>
      </w:r>
      <w:r w:rsidR="00126D7E">
        <w:rPr>
          <w:rFonts w:cs="Times New Roman"/>
          <w:szCs w:val="28"/>
        </w:rPr>
        <w:t>]</w:t>
      </w:r>
      <w:r w:rsidR="00126D7E">
        <w:rPr>
          <w:rFonts w:cs="Times New Roman"/>
          <w:szCs w:val="28"/>
        </w:rPr>
        <w:tab/>
      </w:r>
      <w:r w:rsidR="0014088C">
        <w:rPr>
          <w:rFonts w:cs="Times New Roman"/>
          <w:szCs w:val="28"/>
        </w:rPr>
        <w:t>I have already mentioned how long it has taken for the legislature to consider legislation dealing with the endemic issue of medical negligence claims against the state. It seems to me highly unlikely that this accounting convention which the department faces annually is likely to be changed, and if it is, such change will only happen far in the future. This being so, it is a fact that the department must live with this issue and all the debates in that regard appear to me to be largely irrelevant. Indeed, it is the very existence of these vast claims and their effect on efficient governance coupled with this convention which, in my judgment, point ineluctably to the constitutional defences having to be granted.</w:t>
      </w:r>
    </w:p>
    <w:p w:rsidR="00190451" w:rsidRDefault="00190451" w:rsidP="00010E6D">
      <w:pPr>
        <w:rPr>
          <w:rFonts w:cs="Times New Roman"/>
          <w:szCs w:val="28"/>
        </w:rPr>
      </w:pPr>
    </w:p>
    <w:p w:rsidR="00190451" w:rsidRDefault="00180967" w:rsidP="00010E6D">
      <w:pPr>
        <w:rPr>
          <w:rFonts w:cs="Times New Roman"/>
          <w:szCs w:val="28"/>
        </w:rPr>
      </w:pPr>
      <w:r>
        <w:rPr>
          <w:rFonts w:cs="Times New Roman"/>
          <w:szCs w:val="28"/>
        </w:rPr>
        <w:t>[151</w:t>
      </w:r>
      <w:r w:rsidR="00126D7E">
        <w:rPr>
          <w:rFonts w:cs="Times New Roman"/>
          <w:szCs w:val="28"/>
        </w:rPr>
        <w:t>]</w:t>
      </w:r>
      <w:r w:rsidR="00126D7E">
        <w:rPr>
          <w:rFonts w:cs="Times New Roman"/>
          <w:szCs w:val="28"/>
        </w:rPr>
        <w:tab/>
      </w:r>
      <w:r w:rsidR="00190451">
        <w:rPr>
          <w:rFonts w:cs="Times New Roman"/>
          <w:szCs w:val="28"/>
        </w:rPr>
        <w:t xml:space="preserve">As regards the proxy indicators which the professor relied upon to conclude that the department is poorly managed and that this was a good reason not to depart from lump-sum awards, in my view Mr Donaldson’s evidence was far more balanced and cautious. For example, Mr Donaldson’s opinion was that </w:t>
      </w:r>
      <w:proofErr w:type="spellStart"/>
      <w:r w:rsidR="00190451">
        <w:rPr>
          <w:rFonts w:cs="Times New Roman"/>
          <w:szCs w:val="28"/>
        </w:rPr>
        <w:t>Prof.</w:t>
      </w:r>
      <w:proofErr w:type="spellEnd"/>
      <w:r w:rsidR="00190451">
        <w:rPr>
          <w:rFonts w:cs="Times New Roman"/>
          <w:szCs w:val="28"/>
        </w:rPr>
        <w:t xml:space="preserve"> Van den </w:t>
      </w:r>
      <w:proofErr w:type="spellStart"/>
      <w:r w:rsidR="00190451">
        <w:rPr>
          <w:rFonts w:cs="Times New Roman"/>
          <w:szCs w:val="28"/>
        </w:rPr>
        <w:t>Heever’s</w:t>
      </w:r>
      <w:proofErr w:type="spellEnd"/>
      <w:r w:rsidR="00190451">
        <w:rPr>
          <w:rFonts w:cs="Times New Roman"/>
          <w:szCs w:val="28"/>
        </w:rPr>
        <w:t xml:space="preserve"> views were incautious in the way</w:t>
      </w:r>
      <w:r w:rsidR="005E09B0">
        <w:rPr>
          <w:rFonts w:cs="Times New Roman"/>
          <w:szCs w:val="28"/>
        </w:rPr>
        <w:t xml:space="preserve"> in</w:t>
      </w:r>
      <w:r w:rsidR="00190451">
        <w:rPr>
          <w:rFonts w:cs="Times New Roman"/>
          <w:szCs w:val="28"/>
        </w:rPr>
        <w:t xml:space="preserve"> which they abstracted general critiques </w:t>
      </w:r>
      <w:r w:rsidR="00986BBB">
        <w:rPr>
          <w:rFonts w:cs="Times New Roman"/>
          <w:szCs w:val="28"/>
        </w:rPr>
        <w:t>based on</w:t>
      </w:r>
      <w:r w:rsidR="00190451">
        <w:rPr>
          <w:rFonts w:cs="Times New Roman"/>
          <w:szCs w:val="28"/>
        </w:rPr>
        <w:t xml:space="preserve"> such proxy indicators to determine</w:t>
      </w:r>
      <w:r w:rsidR="005E09B0">
        <w:rPr>
          <w:rFonts w:cs="Times New Roman"/>
          <w:szCs w:val="28"/>
        </w:rPr>
        <w:t xml:space="preserve"> </w:t>
      </w:r>
      <w:r w:rsidR="00190451">
        <w:rPr>
          <w:rFonts w:cs="Times New Roman"/>
          <w:szCs w:val="28"/>
        </w:rPr>
        <w:t xml:space="preserve">a hospital’s capability to meet particular needs or care for children with </w:t>
      </w:r>
      <w:r w:rsidR="005E09B0">
        <w:rPr>
          <w:rFonts w:cs="Times New Roman"/>
          <w:szCs w:val="28"/>
        </w:rPr>
        <w:t>such</w:t>
      </w:r>
      <w:r w:rsidR="00190451">
        <w:rPr>
          <w:rFonts w:cs="Times New Roman"/>
          <w:szCs w:val="28"/>
        </w:rPr>
        <w:t xml:space="preserve"> needs.</w:t>
      </w:r>
      <w:r w:rsidR="00A2288C">
        <w:rPr>
          <w:rFonts w:cs="Times New Roman"/>
          <w:szCs w:val="28"/>
        </w:rPr>
        <w:t xml:space="preserve"> He stressed that if one takes a long-term view on health service delivery, there is marked improvement in performance represented by many indicators over time despite</w:t>
      </w:r>
      <w:r w:rsidR="00FE57AE">
        <w:rPr>
          <w:rFonts w:cs="Times New Roman"/>
          <w:szCs w:val="28"/>
        </w:rPr>
        <w:t xml:space="preserve"> the existence of </w:t>
      </w:r>
      <w:r w:rsidR="00A2288C">
        <w:rPr>
          <w:rFonts w:cs="Times New Roman"/>
          <w:szCs w:val="28"/>
        </w:rPr>
        <w:t>extraordinary stresses on the system.</w:t>
      </w:r>
    </w:p>
    <w:p w:rsidR="00A2288C" w:rsidRDefault="00A2288C" w:rsidP="00010E6D">
      <w:pPr>
        <w:rPr>
          <w:rFonts w:cs="Times New Roman"/>
          <w:szCs w:val="28"/>
        </w:rPr>
      </w:pPr>
    </w:p>
    <w:p w:rsidR="00384E60" w:rsidRDefault="00180967" w:rsidP="00010E6D">
      <w:pPr>
        <w:rPr>
          <w:rFonts w:cs="Times New Roman"/>
          <w:szCs w:val="28"/>
        </w:rPr>
      </w:pPr>
      <w:r>
        <w:rPr>
          <w:rFonts w:cs="Times New Roman"/>
          <w:szCs w:val="28"/>
        </w:rPr>
        <w:t>[152</w:t>
      </w:r>
      <w:r w:rsidR="00126D7E">
        <w:rPr>
          <w:rFonts w:cs="Times New Roman"/>
          <w:szCs w:val="28"/>
        </w:rPr>
        <w:t>]</w:t>
      </w:r>
      <w:r w:rsidR="00126D7E">
        <w:rPr>
          <w:rFonts w:cs="Times New Roman"/>
          <w:szCs w:val="28"/>
        </w:rPr>
        <w:tab/>
      </w:r>
      <w:r w:rsidR="00A2288C">
        <w:rPr>
          <w:rFonts w:cs="Times New Roman"/>
          <w:szCs w:val="28"/>
        </w:rPr>
        <w:t>Mr Donaldson also said that whilst he accepted the professor’s assertion that the management of health services is important in determining maternal mortality, a range of socio</w:t>
      </w:r>
      <w:r w:rsidR="00FE57AE">
        <w:rPr>
          <w:rFonts w:cs="Times New Roman"/>
          <w:szCs w:val="28"/>
        </w:rPr>
        <w:t>-</w:t>
      </w:r>
      <w:r w:rsidR="00A2288C">
        <w:rPr>
          <w:rFonts w:cs="Times New Roman"/>
          <w:szCs w:val="28"/>
        </w:rPr>
        <w:t xml:space="preserve">economic circumstances </w:t>
      </w:r>
      <w:r w:rsidR="00FE57AE">
        <w:rPr>
          <w:rFonts w:cs="Times New Roman"/>
          <w:szCs w:val="28"/>
        </w:rPr>
        <w:t xml:space="preserve">beyond the control </w:t>
      </w:r>
      <w:r w:rsidR="00A2288C">
        <w:rPr>
          <w:rFonts w:cs="Times New Roman"/>
          <w:szCs w:val="28"/>
        </w:rPr>
        <w:t>of the public health system are of importance, such as the vast distance to hospitals, nutritional levels</w:t>
      </w:r>
      <w:r w:rsidR="00FE57AE">
        <w:rPr>
          <w:rFonts w:cs="Times New Roman"/>
          <w:szCs w:val="28"/>
        </w:rPr>
        <w:t>,</w:t>
      </w:r>
      <w:r w:rsidR="00A2288C">
        <w:rPr>
          <w:rFonts w:cs="Times New Roman"/>
          <w:szCs w:val="28"/>
        </w:rPr>
        <w:t xml:space="preserve"> obesity, hypertension and the prevalence of tuberculosis. He </w:t>
      </w:r>
      <w:r w:rsidR="00A2288C">
        <w:rPr>
          <w:rFonts w:cs="Times New Roman"/>
          <w:szCs w:val="28"/>
        </w:rPr>
        <w:lastRenderedPageBreak/>
        <w:t>testified that there has been a concerted effort at national level to address maternal mortality, and that the Eastern Cape has shown a steady decline in in-facility maternal mortality rates. The professor indeed conceded that there has been such a decline.</w:t>
      </w:r>
    </w:p>
    <w:p w:rsidR="002B23B0" w:rsidRDefault="00180967" w:rsidP="00010E6D">
      <w:pPr>
        <w:rPr>
          <w:rFonts w:cs="Times New Roman"/>
          <w:szCs w:val="28"/>
        </w:rPr>
      </w:pPr>
      <w:r>
        <w:rPr>
          <w:rFonts w:cs="Times New Roman"/>
          <w:szCs w:val="28"/>
        </w:rPr>
        <w:t>[153</w:t>
      </w:r>
      <w:r w:rsidR="00126D7E">
        <w:rPr>
          <w:rFonts w:cs="Times New Roman"/>
          <w:szCs w:val="28"/>
        </w:rPr>
        <w:t>]</w:t>
      </w:r>
      <w:r w:rsidR="00126D7E">
        <w:rPr>
          <w:rFonts w:cs="Times New Roman"/>
          <w:szCs w:val="28"/>
        </w:rPr>
        <w:tab/>
      </w:r>
      <w:r w:rsidR="00CC4C02">
        <w:rPr>
          <w:rFonts w:cs="Times New Roman"/>
          <w:szCs w:val="28"/>
        </w:rPr>
        <w:t>Dr</w:t>
      </w:r>
      <w:r w:rsidR="00A2288C">
        <w:rPr>
          <w:rFonts w:cs="Times New Roman"/>
          <w:szCs w:val="28"/>
        </w:rPr>
        <w:t xml:space="preserve"> Wagner likewise presented cogent evidence pointing to problems with the use of these proxy indicators as a method of assessing the capability of the public healthcare sector. She also stressed that the Eastern Cape in particular carries a historically poor investment in healthcare infrastructure as a former “Bantustan” under the apartheid government. As regards the OHSC reviews, she acknowledged that their assessments focus largely on input and process measures and do not directly measure the outcomes of service delivery, which are of singular importance. Indeed, the professor himself expressed some doubt as to the reliability of OHSC assessments in relation to the capability of the Gauteng Department of Health and</w:t>
      </w:r>
      <w:r w:rsidR="005E09B0">
        <w:rPr>
          <w:rFonts w:cs="Times New Roman"/>
          <w:szCs w:val="28"/>
        </w:rPr>
        <w:t xml:space="preserve"> questioned </w:t>
      </w:r>
      <w:r w:rsidR="00A2288C">
        <w:rPr>
          <w:rFonts w:cs="Times New Roman"/>
          <w:szCs w:val="28"/>
        </w:rPr>
        <w:t>the logic underlying some aspects of the data.</w:t>
      </w:r>
      <w:r w:rsidR="002B23B0">
        <w:rPr>
          <w:rFonts w:cs="Times New Roman"/>
          <w:szCs w:val="28"/>
        </w:rPr>
        <w:t xml:space="preserve"> </w:t>
      </w:r>
    </w:p>
    <w:p w:rsidR="002B23B0" w:rsidRDefault="002B23B0" w:rsidP="00010E6D">
      <w:pPr>
        <w:rPr>
          <w:rFonts w:cs="Times New Roman"/>
          <w:szCs w:val="28"/>
        </w:rPr>
      </w:pPr>
    </w:p>
    <w:p w:rsidR="00A2288C" w:rsidRDefault="00180967" w:rsidP="00010E6D">
      <w:pPr>
        <w:rPr>
          <w:rFonts w:cs="Times New Roman"/>
          <w:szCs w:val="28"/>
        </w:rPr>
      </w:pPr>
      <w:r>
        <w:rPr>
          <w:rFonts w:cs="Times New Roman"/>
          <w:szCs w:val="28"/>
        </w:rPr>
        <w:t>[154</w:t>
      </w:r>
      <w:r w:rsidR="00126D7E">
        <w:rPr>
          <w:rFonts w:cs="Times New Roman"/>
          <w:szCs w:val="28"/>
        </w:rPr>
        <w:t>]</w:t>
      </w:r>
      <w:r w:rsidR="00126D7E">
        <w:rPr>
          <w:rFonts w:cs="Times New Roman"/>
          <w:szCs w:val="28"/>
        </w:rPr>
        <w:tab/>
      </w:r>
      <w:r w:rsidR="002B23B0">
        <w:rPr>
          <w:rFonts w:cs="Times New Roman"/>
          <w:szCs w:val="28"/>
        </w:rPr>
        <w:t>The</w:t>
      </w:r>
      <w:r w:rsidR="00040091">
        <w:rPr>
          <w:rFonts w:cs="Times New Roman"/>
          <w:szCs w:val="28"/>
        </w:rPr>
        <w:t xml:space="preserve"> third</w:t>
      </w:r>
      <w:r w:rsidR="002B23B0">
        <w:rPr>
          <w:rFonts w:cs="Times New Roman"/>
          <w:szCs w:val="28"/>
        </w:rPr>
        <w:t xml:space="preserve"> proxy indicator relied upon </w:t>
      </w:r>
      <w:r w:rsidR="00040091">
        <w:rPr>
          <w:rFonts w:cs="Times New Roman"/>
          <w:szCs w:val="28"/>
        </w:rPr>
        <w:t>related to</w:t>
      </w:r>
      <w:r w:rsidR="002B23B0">
        <w:rPr>
          <w:rFonts w:cs="Times New Roman"/>
          <w:szCs w:val="28"/>
        </w:rPr>
        <w:t xml:space="preserve"> reports of the </w:t>
      </w:r>
      <w:r w:rsidR="00040091">
        <w:rPr>
          <w:rFonts w:cs="Times New Roman"/>
          <w:szCs w:val="28"/>
        </w:rPr>
        <w:t>A</w:t>
      </w:r>
      <w:r w:rsidR="002B23B0">
        <w:rPr>
          <w:rFonts w:cs="Times New Roman"/>
          <w:szCs w:val="28"/>
        </w:rPr>
        <w:t xml:space="preserve">uditor General. The professor testified that any qualification in an </w:t>
      </w:r>
      <w:r w:rsidR="00040091">
        <w:rPr>
          <w:rFonts w:cs="Times New Roman"/>
          <w:szCs w:val="28"/>
        </w:rPr>
        <w:t xml:space="preserve">audit </w:t>
      </w:r>
      <w:r w:rsidR="00A059A8">
        <w:rPr>
          <w:rFonts w:cs="Times New Roman"/>
          <w:szCs w:val="28"/>
        </w:rPr>
        <w:t xml:space="preserve">is </w:t>
      </w:r>
      <w:r w:rsidR="002B23B0">
        <w:rPr>
          <w:rFonts w:cs="Times New Roman"/>
          <w:szCs w:val="28"/>
        </w:rPr>
        <w:t xml:space="preserve">suggestive of managerial fault which is systemic </w:t>
      </w:r>
      <w:r w:rsidR="00040091">
        <w:rPr>
          <w:rFonts w:cs="Times New Roman"/>
          <w:szCs w:val="28"/>
        </w:rPr>
        <w:t>in</w:t>
      </w:r>
      <w:r w:rsidR="002B23B0">
        <w:rPr>
          <w:rFonts w:cs="Times New Roman"/>
          <w:szCs w:val="28"/>
        </w:rPr>
        <w:t xml:space="preserve"> a government entity. He testified further that these findings relating to health expenditure are consistent with the view that the public health system is in crisis.</w:t>
      </w:r>
    </w:p>
    <w:p w:rsidR="002B23B0" w:rsidRDefault="002B23B0" w:rsidP="00010E6D">
      <w:pPr>
        <w:rPr>
          <w:rFonts w:cs="Times New Roman"/>
          <w:szCs w:val="28"/>
        </w:rPr>
      </w:pPr>
    </w:p>
    <w:p w:rsidR="002B23B0" w:rsidRDefault="00180967" w:rsidP="00010E6D">
      <w:pPr>
        <w:rPr>
          <w:rFonts w:cs="Times New Roman"/>
          <w:szCs w:val="28"/>
        </w:rPr>
      </w:pPr>
      <w:r>
        <w:rPr>
          <w:rFonts w:cs="Times New Roman"/>
          <w:szCs w:val="28"/>
        </w:rPr>
        <w:t>[155</w:t>
      </w:r>
      <w:r w:rsidR="00126D7E">
        <w:rPr>
          <w:rFonts w:cs="Times New Roman"/>
          <w:szCs w:val="28"/>
        </w:rPr>
        <w:t>]</w:t>
      </w:r>
      <w:r w:rsidR="00126D7E">
        <w:rPr>
          <w:rFonts w:cs="Times New Roman"/>
          <w:szCs w:val="28"/>
        </w:rPr>
        <w:tab/>
      </w:r>
      <w:r w:rsidR="002B23B0">
        <w:rPr>
          <w:rFonts w:cs="Times New Roman"/>
          <w:szCs w:val="28"/>
        </w:rPr>
        <w:t xml:space="preserve">In this regard I must lean once again towards the view of Mr Donaldson. He testified that such findings are incapable of informing as to the capability and commitment of the department to meet particular needs of children in certain circumstances, and indeed to do so in terms of a </w:t>
      </w:r>
      <w:r w:rsidR="00F9511D">
        <w:rPr>
          <w:rFonts w:cs="Times New Roman"/>
          <w:szCs w:val="28"/>
        </w:rPr>
        <w:t>framework to which</w:t>
      </w:r>
      <w:r w:rsidR="002B23B0">
        <w:rPr>
          <w:rFonts w:cs="Times New Roman"/>
          <w:szCs w:val="28"/>
        </w:rPr>
        <w:t xml:space="preserve"> the court will contribut</w:t>
      </w:r>
      <w:r w:rsidR="00F9511D">
        <w:rPr>
          <w:rFonts w:cs="Times New Roman"/>
          <w:szCs w:val="28"/>
        </w:rPr>
        <w:t>e</w:t>
      </w:r>
      <w:r w:rsidR="002B23B0">
        <w:rPr>
          <w:rFonts w:cs="Times New Roman"/>
          <w:szCs w:val="28"/>
        </w:rPr>
        <w:t xml:space="preserve"> in framing. Such audit findings, he said, are not necessarily a good </w:t>
      </w:r>
      <w:r w:rsidR="002B23B0">
        <w:rPr>
          <w:rFonts w:cs="Times New Roman"/>
          <w:szCs w:val="28"/>
        </w:rPr>
        <w:lastRenderedPageBreak/>
        <w:t xml:space="preserve">indicator of service delivery capacity. In his experience, such performance assessment as reflected in the Auditor-General’s reports is assessed by auditors </w:t>
      </w:r>
      <w:r w:rsidR="00F9511D">
        <w:rPr>
          <w:rFonts w:cs="Times New Roman"/>
          <w:szCs w:val="28"/>
        </w:rPr>
        <w:t>and</w:t>
      </w:r>
      <w:r w:rsidR="002B23B0">
        <w:rPr>
          <w:rFonts w:cs="Times New Roman"/>
          <w:szCs w:val="28"/>
        </w:rPr>
        <w:t xml:space="preserve"> in many instances amounts to a mechanical accounting exercise as opposed to an ascertainment of the actual performance of an individual department. Moreover, South Africa sets comparatively high standards in public financial management. He disagreed with the insinuations made by the professor of corruption and maladministration against the department based solely on such audit findings.</w:t>
      </w:r>
    </w:p>
    <w:p w:rsidR="002B23B0" w:rsidRDefault="002B23B0" w:rsidP="00010E6D">
      <w:pPr>
        <w:rPr>
          <w:rFonts w:cs="Times New Roman"/>
          <w:szCs w:val="28"/>
        </w:rPr>
      </w:pPr>
    </w:p>
    <w:p w:rsidR="002B23B0" w:rsidRDefault="00180967" w:rsidP="00010E6D">
      <w:pPr>
        <w:rPr>
          <w:rFonts w:cs="Times New Roman"/>
          <w:szCs w:val="28"/>
        </w:rPr>
      </w:pPr>
      <w:r>
        <w:rPr>
          <w:rFonts w:cs="Times New Roman"/>
          <w:szCs w:val="28"/>
        </w:rPr>
        <w:t>[156</w:t>
      </w:r>
      <w:r w:rsidR="00126D7E">
        <w:rPr>
          <w:rFonts w:cs="Times New Roman"/>
          <w:szCs w:val="28"/>
        </w:rPr>
        <w:t>]</w:t>
      </w:r>
      <w:r w:rsidR="00126D7E">
        <w:rPr>
          <w:rFonts w:cs="Times New Roman"/>
          <w:szCs w:val="28"/>
        </w:rPr>
        <w:tab/>
      </w:r>
      <w:r w:rsidR="00CC4C02">
        <w:rPr>
          <w:rFonts w:cs="Times New Roman"/>
          <w:szCs w:val="28"/>
        </w:rPr>
        <w:t>Dr</w:t>
      </w:r>
      <w:r w:rsidR="002B23B0">
        <w:rPr>
          <w:rFonts w:cs="Times New Roman"/>
          <w:szCs w:val="28"/>
        </w:rPr>
        <w:t xml:space="preserve"> Wagner also undermined the usefulness of such reports. Professor Van den </w:t>
      </w:r>
      <w:proofErr w:type="spellStart"/>
      <w:r w:rsidR="002B23B0">
        <w:rPr>
          <w:rFonts w:cs="Times New Roman"/>
          <w:szCs w:val="28"/>
        </w:rPr>
        <w:t>Heever</w:t>
      </w:r>
      <w:proofErr w:type="spellEnd"/>
      <w:r w:rsidR="002B23B0">
        <w:rPr>
          <w:rFonts w:cs="Times New Roman"/>
          <w:szCs w:val="28"/>
        </w:rPr>
        <w:t xml:space="preserve"> relied on the 2018 Auditor-General’s report which showed poor current performance by the department. Not only is that report outdated, but the qualification to the financial statements relates to the amount of the department’s contingent liabilities arising from </w:t>
      </w:r>
      <w:proofErr w:type="spellStart"/>
      <w:r w:rsidR="002B23B0">
        <w:rPr>
          <w:rFonts w:cs="Times New Roman"/>
          <w:szCs w:val="28"/>
        </w:rPr>
        <w:t>medicolegal</w:t>
      </w:r>
      <w:proofErr w:type="spellEnd"/>
      <w:r w:rsidR="002B23B0">
        <w:rPr>
          <w:rFonts w:cs="Times New Roman"/>
          <w:szCs w:val="28"/>
        </w:rPr>
        <w:t xml:space="preserve"> claims. It is these very claims which she seeks to address.</w:t>
      </w:r>
    </w:p>
    <w:p w:rsidR="009509B1" w:rsidRDefault="009509B1" w:rsidP="00010E6D">
      <w:pPr>
        <w:rPr>
          <w:rFonts w:cs="Times New Roman"/>
          <w:szCs w:val="28"/>
        </w:rPr>
      </w:pPr>
    </w:p>
    <w:p w:rsidR="009509B1" w:rsidRDefault="00C20ED5" w:rsidP="00010E6D">
      <w:pPr>
        <w:rPr>
          <w:rFonts w:cs="Times New Roman"/>
          <w:szCs w:val="28"/>
        </w:rPr>
      </w:pPr>
      <w:r>
        <w:rPr>
          <w:rFonts w:cs="Times New Roman"/>
          <w:szCs w:val="28"/>
        </w:rPr>
        <w:t>[157</w:t>
      </w:r>
      <w:r w:rsidR="00126D7E">
        <w:rPr>
          <w:rFonts w:cs="Times New Roman"/>
          <w:szCs w:val="28"/>
        </w:rPr>
        <w:t>]</w:t>
      </w:r>
      <w:r w:rsidR="00126D7E">
        <w:rPr>
          <w:rFonts w:cs="Times New Roman"/>
          <w:szCs w:val="28"/>
        </w:rPr>
        <w:tab/>
      </w:r>
      <w:r w:rsidR="009509B1">
        <w:rPr>
          <w:rFonts w:cs="Times New Roman"/>
          <w:szCs w:val="28"/>
        </w:rPr>
        <w:t xml:space="preserve">Having examined the evidence of </w:t>
      </w:r>
      <w:proofErr w:type="spellStart"/>
      <w:r w:rsidR="009509B1">
        <w:rPr>
          <w:rFonts w:cs="Times New Roman"/>
          <w:szCs w:val="28"/>
        </w:rPr>
        <w:t>Prof.</w:t>
      </w:r>
      <w:proofErr w:type="spellEnd"/>
      <w:r w:rsidR="009509B1">
        <w:rPr>
          <w:rFonts w:cs="Times New Roman"/>
          <w:szCs w:val="28"/>
        </w:rPr>
        <w:t xml:space="preserve"> Van den </w:t>
      </w:r>
      <w:proofErr w:type="spellStart"/>
      <w:r w:rsidR="009509B1">
        <w:rPr>
          <w:rFonts w:cs="Times New Roman"/>
          <w:szCs w:val="28"/>
        </w:rPr>
        <w:t>Heever</w:t>
      </w:r>
      <w:proofErr w:type="spellEnd"/>
      <w:r w:rsidR="009509B1">
        <w:rPr>
          <w:rFonts w:cs="Times New Roman"/>
          <w:szCs w:val="28"/>
        </w:rPr>
        <w:t xml:space="preserve">, I am satisfied that it does not undermine the evidence and conclusions placed before the court by the various witnesses who testified on behalf of the </w:t>
      </w:r>
      <w:r w:rsidR="00CC4C02">
        <w:rPr>
          <w:rFonts w:cs="Times New Roman"/>
          <w:szCs w:val="28"/>
        </w:rPr>
        <w:t>defendant</w:t>
      </w:r>
      <w:r w:rsidR="009509B1">
        <w:rPr>
          <w:rFonts w:cs="Times New Roman"/>
          <w:szCs w:val="28"/>
        </w:rPr>
        <w:t xml:space="preserve">. In my view, the evidence of Mr. Donaldson in particular stands to be preferred. His written reports and his oral evidence were both measured and objective, and his reasoning process was not shown to be flawed. He also readily made concessions when such were necessary and appropriate. He was able to explain complex and technical issues in a simple and accessible manner and careful reasoning supported his opinions. Likewise, his experience in relation to public finance is extensive and unparalleled. There is little doubt that he has a deep understanding, based on his experience over many years, of the financial management of government </w:t>
      </w:r>
      <w:r w:rsidR="009509B1">
        <w:rPr>
          <w:rFonts w:cs="Times New Roman"/>
          <w:szCs w:val="28"/>
        </w:rPr>
        <w:lastRenderedPageBreak/>
        <w:t>departments from every perspective, including budgeting, planning, expenditure of public revenue, financial reporting and auditing.</w:t>
      </w:r>
    </w:p>
    <w:p w:rsidR="00C8097B" w:rsidRDefault="00C8097B" w:rsidP="00010E6D">
      <w:pPr>
        <w:rPr>
          <w:rFonts w:cs="Times New Roman"/>
          <w:szCs w:val="28"/>
        </w:rPr>
      </w:pPr>
      <w:bookmarkStart w:id="11" w:name="_Hlk125637616"/>
    </w:p>
    <w:p w:rsidR="00434BCA" w:rsidRDefault="00434BCA" w:rsidP="00010E6D">
      <w:pPr>
        <w:rPr>
          <w:rFonts w:cs="Times New Roman"/>
          <w:szCs w:val="28"/>
        </w:rPr>
      </w:pPr>
    </w:p>
    <w:p w:rsidR="000973AE" w:rsidRPr="005E31EB" w:rsidRDefault="009509B1" w:rsidP="00010E6D">
      <w:pPr>
        <w:rPr>
          <w:rFonts w:cs="Times New Roman"/>
          <w:b/>
          <w:bCs/>
          <w:i/>
          <w:iCs/>
          <w:szCs w:val="28"/>
        </w:rPr>
      </w:pPr>
      <w:r w:rsidRPr="009509B1">
        <w:rPr>
          <w:rFonts w:cs="Times New Roman"/>
          <w:b/>
          <w:bCs/>
          <w:i/>
          <w:iCs/>
          <w:szCs w:val="28"/>
        </w:rPr>
        <w:t>Does such evidence support the development of the common law?</w:t>
      </w:r>
    </w:p>
    <w:bookmarkEnd w:id="11"/>
    <w:p w:rsidR="000973AE" w:rsidRDefault="00C20ED5" w:rsidP="00010E6D">
      <w:pPr>
        <w:rPr>
          <w:rFonts w:cs="Times New Roman"/>
          <w:szCs w:val="28"/>
        </w:rPr>
      </w:pPr>
      <w:r>
        <w:rPr>
          <w:rFonts w:cs="Times New Roman"/>
          <w:szCs w:val="28"/>
        </w:rPr>
        <w:t>[158</w:t>
      </w:r>
      <w:r w:rsidR="00126D7E">
        <w:rPr>
          <w:rFonts w:cs="Times New Roman"/>
          <w:szCs w:val="28"/>
        </w:rPr>
        <w:t>]</w:t>
      </w:r>
      <w:r w:rsidR="00126D7E">
        <w:rPr>
          <w:rFonts w:cs="Times New Roman"/>
          <w:szCs w:val="28"/>
        </w:rPr>
        <w:tab/>
      </w:r>
      <w:r w:rsidR="000973AE">
        <w:rPr>
          <w:rFonts w:cs="Times New Roman"/>
          <w:szCs w:val="28"/>
        </w:rPr>
        <w:t xml:space="preserve">Particularly regarding the public healthcare defence, this case is, in many respects, on all fours with </w:t>
      </w:r>
      <w:r w:rsidR="00EF3315">
        <w:rPr>
          <w:rFonts w:cs="Times New Roman"/>
          <w:i/>
          <w:iCs/>
          <w:szCs w:val="28"/>
        </w:rPr>
        <w:t>MSM</w:t>
      </w:r>
      <w:r w:rsidR="000973AE">
        <w:rPr>
          <w:rFonts w:cs="Times New Roman"/>
          <w:szCs w:val="28"/>
        </w:rPr>
        <w:t xml:space="preserve">. Accordingly, the </w:t>
      </w:r>
      <w:r w:rsidR="00530A3F" w:rsidRPr="00530A3F">
        <w:rPr>
          <w:rFonts w:cs="Times New Roman"/>
          <w:i/>
          <w:iCs/>
          <w:szCs w:val="28"/>
        </w:rPr>
        <w:t>dicta</w:t>
      </w:r>
      <w:r w:rsidR="000973AE" w:rsidRPr="00530A3F">
        <w:rPr>
          <w:rFonts w:cs="Times New Roman"/>
          <w:i/>
          <w:iCs/>
          <w:szCs w:val="28"/>
        </w:rPr>
        <w:t xml:space="preserve"> </w:t>
      </w:r>
      <w:r w:rsidR="000973AE">
        <w:rPr>
          <w:rFonts w:cs="Times New Roman"/>
          <w:szCs w:val="28"/>
        </w:rPr>
        <w:t xml:space="preserve">of </w:t>
      </w:r>
      <w:proofErr w:type="spellStart"/>
      <w:r w:rsidR="000973AE">
        <w:rPr>
          <w:rFonts w:cs="Times New Roman"/>
          <w:szCs w:val="28"/>
        </w:rPr>
        <w:t>Keightley</w:t>
      </w:r>
      <w:proofErr w:type="spellEnd"/>
      <w:r w:rsidR="000973AE">
        <w:rPr>
          <w:rFonts w:cs="Times New Roman"/>
          <w:szCs w:val="28"/>
        </w:rPr>
        <w:t xml:space="preserve"> J in this regard are of equal application</w:t>
      </w:r>
      <w:r w:rsidR="00D04E02" w:rsidRPr="009F2A06">
        <w:rPr>
          <w:rFonts w:cs="Times New Roman"/>
          <w:color w:val="000000" w:themeColor="text1"/>
          <w:szCs w:val="28"/>
        </w:rPr>
        <w:t>.</w:t>
      </w:r>
      <w:r w:rsidR="000973AE" w:rsidRPr="009F2A06">
        <w:rPr>
          <w:rStyle w:val="FootnoteReference"/>
          <w:rFonts w:cs="Times New Roman"/>
          <w:color w:val="000000" w:themeColor="text1"/>
          <w:szCs w:val="28"/>
        </w:rPr>
        <w:footnoteReference w:id="67"/>
      </w:r>
      <w:r w:rsidR="000973AE">
        <w:rPr>
          <w:rFonts w:cs="Times New Roman"/>
          <w:szCs w:val="28"/>
        </w:rPr>
        <w:t xml:space="preserve"> Having studied</w:t>
      </w:r>
      <w:r w:rsidR="00530A3F">
        <w:rPr>
          <w:rFonts w:cs="Times New Roman"/>
          <w:szCs w:val="28"/>
        </w:rPr>
        <w:t xml:space="preserve"> her judgment </w:t>
      </w:r>
      <w:r w:rsidR="000973AE">
        <w:rPr>
          <w:rFonts w:cs="Times New Roman"/>
          <w:szCs w:val="28"/>
        </w:rPr>
        <w:t xml:space="preserve">in this regard, I </w:t>
      </w:r>
      <w:r w:rsidR="00D309F8">
        <w:rPr>
          <w:rFonts w:cs="Times New Roman"/>
          <w:szCs w:val="28"/>
        </w:rPr>
        <w:t>agree</w:t>
      </w:r>
      <w:r w:rsidR="000973AE">
        <w:rPr>
          <w:rFonts w:cs="Times New Roman"/>
          <w:szCs w:val="28"/>
        </w:rPr>
        <w:t xml:space="preserve"> with her analysis particularly as the evidence led in this case is largely support</w:t>
      </w:r>
      <w:r w:rsidR="00CC4C02">
        <w:rPr>
          <w:rFonts w:cs="Times New Roman"/>
          <w:szCs w:val="28"/>
        </w:rPr>
        <w:t>ive</w:t>
      </w:r>
      <w:r w:rsidR="000973AE">
        <w:rPr>
          <w:rFonts w:cs="Times New Roman"/>
          <w:szCs w:val="28"/>
        </w:rPr>
        <w:t xml:space="preserve"> of the evidence led in that.</w:t>
      </w:r>
    </w:p>
    <w:p w:rsidR="000973AE" w:rsidRDefault="000973AE" w:rsidP="00010E6D">
      <w:pPr>
        <w:rPr>
          <w:rFonts w:cs="Times New Roman"/>
          <w:szCs w:val="28"/>
        </w:rPr>
      </w:pPr>
    </w:p>
    <w:p w:rsidR="000973AE" w:rsidRDefault="005178BF" w:rsidP="00010E6D">
      <w:pPr>
        <w:rPr>
          <w:rFonts w:cs="Times New Roman"/>
          <w:szCs w:val="28"/>
        </w:rPr>
      </w:pPr>
      <w:r>
        <w:rPr>
          <w:rFonts w:cs="Times New Roman"/>
          <w:szCs w:val="28"/>
        </w:rPr>
        <w:t>[159</w:t>
      </w:r>
      <w:r w:rsidR="00126D7E">
        <w:rPr>
          <w:rFonts w:cs="Times New Roman"/>
          <w:szCs w:val="28"/>
        </w:rPr>
        <w:t>]</w:t>
      </w:r>
      <w:r w:rsidR="00126D7E">
        <w:rPr>
          <w:rFonts w:cs="Times New Roman"/>
          <w:szCs w:val="28"/>
        </w:rPr>
        <w:tab/>
      </w:r>
      <w:r w:rsidR="000973AE">
        <w:rPr>
          <w:rFonts w:cs="Times New Roman"/>
          <w:szCs w:val="28"/>
        </w:rPr>
        <w:t xml:space="preserve">In </w:t>
      </w:r>
      <w:r w:rsidR="000973AE" w:rsidRPr="00530A3F">
        <w:rPr>
          <w:rFonts w:cs="Times New Roman"/>
          <w:i/>
          <w:iCs/>
          <w:szCs w:val="28"/>
        </w:rPr>
        <w:t>DZ</w:t>
      </w:r>
      <w:r w:rsidR="000973AE">
        <w:rPr>
          <w:rFonts w:cs="Times New Roman"/>
          <w:szCs w:val="28"/>
        </w:rPr>
        <w:t xml:space="preserve">, </w:t>
      </w:r>
      <w:proofErr w:type="spellStart"/>
      <w:r w:rsidR="000973AE">
        <w:rPr>
          <w:rFonts w:cs="Times New Roman"/>
          <w:szCs w:val="28"/>
        </w:rPr>
        <w:t>Froneman</w:t>
      </w:r>
      <w:proofErr w:type="spellEnd"/>
      <w:r w:rsidR="000973AE">
        <w:rPr>
          <w:rFonts w:cs="Times New Roman"/>
          <w:szCs w:val="28"/>
        </w:rPr>
        <w:t xml:space="preserve"> JA’s examination of the common law led to the </w:t>
      </w:r>
      <w:r w:rsidR="00B35811">
        <w:rPr>
          <w:rFonts w:cs="Times New Roman"/>
          <w:szCs w:val="28"/>
        </w:rPr>
        <w:t>o</w:t>
      </w:r>
      <w:r w:rsidR="000973AE">
        <w:rPr>
          <w:rFonts w:cs="Times New Roman"/>
          <w:szCs w:val="28"/>
        </w:rPr>
        <w:t>biter conclusion that neither the once and for all</w:t>
      </w:r>
      <w:r w:rsidR="00530A3F">
        <w:rPr>
          <w:rFonts w:cs="Times New Roman"/>
          <w:szCs w:val="28"/>
        </w:rPr>
        <w:t xml:space="preserve"> rule</w:t>
      </w:r>
      <w:r w:rsidR="000973AE">
        <w:rPr>
          <w:rFonts w:cs="Times New Roman"/>
          <w:szCs w:val="28"/>
        </w:rPr>
        <w:t xml:space="preserve"> </w:t>
      </w:r>
      <w:r w:rsidR="00B35811">
        <w:rPr>
          <w:rFonts w:cs="Times New Roman"/>
          <w:szCs w:val="28"/>
        </w:rPr>
        <w:t>n</w:t>
      </w:r>
      <w:r w:rsidR="000973AE">
        <w:rPr>
          <w:rFonts w:cs="Times New Roman"/>
          <w:szCs w:val="28"/>
        </w:rPr>
        <w:t>or the money damages rule were in conflict with the constitutional value system.</w:t>
      </w:r>
      <w:r w:rsidR="000973AE">
        <w:rPr>
          <w:rStyle w:val="FootnoteReference"/>
          <w:rFonts w:cs="Times New Roman"/>
          <w:szCs w:val="28"/>
        </w:rPr>
        <w:footnoteReference w:id="68"/>
      </w:r>
      <w:r w:rsidR="00A75F6A">
        <w:rPr>
          <w:rFonts w:cs="Times New Roman"/>
          <w:szCs w:val="28"/>
        </w:rPr>
        <w:t xml:space="preserve"> He added that this problem (which he categorized </w:t>
      </w:r>
      <w:r w:rsidR="00A75F6A" w:rsidRPr="00A75F6A">
        <w:rPr>
          <w:rFonts w:cs="Times New Roman"/>
          <w:i/>
          <w:iCs/>
          <w:szCs w:val="28"/>
        </w:rPr>
        <w:t xml:space="preserve">in </w:t>
      </w:r>
      <w:proofErr w:type="spellStart"/>
      <w:r w:rsidR="00A75F6A" w:rsidRPr="00A75F6A">
        <w:rPr>
          <w:rFonts w:cs="Times New Roman"/>
          <w:i/>
          <w:iCs/>
          <w:szCs w:val="28"/>
        </w:rPr>
        <w:t>vacuo</w:t>
      </w:r>
      <w:proofErr w:type="spellEnd"/>
      <w:r w:rsidR="00A75F6A">
        <w:rPr>
          <w:rFonts w:cs="Times New Roman"/>
          <w:szCs w:val="28"/>
        </w:rPr>
        <w:t xml:space="preserve"> as it were, i.e. without any evidence as not </w:t>
      </w:r>
      <w:r w:rsidR="00A75F6A" w:rsidRPr="00A75F6A">
        <w:rPr>
          <w:rFonts w:cs="Times New Roman"/>
          <w:szCs w:val="28"/>
        </w:rPr>
        <w:t>being</w:t>
      </w:r>
      <w:r w:rsidR="00A75F6A" w:rsidRPr="00A75F6A">
        <w:rPr>
          <w:rFonts w:cs="Times New Roman"/>
          <w:i/>
          <w:iCs/>
          <w:szCs w:val="28"/>
        </w:rPr>
        <w:t xml:space="preserve"> prima facie</w:t>
      </w:r>
      <w:r w:rsidR="00A75F6A">
        <w:rPr>
          <w:rFonts w:cs="Times New Roman"/>
          <w:szCs w:val="28"/>
        </w:rPr>
        <w:t xml:space="preserve"> offensive to the Constitution)</w:t>
      </w:r>
      <w:r w:rsidR="00CC4C02">
        <w:rPr>
          <w:rFonts w:cs="Times New Roman"/>
          <w:szCs w:val="28"/>
        </w:rPr>
        <w:t>,</w:t>
      </w:r>
      <w:r w:rsidR="00A75F6A">
        <w:rPr>
          <w:rFonts w:cs="Times New Roman"/>
          <w:szCs w:val="28"/>
        </w:rPr>
        <w:t xml:space="preserve"> should be dealt with on a case-by-case basis. This is such a case. We now have evidence. In addition to what was said in </w:t>
      </w:r>
      <w:r w:rsidR="00EF3315">
        <w:rPr>
          <w:rFonts w:cs="Times New Roman"/>
          <w:i/>
          <w:iCs/>
          <w:szCs w:val="28"/>
        </w:rPr>
        <w:t>MSM</w:t>
      </w:r>
      <w:r w:rsidR="00A75F6A">
        <w:rPr>
          <w:rFonts w:cs="Times New Roman"/>
          <w:szCs w:val="28"/>
        </w:rPr>
        <w:t>, the evidence in my view discloses at least two obvious bases upon which such common law rules offend the Bill of Rights.</w:t>
      </w:r>
    </w:p>
    <w:p w:rsidR="00A75F6A" w:rsidRDefault="00A75F6A" w:rsidP="00010E6D">
      <w:pPr>
        <w:rPr>
          <w:rFonts w:cs="Times New Roman"/>
          <w:szCs w:val="28"/>
        </w:rPr>
      </w:pPr>
    </w:p>
    <w:p w:rsidR="00A75F6A" w:rsidRDefault="005178BF" w:rsidP="00010E6D">
      <w:pPr>
        <w:rPr>
          <w:rFonts w:cs="Times New Roman"/>
          <w:szCs w:val="28"/>
        </w:rPr>
      </w:pPr>
      <w:r>
        <w:rPr>
          <w:rFonts w:cs="Times New Roman"/>
          <w:szCs w:val="28"/>
        </w:rPr>
        <w:t>[160</w:t>
      </w:r>
      <w:r w:rsidR="00126D7E">
        <w:rPr>
          <w:rFonts w:cs="Times New Roman"/>
          <w:szCs w:val="28"/>
        </w:rPr>
        <w:t>]</w:t>
      </w:r>
      <w:r w:rsidR="00126D7E">
        <w:rPr>
          <w:rFonts w:cs="Times New Roman"/>
          <w:szCs w:val="28"/>
        </w:rPr>
        <w:tab/>
      </w:r>
      <w:r w:rsidR="00A75F6A">
        <w:rPr>
          <w:rFonts w:cs="Times New Roman"/>
          <w:szCs w:val="28"/>
        </w:rPr>
        <w:t xml:space="preserve">Firstly, it seems that all the witnesses ultimately accepted that the department is struggling financially for the various reasons which have been dealt with. That being so, heaping more “once and for all” claims on the department averaging approximately R30 million apiece, can only make the situation worse. </w:t>
      </w:r>
      <w:r w:rsidR="00A75F6A">
        <w:rPr>
          <w:rFonts w:cs="Times New Roman"/>
          <w:szCs w:val="28"/>
        </w:rPr>
        <w:lastRenderedPageBreak/>
        <w:t xml:space="preserve">This has the result that the department’s ability to carry out its obligation of realizing access to health for everyone in terms of section 27(2) is increasingly under pressure. </w:t>
      </w:r>
      <w:r w:rsidR="00CC4C02">
        <w:rPr>
          <w:rFonts w:cs="Times New Roman"/>
          <w:szCs w:val="28"/>
        </w:rPr>
        <w:t>Dr</w:t>
      </w:r>
      <w:r w:rsidR="00A75F6A">
        <w:rPr>
          <w:rFonts w:cs="Times New Roman"/>
          <w:szCs w:val="28"/>
        </w:rPr>
        <w:t xml:space="preserve"> Wagner and Mr Donaldson emphasized that the stress (and further potential for stress) on the department’s finances has the result that 80 to 90% of the population of the Eastern Cape (the balance being serviced by private healthcare as they are insured) are not receiving the healthcare that they ought to be. As the situation is worsening year by year, in my view, this is offensive to the </w:t>
      </w:r>
      <w:r w:rsidR="00B35811">
        <w:rPr>
          <w:rFonts w:cs="Times New Roman"/>
          <w:szCs w:val="28"/>
        </w:rPr>
        <w:t>Bill</w:t>
      </w:r>
      <w:r w:rsidR="00A75F6A">
        <w:rPr>
          <w:rFonts w:cs="Times New Roman"/>
          <w:szCs w:val="28"/>
        </w:rPr>
        <w:t xml:space="preserve"> of Rights.</w:t>
      </w:r>
    </w:p>
    <w:p w:rsidR="00A75F6A" w:rsidRDefault="00A75F6A" w:rsidP="00010E6D">
      <w:pPr>
        <w:rPr>
          <w:rFonts w:cs="Times New Roman"/>
          <w:szCs w:val="28"/>
        </w:rPr>
      </w:pPr>
    </w:p>
    <w:p w:rsidR="00A75F6A" w:rsidRDefault="005178BF" w:rsidP="00010E6D">
      <w:pPr>
        <w:rPr>
          <w:rFonts w:cs="Times New Roman"/>
          <w:szCs w:val="28"/>
        </w:rPr>
      </w:pPr>
      <w:r>
        <w:rPr>
          <w:rFonts w:cs="Times New Roman"/>
          <w:szCs w:val="28"/>
        </w:rPr>
        <w:t>[161</w:t>
      </w:r>
      <w:r w:rsidR="00126D7E">
        <w:rPr>
          <w:rFonts w:cs="Times New Roman"/>
          <w:szCs w:val="28"/>
        </w:rPr>
        <w:t>]</w:t>
      </w:r>
      <w:r w:rsidR="00126D7E">
        <w:rPr>
          <w:rFonts w:cs="Times New Roman"/>
          <w:szCs w:val="28"/>
        </w:rPr>
        <w:tab/>
      </w:r>
      <w:r w:rsidR="00A75F6A">
        <w:rPr>
          <w:rFonts w:cs="Times New Roman"/>
          <w:szCs w:val="28"/>
        </w:rPr>
        <w:t xml:space="preserve">Secondly, </w:t>
      </w:r>
      <w:r w:rsidR="00B35811">
        <w:rPr>
          <w:rFonts w:cs="Times New Roman"/>
          <w:szCs w:val="28"/>
        </w:rPr>
        <w:t xml:space="preserve">as correctly pointed out by the plaintiff, </w:t>
      </w:r>
      <w:r w:rsidR="00A75F6A">
        <w:rPr>
          <w:rFonts w:cs="Times New Roman"/>
          <w:szCs w:val="28"/>
        </w:rPr>
        <w:t>whilst the Contingency Fees Act has not been found to be unconstitutional</w:t>
      </w:r>
      <w:r w:rsidR="00B35811">
        <w:rPr>
          <w:rFonts w:cs="Times New Roman"/>
          <w:szCs w:val="28"/>
        </w:rPr>
        <w:t xml:space="preserve">, </w:t>
      </w:r>
      <w:r w:rsidR="00A75F6A">
        <w:rPr>
          <w:rFonts w:cs="Times New Roman"/>
          <w:szCs w:val="28"/>
        </w:rPr>
        <w:t xml:space="preserve">in most run-of-the-mill cases where legal practitioners abide by the law, it has a salutary effect in that it allows indigent people to have legal representation albeit that they have to give up a percentage of the award ultimately given. Where that award is not very </w:t>
      </w:r>
      <w:r w:rsidR="00B35811">
        <w:rPr>
          <w:rFonts w:cs="Times New Roman"/>
          <w:szCs w:val="28"/>
        </w:rPr>
        <w:t>high and</w:t>
      </w:r>
      <w:r w:rsidR="00A75F6A">
        <w:rPr>
          <w:rFonts w:cs="Times New Roman"/>
          <w:szCs w:val="28"/>
        </w:rPr>
        <w:t xml:space="preserve"> does not represent an important component of damages such as extensive future medical services for a severely compromised claimant</w:t>
      </w:r>
      <w:r w:rsidR="00B35811">
        <w:rPr>
          <w:rFonts w:cs="Times New Roman"/>
          <w:szCs w:val="28"/>
        </w:rPr>
        <w:t>,</w:t>
      </w:r>
      <w:r w:rsidR="00A75F6A">
        <w:rPr>
          <w:rFonts w:cs="Times New Roman"/>
          <w:szCs w:val="28"/>
        </w:rPr>
        <w:t xml:space="preserve"> the 25% deduction for legal fees (or, hopefully, a lesser percentage if the Act is applied to its full extent)</w:t>
      </w:r>
      <w:r w:rsidR="00B35811">
        <w:rPr>
          <w:rFonts w:cs="Times New Roman"/>
          <w:szCs w:val="28"/>
        </w:rPr>
        <w:t xml:space="preserve"> will not make a great difference to the claimant’s quantum of damages.</w:t>
      </w:r>
      <w:r w:rsidR="0003067B">
        <w:rPr>
          <w:rFonts w:cs="Times New Roman"/>
          <w:szCs w:val="28"/>
        </w:rPr>
        <w:t xml:space="preserve"> However, when dealing with CP cases such as this, it is common cause that a huge component of the damages award is represented by future medical expenses. This can account for </w:t>
      </w:r>
      <w:r w:rsidR="00E52BD4">
        <w:rPr>
          <w:rFonts w:cs="Times New Roman"/>
          <w:szCs w:val="28"/>
        </w:rPr>
        <w:t>R</w:t>
      </w:r>
      <w:r w:rsidR="0003067B">
        <w:rPr>
          <w:rFonts w:cs="Times New Roman"/>
          <w:szCs w:val="28"/>
        </w:rPr>
        <w:t xml:space="preserve">20 million or more of the claim. In the once and for all situation, this amount is carefully </w:t>
      </w:r>
      <w:r w:rsidR="00E52BD4">
        <w:rPr>
          <w:rFonts w:cs="Times New Roman"/>
          <w:szCs w:val="28"/>
        </w:rPr>
        <w:t xml:space="preserve">determined by actuaries </w:t>
      </w:r>
      <w:r w:rsidR="0003067B">
        <w:rPr>
          <w:rFonts w:cs="Times New Roman"/>
          <w:szCs w:val="28"/>
        </w:rPr>
        <w:t xml:space="preserve">so as to provide future medical services for the compromised child on an ongoing basis, hopefully </w:t>
      </w:r>
      <w:r w:rsidR="00E52BD4">
        <w:rPr>
          <w:rFonts w:cs="Times New Roman"/>
          <w:szCs w:val="28"/>
        </w:rPr>
        <w:t>for his or her life span</w:t>
      </w:r>
      <w:r w:rsidR="0003067B">
        <w:rPr>
          <w:rFonts w:cs="Times New Roman"/>
          <w:szCs w:val="28"/>
        </w:rPr>
        <w:t xml:space="preserve">. When one looks at the tendency of legal practitioners (according to the evidence led in this case) to take 25% of such claims, and sometimes more, this represents in the region of R5 million or more which punches a significant hole in the capacity of the once and for all monetary award to provide fully for the </w:t>
      </w:r>
      <w:r w:rsidR="0003067B">
        <w:rPr>
          <w:rFonts w:cs="Times New Roman"/>
          <w:szCs w:val="28"/>
        </w:rPr>
        <w:lastRenderedPageBreak/>
        <w:t xml:space="preserve">complainant. Indeed, the evidence of Mr </w:t>
      </w:r>
      <w:proofErr w:type="spellStart"/>
      <w:r w:rsidR="0003067B">
        <w:rPr>
          <w:rFonts w:cs="Times New Roman"/>
          <w:szCs w:val="28"/>
        </w:rPr>
        <w:t>Howes</w:t>
      </w:r>
      <w:proofErr w:type="spellEnd"/>
      <w:r w:rsidR="0003067B">
        <w:rPr>
          <w:rFonts w:cs="Times New Roman"/>
          <w:szCs w:val="28"/>
        </w:rPr>
        <w:t xml:space="preserve"> disclosed that more than 40% in some cases is taken up by lawyers’ fees.</w:t>
      </w:r>
    </w:p>
    <w:p w:rsidR="0003067B" w:rsidRDefault="0003067B" w:rsidP="00010E6D">
      <w:pPr>
        <w:rPr>
          <w:rFonts w:cs="Times New Roman"/>
          <w:szCs w:val="28"/>
        </w:rPr>
      </w:pPr>
    </w:p>
    <w:p w:rsidR="006470C2" w:rsidRDefault="005178BF" w:rsidP="0003067B">
      <w:pPr>
        <w:rPr>
          <w:rFonts w:cs="Times New Roman"/>
          <w:szCs w:val="28"/>
        </w:rPr>
      </w:pPr>
      <w:r>
        <w:rPr>
          <w:rFonts w:cs="Times New Roman"/>
          <w:szCs w:val="28"/>
        </w:rPr>
        <w:t>[162</w:t>
      </w:r>
      <w:r w:rsidR="00126D7E">
        <w:rPr>
          <w:rFonts w:cs="Times New Roman"/>
          <w:szCs w:val="28"/>
        </w:rPr>
        <w:t>]</w:t>
      </w:r>
      <w:r w:rsidR="00126D7E">
        <w:rPr>
          <w:rFonts w:cs="Times New Roman"/>
          <w:szCs w:val="28"/>
        </w:rPr>
        <w:tab/>
      </w:r>
      <w:r w:rsidR="0003067B" w:rsidRPr="0003067B">
        <w:rPr>
          <w:rFonts w:cs="Times New Roman"/>
          <w:szCs w:val="28"/>
        </w:rPr>
        <w:t>If the CP child claimant lives to his or her life expectancy as calculated at the time the award is made, he will, in theory at least, run out of funds to</w:t>
      </w:r>
      <w:r w:rsidR="006470C2">
        <w:rPr>
          <w:rFonts w:cs="Times New Roman"/>
          <w:szCs w:val="28"/>
        </w:rPr>
        <w:t xml:space="preserve"> provide</w:t>
      </w:r>
      <w:r w:rsidR="0003067B" w:rsidRPr="0003067B">
        <w:rPr>
          <w:rFonts w:cs="Times New Roman"/>
          <w:szCs w:val="28"/>
        </w:rPr>
        <w:t xml:space="preserve"> the necessary medical services</w:t>
      </w:r>
      <w:r w:rsidR="0003067B">
        <w:rPr>
          <w:rFonts w:cs="Times New Roman"/>
          <w:szCs w:val="28"/>
        </w:rPr>
        <w:t xml:space="preserve"> </w:t>
      </w:r>
      <w:r w:rsidR="0003067B" w:rsidRPr="0003067B">
        <w:rPr>
          <w:rFonts w:cs="Times New Roman"/>
          <w:szCs w:val="28"/>
        </w:rPr>
        <w:t>some</w:t>
      </w:r>
      <w:r w:rsidR="006470C2">
        <w:rPr>
          <w:rFonts w:cs="Times New Roman"/>
          <w:szCs w:val="28"/>
        </w:rPr>
        <w:t xml:space="preserve"> time </w:t>
      </w:r>
      <w:r w:rsidR="0003067B" w:rsidRPr="0003067B">
        <w:rPr>
          <w:rFonts w:cs="Times New Roman"/>
          <w:szCs w:val="28"/>
        </w:rPr>
        <w:t>before reaching that point. This is</w:t>
      </w:r>
      <w:r w:rsidR="006470C2">
        <w:rPr>
          <w:rFonts w:cs="Times New Roman"/>
          <w:szCs w:val="28"/>
        </w:rPr>
        <w:t xml:space="preserve"> </w:t>
      </w:r>
      <w:r w:rsidR="00FC3769" w:rsidRPr="0003067B">
        <w:rPr>
          <w:rFonts w:cs="Times New Roman"/>
          <w:szCs w:val="28"/>
        </w:rPr>
        <w:t>more</w:t>
      </w:r>
      <w:r w:rsidR="0003067B" w:rsidRPr="0003067B">
        <w:rPr>
          <w:rFonts w:cs="Times New Roman"/>
          <w:szCs w:val="28"/>
        </w:rPr>
        <w:t xml:space="preserve"> so if</w:t>
      </w:r>
      <w:r w:rsidR="006470C2">
        <w:rPr>
          <w:rFonts w:cs="Times New Roman"/>
          <w:szCs w:val="28"/>
        </w:rPr>
        <w:t xml:space="preserve"> </w:t>
      </w:r>
      <w:r w:rsidR="0003067B" w:rsidRPr="0003067B">
        <w:rPr>
          <w:rFonts w:cs="Times New Roman"/>
          <w:szCs w:val="28"/>
        </w:rPr>
        <w:t>the child lives beyond its calculated life expectancy. It is therefore so that in cases such as this where large awards are made in accordance with the common-law once and for</w:t>
      </w:r>
      <w:r w:rsidR="006470C2">
        <w:rPr>
          <w:rFonts w:cs="Times New Roman"/>
          <w:szCs w:val="28"/>
        </w:rPr>
        <w:t xml:space="preserve"> all</w:t>
      </w:r>
      <w:r w:rsidR="0003067B" w:rsidRPr="0003067B">
        <w:rPr>
          <w:rFonts w:cs="Times New Roman"/>
          <w:szCs w:val="28"/>
        </w:rPr>
        <w:t xml:space="preserve"> principle,</w:t>
      </w:r>
      <w:r w:rsidR="006470C2">
        <w:rPr>
          <w:rFonts w:cs="Times New Roman"/>
          <w:szCs w:val="28"/>
        </w:rPr>
        <w:t xml:space="preserve"> </w:t>
      </w:r>
      <w:r w:rsidR="0003067B" w:rsidRPr="0003067B">
        <w:rPr>
          <w:rFonts w:cs="Times New Roman"/>
          <w:szCs w:val="28"/>
        </w:rPr>
        <w:t>large deductions are made for legal services. These deductions are much larger than in cases where smaller awards are made and represent a reduction in the ability of the award to sustain the child over</w:t>
      </w:r>
      <w:r w:rsidR="00E52BD4">
        <w:rPr>
          <w:rFonts w:cs="Times New Roman"/>
          <w:szCs w:val="28"/>
        </w:rPr>
        <w:t xml:space="preserve"> his or her </w:t>
      </w:r>
      <w:r w:rsidR="0003067B" w:rsidRPr="0003067B">
        <w:rPr>
          <w:rFonts w:cs="Times New Roman"/>
          <w:szCs w:val="28"/>
        </w:rPr>
        <w:t xml:space="preserve">lifespan. This places the awards which are consistently made in similar CP cases in a different category to </w:t>
      </w:r>
      <w:r w:rsidR="006470C2">
        <w:rPr>
          <w:rFonts w:cs="Times New Roman"/>
          <w:szCs w:val="28"/>
        </w:rPr>
        <w:t xml:space="preserve">the </w:t>
      </w:r>
      <w:r w:rsidR="0003067B" w:rsidRPr="0003067B">
        <w:rPr>
          <w:rFonts w:cs="Times New Roman"/>
          <w:szCs w:val="28"/>
        </w:rPr>
        <w:t>general run of the mill damages awards. This, to my mind, represents a further assault, if I may use the word, on the constitutional right</w:t>
      </w:r>
      <w:r w:rsidR="006470C2">
        <w:rPr>
          <w:rFonts w:cs="Times New Roman"/>
          <w:szCs w:val="28"/>
        </w:rPr>
        <w:t>s</w:t>
      </w:r>
      <w:r w:rsidR="0003067B" w:rsidRPr="0003067B">
        <w:rPr>
          <w:rFonts w:cs="Times New Roman"/>
          <w:szCs w:val="28"/>
        </w:rPr>
        <w:t xml:space="preserve"> of such individual CP claimants and thus further offends the Bill of Rights, and the constitutional obligation imposed on the state under section 27(2) to “take reasonable legislative and other measures within its available resources, to achieve the progressive realization of [</w:t>
      </w:r>
      <w:r w:rsidR="006470C2">
        <w:rPr>
          <w:rFonts w:cs="Times New Roman"/>
          <w:szCs w:val="28"/>
        </w:rPr>
        <w:t>h</w:t>
      </w:r>
      <w:r w:rsidR="0003067B" w:rsidRPr="0003067B">
        <w:rPr>
          <w:rFonts w:cs="Times New Roman"/>
          <w:szCs w:val="28"/>
        </w:rPr>
        <w:t xml:space="preserve">ealthcare </w:t>
      </w:r>
      <w:r w:rsidR="006470C2">
        <w:rPr>
          <w:rFonts w:cs="Times New Roman"/>
          <w:szCs w:val="28"/>
        </w:rPr>
        <w:t>s</w:t>
      </w:r>
      <w:r w:rsidR="0003067B" w:rsidRPr="0003067B">
        <w:rPr>
          <w:rFonts w:cs="Times New Roman"/>
          <w:szCs w:val="28"/>
        </w:rPr>
        <w:t>ervices]”</w:t>
      </w:r>
      <w:r w:rsidR="006470C2">
        <w:rPr>
          <w:rFonts w:cs="Times New Roman"/>
          <w:szCs w:val="28"/>
        </w:rPr>
        <w:t>.</w:t>
      </w:r>
      <w:r w:rsidR="006470C2">
        <w:rPr>
          <w:rStyle w:val="FootnoteReference"/>
          <w:rFonts w:cs="Times New Roman"/>
          <w:szCs w:val="28"/>
        </w:rPr>
        <w:footnoteReference w:id="69"/>
      </w:r>
      <w:r w:rsidR="0003067B" w:rsidRPr="0003067B">
        <w:rPr>
          <w:rFonts w:cs="Times New Roman"/>
          <w:szCs w:val="28"/>
        </w:rPr>
        <w:t xml:space="preserve"> </w:t>
      </w:r>
    </w:p>
    <w:p w:rsidR="006470C2" w:rsidRDefault="006470C2" w:rsidP="0003067B">
      <w:pPr>
        <w:rPr>
          <w:rFonts w:cs="Times New Roman"/>
          <w:szCs w:val="28"/>
        </w:rPr>
      </w:pPr>
    </w:p>
    <w:p w:rsidR="0003067B" w:rsidRDefault="005178BF" w:rsidP="0003067B">
      <w:pPr>
        <w:rPr>
          <w:rFonts w:cs="Times New Roman"/>
          <w:szCs w:val="28"/>
        </w:rPr>
      </w:pPr>
      <w:r>
        <w:rPr>
          <w:rFonts w:cs="Times New Roman"/>
          <w:szCs w:val="28"/>
        </w:rPr>
        <w:t>[163</w:t>
      </w:r>
      <w:r w:rsidR="00126D7E">
        <w:rPr>
          <w:rFonts w:cs="Times New Roman"/>
          <w:szCs w:val="28"/>
        </w:rPr>
        <w:t>]</w:t>
      </w:r>
      <w:r w:rsidR="00126D7E">
        <w:rPr>
          <w:rFonts w:cs="Times New Roman"/>
          <w:szCs w:val="28"/>
        </w:rPr>
        <w:tab/>
      </w:r>
      <w:r w:rsidR="0003067B" w:rsidRPr="0003067B">
        <w:rPr>
          <w:rFonts w:cs="Times New Roman"/>
          <w:szCs w:val="28"/>
        </w:rPr>
        <w:t>In this regard, it should be mentioned that</w:t>
      </w:r>
      <w:r w:rsidR="006470C2">
        <w:rPr>
          <w:rFonts w:cs="Times New Roman"/>
          <w:szCs w:val="28"/>
        </w:rPr>
        <w:t xml:space="preserve"> the plaintiff has argued</w:t>
      </w:r>
      <w:r w:rsidR="0003067B" w:rsidRPr="0003067B">
        <w:rPr>
          <w:rFonts w:cs="Times New Roman"/>
          <w:szCs w:val="28"/>
        </w:rPr>
        <w:t xml:space="preserve"> that the contrary would be true where a CP child does not l</w:t>
      </w:r>
      <w:r w:rsidR="007D56E7">
        <w:rPr>
          <w:rFonts w:cs="Times New Roman"/>
          <w:szCs w:val="28"/>
        </w:rPr>
        <w:t>ive out its full lifespan. If he or she</w:t>
      </w:r>
      <w:r w:rsidR="0003067B" w:rsidRPr="0003067B">
        <w:rPr>
          <w:rFonts w:cs="Times New Roman"/>
          <w:szCs w:val="28"/>
        </w:rPr>
        <w:t xml:space="preserve"> indeed were to li</w:t>
      </w:r>
      <w:r w:rsidR="007D56E7">
        <w:rPr>
          <w:rFonts w:cs="Times New Roman"/>
          <w:szCs w:val="28"/>
        </w:rPr>
        <w:t xml:space="preserve">ve three quarters of his or her </w:t>
      </w:r>
      <w:r w:rsidR="0003067B" w:rsidRPr="0003067B">
        <w:rPr>
          <w:rFonts w:cs="Times New Roman"/>
          <w:szCs w:val="28"/>
        </w:rPr>
        <w:t>lifespan as ascertained at the time of the award, this would translate into</w:t>
      </w:r>
      <w:r w:rsidR="00E52BD4">
        <w:rPr>
          <w:rFonts w:cs="Times New Roman"/>
          <w:szCs w:val="28"/>
        </w:rPr>
        <w:t xml:space="preserve"> him or her </w:t>
      </w:r>
      <w:r w:rsidR="0003067B" w:rsidRPr="0003067B">
        <w:rPr>
          <w:rFonts w:cs="Times New Roman"/>
          <w:szCs w:val="28"/>
        </w:rPr>
        <w:t>probably having enoug</w:t>
      </w:r>
      <w:r w:rsidR="007D56E7">
        <w:rPr>
          <w:rFonts w:cs="Times New Roman"/>
          <w:szCs w:val="28"/>
        </w:rPr>
        <w:t>h funds therefrom to sustain the</w:t>
      </w:r>
      <w:r w:rsidR="0003067B" w:rsidRPr="0003067B">
        <w:rPr>
          <w:rFonts w:cs="Times New Roman"/>
          <w:szCs w:val="28"/>
        </w:rPr>
        <w:t xml:space="preserve"> necessary medica</w:t>
      </w:r>
      <w:r w:rsidR="007D56E7">
        <w:rPr>
          <w:rFonts w:cs="Times New Roman"/>
          <w:szCs w:val="28"/>
        </w:rPr>
        <w:t>l services until the time of his or her</w:t>
      </w:r>
      <w:r w:rsidR="0003067B" w:rsidRPr="0003067B">
        <w:rPr>
          <w:rFonts w:cs="Times New Roman"/>
          <w:szCs w:val="28"/>
        </w:rPr>
        <w:t xml:space="preserve"> death. However, in my view this argument is, to a degree, </w:t>
      </w:r>
      <w:proofErr w:type="spellStart"/>
      <w:r w:rsidR="0003067B" w:rsidRPr="0003067B">
        <w:rPr>
          <w:rFonts w:cs="Times New Roman"/>
          <w:szCs w:val="28"/>
        </w:rPr>
        <w:t>tautologous</w:t>
      </w:r>
      <w:proofErr w:type="spellEnd"/>
      <w:r w:rsidR="0003067B" w:rsidRPr="0003067B">
        <w:rPr>
          <w:rFonts w:cs="Times New Roman"/>
          <w:szCs w:val="28"/>
        </w:rPr>
        <w:t>. The very purpose of ascertaining the</w:t>
      </w:r>
      <w:r w:rsidR="006470C2">
        <w:rPr>
          <w:rFonts w:cs="Times New Roman"/>
          <w:szCs w:val="28"/>
        </w:rPr>
        <w:t xml:space="preserve"> longevity </w:t>
      </w:r>
      <w:r w:rsidR="0003067B" w:rsidRPr="0003067B">
        <w:rPr>
          <w:rFonts w:cs="Times New Roman"/>
          <w:szCs w:val="28"/>
        </w:rPr>
        <w:t>in advance is to try, insofar as</w:t>
      </w:r>
      <w:r w:rsidR="006470C2">
        <w:rPr>
          <w:rFonts w:cs="Times New Roman"/>
          <w:szCs w:val="28"/>
        </w:rPr>
        <w:t xml:space="preserve"> is</w:t>
      </w:r>
      <w:r w:rsidR="0003067B" w:rsidRPr="0003067B">
        <w:rPr>
          <w:rFonts w:cs="Times New Roman"/>
          <w:szCs w:val="28"/>
        </w:rPr>
        <w:t xml:space="preserve"> </w:t>
      </w:r>
      <w:r w:rsidR="0003067B" w:rsidRPr="0003067B">
        <w:rPr>
          <w:rFonts w:cs="Times New Roman"/>
          <w:szCs w:val="28"/>
        </w:rPr>
        <w:lastRenderedPageBreak/>
        <w:t>humanly possible, to</w:t>
      </w:r>
      <w:r w:rsidR="006470C2">
        <w:rPr>
          <w:rFonts w:cs="Times New Roman"/>
          <w:szCs w:val="28"/>
        </w:rPr>
        <w:t xml:space="preserve"> ensure adequate compensation in the future</w:t>
      </w:r>
      <w:r w:rsidR="0003067B" w:rsidRPr="0003067B">
        <w:rPr>
          <w:rFonts w:cs="Times New Roman"/>
          <w:szCs w:val="28"/>
        </w:rPr>
        <w:t>. If it cannot be ascertained with any degree of accuracy, this is a further reason to consider jettisoning the once and for all rule in such cases. The purpose of such an award is to ensure that the child’s patrimony is restored to the position it would have been had the</w:t>
      </w:r>
      <w:r w:rsidR="00E52BD4">
        <w:rPr>
          <w:rFonts w:cs="Times New Roman"/>
          <w:szCs w:val="28"/>
        </w:rPr>
        <w:t xml:space="preserve"> cerebral palsy </w:t>
      </w:r>
      <w:r w:rsidR="0003067B" w:rsidRPr="0003067B">
        <w:rPr>
          <w:rFonts w:cs="Times New Roman"/>
          <w:szCs w:val="28"/>
        </w:rPr>
        <w:t xml:space="preserve">not occurred and, based on the once and for all rule, an attempt is thus made to provide sufficient funds to sustain the child as best possible and in accordance with best medical practice, </w:t>
      </w:r>
      <w:r w:rsidR="00FC3769">
        <w:rPr>
          <w:rFonts w:cs="Times New Roman"/>
          <w:szCs w:val="28"/>
        </w:rPr>
        <w:t>during</w:t>
      </w:r>
      <w:r w:rsidR="006470C2">
        <w:rPr>
          <w:rFonts w:cs="Times New Roman"/>
          <w:szCs w:val="28"/>
        </w:rPr>
        <w:t xml:space="preserve"> its anticipated lifespan</w:t>
      </w:r>
      <w:r w:rsidR="0003067B" w:rsidRPr="0003067B">
        <w:rPr>
          <w:rFonts w:cs="Times New Roman"/>
          <w:szCs w:val="28"/>
        </w:rPr>
        <w:t xml:space="preserve">. It would be wrong in these circumstances to assume that its lifespan would be 25% shorter than that calculated by the experts to justify a large lump sum being paid in legal fees. Furthermore, once the funds do indeed run out sometime before the child’s anticipated lifespan is reached, it is almost inevitable that the child’s medical needs will be cast back upon the public healthcare service. This, in turn, will place more stress upon the public healthcare service despite it having paid out a large lump sum </w:t>
      </w:r>
      <w:r w:rsidR="00FC3769" w:rsidRPr="0003067B">
        <w:rPr>
          <w:rFonts w:cs="Times New Roman"/>
          <w:szCs w:val="28"/>
        </w:rPr>
        <w:t>to</w:t>
      </w:r>
      <w:r w:rsidR="0003067B" w:rsidRPr="0003067B">
        <w:rPr>
          <w:rFonts w:cs="Times New Roman"/>
          <w:szCs w:val="28"/>
        </w:rPr>
        <w:t xml:space="preserve"> avoid this very situation. Again, this reduces the capacity of the department to carry out its responsibilities in terms of the Constitution, which is offensive to the Bill of Rights.</w:t>
      </w:r>
    </w:p>
    <w:p w:rsidR="00530A3F" w:rsidRDefault="00530A3F" w:rsidP="0003067B">
      <w:pPr>
        <w:rPr>
          <w:rFonts w:cs="Times New Roman"/>
          <w:szCs w:val="28"/>
        </w:rPr>
      </w:pPr>
    </w:p>
    <w:p w:rsidR="00FC3769" w:rsidRDefault="005178BF" w:rsidP="0003067B">
      <w:pPr>
        <w:rPr>
          <w:rFonts w:cs="Times New Roman"/>
          <w:szCs w:val="28"/>
        </w:rPr>
      </w:pPr>
      <w:r>
        <w:rPr>
          <w:rFonts w:cs="Times New Roman"/>
          <w:szCs w:val="28"/>
        </w:rPr>
        <w:t>[164</w:t>
      </w:r>
      <w:r w:rsidR="00126D7E">
        <w:rPr>
          <w:rFonts w:cs="Times New Roman"/>
          <w:szCs w:val="28"/>
        </w:rPr>
        <w:t>]</w:t>
      </w:r>
      <w:r w:rsidR="00126D7E">
        <w:rPr>
          <w:rFonts w:cs="Times New Roman"/>
          <w:szCs w:val="28"/>
        </w:rPr>
        <w:tab/>
      </w:r>
      <w:r w:rsidR="00530A3F">
        <w:rPr>
          <w:rFonts w:cs="Times New Roman"/>
          <w:szCs w:val="28"/>
        </w:rPr>
        <w:t xml:space="preserve">Before leaving this </w:t>
      </w:r>
      <w:r w:rsidR="00E52BD4">
        <w:rPr>
          <w:rFonts w:cs="Times New Roman"/>
          <w:szCs w:val="28"/>
        </w:rPr>
        <w:t>aspect,</w:t>
      </w:r>
      <w:r w:rsidR="00530A3F">
        <w:rPr>
          <w:rFonts w:cs="Times New Roman"/>
          <w:szCs w:val="28"/>
        </w:rPr>
        <w:t xml:space="preserve"> it should be mentioned that the plaintiff argued that the introduction of the constitutional remedies would result in</w:t>
      </w:r>
      <w:r w:rsidR="00E52BD4">
        <w:rPr>
          <w:rFonts w:cs="Times New Roman"/>
          <w:szCs w:val="28"/>
        </w:rPr>
        <w:t xml:space="preserve"> reduced </w:t>
      </w:r>
      <w:r w:rsidR="00530A3F">
        <w:rPr>
          <w:rFonts w:cs="Times New Roman"/>
          <w:szCs w:val="28"/>
        </w:rPr>
        <w:t>interest on the part of legal practitioners to take up the cases of CP claimants which would, in turn, affect their right</w:t>
      </w:r>
      <w:r w:rsidR="00E52BD4">
        <w:rPr>
          <w:rFonts w:cs="Times New Roman"/>
          <w:szCs w:val="28"/>
        </w:rPr>
        <w:t xml:space="preserve"> of </w:t>
      </w:r>
      <w:r w:rsidR="00530A3F">
        <w:rPr>
          <w:rFonts w:cs="Times New Roman"/>
          <w:szCs w:val="28"/>
        </w:rPr>
        <w:t>access to the courts. I do not regard this as a valid argument. I say so because of many reasons</w:t>
      </w:r>
      <w:r w:rsidR="00D34CA6">
        <w:rPr>
          <w:rFonts w:cs="Times New Roman"/>
          <w:szCs w:val="28"/>
        </w:rPr>
        <w:t>,</w:t>
      </w:r>
      <w:r w:rsidR="00530A3F">
        <w:rPr>
          <w:rFonts w:cs="Times New Roman"/>
          <w:szCs w:val="28"/>
        </w:rPr>
        <w:t xml:space="preserve"> the more important of which is the fact that if such were to happen, it would be an indictment on the legal profession. Also, the introduction of such defences does not eliminate partial lump-sum awards. For example, in the present matter, the lump sum award </w:t>
      </w:r>
      <w:r w:rsidR="00D34CA6">
        <w:rPr>
          <w:rFonts w:cs="Times New Roman"/>
          <w:szCs w:val="28"/>
        </w:rPr>
        <w:t>will</w:t>
      </w:r>
      <w:r w:rsidR="00530A3F">
        <w:rPr>
          <w:rFonts w:cs="Times New Roman"/>
          <w:szCs w:val="28"/>
        </w:rPr>
        <w:t xml:space="preserve"> amount to </w:t>
      </w:r>
      <w:r w:rsidR="000F7B8E">
        <w:rPr>
          <w:rFonts w:cs="Times New Roman"/>
          <w:szCs w:val="28"/>
        </w:rPr>
        <w:t xml:space="preserve">almost R4 million. </w:t>
      </w:r>
      <w:r w:rsidR="00E52BD4">
        <w:rPr>
          <w:rFonts w:cs="Times New Roman"/>
          <w:szCs w:val="28"/>
        </w:rPr>
        <w:t xml:space="preserve">This is still a sizable sum for the calculation of contingency fees. </w:t>
      </w:r>
      <w:r w:rsidR="00530A3F">
        <w:rPr>
          <w:rFonts w:cs="Times New Roman"/>
          <w:szCs w:val="28"/>
        </w:rPr>
        <w:t>R</w:t>
      </w:r>
      <w:r w:rsidR="00E52BD4">
        <w:rPr>
          <w:rFonts w:cs="Times New Roman"/>
          <w:szCs w:val="28"/>
        </w:rPr>
        <w:t>A</w:t>
      </w:r>
      <w:r w:rsidR="00530A3F">
        <w:rPr>
          <w:rFonts w:cs="Times New Roman"/>
          <w:szCs w:val="28"/>
        </w:rPr>
        <w:t>F cases attracting similar quantum awards, and indeed</w:t>
      </w:r>
      <w:r w:rsidR="00E52BD4">
        <w:rPr>
          <w:rFonts w:cs="Times New Roman"/>
          <w:szCs w:val="28"/>
        </w:rPr>
        <w:t xml:space="preserve"> </w:t>
      </w:r>
      <w:r w:rsidR="00530A3F">
        <w:rPr>
          <w:rFonts w:cs="Times New Roman"/>
          <w:szCs w:val="28"/>
        </w:rPr>
        <w:t xml:space="preserve">less, </w:t>
      </w:r>
      <w:r w:rsidR="00530A3F">
        <w:rPr>
          <w:rFonts w:cs="Times New Roman"/>
          <w:szCs w:val="28"/>
        </w:rPr>
        <w:lastRenderedPageBreak/>
        <w:t xml:space="preserve">are regularly handled by legal practitioners on a contingency basis. It seems to me that this argument is spurious in these circumstances. </w:t>
      </w:r>
    </w:p>
    <w:p w:rsidR="00530A3F" w:rsidRDefault="00530A3F" w:rsidP="0003067B">
      <w:pPr>
        <w:rPr>
          <w:rFonts w:cs="Times New Roman"/>
          <w:szCs w:val="28"/>
        </w:rPr>
      </w:pPr>
    </w:p>
    <w:p w:rsidR="00FC3769" w:rsidRDefault="005178BF" w:rsidP="0003067B">
      <w:pPr>
        <w:rPr>
          <w:rFonts w:cs="Times New Roman"/>
          <w:szCs w:val="28"/>
        </w:rPr>
      </w:pPr>
      <w:r>
        <w:rPr>
          <w:rFonts w:cs="Times New Roman"/>
          <w:szCs w:val="28"/>
        </w:rPr>
        <w:t>[165</w:t>
      </w:r>
      <w:r w:rsidR="00126D7E">
        <w:rPr>
          <w:rFonts w:cs="Times New Roman"/>
          <w:szCs w:val="28"/>
        </w:rPr>
        <w:t>]</w:t>
      </w:r>
      <w:r w:rsidR="00126D7E">
        <w:rPr>
          <w:rFonts w:cs="Times New Roman"/>
          <w:szCs w:val="28"/>
        </w:rPr>
        <w:tab/>
      </w:r>
      <w:r w:rsidR="00FC3769">
        <w:rPr>
          <w:rFonts w:cs="Times New Roman"/>
          <w:szCs w:val="28"/>
        </w:rPr>
        <w:t>In addition to</w:t>
      </w:r>
      <w:r w:rsidR="00530A3F">
        <w:rPr>
          <w:rFonts w:cs="Times New Roman"/>
          <w:szCs w:val="28"/>
        </w:rPr>
        <w:t xml:space="preserve"> the</w:t>
      </w:r>
      <w:r w:rsidR="00FC3769">
        <w:rPr>
          <w:rFonts w:cs="Times New Roman"/>
          <w:szCs w:val="28"/>
        </w:rPr>
        <w:t xml:space="preserve"> </w:t>
      </w:r>
      <w:r w:rsidR="00530A3F">
        <w:rPr>
          <w:rFonts w:cs="Times New Roman"/>
          <w:szCs w:val="28"/>
        </w:rPr>
        <w:t>for</w:t>
      </w:r>
      <w:r w:rsidR="00D309F8">
        <w:rPr>
          <w:rFonts w:cs="Times New Roman"/>
          <w:szCs w:val="28"/>
        </w:rPr>
        <w:t>e</w:t>
      </w:r>
      <w:r w:rsidR="00530A3F">
        <w:rPr>
          <w:rFonts w:cs="Times New Roman"/>
          <w:szCs w:val="28"/>
        </w:rPr>
        <w:t>going</w:t>
      </w:r>
      <w:r w:rsidR="00FC3769">
        <w:rPr>
          <w:rFonts w:cs="Times New Roman"/>
          <w:szCs w:val="28"/>
        </w:rPr>
        <w:t xml:space="preserve">, in my view the evidence overwhelmingly establishes that there are other areas in which the common law rules </w:t>
      </w:r>
      <w:r w:rsidR="00E52BD4">
        <w:rPr>
          <w:rFonts w:cs="Times New Roman"/>
          <w:szCs w:val="28"/>
        </w:rPr>
        <w:t>conflict with</w:t>
      </w:r>
      <w:r w:rsidR="00FC3769">
        <w:rPr>
          <w:rFonts w:cs="Times New Roman"/>
          <w:szCs w:val="28"/>
        </w:rPr>
        <w:t xml:space="preserve"> the constitutional value system. In this regard reference is made to the rights of everyone under section 27(1)(a) and (2)</w:t>
      </w:r>
      <w:r w:rsidR="00D34CA6">
        <w:rPr>
          <w:rFonts w:cs="Times New Roman"/>
          <w:szCs w:val="28"/>
        </w:rPr>
        <w:t>,</w:t>
      </w:r>
      <w:r w:rsidR="00FC3769">
        <w:rPr>
          <w:rFonts w:cs="Times New Roman"/>
          <w:szCs w:val="28"/>
        </w:rPr>
        <w:t xml:space="preserve"> together with the rights of all children under section 28(1)(c) and (2)</w:t>
      </w:r>
      <w:r w:rsidR="00D34CA6">
        <w:rPr>
          <w:rFonts w:cs="Times New Roman"/>
          <w:szCs w:val="28"/>
        </w:rPr>
        <w:t>, and</w:t>
      </w:r>
      <w:r w:rsidR="00FC3769">
        <w:rPr>
          <w:rFonts w:cs="Times New Roman"/>
          <w:szCs w:val="28"/>
        </w:rPr>
        <w:t xml:space="preserve"> the right under section 9 (1) to equality before the law and to the equal protection and benefit of the law.</w:t>
      </w:r>
      <w:r w:rsidR="00530A3F">
        <w:rPr>
          <w:rFonts w:cs="Times New Roman"/>
          <w:szCs w:val="28"/>
        </w:rPr>
        <w:t xml:space="preserve"> In my judgment, the limited and incremental development </w:t>
      </w:r>
      <w:r w:rsidR="00E52BD4">
        <w:rPr>
          <w:rFonts w:cs="Times New Roman"/>
          <w:szCs w:val="28"/>
        </w:rPr>
        <w:t>sought</w:t>
      </w:r>
      <w:r w:rsidR="00530A3F">
        <w:rPr>
          <w:rFonts w:cs="Times New Roman"/>
          <w:szCs w:val="28"/>
        </w:rPr>
        <w:t xml:space="preserve"> in this case is therefore justified in terms of section 39(2).</w:t>
      </w:r>
    </w:p>
    <w:p w:rsidR="00BE454D" w:rsidRDefault="00BE454D" w:rsidP="0003067B">
      <w:pPr>
        <w:rPr>
          <w:rFonts w:cs="Times New Roman"/>
          <w:szCs w:val="28"/>
        </w:rPr>
      </w:pPr>
    </w:p>
    <w:p w:rsidR="00BE454D" w:rsidRDefault="005178BF" w:rsidP="0003067B">
      <w:pPr>
        <w:rPr>
          <w:rFonts w:cs="Times New Roman"/>
          <w:szCs w:val="28"/>
        </w:rPr>
      </w:pPr>
      <w:r>
        <w:rPr>
          <w:rFonts w:cs="Times New Roman"/>
          <w:szCs w:val="28"/>
        </w:rPr>
        <w:t>[166</w:t>
      </w:r>
      <w:r w:rsidR="006A5ECE">
        <w:rPr>
          <w:rFonts w:cs="Times New Roman"/>
          <w:szCs w:val="28"/>
        </w:rPr>
        <w:t>]</w:t>
      </w:r>
      <w:r w:rsidR="006A5ECE">
        <w:rPr>
          <w:rFonts w:cs="Times New Roman"/>
          <w:szCs w:val="28"/>
        </w:rPr>
        <w:tab/>
      </w:r>
      <w:r w:rsidR="00BE454D">
        <w:rPr>
          <w:rFonts w:cs="Times New Roman"/>
          <w:szCs w:val="28"/>
        </w:rPr>
        <w:t>Section 173 also empowers the superior courts to develop the common</w:t>
      </w:r>
      <w:r w:rsidR="00D34CA6">
        <w:rPr>
          <w:rFonts w:cs="Times New Roman"/>
          <w:szCs w:val="28"/>
        </w:rPr>
        <w:t xml:space="preserve"> </w:t>
      </w:r>
      <w:r w:rsidR="00BE454D">
        <w:rPr>
          <w:rFonts w:cs="Times New Roman"/>
          <w:szCs w:val="28"/>
        </w:rPr>
        <w:t>law, taking into account the interests of justice. I am satisfied, based on the evidence led in this case, that it is also in the interests of justice that the common law be developed so as to provide courts which adjudicate medical negligence claims with a broader remedial framework, including the remedies pleaded in this case.</w:t>
      </w:r>
    </w:p>
    <w:p w:rsidR="00BE454D" w:rsidRDefault="00BE454D" w:rsidP="0003067B">
      <w:pPr>
        <w:rPr>
          <w:rFonts w:cs="Times New Roman"/>
          <w:szCs w:val="28"/>
        </w:rPr>
      </w:pPr>
    </w:p>
    <w:p w:rsidR="00BE454D" w:rsidRDefault="005178BF" w:rsidP="0003067B">
      <w:pPr>
        <w:rPr>
          <w:rFonts w:cs="Times New Roman"/>
          <w:szCs w:val="28"/>
        </w:rPr>
      </w:pPr>
      <w:r>
        <w:rPr>
          <w:rFonts w:cs="Times New Roman"/>
          <w:szCs w:val="28"/>
        </w:rPr>
        <w:t>[167</w:t>
      </w:r>
      <w:r w:rsidR="006A5ECE">
        <w:rPr>
          <w:rFonts w:cs="Times New Roman"/>
          <w:szCs w:val="28"/>
        </w:rPr>
        <w:t>]</w:t>
      </w:r>
      <w:r w:rsidR="006A5ECE">
        <w:rPr>
          <w:rFonts w:cs="Times New Roman"/>
          <w:szCs w:val="28"/>
        </w:rPr>
        <w:tab/>
      </w:r>
      <w:r w:rsidR="00BE454D">
        <w:rPr>
          <w:rFonts w:cs="Times New Roman"/>
          <w:szCs w:val="28"/>
        </w:rPr>
        <w:t>It seems self-evident that both the public healthcare and the undertaking to pay remedies should be developed together as they operate in tandem.</w:t>
      </w:r>
      <w:r w:rsidR="00710D07">
        <w:rPr>
          <w:rFonts w:cs="Times New Roman"/>
          <w:szCs w:val="28"/>
        </w:rPr>
        <w:t xml:space="preserve"> The evidence discloses that the most expensive items inflating lump-sum damages awards are those such as caregivers which the state is unable to provide in kind. If the undertaking to pay remedy is not granted in tandem with the public healthcare defence, this will serve to substantially reduce its efficacy.</w:t>
      </w:r>
    </w:p>
    <w:p w:rsidR="00710D07" w:rsidRDefault="00710D07" w:rsidP="0003067B">
      <w:pPr>
        <w:rPr>
          <w:rFonts w:cs="Times New Roman"/>
          <w:szCs w:val="28"/>
        </w:rPr>
      </w:pPr>
    </w:p>
    <w:p w:rsidR="00710D07" w:rsidRPr="00710D07" w:rsidRDefault="005178BF" w:rsidP="0003067B">
      <w:pPr>
        <w:rPr>
          <w:rFonts w:cs="Times New Roman"/>
          <w:szCs w:val="28"/>
        </w:rPr>
      </w:pPr>
      <w:r>
        <w:rPr>
          <w:rFonts w:cs="Times New Roman"/>
          <w:szCs w:val="28"/>
        </w:rPr>
        <w:lastRenderedPageBreak/>
        <w:t>[168</w:t>
      </w:r>
      <w:r w:rsidR="006A5ECE">
        <w:rPr>
          <w:rFonts w:cs="Times New Roman"/>
          <w:szCs w:val="28"/>
        </w:rPr>
        <w:t>]</w:t>
      </w:r>
      <w:r w:rsidR="006A5ECE">
        <w:rPr>
          <w:rFonts w:cs="Times New Roman"/>
          <w:szCs w:val="28"/>
        </w:rPr>
        <w:tab/>
      </w:r>
      <w:r w:rsidR="00710D07">
        <w:rPr>
          <w:rFonts w:cs="Times New Roman"/>
          <w:szCs w:val="28"/>
        </w:rPr>
        <w:t xml:space="preserve">The draft order proposed by the defendant in which development of the common law in this regard is articulated is in line with the Constitutional Court’s direction in </w:t>
      </w:r>
      <w:proofErr w:type="spellStart"/>
      <w:r w:rsidR="00710D07" w:rsidRPr="00710D07">
        <w:rPr>
          <w:rFonts w:cs="Times New Roman"/>
          <w:i/>
          <w:iCs/>
          <w:szCs w:val="28"/>
        </w:rPr>
        <w:t>Makate</w:t>
      </w:r>
      <w:proofErr w:type="spellEnd"/>
      <w:r w:rsidR="00710D07">
        <w:rPr>
          <w:rFonts w:cs="Times New Roman"/>
          <w:i/>
          <w:iCs/>
          <w:szCs w:val="28"/>
        </w:rPr>
        <w:t xml:space="preserve"> </w:t>
      </w:r>
      <w:r w:rsidR="00710D07">
        <w:rPr>
          <w:rFonts w:cs="Times New Roman"/>
          <w:iCs/>
          <w:szCs w:val="28"/>
        </w:rPr>
        <w:t>which requires that changes to existing law be articulated with the same clarity as the rules and principles that they seek to replace.</w:t>
      </w:r>
      <w:r w:rsidR="00710D07">
        <w:rPr>
          <w:rStyle w:val="FootnoteReference"/>
          <w:rFonts w:cs="Times New Roman"/>
          <w:iCs/>
          <w:szCs w:val="28"/>
        </w:rPr>
        <w:footnoteReference w:id="70"/>
      </w:r>
      <w:r w:rsidR="00710D07">
        <w:rPr>
          <w:rFonts w:cs="Times New Roman"/>
          <w:iCs/>
          <w:szCs w:val="28"/>
        </w:rPr>
        <w:t xml:space="preserve"> I thus conclude that a case has indeed been made out for the development of the common law as set out in the proposed draft order.</w:t>
      </w:r>
    </w:p>
    <w:p w:rsidR="0003067B" w:rsidRPr="00710D07" w:rsidRDefault="00710D07" w:rsidP="00010E6D">
      <w:pPr>
        <w:rPr>
          <w:rFonts w:cs="Times New Roman"/>
          <w:b/>
          <w:bCs/>
          <w:i/>
          <w:iCs/>
          <w:szCs w:val="28"/>
        </w:rPr>
      </w:pPr>
      <w:bookmarkStart w:id="12" w:name="_Hlk125637643"/>
      <w:r w:rsidRPr="00710D07">
        <w:rPr>
          <w:rFonts w:cs="Times New Roman"/>
          <w:b/>
          <w:bCs/>
          <w:i/>
          <w:iCs/>
          <w:szCs w:val="28"/>
        </w:rPr>
        <w:t>Does the evidence establish a reasonable standard in public healthcare at the relevant hospitals?</w:t>
      </w:r>
    </w:p>
    <w:bookmarkEnd w:id="12"/>
    <w:p w:rsidR="003D6CA0" w:rsidRDefault="005178BF" w:rsidP="003D6CA0">
      <w:pPr>
        <w:rPr>
          <w:rFonts w:cs="Times New Roman"/>
          <w:szCs w:val="28"/>
        </w:rPr>
      </w:pPr>
      <w:r>
        <w:rPr>
          <w:rFonts w:cs="Times New Roman"/>
          <w:szCs w:val="28"/>
        </w:rPr>
        <w:t>[169</w:t>
      </w:r>
      <w:r w:rsidR="00963851">
        <w:rPr>
          <w:rFonts w:cs="Times New Roman"/>
          <w:szCs w:val="28"/>
        </w:rPr>
        <w:t>]</w:t>
      </w:r>
      <w:r w:rsidR="00963851">
        <w:rPr>
          <w:rFonts w:cs="Times New Roman"/>
          <w:szCs w:val="28"/>
        </w:rPr>
        <w:tab/>
      </w:r>
      <w:r w:rsidR="003D6CA0">
        <w:rPr>
          <w:rFonts w:cs="Times New Roman"/>
          <w:szCs w:val="28"/>
        </w:rPr>
        <w:t>In this part I intend to deal briefly with the evidence led for and against the ability of the department to provide the medical services and supplies at the required standard, together with an analysis and conclusion in that regard.</w:t>
      </w:r>
    </w:p>
    <w:p w:rsidR="003D6CA0" w:rsidRDefault="003D6CA0" w:rsidP="003D6CA0">
      <w:pPr>
        <w:rPr>
          <w:rFonts w:cs="Times New Roman"/>
          <w:szCs w:val="28"/>
        </w:rPr>
      </w:pPr>
    </w:p>
    <w:p w:rsidR="003D6CA0" w:rsidRDefault="005178BF" w:rsidP="003D6CA0">
      <w:pPr>
        <w:rPr>
          <w:rFonts w:cs="Times New Roman"/>
          <w:szCs w:val="28"/>
        </w:rPr>
      </w:pPr>
      <w:r>
        <w:rPr>
          <w:rFonts w:cs="Times New Roman"/>
          <w:szCs w:val="28"/>
        </w:rPr>
        <w:t>[170</w:t>
      </w:r>
      <w:r w:rsidR="004E7D3E">
        <w:rPr>
          <w:rFonts w:cs="Times New Roman"/>
          <w:szCs w:val="28"/>
        </w:rPr>
        <w:t>]</w:t>
      </w:r>
      <w:r w:rsidR="004E7D3E">
        <w:rPr>
          <w:rFonts w:cs="Times New Roman"/>
          <w:szCs w:val="28"/>
        </w:rPr>
        <w:tab/>
      </w:r>
      <w:r w:rsidR="00AE5DA2">
        <w:rPr>
          <w:rFonts w:cs="Times New Roman"/>
          <w:szCs w:val="28"/>
        </w:rPr>
        <w:t>Dr</w:t>
      </w:r>
      <w:r w:rsidR="003D6CA0">
        <w:rPr>
          <w:rFonts w:cs="Times New Roman"/>
          <w:szCs w:val="28"/>
        </w:rPr>
        <w:t xml:space="preserve"> Wagner’s qualifications and experience have already been dealt with. In essence, she testified that:</w:t>
      </w:r>
    </w:p>
    <w:p w:rsidR="003D6CA0" w:rsidRDefault="003D6CA0" w:rsidP="003D6CA0">
      <w:pPr>
        <w:rPr>
          <w:rFonts w:cs="Times New Roman"/>
          <w:szCs w:val="28"/>
        </w:rPr>
      </w:pPr>
    </w:p>
    <w:p w:rsidR="003D6CA0" w:rsidRPr="008743DC" w:rsidRDefault="008743DC" w:rsidP="008743DC">
      <w:pPr>
        <w:ind w:left="1809" w:hanging="675"/>
        <w:rPr>
          <w:rFonts w:cs="Times New Roman"/>
          <w:szCs w:val="28"/>
        </w:rPr>
      </w:pPr>
      <w:r>
        <w:rPr>
          <w:rFonts w:cs="Times New Roman"/>
          <w:szCs w:val="28"/>
        </w:rPr>
        <w:t>170.1</w:t>
      </w:r>
      <w:r>
        <w:rPr>
          <w:rFonts w:cs="Times New Roman"/>
          <w:szCs w:val="28"/>
        </w:rPr>
        <w:tab/>
      </w:r>
      <w:r w:rsidR="00C8097B" w:rsidRPr="008743DC">
        <w:rPr>
          <w:rFonts w:cs="Times New Roman"/>
          <w:szCs w:val="28"/>
        </w:rPr>
        <w:t xml:space="preserve"> </w:t>
      </w:r>
      <w:r w:rsidR="003D6CA0" w:rsidRPr="008743DC">
        <w:rPr>
          <w:rFonts w:cs="Times New Roman"/>
          <w:szCs w:val="28"/>
        </w:rPr>
        <w:t>There is extensive interaction between public and private healthcare in the province.</w:t>
      </w:r>
    </w:p>
    <w:p w:rsidR="003D6CA0" w:rsidRDefault="003D6CA0" w:rsidP="00446AA1">
      <w:pPr>
        <w:pStyle w:val="ListParagraph"/>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t>170.2</w:t>
      </w:r>
      <w:r>
        <w:rPr>
          <w:rFonts w:cs="Times New Roman"/>
          <w:szCs w:val="28"/>
        </w:rPr>
        <w:tab/>
      </w:r>
      <w:r w:rsidR="00C8097B" w:rsidRPr="008743DC">
        <w:rPr>
          <w:rFonts w:cs="Times New Roman"/>
          <w:szCs w:val="28"/>
        </w:rPr>
        <w:t xml:space="preserve"> </w:t>
      </w:r>
      <w:r w:rsidR="003D6CA0" w:rsidRPr="008743DC">
        <w:rPr>
          <w:rFonts w:cs="Times New Roman"/>
          <w:szCs w:val="28"/>
        </w:rPr>
        <w:t>Both Frere and CMH are accredited academic hospitals falling within the East London Academic Complex and are the exclusive practical training grounds for both undergraduate healthcare workers and specialist doctors irrespective of whether they end up in the public or private sectors.</w:t>
      </w:r>
    </w:p>
    <w:p w:rsidR="003D6CA0" w:rsidRDefault="003D6CA0" w:rsidP="00446AA1">
      <w:pPr>
        <w:pStyle w:val="ListParagraph"/>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lastRenderedPageBreak/>
        <w:t>170.3</w:t>
      </w:r>
      <w:r>
        <w:rPr>
          <w:rFonts w:cs="Times New Roman"/>
          <w:szCs w:val="28"/>
        </w:rPr>
        <w:tab/>
      </w:r>
      <w:r w:rsidR="00C8097B" w:rsidRPr="008743DC">
        <w:rPr>
          <w:rFonts w:cs="Times New Roman"/>
          <w:szCs w:val="28"/>
        </w:rPr>
        <w:t xml:space="preserve"> </w:t>
      </w:r>
      <w:r w:rsidR="003D6CA0" w:rsidRPr="008743DC">
        <w:rPr>
          <w:rFonts w:cs="Times New Roman"/>
          <w:szCs w:val="28"/>
        </w:rPr>
        <w:t>There are certain benefits which the public sector enjoys in contrast to the private sector. An example she gave was the question of economies of scale. In the private sector doctors and specialists work as independent contractors whereas a large number of healthcare workers are employed by the public sector. Thus, a single specialist employed in the public sector is able to treat many more children with greater efficiency as profit margins are built into the cost of care in the private sector. Economies of scale also assist in procurement.</w:t>
      </w:r>
    </w:p>
    <w:p w:rsidR="003D6CA0" w:rsidRDefault="003D6CA0" w:rsidP="00446AA1">
      <w:pPr>
        <w:pStyle w:val="ListParagraph"/>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t>170.4</w:t>
      </w:r>
      <w:r>
        <w:rPr>
          <w:rFonts w:cs="Times New Roman"/>
          <w:szCs w:val="28"/>
        </w:rPr>
        <w:tab/>
      </w:r>
      <w:r w:rsidR="003D6CA0" w:rsidRPr="008743DC">
        <w:rPr>
          <w:rFonts w:cs="Times New Roman"/>
          <w:szCs w:val="28"/>
        </w:rPr>
        <w:t>The public sector enj</w:t>
      </w:r>
      <w:r w:rsidR="00C8097B" w:rsidRPr="008743DC">
        <w:rPr>
          <w:rFonts w:cs="Times New Roman"/>
          <w:szCs w:val="28"/>
        </w:rPr>
        <w:t xml:space="preserve">oys higher utility from capital    </w:t>
      </w:r>
      <w:r w:rsidR="002F3D22" w:rsidRPr="008743DC">
        <w:rPr>
          <w:rFonts w:cs="Times New Roman"/>
          <w:szCs w:val="28"/>
        </w:rPr>
        <w:t xml:space="preserve">  </w:t>
      </w:r>
      <w:r w:rsidR="003D6CA0" w:rsidRPr="008743DC">
        <w:rPr>
          <w:rFonts w:cs="Times New Roman"/>
          <w:szCs w:val="28"/>
        </w:rPr>
        <w:t>investments such as MRI machines.</w:t>
      </w:r>
    </w:p>
    <w:p w:rsidR="002F3D22" w:rsidRPr="002F3D22" w:rsidRDefault="002F3D22" w:rsidP="002F3D22">
      <w:pPr>
        <w:pStyle w:val="ListParagraph"/>
        <w:ind w:left="2835"/>
        <w:rPr>
          <w:rFonts w:cs="Times New Roman"/>
          <w:szCs w:val="28"/>
        </w:rPr>
      </w:pPr>
    </w:p>
    <w:p w:rsidR="003D6CA0" w:rsidRPr="008743DC" w:rsidRDefault="008743DC" w:rsidP="008743DC">
      <w:pPr>
        <w:ind w:left="1809" w:hanging="675"/>
        <w:rPr>
          <w:rFonts w:cs="Times New Roman"/>
          <w:szCs w:val="28"/>
        </w:rPr>
      </w:pPr>
      <w:r w:rsidRPr="00D51302">
        <w:rPr>
          <w:rFonts w:cs="Times New Roman"/>
          <w:szCs w:val="28"/>
        </w:rPr>
        <w:t>170.5</w:t>
      </w:r>
      <w:r w:rsidRPr="00D51302">
        <w:rPr>
          <w:rFonts w:cs="Times New Roman"/>
          <w:szCs w:val="28"/>
        </w:rPr>
        <w:tab/>
      </w:r>
      <w:r w:rsidR="00A771D1" w:rsidRPr="008743DC">
        <w:rPr>
          <w:rFonts w:cs="Times New Roman"/>
          <w:szCs w:val="28"/>
        </w:rPr>
        <w:t xml:space="preserve"> </w:t>
      </w:r>
      <w:r w:rsidR="003D6CA0" w:rsidRPr="008743DC">
        <w:rPr>
          <w:rFonts w:cs="Times New Roman"/>
          <w:szCs w:val="28"/>
        </w:rPr>
        <w:t>In the public sector</w:t>
      </w:r>
      <w:r w:rsidR="00C8097B" w:rsidRPr="008743DC">
        <w:rPr>
          <w:rFonts w:cs="Times New Roman"/>
          <w:szCs w:val="28"/>
        </w:rPr>
        <w:t xml:space="preserve"> the employment structure makes </w:t>
      </w:r>
      <w:r w:rsidR="00A647A2" w:rsidRPr="008743DC">
        <w:rPr>
          <w:rFonts w:cs="Times New Roman"/>
          <w:szCs w:val="28"/>
        </w:rPr>
        <w:t xml:space="preserve">it </w:t>
      </w:r>
      <w:r w:rsidR="003D6CA0" w:rsidRPr="008743DC">
        <w:rPr>
          <w:rFonts w:cs="Times New Roman"/>
          <w:szCs w:val="28"/>
        </w:rPr>
        <w:t xml:space="preserve">easier to arrange and implement multidisciplinary platforms which </w:t>
      </w:r>
      <w:r w:rsidR="002F3D22" w:rsidRPr="008743DC">
        <w:rPr>
          <w:rFonts w:cs="Times New Roman"/>
          <w:szCs w:val="28"/>
        </w:rPr>
        <w:t xml:space="preserve">        </w:t>
      </w:r>
      <w:r w:rsidR="00A771D1" w:rsidRPr="008743DC">
        <w:rPr>
          <w:rFonts w:cs="Times New Roman"/>
          <w:szCs w:val="28"/>
        </w:rPr>
        <w:t xml:space="preserve"> </w:t>
      </w:r>
      <w:r w:rsidR="003D6CA0" w:rsidRPr="008743DC">
        <w:rPr>
          <w:rFonts w:cs="Times New Roman"/>
          <w:szCs w:val="28"/>
        </w:rPr>
        <w:t>has benefits for the patients such as the review of complex cases and in ensuring the continuity of care.</w:t>
      </w:r>
    </w:p>
    <w:p w:rsidR="003D6CA0" w:rsidRDefault="003D6CA0" w:rsidP="00446AA1">
      <w:pPr>
        <w:pStyle w:val="ListParagraph"/>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t>170.6</w:t>
      </w:r>
      <w:r>
        <w:rPr>
          <w:rFonts w:cs="Times New Roman"/>
          <w:szCs w:val="28"/>
        </w:rPr>
        <w:tab/>
      </w:r>
      <w:r w:rsidR="00C8097B" w:rsidRPr="008743DC">
        <w:rPr>
          <w:rFonts w:cs="Times New Roman"/>
          <w:szCs w:val="28"/>
        </w:rPr>
        <w:t xml:space="preserve"> </w:t>
      </w:r>
      <w:r w:rsidR="00AE5DA2" w:rsidRPr="008743DC">
        <w:rPr>
          <w:rFonts w:cs="Times New Roman"/>
          <w:szCs w:val="28"/>
        </w:rPr>
        <w:t>Dr</w:t>
      </w:r>
      <w:r w:rsidR="003D6CA0" w:rsidRPr="008743DC">
        <w:rPr>
          <w:rFonts w:cs="Times New Roman"/>
          <w:szCs w:val="28"/>
        </w:rPr>
        <w:t xml:space="preserve"> Wagner also testified that the public sector is better able to take advantage of the collegiate environment and relationships that the public sector employment structure enables. In this regard, she used the word “collegiate” to convey both the continuing professional development and training that is built into daily practice, such as during ward rounds with specialists, and continuity of care that is promoted by having specialists and clinical staff under the same umbrella, and physically under the same roof.</w:t>
      </w:r>
    </w:p>
    <w:p w:rsidR="003D6CA0" w:rsidRDefault="003D6CA0" w:rsidP="00446AA1">
      <w:pPr>
        <w:pStyle w:val="ListParagraph"/>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t>170.7</w:t>
      </w:r>
      <w:r>
        <w:rPr>
          <w:rFonts w:cs="Times New Roman"/>
          <w:szCs w:val="28"/>
        </w:rPr>
        <w:tab/>
      </w:r>
      <w:r w:rsidR="00C8097B" w:rsidRPr="008743DC">
        <w:rPr>
          <w:rFonts w:cs="Times New Roman"/>
          <w:szCs w:val="28"/>
        </w:rPr>
        <w:t xml:space="preserve"> </w:t>
      </w:r>
      <w:r w:rsidR="003D6CA0" w:rsidRPr="008743DC">
        <w:rPr>
          <w:rFonts w:cs="Times New Roman"/>
          <w:szCs w:val="28"/>
        </w:rPr>
        <w:t>She was supported in her evidence by Mr Donaldson to the effect that the trajectory is towards improvement and expansion of healthcare services throughout the public healthcare system. In her view, the likelihood would be that the services available to all CP children in the public healthcare system, including both those who have and those who do not have medico-legal claims, will improve and expand over time. Additionally, despite the huge burden of servicing the vast majority of the population, there has been considerable progress in the availability and effectiveness of healthcare services during the past two decades.</w:t>
      </w:r>
    </w:p>
    <w:p w:rsidR="003D6CA0" w:rsidRPr="008743DC" w:rsidRDefault="008743DC" w:rsidP="008743DC">
      <w:pPr>
        <w:ind w:left="1809" w:hanging="675"/>
        <w:rPr>
          <w:rFonts w:cs="Times New Roman"/>
          <w:szCs w:val="28"/>
        </w:rPr>
      </w:pPr>
      <w:r w:rsidRPr="007A1B16">
        <w:rPr>
          <w:rFonts w:cs="Times New Roman"/>
          <w:szCs w:val="28"/>
        </w:rPr>
        <w:t>170.8</w:t>
      </w:r>
      <w:r w:rsidRPr="007A1B16">
        <w:rPr>
          <w:rFonts w:cs="Times New Roman"/>
          <w:szCs w:val="28"/>
        </w:rPr>
        <w:tab/>
      </w:r>
      <w:r w:rsidR="002F3D22" w:rsidRPr="008743DC">
        <w:rPr>
          <w:rFonts w:cs="Times New Roman"/>
          <w:szCs w:val="28"/>
        </w:rPr>
        <w:t xml:space="preserve"> </w:t>
      </w:r>
      <w:r w:rsidR="003D6CA0" w:rsidRPr="008743DC">
        <w:rPr>
          <w:rFonts w:cs="Times New Roman"/>
          <w:szCs w:val="28"/>
        </w:rPr>
        <w:t>During her tim</w:t>
      </w:r>
      <w:r w:rsidR="007A1B16" w:rsidRPr="008743DC">
        <w:rPr>
          <w:rFonts w:cs="Times New Roman"/>
          <w:szCs w:val="28"/>
        </w:rPr>
        <w:t xml:space="preserve">e as CEO of Frere Hospital, </w:t>
      </w:r>
      <w:proofErr w:type="spellStart"/>
      <w:r w:rsidR="007A1B16" w:rsidRPr="008743DC">
        <w:rPr>
          <w:rFonts w:cs="Times New Roman"/>
          <w:szCs w:val="28"/>
        </w:rPr>
        <w:t>Dr.</w:t>
      </w:r>
      <w:proofErr w:type="spellEnd"/>
      <w:r w:rsidR="007A1B16" w:rsidRPr="008743DC">
        <w:rPr>
          <w:rFonts w:cs="Times New Roman"/>
          <w:szCs w:val="28"/>
        </w:rPr>
        <w:t xml:space="preserve"> </w:t>
      </w:r>
      <w:r w:rsidR="003D6CA0" w:rsidRPr="008743DC">
        <w:rPr>
          <w:rFonts w:cs="Times New Roman"/>
          <w:szCs w:val="28"/>
        </w:rPr>
        <w:t>Wagner</w:t>
      </w:r>
      <w:r w:rsidR="007A1B16" w:rsidRPr="008743DC">
        <w:rPr>
          <w:rFonts w:cs="Times New Roman"/>
          <w:szCs w:val="28"/>
        </w:rPr>
        <w:t xml:space="preserve"> </w:t>
      </w:r>
      <w:r w:rsidR="003D6CA0" w:rsidRPr="008743DC">
        <w:rPr>
          <w:rFonts w:cs="Times New Roman"/>
          <w:szCs w:val="28"/>
        </w:rPr>
        <w:t xml:space="preserve">implemented a turnaround plan which improved operations and leadership in the hospital. This led to measurable improvements in mortality and morbidity and to the hospital winning an international award for improvements in quality of care. She has also instituted a turnaround strategy for the entire department since she has become the head thereof. She testified that the need for this strategy arose, amongst others, because of the approximately R4.5 billion budget deficit largely caused by </w:t>
      </w:r>
      <w:proofErr w:type="spellStart"/>
      <w:r w:rsidR="003D6CA0" w:rsidRPr="008743DC">
        <w:rPr>
          <w:rFonts w:cs="Times New Roman"/>
          <w:szCs w:val="28"/>
        </w:rPr>
        <w:t>medicolegal</w:t>
      </w:r>
      <w:proofErr w:type="spellEnd"/>
      <w:r w:rsidR="003D6CA0" w:rsidRPr="008743DC">
        <w:rPr>
          <w:rFonts w:cs="Times New Roman"/>
          <w:szCs w:val="28"/>
        </w:rPr>
        <w:t xml:space="preserve"> claims as well as increasing demands caused by the pandemic. Whil</w:t>
      </w:r>
      <w:r w:rsidR="00AE5DA2" w:rsidRPr="008743DC">
        <w:rPr>
          <w:rFonts w:cs="Times New Roman"/>
          <w:szCs w:val="28"/>
        </w:rPr>
        <w:t>e</w:t>
      </w:r>
      <w:r w:rsidR="003D6CA0" w:rsidRPr="008743DC">
        <w:rPr>
          <w:rFonts w:cs="Times New Roman"/>
          <w:szCs w:val="28"/>
        </w:rPr>
        <w:t xml:space="preserve"> in its early stages, this turnaround strategy has already made significant progress.</w:t>
      </w:r>
    </w:p>
    <w:p w:rsidR="003D6CA0" w:rsidRDefault="003D6CA0" w:rsidP="00446AA1">
      <w:pPr>
        <w:pStyle w:val="ListParagraph"/>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t>170.9</w:t>
      </w:r>
      <w:r>
        <w:rPr>
          <w:rFonts w:cs="Times New Roman"/>
          <w:szCs w:val="28"/>
        </w:rPr>
        <w:tab/>
      </w:r>
      <w:r w:rsidR="00A647A2" w:rsidRPr="008743DC">
        <w:rPr>
          <w:rFonts w:cs="Times New Roman"/>
          <w:szCs w:val="28"/>
        </w:rPr>
        <w:t xml:space="preserve"> </w:t>
      </w:r>
      <w:r w:rsidR="003D6CA0" w:rsidRPr="008743DC">
        <w:rPr>
          <w:rFonts w:cs="Times New Roman"/>
          <w:szCs w:val="28"/>
        </w:rPr>
        <w:t xml:space="preserve">She emphasized that BN will receive priority treatment and that a budget has been ring fenced for this purpose. This budget will </w:t>
      </w:r>
      <w:r w:rsidR="003D6CA0" w:rsidRPr="008743DC">
        <w:rPr>
          <w:rFonts w:cs="Times New Roman"/>
          <w:szCs w:val="28"/>
        </w:rPr>
        <w:lastRenderedPageBreak/>
        <w:t>be incrementally enhanced should the court grant the constitutional defences to cater for further CP cases.</w:t>
      </w:r>
    </w:p>
    <w:p w:rsidR="003D6CA0" w:rsidRDefault="003D6CA0" w:rsidP="003D6CA0">
      <w:pPr>
        <w:pStyle w:val="ListParagraph"/>
        <w:rPr>
          <w:rFonts w:cs="Times New Roman"/>
          <w:szCs w:val="28"/>
        </w:rPr>
      </w:pPr>
    </w:p>
    <w:p w:rsidR="003D6CA0" w:rsidRDefault="00993F13" w:rsidP="003D6CA0">
      <w:pPr>
        <w:rPr>
          <w:rFonts w:cs="Times New Roman"/>
          <w:szCs w:val="28"/>
        </w:rPr>
      </w:pPr>
      <w:r>
        <w:rPr>
          <w:rFonts w:cs="Times New Roman"/>
          <w:szCs w:val="28"/>
        </w:rPr>
        <w:t>[171</w:t>
      </w:r>
      <w:r w:rsidR="004E7D3E">
        <w:rPr>
          <w:rFonts w:cs="Times New Roman"/>
          <w:szCs w:val="28"/>
        </w:rPr>
        <w:t>]</w:t>
      </w:r>
      <w:r w:rsidR="004E7D3E">
        <w:rPr>
          <w:rFonts w:cs="Times New Roman"/>
          <w:szCs w:val="28"/>
        </w:rPr>
        <w:tab/>
      </w:r>
      <w:proofErr w:type="spellStart"/>
      <w:r w:rsidR="003D6CA0">
        <w:rPr>
          <w:rFonts w:cs="Times New Roman"/>
          <w:szCs w:val="28"/>
        </w:rPr>
        <w:t>Prof.</w:t>
      </w:r>
      <w:proofErr w:type="spellEnd"/>
      <w:r w:rsidR="003D6CA0">
        <w:rPr>
          <w:rFonts w:cs="Times New Roman"/>
          <w:szCs w:val="28"/>
        </w:rPr>
        <w:t xml:space="preserve"> Cooper, who is both a paediatrician and a neonatologist, examined the hospitals concerned with a clinical eye. It was his opinion that both CMH and Frere hospitals are able to cater for BN’s clinical needs at a standard equivalent to that which is available in the private sector. In this regard, he dealt with all the disciplines which may be required by BN and, except for child psychiatry, concluded that they satisfy the necessary test. As regards child psychiatry, there appears to be no indication that BN requires this. </w:t>
      </w:r>
      <w:proofErr w:type="spellStart"/>
      <w:r w:rsidR="003D6CA0">
        <w:rPr>
          <w:rFonts w:cs="Times New Roman"/>
          <w:szCs w:val="28"/>
        </w:rPr>
        <w:t>Prof.</w:t>
      </w:r>
      <w:proofErr w:type="spellEnd"/>
      <w:r w:rsidR="003D6CA0">
        <w:rPr>
          <w:rFonts w:cs="Times New Roman"/>
          <w:szCs w:val="28"/>
        </w:rPr>
        <w:t xml:space="preserve"> Cooper added that CMH is a newly built hospital which has attractive and spacious paediatric wards whilst those of Frere are smaller and in poorer condition. However, he was satisfied that the hospitals have always been able to accommodate children in the wards of one or other of the hospitals. As regards intensive care, he conceded that the beds in the paediatric section are usually at a premium. However, ICU care for children with CP is rarely needed but, should it occur and no accommodation be available, they could be sent to the private sector.</w:t>
      </w:r>
    </w:p>
    <w:p w:rsidR="003D6CA0" w:rsidRDefault="003D6CA0" w:rsidP="003D6CA0">
      <w:pPr>
        <w:rPr>
          <w:rFonts w:cs="Times New Roman"/>
          <w:szCs w:val="28"/>
        </w:rPr>
      </w:pPr>
    </w:p>
    <w:p w:rsidR="003D6CA0" w:rsidRDefault="00110EFD" w:rsidP="003D6CA0">
      <w:pPr>
        <w:rPr>
          <w:rFonts w:cs="Times New Roman"/>
          <w:szCs w:val="28"/>
        </w:rPr>
      </w:pPr>
      <w:r>
        <w:rPr>
          <w:rFonts w:cs="Times New Roman"/>
          <w:szCs w:val="28"/>
        </w:rPr>
        <w:t>[172</w:t>
      </w:r>
      <w:r w:rsidR="004E7D3E">
        <w:rPr>
          <w:rFonts w:cs="Times New Roman"/>
          <w:szCs w:val="28"/>
        </w:rPr>
        <w:t>]</w:t>
      </w:r>
      <w:r w:rsidR="004E7D3E">
        <w:rPr>
          <w:rFonts w:cs="Times New Roman"/>
          <w:szCs w:val="28"/>
        </w:rPr>
        <w:tab/>
      </w:r>
      <w:r w:rsidR="00AE5DA2">
        <w:rPr>
          <w:rFonts w:cs="Times New Roman"/>
          <w:szCs w:val="28"/>
        </w:rPr>
        <w:t>Dr</w:t>
      </w:r>
      <w:r w:rsidR="003D6CA0">
        <w:rPr>
          <w:rFonts w:cs="Times New Roman"/>
          <w:szCs w:val="28"/>
        </w:rPr>
        <w:t xml:space="preserve"> </w:t>
      </w:r>
      <w:proofErr w:type="spellStart"/>
      <w:r w:rsidR="003D6CA0">
        <w:rPr>
          <w:rFonts w:cs="Times New Roman"/>
          <w:szCs w:val="28"/>
        </w:rPr>
        <w:t>Saloojee</w:t>
      </w:r>
      <w:proofErr w:type="spellEnd"/>
      <w:r w:rsidR="003D6CA0">
        <w:rPr>
          <w:rFonts w:cs="Times New Roman"/>
          <w:szCs w:val="28"/>
        </w:rPr>
        <w:t xml:space="preserve"> who is a physiotherapist in private practice, and a researcher, has an extensive and impressive CV. Not only is she highly qualified academically, but she has had considerable experience with CP children and in particular in dealing with their rehabilitation. In brief, she testified as follows:</w:t>
      </w:r>
    </w:p>
    <w:p w:rsidR="003D6CA0" w:rsidRDefault="003D6CA0" w:rsidP="003D6CA0">
      <w:pPr>
        <w:rPr>
          <w:rFonts w:cs="Times New Roman"/>
          <w:szCs w:val="28"/>
        </w:rPr>
      </w:pPr>
    </w:p>
    <w:p w:rsidR="003D6CA0" w:rsidRPr="008743DC" w:rsidRDefault="008743DC" w:rsidP="008743DC">
      <w:pPr>
        <w:ind w:left="1809" w:hanging="675"/>
        <w:rPr>
          <w:rFonts w:cs="Times New Roman"/>
          <w:szCs w:val="28"/>
        </w:rPr>
      </w:pPr>
      <w:r>
        <w:rPr>
          <w:rFonts w:cs="Times New Roman"/>
          <w:szCs w:val="28"/>
        </w:rPr>
        <w:t>172.1</w:t>
      </w:r>
      <w:r>
        <w:rPr>
          <w:rFonts w:cs="Times New Roman"/>
          <w:szCs w:val="28"/>
        </w:rPr>
        <w:tab/>
      </w:r>
      <w:r w:rsidR="00432D8F" w:rsidRPr="008743DC">
        <w:rPr>
          <w:rFonts w:cs="Times New Roman"/>
          <w:szCs w:val="28"/>
        </w:rPr>
        <w:t xml:space="preserve"> </w:t>
      </w:r>
      <w:r w:rsidR="003D6CA0" w:rsidRPr="008743DC">
        <w:rPr>
          <w:rFonts w:cs="Times New Roman"/>
          <w:szCs w:val="28"/>
        </w:rPr>
        <w:t>At the two hospitals concerned, children with CP are seen monthly in a group setting by a multidisciplinary therapeutic team. This offers several advantages over individual therapy.</w:t>
      </w:r>
    </w:p>
    <w:p w:rsidR="003D6CA0" w:rsidRDefault="003D6CA0" w:rsidP="002F3D22">
      <w:pPr>
        <w:pStyle w:val="ListParagraph"/>
        <w:ind w:left="1134"/>
        <w:rPr>
          <w:rFonts w:cs="Times New Roman"/>
          <w:szCs w:val="28"/>
        </w:rPr>
      </w:pPr>
    </w:p>
    <w:p w:rsidR="003D6CA0" w:rsidRPr="008743DC" w:rsidRDefault="008743DC" w:rsidP="008743DC">
      <w:pPr>
        <w:ind w:left="1809" w:hanging="675"/>
        <w:rPr>
          <w:rFonts w:cs="Times New Roman"/>
          <w:szCs w:val="28"/>
        </w:rPr>
      </w:pPr>
      <w:r w:rsidRPr="007A1B16">
        <w:rPr>
          <w:rFonts w:cs="Times New Roman"/>
          <w:szCs w:val="28"/>
        </w:rPr>
        <w:t>172.2</w:t>
      </w:r>
      <w:r w:rsidRPr="007A1B16">
        <w:rPr>
          <w:rFonts w:cs="Times New Roman"/>
          <w:szCs w:val="28"/>
        </w:rPr>
        <w:tab/>
      </w:r>
      <w:r w:rsidR="003D6CA0" w:rsidRPr="008743DC">
        <w:rPr>
          <w:rFonts w:cs="Times New Roman"/>
          <w:szCs w:val="28"/>
        </w:rPr>
        <w:t xml:space="preserve">In addition thereto, both hospitals have a number of therapists </w:t>
      </w:r>
      <w:r w:rsidR="00315CD0" w:rsidRPr="008743DC">
        <w:rPr>
          <w:rFonts w:cs="Times New Roman"/>
          <w:szCs w:val="28"/>
        </w:rPr>
        <w:t xml:space="preserve">    </w:t>
      </w:r>
      <w:r w:rsidR="003D6CA0" w:rsidRPr="008743DC">
        <w:rPr>
          <w:rFonts w:cs="Times New Roman"/>
          <w:szCs w:val="28"/>
        </w:rPr>
        <w:t>with postgraduate training in working with CP children.</w:t>
      </w:r>
    </w:p>
    <w:p w:rsidR="003D6CA0" w:rsidRDefault="003D6CA0" w:rsidP="002F3D22">
      <w:pPr>
        <w:pStyle w:val="ListParagraph"/>
        <w:ind w:left="1134"/>
        <w:rPr>
          <w:rFonts w:cs="Times New Roman"/>
          <w:szCs w:val="28"/>
        </w:rPr>
      </w:pPr>
    </w:p>
    <w:p w:rsidR="00315CD0" w:rsidRPr="008743DC" w:rsidRDefault="008743DC" w:rsidP="008743DC">
      <w:pPr>
        <w:ind w:left="1809" w:hanging="675"/>
        <w:rPr>
          <w:rFonts w:cs="Times New Roman"/>
          <w:szCs w:val="28"/>
        </w:rPr>
      </w:pPr>
      <w:r>
        <w:rPr>
          <w:rFonts w:cs="Times New Roman"/>
          <w:szCs w:val="28"/>
        </w:rPr>
        <w:t>172.3</w:t>
      </w:r>
      <w:r>
        <w:rPr>
          <w:rFonts w:cs="Times New Roman"/>
          <w:szCs w:val="28"/>
        </w:rPr>
        <w:tab/>
      </w:r>
      <w:r w:rsidR="003D6CA0" w:rsidRPr="008743DC">
        <w:rPr>
          <w:rFonts w:cs="Times New Roman"/>
          <w:szCs w:val="28"/>
        </w:rPr>
        <w:t xml:space="preserve">As fortified by the evidence of </w:t>
      </w:r>
      <w:r w:rsidR="00AE5DA2" w:rsidRPr="008743DC">
        <w:rPr>
          <w:rFonts w:cs="Times New Roman"/>
          <w:szCs w:val="28"/>
        </w:rPr>
        <w:t>Dr</w:t>
      </w:r>
      <w:r w:rsidR="003D6CA0" w:rsidRPr="008743DC">
        <w:rPr>
          <w:rFonts w:cs="Times New Roman"/>
          <w:szCs w:val="28"/>
        </w:rPr>
        <w:t xml:space="preserve"> Wagner and </w:t>
      </w:r>
      <w:proofErr w:type="spellStart"/>
      <w:r w:rsidR="003D6CA0" w:rsidRPr="008743DC">
        <w:rPr>
          <w:rFonts w:cs="Times New Roman"/>
          <w:szCs w:val="28"/>
        </w:rPr>
        <w:t>Prof.</w:t>
      </w:r>
      <w:proofErr w:type="spellEnd"/>
      <w:r w:rsidR="003D6CA0" w:rsidRPr="008743DC">
        <w:rPr>
          <w:rFonts w:cs="Times New Roman"/>
          <w:szCs w:val="28"/>
        </w:rPr>
        <w:t xml:space="preserve"> Cooper, she </w:t>
      </w:r>
    </w:p>
    <w:p w:rsidR="003D6CA0" w:rsidRDefault="003D6CA0" w:rsidP="00315CD0">
      <w:pPr>
        <w:pStyle w:val="ListParagraph"/>
        <w:ind w:left="1809"/>
        <w:rPr>
          <w:rFonts w:cs="Times New Roman"/>
          <w:szCs w:val="28"/>
        </w:rPr>
      </w:pPr>
      <w:r>
        <w:rPr>
          <w:rFonts w:cs="Times New Roman"/>
          <w:szCs w:val="28"/>
        </w:rPr>
        <w:t>considered that it was possible that all of BN’s therapy needs could be accommodated in the public sector.</w:t>
      </w:r>
    </w:p>
    <w:p w:rsidR="003D6CA0" w:rsidRDefault="003D6CA0" w:rsidP="002F3D22">
      <w:pPr>
        <w:pStyle w:val="ListParagraph"/>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t>172.4</w:t>
      </w:r>
      <w:r>
        <w:rPr>
          <w:rFonts w:cs="Times New Roman"/>
          <w:szCs w:val="28"/>
        </w:rPr>
        <w:tab/>
      </w:r>
      <w:r w:rsidR="00432D8F" w:rsidRPr="008743DC">
        <w:rPr>
          <w:rFonts w:cs="Times New Roman"/>
          <w:szCs w:val="28"/>
        </w:rPr>
        <w:t xml:space="preserve"> </w:t>
      </w:r>
      <w:r w:rsidR="003D6CA0" w:rsidRPr="008743DC">
        <w:rPr>
          <w:rFonts w:cs="Times New Roman"/>
          <w:szCs w:val="28"/>
        </w:rPr>
        <w:t xml:space="preserve">She was satisfied that the department is actively training its therapists to provide the type of specialist care required by BN whereas, as there </w:t>
      </w:r>
      <w:proofErr w:type="gramStart"/>
      <w:r w:rsidR="003D6CA0" w:rsidRPr="008743DC">
        <w:rPr>
          <w:rFonts w:cs="Times New Roman"/>
          <w:szCs w:val="28"/>
        </w:rPr>
        <w:t>is</w:t>
      </w:r>
      <w:proofErr w:type="gramEnd"/>
      <w:r w:rsidR="003D6CA0" w:rsidRPr="008743DC">
        <w:rPr>
          <w:rFonts w:cs="Times New Roman"/>
          <w:szCs w:val="28"/>
        </w:rPr>
        <w:t xml:space="preserve"> no regulation limiting therapists working with CP children, therapists in the private sector can treat children with CP without necessarily having the postgraduate specialization to do so. She added that there were relatively few practitioners in East London and even fewer, if any at all, at </w:t>
      </w:r>
      <w:proofErr w:type="spellStart"/>
      <w:r w:rsidR="003D6CA0" w:rsidRPr="008743DC">
        <w:rPr>
          <w:rFonts w:cs="Times New Roman"/>
          <w:szCs w:val="28"/>
        </w:rPr>
        <w:t>Mdantsane</w:t>
      </w:r>
      <w:proofErr w:type="spellEnd"/>
      <w:r w:rsidR="003D6CA0" w:rsidRPr="008743DC">
        <w:rPr>
          <w:rFonts w:cs="Times New Roman"/>
          <w:szCs w:val="28"/>
        </w:rPr>
        <w:t>, who are experienced in working with children with CP.</w:t>
      </w:r>
    </w:p>
    <w:p w:rsidR="003D6CA0" w:rsidRDefault="003D6CA0" w:rsidP="002F3D22">
      <w:pPr>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t>172.5</w:t>
      </w:r>
      <w:r>
        <w:rPr>
          <w:rFonts w:cs="Times New Roman"/>
          <w:szCs w:val="28"/>
        </w:rPr>
        <w:tab/>
      </w:r>
      <w:r w:rsidR="00432D8F" w:rsidRPr="008743DC">
        <w:rPr>
          <w:rFonts w:cs="Times New Roman"/>
          <w:szCs w:val="28"/>
        </w:rPr>
        <w:t xml:space="preserve"> </w:t>
      </w:r>
      <w:r w:rsidR="003D6CA0" w:rsidRPr="008743DC">
        <w:rPr>
          <w:rFonts w:cs="Times New Roman"/>
          <w:szCs w:val="28"/>
        </w:rPr>
        <w:t>She was happy with the rehabilitation department at CMH describing it as “beautiful” and “fairly new” with plenty of space. She was also happy with the equivalent centre at Frere.</w:t>
      </w:r>
    </w:p>
    <w:p w:rsidR="003D6CA0" w:rsidRDefault="003D6CA0" w:rsidP="002F3D22">
      <w:pPr>
        <w:pStyle w:val="ListParagraph"/>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t>172.6</w:t>
      </w:r>
      <w:r>
        <w:rPr>
          <w:rFonts w:cs="Times New Roman"/>
          <w:szCs w:val="28"/>
        </w:rPr>
        <w:tab/>
      </w:r>
      <w:r w:rsidR="00432D8F" w:rsidRPr="008743DC">
        <w:rPr>
          <w:rFonts w:cs="Times New Roman"/>
          <w:szCs w:val="28"/>
        </w:rPr>
        <w:t xml:space="preserve"> </w:t>
      </w:r>
      <w:r w:rsidR="003D6CA0" w:rsidRPr="008743DC">
        <w:rPr>
          <w:rFonts w:cs="Times New Roman"/>
          <w:szCs w:val="28"/>
        </w:rPr>
        <w:t>She commended the CP clinics run at the two hospitals as being multidisciplinary and providing a teamwork and one-stop shop approach to such rehabilitation together with psychological support.</w:t>
      </w:r>
    </w:p>
    <w:p w:rsidR="003D6CA0" w:rsidRDefault="003D6CA0" w:rsidP="002F3D22">
      <w:pPr>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t>172.7</w:t>
      </w:r>
      <w:r>
        <w:rPr>
          <w:rFonts w:cs="Times New Roman"/>
          <w:szCs w:val="28"/>
        </w:rPr>
        <w:tab/>
      </w:r>
      <w:r w:rsidR="00432D8F" w:rsidRPr="008743DC">
        <w:rPr>
          <w:rFonts w:cs="Times New Roman"/>
          <w:szCs w:val="28"/>
        </w:rPr>
        <w:t xml:space="preserve"> </w:t>
      </w:r>
      <w:r w:rsidR="003D6CA0" w:rsidRPr="008743DC">
        <w:rPr>
          <w:rFonts w:cs="Times New Roman"/>
          <w:szCs w:val="28"/>
        </w:rPr>
        <w:t>A variety of dietary supplements are provided at CMH at no cost for children with gastronomy tubes such as BN.</w:t>
      </w:r>
    </w:p>
    <w:p w:rsidR="003D6CA0" w:rsidRDefault="003D6CA0" w:rsidP="002F3D22">
      <w:pPr>
        <w:pStyle w:val="ListParagraph"/>
        <w:ind w:left="1134"/>
        <w:rPr>
          <w:rFonts w:cs="Times New Roman"/>
          <w:szCs w:val="28"/>
        </w:rPr>
      </w:pPr>
    </w:p>
    <w:p w:rsidR="003D6CA0" w:rsidRPr="008743DC" w:rsidRDefault="008743DC" w:rsidP="008743DC">
      <w:pPr>
        <w:ind w:left="1809" w:hanging="675"/>
        <w:rPr>
          <w:rFonts w:cs="Times New Roman"/>
          <w:szCs w:val="28"/>
        </w:rPr>
      </w:pPr>
      <w:r>
        <w:rPr>
          <w:rFonts w:cs="Times New Roman"/>
          <w:szCs w:val="28"/>
        </w:rPr>
        <w:t>173.8</w:t>
      </w:r>
      <w:r>
        <w:rPr>
          <w:rFonts w:cs="Times New Roman"/>
          <w:szCs w:val="28"/>
        </w:rPr>
        <w:tab/>
      </w:r>
      <w:r w:rsidR="00432D8F" w:rsidRPr="008743DC">
        <w:rPr>
          <w:rFonts w:cs="Times New Roman"/>
          <w:szCs w:val="28"/>
        </w:rPr>
        <w:t xml:space="preserve"> </w:t>
      </w:r>
      <w:r w:rsidR="003D6CA0" w:rsidRPr="008743DC">
        <w:rPr>
          <w:rFonts w:cs="Times New Roman"/>
          <w:szCs w:val="28"/>
        </w:rPr>
        <w:t xml:space="preserve">She indicated her neutrality by testifying that the biggest limitation of the services available at the hospitals was the caseload of children with CP and the ratio of staff available. She however was of the opinion that because BN would receive prioritized treatment he would not be affected by such limitations. She also identified certain shortcomings in the rehabilitative facilities, which concerns were communicated to </w:t>
      </w:r>
      <w:proofErr w:type="spellStart"/>
      <w:r w:rsidR="003D6CA0" w:rsidRPr="008743DC">
        <w:rPr>
          <w:rFonts w:cs="Times New Roman"/>
          <w:szCs w:val="28"/>
        </w:rPr>
        <w:t>Dr.</w:t>
      </w:r>
      <w:proofErr w:type="spellEnd"/>
      <w:r w:rsidR="003D6CA0" w:rsidRPr="008743DC">
        <w:rPr>
          <w:rFonts w:cs="Times New Roman"/>
          <w:szCs w:val="28"/>
        </w:rPr>
        <w:t xml:space="preserve"> Wagner. In turn, </w:t>
      </w:r>
      <w:proofErr w:type="spellStart"/>
      <w:r w:rsidR="003D6CA0" w:rsidRPr="008743DC">
        <w:rPr>
          <w:rFonts w:cs="Times New Roman"/>
          <w:szCs w:val="28"/>
        </w:rPr>
        <w:t>Dr.</w:t>
      </w:r>
      <w:proofErr w:type="spellEnd"/>
      <w:r w:rsidR="003D6CA0" w:rsidRPr="008743DC">
        <w:rPr>
          <w:rFonts w:cs="Times New Roman"/>
          <w:szCs w:val="28"/>
        </w:rPr>
        <w:t xml:space="preserve"> Wagner testified that the department has taken note of these concerns and has already made substantial progress in addressing the shortcomings.</w:t>
      </w:r>
    </w:p>
    <w:p w:rsidR="003D6CA0" w:rsidRDefault="003D6CA0" w:rsidP="003D6CA0">
      <w:pPr>
        <w:pStyle w:val="ListParagraph"/>
        <w:rPr>
          <w:rFonts w:cs="Times New Roman"/>
          <w:szCs w:val="28"/>
        </w:rPr>
      </w:pPr>
    </w:p>
    <w:p w:rsidR="003D6CA0" w:rsidRDefault="004E7D3E" w:rsidP="003D6CA0">
      <w:pPr>
        <w:rPr>
          <w:rFonts w:cs="Times New Roman"/>
          <w:szCs w:val="28"/>
        </w:rPr>
      </w:pPr>
      <w:r>
        <w:rPr>
          <w:rFonts w:cs="Times New Roman"/>
          <w:szCs w:val="28"/>
        </w:rPr>
        <w:t>[1</w:t>
      </w:r>
      <w:r w:rsidR="00110EFD">
        <w:rPr>
          <w:rFonts w:cs="Times New Roman"/>
          <w:szCs w:val="28"/>
        </w:rPr>
        <w:t>73</w:t>
      </w:r>
      <w:r>
        <w:rPr>
          <w:rFonts w:cs="Times New Roman"/>
          <w:szCs w:val="28"/>
        </w:rPr>
        <w:t>]</w:t>
      </w:r>
      <w:r>
        <w:rPr>
          <w:rFonts w:cs="Times New Roman"/>
          <w:szCs w:val="28"/>
        </w:rPr>
        <w:tab/>
      </w:r>
      <w:r w:rsidR="003D6CA0">
        <w:rPr>
          <w:rFonts w:cs="Times New Roman"/>
          <w:szCs w:val="28"/>
        </w:rPr>
        <w:t xml:space="preserve">Mrs </w:t>
      </w:r>
      <w:proofErr w:type="spellStart"/>
      <w:r w:rsidR="003D6CA0">
        <w:rPr>
          <w:rFonts w:cs="Times New Roman"/>
          <w:szCs w:val="28"/>
        </w:rPr>
        <w:t>Caga</w:t>
      </w:r>
      <w:proofErr w:type="spellEnd"/>
      <w:r w:rsidR="003D6CA0">
        <w:rPr>
          <w:rFonts w:cs="Times New Roman"/>
          <w:szCs w:val="28"/>
        </w:rPr>
        <w:t>, an occupational therapist in private practice, testified on behalf of the plaintiff in rebuttal of the defendant’s evidence on this aspect. She said that she had noted that BN had recently lost weight which</w:t>
      </w:r>
      <w:r w:rsidR="00315CD0">
        <w:rPr>
          <w:rFonts w:cs="Times New Roman"/>
          <w:szCs w:val="28"/>
        </w:rPr>
        <w:t xml:space="preserve">, whilst in many respects was </w:t>
      </w:r>
      <w:r w:rsidR="003D6CA0">
        <w:rPr>
          <w:rFonts w:cs="Times New Roman"/>
          <w:szCs w:val="28"/>
        </w:rPr>
        <w:t xml:space="preserve">a positive attribute, indicated that his growth was stunted from undernourishment. She however admitted that she was not a dietitian. She also indicated that he had not been properly cared for by the state as she considered his PEG tube to be infected, and his epilepsy to be poorly managed. Again, she conceded that she was not an expert in diagnosing such infections or problems. She was also re-called after the defendant had closed her case. It was this evidence which was objected to as foreshadowed earlier in this judgment. During this subsequent evidence, she referred to her experience in case managing two children as a basis for her opinion that as far as occupational therapy is concerned, </w:t>
      </w:r>
      <w:r w:rsidR="003D6CA0">
        <w:rPr>
          <w:rFonts w:cs="Times New Roman"/>
          <w:szCs w:val="28"/>
        </w:rPr>
        <w:lastRenderedPageBreak/>
        <w:t>CMH and Frere hospitals were not able to deliver therapy to BN at the required standard.</w:t>
      </w:r>
    </w:p>
    <w:p w:rsidR="003D6CA0" w:rsidRDefault="003D6CA0" w:rsidP="003D6CA0">
      <w:pPr>
        <w:rPr>
          <w:rFonts w:cs="Times New Roman"/>
          <w:szCs w:val="28"/>
        </w:rPr>
      </w:pPr>
    </w:p>
    <w:p w:rsidR="003D6CA0" w:rsidRDefault="00110EFD" w:rsidP="003D6CA0">
      <w:pPr>
        <w:rPr>
          <w:rFonts w:cs="Times New Roman"/>
          <w:szCs w:val="28"/>
        </w:rPr>
      </w:pPr>
      <w:r>
        <w:rPr>
          <w:rFonts w:cs="Times New Roman"/>
          <w:szCs w:val="28"/>
        </w:rPr>
        <w:t>[174</w:t>
      </w:r>
      <w:r w:rsidR="004E7D3E">
        <w:rPr>
          <w:rFonts w:cs="Times New Roman"/>
          <w:szCs w:val="28"/>
        </w:rPr>
        <w:t>]</w:t>
      </w:r>
      <w:r w:rsidR="004E7D3E">
        <w:rPr>
          <w:rFonts w:cs="Times New Roman"/>
          <w:szCs w:val="28"/>
        </w:rPr>
        <w:tab/>
      </w:r>
      <w:r w:rsidR="003D6CA0">
        <w:rPr>
          <w:rFonts w:cs="Times New Roman"/>
          <w:szCs w:val="28"/>
        </w:rPr>
        <w:t xml:space="preserve">The plaintiff herself also testified in rebuttal. In the main, she testified as to emotional difficulties when having to take BN to hospital, and that she felt traumatized in doing so. With due respect, and empathy, for her state of mind, it is so that the psychotherapists for both parties agreed that Ms </w:t>
      </w:r>
      <w:proofErr w:type="gramStart"/>
      <w:r w:rsidR="003D6CA0">
        <w:rPr>
          <w:rFonts w:cs="Times New Roman"/>
          <w:szCs w:val="28"/>
        </w:rPr>
        <w:t>N</w:t>
      </w:r>
      <w:r w:rsidR="00BD2BDF">
        <w:rPr>
          <w:rFonts w:cs="Times New Roman"/>
          <w:szCs w:val="28"/>
        </w:rPr>
        <w:t>[</w:t>
      </w:r>
      <w:proofErr w:type="gramEnd"/>
      <w:r w:rsidR="00BD2BDF">
        <w:rPr>
          <w:rFonts w:cs="Times New Roman"/>
          <w:szCs w:val="28"/>
        </w:rPr>
        <w:t>…]</w:t>
      </w:r>
      <w:r w:rsidR="003D6CA0">
        <w:rPr>
          <w:rFonts w:cs="Times New Roman"/>
          <w:szCs w:val="28"/>
        </w:rPr>
        <w:t xml:space="preserve"> has been severely affected by BN’s condition and has developed a mood disorder. Indeed, the defendant has agreed to provide her with psychotherapy to assist in coping with her son’s condition as recommended by the psychotherapists. This was done even though her claim had prescribed. For these and other reasons, I cannot accept her evidence as undermining the purport and effect of the evidence in this regard as tendered by the defendant.</w:t>
      </w:r>
    </w:p>
    <w:p w:rsidR="003D6CA0" w:rsidRDefault="003D6CA0" w:rsidP="003D6CA0">
      <w:pPr>
        <w:rPr>
          <w:rFonts w:cs="Times New Roman"/>
          <w:szCs w:val="28"/>
        </w:rPr>
      </w:pPr>
    </w:p>
    <w:p w:rsidR="003D6CA0" w:rsidRDefault="00110EFD" w:rsidP="003D6CA0">
      <w:pPr>
        <w:rPr>
          <w:rFonts w:cs="Times New Roman"/>
          <w:szCs w:val="28"/>
        </w:rPr>
      </w:pPr>
      <w:r>
        <w:rPr>
          <w:rFonts w:cs="Times New Roman"/>
          <w:szCs w:val="28"/>
        </w:rPr>
        <w:t>[175</w:t>
      </w:r>
      <w:r w:rsidR="004E7D3E">
        <w:rPr>
          <w:rFonts w:cs="Times New Roman"/>
          <w:szCs w:val="28"/>
        </w:rPr>
        <w:t>]</w:t>
      </w:r>
      <w:r w:rsidR="004E7D3E">
        <w:rPr>
          <w:rFonts w:cs="Times New Roman"/>
          <w:szCs w:val="28"/>
        </w:rPr>
        <w:tab/>
      </w:r>
      <w:r w:rsidR="003D6CA0">
        <w:rPr>
          <w:rFonts w:cs="Times New Roman"/>
          <w:szCs w:val="28"/>
        </w:rPr>
        <w:t xml:space="preserve">The only other </w:t>
      </w:r>
      <w:r w:rsidR="00AE5DA2">
        <w:rPr>
          <w:rFonts w:cs="Times New Roman"/>
          <w:szCs w:val="28"/>
        </w:rPr>
        <w:t>evidence</w:t>
      </w:r>
      <w:r w:rsidR="003D6CA0">
        <w:rPr>
          <w:rFonts w:cs="Times New Roman"/>
          <w:szCs w:val="28"/>
        </w:rPr>
        <w:t xml:space="preserve"> tendered by the plaintiff</w:t>
      </w:r>
      <w:r w:rsidR="00AE5DA2">
        <w:rPr>
          <w:rFonts w:cs="Times New Roman"/>
          <w:szCs w:val="28"/>
        </w:rPr>
        <w:t xml:space="preserve"> in</w:t>
      </w:r>
      <w:r w:rsidR="003D6CA0">
        <w:rPr>
          <w:rFonts w:cs="Times New Roman"/>
          <w:szCs w:val="28"/>
        </w:rPr>
        <w:t xml:space="preserve"> this regard was</w:t>
      </w:r>
      <w:r w:rsidR="00AE5DA2">
        <w:rPr>
          <w:rFonts w:cs="Times New Roman"/>
          <w:szCs w:val="28"/>
        </w:rPr>
        <w:t xml:space="preserve"> that of</w:t>
      </w:r>
      <w:r w:rsidR="003D6CA0">
        <w:rPr>
          <w:rFonts w:cs="Times New Roman"/>
          <w:szCs w:val="28"/>
        </w:rPr>
        <w:t xml:space="preserve"> Ms Moni-</w:t>
      </w:r>
      <w:proofErr w:type="spellStart"/>
      <w:r w:rsidR="003D6CA0">
        <w:rPr>
          <w:rFonts w:cs="Times New Roman"/>
          <w:szCs w:val="28"/>
        </w:rPr>
        <w:t>Tsawu</w:t>
      </w:r>
      <w:proofErr w:type="spellEnd"/>
      <w:r w:rsidR="003D6CA0">
        <w:rPr>
          <w:rFonts w:cs="Times New Roman"/>
          <w:szCs w:val="28"/>
        </w:rPr>
        <w:t xml:space="preserve">. Once again, I do not take her evidence into account as it was shown to be unreliable and plainly wrong in several respects. Furthermore, none of it was put to </w:t>
      </w:r>
      <w:r w:rsidR="00AE5DA2">
        <w:rPr>
          <w:rFonts w:cs="Times New Roman"/>
          <w:szCs w:val="28"/>
        </w:rPr>
        <w:t>Dr</w:t>
      </w:r>
      <w:r w:rsidR="003D6CA0">
        <w:rPr>
          <w:rFonts w:cs="Times New Roman"/>
          <w:szCs w:val="28"/>
        </w:rPr>
        <w:t xml:space="preserve"> Wagner or </w:t>
      </w:r>
      <w:r w:rsidR="00AE5DA2">
        <w:rPr>
          <w:rFonts w:cs="Times New Roman"/>
          <w:szCs w:val="28"/>
        </w:rPr>
        <w:t>Dr</w:t>
      </w:r>
      <w:r w:rsidR="003D6CA0">
        <w:rPr>
          <w:rFonts w:cs="Times New Roman"/>
          <w:szCs w:val="28"/>
        </w:rPr>
        <w:t xml:space="preserve"> </w:t>
      </w:r>
      <w:proofErr w:type="spellStart"/>
      <w:r w:rsidR="003D6CA0">
        <w:rPr>
          <w:rFonts w:cs="Times New Roman"/>
          <w:szCs w:val="28"/>
        </w:rPr>
        <w:t>Michaelis</w:t>
      </w:r>
      <w:proofErr w:type="spellEnd"/>
      <w:r w:rsidR="003D6CA0">
        <w:rPr>
          <w:rFonts w:cs="Times New Roman"/>
          <w:szCs w:val="28"/>
        </w:rPr>
        <w:t xml:space="preserve"> for them to answer thereto.</w:t>
      </w:r>
    </w:p>
    <w:p w:rsidR="003D6CA0" w:rsidRDefault="003D6CA0" w:rsidP="003D6CA0">
      <w:pPr>
        <w:rPr>
          <w:rFonts w:cs="Times New Roman"/>
          <w:szCs w:val="28"/>
        </w:rPr>
      </w:pPr>
    </w:p>
    <w:p w:rsidR="003D6CA0" w:rsidRDefault="00110EFD" w:rsidP="003D6CA0">
      <w:pPr>
        <w:rPr>
          <w:rFonts w:cs="Times New Roman"/>
          <w:szCs w:val="28"/>
        </w:rPr>
      </w:pPr>
      <w:r>
        <w:rPr>
          <w:rFonts w:cs="Times New Roman"/>
          <w:szCs w:val="28"/>
        </w:rPr>
        <w:t>[176</w:t>
      </w:r>
      <w:r w:rsidR="004E7D3E">
        <w:rPr>
          <w:rFonts w:cs="Times New Roman"/>
          <w:szCs w:val="28"/>
        </w:rPr>
        <w:t>]</w:t>
      </w:r>
      <w:r w:rsidR="004E7D3E">
        <w:rPr>
          <w:rFonts w:cs="Times New Roman"/>
          <w:szCs w:val="28"/>
        </w:rPr>
        <w:tab/>
      </w:r>
      <w:proofErr w:type="spellStart"/>
      <w:r w:rsidR="003D6CA0">
        <w:rPr>
          <w:rFonts w:cs="Times New Roman"/>
          <w:szCs w:val="28"/>
        </w:rPr>
        <w:t>Dr.</w:t>
      </w:r>
      <w:proofErr w:type="spellEnd"/>
      <w:r w:rsidR="003D6CA0">
        <w:rPr>
          <w:rFonts w:cs="Times New Roman"/>
          <w:szCs w:val="28"/>
        </w:rPr>
        <w:t xml:space="preserve"> Wagner, as alluded to earlier in this judgment, was a most impressive witness. She is energetic and enthusiastic about her work and has both the mental ability and managerial capability to put her ideas into place, and to improve the quality of medical care in the province. Indeed, on her evidence, this is already well on its way. </w:t>
      </w:r>
      <w:proofErr w:type="spellStart"/>
      <w:r w:rsidR="003D6CA0">
        <w:rPr>
          <w:rFonts w:cs="Times New Roman"/>
          <w:szCs w:val="28"/>
        </w:rPr>
        <w:t>Prof.</w:t>
      </w:r>
      <w:proofErr w:type="spellEnd"/>
      <w:r w:rsidR="003D6CA0">
        <w:rPr>
          <w:rFonts w:cs="Times New Roman"/>
          <w:szCs w:val="28"/>
        </w:rPr>
        <w:t xml:space="preserve"> Cooper was not cross-examined, and his evidence clearly falls to be accepted. </w:t>
      </w:r>
      <w:r w:rsidR="00AE5DA2">
        <w:rPr>
          <w:rFonts w:cs="Times New Roman"/>
          <w:szCs w:val="28"/>
        </w:rPr>
        <w:t>Dr</w:t>
      </w:r>
      <w:r w:rsidR="003D6CA0">
        <w:rPr>
          <w:rFonts w:cs="Times New Roman"/>
          <w:szCs w:val="28"/>
        </w:rPr>
        <w:t xml:space="preserve"> </w:t>
      </w:r>
      <w:proofErr w:type="spellStart"/>
      <w:r w:rsidR="003D6CA0">
        <w:rPr>
          <w:rFonts w:cs="Times New Roman"/>
          <w:szCs w:val="28"/>
        </w:rPr>
        <w:t>Saloojee</w:t>
      </w:r>
      <w:proofErr w:type="spellEnd"/>
      <w:r w:rsidR="003D6CA0">
        <w:rPr>
          <w:rFonts w:cs="Times New Roman"/>
          <w:szCs w:val="28"/>
        </w:rPr>
        <w:t xml:space="preserve"> was extensively cross-examined</w:t>
      </w:r>
      <w:r w:rsidR="00AE5DA2">
        <w:rPr>
          <w:rFonts w:cs="Times New Roman"/>
          <w:szCs w:val="28"/>
        </w:rPr>
        <w:t xml:space="preserve">. </w:t>
      </w:r>
      <w:r w:rsidR="003D6CA0">
        <w:rPr>
          <w:rFonts w:cs="Times New Roman"/>
          <w:szCs w:val="28"/>
        </w:rPr>
        <w:t xml:space="preserve">I am constrained to state that she was an extremely impressive witness with an extensive list of credentials. Her passion, her concern, her experience and her </w:t>
      </w:r>
      <w:r w:rsidR="003D6CA0">
        <w:rPr>
          <w:rFonts w:cs="Times New Roman"/>
          <w:szCs w:val="28"/>
        </w:rPr>
        <w:lastRenderedPageBreak/>
        <w:t>ability with regard to CP children is considerable and palpable. Her neutrality and objectivity shone through during her evidence in many respects, but particularly in the way she not only expressed positivity relating to the department, but also highlighted the negative aspects.</w:t>
      </w:r>
    </w:p>
    <w:p w:rsidR="003D6CA0" w:rsidRDefault="003D6CA0" w:rsidP="003D6CA0">
      <w:pPr>
        <w:rPr>
          <w:rFonts w:cs="Times New Roman"/>
          <w:szCs w:val="28"/>
        </w:rPr>
      </w:pPr>
    </w:p>
    <w:p w:rsidR="003D6CA0" w:rsidRDefault="00F31786" w:rsidP="003D6CA0">
      <w:pPr>
        <w:rPr>
          <w:rFonts w:cs="Times New Roman"/>
          <w:szCs w:val="28"/>
        </w:rPr>
      </w:pPr>
      <w:r>
        <w:rPr>
          <w:rFonts w:cs="Times New Roman"/>
          <w:szCs w:val="28"/>
        </w:rPr>
        <w:t>[177</w:t>
      </w:r>
      <w:r w:rsidR="004E7D3E">
        <w:rPr>
          <w:rFonts w:cs="Times New Roman"/>
          <w:szCs w:val="28"/>
        </w:rPr>
        <w:t>]</w:t>
      </w:r>
      <w:r w:rsidR="004E7D3E">
        <w:rPr>
          <w:rFonts w:cs="Times New Roman"/>
          <w:szCs w:val="28"/>
        </w:rPr>
        <w:tab/>
      </w:r>
      <w:r w:rsidR="003D6CA0">
        <w:rPr>
          <w:rFonts w:cs="Times New Roman"/>
          <w:szCs w:val="28"/>
        </w:rPr>
        <w:t xml:space="preserve">Regarding the evidence of Ms </w:t>
      </w:r>
      <w:proofErr w:type="spellStart"/>
      <w:r w:rsidR="003D6CA0">
        <w:rPr>
          <w:rFonts w:cs="Times New Roman"/>
          <w:szCs w:val="28"/>
        </w:rPr>
        <w:t>Caga</w:t>
      </w:r>
      <w:proofErr w:type="spellEnd"/>
      <w:r w:rsidR="003D6CA0">
        <w:rPr>
          <w:rFonts w:cs="Times New Roman"/>
          <w:szCs w:val="28"/>
        </w:rPr>
        <w:t xml:space="preserve">, it seems from the hospital records that BN is indeed receiving sufficient treatment from a dietitian at Frere Hospital. </w:t>
      </w:r>
      <w:proofErr w:type="spellStart"/>
      <w:r w:rsidR="003D6CA0">
        <w:rPr>
          <w:rFonts w:cs="Times New Roman"/>
          <w:szCs w:val="28"/>
        </w:rPr>
        <w:t>Prof.</w:t>
      </w:r>
      <w:proofErr w:type="spellEnd"/>
      <w:r w:rsidR="003D6CA0">
        <w:rPr>
          <w:rFonts w:cs="Times New Roman"/>
          <w:szCs w:val="28"/>
        </w:rPr>
        <w:t xml:space="preserve"> </w:t>
      </w:r>
      <w:proofErr w:type="spellStart"/>
      <w:r w:rsidR="003D6CA0">
        <w:rPr>
          <w:rFonts w:cs="Times New Roman"/>
          <w:szCs w:val="28"/>
        </w:rPr>
        <w:t>Chitnis</w:t>
      </w:r>
      <w:proofErr w:type="spellEnd"/>
      <w:r w:rsidR="003D6CA0">
        <w:rPr>
          <w:rFonts w:cs="Times New Roman"/>
          <w:szCs w:val="28"/>
        </w:rPr>
        <w:t xml:space="preserve">, the head of Department of paediatric surgery at Frere and CMH hospitals, and who also operates in private practice, testified with regard to the gastronomy tube fitted to BN. He is clearly fully </w:t>
      </w:r>
      <w:r w:rsidR="003D6CA0">
        <w:rPr>
          <w:rFonts w:cs="Times New Roman"/>
          <w:i/>
          <w:iCs/>
          <w:szCs w:val="28"/>
        </w:rPr>
        <w:t>au fait</w:t>
      </w:r>
      <w:r w:rsidR="003D6CA0">
        <w:rPr>
          <w:rFonts w:cs="Times New Roman"/>
          <w:szCs w:val="28"/>
        </w:rPr>
        <w:t xml:space="preserve"> with the problems relating to BN and was satisfied that he had correctly treated all the problems that had arisen. Indeed, during the trial, a problem arose in this regard and the case had to be stood down to the following day whilst the hospital immediately treated BN without demur. Furthermore, the plaintiff herself testified that whenever BN has experienced significant leakage from this tube, it was immediately treated at Frere Hospital. This evidence, in my judgment, demonstrates once again that the department is fully capable of implementing the public healthcare remedy, and the high quality of services available for the paediatric surgical needs of BN.</w:t>
      </w:r>
    </w:p>
    <w:p w:rsidR="003D6CA0" w:rsidRDefault="003D6CA0" w:rsidP="003D6CA0">
      <w:pPr>
        <w:rPr>
          <w:rFonts w:cs="Times New Roman"/>
          <w:szCs w:val="28"/>
        </w:rPr>
      </w:pPr>
    </w:p>
    <w:p w:rsidR="003D6CA0" w:rsidRDefault="00790AA9" w:rsidP="003D6CA0">
      <w:pPr>
        <w:rPr>
          <w:rFonts w:cs="Times New Roman"/>
          <w:szCs w:val="28"/>
        </w:rPr>
      </w:pPr>
      <w:r>
        <w:rPr>
          <w:rFonts w:cs="Times New Roman"/>
          <w:szCs w:val="28"/>
        </w:rPr>
        <w:t>[178</w:t>
      </w:r>
      <w:r w:rsidR="004E7D3E">
        <w:rPr>
          <w:rFonts w:cs="Times New Roman"/>
          <w:szCs w:val="28"/>
        </w:rPr>
        <w:t>]</w:t>
      </w:r>
      <w:r w:rsidR="004E7D3E">
        <w:rPr>
          <w:rFonts w:cs="Times New Roman"/>
          <w:szCs w:val="28"/>
        </w:rPr>
        <w:tab/>
      </w:r>
      <w:r w:rsidR="00AE5DA2">
        <w:rPr>
          <w:rFonts w:cs="Times New Roman"/>
          <w:szCs w:val="28"/>
        </w:rPr>
        <w:t>Dr</w:t>
      </w:r>
      <w:r w:rsidR="003D6CA0">
        <w:rPr>
          <w:rFonts w:cs="Times New Roman"/>
          <w:szCs w:val="28"/>
        </w:rPr>
        <w:t xml:space="preserve"> </w:t>
      </w:r>
      <w:proofErr w:type="spellStart"/>
      <w:r w:rsidR="003D6CA0">
        <w:rPr>
          <w:rFonts w:cs="Times New Roman"/>
          <w:szCs w:val="28"/>
        </w:rPr>
        <w:t>Michaelis</w:t>
      </w:r>
      <w:proofErr w:type="spellEnd"/>
      <w:r w:rsidR="003D6CA0">
        <w:rPr>
          <w:rFonts w:cs="Times New Roman"/>
          <w:szCs w:val="28"/>
        </w:rPr>
        <w:t>, a paediatric specialist at Frere Hospital, also testified regarding the neuro-developmental clinics at both hospitals and the nature of BN’s epilepsy care. Her qualifications and experience indicate that she is more than qualified to do this. She was satisfied that BN had been receiving sufficient therapy in this regard.</w:t>
      </w:r>
    </w:p>
    <w:p w:rsidR="003D6CA0" w:rsidRDefault="003D6CA0" w:rsidP="003D6CA0">
      <w:pPr>
        <w:rPr>
          <w:rFonts w:cs="Times New Roman"/>
          <w:szCs w:val="28"/>
        </w:rPr>
      </w:pPr>
    </w:p>
    <w:p w:rsidR="003D6CA0" w:rsidRDefault="00790AA9" w:rsidP="003D6CA0">
      <w:pPr>
        <w:rPr>
          <w:rFonts w:cs="Times New Roman"/>
          <w:szCs w:val="28"/>
        </w:rPr>
      </w:pPr>
      <w:r>
        <w:rPr>
          <w:rFonts w:cs="Times New Roman"/>
          <w:szCs w:val="28"/>
        </w:rPr>
        <w:t>[179</w:t>
      </w:r>
      <w:r w:rsidR="004E7D3E">
        <w:rPr>
          <w:rFonts w:cs="Times New Roman"/>
          <w:szCs w:val="28"/>
        </w:rPr>
        <w:t>]</w:t>
      </w:r>
      <w:r w:rsidR="004E7D3E">
        <w:rPr>
          <w:rFonts w:cs="Times New Roman"/>
          <w:szCs w:val="28"/>
        </w:rPr>
        <w:tab/>
      </w:r>
      <w:r w:rsidR="003D6CA0">
        <w:rPr>
          <w:rFonts w:cs="Times New Roman"/>
          <w:szCs w:val="28"/>
        </w:rPr>
        <w:t xml:space="preserve">As regards the rebuttal evidence of Ms </w:t>
      </w:r>
      <w:proofErr w:type="spellStart"/>
      <w:r w:rsidR="003D6CA0">
        <w:rPr>
          <w:rFonts w:cs="Times New Roman"/>
          <w:szCs w:val="28"/>
        </w:rPr>
        <w:t>Caga</w:t>
      </w:r>
      <w:proofErr w:type="spellEnd"/>
      <w:r w:rsidR="003D6CA0">
        <w:rPr>
          <w:rFonts w:cs="Times New Roman"/>
          <w:szCs w:val="28"/>
        </w:rPr>
        <w:t xml:space="preserve"> when she subsequently testified, it is so</w:t>
      </w:r>
      <w:r w:rsidR="00AE5DA2">
        <w:rPr>
          <w:rFonts w:cs="Times New Roman"/>
          <w:szCs w:val="28"/>
        </w:rPr>
        <w:t>,</w:t>
      </w:r>
      <w:r w:rsidR="003D6CA0">
        <w:rPr>
          <w:rFonts w:cs="Times New Roman"/>
          <w:szCs w:val="28"/>
        </w:rPr>
        <w:t xml:space="preserve"> as argued by the defendant</w:t>
      </w:r>
      <w:r w:rsidR="00AE5DA2">
        <w:rPr>
          <w:rFonts w:cs="Times New Roman"/>
          <w:szCs w:val="28"/>
        </w:rPr>
        <w:t>,</w:t>
      </w:r>
      <w:r w:rsidR="003D6CA0">
        <w:rPr>
          <w:rFonts w:cs="Times New Roman"/>
          <w:szCs w:val="28"/>
        </w:rPr>
        <w:t xml:space="preserve"> that no expert summary had been </w:t>
      </w:r>
      <w:r w:rsidR="003D6CA0">
        <w:rPr>
          <w:rFonts w:cs="Times New Roman"/>
          <w:szCs w:val="28"/>
        </w:rPr>
        <w:lastRenderedPageBreak/>
        <w:t>filed in this regard and that it was not put in cross examination to the plaintiff’s witnesses. This, to my mind, serves to reduce its veracity. However, not only this, but her evidence in criticizing the department relied largely on hearsay and speculation and, in my view, must be accorded a low probative value.</w:t>
      </w:r>
    </w:p>
    <w:p w:rsidR="003D6CA0" w:rsidRDefault="003D6CA0" w:rsidP="003D6CA0">
      <w:pPr>
        <w:rPr>
          <w:rFonts w:cs="Times New Roman"/>
          <w:szCs w:val="28"/>
        </w:rPr>
      </w:pPr>
    </w:p>
    <w:p w:rsidR="003D6CA0" w:rsidRDefault="00790AA9" w:rsidP="003D6CA0">
      <w:pPr>
        <w:rPr>
          <w:rFonts w:cs="Times New Roman"/>
          <w:szCs w:val="28"/>
        </w:rPr>
      </w:pPr>
      <w:r>
        <w:rPr>
          <w:rFonts w:cs="Times New Roman"/>
          <w:szCs w:val="28"/>
        </w:rPr>
        <w:t>[180</w:t>
      </w:r>
      <w:r w:rsidR="004E7D3E">
        <w:rPr>
          <w:rFonts w:cs="Times New Roman"/>
          <w:szCs w:val="28"/>
        </w:rPr>
        <w:t>]</w:t>
      </w:r>
      <w:r w:rsidR="004E7D3E">
        <w:rPr>
          <w:rFonts w:cs="Times New Roman"/>
          <w:szCs w:val="28"/>
        </w:rPr>
        <w:tab/>
      </w:r>
      <w:r w:rsidR="003D6CA0">
        <w:rPr>
          <w:rFonts w:cs="Times New Roman"/>
          <w:szCs w:val="28"/>
        </w:rPr>
        <w:t>In the final analysis, it is my view that the defendant has tendered extensive and valuable evidence which points ineluctably to the conclusion that both hospitals, working in tandem, are capable of providing BN with the medical services and supplies he requires at a reasonable standard or above. This is even more so in view of the fact that funds have been ring fenced specifically for this purpose. Having studied the evidence closely and in particular that tendered in this regard on behalf of the plaintiff, I am of the view that it does not undermine the strength of the evidence tendered by the defendant. I accordingly conclude that the</w:t>
      </w:r>
      <w:r w:rsidR="00AE5DA2">
        <w:rPr>
          <w:rFonts w:cs="Times New Roman"/>
          <w:szCs w:val="28"/>
        </w:rPr>
        <w:t xml:space="preserve"> defendant</w:t>
      </w:r>
      <w:r w:rsidR="003D6CA0">
        <w:rPr>
          <w:rFonts w:cs="Times New Roman"/>
          <w:szCs w:val="28"/>
        </w:rPr>
        <w:t xml:space="preserve"> has established that the hospitals concerned are able to provide these services and supplies at the required standard.</w:t>
      </w:r>
    </w:p>
    <w:p w:rsidR="003D6CA0" w:rsidRDefault="003D6CA0" w:rsidP="003D6CA0">
      <w:pPr>
        <w:rPr>
          <w:rFonts w:cs="Times New Roman"/>
          <w:szCs w:val="28"/>
        </w:rPr>
      </w:pPr>
    </w:p>
    <w:p w:rsidR="003D6CA0" w:rsidRDefault="003D6CA0" w:rsidP="003D6CA0">
      <w:pPr>
        <w:rPr>
          <w:rFonts w:cs="Times New Roman"/>
          <w:b/>
          <w:bCs/>
          <w:i/>
          <w:iCs/>
          <w:szCs w:val="28"/>
        </w:rPr>
      </w:pPr>
      <w:r>
        <w:rPr>
          <w:rFonts w:cs="Times New Roman"/>
          <w:b/>
          <w:bCs/>
          <w:i/>
          <w:iCs/>
          <w:szCs w:val="28"/>
        </w:rPr>
        <w:t>The remaining issues</w:t>
      </w:r>
    </w:p>
    <w:p w:rsidR="003D6CA0" w:rsidRDefault="00790AA9" w:rsidP="003D6CA0">
      <w:pPr>
        <w:rPr>
          <w:rFonts w:cs="Times New Roman"/>
          <w:szCs w:val="28"/>
        </w:rPr>
      </w:pPr>
      <w:r>
        <w:rPr>
          <w:rFonts w:cs="Times New Roman"/>
          <w:szCs w:val="28"/>
        </w:rPr>
        <w:t>[181</w:t>
      </w:r>
      <w:r w:rsidR="004E7D3E">
        <w:rPr>
          <w:rFonts w:cs="Times New Roman"/>
          <w:szCs w:val="28"/>
        </w:rPr>
        <w:t>]</w:t>
      </w:r>
      <w:r w:rsidR="004E7D3E">
        <w:rPr>
          <w:rFonts w:cs="Times New Roman"/>
          <w:szCs w:val="28"/>
        </w:rPr>
        <w:tab/>
      </w:r>
      <w:r w:rsidR="003F4036">
        <w:rPr>
          <w:rFonts w:cs="Times New Roman"/>
          <w:szCs w:val="28"/>
        </w:rPr>
        <w:t xml:space="preserve">In </w:t>
      </w:r>
      <w:r w:rsidR="003D6CA0">
        <w:rPr>
          <w:rFonts w:cs="Times New Roman"/>
          <w:szCs w:val="28"/>
        </w:rPr>
        <w:t>summary, the remaining issues for determination are: caregiving requirements, occupational therapy, physiotherapy, home alteration costs, a transporter buggy and case management.</w:t>
      </w:r>
    </w:p>
    <w:p w:rsidR="003D6CA0" w:rsidRDefault="003D6CA0" w:rsidP="003D6CA0">
      <w:pPr>
        <w:rPr>
          <w:rFonts w:cs="Times New Roman"/>
          <w:szCs w:val="28"/>
        </w:rPr>
      </w:pPr>
    </w:p>
    <w:p w:rsidR="003D6CA0" w:rsidRDefault="00790AA9" w:rsidP="003D6CA0">
      <w:pPr>
        <w:rPr>
          <w:rFonts w:cs="Times New Roman"/>
          <w:szCs w:val="28"/>
        </w:rPr>
      </w:pPr>
      <w:r>
        <w:rPr>
          <w:rFonts w:cs="Times New Roman"/>
          <w:szCs w:val="28"/>
        </w:rPr>
        <w:t>[182</w:t>
      </w:r>
      <w:r w:rsidR="004E7D3E">
        <w:rPr>
          <w:rFonts w:cs="Times New Roman"/>
          <w:szCs w:val="28"/>
        </w:rPr>
        <w:t>]</w:t>
      </w:r>
      <w:r w:rsidR="004E7D3E">
        <w:rPr>
          <w:rFonts w:cs="Times New Roman"/>
          <w:szCs w:val="28"/>
        </w:rPr>
        <w:tab/>
      </w:r>
      <w:r w:rsidR="003F4036">
        <w:rPr>
          <w:rFonts w:cs="Times New Roman"/>
          <w:szCs w:val="28"/>
        </w:rPr>
        <w:t xml:space="preserve">As </w:t>
      </w:r>
      <w:r w:rsidR="003D6CA0">
        <w:rPr>
          <w:rFonts w:cs="Times New Roman"/>
          <w:szCs w:val="28"/>
        </w:rPr>
        <w:t>regards the question of the transporter buggy, it seems to me that no real challenge has been put forth in this respect. In my view, a case has been made out for the provision thereof.</w:t>
      </w:r>
    </w:p>
    <w:p w:rsidR="003D6CA0" w:rsidRDefault="003D6CA0" w:rsidP="003D6CA0">
      <w:pPr>
        <w:rPr>
          <w:rFonts w:cs="Times New Roman"/>
          <w:szCs w:val="28"/>
        </w:rPr>
      </w:pPr>
    </w:p>
    <w:p w:rsidR="003D6CA0" w:rsidRDefault="00790AA9" w:rsidP="003D6CA0">
      <w:pPr>
        <w:rPr>
          <w:rFonts w:cs="Times New Roman"/>
          <w:szCs w:val="28"/>
        </w:rPr>
      </w:pPr>
      <w:r>
        <w:rPr>
          <w:rFonts w:cs="Times New Roman"/>
          <w:szCs w:val="28"/>
        </w:rPr>
        <w:lastRenderedPageBreak/>
        <w:t>[183</w:t>
      </w:r>
      <w:r w:rsidR="004E7D3E">
        <w:rPr>
          <w:rFonts w:cs="Times New Roman"/>
          <w:szCs w:val="28"/>
        </w:rPr>
        <w:t>]</w:t>
      </w:r>
      <w:r w:rsidR="004E7D3E">
        <w:rPr>
          <w:rFonts w:cs="Times New Roman"/>
          <w:szCs w:val="28"/>
        </w:rPr>
        <w:tab/>
      </w:r>
      <w:r w:rsidR="003D6CA0">
        <w:rPr>
          <w:rFonts w:cs="Times New Roman"/>
          <w:szCs w:val="28"/>
        </w:rPr>
        <w:t>Additionally, the question of the cost of protection and administration of the award will also fall away because the constitutional remedies are to be preferred. This being so, the relatively small lump sum award will not justify this.</w:t>
      </w:r>
    </w:p>
    <w:p w:rsidR="003D6CA0" w:rsidRDefault="003D6CA0" w:rsidP="003D6CA0">
      <w:pPr>
        <w:rPr>
          <w:rFonts w:cs="Times New Roman"/>
          <w:szCs w:val="28"/>
        </w:rPr>
      </w:pPr>
    </w:p>
    <w:p w:rsidR="003D6CA0" w:rsidRDefault="003D6CA0" w:rsidP="003D6CA0">
      <w:pPr>
        <w:rPr>
          <w:rFonts w:cs="Times New Roman"/>
          <w:b/>
          <w:bCs/>
          <w:i/>
          <w:iCs/>
          <w:szCs w:val="28"/>
        </w:rPr>
      </w:pPr>
      <w:r>
        <w:rPr>
          <w:rFonts w:cs="Times New Roman"/>
          <w:b/>
          <w:bCs/>
          <w:i/>
          <w:iCs/>
          <w:szCs w:val="28"/>
        </w:rPr>
        <w:t>Caregivers</w:t>
      </w:r>
    </w:p>
    <w:p w:rsidR="003D6CA0" w:rsidRDefault="00790AA9" w:rsidP="003D6CA0">
      <w:pPr>
        <w:rPr>
          <w:rFonts w:cs="Times New Roman"/>
          <w:bCs/>
          <w:iCs/>
          <w:szCs w:val="28"/>
        </w:rPr>
      </w:pPr>
      <w:r>
        <w:rPr>
          <w:rFonts w:cs="Times New Roman"/>
          <w:bCs/>
          <w:iCs/>
          <w:szCs w:val="28"/>
        </w:rPr>
        <w:t>[184</w:t>
      </w:r>
      <w:r w:rsidR="004E7D3E">
        <w:rPr>
          <w:rFonts w:cs="Times New Roman"/>
          <w:bCs/>
          <w:iCs/>
          <w:szCs w:val="28"/>
        </w:rPr>
        <w:t>]</w:t>
      </w:r>
      <w:r w:rsidR="004E7D3E">
        <w:rPr>
          <w:rFonts w:cs="Times New Roman"/>
          <w:bCs/>
          <w:iCs/>
          <w:szCs w:val="28"/>
        </w:rPr>
        <w:tab/>
      </w:r>
      <w:r w:rsidR="003D6CA0">
        <w:rPr>
          <w:rFonts w:cs="Times New Roman"/>
          <w:bCs/>
          <w:iCs/>
          <w:szCs w:val="28"/>
        </w:rPr>
        <w:t>The parties are poles apart in this regard. The plaintiff claims that five caregivers are required for the care of BN whereas the defendant maintains that one is sufficient, together with a relief caregiver whilst the primary caregiver is on annual leave.</w:t>
      </w:r>
    </w:p>
    <w:p w:rsidR="003D6CA0" w:rsidRDefault="003D6CA0" w:rsidP="003D6CA0">
      <w:pPr>
        <w:rPr>
          <w:rFonts w:cs="Times New Roman"/>
          <w:bCs/>
          <w:iCs/>
          <w:szCs w:val="28"/>
        </w:rPr>
      </w:pPr>
    </w:p>
    <w:p w:rsidR="003D6CA0" w:rsidRDefault="00790AA9" w:rsidP="003D6CA0">
      <w:pPr>
        <w:rPr>
          <w:rFonts w:cs="Times New Roman"/>
          <w:bCs/>
          <w:iCs/>
          <w:szCs w:val="28"/>
        </w:rPr>
      </w:pPr>
      <w:r>
        <w:rPr>
          <w:rFonts w:cs="Times New Roman"/>
          <w:bCs/>
          <w:iCs/>
          <w:szCs w:val="28"/>
        </w:rPr>
        <w:t>[185</w:t>
      </w:r>
      <w:r w:rsidR="004E7D3E">
        <w:rPr>
          <w:rFonts w:cs="Times New Roman"/>
          <w:bCs/>
          <w:iCs/>
          <w:szCs w:val="28"/>
        </w:rPr>
        <w:t>]</w:t>
      </w:r>
      <w:r w:rsidR="004E7D3E">
        <w:rPr>
          <w:rFonts w:cs="Times New Roman"/>
          <w:bCs/>
          <w:iCs/>
          <w:szCs w:val="28"/>
        </w:rPr>
        <w:tab/>
      </w:r>
      <w:r w:rsidR="003D6CA0">
        <w:rPr>
          <w:rFonts w:cs="Times New Roman"/>
          <w:bCs/>
          <w:iCs/>
          <w:szCs w:val="28"/>
        </w:rPr>
        <w:t>Extensive evidence was led, and arguments made, in this regard. The defendant’s prime submission motivating her claim that only one caregiver is needed is the contention that the plaintiff, having been BN’s primary caregiver for his life thus far, should continue to play an important if not a primary role in his caregiving which would reduce the necessity for more than one caregiver.</w:t>
      </w:r>
    </w:p>
    <w:p w:rsidR="003D6CA0" w:rsidRDefault="003D6CA0" w:rsidP="003D6CA0">
      <w:pPr>
        <w:rPr>
          <w:rFonts w:cs="Times New Roman"/>
          <w:bCs/>
          <w:iCs/>
          <w:szCs w:val="28"/>
        </w:rPr>
      </w:pPr>
    </w:p>
    <w:p w:rsidR="003D6CA0" w:rsidRDefault="00790AA9" w:rsidP="003D6CA0">
      <w:pPr>
        <w:rPr>
          <w:rFonts w:cs="Times New Roman"/>
          <w:bCs/>
          <w:szCs w:val="28"/>
        </w:rPr>
      </w:pPr>
      <w:r>
        <w:rPr>
          <w:rFonts w:cs="Times New Roman"/>
          <w:bCs/>
          <w:iCs/>
          <w:szCs w:val="28"/>
        </w:rPr>
        <w:t>[186</w:t>
      </w:r>
      <w:r w:rsidR="004E7D3E">
        <w:rPr>
          <w:rFonts w:cs="Times New Roman"/>
          <w:bCs/>
          <w:iCs/>
          <w:szCs w:val="28"/>
        </w:rPr>
        <w:t>]</w:t>
      </w:r>
      <w:r w:rsidR="004E7D3E">
        <w:rPr>
          <w:rFonts w:cs="Times New Roman"/>
          <w:bCs/>
          <w:iCs/>
          <w:szCs w:val="28"/>
        </w:rPr>
        <w:tab/>
      </w:r>
      <w:r w:rsidR="003D6CA0">
        <w:rPr>
          <w:rFonts w:cs="Times New Roman"/>
          <w:bCs/>
          <w:iCs/>
          <w:szCs w:val="28"/>
        </w:rPr>
        <w:t xml:space="preserve">In developing the argument, the defendant relied on the case of </w:t>
      </w:r>
      <w:r w:rsidR="003D6CA0">
        <w:rPr>
          <w:rFonts w:cs="Times New Roman"/>
          <w:bCs/>
          <w:i/>
          <w:szCs w:val="28"/>
        </w:rPr>
        <w:t xml:space="preserve">De </w:t>
      </w:r>
      <w:proofErr w:type="spellStart"/>
      <w:r w:rsidR="003D6CA0">
        <w:rPr>
          <w:rFonts w:cs="Times New Roman"/>
          <w:bCs/>
          <w:i/>
          <w:szCs w:val="28"/>
        </w:rPr>
        <w:t>Jongh</w:t>
      </w:r>
      <w:proofErr w:type="spellEnd"/>
      <w:r w:rsidR="003D6CA0">
        <w:rPr>
          <w:rFonts w:cs="Times New Roman"/>
          <w:bCs/>
          <w:i/>
          <w:szCs w:val="28"/>
        </w:rPr>
        <w:t>.</w:t>
      </w:r>
      <w:r w:rsidR="003D6CA0" w:rsidRPr="00D04E02">
        <w:rPr>
          <w:rStyle w:val="FootnoteReference"/>
          <w:rFonts w:cs="Times New Roman"/>
          <w:bCs/>
          <w:szCs w:val="28"/>
        </w:rPr>
        <w:footnoteReference w:id="71"/>
      </w:r>
      <w:r w:rsidR="003D6CA0" w:rsidRPr="00D04E02">
        <w:rPr>
          <w:rFonts w:cs="Times New Roman"/>
          <w:bCs/>
          <w:szCs w:val="28"/>
        </w:rPr>
        <w:t xml:space="preserve"> </w:t>
      </w:r>
      <w:r w:rsidR="003D6CA0">
        <w:rPr>
          <w:rFonts w:cs="Times New Roman"/>
          <w:bCs/>
          <w:szCs w:val="28"/>
        </w:rPr>
        <w:t xml:space="preserve">It is so that De </w:t>
      </w:r>
      <w:proofErr w:type="spellStart"/>
      <w:r w:rsidR="003D6CA0">
        <w:rPr>
          <w:rFonts w:cs="Times New Roman"/>
          <w:bCs/>
          <w:szCs w:val="28"/>
        </w:rPr>
        <w:t>Jongh’s</w:t>
      </w:r>
      <w:proofErr w:type="spellEnd"/>
      <w:r w:rsidR="003D6CA0">
        <w:rPr>
          <w:rFonts w:cs="Times New Roman"/>
          <w:bCs/>
          <w:szCs w:val="28"/>
        </w:rPr>
        <w:t xml:space="preserve"> case does to a degree support the argument made on behalf of the defendant in this regard but, in my view, that case is distinguishable. As mentioned earlier in this judgment, the plaintiff has already suffered extensively from a psychological point of view as a consequence of BN’s incapacity. Indeed, she is receiving therapy to assist her. Whilst I accept that it is of vital importance for her to remain in the loop as it were in pursuing the normal functions required of a parent, I do not believe that in the circumstances she should be visited with the formal, additional, responsibilities of a caregiver.</w:t>
      </w:r>
    </w:p>
    <w:p w:rsidR="003D6CA0" w:rsidRDefault="003D6CA0" w:rsidP="003D6CA0">
      <w:pPr>
        <w:rPr>
          <w:rFonts w:cs="Times New Roman"/>
          <w:bCs/>
          <w:iCs/>
          <w:szCs w:val="28"/>
        </w:rPr>
      </w:pPr>
    </w:p>
    <w:p w:rsidR="003D6CA0" w:rsidRDefault="00790AA9" w:rsidP="003D6CA0">
      <w:pPr>
        <w:rPr>
          <w:rFonts w:cs="Times New Roman"/>
          <w:bCs/>
          <w:iCs/>
          <w:szCs w:val="28"/>
        </w:rPr>
      </w:pPr>
      <w:r>
        <w:rPr>
          <w:rFonts w:cs="Times New Roman"/>
          <w:bCs/>
          <w:iCs/>
          <w:szCs w:val="28"/>
        </w:rPr>
        <w:t>[187</w:t>
      </w:r>
      <w:r w:rsidR="004E7D3E">
        <w:rPr>
          <w:rFonts w:cs="Times New Roman"/>
          <w:bCs/>
          <w:iCs/>
          <w:szCs w:val="28"/>
        </w:rPr>
        <w:t>]</w:t>
      </w:r>
      <w:r w:rsidR="004E7D3E">
        <w:rPr>
          <w:rFonts w:cs="Times New Roman"/>
          <w:bCs/>
          <w:iCs/>
          <w:szCs w:val="28"/>
        </w:rPr>
        <w:tab/>
      </w:r>
      <w:r w:rsidR="003D6CA0">
        <w:rPr>
          <w:rFonts w:cs="Times New Roman"/>
          <w:bCs/>
          <w:iCs/>
          <w:szCs w:val="28"/>
        </w:rPr>
        <w:t>Having come to this conclusion, and accepting that one caregiver in the circumstances would be insufficient, the question remains as to the number of c</w:t>
      </w:r>
      <w:r w:rsidR="00942AF6">
        <w:rPr>
          <w:rFonts w:cs="Times New Roman"/>
          <w:bCs/>
          <w:iCs/>
          <w:szCs w:val="28"/>
        </w:rPr>
        <w:t xml:space="preserve">aregivers required to assist </w:t>
      </w:r>
      <w:r w:rsidR="003D6CA0">
        <w:rPr>
          <w:rFonts w:cs="Times New Roman"/>
          <w:bCs/>
          <w:iCs/>
          <w:szCs w:val="28"/>
        </w:rPr>
        <w:t xml:space="preserve">BN. It is common cause that BN is totally dependent on a caregiver to help him with the activities of daily living such as dressing, undressing, eating, drinking, going to the </w:t>
      </w:r>
      <w:r w:rsidR="00DD5171">
        <w:rPr>
          <w:rFonts w:cs="Times New Roman"/>
          <w:bCs/>
          <w:iCs/>
          <w:szCs w:val="28"/>
        </w:rPr>
        <w:t>toilet,</w:t>
      </w:r>
      <w:r w:rsidR="003D6CA0">
        <w:rPr>
          <w:rFonts w:cs="Times New Roman"/>
          <w:bCs/>
          <w:iCs/>
          <w:szCs w:val="28"/>
        </w:rPr>
        <w:t xml:space="preserve"> and turning him at night when he sleeps. It is also so that the parties have agreed that he should attend a day care</w:t>
      </w:r>
      <w:r w:rsidR="00942AF6">
        <w:rPr>
          <w:rFonts w:cs="Times New Roman"/>
          <w:bCs/>
          <w:iCs/>
          <w:szCs w:val="28"/>
        </w:rPr>
        <w:t xml:space="preserve"> centre</w:t>
      </w:r>
      <w:r w:rsidR="003D6CA0">
        <w:rPr>
          <w:rStyle w:val="FootnoteReference"/>
          <w:rFonts w:cs="Times New Roman"/>
          <w:bCs/>
          <w:iCs/>
          <w:szCs w:val="28"/>
        </w:rPr>
        <w:footnoteReference w:id="72"/>
      </w:r>
      <w:r w:rsidR="00942AF6">
        <w:rPr>
          <w:rFonts w:cs="Times New Roman"/>
          <w:bCs/>
          <w:iCs/>
          <w:szCs w:val="28"/>
        </w:rPr>
        <w:t xml:space="preserve"> </w:t>
      </w:r>
      <w:r w:rsidR="00AE5DA2">
        <w:rPr>
          <w:rFonts w:cs="Times New Roman"/>
          <w:bCs/>
          <w:iCs/>
          <w:szCs w:val="28"/>
        </w:rPr>
        <w:t>every day</w:t>
      </w:r>
      <w:r w:rsidR="003D6CA0">
        <w:rPr>
          <w:rFonts w:cs="Times New Roman"/>
          <w:bCs/>
          <w:iCs/>
          <w:szCs w:val="28"/>
        </w:rPr>
        <w:t xml:space="preserve">. The plaintiff contends that even when he is at the day-care </w:t>
      </w:r>
      <w:r w:rsidR="00DD5171">
        <w:rPr>
          <w:rFonts w:cs="Times New Roman"/>
          <w:bCs/>
          <w:iCs/>
          <w:szCs w:val="28"/>
        </w:rPr>
        <w:t>centre,</w:t>
      </w:r>
      <w:r w:rsidR="003D6CA0">
        <w:rPr>
          <w:rFonts w:cs="Times New Roman"/>
          <w:bCs/>
          <w:iCs/>
          <w:szCs w:val="28"/>
        </w:rPr>
        <w:t xml:space="preserve"> he should have a caregiver available in addition to the caregivers employed by the centre. I do not agree. In my view, the evidence establishes that he is properly cared for whilst at the centre (which he has been attending for some time) and that an additional caregiver in this regard is not required.</w:t>
      </w:r>
      <w:r w:rsidR="003D6CA0">
        <w:rPr>
          <w:rStyle w:val="FootnoteReference"/>
          <w:rFonts w:cs="Times New Roman"/>
          <w:bCs/>
          <w:iCs/>
          <w:szCs w:val="28"/>
        </w:rPr>
        <w:footnoteReference w:id="73"/>
      </w:r>
    </w:p>
    <w:p w:rsidR="003D6CA0" w:rsidRDefault="00790AA9" w:rsidP="003D6CA0">
      <w:pPr>
        <w:rPr>
          <w:rFonts w:cs="Times New Roman"/>
          <w:bCs/>
          <w:iCs/>
          <w:szCs w:val="28"/>
        </w:rPr>
      </w:pPr>
      <w:r>
        <w:rPr>
          <w:rFonts w:cs="Times New Roman"/>
          <w:bCs/>
          <w:iCs/>
          <w:szCs w:val="28"/>
        </w:rPr>
        <w:t>[188</w:t>
      </w:r>
      <w:r w:rsidR="00282159">
        <w:rPr>
          <w:rFonts w:cs="Times New Roman"/>
          <w:bCs/>
          <w:iCs/>
          <w:szCs w:val="28"/>
        </w:rPr>
        <w:t>]</w:t>
      </w:r>
      <w:r w:rsidR="00282159">
        <w:rPr>
          <w:rFonts w:cs="Times New Roman"/>
          <w:bCs/>
          <w:iCs/>
          <w:szCs w:val="28"/>
        </w:rPr>
        <w:tab/>
      </w:r>
      <w:r w:rsidR="003D6CA0">
        <w:rPr>
          <w:rFonts w:cs="Times New Roman"/>
          <w:bCs/>
          <w:iCs/>
          <w:szCs w:val="28"/>
        </w:rPr>
        <w:t xml:space="preserve">In considering the number of caregivers required, it is also important to note that </w:t>
      </w:r>
      <w:r w:rsidR="003D6CA0">
        <w:rPr>
          <w:rFonts w:cs="Times New Roman"/>
          <w:szCs w:val="28"/>
        </w:rPr>
        <w:t>the court is bound to ensure that its decision is fair not only to the plaintiff, but also to the defendant. It is further of importance to ensure that the employment of such caregivers will result in compliance with the Basic Conditions of Employment Act.</w:t>
      </w:r>
      <w:r w:rsidR="003D6CA0">
        <w:rPr>
          <w:rStyle w:val="FootnoteReference"/>
          <w:rFonts w:cs="Times New Roman"/>
          <w:szCs w:val="28"/>
        </w:rPr>
        <w:footnoteReference w:id="74"/>
      </w:r>
    </w:p>
    <w:p w:rsidR="003D6CA0" w:rsidRDefault="003D6CA0" w:rsidP="003D6CA0">
      <w:pPr>
        <w:rPr>
          <w:rFonts w:cs="Times New Roman"/>
          <w:szCs w:val="28"/>
        </w:rPr>
      </w:pPr>
    </w:p>
    <w:p w:rsidR="003D6CA0" w:rsidRDefault="00790AA9" w:rsidP="003D6CA0">
      <w:pPr>
        <w:rPr>
          <w:rFonts w:cs="Times New Roman"/>
          <w:szCs w:val="28"/>
        </w:rPr>
      </w:pPr>
      <w:r>
        <w:rPr>
          <w:rFonts w:cs="Times New Roman"/>
          <w:szCs w:val="28"/>
        </w:rPr>
        <w:t>[189</w:t>
      </w:r>
      <w:r w:rsidR="00282159">
        <w:rPr>
          <w:rFonts w:cs="Times New Roman"/>
          <w:szCs w:val="28"/>
        </w:rPr>
        <w:t>]</w:t>
      </w:r>
      <w:r w:rsidR="00282159">
        <w:rPr>
          <w:rFonts w:cs="Times New Roman"/>
          <w:szCs w:val="28"/>
        </w:rPr>
        <w:tab/>
      </w:r>
      <w:r w:rsidR="003D6CA0">
        <w:rPr>
          <w:rFonts w:cs="Times New Roman"/>
          <w:szCs w:val="28"/>
        </w:rPr>
        <w:t xml:space="preserve">In her initial report, Ms </w:t>
      </w:r>
      <w:proofErr w:type="spellStart"/>
      <w:r w:rsidR="003D6CA0">
        <w:rPr>
          <w:rFonts w:cs="Times New Roman"/>
          <w:szCs w:val="28"/>
        </w:rPr>
        <w:t>Caga</w:t>
      </w:r>
      <w:proofErr w:type="spellEnd"/>
      <w:r w:rsidR="003D6CA0">
        <w:rPr>
          <w:rFonts w:cs="Times New Roman"/>
          <w:szCs w:val="28"/>
        </w:rPr>
        <w:t xml:space="preserve"> recommended the employment of two full-time caregivers in addition to BN’s attendance at the day care centre. She also submitted that a full-time domestic worker was required whil</w:t>
      </w:r>
      <w:r w:rsidR="00AE5DA2">
        <w:rPr>
          <w:rFonts w:cs="Times New Roman"/>
          <w:szCs w:val="28"/>
        </w:rPr>
        <w:t>e</w:t>
      </w:r>
      <w:r w:rsidR="003D6CA0">
        <w:rPr>
          <w:rFonts w:cs="Times New Roman"/>
          <w:szCs w:val="28"/>
        </w:rPr>
        <w:t xml:space="preserve"> he was under 18 years of age. In subsequent reports she changed her mind and recommended a minimum of three caregivers currently, which should be increased to five when </w:t>
      </w:r>
      <w:r w:rsidR="003D6CA0">
        <w:rPr>
          <w:rFonts w:cs="Times New Roman"/>
          <w:szCs w:val="28"/>
        </w:rPr>
        <w:lastRenderedPageBreak/>
        <w:t>BN reaches the age of 19. In argument before me, five caregivers were contended for.</w:t>
      </w:r>
    </w:p>
    <w:p w:rsidR="003D6CA0" w:rsidRDefault="003D6CA0" w:rsidP="003D6CA0">
      <w:pPr>
        <w:rPr>
          <w:rFonts w:cs="Times New Roman"/>
          <w:szCs w:val="28"/>
        </w:rPr>
      </w:pPr>
    </w:p>
    <w:p w:rsidR="00EF583C" w:rsidRDefault="00EF583C" w:rsidP="00EF583C">
      <w:pPr>
        <w:rPr>
          <w:rFonts w:cs="Times New Roman"/>
          <w:szCs w:val="28"/>
        </w:rPr>
      </w:pPr>
      <w:r>
        <w:rPr>
          <w:rFonts w:cs="Times New Roman"/>
          <w:szCs w:val="28"/>
        </w:rPr>
        <w:t xml:space="preserve"> [190]</w:t>
      </w:r>
      <w:r>
        <w:rPr>
          <w:rFonts w:cs="Times New Roman"/>
          <w:szCs w:val="28"/>
        </w:rPr>
        <w:tab/>
        <w:t>I have considered all the evidence and arguments in this regard. In my view, two caregivers will be sufficient taking into account the full-time care on weekdays during the day at the care centre, and the fact that an alternate caregiver will be made available when the full-time caregivers are on annual leave. In this regard, as is self-evident, the full-time caregivers should not be given annual leave at the same time. Once he turns 18, a mechanism will be provided for in the order for agreement as to caregivers from that age onwards.</w:t>
      </w:r>
    </w:p>
    <w:p w:rsidR="00EF583C" w:rsidRDefault="00EF583C" w:rsidP="00EF583C">
      <w:pPr>
        <w:rPr>
          <w:rFonts w:cs="Times New Roman"/>
          <w:b/>
          <w:bCs/>
          <w:i/>
          <w:iCs/>
          <w:szCs w:val="28"/>
        </w:rPr>
      </w:pPr>
    </w:p>
    <w:p w:rsidR="00EF583C" w:rsidRDefault="00EF583C" w:rsidP="00EF583C">
      <w:pPr>
        <w:rPr>
          <w:rFonts w:cs="Times New Roman"/>
          <w:b/>
          <w:bCs/>
          <w:i/>
          <w:iCs/>
          <w:szCs w:val="28"/>
        </w:rPr>
      </w:pPr>
      <w:r>
        <w:rPr>
          <w:rFonts w:cs="Times New Roman"/>
          <w:b/>
          <w:bCs/>
          <w:i/>
          <w:iCs/>
          <w:szCs w:val="28"/>
        </w:rPr>
        <w:t>Physiotherapy and occupational therapy</w:t>
      </w:r>
    </w:p>
    <w:p w:rsidR="00EF583C" w:rsidRDefault="009A4241" w:rsidP="00EF583C">
      <w:pPr>
        <w:rPr>
          <w:rFonts w:cs="Times New Roman"/>
          <w:szCs w:val="28"/>
        </w:rPr>
      </w:pPr>
      <w:r>
        <w:rPr>
          <w:rFonts w:cs="Times New Roman"/>
          <w:bCs/>
          <w:iCs/>
          <w:szCs w:val="28"/>
        </w:rPr>
        <w:t>[191]</w:t>
      </w:r>
      <w:r>
        <w:rPr>
          <w:rFonts w:cs="Times New Roman"/>
          <w:bCs/>
          <w:iCs/>
          <w:szCs w:val="28"/>
        </w:rPr>
        <w:tab/>
      </w:r>
      <w:r w:rsidR="00EF583C">
        <w:rPr>
          <w:rFonts w:cs="Times New Roman"/>
          <w:szCs w:val="28"/>
        </w:rPr>
        <w:t xml:space="preserve">This has been another hotly contested issue. However, I do not intend to enter that debate as I believe that there is a better way forward. As is clear from this judgment, the constitutional defences will be introduced. The focus in terms of these remedies is away from the determination in advance of the actual requirements vis-à-vis medical services. Without in any way impugning the highly competent expert witnesses who testified before me on behalf of the plaintiff in this regard, I am satisfied that </w:t>
      </w:r>
      <w:r w:rsidR="00AE5DA2">
        <w:rPr>
          <w:rFonts w:cs="Times New Roman"/>
          <w:szCs w:val="28"/>
        </w:rPr>
        <w:t>Dr</w:t>
      </w:r>
      <w:r w:rsidR="00EF583C">
        <w:rPr>
          <w:rFonts w:cs="Times New Roman"/>
          <w:szCs w:val="28"/>
        </w:rPr>
        <w:t xml:space="preserve"> </w:t>
      </w:r>
      <w:proofErr w:type="spellStart"/>
      <w:r w:rsidR="00EF583C">
        <w:rPr>
          <w:rFonts w:cs="Times New Roman"/>
          <w:szCs w:val="28"/>
        </w:rPr>
        <w:t>Saloojee</w:t>
      </w:r>
      <w:proofErr w:type="spellEnd"/>
      <w:r w:rsidR="00EF583C">
        <w:rPr>
          <w:rFonts w:cs="Times New Roman"/>
          <w:szCs w:val="28"/>
        </w:rPr>
        <w:t xml:space="preserve"> has suggested a regime based on her many years of experience which will, in all probability, suit BN’s unique situation. However, the order which I intend to grant will allow for an increase (and indeed if necessary, a decrease) in the extent of the therapy to be provided. Paragraphs 13, 14 and 15 of the order will provide for a mechanism in terms of which, were it to be necessary in the future, this regime can be altered by agreement or, if absolutely necessary, by the court including a clause to the effect that the defendant is to pay the costs thereof. It is thus, lest there be any doubt, the intention of this judgment and </w:t>
      </w:r>
      <w:r w:rsidR="00CF0B9A">
        <w:rPr>
          <w:rFonts w:cs="Times New Roman"/>
          <w:szCs w:val="28"/>
        </w:rPr>
        <w:t xml:space="preserve">its concomitant order, </w:t>
      </w:r>
      <w:r w:rsidR="00EF583C">
        <w:rPr>
          <w:rFonts w:cs="Times New Roman"/>
          <w:szCs w:val="28"/>
        </w:rPr>
        <w:t xml:space="preserve">that the regime </w:t>
      </w:r>
      <w:r w:rsidR="00EF583C">
        <w:rPr>
          <w:rFonts w:cs="Times New Roman"/>
          <w:szCs w:val="28"/>
        </w:rPr>
        <w:lastRenderedPageBreak/>
        <w:t>which I intend to order regarding physiotherapy and occupational therapy will be subject to potenti</w:t>
      </w:r>
      <w:r w:rsidR="007E365C">
        <w:rPr>
          <w:rFonts w:cs="Times New Roman"/>
          <w:szCs w:val="28"/>
        </w:rPr>
        <w:t xml:space="preserve">al variation in terms of the </w:t>
      </w:r>
      <w:r w:rsidR="00EF583C">
        <w:rPr>
          <w:rFonts w:cs="Times New Roman"/>
          <w:szCs w:val="28"/>
        </w:rPr>
        <w:t>clauses of the order to which I have referred.</w:t>
      </w:r>
    </w:p>
    <w:p w:rsidR="00EF583C" w:rsidRDefault="00EF583C" w:rsidP="00EF583C">
      <w:pPr>
        <w:rPr>
          <w:rFonts w:cs="Times New Roman"/>
          <w:szCs w:val="28"/>
        </w:rPr>
      </w:pPr>
    </w:p>
    <w:p w:rsidR="00EF583C" w:rsidRDefault="00EF583C" w:rsidP="00EF583C">
      <w:pPr>
        <w:rPr>
          <w:rFonts w:cs="Times New Roman"/>
          <w:b/>
          <w:bCs/>
          <w:i/>
          <w:iCs/>
          <w:szCs w:val="28"/>
        </w:rPr>
      </w:pPr>
      <w:r>
        <w:rPr>
          <w:rFonts w:cs="Times New Roman"/>
          <w:b/>
          <w:bCs/>
          <w:i/>
          <w:iCs/>
          <w:szCs w:val="28"/>
        </w:rPr>
        <w:t>Alterations to house</w:t>
      </w:r>
    </w:p>
    <w:p w:rsidR="00EF583C" w:rsidRDefault="009A4241" w:rsidP="00EF583C">
      <w:pPr>
        <w:rPr>
          <w:rFonts w:cs="Times New Roman"/>
          <w:szCs w:val="28"/>
        </w:rPr>
      </w:pPr>
      <w:r>
        <w:rPr>
          <w:rFonts w:cs="Times New Roman"/>
          <w:szCs w:val="28"/>
        </w:rPr>
        <w:t>[192]</w:t>
      </w:r>
      <w:r>
        <w:rPr>
          <w:rFonts w:cs="Times New Roman"/>
          <w:szCs w:val="28"/>
        </w:rPr>
        <w:tab/>
      </w:r>
      <w:r w:rsidR="00EF583C">
        <w:rPr>
          <w:rFonts w:cs="Times New Roman"/>
          <w:szCs w:val="28"/>
        </w:rPr>
        <w:t xml:space="preserve">Both parties led the evidence of architects in this regard, it being common cause that there is </w:t>
      </w:r>
      <w:r w:rsidR="00F651D5">
        <w:rPr>
          <w:rFonts w:cs="Times New Roman"/>
          <w:szCs w:val="28"/>
        </w:rPr>
        <w:t xml:space="preserve">a necessity </w:t>
      </w:r>
      <w:r w:rsidR="00EF583C">
        <w:rPr>
          <w:rFonts w:cs="Times New Roman"/>
          <w:szCs w:val="28"/>
        </w:rPr>
        <w:t>for alterations to be made to any residence</w:t>
      </w:r>
      <w:r w:rsidR="00406EF5">
        <w:rPr>
          <w:rFonts w:cs="Times New Roman"/>
          <w:szCs w:val="28"/>
        </w:rPr>
        <w:t xml:space="preserve"> that BN may in future live in</w:t>
      </w:r>
      <w:r w:rsidR="00CF0B9A">
        <w:rPr>
          <w:rFonts w:cs="Times New Roman"/>
          <w:szCs w:val="28"/>
        </w:rPr>
        <w:t xml:space="preserve">, </w:t>
      </w:r>
      <w:r w:rsidR="00EF583C">
        <w:rPr>
          <w:rFonts w:cs="Times New Roman"/>
          <w:szCs w:val="28"/>
        </w:rPr>
        <w:t>to accommodate his disability. On the one hand, the plaintiff’s expert maintained that it was necessary for a completely new house to be built elsewhere with many bedrooms and allied accommodation for an extended family. On the other, the defendant’s architect took a conservative approach indicating that it would be possible to renovate a house in which the plaintiff and BN used to live with her parents. This would cost in the region of R795,242.00.</w:t>
      </w:r>
    </w:p>
    <w:p w:rsidR="00EF583C" w:rsidRDefault="009A4241" w:rsidP="00EF583C">
      <w:pPr>
        <w:rPr>
          <w:rFonts w:cs="Times New Roman"/>
          <w:szCs w:val="28"/>
        </w:rPr>
      </w:pPr>
      <w:r>
        <w:rPr>
          <w:rFonts w:cs="Times New Roman"/>
          <w:szCs w:val="28"/>
        </w:rPr>
        <w:t>[193]</w:t>
      </w:r>
      <w:r>
        <w:rPr>
          <w:rFonts w:cs="Times New Roman"/>
          <w:szCs w:val="28"/>
        </w:rPr>
        <w:tab/>
      </w:r>
      <w:r w:rsidR="00EF583C">
        <w:rPr>
          <w:rFonts w:cs="Times New Roman"/>
          <w:szCs w:val="28"/>
        </w:rPr>
        <w:t xml:space="preserve">I am not satisfied that the plaintiffs architects’ contentions in this regard are </w:t>
      </w:r>
      <w:r w:rsidR="0080058F">
        <w:rPr>
          <w:rFonts w:cs="Times New Roman"/>
          <w:szCs w:val="28"/>
        </w:rPr>
        <w:t>reasonable or</w:t>
      </w:r>
      <w:r w:rsidR="00EF583C">
        <w:rPr>
          <w:rFonts w:cs="Times New Roman"/>
          <w:szCs w:val="28"/>
        </w:rPr>
        <w:t xml:space="preserve"> comply with the existing common law in restoring BN’s patrimony. On the other hand, considering inflationary pressures and the fact that the plaintiff and BN are at present living in rented accommodation in East London, it seems to me that the amount tendered by the defendant in this regard is on the low side. In my view, an amount of R1,100,000.00 would serve to compensate BN in this regard.</w:t>
      </w:r>
    </w:p>
    <w:p w:rsidR="00EF583C" w:rsidRDefault="00EF583C" w:rsidP="00EF583C">
      <w:pPr>
        <w:rPr>
          <w:rFonts w:cs="Times New Roman"/>
          <w:szCs w:val="28"/>
        </w:rPr>
      </w:pPr>
    </w:p>
    <w:p w:rsidR="00EF583C" w:rsidRDefault="00EF583C" w:rsidP="00EF583C">
      <w:pPr>
        <w:rPr>
          <w:rFonts w:cs="Times New Roman"/>
          <w:b/>
          <w:bCs/>
          <w:i/>
          <w:iCs/>
          <w:szCs w:val="28"/>
        </w:rPr>
      </w:pPr>
      <w:r>
        <w:rPr>
          <w:rFonts w:cs="Times New Roman"/>
          <w:b/>
          <w:bCs/>
          <w:i/>
          <w:iCs/>
          <w:szCs w:val="28"/>
        </w:rPr>
        <w:t>Private case manager</w:t>
      </w:r>
    </w:p>
    <w:p w:rsidR="00EF583C" w:rsidRDefault="009A4241" w:rsidP="00EF583C">
      <w:pPr>
        <w:rPr>
          <w:rFonts w:cs="Times New Roman"/>
          <w:szCs w:val="28"/>
        </w:rPr>
      </w:pPr>
      <w:r>
        <w:rPr>
          <w:rFonts w:cs="Times New Roman"/>
          <w:szCs w:val="28"/>
        </w:rPr>
        <w:t>[194]</w:t>
      </w:r>
      <w:r>
        <w:rPr>
          <w:rFonts w:cs="Times New Roman"/>
          <w:szCs w:val="28"/>
        </w:rPr>
        <w:tab/>
      </w:r>
      <w:r w:rsidR="00EF583C">
        <w:rPr>
          <w:rFonts w:cs="Times New Roman"/>
          <w:szCs w:val="28"/>
        </w:rPr>
        <w:t xml:space="preserve">It is common cause, in the event of the constitutional defences being granted, that both the public case manager and a private case manager are required. There is however a residual dispute regarding the number of hours that </w:t>
      </w:r>
      <w:r w:rsidR="00EF583C">
        <w:rPr>
          <w:rFonts w:cs="Times New Roman"/>
          <w:szCs w:val="28"/>
        </w:rPr>
        <w:lastRenderedPageBreak/>
        <w:t xml:space="preserve">should be provided for the private case manager to be paid for by the defendant. However, the plaintiff’s expert in this regard, Ms </w:t>
      </w:r>
      <w:proofErr w:type="spellStart"/>
      <w:r w:rsidR="00EF583C">
        <w:rPr>
          <w:rFonts w:cs="Times New Roman"/>
          <w:szCs w:val="28"/>
        </w:rPr>
        <w:t>Caga</w:t>
      </w:r>
      <w:proofErr w:type="spellEnd"/>
      <w:r w:rsidR="00EF583C">
        <w:rPr>
          <w:rFonts w:cs="Times New Roman"/>
          <w:szCs w:val="28"/>
        </w:rPr>
        <w:t>, did not appear to challenge the assertion under cross examination that the tendered regime with regard to the private case</w:t>
      </w:r>
      <w:r w:rsidR="00964873">
        <w:rPr>
          <w:rFonts w:cs="Times New Roman"/>
          <w:szCs w:val="28"/>
        </w:rPr>
        <w:t xml:space="preserve"> manager in the event that the c</w:t>
      </w:r>
      <w:r w:rsidR="00EF583C">
        <w:rPr>
          <w:rFonts w:cs="Times New Roman"/>
          <w:szCs w:val="28"/>
        </w:rPr>
        <w:t>onstitutional defences are granted, is reasonable, especially bearing in mind that there will also be a publi</w:t>
      </w:r>
      <w:r w:rsidR="00964873">
        <w:rPr>
          <w:rFonts w:cs="Times New Roman"/>
          <w:szCs w:val="28"/>
        </w:rPr>
        <w:t xml:space="preserve">c case manager who will </w:t>
      </w:r>
      <w:r w:rsidR="00EF583C">
        <w:rPr>
          <w:rFonts w:cs="Times New Roman"/>
          <w:szCs w:val="28"/>
        </w:rPr>
        <w:t>procure the provision of services and supplies at the hospital. To my mind, this is a reasonable concession and the regime suggested by the defendant cannot be faulted.</w:t>
      </w:r>
    </w:p>
    <w:p w:rsidR="00EF583C" w:rsidRDefault="00EF583C" w:rsidP="00EF583C">
      <w:pPr>
        <w:rPr>
          <w:rFonts w:cs="Times New Roman"/>
          <w:szCs w:val="28"/>
        </w:rPr>
      </w:pPr>
    </w:p>
    <w:p w:rsidR="00EF583C" w:rsidRDefault="00EF583C" w:rsidP="00EF583C">
      <w:pPr>
        <w:rPr>
          <w:rFonts w:cs="Times New Roman"/>
          <w:b/>
          <w:bCs/>
          <w:i/>
          <w:iCs/>
          <w:szCs w:val="28"/>
        </w:rPr>
      </w:pPr>
      <w:r>
        <w:rPr>
          <w:rFonts w:cs="Times New Roman"/>
          <w:b/>
          <w:bCs/>
          <w:i/>
          <w:iCs/>
          <w:szCs w:val="28"/>
        </w:rPr>
        <w:t>Costs</w:t>
      </w:r>
    </w:p>
    <w:p w:rsidR="00EF583C" w:rsidRDefault="009A4241" w:rsidP="00EF583C">
      <w:pPr>
        <w:rPr>
          <w:rFonts w:cs="Times New Roman"/>
          <w:szCs w:val="28"/>
        </w:rPr>
      </w:pPr>
      <w:r>
        <w:rPr>
          <w:rFonts w:cs="Times New Roman"/>
          <w:szCs w:val="28"/>
        </w:rPr>
        <w:t>[195]</w:t>
      </w:r>
      <w:r>
        <w:rPr>
          <w:rFonts w:cs="Times New Roman"/>
          <w:szCs w:val="28"/>
        </w:rPr>
        <w:tab/>
      </w:r>
      <w:r w:rsidR="00EF583C">
        <w:rPr>
          <w:rFonts w:cs="Times New Roman"/>
          <w:szCs w:val="28"/>
        </w:rPr>
        <w:t>In the event of the constitutional defences being granted,</w:t>
      </w:r>
      <w:r w:rsidR="00BB76F3">
        <w:rPr>
          <w:rFonts w:cs="Times New Roman"/>
          <w:szCs w:val="28"/>
        </w:rPr>
        <w:t xml:space="preserve"> and pursuant to </w:t>
      </w:r>
      <w:proofErr w:type="spellStart"/>
      <w:r w:rsidR="00BB76F3" w:rsidRPr="00BB76F3">
        <w:rPr>
          <w:rFonts w:cs="Times New Roman"/>
          <w:i/>
          <w:iCs/>
          <w:szCs w:val="28"/>
        </w:rPr>
        <w:t>Biowatch</w:t>
      </w:r>
      <w:proofErr w:type="spellEnd"/>
      <w:r w:rsidR="00BB76F3">
        <w:rPr>
          <w:rFonts w:cs="Times New Roman"/>
          <w:szCs w:val="28"/>
        </w:rPr>
        <w:t>,</w:t>
      </w:r>
      <w:r w:rsidR="00EF583C">
        <w:rPr>
          <w:rStyle w:val="FootnoteReference"/>
          <w:rFonts w:cs="Times New Roman"/>
          <w:szCs w:val="28"/>
        </w:rPr>
        <w:footnoteReference w:id="75"/>
      </w:r>
      <w:r w:rsidR="00BB76F3">
        <w:rPr>
          <w:rFonts w:cs="Times New Roman"/>
          <w:szCs w:val="28"/>
        </w:rPr>
        <w:t xml:space="preserve"> the defendant does not seek costs.</w:t>
      </w:r>
    </w:p>
    <w:p w:rsidR="00EF583C" w:rsidRDefault="00EF583C" w:rsidP="00EF583C">
      <w:pPr>
        <w:rPr>
          <w:rFonts w:cs="Times New Roman"/>
          <w:szCs w:val="28"/>
        </w:rPr>
      </w:pPr>
    </w:p>
    <w:p w:rsidR="00EF583C" w:rsidRDefault="009A4241" w:rsidP="00EF583C">
      <w:pPr>
        <w:rPr>
          <w:rFonts w:cs="Times New Roman"/>
          <w:szCs w:val="28"/>
        </w:rPr>
      </w:pPr>
      <w:r>
        <w:rPr>
          <w:rFonts w:cs="Times New Roman"/>
          <w:szCs w:val="28"/>
        </w:rPr>
        <w:t>[196]</w:t>
      </w:r>
      <w:r>
        <w:rPr>
          <w:rFonts w:cs="Times New Roman"/>
          <w:szCs w:val="28"/>
        </w:rPr>
        <w:tab/>
      </w:r>
      <w:r w:rsidR="00C741FF">
        <w:rPr>
          <w:rFonts w:cs="Times New Roman"/>
          <w:szCs w:val="28"/>
        </w:rPr>
        <w:t xml:space="preserve">In </w:t>
      </w:r>
      <w:r w:rsidR="00EF583C">
        <w:rPr>
          <w:rFonts w:cs="Times New Roman"/>
          <w:szCs w:val="28"/>
        </w:rPr>
        <w:t>the circumstances, the following order will issue:</w:t>
      </w:r>
    </w:p>
    <w:p w:rsidR="00C741FF" w:rsidRDefault="00C741FF" w:rsidP="00EF583C">
      <w:pPr>
        <w:rPr>
          <w:rFonts w:cs="Times New Roman"/>
          <w:szCs w:val="28"/>
        </w:rPr>
      </w:pPr>
    </w:p>
    <w:p w:rsidR="00FC7CBF" w:rsidRDefault="00FC7CBF" w:rsidP="00FC7CBF">
      <w:pPr>
        <w:ind w:left="1134" w:right="1134"/>
        <w:rPr>
          <w:rFonts w:cs="Times New Roman"/>
          <w:b/>
          <w:szCs w:val="28"/>
        </w:rPr>
      </w:pPr>
      <w:r>
        <w:rPr>
          <w:rFonts w:cs="Times New Roman"/>
          <w:b/>
          <w:szCs w:val="28"/>
        </w:rPr>
        <w:t>L</w:t>
      </w:r>
      <w:r w:rsidR="007B40D4">
        <w:rPr>
          <w:rFonts w:cs="Times New Roman"/>
          <w:b/>
          <w:szCs w:val="28"/>
        </w:rPr>
        <w:t>UMP SUM AWARD</w:t>
      </w:r>
    </w:p>
    <w:p w:rsidR="00FC7CBF" w:rsidRPr="008743DC" w:rsidRDefault="008743DC" w:rsidP="008743DC">
      <w:pPr>
        <w:ind w:left="1494" w:right="1134" w:hanging="360"/>
        <w:rPr>
          <w:rFonts w:cs="Times New Roman"/>
          <w:b/>
          <w:szCs w:val="28"/>
        </w:rPr>
      </w:pPr>
      <w:r>
        <w:rPr>
          <w:rFonts w:cs="Times New Roman"/>
          <w:b/>
          <w:szCs w:val="28"/>
        </w:rPr>
        <w:t>1.</w:t>
      </w:r>
      <w:r>
        <w:rPr>
          <w:rFonts w:cs="Times New Roman"/>
          <w:b/>
          <w:szCs w:val="28"/>
        </w:rPr>
        <w:tab/>
      </w:r>
      <w:r w:rsidR="00FC7CBF" w:rsidRPr="008743DC">
        <w:rPr>
          <w:rFonts w:cs="Times New Roman"/>
          <w:b/>
          <w:szCs w:val="28"/>
        </w:rPr>
        <w:t>The Defendant shall pay to the</w:t>
      </w:r>
      <w:r w:rsidR="00E854ED" w:rsidRPr="008743DC">
        <w:rPr>
          <w:rFonts w:cs="Times New Roman"/>
          <w:b/>
          <w:szCs w:val="28"/>
        </w:rPr>
        <w:t xml:space="preserve"> Plaintiff the sum of R2,</w:t>
      </w:r>
      <w:r w:rsidR="007B40D4" w:rsidRPr="008743DC">
        <w:rPr>
          <w:rFonts w:cs="Times New Roman"/>
          <w:b/>
          <w:szCs w:val="28"/>
        </w:rPr>
        <w:t>1</w:t>
      </w:r>
      <w:r w:rsidR="00E854ED" w:rsidRPr="008743DC">
        <w:rPr>
          <w:rFonts w:cs="Times New Roman"/>
          <w:b/>
          <w:szCs w:val="28"/>
        </w:rPr>
        <w:t>36,146</w:t>
      </w:r>
      <w:r w:rsidR="007B40D4" w:rsidRPr="008743DC">
        <w:rPr>
          <w:rFonts w:cs="Times New Roman"/>
          <w:b/>
          <w:szCs w:val="28"/>
        </w:rPr>
        <w:t xml:space="preserve">-00 as set out </w:t>
      </w:r>
      <w:r w:rsidR="00BB76F3" w:rsidRPr="008743DC">
        <w:rPr>
          <w:rFonts w:cs="Times New Roman"/>
          <w:b/>
          <w:szCs w:val="28"/>
        </w:rPr>
        <w:t>i</w:t>
      </w:r>
      <w:r w:rsidR="007B40D4" w:rsidRPr="008743DC">
        <w:rPr>
          <w:rFonts w:cs="Times New Roman"/>
          <w:b/>
          <w:szCs w:val="28"/>
        </w:rPr>
        <w:t>n Annexure “D”.</w:t>
      </w:r>
    </w:p>
    <w:p w:rsidR="00BE1DE3" w:rsidRDefault="00BE1DE3" w:rsidP="00BE1DE3">
      <w:pPr>
        <w:pStyle w:val="ListParagraph"/>
        <w:ind w:left="1494" w:right="1134"/>
        <w:rPr>
          <w:rFonts w:cs="Times New Roman"/>
          <w:b/>
          <w:szCs w:val="28"/>
        </w:rPr>
      </w:pPr>
    </w:p>
    <w:p w:rsidR="007B40D4" w:rsidRPr="007B40D4" w:rsidRDefault="007B40D4" w:rsidP="007B40D4">
      <w:pPr>
        <w:ind w:left="1134" w:right="1134"/>
        <w:rPr>
          <w:rFonts w:cs="Times New Roman"/>
          <w:b/>
          <w:szCs w:val="28"/>
        </w:rPr>
      </w:pPr>
      <w:r>
        <w:rPr>
          <w:rFonts w:cs="Times New Roman"/>
          <w:b/>
          <w:szCs w:val="28"/>
        </w:rPr>
        <w:t>PUBLIC HEALTHCARE REMEDY</w:t>
      </w:r>
    </w:p>
    <w:p w:rsidR="007B40D4" w:rsidRPr="008743DC" w:rsidRDefault="008743DC" w:rsidP="008743DC">
      <w:pPr>
        <w:ind w:left="1494" w:right="1134" w:hanging="360"/>
        <w:rPr>
          <w:rFonts w:cs="Times New Roman"/>
          <w:b/>
          <w:szCs w:val="28"/>
        </w:rPr>
      </w:pPr>
      <w:r>
        <w:rPr>
          <w:rFonts w:cs="Times New Roman"/>
          <w:b/>
          <w:szCs w:val="28"/>
        </w:rPr>
        <w:t>2.</w:t>
      </w:r>
      <w:r>
        <w:rPr>
          <w:rFonts w:cs="Times New Roman"/>
          <w:b/>
          <w:szCs w:val="28"/>
        </w:rPr>
        <w:tab/>
      </w:r>
      <w:r w:rsidR="007B40D4" w:rsidRPr="008743DC">
        <w:rPr>
          <w:rFonts w:cs="Times New Roman"/>
          <w:b/>
          <w:szCs w:val="28"/>
        </w:rPr>
        <w:t>The Defendant is directed to provide free o</w:t>
      </w:r>
      <w:r w:rsidR="001E6969" w:rsidRPr="008743DC">
        <w:rPr>
          <w:rFonts w:cs="Times New Roman"/>
          <w:b/>
          <w:szCs w:val="28"/>
        </w:rPr>
        <w:t xml:space="preserve">f charge to </w:t>
      </w:r>
      <w:proofErr w:type="gramStart"/>
      <w:r w:rsidR="001E6969" w:rsidRPr="008743DC">
        <w:rPr>
          <w:rFonts w:cs="Times New Roman"/>
          <w:b/>
          <w:szCs w:val="28"/>
        </w:rPr>
        <w:t>B</w:t>
      </w:r>
      <w:r w:rsidR="00BD2BDF">
        <w:rPr>
          <w:rFonts w:cs="Times New Roman"/>
          <w:szCs w:val="28"/>
        </w:rPr>
        <w:t>[</w:t>
      </w:r>
      <w:proofErr w:type="gramEnd"/>
      <w:r w:rsidR="00BD2BDF">
        <w:rPr>
          <w:rFonts w:cs="Times New Roman"/>
          <w:szCs w:val="28"/>
        </w:rPr>
        <w:t>…]</w:t>
      </w:r>
      <w:r w:rsidR="001E6969" w:rsidRPr="008743DC">
        <w:rPr>
          <w:rFonts w:cs="Times New Roman"/>
          <w:b/>
          <w:szCs w:val="28"/>
        </w:rPr>
        <w:t xml:space="preserve"> N</w:t>
      </w:r>
      <w:r w:rsidR="00BD2BDF">
        <w:rPr>
          <w:rFonts w:cs="Times New Roman"/>
          <w:szCs w:val="28"/>
        </w:rPr>
        <w:t>[…]</w:t>
      </w:r>
      <w:r w:rsidR="001E6969" w:rsidRPr="008743DC">
        <w:rPr>
          <w:rFonts w:cs="Times New Roman"/>
          <w:b/>
          <w:szCs w:val="28"/>
        </w:rPr>
        <w:t xml:space="preserve"> (“BN</w:t>
      </w:r>
      <w:r w:rsidR="007B40D4" w:rsidRPr="008743DC">
        <w:rPr>
          <w:rFonts w:cs="Times New Roman"/>
          <w:b/>
          <w:szCs w:val="28"/>
        </w:rPr>
        <w:t>”) –</w:t>
      </w:r>
    </w:p>
    <w:p w:rsidR="00A20420" w:rsidRDefault="00A20420" w:rsidP="00A20420">
      <w:pPr>
        <w:pStyle w:val="ListParagraph"/>
        <w:ind w:left="1494" w:right="1134"/>
        <w:rPr>
          <w:rFonts w:cs="Times New Roman"/>
          <w:b/>
          <w:szCs w:val="28"/>
        </w:rPr>
      </w:pPr>
    </w:p>
    <w:p w:rsidR="007B40D4" w:rsidRPr="008743DC" w:rsidRDefault="008743DC" w:rsidP="008743DC">
      <w:pPr>
        <w:ind w:left="2154" w:right="1134" w:hanging="660"/>
        <w:rPr>
          <w:rFonts w:cs="Times New Roman"/>
          <w:b/>
          <w:szCs w:val="28"/>
        </w:rPr>
      </w:pPr>
      <w:r>
        <w:rPr>
          <w:rFonts w:cs="Times New Roman"/>
          <w:b/>
          <w:szCs w:val="28"/>
        </w:rPr>
        <w:lastRenderedPageBreak/>
        <w:t>2.1</w:t>
      </w:r>
      <w:r>
        <w:rPr>
          <w:rFonts w:cs="Times New Roman"/>
          <w:b/>
          <w:szCs w:val="28"/>
        </w:rPr>
        <w:tab/>
      </w:r>
      <w:r w:rsidR="00CE2CD3" w:rsidRPr="008743DC">
        <w:rPr>
          <w:rFonts w:cs="Times New Roman"/>
          <w:b/>
          <w:szCs w:val="28"/>
        </w:rPr>
        <w:t>All of the services, consultations, therapies, surgeries an</w:t>
      </w:r>
      <w:r w:rsidR="00BE1DE3" w:rsidRPr="008743DC">
        <w:rPr>
          <w:rFonts w:cs="Times New Roman"/>
          <w:b/>
          <w:szCs w:val="28"/>
        </w:rPr>
        <w:t>d other procedures itemised in a</w:t>
      </w:r>
      <w:r w:rsidR="00CE2CD3" w:rsidRPr="008743DC">
        <w:rPr>
          <w:rFonts w:cs="Times New Roman"/>
          <w:b/>
          <w:szCs w:val="28"/>
        </w:rPr>
        <w:t xml:space="preserve">nnexure </w:t>
      </w:r>
      <w:r w:rsidR="00BB76F3" w:rsidRPr="008743DC">
        <w:rPr>
          <w:rFonts w:cs="Times New Roman"/>
          <w:b/>
          <w:szCs w:val="28"/>
        </w:rPr>
        <w:t>“</w:t>
      </w:r>
      <w:r w:rsidR="00CE2CD3" w:rsidRPr="008743DC">
        <w:rPr>
          <w:rFonts w:cs="Times New Roman"/>
          <w:b/>
          <w:szCs w:val="28"/>
        </w:rPr>
        <w:t>A</w:t>
      </w:r>
      <w:r w:rsidR="00BB76F3" w:rsidRPr="008743DC">
        <w:rPr>
          <w:rFonts w:cs="Times New Roman"/>
          <w:b/>
          <w:szCs w:val="28"/>
        </w:rPr>
        <w:t>”</w:t>
      </w:r>
      <w:r w:rsidR="00CE2CD3" w:rsidRPr="008743DC">
        <w:rPr>
          <w:rFonts w:cs="Times New Roman"/>
          <w:b/>
          <w:szCs w:val="28"/>
        </w:rPr>
        <w:t xml:space="preserve"> (‘the medical services’); and</w:t>
      </w:r>
    </w:p>
    <w:p w:rsidR="00CE2CD3" w:rsidRDefault="00CE2CD3" w:rsidP="00CE2CD3">
      <w:pPr>
        <w:pStyle w:val="ListParagraph"/>
        <w:ind w:left="2154" w:right="1134"/>
        <w:rPr>
          <w:rFonts w:cs="Times New Roman"/>
          <w:b/>
          <w:szCs w:val="28"/>
        </w:rPr>
      </w:pPr>
    </w:p>
    <w:p w:rsidR="00CE2CD3" w:rsidRPr="008743DC" w:rsidRDefault="008743DC" w:rsidP="008743DC">
      <w:pPr>
        <w:ind w:left="2154" w:right="1134" w:hanging="660"/>
        <w:rPr>
          <w:rFonts w:cs="Times New Roman"/>
          <w:b/>
          <w:szCs w:val="28"/>
        </w:rPr>
      </w:pPr>
      <w:r w:rsidRPr="00CE2CD3">
        <w:rPr>
          <w:rFonts w:cs="Times New Roman"/>
          <w:b/>
          <w:szCs w:val="28"/>
        </w:rPr>
        <w:t>2.2</w:t>
      </w:r>
      <w:r w:rsidRPr="00CE2CD3">
        <w:rPr>
          <w:rFonts w:cs="Times New Roman"/>
          <w:b/>
          <w:szCs w:val="28"/>
        </w:rPr>
        <w:tab/>
      </w:r>
      <w:r w:rsidR="00CE2CD3" w:rsidRPr="008743DC">
        <w:rPr>
          <w:rFonts w:cs="Times New Roman"/>
          <w:b/>
          <w:szCs w:val="28"/>
        </w:rPr>
        <w:t>All of the supplies, supplements, medicines, devices, a</w:t>
      </w:r>
      <w:r w:rsidR="00BE1DE3" w:rsidRPr="008743DC">
        <w:rPr>
          <w:rFonts w:cs="Times New Roman"/>
          <w:b/>
          <w:szCs w:val="28"/>
        </w:rPr>
        <w:t>nd other equipment itemised in a</w:t>
      </w:r>
      <w:r w:rsidR="00CE2CD3" w:rsidRPr="008743DC">
        <w:rPr>
          <w:rFonts w:cs="Times New Roman"/>
          <w:b/>
          <w:szCs w:val="28"/>
        </w:rPr>
        <w:t xml:space="preserve">nnexure </w:t>
      </w:r>
      <w:r w:rsidR="00BB76F3" w:rsidRPr="008743DC">
        <w:rPr>
          <w:rFonts w:cs="Times New Roman"/>
          <w:b/>
          <w:szCs w:val="28"/>
        </w:rPr>
        <w:t>“</w:t>
      </w:r>
      <w:r w:rsidR="00CE2CD3" w:rsidRPr="008743DC">
        <w:rPr>
          <w:rFonts w:cs="Times New Roman"/>
          <w:b/>
          <w:szCs w:val="28"/>
        </w:rPr>
        <w:t>B</w:t>
      </w:r>
      <w:r w:rsidR="00BB76F3" w:rsidRPr="008743DC">
        <w:rPr>
          <w:rFonts w:cs="Times New Roman"/>
          <w:b/>
          <w:szCs w:val="28"/>
        </w:rPr>
        <w:t>”</w:t>
      </w:r>
      <w:r w:rsidR="00CE2CD3" w:rsidRPr="008743DC">
        <w:rPr>
          <w:rFonts w:cs="Times New Roman"/>
          <w:b/>
          <w:szCs w:val="28"/>
        </w:rPr>
        <w:t xml:space="preserve"> (‘the medical supplies’)</w:t>
      </w:r>
      <w:r w:rsidR="00BB76F3" w:rsidRPr="008743DC">
        <w:rPr>
          <w:rFonts w:cs="Times New Roman"/>
          <w:b/>
          <w:szCs w:val="28"/>
        </w:rPr>
        <w:t>,</w:t>
      </w:r>
    </w:p>
    <w:p w:rsidR="00FA1118" w:rsidRDefault="00FA1118" w:rsidP="00CE2CD3">
      <w:pPr>
        <w:ind w:left="2154" w:right="1134"/>
        <w:rPr>
          <w:rFonts w:cs="Times New Roman"/>
          <w:b/>
          <w:szCs w:val="28"/>
        </w:rPr>
      </w:pPr>
    </w:p>
    <w:p w:rsidR="00FA1118" w:rsidRDefault="00CE2CD3" w:rsidP="00B818B0">
      <w:pPr>
        <w:ind w:left="2154" w:right="1134"/>
        <w:rPr>
          <w:rFonts w:cs="Times New Roman"/>
          <w:b/>
          <w:szCs w:val="28"/>
        </w:rPr>
      </w:pPr>
      <w:r>
        <w:rPr>
          <w:rFonts w:cs="Times New Roman"/>
          <w:b/>
          <w:szCs w:val="28"/>
        </w:rPr>
        <w:t>at one of the following hospitals, in order of priority, depending on where the particular medical service or supply is available a</w:t>
      </w:r>
      <w:r w:rsidR="00B818B0">
        <w:rPr>
          <w:rFonts w:cs="Times New Roman"/>
          <w:b/>
          <w:szCs w:val="28"/>
        </w:rPr>
        <w:t>t the time that it is required:</w:t>
      </w:r>
    </w:p>
    <w:p w:rsidR="00BB76F3" w:rsidRDefault="00BB76F3" w:rsidP="00B818B0">
      <w:pPr>
        <w:ind w:left="2154" w:right="1134"/>
        <w:rPr>
          <w:rFonts w:cs="Times New Roman"/>
          <w:b/>
          <w:szCs w:val="28"/>
        </w:rPr>
      </w:pPr>
    </w:p>
    <w:p w:rsidR="00CE2CD3" w:rsidRPr="008743DC" w:rsidRDefault="008743DC" w:rsidP="008743DC">
      <w:pPr>
        <w:ind w:left="2574" w:right="1134" w:hanging="720"/>
        <w:rPr>
          <w:rFonts w:cs="Times New Roman"/>
          <w:b/>
          <w:szCs w:val="28"/>
        </w:rPr>
      </w:pPr>
      <w:r w:rsidRPr="00CE2CD3">
        <w:rPr>
          <w:rFonts w:cs="Times New Roman"/>
          <w:b/>
          <w:szCs w:val="28"/>
        </w:rPr>
        <w:t>2.2.1</w:t>
      </w:r>
      <w:r w:rsidRPr="00CE2CD3">
        <w:rPr>
          <w:rFonts w:cs="Times New Roman"/>
          <w:b/>
          <w:szCs w:val="28"/>
        </w:rPr>
        <w:tab/>
      </w:r>
      <w:r w:rsidR="009E4F85" w:rsidRPr="008743DC">
        <w:rPr>
          <w:rFonts w:cs="Times New Roman"/>
          <w:b/>
          <w:szCs w:val="28"/>
        </w:rPr>
        <w:t>the Cecilia</w:t>
      </w:r>
      <w:r w:rsidR="00B818B0" w:rsidRPr="008743DC">
        <w:rPr>
          <w:rFonts w:cs="Times New Roman"/>
          <w:b/>
          <w:szCs w:val="28"/>
        </w:rPr>
        <w:t xml:space="preserve"> </w:t>
      </w:r>
      <w:proofErr w:type="spellStart"/>
      <w:r w:rsidR="00B818B0" w:rsidRPr="008743DC">
        <w:rPr>
          <w:rFonts w:cs="Times New Roman"/>
          <w:b/>
          <w:szCs w:val="28"/>
        </w:rPr>
        <w:t>Makiwane</w:t>
      </w:r>
      <w:proofErr w:type="spellEnd"/>
      <w:r w:rsidR="00B818B0" w:rsidRPr="008743DC">
        <w:rPr>
          <w:rFonts w:cs="Times New Roman"/>
          <w:b/>
          <w:szCs w:val="28"/>
        </w:rPr>
        <w:t xml:space="preserve"> Hospital,</w:t>
      </w:r>
      <w:r w:rsidR="00CE2CD3" w:rsidRPr="008743DC">
        <w:rPr>
          <w:rFonts w:cs="Times New Roman"/>
          <w:b/>
          <w:szCs w:val="28"/>
        </w:rPr>
        <w:t xml:space="preserve"> </w:t>
      </w:r>
      <w:proofErr w:type="spellStart"/>
      <w:r w:rsidR="00CE2CD3" w:rsidRPr="008743DC">
        <w:rPr>
          <w:rFonts w:cs="Times New Roman"/>
          <w:b/>
          <w:szCs w:val="28"/>
        </w:rPr>
        <w:t>Mdantsane</w:t>
      </w:r>
      <w:proofErr w:type="spellEnd"/>
      <w:r w:rsidR="00CE2CD3" w:rsidRPr="008743DC">
        <w:rPr>
          <w:rFonts w:cs="Times New Roman"/>
          <w:b/>
          <w:szCs w:val="28"/>
        </w:rPr>
        <w:t xml:space="preserve"> (</w:t>
      </w:r>
      <w:r w:rsidR="00BB76F3" w:rsidRPr="008743DC">
        <w:rPr>
          <w:rFonts w:cs="Times New Roman"/>
          <w:b/>
          <w:szCs w:val="28"/>
        </w:rPr>
        <w:t>“</w:t>
      </w:r>
      <w:r w:rsidR="00CE2CD3" w:rsidRPr="008743DC">
        <w:rPr>
          <w:rFonts w:cs="Times New Roman"/>
          <w:b/>
          <w:szCs w:val="28"/>
        </w:rPr>
        <w:t>CMH</w:t>
      </w:r>
      <w:r w:rsidR="00BB76F3" w:rsidRPr="008743DC">
        <w:rPr>
          <w:rFonts w:cs="Times New Roman"/>
          <w:b/>
          <w:szCs w:val="28"/>
        </w:rPr>
        <w:t>”</w:t>
      </w:r>
      <w:r w:rsidR="00CE2CD3" w:rsidRPr="008743DC">
        <w:rPr>
          <w:rFonts w:cs="Times New Roman"/>
          <w:b/>
          <w:szCs w:val="28"/>
        </w:rPr>
        <w:t>); or</w:t>
      </w:r>
    </w:p>
    <w:p w:rsidR="00CE2CD3" w:rsidRPr="008743DC" w:rsidRDefault="008743DC" w:rsidP="008743DC">
      <w:pPr>
        <w:ind w:left="2574" w:right="1134" w:hanging="720"/>
        <w:rPr>
          <w:rFonts w:cs="Times New Roman"/>
          <w:b/>
          <w:szCs w:val="28"/>
        </w:rPr>
      </w:pPr>
      <w:r>
        <w:rPr>
          <w:rFonts w:cs="Times New Roman"/>
          <w:b/>
          <w:szCs w:val="28"/>
        </w:rPr>
        <w:t>2.2.2</w:t>
      </w:r>
      <w:r>
        <w:rPr>
          <w:rFonts w:cs="Times New Roman"/>
          <w:b/>
          <w:szCs w:val="28"/>
        </w:rPr>
        <w:tab/>
      </w:r>
      <w:r w:rsidR="00CE2CD3" w:rsidRPr="008743DC">
        <w:rPr>
          <w:rFonts w:cs="Times New Roman"/>
          <w:b/>
          <w:szCs w:val="28"/>
        </w:rPr>
        <w:t>the Frere Hospital, East London (‘Frere’</w:t>
      </w:r>
      <w:r w:rsidR="009E4F85" w:rsidRPr="008743DC">
        <w:rPr>
          <w:rFonts w:cs="Times New Roman"/>
          <w:b/>
          <w:szCs w:val="28"/>
        </w:rPr>
        <w:t>)</w:t>
      </w:r>
      <w:r w:rsidR="00CE2CD3" w:rsidRPr="008743DC">
        <w:rPr>
          <w:rFonts w:cs="Times New Roman"/>
          <w:b/>
          <w:szCs w:val="28"/>
        </w:rPr>
        <w:t>; or</w:t>
      </w:r>
    </w:p>
    <w:p w:rsidR="00221080" w:rsidRPr="008743DC" w:rsidRDefault="008743DC" w:rsidP="008743DC">
      <w:pPr>
        <w:ind w:left="2574" w:right="1134" w:hanging="720"/>
        <w:rPr>
          <w:rFonts w:cs="Times New Roman"/>
          <w:b/>
          <w:szCs w:val="28"/>
        </w:rPr>
      </w:pPr>
      <w:r>
        <w:rPr>
          <w:rFonts w:cs="Times New Roman"/>
          <w:b/>
          <w:szCs w:val="28"/>
        </w:rPr>
        <w:t>2.2.3</w:t>
      </w:r>
      <w:r>
        <w:rPr>
          <w:rFonts w:cs="Times New Roman"/>
          <w:b/>
          <w:szCs w:val="28"/>
        </w:rPr>
        <w:tab/>
      </w:r>
      <w:r w:rsidR="00221080" w:rsidRPr="008743DC">
        <w:rPr>
          <w:rFonts w:cs="Times New Roman"/>
          <w:b/>
          <w:szCs w:val="28"/>
        </w:rPr>
        <w:t xml:space="preserve">a public hospital nominated by the public case manager (referred to in paragraph 18 </w:t>
      </w:r>
      <w:r w:rsidR="00347519" w:rsidRPr="008743DC">
        <w:rPr>
          <w:rFonts w:cs="Times New Roman"/>
          <w:b/>
          <w:szCs w:val="28"/>
        </w:rPr>
        <w:t>below) in consultation with BN</w:t>
      </w:r>
      <w:r w:rsidR="00221080" w:rsidRPr="008743DC">
        <w:rPr>
          <w:rFonts w:cs="Times New Roman"/>
          <w:b/>
          <w:szCs w:val="28"/>
        </w:rPr>
        <w:t xml:space="preserve">’s private case manager appointed in terms of annexure </w:t>
      </w:r>
      <w:r w:rsidR="00BB76F3" w:rsidRPr="008743DC">
        <w:rPr>
          <w:rFonts w:cs="Times New Roman"/>
          <w:b/>
          <w:szCs w:val="28"/>
        </w:rPr>
        <w:t>“</w:t>
      </w:r>
      <w:r w:rsidR="00221080" w:rsidRPr="008743DC">
        <w:rPr>
          <w:rFonts w:cs="Times New Roman"/>
          <w:b/>
          <w:szCs w:val="28"/>
        </w:rPr>
        <w:t>C</w:t>
      </w:r>
      <w:r w:rsidR="00BB76F3" w:rsidRPr="008743DC">
        <w:rPr>
          <w:rFonts w:cs="Times New Roman"/>
          <w:b/>
          <w:szCs w:val="28"/>
        </w:rPr>
        <w:t>”,</w:t>
      </w:r>
    </w:p>
    <w:p w:rsidR="00FA1118" w:rsidRDefault="00FA1118" w:rsidP="00221080">
      <w:pPr>
        <w:pStyle w:val="ListParagraph"/>
        <w:ind w:left="2574" w:right="1134"/>
        <w:rPr>
          <w:rFonts w:cs="Times New Roman"/>
          <w:b/>
          <w:szCs w:val="28"/>
        </w:rPr>
      </w:pPr>
    </w:p>
    <w:p w:rsidR="00FA1118" w:rsidRDefault="00FA1118" w:rsidP="00221080">
      <w:pPr>
        <w:pStyle w:val="ListParagraph"/>
        <w:ind w:left="2574" w:right="1134"/>
        <w:rPr>
          <w:rFonts w:cs="Times New Roman"/>
          <w:b/>
          <w:szCs w:val="28"/>
        </w:rPr>
      </w:pPr>
      <w:r>
        <w:rPr>
          <w:rFonts w:cs="Times New Roman"/>
          <w:b/>
          <w:szCs w:val="28"/>
        </w:rPr>
        <w:t>for the duration of his life, or such other duration as may be specified</w:t>
      </w:r>
      <w:r w:rsidR="007B5762">
        <w:rPr>
          <w:rFonts w:cs="Times New Roman"/>
          <w:b/>
          <w:szCs w:val="28"/>
        </w:rPr>
        <w:t xml:space="preserve"> in any particular instance in annexures</w:t>
      </w:r>
      <w:r>
        <w:rPr>
          <w:rFonts w:cs="Times New Roman"/>
          <w:b/>
          <w:szCs w:val="28"/>
        </w:rPr>
        <w:t xml:space="preserve"> ‘A’ and ‘B’ to this order, provided that if the service or </w:t>
      </w:r>
      <w:r>
        <w:rPr>
          <w:rFonts w:cs="Times New Roman"/>
          <w:b/>
          <w:szCs w:val="28"/>
        </w:rPr>
        <w:lastRenderedPageBreak/>
        <w:t>supply is to be made available in terms of paragraph</w:t>
      </w:r>
      <w:r w:rsidR="00EF485C">
        <w:rPr>
          <w:rFonts w:cs="Times New Roman"/>
          <w:b/>
          <w:szCs w:val="28"/>
        </w:rPr>
        <w:t xml:space="preserve"> 2.2.3, the Defendant will provide appropriate transport between CMH or Frere and the hospital nominated in terms of paragraph 2.2.3 free of charge.</w:t>
      </w:r>
    </w:p>
    <w:p w:rsidR="00E82B36" w:rsidRDefault="00E82B36" w:rsidP="00221080">
      <w:pPr>
        <w:pStyle w:val="ListParagraph"/>
        <w:ind w:left="2574" w:right="1134"/>
        <w:rPr>
          <w:rFonts w:cs="Times New Roman"/>
          <w:b/>
          <w:szCs w:val="28"/>
        </w:rPr>
      </w:pPr>
    </w:p>
    <w:p w:rsidR="00E82B36" w:rsidRPr="008743DC" w:rsidRDefault="008743DC" w:rsidP="008743DC">
      <w:pPr>
        <w:ind w:left="1494" w:right="1134" w:hanging="360"/>
        <w:rPr>
          <w:rFonts w:cs="Times New Roman"/>
          <w:b/>
          <w:szCs w:val="28"/>
        </w:rPr>
      </w:pPr>
      <w:r>
        <w:rPr>
          <w:rFonts w:cs="Times New Roman"/>
          <w:b/>
          <w:szCs w:val="28"/>
        </w:rPr>
        <w:t>3.</w:t>
      </w:r>
      <w:r>
        <w:rPr>
          <w:rFonts w:cs="Times New Roman"/>
          <w:b/>
          <w:szCs w:val="28"/>
        </w:rPr>
        <w:tab/>
      </w:r>
      <w:r w:rsidR="00912A67" w:rsidRPr="008743DC">
        <w:rPr>
          <w:rFonts w:cs="Times New Roman"/>
          <w:b/>
          <w:szCs w:val="28"/>
        </w:rPr>
        <w:t xml:space="preserve">The Defendant shall ensure that all of the medical services and medical supplies will be of </w:t>
      </w:r>
      <w:r w:rsidR="00701FF1" w:rsidRPr="008743DC">
        <w:rPr>
          <w:rFonts w:cs="Times New Roman"/>
          <w:b/>
          <w:szCs w:val="28"/>
        </w:rPr>
        <w:t>a reasonable standard, provided that where any particular medical supply is –</w:t>
      </w:r>
    </w:p>
    <w:p w:rsidR="00A20420" w:rsidRDefault="00A20420" w:rsidP="00A20420">
      <w:pPr>
        <w:pStyle w:val="ListParagraph"/>
        <w:ind w:left="1494" w:right="1134"/>
        <w:rPr>
          <w:rFonts w:cs="Times New Roman"/>
          <w:b/>
          <w:szCs w:val="28"/>
        </w:rPr>
      </w:pPr>
    </w:p>
    <w:p w:rsidR="00701FF1" w:rsidRPr="008743DC" w:rsidRDefault="008743DC" w:rsidP="008743DC">
      <w:pPr>
        <w:ind w:left="2154" w:right="1134" w:hanging="660"/>
        <w:rPr>
          <w:rFonts w:cs="Times New Roman"/>
          <w:b/>
          <w:szCs w:val="28"/>
        </w:rPr>
      </w:pPr>
      <w:r>
        <w:rPr>
          <w:rFonts w:cs="Times New Roman"/>
          <w:b/>
          <w:szCs w:val="28"/>
        </w:rPr>
        <w:t>3.1</w:t>
      </w:r>
      <w:r>
        <w:rPr>
          <w:rFonts w:cs="Times New Roman"/>
          <w:b/>
          <w:szCs w:val="28"/>
        </w:rPr>
        <w:tab/>
      </w:r>
      <w:r w:rsidR="00701FF1" w:rsidRPr="008743DC">
        <w:rPr>
          <w:rFonts w:cs="Times New Roman"/>
          <w:b/>
          <w:szCs w:val="28"/>
        </w:rPr>
        <w:t>available on a standing government tender; or</w:t>
      </w:r>
    </w:p>
    <w:p w:rsidR="00701FF1" w:rsidRPr="008743DC" w:rsidRDefault="008743DC" w:rsidP="008743DC">
      <w:pPr>
        <w:ind w:left="2154" w:right="1134" w:hanging="660"/>
        <w:rPr>
          <w:rFonts w:cs="Times New Roman"/>
          <w:b/>
          <w:szCs w:val="28"/>
        </w:rPr>
      </w:pPr>
      <w:r>
        <w:rPr>
          <w:rFonts w:cs="Times New Roman"/>
          <w:b/>
          <w:szCs w:val="28"/>
        </w:rPr>
        <w:t>3.2</w:t>
      </w:r>
      <w:r>
        <w:rPr>
          <w:rFonts w:cs="Times New Roman"/>
          <w:b/>
          <w:szCs w:val="28"/>
        </w:rPr>
        <w:tab/>
      </w:r>
      <w:r w:rsidR="00701FF1" w:rsidRPr="008743DC">
        <w:rPr>
          <w:rFonts w:cs="Times New Roman"/>
          <w:b/>
          <w:szCs w:val="28"/>
        </w:rPr>
        <w:t xml:space="preserve">identified by brand and model in annexure </w:t>
      </w:r>
      <w:r w:rsidR="00BB76F3" w:rsidRPr="008743DC">
        <w:rPr>
          <w:rFonts w:cs="Times New Roman"/>
          <w:b/>
          <w:szCs w:val="28"/>
        </w:rPr>
        <w:t>“</w:t>
      </w:r>
      <w:r w:rsidR="00701FF1" w:rsidRPr="008743DC">
        <w:rPr>
          <w:rFonts w:cs="Times New Roman"/>
          <w:b/>
          <w:szCs w:val="28"/>
        </w:rPr>
        <w:t>B</w:t>
      </w:r>
      <w:r w:rsidR="00BB76F3" w:rsidRPr="008743DC">
        <w:rPr>
          <w:rFonts w:cs="Times New Roman"/>
          <w:b/>
          <w:szCs w:val="28"/>
        </w:rPr>
        <w:t>”</w:t>
      </w:r>
      <w:r w:rsidR="00701FF1" w:rsidRPr="008743DC">
        <w:rPr>
          <w:rFonts w:cs="Times New Roman"/>
          <w:b/>
          <w:szCs w:val="28"/>
        </w:rPr>
        <w:t>; or</w:t>
      </w:r>
    </w:p>
    <w:p w:rsidR="00701FF1" w:rsidRPr="008743DC" w:rsidRDefault="008743DC" w:rsidP="008743DC">
      <w:pPr>
        <w:ind w:left="2154" w:right="1134" w:hanging="660"/>
        <w:rPr>
          <w:rFonts w:cs="Times New Roman"/>
          <w:b/>
          <w:szCs w:val="28"/>
        </w:rPr>
      </w:pPr>
      <w:r>
        <w:rPr>
          <w:rFonts w:cs="Times New Roman"/>
          <w:b/>
          <w:szCs w:val="28"/>
        </w:rPr>
        <w:t>3.3</w:t>
      </w:r>
      <w:r>
        <w:rPr>
          <w:rFonts w:cs="Times New Roman"/>
          <w:b/>
          <w:szCs w:val="28"/>
        </w:rPr>
        <w:tab/>
      </w:r>
      <w:r w:rsidR="00701FF1" w:rsidRPr="008743DC">
        <w:rPr>
          <w:rFonts w:cs="Times New Roman"/>
          <w:b/>
          <w:szCs w:val="28"/>
        </w:rPr>
        <w:t>a generic equivalent medicine,</w:t>
      </w:r>
    </w:p>
    <w:p w:rsidR="00701FF1" w:rsidRDefault="00701FF1" w:rsidP="00701FF1">
      <w:pPr>
        <w:ind w:left="1494" w:right="1134"/>
        <w:rPr>
          <w:rFonts w:cs="Times New Roman"/>
          <w:b/>
          <w:szCs w:val="28"/>
        </w:rPr>
      </w:pPr>
      <w:r>
        <w:rPr>
          <w:rFonts w:cs="Times New Roman"/>
          <w:b/>
          <w:szCs w:val="28"/>
        </w:rPr>
        <w:t xml:space="preserve">as the case may be, it shall be deemed to be of the </w:t>
      </w:r>
      <w:r w:rsidR="00A771D1">
        <w:rPr>
          <w:rFonts w:cs="Times New Roman"/>
          <w:b/>
          <w:szCs w:val="28"/>
        </w:rPr>
        <w:t xml:space="preserve">         </w:t>
      </w:r>
      <w:r>
        <w:rPr>
          <w:rFonts w:cs="Times New Roman"/>
          <w:b/>
          <w:szCs w:val="28"/>
        </w:rPr>
        <w:t>required standard.</w:t>
      </w:r>
    </w:p>
    <w:p w:rsidR="00701FF1" w:rsidRPr="00701FF1" w:rsidRDefault="00701FF1" w:rsidP="00701FF1">
      <w:pPr>
        <w:ind w:left="1494" w:right="1134"/>
        <w:rPr>
          <w:rFonts w:cs="Times New Roman"/>
          <w:b/>
          <w:szCs w:val="28"/>
        </w:rPr>
      </w:pPr>
    </w:p>
    <w:p w:rsidR="00CE2CD3" w:rsidRPr="008743DC" w:rsidRDefault="008743DC" w:rsidP="008743DC">
      <w:pPr>
        <w:ind w:left="1494" w:right="1134" w:hanging="360"/>
        <w:rPr>
          <w:rFonts w:cs="Times New Roman"/>
          <w:b/>
          <w:szCs w:val="28"/>
        </w:rPr>
      </w:pPr>
      <w:r>
        <w:rPr>
          <w:rFonts w:cs="Times New Roman"/>
          <w:b/>
          <w:szCs w:val="28"/>
        </w:rPr>
        <w:t>4.</w:t>
      </w:r>
      <w:r>
        <w:rPr>
          <w:rFonts w:cs="Times New Roman"/>
          <w:b/>
          <w:szCs w:val="28"/>
        </w:rPr>
        <w:tab/>
      </w:r>
      <w:r w:rsidR="00584302" w:rsidRPr="008743DC">
        <w:rPr>
          <w:rFonts w:cs="Times New Roman"/>
          <w:b/>
          <w:szCs w:val="28"/>
        </w:rPr>
        <w:t xml:space="preserve">In the event of the Plaintiff, or </w:t>
      </w:r>
      <w:r w:rsidR="009534F1" w:rsidRPr="008743DC">
        <w:rPr>
          <w:rFonts w:cs="Times New Roman"/>
          <w:b/>
          <w:szCs w:val="28"/>
        </w:rPr>
        <w:t>any person responsible for BN</w:t>
      </w:r>
      <w:r w:rsidR="00584302" w:rsidRPr="008743DC">
        <w:rPr>
          <w:rFonts w:cs="Times New Roman"/>
          <w:b/>
          <w:szCs w:val="28"/>
        </w:rPr>
        <w:t>’s ca</w:t>
      </w:r>
      <w:r w:rsidR="009534F1" w:rsidRPr="008743DC">
        <w:rPr>
          <w:rFonts w:cs="Times New Roman"/>
          <w:b/>
          <w:szCs w:val="28"/>
        </w:rPr>
        <w:t>re, failing to arrive with BN</w:t>
      </w:r>
      <w:r w:rsidR="00584302" w:rsidRPr="008743DC">
        <w:rPr>
          <w:rFonts w:cs="Times New Roman"/>
          <w:b/>
          <w:szCs w:val="28"/>
        </w:rPr>
        <w:t xml:space="preserve"> at a scheduled appointment for a</w:t>
      </w:r>
      <w:r w:rsidR="007B5762" w:rsidRPr="008743DC">
        <w:rPr>
          <w:rFonts w:cs="Times New Roman"/>
          <w:b/>
          <w:szCs w:val="28"/>
        </w:rPr>
        <w:t xml:space="preserve"> medical service identified in a</w:t>
      </w:r>
      <w:r w:rsidR="00584302" w:rsidRPr="008743DC">
        <w:rPr>
          <w:rFonts w:cs="Times New Roman"/>
          <w:b/>
          <w:szCs w:val="28"/>
        </w:rPr>
        <w:t xml:space="preserve">nnexure </w:t>
      </w:r>
      <w:r w:rsidR="00BB76F3" w:rsidRPr="008743DC">
        <w:rPr>
          <w:rFonts w:cs="Times New Roman"/>
          <w:b/>
          <w:szCs w:val="28"/>
        </w:rPr>
        <w:t>“</w:t>
      </w:r>
      <w:r w:rsidR="00584302" w:rsidRPr="008743DC">
        <w:rPr>
          <w:rFonts w:cs="Times New Roman"/>
          <w:b/>
          <w:szCs w:val="28"/>
        </w:rPr>
        <w:t>A</w:t>
      </w:r>
      <w:r w:rsidR="00BB76F3" w:rsidRPr="008743DC">
        <w:rPr>
          <w:rFonts w:cs="Times New Roman"/>
          <w:b/>
          <w:szCs w:val="28"/>
        </w:rPr>
        <w:t>”</w:t>
      </w:r>
      <w:r w:rsidR="00584302" w:rsidRPr="008743DC">
        <w:rPr>
          <w:rFonts w:cs="Times New Roman"/>
          <w:b/>
          <w:szCs w:val="28"/>
        </w:rPr>
        <w:t xml:space="preserve"> or failing to collect a medical sup</w:t>
      </w:r>
      <w:r w:rsidR="007B5762" w:rsidRPr="008743DC">
        <w:rPr>
          <w:rFonts w:cs="Times New Roman"/>
          <w:b/>
          <w:szCs w:val="28"/>
        </w:rPr>
        <w:t>ply to be provided in terms of a</w:t>
      </w:r>
      <w:r w:rsidR="00584302" w:rsidRPr="008743DC">
        <w:rPr>
          <w:rFonts w:cs="Times New Roman"/>
          <w:b/>
          <w:szCs w:val="28"/>
        </w:rPr>
        <w:t xml:space="preserve">nnexure </w:t>
      </w:r>
      <w:r w:rsidR="00BB76F3" w:rsidRPr="008743DC">
        <w:rPr>
          <w:rFonts w:cs="Times New Roman"/>
          <w:b/>
          <w:szCs w:val="28"/>
        </w:rPr>
        <w:t>“</w:t>
      </w:r>
      <w:r w:rsidR="00584302" w:rsidRPr="008743DC">
        <w:rPr>
          <w:rFonts w:cs="Times New Roman"/>
          <w:b/>
          <w:szCs w:val="28"/>
        </w:rPr>
        <w:t>B</w:t>
      </w:r>
      <w:r w:rsidR="00BB76F3" w:rsidRPr="008743DC">
        <w:rPr>
          <w:rFonts w:cs="Times New Roman"/>
          <w:b/>
          <w:szCs w:val="28"/>
        </w:rPr>
        <w:t>”,</w:t>
      </w:r>
      <w:r w:rsidR="00584302" w:rsidRPr="008743DC">
        <w:rPr>
          <w:rFonts w:cs="Times New Roman"/>
          <w:b/>
          <w:szCs w:val="28"/>
        </w:rPr>
        <w:t xml:space="preserve"> the Defendant will be deemed to have complied with her obligations in terms of this order in respect of the medical service </w:t>
      </w:r>
      <w:r w:rsidR="00584302" w:rsidRPr="008743DC">
        <w:rPr>
          <w:rFonts w:cs="Times New Roman"/>
          <w:b/>
          <w:szCs w:val="28"/>
        </w:rPr>
        <w:lastRenderedPageBreak/>
        <w:t>for which the appointment was scheduled or the medical supply to be provided.</w:t>
      </w:r>
    </w:p>
    <w:p w:rsidR="009534F1" w:rsidRDefault="009534F1" w:rsidP="009534F1">
      <w:pPr>
        <w:pStyle w:val="ListParagraph"/>
        <w:ind w:left="1494" w:right="1134"/>
        <w:rPr>
          <w:rFonts w:cs="Times New Roman"/>
          <w:b/>
          <w:szCs w:val="28"/>
        </w:rPr>
      </w:pPr>
    </w:p>
    <w:p w:rsidR="00584302" w:rsidRPr="008743DC" w:rsidRDefault="008743DC" w:rsidP="008743DC">
      <w:pPr>
        <w:ind w:left="1494" w:right="1134" w:hanging="360"/>
        <w:rPr>
          <w:rFonts w:cs="Times New Roman"/>
          <w:b/>
          <w:szCs w:val="28"/>
        </w:rPr>
      </w:pPr>
      <w:r>
        <w:rPr>
          <w:rFonts w:cs="Times New Roman"/>
          <w:b/>
          <w:szCs w:val="28"/>
        </w:rPr>
        <w:t>5.</w:t>
      </w:r>
      <w:r>
        <w:rPr>
          <w:rFonts w:cs="Times New Roman"/>
          <w:b/>
          <w:szCs w:val="28"/>
        </w:rPr>
        <w:tab/>
      </w:r>
      <w:r w:rsidR="007B5762" w:rsidRPr="008743DC">
        <w:rPr>
          <w:rFonts w:cs="Times New Roman"/>
          <w:b/>
          <w:szCs w:val="28"/>
        </w:rPr>
        <w:t>In the event that an item in a</w:t>
      </w:r>
      <w:r w:rsidR="00584302" w:rsidRPr="008743DC">
        <w:rPr>
          <w:rFonts w:cs="Times New Roman"/>
          <w:b/>
          <w:szCs w:val="28"/>
        </w:rPr>
        <w:t xml:space="preserve">nnexure </w:t>
      </w:r>
      <w:r w:rsidR="00BB76F3" w:rsidRPr="008743DC">
        <w:rPr>
          <w:rFonts w:cs="Times New Roman"/>
          <w:b/>
          <w:szCs w:val="28"/>
        </w:rPr>
        <w:t>“</w:t>
      </w:r>
      <w:r w:rsidR="00584302" w:rsidRPr="008743DC">
        <w:rPr>
          <w:rFonts w:cs="Times New Roman"/>
          <w:b/>
          <w:szCs w:val="28"/>
        </w:rPr>
        <w:t>B</w:t>
      </w:r>
      <w:r w:rsidR="00BB76F3" w:rsidRPr="008743DC">
        <w:rPr>
          <w:rFonts w:cs="Times New Roman"/>
          <w:b/>
          <w:szCs w:val="28"/>
        </w:rPr>
        <w:t>”</w:t>
      </w:r>
      <w:r w:rsidR="00584302" w:rsidRPr="008743DC">
        <w:rPr>
          <w:rFonts w:cs="Times New Roman"/>
          <w:b/>
          <w:szCs w:val="28"/>
        </w:rPr>
        <w:t xml:space="preserve"> is in reasonable working order</w:t>
      </w:r>
      <w:r w:rsidR="002E683B" w:rsidRPr="008743DC">
        <w:rPr>
          <w:rFonts w:cs="Times New Roman"/>
          <w:b/>
          <w:szCs w:val="28"/>
        </w:rPr>
        <w:t xml:space="preserve"> at the scheduled time for replacement, the Defendant will be exempted from replacing the item until such time as the item is no longer in good working or</w:t>
      </w:r>
      <w:r w:rsidR="009534F1" w:rsidRPr="008743DC">
        <w:rPr>
          <w:rFonts w:cs="Times New Roman"/>
          <w:b/>
          <w:szCs w:val="28"/>
        </w:rPr>
        <w:t>der</w:t>
      </w:r>
      <w:r w:rsidR="00BB76F3" w:rsidRPr="008743DC">
        <w:rPr>
          <w:rFonts w:cs="Times New Roman"/>
          <w:b/>
          <w:szCs w:val="28"/>
        </w:rPr>
        <w:t>,</w:t>
      </w:r>
      <w:r w:rsidR="009534F1" w:rsidRPr="008743DC">
        <w:rPr>
          <w:rFonts w:cs="Times New Roman"/>
          <w:b/>
          <w:szCs w:val="28"/>
        </w:rPr>
        <w:t xml:space="preserve"> and the scheduled dates for </w:t>
      </w:r>
      <w:r w:rsidR="002E683B" w:rsidRPr="008743DC">
        <w:rPr>
          <w:rFonts w:cs="Times New Roman"/>
          <w:b/>
          <w:szCs w:val="28"/>
        </w:rPr>
        <w:t>further replacement will be delayed accordingly.</w:t>
      </w:r>
    </w:p>
    <w:p w:rsidR="0058631D" w:rsidRDefault="0058631D" w:rsidP="0058631D">
      <w:pPr>
        <w:pStyle w:val="ListParagraph"/>
        <w:ind w:left="1494" w:right="1134"/>
        <w:rPr>
          <w:rFonts w:cs="Times New Roman"/>
          <w:b/>
          <w:szCs w:val="28"/>
        </w:rPr>
      </w:pPr>
    </w:p>
    <w:p w:rsidR="0058631D" w:rsidRPr="008743DC" w:rsidRDefault="008743DC" w:rsidP="008743DC">
      <w:pPr>
        <w:ind w:left="1494" w:right="1134" w:hanging="360"/>
        <w:rPr>
          <w:rFonts w:cs="Times New Roman"/>
          <w:b/>
          <w:szCs w:val="28"/>
        </w:rPr>
      </w:pPr>
      <w:r>
        <w:rPr>
          <w:rFonts w:cs="Times New Roman"/>
          <w:b/>
          <w:szCs w:val="28"/>
        </w:rPr>
        <w:t>6.</w:t>
      </w:r>
      <w:r>
        <w:rPr>
          <w:rFonts w:cs="Times New Roman"/>
          <w:b/>
          <w:szCs w:val="28"/>
        </w:rPr>
        <w:tab/>
      </w:r>
      <w:r w:rsidR="0058631D" w:rsidRPr="008743DC">
        <w:rPr>
          <w:rFonts w:cs="Times New Roman"/>
          <w:b/>
          <w:szCs w:val="28"/>
        </w:rPr>
        <w:t xml:space="preserve">In the event </w:t>
      </w:r>
      <w:r w:rsidR="00811309" w:rsidRPr="008743DC">
        <w:rPr>
          <w:rFonts w:cs="Times New Roman"/>
          <w:b/>
          <w:szCs w:val="28"/>
        </w:rPr>
        <w:t>that an item in a</w:t>
      </w:r>
      <w:r w:rsidR="0058631D" w:rsidRPr="008743DC">
        <w:rPr>
          <w:rFonts w:cs="Times New Roman"/>
          <w:b/>
          <w:szCs w:val="28"/>
        </w:rPr>
        <w:t xml:space="preserve">nnexure </w:t>
      </w:r>
      <w:r w:rsidR="00BB76F3" w:rsidRPr="008743DC">
        <w:rPr>
          <w:rFonts w:cs="Times New Roman"/>
          <w:b/>
          <w:szCs w:val="28"/>
        </w:rPr>
        <w:t>“</w:t>
      </w:r>
      <w:r w:rsidR="0058631D" w:rsidRPr="008743DC">
        <w:rPr>
          <w:rFonts w:cs="Times New Roman"/>
          <w:b/>
          <w:szCs w:val="28"/>
        </w:rPr>
        <w:t>B</w:t>
      </w:r>
      <w:r w:rsidR="00BB76F3" w:rsidRPr="008743DC">
        <w:rPr>
          <w:rFonts w:cs="Times New Roman"/>
          <w:b/>
          <w:szCs w:val="28"/>
        </w:rPr>
        <w:t>”</w:t>
      </w:r>
      <w:r w:rsidR="0058631D" w:rsidRPr="008743DC">
        <w:rPr>
          <w:rFonts w:cs="Times New Roman"/>
          <w:b/>
          <w:szCs w:val="28"/>
        </w:rPr>
        <w:t xml:space="preserve"> is no longer in reasonable working order prior to the time scheduled for replacement, the Defendant shall replace it unless the condition of the item is manifestly the result of unreasonable use or neglect.</w:t>
      </w:r>
    </w:p>
    <w:p w:rsidR="0058631D" w:rsidRPr="0058631D" w:rsidRDefault="0058631D" w:rsidP="0058631D">
      <w:pPr>
        <w:pStyle w:val="ListParagraph"/>
        <w:rPr>
          <w:rFonts w:cs="Times New Roman"/>
          <w:b/>
          <w:szCs w:val="28"/>
        </w:rPr>
      </w:pPr>
    </w:p>
    <w:p w:rsidR="0058631D" w:rsidRPr="008743DC" w:rsidRDefault="008743DC" w:rsidP="008743DC">
      <w:pPr>
        <w:ind w:left="1494" w:right="1134" w:hanging="360"/>
        <w:rPr>
          <w:rFonts w:cs="Times New Roman"/>
          <w:b/>
          <w:szCs w:val="28"/>
        </w:rPr>
      </w:pPr>
      <w:r>
        <w:rPr>
          <w:rFonts w:cs="Times New Roman"/>
          <w:b/>
          <w:szCs w:val="28"/>
        </w:rPr>
        <w:t>7.</w:t>
      </w:r>
      <w:r>
        <w:rPr>
          <w:rFonts w:cs="Times New Roman"/>
          <w:b/>
          <w:szCs w:val="28"/>
        </w:rPr>
        <w:tab/>
      </w:r>
      <w:r w:rsidR="0058631D" w:rsidRPr="008743DC">
        <w:rPr>
          <w:rFonts w:cs="Times New Roman"/>
          <w:b/>
          <w:szCs w:val="28"/>
        </w:rPr>
        <w:t>In order to access all the medical services an</w:t>
      </w:r>
      <w:r w:rsidR="00811309" w:rsidRPr="008743DC">
        <w:rPr>
          <w:rFonts w:cs="Times New Roman"/>
          <w:b/>
          <w:szCs w:val="28"/>
        </w:rPr>
        <w:t>d medical supplies itemised in a</w:t>
      </w:r>
      <w:r w:rsidR="0058631D" w:rsidRPr="008743DC">
        <w:rPr>
          <w:rFonts w:cs="Times New Roman"/>
          <w:b/>
          <w:szCs w:val="28"/>
        </w:rPr>
        <w:t xml:space="preserve">nnexures </w:t>
      </w:r>
      <w:r w:rsidR="00C07984" w:rsidRPr="008743DC">
        <w:rPr>
          <w:rFonts w:cs="Times New Roman"/>
          <w:b/>
          <w:szCs w:val="28"/>
        </w:rPr>
        <w:t>“</w:t>
      </w:r>
      <w:r w:rsidR="0058631D" w:rsidRPr="008743DC">
        <w:rPr>
          <w:rFonts w:cs="Times New Roman"/>
          <w:b/>
          <w:szCs w:val="28"/>
        </w:rPr>
        <w:t>A</w:t>
      </w:r>
      <w:r w:rsidR="00C07984" w:rsidRPr="008743DC">
        <w:rPr>
          <w:rFonts w:cs="Times New Roman"/>
          <w:b/>
          <w:szCs w:val="28"/>
        </w:rPr>
        <w:t>”</w:t>
      </w:r>
      <w:r w:rsidR="00811309" w:rsidRPr="008743DC">
        <w:rPr>
          <w:rFonts w:cs="Times New Roman"/>
          <w:b/>
          <w:szCs w:val="28"/>
        </w:rPr>
        <w:t xml:space="preserve"> and </w:t>
      </w:r>
      <w:r w:rsidR="00C07984" w:rsidRPr="008743DC">
        <w:rPr>
          <w:rFonts w:cs="Times New Roman"/>
          <w:b/>
          <w:szCs w:val="28"/>
        </w:rPr>
        <w:t>“</w:t>
      </w:r>
      <w:r w:rsidR="00811309" w:rsidRPr="008743DC">
        <w:rPr>
          <w:rFonts w:cs="Times New Roman"/>
          <w:b/>
          <w:szCs w:val="28"/>
        </w:rPr>
        <w:t>B</w:t>
      </w:r>
      <w:r w:rsidR="00C07984" w:rsidRPr="008743DC">
        <w:rPr>
          <w:rFonts w:cs="Times New Roman"/>
          <w:b/>
          <w:szCs w:val="28"/>
        </w:rPr>
        <w:t>”</w:t>
      </w:r>
      <w:r w:rsidR="00811309" w:rsidRPr="008743DC">
        <w:rPr>
          <w:rFonts w:cs="Times New Roman"/>
          <w:b/>
          <w:szCs w:val="28"/>
        </w:rPr>
        <w:t xml:space="preserve"> to this order at the h</w:t>
      </w:r>
      <w:r w:rsidR="0058631D" w:rsidRPr="008743DC">
        <w:rPr>
          <w:rFonts w:cs="Times New Roman"/>
          <w:b/>
          <w:szCs w:val="28"/>
        </w:rPr>
        <w:t>ospital as and when they become due, the public case manager will act as liaison person.</w:t>
      </w:r>
    </w:p>
    <w:p w:rsidR="0058631D" w:rsidRPr="0058631D" w:rsidRDefault="0058631D" w:rsidP="0058631D">
      <w:pPr>
        <w:pStyle w:val="ListParagraph"/>
        <w:rPr>
          <w:rFonts w:cs="Times New Roman"/>
          <w:b/>
          <w:szCs w:val="28"/>
        </w:rPr>
      </w:pPr>
    </w:p>
    <w:p w:rsidR="0058631D" w:rsidRPr="008743DC" w:rsidRDefault="008743DC" w:rsidP="008743DC">
      <w:pPr>
        <w:ind w:left="1494" w:right="1134" w:hanging="360"/>
        <w:rPr>
          <w:rFonts w:cs="Times New Roman"/>
          <w:b/>
          <w:szCs w:val="28"/>
        </w:rPr>
      </w:pPr>
      <w:r>
        <w:rPr>
          <w:rFonts w:cs="Times New Roman"/>
          <w:b/>
          <w:szCs w:val="28"/>
        </w:rPr>
        <w:t>8.</w:t>
      </w:r>
      <w:r>
        <w:rPr>
          <w:rFonts w:cs="Times New Roman"/>
          <w:b/>
          <w:szCs w:val="28"/>
        </w:rPr>
        <w:tab/>
      </w:r>
      <w:r w:rsidR="0058631D" w:rsidRPr="008743DC">
        <w:rPr>
          <w:rFonts w:cs="Times New Roman"/>
          <w:b/>
          <w:szCs w:val="28"/>
        </w:rPr>
        <w:t>The public case manager shal</w:t>
      </w:r>
      <w:r w:rsidR="009534F1" w:rsidRPr="008743DC">
        <w:rPr>
          <w:rFonts w:cs="Times New Roman"/>
          <w:b/>
          <w:szCs w:val="28"/>
        </w:rPr>
        <w:t>l notify the Plaintiff and BN</w:t>
      </w:r>
      <w:r w:rsidR="0058631D" w:rsidRPr="008743DC">
        <w:rPr>
          <w:rFonts w:cs="Times New Roman"/>
          <w:b/>
          <w:szCs w:val="28"/>
        </w:rPr>
        <w:t>’s private case manager in writing of –</w:t>
      </w:r>
    </w:p>
    <w:p w:rsidR="0058631D" w:rsidRPr="0058631D" w:rsidRDefault="0058631D" w:rsidP="0058631D">
      <w:pPr>
        <w:pStyle w:val="ListParagraph"/>
        <w:rPr>
          <w:rFonts w:cs="Times New Roman"/>
          <w:b/>
          <w:szCs w:val="28"/>
        </w:rPr>
      </w:pPr>
    </w:p>
    <w:p w:rsidR="0058631D" w:rsidRPr="008743DC" w:rsidRDefault="008743DC" w:rsidP="008743DC">
      <w:pPr>
        <w:ind w:left="2154" w:right="1134" w:hanging="660"/>
        <w:rPr>
          <w:rFonts w:cs="Times New Roman"/>
          <w:b/>
          <w:szCs w:val="28"/>
        </w:rPr>
      </w:pPr>
      <w:r>
        <w:rPr>
          <w:rFonts w:cs="Times New Roman"/>
          <w:b/>
          <w:szCs w:val="28"/>
        </w:rPr>
        <w:lastRenderedPageBreak/>
        <w:t>8.1</w:t>
      </w:r>
      <w:r>
        <w:rPr>
          <w:rFonts w:cs="Times New Roman"/>
          <w:b/>
          <w:szCs w:val="28"/>
        </w:rPr>
        <w:tab/>
      </w:r>
      <w:r w:rsidR="0058631D" w:rsidRPr="008743DC">
        <w:rPr>
          <w:rFonts w:cs="Times New Roman"/>
          <w:b/>
          <w:szCs w:val="28"/>
        </w:rPr>
        <w:t>his or her contact details, including cell phone number, lan</w:t>
      </w:r>
      <w:r w:rsidR="009616BC" w:rsidRPr="008743DC">
        <w:rPr>
          <w:rFonts w:cs="Times New Roman"/>
          <w:b/>
          <w:szCs w:val="28"/>
        </w:rPr>
        <w:t>dline number, email address and office location within the hospital, immediately upon appointment; and</w:t>
      </w:r>
    </w:p>
    <w:p w:rsidR="009616BC" w:rsidRDefault="009616BC" w:rsidP="009616BC">
      <w:pPr>
        <w:pStyle w:val="ListParagraph"/>
        <w:ind w:left="2154" w:right="1134"/>
        <w:rPr>
          <w:rFonts w:cs="Times New Roman"/>
          <w:b/>
          <w:szCs w:val="28"/>
        </w:rPr>
      </w:pPr>
    </w:p>
    <w:p w:rsidR="009616BC" w:rsidRPr="008743DC" w:rsidRDefault="008743DC" w:rsidP="008743DC">
      <w:pPr>
        <w:ind w:left="2154" w:right="1134" w:hanging="660"/>
        <w:rPr>
          <w:rFonts w:cs="Times New Roman"/>
          <w:b/>
          <w:szCs w:val="28"/>
        </w:rPr>
      </w:pPr>
      <w:r>
        <w:rPr>
          <w:rFonts w:cs="Times New Roman"/>
          <w:b/>
          <w:szCs w:val="28"/>
        </w:rPr>
        <w:t>8.2</w:t>
      </w:r>
      <w:r>
        <w:rPr>
          <w:rFonts w:cs="Times New Roman"/>
          <w:b/>
          <w:szCs w:val="28"/>
        </w:rPr>
        <w:tab/>
      </w:r>
      <w:r w:rsidR="009616BC" w:rsidRPr="008743DC">
        <w:rPr>
          <w:rFonts w:cs="Times New Roman"/>
          <w:b/>
          <w:szCs w:val="28"/>
        </w:rPr>
        <w:t>any change of the incumbent public case manager within 14 (fourteen) days of such change; and</w:t>
      </w:r>
    </w:p>
    <w:p w:rsidR="009616BC" w:rsidRPr="009616BC" w:rsidRDefault="009616BC" w:rsidP="009616BC">
      <w:pPr>
        <w:pStyle w:val="ListParagraph"/>
        <w:rPr>
          <w:rFonts w:cs="Times New Roman"/>
          <w:b/>
          <w:szCs w:val="28"/>
        </w:rPr>
      </w:pPr>
    </w:p>
    <w:p w:rsidR="009616BC" w:rsidRDefault="00A20420" w:rsidP="00AA63F5">
      <w:pPr>
        <w:pStyle w:val="ListParagraph"/>
        <w:ind w:left="2154" w:right="1134"/>
        <w:rPr>
          <w:rFonts w:cs="Times New Roman"/>
          <w:b/>
          <w:szCs w:val="28"/>
        </w:rPr>
      </w:pPr>
      <w:r>
        <w:rPr>
          <w:rFonts w:cs="Times New Roman"/>
          <w:b/>
          <w:szCs w:val="28"/>
        </w:rPr>
        <w:t xml:space="preserve">the </w:t>
      </w:r>
      <w:r w:rsidR="00AA63F5">
        <w:rPr>
          <w:rFonts w:cs="Times New Roman"/>
          <w:b/>
          <w:szCs w:val="28"/>
        </w:rPr>
        <w:t>plaintiff and the private case manager must notify the public case manager of their contact details, including cell phone number</w:t>
      </w:r>
      <w:r w:rsidR="00C07984">
        <w:rPr>
          <w:rFonts w:cs="Times New Roman"/>
          <w:b/>
          <w:szCs w:val="28"/>
        </w:rPr>
        <w:t>s</w:t>
      </w:r>
      <w:r w:rsidR="00AA63F5">
        <w:rPr>
          <w:rFonts w:cs="Times New Roman"/>
          <w:b/>
          <w:szCs w:val="28"/>
        </w:rPr>
        <w:t>, landline number</w:t>
      </w:r>
      <w:r w:rsidR="00C07984">
        <w:rPr>
          <w:rFonts w:cs="Times New Roman"/>
          <w:b/>
          <w:szCs w:val="28"/>
        </w:rPr>
        <w:t>s</w:t>
      </w:r>
      <w:r w:rsidR="00AA63F5">
        <w:rPr>
          <w:rFonts w:cs="Times New Roman"/>
          <w:b/>
          <w:szCs w:val="28"/>
        </w:rPr>
        <w:t>, email address</w:t>
      </w:r>
      <w:r w:rsidR="00C07984">
        <w:rPr>
          <w:rFonts w:cs="Times New Roman"/>
          <w:b/>
          <w:szCs w:val="28"/>
        </w:rPr>
        <w:t>es</w:t>
      </w:r>
      <w:r w:rsidR="00AA63F5">
        <w:rPr>
          <w:rFonts w:cs="Times New Roman"/>
          <w:b/>
          <w:szCs w:val="28"/>
        </w:rPr>
        <w:t xml:space="preserve"> and office or home address</w:t>
      </w:r>
      <w:r w:rsidR="00C07984">
        <w:rPr>
          <w:rFonts w:cs="Times New Roman"/>
          <w:b/>
          <w:szCs w:val="28"/>
        </w:rPr>
        <w:t>es</w:t>
      </w:r>
      <w:r w:rsidR="00AA63F5">
        <w:rPr>
          <w:rFonts w:cs="Times New Roman"/>
          <w:b/>
          <w:szCs w:val="28"/>
        </w:rPr>
        <w:t>, upon notification in terms of paragraph 8.1 and 8.2 or upon any change in such contact details.</w:t>
      </w:r>
    </w:p>
    <w:p w:rsidR="00BA0EDA" w:rsidRDefault="00BA0EDA" w:rsidP="00AA63F5">
      <w:pPr>
        <w:pStyle w:val="ListParagraph"/>
        <w:ind w:left="2154" w:right="1134"/>
        <w:rPr>
          <w:rFonts w:cs="Times New Roman"/>
          <w:b/>
          <w:szCs w:val="28"/>
        </w:rPr>
      </w:pPr>
    </w:p>
    <w:p w:rsidR="00BA0EDA" w:rsidRDefault="00414C4F" w:rsidP="00414C4F">
      <w:pPr>
        <w:pStyle w:val="ListParagraph"/>
        <w:ind w:left="1134" w:right="1134"/>
        <w:rPr>
          <w:rFonts w:cs="Times New Roman"/>
          <w:b/>
          <w:szCs w:val="28"/>
        </w:rPr>
      </w:pPr>
      <w:r>
        <w:rPr>
          <w:rFonts w:cs="Times New Roman"/>
          <w:b/>
          <w:szCs w:val="28"/>
        </w:rPr>
        <w:t>UNDERTAKING TO PAY REMEDY</w:t>
      </w:r>
    </w:p>
    <w:p w:rsidR="00414C4F" w:rsidRPr="008743DC" w:rsidRDefault="008743DC" w:rsidP="008743DC">
      <w:pPr>
        <w:ind w:left="1494" w:right="1134" w:hanging="360"/>
        <w:rPr>
          <w:rFonts w:cs="Times New Roman"/>
          <w:b/>
          <w:szCs w:val="28"/>
        </w:rPr>
      </w:pPr>
      <w:r>
        <w:rPr>
          <w:rFonts w:cs="Times New Roman"/>
          <w:b/>
          <w:szCs w:val="28"/>
        </w:rPr>
        <w:t>9.</w:t>
      </w:r>
      <w:r>
        <w:rPr>
          <w:rFonts w:cs="Times New Roman"/>
          <w:b/>
          <w:szCs w:val="28"/>
        </w:rPr>
        <w:tab/>
      </w:r>
      <w:r w:rsidR="00414C4F" w:rsidRPr="008743DC">
        <w:rPr>
          <w:rFonts w:cs="Times New Roman"/>
          <w:b/>
          <w:szCs w:val="28"/>
        </w:rPr>
        <w:t xml:space="preserve">The Defendant shall in respect of the medical services and </w:t>
      </w:r>
      <w:r w:rsidR="00811309" w:rsidRPr="008743DC">
        <w:rPr>
          <w:rFonts w:cs="Times New Roman"/>
          <w:b/>
          <w:szCs w:val="28"/>
        </w:rPr>
        <w:t>the medical supplies listed in a</w:t>
      </w:r>
      <w:r w:rsidR="00414C4F" w:rsidRPr="008743DC">
        <w:rPr>
          <w:rFonts w:cs="Times New Roman"/>
          <w:b/>
          <w:szCs w:val="28"/>
        </w:rPr>
        <w:t xml:space="preserve">nnexure </w:t>
      </w:r>
      <w:r w:rsidR="00C07984" w:rsidRPr="008743DC">
        <w:rPr>
          <w:rFonts w:cs="Times New Roman"/>
          <w:b/>
          <w:szCs w:val="28"/>
        </w:rPr>
        <w:t>“</w:t>
      </w:r>
      <w:r w:rsidR="00414C4F" w:rsidRPr="008743DC">
        <w:rPr>
          <w:rFonts w:cs="Times New Roman"/>
          <w:b/>
          <w:szCs w:val="28"/>
        </w:rPr>
        <w:t>C</w:t>
      </w:r>
      <w:r w:rsidR="00C07984" w:rsidRPr="008743DC">
        <w:rPr>
          <w:rFonts w:cs="Times New Roman"/>
          <w:b/>
          <w:szCs w:val="28"/>
        </w:rPr>
        <w:t>”</w:t>
      </w:r>
      <w:r w:rsidR="00414C4F" w:rsidRPr="008743DC">
        <w:rPr>
          <w:rFonts w:cs="Times New Roman"/>
          <w:b/>
          <w:szCs w:val="28"/>
        </w:rPr>
        <w:t xml:space="preserve"> at the Defendant’s election- </w:t>
      </w:r>
    </w:p>
    <w:p w:rsidR="00A20420" w:rsidRPr="00A20420" w:rsidRDefault="00A20420" w:rsidP="00A20420">
      <w:pPr>
        <w:pStyle w:val="ListParagraph"/>
        <w:ind w:left="1494" w:right="1134"/>
        <w:rPr>
          <w:rFonts w:cs="Times New Roman"/>
          <w:b/>
          <w:szCs w:val="28"/>
        </w:rPr>
      </w:pPr>
    </w:p>
    <w:p w:rsidR="00414C4F" w:rsidRPr="008743DC" w:rsidRDefault="008743DC" w:rsidP="008743DC">
      <w:pPr>
        <w:ind w:left="2154" w:right="1134" w:hanging="660"/>
        <w:rPr>
          <w:rFonts w:cs="Times New Roman"/>
          <w:b/>
          <w:szCs w:val="28"/>
        </w:rPr>
      </w:pPr>
      <w:r>
        <w:rPr>
          <w:rFonts w:cs="Times New Roman"/>
          <w:b/>
          <w:szCs w:val="28"/>
        </w:rPr>
        <w:t>9.1</w:t>
      </w:r>
      <w:r>
        <w:rPr>
          <w:rFonts w:cs="Times New Roman"/>
          <w:b/>
          <w:szCs w:val="28"/>
        </w:rPr>
        <w:tab/>
      </w:r>
      <w:r w:rsidR="00161345" w:rsidRPr="008743DC">
        <w:rPr>
          <w:rFonts w:cs="Times New Roman"/>
          <w:b/>
          <w:szCs w:val="28"/>
        </w:rPr>
        <w:t>procure the medical service or medical supply required in the private healthcare sector so as to be provided timeously whene</w:t>
      </w:r>
      <w:r w:rsidR="00811309" w:rsidRPr="008743DC">
        <w:rPr>
          <w:rFonts w:cs="Times New Roman"/>
          <w:b/>
          <w:szCs w:val="28"/>
        </w:rPr>
        <w:t>ver it is required in terms of a</w:t>
      </w:r>
      <w:r w:rsidR="00161345" w:rsidRPr="008743DC">
        <w:rPr>
          <w:rFonts w:cs="Times New Roman"/>
          <w:b/>
          <w:szCs w:val="28"/>
        </w:rPr>
        <w:t xml:space="preserve">nnexure </w:t>
      </w:r>
      <w:r w:rsidR="00C07984" w:rsidRPr="008743DC">
        <w:rPr>
          <w:rFonts w:cs="Times New Roman"/>
          <w:b/>
          <w:szCs w:val="28"/>
        </w:rPr>
        <w:t>“</w:t>
      </w:r>
      <w:r w:rsidR="00161345" w:rsidRPr="008743DC">
        <w:rPr>
          <w:rFonts w:cs="Times New Roman"/>
          <w:b/>
          <w:szCs w:val="28"/>
        </w:rPr>
        <w:t>C</w:t>
      </w:r>
      <w:r w:rsidR="00C07984" w:rsidRPr="008743DC">
        <w:rPr>
          <w:rFonts w:cs="Times New Roman"/>
          <w:b/>
          <w:szCs w:val="28"/>
        </w:rPr>
        <w:t>”</w:t>
      </w:r>
      <w:r w:rsidR="00161345" w:rsidRPr="008743DC">
        <w:rPr>
          <w:rFonts w:cs="Times New Roman"/>
          <w:b/>
          <w:szCs w:val="28"/>
        </w:rPr>
        <w:t>; or</w:t>
      </w:r>
    </w:p>
    <w:p w:rsidR="00161345" w:rsidRDefault="00161345" w:rsidP="00161345">
      <w:pPr>
        <w:pStyle w:val="ListParagraph"/>
        <w:ind w:left="2154" w:right="1134"/>
        <w:rPr>
          <w:rFonts w:cs="Times New Roman"/>
          <w:b/>
          <w:szCs w:val="28"/>
        </w:rPr>
      </w:pPr>
    </w:p>
    <w:p w:rsidR="00161345" w:rsidRPr="008743DC" w:rsidRDefault="008743DC" w:rsidP="008743DC">
      <w:pPr>
        <w:ind w:left="2154" w:right="1134" w:hanging="660"/>
        <w:rPr>
          <w:rFonts w:cs="Times New Roman"/>
          <w:b/>
          <w:szCs w:val="28"/>
        </w:rPr>
      </w:pPr>
      <w:r>
        <w:rPr>
          <w:rFonts w:cs="Times New Roman"/>
          <w:b/>
          <w:szCs w:val="28"/>
        </w:rPr>
        <w:t>9.2</w:t>
      </w:r>
      <w:r>
        <w:rPr>
          <w:rFonts w:cs="Times New Roman"/>
          <w:b/>
          <w:szCs w:val="28"/>
        </w:rPr>
        <w:tab/>
      </w:r>
      <w:r w:rsidR="00161345" w:rsidRPr="008743DC">
        <w:rPr>
          <w:rFonts w:cs="Times New Roman"/>
          <w:b/>
          <w:szCs w:val="28"/>
        </w:rPr>
        <w:t>reimburse the Plaintiff, or any trust established for the</w:t>
      </w:r>
      <w:r w:rsidR="00165DAE" w:rsidRPr="008743DC">
        <w:rPr>
          <w:rFonts w:cs="Times New Roman"/>
          <w:b/>
          <w:szCs w:val="28"/>
        </w:rPr>
        <w:t xml:space="preserve"> benefit of BN</w:t>
      </w:r>
      <w:r w:rsidR="00161345" w:rsidRPr="008743DC">
        <w:rPr>
          <w:rFonts w:cs="Times New Roman"/>
          <w:b/>
          <w:szCs w:val="28"/>
        </w:rPr>
        <w:t xml:space="preserve">, for their expenses reasonably incurred in procuring the medical service or medical supply in the private healthcare sector, within 30 days of presentation of an invoice for </w:t>
      </w:r>
      <w:r w:rsidR="00C07984" w:rsidRPr="008743DC">
        <w:rPr>
          <w:rFonts w:cs="Times New Roman"/>
          <w:b/>
          <w:szCs w:val="28"/>
        </w:rPr>
        <w:t>these</w:t>
      </w:r>
      <w:r w:rsidR="00161345" w:rsidRPr="008743DC">
        <w:rPr>
          <w:rFonts w:cs="Times New Roman"/>
          <w:b/>
          <w:szCs w:val="28"/>
        </w:rPr>
        <w:t>.</w:t>
      </w:r>
    </w:p>
    <w:p w:rsidR="00161345" w:rsidRPr="00161345" w:rsidRDefault="00161345" w:rsidP="00161345">
      <w:pPr>
        <w:pStyle w:val="ListParagraph"/>
        <w:rPr>
          <w:rFonts w:cs="Times New Roman"/>
          <w:b/>
          <w:szCs w:val="28"/>
        </w:rPr>
      </w:pPr>
    </w:p>
    <w:p w:rsidR="00161345" w:rsidRPr="008743DC" w:rsidRDefault="008743DC" w:rsidP="008743DC">
      <w:pPr>
        <w:ind w:left="1494" w:right="1134" w:hanging="360"/>
        <w:rPr>
          <w:rFonts w:cs="Times New Roman"/>
          <w:b/>
          <w:szCs w:val="28"/>
        </w:rPr>
      </w:pPr>
      <w:r>
        <w:rPr>
          <w:rFonts w:cs="Times New Roman"/>
          <w:b/>
          <w:szCs w:val="28"/>
        </w:rPr>
        <w:t>10.</w:t>
      </w:r>
      <w:r>
        <w:rPr>
          <w:rFonts w:cs="Times New Roman"/>
          <w:b/>
          <w:szCs w:val="28"/>
        </w:rPr>
        <w:tab/>
      </w:r>
      <w:r w:rsidR="00D152F7" w:rsidRPr="008743DC">
        <w:rPr>
          <w:rFonts w:cs="Times New Roman"/>
          <w:b/>
          <w:szCs w:val="28"/>
        </w:rPr>
        <w:t xml:space="preserve"> By no later </w:t>
      </w:r>
      <w:r w:rsidR="00690F52" w:rsidRPr="008743DC">
        <w:rPr>
          <w:rFonts w:cs="Times New Roman"/>
          <w:b/>
          <w:szCs w:val="28"/>
        </w:rPr>
        <w:t>than 30 June of each year, BN</w:t>
      </w:r>
      <w:r w:rsidR="00D152F7" w:rsidRPr="008743DC">
        <w:rPr>
          <w:rFonts w:cs="Times New Roman"/>
          <w:b/>
          <w:szCs w:val="28"/>
        </w:rPr>
        <w:t>’s private case manager and the public case manager shall jointly submit to the Chief Financial Officer of the Department of Health, Eastern Cape</w:t>
      </w:r>
      <w:r w:rsidR="00C07984" w:rsidRPr="008743DC">
        <w:rPr>
          <w:rFonts w:cs="Times New Roman"/>
          <w:b/>
          <w:szCs w:val="28"/>
        </w:rPr>
        <w:t>,</w:t>
      </w:r>
      <w:r w:rsidR="00D152F7" w:rsidRPr="008743DC">
        <w:rPr>
          <w:rFonts w:cs="Times New Roman"/>
          <w:b/>
          <w:szCs w:val="28"/>
        </w:rPr>
        <w:t xml:space="preserve"> a care and management plan for the following financial year setting out the medical services and supplies to be provided to </w:t>
      </w:r>
      <w:r w:rsidR="00690F52" w:rsidRPr="008743DC">
        <w:rPr>
          <w:rFonts w:cs="Times New Roman"/>
          <w:b/>
          <w:szCs w:val="28"/>
        </w:rPr>
        <w:t>BN</w:t>
      </w:r>
      <w:r w:rsidR="00811309" w:rsidRPr="008743DC">
        <w:rPr>
          <w:rFonts w:cs="Times New Roman"/>
          <w:b/>
          <w:szCs w:val="28"/>
        </w:rPr>
        <w:t xml:space="preserve"> in terms of a</w:t>
      </w:r>
      <w:r w:rsidR="00D152F7" w:rsidRPr="008743DC">
        <w:rPr>
          <w:rFonts w:cs="Times New Roman"/>
          <w:b/>
          <w:szCs w:val="28"/>
        </w:rPr>
        <w:t xml:space="preserve">nnexure </w:t>
      </w:r>
      <w:r w:rsidR="00C07984" w:rsidRPr="008743DC">
        <w:rPr>
          <w:rFonts w:cs="Times New Roman"/>
          <w:b/>
          <w:szCs w:val="28"/>
        </w:rPr>
        <w:t>“</w:t>
      </w:r>
      <w:r w:rsidR="00D152F7" w:rsidRPr="008743DC">
        <w:rPr>
          <w:rFonts w:cs="Times New Roman"/>
          <w:b/>
          <w:szCs w:val="28"/>
        </w:rPr>
        <w:t>C</w:t>
      </w:r>
      <w:r w:rsidR="00C07984" w:rsidRPr="008743DC">
        <w:rPr>
          <w:rFonts w:cs="Times New Roman"/>
          <w:b/>
          <w:szCs w:val="28"/>
        </w:rPr>
        <w:t>”</w:t>
      </w:r>
      <w:r w:rsidR="00D152F7" w:rsidRPr="008743DC">
        <w:rPr>
          <w:rFonts w:cs="Times New Roman"/>
          <w:b/>
          <w:szCs w:val="28"/>
        </w:rPr>
        <w:t xml:space="preserve"> during the next financial year and the estimated cost of each item.</w:t>
      </w:r>
    </w:p>
    <w:p w:rsidR="00D152F7" w:rsidRDefault="00D152F7" w:rsidP="00D152F7">
      <w:pPr>
        <w:pStyle w:val="ListParagraph"/>
        <w:ind w:left="1494" w:right="1134"/>
        <w:rPr>
          <w:rFonts w:cs="Times New Roman"/>
          <w:b/>
          <w:szCs w:val="28"/>
        </w:rPr>
      </w:pPr>
    </w:p>
    <w:p w:rsidR="00D152F7" w:rsidRPr="008743DC" w:rsidRDefault="008743DC" w:rsidP="008743DC">
      <w:pPr>
        <w:ind w:left="1494" w:right="1134" w:hanging="360"/>
        <w:rPr>
          <w:rFonts w:cs="Times New Roman"/>
          <w:b/>
          <w:szCs w:val="28"/>
        </w:rPr>
      </w:pPr>
      <w:r>
        <w:rPr>
          <w:rFonts w:cs="Times New Roman"/>
          <w:b/>
          <w:szCs w:val="28"/>
        </w:rPr>
        <w:t>11.</w:t>
      </w:r>
      <w:r>
        <w:rPr>
          <w:rFonts w:cs="Times New Roman"/>
          <w:b/>
          <w:szCs w:val="28"/>
        </w:rPr>
        <w:tab/>
      </w:r>
      <w:r w:rsidR="00D152F7" w:rsidRPr="008743DC">
        <w:rPr>
          <w:rFonts w:cs="Times New Roman"/>
          <w:b/>
          <w:szCs w:val="28"/>
        </w:rPr>
        <w:t xml:space="preserve"> Within 30 days of this order and, in subsequent years, by no later than 31 August in each year, the public case manager shall communicate to the Plaintiff, or any trust esta</w:t>
      </w:r>
      <w:r w:rsidR="00690F52" w:rsidRPr="008743DC">
        <w:rPr>
          <w:rFonts w:cs="Times New Roman"/>
          <w:b/>
          <w:szCs w:val="28"/>
        </w:rPr>
        <w:t>blished for the benefit of BN and BN</w:t>
      </w:r>
      <w:r w:rsidR="00D152F7" w:rsidRPr="008743DC">
        <w:rPr>
          <w:rFonts w:cs="Times New Roman"/>
          <w:b/>
          <w:szCs w:val="28"/>
        </w:rPr>
        <w:t>’s private case manager, the defendant’s election referred to in paragraph 9 above.</w:t>
      </w:r>
    </w:p>
    <w:p w:rsidR="00D152F7" w:rsidRPr="00D152F7" w:rsidRDefault="00D152F7" w:rsidP="00D152F7">
      <w:pPr>
        <w:pStyle w:val="ListParagraph"/>
        <w:rPr>
          <w:rFonts w:cs="Times New Roman"/>
          <w:b/>
          <w:szCs w:val="28"/>
        </w:rPr>
      </w:pPr>
    </w:p>
    <w:p w:rsidR="00D152F7" w:rsidRPr="008743DC" w:rsidRDefault="008743DC" w:rsidP="008743DC">
      <w:pPr>
        <w:ind w:left="1494" w:right="1134" w:hanging="360"/>
        <w:rPr>
          <w:rFonts w:cs="Times New Roman"/>
          <w:b/>
          <w:szCs w:val="28"/>
        </w:rPr>
      </w:pPr>
      <w:r>
        <w:rPr>
          <w:rFonts w:cs="Times New Roman"/>
          <w:b/>
          <w:szCs w:val="28"/>
        </w:rPr>
        <w:t>12.</w:t>
      </w:r>
      <w:r>
        <w:rPr>
          <w:rFonts w:cs="Times New Roman"/>
          <w:b/>
          <w:szCs w:val="28"/>
        </w:rPr>
        <w:tab/>
      </w:r>
      <w:r w:rsidR="00D152F7" w:rsidRPr="008743DC">
        <w:rPr>
          <w:rFonts w:cs="Times New Roman"/>
          <w:b/>
          <w:szCs w:val="28"/>
        </w:rPr>
        <w:t xml:space="preserve"> </w:t>
      </w:r>
      <w:r w:rsidR="00D80F0E" w:rsidRPr="008743DC">
        <w:rPr>
          <w:rFonts w:cs="Times New Roman"/>
          <w:b/>
          <w:szCs w:val="28"/>
        </w:rPr>
        <w:t xml:space="preserve">In order to access the medical services and medical supplies referred to in paragraph 9.1 and to claim </w:t>
      </w:r>
      <w:r w:rsidR="00D80F0E" w:rsidRPr="008743DC">
        <w:rPr>
          <w:rFonts w:cs="Times New Roman"/>
          <w:b/>
          <w:szCs w:val="28"/>
        </w:rPr>
        <w:lastRenderedPageBreak/>
        <w:t>reimbursement in terms of paragraph 9.2 the public case manager will act as liaison person.</w:t>
      </w:r>
    </w:p>
    <w:p w:rsidR="00D80F0E" w:rsidRPr="00D80F0E" w:rsidRDefault="00D80F0E" w:rsidP="00D80F0E">
      <w:pPr>
        <w:pStyle w:val="ListParagraph"/>
        <w:rPr>
          <w:rFonts w:cs="Times New Roman"/>
          <w:b/>
          <w:szCs w:val="28"/>
        </w:rPr>
      </w:pPr>
    </w:p>
    <w:p w:rsidR="00D80F0E" w:rsidRDefault="003043A3" w:rsidP="003043A3">
      <w:pPr>
        <w:pStyle w:val="ListParagraph"/>
        <w:ind w:left="1134" w:right="1134"/>
        <w:rPr>
          <w:rFonts w:cs="Times New Roman"/>
          <w:b/>
          <w:szCs w:val="28"/>
        </w:rPr>
      </w:pPr>
      <w:r>
        <w:rPr>
          <w:rFonts w:cs="Times New Roman"/>
          <w:b/>
          <w:szCs w:val="28"/>
        </w:rPr>
        <w:t>UNFORESEEN DEVELOPMENTS</w:t>
      </w:r>
    </w:p>
    <w:p w:rsidR="003043A3" w:rsidRPr="008743DC" w:rsidRDefault="008743DC" w:rsidP="008743DC">
      <w:pPr>
        <w:ind w:left="1494" w:right="1134" w:hanging="360"/>
        <w:rPr>
          <w:rFonts w:cs="Times New Roman"/>
          <w:b/>
          <w:szCs w:val="28"/>
        </w:rPr>
      </w:pPr>
      <w:r>
        <w:rPr>
          <w:rFonts w:cs="Times New Roman"/>
          <w:b/>
          <w:szCs w:val="28"/>
        </w:rPr>
        <w:t>13.</w:t>
      </w:r>
      <w:r>
        <w:rPr>
          <w:rFonts w:cs="Times New Roman"/>
          <w:b/>
          <w:szCs w:val="28"/>
        </w:rPr>
        <w:tab/>
      </w:r>
      <w:r w:rsidR="00C40503" w:rsidRPr="008743DC">
        <w:rPr>
          <w:rFonts w:cs="Times New Roman"/>
          <w:b/>
          <w:szCs w:val="28"/>
        </w:rPr>
        <w:t xml:space="preserve"> In the event of it becomin</w:t>
      </w:r>
      <w:r w:rsidR="00690F52" w:rsidRPr="008743DC">
        <w:rPr>
          <w:rFonts w:cs="Times New Roman"/>
          <w:b/>
          <w:szCs w:val="28"/>
        </w:rPr>
        <w:t>g reasonably necessary for BN</w:t>
      </w:r>
      <w:r w:rsidR="00C40503" w:rsidRPr="008743DC">
        <w:rPr>
          <w:rFonts w:cs="Times New Roman"/>
          <w:b/>
          <w:szCs w:val="28"/>
        </w:rPr>
        <w:t xml:space="preserve"> to receive any medical service or medical supply addi</w:t>
      </w:r>
      <w:r w:rsidR="00811309" w:rsidRPr="008743DC">
        <w:rPr>
          <w:rFonts w:cs="Times New Roman"/>
          <w:b/>
          <w:szCs w:val="28"/>
        </w:rPr>
        <w:t>tional to that provided for in a</w:t>
      </w:r>
      <w:r w:rsidR="00C40503" w:rsidRPr="008743DC">
        <w:rPr>
          <w:rFonts w:cs="Times New Roman"/>
          <w:b/>
          <w:szCs w:val="28"/>
        </w:rPr>
        <w:t xml:space="preserve">nnexures </w:t>
      </w:r>
      <w:r w:rsidR="00C07984" w:rsidRPr="008743DC">
        <w:rPr>
          <w:rFonts w:cs="Times New Roman"/>
          <w:b/>
          <w:szCs w:val="28"/>
        </w:rPr>
        <w:t>“</w:t>
      </w:r>
      <w:r w:rsidR="00C40503" w:rsidRPr="008743DC">
        <w:rPr>
          <w:rFonts w:cs="Times New Roman"/>
          <w:b/>
          <w:szCs w:val="28"/>
        </w:rPr>
        <w:t>A</w:t>
      </w:r>
      <w:r w:rsidR="00C07984" w:rsidRPr="008743DC">
        <w:rPr>
          <w:rFonts w:cs="Times New Roman"/>
          <w:b/>
          <w:szCs w:val="28"/>
        </w:rPr>
        <w:t>”</w:t>
      </w:r>
      <w:r w:rsidR="00C40503" w:rsidRPr="008743DC">
        <w:rPr>
          <w:rFonts w:cs="Times New Roman"/>
          <w:b/>
          <w:szCs w:val="28"/>
        </w:rPr>
        <w:t xml:space="preserve">, </w:t>
      </w:r>
      <w:r w:rsidR="00C07984" w:rsidRPr="008743DC">
        <w:rPr>
          <w:rFonts w:cs="Times New Roman"/>
          <w:b/>
          <w:szCs w:val="28"/>
        </w:rPr>
        <w:t>“</w:t>
      </w:r>
      <w:r w:rsidR="00690F52" w:rsidRPr="008743DC">
        <w:rPr>
          <w:rFonts w:cs="Times New Roman"/>
          <w:b/>
          <w:szCs w:val="28"/>
        </w:rPr>
        <w:t>B</w:t>
      </w:r>
      <w:r w:rsidR="00C07984" w:rsidRPr="008743DC">
        <w:rPr>
          <w:rFonts w:cs="Times New Roman"/>
          <w:b/>
          <w:szCs w:val="28"/>
        </w:rPr>
        <w:t>”</w:t>
      </w:r>
      <w:r w:rsidR="00690F52" w:rsidRPr="008743DC">
        <w:rPr>
          <w:rFonts w:cs="Times New Roman"/>
          <w:b/>
          <w:szCs w:val="28"/>
        </w:rPr>
        <w:t xml:space="preserve"> and </w:t>
      </w:r>
      <w:r w:rsidR="00C07984" w:rsidRPr="008743DC">
        <w:rPr>
          <w:rFonts w:cs="Times New Roman"/>
          <w:b/>
          <w:szCs w:val="28"/>
        </w:rPr>
        <w:t>“</w:t>
      </w:r>
      <w:r w:rsidR="00690F52" w:rsidRPr="008743DC">
        <w:rPr>
          <w:rFonts w:cs="Times New Roman"/>
          <w:b/>
          <w:szCs w:val="28"/>
        </w:rPr>
        <w:t>C</w:t>
      </w:r>
      <w:r w:rsidR="00C07984" w:rsidRPr="008743DC">
        <w:rPr>
          <w:rFonts w:cs="Times New Roman"/>
          <w:b/>
          <w:szCs w:val="28"/>
        </w:rPr>
        <w:t>”</w:t>
      </w:r>
      <w:r w:rsidR="00690F52" w:rsidRPr="008743DC">
        <w:rPr>
          <w:rFonts w:cs="Times New Roman"/>
          <w:b/>
          <w:szCs w:val="28"/>
        </w:rPr>
        <w:t xml:space="preserve"> as a result of BN</w:t>
      </w:r>
      <w:r w:rsidR="00C40503" w:rsidRPr="008743DC">
        <w:rPr>
          <w:rFonts w:cs="Times New Roman"/>
          <w:b/>
          <w:szCs w:val="28"/>
        </w:rPr>
        <w:t>’s cerebral palsy at any point in the remainder of his life, the Defendant shall provide same at one of the hospitals referred to in paragraph 2.2.1, 2.2.2, or 2.2.3 if it is available at such hospital, or, failing that, in accordance with paragraphs 9 to 12 above.</w:t>
      </w:r>
    </w:p>
    <w:p w:rsidR="00C40503" w:rsidRDefault="00C40503" w:rsidP="00C40503">
      <w:pPr>
        <w:pStyle w:val="ListParagraph"/>
        <w:ind w:left="1494" w:right="1134"/>
        <w:rPr>
          <w:rFonts w:cs="Times New Roman"/>
          <w:b/>
          <w:szCs w:val="28"/>
        </w:rPr>
      </w:pPr>
    </w:p>
    <w:p w:rsidR="00C40503" w:rsidRPr="008743DC" w:rsidRDefault="008743DC" w:rsidP="008743DC">
      <w:pPr>
        <w:ind w:left="1494" w:right="1134" w:hanging="360"/>
        <w:rPr>
          <w:rFonts w:cs="Times New Roman"/>
          <w:b/>
          <w:szCs w:val="28"/>
        </w:rPr>
      </w:pPr>
      <w:r w:rsidRPr="00C07984">
        <w:rPr>
          <w:rFonts w:cs="Times New Roman"/>
          <w:b/>
          <w:szCs w:val="28"/>
        </w:rPr>
        <w:t>14.</w:t>
      </w:r>
      <w:r w:rsidRPr="00C07984">
        <w:rPr>
          <w:rFonts w:cs="Times New Roman"/>
          <w:b/>
          <w:szCs w:val="28"/>
        </w:rPr>
        <w:tab/>
      </w:r>
      <w:r w:rsidR="00C40503" w:rsidRPr="008743DC">
        <w:rPr>
          <w:rFonts w:cs="Times New Roman"/>
          <w:b/>
          <w:szCs w:val="28"/>
        </w:rPr>
        <w:t xml:space="preserve"> </w:t>
      </w:r>
      <w:r w:rsidR="00532C97" w:rsidRPr="008743DC">
        <w:rPr>
          <w:rFonts w:cs="Times New Roman"/>
          <w:b/>
          <w:szCs w:val="28"/>
        </w:rPr>
        <w:t>Where it is reason</w:t>
      </w:r>
      <w:r w:rsidR="00811309" w:rsidRPr="008743DC">
        <w:rPr>
          <w:rFonts w:cs="Times New Roman"/>
          <w:b/>
          <w:szCs w:val="28"/>
        </w:rPr>
        <w:t>able to amend any provision of a</w:t>
      </w:r>
      <w:r w:rsidR="00532C97" w:rsidRPr="008743DC">
        <w:rPr>
          <w:rFonts w:cs="Times New Roman"/>
          <w:b/>
          <w:szCs w:val="28"/>
        </w:rPr>
        <w:t xml:space="preserve">nnexures </w:t>
      </w:r>
      <w:r w:rsidR="00C07984" w:rsidRPr="008743DC">
        <w:rPr>
          <w:rFonts w:cs="Times New Roman"/>
          <w:b/>
          <w:szCs w:val="28"/>
        </w:rPr>
        <w:t>“</w:t>
      </w:r>
      <w:r w:rsidR="00532C97" w:rsidRPr="008743DC">
        <w:rPr>
          <w:rFonts w:cs="Times New Roman"/>
          <w:b/>
          <w:szCs w:val="28"/>
        </w:rPr>
        <w:t>A</w:t>
      </w:r>
      <w:r w:rsidR="00C07984" w:rsidRPr="008743DC">
        <w:rPr>
          <w:rFonts w:cs="Times New Roman"/>
          <w:b/>
          <w:szCs w:val="28"/>
        </w:rPr>
        <w:t>”</w:t>
      </w:r>
      <w:r w:rsidR="00532C97" w:rsidRPr="008743DC">
        <w:rPr>
          <w:rFonts w:cs="Times New Roman"/>
          <w:b/>
          <w:szCs w:val="28"/>
        </w:rPr>
        <w:t xml:space="preserve">, </w:t>
      </w:r>
      <w:r w:rsidR="00C07984" w:rsidRPr="008743DC">
        <w:rPr>
          <w:rFonts w:cs="Times New Roman"/>
          <w:b/>
          <w:szCs w:val="28"/>
        </w:rPr>
        <w:t>“</w:t>
      </w:r>
      <w:r w:rsidR="00532C97" w:rsidRPr="008743DC">
        <w:rPr>
          <w:rFonts w:cs="Times New Roman"/>
          <w:b/>
          <w:szCs w:val="28"/>
        </w:rPr>
        <w:t>B</w:t>
      </w:r>
      <w:r w:rsidR="00C07984" w:rsidRPr="008743DC">
        <w:rPr>
          <w:rFonts w:cs="Times New Roman"/>
          <w:b/>
          <w:szCs w:val="28"/>
        </w:rPr>
        <w:t>”</w:t>
      </w:r>
      <w:r w:rsidR="00532C97" w:rsidRPr="008743DC">
        <w:rPr>
          <w:rFonts w:cs="Times New Roman"/>
          <w:b/>
          <w:szCs w:val="28"/>
        </w:rPr>
        <w:t xml:space="preserve"> or </w:t>
      </w:r>
      <w:r w:rsidR="00C07984" w:rsidRPr="008743DC">
        <w:rPr>
          <w:rFonts w:cs="Times New Roman"/>
          <w:b/>
          <w:szCs w:val="28"/>
        </w:rPr>
        <w:t>“</w:t>
      </w:r>
      <w:r w:rsidR="00532C97" w:rsidRPr="008743DC">
        <w:rPr>
          <w:rFonts w:cs="Times New Roman"/>
          <w:b/>
          <w:szCs w:val="28"/>
        </w:rPr>
        <w:t>C</w:t>
      </w:r>
      <w:r w:rsidR="00C07984" w:rsidRPr="008743DC">
        <w:rPr>
          <w:rFonts w:cs="Times New Roman"/>
          <w:b/>
          <w:szCs w:val="28"/>
        </w:rPr>
        <w:t>”</w:t>
      </w:r>
      <w:r w:rsidR="00532C97" w:rsidRPr="008743DC">
        <w:rPr>
          <w:rFonts w:cs="Times New Roman"/>
          <w:b/>
          <w:szCs w:val="28"/>
        </w:rPr>
        <w:t xml:space="preserve">, </w:t>
      </w:r>
      <w:r w:rsidR="00905061" w:rsidRPr="008743DC">
        <w:rPr>
          <w:rFonts w:cs="Times New Roman"/>
          <w:b/>
          <w:szCs w:val="28"/>
        </w:rPr>
        <w:t>whether for the purposes of paragraph 13 or otherwise, the parties</w:t>
      </w:r>
      <w:r w:rsidR="00C62533" w:rsidRPr="008743DC">
        <w:rPr>
          <w:rFonts w:cs="Times New Roman"/>
          <w:b/>
          <w:szCs w:val="28"/>
        </w:rPr>
        <w:t xml:space="preserve"> may, by agreement between BN</w:t>
      </w:r>
      <w:r w:rsidR="00905061" w:rsidRPr="008743DC">
        <w:rPr>
          <w:rFonts w:cs="Times New Roman"/>
          <w:b/>
          <w:szCs w:val="28"/>
        </w:rPr>
        <w:t>’s private case manager and the public cas</w:t>
      </w:r>
      <w:r w:rsidR="00811309" w:rsidRPr="008743DC">
        <w:rPr>
          <w:rFonts w:cs="Times New Roman"/>
          <w:b/>
          <w:szCs w:val="28"/>
        </w:rPr>
        <w:t>e manager, provisionally amend a</w:t>
      </w:r>
      <w:r w:rsidR="00905061" w:rsidRPr="008743DC">
        <w:rPr>
          <w:rFonts w:cs="Times New Roman"/>
          <w:b/>
          <w:szCs w:val="28"/>
        </w:rPr>
        <w:t>nnexure</w:t>
      </w:r>
      <w:r w:rsidR="00C07984" w:rsidRPr="008743DC">
        <w:rPr>
          <w:rFonts w:cs="Times New Roman"/>
          <w:b/>
          <w:szCs w:val="28"/>
        </w:rPr>
        <w:t>s “</w:t>
      </w:r>
      <w:r w:rsidR="00905061" w:rsidRPr="008743DC">
        <w:rPr>
          <w:rFonts w:cs="Times New Roman"/>
          <w:b/>
          <w:szCs w:val="28"/>
        </w:rPr>
        <w:t>A</w:t>
      </w:r>
      <w:r w:rsidR="00C07984" w:rsidRPr="008743DC">
        <w:rPr>
          <w:rFonts w:cs="Times New Roman"/>
          <w:b/>
          <w:szCs w:val="28"/>
        </w:rPr>
        <w:t>”</w:t>
      </w:r>
      <w:r w:rsidR="00905061" w:rsidRPr="008743DC">
        <w:rPr>
          <w:rFonts w:cs="Times New Roman"/>
          <w:b/>
          <w:szCs w:val="28"/>
        </w:rPr>
        <w:t xml:space="preserve">, </w:t>
      </w:r>
      <w:r w:rsidR="00C07984" w:rsidRPr="008743DC">
        <w:rPr>
          <w:rFonts w:cs="Times New Roman"/>
          <w:b/>
          <w:szCs w:val="28"/>
        </w:rPr>
        <w:t>“</w:t>
      </w:r>
      <w:r w:rsidR="00905061" w:rsidRPr="008743DC">
        <w:rPr>
          <w:rFonts w:cs="Times New Roman"/>
          <w:b/>
          <w:szCs w:val="28"/>
        </w:rPr>
        <w:t>B</w:t>
      </w:r>
      <w:r w:rsidR="00C07984" w:rsidRPr="008743DC">
        <w:rPr>
          <w:rFonts w:cs="Times New Roman"/>
          <w:b/>
          <w:szCs w:val="28"/>
        </w:rPr>
        <w:t>”</w:t>
      </w:r>
      <w:r w:rsidR="00905061" w:rsidRPr="008743DC">
        <w:rPr>
          <w:rFonts w:cs="Times New Roman"/>
          <w:b/>
          <w:szCs w:val="28"/>
        </w:rPr>
        <w:t xml:space="preserve"> or </w:t>
      </w:r>
      <w:r w:rsidR="00C07984" w:rsidRPr="008743DC">
        <w:rPr>
          <w:rFonts w:cs="Times New Roman"/>
          <w:b/>
          <w:szCs w:val="28"/>
        </w:rPr>
        <w:t>“</w:t>
      </w:r>
      <w:r w:rsidR="00905061" w:rsidRPr="008743DC">
        <w:rPr>
          <w:rFonts w:cs="Times New Roman"/>
          <w:b/>
          <w:szCs w:val="28"/>
        </w:rPr>
        <w:t>C</w:t>
      </w:r>
      <w:r w:rsidR="00C07984" w:rsidRPr="008743DC">
        <w:rPr>
          <w:rFonts w:cs="Times New Roman"/>
          <w:b/>
          <w:szCs w:val="28"/>
        </w:rPr>
        <w:t>”</w:t>
      </w:r>
      <w:r w:rsidR="00905061" w:rsidRPr="008743DC">
        <w:rPr>
          <w:rFonts w:cs="Times New Roman"/>
          <w:b/>
          <w:szCs w:val="28"/>
        </w:rPr>
        <w:t xml:space="preserve"> without approaching a court, provided that an updated, amended court order shall be placed before a judge in chambers every second year at the end of the financial year, to be made an amended order of court.</w:t>
      </w:r>
    </w:p>
    <w:p w:rsidR="00905061" w:rsidRPr="00905061" w:rsidRDefault="00905061" w:rsidP="00905061">
      <w:pPr>
        <w:pStyle w:val="ListParagraph"/>
        <w:rPr>
          <w:rFonts w:cs="Times New Roman"/>
          <w:b/>
          <w:szCs w:val="28"/>
        </w:rPr>
      </w:pPr>
    </w:p>
    <w:p w:rsidR="00905061" w:rsidRPr="008743DC" w:rsidRDefault="008743DC" w:rsidP="008743DC">
      <w:pPr>
        <w:ind w:left="1494" w:right="1134" w:hanging="360"/>
        <w:rPr>
          <w:rFonts w:cs="Times New Roman"/>
          <w:b/>
          <w:szCs w:val="28"/>
        </w:rPr>
      </w:pPr>
      <w:r>
        <w:rPr>
          <w:rFonts w:cs="Times New Roman"/>
          <w:b/>
          <w:szCs w:val="28"/>
        </w:rPr>
        <w:t>15.</w:t>
      </w:r>
      <w:r>
        <w:rPr>
          <w:rFonts w:cs="Times New Roman"/>
          <w:b/>
          <w:szCs w:val="28"/>
        </w:rPr>
        <w:tab/>
      </w:r>
      <w:r w:rsidR="00905061" w:rsidRPr="008743DC">
        <w:rPr>
          <w:rFonts w:cs="Times New Roman"/>
          <w:b/>
          <w:szCs w:val="28"/>
        </w:rPr>
        <w:t xml:space="preserve"> Absent agreemen</w:t>
      </w:r>
      <w:r w:rsidR="00811309" w:rsidRPr="008743DC">
        <w:rPr>
          <w:rFonts w:cs="Times New Roman"/>
          <w:b/>
          <w:szCs w:val="28"/>
        </w:rPr>
        <w:t>t on any proposed amendment to a</w:t>
      </w:r>
      <w:r w:rsidR="00905061" w:rsidRPr="008743DC">
        <w:rPr>
          <w:rFonts w:cs="Times New Roman"/>
          <w:b/>
          <w:szCs w:val="28"/>
        </w:rPr>
        <w:t xml:space="preserve">nnexures </w:t>
      </w:r>
      <w:r w:rsidR="00C07984" w:rsidRPr="008743DC">
        <w:rPr>
          <w:rFonts w:cs="Times New Roman"/>
          <w:b/>
          <w:szCs w:val="28"/>
        </w:rPr>
        <w:t>“</w:t>
      </w:r>
      <w:r w:rsidR="00905061" w:rsidRPr="008743DC">
        <w:rPr>
          <w:rFonts w:cs="Times New Roman"/>
          <w:b/>
          <w:szCs w:val="28"/>
        </w:rPr>
        <w:t>A</w:t>
      </w:r>
      <w:r w:rsidR="00C07984" w:rsidRPr="008743DC">
        <w:rPr>
          <w:rFonts w:cs="Times New Roman"/>
          <w:b/>
          <w:szCs w:val="28"/>
        </w:rPr>
        <w:t>”</w:t>
      </w:r>
      <w:r w:rsidR="00905061" w:rsidRPr="008743DC">
        <w:rPr>
          <w:rFonts w:cs="Times New Roman"/>
          <w:b/>
          <w:szCs w:val="28"/>
        </w:rPr>
        <w:t xml:space="preserve">, </w:t>
      </w:r>
      <w:r w:rsidR="00C07984" w:rsidRPr="008743DC">
        <w:rPr>
          <w:rFonts w:cs="Times New Roman"/>
          <w:b/>
          <w:szCs w:val="28"/>
        </w:rPr>
        <w:t>“</w:t>
      </w:r>
      <w:r w:rsidR="00905061" w:rsidRPr="008743DC">
        <w:rPr>
          <w:rFonts w:cs="Times New Roman"/>
          <w:b/>
          <w:szCs w:val="28"/>
        </w:rPr>
        <w:t>B</w:t>
      </w:r>
      <w:r w:rsidR="00C07984" w:rsidRPr="008743DC">
        <w:rPr>
          <w:rFonts w:cs="Times New Roman"/>
          <w:b/>
          <w:szCs w:val="28"/>
        </w:rPr>
        <w:t>”</w:t>
      </w:r>
      <w:r w:rsidR="00905061" w:rsidRPr="008743DC">
        <w:rPr>
          <w:rFonts w:cs="Times New Roman"/>
          <w:b/>
          <w:szCs w:val="28"/>
        </w:rPr>
        <w:t xml:space="preserve"> or </w:t>
      </w:r>
      <w:r w:rsidR="00C07984" w:rsidRPr="008743DC">
        <w:rPr>
          <w:rFonts w:cs="Times New Roman"/>
          <w:b/>
          <w:szCs w:val="28"/>
        </w:rPr>
        <w:t>“</w:t>
      </w:r>
      <w:r w:rsidR="00905061" w:rsidRPr="008743DC">
        <w:rPr>
          <w:rFonts w:cs="Times New Roman"/>
          <w:b/>
          <w:szCs w:val="28"/>
        </w:rPr>
        <w:t>C</w:t>
      </w:r>
      <w:r w:rsidR="00C07984" w:rsidRPr="008743DC">
        <w:rPr>
          <w:rFonts w:cs="Times New Roman"/>
          <w:b/>
          <w:szCs w:val="28"/>
        </w:rPr>
        <w:t>”</w:t>
      </w:r>
      <w:r w:rsidR="00905061" w:rsidRPr="008743DC">
        <w:rPr>
          <w:rFonts w:cs="Times New Roman"/>
          <w:b/>
          <w:szCs w:val="28"/>
        </w:rPr>
        <w:t xml:space="preserve"> either party may apply to </w:t>
      </w:r>
      <w:r w:rsidR="00905061" w:rsidRPr="008743DC">
        <w:rPr>
          <w:rFonts w:cs="Times New Roman"/>
          <w:b/>
          <w:szCs w:val="28"/>
        </w:rPr>
        <w:lastRenderedPageBreak/>
        <w:t>t</w:t>
      </w:r>
      <w:r w:rsidR="00811309" w:rsidRPr="008743DC">
        <w:rPr>
          <w:rFonts w:cs="Times New Roman"/>
          <w:b/>
          <w:szCs w:val="28"/>
        </w:rPr>
        <w:t>his court for the variation of a</w:t>
      </w:r>
      <w:r w:rsidR="00905061" w:rsidRPr="008743DC">
        <w:rPr>
          <w:rFonts w:cs="Times New Roman"/>
          <w:b/>
          <w:szCs w:val="28"/>
        </w:rPr>
        <w:t xml:space="preserve">nnexures </w:t>
      </w:r>
      <w:r w:rsidR="00C07984" w:rsidRPr="008743DC">
        <w:rPr>
          <w:rFonts w:cs="Times New Roman"/>
          <w:b/>
          <w:szCs w:val="28"/>
        </w:rPr>
        <w:t>“</w:t>
      </w:r>
      <w:r w:rsidR="00905061" w:rsidRPr="008743DC">
        <w:rPr>
          <w:rFonts w:cs="Times New Roman"/>
          <w:b/>
          <w:szCs w:val="28"/>
        </w:rPr>
        <w:t>A</w:t>
      </w:r>
      <w:r w:rsidR="00C07984" w:rsidRPr="008743DC">
        <w:rPr>
          <w:rFonts w:cs="Times New Roman"/>
          <w:b/>
          <w:szCs w:val="28"/>
        </w:rPr>
        <w:t>”</w:t>
      </w:r>
      <w:r w:rsidR="00905061" w:rsidRPr="008743DC">
        <w:rPr>
          <w:rFonts w:cs="Times New Roman"/>
          <w:b/>
          <w:szCs w:val="28"/>
        </w:rPr>
        <w:t xml:space="preserve">, </w:t>
      </w:r>
      <w:r w:rsidR="00C07984" w:rsidRPr="008743DC">
        <w:rPr>
          <w:rFonts w:cs="Times New Roman"/>
          <w:b/>
          <w:szCs w:val="28"/>
        </w:rPr>
        <w:t>“</w:t>
      </w:r>
      <w:r w:rsidR="00905061" w:rsidRPr="008743DC">
        <w:rPr>
          <w:rFonts w:cs="Times New Roman"/>
          <w:b/>
          <w:szCs w:val="28"/>
        </w:rPr>
        <w:t>B</w:t>
      </w:r>
      <w:r w:rsidR="00C07984" w:rsidRPr="008743DC">
        <w:rPr>
          <w:rFonts w:cs="Times New Roman"/>
          <w:b/>
          <w:szCs w:val="28"/>
        </w:rPr>
        <w:t>”</w:t>
      </w:r>
      <w:r w:rsidR="00905061" w:rsidRPr="008743DC">
        <w:rPr>
          <w:rFonts w:cs="Times New Roman"/>
          <w:b/>
          <w:szCs w:val="28"/>
        </w:rPr>
        <w:t xml:space="preserve"> or </w:t>
      </w:r>
      <w:r w:rsidR="00C07984" w:rsidRPr="008743DC">
        <w:rPr>
          <w:rFonts w:cs="Times New Roman"/>
          <w:b/>
          <w:szCs w:val="28"/>
        </w:rPr>
        <w:t>“</w:t>
      </w:r>
      <w:r w:rsidR="00905061" w:rsidRPr="008743DC">
        <w:rPr>
          <w:rFonts w:cs="Times New Roman"/>
          <w:b/>
          <w:szCs w:val="28"/>
        </w:rPr>
        <w:t>C</w:t>
      </w:r>
      <w:r w:rsidR="00C07984" w:rsidRPr="008743DC">
        <w:rPr>
          <w:rFonts w:cs="Times New Roman"/>
          <w:b/>
          <w:szCs w:val="28"/>
        </w:rPr>
        <w:t>”</w:t>
      </w:r>
      <w:r w:rsidR="00905061" w:rsidRPr="008743DC">
        <w:rPr>
          <w:rFonts w:cs="Times New Roman"/>
          <w:b/>
          <w:szCs w:val="28"/>
        </w:rPr>
        <w:t xml:space="preserve"> on good cause shown and/or for the enforcement of this order, provided that </w:t>
      </w:r>
      <w:r w:rsidR="005542D6" w:rsidRPr="008743DC">
        <w:rPr>
          <w:rFonts w:cs="Times New Roman"/>
          <w:b/>
          <w:szCs w:val="28"/>
        </w:rPr>
        <w:t>–</w:t>
      </w:r>
      <w:r w:rsidR="00905061" w:rsidRPr="008743DC">
        <w:rPr>
          <w:rFonts w:cs="Times New Roman"/>
          <w:b/>
          <w:szCs w:val="28"/>
        </w:rPr>
        <w:t xml:space="preserve"> </w:t>
      </w:r>
    </w:p>
    <w:p w:rsidR="005542D6" w:rsidRPr="005542D6" w:rsidRDefault="005542D6" w:rsidP="005542D6">
      <w:pPr>
        <w:pStyle w:val="ListParagraph"/>
        <w:rPr>
          <w:rFonts w:cs="Times New Roman"/>
          <w:b/>
          <w:szCs w:val="28"/>
        </w:rPr>
      </w:pPr>
    </w:p>
    <w:p w:rsidR="005542D6" w:rsidRPr="008743DC" w:rsidRDefault="008743DC" w:rsidP="008743DC">
      <w:pPr>
        <w:ind w:left="2154" w:right="1134" w:hanging="660"/>
        <w:rPr>
          <w:rFonts w:cs="Times New Roman"/>
          <w:b/>
          <w:szCs w:val="28"/>
        </w:rPr>
      </w:pPr>
      <w:r>
        <w:rPr>
          <w:rFonts w:cs="Times New Roman"/>
          <w:b/>
          <w:szCs w:val="28"/>
        </w:rPr>
        <w:t>15.1</w:t>
      </w:r>
      <w:r>
        <w:rPr>
          <w:rFonts w:cs="Times New Roman"/>
          <w:b/>
          <w:szCs w:val="28"/>
        </w:rPr>
        <w:tab/>
      </w:r>
      <w:r w:rsidR="005542D6" w:rsidRPr="008743DC">
        <w:rPr>
          <w:rFonts w:cs="Times New Roman"/>
          <w:b/>
          <w:szCs w:val="28"/>
        </w:rPr>
        <w:t>upon instituting any such proceedings, the party commencing the proceedings must refer the dispute to mediation in terms of rule 41A</w:t>
      </w:r>
      <w:r w:rsidR="00C07984" w:rsidRPr="008743DC">
        <w:rPr>
          <w:rFonts w:cs="Times New Roman"/>
          <w:b/>
          <w:szCs w:val="28"/>
        </w:rPr>
        <w:t xml:space="preserve"> of the Uniform Rules of Court</w:t>
      </w:r>
      <w:r w:rsidR="005542D6" w:rsidRPr="008743DC">
        <w:rPr>
          <w:rFonts w:cs="Times New Roman"/>
          <w:b/>
          <w:szCs w:val="28"/>
        </w:rPr>
        <w:t xml:space="preserve"> and the parties must –</w:t>
      </w:r>
    </w:p>
    <w:p w:rsidR="005542D6" w:rsidRDefault="005542D6" w:rsidP="005542D6">
      <w:pPr>
        <w:pStyle w:val="ListParagraph"/>
        <w:ind w:left="2154" w:right="1134"/>
        <w:rPr>
          <w:rFonts w:cs="Times New Roman"/>
          <w:b/>
          <w:szCs w:val="28"/>
        </w:rPr>
      </w:pPr>
    </w:p>
    <w:p w:rsidR="005542D6" w:rsidRPr="008743DC" w:rsidRDefault="008743DC" w:rsidP="008743DC">
      <w:pPr>
        <w:ind w:left="2574" w:right="1134" w:hanging="720"/>
        <w:rPr>
          <w:rFonts w:cs="Times New Roman"/>
          <w:b/>
          <w:szCs w:val="28"/>
        </w:rPr>
      </w:pPr>
      <w:r>
        <w:rPr>
          <w:rFonts w:cs="Times New Roman"/>
          <w:b/>
          <w:szCs w:val="28"/>
        </w:rPr>
        <w:t>15.1.1</w:t>
      </w:r>
      <w:r>
        <w:rPr>
          <w:rFonts w:cs="Times New Roman"/>
          <w:b/>
          <w:szCs w:val="28"/>
        </w:rPr>
        <w:tab/>
      </w:r>
      <w:r w:rsidR="005542D6" w:rsidRPr="008743DC">
        <w:rPr>
          <w:rFonts w:cs="Times New Roman"/>
          <w:b/>
          <w:szCs w:val="28"/>
        </w:rPr>
        <w:t xml:space="preserve"> conclude the minute and agreement   contemplated in rule 41A(4)(a) and (b) within </w:t>
      </w:r>
      <w:r w:rsidR="00C07984" w:rsidRPr="008743DC">
        <w:rPr>
          <w:rFonts w:cs="Times New Roman"/>
          <w:b/>
          <w:szCs w:val="28"/>
        </w:rPr>
        <w:t>five</w:t>
      </w:r>
      <w:r w:rsidR="005542D6" w:rsidRPr="008743DC">
        <w:rPr>
          <w:rFonts w:cs="Times New Roman"/>
          <w:b/>
          <w:szCs w:val="28"/>
        </w:rPr>
        <w:t xml:space="preserve"> court days of service of the process commencing proceedings;</w:t>
      </w:r>
    </w:p>
    <w:p w:rsidR="005542D6" w:rsidRDefault="005542D6" w:rsidP="005542D6">
      <w:pPr>
        <w:pStyle w:val="ListParagraph"/>
        <w:ind w:left="2574" w:right="1134"/>
        <w:rPr>
          <w:rFonts w:cs="Times New Roman"/>
          <w:b/>
          <w:szCs w:val="28"/>
        </w:rPr>
      </w:pPr>
    </w:p>
    <w:p w:rsidR="005542D6" w:rsidRPr="008743DC" w:rsidRDefault="008743DC" w:rsidP="008743DC">
      <w:pPr>
        <w:ind w:left="2574" w:right="1134" w:hanging="720"/>
        <w:rPr>
          <w:rFonts w:cs="Times New Roman"/>
          <w:b/>
          <w:szCs w:val="28"/>
        </w:rPr>
      </w:pPr>
      <w:r>
        <w:rPr>
          <w:rFonts w:cs="Times New Roman"/>
          <w:b/>
          <w:szCs w:val="28"/>
        </w:rPr>
        <w:t>15.1.2</w:t>
      </w:r>
      <w:r>
        <w:rPr>
          <w:rFonts w:cs="Times New Roman"/>
          <w:b/>
          <w:szCs w:val="28"/>
        </w:rPr>
        <w:tab/>
      </w:r>
      <w:r w:rsidR="005542D6" w:rsidRPr="008743DC">
        <w:rPr>
          <w:rFonts w:cs="Times New Roman"/>
          <w:b/>
          <w:szCs w:val="28"/>
        </w:rPr>
        <w:t xml:space="preserve"> </w:t>
      </w:r>
      <w:r w:rsidR="002F3D31" w:rsidRPr="008743DC">
        <w:rPr>
          <w:rFonts w:cs="Times New Roman"/>
          <w:b/>
          <w:szCs w:val="28"/>
        </w:rPr>
        <w:t xml:space="preserve">convene the first meeting in the mediation within </w:t>
      </w:r>
      <w:r w:rsidR="003B499B" w:rsidRPr="008743DC">
        <w:rPr>
          <w:rFonts w:cs="Times New Roman"/>
          <w:b/>
          <w:szCs w:val="28"/>
        </w:rPr>
        <w:t>ten</w:t>
      </w:r>
      <w:r w:rsidR="002F3D31" w:rsidRPr="008743DC">
        <w:rPr>
          <w:rFonts w:cs="Times New Roman"/>
          <w:b/>
          <w:szCs w:val="28"/>
        </w:rPr>
        <w:t xml:space="preserve"> court days of service of the process commencing proceedings;</w:t>
      </w:r>
    </w:p>
    <w:p w:rsidR="002F3D31" w:rsidRPr="002F3D31" w:rsidRDefault="002F3D31" w:rsidP="002F3D31">
      <w:pPr>
        <w:pStyle w:val="ListParagraph"/>
        <w:rPr>
          <w:rFonts w:cs="Times New Roman"/>
          <w:b/>
          <w:szCs w:val="28"/>
        </w:rPr>
      </w:pPr>
    </w:p>
    <w:p w:rsidR="002F3D31" w:rsidRPr="008743DC" w:rsidRDefault="008743DC" w:rsidP="008743DC">
      <w:pPr>
        <w:ind w:left="2574" w:right="1134" w:hanging="720"/>
        <w:rPr>
          <w:rFonts w:cs="Times New Roman"/>
          <w:b/>
          <w:szCs w:val="28"/>
        </w:rPr>
      </w:pPr>
      <w:r>
        <w:rPr>
          <w:rFonts w:cs="Times New Roman"/>
          <w:b/>
          <w:szCs w:val="28"/>
        </w:rPr>
        <w:t>15.1.3</w:t>
      </w:r>
      <w:r>
        <w:rPr>
          <w:rFonts w:cs="Times New Roman"/>
          <w:b/>
          <w:szCs w:val="28"/>
        </w:rPr>
        <w:tab/>
      </w:r>
      <w:r w:rsidR="002F3D31" w:rsidRPr="008743DC">
        <w:rPr>
          <w:rFonts w:cs="Times New Roman"/>
          <w:b/>
          <w:szCs w:val="28"/>
        </w:rPr>
        <w:t xml:space="preserve"> address as the first item for consideration in the mediation, the interim provision of medical services and medical supplies pending the outcome of the mediation, or failing that, the litigation; and</w:t>
      </w:r>
    </w:p>
    <w:p w:rsidR="002F3D31" w:rsidRPr="002F3D31" w:rsidRDefault="002F3D31" w:rsidP="002F3D31">
      <w:pPr>
        <w:pStyle w:val="ListParagraph"/>
        <w:rPr>
          <w:rFonts w:cs="Times New Roman"/>
          <w:b/>
          <w:szCs w:val="28"/>
        </w:rPr>
      </w:pPr>
    </w:p>
    <w:p w:rsidR="002F3D31" w:rsidRPr="008743DC" w:rsidRDefault="008743DC" w:rsidP="008743DC">
      <w:pPr>
        <w:ind w:left="2574" w:right="1134" w:hanging="720"/>
        <w:rPr>
          <w:rFonts w:cs="Times New Roman"/>
          <w:b/>
          <w:szCs w:val="28"/>
        </w:rPr>
      </w:pPr>
      <w:r>
        <w:rPr>
          <w:rFonts w:cs="Times New Roman"/>
          <w:b/>
          <w:szCs w:val="28"/>
        </w:rPr>
        <w:lastRenderedPageBreak/>
        <w:t>15.1.4</w:t>
      </w:r>
      <w:r>
        <w:rPr>
          <w:rFonts w:cs="Times New Roman"/>
          <w:b/>
          <w:szCs w:val="28"/>
        </w:rPr>
        <w:tab/>
      </w:r>
      <w:r w:rsidR="002F3D31" w:rsidRPr="008743DC">
        <w:rPr>
          <w:rFonts w:cs="Times New Roman"/>
          <w:b/>
          <w:szCs w:val="28"/>
        </w:rPr>
        <w:t xml:space="preserve"> conclude</w:t>
      </w:r>
      <w:r w:rsidR="00F52B95" w:rsidRPr="008743DC">
        <w:rPr>
          <w:rFonts w:cs="Times New Roman"/>
          <w:b/>
          <w:szCs w:val="28"/>
        </w:rPr>
        <w:t xml:space="preserve"> </w:t>
      </w:r>
      <w:r w:rsidR="002F3D31" w:rsidRPr="008743DC">
        <w:rPr>
          <w:rFonts w:cs="Times New Roman"/>
          <w:b/>
          <w:szCs w:val="28"/>
        </w:rPr>
        <w:t>the mediation within 30 ordinary days.</w:t>
      </w:r>
    </w:p>
    <w:p w:rsidR="00F338EB" w:rsidRPr="00F338EB" w:rsidRDefault="00F338EB" w:rsidP="00F338EB">
      <w:pPr>
        <w:pStyle w:val="ListParagraph"/>
        <w:rPr>
          <w:rFonts w:cs="Times New Roman"/>
          <w:b/>
          <w:szCs w:val="28"/>
        </w:rPr>
      </w:pPr>
    </w:p>
    <w:p w:rsidR="00F338EB" w:rsidRPr="008743DC" w:rsidRDefault="008743DC" w:rsidP="008743DC">
      <w:pPr>
        <w:ind w:left="2154" w:right="1134" w:hanging="660"/>
        <w:rPr>
          <w:rFonts w:cs="Times New Roman"/>
          <w:b/>
          <w:szCs w:val="28"/>
        </w:rPr>
      </w:pPr>
      <w:r>
        <w:rPr>
          <w:rFonts w:cs="Times New Roman"/>
          <w:b/>
          <w:szCs w:val="28"/>
        </w:rPr>
        <w:t>15.2</w:t>
      </w:r>
      <w:r>
        <w:rPr>
          <w:rFonts w:cs="Times New Roman"/>
          <w:b/>
          <w:szCs w:val="28"/>
        </w:rPr>
        <w:tab/>
      </w:r>
      <w:r w:rsidR="00664A9A" w:rsidRPr="008743DC">
        <w:rPr>
          <w:rFonts w:cs="Times New Roman"/>
          <w:b/>
          <w:szCs w:val="28"/>
        </w:rPr>
        <w:t>the Defendant shall bear all the attorney and client costs of any such proceedings and mediation, regardless of outcome, save where the court finds that the proceedings were not reasonably commenced by the Plaintiff or any person or trust acting on behalf</w:t>
      </w:r>
      <w:r w:rsidR="00922CA6" w:rsidRPr="008743DC">
        <w:rPr>
          <w:rFonts w:cs="Times New Roman"/>
          <w:b/>
          <w:szCs w:val="28"/>
        </w:rPr>
        <w:t xml:space="preserve"> of or in the interests of BN</w:t>
      </w:r>
      <w:r w:rsidR="00664A9A" w:rsidRPr="008743DC">
        <w:rPr>
          <w:rFonts w:cs="Times New Roman"/>
          <w:b/>
          <w:szCs w:val="28"/>
        </w:rPr>
        <w:t>.</w:t>
      </w:r>
    </w:p>
    <w:p w:rsidR="0088232B" w:rsidRDefault="0088232B" w:rsidP="0088232B">
      <w:pPr>
        <w:pStyle w:val="ListParagraph"/>
        <w:ind w:left="2154" w:right="1134"/>
        <w:rPr>
          <w:rFonts w:cs="Times New Roman"/>
          <w:b/>
          <w:szCs w:val="28"/>
        </w:rPr>
      </w:pPr>
    </w:p>
    <w:p w:rsidR="003B499B" w:rsidRDefault="0088232B" w:rsidP="00FD1A8B">
      <w:pPr>
        <w:pStyle w:val="ListParagraph"/>
        <w:ind w:left="1134" w:right="1134"/>
        <w:rPr>
          <w:rFonts w:cs="Times New Roman"/>
          <w:b/>
          <w:szCs w:val="28"/>
        </w:rPr>
      </w:pPr>
      <w:r>
        <w:rPr>
          <w:rFonts w:cs="Times New Roman"/>
          <w:b/>
          <w:szCs w:val="28"/>
        </w:rPr>
        <w:t>ADULT CARE</w:t>
      </w:r>
    </w:p>
    <w:p w:rsidR="0088232B" w:rsidRPr="008743DC" w:rsidRDefault="008743DC" w:rsidP="008743DC">
      <w:pPr>
        <w:ind w:left="1494" w:right="1134" w:hanging="360"/>
        <w:rPr>
          <w:rFonts w:cs="Times New Roman"/>
          <w:b/>
          <w:szCs w:val="28"/>
        </w:rPr>
      </w:pPr>
      <w:r>
        <w:rPr>
          <w:rFonts w:cs="Times New Roman"/>
          <w:b/>
          <w:szCs w:val="28"/>
        </w:rPr>
        <w:t>16.</w:t>
      </w:r>
      <w:r>
        <w:rPr>
          <w:rFonts w:cs="Times New Roman"/>
          <w:b/>
          <w:szCs w:val="28"/>
        </w:rPr>
        <w:tab/>
      </w:r>
      <w:r w:rsidR="00C07984" w:rsidRPr="008743DC">
        <w:rPr>
          <w:rFonts w:cs="Times New Roman"/>
          <w:b/>
          <w:szCs w:val="28"/>
        </w:rPr>
        <w:t xml:space="preserve"> </w:t>
      </w:r>
      <w:r w:rsidR="00922CA6" w:rsidRPr="008743DC">
        <w:rPr>
          <w:rFonts w:cs="Times New Roman"/>
          <w:b/>
          <w:szCs w:val="28"/>
        </w:rPr>
        <w:t>BN</w:t>
      </w:r>
      <w:r w:rsidR="0088232B" w:rsidRPr="008743DC">
        <w:rPr>
          <w:rFonts w:cs="Times New Roman"/>
          <w:b/>
          <w:szCs w:val="28"/>
        </w:rPr>
        <w:t>’s private case manager and the public case manager shall meet no later than his 17</w:t>
      </w:r>
      <w:r w:rsidR="0088232B" w:rsidRPr="008743DC">
        <w:rPr>
          <w:rFonts w:cs="Times New Roman"/>
          <w:b/>
          <w:szCs w:val="28"/>
          <w:vertAlign w:val="superscript"/>
        </w:rPr>
        <w:t>th</w:t>
      </w:r>
      <w:r w:rsidR="0088232B" w:rsidRPr="008743DC">
        <w:rPr>
          <w:rFonts w:cs="Times New Roman"/>
          <w:b/>
          <w:szCs w:val="28"/>
        </w:rPr>
        <w:t xml:space="preserve"> birthday and endeavour to agree on his care arrangement from the age of 18.</w:t>
      </w:r>
    </w:p>
    <w:p w:rsidR="00D866C9" w:rsidRDefault="00D866C9" w:rsidP="00964BF6">
      <w:pPr>
        <w:pStyle w:val="ListParagraph"/>
        <w:ind w:left="1134" w:right="1134"/>
        <w:rPr>
          <w:rFonts w:cs="Times New Roman"/>
          <w:b/>
          <w:szCs w:val="28"/>
        </w:rPr>
      </w:pPr>
    </w:p>
    <w:p w:rsidR="00964BF6" w:rsidRDefault="00F15E3A" w:rsidP="00FD1A8B">
      <w:pPr>
        <w:pStyle w:val="ListParagraph"/>
        <w:ind w:left="1134" w:right="1134"/>
        <w:rPr>
          <w:rFonts w:cs="Times New Roman"/>
          <w:b/>
          <w:szCs w:val="28"/>
        </w:rPr>
      </w:pPr>
      <w:r>
        <w:rPr>
          <w:rFonts w:cs="Times New Roman"/>
          <w:b/>
          <w:szCs w:val="28"/>
        </w:rPr>
        <w:t>17</w:t>
      </w:r>
      <w:r w:rsidR="003B499B">
        <w:rPr>
          <w:rFonts w:cs="Times New Roman"/>
          <w:b/>
          <w:szCs w:val="28"/>
        </w:rPr>
        <w:t>.</w:t>
      </w:r>
      <w:r>
        <w:rPr>
          <w:rFonts w:cs="Times New Roman"/>
          <w:b/>
          <w:szCs w:val="28"/>
        </w:rPr>
        <w:t xml:space="preserve">  </w:t>
      </w:r>
      <w:r w:rsidR="00964BF6">
        <w:rPr>
          <w:rFonts w:cs="Times New Roman"/>
          <w:b/>
          <w:szCs w:val="28"/>
        </w:rPr>
        <w:t>Failing agreement, the matter must be resolved in terms of paragraph 15 above.</w:t>
      </w:r>
    </w:p>
    <w:p w:rsidR="00964BF6" w:rsidRDefault="00964BF6" w:rsidP="00FD1A8B">
      <w:pPr>
        <w:pStyle w:val="ListParagraph"/>
        <w:ind w:left="1134" w:right="1134"/>
        <w:rPr>
          <w:rFonts w:cs="Times New Roman"/>
          <w:b/>
          <w:szCs w:val="28"/>
        </w:rPr>
      </w:pPr>
    </w:p>
    <w:p w:rsidR="00964BF6" w:rsidRDefault="00964BF6" w:rsidP="00FD1A8B">
      <w:pPr>
        <w:pStyle w:val="ListParagraph"/>
        <w:ind w:left="1134" w:right="1134"/>
        <w:rPr>
          <w:rFonts w:cs="Times New Roman"/>
          <w:b/>
          <w:szCs w:val="28"/>
        </w:rPr>
      </w:pPr>
      <w:r>
        <w:rPr>
          <w:rFonts w:cs="Times New Roman"/>
          <w:b/>
          <w:szCs w:val="28"/>
        </w:rPr>
        <w:t>PUBLIC CASE MANAGER</w:t>
      </w:r>
    </w:p>
    <w:p w:rsidR="00F5157C" w:rsidRDefault="00F15E3A" w:rsidP="00FD1A8B">
      <w:pPr>
        <w:pStyle w:val="ListParagraph"/>
        <w:ind w:left="1134" w:right="1134"/>
        <w:rPr>
          <w:rFonts w:cs="Times New Roman"/>
          <w:b/>
          <w:szCs w:val="28"/>
        </w:rPr>
      </w:pPr>
      <w:r>
        <w:rPr>
          <w:rFonts w:cs="Times New Roman"/>
          <w:b/>
          <w:szCs w:val="28"/>
        </w:rPr>
        <w:t>18</w:t>
      </w:r>
      <w:r w:rsidR="003B499B">
        <w:rPr>
          <w:rFonts w:cs="Times New Roman"/>
          <w:b/>
          <w:szCs w:val="28"/>
        </w:rPr>
        <w:t>.</w:t>
      </w:r>
      <w:r w:rsidR="00AE5DA2">
        <w:rPr>
          <w:rFonts w:cs="Times New Roman"/>
          <w:b/>
          <w:szCs w:val="28"/>
        </w:rPr>
        <w:t xml:space="preserve"> </w:t>
      </w:r>
      <w:r w:rsidR="003B499B">
        <w:rPr>
          <w:rFonts w:cs="Times New Roman"/>
          <w:b/>
          <w:szCs w:val="28"/>
        </w:rPr>
        <w:t xml:space="preserve">  </w:t>
      </w:r>
      <w:r w:rsidR="00AE5DA2">
        <w:rPr>
          <w:rFonts w:cs="Times New Roman"/>
          <w:b/>
          <w:szCs w:val="28"/>
        </w:rPr>
        <w:t>The</w:t>
      </w:r>
      <w:r w:rsidR="00964BF6">
        <w:rPr>
          <w:rFonts w:cs="Times New Roman"/>
          <w:b/>
          <w:szCs w:val="28"/>
        </w:rPr>
        <w:t xml:space="preserve"> head of the Department of Health of the Eastern Cape Province shall appoint a suitably qualified person from the manage</w:t>
      </w:r>
      <w:r w:rsidR="00922CA6">
        <w:rPr>
          <w:rFonts w:cs="Times New Roman"/>
          <w:b/>
          <w:szCs w:val="28"/>
        </w:rPr>
        <w:t>ment of the hospital where BN</w:t>
      </w:r>
      <w:r w:rsidR="00964BF6">
        <w:rPr>
          <w:rFonts w:cs="Times New Roman"/>
          <w:b/>
          <w:szCs w:val="28"/>
        </w:rPr>
        <w:t xml:space="preserve"> </w:t>
      </w:r>
      <w:r w:rsidR="00F5157C">
        <w:rPr>
          <w:rFonts w:cs="Times New Roman"/>
          <w:b/>
          <w:szCs w:val="28"/>
        </w:rPr>
        <w:t xml:space="preserve">receives the majority of his services and supplies, to perform the functions of public case manager provided for </w:t>
      </w:r>
      <w:r>
        <w:rPr>
          <w:rFonts w:cs="Times New Roman"/>
          <w:b/>
          <w:szCs w:val="28"/>
        </w:rPr>
        <w:t xml:space="preserve">in </w:t>
      </w:r>
      <w:r w:rsidR="00F5157C">
        <w:rPr>
          <w:rFonts w:cs="Times New Roman"/>
          <w:b/>
          <w:szCs w:val="28"/>
        </w:rPr>
        <w:t>this order.</w:t>
      </w:r>
    </w:p>
    <w:p w:rsidR="00F5157C" w:rsidRDefault="00F5157C" w:rsidP="00FD1A8B">
      <w:pPr>
        <w:pStyle w:val="ListParagraph"/>
        <w:ind w:left="1134" w:right="1134"/>
        <w:rPr>
          <w:rFonts w:cs="Times New Roman"/>
          <w:b/>
          <w:szCs w:val="28"/>
        </w:rPr>
      </w:pPr>
    </w:p>
    <w:p w:rsidR="00F5157C" w:rsidRDefault="00F5157C" w:rsidP="00FD1A8B">
      <w:pPr>
        <w:pStyle w:val="ListParagraph"/>
        <w:ind w:left="1134" w:right="1134"/>
        <w:rPr>
          <w:rFonts w:cs="Times New Roman"/>
          <w:b/>
          <w:szCs w:val="28"/>
        </w:rPr>
      </w:pPr>
      <w:r>
        <w:rPr>
          <w:rFonts w:cs="Times New Roman"/>
          <w:b/>
          <w:szCs w:val="28"/>
        </w:rPr>
        <w:t>DEVELOPMENT OF THE COMMON LAW</w:t>
      </w:r>
    </w:p>
    <w:p w:rsidR="00F5157C" w:rsidRDefault="00F5157C" w:rsidP="00FD1A8B">
      <w:pPr>
        <w:pStyle w:val="ListParagraph"/>
        <w:ind w:left="1134" w:right="1134"/>
        <w:rPr>
          <w:rFonts w:cs="Times New Roman"/>
          <w:b/>
          <w:szCs w:val="28"/>
        </w:rPr>
      </w:pPr>
      <w:r>
        <w:rPr>
          <w:rFonts w:cs="Times New Roman"/>
          <w:b/>
          <w:szCs w:val="28"/>
        </w:rPr>
        <w:t>19</w:t>
      </w:r>
      <w:r w:rsidR="003B499B">
        <w:rPr>
          <w:rFonts w:cs="Times New Roman"/>
          <w:b/>
          <w:szCs w:val="28"/>
        </w:rPr>
        <w:t xml:space="preserve">.  </w:t>
      </w:r>
      <w:r>
        <w:rPr>
          <w:rFonts w:cs="Times New Roman"/>
          <w:b/>
          <w:szCs w:val="28"/>
        </w:rPr>
        <w:t>The common law is developed –</w:t>
      </w:r>
    </w:p>
    <w:p w:rsidR="00F5157C" w:rsidRDefault="00F5157C" w:rsidP="00275302">
      <w:pPr>
        <w:pStyle w:val="ListParagraph"/>
        <w:ind w:left="2880" w:right="1134" w:hanging="726"/>
        <w:rPr>
          <w:rFonts w:cs="Times New Roman"/>
          <w:b/>
          <w:szCs w:val="28"/>
        </w:rPr>
      </w:pPr>
      <w:r>
        <w:rPr>
          <w:rFonts w:cs="Times New Roman"/>
          <w:b/>
          <w:szCs w:val="28"/>
        </w:rPr>
        <w:t>19.1</w:t>
      </w:r>
      <w:r>
        <w:rPr>
          <w:rFonts w:cs="Times New Roman"/>
          <w:b/>
          <w:szCs w:val="28"/>
        </w:rPr>
        <w:tab/>
        <w:t>so as to accommodate the public healthcare and undertaking to pay reme</w:t>
      </w:r>
      <w:r w:rsidR="00275302">
        <w:rPr>
          <w:rFonts w:cs="Times New Roman"/>
          <w:b/>
          <w:szCs w:val="28"/>
        </w:rPr>
        <w:t xml:space="preserve">dies provided for in this order; </w:t>
      </w:r>
    </w:p>
    <w:p w:rsidR="00275302" w:rsidRDefault="00275302" w:rsidP="00275302">
      <w:pPr>
        <w:pStyle w:val="ListParagraph"/>
        <w:ind w:left="2880" w:right="1134" w:hanging="726"/>
        <w:rPr>
          <w:rFonts w:cs="Times New Roman"/>
          <w:b/>
          <w:szCs w:val="28"/>
        </w:rPr>
      </w:pPr>
    </w:p>
    <w:p w:rsidR="00275302" w:rsidRDefault="00275302" w:rsidP="00275302">
      <w:pPr>
        <w:pStyle w:val="ListParagraph"/>
        <w:ind w:left="2880" w:right="1134" w:hanging="726"/>
        <w:rPr>
          <w:rFonts w:cs="Times New Roman"/>
          <w:b/>
          <w:szCs w:val="28"/>
        </w:rPr>
      </w:pPr>
      <w:r>
        <w:rPr>
          <w:rFonts w:cs="Times New Roman"/>
          <w:b/>
          <w:szCs w:val="28"/>
        </w:rPr>
        <w:t>19.2</w:t>
      </w:r>
      <w:r>
        <w:rPr>
          <w:rFonts w:cs="Times New Roman"/>
          <w:b/>
          <w:szCs w:val="28"/>
        </w:rPr>
        <w:tab/>
        <w:t>so that the once-and-for-all rule and the rule that damages must sound in money, are neither the exclusive nor the primary rules for the determination of a just and equitable remedy in terms of sections 38 and 172(1)(b) of the Constitution, in a claim arising from harm negligently caused by a public healthcare practitioner, provider or institution;</w:t>
      </w:r>
    </w:p>
    <w:p w:rsidR="00275302" w:rsidRDefault="00275302" w:rsidP="00275302">
      <w:pPr>
        <w:pStyle w:val="ListParagraph"/>
        <w:ind w:left="2880" w:right="1134" w:hanging="726"/>
        <w:rPr>
          <w:rFonts w:cs="Times New Roman"/>
          <w:b/>
          <w:szCs w:val="28"/>
        </w:rPr>
      </w:pPr>
    </w:p>
    <w:p w:rsidR="00275302" w:rsidRDefault="00275302" w:rsidP="00275302">
      <w:pPr>
        <w:pStyle w:val="ListParagraph"/>
        <w:ind w:left="2880" w:right="1134" w:hanging="726"/>
        <w:rPr>
          <w:rFonts w:cs="Times New Roman"/>
          <w:b/>
          <w:szCs w:val="28"/>
        </w:rPr>
      </w:pPr>
      <w:r>
        <w:rPr>
          <w:rFonts w:cs="Times New Roman"/>
          <w:b/>
          <w:szCs w:val="28"/>
        </w:rPr>
        <w:t>19.3</w:t>
      </w:r>
      <w:r>
        <w:rPr>
          <w:rFonts w:cs="Times New Roman"/>
          <w:b/>
          <w:szCs w:val="28"/>
        </w:rPr>
        <w:tab/>
        <w:t xml:space="preserve">so that no claim shall lie in respect of </w:t>
      </w:r>
      <w:proofErr w:type="spellStart"/>
      <w:r>
        <w:rPr>
          <w:rFonts w:cs="Times New Roman"/>
          <w:b/>
          <w:szCs w:val="28"/>
        </w:rPr>
        <w:t>lumpsum</w:t>
      </w:r>
      <w:proofErr w:type="spellEnd"/>
      <w:r>
        <w:rPr>
          <w:rFonts w:cs="Times New Roman"/>
          <w:b/>
          <w:szCs w:val="28"/>
        </w:rPr>
        <w:t xml:space="preserve"> money damages to the extent that –</w:t>
      </w:r>
    </w:p>
    <w:p w:rsidR="003B499B" w:rsidRDefault="003B499B" w:rsidP="00275302">
      <w:pPr>
        <w:pStyle w:val="ListParagraph"/>
        <w:ind w:left="2880" w:right="1134" w:hanging="726"/>
        <w:rPr>
          <w:rFonts w:cs="Times New Roman"/>
          <w:b/>
          <w:szCs w:val="28"/>
        </w:rPr>
      </w:pPr>
    </w:p>
    <w:p w:rsidR="00275302" w:rsidRDefault="00275302" w:rsidP="00520C14">
      <w:pPr>
        <w:pStyle w:val="ListParagraph"/>
        <w:ind w:left="3600" w:right="1134" w:hanging="726"/>
        <w:rPr>
          <w:rFonts w:cs="Times New Roman"/>
          <w:b/>
          <w:szCs w:val="28"/>
        </w:rPr>
      </w:pPr>
      <w:r>
        <w:rPr>
          <w:rFonts w:cs="Times New Roman"/>
          <w:b/>
          <w:szCs w:val="28"/>
        </w:rPr>
        <w:t>19.3.1</w:t>
      </w:r>
      <w:r>
        <w:rPr>
          <w:rFonts w:cs="Times New Roman"/>
          <w:b/>
          <w:szCs w:val="28"/>
        </w:rPr>
        <w:tab/>
        <w:t xml:space="preserve"> any of the future medical services and medical supplies required by the Plaintiff (or the injured party)</w:t>
      </w:r>
      <w:r w:rsidR="00520C14">
        <w:rPr>
          <w:rFonts w:cs="Times New Roman"/>
          <w:b/>
          <w:szCs w:val="28"/>
        </w:rPr>
        <w:t xml:space="preserve"> as a result of the injury are provided, by order of court, at a reasonable standard at a public healthcare institution; or</w:t>
      </w:r>
    </w:p>
    <w:p w:rsidR="00520C14" w:rsidRDefault="00520C14" w:rsidP="00275302">
      <w:pPr>
        <w:pStyle w:val="ListParagraph"/>
        <w:ind w:left="2880" w:right="1134" w:hanging="726"/>
        <w:rPr>
          <w:rFonts w:cs="Times New Roman"/>
          <w:b/>
          <w:szCs w:val="28"/>
        </w:rPr>
      </w:pPr>
      <w:r>
        <w:rPr>
          <w:rFonts w:cs="Times New Roman"/>
          <w:b/>
          <w:szCs w:val="28"/>
        </w:rPr>
        <w:tab/>
      </w:r>
    </w:p>
    <w:p w:rsidR="00520C14" w:rsidRDefault="00520C14" w:rsidP="00520C14">
      <w:pPr>
        <w:pStyle w:val="ListParagraph"/>
        <w:ind w:left="3600" w:right="1134" w:hanging="726"/>
        <w:rPr>
          <w:rFonts w:cs="Times New Roman"/>
          <w:b/>
          <w:szCs w:val="28"/>
        </w:rPr>
      </w:pPr>
      <w:r>
        <w:rPr>
          <w:rFonts w:cs="Times New Roman"/>
          <w:b/>
          <w:szCs w:val="28"/>
        </w:rPr>
        <w:lastRenderedPageBreak/>
        <w:t>19.3.2</w:t>
      </w:r>
      <w:r>
        <w:rPr>
          <w:rFonts w:cs="Times New Roman"/>
          <w:b/>
          <w:szCs w:val="28"/>
        </w:rPr>
        <w:tab/>
        <w:t xml:space="preserve"> where a court does not so order, the Defendant provides an undertaking to –</w:t>
      </w:r>
    </w:p>
    <w:p w:rsidR="003B499B" w:rsidRDefault="003B499B" w:rsidP="00520C14">
      <w:pPr>
        <w:pStyle w:val="ListParagraph"/>
        <w:ind w:left="3600" w:right="1134" w:hanging="726"/>
        <w:rPr>
          <w:rFonts w:cs="Times New Roman"/>
          <w:b/>
          <w:szCs w:val="28"/>
        </w:rPr>
      </w:pPr>
    </w:p>
    <w:p w:rsidR="00520C14" w:rsidRDefault="00520C14" w:rsidP="00520C14">
      <w:pPr>
        <w:pStyle w:val="ListParagraph"/>
        <w:ind w:left="4320" w:right="1134" w:hanging="726"/>
        <w:rPr>
          <w:rFonts w:cs="Times New Roman"/>
          <w:b/>
          <w:szCs w:val="28"/>
        </w:rPr>
      </w:pPr>
      <w:r>
        <w:rPr>
          <w:rFonts w:cs="Times New Roman"/>
          <w:b/>
          <w:szCs w:val="28"/>
        </w:rPr>
        <w:t>(a)</w:t>
      </w:r>
      <w:r>
        <w:rPr>
          <w:rFonts w:cs="Times New Roman"/>
          <w:b/>
          <w:szCs w:val="28"/>
        </w:rPr>
        <w:tab/>
        <w:t xml:space="preserve">procure the medical service or medical supply required in the private healthcare sector so as to be provided timeously whenever it is required; or, </w:t>
      </w:r>
    </w:p>
    <w:p w:rsidR="00520C14" w:rsidRDefault="00520C14" w:rsidP="00520C14">
      <w:pPr>
        <w:pStyle w:val="ListParagraph"/>
        <w:ind w:left="4320" w:right="1134" w:hanging="726"/>
        <w:rPr>
          <w:rFonts w:cs="Times New Roman"/>
          <w:b/>
          <w:szCs w:val="28"/>
        </w:rPr>
      </w:pPr>
    </w:p>
    <w:p w:rsidR="00520C14" w:rsidRDefault="00520C14" w:rsidP="00520C14">
      <w:pPr>
        <w:pStyle w:val="ListParagraph"/>
        <w:ind w:left="4320" w:right="1134" w:hanging="726"/>
        <w:rPr>
          <w:rFonts w:cs="Times New Roman"/>
          <w:b/>
          <w:szCs w:val="28"/>
        </w:rPr>
      </w:pPr>
      <w:r>
        <w:rPr>
          <w:rFonts w:cs="Times New Roman"/>
          <w:b/>
          <w:szCs w:val="28"/>
        </w:rPr>
        <w:t>(b)</w:t>
      </w:r>
      <w:r>
        <w:rPr>
          <w:rFonts w:cs="Times New Roman"/>
          <w:b/>
          <w:szCs w:val="28"/>
        </w:rPr>
        <w:tab/>
        <w:t>reimburse the Plaintiff, or any trust or other entity established for the benefit of the injured party, for their expenses reasonably incurred in procuring the medical service or medical supply in the private healthcare sector, within 30 days of presentation of an invoice for it.</w:t>
      </w:r>
    </w:p>
    <w:p w:rsidR="00986BAA" w:rsidRDefault="00986BAA" w:rsidP="00520C14">
      <w:pPr>
        <w:pStyle w:val="ListParagraph"/>
        <w:ind w:left="4320" w:right="1134" w:hanging="726"/>
        <w:rPr>
          <w:rFonts w:cs="Times New Roman"/>
          <w:b/>
          <w:szCs w:val="28"/>
        </w:rPr>
      </w:pPr>
    </w:p>
    <w:p w:rsidR="00986BAA" w:rsidRDefault="00986BAA" w:rsidP="00520C14">
      <w:pPr>
        <w:pStyle w:val="ListParagraph"/>
        <w:ind w:left="4320" w:right="1134" w:hanging="726"/>
        <w:rPr>
          <w:rFonts w:cs="Times New Roman"/>
          <w:b/>
          <w:szCs w:val="28"/>
        </w:rPr>
      </w:pPr>
    </w:p>
    <w:p w:rsidR="00986BAA" w:rsidRDefault="00986BAA" w:rsidP="00520C14">
      <w:pPr>
        <w:pStyle w:val="ListParagraph"/>
        <w:ind w:left="4320" w:right="1134" w:hanging="726"/>
        <w:rPr>
          <w:rFonts w:cs="Times New Roman"/>
          <w:b/>
          <w:szCs w:val="28"/>
        </w:rPr>
      </w:pPr>
    </w:p>
    <w:p w:rsidR="00986BAA" w:rsidRDefault="00986BAA" w:rsidP="00986BAA">
      <w:pPr>
        <w:pStyle w:val="ListParagraph"/>
        <w:ind w:left="726" w:hanging="726"/>
        <w:rPr>
          <w:rFonts w:cs="Times New Roman"/>
          <w:b/>
          <w:szCs w:val="28"/>
        </w:rPr>
      </w:pPr>
      <w:r>
        <w:rPr>
          <w:rFonts w:cs="Times New Roman"/>
          <w:b/>
          <w:szCs w:val="28"/>
          <w:u w:val="single"/>
        </w:rPr>
        <w:tab/>
      </w:r>
      <w:r>
        <w:rPr>
          <w:rFonts w:cs="Times New Roman"/>
          <w:b/>
          <w:szCs w:val="28"/>
          <w:u w:val="single"/>
        </w:rPr>
        <w:tab/>
      </w:r>
      <w:r>
        <w:rPr>
          <w:rFonts w:cs="Times New Roman"/>
          <w:b/>
          <w:szCs w:val="28"/>
          <w:u w:val="single"/>
        </w:rPr>
        <w:tab/>
      </w:r>
      <w:r>
        <w:rPr>
          <w:rFonts w:cs="Times New Roman"/>
          <w:b/>
          <w:szCs w:val="28"/>
          <w:u w:val="single"/>
        </w:rPr>
        <w:tab/>
      </w:r>
      <w:r>
        <w:rPr>
          <w:rFonts w:cs="Times New Roman"/>
          <w:b/>
          <w:szCs w:val="28"/>
          <w:u w:val="single"/>
        </w:rPr>
        <w:tab/>
      </w:r>
      <w:r>
        <w:rPr>
          <w:rFonts w:cs="Times New Roman"/>
          <w:b/>
          <w:szCs w:val="28"/>
          <w:u w:val="single"/>
        </w:rPr>
        <w:tab/>
      </w:r>
    </w:p>
    <w:p w:rsidR="00986BAA" w:rsidRDefault="00986BAA" w:rsidP="00986BAA">
      <w:pPr>
        <w:pStyle w:val="ListParagraph"/>
        <w:ind w:left="726" w:hanging="726"/>
        <w:rPr>
          <w:rFonts w:cs="Times New Roman"/>
          <w:b/>
          <w:szCs w:val="28"/>
        </w:rPr>
      </w:pPr>
      <w:proofErr w:type="gramStart"/>
      <w:r>
        <w:rPr>
          <w:rFonts w:cs="Times New Roman"/>
          <w:b/>
          <w:szCs w:val="28"/>
        </w:rPr>
        <w:t>R  E</w:t>
      </w:r>
      <w:proofErr w:type="gramEnd"/>
      <w:r>
        <w:rPr>
          <w:rFonts w:cs="Times New Roman"/>
          <w:b/>
          <w:szCs w:val="28"/>
        </w:rPr>
        <w:t xml:space="preserve">  GRIFFITHS</w:t>
      </w:r>
    </w:p>
    <w:p w:rsidR="00986BAA" w:rsidRDefault="00986BAA" w:rsidP="00986BAA">
      <w:pPr>
        <w:pStyle w:val="ListParagraph"/>
        <w:ind w:left="726" w:hanging="726"/>
        <w:rPr>
          <w:rFonts w:cs="Times New Roman"/>
          <w:b/>
          <w:szCs w:val="28"/>
        </w:rPr>
      </w:pPr>
      <w:r>
        <w:rPr>
          <w:rFonts w:cs="Times New Roman"/>
          <w:b/>
          <w:szCs w:val="28"/>
        </w:rPr>
        <w:t>JUDGE OF THE HIGH COURT</w:t>
      </w:r>
    </w:p>
    <w:p w:rsidR="00986BAA" w:rsidRDefault="00986BAA" w:rsidP="00986BAA">
      <w:pPr>
        <w:pStyle w:val="ListParagraph"/>
        <w:ind w:left="726" w:hanging="726"/>
        <w:rPr>
          <w:rFonts w:cs="Times New Roman"/>
          <w:b/>
          <w:szCs w:val="28"/>
        </w:rPr>
      </w:pPr>
    </w:p>
    <w:p w:rsidR="00986BAA" w:rsidRDefault="00E92D39" w:rsidP="00986BAA">
      <w:pPr>
        <w:pStyle w:val="ListParagraph"/>
        <w:ind w:left="726" w:hanging="726"/>
        <w:rPr>
          <w:rFonts w:cs="Times New Roman"/>
          <w:b/>
          <w:szCs w:val="28"/>
        </w:rPr>
      </w:pPr>
      <w:r>
        <w:rPr>
          <w:rFonts w:cs="Times New Roman"/>
          <w:b/>
          <w:szCs w:val="28"/>
        </w:rPr>
        <w:t>COUNSEL FO</w:t>
      </w:r>
      <w:r w:rsidR="00922CA6">
        <w:rPr>
          <w:rFonts w:cs="Times New Roman"/>
          <w:b/>
          <w:szCs w:val="28"/>
        </w:rPr>
        <w:t>R THE PLAINTIFF</w:t>
      </w:r>
      <w:r w:rsidR="00922CA6">
        <w:rPr>
          <w:rFonts w:cs="Times New Roman"/>
          <w:b/>
          <w:szCs w:val="28"/>
        </w:rPr>
        <w:tab/>
      </w:r>
      <w:r w:rsidR="00922CA6">
        <w:rPr>
          <w:rFonts w:cs="Times New Roman"/>
          <w:b/>
          <w:szCs w:val="28"/>
        </w:rPr>
        <w:tab/>
        <w:t>:</w:t>
      </w:r>
      <w:r w:rsidR="00922CA6">
        <w:rPr>
          <w:rFonts w:cs="Times New Roman"/>
          <w:b/>
          <w:szCs w:val="28"/>
        </w:rPr>
        <w:tab/>
        <w:t>Mr Alberts SC</w:t>
      </w:r>
      <w:r>
        <w:rPr>
          <w:rFonts w:cs="Times New Roman"/>
          <w:b/>
          <w:szCs w:val="28"/>
        </w:rPr>
        <w:t xml:space="preserve"> with</w:t>
      </w:r>
    </w:p>
    <w:p w:rsidR="00E92D39" w:rsidRDefault="00E92D39" w:rsidP="00986BAA">
      <w:pPr>
        <w:pStyle w:val="ListParagraph"/>
        <w:ind w:left="726" w:hanging="726"/>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t>:</w:t>
      </w:r>
      <w:r>
        <w:rPr>
          <w:rFonts w:cs="Times New Roman"/>
          <w:b/>
          <w:szCs w:val="28"/>
        </w:rPr>
        <w:tab/>
        <w:t xml:space="preserve">Mr </w:t>
      </w:r>
      <w:proofErr w:type="spellStart"/>
      <w:r>
        <w:rPr>
          <w:rFonts w:cs="Times New Roman"/>
          <w:b/>
          <w:szCs w:val="28"/>
        </w:rPr>
        <w:t>Stemela</w:t>
      </w:r>
      <w:proofErr w:type="spellEnd"/>
    </w:p>
    <w:p w:rsidR="00E92D39" w:rsidRDefault="00E92D39" w:rsidP="00986BAA">
      <w:pPr>
        <w:pStyle w:val="ListParagraph"/>
        <w:ind w:left="726" w:hanging="726"/>
        <w:rPr>
          <w:rFonts w:cs="Times New Roman"/>
          <w:b/>
          <w:szCs w:val="28"/>
        </w:rPr>
      </w:pPr>
      <w:r>
        <w:rPr>
          <w:rFonts w:cs="Times New Roman"/>
          <w:b/>
          <w:szCs w:val="28"/>
        </w:rPr>
        <w:lastRenderedPageBreak/>
        <w:t>INSTRUCTED BY</w:t>
      </w:r>
      <w:r>
        <w:rPr>
          <w:rFonts w:cs="Times New Roman"/>
          <w:b/>
          <w:szCs w:val="28"/>
        </w:rPr>
        <w:tab/>
      </w:r>
      <w:r>
        <w:rPr>
          <w:rFonts w:cs="Times New Roman"/>
          <w:b/>
          <w:szCs w:val="28"/>
        </w:rPr>
        <w:tab/>
      </w:r>
      <w:r>
        <w:rPr>
          <w:rFonts w:cs="Times New Roman"/>
          <w:b/>
          <w:szCs w:val="28"/>
        </w:rPr>
        <w:tab/>
      </w:r>
      <w:r>
        <w:rPr>
          <w:rFonts w:cs="Times New Roman"/>
          <w:b/>
          <w:szCs w:val="28"/>
        </w:rPr>
        <w:tab/>
        <w:t>:</w:t>
      </w:r>
      <w:r>
        <w:rPr>
          <w:rFonts w:cs="Times New Roman"/>
          <w:b/>
          <w:szCs w:val="28"/>
        </w:rPr>
        <w:tab/>
        <w:t xml:space="preserve">S. </w:t>
      </w:r>
      <w:proofErr w:type="spellStart"/>
      <w:r>
        <w:rPr>
          <w:rFonts w:cs="Times New Roman"/>
          <w:b/>
          <w:szCs w:val="28"/>
        </w:rPr>
        <w:t>Booi</w:t>
      </w:r>
      <w:proofErr w:type="spellEnd"/>
      <w:r>
        <w:rPr>
          <w:rFonts w:cs="Times New Roman"/>
          <w:b/>
          <w:szCs w:val="28"/>
        </w:rPr>
        <w:t xml:space="preserve"> &amp; Sons</w:t>
      </w:r>
    </w:p>
    <w:p w:rsidR="00E92D39" w:rsidRDefault="00E92D39" w:rsidP="00986BAA">
      <w:pPr>
        <w:pStyle w:val="ListParagraph"/>
        <w:ind w:left="726" w:hanging="726"/>
        <w:rPr>
          <w:rFonts w:cs="Times New Roman"/>
          <w:b/>
          <w:szCs w:val="28"/>
        </w:rPr>
      </w:pPr>
    </w:p>
    <w:p w:rsidR="00E92D39" w:rsidRDefault="00E92D39" w:rsidP="00986BAA">
      <w:pPr>
        <w:pStyle w:val="ListParagraph"/>
        <w:ind w:left="726" w:hanging="726"/>
        <w:rPr>
          <w:rFonts w:cs="Times New Roman"/>
          <w:b/>
          <w:szCs w:val="28"/>
        </w:rPr>
      </w:pPr>
      <w:r>
        <w:rPr>
          <w:rFonts w:cs="Times New Roman"/>
          <w:b/>
          <w:szCs w:val="28"/>
        </w:rPr>
        <w:t>COUNSEL F</w:t>
      </w:r>
      <w:r w:rsidR="004B10DA">
        <w:rPr>
          <w:rFonts w:cs="Times New Roman"/>
          <w:b/>
          <w:szCs w:val="28"/>
        </w:rPr>
        <w:t>OR THE DEFENDANT</w:t>
      </w:r>
      <w:r w:rsidR="004B10DA">
        <w:rPr>
          <w:rFonts w:cs="Times New Roman"/>
          <w:b/>
          <w:szCs w:val="28"/>
        </w:rPr>
        <w:tab/>
        <w:t>:</w:t>
      </w:r>
      <w:r w:rsidR="004B10DA">
        <w:rPr>
          <w:rFonts w:cs="Times New Roman"/>
          <w:b/>
          <w:szCs w:val="28"/>
        </w:rPr>
        <w:tab/>
        <w:t>Mr Dodson S</w:t>
      </w:r>
      <w:r w:rsidR="00922CA6">
        <w:rPr>
          <w:rFonts w:cs="Times New Roman"/>
          <w:b/>
          <w:szCs w:val="28"/>
        </w:rPr>
        <w:t>C</w:t>
      </w:r>
      <w:r w:rsidR="004B10DA">
        <w:rPr>
          <w:rFonts w:cs="Times New Roman"/>
          <w:b/>
          <w:szCs w:val="28"/>
        </w:rPr>
        <w:t xml:space="preserve"> </w:t>
      </w:r>
      <w:r>
        <w:rPr>
          <w:rFonts w:cs="Times New Roman"/>
          <w:b/>
          <w:szCs w:val="28"/>
        </w:rPr>
        <w:t>with</w:t>
      </w:r>
    </w:p>
    <w:p w:rsidR="00E92D39" w:rsidRDefault="00E92D39" w:rsidP="00986BAA">
      <w:pPr>
        <w:pStyle w:val="ListParagraph"/>
        <w:ind w:left="726" w:hanging="726"/>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t>:</w:t>
      </w:r>
      <w:r>
        <w:rPr>
          <w:rFonts w:cs="Times New Roman"/>
          <w:b/>
          <w:szCs w:val="28"/>
        </w:rPr>
        <w:tab/>
        <w:t>Ms Raw</w:t>
      </w:r>
    </w:p>
    <w:p w:rsidR="00E92D39" w:rsidRDefault="00E92D39" w:rsidP="00986BAA">
      <w:pPr>
        <w:pStyle w:val="ListParagraph"/>
        <w:ind w:left="726" w:hanging="726"/>
        <w:rPr>
          <w:rFonts w:cs="Times New Roman"/>
          <w:b/>
          <w:szCs w:val="28"/>
        </w:rPr>
      </w:pPr>
      <w:r>
        <w:rPr>
          <w:rFonts w:cs="Times New Roman"/>
          <w:b/>
          <w:szCs w:val="28"/>
        </w:rPr>
        <w:t>INSTRUCTED BY</w:t>
      </w:r>
      <w:r>
        <w:rPr>
          <w:rFonts w:cs="Times New Roman"/>
          <w:b/>
          <w:szCs w:val="28"/>
        </w:rPr>
        <w:tab/>
      </w:r>
      <w:r>
        <w:rPr>
          <w:rFonts w:cs="Times New Roman"/>
          <w:b/>
          <w:szCs w:val="28"/>
        </w:rPr>
        <w:tab/>
      </w:r>
      <w:r>
        <w:rPr>
          <w:rFonts w:cs="Times New Roman"/>
          <w:b/>
          <w:szCs w:val="28"/>
        </w:rPr>
        <w:tab/>
      </w:r>
      <w:r>
        <w:rPr>
          <w:rFonts w:cs="Times New Roman"/>
          <w:b/>
          <w:szCs w:val="28"/>
        </w:rPr>
        <w:tab/>
        <w:t>:</w:t>
      </w:r>
      <w:r>
        <w:rPr>
          <w:rFonts w:cs="Times New Roman"/>
          <w:b/>
          <w:szCs w:val="28"/>
        </w:rPr>
        <w:tab/>
        <w:t>State Attorney</w:t>
      </w:r>
    </w:p>
    <w:p w:rsidR="00E92D39" w:rsidRDefault="00E92D39" w:rsidP="00986BAA">
      <w:pPr>
        <w:pStyle w:val="ListParagraph"/>
        <w:ind w:left="726" w:hanging="726"/>
        <w:rPr>
          <w:rFonts w:cs="Times New Roman"/>
          <w:b/>
          <w:szCs w:val="28"/>
        </w:rPr>
      </w:pPr>
    </w:p>
    <w:p w:rsidR="00E92D39" w:rsidRDefault="00E92D39" w:rsidP="00986BAA">
      <w:pPr>
        <w:pStyle w:val="ListParagraph"/>
        <w:ind w:left="726" w:hanging="726"/>
        <w:rPr>
          <w:rFonts w:cs="Times New Roman"/>
          <w:b/>
          <w:szCs w:val="28"/>
        </w:rPr>
      </w:pPr>
    </w:p>
    <w:p w:rsidR="00E92D39" w:rsidRDefault="00E92D39" w:rsidP="00674F47">
      <w:pPr>
        <w:rPr>
          <w:rFonts w:cs="Times New Roman"/>
          <w:b/>
          <w:szCs w:val="28"/>
        </w:rPr>
      </w:pPr>
      <w:r w:rsidRPr="00674F47">
        <w:rPr>
          <w:rFonts w:cs="Times New Roman"/>
          <w:b/>
          <w:szCs w:val="28"/>
        </w:rPr>
        <w:t>HEARD ON</w:t>
      </w:r>
      <w:r w:rsidRPr="00674F47">
        <w:rPr>
          <w:rFonts w:cs="Times New Roman"/>
          <w:b/>
          <w:szCs w:val="28"/>
        </w:rPr>
        <w:tab/>
        <w:t>:</w:t>
      </w:r>
      <w:r w:rsidR="00F652F5" w:rsidRPr="00674F47">
        <w:rPr>
          <w:rFonts w:cs="Times New Roman"/>
          <w:b/>
          <w:szCs w:val="28"/>
        </w:rPr>
        <w:tab/>
      </w:r>
      <w:r w:rsidR="00674F47" w:rsidRPr="00674F47">
        <w:rPr>
          <w:rFonts w:cs="Times New Roman"/>
          <w:b/>
          <w:szCs w:val="28"/>
        </w:rPr>
        <w:t>15 NOVEMBER 2021 – 19 NOVEMBER 2021</w:t>
      </w:r>
      <w:r w:rsidR="00674F47">
        <w:rPr>
          <w:rFonts w:cs="Times New Roman"/>
          <w:b/>
          <w:szCs w:val="28"/>
        </w:rPr>
        <w:t>;</w:t>
      </w:r>
    </w:p>
    <w:p w:rsidR="00674F47" w:rsidRDefault="00674F47" w:rsidP="00674F47">
      <w:pP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t>22 NOVEMBER 2021 – 26 NOVEMBER 2021;</w:t>
      </w:r>
    </w:p>
    <w:p w:rsidR="00674F47" w:rsidRDefault="00674F47" w:rsidP="00674F47">
      <w:pP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t>19 APRIL 2022 – 22 APRIL 2022;</w:t>
      </w:r>
    </w:p>
    <w:p w:rsidR="00674F47" w:rsidRDefault="00674F47" w:rsidP="00674F47">
      <w:pP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t>25 APRIL 2022 – 29 APRIL 2022;</w:t>
      </w:r>
    </w:p>
    <w:p w:rsidR="00674F47" w:rsidRPr="008743DC" w:rsidRDefault="008743DC" w:rsidP="008743DC">
      <w:pPr>
        <w:ind w:left="3240" w:hanging="360"/>
        <w:rPr>
          <w:rFonts w:cs="Times New Roman"/>
          <w:b/>
          <w:szCs w:val="28"/>
        </w:rPr>
      </w:pPr>
      <w:r w:rsidRPr="00674F47">
        <w:rPr>
          <w:rFonts w:cs="Times New Roman"/>
          <w:b/>
          <w:szCs w:val="28"/>
        </w:rPr>
        <w:t>3</w:t>
      </w:r>
      <w:r w:rsidRPr="00674F47">
        <w:rPr>
          <w:rFonts w:cs="Times New Roman"/>
          <w:b/>
          <w:szCs w:val="28"/>
        </w:rPr>
        <w:tab/>
      </w:r>
      <w:r w:rsidR="00674F47" w:rsidRPr="008743DC">
        <w:rPr>
          <w:rFonts w:cs="Times New Roman"/>
          <w:b/>
          <w:szCs w:val="28"/>
        </w:rPr>
        <w:t>MAY 2022 – 6 MAY 2022;</w:t>
      </w:r>
    </w:p>
    <w:p w:rsidR="00674F47" w:rsidRPr="00674F47" w:rsidRDefault="00674F47" w:rsidP="00674F47">
      <w:pPr>
        <w:ind w:left="2160" w:firstLine="720"/>
        <w:rPr>
          <w:rFonts w:cs="Times New Roman"/>
          <w:b/>
          <w:szCs w:val="28"/>
        </w:rPr>
      </w:pPr>
      <w:r w:rsidRPr="00674F47">
        <w:rPr>
          <w:rFonts w:cs="Times New Roman"/>
          <w:b/>
          <w:szCs w:val="28"/>
        </w:rPr>
        <w:t>29</w:t>
      </w:r>
      <w:r>
        <w:rPr>
          <w:rFonts w:cs="Times New Roman"/>
          <w:b/>
          <w:szCs w:val="28"/>
        </w:rPr>
        <w:t xml:space="preserve"> </w:t>
      </w:r>
      <w:r w:rsidRPr="00674F47">
        <w:rPr>
          <w:rFonts w:cs="Times New Roman"/>
          <w:b/>
          <w:szCs w:val="28"/>
        </w:rPr>
        <w:t>AUGUST 2022 – 30 AUGUST 2022;</w:t>
      </w:r>
    </w:p>
    <w:p w:rsidR="00674F47" w:rsidRPr="00674F47" w:rsidRDefault="00674F47" w:rsidP="00674F47">
      <w:pPr>
        <w:ind w:left="2160" w:firstLine="720"/>
        <w:rPr>
          <w:b/>
          <w:bCs/>
        </w:rPr>
      </w:pPr>
      <w:r w:rsidRPr="00674F47">
        <w:rPr>
          <w:b/>
          <w:bCs/>
        </w:rPr>
        <w:t>12 SEPTEMBER</w:t>
      </w:r>
      <w:r>
        <w:rPr>
          <w:b/>
          <w:bCs/>
        </w:rPr>
        <w:t xml:space="preserve"> – 15 SEPTEMBER 2022.</w:t>
      </w:r>
    </w:p>
    <w:p w:rsidR="00674F47" w:rsidRPr="00674F47" w:rsidRDefault="00674F47" w:rsidP="00674F47">
      <w:pPr>
        <w:rPr>
          <w:rFonts w:cs="Times New Roman"/>
          <w:b/>
          <w:szCs w:val="28"/>
        </w:rPr>
      </w:pPr>
    </w:p>
    <w:p w:rsidR="00674F47" w:rsidRPr="00674F47" w:rsidRDefault="00674F47" w:rsidP="00674F47">
      <w:pPr>
        <w:pStyle w:val="ListParagraph"/>
        <w:ind w:left="525"/>
        <w:rPr>
          <w:rFonts w:cs="Times New Roman"/>
          <w:b/>
          <w:szCs w:val="28"/>
        </w:rPr>
      </w:pPr>
    </w:p>
    <w:p w:rsidR="00E92D39" w:rsidRDefault="00E92D39" w:rsidP="00986BAA">
      <w:pPr>
        <w:pStyle w:val="ListParagraph"/>
        <w:ind w:left="726" w:hanging="726"/>
        <w:rPr>
          <w:rFonts w:cs="Times New Roman"/>
          <w:b/>
          <w:szCs w:val="28"/>
        </w:rPr>
      </w:pPr>
      <w:r>
        <w:rPr>
          <w:rFonts w:cs="Times New Roman"/>
          <w:b/>
          <w:szCs w:val="28"/>
        </w:rPr>
        <w:t>DELIVERED ON</w:t>
      </w:r>
      <w:r>
        <w:rPr>
          <w:rFonts w:cs="Times New Roman"/>
          <w:b/>
          <w:szCs w:val="28"/>
        </w:rPr>
        <w:tab/>
      </w:r>
      <w:r>
        <w:rPr>
          <w:rFonts w:cs="Times New Roman"/>
          <w:b/>
          <w:szCs w:val="28"/>
        </w:rPr>
        <w:tab/>
        <w:t>:</w:t>
      </w:r>
      <w:r>
        <w:rPr>
          <w:rFonts w:cs="Times New Roman"/>
          <w:b/>
          <w:szCs w:val="28"/>
        </w:rPr>
        <w:tab/>
      </w:r>
      <w:r w:rsidR="00F10348">
        <w:rPr>
          <w:rFonts w:cs="Times New Roman"/>
          <w:b/>
          <w:szCs w:val="28"/>
        </w:rPr>
        <w:t>07</w:t>
      </w:r>
      <w:r>
        <w:rPr>
          <w:rFonts w:cs="Times New Roman"/>
          <w:b/>
          <w:szCs w:val="28"/>
        </w:rPr>
        <w:t xml:space="preserve"> FEBRUARY 2023</w:t>
      </w:r>
    </w:p>
    <w:p w:rsidR="00E92D39" w:rsidRDefault="00E92D39" w:rsidP="00986BAA">
      <w:pPr>
        <w:pStyle w:val="ListParagraph"/>
        <w:ind w:left="726" w:hanging="726"/>
        <w:rPr>
          <w:rFonts w:cs="Times New Roman"/>
          <w:b/>
          <w:szCs w:val="28"/>
        </w:rPr>
      </w:pPr>
    </w:p>
    <w:p w:rsidR="00E92D39" w:rsidRPr="00986BAA" w:rsidRDefault="00E92D39" w:rsidP="00986BAA">
      <w:pPr>
        <w:pStyle w:val="ListParagraph"/>
        <w:ind w:left="726" w:hanging="726"/>
        <w:rPr>
          <w:rFonts w:cs="Times New Roman"/>
          <w:b/>
          <w:szCs w:val="28"/>
        </w:rPr>
      </w:pPr>
    </w:p>
    <w:p w:rsidR="00520C14" w:rsidRDefault="00520C14" w:rsidP="00520C14">
      <w:pPr>
        <w:pStyle w:val="ListParagraph"/>
        <w:ind w:left="3600" w:right="1134" w:hanging="726"/>
        <w:rPr>
          <w:rFonts w:cs="Times New Roman"/>
          <w:b/>
          <w:szCs w:val="28"/>
        </w:rPr>
      </w:pPr>
    </w:p>
    <w:p w:rsidR="00520C14" w:rsidRDefault="00520C14" w:rsidP="00520C14">
      <w:pPr>
        <w:pStyle w:val="ListParagraph"/>
        <w:ind w:left="2880" w:right="1134" w:hanging="726"/>
        <w:rPr>
          <w:rFonts w:cs="Times New Roman"/>
          <w:b/>
          <w:szCs w:val="28"/>
        </w:rPr>
      </w:pPr>
      <w:r>
        <w:rPr>
          <w:rFonts w:cs="Times New Roman"/>
          <w:b/>
          <w:szCs w:val="28"/>
        </w:rPr>
        <w:t xml:space="preserve"> </w:t>
      </w:r>
    </w:p>
    <w:p w:rsidR="00520C14" w:rsidRDefault="00520C14" w:rsidP="00520C14">
      <w:pPr>
        <w:pStyle w:val="ListParagraph"/>
        <w:ind w:left="2880" w:right="1134" w:hanging="726"/>
        <w:rPr>
          <w:rFonts w:cs="Times New Roman"/>
          <w:b/>
          <w:szCs w:val="28"/>
        </w:rPr>
      </w:pPr>
    </w:p>
    <w:p w:rsidR="006E012B" w:rsidRDefault="00520C14" w:rsidP="003B499B">
      <w:pPr>
        <w:pStyle w:val="ListParagraph"/>
        <w:ind w:left="2880" w:right="1134" w:hanging="726"/>
        <w:rPr>
          <w:rFonts w:cs="Times New Roman"/>
          <w:b/>
          <w:szCs w:val="28"/>
        </w:rPr>
      </w:pPr>
      <w:r>
        <w:rPr>
          <w:rFonts w:cs="Times New Roman"/>
          <w:b/>
          <w:szCs w:val="28"/>
        </w:rPr>
        <w:tab/>
      </w:r>
      <w:r>
        <w:rPr>
          <w:rFonts w:cs="Times New Roman"/>
          <w:b/>
          <w:szCs w:val="28"/>
        </w:rPr>
        <w:tab/>
      </w:r>
    </w:p>
    <w:p w:rsidR="006E012B" w:rsidRDefault="006E012B" w:rsidP="003C77DF">
      <w:pPr>
        <w:ind w:right="1134"/>
        <w:rPr>
          <w:rFonts w:cs="Times New Roman"/>
          <w:b/>
          <w:szCs w:val="28"/>
        </w:rPr>
      </w:pPr>
    </w:p>
    <w:p w:rsidR="00674F47" w:rsidRDefault="00674F47" w:rsidP="003C77DF">
      <w:pPr>
        <w:ind w:right="1134"/>
        <w:rPr>
          <w:rFonts w:cs="Times New Roman"/>
          <w:b/>
          <w:szCs w:val="28"/>
        </w:rPr>
      </w:pPr>
    </w:p>
    <w:p w:rsidR="00674F47" w:rsidRDefault="00674F47" w:rsidP="003C77DF">
      <w:pPr>
        <w:ind w:right="1134"/>
        <w:rPr>
          <w:rFonts w:cs="Times New Roman"/>
          <w:b/>
          <w:szCs w:val="28"/>
        </w:rPr>
      </w:pPr>
    </w:p>
    <w:p w:rsidR="00674F47" w:rsidRDefault="00674F47" w:rsidP="003C77DF">
      <w:pPr>
        <w:ind w:right="1134"/>
        <w:rPr>
          <w:rFonts w:cs="Times New Roman"/>
          <w:b/>
          <w:szCs w:val="28"/>
        </w:rPr>
      </w:pPr>
    </w:p>
    <w:p w:rsidR="00674F47" w:rsidRDefault="00674F47" w:rsidP="003C77DF">
      <w:pPr>
        <w:ind w:right="1134"/>
        <w:rPr>
          <w:rFonts w:cs="Times New Roman"/>
          <w:b/>
          <w:szCs w:val="28"/>
        </w:rPr>
      </w:pPr>
    </w:p>
    <w:p w:rsidR="00674F47" w:rsidRDefault="00674F47" w:rsidP="003C77DF">
      <w:pPr>
        <w:ind w:right="1134"/>
        <w:rPr>
          <w:rFonts w:cs="Times New Roman"/>
          <w:b/>
          <w:szCs w:val="28"/>
        </w:rPr>
      </w:pPr>
    </w:p>
    <w:p w:rsidR="00674F47" w:rsidRDefault="00674F47" w:rsidP="003C77DF">
      <w:pPr>
        <w:ind w:right="1134"/>
        <w:rPr>
          <w:rFonts w:cs="Times New Roman"/>
          <w:b/>
          <w:szCs w:val="28"/>
        </w:rPr>
      </w:pPr>
    </w:p>
    <w:p w:rsidR="00434BCA" w:rsidRDefault="00434BCA" w:rsidP="003C77DF">
      <w:pPr>
        <w:ind w:right="1134"/>
        <w:rPr>
          <w:rFonts w:cs="Times New Roman"/>
          <w:b/>
          <w:szCs w:val="28"/>
        </w:rPr>
      </w:pPr>
    </w:p>
    <w:p w:rsidR="00434BCA" w:rsidRDefault="00434BCA" w:rsidP="003C77DF">
      <w:pPr>
        <w:ind w:right="1134"/>
        <w:rPr>
          <w:rFonts w:cs="Times New Roman"/>
          <w:b/>
          <w:szCs w:val="28"/>
        </w:rPr>
      </w:pPr>
    </w:p>
    <w:p w:rsidR="003C77DF" w:rsidRDefault="00F10348" w:rsidP="003C77DF">
      <w:pPr>
        <w:ind w:right="1134"/>
        <w:jc w:val="center"/>
        <w:rPr>
          <w:rFonts w:cs="Times New Roman"/>
          <w:b/>
          <w:szCs w:val="28"/>
        </w:rPr>
      </w:pPr>
      <w:r>
        <w:rPr>
          <w:rFonts w:cs="Times New Roman"/>
          <w:b/>
          <w:szCs w:val="28"/>
        </w:rPr>
        <w:t xml:space="preserve">               </w:t>
      </w:r>
      <w:r w:rsidR="003C77DF">
        <w:rPr>
          <w:rFonts w:cs="Times New Roman"/>
          <w:b/>
          <w:szCs w:val="28"/>
        </w:rPr>
        <w:t>ANNEXURE “A”</w:t>
      </w:r>
    </w:p>
    <w:p w:rsidR="003C77DF" w:rsidRDefault="003C77DF" w:rsidP="00CE76E1">
      <w:pPr>
        <w:jc w:val="left"/>
        <w:rPr>
          <w:rFonts w:cs="Times New Roman"/>
          <w:b/>
          <w:szCs w:val="28"/>
        </w:rPr>
      </w:pPr>
      <w:proofErr w:type="gramStart"/>
      <w:r>
        <w:rPr>
          <w:rFonts w:cs="Times New Roman"/>
          <w:b/>
          <w:szCs w:val="28"/>
        </w:rPr>
        <w:t>N</w:t>
      </w:r>
      <w:r w:rsidR="00BD2BDF">
        <w:rPr>
          <w:rFonts w:cs="Times New Roman"/>
          <w:szCs w:val="28"/>
        </w:rPr>
        <w:t>[</w:t>
      </w:r>
      <w:proofErr w:type="gramEnd"/>
      <w:r w:rsidR="00BD2BDF">
        <w:rPr>
          <w:rFonts w:cs="Times New Roman"/>
          <w:szCs w:val="28"/>
        </w:rPr>
        <w:t>…]</w:t>
      </w:r>
      <w:r>
        <w:rPr>
          <w:rFonts w:cs="Times New Roman"/>
          <w:b/>
          <w:szCs w:val="28"/>
        </w:rPr>
        <w:t xml:space="preserve"> v MEC HEALTH EC</w:t>
      </w:r>
    </w:p>
    <w:p w:rsidR="003C77DF" w:rsidRDefault="003C77DF" w:rsidP="00CE76E1">
      <w:pPr>
        <w:jc w:val="left"/>
        <w:rPr>
          <w:rFonts w:cs="Times New Roman"/>
          <w:b/>
          <w:szCs w:val="28"/>
        </w:rPr>
      </w:pPr>
      <w:r>
        <w:rPr>
          <w:rFonts w:cs="Times New Roman"/>
          <w:b/>
          <w:szCs w:val="28"/>
        </w:rPr>
        <w:t>LIST OF FUTURE CONSULTATIONS, THERAPIES AND SURGERIES</w:t>
      </w:r>
    </w:p>
    <w:p w:rsidR="003C77DF" w:rsidRPr="003C77DF" w:rsidRDefault="003C77DF" w:rsidP="00CE76E1">
      <w:pPr>
        <w:jc w:val="left"/>
        <w:rPr>
          <w:rFonts w:cs="Times New Roman"/>
          <w:b/>
          <w:sz w:val="24"/>
          <w:szCs w:val="24"/>
        </w:rPr>
      </w:pPr>
      <w:r>
        <w:rPr>
          <w:rFonts w:cs="Times New Roman"/>
          <w:b/>
          <w:sz w:val="24"/>
          <w:szCs w:val="24"/>
        </w:rPr>
        <w:t>1</w:t>
      </w:r>
      <w:r>
        <w:rPr>
          <w:rFonts w:cs="Times New Roman"/>
          <w:b/>
          <w:sz w:val="24"/>
          <w:szCs w:val="24"/>
        </w:rPr>
        <w:tab/>
      </w:r>
      <w:r w:rsidRPr="003C77DF">
        <w:rPr>
          <w:rFonts w:cs="Times New Roman"/>
          <w:b/>
          <w:sz w:val="24"/>
          <w:szCs w:val="24"/>
        </w:rPr>
        <w:t>DIETICIANS’</w:t>
      </w:r>
      <w:r w:rsidR="000C0FE0">
        <w:rPr>
          <w:rFonts w:cs="Times New Roman"/>
          <w:b/>
          <w:sz w:val="24"/>
          <w:szCs w:val="24"/>
        </w:rPr>
        <w:t xml:space="preserve"> CONSULTATION</w:t>
      </w:r>
      <w:r w:rsidR="000C0FE0">
        <w:rPr>
          <w:rFonts w:cs="Times New Roman"/>
          <w:b/>
          <w:sz w:val="24"/>
          <w:szCs w:val="24"/>
        </w:rPr>
        <w:tab/>
        <w:t xml:space="preserve">           </w:t>
      </w:r>
      <w:r w:rsidRPr="003C77DF">
        <w:rPr>
          <w:rFonts w:cs="Times New Roman"/>
          <w:b/>
          <w:sz w:val="24"/>
          <w:szCs w:val="24"/>
        </w:rPr>
        <w:t>FRE</w:t>
      </w:r>
      <w:r>
        <w:rPr>
          <w:rFonts w:cs="Times New Roman"/>
          <w:b/>
          <w:sz w:val="24"/>
          <w:szCs w:val="24"/>
        </w:rPr>
        <w:t>Q</w:t>
      </w:r>
      <w:r w:rsidRPr="003C77DF">
        <w:rPr>
          <w:rFonts w:cs="Times New Roman"/>
          <w:b/>
          <w:sz w:val="24"/>
          <w:szCs w:val="24"/>
        </w:rPr>
        <w:t>UENCY</w:t>
      </w:r>
    </w:p>
    <w:p w:rsidR="003C77DF" w:rsidRDefault="003C77DF" w:rsidP="00CE76E1">
      <w:pPr>
        <w:jc w:val="left"/>
        <w:rPr>
          <w:rFonts w:cs="Times New Roman"/>
          <w:b/>
          <w:sz w:val="24"/>
          <w:szCs w:val="24"/>
        </w:rPr>
      </w:pPr>
      <w:r w:rsidRPr="003C77DF">
        <w:rPr>
          <w:rFonts w:cs="Times New Roman"/>
          <w:b/>
          <w:sz w:val="24"/>
          <w:szCs w:val="24"/>
        </w:rPr>
        <w:tab/>
        <w:t>1.1</w:t>
      </w:r>
      <w:r w:rsidRPr="003C77DF">
        <w:rPr>
          <w:rFonts w:cs="Times New Roman"/>
          <w:b/>
          <w:sz w:val="24"/>
          <w:szCs w:val="24"/>
        </w:rPr>
        <w:tab/>
        <w:t xml:space="preserve">Dietician </w:t>
      </w:r>
      <w:r>
        <w:rPr>
          <w:rFonts w:cs="Times New Roman"/>
          <w:b/>
          <w:sz w:val="24"/>
          <w:szCs w:val="24"/>
        </w:rPr>
        <w:tab/>
      </w:r>
      <w:r>
        <w:rPr>
          <w:rFonts w:cs="Times New Roman"/>
          <w:b/>
          <w:sz w:val="24"/>
          <w:szCs w:val="24"/>
        </w:rPr>
        <w:tab/>
      </w:r>
      <w:r>
        <w:rPr>
          <w:rFonts w:cs="Times New Roman"/>
          <w:b/>
          <w:sz w:val="24"/>
          <w:szCs w:val="24"/>
        </w:rPr>
        <w:tab/>
        <w:t xml:space="preserve">         </w:t>
      </w:r>
      <w:r w:rsidR="00D21BD2">
        <w:rPr>
          <w:rFonts w:cs="Times New Roman"/>
          <w:b/>
          <w:sz w:val="24"/>
          <w:szCs w:val="24"/>
        </w:rPr>
        <w:t xml:space="preserve"> </w:t>
      </w:r>
      <w:r>
        <w:rPr>
          <w:rFonts w:cs="Times New Roman"/>
          <w:b/>
          <w:sz w:val="24"/>
          <w:szCs w:val="24"/>
        </w:rPr>
        <w:t xml:space="preserve"> </w:t>
      </w:r>
      <w:r w:rsidR="00D21BD2">
        <w:rPr>
          <w:rFonts w:cs="Times New Roman"/>
          <w:b/>
          <w:sz w:val="24"/>
          <w:szCs w:val="24"/>
        </w:rPr>
        <w:t xml:space="preserve">   </w:t>
      </w:r>
      <w:r>
        <w:rPr>
          <w:rFonts w:cs="Times New Roman"/>
          <w:b/>
          <w:sz w:val="24"/>
          <w:szCs w:val="24"/>
        </w:rPr>
        <w:t>3 annually for the first year</w:t>
      </w:r>
    </w:p>
    <w:p w:rsidR="003C77DF" w:rsidRDefault="003C77DF" w:rsidP="00CE76E1">
      <w:pPr>
        <w:jc w:val="left"/>
        <w:rPr>
          <w:rFonts w:cs="Times New Roman"/>
          <w:b/>
          <w:sz w:val="24"/>
          <w:szCs w:val="24"/>
        </w:rPr>
      </w:pPr>
      <w:r>
        <w:rPr>
          <w:rFonts w:cs="Times New Roman"/>
          <w:b/>
          <w:sz w:val="24"/>
          <w:szCs w:val="24"/>
        </w:rPr>
        <w:tab/>
        <w:t>1.2</w:t>
      </w:r>
      <w:r>
        <w:rPr>
          <w:rFonts w:cs="Times New Roman"/>
          <w:b/>
          <w:sz w:val="24"/>
          <w:szCs w:val="24"/>
        </w:rPr>
        <w:tab/>
        <w:t>Dietician</w:t>
      </w:r>
      <w:r>
        <w:rPr>
          <w:rFonts w:cs="Times New Roman"/>
          <w:b/>
          <w:sz w:val="24"/>
          <w:szCs w:val="24"/>
        </w:rPr>
        <w:tab/>
      </w:r>
      <w:r>
        <w:rPr>
          <w:rFonts w:cs="Times New Roman"/>
          <w:b/>
          <w:sz w:val="24"/>
          <w:szCs w:val="24"/>
        </w:rPr>
        <w:tab/>
      </w:r>
      <w:r>
        <w:rPr>
          <w:rFonts w:cs="Times New Roman"/>
          <w:b/>
          <w:sz w:val="24"/>
          <w:szCs w:val="24"/>
        </w:rPr>
        <w:tab/>
        <w:t xml:space="preserve">          </w:t>
      </w:r>
      <w:r w:rsidR="00D21BD2">
        <w:rPr>
          <w:rFonts w:cs="Times New Roman"/>
          <w:b/>
          <w:sz w:val="24"/>
          <w:szCs w:val="24"/>
        </w:rPr>
        <w:t xml:space="preserve">    </w:t>
      </w:r>
      <w:r>
        <w:rPr>
          <w:rFonts w:cs="Times New Roman"/>
          <w:b/>
          <w:sz w:val="24"/>
          <w:szCs w:val="24"/>
        </w:rPr>
        <w:t>2 annually until 18 years</w:t>
      </w:r>
    </w:p>
    <w:p w:rsidR="000C0FE0" w:rsidRDefault="003C77DF" w:rsidP="00CE76E1">
      <w:pPr>
        <w:jc w:val="left"/>
        <w:rPr>
          <w:rFonts w:cs="Times New Roman"/>
          <w:b/>
          <w:sz w:val="24"/>
          <w:szCs w:val="24"/>
        </w:rPr>
      </w:pPr>
      <w:r>
        <w:rPr>
          <w:rFonts w:cs="Times New Roman"/>
          <w:b/>
          <w:sz w:val="24"/>
          <w:szCs w:val="24"/>
        </w:rPr>
        <w:tab/>
        <w:t>1.3</w:t>
      </w:r>
      <w:r>
        <w:rPr>
          <w:rFonts w:cs="Times New Roman"/>
          <w:b/>
          <w:sz w:val="24"/>
          <w:szCs w:val="24"/>
        </w:rPr>
        <w:tab/>
        <w:t>Dietician</w:t>
      </w:r>
      <w:r>
        <w:rPr>
          <w:rFonts w:cs="Times New Roman"/>
          <w:b/>
          <w:sz w:val="24"/>
          <w:szCs w:val="24"/>
        </w:rPr>
        <w:tab/>
      </w:r>
      <w:r>
        <w:rPr>
          <w:rFonts w:cs="Times New Roman"/>
          <w:b/>
          <w:sz w:val="24"/>
          <w:szCs w:val="24"/>
        </w:rPr>
        <w:tab/>
      </w:r>
      <w:r>
        <w:rPr>
          <w:rFonts w:cs="Times New Roman"/>
          <w:b/>
          <w:sz w:val="24"/>
          <w:szCs w:val="24"/>
        </w:rPr>
        <w:tab/>
        <w:t xml:space="preserve">           </w:t>
      </w:r>
      <w:r w:rsidR="00D21BD2">
        <w:rPr>
          <w:rFonts w:cs="Times New Roman"/>
          <w:b/>
          <w:sz w:val="24"/>
          <w:szCs w:val="24"/>
        </w:rPr>
        <w:t xml:space="preserve">   </w:t>
      </w:r>
      <w:r>
        <w:rPr>
          <w:rFonts w:cs="Times New Roman"/>
          <w:b/>
          <w:sz w:val="24"/>
          <w:szCs w:val="24"/>
        </w:rPr>
        <w:t>1xAnnually-18 years for life</w:t>
      </w:r>
    </w:p>
    <w:p w:rsidR="00636BE7" w:rsidRDefault="00636BE7" w:rsidP="00CE76E1">
      <w:pPr>
        <w:jc w:val="left"/>
        <w:rPr>
          <w:rFonts w:cs="Times New Roman"/>
          <w:b/>
          <w:sz w:val="24"/>
          <w:szCs w:val="24"/>
        </w:rPr>
      </w:pPr>
      <w:r>
        <w:rPr>
          <w:rFonts w:cs="Times New Roman"/>
          <w:b/>
          <w:sz w:val="24"/>
          <w:szCs w:val="24"/>
        </w:rPr>
        <w:tab/>
        <w:t>1.4</w:t>
      </w:r>
      <w:r>
        <w:rPr>
          <w:rFonts w:cs="Times New Roman"/>
          <w:b/>
          <w:sz w:val="24"/>
          <w:szCs w:val="24"/>
        </w:rPr>
        <w:tab/>
        <w:t>Dietician consultation</w:t>
      </w:r>
      <w:r w:rsidR="00D21BD2">
        <w:rPr>
          <w:rFonts w:cs="Times New Roman"/>
          <w:b/>
          <w:sz w:val="24"/>
          <w:szCs w:val="24"/>
        </w:rPr>
        <w:t>s</w:t>
      </w:r>
      <w:r>
        <w:rPr>
          <w:rFonts w:cs="Times New Roman"/>
          <w:b/>
          <w:sz w:val="24"/>
          <w:szCs w:val="24"/>
        </w:rPr>
        <w:t xml:space="preserve"> </w:t>
      </w:r>
      <w:r w:rsidR="00D21BD2">
        <w:rPr>
          <w:rFonts w:cs="Times New Roman"/>
          <w:b/>
          <w:sz w:val="24"/>
          <w:szCs w:val="24"/>
        </w:rPr>
        <w:t xml:space="preserve">until </w:t>
      </w:r>
      <w:r>
        <w:rPr>
          <w:rFonts w:cs="Times New Roman"/>
          <w:b/>
          <w:sz w:val="24"/>
          <w:szCs w:val="24"/>
        </w:rPr>
        <w:t>age 12   3x Annually</w:t>
      </w:r>
    </w:p>
    <w:p w:rsidR="000C0FE0" w:rsidRDefault="000C0FE0" w:rsidP="00CE76E1">
      <w:pPr>
        <w:jc w:val="left"/>
        <w:rPr>
          <w:rFonts w:cs="Times New Roman"/>
          <w:b/>
          <w:sz w:val="24"/>
          <w:szCs w:val="24"/>
        </w:rPr>
      </w:pPr>
    </w:p>
    <w:p w:rsidR="000C0FE0" w:rsidRDefault="00CE76E1" w:rsidP="00CE76E1">
      <w:pPr>
        <w:jc w:val="left"/>
        <w:rPr>
          <w:rFonts w:cs="Times New Roman"/>
          <w:b/>
          <w:sz w:val="24"/>
          <w:szCs w:val="24"/>
        </w:rPr>
      </w:pPr>
      <w:r>
        <w:rPr>
          <w:rFonts w:cs="Times New Roman"/>
          <w:b/>
          <w:sz w:val="24"/>
          <w:szCs w:val="24"/>
        </w:rPr>
        <w:t>2</w:t>
      </w:r>
      <w:r>
        <w:rPr>
          <w:rFonts w:cs="Times New Roman"/>
          <w:b/>
          <w:sz w:val="24"/>
          <w:szCs w:val="24"/>
        </w:rPr>
        <w:tab/>
        <w:t>CLINICAL PSYCHOLOGIST</w:t>
      </w:r>
      <w:r w:rsidR="006646AC">
        <w:rPr>
          <w:rFonts w:cs="Times New Roman"/>
          <w:b/>
          <w:sz w:val="24"/>
          <w:szCs w:val="24"/>
        </w:rPr>
        <w:t>S</w:t>
      </w:r>
      <w:r>
        <w:rPr>
          <w:rFonts w:cs="Times New Roman"/>
          <w:b/>
          <w:sz w:val="24"/>
          <w:szCs w:val="24"/>
        </w:rPr>
        <w:tab/>
      </w:r>
      <w:r>
        <w:rPr>
          <w:rFonts w:cs="Times New Roman"/>
          <w:b/>
          <w:sz w:val="24"/>
          <w:szCs w:val="24"/>
        </w:rPr>
        <w:tab/>
        <w:t>FREQUENCY</w:t>
      </w:r>
    </w:p>
    <w:p w:rsidR="00CE76E1" w:rsidRDefault="00CE76E1" w:rsidP="00DC063B">
      <w:pPr>
        <w:ind w:left="720"/>
        <w:jc w:val="left"/>
        <w:rPr>
          <w:rFonts w:cs="Times New Roman"/>
          <w:b/>
          <w:sz w:val="24"/>
          <w:szCs w:val="24"/>
        </w:rPr>
      </w:pPr>
      <w:r>
        <w:rPr>
          <w:rFonts w:cs="Times New Roman"/>
          <w:b/>
          <w:sz w:val="24"/>
          <w:szCs w:val="24"/>
        </w:rPr>
        <w:t>2.1</w:t>
      </w:r>
      <w:r>
        <w:rPr>
          <w:rFonts w:cs="Times New Roman"/>
          <w:b/>
          <w:sz w:val="24"/>
          <w:szCs w:val="24"/>
        </w:rPr>
        <w:tab/>
        <w:t>Psychotherapy for mother</w:t>
      </w:r>
      <w:r>
        <w:rPr>
          <w:rFonts w:cs="Times New Roman"/>
          <w:b/>
          <w:sz w:val="24"/>
          <w:szCs w:val="24"/>
        </w:rPr>
        <w:tab/>
      </w:r>
      <w:r>
        <w:rPr>
          <w:rFonts w:cs="Times New Roman"/>
          <w:b/>
          <w:sz w:val="24"/>
          <w:szCs w:val="24"/>
        </w:rPr>
        <w:tab/>
        <w:t>15 sessions over</w:t>
      </w:r>
      <w:r w:rsidR="00DC063B">
        <w:rPr>
          <w:rFonts w:cs="Times New Roman"/>
          <w:b/>
          <w:sz w:val="24"/>
          <w:szCs w:val="24"/>
        </w:rPr>
        <w:t xml:space="preserve"> 15 weeks </w:t>
      </w:r>
      <w:r>
        <w:rPr>
          <w:rFonts w:cs="Times New Roman"/>
          <w:b/>
          <w:sz w:val="24"/>
          <w:szCs w:val="24"/>
        </w:rPr>
        <w:t>once off</w:t>
      </w:r>
    </w:p>
    <w:p w:rsidR="00CE76E1" w:rsidRDefault="00CE76E1" w:rsidP="00CE76E1">
      <w:pPr>
        <w:ind w:left="720"/>
        <w:jc w:val="left"/>
        <w:rPr>
          <w:rFonts w:cs="Times New Roman"/>
          <w:b/>
          <w:sz w:val="24"/>
          <w:szCs w:val="24"/>
        </w:rPr>
      </w:pPr>
      <w:r>
        <w:rPr>
          <w:rFonts w:cs="Times New Roman"/>
          <w:b/>
          <w:sz w:val="24"/>
          <w:szCs w:val="24"/>
        </w:rPr>
        <w:t>2.2</w:t>
      </w:r>
      <w:r>
        <w:rPr>
          <w:rFonts w:cs="Times New Roman"/>
          <w:b/>
          <w:sz w:val="24"/>
          <w:szCs w:val="24"/>
        </w:rPr>
        <w:tab/>
        <w:t>Psychologist support</w:t>
      </w:r>
      <w:r>
        <w:rPr>
          <w:rFonts w:cs="Times New Roman"/>
          <w:b/>
          <w:sz w:val="24"/>
          <w:szCs w:val="24"/>
        </w:rPr>
        <w:tab/>
      </w:r>
      <w:r>
        <w:rPr>
          <w:rFonts w:cs="Times New Roman"/>
          <w:b/>
          <w:sz w:val="24"/>
          <w:szCs w:val="24"/>
        </w:rPr>
        <w:tab/>
      </w:r>
      <w:r>
        <w:rPr>
          <w:rFonts w:cs="Times New Roman"/>
          <w:b/>
          <w:sz w:val="24"/>
          <w:szCs w:val="24"/>
        </w:rPr>
        <w:tab/>
      </w:r>
      <w:r w:rsidR="00DD5171">
        <w:rPr>
          <w:rFonts w:cs="Times New Roman"/>
          <w:b/>
          <w:sz w:val="24"/>
          <w:szCs w:val="24"/>
        </w:rPr>
        <w:t xml:space="preserve"> </w:t>
      </w:r>
      <w:r>
        <w:rPr>
          <w:rFonts w:cs="Times New Roman"/>
          <w:b/>
          <w:sz w:val="24"/>
          <w:szCs w:val="24"/>
        </w:rPr>
        <w:t>5 sessions over 4 periods</w:t>
      </w:r>
    </w:p>
    <w:p w:rsidR="00CE76E1" w:rsidRDefault="00CE76E1" w:rsidP="00CE76E1">
      <w:pPr>
        <w:ind w:left="720"/>
        <w:jc w:val="left"/>
        <w:rPr>
          <w:rFonts w:cs="Times New Roman"/>
          <w:b/>
          <w:sz w:val="24"/>
          <w:szCs w:val="24"/>
        </w:rPr>
      </w:pPr>
      <w:r>
        <w:rPr>
          <w:rFonts w:cs="Times New Roman"/>
          <w:b/>
          <w:sz w:val="24"/>
          <w:szCs w:val="24"/>
        </w:rPr>
        <w:t>2.3</w:t>
      </w:r>
      <w:r>
        <w:rPr>
          <w:rFonts w:cs="Times New Roman"/>
          <w:b/>
          <w:sz w:val="24"/>
          <w:szCs w:val="24"/>
        </w:rPr>
        <w:tab/>
        <w:t>Couple therapy</w:t>
      </w:r>
      <w:r>
        <w:rPr>
          <w:rFonts w:cs="Times New Roman"/>
          <w:b/>
          <w:sz w:val="24"/>
          <w:szCs w:val="24"/>
        </w:rPr>
        <w:tab/>
      </w:r>
      <w:r>
        <w:rPr>
          <w:rFonts w:cs="Times New Roman"/>
          <w:b/>
          <w:sz w:val="24"/>
          <w:szCs w:val="24"/>
        </w:rPr>
        <w:tab/>
      </w:r>
      <w:r>
        <w:rPr>
          <w:rFonts w:cs="Times New Roman"/>
          <w:b/>
          <w:sz w:val="24"/>
          <w:szCs w:val="24"/>
        </w:rPr>
        <w:tab/>
        <w:t xml:space="preserve"> 5 sessions over 5 weeks</w:t>
      </w:r>
      <w:r w:rsidR="00DC063B">
        <w:rPr>
          <w:rFonts w:cs="Times New Roman"/>
          <w:b/>
          <w:sz w:val="24"/>
          <w:szCs w:val="24"/>
        </w:rPr>
        <w:t xml:space="preserve"> once off</w:t>
      </w:r>
    </w:p>
    <w:p w:rsidR="00DC063B" w:rsidRDefault="00DC063B" w:rsidP="00CE76E1">
      <w:pPr>
        <w:ind w:left="720"/>
        <w:jc w:val="left"/>
        <w:rPr>
          <w:rFonts w:cs="Times New Roman"/>
          <w:b/>
          <w:sz w:val="24"/>
          <w:szCs w:val="24"/>
        </w:rPr>
      </w:pPr>
    </w:p>
    <w:p w:rsidR="00DC063B" w:rsidRDefault="00DC063B" w:rsidP="00DC063B">
      <w:pPr>
        <w:jc w:val="left"/>
        <w:rPr>
          <w:rFonts w:cs="Times New Roman"/>
          <w:b/>
          <w:sz w:val="24"/>
          <w:szCs w:val="24"/>
        </w:rPr>
      </w:pPr>
      <w:r>
        <w:rPr>
          <w:rFonts w:cs="Times New Roman"/>
          <w:b/>
          <w:sz w:val="24"/>
          <w:szCs w:val="24"/>
        </w:rPr>
        <w:t>3</w:t>
      </w:r>
      <w:r>
        <w:rPr>
          <w:rFonts w:cs="Times New Roman"/>
          <w:b/>
          <w:sz w:val="24"/>
          <w:szCs w:val="24"/>
        </w:rPr>
        <w:tab/>
        <w:t>PHYSIOTHERAPEUTIC ITEMS</w:t>
      </w:r>
      <w:r>
        <w:rPr>
          <w:rFonts w:cs="Times New Roman"/>
          <w:b/>
          <w:sz w:val="24"/>
          <w:szCs w:val="24"/>
        </w:rPr>
        <w:tab/>
      </w:r>
      <w:proofErr w:type="gramStart"/>
      <w:r>
        <w:rPr>
          <w:rFonts w:cs="Times New Roman"/>
          <w:b/>
          <w:sz w:val="24"/>
          <w:szCs w:val="24"/>
        </w:rPr>
        <w:tab/>
      </w:r>
      <w:r w:rsidR="00676451">
        <w:rPr>
          <w:rFonts w:cs="Times New Roman"/>
          <w:b/>
          <w:sz w:val="24"/>
          <w:szCs w:val="24"/>
        </w:rPr>
        <w:t xml:space="preserve">  </w:t>
      </w:r>
      <w:r>
        <w:rPr>
          <w:rFonts w:cs="Times New Roman"/>
          <w:b/>
          <w:sz w:val="24"/>
          <w:szCs w:val="24"/>
        </w:rPr>
        <w:t>FREQUENCY</w:t>
      </w:r>
      <w:proofErr w:type="gramEnd"/>
    </w:p>
    <w:p w:rsidR="00DC063B" w:rsidRDefault="00DC063B" w:rsidP="00DC063B">
      <w:pPr>
        <w:jc w:val="left"/>
        <w:rPr>
          <w:rFonts w:cs="Times New Roman"/>
          <w:b/>
          <w:sz w:val="24"/>
          <w:szCs w:val="24"/>
        </w:rPr>
      </w:pPr>
      <w:r>
        <w:rPr>
          <w:rFonts w:cs="Times New Roman"/>
          <w:b/>
          <w:sz w:val="24"/>
          <w:szCs w:val="24"/>
        </w:rPr>
        <w:tab/>
        <w:t>3.1</w:t>
      </w:r>
      <w:r>
        <w:rPr>
          <w:rFonts w:cs="Times New Roman"/>
          <w:b/>
          <w:sz w:val="24"/>
          <w:szCs w:val="24"/>
        </w:rPr>
        <w:tab/>
        <w:t>Physiotherapy for complex CNS</w:t>
      </w:r>
      <w:proofErr w:type="gramStart"/>
      <w:r>
        <w:rPr>
          <w:rFonts w:cs="Times New Roman"/>
          <w:b/>
          <w:sz w:val="24"/>
          <w:szCs w:val="24"/>
        </w:rPr>
        <w:tab/>
      </w:r>
      <w:r w:rsidR="00F10348">
        <w:rPr>
          <w:rFonts w:cs="Times New Roman"/>
          <w:b/>
          <w:sz w:val="24"/>
          <w:szCs w:val="24"/>
        </w:rPr>
        <w:t xml:space="preserve">  </w:t>
      </w:r>
      <w:r>
        <w:rPr>
          <w:rFonts w:cs="Times New Roman"/>
          <w:b/>
          <w:sz w:val="24"/>
          <w:szCs w:val="24"/>
        </w:rPr>
        <w:t>35</w:t>
      </w:r>
      <w:proofErr w:type="gramEnd"/>
      <w:r>
        <w:rPr>
          <w:rFonts w:cs="Times New Roman"/>
          <w:b/>
          <w:sz w:val="24"/>
          <w:szCs w:val="24"/>
        </w:rPr>
        <w:t xml:space="preserve"> annually until age 12</w:t>
      </w:r>
    </w:p>
    <w:p w:rsidR="00DC063B" w:rsidRDefault="00DC063B" w:rsidP="00DC063B">
      <w:pPr>
        <w:jc w:val="left"/>
        <w:rPr>
          <w:rFonts w:cs="Times New Roman"/>
          <w:b/>
          <w:sz w:val="24"/>
          <w:szCs w:val="24"/>
        </w:rPr>
      </w:pPr>
      <w:r>
        <w:rPr>
          <w:rFonts w:cs="Times New Roman"/>
          <w:b/>
          <w:sz w:val="24"/>
          <w:szCs w:val="24"/>
        </w:rPr>
        <w:lastRenderedPageBreak/>
        <w:tab/>
        <w:t>3.2</w:t>
      </w:r>
      <w:r>
        <w:rPr>
          <w:rFonts w:cs="Times New Roman"/>
          <w:b/>
          <w:sz w:val="24"/>
          <w:szCs w:val="24"/>
        </w:rPr>
        <w:tab/>
        <w:t>Physiotherapy for complex CNS</w:t>
      </w:r>
      <w:r>
        <w:rPr>
          <w:rFonts w:cs="Times New Roman"/>
          <w:b/>
          <w:sz w:val="24"/>
          <w:szCs w:val="24"/>
        </w:rPr>
        <w:tab/>
        <w:t xml:space="preserve"> </w:t>
      </w:r>
      <w:r w:rsidR="003B499B">
        <w:rPr>
          <w:rFonts w:cs="Times New Roman"/>
          <w:b/>
          <w:sz w:val="24"/>
          <w:szCs w:val="24"/>
        </w:rPr>
        <w:t xml:space="preserve">  </w:t>
      </w:r>
      <w:r>
        <w:rPr>
          <w:rFonts w:cs="Times New Roman"/>
          <w:b/>
          <w:sz w:val="24"/>
          <w:szCs w:val="24"/>
        </w:rPr>
        <w:t>30 annually from 13-18 years</w:t>
      </w:r>
    </w:p>
    <w:p w:rsidR="006B12E5" w:rsidRDefault="006B12E5" w:rsidP="00DC063B">
      <w:pPr>
        <w:jc w:val="left"/>
        <w:rPr>
          <w:rFonts w:cs="Times New Roman"/>
          <w:b/>
          <w:sz w:val="24"/>
          <w:szCs w:val="24"/>
        </w:rPr>
      </w:pPr>
      <w:r>
        <w:rPr>
          <w:rFonts w:cs="Times New Roman"/>
          <w:b/>
          <w:sz w:val="24"/>
          <w:szCs w:val="24"/>
        </w:rPr>
        <w:tab/>
        <w:t>3.3</w:t>
      </w:r>
      <w:r>
        <w:rPr>
          <w:rFonts w:cs="Times New Roman"/>
          <w:b/>
          <w:sz w:val="24"/>
          <w:szCs w:val="24"/>
        </w:rPr>
        <w:tab/>
        <w:t>Physiotherapy for complex CNS</w:t>
      </w:r>
      <w:r>
        <w:rPr>
          <w:rFonts w:cs="Times New Roman"/>
          <w:b/>
          <w:sz w:val="24"/>
          <w:szCs w:val="24"/>
        </w:rPr>
        <w:tab/>
        <w:t xml:space="preserve">  </w:t>
      </w:r>
      <w:r w:rsidR="003B499B">
        <w:rPr>
          <w:rFonts w:cs="Times New Roman"/>
          <w:b/>
          <w:sz w:val="24"/>
          <w:szCs w:val="24"/>
        </w:rPr>
        <w:t xml:space="preserve"> </w:t>
      </w:r>
      <w:r>
        <w:rPr>
          <w:rFonts w:cs="Times New Roman"/>
          <w:b/>
          <w:sz w:val="24"/>
          <w:szCs w:val="24"/>
        </w:rPr>
        <w:t>20 annually from age 18 for life</w:t>
      </w:r>
    </w:p>
    <w:p w:rsidR="006B12E5" w:rsidRDefault="006B12E5" w:rsidP="00DC063B">
      <w:pPr>
        <w:jc w:val="left"/>
        <w:rPr>
          <w:rFonts w:cs="Times New Roman"/>
          <w:b/>
          <w:sz w:val="24"/>
          <w:szCs w:val="24"/>
        </w:rPr>
      </w:pPr>
      <w:r>
        <w:rPr>
          <w:rFonts w:cs="Times New Roman"/>
          <w:b/>
          <w:sz w:val="24"/>
          <w:szCs w:val="24"/>
        </w:rPr>
        <w:tab/>
        <w:t>3.4</w:t>
      </w:r>
      <w:r>
        <w:rPr>
          <w:rFonts w:cs="Times New Roman"/>
          <w:b/>
          <w:sz w:val="24"/>
          <w:szCs w:val="24"/>
        </w:rPr>
        <w:tab/>
      </w:r>
      <w:r w:rsidR="0060773C">
        <w:rPr>
          <w:rFonts w:cs="Times New Roman"/>
          <w:b/>
          <w:sz w:val="24"/>
          <w:szCs w:val="24"/>
        </w:rPr>
        <w:t>Domiciliary physiotherapy</w:t>
      </w:r>
      <w:r w:rsidR="0060773C">
        <w:rPr>
          <w:rFonts w:cs="Times New Roman"/>
          <w:b/>
          <w:sz w:val="24"/>
          <w:szCs w:val="24"/>
        </w:rPr>
        <w:tab/>
      </w:r>
      <w:r w:rsidR="0060773C">
        <w:rPr>
          <w:rFonts w:cs="Times New Roman"/>
          <w:b/>
          <w:sz w:val="24"/>
          <w:szCs w:val="24"/>
        </w:rPr>
        <w:tab/>
        <w:t xml:space="preserve">   4 visits per annum till 12</w:t>
      </w:r>
    </w:p>
    <w:p w:rsidR="002B5C10" w:rsidRDefault="002B5C10" w:rsidP="00DC063B">
      <w:pPr>
        <w:jc w:val="left"/>
        <w:rPr>
          <w:rFonts w:cs="Times New Roman"/>
          <w:b/>
          <w:sz w:val="24"/>
          <w:szCs w:val="24"/>
        </w:rPr>
      </w:pPr>
      <w:r>
        <w:rPr>
          <w:rFonts w:cs="Times New Roman"/>
          <w:b/>
          <w:sz w:val="24"/>
          <w:szCs w:val="24"/>
        </w:rPr>
        <w:tab/>
        <w:t>3.5</w:t>
      </w:r>
      <w:r>
        <w:rPr>
          <w:rFonts w:cs="Times New Roman"/>
          <w:b/>
          <w:sz w:val="24"/>
          <w:szCs w:val="24"/>
        </w:rPr>
        <w:tab/>
        <w:t xml:space="preserve">Domiciliary physiotherapy for </w:t>
      </w:r>
      <w:r>
        <w:rPr>
          <w:rFonts w:cs="Times New Roman"/>
          <w:b/>
          <w:sz w:val="24"/>
          <w:szCs w:val="24"/>
        </w:rPr>
        <w:tab/>
        <w:t xml:space="preserve">   3 visits per annum 13 – 18</w:t>
      </w:r>
    </w:p>
    <w:p w:rsidR="002B5C10" w:rsidRDefault="002B5C10" w:rsidP="00DC063B">
      <w:pPr>
        <w:jc w:val="left"/>
        <w:rPr>
          <w:rFonts w:cs="Times New Roman"/>
          <w:b/>
          <w:sz w:val="24"/>
          <w:szCs w:val="24"/>
        </w:rPr>
      </w:pPr>
      <w:r>
        <w:rPr>
          <w:rFonts w:cs="Times New Roman"/>
          <w:b/>
          <w:sz w:val="24"/>
          <w:szCs w:val="24"/>
        </w:rPr>
        <w:tab/>
        <w:t>3.6</w:t>
      </w:r>
      <w:r>
        <w:rPr>
          <w:rFonts w:cs="Times New Roman"/>
          <w:b/>
          <w:sz w:val="24"/>
          <w:szCs w:val="24"/>
        </w:rPr>
        <w:tab/>
        <w:t>Domicil</w:t>
      </w:r>
      <w:r w:rsidR="00FC4B8A">
        <w:rPr>
          <w:rFonts w:cs="Times New Roman"/>
          <w:b/>
          <w:sz w:val="24"/>
          <w:szCs w:val="24"/>
        </w:rPr>
        <w:t>iary physiotherap</w:t>
      </w:r>
      <w:r>
        <w:rPr>
          <w:rFonts w:cs="Times New Roman"/>
          <w:b/>
          <w:sz w:val="24"/>
          <w:szCs w:val="24"/>
        </w:rPr>
        <w:t>y for</w:t>
      </w:r>
      <w:r>
        <w:rPr>
          <w:rFonts w:cs="Times New Roman"/>
          <w:b/>
          <w:sz w:val="24"/>
          <w:szCs w:val="24"/>
        </w:rPr>
        <w:tab/>
        <w:t xml:space="preserve">   4 visits per annum 18 for life</w:t>
      </w:r>
    </w:p>
    <w:p w:rsidR="002B5C10" w:rsidRDefault="00B9452A" w:rsidP="00DC063B">
      <w:pPr>
        <w:jc w:val="left"/>
        <w:rPr>
          <w:rFonts w:cs="Times New Roman"/>
          <w:b/>
          <w:sz w:val="24"/>
          <w:szCs w:val="24"/>
        </w:rPr>
      </w:pPr>
      <w:r>
        <w:rPr>
          <w:rFonts w:cs="Times New Roman"/>
          <w:b/>
          <w:sz w:val="24"/>
          <w:szCs w:val="24"/>
        </w:rPr>
        <w:tab/>
      </w:r>
      <w:r w:rsidR="00FC4B8A">
        <w:rPr>
          <w:rFonts w:cs="Times New Roman"/>
          <w:b/>
          <w:sz w:val="24"/>
          <w:szCs w:val="24"/>
        </w:rPr>
        <w:t>3.7</w:t>
      </w:r>
      <w:r w:rsidR="00FC4B8A">
        <w:rPr>
          <w:rFonts w:cs="Times New Roman"/>
          <w:b/>
          <w:sz w:val="24"/>
          <w:szCs w:val="24"/>
        </w:rPr>
        <w:tab/>
        <w:t>Chest physiotherapy</w:t>
      </w:r>
      <w:r w:rsidR="00FC4B8A">
        <w:rPr>
          <w:rFonts w:cs="Times New Roman"/>
          <w:b/>
          <w:sz w:val="24"/>
          <w:szCs w:val="24"/>
        </w:rPr>
        <w:tab/>
      </w:r>
      <w:r w:rsidR="00FC4B8A">
        <w:rPr>
          <w:rFonts w:cs="Times New Roman"/>
          <w:b/>
          <w:sz w:val="24"/>
          <w:szCs w:val="24"/>
        </w:rPr>
        <w:tab/>
      </w:r>
      <w:r w:rsidR="00FC4B8A">
        <w:rPr>
          <w:rFonts w:cs="Times New Roman"/>
          <w:b/>
          <w:sz w:val="24"/>
          <w:szCs w:val="24"/>
        </w:rPr>
        <w:tab/>
        <w:t xml:space="preserve">   8 per episode for life</w:t>
      </w:r>
    </w:p>
    <w:p w:rsidR="00FC4B8A" w:rsidRDefault="00FC4B8A" w:rsidP="00DC063B">
      <w:pPr>
        <w:jc w:val="left"/>
        <w:rPr>
          <w:rFonts w:cs="Times New Roman"/>
          <w:b/>
          <w:sz w:val="24"/>
          <w:szCs w:val="24"/>
        </w:rPr>
      </w:pPr>
      <w:r>
        <w:rPr>
          <w:rFonts w:cs="Times New Roman"/>
          <w:b/>
          <w:sz w:val="24"/>
          <w:szCs w:val="24"/>
        </w:rPr>
        <w:tab/>
        <w:t>3.8</w:t>
      </w:r>
      <w:r>
        <w:rPr>
          <w:rFonts w:cs="Times New Roman"/>
          <w:b/>
          <w:sz w:val="24"/>
          <w:szCs w:val="24"/>
        </w:rPr>
        <w:tab/>
        <w:t>Physiotherapy following</w:t>
      </w:r>
      <w:r>
        <w:rPr>
          <w:rFonts w:cs="Times New Roman"/>
          <w:b/>
          <w:sz w:val="24"/>
          <w:szCs w:val="24"/>
        </w:rPr>
        <w:tab/>
      </w:r>
      <w:r>
        <w:rPr>
          <w:rFonts w:cs="Times New Roman"/>
          <w:b/>
          <w:sz w:val="24"/>
          <w:szCs w:val="24"/>
        </w:rPr>
        <w:tab/>
        <w:t xml:space="preserve">   As and when needed</w:t>
      </w:r>
    </w:p>
    <w:p w:rsidR="00FC4B8A" w:rsidRDefault="00C253DA" w:rsidP="00DC063B">
      <w:pPr>
        <w:jc w:val="left"/>
        <w:rPr>
          <w:rFonts w:cs="Times New Roman"/>
          <w:b/>
          <w:sz w:val="24"/>
          <w:szCs w:val="24"/>
        </w:rPr>
      </w:pPr>
      <w:r>
        <w:rPr>
          <w:rFonts w:cs="Times New Roman"/>
          <w:b/>
          <w:sz w:val="24"/>
          <w:szCs w:val="24"/>
        </w:rPr>
        <w:tab/>
      </w:r>
      <w:r>
        <w:rPr>
          <w:rFonts w:cs="Times New Roman"/>
          <w:b/>
          <w:sz w:val="24"/>
          <w:szCs w:val="24"/>
        </w:rPr>
        <w:tab/>
        <w:t xml:space="preserve">orthopaedic surgery: </w:t>
      </w:r>
      <w:r w:rsidR="00FC4B8A">
        <w:rPr>
          <w:rFonts w:cs="Times New Roman"/>
          <w:b/>
          <w:sz w:val="24"/>
          <w:szCs w:val="24"/>
        </w:rPr>
        <w:t>in-patient</w:t>
      </w:r>
    </w:p>
    <w:p w:rsidR="00FC4B8A" w:rsidRDefault="00FC4B8A" w:rsidP="00DC063B">
      <w:pPr>
        <w:jc w:val="left"/>
        <w:rPr>
          <w:rFonts w:cs="Times New Roman"/>
          <w:b/>
          <w:sz w:val="24"/>
          <w:szCs w:val="24"/>
        </w:rPr>
      </w:pPr>
      <w:r>
        <w:rPr>
          <w:rFonts w:cs="Times New Roman"/>
          <w:b/>
          <w:sz w:val="24"/>
          <w:szCs w:val="24"/>
        </w:rPr>
        <w:tab/>
        <w:t>3.9</w:t>
      </w:r>
      <w:r>
        <w:rPr>
          <w:rFonts w:cs="Times New Roman"/>
          <w:b/>
          <w:sz w:val="24"/>
          <w:szCs w:val="24"/>
        </w:rPr>
        <w:tab/>
        <w:t xml:space="preserve">Physiotherapy following orthopaedic    </w:t>
      </w:r>
      <w:r w:rsidR="003B499B">
        <w:rPr>
          <w:rFonts w:cs="Times New Roman"/>
          <w:b/>
          <w:sz w:val="24"/>
          <w:szCs w:val="24"/>
        </w:rPr>
        <w:t xml:space="preserve">     </w:t>
      </w:r>
      <w:r>
        <w:rPr>
          <w:rFonts w:cs="Times New Roman"/>
          <w:b/>
          <w:sz w:val="24"/>
          <w:szCs w:val="24"/>
        </w:rPr>
        <w:t>As and when needed</w:t>
      </w:r>
    </w:p>
    <w:p w:rsidR="00FC4B8A" w:rsidRDefault="00FC4B8A" w:rsidP="00DC063B">
      <w:pPr>
        <w:jc w:val="left"/>
        <w:rPr>
          <w:rFonts w:cs="Times New Roman"/>
          <w:b/>
          <w:sz w:val="24"/>
          <w:szCs w:val="24"/>
        </w:rPr>
      </w:pPr>
      <w:r>
        <w:rPr>
          <w:rFonts w:cs="Times New Roman"/>
          <w:b/>
          <w:sz w:val="24"/>
          <w:szCs w:val="24"/>
        </w:rPr>
        <w:tab/>
      </w:r>
      <w:r>
        <w:rPr>
          <w:rFonts w:cs="Times New Roman"/>
          <w:b/>
          <w:sz w:val="24"/>
          <w:szCs w:val="24"/>
        </w:rPr>
        <w:tab/>
        <w:t>Surge</w:t>
      </w:r>
      <w:r w:rsidR="00676451">
        <w:rPr>
          <w:rFonts w:cs="Times New Roman"/>
          <w:b/>
          <w:sz w:val="24"/>
          <w:szCs w:val="24"/>
        </w:rPr>
        <w:t>r</w:t>
      </w:r>
      <w:r>
        <w:rPr>
          <w:rFonts w:cs="Times New Roman"/>
          <w:b/>
          <w:sz w:val="24"/>
          <w:szCs w:val="24"/>
        </w:rPr>
        <w:t>y: out-patient</w:t>
      </w:r>
    </w:p>
    <w:p w:rsidR="00FC4B8A" w:rsidRDefault="00FC4B8A" w:rsidP="00DC063B">
      <w:pPr>
        <w:jc w:val="left"/>
        <w:rPr>
          <w:rFonts w:cs="Times New Roman"/>
          <w:b/>
          <w:sz w:val="24"/>
          <w:szCs w:val="24"/>
        </w:rPr>
      </w:pPr>
      <w:r>
        <w:rPr>
          <w:rFonts w:cs="Times New Roman"/>
          <w:b/>
          <w:sz w:val="24"/>
          <w:szCs w:val="24"/>
        </w:rPr>
        <w:tab/>
        <w:t>3.10</w:t>
      </w:r>
      <w:r>
        <w:rPr>
          <w:rFonts w:cs="Times New Roman"/>
          <w:b/>
          <w:sz w:val="24"/>
          <w:szCs w:val="24"/>
        </w:rPr>
        <w:tab/>
        <w:t>Physiotherapy following orthopaedic</w:t>
      </w:r>
      <w:r>
        <w:rPr>
          <w:rFonts w:cs="Times New Roman"/>
          <w:b/>
          <w:sz w:val="24"/>
          <w:szCs w:val="24"/>
        </w:rPr>
        <w:tab/>
      </w:r>
      <w:proofErr w:type="gramStart"/>
      <w:r>
        <w:rPr>
          <w:rFonts w:cs="Times New Roman"/>
          <w:b/>
          <w:sz w:val="24"/>
          <w:szCs w:val="24"/>
        </w:rPr>
        <w:t>As</w:t>
      </w:r>
      <w:proofErr w:type="gramEnd"/>
      <w:r>
        <w:rPr>
          <w:rFonts w:cs="Times New Roman"/>
          <w:b/>
          <w:sz w:val="24"/>
          <w:szCs w:val="24"/>
        </w:rPr>
        <w:t xml:space="preserve"> and when needed</w:t>
      </w:r>
    </w:p>
    <w:p w:rsidR="00FC4B8A" w:rsidRDefault="00FC4B8A" w:rsidP="00DC063B">
      <w:pPr>
        <w:jc w:val="left"/>
        <w:rPr>
          <w:rFonts w:cs="Times New Roman"/>
          <w:b/>
          <w:sz w:val="24"/>
          <w:szCs w:val="24"/>
        </w:rPr>
      </w:pPr>
      <w:r>
        <w:rPr>
          <w:rFonts w:cs="Times New Roman"/>
          <w:b/>
          <w:sz w:val="24"/>
          <w:szCs w:val="24"/>
        </w:rPr>
        <w:tab/>
      </w:r>
      <w:r>
        <w:rPr>
          <w:rFonts w:cs="Times New Roman"/>
          <w:b/>
          <w:sz w:val="24"/>
          <w:szCs w:val="24"/>
        </w:rPr>
        <w:tab/>
        <w:t>Surgery</w:t>
      </w:r>
    </w:p>
    <w:p w:rsidR="00FC4B8A" w:rsidRDefault="00FC4B8A" w:rsidP="00FC4B8A">
      <w:pPr>
        <w:ind w:left="1440" w:hanging="720"/>
        <w:jc w:val="left"/>
        <w:rPr>
          <w:rFonts w:cs="Times New Roman"/>
          <w:b/>
          <w:sz w:val="24"/>
          <w:szCs w:val="24"/>
        </w:rPr>
      </w:pPr>
      <w:r>
        <w:rPr>
          <w:rFonts w:cs="Times New Roman"/>
          <w:b/>
          <w:sz w:val="24"/>
          <w:szCs w:val="24"/>
        </w:rPr>
        <w:t>3.11</w:t>
      </w:r>
      <w:r>
        <w:rPr>
          <w:rFonts w:cs="Times New Roman"/>
          <w:b/>
          <w:sz w:val="24"/>
          <w:szCs w:val="24"/>
        </w:rPr>
        <w:tab/>
        <w:t>S</w:t>
      </w:r>
      <w:r w:rsidR="002D399F">
        <w:rPr>
          <w:rFonts w:cs="Times New Roman"/>
          <w:b/>
          <w:sz w:val="24"/>
          <w:szCs w:val="24"/>
        </w:rPr>
        <w:t>eating assessment/fitting and</w:t>
      </w:r>
      <w:r w:rsidR="002D399F">
        <w:rPr>
          <w:rFonts w:cs="Times New Roman"/>
          <w:b/>
          <w:sz w:val="24"/>
          <w:szCs w:val="24"/>
        </w:rPr>
        <w:tab/>
      </w:r>
      <w:r w:rsidR="002D399F">
        <w:rPr>
          <w:rFonts w:cs="Times New Roman"/>
          <w:b/>
          <w:sz w:val="24"/>
          <w:szCs w:val="24"/>
        </w:rPr>
        <w:tab/>
      </w:r>
      <w:r>
        <w:rPr>
          <w:rFonts w:cs="Times New Roman"/>
          <w:b/>
          <w:sz w:val="24"/>
          <w:szCs w:val="24"/>
        </w:rPr>
        <w:t>8 hours per annum for the next</w:t>
      </w:r>
    </w:p>
    <w:p w:rsidR="00FC4B8A" w:rsidRDefault="00FC4B8A" w:rsidP="002D399F">
      <w:pPr>
        <w:ind w:left="5760"/>
        <w:jc w:val="left"/>
        <w:rPr>
          <w:rFonts w:cs="Times New Roman"/>
          <w:b/>
          <w:sz w:val="24"/>
          <w:szCs w:val="24"/>
        </w:rPr>
      </w:pPr>
      <w:r>
        <w:rPr>
          <w:rFonts w:cs="Times New Roman"/>
          <w:b/>
          <w:sz w:val="24"/>
          <w:szCs w:val="24"/>
        </w:rPr>
        <w:t xml:space="preserve">2 years thereafter as and when  </w:t>
      </w:r>
      <w:r w:rsidR="002D399F">
        <w:rPr>
          <w:rFonts w:cs="Times New Roman"/>
          <w:b/>
          <w:sz w:val="24"/>
          <w:szCs w:val="24"/>
        </w:rPr>
        <w:t xml:space="preserve">    </w:t>
      </w:r>
      <w:r>
        <w:rPr>
          <w:rFonts w:cs="Times New Roman"/>
          <w:b/>
          <w:sz w:val="24"/>
          <w:szCs w:val="24"/>
        </w:rPr>
        <w:t>required</w:t>
      </w:r>
    </w:p>
    <w:p w:rsidR="00FC4B8A" w:rsidRDefault="00F851FB" w:rsidP="00F851FB">
      <w:pPr>
        <w:ind w:firstLine="60"/>
        <w:jc w:val="left"/>
        <w:rPr>
          <w:rFonts w:cs="Times New Roman"/>
          <w:b/>
          <w:sz w:val="24"/>
          <w:szCs w:val="24"/>
        </w:rPr>
      </w:pPr>
      <w:r>
        <w:rPr>
          <w:rFonts w:cs="Times New Roman"/>
          <w:b/>
          <w:sz w:val="24"/>
          <w:szCs w:val="24"/>
        </w:rPr>
        <w:tab/>
        <w:t>3.12</w:t>
      </w:r>
      <w:r>
        <w:rPr>
          <w:rFonts w:cs="Times New Roman"/>
          <w:b/>
          <w:sz w:val="24"/>
          <w:szCs w:val="24"/>
        </w:rPr>
        <w:tab/>
        <w:t>Modification of postural support</w:t>
      </w:r>
      <w:r>
        <w:rPr>
          <w:rFonts w:cs="Times New Roman"/>
          <w:b/>
          <w:sz w:val="24"/>
          <w:szCs w:val="24"/>
        </w:rPr>
        <w:tab/>
      </w:r>
      <w:r>
        <w:rPr>
          <w:rFonts w:cs="Times New Roman"/>
          <w:b/>
          <w:sz w:val="24"/>
          <w:szCs w:val="24"/>
        </w:rPr>
        <w:tab/>
        <w:t>if and when required</w:t>
      </w:r>
    </w:p>
    <w:p w:rsidR="00F851FB" w:rsidRDefault="00F851FB" w:rsidP="00F851FB">
      <w:pPr>
        <w:ind w:firstLine="60"/>
        <w:jc w:val="left"/>
        <w:rPr>
          <w:rFonts w:cs="Times New Roman"/>
          <w:b/>
          <w:sz w:val="24"/>
          <w:szCs w:val="24"/>
        </w:rPr>
      </w:pPr>
    </w:p>
    <w:p w:rsidR="00FC4B8A" w:rsidRDefault="00F851FB" w:rsidP="00FC4B8A">
      <w:pPr>
        <w:jc w:val="left"/>
        <w:rPr>
          <w:rFonts w:cs="Times New Roman"/>
          <w:b/>
          <w:sz w:val="24"/>
          <w:szCs w:val="24"/>
        </w:rPr>
      </w:pPr>
      <w:r>
        <w:rPr>
          <w:rFonts w:cs="Times New Roman"/>
          <w:b/>
          <w:sz w:val="24"/>
          <w:szCs w:val="24"/>
        </w:rPr>
        <w:t>4.</w:t>
      </w:r>
      <w:r>
        <w:rPr>
          <w:rFonts w:cs="Times New Roman"/>
          <w:b/>
          <w:sz w:val="24"/>
          <w:szCs w:val="24"/>
        </w:rPr>
        <w:tab/>
        <w:t>OCCUPATIONAL THERAPY ITEMS</w:t>
      </w:r>
    </w:p>
    <w:p w:rsidR="00F851FB" w:rsidRDefault="00F851FB" w:rsidP="00FC4B8A">
      <w:pPr>
        <w:jc w:val="left"/>
        <w:rPr>
          <w:rFonts w:cs="Times New Roman"/>
          <w:b/>
          <w:sz w:val="24"/>
          <w:szCs w:val="24"/>
        </w:rPr>
      </w:pPr>
      <w:r>
        <w:rPr>
          <w:rFonts w:cs="Times New Roman"/>
          <w:b/>
          <w:sz w:val="24"/>
          <w:szCs w:val="24"/>
        </w:rPr>
        <w:tab/>
        <w:t>4.1</w:t>
      </w:r>
      <w:r>
        <w:rPr>
          <w:rFonts w:cs="Times New Roman"/>
          <w:b/>
          <w:sz w:val="24"/>
          <w:szCs w:val="24"/>
        </w:rPr>
        <w:tab/>
        <w:t>Multidisciplinary group therapy</w:t>
      </w:r>
      <w:r>
        <w:rPr>
          <w:rFonts w:cs="Times New Roman"/>
          <w:b/>
          <w:sz w:val="24"/>
          <w:szCs w:val="24"/>
        </w:rPr>
        <w:tab/>
      </w:r>
      <w:r>
        <w:rPr>
          <w:rFonts w:cs="Times New Roman"/>
          <w:b/>
          <w:sz w:val="24"/>
          <w:szCs w:val="24"/>
        </w:rPr>
        <w:tab/>
        <w:t>35 hours annually (</w:t>
      </w:r>
      <w:proofErr w:type="spellStart"/>
      <w:r>
        <w:rPr>
          <w:rFonts w:cs="Times New Roman"/>
          <w:b/>
          <w:sz w:val="24"/>
          <w:szCs w:val="24"/>
        </w:rPr>
        <w:t>incl</w:t>
      </w:r>
      <w:proofErr w:type="spellEnd"/>
      <w:r>
        <w:rPr>
          <w:rFonts w:cs="Times New Roman"/>
          <w:b/>
          <w:sz w:val="24"/>
          <w:szCs w:val="24"/>
        </w:rPr>
        <w:t xml:space="preserve"> Physio </w:t>
      </w:r>
    </w:p>
    <w:p w:rsidR="00F851FB" w:rsidRDefault="00F851FB" w:rsidP="00FC4B8A">
      <w:pPr>
        <w:jc w:val="lef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and Speech)</w:t>
      </w:r>
    </w:p>
    <w:p w:rsidR="007F2258" w:rsidRDefault="00F851FB" w:rsidP="007F2258">
      <w:pPr>
        <w:ind w:left="720"/>
        <w:jc w:val="left"/>
        <w:rPr>
          <w:rFonts w:cs="Times New Roman"/>
          <w:b/>
          <w:sz w:val="24"/>
          <w:szCs w:val="24"/>
        </w:rPr>
      </w:pPr>
      <w:r>
        <w:rPr>
          <w:rFonts w:cs="Times New Roman"/>
          <w:b/>
          <w:sz w:val="24"/>
          <w:szCs w:val="24"/>
        </w:rPr>
        <w:t>4.2</w:t>
      </w:r>
      <w:r>
        <w:rPr>
          <w:rFonts w:cs="Times New Roman"/>
          <w:b/>
          <w:sz w:val="24"/>
          <w:szCs w:val="24"/>
        </w:rPr>
        <w:tab/>
        <w:t>Block therapy</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5 days of block th</w:t>
      </w:r>
      <w:r w:rsidR="007F2258">
        <w:rPr>
          <w:rFonts w:cs="Times New Roman"/>
          <w:b/>
          <w:sz w:val="24"/>
          <w:szCs w:val="24"/>
        </w:rPr>
        <w:t>e</w:t>
      </w:r>
      <w:r>
        <w:rPr>
          <w:rFonts w:cs="Times New Roman"/>
          <w:b/>
          <w:sz w:val="24"/>
          <w:szCs w:val="24"/>
        </w:rPr>
        <w:t>rapy once</w:t>
      </w:r>
      <w:r w:rsidR="007F2258">
        <w:rPr>
          <w:rFonts w:cs="Times New Roman"/>
          <w:b/>
          <w:sz w:val="24"/>
          <w:szCs w:val="24"/>
        </w:rPr>
        <w:t xml:space="preserve"> </w:t>
      </w:r>
      <w:r>
        <w:rPr>
          <w:rFonts w:cs="Times New Roman"/>
          <w:b/>
          <w:sz w:val="24"/>
          <w:szCs w:val="24"/>
        </w:rPr>
        <w:t xml:space="preserve"> </w:t>
      </w:r>
    </w:p>
    <w:p w:rsidR="00F851FB" w:rsidRDefault="007F2258" w:rsidP="007F2258">
      <w:pPr>
        <w:ind w:left="5760"/>
        <w:jc w:val="left"/>
        <w:rPr>
          <w:rFonts w:cs="Times New Roman"/>
          <w:b/>
          <w:sz w:val="24"/>
          <w:szCs w:val="24"/>
        </w:rPr>
      </w:pPr>
      <w:r>
        <w:rPr>
          <w:rFonts w:cs="Times New Roman"/>
          <w:b/>
          <w:sz w:val="24"/>
          <w:szCs w:val="24"/>
        </w:rPr>
        <w:t xml:space="preserve"> off </w:t>
      </w:r>
      <w:r w:rsidR="00F851FB">
        <w:rPr>
          <w:rFonts w:cs="Times New Roman"/>
          <w:b/>
          <w:sz w:val="24"/>
          <w:szCs w:val="24"/>
        </w:rPr>
        <w:t>(30 hours)</w:t>
      </w:r>
    </w:p>
    <w:p w:rsidR="00F851FB" w:rsidRDefault="00F851FB" w:rsidP="00FC4B8A">
      <w:pPr>
        <w:jc w:val="left"/>
        <w:rPr>
          <w:rFonts w:cs="Times New Roman"/>
          <w:b/>
          <w:sz w:val="24"/>
          <w:szCs w:val="24"/>
        </w:rPr>
      </w:pPr>
      <w:r>
        <w:rPr>
          <w:rFonts w:cs="Times New Roman"/>
          <w:b/>
          <w:sz w:val="24"/>
          <w:szCs w:val="24"/>
        </w:rPr>
        <w:tab/>
        <w:t>4.3</w:t>
      </w:r>
      <w:r>
        <w:rPr>
          <w:rFonts w:cs="Times New Roman"/>
          <w:b/>
          <w:sz w:val="24"/>
          <w:szCs w:val="24"/>
        </w:rPr>
        <w:tab/>
        <w:t>Occupational therapy</w:t>
      </w:r>
      <w:r>
        <w:rPr>
          <w:rFonts w:cs="Times New Roman"/>
          <w:b/>
          <w:sz w:val="24"/>
          <w:szCs w:val="24"/>
        </w:rPr>
        <w:tab/>
      </w:r>
      <w:r>
        <w:rPr>
          <w:rFonts w:cs="Times New Roman"/>
          <w:b/>
          <w:sz w:val="24"/>
          <w:szCs w:val="24"/>
        </w:rPr>
        <w:tab/>
      </w:r>
      <w:r>
        <w:rPr>
          <w:rFonts w:cs="Times New Roman"/>
          <w:b/>
          <w:sz w:val="24"/>
          <w:szCs w:val="24"/>
        </w:rPr>
        <w:tab/>
        <w:t xml:space="preserve"> 20 annually until age 13</w:t>
      </w:r>
    </w:p>
    <w:p w:rsidR="00F851FB" w:rsidRDefault="00F851FB" w:rsidP="00FC4B8A">
      <w:pPr>
        <w:jc w:val="left"/>
        <w:rPr>
          <w:rFonts w:cs="Times New Roman"/>
          <w:b/>
          <w:sz w:val="24"/>
          <w:szCs w:val="24"/>
        </w:rPr>
      </w:pPr>
      <w:r>
        <w:rPr>
          <w:rFonts w:cs="Times New Roman"/>
          <w:b/>
          <w:sz w:val="24"/>
          <w:szCs w:val="24"/>
        </w:rPr>
        <w:tab/>
        <w:t>4.4</w:t>
      </w:r>
      <w:r>
        <w:rPr>
          <w:rFonts w:cs="Times New Roman"/>
          <w:b/>
          <w:sz w:val="24"/>
          <w:szCs w:val="24"/>
        </w:rPr>
        <w:tab/>
        <w:t>Occupational therapy</w:t>
      </w:r>
      <w:r>
        <w:rPr>
          <w:rFonts w:cs="Times New Roman"/>
          <w:b/>
          <w:sz w:val="24"/>
          <w:szCs w:val="24"/>
        </w:rPr>
        <w:tab/>
      </w:r>
      <w:r>
        <w:rPr>
          <w:rFonts w:cs="Times New Roman"/>
          <w:b/>
          <w:sz w:val="24"/>
          <w:szCs w:val="24"/>
        </w:rPr>
        <w:tab/>
      </w:r>
      <w:r>
        <w:rPr>
          <w:rFonts w:cs="Times New Roman"/>
          <w:b/>
          <w:sz w:val="24"/>
          <w:szCs w:val="24"/>
        </w:rPr>
        <w:tab/>
        <w:t xml:space="preserve"> 12 hours annually 14 until 18</w:t>
      </w:r>
    </w:p>
    <w:p w:rsidR="00F851FB" w:rsidRDefault="00F851FB" w:rsidP="00FC4B8A">
      <w:pPr>
        <w:jc w:val="left"/>
        <w:rPr>
          <w:rFonts w:cs="Times New Roman"/>
          <w:b/>
          <w:sz w:val="24"/>
          <w:szCs w:val="24"/>
        </w:rPr>
      </w:pPr>
      <w:r>
        <w:rPr>
          <w:rFonts w:cs="Times New Roman"/>
          <w:b/>
          <w:sz w:val="24"/>
          <w:szCs w:val="24"/>
        </w:rPr>
        <w:tab/>
        <w:t>4.5</w:t>
      </w:r>
      <w:r>
        <w:rPr>
          <w:rFonts w:cs="Times New Roman"/>
          <w:b/>
          <w:sz w:val="24"/>
          <w:szCs w:val="24"/>
        </w:rPr>
        <w:tab/>
        <w:t>Occupational therapy</w:t>
      </w:r>
      <w:r>
        <w:rPr>
          <w:rFonts w:cs="Times New Roman"/>
          <w:b/>
          <w:sz w:val="24"/>
          <w:szCs w:val="24"/>
        </w:rPr>
        <w:tab/>
      </w:r>
      <w:r>
        <w:rPr>
          <w:rFonts w:cs="Times New Roman"/>
          <w:b/>
          <w:sz w:val="24"/>
          <w:szCs w:val="24"/>
        </w:rPr>
        <w:tab/>
      </w:r>
      <w:r>
        <w:rPr>
          <w:rFonts w:cs="Times New Roman"/>
          <w:b/>
          <w:sz w:val="24"/>
          <w:szCs w:val="24"/>
        </w:rPr>
        <w:tab/>
        <w:t xml:space="preserve"> 2 hours annually after 18 years</w:t>
      </w:r>
    </w:p>
    <w:p w:rsidR="00F851FB" w:rsidRDefault="00F851FB" w:rsidP="00FC4B8A">
      <w:pPr>
        <w:jc w:val="left"/>
        <w:rPr>
          <w:rFonts w:cs="Times New Roman"/>
          <w:b/>
          <w:sz w:val="24"/>
          <w:szCs w:val="24"/>
        </w:rPr>
      </w:pPr>
      <w:r>
        <w:rPr>
          <w:rFonts w:cs="Times New Roman"/>
          <w:b/>
          <w:sz w:val="24"/>
          <w:szCs w:val="24"/>
        </w:rPr>
        <w:lastRenderedPageBreak/>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for life</w:t>
      </w:r>
    </w:p>
    <w:p w:rsidR="00CE76E1" w:rsidRDefault="00DC063B" w:rsidP="00F851FB">
      <w:pPr>
        <w:jc w:val="left"/>
        <w:rPr>
          <w:rFonts w:cs="Times New Roman"/>
          <w:b/>
          <w:sz w:val="24"/>
          <w:szCs w:val="24"/>
        </w:rPr>
      </w:pPr>
      <w:r>
        <w:rPr>
          <w:rFonts w:cs="Times New Roman"/>
          <w:b/>
          <w:sz w:val="24"/>
          <w:szCs w:val="24"/>
        </w:rPr>
        <w:tab/>
      </w:r>
    </w:p>
    <w:p w:rsidR="00CE76E1" w:rsidRDefault="00161D0C" w:rsidP="00161D0C">
      <w:pPr>
        <w:ind w:right="1134"/>
        <w:jc w:val="left"/>
        <w:rPr>
          <w:rFonts w:cs="Times New Roman"/>
          <w:b/>
          <w:sz w:val="24"/>
          <w:szCs w:val="24"/>
        </w:rPr>
      </w:pPr>
      <w:r>
        <w:rPr>
          <w:rFonts w:cs="Times New Roman"/>
          <w:b/>
          <w:sz w:val="24"/>
          <w:szCs w:val="24"/>
        </w:rPr>
        <w:t>5.</w:t>
      </w:r>
      <w:r>
        <w:rPr>
          <w:rFonts w:cs="Times New Roman"/>
          <w:b/>
          <w:sz w:val="24"/>
          <w:szCs w:val="24"/>
        </w:rPr>
        <w:tab/>
        <w:t>ORTHOTIC CONSULTATIONS</w:t>
      </w:r>
      <w:r>
        <w:rPr>
          <w:rFonts w:cs="Times New Roman"/>
          <w:b/>
          <w:sz w:val="24"/>
          <w:szCs w:val="24"/>
        </w:rPr>
        <w:tab/>
      </w:r>
      <w:r>
        <w:rPr>
          <w:rFonts w:cs="Times New Roman"/>
          <w:b/>
          <w:sz w:val="24"/>
          <w:szCs w:val="24"/>
        </w:rPr>
        <w:tab/>
        <w:t>FREQUENCY</w:t>
      </w:r>
    </w:p>
    <w:p w:rsidR="00161D0C" w:rsidRDefault="00161D0C" w:rsidP="00161D0C">
      <w:pPr>
        <w:ind w:right="1134"/>
        <w:jc w:val="left"/>
        <w:rPr>
          <w:rFonts w:cs="Times New Roman"/>
          <w:b/>
          <w:sz w:val="24"/>
          <w:szCs w:val="24"/>
        </w:rPr>
      </w:pPr>
      <w:r>
        <w:rPr>
          <w:rFonts w:cs="Times New Roman"/>
          <w:b/>
          <w:sz w:val="24"/>
          <w:szCs w:val="24"/>
        </w:rPr>
        <w:tab/>
        <w:t>5.1</w:t>
      </w:r>
      <w:r>
        <w:rPr>
          <w:rFonts w:cs="Times New Roman"/>
          <w:b/>
          <w:sz w:val="24"/>
          <w:szCs w:val="24"/>
        </w:rPr>
        <w:tab/>
        <w:t>Orthotic consultations</w:t>
      </w:r>
      <w:r>
        <w:rPr>
          <w:rFonts w:cs="Times New Roman"/>
          <w:b/>
          <w:sz w:val="24"/>
          <w:szCs w:val="24"/>
        </w:rPr>
        <w:tab/>
      </w:r>
      <w:r>
        <w:rPr>
          <w:rFonts w:cs="Times New Roman"/>
          <w:b/>
          <w:sz w:val="24"/>
          <w:szCs w:val="24"/>
        </w:rPr>
        <w:tab/>
        <w:t>1 hour per annum for life</w:t>
      </w:r>
    </w:p>
    <w:p w:rsidR="00161D0C" w:rsidRDefault="00161D0C" w:rsidP="00161D0C">
      <w:pPr>
        <w:ind w:right="1134"/>
        <w:jc w:val="left"/>
        <w:rPr>
          <w:rFonts w:cs="Times New Roman"/>
          <w:b/>
          <w:sz w:val="24"/>
          <w:szCs w:val="24"/>
        </w:rPr>
      </w:pPr>
      <w:r>
        <w:rPr>
          <w:rFonts w:cs="Times New Roman"/>
          <w:b/>
          <w:sz w:val="24"/>
          <w:szCs w:val="24"/>
        </w:rPr>
        <w:tab/>
        <w:t>5.2</w:t>
      </w:r>
      <w:r>
        <w:rPr>
          <w:rFonts w:cs="Times New Roman"/>
          <w:b/>
          <w:sz w:val="24"/>
          <w:szCs w:val="24"/>
        </w:rPr>
        <w:tab/>
        <w:t>Laboratory</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Annually for life</w:t>
      </w:r>
    </w:p>
    <w:p w:rsidR="00161D0C" w:rsidRDefault="00161D0C" w:rsidP="00161D0C">
      <w:pPr>
        <w:ind w:right="1134"/>
        <w:jc w:val="left"/>
        <w:rPr>
          <w:rFonts w:cs="Times New Roman"/>
          <w:b/>
          <w:sz w:val="24"/>
          <w:szCs w:val="24"/>
        </w:rPr>
      </w:pPr>
    </w:p>
    <w:p w:rsidR="00161D0C" w:rsidRDefault="00161D0C" w:rsidP="00161D0C">
      <w:pPr>
        <w:ind w:right="1134"/>
        <w:jc w:val="left"/>
        <w:rPr>
          <w:rFonts w:cs="Times New Roman"/>
          <w:b/>
          <w:sz w:val="24"/>
          <w:szCs w:val="24"/>
        </w:rPr>
      </w:pPr>
      <w:r>
        <w:rPr>
          <w:rFonts w:cs="Times New Roman"/>
          <w:b/>
          <w:sz w:val="24"/>
          <w:szCs w:val="24"/>
        </w:rPr>
        <w:t>6.</w:t>
      </w:r>
      <w:r>
        <w:rPr>
          <w:rFonts w:cs="Times New Roman"/>
          <w:b/>
          <w:sz w:val="24"/>
          <w:szCs w:val="24"/>
        </w:rPr>
        <w:tab/>
        <w:t>ORTHOPEDIC CONSULTATION,</w:t>
      </w:r>
      <w:r>
        <w:rPr>
          <w:rFonts w:cs="Times New Roman"/>
          <w:b/>
          <w:sz w:val="24"/>
          <w:szCs w:val="24"/>
        </w:rPr>
        <w:tab/>
        <w:t>FREQUENCY</w:t>
      </w:r>
    </w:p>
    <w:p w:rsidR="00161D0C" w:rsidRDefault="00161D0C" w:rsidP="00161D0C">
      <w:pPr>
        <w:ind w:right="1134"/>
        <w:jc w:val="left"/>
        <w:rPr>
          <w:rFonts w:cs="Times New Roman"/>
          <w:b/>
          <w:sz w:val="24"/>
          <w:szCs w:val="24"/>
        </w:rPr>
      </w:pPr>
      <w:r>
        <w:rPr>
          <w:rFonts w:cs="Times New Roman"/>
          <w:b/>
          <w:sz w:val="24"/>
          <w:szCs w:val="24"/>
        </w:rPr>
        <w:tab/>
        <w:t>SURGERIES</w:t>
      </w:r>
    </w:p>
    <w:p w:rsidR="00161D0C" w:rsidRDefault="00161D0C" w:rsidP="00161D0C">
      <w:pPr>
        <w:ind w:right="1134"/>
        <w:jc w:val="left"/>
        <w:rPr>
          <w:rFonts w:cs="Times New Roman"/>
          <w:b/>
          <w:sz w:val="24"/>
          <w:szCs w:val="24"/>
        </w:rPr>
      </w:pPr>
      <w:r>
        <w:rPr>
          <w:rFonts w:cs="Times New Roman"/>
          <w:b/>
          <w:sz w:val="24"/>
          <w:szCs w:val="24"/>
        </w:rPr>
        <w:tab/>
        <w:t>6.1</w:t>
      </w:r>
      <w:r>
        <w:rPr>
          <w:rFonts w:cs="Times New Roman"/>
          <w:b/>
          <w:sz w:val="24"/>
          <w:szCs w:val="24"/>
        </w:rPr>
        <w:tab/>
        <w:t>Orthopaedic consults</w:t>
      </w:r>
      <w:r>
        <w:rPr>
          <w:rFonts w:cs="Times New Roman"/>
          <w:b/>
          <w:sz w:val="24"/>
          <w:szCs w:val="24"/>
        </w:rPr>
        <w:tab/>
      </w:r>
      <w:r>
        <w:rPr>
          <w:rFonts w:cs="Times New Roman"/>
          <w:b/>
          <w:sz w:val="24"/>
          <w:szCs w:val="24"/>
        </w:rPr>
        <w:tab/>
        <w:t>Annually for life</w:t>
      </w:r>
    </w:p>
    <w:p w:rsidR="00161D0C" w:rsidRDefault="00161D0C" w:rsidP="00161D0C">
      <w:pPr>
        <w:ind w:right="1134"/>
        <w:jc w:val="left"/>
        <w:rPr>
          <w:rFonts w:cs="Times New Roman"/>
          <w:b/>
          <w:sz w:val="24"/>
          <w:szCs w:val="24"/>
        </w:rPr>
      </w:pPr>
      <w:r>
        <w:rPr>
          <w:rFonts w:cs="Times New Roman"/>
          <w:b/>
          <w:sz w:val="24"/>
          <w:szCs w:val="24"/>
        </w:rPr>
        <w:tab/>
        <w:t>6.2</w:t>
      </w:r>
      <w:r>
        <w:rPr>
          <w:rFonts w:cs="Times New Roman"/>
          <w:b/>
          <w:sz w:val="24"/>
          <w:szCs w:val="24"/>
        </w:rPr>
        <w:tab/>
        <w:t>Bilateral abductor releases</w:t>
      </w:r>
      <w:r>
        <w:rPr>
          <w:rFonts w:cs="Times New Roman"/>
          <w:b/>
          <w:sz w:val="24"/>
          <w:szCs w:val="24"/>
        </w:rPr>
        <w:tab/>
      </w:r>
      <w:r>
        <w:rPr>
          <w:rFonts w:cs="Times New Roman"/>
          <w:b/>
          <w:sz w:val="24"/>
          <w:szCs w:val="24"/>
        </w:rPr>
        <w:tab/>
        <w:t xml:space="preserve">if and when recommended </w:t>
      </w:r>
    </w:p>
    <w:p w:rsidR="00161D0C" w:rsidRDefault="00161D0C" w:rsidP="00161D0C">
      <w:pPr>
        <w:ind w:right="1134"/>
        <w:jc w:val="lef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003D53C4">
        <w:rPr>
          <w:rFonts w:cs="Times New Roman"/>
          <w:b/>
          <w:sz w:val="24"/>
          <w:szCs w:val="24"/>
        </w:rPr>
        <w:t>b</w:t>
      </w:r>
      <w:r>
        <w:rPr>
          <w:rFonts w:cs="Times New Roman"/>
          <w:b/>
          <w:sz w:val="24"/>
          <w:szCs w:val="24"/>
        </w:rPr>
        <w:t>y the senior orthopaedic</w:t>
      </w:r>
    </w:p>
    <w:p w:rsidR="00161D0C" w:rsidRDefault="00161D0C" w:rsidP="00161D0C">
      <w:pPr>
        <w:ind w:right="1134"/>
        <w:jc w:val="lef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003D53C4">
        <w:rPr>
          <w:rFonts w:cs="Times New Roman"/>
          <w:b/>
          <w:sz w:val="24"/>
          <w:szCs w:val="24"/>
        </w:rPr>
        <w:t>s</w:t>
      </w:r>
      <w:r>
        <w:rPr>
          <w:rFonts w:cs="Times New Roman"/>
          <w:b/>
          <w:sz w:val="24"/>
          <w:szCs w:val="24"/>
        </w:rPr>
        <w:t xml:space="preserve">urgeon of Cecilia </w:t>
      </w:r>
    </w:p>
    <w:p w:rsidR="00161D0C" w:rsidRDefault="00161D0C" w:rsidP="00161D0C">
      <w:pPr>
        <w:ind w:left="5040" w:right="1134"/>
        <w:jc w:val="left"/>
        <w:rPr>
          <w:rFonts w:cs="Times New Roman"/>
          <w:b/>
          <w:sz w:val="24"/>
          <w:szCs w:val="24"/>
        </w:rPr>
      </w:pPr>
      <w:proofErr w:type="spellStart"/>
      <w:r>
        <w:rPr>
          <w:rFonts w:cs="Times New Roman"/>
          <w:b/>
          <w:sz w:val="24"/>
          <w:szCs w:val="24"/>
        </w:rPr>
        <w:t>Makiwane</w:t>
      </w:r>
      <w:proofErr w:type="spellEnd"/>
      <w:r>
        <w:rPr>
          <w:rFonts w:cs="Times New Roman"/>
          <w:b/>
          <w:sz w:val="24"/>
          <w:szCs w:val="24"/>
        </w:rPr>
        <w:t xml:space="preserve"> Hospital in consultation with the plaintiff’s case manager</w:t>
      </w:r>
    </w:p>
    <w:p w:rsidR="00050411" w:rsidRDefault="00050411" w:rsidP="00050411">
      <w:pPr>
        <w:ind w:right="1134"/>
        <w:jc w:val="left"/>
        <w:rPr>
          <w:rFonts w:cs="Times New Roman"/>
          <w:b/>
          <w:sz w:val="24"/>
          <w:szCs w:val="24"/>
        </w:rPr>
      </w:pPr>
      <w:r>
        <w:rPr>
          <w:rFonts w:cs="Times New Roman"/>
          <w:b/>
          <w:sz w:val="24"/>
          <w:szCs w:val="24"/>
        </w:rPr>
        <w:tab/>
        <w:t>6.3</w:t>
      </w:r>
      <w:r>
        <w:rPr>
          <w:rFonts w:cs="Times New Roman"/>
          <w:b/>
          <w:sz w:val="24"/>
          <w:szCs w:val="24"/>
        </w:rPr>
        <w:tab/>
        <w:t>Fracture treatment</w:t>
      </w:r>
      <w:r>
        <w:rPr>
          <w:rFonts w:cs="Times New Roman"/>
          <w:b/>
          <w:sz w:val="24"/>
          <w:szCs w:val="24"/>
        </w:rPr>
        <w:tab/>
      </w:r>
      <w:r>
        <w:rPr>
          <w:rFonts w:cs="Times New Roman"/>
          <w:b/>
          <w:sz w:val="24"/>
          <w:szCs w:val="24"/>
        </w:rPr>
        <w:tab/>
      </w:r>
      <w:r>
        <w:rPr>
          <w:rFonts w:cs="Times New Roman"/>
          <w:b/>
          <w:sz w:val="24"/>
          <w:szCs w:val="24"/>
        </w:rPr>
        <w:tab/>
        <w:t>All fractures suffered as a</w:t>
      </w:r>
    </w:p>
    <w:p w:rsidR="00050411" w:rsidRDefault="00050411" w:rsidP="00050411">
      <w:pPr>
        <w:ind w:right="1134"/>
        <w:jc w:val="lef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result of cerebral palsy if</w:t>
      </w:r>
    </w:p>
    <w:p w:rsidR="00050411" w:rsidRDefault="00050411" w:rsidP="00050411">
      <w:pPr>
        <w:ind w:right="1134"/>
        <w:jc w:val="lef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and when they occur</w:t>
      </w:r>
    </w:p>
    <w:p w:rsidR="00050411" w:rsidRDefault="00050411" w:rsidP="00050411">
      <w:pPr>
        <w:ind w:right="1134"/>
        <w:jc w:val="left"/>
        <w:rPr>
          <w:rFonts w:cs="Times New Roman"/>
          <w:b/>
          <w:sz w:val="24"/>
          <w:szCs w:val="24"/>
        </w:rPr>
      </w:pPr>
      <w:r>
        <w:rPr>
          <w:rFonts w:cs="Times New Roman"/>
          <w:b/>
          <w:sz w:val="24"/>
          <w:szCs w:val="24"/>
        </w:rPr>
        <w:tab/>
      </w:r>
    </w:p>
    <w:p w:rsidR="00050411" w:rsidRDefault="00BE7AA4" w:rsidP="00050411">
      <w:pPr>
        <w:ind w:right="1134"/>
        <w:jc w:val="left"/>
        <w:rPr>
          <w:rFonts w:cs="Times New Roman"/>
          <w:b/>
          <w:sz w:val="24"/>
          <w:szCs w:val="24"/>
        </w:rPr>
      </w:pPr>
      <w:r>
        <w:rPr>
          <w:rFonts w:cs="Times New Roman"/>
          <w:b/>
          <w:sz w:val="24"/>
          <w:szCs w:val="24"/>
        </w:rPr>
        <w:t>7</w:t>
      </w:r>
      <w:r w:rsidR="006E012B">
        <w:rPr>
          <w:rFonts w:cs="Times New Roman"/>
          <w:b/>
          <w:sz w:val="24"/>
          <w:szCs w:val="24"/>
        </w:rPr>
        <w:t>.</w:t>
      </w:r>
      <w:r w:rsidR="006E012B">
        <w:rPr>
          <w:rFonts w:cs="Times New Roman"/>
          <w:b/>
          <w:sz w:val="24"/>
          <w:szCs w:val="24"/>
        </w:rPr>
        <w:tab/>
        <w:t>REHABILITATION CONSULTATIONS</w:t>
      </w:r>
      <w:r w:rsidR="006E012B">
        <w:rPr>
          <w:rFonts w:cs="Times New Roman"/>
          <w:b/>
          <w:sz w:val="24"/>
          <w:szCs w:val="24"/>
        </w:rPr>
        <w:tab/>
      </w:r>
      <w:r w:rsidR="006E012B">
        <w:rPr>
          <w:rFonts w:cs="Times New Roman"/>
          <w:b/>
          <w:sz w:val="24"/>
          <w:szCs w:val="24"/>
        </w:rPr>
        <w:tab/>
      </w:r>
      <w:r>
        <w:rPr>
          <w:rFonts w:cs="Times New Roman"/>
          <w:b/>
          <w:sz w:val="24"/>
          <w:szCs w:val="24"/>
        </w:rPr>
        <w:t>FREQUENCY</w:t>
      </w:r>
    </w:p>
    <w:p w:rsidR="00BE7AA4" w:rsidRDefault="00BE7AA4" w:rsidP="00BE7AA4">
      <w:pPr>
        <w:ind w:left="1440" w:right="1134" w:hanging="720"/>
        <w:jc w:val="left"/>
        <w:rPr>
          <w:rFonts w:cs="Times New Roman"/>
          <w:b/>
          <w:sz w:val="24"/>
          <w:szCs w:val="24"/>
        </w:rPr>
      </w:pPr>
      <w:r>
        <w:rPr>
          <w:rFonts w:cs="Times New Roman"/>
          <w:b/>
          <w:sz w:val="24"/>
          <w:szCs w:val="24"/>
        </w:rPr>
        <w:t>7.1</w:t>
      </w:r>
      <w:r>
        <w:rPr>
          <w:rFonts w:cs="Times New Roman"/>
          <w:b/>
          <w:sz w:val="24"/>
          <w:szCs w:val="24"/>
        </w:rPr>
        <w:tab/>
        <w:t>Paediatric Neurologist</w:t>
      </w:r>
      <w:r>
        <w:rPr>
          <w:rFonts w:cs="Times New Roman"/>
          <w:b/>
          <w:sz w:val="24"/>
          <w:szCs w:val="24"/>
        </w:rPr>
        <w:tab/>
      </w:r>
      <w:r>
        <w:rPr>
          <w:rFonts w:cs="Times New Roman"/>
          <w:b/>
          <w:sz w:val="24"/>
          <w:szCs w:val="24"/>
        </w:rPr>
        <w:tab/>
        <w:t xml:space="preserve">        </w:t>
      </w:r>
      <w:r w:rsidR="00F10348">
        <w:rPr>
          <w:rFonts w:cs="Times New Roman"/>
          <w:b/>
          <w:sz w:val="24"/>
          <w:szCs w:val="24"/>
        </w:rPr>
        <w:t xml:space="preserve"> </w:t>
      </w:r>
      <w:r>
        <w:rPr>
          <w:rFonts w:cs="Times New Roman"/>
          <w:b/>
          <w:sz w:val="24"/>
          <w:szCs w:val="24"/>
        </w:rPr>
        <w:t>Once off immediately</w:t>
      </w:r>
    </w:p>
    <w:p w:rsidR="00BE7AA4" w:rsidRDefault="00BE7AA4" w:rsidP="00BE7AA4">
      <w:pPr>
        <w:ind w:left="1440" w:right="1134" w:hanging="720"/>
        <w:jc w:val="left"/>
        <w:rPr>
          <w:rFonts w:cs="Times New Roman"/>
          <w:b/>
          <w:sz w:val="24"/>
          <w:szCs w:val="24"/>
        </w:rPr>
      </w:pPr>
      <w:r>
        <w:rPr>
          <w:rFonts w:cs="Times New Roman"/>
          <w:b/>
          <w:sz w:val="24"/>
          <w:szCs w:val="24"/>
        </w:rPr>
        <w:t>7.2</w:t>
      </w:r>
      <w:r>
        <w:rPr>
          <w:rFonts w:cs="Times New Roman"/>
          <w:b/>
          <w:sz w:val="24"/>
          <w:szCs w:val="24"/>
        </w:rPr>
        <w:tab/>
        <w:t>Paediatric Neurologist</w:t>
      </w:r>
      <w:r>
        <w:rPr>
          <w:rFonts w:cs="Times New Roman"/>
          <w:b/>
          <w:sz w:val="24"/>
          <w:szCs w:val="24"/>
        </w:rPr>
        <w:tab/>
      </w:r>
      <w:r>
        <w:rPr>
          <w:rFonts w:cs="Times New Roman"/>
          <w:b/>
          <w:sz w:val="24"/>
          <w:szCs w:val="24"/>
        </w:rPr>
        <w:tab/>
        <w:t xml:space="preserve">         6 sessions annually</w:t>
      </w:r>
    </w:p>
    <w:p w:rsidR="00BE7AA4" w:rsidRDefault="00BE7AA4" w:rsidP="00BE7AA4">
      <w:pPr>
        <w:ind w:left="1440" w:right="1134" w:hanging="720"/>
        <w:jc w:val="lef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w:t>
      </w:r>
      <w:r w:rsidR="00F10348">
        <w:rPr>
          <w:rFonts w:cs="Times New Roman"/>
          <w:b/>
          <w:sz w:val="24"/>
          <w:szCs w:val="24"/>
        </w:rPr>
        <w:t xml:space="preserve"> </w:t>
      </w:r>
      <w:r>
        <w:rPr>
          <w:rFonts w:cs="Times New Roman"/>
          <w:b/>
          <w:sz w:val="24"/>
          <w:szCs w:val="24"/>
        </w:rPr>
        <w:t>until 11</w:t>
      </w:r>
    </w:p>
    <w:p w:rsidR="00BE7AA4" w:rsidRDefault="00BE7AA4" w:rsidP="00BE7AA4">
      <w:pPr>
        <w:ind w:left="1440" w:right="1134" w:hanging="720"/>
        <w:jc w:val="left"/>
        <w:rPr>
          <w:rFonts w:cs="Times New Roman"/>
          <w:b/>
          <w:sz w:val="24"/>
          <w:szCs w:val="24"/>
        </w:rPr>
      </w:pPr>
      <w:r>
        <w:rPr>
          <w:rFonts w:cs="Times New Roman"/>
          <w:b/>
          <w:sz w:val="24"/>
          <w:szCs w:val="24"/>
        </w:rPr>
        <w:t>7.3</w:t>
      </w:r>
      <w:r>
        <w:rPr>
          <w:rFonts w:cs="Times New Roman"/>
          <w:b/>
          <w:sz w:val="24"/>
          <w:szCs w:val="24"/>
        </w:rPr>
        <w:tab/>
        <w:t>Paediatric Neurologist</w:t>
      </w:r>
      <w:r>
        <w:rPr>
          <w:rFonts w:cs="Times New Roman"/>
          <w:b/>
          <w:sz w:val="24"/>
          <w:szCs w:val="24"/>
        </w:rPr>
        <w:tab/>
      </w:r>
      <w:r>
        <w:rPr>
          <w:rFonts w:cs="Times New Roman"/>
          <w:b/>
          <w:sz w:val="24"/>
          <w:szCs w:val="24"/>
        </w:rPr>
        <w:tab/>
        <w:t xml:space="preserve">        </w:t>
      </w:r>
      <w:r w:rsidR="00F10348">
        <w:rPr>
          <w:rFonts w:cs="Times New Roman"/>
          <w:b/>
          <w:sz w:val="24"/>
          <w:szCs w:val="24"/>
        </w:rPr>
        <w:t xml:space="preserve"> </w:t>
      </w:r>
      <w:r>
        <w:rPr>
          <w:rFonts w:cs="Times New Roman"/>
          <w:b/>
          <w:sz w:val="24"/>
          <w:szCs w:val="24"/>
        </w:rPr>
        <w:t>4 sessions annually</w:t>
      </w:r>
    </w:p>
    <w:p w:rsidR="00BE7AA4" w:rsidRDefault="00BE7AA4" w:rsidP="00BE7AA4">
      <w:pPr>
        <w:ind w:left="1440" w:right="1134" w:hanging="720"/>
        <w:jc w:val="lef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003B499B">
        <w:rPr>
          <w:rFonts w:cs="Times New Roman"/>
          <w:b/>
          <w:sz w:val="24"/>
          <w:szCs w:val="24"/>
        </w:rPr>
        <w:t xml:space="preserve">        </w:t>
      </w:r>
      <w:r w:rsidR="00F10348">
        <w:rPr>
          <w:rFonts w:cs="Times New Roman"/>
          <w:b/>
          <w:sz w:val="24"/>
          <w:szCs w:val="24"/>
        </w:rPr>
        <w:t xml:space="preserve"> </w:t>
      </w:r>
      <w:r>
        <w:rPr>
          <w:rFonts w:cs="Times New Roman"/>
          <w:b/>
          <w:sz w:val="24"/>
          <w:szCs w:val="24"/>
        </w:rPr>
        <w:t>12 – 17</w:t>
      </w:r>
    </w:p>
    <w:p w:rsidR="00BE7AA4" w:rsidRDefault="00BE7AA4" w:rsidP="00BE7AA4">
      <w:pPr>
        <w:ind w:left="1440" w:right="1134" w:hanging="720"/>
        <w:jc w:val="left"/>
        <w:rPr>
          <w:rFonts w:cs="Times New Roman"/>
          <w:b/>
          <w:sz w:val="24"/>
          <w:szCs w:val="24"/>
        </w:rPr>
      </w:pPr>
      <w:r>
        <w:rPr>
          <w:rFonts w:cs="Times New Roman"/>
          <w:b/>
          <w:sz w:val="24"/>
          <w:szCs w:val="24"/>
        </w:rPr>
        <w:lastRenderedPageBreak/>
        <w:t>7.4</w:t>
      </w:r>
      <w:r>
        <w:rPr>
          <w:rFonts w:cs="Times New Roman"/>
          <w:b/>
          <w:sz w:val="24"/>
          <w:szCs w:val="24"/>
        </w:rPr>
        <w:tab/>
        <w:t>Mild Respiratory infections</w:t>
      </w:r>
      <w:r>
        <w:rPr>
          <w:rFonts w:cs="Times New Roman"/>
          <w:b/>
          <w:sz w:val="24"/>
          <w:szCs w:val="24"/>
        </w:rPr>
        <w:tab/>
      </w:r>
      <w:r>
        <w:rPr>
          <w:rFonts w:cs="Times New Roman"/>
          <w:b/>
          <w:sz w:val="24"/>
          <w:szCs w:val="24"/>
        </w:rPr>
        <w:tab/>
        <w:t xml:space="preserve">        if and when they occur</w:t>
      </w:r>
    </w:p>
    <w:p w:rsidR="00BE7AA4" w:rsidRDefault="00BE7AA4" w:rsidP="00BE7AA4">
      <w:pPr>
        <w:ind w:left="1440" w:right="1134" w:hanging="720"/>
        <w:jc w:val="left"/>
        <w:rPr>
          <w:rFonts w:cs="Times New Roman"/>
          <w:b/>
          <w:sz w:val="24"/>
          <w:szCs w:val="24"/>
        </w:rPr>
      </w:pPr>
      <w:r>
        <w:rPr>
          <w:rFonts w:cs="Times New Roman"/>
          <w:b/>
          <w:sz w:val="24"/>
          <w:szCs w:val="24"/>
        </w:rPr>
        <w:t>7.5</w:t>
      </w:r>
      <w:r>
        <w:rPr>
          <w:rFonts w:cs="Times New Roman"/>
          <w:b/>
          <w:sz w:val="24"/>
          <w:szCs w:val="24"/>
        </w:rPr>
        <w:tab/>
        <w:t>Major Respiratory infections</w:t>
      </w:r>
      <w:r>
        <w:rPr>
          <w:rFonts w:cs="Times New Roman"/>
          <w:b/>
          <w:sz w:val="24"/>
          <w:szCs w:val="24"/>
        </w:rPr>
        <w:tab/>
        <w:t xml:space="preserve">        if and when they occur</w:t>
      </w:r>
    </w:p>
    <w:p w:rsidR="00BE7AA4" w:rsidRDefault="00BE7AA4" w:rsidP="00BE7AA4">
      <w:pPr>
        <w:ind w:left="1440" w:right="1134" w:hanging="720"/>
        <w:jc w:val="left"/>
        <w:rPr>
          <w:rFonts w:cs="Times New Roman"/>
          <w:b/>
          <w:sz w:val="24"/>
          <w:szCs w:val="24"/>
        </w:rPr>
      </w:pPr>
    </w:p>
    <w:p w:rsidR="00BE7AA4" w:rsidRDefault="00BE7AA4" w:rsidP="00BE7AA4">
      <w:pPr>
        <w:ind w:left="720" w:right="1134" w:hanging="720"/>
        <w:jc w:val="left"/>
        <w:rPr>
          <w:rFonts w:cs="Times New Roman"/>
          <w:b/>
          <w:sz w:val="24"/>
          <w:szCs w:val="24"/>
        </w:rPr>
      </w:pPr>
      <w:r>
        <w:rPr>
          <w:rFonts w:cs="Times New Roman"/>
          <w:b/>
          <w:sz w:val="24"/>
          <w:szCs w:val="24"/>
        </w:rPr>
        <w:t>8.</w:t>
      </w:r>
      <w:r>
        <w:rPr>
          <w:rFonts w:cs="Times New Roman"/>
          <w:b/>
          <w:sz w:val="24"/>
          <w:szCs w:val="24"/>
        </w:rPr>
        <w:tab/>
        <w:t>SPEECH THERAPY</w:t>
      </w:r>
      <w:r>
        <w:rPr>
          <w:rFonts w:cs="Times New Roman"/>
          <w:b/>
          <w:sz w:val="24"/>
          <w:szCs w:val="24"/>
        </w:rPr>
        <w:tab/>
      </w:r>
      <w:r>
        <w:rPr>
          <w:rFonts w:cs="Times New Roman"/>
          <w:b/>
          <w:sz w:val="24"/>
          <w:szCs w:val="24"/>
        </w:rPr>
        <w:tab/>
      </w:r>
      <w:r>
        <w:rPr>
          <w:rFonts w:cs="Times New Roman"/>
          <w:b/>
          <w:sz w:val="24"/>
          <w:szCs w:val="24"/>
        </w:rPr>
        <w:tab/>
        <w:t xml:space="preserve"> </w:t>
      </w:r>
      <w:r w:rsidR="003B499B">
        <w:rPr>
          <w:rFonts w:cs="Times New Roman"/>
          <w:b/>
          <w:sz w:val="24"/>
          <w:szCs w:val="24"/>
        </w:rPr>
        <w:t xml:space="preserve">      </w:t>
      </w:r>
      <w:r>
        <w:rPr>
          <w:rFonts w:cs="Times New Roman"/>
          <w:b/>
          <w:sz w:val="24"/>
          <w:szCs w:val="24"/>
        </w:rPr>
        <w:t xml:space="preserve"> FREQUENCY</w:t>
      </w:r>
    </w:p>
    <w:p w:rsidR="00BE7AA4" w:rsidRDefault="00BE7AA4" w:rsidP="00BE7AA4">
      <w:pPr>
        <w:ind w:left="720" w:right="1134" w:hanging="720"/>
        <w:jc w:val="left"/>
        <w:rPr>
          <w:rFonts w:cs="Times New Roman"/>
          <w:b/>
          <w:sz w:val="24"/>
          <w:szCs w:val="24"/>
        </w:rPr>
      </w:pPr>
      <w:r>
        <w:rPr>
          <w:rFonts w:cs="Times New Roman"/>
          <w:b/>
          <w:sz w:val="24"/>
          <w:szCs w:val="24"/>
        </w:rPr>
        <w:tab/>
        <w:t>8.1</w:t>
      </w:r>
      <w:r>
        <w:rPr>
          <w:rFonts w:cs="Times New Roman"/>
          <w:b/>
          <w:sz w:val="24"/>
          <w:szCs w:val="24"/>
        </w:rPr>
        <w:tab/>
        <w:t>Speech &amp; language therapy</w:t>
      </w:r>
      <w:r>
        <w:rPr>
          <w:rFonts w:cs="Times New Roman"/>
          <w:b/>
          <w:sz w:val="24"/>
          <w:szCs w:val="24"/>
        </w:rPr>
        <w:tab/>
      </w:r>
      <w:r>
        <w:rPr>
          <w:rFonts w:cs="Times New Roman"/>
          <w:b/>
          <w:sz w:val="24"/>
          <w:szCs w:val="24"/>
        </w:rPr>
        <w:tab/>
        <w:t xml:space="preserve">   </w:t>
      </w:r>
      <w:r w:rsidR="003B499B">
        <w:rPr>
          <w:rFonts w:cs="Times New Roman"/>
          <w:b/>
          <w:sz w:val="24"/>
          <w:szCs w:val="24"/>
        </w:rPr>
        <w:t xml:space="preserve">     </w:t>
      </w:r>
      <w:r>
        <w:rPr>
          <w:rFonts w:cs="Times New Roman"/>
          <w:b/>
          <w:sz w:val="24"/>
          <w:szCs w:val="24"/>
        </w:rPr>
        <w:t xml:space="preserve">Twice a week for 12 </w:t>
      </w:r>
    </w:p>
    <w:p w:rsidR="00BE7AA4" w:rsidRDefault="00BE7AA4" w:rsidP="00BE7AA4">
      <w:pPr>
        <w:ind w:left="720" w:right="1134" w:hanging="720"/>
        <w:jc w:val="lef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w:t>
      </w:r>
      <w:r w:rsidR="003B499B">
        <w:rPr>
          <w:rFonts w:cs="Times New Roman"/>
          <w:b/>
          <w:sz w:val="24"/>
          <w:szCs w:val="24"/>
        </w:rPr>
        <w:t xml:space="preserve">    </w:t>
      </w:r>
      <w:r w:rsidR="000D1D17">
        <w:rPr>
          <w:rFonts w:cs="Times New Roman"/>
          <w:b/>
          <w:sz w:val="24"/>
          <w:szCs w:val="24"/>
        </w:rPr>
        <w:t>m</w:t>
      </w:r>
      <w:r>
        <w:rPr>
          <w:rFonts w:cs="Times New Roman"/>
          <w:b/>
          <w:sz w:val="24"/>
          <w:szCs w:val="24"/>
        </w:rPr>
        <w:t>onths immediately</w:t>
      </w:r>
    </w:p>
    <w:p w:rsidR="00BE7AA4" w:rsidRDefault="00BE7AA4" w:rsidP="00BE7AA4">
      <w:pPr>
        <w:ind w:left="720" w:right="1134" w:hanging="720"/>
        <w:jc w:val="left"/>
        <w:rPr>
          <w:rFonts w:cs="Times New Roman"/>
          <w:b/>
          <w:sz w:val="24"/>
          <w:szCs w:val="24"/>
        </w:rPr>
      </w:pPr>
      <w:r>
        <w:rPr>
          <w:rFonts w:cs="Times New Roman"/>
          <w:b/>
          <w:sz w:val="24"/>
          <w:szCs w:val="24"/>
        </w:rPr>
        <w:tab/>
        <w:t>8.2</w:t>
      </w:r>
      <w:r>
        <w:rPr>
          <w:rFonts w:cs="Times New Roman"/>
          <w:b/>
          <w:sz w:val="24"/>
          <w:szCs w:val="24"/>
        </w:rPr>
        <w:tab/>
        <w:t>Speech &amp; language therapy</w:t>
      </w:r>
      <w:r>
        <w:rPr>
          <w:rFonts w:cs="Times New Roman"/>
          <w:b/>
          <w:sz w:val="24"/>
          <w:szCs w:val="24"/>
        </w:rPr>
        <w:tab/>
      </w:r>
      <w:r>
        <w:rPr>
          <w:rFonts w:cs="Times New Roman"/>
          <w:b/>
          <w:sz w:val="24"/>
          <w:szCs w:val="24"/>
        </w:rPr>
        <w:tab/>
        <w:t xml:space="preserve">  </w:t>
      </w:r>
      <w:r w:rsidR="003B499B">
        <w:rPr>
          <w:rFonts w:cs="Times New Roman"/>
          <w:b/>
          <w:sz w:val="24"/>
          <w:szCs w:val="24"/>
        </w:rPr>
        <w:t xml:space="preserve">      </w:t>
      </w:r>
      <w:r>
        <w:rPr>
          <w:rFonts w:cs="Times New Roman"/>
          <w:b/>
          <w:sz w:val="24"/>
          <w:szCs w:val="24"/>
        </w:rPr>
        <w:t xml:space="preserve">once a week for 12 </w:t>
      </w:r>
    </w:p>
    <w:p w:rsidR="00BE7AA4" w:rsidRDefault="00BE7AA4" w:rsidP="00F10348">
      <w:pPr>
        <w:ind w:left="5520" w:right="1134"/>
        <w:jc w:val="left"/>
        <w:rPr>
          <w:rFonts w:cs="Times New Roman"/>
          <w:b/>
          <w:sz w:val="24"/>
          <w:szCs w:val="24"/>
        </w:rPr>
      </w:pPr>
      <w:r>
        <w:rPr>
          <w:rFonts w:cs="Times New Roman"/>
          <w:b/>
          <w:sz w:val="24"/>
          <w:szCs w:val="24"/>
        </w:rPr>
        <w:t xml:space="preserve">months in the second </w:t>
      </w:r>
      <w:r w:rsidR="00F10348">
        <w:rPr>
          <w:rFonts w:cs="Times New Roman"/>
          <w:b/>
          <w:sz w:val="24"/>
          <w:szCs w:val="24"/>
        </w:rPr>
        <w:t xml:space="preserve">    </w:t>
      </w:r>
      <w:r>
        <w:rPr>
          <w:rFonts w:cs="Times New Roman"/>
          <w:b/>
          <w:sz w:val="24"/>
          <w:szCs w:val="24"/>
        </w:rPr>
        <w:t>year</w:t>
      </w:r>
    </w:p>
    <w:p w:rsidR="009C3828" w:rsidRDefault="009C3828" w:rsidP="00BE7AA4">
      <w:pPr>
        <w:ind w:left="720" w:right="1134" w:hanging="720"/>
        <w:jc w:val="left"/>
        <w:rPr>
          <w:rFonts w:cs="Times New Roman"/>
          <w:b/>
          <w:sz w:val="24"/>
          <w:szCs w:val="24"/>
        </w:rPr>
      </w:pPr>
      <w:r>
        <w:rPr>
          <w:rFonts w:cs="Times New Roman"/>
          <w:b/>
          <w:sz w:val="24"/>
          <w:szCs w:val="24"/>
        </w:rPr>
        <w:tab/>
        <w:t>8.3</w:t>
      </w:r>
      <w:r>
        <w:rPr>
          <w:rFonts w:cs="Times New Roman"/>
          <w:b/>
          <w:sz w:val="24"/>
          <w:szCs w:val="24"/>
        </w:rPr>
        <w:tab/>
        <w:t>Speech &amp; language therapy</w:t>
      </w:r>
      <w:r>
        <w:rPr>
          <w:rFonts w:cs="Times New Roman"/>
          <w:b/>
          <w:sz w:val="24"/>
          <w:szCs w:val="24"/>
        </w:rPr>
        <w:tab/>
      </w:r>
      <w:r>
        <w:rPr>
          <w:rFonts w:cs="Times New Roman"/>
          <w:b/>
          <w:sz w:val="24"/>
          <w:szCs w:val="24"/>
        </w:rPr>
        <w:tab/>
        <w:t xml:space="preserve">  </w:t>
      </w:r>
      <w:r w:rsidR="00F10348">
        <w:rPr>
          <w:rFonts w:cs="Times New Roman"/>
          <w:b/>
          <w:sz w:val="24"/>
          <w:szCs w:val="24"/>
        </w:rPr>
        <w:t xml:space="preserve">   </w:t>
      </w:r>
      <w:r>
        <w:rPr>
          <w:rFonts w:cs="Times New Roman"/>
          <w:b/>
          <w:sz w:val="24"/>
          <w:szCs w:val="24"/>
        </w:rPr>
        <w:t xml:space="preserve"> </w:t>
      </w:r>
      <w:r w:rsidR="00F10348">
        <w:rPr>
          <w:rFonts w:cs="Times New Roman"/>
          <w:b/>
          <w:sz w:val="24"/>
          <w:szCs w:val="24"/>
        </w:rPr>
        <w:t xml:space="preserve"> </w:t>
      </w:r>
      <w:r>
        <w:rPr>
          <w:rFonts w:cs="Times New Roman"/>
          <w:b/>
          <w:sz w:val="24"/>
          <w:szCs w:val="24"/>
        </w:rPr>
        <w:t xml:space="preserve">Once a month from the </w:t>
      </w:r>
    </w:p>
    <w:p w:rsidR="009C3828" w:rsidRDefault="009C3828" w:rsidP="00BE7AA4">
      <w:pPr>
        <w:ind w:left="720" w:right="1134" w:hanging="720"/>
        <w:jc w:val="left"/>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w:t>
      </w:r>
      <w:r w:rsidR="00F10348">
        <w:rPr>
          <w:rFonts w:cs="Times New Roman"/>
          <w:b/>
          <w:sz w:val="24"/>
          <w:szCs w:val="24"/>
        </w:rPr>
        <w:t xml:space="preserve">    </w:t>
      </w:r>
      <w:r>
        <w:rPr>
          <w:rFonts w:cs="Times New Roman"/>
          <w:b/>
          <w:sz w:val="24"/>
          <w:szCs w:val="24"/>
        </w:rPr>
        <w:t xml:space="preserve"> third year for life</w:t>
      </w:r>
    </w:p>
    <w:p w:rsidR="009C3828" w:rsidRDefault="009C3828" w:rsidP="00BE7AA4">
      <w:pPr>
        <w:ind w:left="720" w:right="1134" w:hanging="720"/>
        <w:jc w:val="left"/>
        <w:rPr>
          <w:rFonts w:cs="Times New Roman"/>
          <w:b/>
          <w:sz w:val="24"/>
          <w:szCs w:val="24"/>
        </w:rPr>
      </w:pPr>
      <w:r>
        <w:rPr>
          <w:rFonts w:cs="Times New Roman"/>
          <w:b/>
          <w:sz w:val="24"/>
          <w:szCs w:val="24"/>
        </w:rPr>
        <w:tab/>
        <w:t>8.4</w:t>
      </w:r>
      <w:r>
        <w:rPr>
          <w:rFonts w:cs="Times New Roman"/>
          <w:b/>
          <w:sz w:val="24"/>
          <w:szCs w:val="24"/>
        </w:rPr>
        <w:tab/>
        <w:t>Feeding/Swallowing assessment</w:t>
      </w:r>
      <w:r>
        <w:rPr>
          <w:rFonts w:cs="Times New Roman"/>
          <w:b/>
          <w:sz w:val="24"/>
          <w:szCs w:val="24"/>
        </w:rPr>
        <w:tab/>
        <w:t xml:space="preserve">  </w:t>
      </w:r>
      <w:r w:rsidR="00F10348">
        <w:rPr>
          <w:rFonts w:cs="Times New Roman"/>
          <w:b/>
          <w:sz w:val="24"/>
          <w:szCs w:val="24"/>
        </w:rPr>
        <w:t xml:space="preserve">   </w:t>
      </w:r>
      <w:r>
        <w:rPr>
          <w:rFonts w:cs="Times New Roman"/>
          <w:b/>
          <w:sz w:val="24"/>
          <w:szCs w:val="24"/>
        </w:rPr>
        <w:t xml:space="preserve"> </w:t>
      </w:r>
      <w:r w:rsidR="00F10348">
        <w:rPr>
          <w:rFonts w:cs="Times New Roman"/>
          <w:b/>
          <w:sz w:val="24"/>
          <w:szCs w:val="24"/>
        </w:rPr>
        <w:t xml:space="preserve"> </w:t>
      </w:r>
      <w:r>
        <w:rPr>
          <w:rFonts w:cs="Times New Roman"/>
          <w:b/>
          <w:sz w:val="24"/>
          <w:szCs w:val="24"/>
        </w:rPr>
        <w:t>Once every 2 years</w:t>
      </w:r>
    </w:p>
    <w:p w:rsidR="009C3828" w:rsidRDefault="009C3828" w:rsidP="00BE7AA4">
      <w:pPr>
        <w:ind w:left="720" w:right="1134" w:hanging="720"/>
        <w:jc w:val="left"/>
        <w:rPr>
          <w:rFonts w:cs="Times New Roman"/>
          <w:b/>
          <w:sz w:val="24"/>
          <w:szCs w:val="24"/>
        </w:rPr>
      </w:pPr>
      <w:r>
        <w:rPr>
          <w:rFonts w:cs="Times New Roman"/>
          <w:b/>
          <w:sz w:val="24"/>
          <w:szCs w:val="24"/>
        </w:rPr>
        <w:tab/>
        <w:t>8.5</w:t>
      </w:r>
      <w:r>
        <w:rPr>
          <w:rFonts w:cs="Times New Roman"/>
          <w:b/>
          <w:sz w:val="24"/>
          <w:szCs w:val="24"/>
        </w:rPr>
        <w:tab/>
        <w:t>Annual meetings to determine</w:t>
      </w:r>
      <w:r>
        <w:rPr>
          <w:rFonts w:cs="Times New Roman"/>
          <w:b/>
          <w:sz w:val="24"/>
          <w:szCs w:val="24"/>
        </w:rPr>
        <w:tab/>
        <w:t xml:space="preserve">   </w:t>
      </w:r>
      <w:r w:rsidR="00F10348">
        <w:rPr>
          <w:rFonts w:cs="Times New Roman"/>
          <w:b/>
          <w:sz w:val="24"/>
          <w:szCs w:val="24"/>
        </w:rPr>
        <w:t xml:space="preserve">   </w:t>
      </w:r>
      <w:r>
        <w:rPr>
          <w:rFonts w:cs="Times New Roman"/>
          <w:b/>
          <w:sz w:val="24"/>
          <w:szCs w:val="24"/>
        </w:rPr>
        <w:t xml:space="preserve">Twice a year at 6 hours </w:t>
      </w:r>
    </w:p>
    <w:p w:rsidR="009C3828" w:rsidRDefault="009C3828" w:rsidP="00BE7AA4">
      <w:pPr>
        <w:ind w:left="720" w:right="1134" w:hanging="720"/>
        <w:jc w:val="left"/>
        <w:rPr>
          <w:rFonts w:cs="Times New Roman"/>
          <w:b/>
          <w:sz w:val="24"/>
          <w:szCs w:val="24"/>
        </w:rPr>
      </w:pPr>
      <w:r>
        <w:rPr>
          <w:rFonts w:cs="Times New Roman"/>
          <w:b/>
          <w:sz w:val="24"/>
          <w:szCs w:val="24"/>
        </w:rPr>
        <w:tab/>
      </w:r>
      <w:r>
        <w:rPr>
          <w:rFonts w:cs="Times New Roman"/>
          <w:b/>
          <w:sz w:val="24"/>
          <w:szCs w:val="24"/>
        </w:rPr>
        <w:tab/>
      </w:r>
      <w:r w:rsidR="004257F3">
        <w:rPr>
          <w:rFonts w:cs="Times New Roman"/>
          <w:b/>
          <w:sz w:val="24"/>
          <w:szCs w:val="24"/>
        </w:rPr>
        <w:t>p</w:t>
      </w:r>
      <w:r>
        <w:rPr>
          <w:rFonts w:cs="Times New Roman"/>
          <w:b/>
          <w:sz w:val="24"/>
          <w:szCs w:val="24"/>
        </w:rPr>
        <w:t>rogress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w:t>
      </w:r>
      <w:r w:rsidR="00F10348">
        <w:rPr>
          <w:rFonts w:cs="Times New Roman"/>
          <w:b/>
          <w:sz w:val="24"/>
          <w:szCs w:val="24"/>
        </w:rPr>
        <w:t xml:space="preserve"> </w:t>
      </w:r>
      <w:r>
        <w:rPr>
          <w:rFonts w:cs="Times New Roman"/>
          <w:b/>
          <w:sz w:val="24"/>
          <w:szCs w:val="24"/>
        </w:rPr>
        <w:t xml:space="preserve"> </w:t>
      </w:r>
      <w:r w:rsidR="00F10348">
        <w:rPr>
          <w:rFonts w:cs="Times New Roman"/>
          <w:b/>
          <w:sz w:val="24"/>
          <w:szCs w:val="24"/>
        </w:rPr>
        <w:t xml:space="preserve">  </w:t>
      </w:r>
      <w:r>
        <w:rPr>
          <w:rFonts w:cs="Times New Roman"/>
          <w:b/>
          <w:sz w:val="24"/>
          <w:szCs w:val="24"/>
        </w:rPr>
        <w:t>each for 3 years only</w:t>
      </w:r>
    </w:p>
    <w:p w:rsidR="009C3828" w:rsidRDefault="009C3828" w:rsidP="00BE7AA4">
      <w:pPr>
        <w:ind w:left="720" w:right="1134" w:hanging="720"/>
        <w:jc w:val="left"/>
        <w:rPr>
          <w:rFonts w:cs="Times New Roman"/>
          <w:b/>
          <w:sz w:val="24"/>
          <w:szCs w:val="24"/>
        </w:rPr>
      </w:pPr>
    </w:p>
    <w:p w:rsidR="009C3828" w:rsidRDefault="009C3828" w:rsidP="00BE7AA4">
      <w:pPr>
        <w:ind w:left="720" w:right="1134" w:hanging="720"/>
        <w:jc w:val="left"/>
        <w:rPr>
          <w:rFonts w:cs="Times New Roman"/>
          <w:b/>
          <w:sz w:val="24"/>
          <w:szCs w:val="24"/>
        </w:rPr>
      </w:pPr>
      <w:r>
        <w:rPr>
          <w:rFonts w:cs="Times New Roman"/>
          <w:b/>
          <w:sz w:val="24"/>
          <w:szCs w:val="24"/>
        </w:rPr>
        <w:t>9.</w:t>
      </w:r>
      <w:r>
        <w:rPr>
          <w:rFonts w:cs="Times New Roman"/>
          <w:b/>
          <w:sz w:val="24"/>
          <w:szCs w:val="24"/>
        </w:rPr>
        <w:tab/>
        <w:t>DENTAL CONSULTATIONS</w:t>
      </w:r>
      <w:r>
        <w:rPr>
          <w:rFonts w:cs="Times New Roman"/>
          <w:b/>
          <w:sz w:val="24"/>
          <w:szCs w:val="24"/>
        </w:rPr>
        <w:tab/>
      </w:r>
      <w:r>
        <w:rPr>
          <w:rFonts w:cs="Times New Roman"/>
          <w:b/>
          <w:sz w:val="24"/>
          <w:szCs w:val="24"/>
        </w:rPr>
        <w:tab/>
        <w:t>FREQUENCY</w:t>
      </w:r>
    </w:p>
    <w:p w:rsidR="009C3828" w:rsidRDefault="009C3828" w:rsidP="00BE7AA4">
      <w:pPr>
        <w:ind w:left="720" w:right="1134" w:hanging="720"/>
        <w:jc w:val="left"/>
        <w:rPr>
          <w:rFonts w:cs="Times New Roman"/>
          <w:b/>
          <w:sz w:val="24"/>
          <w:szCs w:val="24"/>
        </w:rPr>
      </w:pPr>
      <w:r>
        <w:rPr>
          <w:rFonts w:cs="Times New Roman"/>
          <w:b/>
          <w:sz w:val="24"/>
          <w:szCs w:val="24"/>
        </w:rPr>
        <w:tab/>
        <w:t>9.1</w:t>
      </w:r>
      <w:r>
        <w:rPr>
          <w:rFonts w:cs="Times New Roman"/>
          <w:b/>
          <w:sz w:val="24"/>
          <w:szCs w:val="24"/>
        </w:rPr>
        <w:tab/>
        <w:t>Dental check</w:t>
      </w:r>
      <w:r w:rsidR="00676451">
        <w:rPr>
          <w:rFonts w:cs="Times New Roman"/>
          <w:b/>
          <w:sz w:val="24"/>
          <w:szCs w:val="24"/>
        </w:rPr>
        <w:t>-</w:t>
      </w:r>
      <w:r>
        <w:rPr>
          <w:rFonts w:cs="Times New Roman"/>
          <w:b/>
          <w:sz w:val="24"/>
          <w:szCs w:val="24"/>
        </w:rPr>
        <w:t>ups</w:t>
      </w:r>
      <w:r>
        <w:rPr>
          <w:rFonts w:cs="Times New Roman"/>
          <w:b/>
          <w:sz w:val="24"/>
          <w:szCs w:val="24"/>
        </w:rPr>
        <w:tab/>
      </w:r>
      <w:r>
        <w:rPr>
          <w:rFonts w:cs="Times New Roman"/>
          <w:b/>
          <w:sz w:val="24"/>
          <w:szCs w:val="24"/>
        </w:rPr>
        <w:tab/>
      </w:r>
      <w:r>
        <w:rPr>
          <w:rFonts w:cs="Times New Roman"/>
          <w:b/>
          <w:sz w:val="24"/>
          <w:szCs w:val="24"/>
        </w:rPr>
        <w:tab/>
        <w:t>Every 6 months</w:t>
      </w:r>
    </w:p>
    <w:p w:rsidR="009C3828" w:rsidRDefault="009C3828" w:rsidP="00BE7AA4">
      <w:pPr>
        <w:ind w:left="720" w:right="1134" w:hanging="720"/>
        <w:jc w:val="left"/>
        <w:rPr>
          <w:rFonts w:cs="Times New Roman"/>
          <w:b/>
          <w:sz w:val="24"/>
          <w:szCs w:val="24"/>
        </w:rPr>
      </w:pPr>
      <w:r>
        <w:rPr>
          <w:rFonts w:cs="Times New Roman"/>
          <w:b/>
          <w:sz w:val="24"/>
          <w:szCs w:val="24"/>
        </w:rPr>
        <w:tab/>
        <w:t>9.2</w:t>
      </w:r>
      <w:r>
        <w:rPr>
          <w:rFonts w:cs="Times New Roman"/>
          <w:b/>
          <w:sz w:val="24"/>
          <w:szCs w:val="24"/>
        </w:rPr>
        <w:tab/>
        <w:t>Decay/Caries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If and when needed</w:t>
      </w:r>
    </w:p>
    <w:p w:rsidR="009C3828" w:rsidRDefault="009C3828" w:rsidP="00BE7AA4">
      <w:pPr>
        <w:ind w:left="720" w:right="1134" w:hanging="720"/>
        <w:jc w:val="left"/>
        <w:rPr>
          <w:rFonts w:cs="Times New Roman"/>
          <w:b/>
          <w:sz w:val="24"/>
          <w:szCs w:val="24"/>
        </w:rPr>
      </w:pPr>
      <w:r>
        <w:rPr>
          <w:rFonts w:cs="Times New Roman"/>
          <w:b/>
          <w:sz w:val="24"/>
          <w:szCs w:val="24"/>
        </w:rPr>
        <w:tab/>
        <w:t>9.3</w:t>
      </w:r>
      <w:r>
        <w:rPr>
          <w:rFonts w:cs="Times New Roman"/>
          <w:b/>
          <w:sz w:val="24"/>
          <w:szCs w:val="24"/>
        </w:rPr>
        <w:tab/>
        <w:t>Extraction of teeth</w:t>
      </w:r>
      <w:r>
        <w:rPr>
          <w:rFonts w:cs="Times New Roman"/>
          <w:b/>
          <w:sz w:val="24"/>
          <w:szCs w:val="24"/>
        </w:rPr>
        <w:tab/>
      </w:r>
      <w:r>
        <w:rPr>
          <w:rFonts w:cs="Times New Roman"/>
          <w:b/>
          <w:sz w:val="24"/>
          <w:szCs w:val="24"/>
        </w:rPr>
        <w:tab/>
      </w:r>
      <w:r>
        <w:rPr>
          <w:rFonts w:cs="Times New Roman"/>
          <w:b/>
          <w:sz w:val="24"/>
          <w:szCs w:val="24"/>
        </w:rPr>
        <w:tab/>
        <w:t>if and when needed</w:t>
      </w:r>
    </w:p>
    <w:p w:rsidR="009C3828" w:rsidRDefault="009C3828" w:rsidP="00BE7AA4">
      <w:pPr>
        <w:ind w:left="720" w:right="1134" w:hanging="720"/>
        <w:jc w:val="left"/>
        <w:rPr>
          <w:rFonts w:cs="Times New Roman"/>
          <w:b/>
          <w:sz w:val="24"/>
          <w:szCs w:val="24"/>
        </w:rPr>
      </w:pPr>
      <w:r>
        <w:rPr>
          <w:rFonts w:cs="Times New Roman"/>
          <w:b/>
          <w:sz w:val="24"/>
          <w:szCs w:val="24"/>
        </w:rPr>
        <w:tab/>
        <w:t>9.4</w:t>
      </w:r>
      <w:r>
        <w:rPr>
          <w:rFonts w:cs="Times New Roman"/>
          <w:b/>
          <w:sz w:val="24"/>
          <w:szCs w:val="24"/>
        </w:rPr>
        <w:tab/>
        <w:t>Scale &amp; Polish</w:t>
      </w:r>
      <w:r>
        <w:rPr>
          <w:rFonts w:cs="Times New Roman"/>
          <w:b/>
          <w:sz w:val="24"/>
          <w:szCs w:val="24"/>
        </w:rPr>
        <w:tab/>
      </w:r>
      <w:r>
        <w:rPr>
          <w:rFonts w:cs="Times New Roman"/>
          <w:b/>
          <w:sz w:val="24"/>
          <w:szCs w:val="24"/>
        </w:rPr>
        <w:tab/>
      </w:r>
      <w:r>
        <w:rPr>
          <w:rFonts w:cs="Times New Roman"/>
          <w:b/>
          <w:sz w:val="24"/>
          <w:szCs w:val="24"/>
        </w:rPr>
        <w:tab/>
        <w:t>Every 6 months</w:t>
      </w:r>
    </w:p>
    <w:p w:rsidR="009C3828" w:rsidRDefault="009C3828" w:rsidP="00BE7AA4">
      <w:pPr>
        <w:ind w:left="720" w:right="1134" w:hanging="720"/>
        <w:jc w:val="left"/>
        <w:rPr>
          <w:rFonts w:cs="Times New Roman"/>
          <w:b/>
          <w:sz w:val="24"/>
          <w:szCs w:val="24"/>
        </w:rPr>
      </w:pPr>
      <w:r>
        <w:rPr>
          <w:rFonts w:cs="Times New Roman"/>
          <w:b/>
          <w:sz w:val="24"/>
          <w:szCs w:val="24"/>
        </w:rPr>
        <w:tab/>
        <w:t>9.5</w:t>
      </w:r>
      <w:r>
        <w:rPr>
          <w:rFonts w:cs="Times New Roman"/>
          <w:b/>
          <w:sz w:val="24"/>
          <w:szCs w:val="24"/>
        </w:rPr>
        <w:tab/>
        <w:t>Radiographs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if and when needed</w:t>
      </w:r>
    </w:p>
    <w:p w:rsidR="009C3828" w:rsidRDefault="009C3828" w:rsidP="00BE7AA4">
      <w:pPr>
        <w:ind w:left="720" w:right="1134" w:hanging="720"/>
        <w:jc w:val="left"/>
        <w:rPr>
          <w:rFonts w:cs="Times New Roman"/>
          <w:b/>
          <w:sz w:val="24"/>
          <w:szCs w:val="24"/>
        </w:rPr>
      </w:pPr>
      <w:r>
        <w:rPr>
          <w:rFonts w:cs="Times New Roman"/>
          <w:b/>
          <w:sz w:val="24"/>
          <w:szCs w:val="24"/>
        </w:rPr>
        <w:tab/>
        <w:t>9.6</w:t>
      </w:r>
      <w:r>
        <w:rPr>
          <w:rFonts w:cs="Times New Roman"/>
          <w:b/>
          <w:sz w:val="24"/>
          <w:szCs w:val="24"/>
        </w:rPr>
        <w:tab/>
        <w:t>Infection control</w:t>
      </w:r>
      <w:r>
        <w:rPr>
          <w:rFonts w:cs="Times New Roman"/>
          <w:b/>
          <w:sz w:val="24"/>
          <w:szCs w:val="24"/>
        </w:rPr>
        <w:tab/>
      </w:r>
      <w:r>
        <w:rPr>
          <w:rFonts w:cs="Times New Roman"/>
          <w:b/>
          <w:sz w:val="24"/>
          <w:szCs w:val="24"/>
        </w:rPr>
        <w:tab/>
      </w:r>
      <w:r>
        <w:rPr>
          <w:rFonts w:cs="Times New Roman"/>
          <w:b/>
          <w:sz w:val="24"/>
          <w:szCs w:val="24"/>
        </w:rPr>
        <w:tab/>
        <w:t>if and when needed</w:t>
      </w:r>
    </w:p>
    <w:p w:rsidR="009C3828" w:rsidRDefault="009C3828" w:rsidP="00BE7AA4">
      <w:pPr>
        <w:ind w:left="720" w:right="1134" w:hanging="720"/>
        <w:jc w:val="left"/>
        <w:rPr>
          <w:rFonts w:cs="Times New Roman"/>
          <w:b/>
          <w:sz w:val="24"/>
          <w:szCs w:val="24"/>
        </w:rPr>
      </w:pPr>
      <w:r>
        <w:rPr>
          <w:rFonts w:cs="Times New Roman"/>
          <w:b/>
          <w:sz w:val="24"/>
          <w:szCs w:val="24"/>
        </w:rPr>
        <w:tab/>
        <w:t>9.7</w:t>
      </w:r>
      <w:r>
        <w:rPr>
          <w:rFonts w:cs="Times New Roman"/>
          <w:b/>
          <w:sz w:val="24"/>
          <w:szCs w:val="24"/>
        </w:rPr>
        <w:tab/>
        <w:t>Day stay in hospital &amp; theatre</w:t>
      </w:r>
      <w:r>
        <w:rPr>
          <w:rFonts w:cs="Times New Roman"/>
          <w:b/>
          <w:sz w:val="24"/>
          <w:szCs w:val="24"/>
        </w:rPr>
        <w:tab/>
        <w:t>if and when needed</w:t>
      </w:r>
    </w:p>
    <w:p w:rsidR="009C3828" w:rsidRDefault="009C3828" w:rsidP="00BE7AA4">
      <w:pPr>
        <w:ind w:left="720" w:right="1134" w:hanging="720"/>
        <w:jc w:val="left"/>
        <w:rPr>
          <w:rFonts w:cs="Times New Roman"/>
          <w:b/>
          <w:sz w:val="24"/>
          <w:szCs w:val="24"/>
        </w:rPr>
      </w:pPr>
      <w:r>
        <w:rPr>
          <w:rFonts w:cs="Times New Roman"/>
          <w:b/>
          <w:sz w:val="24"/>
          <w:szCs w:val="24"/>
        </w:rPr>
        <w:tab/>
        <w:t>9.8</w:t>
      </w:r>
      <w:r>
        <w:rPr>
          <w:rFonts w:cs="Times New Roman"/>
          <w:b/>
          <w:sz w:val="24"/>
          <w:szCs w:val="24"/>
        </w:rPr>
        <w:tab/>
        <w:t>Anaesthetist</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if and when needed</w:t>
      </w:r>
    </w:p>
    <w:p w:rsidR="009C3828" w:rsidRDefault="009C3828" w:rsidP="00BE7AA4">
      <w:pPr>
        <w:ind w:left="720" w:right="1134" w:hanging="720"/>
        <w:jc w:val="left"/>
        <w:rPr>
          <w:rFonts w:cs="Times New Roman"/>
          <w:b/>
          <w:sz w:val="24"/>
          <w:szCs w:val="24"/>
        </w:rPr>
      </w:pPr>
      <w:r>
        <w:rPr>
          <w:rFonts w:cs="Times New Roman"/>
          <w:b/>
          <w:sz w:val="24"/>
          <w:szCs w:val="24"/>
        </w:rPr>
        <w:tab/>
        <w:t>9.9</w:t>
      </w:r>
      <w:r>
        <w:rPr>
          <w:rFonts w:cs="Times New Roman"/>
          <w:b/>
          <w:sz w:val="24"/>
          <w:szCs w:val="24"/>
        </w:rPr>
        <w:tab/>
        <w:t>Dentist consultation in theatre</w:t>
      </w:r>
      <w:r>
        <w:rPr>
          <w:rFonts w:cs="Times New Roman"/>
          <w:b/>
          <w:sz w:val="24"/>
          <w:szCs w:val="24"/>
        </w:rPr>
        <w:tab/>
      </w:r>
      <w:r w:rsidR="008E3B1C">
        <w:rPr>
          <w:rFonts w:cs="Times New Roman"/>
          <w:b/>
          <w:sz w:val="24"/>
          <w:szCs w:val="24"/>
        </w:rPr>
        <w:t>if and when needed</w:t>
      </w:r>
    </w:p>
    <w:p w:rsidR="008E3B1C" w:rsidRDefault="008E3B1C" w:rsidP="00BE7AA4">
      <w:pPr>
        <w:ind w:left="720" w:right="1134" w:hanging="720"/>
        <w:jc w:val="left"/>
        <w:rPr>
          <w:rFonts w:cs="Times New Roman"/>
          <w:b/>
          <w:sz w:val="24"/>
          <w:szCs w:val="24"/>
        </w:rPr>
      </w:pPr>
      <w:r>
        <w:rPr>
          <w:rFonts w:cs="Times New Roman"/>
          <w:b/>
          <w:sz w:val="24"/>
          <w:szCs w:val="24"/>
        </w:rPr>
        <w:lastRenderedPageBreak/>
        <w:tab/>
        <w:t>9.10</w:t>
      </w:r>
      <w:r>
        <w:rPr>
          <w:rFonts w:cs="Times New Roman"/>
          <w:b/>
          <w:sz w:val="24"/>
          <w:szCs w:val="24"/>
        </w:rPr>
        <w:tab/>
        <w:t>Periodontal surgery</w:t>
      </w:r>
      <w:r>
        <w:rPr>
          <w:rFonts w:cs="Times New Roman"/>
          <w:b/>
          <w:sz w:val="24"/>
          <w:szCs w:val="24"/>
        </w:rPr>
        <w:tab/>
      </w:r>
      <w:r>
        <w:rPr>
          <w:rFonts w:cs="Times New Roman"/>
          <w:b/>
          <w:sz w:val="24"/>
          <w:szCs w:val="24"/>
        </w:rPr>
        <w:tab/>
      </w:r>
      <w:r>
        <w:rPr>
          <w:rFonts w:cs="Times New Roman"/>
          <w:b/>
          <w:sz w:val="24"/>
          <w:szCs w:val="24"/>
        </w:rPr>
        <w:tab/>
        <w:t>if and when needed</w:t>
      </w:r>
    </w:p>
    <w:p w:rsidR="008E3B1C" w:rsidRDefault="008E3B1C" w:rsidP="00BE7AA4">
      <w:pPr>
        <w:ind w:left="720" w:right="1134" w:hanging="720"/>
        <w:jc w:val="left"/>
        <w:rPr>
          <w:rFonts w:cs="Times New Roman"/>
          <w:b/>
          <w:sz w:val="24"/>
          <w:szCs w:val="24"/>
        </w:rPr>
      </w:pPr>
    </w:p>
    <w:p w:rsidR="008E3B1C" w:rsidRDefault="008E3B1C" w:rsidP="00BE7AA4">
      <w:pPr>
        <w:ind w:left="720" w:right="1134" w:hanging="720"/>
        <w:jc w:val="left"/>
        <w:rPr>
          <w:rFonts w:cs="Times New Roman"/>
          <w:b/>
          <w:sz w:val="24"/>
          <w:szCs w:val="24"/>
        </w:rPr>
      </w:pPr>
      <w:r>
        <w:rPr>
          <w:rFonts w:cs="Times New Roman"/>
          <w:b/>
          <w:sz w:val="24"/>
          <w:szCs w:val="24"/>
        </w:rPr>
        <w:t>10.</w:t>
      </w:r>
      <w:r>
        <w:rPr>
          <w:rFonts w:cs="Times New Roman"/>
          <w:b/>
          <w:sz w:val="24"/>
          <w:szCs w:val="24"/>
        </w:rPr>
        <w:tab/>
        <w:t>NURSING COSTS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FREQUENCY</w:t>
      </w:r>
    </w:p>
    <w:p w:rsidR="008E3B1C" w:rsidRDefault="008E3B1C" w:rsidP="00BE7AA4">
      <w:pPr>
        <w:ind w:left="720" w:right="1134" w:hanging="720"/>
        <w:jc w:val="left"/>
        <w:rPr>
          <w:rFonts w:cs="Times New Roman"/>
          <w:b/>
          <w:sz w:val="24"/>
          <w:szCs w:val="24"/>
        </w:rPr>
      </w:pPr>
      <w:r>
        <w:rPr>
          <w:rFonts w:cs="Times New Roman"/>
          <w:b/>
          <w:sz w:val="24"/>
          <w:szCs w:val="24"/>
        </w:rPr>
        <w:tab/>
        <w:t>10.1</w:t>
      </w:r>
      <w:r>
        <w:rPr>
          <w:rFonts w:cs="Times New Roman"/>
          <w:b/>
          <w:sz w:val="24"/>
          <w:szCs w:val="24"/>
        </w:rPr>
        <w:tab/>
        <w:t>Minor Pressure sore treatment</w:t>
      </w:r>
      <w:r>
        <w:rPr>
          <w:rFonts w:cs="Times New Roman"/>
          <w:b/>
          <w:sz w:val="24"/>
          <w:szCs w:val="24"/>
        </w:rPr>
        <w:tab/>
        <w:t>if and when needed</w:t>
      </w:r>
    </w:p>
    <w:p w:rsidR="008E3B1C" w:rsidRDefault="008E3B1C" w:rsidP="00BE7AA4">
      <w:pPr>
        <w:ind w:left="720" w:right="1134" w:hanging="720"/>
        <w:jc w:val="left"/>
        <w:rPr>
          <w:rFonts w:cs="Times New Roman"/>
          <w:b/>
          <w:sz w:val="24"/>
          <w:szCs w:val="24"/>
        </w:rPr>
      </w:pPr>
      <w:r>
        <w:rPr>
          <w:rFonts w:cs="Times New Roman"/>
          <w:b/>
          <w:sz w:val="24"/>
          <w:szCs w:val="24"/>
        </w:rPr>
        <w:tab/>
        <w:t>10.2</w:t>
      </w:r>
      <w:r>
        <w:rPr>
          <w:rFonts w:cs="Times New Roman"/>
          <w:b/>
          <w:sz w:val="24"/>
          <w:szCs w:val="24"/>
        </w:rPr>
        <w:tab/>
        <w:t>Major Pressure sore treatment</w:t>
      </w:r>
      <w:r>
        <w:rPr>
          <w:rFonts w:cs="Times New Roman"/>
          <w:b/>
          <w:sz w:val="24"/>
          <w:szCs w:val="24"/>
        </w:rPr>
        <w:tab/>
        <w:t>if and when needed</w:t>
      </w:r>
    </w:p>
    <w:p w:rsidR="00666831" w:rsidRDefault="00666831" w:rsidP="00BE7AA4">
      <w:pPr>
        <w:ind w:left="720" w:right="1134" w:hanging="720"/>
        <w:jc w:val="left"/>
        <w:rPr>
          <w:rFonts w:cs="Times New Roman"/>
          <w:b/>
          <w:sz w:val="24"/>
          <w:szCs w:val="24"/>
        </w:rPr>
      </w:pPr>
    </w:p>
    <w:p w:rsidR="00434BCA" w:rsidRDefault="00434BCA" w:rsidP="00BE7AA4">
      <w:pPr>
        <w:ind w:left="720" w:right="1134" w:hanging="720"/>
        <w:jc w:val="left"/>
        <w:rPr>
          <w:rFonts w:cs="Times New Roman"/>
          <w:b/>
          <w:sz w:val="24"/>
          <w:szCs w:val="24"/>
        </w:rPr>
      </w:pPr>
    </w:p>
    <w:p w:rsidR="008E3B1C" w:rsidRDefault="008E3B1C" w:rsidP="00BE7AA4">
      <w:pPr>
        <w:ind w:left="720" w:right="1134" w:hanging="720"/>
        <w:jc w:val="left"/>
        <w:rPr>
          <w:rFonts w:cs="Times New Roman"/>
          <w:b/>
          <w:sz w:val="24"/>
          <w:szCs w:val="24"/>
        </w:rPr>
      </w:pPr>
      <w:r>
        <w:rPr>
          <w:rFonts w:cs="Times New Roman"/>
          <w:b/>
          <w:sz w:val="24"/>
          <w:szCs w:val="24"/>
        </w:rPr>
        <w:t>11.</w:t>
      </w:r>
      <w:r>
        <w:rPr>
          <w:rFonts w:cs="Times New Roman"/>
          <w:b/>
          <w:sz w:val="24"/>
          <w:szCs w:val="24"/>
        </w:rPr>
        <w:tab/>
        <w:t>CAREGIVER TRAINING</w:t>
      </w:r>
      <w:r>
        <w:rPr>
          <w:rFonts w:cs="Times New Roman"/>
          <w:b/>
          <w:sz w:val="24"/>
          <w:szCs w:val="24"/>
        </w:rPr>
        <w:tab/>
      </w:r>
      <w:r>
        <w:rPr>
          <w:rFonts w:cs="Times New Roman"/>
          <w:b/>
          <w:sz w:val="24"/>
          <w:szCs w:val="24"/>
        </w:rPr>
        <w:tab/>
      </w:r>
      <w:r>
        <w:rPr>
          <w:rFonts w:cs="Times New Roman"/>
          <w:b/>
          <w:sz w:val="24"/>
          <w:szCs w:val="24"/>
        </w:rPr>
        <w:tab/>
      </w:r>
      <w:r w:rsidR="00666831">
        <w:rPr>
          <w:rFonts w:cs="Times New Roman"/>
          <w:b/>
          <w:sz w:val="24"/>
          <w:szCs w:val="24"/>
        </w:rPr>
        <w:t xml:space="preserve">   </w:t>
      </w:r>
      <w:r>
        <w:rPr>
          <w:rFonts w:cs="Times New Roman"/>
          <w:b/>
          <w:sz w:val="24"/>
          <w:szCs w:val="24"/>
        </w:rPr>
        <w:t>FREQUENCY</w:t>
      </w:r>
    </w:p>
    <w:p w:rsidR="008E3B1C" w:rsidRDefault="008E3B1C" w:rsidP="00BE7AA4">
      <w:pPr>
        <w:ind w:left="720" w:right="1134" w:hanging="720"/>
        <w:jc w:val="left"/>
        <w:rPr>
          <w:rFonts w:cs="Times New Roman"/>
          <w:b/>
          <w:sz w:val="24"/>
          <w:szCs w:val="24"/>
        </w:rPr>
      </w:pPr>
      <w:r>
        <w:rPr>
          <w:rFonts w:cs="Times New Roman"/>
          <w:b/>
          <w:sz w:val="24"/>
          <w:szCs w:val="24"/>
        </w:rPr>
        <w:tab/>
        <w:t>11.1</w:t>
      </w:r>
      <w:r>
        <w:rPr>
          <w:rFonts w:cs="Times New Roman"/>
          <w:b/>
          <w:sz w:val="24"/>
          <w:szCs w:val="24"/>
        </w:rPr>
        <w:tab/>
        <w:t>Caregiver training for</w:t>
      </w:r>
      <w:r>
        <w:rPr>
          <w:rFonts w:cs="Times New Roman"/>
          <w:b/>
          <w:sz w:val="24"/>
          <w:szCs w:val="24"/>
        </w:rPr>
        <w:tab/>
      </w:r>
      <w:r>
        <w:rPr>
          <w:rFonts w:cs="Times New Roman"/>
          <w:b/>
          <w:sz w:val="24"/>
          <w:szCs w:val="24"/>
        </w:rPr>
        <w:tab/>
      </w:r>
      <w:r w:rsidR="00666831">
        <w:rPr>
          <w:rFonts w:cs="Times New Roman"/>
          <w:b/>
          <w:sz w:val="24"/>
          <w:szCs w:val="24"/>
        </w:rPr>
        <w:t xml:space="preserve">   </w:t>
      </w:r>
      <w:r>
        <w:rPr>
          <w:rFonts w:cs="Times New Roman"/>
          <w:b/>
          <w:sz w:val="24"/>
          <w:szCs w:val="24"/>
        </w:rPr>
        <w:t>As and when required</w:t>
      </w:r>
    </w:p>
    <w:p w:rsidR="009D60C8" w:rsidRDefault="008E3B1C" w:rsidP="00666831">
      <w:pPr>
        <w:ind w:left="720" w:right="1134" w:hanging="720"/>
        <w:jc w:val="left"/>
        <w:rPr>
          <w:rFonts w:cs="Times New Roman"/>
          <w:b/>
          <w:sz w:val="24"/>
          <w:szCs w:val="24"/>
        </w:rPr>
      </w:pPr>
      <w:r>
        <w:rPr>
          <w:rFonts w:cs="Times New Roman"/>
          <w:b/>
          <w:sz w:val="24"/>
          <w:szCs w:val="24"/>
        </w:rPr>
        <w:tab/>
      </w:r>
      <w:r>
        <w:rPr>
          <w:rFonts w:cs="Times New Roman"/>
          <w:b/>
          <w:sz w:val="24"/>
          <w:szCs w:val="24"/>
        </w:rPr>
        <w:tab/>
      </w:r>
      <w:r w:rsidR="009D60C8">
        <w:rPr>
          <w:rFonts w:cs="Times New Roman"/>
          <w:b/>
          <w:sz w:val="24"/>
          <w:szCs w:val="24"/>
        </w:rPr>
        <w:t xml:space="preserve"> </w:t>
      </w:r>
      <w:r>
        <w:rPr>
          <w:rFonts w:cs="Times New Roman"/>
          <w:b/>
          <w:sz w:val="24"/>
          <w:szCs w:val="24"/>
        </w:rPr>
        <w:t>Domestic worker, family members</w:t>
      </w:r>
      <w:r w:rsidR="00666831">
        <w:rPr>
          <w:rFonts w:cs="Times New Roman"/>
          <w:b/>
          <w:sz w:val="24"/>
          <w:szCs w:val="24"/>
        </w:rPr>
        <w:t xml:space="preserve">, </w:t>
      </w:r>
    </w:p>
    <w:p w:rsidR="009D60C8" w:rsidRPr="006E012B" w:rsidRDefault="009D60C8" w:rsidP="006E012B">
      <w:pPr>
        <w:ind w:left="720" w:right="1134" w:firstLine="720"/>
        <w:jc w:val="left"/>
        <w:rPr>
          <w:rFonts w:cs="Times New Roman"/>
          <w:b/>
          <w:sz w:val="24"/>
          <w:szCs w:val="24"/>
        </w:rPr>
      </w:pPr>
      <w:r>
        <w:rPr>
          <w:rFonts w:cs="Times New Roman"/>
          <w:b/>
          <w:sz w:val="24"/>
          <w:szCs w:val="24"/>
        </w:rPr>
        <w:t xml:space="preserve"> </w:t>
      </w:r>
      <w:r w:rsidR="00666831">
        <w:rPr>
          <w:rFonts w:cs="Times New Roman"/>
          <w:b/>
          <w:sz w:val="24"/>
          <w:szCs w:val="24"/>
        </w:rPr>
        <w:t>caregivers</w:t>
      </w: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6E012B" w:rsidRDefault="006E012B" w:rsidP="00D96321">
      <w:pPr>
        <w:ind w:left="720" w:right="1134" w:hanging="720"/>
        <w:jc w:val="center"/>
        <w:rPr>
          <w:rFonts w:cs="Times New Roman"/>
          <w:b/>
          <w:szCs w:val="28"/>
        </w:rPr>
      </w:pPr>
    </w:p>
    <w:p w:rsidR="003C77DF" w:rsidRPr="00CC1ECB" w:rsidRDefault="00D96321" w:rsidP="00D96321">
      <w:pPr>
        <w:ind w:left="720" w:right="1134" w:hanging="720"/>
        <w:jc w:val="center"/>
        <w:rPr>
          <w:rFonts w:cs="Times New Roman"/>
          <w:b/>
          <w:szCs w:val="28"/>
        </w:rPr>
      </w:pPr>
      <w:r w:rsidRPr="00CC1ECB">
        <w:rPr>
          <w:rFonts w:cs="Times New Roman"/>
          <w:b/>
          <w:szCs w:val="28"/>
        </w:rPr>
        <w:t>ANNEXURE “B”</w:t>
      </w:r>
    </w:p>
    <w:p w:rsidR="00964BF6" w:rsidRDefault="00D96321" w:rsidP="00F5157C">
      <w:pPr>
        <w:ind w:right="1134"/>
        <w:rPr>
          <w:rFonts w:cs="Times New Roman"/>
          <w:b/>
          <w:szCs w:val="28"/>
        </w:rPr>
      </w:pPr>
      <w:proofErr w:type="gramStart"/>
      <w:r>
        <w:rPr>
          <w:rFonts w:cs="Times New Roman"/>
          <w:b/>
          <w:szCs w:val="28"/>
        </w:rPr>
        <w:t>N</w:t>
      </w:r>
      <w:r w:rsidR="003048CA">
        <w:rPr>
          <w:rFonts w:cs="Times New Roman"/>
          <w:szCs w:val="28"/>
        </w:rPr>
        <w:t>[</w:t>
      </w:r>
      <w:proofErr w:type="gramEnd"/>
      <w:r w:rsidR="003048CA">
        <w:rPr>
          <w:rFonts w:cs="Times New Roman"/>
          <w:szCs w:val="28"/>
        </w:rPr>
        <w:t>…]</w:t>
      </w:r>
      <w:r>
        <w:rPr>
          <w:rFonts w:cs="Times New Roman"/>
          <w:b/>
          <w:szCs w:val="28"/>
        </w:rPr>
        <w:t xml:space="preserve"> v MEC HEALTH EC</w:t>
      </w:r>
    </w:p>
    <w:p w:rsidR="00D96321" w:rsidRDefault="00D96321" w:rsidP="00F5157C">
      <w:pPr>
        <w:ind w:right="1134"/>
        <w:rPr>
          <w:rFonts w:cs="Times New Roman"/>
          <w:b/>
          <w:szCs w:val="28"/>
        </w:rPr>
      </w:pPr>
      <w:r>
        <w:rPr>
          <w:rFonts w:cs="Times New Roman"/>
          <w:b/>
          <w:szCs w:val="28"/>
        </w:rPr>
        <w:t>LIST OF FUTURE SUPPLIES, MEDICAL DEVICES &amp; OTHERS</w:t>
      </w:r>
    </w:p>
    <w:p w:rsidR="003B499B" w:rsidRDefault="003B499B" w:rsidP="00F5157C">
      <w:pPr>
        <w:ind w:right="1134"/>
        <w:rPr>
          <w:rFonts w:cs="Times New Roman"/>
          <w:b/>
          <w:szCs w:val="28"/>
        </w:rPr>
      </w:pPr>
    </w:p>
    <w:p w:rsidR="00D96321" w:rsidRPr="007B73AE" w:rsidRDefault="00D96321" w:rsidP="00F5157C">
      <w:pPr>
        <w:ind w:right="1134"/>
        <w:rPr>
          <w:rFonts w:cs="Times New Roman"/>
          <w:b/>
          <w:sz w:val="24"/>
          <w:szCs w:val="24"/>
        </w:rPr>
      </w:pPr>
      <w:r w:rsidRPr="007B73AE">
        <w:rPr>
          <w:rFonts w:cs="Times New Roman"/>
          <w:b/>
          <w:sz w:val="24"/>
          <w:szCs w:val="24"/>
        </w:rPr>
        <w:t>1</w:t>
      </w:r>
      <w:r w:rsidRPr="007B73AE">
        <w:rPr>
          <w:rFonts w:cs="Times New Roman"/>
          <w:b/>
          <w:sz w:val="24"/>
          <w:szCs w:val="24"/>
        </w:rPr>
        <w:tab/>
        <w:t>DIETICIAN’S ITEMS</w:t>
      </w:r>
      <w:r w:rsidR="007B73AE" w:rsidRPr="007B73AE">
        <w:rPr>
          <w:rFonts w:cs="Times New Roman"/>
          <w:b/>
          <w:sz w:val="24"/>
          <w:szCs w:val="24"/>
        </w:rPr>
        <w:tab/>
      </w:r>
      <w:r w:rsidR="007B73AE" w:rsidRPr="007B73AE">
        <w:rPr>
          <w:rFonts w:cs="Times New Roman"/>
          <w:b/>
          <w:sz w:val="24"/>
          <w:szCs w:val="24"/>
        </w:rPr>
        <w:tab/>
      </w:r>
      <w:r w:rsidR="007B73AE" w:rsidRPr="007B73AE">
        <w:rPr>
          <w:rFonts w:cs="Times New Roman"/>
          <w:b/>
          <w:sz w:val="24"/>
          <w:szCs w:val="24"/>
        </w:rPr>
        <w:tab/>
        <w:t>FREQUENCY</w:t>
      </w:r>
    </w:p>
    <w:p w:rsidR="007B73AE" w:rsidRDefault="007B73AE" w:rsidP="00F5157C">
      <w:pPr>
        <w:ind w:right="1134"/>
        <w:rPr>
          <w:rFonts w:cs="Times New Roman"/>
          <w:b/>
          <w:sz w:val="24"/>
          <w:szCs w:val="24"/>
        </w:rPr>
      </w:pPr>
      <w:r w:rsidRPr="007B73AE">
        <w:rPr>
          <w:rFonts w:cs="Times New Roman"/>
          <w:b/>
          <w:sz w:val="24"/>
          <w:szCs w:val="24"/>
        </w:rPr>
        <w:tab/>
        <w:t>1.1</w:t>
      </w:r>
      <w:r>
        <w:rPr>
          <w:rFonts w:cs="Times New Roman"/>
          <w:b/>
          <w:sz w:val="24"/>
          <w:szCs w:val="24"/>
        </w:rPr>
        <w:tab/>
      </w:r>
      <w:proofErr w:type="spellStart"/>
      <w:r>
        <w:rPr>
          <w:rFonts w:cs="Times New Roman"/>
          <w:b/>
          <w:sz w:val="24"/>
          <w:szCs w:val="24"/>
        </w:rPr>
        <w:t>Nutrimel</w:t>
      </w:r>
      <w:proofErr w:type="spellEnd"/>
      <w:r>
        <w:rPr>
          <w:rFonts w:cs="Times New Roman"/>
          <w:b/>
          <w:sz w:val="24"/>
          <w:szCs w:val="24"/>
        </w:rPr>
        <w:t>/</w:t>
      </w:r>
      <w:proofErr w:type="spellStart"/>
      <w:r>
        <w:rPr>
          <w:rFonts w:cs="Times New Roman"/>
          <w:b/>
          <w:sz w:val="24"/>
          <w:szCs w:val="24"/>
        </w:rPr>
        <w:t>Pediasure</w:t>
      </w:r>
      <w:proofErr w:type="spellEnd"/>
      <w:r>
        <w:rPr>
          <w:rFonts w:cs="Times New Roman"/>
          <w:b/>
          <w:sz w:val="24"/>
          <w:szCs w:val="24"/>
        </w:rPr>
        <w:t>/Ensure</w:t>
      </w:r>
      <w:proofErr w:type="gramStart"/>
      <w:r>
        <w:rPr>
          <w:rFonts w:cs="Times New Roman"/>
          <w:b/>
          <w:sz w:val="24"/>
          <w:szCs w:val="24"/>
        </w:rPr>
        <w:tab/>
        <w:t xml:space="preserve">  Monthly</w:t>
      </w:r>
      <w:proofErr w:type="gramEnd"/>
      <w:r>
        <w:rPr>
          <w:rFonts w:cs="Times New Roman"/>
          <w:b/>
          <w:sz w:val="24"/>
          <w:szCs w:val="24"/>
        </w:rPr>
        <w:t xml:space="preserve"> until the age of 18 years</w:t>
      </w:r>
    </w:p>
    <w:p w:rsidR="007B73AE" w:rsidRDefault="007B73AE" w:rsidP="007B73AE">
      <w:pPr>
        <w:ind w:right="1134"/>
        <w:rPr>
          <w:rFonts w:cs="Times New Roman"/>
          <w:b/>
          <w:sz w:val="24"/>
          <w:szCs w:val="24"/>
        </w:rPr>
      </w:pPr>
      <w:r>
        <w:rPr>
          <w:rFonts w:cs="Times New Roman"/>
          <w:b/>
          <w:sz w:val="24"/>
          <w:szCs w:val="24"/>
        </w:rPr>
        <w:tab/>
        <w:t>1.2</w:t>
      </w:r>
      <w:r>
        <w:rPr>
          <w:rFonts w:cs="Times New Roman"/>
          <w:b/>
          <w:sz w:val="24"/>
          <w:szCs w:val="24"/>
        </w:rPr>
        <w:tab/>
      </w:r>
      <w:proofErr w:type="spellStart"/>
      <w:r>
        <w:rPr>
          <w:rFonts w:cs="Times New Roman"/>
          <w:b/>
          <w:sz w:val="24"/>
          <w:szCs w:val="24"/>
        </w:rPr>
        <w:t>Nutrimel</w:t>
      </w:r>
      <w:proofErr w:type="spellEnd"/>
      <w:r>
        <w:rPr>
          <w:rFonts w:cs="Times New Roman"/>
          <w:b/>
          <w:sz w:val="24"/>
          <w:szCs w:val="24"/>
        </w:rPr>
        <w:t>/</w:t>
      </w:r>
      <w:proofErr w:type="spellStart"/>
      <w:r>
        <w:rPr>
          <w:rFonts w:cs="Times New Roman"/>
          <w:b/>
          <w:sz w:val="24"/>
          <w:szCs w:val="24"/>
        </w:rPr>
        <w:t>Pediasure</w:t>
      </w:r>
      <w:proofErr w:type="spellEnd"/>
      <w:r>
        <w:rPr>
          <w:rFonts w:cs="Times New Roman"/>
          <w:b/>
          <w:sz w:val="24"/>
          <w:szCs w:val="24"/>
        </w:rPr>
        <w:t>/Ensure</w:t>
      </w:r>
      <w:proofErr w:type="gramStart"/>
      <w:r>
        <w:rPr>
          <w:rFonts w:cs="Times New Roman"/>
          <w:b/>
          <w:sz w:val="24"/>
          <w:szCs w:val="24"/>
        </w:rPr>
        <w:tab/>
        <w:t xml:space="preserve">  Monthly</w:t>
      </w:r>
      <w:proofErr w:type="gramEnd"/>
      <w:r>
        <w:rPr>
          <w:rFonts w:cs="Times New Roman"/>
          <w:b/>
          <w:sz w:val="24"/>
          <w:szCs w:val="24"/>
        </w:rPr>
        <w:t xml:space="preserve"> after age 18 years for life </w:t>
      </w:r>
    </w:p>
    <w:p w:rsidR="007B73AE" w:rsidRDefault="007B73AE" w:rsidP="007B73AE">
      <w:pPr>
        <w:ind w:right="1134"/>
        <w:rPr>
          <w:rFonts w:cs="Times New Roman"/>
          <w:b/>
          <w:sz w:val="24"/>
          <w:szCs w:val="24"/>
        </w:rPr>
      </w:pPr>
      <w:r>
        <w:rPr>
          <w:rFonts w:cs="Times New Roman"/>
          <w:b/>
          <w:sz w:val="24"/>
          <w:szCs w:val="24"/>
        </w:rPr>
        <w:tab/>
        <w:t>1.3</w:t>
      </w:r>
      <w:r>
        <w:rPr>
          <w:rFonts w:cs="Times New Roman"/>
          <w:b/>
          <w:sz w:val="24"/>
          <w:szCs w:val="24"/>
        </w:rPr>
        <w:tab/>
        <w:t>MIC Key</w:t>
      </w:r>
      <w:r>
        <w:rPr>
          <w:rFonts w:cs="Times New Roman"/>
          <w:b/>
          <w:sz w:val="24"/>
          <w:szCs w:val="24"/>
        </w:rPr>
        <w:tab/>
      </w:r>
      <w:r>
        <w:rPr>
          <w:rFonts w:cs="Times New Roman"/>
          <w:b/>
          <w:sz w:val="24"/>
          <w:szCs w:val="24"/>
        </w:rPr>
        <w:tab/>
      </w:r>
      <w:r>
        <w:rPr>
          <w:rFonts w:cs="Times New Roman"/>
          <w:b/>
          <w:sz w:val="24"/>
          <w:szCs w:val="24"/>
        </w:rPr>
        <w:tab/>
        <w:t xml:space="preserve">   3x annually for life</w:t>
      </w:r>
    </w:p>
    <w:p w:rsidR="007B73AE" w:rsidRDefault="009D60C8" w:rsidP="007B73AE">
      <w:pPr>
        <w:ind w:right="1134"/>
        <w:rPr>
          <w:rFonts w:cs="Times New Roman"/>
          <w:b/>
          <w:sz w:val="24"/>
          <w:szCs w:val="24"/>
        </w:rPr>
      </w:pPr>
      <w:r>
        <w:rPr>
          <w:rFonts w:cs="Times New Roman"/>
          <w:b/>
          <w:sz w:val="24"/>
          <w:szCs w:val="24"/>
        </w:rPr>
        <w:tab/>
        <w:t>1.4</w:t>
      </w:r>
      <w:r>
        <w:rPr>
          <w:rFonts w:cs="Times New Roman"/>
          <w:b/>
          <w:sz w:val="24"/>
          <w:szCs w:val="24"/>
        </w:rPr>
        <w:tab/>
        <w:t>EXT</w:t>
      </w:r>
      <w:r w:rsidR="007B73AE">
        <w:rPr>
          <w:rFonts w:cs="Times New Roman"/>
          <w:b/>
          <w:sz w:val="24"/>
          <w:szCs w:val="24"/>
        </w:rPr>
        <w:t>SET/SECUR LOK</w:t>
      </w:r>
      <w:r w:rsidR="007B73AE">
        <w:rPr>
          <w:rFonts w:cs="Times New Roman"/>
          <w:b/>
          <w:sz w:val="24"/>
          <w:szCs w:val="24"/>
        </w:rPr>
        <w:tab/>
        <w:t xml:space="preserve">   5 boxes annually for life</w:t>
      </w:r>
    </w:p>
    <w:p w:rsidR="007B73AE" w:rsidRDefault="007B73AE" w:rsidP="007B73AE">
      <w:pPr>
        <w:ind w:right="1134"/>
        <w:rPr>
          <w:rFonts w:cs="Times New Roman"/>
          <w:b/>
          <w:sz w:val="24"/>
          <w:szCs w:val="24"/>
        </w:rPr>
      </w:pPr>
      <w:r>
        <w:rPr>
          <w:rFonts w:cs="Times New Roman"/>
          <w:b/>
          <w:sz w:val="24"/>
          <w:szCs w:val="24"/>
        </w:rPr>
        <w:tab/>
        <w:t>1.5</w:t>
      </w:r>
      <w:r>
        <w:rPr>
          <w:rFonts w:cs="Times New Roman"/>
          <w:b/>
          <w:sz w:val="24"/>
          <w:szCs w:val="24"/>
        </w:rPr>
        <w:tab/>
        <w:t>BOLUS</w:t>
      </w:r>
      <w:r>
        <w:rPr>
          <w:rFonts w:cs="Times New Roman"/>
          <w:b/>
          <w:sz w:val="24"/>
          <w:szCs w:val="24"/>
        </w:rPr>
        <w:tab/>
      </w:r>
      <w:r>
        <w:rPr>
          <w:rFonts w:cs="Times New Roman"/>
          <w:b/>
          <w:sz w:val="24"/>
          <w:szCs w:val="24"/>
        </w:rPr>
        <w:tab/>
      </w:r>
      <w:r>
        <w:rPr>
          <w:rFonts w:cs="Times New Roman"/>
          <w:b/>
          <w:sz w:val="24"/>
          <w:szCs w:val="24"/>
        </w:rPr>
        <w:tab/>
        <w:t xml:space="preserve">   </w:t>
      </w:r>
      <w:r w:rsidR="00F10348">
        <w:rPr>
          <w:rFonts w:cs="Times New Roman"/>
          <w:b/>
          <w:sz w:val="24"/>
          <w:szCs w:val="24"/>
        </w:rPr>
        <w:t xml:space="preserve">5 </w:t>
      </w:r>
      <w:r>
        <w:rPr>
          <w:rFonts w:cs="Times New Roman"/>
          <w:b/>
          <w:sz w:val="24"/>
          <w:szCs w:val="24"/>
        </w:rPr>
        <w:t>boxes annually for life</w:t>
      </w:r>
    </w:p>
    <w:p w:rsidR="007B73AE" w:rsidRDefault="007B73AE" w:rsidP="007B73AE">
      <w:pPr>
        <w:ind w:right="1134"/>
        <w:rPr>
          <w:rFonts w:cs="Times New Roman"/>
          <w:b/>
          <w:sz w:val="24"/>
          <w:szCs w:val="24"/>
        </w:rPr>
      </w:pPr>
      <w:r>
        <w:rPr>
          <w:rFonts w:cs="Times New Roman"/>
          <w:b/>
          <w:sz w:val="24"/>
          <w:szCs w:val="24"/>
        </w:rPr>
        <w:tab/>
        <w:t>1.6</w:t>
      </w:r>
      <w:r>
        <w:rPr>
          <w:rFonts w:cs="Times New Roman"/>
          <w:b/>
          <w:sz w:val="24"/>
          <w:szCs w:val="24"/>
        </w:rPr>
        <w:tab/>
        <w:t>Measuring device</w:t>
      </w:r>
      <w:r>
        <w:rPr>
          <w:rFonts w:cs="Times New Roman"/>
          <w:b/>
          <w:sz w:val="24"/>
          <w:szCs w:val="24"/>
        </w:rPr>
        <w:tab/>
      </w:r>
      <w:r>
        <w:rPr>
          <w:rFonts w:cs="Times New Roman"/>
          <w:b/>
          <w:sz w:val="24"/>
          <w:szCs w:val="24"/>
        </w:rPr>
        <w:tab/>
        <w:t xml:space="preserve">   Once off</w:t>
      </w:r>
    </w:p>
    <w:p w:rsidR="007B73AE" w:rsidRDefault="007B73AE" w:rsidP="007B73AE">
      <w:pPr>
        <w:ind w:right="1134"/>
        <w:rPr>
          <w:rFonts w:cs="Times New Roman"/>
          <w:b/>
          <w:sz w:val="24"/>
          <w:szCs w:val="24"/>
        </w:rPr>
      </w:pPr>
      <w:r>
        <w:rPr>
          <w:rFonts w:cs="Times New Roman"/>
          <w:b/>
          <w:sz w:val="24"/>
          <w:szCs w:val="24"/>
        </w:rPr>
        <w:tab/>
        <w:t>1.7</w:t>
      </w:r>
      <w:r>
        <w:rPr>
          <w:rFonts w:cs="Times New Roman"/>
          <w:b/>
          <w:sz w:val="24"/>
          <w:szCs w:val="24"/>
        </w:rPr>
        <w:tab/>
      </w:r>
      <w:r w:rsidR="00CC1ECB">
        <w:rPr>
          <w:rFonts w:cs="Times New Roman"/>
          <w:b/>
          <w:sz w:val="24"/>
          <w:szCs w:val="24"/>
        </w:rPr>
        <w:t>Silver nitrate sticks</w:t>
      </w:r>
      <w:r w:rsidR="00CC1ECB">
        <w:rPr>
          <w:rFonts w:cs="Times New Roman"/>
          <w:b/>
          <w:sz w:val="24"/>
          <w:szCs w:val="24"/>
        </w:rPr>
        <w:tab/>
      </w:r>
      <w:r w:rsidR="00CC1ECB">
        <w:rPr>
          <w:rFonts w:cs="Times New Roman"/>
          <w:b/>
          <w:sz w:val="24"/>
          <w:szCs w:val="24"/>
        </w:rPr>
        <w:tab/>
        <w:t xml:space="preserve">   Annually for life</w:t>
      </w:r>
    </w:p>
    <w:p w:rsidR="00CC1ECB" w:rsidRDefault="00CC1ECB" w:rsidP="007B73AE">
      <w:pPr>
        <w:ind w:right="1134"/>
        <w:rPr>
          <w:rFonts w:cs="Times New Roman"/>
          <w:b/>
          <w:sz w:val="24"/>
          <w:szCs w:val="24"/>
        </w:rPr>
      </w:pPr>
      <w:r>
        <w:rPr>
          <w:rFonts w:cs="Times New Roman"/>
          <w:b/>
          <w:sz w:val="24"/>
          <w:szCs w:val="24"/>
        </w:rPr>
        <w:tab/>
        <w:t>1.8</w:t>
      </w:r>
      <w:r>
        <w:rPr>
          <w:rFonts w:cs="Times New Roman"/>
          <w:b/>
          <w:sz w:val="24"/>
          <w:szCs w:val="24"/>
        </w:rPr>
        <w:tab/>
        <w:t>Blood tests iron studies</w:t>
      </w:r>
      <w:r>
        <w:rPr>
          <w:rFonts w:cs="Times New Roman"/>
          <w:b/>
          <w:sz w:val="24"/>
          <w:szCs w:val="24"/>
        </w:rPr>
        <w:tab/>
        <w:t xml:space="preserve">   Annually for life</w:t>
      </w:r>
    </w:p>
    <w:p w:rsidR="00CC1ECB" w:rsidRDefault="00CC1ECB" w:rsidP="007B73AE">
      <w:pPr>
        <w:ind w:right="1134"/>
        <w:rPr>
          <w:rFonts w:cs="Times New Roman"/>
          <w:b/>
          <w:sz w:val="24"/>
          <w:szCs w:val="24"/>
        </w:rPr>
      </w:pPr>
      <w:r>
        <w:rPr>
          <w:rFonts w:cs="Times New Roman"/>
          <w:b/>
          <w:sz w:val="24"/>
          <w:szCs w:val="24"/>
        </w:rPr>
        <w:tab/>
        <w:t>1.9</w:t>
      </w:r>
      <w:r>
        <w:rPr>
          <w:rFonts w:cs="Times New Roman"/>
          <w:b/>
          <w:sz w:val="24"/>
          <w:szCs w:val="24"/>
        </w:rPr>
        <w:tab/>
        <w:t>Calcium tests</w:t>
      </w:r>
      <w:r>
        <w:rPr>
          <w:rFonts w:cs="Times New Roman"/>
          <w:b/>
          <w:sz w:val="24"/>
          <w:szCs w:val="24"/>
        </w:rPr>
        <w:tab/>
      </w:r>
      <w:r>
        <w:rPr>
          <w:rFonts w:cs="Times New Roman"/>
          <w:b/>
          <w:sz w:val="24"/>
          <w:szCs w:val="24"/>
        </w:rPr>
        <w:tab/>
      </w:r>
      <w:r>
        <w:rPr>
          <w:rFonts w:cs="Times New Roman"/>
          <w:b/>
          <w:sz w:val="24"/>
          <w:szCs w:val="24"/>
        </w:rPr>
        <w:tab/>
        <w:t xml:space="preserve">   Annually for life</w:t>
      </w:r>
    </w:p>
    <w:p w:rsidR="00CC1ECB" w:rsidRDefault="00CC1ECB" w:rsidP="007B73AE">
      <w:pPr>
        <w:ind w:right="1134"/>
        <w:rPr>
          <w:rFonts w:cs="Times New Roman"/>
          <w:b/>
          <w:sz w:val="24"/>
          <w:szCs w:val="24"/>
        </w:rPr>
      </w:pPr>
      <w:r>
        <w:rPr>
          <w:rFonts w:cs="Times New Roman"/>
          <w:b/>
          <w:sz w:val="24"/>
          <w:szCs w:val="24"/>
        </w:rPr>
        <w:tab/>
        <w:t>1.10</w:t>
      </w:r>
      <w:r>
        <w:rPr>
          <w:rFonts w:cs="Times New Roman"/>
          <w:b/>
          <w:sz w:val="24"/>
          <w:szCs w:val="24"/>
        </w:rPr>
        <w:tab/>
        <w:t>Parathyroid hormone test</w:t>
      </w:r>
      <w:r>
        <w:rPr>
          <w:rFonts w:cs="Times New Roman"/>
          <w:b/>
          <w:sz w:val="24"/>
          <w:szCs w:val="24"/>
        </w:rPr>
        <w:tab/>
        <w:t xml:space="preserve">   Annually for life</w:t>
      </w:r>
    </w:p>
    <w:p w:rsidR="00CC1ECB" w:rsidRDefault="00CC1ECB" w:rsidP="007B73AE">
      <w:pPr>
        <w:ind w:right="1134"/>
        <w:rPr>
          <w:rFonts w:cs="Times New Roman"/>
          <w:b/>
          <w:sz w:val="24"/>
          <w:szCs w:val="24"/>
        </w:rPr>
      </w:pPr>
      <w:r>
        <w:rPr>
          <w:rFonts w:cs="Times New Roman"/>
          <w:b/>
          <w:sz w:val="24"/>
          <w:szCs w:val="24"/>
        </w:rPr>
        <w:tab/>
        <w:t>1.11</w:t>
      </w:r>
      <w:r>
        <w:rPr>
          <w:rFonts w:cs="Times New Roman"/>
          <w:b/>
          <w:sz w:val="24"/>
          <w:szCs w:val="24"/>
        </w:rPr>
        <w:tab/>
        <w:t>Vitamin D test</w:t>
      </w:r>
      <w:r>
        <w:rPr>
          <w:rFonts w:cs="Times New Roman"/>
          <w:b/>
          <w:sz w:val="24"/>
          <w:szCs w:val="24"/>
        </w:rPr>
        <w:tab/>
      </w:r>
      <w:r>
        <w:rPr>
          <w:rFonts w:cs="Times New Roman"/>
          <w:b/>
          <w:sz w:val="24"/>
          <w:szCs w:val="24"/>
        </w:rPr>
        <w:tab/>
        <w:t xml:space="preserve">   Annually for life</w:t>
      </w:r>
    </w:p>
    <w:p w:rsidR="00CC1ECB" w:rsidRDefault="00CC1ECB" w:rsidP="007B73AE">
      <w:pPr>
        <w:ind w:right="1134"/>
        <w:rPr>
          <w:rFonts w:cs="Times New Roman"/>
          <w:b/>
          <w:sz w:val="24"/>
          <w:szCs w:val="24"/>
        </w:rPr>
      </w:pPr>
      <w:r>
        <w:rPr>
          <w:rFonts w:cs="Times New Roman"/>
          <w:b/>
          <w:sz w:val="24"/>
          <w:szCs w:val="24"/>
        </w:rPr>
        <w:lastRenderedPageBreak/>
        <w:tab/>
        <w:t>1.12</w:t>
      </w:r>
      <w:r>
        <w:rPr>
          <w:rFonts w:cs="Times New Roman"/>
          <w:b/>
          <w:sz w:val="24"/>
          <w:szCs w:val="24"/>
        </w:rPr>
        <w:tab/>
        <w:t>Ca</w:t>
      </w:r>
      <w:r w:rsidR="006E012B">
        <w:rPr>
          <w:rFonts w:cs="Times New Roman"/>
          <w:b/>
          <w:sz w:val="24"/>
          <w:szCs w:val="24"/>
        </w:rPr>
        <w:t>rn</w:t>
      </w:r>
      <w:r w:rsidR="009D60C8">
        <w:rPr>
          <w:rFonts w:cs="Times New Roman"/>
          <w:b/>
          <w:sz w:val="24"/>
          <w:szCs w:val="24"/>
        </w:rPr>
        <w:t>i</w:t>
      </w:r>
      <w:r>
        <w:rPr>
          <w:rFonts w:cs="Times New Roman"/>
          <w:b/>
          <w:sz w:val="24"/>
          <w:szCs w:val="24"/>
        </w:rPr>
        <w:t>tine test</w:t>
      </w:r>
      <w:r>
        <w:rPr>
          <w:rFonts w:cs="Times New Roman"/>
          <w:b/>
          <w:sz w:val="24"/>
          <w:szCs w:val="24"/>
        </w:rPr>
        <w:tab/>
      </w:r>
      <w:r>
        <w:rPr>
          <w:rFonts w:cs="Times New Roman"/>
          <w:b/>
          <w:sz w:val="24"/>
          <w:szCs w:val="24"/>
        </w:rPr>
        <w:tab/>
        <w:t xml:space="preserve">          </w:t>
      </w:r>
      <w:r w:rsidR="006E012B">
        <w:rPr>
          <w:rFonts w:cs="Times New Roman"/>
          <w:b/>
          <w:sz w:val="24"/>
          <w:szCs w:val="24"/>
        </w:rPr>
        <w:tab/>
        <w:t xml:space="preserve">     </w:t>
      </w:r>
      <w:r>
        <w:rPr>
          <w:rFonts w:cs="Times New Roman"/>
          <w:b/>
          <w:sz w:val="24"/>
          <w:szCs w:val="24"/>
        </w:rPr>
        <w:t>Annually for life</w:t>
      </w:r>
    </w:p>
    <w:p w:rsidR="00CC1ECB" w:rsidRDefault="00CC1ECB" w:rsidP="007B73AE">
      <w:pPr>
        <w:ind w:right="1134"/>
        <w:rPr>
          <w:rFonts w:cs="Times New Roman"/>
          <w:b/>
          <w:sz w:val="24"/>
          <w:szCs w:val="24"/>
        </w:rPr>
      </w:pPr>
      <w:r>
        <w:rPr>
          <w:rFonts w:cs="Times New Roman"/>
          <w:b/>
          <w:sz w:val="24"/>
          <w:szCs w:val="24"/>
        </w:rPr>
        <w:tab/>
        <w:t>1.13</w:t>
      </w:r>
      <w:r>
        <w:rPr>
          <w:rFonts w:cs="Times New Roman"/>
          <w:b/>
          <w:sz w:val="24"/>
          <w:szCs w:val="24"/>
        </w:rPr>
        <w:tab/>
        <w:t>Vitamin D supplement</w:t>
      </w:r>
      <w:r>
        <w:rPr>
          <w:rFonts w:cs="Times New Roman"/>
          <w:b/>
          <w:sz w:val="24"/>
          <w:szCs w:val="24"/>
        </w:rPr>
        <w:tab/>
        <w:t xml:space="preserve">      Every 7 months for life</w:t>
      </w:r>
    </w:p>
    <w:p w:rsidR="004216BF" w:rsidRDefault="004216BF" w:rsidP="007B73AE">
      <w:pPr>
        <w:ind w:right="1134"/>
        <w:rPr>
          <w:rFonts w:cs="Times New Roman"/>
          <w:b/>
          <w:sz w:val="24"/>
          <w:szCs w:val="24"/>
        </w:rPr>
      </w:pPr>
      <w:r>
        <w:rPr>
          <w:rFonts w:cs="Times New Roman"/>
          <w:b/>
          <w:sz w:val="24"/>
          <w:szCs w:val="24"/>
        </w:rPr>
        <w:tab/>
        <w:t>1.14</w:t>
      </w:r>
      <w:r>
        <w:rPr>
          <w:rFonts w:cs="Times New Roman"/>
          <w:b/>
          <w:sz w:val="24"/>
          <w:szCs w:val="24"/>
        </w:rPr>
        <w:tab/>
        <w:t>Iron supplement</w:t>
      </w:r>
      <w:r>
        <w:rPr>
          <w:rFonts w:cs="Times New Roman"/>
          <w:b/>
          <w:sz w:val="24"/>
          <w:szCs w:val="24"/>
        </w:rPr>
        <w:tab/>
      </w:r>
      <w:r>
        <w:rPr>
          <w:rFonts w:cs="Times New Roman"/>
          <w:b/>
          <w:sz w:val="24"/>
          <w:szCs w:val="24"/>
        </w:rPr>
        <w:tab/>
        <w:t xml:space="preserve">      Every 7 months for life</w:t>
      </w:r>
    </w:p>
    <w:p w:rsidR="004216BF" w:rsidRDefault="006E012B" w:rsidP="007B73AE">
      <w:pPr>
        <w:ind w:right="1134"/>
        <w:rPr>
          <w:rFonts w:cs="Times New Roman"/>
          <w:b/>
          <w:sz w:val="24"/>
          <w:szCs w:val="24"/>
        </w:rPr>
      </w:pPr>
      <w:r>
        <w:rPr>
          <w:rFonts w:cs="Times New Roman"/>
          <w:b/>
          <w:sz w:val="24"/>
          <w:szCs w:val="24"/>
        </w:rPr>
        <w:tab/>
        <w:t>1.15</w:t>
      </w:r>
      <w:r>
        <w:rPr>
          <w:rFonts w:cs="Times New Roman"/>
          <w:b/>
          <w:sz w:val="24"/>
          <w:szCs w:val="24"/>
        </w:rPr>
        <w:tab/>
        <w:t>Calcium supplement</w:t>
      </w:r>
      <w:r>
        <w:rPr>
          <w:rFonts w:cs="Times New Roman"/>
          <w:b/>
          <w:sz w:val="24"/>
          <w:szCs w:val="24"/>
        </w:rPr>
        <w:tab/>
      </w:r>
      <w:r>
        <w:rPr>
          <w:rFonts w:cs="Times New Roman"/>
          <w:b/>
          <w:sz w:val="24"/>
          <w:szCs w:val="24"/>
        </w:rPr>
        <w:tab/>
        <w:t xml:space="preserve">      </w:t>
      </w:r>
      <w:r w:rsidR="004216BF">
        <w:rPr>
          <w:rFonts w:cs="Times New Roman"/>
          <w:b/>
          <w:sz w:val="24"/>
          <w:szCs w:val="24"/>
        </w:rPr>
        <w:t>Every month for life</w:t>
      </w:r>
    </w:p>
    <w:p w:rsidR="004216BF" w:rsidRDefault="004216BF" w:rsidP="007B73AE">
      <w:pPr>
        <w:ind w:right="1134"/>
        <w:rPr>
          <w:rFonts w:cs="Times New Roman"/>
          <w:b/>
          <w:sz w:val="24"/>
          <w:szCs w:val="24"/>
        </w:rPr>
      </w:pPr>
      <w:r>
        <w:rPr>
          <w:rFonts w:cs="Times New Roman"/>
          <w:b/>
          <w:sz w:val="24"/>
          <w:szCs w:val="24"/>
        </w:rPr>
        <w:tab/>
      </w:r>
      <w:r w:rsidR="0097443E">
        <w:rPr>
          <w:rFonts w:cs="Times New Roman"/>
          <w:b/>
          <w:sz w:val="24"/>
          <w:szCs w:val="24"/>
        </w:rPr>
        <w:t>1.16</w:t>
      </w:r>
      <w:r w:rsidR="0097443E">
        <w:rPr>
          <w:rFonts w:cs="Times New Roman"/>
          <w:b/>
          <w:sz w:val="24"/>
          <w:szCs w:val="24"/>
        </w:rPr>
        <w:tab/>
        <w:t>Ca</w:t>
      </w:r>
      <w:r w:rsidR="009D60C8">
        <w:rPr>
          <w:rFonts w:cs="Times New Roman"/>
          <w:b/>
          <w:sz w:val="24"/>
          <w:szCs w:val="24"/>
        </w:rPr>
        <w:t>r</w:t>
      </w:r>
      <w:r w:rsidR="006E012B">
        <w:rPr>
          <w:rFonts w:cs="Times New Roman"/>
          <w:b/>
          <w:sz w:val="24"/>
          <w:szCs w:val="24"/>
        </w:rPr>
        <w:t>nitine supplement</w:t>
      </w:r>
      <w:r w:rsidR="006E012B">
        <w:rPr>
          <w:rFonts w:cs="Times New Roman"/>
          <w:b/>
          <w:sz w:val="24"/>
          <w:szCs w:val="24"/>
        </w:rPr>
        <w:tab/>
        <w:t xml:space="preserve">      </w:t>
      </w:r>
      <w:r w:rsidR="0097443E">
        <w:rPr>
          <w:rFonts w:cs="Times New Roman"/>
          <w:b/>
          <w:sz w:val="24"/>
          <w:szCs w:val="24"/>
        </w:rPr>
        <w:t>Every month for life</w:t>
      </w:r>
    </w:p>
    <w:p w:rsidR="0097443E" w:rsidRDefault="006E012B" w:rsidP="007B73AE">
      <w:pPr>
        <w:ind w:right="1134"/>
        <w:rPr>
          <w:rFonts w:cs="Times New Roman"/>
          <w:b/>
          <w:sz w:val="24"/>
          <w:szCs w:val="24"/>
        </w:rPr>
      </w:pPr>
      <w:r>
        <w:rPr>
          <w:rFonts w:cs="Times New Roman"/>
          <w:b/>
          <w:sz w:val="24"/>
          <w:szCs w:val="24"/>
        </w:rPr>
        <w:tab/>
        <w:t>1.17</w:t>
      </w:r>
      <w:r>
        <w:rPr>
          <w:rFonts w:cs="Times New Roman"/>
          <w:b/>
          <w:sz w:val="24"/>
          <w:szCs w:val="24"/>
        </w:rPr>
        <w:tab/>
        <w:t>Mineral supplement</w:t>
      </w:r>
      <w:r>
        <w:rPr>
          <w:rFonts w:cs="Times New Roman"/>
          <w:b/>
          <w:sz w:val="24"/>
          <w:szCs w:val="24"/>
        </w:rPr>
        <w:tab/>
      </w:r>
      <w:r>
        <w:rPr>
          <w:rFonts w:cs="Times New Roman"/>
          <w:b/>
          <w:sz w:val="24"/>
          <w:szCs w:val="24"/>
        </w:rPr>
        <w:tab/>
        <w:t xml:space="preserve">      </w:t>
      </w:r>
      <w:r w:rsidR="0097443E">
        <w:rPr>
          <w:rFonts w:cs="Times New Roman"/>
          <w:b/>
          <w:sz w:val="24"/>
          <w:szCs w:val="24"/>
        </w:rPr>
        <w:t>Every month for life</w:t>
      </w:r>
    </w:p>
    <w:p w:rsidR="000C064C" w:rsidRDefault="000C064C" w:rsidP="00B34A34">
      <w:pPr>
        <w:rPr>
          <w:rFonts w:cs="Times New Roman"/>
          <w:b/>
          <w:sz w:val="24"/>
          <w:szCs w:val="24"/>
        </w:rPr>
      </w:pPr>
      <w:r>
        <w:rPr>
          <w:rFonts w:cs="Times New Roman"/>
          <w:b/>
          <w:sz w:val="24"/>
          <w:szCs w:val="24"/>
        </w:rPr>
        <w:tab/>
      </w:r>
    </w:p>
    <w:p w:rsidR="00B34A34" w:rsidRDefault="00327734" w:rsidP="00B34A34">
      <w:pPr>
        <w:rPr>
          <w:rFonts w:cs="Times New Roman"/>
          <w:b/>
          <w:sz w:val="24"/>
          <w:szCs w:val="24"/>
        </w:rPr>
      </w:pPr>
      <w:r>
        <w:rPr>
          <w:rFonts w:cs="Times New Roman"/>
          <w:b/>
          <w:sz w:val="24"/>
          <w:szCs w:val="24"/>
        </w:rPr>
        <w:t>2</w:t>
      </w:r>
      <w:r>
        <w:rPr>
          <w:rFonts w:cs="Times New Roman"/>
          <w:b/>
          <w:sz w:val="24"/>
          <w:szCs w:val="24"/>
        </w:rPr>
        <w:tab/>
        <w:t>DENT</w:t>
      </w:r>
      <w:r w:rsidR="004B5BCE">
        <w:rPr>
          <w:rFonts w:cs="Times New Roman"/>
          <w:b/>
          <w:sz w:val="24"/>
          <w:szCs w:val="24"/>
        </w:rPr>
        <w:t>ISTRY ITEMS</w:t>
      </w:r>
      <w:r w:rsidR="004B5BCE">
        <w:rPr>
          <w:rFonts w:cs="Times New Roman"/>
          <w:b/>
          <w:sz w:val="24"/>
          <w:szCs w:val="24"/>
        </w:rPr>
        <w:tab/>
      </w:r>
      <w:r w:rsidR="004B5BCE">
        <w:rPr>
          <w:rFonts w:cs="Times New Roman"/>
          <w:b/>
          <w:sz w:val="24"/>
          <w:szCs w:val="24"/>
        </w:rPr>
        <w:tab/>
        <w:t xml:space="preserve">       </w:t>
      </w:r>
      <w:r>
        <w:rPr>
          <w:rFonts w:cs="Times New Roman"/>
          <w:b/>
          <w:sz w:val="24"/>
          <w:szCs w:val="24"/>
        </w:rPr>
        <w:t>FREQUENCY</w:t>
      </w:r>
    </w:p>
    <w:p w:rsidR="00327734" w:rsidRDefault="00327734" w:rsidP="00B34A34">
      <w:pPr>
        <w:rPr>
          <w:rFonts w:cs="Times New Roman"/>
          <w:b/>
          <w:sz w:val="24"/>
          <w:szCs w:val="24"/>
        </w:rPr>
      </w:pPr>
      <w:r>
        <w:rPr>
          <w:rFonts w:cs="Times New Roman"/>
          <w:b/>
          <w:sz w:val="24"/>
          <w:szCs w:val="24"/>
        </w:rPr>
        <w:tab/>
        <w:t>2.1</w:t>
      </w:r>
      <w:r>
        <w:rPr>
          <w:rFonts w:cs="Times New Roman"/>
          <w:b/>
          <w:sz w:val="24"/>
          <w:szCs w:val="24"/>
        </w:rPr>
        <w:tab/>
        <w:t>Ele</w:t>
      </w:r>
      <w:r w:rsidR="00676451">
        <w:rPr>
          <w:rFonts w:cs="Times New Roman"/>
          <w:b/>
          <w:sz w:val="24"/>
          <w:szCs w:val="24"/>
        </w:rPr>
        <w:t>c</w:t>
      </w:r>
      <w:r>
        <w:rPr>
          <w:rFonts w:cs="Times New Roman"/>
          <w:b/>
          <w:sz w:val="24"/>
          <w:szCs w:val="24"/>
        </w:rPr>
        <w:t>tric toothbrush</w:t>
      </w:r>
      <w:r>
        <w:rPr>
          <w:rFonts w:cs="Times New Roman"/>
          <w:b/>
          <w:sz w:val="24"/>
          <w:szCs w:val="24"/>
        </w:rPr>
        <w:tab/>
      </w:r>
      <w:r>
        <w:rPr>
          <w:rFonts w:cs="Times New Roman"/>
          <w:b/>
          <w:sz w:val="24"/>
          <w:szCs w:val="24"/>
        </w:rPr>
        <w:tab/>
      </w:r>
      <w:r w:rsidR="00F10348">
        <w:rPr>
          <w:rFonts w:cs="Times New Roman"/>
          <w:b/>
          <w:sz w:val="24"/>
          <w:szCs w:val="24"/>
        </w:rPr>
        <w:t xml:space="preserve">       </w:t>
      </w:r>
      <w:r>
        <w:rPr>
          <w:rFonts w:cs="Times New Roman"/>
          <w:b/>
          <w:sz w:val="24"/>
          <w:szCs w:val="24"/>
        </w:rPr>
        <w:t>Every 2 years for life</w:t>
      </w:r>
    </w:p>
    <w:p w:rsidR="00327734" w:rsidRDefault="00327734" w:rsidP="00B34A34">
      <w:pPr>
        <w:rPr>
          <w:rFonts w:cs="Times New Roman"/>
          <w:b/>
          <w:sz w:val="24"/>
          <w:szCs w:val="24"/>
        </w:rPr>
      </w:pPr>
      <w:r>
        <w:rPr>
          <w:rFonts w:cs="Times New Roman"/>
          <w:b/>
          <w:sz w:val="24"/>
          <w:szCs w:val="24"/>
        </w:rPr>
        <w:tab/>
        <w:t>2.2</w:t>
      </w:r>
      <w:r>
        <w:rPr>
          <w:rFonts w:cs="Times New Roman"/>
          <w:b/>
          <w:sz w:val="24"/>
          <w:szCs w:val="24"/>
        </w:rPr>
        <w:tab/>
        <w:t>Rep</w:t>
      </w:r>
      <w:r w:rsidR="00676451">
        <w:rPr>
          <w:rFonts w:cs="Times New Roman"/>
          <w:b/>
          <w:sz w:val="24"/>
          <w:szCs w:val="24"/>
        </w:rPr>
        <w:t>l</w:t>
      </w:r>
      <w:r>
        <w:rPr>
          <w:rFonts w:cs="Times New Roman"/>
          <w:b/>
          <w:sz w:val="24"/>
          <w:szCs w:val="24"/>
        </w:rPr>
        <w:t>acement heads</w:t>
      </w:r>
      <w:r>
        <w:rPr>
          <w:rFonts w:cs="Times New Roman"/>
          <w:b/>
          <w:sz w:val="24"/>
          <w:szCs w:val="24"/>
        </w:rPr>
        <w:tab/>
      </w:r>
      <w:r>
        <w:rPr>
          <w:rFonts w:cs="Times New Roman"/>
          <w:b/>
          <w:sz w:val="24"/>
          <w:szCs w:val="24"/>
        </w:rPr>
        <w:tab/>
      </w:r>
      <w:r w:rsidR="00F10348">
        <w:rPr>
          <w:rFonts w:cs="Times New Roman"/>
          <w:b/>
          <w:sz w:val="24"/>
          <w:szCs w:val="24"/>
        </w:rPr>
        <w:t xml:space="preserve">       </w:t>
      </w:r>
      <w:r>
        <w:rPr>
          <w:rFonts w:cs="Times New Roman"/>
          <w:b/>
          <w:sz w:val="24"/>
          <w:szCs w:val="24"/>
        </w:rPr>
        <w:t>Every 3 months for life</w:t>
      </w:r>
    </w:p>
    <w:p w:rsidR="00327734" w:rsidRDefault="00327734" w:rsidP="00B34A34">
      <w:pPr>
        <w:rPr>
          <w:rFonts w:cs="Times New Roman"/>
          <w:b/>
          <w:sz w:val="24"/>
          <w:szCs w:val="24"/>
        </w:rPr>
      </w:pPr>
      <w:r>
        <w:rPr>
          <w:rFonts w:cs="Times New Roman"/>
          <w:b/>
          <w:sz w:val="24"/>
          <w:szCs w:val="24"/>
        </w:rPr>
        <w:tab/>
        <w:t>2.3</w:t>
      </w:r>
      <w:r>
        <w:rPr>
          <w:rFonts w:cs="Times New Roman"/>
          <w:b/>
          <w:sz w:val="24"/>
          <w:szCs w:val="24"/>
        </w:rPr>
        <w:tab/>
        <w:t>Hand held brush</w:t>
      </w:r>
      <w:r>
        <w:rPr>
          <w:rFonts w:cs="Times New Roman"/>
          <w:b/>
          <w:sz w:val="24"/>
          <w:szCs w:val="24"/>
        </w:rPr>
        <w:tab/>
      </w:r>
      <w:r>
        <w:rPr>
          <w:rFonts w:cs="Times New Roman"/>
          <w:b/>
          <w:sz w:val="24"/>
          <w:szCs w:val="24"/>
        </w:rPr>
        <w:tab/>
      </w:r>
      <w:r w:rsidR="00F10348">
        <w:rPr>
          <w:rFonts w:cs="Times New Roman"/>
          <w:b/>
          <w:sz w:val="24"/>
          <w:szCs w:val="24"/>
        </w:rPr>
        <w:t xml:space="preserve">       </w:t>
      </w:r>
      <w:r>
        <w:rPr>
          <w:rFonts w:cs="Times New Roman"/>
          <w:b/>
          <w:sz w:val="24"/>
          <w:szCs w:val="24"/>
        </w:rPr>
        <w:t>3 x annually for life</w:t>
      </w:r>
    </w:p>
    <w:p w:rsidR="00327734" w:rsidRDefault="00327734" w:rsidP="00B34A34">
      <w:pPr>
        <w:rPr>
          <w:rFonts w:cs="Times New Roman"/>
          <w:b/>
          <w:sz w:val="24"/>
          <w:szCs w:val="24"/>
        </w:rPr>
      </w:pPr>
      <w:r>
        <w:rPr>
          <w:rFonts w:cs="Times New Roman"/>
          <w:b/>
          <w:sz w:val="24"/>
          <w:szCs w:val="24"/>
        </w:rPr>
        <w:tab/>
        <w:t>2.4</w:t>
      </w:r>
      <w:r>
        <w:rPr>
          <w:rFonts w:cs="Times New Roman"/>
          <w:b/>
          <w:sz w:val="24"/>
          <w:szCs w:val="24"/>
        </w:rPr>
        <w:tab/>
        <w:t xml:space="preserve">Toothpaste </w:t>
      </w:r>
      <w:r>
        <w:rPr>
          <w:rFonts w:cs="Times New Roman"/>
          <w:b/>
          <w:sz w:val="24"/>
          <w:szCs w:val="24"/>
        </w:rPr>
        <w:tab/>
      </w:r>
      <w:r>
        <w:rPr>
          <w:rFonts w:cs="Times New Roman"/>
          <w:b/>
          <w:sz w:val="24"/>
          <w:szCs w:val="24"/>
        </w:rPr>
        <w:tab/>
      </w:r>
      <w:r>
        <w:rPr>
          <w:rFonts w:cs="Times New Roman"/>
          <w:b/>
          <w:sz w:val="24"/>
          <w:szCs w:val="24"/>
        </w:rPr>
        <w:tab/>
      </w:r>
      <w:r w:rsidR="00F10348">
        <w:rPr>
          <w:rFonts w:cs="Times New Roman"/>
          <w:b/>
          <w:sz w:val="24"/>
          <w:szCs w:val="24"/>
        </w:rPr>
        <w:t xml:space="preserve">       </w:t>
      </w:r>
      <w:r>
        <w:rPr>
          <w:rFonts w:cs="Times New Roman"/>
          <w:b/>
          <w:sz w:val="24"/>
          <w:szCs w:val="24"/>
        </w:rPr>
        <w:t>Annually for life</w:t>
      </w:r>
    </w:p>
    <w:p w:rsidR="00327734" w:rsidRDefault="00327734" w:rsidP="00B34A34">
      <w:pPr>
        <w:rPr>
          <w:rFonts w:cs="Times New Roman"/>
          <w:b/>
          <w:sz w:val="24"/>
          <w:szCs w:val="24"/>
        </w:rPr>
      </w:pPr>
      <w:r>
        <w:rPr>
          <w:rFonts w:cs="Times New Roman"/>
          <w:b/>
          <w:sz w:val="24"/>
          <w:szCs w:val="24"/>
        </w:rPr>
        <w:tab/>
      </w:r>
    </w:p>
    <w:p w:rsidR="00327734" w:rsidRDefault="00327734" w:rsidP="00B34A34">
      <w:pPr>
        <w:rPr>
          <w:rFonts w:cs="Times New Roman"/>
          <w:b/>
          <w:sz w:val="24"/>
          <w:szCs w:val="24"/>
        </w:rPr>
      </w:pPr>
      <w:r>
        <w:rPr>
          <w:rFonts w:cs="Times New Roman"/>
          <w:b/>
          <w:sz w:val="24"/>
          <w:szCs w:val="24"/>
        </w:rPr>
        <w:t>3</w:t>
      </w:r>
      <w:r>
        <w:rPr>
          <w:rFonts w:cs="Times New Roman"/>
          <w:b/>
          <w:sz w:val="24"/>
          <w:szCs w:val="24"/>
        </w:rPr>
        <w:tab/>
      </w:r>
      <w:r w:rsidR="00904587">
        <w:rPr>
          <w:rFonts w:cs="Times New Roman"/>
          <w:b/>
          <w:sz w:val="24"/>
          <w:szCs w:val="24"/>
        </w:rPr>
        <w:t>ORTHOTIC TEMS</w:t>
      </w:r>
      <w:r w:rsidR="00904587">
        <w:rPr>
          <w:rFonts w:cs="Times New Roman"/>
          <w:b/>
          <w:sz w:val="24"/>
          <w:szCs w:val="24"/>
        </w:rPr>
        <w:tab/>
      </w:r>
      <w:r w:rsidR="00904587">
        <w:rPr>
          <w:rFonts w:cs="Times New Roman"/>
          <w:b/>
          <w:sz w:val="24"/>
          <w:szCs w:val="24"/>
        </w:rPr>
        <w:tab/>
        <w:t xml:space="preserve">       </w:t>
      </w:r>
      <w:r w:rsidR="00AE5DA2">
        <w:rPr>
          <w:rFonts w:cs="Times New Roman"/>
          <w:b/>
          <w:sz w:val="24"/>
          <w:szCs w:val="24"/>
        </w:rPr>
        <w:t xml:space="preserve">  </w:t>
      </w:r>
      <w:r w:rsidR="00BB76F3">
        <w:rPr>
          <w:rFonts w:cs="Times New Roman"/>
          <w:b/>
          <w:sz w:val="24"/>
          <w:szCs w:val="24"/>
        </w:rPr>
        <w:t xml:space="preserve">  </w:t>
      </w:r>
      <w:r w:rsidR="001404A7">
        <w:rPr>
          <w:rFonts w:cs="Times New Roman"/>
          <w:b/>
          <w:sz w:val="24"/>
          <w:szCs w:val="24"/>
        </w:rPr>
        <w:t>FREQUENCY</w:t>
      </w:r>
    </w:p>
    <w:p w:rsidR="001404A7" w:rsidRDefault="001404A7" w:rsidP="00BB76F3">
      <w:pPr>
        <w:ind w:left="720"/>
        <w:rPr>
          <w:rFonts w:cs="Times New Roman"/>
          <w:b/>
          <w:sz w:val="24"/>
          <w:szCs w:val="24"/>
        </w:rPr>
      </w:pPr>
      <w:r>
        <w:rPr>
          <w:rFonts w:cs="Times New Roman"/>
          <w:b/>
          <w:sz w:val="24"/>
          <w:szCs w:val="24"/>
        </w:rPr>
        <w:t>3.1</w:t>
      </w:r>
      <w:r>
        <w:rPr>
          <w:rFonts w:cs="Times New Roman"/>
          <w:b/>
          <w:sz w:val="24"/>
          <w:szCs w:val="24"/>
        </w:rPr>
        <w:tab/>
        <w:t>AFOs</w:t>
      </w:r>
      <w:r>
        <w:rPr>
          <w:rFonts w:cs="Times New Roman"/>
          <w:b/>
          <w:sz w:val="24"/>
          <w:szCs w:val="24"/>
        </w:rPr>
        <w:tab/>
      </w:r>
      <w:r>
        <w:rPr>
          <w:rFonts w:cs="Times New Roman"/>
          <w:b/>
          <w:sz w:val="24"/>
          <w:szCs w:val="24"/>
        </w:rPr>
        <w:tab/>
      </w:r>
      <w:r>
        <w:rPr>
          <w:rFonts w:cs="Times New Roman"/>
          <w:b/>
          <w:sz w:val="24"/>
          <w:szCs w:val="24"/>
        </w:rPr>
        <w:tab/>
        <w:t xml:space="preserve">        </w:t>
      </w:r>
      <w:r w:rsidR="00AE5DA2">
        <w:rPr>
          <w:rFonts w:cs="Times New Roman"/>
          <w:b/>
          <w:sz w:val="24"/>
          <w:szCs w:val="24"/>
        </w:rPr>
        <w:t xml:space="preserve">  </w:t>
      </w:r>
      <w:r w:rsidR="00BB76F3">
        <w:rPr>
          <w:rFonts w:cs="Times New Roman"/>
          <w:b/>
          <w:sz w:val="24"/>
          <w:szCs w:val="24"/>
        </w:rPr>
        <w:t xml:space="preserve"> </w:t>
      </w:r>
      <w:r>
        <w:rPr>
          <w:rFonts w:cs="Times New Roman"/>
          <w:b/>
          <w:sz w:val="24"/>
          <w:szCs w:val="24"/>
        </w:rPr>
        <w:t>Replaced every 2 years until the age of 18 years</w:t>
      </w:r>
    </w:p>
    <w:p w:rsidR="001404A7" w:rsidRDefault="001404A7" w:rsidP="00B34A34">
      <w:pPr>
        <w:rPr>
          <w:rFonts w:cs="Times New Roman"/>
          <w:b/>
          <w:sz w:val="24"/>
          <w:szCs w:val="24"/>
        </w:rPr>
      </w:pPr>
      <w:r>
        <w:rPr>
          <w:rFonts w:cs="Times New Roman"/>
          <w:b/>
          <w:sz w:val="24"/>
          <w:szCs w:val="24"/>
        </w:rPr>
        <w:tab/>
        <w:t>3.2</w:t>
      </w:r>
      <w:r>
        <w:rPr>
          <w:rFonts w:cs="Times New Roman"/>
          <w:b/>
          <w:sz w:val="24"/>
          <w:szCs w:val="24"/>
        </w:rPr>
        <w:tab/>
        <w:t>AFOs</w:t>
      </w:r>
      <w:r>
        <w:rPr>
          <w:rFonts w:cs="Times New Roman"/>
          <w:b/>
          <w:sz w:val="24"/>
          <w:szCs w:val="24"/>
        </w:rPr>
        <w:tab/>
      </w:r>
      <w:r>
        <w:rPr>
          <w:rFonts w:cs="Times New Roman"/>
          <w:b/>
          <w:sz w:val="24"/>
          <w:szCs w:val="24"/>
        </w:rPr>
        <w:tab/>
      </w:r>
      <w:r>
        <w:rPr>
          <w:rFonts w:cs="Times New Roman"/>
          <w:b/>
          <w:sz w:val="24"/>
          <w:szCs w:val="24"/>
        </w:rPr>
        <w:tab/>
        <w:t xml:space="preserve">       </w:t>
      </w:r>
      <w:r w:rsidR="00AE5DA2">
        <w:rPr>
          <w:rFonts w:cs="Times New Roman"/>
          <w:b/>
          <w:sz w:val="24"/>
          <w:szCs w:val="24"/>
        </w:rPr>
        <w:t xml:space="preserve">  </w:t>
      </w:r>
      <w:r>
        <w:rPr>
          <w:rFonts w:cs="Times New Roman"/>
          <w:b/>
          <w:sz w:val="24"/>
          <w:szCs w:val="24"/>
        </w:rPr>
        <w:t xml:space="preserve"> </w:t>
      </w:r>
      <w:r w:rsidR="00BB76F3">
        <w:rPr>
          <w:rFonts w:cs="Times New Roman"/>
          <w:b/>
          <w:sz w:val="24"/>
          <w:szCs w:val="24"/>
        </w:rPr>
        <w:t xml:space="preserve"> </w:t>
      </w:r>
      <w:r>
        <w:rPr>
          <w:rFonts w:cs="Times New Roman"/>
          <w:b/>
          <w:sz w:val="24"/>
          <w:szCs w:val="24"/>
        </w:rPr>
        <w:t>Replaced every 4 years after 18 years for life</w:t>
      </w:r>
    </w:p>
    <w:p w:rsidR="001404A7" w:rsidRDefault="001404A7" w:rsidP="00B34A34">
      <w:pPr>
        <w:rPr>
          <w:rFonts w:cs="Times New Roman"/>
          <w:b/>
          <w:sz w:val="24"/>
          <w:szCs w:val="24"/>
        </w:rPr>
      </w:pPr>
      <w:r>
        <w:rPr>
          <w:rFonts w:cs="Times New Roman"/>
          <w:b/>
          <w:sz w:val="24"/>
          <w:szCs w:val="24"/>
        </w:rPr>
        <w:tab/>
        <w:t>3.3</w:t>
      </w:r>
      <w:r>
        <w:rPr>
          <w:rFonts w:cs="Times New Roman"/>
          <w:b/>
          <w:sz w:val="24"/>
          <w:szCs w:val="24"/>
        </w:rPr>
        <w:tab/>
        <w:t>AFO straps/strings</w:t>
      </w:r>
      <w:r>
        <w:rPr>
          <w:rFonts w:cs="Times New Roman"/>
          <w:b/>
          <w:sz w:val="24"/>
          <w:szCs w:val="24"/>
        </w:rPr>
        <w:tab/>
        <w:t xml:space="preserve">        </w:t>
      </w:r>
      <w:r w:rsidR="00AE5DA2">
        <w:rPr>
          <w:rFonts w:cs="Times New Roman"/>
          <w:b/>
          <w:sz w:val="24"/>
          <w:szCs w:val="24"/>
        </w:rPr>
        <w:t xml:space="preserve">  </w:t>
      </w:r>
      <w:r>
        <w:rPr>
          <w:rFonts w:cs="Times New Roman"/>
          <w:b/>
          <w:sz w:val="24"/>
          <w:szCs w:val="24"/>
        </w:rPr>
        <w:t>Annually for life</w:t>
      </w:r>
    </w:p>
    <w:p w:rsidR="001404A7" w:rsidRDefault="001404A7" w:rsidP="00B34A34">
      <w:pPr>
        <w:rPr>
          <w:rFonts w:cs="Times New Roman"/>
          <w:b/>
          <w:sz w:val="24"/>
          <w:szCs w:val="24"/>
        </w:rPr>
      </w:pPr>
      <w:r>
        <w:rPr>
          <w:rFonts w:cs="Times New Roman"/>
          <w:b/>
          <w:sz w:val="24"/>
          <w:szCs w:val="24"/>
        </w:rPr>
        <w:tab/>
        <w:t>3.4</w:t>
      </w:r>
      <w:r>
        <w:rPr>
          <w:rFonts w:cs="Times New Roman"/>
          <w:b/>
          <w:sz w:val="24"/>
          <w:szCs w:val="24"/>
        </w:rPr>
        <w:tab/>
        <w:t>Ortho footwear to 18</w:t>
      </w:r>
      <w:r>
        <w:rPr>
          <w:rFonts w:cs="Times New Roman"/>
          <w:b/>
          <w:sz w:val="24"/>
          <w:szCs w:val="24"/>
        </w:rPr>
        <w:tab/>
        <w:t xml:space="preserve">        </w:t>
      </w:r>
      <w:r w:rsidR="00AE5DA2">
        <w:rPr>
          <w:rFonts w:cs="Times New Roman"/>
          <w:b/>
          <w:sz w:val="24"/>
          <w:szCs w:val="24"/>
        </w:rPr>
        <w:t xml:space="preserve">  </w:t>
      </w:r>
      <w:r>
        <w:rPr>
          <w:rFonts w:cs="Times New Roman"/>
          <w:b/>
          <w:sz w:val="24"/>
          <w:szCs w:val="24"/>
        </w:rPr>
        <w:t>Annually until 18 years</w:t>
      </w:r>
    </w:p>
    <w:p w:rsidR="001404A7" w:rsidRDefault="001404A7" w:rsidP="00B34A34">
      <w:pPr>
        <w:rPr>
          <w:rFonts w:cs="Times New Roman"/>
          <w:b/>
          <w:sz w:val="24"/>
          <w:szCs w:val="24"/>
        </w:rPr>
      </w:pPr>
      <w:r>
        <w:rPr>
          <w:rFonts w:cs="Times New Roman"/>
          <w:b/>
          <w:sz w:val="24"/>
          <w:szCs w:val="24"/>
        </w:rPr>
        <w:tab/>
        <w:t>3.5</w:t>
      </w:r>
      <w:r>
        <w:rPr>
          <w:rFonts w:cs="Times New Roman"/>
          <w:b/>
          <w:sz w:val="24"/>
          <w:szCs w:val="24"/>
        </w:rPr>
        <w:tab/>
        <w:t>Ortho footwear 19+</w:t>
      </w:r>
      <w:r>
        <w:rPr>
          <w:rFonts w:cs="Times New Roman"/>
          <w:b/>
          <w:sz w:val="24"/>
          <w:szCs w:val="24"/>
        </w:rPr>
        <w:tab/>
        <w:t xml:space="preserve">         </w:t>
      </w:r>
      <w:r w:rsidR="00AE5DA2">
        <w:rPr>
          <w:rFonts w:cs="Times New Roman"/>
          <w:b/>
          <w:sz w:val="24"/>
          <w:szCs w:val="24"/>
        </w:rPr>
        <w:t xml:space="preserve"> </w:t>
      </w:r>
      <w:r w:rsidR="003B499B">
        <w:rPr>
          <w:rFonts w:cs="Times New Roman"/>
          <w:b/>
          <w:sz w:val="24"/>
          <w:szCs w:val="24"/>
        </w:rPr>
        <w:t xml:space="preserve"> </w:t>
      </w:r>
      <w:r>
        <w:rPr>
          <w:rFonts w:cs="Times New Roman"/>
          <w:b/>
          <w:sz w:val="24"/>
          <w:szCs w:val="24"/>
        </w:rPr>
        <w:t>Every 2 years from 19 for life</w:t>
      </w:r>
    </w:p>
    <w:p w:rsidR="001404A7" w:rsidRDefault="001404A7" w:rsidP="00B34A34">
      <w:pPr>
        <w:rPr>
          <w:rFonts w:cs="Times New Roman"/>
          <w:b/>
          <w:sz w:val="24"/>
          <w:szCs w:val="24"/>
        </w:rPr>
      </w:pPr>
      <w:r>
        <w:rPr>
          <w:rFonts w:cs="Times New Roman"/>
          <w:b/>
          <w:sz w:val="24"/>
          <w:szCs w:val="24"/>
        </w:rPr>
        <w:tab/>
        <w:t>3.6</w:t>
      </w:r>
      <w:r>
        <w:rPr>
          <w:rFonts w:cs="Times New Roman"/>
          <w:b/>
          <w:sz w:val="24"/>
          <w:szCs w:val="24"/>
        </w:rPr>
        <w:tab/>
        <w:t>Footwear tuning</w:t>
      </w:r>
      <w:r>
        <w:rPr>
          <w:rFonts w:cs="Times New Roman"/>
          <w:b/>
          <w:sz w:val="24"/>
          <w:szCs w:val="24"/>
        </w:rPr>
        <w:tab/>
        <w:t xml:space="preserve">        </w:t>
      </w:r>
      <w:r w:rsidR="003B499B">
        <w:rPr>
          <w:rFonts w:cs="Times New Roman"/>
          <w:b/>
          <w:sz w:val="24"/>
          <w:szCs w:val="24"/>
        </w:rPr>
        <w:t xml:space="preserve">  </w:t>
      </w:r>
      <w:r>
        <w:rPr>
          <w:rFonts w:cs="Times New Roman"/>
          <w:b/>
          <w:sz w:val="24"/>
          <w:szCs w:val="24"/>
        </w:rPr>
        <w:t xml:space="preserve"> Once off and then if and when required</w:t>
      </w:r>
    </w:p>
    <w:p w:rsidR="001404A7" w:rsidRDefault="001404A7" w:rsidP="00B34A34">
      <w:pPr>
        <w:rPr>
          <w:rFonts w:cs="Times New Roman"/>
          <w:b/>
          <w:sz w:val="24"/>
          <w:szCs w:val="24"/>
        </w:rPr>
      </w:pPr>
      <w:r>
        <w:rPr>
          <w:rFonts w:cs="Times New Roman"/>
          <w:b/>
          <w:sz w:val="24"/>
          <w:szCs w:val="24"/>
        </w:rPr>
        <w:tab/>
        <w:t>3.7</w:t>
      </w:r>
      <w:r>
        <w:rPr>
          <w:rFonts w:cs="Times New Roman"/>
          <w:b/>
          <w:sz w:val="24"/>
          <w:szCs w:val="24"/>
        </w:rPr>
        <w:tab/>
      </w:r>
      <w:proofErr w:type="spellStart"/>
      <w:r>
        <w:rPr>
          <w:rFonts w:cs="Times New Roman"/>
          <w:b/>
          <w:sz w:val="24"/>
          <w:szCs w:val="24"/>
        </w:rPr>
        <w:t>Leckey</w:t>
      </w:r>
      <w:proofErr w:type="spellEnd"/>
      <w:r>
        <w:rPr>
          <w:rFonts w:cs="Times New Roman"/>
          <w:b/>
          <w:sz w:val="24"/>
          <w:szCs w:val="24"/>
        </w:rPr>
        <w:t xml:space="preserve"> horizontal stander   Every 10 years for life</w:t>
      </w:r>
    </w:p>
    <w:p w:rsidR="001404A7" w:rsidRDefault="00453C74" w:rsidP="00B34A34">
      <w:pPr>
        <w:rPr>
          <w:rFonts w:cs="Times New Roman"/>
          <w:b/>
          <w:sz w:val="24"/>
          <w:szCs w:val="24"/>
        </w:rPr>
      </w:pPr>
      <w:r>
        <w:rPr>
          <w:rFonts w:cs="Times New Roman"/>
          <w:b/>
          <w:sz w:val="24"/>
          <w:szCs w:val="24"/>
        </w:rPr>
        <w:tab/>
        <w:t>3.8</w:t>
      </w:r>
      <w:r>
        <w:rPr>
          <w:rFonts w:cs="Times New Roman"/>
          <w:b/>
          <w:sz w:val="24"/>
          <w:szCs w:val="24"/>
        </w:rPr>
        <w:tab/>
        <w:t>Splints to 18</w:t>
      </w:r>
      <w:r w:rsidR="001404A7">
        <w:rPr>
          <w:rFonts w:cs="Times New Roman"/>
          <w:b/>
          <w:sz w:val="24"/>
          <w:szCs w:val="24"/>
        </w:rPr>
        <w:tab/>
      </w:r>
      <w:r w:rsidR="001404A7">
        <w:rPr>
          <w:rFonts w:cs="Times New Roman"/>
          <w:b/>
          <w:sz w:val="24"/>
          <w:szCs w:val="24"/>
        </w:rPr>
        <w:tab/>
      </w:r>
      <w:r w:rsidR="001404A7">
        <w:rPr>
          <w:rFonts w:cs="Times New Roman"/>
          <w:b/>
          <w:sz w:val="24"/>
          <w:szCs w:val="24"/>
        </w:rPr>
        <w:tab/>
        <w:t>Every 2 years until 18</w:t>
      </w:r>
    </w:p>
    <w:p w:rsidR="001404A7" w:rsidRDefault="001404A7" w:rsidP="00B34A34">
      <w:pPr>
        <w:rPr>
          <w:rFonts w:cs="Times New Roman"/>
          <w:b/>
          <w:sz w:val="24"/>
          <w:szCs w:val="24"/>
        </w:rPr>
      </w:pPr>
      <w:r>
        <w:rPr>
          <w:rFonts w:cs="Times New Roman"/>
          <w:b/>
          <w:sz w:val="24"/>
          <w:szCs w:val="24"/>
        </w:rPr>
        <w:tab/>
        <w:t>3.9</w:t>
      </w:r>
      <w:r>
        <w:rPr>
          <w:rFonts w:cs="Times New Roman"/>
          <w:b/>
          <w:sz w:val="24"/>
          <w:szCs w:val="24"/>
        </w:rPr>
        <w:tab/>
        <w:t>Splints 19+</w:t>
      </w:r>
      <w:r>
        <w:rPr>
          <w:rFonts w:cs="Times New Roman"/>
          <w:b/>
          <w:sz w:val="24"/>
          <w:szCs w:val="24"/>
        </w:rPr>
        <w:tab/>
      </w:r>
      <w:r>
        <w:rPr>
          <w:rFonts w:cs="Times New Roman"/>
          <w:b/>
          <w:sz w:val="24"/>
          <w:szCs w:val="24"/>
        </w:rPr>
        <w:tab/>
      </w:r>
      <w:r>
        <w:rPr>
          <w:rFonts w:cs="Times New Roman"/>
          <w:b/>
          <w:sz w:val="24"/>
          <w:szCs w:val="24"/>
        </w:rPr>
        <w:tab/>
      </w:r>
      <w:r w:rsidR="00EF5CDF">
        <w:rPr>
          <w:rFonts w:cs="Times New Roman"/>
          <w:b/>
          <w:sz w:val="24"/>
          <w:szCs w:val="24"/>
        </w:rPr>
        <w:t>Every 4 years from 19 for life</w:t>
      </w:r>
    </w:p>
    <w:p w:rsidR="00EF5CDF" w:rsidRDefault="00EF5CDF" w:rsidP="00B34A34">
      <w:pPr>
        <w:rPr>
          <w:rFonts w:cs="Times New Roman"/>
          <w:b/>
          <w:sz w:val="24"/>
          <w:szCs w:val="24"/>
        </w:rPr>
      </w:pPr>
      <w:r>
        <w:rPr>
          <w:rFonts w:cs="Times New Roman"/>
          <w:b/>
          <w:sz w:val="24"/>
          <w:szCs w:val="24"/>
        </w:rPr>
        <w:tab/>
        <w:t>3.19</w:t>
      </w:r>
      <w:r>
        <w:rPr>
          <w:rFonts w:cs="Times New Roman"/>
          <w:b/>
          <w:sz w:val="24"/>
          <w:szCs w:val="24"/>
        </w:rPr>
        <w:tab/>
        <w:t>Hydraulic Hoist</w:t>
      </w:r>
      <w:r>
        <w:rPr>
          <w:rFonts w:cs="Times New Roman"/>
          <w:b/>
          <w:sz w:val="24"/>
          <w:szCs w:val="24"/>
        </w:rPr>
        <w:tab/>
      </w:r>
      <w:r>
        <w:rPr>
          <w:rFonts w:cs="Times New Roman"/>
          <w:b/>
          <w:sz w:val="24"/>
          <w:szCs w:val="24"/>
        </w:rPr>
        <w:tab/>
        <w:t>Once off</w:t>
      </w:r>
    </w:p>
    <w:p w:rsidR="00EF5CDF" w:rsidRDefault="00EF5CDF" w:rsidP="00B34A34">
      <w:pPr>
        <w:rPr>
          <w:rFonts w:cs="Times New Roman"/>
          <w:b/>
          <w:sz w:val="24"/>
          <w:szCs w:val="24"/>
        </w:rPr>
      </w:pPr>
      <w:r>
        <w:rPr>
          <w:rFonts w:cs="Times New Roman"/>
          <w:b/>
          <w:sz w:val="24"/>
          <w:szCs w:val="24"/>
        </w:rPr>
        <w:lastRenderedPageBreak/>
        <w:tab/>
        <w:t>3.11</w:t>
      </w:r>
      <w:r>
        <w:rPr>
          <w:rFonts w:cs="Times New Roman"/>
          <w:b/>
          <w:sz w:val="24"/>
          <w:szCs w:val="24"/>
        </w:rPr>
        <w:tab/>
        <w:t>Sling</w:t>
      </w:r>
      <w:r>
        <w:rPr>
          <w:rFonts w:cs="Times New Roman"/>
          <w:b/>
          <w:sz w:val="24"/>
          <w:szCs w:val="24"/>
        </w:rPr>
        <w:tab/>
      </w:r>
      <w:r>
        <w:rPr>
          <w:rFonts w:cs="Times New Roman"/>
          <w:b/>
          <w:sz w:val="24"/>
          <w:szCs w:val="24"/>
        </w:rPr>
        <w:tab/>
      </w:r>
      <w:r>
        <w:rPr>
          <w:rFonts w:cs="Times New Roman"/>
          <w:b/>
          <w:sz w:val="24"/>
          <w:szCs w:val="24"/>
        </w:rPr>
        <w:tab/>
        <w:t xml:space="preserve"> </w:t>
      </w:r>
      <w:r>
        <w:rPr>
          <w:rFonts w:cs="Times New Roman"/>
          <w:b/>
          <w:sz w:val="24"/>
          <w:szCs w:val="24"/>
        </w:rPr>
        <w:tab/>
        <w:t>Every 5 years for life</w:t>
      </w:r>
    </w:p>
    <w:p w:rsidR="00EF5CDF" w:rsidRDefault="00EF5CDF" w:rsidP="00B34A34">
      <w:pPr>
        <w:rPr>
          <w:rFonts w:cs="Times New Roman"/>
          <w:b/>
          <w:sz w:val="24"/>
          <w:szCs w:val="24"/>
        </w:rPr>
      </w:pPr>
      <w:r>
        <w:rPr>
          <w:rFonts w:cs="Times New Roman"/>
          <w:b/>
          <w:sz w:val="24"/>
          <w:szCs w:val="24"/>
        </w:rPr>
        <w:tab/>
      </w:r>
      <w:r w:rsidR="006E0AEF">
        <w:rPr>
          <w:rFonts w:cs="Times New Roman"/>
          <w:b/>
          <w:sz w:val="24"/>
          <w:szCs w:val="24"/>
        </w:rPr>
        <w:t>3.12</w:t>
      </w:r>
      <w:r w:rsidR="006E0AEF">
        <w:rPr>
          <w:rFonts w:cs="Times New Roman"/>
          <w:b/>
          <w:sz w:val="24"/>
          <w:szCs w:val="24"/>
        </w:rPr>
        <w:tab/>
        <w:t>Car safety chair</w:t>
      </w:r>
      <w:r w:rsidR="006E0AEF">
        <w:rPr>
          <w:rFonts w:cs="Times New Roman"/>
          <w:b/>
          <w:sz w:val="24"/>
          <w:szCs w:val="24"/>
        </w:rPr>
        <w:tab/>
      </w:r>
      <w:r w:rsidR="006E0AEF">
        <w:rPr>
          <w:rFonts w:cs="Times New Roman"/>
          <w:b/>
          <w:sz w:val="24"/>
          <w:szCs w:val="24"/>
        </w:rPr>
        <w:tab/>
        <w:t>1 in childhood, 1 in teens, 1 in adulthood</w:t>
      </w:r>
    </w:p>
    <w:p w:rsidR="006E0AEF" w:rsidRDefault="006E0AEF" w:rsidP="00B34A34">
      <w:pPr>
        <w:rPr>
          <w:rFonts w:cs="Times New Roman"/>
          <w:b/>
          <w:sz w:val="24"/>
          <w:szCs w:val="24"/>
        </w:rPr>
      </w:pPr>
      <w:r>
        <w:rPr>
          <w:rFonts w:cs="Times New Roman"/>
          <w:b/>
          <w:sz w:val="24"/>
          <w:szCs w:val="24"/>
        </w:rPr>
        <w:tab/>
        <w:t>3.13</w:t>
      </w:r>
      <w:r>
        <w:rPr>
          <w:rFonts w:cs="Times New Roman"/>
          <w:b/>
          <w:sz w:val="24"/>
          <w:szCs w:val="24"/>
        </w:rPr>
        <w:tab/>
      </w:r>
      <w:proofErr w:type="spellStart"/>
      <w:r>
        <w:rPr>
          <w:rFonts w:cs="Times New Roman"/>
          <w:b/>
          <w:sz w:val="24"/>
          <w:szCs w:val="24"/>
        </w:rPr>
        <w:t>Wproof</w:t>
      </w:r>
      <w:proofErr w:type="spellEnd"/>
      <w:r>
        <w:rPr>
          <w:rFonts w:cs="Times New Roman"/>
          <w:b/>
          <w:sz w:val="24"/>
          <w:szCs w:val="24"/>
        </w:rPr>
        <w:t xml:space="preserve"> bed sheet</w:t>
      </w:r>
      <w:r>
        <w:rPr>
          <w:rFonts w:cs="Times New Roman"/>
          <w:b/>
          <w:sz w:val="24"/>
          <w:szCs w:val="24"/>
        </w:rPr>
        <w:tab/>
      </w:r>
      <w:r>
        <w:rPr>
          <w:rFonts w:cs="Times New Roman"/>
          <w:b/>
          <w:sz w:val="24"/>
          <w:szCs w:val="24"/>
        </w:rPr>
        <w:tab/>
        <w:t>E</w:t>
      </w:r>
      <w:r w:rsidR="00C40D55">
        <w:rPr>
          <w:rFonts w:cs="Times New Roman"/>
          <w:b/>
          <w:sz w:val="24"/>
          <w:szCs w:val="24"/>
        </w:rPr>
        <w:t xml:space="preserve">very 2 </w:t>
      </w:r>
      <w:r>
        <w:rPr>
          <w:rFonts w:cs="Times New Roman"/>
          <w:b/>
          <w:sz w:val="24"/>
          <w:szCs w:val="24"/>
        </w:rPr>
        <w:t>years for life</w:t>
      </w:r>
    </w:p>
    <w:p w:rsidR="00C40D55" w:rsidRDefault="00C40D55" w:rsidP="00B34A34">
      <w:pPr>
        <w:rPr>
          <w:rFonts w:cs="Times New Roman"/>
          <w:b/>
          <w:sz w:val="24"/>
          <w:szCs w:val="24"/>
        </w:rPr>
      </w:pPr>
      <w:r>
        <w:rPr>
          <w:rFonts w:cs="Times New Roman"/>
          <w:b/>
          <w:sz w:val="24"/>
          <w:szCs w:val="24"/>
        </w:rPr>
        <w:tab/>
        <w:t>3.14</w:t>
      </w:r>
      <w:r>
        <w:rPr>
          <w:rFonts w:cs="Times New Roman"/>
          <w:b/>
          <w:sz w:val="24"/>
          <w:szCs w:val="24"/>
        </w:rPr>
        <w:tab/>
        <w:t>Shower chair</w:t>
      </w:r>
      <w:r>
        <w:rPr>
          <w:rFonts w:cs="Times New Roman"/>
          <w:b/>
          <w:sz w:val="24"/>
          <w:szCs w:val="24"/>
        </w:rPr>
        <w:tab/>
      </w:r>
      <w:r>
        <w:rPr>
          <w:rFonts w:cs="Times New Roman"/>
          <w:b/>
          <w:sz w:val="24"/>
          <w:szCs w:val="24"/>
        </w:rPr>
        <w:tab/>
      </w:r>
      <w:r>
        <w:rPr>
          <w:rFonts w:cs="Times New Roman"/>
          <w:b/>
          <w:sz w:val="24"/>
          <w:szCs w:val="24"/>
        </w:rPr>
        <w:tab/>
        <w:t>Every 5 years for life</w:t>
      </w:r>
    </w:p>
    <w:p w:rsidR="006E0AEF" w:rsidRDefault="006E0AEF" w:rsidP="00B34A34">
      <w:pPr>
        <w:rPr>
          <w:rFonts w:cs="Times New Roman"/>
          <w:b/>
          <w:sz w:val="24"/>
          <w:szCs w:val="24"/>
        </w:rPr>
      </w:pPr>
      <w:r>
        <w:rPr>
          <w:rFonts w:cs="Times New Roman"/>
          <w:b/>
          <w:sz w:val="24"/>
          <w:szCs w:val="24"/>
        </w:rPr>
        <w:tab/>
        <w:t>3.15</w:t>
      </w:r>
      <w:r>
        <w:rPr>
          <w:rFonts w:cs="Times New Roman"/>
          <w:b/>
          <w:sz w:val="24"/>
          <w:szCs w:val="24"/>
        </w:rPr>
        <w:tab/>
        <w:t>Custom made elbow splints</w:t>
      </w:r>
      <w:r>
        <w:rPr>
          <w:rFonts w:cs="Times New Roman"/>
          <w:b/>
          <w:sz w:val="24"/>
          <w:szCs w:val="24"/>
        </w:rPr>
        <w:tab/>
        <w:t>Every 2 years until 18 years</w:t>
      </w:r>
    </w:p>
    <w:p w:rsidR="006E0AEF" w:rsidRDefault="006E0AEF" w:rsidP="00B34A34">
      <w:pPr>
        <w:rPr>
          <w:rFonts w:cs="Times New Roman"/>
          <w:b/>
          <w:sz w:val="24"/>
          <w:szCs w:val="24"/>
        </w:rPr>
      </w:pPr>
      <w:r>
        <w:rPr>
          <w:rFonts w:cs="Times New Roman"/>
          <w:b/>
          <w:sz w:val="24"/>
          <w:szCs w:val="24"/>
        </w:rPr>
        <w:tab/>
        <w:t>3.16</w:t>
      </w:r>
      <w:r>
        <w:rPr>
          <w:rFonts w:cs="Times New Roman"/>
          <w:b/>
          <w:sz w:val="24"/>
          <w:szCs w:val="24"/>
        </w:rPr>
        <w:tab/>
        <w:t>Custom made elbow splints</w:t>
      </w:r>
      <w:r>
        <w:rPr>
          <w:rFonts w:cs="Times New Roman"/>
          <w:b/>
          <w:sz w:val="24"/>
          <w:szCs w:val="24"/>
        </w:rPr>
        <w:tab/>
        <w:t xml:space="preserve"> Every 3 years from 19 years for life</w:t>
      </w:r>
    </w:p>
    <w:p w:rsidR="006E0AEF" w:rsidRDefault="006E0AEF" w:rsidP="00B34A34">
      <w:pPr>
        <w:rPr>
          <w:rFonts w:cs="Times New Roman"/>
          <w:b/>
          <w:sz w:val="24"/>
          <w:szCs w:val="24"/>
        </w:rPr>
      </w:pPr>
      <w:r>
        <w:rPr>
          <w:rFonts w:cs="Times New Roman"/>
          <w:b/>
          <w:sz w:val="24"/>
          <w:szCs w:val="24"/>
        </w:rPr>
        <w:tab/>
      </w:r>
    </w:p>
    <w:p w:rsidR="006E0AEF" w:rsidRDefault="004476D9" w:rsidP="00B34A34">
      <w:pPr>
        <w:rPr>
          <w:rFonts w:cs="Times New Roman"/>
          <w:b/>
          <w:sz w:val="24"/>
          <w:szCs w:val="24"/>
        </w:rPr>
      </w:pPr>
      <w:r>
        <w:rPr>
          <w:rFonts w:cs="Times New Roman"/>
          <w:b/>
          <w:sz w:val="24"/>
          <w:szCs w:val="24"/>
        </w:rPr>
        <w:t>4</w:t>
      </w:r>
      <w:r>
        <w:rPr>
          <w:rFonts w:cs="Times New Roman"/>
          <w:b/>
          <w:sz w:val="24"/>
          <w:szCs w:val="24"/>
        </w:rPr>
        <w:tab/>
        <w:t>PHYSIOTHERAPEUTIC ITEMS</w:t>
      </w:r>
      <w:r>
        <w:rPr>
          <w:rFonts w:cs="Times New Roman"/>
          <w:b/>
          <w:sz w:val="24"/>
          <w:szCs w:val="24"/>
        </w:rPr>
        <w:tab/>
      </w:r>
      <w:r>
        <w:rPr>
          <w:rFonts w:cs="Times New Roman"/>
          <w:b/>
          <w:sz w:val="24"/>
          <w:szCs w:val="24"/>
        </w:rPr>
        <w:tab/>
        <w:t>FREQUENCY</w:t>
      </w:r>
    </w:p>
    <w:p w:rsidR="004476D9" w:rsidRDefault="004476D9" w:rsidP="00B34A34">
      <w:pPr>
        <w:rPr>
          <w:rFonts w:cs="Times New Roman"/>
          <w:b/>
          <w:sz w:val="24"/>
          <w:szCs w:val="24"/>
        </w:rPr>
      </w:pPr>
      <w:r>
        <w:rPr>
          <w:rFonts w:cs="Times New Roman"/>
          <w:b/>
          <w:sz w:val="24"/>
          <w:szCs w:val="24"/>
        </w:rPr>
        <w:tab/>
        <w:t>4.1</w:t>
      </w:r>
      <w:r>
        <w:rPr>
          <w:rFonts w:cs="Times New Roman"/>
          <w:b/>
          <w:sz w:val="24"/>
          <w:szCs w:val="24"/>
        </w:rPr>
        <w:tab/>
        <w:t>wheelchair/buggy</w:t>
      </w:r>
      <w:r>
        <w:rPr>
          <w:rFonts w:cs="Times New Roman"/>
          <w:b/>
          <w:sz w:val="24"/>
          <w:szCs w:val="24"/>
        </w:rPr>
        <w:tab/>
      </w:r>
      <w:r>
        <w:rPr>
          <w:rFonts w:cs="Times New Roman"/>
          <w:b/>
          <w:sz w:val="24"/>
          <w:szCs w:val="24"/>
        </w:rPr>
        <w:tab/>
      </w:r>
      <w:r>
        <w:rPr>
          <w:rFonts w:cs="Times New Roman"/>
          <w:b/>
          <w:sz w:val="24"/>
          <w:szCs w:val="24"/>
        </w:rPr>
        <w:tab/>
        <w:t>Every 4 years</w:t>
      </w:r>
    </w:p>
    <w:p w:rsidR="004476D9" w:rsidRDefault="00453C74" w:rsidP="00B34A34">
      <w:pPr>
        <w:rPr>
          <w:rFonts w:cs="Times New Roman"/>
          <w:b/>
          <w:sz w:val="24"/>
          <w:szCs w:val="24"/>
        </w:rPr>
      </w:pPr>
      <w:r>
        <w:rPr>
          <w:rFonts w:cs="Times New Roman"/>
          <w:b/>
          <w:sz w:val="24"/>
          <w:szCs w:val="24"/>
        </w:rPr>
        <w:tab/>
        <w:t>4.2</w:t>
      </w:r>
      <w:r>
        <w:rPr>
          <w:rFonts w:cs="Times New Roman"/>
          <w:b/>
          <w:sz w:val="24"/>
          <w:szCs w:val="24"/>
        </w:rPr>
        <w:tab/>
        <w:t>T</w:t>
      </w:r>
      <w:r w:rsidR="004476D9">
        <w:rPr>
          <w:rFonts w:cs="Times New Roman"/>
          <w:b/>
          <w:sz w:val="24"/>
          <w:szCs w:val="24"/>
        </w:rPr>
        <w:t>ransport</w:t>
      </w:r>
      <w:r>
        <w:rPr>
          <w:rFonts w:cs="Times New Roman"/>
          <w:b/>
          <w:sz w:val="24"/>
          <w:szCs w:val="24"/>
        </w:rPr>
        <w:t>er</w:t>
      </w:r>
      <w:r w:rsidR="008C2DE5">
        <w:rPr>
          <w:rFonts w:cs="Times New Roman"/>
          <w:b/>
          <w:sz w:val="24"/>
          <w:szCs w:val="24"/>
        </w:rPr>
        <w:t xml:space="preserve"> &amp; buggy</w:t>
      </w:r>
      <w:r w:rsidR="008C2DE5">
        <w:rPr>
          <w:rFonts w:cs="Times New Roman"/>
          <w:b/>
          <w:sz w:val="24"/>
          <w:szCs w:val="24"/>
        </w:rPr>
        <w:tab/>
      </w:r>
      <w:r w:rsidR="008C2DE5">
        <w:rPr>
          <w:rFonts w:cs="Times New Roman"/>
          <w:b/>
          <w:sz w:val="24"/>
          <w:szCs w:val="24"/>
        </w:rPr>
        <w:tab/>
      </w:r>
      <w:r w:rsidR="004476D9">
        <w:rPr>
          <w:rFonts w:cs="Times New Roman"/>
          <w:b/>
          <w:sz w:val="24"/>
          <w:szCs w:val="24"/>
        </w:rPr>
        <w:t>Every 4 years if necessary</w:t>
      </w:r>
    </w:p>
    <w:p w:rsidR="004476D9" w:rsidRDefault="004476D9" w:rsidP="00B34A34">
      <w:pPr>
        <w:rPr>
          <w:rFonts w:cs="Times New Roman"/>
          <w:b/>
          <w:sz w:val="24"/>
          <w:szCs w:val="24"/>
        </w:rPr>
      </w:pPr>
      <w:r>
        <w:rPr>
          <w:rFonts w:cs="Times New Roman"/>
          <w:b/>
          <w:sz w:val="24"/>
          <w:szCs w:val="24"/>
        </w:rPr>
        <w:tab/>
        <w:t>4.3</w:t>
      </w:r>
      <w:r>
        <w:rPr>
          <w:rFonts w:cs="Times New Roman"/>
          <w:b/>
          <w:sz w:val="24"/>
          <w:szCs w:val="24"/>
        </w:rPr>
        <w:tab/>
        <w:t>Posture support chair</w:t>
      </w:r>
      <w:r>
        <w:rPr>
          <w:rFonts w:cs="Times New Roman"/>
          <w:b/>
          <w:sz w:val="24"/>
          <w:szCs w:val="24"/>
        </w:rPr>
        <w:tab/>
      </w:r>
      <w:r>
        <w:rPr>
          <w:rFonts w:cs="Times New Roman"/>
          <w:b/>
          <w:sz w:val="24"/>
          <w:szCs w:val="24"/>
        </w:rPr>
        <w:tab/>
        <w:t>Every 4 years</w:t>
      </w:r>
    </w:p>
    <w:p w:rsidR="004476D9" w:rsidRDefault="004476D9" w:rsidP="00B34A34">
      <w:pPr>
        <w:rPr>
          <w:rFonts w:cs="Times New Roman"/>
          <w:b/>
          <w:sz w:val="24"/>
          <w:szCs w:val="24"/>
        </w:rPr>
      </w:pPr>
      <w:r>
        <w:rPr>
          <w:rFonts w:cs="Times New Roman"/>
          <w:b/>
          <w:sz w:val="24"/>
          <w:szCs w:val="24"/>
        </w:rPr>
        <w:tab/>
        <w:t>4.4</w:t>
      </w:r>
      <w:r>
        <w:rPr>
          <w:rFonts w:cs="Times New Roman"/>
          <w:b/>
          <w:sz w:val="24"/>
          <w:szCs w:val="24"/>
        </w:rPr>
        <w:tab/>
        <w:t>Sleeping and positioning system</w:t>
      </w:r>
      <w:r>
        <w:rPr>
          <w:rFonts w:cs="Times New Roman"/>
          <w:b/>
          <w:sz w:val="24"/>
          <w:szCs w:val="24"/>
        </w:rPr>
        <w:tab/>
        <w:t>Once off</w:t>
      </w:r>
    </w:p>
    <w:p w:rsidR="004476D9" w:rsidRDefault="004476D9" w:rsidP="00B34A34">
      <w:pPr>
        <w:rPr>
          <w:rFonts w:cs="Times New Roman"/>
          <w:b/>
          <w:sz w:val="24"/>
          <w:szCs w:val="24"/>
        </w:rPr>
      </w:pPr>
      <w:r>
        <w:rPr>
          <w:rFonts w:cs="Times New Roman"/>
          <w:b/>
          <w:sz w:val="24"/>
          <w:szCs w:val="24"/>
        </w:rPr>
        <w:tab/>
      </w:r>
      <w:r w:rsidR="00C93789">
        <w:rPr>
          <w:rFonts w:cs="Times New Roman"/>
          <w:b/>
          <w:sz w:val="24"/>
          <w:szCs w:val="24"/>
        </w:rPr>
        <w:t>4.5</w:t>
      </w:r>
      <w:r w:rsidR="00C93789">
        <w:rPr>
          <w:rFonts w:cs="Times New Roman"/>
          <w:b/>
          <w:sz w:val="24"/>
          <w:szCs w:val="24"/>
        </w:rPr>
        <w:tab/>
        <w:t>Foam and cushion covers</w:t>
      </w:r>
      <w:r w:rsidR="00C93789">
        <w:rPr>
          <w:rFonts w:cs="Times New Roman"/>
          <w:b/>
          <w:sz w:val="24"/>
          <w:szCs w:val="24"/>
        </w:rPr>
        <w:tab/>
      </w:r>
      <w:r w:rsidR="00C93789">
        <w:rPr>
          <w:rFonts w:cs="Times New Roman"/>
          <w:b/>
          <w:sz w:val="24"/>
          <w:szCs w:val="24"/>
        </w:rPr>
        <w:tab/>
        <w:t>Annually</w:t>
      </w:r>
    </w:p>
    <w:p w:rsidR="00C93789" w:rsidRDefault="00C93789" w:rsidP="00B34A34">
      <w:pPr>
        <w:rPr>
          <w:rFonts w:cs="Times New Roman"/>
          <w:b/>
          <w:sz w:val="24"/>
          <w:szCs w:val="24"/>
        </w:rPr>
      </w:pPr>
      <w:r>
        <w:rPr>
          <w:rFonts w:cs="Times New Roman"/>
          <w:b/>
          <w:sz w:val="24"/>
          <w:szCs w:val="24"/>
        </w:rPr>
        <w:tab/>
      </w:r>
      <w:r w:rsidR="007940DD">
        <w:rPr>
          <w:rFonts w:cs="Times New Roman"/>
          <w:b/>
          <w:sz w:val="24"/>
          <w:szCs w:val="24"/>
        </w:rPr>
        <w:t>4.6</w:t>
      </w:r>
      <w:r w:rsidR="007940DD">
        <w:rPr>
          <w:rFonts w:cs="Times New Roman"/>
          <w:b/>
          <w:sz w:val="24"/>
          <w:szCs w:val="24"/>
        </w:rPr>
        <w:tab/>
      </w:r>
      <w:proofErr w:type="spellStart"/>
      <w:r w:rsidR="007940DD">
        <w:rPr>
          <w:rFonts w:cs="Times New Roman"/>
          <w:b/>
          <w:sz w:val="24"/>
          <w:szCs w:val="24"/>
        </w:rPr>
        <w:t>Bobath</w:t>
      </w:r>
      <w:proofErr w:type="spellEnd"/>
      <w:r w:rsidR="007940DD">
        <w:rPr>
          <w:rFonts w:cs="Times New Roman"/>
          <w:b/>
          <w:sz w:val="24"/>
          <w:szCs w:val="24"/>
        </w:rPr>
        <w:t xml:space="preserve"> therapy plinths</w:t>
      </w:r>
      <w:r w:rsidR="007940DD">
        <w:rPr>
          <w:rFonts w:cs="Times New Roman"/>
          <w:b/>
          <w:sz w:val="24"/>
          <w:szCs w:val="24"/>
        </w:rPr>
        <w:tab/>
      </w:r>
      <w:r w:rsidR="007940DD">
        <w:rPr>
          <w:rFonts w:cs="Times New Roman"/>
          <w:b/>
          <w:sz w:val="24"/>
          <w:szCs w:val="24"/>
        </w:rPr>
        <w:tab/>
        <w:t>Once off</w:t>
      </w:r>
    </w:p>
    <w:p w:rsidR="007940DD" w:rsidRDefault="007940DD" w:rsidP="00B34A34">
      <w:pPr>
        <w:rPr>
          <w:rFonts w:cs="Times New Roman"/>
          <w:b/>
          <w:sz w:val="24"/>
          <w:szCs w:val="24"/>
        </w:rPr>
      </w:pPr>
      <w:r>
        <w:rPr>
          <w:rFonts w:cs="Times New Roman"/>
          <w:b/>
          <w:sz w:val="24"/>
          <w:szCs w:val="24"/>
        </w:rPr>
        <w:tab/>
        <w:t>4.7</w:t>
      </w:r>
      <w:r>
        <w:rPr>
          <w:rFonts w:cs="Times New Roman"/>
          <w:b/>
          <w:sz w:val="24"/>
          <w:szCs w:val="24"/>
        </w:rPr>
        <w:tab/>
        <w:t>Recovering/repair/replacement</w:t>
      </w:r>
      <w:r>
        <w:rPr>
          <w:rFonts w:cs="Times New Roman"/>
          <w:b/>
          <w:sz w:val="24"/>
          <w:szCs w:val="24"/>
        </w:rPr>
        <w:tab/>
        <w:t>Annually</w:t>
      </w:r>
    </w:p>
    <w:p w:rsidR="007940DD" w:rsidRDefault="007940DD" w:rsidP="00B34A34">
      <w:pPr>
        <w:rPr>
          <w:rFonts w:cs="Times New Roman"/>
          <w:b/>
          <w:sz w:val="24"/>
          <w:szCs w:val="24"/>
        </w:rPr>
      </w:pPr>
      <w:r>
        <w:rPr>
          <w:rFonts w:cs="Times New Roman"/>
          <w:b/>
          <w:sz w:val="24"/>
          <w:szCs w:val="24"/>
        </w:rPr>
        <w:tab/>
        <w:t>4.8</w:t>
      </w:r>
      <w:r>
        <w:rPr>
          <w:rFonts w:cs="Times New Roman"/>
          <w:b/>
          <w:sz w:val="24"/>
          <w:szCs w:val="24"/>
        </w:rPr>
        <w:tab/>
      </w:r>
      <w:r w:rsidR="00A1426C">
        <w:rPr>
          <w:rFonts w:cs="Times New Roman"/>
          <w:b/>
          <w:sz w:val="24"/>
          <w:szCs w:val="24"/>
        </w:rPr>
        <w:t>Portable home suction unit</w:t>
      </w:r>
      <w:r w:rsidR="00A1426C">
        <w:rPr>
          <w:rFonts w:cs="Times New Roman"/>
          <w:b/>
          <w:sz w:val="24"/>
          <w:szCs w:val="24"/>
        </w:rPr>
        <w:tab/>
      </w:r>
      <w:r w:rsidR="00A1426C">
        <w:rPr>
          <w:rFonts w:cs="Times New Roman"/>
          <w:b/>
          <w:sz w:val="24"/>
          <w:szCs w:val="24"/>
        </w:rPr>
        <w:tab/>
        <w:t>Every 5 years</w:t>
      </w:r>
    </w:p>
    <w:p w:rsidR="00BF5E44" w:rsidRDefault="00A1426C" w:rsidP="00B34A34">
      <w:pPr>
        <w:rPr>
          <w:rFonts w:cs="Times New Roman"/>
          <w:b/>
          <w:sz w:val="24"/>
          <w:szCs w:val="24"/>
        </w:rPr>
      </w:pPr>
      <w:r>
        <w:rPr>
          <w:rFonts w:cs="Times New Roman"/>
          <w:b/>
          <w:sz w:val="24"/>
          <w:szCs w:val="24"/>
        </w:rPr>
        <w:tab/>
        <w:t>4.9</w:t>
      </w:r>
      <w:r>
        <w:rPr>
          <w:rFonts w:cs="Times New Roman"/>
          <w:b/>
          <w:sz w:val="24"/>
          <w:szCs w:val="24"/>
        </w:rPr>
        <w:tab/>
        <w:t xml:space="preserve">Accessories for the home </w:t>
      </w:r>
      <w:r w:rsidR="00BF5E44">
        <w:rPr>
          <w:rFonts w:cs="Times New Roman"/>
          <w:b/>
          <w:sz w:val="24"/>
          <w:szCs w:val="24"/>
        </w:rPr>
        <w:tab/>
      </w:r>
      <w:r w:rsidR="00BF5E44">
        <w:rPr>
          <w:rFonts w:cs="Times New Roman"/>
          <w:b/>
          <w:sz w:val="24"/>
          <w:szCs w:val="24"/>
        </w:rPr>
        <w:tab/>
        <w:t xml:space="preserve">Annually to age 18 thereafter </w:t>
      </w:r>
    </w:p>
    <w:p w:rsidR="00A1426C" w:rsidRDefault="00BF5E44" w:rsidP="00BF5E44">
      <w:pPr>
        <w:ind w:left="720" w:firstLine="720"/>
        <w:rPr>
          <w:rFonts w:cs="Times New Roman"/>
          <w:b/>
          <w:sz w:val="24"/>
          <w:szCs w:val="24"/>
        </w:rPr>
      </w:pPr>
      <w:r>
        <w:rPr>
          <w:rFonts w:cs="Times New Roman"/>
          <w:b/>
          <w:sz w:val="24"/>
          <w:szCs w:val="24"/>
        </w:rPr>
        <w:t>suction unit (saline &amp; catheters)</w:t>
      </w:r>
      <w:r>
        <w:rPr>
          <w:rFonts w:cs="Times New Roman"/>
          <w:b/>
          <w:sz w:val="24"/>
          <w:szCs w:val="24"/>
        </w:rPr>
        <w:tab/>
      </w:r>
      <w:r w:rsidR="008C2DE5">
        <w:rPr>
          <w:rFonts w:cs="Times New Roman"/>
          <w:b/>
          <w:sz w:val="24"/>
          <w:szCs w:val="24"/>
        </w:rPr>
        <w:t xml:space="preserve"> </w:t>
      </w:r>
      <w:r w:rsidR="00A1426C">
        <w:rPr>
          <w:rFonts w:cs="Times New Roman"/>
          <w:b/>
          <w:sz w:val="24"/>
          <w:szCs w:val="24"/>
        </w:rPr>
        <w:t>biannually for life</w:t>
      </w:r>
    </w:p>
    <w:p w:rsidR="00734BC5" w:rsidRDefault="00734BC5" w:rsidP="00734BC5">
      <w:pPr>
        <w:rPr>
          <w:rFonts w:cs="Times New Roman"/>
          <w:b/>
          <w:sz w:val="24"/>
          <w:szCs w:val="24"/>
        </w:rPr>
      </w:pPr>
      <w:r>
        <w:rPr>
          <w:rFonts w:cs="Times New Roman"/>
          <w:b/>
          <w:sz w:val="24"/>
          <w:szCs w:val="24"/>
        </w:rPr>
        <w:tab/>
        <w:t>4.10</w:t>
      </w:r>
      <w:r>
        <w:rPr>
          <w:rFonts w:cs="Times New Roman"/>
          <w:b/>
          <w:sz w:val="24"/>
          <w:szCs w:val="24"/>
        </w:rPr>
        <w:tab/>
        <w:t>Nebuliser</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008C2DE5">
        <w:rPr>
          <w:rFonts w:cs="Times New Roman"/>
          <w:b/>
          <w:sz w:val="24"/>
          <w:szCs w:val="24"/>
        </w:rPr>
        <w:t xml:space="preserve"> </w:t>
      </w:r>
      <w:r>
        <w:rPr>
          <w:rFonts w:cs="Times New Roman"/>
          <w:b/>
          <w:sz w:val="24"/>
          <w:szCs w:val="24"/>
        </w:rPr>
        <w:t>Every 2 years</w:t>
      </w:r>
    </w:p>
    <w:p w:rsidR="0086189E" w:rsidRDefault="0086189E" w:rsidP="0086189E">
      <w:pPr>
        <w:rPr>
          <w:rFonts w:cs="Times New Roman"/>
          <w:b/>
          <w:sz w:val="24"/>
          <w:szCs w:val="24"/>
        </w:rPr>
      </w:pPr>
    </w:p>
    <w:p w:rsidR="0086189E" w:rsidRDefault="0086189E" w:rsidP="0086189E">
      <w:pPr>
        <w:rPr>
          <w:rFonts w:cs="Times New Roman"/>
          <w:b/>
          <w:sz w:val="24"/>
          <w:szCs w:val="24"/>
        </w:rPr>
      </w:pPr>
      <w:r>
        <w:rPr>
          <w:rFonts w:cs="Times New Roman"/>
          <w:b/>
          <w:sz w:val="24"/>
          <w:szCs w:val="24"/>
        </w:rPr>
        <w:t>5</w:t>
      </w:r>
      <w:r>
        <w:rPr>
          <w:rFonts w:cs="Times New Roman"/>
          <w:b/>
          <w:sz w:val="24"/>
          <w:szCs w:val="24"/>
        </w:rPr>
        <w:tab/>
        <w:t>OCCUPATIONAL THERAPY ITEMS</w:t>
      </w:r>
      <w:r>
        <w:rPr>
          <w:rFonts w:cs="Times New Roman"/>
          <w:b/>
          <w:sz w:val="24"/>
          <w:szCs w:val="24"/>
        </w:rPr>
        <w:tab/>
        <w:t xml:space="preserve">    FREQUENCY</w:t>
      </w:r>
    </w:p>
    <w:p w:rsidR="0086189E" w:rsidRDefault="0086189E" w:rsidP="0086189E">
      <w:pPr>
        <w:rPr>
          <w:rFonts w:cs="Times New Roman"/>
          <w:b/>
          <w:sz w:val="24"/>
          <w:szCs w:val="24"/>
        </w:rPr>
      </w:pPr>
      <w:r>
        <w:rPr>
          <w:rFonts w:cs="Times New Roman"/>
          <w:b/>
          <w:sz w:val="24"/>
          <w:szCs w:val="24"/>
        </w:rPr>
        <w:tab/>
      </w:r>
      <w:r w:rsidR="00446143">
        <w:rPr>
          <w:rFonts w:cs="Times New Roman"/>
          <w:b/>
          <w:sz w:val="24"/>
          <w:szCs w:val="24"/>
        </w:rPr>
        <w:t>5.1</w:t>
      </w:r>
      <w:r w:rsidR="00446143">
        <w:rPr>
          <w:rFonts w:cs="Times New Roman"/>
          <w:b/>
          <w:sz w:val="24"/>
          <w:szCs w:val="24"/>
        </w:rPr>
        <w:tab/>
        <w:t>Bench</w:t>
      </w:r>
      <w:r w:rsidR="00446143">
        <w:rPr>
          <w:rFonts w:cs="Times New Roman"/>
          <w:b/>
          <w:sz w:val="24"/>
          <w:szCs w:val="24"/>
        </w:rPr>
        <w:tab/>
      </w:r>
      <w:r w:rsidR="00446143">
        <w:rPr>
          <w:rFonts w:cs="Times New Roman"/>
          <w:b/>
          <w:sz w:val="24"/>
          <w:szCs w:val="24"/>
        </w:rPr>
        <w:tab/>
      </w:r>
      <w:r w:rsidR="00446143">
        <w:rPr>
          <w:rFonts w:cs="Times New Roman"/>
          <w:b/>
          <w:sz w:val="24"/>
          <w:szCs w:val="24"/>
        </w:rPr>
        <w:tab/>
      </w:r>
      <w:r w:rsidR="00446143">
        <w:rPr>
          <w:rFonts w:cs="Times New Roman"/>
          <w:b/>
          <w:sz w:val="24"/>
          <w:szCs w:val="24"/>
        </w:rPr>
        <w:tab/>
      </w:r>
      <w:r w:rsidR="00446143">
        <w:rPr>
          <w:rFonts w:cs="Times New Roman"/>
          <w:b/>
          <w:sz w:val="24"/>
          <w:szCs w:val="24"/>
        </w:rPr>
        <w:tab/>
        <w:t xml:space="preserve">     Every 5 years for life</w:t>
      </w:r>
    </w:p>
    <w:p w:rsidR="00446143" w:rsidRDefault="00446143" w:rsidP="0086189E">
      <w:pPr>
        <w:rPr>
          <w:rFonts w:cs="Times New Roman"/>
          <w:b/>
          <w:sz w:val="24"/>
          <w:szCs w:val="24"/>
        </w:rPr>
      </w:pPr>
      <w:r>
        <w:rPr>
          <w:rFonts w:cs="Times New Roman"/>
          <w:b/>
          <w:sz w:val="24"/>
          <w:szCs w:val="24"/>
        </w:rPr>
        <w:tab/>
        <w:t>5.2</w:t>
      </w:r>
      <w:r>
        <w:rPr>
          <w:rFonts w:cs="Times New Roman"/>
          <w:b/>
          <w:sz w:val="24"/>
          <w:szCs w:val="24"/>
        </w:rPr>
        <w:tab/>
        <w:t>Table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Every 10 years for life</w:t>
      </w:r>
    </w:p>
    <w:p w:rsidR="00446143" w:rsidRDefault="00446143" w:rsidP="0086189E">
      <w:pPr>
        <w:rPr>
          <w:rFonts w:cs="Times New Roman"/>
          <w:b/>
          <w:sz w:val="24"/>
          <w:szCs w:val="24"/>
        </w:rPr>
      </w:pPr>
      <w:r>
        <w:rPr>
          <w:rFonts w:cs="Times New Roman"/>
          <w:b/>
          <w:sz w:val="24"/>
          <w:szCs w:val="24"/>
        </w:rPr>
        <w:tab/>
        <w:t>5.3</w:t>
      </w:r>
      <w:r>
        <w:rPr>
          <w:rFonts w:cs="Times New Roman"/>
          <w:b/>
          <w:sz w:val="24"/>
          <w:szCs w:val="24"/>
        </w:rPr>
        <w:tab/>
        <w:t>Manual crank adjustable bed/</w:t>
      </w:r>
      <w:r>
        <w:rPr>
          <w:rFonts w:cs="Times New Roman"/>
          <w:b/>
          <w:sz w:val="24"/>
          <w:szCs w:val="24"/>
        </w:rPr>
        <w:tab/>
        <w:t xml:space="preserve">    </w:t>
      </w:r>
      <w:r w:rsidR="00F10348">
        <w:rPr>
          <w:rFonts w:cs="Times New Roman"/>
          <w:b/>
          <w:sz w:val="24"/>
          <w:szCs w:val="24"/>
        </w:rPr>
        <w:t xml:space="preserve"> </w:t>
      </w:r>
      <w:r>
        <w:rPr>
          <w:rFonts w:cs="Times New Roman"/>
          <w:b/>
          <w:sz w:val="24"/>
          <w:szCs w:val="24"/>
        </w:rPr>
        <w:t>Twice over life</w:t>
      </w:r>
    </w:p>
    <w:p w:rsidR="00446143" w:rsidRDefault="00446143" w:rsidP="0086189E">
      <w:pPr>
        <w:rPr>
          <w:rFonts w:cs="Times New Roman"/>
          <w:b/>
          <w:sz w:val="24"/>
          <w:szCs w:val="24"/>
        </w:rPr>
      </w:pPr>
      <w:r>
        <w:rPr>
          <w:rFonts w:cs="Times New Roman"/>
          <w:b/>
          <w:sz w:val="24"/>
          <w:szCs w:val="24"/>
        </w:rPr>
        <w:lastRenderedPageBreak/>
        <w:tab/>
      </w:r>
      <w:r>
        <w:rPr>
          <w:rFonts w:cs="Times New Roman"/>
          <w:b/>
          <w:sz w:val="24"/>
          <w:szCs w:val="24"/>
        </w:rPr>
        <w:tab/>
        <w:t>Hi Low</w:t>
      </w:r>
      <w:r w:rsidR="00734BC5">
        <w:rPr>
          <w:rFonts w:cs="Times New Roman"/>
          <w:b/>
          <w:sz w:val="24"/>
          <w:szCs w:val="24"/>
        </w:rPr>
        <w:t xml:space="preserve"> bed</w:t>
      </w:r>
    </w:p>
    <w:p w:rsidR="00446143" w:rsidRDefault="00446143" w:rsidP="0086189E">
      <w:pPr>
        <w:rPr>
          <w:rFonts w:cs="Times New Roman"/>
          <w:b/>
          <w:sz w:val="24"/>
          <w:szCs w:val="24"/>
        </w:rPr>
      </w:pPr>
      <w:r>
        <w:rPr>
          <w:rFonts w:cs="Times New Roman"/>
          <w:b/>
          <w:sz w:val="24"/>
          <w:szCs w:val="24"/>
        </w:rPr>
        <w:tab/>
        <w:t>5.4</w:t>
      </w:r>
      <w:r>
        <w:rPr>
          <w:rFonts w:cs="Times New Roman"/>
          <w:b/>
          <w:sz w:val="24"/>
          <w:szCs w:val="24"/>
        </w:rPr>
        <w:tab/>
        <w:t>Extra bed linen</w:t>
      </w:r>
      <w:r>
        <w:rPr>
          <w:rFonts w:cs="Times New Roman"/>
          <w:b/>
          <w:sz w:val="24"/>
          <w:szCs w:val="24"/>
        </w:rPr>
        <w:tab/>
      </w:r>
      <w:r>
        <w:rPr>
          <w:rFonts w:cs="Times New Roman"/>
          <w:b/>
          <w:sz w:val="24"/>
          <w:szCs w:val="24"/>
        </w:rPr>
        <w:tab/>
      </w:r>
      <w:r>
        <w:rPr>
          <w:rFonts w:cs="Times New Roman"/>
          <w:b/>
          <w:sz w:val="24"/>
          <w:szCs w:val="24"/>
        </w:rPr>
        <w:tab/>
        <w:t xml:space="preserve">     Every 5 years</w:t>
      </w:r>
    </w:p>
    <w:p w:rsidR="00446143" w:rsidRDefault="00446143" w:rsidP="0086189E">
      <w:pPr>
        <w:rPr>
          <w:rFonts w:cs="Times New Roman"/>
          <w:b/>
          <w:sz w:val="24"/>
          <w:szCs w:val="24"/>
        </w:rPr>
      </w:pPr>
      <w:r>
        <w:rPr>
          <w:rFonts w:cs="Times New Roman"/>
          <w:b/>
          <w:sz w:val="24"/>
          <w:szCs w:val="24"/>
        </w:rPr>
        <w:tab/>
        <w:t>5.5</w:t>
      </w:r>
      <w:r>
        <w:rPr>
          <w:rFonts w:cs="Times New Roman"/>
          <w:b/>
          <w:sz w:val="24"/>
          <w:szCs w:val="24"/>
        </w:rPr>
        <w:tab/>
        <w:t>Disposable Nappies</w:t>
      </w:r>
      <w:r>
        <w:rPr>
          <w:rFonts w:cs="Times New Roman"/>
          <w:b/>
          <w:sz w:val="24"/>
          <w:szCs w:val="24"/>
        </w:rPr>
        <w:tab/>
      </w:r>
      <w:r>
        <w:rPr>
          <w:rFonts w:cs="Times New Roman"/>
          <w:b/>
          <w:sz w:val="24"/>
          <w:szCs w:val="24"/>
        </w:rPr>
        <w:tab/>
      </w:r>
      <w:r>
        <w:rPr>
          <w:rFonts w:cs="Times New Roman"/>
          <w:b/>
          <w:sz w:val="24"/>
          <w:szCs w:val="24"/>
        </w:rPr>
        <w:tab/>
        <w:t xml:space="preserve">    </w:t>
      </w:r>
      <w:r w:rsidR="003B499B">
        <w:rPr>
          <w:rFonts w:cs="Times New Roman"/>
          <w:b/>
          <w:sz w:val="24"/>
          <w:szCs w:val="24"/>
        </w:rPr>
        <w:t xml:space="preserve"> </w:t>
      </w:r>
      <w:r>
        <w:rPr>
          <w:rFonts w:cs="Times New Roman"/>
          <w:b/>
          <w:sz w:val="24"/>
          <w:szCs w:val="24"/>
        </w:rPr>
        <w:t>Monthly for life</w:t>
      </w:r>
    </w:p>
    <w:p w:rsidR="00446143" w:rsidRDefault="00446143" w:rsidP="0086189E">
      <w:pPr>
        <w:rPr>
          <w:rFonts w:cs="Times New Roman"/>
          <w:b/>
          <w:sz w:val="24"/>
          <w:szCs w:val="24"/>
        </w:rPr>
      </w:pPr>
      <w:r>
        <w:rPr>
          <w:rFonts w:cs="Times New Roman"/>
          <w:b/>
          <w:sz w:val="24"/>
          <w:szCs w:val="24"/>
        </w:rPr>
        <w:tab/>
        <w:t>5.6</w:t>
      </w:r>
      <w:r>
        <w:rPr>
          <w:rFonts w:cs="Times New Roman"/>
          <w:b/>
          <w:sz w:val="24"/>
          <w:szCs w:val="24"/>
        </w:rPr>
        <w:tab/>
        <w:t>Bibs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Annually for life</w:t>
      </w:r>
    </w:p>
    <w:p w:rsidR="00446143" w:rsidRDefault="00446143" w:rsidP="0086189E">
      <w:pPr>
        <w:rPr>
          <w:rFonts w:cs="Times New Roman"/>
          <w:b/>
          <w:sz w:val="24"/>
          <w:szCs w:val="24"/>
        </w:rPr>
      </w:pPr>
    </w:p>
    <w:p w:rsidR="00446143" w:rsidRDefault="00446143" w:rsidP="0086189E">
      <w:pPr>
        <w:rPr>
          <w:rFonts w:cs="Times New Roman"/>
          <w:b/>
          <w:sz w:val="24"/>
          <w:szCs w:val="24"/>
        </w:rPr>
      </w:pPr>
      <w:r>
        <w:rPr>
          <w:rFonts w:cs="Times New Roman"/>
          <w:b/>
          <w:sz w:val="24"/>
          <w:szCs w:val="24"/>
        </w:rPr>
        <w:t>6</w:t>
      </w:r>
      <w:r>
        <w:rPr>
          <w:rFonts w:cs="Times New Roman"/>
          <w:b/>
          <w:sz w:val="24"/>
          <w:szCs w:val="24"/>
        </w:rPr>
        <w:tab/>
        <w:t>NURSING ITEMS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FREQUENCY</w:t>
      </w:r>
    </w:p>
    <w:p w:rsidR="00446143" w:rsidRDefault="00446143" w:rsidP="0086189E">
      <w:pPr>
        <w:rPr>
          <w:rFonts w:cs="Times New Roman"/>
          <w:b/>
          <w:sz w:val="24"/>
          <w:szCs w:val="24"/>
        </w:rPr>
      </w:pPr>
      <w:r>
        <w:rPr>
          <w:rFonts w:cs="Times New Roman"/>
          <w:b/>
          <w:sz w:val="24"/>
          <w:szCs w:val="24"/>
        </w:rPr>
        <w:tab/>
        <w:t>6.1</w:t>
      </w:r>
      <w:r>
        <w:rPr>
          <w:rFonts w:cs="Times New Roman"/>
          <w:b/>
          <w:sz w:val="24"/>
          <w:szCs w:val="24"/>
        </w:rPr>
        <w:tab/>
        <w:t>Skin care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Monthly for life</w:t>
      </w:r>
    </w:p>
    <w:p w:rsidR="00446143" w:rsidRDefault="00446143" w:rsidP="0086189E">
      <w:pPr>
        <w:rPr>
          <w:rFonts w:cs="Times New Roman"/>
          <w:b/>
          <w:sz w:val="24"/>
          <w:szCs w:val="24"/>
        </w:rPr>
      </w:pPr>
      <w:r>
        <w:rPr>
          <w:rFonts w:cs="Times New Roman"/>
          <w:b/>
          <w:sz w:val="24"/>
          <w:szCs w:val="24"/>
        </w:rPr>
        <w:tab/>
        <w:t>6.2</w:t>
      </w:r>
      <w:r>
        <w:rPr>
          <w:rFonts w:cs="Times New Roman"/>
          <w:b/>
          <w:sz w:val="24"/>
          <w:szCs w:val="24"/>
        </w:rPr>
        <w:tab/>
        <w:t>Bed wedge</w:t>
      </w:r>
      <w:r>
        <w:rPr>
          <w:rFonts w:cs="Times New Roman"/>
          <w:b/>
          <w:sz w:val="24"/>
          <w:szCs w:val="24"/>
        </w:rPr>
        <w:tab/>
      </w:r>
      <w:r>
        <w:rPr>
          <w:rFonts w:cs="Times New Roman"/>
          <w:b/>
          <w:sz w:val="24"/>
          <w:szCs w:val="24"/>
        </w:rPr>
        <w:tab/>
      </w:r>
      <w:r>
        <w:rPr>
          <w:rFonts w:cs="Times New Roman"/>
          <w:b/>
          <w:sz w:val="24"/>
          <w:szCs w:val="24"/>
        </w:rPr>
        <w:tab/>
      </w:r>
      <w:r w:rsidR="00F10348">
        <w:rPr>
          <w:rFonts w:cs="Times New Roman"/>
          <w:b/>
          <w:sz w:val="24"/>
          <w:szCs w:val="24"/>
        </w:rPr>
        <w:t xml:space="preserve">           </w:t>
      </w:r>
      <w:r w:rsidR="003B499B">
        <w:rPr>
          <w:rFonts w:cs="Times New Roman"/>
          <w:b/>
          <w:sz w:val="24"/>
          <w:szCs w:val="24"/>
        </w:rPr>
        <w:t xml:space="preserve"> </w:t>
      </w:r>
      <w:r>
        <w:rPr>
          <w:rFonts w:cs="Times New Roman"/>
          <w:b/>
          <w:sz w:val="24"/>
          <w:szCs w:val="24"/>
        </w:rPr>
        <w:t>Every 3 years</w:t>
      </w:r>
    </w:p>
    <w:p w:rsidR="00446143" w:rsidRDefault="00446143" w:rsidP="0086189E">
      <w:pPr>
        <w:rPr>
          <w:rFonts w:cs="Times New Roman"/>
          <w:b/>
          <w:sz w:val="24"/>
          <w:szCs w:val="24"/>
        </w:rPr>
      </w:pPr>
      <w:r>
        <w:rPr>
          <w:rFonts w:cs="Times New Roman"/>
          <w:b/>
          <w:sz w:val="24"/>
          <w:szCs w:val="24"/>
        </w:rPr>
        <w:tab/>
        <w:t>6.3</w:t>
      </w:r>
      <w:r>
        <w:rPr>
          <w:rFonts w:cs="Times New Roman"/>
          <w:b/>
          <w:sz w:val="24"/>
          <w:szCs w:val="24"/>
        </w:rPr>
        <w:tab/>
        <w:t>Vaseline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Monthly for life</w:t>
      </w:r>
    </w:p>
    <w:p w:rsidR="00446143" w:rsidRDefault="00446143" w:rsidP="0086189E">
      <w:pPr>
        <w:rPr>
          <w:rFonts w:cs="Times New Roman"/>
          <w:b/>
          <w:sz w:val="24"/>
          <w:szCs w:val="24"/>
        </w:rPr>
      </w:pPr>
      <w:r>
        <w:rPr>
          <w:rFonts w:cs="Times New Roman"/>
          <w:b/>
          <w:sz w:val="24"/>
          <w:szCs w:val="24"/>
        </w:rPr>
        <w:tab/>
        <w:t>6.4</w:t>
      </w:r>
      <w:r>
        <w:rPr>
          <w:rFonts w:cs="Times New Roman"/>
          <w:b/>
          <w:sz w:val="24"/>
          <w:szCs w:val="24"/>
        </w:rPr>
        <w:tab/>
      </w:r>
      <w:proofErr w:type="spellStart"/>
      <w:r>
        <w:rPr>
          <w:rFonts w:cs="Times New Roman"/>
          <w:b/>
          <w:sz w:val="24"/>
          <w:szCs w:val="24"/>
        </w:rPr>
        <w:t>Lacson</w:t>
      </w:r>
      <w:proofErr w:type="spellEnd"/>
      <w:r>
        <w:rPr>
          <w:rFonts w:cs="Times New Roman"/>
          <w:b/>
          <w:sz w:val="24"/>
          <w:szCs w:val="24"/>
        </w:rPr>
        <w:t xml:space="preserve"> to 12</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Monthly until 12</w:t>
      </w:r>
    </w:p>
    <w:p w:rsidR="00446143" w:rsidRDefault="00446143" w:rsidP="0086189E">
      <w:pPr>
        <w:rPr>
          <w:rFonts w:cs="Times New Roman"/>
          <w:b/>
          <w:sz w:val="24"/>
          <w:szCs w:val="24"/>
        </w:rPr>
      </w:pPr>
      <w:r>
        <w:rPr>
          <w:rFonts w:cs="Times New Roman"/>
          <w:b/>
          <w:sz w:val="24"/>
          <w:szCs w:val="24"/>
        </w:rPr>
        <w:tab/>
        <w:t>6.5</w:t>
      </w:r>
      <w:r>
        <w:rPr>
          <w:rFonts w:cs="Times New Roman"/>
          <w:b/>
          <w:sz w:val="24"/>
          <w:szCs w:val="24"/>
        </w:rPr>
        <w:tab/>
      </w:r>
      <w:proofErr w:type="spellStart"/>
      <w:r>
        <w:rPr>
          <w:rFonts w:cs="Times New Roman"/>
          <w:b/>
          <w:sz w:val="24"/>
          <w:szCs w:val="24"/>
        </w:rPr>
        <w:t>Lacson</w:t>
      </w:r>
      <w:proofErr w:type="spellEnd"/>
      <w:r>
        <w:rPr>
          <w:rFonts w:cs="Times New Roman"/>
          <w:b/>
          <w:sz w:val="24"/>
          <w:szCs w:val="24"/>
        </w:rPr>
        <w:t xml:space="preserve"> 13+</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Monthly from age 13</w:t>
      </w:r>
    </w:p>
    <w:p w:rsidR="00446143" w:rsidRDefault="00446143" w:rsidP="0086189E">
      <w:pPr>
        <w:rPr>
          <w:rFonts w:cs="Times New Roman"/>
          <w:b/>
          <w:sz w:val="24"/>
          <w:szCs w:val="24"/>
        </w:rPr>
      </w:pPr>
      <w:r>
        <w:rPr>
          <w:rFonts w:cs="Times New Roman"/>
          <w:b/>
          <w:sz w:val="24"/>
          <w:szCs w:val="24"/>
        </w:rPr>
        <w:tab/>
        <w:t>6.6</w:t>
      </w:r>
      <w:r>
        <w:rPr>
          <w:rFonts w:cs="Times New Roman"/>
          <w:b/>
          <w:sz w:val="24"/>
          <w:szCs w:val="24"/>
        </w:rPr>
        <w:tab/>
      </w:r>
      <w:proofErr w:type="spellStart"/>
      <w:r>
        <w:rPr>
          <w:rFonts w:cs="Times New Roman"/>
          <w:b/>
          <w:sz w:val="24"/>
          <w:szCs w:val="24"/>
        </w:rPr>
        <w:t>Dulcolax</w:t>
      </w:r>
      <w:proofErr w:type="spellEnd"/>
      <w:r>
        <w:rPr>
          <w:rFonts w:cs="Times New Roman"/>
          <w:b/>
          <w:sz w:val="24"/>
          <w:szCs w:val="24"/>
        </w:rPr>
        <w:t xml:space="preserve"> to 12</w:t>
      </w:r>
      <w:r>
        <w:rPr>
          <w:rFonts w:cs="Times New Roman"/>
          <w:b/>
          <w:sz w:val="24"/>
          <w:szCs w:val="24"/>
        </w:rPr>
        <w:tab/>
      </w:r>
      <w:r>
        <w:rPr>
          <w:rFonts w:cs="Times New Roman"/>
          <w:b/>
          <w:sz w:val="24"/>
          <w:szCs w:val="24"/>
        </w:rPr>
        <w:tab/>
      </w:r>
      <w:r>
        <w:rPr>
          <w:rFonts w:cs="Times New Roman"/>
          <w:b/>
          <w:sz w:val="24"/>
          <w:szCs w:val="24"/>
        </w:rPr>
        <w:tab/>
        <w:t>Every month until 12</w:t>
      </w:r>
    </w:p>
    <w:p w:rsidR="00446143" w:rsidRDefault="00446143" w:rsidP="0086189E">
      <w:pPr>
        <w:rPr>
          <w:rFonts w:cs="Times New Roman"/>
          <w:b/>
          <w:sz w:val="24"/>
          <w:szCs w:val="24"/>
        </w:rPr>
      </w:pPr>
      <w:r>
        <w:rPr>
          <w:rFonts w:cs="Times New Roman"/>
          <w:b/>
          <w:sz w:val="24"/>
          <w:szCs w:val="24"/>
        </w:rPr>
        <w:tab/>
        <w:t>6.7</w:t>
      </w:r>
      <w:r>
        <w:rPr>
          <w:rFonts w:cs="Times New Roman"/>
          <w:b/>
          <w:sz w:val="24"/>
          <w:szCs w:val="24"/>
        </w:rPr>
        <w:tab/>
      </w:r>
      <w:proofErr w:type="spellStart"/>
      <w:r>
        <w:rPr>
          <w:rFonts w:cs="Times New Roman"/>
          <w:b/>
          <w:sz w:val="24"/>
          <w:szCs w:val="24"/>
        </w:rPr>
        <w:t>Dulcolax</w:t>
      </w:r>
      <w:proofErr w:type="spellEnd"/>
      <w:r>
        <w:rPr>
          <w:rFonts w:cs="Times New Roman"/>
          <w:b/>
          <w:sz w:val="24"/>
          <w:szCs w:val="24"/>
        </w:rPr>
        <w:t xml:space="preserve"> 13+</w:t>
      </w:r>
      <w:r w:rsidR="00FA2900">
        <w:rPr>
          <w:rFonts w:cs="Times New Roman"/>
          <w:b/>
          <w:sz w:val="24"/>
          <w:szCs w:val="24"/>
        </w:rPr>
        <w:tab/>
      </w:r>
      <w:r w:rsidR="00FA2900">
        <w:rPr>
          <w:rFonts w:cs="Times New Roman"/>
          <w:b/>
          <w:sz w:val="24"/>
          <w:szCs w:val="24"/>
        </w:rPr>
        <w:tab/>
      </w:r>
      <w:r w:rsidR="00FA2900">
        <w:rPr>
          <w:rFonts w:cs="Times New Roman"/>
          <w:b/>
          <w:sz w:val="24"/>
          <w:szCs w:val="24"/>
        </w:rPr>
        <w:tab/>
      </w:r>
      <w:r w:rsidR="00FA2900">
        <w:rPr>
          <w:rFonts w:cs="Times New Roman"/>
          <w:b/>
          <w:sz w:val="24"/>
          <w:szCs w:val="24"/>
        </w:rPr>
        <w:tab/>
      </w:r>
      <w:r>
        <w:rPr>
          <w:rFonts w:cs="Times New Roman"/>
          <w:b/>
          <w:sz w:val="24"/>
          <w:szCs w:val="24"/>
        </w:rPr>
        <w:t>Every month from 13</w:t>
      </w:r>
    </w:p>
    <w:p w:rsidR="00446143" w:rsidRDefault="00446143" w:rsidP="0086189E">
      <w:pPr>
        <w:rPr>
          <w:rFonts w:cs="Times New Roman"/>
          <w:b/>
          <w:sz w:val="24"/>
          <w:szCs w:val="24"/>
        </w:rPr>
      </w:pPr>
      <w:r>
        <w:rPr>
          <w:rFonts w:cs="Times New Roman"/>
          <w:b/>
          <w:sz w:val="24"/>
          <w:szCs w:val="24"/>
        </w:rPr>
        <w:tab/>
        <w:t>6.8</w:t>
      </w:r>
      <w:r>
        <w:rPr>
          <w:rFonts w:cs="Times New Roman"/>
          <w:b/>
          <w:sz w:val="24"/>
          <w:szCs w:val="24"/>
        </w:rPr>
        <w:tab/>
        <w:t>KY Jelly</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Monthly for life</w:t>
      </w:r>
    </w:p>
    <w:p w:rsidR="00446143" w:rsidRDefault="00446143" w:rsidP="0086189E">
      <w:pPr>
        <w:rPr>
          <w:rFonts w:cs="Times New Roman"/>
          <w:b/>
          <w:sz w:val="24"/>
          <w:szCs w:val="24"/>
        </w:rPr>
      </w:pPr>
      <w:r>
        <w:rPr>
          <w:rFonts w:cs="Times New Roman"/>
          <w:b/>
          <w:sz w:val="24"/>
          <w:szCs w:val="24"/>
        </w:rPr>
        <w:tab/>
        <w:t>6.9</w:t>
      </w:r>
      <w:r>
        <w:rPr>
          <w:rFonts w:cs="Times New Roman"/>
          <w:b/>
          <w:sz w:val="24"/>
          <w:szCs w:val="24"/>
        </w:rPr>
        <w:tab/>
        <w:t>Disp. Gloves</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Every month for life</w:t>
      </w:r>
    </w:p>
    <w:p w:rsidR="00446143" w:rsidRDefault="00446143" w:rsidP="0086189E">
      <w:pPr>
        <w:rPr>
          <w:rFonts w:cs="Times New Roman"/>
          <w:b/>
          <w:sz w:val="24"/>
          <w:szCs w:val="24"/>
        </w:rPr>
      </w:pPr>
      <w:r>
        <w:rPr>
          <w:rFonts w:cs="Times New Roman"/>
          <w:b/>
          <w:sz w:val="24"/>
          <w:szCs w:val="24"/>
        </w:rPr>
        <w:tab/>
      </w:r>
    </w:p>
    <w:p w:rsidR="00446143" w:rsidRDefault="00FA2900" w:rsidP="0086189E">
      <w:pPr>
        <w:rPr>
          <w:rFonts w:cs="Times New Roman"/>
          <w:b/>
          <w:sz w:val="24"/>
          <w:szCs w:val="24"/>
        </w:rPr>
      </w:pPr>
      <w:r>
        <w:rPr>
          <w:rFonts w:cs="Times New Roman"/>
          <w:b/>
          <w:sz w:val="24"/>
          <w:szCs w:val="24"/>
        </w:rPr>
        <w:t>7</w:t>
      </w:r>
      <w:r>
        <w:rPr>
          <w:rFonts w:cs="Times New Roman"/>
          <w:b/>
          <w:sz w:val="24"/>
          <w:szCs w:val="24"/>
        </w:rPr>
        <w:tab/>
        <w:t>REHABILITATION ITEMS</w:t>
      </w:r>
      <w:r>
        <w:rPr>
          <w:rFonts w:cs="Times New Roman"/>
          <w:b/>
          <w:sz w:val="24"/>
          <w:szCs w:val="24"/>
        </w:rPr>
        <w:tab/>
      </w:r>
      <w:r>
        <w:rPr>
          <w:rFonts w:cs="Times New Roman"/>
          <w:b/>
          <w:sz w:val="24"/>
          <w:szCs w:val="24"/>
        </w:rPr>
        <w:tab/>
      </w:r>
      <w:r w:rsidR="00396DBF">
        <w:rPr>
          <w:rFonts w:cs="Times New Roman"/>
          <w:b/>
          <w:sz w:val="24"/>
          <w:szCs w:val="24"/>
        </w:rPr>
        <w:t>FREQUENCY</w:t>
      </w:r>
    </w:p>
    <w:p w:rsidR="00396DBF" w:rsidRDefault="00396DBF" w:rsidP="0086189E">
      <w:pPr>
        <w:rPr>
          <w:rFonts w:cs="Times New Roman"/>
          <w:b/>
          <w:sz w:val="24"/>
          <w:szCs w:val="24"/>
        </w:rPr>
      </w:pPr>
      <w:r>
        <w:rPr>
          <w:rFonts w:cs="Times New Roman"/>
          <w:b/>
          <w:sz w:val="24"/>
          <w:szCs w:val="24"/>
        </w:rPr>
        <w:tab/>
        <w:t>7.1</w:t>
      </w:r>
      <w:r>
        <w:rPr>
          <w:rFonts w:cs="Times New Roman"/>
          <w:b/>
          <w:sz w:val="24"/>
          <w:szCs w:val="24"/>
        </w:rPr>
        <w:tab/>
        <w:t>EEG</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Twice for life</w:t>
      </w:r>
    </w:p>
    <w:p w:rsidR="00396DBF" w:rsidRDefault="00396DBF" w:rsidP="0086189E">
      <w:pPr>
        <w:rPr>
          <w:rFonts w:cs="Times New Roman"/>
          <w:b/>
          <w:sz w:val="24"/>
          <w:szCs w:val="24"/>
        </w:rPr>
      </w:pPr>
      <w:r>
        <w:rPr>
          <w:rFonts w:cs="Times New Roman"/>
          <w:b/>
          <w:sz w:val="24"/>
          <w:szCs w:val="24"/>
        </w:rPr>
        <w:tab/>
        <w:t>7.2</w:t>
      </w:r>
      <w:r>
        <w:rPr>
          <w:rFonts w:cs="Times New Roman"/>
          <w:b/>
          <w:sz w:val="24"/>
          <w:szCs w:val="24"/>
        </w:rPr>
        <w:tab/>
      </w:r>
      <w:r w:rsidR="00B23EDC">
        <w:rPr>
          <w:rFonts w:cs="Times New Roman"/>
          <w:b/>
          <w:sz w:val="24"/>
          <w:szCs w:val="24"/>
        </w:rPr>
        <w:t>Serum drug level testing</w:t>
      </w:r>
      <w:r w:rsidR="00B23EDC">
        <w:rPr>
          <w:rFonts w:cs="Times New Roman"/>
          <w:b/>
          <w:sz w:val="24"/>
          <w:szCs w:val="24"/>
        </w:rPr>
        <w:tab/>
      </w:r>
      <w:r w:rsidR="00B23EDC">
        <w:rPr>
          <w:rFonts w:cs="Times New Roman"/>
          <w:b/>
          <w:sz w:val="24"/>
          <w:szCs w:val="24"/>
        </w:rPr>
        <w:tab/>
        <w:t>Twice annually for life</w:t>
      </w:r>
    </w:p>
    <w:p w:rsidR="00B23EDC" w:rsidRDefault="00B23EDC" w:rsidP="0086189E">
      <w:pPr>
        <w:rPr>
          <w:rFonts w:cs="Times New Roman"/>
          <w:b/>
          <w:sz w:val="24"/>
          <w:szCs w:val="24"/>
        </w:rPr>
      </w:pPr>
      <w:r>
        <w:rPr>
          <w:rFonts w:cs="Times New Roman"/>
          <w:b/>
          <w:sz w:val="24"/>
          <w:szCs w:val="24"/>
        </w:rPr>
        <w:tab/>
        <w:t>7.3</w:t>
      </w:r>
      <w:r>
        <w:rPr>
          <w:rFonts w:cs="Times New Roman"/>
          <w:b/>
          <w:sz w:val="24"/>
          <w:szCs w:val="24"/>
        </w:rPr>
        <w:tab/>
      </w:r>
      <w:proofErr w:type="spellStart"/>
      <w:r>
        <w:rPr>
          <w:rFonts w:cs="Times New Roman"/>
          <w:b/>
          <w:sz w:val="24"/>
          <w:szCs w:val="24"/>
        </w:rPr>
        <w:t>Epilim</w:t>
      </w:r>
      <w:proofErr w:type="spellEnd"/>
      <w:r>
        <w:rPr>
          <w:rFonts w:cs="Times New Roman"/>
          <w:b/>
          <w:sz w:val="24"/>
          <w:szCs w:val="24"/>
        </w:rPr>
        <w:t xml:space="preserve"> 1120 mg daily</w:t>
      </w:r>
      <w:r>
        <w:rPr>
          <w:rFonts w:cs="Times New Roman"/>
          <w:b/>
          <w:sz w:val="24"/>
          <w:szCs w:val="24"/>
        </w:rPr>
        <w:tab/>
      </w:r>
      <w:r>
        <w:rPr>
          <w:rFonts w:cs="Times New Roman"/>
          <w:b/>
          <w:sz w:val="24"/>
          <w:szCs w:val="24"/>
        </w:rPr>
        <w:tab/>
        <w:t>Monthly until 3 years</w:t>
      </w:r>
    </w:p>
    <w:p w:rsidR="00B23EDC" w:rsidRDefault="00B23EDC" w:rsidP="0086189E">
      <w:pPr>
        <w:rPr>
          <w:rFonts w:cs="Times New Roman"/>
          <w:b/>
          <w:sz w:val="24"/>
          <w:szCs w:val="24"/>
        </w:rPr>
      </w:pPr>
      <w:r>
        <w:rPr>
          <w:rFonts w:cs="Times New Roman"/>
          <w:b/>
          <w:sz w:val="24"/>
          <w:szCs w:val="24"/>
        </w:rPr>
        <w:tab/>
        <w:t>7.4</w:t>
      </w:r>
      <w:r>
        <w:rPr>
          <w:rFonts w:cs="Times New Roman"/>
          <w:b/>
          <w:sz w:val="24"/>
          <w:szCs w:val="24"/>
        </w:rPr>
        <w:tab/>
      </w:r>
      <w:proofErr w:type="spellStart"/>
      <w:r>
        <w:rPr>
          <w:rFonts w:cs="Times New Roman"/>
          <w:b/>
          <w:sz w:val="24"/>
          <w:szCs w:val="24"/>
        </w:rPr>
        <w:t>Epi</w:t>
      </w:r>
      <w:r w:rsidR="00676451">
        <w:rPr>
          <w:rFonts w:cs="Times New Roman"/>
          <w:b/>
          <w:sz w:val="24"/>
          <w:szCs w:val="24"/>
        </w:rPr>
        <w:t>l</w:t>
      </w:r>
      <w:r>
        <w:rPr>
          <w:rFonts w:cs="Times New Roman"/>
          <w:b/>
          <w:sz w:val="24"/>
          <w:szCs w:val="24"/>
        </w:rPr>
        <w:t>im</w:t>
      </w:r>
      <w:proofErr w:type="spellEnd"/>
      <w:r>
        <w:rPr>
          <w:rFonts w:cs="Times New Roman"/>
          <w:b/>
          <w:sz w:val="24"/>
          <w:szCs w:val="24"/>
        </w:rPr>
        <w:t xml:space="preserve"> 1400 mg daily</w:t>
      </w:r>
      <w:r>
        <w:rPr>
          <w:rFonts w:cs="Times New Roman"/>
          <w:b/>
          <w:sz w:val="24"/>
          <w:szCs w:val="24"/>
        </w:rPr>
        <w:tab/>
      </w:r>
      <w:r>
        <w:rPr>
          <w:rFonts w:cs="Times New Roman"/>
          <w:b/>
          <w:sz w:val="24"/>
          <w:szCs w:val="24"/>
        </w:rPr>
        <w:tab/>
        <w:t>Monthly from 4 until 8</w:t>
      </w:r>
    </w:p>
    <w:p w:rsidR="00B23EDC" w:rsidRDefault="00B23EDC" w:rsidP="0086189E">
      <w:pPr>
        <w:rPr>
          <w:rFonts w:cs="Times New Roman"/>
          <w:b/>
          <w:sz w:val="24"/>
          <w:szCs w:val="24"/>
        </w:rPr>
      </w:pPr>
      <w:r>
        <w:rPr>
          <w:rFonts w:cs="Times New Roman"/>
          <w:b/>
          <w:sz w:val="24"/>
          <w:szCs w:val="24"/>
        </w:rPr>
        <w:tab/>
        <w:t>7.5</w:t>
      </w:r>
      <w:r>
        <w:rPr>
          <w:rFonts w:cs="Times New Roman"/>
          <w:b/>
          <w:sz w:val="24"/>
          <w:szCs w:val="24"/>
        </w:rPr>
        <w:tab/>
      </w:r>
      <w:proofErr w:type="spellStart"/>
      <w:r>
        <w:rPr>
          <w:rFonts w:cs="Times New Roman"/>
          <w:b/>
          <w:sz w:val="24"/>
          <w:szCs w:val="24"/>
        </w:rPr>
        <w:t>Epilim</w:t>
      </w:r>
      <w:proofErr w:type="spellEnd"/>
      <w:r>
        <w:rPr>
          <w:rFonts w:cs="Times New Roman"/>
          <w:b/>
          <w:sz w:val="24"/>
          <w:szCs w:val="24"/>
        </w:rPr>
        <w:t xml:space="preserve"> 1600 mg daily</w:t>
      </w:r>
      <w:r>
        <w:rPr>
          <w:rFonts w:cs="Times New Roman"/>
          <w:b/>
          <w:sz w:val="24"/>
          <w:szCs w:val="24"/>
        </w:rPr>
        <w:tab/>
      </w:r>
      <w:r>
        <w:rPr>
          <w:rFonts w:cs="Times New Roman"/>
          <w:b/>
          <w:sz w:val="24"/>
          <w:szCs w:val="24"/>
        </w:rPr>
        <w:tab/>
      </w:r>
      <w:r w:rsidR="00FA2900">
        <w:rPr>
          <w:rFonts w:cs="Times New Roman"/>
          <w:b/>
          <w:sz w:val="24"/>
          <w:szCs w:val="24"/>
        </w:rPr>
        <w:t>M</w:t>
      </w:r>
      <w:r>
        <w:rPr>
          <w:rFonts w:cs="Times New Roman"/>
          <w:b/>
          <w:sz w:val="24"/>
          <w:szCs w:val="24"/>
        </w:rPr>
        <w:t>onthly from 9 until 13</w:t>
      </w:r>
    </w:p>
    <w:p w:rsidR="00B23EDC" w:rsidRDefault="00B23EDC" w:rsidP="0086189E">
      <w:pPr>
        <w:rPr>
          <w:rFonts w:cs="Times New Roman"/>
          <w:b/>
          <w:sz w:val="24"/>
          <w:szCs w:val="24"/>
        </w:rPr>
      </w:pPr>
      <w:r>
        <w:rPr>
          <w:rFonts w:cs="Times New Roman"/>
          <w:b/>
          <w:sz w:val="24"/>
          <w:szCs w:val="24"/>
        </w:rPr>
        <w:tab/>
        <w:t>7.6</w:t>
      </w:r>
      <w:r>
        <w:rPr>
          <w:rFonts w:cs="Times New Roman"/>
          <w:b/>
          <w:sz w:val="24"/>
          <w:szCs w:val="24"/>
        </w:rPr>
        <w:tab/>
      </w:r>
      <w:proofErr w:type="spellStart"/>
      <w:r>
        <w:rPr>
          <w:rFonts w:cs="Times New Roman"/>
          <w:b/>
          <w:sz w:val="24"/>
          <w:szCs w:val="24"/>
        </w:rPr>
        <w:t>Epilim</w:t>
      </w:r>
      <w:proofErr w:type="spellEnd"/>
      <w:r>
        <w:rPr>
          <w:rFonts w:cs="Times New Roman"/>
          <w:b/>
          <w:sz w:val="24"/>
          <w:szCs w:val="24"/>
        </w:rPr>
        <w:t xml:space="preserve"> 1750 mg daily</w:t>
      </w:r>
      <w:r>
        <w:rPr>
          <w:rFonts w:cs="Times New Roman"/>
          <w:b/>
          <w:sz w:val="24"/>
          <w:szCs w:val="24"/>
        </w:rPr>
        <w:tab/>
      </w:r>
      <w:r>
        <w:rPr>
          <w:rFonts w:cs="Times New Roman"/>
          <w:b/>
          <w:sz w:val="24"/>
          <w:szCs w:val="24"/>
        </w:rPr>
        <w:tab/>
        <w:t>Monthly from 14 years for life</w:t>
      </w:r>
    </w:p>
    <w:p w:rsidR="00B23EDC" w:rsidRDefault="006A7854" w:rsidP="0086189E">
      <w:pPr>
        <w:rPr>
          <w:rFonts w:cs="Times New Roman"/>
          <w:b/>
          <w:sz w:val="24"/>
          <w:szCs w:val="24"/>
        </w:rPr>
      </w:pPr>
      <w:r>
        <w:rPr>
          <w:rFonts w:cs="Times New Roman"/>
          <w:b/>
          <w:sz w:val="24"/>
          <w:szCs w:val="24"/>
        </w:rPr>
        <w:tab/>
        <w:t>7.7</w:t>
      </w:r>
      <w:r>
        <w:rPr>
          <w:rFonts w:cs="Times New Roman"/>
          <w:b/>
          <w:sz w:val="24"/>
          <w:szCs w:val="24"/>
        </w:rPr>
        <w:tab/>
        <w:t>Baclofe</w:t>
      </w:r>
      <w:r w:rsidR="00B23EDC">
        <w:rPr>
          <w:rFonts w:cs="Times New Roman"/>
          <w:b/>
          <w:sz w:val="24"/>
          <w:szCs w:val="24"/>
        </w:rPr>
        <w:t>n 30 mg daily</w:t>
      </w:r>
      <w:r w:rsidR="00B23EDC">
        <w:rPr>
          <w:rFonts w:cs="Times New Roman"/>
          <w:b/>
          <w:sz w:val="24"/>
          <w:szCs w:val="24"/>
        </w:rPr>
        <w:tab/>
      </w:r>
      <w:r w:rsidR="00B23EDC">
        <w:rPr>
          <w:rFonts w:cs="Times New Roman"/>
          <w:b/>
          <w:sz w:val="24"/>
          <w:szCs w:val="24"/>
        </w:rPr>
        <w:tab/>
      </w:r>
      <w:r w:rsidR="00B23EDC">
        <w:rPr>
          <w:rFonts w:cs="Times New Roman"/>
          <w:b/>
          <w:sz w:val="24"/>
          <w:szCs w:val="24"/>
        </w:rPr>
        <w:tab/>
        <w:t>Monthly until 6 years</w:t>
      </w:r>
    </w:p>
    <w:p w:rsidR="00B23EDC" w:rsidRDefault="006A7854" w:rsidP="0086189E">
      <w:pPr>
        <w:rPr>
          <w:rFonts w:cs="Times New Roman"/>
          <w:b/>
          <w:sz w:val="24"/>
          <w:szCs w:val="24"/>
        </w:rPr>
      </w:pPr>
      <w:r>
        <w:rPr>
          <w:rFonts w:cs="Times New Roman"/>
          <w:b/>
          <w:sz w:val="24"/>
          <w:szCs w:val="24"/>
        </w:rPr>
        <w:lastRenderedPageBreak/>
        <w:tab/>
        <w:t>7.8</w:t>
      </w:r>
      <w:r>
        <w:rPr>
          <w:rFonts w:cs="Times New Roman"/>
          <w:b/>
          <w:sz w:val="24"/>
          <w:szCs w:val="24"/>
        </w:rPr>
        <w:tab/>
        <w:t>Baclofe</w:t>
      </w:r>
      <w:r w:rsidR="00B23EDC">
        <w:rPr>
          <w:rFonts w:cs="Times New Roman"/>
          <w:b/>
          <w:sz w:val="24"/>
          <w:szCs w:val="24"/>
        </w:rPr>
        <w:t>n 50 mg daily</w:t>
      </w:r>
      <w:r w:rsidR="00B23EDC">
        <w:rPr>
          <w:rFonts w:cs="Times New Roman"/>
          <w:b/>
          <w:sz w:val="24"/>
          <w:szCs w:val="24"/>
        </w:rPr>
        <w:tab/>
      </w:r>
      <w:r w:rsidR="00B23EDC">
        <w:rPr>
          <w:rFonts w:cs="Times New Roman"/>
          <w:b/>
          <w:sz w:val="24"/>
          <w:szCs w:val="24"/>
        </w:rPr>
        <w:tab/>
      </w:r>
      <w:r w:rsidR="00B23EDC">
        <w:rPr>
          <w:rFonts w:cs="Times New Roman"/>
          <w:b/>
          <w:sz w:val="24"/>
          <w:szCs w:val="24"/>
        </w:rPr>
        <w:tab/>
        <w:t>Monthly from 7 years for life</w:t>
      </w:r>
    </w:p>
    <w:p w:rsidR="00B23EDC" w:rsidRDefault="00B23EDC" w:rsidP="0086189E">
      <w:pPr>
        <w:rPr>
          <w:rFonts w:cs="Times New Roman"/>
          <w:b/>
          <w:sz w:val="24"/>
          <w:szCs w:val="24"/>
        </w:rPr>
      </w:pPr>
      <w:r>
        <w:rPr>
          <w:rFonts w:cs="Times New Roman"/>
          <w:b/>
          <w:sz w:val="24"/>
          <w:szCs w:val="24"/>
        </w:rPr>
        <w:tab/>
      </w:r>
    </w:p>
    <w:p w:rsidR="00B23EDC" w:rsidRDefault="00B23EDC" w:rsidP="0086189E">
      <w:pPr>
        <w:rPr>
          <w:rFonts w:cs="Times New Roman"/>
          <w:b/>
          <w:sz w:val="24"/>
          <w:szCs w:val="24"/>
        </w:rPr>
      </w:pPr>
      <w:r>
        <w:rPr>
          <w:rFonts w:cs="Times New Roman"/>
          <w:b/>
          <w:sz w:val="24"/>
          <w:szCs w:val="24"/>
        </w:rPr>
        <w:t>8</w:t>
      </w:r>
      <w:r>
        <w:rPr>
          <w:rFonts w:cs="Times New Roman"/>
          <w:b/>
          <w:sz w:val="24"/>
          <w:szCs w:val="24"/>
        </w:rPr>
        <w:tab/>
        <w:t>SPEECH &amp; LANGUAGE THERAPY ITEMS</w:t>
      </w:r>
      <w:r>
        <w:rPr>
          <w:rFonts w:cs="Times New Roman"/>
          <w:b/>
          <w:sz w:val="24"/>
          <w:szCs w:val="24"/>
        </w:rPr>
        <w:tab/>
        <w:t xml:space="preserve">    FREQUENCY</w:t>
      </w:r>
    </w:p>
    <w:p w:rsidR="00B23EDC" w:rsidRDefault="00B23EDC" w:rsidP="0086189E">
      <w:pPr>
        <w:rPr>
          <w:rFonts w:cs="Times New Roman"/>
          <w:b/>
          <w:sz w:val="24"/>
          <w:szCs w:val="24"/>
        </w:rPr>
      </w:pPr>
      <w:r>
        <w:rPr>
          <w:rFonts w:cs="Times New Roman"/>
          <w:b/>
          <w:sz w:val="24"/>
          <w:szCs w:val="24"/>
        </w:rPr>
        <w:tab/>
        <w:t>8.1</w:t>
      </w:r>
      <w:r>
        <w:rPr>
          <w:rFonts w:cs="Times New Roman"/>
          <w:b/>
          <w:sz w:val="24"/>
          <w:szCs w:val="24"/>
        </w:rPr>
        <w:tab/>
        <w:t>Specialised spoons and cups</w:t>
      </w:r>
      <w:r>
        <w:rPr>
          <w:rFonts w:cs="Times New Roman"/>
          <w:b/>
          <w:sz w:val="24"/>
          <w:szCs w:val="24"/>
        </w:rPr>
        <w:tab/>
      </w:r>
      <w:r>
        <w:rPr>
          <w:rFonts w:cs="Times New Roman"/>
          <w:b/>
          <w:sz w:val="24"/>
          <w:szCs w:val="24"/>
        </w:rPr>
        <w:tab/>
      </w:r>
      <w:r>
        <w:rPr>
          <w:rFonts w:cs="Times New Roman"/>
          <w:b/>
          <w:sz w:val="24"/>
          <w:szCs w:val="24"/>
        </w:rPr>
        <w:tab/>
        <w:t xml:space="preserve">     Once off</w:t>
      </w:r>
    </w:p>
    <w:p w:rsidR="00B23EDC" w:rsidRDefault="004A272A" w:rsidP="0086189E">
      <w:pPr>
        <w:rPr>
          <w:rFonts w:cs="Times New Roman"/>
          <w:b/>
          <w:sz w:val="24"/>
          <w:szCs w:val="24"/>
        </w:rPr>
      </w:pPr>
      <w:r>
        <w:rPr>
          <w:rFonts w:cs="Times New Roman"/>
          <w:b/>
          <w:sz w:val="24"/>
          <w:szCs w:val="24"/>
        </w:rPr>
        <w:tab/>
        <w:t>8.2</w:t>
      </w:r>
      <w:r>
        <w:rPr>
          <w:rFonts w:cs="Times New Roman"/>
          <w:b/>
          <w:sz w:val="24"/>
          <w:szCs w:val="24"/>
        </w:rPr>
        <w:tab/>
        <w:t>Oro motor skills kit</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Once off</w:t>
      </w:r>
    </w:p>
    <w:p w:rsidR="004A272A" w:rsidRDefault="006A7854" w:rsidP="0086189E">
      <w:pPr>
        <w:rPr>
          <w:rFonts w:cs="Times New Roman"/>
          <w:b/>
          <w:sz w:val="24"/>
          <w:szCs w:val="24"/>
        </w:rPr>
      </w:pPr>
      <w:r>
        <w:rPr>
          <w:rFonts w:cs="Times New Roman"/>
          <w:b/>
          <w:sz w:val="24"/>
          <w:szCs w:val="24"/>
        </w:rPr>
        <w:tab/>
        <w:t>8.3</w:t>
      </w:r>
      <w:r>
        <w:rPr>
          <w:rFonts w:cs="Times New Roman"/>
          <w:b/>
          <w:sz w:val="24"/>
          <w:szCs w:val="24"/>
        </w:rPr>
        <w:tab/>
        <w:t xml:space="preserve">Low technology and </w:t>
      </w:r>
      <w:r w:rsidR="004A272A">
        <w:rPr>
          <w:rFonts w:cs="Times New Roman"/>
          <w:b/>
          <w:sz w:val="24"/>
          <w:szCs w:val="24"/>
        </w:rPr>
        <w:t>therapeutic toys</w:t>
      </w:r>
      <w:r w:rsidR="004A272A">
        <w:rPr>
          <w:rFonts w:cs="Times New Roman"/>
          <w:b/>
          <w:sz w:val="24"/>
          <w:szCs w:val="24"/>
        </w:rPr>
        <w:tab/>
      </w:r>
      <w:r w:rsidR="00140CFE">
        <w:rPr>
          <w:rFonts w:cs="Times New Roman"/>
          <w:b/>
          <w:sz w:val="24"/>
          <w:szCs w:val="24"/>
        </w:rPr>
        <w:t xml:space="preserve">     </w:t>
      </w:r>
      <w:r w:rsidR="004A272A">
        <w:rPr>
          <w:rFonts w:cs="Times New Roman"/>
          <w:b/>
          <w:sz w:val="24"/>
          <w:szCs w:val="24"/>
        </w:rPr>
        <w:t>Annually</w:t>
      </w:r>
    </w:p>
    <w:p w:rsidR="004A272A" w:rsidRDefault="004A272A" w:rsidP="0086189E">
      <w:pPr>
        <w:rPr>
          <w:rFonts w:cs="Times New Roman"/>
          <w:b/>
          <w:sz w:val="24"/>
          <w:szCs w:val="24"/>
        </w:rPr>
      </w:pPr>
    </w:p>
    <w:p w:rsidR="00643903" w:rsidRDefault="00D866C9" w:rsidP="00D866C9">
      <w:pPr>
        <w:ind w:left="720" w:firstLine="720"/>
        <w:rPr>
          <w:rFonts w:cs="Times New Roman"/>
          <w:b/>
          <w:szCs w:val="28"/>
        </w:rPr>
      </w:pPr>
      <w:r>
        <w:rPr>
          <w:rFonts w:cs="Times New Roman"/>
          <w:b/>
          <w:szCs w:val="28"/>
        </w:rPr>
        <w:t xml:space="preserve">                             </w:t>
      </w:r>
      <w:r w:rsidR="004A272A">
        <w:rPr>
          <w:rFonts w:cs="Times New Roman"/>
          <w:b/>
          <w:szCs w:val="28"/>
        </w:rPr>
        <w:t>ANNEXURE “C”</w:t>
      </w:r>
    </w:p>
    <w:p w:rsidR="004A272A" w:rsidRDefault="00CD01E7" w:rsidP="00CA3C82">
      <w:pPr>
        <w:jc w:val="left"/>
        <w:rPr>
          <w:rFonts w:cs="Times New Roman"/>
          <w:b/>
          <w:szCs w:val="28"/>
        </w:rPr>
      </w:pPr>
      <w:proofErr w:type="gramStart"/>
      <w:r>
        <w:rPr>
          <w:rFonts w:cs="Times New Roman"/>
          <w:b/>
          <w:szCs w:val="28"/>
        </w:rPr>
        <w:t>N</w:t>
      </w:r>
      <w:r w:rsidR="003048CA">
        <w:rPr>
          <w:rFonts w:cs="Times New Roman"/>
          <w:szCs w:val="28"/>
        </w:rPr>
        <w:t>[</w:t>
      </w:r>
      <w:proofErr w:type="gramEnd"/>
      <w:r w:rsidR="003048CA">
        <w:rPr>
          <w:rFonts w:cs="Times New Roman"/>
          <w:szCs w:val="28"/>
        </w:rPr>
        <w:t>…]</w:t>
      </w:r>
      <w:r>
        <w:rPr>
          <w:rFonts w:cs="Times New Roman"/>
          <w:b/>
          <w:szCs w:val="28"/>
        </w:rPr>
        <w:t xml:space="preserve"> v MEC HEALTH EC</w:t>
      </w:r>
    </w:p>
    <w:p w:rsidR="003B499B" w:rsidRDefault="00CD01E7" w:rsidP="00CD01E7">
      <w:pPr>
        <w:jc w:val="left"/>
        <w:rPr>
          <w:rFonts w:cs="Times New Roman"/>
          <w:b/>
          <w:szCs w:val="28"/>
        </w:rPr>
      </w:pPr>
      <w:r>
        <w:rPr>
          <w:rFonts w:cs="Times New Roman"/>
          <w:b/>
          <w:szCs w:val="28"/>
        </w:rPr>
        <w:t>LIST OF ITEMS IN RESPECT OF WHICH UNDERTAKING TO PAY APPLIES</w:t>
      </w:r>
    </w:p>
    <w:p w:rsidR="00897A1D" w:rsidRDefault="00897A1D" w:rsidP="00CD01E7">
      <w:pPr>
        <w:jc w:val="left"/>
        <w:rPr>
          <w:rFonts w:cs="Times New Roman"/>
          <w:b/>
          <w:sz w:val="24"/>
          <w:szCs w:val="24"/>
        </w:rPr>
      </w:pPr>
      <w:r>
        <w:rPr>
          <w:rFonts w:cs="Times New Roman"/>
          <w:b/>
          <w:sz w:val="24"/>
          <w:szCs w:val="24"/>
        </w:rPr>
        <w:t>SERVICE / SUPPLY</w:t>
      </w:r>
      <w:r>
        <w:rPr>
          <w:rFonts w:cs="Times New Roman"/>
          <w:b/>
          <w:sz w:val="24"/>
          <w:szCs w:val="24"/>
        </w:rPr>
        <w:tab/>
      </w:r>
      <w:r>
        <w:rPr>
          <w:rFonts w:cs="Times New Roman"/>
          <w:b/>
          <w:sz w:val="24"/>
          <w:szCs w:val="24"/>
        </w:rPr>
        <w:tab/>
      </w:r>
      <w:r>
        <w:rPr>
          <w:rFonts w:cs="Times New Roman"/>
          <w:b/>
          <w:sz w:val="24"/>
          <w:szCs w:val="24"/>
        </w:rPr>
        <w:tab/>
        <w:t>FREQUENCY</w:t>
      </w:r>
    </w:p>
    <w:p w:rsidR="00897A1D" w:rsidRDefault="00CD1C70" w:rsidP="00CD01E7">
      <w:pPr>
        <w:jc w:val="left"/>
        <w:rPr>
          <w:rFonts w:cs="Times New Roman"/>
          <w:b/>
          <w:sz w:val="24"/>
          <w:szCs w:val="24"/>
        </w:rPr>
      </w:pPr>
      <w:r>
        <w:rPr>
          <w:rFonts w:cs="Times New Roman"/>
          <w:b/>
          <w:sz w:val="24"/>
          <w:szCs w:val="24"/>
        </w:rPr>
        <w:t>Day care facility</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Every month until 18 years</w:t>
      </w:r>
    </w:p>
    <w:p w:rsidR="00CD1C70" w:rsidRDefault="00CD1C70" w:rsidP="00CD1C70">
      <w:pPr>
        <w:ind w:left="2160" w:hanging="2160"/>
        <w:jc w:val="left"/>
        <w:rPr>
          <w:rFonts w:cs="Times New Roman"/>
          <w:b/>
          <w:sz w:val="24"/>
          <w:szCs w:val="24"/>
        </w:rPr>
      </w:pPr>
      <w:r>
        <w:rPr>
          <w:rFonts w:cs="Times New Roman"/>
          <w:b/>
          <w:sz w:val="24"/>
          <w:szCs w:val="24"/>
        </w:rPr>
        <w:t>Two caregivers</w:t>
      </w:r>
      <w:r w:rsidR="00E771BA">
        <w:rPr>
          <w:rFonts w:cs="Times New Roman"/>
          <w:b/>
          <w:sz w:val="24"/>
          <w:szCs w:val="24"/>
        </w:rPr>
        <w:t>¹</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Full time 6 days per week with Sunday work                   </w:t>
      </w:r>
    </w:p>
    <w:p w:rsidR="00CD1C70" w:rsidRDefault="00CD1C70" w:rsidP="00CD1C70">
      <w:pPr>
        <w:ind w:left="2160" w:hanging="2160"/>
        <w:jc w:val="left"/>
        <w:rPr>
          <w:rFonts w:cs="Times New Roman"/>
          <w:b/>
          <w:sz w:val="24"/>
          <w:szCs w:val="24"/>
        </w:rPr>
      </w:pPr>
      <w:r>
        <w:rPr>
          <w:rFonts w:cs="Times New Roman"/>
          <w:b/>
          <w:sz w:val="24"/>
          <w:szCs w:val="24"/>
        </w:rPr>
        <w:t xml:space="preserve">                                                                        </w:t>
      </w:r>
      <w:r w:rsidR="006A2F94">
        <w:rPr>
          <w:rFonts w:cs="Times New Roman"/>
          <w:b/>
          <w:sz w:val="24"/>
          <w:szCs w:val="24"/>
        </w:rPr>
        <w:t xml:space="preserve">paid at 1.5 times in terms of </w:t>
      </w:r>
      <w:r w:rsidR="00A97AA8">
        <w:rPr>
          <w:rFonts w:cs="Times New Roman"/>
          <w:b/>
          <w:sz w:val="24"/>
          <w:szCs w:val="24"/>
        </w:rPr>
        <w:t>S 16(1) of</w:t>
      </w:r>
      <w:r>
        <w:rPr>
          <w:rFonts w:cs="Times New Roman"/>
          <w:b/>
          <w:sz w:val="24"/>
          <w:szCs w:val="24"/>
        </w:rPr>
        <w:t xml:space="preserve">    </w:t>
      </w:r>
    </w:p>
    <w:p w:rsidR="00CD1C70" w:rsidRDefault="00CD1C70" w:rsidP="00CD1C70">
      <w:pPr>
        <w:ind w:left="2160" w:hanging="2160"/>
        <w:jc w:val="left"/>
        <w:rPr>
          <w:rFonts w:cs="Times New Roman"/>
          <w:b/>
          <w:sz w:val="24"/>
          <w:szCs w:val="24"/>
        </w:rPr>
      </w:pPr>
      <w:r>
        <w:rPr>
          <w:rFonts w:cs="Times New Roman"/>
          <w:b/>
          <w:sz w:val="24"/>
          <w:szCs w:val="24"/>
        </w:rPr>
        <w:t xml:space="preserve">                                                                        Act 75/1997</w:t>
      </w:r>
    </w:p>
    <w:p w:rsidR="00A97AA8" w:rsidRDefault="006A2F94" w:rsidP="00CD1C70">
      <w:pPr>
        <w:ind w:left="2160" w:hanging="2160"/>
        <w:jc w:val="left"/>
        <w:rPr>
          <w:rFonts w:cs="Times New Roman"/>
          <w:b/>
          <w:sz w:val="24"/>
          <w:szCs w:val="24"/>
        </w:rPr>
      </w:pPr>
      <w:r>
        <w:rPr>
          <w:rFonts w:cs="Times New Roman"/>
          <w:b/>
          <w:sz w:val="24"/>
          <w:szCs w:val="24"/>
        </w:rPr>
        <w:t>Alternative to t</w:t>
      </w:r>
      <w:r w:rsidR="00A97AA8">
        <w:rPr>
          <w:rFonts w:cs="Times New Roman"/>
          <w:b/>
          <w:sz w:val="24"/>
          <w:szCs w:val="24"/>
        </w:rPr>
        <w:t>wo caregivers from</w:t>
      </w:r>
      <w:r w:rsidR="00A97AA8">
        <w:rPr>
          <w:rFonts w:cs="Times New Roman"/>
          <w:b/>
          <w:sz w:val="24"/>
          <w:szCs w:val="24"/>
        </w:rPr>
        <w:tab/>
      </w:r>
      <w:r w:rsidR="00E771BA">
        <w:rPr>
          <w:rFonts w:cs="Times New Roman"/>
          <w:b/>
          <w:sz w:val="24"/>
          <w:szCs w:val="24"/>
        </w:rPr>
        <w:tab/>
      </w:r>
      <w:proofErr w:type="spellStart"/>
      <w:r w:rsidR="00A97AA8">
        <w:rPr>
          <w:rFonts w:cs="Times New Roman"/>
          <w:b/>
          <w:sz w:val="24"/>
          <w:szCs w:val="24"/>
        </w:rPr>
        <w:t>From</w:t>
      </w:r>
      <w:proofErr w:type="spellEnd"/>
      <w:r w:rsidR="00A97AA8">
        <w:rPr>
          <w:rFonts w:cs="Times New Roman"/>
          <w:b/>
          <w:sz w:val="24"/>
          <w:szCs w:val="24"/>
        </w:rPr>
        <w:t xml:space="preserve"> 18 years for life </w:t>
      </w:r>
    </w:p>
    <w:p w:rsidR="00A97AA8" w:rsidRDefault="00A97AA8" w:rsidP="00CD1C70">
      <w:pPr>
        <w:ind w:left="2160" w:hanging="2160"/>
        <w:jc w:val="left"/>
        <w:rPr>
          <w:rFonts w:cs="Times New Roman"/>
          <w:b/>
          <w:sz w:val="24"/>
          <w:szCs w:val="24"/>
        </w:rPr>
      </w:pPr>
      <w:r>
        <w:rPr>
          <w:rFonts w:cs="Times New Roman"/>
          <w:b/>
          <w:sz w:val="24"/>
          <w:szCs w:val="24"/>
        </w:rPr>
        <w:t>18 permanent residential facility</w:t>
      </w:r>
    </w:p>
    <w:p w:rsidR="00F10348" w:rsidRDefault="00F10348" w:rsidP="00CD1C70">
      <w:pPr>
        <w:ind w:left="2160" w:hanging="2160"/>
        <w:jc w:val="left"/>
        <w:rPr>
          <w:rFonts w:cs="Times New Roman"/>
          <w:b/>
          <w:sz w:val="24"/>
          <w:szCs w:val="24"/>
        </w:rPr>
      </w:pPr>
    </w:p>
    <w:p w:rsidR="00A97AA8" w:rsidRDefault="00A97AA8" w:rsidP="00CD1C70">
      <w:pPr>
        <w:ind w:left="2160" w:hanging="2160"/>
        <w:jc w:val="left"/>
        <w:rPr>
          <w:rFonts w:cs="Times New Roman"/>
          <w:b/>
          <w:sz w:val="24"/>
          <w:szCs w:val="24"/>
        </w:rPr>
      </w:pPr>
      <w:r>
        <w:rPr>
          <w:rFonts w:cs="Times New Roman"/>
          <w:b/>
          <w:sz w:val="24"/>
          <w:szCs w:val="24"/>
        </w:rPr>
        <w:t>Washing machine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Every 10 years</w:t>
      </w:r>
    </w:p>
    <w:p w:rsidR="00A97AA8" w:rsidRDefault="00A97AA8" w:rsidP="00CD1C70">
      <w:pPr>
        <w:ind w:left="2160" w:hanging="2160"/>
        <w:jc w:val="left"/>
        <w:rPr>
          <w:rFonts w:cs="Times New Roman"/>
          <w:b/>
          <w:sz w:val="24"/>
          <w:szCs w:val="24"/>
        </w:rPr>
      </w:pPr>
      <w:r>
        <w:rPr>
          <w:rFonts w:cs="Times New Roman"/>
          <w:b/>
          <w:sz w:val="24"/>
          <w:szCs w:val="24"/>
        </w:rPr>
        <w:t>Private case manager</w:t>
      </w:r>
      <w:r>
        <w:rPr>
          <w:rFonts w:cs="Times New Roman"/>
          <w:b/>
          <w:sz w:val="24"/>
          <w:szCs w:val="24"/>
        </w:rPr>
        <w:tab/>
      </w:r>
      <w:r>
        <w:rPr>
          <w:rFonts w:cs="Times New Roman"/>
          <w:b/>
          <w:sz w:val="24"/>
          <w:szCs w:val="24"/>
        </w:rPr>
        <w:tab/>
      </w:r>
      <w:r>
        <w:rPr>
          <w:rFonts w:cs="Times New Roman"/>
          <w:b/>
          <w:sz w:val="24"/>
          <w:szCs w:val="24"/>
        </w:rPr>
        <w:tab/>
        <w:t>8 hours at commencement</w:t>
      </w:r>
    </w:p>
    <w:p w:rsidR="00A97AA8" w:rsidRDefault="0032441C" w:rsidP="00CD1C70">
      <w:pPr>
        <w:ind w:left="2160" w:hanging="2160"/>
        <w:jc w:val="left"/>
        <w:rPr>
          <w:rFonts w:cs="Times New Roman"/>
          <w:b/>
          <w:sz w:val="24"/>
          <w:szCs w:val="24"/>
        </w:rPr>
      </w:pPr>
      <w:r>
        <w:rPr>
          <w:rFonts w:cs="Times New Roman"/>
          <w:b/>
          <w:sz w:val="24"/>
          <w:szCs w:val="24"/>
        </w:rPr>
        <w:t>Private case manager</w:t>
      </w:r>
      <w:r>
        <w:rPr>
          <w:rFonts w:cs="Times New Roman"/>
          <w:b/>
          <w:sz w:val="24"/>
          <w:szCs w:val="24"/>
        </w:rPr>
        <w:tab/>
      </w:r>
      <w:r>
        <w:rPr>
          <w:rFonts w:cs="Times New Roman"/>
          <w:b/>
          <w:sz w:val="24"/>
          <w:szCs w:val="24"/>
        </w:rPr>
        <w:tab/>
      </w:r>
      <w:r>
        <w:rPr>
          <w:rFonts w:cs="Times New Roman"/>
          <w:b/>
          <w:sz w:val="24"/>
          <w:szCs w:val="24"/>
        </w:rPr>
        <w:tab/>
        <w:t>8 hours at 17</w:t>
      </w:r>
      <w:r w:rsidRPr="0032441C">
        <w:rPr>
          <w:rFonts w:cs="Times New Roman"/>
          <w:b/>
          <w:sz w:val="24"/>
          <w:szCs w:val="24"/>
          <w:vertAlign w:val="superscript"/>
        </w:rPr>
        <w:t>th</w:t>
      </w:r>
      <w:r>
        <w:rPr>
          <w:rFonts w:cs="Times New Roman"/>
          <w:b/>
          <w:sz w:val="24"/>
          <w:szCs w:val="24"/>
        </w:rPr>
        <w:t xml:space="preserve"> birthday</w:t>
      </w:r>
    </w:p>
    <w:p w:rsidR="0032441C" w:rsidRDefault="0032441C" w:rsidP="00CD1C70">
      <w:pPr>
        <w:ind w:left="2160" w:hanging="2160"/>
        <w:jc w:val="left"/>
        <w:rPr>
          <w:rFonts w:cs="Times New Roman"/>
          <w:b/>
          <w:sz w:val="24"/>
          <w:szCs w:val="24"/>
        </w:rPr>
      </w:pPr>
      <w:r>
        <w:rPr>
          <w:rFonts w:cs="Times New Roman"/>
          <w:b/>
          <w:sz w:val="24"/>
          <w:szCs w:val="24"/>
        </w:rPr>
        <w:t>Private case manager</w:t>
      </w:r>
      <w:r>
        <w:rPr>
          <w:rFonts w:cs="Times New Roman"/>
          <w:b/>
          <w:sz w:val="24"/>
          <w:szCs w:val="24"/>
        </w:rPr>
        <w:tab/>
      </w:r>
      <w:r>
        <w:rPr>
          <w:rFonts w:cs="Times New Roman"/>
          <w:b/>
          <w:sz w:val="24"/>
          <w:szCs w:val="24"/>
        </w:rPr>
        <w:tab/>
      </w:r>
      <w:r>
        <w:rPr>
          <w:rFonts w:cs="Times New Roman"/>
          <w:b/>
          <w:sz w:val="24"/>
          <w:szCs w:val="24"/>
        </w:rPr>
        <w:tab/>
        <w:t>4 hours every June</w:t>
      </w:r>
    </w:p>
    <w:p w:rsidR="0032441C" w:rsidRDefault="0032441C" w:rsidP="0032441C">
      <w:pPr>
        <w:ind w:left="2880" w:hanging="2880"/>
        <w:jc w:val="left"/>
        <w:rPr>
          <w:rFonts w:cs="Times New Roman"/>
          <w:b/>
          <w:sz w:val="24"/>
          <w:szCs w:val="24"/>
        </w:rPr>
      </w:pPr>
      <w:r>
        <w:rPr>
          <w:rFonts w:cs="Times New Roman"/>
          <w:b/>
          <w:sz w:val="24"/>
          <w:szCs w:val="24"/>
        </w:rPr>
        <w:t>Private case manager</w:t>
      </w:r>
      <w:r>
        <w:rPr>
          <w:rFonts w:cs="Times New Roman"/>
          <w:b/>
          <w:sz w:val="24"/>
          <w:szCs w:val="24"/>
        </w:rPr>
        <w:tab/>
      </w:r>
      <w:r>
        <w:rPr>
          <w:rFonts w:cs="Times New Roman"/>
          <w:b/>
          <w:sz w:val="24"/>
          <w:szCs w:val="24"/>
        </w:rPr>
        <w:tab/>
      </w:r>
      <w:r>
        <w:rPr>
          <w:rFonts w:cs="Times New Roman"/>
          <w:b/>
          <w:sz w:val="24"/>
          <w:szCs w:val="24"/>
        </w:rPr>
        <w:tab/>
        <w:t xml:space="preserve">Save for June, 2 hours monthly for the first          </w:t>
      </w:r>
    </w:p>
    <w:p w:rsidR="0032441C" w:rsidRDefault="0032441C" w:rsidP="0032441C">
      <w:pPr>
        <w:ind w:left="4320"/>
        <w:jc w:val="left"/>
        <w:rPr>
          <w:rFonts w:cs="Times New Roman"/>
          <w:b/>
          <w:sz w:val="24"/>
          <w:szCs w:val="24"/>
        </w:rPr>
      </w:pPr>
      <w:r>
        <w:rPr>
          <w:rFonts w:cs="Times New Roman"/>
          <w:b/>
          <w:sz w:val="24"/>
          <w:szCs w:val="24"/>
        </w:rPr>
        <w:lastRenderedPageBreak/>
        <w:t>2 years</w:t>
      </w:r>
    </w:p>
    <w:p w:rsidR="007564BC" w:rsidRDefault="007564BC" w:rsidP="007564BC">
      <w:pPr>
        <w:jc w:val="left"/>
        <w:rPr>
          <w:rFonts w:cs="Times New Roman"/>
          <w:b/>
          <w:sz w:val="24"/>
          <w:szCs w:val="24"/>
        </w:rPr>
      </w:pPr>
      <w:r>
        <w:rPr>
          <w:rFonts w:cs="Times New Roman"/>
          <w:b/>
          <w:sz w:val="24"/>
          <w:szCs w:val="24"/>
        </w:rPr>
        <w:t>Private case manager</w:t>
      </w:r>
      <w:r>
        <w:rPr>
          <w:rFonts w:cs="Times New Roman"/>
          <w:b/>
          <w:sz w:val="24"/>
          <w:szCs w:val="24"/>
        </w:rPr>
        <w:tab/>
      </w:r>
      <w:r>
        <w:rPr>
          <w:rFonts w:cs="Times New Roman"/>
          <w:b/>
          <w:sz w:val="24"/>
          <w:szCs w:val="24"/>
        </w:rPr>
        <w:tab/>
      </w:r>
      <w:r>
        <w:rPr>
          <w:rFonts w:cs="Times New Roman"/>
          <w:b/>
          <w:sz w:val="24"/>
          <w:szCs w:val="24"/>
        </w:rPr>
        <w:tab/>
        <w:t xml:space="preserve">Save for June, 1 hour per month after the </w:t>
      </w:r>
    </w:p>
    <w:p w:rsidR="007564BC" w:rsidRDefault="007564BC" w:rsidP="007564BC">
      <w:pPr>
        <w:ind w:left="4320"/>
        <w:jc w:val="left"/>
        <w:rPr>
          <w:rFonts w:cs="Times New Roman"/>
          <w:b/>
          <w:sz w:val="24"/>
          <w:szCs w:val="24"/>
        </w:rPr>
      </w:pPr>
      <w:r>
        <w:rPr>
          <w:rFonts w:cs="Times New Roman"/>
          <w:b/>
          <w:sz w:val="24"/>
          <w:szCs w:val="24"/>
        </w:rPr>
        <w:t>first 2 years for life</w:t>
      </w:r>
    </w:p>
    <w:p w:rsidR="007564BC" w:rsidRDefault="007564BC" w:rsidP="007564BC">
      <w:pPr>
        <w:jc w:val="left"/>
        <w:rPr>
          <w:rFonts w:cs="Times New Roman"/>
          <w:b/>
          <w:sz w:val="24"/>
          <w:szCs w:val="24"/>
        </w:rPr>
      </w:pPr>
      <w:r>
        <w:rPr>
          <w:rFonts w:cs="Times New Roman"/>
          <w:b/>
          <w:sz w:val="24"/>
          <w:szCs w:val="24"/>
        </w:rPr>
        <w:t>Private case manager home visits</w:t>
      </w:r>
      <w:r>
        <w:rPr>
          <w:rFonts w:cs="Times New Roman"/>
          <w:b/>
          <w:sz w:val="24"/>
          <w:szCs w:val="24"/>
        </w:rPr>
        <w:tab/>
      </w:r>
      <w:r>
        <w:rPr>
          <w:rFonts w:cs="Times New Roman"/>
          <w:b/>
          <w:sz w:val="24"/>
          <w:szCs w:val="24"/>
        </w:rPr>
        <w:tab/>
        <w:t>2 visits in the first 2 years</w:t>
      </w:r>
    </w:p>
    <w:p w:rsidR="00EF7494" w:rsidRDefault="00EF7494" w:rsidP="007564BC">
      <w:pPr>
        <w:jc w:val="left"/>
        <w:rPr>
          <w:rFonts w:cs="Times New Roman"/>
          <w:b/>
          <w:sz w:val="24"/>
          <w:szCs w:val="24"/>
        </w:rPr>
      </w:pPr>
    </w:p>
    <w:p w:rsidR="00EF7494" w:rsidRDefault="00EF7494" w:rsidP="007564BC">
      <w:pPr>
        <w:jc w:val="left"/>
        <w:rPr>
          <w:rFonts w:cs="Times New Roman"/>
          <w:b/>
          <w:sz w:val="24"/>
          <w:szCs w:val="24"/>
        </w:rPr>
      </w:pPr>
      <w:r>
        <w:rPr>
          <w:rFonts w:cs="Times New Roman"/>
          <w:b/>
          <w:sz w:val="24"/>
          <w:szCs w:val="24"/>
          <w:u w:val="single"/>
        </w:rPr>
        <w:tab/>
      </w:r>
      <w:r>
        <w:rPr>
          <w:rFonts w:cs="Times New Roman"/>
          <w:b/>
          <w:sz w:val="24"/>
          <w:szCs w:val="24"/>
          <w:u w:val="single"/>
        </w:rPr>
        <w:tab/>
      </w:r>
      <w:r>
        <w:rPr>
          <w:rFonts w:cs="Times New Roman"/>
          <w:b/>
          <w:sz w:val="24"/>
          <w:szCs w:val="24"/>
          <w:u w:val="single"/>
        </w:rPr>
        <w:tab/>
      </w:r>
      <w:r>
        <w:rPr>
          <w:rFonts w:cs="Times New Roman"/>
          <w:b/>
          <w:sz w:val="24"/>
          <w:szCs w:val="24"/>
          <w:u w:val="single"/>
        </w:rPr>
        <w:tab/>
      </w:r>
    </w:p>
    <w:p w:rsidR="007564BC" w:rsidRPr="00D866C9" w:rsidRDefault="00E771BA" w:rsidP="00D866C9">
      <w:pPr>
        <w:jc w:val="left"/>
        <w:rPr>
          <w:rFonts w:cs="Times New Roman"/>
          <w:b/>
          <w:sz w:val="20"/>
          <w:szCs w:val="20"/>
        </w:rPr>
      </w:pPr>
      <w:r>
        <w:rPr>
          <w:rFonts w:cs="Times New Roman"/>
          <w:b/>
          <w:sz w:val="20"/>
          <w:szCs w:val="20"/>
        </w:rPr>
        <w:t>¹</w:t>
      </w:r>
      <w:r w:rsidR="00EF7494">
        <w:rPr>
          <w:rFonts w:cs="Times New Roman"/>
          <w:b/>
          <w:sz w:val="20"/>
          <w:szCs w:val="20"/>
        </w:rPr>
        <w:t>Caregiver does not require a nursing qualification and would be a domestic worker or other person with required training in caring for a CP child, the training to be provided by the defendant.</w:t>
      </w:r>
    </w:p>
    <w:p w:rsidR="004A272A" w:rsidRDefault="00D866C9" w:rsidP="00D866C9">
      <w:pPr>
        <w:ind w:left="720" w:firstLine="720"/>
        <w:rPr>
          <w:rFonts w:cs="Times New Roman"/>
          <w:b/>
          <w:szCs w:val="28"/>
        </w:rPr>
      </w:pPr>
      <w:r>
        <w:rPr>
          <w:rFonts w:cs="Times New Roman"/>
          <w:b/>
          <w:szCs w:val="28"/>
        </w:rPr>
        <w:t xml:space="preserve">                            </w:t>
      </w:r>
      <w:r w:rsidR="0026563E">
        <w:rPr>
          <w:rFonts w:cs="Times New Roman"/>
          <w:b/>
          <w:szCs w:val="28"/>
        </w:rPr>
        <w:t>ANNEXURE “D”</w:t>
      </w:r>
    </w:p>
    <w:p w:rsidR="0026563E" w:rsidRDefault="0026563E" w:rsidP="003B499B">
      <w:pPr>
        <w:jc w:val="left"/>
        <w:rPr>
          <w:rFonts w:cs="Times New Roman"/>
          <w:b/>
          <w:szCs w:val="28"/>
        </w:rPr>
      </w:pPr>
      <w:bookmarkStart w:id="13" w:name="_GoBack"/>
      <w:bookmarkEnd w:id="13"/>
      <w:r>
        <w:rPr>
          <w:rFonts w:cs="Times New Roman"/>
          <w:b/>
          <w:szCs w:val="28"/>
        </w:rPr>
        <w:t>N</w:t>
      </w:r>
      <w:r w:rsidR="003048CA">
        <w:rPr>
          <w:rFonts w:cs="Times New Roman"/>
          <w:szCs w:val="28"/>
        </w:rPr>
        <w:t>[…]</w:t>
      </w:r>
      <w:r>
        <w:rPr>
          <w:rFonts w:cs="Times New Roman"/>
          <w:b/>
          <w:szCs w:val="28"/>
        </w:rPr>
        <w:t xml:space="preserve"> v MEC HEALTH EC</w:t>
      </w:r>
    </w:p>
    <w:p w:rsidR="0026563E" w:rsidRDefault="0026563E" w:rsidP="0026563E">
      <w:pPr>
        <w:jc w:val="left"/>
        <w:rPr>
          <w:rFonts w:cs="Times New Roman"/>
          <w:b/>
          <w:szCs w:val="28"/>
        </w:rPr>
      </w:pPr>
      <w:r>
        <w:rPr>
          <w:rFonts w:cs="Times New Roman"/>
          <w:b/>
          <w:szCs w:val="28"/>
        </w:rPr>
        <w:t>LIST OF ITEMS IN RESPECT OF WHICH LUMP SUM DAMAGES PAYABLE</w:t>
      </w:r>
    </w:p>
    <w:p w:rsidR="003B499B" w:rsidRDefault="003B499B" w:rsidP="0026563E">
      <w:pPr>
        <w:jc w:val="left"/>
        <w:rPr>
          <w:rFonts w:cs="Times New Roman"/>
          <w:b/>
          <w:szCs w:val="28"/>
        </w:rPr>
      </w:pPr>
    </w:p>
    <w:p w:rsidR="00943C5B" w:rsidRDefault="00943C5B" w:rsidP="0026563E">
      <w:pPr>
        <w:jc w:val="left"/>
        <w:rPr>
          <w:rFonts w:cs="Times New Roman"/>
          <w:b/>
          <w:szCs w:val="28"/>
        </w:rPr>
      </w:pPr>
      <w:r>
        <w:rPr>
          <w:rFonts w:cs="Times New Roman"/>
          <w:b/>
          <w:szCs w:val="28"/>
        </w:rPr>
        <w:t>ITEM</w:t>
      </w:r>
      <w:r>
        <w:rPr>
          <w:rFonts w:cs="Times New Roman"/>
          <w:b/>
          <w:szCs w:val="28"/>
        </w:rPr>
        <w:tab/>
      </w:r>
      <w:r>
        <w:rPr>
          <w:rFonts w:cs="Times New Roman"/>
          <w:b/>
          <w:szCs w:val="28"/>
        </w:rPr>
        <w:tab/>
      </w:r>
      <w:r>
        <w:rPr>
          <w:rFonts w:cs="Times New Roman"/>
          <w:b/>
          <w:szCs w:val="28"/>
        </w:rPr>
        <w:tab/>
      </w:r>
      <w:r>
        <w:rPr>
          <w:rFonts w:cs="Times New Roman"/>
          <w:b/>
          <w:szCs w:val="28"/>
        </w:rPr>
        <w:tab/>
      </w:r>
      <w:r w:rsidR="00B7055F">
        <w:rPr>
          <w:rFonts w:cs="Times New Roman"/>
          <w:b/>
          <w:szCs w:val="28"/>
        </w:rPr>
        <w:tab/>
      </w:r>
      <w:r w:rsidR="00B7055F">
        <w:rPr>
          <w:rFonts w:cs="Times New Roman"/>
          <w:b/>
          <w:szCs w:val="28"/>
        </w:rPr>
        <w:tab/>
      </w:r>
      <w:r>
        <w:rPr>
          <w:rFonts w:cs="Times New Roman"/>
          <w:b/>
          <w:szCs w:val="28"/>
        </w:rPr>
        <w:t>AMOUNT</w:t>
      </w:r>
    </w:p>
    <w:p w:rsidR="00943C5B" w:rsidRDefault="00943C5B" w:rsidP="0026563E">
      <w:pPr>
        <w:jc w:val="left"/>
        <w:rPr>
          <w:rFonts w:cs="Times New Roman"/>
          <w:b/>
          <w:sz w:val="24"/>
          <w:szCs w:val="24"/>
        </w:rPr>
      </w:pPr>
      <w:r>
        <w:rPr>
          <w:rFonts w:cs="Times New Roman"/>
          <w:b/>
          <w:sz w:val="24"/>
          <w:szCs w:val="24"/>
        </w:rPr>
        <w:t>Loss of earnings</w:t>
      </w:r>
      <w:r>
        <w:rPr>
          <w:rFonts w:cs="Times New Roman"/>
          <w:b/>
          <w:sz w:val="24"/>
          <w:szCs w:val="24"/>
        </w:rPr>
        <w:tab/>
      </w:r>
      <w:r>
        <w:rPr>
          <w:rFonts w:cs="Times New Roman"/>
          <w:b/>
          <w:sz w:val="24"/>
          <w:szCs w:val="24"/>
        </w:rPr>
        <w:tab/>
      </w:r>
      <w:r>
        <w:rPr>
          <w:rFonts w:cs="Times New Roman"/>
          <w:b/>
          <w:sz w:val="24"/>
          <w:szCs w:val="24"/>
        </w:rPr>
        <w:tab/>
      </w:r>
      <w:r w:rsidR="00B7055F">
        <w:rPr>
          <w:rFonts w:cs="Times New Roman"/>
          <w:b/>
          <w:sz w:val="24"/>
          <w:szCs w:val="24"/>
        </w:rPr>
        <w:tab/>
      </w:r>
      <w:r w:rsidR="00B7055F">
        <w:rPr>
          <w:rFonts w:cs="Times New Roman"/>
          <w:b/>
          <w:sz w:val="24"/>
          <w:szCs w:val="24"/>
        </w:rPr>
        <w:tab/>
      </w:r>
      <w:r>
        <w:rPr>
          <w:rFonts w:cs="Times New Roman"/>
          <w:b/>
          <w:sz w:val="24"/>
          <w:szCs w:val="24"/>
        </w:rPr>
        <w:t>R386,146</w:t>
      </w:r>
    </w:p>
    <w:p w:rsidR="00943C5B" w:rsidRDefault="00B7055F" w:rsidP="0026563E">
      <w:pPr>
        <w:jc w:val="left"/>
        <w:rPr>
          <w:rFonts w:cs="Times New Roman"/>
          <w:b/>
          <w:sz w:val="24"/>
          <w:szCs w:val="24"/>
        </w:rPr>
      </w:pPr>
      <w:r>
        <w:rPr>
          <w:rFonts w:cs="Times New Roman"/>
          <w:b/>
          <w:sz w:val="24"/>
          <w:szCs w:val="24"/>
        </w:rPr>
        <w:t>Adapted vehicle and transport</w:t>
      </w:r>
      <w:r>
        <w:rPr>
          <w:rFonts w:cs="Times New Roman"/>
          <w:b/>
          <w:sz w:val="24"/>
          <w:szCs w:val="24"/>
        </w:rPr>
        <w:tab/>
      </w:r>
      <w:r>
        <w:rPr>
          <w:rFonts w:cs="Times New Roman"/>
          <w:b/>
          <w:sz w:val="24"/>
          <w:szCs w:val="24"/>
        </w:rPr>
        <w:tab/>
      </w:r>
      <w:r>
        <w:rPr>
          <w:rFonts w:cs="Times New Roman"/>
          <w:b/>
          <w:sz w:val="24"/>
          <w:szCs w:val="24"/>
        </w:rPr>
        <w:tab/>
        <w:t>R650 000</w:t>
      </w:r>
    </w:p>
    <w:p w:rsidR="00B7055F" w:rsidRDefault="00B7055F" w:rsidP="0026563E">
      <w:pPr>
        <w:jc w:val="left"/>
        <w:rPr>
          <w:rFonts w:cs="Times New Roman"/>
          <w:b/>
          <w:sz w:val="24"/>
          <w:szCs w:val="24"/>
        </w:rPr>
      </w:pPr>
      <w:r>
        <w:rPr>
          <w:rFonts w:cs="Times New Roman"/>
          <w:b/>
          <w:sz w:val="24"/>
          <w:szCs w:val="24"/>
        </w:rPr>
        <w:t>Adaptations to home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R1, 100, 000</w:t>
      </w:r>
    </w:p>
    <w:p w:rsidR="00B7055F" w:rsidRPr="00943C5B" w:rsidRDefault="00B7055F" w:rsidP="0026563E">
      <w:pPr>
        <w:jc w:val="left"/>
        <w:rPr>
          <w:rFonts w:cs="Times New Roman"/>
          <w:b/>
          <w:sz w:val="24"/>
          <w:szCs w:val="24"/>
        </w:rPr>
      </w:pPr>
      <w:r>
        <w:rPr>
          <w:rFonts w:cs="Times New Roman"/>
          <w:b/>
          <w:sz w:val="24"/>
          <w:szCs w:val="24"/>
        </w:rPr>
        <w:t>TOTAL</w:t>
      </w:r>
      <w:r w:rsidR="008E014D">
        <w:rPr>
          <w:rFonts w:cs="Times New Roman"/>
          <w:b/>
          <w:sz w:val="24"/>
          <w:szCs w:val="24"/>
        </w:rPr>
        <w:tab/>
      </w:r>
      <w:r w:rsidR="008E014D">
        <w:rPr>
          <w:rFonts w:cs="Times New Roman"/>
          <w:b/>
          <w:sz w:val="24"/>
          <w:szCs w:val="24"/>
        </w:rPr>
        <w:tab/>
      </w:r>
      <w:r w:rsidR="008E014D">
        <w:rPr>
          <w:rFonts w:cs="Times New Roman"/>
          <w:b/>
          <w:sz w:val="24"/>
          <w:szCs w:val="24"/>
        </w:rPr>
        <w:tab/>
      </w:r>
      <w:r w:rsidR="008E014D">
        <w:rPr>
          <w:rFonts w:cs="Times New Roman"/>
          <w:b/>
          <w:sz w:val="24"/>
          <w:szCs w:val="24"/>
        </w:rPr>
        <w:tab/>
      </w:r>
      <w:r w:rsidR="008E014D">
        <w:rPr>
          <w:rFonts w:cs="Times New Roman"/>
          <w:b/>
          <w:sz w:val="24"/>
          <w:szCs w:val="24"/>
        </w:rPr>
        <w:tab/>
      </w:r>
      <w:r w:rsidR="008E014D">
        <w:rPr>
          <w:rFonts w:cs="Times New Roman"/>
          <w:b/>
          <w:sz w:val="24"/>
          <w:szCs w:val="24"/>
        </w:rPr>
        <w:tab/>
      </w:r>
      <w:r w:rsidR="006A2F94">
        <w:rPr>
          <w:rFonts w:cs="Times New Roman"/>
          <w:b/>
          <w:sz w:val="24"/>
          <w:szCs w:val="24"/>
        </w:rPr>
        <w:t>R 2,136,146</w:t>
      </w:r>
    </w:p>
    <w:p w:rsidR="0026563E" w:rsidRPr="004A272A" w:rsidRDefault="0026563E" w:rsidP="0026563E">
      <w:pPr>
        <w:ind w:firstLine="720"/>
        <w:jc w:val="left"/>
        <w:rPr>
          <w:rFonts w:cs="Times New Roman"/>
          <w:b/>
          <w:szCs w:val="28"/>
        </w:rPr>
      </w:pPr>
    </w:p>
    <w:p w:rsidR="00030592" w:rsidRDefault="007B73AE" w:rsidP="00676451">
      <w:pPr>
        <w:ind w:right="1134"/>
        <w:rPr>
          <w:rFonts w:cs="Times New Roman"/>
          <w:szCs w:val="28"/>
        </w:rPr>
      </w:pPr>
      <w:r>
        <w:rPr>
          <w:rFonts w:cs="Times New Roman"/>
          <w:b/>
          <w:sz w:val="24"/>
          <w:szCs w:val="24"/>
        </w:rPr>
        <w:tab/>
      </w:r>
      <w:r>
        <w:rPr>
          <w:rFonts w:cs="Times New Roman"/>
          <w:b/>
          <w:sz w:val="24"/>
          <w:szCs w:val="24"/>
        </w:rPr>
        <w:tab/>
      </w:r>
      <w:r w:rsidRPr="007B73AE">
        <w:rPr>
          <w:rFonts w:cs="Times New Roman"/>
          <w:b/>
          <w:sz w:val="24"/>
          <w:szCs w:val="24"/>
        </w:rPr>
        <w:tab/>
      </w:r>
      <w:r w:rsidRPr="007B73AE">
        <w:rPr>
          <w:rFonts w:cs="Times New Roman"/>
          <w:b/>
          <w:sz w:val="24"/>
          <w:szCs w:val="24"/>
        </w:rPr>
        <w:tab/>
      </w:r>
    </w:p>
    <w:p w:rsidR="00030592" w:rsidRPr="00030592" w:rsidRDefault="00030592" w:rsidP="00010E6D">
      <w:pPr>
        <w:rPr>
          <w:rFonts w:cs="Times New Roman"/>
          <w:szCs w:val="28"/>
        </w:rPr>
      </w:pPr>
    </w:p>
    <w:sectPr w:rsidR="00030592" w:rsidRPr="0003059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8C" w:rsidRDefault="005B338C" w:rsidP="00494F1B">
      <w:pPr>
        <w:spacing w:after="0" w:line="240" w:lineRule="auto"/>
      </w:pPr>
      <w:r>
        <w:separator/>
      </w:r>
    </w:p>
  </w:endnote>
  <w:endnote w:type="continuationSeparator" w:id="0">
    <w:p w:rsidR="005B338C" w:rsidRDefault="005B338C" w:rsidP="0049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8C" w:rsidRDefault="005B338C" w:rsidP="00494F1B">
      <w:pPr>
        <w:spacing w:after="0" w:line="240" w:lineRule="auto"/>
      </w:pPr>
      <w:r>
        <w:separator/>
      </w:r>
    </w:p>
  </w:footnote>
  <w:footnote w:type="continuationSeparator" w:id="0">
    <w:p w:rsidR="005B338C" w:rsidRDefault="005B338C" w:rsidP="00494F1B">
      <w:pPr>
        <w:spacing w:after="0" w:line="240" w:lineRule="auto"/>
      </w:pPr>
      <w:r>
        <w:continuationSeparator/>
      </w:r>
    </w:p>
  </w:footnote>
  <w:footnote w:id="1">
    <w:p w:rsidR="00900F49" w:rsidRDefault="00900F49">
      <w:pPr>
        <w:pStyle w:val="FootnoteText"/>
      </w:pPr>
      <w:r>
        <w:rPr>
          <w:rStyle w:val="FootnoteReference"/>
        </w:rPr>
        <w:footnoteRef/>
      </w:r>
      <w:r>
        <w:t xml:space="preserve"> A Babylonian legal text composed c. 1755–1750 BC (Wikipedia).</w:t>
      </w:r>
    </w:p>
  </w:footnote>
  <w:footnote w:id="2">
    <w:p w:rsidR="00900F49" w:rsidRDefault="00900F49">
      <w:pPr>
        <w:pStyle w:val="FootnoteText"/>
      </w:pPr>
      <w:r>
        <w:rPr>
          <w:rStyle w:val="FootnoteReference"/>
        </w:rPr>
        <w:footnoteRef/>
      </w:r>
      <w:r>
        <w:t xml:space="preserve"> </w:t>
      </w:r>
      <w:r w:rsidRPr="00E2108C">
        <w:rPr>
          <w:color w:val="000000" w:themeColor="text1"/>
        </w:rPr>
        <w:t xml:space="preserve">Section 218: </w:t>
      </w:r>
      <w:r>
        <w:t xml:space="preserve">"If a physician </w:t>
      </w:r>
      <w:proofErr w:type="gramStart"/>
      <w:r>
        <w:t>operate</w:t>
      </w:r>
      <w:proofErr w:type="gramEnd"/>
      <w:r>
        <w:t xml:space="preserve"> on a man for a severe wound with a bronze lancet and cause the man's death; or open an abscess (in the eye) of a man with a bronze lancet and destroy the man's eye, they shall cut off his fingers."</w:t>
      </w:r>
    </w:p>
  </w:footnote>
  <w:footnote w:id="3">
    <w:p w:rsidR="00900F49" w:rsidRDefault="00900F49">
      <w:pPr>
        <w:pStyle w:val="FootnoteText"/>
      </w:pPr>
      <w:r>
        <w:rPr>
          <w:rStyle w:val="FootnoteReference"/>
        </w:rPr>
        <w:footnoteRef/>
      </w:r>
      <w:r>
        <w:t xml:space="preserve"> This amount has already been paid.</w:t>
      </w:r>
    </w:p>
  </w:footnote>
  <w:footnote w:id="4">
    <w:p w:rsidR="00900F49" w:rsidRDefault="00900F49">
      <w:pPr>
        <w:pStyle w:val="FootnoteText"/>
      </w:pPr>
      <w:r>
        <w:rPr>
          <w:rStyle w:val="FootnoteReference"/>
        </w:rPr>
        <w:footnoteRef/>
      </w:r>
      <w:r>
        <w:t xml:space="preserve"> </w:t>
      </w:r>
      <w:r w:rsidRPr="0090280A">
        <w:rPr>
          <w:i/>
          <w:iCs/>
        </w:rPr>
        <w:t>Member of the Executive Counsel for Health and Social Development, Gauteng v DZ obo WZ</w:t>
      </w:r>
      <w:r>
        <w:t xml:space="preserve"> 2018 (1) SA 335 (CC).</w:t>
      </w:r>
    </w:p>
  </w:footnote>
  <w:footnote w:id="5">
    <w:p w:rsidR="00900F49" w:rsidRDefault="00900F49">
      <w:pPr>
        <w:pStyle w:val="FootnoteText"/>
      </w:pPr>
      <w:r>
        <w:rPr>
          <w:rStyle w:val="FootnoteReference"/>
        </w:rPr>
        <w:footnoteRef/>
      </w:r>
      <w:r>
        <w:t xml:space="preserve"> Annexure "A" also reflects the interest payable on the agreed amounts from the date of agreement of each item in terms of the relevant provision of the Prescribed Rate of Interest Act (No 55 of 1975).</w:t>
      </w:r>
    </w:p>
  </w:footnote>
  <w:footnote w:id="6">
    <w:p w:rsidR="00900F49" w:rsidRDefault="00900F49">
      <w:pPr>
        <w:pStyle w:val="FootnoteText"/>
      </w:pPr>
      <w:r>
        <w:rPr>
          <w:rStyle w:val="FootnoteReference"/>
        </w:rPr>
        <w:footnoteRef/>
      </w:r>
      <w:r>
        <w:t xml:space="preserve"> Defendant's counsel indicated that he had no instructions to concede this but would not advance any argument against the provision hereof.</w:t>
      </w:r>
    </w:p>
  </w:footnote>
  <w:footnote w:id="7">
    <w:p w:rsidR="00900F49" w:rsidRPr="00BD1E1E" w:rsidRDefault="00900F49">
      <w:pPr>
        <w:pStyle w:val="FootnoteText"/>
        <w:rPr>
          <w:color w:val="FF0000"/>
        </w:rPr>
      </w:pPr>
      <w:r>
        <w:rPr>
          <w:rStyle w:val="FootnoteReference"/>
        </w:rPr>
        <w:footnoteRef/>
      </w:r>
      <w:r>
        <w:t xml:space="preserve"> 1946 AD 946</w:t>
      </w:r>
      <w:r>
        <w:rPr>
          <w:color w:val="FF0000"/>
        </w:rPr>
        <w:t>.</w:t>
      </w:r>
    </w:p>
  </w:footnote>
  <w:footnote w:id="8">
    <w:p w:rsidR="00900F49" w:rsidRPr="0059335E" w:rsidRDefault="00900F49">
      <w:pPr>
        <w:pStyle w:val="FootnoteText"/>
        <w:rPr>
          <w:color w:val="FF0000"/>
        </w:rPr>
      </w:pPr>
      <w:r>
        <w:rPr>
          <w:rStyle w:val="FootnoteReference"/>
        </w:rPr>
        <w:footnoteRef/>
      </w:r>
      <w:r>
        <w:t xml:space="preserve">  </w:t>
      </w:r>
      <w:proofErr w:type="spellStart"/>
      <w:r w:rsidRPr="00CA3F0D">
        <w:rPr>
          <w:i/>
          <w:iCs/>
        </w:rPr>
        <w:t>Carmichele</w:t>
      </w:r>
      <w:proofErr w:type="spellEnd"/>
      <w:r>
        <w:rPr>
          <w:i/>
          <w:iCs/>
        </w:rPr>
        <w:t xml:space="preserve"> </w:t>
      </w:r>
      <w:r w:rsidRPr="00CA3F0D">
        <w:rPr>
          <w:i/>
          <w:iCs/>
        </w:rPr>
        <w:t>v Minister of Safety and Security</w:t>
      </w:r>
      <w:r>
        <w:t xml:space="preserve"> </w:t>
      </w:r>
      <w:r w:rsidRPr="00E2108C">
        <w:rPr>
          <w:color w:val="000000" w:themeColor="text1"/>
        </w:rPr>
        <w:t>and</w:t>
      </w:r>
      <w:r w:rsidRPr="00E2108C">
        <w:rPr>
          <w:i/>
          <w:color w:val="000000" w:themeColor="text1"/>
        </w:rPr>
        <w:t xml:space="preserve"> Another</w:t>
      </w:r>
      <w:r w:rsidRPr="00E2108C">
        <w:rPr>
          <w:color w:val="000000" w:themeColor="text1"/>
        </w:rPr>
        <w:t xml:space="preserve"> </w:t>
      </w:r>
      <w:r>
        <w:t>2001 (4) SA 938 (CC) at para 39</w:t>
      </w:r>
      <w:r>
        <w:rPr>
          <w:color w:val="FF0000"/>
        </w:rPr>
        <w:t>.</w:t>
      </w:r>
    </w:p>
  </w:footnote>
  <w:footnote w:id="9">
    <w:p w:rsidR="00900F49" w:rsidRDefault="00900F49">
      <w:pPr>
        <w:pStyle w:val="FootnoteText"/>
      </w:pPr>
      <w:r>
        <w:rPr>
          <w:rStyle w:val="FootnoteReference"/>
        </w:rPr>
        <w:footnoteRef/>
      </w:r>
      <w:r>
        <w:t xml:space="preserve"> </w:t>
      </w:r>
      <w:r w:rsidRPr="00464C8B">
        <w:rPr>
          <w:i/>
          <w:iCs/>
        </w:rPr>
        <w:t>Phumel</w:t>
      </w:r>
      <w:r>
        <w:rPr>
          <w:i/>
          <w:iCs/>
        </w:rPr>
        <w:t>el</w:t>
      </w:r>
      <w:r w:rsidRPr="00464C8B">
        <w:rPr>
          <w:i/>
          <w:iCs/>
        </w:rPr>
        <w:t xml:space="preserve">a Gaming and Leisure Limited v </w:t>
      </w:r>
      <w:proofErr w:type="spellStart"/>
      <w:r w:rsidRPr="00464C8B">
        <w:rPr>
          <w:i/>
          <w:iCs/>
        </w:rPr>
        <w:t>Grundlingh</w:t>
      </w:r>
      <w:proofErr w:type="spellEnd"/>
      <w:r w:rsidRPr="00464C8B">
        <w:rPr>
          <w:i/>
          <w:iCs/>
        </w:rPr>
        <w:t xml:space="preserve"> and Others</w:t>
      </w:r>
      <w:r>
        <w:t xml:space="preserve"> 2007 (6) SA 350 (CC) at paras 25-26.</w:t>
      </w:r>
    </w:p>
  </w:footnote>
  <w:footnote w:id="10">
    <w:p w:rsidR="00900F49" w:rsidRDefault="00900F49">
      <w:pPr>
        <w:pStyle w:val="FootnoteText"/>
      </w:pPr>
      <w:r>
        <w:rPr>
          <w:rStyle w:val="FootnoteReference"/>
        </w:rPr>
        <w:footnoteRef/>
      </w:r>
      <w:r>
        <w:t xml:space="preserve"> </w:t>
      </w:r>
      <w:r w:rsidRPr="00E2108C">
        <w:rPr>
          <w:i/>
          <w:color w:val="000000" w:themeColor="text1"/>
        </w:rPr>
        <w:t xml:space="preserve">DZ </w:t>
      </w:r>
      <w:r w:rsidRPr="00E2108C">
        <w:rPr>
          <w:color w:val="000000" w:themeColor="text1"/>
        </w:rPr>
        <w:t>(note 4 above) at paras 57-8.</w:t>
      </w:r>
    </w:p>
  </w:footnote>
  <w:footnote w:id="11">
    <w:p w:rsidR="00900F49" w:rsidRDefault="00900F49">
      <w:pPr>
        <w:pStyle w:val="FootnoteText"/>
      </w:pPr>
      <w:r>
        <w:rPr>
          <w:rStyle w:val="FootnoteReference"/>
        </w:rPr>
        <w:footnoteRef/>
      </w:r>
      <w:r>
        <w:t xml:space="preserve"> </w:t>
      </w:r>
      <w:r w:rsidRPr="00A34314">
        <w:rPr>
          <w:i/>
          <w:iCs/>
        </w:rPr>
        <w:t>MSM obo KBM v MEC for Health, Gauteng</w:t>
      </w:r>
      <w:r>
        <w:t xml:space="preserve"> 2020 (2) SA 567 (GJ) at </w:t>
      </w:r>
      <w:r w:rsidRPr="00E2108C">
        <w:rPr>
          <w:color w:val="000000" w:themeColor="text1"/>
        </w:rPr>
        <w:t>para</w:t>
      </w:r>
      <w:r>
        <w:t xml:space="preserve"> 42.1.</w:t>
      </w:r>
    </w:p>
  </w:footnote>
  <w:footnote w:id="12">
    <w:p w:rsidR="00900F49" w:rsidRPr="000F0338" w:rsidRDefault="00900F49">
      <w:pPr>
        <w:pStyle w:val="FootnoteText"/>
        <w:rPr>
          <w:color w:val="FF0000"/>
        </w:rPr>
      </w:pPr>
      <w:r>
        <w:rPr>
          <w:rStyle w:val="FootnoteReference"/>
        </w:rPr>
        <w:footnoteRef/>
      </w:r>
      <w:r>
        <w:t xml:space="preserve"> </w:t>
      </w:r>
      <w:proofErr w:type="spellStart"/>
      <w:r w:rsidRPr="000B0216">
        <w:rPr>
          <w:i/>
          <w:iCs/>
        </w:rPr>
        <w:t>Ngubane</w:t>
      </w:r>
      <w:proofErr w:type="spellEnd"/>
      <w:r w:rsidRPr="000B0216">
        <w:rPr>
          <w:i/>
          <w:iCs/>
        </w:rPr>
        <w:t xml:space="preserve"> v South African Transport Services</w:t>
      </w:r>
      <w:r>
        <w:t xml:space="preserve"> 1991 (1) SA 756 (A)</w:t>
      </w:r>
      <w:r>
        <w:rPr>
          <w:color w:val="FF0000"/>
        </w:rPr>
        <w:t>.</w:t>
      </w:r>
    </w:p>
  </w:footnote>
  <w:footnote w:id="13">
    <w:p w:rsidR="00900F49" w:rsidRDefault="00900F49">
      <w:pPr>
        <w:pStyle w:val="FootnoteText"/>
      </w:pPr>
      <w:r>
        <w:rPr>
          <w:rStyle w:val="FootnoteReference"/>
        </w:rPr>
        <w:footnoteRef/>
      </w:r>
      <w:r>
        <w:t xml:space="preserve"> </w:t>
      </w:r>
      <w:r w:rsidRPr="00E2108C">
        <w:rPr>
          <w:iCs/>
          <w:color w:val="000000" w:themeColor="text1"/>
        </w:rPr>
        <w:t>Ibid</w:t>
      </w:r>
      <w:r w:rsidRPr="00E2108C">
        <w:rPr>
          <w:color w:val="000000" w:themeColor="text1"/>
        </w:rPr>
        <w:t xml:space="preserve"> at 784C-E &amp;</w:t>
      </w:r>
      <w:r>
        <w:t>785C-D.</w:t>
      </w:r>
    </w:p>
  </w:footnote>
  <w:footnote w:id="14">
    <w:p w:rsidR="00900F49" w:rsidRDefault="00900F49">
      <w:pPr>
        <w:pStyle w:val="FootnoteText"/>
      </w:pPr>
      <w:r>
        <w:rPr>
          <w:rStyle w:val="FootnoteReference"/>
        </w:rPr>
        <w:footnoteRef/>
      </w:r>
      <w:r>
        <w:t xml:space="preserve"> No 45 of 1988</w:t>
      </w:r>
    </w:p>
  </w:footnote>
  <w:footnote w:id="15">
    <w:p w:rsidR="00900F49" w:rsidRPr="00E2108C" w:rsidRDefault="00900F49">
      <w:pPr>
        <w:pStyle w:val="FootnoteText"/>
        <w:rPr>
          <w:color w:val="000000" w:themeColor="text1"/>
        </w:rPr>
      </w:pPr>
      <w:r>
        <w:rPr>
          <w:rStyle w:val="FootnoteReference"/>
        </w:rPr>
        <w:footnoteRef/>
      </w:r>
      <w:r>
        <w:t xml:space="preserve"> </w:t>
      </w:r>
      <w:r w:rsidRPr="00E2108C">
        <w:rPr>
          <w:i/>
          <w:iCs/>
          <w:color w:val="000000" w:themeColor="text1"/>
        </w:rPr>
        <w:t>AZ v MEC for Health, Eastern Cape</w:t>
      </w:r>
      <w:r w:rsidRPr="00E2108C">
        <w:rPr>
          <w:color w:val="000000" w:themeColor="text1"/>
        </w:rPr>
        <w:t xml:space="preserve"> (ECB) unreported judgment case no 140/2016 of 14 August 2018 at paras 137-142.  </w:t>
      </w:r>
    </w:p>
  </w:footnote>
  <w:footnote w:id="16">
    <w:p w:rsidR="00900F49" w:rsidRDefault="00900F49">
      <w:pPr>
        <w:pStyle w:val="FootnoteText"/>
      </w:pPr>
      <w:r>
        <w:rPr>
          <w:rStyle w:val="FootnoteReference"/>
        </w:rPr>
        <w:footnoteRef/>
      </w:r>
      <w:r>
        <w:t xml:space="preserve"> P. J. </w:t>
      </w:r>
      <w:proofErr w:type="spellStart"/>
      <w:r>
        <w:t>Schwikkard</w:t>
      </w:r>
      <w:proofErr w:type="spellEnd"/>
      <w:r>
        <w:t xml:space="preserve">, S. E. Van der </w:t>
      </w:r>
      <w:r w:rsidRPr="00E2108C">
        <w:rPr>
          <w:color w:val="000000" w:themeColor="text1"/>
        </w:rPr>
        <w:t xml:space="preserve">Merwe </w:t>
      </w:r>
      <w:r w:rsidRPr="00E2108C">
        <w:rPr>
          <w:i/>
          <w:color w:val="000000" w:themeColor="text1"/>
        </w:rPr>
        <w:t>Principles of Evidence</w:t>
      </w:r>
      <w:r w:rsidRPr="00E2108C">
        <w:rPr>
          <w:color w:val="000000" w:themeColor="text1"/>
        </w:rPr>
        <w:t xml:space="preserve"> 4</w:t>
      </w:r>
      <w:r w:rsidRPr="00E2108C">
        <w:rPr>
          <w:color w:val="000000" w:themeColor="text1"/>
          <w:vertAlign w:val="superscript"/>
        </w:rPr>
        <w:t xml:space="preserve"> </w:t>
      </w:r>
      <w:proofErr w:type="spellStart"/>
      <w:r w:rsidRPr="00E2108C">
        <w:rPr>
          <w:color w:val="000000" w:themeColor="text1"/>
        </w:rPr>
        <w:t>ed</w:t>
      </w:r>
      <w:proofErr w:type="spellEnd"/>
      <w:r w:rsidRPr="00E2108C">
        <w:rPr>
          <w:color w:val="000000" w:themeColor="text1"/>
        </w:rPr>
        <w:t xml:space="preserve"> (2016) at p </w:t>
      </w:r>
      <w:r>
        <w:t>93.</w:t>
      </w:r>
    </w:p>
  </w:footnote>
  <w:footnote w:id="17">
    <w:p w:rsidR="00900F49" w:rsidRDefault="00900F49">
      <w:pPr>
        <w:pStyle w:val="FootnoteText"/>
      </w:pPr>
      <w:r>
        <w:rPr>
          <w:rStyle w:val="FootnoteReference"/>
        </w:rPr>
        <w:footnoteRef/>
      </w:r>
      <w:r>
        <w:t xml:space="preserve"> [1957] 3 All SA </w:t>
      </w:r>
      <w:r w:rsidRPr="00E2108C">
        <w:rPr>
          <w:color w:val="000000" w:themeColor="text1"/>
        </w:rPr>
        <w:t>200</w:t>
      </w:r>
      <w:r>
        <w:t xml:space="preserve"> (A) at 228-9.</w:t>
      </w:r>
    </w:p>
  </w:footnote>
  <w:footnote w:id="18">
    <w:p w:rsidR="00900F49" w:rsidRDefault="00900F49">
      <w:pPr>
        <w:pStyle w:val="FootnoteText"/>
      </w:pPr>
      <w:r>
        <w:rPr>
          <w:rStyle w:val="FootnoteReference"/>
        </w:rPr>
        <w:footnoteRef/>
      </w:r>
      <w:r>
        <w:t xml:space="preserve"> </w:t>
      </w:r>
      <w:r w:rsidRPr="001051DE">
        <w:rPr>
          <w:i/>
          <w:iCs/>
        </w:rPr>
        <w:t>Multiplex Constructions (UK) Ltd v Cleveland Bridge UK Ltd and Another</w:t>
      </w:r>
      <w:r>
        <w:t xml:space="preserve"> [2008] EWHC 2220 (TCC).</w:t>
      </w:r>
    </w:p>
  </w:footnote>
  <w:footnote w:id="19">
    <w:p w:rsidR="00900F49" w:rsidRDefault="00900F49">
      <w:pPr>
        <w:pStyle w:val="FootnoteText"/>
      </w:pPr>
      <w:r>
        <w:rPr>
          <w:rStyle w:val="FootnoteReference"/>
        </w:rPr>
        <w:footnoteRef/>
      </w:r>
      <w:r>
        <w:t xml:space="preserve"> </w:t>
      </w:r>
      <w:r w:rsidRPr="00E2108C">
        <w:rPr>
          <w:iCs/>
          <w:color w:val="000000" w:themeColor="text1"/>
        </w:rPr>
        <w:t>Ibid</w:t>
      </w:r>
      <w:r>
        <w:rPr>
          <w:iCs/>
          <w:color w:val="FF0000"/>
        </w:rPr>
        <w:t xml:space="preserve"> </w:t>
      </w:r>
      <w:r>
        <w:t>at para 672.</w:t>
      </w:r>
    </w:p>
  </w:footnote>
  <w:footnote w:id="20">
    <w:p w:rsidR="00900F49" w:rsidRDefault="00900F49">
      <w:pPr>
        <w:pStyle w:val="FootnoteText"/>
      </w:pPr>
      <w:r>
        <w:rPr>
          <w:rStyle w:val="FootnoteReference"/>
        </w:rPr>
        <w:footnoteRef/>
      </w:r>
      <w:r>
        <w:t xml:space="preserve"> </w:t>
      </w:r>
      <w:r>
        <w:rPr>
          <w:i/>
          <w:iCs/>
        </w:rPr>
        <w:t>Boland Construction Co (Pty) Ltd v Lewin</w:t>
      </w:r>
      <w:r>
        <w:t> </w:t>
      </w:r>
      <w:hyperlink r:id="rId1" w:tgtFrame="main" w:history="1">
        <w:r w:rsidRPr="00A34314">
          <w:rPr>
            <w:rStyle w:val="Hyperlink"/>
            <w:color w:val="auto"/>
            <w:u w:val="none"/>
          </w:rPr>
          <w:t>1977 (2) SA 506 (C)</w:t>
        </w:r>
      </w:hyperlink>
      <w:r w:rsidRPr="00A34314">
        <w:t> </w:t>
      </w:r>
      <w:r w:rsidRPr="00783B3A">
        <w:t>at 5</w:t>
      </w:r>
      <w:r>
        <w:t xml:space="preserve">08H; </w:t>
      </w:r>
      <w:r>
        <w:rPr>
          <w:i/>
          <w:iCs/>
        </w:rPr>
        <w:t xml:space="preserve">Doyle v </w:t>
      </w:r>
      <w:proofErr w:type="spellStart"/>
      <w:r>
        <w:rPr>
          <w:i/>
          <w:iCs/>
        </w:rPr>
        <w:t>Sentraboer</w:t>
      </w:r>
      <w:proofErr w:type="spellEnd"/>
      <w:r>
        <w:rPr>
          <w:i/>
          <w:iCs/>
        </w:rPr>
        <w:t xml:space="preserve"> (Co-operative) Ltd</w:t>
      </w:r>
      <w:r>
        <w:t> </w:t>
      </w:r>
      <w:hyperlink r:id="rId2" w:tgtFrame="main" w:history="1">
        <w:r w:rsidRPr="00A34314">
          <w:rPr>
            <w:rStyle w:val="Hyperlink"/>
            <w:color w:val="auto"/>
            <w:u w:val="none"/>
          </w:rPr>
          <w:t>1993 (3) SA 176 (SE)</w:t>
        </w:r>
      </w:hyperlink>
      <w:r w:rsidRPr="00783B3A">
        <w:t> </w:t>
      </w:r>
      <w:r>
        <w:t>at 180G–J.</w:t>
      </w:r>
    </w:p>
  </w:footnote>
  <w:footnote w:id="21">
    <w:p w:rsidR="00900F49" w:rsidRDefault="00900F49">
      <w:pPr>
        <w:pStyle w:val="FootnoteText"/>
      </w:pPr>
      <w:r>
        <w:rPr>
          <w:rStyle w:val="FootnoteReference"/>
        </w:rPr>
        <w:footnoteRef/>
      </w:r>
      <w:r>
        <w:t xml:space="preserve"> </w:t>
      </w:r>
      <w:r w:rsidRPr="00721D42">
        <w:rPr>
          <w:i/>
          <w:iCs/>
        </w:rPr>
        <w:t>SAMWU &amp; Another v The Nelson Mandela Metropolitan Municipality &amp; Others</w:t>
      </w:r>
      <w:r>
        <w:t xml:space="preserve"> [2007] </w:t>
      </w:r>
      <w:r w:rsidRPr="00E2108C">
        <w:rPr>
          <w:color w:val="000000" w:themeColor="text1"/>
        </w:rPr>
        <w:t xml:space="preserve">JOL 20536 (LC) at </w:t>
      </w:r>
      <w:r>
        <w:t>para 21.</w:t>
      </w:r>
    </w:p>
  </w:footnote>
  <w:footnote w:id="22">
    <w:p w:rsidR="00900F49" w:rsidRPr="009F2A06" w:rsidRDefault="00900F49" w:rsidP="00F525E3">
      <w:pPr>
        <w:autoSpaceDE w:val="0"/>
        <w:autoSpaceDN w:val="0"/>
        <w:adjustRightInd w:val="0"/>
        <w:spacing w:after="0" w:line="240" w:lineRule="auto"/>
        <w:rPr>
          <w:rFonts w:cs="Times New Roman"/>
          <w:i/>
          <w:iCs/>
          <w:color w:val="000000" w:themeColor="text1"/>
          <w:sz w:val="20"/>
          <w:szCs w:val="20"/>
        </w:rPr>
      </w:pPr>
      <w:r>
        <w:rPr>
          <w:rStyle w:val="FootnoteReference"/>
        </w:rPr>
        <w:footnoteRef/>
      </w:r>
      <w:r>
        <w:t xml:space="preserve"> </w:t>
      </w:r>
      <w:proofErr w:type="spellStart"/>
      <w:r w:rsidRPr="006F64A4">
        <w:rPr>
          <w:rFonts w:cs="Times New Roman"/>
          <w:sz w:val="20"/>
          <w:szCs w:val="20"/>
        </w:rPr>
        <w:t>Boberg</w:t>
      </w:r>
      <w:proofErr w:type="spellEnd"/>
      <w:r>
        <w:rPr>
          <w:rFonts w:cs="Times New Roman"/>
          <w:sz w:val="20"/>
          <w:szCs w:val="20"/>
        </w:rPr>
        <w:t>,</w:t>
      </w:r>
      <w:r w:rsidRPr="006F64A4">
        <w:rPr>
          <w:rFonts w:cs="Times New Roman"/>
          <w:sz w:val="20"/>
          <w:szCs w:val="20"/>
        </w:rPr>
        <w:t xml:space="preserve"> </w:t>
      </w:r>
      <w:r w:rsidRPr="00242716">
        <w:rPr>
          <w:rFonts w:cs="Times New Roman"/>
          <w:i/>
          <w:sz w:val="20"/>
          <w:szCs w:val="20"/>
        </w:rPr>
        <w:t>The Law of Delict</w:t>
      </w:r>
      <w:r w:rsidRPr="006F64A4">
        <w:rPr>
          <w:rFonts w:cs="Times New Roman"/>
          <w:sz w:val="20"/>
          <w:szCs w:val="20"/>
        </w:rPr>
        <w:t xml:space="preserve"> at p746. See also </w:t>
      </w:r>
      <w:r w:rsidRPr="002C4DA5">
        <w:rPr>
          <w:rFonts w:cs="Times New Roman"/>
          <w:i/>
          <w:iCs/>
          <w:sz w:val="20"/>
          <w:szCs w:val="20"/>
        </w:rPr>
        <w:t xml:space="preserve">Custom Credit </w:t>
      </w:r>
      <w:r w:rsidRPr="009F2A06">
        <w:rPr>
          <w:rFonts w:cs="Times New Roman"/>
          <w:i/>
          <w:iCs/>
          <w:color w:val="000000" w:themeColor="text1"/>
          <w:sz w:val="20"/>
          <w:szCs w:val="20"/>
        </w:rPr>
        <w:t xml:space="preserve">Corporation (Pty) Ltd </w:t>
      </w:r>
      <w:r w:rsidRPr="002C4DA5">
        <w:rPr>
          <w:rFonts w:cs="Times New Roman"/>
          <w:i/>
          <w:iCs/>
          <w:sz w:val="20"/>
          <w:szCs w:val="20"/>
        </w:rPr>
        <w:t xml:space="preserve">v </w:t>
      </w:r>
      <w:proofErr w:type="spellStart"/>
      <w:r w:rsidRPr="002C4DA5">
        <w:rPr>
          <w:rFonts w:cs="Times New Roman"/>
          <w:i/>
          <w:iCs/>
          <w:sz w:val="20"/>
          <w:szCs w:val="20"/>
        </w:rPr>
        <w:t>Shembe</w:t>
      </w:r>
      <w:proofErr w:type="spellEnd"/>
      <w:r w:rsidRPr="006F64A4">
        <w:rPr>
          <w:rFonts w:cs="Times New Roman"/>
          <w:sz w:val="20"/>
          <w:szCs w:val="20"/>
        </w:rPr>
        <w:t xml:space="preserve"> 1972 (3) SA 462 (A) at 472:</w:t>
      </w:r>
      <w:r>
        <w:rPr>
          <w:rFonts w:cs="Times New Roman"/>
          <w:sz w:val="20"/>
          <w:szCs w:val="20"/>
        </w:rPr>
        <w:t xml:space="preserve"> </w:t>
      </w:r>
      <w:r w:rsidRPr="006F64A4">
        <w:rPr>
          <w:rFonts w:cs="Times New Roman"/>
          <w:sz w:val="20"/>
          <w:szCs w:val="20"/>
        </w:rPr>
        <w:t>‘The law requires a party with a single cause of action to claim in one and the same action whatever remedies</w:t>
      </w:r>
      <w:r>
        <w:rPr>
          <w:rFonts w:cs="Times New Roman"/>
          <w:sz w:val="20"/>
          <w:szCs w:val="20"/>
        </w:rPr>
        <w:t xml:space="preserve"> </w:t>
      </w:r>
      <w:r w:rsidRPr="006F64A4">
        <w:rPr>
          <w:rFonts w:cs="Times New Roman"/>
          <w:sz w:val="20"/>
          <w:szCs w:val="20"/>
        </w:rPr>
        <w:t xml:space="preserve">the law accords upon such cause.’ See further </w:t>
      </w:r>
      <w:r w:rsidRPr="002C4DA5">
        <w:rPr>
          <w:rFonts w:cs="Times New Roman"/>
          <w:i/>
          <w:iCs/>
          <w:sz w:val="20"/>
          <w:szCs w:val="20"/>
        </w:rPr>
        <w:t>Signature Design Workshop CC v Eskom Pension and Provident</w:t>
      </w:r>
      <w:r>
        <w:rPr>
          <w:rFonts w:cs="Times New Roman"/>
          <w:i/>
          <w:iCs/>
          <w:sz w:val="20"/>
          <w:szCs w:val="20"/>
        </w:rPr>
        <w:t xml:space="preserve"> </w:t>
      </w:r>
      <w:r w:rsidRPr="002C4DA5">
        <w:rPr>
          <w:rFonts w:cs="Times New Roman"/>
          <w:i/>
          <w:iCs/>
          <w:sz w:val="20"/>
          <w:szCs w:val="20"/>
        </w:rPr>
        <w:t>Fund</w:t>
      </w:r>
      <w:r>
        <w:rPr>
          <w:rFonts w:cs="Times New Roman"/>
          <w:i/>
          <w:iCs/>
          <w:sz w:val="20"/>
          <w:szCs w:val="20"/>
        </w:rPr>
        <w:t xml:space="preserve"> </w:t>
      </w:r>
      <w:r w:rsidRPr="009F2A06">
        <w:rPr>
          <w:rFonts w:cs="Times New Roman"/>
          <w:i/>
          <w:iCs/>
          <w:color w:val="000000" w:themeColor="text1"/>
          <w:sz w:val="20"/>
          <w:szCs w:val="20"/>
        </w:rPr>
        <w:t>and Others</w:t>
      </w:r>
      <w:r w:rsidRPr="009F2A06">
        <w:rPr>
          <w:rFonts w:cs="Times New Roman"/>
          <w:color w:val="000000" w:themeColor="text1"/>
          <w:sz w:val="20"/>
          <w:szCs w:val="20"/>
        </w:rPr>
        <w:t xml:space="preserve"> 2002 (2) SA 488 (C) at 498B-E; </w:t>
      </w:r>
      <w:r w:rsidRPr="009F2A06">
        <w:rPr>
          <w:rFonts w:cs="Times New Roman"/>
          <w:i/>
          <w:iCs/>
          <w:color w:val="000000" w:themeColor="text1"/>
          <w:sz w:val="20"/>
          <w:szCs w:val="20"/>
        </w:rPr>
        <w:t>Symington and Others v Pretoria-</w:t>
      </w:r>
      <w:proofErr w:type="spellStart"/>
      <w:r w:rsidRPr="009F2A06">
        <w:rPr>
          <w:rFonts w:cs="Times New Roman"/>
          <w:i/>
          <w:iCs/>
          <w:color w:val="000000" w:themeColor="text1"/>
          <w:sz w:val="20"/>
          <w:szCs w:val="20"/>
        </w:rPr>
        <w:t>Oos</w:t>
      </w:r>
      <w:proofErr w:type="spellEnd"/>
      <w:r w:rsidRPr="009F2A06">
        <w:rPr>
          <w:rFonts w:cs="Times New Roman"/>
          <w:i/>
          <w:iCs/>
          <w:color w:val="000000" w:themeColor="text1"/>
          <w:sz w:val="20"/>
          <w:szCs w:val="20"/>
        </w:rPr>
        <w:t xml:space="preserve"> </w:t>
      </w:r>
      <w:proofErr w:type="spellStart"/>
      <w:r w:rsidRPr="009F2A06">
        <w:rPr>
          <w:rFonts w:cs="Times New Roman"/>
          <w:i/>
          <w:iCs/>
          <w:color w:val="000000" w:themeColor="text1"/>
          <w:sz w:val="20"/>
          <w:szCs w:val="20"/>
        </w:rPr>
        <w:t>Privaat</w:t>
      </w:r>
      <w:proofErr w:type="spellEnd"/>
      <w:r w:rsidRPr="009F2A06">
        <w:rPr>
          <w:rFonts w:cs="Times New Roman"/>
          <w:i/>
          <w:iCs/>
          <w:color w:val="000000" w:themeColor="text1"/>
          <w:sz w:val="20"/>
          <w:szCs w:val="20"/>
        </w:rPr>
        <w:t xml:space="preserve"> </w:t>
      </w:r>
      <w:proofErr w:type="spellStart"/>
      <w:r w:rsidRPr="009F2A06">
        <w:rPr>
          <w:rFonts w:cs="Times New Roman"/>
          <w:i/>
          <w:iCs/>
          <w:color w:val="000000" w:themeColor="text1"/>
          <w:sz w:val="20"/>
          <w:szCs w:val="20"/>
        </w:rPr>
        <w:t>Hospitaal</w:t>
      </w:r>
      <w:proofErr w:type="spellEnd"/>
      <w:r w:rsidRPr="009F2A06">
        <w:rPr>
          <w:rFonts w:cs="Times New Roman"/>
          <w:i/>
          <w:iCs/>
          <w:color w:val="000000" w:themeColor="text1"/>
          <w:sz w:val="20"/>
          <w:szCs w:val="20"/>
        </w:rPr>
        <w:t xml:space="preserve"> </w:t>
      </w:r>
      <w:proofErr w:type="spellStart"/>
      <w:r w:rsidRPr="009F2A06">
        <w:rPr>
          <w:rFonts w:cs="Times New Roman"/>
          <w:i/>
          <w:iCs/>
          <w:color w:val="000000" w:themeColor="text1"/>
          <w:sz w:val="20"/>
          <w:szCs w:val="20"/>
        </w:rPr>
        <w:t>Bedryfs</w:t>
      </w:r>
      <w:proofErr w:type="spellEnd"/>
      <w:r w:rsidRPr="009F2A06">
        <w:rPr>
          <w:rFonts w:cs="Times New Roman"/>
          <w:color w:val="000000" w:themeColor="text1"/>
          <w:sz w:val="20"/>
          <w:szCs w:val="20"/>
        </w:rPr>
        <w:t xml:space="preserve"> (Pty) Ltd [2005] 4 All SA 403 (SCA) at 412.</w:t>
      </w:r>
    </w:p>
  </w:footnote>
  <w:footnote w:id="23">
    <w:p w:rsidR="00900F49" w:rsidRPr="009F2A06" w:rsidRDefault="00900F49" w:rsidP="00491BEB">
      <w:pPr>
        <w:autoSpaceDE w:val="0"/>
        <w:autoSpaceDN w:val="0"/>
        <w:adjustRightInd w:val="0"/>
        <w:spacing w:after="0" w:line="240" w:lineRule="auto"/>
        <w:rPr>
          <w:rFonts w:cs="Times New Roman"/>
          <w:color w:val="000000" w:themeColor="text1"/>
          <w:sz w:val="20"/>
          <w:szCs w:val="20"/>
        </w:rPr>
      </w:pPr>
      <w:r w:rsidRPr="009F2A06">
        <w:rPr>
          <w:rStyle w:val="FootnoteReference"/>
          <w:color w:val="000000" w:themeColor="text1"/>
        </w:rPr>
        <w:footnoteRef/>
      </w:r>
      <w:r w:rsidRPr="009F2A06">
        <w:rPr>
          <w:rFonts w:cs="Times New Roman"/>
          <w:i/>
          <w:iCs/>
          <w:color w:val="000000" w:themeColor="text1"/>
          <w:sz w:val="20"/>
          <w:szCs w:val="20"/>
        </w:rPr>
        <w:t xml:space="preserve"> Cape Town Council v Jacobs</w:t>
      </w:r>
      <w:r w:rsidRPr="009F2A06">
        <w:rPr>
          <w:rFonts w:cs="Times New Roman"/>
          <w:color w:val="000000" w:themeColor="text1"/>
          <w:sz w:val="20"/>
          <w:szCs w:val="20"/>
        </w:rPr>
        <w:t xml:space="preserve"> 1917 AD 615; </w:t>
      </w:r>
      <w:r w:rsidRPr="009F2A06">
        <w:rPr>
          <w:rFonts w:cs="Times New Roman"/>
          <w:i/>
          <w:iCs/>
          <w:color w:val="000000" w:themeColor="text1"/>
          <w:sz w:val="20"/>
          <w:szCs w:val="20"/>
        </w:rPr>
        <w:t>Coetzee v SAR &amp; H</w:t>
      </w:r>
      <w:r w:rsidRPr="009F2A06">
        <w:rPr>
          <w:rFonts w:cs="Times New Roman"/>
          <w:color w:val="000000" w:themeColor="text1"/>
          <w:sz w:val="20"/>
          <w:szCs w:val="20"/>
        </w:rPr>
        <w:t xml:space="preserve"> 1933 CPD 565 at 574. The rule was formulated in </w:t>
      </w:r>
      <w:r w:rsidRPr="009F2A06">
        <w:rPr>
          <w:rFonts w:cs="Times New Roman"/>
          <w:i/>
          <w:iCs/>
          <w:color w:val="000000" w:themeColor="text1"/>
          <w:sz w:val="20"/>
          <w:szCs w:val="20"/>
        </w:rPr>
        <w:t xml:space="preserve">Fitter </w:t>
      </w:r>
      <w:proofErr w:type="gramStart"/>
      <w:r w:rsidRPr="009F2A06">
        <w:rPr>
          <w:rFonts w:cs="Times New Roman"/>
          <w:i/>
          <w:iCs/>
          <w:color w:val="000000" w:themeColor="text1"/>
          <w:sz w:val="20"/>
          <w:szCs w:val="20"/>
        </w:rPr>
        <w:t>v</w:t>
      </w:r>
      <w:proofErr w:type="gramEnd"/>
      <w:r w:rsidRPr="009F2A06">
        <w:rPr>
          <w:rFonts w:cs="Times New Roman"/>
          <w:i/>
          <w:iCs/>
          <w:color w:val="000000" w:themeColor="text1"/>
          <w:sz w:val="20"/>
          <w:szCs w:val="20"/>
        </w:rPr>
        <w:t xml:space="preserve"> Veal</w:t>
      </w:r>
      <w:r w:rsidRPr="009F2A06">
        <w:rPr>
          <w:rFonts w:cs="Times New Roman"/>
          <w:color w:val="000000" w:themeColor="text1"/>
          <w:sz w:val="20"/>
          <w:szCs w:val="20"/>
        </w:rPr>
        <w:t xml:space="preserve"> (1701) 12 Mod 542; 88 ER per Holt CJ. The case is also reported as </w:t>
      </w:r>
      <w:r w:rsidRPr="009F2A06">
        <w:rPr>
          <w:rFonts w:cs="Times New Roman"/>
          <w:i/>
          <w:iCs/>
          <w:color w:val="000000" w:themeColor="text1"/>
          <w:sz w:val="20"/>
          <w:szCs w:val="20"/>
        </w:rPr>
        <w:t>Fetter v Beale</w:t>
      </w:r>
      <w:r w:rsidRPr="009F2A06">
        <w:rPr>
          <w:rFonts w:cs="Times New Roman"/>
          <w:color w:val="000000" w:themeColor="text1"/>
          <w:sz w:val="20"/>
          <w:szCs w:val="20"/>
        </w:rPr>
        <w:t xml:space="preserve"> (1701) 1 Salk11; ER. It concerned a plaintiff who sued successfully for damages for assault and battery, but later discovered that “a piece of his skull was come out” from the same incident. A second action claiming damages for the newly discovered harm to the plaintiff’s skull failed. </w:t>
      </w:r>
    </w:p>
  </w:footnote>
  <w:footnote w:id="24">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iCs/>
          <w:color w:val="000000" w:themeColor="text1"/>
        </w:rPr>
        <w:t>DZ</w:t>
      </w:r>
      <w:r w:rsidRPr="009F2A06">
        <w:rPr>
          <w:color w:val="000000" w:themeColor="text1"/>
        </w:rPr>
        <w:t xml:space="preserve"> (note 4 above) at para 16.</w:t>
      </w:r>
    </w:p>
  </w:footnote>
  <w:footnote w:id="25">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proofErr w:type="spellStart"/>
      <w:r w:rsidRPr="009F2A06">
        <w:rPr>
          <w:i/>
          <w:iCs/>
          <w:color w:val="000000" w:themeColor="text1"/>
        </w:rPr>
        <w:t>Dippenaar</w:t>
      </w:r>
      <w:proofErr w:type="spellEnd"/>
      <w:r w:rsidRPr="009F2A06">
        <w:rPr>
          <w:i/>
          <w:iCs/>
          <w:color w:val="000000" w:themeColor="text1"/>
        </w:rPr>
        <w:t xml:space="preserve"> v Shield Insurance</w:t>
      </w:r>
      <w:r w:rsidRPr="009F2A06">
        <w:rPr>
          <w:color w:val="000000" w:themeColor="text1"/>
        </w:rPr>
        <w:t xml:space="preserve"> </w:t>
      </w:r>
      <w:r w:rsidRPr="009F2A06">
        <w:rPr>
          <w:i/>
          <w:color w:val="000000" w:themeColor="text1"/>
        </w:rPr>
        <w:t>Co Ltd</w:t>
      </w:r>
      <w:r w:rsidRPr="009F2A06">
        <w:rPr>
          <w:color w:val="000000" w:themeColor="text1"/>
        </w:rPr>
        <w:t xml:space="preserve"> 1979 (2) SA 904 (A) at 917B and E.</w:t>
      </w:r>
    </w:p>
  </w:footnote>
  <w:footnote w:id="26">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iCs/>
          <w:color w:val="000000" w:themeColor="text1"/>
        </w:rPr>
        <w:t>DZ</w:t>
      </w:r>
      <w:r w:rsidRPr="009F2A06">
        <w:rPr>
          <w:color w:val="000000" w:themeColor="text1"/>
        </w:rPr>
        <w:t xml:space="preserve"> (note 4 above) at para 14.</w:t>
      </w:r>
    </w:p>
  </w:footnote>
  <w:footnote w:id="27">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proofErr w:type="spellStart"/>
      <w:r w:rsidRPr="009F2A06">
        <w:rPr>
          <w:i/>
          <w:color w:val="000000" w:themeColor="text1"/>
        </w:rPr>
        <w:t>Ngubane</w:t>
      </w:r>
      <w:proofErr w:type="spellEnd"/>
      <w:r w:rsidRPr="009F2A06">
        <w:rPr>
          <w:color w:val="000000" w:themeColor="text1"/>
        </w:rPr>
        <w:t xml:space="preserve"> (note 12 above).</w:t>
      </w:r>
    </w:p>
  </w:footnote>
  <w:footnote w:id="28">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Cs/>
          <w:color w:val="000000" w:themeColor="text1"/>
        </w:rPr>
        <w:t xml:space="preserve">Ibid </w:t>
      </w:r>
      <w:r w:rsidRPr="009F2A06">
        <w:rPr>
          <w:color w:val="000000" w:themeColor="text1"/>
        </w:rPr>
        <w:t xml:space="preserve">at 784C-E; </w:t>
      </w:r>
    </w:p>
  </w:footnote>
  <w:footnote w:id="29">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Cs/>
          <w:color w:val="000000" w:themeColor="text1"/>
        </w:rPr>
        <w:t>Ibid</w:t>
      </w:r>
      <w:r w:rsidRPr="009F2A06">
        <w:rPr>
          <w:i/>
          <w:iCs/>
          <w:color w:val="000000" w:themeColor="text1"/>
        </w:rPr>
        <w:t xml:space="preserve"> </w:t>
      </w:r>
      <w:r w:rsidRPr="009F2A06">
        <w:rPr>
          <w:color w:val="000000" w:themeColor="text1"/>
        </w:rPr>
        <w:t>at 785C-D</w:t>
      </w:r>
    </w:p>
  </w:footnote>
  <w:footnote w:id="30">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iCs/>
          <w:color w:val="000000" w:themeColor="text1"/>
        </w:rPr>
        <w:t>DZ</w:t>
      </w:r>
      <w:r w:rsidRPr="009F2A06">
        <w:rPr>
          <w:color w:val="000000" w:themeColor="text1"/>
        </w:rPr>
        <w:t xml:space="preserve"> (note 4 above) at paras 21-2. </w:t>
      </w:r>
    </w:p>
  </w:footnote>
  <w:footnote w:id="31">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Cs/>
          <w:color w:val="000000" w:themeColor="text1"/>
        </w:rPr>
        <w:t xml:space="preserve">Ibid at </w:t>
      </w:r>
      <w:r w:rsidRPr="009F2A06">
        <w:rPr>
          <w:color w:val="000000" w:themeColor="text1"/>
        </w:rPr>
        <w:t>para 22.</w:t>
      </w:r>
    </w:p>
  </w:footnote>
  <w:footnote w:id="32">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iCs/>
          <w:color w:val="000000" w:themeColor="text1"/>
        </w:rPr>
        <w:t xml:space="preserve">Williams v </w:t>
      </w:r>
      <w:proofErr w:type="spellStart"/>
      <w:r w:rsidRPr="009F2A06">
        <w:rPr>
          <w:i/>
          <w:iCs/>
          <w:color w:val="000000" w:themeColor="text1"/>
        </w:rPr>
        <w:t>Oosthuizen</w:t>
      </w:r>
      <w:proofErr w:type="spellEnd"/>
      <w:r w:rsidRPr="009F2A06">
        <w:rPr>
          <w:color w:val="000000" w:themeColor="text1"/>
        </w:rPr>
        <w:t xml:space="preserve"> 1981 (4) SA 182 (C) at 184H-185D.</w:t>
      </w:r>
    </w:p>
  </w:footnote>
  <w:footnote w:id="33">
    <w:p w:rsidR="00900F49" w:rsidRDefault="00900F49">
      <w:pPr>
        <w:pStyle w:val="FootnoteText"/>
      </w:pPr>
      <w:r w:rsidRPr="009F2A06">
        <w:rPr>
          <w:rStyle w:val="FootnoteReference"/>
          <w:color w:val="000000" w:themeColor="text1"/>
        </w:rPr>
        <w:footnoteRef/>
      </w:r>
      <w:r w:rsidRPr="009F2A06">
        <w:rPr>
          <w:i/>
          <w:iCs/>
          <w:color w:val="000000" w:themeColor="text1"/>
        </w:rPr>
        <w:t xml:space="preserve"> </w:t>
      </w:r>
      <w:r w:rsidRPr="009F2A06">
        <w:rPr>
          <w:iCs/>
          <w:color w:val="000000" w:themeColor="text1"/>
        </w:rPr>
        <w:t xml:space="preserve">Ibid </w:t>
      </w:r>
      <w:r w:rsidRPr="009F2A06">
        <w:rPr>
          <w:color w:val="000000" w:themeColor="text1"/>
        </w:rPr>
        <w:t xml:space="preserve">at 184H-185D. See also </w:t>
      </w:r>
      <w:proofErr w:type="spellStart"/>
      <w:r w:rsidRPr="009F2A06">
        <w:rPr>
          <w:i/>
          <w:iCs/>
          <w:color w:val="000000" w:themeColor="text1"/>
        </w:rPr>
        <w:t>Dyssel</w:t>
      </w:r>
      <w:proofErr w:type="spellEnd"/>
      <w:r w:rsidRPr="009F2A06">
        <w:rPr>
          <w:i/>
          <w:iCs/>
          <w:color w:val="000000" w:themeColor="text1"/>
        </w:rPr>
        <w:t xml:space="preserve"> NO v Shield Insurance Co Ltd</w:t>
      </w:r>
      <w:r w:rsidRPr="009F2A06">
        <w:rPr>
          <w:color w:val="000000" w:themeColor="text1"/>
        </w:rPr>
        <w:t xml:space="preserve"> 1982 (3) SA 1084 (C) at 1086H- 187A</w:t>
      </w:r>
      <w:r>
        <w:t>.</w:t>
      </w:r>
    </w:p>
  </w:footnote>
  <w:footnote w:id="34">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color w:val="000000" w:themeColor="text1"/>
        </w:rPr>
        <w:t xml:space="preserve">DZ </w:t>
      </w:r>
      <w:r w:rsidRPr="009F2A06">
        <w:rPr>
          <w:color w:val="000000" w:themeColor="text1"/>
        </w:rPr>
        <w:t>(note 4 above) at paras 41and 44.</w:t>
      </w:r>
    </w:p>
  </w:footnote>
  <w:footnote w:id="35">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 45.</w:t>
      </w:r>
    </w:p>
  </w:footnote>
  <w:footnote w:id="36">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 45.</w:t>
      </w:r>
    </w:p>
  </w:footnote>
  <w:footnote w:id="37">
    <w:p w:rsidR="00900F49" w:rsidRDefault="00900F49">
      <w:pPr>
        <w:pStyle w:val="FootnoteText"/>
      </w:pPr>
      <w:r>
        <w:rPr>
          <w:rStyle w:val="FootnoteReference"/>
        </w:rPr>
        <w:footnoteRef/>
      </w:r>
      <w:r>
        <w:t xml:space="preserve"> </w:t>
      </w:r>
      <w:r w:rsidRPr="00DA15F3">
        <w:rPr>
          <w:i/>
        </w:rPr>
        <w:t>DZ</w:t>
      </w:r>
      <w:r>
        <w:t>, paragraph 51</w:t>
      </w:r>
    </w:p>
  </w:footnote>
  <w:footnote w:id="38">
    <w:p w:rsidR="00900F49" w:rsidRPr="009F2A06" w:rsidRDefault="00900F49" w:rsidP="0058210F">
      <w:pPr>
        <w:autoSpaceDE w:val="0"/>
        <w:autoSpaceDN w:val="0"/>
        <w:adjustRightInd w:val="0"/>
        <w:spacing w:after="0" w:line="240" w:lineRule="auto"/>
        <w:rPr>
          <w:b/>
          <w:bCs/>
          <w:color w:val="000000" w:themeColor="text1"/>
          <w:sz w:val="20"/>
          <w:szCs w:val="20"/>
        </w:rPr>
      </w:pPr>
      <w:r w:rsidRPr="009F2A06">
        <w:rPr>
          <w:rStyle w:val="FootnoteReference"/>
          <w:color w:val="000000" w:themeColor="text1"/>
        </w:rPr>
        <w:footnoteRef/>
      </w:r>
      <w:r w:rsidRPr="009F2A06">
        <w:rPr>
          <w:color w:val="000000" w:themeColor="text1"/>
          <w:sz w:val="20"/>
          <w:szCs w:val="20"/>
        </w:rPr>
        <w:t xml:space="preserve"> </w:t>
      </w:r>
      <w:r w:rsidRPr="009F2A06">
        <w:rPr>
          <w:i/>
          <w:color w:val="000000" w:themeColor="text1"/>
          <w:sz w:val="20"/>
          <w:szCs w:val="20"/>
        </w:rPr>
        <w:t>DZ</w:t>
      </w:r>
      <w:r w:rsidRPr="009F2A06">
        <w:rPr>
          <w:color w:val="000000" w:themeColor="text1"/>
          <w:sz w:val="20"/>
          <w:szCs w:val="20"/>
        </w:rPr>
        <w:t xml:space="preserve"> (note 4 above) at paras 47-8</w:t>
      </w:r>
      <w:r w:rsidRPr="009F2A06">
        <w:rPr>
          <w:b/>
          <w:bCs/>
          <w:color w:val="000000" w:themeColor="text1"/>
          <w:sz w:val="20"/>
          <w:szCs w:val="20"/>
        </w:rPr>
        <w:t xml:space="preserve"> </w:t>
      </w:r>
      <w:r w:rsidRPr="009F2A06">
        <w:rPr>
          <w:rFonts w:cs="Times New Roman"/>
          <w:b/>
          <w:bCs/>
          <w:color w:val="000000" w:themeColor="text1"/>
          <w:sz w:val="20"/>
          <w:szCs w:val="20"/>
        </w:rPr>
        <w:t>—</w:t>
      </w:r>
    </w:p>
    <w:p w:rsidR="00900F49" w:rsidRPr="009F2A06" w:rsidRDefault="00900F49" w:rsidP="0058210F">
      <w:pPr>
        <w:autoSpaceDE w:val="0"/>
        <w:autoSpaceDN w:val="0"/>
        <w:adjustRightInd w:val="0"/>
        <w:spacing w:after="0" w:line="240" w:lineRule="auto"/>
        <w:rPr>
          <w:rFonts w:cs="Times New Roman"/>
          <w:color w:val="000000" w:themeColor="text1"/>
          <w:sz w:val="18"/>
          <w:szCs w:val="18"/>
        </w:rPr>
      </w:pPr>
      <w:r w:rsidRPr="009F2A06">
        <w:rPr>
          <w:b/>
          <w:bCs/>
          <w:color w:val="000000" w:themeColor="text1"/>
          <w:sz w:val="20"/>
          <w:szCs w:val="20"/>
        </w:rPr>
        <w:t>English law</w:t>
      </w:r>
      <w:r w:rsidRPr="009F2A06">
        <w:rPr>
          <w:color w:val="000000" w:themeColor="text1"/>
          <w:sz w:val="20"/>
          <w:szCs w:val="20"/>
        </w:rPr>
        <w:t>:</w:t>
      </w:r>
      <w:r w:rsidRPr="009F2A06">
        <w:rPr>
          <w:color w:val="000000" w:themeColor="text1"/>
        </w:rPr>
        <w:t xml:space="preserve"> </w:t>
      </w:r>
      <w:r w:rsidRPr="009F2A06">
        <w:rPr>
          <w:rFonts w:cs="Times New Roman"/>
          <w:color w:val="000000" w:themeColor="text1"/>
          <w:sz w:val="18"/>
          <w:szCs w:val="18"/>
        </w:rPr>
        <w:t xml:space="preserve">Jones, </w:t>
      </w:r>
      <w:proofErr w:type="spellStart"/>
      <w:r w:rsidRPr="009F2A06">
        <w:rPr>
          <w:rFonts w:cs="Times New Roman"/>
          <w:color w:val="000000" w:themeColor="text1"/>
          <w:sz w:val="18"/>
          <w:szCs w:val="18"/>
        </w:rPr>
        <w:t>Dugdale</w:t>
      </w:r>
      <w:proofErr w:type="spellEnd"/>
      <w:r w:rsidRPr="009F2A06">
        <w:rPr>
          <w:rFonts w:cs="Times New Roman"/>
          <w:color w:val="000000" w:themeColor="text1"/>
          <w:sz w:val="18"/>
          <w:szCs w:val="18"/>
        </w:rPr>
        <w:t xml:space="preserve"> and Simpson (</w:t>
      </w:r>
      <w:proofErr w:type="spellStart"/>
      <w:r w:rsidRPr="009F2A06">
        <w:rPr>
          <w:rFonts w:cs="Times New Roman"/>
          <w:color w:val="000000" w:themeColor="text1"/>
          <w:sz w:val="18"/>
          <w:szCs w:val="18"/>
        </w:rPr>
        <w:t>eds</w:t>
      </w:r>
      <w:proofErr w:type="spellEnd"/>
      <w:r w:rsidRPr="009F2A06">
        <w:rPr>
          <w:rFonts w:cs="Times New Roman"/>
          <w:color w:val="000000" w:themeColor="text1"/>
          <w:sz w:val="18"/>
          <w:szCs w:val="18"/>
        </w:rPr>
        <w:t xml:space="preserve">) </w:t>
      </w:r>
      <w:r w:rsidRPr="009F2A06">
        <w:rPr>
          <w:rFonts w:cs="Times New Roman"/>
          <w:i/>
          <w:color w:val="000000" w:themeColor="text1"/>
          <w:sz w:val="18"/>
          <w:szCs w:val="18"/>
        </w:rPr>
        <w:t xml:space="preserve">Clerk and </w:t>
      </w:r>
      <w:proofErr w:type="spellStart"/>
      <w:r w:rsidRPr="009F2A06">
        <w:rPr>
          <w:rFonts w:cs="Times New Roman"/>
          <w:i/>
          <w:color w:val="000000" w:themeColor="text1"/>
          <w:sz w:val="18"/>
          <w:szCs w:val="18"/>
        </w:rPr>
        <w:t>Lindsell</w:t>
      </w:r>
      <w:proofErr w:type="spellEnd"/>
      <w:r w:rsidRPr="009F2A06">
        <w:rPr>
          <w:rFonts w:cs="Times New Roman"/>
          <w:i/>
          <w:color w:val="000000" w:themeColor="text1"/>
          <w:sz w:val="18"/>
          <w:szCs w:val="18"/>
        </w:rPr>
        <w:t xml:space="preserve"> on Torts</w:t>
      </w:r>
      <w:r w:rsidRPr="009F2A06">
        <w:rPr>
          <w:rFonts w:cs="Times New Roman"/>
          <w:color w:val="000000" w:themeColor="text1"/>
          <w:sz w:val="18"/>
          <w:szCs w:val="18"/>
        </w:rPr>
        <w:t xml:space="preserve"> 21 </w:t>
      </w:r>
      <w:proofErr w:type="spellStart"/>
      <w:r w:rsidRPr="009F2A06">
        <w:rPr>
          <w:rFonts w:cs="Times New Roman"/>
          <w:color w:val="000000" w:themeColor="text1"/>
          <w:sz w:val="18"/>
          <w:szCs w:val="18"/>
        </w:rPr>
        <w:t>ed</w:t>
      </w:r>
      <w:proofErr w:type="spellEnd"/>
      <w:r w:rsidRPr="009F2A06">
        <w:rPr>
          <w:rFonts w:cs="Times New Roman"/>
          <w:color w:val="000000" w:themeColor="text1"/>
          <w:sz w:val="18"/>
          <w:szCs w:val="18"/>
        </w:rPr>
        <w:t xml:space="preserve"> (Sweet &amp; Maxwell Ltd, London 2014) at paras 28-7 2 to 28-76. See further: See Lord Steyn in </w:t>
      </w:r>
      <w:r w:rsidRPr="009F2A06">
        <w:rPr>
          <w:rFonts w:cs="Times New Roman"/>
          <w:i/>
          <w:color w:val="000000" w:themeColor="text1"/>
          <w:sz w:val="18"/>
          <w:szCs w:val="18"/>
        </w:rPr>
        <w:t xml:space="preserve">Wells </w:t>
      </w:r>
      <w:proofErr w:type="gramStart"/>
      <w:r w:rsidRPr="009F2A06">
        <w:rPr>
          <w:rFonts w:cs="Times New Roman"/>
          <w:i/>
          <w:color w:val="000000" w:themeColor="text1"/>
          <w:sz w:val="18"/>
          <w:szCs w:val="18"/>
        </w:rPr>
        <w:t>v</w:t>
      </w:r>
      <w:proofErr w:type="gramEnd"/>
      <w:r w:rsidRPr="009F2A06">
        <w:rPr>
          <w:rFonts w:cs="Times New Roman"/>
          <w:i/>
          <w:color w:val="000000" w:themeColor="text1"/>
          <w:sz w:val="18"/>
          <w:szCs w:val="18"/>
        </w:rPr>
        <w:t xml:space="preserve"> Wells</w:t>
      </w:r>
      <w:r w:rsidRPr="009F2A06">
        <w:rPr>
          <w:rFonts w:cs="Times New Roman"/>
          <w:color w:val="000000" w:themeColor="text1"/>
          <w:sz w:val="18"/>
          <w:szCs w:val="18"/>
        </w:rPr>
        <w:t xml:space="preserve"> [1998] 3 All ER 481(HL)at 502</w:t>
      </w:r>
      <w:r w:rsidRPr="009F2A06">
        <w:rPr>
          <w:rFonts w:cs="Times New Roman"/>
          <w:i/>
          <w:color w:val="000000" w:themeColor="text1"/>
          <w:sz w:val="18"/>
          <w:szCs w:val="18"/>
        </w:rPr>
        <w:t>e</w:t>
      </w:r>
      <w:r w:rsidRPr="009F2A06">
        <w:rPr>
          <w:rFonts w:cs="Times New Roman"/>
          <w:color w:val="000000" w:themeColor="text1"/>
          <w:sz w:val="18"/>
          <w:szCs w:val="18"/>
        </w:rPr>
        <w:t>-</w:t>
      </w:r>
      <w:r w:rsidRPr="009F2A06">
        <w:rPr>
          <w:rFonts w:cs="Times New Roman"/>
          <w:i/>
          <w:color w:val="000000" w:themeColor="text1"/>
          <w:sz w:val="18"/>
          <w:szCs w:val="18"/>
        </w:rPr>
        <w:t>h</w:t>
      </w:r>
      <w:r w:rsidRPr="009F2A06">
        <w:rPr>
          <w:rFonts w:cs="Times New Roman"/>
          <w:color w:val="000000" w:themeColor="text1"/>
          <w:sz w:val="18"/>
          <w:szCs w:val="18"/>
        </w:rPr>
        <w:t>.</w:t>
      </w:r>
    </w:p>
    <w:p w:rsidR="00900F49" w:rsidRPr="009F2A06" w:rsidRDefault="00900F49" w:rsidP="0058210F">
      <w:pPr>
        <w:autoSpaceDE w:val="0"/>
        <w:autoSpaceDN w:val="0"/>
        <w:adjustRightInd w:val="0"/>
        <w:spacing w:after="0" w:line="240" w:lineRule="auto"/>
        <w:rPr>
          <w:rFonts w:cs="Times New Roman"/>
          <w:color w:val="000000" w:themeColor="text1"/>
          <w:sz w:val="18"/>
          <w:szCs w:val="18"/>
        </w:rPr>
      </w:pPr>
    </w:p>
    <w:p w:rsidR="00900F49" w:rsidRPr="009F2A06" w:rsidRDefault="00900F49" w:rsidP="0058210F">
      <w:pPr>
        <w:autoSpaceDE w:val="0"/>
        <w:autoSpaceDN w:val="0"/>
        <w:adjustRightInd w:val="0"/>
        <w:spacing w:after="0" w:line="240" w:lineRule="auto"/>
        <w:rPr>
          <w:rFonts w:ascii="Arial" w:hAnsi="Arial" w:cs="Arial"/>
          <w:color w:val="000000" w:themeColor="text1"/>
          <w:sz w:val="18"/>
          <w:szCs w:val="18"/>
        </w:rPr>
      </w:pPr>
      <w:r w:rsidRPr="009F2A06">
        <w:rPr>
          <w:rFonts w:ascii="Arial" w:hAnsi="Arial" w:cs="Arial"/>
          <w:b/>
          <w:bCs/>
          <w:color w:val="000000" w:themeColor="text1"/>
          <w:sz w:val="18"/>
          <w:szCs w:val="18"/>
        </w:rPr>
        <w:t>Canadian Law</w:t>
      </w:r>
      <w:r w:rsidRPr="009F2A06">
        <w:rPr>
          <w:rFonts w:ascii="Arial" w:hAnsi="Arial" w:cs="Arial"/>
          <w:color w:val="000000" w:themeColor="text1"/>
          <w:sz w:val="18"/>
          <w:szCs w:val="18"/>
        </w:rPr>
        <w:t xml:space="preserve">: </w:t>
      </w:r>
      <w:r w:rsidRPr="009F2A06">
        <w:rPr>
          <w:rFonts w:cs="Times New Roman"/>
          <w:color w:val="000000" w:themeColor="text1"/>
          <w:sz w:val="18"/>
          <w:szCs w:val="18"/>
        </w:rPr>
        <w:t xml:space="preserve">Provincial governments in Canada have put in place legislative frameworks regulating the periodic payment of damages in medical negligence matters [see, for example, the 1990 Ontario Courts of Justice Act (sections 2 and 116). Prior to this, the Supreme Court of Canada refused to exercise judicial powers to vary the once and for all rule [ </w:t>
      </w:r>
      <w:r w:rsidRPr="009F2A06">
        <w:rPr>
          <w:rFonts w:cs="Times New Roman"/>
          <w:i/>
          <w:color w:val="000000" w:themeColor="text1"/>
          <w:sz w:val="18"/>
          <w:szCs w:val="18"/>
        </w:rPr>
        <w:t xml:space="preserve">Watkins v </w:t>
      </w:r>
      <w:proofErr w:type="spellStart"/>
      <w:r w:rsidRPr="009F2A06">
        <w:rPr>
          <w:rFonts w:cs="Times New Roman"/>
          <w:i/>
          <w:color w:val="000000" w:themeColor="text1"/>
          <w:sz w:val="18"/>
          <w:szCs w:val="18"/>
        </w:rPr>
        <w:t>Olafson</w:t>
      </w:r>
      <w:proofErr w:type="spellEnd"/>
      <w:r w:rsidRPr="009F2A06">
        <w:rPr>
          <w:rFonts w:cs="Times New Roman"/>
          <w:color w:val="000000" w:themeColor="text1"/>
          <w:sz w:val="18"/>
          <w:szCs w:val="18"/>
        </w:rPr>
        <w:t xml:space="preserve"> [1989] 2 SCR 750 (SCC)].</w:t>
      </w:r>
    </w:p>
  </w:footnote>
  <w:footnote w:id="39">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w:t>
      </w:r>
      <w:r w:rsidRPr="009F2A06">
        <w:rPr>
          <w:i/>
          <w:color w:val="000000" w:themeColor="text1"/>
        </w:rPr>
        <w:t xml:space="preserve"> </w:t>
      </w:r>
      <w:r w:rsidRPr="009F2A06">
        <w:rPr>
          <w:color w:val="000000" w:themeColor="text1"/>
        </w:rPr>
        <w:t>para 54.</w:t>
      </w:r>
    </w:p>
  </w:footnote>
  <w:footnote w:id="40">
    <w:p w:rsidR="00900F49" w:rsidRPr="009F2A06" w:rsidRDefault="00900F49" w:rsidP="00C86BC5">
      <w:pPr>
        <w:pStyle w:val="FootnoteText"/>
        <w:rPr>
          <w:color w:val="000000" w:themeColor="text1"/>
        </w:rPr>
      </w:pPr>
      <w:r>
        <w:rPr>
          <w:rStyle w:val="FootnoteReference"/>
        </w:rPr>
        <w:footnoteRef/>
      </w:r>
      <w:r>
        <w:t xml:space="preserve"> </w:t>
      </w:r>
      <w:r w:rsidRPr="009F2A06">
        <w:rPr>
          <w:i/>
          <w:iCs/>
          <w:color w:val="000000" w:themeColor="text1"/>
        </w:rPr>
        <w:t xml:space="preserve">MSM </w:t>
      </w:r>
      <w:r w:rsidRPr="009F2A06">
        <w:rPr>
          <w:color w:val="000000" w:themeColor="text1"/>
        </w:rPr>
        <w:t>(note 11 above).</w:t>
      </w:r>
    </w:p>
  </w:footnote>
  <w:footnote w:id="41">
    <w:p w:rsidR="00900F49" w:rsidRPr="009F2A06" w:rsidRDefault="00900F49" w:rsidP="00C86BC5">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Cs/>
          <w:color w:val="000000" w:themeColor="text1"/>
        </w:rPr>
        <w:t xml:space="preserve">Ibid </w:t>
      </w:r>
      <w:r w:rsidRPr="009F2A06">
        <w:rPr>
          <w:color w:val="000000" w:themeColor="text1"/>
        </w:rPr>
        <w:t>at paragraph 188.</w:t>
      </w:r>
    </w:p>
  </w:footnote>
  <w:footnote w:id="42">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See further: </w:t>
      </w:r>
      <w:r w:rsidRPr="009F2A06">
        <w:rPr>
          <w:i/>
          <w:iCs/>
          <w:color w:val="000000" w:themeColor="text1"/>
        </w:rPr>
        <w:t xml:space="preserve">Paulsen and Another </w:t>
      </w:r>
      <w:proofErr w:type="gramStart"/>
      <w:r w:rsidRPr="009F2A06">
        <w:rPr>
          <w:i/>
          <w:iCs/>
          <w:color w:val="000000" w:themeColor="text1"/>
        </w:rPr>
        <w:t>v</w:t>
      </w:r>
      <w:proofErr w:type="gramEnd"/>
      <w:r w:rsidRPr="009F2A06">
        <w:rPr>
          <w:i/>
          <w:iCs/>
          <w:color w:val="000000" w:themeColor="text1"/>
        </w:rPr>
        <w:t xml:space="preserve"> Slip Knot Investments 777 (Pty) Limited</w:t>
      </w:r>
      <w:r w:rsidRPr="009F2A06">
        <w:rPr>
          <w:color w:val="000000" w:themeColor="text1"/>
        </w:rPr>
        <w:t xml:space="preserve"> 2015 (3) SA 479 (CC) paras 15-16.</w:t>
      </w:r>
    </w:p>
  </w:footnote>
  <w:footnote w:id="43">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iCs/>
          <w:color w:val="000000" w:themeColor="text1"/>
        </w:rPr>
        <w:t>Fitter v Veal</w:t>
      </w:r>
      <w:r w:rsidRPr="009F2A06">
        <w:rPr>
          <w:color w:val="000000" w:themeColor="text1"/>
        </w:rPr>
        <w:t xml:space="preserve"> (note 23 above) and </w:t>
      </w:r>
      <w:r w:rsidRPr="009F2A06">
        <w:rPr>
          <w:i/>
          <w:iCs/>
          <w:color w:val="000000" w:themeColor="text1"/>
        </w:rPr>
        <w:t>Fetter v Beale</w:t>
      </w:r>
      <w:r w:rsidRPr="009F2A06">
        <w:rPr>
          <w:color w:val="000000" w:themeColor="text1"/>
        </w:rPr>
        <w:t xml:space="preserve"> (note 23 above).</w:t>
      </w:r>
    </w:p>
  </w:footnote>
  <w:footnote w:id="44">
    <w:p w:rsidR="00900F49" w:rsidRDefault="00900F49">
      <w:pPr>
        <w:pStyle w:val="FootnoteText"/>
      </w:pPr>
      <w:r w:rsidRPr="009F2A06">
        <w:rPr>
          <w:rStyle w:val="FootnoteReference"/>
          <w:color w:val="000000" w:themeColor="text1"/>
        </w:rPr>
        <w:footnoteRef/>
      </w:r>
      <w:r w:rsidRPr="009F2A06">
        <w:rPr>
          <w:color w:val="000000" w:themeColor="text1"/>
        </w:rPr>
        <w:t xml:space="preserve"> Van der Walt CFC </w:t>
      </w:r>
      <w:r w:rsidRPr="009F2A06">
        <w:rPr>
          <w:i/>
          <w:color w:val="000000" w:themeColor="text1"/>
        </w:rPr>
        <w:t xml:space="preserve">Die </w:t>
      </w:r>
      <w:proofErr w:type="spellStart"/>
      <w:r w:rsidRPr="009F2A06">
        <w:rPr>
          <w:i/>
          <w:color w:val="000000" w:themeColor="text1"/>
        </w:rPr>
        <w:t>Sommeskadeleer</w:t>
      </w:r>
      <w:proofErr w:type="spellEnd"/>
      <w:r w:rsidRPr="009F2A06">
        <w:rPr>
          <w:i/>
          <w:color w:val="000000" w:themeColor="text1"/>
        </w:rPr>
        <w:t xml:space="preserve"> </w:t>
      </w:r>
      <w:proofErr w:type="spellStart"/>
      <w:r w:rsidRPr="009F2A06">
        <w:rPr>
          <w:i/>
          <w:color w:val="000000" w:themeColor="text1"/>
        </w:rPr>
        <w:t>en</w:t>
      </w:r>
      <w:proofErr w:type="spellEnd"/>
      <w:r w:rsidRPr="009F2A06">
        <w:rPr>
          <w:i/>
          <w:color w:val="000000" w:themeColor="text1"/>
        </w:rPr>
        <w:t xml:space="preserve"> die </w:t>
      </w:r>
      <w:r>
        <w:rPr>
          <w:i/>
          <w:color w:val="000000" w:themeColor="text1"/>
        </w:rPr>
        <w:t>‘</w:t>
      </w:r>
      <w:r w:rsidRPr="009F2A06">
        <w:rPr>
          <w:i/>
          <w:color w:val="000000" w:themeColor="text1"/>
        </w:rPr>
        <w:t>Once and for all</w:t>
      </w:r>
      <w:r>
        <w:rPr>
          <w:i/>
          <w:color w:val="000000" w:themeColor="text1"/>
        </w:rPr>
        <w:t>’</w:t>
      </w:r>
      <w:r w:rsidRPr="009F2A06">
        <w:rPr>
          <w:i/>
          <w:color w:val="000000" w:themeColor="text1"/>
        </w:rPr>
        <w:t>-</w:t>
      </w:r>
      <w:proofErr w:type="spellStart"/>
      <w:r w:rsidRPr="009F2A06">
        <w:rPr>
          <w:i/>
          <w:color w:val="000000" w:themeColor="text1"/>
        </w:rPr>
        <w:t>Reël</w:t>
      </w:r>
      <w:proofErr w:type="spellEnd"/>
      <w:r w:rsidRPr="009F2A06">
        <w:rPr>
          <w:color w:val="000000" w:themeColor="text1"/>
        </w:rPr>
        <w:t xml:space="preserve"> (LLD thesis </w:t>
      </w:r>
      <w:proofErr w:type="spellStart"/>
      <w:r w:rsidRPr="009F2A06">
        <w:rPr>
          <w:color w:val="000000" w:themeColor="text1"/>
        </w:rPr>
        <w:t>Unisa</w:t>
      </w:r>
      <w:proofErr w:type="spellEnd"/>
      <w:r w:rsidRPr="009F2A06">
        <w:rPr>
          <w:color w:val="000000" w:themeColor="text1"/>
        </w:rPr>
        <w:t xml:space="preserve"> 1977) at pp308-314</w:t>
      </w:r>
      <w:r>
        <w:t>.</w:t>
      </w:r>
    </w:p>
  </w:footnote>
  <w:footnote w:id="45">
    <w:p w:rsidR="00900F49" w:rsidRPr="009F2A06" w:rsidRDefault="00900F49" w:rsidP="00C86BC5">
      <w:pPr>
        <w:autoSpaceDE w:val="0"/>
        <w:autoSpaceDN w:val="0"/>
        <w:adjustRightInd w:val="0"/>
        <w:spacing w:after="0" w:line="240" w:lineRule="auto"/>
        <w:rPr>
          <w:rFonts w:cs="Times New Roman"/>
          <w:color w:val="000000" w:themeColor="text1"/>
          <w:sz w:val="18"/>
          <w:szCs w:val="18"/>
        </w:rPr>
      </w:pPr>
      <w:r w:rsidRPr="00433494">
        <w:rPr>
          <w:rStyle w:val="FootnoteReference"/>
          <w:rFonts w:cs="Times New Roman"/>
        </w:rPr>
        <w:footnoteRef/>
      </w:r>
      <w:r w:rsidRPr="00433494">
        <w:rPr>
          <w:rFonts w:cs="Times New Roman"/>
        </w:rPr>
        <w:t xml:space="preserve"> </w:t>
      </w:r>
      <w:r>
        <w:rPr>
          <w:rFonts w:cs="Times New Roman"/>
          <w:sz w:val="18"/>
          <w:szCs w:val="18"/>
        </w:rPr>
        <w:t xml:space="preserve">P </w:t>
      </w:r>
      <w:proofErr w:type="spellStart"/>
      <w:r>
        <w:rPr>
          <w:rFonts w:cs="Times New Roman"/>
          <w:sz w:val="18"/>
          <w:szCs w:val="18"/>
        </w:rPr>
        <w:t>Pauw</w:t>
      </w:r>
      <w:proofErr w:type="spellEnd"/>
      <w:r>
        <w:rPr>
          <w:rFonts w:cs="Times New Roman"/>
          <w:sz w:val="18"/>
          <w:szCs w:val="18"/>
        </w:rPr>
        <w:t xml:space="preserve"> ‘</w:t>
      </w:r>
      <w:r w:rsidRPr="007835DF">
        <w:rPr>
          <w:rFonts w:cs="Times New Roman"/>
          <w:iCs/>
          <w:sz w:val="18"/>
          <w:szCs w:val="18"/>
        </w:rPr>
        <w:t xml:space="preserve">Alternative Relief in </w:t>
      </w:r>
      <w:proofErr w:type="spellStart"/>
      <w:r w:rsidRPr="007835DF">
        <w:rPr>
          <w:rFonts w:cs="Times New Roman"/>
          <w:iCs/>
          <w:sz w:val="18"/>
          <w:szCs w:val="18"/>
        </w:rPr>
        <w:t>Delictual</w:t>
      </w:r>
      <w:proofErr w:type="spellEnd"/>
      <w:r w:rsidRPr="007835DF">
        <w:rPr>
          <w:rFonts w:cs="Times New Roman"/>
          <w:iCs/>
          <w:sz w:val="18"/>
          <w:szCs w:val="18"/>
        </w:rPr>
        <w:t xml:space="preserve"> Claims – A </w:t>
      </w:r>
      <w:r w:rsidRPr="009F2A06">
        <w:rPr>
          <w:rFonts w:cs="Times New Roman"/>
          <w:iCs/>
          <w:color w:val="000000" w:themeColor="text1"/>
          <w:sz w:val="18"/>
          <w:szCs w:val="18"/>
        </w:rPr>
        <w:t>Step in the Right Direction’</w:t>
      </w:r>
      <w:r w:rsidRPr="009F2A06">
        <w:rPr>
          <w:rFonts w:cs="Times New Roman"/>
          <w:color w:val="000000" w:themeColor="text1"/>
          <w:sz w:val="18"/>
          <w:szCs w:val="18"/>
        </w:rPr>
        <w:t xml:space="preserve"> (2018) 81.1 </w:t>
      </w:r>
      <w:r w:rsidRPr="009F2A06">
        <w:rPr>
          <w:rFonts w:cs="Times New Roman"/>
          <w:i/>
          <w:color w:val="000000" w:themeColor="text1"/>
          <w:sz w:val="18"/>
          <w:szCs w:val="18"/>
        </w:rPr>
        <w:t xml:space="preserve">TSAR </w:t>
      </w:r>
      <w:r w:rsidRPr="009F2A06">
        <w:rPr>
          <w:rFonts w:cs="Times New Roman"/>
          <w:color w:val="000000" w:themeColor="text1"/>
          <w:sz w:val="18"/>
          <w:szCs w:val="18"/>
        </w:rPr>
        <w:t xml:space="preserve">176, 180; AB </w:t>
      </w:r>
      <w:proofErr w:type="spellStart"/>
      <w:r w:rsidRPr="009F2A06">
        <w:rPr>
          <w:rFonts w:cs="Times New Roman"/>
          <w:color w:val="000000" w:themeColor="text1"/>
          <w:sz w:val="18"/>
          <w:szCs w:val="18"/>
        </w:rPr>
        <w:t>Wessels</w:t>
      </w:r>
      <w:proofErr w:type="spellEnd"/>
      <w:r w:rsidRPr="009F2A06">
        <w:rPr>
          <w:rFonts w:cs="Times New Roman"/>
          <w:color w:val="000000" w:themeColor="text1"/>
          <w:sz w:val="18"/>
          <w:szCs w:val="18"/>
        </w:rPr>
        <w:t xml:space="preserve"> “</w:t>
      </w:r>
      <w:r w:rsidRPr="009F2A06">
        <w:rPr>
          <w:rFonts w:cs="Times New Roman"/>
          <w:iCs/>
          <w:color w:val="000000" w:themeColor="text1"/>
          <w:sz w:val="18"/>
          <w:szCs w:val="18"/>
        </w:rPr>
        <w:t>The Expansion of the State’s Liability for Harm Arising from Medical Malpractice: Underlying Reasons, Deleterious Consequences and Potential Reform</w:t>
      </w:r>
      <w:r w:rsidRPr="009F2A06">
        <w:rPr>
          <w:rFonts w:cs="Times New Roman"/>
          <w:color w:val="000000" w:themeColor="text1"/>
          <w:sz w:val="18"/>
          <w:szCs w:val="18"/>
        </w:rPr>
        <w:t xml:space="preserve">” (2019) 1 </w:t>
      </w:r>
      <w:r w:rsidRPr="009F2A06">
        <w:rPr>
          <w:rFonts w:cs="Times New Roman"/>
          <w:i/>
          <w:color w:val="000000" w:themeColor="text1"/>
          <w:sz w:val="18"/>
          <w:szCs w:val="18"/>
        </w:rPr>
        <w:t>TSAR</w:t>
      </w:r>
      <w:r w:rsidRPr="009F2A06">
        <w:rPr>
          <w:rFonts w:cs="Times New Roman"/>
          <w:color w:val="000000" w:themeColor="text1"/>
          <w:sz w:val="18"/>
          <w:szCs w:val="18"/>
        </w:rPr>
        <w:t>, 15.</w:t>
      </w:r>
    </w:p>
  </w:footnote>
  <w:footnote w:id="46">
    <w:p w:rsidR="00900F49" w:rsidRPr="009F2A06" w:rsidRDefault="00900F49" w:rsidP="00C86BC5">
      <w:pPr>
        <w:autoSpaceDE w:val="0"/>
        <w:autoSpaceDN w:val="0"/>
        <w:adjustRightInd w:val="0"/>
        <w:spacing w:after="0" w:line="240" w:lineRule="auto"/>
        <w:jc w:val="left"/>
        <w:rPr>
          <w:rFonts w:cs="Times New Roman"/>
          <w:i/>
          <w:iCs/>
          <w:color w:val="000000" w:themeColor="text1"/>
          <w:sz w:val="18"/>
          <w:szCs w:val="18"/>
        </w:rPr>
      </w:pPr>
      <w:r w:rsidRPr="009F2A06">
        <w:rPr>
          <w:rStyle w:val="FootnoteReference"/>
          <w:color w:val="000000" w:themeColor="text1"/>
        </w:rPr>
        <w:footnoteRef/>
      </w:r>
      <w:r w:rsidRPr="009F2A06">
        <w:rPr>
          <w:color w:val="000000" w:themeColor="text1"/>
        </w:rPr>
        <w:t xml:space="preserve"> </w:t>
      </w:r>
      <w:r w:rsidRPr="009F2A06">
        <w:rPr>
          <w:rFonts w:cs="Times New Roman"/>
          <w:color w:val="000000" w:themeColor="text1"/>
          <w:sz w:val="18"/>
          <w:szCs w:val="18"/>
        </w:rPr>
        <w:t xml:space="preserve">MX </w:t>
      </w:r>
      <w:proofErr w:type="spellStart"/>
      <w:r w:rsidRPr="009F2A06">
        <w:rPr>
          <w:rFonts w:cs="Times New Roman"/>
          <w:color w:val="000000" w:themeColor="text1"/>
          <w:sz w:val="18"/>
          <w:szCs w:val="18"/>
        </w:rPr>
        <w:t>Shibe</w:t>
      </w:r>
      <w:proofErr w:type="spellEnd"/>
      <w:r w:rsidRPr="009F2A06">
        <w:rPr>
          <w:rFonts w:cs="Times New Roman"/>
          <w:color w:val="000000" w:themeColor="text1"/>
          <w:sz w:val="18"/>
          <w:szCs w:val="18"/>
        </w:rPr>
        <w:t xml:space="preserve"> (2020). </w:t>
      </w:r>
      <w:r w:rsidRPr="009F2A06">
        <w:rPr>
          <w:rFonts w:cs="Times New Roman"/>
          <w:i/>
          <w:iCs/>
          <w:color w:val="000000" w:themeColor="text1"/>
          <w:sz w:val="18"/>
          <w:szCs w:val="18"/>
        </w:rPr>
        <w:t>A Feasibility Study of the Legislative Intervention to Reform the Medical Negligence Litigation and</w:t>
      </w:r>
    </w:p>
    <w:p w:rsidR="00900F49" w:rsidRPr="009F2A06" w:rsidRDefault="00900F49" w:rsidP="00C86BC5">
      <w:pPr>
        <w:pStyle w:val="FootnoteText"/>
        <w:rPr>
          <w:color w:val="000000" w:themeColor="text1"/>
        </w:rPr>
      </w:pPr>
      <w:r w:rsidRPr="009F2A06">
        <w:rPr>
          <w:rFonts w:cs="Times New Roman"/>
          <w:i/>
          <w:iCs/>
          <w:color w:val="000000" w:themeColor="text1"/>
          <w:sz w:val="18"/>
          <w:szCs w:val="18"/>
        </w:rPr>
        <w:t>Damages in South Africa</w:t>
      </w:r>
      <w:r w:rsidRPr="009F2A06">
        <w:rPr>
          <w:rFonts w:cs="Times New Roman"/>
          <w:color w:val="000000" w:themeColor="text1"/>
          <w:sz w:val="18"/>
          <w:szCs w:val="18"/>
        </w:rPr>
        <w:t xml:space="preserve"> [Unpublished masters’ dissertation] University of Pretoria,18.</w:t>
      </w:r>
    </w:p>
  </w:footnote>
  <w:footnote w:id="47">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iCs/>
          <w:color w:val="000000" w:themeColor="text1"/>
        </w:rPr>
        <w:t>Member of the Executive Council for Health, Gauteng Provincial Government v PN</w:t>
      </w:r>
      <w:r w:rsidRPr="009F2A06">
        <w:rPr>
          <w:color w:val="000000" w:themeColor="text1"/>
        </w:rPr>
        <w:t xml:space="preserve"> 2021 (6) BCLR 58 (CC) at para 28.</w:t>
      </w:r>
    </w:p>
  </w:footnote>
  <w:footnote w:id="48">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color w:val="000000" w:themeColor="text1"/>
        </w:rPr>
        <w:t>MSM</w:t>
      </w:r>
      <w:r w:rsidRPr="009F2A06">
        <w:rPr>
          <w:color w:val="000000" w:themeColor="text1"/>
        </w:rPr>
        <w:t xml:space="preserve"> (note 11 above).</w:t>
      </w:r>
    </w:p>
  </w:footnote>
  <w:footnote w:id="49">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paras 16-42.</w:t>
      </w:r>
    </w:p>
  </w:footnote>
  <w:footnote w:id="50">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paras 92-172.</w:t>
      </w:r>
    </w:p>
  </w:footnote>
  <w:footnote w:id="51">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 177.</w:t>
      </w:r>
    </w:p>
  </w:footnote>
  <w:footnote w:id="52">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 178.</w:t>
      </w:r>
    </w:p>
  </w:footnote>
  <w:footnote w:id="53">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 179.</w:t>
      </w:r>
    </w:p>
  </w:footnote>
  <w:footnote w:id="54">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 186.</w:t>
      </w:r>
    </w:p>
  </w:footnote>
  <w:footnote w:id="55">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 194.</w:t>
      </w:r>
    </w:p>
  </w:footnote>
  <w:footnote w:id="56">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proofErr w:type="spellStart"/>
      <w:r w:rsidRPr="009F2A06">
        <w:rPr>
          <w:i/>
          <w:iCs/>
          <w:color w:val="000000" w:themeColor="text1"/>
        </w:rPr>
        <w:t>Mashinini</w:t>
      </w:r>
      <w:proofErr w:type="spellEnd"/>
      <w:r w:rsidRPr="009F2A06">
        <w:rPr>
          <w:i/>
          <w:iCs/>
          <w:color w:val="000000" w:themeColor="text1"/>
        </w:rPr>
        <w:t xml:space="preserve"> v Member of the Executive Council for Health, Gauteng Province</w:t>
      </w:r>
      <w:r w:rsidRPr="009F2A06">
        <w:rPr>
          <w:color w:val="000000" w:themeColor="text1"/>
        </w:rPr>
        <w:t xml:space="preserve"> (GJ) unreported judgment case 1352/2017 of 25 January 2021.</w:t>
      </w:r>
    </w:p>
  </w:footnote>
  <w:footnote w:id="57">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iCs/>
          <w:color w:val="000000" w:themeColor="text1"/>
        </w:rPr>
        <w:t>PH obo SH v MEC for Health, KwaZulu-Natal</w:t>
      </w:r>
      <w:r w:rsidRPr="009F2A06">
        <w:rPr>
          <w:color w:val="000000" w:themeColor="text1"/>
        </w:rPr>
        <w:t xml:space="preserve"> 2021 (1) SA 530 (KZN).</w:t>
      </w:r>
    </w:p>
  </w:footnote>
  <w:footnote w:id="58">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 28.</w:t>
      </w:r>
    </w:p>
  </w:footnote>
  <w:footnote w:id="59">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iCs/>
          <w:color w:val="000000" w:themeColor="text1"/>
        </w:rPr>
        <w:t>TN obo BN v MEC for Health, Eastern Cape</w:t>
      </w:r>
      <w:r w:rsidRPr="009F2A06">
        <w:rPr>
          <w:color w:val="000000" w:themeColor="text1"/>
        </w:rPr>
        <w:t xml:space="preserve"> [2020] JOL 48994 (ECB).</w:t>
      </w:r>
    </w:p>
  </w:footnote>
  <w:footnote w:id="60">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Ibid at para41.</w:t>
      </w:r>
    </w:p>
  </w:footnote>
  <w:footnote w:id="61">
    <w:p w:rsidR="00900F49" w:rsidRPr="009F2A06" w:rsidRDefault="00900F49">
      <w:pPr>
        <w:pStyle w:val="FootnoteText"/>
        <w:rPr>
          <w:color w:val="000000" w:themeColor="text1"/>
        </w:rPr>
      </w:pPr>
      <w:r w:rsidRPr="009F2A06">
        <w:rPr>
          <w:rStyle w:val="FootnoteReference"/>
          <w:color w:val="000000" w:themeColor="text1"/>
        </w:rPr>
        <w:footnoteRef/>
      </w:r>
      <w:r w:rsidRPr="009F2A06">
        <w:rPr>
          <w:i/>
          <w:iCs/>
          <w:color w:val="000000" w:themeColor="text1"/>
        </w:rPr>
        <w:t xml:space="preserve"> DZ</w:t>
      </w:r>
      <w:r w:rsidRPr="009F2A06">
        <w:rPr>
          <w:color w:val="000000" w:themeColor="text1"/>
        </w:rPr>
        <w:t xml:space="preserve"> (note 4 above) at para 58.</w:t>
      </w:r>
    </w:p>
  </w:footnote>
  <w:footnote w:id="62">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iCs/>
          <w:color w:val="000000" w:themeColor="text1"/>
        </w:rPr>
        <w:t>MSM</w:t>
      </w:r>
      <w:r w:rsidRPr="009F2A06">
        <w:rPr>
          <w:color w:val="000000" w:themeColor="text1"/>
        </w:rPr>
        <w:t xml:space="preserve"> (note 11 above) at paras 92-172; </w:t>
      </w:r>
      <w:proofErr w:type="spellStart"/>
      <w:r w:rsidRPr="009F2A06">
        <w:rPr>
          <w:i/>
          <w:iCs/>
          <w:color w:val="000000" w:themeColor="text1"/>
        </w:rPr>
        <w:t>Ngubane</w:t>
      </w:r>
      <w:proofErr w:type="spellEnd"/>
      <w:r w:rsidRPr="009F2A06">
        <w:rPr>
          <w:i/>
          <w:iCs/>
          <w:color w:val="000000" w:themeColor="text1"/>
        </w:rPr>
        <w:t xml:space="preserve"> </w:t>
      </w:r>
      <w:r w:rsidRPr="009F2A06">
        <w:rPr>
          <w:iCs/>
          <w:color w:val="000000" w:themeColor="text1"/>
        </w:rPr>
        <w:t xml:space="preserve">(note 12 above) </w:t>
      </w:r>
      <w:r w:rsidRPr="009F2A06">
        <w:rPr>
          <w:color w:val="000000" w:themeColor="text1"/>
        </w:rPr>
        <w:t>783F-785D.</w:t>
      </w:r>
    </w:p>
  </w:footnote>
  <w:footnote w:id="63">
    <w:p w:rsidR="00900F49" w:rsidRDefault="00900F49">
      <w:pPr>
        <w:pStyle w:val="FootnoteText"/>
      </w:pPr>
      <w:r>
        <w:rPr>
          <w:rStyle w:val="FootnoteReference"/>
        </w:rPr>
        <w:footnoteRef/>
      </w:r>
      <w:r>
        <w:t xml:space="preserve"> </w:t>
      </w:r>
      <w:r w:rsidRPr="006E2004">
        <w:rPr>
          <w:i/>
          <w:iCs/>
        </w:rPr>
        <w:t>DZ</w:t>
      </w:r>
      <w:r>
        <w:t xml:space="preserve"> </w:t>
      </w:r>
      <w:r w:rsidRPr="009F2A06">
        <w:rPr>
          <w:color w:val="000000" w:themeColor="text1"/>
        </w:rPr>
        <w:t>(note 4 above) at paras 20</w:t>
      </w:r>
      <w:r>
        <w:t>-21.</w:t>
      </w:r>
    </w:p>
  </w:footnote>
  <w:footnote w:id="64">
    <w:p w:rsidR="00900F49" w:rsidRDefault="00900F49">
      <w:pPr>
        <w:pStyle w:val="FootnoteText"/>
      </w:pPr>
      <w:r>
        <w:rPr>
          <w:rStyle w:val="FootnoteReference"/>
        </w:rPr>
        <w:footnoteRef/>
      </w:r>
      <w:r>
        <w:t xml:space="preserve"> </w:t>
      </w:r>
      <w:proofErr w:type="spellStart"/>
      <w:r w:rsidRPr="009F2A06">
        <w:rPr>
          <w:i/>
          <w:iCs/>
          <w:color w:val="000000" w:themeColor="text1"/>
        </w:rPr>
        <w:t>Ngubane</w:t>
      </w:r>
      <w:proofErr w:type="spellEnd"/>
      <w:r w:rsidRPr="009F2A06">
        <w:rPr>
          <w:color w:val="000000" w:themeColor="text1"/>
        </w:rPr>
        <w:t xml:space="preserve"> (note 12 above) at 784F</w:t>
      </w:r>
      <w:r>
        <w:t>-785D.</w:t>
      </w:r>
    </w:p>
  </w:footnote>
  <w:footnote w:id="65">
    <w:p w:rsidR="00900F49" w:rsidRDefault="00900F49">
      <w:pPr>
        <w:pStyle w:val="FootnoteText"/>
      </w:pPr>
      <w:r>
        <w:rPr>
          <w:rStyle w:val="FootnoteReference"/>
        </w:rPr>
        <w:footnoteRef/>
      </w:r>
      <w:r>
        <w:t xml:space="preserve"> </w:t>
      </w:r>
      <w:r w:rsidRPr="006E2004">
        <w:rPr>
          <w:i/>
          <w:iCs/>
        </w:rPr>
        <w:t>Erasmus v Davis</w:t>
      </w:r>
      <w:r>
        <w:t xml:space="preserve"> 1969 (2) SA 1 (A).</w:t>
      </w:r>
    </w:p>
  </w:footnote>
  <w:footnote w:id="66">
    <w:p w:rsidR="00900F49" w:rsidRDefault="00900F49">
      <w:pPr>
        <w:pStyle w:val="FootnoteText"/>
      </w:pPr>
      <w:r>
        <w:rPr>
          <w:rStyle w:val="FootnoteReference"/>
        </w:rPr>
        <w:footnoteRef/>
      </w:r>
      <w:r>
        <w:t xml:space="preserve"> </w:t>
      </w:r>
      <w:proofErr w:type="spellStart"/>
      <w:r w:rsidRPr="00E54329">
        <w:rPr>
          <w:i/>
          <w:iCs/>
        </w:rPr>
        <w:t>Janeke</w:t>
      </w:r>
      <w:proofErr w:type="spellEnd"/>
      <w:r w:rsidRPr="00E54329">
        <w:rPr>
          <w:i/>
          <w:iCs/>
        </w:rPr>
        <w:t xml:space="preserve"> v </w:t>
      </w:r>
      <w:proofErr w:type="spellStart"/>
      <w:r w:rsidRPr="00E54329">
        <w:rPr>
          <w:i/>
          <w:iCs/>
        </w:rPr>
        <w:t>Ras</w:t>
      </w:r>
      <w:proofErr w:type="spellEnd"/>
      <w:r>
        <w:t xml:space="preserve"> 1965 (4) 583 (T)</w:t>
      </w:r>
    </w:p>
  </w:footnote>
  <w:footnote w:id="67">
    <w:p w:rsidR="00900F49" w:rsidRPr="009F2A06" w:rsidRDefault="00900F49">
      <w:pPr>
        <w:pStyle w:val="FootnoteText"/>
        <w:rPr>
          <w:color w:val="000000" w:themeColor="text1"/>
        </w:rPr>
      </w:pPr>
      <w:r>
        <w:rPr>
          <w:rStyle w:val="FootnoteReference"/>
        </w:rPr>
        <w:footnoteRef/>
      </w:r>
      <w:r>
        <w:t xml:space="preserve"> </w:t>
      </w:r>
      <w:r w:rsidRPr="009F2A06">
        <w:rPr>
          <w:i/>
          <w:iCs/>
          <w:color w:val="000000" w:themeColor="text1"/>
        </w:rPr>
        <w:t xml:space="preserve">MSM </w:t>
      </w:r>
      <w:r w:rsidRPr="009F2A06">
        <w:rPr>
          <w:iCs/>
          <w:color w:val="000000" w:themeColor="text1"/>
        </w:rPr>
        <w:t xml:space="preserve">(note 11 above) at </w:t>
      </w:r>
      <w:r w:rsidRPr="009F2A06">
        <w:rPr>
          <w:color w:val="000000" w:themeColor="text1"/>
        </w:rPr>
        <w:t>paras 174-196.</w:t>
      </w:r>
    </w:p>
  </w:footnote>
  <w:footnote w:id="68">
    <w:p w:rsidR="00900F49" w:rsidRPr="009F2A06" w:rsidRDefault="00900F49">
      <w:pPr>
        <w:pStyle w:val="FootnoteText"/>
        <w:rPr>
          <w:color w:val="000000" w:themeColor="text1"/>
        </w:rPr>
      </w:pPr>
      <w:r w:rsidRPr="009F2A06">
        <w:rPr>
          <w:rStyle w:val="FootnoteReference"/>
          <w:color w:val="000000" w:themeColor="text1"/>
        </w:rPr>
        <w:footnoteRef/>
      </w:r>
      <w:r w:rsidRPr="009F2A06">
        <w:rPr>
          <w:color w:val="000000" w:themeColor="text1"/>
        </w:rPr>
        <w:t xml:space="preserve"> </w:t>
      </w:r>
      <w:r w:rsidRPr="009F2A06">
        <w:rPr>
          <w:i/>
          <w:iCs/>
          <w:color w:val="000000" w:themeColor="text1"/>
        </w:rPr>
        <w:t>DZ</w:t>
      </w:r>
      <w:r w:rsidRPr="009F2A06">
        <w:rPr>
          <w:color w:val="000000" w:themeColor="text1"/>
        </w:rPr>
        <w:t xml:space="preserve"> (note 4) at paras 44-5 and 53-4.</w:t>
      </w:r>
    </w:p>
  </w:footnote>
  <w:footnote w:id="69">
    <w:p w:rsidR="00900F49" w:rsidRDefault="00900F49">
      <w:pPr>
        <w:pStyle w:val="FootnoteText"/>
      </w:pPr>
      <w:r>
        <w:rPr>
          <w:rStyle w:val="FootnoteReference"/>
        </w:rPr>
        <w:footnoteRef/>
      </w:r>
      <w:r>
        <w:t xml:space="preserve"> </w:t>
      </w:r>
      <w:r w:rsidRPr="009F2A06">
        <w:rPr>
          <w:i/>
          <w:iCs/>
          <w:color w:val="000000" w:themeColor="text1"/>
        </w:rPr>
        <w:t>MSM</w:t>
      </w:r>
      <w:r w:rsidRPr="009F2A06">
        <w:rPr>
          <w:color w:val="000000" w:themeColor="text1"/>
        </w:rPr>
        <w:t xml:space="preserve"> (note 11 above) at </w:t>
      </w:r>
      <w:r>
        <w:t>paras 178-179.</w:t>
      </w:r>
    </w:p>
  </w:footnote>
  <w:footnote w:id="70">
    <w:p w:rsidR="00900F49" w:rsidRDefault="00900F49">
      <w:pPr>
        <w:pStyle w:val="FootnoteText"/>
      </w:pPr>
      <w:r>
        <w:rPr>
          <w:rStyle w:val="FootnoteReference"/>
        </w:rPr>
        <w:footnoteRef/>
      </w:r>
      <w:r>
        <w:t xml:space="preserve"> </w:t>
      </w:r>
      <w:proofErr w:type="spellStart"/>
      <w:r w:rsidRPr="00710D07">
        <w:rPr>
          <w:i/>
          <w:iCs/>
        </w:rPr>
        <w:t>Makate</w:t>
      </w:r>
      <w:proofErr w:type="spellEnd"/>
      <w:r w:rsidRPr="00710D07">
        <w:rPr>
          <w:i/>
          <w:iCs/>
        </w:rPr>
        <w:t xml:space="preserve"> v Vodacom</w:t>
      </w:r>
      <w:r>
        <w:t xml:space="preserve"> </w:t>
      </w:r>
      <w:r w:rsidRPr="00710D07">
        <w:rPr>
          <w:i/>
          <w:iCs/>
        </w:rPr>
        <w:t>Ltd</w:t>
      </w:r>
      <w:r>
        <w:t xml:space="preserve"> 2016 (4) SA 121 (CC) at para 160. </w:t>
      </w:r>
    </w:p>
  </w:footnote>
  <w:footnote w:id="71">
    <w:p w:rsidR="00900F49" w:rsidRDefault="00900F49" w:rsidP="003D6CA0">
      <w:pPr>
        <w:pStyle w:val="FootnoteText"/>
      </w:pPr>
      <w:r>
        <w:rPr>
          <w:rStyle w:val="FootnoteReference"/>
        </w:rPr>
        <w:footnoteRef/>
      </w:r>
      <w:r>
        <w:t xml:space="preserve"> </w:t>
      </w:r>
      <w:r>
        <w:rPr>
          <w:i/>
          <w:iCs/>
        </w:rPr>
        <w:t xml:space="preserve">De </w:t>
      </w:r>
      <w:proofErr w:type="spellStart"/>
      <w:r>
        <w:rPr>
          <w:i/>
          <w:iCs/>
        </w:rPr>
        <w:t>Jongh</w:t>
      </w:r>
      <w:proofErr w:type="spellEnd"/>
      <w:r>
        <w:rPr>
          <w:i/>
          <w:iCs/>
        </w:rPr>
        <w:t xml:space="preserve"> v Du </w:t>
      </w:r>
      <w:proofErr w:type="spellStart"/>
      <w:r>
        <w:rPr>
          <w:i/>
          <w:iCs/>
        </w:rPr>
        <w:t>Pisanie</w:t>
      </w:r>
      <w:proofErr w:type="spellEnd"/>
      <w:r>
        <w:t xml:space="preserve"> </w:t>
      </w:r>
      <w:r>
        <w:rPr>
          <w:i/>
          <w:iCs/>
        </w:rPr>
        <w:t xml:space="preserve">NO </w:t>
      </w:r>
      <w:r>
        <w:t>2005 (5) SA 457 SCA at paras 22-40.</w:t>
      </w:r>
    </w:p>
  </w:footnote>
  <w:footnote w:id="72">
    <w:p w:rsidR="00900F49" w:rsidRDefault="00900F49" w:rsidP="003D6CA0">
      <w:pPr>
        <w:pStyle w:val="FootnoteText"/>
      </w:pPr>
      <w:r>
        <w:rPr>
          <w:rStyle w:val="FootnoteReference"/>
        </w:rPr>
        <w:footnoteRef/>
      </w:r>
      <w:r>
        <w:t xml:space="preserve"> The parties have agreed upon the Canaan Centre in East London.</w:t>
      </w:r>
    </w:p>
  </w:footnote>
  <w:footnote w:id="73">
    <w:p w:rsidR="00900F49" w:rsidRDefault="00900F49" w:rsidP="003D6CA0">
      <w:pPr>
        <w:pStyle w:val="FootnoteText"/>
      </w:pPr>
      <w:r>
        <w:rPr>
          <w:rStyle w:val="FootnoteReference"/>
        </w:rPr>
        <w:footnoteRef/>
      </w:r>
      <w:r>
        <w:t xml:space="preserve"> Ms. </w:t>
      </w:r>
      <w:proofErr w:type="spellStart"/>
      <w:r>
        <w:t>Krige</w:t>
      </w:r>
      <w:proofErr w:type="spellEnd"/>
      <w:r>
        <w:t xml:space="preserve"> (the defendant's expert occupational therapist) testified convincingly that this was unnecessary, having visited the centre herself.</w:t>
      </w:r>
    </w:p>
  </w:footnote>
  <w:footnote w:id="74">
    <w:p w:rsidR="00900F49" w:rsidRDefault="00900F49" w:rsidP="003D6CA0">
      <w:pPr>
        <w:pStyle w:val="FootnoteText"/>
      </w:pPr>
      <w:r>
        <w:rPr>
          <w:rStyle w:val="FootnoteReference"/>
        </w:rPr>
        <w:footnoteRef/>
      </w:r>
      <w:r>
        <w:t xml:space="preserve"> Act 75 of 1997.</w:t>
      </w:r>
    </w:p>
  </w:footnote>
  <w:footnote w:id="75">
    <w:p w:rsidR="00900F49" w:rsidRDefault="00900F49" w:rsidP="00EF583C">
      <w:pPr>
        <w:pStyle w:val="FootnoteText"/>
      </w:pPr>
      <w:r>
        <w:rPr>
          <w:rStyle w:val="FootnoteReference"/>
        </w:rPr>
        <w:footnoteRef/>
      </w:r>
      <w:r>
        <w:t xml:space="preserve"> </w:t>
      </w:r>
      <w:proofErr w:type="spellStart"/>
      <w:r>
        <w:rPr>
          <w:i/>
          <w:iCs/>
        </w:rPr>
        <w:t>Biowatch</w:t>
      </w:r>
      <w:proofErr w:type="spellEnd"/>
      <w:r>
        <w:rPr>
          <w:i/>
          <w:iCs/>
        </w:rPr>
        <w:t xml:space="preserve"> Trust </w:t>
      </w:r>
      <w:proofErr w:type="gramStart"/>
      <w:r>
        <w:rPr>
          <w:i/>
          <w:iCs/>
        </w:rPr>
        <w:t>v</w:t>
      </w:r>
      <w:proofErr w:type="gramEnd"/>
      <w:r>
        <w:rPr>
          <w:i/>
          <w:iCs/>
        </w:rPr>
        <w:t xml:space="preserve"> Registrar, Genetic </w:t>
      </w:r>
      <w:proofErr w:type="spellStart"/>
      <w:r>
        <w:rPr>
          <w:i/>
          <w:iCs/>
        </w:rPr>
        <w:t>Recources</w:t>
      </w:r>
      <w:proofErr w:type="spellEnd"/>
      <w:r>
        <w:rPr>
          <w:i/>
          <w:iCs/>
        </w:rPr>
        <w:t>, &amp; Others</w:t>
      </w:r>
      <w:r>
        <w:t xml:space="preserve"> 2009 (6) SA</w:t>
      </w:r>
      <w:r w:rsidRPr="00D866C9">
        <w:rPr>
          <w:color w:val="000000" w:themeColor="text1"/>
        </w:rPr>
        <w:t xml:space="preserve"> 232 </w:t>
      </w:r>
      <w:r>
        <w:t>(CC) at para 56.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082173"/>
      <w:docPartObj>
        <w:docPartGallery w:val="Page Numbers (Top of Page)"/>
        <w:docPartUnique/>
      </w:docPartObj>
    </w:sdtPr>
    <w:sdtEndPr>
      <w:rPr>
        <w:noProof/>
      </w:rPr>
    </w:sdtEndPr>
    <w:sdtContent>
      <w:p w:rsidR="00900F49" w:rsidRDefault="00900F49">
        <w:pPr>
          <w:pStyle w:val="Header"/>
          <w:jc w:val="center"/>
        </w:pPr>
        <w:r>
          <w:fldChar w:fldCharType="begin"/>
        </w:r>
        <w:r>
          <w:instrText xml:space="preserve"> PAGE   \* MERGEFORMAT </w:instrText>
        </w:r>
        <w:r>
          <w:fldChar w:fldCharType="separate"/>
        </w:r>
        <w:r w:rsidR="003048CA">
          <w:rPr>
            <w:noProof/>
          </w:rPr>
          <w:t>111</w:t>
        </w:r>
        <w:r>
          <w:rPr>
            <w:noProof/>
          </w:rPr>
          <w:fldChar w:fldCharType="end"/>
        </w:r>
      </w:p>
    </w:sdtContent>
  </w:sdt>
  <w:p w:rsidR="00900F49" w:rsidRDefault="00900F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55D"/>
    <w:multiLevelType w:val="hybridMultilevel"/>
    <w:tmpl w:val="4D4CD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BF720C"/>
    <w:multiLevelType w:val="multilevel"/>
    <w:tmpl w:val="04523BAA"/>
    <w:lvl w:ilvl="0">
      <w:start w:val="170"/>
      <w:numFmt w:val="decimal"/>
      <w:lvlText w:val="%1"/>
      <w:lvlJc w:val="left"/>
      <w:pPr>
        <w:ind w:left="675" w:hanging="675"/>
      </w:pPr>
      <w:rPr>
        <w:rFonts w:hint="default"/>
      </w:rPr>
    </w:lvl>
    <w:lvl w:ilvl="1">
      <w:start w:val="9"/>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15:restartNumberingAfterBreak="0">
    <w:nsid w:val="0CB1074C"/>
    <w:multiLevelType w:val="multilevel"/>
    <w:tmpl w:val="203CEBEC"/>
    <w:lvl w:ilvl="0">
      <w:start w:val="172"/>
      <w:numFmt w:val="decimal"/>
      <w:lvlText w:val="%1"/>
      <w:lvlJc w:val="left"/>
      <w:pPr>
        <w:ind w:left="675" w:hanging="675"/>
      </w:pPr>
      <w:rPr>
        <w:rFonts w:hint="default"/>
      </w:rPr>
    </w:lvl>
    <w:lvl w:ilvl="1">
      <w:start w:val="4"/>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0D3B4F49"/>
    <w:multiLevelType w:val="multilevel"/>
    <w:tmpl w:val="F94ECA7C"/>
    <w:lvl w:ilvl="0">
      <w:start w:val="171"/>
      <w:numFmt w:val="decimal"/>
      <w:lvlText w:val="%1"/>
      <w:lvlJc w:val="left"/>
      <w:pPr>
        <w:ind w:left="675" w:hanging="675"/>
      </w:pPr>
      <w:rPr>
        <w:rFonts w:hint="default"/>
      </w:rPr>
    </w:lvl>
    <w:lvl w:ilvl="1">
      <w:start w:val="1"/>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0E463B03"/>
    <w:multiLevelType w:val="multilevel"/>
    <w:tmpl w:val="3A0C52A2"/>
    <w:lvl w:ilvl="0">
      <w:start w:val="30"/>
      <w:numFmt w:val="decimal"/>
      <w:lvlText w:val="%1"/>
      <w:lvlJc w:val="left"/>
      <w:pPr>
        <w:ind w:left="525" w:hanging="525"/>
      </w:pPr>
      <w:rPr>
        <w:rFonts w:hint="default"/>
      </w:rPr>
    </w:lvl>
    <w:lvl w:ilvl="1">
      <w:start w:val="1"/>
      <w:numFmt w:val="decimal"/>
      <w:lvlText w:val="%1.%2"/>
      <w:lvlJc w:val="left"/>
      <w:pPr>
        <w:ind w:left="1659" w:hanging="52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132655AD"/>
    <w:multiLevelType w:val="multilevel"/>
    <w:tmpl w:val="430A3E70"/>
    <w:lvl w:ilvl="0">
      <w:start w:val="5"/>
      <w:numFmt w:val="decimal"/>
      <w:lvlText w:val="%1"/>
      <w:lvlJc w:val="left"/>
      <w:pPr>
        <w:ind w:left="375" w:hanging="375"/>
      </w:pPr>
      <w:rPr>
        <w:rFonts w:hint="default"/>
      </w:rPr>
    </w:lvl>
    <w:lvl w:ilvl="1">
      <w:start w:val="1"/>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6" w15:restartNumberingAfterBreak="0">
    <w:nsid w:val="14AD65A0"/>
    <w:multiLevelType w:val="multilevel"/>
    <w:tmpl w:val="063A474E"/>
    <w:lvl w:ilvl="0">
      <w:start w:val="126"/>
      <w:numFmt w:val="decimal"/>
      <w:lvlText w:val="%1"/>
      <w:lvlJc w:val="left"/>
      <w:pPr>
        <w:ind w:left="675" w:hanging="675"/>
      </w:pPr>
      <w:rPr>
        <w:rFonts w:hint="default"/>
      </w:rPr>
    </w:lvl>
    <w:lvl w:ilvl="1">
      <w:start w:val="7"/>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15:restartNumberingAfterBreak="0">
    <w:nsid w:val="15F04BB7"/>
    <w:multiLevelType w:val="hybridMultilevel"/>
    <w:tmpl w:val="DB5CDC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1B4152C3"/>
    <w:multiLevelType w:val="hybridMultilevel"/>
    <w:tmpl w:val="807EE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FF1736"/>
    <w:multiLevelType w:val="hybridMultilevel"/>
    <w:tmpl w:val="541AD3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AB15C4"/>
    <w:multiLevelType w:val="multilevel"/>
    <w:tmpl w:val="592A1EF8"/>
    <w:lvl w:ilvl="0">
      <w:start w:val="105"/>
      <w:numFmt w:val="decimal"/>
      <w:lvlText w:val="%1"/>
      <w:lvlJc w:val="left"/>
      <w:pPr>
        <w:ind w:left="675" w:hanging="675"/>
      </w:pPr>
      <w:rPr>
        <w:rFonts w:hint="default"/>
      </w:rPr>
    </w:lvl>
    <w:lvl w:ilvl="1">
      <w:start w:val="5"/>
      <w:numFmt w:val="decimal"/>
      <w:lvlText w:val="%1.%2"/>
      <w:lvlJc w:val="left"/>
      <w:pPr>
        <w:ind w:left="1284" w:hanging="675"/>
      </w:pPr>
      <w:rPr>
        <w:rFonts w:hint="default"/>
      </w:rPr>
    </w:lvl>
    <w:lvl w:ilvl="2">
      <w:start w:val="1"/>
      <w:numFmt w:val="decimal"/>
      <w:lvlText w:val="%1.%2.%3"/>
      <w:lvlJc w:val="left"/>
      <w:pPr>
        <w:ind w:left="1938" w:hanging="720"/>
      </w:pPr>
      <w:rPr>
        <w:rFonts w:hint="default"/>
      </w:rPr>
    </w:lvl>
    <w:lvl w:ilvl="3">
      <w:start w:val="1"/>
      <w:numFmt w:val="decimal"/>
      <w:lvlText w:val="%1.%2.%3.%4"/>
      <w:lvlJc w:val="left"/>
      <w:pPr>
        <w:ind w:left="2907" w:hanging="1080"/>
      </w:pPr>
      <w:rPr>
        <w:rFonts w:hint="default"/>
      </w:rPr>
    </w:lvl>
    <w:lvl w:ilvl="4">
      <w:start w:val="1"/>
      <w:numFmt w:val="decimal"/>
      <w:lvlText w:val="%1.%2.%3.%4.%5"/>
      <w:lvlJc w:val="left"/>
      <w:pPr>
        <w:ind w:left="3516"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5094" w:hanging="1440"/>
      </w:pPr>
      <w:rPr>
        <w:rFonts w:hint="default"/>
      </w:rPr>
    </w:lvl>
    <w:lvl w:ilvl="7">
      <w:start w:val="1"/>
      <w:numFmt w:val="decimal"/>
      <w:lvlText w:val="%1.%2.%3.%4.%5.%6.%7.%8"/>
      <w:lvlJc w:val="left"/>
      <w:pPr>
        <w:ind w:left="6063" w:hanging="1800"/>
      </w:pPr>
      <w:rPr>
        <w:rFonts w:hint="default"/>
      </w:rPr>
    </w:lvl>
    <w:lvl w:ilvl="8">
      <w:start w:val="1"/>
      <w:numFmt w:val="decimal"/>
      <w:lvlText w:val="%1.%2.%3.%4.%5.%6.%7.%8.%9"/>
      <w:lvlJc w:val="left"/>
      <w:pPr>
        <w:ind w:left="7032" w:hanging="2160"/>
      </w:pPr>
      <w:rPr>
        <w:rFonts w:hint="default"/>
      </w:rPr>
    </w:lvl>
  </w:abstractNum>
  <w:abstractNum w:abstractNumId="11" w15:restartNumberingAfterBreak="0">
    <w:nsid w:val="20896C45"/>
    <w:multiLevelType w:val="multilevel"/>
    <w:tmpl w:val="B2FC038C"/>
    <w:lvl w:ilvl="0">
      <w:start w:val="78"/>
      <w:numFmt w:val="decimal"/>
      <w:lvlText w:val="%1"/>
      <w:lvlJc w:val="left"/>
      <w:pPr>
        <w:ind w:left="525" w:hanging="525"/>
      </w:pPr>
      <w:rPr>
        <w:rFonts w:hint="default"/>
      </w:rPr>
    </w:lvl>
    <w:lvl w:ilvl="1">
      <w:start w:val="1"/>
      <w:numFmt w:val="decimal"/>
      <w:lvlText w:val="%1.%2"/>
      <w:lvlJc w:val="left"/>
      <w:pPr>
        <w:ind w:left="1659" w:hanging="52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15:restartNumberingAfterBreak="0">
    <w:nsid w:val="21881A83"/>
    <w:multiLevelType w:val="multilevel"/>
    <w:tmpl w:val="88C80128"/>
    <w:lvl w:ilvl="0">
      <w:start w:val="170"/>
      <w:numFmt w:val="decimal"/>
      <w:lvlText w:val="%1"/>
      <w:lvlJc w:val="left"/>
      <w:pPr>
        <w:ind w:left="675" w:hanging="675"/>
      </w:pPr>
      <w:rPr>
        <w:rFonts w:hint="default"/>
      </w:rPr>
    </w:lvl>
    <w:lvl w:ilvl="1">
      <w:start w:val="5"/>
      <w:numFmt w:val="decimal"/>
      <w:lvlText w:val="%1.%2"/>
      <w:lvlJc w:val="left"/>
      <w:pPr>
        <w:ind w:left="2484" w:hanging="675"/>
      </w:pPr>
      <w:rPr>
        <w:rFonts w:hint="default"/>
      </w:rPr>
    </w:lvl>
    <w:lvl w:ilvl="2">
      <w:start w:val="1"/>
      <w:numFmt w:val="decimal"/>
      <w:lvlText w:val="%1.%2.%3"/>
      <w:lvlJc w:val="left"/>
      <w:pPr>
        <w:ind w:left="4338" w:hanging="720"/>
      </w:pPr>
      <w:rPr>
        <w:rFonts w:hint="default"/>
      </w:rPr>
    </w:lvl>
    <w:lvl w:ilvl="3">
      <w:start w:val="1"/>
      <w:numFmt w:val="decimal"/>
      <w:lvlText w:val="%1.%2.%3.%4"/>
      <w:lvlJc w:val="left"/>
      <w:pPr>
        <w:ind w:left="6507" w:hanging="1080"/>
      </w:pPr>
      <w:rPr>
        <w:rFonts w:hint="default"/>
      </w:rPr>
    </w:lvl>
    <w:lvl w:ilvl="4">
      <w:start w:val="1"/>
      <w:numFmt w:val="decimal"/>
      <w:lvlText w:val="%1.%2.%3.%4.%5"/>
      <w:lvlJc w:val="left"/>
      <w:pPr>
        <w:ind w:left="8316" w:hanging="1080"/>
      </w:pPr>
      <w:rPr>
        <w:rFonts w:hint="default"/>
      </w:rPr>
    </w:lvl>
    <w:lvl w:ilvl="5">
      <w:start w:val="1"/>
      <w:numFmt w:val="decimal"/>
      <w:lvlText w:val="%1.%2.%3.%4.%5.%6"/>
      <w:lvlJc w:val="left"/>
      <w:pPr>
        <w:ind w:left="10485" w:hanging="1440"/>
      </w:pPr>
      <w:rPr>
        <w:rFonts w:hint="default"/>
      </w:rPr>
    </w:lvl>
    <w:lvl w:ilvl="6">
      <w:start w:val="1"/>
      <w:numFmt w:val="decimal"/>
      <w:lvlText w:val="%1.%2.%3.%4.%5.%6.%7"/>
      <w:lvlJc w:val="left"/>
      <w:pPr>
        <w:ind w:left="12294" w:hanging="1440"/>
      </w:pPr>
      <w:rPr>
        <w:rFonts w:hint="default"/>
      </w:rPr>
    </w:lvl>
    <w:lvl w:ilvl="7">
      <w:start w:val="1"/>
      <w:numFmt w:val="decimal"/>
      <w:lvlText w:val="%1.%2.%3.%4.%5.%6.%7.%8"/>
      <w:lvlJc w:val="left"/>
      <w:pPr>
        <w:ind w:left="14463" w:hanging="1800"/>
      </w:pPr>
      <w:rPr>
        <w:rFonts w:hint="default"/>
      </w:rPr>
    </w:lvl>
    <w:lvl w:ilvl="8">
      <w:start w:val="1"/>
      <w:numFmt w:val="decimal"/>
      <w:lvlText w:val="%1.%2.%3.%4.%5.%6.%7.%8.%9"/>
      <w:lvlJc w:val="left"/>
      <w:pPr>
        <w:ind w:left="16632" w:hanging="2160"/>
      </w:pPr>
      <w:rPr>
        <w:rFonts w:hint="default"/>
      </w:rPr>
    </w:lvl>
  </w:abstractNum>
  <w:abstractNum w:abstractNumId="13" w15:restartNumberingAfterBreak="0">
    <w:nsid w:val="22EB39D7"/>
    <w:multiLevelType w:val="hybridMultilevel"/>
    <w:tmpl w:val="393061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5097226"/>
    <w:multiLevelType w:val="multilevel"/>
    <w:tmpl w:val="D9C4D4D0"/>
    <w:lvl w:ilvl="0">
      <w:start w:val="29"/>
      <w:numFmt w:val="decimal"/>
      <w:lvlText w:val="%1"/>
      <w:lvlJc w:val="left"/>
      <w:pPr>
        <w:ind w:left="525" w:hanging="525"/>
      </w:pPr>
      <w:rPr>
        <w:rFonts w:hint="default"/>
      </w:rPr>
    </w:lvl>
    <w:lvl w:ilvl="1">
      <w:start w:val="1"/>
      <w:numFmt w:val="decimal"/>
      <w:lvlText w:val="%1.%2"/>
      <w:lvlJc w:val="left"/>
      <w:pPr>
        <w:ind w:left="2109" w:hanging="525"/>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888" w:hanging="1800"/>
      </w:pPr>
      <w:rPr>
        <w:rFonts w:hint="default"/>
      </w:rPr>
    </w:lvl>
    <w:lvl w:ilvl="8">
      <w:start w:val="1"/>
      <w:numFmt w:val="decimal"/>
      <w:lvlText w:val="%1.%2.%3.%4.%5.%6.%7.%8.%9"/>
      <w:lvlJc w:val="left"/>
      <w:pPr>
        <w:ind w:left="14832" w:hanging="2160"/>
      </w:pPr>
      <w:rPr>
        <w:rFonts w:hint="default"/>
      </w:rPr>
    </w:lvl>
  </w:abstractNum>
  <w:abstractNum w:abstractNumId="15" w15:restartNumberingAfterBreak="0">
    <w:nsid w:val="271F1B79"/>
    <w:multiLevelType w:val="hybridMultilevel"/>
    <w:tmpl w:val="A2B8D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2313DCA"/>
    <w:multiLevelType w:val="multilevel"/>
    <w:tmpl w:val="5C76B012"/>
    <w:lvl w:ilvl="0">
      <w:start w:val="27"/>
      <w:numFmt w:val="decimal"/>
      <w:lvlText w:val="%1"/>
      <w:lvlJc w:val="left"/>
      <w:pPr>
        <w:ind w:left="525" w:hanging="525"/>
      </w:pPr>
      <w:rPr>
        <w:rFonts w:hint="default"/>
      </w:rPr>
    </w:lvl>
    <w:lvl w:ilvl="1">
      <w:start w:val="1"/>
      <w:numFmt w:val="decimal"/>
      <w:lvlText w:val="%1.%2"/>
      <w:lvlJc w:val="left"/>
      <w:pPr>
        <w:ind w:left="1659" w:hanging="52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15:restartNumberingAfterBreak="0">
    <w:nsid w:val="34DF1FD8"/>
    <w:multiLevelType w:val="hybridMultilevel"/>
    <w:tmpl w:val="CC42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14E07"/>
    <w:multiLevelType w:val="multilevel"/>
    <w:tmpl w:val="3856AE08"/>
    <w:lvl w:ilvl="0">
      <w:start w:val="29"/>
      <w:numFmt w:val="decimal"/>
      <w:lvlText w:val="%1"/>
      <w:lvlJc w:val="left"/>
      <w:pPr>
        <w:ind w:left="525" w:hanging="525"/>
      </w:pPr>
      <w:rPr>
        <w:rFonts w:hint="default"/>
      </w:rPr>
    </w:lvl>
    <w:lvl w:ilvl="1">
      <w:start w:val="7"/>
      <w:numFmt w:val="decimal"/>
      <w:lvlText w:val="%1.%2"/>
      <w:lvlJc w:val="left"/>
      <w:pPr>
        <w:ind w:left="1659" w:hanging="52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15:restartNumberingAfterBreak="0">
    <w:nsid w:val="356E0702"/>
    <w:multiLevelType w:val="multilevel"/>
    <w:tmpl w:val="0A8E5F6C"/>
    <w:lvl w:ilvl="0">
      <w:start w:val="170"/>
      <w:numFmt w:val="decimal"/>
      <w:lvlText w:val="%1"/>
      <w:lvlJc w:val="left"/>
      <w:pPr>
        <w:ind w:left="675" w:hanging="675"/>
      </w:pPr>
      <w:rPr>
        <w:rFonts w:hint="default"/>
      </w:rPr>
    </w:lvl>
    <w:lvl w:ilvl="1">
      <w:start w:val="1"/>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0" w15:restartNumberingAfterBreak="0">
    <w:nsid w:val="356F252A"/>
    <w:multiLevelType w:val="multilevel"/>
    <w:tmpl w:val="02745968"/>
    <w:lvl w:ilvl="0">
      <w:start w:val="119"/>
      <w:numFmt w:val="decimal"/>
      <w:lvlText w:val="%1"/>
      <w:lvlJc w:val="left"/>
      <w:pPr>
        <w:ind w:left="675" w:hanging="675"/>
      </w:pPr>
      <w:rPr>
        <w:rFonts w:hint="default"/>
      </w:rPr>
    </w:lvl>
    <w:lvl w:ilvl="1">
      <w:start w:val="4"/>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1" w15:restartNumberingAfterBreak="0">
    <w:nsid w:val="35DB430F"/>
    <w:multiLevelType w:val="multilevel"/>
    <w:tmpl w:val="9552FA4C"/>
    <w:lvl w:ilvl="0">
      <w:start w:val="79"/>
      <w:numFmt w:val="decimal"/>
      <w:lvlText w:val="%1"/>
      <w:lvlJc w:val="left"/>
      <w:pPr>
        <w:ind w:left="525" w:hanging="525"/>
      </w:pPr>
      <w:rPr>
        <w:rFonts w:hint="default"/>
      </w:rPr>
    </w:lvl>
    <w:lvl w:ilvl="1">
      <w:start w:val="1"/>
      <w:numFmt w:val="decimal"/>
      <w:lvlText w:val="%1.%2"/>
      <w:lvlJc w:val="left"/>
      <w:pPr>
        <w:ind w:left="1659" w:hanging="52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2" w15:restartNumberingAfterBreak="0">
    <w:nsid w:val="37A86E05"/>
    <w:multiLevelType w:val="multilevel"/>
    <w:tmpl w:val="F66C3B90"/>
    <w:lvl w:ilvl="0">
      <w:start w:val="80"/>
      <w:numFmt w:val="decimal"/>
      <w:lvlText w:val="%1"/>
      <w:lvlJc w:val="left"/>
      <w:pPr>
        <w:ind w:left="525" w:hanging="525"/>
      </w:pPr>
      <w:rPr>
        <w:rFonts w:hint="default"/>
      </w:rPr>
    </w:lvl>
    <w:lvl w:ilvl="1">
      <w:start w:val="1"/>
      <w:numFmt w:val="decimal"/>
      <w:lvlText w:val="%1.%2"/>
      <w:lvlJc w:val="left"/>
      <w:pPr>
        <w:ind w:left="1659" w:hanging="52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3" w15:restartNumberingAfterBreak="0">
    <w:nsid w:val="37D95111"/>
    <w:multiLevelType w:val="multilevel"/>
    <w:tmpl w:val="7FCACDD2"/>
    <w:lvl w:ilvl="0">
      <w:start w:val="6"/>
      <w:numFmt w:val="decimal"/>
      <w:lvlText w:val="%1"/>
      <w:lvlJc w:val="left"/>
      <w:pPr>
        <w:ind w:left="375" w:hanging="375"/>
      </w:pPr>
      <w:rPr>
        <w:rFonts w:hint="default"/>
      </w:rPr>
    </w:lvl>
    <w:lvl w:ilvl="1">
      <w:start w:val="1"/>
      <w:numFmt w:val="decimal"/>
      <w:lvlText w:val="%1.%2"/>
      <w:lvlJc w:val="left"/>
      <w:pPr>
        <w:ind w:left="2244" w:hanging="375"/>
      </w:pPr>
      <w:rPr>
        <w:rFonts w:hint="default"/>
      </w:rPr>
    </w:lvl>
    <w:lvl w:ilvl="2">
      <w:start w:val="1"/>
      <w:numFmt w:val="decimal"/>
      <w:lvlText w:val="%1.%2.%3"/>
      <w:lvlJc w:val="left"/>
      <w:pPr>
        <w:ind w:left="4458" w:hanging="720"/>
      </w:pPr>
      <w:rPr>
        <w:rFonts w:hint="default"/>
      </w:rPr>
    </w:lvl>
    <w:lvl w:ilvl="3">
      <w:start w:val="1"/>
      <w:numFmt w:val="decimal"/>
      <w:lvlText w:val="%1.%2.%3.%4"/>
      <w:lvlJc w:val="left"/>
      <w:pPr>
        <w:ind w:left="6687" w:hanging="1080"/>
      </w:pPr>
      <w:rPr>
        <w:rFonts w:hint="default"/>
      </w:rPr>
    </w:lvl>
    <w:lvl w:ilvl="4">
      <w:start w:val="1"/>
      <w:numFmt w:val="decimal"/>
      <w:lvlText w:val="%1.%2.%3.%4.%5"/>
      <w:lvlJc w:val="left"/>
      <w:pPr>
        <w:ind w:left="8556" w:hanging="1080"/>
      </w:pPr>
      <w:rPr>
        <w:rFonts w:hint="default"/>
      </w:rPr>
    </w:lvl>
    <w:lvl w:ilvl="5">
      <w:start w:val="1"/>
      <w:numFmt w:val="decimal"/>
      <w:lvlText w:val="%1.%2.%3.%4.%5.%6"/>
      <w:lvlJc w:val="left"/>
      <w:pPr>
        <w:ind w:left="10785" w:hanging="1440"/>
      </w:pPr>
      <w:rPr>
        <w:rFonts w:hint="default"/>
      </w:rPr>
    </w:lvl>
    <w:lvl w:ilvl="6">
      <w:start w:val="1"/>
      <w:numFmt w:val="decimal"/>
      <w:lvlText w:val="%1.%2.%3.%4.%5.%6.%7"/>
      <w:lvlJc w:val="left"/>
      <w:pPr>
        <w:ind w:left="12654" w:hanging="1440"/>
      </w:pPr>
      <w:rPr>
        <w:rFonts w:hint="default"/>
      </w:rPr>
    </w:lvl>
    <w:lvl w:ilvl="7">
      <w:start w:val="1"/>
      <w:numFmt w:val="decimal"/>
      <w:lvlText w:val="%1.%2.%3.%4.%5.%6.%7.%8"/>
      <w:lvlJc w:val="left"/>
      <w:pPr>
        <w:ind w:left="14883" w:hanging="1800"/>
      </w:pPr>
      <w:rPr>
        <w:rFonts w:hint="default"/>
      </w:rPr>
    </w:lvl>
    <w:lvl w:ilvl="8">
      <w:start w:val="1"/>
      <w:numFmt w:val="decimal"/>
      <w:lvlText w:val="%1.%2.%3.%4.%5.%6.%7.%8.%9"/>
      <w:lvlJc w:val="left"/>
      <w:pPr>
        <w:ind w:left="17112" w:hanging="2160"/>
      </w:pPr>
      <w:rPr>
        <w:rFonts w:hint="default"/>
      </w:rPr>
    </w:lvl>
  </w:abstractNum>
  <w:abstractNum w:abstractNumId="24" w15:restartNumberingAfterBreak="0">
    <w:nsid w:val="3CED21AA"/>
    <w:multiLevelType w:val="multilevel"/>
    <w:tmpl w:val="4FB8D2A2"/>
    <w:lvl w:ilvl="0">
      <w:start w:val="10"/>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E6B484D"/>
    <w:multiLevelType w:val="multilevel"/>
    <w:tmpl w:val="025A85CC"/>
    <w:lvl w:ilvl="0">
      <w:start w:val="172"/>
      <w:numFmt w:val="decimal"/>
      <w:lvlText w:val="%1"/>
      <w:lvlJc w:val="left"/>
      <w:pPr>
        <w:ind w:left="675" w:hanging="675"/>
      </w:pPr>
      <w:rPr>
        <w:rFonts w:hint="default"/>
      </w:rPr>
    </w:lvl>
    <w:lvl w:ilvl="1">
      <w:start w:val="4"/>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15:restartNumberingAfterBreak="0">
    <w:nsid w:val="40941F3B"/>
    <w:multiLevelType w:val="hybridMultilevel"/>
    <w:tmpl w:val="A01CCB7A"/>
    <w:lvl w:ilvl="0" w:tplc="CCE6413A">
      <w:start w:val="291"/>
      <w:numFmt w:val="decimal"/>
      <w:lvlText w:val="%1"/>
      <w:lvlJc w:val="left"/>
      <w:pPr>
        <w:ind w:left="1584" w:hanging="45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7" w15:restartNumberingAfterBreak="0">
    <w:nsid w:val="47072C6B"/>
    <w:multiLevelType w:val="multilevel"/>
    <w:tmpl w:val="72E65576"/>
    <w:lvl w:ilvl="0">
      <w:start w:val="119"/>
      <w:numFmt w:val="decimal"/>
      <w:lvlText w:val="%1"/>
      <w:lvlJc w:val="left"/>
      <w:pPr>
        <w:ind w:left="675" w:hanging="675"/>
      </w:pPr>
      <w:rPr>
        <w:rFonts w:hint="default"/>
      </w:rPr>
    </w:lvl>
    <w:lvl w:ilvl="1">
      <w:start w:val="1"/>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8" w15:restartNumberingAfterBreak="0">
    <w:nsid w:val="49E93CA9"/>
    <w:multiLevelType w:val="multilevel"/>
    <w:tmpl w:val="B434B05C"/>
    <w:lvl w:ilvl="0">
      <w:start w:val="170"/>
      <w:numFmt w:val="decimal"/>
      <w:lvlText w:val="%1"/>
      <w:lvlJc w:val="left"/>
      <w:pPr>
        <w:ind w:left="675" w:hanging="675"/>
      </w:pPr>
      <w:rPr>
        <w:rFonts w:hint="default"/>
      </w:rPr>
    </w:lvl>
    <w:lvl w:ilvl="1">
      <w:start w:val="6"/>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9" w15:restartNumberingAfterBreak="0">
    <w:nsid w:val="4FD56505"/>
    <w:multiLevelType w:val="hybridMultilevel"/>
    <w:tmpl w:val="5D7CF6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57EC2F9B"/>
    <w:multiLevelType w:val="hybridMultilevel"/>
    <w:tmpl w:val="F6BC3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9BF4D2F"/>
    <w:multiLevelType w:val="multilevel"/>
    <w:tmpl w:val="822C6A0A"/>
    <w:lvl w:ilvl="0">
      <w:start w:val="10"/>
      <w:numFmt w:val="decimal"/>
      <w:lvlText w:val="%1"/>
      <w:lvlJc w:val="left"/>
      <w:pPr>
        <w:ind w:left="525" w:hanging="525"/>
      </w:pPr>
      <w:rPr>
        <w:rFonts w:hint="default"/>
      </w:rPr>
    </w:lvl>
    <w:lvl w:ilvl="1">
      <w:start w:val="6"/>
      <w:numFmt w:val="decimal"/>
      <w:lvlText w:val="%1.%2"/>
      <w:lvlJc w:val="left"/>
      <w:pPr>
        <w:ind w:left="1659" w:hanging="52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5B453677"/>
    <w:multiLevelType w:val="multilevel"/>
    <w:tmpl w:val="7A82564A"/>
    <w:lvl w:ilvl="0">
      <w:start w:val="126"/>
      <w:numFmt w:val="decimal"/>
      <w:lvlText w:val="%1"/>
      <w:lvlJc w:val="left"/>
      <w:pPr>
        <w:ind w:left="675" w:hanging="675"/>
      </w:pPr>
      <w:rPr>
        <w:rFonts w:hint="default"/>
      </w:rPr>
    </w:lvl>
    <w:lvl w:ilvl="1">
      <w:start w:val="1"/>
      <w:numFmt w:val="decimal"/>
      <w:lvlText w:val="%1.%2"/>
      <w:lvlJc w:val="left"/>
      <w:pPr>
        <w:ind w:left="2235"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C0916F2"/>
    <w:multiLevelType w:val="multilevel"/>
    <w:tmpl w:val="33CC9CE8"/>
    <w:lvl w:ilvl="0">
      <w:start w:val="1"/>
      <w:numFmt w:val="decimal"/>
      <w:lvlText w:val="%1."/>
      <w:lvlJc w:val="left"/>
      <w:pPr>
        <w:ind w:left="1494" w:hanging="360"/>
      </w:pPr>
      <w:rPr>
        <w:rFonts w:hint="default"/>
      </w:rPr>
    </w:lvl>
    <w:lvl w:ilvl="1">
      <w:start w:val="1"/>
      <w:numFmt w:val="decimal"/>
      <w:isLgl/>
      <w:lvlText w:val="%1.%2"/>
      <w:lvlJc w:val="left"/>
      <w:pPr>
        <w:ind w:left="2154" w:hanging="6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34" w15:restartNumberingAfterBreak="0">
    <w:nsid w:val="5CBA1120"/>
    <w:multiLevelType w:val="hybridMultilevel"/>
    <w:tmpl w:val="5A107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E2A4D98"/>
    <w:multiLevelType w:val="multilevel"/>
    <w:tmpl w:val="EA346DB0"/>
    <w:lvl w:ilvl="0">
      <w:start w:val="172"/>
      <w:numFmt w:val="decimal"/>
      <w:lvlText w:val="%1"/>
      <w:lvlJc w:val="left"/>
      <w:pPr>
        <w:ind w:left="675" w:hanging="675"/>
      </w:pPr>
      <w:rPr>
        <w:rFonts w:hint="default"/>
      </w:rPr>
    </w:lvl>
    <w:lvl w:ilvl="1">
      <w:start w:val="1"/>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6" w15:restartNumberingAfterBreak="0">
    <w:nsid w:val="5EFA777F"/>
    <w:multiLevelType w:val="multilevel"/>
    <w:tmpl w:val="359E711C"/>
    <w:lvl w:ilvl="0">
      <w:start w:val="173"/>
      <w:numFmt w:val="decimal"/>
      <w:lvlText w:val="%1"/>
      <w:lvlJc w:val="left"/>
      <w:pPr>
        <w:ind w:left="675" w:hanging="675"/>
      </w:pPr>
      <w:rPr>
        <w:rFonts w:hint="default"/>
      </w:rPr>
    </w:lvl>
    <w:lvl w:ilvl="1">
      <w:start w:val="8"/>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7" w15:restartNumberingAfterBreak="0">
    <w:nsid w:val="615E172F"/>
    <w:multiLevelType w:val="multilevel"/>
    <w:tmpl w:val="2C7CE570"/>
    <w:lvl w:ilvl="0">
      <w:start w:val="28"/>
      <w:numFmt w:val="decimal"/>
      <w:lvlText w:val="%1"/>
      <w:lvlJc w:val="left"/>
      <w:pPr>
        <w:ind w:left="525" w:hanging="525"/>
      </w:pPr>
      <w:rPr>
        <w:rFonts w:hint="default"/>
      </w:rPr>
    </w:lvl>
    <w:lvl w:ilvl="1">
      <w:start w:val="1"/>
      <w:numFmt w:val="decimal"/>
      <w:lvlText w:val="%1.%2"/>
      <w:lvlJc w:val="left"/>
      <w:pPr>
        <w:ind w:left="1659" w:hanging="52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8" w15:restartNumberingAfterBreak="0">
    <w:nsid w:val="627567C8"/>
    <w:multiLevelType w:val="hybridMultilevel"/>
    <w:tmpl w:val="59BAA6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49A30EB"/>
    <w:multiLevelType w:val="multilevel"/>
    <w:tmpl w:val="BC1AB98A"/>
    <w:lvl w:ilvl="0">
      <w:start w:val="126"/>
      <w:numFmt w:val="decimal"/>
      <w:lvlText w:val="%1"/>
      <w:lvlJc w:val="left"/>
      <w:pPr>
        <w:ind w:left="675" w:hanging="675"/>
      </w:pPr>
      <w:rPr>
        <w:rFonts w:hint="default"/>
      </w:rPr>
    </w:lvl>
    <w:lvl w:ilvl="1">
      <w:start w:val="2"/>
      <w:numFmt w:val="decimal"/>
      <w:lvlText w:val="%1.%2"/>
      <w:lvlJc w:val="left"/>
      <w:pPr>
        <w:ind w:left="2235" w:hanging="6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0" w15:restartNumberingAfterBreak="0">
    <w:nsid w:val="668F3AFE"/>
    <w:multiLevelType w:val="multilevel"/>
    <w:tmpl w:val="E7E4C9CA"/>
    <w:lvl w:ilvl="0">
      <w:start w:val="10"/>
      <w:numFmt w:val="decimal"/>
      <w:lvlText w:val="%1"/>
      <w:lvlJc w:val="left"/>
      <w:pPr>
        <w:ind w:left="525" w:hanging="525"/>
      </w:pPr>
      <w:rPr>
        <w:rFonts w:hint="default"/>
      </w:rPr>
    </w:lvl>
    <w:lvl w:ilvl="1">
      <w:start w:val="1"/>
      <w:numFmt w:val="decimal"/>
      <w:lvlText w:val="%1.%2"/>
      <w:lvlJc w:val="left"/>
      <w:pPr>
        <w:ind w:left="2085" w:hanging="52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1" w15:restartNumberingAfterBreak="0">
    <w:nsid w:val="67963A77"/>
    <w:multiLevelType w:val="hybridMultilevel"/>
    <w:tmpl w:val="B238C546"/>
    <w:lvl w:ilvl="0" w:tplc="AC7ED34C">
      <w:start w:val="3"/>
      <w:numFmt w:val="decimal"/>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2" w15:restartNumberingAfterBreak="0">
    <w:nsid w:val="689A3367"/>
    <w:multiLevelType w:val="multilevel"/>
    <w:tmpl w:val="5C883F02"/>
    <w:lvl w:ilvl="0">
      <w:start w:val="170"/>
      <w:numFmt w:val="decimal"/>
      <w:lvlText w:val="%1"/>
      <w:lvlJc w:val="left"/>
      <w:pPr>
        <w:ind w:left="690" w:hanging="690"/>
      </w:pPr>
      <w:rPr>
        <w:rFonts w:hint="default"/>
      </w:rPr>
    </w:lvl>
    <w:lvl w:ilvl="1">
      <w:start w:val="8"/>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3" w15:restartNumberingAfterBreak="0">
    <w:nsid w:val="68E67B2C"/>
    <w:multiLevelType w:val="hybridMultilevel"/>
    <w:tmpl w:val="07C8F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D372DCA"/>
    <w:multiLevelType w:val="hybridMultilevel"/>
    <w:tmpl w:val="B5587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F19662A"/>
    <w:multiLevelType w:val="multilevel"/>
    <w:tmpl w:val="C542F6DC"/>
    <w:lvl w:ilvl="0">
      <w:start w:val="170"/>
      <w:numFmt w:val="decimal"/>
      <w:lvlText w:val="%1"/>
      <w:lvlJc w:val="left"/>
      <w:pPr>
        <w:ind w:left="675" w:hanging="675"/>
      </w:pPr>
      <w:rPr>
        <w:rFonts w:hint="default"/>
      </w:rPr>
    </w:lvl>
    <w:lvl w:ilvl="1">
      <w:start w:val="4"/>
      <w:numFmt w:val="decimal"/>
      <w:lvlText w:val="%1.%2"/>
      <w:lvlJc w:val="left"/>
      <w:pPr>
        <w:ind w:left="2835" w:hanging="6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6" w15:restartNumberingAfterBreak="0">
    <w:nsid w:val="7358549C"/>
    <w:multiLevelType w:val="hybridMultilevel"/>
    <w:tmpl w:val="61D0E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61674BE"/>
    <w:multiLevelType w:val="hybridMultilevel"/>
    <w:tmpl w:val="D7AEE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BCB6A45"/>
    <w:multiLevelType w:val="multilevel"/>
    <w:tmpl w:val="6BA64AB2"/>
    <w:lvl w:ilvl="0">
      <w:start w:val="172"/>
      <w:numFmt w:val="decimal"/>
      <w:lvlText w:val="%1"/>
      <w:lvlJc w:val="left"/>
      <w:pPr>
        <w:ind w:left="675" w:hanging="675"/>
      </w:pPr>
      <w:rPr>
        <w:rFonts w:hint="default"/>
      </w:rPr>
    </w:lvl>
    <w:lvl w:ilvl="1">
      <w:start w:val="1"/>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9" w15:restartNumberingAfterBreak="0">
    <w:nsid w:val="7EEA1C6A"/>
    <w:multiLevelType w:val="hybridMultilevel"/>
    <w:tmpl w:val="9014FA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38"/>
  </w:num>
  <w:num w:numId="5">
    <w:abstractNumId w:val="30"/>
  </w:num>
  <w:num w:numId="6">
    <w:abstractNumId w:val="44"/>
  </w:num>
  <w:num w:numId="7">
    <w:abstractNumId w:val="49"/>
  </w:num>
  <w:num w:numId="8">
    <w:abstractNumId w:val="9"/>
  </w:num>
  <w:num w:numId="9">
    <w:abstractNumId w:val="47"/>
  </w:num>
  <w:num w:numId="10">
    <w:abstractNumId w:val="46"/>
  </w:num>
  <w:num w:numId="11">
    <w:abstractNumId w:val="34"/>
  </w:num>
  <w:num w:numId="12">
    <w:abstractNumId w:val="43"/>
  </w:num>
  <w:num w:numId="13">
    <w:abstractNumId w:val="15"/>
  </w:num>
  <w:num w:numId="14">
    <w:abstractNumId w:val="29"/>
  </w:num>
  <w:num w:numId="15">
    <w:abstractNumId w:val="7"/>
  </w:num>
  <w:num w:numId="16">
    <w:abstractNumId w:val="5"/>
  </w:num>
  <w:num w:numId="17">
    <w:abstractNumId w:val="23"/>
  </w:num>
  <w:num w:numId="18">
    <w:abstractNumId w:val="40"/>
  </w:num>
  <w:num w:numId="19">
    <w:abstractNumId w:val="31"/>
  </w:num>
  <w:num w:numId="20">
    <w:abstractNumId w:val="24"/>
  </w:num>
  <w:num w:numId="21">
    <w:abstractNumId w:val="16"/>
  </w:num>
  <w:num w:numId="22">
    <w:abstractNumId w:val="37"/>
  </w:num>
  <w:num w:numId="23">
    <w:abstractNumId w:val="26"/>
  </w:num>
  <w:num w:numId="24">
    <w:abstractNumId w:val="14"/>
  </w:num>
  <w:num w:numId="25">
    <w:abstractNumId w:val="18"/>
  </w:num>
  <w:num w:numId="26">
    <w:abstractNumId w:val="4"/>
  </w:num>
  <w:num w:numId="27">
    <w:abstractNumId w:val="11"/>
  </w:num>
  <w:num w:numId="28">
    <w:abstractNumId w:val="21"/>
  </w:num>
  <w:num w:numId="29">
    <w:abstractNumId w:val="22"/>
  </w:num>
  <w:num w:numId="30">
    <w:abstractNumId w:val="27"/>
  </w:num>
  <w:num w:numId="31">
    <w:abstractNumId w:val="20"/>
  </w:num>
  <w:num w:numId="32">
    <w:abstractNumId w:val="32"/>
  </w:num>
  <w:num w:numId="33">
    <w:abstractNumId w:val="6"/>
  </w:num>
  <w:num w:numId="34">
    <w:abstractNumId w:val="19"/>
  </w:num>
  <w:num w:numId="35">
    <w:abstractNumId w:val="3"/>
  </w:num>
  <w:num w:numId="36">
    <w:abstractNumId w:val="48"/>
  </w:num>
  <w:num w:numId="37">
    <w:abstractNumId w:val="12"/>
  </w:num>
  <w:num w:numId="38">
    <w:abstractNumId w:val="28"/>
  </w:num>
  <w:num w:numId="39">
    <w:abstractNumId w:val="42"/>
  </w:num>
  <w:num w:numId="40">
    <w:abstractNumId w:val="1"/>
  </w:num>
  <w:num w:numId="41">
    <w:abstractNumId w:val="35"/>
  </w:num>
  <w:num w:numId="42">
    <w:abstractNumId w:val="25"/>
  </w:num>
  <w:num w:numId="43">
    <w:abstractNumId w:val="2"/>
  </w:num>
  <w:num w:numId="44">
    <w:abstractNumId w:val="36"/>
  </w:num>
  <w:num w:numId="45">
    <w:abstractNumId w:val="33"/>
  </w:num>
  <w:num w:numId="46">
    <w:abstractNumId w:val="45"/>
  </w:num>
  <w:num w:numId="47">
    <w:abstractNumId w:val="10"/>
  </w:num>
  <w:num w:numId="48">
    <w:abstractNumId w:val="39"/>
  </w:num>
  <w:num w:numId="49">
    <w:abstractNumId w:val="1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1B"/>
    <w:rsid w:val="00001538"/>
    <w:rsid w:val="00004BF2"/>
    <w:rsid w:val="0000539F"/>
    <w:rsid w:val="00007596"/>
    <w:rsid w:val="00007FBF"/>
    <w:rsid w:val="00010416"/>
    <w:rsid w:val="00010E6D"/>
    <w:rsid w:val="00011F31"/>
    <w:rsid w:val="000156A9"/>
    <w:rsid w:val="000177CC"/>
    <w:rsid w:val="000233D4"/>
    <w:rsid w:val="00023DAE"/>
    <w:rsid w:val="000261A2"/>
    <w:rsid w:val="00030592"/>
    <w:rsid w:val="0003067B"/>
    <w:rsid w:val="00032F17"/>
    <w:rsid w:val="0003617C"/>
    <w:rsid w:val="0003684B"/>
    <w:rsid w:val="00036ADB"/>
    <w:rsid w:val="00037904"/>
    <w:rsid w:val="00040091"/>
    <w:rsid w:val="00040352"/>
    <w:rsid w:val="000404C5"/>
    <w:rsid w:val="000420BD"/>
    <w:rsid w:val="00043ABA"/>
    <w:rsid w:val="00043EB1"/>
    <w:rsid w:val="00045B74"/>
    <w:rsid w:val="000478A6"/>
    <w:rsid w:val="00050411"/>
    <w:rsid w:val="00051AE6"/>
    <w:rsid w:val="00052B4B"/>
    <w:rsid w:val="00052B63"/>
    <w:rsid w:val="00054186"/>
    <w:rsid w:val="00054306"/>
    <w:rsid w:val="000627B5"/>
    <w:rsid w:val="00066322"/>
    <w:rsid w:val="00066434"/>
    <w:rsid w:val="00070392"/>
    <w:rsid w:val="000710A3"/>
    <w:rsid w:val="00075B2C"/>
    <w:rsid w:val="00083927"/>
    <w:rsid w:val="000871B7"/>
    <w:rsid w:val="00090B0A"/>
    <w:rsid w:val="00096AF1"/>
    <w:rsid w:val="000973AE"/>
    <w:rsid w:val="000A07FB"/>
    <w:rsid w:val="000A25F2"/>
    <w:rsid w:val="000A2F75"/>
    <w:rsid w:val="000A4049"/>
    <w:rsid w:val="000A47AE"/>
    <w:rsid w:val="000A4C5E"/>
    <w:rsid w:val="000A6823"/>
    <w:rsid w:val="000A7442"/>
    <w:rsid w:val="000A7A11"/>
    <w:rsid w:val="000B0216"/>
    <w:rsid w:val="000B0C18"/>
    <w:rsid w:val="000B10BC"/>
    <w:rsid w:val="000B187F"/>
    <w:rsid w:val="000B3956"/>
    <w:rsid w:val="000B40B4"/>
    <w:rsid w:val="000B40C5"/>
    <w:rsid w:val="000C0175"/>
    <w:rsid w:val="000C064C"/>
    <w:rsid w:val="000C0FE0"/>
    <w:rsid w:val="000C1268"/>
    <w:rsid w:val="000C1464"/>
    <w:rsid w:val="000C56AE"/>
    <w:rsid w:val="000C657A"/>
    <w:rsid w:val="000C71BE"/>
    <w:rsid w:val="000C727A"/>
    <w:rsid w:val="000C76FE"/>
    <w:rsid w:val="000D1D17"/>
    <w:rsid w:val="000D47A2"/>
    <w:rsid w:val="000D5C62"/>
    <w:rsid w:val="000D63A5"/>
    <w:rsid w:val="000E0C16"/>
    <w:rsid w:val="000E1609"/>
    <w:rsid w:val="000E2177"/>
    <w:rsid w:val="000E503D"/>
    <w:rsid w:val="000E62CB"/>
    <w:rsid w:val="000E6357"/>
    <w:rsid w:val="000F0338"/>
    <w:rsid w:val="000F0623"/>
    <w:rsid w:val="000F1BF0"/>
    <w:rsid w:val="000F1F93"/>
    <w:rsid w:val="000F248A"/>
    <w:rsid w:val="000F5AF4"/>
    <w:rsid w:val="000F657D"/>
    <w:rsid w:val="000F6C47"/>
    <w:rsid w:val="000F7B8E"/>
    <w:rsid w:val="000F7C47"/>
    <w:rsid w:val="0010127D"/>
    <w:rsid w:val="001041F9"/>
    <w:rsid w:val="001051DE"/>
    <w:rsid w:val="00106A4E"/>
    <w:rsid w:val="0010700D"/>
    <w:rsid w:val="00110EFD"/>
    <w:rsid w:val="00112307"/>
    <w:rsid w:val="001162FB"/>
    <w:rsid w:val="001241EB"/>
    <w:rsid w:val="00126D7E"/>
    <w:rsid w:val="00127FBA"/>
    <w:rsid w:val="00131257"/>
    <w:rsid w:val="00133F59"/>
    <w:rsid w:val="001352BA"/>
    <w:rsid w:val="001377E3"/>
    <w:rsid w:val="001404A7"/>
    <w:rsid w:val="0014088C"/>
    <w:rsid w:val="00140CFE"/>
    <w:rsid w:val="0014106F"/>
    <w:rsid w:val="00142C5C"/>
    <w:rsid w:val="00142FAC"/>
    <w:rsid w:val="0014793E"/>
    <w:rsid w:val="001509BF"/>
    <w:rsid w:val="0015172E"/>
    <w:rsid w:val="00152412"/>
    <w:rsid w:val="0015494B"/>
    <w:rsid w:val="00154B14"/>
    <w:rsid w:val="001558DA"/>
    <w:rsid w:val="001576D9"/>
    <w:rsid w:val="0016086F"/>
    <w:rsid w:val="00161345"/>
    <w:rsid w:val="00161D0C"/>
    <w:rsid w:val="00162DBC"/>
    <w:rsid w:val="00165DAE"/>
    <w:rsid w:val="001676FB"/>
    <w:rsid w:val="001702EA"/>
    <w:rsid w:val="0017042F"/>
    <w:rsid w:val="00171A3E"/>
    <w:rsid w:val="0017225F"/>
    <w:rsid w:val="00172C5E"/>
    <w:rsid w:val="00174B71"/>
    <w:rsid w:val="0017524B"/>
    <w:rsid w:val="00175E96"/>
    <w:rsid w:val="00176197"/>
    <w:rsid w:val="001763A3"/>
    <w:rsid w:val="00180076"/>
    <w:rsid w:val="00180967"/>
    <w:rsid w:val="001813C3"/>
    <w:rsid w:val="00181BFE"/>
    <w:rsid w:val="00182838"/>
    <w:rsid w:val="0018289A"/>
    <w:rsid w:val="0018591A"/>
    <w:rsid w:val="00185BBD"/>
    <w:rsid w:val="00187036"/>
    <w:rsid w:val="00190451"/>
    <w:rsid w:val="00192B9F"/>
    <w:rsid w:val="00192D93"/>
    <w:rsid w:val="00194DBD"/>
    <w:rsid w:val="001954A0"/>
    <w:rsid w:val="00196196"/>
    <w:rsid w:val="001A5F45"/>
    <w:rsid w:val="001A60A7"/>
    <w:rsid w:val="001A6B76"/>
    <w:rsid w:val="001B497F"/>
    <w:rsid w:val="001C2C06"/>
    <w:rsid w:val="001C6618"/>
    <w:rsid w:val="001C73AA"/>
    <w:rsid w:val="001D04EE"/>
    <w:rsid w:val="001D098C"/>
    <w:rsid w:val="001D0AD6"/>
    <w:rsid w:val="001D2532"/>
    <w:rsid w:val="001D35EB"/>
    <w:rsid w:val="001D4AAC"/>
    <w:rsid w:val="001E247C"/>
    <w:rsid w:val="001E5C9F"/>
    <w:rsid w:val="001E6969"/>
    <w:rsid w:val="001E791A"/>
    <w:rsid w:val="001F06AB"/>
    <w:rsid w:val="001F25BA"/>
    <w:rsid w:val="001F516F"/>
    <w:rsid w:val="001F5812"/>
    <w:rsid w:val="001F5C5E"/>
    <w:rsid w:val="001F614E"/>
    <w:rsid w:val="001F7E37"/>
    <w:rsid w:val="00202726"/>
    <w:rsid w:val="0020526D"/>
    <w:rsid w:val="00206B07"/>
    <w:rsid w:val="00207FF1"/>
    <w:rsid w:val="00212C2B"/>
    <w:rsid w:val="00215716"/>
    <w:rsid w:val="00215D31"/>
    <w:rsid w:val="002175D7"/>
    <w:rsid w:val="00220E64"/>
    <w:rsid w:val="00220EB1"/>
    <w:rsid w:val="00221080"/>
    <w:rsid w:val="00224C3A"/>
    <w:rsid w:val="00225166"/>
    <w:rsid w:val="00227634"/>
    <w:rsid w:val="00230E42"/>
    <w:rsid w:val="00231D10"/>
    <w:rsid w:val="00240CE9"/>
    <w:rsid w:val="00242716"/>
    <w:rsid w:val="002447CC"/>
    <w:rsid w:val="0025021B"/>
    <w:rsid w:val="002526A6"/>
    <w:rsid w:val="00253844"/>
    <w:rsid w:val="00254D4B"/>
    <w:rsid w:val="00256303"/>
    <w:rsid w:val="002578B1"/>
    <w:rsid w:val="00260CB1"/>
    <w:rsid w:val="002615B9"/>
    <w:rsid w:val="0026162A"/>
    <w:rsid w:val="0026563E"/>
    <w:rsid w:val="00265D5A"/>
    <w:rsid w:val="00270FF6"/>
    <w:rsid w:val="00271C70"/>
    <w:rsid w:val="00275302"/>
    <w:rsid w:val="00281BCD"/>
    <w:rsid w:val="00282159"/>
    <w:rsid w:val="00283C5D"/>
    <w:rsid w:val="00291158"/>
    <w:rsid w:val="00293BEF"/>
    <w:rsid w:val="002A0FE3"/>
    <w:rsid w:val="002B23B0"/>
    <w:rsid w:val="002B5C10"/>
    <w:rsid w:val="002B5C84"/>
    <w:rsid w:val="002C10B1"/>
    <w:rsid w:val="002C254C"/>
    <w:rsid w:val="002C4048"/>
    <w:rsid w:val="002C4DA5"/>
    <w:rsid w:val="002C524C"/>
    <w:rsid w:val="002C5DDF"/>
    <w:rsid w:val="002D1496"/>
    <w:rsid w:val="002D3951"/>
    <w:rsid w:val="002D399F"/>
    <w:rsid w:val="002D74B3"/>
    <w:rsid w:val="002E6075"/>
    <w:rsid w:val="002E683B"/>
    <w:rsid w:val="002F3D22"/>
    <w:rsid w:val="002F3D31"/>
    <w:rsid w:val="003001C5"/>
    <w:rsid w:val="00301C4C"/>
    <w:rsid w:val="00303121"/>
    <w:rsid w:val="00303159"/>
    <w:rsid w:val="003036DD"/>
    <w:rsid w:val="003041F6"/>
    <w:rsid w:val="003043A3"/>
    <w:rsid w:val="003048CA"/>
    <w:rsid w:val="003053DA"/>
    <w:rsid w:val="00306D6F"/>
    <w:rsid w:val="0031042D"/>
    <w:rsid w:val="003120C2"/>
    <w:rsid w:val="00314C94"/>
    <w:rsid w:val="0031522C"/>
    <w:rsid w:val="00315CD0"/>
    <w:rsid w:val="00320E3C"/>
    <w:rsid w:val="00321961"/>
    <w:rsid w:val="00324011"/>
    <w:rsid w:val="0032441C"/>
    <w:rsid w:val="003265A5"/>
    <w:rsid w:val="00327734"/>
    <w:rsid w:val="00327828"/>
    <w:rsid w:val="003310EB"/>
    <w:rsid w:val="00332506"/>
    <w:rsid w:val="00333D2A"/>
    <w:rsid w:val="00340290"/>
    <w:rsid w:val="00340D42"/>
    <w:rsid w:val="003469F5"/>
    <w:rsid w:val="00347519"/>
    <w:rsid w:val="003500D4"/>
    <w:rsid w:val="00355497"/>
    <w:rsid w:val="00356B7F"/>
    <w:rsid w:val="003578C1"/>
    <w:rsid w:val="003608EC"/>
    <w:rsid w:val="00360DC9"/>
    <w:rsid w:val="003661FD"/>
    <w:rsid w:val="0036703D"/>
    <w:rsid w:val="00367780"/>
    <w:rsid w:val="00371A8A"/>
    <w:rsid w:val="003720A2"/>
    <w:rsid w:val="00372E32"/>
    <w:rsid w:val="00372F34"/>
    <w:rsid w:val="00373CCF"/>
    <w:rsid w:val="00374CC5"/>
    <w:rsid w:val="00374F75"/>
    <w:rsid w:val="00375C2F"/>
    <w:rsid w:val="00384E60"/>
    <w:rsid w:val="00391412"/>
    <w:rsid w:val="00392D11"/>
    <w:rsid w:val="00395EE6"/>
    <w:rsid w:val="00396DBF"/>
    <w:rsid w:val="003A02D2"/>
    <w:rsid w:val="003A0CDF"/>
    <w:rsid w:val="003A34C3"/>
    <w:rsid w:val="003A4EE4"/>
    <w:rsid w:val="003A673A"/>
    <w:rsid w:val="003B0571"/>
    <w:rsid w:val="003B499B"/>
    <w:rsid w:val="003B5EF6"/>
    <w:rsid w:val="003C2E52"/>
    <w:rsid w:val="003C5302"/>
    <w:rsid w:val="003C56DE"/>
    <w:rsid w:val="003C77DF"/>
    <w:rsid w:val="003C7862"/>
    <w:rsid w:val="003D17CC"/>
    <w:rsid w:val="003D53C4"/>
    <w:rsid w:val="003D6CA0"/>
    <w:rsid w:val="003D796B"/>
    <w:rsid w:val="003E18B6"/>
    <w:rsid w:val="003E2B68"/>
    <w:rsid w:val="003E606D"/>
    <w:rsid w:val="003E6845"/>
    <w:rsid w:val="003E6C01"/>
    <w:rsid w:val="003F1E18"/>
    <w:rsid w:val="003F24D3"/>
    <w:rsid w:val="003F3102"/>
    <w:rsid w:val="003F4036"/>
    <w:rsid w:val="003F72B7"/>
    <w:rsid w:val="004043B6"/>
    <w:rsid w:val="0040659C"/>
    <w:rsid w:val="00406EB1"/>
    <w:rsid w:val="00406EF5"/>
    <w:rsid w:val="0041284C"/>
    <w:rsid w:val="00414C4F"/>
    <w:rsid w:val="00417581"/>
    <w:rsid w:val="00417A03"/>
    <w:rsid w:val="004216BF"/>
    <w:rsid w:val="004228C8"/>
    <w:rsid w:val="00423D61"/>
    <w:rsid w:val="004257F3"/>
    <w:rsid w:val="0043092C"/>
    <w:rsid w:val="00431ABA"/>
    <w:rsid w:val="00432295"/>
    <w:rsid w:val="00432D8F"/>
    <w:rsid w:val="00433494"/>
    <w:rsid w:val="00434BCA"/>
    <w:rsid w:val="0043600A"/>
    <w:rsid w:val="004364AA"/>
    <w:rsid w:val="00440719"/>
    <w:rsid w:val="004415E0"/>
    <w:rsid w:val="00445498"/>
    <w:rsid w:val="00446143"/>
    <w:rsid w:val="00446AA1"/>
    <w:rsid w:val="00446B27"/>
    <w:rsid w:val="004471C8"/>
    <w:rsid w:val="004476D9"/>
    <w:rsid w:val="00451D4B"/>
    <w:rsid w:val="00453C74"/>
    <w:rsid w:val="00454BA6"/>
    <w:rsid w:val="00462F88"/>
    <w:rsid w:val="004632C9"/>
    <w:rsid w:val="00464C8B"/>
    <w:rsid w:val="004663D0"/>
    <w:rsid w:val="004665A2"/>
    <w:rsid w:val="00472140"/>
    <w:rsid w:val="004725AF"/>
    <w:rsid w:val="00474A9B"/>
    <w:rsid w:val="004774EE"/>
    <w:rsid w:val="004822F2"/>
    <w:rsid w:val="0048256D"/>
    <w:rsid w:val="00483969"/>
    <w:rsid w:val="00483C06"/>
    <w:rsid w:val="0048554B"/>
    <w:rsid w:val="004860C0"/>
    <w:rsid w:val="00491BEB"/>
    <w:rsid w:val="00494F1B"/>
    <w:rsid w:val="00494FE3"/>
    <w:rsid w:val="004950D5"/>
    <w:rsid w:val="004955ED"/>
    <w:rsid w:val="004A1137"/>
    <w:rsid w:val="004A2573"/>
    <w:rsid w:val="004A272A"/>
    <w:rsid w:val="004A38F1"/>
    <w:rsid w:val="004A5F2E"/>
    <w:rsid w:val="004A641A"/>
    <w:rsid w:val="004B10DA"/>
    <w:rsid w:val="004B3519"/>
    <w:rsid w:val="004B5BCE"/>
    <w:rsid w:val="004C411A"/>
    <w:rsid w:val="004C520F"/>
    <w:rsid w:val="004D1F2F"/>
    <w:rsid w:val="004D42F8"/>
    <w:rsid w:val="004D53BD"/>
    <w:rsid w:val="004D7E3A"/>
    <w:rsid w:val="004E05FF"/>
    <w:rsid w:val="004E0F6B"/>
    <w:rsid w:val="004E1737"/>
    <w:rsid w:val="004E30D7"/>
    <w:rsid w:val="004E43D7"/>
    <w:rsid w:val="004E4B67"/>
    <w:rsid w:val="004E683D"/>
    <w:rsid w:val="004E7D3E"/>
    <w:rsid w:val="004F0660"/>
    <w:rsid w:val="004F09DC"/>
    <w:rsid w:val="004F527C"/>
    <w:rsid w:val="004F718D"/>
    <w:rsid w:val="0050137B"/>
    <w:rsid w:val="005029E1"/>
    <w:rsid w:val="00502D69"/>
    <w:rsid w:val="00502F94"/>
    <w:rsid w:val="00506914"/>
    <w:rsid w:val="0051013B"/>
    <w:rsid w:val="00510F3C"/>
    <w:rsid w:val="00511214"/>
    <w:rsid w:val="00514DDF"/>
    <w:rsid w:val="00515C24"/>
    <w:rsid w:val="005178BF"/>
    <w:rsid w:val="00520099"/>
    <w:rsid w:val="00520C14"/>
    <w:rsid w:val="005215F7"/>
    <w:rsid w:val="005238E9"/>
    <w:rsid w:val="00530A3F"/>
    <w:rsid w:val="005323F4"/>
    <w:rsid w:val="0053271E"/>
    <w:rsid w:val="00532C97"/>
    <w:rsid w:val="00534E4A"/>
    <w:rsid w:val="005351CF"/>
    <w:rsid w:val="0053607B"/>
    <w:rsid w:val="00542EAB"/>
    <w:rsid w:val="0054446D"/>
    <w:rsid w:val="005448A0"/>
    <w:rsid w:val="00544DBF"/>
    <w:rsid w:val="00552287"/>
    <w:rsid w:val="005526AA"/>
    <w:rsid w:val="005542D6"/>
    <w:rsid w:val="00554656"/>
    <w:rsid w:val="00555F44"/>
    <w:rsid w:val="00556405"/>
    <w:rsid w:val="00556744"/>
    <w:rsid w:val="00557946"/>
    <w:rsid w:val="0056085B"/>
    <w:rsid w:val="005628F4"/>
    <w:rsid w:val="005630C1"/>
    <w:rsid w:val="0056521E"/>
    <w:rsid w:val="00566224"/>
    <w:rsid w:val="0056631F"/>
    <w:rsid w:val="005673CF"/>
    <w:rsid w:val="00571DBA"/>
    <w:rsid w:val="005749AE"/>
    <w:rsid w:val="0058210F"/>
    <w:rsid w:val="00582728"/>
    <w:rsid w:val="005836F3"/>
    <w:rsid w:val="00584302"/>
    <w:rsid w:val="00586288"/>
    <w:rsid w:val="0058631D"/>
    <w:rsid w:val="00591547"/>
    <w:rsid w:val="0059167B"/>
    <w:rsid w:val="0059335E"/>
    <w:rsid w:val="00594D50"/>
    <w:rsid w:val="005A2C03"/>
    <w:rsid w:val="005A3452"/>
    <w:rsid w:val="005A5B48"/>
    <w:rsid w:val="005A6525"/>
    <w:rsid w:val="005A6A98"/>
    <w:rsid w:val="005A76AA"/>
    <w:rsid w:val="005B148C"/>
    <w:rsid w:val="005B1F3E"/>
    <w:rsid w:val="005B2311"/>
    <w:rsid w:val="005B338C"/>
    <w:rsid w:val="005B7BB0"/>
    <w:rsid w:val="005C0BB9"/>
    <w:rsid w:val="005C3C66"/>
    <w:rsid w:val="005C550A"/>
    <w:rsid w:val="005D022C"/>
    <w:rsid w:val="005D1352"/>
    <w:rsid w:val="005D15FD"/>
    <w:rsid w:val="005D1E6E"/>
    <w:rsid w:val="005D1F80"/>
    <w:rsid w:val="005D4A49"/>
    <w:rsid w:val="005D5C16"/>
    <w:rsid w:val="005D6F91"/>
    <w:rsid w:val="005D768D"/>
    <w:rsid w:val="005E0633"/>
    <w:rsid w:val="005E09B0"/>
    <w:rsid w:val="005E0DC3"/>
    <w:rsid w:val="005E1189"/>
    <w:rsid w:val="005E242B"/>
    <w:rsid w:val="005E31EB"/>
    <w:rsid w:val="005E394C"/>
    <w:rsid w:val="005E4F4B"/>
    <w:rsid w:val="006017CB"/>
    <w:rsid w:val="00605B77"/>
    <w:rsid w:val="0060773C"/>
    <w:rsid w:val="00610EEA"/>
    <w:rsid w:val="00616F8E"/>
    <w:rsid w:val="006179C8"/>
    <w:rsid w:val="00620435"/>
    <w:rsid w:val="00621F90"/>
    <w:rsid w:val="00623080"/>
    <w:rsid w:val="0062433B"/>
    <w:rsid w:val="006269C8"/>
    <w:rsid w:val="00630893"/>
    <w:rsid w:val="00636BE7"/>
    <w:rsid w:val="00637834"/>
    <w:rsid w:val="00640054"/>
    <w:rsid w:val="00641A7C"/>
    <w:rsid w:val="00642187"/>
    <w:rsid w:val="00643903"/>
    <w:rsid w:val="00646976"/>
    <w:rsid w:val="006470C2"/>
    <w:rsid w:val="00650036"/>
    <w:rsid w:val="00652916"/>
    <w:rsid w:val="0065407E"/>
    <w:rsid w:val="006571E3"/>
    <w:rsid w:val="00661B22"/>
    <w:rsid w:val="006623E9"/>
    <w:rsid w:val="0066243C"/>
    <w:rsid w:val="006646AC"/>
    <w:rsid w:val="00664A9A"/>
    <w:rsid w:val="00665AD6"/>
    <w:rsid w:val="0066634F"/>
    <w:rsid w:val="006667ED"/>
    <w:rsid w:val="00666831"/>
    <w:rsid w:val="0067303B"/>
    <w:rsid w:val="006734EB"/>
    <w:rsid w:val="00674295"/>
    <w:rsid w:val="00674F47"/>
    <w:rsid w:val="00676342"/>
    <w:rsid w:val="00676451"/>
    <w:rsid w:val="00680B53"/>
    <w:rsid w:val="006852B7"/>
    <w:rsid w:val="006878CD"/>
    <w:rsid w:val="00690F52"/>
    <w:rsid w:val="0069255A"/>
    <w:rsid w:val="00693356"/>
    <w:rsid w:val="00694286"/>
    <w:rsid w:val="006A0611"/>
    <w:rsid w:val="006A0A50"/>
    <w:rsid w:val="006A2F94"/>
    <w:rsid w:val="006A3654"/>
    <w:rsid w:val="006A446A"/>
    <w:rsid w:val="006A4A53"/>
    <w:rsid w:val="006A5ECE"/>
    <w:rsid w:val="006A7854"/>
    <w:rsid w:val="006A78FF"/>
    <w:rsid w:val="006B0CCC"/>
    <w:rsid w:val="006B12E5"/>
    <w:rsid w:val="006B1B25"/>
    <w:rsid w:val="006B24D0"/>
    <w:rsid w:val="006B655A"/>
    <w:rsid w:val="006B7BF2"/>
    <w:rsid w:val="006C3547"/>
    <w:rsid w:val="006C3630"/>
    <w:rsid w:val="006C6ECD"/>
    <w:rsid w:val="006D1ECC"/>
    <w:rsid w:val="006D322B"/>
    <w:rsid w:val="006D52BC"/>
    <w:rsid w:val="006D6BA7"/>
    <w:rsid w:val="006D773D"/>
    <w:rsid w:val="006E012B"/>
    <w:rsid w:val="006E0AEF"/>
    <w:rsid w:val="006E2004"/>
    <w:rsid w:val="006E4350"/>
    <w:rsid w:val="006E4BB6"/>
    <w:rsid w:val="006E5DCC"/>
    <w:rsid w:val="006F002C"/>
    <w:rsid w:val="006F04C1"/>
    <w:rsid w:val="006F056D"/>
    <w:rsid w:val="006F08C4"/>
    <w:rsid w:val="006F13F2"/>
    <w:rsid w:val="006F2305"/>
    <w:rsid w:val="006F2AD7"/>
    <w:rsid w:val="006F64A4"/>
    <w:rsid w:val="006F7B82"/>
    <w:rsid w:val="00701FF1"/>
    <w:rsid w:val="007029FF"/>
    <w:rsid w:val="007044C6"/>
    <w:rsid w:val="007066BE"/>
    <w:rsid w:val="00710D07"/>
    <w:rsid w:val="0071252E"/>
    <w:rsid w:val="007140C5"/>
    <w:rsid w:val="00720951"/>
    <w:rsid w:val="00721887"/>
    <w:rsid w:val="00721BE0"/>
    <w:rsid w:val="00721D42"/>
    <w:rsid w:val="007222F2"/>
    <w:rsid w:val="007242B5"/>
    <w:rsid w:val="0072487C"/>
    <w:rsid w:val="007259C0"/>
    <w:rsid w:val="0072666F"/>
    <w:rsid w:val="0072683D"/>
    <w:rsid w:val="00730AF9"/>
    <w:rsid w:val="00733E8C"/>
    <w:rsid w:val="00734BC5"/>
    <w:rsid w:val="00736F4A"/>
    <w:rsid w:val="00737CA6"/>
    <w:rsid w:val="00745D01"/>
    <w:rsid w:val="007508FE"/>
    <w:rsid w:val="00750F62"/>
    <w:rsid w:val="0075224B"/>
    <w:rsid w:val="0075551A"/>
    <w:rsid w:val="00755778"/>
    <w:rsid w:val="007564BC"/>
    <w:rsid w:val="007576C8"/>
    <w:rsid w:val="007600DC"/>
    <w:rsid w:val="00760476"/>
    <w:rsid w:val="00770B5E"/>
    <w:rsid w:val="007721DC"/>
    <w:rsid w:val="00782404"/>
    <w:rsid w:val="00782E49"/>
    <w:rsid w:val="007835DF"/>
    <w:rsid w:val="007838D8"/>
    <w:rsid w:val="00783B3A"/>
    <w:rsid w:val="0078509D"/>
    <w:rsid w:val="0078739B"/>
    <w:rsid w:val="00787748"/>
    <w:rsid w:val="00790AA9"/>
    <w:rsid w:val="00791785"/>
    <w:rsid w:val="00791D07"/>
    <w:rsid w:val="007940DD"/>
    <w:rsid w:val="00794340"/>
    <w:rsid w:val="007A1B16"/>
    <w:rsid w:val="007A56B2"/>
    <w:rsid w:val="007A6483"/>
    <w:rsid w:val="007A6D15"/>
    <w:rsid w:val="007A72ED"/>
    <w:rsid w:val="007A7EC1"/>
    <w:rsid w:val="007A7F3E"/>
    <w:rsid w:val="007B1BDF"/>
    <w:rsid w:val="007B1C17"/>
    <w:rsid w:val="007B40D4"/>
    <w:rsid w:val="007B46E4"/>
    <w:rsid w:val="007B5762"/>
    <w:rsid w:val="007B73AE"/>
    <w:rsid w:val="007C2828"/>
    <w:rsid w:val="007C2AB5"/>
    <w:rsid w:val="007C41DE"/>
    <w:rsid w:val="007C6B85"/>
    <w:rsid w:val="007D17DD"/>
    <w:rsid w:val="007D1ADF"/>
    <w:rsid w:val="007D20A6"/>
    <w:rsid w:val="007D55DF"/>
    <w:rsid w:val="007D56E7"/>
    <w:rsid w:val="007D6D44"/>
    <w:rsid w:val="007E0F0A"/>
    <w:rsid w:val="007E365C"/>
    <w:rsid w:val="007E4ADA"/>
    <w:rsid w:val="007E547A"/>
    <w:rsid w:val="007E674A"/>
    <w:rsid w:val="007E69A5"/>
    <w:rsid w:val="007E6B47"/>
    <w:rsid w:val="007F0F9A"/>
    <w:rsid w:val="007F1B48"/>
    <w:rsid w:val="007F2258"/>
    <w:rsid w:val="0080058F"/>
    <w:rsid w:val="00801A47"/>
    <w:rsid w:val="00802B73"/>
    <w:rsid w:val="00803540"/>
    <w:rsid w:val="0080448E"/>
    <w:rsid w:val="008057F4"/>
    <w:rsid w:val="0081065B"/>
    <w:rsid w:val="008106D8"/>
    <w:rsid w:val="00811309"/>
    <w:rsid w:val="00811351"/>
    <w:rsid w:val="0081147D"/>
    <w:rsid w:val="008162D2"/>
    <w:rsid w:val="00817084"/>
    <w:rsid w:val="00821451"/>
    <w:rsid w:val="00822154"/>
    <w:rsid w:val="0082278B"/>
    <w:rsid w:val="008300C9"/>
    <w:rsid w:val="008333AA"/>
    <w:rsid w:val="0083432E"/>
    <w:rsid w:val="00834DBE"/>
    <w:rsid w:val="008444BC"/>
    <w:rsid w:val="00845CE1"/>
    <w:rsid w:val="008512CF"/>
    <w:rsid w:val="00851BE2"/>
    <w:rsid w:val="0085346B"/>
    <w:rsid w:val="0085717D"/>
    <w:rsid w:val="0086189E"/>
    <w:rsid w:val="008627BE"/>
    <w:rsid w:val="008668B7"/>
    <w:rsid w:val="00870906"/>
    <w:rsid w:val="008743DC"/>
    <w:rsid w:val="0088232B"/>
    <w:rsid w:val="0088377D"/>
    <w:rsid w:val="00883D45"/>
    <w:rsid w:val="00890B65"/>
    <w:rsid w:val="00891AF9"/>
    <w:rsid w:val="008924AB"/>
    <w:rsid w:val="00892DFA"/>
    <w:rsid w:val="00893755"/>
    <w:rsid w:val="008952B1"/>
    <w:rsid w:val="0089708E"/>
    <w:rsid w:val="00897A1D"/>
    <w:rsid w:val="008A1070"/>
    <w:rsid w:val="008A5DC5"/>
    <w:rsid w:val="008B1C30"/>
    <w:rsid w:val="008B38C3"/>
    <w:rsid w:val="008C02CB"/>
    <w:rsid w:val="008C2574"/>
    <w:rsid w:val="008C2DE5"/>
    <w:rsid w:val="008C4020"/>
    <w:rsid w:val="008C5C4F"/>
    <w:rsid w:val="008D27B4"/>
    <w:rsid w:val="008D4151"/>
    <w:rsid w:val="008D4F1E"/>
    <w:rsid w:val="008D50D7"/>
    <w:rsid w:val="008D5AC9"/>
    <w:rsid w:val="008D5DA8"/>
    <w:rsid w:val="008D6229"/>
    <w:rsid w:val="008D7D61"/>
    <w:rsid w:val="008E014D"/>
    <w:rsid w:val="008E3B1C"/>
    <w:rsid w:val="008E3BEA"/>
    <w:rsid w:val="008E430D"/>
    <w:rsid w:val="008F0D25"/>
    <w:rsid w:val="008F0E77"/>
    <w:rsid w:val="008F1106"/>
    <w:rsid w:val="008F13FF"/>
    <w:rsid w:val="008F1AF1"/>
    <w:rsid w:val="008F2928"/>
    <w:rsid w:val="008F4E34"/>
    <w:rsid w:val="008F565F"/>
    <w:rsid w:val="00900867"/>
    <w:rsid w:val="00900F49"/>
    <w:rsid w:val="0090280A"/>
    <w:rsid w:val="00904587"/>
    <w:rsid w:val="00905061"/>
    <w:rsid w:val="00906A28"/>
    <w:rsid w:val="00912A67"/>
    <w:rsid w:val="009163E0"/>
    <w:rsid w:val="00916863"/>
    <w:rsid w:val="00917EC4"/>
    <w:rsid w:val="00922CA6"/>
    <w:rsid w:val="009246C0"/>
    <w:rsid w:val="00924748"/>
    <w:rsid w:val="00926006"/>
    <w:rsid w:val="00935AA1"/>
    <w:rsid w:val="00935ACB"/>
    <w:rsid w:val="00936749"/>
    <w:rsid w:val="00937474"/>
    <w:rsid w:val="009423E5"/>
    <w:rsid w:val="00942A69"/>
    <w:rsid w:val="00942AF6"/>
    <w:rsid w:val="00943C5B"/>
    <w:rsid w:val="0094570F"/>
    <w:rsid w:val="00947934"/>
    <w:rsid w:val="009509B1"/>
    <w:rsid w:val="00951F01"/>
    <w:rsid w:val="009534F1"/>
    <w:rsid w:val="00960085"/>
    <w:rsid w:val="00960931"/>
    <w:rsid w:val="009616BC"/>
    <w:rsid w:val="00962F37"/>
    <w:rsid w:val="0096362F"/>
    <w:rsid w:val="00963851"/>
    <w:rsid w:val="00964873"/>
    <w:rsid w:val="00964BF6"/>
    <w:rsid w:val="00966797"/>
    <w:rsid w:val="009704B7"/>
    <w:rsid w:val="0097357A"/>
    <w:rsid w:val="0097443E"/>
    <w:rsid w:val="0097553D"/>
    <w:rsid w:val="0098553D"/>
    <w:rsid w:val="00986BAA"/>
    <w:rsid w:val="00986BBB"/>
    <w:rsid w:val="009878B0"/>
    <w:rsid w:val="00992326"/>
    <w:rsid w:val="00993F13"/>
    <w:rsid w:val="0099556A"/>
    <w:rsid w:val="00996F4F"/>
    <w:rsid w:val="009A0393"/>
    <w:rsid w:val="009A1F76"/>
    <w:rsid w:val="009A4241"/>
    <w:rsid w:val="009A564D"/>
    <w:rsid w:val="009A5776"/>
    <w:rsid w:val="009A6040"/>
    <w:rsid w:val="009A6EC0"/>
    <w:rsid w:val="009A6FCE"/>
    <w:rsid w:val="009A7FE7"/>
    <w:rsid w:val="009B2B7E"/>
    <w:rsid w:val="009C3828"/>
    <w:rsid w:val="009C6B43"/>
    <w:rsid w:val="009C6F09"/>
    <w:rsid w:val="009C6F7A"/>
    <w:rsid w:val="009D3531"/>
    <w:rsid w:val="009D4799"/>
    <w:rsid w:val="009D50F0"/>
    <w:rsid w:val="009D5CA7"/>
    <w:rsid w:val="009D60C8"/>
    <w:rsid w:val="009E0C58"/>
    <w:rsid w:val="009E1EF3"/>
    <w:rsid w:val="009E1FE5"/>
    <w:rsid w:val="009E283A"/>
    <w:rsid w:val="009E4F85"/>
    <w:rsid w:val="009E76E8"/>
    <w:rsid w:val="009E7C8E"/>
    <w:rsid w:val="009E7FB9"/>
    <w:rsid w:val="009F0C45"/>
    <w:rsid w:val="009F1388"/>
    <w:rsid w:val="009F2A06"/>
    <w:rsid w:val="009F4E71"/>
    <w:rsid w:val="009F6BC2"/>
    <w:rsid w:val="009F6F04"/>
    <w:rsid w:val="009F709A"/>
    <w:rsid w:val="00A0528A"/>
    <w:rsid w:val="00A059A8"/>
    <w:rsid w:val="00A1426C"/>
    <w:rsid w:val="00A17499"/>
    <w:rsid w:val="00A20420"/>
    <w:rsid w:val="00A207EE"/>
    <w:rsid w:val="00A21642"/>
    <w:rsid w:val="00A2288C"/>
    <w:rsid w:val="00A23686"/>
    <w:rsid w:val="00A2461F"/>
    <w:rsid w:val="00A25CA1"/>
    <w:rsid w:val="00A30206"/>
    <w:rsid w:val="00A30D3D"/>
    <w:rsid w:val="00A31672"/>
    <w:rsid w:val="00A33128"/>
    <w:rsid w:val="00A34314"/>
    <w:rsid w:val="00A35DA2"/>
    <w:rsid w:val="00A35DE7"/>
    <w:rsid w:val="00A41461"/>
    <w:rsid w:val="00A443CA"/>
    <w:rsid w:val="00A5152C"/>
    <w:rsid w:val="00A541DC"/>
    <w:rsid w:val="00A5429D"/>
    <w:rsid w:val="00A575C8"/>
    <w:rsid w:val="00A6089E"/>
    <w:rsid w:val="00A63677"/>
    <w:rsid w:val="00A647A2"/>
    <w:rsid w:val="00A64D1E"/>
    <w:rsid w:val="00A64F66"/>
    <w:rsid w:val="00A67A5C"/>
    <w:rsid w:val="00A70130"/>
    <w:rsid w:val="00A70F4D"/>
    <w:rsid w:val="00A72113"/>
    <w:rsid w:val="00A74C8A"/>
    <w:rsid w:val="00A74F08"/>
    <w:rsid w:val="00A75F6A"/>
    <w:rsid w:val="00A771D1"/>
    <w:rsid w:val="00A7740F"/>
    <w:rsid w:val="00A847F9"/>
    <w:rsid w:val="00A87953"/>
    <w:rsid w:val="00A90F86"/>
    <w:rsid w:val="00A93DB8"/>
    <w:rsid w:val="00A97AA8"/>
    <w:rsid w:val="00AA1A73"/>
    <w:rsid w:val="00AA2059"/>
    <w:rsid w:val="00AA4D79"/>
    <w:rsid w:val="00AA56E3"/>
    <w:rsid w:val="00AA63F5"/>
    <w:rsid w:val="00AA7196"/>
    <w:rsid w:val="00AA7C9E"/>
    <w:rsid w:val="00AB025B"/>
    <w:rsid w:val="00AB4156"/>
    <w:rsid w:val="00AB554D"/>
    <w:rsid w:val="00AB6F8C"/>
    <w:rsid w:val="00AC220A"/>
    <w:rsid w:val="00AC4BFB"/>
    <w:rsid w:val="00AC74EE"/>
    <w:rsid w:val="00AD040D"/>
    <w:rsid w:val="00AD180C"/>
    <w:rsid w:val="00AD48C2"/>
    <w:rsid w:val="00AD605D"/>
    <w:rsid w:val="00AD6AEA"/>
    <w:rsid w:val="00AD7138"/>
    <w:rsid w:val="00AD736D"/>
    <w:rsid w:val="00AE2D8C"/>
    <w:rsid w:val="00AE2F89"/>
    <w:rsid w:val="00AE406D"/>
    <w:rsid w:val="00AE40C5"/>
    <w:rsid w:val="00AE5DA2"/>
    <w:rsid w:val="00AF1EC6"/>
    <w:rsid w:val="00AF23FB"/>
    <w:rsid w:val="00AF3FFE"/>
    <w:rsid w:val="00AF5716"/>
    <w:rsid w:val="00B010AB"/>
    <w:rsid w:val="00B01176"/>
    <w:rsid w:val="00B01883"/>
    <w:rsid w:val="00B026CB"/>
    <w:rsid w:val="00B03267"/>
    <w:rsid w:val="00B05F3A"/>
    <w:rsid w:val="00B06DE0"/>
    <w:rsid w:val="00B20998"/>
    <w:rsid w:val="00B23CB2"/>
    <w:rsid w:val="00B23EDC"/>
    <w:rsid w:val="00B26EE3"/>
    <w:rsid w:val="00B34A34"/>
    <w:rsid w:val="00B35811"/>
    <w:rsid w:val="00B35BB1"/>
    <w:rsid w:val="00B40F95"/>
    <w:rsid w:val="00B4526F"/>
    <w:rsid w:val="00B53EE7"/>
    <w:rsid w:val="00B54E61"/>
    <w:rsid w:val="00B55203"/>
    <w:rsid w:val="00B566C7"/>
    <w:rsid w:val="00B61D43"/>
    <w:rsid w:val="00B62B32"/>
    <w:rsid w:val="00B634F8"/>
    <w:rsid w:val="00B66094"/>
    <w:rsid w:val="00B66B5A"/>
    <w:rsid w:val="00B677BB"/>
    <w:rsid w:val="00B7055F"/>
    <w:rsid w:val="00B733B1"/>
    <w:rsid w:val="00B804A4"/>
    <w:rsid w:val="00B818B0"/>
    <w:rsid w:val="00B8533C"/>
    <w:rsid w:val="00B9452A"/>
    <w:rsid w:val="00B94FAD"/>
    <w:rsid w:val="00B96C52"/>
    <w:rsid w:val="00B9718F"/>
    <w:rsid w:val="00B97BDA"/>
    <w:rsid w:val="00BA0992"/>
    <w:rsid w:val="00BA0EDA"/>
    <w:rsid w:val="00BA11A3"/>
    <w:rsid w:val="00BA336A"/>
    <w:rsid w:val="00BA4F0B"/>
    <w:rsid w:val="00BA532A"/>
    <w:rsid w:val="00BA550D"/>
    <w:rsid w:val="00BA78D9"/>
    <w:rsid w:val="00BB2EDF"/>
    <w:rsid w:val="00BB76F3"/>
    <w:rsid w:val="00BC3586"/>
    <w:rsid w:val="00BC4E57"/>
    <w:rsid w:val="00BD1E1E"/>
    <w:rsid w:val="00BD29C7"/>
    <w:rsid w:val="00BD2BDF"/>
    <w:rsid w:val="00BD56F7"/>
    <w:rsid w:val="00BE0FC2"/>
    <w:rsid w:val="00BE1794"/>
    <w:rsid w:val="00BE1DE3"/>
    <w:rsid w:val="00BE20C0"/>
    <w:rsid w:val="00BE218F"/>
    <w:rsid w:val="00BE27EA"/>
    <w:rsid w:val="00BE2EA5"/>
    <w:rsid w:val="00BE454D"/>
    <w:rsid w:val="00BE54AB"/>
    <w:rsid w:val="00BE7AA4"/>
    <w:rsid w:val="00BF0301"/>
    <w:rsid w:val="00BF0B6E"/>
    <w:rsid w:val="00BF49B2"/>
    <w:rsid w:val="00BF5983"/>
    <w:rsid w:val="00BF5E44"/>
    <w:rsid w:val="00C01FEF"/>
    <w:rsid w:val="00C07984"/>
    <w:rsid w:val="00C10AF6"/>
    <w:rsid w:val="00C13FFA"/>
    <w:rsid w:val="00C1475A"/>
    <w:rsid w:val="00C151B4"/>
    <w:rsid w:val="00C206BB"/>
    <w:rsid w:val="00C20DC0"/>
    <w:rsid w:val="00C20ED5"/>
    <w:rsid w:val="00C2166C"/>
    <w:rsid w:val="00C22DC6"/>
    <w:rsid w:val="00C22DE3"/>
    <w:rsid w:val="00C252B4"/>
    <w:rsid w:val="00C253DA"/>
    <w:rsid w:val="00C268C6"/>
    <w:rsid w:val="00C273A3"/>
    <w:rsid w:val="00C301D5"/>
    <w:rsid w:val="00C34877"/>
    <w:rsid w:val="00C40503"/>
    <w:rsid w:val="00C40D55"/>
    <w:rsid w:val="00C45F76"/>
    <w:rsid w:val="00C46FC5"/>
    <w:rsid w:val="00C47504"/>
    <w:rsid w:val="00C50433"/>
    <w:rsid w:val="00C5137C"/>
    <w:rsid w:val="00C5653C"/>
    <w:rsid w:val="00C56D33"/>
    <w:rsid w:val="00C60D67"/>
    <w:rsid w:val="00C62533"/>
    <w:rsid w:val="00C67916"/>
    <w:rsid w:val="00C67D71"/>
    <w:rsid w:val="00C67EBD"/>
    <w:rsid w:val="00C7127C"/>
    <w:rsid w:val="00C741FF"/>
    <w:rsid w:val="00C77158"/>
    <w:rsid w:val="00C80400"/>
    <w:rsid w:val="00C8097B"/>
    <w:rsid w:val="00C82E02"/>
    <w:rsid w:val="00C83D20"/>
    <w:rsid w:val="00C86BC5"/>
    <w:rsid w:val="00C905D1"/>
    <w:rsid w:val="00C9187F"/>
    <w:rsid w:val="00C933AE"/>
    <w:rsid w:val="00C93789"/>
    <w:rsid w:val="00CA3C82"/>
    <w:rsid w:val="00CA3F0D"/>
    <w:rsid w:val="00CA5C86"/>
    <w:rsid w:val="00CA7083"/>
    <w:rsid w:val="00CA7740"/>
    <w:rsid w:val="00CB08C8"/>
    <w:rsid w:val="00CB4AFF"/>
    <w:rsid w:val="00CB5794"/>
    <w:rsid w:val="00CB7378"/>
    <w:rsid w:val="00CC0DF5"/>
    <w:rsid w:val="00CC1ADD"/>
    <w:rsid w:val="00CC1ECB"/>
    <w:rsid w:val="00CC3B6C"/>
    <w:rsid w:val="00CC4C02"/>
    <w:rsid w:val="00CC5788"/>
    <w:rsid w:val="00CD01E7"/>
    <w:rsid w:val="00CD1C70"/>
    <w:rsid w:val="00CD22E4"/>
    <w:rsid w:val="00CD7281"/>
    <w:rsid w:val="00CE0105"/>
    <w:rsid w:val="00CE1C88"/>
    <w:rsid w:val="00CE2CD3"/>
    <w:rsid w:val="00CE57F5"/>
    <w:rsid w:val="00CE6820"/>
    <w:rsid w:val="00CE76E1"/>
    <w:rsid w:val="00CF0B9A"/>
    <w:rsid w:val="00CF384B"/>
    <w:rsid w:val="00CF5572"/>
    <w:rsid w:val="00CF6A18"/>
    <w:rsid w:val="00D0062F"/>
    <w:rsid w:val="00D02ACD"/>
    <w:rsid w:val="00D04E02"/>
    <w:rsid w:val="00D1191D"/>
    <w:rsid w:val="00D1214B"/>
    <w:rsid w:val="00D152F7"/>
    <w:rsid w:val="00D15678"/>
    <w:rsid w:val="00D15721"/>
    <w:rsid w:val="00D1668D"/>
    <w:rsid w:val="00D21931"/>
    <w:rsid w:val="00D21BD2"/>
    <w:rsid w:val="00D25A16"/>
    <w:rsid w:val="00D25DD2"/>
    <w:rsid w:val="00D309F8"/>
    <w:rsid w:val="00D31D4C"/>
    <w:rsid w:val="00D33CEA"/>
    <w:rsid w:val="00D33E76"/>
    <w:rsid w:val="00D34CA6"/>
    <w:rsid w:val="00D36175"/>
    <w:rsid w:val="00D3654A"/>
    <w:rsid w:val="00D36E63"/>
    <w:rsid w:val="00D3716D"/>
    <w:rsid w:val="00D37AF7"/>
    <w:rsid w:val="00D51302"/>
    <w:rsid w:val="00D52237"/>
    <w:rsid w:val="00D52BA3"/>
    <w:rsid w:val="00D52E18"/>
    <w:rsid w:val="00D553FB"/>
    <w:rsid w:val="00D55713"/>
    <w:rsid w:val="00D576CA"/>
    <w:rsid w:val="00D61703"/>
    <w:rsid w:val="00D63F78"/>
    <w:rsid w:val="00D6657E"/>
    <w:rsid w:val="00D668F7"/>
    <w:rsid w:val="00D677BC"/>
    <w:rsid w:val="00D71E40"/>
    <w:rsid w:val="00D72BB2"/>
    <w:rsid w:val="00D75461"/>
    <w:rsid w:val="00D80513"/>
    <w:rsid w:val="00D80F0E"/>
    <w:rsid w:val="00D83DE5"/>
    <w:rsid w:val="00D840DD"/>
    <w:rsid w:val="00D84322"/>
    <w:rsid w:val="00D84F69"/>
    <w:rsid w:val="00D8521D"/>
    <w:rsid w:val="00D866C9"/>
    <w:rsid w:val="00D90708"/>
    <w:rsid w:val="00D914B6"/>
    <w:rsid w:val="00D93E0F"/>
    <w:rsid w:val="00D947E3"/>
    <w:rsid w:val="00D95142"/>
    <w:rsid w:val="00D957EE"/>
    <w:rsid w:val="00D95A45"/>
    <w:rsid w:val="00D96321"/>
    <w:rsid w:val="00DA040C"/>
    <w:rsid w:val="00DA15F3"/>
    <w:rsid w:val="00DA2C51"/>
    <w:rsid w:val="00DA799B"/>
    <w:rsid w:val="00DB04F1"/>
    <w:rsid w:val="00DB0BAA"/>
    <w:rsid w:val="00DB0E0D"/>
    <w:rsid w:val="00DB275A"/>
    <w:rsid w:val="00DB4E9D"/>
    <w:rsid w:val="00DB719D"/>
    <w:rsid w:val="00DB7601"/>
    <w:rsid w:val="00DC063B"/>
    <w:rsid w:val="00DC07DE"/>
    <w:rsid w:val="00DC0A4B"/>
    <w:rsid w:val="00DC2555"/>
    <w:rsid w:val="00DC56A2"/>
    <w:rsid w:val="00DC7246"/>
    <w:rsid w:val="00DD2A64"/>
    <w:rsid w:val="00DD3587"/>
    <w:rsid w:val="00DD382C"/>
    <w:rsid w:val="00DD3EF0"/>
    <w:rsid w:val="00DD3FA8"/>
    <w:rsid w:val="00DD5171"/>
    <w:rsid w:val="00DE1060"/>
    <w:rsid w:val="00DE1085"/>
    <w:rsid w:val="00DE19B7"/>
    <w:rsid w:val="00DE41BC"/>
    <w:rsid w:val="00DE4D32"/>
    <w:rsid w:val="00DE4FB2"/>
    <w:rsid w:val="00DE5431"/>
    <w:rsid w:val="00DE59C8"/>
    <w:rsid w:val="00DE793E"/>
    <w:rsid w:val="00DF156E"/>
    <w:rsid w:val="00DF3714"/>
    <w:rsid w:val="00DF4414"/>
    <w:rsid w:val="00DF6551"/>
    <w:rsid w:val="00E001CC"/>
    <w:rsid w:val="00E02E18"/>
    <w:rsid w:val="00E06FF9"/>
    <w:rsid w:val="00E11066"/>
    <w:rsid w:val="00E16CCF"/>
    <w:rsid w:val="00E16FB6"/>
    <w:rsid w:val="00E2108C"/>
    <w:rsid w:val="00E24DDC"/>
    <w:rsid w:val="00E271CA"/>
    <w:rsid w:val="00E302A8"/>
    <w:rsid w:val="00E31440"/>
    <w:rsid w:val="00E3346F"/>
    <w:rsid w:val="00E339EE"/>
    <w:rsid w:val="00E33BE3"/>
    <w:rsid w:val="00E36F01"/>
    <w:rsid w:val="00E41E05"/>
    <w:rsid w:val="00E45769"/>
    <w:rsid w:val="00E50FED"/>
    <w:rsid w:val="00E52389"/>
    <w:rsid w:val="00E5261F"/>
    <w:rsid w:val="00E5287C"/>
    <w:rsid w:val="00E52BD4"/>
    <w:rsid w:val="00E5343D"/>
    <w:rsid w:val="00E53E11"/>
    <w:rsid w:val="00E54329"/>
    <w:rsid w:val="00E559BD"/>
    <w:rsid w:val="00E57713"/>
    <w:rsid w:val="00E6341E"/>
    <w:rsid w:val="00E63787"/>
    <w:rsid w:val="00E704EA"/>
    <w:rsid w:val="00E72B90"/>
    <w:rsid w:val="00E739BF"/>
    <w:rsid w:val="00E7593F"/>
    <w:rsid w:val="00E7640B"/>
    <w:rsid w:val="00E771BA"/>
    <w:rsid w:val="00E77224"/>
    <w:rsid w:val="00E82B36"/>
    <w:rsid w:val="00E82CAE"/>
    <w:rsid w:val="00E84597"/>
    <w:rsid w:val="00E84806"/>
    <w:rsid w:val="00E85479"/>
    <w:rsid w:val="00E854ED"/>
    <w:rsid w:val="00E85504"/>
    <w:rsid w:val="00E87D0B"/>
    <w:rsid w:val="00E90BB8"/>
    <w:rsid w:val="00E90FD6"/>
    <w:rsid w:val="00E92D39"/>
    <w:rsid w:val="00E97670"/>
    <w:rsid w:val="00EA0B9C"/>
    <w:rsid w:val="00EA0DCA"/>
    <w:rsid w:val="00EA1E74"/>
    <w:rsid w:val="00EA1ECD"/>
    <w:rsid w:val="00EB1F89"/>
    <w:rsid w:val="00EB443F"/>
    <w:rsid w:val="00EB4536"/>
    <w:rsid w:val="00EB558B"/>
    <w:rsid w:val="00EB5975"/>
    <w:rsid w:val="00EB6970"/>
    <w:rsid w:val="00EB77D5"/>
    <w:rsid w:val="00EC37B8"/>
    <w:rsid w:val="00EC4486"/>
    <w:rsid w:val="00EC4FB6"/>
    <w:rsid w:val="00EC6435"/>
    <w:rsid w:val="00ED0C71"/>
    <w:rsid w:val="00ED0CC7"/>
    <w:rsid w:val="00ED2ED8"/>
    <w:rsid w:val="00EE003B"/>
    <w:rsid w:val="00EE0663"/>
    <w:rsid w:val="00EE0A15"/>
    <w:rsid w:val="00EE211E"/>
    <w:rsid w:val="00EE230A"/>
    <w:rsid w:val="00EE2BD7"/>
    <w:rsid w:val="00EE68A4"/>
    <w:rsid w:val="00EE79E4"/>
    <w:rsid w:val="00EE7CDE"/>
    <w:rsid w:val="00EF10E5"/>
    <w:rsid w:val="00EF3315"/>
    <w:rsid w:val="00EF485C"/>
    <w:rsid w:val="00EF4FC8"/>
    <w:rsid w:val="00EF5053"/>
    <w:rsid w:val="00EF583C"/>
    <w:rsid w:val="00EF5CDF"/>
    <w:rsid w:val="00EF7494"/>
    <w:rsid w:val="00F0306D"/>
    <w:rsid w:val="00F03932"/>
    <w:rsid w:val="00F066A2"/>
    <w:rsid w:val="00F10076"/>
    <w:rsid w:val="00F10348"/>
    <w:rsid w:val="00F113D8"/>
    <w:rsid w:val="00F13363"/>
    <w:rsid w:val="00F1517A"/>
    <w:rsid w:val="00F15E3A"/>
    <w:rsid w:val="00F15F70"/>
    <w:rsid w:val="00F163B6"/>
    <w:rsid w:val="00F163E4"/>
    <w:rsid w:val="00F20635"/>
    <w:rsid w:val="00F23FC8"/>
    <w:rsid w:val="00F26709"/>
    <w:rsid w:val="00F2690D"/>
    <w:rsid w:val="00F27381"/>
    <w:rsid w:val="00F3104E"/>
    <w:rsid w:val="00F31786"/>
    <w:rsid w:val="00F32858"/>
    <w:rsid w:val="00F33597"/>
    <w:rsid w:val="00F338EB"/>
    <w:rsid w:val="00F40F30"/>
    <w:rsid w:val="00F415BA"/>
    <w:rsid w:val="00F41A1E"/>
    <w:rsid w:val="00F42CA7"/>
    <w:rsid w:val="00F44CEF"/>
    <w:rsid w:val="00F45305"/>
    <w:rsid w:val="00F46B6C"/>
    <w:rsid w:val="00F5157C"/>
    <w:rsid w:val="00F52111"/>
    <w:rsid w:val="00F521A8"/>
    <w:rsid w:val="00F525E3"/>
    <w:rsid w:val="00F52B95"/>
    <w:rsid w:val="00F536B0"/>
    <w:rsid w:val="00F60F98"/>
    <w:rsid w:val="00F61467"/>
    <w:rsid w:val="00F61CB0"/>
    <w:rsid w:val="00F64023"/>
    <w:rsid w:val="00F651D5"/>
    <w:rsid w:val="00F652F5"/>
    <w:rsid w:val="00F674F8"/>
    <w:rsid w:val="00F67E3C"/>
    <w:rsid w:val="00F73F3C"/>
    <w:rsid w:val="00F74ABB"/>
    <w:rsid w:val="00F74AC2"/>
    <w:rsid w:val="00F759C9"/>
    <w:rsid w:val="00F815A8"/>
    <w:rsid w:val="00F851FB"/>
    <w:rsid w:val="00F8631B"/>
    <w:rsid w:val="00F91E7F"/>
    <w:rsid w:val="00F9511D"/>
    <w:rsid w:val="00F96498"/>
    <w:rsid w:val="00F96F1E"/>
    <w:rsid w:val="00FA1118"/>
    <w:rsid w:val="00FA2900"/>
    <w:rsid w:val="00FA6064"/>
    <w:rsid w:val="00FA6264"/>
    <w:rsid w:val="00FA6531"/>
    <w:rsid w:val="00FA6821"/>
    <w:rsid w:val="00FB2E96"/>
    <w:rsid w:val="00FB44A7"/>
    <w:rsid w:val="00FB52BA"/>
    <w:rsid w:val="00FB65B0"/>
    <w:rsid w:val="00FC169B"/>
    <w:rsid w:val="00FC194B"/>
    <w:rsid w:val="00FC2086"/>
    <w:rsid w:val="00FC2100"/>
    <w:rsid w:val="00FC3769"/>
    <w:rsid w:val="00FC4400"/>
    <w:rsid w:val="00FC4B8A"/>
    <w:rsid w:val="00FC716D"/>
    <w:rsid w:val="00FC7CBF"/>
    <w:rsid w:val="00FD056D"/>
    <w:rsid w:val="00FD1A8B"/>
    <w:rsid w:val="00FD406B"/>
    <w:rsid w:val="00FD5989"/>
    <w:rsid w:val="00FD725A"/>
    <w:rsid w:val="00FE1542"/>
    <w:rsid w:val="00FE1746"/>
    <w:rsid w:val="00FE4965"/>
    <w:rsid w:val="00FE57AE"/>
    <w:rsid w:val="00FE6BA7"/>
    <w:rsid w:val="00FE7C03"/>
    <w:rsid w:val="00FF056E"/>
    <w:rsid w:val="00FF5DCE"/>
    <w:rsid w:val="00FF6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F3B3"/>
  <w15:chartTrackingRefBased/>
  <w15:docId w15:val="{2035E8C4-1BB6-44A1-BA11-90EB082C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ZA"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4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F1B"/>
    <w:rPr>
      <w:sz w:val="20"/>
      <w:szCs w:val="20"/>
    </w:rPr>
  </w:style>
  <w:style w:type="character" w:styleId="FootnoteReference">
    <w:name w:val="footnote reference"/>
    <w:basedOn w:val="DefaultParagraphFont"/>
    <w:uiPriority w:val="99"/>
    <w:semiHidden/>
    <w:unhideWhenUsed/>
    <w:rsid w:val="00494F1B"/>
    <w:rPr>
      <w:vertAlign w:val="superscript"/>
    </w:rPr>
  </w:style>
  <w:style w:type="character" w:styleId="Hyperlink">
    <w:name w:val="Hyperlink"/>
    <w:basedOn w:val="DefaultParagraphFont"/>
    <w:uiPriority w:val="99"/>
    <w:semiHidden/>
    <w:unhideWhenUsed/>
    <w:rsid w:val="00494F1B"/>
    <w:rPr>
      <w:color w:val="0000FF"/>
      <w:u w:val="single"/>
    </w:rPr>
  </w:style>
  <w:style w:type="paragraph" w:styleId="Header">
    <w:name w:val="header"/>
    <w:basedOn w:val="Normal"/>
    <w:link w:val="HeaderChar"/>
    <w:uiPriority w:val="99"/>
    <w:unhideWhenUsed/>
    <w:rsid w:val="004C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20F"/>
  </w:style>
  <w:style w:type="paragraph" w:styleId="Footer">
    <w:name w:val="footer"/>
    <w:basedOn w:val="Normal"/>
    <w:link w:val="FooterChar"/>
    <w:uiPriority w:val="99"/>
    <w:unhideWhenUsed/>
    <w:rsid w:val="004C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20F"/>
  </w:style>
  <w:style w:type="paragraph" w:styleId="ListParagraph">
    <w:name w:val="List Paragraph"/>
    <w:basedOn w:val="Normal"/>
    <w:uiPriority w:val="34"/>
    <w:qFormat/>
    <w:rsid w:val="00822154"/>
    <w:pPr>
      <w:ind w:left="720"/>
      <w:contextualSpacing/>
    </w:pPr>
  </w:style>
  <w:style w:type="paragraph" w:customStyle="1" w:styleId="Default">
    <w:name w:val="Default"/>
    <w:rsid w:val="00665AD6"/>
    <w:pPr>
      <w:autoSpaceDE w:val="0"/>
      <w:autoSpaceDN w:val="0"/>
      <w:adjustRightInd w:val="0"/>
      <w:spacing w:after="0" w:line="240" w:lineRule="auto"/>
      <w:jc w:val="left"/>
    </w:pPr>
    <w:rPr>
      <w:rFonts w:ascii="Arial" w:hAnsi="Arial" w:cs="Arial"/>
      <w:color w:val="000000"/>
      <w:sz w:val="24"/>
      <w:szCs w:val="24"/>
    </w:rPr>
  </w:style>
  <w:style w:type="character" w:customStyle="1" w:styleId="mc">
    <w:name w:val="mc"/>
    <w:basedOn w:val="DefaultParagraphFont"/>
    <w:rsid w:val="00BE20C0"/>
  </w:style>
  <w:style w:type="character" w:customStyle="1" w:styleId="g1">
    <w:name w:val="g1"/>
    <w:basedOn w:val="DefaultParagraphFont"/>
    <w:rsid w:val="0072666F"/>
  </w:style>
  <w:style w:type="paragraph" w:styleId="BalloonText">
    <w:name w:val="Balloon Text"/>
    <w:basedOn w:val="Normal"/>
    <w:link w:val="BalloonTextChar"/>
    <w:uiPriority w:val="99"/>
    <w:semiHidden/>
    <w:unhideWhenUsed/>
    <w:rsid w:val="00F67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7183">
      <w:bodyDiv w:val="1"/>
      <w:marLeft w:val="0"/>
      <w:marRight w:val="0"/>
      <w:marTop w:val="0"/>
      <w:marBottom w:val="0"/>
      <w:divBdr>
        <w:top w:val="none" w:sz="0" w:space="0" w:color="auto"/>
        <w:left w:val="none" w:sz="0" w:space="0" w:color="auto"/>
        <w:bottom w:val="none" w:sz="0" w:space="0" w:color="auto"/>
        <w:right w:val="none" w:sz="0" w:space="0" w:color="auto"/>
      </w:divBdr>
    </w:div>
    <w:div w:id="419789671">
      <w:bodyDiv w:val="1"/>
      <w:marLeft w:val="0"/>
      <w:marRight w:val="0"/>
      <w:marTop w:val="0"/>
      <w:marBottom w:val="0"/>
      <w:divBdr>
        <w:top w:val="none" w:sz="0" w:space="0" w:color="auto"/>
        <w:left w:val="none" w:sz="0" w:space="0" w:color="auto"/>
        <w:bottom w:val="none" w:sz="0" w:space="0" w:color="auto"/>
        <w:right w:val="none" w:sz="0" w:space="0" w:color="auto"/>
      </w:divBdr>
      <w:divsChild>
        <w:div w:id="671690064">
          <w:marLeft w:val="0"/>
          <w:marRight w:val="0"/>
          <w:marTop w:val="0"/>
          <w:marBottom w:val="0"/>
          <w:divBdr>
            <w:top w:val="none" w:sz="0" w:space="0" w:color="auto"/>
            <w:left w:val="none" w:sz="0" w:space="0" w:color="auto"/>
            <w:bottom w:val="none" w:sz="0" w:space="0" w:color="auto"/>
            <w:right w:val="none" w:sz="0" w:space="0" w:color="auto"/>
          </w:divBdr>
        </w:div>
        <w:div w:id="1623415755">
          <w:marLeft w:val="0"/>
          <w:marRight w:val="0"/>
          <w:marTop w:val="0"/>
          <w:marBottom w:val="0"/>
          <w:divBdr>
            <w:top w:val="none" w:sz="0" w:space="0" w:color="auto"/>
            <w:left w:val="none" w:sz="0" w:space="0" w:color="auto"/>
            <w:bottom w:val="none" w:sz="0" w:space="0" w:color="auto"/>
            <w:right w:val="none" w:sz="0" w:space="0" w:color="auto"/>
          </w:divBdr>
        </w:div>
      </w:divsChild>
    </w:div>
    <w:div w:id="901141759">
      <w:bodyDiv w:val="1"/>
      <w:marLeft w:val="0"/>
      <w:marRight w:val="0"/>
      <w:marTop w:val="0"/>
      <w:marBottom w:val="0"/>
      <w:divBdr>
        <w:top w:val="none" w:sz="0" w:space="0" w:color="auto"/>
        <w:left w:val="none" w:sz="0" w:space="0" w:color="auto"/>
        <w:bottom w:val="none" w:sz="0" w:space="0" w:color="auto"/>
        <w:right w:val="none" w:sz="0" w:space="0" w:color="auto"/>
      </w:divBdr>
    </w:div>
    <w:div w:id="910040370">
      <w:bodyDiv w:val="1"/>
      <w:marLeft w:val="0"/>
      <w:marRight w:val="0"/>
      <w:marTop w:val="0"/>
      <w:marBottom w:val="0"/>
      <w:divBdr>
        <w:top w:val="none" w:sz="0" w:space="0" w:color="auto"/>
        <w:left w:val="none" w:sz="0" w:space="0" w:color="auto"/>
        <w:bottom w:val="none" w:sz="0" w:space="0" w:color="auto"/>
        <w:right w:val="none" w:sz="0" w:space="0" w:color="auto"/>
      </w:divBdr>
      <w:divsChild>
        <w:div w:id="2045860719">
          <w:marLeft w:val="0"/>
          <w:marRight w:val="0"/>
          <w:marTop w:val="0"/>
          <w:marBottom w:val="0"/>
          <w:divBdr>
            <w:top w:val="none" w:sz="0" w:space="0" w:color="auto"/>
            <w:left w:val="none" w:sz="0" w:space="0" w:color="auto"/>
            <w:bottom w:val="none" w:sz="0" w:space="0" w:color="auto"/>
            <w:right w:val="none" w:sz="0" w:space="0" w:color="auto"/>
          </w:divBdr>
        </w:div>
        <w:div w:id="1294796323">
          <w:marLeft w:val="0"/>
          <w:marRight w:val="0"/>
          <w:marTop w:val="0"/>
          <w:marBottom w:val="0"/>
          <w:divBdr>
            <w:top w:val="none" w:sz="0" w:space="0" w:color="auto"/>
            <w:left w:val="none" w:sz="0" w:space="0" w:color="auto"/>
            <w:bottom w:val="none" w:sz="0" w:space="0" w:color="auto"/>
            <w:right w:val="none" w:sz="0" w:space="0" w:color="auto"/>
          </w:divBdr>
        </w:div>
        <w:div w:id="1927688475">
          <w:marLeft w:val="0"/>
          <w:marRight w:val="0"/>
          <w:marTop w:val="0"/>
          <w:marBottom w:val="0"/>
          <w:divBdr>
            <w:top w:val="none" w:sz="0" w:space="0" w:color="auto"/>
            <w:left w:val="none" w:sz="0" w:space="0" w:color="auto"/>
            <w:bottom w:val="none" w:sz="0" w:space="0" w:color="auto"/>
            <w:right w:val="none" w:sz="0" w:space="0" w:color="auto"/>
          </w:divBdr>
        </w:div>
        <w:div w:id="2116124442">
          <w:marLeft w:val="0"/>
          <w:marRight w:val="0"/>
          <w:marTop w:val="0"/>
          <w:marBottom w:val="0"/>
          <w:divBdr>
            <w:top w:val="none" w:sz="0" w:space="0" w:color="auto"/>
            <w:left w:val="none" w:sz="0" w:space="0" w:color="auto"/>
            <w:bottom w:val="none" w:sz="0" w:space="0" w:color="auto"/>
            <w:right w:val="none" w:sz="0" w:space="0" w:color="auto"/>
          </w:divBdr>
        </w:div>
      </w:divsChild>
    </w:div>
    <w:div w:id="1433207304">
      <w:bodyDiv w:val="1"/>
      <w:marLeft w:val="0"/>
      <w:marRight w:val="0"/>
      <w:marTop w:val="0"/>
      <w:marBottom w:val="0"/>
      <w:divBdr>
        <w:top w:val="none" w:sz="0" w:space="0" w:color="auto"/>
        <w:left w:val="none" w:sz="0" w:space="0" w:color="auto"/>
        <w:bottom w:val="none" w:sz="0" w:space="0" w:color="auto"/>
        <w:right w:val="none" w:sz="0" w:space="0" w:color="auto"/>
      </w:divBdr>
    </w:div>
    <w:div w:id="21069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SCPR_y1993v3SApg176'%5d&amp;xhitlist_md=target-id=0-0-0-3801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SCPR_y1977v2SApg506'%5d&amp;xhitlist_md=target-id=0-0-0-50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A7A9-5AA7-4211-8995-C9D80AD8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111</Pages>
  <Words>24642</Words>
  <Characters>140462</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Griffiths</dc:creator>
  <cp:keywords/>
  <dc:description/>
  <cp:lastModifiedBy>Mary Bruce</cp:lastModifiedBy>
  <cp:revision>7</cp:revision>
  <cp:lastPrinted>2023-02-06T09:11:00Z</cp:lastPrinted>
  <dcterms:created xsi:type="dcterms:W3CDTF">2023-02-09T06:02:00Z</dcterms:created>
  <dcterms:modified xsi:type="dcterms:W3CDTF">2023-02-27T10:20:00Z</dcterms:modified>
</cp:coreProperties>
</file>