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61FFD" w14:textId="510AA709" w:rsidR="00AE1608" w:rsidRDefault="00AE1608" w:rsidP="00AE1608">
      <w:pPr>
        <w:spacing w:line="480" w:lineRule="auto"/>
        <w:jc w:val="center"/>
        <w:rPr>
          <w:rFonts w:ascii="Arial" w:hAnsi="Arial" w:cs="Arial"/>
          <w:b/>
          <w:sz w:val="24"/>
          <w:szCs w:val="24"/>
        </w:rPr>
      </w:pPr>
      <w:bookmarkStart w:id="0" w:name="_GoBack"/>
      <w:bookmarkEnd w:id="0"/>
      <w:r>
        <w:rPr>
          <w:rFonts w:ascii="Arial" w:hAnsi="Arial" w:cs="Arial"/>
          <w:b/>
          <w:noProof/>
          <w:sz w:val="24"/>
          <w:szCs w:val="24"/>
          <w:lang w:eastAsia="en-ZA"/>
        </w:rPr>
        <w:drawing>
          <wp:inline distT="0" distB="0" distL="0" distR="0" wp14:anchorId="2BEC89A9" wp14:editId="2C69E29D">
            <wp:extent cx="1987550" cy="1652270"/>
            <wp:effectExtent l="0" t="0" r="0" b="5080"/>
            <wp:docPr id="4" name="Picture 4" descr="A logo of a cou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ogo of a cou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0" cy="1652270"/>
                    </a:xfrm>
                    <a:prstGeom prst="rect">
                      <a:avLst/>
                    </a:prstGeom>
                    <a:noFill/>
                  </pic:spPr>
                </pic:pic>
              </a:graphicData>
            </a:graphic>
          </wp:inline>
        </w:drawing>
      </w:r>
      <w:r>
        <w:rPr>
          <w:noProof/>
          <w:lang w:eastAsia="en-ZA"/>
        </w:rPr>
        <mc:AlternateContent>
          <mc:Choice Requires="wps">
            <w:drawing>
              <wp:inline distT="0" distB="0" distL="0" distR="0" wp14:anchorId="4146D13D" wp14:editId="05E22DFB">
                <wp:extent cx="301625" cy="301625"/>
                <wp:effectExtent l="0" t="0" r="0" b="0"/>
                <wp:docPr id="1370497217"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wps:spPr>
                      <wps:bodyPr rot="0" vert="horz" wrap="square" lIns="91440" tIns="45720" rIns="91440" bIns="45720" anchor="t" anchorCtr="0" upright="1">
                        <a:noAutofit/>
                      </wps:bodyPr>
                    </wps:ws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169FFF5" id="Rectangle 2"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2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7n14srKTS3jnGaoKrnjwNSfG9gECmoJTK7DK52jxSnq89X0iwPD67v8wP3/rcCY6ZKJp/4JrdQ&#10;tYHmwNwRJpOwqTnoAH9KMbJBakk/tgqNFP0Hz/u/my+XyVE5WV69WXCCl53NZUd5zVC1jFJM4V2c&#10;XLgN6NouyzxxvGXNrMv7nFkdybIJsiJHwyaXXeb51vm3Wv8C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DDm7k20gEAAJ4DAAAO&#10;AAAAAAAAAAAAAAAAAC4CAABkcnMvZTJvRG9jLnhtbFBLAQItABQABgAIAAAAIQBoNpdo2gAAAAMB&#10;AAAPAAAAAAAAAAAAAAAAACwEAABkcnMvZG93bnJldi54bWxQSwUGAAAAAAQABADzAAAAMwUAAAAA&#10;" filled="f" stroked="f">
                <o:lock v:ext="edit" aspectratio="t"/>
                <w10:anchorlock/>
              </v:rect>
            </w:pict>
          </mc:Fallback>
        </mc:AlternateContent>
      </w:r>
      <w:r>
        <w:rPr>
          <w:noProof/>
          <w:lang w:eastAsia="en-ZA"/>
        </w:rPr>
        <mc:AlternateContent>
          <mc:Choice Requires="wps">
            <w:drawing>
              <wp:inline distT="0" distB="0" distL="0" distR="0" wp14:anchorId="1E249ADA" wp14:editId="01BBE73A">
                <wp:extent cx="301625" cy="301625"/>
                <wp:effectExtent l="0" t="0" r="0" b="0"/>
                <wp:docPr id="49275714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wps:spPr>
                      <wps:bodyPr rot="0" vert="horz" wrap="square" lIns="91440" tIns="45720" rIns="91440" bIns="45720" anchor="t" anchorCtr="0" upright="1">
                        <a:noAutofit/>
                      </wps:bodyPr>
                    </wps:ws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3717A1D" id="Rectangle 1"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2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7n14srKTS3jnGaoKrnjwNSfG9gECmoJTK7DK52jxSnq89X0iwPD67v8wP3/rcCY6ZKJp/4JrdQ&#10;tYHmwNwRJpOwqTnoAH9KMbJBakk/tgqNFP0Hz/u/my+XyVE5WV69WXCCl53NZUd5zVC1jFJM4V2c&#10;XLgN6NouyzxxvGXNrMv7nFkdybIJsiJHwyaXXeb51vm3Wv8C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DDm7k20gEAAJ4DAAAO&#10;AAAAAAAAAAAAAAAAAC4CAABkcnMvZTJvRG9jLnhtbFBLAQItABQABgAIAAAAIQBoNpdo2gAAAAMB&#10;AAAPAAAAAAAAAAAAAAAAACwEAABkcnMvZG93bnJldi54bWxQSwUGAAAAAAQABADzAAAAMwUAAAAA&#10;" filled="f" stroked="f">
                <o:lock v:ext="edit" aspectratio="t"/>
                <w10:anchorlock/>
              </v:rect>
            </w:pict>
          </mc:Fallback>
        </mc:AlternateContent>
      </w:r>
    </w:p>
    <w:p w14:paraId="69F0AA70" w14:textId="77777777" w:rsidR="007873D9" w:rsidRPr="002322FF" w:rsidRDefault="007873D9" w:rsidP="007873D9">
      <w:pPr>
        <w:ind w:right="-613"/>
        <w:rPr>
          <w:rFonts w:ascii="Arial" w:hAnsi="Arial" w:cs="Arial"/>
          <w:b/>
          <w:sz w:val="24"/>
          <w:szCs w:val="24"/>
        </w:rPr>
      </w:pPr>
      <w:r>
        <w:rPr>
          <w:rFonts w:ascii="Arial" w:hAnsi="Arial" w:cs="Arial"/>
          <w:b/>
          <w:sz w:val="24"/>
          <w:szCs w:val="24"/>
        </w:rPr>
        <w:t xml:space="preserve">                                 </w:t>
      </w:r>
      <w:r w:rsidRPr="002322FF">
        <w:rPr>
          <w:rFonts w:ascii="Arial" w:hAnsi="Arial" w:cs="Arial"/>
          <w:b/>
          <w:sz w:val="24"/>
          <w:szCs w:val="24"/>
        </w:rPr>
        <w:t>IN THE HIGH COURT OF SOUTH AFRICA</w:t>
      </w:r>
      <w:r>
        <w:rPr>
          <w:rFonts w:ascii="Arial" w:hAnsi="Arial" w:cs="Arial"/>
          <w:b/>
          <w:sz w:val="24"/>
          <w:szCs w:val="24"/>
        </w:rPr>
        <w:t xml:space="preserve">            </w:t>
      </w:r>
      <w:r w:rsidRPr="001C7088">
        <w:rPr>
          <w:rFonts w:ascii="Times New Roman" w:hAnsi="Times New Roman" w:cs="Times New Roman"/>
          <w:b/>
          <w:sz w:val="28"/>
          <w:szCs w:val="28"/>
          <w:bdr w:val="single" w:sz="4" w:space="0" w:color="auto"/>
          <w:lang w:val="en-GB"/>
        </w:rPr>
        <w:t>REPORTABLE</w:t>
      </w:r>
    </w:p>
    <w:p w14:paraId="2D86E7DD" w14:textId="77777777" w:rsidR="00AE1608" w:rsidRPr="002322FF" w:rsidRDefault="00AE1608" w:rsidP="00AE1608">
      <w:pPr>
        <w:spacing w:after="0" w:line="360" w:lineRule="auto"/>
        <w:jc w:val="center"/>
        <w:rPr>
          <w:rFonts w:ascii="Arial" w:hAnsi="Arial" w:cs="Arial"/>
          <w:b/>
          <w:sz w:val="24"/>
          <w:szCs w:val="24"/>
        </w:rPr>
      </w:pPr>
      <w:r w:rsidRPr="002322FF">
        <w:rPr>
          <w:rFonts w:ascii="Arial" w:hAnsi="Arial" w:cs="Arial"/>
          <w:b/>
          <w:sz w:val="24"/>
          <w:szCs w:val="24"/>
        </w:rPr>
        <w:t xml:space="preserve">(EASTERN CAPE DIVISION, </w:t>
      </w:r>
      <w:r>
        <w:rPr>
          <w:rFonts w:ascii="Arial" w:hAnsi="Arial" w:cs="Arial"/>
          <w:b/>
          <w:sz w:val="24"/>
          <w:szCs w:val="24"/>
        </w:rPr>
        <w:t>BHISHO</w:t>
      </w:r>
      <w:r w:rsidRPr="002322FF">
        <w:rPr>
          <w:rFonts w:ascii="Arial" w:hAnsi="Arial" w:cs="Arial"/>
          <w:b/>
          <w:sz w:val="24"/>
          <w:szCs w:val="24"/>
        </w:rPr>
        <w:t>)</w:t>
      </w:r>
    </w:p>
    <w:p w14:paraId="2B79D68A" w14:textId="77777777" w:rsidR="00AE1608" w:rsidRDefault="00AE1608" w:rsidP="00AE1608">
      <w:pPr>
        <w:pStyle w:val="GW11"/>
        <w:tabs>
          <w:tab w:val="clear" w:pos="6048"/>
          <w:tab w:val="left" w:pos="4820"/>
          <w:tab w:val="left" w:pos="9071"/>
        </w:tabs>
        <w:spacing w:line="240" w:lineRule="auto"/>
        <w:ind w:right="-45"/>
        <w:jc w:val="right"/>
        <w:rPr>
          <w:rFonts w:ascii="Arial" w:hAnsi="Arial" w:cs="Arial"/>
          <w:szCs w:val="24"/>
        </w:rPr>
      </w:pPr>
      <w:r w:rsidRPr="005E0A83">
        <w:rPr>
          <w:rFonts w:ascii="Arial" w:hAnsi="Arial" w:cs="Arial"/>
          <w:szCs w:val="24"/>
        </w:rPr>
        <w:tab/>
      </w:r>
      <w:r w:rsidRPr="005E0A83">
        <w:rPr>
          <w:rFonts w:ascii="Arial" w:hAnsi="Arial" w:cs="Arial"/>
          <w:szCs w:val="24"/>
        </w:rPr>
        <w:tab/>
      </w:r>
      <w:r w:rsidRPr="005E0A83">
        <w:rPr>
          <w:rFonts w:ascii="Arial" w:hAnsi="Arial" w:cs="Arial"/>
          <w:szCs w:val="24"/>
        </w:rPr>
        <w:tab/>
        <w:t xml:space="preserve">     </w:t>
      </w:r>
    </w:p>
    <w:p w14:paraId="7C282A05" w14:textId="7812A21E" w:rsidR="00AE1608" w:rsidRPr="005E0A83" w:rsidRDefault="00AE1608" w:rsidP="00AE1608">
      <w:pPr>
        <w:pStyle w:val="GW11"/>
        <w:tabs>
          <w:tab w:val="clear" w:pos="6048"/>
          <w:tab w:val="left" w:pos="4820"/>
          <w:tab w:val="left" w:pos="9071"/>
        </w:tabs>
        <w:spacing w:line="240" w:lineRule="auto"/>
        <w:ind w:right="-45"/>
        <w:jc w:val="right"/>
        <w:rPr>
          <w:rFonts w:ascii="Arial" w:hAnsi="Arial" w:cs="Arial"/>
          <w:szCs w:val="24"/>
        </w:rPr>
      </w:pPr>
      <w:r w:rsidRPr="005E0A83">
        <w:rPr>
          <w:rFonts w:ascii="Arial" w:hAnsi="Arial" w:cs="Arial"/>
          <w:szCs w:val="24"/>
        </w:rPr>
        <w:t xml:space="preserve">Case No. </w:t>
      </w:r>
      <w:r>
        <w:rPr>
          <w:rFonts w:ascii="Arial" w:hAnsi="Arial" w:cs="Arial"/>
          <w:szCs w:val="24"/>
        </w:rPr>
        <w:t>482/2022</w:t>
      </w:r>
    </w:p>
    <w:p w14:paraId="2BE1035E" w14:textId="77777777" w:rsidR="00AE1608" w:rsidRPr="005E0A83" w:rsidRDefault="00AE1608" w:rsidP="00AE1608">
      <w:pPr>
        <w:pStyle w:val="GW11"/>
        <w:tabs>
          <w:tab w:val="clear" w:pos="4464"/>
          <w:tab w:val="clear" w:pos="6048"/>
          <w:tab w:val="left" w:pos="4820"/>
          <w:tab w:val="left" w:pos="5103"/>
          <w:tab w:val="left" w:pos="9071"/>
        </w:tabs>
        <w:ind w:left="720" w:right="-45"/>
        <w:jc w:val="left"/>
        <w:rPr>
          <w:rFonts w:ascii="Arial" w:hAnsi="Arial" w:cs="Arial"/>
          <w:szCs w:val="24"/>
        </w:rPr>
      </w:pPr>
      <w:r w:rsidRPr="005E0A83">
        <w:rPr>
          <w:rFonts w:ascii="Arial" w:hAnsi="Arial" w:cs="Arial"/>
          <w:szCs w:val="24"/>
        </w:rPr>
        <w:tab/>
      </w:r>
      <w:r w:rsidRPr="005E0A83">
        <w:rPr>
          <w:rFonts w:ascii="Arial" w:hAnsi="Arial" w:cs="Arial"/>
          <w:szCs w:val="24"/>
        </w:rPr>
        <w:tab/>
      </w:r>
      <w:r w:rsidRPr="005E0A83">
        <w:rPr>
          <w:rFonts w:ascii="Arial" w:hAnsi="Arial" w:cs="Arial"/>
          <w:szCs w:val="24"/>
        </w:rPr>
        <w:tab/>
      </w:r>
    </w:p>
    <w:p w14:paraId="724B093C" w14:textId="77777777" w:rsidR="00AE1608" w:rsidRPr="005E0A83" w:rsidRDefault="00AE1608" w:rsidP="00AE1608">
      <w:pPr>
        <w:pStyle w:val="GW11"/>
        <w:tabs>
          <w:tab w:val="clear" w:pos="4464"/>
          <w:tab w:val="clear" w:pos="6048"/>
          <w:tab w:val="left" w:pos="4820"/>
          <w:tab w:val="left" w:pos="5103"/>
          <w:tab w:val="left" w:pos="9071"/>
        </w:tabs>
        <w:ind w:right="-45"/>
        <w:jc w:val="left"/>
        <w:rPr>
          <w:rFonts w:ascii="Arial" w:hAnsi="Arial" w:cs="Arial"/>
          <w:szCs w:val="24"/>
        </w:rPr>
      </w:pPr>
      <w:r w:rsidRPr="005E0A83">
        <w:rPr>
          <w:rFonts w:ascii="Arial" w:hAnsi="Arial" w:cs="Arial"/>
          <w:szCs w:val="24"/>
        </w:rPr>
        <w:t>In the matter between:-</w:t>
      </w:r>
    </w:p>
    <w:p w14:paraId="43AE25B4" w14:textId="77777777" w:rsidR="00AE1608" w:rsidRPr="005E0A83" w:rsidRDefault="00AE1608" w:rsidP="00AE1608">
      <w:pPr>
        <w:pStyle w:val="GW11"/>
        <w:rPr>
          <w:rFonts w:ascii="Arial" w:hAnsi="Arial" w:cs="Arial"/>
          <w:szCs w:val="24"/>
        </w:rPr>
      </w:pPr>
    </w:p>
    <w:p w14:paraId="0AE93B3E" w14:textId="38809E3A" w:rsidR="00AE1608" w:rsidRDefault="002E7625" w:rsidP="00AE1608">
      <w:pPr>
        <w:pStyle w:val="GW12"/>
        <w:tabs>
          <w:tab w:val="clear" w:pos="6048"/>
          <w:tab w:val="clear" w:pos="8640"/>
          <w:tab w:val="left" w:pos="4820"/>
          <w:tab w:val="right" w:pos="8931"/>
        </w:tabs>
        <w:ind w:right="-46"/>
        <w:jc w:val="left"/>
        <w:rPr>
          <w:rFonts w:ascii="Arial" w:hAnsi="Arial" w:cs="Arial"/>
          <w:b/>
          <w:szCs w:val="24"/>
        </w:rPr>
      </w:pPr>
      <w:r>
        <w:rPr>
          <w:rFonts w:ascii="Arial" w:hAnsi="Arial" w:cs="Arial"/>
          <w:b/>
          <w:szCs w:val="24"/>
        </w:rPr>
        <w:t>ANDILE GATTERY HARRY</w:t>
      </w:r>
      <w:r w:rsidR="00AE1608">
        <w:rPr>
          <w:rFonts w:ascii="Arial" w:hAnsi="Arial" w:cs="Arial"/>
          <w:b/>
          <w:szCs w:val="24"/>
        </w:rPr>
        <w:t xml:space="preserve">                                                               </w:t>
      </w:r>
      <w:r w:rsidR="00AE1608">
        <w:rPr>
          <w:rFonts w:ascii="Arial" w:hAnsi="Arial" w:cs="Arial"/>
          <w:bCs/>
          <w:szCs w:val="24"/>
        </w:rPr>
        <w:t>Applicant</w:t>
      </w:r>
      <w:r>
        <w:rPr>
          <w:rFonts w:ascii="Arial" w:hAnsi="Arial" w:cs="Arial"/>
          <w:bCs/>
          <w:szCs w:val="24"/>
        </w:rPr>
        <w:t>/Plaintiff</w:t>
      </w:r>
    </w:p>
    <w:p w14:paraId="30926CA0" w14:textId="77777777" w:rsidR="00AE1608" w:rsidRDefault="00AE1608" w:rsidP="00AE1608">
      <w:pPr>
        <w:pStyle w:val="GW12"/>
        <w:tabs>
          <w:tab w:val="clear" w:pos="6048"/>
          <w:tab w:val="clear" w:pos="8640"/>
          <w:tab w:val="left" w:pos="4820"/>
          <w:tab w:val="right" w:pos="8931"/>
        </w:tabs>
        <w:ind w:right="-46"/>
        <w:jc w:val="left"/>
        <w:rPr>
          <w:rFonts w:ascii="Arial" w:hAnsi="Arial" w:cs="Arial"/>
          <w:b/>
          <w:szCs w:val="24"/>
        </w:rPr>
      </w:pPr>
    </w:p>
    <w:p w14:paraId="7C5E0B51" w14:textId="77777777" w:rsidR="00AE1608" w:rsidRPr="000E7F54" w:rsidRDefault="00AE1608" w:rsidP="00AE1608">
      <w:pPr>
        <w:pStyle w:val="GW12"/>
        <w:tabs>
          <w:tab w:val="clear" w:pos="6048"/>
          <w:tab w:val="clear" w:pos="8640"/>
          <w:tab w:val="left" w:pos="4820"/>
          <w:tab w:val="right" w:pos="8931"/>
        </w:tabs>
        <w:ind w:right="-46"/>
        <w:jc w:val="left"/>
        <w:rPr>
          <w:rFonts w:ascii="Arial" w:hAnsi="Arial" w:cs="Arial"/>
          <w:bCs/>
          <w:szCs w:val="24"/>
        </w:rPr>
      </w:pPr>
      <w:r w:rsidRPr="000E7F54">
        <w:rPr>
          <w:rFonts w:ascii="Arial" w:hAnsi="Arial" w:cs="Arial"/>
          <w:bCs/>
          <w:szCs w:val="24"/>
        </w:rPr>
        <w:t>and</w:t>
      </w:r>
    </w:p>
    <w:p w14:paraId="3EE5106C" w14:textId="77777777" w:rsidR="00AE1608" w:rsidRDefault="00AE1608" w:rsidP="00AE1608">
      <w:pPr>
        <w:pStyle w:val="GW12"/>
        <w:tabs>
          <w:tab w:val="clear" w:pos="6048"/>
          <w:tab w:val="clear" w:pos="8640"/>
          <w:tab w:val="left" w:pos="4820"/>
          <w:tab w:val="right" w:pos="8931"/>
        </w:tabs>
        <w:ind w:right="-46"/>
        <w:jc w:val="left"/>
        <w:rPr>
          <w:rFonts w:ascii="Arial" w:hAnsi="Arial" w:cs="Arial"/>
          <w:b/>
          <w:szCs w:val="24"/>
        </w:rPr>
      </w:pPr>
    </w:p>
    <w:p w14:paraId="74B3CB95" w14:textId="32D23290" w:rsidR="00AE1608" w:rsidRDefault="002E7625" w:rsidP="00AE1608">
      <w:pPr>
        <w:pStyle w:val="GW12"/>
        <w:tabs>
          <w:tab w:val="clear" w:pos="6048"/>
          <w:tab w:val="clear" w:pos="8640"/>
          <w:tab w:val="left" w:pos="4820"/>
          <w:tab w:val="right" w:pos="8931"/>
        </w:tabs>
        <w:ind w:right="-46"/>
        <w:jc w:val="left"/>
        <w:rPr>
          <w:rFonts w:ascii="Arial" w:hAnsi="Arial" w:cs="Arial"/>
          <w:bCs/>
          <w:szCs w:val="24"/>
        </w:rPr>
      </w:pPr>
      <w:r>
        <w:rPr>
          <w:rFonts w:ascii="Arial" w:hAnsi="Arial" w:cs="Arial"/>
          <w:b/>
          <w:szCs w:val="24"/>
        </w:rPr>
        <w:t>DETECTIVE NOZUKO BOOI</w:t>
      </w:r>
      <w:r w:rsidR="00AE1608">
        <w:rPr>
          <w:rFonts w:ascii="Arial" w:hAnsi="Arial" w:cs="Arial"/>
          <w:b/>
          <w:szCs w:val="24"/>
        </w:rPr>
        <w:tab/>
      </w:r>
      <w:r w:rsidR="00AE1608">
        <w:rPr>
          <w:rFonts w:ascii="Arial" w:hAnsi="Arial" w:cs="Arial"/>
          <w:b/>
          <w:szCs w:val="24"/>
        </w:rPr>
        <w:tab/>
        <w:t xml:space="preserve"> </w:t>
      </w:r>
      <w:r>
        <w:rPr>
          <w:rFonts w:ascii="Arial" w:hAnsi="Arial" w:cs="Arial"/>
          <w:b/>
          <w:szCs w:val="24"/>
        </w:rPr>
        <w:t xml:space="preserve">         </w:t>
      </w:r>
      <w:r w:rsidRPr="002E7625">
        <w:rPr>
          <w:rFonts w:ascii="Arial" w:hAnsi="Arial" w:cs="Arial"/>
          <w:bCs/>
          <w:szCs w:val="24"/>
        </w:rPr>
        <w:t xml:space="preserve">First </w:t>
      </w:r>
      <w:r w:rsidR="00AE1608">
        <w:rPr>
          <w:rFonts w:ascii="Arial" w:hAnsi="Arial" w:cs="Arial"/>
          <w:bCs/>
          <w:szCs w:val="24"/>
        </w:rPr>
        <w:t>Respondent</w:t>
      </w:r>
      <w:r>
        <w:rPr>
          <w:rFonts w:ascii="Arial" w:hAnsi="Arial" w:cs="Arial"/>
          <w:bCs/>
          <w:szCs w:val="24"/>
        </w:rPr>
        <w:t>/First Defendant</w:t>
      </w:r>
    </w:p>
    <w:p w14:paraId="77D316B7" w14:textId="77777777" w:rsidR="002E7625" w:rsidRDefault="002E7625" w:rsidP="00AE1608">
      <w:pPr>
        <w:pStyle w:val="GW12"/>
        <w:tabs>
          <w:tab w:val="clear" w:pos="6048"/>
          <w:tab w:val="clear" w:pos="8640"/>
          <w:tab w:val="left" w:pos="4820"/>
          <w:tab w:val="right" w:pos="8931"/>
        </w:tabs>
        <w:ind w:right="-46"/>
        <w:jc w:val="left"/>
        <w:rPr>
          <w:rFonts w:ascii="Arial" w:hAnsi="Arial" w:cs="Arial"/>
          <w:bCs/>
          <w:szCs w:val="24"/>
        </w:rPr>
      </w:pPr>
    </w:p>
    <w:p w14:paraId="4D689DE0" w14:textId="2087D30E" w:rsidR="002E7625" w:rsidRPr="002E7625" w:rsidRDefault="002E7625" w:rsidP="00AE1608">
      <w:pPr>
        <w:pStyle w:val="GW12"/>
        <w:tabs>
          <w:tab w:val="clear" w:pos="6048"/>
          <w:tab w:val="clear" w:pos="8640"/>
          <w:tab w:val="left" w:pos="4820"/>
          <w:tab w:val="right" w:pos="8931"/>
        </w:tabs>
        <w:ind w:right="-46"/>
        <w:jc w:val="left"/>
        <w:rPr>
          <w:rFonts w:ascii="Arial" w:hAnsi="Arial" w:cs="Arial"/>
          <w:bCs/>
          <w:szCs w:val="24"/>
        </w:rPr>
      </w:pPr>
      <w:r>
        <w:rPr>
          <w:rFonts w:ascii="Arial" w:hAnsi="Arial" w:cs="Arial"/>
          <w:b/>
          <w:szCs w:val="24"/>
        </w:rPr>
        <w:t>MINISTER OF POLICE</w:t>
      </w:r>
      <w:r>
        <w:rPr>
          <w:rFonts w:ascii="Arial" w:hAnsi="Arial" w:cs="Arial"/>
          <w:b/>
          <w:szCs w:val="24"/>
        </w:rPr>
        <w:tab/>
      </w:r>
      <w:r>
        <w:rPr>
          <w:rFonts w:ascii="Arial" w:hAnsi="Arial" w:cs="Arial"/>
          <w:b/>
          <w:szCs w:val="24"/>
        </w:rPr>
        <w:tab/>
        <w:t xml:space="preserve">    </w:t>
      </w:r>
      <w:r w:rsidRPr="002E7625">
        <w:rPr>
          <w:rFonts w:ascii="Arial" w:hAnsi="Arial" w:cs="Arial"/>
          <w:bCs/>
          <w:szCs w:val="24"/>
        </w:rPr>
        <w:t xml:space="preserve"> Second </w:t>
      </w:r>
      <w:r>
        <w:rPr>
          <w:rFonts w:ascii="Arial" w:hAnsi="Arial" w:cs="Arial"/>
          <w:bCs/>
          <w:szCs w:val="24"/>
        </w:rPr>
        <w:t>Respondent/Second Defendant</w:t>
      </w:r>
    </w:p>
    <w:p w14:paraId="309616DB" w14:textId="77777777" w:rsidR="00AE1608" w:rsidRPr="005E0A83" w:rsidRDefault="00AE1608" w:rsidP="00AE1608">
      <w:pPr>
        <w:pStyle w:val="GW12"/>
        <w:tabs>
          <w:tab w:val="clear" w:pos="6048"/>
          <w:tab w:val="clear" w:pos="8640"/>
          <w:tab w:val="right" w:pos="9072"/>
        </w:tabs>
        <w:spacing w:line="240" w:lineRule="auto"/>
        <w:ind w:right="-46"/>
        <w:rPr>
          <w:rFonts w:ascii="Arial" w:hAnsi="Arial" w:cs="Arial"/>
          <w:b/>
          <w:szCs w:val="24"/>
          <w:u w:val="single"/>
        </w:rPr>
      </w:pPr>
      <w:r w:rsidRPr="005E0A83">
        <w:rPr>
          <w:rFonts w:ascii="Arial" w:hAnsi="Arial" w:cs="Arial"/>
          <w:b/>
          <w:szCs w:val="24"/>
          <w:u w:val="single"/>
        </w:rPr>
        <w:t>___________________________________________________________________</w:t>
      </w:r>
    </w:p>
    <w:p w14:paraId="08F78FA0" w14:textId="77777777" w:rsidR="00AE1608" w:rsidRPr="005E0A83" w:rsidRDefault="00AE1608" w:rsidP="00AE1608">
      <w:pPr>
        <w:pStyle w:val="GW13"/>
        <w:tabs>
          <w:tab w:val="clear" w:pos="8640"/>
        </w:tabs>
        <w:spacing w:line="240" w:lineRule="auto"/>
        <w:ind w:right="-45"/>
        <w:jc w:val="center"/>
        <w:rPr>
          <w:rFonts w:ascii="Arial" w:hAnsi="Arial" w:cs="Arial"/>
          <w:b/>
          <w:szCs w:val="24"/>
        </w:rPr>
      </w:pPr>
    </w:p>
    <w:p w14:paraId="1C4DAC38" w14:textId="77777777" w:rsidR="00AE1608" w:rsidRPr="005E0A83" w:rsidRDefault="00AE1608" w:rsidP="00AE1608">
      <w:pPr>
        <w:pStyle w:val="GW13"/>
        <w:tabs>
          <w:tab w:val="clear" w:pos="8640"/>
          <w:tab w:val="right" w:pos="9072"/>
        </w:tabs>
        <w:spacing w:line="240" w:lineRule="auto"/>
        <w:ind w:right="-45"/>
        <w:jc w:val="center"/>
        <w:rPr>
          <w:rFonts w:ascii="Arial" w:hAnsi="Arial" w:cs="Arial"/>
          <w:b/>
          <w:szCs w:val="24"/>
        </w:rPr>
      </w:pPr>
      <w:r w:rsidRPr="005E0A83">
        <w:rPr>
          <w:rFonts w:ascii="Arial" w:hAnsi="Arial" w:cs="Arial"/>
          <w:b/>
          <w:szCs w:val="24"/>
        </w:rPr>
        <w:t>JUDGMENT</w:t>
      </w:r>
    </w:p>
    <w:p w14:paraId="6AD49192" w14:textId="77777777" w:rsidR="00AE1608" w:rsidRPr="005E0A83" w:rsidRDefault="00AE1608" w:rsidP="00AE1608">
      <w:pPr>
        <w:pStyle w:val="GW13"/>
        <w:tabs>
          <w:tab w:val="clear" w:pos="8640"/>
          <w:tab w:val="right" w:pos="9072"/>
        </w:tabs>
        <w:spacing w:line="240" w:lineRule="auto"/>
        <w:ind w:right="-45"/>
        <w:jc w:val="center"/>
        <w:rPr>
          <w:rFonts w:ascii="Arial" w:hAnsi="Arial" w:cs="Arial"/>
          <w:b/>
          <w:szCs w:val="24"/>
        </w:rPr>
      </w:pPr>
      <w:r w:rsidRPr="005E0A83">
        <w:rPr>
          <w:rFonts w:ascii="Arial" w:hAnsi="Arial" w:cs="Arial"/>
          <w:b/>
          <w:szCs w:val="24"/>
        </w:rPr>
        <w:t>___________________________________________________________________</w:t>
      </w:r>
    </w:p>
    <w:p w14:paraId="77E174D6" w14:textId="77777777" w:rsidR="00AE1608" w:rsidRPr="005E0A83" w:rsidRDefault="00AE1608" w:rsidP="00AE1608">
      <w:pPr>
        <w:pStyle w:val="GW13"/>
        <w:tabs>
          <w:tab w:val="clear" w:pos="8640"/>
          <w:tab w:val="right" w:pos="9072"/>
        </w:tabs>
        <w:spacing w:line="480" w:lineRule="auto"/>
        <w:ind w:right="-46"/>
        <w:rPr>
          <w:rFonts w:ascii="Arial" w:hAnsi="Arial" w:cs="Arial"/>
          <w:b/>
          <w:szCs w:val="24"/>
        </w:rPr>
      </w:pPr>
    </w:p>
    <w:p w14:paraId="1F4C3E0A" w14:textId="77777777" w:rsidR="00AE1608" w:rsidRDefault="00AE1608" w:rsidP="00AE1608">
      <w:pPr>
        <w:pStyle w:val="GW13"/>
        <w:tabs>
          <w:tab w:val="clear" w:pos="8640"/>
          <w:tab w:val="right" w:pos="9072"/>
        </w:tabs>
        <w:spacing w:line="480" w:lineRule="auto"/>
        <w:ind w:right="-46"/>
        <w:rPr>
          <w:rFonts w:ascii="Arial" w:hAnsi="Arial" w:cs="Arial"/>
          <w:b/>
          <w:szCs w:val="24"/>
        </w:rPr>
      </w:pPr>
      <w:r w:rsidRPr="005E0A83">
        <w:rPr>
          <w:rFonts w:ascii="Arial" w:hAnsi="Arial" w:cs="Arial"/>
          <w:b/>
          <w:szCs w:val="24"/>
        </w:rPr>
        <w:t>BANDS J:</w:t>
      </w:r>
    </w:p>
    <w:p w14:paraId="4AF4C8B1" w14:textId="77777777" w:rsidR="00AE1608" w:rsidRPr="00E33814" w:rsidRDefault="00AE1608" w:rsidP="00AE1608">
      <w:pPr>
        <w:spacing w:after="0" w:line="480" w:lineRule="auto"/>
        <w:jc w:val="both"/>
        <w:rPr>
          <w:rFonts w:ascii="Arial" w:hAnsi="Arial" w:cs="Arial"/>
          <w:sz w:val="24"/>
          <w:szCs w:val="24"/>
        </w:rPr>
      </w:pPr>
    </w:p>
    <w:p w14:paraId="47EBFD47" w14:textId="7ABDE9CC" w:rsidR="0086399E" w:rsidRPr="00EB10F3" w:rsidRDefault="00EB10F3" w:rsidP="00EB10F3">
      <w:pPr>
        <w:spacing w:after="0" w:line="480" w:lineRule="auto"/>
        <w:jc w:val="both"/>
        <w:rPr>
          <w:rFonts w:ascii="Arial" w:hAnsi="Arial" w:cs="Arial"/>
          <w:sz w:val="24"/>
          <w:szCs w:val="24"/>
        </w:rPr>
      </w:pPr>
      <w:r>
        <w:rPr>
          <w:rFonts w:ascii="Arial" w:eastAsia="Times New Roman" w:hAnsi="Arial" w:cs="Arial"/>
          <w:sz w:val="24"/>
          <w:szCs w:val="24"/>
        </w:rPr>
        <w:t>[1]</w:t>
      </w:r>
      <w:r>
        <w:rPr>
          <w:rFonts w:ascii="Arial" w:eastAsia="Times New Roman" w:hAnsi="Arial" w:cs="Arial"/>
          <w:sz w:val="24"/>
          <w:szCs w:val="24"/>
        </w:rPr>
        <w:tab/>
      </w:r>
      <w:r w:rsidR="0086399E" w:rsidRPr="00EB10F3">
        <w:rPr>
          <w:rFonts w:ascii="Arial" w:hAnsi="Arial" w:cs="Arial"/>
          <w:sz w:val="24"/>
          <w:szCs w:val="24"/>
        </w:rPr>
        <w:t xml:space="preserve">The applicant, as plaintiff, </w:t>
      </w:r>
      <w:r w:rsidR="00B25517" w:rsidRPr="00EB10F3">
        <w:rPr>
          <w:rFonts w:ascii="Arial" w:hAnsi="Arial" w:cs="Arial"/>
          <w:sz w:val="24"/>
          <w:szCs w:val="24"/>
        </w:rPr>
        <w:t>sued the first and second respondents</w:t>
      </w:r>
      <w:r w:rsidR="00CD4F91" w:rsidRPr="00EB10F3">
        <w:rPr>
          <w:rFonts w:ascii="Arial" w:hAnsi="Arial" w:cs="Arial"/>
          <w:sz w:val="24"/>
          <w:szCs w:val="24"/>
        </w:rPr>
        <w:t>,</w:t>
      </w:r>
      <w:r w:rsidR="00B25517" w:rsidRPr="00EB10F3">
        <w:rPr>
          <w:rFonts w:ascii="Arial" w:hAnsi="Arial" w:cs="Arial"/>
          <w:sz w:val="24"/>
          <w:szCs w:val="24"/>
        </w:rPr>
        <w:t xml:space="preserve"> as defendants</w:t>
      </w:r>
      <w:r w:rsidR="00CD4F91" w:rsidRPr="00EB10F3">
        <w:rPr>
          <w:rFonts w:ascii="Arial" w:hAnsi="Arial" w:cs="Arial"/>
          <w:sz w:val="24"/>
          <w:szCs w:val="24"/>
        </w:rPr>
        <w:t>,</w:t>
      </w:r>
      <w:r w:rsidR="00B25517" w:rsidRPr="00EB10F3">
        <w:rPr>
          <w:rFonts w:ascii="Arial" w:hAnsi="Arial" w:cs="Arial"/>
          <w:sz w:val="24"/>
          <w:szCs w:val="24"/>
        </w:rPr>
        <w:t xml:space="preserve"> for damages arising out of an alleged defamation,</w:t>
      </w:r>
      <w:r w:rsidR="0086399E" w:rsidRPr="00EB10F3">
        <w:rPr>
          <w:rFonts w:ascii="Arial" w:hAnsi="Arial" w:cs="Arial"/>
          <w:sz w:val="24"/>
          <w:szCs w:val="24"/>
        </w:rPr>
        <w:t xml:space="preserve"> contending that on or about 6 April 2022</w:t>
      </w:r>
      <w:r w:rsidR="00A1014F" w:rsidRPr="00EB10F3">
        <w:rPr>
          <w:rFonts w:ascii="Arial" w:hAnsi="Arial" w:cs="Arial"/>
          <w:sz w:val="24"/>
          <w:szCs w:val="24"/>
        </w:rPr>
        <w:t xml:space="preserve"> </w:t>
      </w:r>
      <w:r w:rsidR="0086399E" w:rsidRPr="00EB10F3">
        <w:rPr>
          <w:rFonts w:ascii="Arial" w:hAnsi="Arial" w:cs="Arial"/>
          <w:sz w:val="24"/>
          <w:szCs w:val="24"/>
        </w:rPr>
        <w:t>at the Boxer Superstore, Peddie, Eastern Cape</w:t>
      </w:r>
      <w:r w:rsidR="00863991" w:rsidRPr="00EB10F3">
        <w:rPr>
          <w:rFonts w:ascii="Arial" w:hAnsi="Arial" w:cs="Arial"/>
          <w:sz w:val="24"/>
          <w:szCs w:val="24"/>
        </w:rPr>
        <w:t>,</w:t>
      </w:r>
      <w:r w:rsidR="0086399E" w:rsidRPr="00EB10F3">
        <w:rPr>
          <w:rFonts w:ascii="Arial" w:hAnsi="Arial" w:cs="Arial"/>
          <w:sz w:val="24"/>
          <w:szCs w:val="24"/>
        </w:rPr>
        <w:t xml:space="preserve"> the </w:t>
      </w:r>
      <w:r w:rsidR="00863991" w:rsidRPr="00EB10F3">
        <w:rPr>
          <w:rFonts w:ascii="Arial" w:hAnsi="Arial" w:cs="Arial"/>
          <w:sz w:val="24"/>
          <w:szCs w:val="24"/>
        </w:rPr>
        <w:t>applicant</w:t>
      </w:r>
      <w:r w:rsidR="0086399E" w:rsidRPr="00EB10F3">
        <w:rPr>
          <w:rFonts w:ascii="Arial" w:hAnsi="Arial" w:cs="Arial"/>
          <w:sz w:val="24"/>
          <w:szCs w:val="24"/>
        </w:rPr>
        <w:t xml:space="preserve"> was wrongfully and maliciously defamed by the first </w:t>
      </w:r>
      <w:r w:rsidR="00863991" w:rsidRPr="00EB10F3">
        <w:rPr>
          <w:rFonts w:ascii="Arial" w:hAnsi="Arial" w:cs="Arial"/>
          <w:sz w:val="24"/>
          <w:szCs w:val="24"/>
        </w:rPr>
        <w:t>respondent</w:t>
      </w:r>
      <w:r w:rsidR="0086399E" w:rsidRPr="00EB10F3">
        <w:rPr>
          <w:rFonts w:ascii="Arial" w:hAnsi="Arial" w:cs="Arial"/>
          <w:sz w:val="24"/>
          <w:szCs w:val="24"/>
        </w:rPr>
        <w:t xml:space="preserve">, who at all relevant times </w:t>
      </w:r>
      <w:r w:rsidR="0086399E" w:rsidRPr="00EB10F3">
        <w:rPr>
          <w:rFonts w:ascii="Arial" w:hAnsi="Arial" w:cs="Arial"/>
          <w:sz w:val="24"/>
          <w:szCs w:val="24"/>
        </w:rPr>
        <w:lastRenderedPageBreak/>
        <w:t xml:space="preserve">was acting within the course and scope of her employment with the second </w:t>
      </w:r>
      <w:r w:rsidR="00863991" w:rsidRPr="00EB10F3">
        <w:rPr>
          <w:rFonts w:ascii="Arial" w:hAnsi="Arial" w:cs="Arial"/>
          <w:sz w:val="24"/>
          <w:szCs w:val="24"/>
        </w:rPr>
        <w:t>respondent</w:t>
      </w:r>
      <w:r w:rsidR="0086399E" w:rsidRPr="00EB10F3">
        <w:rPr>
          <w:rFonts w:ascii="Arial" w:hAnsi="Arial" w:cs="Arial"/>
          <w:sz w:val="24"/>
          <w:szCs w:val="24"/>
        </w:rPr>
        <w:t>.</w:t>
      </w:r>
    </w:p>
    <w:p w14:paraId="5904CE95" w14:textId="77777777" w:rsidR="00863991" w:rsidRDefault="00863991" w:rsidP="00863991">
      <w:pPr>
        <w:pStyle w:val="ListParagraph"/>
        <w:spacing w:after="0" w:line="480" w:lineRule="auto"/>
        <w:ind w:left="0"/>
        <w:jc w:val="both"/>
        <w:rPr>
          <w:rFonts w:ascii="Arial" w:hAnsi="Arial" w:cs="Arial"/>
          <w:sz w:val="24"/>
          <w:szCs w:val="24"/>
        </w:rPr>
      </w:pPr>
    </w:p>
    <w:p w14:paraId="63F269FC" w14:textId="156A992C" w:rsidR="0086399E" w:rsidRPr="00EB10F3" w:rsidRDefault="00EB10F3" w:rsidP="00EB10F3">
      <w:pPr>
        <w:spacing w:after="0" w:line="480" w:lineRule="auto"/>
        <w:jc w:val="both"/>
        <w:rPr>
          <w:rFonts w:ascii="Arial" w:hAnsi="Arial" w:cs="Arial"/>
          <w:sz w:val="24"/>
          <w:szCs w:val="24"/>
        </w:rPr>
      </w:pPr>
      <w:r>
        <w:rPr>
          <w:rFonts w:ascii="Arial" w:eastAsia="Times New Roman" w:hAnsi="Arial" w:cs="Arial"/>
          <w:sz w:val="24"/>
          <w:szCs w:val="24"/>
        </w:rPr>
        <w:t>[2]</w:t>
      </w:r>
      <w:r>
        <w:rPr>
          <w:rFonts w:ascii="Arial" w:eastAsia="Times New Roman" w:hAnsi="Arial" w:cs="Arial"/>
          <w:sz w:val="24"/>
          <w:szCs w:val="24"/>
        </w:rPr>
        <w:tab/>
      </w:r>
      <w:r w:rsidR="0086399E" w:rsidRPr="00EB10F3">
        <w:rPr>
          <w:rFonts w:ascii="Arial" w:hAnsi="Arial" w:cs="Arial"/>
          <w:sz w:val="24"/>
          <w:szCs w:val="24"/>
        </w:rPr>
        <w:t>The applicant, at paragraph 10 of h</w:t>
      </w:r>
      <w:r w:rsidR="00EC10F6" w:rsidRPr="00EB10F3">
        <w:rPr>
          <w:rFonts w:ascii="Arial" w:hAnsi="Arial" w:cs="Arial"/>
          <w:sz w:val="24"/>
          <w:szCs w:val="24"/>
        </w:rPr>
        <w:t>is</w:t>
      </w:r>
      <w:r w:rsidR="0086399E" w:rsidRPr="00EB10F3">
        <w:rPr>
          <w:rFonts w:ascii="Arial" w:hAnsi="Arial" w:cs="Arial"/>
          <w:sz w:val="24"/>
          <w:szCs w:val="24"/>
        </w:rPr>
        <w:t xml:space="preserve"> particulars of claim,</w:t>
      </w:r>
      <w:r w:rsidR="00EC10F6" w:rsidRPr="00EB10F3">
        <w:rPr>
          <w:rFonts w:ascii="Arial" w:hAnsi="Arial" w:cs="Arial"/>
          <w:sz w:val="24"/>
          <w:szCs w:val="24"/>
        </w:rPr>
        <w:t xml:space="preserve"> in dealing with his compliance with section 3(1) of the Legal Proceedings against Certain Organs of State Act</w:t>
      </w:r>
      <w:r w:rsidR="00116E26" w:rsidRPr="00EB10F3">
        <w:rPr>
          <w:rFonts w:ascii="Arial" w:hAnsi="Arial" w:cs="Arial"/>
          <w:sz w:val="24"/>
          <w:szCs w:val="24"/>
        </w:rPr>
        <w:t xml:space="preserve"> 40 of 2002 (“</w:t>
      </w:r>
      <w:r w:rsidR="00116E26" w:rsidRPr="00EB10F3">
        <w:rPr>
          <w:rFonts w:ascii="Arial" w:hAnsi="Arial" w:cs="Arial"/>
          <w:i/>
          <w:iCs/>
          <w:sz w:val="24"/>
          <w:szCs w:val="24"/>
        </w:rPr>
        <w:t>the Act</w:t>
      </w:r>
      <w:r w:rsidR="00116E26" w:rsidRPr="00EB10F3">
        <w:rPr>
          <w:rFonts w:ascii="Arial" w:hAnsi="Arial" w:cs="Arial"/>
          <w:sz w:val="24"/>
          <w:szCs w:val="24"/>
        </w:rPr>
        <w:t>”),</w:t>
      </w:r>
      <w:r w:rsidR="0086399E" w:rsidRPr="00EB10F3">
        <w:rPr>
          <w:rFonts w:ascii="Arial" w:hAnsi="Arial" w:cs="Arial"/>
          <w:sz w:val="24"/>
          <w:szCs w:val="24"/>
        </w:rPr>
        <w:t xml:space="preserve"> pleads </w:t>
      </w:r>
      <w:r w:rsidR="00EE0C9F" w:rsidRPr="00EB10F3">
        <w:rPr>
          <w:rFonts w:ascii="Arial" w:hAnsi="Arial" w:cs="Arial"/>
          <w:sz w:val="24"/>
          <w:szCs w:val="24"/>
        </w:rPr>
        <w:t>that</w:t>
      </w:r>
      <w:r w:rsidR="0086399E" w:rsidRPr="00EB10F3">
        <w:rPr>
          <w:rFonts w:ascii="Arial" w:hAnsi="Arial" w:cs="Arial"/>
          <w:sz w:val="24"/>
          <w:szCs w:val="24"/>
        </w:rPr>
        <w:t>:</w:t>
      </w:r>
    </w:p>
    <w:p w14:paraId="5A3C719F" w14:textId="77777777" w:rsidR="0086399E" w:rsidRDefault="0086399E" w:rsidP="0086399E">
      <w:pPr>
        <w:pStyle w:val="ListParagraph"/>
        <w:spacing w:after="0" w:line="480" w:lineRule="auto"/>
        <w:ind w:left="0"/>
        <w:jc w:val="both"/>
        <w:rPr>
          <w:rFonts w:ascii="Arial" w:hAnsi="Arial" w:cs="Arial"/>
          <w:sz w:val="24"/>
          <w:szCs w:val="24"/>
        </w:rPr>
      </w:pPr>
    </w:p>
    <w:p w14:paraId="35A10298" w14:textId="678BF2E1" w:rsidR="0086399E" w:rsidRDefault="0086399E" w:rsidP="0086399E">
      <w:pPr>
        <w:pStyle w:val="ListParagraph"/>
        <w:spacing w:after="0" w:line="360" w:lineRule="auto"/>
        <w:jc w:val="both"/>
        <w:rPr>
          <w:rFonts w:ascii="Arial" w:hAnsi="Arial" w:cs="Arial"/>
          <w:sz w:val="24"/>
          <w:szCs w:val="24"/>
        </w:rPr>
      </w:pPr>
      <w:r>
        <w:rPr>
          <w:rFonts w:ascii="Arial" w:hAnsi="Arial" w:cs="Arial"/>
          <w:sz w:val="24"/>
          <w:szCs w:val="24"/>
        </w:rPr>
        <w:t>“</w:t>
      </w:r>
      <w:r w:rsidRPr="0086399E">
        <w:rPr>
          <w:rFonts w:ascii="Arial" w:hAnsi="Arial" w:cs="Arial"/>
          <w:i/>
          <w:iCs/>
        </w:rPr>
        <w:t>The plaintiff has complied with the statutory provisions relating to notice to an organ of state prior to the institution of proceedings.  Notwithstanding demand and/or statutory notice delivered to the minister of police in terms of the Institution of Legal Proceedings against Certain Organs of State Act read with the State Liability Act the defendant has refused, ignored, and/or neglected to pay the aforesaid sum or any portion of it</w:t>
      </w:r>
      <w:r w:rsidRPr="0086399E">
        <w:rPr>
          <w:rFonts w:ascii="Arial" w:hAnsi="Arial" w:cs="Arial"/>
          <w:i/>
          <w:iCs/>
          <w:sz w:val="24"/>
          <w:szCs w:val="24"/>
        </w:rPr>
        <w:t>.</w:t>
      </w:r>
      <w:r>
        <w:rPr>
          <w:rFonts w:ascii="Arial" w:hAnsi="Arial" w:cs="Arial"/>
          <w:sz w:val="24"/>
          <w:szCs w:val="24"/>
        </w:rPr>
        <w:t>”</w:t>
      </w:r>
    </w:p>
    <w:p w14:paraId="61D7ACC1" w14:textId="77777777" w:rsidR="0086399E" w:rsidRDefault="0086399E" w:rsidP="0086399E">
      <w:pPr>
        <w:pStyle w:val="ListParagraph"/>
        <w:spacing w:after="0" w:line="480" w:lineRule="auto"/>
        <w:ind w:left="0"/>
        <w:jc w:val="both"/>
        <w:rPr>
          <w:rFonts w:ascii="Arial" w:hAnsi="Arial" w:cs="Arial"/>
          <w:sz w:val="24"/>
          <w:szCs w:val="24"/>
        </w:rPr>
      </w:pPr>
    </w:p>
    <w:p w14:paraId="4ADE2A2F" w14:textId="65831262" w:rsidR="00865548" w:rsidRPr="00EB10F3" w:rsidRDefault="00EB10F3" w:rsidP="00EB10F3">
      <w:pPr>
        <w:spacing w:after="0" w:line="480" w:lineRule="auto"/>
        <w:jc w:val="both"/>
        <w:rPr>
          <w:rFonts w:ascii="Arial" w:hAnsi="Arial" w:cs="Arial"/>
          <w:sz w:val="24"/>
          <w:szCs w:val="24"/>
        </w:rPr>
      </w:pPr>
      <w:r>
        <w:rPr>
          <w:rFonts w:ascii="Arial" w:eastAsia="Times New Roman" w:hAnsi="Arial" w:cs="Arial"/>
          <w:sz w:val="24"/>
          <w:szCs w:val="24"/>
        </w:rPr>
        <w:t>[3]</w:t>
      </w:r>
      <w:r>
        <w:rPr>
          <w:rFonts w:ascii="Arial" w:eastAsia="Times New Roman" w:hAnsi="Arial" w:cs="Arial"/>
          <w:sz w:val="24"/>
          <w:szCs w:val="24"/>
        </w:rPr>
        <w:tab/>
      </w:r>
      <w:r w:rsidR="00116E26" w:rsidRPr="00EB10F3">
        <w:rPr>
          <w:rFonts w:ascii="Arial" w:hAnsi="Arial" w:cs="Arial"/>
          <w:sz w:val="24"/>
          <w:szCs w:val="24"/>
        </w:rPr>
        <w:t xml:space="preserve">This was met with a </w:t>
      </w:r>
      <w:r w:rsidR="00865548" w:rsidRPr="00EB10F3">
        <w:rPr>
          <w:rFonts w:ascii="Arial" w:hAnsi="Arial" w:cs="Arial"/>
          <w:sz w:val="24"/>
          <w:szCs w:val="24"/>
        </w:rPr>
        <w:t>special plea of non-compliance</w:t>
      </w:r>
      <w:r w:rsidR="00116E26" w:rsidRPr="00EB10F3">
        <w:rPr>
          <w:rFonts w:ascii="Arial" w:hAnsi="Arial" w:cs="Arial"/>
          <w:sz w:val="24"/>
          <w:szCs w:val="24"/>
        </w:rPr>
        <w:t xml:space="preserve"> by the respondents, </w:t>
      </w:r>
      <w:r w:rsidR="00865548" w:rsidRPr="00EB10F3">
        <w:rPr>
          <w:rFonts w:ascii="Arial" w:hAnsi="Arial" w:cs="Arial"/>
          <w:sz w:val="24"/>
          <w:szCs w:val="24"/>
        </w:rPr>
        <w:t>the gravamen of which appears from paragraphs 3 to 5 thereof, which read as follows:</w:t>
      </w:r>
    </w:p>
    <w:p w14:paraId="070C23B2" w14:textId="77777777" w:rsidR="00865548" w:rsidRDefault="00865548" w:rsidP="00865548">
      <w:pPr>
        <w:pStyle w:val="ListParagraph"/>
        <w:spacing w:after="0" w:line="480" w:lineRule="auto"/>
        <w:ind w:left="0"/>
        <w:jc w:val="both"/>
        <w:rPr>
          <w:rFonts w:ascii="Arial" w:hAnsi="Arial" w:cs="Arial"/>
          <w:sz w:val="24"/>
          <w:szCs w:val="24"/>
        </w:rPr>
      </w:pPr>
    </w:p>
    <w:p w14:paraId="6AB9C05D" w14:textId="2D165897" w:rsidR="00865548" w:rsidRPr="00865548" w:rsidRDefault="00865548" w:rsidP="00865548">
      <w:pPr>
        <w:pStyle w:val="ListParagraph"/>
        <w:spacing w:after="0" w:line="360" w:lineRule="auto"/>
        <w:ind w:left="1440" w:hanging="720"/>
        <w:jc w:val="both"/>
        <w:rPr>
          <w:rFonts w:ascii="Arial" w:hAnsi="Arial" w:cs="Arial"/>
          <w:i/>
          <w:iCs/>
        </w:rPr>
      </w:pPr>
      <w:r>
        <w:rPr>
          <w:rFonts w:ascii="Arial" w:hAnsi="Arial" w:cs="Arial"/>
          <w:sz w:val="24"/>
          <w:szCs w:val="24"/>
        </w:rPr>
        <w:t>“</w:t>
      </w:r>
      <w:r w:rsidRPr="00865548">
        <w:rPr>
          <w:rFonts w:ascii="Arial" w:hAnsi="Arial" w:cs="Arial"/>
          <w:i/>
          <w:iCs/>
        </w:rPr>
        <w:t>3.</w:t>
      </w:r>
      <w:r w:rsidRPr="00865548">
        <w:rPr>
          <w:rFonts w:ascii="Arial" w:hAnsi="Arial" w:cs="Arial"/>
          <w:i/>
          <w:iCs/>
        </w:rPr>
        <w:tab/>
        <w:t>The 2</w:t>
      </w:r>
      <w:r w:rsidRPr="00865548">
        <w:rPr>
          <w:rFonts w:ascii="Arial" w:hAnsi="Arial" w:cs="Arial"/>
          <w:i/>
          <w:iCs/>
          <w:vertAlign w:val="superscript"/>
        </w:rPr>
        <w:t>nd</w:t>
      </w:r>
      <w:r w:rsidRPr="00865548">
        <w:rPr>
          <w:rFonts w:ascii="Arial" w:hAnsi="Arial" w:cs="Arial"/>
          <w:i/>
          <w:iCs/>
        </w:rPr>
        <w:t xml:space="preserve"> defendant herein is not in receipt of the notice contemplated by section 3(1) of Act 40 of 2002 and has not consented to the institution of legal proceedings without such notice.</w:t>
      </w:r>
    </w:p>
    <w:p w14:paraId="5402C98D" w14:textId="77777777" w:rsidR="00865548" w:rsidRPr="00865548" w:rsidRDefault="00865548" w:rsidP="00865548">
      <w:pPr>
        <w:pStyle w:val="ListParagraph"/>
        <w:spacing w:after="0" w:line="360" w:lineRule="auto"/>
        <w:jc w:val="both"/>
        <w:rPr>
          <w:rFonts w:ascii="Arial" w:hAnsi="Arial" w:cs="Arial"/>
          <w:i/>
          <w:iCs/>
        </w:rPr>
      </w:pPr>
    </w:p>
    <w:p w14:paraId="00B94F66" w14:textId="164F6C3D" w:rsidR="00865548" w:rsidRPr="00865548" w:rsidRDefault="00865548" w:rsidP="00865548">
      <w:pPr>
        <w:pStyle w:val="ListParagraph"/>
        <w:spacing w:after="0" w:line="360" w:lineRule="auto"/>
        <w:ind w:left="1440" w:hanging="720"/>
        <w:jc w:val="both"/>
        <w:rPr>
          <w:rFonts w:ascii="Arial" w:hAnsi="Arial" w:cs="Arial"/>
          <w:i/>
          <w:iCs/>
        </w:rPr>
      </w:pPr>
      <w:r w:rsidRPr="00865548">
        <w:rPr>
          <w:rFonts w:ascii="Arial" w:hAnsi="Arial" w:cs="Arial"/>
          <w:i/>
          <w:iCs/>
        </w:rPr>
        <w:t>4.</w:t>
      </w:r>
      <w:r w:rsidRPr="00865548">
        <w:rPr>
          <w:rFonts w:ascii="Arial" w:hAnsi="Arial" w:cs="Arial"/>
          <w:i/>
          <w:iCs/>
        </w:rPr>
        <w:tab/>
        <w:t>Alternatively, the said notice has not been served on the National Commissioner and the Provincial Commissioner as required by Act 40 of 2002.</w:t>
      </w:r>
    </w:p>
    <w:p w14:paraId="6A4FCECF" w14:textId="77777777" w:rsidR="00865548" w:rsidRPr="00865548" w:rsidRDefault="00865548" w:rsidP="00865548">
      <w:pPr>
        <w:pStyle w:val="ListParagraph"/>
        <w:spacing w:after="0" w:line="360" w:lineRule="auto"/>
        <w:jc w:val="both"/>
        <w:rPr>
          <w:rFonts w:ascii="Arial" w:hAnsi="Arial" w:cs="Arial"/>
          <w:i/>
          <w:iCs/>
        </w:rPr>
      </w:pPr>
    </w:p>
    <w:p w14:paraId="152737AB" w14:textId="076A819B" w:rsidR="00865548" w:rsidRDefault="00865548" w:rsidP="00865548">
      <w:pPr>
        <w:pStyle w:val="ListParagraph"/>
        <w:spacing w:after="0" w:line="360" w:lineRule="auto"/>
        <w:ind w:left="1440" w:hanging="720"/>
        <w:jc w:val="both"/>
        <w:rPr>
          <w:rFonts w:ascii="Arial" w:hAnsi="Arial" w:cs="Arial"/>
          <w:sz w:val="24"/>
          <w:szCs w:val="24"/>
        </w:rPr>
      </w:pPr>
      <w:r w:rsidRPr="00865548">
        <w:rPr>
          <w:rFonts w:ascii="Arial" w:hAnsi="Arial" w:cs="Arial"/>
          <w:i/>
          <w:iCs/>
        </w:rPr>
        <w:t>5.</w:t>
      </w:r>
      <w:r w:rsidRPr="00865548">
        <w:rPr>
          <w:rFonts w:ascii="Arial" w:hAnsi="Arial" w:cs="Arial"/>
          <w:i/>
          <w:iCs/>
        </w:rPr>
        <w:tab/>
        <w:t>In the premises, the plaintiff has failed to comply with section 3(1) of Act 40 of 2002 and his claim stands to be dismissed with costs.</w:t>
      </w:r>
      <w:r>
        <w:rPr>
          <w:rFonts w:ascii="Arial" w:hAnsi="Arial" w:cs="Arial"/>
          <w:sz w:val="24"/>
          <w:szCs w:val="24"/>
        </w:rPr>
        <w:t>”</w:t>
      </w:r>
    </w:p>
    <w:p w14:paraId="3433325F" w14:textId="77777777" w:rsidR="00A1014F" w:rsidRDefault="00A1014F" w:rsidP="00A1014F">
      <w:pPr>
        <w:pStyle w:val="ListParagraph"/>
        <w:spacing w:after="0" w:line="480" w:lineRule="auto"/>
        <w:ind w:left="0"/>
        <w:jc w:val="both"/>
        <w:rPr>
          <w:rFonts w:ascii="Arial" w:hAnsi="Arial" w:cs="Arial"/>
          <w:sz w:val="24"/>
          <w:szCs w:val="24"/>
        </w:rPr>
      </w:pPr>
    </w:p>
    <w:p w14:paraId="58EDE1C8" w14:textId="62A9938F" w:rsidR="005F4203" w:rsidRPr="00EB10F3" w:rsidRDefault="00EB10F3" w:rsidP="00EB10F3">
      <w:pPr>
        <w:spacing w:after="0" w:line="480" w:lineRule="auto"/>
        <w:jc w:val="both"/>
        <w:rPr>
          <w:rFonts w:ascii="Arial" w:hAnsi="Arial" w:cs="Arial"/>
          <w:sz w:val="24"/>
          <w:szCs w:val="24"/>
        </w:rPr>
      </w:pPr>
      <w:r>
        <w:rPr>
          <w:rFonts w:ascii="Arial" w:eastAsia="Times New Roman" w:hAnsi="Arial" w:cs="Arial"/>
          <w:sz w:val="24"/>
          <w:szCs w:val="24"/>
        </w:rPr>
        <w:t>[4]</w:t>
      </w:r>
      <w:r>
        <w:rPr>
          <w:rFonts w:ascii="Arial" w:eastAsia="Times New Roman" w:hAnsi="Arial" w:cs="Arial"/>
          <w:sz w:val="24"/>
          <w:szCs w:val="24"/>
        </w:rPr>
        <w:tab/>
      </w:r>
      <w:r w:rsidR="00116E26" w:rsidRPr="00EB10F3">
        <w:rPr>
          <w:rFonts w:ascii="Arial" w:hAnsi="Arial" w:cs="Arial"/>
          <w:sz w:val="24"/>
          <w:szCs w:val="24"/>
        </w:rPr>
        <w:t>I</w:t>
      </w:r>
      <w:r w:rsidR="00865548" w:rsidRPr="00EB10F3">
        <w:rPr>
          <w:rFonts w:ascii="Arial" w:hAnsi="Arial" w:cs="Arial"/>
          <w:sz w:val="24"/>
          <w:szCs w:val="24"/>
        </w:rPr>
        <w:t>n response</w:t>
      </w:r>
      <w:r w:rsidR="00116E26" w:rsidRPr="00EB10F3">
        <w:rPr>
          <w:rFonts w:ascii="Arial" w:hAnsi="Arial" w:cs="Arial"/>
          <w:sz w:val="24"/>
          <w:szCs w:val="24"/>
        </w:rPr>
        <w:t>, the applicant filed a replication attaching the</w:t>
      </w:r>
      <w:r w:rsidR="005554CC" w:rsidRPr="00EB10F3">
        <w:rPr>
          <w:rFonts w:ascii="Arial" w:hAnsi="Arial" w:cs="Arial"/>
          <w:sz w:val="24"/>
          <w:szCs w:val="24"/>
        </w:rPr>
        <w:t xml:space="preserve"> required</w:t>
      </w:r>
      <w:r w:rsidR="00116E26" w:rsidRPr="00EB10F3">
        <w:rPr>
          <w:rFonts w:ascii="Arial" w:hAnsi="Arial" w:cs="Arial"/>
          <w:sz w:val="24"/>
          <w:szCs w:val="24"/>
        </w:rPr>
        <w:t xml:space="preserve"> statutory notices addressed to National and Provincial Commissioner of the South African </w:t>
      </w:r>
      <w:r w:rsidR="00116E26" w:rsidRPr="00EB10F3">
        <w:rPr>
          <w:rFonts w:ascii="Arial" w:hAnsi="Arial" w:cs="Arial"/>
          <w:sz w:val="24"/>
          <w:szCs w:val="24"/>
        </w:rPr>
        <w:lastRenderedPageBreak/>
        <w:t xml:space="preserve">Police Services, together with proof of their transmission via registered mail.  For reasons </w:t>
      </w:r>
      <w:r w:rsidR="008058B9" w:rsidRPr="00EB10F3">
        <w:rPr>
          <w:rFonts w:ascii="Arial" w:hAnsi="Arial" w:cs="Arial"/>
          <w:sz w:val="24"/>
          <w:szCs w:val="24"/>
        </w:rPr>
        <w:t>discussed later</w:t>
      </w:r>
      <w:r w:rsidR="005F4203" w:rsidRPr="00EB10F3">
        <w:rPr>
          <w:rFonts w:ascii="Arial" w:hAnsi="Arial" w:cs="Arial"/>
          <w:sz w:val="24"/>
          <w:szCs w:val="24"/>
        </w:rPr>
        <w:t xml:space="preserve">, </w:t>
      </w:r>
      <w:r w:rsidR="00116E26" w:rsidRPr="00EB10F3">
        <w:rPr>
          <w:rFonts w:ascii="Arial" w:hAnsi="Arial" w:cs="Arial"/>
          <w:sz w:val="24"/>
          <w:szCs w:val="24"/>
        </w:rPr>
        <w:t xml:space="preserve">it </w:t>
      </w:r>
      <w:r w:rsidR="0076384E" w:rsidRPr="00EB10F3">
        <w:rPr>
          <w:rFonts w:ascii="Arial" w:hAnsi="Arial" w:cs="Arial"/>
          <w:sz w:val="24"/>
          <w:szCs w:val="24"/>
        </w:rPr>
        <w:t xml:space="preserve">is </w:t>
      </w:r>
      <w:r w:rsidR="00116E26" w:rsidRPr="00EB10F3">
        <w:rPr>
          <w:rFonts w:ascii="Arial" w:hAnsi="Arial" w:cs="Arial"/>
          <w:sz w:val="24"/>
          <w:szCs w:val="24"/>
        </w:rPr>
        <w:t>necessary to</w:t>
      </w:r>
      <w:r w:rsidR="005F4203" w:rsidRPr="00EB10F3">
        <w:rPr>
          <w:rFonts w:ascii="Arial" w:hAnsi="Arial" w:cs="Arial"/>
          <w:sz w:val="24"/>
          <w:szCs w:val="24"/>
        </w:rPr>
        <w:t xml:space="preserve"> quote the </w:t>
      </w:r>
      <w:r w:rsidR="00E13023" w:rsidRPr="00EB10F3">
        <w:rPr>
          <w:rFonts w:ascii="Arial" w:hAnsi="Arial" w:cs="Arial"/>
          <w:sz w:val="24"/>
          <w:szCs w:val="24"/>
        </w:rPr>
        <w:t>body</w:t>
      </w:r>
      <w:r w:rsidR="005F4203" w:rsidRPr="00EB10F3">
        <w:rPr>
          <w:rFonts w:ascii="Arial" w:hAnsi="Arial" w:cs="Arial"/>
          <w:sz w:val="24"/>
          <w:szCs w:val="24"/>
        </w:rPr>
        <w:t xml:space="preserve"> of the replication:</w:t>
      </w:r>
    </w:p>
    <w:p w14:paraId="73BE9633" w14:textId="77777777" w:rsidR="005F4203" w:rsidRDefault="005F4203" w:rsidP="005F4203">
      <w:pPr>
        <w:spacing w:after="0" w:line="480" w:lineRule="auto"/>
        <w:jc w:val="both"/>
        <w:rPr>
          <w:rFonts w:ascii="Arial" w:hAnsi="Arial" w:cs="Arial"/>
          <w:sz w:val="24"/>
          <w:szCs w:val="24"/>
        </w:rPr>
      </w:pPr>
    </w:p>
    <w:p w14:paraId="1B1375A9" w14:textId="7DB96078" w:rsidR="008058B9" w:rsidRPr="00051A51" w:rsidRDefault="00051A51" w:rsidP="00051A51">
      <w:pPr>
        <w:spacing w:after="0" w:line="360" w:lineRule="auto"/>
        <w:ind w:left="720"/>
        <w:jc w:val="both"/>
        <w:rPr>
          <w:rFonts w:ascii="Arial" w:hAnsi="Arial" w:cs="Arial"/>
          <w:b/>
          <w:bCs/>
          <w:i/>
          <w:iCs/>
        </w:rPr>
      </w:pPr>
      <w:r>
        <w:rPr>
          <w:rFonts w:ascii="Arial" w:hAnsi="Arial" w:cs="Arial"/>
        </w:rPr>
        <w:t>“</w:t>
      </w:r>
      <w:r w:rsidR="008058B9" w:rsidRPr="00051A51">
        <w:rPr>
          <w:rFonts w:ascii="Arial" w:hAnsi="Arial" w:cs="Arial"/>
          <w:b/>
          <w:bCs/>
          <w:i/>
          <w:iCs/>
        </w:rPr>
        <w:t>AD SPECIAL PLEA FOR NON-COMPLIANCE WITH ACT 40 OF 2002</w:t>
      </w:r>
    </w:p>
    <w:p w14:paraId="69224118" w14:textId="77777777" w:rsidR="00A34BA8" w:rsidRDefault="00A34BA8" w:rsidP="00051A51">
      <w:pPr>
        <w:spacing w:after="0" w:line="360" w:lineRule="auto"/>
        <w:ind w:left="720"/>
        <w:jc w:val="both"/>
        <w:rPr>
          <w:rFonts w:ascii="Arial" w:hAnsi="Arial" w:cs="Arial"/>
          <w:b/>
          <w:bCs/>
          <w:i/>
          <w:iCs/>
        </w:rPr>
      </w:pPr>
    </w:p>
    <w:p w14:paraId="169C2B7A" w14:textId="2D59CD35" w:rsidR="005F4203" w:rsidRPr="00051A51" w:rsidRDefault="005F4203" w:rsidP="00051A51">
      <w:pPr>
        <w:spacing w:after="0" w:line="360" w:lineRule="auto"/>
        <w:ind w:left="720"/>
        <w:jc w:val="both"/>
        <w:rPr>
          <w:rFonts w:ascii="Arial" w:hAnsi="Arial" w:cs="Arial"/>
          <w:b/>
          <w:bCs/>
          <w:i/>
          <w:iCs/>
        </w:rPr>
      </w:pPr>
      <w:r w:rsidRPr="00051A51">
        <w:rPr>
          <w:rFonts w:ascii="Arial" w:hAnsi="Arial" w:cs="Arial"/>
          <w:b/>
          <w:bCs/>
          <w:i/>
          <w:iCs/>
        </w:rPr>
        <w:t>AD PARAGRAPHS 1-2 OF THE SPECIAL PLEA</w:t>
      </w:r>
    </w:p>
    <w:p w14:paraId="32613AE2" w14:textId="77777777" w:rsidR="005F4203" w:rsidRPr="00051A51" w:rsidRDefault="005F4203" w:rsidP="00051A51">
      <w:pPr>
        <w:spacing w:after="0" w:line="360" w:lineRule="auto"/>
        <w:ind w:left="720"/>
        <w:jc w:val="both"/>
        <w:rPr>
          <w:rFonts w:ascii="Arial" w:hAnsi="Arial" w:cs="Arial"/>
          <w:i/>
          <w:iCs/>
        </w:rPr>
      </w:pPr>
    </w:p>
    <w:p w14:paraId="06F8A3FE" w14:textId="51242AB1" w:rsidR="00116E26" w:rsidRPr="00EB10F3" w:rsidRDefault="00EB10F3" w:rsidP="00EB10F3">
      <w:pPr>
        <w:spacing w:after="0" w:line="360" w:lineRule="auto"/>
        <w:ind w:left="1080" w:hanging="360"/>
        <w:jc w:val="both"/>
        <w:rPr>
          <w:rFonts w:ascii="Arial" w:hAnsi="Arial" w:cs="Arial"/>
          <w:i/>
          <w:iCs/>
        </w:rPr>
      </w:pPr>
      <w:r w:rsidRPr="00051A51">
        <w:rPr>
          <w:rFonts w:ascii="Arial" w:eastAsia="Times New Roman" w:hAnsi="Arial" w:cs="Arial"/>
          <w:i/>
          <w:iCs/>
        </w:rPr>
        <w:t>1.</w:t>
      </w:r>
      <w:r w:rsidRPr="00051A51">
        <w:rPr>
          <w:rFonts w:ascii="Arial" w:eastAsia="Times New Roman" w:hAnsi="Arial" w:cs="Arial"/>
          <w:i/>
          <w:iCs/>
        </w:rPr>
        <w:tab/>
      </w:r>
      <w:r w:rsidR="005F4203" w:rsidRPr="00EB10F3">
        <w:rPr>
          <w:rFonts w:ascii="Arial" w:hAnsi="Arial" w:cs="Arial"/>
          <w:i/>
          <w:iCs/>
        </w:rPr>
        <w:t>The contents of these paragraphs are admitted</w:t>
      </w:r>
      <w:r w:rsidR="008058B9" w:rsidRPr="00EB10F3">
        <w:rPr>
          <w:rFonts w:ascii="Arial" w:hAnsi="Arial" w:cs="Arial"/>
          <w:i/>
          <w:iCs/>
        </w:rPr>
        <w:t>.</w:t>
      </w:r>
      <w:r w:rsidR="005F4203" w:rsidRPr="00EB10F3">
        <w:rPr>
          <w:rFonts w:ascii="Arial" w:hAnsi="Arial" w:cs="Arial"/>
          <w:i/>
          <w:iCs/>
        </w:rPr>
        <w:t xml:space="preserve"> </w:t>
      </w:r>
      <w:r w:rsidR="00116E26" w:rsidRPr="00EB10F3">
        <w:rPr>
          <w:rFonts w:ascii="Arial" w:hAnsi="Arial" w:cs="Arial"/>
          <w:i/>
          <w:iCs/>
        </w:rPr>
        <w:t xml:space="preserve"> </w:t>
      </w:r>
    </w:p>
    <w:p w14:paraId="66AB0957" w14:textId="77777777" w:rsidR="008058B9" w:rsidRPr="00051A51" w:rsidRDefault="008058B9" w:rsidP="00051A51">
      <w:pPr>
        <w:spacing w:after="0" w:line="360" w:lineRule="auto"/>
        <w:ind w:left="720"/>
        <w:jc w:val="both"/>
        <w:rPr>
          <w:rFonts w:ascii="Arial" w:hAnsi="Arial" w:cs="Arial"/>
          <w:i/>
          <w:iCs/>
        </w:rPr>
      </w:pPr>
    </w:p>
    <w:p w14:paraId="16881171" w14:textId="6CF97C26" w:rsidR="008058B9" w:rsidRPr="00051A51" w:rsidRDefault="008058B9" w:rsidP="00051A51">
      <w:pPr>
        <w:spacing w:after="0" w:line="360" w:lineRule="auto"/>
        <w:ind w:left="720"/>
        <w:jc w:val="both"/>
        <w:rPr>
          <w:rFonts w:ascii="Arial" w:hAnsi="Arial" w:cs="Arial"/>
          <w:b/>
          <w:bCs/>
          <w:i/>
          <w:iCs/>
        </w:rPr>
      </w:pPr>
      <w:r w:rsidRPr="00051A51">
        <w:rPr>
          <w:rFonts w:ascii="Arial" w:hAnsi="Arial" w:cs="Arial"/>
          <w:b/>
          <w:bCs/>
          <w:i/>
          <w:iCs/>
        </w:rPr>
        <w:t>AD PARAGRAPHS 3-5 OF THE SPECIAL PLEA</w:t>
      </w:r>
    </w:p>
    <w:p w14:paraId="4EC26C27" w14:textId="77777777" w:rsidR="008058B9" w:rsidRPr="00051A51" w:rsidRDefault="008058B9" w:rsidP="00051A51">
      <w:pPr>
        <w:spacing w:after="0" w:line="360" w:lineRule="auto"/>
        <w:ind w:left="720"/>
        <w:jc w:val="both"/>
        <w:rPr>
          <w:rFonts w:ascii="Arial" w:hAnsi="Arial" w:cs="Arial"/>
          <w:i/>
          <w:iCs/>
        </w:rPr>
      </w:pPr>
    </w:p>
    <w:p w14:paraId="6CFA3CA7" w14:textId="11945BED" w:rsidR="008058B9" w:rsidRPr="00EB10F3" w:rsidRDefault="00EB10F3" w:rsidP="00EB10F3">
      <w:pPr>
        <w:spacing w:after="0" w:line="360" w:lineRule="auto"/>
        <w:ind w:left="1080" w:hanging="360"/>
        <w:jc w:val="both"/>
        <w:rPr>
          <w:rFonts w:ascii="Arial" w:hAnsi="Arial" w:cs="Arial"/>
          <w:i/>
          <w:iCs/>
        </w:rPr>
      </w:pPr>
      <w:r w:rsidRPr="00051A51">
        <w:rPr>
          <w:rFonts w:ascii="Arial" w:eastAsia="Times New Roman" w:hAnsi="Arial" w:cs="Arial"/>
          <w:i/>
          <w:iCs/>
        </w:rPr>
        <w:t>2.</w:t>
      </w:r>
      <w:r w:rsidRPr="00051A51">
        <w:rPr>
          <w:rFonts w:ascii="Arial" w:eastAsia="Times New Roman" w:hAnsi="Arial" w:cs="Arial"/>
          <w:i/>
          <w:iCs/>
        </w:rPr>
        <w:tab/>
      </w:r>
      <w:r w:rsidR="008058B9" w:rsidRPr="00EB10F3">
        <w:rPr>
          <w:rFonts w:ascii="Arial" w:hAnsi="Arial" w:cs="Arial"/>
          <w:i/>
          <w:iCs/>
        </w:rPr>
        <w:t>The contents of these paragraphs are denied.</w:t>
      </w:r>
    </w:p>
    <w:p w14:paraId="3F0CEA73" w14:textId="77777777" w:rsidR="00051A51" w:rsidRDefault="00051A51" w:rsidP="00051A51">
      <w:pPr>
        <w:pStyle w:val="ListParagraph"/>
        <w:spacing w:after="0" w:line="360" w:lineRule="auto"/>
        <w:ind w:left="1080"/>
        <w:jc w:val="both"/>
        <w:rPr>
          <w:rFonts w:ascii="Arial" w:hAnsi="Arial" w:cs="Arial"/>
          <w:i/>
          <w:iCs/>
        </w:rPr>
      </w:pPr>
    </w:p>
    <w:p w14:paraId="31E661DC" w14:textId="5648BBBF" w:rsidR="008058B9" w:rsidRPr="00EB10F3" w:rsidRDefault="00EB10F3" w:rsidP="00EB10F3">
      <w:pPr>
        <w:spacing w:after="0" w:line="360" w:lineRule="auto"/>
        <w:ind w:left="1080" w:hanging="360"/>
        <w:jc w:val="both"/>
        <w:rPr>
          <w:rFonts w:ascii="Arial" w:hAnsi="Arial" w:cs="Arial"/>
          <w:i/>
          <w:iCs/>
        </w:rPr>
      </w:pPr>
      <w:r w:rsidRPr="00051A51">
        <w:rPr>
          <w:rFonts w:ascii="Arial" w:eastAsia="Times New Roman" w:hAnsi="Arial" w:cs="Arial"/>
          <w:i/>
          <w:iCs/>
        </w:rPr>
        <w:t>3.</w:t>
      </w:r>
      <w:r w:rsidRPr="00051A51">
        <w:rPr>
          <w:rFonts w:ascii="Arial" w:eastAsia="Times New Roman" w:hAnsi="Arial" w:cs="Arial"/>
          <w:i/>
          <w:iCs/>
        </w:rPr>
        <w:tab/>
      </w:r>
      <w:r w:rsidR="008058B9" w:rsidRPr="00EB10F3">
        <w:rPr>
          <w:rFonts w:ascii="Arial" w:hAnsi="Arial" w:cs="Arial"/>
          <w:i/>
          <w:iCs/>
        </w:rPr>
        <w:t>In amplification thereof, the plaintiff sent the required statutory notices to the National and Provincial Commissioner of the South African Police Services in line with the Act 40 of 2002.  The plaintiff attaches hereto letters to the National and Provincial Commissioner dated the 14</w:t>
      </w:r>
      <w:r w:rsidR="008058B9" w:rsidRPr="00EB10F3">
        <w:rPr>
          <w:rFonts w:ascii="Arial" w:hAnsi="Arial" w:cs="Arial"/>
          <w:i/>
          <w:iCs/>
          <w:vertAlign w:val="superscript"/>
        </w:rPr>
        <w:t>th</w:t>
      </w:r>
      <w:r w:rsidR="008058B9" w:rsidRPr="00EB10F3">
        <w:rPr>
          <w:rFonts w:ascii="Arial" w:hAnsi="Arial" w:cs="Arial"/>
          <w:i/>
          <w:iCs/>
        </w:rPr>
        <w:t xml:space="preserve"> April 2022 as annexures “AGH1” and “AG2”, respectively.</w:t>
      </w:r>
    </w:p>
    <w:p w14:paraId="0A0D917B" w14:textId="77777777" w:rsidR="00051A51" w:rsidRPr="00051A51" w:rsidRDefault="00051A51" w:rsidP="00051A51">
      <w:pPr>
        <w:pStyle w:val="ListParagraph"/>
        <w:spacing w:after="0" w:line="360" w:lineRule="auto"/>
        <w:ind w:left="1080"/>
        <w:jc w:val="both"/>
        <w:rPr>
          <w:rFonts w:ascii="Arial" w:hAnsi="Arial" w:cs="Arial"/>
          <w:sz w:val="24"/>
          <w:szCs w:val="24"/>
        </w:rPr>
      </w:pPr>
    </w:p>
    <w:p w14:paraId="0DABAAE0" w14:textId="631AF8B0" w:rsidR="008058B9" w:rsidRPr="00EB10F3" w:rsidRDefault="00EB10F3" w:rsidP="00EB10F3">
      <w:pPr>
        <w:spacing w:after="0" w:line="360" w:lineRule="auto"/>
        <w:ind w:left="1080" w:hanging="360"/>
        <w:jc w:val="both"/>
        <w:rPr>
          <w:rFonts w:ascii="Arial" w:hAnsi="Arial" w:cs="Arial"/>
          <w:sz w:val="24"/>
          <w:szCs w:val="24"/>
        </w:rPr>
      </w:pPr>
      <w:r>
        <w:rPr>
          <w:rFonts w:ascii="Arial" w:eastAsia="Times New Roman" w:hAnsi="Arial" w:cs="Arial"/>
          <w:sz w:val="24"/>
          <w:szCs w:val="24"/>
        </w:rPr>
        <w:t>4.</w:t>
      </w:r>
      <w:r>
        <w:rPr>
          <w:rFonts w:ascii="Arial" w:eastAsia="Times New Roman" w:hAnsi="Arial" w:cs="Arial"/>
          <w:sz w:val="24"/>
          <w:szCs w:val="24"/>
        </w:rPr>
        <w:tab/>
      </w:r>
      <w:r w:rsidR="008058B9" w:rsidRPr="00EB10F3">
        <w:rPr>
          <w:rFonts w:ascii="Arial" w:hAnsi="Arial" w:cs="Arial"/>
          <w:i/>
          <w:iCs/>
        </w:rPr>
        <w:t>The above referred letters were sent to the National and Provincial Commissioner via registered mail.  The Plaintiff attaches</w:t>
      </w:r>
      <w:r w:rsidR="00051A51" w:rsidRPr="00EB10F3">
        <w:rPr>
          <w:rFonts w:ascii="Arial" w:hAnsi="Arial" w:cs="Arial"/>
          <w:i/>
          <w:iCs/>
        </w:rPr>
        <w:t xml:space="preserve"> hereto copies of registered mail postage slip </w:t>
      </w:r>
      <w:r w:rsidR="00051A51" w:rsidRPr="00EB10F3">
        <w:rPr>
          <w:rFonts w:ascii="Arial" w:hAnsi="Arial" w:cs="Arial"/>
        </w:rPr>
        <w:t>(sic)</w:t>
      </w:r>
      <w:r w:rsidR="00051A51" w:rsidRPr="00EB10F3">
        <w:rPr>
          <w:rFonts w:ascii="Arial" w:hAnsi="Arial" w:cs="Arial"/>
          <w:i/>
          <w:iCs/>
        </w:rPr>
        <w:t>, to the National and Provincial Commissioner which were sent on the 28</w:t>
      </w:r>
      <w:r w:rsidR="00051A51" w:rsidRPr="00EB10F3">
        <w:rPr>
          <w:rFonts w:ascii="Arial" w:hAnsi="Arial" w:cs="Arial"/>
          <w:i/>
          <w:iCs/>
          <w:vertAlign w:val="superscript"/>
        </w:rPr>
        <w:t>th</w:t>
      </w:r>
      <w:r w:rsidR="00051A51" w:rsidRPr="00EB10F3">
        <w:rPr>
          <w:rFonts w:ascii="Arial" w:hAnsi="Arial" w:cs="Arial"/>
          <w:i/>
          <w:iCs/>
        </w:rPr>
        <w:t xml:space="preserve"> April 2022 as annexures “AGH3” and “AGH4”, respectively.</w:t>
      </w:r>
      <w:r w:rsidR="00051A51" w:rsidRPr="00EB10F3">
        <w:rPr>
          <w:rFonts w:ascii="Arial" w:hAnsi="Arial" w:cs="Arial"/>
          <w:sz w:val="24"/>
          <w:szCs w:val="24"/>
        </w:rPr>
        <w:t>”</w:t>
      </w:r>
    </w:p>
    <w:p w14:paraId="66C5D52F" w14:textId="77777777" w:rsidR="008058B9" w:rsidRPr="008058B9" w:rsidRDefault="008058B9" w:rsidP="008058B9">
      <w:pPr>
        <w:spacing w:after="0" w:line="480" w:lineRule="auto"/>
        <w:ind w:left="720"/>
        <w:jc w:val="both"/>
        <w:rPr>
          <w:rFonts w:ascii="Arial" w:hAnsi="Arial" w:cs="Arial"/>
          <w:sz w:val="24"/>
          <w:szCs w:val="24"/>
        </w:rPr>
      </w:pPr>
    </w:p>
    <w:p w14:paraId="39B0EF38" w14:textId="716E92DE" w:rsidR="007947FC" w:rsidRPr="00EB10F3" w:rsidRDefault="00EB10F3" w:rsidP="00EB10F3">
      <w:pPr>
        <w:spacing w:after="0" w:line="480" w:lineRule="auto"/>
        <w:jc w:val="both"/>
        <w:rPr>
          <w:rFonts w:ascii="Arial" w:hAnsi="Arial" w:cs="Arial"/>
          <w:sz w:val="24"/>
          <w:szCs w:val="24"/>
        </w:rPr>
      </w:pPr>
      <w:r>
        <w:rPr>
          <w:rFonts w:ascii="Arial" w:eastAsia="Times New Roman" w:hAnsi="Arial" w:cs="Arial"/>
          <w:sz w:val="24"/>
          <w:szCs w:val="24"/>
        </w:rPr>
        <w:t>[5]</w:t>
      </w:r>
      <w:r>
        <w:rPr>
          <w:rFonts w:ascii="Arial" w:eastAsia="Times New Roman" w:hAnsi="Arial" w:cs="Arial"/>
          <w:sz w:val="24"/>
          <w:szCs w:val="24"/>
        </w:rPr>
        <w:tab/>
      </w:r>
      <w:r w:rsidR="00E13023" w:rsidRPr="00EB10F3">
        <w:rPr>
          <w:rFonts w:ascii="Arial" w:hAnsi="Arial" w:cs="Arial"/>
          <w:sz w:val="24"/>
          <w:szCs w:val="24"/>
        </w:rPr>
        <w:t>The respondents,</w:t>
      </w:r>
      <w:r w:rsidR="00FD27D1" w:rsidRPr="00EB10F3">
        <w:rPr>
          <w:rFonts w:ascii="Arial" w:hAnsi="Arial" w:cs="Arial"/>
          <w:sz w:val="24"/>
          <w:szCs w:val="24"/>
        </w:rPr>
        <w:t xml:space="preserve"> being satisfied that the applicant had complied with the statutory provisions, gave notice of their intention to amend their plea, w</w:t>
      </w:r>
      <w:r w:rsidR="00FC5374" w:rsidRPr="00EB10F3">
        <w:rPr>
          <w:rFonts w:ascii="Arial" w:hAnsi="Arial" w:cs="Arial"/>
          <w:sz w:val="24"/>
          <w:szCs w:val="24"/>
        </w:rPr>
        <w:t>hich ultimately had the effect of the withdrawal of the special plea</w:t>
      </w:r>
      <w:r w:rsidR="001E507A" w:rsidRPr="00EB10F3">
        <w:rPr>
          <w:rFonts w:ascii="Arial" w:hAnsi="Arial" w:cs="Arial"/>
          <w:sz w:val="24"/>
          <w:szCs w:val="24"/>
        </w:rPr>
        <w:t xml:space="preserve">, without a tender for costs.  </w:t>
      </w:r>
    </w:p>
    <w:p w14:paraId="53644C04" w14:textId="77777777" w:rsidR="007947FC" w:rsidRDefault="007947FC" w:rsidP="007947FC">
      <w:pPr>
        <w:pStyle w:val="ListParagraph"/>
        <w:spacing w:after="0" w:line="480" w:lineRule="auto"/>
        <w:ind w:left="0"/>
        <w:jc w:val="both"/>
        <w:rPr>
          <w:rFonts w:ascii="Arial" w:hAnsi="Arial" w:cs="Arial"/>
          <w:sz w:val="24"/>
          <w:szCs w:val="24"/>
        </w:rPr>
      </w:pPr>
    </w:p>
    <w:p w14:paraId="7531E574" w14:textId="4B0E5CFD" w:rsidR="00927D50" w:rsidRPr="00EB10F3" w:rsidRDefault="00EB10F3" w:rsidP="00EB10F3">
      <w:pPr>
        <w:spacing w:after="0" w:line="480" w:lineRule="auto"/>
        <w:jc w:val="both"/>
        <w:rPr>
          <w:rFonts w:ascii="Arial" w:hAnsi="Arial" w:cs="Arial"/>
          <w:sz w:val="24"/>
          <w:szCs w:val="24"/>
        </w:rPr>
      </w:pPr>
      <w:r>
        <w:rPr>
          <w:rFonts w:ascii="Arial" w:eastAsia="Times New Roman" w:hAnsi="Arial" w:cs="Arial"/>
          <w:sz w:val="24"/>
          <w:szCs w:val="24"/>
        </w:rPr>
        <w:t>[6]</w:t>
      </w:r>
      <w:r>
        <w:rPr>
          <w:rFonts w:ascii="Arial" w:eastAsia="Times New Roman" w:hAnsi="Arial" w:cs="Arial"/>
          <w:sz w:val="24"/>
          <w:szCs w:val="24"/>
        </w:rPr>
        <w:tab/>
      </w:r>
      <w:r w:rsidR="006B5829" w:rsidRPr="00EB10F3">
        <w:rPr>
          <w:rFonts w:ascii="Arial" w:hAnsi="Arial" w:cs="Arial"/>
          <w:sz w:val="24"/>
          <w:szCs w:val="24"/>
        </w:rPr>
        <w:t>Aggrieved</w:t>
      </w:r>
      <w:r w:rsidR="001E507A" w:rsidRPr="00EB10F3">
        <w:rPr>
          <w:rFonts w:ascii="Arial" w:hAnsi="Arial" w:cs="Arial"/>
          <w:sz w:val="24"/>
          <w:szCs w:val="24"/>
        </w:rPr>
        <w:t>,</w:t>
      </w:r>
      <w:r w:rsidR="006B5829" w:rsidRPr="00EB10F3">
        <w:rPr>
          <w:rFonts w:ascii="Arial" w:hAnsi="Arial" w:cs="Arial"/>
          <w:sz w:val="24"/>
          <w:szCs w:val="24"/>
        </w:rPr>
        <w:t xml:space="preserve"> the applicant gave notice </w:t>
      </w:r>
      <w:r w:rsidR="00EC51CF" w:rsidRPr="00EB10F3">
        <w:rPr>
          <w:rFonts w:ascii="Arial" w:hAnsi="Arial" w:cs="Arial"/>
          <w:sz w:val="24"/>
          <w:szCs w:val="24"/>
        </w:rPr>
        <w:t xml:space="preserve">of her intention to apply for an order that the respondents pay the costs occasioned by the withdrawal of their special plea in </w:t>
      </w:r>
      <w:r w:rsidR="00EC51CF" w:rsidRPr="00EB10F3">
        <w:rPr>
          <w:rFonts w:ascii="Arial" w:hAnsi="Arial" w:cs="Arial"/>
          <w:sz w:val="24"/>
          <w:szCs w:val="24"/>
        </w:rPr>
        <w:lastRenderedPageBreak/>
        <w:t xml:space="preserve">accordance with </w:t>
      </w:r>
      <w:r w:rsidR="001B534E" w:rsidRPr="00EB10F3">
        <w:rPr>
          <w:rFonts w:ascii="Arial" w:hAnsi="Arial" w:cs="Arial"/>
          <w:sz w:val="24"/>
          <w:szCs w:val="24"/>
        </w:rPr>
        <w:t>r</w:t>
      </w:r>
      <w:r w:rsidR="00EC51CF" w:rsidRPr="00EB10F3">
        <w:rPr>
          <w:rFonts w:ascii="Arial" w:hAnsi="Arial" w:cs="Arial"/>
          <w:sz w:val="24"/>
          <w:szCs w:val="24"/>
        </w:rPr>
        <w:t>ule 41(1)(c) of the Uniform Rules of Court.</w:t>
      </w:r>
      <w:r w:rsidR="00FC5374" w:rsidRPr="00EB10F3">
        <w:rPr>
          <w:rFonts w:ascii="Arial" w:hAnsi="Arial" w:cs="Arial"/>
          <w:sz w:val="24"/>
          <w:szCs w:val="24"/>
        </w:rPr>
        <w:t xml:space="preserve"> </w:t>
      </w:r>
      <w:r w:rsidR="00927D50" w:rsidRPr="00EB10F3">
        <w:rPr>
          <w:rFonts w:ascii="Arial" w:hAnsi="Arial" w:cs="Arial"/>
          <w:sz w:val="24"/>
          <w:szCs w:val="24"/>
        </w:rPr>
        <w:t xml:space="preserve"> The respondents opposed the application.  It is this dispute, with which I am seized.</w:t>
      </w:r>
    </w:p>
    <w:p w14:paraId="2A8643C9" w14:textId="77777777" w:rsidR="007947FC" w:rsidRDefault="007947FC" w:rsidP="007947FC">
      <w:pPr>
        <w:pStyle w:val="ListParagraph"/>
        <w:spacing w:after="0" w:line="480" w:lineRule="auto"/>
        <w:ind w:left="0"/>
        <w:jc w:val="both"/>
        <w:rPr>
          <w:rFonts w:ascii="Arial" w:hAnsi="Arial" w:cs="Arial"/>
          <w:sz w:val="24"/>
          <w:szCs w:val="24"/>
        </w:rPr>
      </w:pPr>
    </w:p>
    <w:p w14:paraId="3B7FA5B8" w14:textId="14C6363F" w:rsidR="00E7240B" w:rsidRPr="00EB10F3" w:rsidRDefault="00EB10F3" w:rsidP="00EB10F3">
      <w:pPr>
        <w:spacing w:after="0" w:line="480" w:lineRule="auto"/>
        <w:jc w:val="both"/>
        <w:rPr>
          <w:rFonts w:ascii="Arial" w:hAnsi="Arial" w:cs="Arial"/>
          <w:sz w:val="24"/>
          <w:szCs w:val="24"/>
        </w:rPr>
      </w:pPr>
      <w:r w:rsidRPr="00A570E5">
        <w:rPr>
          <w:rFonts w:ascii="Arial" w:eastAsia="Times New Roman" w:hAnsi="Arial" w:cs="Arial"/>
          <w:sz w:val="24"/>
          <w:szCs w:val="24"/>
        </w:rPr>
        <w:t>[7]</w:t>
      </w:r>
      <w:r w:rsidRPr="00A570E5">
        <w:rPr>
          <w:rFonts w:ascii="Arial" w:eastAsia="Times New Roman" w:hAnsi="Arial" w:cs="Arial"/>
          <w:sz w:val="24"/>
          <w:szCs w:val="24"/>
        </w:rPr>
        <w:tab/>
      </w:r>
      <w:r w:rsidR="00FC5374" w:rsidRPr="00EB10F3">
        <w:rPr>
          <w:rFonts w:ascii="Arial" w:hAnsi="Arial" w:cs="Arial"/>
          <w:sz w:val="24"/>
          <w:szCs w:val="24"/>
        </w:rPr>
        <w:t xml:space="preserve">At this </w:t>
      </w:r>
      <w:r w:rsidR="001E507A" w:rsidRPr="00EB10F3">
        <w:rPr>
          <w:rFonts w:ascii="Arial" w:hAnsi="Arial" w:cs="Arial"/>
          <w:sz w:val="24"/>
          <w:szCs w:val="24"/>
        </w:rPr>
        <w:t>juncture I must</w:t>
      </w:r>
      <w:r w:rsidR="00FC5374" w:rsidRPr="00EB10F3">
        <w:rPr>
          <w:rFonts w:ascii="Arial" w:hAnsi="Arial" w:cs="Arial"/>
          <w:sz w:val="24"/>
          <w:szCs w:val="24"/>
        </w:rPr>
        <w:t xml:space="preserve"> mention that </w:t>
      </w:r>
      <w:r w:rsidR="00673A51" w:rsidRPr="00EB10F3">
        <w:rPr>
          <w:rFonts w:ascii="Arial" w:hAnsi="Arial" w:cs="Arial"/>
          <w:sz w:val="24"/>
          <w:szCs w:val="24"/>
        </w:rPr>
        <w:t xml:space="preserve">the costs forming the subject matter of the dispute between the parties </w:t>
      </w:r>
      <w:r w:rsidR="00FC5374" w:rsidRPr="00EB10F3">
        <w:rPr>
          <w:rFonts w:ascii="Arial" w:hAnsi="Arial" w:cs="Arial"/>
          <w:sz w:val="24"/>
          <w:szCs w:val="24"/>
        </w:rPr>
        <w:t xml:space="preserve">are limited to those incurred in the drafting and </w:t>
      </w:r>
      <w:r w:rsidR="001E507A" w:rsidRPr="00EB10F3">
        <w:rPr>
          <w:rFonts w:ascii="Arial" w:hAnsi="Arial" w:cs="Arial"/>
          <w:sz w:val="24"/>
          <w:szCs w:val="24"/>
        </w:rPr>
        <w:t>delivery</w:t>
      </w:r>
      <w:r w:rsidR="00FC5374" w:rsidRPr="00EB10F3">
        <w:rPr>
          <w:rFonts w:ascii="Arial" w:hAnsi="Arial" w:cs="Arial"/>
          <w:sz w:val="24"/>
          <w:szCs w:val="24"/>
        </w:rPr>
        <w:t xml:space="preserve"> of the applicant’s replication, </w:t>
      </w:r>
      <w:r w:rsidR="007F151B" w:rsidRPr="00EB10F3">
        <w:rPr>
          <w:rFonts w:ascii="Arial" w:hAnsi="Arial" w:cs="Arial"/>
          <w:sz w:val="24"/>
          <w:szCs w:val="24"/>
        </w:rPr>
        <w:t xml:space="preserve">which </w:t>
      </w:r>
      <w:r w:rsidR="007947FC" w:rsidRPr="00EB10F3">
        <w:rPr>
          <w:rFonts w:ascii="Arial" w:hAnsi="Arial" w:cs="Arial"/>
          <w:sz w:val="24"/>
          <w:szCs w:val="24"/>
        </w:rPr>
        <w:t>is hardly</w:t>
      </w:r>
      <w:r w:rsidR="00A34BA8" w:rsidRPr="00EB10F3">
        <w:rPr>
          <w:rFonts w:ascii="Arial" w:hAnsi="Arial" w:cs="Arial"/>
          <w:sz w:val="24"/>
          <w:szCs w:val="24"/>
        </w:rPr>
        <w:t xml:space="preserve"> </w:t>
      </w:r>
      <w:r w:rsidR="007F151B" w:rsidRPr="00EB10F3">
        <w:rPr>
          <w:rFonts w:ascii="Arial" w:hAnsi="Arial" w:cs="Arial"/>
          <w:sz w:val="24"/>
          <w:szCs w:val="24"/>
        </w:rPr>
        <w:t>extensive in its ambit</w:t>
      </w:r>
      <w:r w:rsidR="00A53119" w:rsidRPr="00EB10F3">
        <w:rPr>
          <w:rFonts w:ascii="Arial" w:hAnsi="Arial" w:cs="Arial"/>
          <w:sz w:val="24"/>
          <w:szCs w:val="24"/>
        </w:rPr>
        <w:t xml:space="preserve"> (as is evident</w:t>
      </w:r>
      <w:r w:rsidR="0073646C" w:rsidRPr="00EB10F3">
        <w:rPr>
          <w:rFonts w:ascii="Arial" w:hAnsi="Arial" w:cs="Arial"/>
          <w:sz w:val="24"/>
          <w:szCs w:val="24"/>
        </w:rPr>
        <w:t xml:space="preserve"> from the</w:t>
      </w:r>
      <w:r w:rsidR="00A53119" w:rsidRPr="00EB10F3">
        <w:rPr>
          <w:rFonts w:ascii="Arial" w:hAnsi="Arial" w:cs="Arial"/>
          <w:sz w:val="24"/>
          <w:szCs w:val="24"/>
        </w:rPr>
        <w:t xml:space="preserve"> above)</w:t>
      </w:r>
      <w:r w:rsidR="007F151B" w:rsidRPr="00EB10F3">
        <w:rPr>
          <w:rFonts w:ascii="Arial" w:hAnsi="Arial" w:cs="Arial"/>
          <w:sz w:val="24"/>
          <w:szCs w:val="24"/>
        </w:rPr>
        <w:t>.</w:t>
      </w:r>
      <w:r w:rsidR="007A14E3" w:rsidRPr="00EB10F3">
        <w:rPr>
          <w:rFonts w:ascii="Arial" w:hAnsi="Arial" w:cs="Arial"/>
          <w:sz w:val="24"/>
          <w:szCs w:val="24"/>
        </w:rPr>
        <w:t xml:space="preserve">  This</w:t>
      </w:r>
      <w:r w:rsidR="00FC5374" w:rsidRPr="00EB10F3">
        <w:rPr>
          <w:rFonts w:ascii="Arial" w:hAnsi="Arial" w:cs="Arial"/>
          <w:sz w:val="24"/>
          <w:szCs w:val="24"/>
        </w:rPr>
        <w:t xml:space="preserve"> was conceded by </w:t>
      </w:r>
      <w:r w:rsidR="007A14E3" w:rsidRPr="00EB10F3">
        <w:rPr>
          <w:rFonts w:ascii="Arial" w:hAnsi="Arial" w:cs="Arial"/>
          <w:sz w:val="24"/>
          <w:szCs w:val="24"/>
        </w:rPr>
        <w:t xml:space="preserve">the respective </w:t>
      </w:r>
      <w:r w:rsidR="00FC5374" w:rsidRPr="00EB10F3">
        <w:rPr>
          <w:rFonts w:ascii="Arial" w:hAnsi="Arial" w:cs="Arial"/>
          <w:sz w:val="24"/>
          <w:szCs w:val="24"/>
        </w:rPr>
        <w:t xml:space="preserve">counsel appearing on behalf of </w:t>
      </w:r>
      <w:r w:rsidR="007A14E3" w:rsidRPr="00EB10F3">
        <w:rPr>
          <w:rFonts w:ascii="Arial" w:hAnsi="Arial" w:cs="Arial"/>
          <w:sz w:val="24"/>
          <w:szCs w:val="24"/>
        </w:rPr>
        <w:t>the</w:t>
      </w:r>
      <w:r w:rsidR="00FC5374" w:rsidRPr="00EB10F3">
        <w:rPr>
          <w:rFonts w:ascii="Arial" w:hAnsi="Arial" w:cs="Arial"/>
          <w:sz w:val="24"/>
          <w:szCs w:val="24"/>
        </w:rPr>
        <w:t xml:space="preserve"> parties</w:t>
      </w:r>
      <w:r w:rsidR="00506086" w:rsidRPr="00EB10F3">
        <w:rPr>
          <w:rFonts w:ascii="Arial" w:hAnsi="Arial" w:cs="Arial"/>
          <w:sz w:val="24"/>
          <w:szCs w:val="24"/>
        </w:rPr>
        <w:t>.</w:t>
      </w:r>
      <w:r w:rsidR="00A570E5" w:rsidRPr="00EB10F3">
        <w:rPr>
          <w:rFonts w:ascii="Arial" w:hAnsi="Arial" w:cs="Arial"/>
          <w:sz w:val="24"/>
          <w:szCs w:val="24"/>
        </w:rPr>
        <w:t xml:space="preserve">  </w:t>
      </w:r>
      <w:r w:rsidR="007A14E3" w:rsidRPr="00EB10F3">
        <w:rPr>
          <w:rFonts w:ascii="Arial" w:hAnsi="Arial" w:cs="Arial"/>
          <w:sz w:val="24"/>
          <w:szCs w:val="24"/>
        </w:rPr>
        <w:t>That the matter</w:t>
      </w:r>
      <w:r w:rsidR="00EC5235" w:rsidRPr="00EB10F3">
        <w:rPr>
          <w:rFonts w:ascii="Arial" w:hAnsi="Arial" w:cs="Arial"/>
          <w:sz w:val="24"/>
          <w:szCs w:val="24"/>
        </w:rPr>
        <w:t xml:space="preserve"> </w:t>
      </w:r>
      <w:r w:rsidR="007A14E3" w:rsidRPr="00EB10F3">
        <w:rPr>
          <w:rFonts w:ascii="Arial" w:hAnsi="Arial" w:cs="Arial"/>
          <w:sz w:val="24"/>
          <w:szCs w:val="24"/>
        </w:rPr>
        <w:t>escalated into a full-blown opposed application</w:t>
      </w:r>
      <w:r w:rsidR="0013560A" w:rsidRPr="00EB10F3">
        <w:rPr>
          <w:rFonts w:ascii="Arial" w:hAnsi="Arial" w:cs="Arial"/>
          <w:sz w:val="24"/>
          <w:szCs w:val="24"/>
        </w:rPr>
        <w:t>, with the incurrence of the</w:t>
      </w:r>
      <w:r w:rsidR="00C53AEA" w:rsidRPr="00EB10F3">
        <w:rPr>
          <w:rFonts w:ascii="Arial" w:hAnsi="Arial" w:cs="Arial"/>
          <w:sz w:val="24"/>
          <w:szCs w:val="24"/>
        </w:rPr>
        <w:t xml:space="preserve"> unnecessary</w:t>
      </w:r>
      <w:r w:rsidR="0013560A" w:rsidRPr="00EB10F3">
        <w:rPr>
          <w:rFonts w:ascii="Arial" w:hAnsi="Arial" w:cs="Arial"/>
          <w:sz w:val="24"/>
          <w:szCs w:val="24"/>
        </w:rPr>
        <w:t xml:space="preserve"> </w:t>
      </w:r>
      <w:r w:rsidR="00523CCD" w:rsidRPr="00EB10F3">
        <w:rPr>
          <w:rFonts w:ascii="Arial" w:hAnsi="Arial" w:cs="Arial"/>
          <w:sz w:val="24"/>
          <w:szCs w:val="24"/>
        </w:rPr>
        <w:t>costs</w:t>
      </w:r>
      <w:r w:rsidR="00D06802" w:rsidRPr="00EB10F3">
        <w:rPr>
          <w:rFonts w:ascii="Arial" w:hAnsi="Arial" w:cs="Arial"/>
          <w:sz w:val="24"/>
          <w:szCs w:val="24"/>
        </w:rPr>
        <w:t xml:space="preserve"> attendant upon doing so</w:t>
      </w:r>
      <w:r w:rsidR="005A10D6" w:rsidRPr="00EB10F3">
        <w:rPr>
          <w:rFonts w:ascii="Arial" w:hAnsi="Arial" w:cs="Arial"/>
          <w:sz w:val="24"/>
          <w:szCs w:val="24"/>
        </w:rPr>
        <w:t xml:space="preserve">, </w:t>
      </w:r>
      <w:r w:rsidR="00523CCD" w:rsidRPr="00EB10F3">
        <w:rPr>
          <w:rFonts w:ascii="Arial" w:hAnsi="Arial" w:cs="Arial"/>
          <w:sz w:val="24"/>
          <w:szCs w:val="24"/>
        </w:rPr>
        <w:t>which</w:t>
      </w:r>
      <w:r w:rsidR="008A1E52" w:rsidRPr="00EB10F3">
        <w:rPr>
          <w:rFonts w:ascii="Arial" w:hAnsi="Arial" w:cs="Arial"/>
          <w:sz w:val="24"/>
          <w:szCs w:val="24"/>
        </w:rPr>
        <w:t xml:space="preserve"> must</w:t>
      </w:r>
      <w:r w:rsidR="00523CCD" w:rsidRPr="00EB10F3">
        <w:rPr>
          <w:rFonts w:ascii="Arial" w:hAnsi="Arial" w:cs="Arial"/>
          <w:sz w:val="24"/>
          <w:szCs w:val="24"/>
        </w:rPr>
        <w:t xml:space="preserve"> far outweigh the costs</w:t>
      </w:r>
      <w:r w:rsidR="0074695A" w:rsidRPr="00EB10F3">
        <w:rPr>
          <w:rFonts w:ascii="Arial" w:hAnsi="Arial" w:cs="Arial"/>
          <w:sz w:val="24"/>
          <w:szCs w:val="24"/>
        </w:rPr>
        <w:t xml:space="preserve"> forming the </w:t>
      </w:r>
      <w:r w:rsidR="00523CCD" w:rsidRPr="00EB10F3">
        <w:rPr>
          <w:rFonts w:ascii="Arial" w:hAnsi="Arial" w:cs="Arial"/>
          <w:sz w:val="24"/>
          <w:szCs w:val="24"/>
        </w:rPr>
        <w:t>subject matter of this application</w:t>
      </w:r>
      <w:r w:rsidR="002C56A4" w:rsidRPr="00EB10F3">
        <w:rPr>
          <w:rFonts w:ascii="Arial" w:hAnsi="Arial" w:cs="Arial"/>
          <w:sz w:val="24"/>
          <w:szCs w:val="24"/>
        </w:rPr>
        <w:t>, can hardly be said to be justifiable</w:t>
      </w:r>
      <w:r w:rsidR="00C53AEA" w:rsidRPr="00EB10F3">
        <w:rPr>
          <w:rFonts w:ascii="Arial" w:hAnsi="Arial" w:cs="Arial"/>
          <w:sz w:val="24"/>
          <w:szCs w:val="24"/>
        </w:rPr>
        <w:t xml:space="preserve">.  </w:t>
      </w:r>
      <w:r w:rsidR="00A570E5" w:rsidRPr="00EB10F3">
        <w:rPr>
          <w:rFonts w:ascii="Arial" w:hAnsi="Arial" w:cs="Arial"/>
          <w:sz w:val="24"/>
          <w:szCs w:val="24"/>
        </w:rPr>
        <w:t xml:space="preserve">Moreover, </w:t>
      </w:r>
      <w:r w:rsidR="008A1E52" w:rsidRPr="00EB10F3">
        <w:rPr>
          <w:rFonts w:ascii="Arial" w:hAnsi="Arial" w:cs="Arial"/>
          <w:sz w:val="24"/>
          <w:szCs w:val="24"/>
        </w:rPr>
        <w:t xml:space="preserve">the </w:t>
      </w:r>
      <w:r w:rsidR="00523CCD" w:rsidRPr="00EB10F3">
        <w:rPr>
          <w:rFonts w:ascii="Arial" w:hAnsi="Arial" w:cs="Arial"/>
          <w:sz w:val="24"/>
          <w:szCs w:val="24"/>
        </w:rPr>
        <w:t>resultant loss of valuable court</w:t>
      </w:r>
      <w:r w:rsidR="008A1E52" w:rsidRPr="00EB10F3">
        <w:rPr>
          <w:rFonts w:ascii="Arial" w:hAnsi="Arial" w:cs="Arial"/>
          <w:sz w:val="24"/>
          <w:szCs w:val="24"/>
        </w:rPr>
        <w:t xml:space="preserve"> time,</w:t>
      </w:r>
      <w:r w:rsidR="00523CCD" w:rsidRPr="00EB10F3">
        <w:rPr>
          <w:rFonts w:ascii="Arial" w:hAnsi="Arial" w:cs="Arial"/>
          <w:sz w:val="24"/>
          <w:szCs w:val="24"/>
        </w:rPr>
        <w:t xml:space="preserve"> and resources is regrettable.  </w:t>
      </w:r>
    </w:p>
    <w:p w14:paraId="0A2E423D" w14:textId="77777777" w:rsidR="00523CCD" w:rsidRPr="00ED1D56" w:rsidRDefault="00523CCD" w:rsidP="008F1F43">
      <w:pPr>
        <w:spacing w:after="0" w:line="480" w:lineRule="auto"/>
        <w:rPr>
          <w:rFonts w:ascii="Arial" w:hAnsi="Arial" w:cs="Arial"/>
          <w:sz w:val="24"/>
          <w:szCs w:val="24"/>
        </w:rPr>
      </w:pPr>
    </w:p>
    <w:p w14:paraId="6AE285E0" w14:textId="740CF7A1" w:rsidR="00E34693" w:rsidRPr="00EB10F3" w:rsidRDefault="00EB10F3" w:rsidP="00EB10F3">
      <w:pPr>
        <w:spacing w:after="0" w:line="480" w:lineRule="auto"/>
        <w:jc w:val="both"/>
        <w:rPr>
          <w:rFonts w:ascii="Arial" w:hAnsi="Arial" w:cs="Arial"/>
          <w:sz w:val="24"/>
          <w:szCs w:val="24"/>
        </w:rPr>
      </w:pPr>
      <w:r w:rsidRPr="00585F5F">
        <w:rPr>
          <w:rFonts w:ascii="Arial" w:eastAsia="Times New Roman" w:hAnsi="Arial" w:cs="Arial"/>
          <w:sz w:val="24"/>
          <w:szCs w:val="24"/>
        </w:rPr>
        <w:t>[8]</w:t>
      </w:r>
      <w:r w:rsidRPr="00585F5F">
        <w:rPr>
          <w:rFonts w:ascii="Arial" w:eastAsia="Times New Roman" w:hAnsi="Arial" w:cs="Arial"/>
          <w:sz w:val="24"/>
          <w:szCs w:val="24"/>
        </w:rPr>
        <w:tab/>
      </w:r>
      <w:r w:rsidR="00782030" w:rsidRPr="00EB10F3">
        <w:rPr>
          <w:rFonts w:ascii="Arial" w:hAnsi="Arial" w:cs="Arial"/>
          <w:sz w:val="24"/>
          <w:szCs w:val="24"/>
        </w:rPr>
        <w:t xml:space="preserve">This is aggravated </w:t>
      </w:r>
      <w:r w:rsidR="008A1E52" w:rsidRPr="00EB10F3">
        <w:rPr>
          <w:rFonts w:ascii="Arial" w:hAnsi="Arial" w:cs="Arial"/>
          <w:sz w:val="24"/>
          <w:szCs w:val="24"/>
        </w:rPr>
        <w:t>by the fact that</w:t>
      </w:r>
      <w:r w:rsidR="00782030" w:rsidRPr="00EB10F3">
        <w:rPr>
          <w:rFonts w:ascii="Arial" w:hAnsi="Arial" w:cs="Arial"/>
          <w:sz w:val="24"/>
          <w:szCs w:val="24"/>
        </w:rPr>
        <w:t xml:space="preserve"> </w:t>
      </w:r>
      <w:r w:rsidR="008A1E52" w:rsidRPr="00EB10F3">
        <w:rPr>
          <w:rFonts w:ascii="Arial" w:hAnsi="Arial" w:cs="Arial"/>
          <w:sz w:val="24"/>
          <w:szCs w:val="24"/>
        </w:rPr>
        <w:t xml:space="preserve">the application </w:t>
      </w:r>
      <w:r w:rsidR="00E34693" w:rsidRPr="00EB10F3">
        <w:rPr>
          <w:rFonts w:ascii="Arial" w:hAnsi="Arial" w:cs="Arial"/>
          <w:sz w:val="24"/>
          <w:szCs w:val="24"/>
        </w:rPr>
        <w:t>was</w:t>
      </w:r>
      <w:r w:rsidR="00782030" w:rsidRPr="00EB10F3">
        <w:rPr>
          <w:rFonts w:ascii="Arial" w:hAnsi="Arial" w:cs="Arial"/>
          <w:sz w:val="24"/>
          <w:szCs w:val="24"/>
        </w:rPr>
        <w:t>, in my view,</w:t>
      </w:r>
      <w:r w:rsidR="00E34693" w:rsidRPr="00EB10F3">
        <w:rPr>
          <w:rFonts w:ascii="Arial" w:hAnsi="Arial" w:cs="Arial"/>
          <w:sz w:val="24"/>
          <w:szCs w:val="24"/>
        </w:rPr>
        <w:t xml:space="preserve"> ill-conceived</w:t>
      </w:r>
      <w:r w:rsidR="008A1E52" w:rsidRPr="00EB10F3">
        <w:rPr>
          <w:rFonts w:ascii="Arial" w:hAnsi="Arial" w:cs="Arial"/>
          <w:sz w:val="24"/>
          <w:szCs w:val="24"/>
        </w:rPr>
        <w:t xml:space="preserve"> </w:t>
      </w:r>
      <w:r w:rsidR="00E34693" w:rsidRPr="00EB10F3">
        <w:rPr>
          <w:rFonts w:ascii="Arial" w:hAnsi="Arial" w:cs="Arial"/>
          <w:sz w:val="24"/>
          <w:szCs w:val="24"/>
        </w:rPr>
        <w:t>from inception</w:t>
      </w:r>
      <w:r w:rsidR="001640E4" w:rsidRPr="00EB10F3">
        <w:rPr>
          <w:rFonts w:ascii="Arial" w:hAnsi="Arial" w:cs="Arial"/>
          <w:sz w:val="24"/>
          <w:szCs w:val="24"/>
        </w:rPr>
        <w:t xml:space="preserve"> given that the applicant’s reliance on </w:t>
      </w:r>
      <w:r w:rsidR="00067CB2" w:rsidRPr="00EB10F3">
        <w:rPr>
          <w:rFonts w:ascii="Arial" w:hAnsi="Arial" w:cs="Arial"/>
          <w:sz w:val="24"/>
          <w:szCs w:val="24"/>
        </w:rPr>
        <w:t>r</w:t>
      </w:r>
      <w:r w:rsidR="001640E4" w:rsidRPr="00EB10F3">
        <w:rPr>
          <w:rFonts w:ascii="Arial" w:hAnsi="Arial" w:cs="Arial"/>
          <w:sz w:val="24"/>
          <w:szCs w:val="24"/>
        </w:rPr>
        <w:t>ule 41, in the circumstances of this case, is misplaced</w:t>
      </w:r>
      <w:r w:rsidR="00026128" w:rsidRPr="00EB10F3">
        <w:rPr>
          <w:rFonts w:ascii="Arial" w:hAnsi="Arial" w:cs="Arial"/>
          <w:sz w:val="24"/>
          <w:szCs w:val="24"/>
        </w:rPr>
        <w:t>.  This is an aspect which escaped both parties.</w:t>
      </w:r>
      <w:r w:rsidR="00585F5F" w:rsidRPr="00EB10F3">
        <w:rPr>
          <w:rFonts w:ascii="Arial" w:hAnsi="Arial" w:cs="Arial"/>
          <w:sz w:val="24"/>
          <w:szCs w:val="24"/>
        </w:rPr>
        <w:t xml:space="preserve">    </w:t>
      </w:r>
    </w:p>
    <w:p w14:paraId="671D1C67" w14:textId="77777777" w:rsidR="00585F5F" w:rsidRDefault="00585F5F" w:rsidP="002B0F38">
      <w:pPr>
        <w:rPr>
          <w:rFonts w:ascii="Arial" w:hAnsi="Arial" w:cs="Arial"/>
          <w:b/>
          <w:bCs/>
          <w:i/>
          <w:iCs/>
          <w:sz w:val="24"/>
          <w:szCs w:val="24"/>
        </w:rPr>
      </w:pPr>
    </w:p>
    <w:p w14:paraId="6C46FB37" w14:textId="3110A881" w:rsidR="002B0F38" w:rsidRPr="002B0F38" w:rsidRDefault="002C35C8" w:rsidP="002B0F38">
      <w:pPr>
        <w:rPr>
          <w:rFonts w:ascii="Arial" w:hAnsi="Arial" w:cs="Arial"/>
          <w:b/>
          <w:bCs/>
          <w:i/>
          <w:iCs/>
          <w:sz w:val="24"/>
          <w:szCs w:val="24"/>
        </w:rPr>
      </w:pPr>
      <w:r>
        <w:rPr>
          <w:rFonts w:ascii="Arial" w:hAnsi="Arial" w:cs="Arial"/>
          <w:b/>
          <w:bCs/>
          <w:i/>
          <w:iCs/>
          <w:sz w:val="24"/>
          <w:szCs w:val="24"/>
        </w:rPr>
        <w:t xml:space="preserve">Uniform </w:t>
      </w:r>
      <w:r w:rsidR="002B0F38" w:rsidRPr="002B0F38">
        <w:rPr>
          <w:rFonts w:ascii="Arial" w:hAnsi="Arial" w:cs="Arial"/>
          <w:b/>
          <w:bCs/>
          <w:i/>
          <w:iCs/>
          <w:sz w:val="24"/>
          <w:szCs w:val="24"/>
        </w:rPr>
        <w:t>Rule</w:t>
      </w:r>
      <w:r w:rsidR="006D3A6D">
        <w:rPr>
          <w:rFonts w:ascii="Arial" w:hAnsi="Arial" w:cs="Arial"/>
          <w:b/>
          <w:bCs/>
          <w:i/>
          <w:iCs/>
          <w:sz w:val="24"/>
          <w:szCs w:val="24"/>
        </w:rPr>
        <w:t>s</w:t>
      </w:r>
      <w:r w:rsidR="002B0F38" w:rsidRPr="002B0F38">
        <w:rPr>
          <w:rFonts w:ascii="Arial" w:hAnsi="Arial" w:cs="Arial"/>
          <w:b/>
          <w:bCs/>
          <w:i/>
          <w:iCs/>
          <w:sz w:val="24"/>
          <w:szCs w:val="24"/>
        </w:rPr>
        <w:t xml:space="preserve"> 41(1)(</w:t>
      </w:r>
      <w:r w:rsidR="00455713">
        <w:rPr>
          <w:rFonts w:ascii="Arial" w:hAnsi="Arial" w:cs="Arial"/>
          <w:b/>
          <w:bCs/>
          <w:i/>
          <w:iCs/>
          <w:sz w:val="24"/>
          <w:szCs w:val="24"/>
        </w:rPr>
        <w:t>a</w:t>
      </w:r>
      <w:r w:rsidR="002B0F38" w:rsidRPr="002B0F38">
        <w:rPr>
          <w:rFonts w:ascii="Arial" w:hAnsi="Arial" w:cs="Arial"/>
          <w:b/>
          <w:bCs/>
          <w:i/>
          <w:iCs/>
          <w:sz w:val="24"/>
          <w:szCs w:val="24"/>
        </w:rPr>
        <w:t xml:space="preserve">) and </w:t>
      </w:r>
      <w:r w:rsidR="00DF55DD" w:rsidRPr="002B0F38">
        <w:rPr>
          <w:rFonts w:ascii="Arial" w:hAnsi="Arial" w:cs="Arial"/>
          <w:b/>
          <w:bCs/>
          <w:i/>
          <w:iCs/>
          <w:sz w:val="24"/>
          <w:szCs w:val="24"/>
        </w:rPr>
        <w:t>41(1</w:t>
      </w:r>
      <w:r w:rsidR="00DF55DD">
        <w:rPr>
          <w:rFonts w:ascii="Arial" w:hAnsi="Arial" w:cs="Arial"/>
          <w:b/>
          <w:bCs/>
          <w:i/>
          <w:iCs/>
          <w:sz w:val="24"/>
          <w:szCs w:val="24"/>
        </w:rPr>
        <w:t>)</w:t>
      </w:r>
      <w:r w:rsidR="00455713">
        <w:rPr>
          <w:rFonts w:ascii="Arial" w:hAnsi="Arial" w:cs="Arial"/>
          <w:b/>
          <w:bCs/>
          <w:i/>
          <w:iCs/>
          <w:sz w:val="24"/>
          <w:szCs w:val="24"/>
        </w:rPr>
        <w:t>(c) and their</w:t>
      </w:r>
      <w:r w:rsidR="002B0F38" w:rsidRPr="002B0F38">
        <w:rPr>
          <w:rFonts w:ascii="Arial" w:hAnsi="Arial" w:cs="Arial"/>
          <w:b/>
          <w:bCs/>
          <w:i/>
          <w:iCs/>
          <w:sz w:val="24"/>
          <w:szCs w:val="24"/>
        </w:rPr>
        <w:t xml:space="preserve"> applicability</w:t>
      </w:r>
    </w:p>
    <w:p w14:paraId="0833FCAE" w14:textId="77777777" w:rsidR="002B0F38" w:rsidRPr="002B0F38" w:rsidRDefault="002B0F38" w:rsidP="002B0F38">
      <w:pPr>
        <w:rPr>
          <w:rFonts w:ascii="Arial" w:hAnsi="Arial" w:cs="Arial"/>
          <w:sz w:val="24"/>
          <w:szCs w:val="24"/>
        </w:rPr>
      </w:pPr>
    </w:p>
    <w:p w14:paraId="584BCFF9" w14:textId="55E91876" w:rsidR="00455713" w:rsidRPr="00EB10F3" w:rsidRDefault="00EB10F3" w:rsidP="00EB10F3">
      <w:pPr>
        <w:spacing w:after="0" w:line="480" w:lineRule="auto"/>
        <w:jc w:val="both"/>
        <w:rPr>
          <w:rFonts w:ascii="Arial" w:hAnsi="Arial" w:cs="Arial"/>
          <w:sz w:val="24"/>
          <w:szCs w:val="24"/>
        </w:rPr>
      </w:pPr>
      <w:r>
        <w:rPr>
          <w:rFonts w:ascii="Arial" w:eastAsia="Times New Roman" w:hAnsi="Arial" w:cs="Arial"/>
          <w:sz w:val="24"/>
          <w:szCs w:val="24"/>
        </w:rPr>
        <w:t>[9]</w:t>
      </w:r>
      <w:r>
        <w:rPr>
          <w:rFonts w:ascii="Arial" w:eastAsia="Times New Roman" w:hAnsi="Arial" w:cs="Arial"/>
          <w:sz w:val="24"/>
          <w:szCs w:val="24"/>
        </w:rPr>
        <w:tab/>
      </w:r>
      <w:r w:rsidR="00455713" w:rsidRPr="00EB10F3">
        <w:rPr>
          <w:rFonts w:ascii="Arial" w:hAnsi="Arial" w:cs="Arial"/>
          <w:sz w:val="24"/>
          <w:szCs w:val="24"/>
        </w:rPr>
        <w:t>The</w:t>
      </w:r>
      <w:r w:rsidR="00B702FF" w:rsidRPr="00EB10F3">
        <w:rPr>
          <w:rFonts w:ascii="Arial" w:hAnsi="Arial" w:cs="Arial"/>
          <w:sz w:val="24"/>
          <w:szCs w:val="24"/>
        </w:rPr>
        <w:t xml:space="preserve"> relevant subsections to the Rule </w:t>
      </w:r>
      <w:r w:rsidR="00455713" w:rsidRPr="00EB10F3">
        <w:rPr>
          <w:rFonts w:ascii="Arial" w:hAnsi="Arial" w:cs="Arial"/>
          <w:sz w:val="24"/>
          <w:szCs w:val="24"/>
        </w:rPr>
        <w:t>provide as follows:</w:t>
      </w:r>
    </w:p>
    <w:p w14:paraId="2BA9757D" w14:textId="77777777" w:rsidR="00455713" w:rsidRDefault="00455713" w:rsidP="00455713">
      <w:pPr>
        <w:pStyle w:val="ListParagraph"/>
        <w:spacing w:after="0" w:line="480" w:lineRule="auto"/>
        <w:ind w:left="0"/>
        <w:jc w:val="both"/>
        <w:rPr>
          <w:rFonts w:ascii="Arial" w:hAnsi="Arial" w:cs="Arial"/>
          <w:sz w:val="24"/>
          <w:szCs w:val="24"/>
        </w:rPr>
      </w:pPr>
    </w:p>
    <w:p w14:paraId="1A0A0C1A" w14:textId="22D503A2" w:rsidR="00B702FF" w:rsidRPr="00B702FF" w:rsidRDefault="00B702FF" w:rsidP="00B702FF">
      <w:pPr>
        <w:pStyle w:val="ListParagraph"/>
        <w:spacing w:after="0" w:line="360" w:lineRule="auto"/>
        <w:ind w:left="1843" w:hanging="1123"/>
        <w:jc w:val="both"/>
        <w:rPr>
          <w:rFonts w:ascii="Arial" w:hAnsi="Arial" w:cs="Arial"/>
          <w:i/>
          <w:iCs/>
        </w:rPr>
      </w:pPr>
      <w:r>
        <w:rPr>
          <w:rFonts w:ascii="Arial" w:hAnsi="Arial" w:cs="Arial"/>
        </w:rPr>
        <w:t>“</w:t>
      </w:r>
      <w:bookmarkStart w:id="1" w:name="_Hlk163456608"/>
      <w:r w:rsidRPr="00B702FF">
        <w:rPr>
          <w:rFonts w:ascii="Arial" w:hAnsi="Arial" w:cs="Arial"/>
          <w:i/>
          <w:iCs/>
        </w:rPr>
        <w:t>41(1)(a)</w:t>
      </w:r>
      <w:r w:rsidRPr="00B702FF">
        <w:rPr>
          <w:rFonts w:ascii="Arial" w:hAnsi="Arial" w:cs="Arial"/>
          <w:i/>
          <w:iCs/>
        </w:rPr>
        <w:tab/>
        <w:t xml:space="preserve">A person instituting </w:t>
      </w:r>
      <w:bookmarkEnd w:id="1"/>
      <w:r w:rsidRPr="00B702FF">
        <w:rPr>
          <w:rFonts w:ascii="Arial" w:hAnsi="Arial" w:cs="Arial"/>
          <w:i/>
          <w:iCs/>
        </w:rPr>
        <w:t>any proceedings may at any time before the matter has been set down and thereafter by consent of the parties or leave of the court withdraw such proceedings, in any of which events he shall deliver a notice of withdrawal any may embody in such notice a consent to pay costs; and the taxing master shall tax such costs on the request of the other party;</w:t>
      </w:r>
    </w:p>
    <w:p w14:paraId="5202A513" w14:textId="41AEE734" w:rsidR="00B702FF" w:rsidRDefault="00B702FF" w:rsidP="00B702FF">
      <w:pPr>
        <w:pStyle w:val="ListParagraph"/>
        <w:spacing w:after="0" w:line="360" w:lineRule="auto"/>
        <w:ind w:left="1843" w:hanging="1123"/>
        <w:jc w:val="both"/>
        <w:rPr>
          <w:rFonts w:ascii="Arial" w:hAnsi="Arial" w:cs="Arial"/>
          <w:i/>
          <w:iCs/>
        </w:rPr>
      </w:pPr>
      <w:r w:rsidRPr="00B702FF">
        <w:rPr>
          <w:rFonts w:ascii="Arial" w:hAnsi="Arial" w:cs="Arial"/>
          <w:i/>
          <w:iCs/>
        </w:rPr>
        <w:t>(b)</w:t>
      </w:r>
      <w:r w:rsidRPr="00B702FF">
        <w:rPr>
          <w:rFonts w:ascii="Arial" w:hAnsi="Arial" w:cs="Arial"/>
          <w:i/>
          <w:iCs/>
        </w:rPr>
        <w:tab/>
        <w:t>…</w:t>
      </w:r>
    </w:p>
    <w:p w14:paraId="27C2B21E" w14:textId="77777777" w:rsidR="00236669" w:rsidRPr="00B702FF" w:rsidRDefault="00236669" w:rsidP="00B702FF">
      <w:pPr>
        <w:pStyle w:val="ListParagraph"/>
        <w:spacing w:after="0" w:line="360" w:lineRule="auto"/>
        <w:ind w:left="1843" w:hanging="1123"/>
        <w:jc w:val="both"/>
        <w:rPr>
          <w:rFonts w:ascii="Arial" w:hAnsi="Arial" w:cs="Arial"/>
          <w:i/>
          <w:iCs/>
        </w:rPr>
      </w:pPr>
    </w:p>
    <w:p w14:paraId="412854BD" w14:textId="77777777" w:rsidR="00510093" w:rsidRDefault="00B702FF" w:rsidP="00510093">
      <w:pPr>
        <w:pStyle w:val="ListParagraph"/>
        <w:spacing w:after="0" w:line="360" w:lineRule="auto"/>
        <w:ind w:left="1843" w:hanging="1123"/>
        <w:jc w:val="both"/>
        <w:rPr>
          <w:rFonts w:ascii="Arial" w:hAnsi="Arial" w:cs="Arial"/>
          <w:sz w:val="24"/>
          <w:szCs w:val="24"/>
        </w:rPr>
      </w:pPr>
      <w:r w:rsidRPr="00B702FF">
        <w:rPr>
          <w:rFonts w:ascii="Arial" w:hAnsi="Arial" w:cs="Arial"/>
          <w:i/>
          <w:iCs/>
        </w:rPr>
        <w:lastRenderedPageBreak/>
        <w:t>(c)</w:t>
      </w:r>
      <w:r w:rsidRPr="00B702FF">
        <w:rPr>
          <w:rFonts w:ascii="Arial" w:hAnsi="Arial" w:cs="Arial"/>
          <w:i/>
          <w:iCs/>
        </w:rPr>
        <w:tab/>
        <w:t>If not such consent to pay costs is embodied in the notice of withdrawal, the other party may apply to court on notice for an order for costs.</w:t>
      </w:r>
      <w:r>
        <w:rPr>
          <w:rFonts w:ascii="Arial" w:hAnsi="Arial" w:cs="Arial"/>
          <w:sz w:val="24"/>
          <w:szCs w:val="24"/>
        </w:rPr>
        <w:t>”</w:t>
      </w:r>
    </w:p>
    <w:p w14:paraId="74E2DAF2" w14:textId="6531C390" w:rsidR="008335B3" w:rsidRDefault="008335B3" w:rsidP="000E4270">
      <w:pPr>
        <w:pStyle w:val="ListParagraph"/>
        <w:spacing w:after="0" w:line="480" w:lineRule="auto"/>
        <w:ind w:left="1843" w:hanging="1123"/>
        <w:jc w:val="both"/>
        <w:rPr>
          <w:rFonts w:ascii="Arial" w:hAnsi="Arial" w:cs="Arial"/>
          <w:sz w:val="24"/>
          <w:szCs w:val="24"/>
        </w:rPr>
      </w:pPr>
      <w:r>
        <w:rPr>
          <w:rFonts w:ascii="Arial" w:hAnsi="Arial" w:cs="Arial"/>
          <w:sz w:val="24"/>
          <w:szCs w:val="24"/>
        </w:rPr>
        <w:t xml:space="preserve"> </w:t>
      </w:r>
    </w:p>
    <w:p w14:paraId="4A414AF8" w14:textId="066F7B95" w:rsidR="00095010" w:rsidRPr="00EB10F3" w:rsidRDefault="00EB10F3" w:rsidP="00EB10F3">
      <w:pPr>
        <w:spacing w:after="0" w:line="480" w:lineRule="auto"/>
        <w:jc w:val="both"/>
        <w:rPr>
          <w:rFonts w:ascii="Arial" w:hAnsi="Arial" w:cs="Arial"/>
          <w:sz w:val="24"/>
          <w:szCs w:val="24"/>
        </w:rPr>
      </w:pPr>
      <w:r>
        <w:rPr>
          <w:rFonts w:ascii="Arial" w:eastAsia="Times New Roman" w:hAnsi="Arial" w:cs="Arial"/>
          <w:sz w:val="24"/>
          <w:szCs w:val="24"/>
        </w:rPr>
        <w:t>[10]</w:t>
      </w:r>
      <w:r>
        <w:rPr>
          <w:rFonts w:ascii="Arial" w:eastAsia="Times New Roman" w:hAnsi="Arial" w:cs="Arial"/>
          <w:sz w:val="24"/>
          <w:szCs w:val="24"/>
        </w:rPr>
        <w:tab/>
      </w:r>
      <w:r w:rsidR="00D9007E" w:rsidRPr="00EB10F3">
        <w:rPr>
          <w:rFonts w:ascii="Arial" w:hAnsi="Arial" w:cs="Arial"/>
          <w:sz w:val="24"/>
          <w:szCs w:val="24"/>
        </w:rPr>
        <w:t xml:space="preserve">Self-evidently, in order to seek redress under </w:t>
      </w:r>
      <w:r w:rsidR="008335B3" w:rsidRPr="00EB10F3">
        <w:rPr>
          <w:rFonts w:ascii="Arial" w:hAnsi="Arial" w:cs="Arial"/>
          <w:sz w:val="24"/>
          <w:szCs w:val="24"/>
        </w:rPr>
        <w:t>r</w:t>
      </w:r>
      <w:r w:rsidR="00D9007E" w:rsidRPr="00EB10F3">
        <w:rPr>
          <w:rFonts w:ascii="Arial" w:hAnsi="Arial" w:cs="Arial"/>
          <w:sz w:val="24"/>
          <w:szCs w:val="24"/>
        </w:rPr>
        <w:t>ule 41(1)(c), the subject</w:t>
      </w:r>
      <w:r w:rsidR="006C5A4F" w:rsidRPr="00EB10F3">
        <w:rPr>
          <w:rFonts w:ascii="Arial" w:hAnsi="Arial" w:cs="Arial"/>
          <w:sz w:val="24"/>
          <w:szCs w:val="24"/>
        </w:rPr>
        <w:t xml:space="preserve"> matter</w:t>
      </w:r>
      <w:r w:rsidR="00D9007E" w:rsidRPr="00EB10F3">
        <w:rPr>
          <w:rFonts w:ascii="Arial" w:hAnsi="Arial" w:cs="Arial"/>
          <w:sz w:val="24"/>
          <w:szCs w:val="24"/>
        </w:rPr>
        <w:t xml:space="preserve"> of the withdrawal must constitute a “</w:t>
      </w:r>
      <w:r w:rsidR="00D9007E" w:rsidRPr="00EB10F3">
        <w:rPr>
          <w:rFonts w:ascii="Arial" w:hAnsi="Arial" w:cs="Arial"/>
          <w:i/>
          <w:iCs/>
          <w:sz w:val="24"/>
          <w:szCs w:val="24"/>
        </w:rPr>
        <w:t>proceeding</w:t>
      </w:r>
      <w:r w:rsidR="00D9007E" w:rsidRPr="00EB10F3">
        <w:rPr>
          <w:rFonts w:ascii="Arial" w:hAnsi="Arial" w:cs="Arial"/>
          <w:sz w:val="24"/>
          <w:szCs w:val="24"/>
        </w:rPr>
        <w:t>” within the context of rule</w:t>
      </w:r>
      <w:r w:rsidR="00ED4FCD" w:rsidRPr="00EB10F3">
        <w:rPr>
          <w:rFonts w:ascii="Arial" w:hAnsi="Arial" w:cs="Arial"/>
          <w:sz w:val="24"/>
          <w:szCs w:val="24"/>
        </w:rPr>
        <w:t xml:space="preserve"> 41(1)(a)</w:t>
      </w:r>
      <w:r w:rsidR="00D9007E" w:rsidRPr="00EB10F3">
        <w:rPr>
          <w:rFonts w:ascii="Arial" w:hAnsi="Arial" w:cs="Arial"/>
          <w:sz w:val="24"/>
          <w:szCs w:val="24"/>
        </w:rPr>
        <w:t>.</w:t>
      </w:r>
      <w:r w:rsidR="00ED4FCD" w:rsidRPr="00EB10F3">
        <w:rPr>
          <w:rFonts w:ascii="Arial" w:hAnsi="Arial" w:cs="Arial"/>
          <w:sz w:val="24"/>
          <w:szCs w:val="24"/>
        </w:rPr>
        <w:t xml:space="preserve">  </w:t>
      </w:r>
      <w:r w:rsidR="008335B3" w:rsidRPr="00EB10F3">
        <w:rPr>
          <w:rFonts w:ascii="Arial" w:hAnsi="Arial" w:cs="Arial"/>
          <w:sz w:val="24"/>
          <w:szCs w:val="24"/>
        </w:rPr>
        <w:t>The general principle is that the party withdrawing is liable to pay the costs of the proceedings</w:t>
      </w:r>
      <w:r w:rsidR="00F44BAD" w:rsidRPr="00EB10F3">
        <w:rPr>
          <w:rFonts w:ascii="Arial" w:hAnsi="Arial" w:cs="Arial"/>
          <w:sz w:val="24"/>
          <w:szCs w:val="24"/>
        </w:rPr>
        <w:t xml:space="preserve"> unless very sound reasons exist as to why the other party</w:t>
      </w:r>
      <w:r w:rsidR="00130FF3" w:rsidRPr="00EB10F3">
        <w:rPr>
          <w:rFonts w:ascii="Arial" w:hAnsi="Arial" w:cs="Arial"/>
          <w:sz w:val="24"/>
          <w:szCs w:val="24"/>
        </w:rPr>
        <w:t xml:space="preserve"> should not be entitled to his/her costs</w:t>
      </w:r>
      <w:r w:rsidR="008335B3" w:rsidRPr="00EB10F3">
        <w:rPr>
          <w:rFonts w:ascii="Arial" w:hAnsi="Arial" w:cs="Arial"/>
          <w:sz w:val="24"/>
          <w:szCs w:val="24"/>
        </w:rPr>
        <w:t xml:space="preserve">.  </w:t>
      </w:r>
      <w:r w:rsidR="006C5A4F" w:rsidRPr="00EB10F3">
        <w:rPr>
          <w:rFonts w:ascii="Arial" w:hAnsi="Arial" w:cs="Arial"/>
          <w:sz w:val="24"/>
          <w:szCs w:val="24"/>
        </w:rPr>
        <w:t>The reason for this is manifest</w:t>
      </w:r>
      <w:r w:rsidR="00095010" w:rsidRPr="00EB10F3">
        <w:rPr>
          <w:rFonts w:ascii="Arial" w:hAnsi="Arial" w:cs="Arial"/>
          <w:sz w:val="24"/>
          <w:szCs w:val="24"/>
        </w:rPr>
        <w:t xml:space="preserve"> and appears from the headnote of </w:t>
      </w:r>
      <w:r w:rsidR="00095010" w:rsidRPr="00EB10F3">
        <w:rPr>
          <w:rFonts w:ascii="Arial" w:hAnsi="Arial" w:cs="Arial"/>
          <w:i/>
          <w:iCs/>
          <w:sz w:val="24"/>
          <w:szCs w:val="24"/>
          <w:lang w:val="en-US"/>
        </w:rPr>
        <w:t>Germishuys v Douglas Besproeiingsraad</w:t>
      </w:r>
      <w:r w:rsidR="00095010" w:rsidRPr="00EB10F3">
        <w:rPr>
          <w:rFonts w:ascii="Arial" w:hAnsi="Arial" w:cs="Arial"/>
          <w:sz w:val="24"/>
          <w:szCs w:val="24"/>
        </w:rPr>
        <w:t>,</w:t>
      </w:r>
      <w:r w:rsidR="00095010">
        <w:rPr>
          <w:rStyle w:val="FootnoteReference"/>
          <w:rFonts w:ascii="Arial" w:hAnsi="Arial" w:cs="Arial"/>
          <w:sz w:val="24"/>
          <w:szCs w:val="24"/>
        </w:rPr>
        <w:footnoteReference w:id="1"/>
      </w:r>
      <w:r w:rsidR="00095010" w:rsidRPr="00EB10F3">
        <w:rPr>
          <w:rFonts w:ascii="Arial" w:hAnsi="Arial" w:cs="Arial"/>
          <w:sz w:val="24"/>
          <w:szCs w:val="24"/>
        </w:rPr>
        <w:t xml:space="preserve"> which correctly reflects what is stated by van Rhyn J at 300D-E:</w:t>
      </w:r>
      <w:r w:rsidR="006C5A4F" w:rsidRPr="00EB10F3">
        <w:rPr>
          <w:rFonts w:ascii="Arial" w:hAnsi="Arial" w:cs="Arial"/>
          <w:sz w:val="24"/>
          <w:szCs w:val="24"/>
        </w:rPr>
        <w:t xml:space="preserve">  </w:t>
      </w:r>
    </w:p>
    <w:p w14:paraId="1F9BD488" w14:textId="77777777" w:rsidR="00095010" w:rsidRDefault="00095010" w:rsidP="00095010">
      <w:pPr>
        <w:pStyle w:val="ListParagraph"/>
        <w:spacing w:after="0" w:line="480" w:lineRule="auto"/>
        <w:ind w:left="0"/>
        <w:jc w:val="both"/>
        <w:rPr>
          <w:rFonts w:ascii="Arial" w:hAnsi="Arial" w:cs="Arial"/>
          <w:sz w:val="24"/>
          <w:szCs w:val="24"/>
        </w:rPr>
      </w:pPr>
    </w:p>
    <w:p w14:paraId="0908272E" w14:textId="77777777" w:rsidR="00BE66B8" w:rsidRPr="00BE66B8" w:rsidRDefault="00095010" w:rsidP="00BE66B8">
      <w:pPr>
        <w:pStyle w:val="ListParagraph"/>
        <w:spacing w:after="0" w:line="360" w:lineRule="auto"/>
        <w:jc w:val="both"/>
        <w:rPr>
          <w:rFonts w:ascii="Arial" w:hAnsi="Arial" w:cs="Arial"/>
        </w:rPr>
      </w:pPr>
      <w:r w:rsidRPr="00BE66B8">
        <w:rPr>
          <w:rFonts w:ascii="Arial" w:hAnsi="Arial" w:cs="Arial"/>
        </w:rPr>
        <w:t>“</w:t>
      </w:r>
      <w:r w:rsidR="006C5A4F" w:rsidRPr="00BE66B8">
        <w:rPr>
          <w:rFonts w:ascii="Arial" w:hAnsi="Arial" w:cs="Arial"/>
          <w:i/>
          <w:iCs/>
        </w:rPr>
        <w:t>Where a litigant</w:t>
      </w:r>
      <w:r w:rsidRPr="00BE66B8">
        <w:rPr>
          <w:rFonts w:ascii="Arial" w:hAnsi="Arial" w:cs="Arial"/>
          <w:i/>
          <w:iCs/>
        </w:rPr>
        <w:t xml:space="preserve"> withdraws an action or in effect withdraws it, very sound reasons must exist why a defendant or respondent should not be entitled to his costs.  The plaintiff </w:t>
      </w:r>
      <w:r w:rsidR="00BE66B8" w:rsidRPr="00BE66B8">
        <w:rPr>
          <w:rFonts w:ascii="Arial" w:hAnsi="Arial" w:cs="Arial"/>
          <w:i/>
          <w:iCs/>
        </w:rPr>
        <w:t>or applicant who withdraws his action or application is in the same position as an unsuccessful litigant because, after all, his claim or application is futile and the defendant, or respondent, is entitled to all costs associated with the withdrawing plaintiff’s or applicant’s institution of proceedings</w:t>
      </w:r>
      <w:r w:rsidR="00BE66B8" w:rsidRPr="00BE66B8">
        <w:rPr>
          <w:rFonts w:ascii="Arial" w:hAnsi="Arial" w:cs="Arial"/>
        </w:rPr>
        <w:t>.”</w:t>
      </w:r>
    </w:p>
    <w:p w14:paraId="14411871" w14:textId="18D3D6AC" w:rsidR="00C36E10" w:rsidRPr="00095010" w:rsidRDefault="006C5A4F" w:rsidP="00095010">
      <w:pPr>
        <w:pStyle w:val="ListParagraph"/>
        <w:spacing w:after="0" w:line="480" w:lineRule="auto"/>
        <w:ind w:left="0" w:firstLine="720"/>
        <w:jc w:val="both"/>
        <w:rPr>
          <w:rFonts w:ascii="Arial" w:hAnsi="Arial" w:cs="Arial"/>
          <w:sz w:val="24"/>
          <w:szCs w:val="24"/>
        </w:rPr>
      </w:pPr>
      <w:r w:rsidRPr="00095010">
        <w:rPr>
          <w:rFonts w:ascii="Arial" w:hAnsi="Arial" w:cs="Arial"/>
          <w:sz w:val="24"/>
          <w:szCs w:val="24"/>
        </w:rPr>
        <w:t xml:space="preserve">  </w:t>
      </w:r>
    </w:p>
    <w:p w14:paraId="256563AA" w14:textId="081057C0" w:rsidR="00026128" w:rsidRPr="00EB10F3" w:rsidRDefault="00EB10F3" w:rsidP="00EB10F3">
      <w:pPr>
        <w:spacing w:after="0" w:line="480" w:lineRule="auto"/>
        <w:jc w:val="both"/>
        <w:rPr>
          <w:rFonts w:ascii="Arial" w:hAnsi="Arial" w:cs="Arial"/>
          <w:sz w:val="24"/>
          <w:szCs w:val="24"/>
        </w:rPr>
      </w:pPr>
      <w:r>
        <w:rPr>
          <w:rFonts w:ascii="Arial" w:eastAsia="Times New Roman" w:hAnsi="Arial" w:cs="Arial"/>
          <w:sz w:val="24"/>
          <w:szCs w:val="24"/>
        </w:rPr>
        <w:t>[11]</w:t>
      </w:r>
      <w:r>
        <w:rPr>
          <w:rFonts w:ascii="Arial" w:eastAsia="Times New Roman" w:hAnsi="Arial" w:cs="Arial"/>
          <w:sz w:val="24"/>
          <w:szCs w:val="24"/>
        </w:rPr>
        <w:tab/>
      </w:r>
      <w:r w:rsidR="00ED4FCD" w:rsidRPr="00EB10F3">
        <w:rPr>
          <w:rFonts w:ascii="Arial" w:hAnsi="Arial" w:cs="Arial"/>
          <w:sz w:val="24"/>
          <w:szCs w:val="24"/>
        </w:rPr>
        <w:t>It is this hurdle that the applicant</w:t>
      </w:r>
      <w:r w:rsidR="00195A50" w:rsidRPr="00EB10F3">
        <w:rPr>
          <w:rFonts w:ascii="Arial" w:hAnsi="Arial" w:cs="Arial"/>
          <w:sz w:val="24"/>
          <w:szCs w:val="24"/>
        </w:rPr>
        <w:t xml:space="preserve"> in the present matter</w:t>
      </w:r>
      <w:r w:rsidR="00ED4FCD" w:rsidRPr="00EB10F3">
        <w:rPr>
          <w:rFonts w:ascii="Arial" w:hAnsi="Arial" w:cs="Arial"/>
          <w:sz w:val="24"/>
          <w:szCs w:val="24"/>
        </w:rPr>
        <w:t xml:space="preserve"> does not pass,</w:t>
      </w:r>
      <w:r w:rsidR="00026128" w:rsidRPr="00EB10F3">
        <w:rPr>
          <w:rFonts w:ascii="Arial" w:hAnsi="Arial" w:cs="Arial"/>
          <w:sz w:val="24"/>
          <w:szCs w:val="24"/>
        </w:rPr>
        <w:t xml:space="preserve"> for the simple reason that</w:t>
      </w:r>
      <w:r w:rsidR="00FF60A9" w:rsidRPr="00EB10F3">
        <w:rPr>
          <w:rFonts w:ascii="Arial" w:hAnsi="Arial" w:cs="Arial"/>
          <w:sz w:val="24"/>
          <w:szCs w:val="24"/>
        </w:rPr>
        <w:t xml:space="preserve"> a special plea, by its very nature,</w:t>
      </w:r>
      <w:r w:rsidR="00D82E46" w:rsidRPr="00EB10F3">
        <w:rPr>
          <w:rFonts w:ascii="Arial" w:hAnsi="Arial" w:cs="Arial"/>
          <w:sz w:val="24"/>
          <w:szCs w:val="24"/>
        </w:rPr>
        <w:t xml:space="preserve"> is a special defence raised on the pleadings</w:t>
      </w:r>
      <w:r w:rsidR="00E05086" w:rsidRPr="00EB10F3">
        <w:rPr>
          <w:rFonts w:ascii="Arial" w:hAnsi="Arial" w:cs="Arial"/>
          <w:sz w:val="24"/>
          <w:szCs w:val="24"/>
        </w:rPr>
        <w:t xml:space="preserve"> by a defendant</w:t>
      </w:r>
      <w:r w:rsidR="000E4270" w:rsidRPr="00EB10F3">
        <w:rPr>
          <w:rFonts w:ascii="Arial" w:hAnsi="Arial" w:cs="Arial"/>
          <w:sz w:val="24"/>
          <w:szCs w:val="24"/>
        </w:rPr>
        <w:t>,</w:t>
      </w:r>
      <w:r w:rsidR="00E05086" w:rsidRPr="00EB10F3">
        <w:rPr>
          <w:rFonts w:ascii="Arial" w:hAnsi="Arial" w:cs="Arial"/>
          <w:sz w:val="24"/>
          <w:szCs w:val="24"/>
        </w:rPr>
        <w:t xml:space="preserve"> which has as its object </w:t>
      </w:r>
      <w:r w:rsidR="000E4270" w:rsidRPr="00EB10F3">
        <w:rPr>
          <w:rFonts w:ascii="Arial" w:hAnsi="Arial" w:cs="Arial"/>
          <w:sz w:val="24"/>
          <w:szCs w:val="24"/>
        </w:rPr>
        <w:t>the delay of proceedings or the quashing thereof</w:t>
      </w:r>
      <w:r w:rsidR="00E05086">
        <w:rPr>
          <w:rStyle w:val="FootnoteReference"/>
          <w:rFonts w:ascii="Arial" w:hAnsi="Arial" w:cs="Arial"/>
          <w:sz w:val="24"/>
          <w:szCs w:val="24"/>
        </w:rPr>
        <w:footnoteReference w:id="2"/>
      </w:r>
      <w:r w:rsidR="00E95BC5" w:rsidRPr="00EB10F3">
        <w:rPr>
          <w:rFonts w:ascii="Arial" w:hAnsi="Arial" w:cs="Arial"/>
          <w:sz w:val="24"/>
          <w:szCs w:val="24"/>
        </w:rPr>
        <w:t xml:space="preserve"> - a</w:t>
      </w:r>
      <w:r w:rsidR="00E05086" w:rsidRPr="00EB10F3">
        <w:rPr>
          <w:rFonts w:ascii="Arial" w:hAnsi="Arial" w:cs="Arial"/>
          <w:sz w:val="24"/>
          <w:szCs w:val="24"/>
        </w:rPr>
        <w:t xml:space="preserve"> special plea is </w:t>
      </w:r>
      <w:r w:rsidR="004044F2" w:rsidRPr="00EB10F3">
        <w:rPr>
          <w:rFonts w:ascii="Arial" w:hAnsi="Arial" w:cs="Arial"/>
          <w:sz w:val="24"/>
          <w:szCs w:val="24"/>
        </w:rPr>
        <w:t xml:space="preserve">neither </w:t>
      </w:r>
      <w:r w:rsidR="00E05086" w:rsidRPr="00EB10F3">
        <w:rPr>
          <w:rFonts w:ascii="Arial" w:hAnsi="Arial" w:cs="Arial"/>
          <w:i/>
          <w:iCs/>
          <w:sz w:val="24"/>
          <w:szCs w:val="24"/>
        </w:rPr>
        <w:t>instituted</w:t>
      </w:r>
      <w:r w:rsidR="00E05086" w:rsidRPr="00EB10F3">
        <w:rPr>
          <w:rFonts w:ascii="Arial" w:hAnsi="Arial" w:cs="Arial"/>
          <w:sz w:val="24"/>
          <w:szCs w:val="24"/>
        </w:rPr>
        <w:t xml:space="preserve"> by a defendant</w:t>
      </w:r>
      <w:r w:rsidR="00872CDC" w:rsidRPr="00EB10F3">
        <w:rPr>
          <w:rFonts w:ascii="Arial" w:hAnsi="Arial" w:cs="Arial"/>
          <w:sz w:val="24"/>
          <w:szCs w:val="24"/>
        </w:rPr>
        <w:t xml:space="preserve">, </w:t>
      </w:r>
      <w:r w:rsidR="004044F2" w:rsidRPr="00EB10F3">
        <w:rPr>
          <w:rFonts w:ascii="Arial" w:hAnsi="Arial" w:cs="Arial"/>
          <w:sz w:val="24"/>
          <w:szCs w:val="24"/>
        </w:rPr>
        <w:t xml:space="preserve">nor does </w:t>
      </w:r>
      <w:r w:rsidR="00872CDC" w:rsidRPr="00EB10F3">
        <w:rPr>
          <w:rFonts w:ascii="Arial" w:hAnsi="Arial" w:cs="Arial"/>
          <w:sz w:val="24"/>
          <w:szCs w:val="24"/>
        </w:rPr>
        <w:t>its withdrawal</w:t>
      </w:r>
      <w:r w:rsidR="004044F2" w:rsidRPr="00EB10F3">
        <w:rPr>
          <w:rFonts w:ascii="Arial" w:hAnsi="Arial" w:cs="Arial"/>
          <w:sz w:val="24"/>
          <w:szCs w:val="24"/>
        </w:rPr>
        <w:t xml:space="preserve"> </w:t>
      </w:r>
      <w:r w:rsidR="00026128" w:rsidRPr="00EB10F3">
        <w:rPr>
          <w:rFonts w:ascii="Arial" w:hAnsi="Arial" w:cs="Arial"/>
          <w:sz w:val="24"/>
          <w:szCs w:val="24"/>
        </w:rPr>
        <w:t>amount to a withdrawal of a “</w:t>
      </w:r>
      <w:r w:rsidR="00026128" w:rsidRPr="00EB10F3">
        <w:rPr>
          <w:rFonts w:ascii="Arial" w:hAnsi="Arial" w:cs="Arial"/>
          <w:i/>
          <w:iCs/>
          <w:sz w:val="24"/>
          <w:szCs w:val="24"/>
        </w:rPr>
        <w:t>proceeding</w:t>
      </w:r>
      <w:r w:rsidR="00026128" w:rsidRPr="00EB10F3">
        <w:rPr>
          <w:rFonts w:ascii="Arial" w:hAnsi="Arial" w:cs="Arial"/>
          <w:sz w:val="24"/>
          <w:szCs w:val="24"/>
        </w:rPr>
        <w:t>”</w:t>
      </w:r>
      <w:r w:rsidR="00872CDC" w:rsidRPr="00EB10F3">
        <w:rPr>
          <w:rFonts w:ascii="Arial" w:hAnsi="Arial" w:cs="Arial"/>
          <w:sz w:val="24"/>
          <w:szCs w:val="24"/>
        </w:rPr>
        <w:t xml:space="preserve"> </w:t>
      </w:r>
      <w:r w:rsidR="003E38C1" w:rsidRPr="00EB10F3">
        <w:rPr>
          <w:rFonts w:ascii="Arial" w:hAnsi="Arial" w:cs="Arial"/>
          <w:sz w:val="24"/>
          <w:szCs w:val="24"/>
        </w:rPr>
        <w:t>for the purposes</w:t>
      </w:r>
      <w:r w:rsidR="00872CDC" w:rsidRPr="00EB10F3">
        <w:rPr>
          <w:rFonts w:ascii="Arial" w:hAnsi="Arial" w:cs="Arial"/>
          <w:sz w:val="24"/>
          <w:szCs w:val="24"/>
        </w:rPr>
        <w:t xml:space="preserve"> of rule 41(1)(a)</w:t>
      </w:r>
      <w:r w:rsidR="00026128" w:rsidRPr="00EB10F3">
        <w:rPr>
          <w:rFonts w:ascii="Arial" w:hAnsi="Arial" w:cs="Arial"/>
          <w:sz w:val="24"/>
          <w:szCs w:val="24"/>
        </w:rPr>
        <w:t>.</w:t>
      </w:r>
      <w:r w:rsidR="003077C1" w:rsidRPr="00EB10F3">
        <w:rPr>
          <w:rFonts w:ascii="Arial" w:hAnsi="Arial" w:cs="Arial"/>
          <w:sz w:val="24"/>
          <w:szCs w:val="24"/>
        </w:rPr>
        <w:t xml:space="preserve">  </w:t>
      </w:r>
    </w:p>
    <w:p w14:paraId="2B31E39E" w14:textId="77777777" w:rsidR="00114943" w:rsidRDefault="00114943" w:rsidP="00114943">
      <w:pPr>
        <w:pStyle w:val="ListParagraph"/>
        <w:spacing w:after="0" w:line="480" w:lineRule="auto"/>
        <w:ind w:left="0"/>
        <w:jc w:val="both"/>
        <w:rPr>
          <w:rFonts w:ascii="Arial" w:hAnsi="Arial" w:cs="Arial"/>
          <w:sz w:val="24"/>
          <w:szCs w:val="24"/>
        </w:rPr>
      </w:pPr>
    </w:p>
    <w:p w14:paraId="3C83C9F3" w14:textId="288D142B" w:rsidR="003F69CA" w:rsidRPr="00EB10F3" w:rsidRDefault="00EB10F3" w:rsidP="00EB10F3">
      <w:pPr>
        <w:spacing w:after="0" w:line="480" w:lineRule="auto"/>
        <w:jc w:val="both"/>
        <w:rPr>
          <w:rFonts w:ascii="Arial" w:hAnsi="Arial" w:cs="Arial"/>
          <w:sz w:val="24"/>
          <w:szCs w:val="24"/>
        </w:rPr>
      </w:pPr>
      <w:r w:rsidRPr="00ED4FCD">
        <w:rPr>
          <w:rFonts w:ascii="Arial" w:eastAsia="Times New Roman" w:hAnsi="Arial" w:cs="Arial"/>
          <w:sz w:val="24"/>
          <w:szCs w:val="24"/>
        </w:rPr>
        <w:t>[12]</w:t>
      </w:r>
      <w:r w:rsidRPr="00ED4FCD">
        <w:rPr>
          <w:rFonts w:ascii="Arial" w:eastAsia="Times New Roman" w:hAnsi="Arial" w:cs="Arial"/>
          <w:sz w:val="24"/>
          <w:szCs w:val="24"/>
        </w:rPr>
        <w:tab/>
      </w:r>
      <w:r w:rsidR="003F69CA" w:rsidRPr="00EB10F3">
        <w:rPr>
          <w:rFonts w:ascii="Arial" w:hAnsi="Arial" w:cs="Arial"/>
          <w:sz w:val="24"/>
          <w:szCs w:val="24"/>
        </w:rPr>
        <w:t xml:space="preserve">Whilst the reason for this appears to me to be axiomatic, the fact that neither party was alive to this aspect in the present proceedings, both of whom enjoyed legal </w:t>
      </w:r>
      <w:r w:rsidR="003F69CA" w:rsidRPr="00EB10F3">
        <w:rPr>
          <w:rFonts w:ascii="Arial" w:hAnsi="Arial" w:cs="Arial"/>
          <w:sz w:val="24"/>
          <w:szCs w:val="24"/>
        </w:rPr>
        <w:lastRenderedPageBreak/>
        <w:t>representation, seems to illustrate that a certain level of confusion regarding the interpretation and applicability of the rule prevails.</w:t>
      </w:r>
      <w:r w:rsidR="00CB3413" w:rsidRPr="00EB10F3">
        <w:rPr>
          <w:rFonts w:ascii="Arial" w:hAnsi="Arial" w:cs="Arial"/>
          <w:sz w:val="24"/>
          <w:szCs w:val="24"/>
        </w:rPr>
        <w:t xml:space="preserve">  </w:t>
      </w:r>
      <w:r w:rsidR="004044F2" w:rsidRPr="00EB10F3">
        <w:rPr>
          <w:rFonts w:ascii="Arial" w:hAnsi="Arial" w:cs="Arial"/>
          <w:sz w:val="24"/>
          <w:szCs w:val="24"/>
        </w:rPr>
        <w:t xml:space="preserve">For this reason, </w:t>
      </w:r>
      <w:r w:rsidR="00CB3413" w:rsidRPr="00EB10F3">
        <w:rPr>
          <w:rFonts w:ascii="Arial" w:hAnsi="Arial" w:cs="Arial"/>
          <w:sz w:val="24"/>
          <w:szCs w:val="24"/>
        </w:rPr>
        <w:t>I deal</w:t>
      </w:r>
      <w:r w:rsidR="004044F2" w:rsidRPr="00EB10F3">
        <w:rPr>
          <w:rFonts w:ascii="Arial" w:hAnsi="Arial" w:cs="Arial"/>
          <w:sz w:val="24"/>
          <w:szCs w:val="24"/>
        </w:rPr>
        <w:t>,</w:t>
      </w:r>
      <w:r w:rsidR="00CB3413" w:rsidRPr="00EB10F3">
        <w:rPr>
          <w:rFonts w:ascii="Arial" w:hAnsi="Arial" w:cs="Arial"/>
          <w:sz w:val="24"/>
          <w:szCs w:val="24"/>
        </w:rPr>
        <w:t xml:space="preserve"> in brief</w:t>
      </w:r>
      <w:r w:rsidR="004044F2" w:rsidRPr="00EB10F3">
        <w:rPr>
          <w:rFonts w:ascii="Arial" w:hAnsi="Arial" w:cs="Arial"/>
          <w:sz w:val="24"/>
          <w:szCs w:val="24"/>
        </w:rPr>
        <w:t>,</w:t>
      </w:r>
      <w:r w:rsidR="00CB3413" w:rsidRPr="00EB10F3">
        <w:rPr>
          <w:rFonts w:ascii="Arial" w:hAnsi="Arial" w:cs="Arial"/>
          <w:sz w:val="24"/>
          <w:szCs w:val="24"/>
        </w:rPr>
        <w:t xml:space="preserve"> with the interpretation of the sub</w:t>
      </w:r>
      <w:r w:rsidR="001515C3" w:rsidRPr="00EB10F3">
        <w:rPr>
          <w:rFonts w:ascii="Arial" w:hAnsi="Arial" w:cs="Arial"/>
          <w:sz w:val="24"/>
          <w:szCs w:val="24"/>
        </w:rPr>
        <w:t>rule</w:t>
      </w:r>
      <w:r w:rsidR="00CB3413" w:rsidRPr="00EB10F3">
        <w:rPr>
          <w:rFonts w:ascii="Arial" w:hAnsi="Arial" w:cs="Arial"/>
          <w:sz w:val="24"/>
          <w:szCs w:val="24"/>
        </w:rPr>
        <w:t xml:space="preserve"> under consideration.</w:t>
      </w:r>
      <w:r w:rsidR="003F69CA" w:rsidRPr="00EB10F3">
        <w:rPr>
          <w:rFonts w:ascii="Arial" w:hAnsi="Arial" w:cs="Arial"/>
          <w:sz w:val="24"/>
          <w:szCs w:val="24"/>
        </w:rPr>
        <w:t xml:space="preserve">   </w:t>
      </w:r>
    </w:p>
    <w:p w14:paraId="380E8F8E" w14:textId="77777777" w:rsidR="00026128" w:rsidRDefault="00026128" w:rsidP="00ED4FCD">
      <w:pPr>
        <w:pStyle w:val="ListParagraph"/>
        <w:spacing w:after="0" w:line="480" w:lineRule="auto"/>
        <w:ind w:left="0"/>
        <w:jc w:val="both"/>
        <w:rPr>
          <w:rFonts w:ascii="Arial" w:hAnsi="Arial" w:cs="Arial"/>
          <w:sz w:val="24"/>
          <w:szCs w:val="24"/>
        </w:rPr>
      </w:pPr>
    </w:p>
    <w:p w14:paraId="3A3A3332" w14:textId="5D1ECCCB" w:rsidR="006E754D" w:rsidRPr="00EB10F3" w:rsidRDefault="00EB10F3" w:rsidP="00EB10F3">
      <w:pPr>
        <w:spacing w:after="0" w:line="480" w:lineRule="auto"/>
        <w:jc w:val="both"/>
        <w:rPr>
          <w:rFonts w:ascii="Arial" w:hAnsi="Arial" w:cs="Arial"/>
          <w:sz w:val="24"/>
          <w:szCs w:val="24"/>
        </w:rPr>
      </w:pPr>
      <w:r>
        <w:rPr>
          <w:rFonts w:ascii="Arial" w:eastAsia="Times New Roman" w:hAnsi="Arial" w:cs="Arial"/>
          <w:sz w:val="24"/>
          <w:szCs w:val="24"/>
        </w:rPr>
        <w:t>[13]</w:t>
      </w:r>
      <w:r>
        <w:rPr>
          <w:rFonts w:ascii="Arial" w:eastAsia="Times New Roman" w:hAnsi="Arial" w:cs="Arial"/>
          <w:sz w:val="24"/>
          <w:szCs w:val="24"/>
        </w:rPr>
        <w:tab/>
      </w:r>
      <w:r w:rsidR="00C65623" w:rsidRPr="00EB10F3">
        <w:rPr>
          <w:rFonts w:ascii="Arial" w:hAnsi="Arial" w:cs="Arial"/>
          <w:sz w:val="24"/>
          <w:szCs w:val="24"/>
        </w:rPr>
        <w:t xml:space="preserve">The Supreme Court of Appeal, in </w:t>
      </w:r>
      <w:r w:rsidR="006E754D" w:rsidRPr="00EB10F3">
        <w:rPr>
          <w:rFonts w:ascii="Arial" w:hAnsi="Arial" w:cs="Arial"/>
          <w:i/>
          <w:iCs/>
          <w:sz w:val="24"/>
          <w:szCs w:val="24"/>
        </w:rPr>
        <w:t>Chetty v Hart</w:t>
      </w:r>
      <w:r w:rsidR="006E754D" w:rsidRPr="006E754D">
        <w:rPr>
          <w:rStyle w:val="FootnoteReference"/>
          <w:rFonts w:ascii="Arial" w:hAnsi="Arial" w:cs="Arial"/>
          <w:sz w:val="24"/>
          <w:szCs w:val="24"/>
        </w:rPr>
        <w:footnoteReference w:id="3"/>
      </w:r>
      <w:r w:rsidR="006E754D" w:rsidRPr="00EB10F3">
        <w:rPr>
          <w:rFonts w:ascii="Arial" w:hAnsi="Arial" w:cs="Arial"/>
          <w:i/>
          <w:iCs/>
          <w:sz w:val="24"/>
          <w:szCs w:val="24"/>
        </w:rPr>
        <w:t xml:space="preserve"> </w:t>
      </w:r>
      <w:r w:rsidR="006E754D" w:rsidRPr="00EB10F3">
        <w:rPr>
          <w:rFonts w:ascii="Arial" w:hAnsi="Arial" w:cs="Arial"/>
          <w:sz w:val="24"/>
          <w:szCs w:val="24"/>
        </w:rPr>
        <w:t>reiterated the well-established approach to statutory interpretation as follows:</w:t>
      </w:r>
    </w:p>
    <w:p w14:paraId="65CACBF8" w14:textId="77777777" w:rsidR="006E754D" w:rsidRPr="006E754D" w:rsidRDefault="006E754D" w:rsidP="006E754D">
      <w:pPr>
        <w:pStyle w:val="ListParagraph"/>
        <w:rPr>
          <w:rFonts w:ascii="Arial" w:hAnsi="Arial" w:cs="Arial"/>
          <w:sz w:val="24"/>
          <w:szCs w:val="24"/>
        </w:rPr>
      </w:pPr>
    </w:p>
    <w:p w14:paraId="70165992" w14:textId="7844B3A4" w:rsidR="00C65623" w:rsidRPr="006E754D" w:rsidRDefault="006E754D" w:rsidP="006E754D">
      <w:pPr>
        <w:spacing w:after="0" w:line="360" w:lineRule="auto"/>
        <w:ind w:left="720"/>
        <w:jc w:val="both"/>
        <w:rPr>
          <w:rFonts w:ascii="Arial" w:hAnsi="Arial" w:cs="Arial"/>
        </w:rPr>
      </w:pPr>
      <w:r>
        <w:rPr>
          <w:rFonts w:ascii="Arial" w:hAnsi="Arial" w:cs="Arial"/>
          <w:color w:val="242121"/>
          <w:shd w:val="clear" w:color="auto" w:fill="FFFFFF"/>
        </w:rPr>
        <w:t>“</w:t>
      </w:r>
      <w:r w:rsidR="00C65623" w:rsidRPr="00C80DB3">
        <w:rPr>
          <w:rFonts w:ascii="Arial" w:hAnsi="Arial" w:cs="Arial"/>
          <w:i/>
          <w:iCs/>
          <w:color w:val="242121"/>
          <w:shd w:val="clear" w:color="auto" w:fill="FFFFFF"/>
        </w:rPr>
        <w:t>It is helpful to reiterate that the method of attributing meaning to the words used in legislation involves, as a point of departure, examining the language of the provision at issue, the language and design of the statute as a whole and its statutory purpose. So when the lawmaker uses particular words to achieve its purpose they must be given effect. In so doing a court will apply ordinary rules of grammar and syntax. It is not permissible to ignore or distort the meaning of the words to achieve its purpose.</w:t>
      </w:r>
      <w:r w:rsidR="00C80DB3" w:rsidRPr="00C80DB3">
        <w:rPr>
          <w:rFonts w:ascii="Arial" w:hAnsi="Arial" w:cs="Arial"/>
          <w:i/>
          <w:iCs/>
          <w:color w:val="242121"/>
          <w:shd w:val="clear" w:color="auto" w:fill="FFFFFF"/>
        </w:rPr>
        <w:t xml:space="preserve"> </w:t>
      </w:r>
      <w:r w:rsidR="00C65623" w:rsidRPr="00C80DB3">
        <w:rPr>
          <w:rFonts w:ascii="Arial" w:hAnsi="Arial" w:cs="Arial"/>
          <w:i/>
          <w:iCs/>
          <w:color w:val="242121"/>
          <w:shd w:val="clear" w:color="auto" w:fill="FFFFFF"/>
        </w:rPr>
        <w:t xml:space="preserve"> For in so doing a court will be substituting its own words for those of Parliament.</w:t>
      </w:r>
      <w:r w:rsidR="00C80DB3" w:rsidRPr="00C80DB3">
        <w:rPr>
          <w:rFonts w:ascii="Arial" w:hAnsi="Arial" w:cs="Arial"/>
          <w:i/>
          <w:iCs/>
          <w:color w:val="242121"/>
          <w:shd w:val="clear" w:color="auto" w:fill="FFFFFF"/>
        </w:rPr>
        <w:t xml:space="preserve"> </w:t>
      </w:r>
      <w:r w:rsidR="00C65623" w:rsidRPr="00C80DB3">
        <w:rPr>
          <w:rFonts w:ascii="Arial" w:hAnsi="Arial" w:cs="Arial"/>
          <w:i/>
          <w:iCs/>
          <w:color w:val="242121"/>
          <w:shd w:val="clear" w:color="auto" w:fill="FFFFFF"/>
        </w:rPr>
        <w:t xml:space="preserve"> But if the words used are reasonably capable of bearing more than one meaning, the consequences of the divergent interpretations must be examined so that a meaning that is likely to further rather than hinder its purpose is adopted. </w:t>
      </w:r>
      <w:r w:rsidR="00C80DB3" w:rsidRPr="00C80DB3">
        <w:rPr>
          <w:rFonts w:ascii="Arial" w:hAnsi="Arial" w:cs="Arial"/>
          <w:i/>
          <w:iCs/>
          <w:color w:val="242121"/>
          <w:shd w:val="clear" w:color="auto" w:fill="FFFFFF"/>
        </w:rPr>
        <w:t xml:space="preserve"> </w:t>
      </w:r>
      <w:r w:rsidR="00C65623" w:rsidRPr="00C80DB3">
        <w:rPr>
          <w:rFonts w:ascii="Arial" w:hAnsi="Arial" w:cs="Arial"/>
          <w:i/>
          <w:iCs/>
          <w:color w:val="242121"/>
          <w:shd w:val="clear" w:color="auto" w:fill="FFFFFF"/>
        </w:rPr>
        <w:t>In this regard a meaning that is more sensible and business like is to be preferred over one that has a contrary effect.</w:t>
      </w:r>
      <w:r w:rsidR="00C80DB3">
        <w:rPr>
          <w:rFonts w:ascii="Arial" w:hAnsi="Arial" w:cs="Arial"/>
        </w:rPr>
        <w:t>”</w:t>
      </w:r>
      <w:r w:rsidR="00C80DB3" w:rsidRPr="006E754D">
        <w:rPr>
          <w:rFonts w:ascii="Arial" w:hAnsi="Arial" w:cs="Arial"/>
        </w:rPr>
        <w:t xml:space="preserve"> </w:t>
      </w:r>
    </w:p>
    <w:p w14:paraId="4300EEF2" w14:textId="6F1A8F4D" w:rsidR="00C65623" w:rsidRDefault="00C65623" w:rsidP="001364E4">
      <w:pPr>
        <w:pStyle w:val="ListParagraph"/>
        <w:spacing w:after="0" w:line="480" w:lineRule="auto"/>
        <w:ind w:left="0"/>
        <w:jc w:val="both"/>
        <w:rPr>
          <w:rFonts w:ascii="Arial" w:hAnsi="Arial" w:cs="Arial"/>
          <w:sz w:val="24"/>
          <w:szCs w:val="24"/>
        </w:rPr>
      </w:pPr>
    </w:p>
    <w:p w14:paraId="57347662" w14:textId="3185C9F0" w:rsidR="00817486" w:rsidRPr="00EB10F3" w:rsidRDefault="00EB10F3" w:rsidP="00EB10F3">
      <w:pPr>
        <w:spacing w:after="0" w:line="480" w:lineRule="auto"/>
        <w:jc w:val="both"/>
        <w:rPr>
          <w:rFonts w:ascii="Arial" w:hAnsi="Arial" w:cs="Arial"/>
          <w:sz w:val="24"/>
          <w:szCs w:val="24"/>
        </w:rPr>
      </w:pPr>
      <w:r>
        <w:rPr>
          <w:rFonts w:ascii="Arial" w:eastAsia="Times New Roman" w:hAnsi="Arial" w:cs="Arial"/>
          <w:sz w:val="24"/>
          <w:szCs w:val="24"/>
        </w:rPr>
        <w:t>[14]</w:t>
      </w:r>
      <w:r>
        <w:rPr>
          <w:rFonts w:ascii="Arial" w:eastAsia="Times New Roman" w:hAnsi="Arial" w:cs="Arial"/>
          <w:sz w:val="24"/>
          <w:szCs w:val="24"/>
        </w:rPr>
        <w:tab/>
      </w:r>
      <w:r w:rsidR="009F582F" w:rsidRPr="00EB10F3">
        <w:rPr>
          <w:rFonts w:ascii="Arial" w:hAnsi="Arial" w:cs="Arial"/>
          <w:sz w:val="24"/>
          <w:szCs w:val="24"/>
        </w:rPr>
        <w:t>Simply put, and as repeatedly endorsed by the Constitutional Court,</w:t>
      </w:r>
      <w:r w:rsidR="004771C5" w:rsidRPr="00EB10F3">
        <w:rPr>
          <w:rFonts w:ascii="Arial" w:hAnsi="Arial" w:cs="Arial"/>
          <w:sz w:val="24"/>
          <w:szCs w:val="24"/>
        </w:rPr>
        <w:t xml:space="preserve"> a purposive approach is to be adopted in statutory interpretation with the wording of the provision in question being construed</w:t>
      </w:r>
      <w:r w:rsidR="001364E4" w:rsidRPr="00EB10F3">
        <w:rPr>
          <w:rFonts w:ascii="Arial" w:hAnsi="Arial" w:cs="Arial"/>
          <w:sz w:val="24"/>
          <w:szCs w:val="24"/>
        </w:rPr>
        <w:t xml:space="preserve"> harmoniously with the apparent scope and objects of the law.</w:t>
      </w:r>
      <w:r w:rsidR="001364E4">
        <w:rPr>
          <w:rStyle w:val="FootnoteReference"/>
          <w:rFonts w:ascii="Arial" w:hAnsi="Arial" w:cs="Arial"/>
          <w:sz w:val="24"/>
          <w:szCs w:val="24"/>
        </w:rPr>
        <w:footnoteReference w:id="4"/>
      </w:r>
    </w:p>
    <w:p w14:paraId="76D72EB9" w14:textId="2859112C" w:rsidR="002B7520" w:rsidRPr="00EB10F3" w:rsidRDefault="00EB10F3" w:rsidP="00EB10F3">
      <w:pPr>
        <w:spacing w:after="0" w:line="480" w:lineRule="auto"/>
        <w:jc w:val="both"/>
        <w:rPr>
          <w:rFonts w:ascii="Arial" w:hAnsi="Arial" w:cs="Arial"/>
          <w:sz w:val="24"/>
          <w:szCs w:val="24"/>
        </w:rPr>
      </w:pPr>
      <w:r w:rsidRPr="00026128">
        <w:rPr>
          <w:rFonts w:ascii="Arial" w:eastAsia="Times New Roman" w:hAnsi="Arial" w:cs="Arial"/>
          <w:sz w:val="24"/>
          <w:szCs w:val="24"/>
        </w:rPr>
        <w:lastRenderedPageBreak/>
        <w:t>[15]</w:t>
      </w:r>
      <w:r w:rsidRPr="00026128">
        <w:rPr>
          <w:rFonts w:ascii="Arial" w:eastAsia="Times New Roman" w:hAnsi="Arial" w:cs="Arial"/>
          <w:sz w:val="24"/>
          <w:szCs w:val="24"/>
        </w:rPr>
        <w:tab/>
      </w:r>
      <w:r w:rsidR="002B7520" w:rsidRPr="00EB10F3">
        <w:rPr>
          <w:rFonts w:ascii="Arial" w:hAnsi="Arial" w:cs="Arial"/>
          <w:sz w:val="24"/>
          <w:szCs w:val="24"/>
        </w:rPr>
        <w:t xml:space="preserve">The court in </w:t>
      </w:r>
      <w:r w:rsidR="002B7520" w:rsidRPr="00EB10F3">
        <w:rPr>
          <w:rFonts w:ascii="Arial" w:hAnsi="Arial" w:cs="Arial"/>
          <w:i/>
          <w:iCs/>
          <w:sz w:val="24"/>
          <w:szCs w:val="24"/>
        </w:rPr>
        <w:t>De Lange v Provincial Commissioner of Correctional Services, EC,</w:t>
      </w:r>
      <w:r w:rsidR="002B7520" w:rsidRPr="002D46A8">
        <w:rPr>
          <w:rStyle w:val="FootnoteReference"/>
          <w:rFonts w:ascii="Arial" w:hAnsi="Arial" w:cs="Arial"/>
          <w:sz w:val="24"/>
          <w:szCs w:val="24"/>
        </w:rPr>
        <w:footnoteReference w:id="5"/>
      </w:r>
      <w:r w:rsidR="002B7520" w:rsidRPr="00EB10F3">
        <w:rPr>
          <w:rFonts w:ascii="Arial" w:hAnsi="Arial" w:cs="Arial"/>
          <w:sz w:val="24"/>
          <w:szCs w:val="24"/>
        </w:rPr>
        <w:t xml:space="preserve"> whilst considering section 276A(3) of the Criminal Procedure Act 50 of 1977, held that “</w:t>
      </w:r>
      <w:r w:rsidR="002B7520" w:rsidRPr="00EB10F3">
        <w:rPr>
          <w:rFonts w:ascii="Arial" w:hAnsi="Arial" w:cs="Arial"/>
          <w:i/>
          <w:iCs/>
          <w:sz w:val="24"/>
          <w:szCs w:val="24"/>
        </w:rPr>
        <w:t>proceedings</w:t>
      </w:r>
      <w:r w:rsidR="002B7520" w:rsidRPr="00EB10F3">
        <w:rPr>
          <w:rFonts w:ascii="Arial" w:hAnsi="Arial" w:cs="Arial"/>
          <w:sz w:val="24"/>
          <w:szCs w:val="24"/>
        </w:rPr>
        <w:t xml:space="preserve">”, for the purposes of </w:t>
      </w:r>
      <w:r w:rsidR="001515C3" w:rsidRPr="00EB10F3">
        <w:rPr>
          <w:rFonts w:ascii="Arial" w:hAnsi="Arial" w:cs="Arial"/>
          <w:sz w:val="24"/>
          <w:szCs w:val="24"/>
        </w:rPr>
        <w:t>r</w:t>
      </w:r>
      <w:r w:rsidR="002B7520" w:rsidRPr="00EB10F3">
        <w:rPr>
          <w:rFonts w:ascii="Arial" w:hAnsi="Arial" w:cs="Arial"/>
          <w:sz w:val="24"/>
          <w:szCs w:val="24"/>
        </w:rPr>
        <w:t>ule 41(1)(a) are those envisaged by the rules “</w:t>
      </w:r>
      <w:r w:rsidR="002B7520" w:rsidRPr="00EB10F3">
        <w:rPr>
          <w:rFonts w:ascii="Arial" w:hAnsi="Arial" w:cs="Arial"/>
          <w:i/>
          <w:iCs/>
          <w:sz w:val="24"/>
          <w:szCs w:val="24"/>
        </w:rPr>
        <w:t>in which there is a lis between the parties, one of whom seeks redress or the enforcement of rights against the other.</w:t>
      </w:r>
      <w:r w:rsidR="002B7520" w:rsidRPr="00EB10F3">
        <w:rPr>
          <w:rFonts w:ascii="Arial" w:hAnsi="Arial" w:cs="Arial"/>
          <w:sz w:val="24"/>
          <w:szCs w:val="24"/>
        </w:rPr>
        <w:t xml:space="preserve">”  As the applicant had no right enforceable against the respondent in the proceedings under section 276A(3), the court rejected the applicant’s contention that they constituted proceedings falling within the ambit of </w:t>
      </w:r>
      <w:r w:rsidR="008131CD" w:rsidRPr="00EB10F3">
        <w:rPr>
          <w:rFonts w:ascii="Arial" w:hAnsi="Arial" w:cs="Arial"/>
          <w:sz w:val="24"/>
          <w:szCs w:val="24"/>
        </w:rPr>
        <w:t>r</w:t>
      </w:r>
      <w:r w:rsidR="002B7520" w:rsidRPr="00EB10F3">
        <w:rPr>
          <w:rFonts w:ascii="Arial" w:hAnsi="Arial" w:cs="Arial"/>
          <w:sz w:val="24"/>
          <w:szCs w:val="24"/>
        </w:rPr>
        <w:t>ule 41.</w:t>
      </w:r>
    </w:p>
    <w:p w14:paraId="1F2EDAB3" w14:textId="77777777" w:rsidR="001364E4" w:rsidRDefault="001364E4" w:rsidP="001364E4">
      <w:pPr>
        <w:pStyle w:val="ListParagraph"/>
        <w:spacing w:after="0" w:line="480" w:lineRule="auto"/>
        <w:ind w:left="0"/>
        <w:jc w:val="both"/>
        <w:rPr>
          <w:rFonts w:ascii="Arial" w:hAnsi="Arial" w:cs="Arial"/>
          <w:sz w:val="24"/>
          <w:szCs w:val="24"/>
        </w:rPr>
      </w:pPr>
    </w:p>
    <w:p w14:paraId="293E6921" w14:textId="3A491D3D" w:rsidR="004044F2" w:rsidRPr="00EB10F3" w:rsidRDefault="00EB10F3" w:rsidP="00EB10F3">
      <w:pPr>
        <w:spacing w:after="0" w:line="480" w:lineRule="auto"/>
        <w:jc w:val="both"/>
        <w:rPr>
          <w:rFonts w:ascii="Arial" w:hAnsi="Arial" w:cs="Arial"/>
          <w:sz w:val="24"/>
          <w:szCs w:val="24"/>
        </w:rPr>
      </w:pPr>
      <w:r w:rsidRPr="004044F2">
        <w:rPr>
          <w:rFonts w:ascii="Arial" w:eastAsia="Times New Roman" w:hAnsi="Arial" w:cs="Arial"/>
          <w:sz w:val="24"/>
          <w:szCs w:val="24"/>
        </w:rPr>
        <w:t>[16]</w:t>
      </w:r>
      <w:r w:rsidRPr="004044F2">
        <w:rPr>
          <w:rFonts w:ascii="Arial" w:eastAsia="Times New Roman" w:hAnsi="Arial" w:cs="Arial"/>
          <w:sz w:val="24"/>
          <w:szCs w:val="24"/>
        </w:rPr>
        <w:tab/>
      </w:r>
      <w:r w:rsidR="0032219F" w:rsidRPr="00EB10F3">
        <w:rPr>
          <w:rFonts w:ascii="Arial" w:hAnsi="Arial" w:cs="Arial"/>
          <w:sz w:val="24"/>
          <w:szCs w:val="24"/>
        </w:rPr>
        <w:t>T</w:t>
      </w:r>
      <w:r w:rsidR="005E0E02" w:rsidRPr="00EB10F3">
        <w:rPr>
          <w:rFonts w:ascii="Arial" w:hAnsi="Arial" w:cs="Arial"/>
          <w:sz w:val="24"/>
          <w:szCs w:val="24"/>
        </w:rPr>
        <w:t xml:space="preserve">he </w:t>
      </w:r>
      <w:r w:rsidR="00956D62" w:rsidRPr="00EB10F3">
        <w:rPr>
          <w:rFonts w:ascii="Arial" w:hAnsi="Arial" w:cs="Arial"/>
          <w:sz w:val="24"/>
          <w:szCs w:val="24"/>
        </w:rPr>
        <w:t>word “</w:t>
      </w:r>
      <w:r w:rsidR="00956D62" w:rsidRPr="00EB10F3">
        <w:rPr>
          <w:rFonts w:ascii="Arial" w:hAnsi="Arial" w:cs="Arial"/>
          <w:i/>
          <w:iCs/>
          <w:sz w:val="24"/>
          <w:szCs w:val="24"/>
        </w:rPr>
        <w:t>proceedings</w:t>
      </w:r>
      <w:r w:rsidR="00956D62" w:rsidRPr="00EB10F3">
        <w:rPr>
          <w:rFonts w:ascii="Arial" w:hAnsi="Arial" w:cs="Arial"/>
          <w:sz w:val="24"/>
          <w:szCs w:val="24"/>
        </w:rPr>
        <w:t>” is not defined in the rules of court,</w:t>
      </w:r>
      <w:r w:rsidR="005E0E02" w:rsidRPr="00EB10F3">
        <w:rPr>
          <w:rFonts w:ascii="Arial" w:hAnsi="Arial" w:cs="Arial"/>
          <w:sz w:val="24"/>
          <w:szCs w:val="24"/>
        </w:rPr>
        <w:t xml:space="preserve"> </w:t>
      </w:r>
      <w:r w:rsidR="009E1A16" w:rsidRPr="00EB10F3">
        <w:rPr>
          <w:rFonts w:ascii="Arial" w:hAnsi="Arial" w:cs="Arial"/>
          <w:sz w:val="24"/>
          <w:szCs w:val="24"/>
        </w:rPr>
        <w:t xml:space="preserve">however </w:t>
      </w:r>
      <w:r w:rsidR="008E4235" w:rsidRPr="00EB10F3">
        <w:rPr>
          <w:rFonts w:ascii="Arial" w:hAnsi="Arial" w:cs="Arial"/>
          <w:sz w:val="24"/>
          <w:szCs w:val="24"/>
        </w:rPr>
        <w:t>the definitions of “</w:t>
      </w:r>
      <w:r w:rsidR="008E4235" w:rsidRPr="00EB10F3">
        <w:rPr>
          <w:rFonts w:ascii="Arial" w:hAnsi="Arial" w:cs="Arial"/>
          <w:i/>
          <w:iCs/>
          <w:sz w:val="24"/>
          <w:szCs w:val="24"/>
        </w:rPr>
        <w:t>action</w:t>
      </w:r>
      <w:r w:rsidR="008E4235" w:rsidRPr="00EB10F3">
        <w:rPr>
          <w:rFonts w:ascii="Arial" w:hAnsi="Arial" w:cs="Arial"/>
          <w:sz w:val="24"/>
          <w:szCs w:val="24"/>
        </w:rPr>
        <w:t>” and “</w:t>
      </w:r>
      <w:r w:rsidR="008E4235" w:rsidRPr="00EB10F3">
        <w:rPr>
          <w:rFonts w:ascii="Arial" w:hAnsi="Arial" w:cs="Arial"/>
          <w:i/>
          <w:iCs/>
          <w:sz w:val="24"/>
          <w:szCs w:val="24"/>
        </w:rPr>
        <w:t>application</w:t>
      </w:r>
      <w:r w:rsidR="008E4235" w:rsidRPr="00EB10F3">
        <w:rPr>
          <w:rFonts w:ascii="Arial" w:hAnsi="Arial" w:cs="Arial"/>
          <w:sz w:val="24"/>
          <w:szCs w:val="24"/>
        </w:rPr>
        <w:t>”</w:t>
      </w:r>
      <w:r w:rsidR="00ED30C0" w:rsidRPr="00EB10F3">
        <w:rPr>
          <w:rFonts w:ascii="Arial" w:hAnsi="Arial" w:cs="Arial"/>
          <w:sz w:val="24"/>
          <w:szCs w:val="24"/>
        </w:rPr>
        <w:t xml:space="preserve">, </w:t>
      </w:r>
      <w:r w:rsidR="008E4235" w:rsidRPr="00EB10F3">
        <w:rPr>
          <w:rFonts w:ascii="Arial" w:hAnsi="Arial" w:cs="Arial"/>
          <w:sz w:val="24"/>
          <w:szCs w:val="24"/>
        </w:rPr>
        <w:t>in rule 1</w:t>
      </w:r>
      <w:r w:rsidR="009E1A16" w:rsidRPr="00EB10F3">
        <w:rPr>
          <w:rFonts w:ascii="Arial" w:hAnsi="Arial" w:cs="Arial"/>
          <w:sz w:val="24"/>
          <w:szCs w:val="24"/>
        </w:rPr>
        <w:t>,</w:t>
      </w:r>
      <w:r w:rsidR="008E4235" w:rsidRPr="00EB10F3">
        <w:rPr>
          <w:rFonts w:ascii="Arial" w:hAnsi="Arial" w:cs="Arial"/>
          <w:sz w:val="24"/>
          <w:szCs w:val="24"/>
        </w:rPr>
        <w:t xml:space="preserve"> provide a suitable starting point for the enquiry. </w:t>
      </w:r>
      <w:r w:rsidR="0030711F" w:rsidRPr="00EB10F3">
        <w:rPr>
          <w:rFonts w:ascii="Arial" w:hAnsi="Arial" w:cs="Arial"/>
          <w:sz w:val="24"/>
          <w:szCs w:val="24"/>
        </w:rPr>
        <w:t xml:space="preserve"> </w:t>
      </w:r>
      <w:r w:rsidR="008E4235" w:rsidRPr="00EB10F3">
        <w:rPr>
          <w:rFonts w:ascii="Arial" w:hAnsi="Arial" w:cs="Arial"/>
          <w:sz w:val="24"/>
          <w:szCs w:val="24"/>
        </w:rPr>
        <w:t>Whilst an “</w:t>
      </w:r>
      <w:r w:rsidR="008E4235" w:rsidRPr="00EB10F3">
        <w:rPr>
          <w:rFonts w:ascii="Arial" w:hAnsi="Arial" w:cs="Arial"/>
          <w:i/>
          <w:iCs/>
          <w:sz w:val="24"/>
          <w:szCs w:val="24"/>
        </w:rPr>
        <w:t>action</w:t>
      </w:r>
      <w:r w:rsidR="008E4235" w:rsidRPr="00EB10F3">
        <w:rPr>
          <w:rFonts w:ascii="Arial" w:hAnsi="Arial" w:cs="Arial"/>
          <w:sz w:val="24"/>
          <w:szCs w:val="24"/>
        </w:rPr>
        <w:t>” is defined as a proceeding commenced by summons, an “</w:t>
      </w:r>
      <w:r w:rsidR="008E4235" w:rsidRPr="00EB10F3">
        <w:rPr>
          <w:rFonts w:ascii="Arial" w:hAnsi="Arial" w:cs="Arial"/>
          <w:i/>
          <w:iCs/>
          <w:sz w:val="24"/>
          <w:szCs w:val="24"/>
        </w:rPr>
        <w:t>application</w:t>
      </w:r>
      <w:r w:rsidR="008E4235" w:rsidRPr="00EB10F3">
        <w:rPr>
          <w:rFonts w:ascii="Arial" w:hAnsi="Arial" w:cs="Arial"/>
          <w:sz w:val="24"/>
          <w:szCs w:val="24"/>
        </w:rPr>
        <w:t>” means a proceeding commenced by notice of motion or other forms of applications provided for by rule 6</w:t>
      </w:r>
      <w:r w:rsidR="00C65623" w:rsidRPr="00EB10F3">
        <w:rPr>
          <w:rFonts w:ascii="Arial" w:hAnsi="Arial" w:cs="Arial"/>
          <w:sz w:val="24"/>
          <w:szCs w:val="24"/>
        </w:rPr>
        <w:t xml:space="preserve">.  </w:t>
      </w:r>
      <w:r w:rsidR="00B43D7E" w:rsidRPr="00EB10F3">
        <w:rPr>
          <w:rFonts w:ascii="Arial" w:hAnsi="Arial" w:cs="Arial"/>
          <w:sz w:val="24"/>
          <w:szCs w:val="24"/>
        </w:rPr>
        <w:t>It follows,</w:t>
      </w:r>
      <w:r w:rsidR="00ED30C0" w:rsidRPr="00EB10F3">
        <w:rPr>
          <w:rFonts w:ascii="Arial" w:hAnsi="Arial" w:cs="Arial"/>
          <w:sz w:val="24"/>
          <w:szCs w:val="24"/>
        </w:rPr>
        <w:t xml:space="preserve"> somewhat obviously, </w:t>
      </w:r>
      <w:r w:rsidR="00C65623" w:rsidRPr="00EB10F3">
        <w:rPr>
          <w:rFonts w:ascii="Arial" w:hAnsi="Arial" w:cs="Arial"/>
          <w:sz w:val="24"/>
          <w:szCs w:val="24"/>
        </w:rPr>
        <w:t xml:space="preserve">that </w:t>
      </w:r>
      <w:r w:rsidR="00072164" w:rsidRPr="00EB10F3">
        <w:rPr>
          <w:rFonts w:ascii="Arial" w:hAnsi="Arial" w:cs="Arial"/>
          <w:sz w:val="24"/>
          <w:szCs w:val="24"/>
        </w:rPr>
        <w:t xml:space="preserve">the aforesaid </w:t>
      </w:r>
      <w:r w:rsidR="00ED30C0" w:rsidRPr="00EB10F3">
        <w:rPr>
          <w:rFonts w:ascii="Arial" w:hAnsi="Arial" w:cs="Arial"/>
          <w:sz w:val="24"/>
          <w:szCs w:val="24"/>
        </w:rPr>
        <w:t>are proceedings for the purposes of rule</w:t>
      </w:r>
      <w:r w:rsidR="00072164" w:rsidRPr="00EB10F3">
        <w:rPr>
          <w:rFonts w:ascii="Arial" w:hAnsi="Arial" w:cs="Arial"/>
          <w:sz w:val="24"/>
          <w:szCs w:val="24"/>
        </w:rPr>
        <w:t xml:space="preserve"> 41</w:t>
      </w:r>
      <w:r w:rsidR="0032219F" w:rsidRPr="00EB10F3">
        <w:rPr>
          <w:rFonts w:ascii="Arial" w:hAnsi="Arial" w:cs="Arial"/>
          <w:sz w:val="24"/>
          <w:szCs w:val="24"/>
        </w:rPr>
        <w:t xml:space="preserve">.  This is </w:t>
      </w:r>
      <w:r w:rsidR="00ED30C0" w:rsidRPr="00EB10F3">
        <w:rPr>
          <w:rFonts w:ascii="Arial" w:hAnsi="Arial" w:cs="Arial"/>
          <w:sz w:val="24"/>
          <w:szCs w:val="24"/>
        </w:rPr>
        <w:t>congruous</w:t>
      </w:r>
      <w:r w:rsidR="00026128" w:rsidRPr="00EB10F3">
        <w:rPr>
          <w:rFonts w:ascii="Arial" w:hAnsi="Arial" w:cs="Arial"/>
          <w:sz w:val="24"/>
          <w:szCs w:val="24"/>
        </w:rPr>
        <w:t xml:space="preserve"> not only</w:t>
      </w:r>
      <w:r w:rsidR="00ED30C0" w:rsidRPr="00EB10F3">
        <w:rPr>
          <w:rFonts w:ascii="Arial" w:hAnsi="Arial" w:cs="Arial"/>
          <w:sz w:val="24"/>
          <w:szCs w:val="24"/>
        </w:rPr>
        <w:t xml:space="preserve"> with the finding of the court in </w:t>
      </w:r>
      <w:r w:rsidR="00ED30C0" w:rsidRPr="00EB10F3">
        <w:rPr>
          <w:rFonts w:ascii="Arial" w:hAnsi="Arial" w:cs="Arial"/>
          <w:i/>
          <w:iCs/>
          <w:sz w:val="24"/>
          <w:szCs w:val="24"/>
        </w:rPr>
        <w:t>De Lange</w:t>
      </w:r>
      <w:r w:rsidR="008B5C88" w:rsidRPr="00EB10F3">
        <w:rPr>
          <w:rFonts w:ascii="Arial" w:hAnsi="Arial" w:cs="Arial"/>
          <w:sz w:val="24"/>
          <w:szCs w:val="24"/>
        </w:rPr>
        <w:t xml:space="preserve">, </w:t>
      </w:r>
      <w:r w:rsidR="00026128" w:rsidRPr="00EB10F3">
        <w:rPr>
          <w:rFonts w:ascii="Arial" w:hAnsi="Arial" w:cs="Arial"/>
          <w:sz w:val="24"/>
          <w:szCs w:val="24"/>
        </w:rPr>
        <w:t xml:space="preserve">but also </w:t>
      </w:r>
      <w:r w:rsidR="008B5C88" w:rsidRPr="00EB10F3">
        <w:rPr>
          <w:rFonts w:ascii="Arial" w:hAnsi="Arial" w:cs="Arial"/>
          <w:sz w:val="24"/>
          <w:szCs w:val="24"/>
        </w:rPr>
        <w:t>with the definition of “</w:t>
      </w:r>
      <w:r w:rsidR="008B5C88" w:rsidRPr="00EB10F3">
        <w:rPr>
          <w:rFonts w:ascii="Arial" w:hAnsi="Arial" w:cs="Arial"/>
          <w:i/>
          <w:iCs/>
          <w:sz w:val="24"/>
          <w:szCs w:val="24"/>
        </w:rPr>
        <w:t>legal proceedings</w:t>
      </w:r>
      <w:r w:rsidR="008B5C88" w:rsidRPr="00EB10F3">
        <w:rPr>
          <w:rFonts w:ascii="Arial" w:hAnsi="Arial" w:cs="Arial"/>
          <w:sz w:val="24"/>
          <w:szCs w:val="24"/>
        </w:rPr>
        <w:t xml:space="preserve">” </w:t>
      </w:r>
      <w:r w:rsidR="00026128" w:rsidRPr="00EB10F3">
        <w:rPr>
          <w:rFonts w:ascii="Arial" w:hAnsi="Arial" w:cs="Arial"/>
          <w:sz w:val="24"/>
          <w:szCs w:val="24"/>
        </w:rPr>
        <w:t xml:space="preserve">as contained </w:t>
      </w:r>
      <w:r w:rsidR="008B5C88" w:rsidRPr="00EB10F3">
        <w:rPr>
          <w:rFonts w:ascii="Arial" w:hAnsi="Arial" w:cs="Arial"/>
          <w:sz w:val="24"/>
          <w:szCs w:val="24"/>
        </w:rPr>
        <w:t>in Black’s Law Dictionary</w:t>
      </w:r>
      <w:r w:rsidR="00026128" w:rsidRPr="00EB10F3">
        <w:rPr>
          <w:rFonts w:ascii="Arial" w:hAnsi="Arial" w:cs="Arial"/>
          <w:sz w:val="24"/>
          <w:szCs w:val="24"/>
        </w:rPr>
        <w:t>,</w:t>
      </w:r>
      <w:r w:rsidR="008B5C88">
        <w:rPr>
          <w:rStyle w:val="FootnoteReference"/>
          <w:rFonts w:ascii="Arial" w:hAnsi="Arial" w:cs="Arial"/>
          <w:sz w:val="24"/>
          <w:szCs w:val="24"/>
        </w:rPr>
        <w:footnoteReference w:id="6"/>
      </w:r>
      <w:r w:rsidR="00026128" w:rsidRPr="00EB10F3">
        <w:rPr>
          <w:rFonts w:ascii="Arial" w:hAnsi="Arial" w:cs="Arial"/>
          <w:sz w:val="24"/>
          <w:szCs w:val="24"/>
        </w:rPr>
        <w:t xml:space="preserve"> being</w:t>
      </w:r>
      <w:r w:rsidR="008B5C88" w:rsidRPr="00EB10F3">
        <w:rPr>
          <w:rFonts w:ascii="Arial" w:hAnsi="Arial" w:cs="Arial"/>
          <w:sz w:val="24"/>
          <w:szCs w:val="24"/>
        </w:rPr>
        <w:t xml:space="preserve"> “</w:t>
      </w:r>
      <w:r w:rsidR="008B5C88" w:rsidRPr="00EB10F3">
        <w:rPr>
          <w:rFonts w:ascii="Arial" w:hAnsi="Arial" w:cs="Arial"/>
          <w:i/>
          <w:iCs/>
          <w:sz w:val="24"/>
          <w:szCs w:val="24"/>
        </w:rPr>
        <w:t>[a]ny proceedings authorised by law and instituted in a court… to acquire a right or to enforce a remedy</w:t>
      </w:r>
      <w:r w:rsidR="008B5C88" w:rsidRPr="00EB10F3">
        <w:rPr>
          <w:rFonts w:ascii="Arial" w:hAnsi="Arial" w:cs="Arial"/>
          <w:sz w:val="24"/>
          <w:szCs w:val="24"/>
        </w:rPr>
        <w:t>.”</w:t>
      </w:r>
      <w:r w:rsidR="004044F2" w:rsidRPr="00EB10F3">
        <w:rPr>
          <w:rFonts w:ascii="Arial" w:hAnsi="Arial" w:cs="Arial"/>
          <w:sz w:val="24"/>
          <w:szCs w:val="24"/>
        </w:rPr>
        <w:t xml:space="preserve">  The word “</w:t>
      </w:r>
      <w:r w:rsidR="004044F2" w:rsidRPr="00EB10F3">
        <w:rPr>
          <w:rFonts w:ascii="Arial" w:hAnsi="Arial" w:cs="Arial"/>
          <w:i/>
          <w:iCs/>
          <w:sz w:val="24"/>
          <w:szCs w:val="24"/>
        </w:rPr>
        <w:t>instituting</w:t>
      </w:r>
      <w:r w:rsidR="004044F2" w:rsidRPr="00EB10F3">
        <w:rPr>
          <w:rFonts w:ascii="Arial" w:hAnsi="Arial" w:cs="Arial"/>
          <w:sz w:val="24"/>
          <w:szCs w:val="24"/>
        </w:rPr>
        <w:t>”, which precedes the words “</w:t>
      </w:r>
      <w:r w:rsidR="004044F2" w:rsidRPr="00EB10F3">
        <w:rPr>
          <w:rFonts w:ascii="Arial" w:hAnsi="Arial" w:cs="Arial"/>
          <w:i/>
          <w:iCs/>
          <w:sz w:val="24"/>
          <w:szCs w:val="24"/>
        </w:rPr>
        <w:t>any proceedings</w:t>
      </w:r>
      <w:r w:rsidR="004044F2" w:rsidRPr="00EB10F3">
        <w:rPr>
          <w:rFonts w:ascii="Arial" w:hAnsi="Arial" w:cs="Arial"/>
          <w:sz w:val="24"/>
          <w:szCs w:val="24"/>
        </w:rPr>
        <w:t xml:space="preserve">” in rule 41(1)(a), denotes the commencement of such proceedings. </w:t>
      </w:r>
    </w:p>
    <w:p w14:paraId="5A53DC85" w14:textId="77777777" w:rsidR="004044F2" w:rsidRDefault="004044F2" w:rsidP="003E3D95">
      <w:pPr>
        <w:pStyle w:val="ListParagraph"/>
        <w:spacing w:after="0" w:line="480" w:lineRule="auto"/>
        <w:rPr>
          <w:rFonts w:ascii="Arial" w:hAnsi="Arial" w:cs="Arial"/>
          <w:sz w:val="24"/>
          <w:szCs w:val="24"/>
        </w:rPr>
      </w:pPr>
    </w:p>
    <w:p w14:paraId="6ED1D959" w14:textId="4A264E27" w:rsidR="003E3D95" w:rsidRPr="00EB10F3" w:rsidRDefault="00EB10F3" w:rsidP="00EB10F3">
      <w:pPr>
        <w:spacing w:after="0" w:line="480" w:lineRule="auto"/>
        <w:jc w:val="both"/>
        <w:rPr>
          <w:rFonts w:ascii="Arial" w:hAnsi="Arial" w:cs="Arial"/>
          <w:sz w:val="24"/>
          <w:szCs w:val="24"/>
        </w:rPr>
      </w:pPr>
      <w:r>
        <w:rPr>
          <w:rFonts w:ascii="Arial" w:eastAsia="Times New Roman" w:hAnsi="Arial" w:cs="Arial"/>
          <w:sz w:val="24"/>
          <w:szCs w:val="24"/>
        </w:rPr>
        <w:t>[17]</w:t>
      </w:r>
      <w:r>
        <w:rPr>
          <w:rFonts w:ascii="Arial" w:eastAsia="Times New Roman" w:hAnsi="Arial" w:cs="Arial"/>
          <w:sz w:val="24"/>
          <w:szCs w:val="24"/>
        </w:rPr>
        <w:tab/>
      </w:r>
      <w:r w:rsidR="003E3D95" w:rsidRPr="00EB10F3">
        <w:rPr>
          <w:rFonts w:ascii="Arial" w:hAnsi="Arial" w:cs="Arial"/>
          <w:sz w:val="24"/>
          <w:szCs w:val="24"/>
        </w:rPr>
        <w:t xml:space="preserve">Where the confusion appears to arise is the reference to, and categorisation of, a particular step, or series of steps (which step/s neither constitute/s the institution of </w:t>
      </w:r>
      <w:r w:rsidR="003E3D95" w:rsidRPr="00EB10F3">
        <w:rPr>
          <w:rFonts w:ascii="Arial" w:hAnsi="Arial" w:cs="Arial"/>
          <w:sz w:val="24"/>
          <w:szCs w:val="24"/>
        </w:rPr>
        <w:lastRenderedPageBreak/>
        <w:t>an action nor an application), within the broader context of the enforcement proceedings as a “</w:t>
      </w:r>
      <w:r w:rsidR="003E3D95" w:rsidRPr="00EB10F3">
        <w:rPr>
          <w:rFonts w:ascii="Arial" w:hAnsi="Arial" w:cs="Arial"/>
          <w:i/>
          <w:iCs/>
          <w:sz w:val="24"/>
          <w:szCs w:val="24"/>
        </w:rPr>
        <w:t>proceeding</w:t>
      </w:r>
      <w:r w:rsidR="003E3D95" w:rsidRPr="00EB10F3">
        <w:rPr>
          <w:rFonts w:ascii="Arial" w:hAnsi="Arial" w:cs="Arial"/>
          <w:sz w:val="24"/>
          <w:szCs w:val="24"/>
        </w:rPr>
        <w:t>” in itself, for the purposes of rule 41.  This could never be so.</w:t>
      </w:r>
    </w:p>
    <w:p w14:paraId="7317B042" w14:textId="77777777" w:rsidR="003E3D95" w:rsidRPr="004044F2" w:rsidRDefault="003E3D95" w:rsidP="003E3D95">
      <w:pPr>
        <w:pStyle w:val="ListParagraph"/>
        <w:spacing w:after="0" w:line="480" w:lineRule="auto"/>
        <w:rPr>
          <w:rFonts w:ascii="Arial" w:hAnsi="Arial" w:cs="Arial"/>
          <w:sz w:val="24"/>
          <w:szCs w:val="24"/>
        </w:rPr>
      </w:pPr>
    </w:p>
    <w:p w14:paraId="59F4F707" w14:textId="3CB37FF7" w:rsidR="00072164" w:rsidRPr="00EB10F3" w:rsidRDefault="00EB10F3" w:rsidP="00EB10F3">
      <w:pPr>
        <w:spacing w:after="0" w:line="480" w:lineRule="auto"/>
        <w:jc w:val="both"/>
        <w:rPr>
          <w:rFonts w:ascii="Arial" w:hAnsi="Arial" w:cs="Arial"/>
          <w:sz w:val="24"/>
          <w:szCs w:val="24"/>
        </w:rPr>
      </w:pPr>
      <w:r w:rsidRPr="004044F2">
        <w:rPr>
          <w:rFonts w:ascii="Arial" w:eastAsia="Times New Roman" w:hAnsi="Arial" w:cs="Arial"/>
          <w:sz w:val="24"/>
          <w:szCs w:val="24"/>
        </w:rPr>
        <w:t>[18]</w:t>
      </w:r>
      <w:r w:rsidRPr="004044F2">
        <w:rPr>
          <w:rFonts w:ascii="Arial" w:eastAsia="Times New Roman" w:hAnsi="Arial" w:cs="Arial"/>
          <w:sz w:val="24"/>
          <w:szCs w:val="24"/>
        </w:rPr>
        <w:tab/>
      </w:r>
      <w:r w:rsidR="004044F2" w:rsidRPr="00EB10F3">
        <w:rPr>
          <w:rFonts w:ascii="Arial" w:hAnsi="Arial" w:cs="Arial"/>
          <w:sz w:val="24"/>
          <w:szCs w:val="24"/>
        </w:rPr>
        <w:t>The correct meaning to be attributed to the word “</w:t>
      </w:r>
      <w:r w:rsidR="004044F2" w:rsidRPr="00EB10F3">
        <w:rPr>
          <w:rFonts w:ascii="Arial" w:hAnsi="Arial" w:cs="Arial"/>
          <w:i/>
          <w:iCs/>
          <w:sz w:val="24"/>
          <w:szCs w:val="24"/>
        </w:rPr>
        <w:t>proceedings</w:t>
      </w:r>
      <w:r w:rsidR="004044F2" w:rsidRPr="00EB10F3">
        <w:rPr>
          <w:rFonts w:ascii="Arial" w:hAnsi="Arial" w:cs="Arial"/>
          <w:sz w:val="24"/>
          <w:szCs w:val="24"/>
        </w:rPr>
        <w:t xml:space="preserve">” is further illustrated with </w:t>
      </w:r>
      <w:r w:rsidR="00072164" w:rsidRPr="00EB10F3">
        <w:rPr>
          <w:rFonts w:ascii="Arial" w:hAnsi="Arial" w:cs="Arial"/>
          <w:sz w:val="24"/>
          <w:szCs w:val="24"/>
        </w:rPr>
        <w:t>reference to the Afrikaans text of the rule, which reads as follows:</w:t>
      </w:r>
    </w:p>
    <w:p w14:paraId="25B5A701" w14:textId="77777777" w:rsidR="00072164" w:rsidRPr="00865CDC" w:rsidRDefault="00072164" w:rsidP="00072164">
      <w:pPr>
        <w:pStyle w:val="ListParagraph"/>
        <w:rPr>
          <w:rFonts w:ascii="Arial" w:hAnsi="Arial" w:cs="Arial"/>
          <w:sz w:val="24"/>
          <w:szCs w:val="24"/>
        </w:rPr>
      </w:pPr>
    </w:p>
    <w:p w14:paraId="44D49493" w14:textId="77777777" w:rsidR="00072164" w:rsidRPr="00D53D2F" w:rsidRDefault="00072164" w:rsidP="00072164">
      <w:pPr>
        <w:spacing w:after="0" w:line="360" w:lineRule="auto"/>
        <w:ind w:left="1843" w:hanging="1123"/>
        <w:jc w:val="both"/>
        <w:rPr>
          <w:rFonts w:ascii="Arial" w:hAnsi="Arial" w:cs="Arial"/>
          <w:i/>
          <w:iCs/>
        </w:rPr>
      </w:pPr>
      <w:r>
        <w:rPr>
          <w:rFonts w:ascii="Arial" w:hAnsi="Arial" w:cs="Arial"/>
        </w:rPr>
        <w:t>“</w:t>
      </w:r>
      <w:r w:rsidRPr="00D53D2F">
        <w:rPr>
          <w:rFonts w:ascii="Arial" w:hAnsi="Arial" w:cs="Arial"/>
          <w:i/>
          <w:iCs/>
        </w:rPr>
        <w:t xml:space="preserve">41(1)(a) </w:t>
      </w:r>
      <w:r w:rsidRPr="00D53D2F">
        <w:rPr>
          <w:rFonts w:ascii="Arial" w:hAnsi="Arial" w:cs="Arial"/>
          <w:i/>
          <w:iCs/>
        </w:rPr>
        <w:tab/>
        <w:t>Iemand wat 'n geding ingestel het, kan dit voor terrolleplasing te eniger tyd en daarna met die toestemming van die partye of verlof van die hof, terugtrek. In elke geval moet hy 'n kennisgewing van terugtrekking aflewer, en hy kan daarin inwillig om koste te betaal. Die takseermeester takseer die koste op versoek van die ander party.</w:t>
      </w:r>
    </w:p>
    <w:p w14:paraId="2A54A29F" w14:textId="77777777" w:rsidR="00072164" w:rsidRPr="00865CDC" w:rsidRDefault="00072164" w:rsidP="00072164">
      <w:pPr>
        <w:pStyle w:val="ListParagraph"/>
        <w:spacing w:after="0" w:line="480" w:lineRule="auto"/>
        <w:rPr>
          <w:rFonts w:ascii="Arial" w:hAnsi="Arial" w:cs="Arial"/>
          <w:sz w:val="24"/>
          <w:szCs w:val="24"/>
        </w:rPr>
      </w:pPr>
    </w:p>
    <w:p w14:paraId="4CF7298D" w14:textId="75AB9691" w:rsidR="004B3BF9" w:rsidRPr="00EB10F3" w:rsidRDefault="00EB10F3" w:rsidP="00EB10F3">
      <w:pPr>
        <w:spacing w:after="0" w:line="480" w:lineRule="auto"/>
        <w:jc w:val="both"/>
        <w:rPr>
          <w:rFonts w:ascii="Arial" w:hAnsi="Arial" w:cs="Arial"/>
          <w:sz w:val="24"/>
          <w:szCs w:val="24"/>
        </w:rPr>
      </w:pPr>
      <w:r>
        <w:rPr>
          <w:rFonts w:ascii="Arial" w:eastAsia="Times New Roman" w:hAnsi="Arial" w:cs="Arial"/>
          <w:sz w:val="24"/>
          <w:szCs w:val="24"/>
        </w:rPr>
        <w:t>[19]</w:t>
      </w:r>
      <w:r>
        <w:rPr>
          <w:rFonts w:ascii="Arial" w:eastAsia="Times New Roman" w:hAnsi="Arial" w:cs="Arial"/>
          <w:sz w:val="24"/>
          <w:szCs w:val="24"/>
        </w:rPr>
        <w:tab/>
      </w:r>
      <w:r w:rsidR="009145D6" w:rsidRPr="00EB10F3">
        <w:rPr>
          <w:rFonts w:ascii="Arial" w:hAnsi="Arial" w:cs="Arial"/>
          <w:sz w:val="24"/>
          <w:szCs w:val="24"/>
        </w:rPr>
        <w:t xml:space="preserve">In drafting </w:t>
      </w:r>
      <w:r w:rsidR="00072164" w:rsidRPr="00EB10F3">
        <w:rPr>
          <w:rFonts w:ascii="Arial" w:hAnsi="Arial" w:cs="Arial"/>
          <w:sz w:val="24"/>
          <w:szCs w:val="24"/>
        </w:rPr>
        <w:t>rule 41(1)(a)</w:t>
      </w:r>
      <w:r w:rsidR="009145D6" w:rsidRPr="00EB10F3">
        <w:rPr>
          <w:rFonts w:ascii="Arial" w:hAnsi="Arial" w:cs="Arial"/>
          <w:sz w:val="24"/>
          <w:szCs w:val="24"/>
        </w:rPr>
        <w:t>,</w:t>
      </w:r>
      <w:r w:rsidR="00072164" w:rsidRPr="00EB10F3">
        <w:rPr>
          <w:rFonts w:ascii="Arial" w:hAnsi="Arial" w:cs="Arial"/>
          <w:sz w:val="24"/>
          <w:szCs w:val="24"/>
        </w:rPr>
        <w:t xml:space="preserve"> the </w:t>
      </w:r>
      <w:r w:rsidR="009145D6" w:rsidRPr="00EB10F3">
        <w:rPr>
          <w:rFonts w:ascii="Arial" w:hAnsi="Arial" w:cs="Arial"/>
          <w:sz w:val="24"/>
          <w:szCs w:val="24"/>
        </w:rPr>
        <w:t xml:space="preserve">Rules Board utilised the </w:t>
      </w:r>
      <w:r w:rsidR="00072164" w:rsidRPr="00EB10F3">
        <w:rPr>
          <w:rFonts w:ascii="Arial" w:hAnsi="Arial" w:cs="Arial"/>
          <w:sz w:val="24"/>
          <w:szCs w:val="24"/>
        </w:rPr>
        <w:t>word “</w:t>
      </w:r>
      <w:r w:rsidR="00072164" w:rsidRPr="00EB10F3">
        <w:rPr>
          <w:rFonts w:ascii="Arial" w:hAnsi="Arial" w:cs="Arial"/>
          <w:i/>
          <w:iCs/>
          <w:sz w:val="24"/>
          <w:szCs w:val="24"/>
        </w:rPr>
        <w:t>geding</w:t>
      </w:r>
      <w:r w:rsidR="00072164" w:rsidRPr="00EB10F3">
        <w:rPr>
          <w:rFonts w:ascii="Arial" w:hAnsi="Arial" w:cs="Arial"/>
          <w:sz w:val="24"/>
          <w:szCs w:val="24"/>
        </w:rPr>
        <w:t>” for “</w:t>
      </w:r>
      <w:r w:rsidR="00072164" w:rsidRPr="00EB10F3">
        <w:rPr>
          <w:rFonts w:ascii="Arial" w:hAnsi="Arial" w:cs="Arial"/>
          <w:i/>
          <w:iCs/>
          <w:sz w:val="24"/>
          <w:szCs w:val="24"/>
        </w:rPr>
        <w:t>proceedings</w:t>
      </w:r>
      <w:r w:rsidR="00072164" w:rsidRPr="00EB10F3">
        <w:rPr>
          <w:rFonts w:ascii="Arial" w:hAnsi="Arial" w:cs="Arial"/>
          <w:sz w:val="24"/>
          <w:szCs w:val="24"/>
        </w:rPr>
        <w:t>”, which directly translates into English as a “</w:t>
      </w:r>
      <w:r w:rsidR="00072164" w:rsidRPr="00EB10F3">
        <w:rPr>
          <w:rFonts w:ascii="Arial" w:hAnsi="Arial" w:cs="Arial"/>
          <w:i/>
          <w:iCs/>
          <w:sz w:val="24"/>
          <w:szCs w:val="24"/>
        </w:rPr>
        <w:t>lawsuit</w:t>
      </w:r>
      <w:r w:rsidR="00072164" w:rsidRPr="00EB10F3">
        <w:rPr>
          <w:rFonts w:ascii="Arial" w:hAnsi="Arial" w:cs="Arial"/>
          <w:sz w:val="24"/>
          <w:szCs w:val="24"/>
        </w:rPr>
        <w:t>”.</w:t>
      </w:r>
      <w:r w:rsidR="00B80137" w:rsidRPr="00EB10F3">
        <w:rPr>
          <w:rFonts w:ascii="Arial" w:hAnsi="Arial" w:cs="Arial"/>
          <w:sz w:val="24"/>
          <w:szCs w:val="24"/>
        </w:rPr>
        <w:t xml:space="preserve">  </w:t>
      </w:r>
      <w:r w:rsidR="00AB465F" w:rsidRPr="00EB10F3">
        <w:rPr>
          <w:rFonts w:ascii="Arial" w:hAnsi="Arial" w:cs="Arial"/>
          <w:sz w:val="24"/>
          <w:szCs w:val="24"/>
        </w:rPr>
        <w:t xml:space="preserve">Accordingly, in amplification of the findings of court in </w:t>
      </w:r>
      <w:r w:rsidR="00AB465F" w:rsidRPr="00EB10F3">
        <w:rPr>
          <w:rFonts w:ascii="Arial" w:hAnsi="Arial" w:cs="Arial"/>
          <w:i/>
          <w:iCs/>
          <w:sz w:val="24"/>
          <w:szCs w:val="24"/>
        </w:rPr>
        <w:t>De Lange</w:t>
      </w:r>
      <w:r w:rsidR="00AB465F" w:rsidRPr="00EB10F3">
        <w:rPr>
          <w:rFonts w:ascii="Arial" w:hAnsi="Arial" w:cs="Arial"/>
          <w:sz w:val="24"/>
          <w:szCs w:val="24"/>
        </w:rPr>
        <w:t>, and with the risk of being tautologous, th</w:t>
      </w:r>
      <w:r w:rsidR="00B80137" w:rsidRPr="00EB10F3">
        <w:rPr>
          <w:rFonts w:ascii="Arial" w:hAnsi="Arial" w:cs="Arial"/>
          <w:sz w:val="24"/>
          <w:szCs w:val="24"/>
        </w:rPr>
        <w:t>ere can be no doubt that what the rule envisages are the withdrawal of legal proceedings</w:t>
      </w:r>
      <w:r w:rsidR="00AB465F" w:rsidRPr="00EB10F3">
        <w:rPr>
          <w:rFonts w:ascii="Arial" w:hAnsi="Arial" w:cs="Arial"/>
          <w:sz w:val="24"/>
          <w:szCs w:val="24"/>
        </w:rPr>
        <w:t xml:space="preserve"> instituted by way of action or application</w:t>
      </w:r>
      <w:r w:rsidR="003077C1" w:rsidRPr="00EB10F3">
        <w:rPr>
          <w:rFonts w:ascii="Arial" w:hAnsi="Arial" w:cs="Arial"/>
          <w:sz w:val="24"/>
          <w:szCs w:val="24"/>
        </w:rPr>
        <w:t xml:space="preserve"> (proceedings)</w:t>
      </w:r>
      <w:r w:rsidR="00AB465F" w:rsidRPr="00EB10F3">
        <w:rPr>
          <w:rFonts w:ascii="Arial" w:hAnsi="Arial" w:cs="Arial"/>
          <w:sz w:val="24"/>
          <w:szCs w:val="24"/>
        </w:rPr>
        <w:t xml:space="preserve"> in the High Court</w:t>
      </w:r>
      <w:r w:rsidR="00B80137" w:rsidRPr="00EB10F3">
        <w:rPr>
          <w:rFonts w:ascii="Arial" w:hAnsi="Arial" w:cs="Arial"/>
          <w:sz w:val="24"/>
          <w:szCs w:val="24"/>
        </w:rPr>
        <w:t xml:space="preserve">, in which there is a </w:t>
      </w:r>
      <w:r w:rsidR="00B80137" w:rsidRPr="00EB10F3">
        <w:rPr>
          <w:rFonts w:ascii="Arial" w:hAnsi="Arial" w:cs="Arial"/>
          <w:i/>
          <w:iCs/>
          <w:sz w:val="24"/>
          <w:szCs w:val="24"/>
        </w:rPr>
        <w:t>lis</w:t>
      </w:r>
      <w:r w:rsidR="00B80137" w:rsidRPr="00EB10F3">
        <w:rPr>
          <w:rFonts w:ascii="Arial" w:hAnsi="Arial" w:cs="Arial"/>
          <w:sz w:val="24"/>
          <w:szCs w:val="24"/>
        </w:rPr>
        <w:t xml:space="preserve"> between the parties, the purpose of which is to seek redress or the enforcement of rights against the other</w:t>
      </w:r>
      <w:r w:rsidR="00AB465F" w:rsidRPr="00EB10F3">
        <w:rPr>
          <w:rFonts w:ascii="Arial" w:hAnsi="Arial" w:cs="Arial"/>
          <w:sz w:val="24"/>
          <w:szCs w:val="24"/>
        </w:rPr>
        <w:t>.</w:t>
      </w:r>
      <w:r w:rsidR="003077C1" w:rsidRPr="00EB10F3">
        <w:rPr>
          <w:rFonts w:ascii="Arial" w:hAnsi="Arial" w:cs="Arial"/>
          <w:sz w:val="24"/>
          <w:szCs w:val="24"/>
        </w:rPr>
        <w:t xml:space="preserve">  Upon the withdrawal of </w:t>
      </w:r>
      <w:r w:rsidR="00AB6700" w:rsidRPr="00EB10F3">
        <w:rPr>
          <w:rFonts w:ascii="Arial" w:hAnsi="Arial" w:cs="Arial"/>
          <w:sz w:val="24"/>
          <w:szCs w:val="24"/>
        </w:rPr>
        <w:t>such</w:t>
      </w:r>
      <w:r w:rsidR="003077C1" w:rsidRPr="00EB10F3">
        <w:rPr>
          <w:rFonts w:ascii="Arial" w:hAnsi="Arial" w:cs="Arial"/>
          <w:sz w:val="24"/>
          <w:szCs w:val="24"/>
        </w:rPr>
        <w:t xml:space="preserve"> proceedings, the </w:t>
      </w:r>
      <w:r w:rsidR="003077C1" w:rsidRPr="00EB10F3">
        <w:rPr>
          <w:rFonts w:ascii="Arial" w:hAnsi="Arial" w:cs="Arial"/>
          <w:i/>
          <w:iCs/>
          <w:sz w:val="24"/>
          <w:szCs w:val="24"/>
        </w:rPr>
        <w:t xml:space="preserve">lis </w:t>
      </w:r>
      <w:r w:rsidR="003077C1" w:rsidRPr="00EB10F3">
        <w:rPr>
          <w:rFonts w:ascii="Arial" w:hAnsi="Arial" w:cs="Arial"/>
          <w:sz w:val="24"/>
          <w:szCs w:val="24"/>
        </w:rPr>
        <w:t>between the parties comes to an end.  Notwithstanding this, rule 41(1)(c) provides a mechanism whereby a successful litigant, by reason of the withdrawal, is able to pursue the costs associated with the proceedings.</w:t>
      </w:r>
      <w:r w:rsidR="004377B0" w:rsidRPr="00EB10F3">
        <w:rPr>
          <w:rFonts w:ascii="Arial" w:hAnsi="Arial" w:cs="Arial"/>
          <w:sz w:val="24"/>
          <w:szCs w:val="24"/>
        </w:rPr>
        <w:t xml:space="preserve">  </w:t>
      </w:r>
    </w:p>
    <w:p w14:paraId="7FDB1908" w14:textId="77777777" w:rsidR="004B3BF9" w:rsidRDefault="004B3BF9" w:rsidP="004B3BF9">
      <w:pPr>
        <w:pStyle w:val="ListParagraph"/>
        <w:spacing w:after="0" w:line="480" w:lineRule="auto"/>
        <w:ind w:left="0"/>
        <w:jc w:val="both"/>
        <w:rPr>
          <w:rFonts w:ascii="Arial" w:hAnsi="Arial" w:cs="Arial"/>
          <w:sz w:val="24"/>
          <w:szCs w:val="24"/>
        </w:rPr>
      </w:pPr>
    </w:p>
    <w:p w14:paraId="0166913A" w14:textId="5D7AD928" w:rsidR="004377B0" w:rsidRPr="00EB10F3" w:rsidRDefault="00EB10F3" w:rsidP="00EB10F3">
      <w:pPr>
        <w:spacing w:after="0" w:line="480" w:lineRule="auto"/>
        <w:jc w:val="both"/>
        <w:rPr>
          <w:rFonts w:ascii="Arial" w:hAnsi="Arial" w:cs="Arial"/>
          <w:sz w:val="24"/>
          <w:szCs w:val="24"/>
        </w:rPr>
      </w:pPr>
      <w:r>
        <w:rPr>
          <w:rFonts w:ascii="Arial" w:eastAsia="Times New Roman" w:hAnsi="Arial" w:cs="Arial"/>
          <w:sz w:val="24"/>
          <w:szCs w:val="24"/>
        </w:rPr>
        <w:t>[20]</w:t>
      </w:r>
      <w:r>
        <w:rPr>
          <w:rFonts w:ascii="Arial" w:eastAsia="Times New Roman" w:hAnsi="Arial" w:cs="Arial"/>
          <w:sz w:val="24"/>
          <w:szCs w:val="24"/>
        </w:rPr>
        <w:tab/>
      </w:r>
      <w:r w:rsidR="004377B0" w:rsidRPr="00EB10F3">
        <w:rPr>
          <w:rFonts w:ascii="Arial" w:hAnsi="Arial" w:cs="Arial"/>
          <w:sz w:val="24"/>
          <w:szCs w:val="24"/>
        </w:rPr>
        <w:t xml:space="preserve">This is dissimilar to the position with follows the withdrawal of a special plea, in which the </w:t>
      </w:r>
      <w:r w:rsidR="004377B0" w:rsidRPr="00EB10F3">
        <w:rPr>
          <w:rFonts w:ascii="Arial" w:hAnsi="Arial" w:cs="Arial"/>
          <w:i/>
          <w:iCs/>
          <w:sz w:val="24"/>
          <w:szCs w:val="24"/>
        </w:rPr>
        <w:t xml:space="preserve">lis </w:t>
      </w:r>
      <w:r w:rsidR="004377B0" w:rsidRPr="00EB10F3">
        <w:rPr>
          <w:rFonts w:ascii="Arial" w:hAnsi="Arial" w:cs="Arial"/>
          <w:sz w:val="24"/>
          <w:szCs w:val="24"/>
        </w:rPr>
        <w:t xml:space="preserve">between the parties remains extant.  In such circumstances, the court seized with the proceedings is best placed to deal with the costs associated with the </w:t>
      </w:r>
      <w:r w:rsidR="004377B0" w:rsidRPr="00EB10F3">
        <w:rPr>
          <w:rFonts w:ascii="Arial" w:hAnsi="Arial" w:cs="Arial"/>
          <w:sz w:val="24"/>
          <w:szCs w:val="24"/>
        </w:rPr>
        <w:lastRenderedPageBreak/>
        <w:t>withdrawal as part of its enquiry into costs at the conclusion of the proceedings.  To attribute any other meaning to the word under consideration, within the context of the rule and with due regard to its purpose, would</w:t>
      </w:r>
      <w:r w:rsidR="00D255E4" w:rsidRPr="00EB10F3">
        <w:rPr>
          <w:rFonts w:ascii="Arial" w:hAnsi="Arial" w:cs="Arial"/>
          <w:sz w:val="24"/>
          <w:szCs w:val="24"/>
        </w:rPr>
        <w:t xml:space="preserve"> be</w:t>
      </w:r>
      <w:r w:rsidR="003E3D95" w:rsidRPr="00EB10F3">
        <w:rPr>
          <w:rFonts w:ascii="Arial" w:hAnsi="Arial" w:cs="Arial"/>
          <w:sz w:val="24"/>
          <w:szCs w:val="24"/>
        </w:rPr>
        <w:t>, at best,</w:t>
      </w:r>
      <w:r w:rsidR="004377B0" w:rsidRPr="00EB10F3">
        <w:rPr>
          <w:rFonts w:ascii="Arial" w:hAnsi="Arial" w:cs="Arial"/>
          <w:sz w:val="24"/>
          <w:szCs w:val="24"/>
        </w:rPr>
        <w:t xml:space="preserve"> non-sensical and arbitrary</w:t>
      </w:r>
      <w:r w:rsidR="003E3D95" w:rsidRPr="00EB10F3">
        <w:rPr>
          <w:rFonts w:ascii="Arial" w:hAnsi="Arial" w:cs="Arial"/>
          <w:sz w:val="24"/>
          <w:szCs w:val="24"/>
        </w:rPr>
        <w:t xml:space="preserve"> leading to untenable results</w:t>
      </w:r>
      <w:r w:rsidR="004377B0" w:rsidRPr="00EB10F3">
        <w:rPr>
          <w:rFonts w:ascii="Arial" w:hAnsi="Arial" w:cs="Arial"/>
          <w:sz w:val="24"/>
          <w:szCs w:val="24"/>
        </w:rPr>
        <w:t>.</w:t>
      </w:r>
    </w:p>
    <w:p w14:paraId="70F8770B" w14:textId="2A92368B" w:rsidR="00C76B3F" w:rsidRDefault="00C76B3F" w:rsidP="00C76B3F">
      <w:pPr>
        <w:pStyle w:val="ListParagraph"/>
        <w:spacing w:after="0" w:line="480" w:lineRule="auto"/>
        <w:ind w:left="0"/>
        <w:jc w:val="both"/>
        <w:rPr>
          <w:rFonts w:ascii="Arial" w:hAnsi="Arial" w:cs="Arial"/>
          <w:sz w:val="24"/>
          <w:szCs w:val="24"/>
        </w:rPr>
      </w:pPr>
    </w:p>
    <w:p w14:paraId="7640F4EF" w14:textId="5E70B794" w:rsidR="00C76B3F" w:rsidRDefault="00C76B3F" w:rsidP="00C76B3F">
      <w:pPr>
        <w:pStyle w:val="ListParagraph"/>
        <w:spacing w:after="0" w:line="480" w:lineRule="auto"/>
        <w:ind w:left="0"/>
        <w:jc w:val="both"/>
        <w:rPr>
          <w:rFonts w:ascii="Arial" w:hAnsi="Arial" w:cs="Arial"/>
          <w:b/>
          <w:bCs/>
          <w:i/>
          <w:iCs/>
          <w:sz w:val="24"/>
          <w:szCs w:val="24"/>
        </w:rPr>
      </w:pPr>
      <w:r>
        <w:rPr>
          <w:rFonts w:ascii="Arial" w:hAnsi="Arial" w:cs="Arial"/>
          <w:b/>
          <w:bCs/>
          <w:i/>
          <w:iCs/>
          <w:sz w:val="24"/>
          <w:szCs w:val="24"/>
        </w:rPr>
        <w:t>Conclusion</w:t>
      </w:r>
    </w:p>
    <w:p w14:paraId="134E05C8" w14:textId="77777777" w:rsidR="00C76B3F" w:rsidRPr="00C76B3F" w:rsidRDefault="00C76B3F" w:rsidP="00C76B3F">
      <w:pPr>
        <w:pStyle w:val="ListParagraph"/>
        <w:spacing w:after="0" w:line="480" w:lineRule="auto"/>
        <w:ind w:left="0"/>
        <w:jc w:val="both"/>
        <w:rPr>
          <w:rFonts w:ascii="Arial" w:hAnsi="Arial" w:cs="Arial"/>
          <w:b/>
          <w:bCs/>
          <w:i/>
          <w:iCs/>
          <w:sz w:val="24"/>
          <w:szCs w:val="24"/>
        </w:rPr>
      </w:pPr>
    </w:p>
    <w:p w14:paraId="56927762" w14:textId="585F2BB1" w:rsidR="00C76B3F" w:rsidRPr="00EB10F3" w:rsidRDefault="00EB10F3" w:rsidP="00EB10F3">
      <w:pPr>
        <w:spacing w:after="0" w:line="480" w:lineRule="auto"/>
        <w:jc w:val="both"/>
        <w:rPr>
          <w:rFonts w:ascii="Arial" w:hAnsi="Arial" w:cs="Arial"/>
          <w:sz w:val="24"/>
          <w:szCs w:val="24"/>
        </w:rPr>
      </w:pPr>
      <w:r>
        <w:rPr>
          <w:rFonts w:ascii="Arial" w:eastAsia="Times New Roman" w:hAnsi="Arial" w:cs="Arial"/>
          <w:sz w:val="24"/>
          <w:szCs w:val="24"/>
        </w:rPr>
        <w:t>[21]</w:t>
      </w:r>
      <w:r>
        <w:rPr>
          <w:rFonts w:ascii="Arial" w:eastAsia="Times New Roman" w:hAnsi="Arial" w:cs="Arial"/>
          <w:sz w:val="24"/>
          <w:szCs w:val="24"/>
        </w:rPr>
        <w:tab/>
      </w:r>
      <w:r w:rsidR="00C76B3F" w:rsidRPr="00EB10F3">
        <w:rPr>
          <w:rFonts w:ascii="Arial" w:hAnsi="Arial" w:cs="Arial"/>
          <w:sz w:val="24"/>
          <w:szCs w:val="24"/>
        </w:rPr>
        <w:t>Having come to the above conclusion, the respondents were not bound by rule 41(1) in withdrawing their special plea.  Concomitantly, the remedy provided</w:t>
      </w:r>
      <w:r w:rsidR="00D255E4" w:rsidRPr="00EB10F3">
        <w:rPr>
          <w:rFonts w:ascii="Arial" w:hAnsi="Arial" w:cs="Arial"/>
          <w:sz w:val="24"/>
          <w:szCs w:val="24"/>
        </w:rPr>
        <w:t xml:space="preserve"> for</w:t>
      </w:r>
      <w:r w:rsidR="00C76B3F" w:rsidRPr="00EB10F3">
        <w:rPr>
          <w:rFonts w:ascii="Arial" w:hAnsi="Arial" w:cs="Arial"/>
          <w:sz w:val="24"/>
          <w:szCs w:val="24"/>
        </w:rPr>
        <w:t xml:space="preserve"> under rule 41(1)(c) is not available to the applicant and accordingly the application must fail.</w:t>
      </w:r>
    </w:p>
    <w:p w14:paraId="08C52CF6" w14:textId="77777777" w:rsidR="00C76B3F" w:rsidRDefault="00C76B3F" w:rsidP="00C76B3F">
      <w:pPr>
        <w:pStyle w:val="ListParagraph"/>
        <w:spacing w:after="0" w:line="480" w:lineRule="auto"/>
        <w:ind w:left="0"/>
        <w:jc w:val="both"/>
        <w:rPr>
          <w:rFonts w:ascii="Arial" w:hAnsi="Arial" w:cs="Arial"/>
          <w:sz w:val="24"/>
          <w:szCs w:val="24"/>
        </w:rPr>
      </w:pPr>
    </w:p>
    <w:p w14:paraId="6A15E872" w14:textId="05A26CC4" w:rsidR="00C76B3F" w:rsidRPr="00EB10F3" w:rsidRDefault="00EB10F3" w:rsidP="00EB10F3">
      <w:pPr>
        <w:spacing w:after="0" w:line="480" w:lineRule="auto"/>
        <w:jc w:val="both"/>
        <w:rPr>
          <w:rFonts w:ascii="Arial" w:hAnsi="Arial" w:cs="Arial"/>
          <w:sz w:val="24"/>
          <w:szCs w:val="24"/>
        </w:rPr>
      </w:pPr>
      <w:r>
        <w:rPr>
          <w:rFonts w:ascii="Arial" w:eastAsia="Times New Roman" w:hAnsi="Arial" w:cs="Arial"/>
          <w:sz w:val="24"/>
          <w:szCs w:val="24"/>
        </w:rPr>
        <w:t>[22]</w:t>
      </w:r>
      <w:r>
        <w:rPr>
          <w:rFonts w:ascii="Arial" w:eastAsia="Times New Roman" w:hAnsi="Arial" w:cs="Arial"/>
          <w:sz w:val="24"/>
          <w:szCs w:val="24"/>
        </w:rPr>
        <w:tab/>
      </w:r>
      <w:r w:rsidR="00C76B3F" w:rsidRPr="00EB10F3">
        <w:rPr>
          <w:rFonts w:ascii="Arial" w:hAnsi="Arial" w:cs="Arial"/>
          <w:sz w:val="24"/>
          <w:szCs w:val="24"/>
        </w:rPr>
        <w:t xml:space="preserve">In light of the fact that neither party to these proceedings was alive to the above issue, </w:t>
      </w:r>
      <w:r w:rsidR="0000173F" w:rsidRPr="00EB10F3">
        <w:rPr>
          <w:rFonts w:ascii="Arial" w:hAnsi="Arial" w:cs="Arial"/>
          <w:sz w:val="24"/>
          <w:szCs w:val="24"/>
        </w:rPr>
        <w:t xml:space="preserve">coupled with what I have stated in paragraphs [7] and [8] of this judgment, </w:t>
      </w:r>
      <w:r w:rsidR="00C76B3F" w:rsidRPr="00EB10F3">
        <w:rPr>
          <w:rFonts w:ascii="Arial" w:hAnsi="Arial" w:cs="Arial"/>
          <w:sz w:val="24"/>
          <w:szCs w:val="24"/>
        </w:rPr>
        <w:t xml:space="preserve">I am of the view that it would be appropriate that each party </w:t>
      </w:r>
      <w:r w:rsidR="00D00CB4" w:rsidRPr="00EB10F3">
        <w:rPr>
          <w:rFonts w:ascii="Arial" w:hAnsi="Arial" w:cs="Arial"/>
          <w:sz w:val="24"/>
          <w:szCs w:val="24"/>
        </w:rPr>
        <w:t xml:space="preserve">should be ordered to </w:t>
      </w:r>
      <w:r w:rsidR="00C76B3F" w:rsidRPr="00EB10F3">
        <w:rPr>
          <w:rFonts w:ascii="Arial" w:hAnsi="Arial" w:cs="Arial"/>
          <w:sz w:val="24"/>
          <w:szCs w:val="24"/>
        </w:rPr>
        <w:t xml:space="preserve">pay their own costs of the </w:t>
      </w:r>
      <w:r w:rsidR="002D3F40" w:rsidRPr="00EB10F3">
        <w:rPr>
          <w:rFonts w:ascii="Arial" w:hAnsi="Arial" w:cs="Arial"/>
          <w:sz w:val="24"/>
          <w:szCs w:val="24"/>
        </w:rPr>
        <w:t>application</w:t>
      </w:r>
      <w:r w:rsidR="00C76B3F" w:rsidRPr="00EB10F3">
        <w:rPr>
          <w:rFonts w:ascii="Arial" w:hAnsi="Arial" w:cs="Arial"/>
          <w:sz w:val="24"/>
          <w:szCs w:val="24"/>
        </w:rPr>
        <w:t>.</w:t>
      </w:r>
    </w:p>
    <w:p w14:paraId="6583488F" w14:textId="77777777" w:rsidR="00C76B3F" w:rsidRPr="00C76B3F" w:rsidRDefault="00C76B3F" w:rsidP="00D00CB4">
      <w:pPr>
        <w:pStyle w:val="ListParagraph"/>
        <w:spacing w:after="0" w:line="480" w:lineRule="auto"/>
        <w:rPr>
          <w:rFonts w:ascii="Arial" w:hAnsi="Arial" w:cs="Arial"/>
          <w:sz w:val="24"/>
          <w:szCs w:val="24"/>
        </w:rPr>
      </w:pPr>
    </w:p>
    <w:p w14:paraId="60869FF4" w14:textId="323FFC16" w:rsidR="00AE1608" w:rsidRPr="00EB10F3" w:rsidRDefault="00EB10F3" w:rsidP="00EB10F3">
      <w:pPr>
        <w:spacing w:after="0" w:line="480" w:lineRule="auto"/>
        <w:jc w:val="both"/>
        <w:rPr>
          <w:rFonts w:ascii="Arial" w:hAnsi="Arial" w:cs="Arial"/>
          <w:sz w:val="24"/>
          <w:szCs w:val="24"/>
        </w:rPr>
      </w:pPr>
      <w:r>
        <w:rPr>
          <w:rFonts w:ascii="Arial" w:eastAsia="Times New Roman" w:hAnsi="Arial" w:cs="Arial"/>
          <w:sz w:val="24"/>
          <w:szCs w:val="24"/>
        </w:rPr>
        <w:t>[23]</w:t>
      </w:r>
      <w:r>
        <w:rPr>
          <w:rFonts w:ascii="Arial" w:eastAsia="Times New Roman" w:hAnsi="Arial" w:cs="Arial"/>
          <w:sz w:val="24"/>
          <w:szCs w:val="24"/>
        </w:rPr>
        <w:tab/>
      </w:r>
      <w:r w:rsidR="00AE1608" w:rsidRPr="00EB10F3">
        <w:rPr>
          <w:rFonts w:ascii="Arial" w:hAnsi="Arial" w:cs="Arial"/>
          <w:sz w:val="24"/>
          <w:szCs w:val="24"/>
        </w:rPr>
        <w:t>Accordingly, the following order is issued:</w:t>
      </w:r>
    </w:p>
    <w:p w14:paraId="27B33A85" w14:textId="77777777" w:rsidR="00AE1608" w:rsidRDefault="00AE1608" w:rsidP="00AE1608">
      <w:pPr>
        <w:pStyle w:val="NormalWeb"/>
        <w:shd w:val="clear" w:color="auto" w:fill="FFFFFF"/>
        <w:spacing w:before="0" w:beforeAutospacing="0" w:after="0" w:afterAutospacing="0" w:line="480" w:lineRule="auto"/>
        <w:ind w:left="1309"/>
        <w:rPr>
          <w:rFonts w:ascii="Arial" w:hAnsi="Arial" w:cs="Arial"/>
          <w:color w:val="242121"/>
          <w:lang w:val="en-GB"/>
        </w:rPr>
      </w:pPr>
    </w:p>
    <w:p w14:paraId="6536C040" w14:textId="0EE282B5" w:rsidR="00C76B3F" w:rsidRDefault="00EB10F3" w:rsidP="00EB10F3">
      <w:pPr>
        <w:pStyle w:val="NormalWeb"/>
        <w:shd w:val="clear" w:color="auto" w:fill="FFFFFF"/>
        <w:spacing w:before="0" w:beforeAutospacing="0" w:after="0" w:afterAutospacing="0" w:line="360" w:lineRule="auto"/>
        <w:ind w:left="1310" w:hanging="600"/>
        <w:jc w:val="both"/>
        <w:rPr>
          <w:rFonts w:ascii="Arial" w:hAnsi="Arial" w:cs="Arial"/>
        </w:rPr>
      </w:pPr>
      <w:r>
        <w:rPr>
          <w:rFonts w:ascii="Arial" w:hAnsi="Arial" w:cs="Arial"/>
        </w:rPr>
        <w:t>1.</w:t>
      </w:r>
      <w:r>
        <w:rPr>
          <w:rFonts w:ascii="Arial" w:hAnsi="Arial" w:cs="Arial"/>
        </w:rPr>
        <w:tab/>
      </w:r>
      <w:r w:rsidR="00AE1608">
        <w:rPr>
          <w:rFonts w:ascii="Arial" w:hAnsi="Arial" w:cs="Arial"/>
        </w:rPr>
        <w:t xml:space="preserve">The </w:t>
      </w:r>
      <w:r w:rsidR="00C76B3F">
        <w:rPr>
          <w:rFonts w:ascii="Arial" w:hAnsi="Arial" w:cs="Arial"/>
        </w:rPr>
        <w:t>application is dismissed.</w:t>
      </w:r>
    </w:p>
    <w:p w14:paraId="5ADC74D2" w14:textId="77777777" w:rsidR="00C76B3F" w:rsidRDefault="00C76B3F" w:rsidP="000E1002">
      <w:pPr>
        <w:pStyle w:val="NormalWeb"/>
        <w:shd w:val="clear" w:color="auto" w:fill="FFFFFF"/>
        <w:spacing w:before="0" w:beforeAutospacing="0" w:after="0" w:afterAutospacing="0" w:line="360" w:lineRule="auto"/>
        <w:ind w:left="1310"/>
        <w:jc w:val="both"/>
        <w:rPr>
          <w:rFonts w:ascii="Arial" w:hAnsi="Arial" w:cs="Arial"/>
        </w:rPr>
      </w:pPr>
    </w:p>
    <w:p w14:paraId="144600C6" w14:textId="175ABBC7" w:rsidR="00C76B3F" w:rsidRDefault="00EB10F3" w:rsidP="00EB10F3">
      <w:pPr>
        <w:pStyle w:val="NormalWeb"/>
        <w:shd w:val="clear" w:color="auto" w:fill="FFFFFF"/>
        <w:spacing w:before="0" w:beforeAutospacing="0" w:after="0" w:afterAutospacing="0" w:line="360" w:lineRule="auto"/>
        <w:ind w:left="1310" w:hanging="600"/>
        <w:jc w:val="both"/>
        <w:rPr>
          <w:rFonts w:ascii="Arial" w:hAnsi="Arial" w:cs="Arial"/>
        </w:rPr>
      </w:pPr>
      <w:r>
        <w:rPr>
          <w:rFonts w:ascii="Arial" w:hAnsi="Arial" w:cs="Arial"/>
        </w:rPr>
        <w:t>2.</w:t>
      </w:r>
      <w:r>
        <w:rPr>
          <w:rFonts w:ascii="Arial" w:hAnsi="Arial" w:cs="Arial"/>
        </w:rPr>
        <w:tab/>
      </w:r>
      <w:r w:rsidR="00C76B3F">
        <w:rPr>
          <w:rFonts w:ascii="Arial" w:hAnsi="Arial" w:cs="Arial"/>
        </w:rPr>
        <w:t>Each party is ordered to pay their own costs of the application in terms of Uniform Rule 41(1)(c).</w:t>
      </w:r>
    </w:p>
    <w:p w14:paraId="171B4F53" w14:textId="77777777" w:rsidR="00AE1608" w:rsidRDefault="00AE1608" w:rsidP="00AE1608">
      <w:pPr>
        <w:pStyle w:val="NormalWeb"/>
        <w:shd w:val="clear" w:color="auto" w:fill="FFFFFF"/>
        <w:spacing w:before="0" w:beforeAutospacing="0" w:after="0" w:afterAutospacing="0" w:line="480" w:lineRule="auto"/>
        <w:ind w:left="2835"/>
        <w:jc w:val="both"/>
        <w:rPr>
          <w:rFonts w:ascii="Arial" w:hAnsi="Arial" w:cs="Arial"/>
          <w:i/>
          <w:iCs/>
        </w:rPr>
      </w:pPr>
    </w:p>
    <w:p w14:paraId="6F49682B" w14:textId="77777777" w:rsidR="000E1002" w:rsidRPr="006B706C" w:rsidRDefault="000E1002" w:rsidP="00AE1608">
      <w:pPr>
        <w:pStyle w:val="NormalWeb"/>
        <w:shd w:val="clear" w:color="auto" w:fill="FFFFFF"/>
        <w:spacing w:before="0" w:beforeAutospacing="0" w:after="0" w:afterAutospacing="0" w:line="480" w:lineRule="auto"/>
        <w:ind w:left="2835"/>
        <w:jc w:val="both"/>
        <w:rPr>
          <w:rFonts w:ascii="Arial" w:hAnsi="Arial" w:cs="Arial"/>
          <w:i/>
          <w:iCs/>
        </w:rPr>
      </w:pPr>
    </w:p>
    <w:p w14:paraId="1C730127" w14:textId="77777777" w:rsidR="00AE1608" w:rsidRPr="00C76B3F" w:rsidRDefault="00AE1608" w:rsidP="00AE1608">
      <w:pPr>
        <w:spacing w:after="0" w:line="360" w:lineRule="auto"/>
        <w:jc w:val="both"/>
        <w:rPr>
          <w:rStyle w:val="Hyperlink"/>
          <w:rFonts w:ascii="Arial" w:hAnsi="Arial" w:cs="Arial"/>
          <w:i/>
          <w:iCs/>
          <w:color w:val="000000" w:themeColor="text1"/>
          <w:sz w:val="24"/>
          <w:szCs w:val="24"/>
        </w:rPr>
      </w:pPr>
      <w:r w:rsidRPr="00C76B3F">
        <w:rPr>
          <w:rStyle w:val="Hyperlink"/>
          <w:rFonts w:ascii="Arial" w:hAnsi="Arial" w:cs="Arial"/>
          <w:i/>
          <w:iCs/>
          <w:color w:val="000000" w:themeColor="text1"/>
          <w:sz w:val="24"/>
          <w:szCs w:val="24"/>
        </w:rPr>
        <w:t>________________________________</w:t>
      </w:r>
    </w:p>
    <w:p w14:paraId="02FFF755" w14:textId="77777777" w:rsidR="00AE1608" w:rsidRPr="00524A6F" w:rsidRDefault="00AE1608" w:rsidP="00AE1608">
      <w:pPr>
        <w:spacing w:after="0" w:line="360" w:lineRule="auto"/>
        <w:jc w:val="both"/>
        <w:rPr>
          <w:rFonts w:ascii="Arial" w:hAnsi="Arial" w:cs="Arial"/>
          <w:b/>
          <w:bCs/>
          <w:sz w:val="24"/>
          <w:szCs w:val="24"/>
        </w:rPr>
      </w:pPr>
      <w:r w:rsidRPr="00524A6F">
        <w:rPr>
          <w:rFonts w:ascii="Arial" w:hAnsi="Arial" w:cs="Arial"/>
          <w:b/>
          <w:bCs/>
          <w:sz w:val="24"/>
          <w:szCs w:val="24"/>
        </w:rPr>
        <w:t xml:space="preserve">I BANDS </w:t>
      </w:r>
    </w:p>
    <w:p w14:paraId="30C03A44" w14:textId="77777777" w:rsidR="00AE1608" w:rsidRPr="00951523" w:rsidRDefault="00AE1608" w:rsidP="00AE1608">
      <w:pPr>
        <w:spacing w:after="0" w:line="480" w:lineRule="auto"/>
        <w:jc w:val="both"/>
        <w:rPr>
          <w:rFonts w:ascii="Arial" w:hAnsi="Arial" w:cs="Arial"/>
          <w:b/>
          <w:bCs/>
          <w:sz w:val="24"/>
          <w:szCs w:val="24"/>
        </w:rPr>
      </w:pPr>
      <w:r w:rsidRPr="00951523">
        <w:rPr>
          <w:rFonts w:ascii="Arial" w:hAnsi="Arial" w:cs="Arial"/>
          <w:b/>
          <w:bCs/>
          <w:sz w:val="24"/>
          <w:szCs w:val="24"/>
        </w:rPr>
        <w:t xml:space="preserve">JUDGE OF THE HIGH COURT </w:t>
      </w:r>
    </w:p>
    <w:p w14:paraId="7F92FD05" w14:textId="77777777" w:rsidR="00AE1608" w:rsidRDefault="00AE1608" w:rsidP="00AE1608">
      <w:pPr>
        <w:spacing w:after="0" w:line="360" w:lineRule="auto"/>
        <w:jc w:val="both"/>
        <w:rPr>
          <w:rFonts w:ascii="Arial" w:hAnsi="Arial" w:cs="Arial"/>
          <w:sz w:val="24"/>
          <w:szCs w:val="24"/>
        </w:rPr>
      </w:pPr>
      <w:r>
        <w:rPr>
          <w:rFonts w:ascii="Arial" w:hAnsi="Arial" w:cs="Arial"/>
          <w:sz w:val="24"/>
          <w:szCs w:val="24"/>
        </w:rPr>
        <w:lastRenderedPageBreak/>
        <w:t>Date heard:</w:t>
      </w:r>
      <w:r>
        <w:rPr>
          <w:rFonts w:ascii="Arial" w:hAnsi="Arial" w:cs="Arial"/>
          <w:sz w:val="24"/>
          <w:szCs w:val="24"/>
        </w:rPr>
        <w:tab/>
      </w:r>
      <w:r>
        <w:rPr>
          <w:rFonts w:ascii="Arial" w:hAnsi="Arial" w:cs="Arial"/>
          <w:sz w:val="24"/>
          <w:szCs w:val="24"/>
        </w:rPr>
        <w:tab/>
      </w:r>
      <w:r>
        <w:rPr>
          <w:rFonts w:ascii="Arial" w:hAnsi="Arial" w:cs="Arial"/>
          <w:sz w:val="24"/>
          <w:szCs w:val="24"/>
        </w:rPr>
        <w:tab/>
        <w:t>29 February 2024</w:t>
      </w:r>
    </w:p>
    <w:p w14:paraId="4501B7DB" w14:textId="115561A2" w:rsidR="00AE1608" w:rsidRDefault="00AE1608" w:rsidP="00AE1608">
      <w:pPr>
        <w:spacing w:after="0" w:line="360" w:lineRule="auto"/>
        <w:jc w:val="both"/>
        <w:rPr>
          <w:rFonts w:ascii="Arial" w:hAnsi="Arial" w:cs="Arial"/>
          <w:sz w:val="24"/>
          <w:szCs w:val="24"/>
        </w:rPr>
      </w:pPr>
      <w:r>
        <w:rPr>
          <w:rFonts w:ascii="Arial" w:hAnsi="Arial" w:cs="Arial"/>
          <w:sz w:val="24"/>
          <w:szCs w:val="24"/>
        </w:rPr>
        <w:t>Date of judgment:</w:t>
      </w:r>
      <w:r>
        <w:rPr>
          <w:rFonts w:ascii="Arial" w:hAnsi="Arial" w:cs="Arial"/>
          <w:sz w:val="24"/>
          <w:szCs w:val="24"/>
        </w:rPr>
        <w:tab/>
      </w:r>
      <w:r>
        <w:rPr>
          <w:rFonts w:ascii="Arial" w:hAnsi="Arial" w:cs="Arial"/>
          <w:sz w:val="24"/>
          <w:szCs w:val="24"/>
        </w:rPr>
        <w:tab/>
      </w:r>
      <w:r w:rsidR="00C76B3F">
        <w:rPr>
          <w:rFonts w:ascii="Arial" w:hAnsi="Arial" w:cs="Arial"/>
          <w:sz w:val="24"/>
          <w:szCs w:val="24"/>
        </w:rPr>
        <w:t>8 April 2024</w:t>
      </w:r>
    </w:p>
    <w:p w14:paraId="6DF71CF4" w14:textId="77777777" w:rsidR="00AE1608" w:rsidRDefault="00AE1608" w:rsidP="00AE1608">
      <w:pPr>
        <w:spacing w:after="0" w:line="360" w:lineRule="auto"/>
        <w:jc w:val="both"/>
        <w:rPr>
          <w:rFonts w:ascii="Arial" w:hAnsi="Arial" w:cs="Arial"/>
          <w:sz w:val="24"/>
          <w:szCs w:val="24"/>
        </w:rPr>
      </w:pPr>
    </w:p>
    <w:p w14:paraId="3C1EB906" w14:textId="07F4CCAC" w:rsidR="00AE1608" w:rsidRDefault="00AE1608" w:rsidP="00AE1608">
      <w:pPr>
        <w:spacing w:after="0" w:line="360" w:lineRule="auto"/>
        <w:jc w:val="both"/>
        <w:rPr>
          <w:rFonts w:ascii="Arial" w:hAnsi="Arial" w:cs="Arial"/>
          <w:sz w:val="24"/>
          <w:szCs w:val="24"/>
        </w:rPr>
      </w:pPr>
      <w:r>
        <w:rPr>
          <w:rFonts w:ascii="Arial" w:hAnsi="Arial" w:cs="Arial"/>
          <w:sz w:val="24"/>
          <w:szCs w:val="24"/>
        </w:rPr>
        <w:t>For the applicant:</w:t>
      </w:r>
      <w:r>
        <w:rPr>
          <w:rFonts w:ascii="Arial" w:hAnsi="Arial" w:cs="Arial"/>
          <w:sz w:val="24"/>
          <w:szCs w:val="24"/>
        </w:rPr>
        <w:tab/>
      </w:r>
      <w:r>
        <w:rPr>
          <w:rFonts w:ascii="Arial" w:hAnsi="Arial" w:cs="Arial"/>
          <w:sz w:val="24"/>
          <w:szCs w:val="24"/>
        </w:rPr>
        <w:tab/>
      </w:r>
      <w:r w:rsidR="005425B3">
        <w:rPr>
          <w:rFonts w:ascii="Arial" w:hAnsi="Arial" w:cs="Arial"/>
          <w:sz w:val="24"/>
          <w:szCs w:val="24"/>
        </w:rPr>
        <w:t>Mr C Nohaji</w:t>
      </w:r>
    </w:p>
    <w:p w14:paraId="01ACE2BE" w14:textId="77777777" w:rsidR="00AE1608" w:rsidRDefault="00AE1608" w:rsidP="00AE1608">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85C923B" w14:textId="1E4AA2F8" w:rsidR="00AE1608" w:rsidRDefault="00AE1608" w:rsidP="0051124B">
      <w:pPr>
        <w:spacing w:after="0"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sidR="00295876">
        <w:rPr>
          <w:rFonts w:ascii="Arial" w:hAnsi="Arial" w:cs="Arial"/>
          <w:sz w:val="24"/>
          <w:szCs w:val="24"/>
        </w:rPr>
        <w:t>Cinga Nohaji Inc.</w:t>
      </w:r>
    </w:p>
    <w:p w14:paraId="27F87765" w14:textId="107B740C" w:rsidR="00295876" w:rsidRDefault="00295876" w:rsidP="0051124B">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36 Chamberlain Road</w:t>
      </w:r>
    </w:p>
    <w:p w14:paraId="26B52E61" w14:textId="77777777" w:rsidR="00295876" w:rsidRDefault="00295876" w:rsidP="00AE1608">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Berea</w:t>
      </w:r>
    </w:p>
    <w:p w14:paraId="3A2ED696" w14:textId="77777777" w:rsidR="00295876" w:rsidRDefault="00295876" w:rsidP="00AE1608">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East London</w:t>
      </w:r>
    </w:p>
    <w:p w14:paraId="62628D0A" w14:textId="13518A2F" w:rsidR="00AE1608" w:rsidRDefault="00295876" w:rsidP="00AE1608">
      <w:pPr>
        <w:spacing w:after="0" w:line="360" w:lineRule="auto"/>
        <w:jc w:val="both"/>
        <w:rPr>
          <w:rFonts w:ascii="Arial" w:hAnsi="Arial" w:cs="Arial"/>
          <w:sz w:val="24"/>
          <w:szCs w:val="24"/>
        </w:rPr>
      </w:pPr>
      <w:r>
        <w:rPr>
          <w:rFonts w:ascii="Arial" w:hAnsi="Arial" w:cs="Arial"/>
          <w:sz w:val="24"/>
          <w:szCs w:val="24"/>
        </w:rPr>
        <w:tab/>
      </w:r>
    </w:p>
    <w:p w14:paraId="79C9ADE4" w14:textId="4064AA1A" w:rsidR="00AE1608" w:rsidRDefault="00AE1608" w:rsidP="00AE1608">
      <w:pPr>
        <w:spacing w:after="0" w:line="360" w:lineRule="auto"/>
        <w:jc w:val="both"/>
        <w:rPr>
          <w:rFonts w:ascii="Arial" w:hAnsi="Arial" w:cs="Arial"/>
          <w:sz w:val="24"/>
          <w:szCs w:val="24"/>
        </w:rPr>
      </w:pPr>
      <w:r>
        <w:rPr>
          <w:rFonts w:ascii="Arial" w:hAnsi="Arial" w:cs="Arial"/>
          <w:sz w:val="24"/>
          <w:szCs w:val="24"/>
        </w:rPr>
        <w:t>For the respondent</w:t>
      </w:r>
      <w:r w:rsidR="0051124B">
        <w:rPr>
          <w:rFonts w:ascii="Arial" w:hAnsi="Arial" w:cs="Arial"/>
          <w:sz w:val="24"/>
          <w:szCs w:val="24"/>
        </w:rPr>
        <w:t>s</w:t>
      </w:r>
      <w:r>
        <w:rPr>
          <w:rFonts w:ascii="Arial" w:hAnsi="Arial" w:cs="Arial"/>
          <w:sz w:val="24"/>
          <w:szCs w:val="24"/>
        </w:rPr>
        <w:t>:</w:t>
      </w:r>
      <w:r>
        <w:rPr>
          <w:rFonts w:ascii="Arial" w:hAnsi="Arial" w:cs="Arial"/>
          <w:sz w:val="24"/>
          <w:szCs w:val="24"/>
        </w:rPr>
        <w:tab/>
      </w:r>
      <w:r w:rsidR="00295876">
        <w:rPr>
          <w:rFonts w:ascii="Arial" w:hAnsi="Arial" w:cs="Arial"/>
          <w:sz w:val="24"/>
          <w:szCs w:val="24"/>
        </w:rPr>
        <w:t>Adv C.C Young</w:t>
      </w:r>
      <w:r>
        <w:rPr>
          <w:rFonts w:ascii="Arial" w:hAnsi="Arial" w:cs="Arial"/>
          <w:sz w:val="24"/>
          <w:szCs w:val="24"/>
        </w:rPr>
        <w:tab/>
      </w:r>
      <w:r>
        <w:rPr>
          <w:rFonts w:ascii="Arial" w:hAnsi="Arial" w:cs="Arial"/>
          <w:sz w:val="24"/>
          <w:szCs w:val="24"/>
        </w:rPr>
        <w:tab/>
      </w:r>
      <w:r>
        <w:rPr>
          <w:rFonts w:ascii="Arial" w:hAnsi="Arial" w:cs="Arial"/>
          <w:sz w:val="24"/>
          <w:szCs w:val="24"/>
        </w:rPr>
        <w:tab/>
      </w:r>
    </w:p>
    <w:p w14:paraId="49210E4C" w14:textId="77777777" w:rsidR="00AE1608" w:rsidRDefault="00AE1608" w:rsidP="00AE1608">
      <w:pPr>
        <w:spacing w:after="0" w:line="360" w:lineRule="auto"/>
        <w:jc w:val="both"/>
        <w:rPr>
          <w:rFonts w:ascii="Arial" w:hAnsi="Arial" w:cs="Arial"/>
          <w:sz w:val="24"/>
          <w:szCs w:val="24"/>
        </w:rPr>
      </w:pPr>
      <w:r>
        <w:rPr>
          <w:rFonts w:ascii="Arial" w:hAnsi="Arial" w:cs="Arial"/>
          <w:sz w:val="24"/>
          <w:szCs w:val="24"/>
        </w:rPr>
        <w:tab/>
      </w:r>
    </w:p>
    <w:p w14:paraId="142E46DD" w14:textId="77777777" w:rsidR="00AE1608" w:rsidRDefault="00AE1608" w:rsidP="00AE1608">
      <w:pPr>
        <w:spacing w:after="0"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t>State Attorney</w:t>
      </w:r>
    </w:p>
    <w:p w14:paraId="05677B8A" w14:textId="31CBEDEF" w:rsidR="00AE1608" w:rsidRDefault="00295876" w:rsidP="00AE1608">
      <w:pPr>
        <w:spacing w:after="0" w:line="360" w:lineRule="auto"/>
        <w:ind w:left="2160" w:firstLine="720"/>
        <w:jc w:val="both"/>
        <w:rPr>
          <w:rFonts w:ascii="Arial" w:hAnsi="Arial" w:cs="Arial"/>
          <w:sz w:val="24"/>
          <w:szCs w:val="24"/>
        </w:rPr>
      </w:pPr>
      <w:r>
        <w:rPr>
          <w:rFonts w:ascii="Arial" w:hAnsi="Arial" w:cs="Arial"/>
          <w:sz w:val="24"/>
          <w:szCs w:val="24"/>
        </w:rPr>
        <w:t>Old Spoornet Building</w:t>
      </w:r>
    </w:p>
    <w:p w14:paraId="6DFB12C7" w14:textId="07F4889A" w:rsidR="00AE1608" w:rsidRDefault="00AE1608" w:rsidP="00AE1608">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95876">
        <w:rPr>
          <w:rFonts w:ascii="Arial" w:hAnsi="Arial" w:cs="Arial"/>
          <w:sz w:val="24"/>
          <w:szCs w:val="24"/>
        </w:rPr>
        <w:t>17 Fleet Street</w:t>
      </w:r>
    </w:p>
    <w:p w14:paraId="540C5E98" w14:textId="5E405C9F" w:rsidR="00AE1608" w:rsidRDefault="00295876" w:rsidP="00AE1608">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East London</w:t>
      </w:r>
    </w:p>
    <w:p w14:paraId="7995C242" w14:textId="77777777" w:rsidR="00AE1608" w:rsidRPr="002E6B29" w:rsidRDefault="00AE1608" w:rsidP="00AE1608">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14A6467" w14:textId="77777777" w:rsidR="00AE1608" w:rsidRDefault="00AE1608" w:rsidP="00AE1608">
      <w:pPr>
        <w:spacing w:after="0" w:line="360" w:lineRule="auto"/>
        <w:jc w:val="both"/>
        <w:rPr>
          <w:rFonts w:ascii="Arial" w:hAnsi="Arial" w:cs="Arial"/>
          <w:sz w:val="24"/>
          <w:szCs w:val="24"/>
        </w:rPr>
      </w:pPr>
    </w:p>
    <w:p w14:paraId="1DFA71CD" w14:textId="77777777" w:rsidR="00AE1608" w:rsidRDefault="00AE1608" w:rsidP="00AE1608"/>
    <w:p w14:paraId="76C08DC3" w14:textId="77777777" w:rsidR="00E61E97" w:rsidRDefault="00E61E97"/>
    <w:sectPr w:rsidR="00E61E97" w:rsidSect="0068636A">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D6D1C" w14:textId="77777777" w:rsidR="007F51B9" w:rsidRDefault="007F51B9" w:rsidP="00AE1608">
      <w:pPr>
        <w:spacing w:after="0" w:line="240" w:lineRule="auto"/>
      </w:pPr>
      <w:r>
        <w:separator/>
      </w:r>
    </w:p>
  </w:endnote>
  <w:endnote w:type="continuationSeparator" w:id="0">
    <w:p w14:paraId="3296061D" w14:textId="77777777" w:rsidR="007F51B9" w:rsidRDefault="007F51B9" w:rsidP="00AE1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Courier">
    <w:panose1 w:val="02070409020205020404"/>
    <w:charset w:val="00"/>
    <w:family w:val="modern"/>
    <w:pitch w:val="fixed"/>
    <w:sig w:usb0="00000007" w:usb1="00000000" w:usb2="00000000" w:usb3="00000000" w:csb0="00000093"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4069F" w14:textId="77777777" w:rsidR="007F51B9" w:rsidRDefault="007F51B9" w:rsidP="00AE1608">
      <w:pPr>
        <w:spacing w:after="0" w:line="240" w:lineRule="auto"/>
      </w:pPr>
      <w:r>
        <w:separator/>
      </w:r>
    </w:p>
  </w:footnote>
  <w:footnote w:type="continuationSeparator" w:id="0">
    <w:p w14:paraId="2435CFD6" w14:textId="77777777" w:rsidR="007F51B9" w:rsidRDefault="007F51B9" w:rsidP="00AE1608">
      <w:pPr>
        <w:spacing w:after="0" w:line="240" w:lineRule="auto"/>
      </w:pPr>
      <w:r>
        <w:continuationSeparator/>
      </w:r>
    </w:p>
  </w:footnote>
  <w:footnote w:id="1">
    <w:p w14:paraId="5ADD2ABA" w14:textId="77777777" w:rsidR="00095010" w:rsidRPr="003F69CA" w:rsidRDefault="00095010" w:rsidP="00095010">
      <w:pPr>
        <w:pStyle w:val="FootnoteText"/>
        <w:spacing w:line="360" w:lineRule="auto"/>
        <w:rPr>
          <w:rFonts w:ascii="Arial" w:hAnsi="Arial" w:cs="Arial"/>
          <w:sz w:val="22"/>
          <w:szCs w:val="22"/>
          <w:lang w:val="en-US"/>
        </w:rPr>
      </w:pPr>
      <w:r w:rsidRPr="003F69CA">
        <w:rPr>
          <w:rStyle w:val="FootnoteReference"/>
          <w:rFonts w:ascii="Arial" w:hAnsi="Arial" w:cs="Arial"/>
          <w:sz w:val="22"/>
          <w:szCs w:val="22"/>
        </w:rPr>
        <w:footnoteRef/>
      </w:r>
      <w:r w:rsidRPr="003F69CA">
        <w:rPr>
          <w:rFonts w:ascii="Arial" w:hAnsi="Arial" w:cs="Arial"/>
          <w:sz w:val="22"/>
          <w:szCs w:val="22"/>
        </w:rPr>
        <w:t xml:space="preserve"> </w:t>
      </w:r>
      <w:r w:rsidRPr="003F69CA">
        <w:rPr>
          <w:rFonts w:ascii="Arial" w:hAnsi="Arial" w:cs="Arial"/>
          <w:sz w:val="22"/>
          <w:szCs w:val="22"/>
          <w:lang w:val="en-US"/>
        </w:rPr>
        <w:t>1973 (3) SA 299 (NC).</w:t>
      </w:r>
    </w:p>
  </w:footnote>
  <w:footnote w:id="2">
    <w:p w14:paraId="0B791CA4" w14:textId="18CE21E9" w:rsidR="00E05086" w:rsidRPr="003F69CA" w:rsidRDefault="00E05086">
      <w:pPr>
        <w:pStyle w:val="FootnoteText"/>
        <w:rPr>
          <w:rFonts w:ascii="Arial" w:hAnsi="Arial" w:cs="Arial"/>
          <w:sz w:val="22"/>
          <w:szCs w:val="22"/>
          <w:lang w:val="en-US"/>
        </w:rPr>
      </w:pPr>
      <w:r w:rsidRPr="003F69CA">
        <w:rPr>
          <w:rStyle w:val="FootnoteReference"/>
          <w:rFonts w:ascii="Arial" w:hAnsi="Arial" w:cs="Arial"/>
          <w:sz w:val="22"/>
          <w:szCs w:val="22"/>
        </w:rPr>
        <w:footnoteRef/>
      </w:r>
      <w:r w:rsidRPr="003F69CA">
        <w:rPr>
          <w:rFonts w:ascii="Arial" w:hAnsi="Arial" w:cs="Arial"/>
          <w:sz w:val="22"/>
          <w:szCs w:val="22"/>
        </w:rPr>
        <w:t xml:space="preserve"> </w:t>
      </w:r>
      <w:r w:rsidRPr="00407C3F">
        <w:rPr>
          <w:rFonts w:ascii="Arial" w:hAnsi="Arial" w:cs="Arial"/>
          <w:i/>
          <w:iCs/>
          <w:sz w:val="22"/>
          <w:szCs w:val="22"/>
          <w:lang w:val="en-US"/>
        </w:rPr>
        <w:t xml:space="preserve">Brown v Vlok </w:t>
      </w:r>
      <w:r w:rsidRPr="003F69CA">
        <w:rPr>
          <w:rFonts w:ascii="Arial" w:hAnsi="Arial" w:cs="Arial"/>
          <w:sz w:val="22"/>
          <w:szCs w:val="22"/>
          <w:lang w:val="en-US"/>
        </w:rPr>
        <w:t>1925 AD 56.</w:t>
      </w:r>
    </w:p>
  </w:footnote>
  <w:footnote w:id="3">
    <w:p w14:paraId="7E10D203" w14:textId="6FA26700" w:rsidR="006E754D" w:rsidRPr="006E754D" w:rsidRDefault="006E754D" w:rsidP="0030711F">
      <w:pPr>
        <w:pStyle w:val="FootnoteText"/>
        <w:spacing w:line="360" w:lineRule="auto"/>
        <w:rPr>
          <w:rFonts w:ascii="Arial" w:hAnsi="Arial" w:cs="Arial"/>
          <w:sz w:val="22"/>
          <w:szCs w:val="22"/>
          <w:lang w:val="en-US"/>
        </w:rPr>
      </w:pPr>
      <w:r w:rsidRPr="006E754D">
        <w:rPr>
          <w:rStyle w:val="FootnoteReference"/>
          <w:rFonts w:ascii="Arial" w:hAnsi="Arial" w:cs="Arial"/>
          <w:sz w:val="22"/>
          <w:szCs w:val="22"/>
        </w:rPr>
        <w:footnoteRef/>
      </w:r>
      <w:r w:rsidRPr="006E754D">
        <w:rPr>
          <w:rFonts w:ascii="Arial" w:hAnsi="Arial" w:cs="Arial"/>
          <w:sz w:val="22"/>
          <w:szCs w:val="22"/>
        </w:rPr>
        <w:t xml:space="preserve"> 2015 (6) SA 424 (SCA).</w:t>
      </w:r>
    </w:p>
  </w:footnote>
  <w:footnote w:id="4">
    <w:p w14:paraId="2127816F" w14:textId="68DBC7E8" w:rsidR="001364E4" w:rsidRPr="001364E4" w:rsidRDefault="001364E4" w:rsidP="0030711F">
      <w:pPr>
        <w:pStyle w:val="FootnoteText"/>
        <w:spacing w:line="360" w:lineRule="auto"/>
        <w:rPr>
          <w:rFonts w:ascii="Arial" w:hAnsi="Arial" w:cs="Arial"/>
          <w:color w:val="000000" w:themeColor="text1"/>
          <w:sz w:val="22"/>
          <w:szCs w:val="22"/>
          <w:lang w:val="en-US"/>
        </w:rPr>
      </w:pPr>
      <w:r w:rsidRPr="001364E4">
        <w:rPr>
          <w:rStyle w:val="FootnoteReference"/>
          <w:rFonts w:ascii="Arial" w:hAnsi="Arial" w:cs="Arial"/>
          <w:color w:val="000000" w:themeColor="text1"/>
          <w:sz w:val="22"/>
          <w:szCs w:val="22"/>
        </w:rPr>
        <w:footnoteRef/>
      </w:r>
      <w:r w:rsidRPr="001364E4">
        <w:rPr>
          <w:rFonts w:ascii="Arial" w:hAnsi="Arial" w:cs="Arial"/>
          <w:color w:val="000000" w:themeColor="text1"/>
          <w:sz w:val="22"/>
          <w:szCs w:val="22"/>
        </w:rPr>
        <w:t xml:space="preserve"> </w:t>
      </w:r>
      <w:r w:rsidRPr="001364E4">
        <w:rPr>
          <w:rFonts w:ascii="Arial" w:hAnsi="Arial" w:cs="Arial"/>
          <w:i/>
          <w:iCs/>
          <w:color w:val="000000" w:themeColor="text1"/>
          <w:sz w:val="22"/>
          <w:szCs w:val="22"/>
          <w:shd w:val="clear" w:color="auto" w:fill="FFFFFF"/>
          <w:lang w:val="en-US"/>
        </w:rPr>
        <w:t>Cool Ideas 1186 CC v Hubbard and Another</w:t>
      </w:r>
      <w:r w:rsidRPr="001364E4">
        <w:rPr>
          <w:rFonts w:ascii="Arial" w:hAnsi="Arial" w:cs="Arial"/>
          <w:color w:val="000000" w:themeColor="text1"/>
          <w:sz w:val="22"/>
          <w:szCs w:val="22"/>
          <w:shd w:val="clear" w:color="auto" w:fill="FFFFFF"/>
          <w:lang w:val="en-US"/>
        </w:rPr>
        <w:t xml:space="preserve"> </w:t>
      </w:r>
      <w:hyperlink r:id="rId1" w:tooltip="View LawCiteRecord" w:history="1">
        <w:r w:rsidRPr="001364E4">
          <w:rPr>
            <w:rStyle w:val="Hyperlink"/>
            <w:rFonts w:ascii="Arial" w:hAnsi="Arial" w:cs="Arial"/>
            <w:color w:val="000000" w:themeColor="text1"/>
            <w:sz w:val="22"/>
            <w:szCs w:val="22"/>
            <w:u w:val="none"/>
            <w:shd w:val="clear" w:color="auto" w:fill="FFFFFF"/>
            <w:lang w:val="en-US"/>
          </w:rPr>
          <w:t xml:space="preserve"> 2014 (4) SA 474</w:t>
        </w:r>
      </w:hyperlink>
      <w:r w:rsidRPr="001364E4">
        <w:rPr>
          <w:rFonts w:ascii="Arial" w:hAnsi="Arial" w:cs="Arial"/>
          <w:color w:val="000000" w:themeColor="text1"/>
          <w:sz w:val="22"/>
          <w:szCs w:val="22"/>
          <w:shd w:val="clear" w:color="auto" w:fill="FFFFFF"/>
          <w:lang w:val="en-US"/>
        </w:rPr>
        <w:t xml:space="preserve"> (CC); </w:t>
      </w:r>
      <w:r>
        <w:rPr>
          <w:rFonts w:ascii="Arial" w:hAnsi="Arial" w:cs="Arial"/>
          <w:color w:val="000000" w:themeColor="text1"/>
          <w:sz w:val="22"/>
          <w:szCs w:val="22"/>
          <w:shd w:val="clear" w:color="auto" w:fill="FFFFFF"/>
          <w:lang w:val="en-US"/>
        </w:rPr>
        <w:t xml:space="preserve">and </w:t>
      </w:r>
      <w:r w:rsidRPr="001364E4">
        <w:rPr>
          <w:rFonts w:ascii="Arial" w:hAnsi="Arial" w:cs="Arial"/>
          <w:i/>
          <w:iCs/>
          <w:color w:val="000000" w:themeColor="text1"/>
          <w:sz w:val="22"/>
          <w:szCs w:val="22"/>
          <w:shd w:val="clear" w:color="auto" w:fill="FFFFFF"/>
          <w:lang w:val="en-US"/>
        </w:rPr>
        <w:t>BE obo JE v MEC for Social Development, Western Cape</w:t>
      </w:r>
      <w:r w:rsidRPr="001364E4">
        <w:rPr>
          <w:rFonts w:ascii="Arial" w:hAnsi="Arial" w:cs="Arial"/>
          <w:color w:val="000000" w:themeColor="text1"/>
          <w:sz w:val="22"/>
          <w:szCs w:val="22"/>
          <w:shd w:val="clear" w:color="auto" w:fill="FFFFFF"/>
          <w:lang w:val="en-US"/>
        </w:rPr>
        <w:t> </w:t>
      </w:r>
      <w:hyperlink r:id="rId2" w:tooltip="View LawCiteRecord" w:history="1">
        <w:r w:rsidRPr="001364E4">
          <w:rPr>
            <w:rStyle w:val="Hyperlink"/>
            <w:rFonts w:ascii="Arial" w:hAnsi="Arial" w:cs="Arial"/>
            <w:color w:val="000000" w:themeColor="text1"/>
            <w:sz w:val="22"/>
            <w:szCs w:val="22"/>
            <w:u w:val="none"/>
            <w:shd w:val="clear" w:color="auto" w:fill="FFFFFF"/>
            <w:lang w:val="en-US"/>
          </w:rPr>
          <w:t>2022 (1) SA 1</w:t>
        </w:r>
      </w:hyperlink>
      <w:r w:rsidRPr="001364E4">
        <w:rPr>
          <w:rFonts w:ascii="Arial" w:hAnsi="Arial" w:cs="Arial"/>
          <w:color w:val="000000" w:themeColor="text1"/>
          <w:sz w:val="22"/>
          <w:szCs w:val="22"/>
          <w:shd w:val="clear" w:color="auto" w:fill="FFFFFF"/>
          <w:lang w:val="en-US"/>
        </w:rPr>
        <w:t> (CC).</w:t>
      </w:r>
    </w:p>
  </w:footnote>
  <w:footnote w:id="5">
    <w:p w14:paraId="382863B9" w14:textId="77777777" w:rsidR="002B7520" w:rsidRPr="003923B9" w:rsidRDefault="002B7520" w:rsidP="002B7520">
      <w:pPr>
        <w:pStyle w:val="FootnoteText"/>
        <w:spacing w:line="360" w:lineRule="auto"/>
        <w:jc w:val="both"/>
        <w:rPr>
          <w:rFonts w:ascii="Arial" w:hAnsi="Arial" w:cs="Arial"/>
          <w:sz w:val="22"/>
          <w:szCs w:val="22"/>
          <w:lang w:val="en-US"/>
        </w:rPr>
      </w:pPr>
      <w:r w:rsidRPr="003923B9">
        <w:rPr>
          <w:rStyle w:val="FootnoteReference"/>
          <w:rFonts w:ascii="Arial" w:hAnsi="Arial" w:cs="Arial"/>
          <w:sz w:val="22"/>
          <w:szCs w:val="22"/>
        </w:rPr>
        <w:footnoteRef/>
      </w:r>
      <w:r w:rsidRPr="003923B9">
        <w:rPr>
          <w:rFonts w:ascii="Arial" w:hAnsi="Arial" w:cs="Arial"/>
          <w:sz w:val="22"/>
          <w:szCs w:val="22"/>
        </w:rPr>
        <w:t xml:space="preserve"> </w:t>
      </w:r>
      <w:r w:rsidRPr="003923B9">
        <w:rPr>
          <w:rFonts w:ascii="Arial" w:hAnsi="Arial" w:cs="Arial"/>
          <w:sz w:val="22"/>
          <w:szCs w:val="22"/>
          <w:lang w:val="en-US"/>
        </w:rPr>
        <w:t>2002 (3) SA 674.</w:t>
      </w:r>
    </w:p>
  </w:footnote>
  <w:footnote w:id="6">
    <w:p w14:paraId="7C54DC3E" w14:textId="0EA370DF" w:rsidR="008B5C88" w:rsidRPr="004044F2" w:rsidRDefault="008B5C88">
      <w:pPr>
        <w:pStyle w:val="FootnoteText"/>
        <w:rPr>
          <w:rFonts w:ascii="Arial" w:hAnsi="Arial" w:cs="Arial"/>
          <w:color w:val="000000" w:themeColor="text1"/>
          <w:sz w:val="22"/>
          <w:szCs w:val="22"/>
          <w:lang w:val="en-US"/>
        </w:rPr>
      </w:pPr>
      <w:r w:rsidRPr="004044F2">
        <w:rPr>
          <w:rStyle w:val="FootnoteReference"/>
          <w:rFonts w:ascii="Arial" w:hAnsi="Arial" w:cs="Arial"/>
          <w:color w:val="000000" w:themeColor="text1"/>
          <w:sz w:val="22"/>
          <w:szCs w:val="22"/>
        </w:rPr>
        <w:footnoteRef/>
      </w:r>
      <w:r w:rsidRPr="004044F2">
        <w:rPr>
          <w:rFonts w:ascii="Arial" w:hAnsi="Arial" w:cs="Arial"/>
          <w:color w:val="000000" w:themeColor="text1"/>
          <w:sz w:val="22"/>
          <w:szCs w:val="22"/>
        </w:rPr>
        <w:t xml:space="preserve"> </w:t>
      </w:r>
      <w:r w:rsidRPr="004044F2">
        <w:rPr>
          <w:rFonts w:ascii="Arial" w:hAnsi="Arial" w:cs="Arial"/>
          <w:color w:val="000000" w:themeColor="text1"/>
          <w:sz w:val="22"/>
          <w:szCs w:val="22"/>
          <w:shd w:val="clear" w:color="auto" w:fill="FFFFFF"/>
        </w:rPr>
        <w:t>Bryan A Garner </w:t>
      </w:r>
      <w:r w:rsidRPr="004044F2">
        <w:rPr>
          <w:rFonts w:ascii="Arial" w:hAnsi="Arial" w:cs="Arial"/>
          <w:i/>
          <w:iCs/>
          <w:color w:val="000000" w:themeColor="text1"/>
          <w:sz w:val="22"/>
          <w:szCs w:val="22"/>
          <w:shd w:val="clear" w:color="auto" w:fill="FFFFFF"/>
        </w:rPr>
        <w:t>Black’s Law Dictionary </w:t>
      </w:r>
      <w:r w:rsidRPr="004044F2">
        <w:rPr>
          <w:rFonts w:ascii="Arial" w:hAnsi="Arial" w:cs="Arial"/>
          <w:color w:val="000000" w:themeColor="text1"/>
          <w:sz w:val="22"/>
          <w:szCs w:val="22"/>
          <w:shd w:val="clear" w:color="auto" w:fill="FFFFFF"/>
        </w:rPr>
        <w:t>9 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4251B69A" w14:textId="4B2AC5CF" w:rsidR="00C16B20" w:rsidRDefault="00510E7D">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B10F3">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B10F3">
          <w:rPr>
            <w:b/>
            <w:bCs/>
            <w:noProof/>
          </w:rPr>
          <w:t>10</w:t>
        </w:r>
        <w:r>
          <w:rPr>
            <w:b/>
            <w:bCs/>
            <w:sz w:val="24"/>
            <w:szCs w:val="24"/>
          </w:rPr>
          <w:fldChar w:fldCharType="end"/>
        </w:r>
      </w:p>
    </w:sdtContent>
  </w:sdt>
  <w:p w14:paraId="53D6FC6C" w14:textId="77777777" w:rsidR="00C16B20" w:rsidRDefault="00C16B2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445F6"/>
    <w:multiLevelType w:val="hybridMultilevel"/>
    <w:tmpl w:val="2D6AA518"/>
    <w:lvl w:ilvl="0" w:tplc="FB882CF4">
      <w:start w:val="1"/>
      <w:numFmt w:val="decimal"/>
      <w:lvlText w:val="%1."/>
      <w:lvlJc w:val="left"/>
      <w:pPr>
        <w:ind w:left="1309" w:hanging="600"/>
      </w:pPr>
      <w:rPr>
        <w:rFonts w:ascii="Arial" w:hAnsi="Arial" w:cs="Arial" w:hint="default"/>
        <w:sz w:val="24"/>
        <w:szCs w:val="24"/>
      </w:rPr>
    </w:lvl>
    <w:lvl w:ilvl="1" w:tplc="1C090019">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15:restartNumberingAfterBreak="0">
    <w:nsid w:val="330D490F"/>
    <w:multiLevelType w:val="hybridMultilevel"/>
    <w:tmpl w:val="0A4ED7C0"/>
    <w:lvl w:ilvl="0" w:tplc="87FC32EC">
      <w:start w:val="1"/>
      <w:numFmt w:val="decimal"/>
      <w:lvlText w:val="[%1]"/>
      <w:lvlJc w:val="left"/>
      <w:pPr>
        <w:ind w:left="720" w:hanging="360"/>
      </w:pPr>
      <w:rPr>
        <w:rFonts w:ascii="Arial" w:hAnsi="Arial" w:cs="Arial" w:hint="default"/>
        <w:i w:val="0"/>
        <w:iCs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4607C9B"/>
    <w:multiLevelType w:val="multilevel"/>
    <w:tmpl w:val="28743570"/>
    <w:lvl w:ilvl="0">
      <w:start w:val="1"/>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 w15:restartNumberingAfterBreak="0">
    <w:nsid w:val="449F5901"/>
    <w:multiLevelType w:val="hybridMultilevel"/>
    <w:tmpl w:val="B2260C78"/>
    <w:lvl w:ilvl="0" w:tplc="AE14E46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49C95D72"/>
    <w:multiLevelType w:val="hybridMultilevel"/>
    <w:tmpl w:val="81F86524"/>
    <w:lvl w:ilvl="0" w:tplc="31A024A6">
      <w:start w:val="2"/>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5" w15:restartNumberingAfterBreak="0">
    <w:nsid w:val="5F6869F9"/>
    <w:multiLevelType w:val="hybridMultilevel"/>
    <w:tmpl w:val="AD96C25A"/>
    <w:lvl w:ilvl="0" w:tplc="80A6006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726C78D2"/>
    <w:multiLevelType w:val="multilevel"/>
    <w:tmpl w:val="C32C0B7A"/>
    <w:lvl w:ilvl="0">
      <w:start w:val="2"/>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7" w15:restartNumberingAfterBreak="0">
    <w:nsid w:val="73235D71"/>
    <w:multiLevelType w:val="hybridMultilevel"/>
    <w:tmpl w:val="5FA6E450"/>
    <w:lvl w:ilvl="0" w:tplc="FFD4183E">
      <w:start w:val="9"/>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8" w15:restartNumberingAfterBreak="0">
    <w:nsid w:val="7E3C1328"/>
    <w:multiLevelType w:val="hybridMultilevel"/>
    <w:tmpl w:val="B302DF7C"/>
    <w:lvl w:ilvl="0" w:tplc="F2BA6BAA">
      <w:start w:val="1"/>
      <w:numFmt w:val="lowerLetter"/>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6"/>
  </w:num>
  <w:num w:numId="5">
    <w:abstractNumId w:val="8"/>
  </w:num>
  <w:num w:numId="6">
    <w:abstractNumId w:val="7"/>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608"/>
    <w:rsid w:val="0000173F"/>
    <w:rsid w:val="00026128"/>
    <w:rsid w:val="00043685"/>
    <w:rsid w:val="000438E4"/>
    <w:rsid w:val="00051A51"/>
    <w:rsid w:val="00067CB2"/>
    <w:rsid w:val="00072164"/>
    <w:rsid w:val="00095010"/>
    <w:rsid w:val="000E1002"/>
    <w:rsid w:val="000E4270"/>
    <w:rsid w:val="000F524B"/>
    <w:rsid w:val="00114943"/>
    <w:rsid w:val="00116E26"/>
    <w:rsid w:val="00130FF3"/>
    <w:rsid w:val="0013560A"/>
    <w:rsid w:val="001364E4"/>
    <w:rsid w:val="001515C3"/>
    <w:rsid w:val="001640E4"/>
    <w:rsid w:val="00195A50"/>
    <w:rsid w:val="001B534E"/>
    <w:rsid w:val="001B592F"/>
    <w:rsid w:val="001C14E3"/>
    <w:rsid w:val="001E507A"/>
    <w:rsid w:val="00236669"/>
    <w:rsid w:val="00295876"/>
    <w:rsid w:val="002B0F38"/>
    <w:rsid w:val="002B7520"/>
    <w:rsid w:val="002C35C8"/>
    <w:rsid w:val="002C56A4"/>
    <w:rsid w:val="002D3F40"/>
    <w:rsid w:val="002D46A8"/>
    <w:rsid w:val="002E7625"/>
    <w:rsid w:val="0030711F"/>
    <w:rsid w:val="003077C1"/>
    <w:rsid w:val="00311035"/>
    <w:rsid w:val="0032219F"/>
    <w:rsid w:val="003735E6"/>
    <w:rsid w:val="003923B9"/>
    <w:rsid w:val="003E38C1"/>
    <w:rsid w:val="003E3D95"/>
    <w:rsid w:val="003F69CA"/>
    <w:rsid w:val="004044F2"/>
    <w:rsid w:val="00407C3F"/>
    <w:rsid w:val="004377B0"/>
    <w:rsid w:val="00455713"/>
    <w:rsid w:val="004771C5"/>
    <w:rsid w:val="004B3BF9"/>
    <w:rsid w:val="00506086"/>
    <w:rsid w:val="00510093"/>
    <w:rsid w:val="00510E7D"/>
    <w:rsid w:val="0051124B"/>
    <w:rsid w:val="00523CCD"/>
    <w:rsid w:val="005425B3"/>
    <w:rsid w:val="005554CC"/>
    <w:rsid w:val="0057167D"/>
    <w:rsid w:val="00585AAF"/>
    <w:rsid w:val="00585F5F"/>
    <w:rsid w:val="005A10D6"/>
    <w:rsid w:val="005E0E02"/>
    <w:rsid w:val="005F4203"/>
    <w:rsid w:val="005F4A2A"/>
    <w:rsid w:val="00654182"/>
    <w:rsid w:val="00660022"/>
    <w:rsid w:val="00670583"/>
    <w:rsid w:val="00673A51"/>
    <w:rsid w:val="00674636"/>
    <w:rsid w:val="0068636A"/>
    <w:rsid w:val="006A677A"/>
    <w:rsid w:val="006B5829"/>
    <w:rsid w:val="006C5A4F"/>
    <w:rsid w:val="006D3A6D"/>
    <w:rsid w:val="006E754D"/>
    <w:rsid w:val="007025DD"/>
    <w:rsid w:val="0073646C"/>
    <w:rsid w:val="0074695A"/>
    <w:rsid w:val="0076384E"/>
    <w:rsid w:val="00781A69"/>
    <w:rsid w:val="00782030"/>
    <w:rsid w:val="007873D9"/>
    <w:rsid w:val="007947FC"/>
    <w:rsid w:val="007A14E3"/>
    <w:rsid w:val="007B5909"/>
    <w:rsid w:val="007C793E"/>
    <w:rsid w:val="007F151B"/>
    <w:rsid w:val="007F51B9"/>
    <w:rsid w:val="008058B9"/>
    <w:rsid w:val="0080781D"/>
    <w:rsid w:val="0081298A"/>
    <w:rsid w:val="008131CD"/>
    <w:rsid w:val="00817486"/>
    <w:rsid w:val="008335B3"/>
    <w:rsid w:val="00863991"/>
    <w:rsid w:val="0086399E"/>
    <w:rsid w:val="00863DF7"/>
    <w:rsid w:val="00865548"/>
    <w:rsid w:val="00865CDC"/>
    <w:rsid w:val="00872CDC"/>
    <w:rsid w:val="008A1E52"/>
    <w:rsid w:val="008B5C88"/>
    <w:rsid w:val="008C6A34"/>
    <w:rsid w:val="008C6DD8"/>
    <w:rsid w:val="008C7504"/>
    <w:rsid w:val="008D4275"/>
    <w:rsid w:val="008E4235"/>
    <w:rsid w:val="008E512E"/>
    <w:rsid w:val="008F1F43"/>
    <w:rsid w:val="009145D6"/>
    <w:rsid w:val="00927D50"/>
    <w:rsid w:val="00946E12"/>
    <w:rsid w:val="00956D62"/>
    <w:rsid w:val="009A7334"/>
    <w:rsid w:val="009E1A16"/>
    <w:rsid w:val="009F582F"/>
    <w:rsid w:val="00A1014F"/>
    <w:rsid w:val="00A123CD"/>
    <w:rsid w:val="00A34BA8"/>
    <w:rsid w:val="00A53119"/>
    <w:rsid w:val="00A570E5"/>
    <w:rsid w:val="00AB465F"/>
    <w:rsid w:val="00AB6700"/>
    <w:rsid w:val="00AC5F89"/>
    <w:rsid w:val="00AE1608"/>
    <w:rsid w:val="00AE6D18"/>
    <w:rsid w:val="00B25517"/>
    <w:rsid w:val="00B32229"/>
    <w:rsid w:val="00B43D7E"/>
    <w:rsid w:val="00B463F5"/>
    <w:rsid w:val="00B702FF"/>
    <w:rsid w:val="00B80137"/>
    <w:rsid w:val="00BE66B8"/>
    <w:rsid w:val="00C013EB"/>
    <w:rsid w:val="00C16B20"/>
    <w:rsid w:val="00C22967"/>
    <w:rsid w:val="00C36E10"/>
    <w:rsid w:val="00C53AEA"/>
    <w:rsid w:val="00C65623"/>
    <w:rsid w:val="00C7367B"/>
    <w:rsid w:val="00C76B3F"/>
    <w:rsid w:val="00C80DB3"/>
    <w:rsid w:val="00CA5AAB"/>
    <w:rsid w:val="00CB3413"/>
    <w:rsid w:val="00CD4F91"/>
    <w:rsid w:val="00D00CB4"/>
    <w:rsid w:val="00D01CAA"/>
    <w:rsid w:val="00D06802"/>
    <w:rsid w:val="00D255E4"/>
    <w:rsid w:val="00D326CB"/>
    <w:rsid w:val="00D51435"/>
    <w:rsid w:val="00D53D2F"/>
    <w:rsid w:val="00D6565B"/>
    <w:rsid w:val="00D82E46"/>
    <w:rsid w:val="00D9007E"/>
    <w:rsid w:val="00D959BB"/>
    <w:rsid w:val="00DA50B9"/>
    <w:rsid w:val="00DB294B"/>
    <w:rsid w:val="00DC44D8"/>
    <w:rsid w:val="00DF55DD"/>
    <w:rsid w:val="00E05086"/>
    <w:rsid w:val="00E13023"/>
    <w:rsid w:val="00E26151"/>
    <w:rsid w:val="00E34693"/>
    <w:rsid w:val="00E61E97"/>
    <w:rsid w:val="00E623B9"/>
    <w:rsid w:val="00E63573"/>
    <w:rsid w:val="00E7240B"/>
    <w:rsid w:val="00E73CA7"/>
    <w:rsid w:val="00E95BC5"/>
    <w:rsid w:val="00EB10F3"/>
    <w:rsid w:val="00EC10F6"/>
    <w:rsid w:val="00EC51CF"/>
    <w:rsid w:val="00EC5235"/>
    <w:rsid w:val="00ED1D56"/>
    <w:rsid w:val="00ED30C0"/>
    <w:rsid w:val="00ED4FCD"/>
    <w:rsid w:val="00EE0C9F"/>
    <w:rsid w:val="00F44BAD"/>
    <w:rsid w:val="00FC5374"/>
    <w:rsid w:val="00FD27D1"/>
    <w:rsid w:val="00FF60A9"/>
    <w:rsid w:val="00FF71F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3BAFB"/>
  <w15:docId w15:val="{F592D924-7F58-4007-A952-799C82BE4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608"/>
    <w:rPr>
      <w:kern w:val="0"/>
    </w:rPr>
  </w:style>
  <w:style w:type="paragraph" w:styleId="Heading2">
    <w:name w:val="heading 2"/>
    <w:basedOn w:val="Normal"/>
    <w:link w:val="Heading2Char"/>
    <w:uiPriority w:val="9"/>
    <w:qFormat/>
    <w:rsid w:val="00AE1608"/>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1608"/>
    <w:rPr>
      <w:rFonts w:ascii="Times New Roman" w:eastAsia="Times New Roman" w:hAnsi="Times New Roman" w:cs="Times New Roman"/>
      <w:b/>
      <w:bCs/>
      <w:kern w:val="0"/>
      <w:sz w:val="36"/>
      <w:szCs w:val="36"/>
      <w:lang w:eastAsia="en-ZA"/>
    </w:rPr>
  </w:style>
  <w:style w:type="paragraph" w:styleId="ListParagraph">
    <w:name w:val="List Paragraph"/>
    <w:basedOn w:val="Normal"/>
    <w:link w:val="ListParagraphChar"/>
    <w:uiPriority w:val="34"/>
    <w:qFormat/>
    <w:rsid w:val="00AE1608"/>
    <w:pPr>
      <w:spacing w:after="200" w:line="276" w:lineRule="auto"/>
      <w:ind w:left="720"/>
      <w:contextualSpacing/>
    </w:pPr>
    <w:rPr>
      <w:rFonts w:eastAsia="Times New Roman" w:cs="Times New Roman"/>
    </w:rPr>
  </w:style>
  <w:style w:type="paragraph" w:customStyle="1" w:styleId="GW11">
    <w:name w:val="GW1.1"/>
    <w:basedOn w:val="Normal"/>
    <w:rsid w:val="00AE1608"/>
    <w:pPr>
      <w:tabs>
        <w:tab w:val="left" w:pos="0"/>
        <w:tab w:val="left" w:pos="1152"/>
        <w:tab w:val="left" w:pos="2592"/>
        <w:tab w:val="left" w:pos="4464"/>
        <w:tab w:val="left" w:pos="6048"/>
      </w:tabs>
      <w:spacing w:after="0" w:line="360" w:lineRule="auto"/>
      <w:ind w:right="1145"/>
      <w:jc w:val="both"/>
    </w:pPr>
    <w:rPr>
      <w:rFonts w:ascii="Courier" w:eastAsia="Times New Roman" w:hAnsi="Courier" w:cs="Times New Roman"/>
      <w:snapToGrid w:val="0"/>
      <w:sz w:val="24"/>
      <w:szCs w:val="20"/>
      <w:lang w:val="en-US"/>
    </w:rPr>
  </w:style>
  <w:style w:type="paragraph" w:customStyle="1" w:styleId="GW12">
    <w:name w:val="GW1.2"/>
    <w:basedOn w:val="Normal"/>
    <w:rsid w:val="00AE1608"/>
    <w:pPr>
      <w:tabs>
        <w:tab w:val="left" w:pos="0"/>
        <w:tab w:val="left" w:pos="1152"/>
        <w:tab w:val="left" w:pos="2592"/>
        <w:tab w:val="left" w:pos="4464"/>
        <w:tab w:val="left" w:pos="6048"/>
        <w:tab w:val="right" w:pos="8640"/>
      </w:tabs>
      <w:spacing w:after="0" w:line="360" w:lineRule="auto"/>
      <w:ind w:right="1145"/>
      <w:jc w:val="both"/>
    </w:pPr>
    <w:rPr>
      <w:rFonts w:ascii="Courier" w:eastAsia="Times New Roman" w:hAnsi="Courier" w:cs="Times New Roman"/>
      <w:snapToGrid w:val="0"/>
      <w:sz w:val="24"/>
      <w:szCs w:val="20"/>
      <w:lang w:val="en-US"/>
    </w:rPr>
  </w:style>
  <w:style w:type="paragraph" w:customStyle="1" w:styleId="GW13">
    <w:name w:val="GW1.3"/>
    <w:basedOn w:val="Normal"/>
    <w:rsid w:val="00AE1608"/>
    <w:pPr>
      <w:tabs>
        <w:tab w:val="right" w:pos="8640"/>
      </w:tabs>
      <w:spacing w:after="0" w:line="360" w:lineRule="auto"/>
      <w:ind w:right="1145"/>
      <w:jc w:val="both"/>
    </w:pPr>
    <w:rPr>
      <w:rFonts w:ascii="Courier" w:eastAsia="Times New Roman" w:hAnsi="Courier" w:cs="Times New Roman"/>
      <w:snapToGrid w:val="0"/>
      <w:sz w:val="24"/>
      <w:szCs w:val="20"/>
      <w:lang w:val="en-US"/>
    </w:rPr>
  </w:style>
  <w:style w:type="character" w:customStyle="1" w:styleId="ListParagraphChar">
    <w:name w:val="List Paragraph Char"/>
    <w:link w:val="ListParagraph"/>
    <w:uiPriority w:val="34"/>
    <w:rsid w:val="00AE1608"/>
    <w:rPr>
      <w:rFonts w:eastAsia="Times New Roman" w:cs="Times New Roman"/>
      <w:kern w:val="0"/>
    </w:rPr>
  </w:style>
  <w:style w:type="paragraph" w:styleId="NormalWeb">
    <w:name w:val="Normal (Web)"/>
    <w:basedOn w:val="Normal"/>
    <w:uiPriority w:val="99"/>
    <w:unhideWhenUsed/>
    <w:rsid w:val="00AE1608"/>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AE1608"/>
    <w:rPr>
      <w:color w:val="0000FF"/>
      <w:u w:val="single"/>
    </w:rPr>
  </w:style>
  <w:style w:type="paragraph" w:styleId="FootnoteText">
    <w:name w:val="footnote text"/>
    <w:basedOn w:val="Normal"/>
    <w:link w:val="FootnoteTextChar"/>
    <w:uiPriority w:val="99"/>
    <w:unhideWhenUsed/>
    <w:rsid w:val="00AE1608"/>
    <w:pPr>
      <w:spacing w:after="0" w:line="240" w:lineRule="auto"/>
    </w:pPr>
    <w:rPr>
      <w:sz w:val="20"/>
      <w:szCs w:val="20"/>
    </w:rPr>
  </w:style>
  <w:style w:type="character" w:customStyle="1" w:styleId="FootnoteTextChar">
    <w:name w:val="Footnote Text Char"/>
    <w:basedOn w:val="DefaultParagraphFont"/>
    <w:link w:val="FootnoteText"/>
    <w:uiPriority w:val="99"/>
    <w:rsid w:val="00AE1608"/>
    <w:rPr>
      <w:kern w:val="0"/>
      <w:sz w:val="20"/>
      <w:szCs w:val="20"/>
    </w:rPr>
  </w:style>
  <w:style w:type="character" w:styleId="FootnoteReference">
    <w:name w:val="footnote reference"/>
    <w:basedOn w:val="DefaultParagraphFont"/>
    <w:uiPriority w:val="99"/>
    <w:unhideWhenUsed/>
    <w:rsid w:val="00AE1608"/>
    <w:rPr>
      <w:vertAlign w:val="superscript"/>
    </w:rPr>
  </w:style>
  <w:style w:type="paragraph" w:styleId="Header">
    <w:name w:val="header"/>
    <w:basedOn w:val="Normal"/>
    <w:link w:val="HeaderChar"/>
    <w:uiPriority w:val="99"/>
    <w:unhideWhenUsed/>
    <w:rsid w:val="00AE16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608"/>
    <w:rPr>
      <w:kern w:val="0"/>
    </w:rPr>
  </w:style>
  <w:style w:type="character" w:customStyle="1" w:styleId="FontStyle14">
    <w:name w:val="Font Style14"/>
    <w:basedOn w:val="DefaultParagraphFont"/>
    <w:uiPriority w:val="99"/>
    <w:rsid w:val="00D9007E"/>
    <w:rPr>
      <w:rFonts w:eastAsia="Times New Roman"/>
      <w:sz w:val="22"/>
      <w:szCs w:val="22"/>
      <w:lang w:val="x-none" w:eastAsia="zh-CN" w:bidi="hi-IN"/>
    </w:rPr>
  </w:style>
  <w:style w:type="character" w:customStyle="1" w:styleId="dttext">
    <w:name w:val="dttext"/>
    <w:basedOn w:val="DefaultParagraphFont"/>
    <w:rsid w:val="00ED30C0"/>
  </w:style>
  <w:style w:type="character" w:customStyle="1" w:styleId="letter">
    <w:name w:val="letter"/>
    <w:basedOn w:val="DefaultParagraphFont"/>
    <w:rsid w:val="00ED30C0"/>
  </w:style>
  <w:style w:type="character" w:styleId="Strong">
    <w:name w:val="Strong"/>
    <w:basedOn w:val="DefaultParagraphFont"/>
    <w:uiPriority w:val="22"/>
    <w:qFormat/>
    <w:rsid w:val="00ED30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940259">
      <w:bodyDiv w:val="1"/>
      <w:marLeft w:val="0"/>
      <w:marRight w:val="0"/>
      <w:marTop w:val="0"/>
      <w:marBottom w:val="0"/>
      <w:divBdr>
        <w:top w:val="none" w:sz="0" w:space="0" w:color="auto"/>
        <w:left w:val="none" w:sz="0" w:space="0" w:color="auto"/>
        <w:bottom w:val="none" w:sz="0" w:space="0" w:color="auto"/>
        <w:right w:val="none" w:sz="0" w:space="0" w:color="auto"/>
      </w:divBdr>
      <w:divsChild>
        <w:div w:id="594019135">
          <w:marLeft w:val="0"/>
          <w:marRight w:val="0"/>
          <w:marTop w:val="0"/>
          <w:marBottom w:val="0"/>
          <w:divBdr>
            <w:top w:val="none" w:sz="0" w:space="0" w:color="auto"/>
            <w:left w:val="none" w:sz="0" w:space="0" w:color="auto"/>
            <w:bottom w:val="none" w:sz="0" w:space="0" w:color="auto"/>
            <w:right w:val="none" w:sz="0" w:space="0" w:color="auto"/>
          </w:divBdr>
          <w:divsChild>
            <w:div w:id="1952396793">
              <w:marLeft w:val="0"/>
              <w:marRight w:val="0"/>
              <w:marTop w:val="0"/>
              <w:marBottom w:val="0"/>
              <w:divBdr>
                <w:top w:val="none" w:sz="0" w:space="0" w:color="auto"/>
                <w:left w:val="none" w:sz="0" w:space="0" w:color="auto"/>
                <w:bottom w:val="none" w:sz="0" w:space="0" w:color="auto"/>
                <w:right w:val="none" w:sz="0" w:space="0" w:color="auto"/>
              </w:divBdr>
              <w:divsChild>
                <w:div w:id="1700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6791">
          <w:marLeft w:val="0"/>
          <w:marRight w:val="0"/>
          <w:marTop w:val="0"/>
          <w:marBottom w:val="0"/>
          <w:divBdr>
            <w:top w:val="none" w:sz="0" w:space="0" w:color="auto"/>
            <w:left w:val="none" w:sz="0" w:space="0" w:color="auto"/>
            <w:bottom w:val="none" w:sz="0" w:space="0" w:color="auto"/>
            <w:right w:val="none" w:sz="0" w:space="0" w:color="auto"/>
          </w:divBdr>
          <w:divsChild>
            <w:div w:id="270432958">
              <w:marLeft w:val="0"/>
              <w:marRight w:val="0"/>
              <w:marTop w:val="0"/>
              <w:marBottom w:val="0"/>
              <w:divBdr>
                <w:top w:val="none" w:sz="0" w:space="0" w:color="auto"/>
                <w:left w:val="none" w:sz="0" w:space="0" w:color="auto"/>
                <w:bottom w:val="none" w:sz="0" w:space="0" w:color="auto"/>
                <w:right w:val="none" w:sz="0" w:space="0" w:color="auto"/>
              </w:divBdr>
              <w:divsChild>
                <w:div w:id="55307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81114">
      <w:bodyDiv w:val="1"/>
      <w:marLeft w:val="0"/>
      <w:marRight w:val="0"/>
      <w:marTop w:val="0"/>
      <w:marBottom w:val="0"/>
      <w:divBdr>
        <w:top w:val="none" w:sz="0" w:space="0" w:color="auto"/>
        <w:left w:val="none" w:sz="0" w:space="0" w:color="auto"/>
        <w:bottom w:val="none" w:sz="0" w:space="0" w:color="auto"/>
        <w:right w:val="none" w:sz="0" w:space="0" w:color="auto"/>
      </w:divBdr>
    </w:div>
    <w:div w:id="732122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saflii.org/cgi-bin/LawCite?cit=2022%20%281%29%20SA%201" TargetMode="External"/><Relationship Id="rId1" Type="http://schemas.openxmlformats.org/officeDocument/2006/relationships/hyperlink" Target="https://www.saflii.org/cgi-bin/LawCite?cit=2014%29%202014%20%284%29%20SA%204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C1FBC-0336-4053-AE75-20EFA9A68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2060</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Bands</dc:creator>
  <cp:keywords/>
  <dc:description/>
  <cp:lastModifiedBy>Mary Bruce</cp:lastModifiedBy>
  <cp:revision>3</cp:revision>
  <cp:lastPrinted>2024-04-30T11:37:00Z</cp:lastPrinted>
  <dcterms:created xsi:type="dcterms:W3CDTF">2024-05-01T08:07:00Z</dcterms:created>
  <dcterms:modified xsi:type="dcterms:W3CDTF">2024-05-06T13:57:00Z</dcterms:modified>
</cp:coreProperties>
</file>